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DB1AC" w14:textId="50ADD662" w:rsidR="006B087E" w:rsidRPr="00F92EAE" w:rsidRDefault="00334808" w:rsidP="00334808">
      <w:pPr>
        <w:pStyle w:val="Pagedecouverture"/>
        <w:rPr>
          <w:noProof/>
        </w:rPr>
      </w:pPr>
      <w:bookmarkStart w:id="0" w:name="LW_BM_COVERPAGE"/>
      <w:r>
        <w:rPr>
          <w:noProof/>
        </w:rPr>
        <w:pict w14:anchorId="060697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94A37CE-1A69-4F70-AC58-97B5489652E2" style="width:455.25pt;height:375pt">
            <v:imagedata r:id="rId11" o:title=""/>
          </v:shape>
        </w:pict>
      </w:r>
    </w:p>
    <w:bookmarkEnd w:id="0"/>
    <w:p w14:paraId="63260D17" w14:textId="77777777" w:rsidR="006B087E" w:rsidRPr="00F92EAE" w:rsidRDefault="006B087E" w:rsidP="000E3086">
      <w:pPr>
        <w:pStyle w:val="TOCHeading"/>
        <w:rPr>
          <w:noProof/>
        </w:rPr>
        <w:sectPr w:rsidR="006B087E" w:rsidRPr="00F92EAE" w:rsidSect="0033480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5D12411" w14:textId="77777777" w:rsidR="006B087E" w:rsidRPr="00F92EAE" w:rsidRDefault="006B087E" w:rsidP="000E3086">
      <w:pPr>
        <w:pStyle w:val="TOCHeading"/>
        <w:rPr>
          <w:noProof/>
        </w:rPr>
      </w:pPr>
      <w:bookmarkStart w:id="1" w:name="_GoBack"/>
      <w:bookmarkEnd w:id="1"/>
      <w:r w:rsidRPr="00F92EAE">
        <w:rPr>
          <w:noProof/>
        </w:rPr>
        <w:lastRenderedPageBreak/>
        <w:t>Table of contents</w:t>
      </w:r>
    </w:p>
    <w:p w14:paraId="58271CC8" w14:textId="33889826" w:rsidR="0071671D" w:rsidRDefault="009C5C20">
      <w:pPr>
        <w:pStyle w:val="TOC1"/>
        <w:rPr>
          <w:rFonts w:asciiTheme="minorHAnsi" w:eastAsiaTheme="minorEastAsia" w:hAnsiTheme="minorHAnsi" w:cstheme="minorBidi"/>
          <w:caps w:val="0"/>
          <w:noProof/>
          <w:kern w:val="2"/>
          <w:sz w:val="24"/>
          <w:szCs w:val="24"/>
          <w:lang w:val="en-IE" w:eastAsia="en-IE"/>
          <w14:ligatures w14:val="standardContextual"/>
        </w:rPr>
      </w:pPr>
      <w:r w:rsidRPr="00224474">
        <w:rPr>
          <w:noProof/>
          <w:sz w:val="22"/>
          <w:szCs w:val="22"/>
        </w:rPr>
        <w:fldChar w:fldCharType="begin"/>
      </w:r>
      <w:r w:rsidRPr="00AA1542">
        <w:rPr>
          <w:noProof/>
          <w:sz w:val="22"/>
          <w:szCs w:val="22"/>
        </w:rPr>
        <w:instrText xml:space="preserve"> TOC \o "1-2" \h \z \u </w:instrText>
      </w:r>
      <w:r w:rsidRPr="00224474">
        <w:rPr>
          <w:noProof/>
          <w:sz w:val="22"/>
          <w:szCs w:val="22"/>
        </w:rPr>
        <w:fldChar w:fldCharType="separate"/>
      </w:r>
      <w:hyperlink w:anchor="_Toc231816689" w:history="1">
        <w:r w:rsidR="0071671D" w:rsidRPr="00F11362">
          <w:rPr>
            <w:rStyle w:val="Hyperlink"/>
            <w:noProof/>
          </w:rPr>
          <w:t>1.</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noProof/>
          </w:rPr>
          <w:t>Introduction: Political and legal context</w:t>
        </w:r>
        <w:r w:rsidR="0071671D">
          <w:rPr>
            <w:noProof/>
            <w:webHidden/>
          </w:rPr>
          <w:tab/>
        </w:r>
        <w:r w:rsidR="0071671D">
          <w:rPr>
            <w:noProof/>
            <w:webHidden/>
          </w:rPr>
          <w:fldChar w:fldCharType="begin"/>
        </w:r>
        <w:r w:rsidR="0071671D">
          <w:rPr>
            <w:noProof/>
            <w:webHidden/>
          </w:rPr>
          <w:instrText xml:space="preserve"> PAGEREF _Toc231816689 \h </w:instrText>
        </w:r>
        <w:r w:rsidR="0071671D">
          <w:rPr>
            <w:noProof/>
            <w:webHidden/>
          </w:rPr>
        </w:r>
        <w:r w:rsidR="0071671D">
          <w:rPr>
            <w:noProof/>
            <w:webHidden/>
          </w:rPr>
          <w:fldChar w:fldCharType="separate"/>
        </w:r>
        <w:r w:rsidR="0071671D">
          <w:rPr>
            <w:noProof/>
            <w:webHidden/>
          </w:rPr>
          <w:t>5</w:t>
        </w:r>
        <w:r w:rsidR="0071671D">
          <w:rPr>
            <w:noProof/>
            <w:webHidden/>
          </w:rPr>
          <w:fldChar w:fldCharType="end"/>
        </w:r>
      </w:hyperlink>
    </w:p>
    <w:p w14:paraId="6F87FE45" w14:textId="646F0B7A" w:rsidR="0071671D" w:rsidRDefault="00334808">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1816690" w:history="1">
        <w:r w:rsidR="0071671D" w:rsidRPr="00F11362">
          <w:rPr>
            <w:rStyle w:val="Hyperlink"/>
            <w:noProof/>
          </w:rPr>
          <w:t>1.1.</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Political context</w:t>
        </w:r>
        <w:r w:rsidR="0071671D">
          <w:rPr>
            <w:noProof/>
            <w:webHidden/>
          </w:rPr>
          <w:tab/>
        </w:r>
        <w:r w:rsidR="0071671D">
          <w:rPr>
            <w:noProof/>
            <w:webHidden/>
          </w:rPr>
          <w:fldChar w:fldCharType="begin"/>
        </w:r>
        <w:r w:rsidR="0071671D">
          <w:rPr>
            <w:noProof/>
            <w:webHidden/>
          </w:rPr>
          <w:instrText xml:space="preserve"> PAGEREF _Toc231816690 \h </w:instrText>
        </w:r>
        <w:r w:rsidR="0071671D">
          <w:rPr>
            <w:noProof/>
            <w:webHidden/>
          </w:rPr>
        </w:r>
        <w:r w:rsidR="0071671D">
          <w:rPr>
            <w:noProof/>
            <w:webHidden/>
          </w:rPr>
          <w:fldChar w:fldCharType="separate"/>
        </w:r>
        <w:r w:rsidR="0071671D">
          <w:rPr>
            <w:noProof/>
            <w:webHidden/>
          </w:rPr>
          <w:t>5</w:t>
        </w:r>
        <w:r w:rsidR="0071671D">
          <w:rPr>
            <w:noProof/>
            <w:webHidden/>
          </w:rPr>
          <w:fldChar w:fldCharType="end"/>
        </w:r>
      </w:hyperlink>
    </w:p>
    <w:p w14:paraId="4F328032" w14:textId="251AF5C0" w:rsidR="0071671D" w:rsidRDefault="00334808">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1816691" w:history="1">
        <w:r w:rsidR="0071671D" w:rsidRPr="00F11362">
          <w:rPr>
            <w:rStyle w:val="Hyperlink"/>
            <w:noProof/>
          </w:rPr>
          <w:t>1.2.</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Legal context</w:t>
        </w:r>
        <w:r w:rsidR="0071671D">
          <w:rPr>
            <w:noProof/>
            <w:webHidden/>
          </w:rPr>
          <w:tab/>
        </w:r>
        <w:r w:rsidR="0071671D">
          <w:rPr>
            <w:noProof/>
            <w:webHidden/>
          </w:rPr>
          <w:fldChar w:fldCharType="begin"/>
        </w:r>
        <w:r w:rsidR="0071671D">
          <w:rPr>
            <w:noProof/>
            <w:webHidden/>
          </w:rPr>
          <w:instrText xml:space="preserve"> PAGEREF _Toc231816691 \h </w:instrText>
        </w:r>
        <w:r w:rsidR="0071671D">
          <w:rPr>
            <w:noProof/>
            <w:webHidden/>
          </w:rPr>
        </w:r>
        <w:r w:rsidR="0071671D">
          <w:rPr>
            <w:noProof/>
            <w:webHidden/>
          </w:rPr>
          <w:fldChar w:fldCharType="separate"/>
        </w:r>
        <w:r w:rsidR="0071671D">
          <w:rPr>
            <w:noProof/>
            <w:webHidden/>
          </w:rPr>
          <w:t>6</w:t>
        </w:r>
        <w:r w:rsidR="0071671D">
          <w:rPr>
            <w:noProof/>
            <w:webHidden/>
          </w:rPr>
          <w:fldChar w:fldCharType="end"/>
        </w:r>
      </w:hyperlink>
    </w:p>
    <w:p w14:paraId="5F6CE3FD" w14:textId="78D6AA52"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692" w:history="1">
        <w:r w:rsidR="0071671D" w:rsidRPr="00F11362">
          <w:rPr>
            <w:rStyle w:val="Hyperlink"/>
            <w:noProof/>
          </w:rPr>
          <w:t>2.</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noProof/>
          </w:rPr>
          <w:t>Problem definition</w:t>
        </w:r>
        <w:r w:rsidR="0071671D">
          <w:rPr>
            <w:noProof/>
            <w:webHidden/>
          </w:rPr>
          <w:tab/>
        </w:r>
        <w:r w:rsidR="0071671D">
          <w:rPr>
            <w:noProof/>
            <w:webHidden/>
          </w:rPr>
          <w:fldChar w:fldCharType="begin"/>
        </w:r>
        <w:r w:rsidR="0071671D">
          <w:rPr>
            <w:noProof/>
            <w:webHidden/>
          </w:rPr>
          <w:instrText xml:space="preserve"> PAGEREF _Toc231816692 \h </w:instrText>
        </w:r>
        <w:r w:rsidR="0071671D">
          <w:rPr>
            <w:noProof/>
            <w:webHidden/>
          </w:rPr>
        </w:r>
        <w:r w:rsidR="0071671D">
          <w:rPr>
            <w:noProof/>
            <w:webHidden/>
          </w:rPr>
          <w:fldChar w:fldCharType="separate"/>
        </w:r>
        <w:r w:rsidR="0071671D">
          <w:rPr>
            <w:noProof/>
            <w:webHidden/>
          </w:rPr>
          <w:t>10</w:t>
        </w:r>
        <w:r w:rsidR="0071671D">
          <w:rPr>
            <w:noProof/>
            <w:webHidden/>
          </w:rPr>
          <w:fldChar w:fldCharType="end"/>
        </w:r>
      </w:hyperlink>
    </w:p>
    <w:p w14:paraId="6F735B57" w14:textId="64DBB150" w:rsidR="0071671D" w:rsidRDefault="00334808">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1816693" w:history="1">
        <w:r w:rsidR="0071671D" w:rsidRPr="00F11362">
          <w:rPr>
            <w:rStyle w:val="Hyperlink"/>
            <w:noProof/>
          </w:rPr>
          <w:t>2.1.</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What are the problems?</w:t>
        </w:r>
        <w:r w:rsidR="0071671D">
          <w:rPr>
            <w:noProof/>
            <w:webHidden/>
          </w:rPr>
          <w:tab/>
        </w:r>
        <w:r w:rsidR="0071671D">
          <w:rPr>
            <w:noProof/>
            <w:webHidden/>
          </w:rPr>
          <w:fldChar w:fldCharType="begin"/>
        </w:r>
        <w:r w:rsidR="0071671D">
          <w:rPr>
            <w:noProof/>
            <w:webHidden/>
          </w:rPr>
          <w:instrText xml:space="preserve"> PAGEREF _Toc231816693 \h </w:instrText>
        </w:r>
        <w:r w:rsidR="0071671D">
          <w:rPr>
            <w:noProof/>
            <w:webHidden/>
          </w:rPr>
        </w:r>
        <w:r w:rsidR="0071671D">
          <w:rPr>
            <w:noProof/>
            <w:webHidden/>
          </w:rPr>
          <w:fldChar w:fldCharType="separate"/>
        </w:r>
        <w:r w:rsidR="0071671D">
          <w:rPr>
            <w:noProof/>
            <w:webHidden/>
          </w:rPr>
          <w:t>11</w:t>
        </w:r>
        <w:r w:rsidR="0071671D">
          <w:rPr>
            <w:noProof/>
            <w:webHidden/>
          </w:rPr>
          <w:fldChar w:fldCharType="end"/>
        </w:r>
      </w:hyperlink>
    </w:p>
    <w:p w14:paraId="3784112A" w14:textId="1831D7E8" w:rsidR="0071671D" w:rsidRDefault="00334808">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1816694" w:history="1">
        <w:r w:rsidR="0071671D" w:rsidRPr="00F11362">
          <w:rPr>
            <w:rStyle w:val="Hyperlink"/>
            <w:noProof/>
          </w:rPr>
          <w:t>2.2.</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What are the problem drivers?</w:t>
        </w:r>
        <w:r w:rsidR="0071671D">
          <w:rPr>
            <w:noProof/>
            <w:webHidden/>
          </w:rPr>
          <w:tab/>
        </w:r>
        <w:r w:rsidR="0071671D">
          <w:rPr>
            <w:noProof/>
            <w:webHidden/>
          </w:rPr>
          <w:fldChar w:fldCharType="begin"/>
        </w:r>
        <w:r w:rsidR="0071671D">
          <w:rPr>
            <w:noProof/>
            <w:webHidden/>
          </w:rPr>
          <w:instrText xml:space="preserve"> PAGEREF _Toc231816694 \h </w:instrText>
        </w:r>
        <w:r w:rsidR="0071671D">
          <w:rPr>
            <w:noProof/>
            <w:webHidden/>
          </w:rPr>
        </w:r>
        <w:r w:rsidR="0071671D">
          <w:rPr>
            <w:noProof/>
            <w:webHidden/>
          </w:rPr>
          <w:fldChar w:fldCharType="separate"/>
        </w:r>
        <w:r w:rsidR="0071671D">
          <w:rPr>
            <w:noProof/>
            <w:webHidden/>
          </w:rPr>
          <w:t>18</w:t>
        </w:r>
        <w:r w:rsidR="0071671D">
          <w:rPr>
            <w:noProof/>
            <w:webHidden/>
          </w:rPr>
          <w:fldChar w:fldCharType="end"/>
        </w:r>
      </w:hyperlink>
    </w:p>
    <w:p w14:paraId="60935C23" w14:textId="3C228050" w:rsidR="0071671D" w:rsidRDefault="00334808">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1816695" w:history="1">
        <w:r w:rsidR="0071671D" w:rsidRPr="00F11362">
          <w:rPr>
            <w:rStyle w:val="Hyperlink"/>
            <w:noProof/>
          </w:rPr>
          <w:t>2.3.</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How likely is the problem to persist?</w:t>
        </w:r>
        <w:r w:rsidR="0071671D">
          <w:rPr>
            <w:noProof/>
            <w:webHidden/>
          </w:rPr>
          <w:tab/>
        </w:r>
        <w:r w:rsidR="0071671D">
          <w:rPr>
            <w:noProof/>
            <w:webHidden/>
          </w:rPr>
          <w:fldChar w:fldCharType="begin"/>
        </w:r>
        <w:r w:rsidR="0071671D">
          <w:rPr>
            <w:noProof/>
            <w:webHidden/>
          </w:rPr>
          <w:instrText xml:space="preserve"> PAGEREF _Toc231816695 \h </w:instrText>
        </w:r>
        <w:r w:rsidR="0071671D">
          <w:rPr>
            <w:noProof/>
            <w:webHidden/>
          </w:rPr>
        </w:r>
        <w:r w:rsidR="0071671D">
          <w:rPr>
            <w:noProof/>
            <w:webHidden/>
          </w:rPr>
          <w:fldChar w:fldCharType="separate"/>
        </w:r>
        <w:r w:rsidR="0071671D">
          <w:rPr>
            <w:noProof/>
            <w:webHidden/>
          </w:rPr>
          <w:t>20</w:t>
        </w:r>
        <w:r w:rsidR="0071671D">
          <w:rPr>
            <w:noProof/>
            <w:webHidden/>
          </w:rPr>
          <w:fldChar w:fldCharType="end"/>
        </w:r>
      </w:hyperlink>
    </w:p>
    <w:p w14:paraId="1042896D" w14:textId="4FA72F16"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696" w:history="1">
        <w:r w:rsidR="0071671D" w:rsidRPr="00F11362">
          <w:rPr>
            <w:rStyle w:val="Hyperlink"/>
            <w:noProof/>
          </w:rPr>
          <w:t>3.</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noProof/>
          </w:rPr>
          <w:t>Why should the EU act?</w:t>
        </w:r>
        <w:r w:rsidR="0071671D">
          <w:rPr>
            <w:noProof/>
            <w:webHidden/>
          </w:rPr>
          <w:tab/>
        </w:r>
        <w:r w:rsidR="0071671D">
          <w:rPr>
            <w:noProof/>
            <w:webHidden/>
          </w:rPr>
          <w:fldChar w:fldCharType="begin"/>
        </w:r>
        <w:r w:rsidR="0071671D">
          <w:rPr>
            <w:noProof/>
            <w:webHidden/>
          </w:rPr>
          <w:instrText xml:space="preserve"> PAGEREF _Toc231816696 \h </w:instrText>
        </w:r>
        <w:r w:rsidR="0071671D">
          <w:rPr>
            <w:noProof/>
            <w:webHidden/>
          </w:rPr>
        </w:r>
        <w:r w:rsidR="0071671D">
          <w:rPr>
            <w:noProof/>
            <w:webHidden/>
          </w:rPr>
          <w:fldChar w:fldCharType="separate"/>
        </w:r>
        <w:r w:rsidR="0071671D">
          <w:rPr>
            <w:noProof/>
            <w:webHidden/>
          </w:rPr>
          <w:t>21</w:t>
        </w:r>
        <w:r w:rsidR="0071671D">
          <w:rPr>
            <w:noProof/>
            <w:webHidden/>
          </w:rPr>
          <w:fldChar w:fldCharType="end"/>
        </w:r>
      </w:hyperlink>
    </w:p>
    <w:p w14:paraId="639EE4DA" w14:textId="5D684198" w:rsidR="0071671D" w:rsidRDefault="00334808">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1816697" w:history="1">
        <w:r w:rsidR="0071671D" w:rsidRPr="00F11362">
          <w:rPr>
            <w:rStyle w:val="Hyperlink"/>
            <w:noProof/>
          </w:rPr>
          <w:t>3.1.</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Legal basis</w:t>
        </w:r>
        <w:r w:rsidR="0071671D">
          <w:rPr>
            <w:noProof/>
            <w:webHidden/>
          </w:rPr>
          <w:tab/>
        </w:r>
        <w:r w:rsidR="0071671D">
          <w:rPr>
            <w:noProof/>
            <w:webHidden/>
          </w:rPr>
          <w:fldChar w:fldCharType="begin"/>
        </w:r>
        <w:r w:rsidR="0071671D">
          <w:rPr>
            <w:noProof/>
            <w:webHidden/>
          </w:rPr>
          <w:instrText xml:space="preserve"> PAGEREF _Toc231816697 \h </w:instrText>
        </w:r>
        <w:r w:rsidR="0071671D">
          <w:rPr>
            <w:noProof/>
            <w:webHidden/>
          </w:rPr>
        </w:r>
        <w:r w:rsidR="0071671D">
          <w:rPr>
            <w:noProof/>
            <w:webHidden/>
          </w:rPr>
          <w:fldChar w:fldCharType="separate"/>
        </w:r>
        <w:r w:rsidR="0071671D">
          <w:rPr>
            <w:noProof/>
            <w:webHidden/>
          </w:rPr>
          <w:t>21</w:t>
        </w:r>
        <w:r w:rsidR="0071671D">
          <w:rPr>
            <w:noProof/>
            <w:webHidden/>
          </w:rPr>
          <w:fldChar w:fldCharType="end"/>
        </w:r>
      </w:hyperlink>
    </w:p>
    <w:p w14:paraId="61BE5942" w14:textId="11175C18" w:rsidR="0071671D" w:rsidRDefault="00334808">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1816698" w:history="1">
        <w:r w:rsidR="0071671D" w:rsidRPr="00F11362">
          <w:rPr>
            <w:rStyle w:val="Hyperlink"/>
            <w:noProof/>
          </w:rPr>
          <w:t>3.2.</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Subsidiarity: Necessity of EU action</w:t>
        </w:r>
        <w:r w:rsidR="0071671D">
          <w:rPr>
            <w:noProof/>
            <w:webHidden/>
          </w:rPr>
          <w:tab/>
        </w:r>
        <w:r w:rsidR="0071671D">
          <w:rPr>
            <w:noProof/>
            <w:webHidden/>
          </w:rPr>
          <w:fldChar w:fldCharType="begin"/>
        </w:r>
        <w:r w:rsidR="0071671D">
          <w:rPr>
            <w:noProof/>
            <w:webHidden/>
          </w:rPr>
          <w:instrText xml:space="preserve"> PAGEREF _Toc231816698 \h </w:instrText>
        </w:r>
        <w:r w:rsidR="0071671D">
          <w:rPr>
            <w:noProof/>
            <w:webHidden/>
          </w:rPr>
        </w:r>
        <w:r w:rsidR="0071671D">
          <w:rPr>
            <w:noProof/>
            <w:webHidden/>
          </w:rPr>
          <w:fldChar w:fldCharType="separate"/>
        </w:r>
        <w:r w:rsidR="0071671D">
          <w:rPr>
            <w:noProof/>
            <w:webHidden/>
          </w:rPr>
          <w:t>21</w:t>
        </w:r>
        <w:r w:rsidR="0071671D">
          <w:rPr>
            <w:noProof/>
            <w:webHidden/>
          </w:rPr>
          <w:fldChar w:fldCharType="end"/>
        </w:r>
      </w:hyperlink>
    </w:p>
    <w:p w14:paraId="5E731F8D" w14:textId="2CA1A446" w:rsidR="0071671D" w:rsidRDefault="00334808">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1816699" w:history="1">
        <w:r w:rsidR="0071671D" w:rsidRPr="00F11362">
          <w:rPr>
            <w:rStyle w:val="Hyperlink"/>
            <w:noProof/>
          </w:rPr>
          <w:t>3.3.</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Proportionality: Added value of EU action</w:t>
        </w:r>
        <w:r w:rsidR="0071671D">
          <w:rPr>
            <w:noProof/>
            <w:webHidden/>
          </w:rPr>
          <w:tab/>
        </w:r>
        <w:r w:rsidR="0071671D">
          <w:rPr>
            <w:noProof/>
            <w:webHidden/>
          </w:rPr>
          <w:fldChar w:fldCharType="begin"/>
        </w:r>
        <w:r w:rsidR="0071671D">
          <w:rPr>
            <w:noProof/>
            <w:webHidden/>
          </w:rPr>
          <w:instrText xml:space="preserve"> PAGEREF _Toc231816699 \h </w:instrText>
        </w:r>
        <w:r w:rsidR="0071671D">
          <w:rPr>
            <w:noProof/>
            <w:webHidden/>
          </w:rPr>
        </w:r>
        <w:r w:rsidR="0071671D">
          <w:rPr>
            <w:noProof/>
            <w:webHidden/>
          </w:rPr>
          <w:fldChar w:fldCharType="separate"/>
        </w:r>
        <w:r w:rsidR="0071671D">
          <w:rPr>
            <w:noProof/>
            <w:webHidden/>
          </w:rPr>
          <w:t>22</w:t>
        </w:r>
        <w:r w:rsidR="0071671D">
          <w:rPr>
            <w:noProof/>
            <w:webHidden/>
          </w:rPr>
          <w:fldChar w:fldCharType="end"/>
        </w:r>
      </w:hyperlink>
    </w:p>
    <w:p w14:paraId="018E579E" w14:textId="234C0C57"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00" w:history="1">
        <w:r w:rsidR="0071671D" w:rsidRPr="00F11362">
          <w:rPr>
            <w:rStyle w:val="Hyperlink"/>
            <w:noProof/>
          </w:rPr>
          <w:t>4.</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noProof/>
          </w:rPr>
          <w:t>Objectives: What is to be achieved?</w:t>
        </w:r>
        <w:r w:rsidR="0071671D">
          <w:rPr>
            <w:noProof/>
            <w:webHidden/>
          </w:rPr>
          <w:tab/>
        </w:r>
        <w:r w:rsidR="0071671D">
          <w:rPr>
            <w:noProof/>
            <w:webHidden/>
          </w:rPr>
          <w:fldChar w:fldCharType="begin"/>
        </w:r>
        <w:r w:rsidR="0071671D">
          <w:rPr>
            <w:noProof/>
            <w:webHidden/>
          </w:rPr>
          <w:instrText xml:space="preserve"> PAGEREF _Toc231816700 \h </w:instrText>
        </w:r>
        <w:r w:rsidR="0071671D">
          <w:rPr>
            <w:noProof/>
            <w:webHidden/>
          </w:rPr>
        </w:r>
        <w:r w:rsidR="0071671D">
          <w:rPr>
            <w:noProof/>
            <w:webHidden/>
          </w:rPr>
          <w:fldChar w:fldCharType="separate"/>
        </w:r>
        <w:r w:rsidR="0071671D">
          <w:rPr>
            <w:noProof/>
            <w:webHidden/>
          </w:rPr>
          <w:t>22</w:t>
        </w:r>
        <w:r w:rsidR="0071671D">
          <w:rPr>
            <w:noProof/>
            <w:webHidden/>
          </w:rPr>
          <w:fldChar w:fldCharType="end"/>
        </w:r>
      </w:hyperlink>
    </w:p>
    <w:p w14:paraId="4CC3F162" w14:textId="17451291"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01" w:history="1">
        <w:r w:rsidR="0071671D" w:rsidRPr="00F11362">
          <w:rPr>
            <w:rStyle w:val="Hyperlink"/>
            <w:noProof/>
          </w:rPr>
          <w:t>4.1 General objectives</w:t>
        </w:r>
        <w:r w:rsidR="0071671D">
          <w:rPr>
            <w:noProof/>
            <w:webHidden/>
          </w:rPr>
          <w:tab/>
        </w:r>
        <w:r w:rsidR="0071671D">
          <w:rPr>
            <w:noProof/>
            <w:webHidden/>
          </w:rPr>
          <w:fldChar w:fldCharType="begin"/>
        </w:r>
        <w:r w:rsidR="0071671D">
          <w:rPr>
            <w:noProof/>
            <w:webHidden/>
          </w:rPr>
          <w:instrText xml:space="preserve"> PAGEREF _Toc231816701 \h </w:instrText>
        </w:r>
        <w:r w:rsidR="0071671D">
          <w:rPr>
            <w:noProof/>
            <w:webHidden/>
          </w:rPr>
        </w:r>
        <w:r w:rsidR="0071671D">
          <w:rPr>
            <w:noProof/>
            <w:webHidden/>
          </w:rPr>
          <w:fldChar w:fldCharType="separate"/>
        </w:r>
        <w:r w:rsidR="0071671D">
          <w:rPr>
            <w:noProof/>
            <w:webHidden/>
          </w:rPr>
          <w:t>23</w:t>
        </w:r>
        <w:r w:rsidR="0071671D">
          <w:rPr>
            <w:noProof/>
            <w:webHidden/>
          </w:rPr>
          <w:fldChar w:fldCharType="end"/>
        </w:r>
      </w:hyperlink>
    </w:p>
    <w:p w14:paraId="14102428" w14:textId="47F1795C" w:rsidR="0071671D" w:rsidRDefault="0033480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1816702" w:history="1">
        <w:r w:rsidR="0071671D" w:rsidRPr="00F11362">
          <w:rPr>
            <w:rStyle w:val="Hyperlink"/>
            <w:noProof/>
          </w:rPr>
          <w:t>4.2</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Specific objectives</w:t>
        </w:r>
        <w:r w:rsidR="0071671D">
          <w:rPr>
            <w:noProof/>
            <w:webHidden/>
          </w:rPr>
          <w:tab/>
        </w:r>
        <w:r w:rsidR="0071671D">
          <w:rPr>
            <w:noProof/>
            <w:webHidden/>
          </w:rPr>
          <w:fldChar w:fldCharType="begin"/>
        </w:r>
        <w:r w:rsidR="0071671D">
          <w:rPr>
            <w:noProof/>
            <w:webHidden/>
          </w:rPr>
          <w:instrText xml:space="preserve"> PAGEREF _Toc231816702 \h </w:instrText>
        </w:r>
        <w:r w:rsidR="0071671D">
          <w:rPr>
            <w:noProof/>
            <w:webHidden/>
          </w:rPr>
        </w:r>
        <w:r w:rsidR="0071671D">
          <w:rPr>
            <w:noProof/>
            <w:webHidden/>
          </w:rPr>
          <w:fldChar w:fldCharType="separate"/>
        </w:r>
        <w:r w:rsidR="0071671D">
          <w:rPr>
            <w:noProof/>
            <w:webHidden/>
          </w:rPr>
          <w:t>23</w:t>
        </w:r>
        <w:r w:rsidR="0071671D">
          <w:rPr>
            <w:noProof/>
            <w:webHidden/>
          </w:rPr>
          <w:fldChar w:fldCharType="end"/>
        </w:r>
      </w:hyperlink>
    </w:p>
    <w:p w14:paraId="4A47D285" w14:textId="73FC9BD3"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03" w:history="1">
        <w:r w:rsidR="0071671D" w:rsidRPr="00F11362">
          <w:rPr>
            <w:rStyle w:val="Hyperlink"/>
            <w:noProof/>
          </w:rPr>
          <w:t>5. What are the available policy options?</w:t>
        </w:r>
        <w:r w:rsidR="0071671D">
          <w:rPr>
            <w:noProof/>
            <w:webHidden/>
          </w:rPr>
          <w:tab/>
        </w:r>
        <w:r w:rsidR="0071671D">
          <w:rPr>
            <w:noProof/>
            <w:webHidden/>
          </w:rPr>
          <w:fldChar w:fldCharType="begin"/>
        </w:r>
        <w:r w:rsidR="0071671D">
          <w:rPr>
            <w:noProof/>
            <w:webHidden/>
          </w:rPr>
          <w:instrText xml:space="preserve"> PAGEREF _Toc231816703 \h </w:instrText>
        </w:r>
        <w:r w:rsidR="0071671D">
          <w:rPr>
            <w:noProof/>
            <w:webHidden/>
          </w:rPr>
        </w:r>
        <w:r w:rsidR="0071671D">
          <w:rPr>
            <w:noProof/>
            <w:webHidden/>
          </w:rPr>
          <w:fldChar w:fldCharType="separate"/>
        </w:r>
        <w:r w:rsidR="0071671D">
          <w:rPr>
            <w:noProof/>
            <w:webHidden/>
          </w:rPr>
          <w:t>24</w:t>
        </w:r>
        <w:r w:rsidR="0071671D">
          <w:rPr>
            <w:noProof/>
            <w:webHidden/>
          </w:rPr>
          <w:fldChar w:fldCharType="end"/>
        </w:r>
      </w:hyperlink>
    </w:p>
    <w:p w14:paraId="406416CD" w14:textId="4E0922D3"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04" w:history="1">
        <w:r w:rsidR="0071671D" w:rsidRPr="00F11362">
          <w:rPr>
            <w:rStyle w:val="Hyperlink"/>
            <w:noProof/>
          </w:rPr>
          <w:t>5.1 What is the baseline from which options are assessed?</w:t>
        </w:r>
        <w:r w:rsidR="0071671D">
          <w:rPr>
            <w:noProof/>
            <w:webHidden/>
          </w:rPr>
          <w:tab/>
        </w:r>
        <w:r w:rsidR="0071671D">
          <w:rPr>
            <w:noProof/>
            <w:webHidden/>
          </w:rPr>
          <w:fldChar w:fldCharType="begin"/>
        </w:r>
        <w:r w:rsidR="0071671D">
          <w:rPr>
            <w:noProof/>
            <w:webHidden/>
          </w:rPr>
          <w:instrText xml:space="preserve"> PAGEREF _Toc231816704 \h </w:instrText>
        </w:r>
        <w:r w:rsidR="0071671D">
          <w:rPr>
            <w:noProof/>
            <w:webHidden/>
          </w:rPr>
        </w:r>
        <w:r w:rsidR="0071671D">
          <w:rPr>
            <w:noProof/>
            <w:webHidden/>
          </w:rPr>
          <w:fldChar w:fldCharType="separate"/>
        </w:r>
        <w:r w:rsidR="0071671D">
          <w:rPr>
            <w:noProof/>
            <w:webHidden/>
          </w:rPr>
          <w:t>24</w:t>
        </w:r>
        <w:r w:rsidR="0071671D">
          <w:rPr>
            <w:noProof/>
            <w:webHidden/>
          </w:rPr>
          <w:fldChar w:fldCharType="end"/>
        </w:r>
      </w:hyperlink>
    </w:p>
    <w:p w14:paraId="5ACB922F" w14:textId="780BFE89"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05" w:history="1">
        <w:r w:rsidR="0071671D" w:rsidRPr="00F11362">
          <w:rPr>
            <w:rStyle w:val="Hyperlink"/>
            <w:noProof/>
          </w:rPr>
          <w:t>5.2 Description of the policy options</w:t>
        </w:r>
        <w:r w:rsidR="0071671D">
          <w:rPr>
            <w:noProof/>
            <w:webHidden/>
          </w:rPr>
          <w:tab/>
        </w:r>
        <w:r w:rsidR="0071671D">
          <w:rPr>
            <w:noProof/>
            <w:webHidden/>
          </w:rPr>
          <w:fldChar w:fldCharType="begin"/>
        </w:r>
        <w:r w:rsidR="0071671D">
          <w:rPr>
            <w:noProof/>
            <w:webHidden/>
          </w:rPr>
          <w:instrText xml:space="preserve"> PAGEREF _Toc231816705 \h </w:instrText>
        </w:r>
        <w:r w:rsidR="0071671D">
          <w:rPr>
            <w:noProof/>
            <w:webHidden/>
          </w:rPr>
        </w:r>
        <w:r w:rsidR="0071671D">
          <w:rPr>
            <w:noProof/>
            <w:webHidden/>
          </w:rPr>
          <w:fldChar w:fldCharType="separate"/>
        </w:r>
        <w:r w:rsidR="0071671D">
          <w:rPr>
            <w:noProof/>
            <w:webHidden/>
          </w:rPr>
          <w:t>25</w:t>
        </w:r>
        <w:r w:rsidR="0071671D">
          <w:rPr>
            <w:noProof/>
            <w:webHidden/>
          </w:rPr>
          <w:fldChar w:fldCharType="end"/>
        </w:r>
      </w:hyperlink>
    </w:p>
    <w:p w14:paraId="4EB3FB80" w14:textId="0A69A887"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06" w:history="1">
        <w:r w:rsidR="0071671D" w:rsidRPr="00F11362">
          <w:rPr>
            <w:rStyle w:val="Hyperlink"/>
            <w:noProof/>
          </w:rPr>
          <w:t>5.3   Discarded Options</w:t>
        </w:r>
        <w:r w:rsidR="0071671D">
          <w:rPr>
            <w:noProof/>
            <w:webHidden/>
          </w:rPr>
          <w:tab/>
        </w:r>
        <w:r w:rsidR="0071671D">
          <w:rPr>
            <w:noProof/>
            <w:webHidden/>
          </w:rPr>
          <w:fldChar w:fldCharType="begin"/>
        </w:r>
        <w:r w:rsidR="0071671D">
          <w:rPr>
            <w:noProof/>
            <w:webHidden/>
          </w:rPr>
          <w:instrText xml:space="preserve"> PAGEREF _Toc231816706 \h </w:instrText>
        </w:r>
        <w:r w:rsidR="0071671D">
          <w:rPr>
            <w:noProof/>
            <w:webHidden/>
          </w:rPr>
        </w:r>
        <w:r w:rsidR="0071671D">
          <w:rPr>
            <w:noProof/>
            <w:webHidden/>
          </w:rPr>
          <w:fldChar w:fldCharType="separate"/>
        </w:r>
        <w:r w:rsidR="0071671D">
          <w:rPr>
            <w:noProof/>
            <w:webHidden/>
          </w:rPr>
          <w:t>29</w:t>
        </w:r>
        <w:r w:rsidR="0071671D">
          <w:rPr>
            <w:noProof/>
            <w:webHidden/>
          </w:rPr>
          <w:fldChar w:fldCharType="end"/>
        </w:r>
      </w:hyperlink>
    </w:p>
    <w:p w14:paraId="69C442F3" w14:textId="5DA7B229"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07" w:history="1">
        <w:r w:rsidR="0071671D" w:rsidRPr="00F11362">
          <w:rPr>
            <w:rStyle w:val="Hyperlink"/>
            <w:noProof/>
          </w:rPr>
          <w:t>6. What are the impacts of the policy options?</w:t>
        </w:r>
        <w:r w:rsidR="0071671D">
          <w:rPr>
            <w:noProof/>
            <w:webHidden/>
          </w:rPr>
          <w:tab/>
        </w:r>
        <w:r w:rsidR="0071671D">
          <w:rPr>
            <w:noProof/>
            <w:webHidden/>
          </w:rPr>
          <w:fldChar w:fldCharType="begin"/>
        </w:r>
        <w:r w:rsidR="0071671D">
          <w:rPr>
            <w:noProof/>
            <w:webHidden/>
          </w:rPr>
          <w:instrText xml:space="preserve"> PAGEREF _Toc231816707 \h </w:instrText>
        </w:r>
        <w:r w:rsidR="0071671D">
          <w:rPr>
            <w:noProof/>
            <w:webHidden/>
          </w:rPr>
        </w:r>
        <w:r w:rsidR="0071671D">
          <w:rPr>
            <w:noProof/>
            <w:webHidden/>
          </w:rPr>
          <w:fldChar w:fldCharType="separate"/>
        </w:r>
        <w:r w:rsidR="0071671D">
          <w:rPr>
            <w:noProof/>
            <w:webHidden/>
          </w:rPr>
          <w:t>29</w:t>
        </w:r>
        <w:r w:rsidR="0071671D">
          <w:rPr>
            <w:noProof/>
            <w:webHidden/>
          </w:rPr>
          <w:fldChar w:fldCharType="end"/>
        </w:r>
      </w:hyperlink>
    </w:p>
    <w:p w14:paraId="2949623C" w14:textId="6C221490"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08" w:history="1">
        <w:r w:rsidR="0071671D" w:rsidRPr="00F11362">
          <w:rPr>
            <w:rStyle w:val="Hyperlink"/>
            <w:noProof/>
          </w:rPr>
          <w:t>6.1 Impact on simplification while preserving the policy objectives of the DAC framework (compliance costs and risks assessment)</w:t>
        </w:r>
        <w:r w:rsidR="0071671D">
          <w:rPr>
            <w:noProof/>
            <w:webHidden/>
          </w:rPr>
          <w:tab/>
        </w:r>
        <w:r w:rsidR="0071671D">
          <w:rPr>
            <w:noProof/>
            <w:webHidden/>
          </w:rPr>
          <w:fldChar w:fldCharType="begin"/>
        </w:r>
        <w:r w:rsidR="0071671D">
          <w:rPr>
            <w:noProof/>
            <w:webHidden/>
          </w:rPr>
          <w:instrText xml:space="preserve"> PAGEREF _Toc231816708 \h </w:instrText>
        </w:r>
        <w:r w:rsidR="0071671D">
          <w:rPr>
            <w:noProof/>
            <w:webHidden/>
          </w:rPr>
        </w:r>
        <w:r w:rsidR="0071671D">
          <w:rPr>
            <w:noProof/>
            <w:webHidden/>
          </w:rPr>
          <w:fldChar w:fldCharType="separate"/>
        </w:r>
        <w:r w:rsidR="0071671D">
          <w:rPr>
            <w:noProof/>
            <w:webHidden/>
          </w:rPr>
          <w:t>30</w:t>
        </w:r>
        <w:r w:rsidR="0071671D">
          <w:rPr>
            <w:noProof/>
            <w:webHidden/>
          </w:rPr>
          <w:fldChar w:fldCharType="end"/>
        </w:r>
      </w:hyperlink>
    </w:p>
    <w:p w14:paraId="7F4A583B" w14:textId="13E914CF" w:rsidR="0071671D" w:rsidRDefault="0033480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1816709" w:history="1">
        <w:r w:rsidR="0071671D" w:rsidRPr="00F11362">
          <w:rPr>
            <w:rStyle w:val="Hyperlink"/>
            <w:bCs/>
            <w:noProof/>
          </w:rPr>
          <w:t>6.2</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Impact on competitiveness and SME’s</w:t>
        </w:r>
        <w:r w:rsidR="0071671D">
          <w:rPr>
            <w:noProof/>
            <w:webHidden/>
          </w:rPr>
          <w:tab/>
        </w:r>
        <w:r w:rsidR="0071671D">
          <w:rPr>
            <w:noProof/>
            <w:webHidden/>
          </w:rPr>
          <w:fldChar w:fldCharType="begin"/>
        </w:r>
        <w:r w:rsidR="0071671D">
          <w:rPr>
            <w:noProof/>
            <w:webHidden/>
          </w:rPr>
          <w:instrText xml:space="preserve"> PAGEREF _Toc231816709 \h </w:instrText>
        </w:r>
        <w:r w:rsidR="0071671D">
          <w:rPr>
            <w:noProof/>
            <w:webHidden/>
          </w:rPr>
        </w:r>
        <w:r w:rsidR="0071671D">
          <w:rPr>
            <w:noProof/>
            <w:webHidden/>
          </w:rPr>
          <w:fldChar w:fldCharType="separate"/>
        </w:r>
        <w:r w:rsidR="0071671D">
          <w:rPr>
            <w:noProof/>
            <w:webHidden/>
          </w:rPr>
          <w:t>46</w:t>
        </w:r>
        <w:r w:rsidR="0071671D">
          <w:rPr>
            <w:noProof/>
            <w:webHidden/>
          </w:rPr>
          <w:fldChar w:fldCharType="end"/>
        </w:r>
      </w:hyperlink>
    </w:p>
    <w:p w14:paraId="6227D7BA" w14:textId="17AD5B13" w:rsidR="0071671D" w:rsidRDefault="0033480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1816710" w:history="1">
        <w:r w:rsidR="0071671D" w:rsidRPr="00F11362">
          <w:rPr>
            <w:rStyle w:val="Hyperlink"/>
            <w:bCs/>
            <w:noProof/>
          </w:rPr>
          <w:t>6.3</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Other impacts</w:t>
        </w:r>
        <w:r w:rsidR="0071671D">
          <w:rPr>
            <w:noProof/>
            <w:webHidden/>
          </w:rPr>
          <w:tab/>
        </w:r>
        <w:r w:rsidR="0071671D">
          <w:rPr>
            <w:noProof/>
            <w:webHidden/>
          </w:rPr>
          <w:fldChar w:fldCharType="begin"/>
        </w:r>
        <w:r w:rsidR="0071671D">
          <w:rPr>
            <w:noProof/>
            <w:webHidden/>
          </w:rPr>
          <w:instrText xml:space="preserve"> PAGEREF _Toc231816710 \h </w:instrText>
        </w:r>
        <w:r w:rsidR="0071671D">
          <w:rPr>
            <w:noProof/>
            <w:webHidden/>
          </w:rPr>
        </w:r>
        <w:r w:rsidR="0071671D">
          <w:rPr>
            <w:noProof/>
            <w:webHidden/>
          </w:rPr>
          <w:fldChar w:fldCharType="separate"/>
        </w:r>
        <w:r w:rsidR="0071671D">
          <w:rPr>
            <w:noProof/>
            <w:webHidden/>
          </w:rPr>
          <w:t>47</w:t>
        </w:r>
        <w:r w:rsidR="0071671D">
          <w:rPr>
            <w:noProof/>
            <w:webHidden/>
          </w:rPr>
          <w:fldChar w:fldCharType="end"/>
        </w:r>
      </w:hyperlink>
    </w:p>
    <w:p w14:paraId="2D8BE3FF" w14:textId="3B18F8C4"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11" w:history="1">
        <w:r w:rsidR="0071671D" w:rsidRPr="00F11362">
          <w:rPr>
            <w:rStyle w:val="Hyperlink"/>
            <w:noProof/>
          </w:rPr>
          <w:t>7. How do the options compare?</w:t>
        </w:r>
        <w:r w:rsidR="0071671D">
          <w:rPr>
            <w:noProof/>
            <w:webHidden/>
          </w:rPr>
          <w:tab/>
        </w:r>
        <w:r w:rsidR="0071671D">
          <w:rPr>
            <w:noProof/>
            <w:webHidden/>
          </w:rPr>
          <w:fldChar w:fldCharType="begin"/>
        </w:r>
        <w:r w:rsidR="0071671D">
          <w:rPr>
            <w:noProof/>
            <w:webHidden/>
          </w:rPr>
          <w:instrText xml:space="preserve"> PAGEREF _Toc231816711 \h </w:instrText>
        </w:r>
        <w:r w:rsidR="0071671D">
          <w:rPr>
            <w:noProof/>
            <w:webHidden/>
          </w:rPr>
        </w:r>
        <w:r w:rsidR="0071671D">
          <w:rPr>
            <w:noProof/>
            <w:webHidden/>
          </w:rPr>
          <w:fldChar w:fldCharType="separate"/>
        </w:r>
        <w:r w:rsidR="0071671D">
          <w:rPr>
            <w:noProof/>
            <w:webHidden/>
          </w:rPr>
          <w:t>49</w:t>
        </w:r>
        <w:r w:rsidR="0071671D">
          <w:rPr>
            <w:noProof/>
            <w:webHidden/>
          </w:rPr>
          <w:fldChar w:fldCharType="end"/>
        </w:r>
      </w:hyperlink>
    </w:p>
    <w:p w14:paraId="6AB676EA" w14:textId="1C8AD94A"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12" w:history="1">
        <w:r w:rsidR="0071671D" w:rsidRPr="00F11362">
          <w:rPr>
            <w:rStyle w:val="Hyperlink"/>
            <w:noProof/>
          </w:rPr>
          <w:t>Measure 1 – Ensuring that DAC6 reporting obligations remain proportionate and effective while promoting a more harmonised application of the MBT</w:t>
        </w:r>
        <w:r w:rsidR="0071671D">
          <w:rPr>
            <w:noProof/>
            <w:webHidden/>
          </w:rPr>
          <w:tab/>
        </w:r>
        <w:r w:rsidR="0071671D">
          <w:rPr>
            <w:noProof/>
            <w:webHidden/>
          </w:rPr>
          <w:fldChar w:fldCharType="begin"/>
        </w:r>
        <w:r w:rsidR="0071671D">
          <w:rPr>
            <w:noProof/>
            <w:webHidden/>
          </w:rPr>
          <w:instrText xml:space="preserve"> PAGEREF _Toc231816712 \h </w:instrText>
        </w:r>
        <w:r w:rsidR="0071671D">
          <w:rPr>
            <w:noProof/>
            <w:webHidden/>
          </w:rPr>
        </w:r>
        <w:r w:rsidR="0071671D">
          <w:rPr>
            <w:noProof/>
            <w:webHidden/>
          </w:rPr>
          <w:fldChar w:fldCharType="separate"/>
        </w:r>
        <w:r w:rsidR="0071671D">
          <w:rPr>
            <w:noProof/>
            <w:webHidden/>
          </w:rPr>
          <w:t>50</w:t>
        </w:r>
        <w:r w:rsidR="0071671D">
          <w:rPr>
            <w:noProof/>
            <w:webHidden/>
          </w:rPr>
          <w:fldChar w:fldCharType="end"/>
        </w:r>
      </w:hyperlink>
    </w:p>
    <w:p w14:paraId="74FCE192" w14:textId="5007FAA8"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13" w:history="1">
        <w:r w:rsidR="0071671D" w:rsidRPr="00F11362">
          <w:rPr>
            <w:rStyle w:val="Hyperlink"/>
            <w:noProof/>
          </w:rPr>
          <w:t>Measure 2 – Amending the reporting threshold for activities involving the sale of goods under DAC7</w:t>
        </w:r>
        <w:r w:rsidR="0071671D">
          <w:rPr>
            <w:noProof/>
            <w:webHidden/>
          </w:rPr>
          <w:tab/>
        </w:r>
        <w:r w:rsidR="0071671D">
          <w:rPr>
            <w:noProof/>
            <w:webHidden/>
          </w:rPr>
          <w:fldChar w:fldCharType="begin"/>
        </w:r>
        <w:r w:rsidR="0071671D">
          <w:rPr>
            <w:noProof/>
            <w:webHidden/>
          </w:rPr>
          <w:instrText xml:space="preserve"> PAGEREF _Toc231816713 \h </w:instrText>
        </w:r>
        <w:r w:rsidR="0071671D">
          <w:rPr>
            <w:noProof/>
            <w:webHidden/>
          </w:rPr>
        </w:r>
        <w:r w:rsidR="0071671D">
          <w:rPr>
            <w:noProof/>
            <w:webHidden/>
          </w:rPr>
          <w:fldChar w:fldCharType="separate"/>
        </w:r>
        <w:r w:rsidR="0071671D">
          <w:rPr>
            <w:noProof/>
            <w:webHidden/>
          </w:rPr>
          <w:t>51</w:t>
        </w:r>
        <w:r w:rsidR="0071671D">
          <w:rPr>
            <w:noProof/>
            <w:webHidden/>
          </w:rPr>
          <w:fldChar w:fldCharType="end"/>
        </w:r>
      </w:hyperlink>
    </w:p>
    <w:p w14:paraId="246693D4" w14:textId="5FE80FF4"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14" w:history="1">
        <w:r w:rsidR="0071671D" w:rsidRPr="00F11362">
          <w:rPr>
            <w:rStyle w:val="Hyperlink"/>
            <w:noProof/>
          </w:rPr>
          <w:t>Measure 3 – Streamlining notification obligations for MNE group under DAC4 and DAC9</w:t>
        </w:r>
        <w:r w:rsidR="0071671D">
          <w:rPr>
            <w:noProof/>
            <w:webHidden/>
          </w:rPr>
          <w:tab/>
        </w:r>
        <w:r w:rsidR="0071671D">
          <w:rPr>
            <w:noProof/>
            <w:webHidden/>
          </w:rPr>
          <w:fldChar w:fldCharType="begin"/>
        </w:r>
        <w:r w:rsidR="0071671D">
          <w:rPr>
            <w:noProof/>
            <w:webHidden/>
          </w:rPr>
          <w:instrText xml:space="preserve"> PAGEREF _Toc231816714 \h </w:instrText>
        </w:r>
        <w:r w:rsidR="0071671D">
          <w:rPr>
            <w:noProof/>
            <w:webHidden/>
          </w:rPr>
        </w:r>
        <w:r w:rsidR="0071671D">
          <w:rPr>
            <w:noProof/>
            <w:webHidden/>
          </w:rPr>
          <w:fldChar w:fldCharType="separate"/>
        </w:r>
        <w:r w:rsidR="0071671D">
          <w:rPr>
            <w:noProof/>
            <w:webHidden/>
          </w:rPr>
          <w:t>53</w:t>
        </w:r>
        <w:r w:rsidR="0071671D">
          <w:rPr>
            <w:noProof/>
            <w:webHidden/>
          </w:rPr>
          <w:fldChar w:fldCharType="end"/>
        </w:r>
      </w:hyperlink>
    </w:p>
    <w:p w14:paraId="0E41F42D" w14:textId="25D8A98B"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15" w:history="1">
        <w:r w:rsidR="0071671D" w:rsidRPr="00F11362">
          <w:rPr>
            <w:rStyle w:val="Hyperlink"/>
            <w:noProof/>
          </w:rPr>
          <w:t>Measure 4 - Improving the verification of TINs</w:t>
        </w:r>
        <w:r w:rsidR="0071671D">
          <w:rPr>
            <w:noProof/>
            <w:webHidden/>
          </w:rPr>
          <w:tab/>
        </w:r>
        <w:r w:rsidR="0071671D">
          <w:rPr>
            <w:noProof/>
            <w:webHidden/>
          </w:rPr>
          <w:fldChar w:fldCharType="begin"/>
        </w:r>
        <w:r w:rsidR="0071671D">
          <w:rPr>
            <w:noProof/>
            <w:webHidden/>
          </w:rPr>
          <w:instrText xml:space="preserve"> PAGEREF _Toc231816715 \h </w:instrText>
        </w:r>
        <w:r w:rsidR="0071671D">
          <w:rPr>
            <w:noProof/>
            <w:webHidden/>
          </w:rPr>
        </w:r>
        <w:r w:rsidR="0071671D">
          <w:rPr>
            <w:noProof/>
            <w:webHidden/>
          </w:rPr>
          <w:fldChar w:fldCharType="separate"/>
        </w:r>
        <w:r w:rsidR="0071671D">
          <w:rPr>
            <w:noProof/>
            <w:webHidden/>
          </w:rPr>
          <w:t>55</w:t>
        </w:r>
        <w:r w:rsidR="0071671D">
          <w:rPr>
            <w:noProof/>
            <w:webHidden/>
          </w:rPr>
          <w:fldChar w:fldCharType="end"/>
        </w:r>
      </w:hyperlink>
    </w:p>
    <w:p w14:paraId="134112C1" w14:textId="3687B8E2" w:rsidR="0071671D" w:rsidRDefault="00334808">
      <w:pPr>
        <w:pStyle w:val="TOC2"/>
        <w:rPr>
          <w:rFonts w:asciiTheme="minorHAnsi" w:eastAsiaTheme="minorEastAsia" w:hAnsiTheme="minorHAnsi" w:cstheme="minorBidi"/>
          <w:noProof/>
          <w:kern w:val="2"/>
          <w:szCs w:val="24"/>
          <w:lang w:val="en-IE" w:eastAsia="en-IE"/>
          <w14:ligatures w14:val="standardContextual"/>
        </w:rPr>
      </w:pPr>
      <w:hyperlink w:anchor="_Toc231816716" w:history="1">
        <w:r w:rsidR="0071671D" w:rsidRPr="00F11362">
          <w:rPr>
            <w:rStyle w:val="Hyperlink"/>
            <w:noProof/>
          </w:rPr>
          <w:t>Measure 5 - Improving the completeness of information reported under DAC1</w:t>
        </w:r>
        <w:r w:rsidR="0071671D">
          <w:rPr>
            <w:noProof/>
            <w:webHidden/>
          </w:rPr>
          <w:tab/>
        </w:r>
        <w:r w:rsidR="0071671D">
          <w:rPr>
            <w:noProof/>
            <w:webHidden/>
          </w:rPr>
          <w:fldChar w:fldCharType="begin"/>
        </w:r>
        <w:r w:rsidR="0071671D">
          <w:rPr>
            <w:noProof/>
            <w:webHidden/>
          </w:rPr>
          <w:instrText xml:space="preserve"> PAGEREF _Toc231816716 \h </w:instrText>
        </w:r>
        <w:r w:rsidR="0071671D">
          <w:rPr>
            <w:noProof/>
            <w:webHidden/>
          </w:rPr>
        </w:r>
        <w:r w:rsidR="0071671D">
          <w:rPr>
            <w:noProof/>
            <w:webHidden/>
          </w:rPr>
          <w:fldChar w:fldCharType="separate"/>
        </w:r>
        <w:r w:rsidR="0071671D">
          <w:rPr>
            <w:noProof/>
            <w:webHidden/>
          </w:rPr>
          <w:t>56</w:t>
        </w:r>
        <w:r w:rsidR="0071671D">
          <w:rPr>
            <w:noProof/>
            <w:webHidden/>
          </w:rPr>
          <w:fldChar w:fldCharType="end"/>
        </w:r>
      </w:hyperlink>
    </w:p>
    <w:p w14:paraId="427936A0" w14:textId="36059EDC"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17" w:history="1">
        <w:r w:rsidR="0071671D" w:rsidRPr="00F11362">
          <w:rPr>
            <w:rStyle w:val="Hyperlink"/>
            <w:noProof/>
          </w:rPr>
          <w:t>8.</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noProof/>
          </w:rPr>
          <w:t>Preferred option</w:t>
        </w:r>
        <w:r w:rsidR="0071671D">
          <w:rPr>
            <w:noProof/>
            <w:webHidden/>
          </w:rPr>
          <w:tab/>
        </w:r>
        <w:r w:rsidR="0071671D">
          <w:rPr>
            <w:noProof/>
            <w:webHidden/>
          </w:rPr>
          <w:fldChar w:fldCharType="begin"/>
        </w:r>
        <w:r w:rsidR="0071671D">
          <w:rPr>
            <w:noProof/>
            <w:webHidden/>
          </w:rPr>
          <w:instrText xml:space="preserve"> PAGEREF _Toc231816717 \h </w:instrText>
        </w:r>
        <w:r w:rsidR="0071671D">
          <w:rPr>
            <w:noProof/>
            <w:webHidden/>
          </w:rPr>
        </w:r>
        <w:r w:rsidR="0071671D">
          <w:rPr>
            <w:noProof/>
            <w:webHidden/>
          </w:rPr>
          <w:fldChar w:fldCharType="separate"/>
        </w:r>
        <w:r w:rsidR="0071671D">
          <w:rPr>
            <w:noProof/>
            <w:webHidden/>
          </w:rPr>
          <w:t>59</w:t>
        </w:r>
        <w:r w:rsidR="0071671D">
          <w:rPr>
            <w:noProof/>
            <w:webHidden/>
          </w:rPr>
          <w:fldChar w:fldCharType="end"/>
        </w:r>
      </w:hyperlink>
    </w:p>
    <w:p w14:paraId="3F318106" w14:textId="3B037894" w:rsidR="0071671D" w:rsidRDefault="0033480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1816718" w:history="1">
        <w:r w:rsidR="0071671D" w:rsidRPr="00F11362">
          <w:rPr>
            <w:rStyle w:val="Hyperlink"/>
            <w:bCs/>
            <w:noProof/>
          </w:rPr>
          <w:t>8.1</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bCs/>
            <w:noProof/>
          </w:rPr>
          <w:t>Preferred policy options and option package</w:t>
        </w:r>
        <w:r w:rsidR="0071671D">
          <w:rPr>
            <w:noProof/>
            <w:webHidden/>
          </w:rPr>
          <w:tab/>
        </w:r>
        <w:r w:rsidR="0071671D">
          <w:rPr>
            <w:noProof/>
            <w:webHidden/>
          </w:rPr>
          <w:fldChar w:fldCharType="begin"/>
        </w:r>
        <w:r w:rsidR="0071671D">
          <w:rPr>
            <w:noProof/>
            <w:webHidden/>
          </w:rPr>
          <w:instrText xml:space="preserve"> PAGEREF _Toc231816718 \h </w:instrText>
        </w:r>
        <w:r w:rsidR="0071671D">
          <w:rPr>
            <w:noProof/>
            <w:webHidden/>
          </w:rPr>
        </w:r>
        <w:r w:rsidR="0071671D">
          <w:rPr>
            <w:noProof/>
            <w:webHidden/>
          </w:rPr>
          <w:fldChar w:fldCharType="separate"/>
        </w:r>
        <w:r w:rsidR="0071671D">
          <w:rPr>
            <w:noProof/>
            <w:webHidden/>
          </w:rPr>
          <w:t>59</w:t>
        </w:r>
        <w:r w:rsidR="0071671D">
          <w:rPr>
            <w:noProof/>
            <w:webHidden/>
          </w:rPr>
          <w:fldChar w:fldCharType="end"/>
        </w:r>
      </w:hyperlink>
    </w:p>
    <w:p w14:paraId="692FA868" w14:textId="18A2FEB0" w:rsidR="0071671D" w:rsidRDefault="0033480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1816719" w:history="1">
        <w:r w:rsidR="0071671D" w:rsidRPr="00F11362">
          <w:rPr>
            <w:rStyle w:val="Hyperlink"/>
            <w:noProof/>
          </w:rPr>
          <w:t>8.2</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Summary of the preferred policy package</w:t>
        </w:r>
        <w:r w:rsidR="0071671D">
          <w:rPr>
            <w:noProof/>
            <w:webHidden/>
          </w:rPr>
          <w:tab/>
        </w:r>
        <w:r w:rsidR="0071671D">
          <w:rPr>
            <w:noProof/>
            <w:webHidden/>
          </w:rPr>
          <w:fldChar w:fldCharType="begin"/>
        </w:r>
        <w:r w:rsidR="0071671D">
          <w:rPr>
            <w:noProof/>
            <w:webHidden/>
          </w:rPr>
          <w:instrText xml:space="preserve"> PAGEREF _Toc231816719 \h </w:instrText>
        </w:r>
        <w:r w:rsidR="0071671D">
          <w:rPr>
            <w:noProof/>
            <w:webHidden/>
          </w:rPr>
        </w:r>
        <w:r w:rsidR="0071671D">
          <w:rPr>
            <w:noProof/>
            <w:webHidden/>
          </w:rPr>
          <w:fldChar w:fldCharType="separate"/>
        </w:r>
        <w:r w:rsidR="0071671D">
          <w:rPr>
            <w:noProof/>
            <w:webHidden/>
          </w:rPr>
          <w:t>62</w:t>
        </w:r>
        <w:r w:rsidR="0071671D">
          <w:rPr>
            <w:noProof/>
            <w:webHidden/>
          </w:rPr>
          <w:fldChar w:fldCharType="end"/>
        </w:r>
      </w:hyperlink>
    </w:p>
    <w:p w14:paraId="645C86D4" w14:textId="773AEB2C" w:rsidR="0071671D" w:rsidRDefault="0033480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1816720" w:history="1">
        <w:r w:rsidR="0071671D" w:rsidRPr="00F11362">
          <w:rPr>
            <w:rStyle w:val="Hyperlink"/>
            <w:noProof/>
          </w:rPr>
          <w:t>8.3</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REFIT (simplification and improved efficiency)</w:t>
        </w:r>
        <w:r w:rsidR="0071671D">
          <w:rPr>
            <w:noProof/>
            <w:webHidden/>
          </w:rPr>
          <w:tab/>
        </w:r>
        <w:r w:rsidR="0071671D">
          <w:rPr>
            <w:noProof/>
            <w:webHidden/>
          </w:rPr>
          <w:fldChar w:fldCharType="begin"/>
        </w:r>
        <w:r w:rsidR="0071671D">
          <w:rPr>
            <w:noProof/>
            <w:webHidden/>
          </w:rPr>
          <w:instrText xml:space="preserve"> PAGEREF _Toc231816720 \h </w:instrText>
        </w:r>
        <w:r w:rsidR="0071671D">
          <w:rPr>
            <w:noProof/>
            <w:webHidden/>
          </w:rPr>
        </w:r>
        <w:r w:rsidR="0071671D">
          <w:rPr>
            <w:noProof/>
            <w:webHidden/>
          </w:rPr>
          <w:fldChar w:fldCharType="separate"/>
        </w:r>
        <w:r w:rsidR="0071671D">
          <w:rPr>
            <w:noProof/>
            <w:webHidden/>
          </w:rPr>
          <w:t>64</w:t>
        </w:r>
        <w:r w:rsidR="0071671D">
          <w:rPr>
            <w:noProof/>
            <w:webHidden/>
          </w:rPr>
          <w:fldChar w:fldCharType="end"/>
        </w:r>
      </w:hyperlink>
    </w:p>
    <w:p w14:paraId="4CAD662E" w14:textId="4BE579C9" w:rsidR="0071671D" w:rsidRDefault="0033480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1816721" w:history="1">
        <w:r w:rsidR="0071671D" w:rsidRPr="00F11362">
          <w:rPr>
            <w:rStyle w:val="Hyperlink"/>
            <w:noProof/>
          </w:rPr>
          <w:t>8.4</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Application of the ‘one in, one out’ approach</w:t>
        </w:r>
        <w:r w:rsidR="0071671D">
          <w:rPr>
            <w:noProof/>
            <w:webHidden/>
          </w:rPr>
          <w:tab/>
        </w:r>
        <w:r w:rsidR="0071671D">
          <w:rPr>
            <w:noProof/>
            <w:webHidden/>
          </w:rPr>
          <w:fldChar w:fldCharType="begin"/>
        </w:r>
        <w:r w:rsidR="0071671D">
          <w:rPr>
            <w:noProof/>
            <w:webHidden/>
          </w:rPr>
          <w:instrText xml:space="preserve"> PAGEREF _Toc231816721 \h </w:instrText>
        </w:r>
        <w:r w:rsidR="0071671D">
          <w:rPr>
            <w:noProof/>
            <w:webHidden/>
          </w:rPr>
        </w:r>
        <w:r w:rsidR="0071671D">
          <w:rPr>
            <w:noProof/>
            <w:webHidden/>
          </w:rPr>
          <w:fldChar w:fldCharType="separate"/>
        </w:r>
        <w:r w:rsidR="0071671D">
          <w:rPr>
            <w:noProof/>
            <w:webHidden/>
          </w:rPr>
          <w:t>64</w:t>
        </w:r>
        <w:r w:rsidR="0071671D">
          <w:rPr>
            <w:noProof/>
            <w:webHidden/>
          </w:rPr>
          <w:fldChar w:fldCharType="end"/>
        </w:r>
      </w:hyperlink>
    </w:p>
    <w:p w14:paraId="3335D385" w14:textId="2614A053"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22" w:history="1">
        <w:r w:rsidR="0071671D" w:rsidRPr="00F11362">
          <w:rPr>
            <w:rStyle w:val="Hyperlink"/>
            <w:noProof/>
          </w:rPr>
          <w:t>9.</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noProof/>
          </w:rPr>
          <w:t>How will actual impacts be monitored and evaluated?</w:t>
        </w:r>
        <w:r w:rsidR="0071671D">
          <w:rPr>
            <w:noProof/>
            <w:webHidden/>
          </w:rPr>
          <w:tab/>
        </w:r>
        <w:r w:rsidR="0071671D">
          <w:rPr>
            <w:noProof/>
            <w:webHidden/>
          </w:rPr>
          <w:fldChar w:fldCharType="begin"/>
        </w:r>
        <w:r w:rsidR="0071671D">
          <w:rPr>
            <w:noProof/>
            <w:webHidden/>
          </w:rPr>
          <w:instrText xml:space="preserve"> PAGEREF _Toc231816722 \h </w:instrText>
        </w:r>
        <w:r w:rsidR="0071671D">
          <w:rPr>
            <w:noProof/>
            <w:webHidden/>
          </w:rPr>
        </w:r>
        <w:r w:rsidR="0071671D">
          <w:rPr>
            <w:noProof/>
            <w:webHidden/>
          </w:rPr>
          <w:fldChar w:fldCharType="separate"/>
        </w:r>
        <w:r w:rsidR="0071671D">
          <w:rPr>
            <w:noProof/>
            <w:webHidden/>
          </w:rPr>
          <w:t>64</w:t>
        </w:r>
        <w:r w:rsidR="0071671D">
          <w:rPr>
            <w:noProof/>
            <w:webHidden/>
          </w:rPr>
          <w:fldChar w:fldCharType="end"/>
        </w:r>
      </w:hyperlink>
    </w:p>
    <w:p w14:paraId="330062DE" w14:textId="31C9C6A2" w:rsidR="0071671D" w:rsidRDefault="00334808">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1816723" w:history="1">
        <w:r w:rsidR="0071671D" w:rsidRPr="00F11362">
          <w:rPr>
            <w:rStyle w:val="Hyperlink"/>
            <w:noProof/>
          </w:rPr>
          <w:t>9.1.</w:t>
        </w:r>
        <w:r w:rsidR="0071671D">
          <w:rPr>
            <w:rFonts w:asciiTheme="minorHAnsi" w:eastAsiaTheme="minorEastAsia" w:hAnsiTheme="minorHAnsi" w:cstheme="minorBidi"/>
            <w:noProof/>
            <w:kern w:val="2"/>
            <w:szCs w:val="24"/>
            <w:lang w:val="en-IE" w:eastAsia="en-IE"/>
            <w14:ligatures w14:val="standardContextual"/>
          </w:rPr>
          <w:tab/>
        </w:r>
        <w:r w:rsidR="0071671D" w:rsidRPr="00F11362">
          <w:rPr>
            <w:rStyle w:val="Hyperlink"/>
            <w:noProof/>
          </w:rPr>
          <w:t>Monitoring arrangements</w:t>
        </w:r>
        <w:r w:rsidR="0071671D">
          <w:rPr>
            <w:noProof/>
            <w:webHidden/>
          </w:rPr>
          <w:tab/>
        </w:r>
        <w:r w:rsidR="0071671D">
          <w:rPr>
            <w:noProof/>
            <w:webHidden/>
          </w:rPr>
          <w:fldChar w:fldCharType="begin"/>
        </w:r>
        <w:r w:rsidR="0071671D">
          <w:rPr>
            <w:noProof/>
            <w:webHidden/>
          </w:rPr>
          <w:instrText xml:space="preserve"> PAGEREF _Toc231816723 \h </w:instrText>
        </w:r>
        <w:r w:rsidR="0071671D">
          <w:rPr>
            <w:noProof/>
            <w:webHidden/>
          </w:rPr>
        </w:r>
        <w:r w:rsidR="0071671D">
          <w:rPr>
            <w:noProof/>
            <w:webHidden/>
          </w:rPr>
          <w:fldChar w:fldCharType="separate"/>
        </w:r>
        <w:r w:rsidR="0071671D">
          <w:rPr>
            <w:noProof/>
            <w:webHidden/>
          </w:rPr>
          <w:t>65</w:t>
        </w:r>
        <w:r w:rsidR="0071671D">
          <w:rPr>
            <w:noProof/>
            <w:webHidden/>
          </w:rPr>
          <w:fldChar w:fldCharType="end"/>
        </w:r>
      </w:hyperlink>
    </w:p>
    <w:p w14:paraId="30DDB86A" w14:textId="3F020A45"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24" w:history="1">
        <w:r w:rsidR="0071671D" w:rsidRPr="00F11362">
          <w:rPr>
            <w:rStyle w:val="Hyperlink"/>
            <w:noProof/>
          </w:rPr>
          <w:t>Annex 1: Procedural information</w:t>
        </w:r>
        <w:r w:rsidR="0071671D">
          <w:rPr>
            <w:noProof/>
            <w:webHidden/>
          </w:rPr>
          <w:tab/>
        </w:r>
        <w:r w:rsidR="0071671D">
          <w:rPr>
            <w:noProof/>
            <w:webHidden/>
          </w:rPr>
          <w:fldChar w:fldCharType="begin"/>
        </w:r>
        <w:r w:rsidR="0071671D">
          <w:rPr>
            <w:noProof/>
            <w:webHidden/>
          </w:rPr>
          <w:instrText xml:space="preserve"> PAGEREF _Toc231816724 \h </w:instrText>
        </w:r>
        <w:r w:rsidR="0071671D">
          <w:rPr>
            <w:noProof/>
            <w:webHidden/>
          </w:rPr>
        </w:r>
        <w:r w:rsidR="0071671D">
          <w:rPr>
            <w:noProof/>
            <w:webHidden/>
          </w:rPr>
          <w:fldChar w:fldCharType="separate"/>
        </w:r>
        <w:r w:rsidR="0071671D">
          <w:rPr>
            <w:noProof/>
            <w:webHidden/>
          </w:rPr>
          <w:t>69</w:t>
        </w:r>
        <w:r w:rsidR="0071671D">
          <w:rPr>
            <w:noProof/>
            <w:webHidden/>
          </w:rPr>
          <w:fldChar w:fldCharType="end"/>
        </w:r>
      </w:hyperlink>
    </w:p>
    <w:p w14:paraId="44F88536" w14:textId="53B50015"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25" w:history="1">
        <w:r w:rsidR="0071671D" w:rsidRPr="00F11362">
          <w:rPr>
            <w:rStyle w:val="Hyperlink"/>
            <w:noProof/>
          </w:rPr>
          <w:t>1. Lead DG, D</w:t>
        </w:r>
        <w:r w:rsidR="0071671D" w:rsidRPr="00F11362">
          <w:rPr>
            <w:rStyle w:val="Hyperlink"/>
            <w:i/>
            <w:noProof/>
          </w:rPr>
          <w:t>e</w:t>
        </w:r>
        <w:r w:rsidR="0071671D" w:rsidRPr="00F11362">
          <w:rPr>
            <w:rStyle w:val="Hyperlink"/>
            <w:noProof/>
          </w:rPr>
          <w:t>cide Planning/CWP references</w:t>
        </w:r>
        <w:r w:rsidR="0071671D">
          <w:rPr>
            <w:noProof/>
            <w:webHidden/>
          </w:rPr>
          <w:tab/>
        </w:r>
        <w:r w:rsidR="0071671D">
          <w:rPr>
            <w:noProof/>
            <w:webHidden/>
          </w:rPr>
          <w:fldChar w:fldCharType="begin"/>
        </w:r>
        <w:r w:rsidR="0071671D">
          <w:rPr>
            <w:noProof/>
            <w:webHidden/>
          </w:rPr>
          <w:instrText xml:space="preserve"> PAGEREF _Toc231816725 \h </w:instrText>
        </w:r>
        <w:r w:rsidR="0071671D">
          <w:rPr>
            <w:noProof/>
            <w:webHidden/>
          </w:rPr>
        </w:r>
        <w:r w:rsidR="0071671D">
          <w:rPr>
            <w:noProof/>
            <w:webHidden/>
          </w:rPr>
          <w:fldChar w:fldCharType="separate"/>
        </w:r>
        <w:r w:rsidR="0071671D">
          <w:rPr>
            <w:noProof/>
            <w:webHidden/>
          </w:rPr>
          <w:t>69</w:t>
        </w:r>
        <w:r w:rsidR="0071671D">
          <w:rPr>
            <w:noProof/>
            <w:webHidden/>
          </w:rPr>
          <w:fldChar w:fldCharType="end"/>
        </w:r>
      </w:hyperlink>
    </w:p>
    <w:p w14:paraId="0D1B4622" w14:textId="2A7249EE"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26" w:history="1">
        <w:r w:rsidR="0071671D" w:rsidRPr="00F11362">
          <w:rPr>
            <w:rStyle w:val="Hyperlink"/>
            <w:noProof/>
          </w:rPr>
          <w:t>2. Organisation and timing</w:t>
        </w:r>
        <w:r w:rsidR="0071671D">
          <w:rPr>
            <w:noProof/>
            <w:webHidden/>
          </w:rPr>
          <w:tab/>
        </w:r>
        <w:r w:rsidR="0071671D">
          <w:rPr>
            <w:noProof/>
            <w:webHidden/>
          </w:rPr>
          <w:fldChar w:fldCharType="begin"/>
        </w:r>
        <w:r w:rsidR="0071671D">
          <w:rPr>
            <w:noProof/>
            <w:webHidden/>
          </w:rPr>
          <w:instrText xml:space="preserve"> PAGEREF _Toc231816726 \h </w:instrText>
        </w:r>
        <w:r w:rsidR="0071671D">
          <w:rPr>
            <w:noProof/>
            <w:webHidden/>
          </w:rPr>
        </w:r>
        <w:r w:rsidR="0071671D">
          <w:rPr>
            <w:noProof/>
            <w:webHidden/>
          </w:rPr>
          <w:fldChar w:fldCharType="separate"/>
        </w:r>
        <w:r w:rsidR="0071671D">
          <w:rPr>
            <w:noProof/>
            <w:webHidden/>
          </w:rPr>
          <w:t>69</w:t>
        </w:r>
        <w:r w:rsidR="0071671D">
          <w:rPr>
            <w:noProof/>
            <w:webHidden/>
          </w:rPr>
          <w:fldChar w:fldCharType="end"/>
        </w:r>
      </w:hyperlink>
    </w:p>
    <w:p w14:paraId="6A5E2DD6" w14:textId="585B52E1"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27" w:history="1">
        <w:r w:rsidR="0071671D" w:rsidRPr="00F11362">
          <w:rPr>
            <w:rStyle w:val="Hyperlink"/>
            <w:noProof/>
          </w:rPr>
          <w:t>3. Consultation of the RSB</w:t>
        </w:r>
        <w:r w:rsidR="0071671D">
          <w:rPr>
            <w:noProof/>
            <w:webHidden/>
          </w:rPr>
          <w:tab/>
        </w:r>
        <w:r w:rsidR="0071671D">
          <w:rPr>
            <w:noProof/>
            <w:webHidden/>
          </w:rPr>
          <w:fldChar w:fldCharType="begin"/>
        </w:r>
        <w:r w:rsidR="0071671D">
          <w:rPr>
            <w:noProof/>
            <w:webHidden/>
          </w:rPr>
          <w:instrText xml:space="preserve"> PAGEREF _Toc231816727 \h </w:instrText>
        </w:r>
        <w:r w:rsidR="0071671D">
          <w:rPr>
            <w:noProof/>
            <w:webHidden/>
          </w:rPr>
        </w:r>
        <w:r w:rsidR="0071671D">
          <w:rPr>
            <w:noProof/>
            <w:webHidden/>
          </w:rPr>
          <w:fldChar w:fldCharType="separate"/>
        </w:r>
        <w:r w:rsidR="0071671D">
          <w:rPr>
            <w:noProof/>
            <w:webHidden/>
          </w:rPr>
          <w:t>69</w:t>
        </w:r>
        <w:r w:rsidR="0071671D">
          <w:rPr>
            <w:noProof/>
            <w:webHidden/>
          </w:rPr>
          <w:fldChar w:fldCharType="end"/>
        </w:r>
      </w:hyperlink>
    </w:p>
    <w:p w14:paraId="3A116061" w14:textId="5E9A4562"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28" w:history="1">
        <w:r w:rsidR="0071671D" w:rsidRPr="00F11362">
          <w:rPr>
            <w:rStyle w:val="Hyperlink"/>
            <w:bCs/>
            <w:noProof/>
          </w:rPr>
          <w:t>4.</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bCs/>
            <w:noProof/>
          </w:rPr>
          <w:t>Evidence, sources and quality</w:t>
        </w:r>
        <w:r w:rsidR="0071671D">
          <w:rPr>
            <w:noProof/>
            <w:webHidden/>
          </w:rPr>
          <w:tab/>
        </w:r>
        <w:r w:rsidR="0071671D">
          <w:rPr>
            <w:noProof/>
            <w:webHidden/>
          </w:rPr>
          <w:fldChar w:fldCharType="begin"/>
        </w:r>
        <w:r w:rsidR="0071671D">
          <w:rPr>
            <w:noProof/>
            <w:webHidden/>
          </w:rPr>
          <w:instrText xml:space="preserve"> PAGEREF _Toc231816728 \h </w:instrText>
        </w:r>
        <w:r w:rsidR="0071671D">
          <w:rPr>
            <w:noProof/>
            <w:webHidden/>
          </w:rPr>
        </w:r>
        <w:r w:rsidR="0071671D">
          <w:rPr>
            <w:noProof/>
            <w:webHidden/>
          </w:rPr>
          <w:fldChar w:fldCharType="separate"/>
        </w:r>
        <w:r w:rsidR="0071671D">
          <w:rPr>
            <w:noProof/>
            <w:webHidden/>
          </w:rPr>
          <w:t>76</w:t>
        </w:r>
        <w:r w:rsidR="0071671D">
          <w:rPr>
            <w:noProof/>
            <w:webHidden/>
          </w:rPr>
          <w:fldChar w:fldCharType="end"/>
        </w:r>
      </w:hyperlink>
    </w:p>
    <w:p w14:paraId="47AB49D2" w14:textId="343793AF"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29" w:history="1">
        <w:r w:rsidR="0071671D" w:rsidRPr="00F11362">
          <w:rPr>
            <w:rStyle w:val="Hyperlink"/>
            <w:rFonts w:eastAsia="Calibri"/>
            <w:noProof/>
            <w:lang w:val="en-US"/>
          </w:rPr>
          <w:t>5.</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rFonts w:eastAsia="Calibri"/>
            <w:noProof/>
            <w:lang w:val="en-US"/>
          </w:rPr>
          <w:t>External expertise</w:t>
        </w:r>
        <w:r w:rsidR="0071671D">
          <w:rPr>
            <w:noProof/>
            <w:webHidden/>
          </w:rPr>
          <w:tab/>
        </w:r>
        <w:r w:rsidR="0071671D">
          <w:rPr>
            <w:noProof/>
            <w:webHidden/>
          </w:rPr>
          <w:fldChar w:fldCharType="begin"/>
        </w:r>
        <w:r w:rsidR="0071671D">
          <w:rPr>
            <w:noProof/>
            <w:webHidden/>
          </w:rPr>
          <w:instrText xml:space="preserve"> PAGEREF _Toc231816729 \h </w:instrText>
        </w:r>
        <w:r w:rsidR="0071671D">
          <w:rPr>
            <w:noProof/>
            <w:webHidden/>
          </w:rPr>
        </w:r>
        <w:r w:rsidR="0071671D">
          <w:rPr>
            <w:noProof/>
            <w:webHidden/>
          </w:rPr>
          <w:fldChar w:fldCharType="separate"/>
        </w:r>
        <w:r w:rsidR="0071671D">
          <w:rPr>
            <w:noProof/>
            <w:webHidden/>
          </w:rPr>
          <w:t>76</w:t>
        </w:r>
        <w:r w:rsidR="0071671D">
          <w:rPr>
            <w:noProof/>
            <w:webHidden/>
          </w:rPr>
          <w:fldChar w:fldCharType="end"/>
        </w:r>
      </w:hyperlink>
    </w:p>
    <w:p w14:paraId="113BDC4D" w14:textId="7A7AB878"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0" w:history="1">
        <w:r w:rsidR="0071671D" w:rsidRPr="00F11362">
          <w:rPr>
            <w:rStyle w:val="Hyperlink"/>
            <w:noProof/>
          </w:rPr>
          <w:t>Annex 2: Stakeholder consultation (Synopsis report)</w:t>
        </w:r>
        <w:r w:rsidR="0071671D">
          <w:rPr>
            <w:noProof/>
            <w:webHidden/>
          </w:rPr>
          <w:tab/>
        </w:r>
        <w:r w:rsidR="0071671D">
          <w:rPr>
            <w:noProof/>
            <w:webHidden/>
          </w:rPr>
          <w:fldChar w:fldCharType="begin"/>
        </w:r>
        <w:r w:rsidR="0071671D">
          <w:rPr>
            <w:noProof/>
            <w:webHidden/>
          </w:rPr>
          <w:instrText xml:space="preserve"> PAGEREF _Toc231816730 \h </w:instrText>
        </w:r>
        <w:r w:rsidR="0071671D">
          <w:rPr>
            <w:noProof/>
            <w:webHidden/>
          </w:rPr>
        </w:r>
        <w:r w:rsidR="0071671D">
          <w:rPr>
            <w:noProof/>
            <w:webHidden/>
          </w:rPr>
          <w:fldChar w:fldCharType="separate"/>
        </w:r>
        <w:r w:rsidR="0071671D">
          <w:rPr>
            <w:noProof/>
            <w:webHidden/>
          </w:rPr>
          <w:t>77</w:t>
        </w:r>
        <w:r w:rsidR="0071671D">
          <w:rPr>
            <w:noProof/>
            <w:webHidden/>
          </w:rPr>
          <w:fldChar w:fldCharType="end"/>
        </w:r>
      </w:hyperlink>
    </w:p>
    <w:p w14:paraId="407F35BD" w14:textId="1896A53E"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1" w:history="1">
        <w:r w:rsidR="0071671D" w:rsidRPr="00F11362">
          <w:rPr>
            <w:rStyle w:val="Hyperlink"/>
            <w:noProof/>
          </w:rPr>
          <w:t>1. Introduction</w:t>
        </w:r>
        <w:r w:rsidR="0071671D">
          <w:rPr>
            <w:noProof/>
            <w:webHidden/>
          </w:rPr>
          <w:tab/>
        </w:r>
        <w:r w:rsidR="0071671D">
          <w:rPr>
            <w:noProof/>
            <w:webHidden/>
          </w:rPr>
          <w:fldChar w:fldCharType="begin"/>
        </w:r>
        <w:r w:rsidR="0071671D">
          <w:rPr>
            <w:noProof/>
            <w:webHidden/>
          </w:rPr>
          <w:instrText xml:space="preserve"> PAGEREF _Toc231816731 \h </w:instrText>
        </w:r>
        <w:r w:rsidR="0071671D">
          <w:rPr>
            <w:noProof/>
            <w:webHidden/>
          </w:rPr>
        </w:r>
        <w:r w:rsidR="0071671D">
          <w:rPr>
            <w:noProof/>
            <w:webHidden/>
          </w:rPr>
          <w:fldChar w:fldCharType="separate"/>
        </w:r>
        <w:r w:rsidR="0071671D">
          <w:rPr>
            <w:noProof/>
            <w:webHidden/>
          </w:rPr>
          <w:t>77</w:t>
        </w:r>
        <w:r w:rsidR="0071671D">
          <w:rPr>
            <w:noProof/>
            <w:webHidden/>
          </w:rPr>
          <w:fldChar w:fldCharType="end"/>
        </w:r>
      </w:hyperlink>
    </w:p>
    <w:p w14:paraId="6B3D5D3D" w14:textId="57523F1C"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2" w:history="1">
        <w:r w:rsidR="0071671D" w:rsidRPr="00F11362">
          <w:rPr>
            <w:rStyle w:val="Hyperlink"/>
            <w:bCs/>
            <w:noProof/>
          </w:rPr>
          <w:t>2.</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bCs/>
            <w:noProof/>
          </w:rPr>
          <w:t>Results of consultation activities</w:t>
        </w:r>
        <w:r w:rsidR="0071671D">
          <w:rPr>
            <w:noProof/>
            <w:webHidden/>
          </w:rPr>
          <w:tab/>
        </w:r>
        <w:r w:rsidR="0071671D">
          <w:rPr>
            <w:noProof/>
            <w:webHidden/>
          </w:rPr>
          <w:fldChar w:fldCharType="begin"/>
        </w:r>
        <w:r w:rsidR="0071671D">
          <w:rPr>
            <w:noProof/>
            <w:webHidden/>
          </w:rPr>
          <w:instrText xml:space="preserve"> PAGEREF _Toc231816732 \h </w:instrText>
        </w:r>
        <w:r w:rsidR="0071671D">
          <w:rPr>
            <w:noProof/>
            <w:webHidden/>
          </w:rPr>
        </w:r>
        <w:r w:rsidR="0071671D">
          <w:rPr>
            <w:noProof/>
            <w:webHidden/>
          </w:rPr>
          <w:fldChar w:fldCharType="separate"/>
        </w:r>
        <w:r w:rsidR="0071671D">
          <w:rPr>
            <w:noProof/>
            <w:webHidden/>
          </w:rPr>
          <w:t>77</w:t>
        </w:r>
        <w:r w:rsidR="0071671D">
          <w:rPr>
            <w:noProof/>
            <w:webHidden/>
          </w:rPr>
          <w:fldChar w:fldCharType="end"/>
        </w:r>
      </w:hyperlink>
    </w:p>
    <w:p w14:paraId="2C2ED53D" w14:textId="433C5F52"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3" w:history="1">
        <w:r w:rsidR="0071671D" w:rsidRPr="00F11362">
          <w:rPr>
            <w:rStyle w:val="Hyperlink"/>
            <w:noProof/>
          </w:rPr>
          <w:t>Annex 3: Who is affected and how?</w:t>
        </w:r>
        <w:r w:rsidR="0071671D">
          <w:rPr>
            <w:noProof/>
            <w:webHidden/>
          </w:rPr>
          <w:tab/>
        </w:r>
        <w:r w:rsidR="0071671D">
          <w:rPr>
            <w:noProof/>
            <w:webHidden/>
          </w:rPr>
          <w:fldChar w:fldCharType="begin"/>
        </w:r>
        <w:r w:rsidR="0071671D">
          <w:rPr>
            <w:noProof/>
            <w:webHidden/>
          </w:rPr>
          <w:instrText xml:space="preserve"> PAGEREF _Toc231816733 \h </w:instrText>
        </w:r>
        <w:r w:rsidR="0071671D">
          <w:rPr>
            <w:noProof/>
            <w:webHidden/>
          </w:rPr>
        </w:r>
        <w:r w:rsidR="0071671D">
          <w:rPr>
            <w:noProof/>
            <w:webHidden/>
          </w:rPr>
          <w:fldChar w:fldCharType="separate"/>
        </w:r>
        <w:r w:rsidR="0071671D">
          <w:rPr>
            <w:noProof/>
            <w:webHidden/>
          </w:rPr>
          <w:t>84</w:t>
        </w:r>
        <w:r w:rsidR="0071671D">
          <w:rPr>
            <w:noProof/>
            <w:webHidden/>
          </w:rPr>
          <w:fldChar w:fldCharType="end"/>
        </w:r>
      </w:hyperlink>
    </w:p>
    <w:p w14:paraId="1BB7442D" w14:textId="6A3374FB"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4" w:history="1">
        <w:r w:rsidR="0071671D" w:rsidRPr="00F11362">
          <w:rPr>
            <w:rStyle w:val="Hyperlink"/>
            <w:noProof/>
          </w:rPr>
          <w:t>1.</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noProof/>
          </w:rPr>
          <w:t>Practical implications of the initiative</w:t>
        </w:r>
        <w:r w:rsidR="0071671D">
          <w:rPr>
            <w:noProof/>
            <w:webHidden/>
          </w:rPr>
          <w:tab/>
        </w:r>
        <w:r w:rsidR="0071671D">
          <w:rPr>
            <w:noProof/>
            <w:webHidden/>
          </w:rPr>
          <w:fldChar w:fldCharType="begin"/>
        </w:r>
        <w:r w:rsidR="0071671D">
          <w:rPr>
            <w:noProof/>
            <w:webHidden/>
          </w:rPr>
          <w:instrText xml:space="preserve"> PAGEREF _Toc231816734 \h </w:instrText>
        </w:r>
        <w:r w:rsidR="0071671D">
          <w:rPr>
            <w:noProof/>
            <w:webHidden/>
          </w:rPr>
        </w:r>
        <w:r w:rsidR="0071671D">
          <w:rPr>
            <w:noProof/>
            <w:webHidden/>
          </w:rPr>
          <w:fldChar w:fldCharType="separate"/>
        </w:r>
        <w:r w:rsidR="0071671D">
          <w:rPr>
            <w:noProof/>
            <w:webHidden/>
          </w:rPr>
          <w:t>84</w:t>
        </w:r>
        <w:r w:rsidR="0071671D">
          <w:rPr>
            <w:noProof/>
            <w:webHidden/>
          </w:rPr>
          <w:fldChar w:fldCharType="end"/>
        </w:r>
      </w:hyperlink>
    </w:p>
    <w:p w14:paraId="60BF42F8" w14:textId="66BAB3F8"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5" w:history="1">
        <w:r w:rsidR="0071671D" w:rsidRPr="00F11362">
          <w:rPr>
            <w:rStyle w:val="Hyperlink"/>
            <w:noProof/>
          </w:rPr>
          <w:t>2.</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noProof/>
          </w:rPr>
          <w:t>Summary of costs and benefits</w:t>
        </w:r>
        <w:r w:rsidR="0071671D">
          <w:rPr>
            <w:noProof/>
            <w:webHidden/>
          </w:rPr>
          <w:tab/>
        </w:r>
        <w:r w:rsidR="0071671D">
          <w:rPr>
            <w:noProof/>
            <w:webHidden/>
          </w:rPr>
          <w:fldChar w:fldCharType="begin"/>
        </w:r>
        <w:r w:rsidR="0071671D">
          <w:rPr>
            <w:noProof/>
            <w:webHidden/>
          </w:rPr>
          <w:instrText xml:space="preserve"> PAGEREF _Toc231816735 \h </w:instrText>
        </w:r>
        <w:r w:rsidR="0071671D">
          <w:rPr>
            <w:noProof/>
            <w:webHidden/>
          </w:rPr>
        </w:r>
        <w:r w:rsidR="0071671D">
          <w:rPr>
            <w:noProof/>
            <w:webHidden/>
          </w:rPr>
          <w:fldChar w:fldCharType="separate"/>
        </w:r>
        <w:r w:rsidR="0071671D">
          <w:rPr>
            <w:noProof/>
            <w:webHidden/>
          </w:rPr>
          <w:t>85</w:t>
        </w:r>
        <w:r w:rsidR="0071671D">
          <w:rPr>
            <w:noProof/>
            <w:webHidden/>
          </w:rPr>
          <w:fldChar w:fldCharType="end"/>
        </w:r>
      </w:hyperlink>
    </w:p>
    <w:p w14:paraId="24790F05" w14:textId="764BB051"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6" w:history="1">
        <w:r w:rsidR="0071671D" w:rsidRPr="00F11362">
          <w:rPr>
            <w:rStyle w:val="Hyperlink"/>
            <w:noProof/>
          </w:rPr>
          <w:t>3.</w:t>
        </w:r>
        <w:r w:rsidR="0071671D">
          <w:rPr>
            <w:rFonts w:asciiTheme="minorHAnsi" w:eastAsiaTheme="minorEastAsia" w:hAnsiTheme="minorHAnsi" w:cstheme="minorBidi"/>
            <w:caps w:val="0"/>
            <w:noProof/>
            <w:kern w:val="2"/>
            <w:sz w:val="24"/>
            <w:szCs w:val="24"/>
            <w:lang w:val="en-IE" w:eastAsia="en-IE"/>
            <w14:ligatures w14:val="standardContextual"/>
          </w:rPr>
          <w:tab/>
        </w:r>
        <w:r w:rsidR="0071671D" w:rsidRPr="00F11362">
          <w:rPr>
            <w:rStyle w:val="Hyperlink"/>
            <w:noProof/>
          </w:rPr>
          <w:t>Relevant sustainable development goals</w:t>
        </w:r>
        <w:r w:rsidR="0071671D">
          <w:rPr>
            <w:noProof/>
            <w:webHidden/>
          </w:rPr>
          <w:tab/>
        </w:r>
        <w:r w:rsidR="0071671D">
          <w:rPr>
            <w:noProof/>
            <w:webHidden/>
          </w:rPr>
          <w:fldChar w:fldCharType="begin"/>
        </w:r>
        <w:r w:rsidR="0071671D">
          <w:rPr>
            <w:noProof/>
            <w:webHidden/>
          </w:rPr>
          <w:instrText xml:space="preserve"> PAGEREF _Toc231816736 \h </w:instrText>
        </w:r>
        <w:r w:rsidR="0071671D">
          <w:rPr>
            <w:noProof/>
            <w:webHidden/>
          </w:rPr>
        </w:r>
        <w:r w:rsidR="0071671D">
          <w:rPr>
            <w:noProof/>
            <w:webHidden/>
          </w:rPr>
          <w:fldChar w:fldCharType="separate"/>
        </w:r>
        <w:r w:rsidR="0071671D">
          <w:rPr>
            <w:noProof/>
            <w:webHidden/>
          </w:rPr>
          <w:t>88</w:t>
        </w:r>
        <w:r w:rsidR="0071671D">
          <w:rPr>
            <w:noProof/>
            <w:webHidden/>
          </w:rPr>
          <w:fldChar w:fldCharType="end"/>
        </w:r>
      </w:hyperlink>
    </w:p>
    <w:p w14:paraId="5341EE02" w14:textId="422909FA"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7" w:history="1">
        <w:r w:rsidR="0071671D" w:rsidRPr="00F11362">
          <w:rPr>
            <w:rStyle w:val="Hyperlink"/>
            <w:noProof/>
          </w:rPr>
          <w:t>Annex 4: Analytical methods</w:t>
        </w:r>
        <w:r w:rsidR="0071671D">
          <w:rPr>
            <w:noProof/>
            <w:webHidden/>
          </w:rPr>
          <w:tab/>
        </w:r>
        <w:r w:rsidR="0071671D">
          <w:rPr>
            <w:noProof/>
            <w:webHidden/>
          </w:rPr>
          <w:fldChar w:fldCharType="begin"/>
        </w:r>
        <w:r w:rsidR="0071671D">
          <w:rPr>
            <w:noProof/>
            <w:webHidden/>
          </w:rPr>
          <w:instrText xml:space="preserve"> PAGEREF _Toc231816737 \h </w:instrText>
        </w:r>
        <w:r w:rsidR="0071671D">
          <w:rPr>
            <w:noProof/>
            <w:webHidden/>
          </w:rPr>
        </w:r>
        <w:r w:rsidR="0071671D">
          <w:rPr>
            <w:noProof/>
            <w:webHidden/>
          </w:rPr>
          <w:fldChar w:fldCharType="separate"/>
        </w:r>
        <w:r w:rsidR="0071671D">
          <w:rPr>
            <w:noProof/>
            <w:webHidden/>
          </w:rPr>
          <w:t>89</w:t>
        </w:r>
        <w:r w:rsidR="0071671D">
          <w:rPr>
            <w:noProof/>
            <w:webHidden/>
          </w:rPr>
          <w:fldChar w:fldCharType="end"/>
        </w:r>
      </w:hyperlink>
    </w:p>
    <w:p w14:paraId="2354AF99" w14:textId="6641C78F"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8" w:history="1">
        <w:r w:rsidR="0071671D" w:rsidRPr="00F11362">
          <w:rPr>
            <w:rStyle w:val="Hyperlink"/>
            <w:noProof/>
          </w:rPr>
          <w:t>Annex 5: Competitiveness check</w:t>
        </w:r>
        <w:r w:rsidR="0071671D">
          <w:rPr>
            <w:noProof/>
            <w:webHidden/>
          </w:rPr>
          <w:tab/>
        </w:r>
        <w:r w:rsidR="0071671D">
          <w:rPr>
            <w:noProof/>
            <w:webHidden/>
          </w:rPr>
          <w:fldChar w:fldCharType="begin"/>
        </w:r>
        <w:r w:rsidR="0071671D">
          <w:rPr>
            <w:noProof/>
            <w:webHidden/>
          </w:rPr>
          <w:instrText xml:space="preserve"> PAGEREF _Toc231816738 \h </w:instrText>
        </w:r>
        <w:r w:rsidR="0071671D">
          <w:rPr>
            <w:noProof/>
            <w:webHidden/>
          </w:rPr>
        </w:r>
        <w:r w:rsidR="0071671D">
          <w:rPr>
            <w:noProof/>
            <w:webHidden/>
          </w:rPr>
          <w:fldChar w:fldCharType="separate"/>
        </w:r>
        <w:r w:rsidR="0071671D">
          <w:rPr>
            <w:noProof/>
            <w:webHidden/>
          </w:rPr>
          <w:t>101</w:t>
        </w:r>
        <w:r w:rsidR="0071671D">
          <w:rPr>
            <w:noProof/>
            <w:webHidden/>
          </w:rPr>
          <w:fldChar w:fldCharType="end"/>
        </w:r>
      </w:hyperlink>
    </w:p>
    <w:p w14:paraId="02E15781" w14:textId="64620B62"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39" w:history="1">
        <w:r w:rsidR="0071671D" w:rsidRPr="00F11362">
          <w:rPr>
            <w:rStyle w:val="Hyperlink"/>
            <w:noProof/>
          </w:rPr>
          <w:t>Annex 6: SME check</w:t>
        </w:r>
        <w:r w:rsidR="0071671D">
          <w:rPr>
            <w:noProof/>
            <w:webHidden/>
          </w:rPr>
          <w:tab/>
        </w:r>
        <w:r w:rsidR="0071671D">
          <w:rPr>
            <w:noProof/>
            <w:webHidden/>
          </w:rPr>
          <w:fldChar w:fldCharType="begin"/>
        </w:r>
        <w:r w:rsidR="0071671D">
          <w:rPr>
            <w:noProof/>
            <w:webHidden/>
          </w:rPr>
          <w:instrText xml:space="preserve"> PAGEREF _Toc231816739 \h </w:instrText>
        </w:r>
        <w:r w:rsidR="0071671D">
          <w:rPr>
            <w:noProof/>
            <w:webHidden/>
          </w:rPr>
        </w:r>
        <w:r w:rsidR="0071671D">
          <w:rPr>
            <w:noProof/>
            <w:webHidden/>
          </w:rPr>
          <w:fldChar w:fldCharType="separate"/>
        </w:r>
        <w:r w:rsidR="0071671D">
          <w:rPr>
            <w:noProof/>
            <w:webHidden/>
          </w:rPr>
          <w:t>103</w:t>
        </w:r>
        <w:r w:rsidR="0071671D">
          <w:rPr>
            <w:noProof/>
            <w:webHidden/>
          </w:rPr>
          <w:fldChar w:fldCharType="end"/>
        </w:r>
      </w:hyperlink>
    </w:p>
    <w:p w14:paraId="19E697F4" w14:textId="74E6EDB1"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40" w:history="1">
        <w:r w:rsidR="0071671D" w:rsidRPr="00F11362">
          <w:rPr>
            <w:rStyle w:val="Hyperlink"/>
            <w:bCs/>
            <w:noProof/>
          </w:rPr>
          <w:t xml:space="preserve">Annex 7: </w:t>
        </w:r>
        <w:r w:rsidR="0071671D" w:rsidRPr="00F11362">
          <w:rPr>
            <w:rStyle w:val="Hyperlink"/>
            <w:noProof/>
          </w:rPr>
          <w:t>Overview of selected reporting and exchange mechanisms in the Directive on Administrative Cooperation (DAC)</w:t>
        </w:r>
        <w:r w:rsidR="0071671D">
          <w:rPr>
            <w:noProof/>
            <w:webHidden/>
          </w:rPr>
          <w:tab/>
        </w:r>
        <w:r w:rsidR="0071671D">
          <w:rPr>
            <w:noProof/>
            <w:webHidden/>
          </w:rPr>
          <w:fldChar w:fldCharType="begin"/>
        </w:r>
        <w:r w:rsidR="0071671D">
          <w:rPr>
            <w:noProof/>
            <w:webHidden/>
          </w:rPr>
          <w:instrText xml:space="preserve"> PAGEREF _Toc231816740 \h </w:instrText>
        </w:r>
        <w:r w:rsidR="0071671D">
          <w:rPr>
            <w:noProof/>
            <w:webHidden/>
          </w:rPr>
        </w:r>
        <w:r w:rsidR="0071671D">
          <w:rPr>
            <w:noProof/>
            <w:webHidden/>
          </w:rPr>
          <w:fldChar w:fldCharType="separate"/>
        </w:r>
        <w:r w:rsidR="0071671D">
          <w:rPr>
            <w:noProof/>
            <w:webHidden/>
          </w:rPr>
          <w:t>106</w:t>
        </w:r>
        <w:r w:rsidR="0071671D">
          <w:rPr>
            <w:noProof/>
            <w:webHidden/>
          </w:rPr>
          <w:fldChar w:fldCharType="end"/>
        </w:r>
      </w:hyperlink>
    </w:p>
    <w:p w14:paraId="3E6025F0" w14:textId="6CFFA855"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41" w:history="1">
        <w:r w:rsidR="0071671D" w:rsidRPr="00F11362">
          <w:rPr>
            <w:rStyle w:val="Hyperlink"/>
            <w:noProof/>
          </w:rPr>
          <w:t>ANNEX 8: PRACTICAL EXAMPLES OF NATIONAL TAXATION RULES FOR THE SALE OF GOODS (DAC7)</w:t>
        </w:r>
        <w:r w:rsidR="0071671D">
          <w:rPr>
            <w:noProof/>
            <w:webHidden/>
          </w:rPr>
          <w:tab/>
        </w:r>
        <w:r w:rsidR="0071671D">
          <w:rPr>
            <w:noProof/>
            <w:webHidden/>
          </w:rPr>
          <w:fldChar w:fldCharType="begin"/>
        </w:r>
        <w:r w:rsidR="0071671D">
          <w:rPr>
            <w:noProof/>
            <w:webHidden/>
          </w:rPr>
          <w:instrText xml:space="preserve"> PAGEREF _Toc231816741 \h </w:instrText>
        </w:r>
        <w:r w:rsidR="0071671D">
          <w:rPr>
            <w:noProof/>
            <w:webHidden/>
          </w:rPr>
        </w:r>
        <w:r w:rsidR="0071671D">
          <w:rPr>
            <w:noProof/>
            <w:webHidden/>
          </w:rPr>
          <w:fldChar w:fldCharType="separate"/>
        </w:r>
        <w:r w:rsidR="0071671D">
          <w:rPr>
            <w:noProof/>
            <w:webHidden/>
          </w:rPr>
          <w:t>116</w:t>
        </w:r>
        <w:r w:rsidR="0071671D">
          <w:rPr>
            <w:noProof/>
            <w:webHidden/>
          </w:rPr>
          <w:fldChar w:fldCharType="end"/>
        </w:r>
      </w:hyperlink>
    </w:p>
    <w:p w14:paraId="099C3ECF" w14:textId="7023B4FE" w:rsidR="0071671D" w:rsidRDefault="0033480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1816742" w:history="1">
        <w:r w:rsidR="0071671D" w:rsidRPr="00F11362">
          <w:rPr>
            <w:rStyle w:val="Hyperlink"/>
            <w:noProof/>
          </w:rPr>
          <w:t>ANNEX 9: RATIONALE FOR DIVERGING AUTOMATIC MATCHING RATES</w:t>
        </w:r>
        <w:r w:rsidR="0071671D">
          <w:rPr>
            <w:noProof/>
            <w:webHidden/>
          </w:rPr>
          <w:tab/>
        </w:r>
        <w:r w:rsidR="0071671D">
          <w:rPr>
            <w:noProof/>
            <w:webHidden/>
          </w:rPr>
          <w:fldChar w:fldCharType="begin"/>
        </w:r>
        <w:r w:rsidR="0071671D">
          <w:rPr>
            <w:noProof/>
            <w:webHidden/>
          </w:rPr>
          <w:instrText xml:space="preserve"> PAGEREF _Toc231816742 \h </w:instrText>
        </w:r>
        <w:r w:rsidR="0071671D">
          <w:rPr>
            <w:noProof/>
            <w:webHidden/>
          </w:rPr>
        </w:r>
        <w:r w:rsidR="0071671D">
          <w:rPr>
            <w:noProof/>
            <w:webHidden/>
          </w:rPr>
          <w:fldChar w:fldCharType="separate"/>
        </w:r>
        <w:r w:rsidR="0071671D">
          <w:rPr>
            <w:noProof/>
            <w:webHidden/>
          </w:rPr>
          <w:t>117</w:t>
        </w:r>
        <w:r w:rsidR="0071671D">
          <w:rPr>
            <w:noProof/>
            <w:webHidden/>
          </w:rPr>
          <w:fldChar w:fldCharType="end"/>
        </w:r>
      </w:hyperlink>
    </w:p>
    <w:p w14:paraId="1AB99A8F" w14:textId="4A223DC7" w:rsidR="001B0161" w:rsidRPr="00F92EAE" w:rsidRDefault="009C5C20" w:rsidP="000E3086">
      <w:pPr>
        <w:rPr>
          <w:noProof/>
        </w:rPr>
      </w:pPr>
      <w:r w:rsidRPr="00224474">
        <w:rPr>
          <w:noProof/>
          <w:sz w:val="22"/>
          <w:szCs w:val="22"/>
        </w:rPr>
        <w:fldChar w:fldCharType="end"/>
      </w:r>
      <w:r w:rsidR="001B0161" w:rsidRPr="00F92EAE">
        <w:rPr>
          <w:noProof/>
        </w:rPr>
        <w:br w:type="page"/>
      </w:r>
    </w:p>
    <w:p w14:paraId="5D6B1167" w14:textId="77777777" w:rsidR="006B087E" w:rsidRPr="00F92EAE" w:rsidRDefault="006B087E" w:rsidP="000E3086">
      <w:pPr>
        <w:rPr>
          <w:noProof/>
        </w:rPr>
      </w:pPr>
    </w:p>
    <w:p w14:paraId="6F8771C2" w14:textId="77777777" w:rsidR="006B087E" w:rsidRDefault="6FEFE65E" w:rsidP="4321A1A3">
      <w:pPr>
        <w:spacing w:after="0"/>
        <w:rPr>
          <w:b/>
          <w:bCs/>
          <w:noProof/>
        </w:rPr>
      </w:pPr>
      <w:r w:rsidRPr="4321A1A3">
        <w:rPr>
          <w:b/>
          <w:bCs/>
          <w:noProof/>
        </w:rPr>
        <w:t>Glossary</w:t>
      </w:r>
    </w:p>
    <w:p w14:paraId="0CFBB9C1" w14:textId="77777777" w:rsidR="00CD1816" w:rsidRPr="007172DF" w:rsidRDefault="00CD1816" w:rsidP="4321A1A3">
      <w:pPr>
        <w:spacing w:after="0"/>
        <w:rPr>
          <w:b/>
          <w:bCs/>
          <w:noProof/>
        </w:rPr>
      </w:pPr>
    </w:p>
    <w:tbl>
      <w:tblPr>
        <w:tblStyle w:val="TableGrid"/>
        <w:tblW w:w="0" w:type="auto"/>
        <w:tblLook w:val="04A0" w:firstRow="1" w:lastRow="0" w:firstColumn="1" w:lastColumn="0" w:noHBand="0" w:noVBand="1"/>
      </w:tblPr>
      <w:tblGrid>
        <w:gridCol w:w="3153"/>
        <w:gridCol w:w="5455"/>
      </w:tblGrid>
      <w:tr w:rsidR="00D41F15" w:rsidRPr="002901DC" w14:paraId="5562FF0F" w14:textId="77777777" w:rsidTr="4321A1A3">
        <w:tc>
          <w:tcPr>
            <w:tcW w:w="3153" w:type="dxa"/>
            <w:tcBorders>
              <w:bottom w:val="double" w:sz="4" w:space="0" w:color="auto"/>
            </w:tcBorders>
            <w:shd w:val="clear" w:color="auto" w:fill="F2F2F2" w:themeFill="background1" w:themeFillShade="F2"/>
          </w:tcPr>
          <w:p w14:paraId="40319219" w14:textId="77777777" w:rsidR="00D41F15" w:rsidRPr="0016765F" w:rsidRDefault="39786C78" w:rsidP="4321A1A3">
            <w:pPr>
              <w:spacing w:before="120" w:after="0"/>
              <w:jc w:val="center"/>
              <w:rPr>
                <w:b/>
                <w:bCs/>
                <w:i/>
                <w:iCs/>
                <w:noProof/>
              </w:rPr>
            </w:pPr>
            <w:r w:rsidRPr="0016765F">
              <w:rPr>
                <w:b/>
                <w:bCs/>
                <w:i/>
                <w:iCs/>
                <w:noProof/>
              </w:rPr>
              <w:t>Acronym</w:t>
            </w:r>
          </w:p>
        </w:tc>
        <w:tc>
          <w:tcPr>
            <w:tcW w:w="5455" w:type="dxa"/>
            <w:tcBorders>
              <w:bottom w:val="double" w:sz="4" w:space="0" w:color="auto"/>
            </w:tcBorders>
            <w:shd w:val="clear" w:color="auto" w:fill="F2F2F2" w:themeFill="background1" w:themeFillShade="F2"/>
          </w:tcPr>
          <w:p w14:paraId="48BEA8EA" w14:textId="77777777" w:rsidR="00D41F15" w:rsidRPr="0016765F" w:rsidRDefault="39786C78" w:rsidP="4321A1A3">
            <w:pPr>
              <w:spacing w:before="120" w:after="0"/>
              <w:jc w:val="center"/>
              <w:rPr>
                <w:b/>
                <w:bCs/>
                <w:i/>
                <w:iCs/>
                <w:noProof/>
              </w:rPr>
            </w:pPr>
            <w:r w:rsidRPr="0016765F">
              <w:rPr>
                <w:b/>
                <w:bCs/>
                <w:i/>
                <w:iCs/>
                <w:noProof/>
              </w:rPr>
              <w:t>Meaning or definition</w:t>
            </w:r>
          </w:p>
        </w:tc>
      </w:tr>
      <w:tr w:rsidR="00540919" w:rsidRPr="002901DC" w14:paraId="53B19826" w14:textId="77777777" w:rsidTr="4321A1A3">
        <w:tc>
          <w:tcPr>
            <w:tcW w:w="3153" w:type="dxa"/>
            <w:tcBorders>
              <w:top w:val="double" w:sz="4" w:space="0" w:color="auto"/>
              <w:bottom w:val="double" w:sz="4" w:space="0" w:color="auto"/>
            </w:tcBorders>
            <w:tcMar>
              <w:top w:w="113" w:type="dxa"/>
              <w:bottom w:w="113" w:type="dxa"/>
            </w:tcMar>
          </w:tcPr>
          <w:p w14:paraId="248836F3" w14:textId="3B9DE1C1" w:rsidR="00540919" w:rsidRPr="0016765F" w:rsidRDefault="073CBEDD" w:rsidP="4321A1A3">
            <w:pPr>
              <w:spacing w:after="0"/>
              <w:rPr>
                <w:noProof/>
                <w:lang w:val="en-IE"/>
              </w:rPr>
            </w:pPr>
            <w:r w:rsidRPr="0016765F">
              <w:rPr>
                <w:noProof/>
                <w:lang w:val="en-IE"/>
              </w:rPr>
              <w:t>AEOI</w:t>
            </w:r>
          </w:p>
        </w:tc>
        <w:tc>
          <w:tcPr>
            <w:tcW w:w="5455" w:type="dxa"/>
            <w:tcBorders>
              <w:top w:val="double" w:sz="4" w:space="0" w:color="auto"/>
              <w:bottom w:val="double" w:sz="4" w:space="0" w:color="auto"/>
            </w:tcBorders>
            <w:tcMar>
              <w:top w:w="113" w:type="dxa"/>
              <w:bottom w:w="113" w:type="dxa"/>
            </w:tcMar>
          </w:tcPr>
          <w:p w14:paraId="18B0DA40" w14:textId="53E2D312" w:rsidR="00540919" w:rsidRPr="0016765F" w:rsidRDefault="073CBEDD" w:rsidP="4321A1A3">
            <w:pPr>
              <w:spacing w:after="0"/>
              <w:rPr>
                <w:noProof/>
                <w:lang w:val="en-IE"/>
              </w:rPr>
            </w:pPr>
            <w:r w:rsidRPr="0016765F">
              <w:rPr>
                <w:noProof/>
                <w:lang w:val="en-IE"/>
              </w:rPr>
              <w:t>Automatic Exchange of Information</w:t>
            </w:r>
          </w:p>
        </w:tc>
      </w:tr>
      <w:tr w:rsidR="00476F74" w:rsidRPr="00BF381A" w14:paraId="29684179" w14:textId="77777777" w:rsidTr="4321A1A3">
        <w:tc>
          <w:tcPr>
            <w:tcW w:w="3153" w:type="dxa"/>
            <w:tcBorders>
              <w:top w:val="double" w:sz="4" w:space="0" w:color="auto"/>
              <w:bottom w:val="double" w:sz="4" w:space="0" w:color="auto"/>
            </w:tcBorders>
            <w:tcMar>
              <w:top w:w="113" w:type="dxa"/>
              <w:bottom w:w="113" w:type="dxa"/>
            </w:tcMar>
          </w:tcPr>
          <w:p w14:paraId="17D6DF74" w14:textId="2377811C" w:rsidR="00476F74" w:rsidRPr="0016765F" w:rsidRDefault="546F4273" w:rsidP="4321A1A3">
            <w:pPr>
              <w:spacing w:after="0"/>
              <w:rPr>
                <w:noProof/>
                <w:lang w:val="en-IE"/>
              </w:rPr>
            </w:pPr>
            <w:r w:rsidRPr="0016765F">
              <w:rPr>
                <w:noProof/>
                <w:lang w:val="en-IE"/>
              </w:rPr>
              <w:t>ATAD</w:t>
            </w:r>
          </w:p>
        </w:tc>
        <w:tc>
          <w:tcPr>
            <w:tcW w:w="5455" w:type="dxa"/>
            <w:tcBorders>
              <w:top w:val="double" w:sz="4" w:space="0" w:color="auto"/>
              <w:bottom w:val="double" w:sz="4" w:space="0" w:color="auto"/>
            </w:tcBorders>
            <w:tcMar>
              <w:top w:w="113" w:type="dxa"/>
              <w:bottom w:w="113" w:type="dxa"/>
            </w:tcMar>
          </w:tcPr>
          <w:p w14:paraId="29472522" w14:textId="34A1F043" w:rsidR="00476F74" w:rsidRPr="0016765F" w:rsidRDefault="546F4273" w:rsidP="4321A1A3">
            <w:pPr>
              <w:spacing w:after="0"/>
              <w:rPr>
                <w:noProof/>
                <w:lang w:val="en-IE"/>
              </w:rPr>
            </w:pPr>
            <w:r w:rsidRPr="0016765F">
              <w:rPr>
                <w:noProof/>
              </w:rPr>
              <w:t>Anti-Tax Avoidance Directive</w:t>
            </w:r>
          </w:p>
        </w:tc>
      </w:tr>
      <w:tr w:rsidR="00CD1816" w:rsidRPr="00BF381A" w14:paraId="4EFA8B53" w14:textId="77777777" w:rsidTr="4321A1A3">
        <w:tc>
          <w:tcPr>
            <w:tcW w:w="3153" w:type="dxa"/>
            <w:tcBorders>
              <w:top w:val="double" w:sz="4" w:space="0" w:color="auto"/>
              <w:bottom w:val="double" w:sz="4" w:space="0" w:color="auto"/>
            </w:tcBorders>
            <w:tcMar>
              <w:top w:w="113" w:type="dxa"/>
              <w:bottom w:w="113" w:type="dxa"/>
            </w:tcMar>
          </w:tcPr>
          <w:p w14:paraId="6AE59B96" w14:textId="77777777" w:rsidR="00CD1816" w:rsidRPr="0016765F" w:rsidRDefault="00CD1816" w:rsidP="00CD1816">
            <w:pPr>
              <w:spacing w:after="0"/>
              <w:rPr>
                <w:noProof/>
              </w:rPr>
            </w:pPr>
            <w:r w:rsidRPr="0016765F">
              <w:rPr>
                <w:noProof/>
                <w:lang w:val="en-IE"/>
              </w:rPr>
              <w:t>AUTOMATIC</w:t>
            </w:r>
          </w:p>
          <w:p w14:paraId="67C37E33" w14:textId="058EC8CD" w:rsidR="00CD1816" w:rsidRPr="0016765F" w:rsidRDefault="00CD1816" w:rsidP="00CD1816">
            <w:pPr>
              <w:spacing w:after="0"/>
              <w:rPr>
                <w:noProof/>
                <w:lang w:val="en-IE"/>
              </w:rPr>
            </w:pPr>
            <w:r w:rsidRPr="0016765F">
              <w:rPr>
                <w:noProof/>
                <w:lang w:val="en-IE"/>
              </w:rPr>
              <w:t>MATCHING</w:t>
            </w:r>
          </w:p>
        </w:tc>
        <w:tc>
          <w:tcPr>
            <w:tcW w:w="5455" w:type="dxa"/>
            <w:tcBorders>
              <w:top w:val="double" w:sz="4" w:space="0" w:color="auto"/>
              <w:bottom w:val="double" w:sz="4" w:space="0" w:color="auto"/>
            </w:tcBorders>
            <w:tcMar>
              <w:top w:w="113" w:type="dxa"/>
              <w:bottom w:w="113" w:type="dxa"/>
            </w:tcMar>
          </w:tcPr>
          <w:p w14:paraId="51CD6077" w14:textId="5DD7D4B0" w:rsidR="00CD1816" w:rsidRPr="0016765F" w:rsidRDefault="00CD1816" w:rsidP="4321A1A3">
            <w:pPr>
              <w:spacing w:after="0"/>
              <w:rPr>
                <w:noProof/>
              </w:rPr>
            </w:pPr>
            <w:r w:rsidRPr="0016765F">
              <w:rPr>
                <w:noProof/>
              </w:rPr>
              <w:t>Automatic matching is the automated process of linking information reported under DAC to the relevant taxpayer in the national tax database using identifying information (e.g. TIN).</w:t>
            </w:r>
          </w:p>
        </w:tc>
      </w:tr>
      <w:tr w:rsidR="00D41F15" w:rsidRPr="00BF381A" w14:paraId="5CC068B0" w14:textId="77777777" w:rsidTr="4321A1A3">
        <w:tc>
          <w:tcPr>
            <w:tcW w:w="3153" w:type="dxa"/>
            <w:tcBorders>
              <w:top w:val="double" w:sz="4" w:space="0" w:color="auto"/>
              <w:bottom w:val="double" w:sz="4" w:space="0" w:color="auto"/>
            </w:tcBorders>
            <w:tcMar>
              <w:top w:w="113" w:type="dxa"/>
              <w:bottom w:w="113" w:type="dxa"/>
            </w:tcMar>
          </w:tcPr>
          <w:p w14:paraId="7DDB0200" w14:textId="77777777" w:rsidR="00D41F15" w:rsidRPr="0016765F" w:rsidRDefault="39786C78" w:rsidP="4321A1A3">
            <w:pPr>
              <w:spacing w:after="0"/>
              <w:rPr>
                <w:noProof/>
              </w:rPr>
            </w:pPr>
            <w:r w:rsidRPr="0016765F">
              <w:rPr>
                <w:noProof/>
                <w:lang w:val="en-IE"/>
              </w:rPr>
              <w:t>BEPS</w:t>
            </w:r>
          </w:p>
        </w:tc>
        <w:tc>
          <w:tcPr>
            <w:tcW w:w="5455" w:type="dxa"/>
            <w:tcBorders>
              <w:top w:val="double" w:sz="4" w:space="0" w:color="auto"/>
              <w:bottom w:val="double" w:sz="4" w:space="0" w:color="auto"/>
            </w:tcBorders>
            <w:tcMar>
              <w:top w:w="113" w:type="dxa"/>
              <w:bottom w:w="113" w:type="dxa"/>
            </w:tcMar>
          </w:tcPr>
          <w:p w14:paraId="55E8BDA6" w14:textId="77777777" w:rsidR="00D41F15" w:rsidRPr="0016765F" w:rsidRDefault="39786C78" w:rsidP="4321A1A3">
            <w:pPr>
              <w:spacing w:after="0"/>
              <w:rPr>
                <w:noProof/>
              </w:rPr>
            </w:pPr>
            <w:r w:rsidRPr="0016765F">
              <w:rPr>
                <w:noProof/>
                <w:lang w:val="en-IE"/>
              </w:rPr>
              <w:t>Base Erosion and Profits Shifting</w:t>
            </w:r>
          </w:p>
        </w:tc>
      </w:tr>
      <w:tr w:rsidR="00D41F15" w:rsidRPr="002901DC" w14:paraId="5AF24254" w14:textId="77777777" w:rsidTr="4321A1A3">
        <w:tc>
          <w:tcPr>
            <w:tcW w:w="3153" w:type="dxa"/>
            <w:tcBorders>
              <w:top w:val="double" w:sz="4" w:space="0" w:color="auto"/>
              <w:bottom w:val="double" w:sz="4" w:space="0" w:color="auto"/>
            </w:tcBorders>
            <w:tcMar>
              <w:top w:w="113" w:type="dxa"/>
              <w:bottom w:w="113" w:type="dxa"/>
            </w:tcMar>
          </w:tcPr>
          <w:p w14:paraId="5C7D0A8B" w14:textId="77777777" w:rsidR="00D41F15" w:rsidRPr="0016765F" w:rsidRDefault="39786C78" w:rsidP="4321A1A3">
            <w:pPr>
              <w:spacing w:after="0"/>
              <w:rPr>
                <w:noProof/>
              </w:rPr>
            </w:pPr>
            <w:r w:rsidRPr="0016765F">
              <w:rPr>
                <w:noProof/>
                <w:lang w:val="en-IE"/>
              </w:rPr>
              <w:t>BO</w:t>
            </w:r>
          </w:p>
        </w:tc>
        <w:tc>
          <w:tcPr>
            <w:tcW w:w="5455" w:type="dxa"/>
            <w:tcBorders>
              <w:top w:val="double" w:sz="4" w:space="0" w:color="auto"/>
              <w:bottom w:val="double" w:sz="4" w:space="0" w:color="auto"/>
            </w:tcBorders>
            <w:tcMar>
              <w:top w:w="113" w:type="dxa"/>
              <w:bottom w:w="113" w:type="dxa"/>
            </w:tcMar>
          </w:tcPr>
          <w:p w14:paraId="440A51D5" w14:textId="77777777" w:rsidR="00D41F15" w:rsidRPr="0016765F" w:rsidRDefault="39786C78" w:rsidP="4321A1A3">
            <w:pPr>
              <w:spacing w:after="0"/>
              <w:rPr>
                <w:noProof/>
              </w:rPr>
            </w:pPr>
            <w:r w:rsidRPr="0016765F">
              <w:rPr>
                <w:noProof/>
                <w:lang w:val="en-IE"/>
              </w:rPr>
              <w:t>Beneficial ownership</w:t>
            </w:r>
          </w:p>
        </w:tc>
      </w:tr>
      <w:tr w:rsidR="005454C9" w:rsidRPr="002901DC" w14:paraId="4BB8C60D" w14:textId="77777777" w:rsidTr="4321A1A3">
        <w:tc>
          <w:tcPr>
            <w:tcW w:w="3153" w:type="dxa"/>
            <w:tcBorders>
              <w:top w:val="double" w:sz="4" w:space="0" w:color="auto"/>
              <w:bottom w:val="double" w:sz="4" w:space="0" w:color="auto"/>
            </w:tcBorders>
            <w:tcMar>
              <w:top w:w="113" w:type="dxa"/>
              <w:bottom w:w="113" w:type="dxa"/>
            </w:tcMar>
          </w:tcPr>
          <w:p w14:paraId="258986DE" w14:textId="64889CDF" w:rsidR="005454C9" w:rsidRPr="0016765F" w:rsidRDefault="03275B1A" w:rsidP="4321A1A3">
            <w:pPr>
              <w:spacing w:after="0"/>
              <w:rPr>
                <w:noProof/>
                <w:lang w:val="en-IE"/>
              </w:rPr>
            </w:pPr>
            <w:r w:rsidRPr="0016765F">
              <w:rPr>
                <w:noProof/>
                <w:lang w:val="en-IE"/>
              </w:rPr>
              <w:t>BRIS</w:t>
            </w:r>
          </w:p>
        </w:tc>
        <w:tc>
          <w:tcPr>
            <w:tcW w:w="5455" w:type="dxa"/>
            <w:tcBorders>
              <w:top w:val="double" w:sz="4" w:space="0" w:color="auto"/>
              <w:bottom w:val="double" w:sz="4" w:space="0" w:color="auto"/>
            </w:tcBorders>
            <w:tcMar>
              <w:top w:w="113" w:type="dxa"/>
              <w:bottom w:w="113" w:type="dxa"/>
            </w:tcMar>
          </w:tcPr>
          <w:p w14:paraId="2807BBB5" w14:textId="7BF136DD" w:rsidR="005454C9" w:rsidRPr="0016765F" w:rsidRDefault="3B3C6AA0" w:rsidP="4321A1A3">
            <w:pPr>
              <w:spacing w:after="0"/>
              <w:rPr>
                <w:noProof/>
                <w:lang w:val="en-IE"/>
              </w:rPr>
            </w:pPr>
            <w:r w:rsidRPr="0016765F">
              <w:rPr>
                <w:noProof/>
                <w:lang w:val="en-IE"/>
              </w:rPr>
              <w:t>Business Registers Interconnection System</w:t>
            </w:r>
          </w:p>
        </w:tc>
      </w:tr>
      <w:tr w:rsidR="00CD6F98" w:rsidRPr="00BF381A" w14:paraId="292659C7" w14:textId="77777777" w:rsidTr="4321A1A3">
        <w:tc>
          <w:tcPr>
            <w:tcW w:w="3153" w:type="dxa"/>
            <w:tcBorders>
              <w:top w:val="double" w:sz="4" w:space="0" w:color="auto"/>
            </w:tcBorders>
            <w:tcMar>
              <w:top w:w="113" w:type="dxa"/>
              <w:bottom w:w="113" w:type="dxa"/>
            </w:tcMar>
          </w:tcPr>
          <w:p w14:paraId="43E82ABE" w14:textId="26804ED0" w:rsidR="00CD6F98" w:rsidRPr="0016765F" w:rsidRDefault="365E00BA" w:rsidP="4321A1A3">
            <w:pPr>
              <w:spacing w:after="0"/>
              <w:rPr>
                <w:noProof/>
                <w:lang w:val="en-IE"/>
              </w:rPr>
            </w:pPr>
            <w:r w:rsidRPr="0016765F">
              <w:rPr>
                <w:noProof/>
                <w:lang w:val="en-IE"/>
              </w:rPr>
              <w:t>CbCR</w:t>
            </w:r>
          </w:p>
        </w:tc>
        <w:tc>
          <w:tcPr>
            <w:tcW w:w="5455" w:type="dxa"/>
            <w:tcBorders>
              <w:top w:val="double" w:sz="4" w:space="0" w:color="auto"/>
            </w:tcBorders>
            <w:tcMar>
              <w:top w:w="113" w:type="dxa"/>
              <w:bottom w:w="113" w:type="dxa"/>
            </w:tcMar>
          </w:tcPr>
          <w:p w14:paraId="3CBC917E" w14:textId="4C46AFFF" w:rsidR="00CD6F98" w:rsidRPr="0016765F" w:rsidRDefault="365E00BA" w:rsidP="4321A1A3">
            <w:pPr>
              <w:spacing w:after="0"/>
              <w:rPr>
                <w:noProof/>
                <w:lang w:val="en-IE"/>
              </w:rPr>
            </w:pPr>
            <w:r w:rsidRPr="0016765F">
              <w:rPr>
                <w:noProof/>
                <w:lang w:val="en-IE"/>
              </w:rPr>
              <w:t>Country-by-Country Reporting</w:t>
            </w:r>
          </w:p>
        </w:tc>
      </w:tr>
      <w:tr w:rsidR="00BE1362" w:rsidRPr="00BF381A" w14:paraId="227B63F3" w14:textId="77777777" w:rsidTr="4321A1A3">
        <w:trPr>
          <w:trHeight w:val="300"/>
        </w:trPr>
        <w:tc>
          <w:tcPr>
            <w:tcW w:w="3153" w:type="dxa"/>
            <w:tcBorders>
              <w:top w:val="double" w:sz="4" w:space="0" w:color="auto"/>
            </w:tcBorders>
            <w:tcMar>
              <w:top w:w="113" w:type="dxa"/>
              <w:bottom w:w="113" w:type="dxa"/>
            </w:tcMar>
          </w:tcPr>
          <w:p w14:paraId="4E73946D" w14:textId="7EA6293A" w:rsidR="00BE1362" w:rsidRPr="0016765F" w:rsidRDefault="583EE277" w:rsidP="4321A1A3">
            <w:pPr>
              <w:spacing w:after="0"/>
              <w:rPr>
                <w:noProof/>
                <w:lang w:val="en-IE"/>
              </w:rPr>
            </w:pPr>
            <w:r w:rsidRPr="0016765F">
              <w:rPr>
                <w:noProof/>
                <w:lang w:val="en-IE"/>
              </w:rPr>
              <w:t>CfE</w:t>
            </w:r>
          </w:p>
        </w:tc>
        <w:tc>
          <w:tcPr>
            <w:tcW w:w="5455" w:type="dxa"/>
            <w:tcBorders>
              <w:top w:val="double" w:sz="4" w:space="0" w:color="auto"/>
            </w:tcBorders>
            <w:tcMar>
              <w:top w:w="113" w:type="dxa"/>
              <w:bottom w:w="113" w:type="dxa"/>
            </w:tcMar>
          </w:tcPr>
          <w:p w14:paraId="4311F1F0" w14:textId="60B0C7D0" w:rsidR="00BE1362" w:rsidRPr="0016765F" w:rsidRDefault="583EE277" w:rsidP="4321A1A3">
            <w:pPr>
              <w:spacing w:after="0"/>
              <w:rPr>
                <w:noProof/>
                <w:lang w:val="en-IE"/>
              </w:rPr>
            </w:pPr>
            <w:r w:rsidRPr="0016765F">
              <w:rPr>
                <w:noProof/>
                <w:lang w:val="en-IE"/>
              </w:rPr>
              <w:t>Call for Evidence</w:t>
            </w:r>
          </w:p>
        </w:tc>
      </w:tr>
      <w:tr w:rsidR="009E202D" w:rsidRPr="002901DC" w14:paraId="140EFCC0" w14:textId="77777777" w:rsidTr="4321A1A3">
        <w:trPr>
          <w:trHeight w:val="608"/>
        </w:trPr>
        <w:tc>
          <w:tcPr>
            <w:tcW w:w="3153" w:type="dxa"/>
            <w:tcBorders>
              <w:top w:val="double" w:sz="4" w:space="0" w:color="auto"/>
            </w:tcBorders>
            <w:tcMar>
              <w:top w:w="113" w:type="dxa"/>
              <w:bottom w:w="113" w:type="dxa"/>
            </w:tcMar>
          </w:tcPr>
          <w:p w14:paraId="504904AA" w14:textId="449183D7" w:rsidR="009E202D" w:rsidRPr="0016765F" w:rsidRDefault="354DC7CE" w:rsidP="4321A1A3">
            <w:pPr>
              <w:spacing w:after="0"/>
              <w:rPr>
                <w:noProof/>
                <w:lang w:val="en-IE"/>
              </w:rPr>
            </w:pPr>
            <w:r w:rsidRPr="0016765F">
              <w:rPr>
                <w:noProof/>
                <w:lang w:val="en-IE"/>
              </w:rPr>
              <w:t>DAC</w:t>
            </w:r>
          </w:p>
        </w:tc>
        <w:tc>
          <w:tcPr>
            <w:tcW w:w="5455" w:type="dxa"/>
            <w:tcBorders>
              <w:top w:val="double" w:sz="4" w:space="0" w:color="auto"/>
            </w:tcBorders>
            <w:tcMar>
              <w:top w:w="113" w:type="dxa"/>
              <w:bottom w:w="113" w:type="dxa"/>
            </w:tcMar>
          </w:tcPr>
          <w:p w14:paraId="1C44BCE2" w14:textId="1F688210" w:rsidR="009E202D" w:rsidRPr="0016765F" w:rsidRDefault="354DC7CE" w:rsidP="4321A1A3">
            <w:pPr>
              <w:spacing w:after="0"/>
              <w:rPr>
                <w:noProof/>
                <w:lang w:val="en-IE"/>
              </w:rPr>
            </w:pPr>
            <w:r w:rsidRPr="0016765F">
              <w:rPr>
                <w:noProof/>
                <w:lang w:val="en-IE"/>
              </w:rPr>
              <w:t xml:space="preserve">Directive on </w:t>
            </w:r>
            <w:r w:rsidR="3E965155" w:rsidRPr="0016765F">
              <w:rPr>
                <w:noProof/>
                <w:lang w:val="en-IE"/>
              </w:rPr>
              <w:t>A</w:t>
            </w:r>
            <w:r w:rsidRPr="0016765F">
              <w:rPr>
                <w:noProof/>
                <w:lang w:val="en-IE"/>
              </w:rPr>
              <w:t xml:space="preserve">dministrative </w:t>
            </w:r>
            <w:r w:rsidR="3E965155" w:rsidRPr="0016765F">
              <w:rPr>
                <w:noProof/>
                <w:lang w:val="en-IE"/>
              </w:rPr>
              <w:t>C</w:t>
            </w:r>
            <w:r w:rsidRPr="0016765F">
              <w:rPr>
                <w:noProof/>
                <w:lang w:val="en-IE"/>
              </w:rPr>
              <w:t>ooperation in the field of direct taxation</w:t>
            </w:r>
          </w:p>
        </w:tc>
      </w:tr>
      <w:tr w:rsidR="006B0569" w:rsidRPr="002901DC" w14:paraId="7BF617D0" w14:textId="77777777" w:rsidTr="00CD1816">
        <w:trPr>
          <w:trHeight w:val="346"/>
        </w:trPr>
        <w:tc>
          <w:tcPr>
            <w:tcW w:w="3153" w:type="dxa"/>
            <w:tcBorders>
              <w:top w:val="double" w:sz="4" w:space="0" w:color="auto"/>
            </w:tcBorders>
            <w:tcMar>
              <w:top w:w="113" w:type="dxa"/>
              <w:bottom w:w="113" w:type="dxa"/>
            </w:tcMar>
          </w:tcPr>
          <w:p w14:paraId="3ADC9460" w14:textId="33359143" w:rsidR="006B0569" w:rsidRPr="0016765F" w:rsidRDefault="097B88EF" w:rsidP="4321A1A3">
            <w:pPr>
              <w:spacing w:after="0"/>
              <w:rPr>
                <w:noProof/>
                <w:lang w:val="en-IE"/>
              </w:rPr>
            </w:pPr>
            <w:r w:rsidRPr="0016765F">
              <w:rPr>
                <w:noProof/>
                <w:lang w:val="en-IE"/>
              </w:rPr>
              <w:t>DF</w:t>
            </w:r>
          </w:p>
        </w:tc>
        <w:tc>
          <w:tcPr>
            <w:tcW w:w="5455" w:type="dxa"/>
            <w:tcBorders>
              <w:top w:val="double" w:sz="4" w:space="0" w:color="auto"/>
            </w:tcBorders>
            <w:tcMar>
              <w:top w:w="113" w:type="dxa"/>
              <w:bottom w:w="113" w:type="dxa"/>
            </w:tcMar>
          </w:tcPr>
          <w:p w14:paraId="3B350463" w14:textId="7B45D145" w:rsidR="006B0569" w:rsidRPr="0016765F" w:rsidRDefault="102E1197" w:rsidP="4321A1A3">
            <w:pPr>
              <w:spacing w:after="0"/>
              <w:rPr>
                <w:noProof/>
                <w:lang w:val="en-IE"/>
              </w:rPr>
            </w:pPr>
            <w:r w:rsidRPr="0016765F">
              <w:rPr>
                <w:noProof/>
                <w:lang w:val="en-IE"/>
              </w:rPr>
              <w:t>Directors’ Fees</w:t>
            </w:r>
          </w:p>
        </w:tc>
      </w:tr>
      <w:tr w:rsidR="00D41F15" w:rsidRPr="002901DC" w14:paraId="161A8EDC" w14:textId="77777777" w:rsidTr="4321A1A3">
        <w:tc>
          <w:tcPr>
            <w:tcW w:w="3153" w:type="dxa"/>
            <w:tcBorders>
              <w:top w:val="double" w:sz="4" w:space="0" w:color="auto"/>
            </w:tcBorders>
            <w:tcMar>
              <w:top w:w="113" w:type="dxa"/>
              <w:bottom w:w="113" w:type="dxa"/>
            </w:tcMar>
          </w:tcPr>
          <w:p w14:paraId="434B3604" w14:textId="77777777" w:rsidR="00D41F15" w:rsidRPr="0016765F" w:rsidRDefault="39786C78" w:rsidP="4321A1A3">
            <w:pPr>
              <w:spacing w:after="0"/>
              <w:rPr>
                <w:noProof/>
                <w:lang w:val="en-IE"/>
              </w:rPr>
            </w:pPr>
            <w:r w:rsidRPr="0016765F">
              <w:rPr>
                <w:noProof/>
                <w:lang w:val="en-IE"/>
              </w:rPr>
              <w:t>ECA</w:t>
            </w:r>
          </w:p>
        </w:tc>
        <w:tc>
          <w:tcPr>
            <w:tcW w:w="5455" w:type="dxa"/>
            <w:tcBorders>
              <w:top w:val="double" w:sz="4" w:space="0" w:color="auto"/>
            </w:tcBorders>
            <w:tcMar>
              <w:top w:w="113" w:type="dxa"/>
              <w:bottom w:w="113" w:type="dxa"/>
            </w:tcMar>
          </w:tcPr>
          <w:p w14:paraId="376418DC" w14:textId="77777777" w:rsidR="00D41F15" w:rsidRPr="0016765F" w:rsidRDefault="39786C78" w:rsidP="4321A1A3">
            <w:pPr>
              <w:spacing w:after="0"/>
              <w:rPr>
                <w:noProof/>
                <w:lang w:val="en-IE"/>
              </w:rPr>
            </w:pPr>
            <w:r w:rsidRPr="0016765F">
              <w:rPr>
                <w:noProof/>
                <w:lang w:val="en-IE"/>
              </w:rPr>
              <w:t>European Court of Auditors</w:t>
            </w:r>
          </w:p>
        </w:tc>
      </w:tr>
      <w:tr w:rsidR="00C6234E" w:rsidRPr="002901DC" w14:paraId="2D7C00E1" w14:textId="77777777" w:rsidTr="4321A1A3">
        <w:trPr>
          <w:trHeight w:val="300"/>
        </w:trPr>
        <w:tc>
          <w:tcPr>
            <w:tcW w:w="3153" w:type="dxa"/>
            <w:tcBorders>
              <w:top w:val="double" w:sz="4" w:space="0" w:color="auto"/>
            </w:tcBorders>
            <w:tcMar>
              <w:top w:w="113" w:type="dxa"/>
              <w:bottom w:w="113" w:type="dxa"/>
            </w:tcMar>
          </w:tcPr>
          <w:p w14:paraId="428E4AED" w14:textId="41CE6C9B" w:rsidR="00C6234E" w:rsidRPr="0016765F" w:rsidRDefault="2063968A" w:rsidP="4321A1A3">
            <w:pPr>
              <w:spacing w:after="0"/>
              <w:rPr>
                <w:noProof/>
                <w:lang w:val="en-IE"/>
              </w:rPr>
            </w:pPr>
            <w:r w:rsidRPr="0016765F">
              <w:rPr>
                <w:noProof/>
                <w:lang w:val="en-IE"/>
              </w:rPr>
              <w:t>GDPR</w:t>
            </w:r>
          </w:p>
        </w:tc>
        <w:tc>
          <w:tcPr>
            <w:tcW w:w="5455" w:type="dxa"/>
            <w:tcBorders>
              <w:top w:val="double" w:sz="4" w:space="0" w:color="auto"/>
            </w:tcBorders>
            <w:tcMar>
              <w:top w:w="113" w:type="dxa"/>
              <w:bottom w:w="113" w:type="dxa"/>
            </w:tcMar>
          </w:tcPr>
          <w:p w14:paraId="67DD3D0D" w14:textId="37CE4C7F" w:rsidR="00C6234E" w:rsidRPr="0016765F" w:rsidRDefault="2063968A" w:rsidP="4321A1A3">
            <w:pPr>
              <w:spacing w:after="0"/>
              <w:rPr>
                <w:noProof/>
                <w:lang w:val="en-IE"/>
              </w:rPr>
            </w:pPr>
            <w:r w:rsidRPr="0016765F">
              <w:rPr>
                <w:noProof/>
                <w:lang w:val="en-IE"/>
              </w:rPr>
              <w:t>General Data</w:t>
            </w:r>
            <w:r w:rsidR="6EE06EC5" w:rsidRPr="0016765F">
              <w:rPr>
                <w:noProof/>
                <w:lang w:val="en-IE"/>
              </w:rPr>
              <w:t xml:space="preserve"> Protection Regulation</w:t>
            </w:r>
          </w:p>
        </w:tc>
      </w:tr>
      <w:tr w:rsidR="007F5F85" w:rsidRPr="002901DC" w14:paraId="64C07F87" w14:textId="77777777" w:rsidTr="4321A1A3">
        <w:tc>
          <w:tcPr>
            <w:tcW w:w="3153" w:type="dxa"/>
            <w:tcBorders>
              <w:top w:val="double" w:sz="4" w:space="0" w:color="auto"/>
            </w:tcBorders>
            <w:tcMar>
              <w:top w:w="113" w:type="dxa"/>
              <w:bottom w:w="113" w:type="dxa"/>
            </w:tcMar>
          </w:tcPr>
          <w:p w14:paraId="28491A46" w14:textId="2FD231E5" w:rsidR="007F5F85" w:rsidRPr="0016765F" w:rsidRDefault="430BC962" w:rsidP="4321A1A3">
            <w:pPr>
              <w:spacing w:after="0"/>
              <w:rPr>
                <w:noProof/>
                <w:lang w:val="en-IE"/>
              </w:rPr>
            </w:pPr>
            <w:r w:rsidRPr="0016765F">
              <w:rPr>
                <w:noProof/>
                <w:lang w:val="en-IE"/>
              </w:rPr>
              <w:t>GIR</w:t>
            </w:r>
          </w:p>
        </w:tc>
        <w:tc>
          <w:tcPr>
            <w:tcW w:w="5455" w:type="dxa"/>
            <w:tcBorders>
              <w:top w:val="double" w:sz="4" w:space="0" w:color="auto"/>
            </w:tcBorders>
            <w:tcMar>
              <w:top w:w="113" w:type="dxa"/>
              <w:bottom w:w="113" w:type="dxa"/>
            </w:tcMar>
          </w:tcPr>
          <w:p w14:paraId="1781AC6D" w14:textId="68AFA280" w:rsidR="007F5F85" w:rsidRPr="0016765F" w:rsidRDefault="430BC962" w:rsidP="4321A1A3">
            <w:pPr>
              <w:spacing w:after="0"/>
              <w:rPr>
                <w:noProof/>
                <w:lang w:val="en-IE"/>
              </w:rPr>
            </w:pPr>
            <w:r w:rsidRPr="0016765F">
              <w:rPr>
                <w:noProof/>
                <w:lang w:val="en-IE"/>
              </w:rPr>
              <w:t>GloBE Information Return</w:t>
            </w:r>
          </w:p>
        </w:tc>
      </w:tr>
      <w:tr w:rsidR="009F7586" w:rsidRPr="002901DC" w14:paraId="2960D3D6" w14:textId="77777777" w:rsidTr="4321A1A3">
        <w:tc>
          <w:tcPr>
            <w:tcW w:w="3153" w:type="dxa"/>
            <w:tcBorders>
              <w:top w:val="double" w:sz="4" w:space="0" w:color="auto"/>
            </w:tcBorders>
            <w:tcMar>
              <w:top w:w="113" w:type="dxa"/>
              <w:bottom w:w="113" w:type="dxa"/>
            </w:tcMar>
          </w:tcPr>
          <w:p w14:paraId="492660DC" w14:textId="08577002" w:rsidR="009F7586" w:rsidRPr="0016765F" w:rsidRDefault="3FDE015A" w:rsidP="4321A1A3">
            <w:pPr>
              <w:spacing w:after="0"/>
              <w:rPr>
                <w:noProof/>
                <w:lang w:val="en-IE"/>
              </w:rPr>
            </w:pPr>
            <w:r w:rsidRPr="0016765F">
              <w:rPr>
                <w:noProof/>
                <w:lang w:val="en-IE"/>
              </w:rPr>
              <w:t>IE</w:t>
            </w:r>
          </w:p>
        </w:tc>
        <w:tc>
          <w:tcPr>
            <w:tcW w:w="5455" w:type="dxa"/>
            <w:tcBorders>
              <w:top w:val="double" w:sz="4" w:space="0" w:color="auto"/>
            </w:tcBorders>
            <w:tcMar>
              <w:top w:w="113" w:type="dxa"/>
              <w:bottom w:w="113" w:type="dxa"/>
            </w:tcMar>
          </w:tcPr>
          <w:p w14:paraId="605EA15A" w14:textId="58E593BD" w:rsidR="009F7586" w:rsidRPr="0016765F" w:rsidRDefault="3FDE015A" w:rsidP="4321A1A3">
            <w:pPr>
              <w:spacing w:after="0"/>
              <w:rPr>
                <w:noProof/>
                <w:lang w:val="en-IE"/>
              </w:rPr>
            </w:pPr>
            <w:r w:rsidRPr="0016765F">
              <w:rPr>
                <w:noProof/>
                <w:lang w:val="en-IE"/>
              </w:rPr>
              <w:t>Income from Employment</w:t>
            </w:r>
          </w:p>
        </w:tc>
      </w:tr>
      <w:tr w:rsidR="00E45ACF" w:rsidRPr="002901DC" w14:paraId="4387AE51" w14:textId="77777777" w:rsidTr="4321A1A3">
        <w:tc>
          <w:tcPr>
            <w:tcW w:w="3153" w:type="dxa"/>
            <w:tcBorders>
              <w:top w:val="double" w:sz="4" w:space="0" w:color="auto"/>
            </w:tcBorders>
            <w:tcMar>
              <w:top w:w="113" w:type="dxa"/>
              <w:bottom w:w="113" w:type="dxa"/>
            </w:tcMar>
          </w:tcPr>
          <w:p w14:paraId="19B22AC4" w14:textId="4AA70E65" w:rsidR="00E45ACF" w:rsidRPr="0016765F" w:rsidRDefault="0CC73D3E" w:rsidP="4321A1A3">
            <w:pPr>
              <w:spacing w:after="0"/>
              <w:rPr>
                <w:noProof/>
                <w:lang w:val="en-IE"/>
              </w:rPr>
            </w:pPr>
            <w:r w:rsidRPr="0016765F">
              <w:rPr>
                <w:noProof/>
                <w:lang w:val="en-IE"/>
              </w:rPr>
              <w:t>IIR</w:t>
            </w:r>
          </w:p>
        </w:tc>
        <w:tc>
          <w:tcPr>
            <w:tcW w:w="5455" w:type="dxa"/>
            <w:tcBorders>
              <w:top w:val="double" w:sz="4" w:space="0" w:color="auto"/>
            </w:tcBorders>
            <w:tcMar>
              <w:top w:w="113" w:type="dxa"/>
              <w:bottom w:w="113" w:type="dxa"/>
            </w:tcMar>
          </w:tcPr>
          <w:p w14:paraId="631F5188" w14:textId="0A695B3F" w:rsidR="00E45ACF" w:rsidRPr="0016765F" w:rsidRDefault="0CC73D3E" w:rsidP="4321A1A3">
            <w:pPr>
              <w:spacing w:after="0"/>
              <w:rPr>
                <w:noProof/>
                <w:lang w:val="en-IE"/>
              </w:rPr>
            </w:pPr>
            <w:r w:rsidRPr="0016765F">
              <w:rPr>
                <w:noProof/>
                <w:lang w:val="en-IE"/>
              </w:rPr>
              <w:t xml:space="preserve">Income Inclusion Rule </w:t>
            </w:r>
          </w:p>
        </w:tc>
      </w:tr>
      <w:tr w:rsidR="00BE791C" w:rsidRPr="002901DC" w14:paraId="0BDF87C5" w14:textId="77777777" w:rsidTr="4321A1A3">
        <w:tc>
          <w:tcPr>
            <w:tcW w:w="3153" w:type="dxa"/>
            <w:tcBorders>
              <w:top w:val="double" w:sz="4" w:space="0" w:color="auto"/>
            </w:tcBorders>
            <w:tcMar>
              <w:top w:w="113" w:type="dxa"/>
              <w:bottom w:w="113" w:type="dxa"/>
            </w:tcMar>
          </w:tcPr>
          <w:p w14:paraId="37E987BA" w14:textId="4F9FB053" w:rsidR="00BE791C" w:rsidRPr="0016765F" w:rsidRDefault="6926605F" w:rsidP="4321A1A3">
            <w:pPr>
              <w:spacing w:after="0"/>
              <w:rPr>
                <w:noProof/>
                <w:lang w:val="en-IE"/>
              </w:rPr>
            </w:pPr>
            <w:r w:rsidRPr="0016765F">
              <w:rPr>
                <w:noProof/>
                <w:lang w:val="en-IE"/>
              </w:rPr>
              <w:t>IP</w:t>
            </w:r>
          </w:p>
        </w:tc>
        <w:tc>
          <w:tcPr>
            <w:tcW w:w="5455" w:type="dxa"/>
            <w:tcBorders>
              <w:top w:val="double" w:sz="4" w:space="0" w:color="auto"/>
            </w:tcBorders>
            <w:tcMar>
              <w:top w:w="113" w:type="dxa"/>
              <w:bottom w:w="113" w:type="dxa"/>
            </w:tcMar>
          </w:tcPr>
          <w:p w14:paraId="1508C0F7" w14:textId="0F33D69B" w:rsidR="00BE791C" w:rsidRPr="0016765F" w:rsidRDefault="6926605F" w:rsidP="4321A1A3">
            <w:pPr>
              <w:spacing w:after="0"/>
              <w:rPr>
                <w:noProof/>
                <w:lang w:val="en-IE"/>
              </w:rPr>
            </w:pPr>
            <w:r w:rsidRPr="0016765F">
              <w:rPr>
                <w:noProof/>
                <w:lang w:val="en-IE"/>
              </w:rPr>
              <w:t xml:space="preserve">Income from immovable property </w:t>
            </w:r>
          </w:p>
        </w:tc>
      </w:tr>
      <w:tr w:rsidR="009F7586" w:rsidRPr="002901DC" w14:paraId="141454CD" w14:textId="77777777" w:rsidTr="4321A1A3">
        <w:tc>
          <w:tcPr>
            <w:tcW w:w="3153" w:type="dxa"/>
            <w:tcBorders>
              <w:top w:val="double" w:sz="4" w:space="0" w:color="auto"/>
            </w:tcBorders>
            <w:tcMar>
              <w:top w:w="113" w:type="dxa"/>
              <w:bottom w:w="113" w:type="dxa"/>
            </w:tcMar>
          </w:tcPr>
          <w:p w14:paraId="2579222E" w14:textId="0FAFED11" w:rsidR="009F7586" w:rsidRPr="0016765F" w:rsidRDefault="3FDE015A" w:rsidP="4321A1A3">
            <w:pPr>
              <w:spacing w:after="0"/>
              <w:rPr>
                <w:noProof/>
                <w:lang w:val="en-IE"/>
              </w:rPr>
            </w:pPr>
            <w:r w:rsidRPr="0016765F">
              <w:rPr>
                <w:noProof/>
                <w:lang w:val="en-IE"/>
              </w:rPr>
              <w:t>LIP</w:t>
            </w:r>
          </w:p>
        </w:tc>
        <w:tc>
          <w:tcPr>
            <w:tcW w:w="5455" w:type="dxa"/>
            <w:tcBorders>
              <w:top w:val="double" w:sz="4" w:space="0" w:color="auto"/>
            </w:tcBorders>
            <w:tcMar>
              <w:top w:w="113" w:type="dxa"/>
              <w:bottom w:w="113" w:type="dxa"/>
            </w:tcMar>
          </w:tcPr>
          <w:p w14:paraId="33210046" w14:textId="7215FF64" w:rsidR="009F7586" w:rsidRPr="0016765F" w:rsidRDefault="3FDE015A" w:rsidP="4321A1A3">
            <w:pPr>
              <w:spacing w:after="0"/>
              <w:rPr>
                <w:noProof/>
                <w:lang w:val="en-IE"/>
              </w:rPr>
            </w:pPr>
            <w:r w:rsidRPr="0016765F">
              <w:rPr>
                <w:noProof/>
                <w:lang w:val="en-IE"/>
              </w:rPr>
              <w:t xml:space="preserve">Life Insurance </w:t>
            </w:r>
            <w:r w:rsidR="097B88EF" w:rsidRPr="0016765F">
              <w:rPr>
                <w:noProof/>
                <w:lang w:val="en-IE"/>
              </w:rPr>
              <w:t>P</w:t>
            </w:r>
            <w:r w:rsidRPr="0016765F">
              <w:rPr>
                <w:noProof/>
                <w:lang w:val="en-IE"/>
              </w:rPr>
              <w:t xml:space="preserve">roducts </w:t>
            </w:r>
          </w:p>
        </w:tc>
      </w:tr>
      <w:tr w:rsidR="00D41F15" w:rsidRPr="002901DC" w14:paraId="707B519F" w14:textId="77777777" w:rsidTr="4321A1A3">
        <w:tc>
          <w:tcPr>
            <w:tcW w:w="3153" w:type="dxa"/>
            <w:tcBorders>
              <w:top w:val="double" w:sz="4" w:space="0" w:color="auto"/>
            </w:tcBorders>
            <w:tcMar>
              <w:top w:w="113" w:type="dxa"/>
              <w:bottom w:w="113" w:type="dxa"/>
            </w:tcMar>
          </w:tcPr>
          <w:p w14:paraId="675055EA" w14:textId="77777777" w:rsidR="00D41F15" w:rsidRPr="0016765F" w:rsidRDefault="39786C78" w:rsidP="4321A1A3">
            <w:pPr>
              <w:spacing w:after="0"/>
              <w:rPr>
                <w:noProof/>
                <w:lang w:val="en-IE"/>
              </w:rPr>
            </w:pPr>
            <w:r w:rsidRPr="0016765F">
              <w:rPr>
                <w:noProof/>
                <w:lang w:val="en-IE"/>
              </w:rPr>
              <w:t>LPP</w:t>
            </w:r>
          </w:p>
        </w:tc>
        <w:tc>
          <w:tcPr>
            <w:tcW w:w="5455" w:type="dxa"/>
            <w:tcBorders>
              <w:top w:val="double" w:sz="4" w:space="0" w:color="auto"/>
            </w:tcBorders>
            <w:tcMar>
              <w:top w:w="113" w:type="dxa"/>
              <w:bottom w:w="113" w:type="dxa"/>
            </w:tcMar>
          </w:tcPr>
          <w:p w14:paraId="0FFCCE19" w14:textId="77777777" w:rsidR="00D41F15" w:rsidRPr="0016765F" w:rsidRDefault="39786C78" w:rsidP="4321A1A3">
            <w:pPr>
              <w:spacing w:after="0"/>
              <w:rPr>
                <w:noProof/>
                <w:lang w:val="en-IE"/>
              </w:rPr>
            </w:pPr>
            <w:r w:rsidRPr="0016765F">
              <w:rPr>
                <w:noProof/>
                <w:lang w:val="en-IE"/>
              </w:rPr>
              <w:t>Legal professional privilege</w:t>
            </w:r>
          </w:p>
        </w:tc>
      </w:tr>
      <w:tr w:rsidR="000C21D3" w:rsidRPr="002901DC" w14:paraId="7ACE869D" w14:textId="77777777" w:rsidTr="4321A1A3">
        <w:tc>
          <w:tcPr>
            <w:tcW w:w="3153" w:type="dxa"/>
            <w:tcBorders>
              <w:top w:val="double" w:sz="4" w:space="0" w:color="auto"/>
            </w:tcBorders>
            <w:tcMar>
              <w:top w:w="113" w:type="dxa"/>
              <w:bottom w:w="113" w:type="dxa"/>
            </w:tcMar>
          </w:tcPr>
          <w:p w14:paraId="074ADC18" w14:textId="4D2A535E" w:rsidR="000C21D3" w:rsidRPr="0016765F" w:rsidRDefault="161ABA22" w:rsidP="4321A1A3">
            <w:pPr>
              <w:spacing w:after="0"/>
              <w:rPr>
                <w:noProof/>
                <w:lang w:val="en-IE"/>
              </w:rPr>
            </w:pPr>
            <w:r w:rsidRPr="0016765F">
              <w:rPr>
                <w:noProof/>
                <w:lang w:val="en-IE"/>
              </w:rPr>
              <w:t>M</w:t>
            </w:r>
            <w:r w:rsidR="365E00BA" w:rsidRPr="0016765F">
              <w:rPr>
                <w:noProof/>
                <w:lang w:val="en-IE"/>
              </w:rPr>
              <w:t>BT</w:t>
            </w:r>
          </w:p>
        </w:tc>
        <w:tc>
          <w:tcPr>
            <w:tcW w:w="5455" w:type="dxa"/>
            <w:tcBorders>
              <w:top w:val="double" w:sz="4" w:space="0" w:color="auto"/>
            </w:tcBorders>
            <w:tcMar>
              <w:top w:w="113" w:type="dxa"/>
              <w:bottom w:w="113" w:type="dxa"/>
            </w:tcMar>
          </w:tcPr>
          <w:p w14:paraId="5DEA265C" w14:textId="5ACFACD6" w:rsidR="000C21D3" w:rsidRPr="0016765F" w:rsidRDefault="161ABA22" w:rsidP="4321A1A3">
            <w:pPr>
              <w:spacing w:after="0"/>
              <w:rPr>
                <w:noProof/>
                <w:lang w:val="en-IE"/>
              </w:rPr>
            </w:pPr>
            <w:r w:rsidRPr="0016765F">
              <w:rPr>
                <w:noProof/>
                <w:lang w:val="en-IE"/>
              </w:rPr>
              <w:t>Main Benefit Test</w:t>
            </w:r>
          </w:p>
        </w:tc>
      </w:tr>
      <w:tr w:rsidR="00D41F15" w:rsidRPr="002901DC" w14:paraId="6A3726CC" w14:textId="77777777" w:rsidTr="4321A1A3">
        <w:tc>
          <w:tcPr>
            <w:tcW w:w="3153" w:type="dxa"/>
            <w:tcBorders>
              <w:top w:val="double" w:sz="4" w:space="0" w:color="auto"/>
            </w:tcBorders>
            <w:tcMar>
              <w:top w:w="113" w:type="dxa"/>
              <w:bottom w:w="113" w:type="dxa"/>
            </w:tcMar>
          </w:tcPr>
          <w:p w14:paraId="45F737F9" w14:textId="77777777" w:rsidR="00D41F15" w:rsidRPr="0016765F" w:rsidRDefault="39786C78" w:rsidP="4321A1A3">
            <w:pPr>
              <w:spacing w:after="0"/>
              <w:rPr>
                <w:noProof/>
                <w:lang w:val="en-IE"/>
              </w:rPr>
            </w:pPr>
            <w:r w:rsidRPr="0016765F">
              <w:rPr>
                <w:noProof/>
                <w:lang w:val="en-IE"/>
              </w:rPr>
              <w:t>MCAA</w:t>
            </w:r>
          </w:p>
        </w:tc>
        <w:tc>
          <w:tcPr>
            <w:tcW w:w="5455" w:type="dxa"/>
            <w:tcBorders>
              <w:top w:val="double" w:sz="4" w:space="0" w:color="auto"/>
            </w:tcBorders>
            <w:tcMar>
              <w:top w:w="113" w:type="dxa"/>
              <w:bottom w:w="113" w:type="dxa"/>
            </w:tcMar>
          </w:tcPr>
          <w:p w14:paraId="382B24FF" w14:textId="77777777" w:rsidR="00D41F15" w:rsidRPr="0016765F" w:rsidRDefault="39786C78" w:rsidP="4321A1A3">
            <w:pPr>
              <w:spacing w:after="0"/>
              <w:rPr>
                <w:noProof/>
                <w:lang w:val="en-IE"/>
              </w:rPr>
            </w:pPr>
            <w:r w:rsidRPr="0016765F">
              <w:rPr>
                <w:noProof/>
                <w:lang w:val="en-IE"/>
              </w:rPr>
              <w:t>Multilateral Competent Authority Agreement</w:t>
            </w:r>
          </w:p>
        </w:tc>
      </w:tr>
      <w:tr w:rsidR="00026BF1" w:rsidRPr="002901DC" w14:paraId="080CC3C2" w14:textId="77777777" w:rsidTr="4321A1A3">
        <w:trPr>
          <w:trHeight w:val="300"/>
        </w:trPr>
        <w:tc>
          <w:tcPr>
            <w:tcW w:w="3153" w:type="dxa"/>
            <w:tcBorders>
              <w:top w:val="double" w:sz="4" w:space="0" w:color="auto"/>
            </w:tcBorders>
            <w:tcMar>
              <w:top w:w="113" w:type="dxa"/>
              <w:bottom w:w="113" w:type="dxa"/>
            </w:tcMar>
          </w:tcPr>
          <w:p w14:paraId="42028F0D" w14:textId="0FE63ABE" w:rsidR="00026BF1" w:rsidRPr="0016765F" w:rsidRDefault="5EFBC5A8" w:rsidP="4321A1A3">
            <w:pPr>
              <w:spacing w:after="0"/>
              <w:rPr>
                <w:noProof/>
                <w:lang w:val="en-IE"/>
              </w:rPr>
            </w:pPr>
            <w:r w:rsidRPr="0016765F">
              <w:rPr>
                <w:noProof/>
                <w:lang w:val="en-IE"/>
              </w:rPr>
              <w:t>MDR</w:t>
            </w:r>
          </w:p>
        </w:tc>
        <w:tc>
          <w:tcPr>
            <w:tcW w:w="5455" w:type="dxa"/>
            <w:tcBorders>
              <w:top w:val="double" w:sz="4" w:space="0" w:color="auto"/>
            </w:tcBorders>
            <w:tcMar>
              <w:top w:w="113" w:type="dxa"/>
              <w:bottom w:w="113" w:type="dxa"/>
            </w:tcMar>
          </w:tcPr>
          <w:p w14:paraId="7736B00C" w14:textId="18CC7FBD" w:rsidR="00026BF1" w:rsidRPr="0016765F" w:rsidRDefault="5FD1C1FC" w:rsidP="4321A1A3">
            <w:pPr>
              <w:spacing w:after="0"/>
              <w:rPr>
                <w:noProof/>
                <w:lang w:val="en-IE"/>
              </w:rPr>
            </w:pPr>
            <w:r w:rsidRPr="0016765F">
              <w:rPr>
                <w:noProof/>
                <w:lang w:val="en-IE"/>
              </w:rPr>
              <w:t>Mandatory Disclosure</w:t>
            </w:r>
            <w:r w:rsidR="706F1EED" w:rsidRPr="0016765F">
              <w:rPr>
                <w:noProof/>
                <w:lang w:val="en-IE"/>
              </w:rPr>
              <w:t xml:space="preserve"> Rules</w:t>
            </w:r>
          </w:p>
        </w:tc>
      </w:tr>
      <w:tr w:rsidR="00D41F15" w:rsidRPr="002901DC" w14:paraId="2C8BF845" w14:textId="77777777" w:rsidTr="4321A1A3">
        <w:tc>
          <w:tcPr>
            <w:tcW w:w="3153" w:type="dxa"/>
            <w:tcBorders>
              <w:top w:val="double" w:sz="4" w:space="0" w:color="auto"/>
            </w:tcBorders>
            <w:tcMar>
              <w:top w:w="113" w:type="dxa"/>
              <w:bottom w:w="113" w:type="dxa"/>
            </w:tcMar>
          </w:tcPr>
          <w:p w14:paraId="60D849FB" w14:textId="22B8E146" w:rsidR="00D41F15" w:rsidRPr="0016765F" w:rsidRDefault="39786C78" w:rsidP="4321A1A3">
            <w:pPr>
              <w:spacing w:after="0"/>
              <w:rPr>
                <w:noProof/>
                <w:lang w:val="en-IE"/>
              </w:rPr>
            </w:pPr>
            <w:r w:rsidRPr="0016765F">
              <w:rPr>
                <w:noProof/>
                <w:lang w:val="en-IE"/>
              </w:rPr>
              <w:t>MNE</w:t>
            </w:r>
          </w:p>
        </w:tc>
        <w:tc>
          <w:tcPr>
            <w:tcW w:w="5455" w:type="dxa"/>
            <w:tcBorders>
              <w:top w:val="double" w:sz="4" w:space="0" w:color="auto"/>
            </w:tcBorders>
            <w:tcMar>
              <w:top w:w="113" w:type="dxa"/>
              <w:bottom w:w="113" w:type="dxa"/>
            </w:tcMar>
          </w:tcPr>
          <w:p w14:paraId="649B1546" w14:textId="13F9C2A0" w:rsidR="00D41F15" w:rsidRPr="0016765F" w:rsidRDefault="39786C78" w:rsidP="4321A1A3">
            <w:pPr>
              <w:spacing w:after="0"/>
              <w:rPr>
                <w:noProof/>
                <w:lang w:val="en-IE"/>
              </w:rPr>
            </w:pPr>
            <w:r w:rsidRPr="0016765F">
              <w:rPr>
                <w:noProof/>
                <w:lang w:val="en-IE"/>
              </w:rPr>
              <w:t>Multinational Enterprise</w:t>
            </w:r>
          </w:p>
        </w:tc>
      </w:tr>
      <w:tr w:rsidR="00D41F15" w:rsidRPr="00BF381A" w14:paraId="6BBDFCF2" w14:textId="77777777" w:rsidTr="4321A1A3">
        <w:tc>
          <w:tcPr>
            <w:tcW w:w="3153" w:type="dxa"/>
            <w:tcBorders>
              <w:top w:val="double" w:sz="4" w:space="0" w:color="auto"/>
            </w:tcBorders>
            <w:tcMar>
              <w:top w:w="113" w:type="dxa"/>
              <w:bottom w:w="113" w:type="dxa"/>
            </w:tcMar>
          </w:tcPr>
          <w:p w14:paraId="10C040BE" w14:textId="77777777" w:rsidR="00D41F15" w:rsidRPr="0016765F" w:rsidRDefault="39786C78" w:rsidP="4321A1A3">
            <w:pPr>
              <w:spacing w:after="0"/>
              <w:rPr>
                <w:noProof/>
                <w:lang w:val="en-IE"/>
              </w:rPr>
            </w:pPr>
            <w:r w:rsidRPr="0016765F">
              <w:rPr>
                <w:noProof/>
                <w:lang w:val="en-IE"/>
              </w:rPr>
              <w:t>OECD</w:t>
            </w:r>
          </w:p>
        </w:tc>
        <w:tc>
          <w:tcPr>
            <w:tcW w:w="5455" w:type="dxa"/>
            <w:tcBorders>
              <w:top w:val="double" w:sz="4" w:space="0" w:color="auto"/>
            </w:tcBorders>
            <w:tcMar>
              <w:top w:w="113" w:type="dxa"/>
              <w:bottom w:w="113" w:type="dxa"/>
            </w:tcMar>
          </w:tcPr>
          <w:p w14:paraId="3A806C0D" w14:textId="77777777" w:rsidR="00D41F15" w:rsidRPr="0016765F" w:rsidRDefault="39786C78" w:rsidP="4321A1A3">
            <w:pPr>
              <w:spacing w:after="0"/>
              <w:jc w:val="left"/>
              <w:rPr>
                <w:noProof/>
                <w:lang w:val="en-IE"/>
              </w:rPr>
            </w:pPr>
            <w:r w:rsidRPr="0016765F">
              <w:rPr>
                <w:noProof/>
                <w:lang w:val="en-IE"/>
              </w:rPr>
              <w:t>Organisation for Economic Co-Operation and Development</w:t>
            </w:r>
          </w:p>
        </w:tc>
      </w:tr>
      <w:tr w:rsidR="4B9E3B3B" w14:paraId="47A4A39A" w14:textId="77777777" w:rsidTr="4321A1A3">
        <w:trPr>
          <w:trHeight w:val="300"/>
        </w:trPr>
        <w:tc>
          <w:tcPr>
            <w:tcW w:w="3153" w:type="dxa"/>
            <w:tcBorders>
              <w:top w:val="double" w:sz="4" w:space="0" w:color="auto"/>
            </w:tcBorders>
            <w:tcMar>
              <w:top w:w="113" w:type="dxa"/>
              <w:bottom w:w="113" w:type="dxa"/>
            </w:tcMar>
          </w:tcPr>
          <w:p w14:paraId="32F9E802" w14:textId="5737E9D0" w:rsidR="6C1350B4" w:rsidRPr="0016765F" w:rsidRDefault="377139D2" w:rsidP="4321A1A3">
            <w:pPr>
              <w:spacing w:after="0"/>
              <w:rPr>
                <w:noProof/>
              </w:rPr>
            </w:pPr>
            <w:r w:rsidRPr="0016765F">
              <w:rPr>
                <w:noProof/>
              </w:rPr>
              <w:t>OECD MRDP</w:t>
            </w:r>
          </w:p>
        </w:tc>
        <w:tc>
          <w:tcPr>
            <w:tcW w:w="5455" w:type="dxa"/>
            <w:tcBorders>
              <w:top w:val="double" w:sz="4" w:space="0" w:color="auto"/>
            </w:tcBorders>
            <w:tcMar>
              <w:top w:w="113" w:type="dxa"/>
              <w:bottom w:w="113" w:type="dxa"/>
            </w:tcMar>
          </w:tcPr>
          <w:p w14:paraId="1E62CA88" w14:textId="78BDC2E4" w:rsidR="6C1350B4" w:rsidRPr="0016765F" w:rsidRDefault="377139D2" w:rsidP="4321A1A3">
            <w:pPr>
              <w:spacing w:after="0"/>
              <w:jc w:val="left"/>
              <w:rPr>
                <w:noProof/>
              </w:rPr>
            </w:pPr>
            <w:r w:rsidRPr="0016765F">
              <w:rPr>
                <w:noProof/>
              </w:rPr>
              <w:t>OECD Model Rules for Reporting by Digital Platform Operators</w:t>
            </w:r>
          </w:p>
        </w:tc>
      </w:tr>
      <w:tr w:rsidR="00907A3C" w14:paraId="7DD6E681" w14:textId="77777777" w:rsidTr="4321A1A3">
        <w:trPr>
          <w:trHeight w:val="300"/>
        </w:trPr>
        <w:tc>
          <w:tcPr>
            <w:tcW w:w="3153" w:type="dxa"/>
            <w:tcBorders>
              <w:top w:val="double" w:sz="4" w:space="0" w:color="auto"/>
            </w:tcBorders>
            <w:tcMar>
              <w:top w:w="113" w:type="dxa"/>
              <w:bottom w:w="113" w:type="dxa"/>
            </w:tcMar>
          </w:tcPr>
          <w:p w14:paraId="64B1F328" w14:textId="6CEA0F4E" w:rsidR="00907A3C" w:rsidRPr="0016765F" w:rsidRDefault="546BF849" w:rsidP="4321A1A3">
            <w:pPr>
              <w:spacing w:after="0"/>
              <w:rPr>
                <w:noProof/>
                <w:lang w:val="en-IE"/>
              </w:rPr>
            </w:pPr>
            <w:r w:rsidRPr="0016765F">
              <w:rPr>
                <w:noProof/>
                <w:lang w:val="en-IE"/>
              </w:rPr>
              <w:t>PC</w:t>
            </w:r>
          </w:p>
        </w:tc>
        <w:tc>
          <w:tcPr>
            <w:tcW w:w="5455" w:type="dxa"/>
            <w:tcBorders>
              <w:top w:val="double" w:sz="4" w:space="0" w:color="auto"/>
            </w:tcBorders>
            <w:tcMar>
              <w:top w:w="113" w:type="dxa"/>
              <w:bottom w:w="113" w:type="dxa"/>
            </w:tcMar>
          </w:tcPr>
          <w:p w14:paraId="19CA3819" w14:textId="6AE59221" w:rsidR="00907A3C" w:rsidRPr="0016765F" w:rsidRDefault="546BF849" w:rsidP="4321A1A3">
            <w:pPr>
              <w:spacing w:after="0"/>
              <w:rPr>
                <w:noProof/>
                <w:lang w:val="en-IE"/>
              </w:rPr>
            </w:pPr>
            <w:r w:rsidRPr="0016765F">
              <w:rPr>
                <w:noProof/>
                <w:lang w:val="en-IE"/>
              </w:rPr>
              <w:t>Public Consulta</w:t>
            </w:r>
            <w:r w:rsidR="637BCF1A" w:rsidRPr="0016765F">
              <w:rPr>
                <w:noProof/>
                <w:lang w:val="en-IE"/>
              </w:rPr>
              <w:t>tion</w:t>
            </w:r>
          </w:p>
        </w:tc>
      </w:tr>
      <w:tr w:rsidR="00C01A84" w14:paraId="091464D8" w14:textId="77777777" w:rsidTr="4321A1A3">
        <w:trPr>
          <w:trHeight w:val="300"/>
        </w:trPr>
        <w:tc>
          <w:tcPr>
            <w:tcW w:w="3153" w:type="dxa"/>
            <w:tcBorders>
              <w:top w:val="double" w:sz="4" w:space="0" w:color="auto"/>
            </w:tcBorders>
            <w:tcMar>
              <w:top w:w="113" w:type="dxa"/>
              <w:bottom w:w="113" w:type="dxa"/>
            </w:tcMar>
          </w:tcPr>
          <w:p w14:paraId="13CB571C" w14:textId="75633B01" w:rsidR="00C01A84" w:rsidRPr="0016765F" w:rsidRDefault="34EA3B04" w:rsidP="4321A1A3">
            <w:pPr>
              <w:spacing w:after="0"/>
              <w:rPr>
                <w:noProof/>
              </w:rPr>
            </w:pPr>
            <w:r w:rsidRPr="0016765F">
              <w:rPr>
                <w:noProof/>
                <w:lang w:val="en-IE"/>
              </w:rPr>
              <w:t>PEN</w:t>
            </w:r>
          </w:p>
        </w:tc>
        <w:tc>
          <w:tcPr>
            <w:tcW w:w="5455" w:type="dxa"/>
            <w:tcBorders>
              <w:top w:val="double" w:sz="4" w:space="0" w:color="auto"/>
            </w:tcBorders>
            <w:tcMar>
              <w:top w:w="113" w:type="dxa"/>
              <w:bottom w:w="113" w:type="dxa"/>
            </w:tcMar>
          </w:tcPr>
          <w:p w14:paraId="7AD99ACB" w14:textId="7ADB9AE2" w:rsidR="00C01A84" w:rsidRPr="0016765F" w:rsidRDefault="34EA3B04" w:rsidP="4321A1A3">
            <w:pPr>
              <w:spacing w:after="0"/>
              <w:rPr>
                <w:noProof/>
              </w:rPr>
            </w:pPr>
            <w:r w:rsidRPr="0016765F">
              <w:rPr>
                <w:noProof/>
                <w:lang w:val="en-IE"/>
              </w:rPr>
              <w:t>Pension Income</w:t>
            </w:r>
          </w:p>
        </w:tc>
      </w:tr>
      <w:tr w:rsidR="00BF04B6" w14:paraId="3A84F84E" w14:textId="77777777" w:rsidTr="4321A1A3">
        <w:trPr>
          <w:trHeight w:val="300"/>
        </w:trPr>
        <w:tc>
          <w:tcPr>
            <w:tcW w:w="3153" w:type="dxa"/>
            <w:tcBorders>
              <w:top w:val="double" w:sz="4" w:space="0" w:color="auto"/>
            </w:tcBorders>
            <w:tcMar>
              <w:top w:w="113" w:type="dxa"/>
              <w:bottom w:w="113" w:type="dxa"/>
            </w:tcMar>
          </w:tcPr>
          <w:p w14:paraId="5B18B103" w14:textId="35151B2E" w:rsidR="00BF04B6" w:rsidRPr="0016765F" w:rsidRDefault="4F14F452" w:rsidP="4321A1A3">
            <w:pPr>
              <w:spacing w:after="0"/>
              <w:rPr>
                <w:noProof/>
                <w:lang w:val="en-IE"/>
              </w:rPr>
            </w:pPr>
            <w:r w:rsidRPr="0016765F">
              <w:rPr>
                <w:noProof/>
                <w:lang w:val="en-IE"/>
              </w:rPr>
              <w:t>PO</w:t>
            </w:r>
          </w:p>
        </w:tc>
        <w:tc>
          <w:tcPr>
            <w:tcW w:w="5455" w:type="dxa"/>
            <w:tcBorders>
              <w:top w:val="double" w:sz="4" w:space="0" w:color="auto"/>
            </w:tcBorders>
            <w:tcMar>
              <w:top w:w="113" w:type="dxa"/>
              <w:bottom w:w="113" w:type="dxa"/>
            </w:tcMar>
          </w:tcPr>
          <w:p w14:paraId="5D4BA850" w14:textId="725F559D" w:rsidR="00BF04B6" w:rsidRPr="0016765F" w:rsidRDefault="4F14F452" w:rsidP="4321A1A3">
            <w:pPr>
              <w:spacing w:after="0"/>
              <w:rPr>
                <w:noProof/>
                <w:lang w:val="en-IE"/>
              </w:rPr>
            </w:pPr>
            <w:r w:rsidRPr="0016765F">
              <w:rPr>
                <w:noProof/>
                <w:lang w:val="en-IE"/>
              </w:rPr>
              <w:t>Policy Option</w:t>
            </w:r>
          </w:p>
        </w:tc>
      </w:tr>
      <w:tr w:rsidR="007A6D09" w14:paraId="0AE092D9" w14:textId="77777777" w:rsidTr="4321A1A3">
        <w:trPr>
          <w:trHeight w:val="300"/>
        </w:trPr>
        <w:tc>
          <w:tcPr>
            <w:tcW w:w="3153" w:type="dxa"/>
            <w:tcBorders>
              <w:top w:val="double" w:sz="4" w:space="0" w:color="auto"/>
            </w:tcBorders>
            <w:tcMar>
              <w:top w:w="113" w:type="dxa"/>
              <w:bottom w:w="113" w:type="dxa"/>
            </w:tcMar>
          </w:tcPr>
          <w:p w14:paraId="3089E3DC" w14:textId="46C4E6F1" w:rsidR="007A6D09" w:rsidRPr="0016765F" w:rsidRDefault="36DAD36B" w:rsidP="4321A1A3">
            <w:pPr>
              <w:spacing w:after="0"/>
              <w:rPr>
                <w:noProof/>
                <w:lang w:val="en-IE"/>
              </w:rPr>
            </w:pPr>
            <w:r w:rsidRPr="0016765F">
              <w:rPr>
                <w:noProof/>
                <w:lang w:val="en-IE"/>
              </w:rPr>
              <w:t>QDMTT</w:t>
            </w:r>
          </w:p>
        </w:tc>
        <w:tc>
          <w:tcPr>
            <w:tcW w:w="5455" w:type="dxa"/>
            <w:tcBorders>
              <w:top w:val="double" w:sz="4" w:space="0" w:color="auto"/>
            </w:tcBorders>
            <w:tcMar>
              <w:top w:w="113" w:type="dxa"/>
              <w:bottom w:w="113" w:type="dxa"/>
            </w:tcMar>
          </w:tcPr>
          <w:p w14:paraId="34F73608" w14:textId="290C1E89" w:rsidR="007A6D09" w:rsidRPr="0016765F" w:rsidRDefault="139DBB69" w:rsidP="4321A1A3">
            <w:pPr>
              <w:spacing w:after="0"/>
              <w:rPr>
                <w:noProof/>
                <w:lang w:val="en-IE"/>
              </w:rPr>
            </w:pPr>
            <w:r w:rsidRPr="0016765F">
              <w:rPr>
                <w:noProof/>
                <w:lang w:val="en-IE"/>
              </w:rPr>
              <w:t>Qualified Domestic Minimum Top-up Tax</w:t>
            </w:r>
          </w:p>
        </w:tc>
      </w:tr>
      <w:tr w:rsidR="00A43D62" w:rsidRPr="00BF381A" w14:paraId="09B91BD9" w14:textId="77777777" w:rsidTr="4321A1A3">
        <w:tc>
          <w:tcPr>
            <w:tcW w:w="3153" w:type="dxa"/>
            <w:tcBorders>
              <w:top w:val="double" w:sz="4" w:space="0" w:color="auto"/>
            </w:tcBorders>
            <w:tcMar>
              <w:top w:w="113" w:type="dxa"/>
              <w:bottom w:w="113" w:type="dxa"/>
            </w:tcMar>
          </w:tcPr>
          <w:p w14:paraId="66033CDC" w14:textId="348D4160" w:rsidR="00A43D62" w:rsidRPr="0016765F" w:rsidRDefault="44AF0A19" w:rsidP="4321A1A3">
            <w:pPr>
              <w:spacing w:after="0"/>
              <w:rPr>
                <w:noProof/>
                <w:lang w:val="en-IE"/>
              </w:rPr>
            </w:pPr>
            <w:r w:rsidRPr="0016765F">
              <w:rPr>
                <w:noProof/>
                <w:lang w:val="en-IE"/>
              </w:rPr>
              <w:t>SDG</w:t>
            </w:r>
          </w:p>
        </w:tc>
        <w:tc>
          <w:tcPr>
            <w:tcW w:w="5455" w:type="dxa"/>
            <w:tcBorders>
              <w:top w:val="double" w:sz="4" w:space="0" w:color="auto"/>
            </w:tcBorders>
            <w:tcMar>
              <w:top w:w="113" w:type="dxa"/>
              <w:bottom w:w="113" w:type="dxa"/>
            </w:tcMar>
          </w:tcPr>
          <w:p w14:paraId="2542AB7A" w14:textId="4BF65756" w:rsidR="00A43D62" w:rsidRPr="0016765F" w:rsidRDefault="155E3A5B" w:rsidP="4321A1A3">
            <w:pPr>
              <w:spacing w:after="0"/>
              <w:rPr>
                <w:noProof/>
                <w:lang w:val="en-IE"/>
              </w:rPr>
            </w:pPr>
            <w:r w:rsidRPr="0016765F">
              <w:rPr>
                <w:noProof/>
                <w:lang w:val="en-IE"/>
              </w:rPr>
              <w:t>Sustainable Development Goal</w:t>
            </w:r>
          </w:p>
        </w:tc>
      </w:tr>
      <w:tr w:rsidR="00D41F15" w:rsidRPr="00BF381A" w14:paraId="7300B019" w14:textId="77777777" w:rsidTr="4321A1A3">
        <w:tc>
          <w:tcPr>
            <w:tcW w:w="3153" w:type="dxa"/>
            <w:tcBorders>
              <w:top w:val="double" w:sz="4" w:space="0" w:color="auto"/>
            </w:tcBorders>
            <w:tcMar>
              <w:top w:w="113" w:type="dxa"/>
              <w:bottom w:w="113" w:type="dxa"/>
            </w:tcMar>
          </w:tcPr>
          <w:p w14:paraId="54019924" w14:textId="7CED1A9F" w:rsidR="00D41F15" w:rsidRPr="0016765F" w:rsidRDefault="39786C78" w:rsidP="4321A1A3">
            <w:pPr>
              <w:spacing w:after="0"/>
              <w:rPr>
                <w:noProof/>
                <w:lang w:val="en-IE"/>
              </w:rPr>
            </w:pPr>
            <w:r w:rsidRPr="0016765F">
              <w:rPr>
                <w:noProof/>
                <w:lang w:val="en-IE"/>
              </w:rPr>
              <w:t>SME</w:t>
            </w:r>
          </w:p>
        </w:tc>
        <w:tc>
          <w:tcPr>
            <w:tcW w:w="5455" w:type="dxa"/>
            <w:tcBorders>
              <w:top w:val="double" w:sz="4" w:space="0" w:color="auto"/>
            </w:tcBorders>
            <w:tcMar>
              <w:top w:w="113" w:type="dxa"/>
              <w:bottom w:w="113" w:type="dxa"/>
            </w:tcMar>
          </w:tcPr>
          <w:p w14:paraId="5C5CE66C" w14:textId="7BCC17CF" w:rsidR="00D41F15" w:rsidRPr="0016765F" w:rsidRDefault="39786C78" w:rsidP="4321A1A3">
            <w:pPr>
              <w:spacing w:after="0"/>
              <w:rPr>
                <w:noProof/>
                <w:lang w:val="en-IE"/>
              </w:rPr>
            </w:pPr>
            <w:r w:rsidRPr="0016765F">
              <w:rPr>
                <w:noProof/>
                <w:lang w:val="en-IE"/>
              </w:rPr>
              <w:t>Small and medium sized enterprise</w:t>
            </w:r>
          </w:p>
        </w:tc>
      </w:tr>
      <w:tr w:rsidR="00D41F15" w:rsidRPr="002901DC" w14:paraId="371236EE" w14:textId="77777777" w:rsidTr="4321A1A3">
        <w:tc>
          <w:tcPr>
            <w:tcW w:w="3153" w:type="dxa"/>
            <w:tcBorders>
              <w:top w:val="double" w:sz="4" w:space="0" w:color="auto"/>
            </w:tcBorders>
            <w:tcMar>
              <w:top w:w="113" w:type="dxa"/>
              <w:bottom w:w="113" w:type="dxa"/>
            </w:tcMar>
          </w:tcPr>
          <w:p w14:paraId="729DC207" w14:textId="77777777" w:rsidR="00D41F15" w:rsidRPr="0016765F" w:rsidRDefault="39786C78" w:rsidP="4321A1A3">
            <w:pPr>
              <w:spacing w:after="0"/>
              <w:rPr>
                <w:noProof/>
                <w:lang w:val="en-IE"/>
              </w:rPr>
            </w:pPr>
            <w:r w:rsidRPr="0016765F">
              <w:rPr>
                <w:noProof/>
                <w:lang w:val="en-IE"/>
              </w:rPr>
              <w:t>TIN</w:t>
            </w:r>
          </w:p>
        </w:tc>
        <w:tc>
          <w:tcPr>
            <w:tcW w:w="5455" w:type="dxa"/>
            <w:tcBorders>
              <w:top w:val="double" w:sz="4" w:space="0" w:color="auto"/>
            </w:tcBorders>
            <w:tcMar>
              <w:top w:w="113" w:type="dxa"/>
              <w:bottom w:w="113" w:type="dxa"/>
            </w:tcMar>
          </w:tcPr>
          <w:p w14:paraId="292978F6" w14:textId="77777777" w:rsidR="00D41F15" w:rsidRPr="0016765F" w:rsidRDefault="39786C78" w:rsidP="4321A1A3">
            <w:pPr>
              <w:spacing w:after="0"/>
              <w:rPr>
                <w:noProof/>
                <w:lang w:val="en-IE"/>
              </w:rPr>
            </w:pPr>
            <w:r w:rsidRPr="0016765F">
              <w:rPr>
                <w:noProof/>
                <w:lang w:val="en-IE"/>
              </w:rPr>
              <w:t>Taxpayer Identification Number</w:t>
            </w:r>
          </w:p>
        </w:tc>
      </w:tr>
      <w:tr w:rsidR="2192B75E" w14:paraId="21AEAD4D" w14:textId="77777777" w:rsidTr="4321A1A3">
        <w:trPr>
          <w:trHeight w:val="300"/>
        </w:trPr>
        <w:tc>
          <w:tcPr>
            <w:tcW w:w="3153" w:type="dxa"/>
            <w:tcBorders>
              <w:top w:val="double" w:sz="4" w:space="0" w:color="auto"/>
            </w:tcBorders>
            <w:tcMar>
              <w:top w:w="113" w:type="dxa"/>
              <w:bottom w:w="113" w:type="dxa"/>
            </w:tcMar>
          </w:tcPr>
          <w:p w14:paraId="6A1348F5" w14:textId="7BA111BE" w:rsidR="1A42490F" w:rsidRPr="0016765F" w:rsidRDefault="7E065C6D" w:rsidP="4321A1A3">
            <w:pPr>
              <w:spacing w:after="0"/>
              <w:rPr>
                <w:noProof/>
                <w:lang w:val="en-IE"/>
              </w:rPr>
            </w:pPr>
            <w:r w:rsidRPr="0016765F">
              <w:rPr>
                <w:noProof/>
                <w:lang w:val="en-IE"/>
              </w:rPr>
              <w:t>TFEU</w:t>
            </w:r>
          </w:p>
        </w:tc>
        <w:tc>
          <w:tcPr>
            <w:tcW w:w="5455" w:type="dxa"/>
            <w:tcBorders>
              <w:top w:val="double" w:sz="4" w:space="0" w:color="auto"/>
            </w:tcBorders>
            <w:tcMar>
              <w:top w:w="113" w:type="dxa"/>
              <w:bottom w:w="113" w:type="dxa"/>
            </w:tcMar>
          </w:tcPr>
          <w:p w14:paraId="58BB0E07" w14:textId="79B67083" w:rsidR="1A42490F" w:rsidRPr="0016765F" w:rsidRDefault="7E065C6D" w:rsidP="4321A1A3">
            <w:pPr>
              <w:spacing w:after="0"/>
              <w:rPr>
                <w:noProof/>
              </w:rPr>
            </w:pPr>
            <w:r w:rsidRPr="0016765F">
              <w:rPr>
                <w:noProof/>
              </w:rPr>
              <w:t>Treaty on the Functioning of the European Union</w:t>
            </w:r>
          </w:p>
        </w:tc>
      </w:tr>
      <w:tr w:rsidR="00E45ACF" w:rsidRPr="002901DC" w14:paraId="6C85C463" w14:textId="77777777" w:rsidTr="4321A1A3">
        <w:tc>
          <w:tcPr>
            <w:tcW w:w="3153" w:type="dxa"/>
            <w:tcBorders>
              <w:top w:val="double" w:sz="4" w:space="0" w:color="auto"/>
            </w:tcBorders>
            <w:tcMar>
              <w:top w:w="113" w:type="dxa"/>
              <w:bottom w:w="113" w:type="dxa"/>
            </w:tcMar>
          </w:tcPr>
          <w:p w14:paraId="289172AA" w14:textId="150740DF" w:rsidR="00E45ACF" w:rsidRPr="0016765F" w:rsidRDefault="0CC73D3E" w:rsidP="4321A1A3">
            <w:pPr>
              <w:spacing w:after="0"/>
              <w:rPr>
                <w:noProof/>
                <w:lang w:val="en-IE"/>
              </w:rPr>
            </w:pPr>
            <w:r w:rsidRPr="0016765F">
              <w:rPr>
                <w:noProof/>
                <w:lang w:val="en-IE"/>
              </w:rPr>
              <w:t>UPE</w:t>
            </w:r>
          </w:p>
        </w:tc>
        <w:tc>
          <w:tcPr>
            <w:tcW w:w="5455" w:type="dxa"/>
            <w:tcBorders>
              <w:top w:val="double" w:sz="4" w:space="0" w:color="auto"/>
            </w:tcBorders>
            <w:tcMar>
              <w:top w:w="113" w:type="dxa"/>
              <w:bottom w:w="113" w:type="dxa"/>
            </w:tcMar>
          </w:tcPr>
          <w:p w14:paraId="6EE89AC1" w14:textId="1D18737E" w:rsidR="00E45ACF" w:rsidRPr="0016765F" w:rsidRDefault="0CC73D3E" w:rsidP="4321A1A3">
            <w:pPr>
              <w:spacing w:after="0"/>
              <w:rPr>
                <w:noProof/>
                <w:lang w:val="en-IE"/>
              </w:rPr>
            </w:pPr>
            <w:r w:rsidRPr="0016765F">
              <w:rPr>
                <w:noProof/>
                <w:lang w:val="en-IE"/>
              </w:rPr>
              <w:t xml:space="preserve">Ultimate Parent Entity </w:t>
            </w:r>
          </w:p>
        </w:tc>
      </w:tr>
      <w:tr w:rsidR="00C77C9C" w:rsidRPr="002901DC" w14:paraId="24133FF7" w14:textId="77777777" w:rsidTr="4321A1A3">
        <w:tc>
          <w:tcPr>
            <w:tcW w:w="3153" w:type="dxa"/>
            <w:tcBorders>
              <w:top w:val="double" w:sz="4" w:space="0" w:color="auto"/>
            </w:tcBorders>
            <w:tcMar>
              <w:top w:w="113" w:type="dxa"/>
              <w:bottom w:w="113" w:type="dxa"/>
            </w:tcMar>
          </w:tcPr>
          <w:p w14:paraId="7F6966D7" w14:textId="1A04BDF2" w:rsidR="00C77C9C" w:rsidRPr="0016765F" w:rsidRDefault="5EFC816B" w:rsidP="4321A1A3">
            <w:pPr>
              <w:spacing w:after="0"/>
              <w:rPr>
                <w:noProof/>
                <w:lang w:val="en-IE"/>
              </w:rPr>
            </w:pPr>
            <w:r w:rsidRPr="0016765F">
              <w:rPr>
                <w:noProof/>
                <w:lang w:val="en-IE"/>
              </w:rPr>
              <w:t>UTPR</w:t>
            </w:r>
          </w:p>
        </w:tc>
        <w:tc>
          <w:tcPr>
            <w:tcW w:w="5455" w:type="dxa"/>
            <w:tcBorders>
              <w:top w:val="double" w:sz="4" w:space="0" w:color="auto"/>
            </w:tcBorders>
            <w:tcMar>
              <w:top w:w="113" w:type="dxa"/>
              <w:bottom w:w="113" w:type="dxa"/>
            </w:tcMar>
          </w:tcPr>
          <w:p w14:paraId="099B40D7" w14:textId="607C6ED2" w:rsidR="00C77C9C" w:rsidRPr="0016765F" w:rsidRDefault="5EFC816B" w:rsidP="4321A1A3">
            <w:pPr>
              <w:spacing w:after="0"/>
              <w:rPr>
                <w:noProof/>
                <w:lang w:val="en-IE"/>
              </w:rPr>
            </w:pPr>
            <w:r w:rsidRPr="0016765F">
              <w:rPr>
                <w:noProof/>
                <w:lang w:val="en-IE"/>
              </w:rPr>
              <w:t xml:space="preserve">Undertaxed Profits Rule </w:t>
            </w:r>
          </w:p>
        </w:tc>
      </w:tr>
      <w:tr w:rsidR="00D41F15" w:rsidRPr="002901DC" w14:paraId="093DA262" w14:textId="77777777" w:rsidTr="4321A1A3">
        <w:tc>
          <w:tcPr>
            <w:tcW w:w="3153" w:type="dxa"/>
            <w:tcBorders>
              <w:top w:val="double" w:sz="4" w:space="0" w:color="auto"/>
              <w:bottom w:val="double" w:sz="4" w:space="0" w:color="auto"/>
            </w:tcBorders>
            <w:tcMar>
              <w:top w:w="113" w:type="dxa"/>
              <w:bottom w:w="113" w:type="dxa"/>
            </w:tcMar>
          </w:tcPr>
          <w:p w14:paraId="09B4B86B" w14:textId="77777777" w:rsidR="00D41F15" w:rsidRPr="0016765F" w:rsidRDefault="39786C78" w:rsidP="4321A1A3">
            <w:pPr>
              <w:spacing w:after="0"/>
              <w:rPr>
                <w:noProof/>
                <w:lang w:val="en-IE"/>
              </w:rPr>
            </w:pPr>
            <w:r w:rsidRPr="0016765F">
              <w:rPr>
                <w:noProof/>
                <w:lang w:val="en-IE"/>
              </w:rPr>
              <w:t>VIES</w:t>
            </w:r>
          </w:p>
        </w:tc>
        <w:tc>
          <w:tcPr>
            <w:tcW w:w="5455" w:type="dxa"/>
            <w:tcBorders>
              <w:top w:val="double" w:sz="4" w:space="0" w:color="auto"/>
              <w:bottom w:val="double" w:sz="4" w:space="0" w:color="auto"/>
            </w:tcBorders>
            <w:tcMar>
              <w:top w:w="113" w:type="dxa"/>
              <w:bottom w:w="113" w:type="dxa"/>
            </w:tcMar>
          </w:tcPr>
          <w:p w14:paraId="75138762" w14:textId="77777777" w:rsidR="00D41F15" w:rsidRPr="0016765F" w:rsidRDefault="39786C78" w:rsidP="4321A1A3">
            <w:pPr>
              <w:spacing w:after="0"/>
              <w:rPr>
                <w:noProof/>
                <w:lang w:val="en-IE"/>
              </w:rPr>
            </w:pPr>
            <w:r w:rsidRPr="0016765F">
              <w:rPr>
                <w:noProof/>
                <w:lang w:val="en-IE"/>
              </w:rPr>
              <w:t>VAT Information Exchange System</w:t>
            </w:r>
          </w:p>
        </w:tc>
      </w:tr>
    </w:tbl>
    <w:p w14:paraId="45396DD4" w14:textId="77777777" w:rsidR="006B087E" w:rsidRPr="00F92EAE" w:rsidRDefault="006B087E" w:rsidP="000E3086">
      <w:pPr>
        <w:rPr>
          <w:noProof/>
        </w:rPr>
      </w:pPr>
      <w:r w:rsidRPr="00F92EAE">
        <w:rPr>
          <w:noProof/>
        </w:rPr>
        <w:br w:type="page"/>
      </w:r>
    </w:p>
    <w:p w14:paraId="473747AA" w14:textId="77777777" w:rsidR="006B087E" w:rsidRPr="00F92EAE" w:rsidRDefault="006B087E" w:rsidP="000E3086">
      <w:pPr>
        <w:pStyle w:val="Heading1"/>
        <w:rPr>
          <w:noProof/>
        </w:rPr>
      </w:pPr>
      <w:bookmarkStart w:id="2" w:name="_Toc231816689"/>
      <w:bookmarkStart w:id="3" w:name="_Hlk219396002"/>
      <w:r w:rsidRPr="00F92EAE">
        <w:rPr>
          <w:noProof/>
        </w:rPr>
        <w:t>Introduction: Political and legal context</w:t>
      </w:r>
      <w:bookmarkEnd w:id="2"/>
    </w:p>
    <w:p w14:paraId="4D2EE461" w14:textId="6E078183" w:rsidR="007B7BBC" w:rsidRPr="00503746" w:rsidRDefault="007B7BBC" w:rsidP="00D74B82">
      <w:pPr>
        <w:pStyle w:val="Heading2"/>
        <w:rPr>
          <w:b w:val="0"/>
          <w:bCs/>
          <w:noProof/>
        </w:rPr>
      </w:pPr>
      <w:bookmarkStart w:id="4" w:name="_Toc231816690"/>
      <w:r w:rsidRPr="00503746">
        <w:rPr>
          <w:noProof/>
        </w:rPr>
        <w:t>Political context</w:t>
      </w:r>
      <w:bookmarkEnd w:id="4"/>
    </w:p>
    <w:p w14:paraId="2B3BEF25" w14:textId="7B4CF985" w:rsidR="1CA89162" w:rsidRDefault="1CA89162" w:rsidP="05F6CCA3">
      <w:pPr>
        <w:spacing w:after="200"/>
        <w:rPr>
          <w:rFonts w:eastAsia="Times New Roman"/>
          <w:noProof/>
        </w:rPr>
      </w:pPr>
      <w:r w:rsidRPr="05F6CCA3">
        <w:rPr>
          <w:rFonts w:eastAsia="Times New Roman"/>
          <w:noProof/>
        </w:rPr>
        <w:t>The Political Guidelines of the European Commission</w:t>
      </w:r>
      <w:r w:rsidR="001D47A2">
        <w:rPr>
          <w:rStyle w:val="FootnoteReference"/>
          <w:rFonts w:eastAsia="Times New Roman"/>
          <w:noProof/>
        </w:rPr>
        <w:footnoteReference w:id="2"/>
      </w:r>
      <w:r w:rsidRPr="05F6CCA3">
        <w:rPr>
          <w:rFonts w:eastAsia="Times New Roman"/>
          <w:noProof/>
        </w:rPr>
        <w:t xml:space="preserve"> have set the objective of making business easier and faster in Europe by reducing administrative burdens and simplifying implementation, while upholding high standards, with a view to strengthening European competitiveness.</w:t>
      </w:r>
    </w:p>
    <w:p w14:paraId="2402CE1A" w14:textId="7550E879" w:rsidR="1CA89162" w:rsidRDefault="1773F741" w:rsidP="6E07C7DA">
      <w:pPr>
        <w:spacing w:before="240"/>
        <w:rPr>
          <w:rFonts w:eastAsia="Times New Roman"/>
          <w:noProof/>
        </w:rPr>
      </w:pPr>
      <w:r w:rsidRPr="6E07C7DA">
        <w:rPr>
          <w:rFonts w:eastAsia="Times New Roman"/>
          <w:noProof/>
        </w:rPr>
        <w:t>The Competitiveness Compass</w:t>
      </w:r>
      <w:r w:rsidR="0029649A">
        <w:rPr>
          <w:rStyle w:val="FootnoteReference"/>
          <w:rFonts w:eastAsia="Times New Roman"/>
          <w:noProof/>
        </w:rPr>
        <w:footnoteReference w:id="3"/>
      </w:r>
      <w:r w:rsidRPr="6E07C7DA">
        <w:rPr>
          <w:rFonts w:eastAsia="Times New Roman"/>
          <w:noProof/>
        </w:rPr>
        <w:t xml:space="preserve"> highlight</w:t>
      </w:r>
      <w:r w:rsidR="1CDF1BB5" w:rsidRPr="6E07C7DA">
        <w:rPr>
          <w:rFonts w:eastAsia="Times New Roman"/>
          <w:noProof/>
        </w:rPr>
        <w:t>ed</w:t>
      </w:r>
      <w:r w:rsidRPr="6E07C7DA">
        <w:rPr>
          <w:rFonts w:eastAsia="Times New Roman"/>
          <w:noProof/>
        </w:rPr>
        <w:t xml:space="preserve"> the need to simplify the regulatory environment and reduce administrative burdens in order to strengthen competitiveness across all sectors. </w:t>
      </w:r>
      <w:r w:rsidR="410255C0" w:rsidRPr="6E07C7DA">
        <w:rPr>
          <w:rFonts w:eastAsia="Times New Roman"/>
          <w:noProof/>
        </w:rPr>
        <w:t>Subsequently, i</w:t>
      </w:r>
      <w:r w:rsidRPr="6E07C7DA">
        <w:rPr>
          <w:rFonts w:eastAsia="Times New Roman"/>
          <w:noProof/>
        </w:rPr>
        <w:t>n its Communication on implementation and simplification</w:t>
      </w:r>
      <w:r w:rsidR="002A605A">
        <w:rPr>
          <w:rStyle w:val="FootnoteReference"/>
          <w:rFonts w:eastAsia="Times New Roman"/>
          <w:noProof/>
        </w:rPr>
        <w:footnoteReference w:id="4"/>
      </w:r>
      <w:r w:rsidRPr="6E07C7DA">
        <w:rPr>
          <w:rFonts w:eastAsia="Times New Roman"/>
          <w:noProof/>
        </w:rPr>
        <w:t>, the Commission reiterated the need for a bold approach to enhance EU competitiveness</w:t>
      </w:r>
      <w:r w:rsidR="1770654B" w:rsidRPr="6E07C7DA">
        <w:rPr>
          <w:rFonts w:eastAsia="Times New Roman"/>
          <w:noProof/>
        </w:rPr>
        <w:t xml:space="preserve"> and </w:t>
      </w:r>
      <w:r w:rsidRPr="6E07C7DA">
        <w:rPr>
          <w:rFonts w:eastAsia="Times New Roman"/>
          <w:noProof/>
        </w:rPr>
        <w:t xml:space="preserve">introduced new targets to reduce administrative burdens. </w:t>
      </w:r>
      <w:r w:rsidR="6D6238C7" w:rsidRPr="6E07C7DA">
        <w:rPr>
          <w:rFonts w:eastAsia="Times New Roman"/>
          <w:noProof/>
        </w:rPr>
        <w:t>Under the new approach, the</w:t>
      </w:r>
      <w:r w:rsidR="60DC8275" w:rsidRPr="6E07C7DA">
        <w:rPr>
          <w:rFonts w:eastAsia="Times New Roman"/>
          <w:noProof/>
        </w:rPr>
        <w:t xml:space="preserve"> burden-reduction targets </w:t>
      </w:r>
      <w:r w:rsidR="039E492D" w:rsidRPr="6E07C7DA">
        <w:rPr>
          <w:rFonts w:eastAsia="Times New Roman"/>
          <w:noProof/>
        </w:rPr>
        <w:t xml:space="preserve">of at least 25% for all companies and at least 35% for small and medium-sized enterprises </w:t>
      </w:r>
      <w:r w:rsidR="039E492D" w:rsidRPr="00E24251">
        <w:rPr>
          <w:rFonts w:eastAsia="Times New Roman"/>
          <w:noProof/>
        </w:rPr>
        <w:t xml:space="preserve">(SMEs) </w:t>
      </w:r>
      <w:r w:rsidR="60DC8275" w:rsidRPr="6E07C7DA">
        <w:rPr>
          <w:rFonts w:eastAsia="Times New Roman"/>
          <w:noProof/>
        </w:rPr>
        <w:t xml:space="preserve">will be applied to a baseline covering the full range of administrative costs rather than focusing solely on reporting obligations. </w:t>
      </w:r>
    </w:p>
    <w:p w14:paraId="54090FA2" w14:textId="7B2CA85E" w:rsidR="1CA89162" w:rsidRDefault="1CA89162" w:rsidP="48146BEA">
      <w:pPr>
        <w:spacing w:before="240"/>
        <w:rPr>
          <w:rFonts w:eastAsia="Times New Roman"/>
          <w:noProof/>
        </w:rPr>
      </w:pPr>
      <w:r w:rsidRPr="3A123E5D">
        <w:rPr>
          <w:rFonts w:eastAsia="Times New Roman"/>
          <w:noProof/>
        </w:rPr>
        <w:t>To achieve these objectives, the Commission committed to prioritise proposals that simplify, consolidate and codify legislation in order to eliminate overlaps and inconsistencies while ensuring that the EU’s priorities continue to be met. The 2025 Commission Work Programme</w:t>
      </w:r>
      <w:r w:rsidR="00B80752">
        <w:rPr>
          <w:rStyle w:val="FootnoteReference"/>
          <w:rFonts w:eastAsia="Times New Roman"/>
          <w:noProof/>
        </w:rPr>
        <w:footnoteReference w:id="5"/>
      </w:r>
      <w:r w:rsidRPr="3A123E5D">
        <w:rPr>
          <w:rFonts w:eastAsia="Times New Roman"/>
          <w:noProof/>
        </w:rPr>
        <w:t xml:space="preserve"> therefore placed a stronger focus on simplification than ever before and included a series of omnibus packages and other simplification initiatives addressing priority areas identified with stakeholders.</w:t>
      </w:r>
    </w:p>
    <w:p w14:paraId="7B8C372B" w14:textId="60C1A2D8" w:rsidR="1CA89162" w:rsidRDefault="518E408C" w:rsidP="48146BEA">
      <w:pPr>
        <w:spacing w:before="240"/>
        <w:rPr>
          <w:rFonts w:eastAsia="Times New Roman"/>
          <w:noProof/>
        </w:rPr>
      </w:pPr>
      <w:r w:rsidRPr="48146BEA">
        <w:rPr>
          <w:rFonts w:eastAsia="Times New Roman"/>
          <w:noProof/>
        </w:rPr>
        <w:t>The 2026 Commission Work Programme</w:t>
      </w:r>
      <w:r w:rsidR="0010549E">
        <w:rPr>
          <w:rStyle w:val="FootnoteReference"/>
          <w:rFonts w:eastAsia="Times New Roman"/>
          <w:noProof/>
        </w:rPr>
        <w:footnoteReference w:id="6"/>
      </w:r>
      <w:r w:rsidRPr="48146BEA">
        <w:rPr>
          <w:rFonts w:eastAsia="Times New Roman"/>
          <w:noProof/>
        </w:rPr>
        <w:t xml:space="preserve"> builds on this momentum by including a new </w:t>
      </w:r>
      <w:r w:rsidR="65B7EF19" w:rsidRPr="48146BEA">
        <w:rPr>
          <w:rFonts w:eastAsia="Times New Roman"/>
          <w:noProof/>
        </w:rPr>
        <w:t>cycle</w:t>
      </w:r>
      <w:r w:rsidRPr="48146BEA">
        <w:rPr>
          <w:rFonts w:eastAsia="Times New Roman"/>
          <w:noProof/>
        </w:rPr>
        <w:t xml:space="preserve"> of simplification initiatives and omnibus packages aimed at simplifying rules across key policy areas, including taxation. In particular, </w:t>
      </w:r>
      <w:r w:rsidR="65B7EF19">
        <w:rPr>
          <w:rFonts w:eastAsia="Times New Roman"/>
          <w:noProof/>
        </w:rPr>
        <w:t>the</w:t>
      </w:r>
      <w:r w:rsidRPr="48146BEA">
        <w:rPr>
          <w:rFonts w:eastAsia="Times New Roman"/>
          <w:noProof/>
        </w:rPr>
        <w:t xml:space="preserve"> </w:t>
      </w:r>
      <w:r w:rsidR="4F3C9E16" w:rsidRPr="5C087657">
        <w:rPr>
          <w:rFonts w:eastAsia="Times New Roman"/>
          <w:noProof/>
        </w:rPr>
        <w:t>O</w:t>
      </w:r>
      <w:r w:rsidRPr="48146BEA">
        <w:rPr>
          <w:rFonts w:eastAsia="Times New Roman"/>
          <w:noProof/>
        </w:rPr>
        <w:t xml:space="preserve">mnibus </w:t>
      </w:r>
      <w:r w:rsidR="3577C49D" w:rsidRPr="5C087657">
        <w:rPr>
          <w:rFonts w:eastAsia="Times New Roman"/>
          <w:noProof/>
        </w:rPr>
        <w:t>on T</w:t>
      </w:r>
      <w:r w:rsidRPr="48146BEA">
        <w:rPr>
          <w:rFonts w:eastAsia="Times New Roman"/>
          <w:noProof/>
        </w:rPr>
        <w:t>axation will streamline, simplify and clarify the EU direct tax acquis including the Interest and Royalties Directive</w:t>
      </w:r>
      <w:r w:rsidR="00331C83">
        <w:rPr>
          <w:rStyle w:val="FootnoteReference"/>
          <w:rFonts w:eastAsia="Times New Roman"/>
          <w:noProof/>
        </w:rPr>
        <w:footnoteReference w:id="7"/>
      </w:r>
      <w:r w:rsidRPr="48146BEA">
        <w:rPr>
          <w:rFonts w:eastAsia="Times New Roman"/>
          <w:noProof/>
        </w:rPr>
        <w:t>, the Tax Merger Directive</w:t>
      </w:r>
      <w:r w:rsidR="004916BA">
        <w:rPr>
          <w:rStyle w:val="FootnoteReference"/>
          <w:rFonts w:eastAsia="Times New Roman"/>
          <w:noProof/>
        </w:rPr>
        <w:footnoteReference w:id="8"/>
      </w:r>
      <w:r w:rsidRPr="48146BEA">
        <w:rPr>
          <w:rFonts w:eastAsia="Times New Roman"/>
          <w:noProof/>
        </w:rPr>
        <w:t>, the Parent-Subsidiary Directive</w:t>
      </w:r>
      <w:r w:rsidR="00384E53">
        <w:rPr>
          <w:rStyle w:val="FootnoteReference"/>
          <w:rFonts w:eastAsia="Times New Roman"/>
          <w:noProof/>
        </w:rPr>
        <w:footnoteReference w:id="9"/>
      </w:r>
      <w:r w:rsidRPr="48146BEA">
        <w:rPr>
          <w:rFonts w:eastAsia="Times New Roman"/>
          <w:noProof/>
        </w:rPr>
        <w:t>, the Anti-Tax Avoidance Directive</w:t>
      </w:r>
      <w:r w:rsidR="00163962">
        <w:rPr>
          <w:rStyle w:val="FootnoteReference"/>
          <w:rFonts w:eastAsia="Times New Roman"/>
          <w:noProof/>
        </w:rPr>
        <w:footnoteReference w:id="10"/>
      </w:r>
      <w:r w:rsidR="315DCC1E" w:rsidRPr="60109F8D">
        <w:rPr>
          <w:rFonts w:eastAsia="Times New Roman"/>
          <w:noProof/>
        </w:rPr>
        <w:t>,</w:t>
      </w:r>
      <w:r w:rsidRPr="48146BEA">
        <w:rPr>
          <w:rFonts w:eastAsia="Times New Roman"/>
          <w:noProof/>
        </w:rPr>
        <w:t xml:space="preserve"> the Dispute Resolution Mechanisms Directive</w:t>
      </w:r>
      <w:r w:rsidR="004C28D9">
        <w:rPr>
          <w:rStyle w:val="FootnoteReference"/>
          <w:rFonts w:eastAsia="Times New Roman"/>
          <w:noProof/>
        </w:rPr>
        <w:footnoteReference w:id="11"/>
      </w:r>
      <w:r w:rsidR="2F330A10" w:rsidRPr="55554368">
        <w:rPr>
          <w:rFonts w:eastAsia="Times New Roman"/>
          <w:noProof/>
        </w:rPr>
        <w:t xml:space="preserve">, and </w:t>
      </w:r>
      <w:r w:rsidR="34A3130F" w:rsidRPr="55554368">
        <w:rPr>
          <w:rFonts w:eastAsia="Times New Roman"/>
          <w:noProof/>
        </w:rPr>
        <w:t xml:space="preserve">the </w:t>
      </w:r>
      <w:r w:rsidR="1FD4B2EC" w:rsidRPr="51E2812D">
        <w:rPr>
          <w:rFonts w:eastAsia="Times New Roman"/>
          <w:noProof/>
        </w:rPr>
        <w:t>Faster and Safer Relief of Excess Withholding Taxes Directive</w:t>
      </w:r>
      <w:r w:rsidR="00A20810">
        <w:rPr>
          <w:rStyle w:val="FootnoteReference"/>
          <w:rFonts w:eastAsia="Times New Roman"/>
          <w:noProof/>
        </w:rPr>
        <w:footnoteReference w:id="12"/>
      </w:r>
      <w:r w:rsidR="00CD1816">
        <w:rPr>
          <w:rFonts w:eastAsia="Times New Roman"/>
          <w:noProof/>
        </w:rPr>
        <w:t xml:space="preserve"> </w:t>
      </w:r>
      <w:r w:rsidRPr="48146BEA">
        <w:rPr>
          <w:rFonts w:eastAsia="Times New Roman"/>
          <w:noProof/>
        </w:rPr>
        <w:t>with a view to reducing administrative burdens for businesses and ensuring a level playing field across Member States.</w:t>
      </w:r>
    </w:p>
    <w:p w14:paraId="13FE1A2D" w14:textId="26F84BF6" w:rsidR="1CA89162" w:rsidRDefault="1CA89162" w:rsidP="48146BEA">
      <w:pPr>
        <w:spacing w:before="240"/>
        <w:rPr>
          <w:rFonts w:eastAsia="Times New Roman"/>
          <w:noProof/>
        </w:rPr>
      </w:pPr>
      <w:r w:rsidRPr="6E07C7DA">
        <w:rPr>
          <w:rFonts w:eastAsia="Times New Roman"/>
          <w:noProof/>
        </w:rPr>
        <w:t>The proposal to recast the Directive on administrative cooperation in the field of direct taxation (</w:t>
      </w:r>
      <w:r w:rsidRPr="005A23C3">
        <w:rPr>
          <w:rFonts w:eastAsia="Times New Roman"/>
          <w:b/>
          <w:bCs/>
          <w:noProof/>
        </w:rPr>
        <w:t>DAC</w:t>
      </w:r>
      <w:r w:rsidRPr="6E07C7DA">
        <w:rPr>
          <w:rFonts w:eastAsia="Times New Roman"/>
          <w:noProof/>
        </w:rPr>
        <w:t>)</w:t>
      </w:r>
      <w:r w:rsidR="00506476">
        <w:rPr>
          <w:rStyle w:val="FootnoteReference"/>
          <w:rFonts w:eastAsia="Times New Roman"/>
          <w:noProof/>
        </w:rPr>
        <w:footnoteReference w:id="13"/>
      </w:r>
      <w:r w:rsidRPr="6E07C7DA">
        <w:rPr>
          <w:rFonts w:eastAsia="Times New Roman"/>
          <w:noProof/>
        </w:rPr>
        <w:t xml:space="preserve"> </w:t>
      </w:r>
      <w:r w:rsidR="0894D08C" w:rsidRPr="6E07C7DA">
        <w:rPr>
          <w:rFonts w:eastAsia="Times New Roman"/>
          <w:noProof/>
        </w:rPr>
        <w:t xml:space="preserve">will </w:t>
      </w:r>
      <w:r w:rsidRPr="6E07C7DA">
        <w:rPr>
          <w:rFonts w:eastAsia="Times New Roman"/>
          <w:noProof/>
        </w:rPr>
        <w:t xml:space="preserve">complement these simplification efforts by clarifying, streamlining and improving the functioning of the EU framework for administrative cooperation in direct taxation. The objective is to reduce the administrative burden on businesses while increasing the efficiency of tax </w:t>
      </w:r>
      <w:r w:rsidR="0F550B1F" w:rsidRPr="221E59A2">
        <w:rPr>
          <w:rFonts w:eastAsia="Times New Roman"/>
          <w:noProof/>
        </w:rPr>
        <w:t>administration</w:t>
      </w:r>
      <w:r w:rsidRPr="6E07C7DA">
        <w:rPr>
          <w:rFonts w:eastAsia="Times New Roman"/>
          <w:noProof/>
        </w:rPr>
        <w:t xml:space="preserve"> without undermining the </w:t>
      </w:r>
      <w:r w:rsidR="1B3D123F" w:rsidRPr="221E59A2">
        <w:rPr>
          <w:rFonts w:eastAsia="Times New Roman"/>
          <w:noProof/>
        </w:rPr>
        <w:t>overarching</w:t>
      </w:r>
      <w:r w:rsidR="0F550B1F" w:rsidRPr="221E59A2">
        <w:rPr>
          <w:rFonts w:eastAsia="Times New Roman"/>
          <w:noProof/>
        </w:rPr>
        <w:t xml:space="preserve"> </w:t>
      </w:r>
      <w:r w:rsidRPr="6E07C7DA">
        <w:rPr>
          <w:rFonts w:eastAsia="Times New Roman"/>
          <w:noProof/>
        </w:rPr>
        <w:t>policy objective of combating tax fraud, evasion and avoidance.</w:t>
      </w:r>
    </w:p>
    <w:p w14:paraId="7D4A8EF8" w14:textId="11386BA6" w:rsidR="1CA89162" w:rsidRDefault="518E408C" w:rsidP="48146BEA">
      <w:pPr>
        <w:spacing w:before="240"/>
        <w:rPr>
          <w:rFonts w:eastAsia="Times New Roman"/>
          <w:noProof/>
        </w:rPr>
      </w:pPr>
      <w:r w:rsidRPr="6E07C7DA">
        <w:rPr>
          <w:rFonts w:eastAsia="Times New Roman"/>
          <w:noProof/>
        </w:rPr>
        <w:t xml:space="preserve">Member States </w:t>
      </w:r>
      <w:r w:rsidR="162703C8">
        <w:rPr>
          <w:rFonts w:eastAsia="Times New Roman"/>
          <w:noProof/>
        </w:rPr>
        <w:t xml:space="preserve">unanimously </w:t>
      </w:r>
      <w:r w:rsidRPr="6E07C7DA">
        <w:rPr>
          <w:rFonts w:eastAsia="Times New Roman"/>
          <w:noProof/>
        </w:rPr>
        <w:t>support simplification in the field of direct taxation</w:t>
      </w:r>
      <w:r w:rsidR="3D48DD18" w:rsidRPr="6E07C7DA">
        <w:rPr>
          <w:rFonts w:eastAsia="Times New Roman"/>
          <w:noProof/>
        </w:rPr>
        <w:t xml:space="preserve"> and on</w:t>
      </w:r>
      <w:r w:rsidRPr="6E07C7DA">
        <w:rPr>
          <w:rFonts w:eastAsia="Times New Roman"/>
          <w:noProof/>
        </w:rPr>
        <w:t xml:space="preserve"> 20 March 2025, adopted </w:t>
      </w:r>
      <w:r w:rsidR="65B7EF19">
        <w:rPr>
          <w:rFonts w:eastAsia="Times New Roman"/>
          <w:noProof/>
        </w:rPr>
        <w:t>Council C</w:t>
      </w:r>
      <w:r w:rsidRPr="6E07C7DA">
        <w:rPr>
          <w:rFonts w:eastAsia="Times New Roman"/>
          <w:noProof/>
        </w:rPr>
        <w:t>onclusions</w:t>
      </w:r>
      <w:r w:rsidR="004D1346">
        <w:rPr>
          <w:rStyle w:val="FootnoteReference"/>
          <w:rFonts w:eastAsia="Times New Roman"/>
          <w:noProof/>
        </w:rPr>
        <w:footnoteReference w:id="14"/>
      </w:r>
      <w:r w:rsidRPr="6E07C7DA">
        <w:rPr>
          <w:rFonts w:eastAsia="Times New Roman"/>
          <w:noProof/>
        </w:rPr>
        <w:t xml:space="preserve"> calling for efforts at EU, national and regional levels to ensure a clear, simple</w:t>
      </w:r>
      <w:r w:rsidR="32C20E91" w:rsidRPr="6E07C7DA">
        <w:rPr>
          <w:rFonts w:eastAsia="Times New Roman"/>
          <w:noProof/>
        </w:rPr>
        <w:t xml:space="preserve"> and </w:t>
      </w:r>
      <w:r w:rsidRPr="6E07C7DA">
        <w:rPr>
          <w:rFonts w:eastAsia="Times New Roman"/>
          <w:noProof/>
        </w:rPr>
        <w:t xml:space="preserve">smart regulatory framework </w:t>
      </w:r>
      <w:r w:rsidR="005A23C3">
        <w:rPr>
          <w:rFonts w:eastAsia="Times New Roman"/>
          <w:noProof/>
        </w:rPr>
        <w:t>that reduces</w:t>
      </w:r>
      <w:r w:rsidRPr="6E07C7DA">
        <w:rPr>
          <w:rFonts w:eastAsia="Times New Roman"/>
          <w:noProof/>
        </w:rPr>
        <w:t xml:space="preserve"> administrative, regulatory and reporting burdens for businesses and public administrations without undermining </w:t>
      </w:r>
      <w:r w:rsidR="3B53CC10" w:rsidRPr="6E07C7DA">
        <w:rPr>
          <w:rFonts w:eastAsia="Times New Roman"/>
          <w:noProof/>
        </w:rPr>
        <w:t xml:space="preserve">the </w:t>
      </w:r>
      <w:r w:rsidRPr="6E07C7DA">
        <w:rPr>
          <w:rFonts w:eastAsia="Times New Roman"/>
          <w:noProof/>
        </w:rPr>
        <w:t>policy goals</w:t>
      </w:r>
      <w:r w:rsidR="3D4FDE70" w:rsidRPr="6E07C7DA">
        <w:rPr>
          <w:rFonts w:eastAsia="Times New Roman"/>
          <w:noProof/>
        </w:rPr>
        <w:t>.</w:t>
      </w:r>
      <w:r w:rsidRPr="6E07C7DA">
        <w:rPr>
          <w:rFonts w:eastAsia="Times New Roman"/>
          <w:noProof/>
        </w:rPr>
        <w:t xml:space="preserve"> </w:t>
      </w:r>
    </w:p>
    <w:p w14:paraId="555BF181" w14:textId="5267F27C" w:rsidR="00101236" w:rsidRPr="00101236" w:rsidRDefault="00101236" w:rsidP="00101236">
      <w:pPr>
        <w:spacing w:after="0"/>
        <w:rPr>
          <w:noProof/>
          <w:color w:val="000000" w:themeColor="text1"/>
          <w:szCs w:val="22"/>
        </w:rPr>
      </w:pPr>
      <w:r>
        <w:rPr>
          <w:rFonts w:eastAsia="Times New Roman"/>
          <w:noProof/>
        </w:rPr>
        <w:t>This initiative is consistent with</w:t>
      </w:r>
      <w:r w:rsidRPr="00101236">
        <w:rPr>
          <w:rFonts w:eastAsia="Times New Roman"/>
          <w:noProof/>
        </w:rPr>
        <w:t xml:space="preserve"> the recent proposal for a regulation on the 28th Regime Corporate Legal Framework – EU Inc</w:t>
      </w:r>
      <w:r>
        <w:rPr>
          <w:rStyle w:val="FootnoteReference"/>
          <w:rFonts w:eastAsia="Times New Roman"/>
          <w:noProof/>
        </w:rPr>
        <w:footnoteReference w:id="15"/>
      </w:r>
      <w:r w:rsidRPr="00101236">
        <w:rPr>
          <w:rFonts w:eastAsia="Times New Roman"/>
          <w:noProof/>
        </w:rPr>
        <w:t>, which includes the “once-only” principle for the submission of information</w:t>
      </w:r>
      <w:r>
        <w:rPr>
          <w:rFonts w:eastAsia="Times New Roman"/>
          <w:noProof/>
        </w:rPr>
        <w:t xml:space="preserve">, as well as with </w:t>
      </w:r>
      <w:r>
        <w:rPr>
          <w:noProof/>
          <w:color w:val="000000" w:themeColor="text1"/>
          <w:szCs w:val="22"/>
        </w:rPr>
        <w:t xml:space="preserve">the </w:t>
      </w:r>
      <w:r w:rsidRPr="00101236">
        <w:rPr>
          <w:noProof/>
          <w:color w:val="000000" w:themeColor="text1"/>
          <w:szCs w:val="22"/>
        </w:rPr>
        <w:t>FASTER Directive</w:t>
      </w:r>
      <w:r>
        <w:rPr>
          <w:noProof/>
          <w:color w:val="000000" w:themeColor="text1"/>
          <w:szCs w:val="22"/>
        </w:rPr>
        <w:t xml:space="preserve">, </w:t>
      </w:r>
      <w:r w:rsidRPr="00101236">
        <w:rPr>
          <w:noProof/>
          <w:color w:val="000000" w:themeColor="text1"/>
          <w:szCs w:val="22"/>
        </w:rPr>
        <w:t>which simplifies procedures for claiming relief of excess withholding taxes while, at the same time, providing for reporting obligations to increase transparency.</w:t>
      </w:r>
      <w:r w:rsidRPr="00101236">
        <w:rPr>
          <w:noProof/>
        </w:rPr>
        <w:t xml:space="preserve"> </w:t>
      </w:r>
      <w:r w:rsidRPr="00101236">
        <w:rPr>
          <w:noProof/>
          <w:color w:val="000000" w:themeColor="text1"/>
          <w:szCs w:val="22"/>
        </w:rPr>
        <w:t xml:space="preserve">The DAC, once recast, will continue to be coherent </w:t>
      </w:r>
      <w:r>
        <w:rPr>
          <w:noProof/>
          <w:color w:val="000000" w:themeColor="text1"/>
          <w:szCs w:val="22"/>
        </w:rPr>
        <w:t xml:space="preserve">and complementary </w:t>
      </w:r>
      <w:r w:rsidRPr="00101236">
        <w:rPr>
          <w:noProof/>
          <w:color w:val="000000" w:themeColor="text1"/>
          <w:szCs w:val="22"/>
        </w:rPr>
        <w:t>with the EU Accounting Directive</w:t>
      </w:r>
      <w:r>
        <w:rPr>
          <w:rStyle w:val="FootnoteReference"/>
          <w:noProof/>
          <w:color w:val="000000" w:themeColor="text1"/>
          <w:szCs w:val="22"/>
        </w:rPr>
        <w:footnoteReference w:id="16"/>
      </w:r>
      <w:r w:rsidRPr="00101236">
        <w:rPr>
          <w:noProof/>
          <w:color w:val="000000" w:themeColor="text1"/>
          <w:szCs w:val="22"/>
        </w:rPr>
        <w:t xml:space="preserve"> </w:t>
      </w:r>
      <w:r>
        <w:rPr>
          <w:noProof/>
          <w:color w:val="000000" w:themeColor="text1"/>
          <w:szCs w:val="22"/>
        </w:rPr>
        <w:t xml:space="preserve">which </w:t>
      </w:r>
      <w:r w:rsidRPr="00101236">
        <w:rPr>
          <w:noProof/>
          <w:color w:val="000000" w:themeColor="text1"/>
          <w:szCs w:val="22"/>
        </w:rPr>
        <w:t xml:space="preserve">intends to promote the </w:t>
      </w:r>
      <w:r>
        <w:rPr>
          <w:noProof/>
          <w:color w:val="000000" w:themeColor="text1"/>
          <w:szCs w:val="22"/>
        </w:rPr>
        <w:t xml:space="preserve">public </w:t>
      </w:r>
      <w:r w:rsidRPr="00101236">
        <w:rPr>
          <w:noProof/>
          <w:color w:val="000000" w:themeColor="text1"/>
          <w:szCs w:val="22"/>
        </w:rPr>
        <w:t>transparency of the MNE grou</w:t>
      </w:r>
      <w:r>
        <w:rPr>
          <w:noProof/>
          <w:color w:val="000000" w:themeColor="text1"/>
          <w:szCs w:val="22"/>
        </w:rPr>
        <w:t>p.</w:t>
      </w:r>
    </w:p>
    <w:p w14:paraId="7C839FE7" w14:textId="2262C7B7" w:rsidR="00155878" w:rsidRDefault="65B7EF19" w:rsidP="48146BEA">
      <w:pPr>
        <w:spacing w:before="240"/>
        <w:rPr>
          <w:rFonts w:eastAsia="Times New Roman"/>
          <w:noProof/>
        </w:rPr>
      </w:pPr>
      <w:r>
        <w:rPr>
          <w:rFonts w:eastAsia="Times New Roman"/>
          <w:noProof/>
        </w:rPr>
        <w:t>In addition, the DAC recast</w:t>
      </w:r>
      <w:r w:rsidR="518E408C" w:rsidRPr="3A123E5D">
        <w:rPr>
          <w:rFonts w:eastAsia="Times New Roman"/>
          <w:noProof/>
        </w:rPr>
        <w:t xml:space="preserve"> initiative is consistent with the Union’s commitment to the United Nations 2030 Agenda for Sustainable Development</w:t>
      </w:r>
      <w:r w:rsidR="00C945E8">
        <w:rPr>
          <w:rStyle w:val="FootnoteReference"/>
          <w:rFonts w:eastAsia="Times New Roman"/>
          <w:noProof/>
        </w:rPr>
        <w:footnoteReference w:id="17"/>
      </w:r>
      <w:r w:rsidR="518E408C" w:rsidRPr="3A123E5D">
        <w:rPr>
          <w:rFonts w:eastAsia="Times New Roman"/>
          <w:noProof/>
        </w:rPr>
        <w:t xml:space="preserve">. It contributes in particular to </w:t>
      </w:r>
      <w:r w:rsidR="005A23C3">
        <w:rPr>
          <w:rFonts w:eastAsia="Times New Roman"/>
          <w:noProof/>
        </w:rPr>
        <w:t>Sustainable Development Goal (</w:t>
      </w:r>
      <w:r w:rsidR="005A23C3" w:rsidRPr="00E24251">
        <w:rPr>
          <w:rFonts w:eastAsia="Times New Roman"/>
          <w:noProof/>
        </w:rPr>
        <w:t>SDG)</w:t>
      </w:r>
      <w:r w:rsidR="518E408C" w:rsidRPr="3A123E5D">
        <w:rPr>
          <w:rFonts w:eastAsia="Times New Roman"/>
          <w:noProof/>
        </w:rPr>
        <w:t xml:space="preserve"> 8 (Decent Work and Economic Growth),</w:t>
      </w:r>
      <w:r w:rsidR="1D2B3E65" w:rsidRPr="3A123E5D">
        <w:rPr>
          <w:rFonts w:eastAsia="Times New Roman"/>
          <w:noProof/>
        </w:rPr>
        <w:t xml:space="preserve"> SDG 9 (Industry, Innovation and Infrastructure), </w:t>
      </w:r>
      <w:r w:rsidR="46434243" w:rsidRPr="3A123E5D">
        <w:rPr>
          <w:rFonts w:eastAsia="Times New Roman"/>
          <w:noProof/>
        </w:rPr>
        <w:t>SDG 10 (Reduced Inequalities)</w:t>
      </w:r>
      <w:r w:rsidR="32BA2D16" w:rsidRPr="3A123E5D">
        <w:rPr>
          <w:rFonts w:eastAsia="Times New Roman"/>
          <w:noProof/>
        </w:rPr>
        <w:t xml:space="preserve">, </w:t>
      </w:r>
      <w:r w:rsidR="518E408C" w:rsidRPr="3A123E5D">
        <w:rPr>
          <w:rFonts w:eastAsia="Times New Roman"/>
          <w:noProof/>
        </w:rPr>
        <w:t xml:space="preserve">SDG 16 (Peace, Justice and Strong Institutions) and SDG 17 (Partnerships for the Goals). A more detailed analysis of these aspects is included in </w:t>
      </w:r>
      <w:r w:rsidR="518E408C" w:rsidRPr="005A23C3">
        <w:rPr>
          <w:rFonts w:eastAsia="Times New Roman"/>
          <w:noProof/>
        </w:rPr>
        <w:t>Annex 3</w:t>
      </w:r>
      <w:r w:rsidR="518E408C" w:rsidRPr="3A123E5D">
        <w:rPr>
          <w:rFonts w:eastAsia="Times New Roman"/>
          <w:noProof/>
        </w:rPr>
        <w:t>.</w:t>
      </w:r>
    </w:p>
    <w:p w14:paraId="79C1B7C8" w14:textId="60C07FD5" w:rsidR="1CA89162" w:rsidRDefault="1CA89162" w:rsidP="00616B81">
      <w:pPr>
        <w:pStyle w:val="Heading2"/>
        <w:rPr>
          <w:noProof/>
        </w:rPr>
      </w:pPr>
      <w:bookmarkStart w:id="5" w:name="_Toc231816691"/>
      <w:r w:rsidRPr="3A123E5D">
        <w:rPr>
          <w:noProof/>
        </w:rPr>
        <w:t>Legal context</w:t>
      </w:r>
      <w:bookmarkEnd w:id="5"/>
    </w:p>
    <w:p w14:paraId="02045AE6" w14:textId="6D0CDA69" w:rsidR="1CA89162" w:rsidRDefault="1CA89162" w:rsidP="05F6CCA3">
      <w:pPr>
        <w:spacing w:before="240"/>
        <w:rPr>
          <w:rFonts w:eastAsia="Times New Roman"/>
          <w:noProof/>
        </w:rPr>
      </w:pPr>
      <w:r w:rsidRPr="6E07C7DA">
        <w:rPr>
          <w:rFonts w:eastAsia="Times New Roman"/>
          <w:noProof/>
        </w:rPr>
        <w:t>The DAC is the main piece of EU legislation governing administrative cooperation in direct taxation. It provides harmonised tools such as exchange of information (on request, automatic and spontaneous) as well as other cooperation instruments</w:t>
      </w:r>
      <w:r w:rsidR="2C7FE01B" w:rsidRPr="6E07C7DA">
        <w:rPr>
          <w:rFonts w:eastAsia="Times New Roman"/>
          <w:noProof/>
        </w:rPr>
        <w:t xml:space="preserve"> (</w:t>
      </w:r>
      <w:r w:rsidRPr="6E07C7DA">
        <w:rPr>
          <w:rFonts w:eastAsia="Times New Roman"/>
          <w:noProof/>
        </w:rPr>
        <w:t>presence in administrative offices or during administrative enquiries, simultaneous controls and joint audits</w:t>
      </w:r>
      <w:r w:rsidR="5348C131" w:rsidRPr="6E07C7DA">
        <w:rPr>
          <w:rFonts w:eastAsia="Times New Roman"/>
          <w:noProof/>
        </w:rPr>
        <w:t>)</w:t>
      </w:r>
      <w:r w:rsidRPr="6E07C7DA">
        <w:rPr>
          <w:rFonts w:eastAsia="Times New Roman"/>
          <w:noProof/>
        </w:rPr>
        <w:t xml:space="preserve">. These mechanisms enable Member States’ tax authorities to cooperate efficiently in combating tax fraud, evasion and avoidance. By increasing tax transparency, the DAC helps protect the financial interests of Member States and the EU, ensures the proper functioning of the </w:t>
      </w:r>
      <w:r w:rsidR="00B95CD3">
        <w:rPr>
          <w:rFonts w:eastAsia="Times New Roman"/>
          <w:noProof/>
        </w:rPr>
        <w:t>i</w:t>
      </w:r>
      <w:r w:rsidRPr="6E07C7DA">
        <w:rPr>
          <w:rFonts w:eastAsia="Times New Roman"/>
          <w:noProof/>
        </w:rPr>
        <w:t xml:space="preserve">nternal </w:t>
      </w:r>
      <w:r w:rsidR="00B95CD3">
        <w:rPr>
          <w:rFonts w:eastAsia="Times New Roman"/>
          <w:noProof/>
        </w:rPr>
        <w:t>m</w:t>
      </w:r>
      <w:r w:rsidRPr="6E07C7DA">
        <w:rPr>
          <w:rFonts w:eastAsia="Times New Roman"/>
          <w:noProof/>
        </w:rPr>
        <w:t>arket and contributes to a fairer taxation system.</w:t>
      </w:r>
    </w:p>
    <w:p w14:paraId="77987D11" w14:textId="6AF1DA0E" w:rsidR="005C6E0F" w:rsidRDefault="518E408C" w:rsidP="4321A1A3">
      <w:pPr>
        <w:spacing w:after="0"/>
        <w:rPr>
          <w:rFonts w:eastAsia="Times New Roman"/>
          <w:noProof/>
        </w:rPr>
      </w:pPr>
      <w:r w:rsidRPr="6E07C7DA">
        <w:rPr>
          <w:rFonts w:eastAsia="Times New Roman"/>
          <w:noProof/>
        </w:rPr>
        <w:t>The most impactful cooperation tool under the DAC is the automatic exchange of information</w:t>
      </w:r>
      <w:r w:rsidR="09A7647E" w:rsidRPr="6E07C7DA">
        <w:rPr>
          <w:rFonts w:eastAsia="Times New Roman"/>
          <w:noProof/>
        </w:rPr>
        <w:t xml:space="preserve"> </w:t>
      </w:r>
      <w:r w:rsidR="09A7647E" w:rsidRPr="6E07C7DA">
        <w:rPr>
          <w:rFonts w:eastAsia="Times New Roman"/>
          <w:b/>
          <w:bCs/>
          <w:noProof/>
        </w:rPr>
        <w:t>(AEOI)</w:t>
      </w:r>
      <w:r w:rsidRPr="6E07C7DA">
        <w:rPr>
          <w:rFonts w:eastAsia="Times New Roman"/>
          <w:b/>
          <w:bCs/>
          <w:noProof/>
        </w:rPr>
        <w:t>.</w:t>
      </w:r>
      <w:r w:rsidRPr="6E07C7DA">
        <w:rPr>
          <w:rFonts w:eastAsia="Times New Roman"/>
          <w:noProof/>
        </w:rPr>
        <w:t xml:space="preserve"> In most cases, this mechanism operates through a two-step process:</w:t>
      </w:r>
      <w:r w:rsidR="720F4ABB" w:rsidRPr="6E07C7DA">
        <w:rPr>
          <w:rFonts w:eastAsia="Times New Roman"/>
          <w:noProof/>
        </w:rPr>
        <w:t xml:space="preserve"> </w:t>
      </w:r>
      <w:r w:rsidR="65B7EF19">
        <w:rPr>
          <w:rFonts w:eastAsia="Times New Roman"/>
          <w:b/>
          <w:bCs/>
          <w:noProof/>
        </w:rPr>
        <w:t>i</w:t>
      </w:r>
      <w:r w:rsidR="720F4ABB" w:rsidRPr="6E07C7DA">
        <w:rPr>
          <w:rFonts w:eastAsia="Times New Roman"/>
          <w:b/>
          <w:bCs/>
          <w:noProof/>
        </w:rPr>
        <w:t>)</w:t>
      </w:r>
      <w:r w:rsidR="4C6238B9" w:rsidRPr="6E07C7DA">
        <w:rPr>
          <w:rFonts w:eastAsia="Times New Roman"/>
          <w:b/>
          <w:bCs/>
          <w:noProof/>
        </w:rPr>
        <w:t xml:space="preserve"> </w:t>
      </w:r>
      <w:r w:rsidR="4C6238B9" w:rsidRPr="6E07C7DA">
        <w:rPr>
          <w:rFonts w:eastAsia="Times New Roman"/>
          <w:noProof/>
        </w:rPr>
        <w:t>reporting to the tax authorities by the taxpayer or a third-party (e</w:t>
      </w:r>
      <w:r w:rsidR="5074B1A9" w:rsidRPr="6E07C7DA">
        <w:rPr>
          <w:rFonts w:eastAsia="Times New Roman"/>
          <w:noProof/>
        </w:rPr>
        <w:t>.g</w:t>
      </w:r>
      <w:r w:rsidR="4C6238B9" w:rsidRPr="6E07C7DA">
        <w:rPr>
          <w:rFonts w:eastAsia="Times New Roman"/>
          <w:noProof/>
        </w:rPr>
        <w:t xml:space="preserve">. </w:t>
      </w:r>
      <w:r w:rsidR="31F0589C" w:rsidRPr="6E07C7DA">
        <w:rPr>
          <w:rFonts w:eastAsia="Times New Roman"/>
          <w:noProof/>
        </w:rPr>
        <w:t>f</w:t>
      </w:r>
      <w:r w:rsidR="4C6238B9" w:rsidRPr="6E07C7DA">
        <w:rPr>
          <w:rFonts w:eastAsia="Times New Roman"/>
          <w:noProof/>
        </w:rPr>
        <w:t>inancial institution</w:t>
      </w:r>
      <w:r w:rsidR="0F49908D" w:rsidRPr="6E07C7DA">
        <w:rPr>
          <w:rFonts w:eastAsia="Times New Roman"/>
          <w:noProof/>
        </w:rPr>
        <w:t>s</w:t>
      </w:r>
      <w:r w:rsidR="4C6238B9" w:rsidRPr="6E07C7DA">
        <w:rPr>
          <w:rFonts w:eastAsia="Times New Roman"/>
          <w:noProof/>
        </w:rPr>
        <w:t>)</w:t>
      </w:r>
      <w:r w:rsidR="4C6238B9" w:rsidRPr="6E07C7DA">
        <w:rPr>
          <w:rFonts w:eastAsia="Times New Roman"/>
          <w:b/>
          <w:bCs/>
          <w:noProof/>
        </w:rPr>
        <w:t xml:space="preserve"> </w:t>
      </w:r>
      <w:r w:rsidR="4C6238B9" w:rsidRPr="6E07C7DA">
        <w:rPr>
          <w:rFonts w:eastAsia="Times New Roman"/>
          <w:noProof/>
        </w:rPr>
        <w:t xml:space="preserve">and </w:t>
      </w:r>
      <w:r w:rsidR="65B7EF19">
        <w:rPr>
          <w:rFonts w:eastAsia="Times New Roman"/>
          <w:b/>
          <w:bCs/>
          <w:noProof/>
        </w:rPr>
        <w:t>ii</w:t>
      </w:r>
      <w:r w:rsidR="0E5CAD2B" w:rsidRPr="6E07C7DA">
        <w:rPr>
          <w:rFonts w:eastAsia="Times New Roman"/>
          <w:b/>
          <w:bCs/>
          <w:noProof/>
        </w:rPr>
        <w:t>)</w:t>
      </w:r>
      <w:r w:rsidR="4C6238B9" w:rsidRPr="6E07C7DA">
        <w:rPr>
          <w:rFonts w:eastAsia="Times New Roman"/>
          <w:b/>
          <w:bCs/>
          <w:noProof/>
        </w:rPr>
        <w:t xml:space="preserve"> </w:t>
      </w:r>
      <w:r w:rsidR="005A23C3" w:rsidRPr="005A23C3">
        <w:rPr>
          <w:rFonts w:eastAsia="Times New Roman"/>
          <w:noProof/>
        </w:rPr>
        <w:t>automatic</w:t>
      </w:r>
      <w:r w:rsidR="005A23C3">
        <w:rPr>
          <w:rFonts w:eastAsia="Times New Roman"/>
          <w:b/>
          <w:bCs/>
          <w:noProof/>
        </w:rPr>
        <w:t xml:space="preserve"> </w:t>
      </w:r>
      <w:r w:rsidR="4C6238B9" w:rsidRPr="6E07C7DA">
        <w:rPr>
          <w:rFonts w:eastAsia="Times New Roman"/>
          <w:noProof/>
        </w:rPr>
        <w:t xml:space="preserve">exchange between the tax authorities </w:t>
      </w:r>
      <w:r w:rsidR="4D0492BA" w:rsidRPr="6E07C7DA">
        <w:rPr>
          <w:rFonts w:eastAsia="Times New Roman"/>
          <w:noProof/>
        </w:rPr>
        <w:t>concerned of the information that has been reported.</w:t>
      </w:r>
      <w:r w:rsidR="7BD0C8A8" w:rsidRPr="6E07C7DA">
        <w:rPr>
          <w:rFonts w:eastAsia="Times New Roman"/>
          <w:noProof/>
        </w:rPr>
        <w:t xml:space="preserve"> </w:t>
      </w:r>
      <w:r w:rsidR="60FC372D" w:rsidRPr="6E07C7DA">
        <w:rPr>
          <w:rFonts w:eastAsia="Times New Roman"/>
          <w:noProof/>
        </w:rPr>
        <w:t xml:space="preserve">The </w:t>
      </w:r>
      <w:r w:rsidRPr="6E07C7DA">
        <w:rPr>
          <w:rFonts w:eastAsia="Times New Roman"/>
          <w:noProof/>
        </w:rPr>
        <w:t xml:space="preserve">scope of </w:t>
      </w:r>
      <w:r w:rsidR="57A352F0" w:rsidRPr="6E07C7DA">
        <w:rPr>
          <w:rFonts w:eastAsia="Times New Roman"/>
          <w:noProof/>
        </w:rPr>
        <w:t>AEOI</w:t>
      </w:r>
      <w:r w:rsidRPr="6E07C7DA">
        <w:rPr>
          <w:rFonts w:eastAsia="Times New Roman"/>
          <w:noProof/>
        </w:rPr>
        <w:t xml:space="preserve"> under the DAC has been expanded several times </w:t>
      </w:r>
      <w:r w:rsidR="668D4902" w:rsidRPr="6E07C7DA">
        <w:rPr>
          <w:rFonts w:eastAsia="Times New Roman"/>
          <w:noProof/>
        </w:rPr>
        <w:t>o</w:t>
      </w:r>
      <w:r w:rsidR="135C18A1" w:rsidRPr="6E07C7DA">
        <w:rPr>
          <w:rFonts w:eastAsia="Times New Roman"/>
          <w:noProof/>
        </w:rPr>
        <w:t xml:space="preserve">ver recent years, </w:t>
      </w:r>
      <w:r w:rsidRPr="6E07C7DA">
        <w:rPr>
          <w:rFonts w:eastAsia="Times New Roman"/>
          <w:noProof/>
        </w:rPr>
        <w:t xml:space="preserve">in order to respond to emerging challenges and evolving economic realities. </w:t>
      </w:r>
      <w:r w:rsidR="6EE5C012" w:rsidRPr="6E07C7DA">
        <w:rPr>
          <w:rFonts w:eastAsia="Times New Roman"/>
          <w:noProof/>
        </w:rPr>
        <w:t xml:space="preserve">While the initial framework covered AEOI on </w:t>
      </w:r>
      <w:r w:rsidR="2F3B41AF">
        <w:rPr>
          <w:rFonts w:eastAsia="Times New Roman"/>
          <w:noProof/>
        </w:rPr>
        <w:t xml:space="preserve">five </w:t>
      </w:r>
      <w:r w:rsidR="6EE5C012" w:rsidRPr="6E07C7DA">
        <w:rPr>
          <w:rFonts w:eastAsia="Times New Roman"/>
          <w:noProof/>
        </w:rPr>
        <w:t>categories of income and capit</w:t>
      </w:r>
      <w:r w:rsidR="53EA8182" w:rsidRPr="6E07C7DA">
        <w:rPr>
          <w:rFonts w:eastAsia="Times New Roman"/>
          <w:noProof/>
        </w:rPr>
        <w:t>al</w:t>
      </w:r>
      <w:r w:rsidR="6F8DDF08" w:rsidRPr="6E07C7DA">
        <w:rPr>
          <w:rFonts w:eastAsia="Times New Roman"/>
          <w:noProof/>
        </w:rPr>
        <w:t xml:space="preserve"> </w:t>
      </w:r>
      <w:r w:rsidR="6F8DDF08" w:rsidRPr="6E07C7DA">
        <w:rPr>
          <w:rFonts w:eastAsia="Times New Roman"/>
          <w:b/>
          <w:bCs/>
          <w:noProof/>
        </w:rPr>
        <w:t>(DAC1)</w:t>
      </w:r>
      <w:r w:rsidR="53EA8182" w:rsidRPr="6E07C7DA">
        <w:rPr>
          <w:rFonts w:eastAsia="Times New Roman"/>
          <w:noProof/>
        </w:rPr>
        <w:t>, the framework was subsequently expanded to provide</w:t>
      </w:r>
      <w:r w:rsidR="2089E9A1" w:rsidRPr="6E07C7DA">
        <w:rPr>
          <w:rFonts w:eastAsia="Times New Roman"/>
          <w:noProof/>
        </w:rPr>
        <w:t xml:space="preserve"> for third-party reporting and AEOI </w:t>
      </w:r>
      <w:r w:rsidR="005C6E0F">
        <w:rPr>
          <w:rFonts w:eastAsia="Times New Roman"/>
          <w:noProof/>
        </w:rPr>
        <w:t xml:space="preserve">on financial accounts </w:t>
      </w:r>
      <w:r w:rsidR="005C6E0F" w:rsidRPr="005C6E0F">
        <w:rPr>
          <w:rFonts w:eastAsia="Times New Roman"/>
          <w:b/>
          <w:bCs/>
          <w:noProof/>
        </w:rPr>
        <w:t>(DAC2)</w:t>
      </w:r>
      <w:r w:rsidR="003923E7" w:rsidRPr="003923E7">
        <w:rPr>
          <w:rStyle w:val="FootnoteReference"/>
          <w:rFonts w:eastAsia="Times New Roman"/>
          <w:noProof/>
        </w:rPr>
        <w:footnoteReference w:id="18"/>
      </w:r>
      <w:r w:rsidR="005C6E0F" w:rsidRPr="005C6E0F">
        <w:rPr>
          <w:rFonts w:eastAsia="Times New Roman"/>
          <w:noProof/>
        </w:rPr>
        <w:t xml:space="preserve">, cross-border </w:t>
      </w:r>
      <w:r w:rsidR="005C6E0F">
        <w:rPr>
          <w:rFonts w:eastAsia="Times New Roman"/>
          <w:noProof/>
        </w:rPr>
        <w:t xml:space="preserve">tax rulings </w:t>
      </w:r>
      <w:r w:rsidR="005C6E0F" w:rsidRPr="005C6E0F">
        <w:rPr>
          <w:rFonts w:eastAsia="Times New Roman"/>
          <w:b/>
          <w:bCs/>
          <w:noProof/>
        </w:rPr>
        <w:t>(DAC3)</w:t>
      </w:r>
      <w:r w:rsidR="003923E7" w:rsidRPr="003923E7">
        <w:rPr>
          <w:rStyle w:val="FootnoteReference"/>
          <w:rFonts w:eastAsia="Times New Roman"/>
          <w:noProof/>
        </w:rPr>
        <w:footnoteReference w:id="19"/>
      </w:r>
      <w:r w:rsidR="005C6E0F" w:rsidRPr="005C6E0F">
        <w:rPr>
          <w:rFonts w:eastAsia="Times New Roman"/>
          <w:noProof/>
        </w:rPr>
        <w:t xml:space="preserve">, </w:t>
      </w:r>
      <w:r w:rsidR="00E24251">
        <w:rPr>
          <w:rFonts w:eastAsia="Times New Roman"/>
          <w:noProof/>
        </w:rPr>
        <w:t xml:space="preserve">country-by country reporting (CbCR) on the activities of multinational enterprise (MNE) groups </w:t>
      </w:r>
      <w:r w:rsidR="00E24251" w:rsidRPr="00E24251">
        <w:rPr>
          <w:rFonts w:eastAsia="Times New Roman"/>
          <w:b/>
          <w:bCs/>
          <w:noProof/>
        </w:rPr>
        <w:t>(DAC4)</w:t>
      </w:r>
      <w:r w:rsidR="003923E7" w:rsidRPr="00E75FDF">
        <w:rPr>
          <w:rStyle w:val="FootnoteReference"/>
          <w:rFonts w:eastAsia="Times New Roman"/>
          <w:noProof/>
        </w:rPr>
        <w:footnoteReference w:id="20"/>
      </w:r>
      <w:r w:rsidR="00E24251" w:rsidRPr="00E75FDF">
        <w:rPr>
          <w:rFonts w:eastAsia="Times New Roman"/>
          <w:noProof/>
        </w:rPr>
        <w:t xml:space="preserve">, </w:t>
      </w:r>
      <w:r w:rsidR="00E24251">
        <w:rPr>
          <w:rFonts w:eastAsia="Times New Roman"/>
          <w:noProof/>
        </w:rPr>
        <w:t xml:space="preserve">reportable cross-border arrangements </w:t>
      </w:r>
      <w:r w:rsidR="00E24251" w:rsidRPr="00E24251">
        <w:rPr>
          <w:rFonts w:eastAsia="Times New Roman"/>
          <w:b/>
          <w:bCs/>
          <w:noProof/>
        </w:rPr>
        <w:t>(DAC6)</w:t>
      </w:r>
      <w:r w:rsidR="003923E7" w:rsidRPr="003923E7">
        <w:rPr>
          <w:rStyle w:val="FootnoteReference"/>
          <w:rFonts w:eastAsia="Times New Roman"/>
          <w:noProof/>
        </w:rPr>
        <w:footnoteReference w:id="21"/>
      </w:r>
      <w:r w:rsidR="00E24251" w:rsidRPr="003923E7">
        <w:rPr>
          <w:rFonts w:eastAsia="Times New Roman"/>
          <w:noProof/>
        </w:rPr>
        <w:t>,</w:t>
      </w:r>
      <w:r w:rsidR="00E24251">
        <w:rPr>
          <w:rFonts w:eastAsia="Times New Roman"/>
          <w:noProof/>
        </w:rPr>
        <w:t xml:space="preserve"> income earned through digital platforms </w:t>
      </w:r>
      <w:r w:rsidR="00E24251" w:rsidRPr="00E24251">
        <w:rPr>
          <w:rFonts w:eastAsia="Times New Roman"/>
          <w:b/>
          <w:bCs/>
          <w:noProof/>
        </w:rPr>
        <w:t>(DAC7)</w:t>
      </w:r>
      <w:r w:rsidR="003923E7" w:rsidRPr="00E75FDF">
        <w:rPr>
          <w:rStyle w:val="FootnoteReference"/>
          <w:rFonts w:eastAsia="Times New Roman"/>
          <w:noProof/>
        </w:rPr>
        <w:footnoteReference w:id="22"/>
      </w:r>
      <w:r w:rsidR="00E24251" w:rsidRPr="00E75FDF">
        <w:rPr>
          <w:rFonts w:eastAsia="Times New Roman"/>
          <w:noProof/>
        </w:rPr>
        <w:t>,</w:t>
      </w:r>
      <w:r w:rsidR="00E24251" w:rsidRPr="00E24251">
        <w:rPr>
          <w:rFonts w:eastAsia="Times New Roman"/>
          <w:noProof/>
        </w:rPr>
        <w:t xml:space="preserve"> </w:t>
      </w:r>
      <w:r w:rsidR="00E24251">
        <w:rPr>
          <w:rFonts w:eastAsia="Times New Roman"/>
          <w:noProof/>
        </w:rPr>
        <w:t xml:space="preserve">crypto-asset transactions </w:t>
      </w:r>
      <w:r w:rsidR="00E24251" w:rsidRPr="00E24251">
        <w:rPr>
          <w:rFonts w:eastAsia="Times New Roman"/>
          <w:b/>
          <w:bCs/>
          <w:noProof/>
        </w:rPr>
        <w:t>(DAC8)</w:t>
      </w:r>
      <w:r w:rsidR="003923E7" w:rsidRPr="003923E7">
        <w:rPr>
          <w:rStyle w:val="FootnoteReference"/>
          <w:rFonts w:eastAsia="Times New Roman"/>
          <w:noProof/>
        </w:rPr>
        <w:footnoteReference w:id="23"/>
      </w:r>
      <w:r w:rsidR="00E24251">
        <w:rPr>
          <w:rFonts w:eastAsia="Times New Roman"/>
          <w:noProof/>
        </w:rPr>
        <w:t xml:space="preserve"> and information related to the global minimum tax for MNE groups </w:t>
      </w:r>
      <w:r w:rsidR="00E24251" w:rsidRPr="00E24251">
        <w:rPr>
          <w:rFonts w:eastAsia="Times New Roman"/>
          <w:b/>
          <w:bCs/>
          <w:noProof/>
        </w:rPr>
        <w:t>(DAC9)</w:t>
      </w:r>
      <w:r w:rsidR="00E75FDF" w:rsidRPr="00E75FDF">
        <w:rPr>
          <w:rStyle w:val="FootnoteReference"/>
          <w:rFonts w:eastAsia="Times New Roman"/>
          <w:noProof/>
        </w:rPr>
        <w:footnoteReference w:id="24"/>
      </w:r>
      <w:r w:rsidR="00E24251" w:rsidRPr="00E24251">
        <w:rPr>
          <w:rFonts w:eastAsia="Times New Roman"/>
          <w:noProof/>
        </w:rPr>
        <w:t xml:space="preserve">. </w:t>
      </w:r>
      <w:r w:rsidR="00E75FDF">
        <w:rPr>
          <w:rFonts w:eastAsia="Times New Roman"/>
          <w:noProof/>
        </w:rPr>
        <w:t xml:space="preserve">In addition, </w:t>
      </w:r>
      <w:r w:rsidR="00E75FDF" w:rsidRPr="002A3120">
        <w:rPr>
          <w:rFonts w:eastAsia="Times New Roman"/>
          <w:b/>
          <w:bCs/>
          <w:noProof/>
        </w:rPr>
        <w:t>(DAC5)</w:t>
      </w:r>
      <w:r w:rsidR="00E75FDF" w:rsidRPr="002A3120">
        <w:rPr>
          <w:rStyle w:val="FootnoteReference"/>
          <w:rFonts w:eastAsia="Times New Roman"/>
          <w:noProof/>
        </w:rPr>
        <w:footnoteReference w:id="25"/>
      </w:r>
      <w:r w:rsidR="00E75FDF" w:rsidRPr="7624CB47">
        <w:rPr>
          <w:rFonts w:eastAsia="Times New Roman"/>
          <w:noProof/>
        </w:rPr>
        <w:t xml:space="preserve"> </w:t>
      </w:r>
      <w:r w:rsidR="00E75FDF">
        <w:rPr>
          <w:rFonts w:eastAsia="Times New Roman"/>
          <w:noProof/>
        </w:rPr>
        <w:t xml:space="preserve"> provides access for tax authorities to beneficial ownership registers.</w:t>
      </w:r>
    </w:p>
    <w:p w14:paraId="09E8F867" w14:textId="6BB23375" w:rsidR="006B087E" w:rsidRDefault="40991048" w:rsidP="4321A1A3">
      <w:pPr>
        <w:spacing w:before="240" w:after="200"/>
        <w:rPr>
          <w:b/>
          <w:bCs/>
          <w:i/>
          <w:iCs/>
          <w:noProof/>
        </w:rPr>
      </w:pPr>
      <w:r w:rsidRPr="4321A1A3">
        <w:rPr>
          <w:b/>
          <w:bCs/>
          <w:i/>
          <w:iCs/>
          <w:noProof/>
        </w:rPr>
        <w:t>Figure</w:t>
      </w:r>
      <w:r w:rsidR="5FF071C8" w:rsidRPr="4321A1A3">
        <w:rPr>
          <w:b/>
          <w:bCs/>
          <w:i/>
          <w:iCs/>
          <w:noProof/>
        </w:rPr>
        <w:t xml:space="preserve"> 1</w:t>
      </w:r>
      <w:r w:rsidR="6BED0744" w:rsidRPr="4321A1A3">
        <w:rPr>
          <w:b/>
          <w:bCs/>
          <w:i/>
          <w:iCs/>
          <w:noProof/>
        </w:rPr>
        <w:t xml:space="preserve">: </w:t>
      </w:r>
      <w:r w:rsidR="5FF071C8" w:rsidRPr="4321A1A3">
        <w:rPr>
          <w:b/>
          <w:bCs/>
          <w:i/>
          <w:iCs/>
          <w:noProof/>
        </w:rPr>
        <w:t>Evolution of the DAC</w:t>
      </w:r>
    </w:p>
    <w:p w14:paraId="5B9B2352" w14:textId="1BB30FF1" w:rsidR="18938EA2" w:rsidRDefault="008419BD" w:rsidP="4321A1A3">
      <w:pPr>
        <w:spacing w:after="200"/>
        <w:jc w:val="center"/>
        <w:rPr>
          <w:noProof/>
        </w:rPr>
      </w:pPr>
      <w:r>
        <w:rPr>
          <w:noProof/>
          <w:lang w:eastAsia="en-GB"/>
        </w:rPr>
        <w:drawing>
          <wp:anchor distT="0" distB="0" distL="114300" distR="114300" simplePos="0" relativeHeight="251658241" behindDoc="1" locked="0" layoutInCell="1" allowOverlap="1" wp14:anchorId="01E5BC80" wp14:editId="27C7FDC4">
            <wp:simplePos x="0" y="0"/>
            <wp:positionH relativeFrom="margin">
              <wp:align>center</wp:align>
            </wp:positionH>
            <wp:positionV relativeFrom="paragraph">
              <wp:posOffset>10160</wp:posOffset>
            </wp:positionV>
            <wp:extent cx="7116203" cy="4732565"/>
            <wp:effectExtent l="0" t="0" r="8890" b="0"/>
            <wp:wrapNone/>
            <wp:docPr id="18846309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34390" name="Picture 1142934390"/>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7116203" cy="4732565"/>
                    </a:xfrm>
                    <a:prstGeom prst="rect">
                      <a:avLst/>
                    </a:prstGeom>
                  </pic:spPr>
                </pic:pic>
              </a:graphicData>
            </a:graphic>
            <wp14:sizeRelH relativeFrom="margin">
              <wp14:pctWidth>0</wp14:pctWidth>
            </wp14:sizeRelH>
            <wp14:sizeRelV relativeFrom="margin">
              <wp14:pctHeight>0</wp14:pctHeight>
            </wp14:sizeRelV>
          </wp:anchor>
        </w:drawing>
      </w:r>
    </w:p>
    <w:p w14:paraId="07CD2346" w14:textId="77777777" w:rsidR="004565B9" w:rsidRDefault="004565B9" w:rsidP="6E07C7DA">
      <w:pPr>
        <w:spacing w:after="200"/>
        <w:rPr>
          <w:rFonts w:eastAsia="Times New Roman"/>
          <w:noProof/>
        </w:rPr>
      </w:pPr>
    </w:p>
    <w:p w14:paraId="118FB8E2" w14:textId="77777777" w:rsidR="004565B9" w:rsidRDefault="004565B9" w:rsidP="6E07C7DA">
      <w:pPr>
        <w:spacing w:after="200"/>
        <w:rPr>
          <w:rFonts w:eastAsia="Times New Roman"/>
          <w:noProof/>
        </w:rPr>
      </w:pPr>
    </w:p>
    <w:p w14:paraId="10770D9F" w14:textId="77777777" w:rsidR="004565B9" w:rsidRDefault="004565B9" w:rsidP="6E07C7DA">
      <w:pPr>
        <w:spacing w:after="200"/>
        <w:rPr>
          <w:rFonts w:eastAsia="Times New Roman"/>
          <w:noProof/>
        </w:rPr>
      </w:pPr>
    </w:p>
    <w:p w14:paraId="1EF1FD6C" w14:textId="77777777" w:rsidR="008419BD" w:rsidRDefault="008419BD" w:rsidP="004565B9">
      <w:pPr>
        <w:spacing w:after="200"/>
        <w:rPr>
          <w:rFonts w:eastAsia="Times New Roman"/>
          <w:noProof/>
        </w:rPr>
      </w:pPr>
    </w:p>
    <w:p w14:paraId="78E329C8" w14:textId="77777777" w:rsidR="008419BD" w:rsidRDefault="008419BD" w:rsidP="004565B9">
      <w:pPr>
        <w:spacing w:after="200"/>
        <w:rPr>
          <w:rFonts w:eastAsia="Times New Roman"/>
          <w:noProof/>
        </w:rPr>
      </w:pPr>
    </w:p>
    <w:p w14:paraId="0EF56CCC" w14:textId="77777777" w:rsidR="008419BD" w:rsidRDefault="008419BD" w:rsidP="004565B9">
      <w:pPr>
        <w:spacing w:after="200"/>
        <w:rPr>
          <w:rFonts w:eastAsia="Times New Roman"/>
          <w:noProof/>
        </w:rPr>
      </w:pPr>
    </w:p>
    <w:p w14:paraId="68C691D4" w14:textId="77777777" w:rsidR="008419BD" w:rsidRDefault="008419BD" w:rsidP="004565B9">
      <w:pPr>
        <w:spacing w:after="200"/>
        <w:rPr>
          <w:rFonts w:eastAsia="Times New Roman"/>
          <w:noProof/>
        </w:rPr>
      </w:pPr>
    </w:p>
    <w:p w14:paraId="26DFD5D1" w14:textId="77777777" w:rsidR="008419BD" w:rsidRDefault="008419BD" w:rsidP="004565B9">
      <w:pPr>
        <w:spacing w:after="200"/>
        <w:rPr>
          <w:rFonts w:eastAsia="Times New Roman"/>
          <w:noProof/>
        </w:rPr>
      </w:pPr>
    </w:p>
    <w:p w14:paraId="37B9E258" w14:textId="77777777" w:rsidR="008419BD" w:rsidRDefault="008419BD" w:rsidP="004565B9">
      <w:pPr>
        <w:spacing w:after="200"/>
        <w:rPr>
          <w:rFonts w:eastAsia="Times New Roman"/>
          <w:noProof/>
        </w:rPr>
      </w:pPr>
    </w:p>
    <w:p w14:paraId="6ABB19C4" w14:textId="77777777" w:rsidR="008419BD" w:rsidRDefault="008419BD" w:rsidP="004565B9">
      <w:pPr>
        <w:spacing w:after="200"/>
        <w:rPr>
          <w:rFonts w:eastAsia="Times New Roman"/>
          <w:noProof/>
        </w:rPr>
      </w:pPr>
    </w:p>
    <w:p w14:paraId="583E93BB" w14:textId="77777777" w:rsidR="008419BD" w:rsidRDefault="008419BD" w:rsidP="004565B9">
      <w:pPr>
        <w:spacing w:after="200"/>
        <w:rPr>
          <w:rFonts w:eastAsia="Times New Roman"/>
          <w:noProof/>
        </w:rPr>
      </w:pPr>
    </w:p>
    <w:p w14:paraId="31FCB4A8" w14:textId="77777777" w:rsidR="008419BD" w:rsidRDefault="008419BD" w:rsidP="004565B9">
      <w:pPr>
        <w:spacing w:after="200"/>
        <w:rPr>
          <w:rFonts w:eastAsia="Times New Roman"/>
          <w:noProof/>
        </w:rPr>
      </w:pPr>
    </w:p>
    <w:p w14:paraId="00402E40" w14:textId="77777777" w:rsidR="009C04F3" w:rsidRDefault="009C04F3" w:rsidP="004565B9">
      <w:pPr>
        <w:spacing w:after="200"/>
        <w:rPr>
          <w:rFonts w:eastAsia="Times New Roman"/>
          <w:noProof/>
        </w:rPr>
      </w:pPr>
    </w:p>
    <w:p w14:paraId="431D3C79" w14:textId="01D9167B" w:rsidR="004565B9" w:rsidRDefault="004565B9" w:rsidP="004565B9">
      <w:pPr>
        <w:spacing w:after="200"/>
        <w:rPr>
          <w:rFonts w:eastAsia="Times New Roman"/>
          <w:noProof/>
        </w:rPr>
      </w:pPr>
      <w:r w:rsidRPr="6E07C7DA">
        <w:rPr>
          <w:rFonts w:eastAsia="Times New Roman"/>
          <w:noProof/>
        </w:rPr>
        <w:t>In 2025 the Commission published a</w:t>
      </w:r>
      <w:r>
        <w:rPr>
          <w:rFonts w:eastAsia="Times New Roman"/>
          <w:noProof/>
        </w:rPr>
        <w:t>n evaluation report on the application of the DAC</w:t>
      </w:r>
      <w:r>
        <w:rPr>
          <w:rStyle w:val="FootnoteReference"/>
          <w:rFonts w:eastAsia="Times New Roman"/>
          <w:noProof/>
        </w:rPr>
        <w:footnoteReference w:id="26"/>
      </w:r>
      <w:r>
        <w:rPr>
          <w:rFonts w:eastAsia="Times New Roman"/>
          <w:noProof/>
        </w:rPr>
        <w:t>.The report covers the period from 2018 to 2023 and all amendments up to DAC6. The report is supported by an accompanying staff working document (the SWD)</w:t>
      </w:r>
      <w:r>
        <w:rPr>
          <w:rStyle w:val="FootnoteReference"/>
          <w:rFonts w:eastAsia="Times New Roman"/>
          <w:noProof/>
        </w:rPr>
        <w:footnoteReference w:id="27"/>
      </w:r>
      <w:r>
        <w:rPr>
          <w:rFonts w:eastAsia="Times New Roman"/>
          <w:noProof/>
        </w:rPr>
        <w:t>, which is based inter alia on the findings of an external study</w:t>
      </w:r>
      <w:r>
        <w:rPr>
          <w:rStyle w:val="FootnoteReference"/>
          <w:rFonts w:eastAsia="Times New Roman"/>
          <w:noProof/>
        </w:rPr>
        <w:footnoteReference w:id="28"/>
      </w:r>
      <w:r>
        <w:rPr>
          <w:rFonts w:eastAsia="Times New Roman"/>
          <w:noProof/>
        </w:rPr>
        <w:t xml:space="preserve">. The evaluation report and SWD concluded that </w:t>
      </w:r>
      <w:r w:rsidRPr="7624CB47">
        <w:rPr>
          <w:rFonts w:eastAsia="Times New Roman"/>
          <w:noProof/>
        </w:rPr>
        <w:t>that the DAC provides a robust legal framework that has facilitated the exchange of substantial volumes of information. It also found</w:t>
      </w:r>
      <w:r>
        <w:rPr>
          <w:rFonts w:eastAsia="Times New Roman"/>
          <w:noProof/>
        </w:rPr>
        <w:t xml:space="preserve"> that there has been</w:t>
      </w:r>
      <w:r w:rsidRPr="7624CB47">
        <w:rPr>
          <w:rFonts w:eastAsia="Times New Roman"/>
          <w:noProof/>
        </w:rPr>
        <w:t xml:space="preserve"> a progressive increase in both the matching of information and the use of exchanged information by tax authorities, which has had a positive effect on Member States’ tax bases and revenues</w:t>
      </w:r>
      <w:r>
        <w:rPr>
          <w:rStyle w:val="FootnoteReference"/>
          <w:rFonts w:eastAsia="Times New Roman"/>
          <w:noProof/>
        </w:rPr>
        <w:footnoteReference w:id="29"/>
      </w:r>
      <w:r w:rsidRPr="7624CB47">
        <w:rPr>
          <w:rFonts w:eastAsia="Times New Roman"/>
          <w:noProof/>
        </w:rPr>
        <w:t>.</w:t>
      </w:r>
      <w:r>
        <w:rPr>
          <w:rFonts w:eastAsia="Times New Roman"/>
          <w:noProof/>
        </w:rPr>
        <w:t xml:space="preserve"> </w:t>
      </w:r>
      <w:r w:rsidRPr="05F6CCA3">
        <w:rPr>
          <w:rFonts w:eastAsia="Times New Roman"/>
          <w:noProof/>
        </w:rPr>
        <w:t>However, the evaluation also identified several areas for improvement</w:t>
      </w:r>
      <w:r>
        <w:rPr>
          <w:rStyle w:val="FootnoteReference"/>
          <w:rFonts w:eastAsia="Times New Roman"/>
          <w:noProof/>
        </w:rPr>
        <w:footnoteReference w:id="30"/>
      </w:r>
      <w:r w:rsidRPr="05F6CCA3">
        <w:rPr>
          <w:rFonts w:eastAsia="Times New Roman"/>
          <w:noProof/>
        </w:rPr>
        <w:t xml:space="preserve">. In particular, the evaluation concluded that frequent amendments to the DAC since 2011 and the absence of a consolidated legal text have made the framework more complex and less user-friendly. The evaluation also highlighted the need to simplify reporting obligations, in particular under </w:t>
      </w:r>
      <w:r w:rsidRPr="3A123E5D">
        <w:rPr>
          <w:rFonts w:eastAsia="Times New Roman"/>
          <w:b/>
          <w:bCs/>
          <w:noProof/>
        </w:rPr>
        <w:t>DAC6</w:t>
      </w:r>
      <w:r w:rsidRPr="05F6CCA3">
        <w:rPr>
          <w:rFonts w:eastAsia="Times New Roman"/>
          <w:noProof/>
        </w:rPr>
        <w:t>, to eliminate inefficient reporting practices, thereby reducing administrative burdens for stakeholders. In addition, the evaluation found that, despite progress made, challenges remain with respect to the automatic matching of information and the identification of taxpayers, which increases the burden on tax administrations</w:t>
      </w:r>
      <w:r>
        <w:rPr>
          <w:rFonts w:eastAsia="Times New Roman"/>
          <w:noProof/>
        </w:rPr>
        <w:t xml:space="preserve"> to cross check the information received</w:t>
      </w:r>
      <w:r w:rsidRPr="05F6CCA3">
        <w:rPr>
          <w:rFonts w:eastAsia="Times New Roman"/>
          <w:noProof/>
        </w:rPr>
        <w:t>.</w:t>
      </w:r>
    </w:p>
    <w:p w14:paraId="53A5C732" w14:textId="34D8311B" w:rsidR="004565B9" w:rsidRDefault="004565B9" w:rsidP="004565B9">
      <w:pPr>
        <w:rPr>
          <w:rFonts w:eastAsia="Times New Roman"/>
          <w:noProof/>
        </w:rPr>
      </w:pPr>
      <w:r w:rsidRPr="2192B75E">
        <w:rPr>
          <w:rFonts w:eastAsia="Times New Roman"/>
          <w:noProof/>
        </w:rPr>
        <w:t>Th</w:t>
      </w:r>
      <w:r>
        <w:rPr>
          <w:rFonts w:eastAsia="Times New Roman"/>
          <w:noProof/>
        </w:rPr>
        <w:t xml:space="preserve">ese </w:t>
      </w:r>
      <w:r w:rsidRPr="6E07C7DA">
        <w:rPr>
          <w:rFonts w:eastAsia="Times New Roman"/>
          <w:noProof/>
        </w:rPr>
        <w:t>findings are consistent with the conclusions and recommendations of the European Court of Auditors (ECA) in its 2021</w:t>
      </w:r>
      <w:r>
        <w:rPr>
          <w:rFonts w:eastAsia="Times New Roman"/>
          <w:noProof/>
        </w:rPr>
        <w:t xml:space="preserve"> Special Report</w:t>
      </w:r>
      <w:r>
        <w:rPr>
          <w:rStyle w:val="FootnoteReference"/>
          <w:rFonts w:eastAsia="Times New Roman"/>
          <w:noProof/>
        </w:rPr>
        <w:footnoteReference w:id="31"/>
      </w:r>
      <w:r w:rsidRPr="6E07C7DA">
        <w:rPr>
          <w:rFonts w:eastAsia="Times New Roman"/>
          <w:noProof/>
        </w:rPr>
        <w:t xml:space="preserve"> on </w:t>
      </w:r>
      <w:r w:rsidRPr="7624CB47">
        <w:rPr>
          <w:rFonts w:eastAsia="Times New Roman"/>
          <w:b/>
          <w:bCs/>
          <w:noProof/>
        </w:rPr>
        <w:t>DAC1</w:t>
      </w:r>
      <w:r>
        <w:rPr>
          <w:rFonts w:eastAsia="Times New Roman"/>
          <w:b/>
          <w:bCs/>
          <w:noProof/>
        </w:rPr>
        <w:t xml:space="preserve"> – DAC4</w:t>
      </w:r>
      <w:r w:rsidRPr="2192B75E">
        <w:rPr>
          <w:rFonts w:eastAsia="Times New Roman"/>
          <w:noProof/>
        </w:rPr>
        <w:t xml:space="preserve"> and </w:t>
      </w:r>
      <w:r w:rsidRPr="6E07C7DA">
        <w:rPr>
          <w:rFonts w:eastAsia="Times New Roman"/>
          <w:noProof/>
        </w:rPr>
        <w:t>the</w:t>
      </w:r>
      <w:r>
        <w:rPr>
          <w:rFonts w:eastAsia="Times New Roman"/>
          <w:noProof/>
        </w:rPr>
        <w:t>ir</w:t>
      </w:r>
      <w:r w:rsidRPr="6E07C7DA">
        <w:rPr>
          <w:rFonts w:eastAsia="Times New Roman"/>
          <w:noProof/>
        </w:rPr>
        <w:t xml:space="preserve"> </w:t>
      </w:r>
      <w:r w:rsidRPr="7624CB47">
        <w:rPr>
          <w:rFonts w:eastAsia="Times New Roman"/>
          <w:noProof/>
        </w:rPr>
        <w:t>2024 Special Report</w:t>
      </w:r>
      <w:r w:rsidRPr="0027036C">
        <w:rPr>
          <w:rStyle w:val="FootnoteReference"/>
          <w:rFonts w:eastAsia="Times New Roman"/>
          <w:noProof/>
        </w:rPr>
        <w:footnoteReference w:id="32"/>
      </w:r>
      <w:r>
        <w:rPr>
          <w:rFonts w:eastAsia="Times New Roman"/>
          <w:noProof/>
        </w:rPr>
        <w:t xml:space="preserve"> on </w:t>
      </w:r>
      <w:r w:rsidRPr="7624CB47">
        <w:rPr>
          <w:rFonts w:eastAsia="Times New Roman"/>
          <w:b/>
          <w:bCs/>
          <w:noProof/>
        </w:rPr>
        <w:t>DAC6</w:t>
      </w:r>
      <w:r>
        <w:rPr>
          <w:noProof/>
        </w:rPr>
        <w:t>.</w:t>
      </w:r>
      <w:r w:rsidRPr="6E07C7DA">
        <w:rPr>
          <w:rFonts w:eastAsia="Times New Roman"/>
          <w:noProof/>
        </w:rPr>
        <w:t xml:space="preserve"> The targeted consultations carried out by the Commission services on the simplification of the EU direct tax acquis and the</w:t>
      </w:r>
      <w:r>
        <w:rPr>
          <w:rFonts w:eastAsia="Times New Roman"/>
          <w:noProof/>
        </w:rPr>
        <w:t xml:space="preserve"> public consultation and call for evidence </w:t>
      </w:r>
      <w:r>
        <w:rPr>
          <w:rStyle w:val="FootnoteReference"/>
          <w:rFonts w:eastAsia="Times New Roman"/>
          <w:noProof/>
        </w:rPr>
        <w:footnoteReference w:id="33"/>
      </w:r>
      <w:r w:rsidRPr="6E07C7DA">
        <w:rPr>
          <w:rFonts w:eastAsia="Times New Roman"/>
          <w:noProof/>
        </w:rPr>
        <w:t xml:space="preserve"> conducted to inform this impact assessment </w:t>
      </w:r>
      <w:r>
        <w:rPr>
          <w:rFonts w:eastAsia="Times New Roman"/>
          <w:noProof/>
        </w:rPr>
        <w:t xml:space="preserve">also </w:t>
      </w:r>
      <w:r w:rsidRPr="7624CB47">
        <w:rPr>
          <w:rFonts w:eastAsia="Times New Roman"/>
          <w:noProof/>
        </w:rPr>
        <w:t>confirmed that there are a numbe</w:t>
      </w:r>
      <w:r w:rsidRPr="6E07C7DA">
        <w:rPr>
          <w:rFonts w:eastAsia="Times New Roman"/>
          <w:noProof/>
        </w:rPr>
        <w:t xml:space="preserve">r of issues related to </w:t>
      </w:r>
      <w:r w:rsidRPr="7624CB47">
        <w:rPr>
          <w:rFonts w:eastAsia="Times New Roman"/>
          <w:b/>
          <w:bCs/>
          <w:noProof/>
        </w:rPr>
        <w:t xml:space="preserve">DAC6 </w:t>
      </w:r>
      <w:r>
        <w:rPr>
          <w:rFonts w:eastAsia="Times New Roman"/>
          <w:noProof/>
        </w:rPr>
        <w:t>while also identifying</w:t>
      </w:r>
      <w:r w:rsidRPr="7624CB47">
        <w:rPr>
          <w:rFonts w:eastAsia="Times New Roman"/>
          <w:noProof/>
        </w:rPr>
        <w:t xml:space="preserve"> further areas for simplification </w:t>
      </w:r>
      <w:r w:rsidR="00D9632F" w:rsidRPr="7624CB47">
        <w:rPr>
          <w:rFonts w:eastAsia="Times New Roman"/>
          <w:noProof/>
        </w:rPr>
        <w:t>with respect to</w:t>
      </w:r>
      <w:r w:rsidR="00D9632F">
        <w:rPr>
          <w:rFonts w:eastAsia="Times New Roman"/>
          <w:noProof/>
        </w:rPr>
        <w:t xml:space="preserve"> the interaction of notification obligations to support reporting under </w:t>
      </w:r>
      <w:r w:rsidR="00D9632F" w:rsidRPr="0011476C">
        <w:rPr>
          <w:rFonts w:eastAsia="Times New Roman"/>
          <w:b/>
          <w:bCs/>
          <w:noProof/>
        </w:rPr>
        <w:t>DAC4</w:t>
      </w:r>
      <w:r w:rsidR="00D9632F">
        <w:rPr>
          <w:rFonts w:eastAsia="Times New Roman"/>
          <w:noProof/>
        </w:rPr>
        <w:t xml:space="preserve"> and </w:t>
      </w:r>
      <w:r w:rsidR="00D9632F">
        <w:rPr>
          <w:rFonts w:eastAsia="Times New Roman"/>
          <w:b/>
          <w:bCs/>
          <w:noProof/>
        </w:rPr>
        <w:t xml:space="preserve">DAC9 </w:t>
      </w:r>
      <w:r w:rsidR="00D9632F">
        <w:rPr>
          <w:rFonts w:eastAsia="Times New Roman"/>
          <w:noProof/>
        </w:rPr>
        <w:t>as well as</w:t>
      </w:r>
      <w:r w:rsidRPr="6E07C7DA">
        <w:rPr>
          <w:rFonts w:eastAsia="Times New Roman"/>
          <w:noProof/>
        </w:rPr>
        <w:t xml:space="preserve"> </w:t>
      </w:r>
      <w:r w:rsidRPr="7624CB47">
        <w:rPr>
          <w:rFonts w:eastAsia="Times New Roman"/>
          <w:b/>
          <w:bCs/>
          <w:noProof/>
        </w:rPr>
        <w:t>DAC</w:t>
      </w:r>
      <w:r w:rsidRPr="004565B9">
        <w:rPr>
          <w:rFonts w:eastAsia="Times New Roman"/>
          <w:b/>
          <w:bCs/>
          <w:noProof/>
        </w:rPr>
        <w:t>7</w:t>
      </w:r>
      <w:r w:rsidRPr="7624CB47">
        <w:rPr>
          <w:rFonts w:eastAsia="Times New Roman"/>
          <w:noProof/>
        </w:rPr>
        <w:t>.</w:t>
      </w:r>
      <w:r w:rsidRPr="6E07C7DA">
        <w:rPr>
          <w:rFonts w:eastAsia="Times New Roman"/>
          <w:noProof/>
        </w:rPr>
        <w:t xml:space="preserve"> No significant issues were identified with respect to </w:t>
      </w:r>
      <w:r w:rsidRPr="6E07C7DA">
        <w:rPr>
          <w:rFonts w:eastAsia="Times New Roman"/>
          <w:b/>
          <w:bCs/>
          <w:noProof/>
        </w:rPr>
        <w:t>DAC2</w:t>
      </w:r>
      <w:r w:rsidRPr="7624CB47">
        <w:rPr>
          <w:rFonts w:eastAsia="Times New Roman"/>
          <w:noProof/>
        </w:rPr>
        <w:t xml:space="preserve">, </w:t>
      </w:r>
      <w:r w:rsidRPr="6E07C7DA">
        <w:rPr>
          <w:rFonts w:eastAsia="Times New Roman"/>
          <w:b/>
          <w:bCs/>
          <w:noProof/>
        </w:rPr>
        <w:t>DAC3</w:t>
      </w:r>
      <w:r>
        <w:rPr>
          <w:rFonts w:eastAsia="Times New Roman"/>
          <w:b/>
          <w:bCs/>
          <w:noProof/>
        </w:rPr>
        <w:t xml:space="preserve">, </w:t>
      </w:r>
      <w:r w:rsidRPr="6E07C7DA">
        <w:rPr>
          <w:rFonts w:eastAsia="Times New Roman"/>
          <w:b/>
          <w:bCs/>
          <w:noProof/>
        </w:rPr>
        <w:t>DAC5</w:t>
      </w:r>
      <w:r w:rsidRPr="7624CB47">
        <w:rPr>
          <w:rFonts w:eastAsia="Times New Roman"/>
          <w:b/>
          <w:bCs/>
          <w:noProof/>
        </w:rPr>
        <w:t xml:space="preserve"> </w:t>
      </w:r>
      <w:r w:rsidRPr="7624CB47">
        <w:rPr>
          <w:rFonts w:eastAsia="Times New Roman"/>
          <w:noProof/>
        </w:rPr>
        <w:t>and</w:t>
      </w:r>
      <w:r w:rsidRPr="6E07C7DA">
        <w:rPr>
          <w:rFonts w:eastAsia="Times New Roman"/>
          <w:noProof/>
        </w:rPr>
        <w:t xml:space="preserve"> </w:t>
      </w:r>
      <w:r w:rsidRPr="7624CB47">
        <w:rPr>
          <w:rFonts w:eastAsia="Times New Roman"/>
          <w:b/>
          <w:bCs/>
          <w:noProof/>
        </w:rPr>
        <w:t>DAC8</w:t>
      </w:r>
      <w:r w:rsidR="009C04F3">
        <w:rPr>
          <w:rFonts w:eastAsia="Times New Roman"/>
          <w:b/>
          <w:bCs/>
          <w:noProof/>
        </w:rPr>
        <w:t xml:space="preserve"> </w:t>
      </w:r>
      <w:r w:rsidR="009C04F3">
        <w:rPr>
          <w:rFonts w:eastAsia="Times New Roman"/>
          <w:noProof/>
        </w:rPr>
        <w:t>(further information is provided in Annex</w:t>
      </w:r>
      <w:r w:rsidR="00F963BF">
        <w:rPr>
          <w:rFonts w:eastAsia="Times New Roman"/>
          <w:noProof/>
        </w:rPr>
        <w:t xml:space="preserve"> 7)</w:t>
      </w:r>
      <w:r>
        <w:rPr>
          <w:rFonts w:eastAsia="Times New Roman"/>
          <w:b/>
          <w:bCs/>
          <w:noProof/>
        </w:rPr>
        <w:t xml:space="preserve">. </w:t>
      </w:r>
      <w:r w:rsidRPr="00014960">
        <w:rPr>
          <w:rFonts w:eastAsia="Times New Roman"/>
          <w:noProof/>
        </w:rPr>
        <w:t>The</w:t>
      </w:r>
      <w:r>
        <w:rPr>
          <w:rFonts w:eastAsia="Times New Roman"/>
          <w:b/>
          <w:bCs/>
          <w:noProof/>
        </w:rPr>
        <w:t xml:space="preserve"> </w:t>
      </w:r>
      <w:r w:rsidRPr="6E07C7DA">
        <w:rPr>
          <w:rFonts w:eastAsia="Times New Roman"/>
          <w:noProof/>
        </w:rPr>
        <w:t xml:space="preserve">latter </w:t>
      </w:r>
      <w:r>
        <w:rPr>
          <w:rFonts w:eastAsia="Times New Roman"/>
          <w:noProof/>
        </w:rPr>
        <w:t xml:space="preserve">only </w:t>
      </w:r>
      <w:r w:rsidRPr="6E07C7DA">
        <w:rPr>
          <w:rFonts w:eastAsia="Times New Roman"/>
          <w:noProof/>
        </w:rPr>
        <w:t>entered into application on 1 January 2026</w:t>
      </w:r>
      <w:r w:rsidRPr="7624CB47">
        <w:rPr>
          <w:rFonts w:eastAsia="Times New Roman"/>
          <w:noProof/>
        </w:rPr>
        <w:t>.</w:t>
      </w:r>
    </w:p>
    <w:p w14:paraId="5BDA5DC0" w14:textId="38CD3C67" w:rsidR="006B087E" w:rsidRDefault="006B087E" w:rsidP="00D74B82">
      <w:pPr>
        <w:pStyle w:val="Heading1"/>
        <w:rPr>
          <w:noProof/>
        </w:rPr>
      </w:pPr>
      <w:bookmarkStart w:id="6" w:name="_Toc231816692"/>
      <w:r>
        <w:rPr>
          <w:noProof/>
        </w:rPr>
        <w:t>Problem definition</w:t>
      </w:r>
      <w:bookmarkEnd w:id="6"/>
    </w:p>
    <w:p w14:paraId="56B6BBC2" w14:textId="77777777" w:rsidR="00F963BF" w:rsidRDefault="175F94E5" w:rsidP="007D7FD6">
      <w:pPr>
        <w:pStyle w:val="Text1"/>
        <w:ind w:left="0"/>
        <w:rPr>
          <w:noProof/>
        </w:rPr>
      </w:pPr>
      <w:r>
        <w:rPr>
          <w:noProof/>
        </w:rPr>
        <w:t>Th</w:t>
      </w:r>
      <w:r w:rsidR="6B7FB2FB">
        <w:rPr>
          <w:noProof/>
        </w:rPr>
        <w:t xml:space="preserve">is section describes the problems and </w:t>
      </w:r>
      <w:r w:rsidR="771F3716">
        <w:rPr>
          <w:noProof/>
        </w:rPr>
        <w:t xml:space="preserve">tries to </w:t>
      </w:r>
      <w:r w:rsidR="6B7FB2FB">
        <w:rPr>
          <w:noProof/>
        </w:rPr>
        <w:t xml:space="preserve">estimate their </w:t>
      </w:r>
      <w:r w:rsidR="3E7CFB14">
        <w:rPr>
          <w:noProof/>
        </w:rPr>
        <w:t>magnitude</w:t>
      </w:r>
      <w:r w:rsidR="42919164">
        <w:rPr>
          <w:noProof/>
        </w:rPr>
        <w:t>.</w:t>
      </w:r>
      <w:r w:rsidR="007B74E6">
        <w:rPr>
          <w:noProof/>
        </w:rPr>
        <w:t xml:space="preserve"> </w:t>
      </w:r>
    </w:p>
    <w:p w14:paraId="09361844" w14:textId="34C723D7" w:rsidR="009C04F3" w:rsidRDefault="007B74E6" w:rsidP="007D7FD6">
      <w:pPr>
        <w:pStyle w:val="Text1"/>
        <w:ind w:left="0"/>
        <w:rPr>
          <w:noProof/>
        </w:rPr>
      </w:pPr>
      <w:r w:rsidRPr="0060546D">
        <w:rPr>
          <w:noProof/>
        </w:rPr>
        <w:t xml:space="preserve">A problem tree </w:t>
      </w:r>
      <w:r w:rsidRPr="0060546D">
        <w:rPr>
          <w:b/>
          <w:bCs/>
          <w:noProof/>
        </w:rPr>
        <w:t>(</w:t>
      </w:r>
      <w:r w:rsidR="0016765F">
        <w:rPr>
          <w:b/>
          <w:bCs/>
          <w:noProof/>
        </w:rPr>
        <w:t xml:space="preserve">Figure </w:t>
      </w:r>
      <w:r w:rsidRPr="0060546D">
        <w:rPr>
          <w:b/>
          <w:bCs/>
          <w:noProof/>
        </w:rPr>
        <w:t>2</w:t>
      </w:r>
      <w:r w:rsidR="009D78EC">
        <w:rPr>
          <w:b/>
          <w:bCs/>
          <w:noProof/>
        </w:rPr>
        <w:t>)</w:t>
      </w:r>
      <w:r w:rsidRPr="0060546D">
        <w:rPr>
          <w:noProof/>
        </w:rPr>
        <w:t xml:space="preserve"> has been included to visually present the problem, its drivers and consequences.</w:t>
      </w:r>
      <w:r>
        <w:rPr>
          <w:noProof/>
        </w:rPr>
        <w:t xml:space="preserve"> </w:t>
      </w:r>
    </w:p>
    <w:p w14:paraId="56837F12" w14:textId="34324440" w:rsidR="008419BD" w:rsidRPr="008419BD" w:rsidRDefault="008419BD" w:rsidP="007D7FD6">
      <w:pPr>
        <w:pStyle w:val="Text1"/>
        <w:ind w:left="0"/>
        <w:rPr>
          <w:b/>
          <w:bCs/>
          <w:i/>
          <w:iCs/>
          <w:noProof/>
        </w:rPr>
      </w:pPr>
      <w:r w:rsidRPr="008419BD">
        <w:rPr>
          <w:b/>
          <w:bCs/>
          <w:i/>
          <w:iCs/>
          <w:noProof/>
        </w:rPr>
        <w:t>Figure 2</w:t>
      </w:r>
      <w:r>
        <w:rPr>
          <w:b/>
          <w:bCs/>
          <w:i/>
          <w:iCs/>
          <w:noProof/>
        </w:rPr>
        <w:t>: Problem tree</w:t>
      </w:r>
    </w:p>
    <w:p w14:paraId="69D623A2" w14:textId="06C43A25" w:rsidR="008419BD" w:rsidRDefault="00DE0947" w:rsidP="007D7FD6">
      <w:pPr>
        <w:pStyle w:val="Text1"/>
        <w:ind w:left="0"/>
        <w:rPr>
          <w:noProof/>
        </w:rPr>
      </w:pPr>
      <w:r>
        <w:rPr>
          <w:noProof/>
          <w:lang w:eastAsia="en-GB"/>
        </w:rPr>
        <w:drawing>
          <wp:inline distT="0" distB="0" distL="0" distR="0" wp14:anchorId="30F74288" wp14:editId="64182A4E">
            <wp:extent cx="6508750" cy="5124450"/>
            <wp:effectExtent l="0" t="0" r="6350" b="0"/>
            <wp:docPr id="8443782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78259" name=""/>
                    <pic:cNvPicPr/>
                  </pic:nvPicPr>
                  <pic:blipFill>
                    <a:blip r:embed="rId19">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0"/>
                        </a:ext>
                      </a:extLst>
                    </a:blip>
                    <a:stretch>
                      <a:fillRect/>
                    </a:stretch>
                  </pic:blipFill>
                  <pic:spPr>
                    <a:xfrm>
                      <a:off x="0" y="0"/>
                      <a:ext cx="6508750" cy="5124450"/>
                    </a:xfrm>
                    <a:prstGeom prst="rect">
                      <a:avLst/>
                    </a:prstGeom>
                  </pic:spPr>
                </pic:pic>
              </a:graphicData>
            </a:graphic>
          </wp:inline>
        </w:drawing>
      </w:r>
    </w:p>
    <w:p w14:paraId="65917F73" w14:textId="77777777" w:rsidR="008419BD" w:rsidRDefault="008419BD" w:rsidP="007D7FD6">
      <w:pPr>
        <w:pStyle w:val="Text1"/>
        <w:ind w:left="0"/>
        <w:rPr>
          <w:noProof/>
        </w:rPr>
      </w:pPr>
    </w:p>
    <w:p w14:paraId="634B85A9" w14:textId="38EBF9E7" w:rsidR="006B087E" w:rsidRPr="00F92EAE" w:rsidRDefault="006B087E" w:rsidP="00D74B82">
      <w:pPr>
        <w:pStyle w:val="Heading2"/>
        <w:rPr>
          <w:noProof/>
        </w:rPr>
      </w:pPr>
      <w:bookmarkStart w:id="7" w:name="_Toc231816693"/>
      <w:r>
        <w:rPr>
          <w:noProof/>
        </w:rPr>
        <w:t>What are the problems?</w:t>
      </w:r>
      <w:bookmarkEnd w:id="7"/>
    </w:p>
    <w:p w14:paraId="042241DE" w14:textId="5BBA1FDB" w:rsidR="761EF93B" w:rsidRDefault="73879341" w:rsidP="6E07C7DA">
      <w:pPr>
        <w:pStyle w:val="Heading3"/>
        <w:numPr>
          <w:ilvl w:val="0"/>
          <w:numId w:val="0"/>
        </w:numPr>
        <w:spacing w:after="160" w:line="257" w:lineRule="auto"/>
        <w:rPr>
          <w:b/>
          <w:bCs/>
          <w:noProof/>
        </w:rPr>
      </w:pPr>
      <w:r w:rsidRPr="6E07C7DA">
        <w:rPr>
          <w:b/>
          <w:bCs/>
          <w:noProof/>
        </w:rPr>
        <w:t xml:space="preserve">2.1.1 </w:t>
      </w:r>
      <w:r w:rsidR="5A46B743" w:rsidRPr="6E07C7DA">
        <w:rPr>
          <w:b/>
          <w:bCs/>
          <w:noProof/>
        </w:rPr>
        <w:t>I</w:t>
      </w:r>
      <w:r w:rsidR="3F20EFD6" w:rsidRPr="6E07C7DA">
        <w:rPr>
          <w:b/>
          <w:bCs/>
          <w:noProof/>
        </w:rPr>
        <w:t xml:space="preserve">ncreasing complexity and insufficient legal clarity and certainty </w:t>
      </w:r>
    </w:p>
    <w:p w14:paraId="18CD5288" w14:textId="05767EDB" w:rsidR="0060546D" w:rsidRDefault="0060546D" w:rsidP="0060546D">
      <w:pPr>
        <w:spacing w:after="160" w:line="257" w:lineRule="auto"/>
        <w:rPr>
          <w:rFonts w:eastAsia="Times New Roman"/>
          <w:noProof/>
        </w:rPr>
      </w:pPr>
      <w:r w:rsidRPr="6E07C7DA">
        <w:rPr>
          <w:rFonts w:eastAsia="Times New Roman"/>
          <w:noProof/>
        </w:rPr>
        <w:t xml:space="preserve">The DAC is a patchwork of nine different legal instruments comprised of the initial </w:t>
      </w:r>
      <w:r w:rsidRPr="006E7A24">
        <w:rPr>
          <w:rFonts w:eastAsia="Times New Roman"/>
          <w:b/>
          <w:bCs/>
          <w:noProof/>
        </w:rPr>
        <w:t>DAC1</w:t>
      </w:r>
      <w:r w:rsidRPr="0060546D">
        <w:rPr>
          <w:rFonts w:eastAsia="Times New Roman"/>
          <w:b/>
          <w:bCs/>
          <w:noProof/>
        </w:rPr>
        <w:t xml:space="preserve">, </w:t>
      </w:r>
      <w:r w:rsidRPr="6E07C7DA">
        <w:rPr>
          <w:rFonts w:eastAsia="Times New Roman"/>
          <w:noProof/>
        </w:rPr>
        <w:t>multiple amending directives (</w:t>
      </w:r>
      <w:r w:rsidRPr="006E7A24">
        <w:rPr>
          <w:rFonts w:eastAsia="Times New Roman"/>
          <w:b/>
          <w:bCs/>
          <w:noProof/>
        </w:rPr>
        <w:t>DAC2-DAC9</w:t>
      </w:r>
      <w:r w:rsidRPr="6E07C7DA">
        <w:rPr>
          <w:rFonts w:eastAsia="Times New Roman"/>
          <w:noProof/>
        </w:rPr>
        <w:t>) and corresponding annexes. This leads to increased complexity and lack of legal clarity and certainty as tax administrations and reporting entities are often required to interpret and apply provisions that are dispersed across several legal instruments. The DAC evaluation concluded that the frequency of amendments since 2011 has made the legal text more complex and less user-friendly</w:t>
      </w:r>
      <w:r>
        <w:rPr>
          <w:rStyle w:val="FootnoteReference"/>
          <w:rFonts w:eastAsia="Times New Roman"/>
          <w:noProof/>
        </w:rPr>
        <w:footnoteReference w:id="34"/>
      </w:r>
      <w:r w:rsidRPr="6E07C7DA">
        <w:rPr>
          <w:rFonts w:eastAsia="Times New Roman"/>
          <w:noProof/>
        </w:rPr>
        <w:t>. These conclusions were corroborated by both Member States and business stakeholders, during the consultation activities. Stakeholders unanimously emphasised that the complexity of the existing acquis has created practical difficulties in understanding, interpreting, and applying the rules consistently across the Union.</w:t>
      </w:r>
    </w:p>
    <w:p w14:paraId="7D7F59A2" w14:textId="2CF7ACA1" w:rsidR="4C6F22D2" w:rsidRDefault="643177C2" w:rsidP="00EB7AEE">
      <w:pPr>
        <w:pStyle w:val="Heading3"/>
        <w:numPr>
          <w:ilvl w:val="0"/>
          <w:numId w:val="0"/>
        </w:numPr>
        <w:spacing w:after="160" w:line="257" w:lineRule="auto"/>
        <w:rPr>
          <w:b/>
          <w:noProof/>
        </w:rPr>
      </w:pPr>
      <w:r w:rsidRPr="3BC427B6">
        <w:rPr>
          <w:b/>
          <w:bCs/>
          <w:noProof/>
        </w:rPr>
        <w:t xml:space="preserve">2.1.2 </w:t>
      </w:r>
      <w:r w:rsidR="4C6F22D2" w:rsidRPr="3BC427B6">
        <w:rPr>
          <w:b/>
          <w:noProof/>
        </w:rPr>
        <w:t xml:space="preserve">Reporting requirements with limited added value for tax </w:t>
      </w:r>
      <w:r w:rsidR="4C6F22D2" w:rsidRPr="122359BE">
        <w:rPr>
          <w:b/>
          <w:bCs/>
          <w:noProof/>
        </w:rPr>
        <w:t>administration</w:t>
      </w:r>
      <w:r w:rsidR="59D1E55E" w:rsidRPr="122359BE">
        <w:rPr>
          <w:b/>
          <w:bCs/>
          <w:noProof/>
        </w:rPr>
        <w:t>s</w:t>
      </w:r>
    </w:p>
    <w:p w14:paraId="053FBDF4" w14:textId="1B29CF83" w:rsidR="0060546D" w:rsidRDefault="0060546D" w:rsidP="0060546D">
      <w:pPr>
        <w:spacing w:before="240"/>
        <w:rPr>
          <w:rFonts w:eastAsia="Times New Roman"/>
          <w:noProof/>
        </w:rPr>
      </w:pPr>
      <w:r w:rsidRPr="6E07C7DA">
        <w:rPr>
          <w:rFonts w:eastAsia="Times New Roman"/>
          <w:noProof/>
        </w:rPr>
        <w:t>The conclusions from the DAC evaluation, recommendations from the 2024 ECA</w:t>
      </w:r>
      <w:r>
        <w:rPr>
          <w:rFonts w:eastAsia="Times New Roman"/>
          <w:noProof/>
        </w:rPr>
        <w:t xml:space="preserve"> Special </w:t>
      </w:r>
      <w:r w:rsidRPr="6E07C7DA">
        <w:rPr>
          <w:rFonts w:eastAsia="Times New Roman"/>
          <w:noProof/>
        </w:rPr>
        <w:t xml:space="preserve">Report and outcomes from the </w:t>
      </w:r>
      <w:r>
        <w:rPr>
          <w:rFonts w:eastAsia="Times New Roman"/>
          <w:noProof/>
        </w:rPr>
        <w:t xml:space="preserve">targeted </w:t>
      </w:r>
      <w:r w:rsidRPr="6E07C7DA">
        <w:rPr>
          <w:rFonts w:eastAsia="Times New Roman"/>
          <w:noProof/>
        </w:rPr>
        <w:t xml:space="preserve">consultations highlight that certain aspects of the framework create legal uncertainty and result in reporting/notification outcomes that provide limited added value for tax administrations. These aspects primarily relate to </w:t>
      </w:r>
      <w:r>
        <w:rPr>
          <w:rFonts w:eastAsia="Times New Roman"/>
          <w:noProof/>
        </w:rPr>
        <w:t xml:space="preserve">the </w:t>
      </w:r>
      <w:r w:rsidRPr="003516E9">
        <w:rPr>
          <w:rFonts w:eastAsia="Times New Roman"/>
          <w:b/>
          <w:bCs/>
          <w:noProof/>
        </w:rPr>
        <w:t>DAC4/</w:t>
      </w:r>
      <w:r w:rsidR="00D9632F">
        <w:rPr>
          <w:rFonts w:eastAsia="Times New Roman"/>
          <w:b/>
          <w:bCs/>
          <w:noProof/>
        </w:rPr>
        <w:t>DAC9</w:t>
      </w:r>
      <w:r w:rsidRPr="6E07C7DA">
        <w:rPr>
          <w:rFonts w:eastAsia="Times New Roman"/>
          <w:noProof/>
        </w:rPr>
        <w:t xml:space="preserve">, </w:t>
      </w:r>
      <w:r w:rsidRPr="003516E9">
        <w:rPr>
          <w:rFonts w:eastAsia="Times New Roman"/>
          <w:b/>
          <w:bCs/>
          <w:noProof/>
        </w:rPr>
        <w:t>DAC6</w:t>
      </w:r>
      <w:r w:rsidRPr="6E07C7DA">
        <w:rPr>
          <w:rFonts w:eastAsia="Times New Roman"/>
          <w:noProof/>
        </w:rPr>
        <w:t xml:space="preserve"> and </w:t>
      </w:r>
      <w:r w:rsidRPr="003516E9">
        <w:rPr>
          <w:rFonts w:eastAsia="Times New Roman"/>
          <w:b/>
          <w:bCs/>
          <w:noProof/>
        </w:rPr>
        <w:t>DAC7</w:t>
      </w:r>
      <w:r w:rsidRPr="6E07C7DA">
        <w:rPr>
          <w:rFonts w:eastAsia="Times New Roman"/>
          <w:noProof/>
        </w:rPr>
        <w:t xml:space="preserve"> </w:t>
      </w:r>
      <w:r>
        <w:rPr>
          <w:rFonts w:eastAsia="Times New Roman"/>
          <w:noProof/>
        </w:rPr>
        <w:t xml:space="preserve">which have </w:t>
      </w:r>
      <w:r w:rsidRPr="6E07C7DA">
        <w:rPr>
          <w:rFonts w:eastAsia="Times New Roman"/>
          <w:noProof/>
        </w:rPr>
        <w:t xml:space="preserve">led to disproportionately high volumes of notifications and reporting that are either redundant or do not present a risk of tax fraud, evasion or avoidance. These outcomes limit the effectiveness and efficiency of the DAC, as they create high compliance burdens for business stakeholders and high administrative costs for tax administrations who must process and analyse high volumes of information that provide limited added value </w:t>
      </w:r>
      <w:r>
        <w:rPr>
          <w:rFonts w:eastAsia="Times New Roman"/>
          <w:noProof/>
        </w:rPr>
        <w:t xml:space="preserve">in tackling tax fraud, evasion and avoidance.  </w:t>
      </w:r>
      <w:r w:rsidRPr="6E07C7DA">
        <w:rPr>
          <w:rFonts w:eastAsia="Times New Roman"/>
          <w:noProof/>
        </w:rPr>
        <w:t xml:space="preserve"> </w:t>
      </w:r>
    </w:p>
    <w:p w14:paraId="030E38FD" w14:textId="6FEC956E" w:rsidR="2645FDDA" w:rsidRPr="00EB7AEE" w:rsidRDefault="31BF6CC5" w:rsidP="00E83353">
      <w:pPr>
        <w:pStyle w:val="Heading4"/>
        <w:spacing w:before="240"/>
        <w:ind w:left="567" w:hanging="567"/>
        <w:rPr>
          <w:noProof/>
          <w:lang w:val="en-IE"/>
        </w:rPr>
      </w:pPr>
      <w:r w:rsidRPr="4321A1A3">
        <w:rPr>
          <w:b/>
          <w:bCs/>
          <w:noProof/>
          <w:lang w:val="en-IE"/>
        </w:rPr>
        <w:t>DAC6</w:t>
      </w:r>
    </w:p>
    <w:p w14:paraId="066783B5" w14:textId="77777777" w:rsidR="0060546D" w:rsidRDefault="0060546D" w:rsidP="0060546D">
      <w:pPr>
        <w:spacing w:before="240"/>
        <w:rPr>
          <w:rFonts w:eastAsia="Times New Roman"/>
          <w:noProof/>
        </w:rPr>
      </w:pPr>
      <w:r w:rsidRPr="6E07C7DA">
        <w:rPr>
          <w:rFonts w:eastAsia="Times New Roman"/>
          <w:noProof/>
        </w:rPr>
        <w:t xml:space="preserve">DAC6 requires </w:t>
      </w:r>
      <w:r w:rsidRPr="6E07C7DA">
        <w:rPr>
          <w:rFonts w:eastAsia="Times New Roman"/>
          <w:noProof/>
          <w:color w:val="333333"/>
        </w:rPr>
        <w:t>i</w:t>
      </w:r>
      <w:r w:rsidRPr="6E07C7DA">
        <w:rPr>
          <w:rFonts w:eastAsia="Times New Roman"/>
          <w:noProof/>
        </w:rPr>
        <w:t xml:space="preserve">ntermediaries (e.g. tax advisers, accountants, financial institutions) or, in some cases the taxpayer to report to the tax authorities of Member States information on certain potentially aggressive cross-border tax arrangements. This information enables tax authorities to </w:t>
      </w:r>
      <w:r w:rsidRPr="00EB7AEE">
        <w:rPr>
          <w:rFonts w:eastAsia="Times New Roman"/>
          <w:noProof/>
        </w:rPr>
        <w:t xml:space="preserve">react promptly against harmful tax practices by enacting legislation to close loopholes or by undertaking risk assessments or carrying out tax audits. </w:t>
      </w:r>
      <w:r w:rsidRPr="6E07C7DA">
        <w:rPr>
          <w:rFonts w:eastAsia="Times New Roman"/>
          <w:noProof/>
        </w:rPr>
        <w:t>These arrangements must be reported whereupon they meet specific characteristics known as “</w:t>
      </w:r>
      <w:r w:rsidRPr="003516E9">
        <w:rPr>
          <w:rFonts w:eastAsia="Times New Roman"/>
          <w:b/>
          <w:bCs/>
          <w:noProof/>
        </w:rPr>
        <w:t>hallmarks</w:t>
      </w:r>
      <w:r w:rsidRPr="6E07C7DA">
        <w:rPr>
          <w:rFonts w:eastAsia="Times New Roman"/>
          <w:noProof/>
        </w:rPr>
        <w:t xml:space="preserve">”. These hallmarks serve as indicators of potentially aggressive tax planning arrangements and are grouped into five categories: </w:t>
      </w:r>
      <w:r w:rsidRPr="003516E9">
        <w:rPr>
          <w:rFonts w:eastAsia="Times New Roman"/>
          <w:noProof/>
        </w:rPr>
        <w:t xml:space="preserve">A (Generic hallmarks), B (Specific hallmarks), C (Specific hallmarks related to cross-border transactions), D (Specific hallmarks concerning exchange of information and beneficial ownership) and E (Specific hallmarks concerning transfer pricing). </w:t>
      </w:r>
      <w:r w:rsidRPr="6E07C7DA">
        <w:rPr>
          <w:rFonts w:eastAsia="Times New Roman"/>
          <w:noProof/>
        </w:rPr>
        <w:t xml:space="preserve">Reporting requirements under </w:t>
      </w:r>
      <w:r>
        <w:rPr>
          <w:rFonts w:eastAsia="Times New Roman"/>
          <w:noProof/>
        </w:rPr>
        <w:t>hallmark</w:t>
      </w:r>
      <w:r w:rsidRPr="6E07C7DA">
        <w:rPr>
          <w:rFonts w:eastAsia="Times New Roman"/>
          <w:noProof/>
        </w:rPr>
        <w:t xml:space="preserve"> A, </w:t>
      </w:r>
      <w:r>
        <w:rPr>
          <w:rFonts w:eastAsia="Times New Roman"/>
          <w:noProof/>
        </w:rPr>
        <w:t>hallmark</w:t>
      </w:r>
      <w:r w:rsidRPr="6E07C7DA">
        <w:rPr>
          <w:rFonts w:eastAsia="Times New Roman"/>
          <w:noProof/>
        </w:rPr>
        <w:t xml:space="preserve"> B and points b(i), (c) and (d) of paragraph 1 of </w:t>
      </w:r>
      <w:r>
        <w:rPr>
          <w:rFonts w:eastAsia="Times New Roman"/>
          <w:noProof/>
        </w:rPr>
        <w:t>hallmark</w:t>
      </w:r>
      <w:r w:rsidRPr="6E07C7DA">
        <w:rPr>
          <w:rFonts w:eastAsia="Times New Roman"/>
          <w:noProof/>
        </w:rPr>
        <w:t xml:space="preserve"> C are linked to the application of a Main Benefit Test (MBT). The MBT is intended to operate as a filter that reduces reporting volumes as it requires that obtaining a tax advantage must be one of the main benefits that a person can reasonably expect to obtain from an arrangement for that arrangement to be reportable. </w:t>
      </w:r>
    </w:p>
    <w:p w14:paraId="0F822DEC" w14:textId="585D430C" w:rsidR="008419BD" w:rsidRDefault="0060546D" w:rsidP="00D9632F">
      <w:pPr>
        <w:spacing w:before="240"/>
        <w:rPr>
          <w:b/>
          <w:bCs/>
          <w:i/>
          <w:iCs/>
          <w:noProof/>
          <w:u w:val="single"/>
        </w:rPr>
      </w:pPr>
      <w:r>
        <w:rPr>
          <w:rFonts w:eastAsia="Times New Roman"/>
          <w:noProof/>
        </w:rPr>
        <w:t>W</w:t>
      </w:r>
      <w:r w:rsidRPr="7624CB47">
        <w:rPr>
          <w:rFonts w:eastAsia="Times New Roman"/>
          <w:noProof/>
        </w:rPr>
        <w:t>hile DAC6 is intended to discourage the use of aggressive tax planning arrangements, it has generated significant volumes of reporting. Since reporting first commenced in 2020 more than 60,000 cross-border arrangements comprised of 79,274 disclosure reports have been reported by Member States to the DAC6 Central Directory</w:t>
      </w:r>
      <w:r>
        <w:rPr>
          <w:noProof/>
        </w:rPr>
        <w:t>.</w:t>
      </w:r>
      <w:r w:rsidRPr="6E07C7DA">
        <w:rPr>
          <w:rFonts w:eastAsia="Times New Roman"/>
          <w:noProof/>
        </w:rPr>
        <w:t xml:space="preserve"> While </w:t>
      </w:r>
      <w:r>
        <w:rPr>
          <w:rFonts w:eastAsia="Times New Roman"/>
          <w:noProof/>
        </w:rPr>
        <w:t>multiple</w:t>
      </w:r>
      <w:r w:rsidRPr="6E07C7DA">
        <w:rPr>
          <w:rFonts w:eastAsia="Times New Roman"/>
          <w:noProof/>
        </w:rPr>
        <w:t xml:space="preserve"> different hallmarks may be reported</w:t>
      </w:r>
      <w:r>
        <w:rPr>
          <w:rFonts w:eastAsia="Times New Roman"/>
          <w:noProof/>
        </w:rPr>
        <w:t xml:space="preserve"> </w:t>
      </w:r>
      <w:r w:rsidRPr="6E07C7DA">
        <w:rPr>
          <w:rFonts w:eastAsia="Times New Roman"/>
          <w:noProof/>
        </w:rPr>
        <w:t>in each disclosure report</w:t>
      </w:r>
      <w:r>
        <w:rPr>
          <w:rFonts w:eastAsia="Times New Roman"/>
          <w:noProof/>
        </w:rPr>
        <w:t>,</w:t>
      </w:r>
      <w:r w:rsidRPr="6E07C7DA">
        <w:rPr>
          <w:rFonts w:eastAsia="Times New Roman"/>
          <w:noProof/>
        </w:rPr>
        <w:t xml:space="preserve"> the </w:t>
      </w:r>
      <w:r>
        <w:rPr>
          <w:rFonts w:eastAsia="Times New Roman"/>
          <w:noProof/>
        </w:rPr>
        <w:t xml:space="preserve">SWD from the </w:t>
      </w:r>
      <w:r w:rsidRPr="6E07C7DA">
        <w:rPr>
          <w:rFonts w:eastAsia="Times New Roman"/>
          <w:noProof/>
        </w:rPr>
        <w:t xml:space="preserve">DAC evaluation </w:t>
      </w:r>
      <w:r>
        <w:rPr>
          <w:rFonts w:eastAsia="Times New Roman"/>
          <w:noProof/>
        </w:rPr>
        <w:t>identified the proportion of reporting under each hallmark as follows</w:t>
      </w:r>
      <w:r>
        <w:rPr>
          <w:rStyle w:val="FootnoteReference"/>
          <w:rFonts w:eastAsia="Times New Roman"/>
          <w:noProof/>
        </w:rPr>
        <w:footnoteReference w:id="35"/>
      </w:r>
      <w:r>
        <w:rPr>
          <w:rFonts w:eastAsia="Times New Roman"/>
          <w:noProof/>
        </w:rPr>
        <w:t>: hallmark A</w:t>
      </w:r>
      <w:r w:rsidRPr="6E07C7DA">
        <w:rPr>
          <w:rFonts w:eastAsia="Times New Roman"/>
          <w:noProof/>
        </w:rPr>
        <w:t xml:space="preserve"> (35%)</w:t>
      </w:r>
      <w:r>
        <w:rPr>
          <w:rFonts w:eastAsia="Times New Roman"/>
          <w:noProof/>
        </w:rPr>
        <w:t xml:space="preserve">, </w:t>
      </w:r>
      <w:r w:rsidRPr="6E07C7DA">
        <w:rPr>
          <w:rFonts w:eastAsia="Times New Roman"/>
          <w:noProof/>
        </w:rPr>
        <w:t xml:space="preserve">hallmark </w:t>
      </w:r>
      <w:r>
        <w:rPr>
          <w:rFonts w:eastAsia="Times New Roman"/>
          <w:noProof/>
        </w:rPr>
        <w:t xml:space="preserve">B </w:t>
      </w:r>
      <w:r w:rsidRPr="6E07C7DA">
        <w:rPr>
          <w:rFonts w:eastAsia="Times New Roman"/>
          <w:noProof/>
        </w:rPr>
        <w:t xml:space="preserve">(34%), </w:t>
      </w:r>
      <w:r w:rsidRPr="7624CB47">
        <w:rPr>
          <w:rFonts w:eastAsia="Times New Roman"/>
          <w:noProof/>
        </w:rPr>
        <w:t>hallmark</w:t>
      </w:r>
      <w:r>
        <w:rPr>
          <w:rFonts w:eastAsia="Times New Roman"/>
          <w:noProof/>
        </w:rPr>
        <w:t xml:space="preserve"> C</w:t>
      </w:r>
      <w:r w:rsidRPr="6E07C7DA">
        <w:rPr>
          <w:rFonts w:eastAsia="Times New Roman"/>
          <w:noProof/>
        </w:rPr>
        <w:t xml:space="preserve"> (16%), </w:t>
      </w:r>
      <w:r w:rsidRPr="7624CB47">
        <w:rPr>
          <w:rFonts w:eastAsia="Times New Roman"/>
          <w:noProof/>
        </w:rPr>
        <w:t>hallmark</w:t>
      </w:r>
      <w:r>
        <w:rPr>
          <w:rFonts w:eastAsia="Times New Roman"/>
          <w:noProof/>
        </w:rPr>
        <w:t xml:space="preserve"> D</w:t>
      </w:r>
      <w:r w:rsidRPr="6E07C7DA">
        <w:rPr>
          <w:rFonts w:eastAsia="Times New Roman"/>
          <w:noProof/>
        </w:rPr>
        <w:t xml:space="preserve"> (4%) and </w:t>
      </w:r>
      <w:r w:rsidRPr="7624CB47">
        <w:rPr>
          <w:rFonts w:eastAsia="Times New Roman"/>
          <w:noProof/>
        </w:rPr>
        <w:t>hallmark</w:t>
      </w:r>
      <w:r w:rsidRPr="6E07C7DA">
        <w:rPr>
          <w:rFonts w:eastAsia="Times New Roman"/>
          <w:noProof/>
        </w:rPr>
        <w:t xml:space="preserve"> </w:t>
      </w:r>
      <w:r>
        <w:rPr>
          <w:rFonts w:eastAsia="Times New Roman"/>
          <w:noProof/>
        </w:rPr>
        <w:t>E (</w:t>
      </w:r>
      <w:r w:rsidRPr="6E07C7DA">
        <w:rPr>
          <w:rFonts w:eastAsia="Times New Roman"/>
          <w:noProof/>
        </w:rPr>
        <w:t>12%</w:t>
      </w:r>
      <w:r>
        <w:rPr>
          <w:rFonts w:eastAsia="Times New Roman"/>
          <w:noProof/>
        </w:rPr>
        <w:t>)</w:t>
      </w:r>
      <w:r w:rsidRPr="6E07C7DA">
        <w:rPr>
          <w:rFonts w:eastAsia="Times New Roman"/>
          <w:noProof/>
        </w:rPr>
        <w:t>. These high volumes of reporting underline the importance of ensuring that the information reported remains proportionate and targeted to achieving the objectives</w:t>
      </w:r>
      <w:r w:rsidRPr="7624CB47">
        <w:rPr>
          <w:rFonts w:eastAsia="Times New Roman"/>
          <w:noProof/>
        </w:rPr>
        <w:t xml:space="preserve"> of tackling tax fraud, evasion and avoidance. </w:t>
      </w:r>
    </w:p>
    <w:p w14:paraId="5584D7B7" w14:textId="7ABF147E" w:rsidR="312B99D3" w:rsidRDefault="72620931" w:rsidP="4321A1A3">
      <w:pPr>
        <w:spacing w:before="240"/>
        <w:rPr>
          <w:b/>
          <w:bCs/>
          <w:i/>
          <w:iCs/>
          <w:noProof/>
          <w:u w:val="single"/>
        </w:rPr>
      </w:pPr>
      <w:r w:rsidRPr="0060546D">
        <w:rPr>
          <w:b/>
          <w:bCs/>
          <w:i/>
          <w:iCs/>
          <w:noProof/>
          <w:u w:val="single"/>
        </w:rPr>
        <w:t xml:space="preserve">Limited tax relevance of </w:t>
      </w:r>
      <w:r w:rsidR="5ED330C6" w:rsidRPr="0060546D">
        <w:rPr>
          <w:b/>
          <w:bCs/>
          <w:i/>
          <w:iCs/>
          <w:noProof/>
          <w:u w:val="single"/>
        </w:rPr>
        <w:t xml:space="preserve">DAC6 reporting for </w:t>
      </w:r>
      <w:r w:rsidR="02A3D254" w:rsidRPr="0060546D">
        <w:rPr>
          <w:b/>
          <w:bCs/>
          <w:i/>
          <w:iCs/>
          <w:noProof/>
          <w:u w:val="single"/>
        </w:rPr>
        <w:t xml:space="preserve">MNE Groups within the scope of </w:t>
      </w:r>
      <w:r w:rsidR="307D3AA6" w:rsidRPr="0060546D">
        <w:rPr>
          <w:b/>
          <w:bCs/>
          <w:i/>
          <w:iCs/>
          <w:noProof/>
          <w:u w:val="single"/>
        </w:rPr>
        <w:t>the Pillar 2 Directive</w:t>
      </w:r>
    </w:p>
    <w:p w14:paraId="09F21208" w14:textId="68CBFC3D" w:rsidR="0060546D" w:rsidRDefault="0060546D" w:rsidP="0060546D">
      <w:pPr>
        <w:shd w:val="clear" w:color="auto" w:fill="FFFFFF" w:themeFill="background1"/>
        <w:rPr>
          <w:rFonts w:eastAsia="Times New Roman"/>
          <w:noProof/>
        </w:rPr>
      </w:pPr>
      <w:r w:rsidRPr="7624CB47">
        <w:rPr>
          <w:rFonts w:eastAsia="Times New Roman"/>
          <w:noProof/>
        </w:rPr>
        <w:t xml:space="preserve">Since the adoption of DAC6, the legal environment at both the EU and international level has significantly evolved with the implementation of the Pillar 2 Directive. </w:t>
      </w:r>
      <w:r w:rsidR="59BF39F2" w:rsidRPr="4321A1A3">
        <w:rPr>
          <w:rFonts w:eastAsia="Times New Roman"/>
          <w:noProof/>
        </w:rPr>
        <w:t>Th</w:t>
      </w:r>
      <w:r w:rsidR="5DE11DFE" w:rsidRPr="4321A1A3">
        <w:rPr>
          <w:rFonts w:eastAsia="Times New Roman"/>
          <w:noProof/>
        </w:rPr>
        <w:t>e</w:t>
      </w:r>
      <w:r w:rsidR="59BF39F2" w:rsidRPr="4321A1A3">
        <w:rPr>
          <w:rFonts w:eastAsia="Times New Roman"/>
          <w:noProof/>
        </w:rPr>
        <w:t xml:space="preserve"> </w:t>
      </w:r>
      <w:r w:rsidR="4485736D" w:rsidRPr="4321A1A3">
        <w:rPr>
          <w:rFonts w:eastAsia="Times New Roman"/>
          <w:noProof/>
        </w:rPr>
        <w:t>Pillar 2</w:t>
      </w:r>
      <w:r w:rsidR="59BF39F2" w:rsidRPr="4321A1A3">
        <w:rPr>
          <w:rFonts w:eastAsia="Times New Roman"/>
          <w:noProof/>
        </w:rPr>
        <w:t xml:space="preserve"> Directive</w:t>
      </w:r>
      <w:r w:rsidR="71E6D929" w:rsidRPr="4321A1A3">
        <w:rPr>
          <w:rFonts w:eastAsia="Times New Roman"/>
          <w:noProof/>
          <w:color w:val="000000" w:themeColor="text1"/>
        </w:rPr>
        <w:t xml:space="preserve"> </w:t>
      </w:r>
      <w:r w:rsidR="16BA63FC" w:rsidRPr="4321A1A3">
        <w:rPr>
          <w:rFonts w:eastAsia="Times New Roman"/>
          <w:noProof/>
        </w:rPr>
        <w:t>prevent</w:t>
      </w:r>
      <w:r w:rsidR="44179CB8" w:rsidRPr="4321A1A3">
        <w:rPr>
          <w:rFonts w:eastAsia="Times New Roman"/>
          <w:noProof/>
        </w:rPr>
        <w:t>s</w:t>
      </w:r>
      <w:r w:rsidR="16BA63FC" w:rsidRPr="4321A1A3">
        <w:rPr>
          <w:rFonts w:eastAsia="Times New Roman"/>
          <w:noProof/>
        </w:rPr>
        <w:t xml:space="preserve"> base erosion and profit shifting by ensuring </w:t>
      </w:r>
      <w:r w:rsidR="71E6D929" w:rsidRPr="4321A1A3">
        <w:rPr>
          <w:rFonts w:eastAsia="Times New Roman"/>
          <w:noProof/>
          <w:color w:val="000000" w:themeColor="text1"/>
        </w:rPr>
        <w:t xml:space="preserve">that </w:t>
      </w:r>
      <w:r w:rsidR="71E6D929" w:rsidRPr="4321A1A3">
        <w:rPr>
          <w:rFonts w:eastAsia="Times New Roman"/>
          <w:noProof/>
        </w:rPr>
        <w:t xml:space="preserve">MNE groups </w:t>
      </w:r>
      <w:r w:rsidR="727D9A71" w:rsidRPr="4321A1A3">
        <w:rPr>
          <w:rFonts w:eastAsia="Times New Roman"/>
          <w:noProof/>
        </w:rPr>
        <w:t xml:space="preserve">in scope </w:t>
      </w:r>
      <w:r w:rsidR="71E6D929" w:rsidRPr="4321A1A3">
        <w:rPr>
          <w:rFonts w:eastAsia="Times New Roman"/>
          <w:noProof/>
        </w:rPr>
        <w:t>pay a minimum effective tax rate of 15%</w:t>
      </w:r>
      <w:r w:rsidR="008A7B7B" w:rsidRPr="4321A1A3">
        <w:rPr>
          <w:rFonts w:eastAsia="Times New Roman"/>
          <w:noProof/>
        </w:rPr>
        <w:t xml:space="preserve"> on profits in each jurisdiction</w:t>
      </w:r>
      <w:r>
        <w:rPr>
          <w:rFonts w:eastAsia="Times New Roman"/>
          <w:noProof/>
        </w:rPr>
        <w:t xml:space="preserve"> that</w:t>
      </w:r>
      <w:r w:rsidR="008A7B7B" w:rsidRPr="4321A1A3">
        <w:rPr>
          <w:rFonts w:eastAsia="Times New Roman"/>
          <w:noProof/>
        </w:rPr>
        <w:t xml:space="preserve"> they operate</w:t>
      </w:r>
      <w:r w:rsidR="71E6D929" w:rsidRPr="4321A1A3">
        <w:rPr>
          <w:rFonts w:eastAsia="Times New Roman"/>
          <w:noProof/>
        </w:rPr>
        <w:t xml:space="preserve">. </w:t>
      </w:r>
      <w:r w:rsidR="470808DD" w:rsidRPr="4321A1A3">
        <w:rPr>
          <w:rFonts w:eastAsia="Times New Roman"/>
          <w:noProof/>
        </w:rPr>
        <w:t xml:space="preserve">The main mechanism to </w:t>
      </w:r>
      <w:r w:rsidR="23163B78" w:rsidRPr="4321A1A3">
        <w:rPr>
          <w:rFonts w:eastAsia="Times New Roman"/>
          <w:noProof/>
        </w:rPr>
        <w:t>achieve</w:t>
      </w:r>
      <w:r w:rsidR="470808DD" w:rsidRPr="4321A1A3">
        <w:rPr>
          <w:rFonts w:eastAsia="Times New Roman"/>
          <w:noProof/>
        </w:rPr>
        <w:t xml:space="preserve"> this objective is </w:t>
      </w:r>
      <w:r w:rsidR="6D7784DE" w:rsidRPr="4321A1A3">
        <w:rPr>
          <w:rFonts w:eastAsia="Times New Roman"/>
          <w:noProof/>
        </w:rPr>
        <w:t xml:space="preserve">an Income Inclusion Rule (IIR) </w:t>
      </w:r>
      <w:r w:rsidR="43194C0E" w:rsidRPr="4321A1A3">
        <w:rPr>
          <w:rFonts w:eastAsia="Times New Roman"/>
          <w:noProof/>
        </w:rPr>
        <w:t xml:space="preserve">which requires the ultimate parent entity (UPE) of a group to </w:t>
      </w:r>
      <w:r w:rsidR="45C0E544" w:rsidRPr="4321A1A3">
        <w:rPr>
          <w:rFonts w:eastAsia="Times New Roman"/>
          <w:noProof/>
        </w:rPr>
        <w:t>pay a</w:t>
      </w:r>
      <w:r w:rsidR="0F3AA4C5" w:rsidRPr="4321A1A3">
        <w:rPr>
          <w:rFonts w:eastAsia="Times New Roman"/>
          <w:noProof/>
        </w:rPr>
        <w:t>n additional amount of tax (</w:t>
      </w:r>
      <w:r w:rsidR="45C0E544" w:rsidRPr="4321A1A3">
        <w:rPr>
          <w:rFonts w:eastAsia="Times New Roman"/>
          <w:noProof/>
        </w:rPr>
        <w:t>"top-up tax"</w:t>
      </w:r>
      <w:r w:rsidR="5DB2C01A" w:rsidRPr="4321A1A3">
        <w:rPr>
          <w:rFonts w:eastAsia="Times New Roman"/>
          <w:noProof/>
        </w:rPr>
        <w:t>)</w:t>
      </w:r>
      <w:r w:rsidR="45C0E544" w:rsidRPr="4321A1A3">
        <w:rPr>
          <w:rFonts w:eastAsia="Times New Roman"/>
          <w:noProof/>
        </w:rPr>
        <w:t xml:space="preserve"> on profits from entities in the group that are subject to an effective tax rate </w:t>
      </w:r>
      <w:r w:rsidRPr="4321A1A3">
        <w:rPr>
          <w:rFonts w:eastAsia="Times New Roman"/>
          <w:noProof/>
        </w:rPr>
        <w:t>below 15%.</w:t>
      </w:r>
      <w:r w:rsidR="0B3DEAF9" w:rsidRPr="4321A1A3">
        <w:rPr>
          <w:rFonts w:eastAsia="Times New Roman"/>
          <w:noProof/>
        </w:rPr>
        <w:t xml:space="preserve"> The rules also include an Undertaxed Profits Rule (UTPR), which is designed to operate as a backstop to the IIR. </w:t>
      </w:r>
      <w:r w:rsidR="2D825414" w:rsidRPr="4321A1A3">
        <w:rPr>
          <w:rFonts w:eastAsia="Times New Roman"/>
          <w:noProof/>
        </w:rPr>
        <w:t xml:space="preserve">Finally, the rules allow jurisdictions to collect any top-up tax due </w:t>
      </w:r>
      <w:r w:rsidR="7179C6B8" w:rsidRPr="4321A1A3">
        <w:rPr>
          <w:rFonts w:eastAsia="Times New Roman"/>
          <w:noProof/>
        </w:rPr>
        <w:t xml:space="preserve">from domestic entities before the application of the IIR top-up tax or UTPR top-up tax. </w:t>
      </w:r>
    </w:p>
    <w:p w14:paraId="449F3EEE" w14:textId="670D7298" w:rsidR="0060546D" w:rsidRDefault="0060546D" w:rsidP="0060546D">
      <w:pPr>
        <w:shd w:val="clear" w:color="auto" w:fill="FFFFFF" w:themeFill="background1"/>
        <w:rPr>
          <w:rFonts w:eastAsia="Times New Roman"/>
          <w:noProof/>
          <w:color w:val="000000" w:themeColor="text1"/>
        </w:rPr>
      </w:pPr>
      <w:r w:rsidRPr="7624CB47">
        <w:rPr>
          <w:rFonts w:eastAsia="Times New Roman"/>
          <w:noProof/>
        </w:rPr>
        <w:t xml:space="preserve">As the Pillar 2 Directive was only recently transposed by Member States </w:t>
      </w:r>
      <w:r w:rsidRPr="7624CB47">
        <w:rPr>
          <w:rFonts w:eastAsia="Times New Roman"/>
          <w:noProof/>
          <w:color w:val="000000" w:themeColor="text1"/>
        </w:rPr>
        <w:t xml:space="preserve">the actual effects of the interaction between the two sets of rules are not yet possible to assess in a reliable manner. That said, the core objective of DAC6 is to target cross-border aggressive tax planning arrangements which are developed to take advantage of disparate national tax rules. However, the introduction of a global minimum effective tax rate has significantly reduced the risk of shifting profit to low tax jurisdictions via these types of tax planning arrangements. </w:t>
      </w:r>
    </w:p>
    <w:p w14:paraId="2C3E1970" w14:textId="15C627EE" w:rsidR="0060546D" w:rsidRDefault="0060546D" w:rsidP="0060546D">
      <w:pPr>
        <w:shd w:val="clear" w:color="auto" w:fill="FFFFFF" w:themeFill="background1"/>
        <w:rPr>
          <w:rFonts w:eastAsia="Times New Roman"/>
          <w:noProof/>
        </w:rPr>
      </w:pPr>
      <w:r>
        <w:rPr>
          <w:rFonts w:eastAsia="Times New Roman"/>
          <w:noProof/>
          <w:color w:val="000000" w:themeColor="text1"/>
        </w:rPr>
        <w:t xml:space="preserve">In their contributions to the public consultation 14 stakeholders expressly highlighted </w:t>
      </w:r>
      <w:r w:rsidRPr="7624CB47">
        <w:rPr>
          <w:rFonts w:eastAsia="Times New Roman"/>
          <w:noProof/>
          <w:color w:val="000000" w:themeColor="text1"/>
        </w:rPr>
        <w:t xml:space="preserve">that DAC6 should only focus on high-risk arrangements that are not already covered by other EU rules. Several business stakeholders involved in the targeted consultations called for </w:t>
      </w:r>
      <w:r>
        <w:rPr>
          <w:rFonts w:eastAsia="Times New Roman"/>
          <w:noProof/>
          <w:color w:val="000000" w:themeColor="text1"/>
        </w:rPr>
        <w:t xml:space="preserve">a </w:t>
      </w:r>
      <w:r w:rsidRPr="7624CB47">
        <w:rPr>
          <w:rFonts w:eastAsia="Times New Roman"/>
          <w:noProof/>
          <w:color w:val="000000" w:themeColor="text1"/>
        </w:rPr>
        <w:t xml:space="preserve">complete carve out from DAC6 reporting </w:t>
      </w:r>
      <w:r>
        <w:rPr>
          <w:rFonts w:eastAsia="Times New Roman"/>
          <w:noProof/>
          <w:color w:val="000000" w:themeColor="text1"/>
        </w:rPr>
        <w:t xml:space="preserve">for </w:t>
      </w:r>
      <w:r w:rsidRPr="7624CB47">
        <w:rPr>
          <w:rFonts w:eastAsia="Times New Roman"/>
          <w:noProof/>
          <w:color w:val="000000" w:themeColor="text1"/>
        </w:rPr>
        <w:t>MNE groups within the scope of the Pillar 2 Directive.</w:t>
      </w:r>
      <w:r>
        <w:rPr>
          <w:rFonts w:eastAsia="Times New Roman"/>
          <w:noProof/>
          <w:color w:val="000000" w:themeColor="text1"/>
        </w:rPr>
        <w:t xml:space="preserve"> Currently there are approximately 4,700 MNE groups with at least one subsidiary in the EU that are within the scope of the Pillar 2 Directive. It is estimated that 3,000 of these MNE groups </w:t>
      </w:r>
      <w:r w:rsidRPr="7624CB47">
        <w:rPr>
          <w:rFonts w:eastAsia="Times New Roman"/>
          <w:noProof/>
          <w:color w:val="000000" w:themeColor="text1"/>
        </w:rPr>
        <w:t>have a sufficiently large operational footprint in the EU, in particular in terms of multiple subsidiaries and cross-border intra-group transactions, to give rise to DAC6</w:t>
      </w:r>
      <w:r>
        <w:rPr>
          <w:rFonts w:eastAsia="Times New Roman"/>
          <w:noProof/>
          <w:color w:val="000000" w:themeColor="text1"/>
        </w:rPr>
        <w:t xml:space="preserve"> </w:t>
      </w:r>
      <w:r w:rsidRPr="7624CB47">
        <w:rPr>
          <w:rFonts w:eastAsia="Times New Roman"/>
          <w:noProof/>
          <w:color w:val="000000" w:themeColor="text1"/>
        </w:rPr>
        <w:t>reportable arrangements.</w:t>
      </w:r>
      <w:r>
        <w:rPr>
          <w:rFonts w:eastAsia="Times New Roman"/>
          <w:noProof/>
          <w:color w:val="000000" w:themeColor="text1"/>
        </w:rPr>
        <w:t xml:space="preserve"> </w:t>
      </w:r>
      <w:r w:rsidRPr="7624CB47">
        <w:rPr>
          <w:rFonts w:eastAsia="Times New Roman"/>
          <w:noProof/>
          <w:color w:val="000000" w:themeColor="text1"/>
        </w:rPr>
        <w:t xml:space="preserve">Such MNE groups have complex organisational structures and high volumes of cross-border transactions that necessitate dedicated in-house compliance functions for DAC6 purposes, which result in high compliance costs. </w:t>
      </w:r>
      <w:r>
        <w:rPr>
          <w:rFonts w:eastAsia="Times New Roman"/>
          <w:noProof/>
          <w:color w:val="000000" w:themeColor="text1"/>
        </w:rPr>
        <w:t xml:space="preserve">These </w:t>
      </w:r>
      <w:r w:rsidRPr="7624CB47">
        <w:rPr>
          <w:rFonts w:eastAsia="Times New Roman"/>
          <w:noProof/>
        </w:rPr>
        <w:t>groups are estimated to incur compliance costs of around EUR 300 million per year</w:t>
      </w:r>
      <w:r w:rsidR="006255EE">
        <w:rPr>
          <w:rStyle w:val="FootnoteReference"/>
          <w:rFonts w:eastAsia="Times New Roman"/>
          <w:noProof/>
        </w:rPr>
        <w:footnoteReference w:id="36"/>
      </w:r>
      <w:r w:rsidRPr="7624CB47">
        <w:rPr>
          <w:rFonts w:eastAsia="Times New Roman"/>
          <w:noProof/>
        </w:rPr>
        <w:t>.</w:t>
      </w:r>
    </w:p>
    <w:p w14:paraId="02AB7355" w14:textId="2B9B7399" w:rsidR="312B99D3" w:rsidRPr="00E83353" w:rsidRDefault="2B158ABB" w:rsidP="00E83353">
      <w:pPr>
        <w:rPr>
          <w:b/>
          <w:i/>
          <w:noProof/>
          <w:u w:val="single"/>
        </w:rPr>
      </w:pPr>
      <w:r w:rsidRPr="00E83353">
        <w:rPr>
          <w:b/>
          <w:i/>
          <w:noProof/>
          <w:u w:val="single"/>
        </w:rPr>
        <w:t xml:space="preserve">Limited tax relevance of certain </w:t>
      </w:r>
      <w:r w:rsidR="07C28BF6" w:rsidRPr="00E83353">
        <w:rPr>
          <w:b/>
          <w:bCs/>
          <w:i/>
          <w:iCs/>
          <w:noProof/>
          <w:u w:val="single"/>
        </w:rPr>
        <w:t>arrangements reported under Hallmark A</w:t>
      </w:r>
    </w:p>
    <w:p w14:paraId="226CD9E6" w14:textId="4808D452" w:rsidR="00A85A23" w:rsidRDefault="00A85A23" w:rsidP="00A85A23">
      <w:pPr>
        <w:spacing w:before="240"/>
        <w:rPr>
          <w:rFonts w:eastAsia="Times New Roman"/>
          <w:noProof/>
        </w:rPr>
      </w:pPr>
      <w:r w:rsidRPr="7624CB47">
        <w:rPr>
          <w:rFonts w:eastAsia="Times New Roman"/>
          <w:noProof/>
        </w:rPr>
        <w:t xml:space="preserve">The findings from the DAC evaluation </w:t>
      </w:r>
      <w:r>
        <w:rPr>
          <w:rFonts w:eastAsia="Times New Roman"/>
          <w:noProof/>
        </w:rPr>
        <w:t xml:space="preserve">report </w:t>
      </w:r>
      <w:r w:rsidRPr="7624CB47">
        <w:rPr>
          <w:rFonts w:eastAsia="Times New Roman"/>
          <w:noProof/>
        </w:rPr>
        <w:t>highlighted that business stakeholders and EU tax administrations view certain DAC6 hallmarks as no longer fit for purpose</w:t>
      </w:r>
      <w:r w:rsidR="00D7088D">
        <w:rPr>
          <w:rStyle w:val="FootnoteReference"/>
          <w:rFonts w:eastAsia="Times New Roman"/>
          <w:noProof/>
        </w:rPr>
        <w:footnoteReference w:id="37"/>
      </w:r>
      <w:r w:rsidRPr="7624CB47">
        <w:rPr>
          <w:rFonts w:eastAsia="Times New Roman"/>
          <w:noProof/>
        </w:rPr>
        <w:t xml:space="preserve">. Tax administrations highlighted that reporting associated with A1 is frequently precautionary in nature and triggered by standard confidentiality clauses that are not specifically related to tax arrangements. The </w:t>
      </w:r>
      <w:r>
        <w:rPr>
          <w:rFonts w:eastAsia="Times New Roman"/>
          <w:noProof/>
        </w:rPr>
        <w:t xml:space="preserve">SWD from the </w:t>
      </w:r>
      <w:r w:rsidRPr="7624CB47">
        <w:rPr>
          <w:rFonts w:eastAsia="Times New Roman"/>
          <w:noProof/>
        </w:rPr>
        <w:t>evaluation noted that this practice has led to significant administrative workload without necessarily increasing the value of the reports</w:t>
      </w:r>
      <w:r w:rsidR="00D7088D">
        <w:rPr>
          <w:rStyle w:val="FootnoteReference"/>
          <w:rFonts w:eastAsia="Times New Roman"/>
          <w:noProof/>
        </w:rPr>
        <w:footnoteReference w:id="38"/>
      </w:r>
      <w:r w:rsidRPr="7624CB47">
        <w:rPr>
          <w:rFonts w:eastAsia="Times New Roman"/>
          <w:noProof/>
        </w:rPr>
        <w:t xml:space="preserve"> Tax administrations also highlighted that the application of A3 has been problematic due to its broad and ambiguous language and that this has led to excessive reporting</w:t>
      </w:r>
      <w:r w:rsidR="00D7088D">
        <w:rPr>
          <w:rStyle w:val="FootnoteReference"/>
          <w:rFonts w:eastAsia="Times New Roman"/>
          <w:noProof/>
        </w:rPr>
        <w:footnoteReference w:id="39"/>
      </w:r>
      <w:r w:rsidR="006255EE">
        <w:rPr>
          <w:rFonts w:eastAsia="Times New Roman"/>
          <w:noProof/>
        </w:rPr>
        <w:t>.</w:t>
      </w:r>
    </w:p>
    <w:p w14:paraId="68D4A32E" w14:textId="5352422B" w:rsidR="00A85A23" w:rsidRDefault="00A85A23" w:rsidP="00A85A23">
      <w:pPr>
        <w:spacing w:before="240"/>
        <w:rPr>
          <w:rFonts w:eastAsia="Times New Roman"/>
          <w:noProof/>
        </w:rPr>
      </w:pPr>
      <w:r w:rsidRPr="7624CB47">
        <w:rPr>
          <w:rFonts w:eastAsia="Times New Roman"/>
          <w:noProof/>
        </w:rPr>
        <w:t xml:space="preserve">During the targeted consultations, 4 Member States accounting for 75% of all reporting under DAC6 highlighted that reporting linked to A1, A2 and A3 provides limited added value in identifying tax fraud, avoidance and evasion while creating significant operational processing burdens for tax administrations. </w:t>
      </w:r>
      <w:r>
        <w:rPr>
          <w:rFonts w:eastAsia="Times New Roman"/>
          <w:noProof/>
        </w:rPr>
        <w:t>T</w:t>
      </w:r>
      <w:r w:rsidRPr="7624CB47">
        <w:rPr>
          <w:rFonts w:eastAsia="Times New Roman"/>
          <w:noProof/>
        </w:rPr>
        <w:t>he ECA also identified that tax administrations face difficulties filtering and prioritising large volumes of DAC6 information including arrangements that do not necessarily present a substantive tax risk</w:t>
      </w:r>
      <w:r w:rsidR="00D7088D">
        <w:rPr>
          <w:rStyle w:val="FootnoteReference"/>
          <w:rFonts w:eastAsia="Times New Roman"/>
          <w:noProof/>
        </w:rPr>
        <w:footnoteReference w:id="40"/>
      </w:r>
      <w:r w:rsidR="00D7088D">
        <w:rPr>
          <w:rFonts w:eastAsia="Times New Roman"/>
          <w:noProof/>
        </w:rPr>
        <w:t>.</w:t>
      </w:r>
    </w:p>
    <w:p w14:paraId="0E26F87D" w14:textId="486B3F35" w:rsidR="00597F7A" w:rsidRDefault="00597F7A" w:rsidP="00597F7A">
      <w:pPr>
        <w:spacing w:before="240"/>
        <w:rPr>
          <w:rFonts w:eastAsia="Times New Roman"/>
          <w:noProof/>
        </w:rPr>
      </w:pPr>
      <w:r w:rsidRPr="7624CB47">
        <w:rPr>
          <w:rFonts w:eastAsia="Times New Roman"/>
          <w:noProof/>
        </w:rPr>
        <w:t xml:space="preserve">In their contribution to the public consultation, </w:t>
      </w:r>
      <w:r w:rsidR="0016765F">
        <w:rPr>
          <w:rFonts w:eastAsia="Times New Roman"/>
          <w:noProof/>
        </w:rPr>
        <w:t>17</w:t>
      </w:r>
      <w:r w:rsidRPr="7624CB47">
        <w:rPr>
          <w:rFonts w:eastAsia="Times New Roman"/>
          <w:noProof/>
        </w:rPr>
        <w:t xml:space="preserve"> business stakeholders expressly   highlighted the necessity to review and refine the DAC6 hallmarks to better target arrangements that pose a genuine risk of aggressive tax planning. In this respect, they converged on the need to remove </w:t>
      </w:r>
      <w:r>
        <w:rPr>
          <w:rFonts w:eastAsia="Times New Roman"/>
          <w:noProof/>
        </w:rPr>
        <w:t xml:space="preserve">hallmark A. In particular they indicated that A1 does not provide any added value for tax administrations, A2 concerns transactions that are already prohibited by law in many Member States and advised that </w:t>
      </w:r>
      <w:r w:rsidRPr="4321A1A3">
        <w:rPr>
          <w:rFonts w:eastAsia="Times New Roman"/>
          <w:noProof/>
        </w:rPr>
        <w:t>A3 has led to excessive reporting that has negatively impacted on the efficiency and effectiveness of the framework. These findings broadly correspond to those of the targeted consultations of business stakeholders.</w:t>
      </w:r>
    </w:p>
    <w:p w14:paraId="081790C8" w14:textId="6832EF97" w:rsidR="00597F7A" w:rsidRDefault="00597F7A" w:rsidP="00597F7A">
      <w:pPr>
        <w:spacing w:before="240"/>
        <w:rPr>
          <w:b/>
          <w:bCs/>
          <w:i/>
          <w:iCs/>
          <w:noProof/>
          <w:u w:val="single"/>
        </w:rPr>
      </w:pPr>
      <w:r w:rsidRPr="00E83353">
        <w:rPr>
          <w:rFonts w:eastAsia="Times New Roman"/>
          <w:noProof/>
        </w:rPr>
        <w:t>Since reporting commenced in July 2020, the volumes of reports linked to these hallmarks are as follows, A1 (19</w:t>
      </w:r>
      <w:r>
        <w:rPr>
          <w:rFonts w:eastAsia="Times New Roman"/>
          <w:noProof/>
        </w:rPr>
        <w:t>,</w:t>
      </w:r>
      <w:r w:rsidRPr="00E83353">
        <w:rPr>
          <w:rFonts w:eastAsia="Times New Roman"/>
          <w:noProof/>
        </w:rPr>
        <w:t>256), A2 (704) and A3 (33</w:t>
      </w:r>
      <w:r>
        <w:rPr>
          <w:rFonts w:eastAsia="Times New Roman"/>
          <w:noProof/>
        </w:rPr>
        <w:t>,</w:t>
      </w:r>
      <w:r w:rsidRPr="00E83353">
        <w:rPr>
          <w:rFonts w:eastAsia="Times New Roman"/>
          <w:noProof/>
        </w:rPr>
        <w:t>785) representing an annual average of 8,300 reports by companies outside of the scope of the Pillar 2 Directive. For these companies, compliance costs are more closely linked to the preparation and submission of individual reports, and they often rely upon external advisory services for these purposes</w:t>
      </w:r>
      <w:r>
        <w:rPr>
          <w:rStyle w:val="FootnoteReference"/>
          <w:rFonts w:eastAsia="Times New Roman"/>
          <w:noProof/>
        </w:rPr>
        <w:footnoteReference w:id="41"/>
      </w:r>
      <w:r>
        <w:rPr>
          <w:rFonts w:eastAsia="Times New Roman"/>
          <w:noProof/>
        </w:rPr>
        <w:t xml:space="preserve">. </w:t>
      </w:r>
      <w:r w:rsidRPr="00E83353">
        <w:rPr>
          <w:rFonts w:eastAsia="Times New Roman"/>
          <w:noProof/>
        </w:rPr>
        <w:t xml:space="preserve">Based upon the average cost per report of EUR 5,000, </w:t>
      </w:r>
      <w:r w:rsidR="00C7070A">
        <w:rPr>
          <w:rFonts w:eastAsia="Times New Roman"/>
          <w:noProof/>
        </w:rPr>
        <w:t xml:space="preserve">as indicated during stakeholder consultations </w:t>
      </w:r>
      <w:r w:rsidR="00B07327">
        <w:rPr>
          <w:rFonts w:eastAsia="Times New Roman"/>
          <w:noProof/>
        </w:rPr>
        <w:t>with tax advisory firms</w:t>
      </w:r>
      <w:r w:rsidR="00E96CAB">
        <w:rPr>
          <w:rFonts w:eastAsia="Times New Roman"/>
          <w:noProof/>
        </w:rPr>
        <w:t xml:space="preserve"> (see Annex 2 for more details on stakeholder consultations)</w:t>
      </w:r>
      <w:r w:rsidR="00C7070A">
        <w:rPr>
          <w:rFonts w:eastAsia="Times New Roman"/>
          <w:noProof/>
        </w:rPr>
        <w:t xml:space="preserve">, </w:t>
      </w:r>
      <w:r w:rsidRPr="00E83353">
        <w:rPr>
          <w:rFonts w:eastAsia="Times New Roman"/>
          <w:noProof/>
        </w:rPr>
        <w:t>the corresponding total compliance burden is estimated at approximately EUR 41 million per year.</w:t>
      </w:r>
      <w:r w:rsidRPr="7624CB47">
        <w:rPr>
          <w:b/>
          <w:bCs/>
          <w:i/>
          <w:iCs/>
          <w:noProof/>
          <w:u w:val="single"/>
        </w:rPr>
        <w:t xml:space="preserve"> </w:t>
      </w:r>
    </w:p>
    <w:p w14:paraId="5C4B09A0" w14:textId="1B11ABA7" w:rsidR="312B99D3" w:rsidRPr="00E83353" w:rsidRDefault="312B99D3" w:rsidP="00E83353">
      <w:pPr>
        <w:spacing w:before="240"/>
        <w:rPr>
          <w:rFonts w:eastAsia="Times New Roman"/>
          <w:b/>
          <w:noProof/>
        </w:rPr>
      </w:pPr>
      <w:r w:rsidRPr="00E83353">
        <w:rPr>
          <w:b/>
          <w:i/>
          <w:noProof/>
          <w:u w:val="single"/>
        </w:rPr>
        <w:t>Divergent interpretation of the Main Benefit Test (MBT)</w:t>
      </w:r>
    </w:p>
    <w:p w14:paraId="6380F8E0" w14:textId="5564A301" w:rsidR="00597F7A" w:rsidRDefault="00597F7A" w:rsidP="00597F7A">
      <w:pPr>
        <w:spacing w:before="240"/>
        <w:rPr>
          <w:rFonts w:eastAsia="Times New Roman"/>
          <w:noProof/>
        </w:rPr>
      </w:pPr>
      <w:r w:rsidRPr="7624CB47">
        <w:rPr>
          <w:rFonts w:eastAsia="Times New Roman"/>
          <w:noProof/>
        </w:rPr>
        <w:t xml:space="preserve">A consistent interpretation and application of the MBT is of critical importance to the effective and efficient functioning of the framework. Reporting requirements under </w:t>
      </w:r>
      <w:r>
        <w:rPr>
          <w:rFonts w:eastAsia="Times New Roman"/>
          <w:noProof/>
        </w:rPr>
        <w:t>h</w:t>
      </w:r>
      <w:r w:rsidRPr="7624CB47">
        <w:rPr>
          <w:rFonts w:eastAsia="Times New Roman"/>
          <w:noProof/>
        </w:rPr>
        <w:t xml:space="preserve">allmark A, </w:t>
      </w:r>
      <w:r>
        <w:rPr>
          <w:rFonts w:eastAsia="Times New Roman"/>
          <w:noProof/>
        </w:rPr>
        <w:t>h</w:t>
      </w:r>
      <w:r w:rsidRPr="7624CB47">
        <w:rPr>
          <w:rFonts w:eastAsia="Times New Roman"/>
          <w:noProof/>
        </w:rPr>
        <w:t xml:space="preserve">allmark B and points b(i), (c) and (d) of paragraph 1 of </w:t>
      </w:r>
      <w:r>
        <w:rPr>
          <w:rFonts w:eastAsia="Times New Roman"/>
          <w:noProof/>
        </w:rPr>
        <w:t>h</w:t>
      </w:r>
      <w:r w:rsidRPr="7624CB47">
        <w:rPr>
          <w:rFonts w:eastAsia="Times New Roman"/>
          <w:noProof/>
        </w:rPr>
        <w:t>allmark C are linked to the application of the MBT. The MBT is intended to operate as a filter to reduce reporting volumes, however reports linked to these hallmarks are listed in 77% of all disclosure reports (</w:t>
      </w:r>
      <w:r w:rsidRPr="7624CB47">
        <w:rPr>
          <w:rFonts w:eastAsia="Times New Roman"/>
          <w:b/>
          <w:bCs/>
          <w:noProof/>
        </w:rPr>
        <w:t>Annex 7</w:t>
      </w:r>
      <w:r w:rsidRPr="7624CB47">
        <w:rPr>
          <w:rFonts w:eastAsia="Times New Roman"/>
          <w:noProof/>
        </w:rPr>
        <w:t>).</w:t>
      </w:r>
      <w:r>
        <w:rPr>
          <w:rFonts w:eastAsia="Times New Roman"/>
          <w:noProof/>
        </w:rPr>
        <w:t xml:space="preserve"> </w:t>
      </w:r>
      <w:r w:rsidRPr="00215FB2">
        <w:rPr>
          <w:rFonts w:eastAsia="Times New Roman"/>
          <w:noProof/>
        </w:rPr>
        <w:t>The findings from the DAC evaluation SWD</w:t>
      </w:r>
      <w:r>
        <w:rPr>
          <w:rStyle w:val="FootnoteReference"/>
          <w:rFonts w:eastAsia="Times New Roman"/>
          <w:noProof/>
        </w:rPr>
        <w:footnoteReference w:id="42"/>
      </w:r>
      <w:r>
        <w:rPr>
          <w:rFonts w:eastAsia="Times New Roman"/>
          <w:noProof/>
        </w:rPr>
        <w:t xml:space="preserve"> </w:t>
      </w:r>
      <w:r w:rsidRPr="5DE03852">
        <w:rPr>
          <w:rFonts w:eastAsia="Times New Roman"/>
          <w:noProof/>
        </w:rPr>
        <w:t xml:space="preserve">indicate that the MBT is interpreted and applied differently across the Union. These </w:t>
      </w:r>
      <w:r>
        <w:rPr>
          <w:rFonts w:eastAsia="Times New Roman"/>
          <w:noProof/>
        </w:rPr>
        <w:t xml:space="preserve">divergent interpretations, which </w:t>
      </w:r>
      <w:r w:rsidRPr="5DE03852">
        <w:rPr>
          <w:rFonts w:eastAsia="Times New Roman"/>
          <w:noProof/>
        </w:rPr>
        <w:t>reflect variations in administrative practices and approaches to risk assessment reduce legal certainty for intermediaries and taxpayers that operate cross-border. The</w:t>
      </w:r>
      <w:r>
        <w:rPr>
          <w:rFonts w:eastAsia="Times New Roman"/>
          <w:noProof/>
        </w:rPr>
        <w:t>y also</w:t>
      </w:r>
      <w:r w:rsidRPr="5DE03852">
        <w:rPr>
          <w:rFonts w:eastAsia="Times New Roman"/>
          <w:noProof/>
        </w:rPr>
        <w:t xml:space="preserve"> negatively impact on reporting behaviours resulting in inconsistent reporting outcomes across Member States which limits the efficiency and effectiveness of the framework. </w:t>
      </w:r>
    </w:p>
    <w:p w14:paraId="342A9321" w14:textId="59E93AC8" w:rsidR="00597F7A" w:rsidRDefault="00597F7A" w:rsidP="00597F7A">
      <w:pPr>
        <w:spacing w:before="240"/>
        <w:rPr>
          <w:rFonts w:eastAsia="Times New Roman"/>
          <w:noProof/>
        </w:rPr>
      </w:pPr>
      <w:r w:rsidRPr="7CF44680">
        <w:rPr>
          <w:rFonts w:eastAsia="Times New Roman"/>
          <w:noProof/>
        </w:rPr>
        <w:t xml:space="preserve">Similar findings were </w:t>
      </w:r>
      <w:r w:rsidRPr="1A8E0ACA">
        <w:rPr>
          <w:rFonts w:eastAsia="Times New Roman"/>
          <w:noProof/>
        </w:rPr>
        <w:t>included</w:t>
      </w:r>
      <w:r w:rsidRPr="7CF44680">
        <w:rPr>
          <w:rFonts w:eastAsia="Times New Roman"/>
          <w:noProof/>
        </w:rPr>
        <w:t xml:space="preserve"> </w:t>
      </w:r>
      <w:r w:rsidRPr="5DE03852">
        <w:rPr>
          <w:rFonts w:eastAsia="Times New Roman"/>
          <w:noProof/>
        </w:rPr>
        <w:t xml:space="preserve">in the </w:t>
      </w:r>
      <w:r w:rsidRPr="7CF44680">
        <w:rPr>
          <w:rFonts w:eastAsia="Times New Roman"/>
          <w:noProof/>
        </w:rPr>
        <w:t xml:space="preserve">2024 </w:t>
      </w:r>
      <w:r w:rsidRPr="5DE03852">
        <w:rPr>
          <w:rFonts w:eastAsia="Times New Roman"/>
          <w:noProof/>
        </w:rPr>
        <w:t xml:space="preserve">ECA </w:t>
      </w:r>
      <w:r w:rsidRPr="04759346">
        <w:rPr>
          <w:rFonts w:eastAsia="Times New Roman"/>
          <w:noProof/>
        </w:rPr>
        <w:t>Report</w:t>
      </w:r>
      <w:r>
        <w:rPr>
          <w:rStyle w:val="FootnoteReference"/>
          <w:rFonts w:eastAsia="Times New Roman"/>
          <w:noProof/>
        </w:rPr>
        <w:footnoteReference w:id="43"/>
      </w:r>
      <w:r w:rsidRPr="5DE03852">
        <w:rPr>
          <w:rFonts w:eastAsia="Times New Roman"/>
          <w:noProof/>
        </w:rPr>
        <w:t xml:space="preserve"> where it was identified that there is</w:t>
      </w:r>
      <w:r w:rsidRPr="7CF44680">
        <w:rPr>
          <w:rFonts w:eastAsia="Times New Roman"/>
          <w:noProof/>
        </w:rPr>
        <w:t xml:space="preserve"> persistent uncertainty in determining whether obtaining a tax advantage constitutes the main or one of the main benefits of an arrangement, including whether such assessments should rely on a quantitative comparison of expected benefits. </w:t>
      </w:r>
      <w:r w:rsidRPr="5DE03852">
        <w:rPr>
          <w:rFonts w:eastAsia="Times New Roman"/>
          <w:noProof/>
        </w:rPr>
        <w:t>Consequentially, the ECA concluded that</w:t>
      </w:r>
      <w:r w:rsidRPr="7CF44680">
        <w:rPr>
          <w:rFonts w:eastAsia="Times New Roman"/>
          <w:noProof/>
        </w:rPr>
        <w:t xml:space="preserve"> similar cross-border arrangements may be treated differently across Member States in terms of reportability.</w:t>
      </w:r>
    </w:p>
    <w:p w14:paraId="5FF0FCE3" w14:textId="3B346BDA" w:rsidR="761EF93B" w:rsidRPr="00EB7AEE" w:rsidRDefault="5CC49D1E" w:rsidP="00E83353">
      <w:pPr>
        <w:pStyle w:val="Heading4"/>
        <w:ind w:left="567" w:hanging="567"/>
        <w:rPr>
          <w:b/>
          <w:noProof/>
          <w:lang w:val="en-IE"/>
        </w:rPr>
      </w:pPr>
      <w:r w:rsidRPr="00EB7AEE">
        <w:rPr>
          <w:b/>
          <w:noProof/>
          <w:lang w:val="en-IE"/>
        </w:rPr>
        <w:t>DAC7</w:t>
      </w:r>
    </w:p>
    <w:p w14:paraId="4E593532" w14:textId="482027D1" w:rsidR="00EB143A" w:rsidRPr="00EB7AEE" w:rsidRDefault="00EB143A" w:rsidP="00EB143A">
      <w:pPr>
        <w:rPr>
          <w:b/>
          <w:i/>
          <w:noProof/>
          <w:u w:val="single"/>
          <w:lang w:val="en-IE"/>
        </w:rPr>
      </w:pPr>
      <w:r w:rsidRPr="00EB7AEE">
        <w:rPr>
          <w:b/>
          <w:i/>
          <w:noProof/>
          <w:u w:val="single"/>
          <w:lang w:val="en-IE"/>
        </w:rPr>
        <w:t xml:space="preserve">Limited tax relevance of certain </w:t>
      </w:r>
      <w:r w:rsidR="52FB5D3E" w:rsidRPr="00EB7AEE">
        <w:rPr>
          <w:b/>
          <w:i/>
          <w:noProof/>
          <w:u w:val="single"/>
          <w:lang w:val="en-IE"/>
        </w:rPr>
        <w:t>sellers reported in relation to</w:t>
      </w:r>
      <w:r w:rsidRPr="00EB7AEE">
        <w:rPr>
          <w:b/>
          <w:i/>
          <w:noProof/>
          <w:u w:val="single"/>
          <w:lang w:val="en-IE"/>
        </w:rPr>
        <w:t xml:space="preserve"> the sale of goods</w:t>
      </w:r>
    </w:p>
    <w:p w14:paraId="4537A264" w14:textId="77777777" w:rsidR="00695E73" w:rsidRDefault="00695E73" w:rsidP="00695E73">
      <w:pPr>
        <w:spacing w:before="240" w:after="160" w:line="257" w:lineRule="auto"/>
        <w:rPr>
          <w:rFonts w:eastAsia="Times New Roman"/>
          <w:noProof/>
        </w:rPr>
      </w:pPr>
      <w:r w:rsidRPr="7624CB47">
        <w:rPr>
          <w:rFonts w:eastAsia="Times New Roman"/>
          <w:noProof/>
        </w:rPr>
        <w:t xml:space="preserve">DAC7 introduced reporting obligations for digital platform operators to improve tax transparency and tax compliance </w:t>
      </w:r>
      <w:r>
        <w:rPr>
          <w:rFonts w:eastAsia="Times New Roman"/>
          <w:noProof/>
        </w:rPr>
        <w:t>in</w:t>
      </w:r>
      <w:r w:rsidRPr="7624CB47">
        <w:rPr>
          <w:rFonts w:eastAsia="Times New Roman"/>
          <w:noProof/>
        </w:rPr>
        <w:t xml:space="preserve"> the platform economy. Platform operators must collect and report information on sellers</w:t>
      </w:r>
      <w:r>
        <w:rPr>
          <w:rFonts w:eastAsia="Times New Roman"/>
          <w:noProof/>
        </w:rPr>
        <w:t xml:space="preserve"> </w:t>
      </w:r>
      <w:r w:rsidRPr="4321A1A3">
        <w:rPr>
          <w:rFonts w:eastAsia="Times New Roman"/>
          <w:noProof/>
        </w:rPr>
        <w:t>engaging in activities such as selling goods, providing personal services or renting immovable property or means of transport</w:t>
      </w:r>
      <w:r>
        <w:rPr>
          <w:rFonts w:eastAsia="Times New Roman"/>
          <w:noProof/>
        </w:rPr>
        <w:t xml:space="preserve">. This </w:t>
      </w:r>
      <w:r w:rsidRPr="7624CB47">
        <w:rPr>
          <w:rFonts w:eastAsia="Times New Roman"/>
          <w:noProof/>
        </w:rPr>
        <w:t>information is then automatically exchanged with the Member State where the seller is resident and where the immovable property is located.  Under the current rules and with respect to activities involving the sale of goods, sellers carrying out fewer than 30 transactions not exceeding EUR 2,000 in a calendar year are excluded from reporting. Consequentially the reporting obligation will apply even where the monetary value of transactions is minimal</w:t>
      </w:r>
      <w:r>
        <w:rPr>
          <w:rFonts w:eastAsia="Times New Roman"/>
          <w:noProof/>
        </w:rPr>
        <w:t xml:space="preserve"> e.g</w:t>
      </w:r>
      <w:r w:rsidRPr="7624CB47">
        <w:rPr>
          <w:rFonts w:eastAsia="Times New Roman"/>
          <w:noProof/>
        </w:rPr>
        <w:t xml:space="preserve">. a seller carrying out 30 transactions with a value of EUR 1 each would </w:t>
      </w:r>
      <w:r>
        <w:rPr>
          <w:rFonts w:eastAsia="Times New Roman"/>
          <w:noProof/>
        </w:rPr>
        <w:t>still</w:t>
      </w:r>
      <w:r w:rsidRPr="7624CB47">
        <w:rPr>
          <w:rFonts w:eastAsia="Times New Roman"/>
          <w:noProof/>
        </w:rPr>
        <w:t xml:space="preserve"> be report</w:t>
      </w:r>
      <w:r>
        <w:rPr>
          <w:rFonts w:eastAsia="Times New Roman"/>
          <w:noProof/>
        </w:rPr>
        <w:t>able</w:t>
      </w:r>
      <w:r w:rsidRPr="7624CB47">
        <w:rPr>
          <w:rFonts w:eastAsia="Times New Roman"/>
          <w:noProof/>
        </w:rPr>
        <w:t>.</w:t>
      </w:r>
    </w:p>
    <w:p w14:paraId="025DA6E1" w14:textId="77777777" w:rsidR="00695E73" w:rsidRDefault="00695E73" w:rsidP="00695E73">
      <w:pPr>
        <w:spacing w:before="240" w:after="160" w:line="257" w:lineRule="auto"/>
        <w:rPr>
          <w:rFonts w:eastAsia="Times New Roman"/>
          <w:noProof/>
        </w:rPr>
      </w:pPr>
      <w:r>
        <w:rPr>
          <w:rFonts w:eastAsia="Times New Roman"/>
          <w:noProof/>
        </w:rPr>
        <w:t>In their response to the public consultation 6</w:t>
      </w:r>
      <w:r w:rsidRPr="000E7BED">
        <w:rPr>
          <w:rFonts w:eastAsia="Times New Roman"/>
          <w:noProof/>
        </w:rPr>
        <w:t xml:space="preserve"> </w:t>
      </w:r>
      <w:r>
        <w:rPr>
          <w:rFonts w:eastAsia="Times New Roman"/>
          <w:noProof/>
        </w:rPr>
        <w:t xml:space="preserve">business </w:t>
      </w:r>
      <w:r w:rsidRPr="000E7BED">
        <w:rPr>
          <w:rFonts w:eastAsia="Times New Roman"/>
          <w:noProof/>
        </w:rPr>
        <w:t xml:space="preserve">stakeholders, mainly online platform associations, </w:t>
      </w:r>
      <w:r>
        <w:rPr>
          <w:rFonts w:eastAsia="Times New Roman"/>
          <w:noProof/>
        </w:rPr>
        <w:t xml:space="preserve">expressly highlighted issues concerning the current threshold for the sale of goods. </w:t>
      </w:r>
      <w:r w:rsidRPr="7624CB47">
        <w:rPr>
          <w:rFonts w:eastAsia="Times New Roman"/>
          <w:noProof/>
        </w:rPr>
        <w:t>These respondents considered this current threshold as too low and proposed amendments including raising the monetary threshold (e.g. to EUR 5,000) and removing the transaction threshold. These views are largely consistent with those expressed by business stakeholders during targeted consultations</w:t>
      </w:r>
      <w:r>
        <w:rPr>
          <w:rFonts w:eastAsia="Times New Roman"/>
          <w:noProof/>
        </w:rPr>
        <w:t xml:space="preserve"> where</w:t>
      </w:r>
      <w:r w:rsidRPr="7624CB47">
        <w:rPr>
          <w:rFonts w:eastAsia="Times New Roman"/>
          <w:noProof/>
        </w:rPr>
        <w:t xml:space="preserve"> platform operators indicated that the current threshold is leading to the reporting of many non-professional sellers that carry out many transactions for minimal income and that this is particularly prevalent in the second-hand goods market. They also indicated that the current thresholds discourage private individuals from selling their second-hand goods with many of these individuals concerned by the requirement to provide their TIN. According to them, this has reduced the number of sales of second-hand goods, conflicting with the broader Union objective of promoting the circular economy</w:t>
      </w:r>
      <w:r>
        <w:rPr>
          <w:rStyle w:val="FootnoteReference"/>
          <w:rFonts w:eastAsia="Times New Roman"/>
          <w:noProof/>
        </w:rPr>
        <w:footnoteReference w:id="44"/>
      </w:r>
      <w:r w:rsidRPr="7624CB47">
        <w:rPr>
          <w:rFonts w:eastAsia="Times New Roman"/>
          <w:noProof/>
        </w:rPr>
        <w:t>.</w:t>
      </w:r>
    </w:p>
    <w:p w14:paraId="027B8051" w14:textId="1AFDF8C7" w:rsidR="0038442B" w:rsidRDefault="26139A86" w:rsidP="58BC260B">
      <w:pPr>
        <w:spacing w:before="240" w:after="160" w:line="257" w:lineRule="auto"/>
        <w:rPr>
          <w:rFonts w:eastAsia="Times New Roman"/>
          <w:noProof/>
        </w:rPr>
      </w:pPr>
      <w:r w:rsidRPr="58BC260B">
        <w:rPr>
          <w:rFonts w:eastAsia="Times New Roman"/>
          <w:noProof/>
        </w:rPr>
        <w:t xml:space="preserve">Sixteen out of 19 Member States that expressed a view highlighted that the current threshold is not sufficiently proportionate and is leading to the reporting of information that is of limited value from a tax perspective, as under national tax rules income from the occasional sale of personal goods is generally not taxable. Moreover, the reporting of large volumes of low-value transactions that do not present a tax risk creates operational challenges and resourcing costs for tax administrations. </w:t>
      </w:r>
      <w:r>
        <w:rPr>
          <w:noProof/>
        </w:rPr>
        <w:t>Seven</w:t>
      </w:r>
      <w:r w:rsidRPr="58BC260B">
        <w:rPr>
          <w:rFonts w:eastAsia="Times New Roman"/>
          <w:noProof/>
        </w:rPr>
        <w:t xml:space="preserve"> out of 12 Member States that expressed more specific views supported removing the activity threshold while there were diverging views on the appropriate level for the monetary threshold, with 2 supporting the retention of EUR 2,000, 3 favouring a threshold of between EUR 3,000 and EUR 5,000 and 2 supporting a threshold above EUR 5,000. </w:t>
      </w:r>
      <w:r w:rsidR="7345970A" w:rsidRPr="58BC260B">
        <w:rPr>
          <w:rFonts w:eastAsia="Times New Roman"/>
          <w:noProof/>
        </w:rPr>
        <w:t>Since these views were expressed</w:t>
      </w:r>
      <w:r w:rsidR="1335AC90" w:rsidRPr="58BC260B">
        <w:rPr>
          <w:rFonts w:eastAsia="Times New Roman"/>
          <w:noProof/>
        </w:rPr>
        <w:t xml:space="preserve"> all</w:t>
      </w:r>
      <w:r w:rsidR="7345970A" w:rsidRPr="58BC260B">
        <w:rPr>
          <w:rFonts w:eastAsia="Times New Roman"/>
          <w:noProof/>
        </w:rPr>
        <w:t xml:space="preserve"> </w:t>
      </w:r>
      <w:r w:rsidR="19BD10F3" w:rsidRPr="58BC260B">
        <w:rPr>
          <w:rFonts w:eastAsia="Times New Roman"/>
          <w:noProof/>
        </w:rPr>
        <w:t xml:space="preserve">relevant </w:t>
      </w:r>
      <w:r w:rsidR="7345970A" w:rsidRPr="58BC260B">
        <w:rPr>
          <w:rFonts w:eastAsia="Times New Roman"/>
          <w:noProof/>
        </w:rPr>
        <w:t>jurisdictions an</w:t>
      </w:r>
      <w:r w:rsidR="2B1CDD8E" w:rsidRPr="58BC260B">
        <w:rPr>
          <w:rFonts w:eastAsia="Times New Roman"/>
          <w:noProof/>
        </w:rPr>
        <w:t xml:space="preserve">d </w:t>
      </w:r>
      <w:r w:rsidR="1339BAE4" w:rsidRPr="58BC260B">
        <w:rPr>
          <w:rFonts w:eastAsia="Times New Roman"/>
          <w:noProof/>
        </w:rPr>
        <w:t xml:space="preserve">26 </w:t>
      </w:r>
      <w:r w:rsidR="2B1CDD8E" w:rsidRPr="58BC260B">
        <w:rPr>
          <w:rFonts w:eastAsia="Times New Roman"/>
          <w:noProof/>
        </w:rPr>
        <w:t xml:space="preserve">Member States </w:t>
      </w:r>
      <w:r w:rsidR="687C09B8" w:rsidRPr="58BC260B">
        <w:rPr>
          <w:rFonts w:eastAsia="Times New Roman"/>
          <w:noProof/>
        </w:rPr>
        <w:t xml:space="preserve">reached </w:t>
      </w:r>
      <w:r w:rsidR="7C9BD972" w:rsidRPr="58BC260B">
        <w:rPr>
          <w:rFonts w:eastAsia="Times New Roman"/>
          <w:noProof/>
        </w:rPr>
        <w:t xml:space="preserve">a provisional </w:t>
      </w:r>
      <w:r w:rsidR="687C09B8" w:rsidRPr="58BC260B">
        <w:rPr>
          <w:rFonts w:eastAsia="Times New Roman"/>
          <w:noProof/>
        </w:rPr>
        <w:t xml:space="preserve">agreement at </w:t>
      </w:r>
      <w:r w:rsidR="2784399D" w:rsidRPr="58BC260B">
        <w:rPr>
          <w:rFonts w:eastAsia="Times New Roman"/>
          <w:noProof/>
        </w:rPr>
        <w:t>technical</w:t>
      </w:r>
      <w:r w:rsidR="687C09B8" w:rsidRPr="58BC260B">
        <w:rPr>
          <w:rFonts w:eastAsia="Times New Roman"/>
          <w:noProof/>
        </w:rPr>
        <w:t xml:space="preserve"> level at the OECD, to remove the activity threshold </w:t>
      </w:r>
      <w:r w:rsidR="07F774E8" w:rsidRPr="58BC260B">
        <w:rPr>
          <w:rFonts w:eastAsia="Times New Roman"/>
          <w:noProof/>
        </w:rPr>
        <w:t>and increase the monetary threshold to EUR 3,000.</w:t>
      </w:r>
      <w:r w:rsidR="687C09B8" w:rsidRPr="58BC260B">
        <w:rPr>
          <w:rFonts w:eastAsia="Times New Roman"/>
          <w:noProof/>
        </w:rPr>
        <w:t xml:space="preserve"> in relation to the Model Rules for Digital Platform Operators (MRDP)</w:t>
      </w:r>
      <w:r w:rsidR="4429DBFA" w:rsidRPr="58BC260B">
        <w:rPr>
          <w:rFonts w:eastAsia="Times New Roman"/>
          <w:noProof/>
        </w:rPr>
        <w:t xml:space="preserve">, </w:t>
      </w:r>
      <w:r w:rsidR="191EB64C" w:rsidRPr="58BC260B">
        <w:rPr>
          <w:rFonts w:eastAsia="Times New Roman"/>
          <w:noProof/>
        </w:rPr>
        <w:t xml:space="preserve">which are </w:t>
      </w:r>
      <w:r w:rsidR="4429DBFA" w:rsidRPr="58BC260B">
        <w:rPr>
          <w:rFonts w:eastAsia="Times New Roman"/>
          <w:noProof/>
        </w:rPr>
        <w:t xml:space="preserve">implemented in the EU through DAC7. This </w:t>
      </w:r>
      <w:r w:rsidR="14BC1AEE" w:rsidRPr="58BC260B">
        <w:rPr>
          <w:rFonts w:eastAsia="Times New Roman"/>
          <w:noProof/>
        </w:rPr>
        <w:t xml:space="preserve">provisional </w:t>
      </w:r>
      <w:r w:rsidR="4429DBFA" w:rsidRPr="58BC260B">
        <w:rPr>
          <w:rFonts w:eastAsia="Times New Roman"/>
          <w:noProof/>
        </w:rPr>
        <w:t>technical agreement</w:t>
      </w:r>
      <w:r w:rsidR="48AFD127" w:rsidRPr="58BC260B">
        <w:rPr>
          <w:rFonts w:eastAsia="Times New Roman"/>
          <w:noProof/>
        </w:rPr>
        <w:t xml:space="preserve"> is reflective of the fact that Member States do not view an increase of the threshold as negatively impacting on their ability to effect</w:t>
      </w:r>
      <w:r w:rsidR="186BE0AF" w:rsidRPr="58BC260B">
        <w:rPr>
          <w:rFonts w:eastAsia="Times New Roman"/>
          <w:noProof/>
        </w:rPr>
        <w:t xml:space="preserve">ively apply their national taxation rules. While </w:t>
      </w:r>
      <w:r w:rsidR="32F12828" w:rsidRPr="58BC260B">
        <w:rPr>
          <w:rFonts w:eastAsia="Times New Roman"/>
          <w:noProof/>
        </w:rPr>
        <w:t xml:space="preserve">the application of </w:t>
      </w:r>
      <w:r w:rsidR="011E15FD" w:rsidRPr="58BC260B">
        <w:rPr>
          <w:rFonts w:eastAsia="Times New Roman"/>
          <w:noProof/>
        </w:rPr>
        <w:t xml:space="preserve">national taxation rules is dependent </w:t>
      </w:r>
      <w:r w:rsidR="17C15996" w:rsidRPr="58BC260B">
        <w:rPr>
          <w:rFonts w:eastAsia="Times New Roman"/>
          <w:noProof/>
        </w:rPr>
        <w:t xml:space="preserve">on specific personal circumstances e.g. entitlement to tax credits and allowances </w:t>
      </w:r>
      <w:r w:rsidR="53A40F13" w:rsidRPr="58BC260B">
        <w:rPr>
          <w:rFonts w:eastAsia="Times New Roman"/>
          <w:noProof/>
        </w:rPr>
        <w:t>based on marital and parental status, general case study examples of national taxation rules are included at Annex 8.</w:t>
      </w:r>
    </w:p>
    <w:p w14:paraId="6C158EE4" w14:textId="5E770041" w:rsidR="00AB346E" w:rsidRDefault="09E5E715" w:rsidP="00AB346E">
      <w:pPr>
        <w:spacing w:before="240" w:after="160" w:line="257" w:lineRule="auto"/>
        <w:rPr>
          <w:rFonts w:eastAsia="Times New Roman"/>
          <w:noProof/>
        </w:rPr>
      </w:pPr>
      <w:r w:rsidRPr="6A86AAB7">
        <w:rPr>
          <w:rFonts w:eastAsia="Times New Roman"/>
          <w:noProof/>
        </w:rPr>
        <w:t xml:space="preserve">DAC7 reporting has reached a significant scale across the Union. According to statistics made available by the Member States to the Commission services approximately 52,000 platform operators were active in the EU in 2024. These operators reported information on approximately 13.5 million sellers out of an estimated total seller base of approximately 71 million individuals engaged in </w:t>
      </w:r>
      <w:r w:rsidR="29C73370" w:rsidRPr="6A86AAB7">
        <w:rPr>
          <w:rFonts w:eastAsia="Times New Roman"/>
          <w:noProof/>
        </w:rPr>
        <w:t>platform-based</w:t>
      </w:r>
      <w:r w:rsidRPr="6A86AAB7">
        <w:rPr>
          <w:rFonts w:eastAsia="Times New Roman"/>
          <w:noProof/>
        </w:rPr>
        <w:t xml:space="preserve"> activities. According to information provided by major platform operators in the EU almost 80% of sellers reported for activities involving the sale of goods consist of those exceeding the activity threshold of 30 transactions but remaining below the EUR 2,000 monetary threshold. Platforms operators incur the compliance costs associated with reporting these low value sellers, which are estimated at approximately EUR 640 million per year across all platform operators. At the same time, tax administrations are required to process and analyse large volumes of information that are of limited relevance for assessing tax liabilities, which reduces the overall effectiveness and efficiency of their risk analysis and enforcement activities.</w:t>
      </w:r>
    </w:p>
    <w:p w14:paraId="3C7EA879" w14:textId="2FE66B34" w:rsidR="761EF93B" w:rsidRPr="00EB7AEE" w:rsidRDefault="7D03438F" w:rsidP="00E83353">
      <w:pPr>
        <w:pStyle w:val="Heading4"/>
        <w:ind w:left="567" w:hanging="567"/>
        <w:rPr>
          <w:b/>
          <w:bCs/>
          <w:noProof/>
        </w:rPr>
      </w:pPr>
      <w:r w:rsidRPr="00EB7AEE">
        <w:rPr>
          <w:b/>
          <w:bCs/>
          <w:noProof/>
        </w:rPr>
        <w:t>DAC4/</w:t>
      </w:r>
      <w:r w:rsidR="00D9632F">
        <w:rPr>
          <w:b/>
          <w:bCs/>
          <w:noProof/>
        </w:rPr>
        <w:t>DAC9</w:t>
      </w:r>
    </w:p>
    <w:p w14:paraId="04D29DF1" w14:textId="3589FFB7" w:rsidR="761EF93B" w:rsidRPr="00EB7AEE" w:rsidRDefault="7D03438F" w:rsidP="512B2C89">
      <w:pPr>
        <w:rPr>
          <w:b/>
          <w:bCs/>
          <w:i/>
          <w:iCs/>
          <w:noProof/>
          <w:u w:val="single"/>
        </w:rPr>
      </w:pPr>
      <w:r w:rsidRPr="00EB7AEE">
        <w:rPr>
          <w:b/>
          <w:bCs/>
          <w:i/>
          <w:iCs/>
          <w:noProof/>
          <w:u w:val="single"/>
        </w:rPr>
        <w:t>D</w:t>
      </w:r>
      <w:r w:rsidR="761EF93B" w:rsidRPr="00EB7AEE">
        <w:rPr>
          <w:b/>
          <w:bCs/>
          <w:i/>
          <w:iCs/>
          <w:noProof/>
          <w:u w:val="single"/>
        </w:rPr>
        <w:t>uplication of notification obligations</w:t>
      </w:r>
    </w:p>
    <w:p w14:paraId="17D2E32A" w14:textId="0F01CC65" w:rsidR="00AB346E" w:rsidRDefault="00AB346E" w:rsidP="00AB346E">
      <w:pPr>
        <w:spacing w:before="240" w:after="160" w:line="257" w:lineRule="auto"/>
        <w:rPr>
          <w:rFonts w:eastAsia="Times New Roman"/>
          <w:noProof/>
          <w:lang w:val="en-US"/>
        </w:rPr>
      </w:pPr>
      <w:r w:rsidRPr="7624CB47">
        <w:rPr>
          <w:rFonts w:eastAsia="Times New Roman"/>
          <w:noProof/>
          <w:lang w:val="en-US"/>
        </w:rPr>
        <w:t xml:space="preserve">DAC4 requires </w:t>
      </w:r>
      <w:r>
        <w:rPr>
          <w:rFonts w:eastAsia="Times New Roman"/>
          <w:noProof/>
          <w:lang w:val="en-US"/>
        </w:rPr>
        <w:t xml:space="preserve">certain </w:t>
      </w:r>
      <w:r w:rsidRPr="7624CB47">
        <w:rPr>
          <w:rFonts w:eastAsia="Times New Roman"/>
          <w:noProof/>
          <w:lang w:val="en-US"/>
        </w:rPr>
        <w:t>MNE groups to file a country-by-country report</w:t>
      </w:r>
      <w:r>
        <w:rPr>
          <w:rFonts w:eastAsia="Times New Roman"/>
          <w:noProof/>
          <w:lang w:val="en-US"/>
        </w:rPr>
        <w:t xml:space="preserve"> (CbCR)</w:t>
      </w:r>
      <w:r w:rsidRPr="7624CB47">
        <w:rPr>
          <w:rFonts w:eastAsia="Times New Roman"/>
          <w:noProof/>
          <w:lang w:val="en-US"/>
        </w:rPr>
        <w:t xml:space="preserve"> </w:t>
      </w:r>
      <w:r w:rsidR="00EA13EC" w:rsidRPr="7624CB47">
        <w:rPr>
          <w:rFonts w:eastAsia="Times New Roman"/>
          <w:noProof/>
          <w:lang w:val="en-US"/>
        </w:rPr>
        <w:t>with</w:t>
      </w:r>
      <w:r w:rsidRPr="7624CB47">
        <w:rPr>
          <w:rFonts w:eastAsia="Times New Roman"/>
          <w:noProof/>
          <w:lang w:val="en-US"/>
        </w:rPr>
        <w:t xml:space="preserve"> the relevant tax authorities of Member States. CbC</w:t>
      </w:r>
      <w:r>
        <w:rPr>
          <w:rFonts w:eastAsia="Times New Roman"/>
          <w:noProof/>
          <w:lang w:val="en-US"/>
        </w:rPr>
        <w:t>R</w:t>
      </w:r>
      <w:r w:rsidRPr="7624CB47">
        <w:rPr>
          <w:rFonts w:eastAsia="Times New Roman"/>
          <w:noProof/>
          <w:lang w:val="en-US"/>
        </w:rPr>
        <w:t xml:space="preserve"> applies to MNE Groups with </w:t>
      </w:r>
      <w:r>
        <w:rPr>
          <w:rFonts w:eastAsia="Times New Roman"/>
          <w:noProof/>
          <w:lang w:val="en-US"/>
        </w:rPr>
        <w:t xml:space="preserve">an </w:t>
      </w:r>
      <w:r w:rsidRPr="7624CB47">
        <w:rPr>
          <w:rFonts w:eastAsia="Times New Roman"/>
          <w:noProof/>
          <w:lang w:val="en-US"/>
        </w:rPr>
        <w:t>annual consolidated group revenue of EUR 750 million or more in the preceding fiscal years. The report includes information on revenue, profits, income tax paid, number of employees, etc.</w:t>
      </w:r>
      <w:r>
        <w:rPr>
          <w:rFonts w:eastAsia="Times New Roman"/>
          <w:noProof/>
          <w:lang w:val="en-US"/>
        </w:rPr>
        <w:t xml:space="preserve"> T</w:t>
      </w:r>
      <w:r w:rsidRPr="7624CB47">
        <w:rPr>
          <w:rFonts w:eastAsia="Times New Roman"/>
          <w:noProof/>
          <w:lang w:val="en-US"/>
        </w:rPr>
        <w:t>ax authorities can use this information to perform high-level transfer pricing risk assessments, evaluate other BEPS related risks and for economic and statistical analysis.</w:t>
      </w:r>
    </w:p>
    <w:p w14:paraId="68E69C4A" w14:textId="77777777" w:rsidR="00D9632F" w:rsidRDefault="00AB346E" w:rsidP="00D9632F">
      <w:pPr>
        <w:rPr>
          <w:rFonts w:eastAsia="Times New Roman"/>
          <w:noProof/>
          <w:lang w:val="en-US"/>
        </w:rPr>
      </w:pPr>
      <w:r w:rsidRPr="7624CB47">
        <w:rPr>
          <w:rFonts w:eastAsia="Times New Roman"/>
          <w:noProof/>
          <w:lang w:val="en-US"/>
        </w:rPr>
        <w:t>DAC4 requires entities of the MNE group to notify the tax authorities of the entity</w:t>
      </w:r>
      <w:r>
        <w:rPr>
          <w:rFonts w:eastAsia="Times New Roman"/>
          <w:noProof/>
          <w:lang w:val="en-US"/>
        </w:rPr>
        <w:t xml:space="preserve"> responsible for reporting</w:t>
      </w:r>
      <w:r w:rsidRPr="7624CB47">
        <w:rPr>
          <w:rFonts w:eastAsia="Times New Roman"/>
          <w:noProof/>
          <w:lang w:val="en-US"/>
        </w:rPr>
        <w:t xml:space="preserve"> for the group. </w:t>
      </w:r>
      <w:r w:rsidR="00D9632F">
        <w:rPr>
          <w:rFonts w:eastAsia="Times New Roman"/>
          <w:noProof/>
          <w:lang w:val="en-US"/>
        </w:rPr>
        <w:t>DAC9</w:t>
      </w:r>
      <w:r w:rsidR="00D9632F" w:rsidRPr="7624CB47">
        <w:rPr>
          <w:rFonts w:eastAsia="Times New Roman"/>
          <w:noProof/>
          <w:lang w:val="en-US"/>
        </w:rPr>
        <w:t>, which also applies to MNE groups with an annual consolidate</w:t>
      </w:r>
      <w:r w:rsidR="00D9632F">
        <w:rPr>
          <w:rFonts w:eastAsia="Times New Roman"/>
          <w:noProof/>
          <w:lang w:val="en-US"/>
        </w:rPr>
        <w:t>d</w:t>
      </w:r>
      <w:r w:rsidR="00D9632F" w:rsidRPr="7624CB47">
        <w:rPr>
          <w:rFonts w:eastAsia="Times New Roman"/>
          <w:noProof/>
          <w:lang w:val="en-US"/>
        </w:rPr>
        <w:t xml:space="preserve"> revenue of EUR 750 million or more</w:t>
      </w:r>
      <w:r w:rsidR="00D9632F">
        <w:rPr>
          <w:rFonts w:eastAsia="Times New Roman"/>
          <w:noProof/>
          <w:lang w:val="en-US"/>
        </w:rPr>
        <w:t>,</w:t>
      </w:r>
      <w:r w:rsidR="00D9632F" w:rsidRPr="7624CB47">
        <w:rPr>
          <w:rFonts w:eastAsia="Times New Roman"/>
          <w:noProof/>
          <w:lang w:val="en-US"/>
        </w:rPr>
        <w:t xml:space="preserve"> </w:t>
      </w:r>
      <w:r w:rsidR="00D9632F">
        <w:rPr>
          <w:rFonts w:eastAsia="Times New Roman"/>
          <w:noProof/>
          <w:lang w:val="en-US"/>
        </w:rPr>
        <w:t xml:space="preserve">enables central filing of the </w:t>
      </w:r>
      <w:r w:rsidR="00D9632F" w:rsidRPr="7624CB47">
        <w:rPr>
          <w:rFonts w:eastAsia="Times New Roman"/>
          <w:noProof/>
          <w:lang w:val="en-US"/>
        </w:rPr>
        <w:t>GloBE Information Return (GIR)</w:t>
      </w:r>
      <w:r w:rsidR="00D9632F">
        <w:rPr>
          <w:rFonts w:eastAsia="Times New Roman"/>
          <w:noProof/>
          <w:lang w:val="en-US"/>
        </w:rPr>
        <w:t xml:space="preserve">. However, each entity of the MNE group is required to </w:t>
      </w:r>
      <w:r w:rsidR="00D9632F" w:rsidRPr="7624CB47">
        <w:rPr>
          <w:rFonts w:eastAsia="Times New Roman"/>
          <w:noProof/>
          <w:lang w:val="en-US"/>
        </w:rPr>
        <w:t>notify the tax authorities of the entity</w:t>
      </w:r>
      <w:r w:rsidR="00D9632F">
        <w:rPr>
          <w:rFonts w:eastAsia="Times New Roman"/>
          <w:noProof/>
          <w:lang w:val="en-US"/>
        </w:rPr>
        <w:t xml:space="preserve"> responsible for reporting</w:t>
      </w:r>
      <w:r w:rsidR="00D9632F" w:rsidRPr="7624CB47">
        <w:rPr>
          <w:rFonts w:eastAsia="Times New Roman"/>
          <w:noProof/>
          <w:lang w:val="en-US"/>
        </w:rPr>
        <w:t xml:space="preserve"> for the group</w:t>
      </w:r>
    </w:p>
    <w:p w14:paraId="7206BD03" w14:textId="77777777" w:rsidR="00D9632F" w:rsidRDefault="00D9632F" w:rsidP="00D9632F">
      <w:pPr>
        <w:spacing w:before="240" w:after="160" w:line="257" w:lineRule="auto"/>
        <w:rPr>
          <w:rFonts w:eastAsia="Times New Roman"/>
          <w:noProof/>
          <w:lang w:val="en-US"/>
        </w:rPr>
      </w:pPr>
      <w:r w:rsidRPr="7624CB47">
        <w:rPr>
          <w:rFonts w:eastAsia="Times New Roman"/>
          <w:noProof/>
          <w:lang w:val="en-US"/>
        </w:rPr>
        <w:t xml:space="preserve">While the content of these notifications </w:t>
      </w:r>
      <w:r>
        <w:rPr>
          <w:rFonts w:eastAsia="Times New Roman"/>
          <w:noProof/>
          <w:lang w:val="en-US"/>
        </w:rPr>
        <w:t xml:space="preserve">are </w:t>
      </w:r>
      <w:r w:rsidRPr="7624CB47">
        <w:rPr>
          <w:rFonts w:eastAsia="Times New Roman"/>
          <w:noProof/>
          <w:lang w:val="en-US"/>
        </w:rPr>
        <w:t>not directly aligned</w:t>
      </w:r>
      <w:r>
        <w:rPr>
          <w:rFonts w:eastAsia="Times New Roman"/>
          <w:noProof/>
          <w:lang w:val="en-US"/>
        </w:rPr>
        <w:t>,</w:t>
      </w:r>
      <w:r w:rsidRPr="7624CB47">
        <w:rPr>
          <w:rFonts w:eastAsia="Times New Roman"/>
          <w:noProof/>
          <w:lang w:val="en-US"/>
        </w:rPr>
        <w:t xml:space="preserve"> they </w:t>
      </w:r>
      <w:r>
        <w:rPr>
          <w:rFonts w:eastAsia="Times New Roman"/>
          <w:noProof/>
          <w:lang w:val="en-US"/>
        </w:rPr>
        <w:t xml:space="preserve">do </w:t>
      </w:r>
      <w:r w:rsidRPr="7624CB47">
        <w:rPr>
          <w:rFonts w:eastAsia="Times New Roman"/>
          <w:noProof/>
          <w:lang w:val="en-US"/>
        </w:rPr>
        <w:t xml:space="preserve">contain duplicate informational requirements. With respect to the </w:t>
      </w:r>
      <w:r>
        <w:rPr>
          <w:rFonts w:eastAsia="Times New Roman"/>
          <w:noProof/>
          <w:lang w:val="en-US"/>
        </w:rPr>
        <w:t>filing deadline for these</w:t>
      </w:r>
      <w:r w:rsidRPr="7624CB47">
        <w:rPr>
          <w:rFonts w:eastAsia="Times New Roman"/>
          <w:noProof/>
          <w:lang w:val="en-US"/>
        </w:rPr>
        <w:t xml:space="preserve"> notifications, DAC4 requires that the filing should take place before the last day of the reporting fiscal year of the MNE grou</w:t>
      </w:r>
      <w:r>
        <w:rPr>
          <w:rFonts w:eastAsia="Times New Roman"/>
          <w:noProof/>
          <w:lang w:val="en-US"/>
        </w:rPr>
        <w:t xml:space="preserve">p, however there is no such filing deadline prescribed for the notification obligations which support the DAC9 reporting requirements. </w:t>
      </w:r>
      <w:r w:rsidRPr="7624CB47">
        <w:rPr>
          <w:rFonts w:eastAsia="Times New Roman"/>
          <w:noProof/>
          <w:lang w:val="en-US"/>
        </w:rPr>
        <w:t xml:space="preserve">This has led to diverging </w:t>
      </w:r>
      <w:r>
        <w:rPr>
          <w:rFonts w:eastAsia="Times New Roman"/>
          <w:noProof/>
          <w:lang w:val="en-US"/>
        </w:rPr>
        <w:t xml:space="preserve">filing deadlines </w:t>
      </w:r>
      <w:r w:rsidRPr="7624CB47">
        <w:rPr>
          <w:rFonts w:eastAsia="Times New Roman"/>
          <w:noProof/>
          <w:lang w:val="en-US"/>
        </w:rPr>
        <w:t xml:space="preserve">across the Union. </w:t>
      </w:r>
    </w:p>
    <w:p w14:paraId="078E1F25" w14:textId="77777777" w:rsidR="00D9632F" w:rsidRDefault="00D9632F" w:rsidP="00D9632F">
      <w:pPr>
        <w:spacing w:before="240" w:after="160" w:line="257" w:lineRule="auto"/>
        <w:rPr>
          <w:rFonts w:eastAsia="Times New Roman"/>
          <w:noProof/>
          <w:lang w:val="en-US"/>
        </w:rPr>
      </w:pPr>
      <w:r>
        <w:rPr>
          <w:rFonts w:eastAsia="Times New Roman"/>
          <w:noProof/>
          <w:lang w:val="en-US"/>
        </w:rPr>
        <w:t>In their response to the public consultation, 12</w:t>
      </w:r>
      <w:r w:rsidRPr="7624CB47">
        <w:rPr>
          <w:rFonts w:eastAsia="Times New Roman"/>
          <w:noProof/>
          <w:lang w:val="en-US"/>
        </w:rPr>
        <w:t xml:space="preserve"> stakeholders</w:t>
      </w:r>
      <w:r>
        <w:rPr>
          <w:rFonts w:eastAsia="Times New Roman"/>
          <w:noProof/>
          <w:lang w:val="en-US"/>
        </w:rPr>
        <w:t xml:space="preserve"> expressly h</w:t>
      </w:r>
      <w:r w:rsidRPr="7624CB47">
        <w:rPr>
          <w:rFonts w:eastAsia="Times New Roman"/>
          <w:noProof/>
          <w:lang w:val="en-US"/>
        </w:rPr>
        <w:t xml:space="preserve">ighlighted the need for a centralised </w:t>
      </w:r>
      <w:r>
        <w:rPr>
          <w:rFonts w:eastAsia="Times New Roman"/>
          <w:noProof/>
          <w:lang w:val="en-US"/>
        </w:rPr>
        <w:t xml:space="preserve">Union wide </w:t>
      </w:r>
      <w:r w:rsidRPr="7624CB47">
        <w:rPr>
          <w:rFonts w:eastAsia="Times New Roman"/>
          <w:noProof/>
          <w:lang w:val="en-US"/>
        </w:rPr>
        <w:t xml:space="preserve">system </w:t>
      </w:r>
      <w:r>
        <w:rPr>
          <w:rFonts w:eastAsia="Times New Roman"/>
          <w:noProof/>
          <w:lang w:val="en-US"/>
        </w:rPr>
        <w:t xml:space="preserve">for such </w:t>
      </w:r>
      <w:r w:rsidRPr="7624CB47">
        <w:rPr>
          <w:rFonts w:eastAsia="Times New Roman"/>
          <w:noProof/>
          <w:lang w:val="en-US"/>
        </w:rPr>
        <w:t>notification</w:t>
      </w:r>
      <w:r>
        <w:rPr>
          <w:rFonts w:eastAsia="Times New Roman"/>
          <w:noProof/>
          <w:lang w:val="en-US"/>
        </w:rPr>
        <w:t xml:space="preserve">s. </w:t>
      </w:r>
      <w:r w:rsidRPr="7624CB47">
        <w:rPr>
          <w:rFonts w:eastAsia="Times New Roman"/>
          <w:noProof/>
          <w:lang w:val="en-US"/>
        </w:rPr>
        <w:t>Ten of these stakeholders supported a single DAC4/</w:t>
      </w:r>
      <w:r>
        <w:rPr>
          <w:rFonts w:eastAsia="Times New Roman"/>
          <w:noProof/>
          <w:lang w:val="en-US"/>
        </w:rPr>
        <w:t xml:space="preserve">DAC9 </w:t>
      </w:r>
      <w:r w:rsidRPr="7624CB47">
        <w:rPr>
          <w:rFonts w:eastAsia="Times New Roman"/>
          <w:noProof/>
          <w:lang w:val="en-US"/>
        </w:rPr>
        <w:t>group level notification in tandem with a ‘change only’ approach,</w:t>
      </w:r>
      <w:r>
        <w:rPr>
          <w:rFonts w:eastAsia="Times New Roman"/>
          <w:noProof/>
          <w:lang w:val="en-US"/>
        </w:rPr>
        <w:t xml:space="preserve"> </w:t>
      </w:r>
      <w:r w:rsidRPr="7624CB47">
        <w:rPr>
          <w:rFonts w:eastAsia="Times New Roman"/>
          <w:noProof/>
          <w:lang w:val="en-US"/>
        </w:rPr>
        <w:t>standardised template and EU wide harmonised filing deadline. These respondents highlighted that the absence of standardised notification procedures and templates has led to divergent approaches</w:t>
      </w:r>
      <w:r>
        <w:rPr>
          <w:rFonts w:eastAsia="Times New Roman"/>
          <w:noProof/>
          <w:lang w:val="en-US"/>
        </w:rPr>
        <w:t xml:space="preserve"> across the Union</w:t>
      </w:r>
      <w:r w:rsidRPr="7624CB47">
        <w:rPr>
          <w:rFonts w:eastAsia="Times New Roman"/>
          <w:noProof/>
          <w:lang w:val="en-US"/>
        </w:rPr>
        <w:t xml:space="preserve"> which </w:t>
      </w:r>
      <w:r>
        <w:rPr>
          <w:rFonts w:eastAsia="Times New Roman"/>
          <w:noProof/>
          <w:lang w:val="en-US"/>
        </w:rPr>
        <w:t xml:space="preserve">increases the compliance burden for MNE groups. </w:t>
      </w:r>
    </w:p>
    <w:p w14:paraId="5FD91B33" w14:textId="197B096E" w:rsidR="00D9632F" w:rsidRPr="00AB346E" w:rsidRDefault="00D9632F">
      <w:pPr>
        <w:spacing w:before="240" w:after="160" w:line="257" w:lineRule="auto"/>
        <w:rPr>
          <w:rFonts w:eastAsia="Times New Roman"/>
          <w:noProof/>
        </w:rPr>
      </w:pPr>
      <w:r w:rsidRPr="7624CB47">
        <w:rPr>
          <w:rFonts w:eastAsia="Times New Roman"/>
          <w:noProof/>
          <w:lang w:val="en-US"/>
        </w:rPr>
        <w:t>According to Orbis there are approximately 4,700 MNE groups comprised of around 109,000 constituent entities with activities in the Union</w:t>
      </w:r>
      <w:r>
        <w:rPr>
          <w:rFonts w:eastAsia="Times New Roman"/>
          <w:noProof/>
          <w:lang w:val="en-US"/>
        </w:rPr>
        <w:t xml:space="preserve">. These entities are </w:t>
      </w:r>
      <w:r w:rsidRPr="7624CB47">
        <w:rPr>
          <w:rFonts w:eastAsia="Times New Roman"/>
          <w:noProof/>
          <w:lang w:val="en-US"/>
        </w:rPr>
        <w:t xml:space="preserve">subject to notification obligations under both DAC4 and </w:t>
      </w:r>
      <w:r>
        <w:rPr>
          <w:rFonts w:eastAsia="Times New Roman"/>
          <w:noProof/>
          <w:lang w:val="en-US"/>
        </w:rPr>
        <w:t>DAC9</w:t>
      </w:r>
      <w:r w:rsidRPr="7624CB47">
        <w:rPr>
          <w:rFonts w:eastAsia="Times New Roman"/>
          <w:noProof/>
          <w:lang w:val="en-US"/>
        </w:rPr>
        <w:t>.</w:t>
      </w:r>
      <w:r>
        <w:rPr>
          <w:rFonts w:eastAsia="Times New Roman"/>
          <w:noProof/>
          <w:lang w:val="en-US"/>
        </w:rPr>
        <w:t xml:space="preserve"> Groups that are subject to the existing notification obligations under DAC4 estimate that the associated administrative costs of compliance are </w:t>
      </w:r>
      <w:r w:rsidRPr="7624CB47">
        <w:rPr>
          <w:rFonts w:eastAsia="Times New Roman"/>
          <w:noProof/>
          <w:lang w:val="en-US"/>
        </w:rPr>
        <w:t xml:space="preserve">approximately EUR 135 million per year. In the absence of </w:t>
      </w:r>
      <w:r>
        <w:rPr>
          <w:rFonts w:eastAsia="Times New Roman"/>
          <w:noProof/>
          <w:lang w:val="en-US"/>
        </w:rPr>
        <w:t xml:space="preserve">streamlining, </w:t>
      </w:r>
      <w:r w:rsidRPr="7624CB47">
        <w:rPr>
          <w:rFonts w:eastAsia="Times New Roman"/>
          <w:noProof/>
          <w:lang w:val="en-US"/>
        </w:rPr>
        <w:t xml:space="preserve">the combined compliance costs for DAC4 and </w:t>
      </w:r>
      <w:r>
        <w:rPr>
          <w:rFonts w:eastAsia="Times New Roman"/>
          <w:noProof/>
          <w:lang w:val="en-US"/>
        </w:rPr>
        <w:t>DAC9</w:t>
      </w:r>
      <w:r w:rsidRPr="7624CB47">
        <w:rPr>
          <w:rFonts w:eastAsia="Times New Roman"/>
          <w:noProof/>
          <w:lang w:val="en-US"/>
        </w:rPr>
        <w:t xml:space="preserve"> could reach around EUR 270 million per year. </w:t>
      </w:r>
    </w:p>
    <w:p w14:paraId="127F97C9" w14:textId="265ED703" w:rsidR="761EF93B" w:rsidRDefault="761EF93B" w:rsidP="00EB7AEE">
      <w:pPr>
        <w:pStyle w:val="Heading3"/>
        <w:tabs>
          <w:tab w:val="clear" w:pos="1920"/>
          <w:tab w:val="num" w:pos="1134"/>
        </w:tabs>
        <w:ind w:left="1134" w:hanging="708"/>
        <w:rPr>
          <w:b/>
          <w:bCs/>
          <w:noProof/>
        </w:rPr>
      </w:pPr>
      <w:r w:rsidRPr="6E07C7DA">
        <w:rPr>
          <w:b/>
          <w:bCs/>
          <w:noProof/>
        </w:rPr>
        <w:t xml:space="preserve">Member States </w:t>
      </w:r>
      <w:r w:rsidR="5FD56B18" w:rsidRPr="6E07C7DA">
        <w:rPr>
          <w:b/>
          <w:bCs/>
          <w:noProof/>
        </w:rPr>
        <w:t>limited in their ability to maximise the benefits of the DAC</w:t>
      </w:r>
    </w:p>
    <w:p w14:paraId="1C89EA3D" w14:textId="04F14C68" w:rsidR="00EB143A" w:rsidRDefault="00EB143A" w:rsidP="6E07C7DA">
      <w:pPr>
        <w:rPr>
          <w:b/>
          <w:bCs/>
          <w:i/>
          <w:iCs/>
          <w:noProof/>
          <w:u w:val="single"/>
        </w:rPr>
      </w:pPr>
      <w:r w:rsidRPr="6E07C7DA">
        <w:rPr>
          <w:b/>
          <w:bCs/>
          <w:i/>
          <w:iCs/>
          <w:noProof/>
          <w:u w:val="single"/>
        </w:rPr>
        <w:t>Limited automatic identification of reported taxpayers</w:t>
      </w:r>
      <w:r w:rsidR="722CC856" w:rsidRPr="6E07C7DA">
        <w:rPr>
          <w:b/>
          <w:bCs/>
          <w:i/>
          <w:iCs/>
          <w:noProof/>
          <w:u w:val="single"/>
        </w:rPr>
        <w:t xml:space="preserve"> in national tax systems reducing the effective use of reported information</w:t>
      </w:r>
    </w:p>
    <w:p w14:paraId="3355773D" w14:textId="4280637F" w:rsidR="00AB346E" w:rsidRDefault="09E5E715" w:rsidP="00AB346E">
      <w:pPr>
        <w:spacing w:before="240"/>
        <w:rPr>
          <w:rFonts w:eastAsia="Times New Roman"/>
          <w:noProof/>
        </w:rPr>
      </w:pPr>
      <w:r w:rsidRPr="6E07C7DA">
        <w:rPr>
          <w:rFonts w:eastAsia="Times New Roman"/>
          <w:noProof/>
        </w:rPr>
        <w:t xml:space="preserve">The TIN is a unique identifier issued by public authorities to taxpayers to facilitate the administration of their national tax affairs. The TIN is a </w:t>
      </w:r>
      <w:r w:rsidRPr="42091D74">
        <w:rPr>
          <w:rFonts w:eastAsia="Times New Roman"/>
          <w:noProof/>
        </w:rPr>
        <w:t>fundamental</w:t>
      </w:r>
      <w:r w:rsidRPr="6E07C7DA">
        <w:rPr>
          <w:rFonts w:eastAsia="Times New Roman"/>
          <w:noProof/>
        </w:rPr>
        <w:t xml:space="preserve"> element of the DAC framework as it ensures that information exchanged between tax authorities can be accurately matched to the correct taxpayers, thereby facilitating the </w:t>
      </w:r>
      <w:r w:rsidRPr="2192B75E">
        <w:rPr>
          <w:rFonts w:eastAsia="Times New Roman"/>
          <w:noProof/>
        </w:rPr>
        <w:t xml:space="preserve">correct </w:t>
      </w:r>
      <w:r w:rsidRPr="6E07C7DA">
        <w:rPr>
          <w:rFonts w:eastAsia="Times New Roman"/>
          <w:noProof/>
        </w:rPr>
        <w:t xml:space="preserve">assessment of tax obligations. Under the DAC, the TIN </w:t>
      </w:r>
      <w:r w:rsidRPr="2192B75E">
        <w:rPr>
          <w:rFonts w:eastAsia="Times New Roman"/>
          <w:noProof/>
        </w:rPr>
        <w:t xml:space="preserve">and other information is </w:t>
      </w:r>
      <w:r w:rsidRPr="6E07C7DA">
        <w:rPr>
          <w:rFonts w:eastAsia="Times New Roman"/>
          <w:noProof/>
        </w:rPr>
        <w:t>collected and reported by the relevant reporting entity to the relevant tax administration. The information is then automatically exchanged with the tax administrations of other Member States.</w:t>
      </w:r>
      <w:r>
        <w:rPr>
          <w:rFonts w:eastAsia="Times New Roman"/>
          <w:noProof/>
        </w:rPr>
        <w:t xml:space="preserve"> </w:t>
      </w:r>
      <w:r w:rsidRPr="6E07C7DA">
        <w:rPr>
          <w:rFonts w:eastAsia="Times New Roman"/>
          <w:noProof/>
        </w:rPr>
        <w:t>The evaluation</w:t>
      </w:r>
      <w:r>
        <w:rPr>
          <w:rFonts w:eastAsia="Times New Roman"/>
          <w:noProof/>
        </w:rPr>
        <w:t xml:space="preserve"> SWD</w:t>
      </w:r>
      <w:r w:rsidR="00AB346E">
        <w:rPr>
          <w:rStyle w:val="FootnoteReference"/>
          <w:rFonts w:eastAsia="Times New Roman"/>
          <w:noProof/>
        </w:rPr>
        <w:footnoteReference w:id="45"/>
      </w:r>
      <w:r w:rsidRPr="6E07C7DA">
        <w:rPr>
          <w:rFonts w:eastAsia="Times New Roman"/>
          <w:noProof/>
        </w:rPr>
        <w:t xml:space="preserve"> identified weaknesses in the completeness and quality of reported TINs </w:t>
      </w:r>
      <w:r>
        <w:rPr>
          <w:rFonts w:eastAsia="Times New Roman"/>
          <w:noProof/>
        </w:rPr>
        <w:t xml:space="preserve">and highlighted </w:t>
      </w:r>
      <w:r w:rsidRPr="6E07C7DA">
        <w:rPr>
          <w:rFonts w:eastAsia="Times New Roman"/>
          <w:noProof/>
        </w:rPr>
        <w:t>that automatic matching rates remain relatively low for certain categories of exchanged information</w:t>
      </w:r>
      <w:r>
        <w:rPr>
          <w:rFonts w:eastAsia="Times New Roman"/>
          <w:noProof/>
        </w:rPr>
        <w:t>. In some cases, the automatic matching rate is below 30% (</w:t>
      </w:r>
      <w:r w:rsidR="4F13DF54">
        <w:rPr>
          <w:rFonts w:eastAsia="Times New Roman"/>
          <w:b/>
          <w:bCs/>
          <w:noProof/>
        </w:rPr>
        <w:t>Figure</w:t>
      </w:r>
      <w:r w:rsidRPr="00F541FA">
        <w:rPr>
          <w:rFonts w:eastAsia="Times New Roman"/>
          <w:b/>
          <w:bCs/>
          <w:noProof/>
        </w:rPr>
        <w:t xml:space="preserve"> 3 below</w:t>
      </w:r>
      <w:r>
        <w:rPr>
          <w:rFonts w:eastAsia="Times New Roman"/>
          <w:noProof/>
        </w:rPr>
        <w:t>)</w:t>
      </w:r>
      <w:r w:rsidR="02D5DD11" w:rsidRPr="6A86AAB7">
        <w:rPr>
          <w:rFonts w:eastAsia="Times New Roman"/>
          <w:noProof/>
        </w:rPr>
        <w:t xml:space="preserve">, </w:t>
      </w:r>
      <w:r w:rsidR="4549764D" w:rsidRPr="6A86AAB7">
        <w:rPr>
          <w:rFonts w:eastAsia="Times New Roman"/>
          <w:noProof/>
        </w:rPr>
        <w:t xml:space="preserve">a detailed rationale for the diverging automatic </w:t>
      </w:r>
      <w:r w:rsidR="5B4B2432" w:rsidRPr="6A86AAB7">
        <w:rPr>
          <w:rFonts w:eastAsia="Times New Roman"/>
          <w:noProof/>
        </w:rPr>
        <w:t xml:space="preserve">matching rates between DAC1 - DAC7 is included at </w:t>
      </w:r>
      <w:r w:rsidR="5B4B2432" w:rsidRPr="000D0E0B">
        <w:rPr>
          <w:rFonts w:eastAsia="Times New Roman"/>
          <w:noProof/>
        </w:rPr>
        <w:t xml:space="preserve">Annex </w:t>
      </w:r>
      <w:r w:rsidR="2BBF6780" w:rsidRPr="00D9632F">
        <w:rPr>
          <w:rFonts w:eastAsia="Times New Roman"/>
          <w:noProof/>
        </w:rPr>
        <w:t>9</w:t>
      </w:r>
      <w:r w:rsidR="5B4B2432" w:rsidRPr="000D0E0B">
        <w:rPr>
          <w:rFonts w:eastAsia="Times New Roman"/>
          <w:noProof/>
        </w:rPr>
        <w:t>.</w:t>
      </w:r>
    </w:p>
    <w:p w14:paraId="4A81DC6B" w14:textId="77777777" w:rsidR="00647133" w:rsidRDefault="00647133" w:rsidP="00AB346E">
      <w:pPr>
        <w:spacing w:before="240"/>
        <w:rPr>
          <w:rFonts w:eastAsia="Times New Roman"/>
          <w:noProof/>
        </w:rPr>
      </w:pPr>
    </w:p>
    <w:p w14:paraId="7671BD67" w14:textId="63F4B73B" w:rsidR="00127CA3" w:rsidRPr="008419BD" w:rsidRDefault="008419BD" w:rsidP="00AB346E">
      <w:pPr>
        <w:spacing w:before="240"/>
        <w:rPr>
          <w:rFonts w:eastAsia="Times New Roman"/>
          <w:b/>
          <w:bCs/>
          <w:i/>
          <w:iCs/>
          <w:noProof/>
        </w:rPr>
      </w:pPr>
      <w:r w:rsidRPr="008419BD">
        <w:rPr>
          <w:rFonts w:eastAsia="Times New Roman"/>
          <w:b/>
          <w:bCs/>
          <w:i/>
          <w:iCs/>
          <w:noProof/>
        </w:rPr>
        <w:t>Figure</w:t>
      </w:r>
      <w:r w:rsidR="00127CA3" w:rsidRPr="008419BD">
        <w:rPr>
          <w:rFonts w:eastAsia="Times New Roman"/>
          <w:b/>
          <w:bCs/>
          <w:i/>
          <w:iCs/>
          <w:noProof/>
        </w:rPr>
        <w:t xml:space="preserve"> 3: Average automatic matching rates for TIN for 2025</w:t>
      </w:r>
    </w:p>
    <w:tbl>
      <w:tblPr>
        <w:tblStyle w:val="TableGrid"/>
        <w:tblW w:w="8890" w:type="dxa"/>
        <w:tblLook w:val="06A0" w:firstRow="1" w:lastRow="0" w:firstColumn="1" w:lastColumn="0" w:noHBand="1" w:noVBand="1"/>
      </w:tblPr>
      <w:tblGrid>
        <w:gridCol w:w="874"/>
        <w:gridCol w:w="879"/>
        <w:gridCol w:w="872"/>
        <w:gridCol w:w="888"/>
        <w:gridCol w:w="866"/>
        <w:gridCol w:w="872"/>
        <w:gridCol w:w="879"/>
        <w:gridCol w:w="960"/>
        <w:gridCol w:w="870"/>
        <w:gridCol w:w="930"/>
      </w:tblGrid>
      <w:tr w:rsidR="00127CA3" w14:paraId="7B825E71" w14:textId="77777777">
        <w:trPr>
          <w:trHeight w:val="631"/>
        </w:trPr>
        <w:tc>
          <w:tcPr>
            <w:tcW w:w="874" w:type="dxa"/>
          </w:tcPr>
          <w:p w14:paraId="17CA479F" w14:textId="77777777" w:rsidR="00127CA3" w:rsidRPr="00EB7AEE" w:rsidRDefault="00127CA3">
            <w:pPr>
              <w:spacing w:after="0"/>
              <w:jc w:val="left"/>
              <w:rPr>
                <w:b/>
                <w:bCs/>
                <w:noProof/>
              </w:rPr>
            </w:pPr>
            <w:r w:rsidRPr="4321A1A3">
              <w:rPr>
                <w:b/>
                <w:bCs/>
                <w:noProof/>
              </w:rPr>
              <w:t>DAC1 IE</w:t>
            </w:r>
          </w:p>
        </w:tc>
        <w:tc>
          <w:tcPr>
            <w:tcW w:w="879" w:type="dxa"/>
          </w:tcPr>
          <w:p w14:paraId="462A6618" w14:textId="77777777" w:rsidR="00127CA3" w:rsidRPr="00EB7AEE" w:rsidRDefault="00127CA3">
            <w:pPr>
              <w:spacing w:after="0"/>
              <w:jc w:val="left"/>
              <w:rPr>
                <w:b/>
                <w:bCs/>
                <w:noProof/>
              </w:rPr>
            </w:pPr>
            <w:r w:rsidRPr="4321A1A3">
              <w:rPr>
                <w:b/>
                <w:bCs/>
                <w:noProof/>
              </w:rPr>
              <w:t>DAC1 DF</w:t>
            </w:r>
          </w:p>
        </w:tc>
        <w:tc>
          <w:tcPr>
            <w:tcW w:w="872" w:type="dxa"/>
          </w:tcPr>
          <w:p w14:paraId="639B7D8F" w14:textId="77777777" w:rsidR="00127CA3" w:rsidRDefault="00127CA3">
            <w:pPr>
              <w:spacing w:after="0"/>
              <w:jc w:val="left"/>
              <w:rPr>
                <w:b/>
                <w:bCs/>
                <w:noProof/>
              </w:rPr>
            </w:pPr>
            <w:r w:rsidRPr="4321A1A3">
              <w:rPr>
                <w:b/>
                <w:bCs/>
                <w:noProof/>
              </w:rPr>
              <w:t>DAC1 PEN</w:t>
            </w:r>
          </w:p>
        </w:tc>
        <w:tc>
          <w:tcPr>
            <w:tcW w:w="888" w:type="dxa"/>
          </w:tcPr>
          <w:p w14:paraId="5F2CC4CB" w14:textId="77777777" w:rsidR="00127CA3" w:rsidRPr="00EB7AEE" w:rsidRDefault="00127CA3">
            <w:pPr>
              <w:spacing w:after="0"/>
              <w:jc w:val="left"/>
              <w:rPr>
                <w:b/>
                <w:bCs/>
                <w:noProof/>
              </w:rPr>
            </w:pPr>
            <w:r w:rsidRPr="4321A1A3">
              <w:rPr>
                <w:b/>
                <w:bCs/>
                <w:noProof/>
              </w:rPr>
              <w:t>DAC1 LIP</w:t>
            </w:r>
          </w:p>
        </w:tc>
        <w:tc>
          <w:tcPr>
            <w:tcW w:w="866" w:type="dxa"/>
          </w:tcPr>
          <w:p w14:paraId="53868486" w14:textId="77777777" w:rsidR="00127CA3" w:rsidRDefault="00127CA3">
            <w:pPr>
              <w:spacing w:after="0"/>
              <w:jc w:val="left"/>
              <w:rPr>
                <w:b/>
                <w:bCs/>
                <w:noProof/>
              </w:rPr>
            </w:pPr>
            <w:r w:rsidRPr="4321A1A3">
              <w:rPr>
                <w:b/>
                <w:bCs/>
                <w:noProof/>
              </w:rPr>
              <w:t>DAC1 IP</w:t>
            </w:r>
            <w:r>
              <w:rPr>
                <w:noProof/>
              </w:rPr>
              <w:t xml:space="preserve"> </w:t>
            </w:r>
          </w:p>
        </w:tc>
        <w:tc>
          <w:tcPr>
            <w:tcW w:w="872" w:type="dxa"/>
          </w:tcPr>
          <w:p w14:paraId="6A96EE48" w14:textId="77777777" w:rsidR="00127CA3" w:rsidRPr="00EB7AEE" w:rsidRDefault="00127CA3">
            <w:pPr>
              <w:spacing w:after="0"/>
              <w:jc w:val="left"/>
              <w:rPr>
                <w:b/>
                <w:bCs/>
                <w:noProof/>
              </w:rPr>
            </w:pPr>
            <w:r w:rsidRPr="4321A1A3">
              <w:rPr>
                <w:b/>
                <w:bCs/>
                <w:noProof/>
              </w:rPr>
              <w:t>DAC2</w:t>
            </w:r>
          </w:p>
        </w:tc>
        <w:tc>
          <w:tcPr>
            <w:tcW w:w="879" w:type="dxa"/>
          </w:tcPr>
          <w:p w14:paraId="3B4025AF" w14:textId="77777777" w:rsidR="00127CA3" w:rsidRPr="00EB7AEE" w:rsidRDefault="00127CA3">
            <w:pPr>
              <w:spacing w:after="0"/>
              <w:jc w:val="left"/>
              <w:rPr>
                <w:b/>
                <w:bCs/>
                <w:noProof/>
              </w:rPr>
            </w:pPr>
            <w:r w:rsidRPr="4321A1A3">
              <w:rPr>
                <w:b/>
                <w:bCs/>
                <w:noProof/>
              </w:rPr>
              <w:t>DAC3</w:t>
            </w:r>
          </w:p>
        </w:tc>
        <w:tc>
          <w:tcPr>
            <w:tcW w:w="960" w:type="dxa"/>
          </w:tcPr>
          <w:p w14:paraId="26F28923" w14:textId="77777777" w:rsidR="00127CA3" w:rsidRPr="00EB7AEE" w:rsidRDefault="00127CA3">
            <w:pPr>
              <w:spacing w:after="0"/>
              <w:jc w:val="left"/>
              <w:rPr>
                <w:b/>
                <w:bCs/>
                <w:noProof/>
              </w:rPr>
            </w:pPr>
            <w:r w:rsidRPr="4321A1A3">
              <w:rPr>
                <w:b/>
                <w:bCs/>
                <w:noProof/>
              </w:rPr>
              <w:t>DAC4</w:t>
            </w:r>
          </w:p>
        </w:tc>
        <w:tc>
          <w:tcPr>
            <w:tcW w:w="870" w:type="dxa"/>
          </w:tcPr>
          <w:p w14:paraId="4183C008" w14:textId="77777777" w:rsidR="00127CA3" w:rsidRPr="00EB7AEE" w:rsidRDefault="00127CA3">
            <w:pPr>
              <w:spacing w:after="0"/>
              <w:jc w:val="left"/>
              <w:rPr>
                <w:b/>
                <w:bCs/>
                <w:noProof/>
              </w:rPr>
            </w:pPr>
            <w:r w:rsidRPr="4321A1A3">
              <w:rPr>
                <w:b/>
                <w:bCs/>
                <w:noProof/>
              </w:rPr>
              <w:t>DAC6</w:t>
            </w:r>
          </w:p>
        </w:tc>
        <w:tc>
          <w:tcPr>
            <w:tcW w:w="930" w:type="dxa"/>
          </w:tcPr>
          <w:p w14:paraId="766AD536" w14:textId="77777777" w:rsidR="00127CA3" w:rsidRPr="00EB7AEE" w:rsidRDefault="00127CA3">
            <w:pPr>
              <w:spacing w:after="0"/>
              <w:jc w:val="left"/>
              <w:rPr>
                <w:b/>
                <w:bCs/>
                <w:noProof/>
              </w:rPr>
            </w:pPr>
            <w:r w:rsidRPr="4321A1A3">
              <w:rPr>
                <w:b/>
                <w:bCs/>
                <w:noProof/>
              </w:rPr>
              <w:t>DAC7</w:t>
            </w:r>
          </w:p>
        </w:tc>
      </w:tr>
      <w:tr w:rsidR="00127CA3" w14:paraId="409D7CAB" w14:textId="77777777">
        <w:trPr>
          <w:trHeight w:val="660"/>
        </w:trPr>
        <w:tc>
          <w:tcPr>
            <w:tcW w:w="874" w:type="dxa"/>
          </w:tcPr>
          <w:p w14:paraId="536E0F8F" w14:textId="77777777" w:rsidR="00127CA3" w:rsidRDefault="00127CA3">
            <w:pPr>
              <w:spacing w:after="0"/>
              <w:jc w:val="left"/>
              <w:rPr>
                <w:noProof/>
              </w:rPr>
            </w:pPr>
            <w:r>
              <w:rPr>
                <w:noProof/>
              </w:rPr>
              <w:t>39.3%</w:t>
            </w:r>
          </w:p>
        </w:tc>
        <w:tc>
          <w:tcPr>
            <w:tcW w:w="879" w:type="dxa"/>
          </w:tcPr>
          <w:p w14:paraId="4057BA30" w14:textId="77777777" w:rsidR="00127CA3" w:rsidRDefault="00127CA3">
            <w:pPr>
              <w:spacing w:after="0"/>
              <w:jc w:val="left"/>
              <w:rPr>
                <w:noProof/>
              </w:rPr>
            </w:pPr>
            <w:r>
              <w:rPr>
                <w:noProof/>
              </w:rPr>
              <w:t>41.6%</w:t>
            </w:r>
          </w:p>
        </w:tc>
        <w:tc>
          <w:tcPr>
            <w:tcW w:w="872" w:type="dxa"/>
          </w:tcPr>
          <w:p w14:paraId="008EAA18" w14:textId="77777777" w:rsidR="00127CA3" w:rsidRDefault="00127CA3">
            <w:pPr>
              <w:spacing w:after="0"/>
              <w:jc w:val="left"/>
              <w:rPr>
                <w:noProof/>
              </w:rPr>
            </w:pPr>
            <w:r>
              <w:rPr>
                <w:noProof/>
              </w:rPr>
              <w:t>46.9%</w:t>
            </w:r>
          </w:p>
        </w:tc>
        <w:tc>
          <w:tcPr>
            <w:tcW w:w="888" w:type="dxa"/>
          </w:tcPr>
          <w:p w14:paraId="7C200859" w14:textId="77777777" w:rsidR="00127CA3" w:rsidRDefault="00127CA3">
            <w:pPr>
              <w:spacing w:after="0"/>
              <w:jc w:val="left"/>
              <w:rPr>
                <w:noProof/>
              </w:rPr>
            </w:pPr>
            <w:r>
              <w:rPr>
                <w:noProof/>
              </w:rPr>
              <w:t>24.2%</w:t>
            </w:r>
          </w:p>
        </w:tc>
        <w:tc>
          <w:tcPr>
            <w:tcW w:w="866" w:type="dxa"/>
          </w:tcPr>
          <w:p w14:paraId="73ED2FEC" w14:textId="77777777" w:rsidR="00127CA3" w:rsidRDefault="00127CA3">
            <w:pPr>
              <w:spacing w:after="0"/>
              <w:jc w:val="left"/>
              <w:rPr>
                <w:noProof/>
              </w:rPr>
            </w:pPr>
            <w:r>
              <w:rPr>
                <w:noProof/>
              </w:rPr>
              <w:t>35%</w:t>
            </w:r>
          </w:p>
        </w:tc>
        <w:tc>
          <w:tcPr>
            <w:tcW w:w="872" w:type="dxa"/>
          </w:tcPr>
          <w:p w14:paraId="6D546432" w14:textId="77777777" w:rsidR="00127CA3" w:rsidRDefault="00127CA3">
            <w:pPr>
              <w:spacing w:after="0"/>
              <w:jc w:val="left"/>
              <w:rPr>
                <w:noProof/>
              </w:rPr>
            </w:pPr>
            <w:r>
              <w:rPr>
                <w:noProof/>
              </w:rPr>
              <w:t>67.9%</w:t>
            </w:r>
          </w:p>
        </w:tc>
        <w:tc>
          <w:tcPr>
            <w:tcW w:w="879" w:type="dxa"/>
          </w:tcPr>
          <w:p w14:paraId="5994CEEB" w14:textId="77777777" w:rsidR="00127CA3" w:rsidRDefault="00127CA3">
            <w:pPr>
              <w:spacing w:after="0"/>
              <w:jc w:val="left"/>
              <w:rPr>
                <w:noProof/>
              </w:rPr>
            </w:pPr>
            <w:r>
              <w:rPr>
                <w:noProof/>
              </w:rPr>
              <w:t>27.3%</w:t>
            </w:r>
          </w:p>
        </w:tc>
        <w:tc>
          <w:tcPr>
            <w:tcW w:w="960" w:type="dxa"/>
          </w:tcPr>
          <w:p w14:paraId="3CD2F7D8" w14:textId="77777777" w:rsidR="00127CA3" w:rsidRDefault="00127CA3">
            <w:pPr>
              <w:spacing w:after="0"/>
              <w:jc w:val="left"/>
              <w:rPr>
                <w:noProof/>
              </w:rPr>
            </w:pPr>
            <w:r>
              <w:rPr>
                <w:noProof/>
              </w:rPr>
              <w:t>81.5%</w:t>
            </w:r>
          </w:p>
        </w:tc>
        <w:tc>
          <w:tcPr>
            <w:tcW w:w="870" w:type="dxa"/>
          </w:tcPr>
          <w:p w14:paraId="047AF795" w14:textId="77777777" w:rsidR="00127CA3" w:rsidRDefault="00127CA3">
            <w:pPr>
              <w:spacing w:after="0"/>
              <w:jc w:val="left"/>
              <w:rPr>
                <w:noProof/>
              </w:rPr>
            </w:pPr>
            <w:r>
              <w:rPr>
                <w:noProof/>
              </w:rPr>
              <w:t>56.8%</w:t>
            </w:r>
          </w:p>
        </w:tc>
        <w:tc>
          <w:tcPr>
            <w:tcW w:w="930" w:type="dxa"/>
          </w:tcPr>
          <w:p w14:paraId="7C78C7FF" w14:textId="77777777" w:rsidR="00127CA3" w:rsidRDefault="00127CA3">
            <w:pPr>
              <w:spacing w:after="0"/>
              <w:jc w:val="left"/>
              <w:rPr>
                <w:noProof/>
              </w:rPr>
            </w:pPr>
            <w:r>
              <w:rPr>
                <w:noProof/>
              </w:rPr>
              <w:t>69.7%</w:t>
            </w:r>
          </w:p>
        </w:tc>
      </w:tr>
    </w:tbl>
    <w:p w14:paraId="2307411B" w14:textId="77777777" w:rsidR="00AB346E" w:rsidRDefault="00AB346E" w:rsidP="00AB346E">
      <w:pPr>
        <w:spacing w:after="0"/>
        <w:rPr>
          <w:rFonts w:eastAsia="Times New Roman"/>
          <w:i/>
          <w:iCs/>
          <w:noProof/>
          <w:sz w:val="20"/>
          <w:szCs w:val="20"/>
        </w:rPr>
      </w:pPr>
      <w:r w:rsidRPr="7624CB47">
        <w:rPr>
          <w:rFonts w:eastAsia="Times New Roman"/>
          <w:i/>
          <w:iCs/>
          <w:noProof/>
          <w:sz w:val="20"/>
          <w:szCs w:val="20"/>
        </w:rPr>
        <w:t xml:space="preserve">Source: European Commission statistics </w:t>
      </w:r>
    </w:p>
    <w:p w14:paraId="68597023" w14:textId="77777777" w:rsidR="00AB346E" w:rsidRDefault="00AB346E" w:rsidP="00AB346E">
      <w:pPr>
        <w:spacing w:after="160" w:line="257" w:lineRule="auto"/>
        <w:rPr>
          <w:rFonts w:eastAsia="Times New Roman"/>
          <w:noProof/>
        </w:rPr>
      </w:pPr>
      <w:r w:rsidRPr="7624CB47">
        <w:rPr>
          <w:rFonts w:eastAsia="Times New Roman"/>
          <w:i/>
          <w:iCs/>
          <w:noProof/>
          <w:sz w:val="20"/>
          <w:szCs w:val="20"/>
        </w:rPr>
        <w:t xml:space="preserve">Legend: </w:t>
      </w:r>
      <w:r w:rsidRPr="00C80349">
        <w:rPr>
          <w:rFonts w:eastAsia="Times New Roman"/>
          <w:i/>
          <w:iCs/>
          <w:noProof/>
          <w:sz w:val="20"/>
          <w:szCs w:val="20"/>
        </w:rPr>
        <w:t xml:space="preserve">Income from employment (IE), directors’ fees (DF), pension income (PEN), life </w:t>
      </w:r>
      <w:r w:rsidRPr="7624CB47">
        <w:rPr>
          <w:rFonts w:eastAsia="Times New Roman"/>
          <w:i/>
          <w:iCs/>
          <w:noProof/>
          <w:sz w:val="20"/>
          <w:szCs w:val="20"/>
        </w:rPr>
        <w:t>insura</w:t>
      </w:r>
      <w:r w:rsidRPr="00C80349">
        <w:rPr>
          <w:rFonts w:eastAsia="Times New Roman"/>
          <w:i/>
          <w:iCs/>
          <w:noProof/>
          <w:sz w:val="20"/>
          <w:szCs w:val="20"/>
        </w:rPr>
        <w:t>nce products (LIP), income from immovable property (IP)</w:t>
      </w:r>
    </w:p>
    <w:p w14:paraId="4A2FEBEB" w14:textId="75FA5987" w:rsidR="00AB346E" w:rsidRDefault="00AB346E" w:rsidP="00AB346E">
      <w:pPr>
        <w:spacing w:before="240"/>
        <w:rPr>
          <w:rFonts w:eastAsia="Times New Roman"/>
          <w:noProof/>
        </w:rPr>
      </w:pPr>
      <w:r w:rsidRPr="7624CB47">
        <w:rPr>
          <w:rFonts w:eastAsia="Times New Roman"/>
          <w:noProof/>
        </w:rPr>
        <w:t>The inaccurate reporting of TINs constrains the ability of tax administrations to automatically reconcile data received from other Member States with national taxpayer databases</w:t>
      </w:r>
      <w:r>
        <w:rPr>
          <w:rFonts w:eastAsia="Times New Roman"/>
          <w:noProof/>
        </w:rPr>
        <w:t xml:space="preserve">. This constraint inhibits </w:t>
      </w:r>
      <w:r w:rsidRPr="7624CB47">
        <w:rPr>
          <w:rFonts w:eastAsia="Times New Roman"/>
          <w:noProof/>
        </w:rPr>
        <w:t xml:space="preserve">effective risk assessment and follow-up </w:t>
      </w:r>
      <w:r>
        <w:rPr>
          <w:rFonts w:eastAsia="Times New Roman"/>
          <w:noProof/>
        </w:rPr>
        <w:t xml:space="preserve">compliance </w:t>
      </w:r>
      <w:r w:rsidRPr="7624CB47">
        <w:rPr>
          <w:rFonts w:eastAsia="Times New Roman"/>
          <w:noProof/>
        </w:rPr>
        <w:t>actions</w:t>
      </w:r>
      <w:r>
        <w:rPr>
          <w:rFonts w:eastAsia="Times New Roman"/>
          <w:noProof/>
        </w:rPr>
        <w:t xml:space="preserve"> and</w:t>
      </w:r>
      <w:r w:rsidRPr="7624CB47">
        <w:rPr>
          <w:rFonts w:eastAsia="Times New Roman"/>
          <w:noProof/>
        </w:rPr>
        <w:t xml:space="preserve"> substantially increases reliance on manual processing and follow up requests, which</w:t>
      </w:r>
      <w:r>
        <w:rPr>
          <w:rFonts w:eastAsia="Times New Roman"/>
          <w:noProof/>
        </w:rPr>
        <w:t xml:space="preserve"> in turn</w:t>
      </w:r>
      <w:r w:rsidRPr="7624CB47">
        <w:rPr>
          <w:rFonts w:eastAsia="Times New Roman"/>
          <w:noProof/>
        </w:rPr>
        <w:t xml:space="preserve"> increases administrative costs and burden for tax administrations. This assessment is corroborated by the findings of the 2021 ECA Special Report</w:t>
      </w:r>
      <w:r>
        <w:rPr>
          <w:rStyle w:val="FootnoteReference"/>
          <w:rFonts w:eastAsia="Times New Roman"/>
          <w:noProof/>
        </w:rPr>
        <w:footnoteReference w:id="46"/>
      </w:r>
      <w:r w:rsidRPr="7624CB47">
        <w:rPr>
          <w:rFonts w:eastAsia="Times New Roman"/>
          <w:noProof/>
        </w:rPr>
        <w:t xml:space="preserve">, which identified that matching performance (automatic and manual) varies significantly across Member States and that unmatched information cannot be readily used for compliance purposes. </w:t>
      </w:r>
    </w:p>
    <w:p w14:paraId="2B7A8438" w14:textId="77777777" w:rsidR="00AB346E" w:rsidRDefault="00AB346E" w:rsidP="00AB346E">
      <w:pPr>
        <w:spacing w:before="240"/>
        <w:rPr>
          <w:rFonts w:eastAsia="Times New Roman"/>
          <w:noProof/>
        </w:rPr>
      </w:pPr>
      <w:r w:rsidRPr="7624CB47">
        <w:rPr>
          <w:rFonts w:eastAsia="Times New Roman"/>
          <w:noProof/>
        </w:rPr>
        <w:t>Where information cannot be automatically matched this reduces the scope for tax administrations to automate and digitalise their processes for using information</w:t>
      </w:r>
      <w:r>
        <w:rPr>
          <w:rFonts w:eastAsia="Times New Roman"/>
          <w:noProof/>
        </w:rPr>
        <w:t>. Simultaneously</w:t>
      </w:r>
      <w:r w:rsidRPr="7624CB47">
        <w:rPr>
          <w:rFonts w:eastAsia="Times New Roman"/>
          <w:noProof/>
        </w:rPr>
        <w:t xml:space="preserve"> operational costs increase due to the necessity to</w:t>
      </w:r>
      <w:r>
        <w:rPr>
          <w:rFonts w:eastAsia="Times New Roman"/>
          <w:noProof/>
        </w:rPr>
        <w:t xml:space="preserve"> manually match information and submit follow up requests for information to the tax administration that exchanged the information. </w:t>
      </w:r>
      <w:r w:rsidRPr="7624CB47">
        <w:rPr>
          <w:rFonts w:eastAsia="Times New Roman"/>
          <w:noProof/>
        </w:rPr>
        <w:t xml:space="preserve">This limits the effective use of all information by tax authorities and negatively impacts on the efficiency and effectiveness of the framework. </w:t>
      </w:r>
      <w:r>
        <w:rPr>
          <w:rFonts w:eastAsia="Times New Roman"/>
          <w:noProof/>
        </w:rPr>
        <w:t>In their response to the public consultation 7 s</w:t>
      </w:r>
      <w:r w:rsidRPr="7624CB47">
        <w:rPr>
          <w:rFonts w:eastAsia="Times New Roman"/>
          <w:noProof/>
        </w:rPr>
        <w:t xml:space="preserve">takeholders </w:t>
      </w:r>
      <w:r>
        <w:rPr>
          <w:rFonts w:eastAsia="Times New Roman"/>
          <w:noProof/>
        </w:rPr>
        <w:t xml:space="preserve">expressly highlighted the necessity </w:t>
      </w:r>
      <w:r w:rsidRPr="7624CB47">
        <w:rPr>
          <w:rFonts w:eastAsia="Times New Roman"/>
          <w:noProof/>
        </w:rPr>
        <w:t xml:space="preserve">for a centralised TIN verification system. </w:t>
      </w:r>
    </w:p>
    <w:p w14:paraId="5161A536" w14:textId="77777777" w:rsidR="005A7403" w:rsidRDefault="005A7403" w:rsidP="00AB346E">
      <w:pPr>
        <w:spacing w:before="240"/>
        <w:rPr>
          <w:rFonts w:eastAsia="Times New Roman"/>
          <w:noProof/>
        </w:rPr>
      </w:pPr>
    </w:p>
    <w:p w14:paraId="1E5EC7B8" w14:textId="61D9EAD6" w:rsidR="009C3297" w:rsidRDefault="6D8CF182" w:rsidP="00E83353">
      <w:pPr>
        <w:pStyle w:val="Heading4"/>
        <w:numPr>
          <w:ilvl w:val="0"/>
          <w:numId w:val="0"/>
        </w:numPr>
        <w:ind w:left="567" w:hanging="567"/>
        <w:rPr>
          <w:b/>
          <w:bCs/>
          <w:noProof/>
        </w:rPr>
      </w:pPr>
      <w:r w:rsidRPr="6E07C7DA">
        <w:rPr>
          <w:b/>
          <w:bCs/>
          <w:noProof/>
        </w:rPr>
        <w:t xml:space="preserve">d. </w:t>
      </w:r>
      <w:r w:rsidR="04345478" w:rsidRPr="6E07C7DA">
        <w:rPr>
          <w:b/>
          <w:bCs/>
          <w:noProof/>
        </w:rPr>
        <w:t>DAC1</w:t>
      </w:r>
    </w:p>
    <w:p w14:paraId="6ECDB265" w14:textId="2137D89F" w:rsidR="009C3297" w:rsidRDefault="04345478" w:rsidP="6E07C7DA">
      <w:pPr>
        <w:rPr>
          <w:b/>
          <w:bCs/>
          <w:i/>
          <w:iCs/>
          <w:noProof/>
          <w:u w:val="single"/>
        </w:rPr>
      </w:pPr>
      <w:r w:rsidRPr="6E07C7DA">
        <w:rPr>
          <w:b/>
          <w:bCs/>
          <w:i/>
          <w:iCs/>
          <w:noProof/>
          <w:u w:val="single"/>
        </w:rPr>
        <w:t>Incomplete reporting across categories and limitations in the information available</w:t>
      </w:r>
      <w:r w:rsidR="4E489790" w:rsidRPr="6E07C7DA">
        <w:rPr>
          <w:b/>
          <w:bCs/>
          <w:i/>
          <w:iCs/>
          <w:noProof/>
          <w:u w:val="single"/>
        </w:rPr>
        <w:t xml:space="preserve"> for reporting</w:t>
      </w:r>
    </w:p>
    <w:p w14:paraId="3A74B79B" w14:textId="39D7E6A5" w:rsidR="00EA13EC" w:rsidRDefault="7D9A2671" w:rsidP="00EA13EC">
      <w:pPr>
        <w:spacing w:before="240" w:line="257" w:lineRule="auto"/>
        <w:rPr>
          <w:rFonts w:eastAsia="Times New Roman"/>
          <w:noProof/>
        </w:rPr>
      </w:pPr>
      <w:r w:rsidRPr="7624CB47">
        <w:rPr>
          <w:rFonts w:eastAsia="Times New Roman"/>
          <w:noProof/>
        </w:rPr>
        <w:t xml:space="preserve">Under DAC1 Member States must exchange information that is “available” in their tax files on at least </w:t>
      </w:r>
      <w:r w:rsidR="3D375CBB">
        <w:rPr>
          <w:rFonts w:eastAsia="Times New Roman"/>
          <w:noProof/>
        </w:rPr>
        <w:t>5</w:t>
      </w:r>
      <w:r w:rsidRPr="7624CB47">
        <w:rPr>
          <w:rFonts w:eastAsia="Times New Roman"/>
          <w:noProof/>
        </w:rPr>
        <w:t xml:space="preserve"> of the </w:t>
      </w:r>
      <w:r w:rsidR="3D375CBB">
        <w:rPr>
          <w:rFonts w:eastAsia="Times New Roman"/>
          <w:noProof/>
        </w:rPr>
        <w:t xml:space="preserve">7 </w:t>
      </w:r>
      <w:r w:rsidRPr="7624CB47">
        <w:rPr>
          <w:rFonts w:eastAsia="Times New Roman"/>
          <w:noProof/>
        </w:rPr>
        <w:t>DAC1 income categories</w:t>
      </w:r>
      <w:r w:rsidR="3D375CBB">
        <w:rPr>
          <w:rFonts w:eastAsia="Times New Roman"/>
          <w:noProof/>
        </w:rPr>
        <w:t xml:space="preserve">. </w:t>
      </w:r>
      <w:r w:rsidRPr="7624CB47">
        <w:rPr>
          <w:rFonts w:eastAsia="Times New Roman"/>
          <w:noProof/>
        </w:rPr>
        <w:t>The evaluation</w:t>
      </w:r>
      <w:r>
        <w:rPr>
          <w:rFonts w:eastAsia="Times New Roman"/>
          <w:noProof/>
        </w:rPr>
        <w:t xml:space="preserve"> SWD</w:t>
      </w:r>
      <w:r w:rsidRPr="7624CB47">
        <w:rPr>
          <w:rFonts w:eastAsia="Times New Roman"/>
          <w:noProof/>
        </w:rPr>
        <w:t xml:space="preserve"> identified significant differences between Member States in the number and type of income categories exchanged under DAC1</w:t>
      </w:r>
      <w:r w:rsidR="00EA13EC">
        <w:rPr>
          <w:rStyle w:val="FootnoteReference"/>
          <w:rFonts w:eastAsia="Times New Roman"/>
          <w:noProof/>
        </w:rPr>
        <w:footnoteReference w:id="47"/>
      </w:r>
      <w:r w:rsidRPr="7624CB47">
        <w:rPr>
          <w:rFonts w:eastAsia="Times New Roman"/>
          <w:noProof/>
        </w:rPr>
        <w:t xml:space="preserve"> (</w:t>
      </w:r>
      <w:r w:rsidRPr="0004228E">
        <w:rPr>
          <w:rFonts w:eastAsia="Times New Roman"/>
          <w:b/>
          <w:bCs/>
          <w:noProof/>
        </w:rPr>
        <w:t xml:space="preserve">see </w:t>
      </w:r>
      <w:r w:rsidR="41C03DB0">
        <w:rPr>
          <w:rFonts w:eastAsia="Times New Roman"/>
          <w:b/>
          <w:bCs/>
          <w:noProof/>
        </w:rPr>
        <w:t>figure</w:t>
      </w:r>
      <w:r w:rsidRPr="0004228E">
        <w:rPr>
          <w:rFonts w:eastAsia="Times New Roman"/>
          <w:b/>
          <w:bCs/>
          <w:noProof/>
        </w:rPr>
        <w:t xml:space="preserve"> 4</w:t>
      </w:r>
      <w:r w:rsidRPr="7624CB47">
        <w:rPr>
          <w:rFonts w:eastAsia="Times New Roman"/>
          <w:noProof/>
        </w:rPr>
        <w:t xml:space="preserve">). Furthermore, the ECA in their 2021 </w:t>
      </w:r>
      <w:r>
        <w:rPr>
          <w:rFonts w:eastAsia="Times New Roman"/>
          <w:noProof/>
        </w:rPr>
        <w:t xml:space="preserve">Special </w:t>
      </w:r>
      <w:r w:rsidRPr="7624CB47">
        <w:rPr>
          <w:rFonts w:eastAsia="Times New Roman"/>
          <w:noProof/>
        </w:rPr>
        <w:t>Report also highlighted the large differences between the number of categories reported and exchanged by Member States and that this may contribute to situations where income is not taxed in the Member State of residence of the taxpayer because the relevant information is not exchanged</w:t>
      </w:r>
      <w:r w:rsidR="00EA13EC">
        <w:rPr>
          <w:rStyle w:val="FootnoteReference"/>
          <w:rFonts w:eastAsia="Times New Roman"/>
          <w:noProof/>
        </w:rPr>
        <w:footnoteReference w:id="48"/>
      </w:r>
      <w:r w:rsidRPr="7624CB47">
        <w:rPr>
          <w:rFonts w:eastAsia="Times New Roman"/>
          <w:noProof/>
        </w:rPr>
        <w:t>. These structural limitations reduce the effectiveness of the administrative cooperation framework</w:t>
      </w:r>
      <w:r w:rsidR="59DF2B30" w:rsidRPr="6A86AAB7">
        <w:rPr>
          <w:rFonts w:eastAsia="Times New Roman"/>
          <w:noProof/>
        </w:rPr>
        <w:t>, in particular, where the information is already held at national level but not made available to tax administrations</w:t>
      </w:r>
      <w:r w:rsidR="3148B09F" w:rsidRPr="6A86AAB7">
        <w:rPr>
          <w:rFonts w:eastAsia="Times New Roman"/>
          <w:noProof/>
        </w:rPr>
        <w:t>,</w:t>
      </w:r>
      <w:r w:rsidR="59DF2B30" w:rsidRPr="6A86AAB7">
        <w:rPr>
          <w:rFonts w:eastAsia="Times New Roman"/>
          <w:noProof/>
        </w:rPr>
        <w:t xml:space="preserve"> thereby</w:t>
      </w:r>
      <w:r w:rsidRPr="7624CB47">
        <w:rPr>
          <w:rFonts w:eastAsia="Times New Roman"/>
          <w:noProof/>
        </w:rPr>
        <w:t xml:space="preserve"> </w:t>
      </w:r>
      <w:r w:rsidR="493C2D73" w:rsidRPr="6A86AAB7">
        <w:rPr>
          <w:rFonts w:eastAsia="Times New Roman"/>
          <w:noProof/>
        </w:rPr>
        <w:t>further</w:t>
      </w:r>
      <w:r w:rsidRPr="7624CB47">
        <w:rPr>
          <w:rFonts w:eastAsia="Times New Roman"/>
          <w:noProof/>
        </w:rPr>
        <w:t xml:space="preserve"> constrain</w:t>
      </w:r>
      <w:r w:rsidR="0C4BD9F1" w:rsidRPr="6A86AAB7">
        <w:rPr>
          <w:rFonts w:eastAsia="Times New Roman"/>
          <w:noProof/>
        </w:rPr>
        <w:t>ing</w:t>
      </w:r>
      <w:r w:rsidRPr="7624CB47">
        <w:rPr>
          <w:rFonts w:eastAsia="Times New Roman"/>
          <w:noProof/>
        </w:rPr>
        <w:t xml:space="preserve"> the ability of tax administrations to maximise the benefits of the DAC.</w:t>
      </w:r>
      <w:r w:rsidR="18D9FDB1" w:rsidRPr="6A86AAB7">
        <w:rPr>
          <w:rFonts w:eastAsia="Times New Roman"/>
          <w:noProof/>
        </w:rPr>
        <w:t xml:space="preserve"> </w:t>
      </w:r>
    </w:p>
    <w:p w14:paraId="2AB47D64" w14:textId="3190C5E5" w:rsidR="00EA13EC" w:rsidRPr="008419BD" w:rsidRDefault="008419BD" w:rsidP="00EA13EC">
      <w:pPr>
        <w:spacing w:after="160" w:line="257" w:lineRule="auto"/>
        <w:rPr>
          <w:rFonts w:eastAsia="Times New Roman"/>
          <w:b/>
          <w:bCs/>
          <w:i/>
          <w:iCs/>
          <w:noProof/>
        </w:rPr>
      </w:pPr>
      <w:r w:rsidRPr="008419BD">
        <w:rPr>
          <w:rFonts w:eastAsia="Times New Roman"/>
          <w:b/>
          <w:bCs/>
          <w:i/>
          <w:iCs/>
          <w:noProof/>
        </w:rPr>
        <w:t>Figure</w:t>
      </w:r>
      <w:r w:rsidR="00EA13EC" w:rsidRPr="008419BD">
        <w:rPr>
          <w:rFonts w:eastAsia="Times New Roman"/>
          <w:b/>
          <w:bCs/>
          <w:i/>
          <w:iCs/>
          <w:noProof/>
        </w:rPr>
        <w:t xml:space="preserve"> 4: Categories of information exchanged by Member States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50"/>
        <w:gridCol w:w="3150"/>
      </w:tblGrid>
      <w:tr w:rsidR="00EA13EC" w14:paraId="72357749" w14:textId="77777777">
        <w:trPr>
          <w:trHeight w:val="300"/>
        </w:trPr>
        <w:tc>
          <w:tcPr>
            <w:tcW w:w="4950" w:type="dxa"/>
            <w:tcBorders>
              <w:top w:val="single" w:sz="6" w:space="0" w:color="auto"/>
              <w:left w:val="single" w:sz="6" w:space="0" w:color="auto"/>
              <w:bottom w:val="single" w:sz="6" w:space="0" w:color="auto"/>
              <w:right w:val="single" w:sz="6" w:space="0" w:color="auto"/>
            </w:tcBorders>
            <w:shd w:val="clear" w:color="auto" w:fill="A5C9EB"/>
            <w:tcMar>
              <w:left w:w="105" w:type="dxa"/>
              <w:right w:w="105" w:type="dxa"/>
            </w:tcMar>
          </w:tcPr>
          <w:p w14:paraId="693B3520" w14:textId="77777777" w:rsidR="00EA13EC" w:rsidRDefault="00EA13EC">
            <w:pPr>
              <w:spacing w:after="0"/>
              <w:jc w:val="center"/>
              <w:rPr>
                <w:rFonts w:eastAsia="Aptos"/>
                <w:noProof/>
                <w:color w:val="000000" w:themeColor="text1"/>
                <w:sz w:val="22"/>
                <w:szCs w:val="22"/>
              </w:rPr>
            </w:pPr>
            <w:r w:rsidRPr="7624CB47">
              <w:rPr>
                <w:rFonts w:eastAsiaTheme="minorEastAsia"/>
                <w:b/>
                <w:bCs/>
                <w:noProof/>
                <w:color w:val="000000" w:themeColor="text1"/>
                <w:sz w:val="22"/>
                <w:szCs w:val="22"/>
              </w:rPr>
              <w:t>Category of Income and Capital</w:t>
            </w:r>
          </w:p>
        </w:tc>
        <w:tc>
          <w:tcPr>
            <w:tcW w:w="3150" w:type="dxa"/>
            <w:tcBorders>
              <w:top w:val="single" w:sz="6" w:space="0" w:color="auto"/>
              <w:left w:val="single" w:sz="6" w:space="0" w:color="auto"/>
              <w:bottom w:val="single" w:sz="6" w:space="0" w:color="auto"/>
              <w:right w:val="single" w:sz="6" w:space="0" w:color="auto"/>
            </w:tcBorders>
            <w:shd w:val="clear" w:color="auto" w:fill="A5C9EB"/>
            <w:tcMar>
              <w:left w:w="105" w:type="dxa"/>
              <w:right w:w="105" w:type="dxa"/>
            </w:tcMar>
          </w:tcPr>
          <w:p w14:paraId="1F71F7A0" w14:textId="77777777" w:rsidR="00EA13EC" w:rsidRDefault="00EA13EC">
            <w:pPr>
              <w:spacing w:after="0"/>
              <w:jc w:val="center"/>
              <w:rPr>
                <w:rFonts w:eastAsia="Aptos"/>
                <w:noProof/>
                <w:color w:val="000000" w:themeColor="text1"/>
                <w:sz w:val="22"/>
                <w:szCs w:val="22"/>
              </w:rPr>
            </w:pPr>
            <w:r w:rsidRPr="7624CB47">
              <w:rPr>
                <w:rFonts w:eastAsiaTheme="minorEastAsia"/>
                <w:b/>
                <w:bCs/>
                <w:noProof/>
                <w:color w:val="000000" w:themeColor="text1"/>
                <w:sz w:val="22"/>
                <w:szCs w:val="22"/>
              </w:rPr>
              <w:t>Number of Member States exchanging information</w:t>
            </w:r>
          </w:p>
        </w:tc>
      </w:tr>
      <w:tr w:rsidR="00EA13EC" w14:paraId="4051BE18"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082E1446" w14:textId="77777777" w:rsidR="00EA13EC" w:rsidRPr="00BA553E" w:rsidRDefault="00EA13EC">
            <w:pPr>
              <w:spacing w:after="0"/>
              <w:rPr>
                <w:rFonts w:eastAsia="Aptos"/>
                <w:noProof/>
                <w:color w:val="000000" w:themeColor="text1"/>
                <w:sz w:val="22"/>
                <w:szCs w:val="22"/>
              </w:rPr>
            </w:pPr>
            <w:r w:rsidRPr="7624CB47">
              <w:rPr>
                <w:rFonts w:eastAsiaTheme="minorEastAsia"/>
                <w:noProof/>
                <w:color w:val="000000" w:themeColor="text1"/>
                <w:sz w:val="22"/>
                <w:szCs w:val="22"/>
              </w:rPr>
              <w:t>Income from employment</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tcPr>
          <w:p w14:paraId="6ACC7281" w14:textId="77777777" w:rsidR="00EA13EC" w:rsidRPr="00BA553E" w:rsidRDefault="00EA13EC">
            <w:pPr>
              <w:spacing w:after="0"/>
              <w:jc w:val="right"/>
              <w:rPr>
                <w:rFonts w:eastAsia="Aptos"/>
                <w:noProof/>
                <w:color w:val="000000" w:themeColor="text1"/>
                <w:sz w:val="22"/>
                <w:szCs w:val="22"/>
              </w:rPr>
            </w:pPr>
            <w:r w:rsidRPr="7624CB47">
              <w:rPr>
                <w:rFonts w:eastAsiaTheme="minorEastAsia"/>
                <w:noProof/>
                <w:color w:val="000000" w:themeColor="text1"/>
                <w:sz w:val="22"/>
                <w:szCs w:val="22"/>
              </w:rPr>
              <w:t>26</w:t>
            </w:r>
          </w:p>
        </w:tc>
      </w:tr>
      <w:tr w:rsidR="00EA13EC" w14:paraId="6DBB0013"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1AF662AE" w14:textId="77777777" w:rsidR="00EA13EC" w:rsidRPr="00BA553E" w:rsidRDefault="00EA13EC">
            <w:pPr>
              <w:spacing w:after="0"/>
              <w:rPr>
                <w:rFonts w:eastAsia="Aptos"/>
                <w:noProof/>
                <w:color w:val="000000" w:themeColor="text1"/>
                <w:sz w:val="22"/>
                <w:szCs w:val="22"/>
              </w:rPr>
            </w:pPr>
            <w:r w:rsidRPr="7624CB47">
              <w:rPr>
                <w:rFonts w:eastAsiaTheme="minorEastAsia"/>
                <w:noProof/>
                <w:color w:val="000000" w:themeColor="text1"/>
                <w:sz w:val="22"/>
                <w:szCs w:val="22"/>
              </w:rPr>
              <w:t>Directors Fees</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tcPr>
          <w:p w14:paraId="79347D62" w14:textId="77777777" w:rsidR="00EA13EC" w:rsidRPr="00BA553E" w:rsidRDefault="00EA13EC">
            <w:pPr>
              <w:spacing w:after="0"/>
              <w:jc w:val="right"/>
              <w:rPr>
                <w:rFonts w:eastAsia="Aptos"/>
                <w:noProof/>
                <w:color w:val="000000" w:themeColor="text1"/>
                <w:sz w:val="22"/>
                <w:szCs w:val="22"/>
              </w:rPr>
            </w:pPr>
            <w:r w:rsidRPr="7624CB47">
              <w:rPr>
                <w:rFonts w:eastAsiaTheme="minorEastAsia"/>
                <w:noProof/>
                <w:color w:val="000000" w:themeColor="text1"/>
                <w:sz w:val="22"/>
                <w:szCs w:val="22"/>
              </w:rPr>
              <w:t>23</w:t>
            </w:r>
          </w:p>
        </w:tc>
      </w:tr>
      <w:tr w:rsidR="00EA13EC" w14:paraId="6DE98E78"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39FED343" w14:textId="77777777" w:rsidR="00EA13EC" w:rsidRPr="00BA553E" w:rsidRDefault="00EA13EC">
            <w:pPr>
              <w:spacing w:after="0"/>
              <w:rPr>
                <w:rFonts w:eastAsia="Aptos"/>
                <w:noProof/>
                <w:color w:val="000000" w:themeColor="text1"/>
                <w:sz w:val="22"/>
                <w:szCs w:val="22"/>
              </w:rPr>
            </w:pPr>
            <w:r w:rsidRPr="7624CB47">
              <w:rPr>
                <w:rFonts w:eastAsia="Aptos"/>
                <w:noProof/>
                <w:color w:val="000000" w:themeColor="text1"/>
                <w:sz w:val="22"/>
                <w:szCs w:val="22"/>
              </w:rPr>
              <w:t>Income from life insurance products</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tcPr>
          <w:p w14:paraId="7FFB7CA4" w14:textId="77777777" w:rsidR="00EA13EC" w:rsidRPr="00BA553E" w:rsidRDefault="00EA13EC">
            <w:pPr>
              <w:spacing w:after="0"/>
              <w:jc w:val="right"/>
              <w:rPr>
                <w:rFonts w:eastAsia="Aptos"/>
                <w:noProof/>
                <w:color w:val="000000" w:themeColor="text1"/>
                <w:sz w:val="22"/>
                <w:szCs w:val="22"/>
              </w:rPr>
            </w:pPr>
            <w:r w:rsidRPr="7624CB47">
              <w:rPr>
                <w:rFonts w:eastAsiaTheme="minorEastAsia"/>
                <w:noProof/>
                <w:color w:val="000000" w:themeColor="text1"/>
                <w:sz w:val="22"/>
                <w:szCs w:val="22"/>
              </w:rPr>
              <w:t>10</w:t>
            </w:r>
          </w:p>
        </w:tc>
      </w:tr>
      <w:tr w:rsidR="00EA13EC" w14:paraId="18901B8A"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340B8B34" w14:textId="77777777" w:rsidR="00EA13EC" w:rsidRPr="00BA553E" w:rsidRDefault="00EA13EC">
            <w:pPr>
              <w:spacing w:after="0"/>
              <w:rPr>
                <w:rFonts w:eastAsia="Aptos"/>
                <w:noProof/>
                <w:color w:val="000000" w:themeColor="text1"/>
                <w:sz w:val="22"/>
                <w:szCs w:val="22"/>
              </w:rPr>
            </w:pPr>
            <w:r w:rsidRPr="7624CB47">
              <w:rPr>
                <w:rFonts w:eastAsiaTheme="minorEastAsia"/>
                <w:noProof/>
                <w:color w:val="000000" w:themeColor="text1"/>
                <w:sz w:val="22"/>
                <w:szCs w:val="22"/>
              </w:rPr>
              <w:t>Pensions</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tcPr>
          <w:p w14:paraId="39E81C3D" w14:textId="77777777" w:rsidR="00EA13EC" w:rsidRPr="00BA553E" w:rsidRDefault="00EA13EC">
            <w:pPr>
              <w:spacing w:after="0"/>
              <w:jc w:val="right"/>
              <w:rPr>
                <w:rFonts w:eastAsia="Aptos"/>
                <w:noProof/>
                <w:color w:val="000000" w:themeColor="text1"/>
                <w:sz w:val="22"/>
                <w:szCs w:val="22"/>
              </w:rPr>
            </w:pPr>
            <w:r w:rsidRPr="7624CB47">
              <w:rPr>
                <w:rFonts w:eastAsiaTheme="minorEastAsia"/>
                <w:noProof/>
                <w:color w:val="000000" w:themeColor="text1"/>
                <w:sz w:val="22"/>
                <w:szCs w:val="22"/>
              </w:rPr>
              <w:t>25</w:t>
            </w:r>
          </w:p>
        </w:tc>
      </w:tr>
      <w:tr w:rsidR="00EA13EC" w14:paraId="13459678"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6B7D4CA1" w14:textId="77777777" w:rsidR="00EA13EC" w:rsidRPr="00BA553E" w:rsidRDefault="00EA13EC">
            <w:pPr>
              <w:spacing w:after="0"/>
              <w:rPr>
                <w:rFonts w:eastAsia="Aptos"/>
                <w:noProof/>
                <w:color w:val="000000" w:themeColor="text1"/>
                <w:sz w:val="22"/>
                <w:szCs w:val="22"/>
              </w:rPr>
            </w:pPr>
            <w:r w:rsidRPr="7624CB47">
              <w:rPr>
                <w:rFonts w:eastAsiaTheme="minorEastAsia"/>
                <w:noProof/>
                <w:color w:val="000000" w:themeColor="text1"/>
                <w:sz w:val="22"/>
                <w:szCs w:val="22"/>
              </w:rPr>
              <w:t xml:space="preserve">Ownership and income from immovable property </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tcPr>
          <w:p w14:paraId="40F1B1FA" w14:textId="77777777" w:rsidR="00EA13EC" w:rsidRPr="00BA553E" w:rsidRDefault="00EA13EC">
            <w:pPr>
              <w:spacing w:after="0"/>
              <w:jc w:val="right"/>
              <w:rPr>
                <w:rFonts w:eastAsia="Aptos"/>
                <w:noProof/>
                <w:color w:val="000000" w:themeColor="text1"/>
                <w:sz w:val="22"/>
                <w:szCs w:val="22"/>
              </w:rPr>
            </w:pPr>
            <w:r w:rsidRPr="7624CB47">
              <w:rPr>
                <w:rFonts w:eastAsiaTheme="minorEastAsia"/>
                <w:noProof/>
                <w:color w:val="000000" w:themeColor="text1"/>
                <w:sz w:val="22"/>
                <w:szCs w:val="22"/>
              </w:rPr>
              <w:t>24</w:t>
            </w:r>
          </w:p>
        </w:tc>
      </w:tr>
      <w:tr w:rsidR="00EA13EC" w14:paraId="3B624483"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6FAA3A7B" w14:textId="77777777" w:rsidR="00EA13EC" w:rsidRPr="00BA553E" w:rsidRDefault="00EA13EC">
            <w:pPr>
              <w:spacing w:after="0"/>
              <w:rPr>
                <w:rFonts w:eastAsia="Aptos"/>
                <w:noProof/>
                <w:color w:val="000000" w:themeColor="text1"/>
                <w:sz w:val="22"/>
                <w:szCs w:val="22"/>
              </w:rPr>
            </w:pPr>
            <w:r w:rsidRPr="7624CB47">
              <w:rPr>
                <w:rFonts w:eastAsiaTheme="minorEastAsia"/>
                <w:noProof/>
                <w:color w:val="000000" w:themeColor="text1"/>
                <w:sz w:val="22"/>
                <w:szCs w:val="22"/>
              </w:rPr>
              <w:t>Royalties</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tcPr>
          <w:p w14:paraId="7092660F" w14:textId="77777777" w:rsidR="00EA13EC" w:rsidRPr="00BA553E" w:rsidRDefault="00EA13EC">
            <w:pPr>
              <w:spacing w:after="0"/>
              <w:jc w:val="right"/>
              <w:rPr>
                <w:rFonts w:eastAsia="Aptos"/>
                <w:noProof/>
                <w:color w:val="000000" w:themeColor="text1"/>
                <w:sz w:val="22"/>
                <w:szCs w:val="22"/>
              </w:rPr>
            </w:pPr>
            <w:r w:rsidRPr="7624CB47">
              <w:rPr>
                <w:rFonts w:eastAsiaTheme="minorEastAsia"/>
                <w:noProof/>
                <w:color w:val="000000" w:themeColor="text1"/>
                <w:sz w:val="22"/>
                <w:szCs w:val="22"/>
              </w:rPr>
              <w:t>18</w:t>
            </w:r>
          </w:p>
        </w:tc>
      </w:tr>
      <w:tr w:rsidR="00EA13EC" w14:paraId="7C506903"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43EB2131" w14:textId="77777777" w:rsidR="00EA13EC" w:rsidRPr="00BA553E" w:rsidRDefault="00EA13EC">
            <w:pPr>
              <w:spacing w:after="0"/>
              <w:rPr>
                <w:rFonts w:eastAsia="Aptos"/>
                <w:noProof/>
                <w:color w:val="000000" w:themeColor="text1"/>
                <w:sz w:val="22"/>
                <w:szCs w:val="22"/>
              </w:rPr>
            </w:pPr>
            <w:r w:rsidRPr="7624CB47">
              <w:rPr>
                <w:rFonts w:eastAsiaTheme="minorEastAsia"/>
                <w:noProof/>
                <w:color w:val="000000" w:themeColor="text1"/>
                <w:sz w:val="22"/>
                <w:szCs w:val="22"/>
              </w:rPr>
              <w:t>Non-custodial dividend income</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tcPr>
          <w:p w14:paraId="2E653935" w14:textId="77777777" w:rsidR="00EA13EC" w:rsidRPr="00BA553E" w:rsidRDefault="00EA13EC">
            <w:pPr>
              <w:spacing w:after="0"/>
              <w:jc w:val="right"/>
              <w:rPr>
                <w:rFonts w:eastAsia="Aptos"/>
                <w:noProof/>
                <w:color w:val="000000" w:themeColor="text1"/>
                <w:sz w:val="22"/>
                <w:szCs w:val="22"/>
              </w:rPr>
            </w:pPr>
            <w:r w:rsidRPr="7624CB47">
              <w:rPr>
                <w:rFonts w:eastAsiaTheme="minorEastAsia"/>
                <w:noProof/>
                <w:color w:val="000000" w:themeColor="text1"/>
                <w:sz w:val="22"/>
                <w:szCs w:val="22"/>
              </w:rPr>
              <w:t>AEOI will start in 2027</w:t>
            </w:r>
          </w:p>
        </w:tc>
      </w:tr>
    </w:tbl>
    <w:p w14:paraId="33D99239" w14:textId="77777777" w:rsidR="00EA13EC" w:rsidRDefault="00EA13EC" w:rsidP="00EA13EC">
      <w:pPr>
        <w:spacing w:after="0" w:line="257" w:lineRule="auto"/>
        <w:rPr>
          <w:rFonts w:eastAsia="Times New Roman"/>
          <w:i/>
          <w:iCs/>
          <w:noProof/>
          <w:sz w:val="22"/>
          <w:szCs w:val="22"/>
        </w:rPr>
      </w:pPr>
      <w:r w:rsidRPr="7624CB47">
        <w:rPr>
          <w:rFonts w:eastAsia="Times New Roman"/>
          <w:i/>
          <w:iCs/>
          <w:noProof/>
          <w:sz w:val="22"/>
          <w:szCs w:val="22"/>
        </w:rPr>
        <w:t xml:space="preserve">Source: European Commission statistics </w:t>
      </w:r>
    </w:p>
    <w:p w14:paraId="3CCB718B" w14:textId="77777777" w:rsidR="00EA13EC" w:rsidRDefault="00EA13EC" w:rsidP="00EA13EC">
      <w:pPr>
        <w:spacing w:before="240" w:line="257" w:lineRule="auto"/>
        <w:rPr>
          <w:noProof/>
        </w:rPr>
      </w:pPr>
      <w:r w:rsidRPr="7624CB47">
        <w:rPr>
          <w:rFonts w:eastAsia="Times New Roman"/>
          <w:noProof/>
        </w:rPr>
        <w:t>In particular, income from life insurance products</w:t>
      </w:r>
      <w:r>
        <w:rPr>
          <w:rFonts w:eastAsia="Times New Roman"/>
          <w:noProof/>
        </w:rPr>
        <w:t xml:space="preserve"> (LIP)</w:t>
      </w:r>
      <w:r w:rsidRPr="7624CB47">
        <w:rPr>
          <w:rFonts w:eastAsia="Times New Roman"/>
          <w:noProof/>
        </w:rPr>
        <w:t xml:space="preserve"> is exchanged by only 10 Member States and represents less than 1% of both the number of taxpayers and the total value of income exchanged under DAC1. This limited use partly reflects the fact that several Member States do not hold relevant information in their tax files due to the absence of national tax provisions applicable to </w:t>
      </w:r>
      <w:r>
        <w:rPr>
          <w:rFonts w:eastAsia="Times New Roman"/>
          <w:noProof/>
        </w:rPr>
        <w:t>LIP</w:t>
      </w:r>
      <w:r w:rsidRPr="7624CB47">
        <w:rPr>
          <w:rFonts w:eastAsia="Times New Roman"/>
          <w:noProof/>
        </w:rPr>
        <w:t xml:space="preserve">. Moreover, certain </w:t>
      </w:r>
      <w:r>
        <w:rPr>
          <w:rFonts w:eastAsia="Times New Roman"/>
          <w:noProof/>
        </w:rPr>
        <w:t>LIP</w:t>
      </w:r>
      <w:r w:rsidRPr="7624CB47">
        <w:rPr>
          <w:rFonts w:eastAsia="Times New Roman"/>
          <w:noProof/>
        </w:rPr>
        <w:t xml:space="preserve"> are already covered by exchanges under DAC2. This overlap arises because certain </w:t>
      </w:r>
      <w:r>
        <w:rPr>
          <w:rFonts w:eastAsia="Times New Roman"/>
          <w:noProof/>
        </w:rPr>
        <w:t>LIP</w:t>
      </w:r>
      <w:r w:rsidRPr="7624CB47">
        <w:rPr>
          <w:rFonts w:eastAsia="Times New Roman"/>
          <w:noProof/>
        </w:rPr>
        <w:t xml:space="preserve"> are treated as financial accounts and are therefore reported by financial institutions under the DAC2 framework. </w:t>
      </w:r>
    </w:p>
    <w:p w14:paraId="2376C2A5" w14:textId="7DD8EA66" w:rsidR="761EF93B" w:rsidRDefault="761EF93B" w:rsidP="1356918D">
      <w:pPr>
        <w:pStyle w:val="Heading2"/>
        <w:tabs>
          <w:tab w:val="num" w:pos="567"/>
        </w:tabs>
        <w:ind w:hanging="1200"/>
        <w:rPr>
          <w:noProof/>
        </w:rPr>
      </w:pPr>
      <w:bookmarkStart w:id="8" w:name="_Toc231816694"/>
      <w:r>
        <w:rPr>
          <w:noProof/>
        </w:rPr>
        <w:t>What are the problem drivers?</w:t>
      </w:r>
      <w:bookmarkEnd w:id="8"/>
      <w:r>
        <w:rPr>
          <w:noProof/>
        </w:rPr>
        <w:t xml:space="preserve"> </w:t>
      </w:r>
    </w:p>
    <w:p w14:paraId="48BD1AD0" w14:textId="128D2BDA" w:rsidR="55DDAB9A" w:rsidRDefault="42022DCB" w:rsidP="77FADF1A">
      <w:pPr>
        <w:pStyle w:val="Heading3"/>
        <w:numPr>
          <w:ilvl w:val="0"/>
          <w:numId w:val="0"/>
        </w:numPr>
        <w:tabs>
          <w:tab w:val="num" w:pos="1134"/>
        </w:tabs>
        <w:rPr>
          <w:rFonts w:eastAsiaTheme="minorEastAsia"/>
          <w:noProof/>
        </w:rPr>
      </w:pPr>
      <w:r w:rsidRPr="77FADF1A">
        <w:rPr>
          <w:rFonts w:eastAsiaTheme="minorEastAsia"/>
          <w:b/>
          <w:bCs/>
          <w:noProof/>
        </w:rPr>
        <w:t xml:space="preserve">Fragmentation of the legal framework due to numerous amending </w:t>
      </w:r>
      <w:r w:rsidR="6C872FD0" w:rsidRPr="77FADF1A">
        <w:rPr>
          <w:rFonts w:eastAsiaTheme="minorEastAsia"/>
          <w:b/>
          <w:bCs/>
          <w:noProof/>
        </w:rPr>
        <w:t>legal instruments</w:t>
      </w:r>
    </w:p>
    <w:p w14:paraId="55D59111" w14:textId="6976E751" w:rsidR="00EA13EC" w:rsidRDefault="00EA13EC" w:rsidP="00EA13EC">
      <w:pPr>
        <w:spacing w:before="240"/>
        <w:rPr>
          <w:rFonts w:eastAsia="Times New Roman"/>
          <w:noProof/>
        </w:rPr>
      </w:pPr>
      <w:r w:rsidRPr="6E07C7DA">
        <w:rPr>
          <w:rFonts w:eastAsia="Times New Roman"/>
          <w:noProof/>
        </w:rPr>
        <w:t xml:space="preserve">Since its first adoption in 2011, the DAC has been amended </w:t>
      </w:r>
      <w:r w:rsidR="0016765F">
        <w:rPr>
          <w:rFonts w:eastAsia="Times New Roman"/>
          <w:noProof/>
        </w:rPr>
        <w:t xml:space="preserve">8 </w:t>
      </w:r>
      <w:r w:rsidRPr="6E07C7DA">
        <w:rPr>
          <w:rFonts w:eastAsia="Times New Roman"/>
          <w:noProof/>
        </w:rPr>
        <w:t>times to introduce new reporting requirements and administrative cooperation mechanisms</w:t>
      </w:r>
      <w:r>
        <w:rPr>
          <w:rFonts w:eastAsia="Times New Roman"/>
          <w:noProof/>
        </w:rPr>
        <w:t>.</w:t>
      </w:r>
      <w:r w:rsidRPr="6E07C7DA">
        <w:rPr>
          <w:rFonts w:eastAsia="Times New Roman"/>
          <w:noProof/>
        </w:rPr>
        <w:t xml:space="preserve"> While these amendments have progressively expanded the scope of administrative cooperation, particularly AEOI, they have also resulted in a fragmented legal framework that must be read and interpreted together. This has increased the complexity of the legal framework and has contributed to challenges in ensuring consistent interpretation and implementation </w:t>
      </w:r>
      <w:r>
        <w:rPr>
          <w:rFonts w:eastAsia="Times New Roman"/>
          <w:noProof/>
        </w:rPr>
        <w:t xml:space="preserve">of the DAC </w:t>
      </w:r>
      <w:r w:rsidRPr="6E07C7DA">
        <w:rPr>
          <w:rFonts w:eastAsia="Times New Roman"/>
          <w:noProof/>
        </w:rPr>
        <w:t xml:space="preserve">across the Union. </w:t>
      </w:r>
    </w:p>
    <w:p w14:paraId="6E107131" w14:textId="6F997326" w:rsidR="55DDAB9A" w:rsidRDefault="42022DCB" w:rsidP="77FADF1A">
      <w:pPr>
        <w:pStyle w:val="Heading3"/>
        <w:numPr>
          <w:ilvl w:val="0"/>
          <w:numId w:val="0"/>
        </w:numPr>
        <w:tabs>
          <w:tab w:val="num" w:pos="1134"/>
        </w:tabs>
        <w:rPr>
          <w:b/>
          <w:bCs/>
          <w:noProof/>
        </w:rPr>
      </w:pPr>
      <w:r w:rsidRPr="77FADF1A">
        <w:rPr>
          <w:b/>
          <w:bCs/>
          <w:noProof/>
        </w:rPr>
        <w:t xml:space="preserve">Evolution of </w:t>
      </w:r>
      <w:r w:rsidR="3F10DFCC" w:rsidRPr="77FADF1A">
        <w:rPr>
          <w:b/>
          <w:bCs/>
          <w:noProof/>
        </w:rPr>
        <w:t xml:space="preserve">tax </w:t>
      </w:r>
      <w:r w:rsidRPr="77FADF1A">
        <w:rPr>
          <w:b/>
          <w:bCs/>
          <w:noProof/>
        </w:rPr>
        <w:t>compliance risks faced by tax administrations</w:t>
      </w:r>
    </w:p>
    <w:p w14:paraId="3D9A2E19" w14:textId="77777777" w:rsidR="00EA13EC" w:rsidRDefault="00EA13EC" w:rsidP="00EA13EC">
      <w:pPr>
        <w:spacing w:before="240"/>
        <w:rPr>
          <w:rFonts w:eastAsia="Times New Roman"/>
          <w:noProof/>
        </w:rPr>
      </w:pPr>
      <w:r w:rsidRPr="6E07C7DA">
        <w:rPr>
          <w:rFonts w:eastAsia="Times New Roman"/>
          <w:noProof/>
        </w:rPr>
        <w:t>The compliance risks faced by tax administrations have evolved significantly since 201</w:t>
      </w:r>
      <w:r>
        <w:rPr>
          <w:rFonts w:eastAsia="Times New Roman"/>
          <w:noProof/>
        </w:rPr>
        <w:t>1,</w:t>
      </w:r>
      <w:r w:rsidRPr="6E07C7DA">
        <w:rPr>
          <w:rFonts w:eastAsia="Times New Roman"/>
          <w:noProof/>
        </w:rPr>
        <w:t xml:space="preserve"> due to increased cross-border economic activity, digitalisation and the growing complexity of MNE structures. In response, the administrative cooperation framework has expanded to include additional reporting obligations under instruments such as DAC4 for MNE </w:t>
      </w:r>
      <w:r w:rsidRPr="6538834C">
        <w:rPr>
          <w:rFonts w:eastAsia="Times New Roman"/>
          <w:noProof/>
        </w:rPr>
        <w:t>groups</w:t>
      </w:r>
      <w:r w:rsidRPr="6E07C7DA">
        <w:rPr>
          <w:rFonts w:eastAsia="Times New Roman"/>
          <w:noProof/>
        </w:rPr>
        <w:t xml:space="preserve">, DAC6 for cross-border tax arrangements and DAC7 for activities carried out through digital platforms. While these instruments were introduced to address specific </w:t>
      </w:r>
      <w:r w:rsidRPr="256CD8C0">
        <w:rPr>
          <w:rFonts w:eastAsia="Times New Roman"/>
          <w:noProof/>
        </w:rPr>
        <w:t xml:space="preserve">tax </w:t>
      </w:r>
      <w:r w:rsidRPr="6E07C7DA">
        <w:rPr>
          <w:rFonts w:eastAsia="Times New Roman"/>
          <w:noProof/>
        </w:rPr>
        <w:t xml:space="preserve">compliance risks, the cumulative expansion of reporting obligations has also increased the complexity and compliance costs associated with the framework. </w:t>
      </w:r>
    </w:p>
    <w:p w14:paraId="5EE747E0" w14:textId="77777777" w:rsidR="00EA13EC" w:rsidRDefault="00EA13EC" w:rsidP="00EA13EC">
      <w:pPr>
        <w:spacing w:before="240"/>
        <w:rPr>
          <w:rFonts w:eastAsia="Times New Roman"/>
          <w:noProof/>
        </w:rPr>
      </w:pPr>
      <w:r w:rsidRPr="7624CB47">
        <w:rPr>
          <w:rFonts w:eastAsia="Times New Roman"/>
          <w:noProof/>
        </w:rPr>
        <w:t>Certain tax compliance risks that were once prevalent have now significantly reduced particularly since the introduction of the Pillar 2 Directive (which was adopted in 2022) and which has established a comprehensive framework for ensuring a minimum effective level of taxation for MNE groups in each jurisdiction they operate. Simultaneously, the evolution of tax compliance risks in other areas such as activities carried out via digital platforms means that certain reported information may now be of limited value for tax administrations. This affects the efficiency and proportionality of the reporting system and increases administrative burdens for both tax administrations and reporting entities.</w:t>
      </w:r>
    </w:p>
    <w:p w14:paraId="461426C9" w14:textId="5E66F148" w:rsidR="55DDAB9A" w:rsidRDefault="42022DCB" w:rsidP="77FADF1A">
      <w:pPr>
        <w:pStyle w:val="Heading3"/>
        <w:numPr>
          <w:ilvl w:val="0"/>
          <w:numId w:val="0"/>
        </w:numPr>
        <w:tabs>
          <w:tab w:val="num" w:pos="1134"/>
        </w:tabs>
        <w:rPr>
          <w:b/>
          <w:bCs/>
          <w:noProof/>
        </w:rPr>
      </w:pPr>
      <w:r w:rsidRPr="77FADF1A">
        <w:rPr>
          <w:b/>
          <w:bCs/>
          <w:noProof/>
        </w:rPr>
        <w:t xml:space="preserve">Inaccurate reporting of the TIN and limitations in the legislative </w:t>
      </w:r>
      <w:r w:rsidR="5F44C78F" w:rsidRPr="77FADF1A">
        <w:rPr>
          <w:b/>
          <w:bCs/>
          <w:noProof/>
        </w:rPr>
        <w:t xml:space="preserve">reporting </w:t>
      </w:r>
      <w:r w:rsidRPr="77FADF1A">
        <w:rPr>
          <w:b/>
          <w:bCs/>
          <w:noProof/>
        </w:rPr>
        <w:t>framework</w:t>
      </w:r>
    </w:p>
    <w:p w14:paraId="6F6C7B48" w14:textId="5568E029" w:rsidR="00EA13EC" w:rsidRDefault="00EA13EC" w:rsidP="00EA13EC">
      <w:pPr>
        <w:spacing w:before="240"/>
        <w:rPr>
          <w:rFonts w:eastAsia="Times New Roman"/>
          <w:noProof/>
        </w:rPr>
      </w:pPr>
      <w:r w:rsidRPr="7624CB47">
        <w:rPr>
          <w:rFonts w:eastAsia="Times New Roman"/>
          <w:noProof/>
        </w:rPr>
        <w:t>The DAC evaluation identified that weaknesses remain in the accurate reporting of TINs. While the DAC requires reporting entities to validate the TIN of the reported taxpayer, it does not prescribe the method by which the TIN should be validated. At present there is no centralised system</w:t>
      </w:r>
      <w:r w:rsidR="00890FB6">
        <w:rPr>
          <w:rFonts w:eastAsia="Times New Roman"/>
          <w:noProof/>
        </w:rPr>
        <w:t xml:space="preserve"> for reporting entities and tax administrations</w:t>
      </w:r>
      <w:r w:rsidRPr="7624CB47">
        <w:rPr>
          <w:rFonts w:eastAsia="Times New Roman"/>
          <w:noProof/>
        </w:rPr>
        <w:t xml:space="preserve"> to validate that a TIN is correct and that it corresponds to the relevant taxpayer. The Commission has developed an online tool (i.e. the TIN-on-the Web module</w:t>
      </w:r>
      <w:r>
        <w:rPr>
          <w:rStyle w:val="FootnoteReference"/>
          <w:rFonts w:eastAsia="Times New Roman"/>
          <w:noProof/>
        </w:rPr>
        <w:footnoteReference w:id="49"/>
      </w:r>
      <w:r w:rsidRPr="7624CB47">
        <w:rPr>
          <w:rFonts w:eastAsia="Times New Roman"/>
          <w:noProof/>
        </w:rPr>
        <w:t xml:space="preserve">). However, the tool is limited to verifying whether the structure of the TIN is valid (types and number of characters i.e. syntax). </w:t>
      </w:r>
    </w:p>
    <w:p w14:paraId="2FC25DC9" w14:textId="77777777" w:rsidR="00EA13EC" w:rsidRDefault="00EA13EC" w:rsidP="00EA13EC">
      <w:pPr>
        <w:spacing w:before="240"/>
        <w:rPr>
          <w:rFonts w:eastAsia="Times New Roman"/>
          <w:noProof/>
        </w:rPr>
      </w:pPr>
      <w:r w:rsidRPr="1356918D">
        <w:rPr>
          <w:rFonts w:eastAsia="Times New Roman"/>
          <w:noProof/>
        </w:rPr>
        <w:t>Moreover, and as highlighted by the ECA in their 2021 Special Report, there are structural limitations in the design of the legal framework governing the exchange of information under DAC1</w:t>
      </w:r>
      <w:r>
        <w:rPr>
          <w:rStyle w:val="FootnoteReference"/>
          <w:rFonts w:eastAsia="Times New Roman"/>
          <w:noProof/>
        </w:rPr>
        <w:footnoteReference w:id="50"/>
      </w:r>
      <w:r w:rsidRPr="1356918D">
        <w:rPr>
          <w:rFonts w:eastAsia="Times New Roman"/>
          <w:noProof/>
        </w:rPr>
        <w:t>. Member States are required to exchange information on at least five of the seven DAC1 income categories. In addition, only information that is “available” in the tax files of the competent tax authority must be exchanged, meaning that if relevant information exists within a Member State’s public administration but is not recorded in the tax administration’s databases, Member States are not obliged to exchange</w:t>
      </w:r>
      <w:r>
        <w:rPr>
          <w:rFonts w:eastAsia="Times New Roman"/>
          <w:noProof/>
        </w:rPr>
        <w:t xml:space="preserve"> this information.</w:t>
      </w:r>
      <w:r w:rsidRPr="1356918D">
        <w:rPr>
          <w:rFonts w:eastAsia="Times New Roman"/>
          <w:noProof/>
        </w:rPr>
        <w:t xml:space="preserve"> For example, information on ownership of immovable property may be held by a land registry or another public authority but not systematically captured in the tax authority’s records. Where such information is not available in the tax administration’s files, it is not considered “available” for the purposes of DAC1 and is therefore not exchanged. This “availability” provision</w:t>
      </w:r>
      <w:r w:rsidRPr="2192B75E">
        <w:rPr>
          <w:rFonts w:eastAsia="Times New Roman"/>
          <w:noProof/>
        </w:rPr>
        <w:t xml:space="preserve"> substantially</w:t>
      </w:r>
      <w:r w:rsidRPr="1356918D">
        <w:rPr>
          <w:rFonts w:eastAsia="Times New Roman"/>
          <w:noProof/>
        </w:rPr>
        <w:t xml:space="preserve"> limits the scope of information exchanged between Member States. </w:t>
      </w:r>
    </w:p>
    <w:p w14:paraId="3B3968CC" w14:textId="2F383070" w:rsidR="00474FA2" w:rsidRPr="007E0B68" w:rsidRDefault="7A729147" w:rsidP="1356918D">
      <w:pPr>
        <w:pStyle w:val="Heading2"/>
        <w:rPr>
          <w:noProof/>
        </w:rPr>
      </w:pPr>
      <w:bookmarkStart w:id="9" w:name="_Toc231816695"/>
      <w:r>
        <w:rPr>
          <w:noProof/>
        </w:rPr>
        <w:t>How likely is the problem to persist?</w:t>
      </w:r>
      <w:bookmarkEnd w:id="9"/>
      <w:r>
        <w:rPr>
          <w:noProof/>
        </w:rPr>
        <w:t xml:space="preserve"> </w:t>
      </w:r>
    </w:p>
    <w:p w14:paraId="692242DE" w14:textId="53E8A7D4" w:rsidR="00890FB6" w:rsidRDefault="00890FB6" w:rsidP="00890FB6">
      <w:pPr>
        <w:rPr>
          <w:rFonts w:eastAsia="Times New Roman"/>
          <w:noProof/>
        </w:rPr>
      </w:pPr>
      <w:r w:rsidRPr="056C3DAB">
        <w:rPr>
          <w:rFonts w:eastAsia="Times New Roman"/>
          <w:noProof/>
        </w:rPr>
        <w:t xml:space="preserve">The DAC </w:t>
      </w:r>
      <w:r w:rsidRPr="274AC14E" w:rsidDel="761EF93B">
        <w:rPr>
          <w:rFonts w:eastAsia="Times New Roman"/>
          <w:noProof/>
        </w:rPr>
        <w:t xml:space="preserve">and its subsequent amendments constitute Union legal acts intended to ensure </w:t>
      </w:r>
      <w:r w:rsidRPr="1E7F4994">
        <w:rPr>
          <w:rFonts w:eastAsia="Times New Roman"/>
          <w:noProof/>
        </w:rPr>
        <w:t xml:space="preserve">that there is </w:t>
      </w:r>
      <w:r w:rsidRPr="274AC14E">
        <w:rPr>
          <w:rFonts w:eastAsia="Times New Roman"/>
          <w:noProof/>
        </w:rPr>
        <w:t xml:space="preserve">a </w:t>
      </w:r>
      <w:r w:rsidRPr="274AC14E" w:rsidDel="761EF93B">
        <w:rPr>
          <w:rFonts w:eastAsia="Times New Roman"/>
          <w:noProof/>
        </w:rPr>
        <w:t xml:space="preserve">coherent and comprehensive </w:t>
      </w:r>
      <w:r w:rsidRPr="056C3DAB">
        <w:rPr>
          <w:rFonts w:eastAsia="Times New Roman"/>
          <w:noProof/>
        </w:rPr>
        <w:t>framework for</w:t>
      </w:r>
      <w:r w:rsidRPr="274AC14E" w:rsidDel="761EF93B">
        <w:rPr>
          <w:rFonts w:eastAsia="Times New Roman"/>
          <w:noProof/>
        </w:rPr>
        <w:t xml:space="preserve"> administrative cooperation within the </w:t>
      </w:r>
      <w:r w:rsidRPr="6538834C">
        <w:rPr>
          <w:rFonts w:eastAsia="Times New Roman"/>
          <w:noProof/>
        </w:rPr>
        <w:t>Internal Market.</w:t>
      </w:r>
      <w:r w:rsidRPr="274AC14E" w:rsidDel="761EF93B">
        <w:rPr>
          <w:rFonts w:eastAsia="Times New Roman"/>
          <w:noProof/>
        </w:rPr>
        <w:t xml:space="preserve"> </w:t>
      </w:r>
      <w:r w:rsidRPr="1E7F4994">
        <w:rPr>
          <w:rFonts w:eastAsia="Times New Roman"/>
          <w:noProof/>
        </w:rPr>
        <w:t>To this end the</w:t>
      </w:r>
      <w:r w:rsidRPr="274AC14E" w:rsidDel="761EF93B">
        <w:rPr>
          <w:rFonts w:eastAsia="Times New Roman"/>
          <w:noProof/>
        </w:rPr>
        <w:t xml:space="preserve"> DAC establishes harmonised reporting and exchange of information requirements across Member States.</w:t>
      </w:r>
    </w:p>
    <w:p w14:paraId="626C315D" w14:textId="730E6FBC" w:rsidR="00890FB6" w:rsidRDefault="00890FB6" w:rsidP="00890FB6">
      <w:pPr>
        <w:rPr>
          <w:rFonts w:eastAsia="Times New Roman"/>
          <w:noProof/>
        </w:rPr>
      </w:pPr>
      <w:r w:rsidRPr="274AC14E">
        <w:rPr>
          <w:rFonts w:eastAsia="Times New Roman"/>
          <w:noProof/>
        </w:rPr>
        <w:t xml:space="preserve">In the absence of amendments to the existing Union acquis, the problems identified </w:t>
      </w:r>
      <w:r w:rsidRPr="4C410E33">
        <w:rPr>
          <w:rFonts w:eastAsia="Times New Roman"/>
          <w:noProof/>
        </w:rPr>
        <w:t>are</w:t>
      </w:r>
      <w:r w:rsidRPr="3D66652B">
        <w:rPr>
          <w:rFonts w:eastAsia="Times New Roman"/>
          <w:noProof/>
        </w:rPr>
        <w:t xml:space="preserve"> expected to persist</w:t>
      </w:r>
      <w:r w:rsidR="006A133C">
        <w:rPr>
          <w:rFonts w:eastAsia="Times New Roman"/>
          <w:noProof/>
        </w:rPr>
        <w:t xml:space="preserve"> and, in several </w:t>
      </w:r>
      <w:r w:rsidR="00E72EEB">
        <w:rPr>
          <w:rFonts w:eastAsia="Times New Roman"/>
          <w:noProof/>
        </w:rPr>
        <w:t xml:space="preserve">areas, </w:t>
      </w:r>
      <w:r w:rsidR="006A133C">
        <w:rPr>
          <w:rFonts w:eastAsia="Times New Roman"/>
          <w:noProof/>
        </w:rPr>
        <w:t>intensify</w:t>
      </w:r>
      <w:r w:rsidR="00E72EEB">
        <w:rPr>
          <w:rFonts w:eastAsia="Times New Roman"/>
          <w:noProof/>
        </w:rPr>
        <w:t xml:space="preserve"> over time</w:t>
      </w:r>
      <w:r w:rsidRPr="3D66652B">
        <w:rPr>
          <w:rFonts w:eastAsia="Times New Roman"/>
          <w:noProof/>
        </w:rPr>
        <w:t>.</w:t>
      </w:r>
      <w:r w:rsidRPr="274AC14E">
        <w:rPr>
          <w:rFonts w:eastAsia="Times New Roman"/>
          <w:noProof/>
        </w:rPr>
        <w:t xml:space="preserve"> </w:t>
      </w:r>
      <w:r w:rsidRPr="56B3F874">
        <w:rPr>
          <w:rFonts w:eastAsia="Times New Roman"/>
          <w:noProof/>
        </w:rPr>
        <w:t>The complexity</w:t>
      </w:r>
      <w:r w:rsidRPr="274AC14E">
        <w:rPr>
          <w:rFonts w:eastAsia="Times New Roman"/>
          <w:noProof/>
        </w:rPr>
        <w:t xml:space="preserve"> of the current</w:t>
      </w:r>
      <w:r w:rsidRPr="7510C359">
        <w:rPr>
          <w:rFonts w:eastAsia="Times New Roman"/>
          <w:noProof/>
        </w:rPr>
        <w:t xml:space="preserve"> legal</w:t>
      </w:r>
      <w:r w:rsidRPr="274AC14E">
        <w:rPr>
          <w:rFonts w:eastAsia="Times New Roman"/>
          <w:noProof/>
        </w:rPr>
        <w:t xml:space="preserve"> framework </w:t>
      </w:r>
      <w:r w:rsidRPr="1E7F4994">
        <w:rPr>
          <w:rFonts w:eastAsia="Times New Roman"/>
          <w:noProof/>
        </w:rPr>
        <w:t>stems</w:t>
      </w:r>
      <w:r w:rsidRPr="274AC14E">
        <w:rPr>
          <w:rFonts w:eastAsia="Times New Roman"/>
          <w:noProof/>
        </w:rPr>
        <w:t xml:space="preserve"> from the cumulative development of the DAC through successive amendments. </w:t>
      </w:r>
      <w:r w:rsidRPr="229F23B3">
        <w:rPr>
          <w:rFonts w:eastAsia="Times New Roman"/>
          <w:noProof/>
        </w:rPr>
        <w:t>Without EU action</w:t>
      </w:r>
      <w:r w:rsidRPr="294E97A7">
        <w:rPr>
          <w:rFonts w:eastAsia="Times New Roman"/>
          <w:noProof/>
        </w:rPr>
        <w:t>,</w:t>
      </w:r>
      <w:r w:rsidRPr="274AC14E">
        <w:rPr>
          <w:rFonts w:eastAsia="Times New Roman"/>
          <w:noProof/>
        </w:rPr>
        <w:t xml:space="preserve"> tax administrations and reporting entities would continue to interpret and apply provisions dispersed across several legislative instruments. Divergent interpretations of certain provisions across Member States would therefore likely remain, creating legal uncertainty for businesses operating cross-border and potentially affecting the level playing field</w:t>
      </w:r>
      <w:r>
        <w:rPr>
          <w:rFonts w:eastAsia="Times New Roman"/>
          <w:noProof/>
        </w:rPr>
        <w:t>.</w:t>
      </w:r>
    </w:p>
    <w:p w14:paraId="316A071D" w14:textId="4DAB0DB5" w:rsidR="009631C6" w:rsidRDefault="009631C6" w:rsidP="00890FB6">
      <w:pPr>
        <w:rPr>
          <w:rFonts w:eastAsia="Times New Roman"/>
          <w:noProof/>
        </w:rPr>
      </w:pPr>
      <w:r w:rsidRPr="009631C6">
        <w:rPr>
          <w:rFonts w:eastAsia="Times New Roman"/>
          <w:noProof/>
        </w:rPr>
        <w:t>At the same time, available evidence points to a continued increase in the volume of information exchanged under the DAC framework. For example, under DAC1, between 2018 and mid-2022, Member States exchanged information covering approximately 36.7 million taxpayers and EUR 239.5 billion in income. On an annual basis (2018–2021), this corresponds to around 8.6 million taxpayers and EUR 54.8 billion in income exchanged, with a clear upward trend compared to earlier periods</w:t>
      </w:r>
      <w:r w:rsidR="009F0F43">
        <w:rPr>
          <w:rFonts w:eastAsia="Times New Roman"/>
          <w:noProof/>
        </w:rPr>
        <w:t xml:space="preserve"> </w:t>
      </w:r>
      <w:r w:rsidR="009F0F43" w:rsidRPr="003B46CB">
        <w:rPr>
          <w:noProof/>
          <w:color w:val="000000" w:themeColor="text1"/>
        </w:rPr>
        <w:t>(</w:t>
      </w:r>
      <w:r w:rsidR="009F0F43" w:rsidRPr="003B46CB">
        <w:rPr>
          <w:rStyle w:val="FootnoteReference"/>
          <w:noProof/>
          <w:color w:val="000000" w:themeColor="text1"/>
        </w:rPr>
        <w:footnoteReference w:id="51"/>
      </w:r>
      <w:r w:rsidR="009F0F43" w:rsidRPr="003B46CB">
        <w:rPr>
          <w:noProof/>
          <w:color w:val="000000" w:themeColor="text1"/>
        </w:rPr>
        <w:t>)</w:t>
      </w:r>
      <w:r w:rsidRPr="009631C6">
        <w:rPr>
          <w:rFonts w:eastAsia="Times New Roman"/>
          <w:noProof/>
        </w:rPr>
        <w:t>. In the absence of reform, this trend is expected to continue, further increasing the volume of data handled by tax administrations.</w:t>
      </w:r>
    </w:p>
    <w:p w14:paraId="7F136C7A" w14:textId="77777777" w:rsidR="00257E2B" w:rsidRDefault="00890FB6" w:rsidP="00890FB6">
      <w:pPr>
        <w:rPr>
          <w:rFonts w:eastAsia="Times New Roman"/>
          <w:noProof/>
        </w:rPr>
      </w:pPr>
      <w:r w:rsidRPr="58BC260B">
        <w:rPr>
          <w:rFonts w:eastAsia="Times New Roman"/>
          <w:noProof/>
        </w:rPr>
        <w:t>At the same time, the evolution of reporting obligations introduced under different DAC instruments would continue to generate situations where certain notification obligations overlap and reporting requirements result in the reporting of large volumes of information that may be of limited added value for tax administrations.</w:t>
      </w:r>
      <w:r w:rsidR="3BC885A4" w:rsidRPr="58BC260B">
        <w:rPr>
          <w:rFonts w:eastAsia="Times New Roman"/>
          <w:noProof/>
        </w:rPr>
        <w:t xml:space="preserve"> </w:t>
      </w:r>
      <w:r w:rsidR="58455CEA" w:rsidRPr="58BC260B">
        <w:rPr>
          <w:rFonts w:eastAsia="Times New Roman"/>
          <w:noProof/>
        </w:rPr>
        <w:t xml:space="preserve"> This is particularly evident in the case of DAC6, where stakeholder consultations indicate that continued reporting at current levels would generate substantial volumes of disclosures, a significant share of which are considered to have limited tax relevance (“noise”). </w:t>
      </w:r>
    </w:p>
    <w:p w14:paraId="4A99B271" w14:textId="42EC9201" w:rsidR="007E6801" w:rsidRDefault="3BC885A4" w:rsidP="00890FB6">
      <w:pPr>
        <w:rPr>
          <w:rFonts w:eastAsia="Times New Roman"/>
          <w:noProof/>
        </w:rPr>
      </w:pPr>
      <w:r w:rsidRPr="58BC260B">
        <w:rPr>
          <w:rFonts w:eastAsia="Times New Roman"/>
          <w:noProof/>
        </w:rPr>
        <w:t>This assessment is substantiated by the fact that during the targeted consultations, 4 Member States accounting for 75% of all reporting under DAC6 highlighted that reporting linked to A1, A2 and A3 provides limited added value in identifying tax fraud, avoidance and evasion while creating significant operational processing burdens for tax administrations.</w:t>
      </w:r>
      <w:r w:rsidR="00257E2B">
        <w:rPr>
          <w:rFonts w:eastAsia="Times New Roman"/>
          <w:noProof/>
        </w:rPr>
        <w:t xml:space="preserve"> </w:t>
      </w:r>
      <w:r w:rsidR="007E6801" w:rsidRPr="58BC260B">
        <w:rPr>
          <w:rFonts w:eastAsia="Times New Roman"/>
          <w:noProof/>
        </w:rPr>
        <w:t>This concern is reinforced by observed trends since the introduction of DAC6, with more than 60,000 arrangements reported between mid-2020 and 2025. In the absence of reform, these volumes are expected to remain high or increase further, thereby exacerbating administrative burdens and reducing the capacity of tax administrations to focus on high-risk cases.</w:t>
      </w:r>
    </w:p>
    <w:p w14:paraId="1FFDF01A" w14:textId="056FE9F6" w:rsidR="00683323" w:rsidRDefault="00683323" w:rsidP="00890FB6">
      <w:pPr>
        <w:rPr>
          <w:rFonts w:eastAsia="Times New Roman"/>
          <w:noProof/>
        </w:rPr>
      </w:pPr>
      <w:r w:rsidRPr="00683323">
        <w:rPr>
          <w:rFonts w:eastAsia="Times New Roman"/>
          <w:noProof/>
        </w:rPr>
        <w:t>Similarly, for DAC7, while time series data are still limited, broader economic developments such as the continued expansion of the platform economy and increasing digitalisation suggest that the number of platform users and transactions will continue to grow. This is expected to translate into a rising number of reportable sellers and corresponding reporting obligations over time.</w:t>
      </w:r>
    </w:p>
    <w:p w14:paraId="6BAE9A25" w14:textId="73CAA144" w:rsidR="00890FB6" w:rsidRDefault="00890FB6" w:rsidP="00890FB6">
      <w:pPr>
        <w:rPr>
          <w:rFonts w:eastAsia="Times New Roman"/>
          <w:noProof/>
        </w:rPr>
      </w:pPr>
      <w:r w:rsidRPr="7BDCD536">
        <w:rPr>
          <w:rFonts w:eastAsia="Times New Roman"/>
          <w:noProof/>
        </w:rPr>
        <w:t>In the absence of</w:t>
      </w:r>
      <w:r w:rsidRPr="274AC14E">
        <w:rPr>
          <w:rFonts w:eastAsia="Times New Roman"/>
          <w:noProof/>
        </w:rPr>
        <w:t xml:space="preserve"> legislative </w:t>
      </w:r>
      <w:r w:rsidRPr="0E7D62B0">
        <w:rPr>
          <w:rFonts w:eastAsia="Times New Roman"/>
          <w:noProof/>
        </w:rPr>
        <w:t>amendments</w:t>
      </w:r>
      <w:r>
        <w:rPr>
          <w:rFonts w:eastAsia="Times New Roman"/>
          <w:noProof/>
        </w:rPr>
        <w:t>,</w:t>
      </w:r>
      <w:r w:rsidRPr="274AC14E">
        <w:rPr>
          <w:rFonts w:eastAsia="Times New Roman"/>
          <w:noProof/>
        </w:rPr>
        <w:t xml:space="preserve"> compliance costs </w:t>
      </w:r>
      <w:r>
        <w:rPr>
          <w:rFonts w:eastAsia="Times New Roman"/>
          <w:noProof/>
        </w:rPr>
        <w:t xml:space="preserve">would continue not to be proportionate </w:t>
      </w:r>
      <w:r w:rsidRPr="274AC14E">
        <w:rPr>
          <w:rFonts w:eastAsia="Times New Roman"/>
          <w:noProof/>
        </w:rPr>
        <w:t>to the contribution of these obligations to the underlying policy objectives</w:t>
      </w:r>
      <w:r>
        <w:rPr>
          <w:rFonts w:eastAsia="Times New Roman"/>
          <w:noProof/>
        </w:rPr>
        <w:t>.</w:t>
      </w:r>
      <w:r w:rsidRPr="274AC14E">
        <w:rPr>
          <w:rFonts w:eastAsia="Times New Roman"/>
          <w:noProof/>
        </w:rPr>
        <w:t xml:space="preserve"> </w:t>
      </w:r>
      <w:r w:rsidR="0000437E" w:rsidRPr="0000437E">
        <w:rPr>
          <w:rFonts w:eastAsia="Times New Roman"/>
          <w:noProof/>
        </w:rPr>
        <w:t>More generally, the combination of increasing reporting volumes and overlapping obligations is expected to lead to rising compliance costs for both businesses and tax administrations, as also evidenced in the DAC evaluation.</w:t>
      </w:r>
    </w:p>
    <w:p w14:paraId="02EC6D61" w14:textId="6639B845" w:rsidR="00EB7AEE" w:rsidRDefault="00890FB6" w:rsidP="00AB56D6">
      <w:pPr>
        <w:rPr>
          <w:noProof/>
        </w:rPr>
      </w:pPr>
      <w:r>
        <w:rPr>
          <w:noProof/>
        </w:rPr>
        <w:t xml:space="preserve">Limitations affecting the completeness and use of exchanged information would also persist. In particular, the optionality associated with certain reporting requirements under DAC1 and the obligation to exchange only information available in the tax files of the competent authority would continue to result in differences in the scope of information exchanged across Member States. In addition, challenges related to the accurate identification of taxpayers would remain as weaknesses in the verification of TINs would continue to limit the ability of tax administrations to automatically match exchanged information with national taxpayer databases and, therefore, to effectively and efficiently use exchanged information for risk assessment and compliance purposes. </w:t>
      </w:r>
    </w:p>
    <w:p w14:paraId="65673A51" w14:textId="0BAA0F3E" w:rsidR="002F5422" w:rsidRDefault="002F5422" w:rsidP="00AB56D6">
      <w:pPr>
        <w:rPr>
          <w:noProof/>
        </w:rPr>
      </w:pPr>
      <w:r>
        <w:rPr>
          <w:noProof/>
        </w:rPr>
        <w:t>T</w:t>
      </w:r>
      <w:r w:rsidRPr="002F5422">
        <w:rPr>
          <w:noProof/>
        </w:rPr>
        <w:t>hese trends indicate that, in the absence of policy intervention, the current challenges related to complexity, fragmentation, data quality and administrative burden are likely not only to persist but to become more pronounced over time, driven by increasing volumes of exchanged information and the evolving economic environment.</w:t>
      </w:r>
    </w:p>
    <w:p w14:paraId="59140ACA" w14:textId="25C3E48F" w:rsidR="006B087E" w:rsidRPr="00F92EAE" w:rsidRDefault="006B087E" w:rsidP="005670F4">
      <w:pPr>
        <w:pStyle w:val="Heading1"/>
        <w:rPr>
          <w:noProof/>
        </w:rPr>
      </w:pPr>
      <w:bookmarkStart w:id="10" w:name="_Toc231816696"/>
      <w:r w:rsidRPr="00F92EAE">
        <w:rPr>
          <w:noProof/>
        </w:rPr>
        <w:t>Why should the EU act?</w:t>
      </w:r>
      <w:bookmarkEnd w:id="10"/>
    </w:p>
    <w:p w14:paraId="70EEDAD8" w14:textId="77777777" w:rsidR="006B087E" w:rsidRPr="00F92EAE" w:rsidRDefault="006B087E" w:rsidP="000E3086">
      <w:pPr>
        <w:pStyle w:val="Heading2"/>
        <w:rPr>
          <w:noProof/>
        </w:rPr>
      </w:pPr>
      <w:bookmarkStart w:id="11" w:name="_Toc231816697"/>
      <w:r w:rsidRPr="00F92EAE">
        <w:rPr>
          <w:noProof/>
        </w:rPr>
        <w:t>Legal basis</w:t>
      </w:r>
      <w:bookmarkEnd w:id="11"/>
    </w:p>
    <w:p w14:paraId="24C994B8" w14:textId="1CBB5B0B" w:rsidR="00890FB6" w:rsidRDefault="00890FB6" w:rsidP="0016765F">
      <w:pPr>
        <w:rPr>
          <w:rFonts w:eastAsiaTheme="minorEastAsia"/>
          <w:b/>
          <w:bCs/>
          <w:noProof/>
          <w:lang w:val="en-IE"/>
        </w:rPr>
      </w:pPr>
      <w:r w:rsidRPr="007B74E6">
        <w:rPr>
          <w:noProof/>
        </w:rPr>
        <w:t>The legal basis of DAC relies on Articles 113 and 115 of the Treaty on the Functioning of the European Union (TFEU)</w:t>
      </w:r>
      <w:r>
        <w:rPr>
          <w:noProof/>
        </w:rPr>
        <w:t xml:space="preserve">. </w:t>
      </w:r>
      <w:r w:rsidRPr="007B74E6">
        <w:rPr>
          <w:noProof/>
        </w:rPr>
        <w:t xml:space="preserve">Article 113 of the TFEU provides a legal basis for the harmonisation of indirect tax systems of Member States, as far as </w:t>
      </w:r>
      <w:r>
        <w:rPr>
          <w:noProof/>
        </w:rPr>
        <w:t xml:space="preserve">is </w:t>
      </w:r>
      <w:r w:rsidRPr="007B74E6">
        <w:rPr>
          <w:noProof/>
        </w:rPr>
        <w:t xml:space="preserve">needed to ensure the functioning of the Internal Market and to avoid distortion of competition. Article 115 of the TFEU provides for the approximation of such laws, regulations or administrative provisions of the Member States, which directly affect the establishment or functioning of the Internal Market and make the approximation of laws necessary. </w:t>
      </w:r>
      <w:r w:rsidR="0016765F">
        <w:rPr>
          <w:noProof/>
        </w:rPr>
        <w:t xml:space="preserve"> </w:t>
      </w:r>
      <w:r w:rsidRPr="1356918D">
        <w:rPr>
          <w:rFonts w:eastAsiaTheme="minorEastAsia"/>
          <w:noProof/>
          <w:lang w:val="en-IE"/>
        </w:rPr>
        <w:t>The key objective of the DAC is to ensure that there is a robust legal instrument</w:t>
      </w:r>
      <w:r>
        <w:rPr>
          <w:rFonts w:eastAsiaTheme="minorEastAsia"/>
          <w:noProof/>
          <w:lang w:val="en-IE"/>
        </w:rPr>
        <w:t xml:space="preserve"> based on uniform conditions and harmonised practices</w:t>
      </w:r>
      <w:r w:rsidRPr="1356918D">
        <w:rPr>
          <w:rFonts w:eastAsiaTheme="minorEastAsia"/>
          <w:noProof/>
          <w:lang w:val="en-IE"/>
        </w:rPr>
        <w:t xml:space="preserve"> to facilitate administrative cooperation and exchange of information in the field of direct taxation. This is necessary to ensure the proper functioning of the Internal Market and reduce the negative effects of tax fraud, evasion and avoidance</w:t>
      </w:r>
      <w:r>
        <w:rPr>
          <w:rFonts w:eastAsiaTheme="minorEastAsia"/>
          <w:noProof/>
          <w:lang w:val="en-IE"/>
        </w:rPr>
        <w:t xml:space="preserve"> </w:t>
      </w:r>
      <w:r w:rsidRPr="1356918D">
        <w:rPr>
          <w:rFonts w:eastAsiaTheme="minorEastAsia"/>
          <w:noProof/>
          <w:lang w:val="en-IE"/>
        </w:rPr>
        <w:t>in the EU.</w:t>
      </w:r>
    </w:p>
    <w:p w14:paraId="6A52D88B" w14:textId="71C1D496" w:rsidR="006B087E" w:rsidRPr="00EB7AEE" w:rsidRDefault="006B087E" w:rsidP="1356918D">
      <w:pPr>
        <w:pStyle w:val="Heading2"/>
        <w:rPr>
          <w:rFonts w:eastAsiaTheme="minorEastAsia"/>
          <w:noProof/>
        </w:rPr>
      </w:pPr>
      <w:bookmarkStart w:id="12" w:name="_Toc231816698"/>
      <w:r w:rsidRPr="1356918D">
        <w:rPr>
          <w:rFonts w:eastAsiaTheme="minorEastAsia"/>
          <w:noProof/>
        </w:rPr>
        <w:t>Subsidiarity: Necessity of EU action</w:t>
      </w:r>
      <w:bookmarkEnd w:id="12"/>
    </w:p>
    <w:p w14:paraId="39470ACB" w14:textId="6B11C2B4" w:rsidR="00890FB6" w:rsidRPr="00A57749" w:rsidRDefault="00890FB6" w:rsidP="00890FB6">
      <w:pPr>
        <w:rPr>
          <w:noProof/>
          <w:lang w:val="en-IE"/>
        </w:rPr>
      </w:pPr>
      <w:r w:rsidRPr="1356918D">
        <w:rPr>
          <w:noProof/>
          <w:lang w:val="en-IE"/>
        </w:rPr>
        <w:t xml:space="preserve">The DAC and its </w:t>
      </w:r>
      <w:r w:rsidR="00ED3448">
        <w:rPr>
          <w:noProof/>
          <w:lang w:val="en-IE"/>
        </w:rPr>
        <w:t>8</w:t>
      </w:r>
      <w:r w:rsidRPr="1356918D">
        <w:rPr>
          <w:noProof/>
          <w:lang w:val="en-IE"/>
        </w:rPr>
        <w:t xml:space="preserve"> amendments are legal acts of the EU. The political objectives of simplification necessitate proposals to </w:t>
      </w:r>
      <w:r>
        <w:rPr>
          <w:noProof/>
        </w:rPr>
        <w:t xml:space="preserve">codify, simplify and clarify the existing framework to eliminate any overlaps and contradictions, cut unnecessary and low-value reporting and ensure consistent implementation, while not undermining the policy objectives of the legislation. Given the need to act and the nature and extent of the problem as set out in chapter 2, an EU approach is the only option to ensure that there is a comprehensive and uniform solution that conforms with EU law, does not distort competition and maintains the level playing field. Individual actions taken by Member States could not achieve these objectives. </w:t>
      </w:r>
      <w:r w:rsidRPr="1356918D">
        <w:rPr>
          <w:noProof/>
          <w:lang w:val="en-IE"/>
        </w:rPr>
        <w:t xml:space="preserve">At the same time, the current inefficiencies in the effective functioning of the DAC acquis, as identified in the </w:t>
      </w:r>
      <w:r>
        <w:rPr>
          <w:noProof/>
          <w:lang w:val="en-IE"/>
        </w:rPr>
        <w:t xml:space="preserve">DAC </w:t>
      </w:r>
      <w:r w:rsidRPr="1356918D">
        <w:rPr>
          <w:noProof/>
          <w:lang w:val="en-IE"/>
        </w:rPr>
        <w:t xml:space="preserve">evaluation and the </w:t>
      </w:r>
      <w:r>
        <w:rPr>
          <w:noProof/>
          <w:lang w:val="en-IE"/>
        </w:rPr>
        <w:t xml:space="preserve">Special Reports of the ECA are linked to several existing </w:t>
      </w:r>
      <w:r w:rsidRPr="1356918D">
        <w:rPr>
          <w:noProof/>
          <w:lang w:val="en-IE"/>
        </w:rPr>
        <w:t>reporting</w:t>
      </w:r>
      <w:r>
        <w:rPr>
          <w:noProof/>
          <w:lang w:val="en-IE"/>
        </w:rPr>
        <w:t xml:space="preserve"> and </w:t>
      </w:r>
      <w:r w:rsidRPr="1356918D">
        <w:rPr>
          <w:noProof/>
          <w:lang w:val="en-IE"/>
        </w:rPr>
        <w:t xml:space="preserve">exchange obligations contained in the DAC, which can only be comprehensively and uniformly addressed by an EU legislative initiative. </w:t>
      </w:r>
    </w:p>
    <w:p w14:paraId="597DB56E" w14:textId="6BC91165" w:rsidR="006B087E" w:rsidRPr="00F92EAE" w:rsidRDefault="006D5EB9" w:rsidP="1356918D">
      <w:pPr>
        <w:pStyle w:val="Heading2"/>
        <w:rPr>
          <w:noProof/>
        </w:rPr>
      </w:pPr>
      <w:bookmarkStart w:id="13" w:name="_Toc231816699"/>
      <w:r>
        <w:rPr>
          <w:noProof/>
        </w:rPr>
        <w:t>Proportionality</w:t>
      </w:r>
      <w:r w:rsidR="006B087E">
        <w:rPr>
          <w:noProof/>
        </w:rPr>
        <w:t>: Added value of EU action</w:t>
      </w:r>
      <w:bookmarkEnd w:id="13"/>
    </w:p>
    <w:p w14:paraId="44D0F0A3" w14:textId="6031A137" w:rsidR="005A7403" w:rsidRDefault="00890FB6" w:rsidP="00890FB6">
      <w:pPr>
        <w:rPr>
          <w:noProof/>
        </w:rPr>
      </w:pPr>
      <w:r>
        <w:rPr>
          <w:noProof/>
        </w:rPr>
        <w:t>The added value of EU action is that it ensures that there is a coherent, uniform and complete solution at EU level, which achieves the targeted reductions in reporting burdens and associated administrative costs for EU businesses, and which could not be achieved by individual actions taken by Member States. At the same time, EU action will comprehensively address the current identified inefficiencies in the functioning of the DAC with targeted improvements to the existing acquis ensuring that tax administrations, reporting entities and taxpayers benefit from a more efficient and effective functioning of the DAC. More specifically, these uniform and coherent enhancements will support improvements in data completeness, data quality and use of information and therein advance the capabilities of the tax authorities of Member States to effectively tackle tax fraud, avoidance and evasion</w:t>
      </w:r>
      <w:r w:rsidR="005A7403">
        <w:rPr>
          <w:noProof/>
        </w:rPr>
        <w:t>.</w:t>
      </w:r>
    </w:p>
    <w:p w14:paraId="6C77EBA2" w14:textId="4BC7B2F7" w:rsidR="006B087E" w:rsidRDefault="006B087E" w:rsidP="00EB7AEE">
      <w:pPr>
        <w:pStyle w:val="Heading1"/>
        <w:rPr>
          <w:noProof/>
          <w:sz w:val="28"/>
          <w:szCs w:val="28"/>
        </w:rPr>
      </w:pPr>
      <w:bookmarkStart w:id="14" w:name="_Toc231816700"/>
      <w:r w:rsidRPr="5952740B">
        <w:rPr>
          <w:noProof/>
        </w:rPr>
        <w:t xml:space="preserve">Objectives: What is to be </w:t>
      </w:r>
      <w:r w:rsidRPr="5952740B">
        <w:rPr>
          <w:noProof/>
          <w:sz w:val="28"/>
          <w:szCs w:val="28"/>
        </w:rPr>
        <w:t>achieved?</w:t>
      </w:r>
      <w:bookmarkEnd w:id="14"/>
    </w:p>
    <w:p w14:paraId="33B2278B" w14:textId="5CE6B9FC" w:rsidR="00890FB6" w:rsidRDefault="008419BD" w:rsidP="7B67C206">
      <w:pPr>
        <w:pStyle w:val="Text1"/>
        <w:ind w:left="0"/>
        <w:rPr>
          <w:b/>
          <w:bCs/>
          <w:i/>
          <w:iCs/>
          <w:noProof/>
        </w:rPr>
      </w:pPr>
      <w:r w:rsidRPr="7B67C206">
        <w:rPr>
          <w:b/>
          <w:bCs/>
          <w:i/>
          <w:iCs/>
          <w:noProof/>
        </w:rPr>
        <w:t>Figure</w:t>
      </w:r>
      <w:r w:rsidR="00890FB6" w:rsidRPr="7B67C206">
        <w:rPr>
          <w:b/>
          <w:bCs/>
          <w:i/>
          <w:iCs/>
          <w:noProof/>
        </w:rPr>
        <w:t xml:space="preserve"> 5: Intervention logic</w:t>
      </w:r>
    </w:p>
    <w:p w14:paraId="7F251FDC" w14:textId="0EFC3B2B" w:rsidR="00331A3F" w:rsidRDefault="00257E2B" w:rsidP="7B67C206">
      <w:pPr>
        <w:pStyle w:val="Text1"/>
        <w:ind w:left="0"/>
        <w:rPr>
          <w:b/>
          <w:bCs/>
          <w:i/>
          <w:iCs/>
          <w:noProof/>
        </w:rPr>
      </w:pPr>
      <w:r>
        <w:rPr>
          <w:noProof/>
          <w:lang w:eastAsia="en-GB"/>
        </w:rPr>
        <w:drawing>
          <wp:inline distT="0" distB="0" distL="0" distR="0" wp14:anchorId="7D76A04F" wp14:editId="1F2E818B">
            <wp:extent cx="6324600" cy="3879850"/>
            <wp:effectExtent l="0" t="0" r="0" b="6350"/>
            <wp:docPr id="17200579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57941" name=""/>
                    <pic:cNvPicPr/>
                  </pic:nvPicPr>
                  <pic:blipFill>
                    <a:blip r:embed="rId2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2"/>
                        </a:ext>
                      </a:extLst>
                    </a:blip>
                    <a:stretch>
                      <a:fillRect/>
                    </a:stretch>
                  </pic:blipFill>
                  <pic:spPr>
                    <a:xfrm>
                      <a:off x="0" y="0"/>
                      <a:ext cx="6324600" cy="3879850"/>
                    </a:xfrm>
                    <a:prstGeom prst="rect">
                      <a:avLst/>
                    </a:prstGeom>
                  </pic:spPr>
                </pic:pic>
              </a:graphicData>
            </a:graphic>
          </wp:inline>
        </w:drawing>
      </w:r>
    </w:p>
    <w:p w14:paraId="52430495" w14:textId="0D825F75" w:rsidR="00127CA3" w:rsidRDefault="00127CA3" w:rsidP="00127CA3">
      <w:pPr>
        <w:pStyle w:val="Heading2"/>
        <w:numPr>
          <w:ilvl w:val="0"/>
          <w:numId w:val="0"/>
        </w:numPr>
        <w:rPr>
          <w:noProof/>
        </w:rPr>
      </w:pPr>
      <w:bookmarkStart w:id="15" w:name="_Toc231816701"/>
      <w:r>
        <w:rPr>
          <w:noProof/>
        </w:rPr>
        <w:t>4.1 General objectives</w:t>
      </w:r>
      <w:bookmarkEnd w:id="15"/>
    </w:p>
    <w:p w14:paraId="5F0E0A6C" w14:textId="11BE9893" w:rsidR="00890FB6" w:rsidRDefault="00127CA3" w:rsidP="00890FB6">
      <w:pPr>
        <w:spacing w:after="160" w:line="257" w:lineRule="auto"/>
        <w:rPr>
          <w:rFonts w:eastAsia="Times New Roman"/>
          <w:noProof/>
        </w:rPr>
      </w:pPr>
      <w:r w:rsidRPr="7624CB47">
        <w:rPr>
          <w:rFonts w:eastAsia="Times New Roman"/>
          <w:noProof/>
        </w:rPr>
        <w:t xml:space="preserve">In response to the problems identified, the general objectives of this initiative are to </w:t>
      </w:r>
      <w:r w:rsidRPr="7624CB47">
        <w:rPr>
          <w:rFonts w:eastAsia="Times New Roman"/>
          <w:b/>
          <w:bCs/>
          <w:noProof/>
        </w:rPr>
        <w:t>contribute to strengthening the competitiveness of EU businesses and to enhance the</w:t>
      </w:r>
      <w:r>
        <w:rPr>
          <w:rFonts w:eastAsia="Times New Roman"/>
          <w:b/>
          <w:bCs/>
          <w:noProof/>
        </w:rPr>
        <w:t xml:space="preserve"> </w:t>
      </w:r>
      <w:r w:rsidR="00890FB6" w:rsidRPr="7624CB47">
        <w:rPr>
          <w:rFonts w:eastAsia="Times New Roman"/>
          <w:b/>
          <w:bCs/>
          <w:noProof/>
        </w:rPr>
        <w:t>functioning of the Internal Market.</w:t>
      </w:r>
      <w:r w:rsidR="00890FB6" w:rsidRPr="7624CB47">
        <w:rPr>
          <w:rFonts w:eastAsia="Times New Roman"/>
          <w:noProof/>
        </w:rPr>
        <w:t xml:space="preserve"> These objectives are consistent with the priorities set out in the Competitiveness Compass</w:t>
      </w:r>
      <w:r w:rsidR="00890FB6">
        <w:rPr>
          <w:rStyle w:val="FootnoteReference"/>
          <w:rFonts w:eastAsia="Times New Roman"/>
          <w:noProof/>
        </w:rPr>
        <w:footnoteReference w:id="52"/>
      </w:r>
      <w:r w:rsidR="00890FB6" w:rsidRPr="7624CB47">
        <w:rPr>
          <w:rFonts w:eastAsia="Times New Roman"/>
          <w:noProof/>
        </w:rPr>
        <w:t xml:space="preserve"> and the 2025 Single Market Strategy</w:t>
      </w:r>
      <w:r w:rsidR="00890FB6">
        <w:rPr>
          <w:rStyle w:val="FootnoteReference"/>
          <w:rFonts w:eastAsia="Times New Roman"/>
          <w:noProof/>
        </w:rPr>
        <w:footnoteReference w:id="53"/>
      </w:r>
      <w:r w:rsidR="00890FB6" w:rsidRPr="7624CB47">
        <w:rPr>
          <w:rFonts w:eastAsia="Times New Roman"/>
          <w:noProof/>
        </w:rPr>
        <w:t>, which emphasise the importance of regulatory efficiency as a means of supporting competitiveness and economic resilience.</w:t>
      </w:r>
    </w:p>
    <w:p w14:paraId="38B2B1F8" w14:textId="5D4CDC83" w:rsidR="00890FB6" w:rsidRPr="00036F8F" w:rsidRDefault="00890FB6" w:rsidP="00036F8F">
      <w:pPr>
        <w:spacing w:before="120" w:after="120"/>
        <w:rPr>
          <w:rFonts w:eastAsia="Times New Roman"/>
          <w:noProof/>
          <w:color w:val="000000" w:themeColor="text1"/>
          <w:szCs w:val="20"/>
        </w:rPr>
      </w:pPr>
      <w:r w:rsidRPr="6AB2A85A">
        <w:rPr>
          <w:rFonts w:eastAsia="Times New Roman"/>
          <w:noProof/>
        </w:rPr>
        <w:t xml:space="preserve">At the same time, the initiative aims to </w:t>
      </w:r>
      <w:r w:rsidRPr="18BF1541">
        <w:rPr>
          <w:rFonts w:eastAsia="Times New Roman"/>
          <w:b/>
          <w:noProof/>
        </w:rPr>
        <w:t xml:space="preserve">continue to effectively support </w:t>
      </w:r>
      <w:r w:rsidRPr="684F6BF0">
        <w:rPr>
          <w:rFonts w:eastAsia="Times New Roman"/>
          <w:b/>
          <w:bCs/>
          <w:noProof/>
        </w:rPr>
        <w:t xml:space="preserve">the </w:t>
      </w:r>
      <w:r w:rsidRPr="18BF1541">
        <w:rPr>
          <w:rFonts w:eastAsia="Times New Roman"/>
          <w:b/>
          <w:noProof/>
        </w:rPr>
        <w:t>Union’s efforts to fight against tax fraud, evasion and avoidance</w:t>
      </w:r>
      <w:r w:rsidRPr="6AB2A85A">
        <w:rPr>
          <w:rFonts w:eastAsia="Times New Roman"/>
          <w:noProof/>
        </w:rPr>
        <w:t xml:space="preserve"> with a view to safeguarding Member States’ tax bases, ensuring fair taxation, and maintaining a level playing field within the Single Market. </w:t>
      </w:r>
      <w:r w:rsidR="00885356" w:rsidRPr="00885356">
        <w:rPr>
          <w:rFonts w:eastAsia="Times New Roman"/>
          <w:noProof/>
          <w:color w:val="000000" w:themeColor="text1"/>
          <w:szCs w:val="20"/>
        </w:rPr>
        <w:t xml:space="preserve">A key objective of the DAC is to ensure that Member States receive information, which enables their tax administrations to effectively enforce their national tax rules. The information is intended to support compliance and effectively address non-compliance. In certain instances, non-compliance may take the form of tax fraud or tax evasion both of which are illegal activities. In other instances, non-compliance may take the form of tax avoidance, which is not by its nature an illegal activity, but is an activity that is usually contrary to the intention of the legislation. </w:t>
      </w:r>
      <w:r w:rsidRPr="6AB2A85A">
        <w:rPr>
          <w:rFonts w:eastAsia="Times New Roman"/>
          <w:noProof/>
        </w:rPr>
        <w:t>Attaining these objectives requires that Member States’ tax administrations remain equipped with effective</w:t>
      </w:r>
      <w:r w:rsidRPr="067EE6D1">
        <w:rPr>
          <w:rFonts w:eastAsia="Times New Roman"/>
          <w:noProof/>
        </w:rPr>
        <w:t xml:space="preserve"> </w:t>
      </w:r>
      <w:r w:rsidRPr="2FB97DAF">
        <w:rPr>
          <w:rFonts w:eastAsia="Times New Roman"/>
          <w:noProof/>
        </w:rPr>
        <w:t>and</w:t>
      </w:r>
      <w:r w:rsidRPr="6AB2A85A">
        <w:rPr>
          <w:rFonts w:eastAsia="Times New Roman"/>
          <w:noProof/>
        </w:rPr>
        <w:t xml:space="preserve"> proportionate tools to detect, assess, and address non-compliance</w:t>
      </w:r>
      <w:r w:rsidRPr="14AF42AD">
        <w:rPr>
          <w:rFonts w:eastAsia="Times New Roman"/>
          <w:noProof/>
        </w:rPr>
        <w:t xml:space="preserve"> with tax obligations</w:t>
      </w:r>
      <w:r w:rsidRPr="6AB2A85A">
        <w:rPr>
          <w:rFonts w:eastAsia="Times New Roman"/>
          <w:noProof/>
        </w:rPr>
        <w:t>.</w:t>
      </w:r>
    </w:p>
    <w:p w14:paraId="5ED17026" w14:textId="6D0AD5A4" w:rsidR="0075D2E5" w:rsidRDefault="6638BCFB" w:rsidP="00ED3448">
      <w:pPr>
        <w:pStyle w:val="Heading2"/>
        <w:numPr>
          <w:ilvl w:val="1"/>
          <w:numId w:val="34"/>
        </w:numPr>
        <w:rPr>
          <w:noProof/>
        </w:rPr>
      </w:pPr>
      <w:bookmarkStart w:id="16" w:name="_Toc231816702"/>
      <w:r>
        <w:rPr>
          <w:noProof/>
        </w:rPr>
        <w:t>Specific objectives</w:t>
      </w:r>
      <w:bookmarkEnd w:id="16"/>
    </w:p>
    <w:p w14:paraId="20E4B69F" w14:textId="77777777" w:rsidR="00033A6D" w:rsidRPr="0086444D" w:rsidRDefault="00033A6D" w:rsidP="00033A6D">
      <w:pPr>
        <w:pStyle w:val="Heading3"/>
        <w:numPr>
          <w:ilvl w:val="0"/>
          <w:numId w:val="0"/>
        </w:numPr>
        <w:tabs>
          <w:tab w:val="num" w:pos="1134"/>
        </w:tabs>
        <w:rPr>
          <w:b/>
          <w:bCs/>
          <w:noProof/>
        </w:rPr>
      </w:pPr>
      <w:r w:rsidRPr="77FADF1A">
        <w:rPr>
          <w:b/>
          <w:bCs/>
          <w:noProof/>
        </w:rPr>
        <w:t>Reducing complexity and improving legal clarity and legal certainty for all stakeholders</w:t>
      </w:r>
    </w:p>
    <w:p w14:paraId="013EB042" w14:textId="0F7DEB6A" w:rsidR="00033A6D" w:rsidRPr="0086444D" w:rsidRDefault="00033A6D" w:rsidP="00033A6D">
      <w:pPr>
        <w:spacing w:before="240" w:line="257" w:lineRule="auto"/>
        <w:rPr>
          <w:rFonts w:eastAsia="Times New Roman"/>
          <w:noProof/>
        </w:rPr>
      </w:pPr>
      <w:r w:rsidRPr="77FADF1A">
        <w:rPr>
          <w:rFonts w:eastAsia="Times New Roman"/>
          <w:noProof/>
        </w:rPr>
        <w:t>This objective addresses the fragmentation resulting from successive amendments to the DAC and aims to improve legal clarity and certainty for tax administrations, reporting entities and taxpayers</w:t>
      </w:r>
      <w:r w:rsidRPr="2192B75E">
        <w:rPr>
          <w:rFonts w:eastAsia="Times New Roman"/>
          <w:noProof/>
        </w:rPr>
        <w:t xml:space="preserve"> by consolidating the Directive into one </w:t>
      </w:r>
      <w:r>
        <w:rPr>
          <w:rFonts w:eastAsia="Times New Roman"/>
          <w:noProof/>
        </w:rPr>
        <w:t xml:space="preserve">legal text. </w:t>
      </w:r>
      <w:r w:rsidRPr="77FADF1A">
        <w:rPr>
          <w:rFonts w:eastAsia="Times New Roman"/>
          <w:noProof/>
        </w:rPr>
        <w:t xml:space="preserve">Greater clarity will facilitate </w:t>
      </w:r>
      <w:r w:rsidRPr="2192B75E">
        <w:rPr>
          <w:rFonts w:eastAsia="Times New Roman"/>
          <w:noProof/>
        </w:rPr>
        <w:t xml:space="preserve">easier readability and usability thus facilitating </w:t>
      </w:r>
      <w:r w:rsidRPr="77FADF1A">
        <w:rPr>
          <w:rFonts w:eastAsia="Times New Roman"/>
          <w:noProof/>
        </w:rPr>
        <w:t xml:space="preserve">more consistent implementation of reporting obligations across the Union and </w:t>
      </w:r>
      <w:r w:rsidRPr="2192B75E">
        <w:rPr>
          <w:rFonts w:eastAsia="Times New Roman"/>
          <w:noProof/>
        </w:rPr>
        <w:t>supporting</w:t>
      </w:r>
      <w:r w:rsidRPr="77FADF1A">
        <w:rPr>
          <w:rFonts w:eastAsia="Times New Roman"/>
          <w:noProof/>
        </w:rPr>
        <w:t xml:space="preserve"> a more predictable</w:t>
      </w:r>
      <w:r w:rsidRPr="2192B75E">
        <w:rPr>
          <w:rFonts w:eastAsia="Times New Roman"/>
          <w:noProof/>
        </w:rPr>
        <w:t>, streamlined and cost-efficient</w:t>
      </w:r>
      <w:r w:rsidRPr="77FADF1A">
        <w:rPr>
          <w:rFonts w:eastAsia="Times New Roman"/>
          <w:noProof/>
        </w:rPr>
        <w:t xml:space="preserve"> compliance environment for stakeholders.</w:t>
      </w:r>
    </w:p>
    <w:p w14:paraId="5CFC73D2" w14:textId="77777777" w:rsidR="00033A6D" w:rsidRPr="0086444D" w:rsidRDefault="00033A6D" w:rsidP="00033A6D">
      <w:pPr>
        <w:pStyle w:val="Heading3"/>
        <w:numPr>
          <w:ilvl w:val="0"/>
          <w:numId w:val="0"/>
        </w:numPr>
        <w:tabs>
          <w:tab w:val="num" w:pos="1134"/>
        </w:tabs>
        <w:rPr>
          <w:b/>
          <w:bCs/>
          <w:noProof/>
        </w:rPr>
      </w:pPr>
      <w:r w:rsidRPr="77FADF1A">
        <w:rPr>
          <w:b/>
          <w:bCs/>
          <w:noProof/>
        </w:rPr>
        <w:t>Ensuring reporting and notification obligations are proportionate and better targeted while preserving the policy objectives</w:t>
      </w:r>
    </w:p>
    <w:p w14:paraId="5BF420B2" w14:textId="4BD94DBF" w:rsidR="00033A6D" w:rsidRPr="0086444D" w:rsidRDefault="00033A6D" w:rsidP="00033A6D">
      <w:pPr>
        <w:spacing w:before="240" w:line="257" w:lineRule="auto"/>
        <w:rPr>
          <w:rFonts w:eastAsia="Times New Roman"/>
          <w:noProof/>
        </w:rPr>
      </w:pPr>
      <w:r w:rsidRPr="77FADF1A">
        <w:rPr>
          <w:rFonts w:eastAsia="Times New Roman"/>
          <w:noProof/>
        </w:rPr>
        <w:t xml:space="preserve">This objective seeks to reduce reporting requirements and notification obligations that generate limited added value for tax administrations while preserving </w:t>
      </w:r>
      <w:r>
        <w:rPr>
          <w:rFonts w:eastAsia="Times New Roman"/>
          <w:noProof/>
        </w:rPr>
        <w:t>and upholding</w:t>
      </w:r>
      <w:r w:rsidRPr="77FADF1A">
        <w:rPr>
          <w:rFonts w:eastAsia="Times New Roman"/>
          <w:noProof/>
        </w:rPr>
        <w:t xml:space="preserve"> the policy objectives of tackling tax fraud, evasion</w:t>
      </w:r>
      <w:r>
        <w:rPr>
          <w:rFonts w:eastAsia="Times New Roman"/>
          <w:noProof/>
        </w:rPr>
        <w:t xml:space="preserve"> and avoidance</w:t>
      </w:r>
      <w:r w:rsidRPr="77FADF1A">
        <w:rPr>
          <w:rFonts w:eastAsia="Times New Roman"/>
          <w:noProof/>
        </w:rPr>
        <w:t>. Aligning reporting requirements and notification obligations with the tax compliance risks that they are intended to address will improve the relevance of the information collected, reported and exchanged under the framework thereby ensuring that the framework remains proportionate, efficient and effective.</w:t>
      </w:r>
    </w:p>
    <w:p w14:paraId="3F973710" w14:textId="77777777" w:rsidR="00033A6D" w:rsidRPr="0086444D" w:rsidRDefault="00033A6D" w:rsidP="00033A6D">
      <w:pPr>
        <w:pStyle w:val="Heading3"/>
        <w:numPr>
          <w:ilvl w:val="0"/>
          <w:numId w:val="0"/>
        </w:numPr>
        <w:tabs>
          <w:tab w:val="num" w:pos="1134"/>
        </w:tabs>
        <w:rPr>
          <w:b/>
          <w:bCs/>
          <w:noProof/>
        </w:rPr>
      </w:pPr>
      <w:r w:rsidRPr="77FADF1A">
        <w:rPr>
          <w:b/>
          <w:bCs/>
          <w:noProof/>
        </w:rPr>
        <w:t>Improving the effectiveness and usability of exchanged information</w:t>
      </w:r>
    </w:p>
    <w:p w14:paraId="272837F5" w14:textId="77777777" w:rsidR="00033A6D" w:rsidRDefault="00033A6D" w:rsidP="00033A6D">
      <w:pPr>
        <w:spacing w:before="240" w:line="257" w:lineRule="auto"/>
        <w:rPr>
          <w:rFonts w:eastAsia="Times New Roman"/>
          <w:noProof/>
        </w:rPr>
      </w:pPr>
      <w:r w:rsidRPr="77FADF1A">
        <w:rPr>
          <w:rFonts w:eastAsia="Times New Roman"/>
          <w:noProof/>
        </w:rPr>
        <w:t xml:space="preserve">This objective focuses on improving the completeness, accuracy, and usability of exchanged data, including the automatic identification of taxpayers via their TIN. This will enhance the ability of tax administrations to automatically identify taxpayers and effectively use all exchanged information for risk assessment and compliance purposes. The objective also seeks to address the current limitations in the legislative framework that are leading to incomplete and fragmented reporting under DAC1. </w:t>
      </w:r>
    </w:p>
    <w:p w14:paraId="6C161DE9" w14:textId="027F90ED" w:rsidR="008B6ED5" w:rsidRPr="0086444D" w:rsidRDefault="3A3A7C19" w:rsidP="0D7CD3FC">
      <w:pPr>
        <w:pStyle w:val="Heading1"/>
        <w:numPr>
          <w:ilvl w:val="0"/>
          <w:numId w:val="0"/>
        </w:numPr>
        <w:rPr>
          <w:noProof/>
        </w:rPr>
      </w:pPr>
      <w:bookmarkStart w:id="17" w:name="_Toc231816703"/>
      <w:r>
        <w:rPr>
          <w:noProof/>
        </w:rPr>
        <w:t xml:space="preserve">5. </w:t>
      </w:r>
      <w:r w:rsidR="008B6ED5">
        <w:rPr>
          <w:noProof/>
        </w:rPr>
        <w:t>What are the available policy options?</w:t>
      </w:r>
      <w:bookmarkEnd w:id="17"/>
    </w:p>
    <w:p w14:paraId="324B1E3F" w14:textId="77E963CF" w:rsidR="006B087E" w:rsidRPr="00F92EAE" w:rsidRDefault="01B7463A" w:rsidP="00EB7AEE">
      <w:pPr>
        <w:pStyle w:val="Heading2"/>
        <w:numPr>
          <w:ilvl w:val="0"/>
          <w:numId w:val="0"/>
        </w:numPr>
        <w:ind w:left="720"/>
        <w:rPr>
          <w:noProof/>
        </w:rPr>
      </w:pPr>
      <w:bookmarkStart w:id="18" w:name="_Toc231816704"/>
      <w:bookmarkEnd w:id="3"/>
      <w:r>
        <w:rPr>
          <w:noProof/>
        </w:rPr>
        <w:t xml:space="preserve">5.1 </w:t>
      </w:r>
      <w:r w:rsidR="006B087E">
        <w:rPr>
          <w:noProof/>
        </w:rPr>
        <w:t>What is the baseline from which options are assessed?</w:t>
      </w:r>
      <w:bookmarkEnd w:id="18"/>
    </w:p>
    <w:p w14:paraId="529EDA5E" w14:textId="77777777" w:rsidR="00033A6D" w:rsidRPr="00BE0100" w:rsidRDefault="00033A6D" w:rsidP="00033A6D">
      <w:pPr>
        <w:spacing w:before="240"/>
        <w:rPr>
          <w:rFonts w:eastAsia="Times New Roman"/>
          <w:noProof/>
        </w:rPr>
      </w:pPr>
      <w:r w:rsidRPr="7624CB47">
        <w:rPr>
          <w:rFonts w:eastAsia="Times New Roman"/>
          <w:noProof/>
        </w:rPr>
        <w:t xml:space="preserve">The policy options are assessed against a baseline scenario in which no Union level action is taken to amend the existing acquis under the DAC. Under this baseline, the current legislative framework, consisting of </w:t>
      </w:r>
      <w:r>
        <w:rPr>
          <w:noProof/>
        </w:rPr>
        <w:t>9</w:t>
      </w:r>
      <w:r w:rsidRPr="7624CB47">
        <w:rPr>
          <w:rFonts w:eastAsia="Times New Roman"/>
          <w:noProof/>
        </w:rPr>
        <w:t xml:space="preserve"> separate legal instruments, would remain unchanged. Tax administrations and reporting entities would therefore continue to operate under the existing notification, reporting and automatic exchange of information obligations established under the DAC.</w:t>
      </w:r>
    </w:p>
    <w:p w14:paraId="332C3CD0" w14:textId="77777777" w:rsidR="00033A6D" w:rsidRPr="00BE0100" w:rsidRDefault="00033A6D" w:rsidP="00033A6D">
      <w:pPr>
        <w:spacing w:before="240"/>
        <w:rPr>
          <w:rFonts w:eastAsia="Times New Roman"/>
          <w:noProof/>
        </w:rPr>
      </w:pPr>
      <w:r w:rsidRPr="7624CB47">
        <w:rPr>
          <w:rFonts w:eastAsia="Times New Roman"/>
          <w:noProof/>
        </w:rPr>
        <w:t>Under DAC6, the reporting framework for cross-border arrangements would remain unchanged, including the existing scope of reportable arrangements and the application of the MBT. Since the reporting regime became operational in 2020, more than 60,000 cross-border arrangements and over 79,000 disclosure reports have been reported through the DAC6 Central Directory. Approximately 35% of all reporting is attributable to Hallmark A, while around 8% of total disclosure reports are filed by MNE groups within the scope of the Pillar 2 Directive.</w:t>
      </w:r>
    </w:p>
    <w:p w14:paraId="4325CA49" w14:textId="77777777" w:rsidR="00033A6D" w:rsidRPr="00BE0100" w:rsidRDefault="00033A6D" w:rsidP="00033A6D">
      <w:pPr>
        <w:spacing w:before="240"/>
        <w:rPr>
          <w:rFonts w:eastAsia="Times New Roman"/>
          <w:noProof/>
        </w:rPr>
      </w:pPr>
      <w:r w:rsidRPr="00BE0100">
        <w:rPr>
          <w:rFonts w:eastAsia="Times New Roman"/>
          <w:noProof/>
        </w:rPr>
        <w:t>Under DAC7, platform operators would continue to report information on sellers in accordance with the existing thresholds</w:t>
      </w:r>
      <w:r>
        <w:rPr>
          <w:rFonts w:eastAsia="Times New Roman"/>
          <w:noProof/>
        </w:rPr>
        <w:t xml:space="preserve"> for the sale of goods</w:t>
      </w:r>
      <w:r w:rsidRPr="00BE0100">
        <w:rPr>
          <w:rFonts w:eastAsia="Times New Roman"/>
          <w:noProof/>
        </w:rPr>
        <w:t>. In the baseline scenario,</w:t>
      </w:r>
      <w:r w:rsidRPr="00E83353">
        <w:rPr>
          <w:noProof/>
        </w:rPr>
        <w:t xml:space="preserve"> </w:t>
      </w:r>
      <w:r>
        <w:rPr>
          <w:rFonts w:eastAsia="Times New Roman"/>
          <w:noProof/>
        </w:rPr>
        <w:t>i</w:t>
      </w:r>
      <w:r w:rsidRPr="00E83353">
        <w:rPr>
          <w:rFonts w:eastAsia="Times New Roman"/>
          <w:noProof/>
        </w:rPr>
        <w:t>t is estimated that approximately 13.5 million sellers in the EU are currently reportable corresponding to around 20% of all individuals engaged in platform-based selling activities</w:t>
      </w:r>
      <w:r>
        <w:rPr>
          <w:rFonts w:eastAsia="Times New Roman"/>
          <w:noProof/>
        </w:rPr>
        <w:t>.</w:t>
      </w:r>
      <w:r w:rsidRPr="00E83353">
        <w:rPr>
          <w:rFonts w:eastAsia="Times New Roman"/>
          <w:noProof/>
        </w:rPr>
        <w:t xml:space="preserve"> </w:t>
      </w:r>
      <w:r w:rsidRPr="00BE0100">
        <w:rPr>
          <w:rFonts w:eastAsia="Times New Roman"/>
          <w:noProof/>
        </w:rPr>
        <w:t xml:space="preserve"> </w:t>
      </w:r>
    </w:p>
    <w:p w14:paraId="1BCE1A61" w14:textId="1F4D523A" w:rsidR="00033A6D" w:rsidRPr="00BE0100" w:rsidRDefault="00033A6D" w:rsidP="00033A6D">
      <w:pPr>
        <w:spacing w:before="240"/>
        <w:rPr>
          <w:rFonts w:eastAsia="Times New Roman"/>
          <w:noProof/>
        </w:rPr>
      </w:pPr>
      <w:r w:rsidRPr="00BE0100">
        <w:rPr>
          <w:rFonts w:eastAsia="Times New Roman"/>
          <w:noProof/>
        </w:rPr>
        <w:t xml:space="preserve">Under DAC4 and </w:t>
      </w:r>
      <w:r w:rsidR="00036F8F">
        <w:rPr>
          <w:rFonts w:eastAsia="Times New Roman"/>
          <w:noProof/>
        </w:rPr>
        <w:t>DAC9</w:t>
      </w:r>
      <w:r w:rsidRPr="00BE0100">
        <w:rPr>
          <w:rFonts w:eastAsia="Times New Roman"/>
          <w:noProof/>
        </w:rPr>
        <w:t xml:space="preserve">, </w:t>
      </w:r>
      <w:r>
        <w:rPr>
          <w:rFonts w:eastAsia="Times New Roman"/>
          <w:noProof/>
        </w:rPr>
        <w:t xml:space="preserve">entities of </w:t>
      </w:r>
      <w:r w:rsidRPr="00BE0100">
        <w:rPr>
          <w:rFonts w:eastAsia="Times New Roman"/>
          <w:noProof/>
        </w:rPr>
        <w:t xml:space="preserve">MNE groups would continue to be subject to </w:t>
      </w:r>
      <w:r>
        <w:rPr>
          <w:rFonts w:eastAsia="Times New Roman"/>
          <w:noProof/>
        </w:rPr>
        <w:t xml:space="preserve">multiple </w:t>
      </w:r>
      <w:r w:rsidRPr="69B1648C">
        <w:rPr>
          <w:rFonts w:eastAsia="Times New Roman"/>
          <w:noProof/>
        </w:rPr>
        <w:t xml:space="preserve">duplicative notification </w:t>
      </w:r>
      <w:r w:rsidRPr="00BE0100">
        <w:rPr>
          <w:rFonts w:eastAsia="Times New Roman"/>
          <w:noProof/>
        </w:rPr>
        <w:t xml:space="preserve">obligations across Member States. In the baseline scenario, approximately </w:t>
      </w:r>
      <w:r w:rsidRPr="34F5FC62">
        <w:rPr>
          <w:rFonts w:eastAsia="Times New Roman"/>
          <w:noProof/>
        </w:rPr>
        <w:t>4</w:t>
      </w:r>
      <w:r>
        <w:rPr>
          <w:rFonts w:eastAsia="Times New Roman"/>
          <w:noProof/>
        </w:rPr>
        <w:t>,700</w:t>
      </w:r>
      <w:r w:rsidRPr="34D1530D">
        <w:rPr>
          <w:rFonts w:eastAsia="Times New Roman"/>
          <w:noProof/>
        </w:rPr>
        <w:t xml:space="preserve"> MNE</w:t>
      </w:r>
      <w:r w:rsidRPr="00BE0100">
        <w:rPr>
          <w:rFonts w:eastAsia="Times New Roman"/>
          <w:noProof/>
        </w:rPr>
        <w:t xml:space="preserve"> </w:t>
      </w:r>
      <w:r w:rsidRPr="1C08E457">
        <w:rPr>
          <w:rFonts w:eastAsia="Times New Roman"/>
          <w:noProof/>
        </w:rPr>
        <w:t>Groups</w:t>
      </w:r>
      <w:r w:rsidRPr="00BE0100">
        <w:rPr>
          <w:rFonts w:eastAsia="Times New Roman"/>
          <w:noProof/>
        </w:rPr>
        <w:t xml:space="preserve"> and </w:t>
      </w:r>
      <w:r w:rsidRPr="34F5FC62">
        <w:rPr>
          <w:rFonts w:eastAsia="Times New Roman"/>
          <w:noProof/>
        </w:rPr>
        <w:t>109</w:t>
      </w:r>
      <w:r w:rsidRPr="57D4ED7E">
        <w:rPr>
          <w:rFonts w:eastAsia="Times New Roman"/>
          <w:noProof/>
        </w:rPr>
        <w:t xml:space="preserve">,000 </w:t>
      </w:r>
      <w:r w:rsidRPr="00BE0100">
        <w:rPr>
          <w:rFonts w:eastAsia="Times New Roman"/>
          <w:noProof/>
        </w:rPr>
        <w:t>constituent entities are subject to these notification obligations</w:t>
      </w:r>
      <w:r>
        <w:rPr>
          <w:rFonts w:eastAsia="Times New Roman"/>
          <w:noProof/>
        </w:rPr>
        <w:t>.</w:t>
      </w:r>
    </w:p>
    <w:p w14:paraId="1D154494" w14:textId="77777777" w:rsidR="00E306CE" w:rsidRDefault="00033A6D" w:rsidP="00033A6D">
      <w:pPr>
        <w:spacing w:before="240"/>
        <w:rPr>
          <w:rFonts w:eastAsia="Times New Roman"/>
          <w:noProof/>
        </w:rPr>
      </w:pPr>
      <w:r w:rsidRPr="00BE0100">
        <w:rPr>
          <w:rFonts w:eastAsia="Times New Roman"/>
          <w:noProof/>
        </w:rPr>
        <w:t xml:space="preserve">As regards TINs, the baseline is reflected in the current automatic matching rates achieved by </w:t>
      </w:r>
      <w:r>
        <w:rPr>
          <w:rFonts w:eastAsia="Times New Roman"/>
          <w:noProof/>
        </w:rPr>
        <w:t xml:space="preserve">the receiving </w:t>
      </w:r>
      <w:r w:rsidRPr="00BE0100">
        <w:rPr>
          <w:rFonts w:eastAsia="Times New Roman"/>
          <w:noProof/>
        </w:rPr>
        <w:t>tax administrations when linking exchanged information with national taxpayer databases. These automatic matching rates represent the baseline performance of the system across the Union</w:t>
      </w:r>
      <w:r>
        <w:rPr>
          <w:rFonts w:eastAsia="Times New Roman"/>
          <w:noProof/>
        </w:rPr>
        <w:t xml:space="preserve"> (</w:t>
      </w:r>
      <w:r w:rsidRPr="007C0A33">
        <w:rPr>
          <w:rFonts w:eastAsia="Times New Roman"/>
          <w:b/>
          <w:bCs/>
          <w:noProof/>
        </w:rPr>
        <w:t xml:space="preserve">see </w:t>
      </w:r>
      <w:r w:rsidR="00787E5F">
        <w:rPr>
          <w:rFonts w:eastAsia="Times New Roman"/>
          <w:b/>
          <w:bCs/>
          <w:noProof/>
        </w:rPr>
        <w:t>figure</w:t>
      </w:r>
      <w:r w:rsidRPr="007C0A33">
        <w:rPr>
          <w:rFonts w:eastAsia="Times New Roman"/>
          <w:b/>
          <w:bCs/>
          <w:noProof/>
        </w:rPr>
        <w:t xml:space="preserve"> 3</w:t>
      </w:r>
      <w:r>
        <w:rPr>
          <w:rFonts w:eastAsia="Times New Roman"/>
          <w:noProof/>
        </w:rPr>
        <w:t xml:space="preserve">). </w:t>
      </w:r>
      <w:r w:rsidRPr="001139DB">
        <w:rPr>
          <w:rFonts w:eastAsia="Times New Roman"/>
          <w:noProof/>
        </w:rPr>
        <w:t>Available administrative data indicate</w:t>
      </w:r>
      <w:r>
        <w:rPr>
          <w:rFonts w:eastAsia="Times New Roman"/>
          <w:noProof/>
        </w:rPr>
        <w:t>s</w:t>
      </w:r>
      <w:r w:rsidRPr="001139DB">
        <w:rPr>
          <w:rFonts w:eastAsia="Times New Roman"/>
          <w:noProof/>
        </w:rPr>
        <w:t xml:space="preserve"> that a share of exchanged records cannot be automatically matched to national taxpayer databases due to incorrect or inconsistent taxpayer identification information</w:t>
      </w:r>
      <w:r>
        <w:rPr>
          <w:rFonts w:eastAsia="Times New Roman"/>
          <w:noProof/>
        </w:rPr>
        <w:t xml:space="preserve"> (</w:t>
      </w:r>
      <w:r w:rsidRPr="001139DB">
        <w:rPr>
          <w:rFonts w:eastAsia="Times New Roman"/>
          <w:noProof/>
        </w:rPr>
        <w:t>including invalid or mismatched TINs</w:t>
      </w:r>
      <w:r>
        <w:rPr>
          <w:rFonts w:eastAsia="Times New Roman"/>
          <w:noProof/>
        </w:rPr>
        <w:t xml:space="preserve">). This necessitates </w:t>
      </w:r>
      <w:r w:rsidRPr="001139DB">
        <w:rPr>
          <w:rFonts w:eastAsia="Times New Roman"/>
          <w:noProof/>
        </w:rPr>
        <w:t>manual verification or follow-up requests between tax administrations.</w:t>
      </w:r>
      <w:r w:rsidR="00E306CE">
        <w:rPr>
          <w:rFonts w:eastAsia="Times New Roman"/>
          <w:noProof/>
        </w:rPr>
        <w:t xml:space="preserve"> </w:t>
      </w:r>
    </w:p>
    <w:p w14:paraId="6A8DFBEE" w14:textId="77777777" w:rsidR="00E306CE" w:rsidRDefault="00E306CE" w:rsidP="00033A6D">
      <w:pPr>
        <w:spacing w:before="240"/>
        <w:rPr>
          <w:rFonts w:eastAsia="Times New Roman"/>
          <w:noProof/>
        </w:rPr>
      </w:pPr>
    </w:p>
    <w:p w14:paraId="64160759" w14:textId="53F49F3E" w:rsidR="00033A6D" w:rsidRPr="0035733F" w:rsidRDefault="00033A6D" w:rsidP="00033A6D">
      <w:pPr>
        <w:spacing w:before="240"/>
        <w:rPr>
          <w:rFonts w:eastAsia="Times New Roman"/>
          <w:noProof/>
        </w:rPr>
      </w:pPr>
      <w:r w:rsidRPr="00BE0100">
        <w:rPr>
          <w:rFonts w:eastAsia="Times New Roman"/>
          <w:noProof/>
        </w:rPr>
        <w:t xml:space="preserve">Finally, under DAC1, Member States would continue to exchange information on five categories of income and capital and only where such information is </w:t>
      </w:r>
      <w:r>
        <w:rPr>
          <w:rFonts w:eastAsia="Times New Roman"/>
          <w:noProof/>
        </w:rPr>
        <w:t>“</w:t>
      </w:r>
      <w:r w:rsidRPr="00BE0100">
        <w:rPr>
          <w:rFonts w:eastAsia="Times New Roman"/>
          <w:noProof/>
        </w:rPr>
        <w:t>available</w:t>
      </w:r>
      <w:r>
        <w:rPr>
          <w:rFonts w:eastAsia="Times New Roman"/>
          <w:noProof/>
        </w:rPr>
        <w:t>”</w:t>
      </w:r>
      <w:r w:rsidRPr="00BE0100">
        <w:rPr>
          <w:rFonts w:eastAsia="Times New Roman"/>
          <w:noProof/>
        </w:rPr>
        <w:t xml:space="preserve"> in the tax files of the competent authority. As a result, differences in the scope and completeness of the information exchanged across Member States would remain under the baseline scenario</w:t>
      </w:r>
      <w:r>
        <w:rPr>
          <w:rFonts w:eastAsia="Times New Roman"/>
          <w:noProof/>
        </w:rPr>
        <w:t>.</w:t>
      </w:r>
    </w:p>
    <w:p w14:paraId="15A5FE03" w14:textId="3149A317" w:rsidR="006B087E" w:rsidRPr="00F92EAE" w:rsidRDefault="4B3A41A5" w:rsidP="00EB7AEE">
      <w:pPr>
        <w:pStyle w:val="Heading2"/>
        <w:numPr>
          <w:ilvl w:val="0"/>
          <w:numId w:val="0"/>
        </w:numPr>
        <w:ind w:left="720"/>
        <w:rPr>
          <w:noProof/>
        </w:rPr>
      </w:pPr>
      <w:bookmarkStart w:id="19" w:name="_Toc231816705"/>
      <w:r>
        <w:rPr>
          <w:noProof/>
        </w:rPr>
        <w:t>5.</w:t>
      </w:r>
      <w:r w:rsidR="000C0535">
        <w:rPr>
          <w:noProof/>
        </w:rPr>
        <w:t>2</w:t>
      </w:r>
      <w:r>
        <w:rPr>
          <w:noProof/>
        </w:rPr>
        <w:t xml:space="preserve"> </w:t>
      </w:r>
      <w:r w:rsidR="6FEFE65E">
        <w:rPr>
          <w:noProof/>
        </w:rPr>
        <w:t>Description of the policy options</w:t>
      </w:r>
      <w:bookmarkEnd w:id="19"/>
    </w:p>
    <w:p w14:paraId="3CADEBFB" w14:textId="77777777" w:rsidR="00033A6D" w:rsidRDefault="00033A6D" w:rsidP="00033A6D">
      <w:pPr>
        <w:pStyle w:val="Text2"/>
        <w:ind w:left="0"/>
        <w:rPr>
          <w:noProof/>
        </w:rPr>
      </w:pPr>
      <w:r>
        <w:rPr>
          <w:noProof/>
        </w:rPr>
        <w:t xml:space="preserve">As regards the legislative approach it is proposed to </w:t>
      </w:r>
      <w:r w:rsidRPr="007C0A33">
        <w:rPr>
          <w:b/>
          <w:bCs/>
          <w:noProof/>
        </w:rPr>
        <w:t xml:space="preserve">recast the DAC </w:t>
      </w:r>
      <w:r>
        <w:rPr>
          <w:noProof/>
        </w:rPr>
        <w:t>to simplify and reduce the complexity of the acquis, to enhance legal clarity of the provisions and to provide legal certainty for all stakeholders. The recast of the DAC will: (</w:t>
      </w:r>
      <w:r w:rsidRPr="007C0A33">
        <w:rPr>
          <w:b/>
          <w:bCs/>
          <w:noProof/>
        </w:rPr>
        <w:t>i)</w:t>
      </w:r>
      <w:r>
        <w:rPr>
          <w:noProof/>
        </w:rPr>
        <w:t xml:space="preserve"> codify the initial legal act (DAC1) and all its subsequent amendments (DAC2-DAC9) by bringing them together, into a single, legally binding act; and </w:t>
      </w:r>
      <w:r w:rsidRPr="007C0A33">
        <w:rPr>
          <w:b/>
          <w:bCs/>
          <w:noProof/>
        </w:rPr>
        <w:t>(ii)</w:t>
      </w:r>
      <w:r>
        <w:rPr>
          <w:noProof/>
        </w:rPr>
        <w:t xml:space="preserve"> introduce new substantive changes, in line with the preferred policy options stemming from measures 1 to 5 below. The new text of the DAC will repeal and replace all earlier versions.</w:t>
      </w:r>
    </w:p>
    <w:p w14:paraId="2F05D126" w14:textId="27F771EE" w:rsidR="68A85C12" w:rsidRDefault="68A85C12" w:rsidP="00E83353">
      <w:pPr>
        <w:pStyle w:val="Heading3"/>
        <w:numPr>
          <w:ilvl w:val="0"/>
          <w:numId w:val="0"/>
        </w:numPr>
        <w:tabs>
          <w:tab w:val="num" w:pos="0"/>
        </w:tabs>
        <w:rPr>
          <w:b/>
          <w:bCs/>
          <w:noProof/>
        </w:rPr>
      </w:pPr>
      <w:r w:rsidRPr="1356918D">
        <w:rPr>
          <w:b/>
          <w:bCs/>
          <w:noProof/>
        </w:rPr>
        <w:t xml:space="preserve">Measure </w:t>
      </w:r>
      <w:r w:rsidR="51756BDE" w:rsidRPr="471C61FF">
        <w:rPr>
          <w:b/>
          <w:bCs/>
          <w:noProof/>
        </w:rPr>
        <w:t>1</w:t>
      </w:r>
      <w:r w:rsidR="608517F8" w:rsidRPr="1356918D">
        <w:rPr>
          <w:b/>
          <w:bCs/>
          <w:noProof/>
        </w:rPr>
        <w:t xml:space="preserve"> </w:t>
      </w:r>
      <w:r w:rsidR="00EF6AA9" w:rsidRPr="1356918D">
        <w:rPr>
          <w:b/>
          <w:bCs/>
          <w:noProof/>
        </w:rPr>
        <w:t xml:space="preserve">- </w:t>
      </w:r>
      <w:r w:rsidR="6443BBC3" w:rsidRPr="1356918D">
        <w:rPr>
          <w:b/>
          <w:bCs/>
          <w:noProof/>
        </w:rPr>
        <w:t>E</w:t>
      </w:r>
      <w:r w:rsidR="1E8C969E" w:rsidRPr="1356918D">
        <w:rPr>
          <w:b/>
          <w:bCs/>
          <w:noProof/>
        </w:rPr>
        <w:t>nsuring that DAC6 reporting obligations remain proportionate</w:t>
      </w:r>
      <w:r w:rsidR="43CBDF7F" w:rsidRPr="1356918D">
        <w:rPr>
          <w:b/>
          <w:bCs/>
          <w:noProof/>
        </w:rPr>
        <w:t xml:space="preserve"> and effective</w:t>
      </w:r>
      <w:r w:rsidR="1EA79EF0" w:rsidRPr="1356918D">
        <w:rPr>
          <w:b/>
          <w:bCs/>
          <w:noProof/>
        </w:rPr>
        <w:t xml:space="preserve"> </w:t>
      </w:r>
      <w:r w:rsidR="1A22A4DD" w:rsidRPr="1356918D">
        <w:rPr>
          <w:b/>
          <w:bCs/>
          <w:noProof/>
        </w:rPr>
        <w:t xml:space="preserve">while promoting a more harmonised application </w:t>
      </w:r>
      <w:r w:rsidR="1EA79EF0" w:rsidRPr="1356918D">
        <w:rPr>
          <w:b/>
          <w:bCs/>
          <w:noProof/>
        </w:rPr>
        <w:t>of the MBT</w:t>
      </w:r>
    </w:p>
    <w:p w14:paraId="570C0D23" w14:textId="4C205619" w:rsidR="001A64AD" w:rsidRDefault="00033A6D" w:rsidP="00033A6D">
      <w:pPr>
        <w:spacing w:after="160" w:line="257" w:lineRule="auto"/>
        <w:rPr>
          <w:noProof/>
          <w:color w:val="000000" w:themeColor="text1"/>
        </w:rPr>
      </w:pPr>
      <w:r w:rsidRPr="38C1B50E">
        <w:rPr>
          <w:rFonts w:eastAsia="Times New Roman"/>
          <w:noProof/>
        </w:rPr>
        <w:t>The</w:t>
      </w:r>
      <w:r w:rsidRPr="77FADF1A">
        <w:rPr>
          <w:rFonts w:eastAsia="Times New Roman"/>
          <w:noProof/>
        </w:rPr>
        <w:t xml:space="preserve"> policy options aim to ensure that reporting obligations under DAC6 remain proportionate and effective in supporting the </w:t>
      </w:r>
      <w:r>
        <w:rPr>
          <w:rFonts w:eastAsia="Times New Roman"/>
          <w:noProof/>
        </w:rPr>
        <w:t xml:space="preserve">overarching </w:t>
      </w:r>
      <w:r w:rsidRPr="38C1B50E">
        <w:rPr>
          <w:rFonts w:eastAsia="Times New Roman"/>
          <w:noProof/>
        </w:rPr>
        <w:t>aims</w:t>
      </w:r>
      <w:r w:rsidRPr="77FADF1A">
        <w:rPr>
          <w:rFonts w:eastAsia="Times New Roman"/>
          <w:noProof/>
        </w:rPr>
        <w:t xml:space="preserve"> of tackling tax fraud, evasion</w:t>
      </w:r>
      <w:r>
        <w:rPr>
          <w:rFonts w:eastAsia="Times New Roman"/>
          <w:noProof/>
        </w:rPr>
        <w:t xml:space="preserve"> and avoidance. </w:t>
      </w:r>
      <w:r w:rsidRPr="77FADF1A">
        <w:rPr>
          <w:rFonts w:eastAsia="Times New Roman"/>
          <w:noProof/>
        </w:rPr>
        <w:t xml:space="preserve">At the same time, they are intended to improve legal certainty and achieve a more harmonised application of the MBT, which will in turn contribute to strengthening the competitiveness </w:t>
      </w:r>
      <w:r w:rsidRPr="77FADF1A">
        <w:rPr>
          <w:rFonts w:eastAsia="Times New Roman"/>
          <w:noProof/>
          <w:color w:val="000000" w:themeColor="text1"/>
        </w:rPr>
        <w:t xml:space="preserve">of EU businesses and enhancing the functioning of the </w:t>
      </w:r>
      <w:r w:rsidRPr="38C1B50E">
        <w:rPr>
          <w:noProof/>
          <w:color w:val="000000" w:themeColor="text1"/>
        </w:rPr>
        <w:t>Internal Market.</w:t>
      </w:r>
    </w:p>
    <w:tbl>
      <w:tblPr>
        <w:tblW w:w="867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08"/>
        <w:gridCol w:w="1887"/>
        <w:gridCol w:w="2158"/>
        <w:gridCol w:w="2220"/>
      </w:tblGrid>
      <w:tr w:rsidR="00033A6D" w14:paraId="7CE53B59" w14:textId="77777777">
        <w:trPr>
          <w:trHeight w:val="300"/>
        </w:trPr>
        <w:tc>
          <w:tcPr>
            <w:tcW w:w="8673" w:type="dxa"/>
            <w:gridSpan w:val="4"/>
            <w:tcBorders>
              <w:top w:val="single" w:sz="8" w:space="0" w:color="auto"/>
              <w:left w:val="single" w:sz="8" w:space="0" w:color="auto"/>
              <w:bottom w:val="single" w:sz="8" w:space="0" w:color="auto"/>
              <w:right w:val="single" w:sz="8" w:space="0" w:color="auto"/>
            </w:tcBorders>
            <w:shd w:val="clear" w:color="auto" w:fill="E8E8E8"/>
          </w:tcPr>
          <w:p w14:paraId="7FBFD1EC" w14:textId="586297F8" w:rsidR="00033A6D" w:rsidRDefault="001A64AD">
            <w:pPr>
              <w:spacing w:after="0" w:line="257" w:lineRule="auto"/>
              <w:jc w:val="center"/>
              <w:rPr>
                <w:rFonts w:eastAsia="Times New Roman"/>
                <w:b/>
                <w:bCs/>
                <w:noProof/>
                <w:color w:val="000000" w:themeColor="text1"/>
                <w:sz w:val="20"/>
                <w:szCs w:val="20"/>
              </w:rPr>
            </w:pPr>
            <w:r>
              <w:rPr>
                <w:noProof/>
                <w:color w:val="000000" w:themeColor="text1"/>
              </w:rPr>
              <w:br w:type="page"/>
            </w:r>
            <w:r w:rsidR="00033A6D" w:rsidRPr="7624CB47">
              <w:rPr>
                <w:rFonts w:eastAsia="Times New Roman"/>
                <w:b/>
                <w:bCs/>
                <w:noProof/>
                <w:color w:val="000000" w:themeColor="text1"/>
                <w:sz w:val="20"/>
                <w:szCs w:val="20"/>
              </w:rPr>
              <w:t>Measure 1</w:t>
            </w:r>
          </w:p>
        </w:tc>
      </w:tr>
      <w:tr w:rsidR="00033A6D" w14:paraId="785A9C5F" w14:textId="77777777">
        <w:trPr>
          <w:trHeight w:val="510"/>
        </w:trPr>
        <w:tc>
          <w:tcPr>
            <w:tcW w:w="2408" w:type="dxa"/>
            <w:tcBorders>
              <w:top w:val="single" w:sz="8" w:space="0" w:color="auto"/>
              <w:left w:val="single" w:sz="8" w:space="0" w:color="auto"/>
              <w:bottom w:val="single" w:sz="8" w:space="0" w:color="auto"/>
              <w:right w:val="single" w:sz="8" w:space="0" w:color="auto"/>
            </w:tcBorders>
            <w:shd w:val="clear" w:color="auto" w:fill="D1D1D1"/>
          </w:tcPr>
          <w:p w14:paraId="0122C5D7" w14:textId="77777777" w:rsidR="00033A6D" w:rsidRPr="0009489B" w:rsidRDefault="00033A6D">
            <w:pPr>
              <w:spacing w:after="0" w:line="257" w:lineRule="auto"/>
              <w:jc w:val="left"/>
              <w:rPr>
                <w:rFonts w:eastAsia="Times New Roman"/>
                <w:b/>
                <w:bCs/>
                <w:noProof/>
                <w:color w:val="000000" w:themeColor="text1"/>
                <w:sz w:val="20"/>
                <w:szCs w:val="20"/>
              </w:rPr>
            </w:pPr>
            <w:r w:rsidRPr="7624CB47">
              <w:rPr>
                <w:rFonts w:eastAsia="Times New Roman"/>
                <w:b/>
                <w:bCs/>
                <w:noProof/>
                <w:color w:val="000000" w:themeColor="text1"/>
                <w:sz w:val="20"/>
                <w:szCs w:val="20"/>
              </w:rPr>
              <w:t xml:space="preserve">Baseline (Status Quo) </w:t>
            </w:r>
          </w:p>
        </w:tc>
        <w:tc>
          <w:tcPr>
            <w:tcW w:w="1887" w:type="dxa"/>
            <w:tcBorders>
              <w:top w:val="nil"/>
              <w:left w:val="single" w:sz="8" w:space="0" w:color="auto"/>
              <w:bottom w:val="single" w:sz="8" w:space="0" w:color="auto"/>
              <w:right w:val="single" w:sz="8" w:space="0" w:color="auto"/>
            </w:tcBorders>
            <w:shd w:val="clear" w:color="auto" w:fill="D1D1D1"/>
          </w:tcPr>
          <w:p w14:paraId="2E0C6A00" w14:textId="77777777" w:rsidR="00033A6D" w:rsidRPr="001D1B50" w:rsidRDefault="00033A6D">
            <w:pPr>
              <w:spacing w:after="0" w:line="257" w:lineRule="auto"/>
              <w:jc w:val="left"/>
              <w:rPr>
                <w:rFonts w:eastAsia="Times New Roman"/>
                <w:b/>
                <w:bCs/>
                <w:noProof/>
                <w:color w:val="000000" w:themeColor="text1"/>
                <w:sz w:val="20"/>
                <w:szCs w:val="20"/>
              </w:rPr>
            </w:pPr>
            <w:r w:rsidRPr="7624CB47">
              <w:rPr>
                <w:rFonts w:eastAsia="Times New Roman"/>
                <w:b/>
                <w:bCs/>
                <w:noProof/>
                <w:color w:val="000000" w:themeColor="text1"/>
                <w:sz w:val="20"/>
                <w:szCs w:val="20"/>
              </w:rPr>
              <w:t xml:space="preserve">Policy Option 1a </w:t>
            </w:r>
          </w:p>
        </w:tc>
        <w:tc>
          <w:tcPr>
            <w:tcW w:w="2158" w:type="dxa"/>
            <w:tcBorders>
              <w:top w:val="nil"/>
              <w:left w:val="single" w:sz="8" w:space="0" w:color="auto"/>
              <w:bottom w:val="single" w:sz="8" w:space="0" w:color="auto"/>
              <w:right w:val="single" w:sz="8" w:space="0" w:color="auto"/>
            </w:tcBorders>
            <w:shd w:val="clear" w:color="auto" w:fill="D1D1D1"/>
          </w:tcPr>
          <w:p w14:paraId="2D4B51E0" w14:textId="77777777" w:rsidR="00033A6D" w:rsidRPr="001D1B50" w:rsidRDefault="00033A6D">
            <w:pPr>
              <w:spacing w:after="0" w:line="257" w:lineRule="auto"/>
              <w:jc w:val="left"/>
              <w:rPr>
                <w:rFonts w:eastAsia="Times New Roman"/>
                <w:b/>
                <w:bCs/>
                <w:noProof/>
                <w:color w:val="000000" w:themeColor="text1"/>
                <w:sz w:val="20"/>
                <w:szCs w:val="20"/>
              </w:rPr>
            </w:pPr>
            <w:r w:rsidRPr="7624CB47">
              <w:rPr>
                <w:rFonts w:eastAsia="Times New Roman"/>
                <w:b/>
                <w:bCs/>
                <w:noProof/>
                <w:color w:val="000000" w:themeColor="text1"/>
                <w:sz w:val="20"/>
                <w:szCs w:val="20"/>
              </w:rPr>
              <w:t xml:space="preserve">Policy Option 1b </w:t>
            </w:r>
          </w:p>
        </w:tc>
        <w:tc>
          <w:tcPr>
            <w:tcW w:w="2220" w:type="dxa"/>
            <w:tcBorders>
              <w:top w:val="nil"/>
              <w:left w:val="single" w:sz="8" w:space="0" w:color="auto"/>
              <w:bottom w:val="single" w:sz="8" w:space="0" w:color="auto"/>
              <w:right w:val="single" w:sz="8" w:space="0" w:color="auto"/>
            </w:tcBorders>
            <w:shd w:val="clear" w:color="auto" w:fill="D1D1D1"/>
          </w:tcPr>
          <w:p w14:paraId="3D90D57B" w14:textId="77777777" w:rsidR="00033A6D" w:rsidRDefault="00033A6D">
            <w:pPr>
              <w:spacing w:after="0" w:line="257" w:lineRule="auto"/>
              <w:jc w:val="left"/>
              <w:rPr>
                <w:rFonts w:eastAsia="Times New Roman"/>
                <w:b/>
                <w:bCs/>
                <w:noProof/>
                <w:color w:val="000000" w:themeColor="text1"/>
                <w:sz w:val="20"/>
                <w:szCs w:val="20"/>
              </w:rPr>
            </w:pPr>
            <w:r w:rsidRPr="7624CB47">
              <w:rPr>
                <w:rFonts w:eastAsia="Times New Roman"/>
                <w:b/>
                <w:bCs/>
                <w:noProof/>
                <w:color w:val="000000" w:themeColor="text1"/>
                <w:sz w:val="20"/>
                <w:szCs w:val="20"/>
              </w:rPr>
              <w:t>Policy Option 1c</w:t>
            </w:r>
          </w:p>
        </w:tc>
      </w:tr>
      <w:tr w:rsidR="00033A6D" w14:paraId="742A0638" w14:textId="77777777">
        <w:trPr>
          <w:trHeight w:val="330"/>
        </w:trPr>
        <w:tc>
          <w:tcPr>
            <w:tcW w:w="2408" w:type="dxa"/>
            <w:tcBorders>
              <w:top w:val="single" w:sz="8" w:space="0" w:color="auto"/>
              <w:left w:val="single" w:sz="8" w:space="0" w:color="auto"/>
              <w:bottom w:val="single" w:sz="8" w:space="0" w:color="auto"/>
              <w:right w:val="single" w:sz="8" w:space="0" w:color="auto"/>
            </w:tcBorders>
            <w:shd w:val="clear" w:color="auto" w:fill="FFFFFF" w:themeFill="background1"/>
          </w:tcPr>
          <w:p w14:paraId="472DD203" w14:textId="423E5072" w:rsidR="00033A6D" w:rsidRPr="001D1B50" w:rsidRDefault="00033A6D">
            <w:pPr>
              <w:spacing w:after="0" w:line="257" w:lineRule="auto"/>
              <w:jc w:val="left"/>
              <w:rPr>
                <w:rFonts w:eastAsia="Times New Roman"/>
                <w:noProof/>
                <w:color w:val="000000" w:themeColor="text1"/>
                <w:sz w:val="20"/>
                <w:szCs w:val="20"/>
              </w:rPr>
            </w:pPr>
            <w:r w:rsidRPr="7624CB47">
              <w:rPr>
                <w:rFonts w:eastAsia="Times New Roman"/>
                <w:noProof/>
                <w:sz w:val="20"/>
                <w:szCs w:val="20"/>
              </w:rPr>
              <w:t xml:space="preserve">Intermediaries and, in certain instances, relevant taxpayers are required to report information on cross-border arrangements based on </w:t>
            </w:r>
            <w:r w:rsidR="00D7088D">
              <w:rPr>
                <w:rFonts w:eastAsia="Times New Roman"/>
                <w:noProof/>
                <w:sz w:val="20"/>
                <w:szCs w:val="20"/>
              </w:rPr>
              <w:t>hallmarks</w:t>
            </w:r>
            <w:r w:rsidRPr="7624CB47">
              <w:rPr>
                <w:rFonts w:eastAsia="Times New Roman"/>
                <w:noProof/>
                <w:sz w:val="20"/>
                <w:szCs w:val="20"/>
              </w:rPr>
              <w:t xml:space="preserve"> with reportability for certain hallmarks conditional on the MBT being met. </w:t>
            </w:r>
          </w:p>
        </w:tc>
        <w:tc>
          <w:tcPr>
            <w:tcW w:w="1887" w:type="dxa"/>
            <w:tcBorders>
              <w:top w:val="single" w:sz="8" w:space="0" w:color="auto"/>
              <w:left w:val="single" w:sz="8" w:space="0" w:color="auto"/>
              <w:bottom w:val="single" w:sz="8" w:space="0" w:color="auto"/>
              <w:right w:val="single" w:sz="8" w:space="0" w:color="auto"/>
            </w:tcBorders>
            <w:shd w:val="clear" w:color="auto" w:fill="FFFFFF" w:themeFill="background1"/>
          </w:tcPr>
          <w:p w14:paraId="43DE8D57" w14:textId="77777777" w:rsidR="00033A6D" w:rsidRDefault="00033A6D">
            <w:pPr>
              <w:spacing w:after="0" w:line="257" w:lineRule="auto"/>
              <w:jc w:val="left"/>
              <w:rPr>
                <w:rFonts w:eastAsia="Times New Roman"/>
                <w:noProof/>
                <w:color w:val="000000" w:themeColor="text1"/>
                <w:sz w:val="20"/>
                <w:szCs w:val="20"/>
              </w:rPr>
            </w:pPr>
            <w:r w:rsidRPr="7624CB47">
              <w:rPr>
                <w:rFonts w:eastAsia="Times New Roman"/>
                <w:noProof/>
                <w:color w:val="000000" w:themeColor="text1"/>
                <w:sz w:val="20"/>
                <w:szCs w:val="20"/>
              </w:rPr>
              <w:t>Excluding all companies within the scope of Pillar 2 from the reporting under DAC6.</w:t>
            </w:r>
          </w:p>
          <w:p w14:paraId="4BE10AB0" w14:textId="77777777" w:rsidR="00033A6D" w:rsidRPr="001D1B50" w:rsidRDefault="00033A6D">
            <w:pPr>
              <w:spacing w:after="0" w:line="257" w:lineRule="auto"/>
              <w:jc w:val="left"/>
              <w:rPr>
                <w:rFonts w:eastAsia="Times New Roman"/>
                <w:noProof/>
                <w:sz w:val="20"/>
                <w:szCs w:val="20"/>
              </w:rPr>
            </w:pPr>
          </w:p>
        </w:tc>
        <w:tc>
          <w:tcPr>
            <w:tcW w:w="2158" w:type="dxa"/>
            <w:tcBorders>
              <w:top w:val="single" w:sz="8" w:space="0" w:color="auto"/>
              <w:left w:val="single" w:sz="8" w:space="0" w:color="auto"/>
              <w:bottom w:val="single" w:sz="8" w:space="0" w:color="auto"/>
              <w:right w:val="single" w:sz="8" w:space="0" w:color="auto"/>
            </w:tcBorders>
            <w:shd w:val="clear" w:color="auto" w:fill="FFFFFF" w:themeFill="background1"/>
          </w:tcPr>
          <w:p w14:paraId="1363D1BD" w14:textId="77777777" w:rsidR="00033A6D" w:rsidRDefault="00033A6D">
            <w:pPr>
              <w:spacing w:after="0" w:line="257" w:lineRule="auto"/>
              <w:jc w:val="left"/>
              <w:rPr>
                <w:rFonts w:eastAsia="Times New Roman"/>
                <w:i/>
                <w:iCs/>
                <w:noProof/>
                <w:color w:val="000000" w:themeColor="text1"/>
                <w:sz w:val="20"/>
                <w:szCs w:val="20"/>
              </w:rPr>
            </w:pPr>
            <w:r w:rsidRPr="7624CB47">
              <w:rPr>
                <w:rFonts w:eastAsia="Times New Roman"/>
                <w:b/>
                <w:bCs/>
                <w:noProof/>
                <w:color w:val="000000" w:themeColor="text1"/>
                <w:sz w:val="20"/>
                <w:szCs w:val="20"/>
              </w:rPr>
              <w:t xml:space="preserve">Policy Option 1a + </w:t>
            </w:r>
          </w:p>
          <w:p w14:paraId="7772044B" w14:textId="77777777" w:rsidR="00033A6D" w:rsidRDefault="00033A6D">
            <w:pPr>
              <w:spacing w:after="0" w:line="257" w:lineRule="auto"/>
              <w:jc w:val="left"/>
              <w:rPr>
                <w:rFonts w:eastAsia="Times New Roman"/>
                <w:noProof/>
                <w:sz w:val="20"/>
                <w:szCs w:val="20"/>
              </w:rPr>
            </w:pPr>
            <w:r w:rsidRPr="7624CB47">
              <w:rPr>
                <w:rFonts w:eastAsia="Times New Roman"/>
                <w:noProof/>
                <w:color w:val="000000" w:themeColor="text1"/>
                <w:sz w:val="20"/>
                <w:szCs w:val="20"/>
              </w:rPr>
              <w:t xml:space="preserve">Removing </w:t>
            </w:r>
            <w:r>
              <w:rPr>
                <w:rFonts w:eastAsia="Times New Roman"/>
                <w:noProof/>
                <w:color w:val="000000" w:themeColor="text1"/>
                <w:sz w:val="20"/>
                <w:szCs w:val="20"/>
              </w:rPr>
              <w:t xml:space="preserve">all </w:t>
            </w:r>
            <w:r w:rsidRPr="7624CB47">
              <w:rPr>
                <w:rFonts w:eastAsia="Times New Roman"/>
                <w:noProof/>
                <w:color w:val="000000" w:themeColor="text1"/>
                <w:sz w:val="20"/>
                <w:szCs w:val="20"/>
              </w:rPr>
              <w:t xml:space="preserve">reporting requirements related to </w:t>
            </w:r>
            <w:r>
              <w:rPr>
                <w:rFonts w:eastAsia="Times New Roman"/>
                <w:noProof/>
                <w:color w:val="000000" w:themeColor="text1"/>
                <w:sz w:val="20"/>
                <w:szCs w:val="20"/>
              </w:rPr>
              <w:t xml:space="preserve">hallmark </w:t>
            </w:r>
            <w:r w:rsidRPr="7624CB47">
              <w:rPr>
                <w:rFonts w:eastAsia="Times New Roman"/>
                <w:noProof/>
                <w:color w:val="000000" w:themeColor="text1"/>
                <w:sz w:val="20"/>
                <w:szCs w:val="20"/>
              </w:rPr>
              <w:t>A</w:t>
            </w:r>
          </w:p>
          <w:p w14:paraId="6C1B99C5" w14:textId="0ED640D5" w:rsidR="00033A6D" w:rsidRPr="00033A6D" w:rsidRDefault="00033A6D">
            <w:pPr>
              <w:spacing w:after="0" w:line="257" w:lineRule="auto"/>
              <w:jc w:val="left"/>
              <w:rPr>
                <w:rFonts w:eastAsia="Times New Roman"/>
                <w:b/>
                <w:bCs/>
                <w:noProof/>
                <w:color w:val="000000" w:themeColor="text1"/>
                <w:sz w:val="20"/>
                <w:szCs w:val="20"/>
              </w:rPr>
            </w:pPr>
            <w:r w:rsidRPr="00033A6D">
              <w:rPr>
                <w:rFonts w:eastAsia="Times New Roman"/>
                <w:b/>
                <w:bCs/>
                <w:noProof/>
                <w:color w:val="000000" w:themeColor="text1"/>
                <w:sz w:val="20"/>
                <w:szCs w:val="20"/>
              </w:rPr>
              <w:t>+</w:t>
            </w:r>
          </w:p>
          <w:p w14:paraId="79E70363" w14:textId="77777777" w:rsidR="00033A6D" w:rsidRDefault="00033A6D">
            <w:pPr>
              <w:spacing w:after="0" w:line="257" w:lineRule="auto"/>
              <w:jc w:val="left"/>
              <w:rPr>
                <w:rFonts w:eastAsia="Times New Roman"/>
                <w:noProof/>
                <w:sz w:val="20"/>
                <w:szCs w:val="20"/>
              </w:rPr>
            </w:pPr>
            <w:r w:rsidRPr="7624CB47">
              <w:rPr>
                <w:rFonts w:eastAsia="Times New Roman"/>
                <w:noProof/>
                <w:sz w:val="20"/>
                <w:szCs w:val="20"/>
              </w:rPr>
              <w:t>Issuing guidance on application of the MBT to remaining hallmarks subject to the test.</w:t>
            </w:r>
          </w:p>
        </w:tc>
        <w:tc>
          <w:tcPr>
            <w:tcW w:w="2220" w:type="dxa"/>
            <w:tcBorders>
              <w:top w:val="single" w:sz="8" w:space="0" w:color="auto"/>
              <w:left w:val="single" w:sz="8" w:space="0" w:color="auto"/>
              <w:bottom w:val="single" w:sz="8" w:space="0" w:color="auto"/>
              <w:right w:val="single" w:sz="8" w:space="0" w:color="auto"/>
            </w:tcBorders>
            <w:shd w:val="clear" w:color="auto" w:fill="FFFFFF" w:themeFill="background1"/>
          </w:tcPr>
          <w:p w14:paraId="2E79F1AA" w14:textId="77777777" w:rsidR="00033A6D" w:rsidRDefault="00033A6D">
            <w:pPr>
              <w:spacing w:after="0" w:line="257" w:lineRule="auto"/>
              <w:jc w:val="left"/>
              <w:rPr>
                <w:rFonts w:eastAsia="Times New Roman"/>
                <w:i/>
                <w:iCs/>
                <w:noProof/>
                <w:color w:val="000000" w:themeColor="text1"/>
                <w:sz w:val="20"/>
                <w:szCs w:val="20"/>
              </w:rPr>
            </w:pPr>
            <w:r w:rsidRPr="7624CB47">
              <w:rPr>
                <w:rFonts w:eastAsia="Times New Roman"/>
                <w:b/>
                <w:bCs/>
                <w:noProof/>
                <w:color w:val="000000" w:themeColor="text1"/>
                <w:sz w:val="20"/>
                <w:szCs w:val="20"/>
              </w:rPr>
              <w:t>Policy Option 1a +</w:t>
            </w:r>
          </w:p>
          <w:p w14:paraId="1738D49C" w14:textId="77777777" w:rsidR="00033A6D" w:rsidRDefault="00033A6D">
            <w:pPr>
              <w:spacing w:after="0" w:line="257" w:lineRule="auto"/>
              <w:jc w:val="left"/>
              <w:rPr>
                <w:rFonts w:eastAsia="Times New Roman"/>
                <w:noProof/>
                <w:color w:val="000000" w:themeColor="text1"/>
                <w:sz w:val="20"/>
                <w:szCs w:val="20"/>
              </w:rPr>
            </w:pPr>
            <w:r w:rsidRPr="7624CB47">
              <w:rPr>
                <w:rFonts w:eastAsia="Times New Roman"/>
                <w:noProof/>
                <w:color w:val="000000" w:themeColor="text1"/>
                <w:sz w:val="20"/>
                <w:szCs w:val="20"/>
              </w:rPr>
              <w:t xml:space="preserve">Removing </w:t>
            </w:r>
            <w:r>
              <w:rPr>
                <w:rFonts w:eastAsia="Times New Roman"/>
                <w:noProof/>
                <w:color w:val="000000" w:themeColor="text1"/>
                <w:sz w:val="20"/>
                <w:szCs w:val="20"/>
              </w:rPr>
              <w:t xml:space="preserve">all </w:t>
            </w:r>
            <w:r w:rsidRPr="7624CB47">
              <w:rPr>
                <w:rFonts w:eastAsia="Times New Roman"/>
                <w:noProof/>
                <w:color w:val="000000" w:themeColor="text1"/>
                <w:sz w:val="20"/>
                <w:szCs w:val="20"/>
              </w:rPr>
              <w:t>reporting requirements related to</w:t>
            </w:r>
            <w:r>
              <w:rPr>
                <w:rFonts w:eastAsia="Times New Roman"/>
                <w:noProof/>
                <w:color w:val="000000" w:themeColor="text1"/>
                <w:sz w:val="20"/>
                <w:szCs w:val="20"/>
              </w:rPr>
              <w:t xml:space="preserve"> hallmark A</w:t>
            </w:r>
          </w:p>
          <w:p w14:paraId="7A4133F1" w14:textId="1CCC8B19" w:rsidR="00033A6D" w:rsidRPr="00033A6D" w:rsidRDefault="00033A6D">
            <w:pPr>
              <w:spacing w:after="0" w:line="257" w:lineRule="auto"/>
              <w:jc w:val="left"/>
              <w:rPr>
                <w:rFonts w:eastAsia="Times New Roman"/>
                <w:b/>
                <w:bCs/>
                <w:noProof/>
                <w:sz w:val="20"/>
                <w:szCs w:val="20"/>
              </w:rPr>
            </w:pPr>
            <w:r w:rsidRPr="00033A6D">
              <w:rPr>
                <w:rFonts w:eastAsia="Times New Roman"/>
                <w:b/>
                <w:bCs/>
                <w:noProof/>
                <w:sz w:val="20"/>
                <w:szCs w:val="20"/>
              </w:rPr>
              <w:t>+</w:t>
            </w:r>
          </w:p>
          <w:p w14:paraId="3272AB7F" w14:textId="60469BD4" w:rsidR="00033A6D" w:rsidRPr="002F3898" w:rsidRDefault="00033A6D">
            <w:pPr>
              <w:spacing w:after="0" w:line="257" w:lineRule="auto"/>
              <w:jc w:val="left"/>
              <w:rPr>
                <w:rFonts w:eastAsia="Times New Roman"/>
                <w:noProof/>
                <w:sz w:val="20"/>
                <w:szCs w:val="20"/>
              </w:rPr>
            </w:pPr>
            <w:r w:rsidRPr="7624CB47">
              <w:rPr>
                <w:rFonts w:eastAsia="Times New Roman"/>
                <w:noProof/>
                <w:color w:val="000000" w:themeColor="text1"/>
                <w:sz w:val="20"/>
                <w:szCs w:val="20"/>
              </w:rPr>
              <w:t xml:space="preserve">Removing the MBT </w:t>
            </w:r>
            <w:r w:rsidRPr="00033A6D">
              <w:rPr>
                <w:rFonts w:eastAsia="Times New Roman"/>
                <w:b/>
                <w:bCs/>
                <w:noProof/>
                <w:color w:val="000000" w:themeColor="text1"/>
                <w:sz w:val="20"/>
                <w:szCs w:val="20"/>
              </w:rPr>
              <w:t xml:space="preserve">+ </w:t>
            </w:r>
            <w:r w:rsidRPr="7624CB47">
              <w:rPr>
                <w:rFonts w:eastAsia="Times New Roman"/>
                <w:noProof/>
                <w:color w:val="000000" w:themeColor="text1"/>
                <w:sz w:val="20"/>
                <w:szCs w:val="20"/>
              </w:rPr>
              <w:t xml:space="preserve">revising the remaining hallmarks previously subject to the test </w:t>
            </w:r>
          </w:p>
        </w:tc>
      </w:tr>
    </w:tbl>
    <w:p w14:paraId="4AB6698E" w14:textId="77777777" w:rsidR="00033A6D" w:rsidRPr="005B493C" w:rsidRDefault="00033A6D" w:rsidP="00033A6D">
      <w:pPr>
        <w:pStyle w:val="Heading3"/>
        <w:numPr>
          <w:ilvl w:val="0"/>
          <w:numId w:val="0"/>
        </w:numPr>
        <w:spacing w:before="240" w:after="160" w:line="257" w:lineRule="auto"/>
        <w:rPr>
          <w:i w:val="0"/>
          <w:iCs/>
          <w:noProof/>
        </w:rPr>
      </w:pPr>
      <w:r w:rsidRPr="00E83353">
        <w:rPr>
          <w:b/>
          <w:bCs/>
          <w:i w:val="0"/>
          <w:iCs/>
          <w:noProof/>
        </w:rPr>
        <w:t>Policy Option 1a</w:t>
      </w:r>
      <w:r w:rsidRPr="00E83353">
        <w:rPr>
          <w:i w:val="0"/>
          <w:iCs/>
          <w:noProof/>
        </w:rPr>
        <w:t xml:space="preserve"> would exclude </w:t>
      </w:r>
      <w:r>
        <w:rPr>
          <w:i w:val="0"/>
          <w:iCs/>
          <w:noProof/>
        </w:rPr>
        <w:t xml:space="preserve">all </w:t>
      </w:r>
      <w:r w:rsidRPr="00E83353">
        <w:rPr>
          <w:i w:val="0"/>
          <w:iCs/>
          <w:noProof/>
        </w:rPr>
        <w:t xml:space="preserve">companies within the scope of the Pillar 2 Directive from reporting under DAC6. </w:t>
      </w:r>
      <w:r w:rsidRPr="00E83353">
        <w:rPr>
          <w:b/>
          <w:bCs/>
          <w:i w:val="0"/>
          <w:iCs/>
          <w:noProof/>
        </w:rPr>
        <w:t>Policy Option 1b</w:t>
      </w:r>
      <w:r w:rsidRPr="00E83353">
        <w:rPr>
          <w:i w:val="0"/>
          <w:iCs/>
          <w:noProof/>
        </w:rPr>
        <w:t xml:space="preserve"> would build on </w:t>
      </w:r>
      <w:r w:rsidRPr="007C0A33">
        <w:rPr>
          <w:b/>
          <w:bCs/>
          <w:i w:val="0"/>
          <w:iCs/>
          <w:noProof/>
        </w:rPr>
        <w:t>Option 1a</w:t>
      </w:r>
      <w:r w:rsidRPr="00E83353">
        <w:rPr>
          <w:i w:val="0"/>
          <w:iCs/>
          <w:noProof/>
        </w:rPr>
        <w:t xml:space="preserve"> and</w:t>
      </w:r>
      <w:r>
        <w:rPr>
          <w:i w:val="0"/>
          <w:iCs/>
          <w:noProof/>
        </w:rPr>
        <w:t xml:space="preserve"> would also </w:t>
      </w:r>
      <w:r w:rsidRPr="00E83353">
        <w:rPr>
          <w:i w:val="0"/>
          <w:iCs/>
          <w:noProof/>
        </w:rPr>
        <w:t xml:space="preserve">remove </w:t>
      </w:r>
      <w:r>
        <w:rPr>
          <w:i w:val="0"/>
          <w:iCs/>
          <w:noProof/>
        </w:rPr>
        <w:t xml:space="preserve">all </w:t>
      </w:r>
      <w:r w:rsidRPr="00E83353">
        <w:rPr>
          <w:i w:val="0"/>
          <w:iCs/>
          <w:noProof/>
        </w:rPr>
        <w:t xml:space="preserve">reporting obligations related to </w:t>
      </w:r>
      <w:r>
        <w:rPr>
          <w:i w:val="0"/>
          <w:iCs/>
          <w:noProof/>
        </w:rPr>
        <w:t xml:space="preserve">hallmark A </w:t>
      </w:r>
      <w:r w:rsidRPr="00E83353">
        <w:rPr>
          <w:i w:val="0"/>
          <w:iCs/>
          <w:noProof/>
        </w:rPr>
        <w:t>for all other companies and intermediaries within the scope of DAC6</w:t>
      </w:r>
      <w:r>
        <w:rPr>
          <w:i w:val="0"/>
          <w:iCs/>
          <w:noProof/>
        </w:rPr>
        <w:t xml:space="preserve">. </w:t>
      </w:r>
      <w:r w:rsidRPr="00E83353">
        <w:rPr>
          <w:i w:val="0"/>
          <w:iCs/>
          <w:noProof/>
        </w:rPr>
        <w:t>In addition, the Commission services would issue guidance to support a more harmonised interpretation and application of the MBT with respect to the remaining hallmarks subject to the test (</w:t>
      </w:r>
      <w:r>
        <w:rPr>
          <w:i w:val="0"/>
          <w:iCs/>
          <w:noProof/>
        </w:rPr>
        <w:t>hallmark</w:t>
      </w:r>
      <w:r w:rsidRPr="00E83353">
        <w:rPr>
          <w:i w:val="0"/>
          <w:iCs/>
          <w:noProof/>
        </w:rPr>
        <w:t xml:space="preserve"> B and C(1)(b)(i), C(1)(c) and C(1)(d)). </w:t>
      </w:r>
      <w:r w:rsidRPr="00E83353">
        <w:rPr>
          <w:b/>
          <w:bCs/>
          <w:i w:val="0"/>
          <w:iCs/>
          <w:noProof/>
        </w:rPr>
        <w:t>Policy Option 1c</w:t>
      </w:r>
      <w:r w:rsidRPr="00E83353">
        <w:rPr>
          <w:i w:val="0"/>
          <w:iCs/>
          <w:noProof/>
        </w:rPr>
        <w:t xml:space="preserve"> would build on </w:t>
      </w:r>
      <w:r w:rsidRPr="005B493C">
        <w:rPr>
          <w:b/>
          <w:bCs/>
          <w:i w:val="0"/>
          <w:iCs/>
          <w:noProof/>
        </w:rPr>
        <w:t xml:space="preserve">Option 1a </w:t>
      </w:r>
      <w:r w:rsidRPr="00E83353">
        <w:rPr>
          <w:i w:val="0"/>
          <w:iCs/>
          <w:noProof/>
        </w:rPr>
        <w:t xml:space="preserve">and on </w:t>
      </w:r>
      <w:r w:rsidRPr="005B493C">
        <w:rPr>
          <w:b/>
          <w:bCs/>
          <w:i w:val="0"/>
          <w:iCs/>
          <w:noProof/>
        </w:rPr>
        <w:t>Option 1b</w:t>
      </w:r>
      <w:r w:rsidRPr="00E83353">
        <w:rPr>
          <w:i w:val="0"/>
          <w:iCs/>
          <w:noProof/>
        </w:rPr>
        <w:t xml:space="preserve"> and in addition would remove the MBT from the remaining hallmarks currently subject to the test (</w:t>
      </w:r>
      <w:r>
        <w:rPr>
          <w:i w:val="0"/>
          <w:iCs/>
          <w:noProof/>
        </w:rPr>
        <w:t xml:space="preserve">hallmark </w:t>
      </w:r>
      <w:r w:rsidRPr="00E83353">
        <w:rPr>
          <w:i w:val="0"/>
          <w:iCs/>
          <w:noProof/>
        </w:rPr>
        <w:t>B and C(1)(b)(i), C(1)(c) and C(1)(d)). These hallmarks would be revised to make them fit for purpose without the MBT.</w:t>
      </w:r>
    </w:p>
    <w:p w14:paraId="428803CD" w14:textId="6147C19E" w:rsidR="11CBF6B7" w:rsidRPr="00E83353" w:rsidRDefault="0EECCF35" w:rsidP="00E83353">
      <w:pPr>
        <w:pStyle w:val="Heading3"/>
        <w:numPr>
          <w:ilvl w:val="0"/>
          <w:numId w:val="0"/>
        </w:numPr>
        <w:spacing w:before="240" w:after="160" w:line="257" w:lineRule="auto"/>
        <w:rPr>
          <w:noProof/>
        </w:rPr>
      </w:pPr>
      <w:r w:rsidRPr="00E83353">
        <w:rPr>
          <w:b/>
          <w:bCs/>
          <w:noProof/>
        </w:rPr>
        <w:t xml:space="preserve">Measure </w:t>
      </w:r>
      <w:r w:rsidR="49E444D7" w:rsidRPr="00E83353">
        <w:rPr>
          <w:b/>
          <w:bCs/>
          <w:noProof/>
        </w:rPr>
        <w:t>2</w:t>
      </w:r>
      <w:r w:rsidR="36A3E2FB" w:rsidRPr="00E83353">
        <w:rPr>
          <w:b/>
          <w:bCs/>
          <w:noProof/>
        </w:rPr>
        <w:t xml:space="preserve"> -</w:t>
      </w:r>
      <w:r w:rsidR="64CC59EE" w:rsidRPr="00E83353">
        <w:rPr>
          <w:b/>
          <w:bCs/>
          <w:noProof/>
        </w:rPr>
        <w:t xml:space="preserve"> </w:t>
      </w:r>
      <w:r w:rsidR="484358BD" w:rsidRPr="00E83353">
        <w:rPr>
          <w:b/>
          <w:bCs/>
          <w:noProof/>
        </w:rPr>
        <w:t>Amending the reporting threshold for activities involving the sale of goods under DAC7</w:t>
      </w:r>
      <w:r w:rsidR="484358BD" w:rsidRPr="00E83353">
        <w:rPr>
          <w:noProof/>
        </w:rPr>
        <w:t xml:space="preserve"> </w:t>
      </w:r>
    </w:p>
    <w:p w14:paraId="21E3C75B" w14:textId="2FBF74DF" w:rsidR="004A61BA" w:rsidRDefault="004A61BA" w:rsidP="004A61BA">
      <w:pPr>
        <w:spacing w:before="240" w:after="160" w:line="257" w:lineRule="auto"/>
        <w:rPr>
          <w:noProof/>
        </w:rPr>
      </w:pPr>
      <w:r>
        <w:rPr>
          <w:noProof/>
        </w:rPr>
        <w:t xml:space="preserve">The proposed policy options aim to ensure that the information reported and exchanged in relation to activities involving the sale of goods remains proportionate and relevant for tax authorities </w:t>
      </w:r>
      <w:r w:rsidRPr="7624CB47">
        <w:rPr>
          <w:rFonts w:eastAsia="Times New Roman"/>
          <w:noProof/>
        </w:rPr>
        <w:t xml:space="preserve">in supporting the policy objectives of tackling tax fraud, </w:t>
      </w:r>
      <w:r>
        <w:rPr>
          <w:rFonts w:eastAsia="Times New Roman"/>
          <w:noProof/>
        </w:rPr>
        <w:t>evasion and avoidance.</w:t>
      </w:r>
      <w:r w:rsidRPr="7624CB47">
        <w:rPr>
          <w:rFonts w:eastAsia="Times New Roman"/>
          <w:noProof/>
        </w:rPr>
        <w:t xml:space="preserve"> This will in turn contribute to strengthening the competitiveness </w:t>
      </w:r>
      <w:r w:rsidRPr="7624CB47">
        <w:rPr>
          <w:rFonts w:eastAsia="Times New Roman"/>
          <w:noProof/>
          <w:color w:val="000000" w:themeColor="text1"/>
        </w:rPr>
        <w:t xml:space="preserve">of EU businesses and enhancing the functioning of the </w:t>
      </w:r>
      <w:r w:rsidRPr="7624CB47">
        <w:rPr>
          <w:noProof/>
          <w:color w:val="000000" w:themeColor="text1"/>
        </w:rPr>
        <w:t>Internal Market</w:t>
      </w:r>
      <w:r w:rsidRPr="7624CB47">
        <w:rPr>
          <w:rFonts w:eastAsia="Times New Roman"/>
          <w:noProof/>
          <w:color w:val="000000" w:themeColor="text1"/>
        </w:rPr>
        <w:t>. The</w:t>
      </w:r>
      <w:r>
        <w:rPr>
          <w:noProof/>
        </w:rPr>
        <w:t xml:space="preserve"> options also seek to ensure coherence with the OECD Model Rules for Reporting by Digital Platform Operators (OECD MRDP) and with broader Union policy objectives that promote longer product lifetimes under the Commission’s Circular Economy Action Plan</w:t>
      </w:r>
      <w:r>
        <w:rPr>
          <w:rStyle w:val="FootnoteReference"/>
          <w:noProof/>
        </w:rPr>
        <w:footnoteReference w:id="54"/>
      </w:r>
      <w:r>
        <w:rPr>
          <w:noProof/>
        </w:rPr>
        <w:t xml:space="preserve">. </w:t>
      </w:r>
    </w:p>
    <w:tbl>
      <w:tblPr>
        <w:tblStyle w:val="TableGrid"/>
        <w:tblW w:w="8834" w:type="dxa"/>
        <w:tblLook w:val="04A0" w:firstRow="1" w:lastRow="0" w:firstColumn="1" w:lastColumn="0" w:noHBand="0" w:noVBand="1"/>
      </w:tblPr>
      <w:tblGrid>
        <w:gridCol w:w="2216"/>
        <w:gridCol w:w="2206"/>
        <w:gridCol w:w="2206"/>
        <w:gridCol w:w="2206"/>
      </w:tblGrid>
      <w:tr w:rsidR="004A61BA" w14:paraId="7D2E59C4" w14:textId="77777777">
        <w:trPr>
          <w:trHeight w:val="300"/>
        </w:trPr>
        <w:tc>
          <w:tcPr>
            <w:tcW w:w="8834" w:type="dxa"/>
            <w:gridSpan w:val="4"/>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14:paraId="304FB70E" w14:textId="77777777" w:rsidR="004A61BA" w:rsidRDefault="004A61BA">
            <w:pPr>
              <w:spacing w:after="0"/>
              <w:jc w:val="center"/>
              <w:rPr>
                <w:b/>
                <w:bCs/>
                <w:noProof/>
                <w:sz w:val="20"/>
                <w:szCs w:val="20"/>
              </w:rPr>
            </w:pPr>
            <w:r w:rsidRPr="7624CB47">
              <w:rPr>
                <w:b/>
                <w:bCs/>
                <w:noProof/>
                <w:sz w:val="20"/>
                <w:szCs w:val="20"/>
              </w:rPr>
              <w:t xml:space="preserve">Measure 2 </w:t>
            </w:r>
          </w:p>
        </w:tc>
      </w:tr>
      <w:tr w:rsidR="004A61BA" w14:paraId="1C4631AE" w14:textId="77777777">
        <w:trPr>
          <w:trHeight w:val="300"/>
        </w:trPr>
        <w:tc>
          <w:tcPr>
            <w:tcW w:w="2216" w:type="dxa"/>
            <w:tcBorders>
              <w:top w:val="single" w:sz="8" w:space="0" w:color="auto"/>
              <w:left w:val="single" w:sz="8" w:space="0" w:color="auto"/>
              <w:bottom w:val="single" w:sz="8" w:space="0" w:color="auto"/>
              <w:right w:val="single" w:sz="8" w:space="0" w:color="auto"/>
            </w:tcBorders>
            <w:shd w:val="clear" w:color="auto" w:fill="D1D1D1"/>
            <w:tcMar>
              <w:left w:w="108" w:type="dxa"/>
              <w:right w:w="108" w:type="dxa"/>
            </w:tcMar>
          </w:tcPr>
          <w:p w14:paraId="7636B18E" w14:textId="77777777" w:rsidR="004A61BA" w:rsidRDefault="004A61BA">
            <w:pPr>
              <w:spacing w:after="0"/>
              <w:rPr>
                <w:b/>
                <w:bCs/>
                <w:noProof/>
                <w:color w:val="000000" w:themeColor="text1"/>
                <w:sz w:val="20"/>
                <w:szCs w:val="20"/>
              </w:rPr>
            </w:pPr>
            <w:r w:rsidRPr="7624CB47">
              <w:rPr>
                <w:b/>
                <w:bCs/>
                <w:noProof/>
                <w:color w:val="000000" w:themeColor="text1"/>
                <w:sz w:val="20"/>
                <w:szCs w:val="20"/>
              </w:rPr>
              <w:t>Baseline (Status Quo)</w:t>
            </w:r>
          </w:p>
        </w:tc>
        <w:tc>
          <w:tcPr>
            <w:tcW w:w="2206" w:type="dxa"/>
            <w:tcBorders>
              <w:top w:val="nil"/>
              <w:left w:val="single" w:sz="8" w:space="0" w:color="auto"/>
              <w:bottom w:val="single" w:sz="8" w:space="0" w:color="auto"/>
              <w:right w:val="single" w:sz="8" w:space="0" w:color="auto"/>
            </w:tcBorders>
            <w:shd w:val="clear" w:color="auto" w:fill="D1D1D1"/>
            <w:tcMar>
              <w:left w:w="108" w:type="dxa"/>
              <w:right w:w="108" w:type="dxa"/>
            </w:tcMar>
          </w:tcPr>
          <w:p w14:paraId="2B469072" w14:textId="77777777" w:rsidR="004A61BA" w:rsidRDefault="004A61BA">
            <w:pPr>
              <w:spacing w:after="0"/>
              <w:jc w:val="center"/>
              <w:rPr>
                <w:b/>
                <w:bCs/>
                <w:noProof/>
                <w:color w:val="000000" w:themeColor="text1"/>
                <w:sz w:val="20"/>
                <w:szCs w:val="20"/>
              </w:rPr>
            </w:pPr>
            <w:r w:rsidRPr="7624CB47">
              <w:rPr>
                <w:b/>
                <w:bCs/>
                <w:noProof/>
                <w:color w:val="000000" w:themeColor="text1"/>
                <w:sz w:val="20"/>
                <w:szCs w:val="20"/>
              </w:rPr>
              <w:t>Policy Option 2a</w:t>
            </w:r>
          </w:p>
        </w:tc>
        <w:tc>
          <w:tcPr>
            <w:tcW w:w="2206" w:type="dxa"/>
            <w:tcBorders>
              <w:top w:val="nil"/>
              <w:left w:val="single" w:sz="8" w:space="0" w:color="auto"/>
              <w:bottom w:val="single" w:sz="8" w:space="0" w:color="auto"/>
              <w:right w:val="single" w:sz="8" w:space="0" w:color="auto"/>
            </w:tcBorders>
            <w:shd w:val="clear" w:color="auto" w:fill="D1D1D1"/>
            <w:tcMar>
              <w:left w:w="108" w:type="dxa"/>
              <w:right w:w="108" w:type="dxa"/>
            </w:tcMar>
          </w:tcPr>
          <w:p w14:paraId="4D2022A1" w14:textId="77777777" w:rsidR="004A61BA" w:rsidRDefault="004A61BA">
            <w:pPr>
              <w:spacing w:after="0"/>
              <w:jc w:val="center"/>
              <w:rPr>
                <w:b/>
                <w:bCs/>
                <w:noProof/>
                <w:color w:val="000000" w:themeColor="text1"/>
                <w:sz w:val="20"/>
                <w:szCs w:val="20"/>
              </w:rPr>
            </w:pPr>
            <w:r w:rsidRPr="7624CB47">
              <w:rPr>
                <w:b/>
                <w:bCs/>
                <w:noProof/>
                <w:color w:val="000000" w:themeColor="text1"/>
                <w:sz w:val="20"/>
                <w:szCs w:val="20"/>
              </w:rPr>
              <w:t>Policy Option 2b</w:t>
            </w:r>
          </w:p>
        </w:tc>
        <w:tc>
          <w:tcPr>
            <w:tcW w:w="2206" w:type="dxa"/>
            <w:tcBorders>
              <w:top w:val="nil"/>
              <w:left w:val="single" w:sz="8" w:space="0" w:color="auto"/>
              <w:bottom w:val="single" w:sz="8" w:space="0" w:color="auto"/>
              <w:right w:val="single" w:sz="8" w:space="0" w:color="auto"/>
            </w:tcBorders>
            <w:shd w:val="clear" w:color="auto" w:fill="D1D1D1"/>
            <w:tcMar>
              <w:left w:w="108" w:type="dxa"/>
              <w:right w:w="108" w:type="dxa"/>
            </w:tcMar>
          </w:tcPr>
          <w:p w14:paraId="64DD63B0" w14:textId="77777777" w:rsidR="004A61BA" w:rsidRDefault="004A61BA">
            <w:pPr>
              <w:spacing w:after="0"/>
              <w:rPr>
                <w:b/>
                <w:bCs/>
                <w:noProof/>
                <w:color w:val="000000" w:themeColor="text1"/>
                <w:sz w:val="20"/>
                <w:szCs w:val="20"/>
              </w:rPr>
            </w:pPr>
            <w:r w:rsidRPr="7624CB47">
              <w:rPr>
                <w:b/>
                <w:bCs/>
                <w:noProof/>
                <w:color w:val="000000" w:themeColor="text1"/>
                <w:sz w:val="20"/>
                <w:szCs w:val="20"/>
              </w:rPr>
              <w:t>Policy Option 2c</w:t>
            </w:r>
          </w:p>
        </w:tc>
      </w:tr>
      <w:tr w:rsidR="004A61BA" w14:paraId="26AB7D89" w14:textId="77777777">
        <w:trPr>
          <w:trHeight w:val="300"/>
        </w:trPr>
        <w:tc>
          <w:tcPr>
            <w:tcW w:w="2216" w:type="dxa"/>
            <w:tcBorders>
              <w:top w:val="single" w:sz="8" w:space="0" w:color="auto"/>
              <w:left w:val="single" w:sz="8" w:space="0" w:color="auto"/>
              <w:bottom w:val="single" w:sz="8" w:space="0" w:color="auto"/>
              <w:right w:val="single" w:sz="8" w:space="0" w:color="auto"/>
            </w:tcBorders>
            <w:tcMar>
              <w:left w:w="108" w:type="dxa"/>
              <w:right w:w="108" w:type="dxa"/>
            </w:tcMar>
          </w:tcPr>
          <w:p w14:paraId="4BEC926A" w14:textId="77777777" w:rsidR="004A61BA" w:rsidRDefault="004A61BA">
            <w:pPr>
              <w:spacing w:after="0"/>
              <w:jc w:val="left"/>
              <w:rPr>
                <w:noProof/>
                <w:sz w:val="20"/>
                <w:szCs w:val="20"/>
              </w:rPr>
            </w:pPr>
            <w:r>
              <w:rPr>
                <w:noProof/>
                <w:sz w:val="20"/>
                <w:szCs w:val="20"/>
              </w:rPr>
              <w:t>P</w:t>
            </w:r>
            <w:r w:rsidRPr="7624CB47">
              <w:rPr>
                <w:noProof/>
                <w:sz w:val="20"/>
                <w:szCs w:val="20"/>
              </w:rPr>
              <w:t>latform operators report information on sellers who carry out 30 or more activities or receive income of EUR 2,000 or more during the calendar year.</w:t>
            </w:r>
          </w:p>
        </w:tc>
        <w:tc>
          <w:tcPr>
            <w:tcW w:w="2206" w:type="dxa"/>
            <w:tcBorders>
              <w:top w:val="single" w:sz="8" w:space="0" w:color="auto"/>
              <w:left w:val="single" w:sz="8" w:space="0" w:color="auto"/>
              <w:bottom w:val="single" w:sz="8" w:space="0" w:color="auto"/>
              <w:right w:val="single" w:sz="8" w:space="0" w:color="auto"/>
            </w:tcBorders>
            <w:tcMar>
              <w:left w:w="108" w:type="dxa"/>
              <w:right w:w="108" w:type="dxa"/>
            </w:tcMar>
          </w:tcPr>
          <w:p w14:paraId="4DB9BACF" w14:textId="77777777" w:rsidR="004A61BA" w:rsidRDefault="004A61BA">
            <w:pPr>
              <w:spacing w:after="0"/>
              <w:jc w:val="left"/>
              <w:rPr>
                <w:noProof/>
                <w:sz w:val="20"/>
                <w:szCs w:val="20"/>
              </w:rPr>
            </w:pPr>
            <w:r w:rsidRPr="7624CB47">
              <w:rPr>
                <w:noProof/>
                <w:sz w:val="20"/>
                <w:szCs w:val="20"/>
              </w:rPr>
              <w:t xml:space="preserve">Removing the activity threshold of 30 transactions and retaining the monetary threshold of EUR 2,000. </w:t>
            </w:r>
          </w:p>
        </w:tc>
        <w:tc>
          <w:tcPr>
            <w:tcW w:w="2206" w:type="dxa"/>
            <w:tcBorders>
              <w:top w:val="single" w:sz="8" w:space="0" w:color="auto"/>
              <w:left w:val="single" w:sz="8" w:space="0" w:color="auto"/>
              <w:bottom w:val="single" w:sz="8" w:space="0" w:color="auto"/>
              <w:right w:val="single" w:sz="8" w:space="0" w:color="auto"/>
            </w:tcBorders>
            <w:tcMar>
              <w:left w:w="108" w:type="dxa"/>
              <w:right w:w="108" w:type="dxa"/>
            </w:tcMar>
          </w:tcPr>
          <w:p w14:paraId="694069EB" w14:textId="77777777" w:rsidR="004A61BA" w:rsidRDefault="004A61BA">
            <w:pPr>
              <w:spacing w:after="0"/>
              <w:jc w:val="left"/>
              <w:rPr>
                <w:noProof/>
                <w:sz w:val="20"/>
                <w:szCs w:val="20"/>
              </w:rPr>
            </w:pPr>
            <w:r w:rsidRPr="7624CB47">
              <w:rPr>
                <w:noProof/>
                <w:sz w:val="20"/>
                <w:szCs w:val="20"/>
              </w:rPr>
              <w:t>Removing the activity threshold of 30 transaction and increasing the monetary threshold to EUR 3,000.</w:t>
            </w:r>
          </w:p>
        </w:tc>
        <w:tc>
          <w:tcPr>
            <w:tcW w:w="2206" w:type="dxa"/>
            <w:tcBorders>
              <w:top w:val="single" w:sz="8" w:space="0" w:color="auto"/>
              <w:left w:val="single" w:sz="8" w:space="0" w:color="auto"/>
              <w:bottom w:val="single" w:sz="8" w:space="0" w:color="auto"/>
              <w:right w:val="single" w:sz="8" w:space="0" w:color="auto"/>
            </w:tcBorders>
            <w:tcMar>
              <w:left w:w="108" w:type="dxa"/>
              <w:right w:w="108" w:type="dxa"/>
            </w:tcMar>
          </w:tcPr>
          <w:p w14:paraId="672C4A97" w14:textId="77777777" w:rsidR="004A61BA" w:rsidRDefault="004A61BA">
            <w:pPr>
              <w:spacing w:after="0"/>
              <w:jc w:val="left"/>
              <w:rPr>
                <w:b/>
                <w:bCs/>
                <w:noProof/>
                <w:sz w:val="20"/>
                <w:szCs w:val="20"/>
              </w:rPr>
            </w:pPr>
            <w:r w:rsidRPr="7624CB47">
              <w:rPr>
                <w:noProof/>
                <w:sz w:val="20"/>
                <w:szCs w:val="20"/>
              </w:rPr>
              <w:t>Removing the activity threshold of 30 transaction and</w:t>
            </w:r>
          </w:p>
          <w:p w14:paraId="2936641D" w14:textId="77777777" w:rsidR="004A61BA" w:rsidRDefault="004A61BA">
            <w:pPr>
              <w:spacing w:after="0"/>
              <w:jc w:val="left"/>
              <w:rPr>
                <w:noProof/>
                <w:sz w:val="20"/>
                <w:szCs w:val="20"/>
              </w:rPr>
            </w:pPr>
            <w:r w:rsidRPr="7624CB47">
              <w:rPr>
                <w:noProof/>
                <w:sz w:val="20"/>
                <w:szCs w:val="20"/>
              </w:rPr>
              <w:t>increasing the monetary threshold to EUR 5,000.</w:t>
            </w:r>
          </w:p>
        </w:tc>
      </w:tr>
    </w:tbl>
    <w:p w14:paraId="3AABC2E5" w14:textId="3CC3D8C6" w:rsidR="004A61BA" w:rsidRDefault="004A61BA" w:rsidP="004A61BA">
      <w:pPr>
        <w:spacing w:before="240" w:after="160" w:line="257" w:lineRule="auto"/>
        <w:rPr>
          <w:rFonts w:eastAsia="Times New Roman"/>
          <w:noProof/>
          <w:lang w:val="en-US"/>
        </w:rPr>
      </w:pPr>
      <w:r w:rsidRPr="7624CB47">
        <w:rPr>
          <w:rFonts w:eastAsia="Times New Roman"/>
          <w:b/>
          <w:bCs/>
          <w:noProof/>
          <w:lang w:val="en-US"/>
        </w:rPr>
        <w:t>Policy Option 2a</w:t>
      </w:r>
      <w:r w:rsidRPr="7624CB47">
        <w:rPr>
          <w:rFonts w:eastAsia="Times New Roman"/>
          <w:noProof/>
          <w:lang w:val="en-US"/>
        </w:rPr>
        <w:t xml:space="preserve"> would remove the current activity-based threshold of 30 transactions and retain only the existing monetary threshold of EUR 2</w:t>
      </w:r>
      <w:r w:rsidRPr="7624CB47">
        <w:rPr>
          <w:rFonts w:eastAsia="Times New Roman"/>
          <w:b/>
          <w:bCs/>
          <w:noProof/>
          <w:lang w:val="en-US"/>
        </w:rPr>
        <w:t>,</w:t>
      </w:r>
      <w:r w:rsidRPr="7624CB47">
        <w:rPr>
          <w:rFonts w:eastAsia="Times New Roman"/>
          <w:noProof/>
          <w:lang w:val="en-US"/>
        </w:rPr>
        <w:t>000. Under this option, the number of activities carried out by a seller would no longer be relevant for reporting purposes. A seller would be reportable only where the total consideration received during the calendar year reaches or exceeds EUR 2</w:t>
      </w:r>
      <w:r w:rsidRPr="7624CB47">
        <w:rPr>
          <w:rFonts w:eastAsia="Times New Roman"/>
          <w:b/>
          <w:bCs/>
          <w:noProof/>
          <w:lang w:val="en-US"/>
        </w:rPr>
        <w:t>,</w:t>
      </w:r>
      <w:r w:rsidRPr="7624CB47">
        <w:rPr>
          <w:rFonts w:eastAsia="Times New Roman"/>
          <w:noProof/>
          <w:lang w:val="en-US"/>
        </w:rPr>
        <w:t xml:space="preserve">000. </w:t>
      </w:r>
      <w:r w:rsidRPr="7624CB47">
        <w:rPr>
          <w:rFonts w:eastAsia="Times New Roman"/>
          <w:b/>
          <w:bCs/>
          <w:noProof/>
          <w:lang w:val="en-US"/>
        </w:rPr>
        <w:t>Policy Option 2b</w:t>
      </w:r>
      <w:r w:rsidRPr="7624CB47">
        <w:rPr>
          <w:rFonts w:eastAsia="Times New Roman"/>
          <w:noProof/>
          <w:lang w:val="en-US"/>
        </w:rPr>
        <w:t xml:space="preserve"> would also remove the activity</w:t>
      </w:r>
      <w:r>
        <w:rPr>
          <w:rFonts w:eastAsia="Times New Roman"/>
          <w:noProof/>
          <w:lang w:val="en-US"/>
        </w:rPr>
        <w:t>-based</w:t>
      </w:r>
      <w:r w:rsidRPr="7624CB47">
        <w:rPr>
          <w:rFonts w:eastAsia="Times New Roman"/>
          <w:noProof/>
          <w:lang w:val="en-US"/>
        </w:rPr>
        <w:t xml:space="preserve"> threshold and, in addition, increase the monetary threshold to EUR 3</w:t>
      </w:r>
      <w:r w:rsidRPr="7624CB47">
        <w:rPr>
          <w:rFonts w:eastAsia="Times New Roman"/>
          <w:b/>
          <w:bCs/>
          <w:noProof/>
          <w:lang w:val="en-US"/>
        </w:rPr>
        <w:t>,</w:t>
      </w:r>
      <w:r w:rsidRPr="7624CB47">
        <w:rPr>
          <w:rFonts w:eastAsia="Times New Roman"/>
          <w:noProof/>
          <w:lang w:val="en-US"/>
        </w:rPr>
        <w:t>000, in line with the approach</w:t>
      </w:r>
      <w:r>
        <w:rPr>
          <w:rFonts w:eastAsia="Times New Roman"/>
          <w:noProof/>
          <w:lang w:val="en-US"/>
        </w:rPr>
        <w:t xml:space="preserve"> </w:t>
      </w:r>
      <w:r w:rsidRPr="7624CB47">
        <w:rPr>
          <w:rFonts w:eastAsia="Times New Roman"/>
          <w:noProof/>
          <w:lang w:val="en-US"/>
        </w:rPr>
        <w:t xml:space="preserve">agreed at </w:t>
      </w:r>
      <w:r>
        <w:rPr>
          <w:rFonts w:eastAsia="Times New Roman"/>
          <w:noProof/>
          <w:lang w:val="en-US"/>
        </w:rPr>
        <w:t xml:space="preserve">technical level at the OECD </w:t>
      </w:r>
      <w:r w:rsidRPr="7624CB47">
        <w:rPr>
          <w:rFonts w:eastAsia="Times New Roman"/>
          <w:noProof/>
          <w:lang w:val="en-US"/>
        </w:rPr>
        <w:t>in relation to th</w:t>
      </w:r>
      <w:r>
        <w:rPr>
          <w:rFonts w:eastAsia="Times New Roman"/>
          <w:noProof/>
          <w:lang w:val="en-US"/>
        </w:rPr>
        <w:t>e</w:t>
      </w:r>
      <w:r w:rsidRPr="7624CB47">
        <w:rPr>
          <w:rFonts w:eastAsia="Times New Roman"/>
          <w:noProof/>
          <w:lang w:val="en-US"/>
        </w:rPr>
        <w:t xml:space="preserve"> MRDP, which are implemented in the EU through DAC7. Under this option, the number of activities carried out by a seller would no longer be relevant for reporting purposes and a seller would be reportable only where the total consideration received during the calendar year reaches or exceeds EUR 3</w:t>
      </w:r>
      <w:r w:rsidRPr="7624CB47">
        <w:rPr>
          <w:rFonts w:eastAsia="Times New Roman"/>
          <w:b/>
          <w:bCs/>
          <w:noProof/>
          <w:lang w:val="en-US"/>
        </w:rPr>
        <w:t>,</w:t>
      </w:r>
      <w:r w:rsidRPr="7624CB47">
        <w:rPr>
          <w:rFonts w:eastAsia="Times New Roman"/>
          <w:noProof/>
          <w:lang w:val="en-US"/>
        </w:rPr>
        <w:t xml:space="preserve">000. </w:t>
      </w:r>
      <w:r w:rsidRPr="7624CB47">
        <w:rPr>
          <w:rFonts w:eastAsia="Times New Roman"/>
          <w:b/>
          <w:bCs/>
          <w:noProof/>
          <w:lang w:val="en-US"/>
        </w:rPr>
        <w:t>Policy Option 2c</w:t>
      </w:r>
      <w:r w:rsidRPr="7624CB47">
        <w:rPr>
          <w:rFonts w:eastAsia="Times New Roman"/>
          <w:noProof/>
          <w:lang w:val="en-US"/>
        </w:rPr>
        <w:t xml:space="preserve"> would also remove the activity-based threshold and</w:t>
      </w:r>
      <w:r>
        <w:rPr>
          <w:rFonts w:eastAsia="Times New Roman"/>
          <w:noProof/>
          <w:lang w:val="en-US"/>
        </w:rPr>
        <w:t xml:space="preserve"> </w:t>
      </w:r>
      <w:r w:rsidRPr="7624CB47">
        <w:rPr>
          <w:rFonts w:eastAsia="Times New Roman"/>
          <w:noProof/>
          <w:lang w:val="en-US"/>
        </w:rPr>
        <w:t>in addition, increase the monetary threshold to EUR 5</w:t>
      </w:r>
      <w:r w:rsidRPr="7624CB47">
        <w:rPr>
          <w:rFonts w:eastAsia="Times New Roman"/>
          <w:b/>
          <w:bCs/>
          <w:noProof/>
          <w:lang w:val="en-US"/>
        </w:rPr>
        <w:t>,</w:t>
      </w:r>
      <w:r w:rsidRPr="7624CB47">
        <w:rPr>
          <w:rFonts w:eastAsia="Times New Roman"/>
          <w:noProof/>
          <w:lang w:val="en-US"/>
        </w:rPr>
        <w:t xml:space="preserve">000. This option would implement a more ambitious adjustment of the monetary threshold, as suggested by </w:t>
      </w:r>
      <w:r>
        <w:rPr>
          <w:rFonts w:eastAsia="Times New Roman"/>
          <w:noProof/>
          <w:lang w:val="en-US"/>
        </w:rPr>
        <w:t>some</w:t>
      </w:r>
      <w:r w:rsidRPr="7624CB47">
        <w:rPr>
          <w:rFonts w:eastAsia="Times New Roman"/>
          <w:noProof/>
          <w:lang w:val="en-US"/>
        </w:rPr>
        <w:t xml:space="preserve"> Member States and business stakeholders, to further reduce the reporting of low-value transactions. </w:t>
      </w:r>
    </w:p>
    <w:p w14:paraId="70F0F8F1" w14:textId="77777777" w:rsidR="00E306CE" w:rsidRDefault="00E306CE" w:rsidP="00E83353">
      <w:pPr>
        <w:pStyle w:val="Heading3"/>
        <w:numPr>
          <w:ilvl w:val="0"/>
          <w:numId w:val="0"/>
        </w:numPr>
        <w:tabs>
          <w:tab w:val="num" w:pos="1134"/>
        </w:tabs>
        <w:rPr>
          <w:b/>
          <w:bCs/>
          <w:noProof/>
        </w:rPr>
      </w:pPr>
    </w:p>
    <w:p w14:paraId="5A699DA4" w14:textId="6406B8EB" w:rsidR="1F7DD887" w:rsidRPr="00682389" w:rsidRDefault="32BE94E0" w:rsidP="00E83353">
      <w:pPr>
        <w:pStyle w:val="Heading3"/>
        <w:numPr>
          <w:ilvl w:val="0"/>
          <w:numId w:val="0"/>
        </w:numPr>
        <w:tabs>
          <w:tab w:val="num" w:pos="1134"/>
        </w:tabs>
        <w:rPr>
          <w:b/>
          <w:bCs/>
          <w:noProof/>
        </w:rPr>
      </w:pPr>
      <w:r w:rsidRPr="77FADF1A">
        <w:rPr>
          <w:b/>
          <w:bCs/>
          <w:noProof/>
        </w:rPr>
        <w:t xml:space="preserve">Measure </w:t>
      </w:r>
      <w:r w:rsidR="322E2E10" w:rsidRPr="033152CA">
        <w:rPr>
          <w:b/>
          <w:bCs/>
          <w:noProof/>
        </w:rPr>
        <w:t>3</w:t>
      </w:r>
      <w:r w:rsidR="00E83353">
        <w:rPr>
          <w:b/>
          <w:bCs/>
          <w:noProof/>
        </w:rPr>
        <w:t xml:space="preserve"> - </w:t>
      </w:r>
      <w:r w:rsidRPr="77FADF1A">
        <w:rPr>
          <w:b/>
          <w:bCs/>
          <w:noProof/>
        </w:rPr>
        <w:t xml:space="preserve">Streamlining notification obligations for </w:t>
      </w:r>
      <w:r w:rsidR="1CBE1922" w:rsidRPr="77FADF1A">
        <w:rPr>
          <w:b/>
          <w:bCs/>
          <w:noProof/>
        </w:rPr>
        <w:t>MNE</w:t>
      </w:r>
      <w:r w:rsidRPr="77FADF1A">
        <w:rPr>
          <w:b/>
          <w:bCs/>
          <w:noProof/>
        </w:rPr>
        <w:t xml:space="preserve"> groups under DAC4 and </w:t>
      </w:r>
      <w:r w:rsidR="00036F8F">
        <w:rPr>
          <w:b/>
          <w:bCs/>
          <w:noProof/>
        </w:rPr>
        <w:t>DAC9</w:t>
      </w:r>
    </w:p>
    <w:p w14:paraId="555DD624" w14:textId="2A041241" w:rsidR="00713826" w:rsidRDefault="004A61BA" w:rsidP="004A61BA">
      <w:pPr>
        <w:spacing w:before="240"/>
        <w:rPr>
          <w:rFonts w:eastAsia="Times New Roman"/>
          <w:noProof/>
        </w:rPr>
      </w:pPr>
      <w:r w:rsidRPr="7624CB47">
        <w:rPr>
          <w:rFonts w:eastAsia="Times New Roman"/>
          <w:noProof/>
        </w:rPr>
        <w:t xml:space="preserve">The proposed policy options aim to streamline the notification obligations applicable to MNE groups under DAC4 and </w:t>
      </w:r>
      <w:r w:rsidR="00036F8F">
        <w:rPr>
          <w:rFonts w:eastAsia="Times New Roman"/>
          <w:noProof/>
        </w:rPr>
        <w:t>DAC9</w:t>
      </w:r>
      <w:r w:rsidRPr="7624CB47">
        <w:rPr>
          <w:rFonts w:eastAsia="Times New Roman"/>
          <w:noProof/>
        </w:rPr>
        <w:t xml:space="preserve"> to ensure that they are proportionate and better targeted to achieving the policy objectives of tackling tax fraud, evasion</w:t>
      </w:r>
      <w:r>
        <w:rPr>
          <w:rFonts w:eastAsia="Times New Roman"/>
          <w:noProof/>
        </w:rPr>
        <w:t xml:space="preserve"> and avoidance</w:t>
      </w:r>
      <w:r w:rsidRPr="7624CB47">
        <w:rPr>
          <w:rFonts w:eastAsia="Times New Roman"/>
          <w:noProof/>
        </w:rPr>
        <w:t xml:space="preserve">. This will in turn contribute to strengthening the competitiveness </w:t>
      </w:r>
      <w:r w:rsidRPr="7624CB47">
        <w:rPr>
          <w:rFonts w:eastAsia="Times New Roman"/>
          <w:noProof/>
          <w:color w:val="000000" w:themeColor="text1"/>
        </w:rPr>
        <w:t xml:space="preserve">of EU businesses and enhancing the functioning of the </w:t>
      </w:r>
      <w:r w:rsidRPr="7624CB47">
        <w:rPr>
          <w:noProof/>
          <w:color w:val="000000" w:themeColor="text1"/>
        </w:rPr>
        <w:t>Internal Market.</w:t>
      </w:r>
      <w:r w:rsidRPr="7624CB47">
        <w:rPr>
          <w:rFonts w:eastAsia="Times New Roman"/>
          <w:noProof/>
          <w:color w:val="000000" w:themeColor="text1"/>
        </w:rPr>
        <w:t xml:space="preserve"> </w:t>
      </w:r>
      <w:r w:rsidRPr="7624CB47">
        <w:rPr>
          <w:rFonts w:eastAsia="Times New Roman"/>
          <w:noProof/>
        </w:rPr>
        <w:t>The notifications are an important preliminary step to inform tax authorities of the relevant reporting entity for the group.</w:t>
      </w:r>
    </w:p>
    <w:tbl>
      <w:tblPr>
        <w:tblStyle w:val="TableGrid"/>
        <w:tblW w:w="8749" w:type="dxa"/>
        <w:tblLook w:val="04A0" w:firstRow="1" w:lastRow="0" w:firstColumn="1" w:lastColumn="0" w:noHBand="0" w:noVBand="1"/>
      </w:tblPr>
      <w:tblGrid>
        <w:gridCol w:w="2376"/>
        <w:gridCol w:w="2685"/>
        <w:gridCol w:w="3688"/>
      </w:tblGrid>
      <w:tr w:rsidR="004A61BA" w14:paraId="052588C4" w14:textId="77777777">
        <w:trPr>
          <w:trHeight w:val="455"/>
        </w:trPr>
        <w:tc>
          <w:tcPr>
            <w:tcW w:w="8749" w:type="dxa"/>
            <w:gridSpan w:val="3"/>
            <w:tcBorders>
              <w:top w:val="single" w:sz="8" w:space="0" w:color="auto"/>
              <w:left w:val="single" w:sz="8" w:space="0" w:color="auto"/>
              <w:bottom w:val="single" w:sz="8" w:space="0" w:color="auto"/>
            </w:tcBorders>
            <w:shd w:val="clear" w:color="auto" w:fill="E8E8E8"/>
            <w:vAlign w:val="center"/>
          </w:tcPr>
          <w:p w14:paraId="46E2C828" w14:textId="77777777" w:rsidR="004A61BA" w:rsidRDefault="004A61BA" w:rsidP="00C7262C">
            <w:pPr>
              <w:spacing w:after="0"/>
              <w:jc w:val="center"/>
              <w:rPr>
                <w:b/>
                <w:bCs/>
                <w:noProof/>
                <w:sz w:val="20"/>
                <w:szCs w:val="20"/>
              </w:rPr>
            </w:pPr>
            <w:r w:rsidRPr="7624CB47">
              <w:rPr>
                <w:b/>
                <w:bCs/>
                <w:noProof/>
                <w:sz w:val="20"/>
                <w:szCs w:val="20"/>
              </w:rPr>
              <w:t>Measure 3</w:t>
            </w:r>
          </w:p>
        </w:tc>
      </w:tr>
      <w:tr w:rsidR="004A61BA" w14:paraId="74568E95" w14:textId="77777777">
        <w:trPr>
          <w:trHeight w:val="420"/>
        </w:trPr>
        <w:tc>
          <w:tcPr>
            <w:tcW w:w="2376" w:type="dxa"/>
            <w:tcBorders>
              <w:top w:val="single" w:sz="8" w:space="0" w:color="auto"/>
              <w:left w:val="single" w:sz="8" w:space="0" w:color="auto"/>
              <w:bottom w:val="single" w:sz="8" w:space="0" w:color="auto"/>
              <w:right w:val="single" w:sz="8" w:space="0" w:color="auto"/>
            </w:tcBorders>
            <w:shd w:val="clear" w:color="auto" w:fill="D1D1D1"/>
            <w:tcMar>
              <w:left w:w="108" w:type="dxa"/>
              <w:right w:w="108" w:type="dxa"/>
            </w:tcMar>
          </w:tcPr>
          <w:p w14:paraId="0BFC7FB4" w14:textId="77777777" w:rsidR="004A61BA" w:rsidRDefault="004A61BA">
            <w:pPr>
              <w:spacing w:after="0"/>
              <w:rPr>
                <w:b/>
                <w:bCs/>
                <w:noProof/>
                <w:color w:val="000000" w:themeColor="text1"/>
                <w:sz w:val="20"/>
                <w:szCs w:val="20"/>
              </w:rPr>
            </w:pPr>
            <w:r w:rsidRPr="7624CB47">
              <w:rPr>
                <w:b/>
                <w:bCs/>
                <w:noProof/>
                <w:color w:val="000000" w:themeColor="text1"/>
                <w:sz w:val="20"/>
                <w:szCs w:val="20"/>
              </w:rPr>
              <w:t>Baseline (Status Quo)</w:t>
            </w:r>
          </w:p>
        </w:tc>
        <w:tc>
          <w:tcPr>
            <w:tcW w:w="2685" w:type="dxa"/>
            <w:tcBorders>
              <w:top w:val="nil"/>
              <w:left w:val="single" w:sz="8" w:space="0" w:color="auto"/>
              <w:bottom w:val="single" w:sz="8" w:space="0" w:color="auto"/>
              <w:right w:val="single" w:sz="8" w:space="0" w:color="auto"/>
            </w:tcBorders>
            <w:shd w:val="clear" w:color="auto" w:fill="D1D1D1"/>
            <w:tcMar>
              <w:left w:w="108" w:type="dxa"/>
              <w:right w:w="108" w:type="dxa"/>
            </w:tcMar>
          </w:tcPr>
          <w:p w14:paraId="70BBCE37" w14:textId="77777777" w:rsidR="004A61BA" w:rsidRDefault="004A61BA">
            <w:pPr>
              <w:spacing w:after="0"/>
              <w:jc w:val="center"/>
              <w:rPr>
                <w:b/>
                <w:bCs/>
                <w:noProof/>
                <w:color w:val="000000" w:themeColor="text1"/>
                <w:sz w:val="20"/>
                <w:szCs w:val="20"/>
              </w:rPr>
            </w:pPr>
            <w:r w:rsidRPr="7624CB47">
              <w:rPr>
                <w:b/>
                <w:bCs/>
                <w:noProof/>
                <w:color w:val="000000" w:themeColor="text1"/>
                <w:sz w:val="20"/>
                <w:szCs w:val="20"/>
              </w:rPr>
              <w:t>Policy Option 3a</w:t>
            </w:r>
          </w:p>
        </w:tc>
        <w:tc>
          <w:tcPr>
            <w:tcW w:w="3688" w:type="dxa"/>
            <w:tcBorders>
              <w:top w:val="nil"/>
              <w:left w:val="single" w:sz="8" w:space="0" w:color="auto"/>
              <w:bottom w:val="single" w:sz="8" w:space="0" w:color="auto"/>
              <w:right w:val="single" w:sz="8" w:space="0" w:color="auto"/>
            </w:tcBorders>
            <w:shd w:val="clear" w:color="auto" w:fill="D1D1D1"/>
          </w:tcPr>
          <w:p w14:paraId="6FE30C2A" w14:textId="77777777" w:rsidR="004A61BA" w:rsidRDefault="004A61BA">
            <w:pPr>
              <w:spacing w:after="0"/>
              <w:rPr>
                <w:b/>
                <w:bCs/>
                <w:noProof/>
                <w:color w:val="000000" w:themeColor="text1"/>
                <w:sz w:val="20"/>
                <w:szCs w:val="20"/>
              </w:rPr>
            </w:pPr>
            <w:r w:rsidRPr="7624CB47">
              <w:rPr>
                <w:b/>
                <w:bCs/>
                <w:noProof/>
                <w:color w:val="000000" w:themeColor="text1"/>
                <w:sz w:val="20"/>
                <w:szCs w:val="20"/>
              </w:rPr>
              <w:t>Policy Option 3b</w:t>
            </w:r>
          </w:p>
        </w:tc>
      </w:tr>
      <w:tr w:rsidR="004A61BA" w14:paraId="28C529C4" w14:textId="77777777">
        <w:trPr>
          <w:trHeight w:val="225"/>
        </w:trPr>
        <w:tc>
          <w:tcPr>
            <w:tcW w:w="2376" w:type="dxa"/>
            <w:tcBorders>
              <w:top w:val="single" w:sz="8" w:space="0" w:color="auto"/>
              <w:left w:val="single" w:sz="8" w:space="0" w:color="auto"/>
              <w:bottom w:val="single" w:sz="8" w:space="0" w:color="auto"/>
              <w:right w:val="single" w:sz="8" w:space="0" w:color="auto"/>
            </w:tcBorders>
            <w:tcMar>
              <w:left w:w="108" w:type="dxa"/>
              <w:right w:w="108" w:type="dxa"/>
            </w:tcMar>
          </w:tcPr>
          <w:p w14:paraId="37A8D68D" w14:textId="31343862" w:rsidR="004A61BA" w:rsidRDefault="004A61BA">
            <w:pPr>
              <w:spacing w:after="0"/>
              <w:rPr>
                <w:noProof/>
                <w:sz w:val="20"/>
                <w:szCs w:val="20"/>
              </w:rPr>
            </w:pPr>
            <w:r w:rsidRPr="7624CB47">
              <w:rPr>
                <w:noProof/>
                <w:sz w:val="20"/>
                <w:szCs w:val="20"/>
              </w:rPr>
              <w:t xml:space="preserve">Each entity of the MNE group is required to submit a separate notification under DAC4 and </w:t>
            </w:r>
            <w:r w:rsidR="00036F8F">
              <w:rPr>
                <w:noProof/>
                <w:sz w:val="20"/>
                <w:szCs w:val="20"/>
              </w:rPr>
              <w:t xml:space="preserve">DAC9 </w:t>
            </w:r>
            <w:r w:rsidRPr="7624CB47">
              <w:rPr>
                <w:noProof/>
                <w:sz w:val="20"/>
                <w:szCs w:val="20"/>
              </w:rPr>
              <w:t>identifying the entity responsible for filing the relevant group-level report, without harmonised deadlines or notification template.</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633BB2C4" w14:textId="761F51A3" w:rsidR="004A61BA" w:rsidRDefault="004A61BA">
            <w:pPr>
              <w:spacing w:after="0"/>
              <w:jc w:val="left"/>
              <w:rPr>
                <w:noProof/>
                <w:sz w:val="20"/>
                <w:szCs w:val="20"/>
              </w:rPr>
            </w:pPr>
            <w:r w:rsidRPr="7624CB47">
              <w:rPr>
                <w:noProof/>
                <w:sz w:val="20"/>
                <w:szCs w:val="20"/>
              </w:rPr>
              <w:t xml:space="preserve">Introducing a single notification obligation covering both DAC4 and </w:t>
            </w:r>
            <w:r w:rsidR="00036F8F">
              <w:rPr>
                <w:noProof/>
                <w:sz w:val="20"/>
                <w:szCs w:val="20"/>
              </w:rPr>
              <w:t>DAC9</w:t>
            </w:r>
            <w:r w:rsidRPr="7624CB47">
              <w:rPr>
                <w:noProof/>
                <w:sz w:val="20"/>
                <w:szCs w:val="20"/>
              </w:rPr>
              <w:t xml:space="preserve"> including a harmonised filing deadline and a common notification template.</w:t>
            </w:r>
          </w:p>
        </w:tc>
        <w:tc>
          <w:tcPr>
            <w:tcW w:w="3688" w:type="dxa"/>
            <w:tcBorders>
              <w:top w:val="single" w:sz="8" w:space="0" w:color="auto"/>
              <w:left w:val="single" w:sz="8" w:space="0" w:color="auto"/>
              <w:bottom w:val="single" w:sz="8" w:space="0" w:color="auto"/>
              <w:right w:val="single" w:sz="8" w:space="0" w:color="auto"/>
            </w:tcBorders>
          </w:tcPr>
          <w:p w14:paraId="0445F75A" w14:textId="77777777" w:rsidR="004A61BA" w:rsidRPr="49235057" w:rsidRDefault="004A61BA">
            <w:pPr>
              <w:spacing w:after="0"/>
              <w:rPr>
                <w:b/>
                <w:bCs/>
                <w:noProof/>
                <w:sz w:val="20"/>
                <w:szCs w:val="20"/>
              </w:rPr>
            </w:pPr>
            <w:r w:rsidRPr="7624CB47">
              <w:rPr>
                <w:b/>
                <w:bCs/>
                <w:noProof/>
                <w:sz w:val="20"/>
                <w:szCs w:val="20"/>
              </w:rPr>
              <w:t xml:space="preserve">Policy Option 3a + </w:t>
            </w:r>
          </w:p>
          <w:p w14:paraId="0B2EEBA0" w14:textId="77777777" w:rsidR="004A61BA" w:rsidRDefault="004A61BA">
            <w:pPr>
              <w:spacing w:after="0"/>
              <w:rPr>
                <w:noProof/>
                <w:sz w:val="20"/>
                <w:szCs w:val="20"/>
              </w:rPr>
            </w:pPr>
          </w:p>
          <w:p w14:paraId="221207E2" w14:textId="77777777" w:rsidR="004A61BA" w:rsidRPr="49235057" w:rsidRDefault="004A61BA">
            <w:pPr>
              <w:spacing w:after="0"/>
              <w:rPr>
                <w:noProof/>
                <w:sz w:val="20"/>
                <w:szCs w:val="20"/>
              </w:rPr>
            </w:pPr>
            <w:r w:rsidRPr="7624CB47">
              <w:rPr>
                <w:noProof/>
                <w:sz w:val="20"/>
                <w:szCs w:val="20"/>
              </w:rPr>
              <w:t xml:space="preserve">Introducing central filing of the single notification in one Member State by one entity of the MNE group, followed by exchange of the notification information between Member States. </w:t>
            </w:r>
          </w:p>
        </w:tc>
      </w:tr>
    </w:tbl>
    <w:p w14:paraId="5432C7EF" w14:textId="4024356B" w:rsidR="004A61BA" w:rsidRDefault="004A61BA" w:rsidP="004A61BA">
      <w:pPr>
        <w:spacing w:before="240" w:after="160" w:line="257" w:lineRule="auto"/>
        <w:rPr>
          <w:rFonts w:eastAsia="Times New Roman"/>
          <w:noProof/>
        </w:rPr>
      </w:pPr>
      <w:r w:rsidRPr="77FADF1A">
        <w:rPr>
          <w:rFonts w:eastAsia="Times New Roman"/>
          <w:b/>
          <w:bCs/>
          <w:noProof/>
          <w:lang w:val="en-US"/>
        </w:rPr>
        <w:t xml:space="preserve">Policy Option </w:t>
      </w:r>
      <w:r w:rsidRPr="21C7C41D">
        <w:rPr>
          <w:rFonts w:eastAsia="Times New Roman"/>
          <w:b/>
          <w:bCs/>
          <w:noProof/>
          <w:lang w:val="en-US"/>
        </w:rPr>
        <w:t>3a</w:t>
      </w:r>
      <w:r w:rsidRPr="77FADF1A">
        <w:rPr>
          <w:rFonts w:eastAsia="Times New Roman"/>
          <w:noProof/>
          <w:lang w:val="en-US"/>
        </w:rPr>
        <w:t xml:space="preserve"> would introduce a single notification obligation covering both DAC4 and </w:t>
      </w:r>
      <w:r w:rsidR="00036F8F">
        <w:rPr>
          <w:rFonts w:eastAsia="Times New Roman"/>
          <w:noProof/>
          <w:lang w:val="en-US"/>
        </w:rPr>
        <w:t>DAC9</w:t>
      </w:r>
      <w:r w:rsidRPr="77FADF1A">
        <w:rPr>
          <w:rFonts w:eastAsia="Times New Roman"/>
          <w:noProof/>
          <w:lang w:val="en-US"/>
        </w:rPr>
        <w:t xml:space="preserve"> for entities of the MNE group.  Under the single notification obligation, each entity would submit this information only once, and it would be accompanied by a common notification template and a harmonised filing deadline. </w:t>
      </w:r>
      <w:r w:rsidRPr="19989A7C">
        <w:rPr>
          <w:rFonts w:eastAsia="Times New Roman"/>
          <w:b/>
          <w:bCs/>
          <w:noProof/>
        </w:rPr>
        <w:t xml:space="preserve">Policy </w:t>
      </w:r>
      <w:r w:rsidRPr="77FADF1A">
        <w:rPr>
          <w:rFonts w:eastAsia="Times New Roman"/>
          <w:b/>
          <w:bCs/>
          <w:noProof/>
        </w:rPr>
        <w:t xml:space="preserve">Option </w:t>
      </w:r>
      <w:r w:rsidRPr="21C7C41D">
        <w:rPr>
          <w:rFonts w:eastAsia="Times New Roman"/>
          <w:b/>
          <w:bCs/>
          <w:noProof/>
        </w:rPr>
        <w:t>3b</w:t>
      </w:r>
      <w:r w:rsidRPr="77FADF1A">
        <w:rPr>
          <w:rFonts w:eastAsia="Times New Roman"/>
          <w:noProof/>
        </w:rPr>
        <w:t xml:space="preserve"> would build on</w:t>
      </w:r>
      <w:r w:rsidRPr="19989A7C">
        <w:rPr>
          <w:rFonts w:eastAsia="Times New Roman"/>
          <w:noProof/>
        </w:rPr>
        <w:t xml:space="preserve"> </w:t>
      </w:r>
      <w:r w:rsidRPr="00AB400D">
        <w:rPr>
          <w:rFonts w:eastAsia="Times New Roman"/>
          <w:b/>
          <w:bCs/>
          <w:noProof/>
        </w:rPr>
        <w:t>Policy Option 3a</w:t>
      </w:r>
      <w:r w:rsidRPr="77FADF1A">
        <w:rPr>
          <w:rFonts w:eastAsia="Times New Roman"/>
          <w:noProof/>
        </w:rPr>
        <w:t xml:space="preserve"> with the introduction of central filing of the notification. Under this approach, only one entity within the MNE group would submit the single notification covering both DAC4 and </w:t>
      </w:r>
      <w:r w:rsidR="00036F8F">
        <w:rPr>
          <w:rFonts w:eastAsia="Times New Roman"/>
          <w:noProof/>
        </w:rPr>
        <w:t>DAC9</w:t>
      </w:r>
      <w:r>
        <w:rPr>
          <w:rFonts w:eastAsia="Times New Roman"/>
          <w:noProof/>
        </w:rPr>
        <w:t xml:space="preserve"> on behalf of the entire group</w:t>
      </w:r>
      <w:r w:rsidRPr="77FADF1A">
        <w:rPr>
          <w:rFonts w:eastAsia="Times New Roman"/>
          <w:noProof/>
        </w:rPr>
        <w:t>. The information contained in the notification would subsequently be exchanged between Member States through the existing administrative cooperation framework.</w:t>
      </w:r>
    </w:p>
    <w:p w14:paraId="2603C629" w14:textId="0A581B57" w:rsidR="0AE3A830" w:rsidRPr="00017A2E" w:rsidRDefault="5177E107" w:rsidP="00E83353">
      <w:pPr>
        <w:pStyle w:val="Heading3"/>
        <w:numPr>
          <w:ilvl w:val="0"/>
          <w:numId w:val="0"/>
        </w:numPr>
        <w:tabs>
          <w:tab w:val="num" w:pos="1134"/>
        </w:tabs>
        <w:rPr>
          <w:b/>
          <w:bCs/>
          <w:noProof/>
        </w:rPr>
      </w:pPr>
      <w:r w:rsidRPr="77FADF1A">
        <w:rPr>
          <w:b/>
          <w:bCs/>
          <w:noProof/>
        </w:rPr>
        <w:t>Measure</w:t>
      </w:r>
      <w:r w:rsidR="5F274EA7" w:rsidRPr="77FADF1A">
        <w:rPr>
          <w:b/>
          <w:bCs/>
          <w:noProof/>
        </w:rPr>
        <w:t xml:space="preserve"> </w:t>
      </w:r>
      <w:r w:rsidR="2DF3742C" w:rsidRPr="4AA79546">
        <w:rPr>
          <w:b/>
          <w:bCs/>
          <w:noProof/>
        </w:rPr>
        <w:t>4</w:t>
      </w:r>
      <w:r w:rsidR="00E83353">
        <w:rPr>
          <w:b/>
          <w:bCs/>
          <w:noProof/>
        </w:rPr>
        <w:t xml:space="preserve"> - Im</w:t>
      </w:r>
      <w:r w:rsidRPr="77FADF1A">
        <w:rPr>
          <w:b/>
          <w:bCs/>
          <w:noProof/>
        </w:rPr>
        <w:t xml:space="preserve">proving the </w:t>
      </w:r>
      <w:r w:rsidR="20CF1512" w:rsidRPr="77FADF1A">
        <w:rPr>
          <w:b/>
          <w:bCs/>
          <w:noProof/>
        </w:rPr>
        <w:t>accuracy of reported</w:t>
      </w:r>
      <w:r w:rsidRPr="77FADF1A">
        <w:rPr>
          <w:b/>
          <w:bCs/>
          <w:noProof/>
        </w:rPr>
        <w:t xml:space="preserve"> TINs</w:t>
      </w:r>
    </w:p>
    <w:p w14:paraId="11BD2776" w14:textId="74E080C9" w:rsidR="004A61BA" w:rsidRDefault="004A61BA" w:rsidP="004A61BA">
      <w:pPr>
        <w:spacing w:after="160" w:line="257" w:lineRule="auto"/>
        <w:rPr>
          <w:rFonts w:eastAsia="Times New Roman"/>
          <w:noProof/>
          <w:color w:val="000000" w:themeColor="text1"/>
        </w:rPr>
      </w:pPr>
      <w:r>
        <w:rPr>
          <w:noProof/>
        </w:rPr>
        <w:t xml:space="preserve">The proposed policy options aim to address the current limitations in the verification of TINs that prevent automatic matching of the information by tax administrations. Therein these options are designed to improve the use of exchanged information and effectively </w:t>
      </w:r>
      <w:r w:rsidRPr="77FADF1A">
        <w:rPr>
          <w:rFonts w:eastAsia="Times New Roman"/>
          <w:noProof/>
          <w:color w:val="000000" w:themeColor="text1"/>
        </w:rPr>
        <w:t xml:space="preserve">support the fight against tax fraud, </w:t>
      </w:r>
      <w:r>
        <w:rPr>
          <w:rFonts w:eastAsia="Times New Roman"/>
          <w:noProof/>
          <w:color w:val="000000" w:themeColor="text1"/>
        </w:rPr>
        <w:t xml:space="preserve">avoidance and evasion. </w:t>
      </w:r>
    </w:p>
    <w:tbl>
      <w:tblPr>
        <w:tblStyle w:val="TableGrid"/>
        <w:tblW w:w="0" w:type="auto"/>
        <w:tblLook w:val="04A0" w:firstRow="1" w:lastRow="0" w:firstColumn="1" w:lastColumn="0" w:noHBand="0" w:noVBand="1"/>
      </w:tblPr>
      <w:tblGrid>
        <w:gridCol w:w="2911"/>
        <w:gridCol w:w="2918"/>
        <w:gridCol w:w="2912"/>
      </w:tblGrid>
      <w:tr w:rsidR="004A61BA" w14:paraId="720EA326" w14:textId="77777777" w:rsidTr="00ED3448">
        <w:trPr>
          <w:trHeight w:val="300"/>
        </w:trPr>
        <w:tc>
          <w:tcPr>
            <w:tcW w:w="8741" w:type="dxa"/>
            <w:gridSpan w:val="3"/>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14:paraId="2382F571" w14:textId="77777777" w:rsidR="004A61BA" w:rsidRPr="00AB400D" w:rsidRDefault="004A61BA">
            <w:pPr>
              <w:spacing w:after="0"/>
              <w:jc w:val="center"/>
              <w:rPr>
                <w:b/>
                <w:bCs/>
                <w:noProof/>
                <w:color w:val="000000" w:themeColor="text1"/>
                <w:sz w:val="20"/>
                <w:szCs w:val="20"/>
              </w:rPr>
            </w:pPr>
            <w:r w:rsidRPr="7624CB47">
              <w:rPr>
                <w:b/>
                <w:bCs/>
                <w:noProof/>
                <w:color w:val="000000" w:themeColor="text1"/>
                <w:sz w:val="20"/>
                <w:szCs w:val="20"/>
              </w:rPr>
              <w:t>Measure 4</w:t>
            </w:r>
          </w:p>
        </w:tc>
      </w:tr>
      <w:tr w:rsidR="004A61BA" w14:paraId="4B9555F5" w14:textId="77777777" w:rsidTr="00ED3448">
        <w:trPr>
          <w:trHeight w:val="300"/>
        </w:trPr>
        <w:tc>
          <w:tcPr>
            <w:tcW w:w="2911" w:type="dxa"/>
            <w:tcBorders>
              <w:top w:val="single" w:sz="8" w:space="0" w:color="auto"/>
              <w:left w:val="single" w:sz="8" w:space="0" w:color="auto"/>
              <w:bottom w:val="single" w:sz="8" w:space="0" w:color="auto"/>
              <w:right w:val="single" w:sz="8" w:space="0" w:color="auto"/>
            </w:tcBorders>
            <w:shd w:val="clear" w:color="auto" w:fill="D1D1D1"/>
            <w:tcMar>
              <w:left w:w="108" w:type="dxa"/>
              <w:right w:w="108" w:type="dxa"/>
            </w:tcMar>
          </w:tcPr>
          <w:p w14:paraId="3695E45D" w14:textId="77777777" w:rsidR="004A61BA" w:rsidRDefault="004A61BA">
            <w:pPr>
              <w:spacing w:after="0"/>
              <w:rPr>
                <w:b/>
                <w:bCs/>
                <w:noProof/>
                <w:color w:val="000000" w:themeColor="text1"/>
                <w:sz w:val="20"/>
                <w:szCs w:val="20"/>
              </w:rPr>
            </w:pPr>
            <w:r w:rsidRPr="7624CB47">
              <w:rPr>
                <w:b/>
                <w:bCs/>
                <w:noProof/>
                <w:color w:val="000000" w:themeColor="text1"/>
                <w:sz w:val="20"/>
                <w:szCs w:val="20"/>
              </w:rPr>
              <w:t>Baseline (Status Quo)</w:t>
            </w:r>
          </w:p>
        </w:tc>
        <w:tc>
          <w:tcPr>
            <w:tcW w:w="2918" w:type="dxa"/>
            <w:tcBorders>
              <w:top w:val="nil"/>
              <w:left w:val="single" w:sz="8" w:space="0" w:color="auto"/>
              <w:bottom w:val="single" w:sz="8" w:space="0" w:color="auto"/>
              <w:right w:val="single" w:sz="8" w:space="0" w:color="auto"/>
            </w:tcBorders>
            <w:shd w:val="clear" w:color="auto" w:fill="D1D1D1"/>
            <w:tcMar>
              <w:left w:w="108" w:type="dxa"/>
              <w:right w:w="108" w:type="dxa"/>
            </w:tcMar>
          </w:tcPr>
          <w:p w14:paraId="2F668B7E" w14:textId="77777777" w:rsidR="004A61BA" w:rsidRDefault="004A61BA">
            <w:pPr>
              <w:spacing w:after="0"/>
              <w:jc w:val="center"/>
              <w:rPr>
                <w:b/>
                <w:bCs/>
                <w:noProof/>
                <w:color w:val="000000" w:themeColor="text1"/>
                <w:sz w:val="20"/>
                <w:szCs w:val="20"/>
              </w:rPr>
            </w:pPr>
            <w:r w:rsidRPr="7624CB47">
              <w:rPr>
                <w:b/>
                <w:bCs/>
                <w:noProof/>
                <w:color w:val="000000" w:themeColor="text1"/>
                <w:sz w:val="20"/>
                <w:szCs w:val="20"/>
              </w:rPr>
              <w:t>Policy Option 4a</w:t>
            </w:r>
          </w:p>
        </w:tc>
        <w:tc>
          <w:tcPr>
            <w:tcW w:w="2912" w:type="dxa"/>
            <w:tcBorders>
              <w:top w:val="nil"/>
              <w:left w:val="single" w:sz="8" w:space="0" w:color="auto"/>
              <w:bottom w:val="single" w:sz="8" w:space="0" w:color="auto"/>
              <w:right w:val="single" w:sz="8" w:space="0" w:color="auto"/>
            </w:tcBorders>
            <w:shd w:val="clear" w:color="auto" w:fill="D1D1D1"/>
            <w:tcMar>
              <w:left w:w="108" w:type="dxa"/>
              <w:right w:w="108" w:type="dxa"/>
            </w:tcMar>
          </w:tcPr>
          <w:p w14:paraId="0C023419" w14:textId="77777777" w:rsidR="004A61BA" w:rsidRDefault="004A61BA">
            <w:pPr>
              <w:spacing w:after="0"/>
              <w:rPr>
                <w:b/>
                <w:bCs/>
                <w:noProof/>
                <w:color w:val="000000" w:themeColor="text1"/>
                <w:sz w:val="20"/>
                <w:szCs w:val="20"/>
              </w:rPr>
            </w:pPr>
            <w:r w:rsidRPr="7624CB47">
              <w:rPr>
                <w:b/>
                <w:bCs/>
                <w:noProof/>
                <w:color w:val="000000" w:themeColor="text1"/>
                <w:sz w:val="20"/>
                <w:szCs w:val="20"/>
              </w:rPr>
              <w:t>Policy Option 4b</w:t>
            </w:r>
          </w:p>
        </w:tc>
      </w:tr>
      <w:tr w:rsidR="004A61BA" w14:paraId="376CC77E" w14:textId="77777777" w:rsidTr="00ED3448">
        <w:trPr>
          <w:trHeight w:val="225"/>
        </w:trPr>
        <w:tc>
          <w:tcPr>
            <w:tcW w:w="2911" w:type="dxa"/>
            <w:tcBorders>
              <w:top w:val="single" w:sz="8" w:space="0" w:color="auto"/>
              <w:left w:val="single" w:sz="8" w:space="0" w:color="auto"/>
              <w:bottom w:val="single" w:sz="8" w:space="0" w:color="auto"/>
              <w:right w:val="single" w:sz="8" w:space="0" w:color="auto"/>
            </w:tcBorders>
            <w:tcMar>
              <w:left w:w="108" w:type="dxa"/>
              <w:right w:w="108" w:type="dxa"/>
            </w:tcMar>
          </w:tcPr>
          <w:p w14:paraId="3B0F7EA8" w14:textId="77777777" w:rsidR="004A61BA" w:rsidRDefault="004A61BA">
            <w:pPr>
              <w:spacing w:after="0"/>
              <w:jc w:val="left"/>
              <w:rPr>
                <w:noProof/>
                <w:sz w:val="20"/>
                <w:szCs w:val="20"/>
                <w:lang w:val="en-US"/>
              </w:rPr>
            </w:pPr>
            <w:r w:rsidRPr="7624CB47">
              <w:rPr>
                <w:noProof/>
                <w:sz w:val="20"/>
                <w:szCs w:val="20"/>
                <w:lang w:val="en-US"/>
              </w:rPr>
              <w:t xml:space="preserve">There is no centralised system for reporting entities and tax administrations to validate the accuracy of the TINs. </w:t>
            </w:r>
          </w:p>
        </w:tc>
        <w:tc>
          <w:tcPr>
            <w:tcW w:w="2918" w:type="dxa"/>
            <w:tcBorders>
              <w:top w:val="single" w:sz="8" w:space="0" w:color="auto"/>
              <w:left w:val="single" w:sz="8" w:space="0" w:color="auto"/>
              <w:bottom w:val="single" w:sz="8" w:space="0" w:color="auto"/>
              <w:right w:val="single" w:sz="8" w:space="0" w:color="auto"/>
            </w:tcBorders>
            <w:tcMar>
              <w:left w:w="108" w:type="dxa"/>
              <w:right w:w="108" w:type="dxa"/>
            </w:tcMar>
          </w:tcPr>
          <w:p w14:paraId="5C7AC706" w14:textId="77777777" w:rsidR="004A61BA" w:rsidRDefault="004A61BA">
            <w:pPr>
              <w:spacing w:after="0"/>
              <w:jc w:val="left"/>
              <w:rPr>
                <w:noProof/>
                <w:sz w:val="20"/>
                <w:szCs w:val="20"/>
                <w:lang w:val="en-IE"/>
              </w:rPr>
            </w:pPr>
            <w:r w:rsidRPr="7624CB47">
              <w:rPr>
                <w:noProof/>
                <w:sz w:val="20"/>
                <w:szCs w:val="20"/>
                <w:lang w:val="en-IE"/>
              </w:rPr>
              <w:t xml:space="preserve">Introducing a centralised TIN verification system, accessible only to Member States tax administrations.  </w:t>
            </w:r>
          </w:p>
        </w:tc>
        <w:tc>
          <w:tcPr>
            <w:tcW w:w="2912" w:type="dxa"/>
            <w:tcBorders>
              <w:top w:val="single" w:sz="8" w:space="0" w:color="auto"/>
              <w:left w:val="single" w:sz="8" w:space="0" w:color="auto"/>
              <w:bottom w:val="single" w:sz="8" w:space="0" w:color="auto"/>
              <w:right w:val="single" w:sz="8" w:space="0" w:color="auto"/>
            </w:tcBorders>
            <w:tcMar>
              <w:left w:w="108" w:type="dxa"/>
              <w:right w:w="108" w:type="dxa"/>
            </w:tcMar>
          </w:tcPr>
          <w:p w14:paraId="6D3222C5" w14:textId="77777777" w:rsidR="004A61BA" w:rsidRDefault="004A61BA">
            <w:pPr>
              <w:spacing w:after="0"/>
              <w:jc w:val="left"/>
              <w:rPr>
                <w:noProof/>
                <w:sz w:val="20"/>
                <w:szCs w:val="20"/>
                <w:lang w:val="en-IE"/>
              </w:rPr>
            </w:pPr>
            <w:r w:rsidRPr="7624CB47">
              <w:rPr>
                <w:noProof/>
                <w:sz w:val="20"/>
                <w:szCs w:val="20"/>
                <w:lang w:val="en-IE"/>
              </w:rPr>
              <w:t xml:space="preserve">Introducing a centralised TIN verification system, accessible to both Member States tax administrations and reporting entities. </w:t>
            </w:r>
          </w:p>
        </w:tc>
      </w:tr>
    </w:tbl>
    <w:p w14:paraId="177FB26D" w14:textId="0EAD3FB9" w:rsidR="004A61BA" w:rsidRDefault="004A61BA" w:rsidP="004A61BA">
      <w:pPr>
        <w:spacing w:before="240" w:after="160" w:line="257" w:lineRule="auto"/>
        <w:rPr>
          <w:rFonts w:eastAsia="Times New Roman"/>
          <w:noProof/>
          <w:lang w:val="en-IE"/>
        </w:rPr>
      </w:pPr>
      <w:r w:rsidRPr="77FADF1A">
        <w:rPr>
          <w:rFonts w:eastAsia="Times New Roman"/>
          <w:b/>
          <w:bCs/>
          <w:noProof/>
          <w:lang w:val="en-IE"/>
        </w:rPr>
        <w:t xml:space="preserve">Policy Option </w:t>
      </w:r>
      <w:r w:rsidRPr="350841C6">
        <w:rPr>
          <w:rFonts w:eastAsia="Times New Roman"/>
          <w:b/>
          <w:bCs/>
          <w:noProof/>
          <w:lang w:val="en-IE"/>
        </w:rPr>
        <w:t>4a</w:t>
      </w:r>
      <w:r w:rsidRPr="77FADF1A">
        <w:rPr>
          <w:rFonts w:eastAsia="Times New Roman"/>
          <w:noProof/>
          <w:lang w:val="en-IE"/>
        </w:rPr>
        <w:t xml:space="preserve"> would introduce a centralised TIN verification system at Union level. Access to the system would be limited to tax administrations and would allow them to verify whether a reported TIN corresponds to an identifiable taxpayer in the relevant Member State. Under this option, the sending Member State would verify the TIN before transmitting information to the receiving Member State. Where a TIN cannot be verified, the sending tax administration would revert to the reporting entity to obtain corrected information from the taxpayer. </w:t>
      </w:r>
      <w:r w:rsidRPr="77FADF1A">
        <w:rPr>
          <w:rFonts w:eastAsia="Times New Roman"/>
          <w:b/>
          <w:bCs/>
          <w:noProof/>
          <w:lang w:val="en-IE"/>
        </w:rPr>
        <w:t xml:space="preserve">Policy Option </w:t>
      </w:r>
      <w:r w:rsidRPr="350841C6">
        <w:rPr>
          <w:rFonts w:eastAsia="Times New Roman"/>
          <w:b/>
          <w:bCs/>
          <w:noProof/>
          <w:lang w:val="en-IE"/>
        </w:rPr>
        <w:t>4b</w:t>
      </w:r>
      <w:r w:rsidRPr="77FADF1A">
        <w:rPr>
          <w:rFonts w:eastAsia="Times New Roman"/>
          <w:noProof/>
          <w:lang w:val="en-IE"/>
        </w:rPr>
        <w:t xml:space="preserve"> would also introduce a centralised TIN verification system at Union level but would extend access to reporting entities. Under this option, reporting entities</w:t>
      </w:r>
      <w:r>
        <w:rPr>
          <w:rFonts w:eastAsia="Times New Roman"/>
          <w:noProof/>
          <w:lang w:val="en-IE"/>
        </w:rPr>
        <w:t xml:space="preserve"> may on a voluntary basis also use the centralised TIN verification system to</w:t>
      </w:r>
      <w:r w:rsidRPr="77FADF1A">
        <w:rPr>
          <w:rFonts w:eastAsia="Times New Roman"/>
          <w:noProof/>
          <w:lang w:val="en-IE"/>
        </w:rPr>
        <w:t xml:space="preserve"> verify TINs before submitting information to tax administrations, allowing incorrect TINs to be corrected at source. As a result, tax administrations would receive information that has already been verified. </w:t>
      </w:r>
    </w:p>
    <w:p w14:paraId="333E1B32" w14:textId="12B75652" w:rsidR="60BC9B78" w:rsidRPr="00017A2E" w:rsidRDefault="333193F8" w:rsidP="00E83353">
      <w:pPr>
        <w:pStyle w:val="Heading3"/>
        <w:numPr>
          <w:ilvl w:val="0"/>
          <w:numId w:val="0"/>
        </w:numPr>
        <w:tabs>
          <w:tab w:val="num" w:pos="0"/>
        </w:tabs>
        <w:rPr>
          <w:b/>
          <w:bCs/>
          <w:noProof/>
        </w:rPr>
      </w:pPr>
      <w:r w:rsidRPr="77FADF1A">
        <w:rPr>
          <w:b/>
          <w:bCs/>
          <w:noProof/>
        </w:rPr>
        <w:t xml:space="preserve">Measure </w:t>
      </w:r>
      <w:r w:rsidR="4E63EAA2" w:rsidRPr="43A5616E">
        <w:rPr>
          <w:b/>
          <w:bCs/>
          <w:noProof/>
        </w:rPr>
        <w:t>5</w:t>
      </w:r>
      <w:r w:rsidR="00E83353">
        <w:rPr>
          <w:b/>
          <w:bCs/>
          <w:noProof/>
        </w:rPr>
        <w:t xml:space="preserve"> - </w:t>
      </w:r>
      <w:r w:rsidRPr="77FADF1A">
        <w:rPr>
          <w:b/>
          <w:bCs/>
          <w:noProof/>
        </w:rPr>
        <w:t>Improving the completeness of information exchanged under DAC1</w:t>
      </w:r>
    </w:p>
    <w:p w14:paraId="64691E34" w14:textId="5047B199" w:rsidR="00787E5F" w:rsidRDefault="004A61BA" w:rsidP="004A61BA">
      <w:pPr>
        <w:spacing w:after="160" w:line="257" w:lineRule="auto"/>
        <w:rPr>
          <w:rFonts w:eastAsia="Times New Roman"/>
          <w:noProof/>
        </w:rPr>
      </w:pPr>
      <w:r w:rsidRPr="77FADF1A">
        <w:rPr>
          <w:rFonts w:eastAsia="Times New Roman"/>
          <w:noProof/>
        </w:rPr>
        <w:t xml:space="preserve">The proposed policy options aim to address limitations in the current DAC1 legislative framework that contribute to incomplete reporting and differences in the scope of information exchanged between Member States. </w:t>
      </w:r>
      <w:r>
        <w:rPr>
          <w:noProof/>
        </w:rPr>
        <w:t xml:space="preserve">Therein these options are designed to improve the use of exchanged information and effectively </w:t>
      </w:r>
      <w:r w:rsidRPr="77FADF1A">
        <w:rPr>
          <w:rFonts w:eastAsia="Times New Roman"/>
          <w:noProof/>
          <w:color w:val="000000" w:themeColor="text1"/>
        </w:rPr>
        <w:t xml:space="preserve">support the fight against tax fraud, evasion and avoidance. </w:t>
      </w:r>
      <w:r w:rsidRPr="77FADF1A">
        <w:rPr>
          <w:rFonts w:eastAsia="Times New Roman"/>
          <w:noProof/>
        </w:rPr>
        <w:t xml:space="preserve">The policy options focus on adjustments to the scope of income categories exchanged and the sources from which information may be obtained by tax administrations for reporting purposes. Moreover, the proposed policy options aim to address the current duplicate reporting issues associated with the category of </w:t>
      </w:r>
      <w:r w:rsidRPr="4F0A0A7A">
        <w:rPr>
          <w:rFonts w:eastAsia="Times New Roman"/>
          <w:noProof/>
        </w:rPr>
        <w:t>life insurance products (LIP).</w:t>
      </w:r>
    </w:p>
    <w:tbl>
      <w:tblPr>
        <w:tblStyle w:val="TableGrid"/>
        <w:tblW w:w="0" w:type="auto"/>
        <w:tblLook w:val="04A0" w:firstRow="1" w:lastRow="0" w:firstColumn="1" w:lastColumn="0" w:noHBand="0" w:noVBand="1"/>
      </w:tblPr>
      <w:tblGrid>
        <w:gridCol w:w="2075"/>
        <w:gridCol w:w="2097"/>
        <w:gridCol w:w="2384"/>
        <w:gridCol w:w="2185"/>
      </w:tblGrid>
      <w:tr w:rsidR="004A61BA" w14:paraId="70444E94" w14:textId="77777777" w:rsidTr="00C80F80">
        <w:trPr>
          <w:trHeight w:val="288"/>
        </w:trPr>
        <w:tc>
          <w:tcPr>
            <w:tcW w:w="8741" w:type="dxa"/>
            <w:gridSpan w:val="4"/>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14:paraId="7A141A5D" w14:textId="77777777" w:rsidR="004A61BA" w:rsidRDefault="004A61BA">
            <w:pPr>
              <w:spacing w:after="0"/>
              <w:jc w:val="center"/>
              <w:rPr>
                <w:b/>
                <w:bCs/>
                <w:noProof/>
                <w:color w:val="000000" w:themeColor="text1"/>
                <w:sz w:val="20"/>
                <w:szCs w:val="20"/>
              </w:rPr>
            </w:pPr>
            <w:r w:rsidRPr="7624CB47">
              <w:rPr>
                <w:b/>
                <w:bCs/>
                <w:noProof/>
                <w:color w:val="000000" w:themeColor="text1"/>
                <w:sz w:val="20"/>
                <w:szCs w:val="20"/>
              </w:rPr>
              <w:t>Measure 5</w:t>
            </w:r>
          </w:p>
        </w:tc>
      </w:tr>
      <w:tr w:rsidR="004A61BA" w14:paraId="13BE6D40" w14:textId="77777777" w:rsidTr="00C80F80">
        <w:trPr>
          <w:trHeight w:val="568"/>
        </w:trPr>
        <w:tc>
          <w:tcPr>
            <w:tcW w:w="2075" w:type="dxa"/>
            <w:tcBorders>
              <w:top w:val="single" w:sz="8" w:space="0" w:color="auto"/>
              <w:left w:val="single" w:sz="8" w:space="0" w:color="auto"/>
              <w:bottom w:val="single" w:sz="8" w:space="0" w:color="auto"/>
              <w:right w:val="single" w:sz="8" w:space="0" w:color="auto"/>
            </w:tcBorders>
            <w:shd w:val="clear" w:color="auto" w:fill="D1D1D1"/>
            <w:tcMar>
              <w:left w:w="108" w:type="dxa"/>
              <w:right w:w="108" w:type="dxa"/>
            </w:tcMar>
          </w:tcPr>
          <w:p w14:paraId="07877A15" w14:textId="77777777" w:rsidR="004A61BA" w:rsidRDefault="004A61BA">
            <w:pPr>
              <w:spacing w:after="0"/>
              <w:rPr>
                <w:b/>
                <w:bCs/>
                <w:noProof/>
                <w:color w:val="000000" w:themeColor="text1"/>
                <w:sz w:val="20"/>
                <w:szCs w:val="20"/>
              </w:rPr>
            </w:pPr>
            <w:r w:rsidRPr="7624CB47">
              <w:rPr>
                <w:b/>
                <w:bCs/>
                <w:noProof/>
                <w:color w:val="000000" w:themeColor="text1"/>
                <w:sz w:val="20"/>
                <w:szCs w:val="20"/>
              </w:rPr>
              <w:t xml:space="preserve">Baseline </w:t>
            </w:r>
          </w:p>
          <w:p w14:paraId="736323E9" w14:textId="77777777" w:rsidR="004A61BA" w:rsidRDefault="004A61BA">
            <w:pPr>
              <w:spacing w:after="0"/>
              <w:rPr>
                <w:b/>
                <w:bCs/>
                <w:noProof/>
                <w:color w:val="000000" w:themeColor="text1"/>
                <w:sz w:val="20"/>
                <w:szCs w:val="20"/>
              </w:rPr>
            </w:pPr>
            <w:r w:rsidRPr="7624CB47">
              <w:rPr>
                <w:b/>
                <w:bCs/>
                <w:noProof/>
                <w:color w:val="000000" w:themeColor="text1"/>
                <w:sz w:val="20"/>
                <w:szCs w:val="20"/>
              </w:rPr>
              <w:t>(Status Quo)</w:t>
            </w:r>
          </w:p>
        </w:tc>
        <w:tc>
          <w:tcPr>
            <w:tcW w:w="2097" w:type="dxa"/>
            <w:tcBorders>
              <w:top w:val="nil"/>
              <w:left w:val="single" w:sz="8" w:space="0" w:color="auto"/>
              <w:bottom w:val="single" w:sz="8" w:space="0" w:color="auto"/>
              <w:right w:val="single" w:sz="8" w:space="0" w:color="auto"/>
            </w:tcBorders>
            <w:shd w:val="clear" w:color="auto" w:fill="D1D1D1"/>
            <w:tcMar>
              <w:left w:w="108" w:type="dxa"/>
              <w:right w:w="108" w:type="dxa"/>
            </w:tcMar>
          </w:tcPr>
          <w:p w14:paraId="3D6588E5" w14:textId="77777777" w:rsidR="004A61BA" w:rsidRDefault="004A61BA">
            <w:pPr>
              <w:spacing w:after="0"/>
              <w:jc w:val="center"/>
              <w:rPr>
                <w:b/>
                <w:bCs/>
                <w:noProof/>
                <w:color w:val="000000" w:themeColor="text1"/>
                <w:sz w:val="20"/>
                <w:szCs w:val="20"/>
              </w:rPr>
            </w:pPr>
            <w:r w:rsidRPr="7624CB47">
              <w:rPr>
                <w:b/>
                <w:bCs/>
                <w:noProof/>
                <w:color w:val="000000" w:themeColor="text1"/>
                <w:sz w:val="20"/>
                <w:szCs w:val="20"/>
              </w:rPr>
              <w:t>Policy Option 5a</w:t>
            </w:r>
          </w:p>
        </w:tc>
        <w:tc>
          <w:tcPr>
            <w:tcW w:w="2384" w:type="dxa"/>
            <w:tcBorders>
              <w:top w:val="nil"/>
              <w:left w:val="single" w:sz="8" w:space="0" w:color="auto"/>
              <w:bottom w:val="single" w:sz="8" w:space="0" w:color="auto"/>
              <w:right w:val="single" w:sz="8" w:space="0" w:color="auto"/>
            </w:tcBorders>
            <w:shd w:val="clear" w:color="auto" w:fill="D1D1D1"/>
            <w:tcMar>
              <w:left w:w="108" w:type="dxa"/>
              <w:right w:w="108" w:type="dxa"/>
            </w:tcMar>
          </w:tcPr>
          <w:p w14:paraId="7B419EB7" w14:textId="77777777" w:rsidR="004A61BA" w:rsidRDefault="004A61BA">
            <w:pPr>
              <w:spacing w:after="0"/>
              <w:rPr>
                <w:b/>
                <w:bCs/>
                <w:noProof/>
                <w:color w:val="000000" w:themeColor="text1"/>
                <w:sz w:val="20"/>
                <w:szCs w:val="20"/>
              </w:rPr>
            </w:pPr>
            <w:r w:rsidRPr="7624CB47">
              <w:rPr>
                <w:b/>
                <w:bCs/>
                <w:noProof/>
                <w:color w:val="000000" w:themeColor="text1"/>
                <w:sz w:val="20"/>
                <w:szCs w:val="20"/>
              </w:rPr>
              <w:t>Policy Option 5b</w:t>
            </w:r>
          </w:p>
        </w:tc>
        <w:tc>
          <w:tcPr>
            <w:tcW w:w="2185" w:type="dxa"/>
            <w:tcBorders>
              <w:top w:val="nil"/>
              <w:left w:val="single" w:sz="8" w:space="0" w:color="auto"/>
              <w:bottom w:val="single" w:sz="8" w:space="0" w:color="auto"/>
              <w:right w:val="single" w:sz="8" w:space="0" w:color="auto"/>
            </w:tcBorders>
            <w:shd w:val="clear" w:color="auto" w:fill="D1D1D1"/>
            <w:tcMar>
              <w:left w:w="108" w:type="dxa"/>
              <w:right w:w="108" w:type="dxa"/>
            </w:tcMar>
          </w:tcPr>
          <w:p w14:paraId="1F72D768" w14:textId="77777777" w:rsidR="004A61BA" w:rsidRDefault="004A61BA">
            <w:pPr>
              <w:spacing w:after="0"/>
              <w:rPr>
                <w:b/>
                <w:bCs/>
                <w:noProof/>
                <w:color w:val="000000" w:themeColor="text1"/>
                <w:sz w:val="20"/>
                <w:szCs w:val="20"/>
              </w:rPr>
            </w:pPr>
            <w:r w:rsidRPr="7624CB47">
              <w:rPr>
                <w:b/>
                <w:bCs/>
                <w:noProof/>
                <w:color w:val="000000" w:themeColor="text1"/>
                <w:sz w:val="20"/>
                <w:szCs w:val="20"/>
              </w:rPr>
              <w:t>Policy Option 5c</w:t>
            </w:r>
          </w:p>
        </w:tc>
      </w:tr>
      <w:tr w:rsidR="004A61BA" w14:paraId="5EFA51F3" w14:textId="77777777">
        <w:trPr>
          <w:trHeight w:val="225"/>
        </w:trPr>
        <w:tc>
          <w:tcPr>
            <w:tcW w:w="2075" w:type="dxa"/>
            <w:tcBorders>
              <w:top w:val="single" w:sz="8" w:space="0" w:color="auto"/>
              <w:left w:val="single" w:sz="8" w:space="0" w:color="auto"/>
              <w:bottom w:val="single" w:sz="8" w:space="0" w:color="auto"/>
              <w:right w:val="single" w:sz="8" w:space="0" w:color="auto"/>
            </w:tcBorders>
            <w:tcMar>
              <w:left w:w="108" w:type="dxa"/>
              <w:right w:w="108" w:type="dxa"/>
            </w:tcMar>
          </w:tcPr>
          <w:p w14:paraId="0B71FA22" w14:textId="77777777" w:rsidR="004A61BA" w:rsidRDefault="004A61BA">
            <w:pPr>
              <w:spacing w:after="0"/>
              <w:jc w:val="left"/>
              <w:rPr>
                <w:noProof/>
                <w:sz w:val="20"/>
                <w:szCs w:val="20"/>
                <w:lang w:val="en-US"/>
              </w:rPr>
            </w:pPr>
            <w:r w:rsidRPr="7624CB47">
              <w:rPr>
                <w:noProof/>
                <w:sz w:val="20"/>
                <w:szCs w:val="20"/>
                <w:lang w:val="en-US"/>
              </w:rPr>
              <w:t>Member States automatically exchange information available in their tax files on at least five out of seven DAC1 categories. Member States may choose which categories to exchange.</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tcPr>
          <w:p w14:paraId="2E95A193" w14:textId="77777777" w:rsidR="004A61BA" w:rsidRDefault="004A61BA">
            <w:pPr>
              <w:spacing w:after="0"/>
              <w:jc w:val="left"/>
              <w:rPr>
                <w:noProof/>
                <w:sz w:val="20"/>
                <w:szCs w:val="20"/>
                <w:lang w:val="en-US"/>
              </w:rPr>
            </w:pPr>
            <w:r w:rsidRPr="7624CB47">
              <w:rPr>
                <w:noProof/>
                <w:sz w:val="20"/>
                <w:szCs w:val="20"/>
                <w:lang w:val="en-US"/>
              </w:rPr>
              <w:t xml:space="preserve">The life insurance products (LIP) category is removed. </w:t>
            </w:r>
          </w:p>
        </w:tc>
        <w:tc>
          <w:tcPr>
            <w:tcW w:w="2384" w:type="dxa"/>
            <w:tcBorders>
              <w:top w:val="single" w:sz="8" w:space="0" w:color="auto"/>
              <w:left w:val="single" w:sz="8" w:space="0" w:color="auto"/>
              <w:bottom w:val="single" w:sz="8" w:space="0" w:color="auto"/>
              <w:right w:val="single" w:sz="8" w:space="0" w:color="auto"/>
            </w:tcBorders>
            <w:tcMar>
              <w:left w:w="108" w:type="dxa"/>
              <w:right w:w="108" w:type="dxa"/>
            </w:tcMar>
          </w:tcPr>
          <w:p w14:paraId="4DBFAADC" w14:textId="32917E32" w:rsidR="004A61BA" w:rsidRPr="004A61BA" w:rsidRDefault="004A61BA">
            <w:pPr>
              <w:spacing w:after="0"/>
              <w:jc w:val="left"/>
              <w:rPr>
                <w:noProof/>
                <w:sz w:val="20"/>
                <w:szCs w:val="20"/>
                <w:lang w:val="en-US"/>
              </w:rPr>
            </w:pPr>
            <w:r w:rsidRPr="7624CB47">
              <w:rPr>
                <w:b/>
                <w:bCs/>
                <w:noProof/>
                <w:sz w:val="20"/>
                <w:szCs w:val="20"/>
                <w:lang w:val="en-US"/>
              </w:rPr>
              <w:t xml:space="preserve">Policy Option 5a </w:t>
            </w:r>
            <w:r>
              <w:rPr>
                <w:b/>
                <w:bCs/>
                <w:noProof/>
                <w:sz w:val="20"/>
                <w:szCs w:val="20"/>
                <w:lang w:val="en-US"/>
              </w:rPr>
              <w:t>+</w:t>
            </w:r>
          </w:p>
          <w:p w14:paraId="4D0A9AE1" w14:textId="77777777" w:rsidR="004A61BA" w:rsidRDefault="004A61BA">
            <w:pPr>
              <w:spacing w:after="0"/>
              <w:jc w:val="left"/>
              <w:rPr>
                <w:noProof/>
                <w:sz w:val="20"/>
                <w:szCs w:val="20"/>
                <w:lang w:val="en-US"/>
              </w:rPr>
            </w:pPr>
            <w:r w:rsidRPr="7624CB47">
              <w:rPr>
                <w:noProof/>
                <w:sz w:val="20"/>
                <w:szCs w:val="20"/>
                <w:lang w:val="en-US"/>
              </w:rPr>
              <w:t xml:space="preserve">Member States are required to automatically exchange information available </w:t>
            </w:r>
            <w:r w:rsidRPr="7624CB47">
              <w:rPr>
                <w:noProof/>
                <w:sz w:val="20"/>
                <w:szCs w:val="20"/>
                <w:u w:val="single"/>
                <w:lang w:val="en-US"/>
              </w:rPr>
              <w:t>in their tax files</w:t>
            </w:r>
            <w:r w:rsidRPr="7624CB47">
              <w:rPr>
                <w:noProof/>
                <w:sz w:val="20"/>
                <w:szCs w:val="20"/>
                <w:lang w:val="en-US"/>
              </w:rPr>
              <w:t xml:space="preserve"> on all remaining six categories of income and capital. </w:t>
            </w:r>
          </w:p>
        </w:tc>
        <w:tc>
          <w:tcPr>
            <w:tcW w:w="2185" w:type="dxa"/>
            <w:tcBorders>
              <w:top w:val="single" w:sz="8" w:space="0" w:color="auto"/>
              <w:left w:val="single" w:sz="8" w:space="0" w:color="auto"/>
              <w:bottom w:val="single" w:sz="8" w:space="0" w:color="auto"/>
              <w:right w:val="single" w:sz="8" w:space="0" w:color="auto"/>
            </w:tcBorders>
            <w:tcMar>
              <w:left w:w="108" w:type="dxa"/>
              <w:right w:w="108" w:type="dxa"/>
            </w:tcMar>
          </w:tcPr>
          <w:p w14:paraId="1BD7D398" w14:textId="6D54CA93" w:rsidR="004A61BA" w:rsidRPr="004A61BA" w:rsidRDefault="004A61BA">
            <w:pPr>
              <w:spacing w:after="0"/>
              <w:jc w:val="left"/>
              <w:rPr>
                <w:b/>
                <w:bCs/>
                <w:noProof/>
                <w:sz w:val="20"/>
                <w:szCs w:val="20"/>
                <w:lang w:val="en-US"/>
              </w:rPr>
            </w:pPr>
            <w:r w:rsidRPr="7624CB47">
              <w:rPr>
                <w:b/>
                <w:bCs/>
                <w:noProof/>
                <w:sz w:val="20"/>
                <w:szCs w:val="20"/>
                <w:lang w:val="en-US"/>
              </w:rPr>
              <w:t xml:space="preserve">Policy option 5a </w:t>
            </w:r>
            <w:r>
              <w:rPr>
                <w:b/>
                <w:bCs/>
                <w:noProof/>
                <w:sz w:val="20"/>
                <w:szCs w:val="20"/>
                <w:lang w:val="en-US"/>
              </w:rPr>
              <w:t>+</w:t>
            </w:r>
          </w:p>
          <w:p w14:paraId="41DD39AC" w14:textId="77777777" w:rsidR="004A61BA" w:rsidRDefault="004A61BA">
            <w:pPr>
              <w:spacing w:after="0"/>
              <w:jc w:val="left"/>
              <w:rPr>
                <w:noProof/>
                <w:sz w:val="20"/>
                <w:szCs w:val="20"/>
                <w:lang w:val="en-US"/>
              </w:rPr>
            </w:pPr>
            <w:r w:rsidRPr="7624CB47">
              <w:rPr>
                <w:noProof/>
                <w:sz w:val="20"/>
                <w:szCs w:val="20"/>
                <w:lang w:val="en-US"/>
              </w:rPr>
              <w:t xml:space="preserve">Member States are required to automatically exchange information available </w:t>
            </w:r>
            <w:r w:rsidRPr="00C80F80">
              <w:rPr>
                <w:noProof/>
                <w:sz w:val="20"/>
                <w:szCs w:val="20"/>
                <w:lang w:val="en-US"/>
              </w:rPr>
              <w:t>to relevant public authorities</w:t>
            </w:r>
            <w:r w:rsidRPr="7624CB47">
              <w:rPr>
                <w:noProof/>
                <w:sz w:val="20"/>
                <w:szCs w:val="20"/>
                <w:lang w:val="en-US"/>
              </w:rPr>
              <w:t xml:space="preserve"> on all remaining six categories of income and capital.</w:t>
            </w:r>
          </w:p>
        </w:tc>
      </w:tr>
    </w:tbl>
    <w:p w14:paraId="13CAA58E" w14:textId="77777777" w:rsidR="004A61BA" w:rsidRDefault="004A61BA" w:rsidP="004A61BA">
      <w:pPr>
        <w:pStyle w:val="Text1"/>
        <w:spacing w:before="240" w:after="160" w:line="257" w:lineRule="auto"/>
        <w:ind w:left="0"/>
        <w:rPr>
          <w:noProof/>
        </w:rPr>
      </w:pPr>
      <w:r w:rsidRPr="77FADF1A">
        <w:rPr>
          <w:b/>
          <w:bCs/>
          <w:noProof/>
        </w:rPr>
        <w:t xml:space="preserve">Policy Option </w:t>
      </w:r>
      <w:r w:rsidRPr="0E023925">
        <w:rPr>
          <w:b/>
          <w:bCs/>
          <w:noProof/>
        </w:rPr>
        <w:t>5a</w:t>
      </w:r>
      <w:r>
        <w:rPr>
          <w:noProof/>
        </w:rPr>
        <w:t xml:space="preserve"> would remove the requirement to exchange information on the category of LIP. Consequently, Member States would continue to be required to automatically exchange information on at least five of the remaining six categories of income and capital, while retaining the flexibility to choose which categories to exchange. Within each category, only information that is “available” in the tax files would be exchanged. </w:t>
      </w:r>
      <w:r w:rsidRPr="77FADF1A">
        <w:rPr>
          <w:b/>
          <w:bCs/>
          <w:noProof/>
        </w:rPr>
        <w:t xml:space="preserve">Policy Option </w:t>
      </w:r>
      <w:r w:rsidRPr="0E023925">
        <w:rPr>
          <w:b/>
          <w:bCs/>
          <w:noProof/>
        </w:rPr>
        <w:t>5b</w:t>
      </w:r>
      <w:r>
        <w:rPr>
          <w:noProof/>
        </w:rPr>
        <w:t xml:space="preserve"> would also remove the requirement for AEOI on the category of LIP. In addition, Member States would be required to automatically exchange information for all six remaining categories of income and capital. Within each category, only information that is available in the tax files would be exchanged. </w:t>
      </w:r>
      <w:r w:rsidRPr="77FADF1A">
        <w:rPr>
          <w:b/>
          <w:bCs/>
          <w:noProof/>
        </w:rPr>
        <w:t xml:space="preserve">Policy Option </w:t>
      </w:r>
      <w:r w:rsidRPr="0E023925">
        <w:rPr>
          <w:b/>
          <w:bCs/>
          <w:noProof/>
        </w:rPr>
        <w:t>5c</w:t>
      </w:r>
      <w:r>
        <w:rPr>
          <w:noProof/>
        </w:rPr>
        <w:t xml:space="preserve"> would also remove the requirement for AEOI on the category of LIP. Moreover, under this option Member States would be required to automatically exchange information available not only in their tax files but also in the files of other relevant public authorities in respect of all six remaining categories of income and capital.</w:t>
      </w:r>
    </w:p>
    <w:p w14:paraId="658B6034" w14:textId="05EEE3AE" w:rsidR="6C285401" w:rsidRPr="00682389" w:rsidRDefault="28BF82A9" w:rsidP="19989A7C">
      <w:pPr>
        <w:pStyle w:val="Heading2"/>
        <w:numPr>
          <w:ilvl w:val="0"/>
          <w:numId w:val="0"/>
        </w:numPr>
        <w:rPr>
          <w:b w:val="0"/>
          <w:noProof/>
        </w:rPr>
      </w:pPr>
      <w:bookmarkStart w:id="20" w:name="_Toc231816706"/>
      <w:r>
        <w:rPr>
          <w:noProof/>
        </w:rPr>
        <w:t>5.</w:t>
      </w:r>
      <w:r w:rsidR="000C0535">
        <w:rPr>
          <w:noProof/>
        </w:rPr>
        <w:t>3</w:t>
      </w:r>
      <w:r w:rsidR="00E83353">
        <w:rPr>
          <w:noProof/>
        </w:rPr>
        <w:t xml:space="preserve">   </w:t>
      </w:r>
      <w:r w:rsidR="6C285401" w:rsidRPr="00682389">
        <w:rPr>
          <w:noProof/>
        </w:rPr>
        <w:t>Discarded Options</w:t>
      </w:r>
      <w:bookmarkEnd w:id="20"/>
    </w:p>
    <w:p w14:paraId="6189FD85" w14:textId="77777777" w:rsidR="004A61BA" w:rsidRDefault="004A61BA" w:rsidP="004A61BA">
      <w:pPr>
        <w:spacing w:before="240"/>
        <w:rPr>
          <w:noProof/>
        </w:rPr>
      </w:pPr>
      <w:r>
        <w:rPr>
          <w:noProof/>
        </w:rPr>
        <w:t>During the preparation of this initiative, stakeholders suggested additional measures that were considered but not retained for further analysis. These options were assessed against the specific objectives of this initiative, alignment with existing international standards and the policy objectives of the DAC in tackling tax fraud, evasion and avoidance.</w:t>
      </w:r>
    </w:p>
    <w:p w14:paraId="05CFB25C" w14:textId="77777777" w:rsidR="004A61BA" w:rsidRDefault="004A61BA" w:rsidP="004A61BA">
      <w:pPr>
        <w:pStyle w:val="Heading3"/>
        <w:numPr>
          <w:ilvl w:val="0"/>
          <w:numId w:val="0"/>
        </w:numPr>
        <w:tabs>
          <w:tab w:val="num" w:pos="1134"/>
        </w:tabs>
        <w:rPr>
          <w:b/>
          <w:bCs/>
          <w:noProof/>
        </w:rPr>
      </w:pPr>
      <w:r w:rsidRPr="77FADF1A">
        <w:rPr>
          <w:b/>
          <w:bCs/>
          <w:noProof/>
        </w:rPr>
        <w:t>Repeal of DAC6</w:t>
      </w:r>
    </w:p>
    <w:p w14:paraId="0BFA1B23" w14:textId="77777777" w:rsidR="004A61BA" w:rsidRDefault="004A61BA" w:rsidP="004A61BA">
      <w:pPr>
        <w:spacing w:before="240"/>
        <w:rPr>
          <w:noProof/>
        </w:rPr>
      </w:pPr>
      <w:r>
        <w:rPr>
          <w:noProof/>
        </w:rPr>
        <w:t xml:space="preserve">Some business stakeholders proposed a repeal of DAC6 in its entirety. This option was not considered appropriate. DAC6 constitutes an important component of the EU administrative cooperation framework by requiring the early disclosure of potentially aggressive cross-border tax arrangements. In doing so, DAC6 provides a </w:t>
      </w:r>
      <w:r w:rsidRPr="77FADF1A">
        <w:rPr>
          <w:rFonts w:eastAsia="Times New Roman"/>
          <w:noProof/>
        </w:rPr>
        <w:t>strong dissuasive effect that effectively discourages aggressive tax planning arrangements. R</w:t>
      </w:r>
      <w:r>
        <w:rPr>
          <w:noProof/>
        </w:rPr>
        <w:t xml:space="preserve">emoving this reporting obligation would significantly reduce the ability of tax administrations to identify and address risks related to tax fraud, evasion and avoidance involving cross-border tax arrangements. The repeal of DAC6 would therefore undermine the effectiveness of the Union framework for combating harmful tax practices and would remove the dissuasive effects of the instrument. </w:t>
      </w:r>
    </w:p>
    <w:p w14:paraId="14EFCB89" w14:textId="77777777" w:rsidR="004A61BA" w:rsidRDefault="004A61BA" w:rsidP="004A61BA">
      <w:pPr>
        <w:pStyle w:val="Heading3"/>
        <w:numPr>
          <w:ilvl w:val="0"/>
          <w:numId w:val="0"/>
        </w:numPr>
        <w:tabs>
          <w:tab w:val="num" w:pos="1134"/>
        </w:tabs>
        <w:rPr>
          <w:b/>
          <w:bCs/>
          <w:noProof/>
        </w:rPr>
      </w:pPr>
      <w:r w:rsidRPr="77FADF1A">
        <w:rPr>
          <w:b/>
          <w:bCs/>
          <w:noProof/>
        </w:rPr>
        <w:t>Carve-out from DAC4 reporting for groups reporting under DAC9</w:t>
      </w:r>
    </w:p>
    <w:p w14:paraId="4E5FF4A0" w14:textId="3874E5CD" w:rsidR="004A61BA" w:rsidRDefault="004A61BA" w:rsidP="004A61BA">
      <w:pPr>
        <w:spacing w:before="240"/>
        <w:rPr>
          <w:noProof/>
        </w:rPr>
      </w:pPr>
      <w:r>
        <w:rPr>
          <w:noProof/>
        </w:rPr>
        <w:t xml:space="preserve">Stakeholders also suggested introducing a full carve-out from CbCR obligations under DAC4 for MNE groups that are already subject to reporting under DAC9. This option was not retained for further consideration as DAC4 provides tax administrations with important information on the global allocation of income, taxes and economic activity within MNE groups, which is used in particular for transfer pricing risk assessment. Reporting under DAC9 does not cover this specific category of information. </w:t>
      </w:r>
    </w:p>
    <w:p w14:paraId="282C6999" w14:textId="7D270A97" w:rsidR="004A61BA" w:rsidRDefault="004A61BA" w:rsidP="77FADF1A">
      <w:pPr>
        <w:spacing w:before="240"/>
        <w:rPr>
          <w:noProof/>
        </w:rPr>
      </w:pPr>
      <w:r>
        <w:rPr>
          <w:noProof/>
        </w:rPr>
        <w:t xml:space="preserve">Excluding DAC4 MNE groups that report under DAC9 would therefore lead to the loss of valuable transfer pricing information for tax administrations and consequently lower the current level of protection against tax fraud, </w:t>
      </w:r>
      <w:r w:rsidR="00A04013">
        <w:rPr>
          <w:noProof/>
        </w:rPr>
        <w:t xml:space="preserve">evasion and </w:t>
      </w:r>
      <w:r>
        <w:rPr>
          <w:noProof/>
        </w:rPr>
        <w:t xml:space="preserve">avoidance. In addition, such a carve-out would create inconsistencies with the OECD BEPS Action 13 standard on </w:t>
      </w:r>
      <w:r w:rsidR="00A04013">
        <w:rPr>
          <w:noProof/>
        </w:rPr>
        <w:t>CbCR</w:t>
      </w:r>
      <w:r>
        <w:rPr>
          <w:noProof/>
        </w:rPr>
        <w:t xml:space="preserve"> with which DAC4 is aligned. Maintaining alignment with this international standard is essential for ensuring the effectiveness, comparability and international consistency of the information exchanged.</w:t>
      </w:r>
    </w:p>
    <w:p w14:paraId="6DFE31DC" w14:textId="1026EDCD" w:rsidR="006B087E" w:rsidRDefault="113F0FE2" w:rsidP="00E83353">
      <w:pPr>
        <w:pStyle w:val="Heading1"/>
        <w:numPr>
          <w:ilvl w:val="0"/>
          <w:numId w:val="0"/>
        </w:numPr>
        <w:ind w:left="851" w:hanging="851"/>
        <w:rPr>
          <w:noProof/>
        </w:rPr>
      </w:pPr>
      <w:bookmarkStart w:id="21" w:name="_Toc231816707"/>
      <w:r>
        <w:rPr>
          <w:noProof/>
        </w:rPr>
        <w:t xml:space="preserve">6. </w:t>
      </w:r>
      <w:r w:rsidR="3F3D3787">
        <w:rPr>
          <w:noProof/>
        </w:rPr>
        <w:t>What are the impacts of the policy options?</w:t>
      </w:r>
      <w:bookmarkEnd w:id="21"/>
    </w:p>
    <w:p w14:paraId="0468FA20" w14:textId="0F29B650" w:rsidR="00A04013" w:rsidRDefault="00A04013" w:rsidP="00A04013">
      <w:pPr>
        <w:spacing w:before="240" w:after="120"/>
        <w:rPr>
          <w:rFonts w:eastAsia="Times New Roman"/>
          <w:noProof/>
        </w:rPr>
      </w:pPr>
      <w:r w:rsidRPr="7624CB47">
        <w:rPr>
          <w:rFonts w:eastAsia="Times New Roman"/>
          <w:noProof/>
        </w:rPr>
        <w:t>This Chapter assesses the impacts of the policy options identified under each measure compared with the baseline scenario. The assessment focuses on how the policy options would affect reporting volumes, compliance costs, administrative burden, legal certainty and the effectiveness of administrative cooperation compared with the current framework.</w:t>
      </w:r>
    </w:p>
    <w:p w14:paraId="14510CE9" w14:textId="00111B34" w:rsidR="00A04013" w:rsidRDefault="00A04013" w:rsidP="00A04013">
      <w:pPr>
        <w:spacing w:before="240"/>
        <w:rPr>
          <w:rFonts w:eastAsia="Times New Roman"/>
          <w:noProof/>
        </w:rPr>
      </w:pPr>
      <w:r w:rsidRPr="77FADF1A">
        <w:rPr>
          <w:rFonts w:eastAsia="Times New Roman"/>
          <w:noProof/>
        </w:rPr>
        <w:t xml:space="preserve">In line with the Better Regulation Guidelines, the analysis considers economic, social, environmental and fundamental rights impacts, as well as the effects on competitiveness, SMEs and digitalisation. Given that the DAC primarily establishes reporting obligations and information exchange mechanisms between economic operators and tax administrations, the most significant impacts are expected to arise in the form of economic and administrative burden reduction. These relate mainly to </w:t>
      </w:r>
      <w:r w:rsidRPr="00A04013">
        <w:rPr>
          <w:rFonts w:eastAsia="Times New Roman"/>
          <w:b/>
          <w:bCs/>
          <w:noProof/>
        </w:rPr>
        <w:t>compliance costs</w:t>
      </w:r>
      <w:r w:rsidRPr="77FADF1A">
        <w:rPr>
          <w:rFonts w:eastAsia="Times New Roman"/>
          <w:noProof/>
        </w:rPr>
        <w:t xml:space="preserve"> for reporting entities and tax authorities.</w:t>
      </w:r>
    </w:p>
    <w:p w14:paraId="4F7A51C4" w14:textId="7258679A" w:rsidR="7861EAD4" w:rsidRPr="008913BC" w:rsidRDefault="7861EAD4" w:rsidP="724CF5EA">
      <w:pPr>
        <w:spacing w:before="240"/>
        <w:rPr>
          <w:rFonts w:eastAsia="Times New Roman"/>
          <w:noProof/>
        </w:rPr>
      </w:pPr>
      <w:r w:rsidRPr="11E22091">
        <w:rPr>
          <w:b/>
          <w:noProof/>
        </w:rPr>
        <w:t>Methodology and analytical approach</w:t>
      </w:r>
    </w:p>
    <w:p w14:paraId="4D814A1C" w14:textId="7F1E428B" w:rsidR="7861EAD4" w:rsidRDefault="7F6B9F28" w:rsidP="17C3E9BB">
      <w:pPr>
        <w:spacing w:before="240"/>
        <w:rPr>
          <w:rFonts w:eastAsia="Times New Roman"/>
          <w:noProof/>
          <w:vertAlign w:val="superscript"/>
        </w:rPr>
      </w:pPr>
      <w:r w:rsidRPr="4321A1A3">
        <w:rPr>
          <w:rFonts w:eastAsia="Times New Roman"/>
          <w:noProof/>
        </w:rPr>
        <w:t xml:space="preserve">The assessment combines quantitative estimates and qualitative analysis drawing on several sources of evidence. These include the </w:t>
      </w:r>
      <w:r w:rsidR="6D30E8FD" w:rsidRPr="4321A1A3">
        <w:rPr>
          <w:rFonts w:eastAsia="Times New Roman"/>
          <w:noProof/>
        </w:rPr>
        <w:t>DAC</w:t>
      </w:r>
      <w:r w:rsidRPr="4321A1A3">
        <w:rPr>
          <w:rFonts w:eastAsia="Times New Roman"/>
          <w:noProof/>
        </w:rPr>
        <w:t xml:space="preserve"> evaluation </w:t>
      </w:r>
      <w:r w:rsidR="575B4144" w:rsidRPr="4321A1A3">
        <w:rPr>
          <w:rFonts w:eastAsia="Times New Roman"/>
          <w:noProof/>
        </w:rPr>
        <w:t>(published in 2025)</w:t>
      </w:r>
      <w:r w:rsidRPr="4321A1A3">
        <w:rPr>
          <w:rFonts w:eastAsia="Times New Roman"/>
          <w:noProof/>
        </w:rPr>
        <w:t xml:space="preserve">, statistical information reported by Member States through DAC reporting systems, </w:t>
      </w:r>
      <w:r w:rsidR="429A3957" w:rsidRPr="4321A1A3">
        <w:rPr>
          <w:rFonts w:eastAsia="Times New Roman"/>
          <w:noProof/>
        </w:rPr>
        <w:t xml:space="preserve">available analytical studies and extensive </w:t>
      </w:r>
      <w:r w:rsidR="26646540" w:rsidRPr="4321A1A3">
        <w:rPr>
          <w:rFonts w:eastAsia="Times New Roman"/>
          <w:noProof/>
        </w:rPr>
        <w:t>stakeholder</w:t>
      </w:r>
      <w:r w:rsidR="5159E076" w:rsidRPr="4321A1A3">
        <w:rPr>
          <w:rFonts w:eastAsia="Times New Roman"/>
          <w:noProof/>
        </w:rPr>
        <w:t xml:space="preserve"> consultation activities</w:t>
      </w:r>
      <w:r w:rsidR="6DA97563" w:rsidRPr="4321A1A3">
        <w:rPr>
          <w:rFonts w:eastAsia="Times New Roman"/>
          <w:noProof/>
        </w:rPr>
        <w:t xml:space="preserve"> </w:t>
      </w:r>
      <w:r w:rsidR="29C00AC3" w:rsidRPr="4321A1A3">
        <w:rPr>
          <w:rFonts w:eastAsia="Times New Roman"/>
          <w:noProof/>
        </w:rPr>
        <w:t>with business stakeholders and Member States</w:t>
      </w:r>
      <w:r w:rsidR="72414042" w:rsidRPr="4321A1A3">
        <w:rPr>
          <w:rFonts w:eastAsia="Times New Roman"/>
          <w:noProof/>
        </w:rPr>
        <w:t>.</w:t>
      </w:r>
      <w:r w:rsidR="29C00AC3" w:rsidRPr="4321A1A3">
        <w:rPr>
          <w:rFonts w:eastAsia="Times New Roman"/>
          <w:noProof/>
        </w:rPr>
        <w:t xml:space="preserve"> </w:t>
      </w:r>
      <w:r w:rsidR="38CED266" w:rsidRPr="4321A1A3">
        <w:rPr>
          <w:rFonts w:eastAsia="Times New Roman"/>
          <w:noProof/>
        </w:rPr>
        <w:t>In the latter context targeted consultations were carried out with stakeholders</w:t>
      </w:r>
      <w:r w:rsidR="6B91E343" w:rsidRPr="4321A1A3">
        <w:rPr>
          <w:rFonts w:eastAsia="Times New Roman"/>
          <w:noProof/>
        </w:rPr>
        <w:t xml:space="preserve"> in</w:t>
      </w:r>
      <w:r w:rsidR="37732A30" w:rsidRPr="4321A1A3">
        <w:rPr>
          <w:rFonts w:eastAsia="Times New Roman"/>
          <w:noProof/>
        </w:rPr>
        <w:t xml:space="preserve"> 2025 </w:t>
      </w:r>
      <w:r w:rsidR="1DC824A8" w:rsidRPr="4321A1A3">
        <w:rPr>
          <w:rFonts w:eastAsia="Times New Roman"/>
          <w:noProof/>
        </w:rPr>
        <w:t xml:space="preserve">with a public consultation and call for evidence carried out between the 16 December 2025 and 10 February 2026. </w:t>
      </w:r>
    </w:p>
    <w:p w14:paraId="7FFCC4EF" w14:textId="1B86AC95" w:rsidR="00787E5F" w:rsidRDefault="7F6B9F28" w:rsidP="00B442A0">
      <w:pPr>
        <w:spacing w:before="240" w:after="120"/>
        <w:rPr>
          <w:rFonts w:eastAsia="Times New Roman"/>
          <w:noProof/>
        </w:rPr>
      </w:pPr>
      <w:r w:rsidRPr="4321A1A3">
        <w:rPr>
          <w:rFonts w:eastAsia="Times New Roman"/>
          <w:noProof/>
        </w:rPr>
        <w:t>Where sufficient data were available, impacts were quantified using reporting volumes, compliance cost estimates and administrative workload indicators.</w:t>
      </w:r>
      <w:r w:rsidR="51057428" w:rsidRPr="4321A1A3">
        <w:rPr>
          <w:rFonts w:eastAsia="Times New Roman"/>
          <w:noProof/>
        </w:rPr>
        <w:t xml:space="preserve"> </w:t>
      </w:r>
      <w:r w:rsidR="61697813" w:rsidRPr="4321A1A3">
        <w:rPr>
          <w:rFonts w:eastAsia="Times New Roman"/>
          <w:noProof/>
        </w:rPr>
        <w:t>W</w:t>
      </w:r>
      <w:r w:rsidRPr="4321A1A3">
        <w:rPr>
          <w:rFonts w:eastAsia="Times New Roman"/>
          <w:noProof/>
        </w:rPr>
        <w:t xml:space="preserve">here reliable quantification was not possible, impacts were assessed qualitatively, </w:t>
      </w:r>
      <w:r w:rsidR="2F99BA24" w:rsidRPr="4321A1A3">
        <w:rPr>
          <w:rFonts w:eastAsia="Times New Roman"/>
          <w:noProof/>
        </w:rPr>
        <w:t>based on</w:t>
      </w:r>
      <w:r w:rsidR="0FB36BCF" w:rsidRPr="4321A1A3">
        <w:rPr>
          <w:rFonts w:eastAsia="Times New Roman"/>
          <w:noProof/>
        </w:rPr>
        <w:t xml:space="preserve"> the stakeholders’ inputs and </w:t>
      </w:r>
      <w:r w:rsidRPr="4321A1A3">
        <w:rPr>
          <w:rFonts w:eastAsia="Times New Roman"/>
          <w:noProof/>
        </w:rPr>
        <w:t>indicating the expected direction and relative magnitude of effects.</w:t>
      </w:r>
      <w:r w:rsidR="61697813" w:rsidRPr="4321A1A3">
        <w:rPr>
          <w:rFonts w:eastAsia="Times New Roman"/>
          <w:noProof/>
        </w:rPr>
        <w:t xml:space="preserve"> </w:t>
      </w:r>
      <w:r w:rsidRPr="4321A1A3">
        <w:rPr>
          <w:rFonts w:eastAsia="Times New Roman"/>
          <w:noProof/>
        </w:rPr>
        <w:t xml:space="preserve">The quantification relies on several simplifying assumptions, including the use of average compliance cost estimates derived from evaluation evidence and stakeholder input, and the use of recent reporting statistics as proxies for future reporting volumes. Further details on the methodology, assumptions and </w:t>
      </w:r>
      <w:r w:rsidR="54412B6E" w:rsidRPr="4321A1A3">
        <w:rPr>
          <w:rFonts w:eastAsia="Times New Roman"/>
          <w:noProof/>
        </w:rPr>
        <w:t xml:space="preserve">sensitivity </w:t>
      </w:r>
      <w:r w:rsidR="1F685CD9" w:rsidRPr="4321A1A3">
        <w:rPr>
          <w:rFonts w:eastAsia="Times New Roman"/>
          <w:noProof/>
        </w:rPr>
        <w:t>analysis</w:t>
      </w:r>
      <w:r w:rsidR="54412B6E" w:rsidRPr="4321A1A3">
        <w:rPr>
          <w:rFonts w:eastAsia="Times New Roman"/>
          <w:noProof/>
        </w:rPr>
        <w:t xml:space="preserve"> </w:t>
      </w:r>
      <w:r w:rsidRPr="4321A1A3">
        <w:rPr>
          <w:rFonts w:eastAsia="Times New Roman"/>
          <w:noProof/>
        </w:rPr>
        <w:t xml:space="preserve">are provided in </w:t>
      </w:r>
      <w:r w:rsidR="524098C6" w:rsidRPr="4321A1A3">
        <w:rPr>
          <w:rFonts w:eastAsia="Times New Roman"/>
          <w:noProof/>
        </w:rPr>
        <w:t xml:space="preserve">Annex 4 </w:t>
      </w:r>
      <w:r w:rsidR="68984866" w:rsidRPr="4321A1A3">
        <w:rPr>
          <w:rFonts w:eastAsia="Times New Roman"/>
          <w:noProof/>
        </w:rPr>
        <w:t>(</w:t>
      </w:r>
      <w:r w:rsidR="524098C6" w:rsidRPr="4321A1A3">
        <w:rPr>
          <w:rFonts w:eastAsia="Times New Roman"/>
          <w:noProof/>
        </w:rPr>
        <w:t>Analytical Methods</w:t>
      </w:r>
      <w:r w:rsidR="5E5CC3D4" w:rsidRPr="4321A1A3">
        <w:rPr>
          <w:rFonts w:eastAsia="Times New Roman"/>
          <w:noProof/>
        </w:rPr>
        <w:t>)</w:t>
      </w:r>
      <w:r w:rsidR="524098C6" w:rsidRPr="4321A1A3">
        <w:rPr>
          <w:rFonts w:eastAsia="Times New Roman"/>
          <w:noProof/>
        </w:rPr>
        <w:t>.</w:t>
      </w:r>
      <w:r w:rsidR="00B442A0">
        <w:rPr>
          <w:rFonts w:eastAsia="Times New Roman"/>
          <w:noProof/>
        </w:rPr>
        <w:t xml:space="preserve"> </w:t>
      </w:r>
      <w:r w:rsidR="00B442A0" w:rsidRPr="00B442A0">
        <w:rPr>
          <w:rFonts w:eastAsia="Times New Roman"/>
          <w:noProof/>
        </w:rPr>
        <w:t>In the case of DAC, the costs associated with regulatory obligations (i.e.</w:t>
      </w:r>
      <w:r w:rsidR="00B442A0">
        <w:rPr>
          <w:rFonts w:eastAsia="Times New Roman"/>
          <w:noProof/>
        </w:rPr>
        <w:t xml:space="preserve"> </w:t>
      </w:r>
      <w:r w:rsidR="00B442A0" w:rsidRPr="00B442A0">
        <w:rPr>
          <w:rFonts w:eastAsia="Times New Roman"/>
          <w:noProof/>
        </w:rPr>
        <w:t>adjustment costs) are by nature, administrative. As a result, compliance costs overlap with administrative costs unless otherwise specified.</w:t>
      </w:r>
    </w:p>
    <w:p w14:paraId="7B2CF0C8" w14:textId="4055AD3F" w:rsidR="00B23A21" w:rsidRPr="000C0535" w:rsidRDefault="32D72AA8" w:rsidP="000C0535">
      <w:pPr>
        <w:pStyle w:val="Heading2"/>
        <w:numPr>
          <w:ilvl w:val="0"/>
          <w:numId w:val="0"/>
        </w:numPr>
        <w:ind w:left="480"/>
        <w:rPr>
          <w:noProof/>
        </w:rPr>
      </w:pPr>
      <w:bookmarkStart w:id="22" w:name="_Toc231816708"/>
      <w:r w:rsidRPr="000C0535">
        <w:rPr>
          <w:noProof/>
        </w:rPr>
        <w:t>6.1 Impact on simplification while preserving the policy objectives of the DAC framework (</w:t>
      </w:r>
      <w:r w:rsidR="5F23BEE5" w:rsidRPr="000C0535">
        <w:rPr>
          <w:noProof/>
        </w:rPr>
        <w:t xml:space="preserve">compliance </w:t>
      </w:r>
      <w:r w:rsidRPr="000C0535">
        <w:rPr>
          <w:noProof/>
        </w:rPr>
        <w:t>costs and risks assessment)</w:t>
      </w:r>
      <w:bookmarkEnd w:id="22"/>
    </w:p>
    <w:p w14:paraId="270E87C1" w14:textId="13D8B1E2" w:rsidR="007C5AD7" w:rsidRDefault="349B84DD" w:rsidP="0270994E">
      <w:pPr>
        <w:pStyle w:val="Heading3"/>
        <w:numPr>
          <w:ilvl w:val="0"/>
          <w:numId w:val="0"/>
        </w:numPr>
        <w:spacing w:before="120" w:after="120"/>
        <w:rPr>
          <w:b/>
          <w:bCs/>
          <w:noProof/>
        </w:rPr>
      </w:pPr>
      <w:r w:rsidRPr="77FADF1A">
        <w:rPr>
          <w:b/>
          <w:bCs/>
          <w:noProof/>
        </w:rPr>
        <w:t>Poli</w:t>
      </w:r>
      <w:r w:rsidR="44B04676" w:rsidRPr="77FADF1A">
        <w:rPr>
          <w:b/>
          <w:bCs/>
          <w:noProof/>
        </w:rPr>
        <w:t xml:space="preserve">cy options </w:t>
      </w:r>
      <w:r w:rsidR="36D4D65C" w:rsidRPr="77FADF1A">
        <w:rPr>
          <w:b/>
          <w:bCs/>
          <w:noProof/>
        </w:rPr>
        <w:t xml:space="preserve">under </w:t>
      </w:r>
      <w:r w:rsidR="4C36D773" w:rsidRPr="77FADF1A">
        <w:rPr>
          <w:b/>
          <w:bCs/>
          <w:noProof/>
        </w:rPr>
        <w:t>M</w:t>
      </w:r>
      <w:r w:rsidR="36D4D65C" w:rsidRPr="77FADF1A">
        <w:rPr>
          <w:b/>
          <w:bCs/>
          <w:noProof/>
        </w:rPr>
        <w:t xml:space="preserve">easure </w:t>
      </w:r>
      <w:r w:rsidR="62D204CA" w:rsidRPr="3AF708C3">
        <w:rPr>
          <w:b/>
          <w:bCs/>
          <w:noProof/>
        </w:rPr>
        <w:t>1</w:t>
      </w:r>
      <w:r w:rsidR="0FE1D6BF" w:rsidRPr="77FADF1A">
        <w:rPr>
          <w:b/>
          <w:bCs/>
          <w:noProof/>
        </w:rPr>
        <w:t xml:space="preserve"> – Ensuring</w:t>
      </w:r>
      <w:r w:rsidR="361E2241" w:rsidRPr="77FADF1A">
        <w:rPr>
          <w:b/>
          <w:bCs/>
          <w:noProof/>
        </w:rPr>
        <w:t xml:space="preserve"> that DAC6 reporting obligations remain proportionate and effective</w:t>
      </w:r>
      <w:r w:rsidR="581C1F46" w:rsidRPr="77FADF1A">
        <w:rPr>
          <w:b/>
          <w:bCs/>
          <w:noProof/>
        </w:rPr>
        <w:t xml:space="preserve"> while promoting a more harmonised application of the MBT</w:t>
      </w:r>
    </w:p>
    <w:p w14:paraId="21EA6B40" w14:textId="77833E50" w:rsidR="0042359A" w:rsidRDefault="6203DAD3" w:rsidP="4321A1A3">
      <w:pPr>
        <w:pStyle w:val="Text2"/>
        <w:spacing w:after="60"/>
        <w:ind w:left="0"/>
        <w:rPr>
          <w:noProof/>
          <w:color w:val="000000" w:themeColor="text1"/>
          <w:sz w:val="20"/>
        </w:rPr>
      </w:pPr>
      <w:r w:rsidRPr="4321A1A3">
        <w:rPr>
          <w:noProof/>
          <w:sz w:val="20"/>
        </w:rPr>
        <w:t>Baseline:</w:t>
      </w:r>
      <w:r w:rsidR="2437B700" w:rsidRPr="4321A1A3">
        <w:rPr>
          <w:noProof/>
          <w:sz w:val="20"/>
        </w:rPr>
        <w:t xml:space="preserve"> </w:t>
      </w:r>
      <w:r w:rsidR="5DB64CE9" w:rsidRPr="4321A1A3">
        <w:rPr>
          <w:noProof/>
          <w:sz w:val="20"/>
        </w:rPr>
        <w:t>I</w:t>
      </w:r>
      <w:r w:rsidR="2437B700" w:rsidRPr="4321A1A3">
        <w:rPr>
          <w:noProof/>
          <w:sz w:val="20"/>
        </w:rPr>
        <w:t>ntermediaries and, in certain instances, relevant taxpayers are required to report information on cross-border arrangements based on predefined hallmark criteria, with reportability for certain hallmarks conditional on the MBT being met</w:t>
      </w:r>
      <w:r w:rsidR="15B4EC9E" w:rsidRPr="4321A1A3">
        <w:rPr>
          <w:noProof/>
          <w:sz w:val="20"/>
        </w:rPr>
        <w:t>.</w:t>
      </w:r>
    </w:p>
    <w:p w14:paraId="7DBB5154" w14:textId="0EF7E1B8" w:rsidR="293907A1" w:rsidRDefault="4845C8AC" w:rsidP="4321A1A3">
      <w:pPr>
        <w:pStyle w:val="Text2"/>
        <w:spacing w:after="60"/>
        <w:ind w:left="0"/>
        <w:rPr>
          <w:noProof/>
          <w:color w:val="000000" w:themeColor="text1"/>
          <w:sz w:val="20"/>
        </w:rPr>
      </w:pPr>
      <w:r w:rsidRPr="4321A1A3">
        <w:rPr>
          <w:noProof/>
          <w:sz w:val="20"/>
        </w:rPr>
        <w:t>PO</w:t>
      </w:r>
      <w:r w:rsidR="664965F2" w:rsidRPr="4321A1A3">
        <w:rPr>
          <w:noProof/>
          <w:sz w:val="20"/>
        </w:rPr>
        <w:t>1</w:t>
      </w:r>
      <w:r w:rsidRPr="4321A1A3">
        <w:rPr>
          <w:noProof/>
          <w:sz w:val="20"/>
        </w:rPr>
        <w:t xml:space="preserve">a: </w:t>
      </w:r>
      <w:r w:rsidRPr="4321A1A3">
        <w:rPr>
          <w:noProof/>
          <w:color w:val="000000" w:themeColor="text1"/>
          <w:sz w:val="20"/>
        </w:rPr>
        <w:t xml:space="preserve">Excluding all companies within the scope of Pillar 2 from </w:t>
      </w:r>
      <w:r w:rsidR="4530B084" w:rsidRPr="4321A1A3">
        <w:rPr>
          <w:noProof/>
          <w:color w:val="000000" w:themeColor="text1"/>
          <w:sz w:val="20"/>
        </w:rPr>
        <w:t>the</w:t>
      </w:r>
      <w:r w:rsidRPr="4321A1A3">
        <w:rPr>
          <w:noProof/>
          <w:color w:val="000000" w:themeColor="text1"/>
          <w:sz w:val="20"/>
        </w:rPr>
        <w:t xml:space="preserve"> reporting</w:t>
      </w:r>
      <w:r w:rsidR="76BDE249" w:rsidRPr="4321A1A3">
        <w:rPr>
          <w:noProof/>
          <w:color w:val="000000" w:themeColor="text1"/>
          <w:sz w:val="20"/>
        </w:rPr>
        <w:t xml:space="preserve"> </w:t>
      </w:r>
      <w:r w:rsidR="18D597B1" w:rsidRPr="4321A1A3">
        <w:rPr>
          <w:noProof/>
          <w:color w:val="000000" w:themeColor="text1"/>
          <w:sz w:val="20"/>
        </w:rPr>
        <w:t>under DAC6</w:t>
      </w:r>
      <w:r w:rsidR="6D621BB1" w:rsidRPr="4321A1A3">
        <w:rPr>
          <w:noProof/>
          <w:color w:val="000000" w:themeColor="text1"/>
          <w:sz w:val="20"/>
        </w:rPr>
        <w:t>.</w:t>
      </w:r>
    </w:p>
    <w:p w14:paraId="072296F1" w14:textId="3F07CAA2" w:rsidR="006206A1" w:rsidRPr="00CD036A" w:rsidRDefault="71B9F488" w:rsidP="4321A1A3">
      <w:pPr>
        <w:pStyle w:val="Text2"/>
        <w:spacing w:after="60"/>
        <w:ind w:left="0"/>
        <w:rPr>
          <w:noProof/>
          <w:sz w:val="20"/>
        </w:rPr>
      </w:pPr>
      <w:r w:rsidRPr="4321A1A3">
        <w:rPr>
          <w:noProof/>
          <w:sz w:val="20"/>
        </w:rPr>
        <w:t>PO</w:t>
      </w:r>
      <w:r w:rsidR="6EE062BE" w:rsidRPr="4321A1A3">
        <w:rPr>
          <w:noProof/>
          <w:sz w:val="20"/>
        </w:rPr>
        <w:t>1</w:t>
      </w:r>
      <w:r w:rsidR="070CE4B4" w:rsidRPr="4321A1A3">
        <w:rPr>
          <w:noProof/>
          <w:sz w:val="20"/>
        </w:rPr>
        <w:t>b</w:t>
      </w:r>
      <w:r w:rsidR="2C532C8F" w:rsidRPr="4321A1A3">
        <w:rPr>
          <w:noProof/>
          <w:sz w:val="20"/>
        </w:rPr>
        <w:t>:</w:t>
      </w:r>
      <w:r w:rsidR="0477F777" w:rsidRPr="4321A1A3">
        <w:rPr>
          <w:noProof/>
          <w:sz w:val="20"/>
        </w:rPr>
        <w:t xml:space="preserve"> </w:t>
      </w:r>
      <w:r w:rsidR="1E61CAA0" w:rsidRPr="4321A1A3">
        <w:rPr>
          <w:noProof/>
          <w:sz w:val="20"/>
        </w:rPr>
        <w:t>P</w:t>
      </w:r>
      <w:r w:rsidR="7B2C091A" w:rsidRPr="4321A1A3">
        <w:rPr>
          <w:noProof/>
          <w:sz w:val="20"/>
        </w:rPr>
        <w:t>O</w:t>
      </w:r>
      <w:r w:rsidR="05CAD48C" w:rsidRPr="4321A1A3">
        <w:rPr>
          <w:noProof/>
          <w:sz w:val="20"/>
        </w:rPr>
        <w:t>1</w:t>
      </w:r>
      <w:r w:rsidR="1E61CAA0" w:rsidRPr="4321A1A3">
        <w:rPr>
          <w:noProof/>
          <w:sz w:val="20"/>
        </w:rPr>
        <w:t xml:space="preserve">a + </w:t>
      </w:r>
      <w:r w:rsidR="3FABE117" w:rsidRPr="4321A1A3">
        <w:rPr>
          <w:noProof/>
          <w:sz w:val="20"/>
        </w:rPr>
        <w:t>r</w:t>
      </w:r>
      <w:r w:rsidR="2C532C8F" w:rsidRPr="4321A1A3">
        <w:rPr>
          <w:noProof/>
          <w:sz w:val="20"/>
        </w:rPr>
        <w:t xml:space="preserve">emoving </w:t>
      </w:r>
      <w:r w:rsidR="4772FDCF" w:rsidRPr="4321A1A3">
        <w:rPr>
          <w:noProof/>
          <w:sz w:val="20"/>
        </w:rPr>
        <w:t>reporting requirements related to generic</w:t>
      </w:r>
      <w:r w:rsidR="2C532C8F" w:rsidRPr="4321A1A3">
        <w:rPr>
          <w:noProof/>
          <w:sz w:val="20"/>
        </w:rPr>
        <w:t xml:space="preserve"> hallmarks </w:t>
      </w:r>
      <w:r w:rsidR="257A2FDA" w:rsidRPr="4321A1A3">
        <w:rPr>
          <w:noProof/>
          <w:sz w:val="20"/>
        </w:rPr>
        <w:t>(</w:t>
      </w:r>
      <w:r w:rsidR="01347BCF" w:rsidRPr="4321A1A3">
        <w:rPr>
          <w:noProof/>
          <w:sz w:val="20"/>
        </w:rPr>
        <w:t xml:space="preserve">category </w:t>
      </w:r>
      <w:r w:rsidR="257A2FDA" w:rsidRPr="4321A1A3">
        <w:rPr>
          <w:noProof/>
          <w:sz w:val="20"/>
        </w:rPr>
        <w:t>A)</w:t>
      </w:r>
      <w:r w:rsidR="2C532C8F" w:rsidRPr="4321A1A3">
        <w:rPr>
          <w:noProof/>
          <w:sz w:val="20"/>
        </w:rPr>
        <w:t xml:space="preserve"> and issuing guidance </w:t>
      </w:r>
      <w:r w:rsidR="2F73536E" w:rsidRPr="4321A1A3">
        <w:rPr>
          <w:noProof/>
          <w:sz w:val="20"/>
        </w:rPr>
        <w:t>on</w:t>
      </w:r>
      <w:r w:rsidR="2C532C8F" w:rsidRPr="4321A1A3">
        <w:rPr>
          <w:noProof/>
          <w:sz w:val="20"/>
        </w:rPr>
        <w:t xml:space="preserve"> application of the </w:t>
      </w:r>
      <w:r w:rsidR="27C625F3" w:rsidRPr="4321A1A3">
        <w:rPr>
          <w:noProof/>
          <w:sz w:val="20"/>
        </w:rPr>
        <w:t>MBT</w:t>
      </w:r>
      <w:r w:rsidR="2C532C8F" w:rsidRPr="4321A1A3">
        <w:rPr>
          <w:noProof/>
          <w:sz w:val="20"/>
        </w:rPr>
        <w:t xml:space="preserve"> </w:t>
      </w:r>
      <w:r w:rsidR="0A0BFBFA" w:rsidRPr="4321A1A3">
        <w:rPr>
          <w:noProof/>
          <w:sz w:val="20"/>
        </w:rPr>
        <w:t>to</w:t>
      </w:r>
      <w:r w:rsidR="2C532C8F" w:rsidRPr="4321A1A3">
        <w:rPr>
          <w:noProof/>
          <w:sz w:val="20"/>
        </w:rPr>
        <w:t xml:space="preserve"> remaining hallmarks subject the </w:t>
      </w:r>
      <w:r w:rsidR="3A4CA289" w:rsidRPr="4321A1A3">
        <w:rPr>
          <w:noProof/>
          <w:sz w:val="20"/>
        </w:rPr>
        <w:t>test</w:t>
      </w:r>
      <w:r w:rsidR="2C532C8F" w:rsidRPr="4321A1A3">
        <w:rPr>
          <w:noProof/>
          <w:sz w:val="20"/>
        </w:rPr>
        <w:t>.</w:t>
      </w:r>
    </w:p>
    <w:p w14:paraId="2C1A80E5" w14:textId="74465B6D" w:rsidR="00C6624E" w:rsidRDefault="2C532C8F" w:rsidP="4321A1A3">
      <w:pPr>
        <w:pStyle w:val="Text2"/>
        <w:spacing w:after="60"/>
        <w:ind w:left="0"/>
        <w:rPr>
          <w:noProof/>
          <w:sz w:val="20"/>
        </w:rPr>
      </w:pPr>
      <w:r w:rsidRPr="4321A1A3">
        <w:rPr>
          <w:noProof/>
          <w:sz w:val="20"/>
        </w:rPr>
        <w:t>PO</w:t>
      </w:r>
      <w:r w:rsidR="6BB92853" w:rsidRPr="4321A1A3">
        <w:rPr>
          <w:noProof/>
          <w:sz w:val="20"/>
        </w:rPr>
        <w:t>1</w:t>
      </w:r>
      <w:r w:rsidR="2A5EB422" w:rsidRPr="4321A1A3">
        <w:rPr>
          <w:noProof/>
          <w:sz w:val="20"/>
        </w:rPr>
        <w:t>c</w:t>
      </w:r>
      <w:r w:rsidRPr="4321A1A3">
        <w:rPr>
          <w:noProof/>
          <w:sz w:val="20"/>
        </w:rPr>
        <w:t xml:space="preserve">: </w:t>
      </w:r>
      <w:r w:rsidR="1C6F792D" w:rsidRPr="4321A1A3">
        <w:rPr>
          <w:noProof/>
          <w:sz w:val="20"/>
        </w:rPr>
        <w:t>P</w:t>
      </w:r>
      <w:r w:rsidR="7B2C091A" w:rsidRPr="4321A1A3">
        <w:rPr>
          <w:noProof/>
          <w:sz w:val="20"/>
        </w:rPr>
        <w:t>O</w:t>
      </w:r>
      <w:r w:rsidR="7170BA2A" w:rsidRPr="4321A1A3">
        <w:rPr>
          <w:noProof/>
          <w:sz w:val="20"/>
        </w:rPr>
        <w:t>1</w:t>
      </w:r>
      <w:r w:rsidR="1C6F792D" w:rsidRPr="4321A1A3">
        <w:rPr>
          <w:noProof/>
          <w:sz w:val="20"/>
        </w:rPr>
        <w:t xml:space="preserve">a + </w:t>
      </w:r>
      <w:r w:rsidR="527242BF" w:rsidRPr="4321A1A3">
        <w:rPr>
          <w:noProof/>
          <w:sz w:val="20"/>
        </w:rPr>
        <w:t>removing reporting requirements related to generic</w:t>
      </w:r>
      <w:r w:rsidRPr="4321A1A3">
        <w:rPr>
          <w:noProof/>
          <w:sz w:val="20"/>
        </w:rPr>
        <w:t xml:space="preserve"> hallmarks </w:t>
      </w:r>
      <w:r w:rsidR="527242BF" w:rsidRPr="4321A1A3">
        <w:rPr>
          <w:noProof/>
          <w:sz w:val="20"/>
        </w:rPr>
        <w:t xml:space="preserve">(category A) + </w:t>
      </w:r>
      <w:r w:rsidR="3087840F" w:rsidRPr="4321A1A3">
        <w:rPr>
          <w:noProof/>
          <w:sz w:val="20"/>
        </w:rPr>
        <w:t>r</w:t>
      </w:r>
      <w:r w:rsidRPr="4321A1A3">
        <w:rPr>
          <w:noProof/>
          <w:sz w:val="20"/>
        </w:rPr>
        <w:t xml:space="preserve">emoving the MBT </w:t>
      </w:r>
      <w:r w:rsidR="26DC2E13" w:rsidRPr="4321A1A3">
        <w:rPr>
          <w:noProof/>
          <w:sz w:val="20"/>
        </w:rPr>
        <w:t xml:space="preserve">and </w:t>
      </w:r>
      <w:r w:rsidRPr="4321A1A3">
        <w:rPr>
          <w:noProof/>
          <w:sz w:val="20"/>
        </w:rPr>
        <w:t xml:space="preserve">revising the remaining hallmarks </w:t>
      </w:r>
      <w:r w:rsidR="308F0954" w:rsidRPr="4321A1A3">
        <w:rPr>
          <w:noProof/>
          <w:sz w:val="20"/>
        </w:rPr>
        <w:t xml:space="preserve">previously </w:t>
      </w:r>
      <w:r w:rsidRPr="4321A1A3">
        <w:rPr>
          <w:noProof/>
          <w:sz w:val="20"/>
        </w:rPr>
        <w:t>subject to the MBT.</w:t>
      </w:r>
    </w:p>
    <w:p w14:paraId="2D002D94" w14:textId="68F3425E" w:rsidR="58AD5176" w:rsidRDefault="58AD5176" w:rsidP="48A1F512">
      <w:pPr>
        <w:spacing w:before="240"/>
        <w:rPr>
          <w:rFonts w:eastAsia="Times New Roman"/>
          <w:noProof/>
        </w:rPr>
      </w:pPr>
      <w:r w:rsidRPr="48A1F512">
        <w:rPr>
          <w:rFonts w:eastAsia="Times New Roman"/>
          <w:noProof/>
        </w:rPr>
        <w:t xml:space="preserve">All policy options have a direct </w:t>
      </w:r>
      <w:r w:rsidR="4A06D36F" w:rsidRPr="48A1F512">
        <w:rPr>
          <w:rFonts w:eastAsia="Times New Roman"/>
          <w:noProof/>
        </w:rPr>
        <w:t xml:space="preserve">and increasing </w:t>
      </w:r>
      <w:r w:rsidRPr="48A1F512">
        <w:rPr>
          <w:rFonts w:eastAsia="Times New Roman"/>
          <w:noProof/>
        </w:rPr>
        <w:t xml:space="preserve">impact </w:t>
      </w:r>
      <w:r w:rsidR="791435D2" w:rsidRPr="48A1F512">
        <w:rPr>
          <w:rFonts w:eastAsia="Times New Roman"/>
          <w:noProof/>
        </w:rPr>
        <w:t>on improving the proportionality of the framework by ensuring that reporting obligations are better targeted to</w:t>
      </w:r>
      <w:r w:rsidR="7032A7CA" w:rsidRPr="48A1F512">
        <w:rPr>
          <w:rFonts w:eastAsia="Times New Roman"/>
          <w:noProof/>
        </w:rPr>
        <w:t xml:space="preserve"> compliance risks. </w:t>
      </w:r>
      <w:r w:rsidR="7D646129" w:rsidRPr="48A1F512">
        <w:rPr>
          <w:rFonts w:eastAsia="Times New Roman"/>
          <w:noProof/>
        </w:rPr>
        <w:t xml:space="preserve">Therein the options presented are intended to ensure that </w:t>
      </w:r>
      <w:r w:rsidR="21A49A96" w:rsidRPr="48A1F512">
        <w:rPr>
          <w:rFonts w:eastAsia="Times New Roman"/>
          <w:noProof/>
        </w:rPr>
        <w:t xml:space="preserve">there is a much greater alignment between the reporting requirements and </w:t>
      </w:r>
      <w:r w:rsidR="0E82AA9F" w:rsidRPr="74F69CFC">
        <w:rPr>
          <w:rFonts w:eastAsia="Times New Roman"/>
          <w:noProof/>
        </w:rPr>
        <w:t xml:space="preserve">the </w:t>
      </w:r>
      <w:r w:rsidR="21A49A96" w:rsidRPr="48A1F512">
        <w:rPr>
          <w:rFonts w:eastAsia="Times New Roman"/>
          <w:noProof/>
        </w:rPr>
        <w:t xml:space="preserve">associated compliance costs for business </w:t>
      </w:r>
      <w:r w:rsidR="00B442A0">
        <w:rPr>
          <w:rFonts w:eastAsia="Times New Roman"/>
          <w:noProof/>
        </w:rPr>
        <w:t xml:space="preserve">and tax administrations </w:t>
      </w:r>
      <w:r w:rsidR="2F3769CD" w:rsidRPr="48A1F512">
        <w:rPr>
          <w:rFonts w:eastAsia="Times New Roman"/>
          <w:noProof/>
        </w:rPr>
        <w:t xml:space="preserve">and the information that </w:t>
      </w:r>
      <w:r w:rsidR="33DA2EAE" w:rsidRPr="48A1F512">
        <w:rPr>
          <w:rFonts w:eastAsia="Times New Roman"/>
          <w:noProof/>
        </w:rPr>
        <w:t xml:space="preserve">is necessary for tax administrations to tackle tax fraud, </w:t>
      </w:r>
      <w:r w:rsidR="33DA2EAE" w:rsidRPr="74F69CFC">
        <w:rPr>
          <w:rFonts w:eastAsia="Times New Roman"/>
          <w:noProof/>
        </w:rPr>
        <w:t>evasion</w:t>
      </w:r>
      <w:r w:rsidR="01EE2745" w:rsidRPr="74F69CFC">
        <w:rPr>
          <w:rFonts w:eastAsia="Times New Roman"/>
          <w:noProof/>
        </w:rPr>
        <w:t xml:space="preserve"> and </w:t>
      </w:r>
      <w:r w:rsidR="33DA2EAE" w:rsidRPr="48A1F512">
        <w:rPr>
          <w:rFonts w:eastAsia="Times New Roman"/>
          <w:noProof/>
        </w:rPr>
        <w:t>avoidance</w:t>
      </w:r>
      <w:r w:rsidR="33DA2EAE" w:rsidRPr="74F69CFC">
        <w:rPr>
          <w:rFonts w:eastAsia="Times New Roman"/>
          <w:noProof/>
        </w:rPr>
        <w:t>.</w:t>
      </w:r>
      <w:r w:rsidR="16565A22" w:rsidRPr="48A1F512">
        <w:rPr>
          <w:rFonts w:eastAsia="Times New Roman"/>
          <w:noProof/>
        </w:rPr>
        <w:t xml:space="preserve"> </w:t>
      </w:r>
      <w:r w:rsidR="0F91A1EE" w:rsidRPr="48A1F512">
        <w:rPr>
          <w:rFonts w:eastAsia="Times New Roman"/>
          <w:noProof/>
        </w:rPr>
        <w:t>Therefore, the</w:t>
      </w:r>
      <w:r w:rsidR="16565A22" w:rsidRPr="48A1F512">
        <w:rPr>
          <w:rFonts w:eastAsia="Times New Roman"/>
          <w:noProof/>
        </w:rPr>
        <w:t xml:space="preserve"> analysis estimates the cost savings resulting from the reduced scope of reporting requirements </w:t>
      </w:r>
      <w:r w:rsidR="072C8F3B" w:rsidRPr="48A1F512">
        <w:rPr>
          <w:rFonts w:eastAsia="Times New Roman"/>
          <w:noProof/>
        </w:rPr>
        <w:t xml:space="preserve">while also assessing the </w:t>
      </w:r>
      <w:r w:rsidR="335B1A61" w:rsidRPr="48A1F512">
        <w:rPr>
          <w:rFonts w:eastAsia="Times New Roman"/>
          <w:noProof/>
        </w:rPr>
        <w:t xml:space="preserve">extent to which these reductions may </w:t>
      </w:r>
      <w:r w:rsidR="4E6B1C7E" w:rsidRPr="48A1F512">
        <w:rPr>
          <w:rFonts w:eastAsia="Times New Roman"/>
          <w:noProof/>
        </w:rPr>
        <w:t>impact on the policy objectives of the DAC.</w:t>
      </w:r>
    </w:p>
    <w:p w14:paraId="7AD479BC" w14:textId="5FDD9342" w:rsidR="69FB24E5" w:rsidRDefault="7C688757" w:rsidP="77FADF1A">
      <w:pPr>
        <w:spacing w:before="240"/>
        <w:rPr>
          <w:rFonts w:eastAsia="Times New Roman"/>
          <w:noProof/>
        </w:rPr>
      </w:pPr>
      <w:r w:rsidRPr="77FADF1A">
        <w:rPr>
          <w:rFonts w:eastAsia="Times New Roman"/>
          <w:noProof/>
        </w:rPr>
        <w:t xml:space="preserve">In assessing the impacts of Measure </w:t>
      </w:r>
      <w:r w:rsidR="76187E94" w:rsidRPr="43788FD4">
        <w:rPr>
          <w:rFonts w:eastAsia="Times New Roman"/>
          <w:noProof/>
        </w:rPr>
        <w:t>1</w:t>
      </w:r>
      <w:r w:rsidRPr="77FADF1A">
        <w:rPr>
          <w:rFonts w:eastAsia="Times New Roman"/>
          <w:noProof/>
        </w:rPr>
        <w:t xml:space="preserve">, </w:t>
      </w:r>
      <w:r w:rsidR="75337A96" w:rsidRPr="77FADF1A">
        <w:rPr>
          <w:rFonts w:eastAsia="Times New Roman"/>
          <w:noProof/>
        </w:rPr>
        <w:t>companies</w:t>
      </w:r>
      <w:r w:rsidRPr="77FADF1A">
        <w:rPr>
          <w:rFonts w:eastAsia="Times New Roman"/>
          <w:noProof/>
        </w:rPr>
        <w:t xml:space="preserve"> within the scope of </w:t>
      </w:r>
      <w:r w:rsidR="30563455" w:rsidRPr="675EF858">
        <w:rPr>
          <w:rFonts w:eastAsia="Times New Roman"/>
          <w:noProof/>
        </w:rPr>
        <w:t xml:space="preserve">the </w:t>
      </w:r>
      <w:r w:rsidRPr="77FADF1A">
        <w:rPr>
          <w:rFonts w:eastAsia="Times New Roman"/>
          <w:noProof/>
        </w:rPr>
        <w:t xml:space="preserve">Pillar </w:t>
      </w:r>
      <w:r w:rsidR="0B9DB39D" w:rsidRPr="675EF858">
        <w:rPr>
          <w:rFonts w:eastAsia="Times New Roman"/>
          <w:noProof/>
        </w:rPr>
        <w:t>2 Directive</w:t>
      </w:r>
      <w:r w:rsidRPr="77FADF1A">
        <w:rPr>
          <w:rFonts w:eastAsia="Times New Roman"/>
          <w:noProof/>
        </w:rPr>
        <w:t xml:space="preserve"> and those outside its scope are considered separately. This distinction reflects both the different policy treatment envisaged and the underlying differences in their compliance cost structures. M</w:t>
      </w:r>
      <w:r w:rsidR="2EB72CB3" w:rsidRPr="77FADF1A">
        <w:rPr>
          <w:rFonts w:eastAsia="Times New Roman"/>
          <w:noProof/>
        </w:rPr>
        <w:t xml:space="preserve">NE </w:t>
      </w:r>
      <w:r w:rsidR="626CE180" w:rsidRPr="6F380C29">
        <w:rPr>
          <w:rFonts w:eastAsia="Times New Roman"/>
          <w:noProof/>
        </w:rPr>
        <w:t>g</w:t>
      </w:r>
      <w:r w:rsidR="2EB72CB3" w:rsidRPr="6F380C29">
        <w:rPr>
          <w:rFonts w:eastAsia="Times New Roman"/>
          <w:noProof/>
        </w:rPr>
        <w:t>roups</w:t>
      </w:r>
      <w:r w:rsidRPr="77FADF1A">
        <w:rPr>
          <w:rFonts w:eastAsia="Times New Roman"/>
          <w:noProof/>
        </w:rPr>
        <w:t xml:space="preserve"> within the scope of </w:t>
      </w:r>
      <w:r w:rsidR="3A44D751" w:rsidRPr="6F380C29">
        <w:rPr>
          <w:rFonts w:eastAsia="Times New Roman"/>
          <w:noProof/>
        </w:rPr>
        <w:t xml:space="preserve">the </w:t>
      </w:r>
      <w:r w:rsidRPr="77FADF1A">
        <w:rPr>
          <w:rFonts w:eastAsia="Times New Roman"/>
          <w:noProof/>
        </w:rPr>
        <w:t xml:space="preserve">Pillar </w:t>
      </w:r>
      <w:r w:rsidR="51B5CD63" w:rsidRPr="6F380C29">
        <w:rPr>
          <w:rFonts w:eastAsia="Times New Roman"/>
          <w:noProof/>
        </w:rPr>
        <w:t>2 Directive</w:t>
      </w:r>
      <w:r w:rsidRPr="77FADF1A">
        <w:rPr>
          <w:rFonts w:eastAsia="Times New Roman"/>
          <w:noProof/>
        </w:rPr>
        <w:t xml:space="preserve"> would benefit from a full exemption from DAC6 reporting obligations, whereas companies outside this scope would remain subject to DAC6, albeit with a reduced set of reporting requirements. </w:t>
      </w:r>
      <w:r w:rsidR="349E3561" w:rsidRPr="4960A03E">
        <w:rPr>
          <w:rFonts w:eastAsia="Times New Roman"/>
          <w:noProof/>
        </w:rPr>
        <w:t>MNE groups typically have a broader operational and tax footprint, as they conduct activities and maintain entities across multiple jurisdictions. Consequentially t</w:t>
      </w:r>
      <w:r w:rsidR="1C50EEBC" w:rsidRPr="4960A03E">
        <w:rPr>
          <w:rFonts w:eastAsia="Times New Roman"/>
          <w:noProof/>
        </w:rPr>
        <w:t>hey</w:t>
      </w:r>
      <w:r w:rsidR="0324FAAF" w:rsidRPr="4960A03E">
        <w:rPr>
          <w:rFonts w:eastAsia="Times New Roman"/>
          <w:noProof/>
        </w:rPr>
        <w:t xml:space="preserve"> engage in a higher </w:t>
      </w:r>
      <w:r w:rsidR="0324FAAF" w:rsidRPr="13E05B8E">
        <w:rPr>
          <w:rFonts w:eastAsia="Times New Roman"/>
          <w:noProof/>
        </w:rPr>
        <w:t>volume of transactions across</w:t>
      </w:r>
      <w:r w:rsidR="1C50EEBC" w:rsidRPr="4960A03E">
        <w:rPr>
          <w:rFonts w:eastAsia="Times New Roman"/>
          <w:noProof/>
        </w:rPr>
        <w:t xml:space="preserve"> more complex cross-border structures</w:t>
      </w:r>
      <w:r w:rsidR="25C09D52" w:rsidRPr="13E05B8E">
        <w:rPr>
          <w:rFonts w:eastAsia="Times New Roman"/>
          <w:noProof/>
        </w:rPr>
        <w:t>.</w:t>
      </w:r>
      <w:r w:rsidR="25C09D52" w:rsidRPr="3A7B5DAD">
        <w:rPr>
          <w:rFonts w:eastAsia="Times New Roman"/>
          <w:noProof/>
        </w:rPr>
        <w:t xml:space="preserve"> This necessitates </w:t>
      </w:r>
      <w:r w:rsidRPr="77FADF1A">
        <w:rPr>
          <w:rFonts w:eastAsia="Times New Roman"/>
          <w:noProof/>
        </w:rPr>
        <w:t xml:space="preserve">more extensive </w:t>
      </w:r>
      <w:r w:rsidR="4722CA11" w:rsidRPr="4178FF97">
        <w:rPr>
          <w:rFonts w:eastAsia="Times New Roman"/>
          <w:noProof/>
        </w:rPr>
        <w:t>and dedicated</w:t>
      </w:r>
      <w:r w:rsidRPr="0D92AC12">
        <w:rPr>
          <w:rFonts w:eastAsia="Times New Roman"/>
          <w:noProof/>
        </w:rPr>
        <w:t xml:space="preserve"> </w:t>
      </w:r>
      <w:r w:rsidRPr="77FADF1A">
        <w:rPr>
          <w:rFonts w:eastAsia="Times New Roman"/>
          <w:noProof/>
        </w:rPr>
        <w:t xml:space="preserve">internal resources to identify, assess and document potentially reportable arrangements. As a result, both the baseline compliance </w:t>
      </w:r>
      <w:r w:rsidR="00B442A0">
        <w:rPr>
          <w:rFonts w:eastAsia="Times New Roman"/>
          <w:noProof/>
        </w:rPr>
        <w:t xml:space="preserve">costs </w:t>
      </w:r>
      <w:r w:rsidRPr="77FADF1A">
        <w:rPr>
          <w:rFonts w:eastAsia="Times New Roman"/>
          <w:noProof/>
        </w:rPr>
        <w:t xml:space="preserve">and the expected cost savings differ significantly between the two groups, </w:t>
      </w:r>
      <w:r w:rsidR="52C9D3F9" w:rsidRPr="77FADF1A">
        <w:rPr>
          <w:rFonts w:eastAsia="Times New Roman"/>
          <w:noProof/>
        </w:rPr>
        <w:t xml:space="preserve">justifying </w:t>
      </w:r>
      <w:r w:rsidRPr="77FADF1A">
        <w:rPr>
          <w:rFonts w:eastAsia="Times New Roman"/>
          <w:noProof/>
        </w:rPr>
        <w:t>a separate assessment.</w:t>
      </w:r>
    </w:p>
    <w:p w14:paraId="12983444" w14:textId="59889BC1" w:rsidR="50C2F2C0" w:rsidRPr="00ED3448" w:rsidRDefault="00ED3448" w:rsidP="00DD7778">
      <w:pPr>
        <w:spacing w:before="240"/>
        <w:rPr>
          <w:b/>
          <w:bCs/>
          <w:i/>
          <w:iCs/>
          <w:noProof/>
        </w:rPr>
      </w:pPr>
      <w:r w:rsidRPr="00ED3448">
        <w:rPr>
          <w:noProof/>
        </w:rPr>
        <w:t xml:space="preserve">Under </w:t>
      </w:r>
      <w:r w:rsidR="170C37C1" w:rsidRPr="77FADF1A">
        <w:rPr>
          <w:b/>
          <w:bCs/>
          <w:noProof/>
        </w:rPr>
        <w:t xml:space="preserve">Policy Option </w:t>
      </w:r>
      <w:r w:rsidR="6EBBB693" w:rsidRPr="3AF708C3">
        <w:rPr>
          <w:b/>
          <w:bCs/>
          <w:noProof/>
        </w:rPr>
        <w:t>1</w:t>
      </w:r>
      <w:r w:rsidR="170C37C1" w:rsidRPr="3AF708C3">
        <w:rPr>
          <w:b/>
          <w:bCs/>
          <w:noProof/>
        </w:rPr>
        <w:t>a</w:t>
      </w:r>
      <w:r w:rsidR="54F9D1B5" w:rsidRPr="77FADF1A">
        <w:rPr>
          <w:b/>
          <w:bCs/>
          <w:noProof/>
        </w:rPr>
        <w:t xml:space="preserve"> </w:t>
      </w:r>
      <w:r w:rsidR="4DC96513" w:rsidRPr="50C2F2C0">
        <w:rPr>
          <w:rFonts w:eastAsia="Times New Roman"/>
          <w:noProof/>
        </w:rPr>
        <w:t xml:space="preserve">MNE groups within the scope of </w:t>
      </w:r>
      <w:r w:rsidR="7AC7D2A2" w:rsidRPr="50C2F2C0">
        <w:rPr>
          <w:rFonts w:eastAsia="Times New Roman"/>
          <w:noProof/>
        </w:rPr>
        <w:t xml:space="preserve">the </w:t>
      </w:r>
      <w:r w:rsidR="4DC96513" w:rsidRPr="50C2F2C0">
        <w:rPr>
          <w:rFonts w:eastAsia="Times New Roman"/>
          <w:noProof/>
        </w:rPr>
        <w:t xml:space="preserve">Pillar </w:t>
      </w:r>
      <w:r w:rsidR="078D1788" w:rsidRPr="50C2F2C0">
        <w:rPr>
          <w:rFonts w:eastAsia="Times New Roman"/>
          <w:noProof/>
        </w:rPr>
        <w:t>2 Directive</w:t>
      </w:r>
      <w:r w:rsidR="4DC96513" w:rsidRPr="50C2F2C0">
        <w:rPr>
          <w:rFonts w:eastAsia="Times New Roman"/>
          <w:noProof/>
        </w:rPr>
        <w:t xml:space="preserve"> are exempted from DAC6 reporting obligations. Approximately 3</w:t>
      </w:r>
      <w:r w:rsidR="0154ABD2" w:rsidRPr="50C2F2C0">
        <w:rPr>
          <w:rFonts w:eastAsia="Times New Roman"/>
          <w:noProof/>
        </w:rPr>
        <w:t>,</w:t>
      </w:r>
      <w:r w:rsidR="4DC96513" w:rsidRPr="50C2F2C0">
        <w:rPr>
          <w:rFonts w:eastAsia="Times New Roman"/>
          <w:noProof/>
        </w:rPr>
        <w:t xml:space="preserve">000 MNE groups </w:t>
      </w:r>
      <w:r w:rsidR="11A04708" w:rsidRPr="6E07C7DA">
        <w:rPr>
          <w:rFonts w:eastAsia="Times New Roman"/>
          <w:noProof/>
        </w:rPr>
        <w:t xml:space="preserve">in </w:t>
      </w:r>
      <w:r w:rsidR="1F240072" w:rsidRPr="6E07C7DA">
        <w:rPr>
          <w:rFonts w:eastAsia="Times New Roman"/>
          <w:noProof/>
        </w:rPr>
        <w:t xml:space="preserve">the </w:t>
      </w:r>
      <w:r w:rsidR="11A04708" w:rsidRPr="6E07C7DA">
        <w:rPr>
          <w:rFonts w:eastAsia="Times New Roman"/>
          <w:noProof/>
        </w:rPr>
        <w:t xml:space="preserve">EU </w:t>
      </w:r>
      <w:r w:rsidR="4DC96513" w:rsidRPr="50C2F2C0">
        <w:rPr>
          <w:rFonts w:eastAsia="Times New Roman"/>
          <w:noProof/>
        </w:rPr>
        <w:t xml:space="preserve">fall within </w:t>
      </w:r>
      <w:r w:rsidR="1F240072" w:rsidRPr="6E07C7DA">
        <w:rPr>
          <w:rFonts w:eastAsia="Times New Roman"/>
          <w:noProof/>
        </w:rPr>
        <w:t xml:space="preserve">the </w:t>
      </w:r>
      <w:r w:rsidR="4DC96513" w:rsidRPr="50C2F2C0">
        <w:rPr>
          <w:rFonts w:eastAsia="Times New Roman"/>
          <w:noProof/>
        </w:rPr>
        <w:t>scope</w:t>
      </w:r>
      <w:r w:rsidR="47BD892A" w:rsidRPr="50C2F2C0">
        <w:rPr>
          <w:rFonts w:eastAsia="Times New Roman"/>
          <w:noProof/>
        </w:rPr>
        <w:t xml:space="preserve"> of Pillar 2</w:t>
      </w:r>
      <w:r w:rsidR="304DACA5">
        <w:rPr>
          <w:rFonts w:eastAsia="Times New Roman"/>
          <w:noProof/>
        </w:rPr>
        <w:t xml:space="preserve"> and are considered relevant for </w:t>
      </w:r>
      <w:r w:rsidR="00A04013">
        <w:rPr>
          <w:rFonts w:eastAsia="Times New Roman"/>
          <w:noProof/>
        </w:rPr>
        <w:t>this</w:t>
      </w:r>
      <w:r w:rsidR="304DACA5">
        <w:rPr>
          <w:rFonts w:eastAsia="Times New Roman"/>
          <w:noProof/>
        </w:rPr>
        <w:t xml:space="preserve"> exemption</w:t>
      </w:r>
      <w:r w:rsidR="00CB3A15">
        <w:rPr>
          <w:rStyle w:val="FootnoteReference"/>
          <w:rFonts w:eastAsia="Times New Roman"/>
          <w:noProof/>
        </w:rPr>
        <w:footnoteReference w:id="55"/>
      </w:r>
      <w:r w:rsidR="7FC5ED96" w:rsidRPr="77FADF1A">
        <w:rPr>
          <w:rFonts w:eastAsia="Times New Roman"/>
          <w:noProof/>
        </w:rPr>
        <w:t xml:space="preserve">. As </w:t>
      </w:r>
      <w:r w:rsidR="0F1C3E4B" w:rsidRPr="77FADF1A">
        <w:rPr>
          <w:rFonts w:eastAsia="Times New Roman"/>
          <w:noProof/>
        </w:rPr>
        <w:t xml:space="preserve">the </w:t>
      </w:r>
      <w:r w:rsidR="7FC5ED96" w:rsidRPr="77FADF1A">
        <w:rPr>
          <w:rFonts w:eastAsia="Times New Roman"/>
          <w:noProof/>
        </w:rPr>
        <w:t xml:space="preserve">compliance activities </w:t>
      </w:r>
      <w:r w:rsidR="4547B571" w:rsidRPr="77FADF1A">
        <w:rPr>
          <w:rFonts w:eastAsia="Times New Roman"/>
          <w:noProof/>
        </w:rPr>
        <w:t xml:space="preserve">under ATAD and DAC6 </w:t>
      </w:r>
      <w:r w:rsidR="7FC5ED96" w:rsidRPr="77FADF1A">
        <w:rPr>
          <w:rFonts w:eastAsia="Times New Roman"/>
          <w:noProof/>
        </w:rPr>
        <w:t>can be considered broadly compara</w:t>
      </w:r>
      <w:r w:rsidR="759D0761" w:rsidRPr="77FADF1A">
        <w:rPr>
          <w:rFonts w:eastAsia="Times New Roman"/>
          <w:noProof/>
        </w:rPr>
        <w:t>b</w:t>
      </w:r>
      <w:r w:rsidR="7FC5ED96" w:rsidRPr="77FADF1A">
        <w:rPr>
          <w:rFonts w:eastAsia="Times New Roman"/>
          <w:noProof/>
        </w:rPr>
        <w:t>le in nature</w:t>
      </w:r>
      <w:r w:rsidR="75969D73" w:rsidRPr="77FADF1A">
        <w:rPr>
          <w:rFonts w:eastAsia="Times New Roman"/>
          <w:noProof/>
        </w:rPr>
        <w:t>,</w:t>
      </w:r>
      <w:r w:rsidR="7FC5ED96" w:rsidRPr="77FADF1A">
        <w:rPr>
          <w:rFonts w:eastAsia="Times New Roman"/>
          <w:noProof/>
        </w:rPr>
        <w:t xml:space="preserve"> </w:t>
      </w:r>
      <w:r w:rsidR="7817D957" w:rsidRPr="77FADF1A">
        <w:rPr>
          <w:rFonts w:eastAsia="Times New Roman"/>
          <w:noProof/>
        </w:rPr>
        <w:t>this assessment draws</w:t>
      </w:r>
      <w:r w:rsidR="60140585" w:rsidRPr="77FADF1A">
        <w:rPr>
          <w:rFonts w:eastAsia="Times New Roman"/>
          <w:noProof/>
        </w:rPr>
        <w:t xml:space="preserve"> on evidence from the</w:t>
      </w:r>
      <w:r w:rsidR="00C80F80">
        <w:rPr>
          <w:rFonts w:eastAsia="Times New Roman"/>
          <w:noProof/>
        </w:rPr>
        <w:t xml:space="preserve"> ATAD</w:t>
      </w:r>
      <w:r w:rsidR="60140585" w:rsidRPr="77FADF1A">
        <w:rPr>
          <w:rFonts w:eastAsia="Times New Roman"/>
          <w:noProof/>
        </w:rPr>
        <w:t xml:space="preserve"> evaluation as a benchmark</w:t>
      </w:r>
      <w:r w:rsidR="30CBB045" w:rsidRPr="77FADF1A">
        <w:rPr>
          <w:rFonts w:eastAsia="Times New Roman"/>
          <w:noProof/>
        </w:rPr>
        <w:t xml:space="preserve">. </w:t>
      </w:r>
      <w:r w:rsidR="60140585" w:rsidRPr="77FADF1A">
        <w:rPr>
          <w:rFonts w:eastAsia="Times New Roman"/>
          <w:noProof/>
        </w:rPr>
        <w:t xml:space="preserve">Both ATAD and DAC6 require </w:t>
      </w:r>
      <w:r w:rsidR="60B8CFEA" w:rsidRPr="77FADF1A">
        <w:rPr>
          <w:rFonts w:eastAsia="Times New Roman"/>
          <w:noProof/>
        </w:rPr>
        <w:t>companie</w:t>
      </w:r>
      <w:r w:rsidR="60140585" w:rsidRPr="77FADF1A">
        <w:rPr>
          <w:rFonts w:eastAsia="Times New Roman"/>
          <w:noProof/>
        </w:rPr>
        <w:t>s to continuously monitor and assess cross-border transactions against predefined tax rules, often involving detailed legal and economic analysis, internal coordination across group entities and the application of specialised tax expertise. Based on this parallel, MNE groups are estimated to dedicate around 1.5 FTE staff to DAC6</w:t>
      </w:r>
      <w:r w:rsidR="37AFA656" w:rsidRPr="77FADF1A">
        <w:rPr>
          <w:rFonts w:eastAsia="Times New Roman"/>
          <w:noProof/>
        </w:rPr>
        <w:t xml:space="preserve"> </w:t>
      </w:r>
      <w:r w:rsidR="60140585" w:rsidRPr="6E07C7DA">
        <w:rPr>
          <w:rFonts w:eastAsia="Times New Roman"/>
          <w:noProof/>
        </w:rPr>
        <w:t xml:space="preserve">related </w:t>
      </w:r>
      <w:r w:rsidR="00B442A0">
        <w:rPr>
          <w:rFonts w:eastAsia="Times New Roman"/>
          <w:noProof/>
        </w:rPr>
        <w:t>administrative</w:t>
      </w:r>
      <w:r w:rsidR="60140585" w:rsidRPr="6E07C7DA">
        <w:rPr>
          <w:rFonts w:eastAsia="Times New Roman"/>
          <w:noProof/>
        </w:rPr>
        <w:t xml:space="preserve"> work, corresponding to an annual compliance cost of approximately EUR </w:t>
      </w:r>
      <w:r w:rsidR="69823ADD" w:rsidRPr="6E07C7DA">
        <w:rPr>
          <w:rFonts w:eastAsia="Times New Roman"/>
          <w:noProof/>
        </w:rPr>
        <w:t>100</w:t>
      </w:r>
      <w:r w:rsidR="502AC2DB" w:rsidRPr="6E07C7DA">
        <w:rPr>
          <w:rFonts w:eastAsia="Times New Roman"/>
          <w:noProof/>
        </w:rPr>
        <w:t>,</w:t>
      </w:r>
      <w:r w:rsidR="60140585" w:rsidRPr="77FADF1A">
        <w:rPr>
          <w:rFonts w:eastAsia="Times New Roman"/>
          <w:noProof/>
        </w:rPr>
        <w:t>000 per group</w:t>
      </w:r>
      <w:r w:rsidR="00CC088D">
        <w:rPr>
          <w:rFonts w:eastAsia="Times New Roman"/>
          <w:noProof/>
        </w:rPr>
        <w:t xml:space="preserve"> (</w:t>
      </w:r>
      <w:r w:rsidR="00CC088D">
        <w:rPr>
          <w:rStyle w:val="FootnoteReference"/>
          <w:rFonts w:eastAsia="Times New Roman"/>
          <w:noProof/>
        </w:rPr>
        <w:footnoteReference w:id="56"/>
      </w:r>
      <w:r w:rsidR="00CC088D">
        <w:rPr>
          <w:rFonts w:eastAsia="Times New Roman"/>
          <w:noProof/>
        </w:rPr>
        <w:t>)</w:t>
      </w:r>
      <w:r w:rsidR="280B9376" w:rsidRPr="6E07C7DA">
        <w:rPr>
          <w:rFonts w:eastAsia="Times New Roman"/>
          <w:noProof/>
        </w:rPr>
        <w:t xml:space="preserve">. The total compliance cost savings are </w:t>
      </w:r>
      <w:r w:rsidR="4DC96513" w:rsidRPr="77FADF1A">
        <w:rPr>
          <w:rFonts w:eastAsia="Times New Roman"/>
          <w:noProof/>
        </w:rPr>
        <w:t xml:space="preserve">therefore estimated </w:t>
      </w:r>
      <w:r w:rsidR="2FBB2DD3" w:rsidRPr="6E07C7DA" w:rsidDel="001D03DE">
        <w:rPr>
          <w:rFonts w:eastAsia="Times New Roman"/>
          <w:noProof/>
        </w:rPr>
        <w:t>at approximately</w:t>
      </w:r>
      <w:r w:rsidR="2FBB2DD3" w:rsidRPr="6E07C7DA" w:rsidDel="69FB24E5">
        <w:rPr>
          <w:rFonts w:eastAsia="Times New Roman"/>
          <w:noProof/>
        </w:rPr>
        <w:t xml:space="preserve"> </w:t>
      </w:r>
      <w:r w:rsidR="4DC96513" w:rsidRPr="6E07C7DA" w:rsidDel="69FB24E5">
        <w:rPr>
          <w:rFonts w:eastAsia="Times New Roman"/>
          <w:noProof/>
        </w:rPr>
        <w:t xml:space="preserve">EUR </w:t>
      </w:r>
      <w:r w:rsidR="475D6FB7" w:rsidRPr="6E6FD2F8">
        <w:rPr>
          <w:rFonts w:eastAsia="Times New Roman"/>
          <w:noProof/>
        </w:rPr>
        <w:t xml:space="preserve">300 </w:t>
      </w:r>
      <w:r w:rsidR="4DC96513" w:rsidRPr="6E07C7DA">
        <w:rPr>
          <w:rFonts w:eastAsia="Times New Roman"/>
          <w:noProof/>
        </w:rPr>
        <w:t>million per year</w:t>
      </w:r>
      <w:r w:rsidR="6BC1D9E4" w:rsidRPr="77FADF1A">
        <w:rPr>
          <w:rFonts w:eastAsia="Times New Roman"/>
          <w:noProof/>
        </w:rPr>
        <w:t>.</w:t>
      </w:r>
    </w:p>
    <w:p w14:paraId="2C0E75A8" w14:textId="156B18B5" w:rsidR="005E7B99" w:rsidRDefault="3B4D84D5" w:rsidP="00DD7778">
      <w:pPr>
        <w:spacing w:before="240"/>
        <w:rPr>
          <w:rFonts w:eastAsia="Times New Roman"/>
          <w:noProof/>
        </w:rPr>
      </w:pPr>
      <w:r w:rsidRPr="4321A1A3">
        <w:rPr>
          <w:rFonts w:eastAsia="Times New Roman"/>
          <w:noProof/>
        </w:rPr>
        <w:t>DAC6 obligations are imposed</w:t>
      </w:r>
      <w:r w:rsidR="00480B3E">
        <w:rPr>
          <w:rFonts w:eastAsia="Times New Roman"/>
          <w:noProof/>
        </w:rPr>
        <w:t xml:space="preserve"> on intermediaries and in certain instances relevant taxpayers</w:t>
      </w:r>
      <w:r w:rsidRPr="4321A1A3">
        <w:rPr>
          <w:rFonts w:eastAsia="Times New Roman"/>
          <w:noProof/>
        </w:rPr>
        <w:t xml:space="preserve"> meaning that, in principle, each entity within a </w:t>
      </w:r>
      <w:r w:rsidR="1A623BF1" w:rsidRPr="4321A1A3">
        <w:rPr>
          <w:rFonts w:eastAsia="Times New Roman"/>
          <w:noProof/>
        </w:rPr>
        <w:t xml:space="preserve">MNE </w:t>
      </w:r>
      <w:r w:rsidRPr="4321A1A3">
        <w:rPr>
          <w:rFonts w:eastAsia="Times New Roman"/>
          <w:noProof/>
        </w:rPr>
        <w:t>group could be required to report a relevant arrangement. However, in practice, large MNE groups typically centralise their DAC6 compliance processes within dedicated in-house tax departments. As a result, the incremental compliance burden is not proportional to the number of entities but reflects the overall complexity and volume of cross-border arrangements at group level. Modelling compliance costs on a per-entity basis would therefore risk significantly overstating the actual resource requirements. The present approach accordingly estimates compliance costs at group level, implicitly covering all constituent entities within the group structure.</w:t>
      </w:r>
    </w:p>
    <w:p w14:paraId="6235634F" w14:textId="77777777" w:rsidR="00E306CE" w:rsidRDefault="00E306CE" w:rsidP="48A1F512">
      <w:pPr>
        <w:spacing w:before="240"/>
        <w:rPr>
          <w:rFonts w:eastAsia="Times New Roman"/>
          <w:noProof/>
        </w:rPr>
      </w:pPr>
    </w:p>
    <w:p w14:paraId="3D9A1E51" w14:textId="678B3321" w:rsidR="00885356" w:rsidRDefault="1D86B010" w:rsidP="48A1F512">
      <w:pPr>
        <w:spacing w:before="240"/>
        <w:rPr>
          <w:rFonts w:eastAsia="Times New Roman"/>
          <w:noProof/>
        </w:rPr>
      </w:pPr>
      <w:r w:rsidRPr="48A1F512">
        <w:rPr>
          <w:rFonts w:eastAsia="Times New Roman"/>
          <w:noProof/>
        </w:rPr>
        <w:t xml:space="preserve">Under this option </w:t>
      </w:r>
      <w:r w:rsidR="1216D107" w:rsidRPr="48A1F512">
        <w:rPr>
          <w:rFonts w:eastAsia="Times New Roman"/>
          <w:noProof/>
        </w:rPr>
        <w:t xml:space="preserve">and based on statistical reporting data </w:t>
      </w:r>
      <w:r w:rsidR="00C80F80">
        <w:rPr>
          <w:rFonts w:eastAsia="Times New Roman"/>
          <w:noProof/>
        </w:rPr>
        <w:t xml:space="preserve">covering the </w:t>
      </w:r>
      <w:r w:rsidR="1216D107" w:rsidRPr="48A1F512">
        <w:rPr>
          <w:rFonts w:eastAsia="Times New Roman"/>
          <w:noProof/>
        </w:rPr>
        <w:t>distribution of disclosure</w:t>
      </w:r>
      <w:r w:rsidR="00C80F80">
        <w:rPr>
          <w:rFonts w:eastAsia="Times New Roman"/>
          <w:noProof/>
        </w:rPr>
        <w:t xml:space="preserve"> reports</w:t>
      </w:r>
      <w:r w:rsidR="1216D107" w:rsidRPr="48A1F512">
        <w:rPr>
          <w:rFonts w:eastAsia="Times New Roman"/>
          <w:noProof/>
        </w:rPr>
        <w:t xml:space="preserve"> across hallmarks combined with </w:t>
      </w:r>
      <w:r w:rsidR="74D31D16" w:rsidRPr="48A1F512">
        <w:rPr>
          <w:rFonts w:eastAsia="Times New Roman"/>
          <w:noProof/>
        </w:rPr>
        <w:t xml:space="preserve">company </w:t>
      </w:r>
      <w:r w:rsidR="1216D107" w:rsidRPr="48A1F512">
        <w:rPr>
          <w:rFonts w:eastAsia="Times New Roman"/>
          <w:noProof/>
        </w:rPr>
        <w:t xml:space="preserve">level information on the share of </w:t>
      </w:r>
      <w:r w:rsidR="3877753A" w:rsidRPr="48A1F512">
        <w:rPr>
          <w:rFonts w:eastAsia="Times New Roman"/>
          <w:noProof/>
        </w:rPr>
        <w:t>MNE’s</w:t>
      </w:r>
      <w:r w:rsidR="1216D107" w:rsidRPr="48A1F512">
        <w:rPr>
          <w:rFonts w:eastAsia="Times New Roman"/>
          <w:noProof/>
        </w:rPr>
        <w:t xml:space="preserve"> within the scope of </w:t>
      </w:r>
      <w:r w:rsidR="09826B76" w:rsidRPr="309C622B">
        <w:rPr>
          <w:rFonts w:eastAsia="Times New Roman"/>
          <w:noProof/>
        </w:rPr>
        <w:t xml:space="preserve">the </w:t>
      </w:r>
      <w:r w:rsidR="1216D107" w:rsidRPr="309C622B">
        <w:rPr>
          <w:rFonts w:eastAsia="Times New Roman"/>
          <w:noProof/>
        </w:rPr>
        <w:t xml:space="preserve">Pillar </w:t>
      </w:r>
      <w:r w:rsidR="16073BBB" w:rsidRPr="309C622B">
        <w:rPr>
          <w:rFonts w:eastAsia="Times New Roman"/>
          <w:noProof/>
        </w:rPr>
        <w:t>2 Directive</w:t>
      </w:r>
      <w:r w:rsidR="00C80F80">
        <w:rPr>
          <w:rFonts w:eastAsia="Times New Roman"/>
          <w:noProof/>
        </w:rPr>
        <w:t>,</w:t>
      </w:r>
      <w:r w:rsidR="1216D107" w:rsidRPr="48A1F512">
        <w:rPr>
          <w:rFonts w:eastAsia="Times New Roman"/>
          <w:noProof/>
        </w:rPr>
        <w:t xml:space="preserve"> </w:t>
      </w:r>
      <w:r w:rsidRPr="48A1F512">
        <w:rPr>
          <w:rFonts w:eastAsia="Times New Roman"/>
          <w:noProof/>
        </w:rPr>
        <w:t>the number of disclosure</w:t>
      </w:r>
      <w:r w:rsidR="34545031" w:rsidRPr="48A1F512">
        <w:rPr>
          <w:rFonts w:eastAsia="Times New Roman"/>
          <w:noProof/>
        </w:rPr>
        <w:t xml:space="preserve"> reports</w:t>
      </w:r>
      <w:r w:rsidRPr="48A1F512">
        <w:rPr>
          <w:rFonts w:eastAsia="Times New Roman"/>
          <w:noProof/>
        </w:rPr>
        <w:t xml:space="preserve"> </w:t>
      </w:r>
      <w:r w:rsidR="1216D107" w:rsidRPr="48A1F512">
        <w:rPr>
          <w:rFonts w:eastAsia="Times New Roman"/>
          <w:noProof/>
        </w:rPr>
        <w:t xml:space="preserve">is estimated to </w:t>
      </w:r>
      <w:r w:rsidRPr="48A1F512">
        <w:rPr>
          <w:rFonts w:eastAsia="Times New Roman"/>
          <w:noProof/>
        </w:rPr>
        <w:t>decrease by</w:t>
      </w:r>
      <w:r w:rsidR="187C5548">
        <w:rPr>
          <w:noProof/>
        </w:rPr>
        <w:t xml:space="preserve"> </w:t>
      </w:r>
      <w:r w:rsidR="187C5548" w:rsidRPr="48A1F512">
        <w:rPr>
          <w:rFonts w:eastAsia="Times New Roman"/>
          <w:noProof/>
        </w:rPr>
        <w:t>approximately 2</w:t>
      </w:r>
      <w:r w:rsidR="7C406F3D" w:rsidRPr="6D3C5DF2">
        <w:rPr>
          <w:rFonts w:eastAsia="Times New Roman"/>
          <w:noProof/>
        </w:rPr>
        <w:t>,</w:t>
      </w:r>
      <w:r w:rsidR="187C5548" w:rsidRPr="48A1F512">
        <w:rPr>
          <w:rFonts w:eastAsia="Times New Roman"/>
          <w:noProof/>
        </w:rPr>
        <w:t>000 to 3</w:t>
      </w:r>
      <w:r w:rsidR="5031AEC7" w:rsidRPr="6D3C5DF2">
        <w:rPr>
          <w:rFonts w:eastAsia="Times New Roman"/>
          <w:noProof/>
        </w:rPr>
        <w:t>,</w:t>
      </w:r>
      <w:r w:rsidR="187C5548" w:rsidRPr="48A1F512">
        <w:rPr>
          <w:rFonts w:eastAsia="Times New Roman"/>
          <w:noProof/>
        </w:rPr>
        <w:t>000 per year</w:t>
      </w:r>
      <w:r w:rsidR="5AB93115" w:rsidRPr="48A1F512">
        <w:rPr>
          <w:rFonts w:eastAsia="Times New Roman"/>
          <w:noProof/>
        </w:rPr>
        <w:t xml:space="preserve">. </w:t>
      </w:r>
    </w:p>
    <w:p w14:paraId="1A44351F" w14:textId="582546B7" w:rsidR="00885356" w:rsidRPr="00885356" w:rsidRDefault="5AB93115" w:rsidP="0013048E">
      <w:pPr>
        <w:spacing w:before="240"/>
        <w:rPr>
          <w:rFonts w:eastAsia="Times New Roman"/>
          <w:noProof/>
          <w:color w:val="000000" w:themeColor="text1"/>
          <w:szCs w:val="20"/>
          <w:lang w:val="en-IE"/>
        </w:rPr>
      </w:pPr>
      <w:r w:rsidRPr="48A1F512">
        <w:rPr>
          <w:rFonts w:eastAsia="Times New Roman"/>
          <w:noProof/>
        </w:rPr>
        <w:t xml:space="preserve">This </w:t>
      </w:r>
      <w:r w:rsidR="5409D67E" w:rsidRPr="48A1F512">
        <w:rPr>
          <w:rFonts w:eastAsia="Times New Roman"/>
          <w:noProof/>
        </w:rPr>
        <w:t>reduction is</w:t>
      </w:r>
      <w:r w:rsidRPr="48A1F512">
        <w:rPr>
          <w:rFonts w:eastAsia="Times New Roman"/>
          <w:noProof/>
        </w:rPr>
        <w:t xml:space="preserve"> not expected to impact on </w:t>
      </w:r>
      <w:r w:rsidR="3C498B20" w:rsidRPr="48A1F512">
        <w:rPr>
          <w:rFonts w:eastAsia="Times New Roman"/>
          <w:noProof/>
        </w:rPr>
        <w:t xml:space="preserve">the policy objectives </w:t>
      </w:r>
      <w:r w:rsidR="00C80F80">
        <w:rPr>
          <w:rFonts w:eastAsia="Times New Roman"/>
          <w:noProof/>
        </w:rPr>
        <w:t xml:space="preserve">of the DAC as </w:t>
      </w:r>
      <w:r w:rsidR="3C498B20" w:rsidRPr="3C6558C1">
        <w:rPr>
          <w:rFonts w:eastAsia="Times New Roman"/>
          <w:noProof/>
        </w:rPr>
        <w:t>MNE</w:t>
      </w:r>
      <w:r w:rsidR="1F3BE4A2" w:rsidRPr="3C6558C1">
        <w:rPr>
          <w:rFonts w:eastAsia="Times New Roman"/>
          <w:noProof/>
        </w:rPr>
        <w:t xml:space="preserve"> groups in</w:t>
      </w:r>
      <w:r w:rsidR="3C498B20" w:rsidRPr="48A1F512">
        <w:rPr>
          <w:rFonts w:eastAsia="Times New Roman"/>
          <w:noProof/>
        </w:rPr>
        <w:t xml:space="preserve"> scope will be subject to a minimum </w:t>
      </w:r>
      <w:r w:rsidR="7DCDA4C3" w:rsidRPr="48A1F512">
        <w:rPr>
          <w:rFonts w:eastAsia="Times New Roman"/>
          <w:noProof/>
        </w:rPr>
        <w:t>effective tax rate of 15%.</w:t>
      </w:r>
      <w:r w:rsidR="00885356">
        <w:rPr>
          <w:rFonts w:eastAsia="Times New Roman"/>
          <w:noProof/>
        </w:rPr>
        <w:t xml:space="preserve"> </w:t>
      </w:r>
      <w:r w:rsidR="00885356">
        <w:rPr>
          <w:rFonts w:eastAsia="Times New Roman"/>
          <w:noProof/>
          <w:color w:val="000000" w:themeColor="text1"/>
          <w:szCs w:val="20"/>
          <w:lang w:val="en-IE"/>
        </w:rPr>
        <w:t>W</w:t>
      </w:r>
      <w:r w:rsidR="00885356" w:rsidRPr="00885356">
        <w:rPr>
          <w:rFonts w:eastAsia="Times New Roman"/>
          <w:noProof/>
          <w:color w:val="000000" w:themeColor="text1"/>
          <w:szCs w:val="20"/>
          <w:lang w:val="en-IE"/>
        </w:rPr>
        <w:t xml:space="preserve">hile </w:t>
      </w:r>
      <w:r w:rsidR="00885356" w:rsidRPr="00885356">
        <w:rPr>
          <w:rFonts w:eastAsia="Times New Roman"/>
          <w:b/>
          <w:bCs/>
          <w:noProof/>
          <w:color w:val="000000" w:themeColor="text1"/>
          <w:szCs w:val="20"/>
          <w:lang w:val="en-IE"/>
        </w:rPr>
        <w:t>ex post empirical evidence</w:t>
      </w:r>
      <w:r w:rsidR="00885356" w:rsidRPr="00885356">
        <w:rPr>
          <w:rFonts w:eastAsia="Times New Roman"/>
          <w:noProof/>
          <w:color w:val="000000" w:themeColor="text1"/>
          <w:szCs w:val="20"/>
          <w:lang w:val="en-IE"/>
        </w:rPr>
        <w:t xml:space="preserve"> is not yet available, given that </w:t>
      </w:r>
      <w:r w:rsidR="00885356" w:rsidRPr="00885356" w:rsidDel="002C3432">
        <w:rPr>
          <w:rFonts w:eastAsia="Times New Roman"/>
          <w:noProof/>
          <w:color w:val="000000" w:themeColor="text1"/>
          <w:szCs w:val="20"/>
          <w:lang w:val="en-IE"/>
        </w:rPr>
        <w:t xml:space="preserve">Pillar </w:t>
      </w:r>
      <w:r w:rsidR="00885356" w:rsidRPr="00885356">
        <w:rPr>
          <w:rFonts w:eastAsia="Times New Roman"/>
          <w:noProof/>
          <w:color w:val="000000" w:themeColor="text1"/>
          <w:szCs w:val="20"/>
          <w:lang w:val="en-IE"/>
        </w:rPr>
        <w:t xml:space="preserve">2 has only recently been implemented, existing </w:t>
      </w:r>
      <w:r w:rsidR="00885356" w:rsidRPr="00885356">
        <w:rPr>
          <w:rFonts w:eastAsia="Times New Roman"/>
          <w:b/>
          <w:bCs/>
          <w:noProof/>
          <w:color w:val="000000" w:themeColor="text1"/>
          <w:szCs w:val="20"/>
          <w:lang w:val="en-IE"/>
        </w:rPr>
        <w:t>ex ante analyses</w:t>
      </w:r>
      <w:r w:rsidR="00885356" w:rsidRPr="00885356">
        <w:rPr>
          <w:rFonts w:eastAsia="Times New Roman"/>
          <w:noProof/>
          <w:color w:val="000000" w:themeColor="text1"/>
          <w:szCs w:val="20"/>
          <w:lang w:val="en-IE"/>
        </w:rPr>
        <w:t xml:space="preserve"> provide important insights</w:t>
      </w:r>
      <w:r w:rsidR="00885356">
        <w:rPr>
          <w:rFonts w:eastAsia="Times New Roman"/>
          <w:noProof/>
          <w:color w:val="000000" w:themeColor="text1"/>
          <w:szCs w:val="20"/>
          <w:lang w:val="en-IE"/>
        </w:rPr>
        <w:t xml:space="preserve"> in this respect</w:t>
      </w:r>
      <w:r w:rsidR="00885356" w:rsidRPr="00885356">
        <w:rPr>
          <w:rFonts w:eastAsia="Times New Roman"/>
          <w:noProof/>
          <w:color w:val="000000" w:themeColor="text1"/>
          <w:szCs w:val="20"/>
          <w:lang w:val="en-IE"/>
        </w:rPr>
        <w:t>. Notably, the OECD’s impact assessment</w:t>
      </w:r>
      <w:r w:rsidR="00885356">
        <w:rPr>
          <w:rFonts w:eastAsia="Times New Roman"/>
          <w:noProof/>
          <w:color w:val="000000" w:themeColor="text1"/>
          <w:szCs w:val="20"/>
          <w:lang w:val="en-IE"/>
        </w:rPr>
        <w:t xml:space="preserve"> </w:t>
      </w:r>
      <w:r w:rsidR="00885356" w:rsidRPr="00885356" w:rsidDel="4E9FCC65">
        <w:rPr>
          <w:rFonts w:eastAsia="Times New Roman"/>
          <w:noProof/>
          <w:color w:val="000000" w:themeColor="text1"/>
          <w:szCs w:val="20"/>
          <w:lang w:val="en-IE"/>
        </w:rPr>
        <w:t xml:space="preserve">finds that </w:t>
      </w:r>
      <w:r w:rsidR="00885356" w:rsidRPr="00885356">
        <w:rPr>
          <w:rFonts w:eastAsia="Times New Roman"/>
          <w:noProof/>
          <w:color w:val="000000" w:themeColor="text1"/>
          <w:szCs w:val="20"/>
          <w:lang w:val="en-IE"/>
        </w:rPr>
        <w:t>the Pillar 2 framework, by ensuring a minimum level of effective taxation (15%) for MNE groups</w:t>
      </w:r>
      <w:r w:rsidR="00885356" w:rsidRPr="00885356" w:rsidDel="005A6885">
        <w:rPr>
          <w:rFonts w:eastAsia="Times New Roman"/>
          <w:noProof/>
          <w:color w:val="000000" w:themeColor="text1"/>
          <w:szCs w:val="20"/>
          <w:lang w:val="en-IE"/>
        </w:rPr>
        <w:t xml:space="preserve"> in each jurisdiction</w:t>
      </w:r>
      <w:r w:rsidR="00885356" w:rsidRPr="00885356">
        <w:rPr>
          <w:rFonts w:eastAsia="Times New Roman"/>
          <w:noProof/>
          <w:color w:val="000000" w:themeColor="text1"/>
          <w:szCs w:val="20"/>
          <w:lang w:val="en-IE"/>
        </w:rPr>
        <w:t xml:space="preserve"> in which they operate, </w:t>
      </w:r>
      <w:r w:rsidR="00885356" w:rsidRPr="00885356" w:rsidDel="4E9FCC65">
        <w:rPr>
          <w:rFonts w:eastAsia="Times New Roman"/>
          <w:noProof/>
          <w:color w:val="000000" w:themeColor="text1"/>
          <w:szCs w:val="20"/>
          <w:lang w:val="en-IE"/>
        </w:rPr>
        <w:t>is</w:t>
      </w:r>
      <w:r w:rsidR="00885356" w:rsidRPr="00885356">
        <w:rPr>
          <w:rFonts w:eastAsia="Times New Roman"/>
          <w:noProof/>
          <w:color w:val="000000" w:themeColor="text1"/>
          <w:szCs w:val="20"/>
          <w:lang w:val="en-IE"/>
        </w:rPr>
        <w:t xml:space="preserve"> </w:t>
      </w:r>
      <w:r w:rsidR="00885356" w:rsidRPr="00885356" w:rsidDel="00803D82">
        <w:rPr>
          <w:rFonts w:eastAsia="Times New Roman"/>
          <w:noProof/>
          <w:color w:val="000000" w:themeColor="text1"/>
          <w:szCs w:val="20"/>
          <w:lang w:val="en-IE"/>
        </w:rPr>
        <w:t>limiting effective tax rate differentials across jurisdictions</w:t>
      </w:r>
      <w:r w:rsidR="00885356" w:rsidRPr="00885356">
        <w:rPr>
          <w:rFonts w:eastAsia="Times New Roman"/>
          <w:noProof/>
          <w:color w:val="000000" w:themeColor="text1"/>
          <w:szCs w:val="20"/>
          <w:lang w:val="en-IE"/>
        </w:rPr>
        <w:t xml:space="preserve">. Therefore, it is expected to reduce </w:t>
      </w:r>
      <w:r w:rsidR="00885356" w:rsidRPr="00885356" w:rsidDel="0047714E">
        <w:rPr>
          <w:rFonts w:eastAsia="Times New Roman"/>
          <w:noProof/>
          <w:color w:val="000000" w:themeColor="text1"/>
          <w:szCs w:val="20"/>
          <w:lang w:val="en-IE"/>
        </w:rPr>
        <w:t xml:space="preserve">the extent of profit </w:t>
      </w:r>
      <w:r w:rsidR="00885356" w:rsidRPr="00885356">
        <w:rPr>
          <w:rFonts w:eastAsia="Times New Roman"/>
          <w:noProof/>
          <w:color w:val="000000" w:themeColor="text1"/>
          <w:szCs w:val="20"/>
          <w:lang w:val="en-IE"/>
        </w:rPr>
        <w:t>shifting by MNE groups from high-tax to low-tax jurisdictions</w:t>
      </w:r>
      <w:r w:rsidR="00C77C7C">
        <w:rPr>
          <w:rFonts w:eastAsia="Times New Roman"/>
          <w:noProof/>
          <w:color w:val="000000" w:themeColor="text1"/>
          <w:szCs w:val="20"/>
          <w:lang w:val="en-IE"/>
        </w:rPr>
        <w:t xml:space="preserve"> </w:t>
      </w:r>
      <w:r w:rsidR="00C94A9E">
        <w:rPr>
          <w:rFonts w:eastAsia="Times New Roman"/>
          <w:noProof/>
          <w:color w:val="000000" w:themeColor="text1"/>
          <w:szCs w:val="20"/>
          <w:lang w:val="en-US"/>
        </w:rPr>
        <w:t>(</w:t>
      </w:r>
      <w:r w:rsidR="00C94A9E">
        <w:rPr>
          <w:rStyle w:val="FootnoteReference"/>
          <w:rFonts w:eastAsia="Times New Roman"/>
          <w:noProof/>
          <w:color w:val="000000" w:themeColor="text1"/>
          <w:szCs w:val="20"/>
          <w:lang w:val="en-US"/>
        </w:rPr>
        <w:footnoteReference w:id="57"/>
      </w:r>
      <w:r w:rsidR="00C94A9E">
        <w:rPr>
          <w:rFonts w:eastAsia="Times New Roman"/>
          <w:noProof/>
          <w:color w:val="000000" w:themeColor="text1"/>
          <w:szCs w:val="20"/>
          <w:lang w:val="en-US"/>
        </w:rPr>
        <w:t>)</w:t>
      </w:r>
      <w:r w:rsidR="00885356" w:rsidRPr="00885356">
        <w:rPr>
          <w:rFonts w:eastAsia="Times New Roman"/>
          <w:noProof/>
          <w:color w:val="000000" w:themeColor="text1"/>
          <w:szCs w:val="20"/>
          <w:lang w:val="en-IE"/>
        </w:rPr>
        <w:t>.  In this context, the reduction in DAC6 reporting obligations for Pillar 2 in-scope firms is not expected to materially weaken the framework’s effectiveness in addressing tax avoidance risks but rather to remove reporting obligations which have become redundant following the implementation of the Pillar 2 framework. Moreover, MNE groups are subject to extensive cooperative compliance programmes in many Member States of the Union, which ensure that MNE groups are subject to continuous audit interventions and have several dedicated caseworkers from the tax administration assigned to monitor their operations.</w:t>
      </w:r>
    </w:p>
    <w:p w14:paraId="64970DDF" w14:textId="6B88D897" w:rsidR="69FB24E5" w:rsidDel="00FA355C" w:rsidRDefault="4DC96513">
      <w:pPr>
        <w:spacing w:before="240"/>
        <w:rPr>
          <w:rFonts w:eastAsia="Times New Roman"/>
          <w:noProof/>
        </w:rPr>
      </w:pPr>
      <w:r w:rsidRPr="009D5CF2">
        <w:rPr>
          <w:rFonts w:eastAsia="Times New Roman"/>
          <w:b/>
          <w:bCs/>
          <w:noProof/>
        </w:rPr>
        <w:t xml:space="preserve">Policy Option </w:t>
      </w:r>
      <w:r w:rsidR="7A7571E1" w:rsidRPr="009D5CF2">
        <w:rPr>
          <w:rFonts w:eastAsia="Times New Roman"/>
          <w:b/>
          <w:bCs/>
          <w:noProof/>
        </w:rPr>
        <w:t>1</w:t>
      </w:r>
      <w:r w:rsidRPr="009D5CF2">
        <w:rPr>
          <w:rFonts w:eastAsia="Times New Roman"/>
          <w:b/>
          <w:bCs/>
          <w:noProof/>
        </w:rPr>
        <w:t>b</w:t>
      </w:r>
      <w:r w:rsidRPr="50C2F2C0">
        <w:rPr>
          <w:rFonts w:eastAsia="Times New Roman"/>
          <w:noProof/>
        </w:rPr>
        <w:t xml:space="preserve"> removes selected hallmarks (A1, A2 and A3</w:t>
      </w:r>
      <w:r w:rsidR="4BE2D74C" w:rsidRPr="6E6FD2F8">
        <w:rPr>
          <w:rFonts w:eastAsia="Times New Roman"/>
          <w:noProof/>
        </w:rPr>
        <w:t>)</w:t>
      </w:r>
      <w:r w:rsidRPr="50C2F2C0">
        <w:rPr>
          <w:rFonts w:eastAsia="Times New Roman"/>
          <w:noProof/>
        </w:rPr>
        <w:t xml:space="preserve"> affecting approximately </w:t>
      </w:r>
      <w:r w:rsidRPr="6E6FD2F8">
        <w:rPr>
          <w:rFonts w:eastAsia="Times New Roman"/>
          <w:noProof/>
        </w:rPr>
        <w:t>8</w:t>
      </w:r>
      <w:r w:rsidR="7A718930" w:rsidRPr="6E6FD2F8">
        <w:rPr>
          <w:rFonts w:eastAsia="Times New Roman"/>
          <w:noProof/>
        </w:rPr>
        <w:t>,</w:t>
      </w:r>
      <w:r w:rsidRPr="6E6FD2F8">
        <w:rPr>
          <w:rFonts w:eastAsia="Times New Roman"/>
          <w:noProof/>
        </w:rPr>
        <w:t>300</w:t>
      </w:r>
      <w:r w:rsidR="67266940" w:rsidRPr="6E6FD2F8">
        <w:rPr>
          <w:rFonts w:eastAsia="Times New Roman"/>
          <w:noProof/>
        </w:rPr>
        <w:t xml:space="preserve"> d</w:t>
      </w:r>
      <w:r w:rsidRPr="6E6FD2F8">
        <w:rPr>
          <w:rFonts w:eastAsia="Times New Roman"/>
          <w:noProof/>
        </w:rPr>
        <w:t>isclosures annually</w:t>
      </w:r>
      <w:r w:rsidR="0071156C">
        <w:rPr>
          <w:rStyle w:val="FootnoteReference"/>
          <w:rFonts w:eastAsia="Times New Roman"/>
          <w:noProof/>
        </w:rPr>
        <w:footnoteReference w:id="58"/>
      </w:r>
      <w:r w:rsidR="391E81F9" w:rsidRPr="6E07C7DA">
        <w:rPr>
          <w:rFonts w:eastAsia="Times New Roman"/>
          <w:noProof/>
        </w:rPr>
        <w:t xml:space="preserve"> all of which were</w:t>
      </w:r>
      <w:r w:rsidR="701D41B5" w:rsidRPr="6E07C7DA">
        <w:rPr>
          <w:rFonts w:eastAsia="Times New Roman"/>
          <w:noProof/>
        </w:rPr>
        <w:t xml:space="preserve"> </w:t>
      </w:r>
      <w:r w:rsidR="3DADA369" w:rsidRPr="6E07C7DA">
        <w:rPr>
          <w:rFonts w:eastAsia="Times New Roman"/>
          <w:noProof/>
        </w:rPr>
        <w:t xml:space="preserve">reported by companies </w:t>
      </w:r>
      <w:r w:rsidR="391E81F9" w:rsidRPr="6E07C7DA">
        <w:rPr>
          <w:rFonts w:eastAsia="Times New Roman"/>
          <w:noProof/>
        </w:rPr>
        <w:t>outside of the scope of</w:t>
      </w:r>
      <w:r w:rsidR="2ED106D3" w:rsidRPr="6E07C7DA">
        <w:rPr>
          <w:rFonts w:eastAsia="Times New Roman"/>
          <w:noProof/>
        </w:rPr>
        <w:t xml:space="preserve"> </w:t>
      </w:r>
      <w:r w:rsidR="2D7A3DD8" w:rsidRPr="6E07C7DA">
        <w:rPr>
          <w:rFonts w:eastAsia="Times New Roman"/>
          <w:noProof/>
        </w:rPr>
        <w:t xml:space="preserve">the </w:t>
      </w:r>
      <w:r w:rsidR="2ED106D3" w:rsidRPr="6E07C7DA">
        <w:rPr>
          <w:rFonts w:eastAsia="Times New Roman"/>
          <w:noProof/>
        </w:rPr>
        <w:t>Pillar</w:t>
      </w:r>
      <w:r w:rsidR="58F85292" w:rsidRPr="6E07C7DA">
        <w:rPr>
          <w:rFonts w:eastAsia="Times New Roman"/>
          <w:noProof/>
        </w:rPr>
        <w:t xml:space="preserve"> 2 Directive</w:t>
      </w:r>
      <w:r w:rsidR="2ED106D3" w:rsidRPr="6E07C7DA">
        <w:rPr>
          <w:rFonts w:eastAsia="Times New Roman"/>
          <w:noProof/>
        </w:rPr>
        <w:t xml:space="preserve">. </w:t>
      </w:r>
      <w:r w:rsidR="19571698" w:rsidRPr="6E07C7DA">
        <w:rPr>
          <w:rFonts w:eastAsia="Times New Roman"/>
          <w:noProof/>
        </w:rPr>
        <w:t xml:space="preserve">For </w:t>
      </w:r>
      <w:r w:rsidR="4A4B2D4C" w:rsidRPr="6E07C7DA">
        <w:rPr>
          <w:rFonts w:eastAsia="Times New Roman"/>
          <w:noProof/>
        </w:rPr>
        <w:t xml:space="preserve">those </w:t>
      </w:r>
      <w:r w:rsidR="19571698" w:rsidRPr="77FADF1A">
        <w:rPr>
          <w:rFonts w:eastAsia="Times New Roman"/>
          <w:noProof/>
        </w:rPr>
        <w:t>companies, compliance costs are approximated on the basis of an average cost per DAC6 disclosure</w:t>
      </w:r>
      <w:r w:rsidR="39B25B07" w:rsidRPr="77FADF1A">
        <w:rPr>
          <w:rFonts w:eastAsia="Times New Roman"/>
          <w:noProof/>
        </w:rPr>
        <w:t xml:space="preserve"> report</w:t>
      </w:r>
      <w:r w:rsidR="19571698" w:rsidRPr="77FADF1A">
        <w:rPr>
          <w:rFonts w:eastAsia="Times New Roman"/>
          <w:noProof/>
        </w:rPr>
        <w:t xml:space="preserve">. Available evidence suggests that the administrative cost of preparing, assessing and </w:t>
      </w:r>
      <w:r w:rsidR="4B7FE645">
        <w:rPr>
          <w:rFonts w:eastAsia="Times New Roman"/>
          <w:noProof/>
        </w:rPr>
        <w:t>submitting</w:t>
      </w:r>
      <w:r w:rsidR="19571698" w:rsidRPr="77FADF1A">
        <w:rPr>
          <w:rFonts w:eastAsia="Times New Roman"/>
          <w:noProof/>
        </w:rPr>
        <w:t xml:space="preserve"> a </w:t>
      </w:r>
      <w:r w:rsidR="00C80F80" w:rsidRPr="77FADF1A">
        <w:rPr>
          <w:rFonts w:eastAsia="Times New Roman"/>
          <w:noProof/>
        </w:rPr>
        <w:t>report range</w:t>
      </w:r>
      <w:r w:rsidR="19571698" w:rsidRPr="77FADF1A">
        <w:rPr>
          <w:rFonts w:eastAsia="Times New Roman"/>
          <w:noProof/>
        </w:rPr>
        <w:t xml:space="preserve"> between EUR 3</w:t>
      </w:r>
      <w:r w:rsidR="2F3BB20D" w:rsidRPr="4321A1A3">
        <w:rPr>
          <w:rFonts w:eastAsia="Times New Roman"/>
          <w:noProof/>
        </w:rPr>
        <w:t>,</w:t>
      </w:r>
      <w:r w:rsidR="19571698" w:rsidRPr="77FADF1A">
        <w:rPr>
          <w:rFonts w:eastAsia="Times New Roman"/>
          <w:noProof/>
        </w:rPr>
        <w:t>000 and EUR 5</w:t>
      </w:r>
      <w:r w:rsidR="18D3E004" w:rsidRPr="4321A1A3">
        <w:rPr>
          <w:rFonts w:eastAsia="Times New Roman"/>
          <w:noProof/>
        </w:rPr>
        <w:t>,</w:t>
      </w:r>
      <w:r w:rsidR="19571698" w:rsidRPr="77FADF1A">
        <w:rPr>
          <w:rFonts w:eastAsia="Times New Roman"/>
          <w:noProof/>
        </w:rPr>
        <w:t xml:space="preserve">000, depending on the complexity of the arrangement. </w:t>
      </w:r>
      <w:r w:rsidR="00EA4444" w:rsidRPr="00EA4444">
        <w:rPr>
          <w:rFonts w:eastAsia="Times New Roman"/>
          <w:noProof/>
        </w:rPr>
        <w:t>The estimate is based on information obtained through stakeholder consultations, in particular from intermediaries such as tax advisory firms, which are responsible for filing a large share of DAC6 reports. These stakeholders indicated that the costs per report can vary depending on their complexity with higher costs associated with hallmarks requiring more extensive legal and economic analysis, such as those in hallmark A, as compared to the more specific hallmarks that often involve more straightforward assessments. The estimated cost of EUR 5,000 per report is consistent with this feedback and is broadly in line with available evidence from the DAC6 evaluation, which reports costs of up to approximately EUR 3,000 per report</w:t>
      </w:r>
      <w:r w:rsidR="00B37F68">
        <w:rPr>
          <w:rFonts w:eastAsia="Times New Roman"/>
          <w:noProof/>
        </w:rPr>
        <w:t xml:space="preserve"> </w:t>
      </w:r>
      <w:r w:rsidR="00575328" w:rsidRPr="002247B6">
        <w:rPr>
          <w:noProof/>
          <w:color w:val="000000" w:themeColor="text1"/>
        </w:rPr>
        <w:t>(</w:t>
      </w:r>
      <w:r w:rsidR="00575328" w:rsidRPr="002247B6">
        <w:rPr>
          <w:rStyle w:val="FootnoteReference"/>
          <w:noProof/>
          <w:color w:val="000000" w:themeColor="text1"/>
        </w:rPr>
        <w:footnoteReference w:id="59"/>
      </w:r>
      <w:r w:rsidR="00575328" w:rsidRPr="002247B6">
        <w:rPr>
          <w:noProof/>
          <w:color w:val="000000" w:themeColor="text1"/>
        </w:rPr>
        <w:t>)</w:t>
      </w:r>
      <w:r w:rsidR="00EA4444" w:rsidRPr="00EA4444">
        <w:rPr>
          <w:rFonts w:eastAsia="Times New Roman"/>
          <w:noProof/>
        </w:rPr>
        <w:t>.</w:t>
      </w:r>
      <w:r w:rsidR="00DE280F">
        <w:rPr>
          <w:rFonts w:eastAsia="Times New Roman"/>
          <w:noProof/>
        </w:rPr>
        <w:t xml:space="preserve"> </w:t>
      </w:r>
      <w:r w:rsidR="00DE280F" w:rsidRPr="00DE280F">
        <w:rPr>
          <w:rFonts w:eastAsia="Times New Roman"/>
          <w:noProof/>
        </w:rPr>
        <w:t xml:space="preserve">It should be noted that the </w:t>
      </w:r>
      <w:r w:rsidR="00DE280F">
        <w:rPr>
          <w:rFonts w:eastAsia="Times New Roman"/>
          <w:noProof/>
        </w:rPr>
        <w:t xml:space="preserve">external </w:t>
      </w:r>
      <w:r w:rsidR="00DE280F" w:rsidRPr="00DE280F">
        <w:rPr>
          <w:rFonts w:eastAsia="Times New Roman"/>
          <w:noProof/>
        </w:rPr>
        <w:t>DAC6 evaluation is based on evidence collected several years earlier. In this context, the somewhat higher estimate used in the present impact assessment reflects more recent stakeholder evidence and evolving reporting practices. At the same time, both estimates clearly fall within the same overall order of magnitude and should therefore be regarded as broadly consistent.</w:t>
      </w:r>
    </w:p>
    <w:p w14:paraId="194FF62B" w14:textId="30EDEAE0" w:rsidR="00885356" w:rsidRPr="00885356" w:rsidRDefault="19571698" w:rsidP="00885356">
      <w:pPr>
        <w:spacing w:before="120" w:after="120"/>
        <w:rPr>
          <w:rFonts w:eastAsia="Times New Roman"/>
          <w:noProof/>
          <w:color w:val="FF0000"/>
          <w:szCs w:val="20"/>
          <w:lang w:val="en-IE"/>
        </w:rPr>
      </w:pPr>
      <w:r w:rsidRPr="77FADF1A">
        <w:rPr>
          <w:rFonts w:eastAsia="Times New Roman"/>
          <w:noProof/>
        </w:rPr>
        <w:t>Given that the generic hallmarks covered by this option tend to involve broader and less clearly defined concepts, requiring more extensive analysis and documentation, the upper bound of EUR 5</w:t>
      </w:r>
      <w:r w:rsidR="48C15408" w:rsidRPr="77FADF1A">
        <w:rPr>
          <w:rFonts w:eastAsia="Times New Roman"/>
          <w:noProof/>
        </w:rPr>
        <w:t>,</w:t>
      </w:r>
      <w:r w:rsidRPr="77FADF1A">
        <w:rPr>
          <w:rFonts w:eastAsia="Times New Roman"/>
          <w:noProof/>
        </w:rPr>
        <w:t xml:space="preserve">000 per </w:t>
      </w:r>
      <w:r w:rsidR="255E056A" w:rsidRPr="77FADF1A">
        <w:rPr>
          <w:rFonts w:eastAsia="Times New Roman"/>
          <w:noProof/>
        </w:rPr>
        <w:t>report</w:t>
      </w:r>
      <w:r w:rsidRPr="6E07C7DA">
        <w:rPr>
          <w:rFonts w:eastAsia="Times New Roman"/>
          <w:noProof/>
        </w:rPr>
        <w:t xml:space="preserve"> is used as the central estimate.</w:t>
      </w:r>
      <w:r w:rsidR="026035FA" w:rsidRPr="6E07C7DA">
        <w:rPr>
          <w:rFonts w:eastAsia="Times New Roman"/>
          <w:noProof/>
        </w:rPr>
        <w:t xml:space="preserve"> </w:t>
      </w:r>
      <w:r w:rsidR="0AA6F531" w:rsidRPr="6E07C7DA">
        <w:rPr>
          <w:rFonts w:eastAsia="Times New Roman"/>
          <w:noProof/>
        </w:rPr>
        <w:t>T</w:t>
      </w:r>
      <w:r w:rsidR="4DC96513" w:rsidRPr="50C2F2C0">
        <w:rPr>
          <w:rFonts w:eastAsia="Times New Roman"/>
          <w:noProof/>
        </w:rPr>
        <w:t>he associated</w:t>
      </w:r>
      <w:r w:rsidR="58329A49" w:rsidRPr="6E07C7DA">
        <w:rPr>
          <w:rFonts w:eastAsia="Times New Roman"/>
          <w:noProof/>
        </w:rPr>
        <w:t xml:space="preserve"> </w:t>
      </w:r>
      <w:r w:rsidR="4812DB69" w:rsidRPr="48A1F512">
        <w:rPr>
          <w:rFonts w:eastAsia="Times New Roman"/>
          <w:noProof/>
        </w:rPr>
        <w:t>compliance</w:t>
      </w:r>
      <w:r w:rsidR="4DC96513" w:rsidRPr="50C2F2C0">
        <w:rPr>
          <w:rFonts w:eastAsia="Times New Roman"/>
          <w:noProof/>
        </w:rPr>
        <w:t xml:space="preserve"> cost savings are therefore estimated </w:t>
      </w:r>
      <w:r w:rsidR="2B6303B6" w:rsidRPr="6E07C7DA">
        <w:rPr>
          <w:rFonts w:eastAsia="Times New Roman"/>
          <w:noProof/>
        </w:rPr>
        <w:t>as EUR</w:t>
      </w:r>
      <w:r w:rsidR="5D8865DF" w:rsidRPr="6E07C7DA">
        <w:rPr>
          <w:rFonts w:eastAsia="Times New Roman"/>
          <w:noProof/>
        </w:rPr>
        <w:t xml:space="preserve"> </w:t>
      </w:r>
      <w:r w:rsidR="791CED99" w:rsidRPr="6E07C7DA">
        <w:rPr>
          <w:rFonts w:eastAsia="Times New Roman"/>
          <w:noProof/>
        </w:rPr>
        <w:t>41</w:t>
      </w:r>
      <w:r w:rsidR="5D8865DF" w:rsidRPr="6E07C7DA">
        <w:rPr>
          <w:rFonts w:eastAsia="Times New Roman"/>
          <w:noProof/>
        </w:rPr>
        <w:t xml:space="preserve"> million per year</w:t>
      </w:r>
      <w:r w:rsidR="531D77A4" w:rsidRPr="6E07C7DA">
        <w:rPr>
          <w:rFonts w:eastAsia="Times New Roman"/>
          <w:noProof/>
        </w:rPr>
        <w:t>,</w:t>
      </w:r>
      <w:r w:rsidR="531D77A4" w:rsidRPr="77FADF1A">
        <w:rPr>
          <w:rFonts w:eastAsia="Times New Roman"/>
          <w:noProof/>
        </w:rPr>
        <w:t xml:space="preserve"> bringing the total savings from this and the previous measure under Policy option </w:t>
      </w:r>
      <w:r w:rsidR="13BA8B08" w:rsidRPr="77FADF1A">
        <w:rPr>
          <w:rFonts w:eastAsia="Times New Roman"/>
          <w:noProof/>
        </w:rPr>
        <w:t>1</w:t>
      </w:r>
      <w:r w:rsidR="531D77A4" w:rsidRPr="77FADF1A">
        <w:rPr>
          <w:rFonts w:eastAsia="Times New Roman"/>
          <w:noProof/>
        </w:rPr>
        <w:t>a to approximately EUR 340 million annually</w:t>
      </w:r>
      <w:r w:rsidR="5F4AE752" w:rsidRPr="6E07C7DA">
        <w:rPr>
          <w:rFonts w:eastAsia="Times New Roman"/>
          <w:noProof/>
        </w:rPr>
        <w:t xml:space="preserve">. </w:t>
      </w:r>
      <w:r w:rsidR="4DC96513" w:rsidRPr="50C2F2C0">
        <w:rPr>
          <w:rFonts w:eastAsia="Times New Roman"/>
          <w:noProof/>
        </w:rPr>
        <w:t xml:space="preserve">These estimates are indicative, as arrangements may remain reportable </w:t>
      </w:r>
      <w:r w:rsidR="00C80F80">
        <w:rPr>
          <w:rFonts w:eastAsia="Times New Roman"/>
          <w:noProof/>
        </w:rPr>
        <w:t>u</w:t>
      </w:r>
      <w:r w:rsidR="4DC96513" w:rsidRPr="50C2F2C0">
        <w:rPr>
          <w:rFonts w:eastAsia="Times New Roman"/>
          <w:noProof/>
        </w:rPr>
        <w:t>nder other hallmarks</w:t>
      </w:r>
      <w:r w:rsidR="00B1218D">
        <w:rPr>
          <w:rStyle w:val="FootnoteReference"/>
          <w:rFonts w:eastAsia="Times New Roman"/>
          <w:noProof/>
        </w:rPr>
        <w:footnoteReference w:id="60"/>
      </w:r>
      <w:r w:rsidR="4DC96513" w:rsidRPr="50C2F2C0">
        <w:rPr>
          <w:rFonts w:eastAsia="Times New Roman"/>
          <w:noProof/>
        </w:rPr>
        <w:t>.</w:t>
      </w:r>
      <w:r w:rsidR="5FCCD375" w:rsidRPr="50C2F2C0">
        <w:rPr>
          <w:rFonts w:eastAsia="Times New Roman"/>
          <w:noProof/>
        </w:rPr>
        <w:t xml:space="preserve"> </w:t>
      </w:r>
      <w:r w:rsidR="3CA2D9FC" w:rsidRPr="50C2F2C0">
        <w:rPr>
          <w:rFonts w:eastAsia="Times New Roman"/>
          <w:noProof/>
        </w:rPr>
        <w:t>Under this option t</w:t>
      </w:r>
      <w:r w:rsidR="5FCCD375" w:rsidRPr="50C2F2C0">
        <w:rPr>
          <w:rFonts w:eastAsia="Times New Roman"/>
          <w:noProof/>
        </w:rPr>
        <w:t xml:space="preserve">he number of disclosures reports is expected to </w:t>
      </w:r>
      <w:r w:rsidR="06DC4861" w:rsidRPr="50C2F2C0">
        <w:rPr>
          <w:rFonts w:eastAsia="Times New Roman"/>
          <w:noProof/>
        </w:rPr>
        <w:t xml:space="preserve">further </w:t>
      </w:r>
      <w:r w:rsidR="5FCCD375" w:rsidRPr="50C2F2C0">
        <w:rPr>
          <w:rFonts w:eastAsia="Times New Roman"/>
          <w:noProof/>
        </w:rPr>
        <w:t>decrease by approximately 8</w:t>
      </w:r>
      <w:r w:rsidR="04EEB370" w:rsidRPr="50C2F2C0">
        <w:rPr>
          <w:rFonts w:eastAsia="Times New Roman"/>
          <w:noProof/>
        </w:rPr>
        <w:t>,</w:t>
      </w:r>
      <w:r w:rsidR="5FCCD375" w:rsidRPr="50C2F2C0">
        <w:rPr>
          <w:rFonts w:eastAsia="Times New Roman"/>
          <w:noProof/>
        </w:rPr>
        <w:t>300 per annum</w:t>
      </w:r>
      <w:r w:rsidR="66E8CE1A" w:rsidRPr="50C2F2C0">
        <w:rPr>
          <w:rFonts w:eastAsia="Times New Roman"/>
          <w:noProof/>
        </w:rPr>
        <w:t xml:space="preserve">. This reduction further improves the proportionality of the framework while not undermining the </w:t>
      </w:r>
      <w:r w:rsidR="76BE73AF" w:rsidRPr="50C2F2C0">
        <w:rPr>
          <w:rFonts w:eastAsia="Times New Roman"/>
          <w:noProof/>
        </w:rPr>
        <w:t>policy</w:t>
      </w:r>
      <w:r w:rsidR="66E8CE1A" w:rsidRPr="50C2F2C0">
        <w:rPr>
          <w:rFonts w:eastAsia="Times New Roman"/>
          <w:noProof/>
        </w:rPr>
        <w:t xml:space="preserve"> objectives as</w:t>
      </w:r>
      <w:r w:rsidR="67E46D04" w:rsidRPr="50C2F2C0">
        <w:rPr>
          <w:rFonts w:eastAsia="Times New Roman"/>
          <w:noProof/>
        </w:rPr>
        <w:t xml:space="preserve"> reporting linked to these hallmarks has provided limited added value for tax administrations. </w:t>
      </w:r>
      <w:r w:rsidR="65AC612A" w:rsidRPr="50C2F2C0">
        <w:rPr>
          <w:rFonts w:eastAsia="Times New Roman"/>
          <w:noProof/>
        </w:rPr>
        <w:t xml:space="preserve">This assessment is supported by the findings from the evaluation, feedback from stakeholders and from </w:t>
      </w:r>
      <w:r w:rsidR="4523661A" w:rsidRPr="50C2F2C0">
        <w:rPr>
          <w:rFonts w:eastAsia="Times New Roman"/>
          <w:noProof/>
        </w:rPr>
        <w:t xml:space="preserve">the </w:t>
      </w:r>
      <w:r w:rsidR="65AC612A" w:rsidRPr="50C2F2C0">
        <w:rPr>
          <w:rFonts w:eastAsia="Times New Roman"/>
          <w:noProof/>
        </w:rPr>
        <w:t>Member States whe</w:t>
      </w:r>
      <w:r w:rsidR="0C6CF414" w:rsidRPr="50C2F2C0">
        <w:rPr>
          <w:rFonts w:eastAsia="Times New Roman"/>
          <w:noProof/>
        </w:rPr>
        <w:t xml:space="preserve">re </w:t>
      </w:r>
      <w:r w:rsidR="004D0A38" w:rsidRPr="50C2F2C0">
        <w:rPr>
          <w:rFonts w:eastAsia="Times New Roman"/>
          <w:noProof/>
        </w:rPr>
        <w:t>most of the reporting takes places.</w:t>
      </w:r>
      <w:r w:rsidR="00885356" w:rsidRPr="00885356">
        <w:rPr>
          <w:rFonts w:eastAsia="Times New Roman"/>
          <w:noProof/>
          <w:color w:val="000000" w:themeColor="text1"/>
          <w:szCs w:val="20"/>
          <w:lang w:val="en-IE"/>
        </w:rPr>
        <w:t xml:space="preserve"> </w:t>
      </w:r>
      <w:r w:rsidR="00830145">
        <w:rPr>
          <w:rFonts w:eastAsia="Times New Roman"/>
          <w:noProof/>
          <w:color w:val="000000" w:themeColor="text1"/>
          <w:szCs w:val="20"/>
          <w:lang w:val="en-IE"/>
        </w:rPr>
        <w:t>In particular</w:t>
      </w:r>
      <w:r w:rsidR="00830145" w:rsidRPr="00830145">
        <w:rPr>
          <w:rFonts w:eastAsia="Times New Roman"/>
          <w:noProof/>
          <w:color w:val="000000" w:themeColor="text1"/>
          <w:szCs w:val="20"/>
          <w:lang w:val="en-IE"/>
        </w:rPr>
        <w:t xml:space="preserve">, </w:t>
      </w:r>
      <w:r w:rsidR="00885356" w:rsidRPr="0013048E">
        <w:rPr>
          <w:rFonts w:eastAsia="Times New Roman"/>
          <w:noProof/>
          <w:color w:val="000000" w:themeColor="text1"/>
          <w:szCs w:val="20"/>
          <w:lang w:val="en-IE"/>
        </w:rPr>
        <w:t>evidence gathered from Member States</w:t>
      </w:r>
      <w:r w:rsidR="00885356" w:rsidRPr="00885356">
        <w:rPr>
          <w:rFonts w:eastAsia="Times New Roman"/>
          <w:noProof/>
          <w:color w:val="000000" w:themeColor="text1"/>
          <w:szCs w:val="20"/>
          <w:lang w:val="en-IE"/>
        </w:rPr>
        <w:t xml:space="preserve"> (i.e. the tax administrations that have used DAC6 information to establish if the reported arrangements pose a risk of tax fraud, evasion or avoidance) provides strong support for concluding that this measure is not expected to have significant negative effects on the fight against tax fraud, evasion and avoidance</w:t>
      </w:r>
      <w:r w:rsidR="00885356" w:rsidRPr="00885356">
        <w:rPr>
          <w:rFonts w:eastAsia="Times New Roman"/>
          <w:noProof/>
          <w:color w:val="FF0000"/>
          <w:szCs w:val="20"/>
          <w:lang w:val="en-IE"/>
        </w:rPr>
        <w:t xml:space="preserve">. </w:t>
      </w:r>
      <w:r w:rsidR="00885356" w:rsidRPr="00885356">
        <w:rPr>
          <w:rFonts w:eastAsia="Times New Roman"/>
          <w:noProof/>
          <w:color w:val="000000" w:themeColor="text1"/>
          <w:szCs w:val="20"/>
          <w:lang w:val="en-IE"/>
        </w:rPr>
        <w:t xml:space="preserve">A broad majority of Member States, particularly high-reporting Member States such as Germany, the Netherlands, Luxembourg and Sweden find that the hallmarks in Category A generate a large volume of disclosure reports with limited tax relevance (“noise”). These disclosure reports are widely seen as imposing significant administrative burdens on both tax administrations and intermediaries without materially contributing to the detection of tax risks. </w:t>
      </w:r>
    </w:p>
    <w:p w14:paraId="5CE72794" w14:textId="5D6FB1E6" w:rsidR="00124204" w:rsidRDefault="0038014D" w:rsidP="48A1F512">
      <w:pPr>
        <w:spacing w:before="240"/>
        <w:rPr>
          <w:rFonts w:eastAsia="Times New Roman"/>
          <w:noProof/>
        </w:rPr>
      </w:pPr>
      <w:r w:rsidRPr="009D5CF2">
        <w:rPr>
          <w:rFonts w:eastAsia="Times New Roman"/>
          <w:b/>
          <w:bCs/>
          <w:noProof/>
        </w:rPr>
        <w:t>Policy Option 1c</w:t>
      </w:r>
      <w:r w:rsidRPr="0038014D">
        <w:rPr>
          <w:rFonts w:eastAsia="Times New Roman"/>
          <w:noProof/>
        </w:rPr>
        <w:t xml:space="preserve"> removes the MBT from the remaining hallmarks currently subject to it (notably those in Category B and certain hallmarks in Category C). The impact of this change on reporting volumes cannot be robustly quantified. This is because there is no historical evidence where identical hallmarks have alternated between being subject to and exempt from the MBT, which would allow isolating its effect on disclosure behaviour. </w:t>
      </w:r>
      <w:r w:rsidR="07BC1563" w:rsidRPr="240FA3AC">
        <w:rPr>
          <w:rFonts w:eastAsia="Times New Roman"/>
          <w:noProof/>
        </w:rPr>
        <w:t>The</w:t>
      </w:r>
      <w:r w:rsidRPr="0038014D">
        <w:rPr>
          <w:rFonts w:eastAsia="Times New Roman"/>
          <w:noProof/>
        </w:rPr>
        <w:t xml:space="preserve"> effect of the MBT is ambiguous. On the one hand, stakeholder consultations indicate that the MBT can provide useful guidance to </w:t>
      </w:r>
      <w:r w:rsidR="0068739F" w:rsidRPr="2B18FD76">
        <w:rPr>
          <w:rFonts w:eastAsia="Times New Roman"/>
          <w:noProof/>
        </w:rPr>
        <w:t>intermediaries</w:t>
      </w:r>
      <w:r w:rsidRPr="0038014D">
        <w:rPr>
          <w:rFonts w:eastAsia="Times New Roman"/>
          <w:noProof/>
        </w:rPr>
        <w:t xml:space="preserve"> in assessing whether an arrangement is reportable, </w:t>
      </w:r>
      <w:r w:rsidR="0A966DB8" w:rsidRPr="252C8EB8">
        <w:rPr>
          <w:rFonts w:eastAsia="Times New Roman"/>
          <w:noProof/>
        </w:rPr>
        <w:t>therefore</w:t>
      </w:r>
      <w:r w:rsidRPr="0038014D">
        <w:rPr>
          <w:rFonts w:eastAsia="Times New Roman"/>
          <w:noProof/>
        </w:rPr>
        <w:t xml:space="preserve"> limiting disclosures</w:t>
      </w:r>
      <w:r w:rsidR="658473E5" w:rsidRPr="52C805FE">
        <w:rPr>
          <w:rFonts w:eastAsia="Times New Roman"/>
          <w:noProof/>
        </w:rPr>
        <w:t xml:space="preserve"> by acting as a filter</w:t>
      </w:r>
      <w:r w:rsidRPr="52C805FE">
        <w:rPr>
          <w:rFonts w:eastAsia="Times New Roman"/>
          <w:noProof/>
        </w:rPr>
        <w:t>.</w:t>
      </w:r>
      <w:r w:rsidRPr="0038014D">
        <w:rPr>
          <w:rFonts w:eastAsia="Times New Roman"/>
          <w:noProof/>
        </w:rPr>
        <w:t xml:space="preserve"> On the other hand, the MBT may also give rise to defensive reporting, as </w:t>
      </w:r>
      <w:r w:rsidR="363F7518" w:rsidRPr="2B18FD76">
        <w:rPr>
          <w:rFonts w:eastAsia="Times New Roman"/>
          <w:noProof/>
        </w:rPr>
        <w:t>intermediaries</w:t>
      </w:r>
      <w:r w:rsidRPr="0038014D">
        <w:rPr>
          <w:rFonts w:eastAsia="Times New Roman"/>
          <w:noProof/>
        </w:rPr>
        <w:t xml:space="preserve"> may choose to report in cases of uncertainty, thereby increasing the number of disclosures. In the absence of reliable empirical evidence and given that comparisons across hallmarks with and without the MBT are not informative due to differences in their underlying scope, no quantitative estimate of the impact is provided.</w:t>
      </w:r>
    </w:p>
    <w:p w14:paraId="6D590667" w14:textId="518AA9D6" w:rsidR="5BD5082E" w:rsidRDefault="5BD5082E" w:rsidP="48A1F512">
      <w:pPr>
        <w:spacing w:before="240"/>
        <w:rPr>
          <w:rFonts w:eastAsia="Times New Roman"/>
          <w:noProof/>
        </w:rPr>
      </w:pPr>
      <w:r w:rsidRPr="48A1F512">
        <w:rPr>
          <w:rFonts w:eastAsia="Times New Roman"/>
          <w:noProof/>
        </w:rPr>
        <w:t xml:space="preserve">The combined costs savings from </w:t>
      </w:r>
      <w:r w:rsidR="00713826">
        <w:rPr>
          <w:rFonts w:eastAsia="Times New Roman"/>
          <w:b/>
          <w:bCs/>
          <w:noProof/>
        </w:rPr>
        <w:t>P</w:t>
      </w:r>
      <w:r w:rsidRPr="009D5CF2">
        <w:rPr>
          <w:rFonts w:eastAsia="Times New Roman"/>
          <w:b/>
          <w:bCs/>
          <w:noProof/>
        </w:rPr>
        <w:t xml:space="preserve">olicy </w:t>
      </w:r>
      <w:r w:rsidR="00713826">
        <w:rPr>
          <w:rFonts w:eastAsia="Times New Roman"/>
          <w:b/>
          <w:bCs/>
          <w:noProof/>
        </w:rPr>
        <w:t>O</w:t>
      </w:r>
      <w:r w:rsidRPr="009D5CF2">
        <w:rPr>
          <w:rFonts w:eastAsia="Times New Roman"/>
          <w:b/>
          <w:bCs/>
          <w:noProof/>
        </w:rPr>
        <w:t>ptions</w:t>
      </w:r>
      <w:r w:rsidR="00F109C5" w:rsidRPr="009D5CF2">
        <w:rPr>
          <w:rFonts w:eastAsia="Times New Roman"/>
          <w:b/>
          <w:bCs/>
          <w:noProof/>
        </w:rPr>
        <w:t xml:space="preserve"> 1a</w:t>
      </w:r>
      <w:r w:rsidR="00F109C5">
        <w:rPr>
          <w:rFonts w:eastAsia="Times New Roman"/>
          <w:noProof/>
        </w:rPr>
        <w:t xml:space="preserve"> and </w:t>
      </w:r>
      <w:r w:rsidR="00F109C5" w:rsidRPr="009D5CF2">
        <w:rPr>
          <w:rFonts w:eastAsia="Times New Roman"/>
          <w:b/>
          <w:bCs/>
          <w:noProof/>
        </w:rPr>
        <w:t>1b</w:t>
      </w:r>
      <w:r w:rsidRPr="009D5CF2">
        <w:rPr>
          <w:rFonts w:eastAsia="Times New Roman"/>
          <w:b/>
          <w:bCs/>
          <w:noProof/>
        </w:rPr>
        <w:t xml:space="preserve"> </w:t>
      </w:r>
      <w:r w:rsidRPr="48A1F512">
        <w:rPr>
          <w:rFonts w:eastAsia="Times New Roman"/>
          <w:noProof/>
        </w:rPr>
        <w:t xml:space="preserve">is approximately </w:t>
      </w:r>
      <w:r w:rsidR="007D7FD6" w:rsidRPr="48A1F512">
        <w:rPr>
          <w:rFonts w:eastAsia="Times New Roman"/>
          <w:noProof/>
        </w:rPr>
        <w:t>EUR 34</w:t>
      </w:r>
      <w:r w:rsidR="00F109C5">
        <w:rPr>
          <w:rFonts w:eastAsia="Times New Roman"/>
          <w:noProof/>
        </w:rPr>
        <w:t>0</w:t>
      </w:r>
      <w:r w:rsidR="007D7FD6" w:rsidRPr="48A1F512">
        <w:rPr>
          <w:rFonts w:eastAsia="Times New Roman"/>
          <w:noProof/>
        </w:rPr>
        <w:t xml:space="preserve"> million</w:t>
      </w:r>
      <w:r w:rsidR="449D0A54" w:rsidRPr="48A1F512">
        <w:rPr>
          <w:rFonts w:eastAsia="Times New Roman"/>
          <w:noProof/>
        </w:rPr>
        <w:t xml:space="preserve"> per annum</w:t>
      </w:r>
      <w:r w:rsidR="00F109C5">
        <w:rPr>
          <w:rFonts w:eastAsia="Times New Roman"/>
          <w:noProof/>
        </w:rPr>
        <w:t xml:space="preserve">, while the impact from </w:t>
      </w:r>
      <w:r w:rsidR="00713826">
        <w:rPr>
          <w:rFonts w:eastAsia="Times New Roman"/>
          <w:b/>
          <w:bCs/>
          <w:noProof/>
        </w:rPr>
        <w:t>P</w:t>
      </w:r>
      <w:r w:rsidR="00F109C5" w:rsidRPr="009D5CF2">
        <w:rPr>
          <w:rFonts w:eastAsia="Times New Roman"/>
          <w:b/>
          <w:bCs/>
          <w:noProof/>
        </w:rPr>
        <w:t xml:space="preserve">olicy </w:t>
      </w:r>
      <w:r w:rsidR="003C19A4">
        <w:rPr>
          <w:rFonts w:eastAsia="Times New Roman"/>
          <w:b/>
          <w:bCs/>
          <w:noProof/>
        </w:rPr>
        <w:t>O</w:t>
      </w:r>
      <w:r w:rsidR="00F109C5" w:rsidRPr="009D5CF2">
        <w:rPr>
          <w:rFonts w:eastAsia="Times New Roman"/>
          <w:b/>
          <w:bCs/>
          <w:noProof/>
        </w:rPr>
        <w:t>ption 1c</w:t>
      </w:r>
      <w:r w:rsidR="00F109C5">
        <w:rPr>
          <w:rFonts w:eastAsia="Times New Roman"/>
          <w:noProof/>
        </w:rPr>
        <w:t xml:space="preserve"> is not quantifiable</w:t>
      </w:r>
      <w:r w:rsidR="449D0A54" w:rsidRPr="48A1F512">
        <w:rPr>
          <w:rFonts w:eastAsia="Times New Roman"/>
          <w:noProof/>
        </w:rPr>
        <w:t xml:space="preserve">. </w:t>
      </w:r>
      <w:r w:rsidR="00DD5C6F" w:rsidRPr="48A1F512">
        <w:rPr>
          <w:rFonts w:eastAsia="Times New Roman"/>
          <w:noProof/>
        </w:rPr>
        <w:t xml:space="preserve">All policy options </w:t>
      </w:r>
      <w:r w:rsidR="006C1282" w:rsidRPr="48A1F512">
        <w:rPr>
          <w:rFonts w:eastAsia="Times New Roman"/>
          <w:noProof/>
        </w:rPr>
        <w:t xml:space="preserve">are not expected </w:t>
      </w:r>
      <w:r w:rsidR="47AB748F" w:rsidRPr="48A1F512">
        <w:rPr>
          <w:rFonts w:eastAsia="Times New Roman"/>
          <w:noProof/>
        </w:rPr>
        <w:t xml:space="preserve">to </w:t>
      </w:r>
      <w:r w:rsidR="00084D7D">
        <w:rPr>
          <w:rFonts w:eastAsia="Times New Roman"/>
          <w:noProof/>
        </w:rPr>
        <w:t>lower the ambition or</w:t>
      </w:r>
      <w:r w:rsidR="47AB748F" w:rsidRPr="48A1F512">
        <w:rPr>
          <w:rFonts w:eastAsia="Times New Roman"/>
          <w:noProof/>
        </w:rPr>
        <w:t xml:space="preserve"> have</w:t>
      </w:r>
      <w:r w:rsidR="00DD5C6F" w:rsidRPr="48A1F512">
        <w:rPr>
          <w:rFonts w:eastAsia="Times New Roman"/>
          <w:noProof/>
        </w:rPr>
        <w:t xml:space="preserve"> </w:t>
      </w:r>
      <w:r w:rsidR="267CB414" w:rsidRPr="48A1F512">
        <w:rPr>
          <w:rFonts w:eastAsia="Times New Roman"/>
          <w:noProof/>
        </w:rPr>
        <w:t xml:space="preserve">any </w:t>
      </w:r>
      <w:r w:rsidR="00DD5C6F" w:rsidRPr="48A1F512">
        <w:rPr>
          <w:rFonts w:eastAsia="Times New Roman"/>
          <w:noProof/>
        </w:rPr>
        <w:t xml:space="preserve">significant negative effect on the fight against tax fraud, evasion and avoidance. </w:t>
      </w:r>
    </w:p>
    <w:p w14:paraId="438C9B27" w14:textId="7E2038DD" w:rsidR="007017EE" w:rsidRPr="007017EE" w:rsidRDefault="00014E2A" w:rsidP="007017EE">
      <w:pPr>
        <w:spacing w:before="240" w:after="160" w:line="257" w:lineRule="auto"/>
        <w:rPr>
          <w:rFonts w:eastAsia="Times New Roman"/>
          <w:noProof/>
        </w:rPr>
      </w:pPr>
      <w:r w:rsidRPr="48A1F512">
        <w:rPr>
          <w:rFonts w:eastAsia="Times New Roman"/>
          <w:noProof/>
        </w:rPr>
        <w:t>Finally, concerning the cost</w:t>
      </w:r>
      <w:r w:rsidR="007017EE" w:rsidRPr="48A1F512">
        <w:rPr>
          <w:rFonts w:eastAsia="Times New Roman"/>
          <w:noProof/>
        </w:rPr>
        <w:t xml:space="preserve"> savings for tax administrations, the proposed simplifications are expected to </w:t>
      </w:r>
      <w:r w:rsidR="62827F07" w:rsidRPr="48A1F512">
        <w:rPr>
          <w:rFonts w:eastAsia="Times New Roman"/>
          <w:noProof/>
        </w:rPr>
        <w:t xml:space="preserve">result in an overall reduction of </w:t>
      </w:r>
      <w:r w:rsidR="007017EE" w:rsidRPr="48A1F512">
        <w:rPr>
          <w:rFonts w:eastAsia="Times New Roman"/>
          <w:noProof/>
        </w:rPr>
        <w:t xml:space="preserve">administrative costs for tax administrations, primarily through a decrease in the volume and complexity of reported information. The removal of certain generic hallmarks and the </w:t>
      </w:r>
      <w:r w:rsidR="744EABDA" w:rsidRPr="04B0B10D">
        <w:rPr>
          <w:rFonts w:eastAsia="Times New Roman"/>
          <w:noProof/>
        </w:rPr>
        <w:t>clarifications</w:t>
      </w:r>
      <w:r w:rsidR="007017EE" w:rsidRPr="48A1F512">
        <w:rPr>
          <w:rFonts w:eastAsia="Times New Roman"/>
          <w:noProof/>
        </w:rPr>
        <w:t xml:space="preserve"> or elimination of the M</w:t>
      </w:r>
      <w:r w:rsidR="002E5124" w:rsidRPr="48A1F512">
        <w:rPr>
          <w:rFonts w:eastAsia="Times New Roman"/>
          <w:noProof/>
        </w:rPr>
        <w:t xml:space="preserve">BT </w:t>
      </w:r>
      <w:r w:rsidR="007017EE" w:rsidRPr="48A1F512">
        <w:rPr>
          <w:rFonts w:eastAsia="Times New Roman"/>
          <w:noProof/>
        </w:rPr>
        <w:t>are likely to reduce the number of disclosure</w:t>
      </w:r>
      <w:r w:rsidR="09BCD6AF" w:rsidRPr="48A1F512">
        <w:rPr>
          <w:rFonts w:eastAsia="Times New Roman"/>
          <w:noProof/>
        </w:rPr>
        <w:t xml:space="preserve"> reports</w:t>
      </w:r>
      <w:r w:rsidR="007017EE" w:rsidRPr="48A1F512">
        <w:rPr>
          <w:rFonts w:eastAsia="Times New Roman"/>
          <w:noProof/>
        </w:rPr>
        <w:t xml:space="preserve"> submitted, in particular those driven by defensive reporting. This would, in turn, lower the resources required for processing, validating, storing and analysing reports, as well as for the exchange of information between Member States.</w:t>
      </w:r>
    </w:p>
    <w:p w14:paraId="1322F380" w14:textId="489F8529" w:rsidR="007017EE" w:rsidRDefault="7AA69D9E" w:rsidP="007017EE">
      <w:pPr>
        <w:spacing w:before="240" w:after="160" w:line="257" w:lineRule="auto"/>
        <w:rPr>
          <w:rFonts w:eastAsia="Times New Roman"/>
          <w:noProof/>
        </w:rPr>
      </w:pPr>
      <w:r w:rsidRPr="4321A1A3">
        <w:rPr>
          <w:rFonts w:eastAsia="Times New Roman"/>
          <w:noProof/>
        </w:rPr>
        <w:t xml:space="preserve">In addition to </w:t>
      </w:r>
      <w:r w:rsidR="172773FF" w:rsidRPr="4321A1A3">
        <w:rPr>
          <w:rFonts w:eastAsia="Times New Roman"/>
          <w:noProof/>
        </w:rPr>
        <w:t xml:space="preserve">the </w:t>
      </w:r>
      <w:r w:rsidRPr="4321A1A3">
        <w:rPr>
          <w:rFonts w:eastAsia="Times New Roman"/>
          <w:noProof/>
        </w:rPr>
        <w:t xml:space="preserve">volume effects, the measures are expected to improve the quality and relevance of reported information. By reducing the reporting of arrangements with limited tax risk relevance, tax administrations may be able to allocate resources more efficiently towards higher-risk cases, thereby improving the effectiveness of risk assessment and audit selection. </w:t>
      </w:r>
      <w:r w:rsidR="007017EE" w:rsidRPr="48A1F512">
        <w:rPr>
          <w:rFonts w:eastAsia="Times New Roman"/>
          <w:noProof/>
        </w:rPr>
        <w:t>At the same time, the implementation of the revised framework may entail short-term administrative costs. Tax administrations may need to update IT systems, adapt reporting schemas, revise guidance and provide support to intermediaries and taxpayers during the transition phase. Changes to the interpretation or structure of hallmarks may also require internal training and adjustments to risk assessment tools.</w:t>
      </w:r>
    </w:p>
    <w:p w14:paraId="62D16533" w14:textId="51A351D9" w:rsidR="003778E8" w:rsidRDefault="003778E8" w:rsidP="007017EE">
      <w:pPr>
        <w:spacing w:before="240" w:after="160" w:line="257" w:lineRule="auto"/>
        <w:rPr>
          <w:rFonts w:eastAsia="Times New Roman"/>
          <w:noProof/>
        </w:rPr>
      </w:pPr>
      <w:r>
        <w:rPr>
          <w:rFonts w:eastAsia="Times New Roman"/>
          <w:noProof/>
        </w:rPr>
        <w:t>At the same time, while the implementation of the revised framework may entail short-term administrative costs (e.g. updates to IT systems, reporting schemas, guidance</w:t>
      </w:r>
      <w:r w:rsidR="007C3DA5">
        <w:rPr>
          <w:rFonts w:eastAsia="Times New Roman"/>
          <w:noProof/>
        </w:rPr>
        <w:t xml:space="preserve"> and training), these costs are expected to be limited and largely marginal in nature. This is because the underlying DAC6 reporting infrastructure </w:t>
      </w:r>
      <w:r w:rsidR="004216D3">
        <w:rPr>
          <w:rFonts w:eastAsia="Times New Roman"/>
          <w:noProof/>
        </w:rPr>
        <w:t xml:space="preserve">is already in place, and the proposed changes primarily affect the scope </w:t>
      </w:r>
      <w:r w:rsidR="00FE41A3">
        <w:rPr>
          <w:rFonts w:eastAsia="Times New Roman"/>
          <w:noProof/>
        </w:rPr>
        <w:t xml:space="preserve">and interpretation of reporting obligations rather than requiring the development of new systems. As a result, </w:t>
      </w:r>
      <w:r w:rsidR="00B84A42">
        <w:rPr>
          <w:rFonts w:eastAsia="Times New Roman"/>
          <w:noProof/>
        </w:rPr>
        <w:t xml:space="preserve">adjustments are expected to concern incremental </w:t>
      </w:r>
      <w:r w:rsidR="00AF034F">
        <w:rPr>
          <w:rFonts w:eastAsia="Times New Roman"/>
          <w:noProof/>
        </w:rPr>
        <w:t xml:space="preserve">modifications (such as updates to reporting templates </w:t>
      </w:r>
      <w:r w:rsidR="008C33C9">
        <w:rPr>
          <w:rFonts w:eastAsia="Times New Roman"/>
          <w:noProof/>
        </w:rPr>
        <w:t xml:space="preserve">or system parameters) rather than substantial investments. </w:t>
      </w:r>
    </w:p>
    <w:p w14:paraId="6E290A1A" w14:textId="62EA7B27" w:rsidR="008C33C9" w:rsidRPr="007017EE" w:rsidRDefault="008C33C9" w:rsidP="007017EE">
      <w:pPr>
        <w:spacing w:before="240" w:after="160" w:line="257" w:lineRule="auto"/>
        <w:rPr>
          <w:rFonts w:eastAsia="Times New Roman"/>
          <w:noProof/>
        </w:rPr>
      </w:pPr>
      <w:r>
        <w:rPr>
          <w:rFonts w:eastAsia="Times New Roman"/>
          <w:noProof/>
        </w:rPr>
        <w:t xml:space="preserve">This assessment is supported by </w:t>
      </w:r>
      <w:r w:rsidR="006A550A">
        <w:rPr>
          <w:rFonts w:eastAsia="Times New Roman"/>
          <w:noProof/>
        </w:rPr>
        <w:t xml:space="preserve">stakeholder feedback, which did not </w:t>
      </w:r>
      <w:r w:rsidR="00BB7E79" w:rsidRPr="00BB7E79">
        <w:rPr>
          <w:rFonts w:eastAsia="Times New Roman"/>
          <w:noProof/>
        </w:rPr>
        <w:t>identify significant transition costs and generally indicated that the proposed changes would be straightforward to implement. Given their limited scale and the absence of robust and comparable data across Member States, these adjustment costs could not be meaningfully quantified.</w:t>
      </w:r>
    </w:p>
    <w:p w14:paraId="1449AEB7" w14:textId="05753B88" w:rsidR="00014E2A" w:rsidRDefault="7AA69D9E" w:rsidP="007017EE">
      <w:pPr>
        <w:spacing w:before="240" w:after="160" w:line="257" w:lineRule="auto"/>
        <w:rPr>
          <w:rFonts w:eastAsia="Times New Roman"/>
          <w:noProof/>
        </w:rPr>
      </w:pPr>
      <w:r w:rsidRPr="4321A1A3">
        <w:rPr>
          <w:rFonts w:eastAsia="Times New Roman"/>
          <w:noProof/>
        </w:rPr>
        <w:t xml:space="preserve">Overall, while some transitional costs are expected, Measure </w:t>
      </w:r>
      <w:r w:rsidR="00713826">
        <w:rPr>
          <w:rFonts w:eastAsia="Times New Roman"/>
          <w:noProof/>
        </w:rPr>
        <w:t>1</w:t>
      </w:r>
      <w:r w:rsidRPr="4321A1A3">
        <w:rPr>
          <w:rFonts w:eastAsia="Times New Roman"/>
          <w:noProof/>
        </w:rPr>
        <w:t xml:space="preserve"> is likely to generate net administrative savings in the medium to long term, driven by reduced reporting volumes, improved data quality and more targeted use of administrative resources. However, the precise magnitude of these effects cannot be quantified due to differences in national systems and the absence of detailed data on current administrative costs.</w:t>
      </w:r>
    </w:p>
    <w:p w14:paraId="1BB5DA28" w14:textId="69694517" w:rsidR="00045E70" w:rsidRPr="001323C5" w:rsidRDefault="004F6EB3" w:rsidP="001323C5">
      <w:pPr>
        <w:spacing w:before="240" w:after="160" w:line="257" w:lineRule="auto"/>
        <w:jc w:val="center"/>
        <w:rPr>
          <w:rFonts w:eastAsia="Times New Roman"/>
          <w:b/>
          <w:bCs/>
          <w:noProof/>
        </w:rPr>
      </w:pPr>
      <w:r>
        <w:rPr>
          <w:rFonts w:eastAsia="Times New Roman"/>
          <w:b/>
          <w:bCs/>
          <w:noProof/>
        </w:rPr>
        <w:t xml:space="preserve">Quantified </w:t>
      </w:r>
      <w:r w:rsidR="00045E70" w:rsidRPr="001323C5">
        <w:rPr>
          <w:rFonts w:eastAsia="Times New Roman"/>
          <w:b/>
          <w:bCs/>
          <w:noProof/>
        </w:rPr>
        <w:t>Cost Savings under Policy Option 1</w:t>
      </w:r>
    </w:p>
    <w:tbl>
      <w:tblPr>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706"/>
        <w:gridCol w:w="1678"/>
        <w:gridCol w:w="1678"/>
        <w:gridCol w:w="1679"/>
      </w:tblGrid>
      <w:tr w:rsidR="00421082" w:rsidRPr="00D7088D" w14:paraId="18EFCDCB" w14:textId="3EE824C9" w:rsidTr="001323C5">
        <w:trPr>
          <w:trHeight w:val="300"/>
        </w:trPr>
        <w:tc>
          <w:tcPr>
            <w:tcW w:w="370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460E66C" w14:textId="77777777" w:rsidR="00421082" w:rsidRPr="00D7088D" w:rsidRDefault="00421082" w:rsidP="00DF4DDF">
            <w:pPr>
              <w:spacing w:after="0" w:line="257" w:lineRule="auto"/>
              <w:rPr>
                <w:rFonts w:eastAsia="Times New Roman"/>
                <w:b/>
                <w:bCs/>
                <w:noProof/>
                <w:sz w:val="20"/>
                <w:szCs w:val="20"/>
              </w:rPr>
            </w:pPr>
          </w:p>
        </w:tc>
        <w:tc>
          <w:tcPr>
            <w:tcW w:w="167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ADF8287" w14:textId="096CEE84" w:rsidR="00421082" w:rsidRPr="00D7088D" w:rsidRDefault="00421082" w:rsidP="00DF4DDF">
            <w:pPr>
              <w:spacing w:after="0" w:line="257" w:lineRule="auto"/>
              <w:jc w:val="center"/>
              <w:rPr>
                <w:rFonts w:eastAsia="Times New Roman"/>
                <w:b/>
                <w:bCs/>
                <w:noProof/>
                <w:sz w:val="20"/>
                <w:szCs w:val="20"/>
              </w:rPr>
            </w:pPr>
            <w:r w:rsidRPr="00D7088D">
              <w:rPr>
                <w:rFonts w:eastAsia="Times New Roman"/>
                <w:b/>
                <w:bCs/>
                <w:noProof/>
                <w:sz w:val="20"/>
                <w:szCs w:val="20"/>
              </w:rPr>
              <w:t>PO</w:t>
            </w:r>
            <w:r>
              <w:rPr>
                <w:rFonts w:eastAsia="Times New Roman"/>
                <w:b/>
                <w:bCs/>
                <w:noProof/>
                <w:sz w:val="20"/>
                <w:szCs w:val="20"/>
              </w:rPr>
              <w:t>1</w:t>
            </w:r>
            <w:r w:rsidRPr="00D7088D">
              <w:rPr>
                <w:rFonts w:eastAsia="Times New Roman"/>
                <w:b/>
                <w:bCs/>
                <w:noProof/>
                <w:sz w:val="20"/>
                <w:szCs w:val="20"/>
              </w:rPr>
              <w:t>a</w:t>
            </w:r>
          </w:p>
        </w:tc>
        <w:tc>
          <w:tcPr>
            <w:tcW w:w="167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B9F4A3D" w14:textId="4E0E0028" w:rsidR="00421082" w:rsidRPr="00D7088D" w:rsidRDefault="00421082" w:rsidP="00DF4DDF">
            <w:pPr>
              <w:spacing w:after="0" w:line="257" w:lineRule="auto"/>
              <w:jc w:val="center"/>
              <w:rPr>
                <w:rFonts w:eastAsia="Times New Roman"/>
                <w:b/>
                <w:bCs/>
                <w:noProof/>
                <w:sz w:val="20"/>
                <w:szCs w:val="20"/>
              </w:rPr>
            </w:pPr>
            <w:r w:rsidRPr="00D7088D">
              <w:rPr>
                <w:rFonts w:eastAsia="Times New Roman"/>
                <w:b/>
                <w:bCs/>
                <w:noProof/>
                <w:sz w:val="20"/>
                <w:szCs w:val="20"/>
              </w:rPr>
              <w:t>PO</w:t>
            </w:r>
            <w:r>
              <w:rPr>
                <w:rFonts w:eastAsia="Times New Roman"/>
                <w:b/>
                <w:bCs/>
                <w:noProof/>
                <w:sz w:val="20"/>
                <w:szCs w:val="20"/>
              </w:rPr>
              <w:t>1</w:t>
            </w:r>
            <w:r w:rsidRPr="00D7088D">
              <w:rPr>
                <w:rFonts w:eastAsia="Times New Roman"/>
                <w:b/>
                <w:bCs/>
                <w:noProof/>
                <w:sz w:val="20"/>
                <w:szCs w:val="20"/>
              </w:rPr>
              <w:t>b</w:t>
            </w:r>
          </w:p>
        </w:tc>
        <w:tc>
          <w:tcPr>
            <w:tcW w:w="1679" w:type="dxa"/>
            <w:tcBorders>
              <w:top w:val="single" w:sz="8" w:space="0" w:color="auto"/>
              <w:left w:val="single" w:sz="8" w:space="0" w:color="auto"/>
              <w:bottom w:val="single" w:sz="8" w:space="0" w:color="auto"/>
              <w:right w:val="single" w:sz="8" w:space="0" w:color="auto"/>
            </w:tcBorders>
          </w:tcPr>
          <w:p w14:paraId="6AD81313" w14:textId="2795DBD7" w:rsidR="00421082" w:rsidRPr="00D7088D" w:rsidRDefault="00421082" w:rsidP="00DF4DDF">
            <w:pPr>
              <w:spacing w:after="0" w:line="257" w:lineRule="auto"/>
              <w:jc w:val="center"/>
              <w:rPr>
                <w:rFonts w:eastAsia="Times New Roman"/>
                <w:b/>
                <w:bCs/>
                <w:noProof/>
                <w:sz w:val="20"/>
                <w:szCs w:val="20"/>
              </w:rPr>
            </w:pPr>
            <w:r>
              <w:rPr>
                <w:rFonts w:eastAsia="Times New Roman"/>
                <w:b/>
                <w:bCs/>
                <w:noProof/>
                <w:sz w:val="20"/>
                <w:szCs w:val="20"/>
              </w:rPr>
              <w:t>PO1c</w:t>
            </w:r>
          </w:p>
        </w:tc>
      </w:tr>
      <w:tr w:rsidR="00421082" w:rsidRPr="00D7088D" w14:paraId="22DFB29D" w14:textId="31863CAC" w:rsidTr="001323C5">
        <w:trPr>
          <w:trHeight w:val="300"/>
        </w:trPr>
        <w:tc>
          <w:tcPr>
            <w:tcW w:w="370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2B6B119" w14:textId="52756B3E" w:rsidR="00421082" w:rsidRPr="00D7088D" w:rsidRDefault="00421082" w:rsidP="00DF4DDF">
            <w:pPr>
              <w:spacing w:after="0" w:line="257" w:lineRule="auto"/>
              <w:rPr>
                <w:rFonts w:eastAsia="Times New Roman"/>
                <w:b/>
                <w:bCs/>
                <w:noProof/>
                <w:sz w:val="20"/>
                <w:szCs w:val="20"/>
              </w:rPr>
            </w:pPr>
            <w:r w:rsidRPr="00D7088D">
              <w:rPr>
                <w:rFonts w:eastAsia="Times New Roman"/>
                <w:b/>
                <w:bCs/>
                <w:noProof/>
                <w:sz w:val="20"/>
                <w:szCs w:val="20"/>
              </w:rPr>
              <w:t>Companies</w:t>
            </w:r>
          </w:p>
        </w:tc>
        <w:tc>
          <w:tcPr>
            <w:tcW w:w="167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86C7A54" w14:textId="6A25EAA7" w:rsidR="00421082" w:rsidRPr="00D7088D" w:rsidRDefault="00B82689" w:rsidP="001323C5">
            <w:pPr>
              <w:spacing w:after="0"/>
              <w:jc w:val="center"/>
              <w:rPr>
                <w:noProof/>
                <w:sz w:val="20"/>
                <w:szCs w:val="20"/>
              </w:rPr>
            </w:pPr>
            <w:r>
              <w:rPr>
                <w:noProof/>
                <w:sz w:val="20"/>
                <w:szCs w:val="20"/>
              </w:rPr>
              <w:t>EUR 300mn</w:t>
            </w:r>
          </w:p>
        </w:tc>
        <w:tc>
          <w:tcPr>
            <w:tcW w:w="167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49DC01C" w14:textId="3EFDB752" w:rsidR="00421082" w:rsidRPr="00D7088D" w:rsidRDefault="00B82689" w:rsidP="001323C5">
            <w:pPr>
              <w:spacing w:after="0"/>
              <w:jc w:val="center"/>
              <w:rPr>
                <w:noProof/>
                <w:sz w:val="20"/>
                <w:szCs w:val="20"/>
              </w:rPr>
            </w:pPr>
            <w:r>
              <w:rPr>
                <w:noProof/>
                <w:sz w:val="20"/>
                <w:szCs w:val="20"/>
              </w:rPr>
              <w:t>EUR 341mn</w:t>
            </w:r>
          </w:p>
        </w:tc>
        <w:tc>
          <w:tcPr>
            <w:tcW w:w="1679" w:type="dxa"/>
            <w:tcBorders>
              <w:top w:val="single" w:sz="8" w:space="0" w:color="auto"/>
              <w:left w:val="single" w:sz="8" w:space="0" w:color="auto"/>
              <w:bottom w:val="single" w:sz="8" w:space="0" w:color="auto"/>
              <w:right w:val="single" w:sz="8" w:space="0" w:color="auto"/>
            </w:tcBorders>
            <w:vAlign w:val="center"/>
          </w:tcPr>
          <w:p w14:paraId="05D26FB3" w14:textId="147F31FD" w:rsidR="00421082" w:rsidRPr="00D7088D" w:rsidRDefault="00B82689" w:rsidP="001323C5">
            <w:pPr>
              <w:spacing w:after="0"/>
              <w:jc w:val="center"/>
              <w:rPr>
                <w:noProof/>
                <w:sz w:val="20"/>
                <w:szCs w:val="20"/>
              </w:rPr>
            </w:pPr>
            <w:r>
              <w:rPr>
                <w:noProof/>
                <w:sz w:val="20"/>
                <w:szCs w:val="20"/>
              </w:rPr>
              <w:t>Not quantifiable</w:t>
            </w:r>
          </w:p>
        </w:tc>
      </w:tr>
    </w:tbl>
    <w:p w14:paraId="3967E9C1" w14:textId="77777777" w:rsidR="005C61A4" w:rsidRDefault="005C61A4" w:rsidP="007017EE">
      <w:pPr>
        <w:spacing w:before="240" w:after="160" w:line="257" w:lineRule="auto"/>
        <w:rPr>
          <w:rFonts w:eastAsia="Times New Roman"/>
          <w:noProof/>
        </w:rPr>
      </w:pPr>
    </w:p>
    <w:p w14:paraId="1A5C8A17" w14:textId="67E92AA5" w:rsidR="006B087E" w:rsidRPr="00F92EAE" w:rsidRDefault="00D137EC" w:rsidP="303CCF68">
      <w:pPr>
        <w:pStyle w:val="Heading3"/>
        <w:numPr>
          <w:ilvl w:val="0"/>
          <w:numId w:val="0"/>
        </w:numPr>
        <w:tabs>
          <w:tab w:val="num" w:pos="1134"/>
        </w:tabs>
        <w:rPr>
          <w:b/>
          <w:bCs/>
          <w:noProof/>
        </w:rPr>
      </w:pPr>
      <w:r w:rsidRPr="48A1F512">
        <w:rPr>
          <w:b/>
          <w:bCs/>
          <w:noProof/>
        </w:rPr>
        <w:t>Policy option</w:t>
      </w:r>
      <w:r w:rsidR="6508035D" w:rsidRPr="48A1F512">
        <w:rPr>
          <w:b/>
          <w:bCs/>
          <w:noProof/>
        </w:rPr>
        <w:t>s</w:t>
      </w:r>
      <w:r w:rsidRPr="48A1F512">
        <w:rPr>
          <w:b/>
          <w:bCs/>
          <w:noProof/>
        </w:rPr>
        <w:t xml:space="preserve"> </w:t>
      </w:r>
      <w:r w:rsidR="25C84BB0" w:rsidRPr="48A1F512">
        <w:rPr>
          <w:b/>
          <w:bCs/>
          <w:noProof/>
        </w:rPr>
        <w:t xml:space="preserve">under </w:t>
      </w:r>
      <w:r w:rsidR="02E5A013" w:rsidRPr="48A1F512">
        <w:rPr>
          <w:b/>
          <w:bCs/>
          <w:noProof/>
        </w:rPr>
        <w:t>M</w:t>
      </w:r>
      <w:r w:rsidR="25C84BB0" w:rsidRPr="48A1F512">
        <w:rPr>
          <w:b/>
          <w:bCs/>
          <w:noProof/>
        </w:rPr>
        <w:t>easure</w:t>
      </w:r>
      <w:r w:rsidRPr="48A1F512">
        <w:rPr>
          <w:b/>
          <w:bCs/>
          <w:noProof/>
        </w:rPr>
        <w:t xml:space="preserve"> </w:t>
      </w:r>
      <w:r w:rsidR="358D7A94" w:rsidRPr="303CCF68">
        <w:rPr>
          <w:b/>
          <w:bCs/>
          <w:noProof/>
        </w:rPr>
        <w:t>2</w:t>
      </w:r>
      <w:r w:rsidR="1AA8A432" w:rsidRPr="48A1F512">
        <w:rPr>
          <w:b/>
          <w:bCs/>
          <w:noProof/>
        </w:rPr>
        <w:t xml:space="preserve"> </w:t>
      </w:r>
      <w:r w:rsidR="7A86A67C" w:rsidRPr="48A1F512">
        <w:rPr>
          <w:b/>
          <w:bCs/>
          <w:noProof/>
        </w:rPr>
        <w:t>-</w:t>
      </w:r>
      <w:r w:rsidR="00B94D36" w:rsidRPr="48A1F512">
        <w:rPr>
          <w:b/>
          <w:bCs/>
          <w:noProof/>
        </w:rPr>
        <w:t xml:space="preserve"> </w:t>
      </w:r>
      <w:r w:rsidR="4C2C6E33" w:rsidRPr="48A1F512">
        <w:rPr>
          <w:b/>
          <w:bCs/>
          <w:noProof/>
        </w:rPr>
        <w:t xml:space="preserve">Amending the reporting threshold for activities involving the sale of goods under DAC7 </w:t>
      </w:r>
    </w:p>
    <w:p w14:paraId="2D61321A" w14:textId="5E8033E5" w:rsidR="006858AF" w:rsidRDefault="006858AF" w:rsidP="749662C9">
      <w:pPr>
        <w:pStyle w:val="Text2"/>
        <w:spacing w:after="0"/>
        <w:ind w:left="0"/>
        <w:rPr>
          <w:noProof/>
          <w:sz w:val="16"/>
          <w:szCs w:val="16"/>
        </w:rPr>
      </w:pPr>
      <w:r w:rsidRPr="749662C9">
        <w:rPr>
          <w:noProof/>
          <w:sz w:val="16"/>
          <w:szCs w:val="16"/>
        </w:rPr>
        <w:t xml:space="preserve">Baseline: </w:t>
      </w:r>
      <w:r w:rsidR="17F123B2" w:rsidRPr="4A4A9DE2">
        <w:rPr>
          <w:noProof/>
          <w:sz w:val="16"/>
          <w:szCs w:val="16"/>
        </w:rPr>
        <w:t>Digital platform operators are required to report information on sellers who carry out 30 or more activities or receive income of EUR 2000 or more during the calendar year.</w:t>
      </w:r>
    </w:p>
    <w:p w14:paraId="5A120CA1" w14:textId="77777777" w:rsidR="009D5CF2" w:rsidRDefault="009D5CF2" w:rsidP="749662C9">
      <w:pPr>
        <w:pStyle w:val="Text2"/>
        <w:spacing w:after="0"/>
        <w:ind w:left="0"/>
        <w:rPr>
          <w:noProof/>
          <w:sz w:val="16"/>
          <w:szCs w:val="16"/>
        </w:rPr>
      </w:pPr>
    </w:p>
    <w:p w14:paraId="6B2A5B29" w14:textId="3402E4FC" w:rsidR="006B087E" w:rsidRPr="00CD036A" w:rsidRDefault="5EF1D29B" w:rsidP="00D137EC">
      <w:pPr>
        <w:pStyle w:val="Text2"/>
        <w:ind w:left="0"/>
        <w:rPr>
          <w:noProof/>
          <w:sz w:val="16"/>
          <w:szCs w:val="16"/>
        </w:rPr>
      </w:pPr>
      <w:r w:rsidRPr="4321A1A3">
        <w:rPr>
          <w:noProof/>
          <w:sz w:val="16"/>
          <w:szCs w:val="16"/>
        </w:rPr>
        <w:t>PO</w:t>
      </w:r>
      <w:r w:rsidR="5384B0FF" w:rsidRPr="4321A1A3">
        <w:rPr>
          <w:noProof/>
          <w:sz w:val="16"/>
          <w:szCs w:val="16"/>
        </w:rPr>
        <w:t>2</w:t>
      </w:r>
      <w:r w:rsidRPr="4321A1A3">
        <w:rPr>
          <w:noProof/>
          <w:sz w:val="16"/>
          <w:szCs w:val="16"/>
        </w:rPr>
        <w:t>a: Removing the activity threshold of 30 and retaining the monetary threshold of EUR 2</w:t>
      </w:r>
      <w:r w:rsidR="77D9A798" w:rsidRPr="4321A1A3">
        <w:rPr>
          <w:noProof/>
          <w:sz w:val="16"/>
          <w:szCs w:val="16"/>
        </w:rPr>
        <w:t>,</w:t>
      </w:r>
      <w:r w:rsidRPr="4321A1A3">
        <w:rPr>
          <w:noProof/>
          <w:sz w:val="16"/>
          <w:szCs w:val="16"/>
        </w:rPr>
        <w:t>000</w:t>
      </w:r>
      <w:r w:rsidR="23620C05" w:rsidRPr="4321A1A3">
        <w:rPr>
          <w:noProof/>
          <w:sz w:val="16"/>
          <w:szCs w:val="16"/>
        </w:rPr>
        <w:t>.</w:t>
      </w:r>
    </w:p>
    <w:p w14:paraId="6DD49CCD" w14:textId="30A7F68E" w:rsidR="1A65C5D2" w:rsidRDefault="23C4FCA1" w:rsidP="3A123E5D">
      <w:pPr>
        <w:pStyle w:val="Text2"/>
        <w:ind w:left="0"/>
        <w:rPr>
          <w:noProof/>
          <w:sz w:val="16"/>
          <w:szCs w:val="16"/>
        </w:rPr>
      </w:pPr>
      <w:r w:rsidRPr="4321A1A3">
        <w:rPr>
          <w:noProof/>
          <w:sz w:val="16"/>
          <w:szCs w:val="16"/>
        </w:rPr>
        <w:t>PO</w:t>
      </w:r>
      <w:r w:rsidR="0D15549A" w:rsidRPr="4321A1A3">
        <w:rPr>
          <w:noProof/>
          <w:sz w:val="16"/>
          <w:szCs w:val="16"/>
        </w:rPr>
        <w:t>2</w:t>
      </w:r>
      <w:r w:rsidRPr="4321A1A3">
        <w:rPr>
          <w:noProof/>
          <w:sz w:val="16"/>
          <w:szCs w:val="16"/>
        </w:rPr>
        <w:t>b: Removing the activity t</w:t>
      </w:r>
      <w:r w:rsidR="055CAF45" w:rsidRPr="4321A1A3">
        <w:rPr>
          <w:noProof/>
          <w:sz w:val="16"/>
          <w:szCs w:val="16"/>
        </w:rPr>
        <w:t xml:space="preserve">hreshold of 30 and </w:t>
      </w:r>
      <w:r w:rsidR="0B8E6CE8" w:rsidRPr="4321A1A3">
        <w:rPr>
          <w:noProof/>
          <w:sz w:val="16"/>
          <w:szCs w:val="16"/>
        </w:rPr>
        <w:t xml:space="preserve">increasing </w:t>
      </w:r>
      <w:r w:rsidR="055CAF45" w:rsidRPr="4321A1A3">
        <w:rPr>
          <w:noProof/>
          <w:sz w:val="16"/>
          <w:szCs w:val="16"/>
        </w:rPr>
        <w:t xml:space="preserve">the monetary threshold </w:t>
      </w:r>
      <w:r w:rsidR="2E59CFF5" w:rsidRPr="4321A1A3">
        <w:rPr>
          <w:noProof/>
          <w:sz w:val="16"/>
          <w:szCs w:val="16"/>
        </w:rPr>
        <w:t>to</w:t>
      </w:r>
      <w:r w:rsidR="055CAF45" w:rsidRPr="4321A1A3">
        <w:rPr>
          <w:noProof/>
          <w:sz w:val="16"/>
          <w:szCs w:val="16"/>
        </w:rPr>
        <w:t xml:space="preserve"> EUR 3</w:t>
      </w:r>
      <w:r w:rsidR="5EC75498" w:rsidRPr="4321A1A3">
        <w:rPr>
          <w:noProof/>
          <w:sz w:val="16"/>
          <w:szCs w:val="16"/>
        </w:rPr>
        <w:t>,</w:t>
      </w:r>
      <w:r w:rsidR="055CAF45" w:rsidRPr="4321A1A3">
        <w:rPr>
          <w:noProof/>
          <w:sz w:val="16"/>
          <w:szCs w:val="16"/>
        </w:rPr>
        <w:t>000</w:t>
      </w:r>
      <w:r w:rsidR="1CF7F787" w:rsidRPr="4321A1A3">
        <w:rPr>
          <w:noProof/>
          <w:sz w:val="16"/>
          <w:szCs w:val="16"/>
        </w:rPr>
        <w:t>.</w:t>
      </w:r>
    </w:p>
    <w:p w14:paraId="3C340FA2" w14:textId="141C453E" w:rsidR="004C4B81" w:rsidRPr="009E4611" w:rsidRDefault="5EF1D29B" w:rsidP="009E4611">
      <w:pPr>
        <w:pStyle w:val="Text2"/>
        <w:ind w:left="0"/>
        <w:rPr>
          <w:noProof/>
          <w:sz w:val="16"/>
          <w:szCs w:val="16"/>
        </w:rPr>
      </w:pPr>
      <w:r w:rsidRPr="4321A1A3">
        <w:rPr>
          <w:noProof/>
          <w:sz w:val="16"/>
          <w:szCs w:val="16"/>
        </w:rPr>
        <w:t>PO</w:t>
      </w:r>
      <w:r w:rsidR="18443922" w:rsidRPr="4321A1A3">
        <w:rPr>
          <w:noProof/>
          <w:sz w:val="16"/>
          <w:szCs w:val="16"/>
        </w:rPr>
        <w:t>2</w:t>
      </w:r>
      <w:r w:rsidR="3F00963F" w:rsidRPr="4321A1A3">
        <w:rPr>
          <w:noProof/>
          <w:sz w:val="16"/>
          <w:szCs w:val="16"/>
        </w:rPr>
        <w:t>c</w:t>
      </w:r>
      <w:r w:rsidRPr="4321A1A3">
        <w:rPr>
          <w:noProof/>
          <w:sz w:val="16"/>
          <w:szCs w:val="16"/>
        </w:rPr>
        <w:t>: Removal of the activity threshold of 30 and increase of the monetary threshold to EUR 5</w:t>
      </w:r>
      <w:r w:rsidR="248E0444" w:rsidRPr="4321A1A3">
        <w:rPr>
          <w:noProof/>
          <w:sz w:val="16"/>
          <w:szCs w:val="16"/>
        </w:rPr>
        <w:t>,</w:t>
      </w:r>
      <w:r w:rsidRPr="4321A1A3">
        <w:rPr>
          <w:noProof/>
          <w:sz w:val="16"/>
          <w:szCs w:val="16"/>
        </w:rPr>
        <w:t>000</w:t>
      </w:r>
      <w:r w:rsidR="25AED4C8" w:rsidRPr="4321A1A3">
        <w:rPr>
          <w:noProof/>
          <w:sz w:val="16"/>
          <w:szCs w:val="16"/>
        </w:rPr>
        <w:t xml:space="preserve">. </w:t>
      </w:r>
    </w:p>
    <w:p w14:paraId="3155FC37" w14:textId="7574B19F" w:rsidR="2EF3F83E" w:rsidRDefault="2EF3F83E" w:rsidP="642A1276">
      <w:pPr>
        <w:spacing w:before="240"/>
        <w:rPr>
          <w:rFonts w:eastAsia="Times New Roman"/>
          <w:noProof/>
        </w:rPr>
      </w:pPr>
      <w:r w:rsidRPr="642A1276">
        <w:rPr>
          <w:rFonts w:eastAsia="Times New Roman"/>
          <w:noProof/>
        </w:rPr>
        <w:t xml:space="preserve">All policy options have a direct and increasing impact on improving the proportionality of the framework by ensuring that reporting obligations are better targeted to compliance risks. Therein the options presented are intended to ensure that there is much greater alignment between the reporting requirements and associated compliance costs for business and the information that is necessary for tax administrations to tackle tax fraud, </w:t>
      </w:r>
      <w:r w:rsidRPr="0AFE8B8C">
        <w:rPr>
          <w:rFonts w:eastAsia="Times New Roman"/>
          <w:noProof/>
        </w:rPr>
        <w:t>evasion</w:t>
      </w:r>
      <w:r w:rsidR="0B3C4330" w:rsidRPr="0AFE8B8C">
        <w:rPr>
          <w:rFonts w:eastAsia="Times New Roman"/>
          <w:noProof/>
        </w:rPr>
        <w:t xml:space="preserve"> and </w:t>
      </w:r>
      <w:r w:rsidRPr="642A1276">
        <w:rPr>
          <w:rFonts w:eastAsia="Times New Roman"/>
          <w:noProof/>
        </w:rPr>
        <w:t>avoidance</w:t>
      </w:r>
      <w:r w:rsidRPr="0AFE8B8C">
        <w:rPr>
          <w:rFonts w:eastAsia="Times New Roman"/>
          <w:noProof/>
        </w:rPr>
        <w:t>.</w:t>
      </w:r>
      <w:r w:rsidRPr="642A1276">
        <w:rPr>
          <w:rFonts w:eastAsia="Times New Roman"/>
          <w:noProof/>
        </w:rPr>
        <w:t xml:space="preserve"> Therefore, the analysis estimates the cost savings resulting from the reduced scope of reporting requirements while also assessing the extent to which these reductions may impact on the policy </w:t>
      </w:r>
      <w:r w:rsidRPr="00C7262C">
        <w:rPr>
          <w:rFonts w:eastAsia="Times New Roman"/>
          <w:noProof/>
        </w:rPr>
        <w:t>objectives of the DAC.</w:t>
      </w:r>
    </w:p>
    <w:p w14:paraId="7CAF1C8F" w14:textId="2A3E6F19" w:rsidR="2EF3F83E" w:rsidRDefault="2EF3F83E" w:rsidP="642A1276">
      <w:pPr>
        <w:spacing w:before="240"/>
        <w:rPr>
          <w:rFonts w:eastAsia="Times New Roman"/>
          <w:noProof/>
        </w:rPr>
      </w:pPr>
      <w:r w:rsidRPr="642A1276">
        <w:rPr>
          <w:rFonts w:eastAsia="Times New Roman"/>
          <w:noProof/>
        </w:rPr>
        <w:t>Under the current framework, a substantial share of reported sellers consists of individuals with low levels of economic activity</w:t>
      </w:r>
      <w:r w:rsidR="00CF617A">
        <w:rPr>
          <w:rFonts w:eastAsia="Times New Roman"/>
          <w:noProof/>
        </w:rPr>
        <w:t xml:space="preserve">. This </w:t>
      </w:r>
      <w:r w:rsidR="009D5CF2">
        <w:rPr>
          <w:rFonts w:eastAsia="Times New Roman"/>
          <w:noProof/>
        </w:rPr>
        <w:t xml:space="preserve">information </w:t>
      </w:r>
      <w:r w:rsidRPr="642A1276">
        <w:rPr>
          <w:rFonts w:eastAsia="Times New Roman"/>
          <w:noProof/>
        </w:rPr>
        <w:t>is of limited relevance for tax risk assessment</w:t>
      </w:r>
      <w:r w:rsidR="00C7262C">
        <w:rPr>
          <w:rFonts w:eastAsia="Times New Roman"/>
          <w:noProof/>
        </w:rPr>
        <w:t xml:space="preserve"> yet</w:t>
      </w:r>
      <w:r w:rsidRPr="642A1276">
        <w:rPr>
          <w:rFonts w:eastAsia="Times New Roman"/>
          <w:noProof/>
        </w:rPr>
        <w:t xml:space="preserve"> generates significant data volumes for both platform operators and tax administrations</w:t>
      </w:r>
      <w:r w:rsidR="00C7262C">
        <w:rPr>
          <w:rFonts w:eastAsia="Times New Roman"/>
          <w:noProof/>
        </w:rPr>
        <w:t>.</w:t>
      </w:r>
      <w:r w:rsidRPr="642A1276">
        <w:rPr>
          <w:rFonts w:eastAsia="Times New Roman"/>
          <w:noProof/>
        </w:rPr>
        <w:t xml:space="preserve"> By narrowing the scope of reportable sellers, the policy options allow tax administrations to focus more effectively on higher-value and higher-risk cases, thereby improving the efficiency of risk analysis and enforcement activities. At the same time, they reduce the administrative burden linked to processing, validating and exchanging large amounts of low-value information without materially undermining the core objective of DAC7. However, as the monetary threshold increases and a larger share of sellers are excluded from reporting, the overall information available to tax administrations is reduced. While this may improve efficiency, it could also entail a risk of reduced visibility over certain segments of economic activity, potentially limiting the ability to detect non-compliance at the margin.</w:t>
      </w:r>
    </w:p>
    <w:p w14:paraId="4D22E952" w14:textId="54DBFBEB" w:rsidR="00924531" w:rsidRDefault="562C0C73" w:rsidP="0DAB3135">
      <w:pPr>
        <w:spacing w:before="240"/>
        <w:rPr>
          <w:rFonts w:eastAsia="Times New Roman"/>
          <w:noProof/>
        </w:rPr>
      </w:pPr>
      <w:r w:rsidRPr="48A1F512">
        <w:rPr>
          <w:rFonts w:eastAsia="Times New Roman"/>
          <w:noProof/>
        </w:rPr>
        <w:t xml:space="preserve">Evidence collected from major </w:t>
      </w:r>
      <w:r w:rsidR="00B16466">
        <w:rPr>
          <w:rFonts w:eastAsia="Times New Roman"/>
          <w:noProof/>
        </w:rPr>
        <w:t xml:space="preserve">EU </w:t>
      </w:r>
      <w:r w:rsidRPr="48A1F512">
        <w:rPr>
          <w:rFonts w:eastAsia="Times New Roman"/>
          <w:noProof/>
        </w:rPr>
        <w:t xml:space="preserve">market </w:t>
      </w:r>
      <w:r w:rsidR="00B16466" w:rsidRPr="634667F8">
        <w:rPr>
          <w:rFonts w:eastAsia="Times New Roman"/>
          <w:noProof/>
        </w:rPr>
        <w:t>participants</w:t>
      </w:r>
      <w:r w:rsidRPr="48A1F512">
        <w:rPr>
          <w:rFonts w:eastAsia="Times New Roman"/>
          <w:noProof/>
        </w:rPr>
        <w:t xml:space="preserve"> suggests that annual compliance costs</w:t>
      </w:r>
      <w:r w:rsidR="5C7444F0" w:rsidRPr="48A1F512">
        <w:rPr>
          <w:rFonts w:eastAsia="Times New Roman"/>
          <w:noProof/>
        </w:rPr>
        <w:t xml:space="preserve"> associated with the operation of DAC reporting systems</w:t>
      </w:r>
      <w:r w:rsidRPr="48A1F512">
        <w:rPr>
          <w:rFonts w:eastAsia="Times New Roman"/>
          <w:noProof/>
        </w:rPr>
        <w:t xml:space="preserve"> are approximately EUR </w:t>
      </w:r>
      <w:r w:rsidR="000F333C" w:rsidRPr="24CEB011">
        <w:rPr>
          <w:rFonts w:eastAsia="Times New Roman"/>
          <w:noProof/>
        </w:rPr>
        <w:t>50</w:t>
      </w:r>
      <w:r w:rsidR="2DA5DFC7" w:rsidRPr="24CEB011">
        <w:rPr>
          <w:rFonts w:eastAsia="Times New Roman"/>
          <w:noProof/>
        </w:rPr>
        <w:t>,</w:t>
      </w:r>
      <w:r w:rsidRPr="24CEB011">
        <w:rPr>
          <w:rFonts w:eastAsia="Times New Roman"/>
          <w:noProof/>
        </w:rPr>
        <w:t>000</w:t>
      </w:r>
      <w:r w:rsidRPr="48A1F512">
        <w:rPr>
          <w:rFonts w:eastAsia="Times New Roman"/>
          <w:noProof/>
        </w:rPr>
        <w:t xml:space="preserve"> per platform</w:t>
      </w:r>
      <w:r w:rsidR="4FCFD805" w:rsidRPr="48A1F512">
        <w:rPr>
          <w:rFonts w:eastAsia="Times New Roman"/>
          <w:noProof/>
        </w:rPr>
        <w:t>.</w:t>
      </w:r>
      <w:r w:rsidRPr="48A1F512">
        <w:rPr>
          <w:rFonts w:eastAsia="Times New Roman"/>
          <w:noProof/>
        </w:rPr>
        <w:t xml:space="preserve"> </w:t>
      </w:r>
      <w:r w:rsidR="0091327B" w:rsidRPr="48A1F512">
        <w:rPr>
          <w:rFonts w:eastAsia="Times New Roman"/>
          <w:noProof/>
        </w:rPr>
        <w:t xml:space="preserve">Furthermore, </w:t>
      </w:r>
      <w:r w:rsidR="57C7C323" w:rsidRPr="48A1F512">
        <w:rPr>
          <w:rFonts w:eastAsia="Times New Roman"/>
          <w:noProof/>
        </w:rPr>
        <w:t xml:space="preserve">DAC7 statistics indicate that </w:t>
      </w:r>
      <w:r w:rsidRPr="48A1F512">
        <w:rPr>
          <w:rFonts w:eastAsia="Times New Roman"/>
          <w:noProof/>
        </w:rPr>
        <w:t xml:space="preserve">approximately </w:t>
      </w:r>
      <w:r w:rsidRPr="3F79A8AD">
        <w:rPr>
          <w:rFonts w:eastAsia="Times New Roman"/>
          <w:noProof/>
        </w:rPr>
        <w:t>52</w:t>
      </w:r>
      <w:r w:rsidR="4C8796F2" w:rsidRPr="3F79A8AD">
        <w:rPr>
          <w:rFonts w:eastAsia="Times New Roman"/>
          <w:noProof/>
        </w:rPr>
        <w:t>,</w:t>
      </w:r>
      <w:r w:rsidRPr="3F79A8AD">
        <w:rPr>
          <w:rFonts w:eastAsia="Times New Roman"/>
          <w:noProof/>
        </w:rPr>
        <w:t>000</w:t>
      </w:r>
      <w:r w:rsidRPr="48A1F512">
        <w:rPr>
          <w:rFonts w:eastAsia="Times New Roman"/>
          <w:noProof/>
        </w:rPr>
        <w:t xml:space="preserve"> platforms were operating in the EU in 2024</w:t>
      </w:r>
      <w:r w:rsidR="0091327B" w:rsidRPr="48A1F512">
        <w:rPr>
          <w:rFonts w:eastAsia="Times New Roman"/>
          <w:noProof/>
        </w:rPr>
        <w:t>.</w:t>
      </w:r>
      <w:r w:rsidRPr="48A1F512">
        <w:rPr>
          <w:rFonts w:eastAsia="Times New Roman"/>
          <w:noProof/>
        </w:rPr>
        <w:t xml:space="preserve"> </w:t>
      </w:r>
      <w:r w:rsidR="0091327B" w:rsidRPr="48A1F512">
        <w:rPr>
          <w:rFonts w:eastAsia="Times New Roman"/>
          <w:noProof/>
        </w:rPr>
        <w:t xml:space="preserve">Taken together, </w:t>
      </w:r>
      <w:r w:rsidR="00357A50">
        <w:rPr>
          <w:rFonts w:eastAsia="Times New Roman"/>
          <w:noProof/>
        </w:rPr>
        <w:t xml:space="preserve">this implies </w:t>
      </w:r>
      <w:r w:rsidRPr="48A1F512">
        <w:rPr>
          <w:rFonts w:eastAsia="Times New Roman"/>
          <w:noProof/>
        </w:rPr>
        <w:t xml:space="preserve">total recurrent reporting costs </w:t>
      </w:r>
      <w:r w:rsidR="00214DF9">
        <w:rPr>
          <w:rFonts w:eastAsia="Times New Roman"/>
          <w:noProof/>
        </w:rPr>
        <w:t>of</w:t>
      </w:r>
      <w:r w:rsidRPr="48A1F512">
        <w:rPr>
          <w:rFonts w:eastAsia="Times New Roman"/>
          <w:noProof/>
        </w:rPr>
        <w:t xml:space="preserve"> around EUR </w:t>
      </w:r>
      <w:r w:rsidR="00CE1E90" w:rsidRPr="48A1F512">
        <w:rPr>
          <w:rFonts w:eastAsia="Times New Roman"/>
          <w:noProof/>
        </w:rPr>
        <w:t>2.6</w:t>
      </w:r>
      <w:r w:rsidRPr="48A1F512">
        <w:rPr>
          <w:rFonts w:eastAsia="Times New Roman"/>
          <w:noProof/>
        </w:rPr>
        <w:t xml:space="preserve"> billion per year</w:t>
      </w:r>
      <w:r w:rsidR="00E5613D">
        <w:rPr>
          <w:rFonts w:eastAsia="Times New Roman"/>
          <w:noProof/>
        </w:rPr>
        <w:t xml:space="preserve"> across all reporting and compliance functions</w:t>
      </w:r>
      <w:r w:rsidR="00B03E4E">
        <w:rPr>
          <w:rFonts w:eastAsia="Times New Roman"/>
          <w:noProof/>
        </w:rPr>
        <w:t xml:space="preserve"> supported by these systems, including DAC7 as well as other DAC-related, regulatory and tax reporting obligations</w:t>
      </w:r>
      <w:r w:rsidRPr="48A1F512">
        <w:rPr>
          <w:rFonts w:eastAsia="Times New Roman"/>
          <w:noProof/>
        </w:rPr>
        <w:t>.</w:t>
      </w:r>
    </w:p>
    <w:p w14:paraId="15B484E9" w14:textId="6ECC99EA" w:rsidR="000C7D55" w:rsidRDefault="00FE5F00" w:rsidP="0DAB3135">
      <w:pPr>
        <w:spacing w:before="240"/>
        <w:rPr>
          <w:rFonts w:eastAsia="Times New Roman"/>
          <w:noProof/>
        </w:rPr>
      </w:pPr>
      <w:r>
        <w:rPr>
          <w:rFonts w:eastAsia="Times New Roman"/>
          <w:noProof/>
        </w:rPr>
        <w:t>To isolate the</w:t>
      </w:r>
      <w:r w:rsidR="00266F1C" w:rsidRPr="48A1F512">
        <w:rPr>
          <w:rFonts w:eastAsia="Times New Roman"/>
          <w:noProof/>
        </w:rPr>
        <w:t xml:space="preserve"> DAC7</w:t>
      </w:r>
      <w:r w:rsidR="00452798">
        <w:rPr>
          <w:rFonts w:eastAsia="Times New Roman"/>
          <w:noProof/>
        </w:rPr>
        <w:t>-</w:t>
      </w:r>
      <w:r w:rsidR="0093225C">
        <w:rPr>
          <w:rFonts w:eastAsia="Times New Roman"/>
          <w:noProof/>
        </w:rPr>
        <w:t>specific</w:t>
      </w:r>
      <w:r w:rsidR="00452798">
        <w:rPr>
          <w:rFonts w:eastAsia="Times New Roman"/>
          <w:noProof/>
        </w:rPr>
        <w:t xml:space="preserve"> component </w:t>
      </w:r>
      <w:r w:rsidR="0011778C">
        <w:rPr>
          <w:rFonts w:eastAsia="Times New Roman"/>
          <w:noProof/>
        </w:rPr>
        <w:t>of these overall system costs</w:t>
      </w:r>
      <w:r w:rsidR="00266F1C" w:rsidRPr="48A1F512">
        <w:rPr>
          <w:rFonts w:eastAsia="Times New Roman"/>
          <w:noProof/>
        </w:rPr>
        <w:t>, a share of 30% is applied</w:t>
      </w:r>
      <w:r w:rsidR="55FCBB1D" w:rsidRPr="11D51EFA">
        <w:rPr>
          <w:rFonts w:eastAsia="Times New Roman"/>
          <w:noProof/>
        </w:rPr>
        <w:t>,</w:t>
      </w:r>
      <w:r w:rsidR="55FCBB1D" w:rsidRPr="3152DD30">
        <w:rPr>
          <w:rFonts w:eastAsia="Times New Roman"/>
          <w:noProof/>
        </w:rPr>
        <w:t xml:space="preserve"> reflect</w:t>
      </w:r>
      <w:r w:rsidR="00464DE4">
        <w:rPr>
          <w:rFonts w:eastAsia="Times New Roman"/>
          <w:noProof/>
        </w:rPr>
        <w:t>ing</w:t>
      </w:r>
      <w:r w:rsidR="55FCBB1D" w:rsidRPr="3152DD30">
        <w:rPr>
          <w:rFonts w:eastAsia="Times New Roman"/>
          <w:noProof/>
        </w:rPr>
        <w:t xml:space="preserve"> the fact that </w:t>
      </w:r>
      <w:r w:rsidR="55FCBB1D" w:rsidRPr="63532D63">
        <w:rPr>
          <w:rFonts w:eastAsia="Times New Roman"/>
          <w:noProof/>
        </w:rPr>
        <w:t>platform</w:t>
      </w:r>
      <w:r w:rsidR="14877DBB" w:rsidRPr="1C7AC843">
        <w:rPr>
          <w:rFonts w:eastAsia="Times New Roman"/>
          <w:noProof/>
        </w:rPr>
        <w:t xml:space="preserve"> operators</w:t>
      </w:r>
      <w:r w:rsidR="00A9389F">
        <w:rPr>
          <w:rFonts w:eastAsia="Times New Roman"/>
          <w:noProof/>
        </w:rPr>
        <w:t xml:space="preserve"> typically use the same reporting infrastructure for multiple </w:t>
      </w:r>
      <w:r w:rsidR="00306EDA">
        <w:rPr>
          <w:rFonts w:eastAsia="Times New Roman"/>
          <w:noProof/>
        </w:rPr>
        <w:t xml:space="preserve">compliance purposes. </w:t>
      </w:r>
      <w:r w:rsidR="14877DBB" w:rsidRPr="7159EE5C">
        <w:rPr>
          <w:rFonts w:eastAsia="Times New Roman"/>
          <w:noProof/>
        </w:rPr>
        <w:t xml:space="preserve"> </w:t>
      </w:r>
    </w:p>
    <w:p w14:paraId="61487B98" w14:textId="70E22F9A" w:rsidR="000C7D55" w:rsidRDefault="00EF543E" w:rsidP="48A1F512">
      <w:pPr>
        <w:spacing w:before="240"/>
        <w:rPr>
          <w:rFonts w:eastAsia="Times New Roman"/>
          <w:noProof/>
        </w:rPr>
      </w:pPr>
      <w:r>
        <w:rPr>
          <w:rFonts w:eastAsia="Times New Roman"/>
          <w:noProof/>
        </w:rPr>
        <w:t xml:space="preserve">Concretely, </w:t>
      </w:r>
      <w:r w:rsidR="3CAD067F" w:rsidRPr="00480B3E">
        <w:rPr>
          <w:rFonts w:eastAsia="Times New Roman"/>
          <w:noProof/>
        </w:rPr>
        <w:t>DAC7 constitutes the primary and, in many cases, the only EU tax reporting obligation specifically targeting platform operators</w:t>
      </w:r>
      <w:r w:rsidR="00EA4B18">
        <w:rPr>
          <w:rFonts w:eastAsia="Times New Roman"/>
          <w:noProof/>
        </w:rPr>
        <w:t xml:space="preserve"> (</w:t>
      </w:r>
      <w:r w:rsidR="00EA4B18">
        <w:rPr>
          <w:rStyle w:val="FootnoteReference"/>
          <w:rFonts w:eastAsia="Times New Roman"/>
          <w:noProof/>
        </w:rPr>
        <w:footnoteReference w:id="61"/>
      </w:r>
      <w:r w:rsidR="00EA4B18">
        <w:rPr>
          <w:rFonts w:eastAsia="Times New Roman"/>
          <w:noProof/>
        </w:rPr>
        <w:t>)</w:t>
      </w:r>
      <w:r w:rsidR="3CAD067F" w:rsidRPr="00480B3E">
        <w:rPr>
          <w:rFonts w:eastAsia="Times New Roman"/>
          <w:noProof/>
        </w:rPr>
        <w:t>. The chosen 30% share therefore represents a balanced assumption, acknowledging both the multi-purpose nature of reporting systems and the central role of DAC7 in driving compliance costs for platform operators.</w:t>
      </w:r>
      <w:r w:rsidR="7B66AD8A" w:rsidRPr="00480B3E">
        <w:rPr>
          <w:rFonts w:eastAsia="Times New Roman"/>
          <w:noProof/>
        </w:rPr>
        <w:t xml:space="preserve"> </w:t>
      </w:r>
      <w:r w:rsidR="00C7262C" w:rsidRPr="00480B3E">
        <w:rPr>
          <w:rFonts w:eastAsia="Times New Roman"/>
          <w:noProof/>
        </w:rPr>
        <w:t>Therefore,</w:t>
      </w:r>
      <w:r w:rsidR="69B77DBF" w:rsidRPr="00480B3E">
        <w:rPr>
          <w:rFonts w:eastAsia="Times New Roman"/>
          <w:noProof/>
        </w:rPr>
        <w:t xml:space="preserve"> u</w:t>
      </w:r>
      <w:r w:rsidR="4894503E" w:rsidRPr="00480B3E">
        <w:rPr>
          <w:rFonts w:eastAsia="Times New Roman"/>
          <w:noProof/>
        </w:rPr>
        <w:t xml:space="preserve">nder a simplifying assumption that </w:t>
      </w:r>
      <w:r w:rsidR="563380BE" w:rsidRPr="00480B3E">
        <w:rPr>
          <w:rFonts w:eastAsia="Times New Roman"/>
          <w:noProof/>
        </w:rPr>
        <w:t>30</w:t>
      </w:r>
      <w:r w:rsidR="4894503E" w:rsidRPr="00480B3E">
        <w:rPr>
          <w:rFonts w:eastAsia="Times New Roman"/>
          <w:noProof/>
        </w:rPr>
        <w:t xml:space="preserve">% of total reporting costs relate to DAC7, total DAC7-related compliance costs are estimated at approximately EUR </w:t>
      </w:r>
      <w:r w:rsidR="0C114D1E" w:rsidRPr="00480B3E">
        <w:rPr>
          <w:rFonts w:eastAsia="Times New Roman"/>
          <w:noProof/>
        </w:rPr>
        <w:t xml:space="preserve">780 </w:t>
      </w:r>
      <w:r w:rsidR="4894503E" w:rsidRPr="00480B3E">
        <w:rPr>
          <w:rFonts w:eastAsia="Times New Roman"/>
          <w:noProof/>
        </w:rPr>
        <w:t>million annually</w:t>
      </w:r>
      <w:r w:rsidR="00083B15">
        <w:rPr>
          <w:rFonts w:eastAsia="Times New Roman"/>
          <w:noProof/>
        </w:rPr>
        <w:t xml:space="preserve"> (</w:t>
      </w:r>
      <w:r w:rsidR="00083B15">
        <w:rPr>
          <w:rStyle w:val="FootnoteReference"/>
          <w:rFonts w:eastAsia="Times New Roman"/>
          <w:noProof/>
        </w:rPr>
        <w:footnoteReference w:id="62"/>
      </w:r>
      <w:r w:rsidR="00083B15">
        <w:rPr>
          <w:rFonts w:eastAsia="Times New Roman"/>
          <w:noProof/>
        </w:rPr>
        <w:t>)</w:t>
      </w:r>
      <w:r w:rsidR="4894503E" w:rsidRPr="00480B3E">
        <w:rPr>
          <w:rFonts w:eastAsia="Times New Roman"/>
          <w:noProof/>
        </w:rPr>
        <w:t>.</w:t>
      </w:r>
    </w:p>
    <w:p w14:paraId="2FEBBB5B" w14:textId="177CD2FA" w:rsidR="003B4ECA" w:rsidRDefault="5C54C608" w:rsidP="34B5D265">
      <w:pPr>
        <w:spacing w:before="240"/>
        <w:rPr>
          <w:rFonts w:eastAsia="Times New Roman"/>
          <w:noProof/>
        </w:rPr>
      </w:pPr>
      <w:r w:rsidRPr="00480B3E">
        <w:rPr>
          <w:rFonts w:eastAsia="Times New Roman"/>
          <w:noProof/>
        </w:rPr>
        <w:t>DAC7 statistics</w:t>
      </w:r>
      <w:r w:rsidR="007C34A4" w:rsidRPr="00480B3E">
        <w:rPr>
          <w:rFonts w:eastAsia="Times New Roman"/>
          <w:noProof/>
        </w:rPr>
        <w:t xml:space="preserve"> made available to the Commission services </w:t>
      </w:r>
      <w:r w:rsidR="15DADA6A" w:rsidRPr="00480B3E">
        <w:rPr>
          <w:rFonts w:eastAsia="Times New Roman"/>
          <w:noProof/>
        </w:rPr>
        <w:t xml:space="preserve">combined with </w:t>
      </w:r>
      <w:r w:rsidR="54B0E9BA" w:rsidRPr="00480B3E">
        <w:rPr>
          <w:rFonts w:eastAsia="Times New Roman"/>
          <w:noProof/>
        </w:rPr>
        <w:t xml:space="preserve">the feedback from </w:t>
      </w:r>
      <w:r w:rsidR="75EC8E13" w:rsidRPr="00480B3E">
        <w:rPr>
          <w:rFonts w:eastAsia="Times New Roman"/>
          <w:noProof/>
        </w:rPr>
        <w:t>bus</w:t>
      </w:r>
      <w:r w:rsidR="27BCC8C4" w:rsidRPr="00480B3E">
        <w:rPr>
          <w:rFonts w:eastAsia="Times New Roman"/>
          <w:noProof/>
        </w:rPr>
        <w:t>i</w:t>
      </w:r>
      <w:r w:rsidR="75EC8E13" w:rsidRPr="00480B3E">
        <w:rPr>
          <w:rFonts w:eastAsia="Times New Roman"/>
          <w:noProof/>
        </w:rPr>
        <w:t>ness</w:t>
      </w:r>
      <w:r w:rsidRPr="00480B3E">
        <w:rPr>
          <w:rFonts w:eastAsia="Times New Roman"/>
          <w:noProof/>
        </w:rPr>
        <w:t xml:space="preserve"> indicate</w:t>
      </w:r>
      <w:r w:rsidR="75D5285E" w:rsidRPr="00480B3E">
        <w:rPr>
          <w:rFonts w:eastAsia="Times New Roman"/>
          <w:noProof/>
        </w:rPr>
        <w:t>s</w:t>
      </w:r>
      <w:r w:rsidRPr="00480B3E">
        <w:rPr>
          <w:rFonts w:eastAsia="Times New Roman"/>
          <w:noProof/>
        </w:rPr>
        <w:t xml:space="preserve"> that approximately 13.5 million sellers in the EU are currently reportable under DAC7, corresponding to around 20% of all individuals engaged in platform-based selling</w:t>
      </w:r>
      <w:r w:rsidR="1A2D3106" w:rsidRPr="00480B3E">
        <w:rPr>
          <w:rFonts w:eastAsia="Times New Roman"/>
          <w:noProof/>
        </w:rPr>
        <w:t xml:space="preserve"> activities</w:t>
      </w:r>
      <w:r w:rsidRPr="00480B3E">
        <w:rPr>
          <w:rFonts w:eastAsia="Times New Roman"/>
          <w:noProof/>
        </w:rPr>
        <w:t xml:space="preserve"> while the remaining majority fall below the applicable thresholds</w:t>
      </w:r>
      <w:r w:rsidR="00F261F6" w:rsidRPr="00480B3E">
        <w:rPr>
          <w:rStyle w:val="FootnoteReference"/>
          <w:rFonts w:eastAsia="Times New Roman"/>
          <w:noProof/>
        </w:rPr>
        <w:footnoteReference w:id="63"/>
      </w:r>
      <w:r w:rsidRPr="00480B3E">
        <w:rPr>
          <w:rFonts w:eastAsia="Times New Roman"/>
          <w:noProof/>
        </w:rPr>
        <w:t xml:space="preserve">. </w:t>
      </w:r>
      <w:r w:rsidR="1C316CF7" w:rsidRPr="003B4ECA">
        <w:rPr>
          <w:rFonts w:eastAsia="Times New Roman"/>
          <w:noProof/>
        </w:rPr>
        <w:t>While DAC7 covers several categories of reportable activities (including immovable property, transport, personal services and the sale of goods), it is not possible to isolate the share of sellers engaged in the sale of goods, to which the reporting threshold applies. Available evidence from France</w:t>
      </w:r>
      <w:r w:rsidR="0D9A6734">
        <w:rPr>
          <w:rFonts w:eastAsia="Times New Roman"/>
          <w:noProof/>
        </w:rPr>
        <w:t xml:space="preserve">, </w:t>
      </w:r>
      <w:r w:rsidR="1C316CF7" w:rsidRPr="003B4ECA">
        <w:rPr>
          <w:rFonts w:eastAsia="Times New Roman"/>
          <w:noProof/>
        </w:rPr>
        <w:t>a relatively service-oriented market (e.g. short-term accommodation platforms)</w:t>
      </w:r>
      <w:r w:rsidR="0D9A6734">
        <w:rPr>
          <w:rFonts w:eastAsia="Times New Roman"/>
          <w:noProof/>
        </w:rPr>
        <w:t xml:space="preserve">, </w:t>
      </w:r>
      <w:r w:rsidR="1C316CF7" w:rsidRPr="003B4ECA">
        <w:rPr>
          <w:rFonts w:eastAsia="Times New Roman"/>
          <w:noProof/>
        </w:rPr>
        <w:t>suggests that the split between goods and services is broadly balanced (around 50/50 in value terms)</w:t>
      </w:r>
      <w:r w:rsidR="00C1087A">
        <w:rPr>
          <w:rFonts w:eastAsia="Times New Roman"/>
          <w:noProof/>
        </w:rPr>
        <w:t xml:space="preserve"> (</w:t>
      </w:r>
      <w:r w:rsidR="000C0B5F">
        <w:rPr>
          <w:rStyle w:val="FootnoteReference"/>
          <w:rFonts w:eastAsia="Times New Roman"/>
          <w:noProof/>
        </w:rPr>
        <w:footnoteReference w:id="64"/>
      </w:r>
      <w:r w:rsidR="00C1087A">
        <w:rPr>
          <w:rFonts w:eastAsia="Times New Roman"/>
          <w:noProof/>
        </w:rPr>
        <w:t>)</w:t>
      </w:r>
      <w:r w:rsidR="1C316CF7" w:rsidRPr="003B4ECA">
        <w:rPr>
          <w:rFonts w:eastAsia="Times New Roman"/>
          <w:noProof/>
        </w:rPr>
        <w:t>. In other Member States, such as Sweden, the composition is expected to be more tilted towards goods-based activities. As a result, the estimates presented should be interpreted as upper-bound approximations.</w:t>
      </w:r>
    </w:p>
    <w:p w14:paraId="0A2DE5A7" w14:textId="1F2A4B2C" w:rsidR="0026368F" w:rsidRDefault="0026368F" w:rsidP="34B5D265">
      <w:pPr>
        <w:spacing w:before="240"/>
        <w:rPr>
          <w:rFonts w:eastAsia="Times New Roman"/>
          <w:noProof/>
        </w:rPr>
      </w:pPr>
      <w:r w:rsidRPr="0026368F">
        <w:rPr>
          <w:rFonts w:eastAsia="Times New Roman"/>
          <w:noProof/>
        </w:rPr>
        <w:t xml:space="preserve">On this basis and using an estimated total annual compliance cost of approximately EUR 780 million for platform operators, the average compliance cost per reported seller is estimated at around EUR 60 per seller per year. </w:t>
      </w:r>
      <w:r w:rsidR="00F05883" w:rsidRPr="00F05883">
        <w:rPr>
          <w:rFonts w:eastAsia="Times New Roman"/>
          <w:noProof/>
        </w:rPr>
        <w:t>To reflect uncertainty in both the allocation of system costs to DAC7 and the estimation of the reportable seller base, a sensitivity range is applied, resulting in a per-seller cost of EUR 40 (low scenario), EUR 60 (central scenario) and EUR 80 (high scenario).</w:t>
      </w:r>
    </w:p>
    <w:p w14:paraId="352AF7BF" w14:textId="02755345" w:rsidR="562C0C73" w:rsidRDefault="00E27A1A" w:rsidP="00B1169D">
      <w:pPr>
        <w:rPr>
          <w:rFonts w:eastAsia="Times New Roman"/>
          <w:noProof/>
        </w:rPr>
      </w:pPr>
      <w:r>
        <w:rPr>
          <w:rFonts w:eastAsia="Times New Roman"/>
          <w:noProof/>
        </w:rPr>
        <w:t xml:space="preserve">In respect of </w:t>
      </w:r>
      <w:r w:rsidRPr="00E27A1A">
        <w:rPr>
          <w:rFonts w:eastAsia="Times New Roman"/>
          <w:b/>
          <w:bCs/>
          <w:noProof/>
        </w:rPr>
        <w:t>Policy Option 2a</w:t>
      </w:r>
      <w:r>
        <w:rPr>
          <w:rFonts w:eastAsia="Times New Roman"/>
          <w:b/>
          <w:bCs/>
          <w:noProof/>
        </w:rPr>
        <w:t xml:space="preserve"> </w:t>
      </w:r>
      <w:r w:rsidRPr="00E27A1A">
        <w:rPr>
          <w:rFonts w:eastAsia="Times New Roman"/>
          <w:noProof/>
        </w:rPr>
        <w:t xml:space="preserve">of </w:t>
      </w:r>
      <w:r w:rsidR="4894503E">
        <w:rPr>
          <w:noProof/>
        </w:rPr>
        <w:t xml:space="preserve">the </w:t>
      </w:r>
      <w:r w:rsidR="390D44C8">
        <w:rPr>
          <w:noProof/>
        </w:rPr>
        <w:t>13.</w:t>
      </w:r>
      <w:r w:rsidR="125739EB">
        <w:rPr>
          <w:noProof/>
        </w:rPr>
        <w:t xml:space="preserve">5 million sellers </w:t>
      </w:r>
      <w:r w:rsidR="4894503E">
        <w:rPr>
          <w:noProof/>
        </w:rPr>
        <w:t>that are reported</w:t>
      </w:r>
      <w:r w:rsidR="04469D93">
        <w:rPr>
          <w:noProof/>
        </w:rPr>
        <w:t xml:space="preserve"> by </w:t>
      </w:r>
      <w:r w:rsidR="41B644B1">
        <w:rPr>
          <w:noProof/>
        </w:rPr>
        <w:t>platform operators</w:t>
      </w:r>
      <w:r w:rsidR="4894503E">
        <w:rPr>
          <w:noProof/>
        </w:rPr>
        <w:t>, around 79% are reportable solely due to exceeding the 30</w:t>
      </w:r>
      <w:r w:rsidR="2206DF39">
        <w:rPr>
          <w:noProof/>
        </w:rPr>
        <w:t>-</w:t>
      </w:r>
      <w:r w:rsidR="4894503E">
        <w:rPr>
          <w:noProof/>
        </w:rPr>
        <w:t>transaction threshold while remaining below the EUR 2</w:t>
      </w:r>
      <w:r w:rsidR="6CD8EA3F">
        <w:rPr>
          <w:noProof/>
        </w:rPr>
        <w:t>,</w:t>
      </w:r>
      <w:r w:rsidR="4894503E">
        <w:rPr>
          <w:noProof/>
        </w:rPr>
        <w:t>000 monetary threshold</w:t>
      </w:r>
      <w:r w:rsidR="00650C4C">
        <w:rPr>
          <w:noProof/>
        </w:rPr>
        <w:t xml:space="preserve"> </w:t>
      </w:r>
      <w:r w:rsidR="00463721">
        <w:rPr>
          <w:noProof/>
        </w:rPr>
        <w:t>(</w:t>
      </w:r>
      <w:r w:rsidR="00650C4C">
        <w:rPr>
          <w:rStyle w:val="FootnoteReference"/>
          <w:noProof/>
        </w:rPr>
        <w:footnoteReference w:id="65"/>
      </w:r>
      <w:r w:rsidR="00463721">
        <w:rPr>
          <w:noProof/>
        </w:rPr>
        <w:t>)</w:t>
      </w:r>
      <w:r w:rsidR="4894503E">
        <w:rPr>
          <w:noProof/>
        </w:rPr>
        <w:t>.</w:t>
      </w:r>
      <w:r w:rsidR="2EFAE6D8">
        <w:rPr>
          <w:noProof/>
        </w:rPr>
        <w:t xml:space="preserve"> </w:t>
      </w:r>
      <w:r w:rsidR="4894503E">
        <w:rPr>
          <w:noProof/>
        </w:rPr>
        <w:t xml:space="preserve">Applying this share to the total population of </w:t>
      </w:r>
      <w:r w:rsidR="76AD9F39">
        <w:rPr>
          <w:noProof/>
        </w:rPr>
        <w:t>13.</w:t>
      </w:r>
      <w:r w:rsidR="4894503E">
        <w:rPr>
          <w:noProof/>
        </w:rPr>
        <w:t xml:space="preserve">5 million reported sellers implies that approximately </w:t>
      </w:r>
      <w:r w:rsidR="76AD9F39">
        <w:rPr>
          <w:noProof/>
        </w:rPr>
        <w:t>10.7 million</w:t>
      </w:r>
      <w:r w:rsidR="4894503E">
        <w:rPr>
          <w:noProof/>
        </w:rPr>
        <w:t xml:space="preserve"> sellers per year would </w:t>
      </w:r>
      <w:r w:rsidR="75EC8E13">
        <w:rPr>
          <w:noProof/>
        </w:rPr>
        <w:t>be removed from</w:t>
      </w:r>
      <w:r w:rsidR="4894503E">
        <w:rPr>
          <w:noProof/>
        </w:rPr>
        <w:t xml:space="preserve"> scope under this option.</w:t>
      </w:r>
      <w:r w:rsidR="7D549F72">
        <w:rPr>
          <w:noProof/>
        </w:rPr>
        <w:t xml:space="preserve"> </w:t>
      </w:r>
      <w:r w:rsidR="562C0C73" w:rsidRPr="34B5D265">
        <w:rPr>
          <w:rFonts w:eastAsia="Times New Roman"/>
          <w:noProof/>
        </w:rPr>
        <w:t>The associated compliance cost savings are estimated as follows:</w:t>
      </w:r>
    </w:p>
    <w:p w14:paraId="04881947" w14:textId="77777777" w:rsidR="00E306CE" w:rsidRDefault="00E306CE" w:rsidP="00B1169D">
      <w:pPr>
        <w:rPr>
          <w:noProof/>
        </w:rPr>
      </w:pPr>
    </w:p>
    <w:p w14:paraId="53FC42A9" w14:textId="25E98A2C" w:rsidR="562C0C73" w:rsidRDefault="562C0C73" w:rsidP="0059106A">
      <w:pPr>
        <w:pStyle w:val="ListParagraph"/>
        <w:numPr>
          <w:ilvl w:val="0"/>
          <w:numId w:val="12"/>
        </w:numPr>
        <w:spacing w:before="240"/>
        <w:rPr>
          <w:rFonts w:eastAsia="Times New Roman"/>
          <w:noProof/>
        </w:rPr>
      </w:pPr>
      <w:r w:rsidRPr="34B5D265">
        <w:rPr>
          <w:rFonts w:eastAsia="Times New Roman"/>
          <w:noProof/>
        </w:rPr>
        <w:t xml:space="preserve">Low-cost scenario: </w:t>
      </w:r>
      <w:r w:rsidR="00D83D21">
        <w:rPr>
          <w:noProof/>
        </w:rPr>
        <w:t>10.7 million sellers</w:t>
      </w:r>
      <w:r w:rsidRPr="34B5D265">
        <w:rPr>
          <w:rFonts w:eastAsia="Times New Roman"/>
          <w:noProof/>
        </w:rPr>
        <w:t xml:space="preserve"> × EUR </w:t>
      </w:r>
      <w:r w:rsidR="0074076B">
        <w:rPr>
          <w:rFonts w:eastAsia="Times New Roman"/>
          <w:noProof/>
        </w:rPr>
        <w:t>40</w:t>
      </w:r>
      <w:r w:rsidR="00A82040" w:rsidRPr="34B5D265">
        <w:rPr>
          <w:rFonts w:eastAsia="Times New Roman"/>
          <w:noProof/>
        </w:rPr>
        <w:t xml:space="preserve"> </w:t>
      </w:r>
      <w:r w:rsidRPr="34B5D265">
        <w:rPr>
          <w:rFonts w:eastAsia="Times New Roman"/>
          <w:noProof/>
        </w:rPr>
        <w:t xml:space="preserve">= EUR </w:t>
      </w:r>
      <w:r w:rsidR="00A82040">
        <w:rPr>
          <w:rFonts w:eastAsia="Times New Roman"/>
          <w:noProof/>
        </w:rPr>
        <w:t>4</w:t>
      </w:r>
      <w:r w:rsidR="0074076B">
        <w:rPr>
          <w:rFonts w:eastAsia="Times New Roman"/>
          <w:noProof/>
        </w:rPr>
        <w:t>2</w:t>
      </w:r>
      <w:r w:rsidR="00A82040">
        <w:rPr>
          <w:rFonts w:eastAsia="Times New Roman"/>
          <w:noProof/>
        </w:rPr>
        <w:t>8</w:t>
      </w:r>
      <w:r w:rsidR="00A82040" w:rsidRPr="34B5D265">
        <w:rPr>
          <w:rFonts w:eastAsia="Times New Roman"/>
          <w:noProof/>
        </w:rPr>
        <w:t xml:space="preserve"> </w:t>
      </w:r>
      <w:r w:rsidRPr="34B5D265">
        <w:rPr>
          <w:rFonts w:eastAsia="Times New Roman"/>
          <w:noProof/>
        </w:rPr>
        <w:t>million</w:t>
      </w:r>
    </w:p>
    <w:p w14:paraId="26AADD84" w14:textId="7C36600E" w:rsidR="562C0C73" w:rsidRPr="00EB7AEE" w:rsidRDefault="4894503E" w:rsidP="0059106A">
      <w:pPr>
        <w:pStyle w:val="ListParagraph"/>
        <w:numPr>
          <w:ilvl w:val="0"/>
          <w:numId w:val="12"/>
        </w:numPr>
        <w:spacing w:before="240"/>
        <w:rPr>
          <w:rFonts w:eastAsia="Times New Roman"/>
          <w:noProof/>
          <w:lang w:val="fr-BE"/>
        </w:rPr>
      </w:pPr>
      <w:r w:rsidRPr="4321A1A3">
        <w:rPr>
          <w:rFonts w:eastAsia="Times New Roman"/>
          <w:noProof/>
          <w:lang w:val="fr-BE"/>
        </w:rPr>
        <w:t xml:space="preserve">Central </w:t>
      </w:r>
      <w:r w:rsidR="007C34A4" w:rsidRPr="4321A1A3">
        <w:rPr>
          <w:rFonts w:eastAsia="Times New Roman"/>
          <w:noProof/>
          <w:lang w:val="fr-BE"/>
        </w:rPr>
        <w:t>scenario</w:t>
      </w:r>
      <w:r w:rsidR="007C34A4">
        <w:rPr>
          <w:rFonts w:eastAsia="Times New Roman"/>
          <w:noProof/>
          <w:lang w:val="fr-BE"/>
        </w:rPr>
        <w:t> :</w:t>
      </w:r>
      <w:r w:rsidR="5E3977D5" w:rsidRPr="4321A1A3">
        <w:rPr>
          <w:noProof/>
          <w:lang w:val="fr-BE"/>
        </w:rPr>
        <w:t>10.7 million sellers</w:t>
      </w:r>
      <w:r w:rsidRPr="4321A1A3">
        <w:rPr>
          <w:rFonts w:eastAsia="Times New Roman"/>
          <w:noProof/>
          <w:lang w:val="fr-BE"/>
        </w:rPr>
        <w:t xml:space="preserve"> × EUR </w:t>
      </w:r>
      <w:r w:rsidR="5E3977D5" w:rsidRPr="4321A1A3">
        <w:rPr>
          <w:rFonts w:eastAsia="Times New Roman"/>
          <w:noProof/>
          <w:lang w:val="fr-BE"/>
        </w:rPr>
        <w:t>60</w:t>
      </w:r>
      <w:r w:rsidR="174300C8" w:rsidRPr="4321A1A3">
        <w:rPr>
          <w:rFonts w:eastAsia="Times New Roman"/>
          <w:noProof/>
          <w:lang w:val="fr-BE"/>
        </w:rPr>
        <w:t xml:space="preserve"> </w:t>
      </w:r>
      <w:r w:rsidRPr="4321A1A3">
        <w:rPr>
          <w:rFonts w:eastAsia="Times New Roman"/>
          <w:noProof/>
          <w:lang w:val="fr-BE"/>
        </w:rPr>
        <w:t xml:space="preserve">= EUR </w:t>
      </w:r>
      <w:r w:rsidR="174300C8" w:rsidRPr="4321A1A3">
        <w:rPr>
          <w:rFonts w:eastAsia="Times New Roman"/>
          <w:noProof/>
          <w:lang w:val="fr-BE"/>
        </w:rPr>
        <w:t>6</w:t>
      </w:r>
      <w:r w:rsidR="5E3977D5" w:rsidRPr="4321A1A3">
        <w:rPr>
          <w:rFonts w:eastAsia="Times New Roman"/>
          <w:noProof/>
          <w:lang w:val="fr-BE"/>
        </w:rPr>
        <w:t>42</w:t>
      </w:r>
      <w:r w:rsidR="174300C8" w:rsidRPr="4321A1A3">
        <w:rPr>
          <w:rFonts w:eastAsia="Times New Roman"/>
          <w:noProof/>
          <w:lang w:val="fr-BE"/>
        </w:rPr>
        <w:t xml:space="preserve"> </w:t>
      </w:r>
      <w:r w:rsidRPr="4321A1A3">
        <w:rPr>
          <w:rFonts w:eastAsia="Times New Roman"/>
          <w:noProof/>
          <w:lang w:val="fr-BE"/>
        </w:rPr>
        <w:t>million</w:t>
      </w:r>
    </w:p>
    <w:p w14:paraId="733F3A1C" w14:textId="53D76D62" w:rsidR="562C0C73" w:rsidRDefault="562C0C73" w:rsidP="0059106A">
      <w:pPr>
        <w:pStyle w:val="ListParagraph"/>
        <w:numPr>
          <w:ilvl w:val="0"/>
          <w:numId w:val="12"/>
        </w:numPr>
        <w:spacing w:before="240"/>
        <w:rPr>
          <w:rFonts w:eastAsia="Times New Roman"/>
          <w:noProof/>
        </w:rPr>
      </w:pPr>
      <w:r w:rsidRPr="34B5D265">
        <w:rPr>
          <w:rFonts w:eastAsia="Times New Roman"/>
          <w:noProof/>
        </w:rPr>
        <w:t xml:space="preserve">High-cost scenario: </w:t>
      </w:r>
      <w:r w:rsidR="0074076B">
        <w:rPr>
          <w:noProof/>
        </w:rPr>
        <w:t>10.7 million sellers</w:t>
      </w:r>
      <w:r w:rsidRPr="34B5D265">
        <w:rPr>
          <w:rFonts w:eastAsia="Times New Roman"/>
          <w:noProof/>
        </w:rPr>
        <w:t xml:space="preserve"> × EUR </w:t>
      </w:r>
      <w:r w:rsidR="00A82040">
        <w:rPr>
          <w:rFonts w:eastAsia="Times New Roman"/>
          <w:noProof/>
        </w:rPr>
        <w:t>80</w:t>
      </w:r>
      <w:r w:rsidR="00A82040" w:rsidRPr="34B5D265">
        <w:rPr>
          <w:rFonts w:eastAsia="Times New Roman"/>
          <w:noProof/>
        </w:rPr>
        <w:t xml:space="preserve"> </w:t>
      </w:r>
      <w:r w:rsidRPr="34B5D265">
        <w:rPr>
          <w:rFonts w:eastAsia="Times New Roman"/>
          <w:noProof/>
        </w:rPr>
        <w:t xml:space="preserve">= EUR </w:t>
      </w:r>
      <w:r w:rsidR="0074076B">
        <w:rPr>
          <w:rFonts w:eastAsia="Times New Roman"/>
          <w:noProof/>
        </w:rPr>
        <w:t>856</w:t>
      </w:r>
      <w:r w:rsidR="00A82040" w:rsidRPr="34B5D265">
        <w:rPr>
          <w:rFonts w:eastAsia="Times New Roman"/>
          <w:noProof/>
        </w:rPr>
        <w:t xml:space="preserve"> </w:t>
      </w:r>
      <w:r w:rsidRPr="34B5D265">
        <w:rPr>
          <w:rFonts w:eastAsia="Times New Roman"/>
          <w:noProof/>
        </w:rPr>
        <w:t>million</w:t>
      </w:r>
    </w:p>
    <w:p w14:paraId="2FF731ED" w14:textId="2A7B2EEB" w:rsidR="562C0C73" w:rsidRDefault="00E27A1A" w:rsidP="00E27A1A">
      <w:pPr>
        <w:pStyle w:val="Heading4"/>
        <w:numPr>
          <w:ilvl w:val="0"/>
          <w:numId w:val="0"/>
        </w:numPr>
        <w:rPr>
          <w:i/>
          <w:iCs/>
          <w:noProof/>
        </w:rPr>
      </w:pPr>
      <w:r w:rsidRPr="00E27A1A">
        <w:rPr>
          <w:bCs/>
          <w:noProof/>
        </w:rPr>
        <w:t>In respect of</w:t>
      </w:r>
      <w:r>
        <w:rPr>
          <w:b/>
          <w:noProof/>
        </w:rPr>
        <w:t xml:space="preserve"> Policy Option 2b, </w:t>
      </w:r>
      <w:r w:rsidRPr="00E27A1A">
        <w:rPr>
          <w:bCs/>
          <w:noProof/>
        </w:rPr>
        <w:t>according to</w:t>
      </w:r>
      <w:r>
        <w:rPr>
          <w:b/>
          <w:noProof/>
        </w:rPr>
        <w:t xml:space="preserve"> </w:t>
      </w:r>
      <w:r w:rsidR="4894503E">
        <w:rPr>
          <w:noProof/>
        </w:rPr>
        <w:t>platform data on seller income distribution</w:t>
      </w:r>
      <w:r w:rsidR="01578B04">
        <w:rPr>
          <w:noProof/>
        </w:rPr>
        <w:t>, i</w:t>
      </w:r>
      <w:r w:rsidR="4894503E">
        <w:rPr>
          <w:noProof/>
        </w:rPr>
        <w:t>ncreasing the monetary threshold to EUR 3</w:t>
      </w:r>
      <w:r w:rsidR="2435DF1B">
        <w:rPr>
          <w:noProof/>
        </w:rPr>
        <w:t>,</w:t>
      </w:r>
      <w:r w:rsidR="4894503E">
        <w:rPr>
          <w:noProof/>
        </w:rPr>
        <w:t xml:space="preserve">000 is estimated to increase the share of non-reportable sellers by around </w:t>
      </w:r>
      <w:r w:rsidR="4FA0317D">
        <w:rPr>
          <w:noProof/>
        </w:rPr>
        <w:t xml:space="preserve">16 </w:t>
      </w:r>
      <w:r w:rsidR="4894503E">
        <w:rPr>
          <w:noProof/>
        </w:rPr>
        <w:t>percentage points</w:t>
      </w:r>
      <w:r w:rsidR="66EF1715">
        <w:rPr>
          <w:noProof/>
        </w:rPr>
        <w:t xml:space="preserve"> compared to the status quo</w:t>
      </w:r>
      <w:r w:rsidR="4894503E">
        <w:rPr>
          <w:noProof/>
        </w:rPr>
        <w:t xml:space="preserve">, corresponding to approximately </w:t>
      </w:r>
      <w:r w:rsidR="4FA0317D">
        <w:rPr>
          <w:noProof/>
        </w:rPr>
        <w:t>11.3 million</w:t>
      </w:r>
      <w:r w:rsidR="4894503E">
        <w:rPr>
          <w:noProof/>
        </w:rPr>
        <w:t xml:space="preserve"> fewer reported sellers per year.</w:t>
      </w:r>
      <w:r w:rsidR="685D2DFE">
        <w:rPr>
          <w:noProof/>
        </w:rPr>
        <w:t xml:space="preserve"> </w:t>
      </w:r>
      <w:r w:rsidR="4894503E">
        <w:rPr>
          <w:noProof/>
        </w:rPr>
        <w:t>The associated compliance cost savings are estimated as follows:</w:t>
      </w:r>
    </w:p>
    <w:p w14:paraId="6910280B" w14:textId="2F11C7A9" w:rsidR="562C0C73" w:rsidRDefault="562C0C73" w:rsidP="0059106A">
      <w:pPr>
        <w:pStyle w:val="ListParagraph"/>
        <w:numPr>
          <w:ilvl w:val="0"/>
          <w:numId w:val="11"/>
        </w:numPr>
        <w:spacing w:before="240"/>
        <w:rPr>
          <w:rFonts w:eastAsia="Times New Roman"/>
          <w:noProof/>
        </w:rPr>
      </w:pPr>
      <w:r w:rsidRPr="34B5D265">
        <w:rPr>
          <w:rFonts w:eastAsia="Times New Roman"/>
          <w:noProof/>
        </w:rPr>
        <w:t xml:space="preserve">Low-cost scenario: EUR </w:t>
      </w:r>
      <w:r w:rsidR="00C16433" w:rsidRPr="436DF9D9">
        <w:rPr>
          <w:rFonts w:eastAsia="Times New Roman"/>
          <w:noProof/>
        </w:rPr>
        <w:t>452</w:t>
      </w:r>
      <w:r w:rsidRPr="34B5D265">
        <w:rPr>
          <w:rFonts w:eastAsia="Times New Roman"/>
          <w:noProof/>
        </w:rPr>
        <w:t xml:space="preserve"> million</w:t>
      </w:r>
    </w:p>
    <w:p w14:paraId="2D4766D6" w14:textId="64E124E3" w:rsidR="562C0C73" w:rsidRDefault="562C0C73" w:rsidP="0059106A">
      <w:pPr>
        <w:pStyle w:val="ListParagraph"/>
        <w:numPr>
          <w:ilvl w:val="0"/>
          <w:numId w:val="11"/>
        </w:numPr>
        <w:spacing w:before="240"/>
        <w:rPr>
          <w:rFonts w:eastAsia="Times New Roman"/>
          <w:noProof/>
        </w:rPr>
      </w:pPr>
      <w:r w:rsidRPr="34B5D265">
        <w:rPr>
          <w:rFonts w:eastAsia="Times New Roman"/>
          <w:noProof/>
        </w:rPr>
        <w:t xml:space="preserve">Central scenario: EUR </w:t>
      </w:r>
      <w:r w:rsidR="00C16433">
        <w:rPr>
          <w:rFonts w:eastAsia="Times New Roman"/>
          <w:noProof/>
        </w:rPr>
        <w:t>678</w:t>
      </w:r>
      <w:r w:rsidR="00596915" w:rsidRPr="34B5D265">
        <w:rPr>
          <w:rFonts w:eastAsia="Times New Roman"/>
          <w:noProof/>
        </w:rPr>
        <w:t xml:space="preserve"> </w:t>
      </w:r>
      <w:r w:rsidRPr="34B5D265">
        <w:rPr>
          <w:rFonts w:eastAsia="Times New Roman"/>
          <w:noProof/>
        </w:rPr>
        <w:t>million</w:t>
      </w:r>
    </w:p>
    <w:p w14:paraId="4C3F0086" w14:textId="364513A6" w:rsidR="562C0C73" w:rsidRDefault="562C0C73" w:rsidP="0059106A">
      <w:pPr>
        <w:pStyle w:val="ListParagraph"/>
        <w:numPr>
          <w:ilvl w:val="0"/>
          <w:numId w:val="11"/>
        </w:numPr>
        <w:spacing w:before="240"/>
        <w:rPr>
          <w:rFonts w:eastAsia="Times New Roman"/>
          <w:noProof/>
        </w:rPr>
      </w:pPr>
      <w:r w:rsidRPr="34B5D265">
        <w:rPr>
          <w:rFonts w:eastAsia="Times New Roman"/>
          <w:noProof/>
        </w:rPr>
        <w:t xml:space="preserve">High-cost scenario: EUR </w:t>
      </w:r>
      <w:r w:rsidR="00C16433">
        <w:rPr>
          <w:rFonts w:eastAsia="Times New Roman"/>
          <w:noProof/>
        </w:rPr>
        <w:t>904</w:t>
      </w:r>
      <w:r w:rsidR="00596915" w:rsidRPr="34B5D265">
        <w:rPr>
          <w:rFonts w:eastAsia="Times New Roman"/>
          <w:noProof/>
        </w:rPr>
        <w:t xml:space="preserve"> </w:t>
      </w:r>
      <w:r w:rsidRPr="34B5D265">
        <w:rPr>
          <w:rFonts w:eastAsia="Times New Roman"/>
          <w:noProof/>
        </w:rPr>
        <w:t>million</w:t>
      </w:r>
    </w:p>
    <w:p w14:paraId="2A36679B" w14:textId="058BED37" w:rsidR="562C0C73" w:rsidRDefault="00E27A1A" w:rsidP="34B5D265">
      <w:pPr>
        <w:spacing w:before="240"/>
        <w:rPr>
          <w:noProof/>
        </w:rPr>
      </w:pPr>
      <w:r>
        <w:rPr>
          <w:noProof/>
        </w:rPr>
        <w:t xml:space="preserve">In respect of </w:t>
      </w:r>
      <w:r w:rsidRPr="00E27A1A">
        <w:rPr>
          <w:b/>
          <w:bCs/>
          <w:noProof/>
        </w:rPr>
        <w:t>Policy Option 2c</w:t>
      </w:r>
      <w:r>
        <w:rPr>
          <w:noProof/>
        </w:rPr>
        <w:t xml:space="preserve"> stakeholder information</w:t>
      </w:r>
      <w:r w:rsidR="4894503E">
        <w:rPr>
          <w:noProof/>
        </w:rPr>
        <w:t xml:space="preserve"> suggests that this option would increase the share of non-reportable sellers by around </w:t>
      </w:r>
      <w:r w:rsidR="4DEF8C85">
        <w:rPr>
          <w:noProof/>
        </w:rPr>
        <w:t xml:space="preserve">17 </w:t>
      </w:r>
      <w:r w:rsidR="4894503E">
        <w:rPr>
          <w:noProof/>
        </w:rPr>
        <w:t>percentage points</w:t>
      </w:r>
      <w:r w:rsidR="5BE68053">
        <w:rPr>
          <w:noProof/>
        </w:rPr>
        <w:t xml:space="preserve"> compared to the status quo</w:t>
      </w:r>
      <w:r w:rsidR="000C4DBA">
        <w:rPr>
          <w:noProof/>
        </w:rPr>
        <w:t xml:space="preserve"> </w:t>
      </w:r>
      <w:r w:rsidR="00F82368">
        <w:rPr>
          <w:noProof/>
        </w:rPr>
        <w:t>(</w:t>
      </w:r>
      <w:r w:rsidR="000C4DBA">
        <w:rPr>
          <w:rStyle w:val="FootnoteReference"/>
          <w:noProof/>
        </w:rPr>
        <w:footnoteReference w:id="66"/>
      </w:r>
      <w:r w:rsidR="00F82368">
        <w:rPr>
          <w:noProof/>
        </w:rPr>
        <w:t>)</w:t>
      </w:r>
      <w:r w:rsidR="4894503E">
        <w:rPr>
          <w:noProof/>
        </w:rPr>
        <w:t xml:space="preserve">. Applied to the population of </w:t>
      </w:r>
      <w:r w:rsidR="02240610">
        <w:rPr>
          <w:noProof/>
        </w:rPr>
        <w:t xml:space="preserve">71 </w:t>
      </w:r>
      <w:r w:rsidR="4894503E">
        <w:rPr>
          <w:noProof/>
        </w:rPr>
        <w:t xml:space="preserve">million sellers, this corresponds to approximately </w:t>
      </w:r>
      <w:r w:rsidR="02240610">
        <w:rPr>
          <w:noProof/>
        </w:rPr>
        <w:t>12.1 million</w:t>
      </w:r>
      <w:r w:rsidR="4894503E">
        <w:rPr>
          <w:noProof/>
        </w:rPr>
        <w:t xml:space="preserve"> fewer reported sellers per year.</w:t>
      </w:r>
      <w:r w:rsidR="2F143A8F">
        <w:rPr>
          <w:noProof/>
        </w:rPr>
        <w:t xml:space="preserve"> </w:t>
      </w:r>
      <w:r w:rsidR="562C0C73" w:rsidRPr="34B5D265">
        <w:rPr>
          <w:rFonts w:eastAsia="Times New Roman"/>
          <w:noProof/>
        </w:rPr>
        <w:t>The associated compliance cost savings are estimated as follows:</w:t>
      </w:r>
    </w:p>
    <w:p w14:paraId="27C75EA3" w14:textId="6B10D9C8" w:rsidR="562C0C73" w:rsidRDefault="562C0C73" w:rsidP="0059106A">
      <w:pPr>
        <w:pStyle w:val="ListParagraph"/>
        <w:numPr>
          <w:ilvl w:val="0"/>
          <w:numId w:val="10"/>
        </w:numPr>
        <w:spacing w:before="240"/>
        <w:rPr>
          <w:rFonts w:eastAsia="Times New Roman"/>
          <w:noProof/>
        </w:rPr>
      </w:pPr>
      <w:r w:rsidRPr="34B5D265">
        <w:rPr>
          <w:rFonts w:eastAsia="Times New Roman"/>
          <w:noProof/>
        </w:rPr>
        <w:t xml:space="preserve">Low-cost scenario: EUR </w:t>
      </w:r>
      <w:r w:rsidR="00B71274">
        <w:rPr>
          <w:rFonts w:eastAsia="Times New Roman"/>
          <w:noProof/>
        </w:rPr>
        <w:t>484</w:t>
      </w:r>
      <w:r w:rsidR="00596915" w:rsidRPr="34B5D265">
        <w:rPr>
          <w:rFonts w:eastAsia="Times New Roman"/>
          <w:noProof/>
        </w:rPr>
        <w:t xml:space="preserve"> </w:t>
      </w:r>
      <w:r w:rsidRPr="34B5D265">
        <w:rPr>
          <w:rFonts w:eastAsia="Times New Roman"/>
          <w:noProof/>
        </w:rPr>
        <w:t>million</w:t>
      </w:r>
    </w:p>
    <w:p w14:paraId="4AD96EA9" w14:textId="13A68D66" w:rsidR="562C0C73" w:rsidRDefault="562C0C73" w:rsidP="0059106A">
      <w:pPr>
        <w:pStyle w:val="ListParagraph"/>
        <w:numPr>
          <w:ilvl w:val="0"/>
          <w:numId w:val="10"/>
        </w:numPr>
        <w:spacing w:before="240"/>
        <w:rPr>
          <w:rFonts w:eastAsia="Times New Roman"/>
          <w:noProof/>
        </w:rPr>
      </w:pPr>
      <w:r w:rsidRPr="34B5D265">
        <w:rPr>
          <w:rFonts w:eastAsia="Times New Roman"/>
          <w:noProof/>
        </w:rPr>
        <w:t xml:space="preserve">Central scenario: EUR </w:t>
      </w:r>
      <w:r w:rsidR="00B71274">
        <w:rPr>
          <w:rFonts w:eastAsia="Times New Roman"/>
          <w:noProof/>
        </w:rPr>
        <w:t>726</w:t>
      </w:r>
      <w:r w:rsidR="00596915" w:rsidRPr="34B5D265">
        <w:rPr>
          <w:rFonts w:eastAsia="Times New Roman"/>
          <w:noProof/>
        </w:rPr>
        <w:t xml:space="preserve"> </w:t>
      </w:r>
      <w:r w:rsidRPr="34B5D265">
        <w:rPr>
          <w:rFonts w:eastAsia="Times New Roman"/>
          <w:noProof/>
        </w:rPr>
        <w:t>million</w:t>
      </w:r>
    </w:p>
    <w:p w14:paraId="0946DCE5" w14:textId="1911385D" w:rsidR="00C8551D" w:rsidRDefault="562C0C73" w:rsidP="0059106A">
      <w:pPr>
        <w:pStyle w:val="ListParagraph"/>
        <w:numPr>
          <w:ilvl w:val="0"/>
          <w:numId w:val="10"/>
        </w:numPr>
        <w:spacing w:before="240"/>
        <w:rPr>
          <w:rFonts w:eastAsia="Times New Roman"/>
          <w:noProof/>
        </w:rPr>
      </w:pPr>
      <w:r w:rsidRPr="34B5D265">
        <w:rPr>
          <w:rFonts w:eastAsia="Times New Roman"/>
          <w:noProof/>
        </w:rPr>
        <w:t xml:space="preserve">High-cost scenario: EUR </w:t>
      </w:r>
      <w:r w:rsidR="00DC3A9B">
        <w:rPr>
          <w:rFonts w:eastAsia="Times New Roman"/>
          <w:noProof/>
        </w:rPr>
        <w:t>968</w:t>
      </w:r>
      <w:r w:rsidR="00596915" w:rsidRPr="34B5D265">
        <w:rPr>
          <w:rFonts w:eastAsia="Times New Roman"/>
          <w:noProof/>
        </w:rPr>
        <w:t xml:space="preserve"> </w:t>
      </w:r>
      <w:r w:rsidRPr="34B5D265">
        <w:rPr>
          <w:rFonts w:eastAsia="Times New Roman"/>
          <w:noProof/>
        </w:rPr>
        <w:t>million</w:t>
      </w:r>
    </w:p>
    <w:p w14:paraId="496149A2" w14:textId="5EB94FD4" w:rsidR="00B92850" w:rsidRPr="00B92850" w:rsidRDefault="00B92850" w:rsidP="00B92850">
      <w:pPr>
        <w:spacing w:before="240"/>
        <w:rPr>
          <w:rFonts w:eastAsia="Times New Roman"/>
          <w:noProof/>
        </w:rPr>
      </w:pPr>
      <w:r>
        <w:rPr>
          <w:rFonts w:eastAsia="Times New Roman"/>
          <w:noProof/>
        </w:rPr>
        <w:t xml:space="preserve">Concerning the </w:t>
      </w:r>
      <w:r w:rsidR="004A647D">
        <w:rPr>
          <w:rFonts w:eastAsia="Times New Roman"/>
          <w:noProof/>
        </w:rPr>
        <w:t>impact on tax administrations,</w:t>
      </w:r>
      <w:r w:rsidRPr="00B92850">
        <w:rPr>
          <w:rFonts w:eastAsia="Times New Roman"/>
          <w:noProof/>
        </w:rPr>
        <w:t xml:space="preserve"> the proposed changes are </w:t>
      </w:r>
      <w:r w:rsidR="003B1340">
        <w:rPr>
          <w:rFonts w:eastAsia="Times New Roman"/>
          <w:noProof/>
        </w:rPr>
        <w:t xml:space="preserve">strongly </w:t>
      </w:r>
      <w:r w:rsidRPr="00B92850">
        <w:rPr>
          <w:rFonts w:eastAsia="Times New Roman"/>
          <w:noProof/>
        </w:rPr>
        <w:t>expected to reduce administrative costs for tax administrations, primarily through a reduction in the volume of reported sellers and the associated data flows. By removing the activity threshold and increasing the monetary threshold, a significant share of low-value sellers would no longer be reported. This would decrease the amount of data to be processed, validated, stored and exchanged between Member States, thereby lowering the administrative workload.</w:t>
      </w:r>
    </w:p>
    <w:p w14:paraId="4150069A" w14:textId="7790CC6D" w:rsidR="004A647D" w:rsidRDefault="00B92850" w:rsidP="004A647D">
      <w:pPr>
        <w:spacing w:before="240"/>
        <w:rPr>
          <w:rFonts w:eastAsia="Times New Roman"/>
          <w:noProof/>
        </w:rPr>
      </w:pPr>
      <w:r w:rsidRPr="00B92850">
        <w:rPr>
          <w:rFonts w:eastAsia="Times New Roman"/>
          <w:noProof/>
        </w:rPr>
        <w:t xml:space="preserve">In addition to reducing volumes, the measures are expected to improve the relevance of the information collected. </w:t>
      </w:r>
      <w:r w:rsidR="44D80F51" w:rsidRPr="61DFE726">
        <w:rPr>
          <w:rFonts w:eastAsia="Times New Roman"/>
          <w:noProof/>
        </w:rPr>
        <w:t xml:space="preserve">In line with the rationale </w:t>
      </w:r>
      <w:r w:rsidR="7C44729B" w:rsidRPr="642A1276">
        <w:rPr>
          <w:rFonts w:eastAsia="Times New Roman"/>
          <w:noProof/>
        </w:rPr>
        <w:t>for</w:t>
      </w:r>
      <w:r w:rsidR="44D80F51" w:rsidRPr="61DFE726">
        <w:rPr>
          <w:rFonts w:eastAsia="Times New Roman"/>
          <w:noProof/>
        </w:rPr>
        <w:t xml:space="preserve"> </w:t>
      </w:r>
      <w:r w:rsidR="006A6E95">
        <w:rPr>
          <w:rFonts w:eastAsia="Times New Roman"/>
          <w:noProof/>
        </w:rPr>
        <w:t xml:space="preserve">Measure </w:t>
      </w:r>
      <w:r w:rsidR="007C34A4">
        <w:rPr>
          <w:rFonts w:eastAsia="Times New Roman"/>
          <w:noProof/>
        </w:rPr>
        <w:t>1</w:t>
      </w:r>
      <w:r w:rsidR="006A6E95">
        <w:rPr>
          <w:rFonts w:eastAsia="Times New Roman"/>
          <w:noProof/>
        </w:rPr>
        <w:t xml:space="preserve"> b</w:t>
      </w:r>
      <w:r w:rsidRPr="00B92850">
        <w:rPr>
          <w:rFonts w:eastAsia="Times New Roman"/>
          <w:noProof/>
        </w:rPr>
        <w:t>y focusing reporting on sellers with higher levels of economic activity, tax administrations may be able to conduct more targeted and effective risk assessments, reducing the need to filter large amounts of low-value data.</w:t>
      </w:r>
      <w:r w:rsidR="48F81DF7" w:rsidRPr="642A1276">
        <w:rPr>
          <w:rFonts w:eastAsia="Times New Roman"/>
          <w:noProof/>
        </w:rPr>
        <w:t xml:space="preserve"> </w:t>
      </w:r>
      <w:r w:rsidRPr="00B92850">
        <w:rPr>
          <w:rFonts w:eastAsia="Times New Roman"/>
          <w:noProof/>
        </w:rPr>
        <w:t xml:space="preserve">At the same time, some limited one-off administrative costs may arise from adapting IT systems and reporting processes to reflect the revised thresholds. However, these adjustments are expected to be relatively </w:t>
      </w:r>
      <w:r w:rsidR="00DC6292">
        <w:rPr>
          <w:rFonts w:eastAsia="Times New Roman"/>
          <w:noProof/>
        </w:rPr>
        <w:t>small</w:t>
      </w:r>
      <w:r w:rsidRPr="00B92850">
        <w:rPr>
          <w:rFonts w:eastAsia="Times New Roman"/>
          <w:noProof/>
        </w:rPr>
        <w:t xml:space="preserve"> compared to the ongoing efficiency gains.</w:t>
      </w:r>
    </w:p>
    <w:p w14:paraId="6FCD0B04" w14:textId="3A120D33" w:rsidR="00B92850" w:rsidRDefault="5F261BDF" w:rsidP="004A647D">
      <w:pPr>
        <w:spacing w:before="240"/>
        <w:rPr>
          <w:rFonts w:eastAsia="Times New Roman"/>
          <w:noProof/>
        </w:rPr>
      </w:pPr>
      <w:r w:rsidRPr="4321A1A3">
        <w:rPr>
          <w:rFonts w:eastAsia="Times New Roman"/>
          <w:noProof/>
        </w:rPr>
        <w:t xml:space="preserve">Overall, Measure </w:t>
      </w:r>
      <w:r w:rsidR="22097795" w:rsidRPr="4321A1A3">
        <w:rPr>
          <w:rFonts w:eastAsia="Times New Roman"/>
          <w:noProof/>
        </w:rPr>
        <w:t>2</w:t>
      </w:r>
      <w:r w:rsidRPr="4321A1A3">
        <w:rPr>
          <w:rFonts w:eastAsia="Times New Roman"/>
          <w:noProof/>
        </w:rPr>
        <w:t xml:space="preserve"> is expected to lead to net administrative saving</w:t>
      </w:r>
      <w:r w:rsidR="6B220C67" w:rsidRPr="4321A1A3">
        <w:rPr>
          <w:rFonts w:eastAsia="Times New Roman"/>
          <w:noProof/>
        </w:rPr>
        <w:t>s for tax administration</w:t>
      </w:r>
      <w:r w:rsidRPr="4321A1A3">
        <w:rPr>
          <w:rFonts w:eastAsia="Times New Roman"/>
          <w:noProof/>
        </w:rPr>
        <w:t>s, driven by lower data volumes and improved targeting of enforcement activities, although the exact magnitude of these savings cannot be quantified.</w:t>
      </w:r>
    </w:p>
    <w:p w14:paraId="5E82B01E" w14:textId="1D8A0FCF" w:rsidR="004F6EB3" w:rsidRPr="001323C5" w:rsidRDefault="003132D1" w:rsidP="001323C5">
      <w:pPr>
        <w:spacing w:before="240" w:after="160" w:line="257" w:lineRule="auto"/>
        <w:jc w:val="center"/>
        <w:rPr>
          <w:rFonts w:eastAsia="Times New Roman"/>
          <w:b/>
          <w:bCs/>
          <w:noProof/>
        </w:rPr>
      </w:pPr>
      <w:r>
        <w:rPr>
          <w:rFonts w:eastAsia="Times New Roman"/>
          <w:b/>
          <w:bCs/>
          <w:noProof/>
        </w:rPr>
        <w:t xml:space="preserve">Quantified </w:t>
      </w:r>
      <w:r w:rsidR="004F6EB3" w:rsidRPr="00C30DFD">
        <w:rPr>
          <w:rFonts w:eastAsia="Times New Roman"/>
          <w:b/>
          <w:bCs/>
          <w:noProof/>
        </w:rPr>
        <w:t xml:space="preserve">Cost Savings under Policy Option </w:t>
      </w:r>
      <w:r w:rsidR="004F6EB3">
        <w:rPr>
          <w:rFonts w:eastAsia="Times New Roman"/>
          <w:b/>
          <w:bCs/>
          <w:noProof/>
        </w:rPr>
        <w:t>2</w:t>
      </w:r>
    </w:p>
    <w:tbl>
      <w:tblPr>
        <w:tblW w:w="9204"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408"/>
        <w:gridCol w:w="2598"/>
        <w:gridCol w:w="2599"/>
        <w:gridCol w:w="2599"/>
      </w:tblGrid>
      <w:tr w:rsidR="004C6281" w:rsidRPr="00D7088D" w14:paraId="37780ADC" w14:textId="77777777" w:rsidTr="001323C5">
        <w:trPr>
          <w:trHeight w:val="300"/>
        </w:trPr>
        <w:tc>
          <w:tcPr>
            <w:tcW w:w="140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415BD3E" w14:textId="77777777" w:rsidR="004C6281" w:rsidRPr="00D7088D" w:rsidRDefault="004C6281" w:rsidP="00DF4DDF">
            <w:pPr>
              <w:spacing w:after="0" w:line="257" w:lineRule="auto"/>
              <w:rPr>
                <w:rFonts w:eastAsia="Times New Roman"/>
                <w:b/>
                <w:bCs/>
                <w:noProof/>
                <w:sz w:val="20"/>
                <w:szCs w:val="20"/>
              </w:rPr>
            </w:pPr>
          </w:p>
        </w:tc>
        <w:tc>
          <w:tcPr>
            <w:tcW w:w="259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109C918" w14:textId="76126CEB" w:rsidR="004C6281" w:rsidRPr="00D7088D" w:rsidRDefault="004C6281" w:rsidP="00DF4DDF">
            <w:pPr>
              <w:spacing w:after="0" w:line="257" w:lineRule="auto"/>
              <w:jc w:val="center"/>
              <w:rPr>
                <w:rFonts w:eastAsia="Times New Roman"/>
                <w:b/>
                <w:bCs/>
                <w:noProof/>
                <w:sz w:val="20"/>
                <w:szCs w:val="20"/>
              </w:rPr>
            </w:pPr>
            <w:r w:rsidRPr="00D7088D">
              <w:rPr>
                <w:rFonts w:eastAsia="Times New Roman"/>
                <w:b/>
                <w:bCs/>
                <w:noProof/>
                <w:sz w:val="20"/>
                <w:szCs w:val="20"/>
              </w:rPr>
              <w:t>PO</w:t>
            </w:r>
            <w:r>
              <w:rPr>
                <w:rFonts w:eastAsia="Times New Roman"/>
                <w:b/>
                <w:bCs/>
                <w:noProof/>
                <w:sz w:val="20"/>
                <w:szCs w:val="20"/>
              </w:rPr>
              <w:t>2</w:t>
            </w:r>
            <w:r w:rsidRPr="00D7088D">
              <w:rPr>
                <w:rFonts w:eastAsia="Times New Roman"/>
                <w:b/>
                <w:bCs/>
                <w:noProof/>
                <w:sz w:val="20"/>
                <w:szCs w:val="20"/>
              </w:rPr>
              <w:t>a</w:t>
            </w:r>
          </w:p>
        </w:tc>
        <w:tc>
          <w:tcPr>
            <w:tcW w:w="259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F7461D4" w14:textId="5CD607D0" w:rsidR="004C6281" w:rsidRPr="00D7088D" w:rsidRDefault="004C6281" w:rsidP="00DF4DDF">
            <w:pPr>
              <w:spacing w:after="0" w:line="257" w:lineRule="auto"/>
              <w:jc w:val="center"/>
              <w:rPr>
                <w:rFonts w:eastAsia="Times New Roman"/>
                <w:b/>
                <w:bCs/>
                <w:noProof/>
                <w:sz w:val="20"/>
                <w:szCs w:val="20"/>
              </w:rPr>
            </w:pPr>
            <w:r w:rsidRPr="00D7088D">
              <w:rPr>
                <w:rFonts w:eastAsia="Times New Roman"/>
                <w:b/>
                <w:bCs/>
                <w:noProof/>
                <w:sz w:val="20"/>
                <w:szCs w:val="20"/>
              </w:rPr>
              <w:t>PO</w:t>
            </w:r>
            <w:r>
              <w:rPr>
                <w:rFonts w:eastAsia="Times New Roman"/>
                <w:b/>
                <w:bCs/>
                <w:noProof/>
                <w:sz w:val="20"/>
                <w:szCs w:val="20"/>
              </w:rPr>
              <w:t>2</w:t>
            </w:r>
            <w:r w:rsidRPr="00D7088D">
              <w:rPr>
                <w:rFonts w:eastAsia="Times New Roman"/>
                <w:b/>
                <w:bCs/>
                <w:noProof/>
                <w:sz w:val="20"/>
                <w:szCs w:val="20"/>
              </w:rPr>
              <w:t>b</w:t>
            </w:r>
          </w:p>
        </w:tc>
        <w:tc>
          <w:tcPr>
            <w:tcW w:w="2599" w:type="dxa"/>
            <w:tcBorders>
              <w:top w:val="single" w:sz="8" w:space="0" w:color="auto"/>
              <w:left w:val="single" w:sz="8" w:space="0" w:color="auto"/>
              <w:bottom w:val="single" w:sz="8" w:space="0" w:color="auto"/>
              <w:right w:val="single" w:sz="8" w:space="0" w:color="auto"/>
            </w:tcBorders>
          </w:tcPr>
          <w:p w14:paraId="6ED9E01F" w14:textId="456BD815" w:rsidR="004C6281" w:rsidRPr="00D7088D" w:rsidRDefault="004C6281" w:rsidP="00DF4DDF">
            <w:pPr>
              <w:spacing w:after="0" w:line="257" w:lineRule="auto"/>
              <w:jc w:val="center"/>
              <w:rPr>
                <w:rFonts w:eastAsia="Times New Roman"/>
                <w:b/>
                <w:bCs/>
                <w:noProof/>
                <w:sz w:val="20"/>
                <w:szCs w:val="20"/>
              </w:rPr>
            </w:pPr>
            <w:r>
              <w:rPr>
                <w:rFonts w:eastAsia="Times New Roman"/>
                <w:b/>
                <w:bCs/>
                <w:noProof/>
                <w:sz w:val="20"/>
                <w:szCs w:val="20"/>
              </w:rPr>
              <w:t>PO2c</w:t>
            </w:r>
          </w:p>
        </w:tc>
      </w:tr>
      <w:tr w:rsidR="0091367C" w:rsidRPr="0091367C" w14:paraId="2CC210CF" w14:textId="77777777" w:rsidTr="0091367C">
        <w:trPr>
          <w:trHeight w:val="300"/>
        </w:trPr>
        <w:tc>
          <w:tcPr>
            <w:tcW w:w="140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3456EAB" w14:textId="77777777" w:rsidR="004C6281" w:rsidRPr="00D7088D" w:rsidRDefault="004C6281" w:rsidP="001323C5">
            <w:pPr>
              <w:spacing w:after="0" w:line="257" w:lineRule="auto"/>
              <w:jc w:val="left"/>
              <w:rPr>
                <w:rFonts w:eastAsia="Times New Roman"/>
                <w:b/>
                <w:bCs/>
                <w:noProof/>
                <w:sz w:val="20"/>
                <w:szCs w:val="20"/>
              </w:rPr>
            </w:pPr>
            <w:r w:rsidRPr="00D7088D">
              <w:rPr>
                <w:rFonts w:eastAsia="Times New Roman"/>
                <w:b/>
                <w:bCs/>
                <w:noProof/>
                <w:sz w:val="20"/>
                <w:szCs w:val="20"/>
              </w:rPr>
              <w:t>Companies</w:t>
            </w:r>
          </w:p>
        </w:tc>
        <w:tc>
          <w:tcPr>
            <w:tcW w:w="259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A08BCE9" w14:textId="6A290EE7" w:rsidR="004C6281" w:rsidRPr="001323C5" w:rsidRDefault="007957BF" w:rsidP="009F3F50">
            <w:pPr>
              <w:spacing w:after="0"/>
              <w:jc w:val="center"/>
              <w:rPr>
                <w:noProof/>
                <w:sz w:val="20"/>
                <w:szCs w:val="20"/>
                <w:lang w:val="en-US"/>
              </w:rPr>
            </w:pPr>
            <w:r w:rsidRPr="001323C5">
              <w:rPr>
                <w:noProof/>
                <w:sz w:val="20"/>
                <w:szCs w:val="20"/>
                <w:lang w:val="en-US"/>
              </w:rPr>
              <w:t>EUR 428mn</w:t>
            </w:r>
            <w:r w:rsidR="00E163C8" w:rsidRPr="001323C5">
              <w:rPr>
                <w:noProof/>
                <w:sz w:val="20"/>
                <w:szCs w:val="20"/>
                <w:lang w:val="en-US"/>
              </w:rPr>
              <w:t xml:space="preserve"> (low-co</w:t>
            </w:r>
            <w:r w:rsidR="00E163C8">
              <w:rPr>
                <w:noProof/>
                <w:sz w:val="20"/>
                <w:szCs w:val="20"/>
                <w:lang w:val="en-US"/>
              </w:rPr>
              <w:t>st</w:t>
            </w:r>
            <w:r w:rsidR="00436167">
              <w:rPr>
                <w:noProof/>
                <w:sz w:val="20"/>
                <w:szCs w:val="20"/>
                <w:lang w:val="en-US"/>
              </w:rPr>
              <w:t xml:space="preserve"> </w:t>
            </w:r>
            <w:r w:rsidR="00DC5F1D">
              <w:rPr>
                <w:noProof/>
                <w:sz w:val="20"/>
                <w:szCs w:val="20"/>
                <w:lang w:val="en-US"/>
              </w:rPr>
              <w:t>case</w:t>
            </w:r>
            <w:r w:rsidR="00436167">
              <w:rPr>
                <w:noProof/>
                <w:sz w:val="20"/>
                <w:szCs w:val="20"/>
                <w:lang w:val="en-US"/>
              </w:rPr>
              <w:t>)</w:t>
            </w:r>
          </w:p>
          <w:p w14:paraId="43688683" w14:textId="73E32A07" w:rsidR="00E163C8" w:rsidRPr="001323C5" w:rsidRDefault="00E163C8" w:rsidP="009F3F50">
            <w:pPr>
              <w:spacing w:after="0"/>
              <w:jc w:val="center"/>
              <w:rPr>
                <w:noProof/>
                <w:sz w:val="20"/>
                <w:szCs w:val="20"/>
                <w:lang w:val="en-US"/>
              </w:rPr>
            </w:pPr>
            <w:r w:rsidRPr="001323C5">
              <w:rPr>
                <w:noProof/>
                <w:sz w:val="20"/>
                <w:szCs w:val="20"/>
                <w:lang w:val="en-US"/>
              </w:rPr>
              <w:t>EUR 642mn</w:t>
            </w:r>
            <w:r w:rsidR="00436167">
              <w:rPr>
                <w:noProof/>
                <w:sz w:val="20"/>
                <w:szCs w:val="20"/>
                <w:lang w:val="en-US"/>
              </w:rPr>
              <w:t xml:space="preserve"> (central </w:t>
            </w:r>
            <w:r w:rsidR="00DC5F1D">
              <w:rPr>
                <w:noProof/>
                <w:sz w:val="20"/>
                <w:szCs w:val="20"/>
                <w:lang w:val="en-US"/>
              </w:rPr>
              <w:t>case</w:t>
            </w:r>
            <w:r w:rsidR="00436167">
              <w:rPr>
                <w:noProof/>
                <w:sz w:val="20"/>
                <w:szCs w:val="20"/>
                <w:lang w:val="en-US"/>
              </w:rPr>
              <w:t>)</w:t>
            </w:r>
          </w:p>
          <w:p w14:paraId="69B35A4E" w14:textId="4E9C72FA" w:rsidR="00E163C8" w:rsidRPr="001323C5" w:rsidRDefault="00E163C8" w:rsidP="001323C5">
            <w:pPr>
              <w:spacing w:after="0"/>
              <w:jc w:val="center"/>
              <w:rPr>
                <w:noProof/>
                <w:sz w:val="20"/>
                <w:szCs w:val="20"/>
                <w:lang w:val="en-US"/>
              </w:rPr>
            </w:pPr>
            <w:r w:rsidRPr="001323C5">
              <w:rPr>
                <w:noProof/>
                <w:sz w:val="20"/>
                <w:szCs w:val="20"/>
                <w:lang w:val="en-US"/>
              </w:rPr>
              <w:t>EUR 856mn</w:t>
            </w:r>
            <w:r w:rsidR="00436167" w:rsidRPr="001323C5">
              <w:rPr>
                <w:noProof/>
                <w:sz w:val="20"/>
                <w:szCs w:val="20"/>
                <w:lang w:val="en-US"/>
              </w:rPr>
              <w:t xml:space="preserve"> (high-cost </w:t>
            </w:r>
            <w:r w:rsidR="00DC5F1D">
              <w:rPr>
                <w:noProof/>
                <w:sz w:val="20"/>
                <w:szCs w:val="20"/>
                <w:lang w:val="en-US"/>
              </w:rPr>
              <w:t>case</w:t>
            </w:r>
            <w:r w:rsidR="00436167" w:rsidRPr="001323C5">
              <w:rPr>
                <w:noProof/>
                <w:sz w:val="20"/>
                <w:szCs w:val="20"/>
                <w:lang w:val="en-US"/>
              </w:rPr>
              <w:t>)</w:t>
            </w:r>
          </w:p>
        </w:tc>
        <w:tc>
          <w:tcPr>
            <w:tcW w:w="259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75DE4B" w14:textId="637BD668" w:rsidR="00436167" w:rsidRPr="00C30DFD" w:rsidRDefault="00436167" w:rsidP="00436167">
            <w:pPr>
              <w:spacing w:after="0"/>
              <w:jc w:val="center"/>
              <w:rPr>
                <w:noProof/>
                <w:sz w:val="20"/>
                <w:szCs w:val="20"/>
                <w:lang w:val="en-US"/>
              </w:rPr>
            </w:pPr>
            <w:r w:rsidRPr="00C30DFD">
              <w:rPr>
                <w:noProof/>
                <w:sz w:val="20"/>
                <w:szCs w:val="20"/>
                <w:lang w:val="en-US"/>
              </w:rPr>
              <w:t>EUR 4</w:t>
            </w:r>
            <w:r w:rsidR="007734B3">
              <w:rPr>
                <w:noProof/>
                <w:sz w:val="20"/>
                <w:szCs w:val="20"/>
                <w:lang w:val="en-US"/>
              </w:rPr>
              <w:t>52</w:t>
            </w:r>
            <w:r w:rsidRPr="00C30DFD">
              <w:rPr>
                <w:noProof/>
                <w:sz w:val="20"/>
                <w:szCs w:val="20"/>
                <w:lang w:val="en-US"/>
              </w:rPr>
              <w:t>mn (low-co</w:t>
            </w:r>
            <w:r>
              <w:rPr>
                <w:noProof/>
                <w:sz w:val="20"/>
                <w:szCs w:val="20"/>
                <w:lang w:val="en-US"/>
              </w:rPr>
              <w:t xml:space="preserve">st </w:t>
            </w:r>
            <w:r w:rsidR="00DC5F1D">
              <w:rPr>
                <w:noProof/>
                <w:sz w:val="20"/>
                <w:szCs w:val="20"/>
                <w:lang w:val="en-US"/>
              </w:rPr>
              <w:t>case</w:t>
            </w:r>
            <w:r>
              <w:rPr>
                <w:noProof/>
                <w:sz w:val="20"/>
                <w:szCs w:val="20"/>
                <w:lang w:val="en-US"/>
              </w:rPr>
              <w:t>)</w:t>
            </w:r>
          </w:p>
          <w:p w14:paraId="26DDCAE0" w14:textId="07F8976A" w:rsidR="00436167" w:rsidRPr="00C30DFD" w:rsidRDefault="00436167" w:rsidP="00436167">
            <w:pPr>
              <w:spacing w:after="0"/>
              <w:jc w:val="center"/>
              <w:rPr>
                <w:noProof/>
                <w:sz w:val="20"/>
                <w:szCs w:val="20"/>
                <w:lang w:val="en-US"/>
              </w:rPr>
            </w:pPr>
            <w:r w:rsidRPr="00C30DFD">
              <w:rPr>
                <w:noProof/>
                <w:sz w:val="20"/>
                <w:szCs w:val="20"/>
                <w:lang w:val="en-US"/>
              </w:rPr>
              <w:t>EUR 6</w:t>
            </w:r>
            <w:r w:rsidR="007734B3">
              <w:rPr>
                <w:noProof/>
                <w:sz w:val="20"/>
                <w:szCs w:val="20"/>
                <w:lang w:val="en-US"/>
              </w:rPr>
              <w:t>78</w:t>
            </w:r>
            <w:r w:rsidRPr="00C30DFD">
              <w:rPr>
                <w:noProof/>
                <w:sz w:val="20"/>
                <w:szCs w:val="20"/>
                <w:lang w:val="en-US"/>
              </w:rPr>
              <w:t>mn</w:t>
            </w:r>
            <w:r>
              <w:rPr>
                <w:noProof/>
                <w:sz w:val="20"/>
                <w:szCs w:val="20"/>
                <w:lang w:val="en-US"/>
              </w:rPr>
              <w:t xml:space="preserve"> (central </w:t>
            </w:r>
            <w:r w:rsidR="00DC5F1D">
              <w:rPr>
                <w:noProof/>
                <w:sz w:val="20"/>
                <w:szCs w:val="20"/>
                <w:lang w:val="en-US"/>
              </w:rPr>
              <w:t>case</w:t>
            </w:r>
            <w:r>
              <w:rPr>
                <w:noProof/>
                <w:sz w:val="20"/>
                <w:szCs w:val="20"/>
                <w:lang w:val="en-US"/>
              </w:rPr>
              <w:t>)</w:t>
            </w:r>
          </w:p>
          <w:p w14:paraId="209C476B" w14:textId="176397CB" w:rsidR="004C6281" w:rsidRPr="001323C5" w:rsidRDefault="00436167" w:rsidP="001323C5">
            <w:pPr>
              <w:spacing w:after="0"/>
              <w:jc w:val="center"/>
              <w:rPr>
                <w:noProof/>
                <w:sz w:val="20"/>
                <w:szCs w:val="20"/>
                <w:lang w:val="en-US"/>
              </w:rPr>
            </w:pPr>
            <w:r w:rsidRPr="00C30DFD">
              <w:rPr>
                <w:noProof/>
                <w:sz w:val="20"/>
                <w:szCs w:val="20"/>
                <w:lang w:val="en-US"/>
              </w:rPr>
              <w:t xml:space="preserve">EUR </w:t>
            </w:r>
            <w:r w:rsidR="007734B3">
              <w:rPr>
                <w:noProof/>
                <w:sz w:val="20"/>
                <w:szCs w:val="20"/>
                <w:lang w:val="en-US"/>
              </w:rPr>
              <w:t>904</w:t>
            </w:r>
            <w:r w:rsidRPr="00C30DFD">
              <w:rPr>
                <w:noProof/>
                <w:sz w:val="20"/>
                <w:szCs w:val="20"/>
                <w:lang w:val="en-US"/>
              </w:rPr>
              <w:t xml:space="preserve">mn (high-cost </w:t>
            </w:r>
            <w:r w:rsidR="00DC5F1D">
              <w:rPr>
                <w:noProof/>
                <w:sz w:val="20"/>
                <w:szCs w:val="20"/>
                <w:lang w:val="en-US"/>
              </w:rPr>
              <w:t>case</w:t>
            </w:r>
            <w:r w:rsidRPr="00C30DFD">
              <w:rPr>
                <w:noProof/>
                <w:sz w:val="20"/>
                <w:szCs w:val="20"/>
                <w:lang w:val="en-US"/>
              </w:rPr>
              <w:t>)</w:t>
            </w:r>
          </w:p>
        </w:tc>
        <w:tc>
          <w:tcPr>
            <w:tcW w:w="2599" w:type="dxa"/>
            <w:tcBorders>
              <w:top w:val="single" w:sz="8" w:space="0" w:color="auto"/>
              <w:left w:val="single" w:sz="8" w:space="0" w:color="auto"/>
              <w:bottom w:val="single" w:sz="8" w:space="0" w:color="auto"/>
              <w:right w:val="single" w:sz="8" w:space="0" w:color="auto"/>
            </w:tcBorders>
            <w:vAlign w:val="center"/>
          </w:tcPr>
          <w:p w14:paraId="45ED3591" w14:textId="11E8B8C7" w:rsidR="00436167" w:rsidRPr="00C30DFD" w:rsidRDefault="00436167" w:rsidP="00436167">
            <w:pPr>
              <w:spacing w:after="0"/>
              <w:jc w:val="center"/>
              <w:rPr>
                <w:noProof/>
                <w:sz w:val="20"/>
                <w:szCs w:val="20"/>
                <w:lang w:val="en-US"/>
              </w:rPr>
            </w:pPr>
            <w:r w:rsidRPr="00C30DFD">
              <w:rPr>
                <w:noProof/>
                <w:sz w:val="20"/>
                <w:szCs w:val="20"/>
                <w:lang w:val="en-US"/>
              </w:rPr>
              <w:t>EUR 4</w:t>
            </w:r>
            <w:r w:rsidR="007734B3">
              <w:rPr>
                <w:noProof/>
                <w:sz w:val="20"/>
                <w:szCs w:val="20"/>
                <w:lang w:val="en-US"/>
              </w:rPr>
              <w:t>84</w:t>
            </w:r>
            <w:r w:rsidRPr="00C30DFD">
              <w:rPr>
                <w:noProof/>
                <w:sz w:val="20"/>
                <w:szCs w:val="20"/>
                <w:lang w:val="en-US"/>
              </w:rPr>
              <w:t>mn (low-co</w:t>
            </w:r>
            <w:r>
              <w:rPr>
                <w:noProof/>
                <w:sz w:val="20"/>
                <w:szCs w:val="20"/>
                <w:lang w:val="en-US"/>
              </w:rPr>
              <w:t xml:space="preserve">st </w:t>
            </w:r>
            <w:r w:rsidR="00DC5F1D">
              <w:rPr>
                <w:noProof/>
                <w:sz w:val="20"/>
                <w:szCs w:val="20"/>
                <w:lang w:val="en-US"/>
              </w:rPr>
              <w:t>case</w:t>
            </w:r>
            <w:r>
              <w:rPr>
                <w:noProof/>
                <w:sz w:val="20"/>
                <w:szCs w:val="20"/>
                <w:lang w:val="en-US"/>
              </w:rPr>
              <w:t>)</w:t>
            </w:r>
          </w:p>
          <w:p w14:paraId="382CD30B" w14:textId="6262203B" w:rsidR="00436167" w:rsidRPr="00C30DFD" w:rsidRDefault="00436167" w:rsidP="00436167">
            <w:pPr>
              <w:spacing w:after="0"/>
              <w:jc w:val="center"/>
              <w:rPr>
                <w:noProof/>
                <w:sz w:val="20"/>
                <w:szCs w:val="20"/>
                <w:lang w:val="en-US"/>
              </w:rPr>
            </w:pPr>
            <w:r w:rsidRPr="00C30DFD">
              <w:rPr>
                <w:noProof/>
                <w:sz w:val="20"/>
                <w:szCs w:val="20"/>
                <w:lang w:val="en-US"/>
              </w:rPr>
              <w:t xml:space="preserve">EUR </w:t>
            </w:r>
            <w:r w:rsidR="007734B3">
              <w:rPr>
                <w:noProof/>
                <w:sz w:val="20"/>
                <w:szCs w:val="20"/>
                <w:lang w:val="en-US"/>
              </w:rPr>
              <w:t>726</w:t>
            </w:r>
            <w:r w:rsidRPr="00C30DFD">
              <w:rPr>
                <w:noProof/>
                <w:sz w:val="20"/>
                <w:szCs w:val="20"/>
                <w:lang w:val="en-US"/>
              </w:rPr>
              <w:t>mn</w:t>
            </w:r>
            <w:r>
              <w:rPr>
                <w:noProof/>
                <w:sz w:val="20"/>
                <w:szCs w:val="20"/>
                <w:lang w:val="en-US"/>
              </w:rPr>
              <w:t xml:space="preserve"> (central </w:t>
            </w:r>
            <w:r w:rsidR="00DC5F1D">
              <w:rPr>
                <w:noProof/>
                <w:sz w:val="20"/>
                <w:szCs w:val="20"/>
                <w:lang w:val="en-US"/>
              </w:rPr>
              <w:t>case</w:t>
            </w:r>
            <w:r>
              <w:rPr>
                <w:noProof/>
                <w:sz w:val="20"/>
                <w:szCs w:val="20"/>
                <w:lang w:val="en-US"/>
              </w:rPr>
              <w:t>)</w:t>
            </w:r>
          </w:p>
          <w:p w14:paraId="266C889F" w14:textId="0A6BB8E9" w:rsidR="004C6281" w:rsidRPr="001323C5" w:rsidRDefault="00436167" w:rsidP="001323C5">
            <w:pPr>
              <w:spacing w:after="0"/>
              <w:jc w:val="center"/>
              <w:rPr>
                <w:noProof/>
                <w:sz w:val="20"/>
                <w:szCs w:val="20"/>
                <w:lang w:val="en-US"/>
              </w:rPr>
            </w:pPr>
            <w:r w:rsidRPr="00C30DFD">
              <w:rPr>
                <w:noProof/>
                <w:sz w:val="20"/>
                <w:szCs w:val="20"/>
                <w:lang w:val="en-US"/>
              </w:rPr>
              <w:t xml:space="preserve">EUR </w:t>
            </w:r>
            <w:r w:rsidR="007734B3">
              <w:rPr>
                <w:noProof/>
                <w:sz w:val="20"/>
                <w:szCs w:val="20"/>
                <w:lang w:val="en-US"/>
              </w:rPr>
              <w:t>968</w:t>
            </w:r>
            <w:r w:rsidRPr="00C30DFD">
              <w:rPr>
                <w:noProof/>
                <w:sz w:val="20"/>
                <w:szCs w:val="20"/>
                <w:lang w:val="en-US"/>
              </w:rPr>
              <w:t xml:space="preserve">mn (high-cost </w:t>
            </w:r>
            <w:r w:rsidR="00DC5F1D">
              <w:rPr>
                <w:noProof/>
                <w:sz w:val="20"/>
                <w:szCs w:val="20"/>
                <w:lang w:val="en-US"/>
              </w:rPr>
              <w:t>case</w:t>
            </w:r>
            <w:r w:rsidRPr="00C30DFD">
              <w:rPr>
                <w:noProof/>
                <w:sz w:val="20"/>
                <w:szCs w:val="20"/>
                <w:lang w:val="en-US"/>
              </w:rPr>
              <w:t>)</w:t>
            </w:r>
          </w:p>
        </w:tc>
      </w:tr>
    </w:tbl>
    <w:p w14:paraId="622D57F0" w14:textId="77777777" w:rsidR="004C6281" w:rsidRPr="001323C5" w:rsidRDefault="004C6281" w:rsidP="004A647D">
      <w:pPr>
        <w:spacing w:before="240"/>
        <w:rPr>
          <w:rFonts w:eastAsia="Times New Roman"/>
          <w:noProof/>
          <w:lang w:val="en-US"/>
        </w:rPr>
      </w:pPr>
    </w:p>
    <w:p w14:paraId="3B6D4323" w14:textId="652B4CB9" w:rsidR="267BF11A" w:rsidRDefault="00063BE5" w:rsidP="71D3EA3B">
      <w:pPr>
        <w:pStyle w:val="Heading3"/>
        <w:numPr>
          <w:ilvl w:val="0"/>
          <w:numId w:val="0"/>
        </w:numPr>
        <w:tabs>
          <w:tab w:val="num" w:pos="1134"/>
        </w:tabs>
        <w:rPr>
          <w:b/>
          <w:noProof/>
        </w:rPr>
      </w:pPr>
      <w:r w:rsidRPr="21F7AE37">
        <w:rPr>
          <w:b/>
          <w:bCs/>
          <w:noProof/>
        </w:rPr>
        <w:t>Policy</w:t>
      </w:r>
      <w:r w:rsidRPr="642A1276">
        <w:rPr>
          <w:b/>
          <w:noProof/>
        </w:rPr>
        <w:t xml:space="preserve"> option</w:t>
      </w:r>
      <w:r w:rsidR="7B6FDCEF" w:rsidRPr="642A1276">
        <w:rPr>
          <w:b/>
          <w:noProof/>
        </w:rPr>
        <w:t>s</w:t>
      </w:r>
      <w:r w:rsidRPr="642A1276">
        <w:rPr>
          <w:b/>
          <w:noProof/>
        </w:rPr>
        <w:t xml:space="preserve"> </w:t>
      </w:r>
      <w:r w:rsidR="7FAD48A8" w:rsidRPr="642A1276">
        <w:rPr>
          <w:b/>
          <w:noProof/>
        </w:rPr>
        <w:t xml:space="preserve">under </w:t>
      </w:r>
      <w:r w:rsidR="17CAD12B" w:rsidRPr="642A1276">
        <w:rPr>
          <w:b/>
          <w:noProof/>
        </w:rPr>
        <w:t>M</w:t>
      </w:r>
      <w:r w:rsidR="7FAD48A8" w:rsidRPr="642A1276">
        <w:rPr>
          <w:b/>
          <w:noProof/>
        </w:rPr>
        <w:t>easure</w:t>
      </w:r>
      <w:r w:rsidRPr="642A1276">
        <w:rPr>
          <w:b/>
          <w:noProof/>
        </w:rPr>
        <w:t xml:space="preserve"> </w:t>
      </w:r>
      <w:r w:rsidR="481D2580" w:rsidRPr="21F7AE37">
        <w:rPr>
          <w:b/>
          <w:bCs/>
          <w:noProof/>
        </w:rPr>
        <w:t>3</w:t>
      </w:r>
      <w:r w:rsidR="52C84A53" w:rsidRPr="642A1276">
        <w:rPr>
          <w:b/>
          <w:noProof/>
        </w:rPr>
        <w:t xml:space="preserve"> – Streamlining</w:t>
      </w:r>
      <w:r w:rsidR="267BF11A" w:rsidRPr="642A1276" w:rsidDel="001B32CC">
        <w:rPr>
          <w:b/>
          <w:noProof/>
        </w:rPr>
        <w:t xml:space="preserve"> </w:t>
      </w:r>
      <w:r w:rsidR="267BF11A" w:rsidRPr="642A1276">
        <w:rPr>
          <w:b/>
          <w:noProof/>
        </w:rPr>
        <w:t xml:space="preserve">notification obligations </w:t>
      </w:r>
      <w:r w:rsidR="52C84A53" w:rsidRPr="642A1276">
        <w:rPr>
          <w:b/>
          <w:noProof/>
        </w:rPr>
        <w:t xml:space="preserve">from MNE groups </w:t>
      </w:r>
      <w:r w:rsidR="0B790A10" w:rsidRPr="642A1276">
        <w:rPr>
          <w:b/>
          <w:noProof/>
        </w:rPr>
        <w:t>under DAC4</w:t>
      </w:r>
      <w:r w:rsidR="52C84A53" w:rsidRPr="642A1276">
        <w:rPr>
          <w:b/>
          <w:noProof/>
        </w:rPr>
        <w:t xml:space="preserve"> and </w:t>
      </w:r>
      <w:r w:rsidR="001323C5">
        <w:rPr>
          <w:b/>
          <w:noProof/>
        </w:rPr>
        <w:t>DAC9</w:t>
      </w:r>
    </w:p>
    <w:p w14:paraId="6BF6AE7A" w14:textId="0399F266" w:rsidR="009F7609" w:rsidRDefault="3DD5E9ED" w:rsidP="6DA372D6">
      <w:pPr>
        <w:pStyle w:val="Text2"/>
        <w:ind w:left="0"/>
        <w:jc w:val="left"/>
        <w:rPr>
          <w:noProof/>
          <w:sz w:val="16"/>
          <w:szCs w:val="16"/>
        </w:rPr>
      </w:pPr>
      <w:r w:rsidRPr="6DA372D6">
        <w:rPr>
          <w:noProof/>
          <w:sz w:val="16"/>
          <w:szCs w:val="16"/>
        </w:rPr>
        <w:t>Baseline:</w:t>
      </w:r>
      <w:r w:rsidR="7016EC8C" w:rsidRPr="6DA372D6">
        <w:rPr>
          <w:noProof/>
          <w:sz w:val="16"/>
          <w:szCs w:val="16"/>
        </w:rPr>
        <w:t xml:space="preserve"> DAC4 and </w:t>
      </w:r>
      <w:r w:rsidR="001323C5">
        <w:rPr>
          <w:noProof/>
          <w:sz w:val="16"/>
          <w:szCs w:val="16"/>
        </w:rPr>
        <w:t>DAC9</w:t>
      </w:r>
      <w:r w:rsidR="7016EC8C" w:rsidRPr="6DA372D6">
        <w:rPr>
          <w:noProof/>
          <w:sz w:val="16"/>
          <w:szCs w:val="16"/>
        </w:rPr>
        <w:t xml:space="preserve"> requires </w:t>
      </w:r>
      <w:r w:rsidR="083F8A03" w:rsidRPr="6DA372D6">
        <w:rPr>
          <w:noProof/>
          <w:sz w:val="16"/>
          <w:szCs w:val="16"/>
        </w:rPr>
        <w:t>each entity</w:t>
      </w:r>
      <w:r w:rsidR="7016EC8C" w:rsidRPr="6DA372D6">
        <w:rPr>
          <w:noProof/>
          <w:sz w:val="16"/>
          <w:szCs w:val="16"/>
        </w:rPr>
        <w:t xml:space="preserve"> of </w:t>
      </w:r>
      <w:r w:rsidR="3941058A" w:rsidRPr="6DA372D6">
        <w:rPr>
          <w:noProof/>
          <w:sz w:val="16"/>
          <w:szCs w:val="16"/>
        </w:rPr>
        <w:t xml:space="preserve">the </w:t>
      </w:r>
      <w:r w:rsidR="7016EC8C" w:rsidRPr="6DA372D6">
        <w:rPr>
          <w:noProof/>
          <w:sz w:val="16"/>
          <w:szCs w:val="16"/>
        </w:rPr>
        <w:t xml:space="preserve">MNE </w:t>
      </w:r>
      <w:r w:rsidR="21F28017" w:rsidRPr="6DA372D6">
        <w:rPr>
          <w:noProof/>
          <w:sz w:val="16"/>
          <w:szCs w:val="16"/>
        </w:rPr>
        <w:t>group</w:t>
      </w:r>
      <w:r w:rsidR="7016EC8C" w:rsidRPr="6DA372D6">
        <w:rPr>
          <w:noProof/>
          <w:sz w:val="16"/>
          <w:szCs w:val="16"/>
        </w:rPr>
        <w:t xml:space="preserve"> to file separate notifications for reporting purposes</w:t>
      </w:r>
      <w:r w:rsidR="006A533F">
        <w:rPr>
          <w:noProof/>
          <w:sz w:val="16"/>
          <w:szCs w:val="16"/>
        </w:rPr>
        <w:t xml:space="preserve"> </w:t>
      </w:r>
      <w:r w:rsidR="00CA07D5" w:rsidRPr="00CA07D5">
        <w:rPr>
          <w:noProof/>
          <w:sz w:val="16"/>
          <w:szCs w:val="16"/>
        </w:rPr>
        <w:t xml:space="preserve">often under different formats and </w:t>
      </w:r>
      <w:r w:rsidR="00CA07D5" w:rsidRPr="642A1276">
        <w:rPr>
          <w:noProof/>
          <w:sz w:val="16"/>
          <w:szCs w:val="16"/>
        </w:rPr>
        <w:t>timelines</w:t>
      </w:r>
      <w:r w:rsidR="7016EC8C" w:rsidRPr="6DA372D6">
        <w:rPr>
          <w:noProof/>
          <w:sz w:val="16"/>
          <w:szCs w:val="16"/>
        </w:rPr>
        <w:t xml:space="preserve">. </w:t>
      </w:r>
    </w:p>
    <w:p w14:paraId="13EDF797" w14:textId="722F3812" w:rsidR="009F7609" w:rsidRDefault="00DF3D26" w:rsidP="6DA372D6">
      <w:pPr>
        <w:pStyle w:val="Text2"/>
        <w:ind w:left="0"/>
        <w:jc w:val="left"/>
        <w:rPr>
          <w:noProof/>
          <w:sz w:val="16"/>
          <w:szCs w:val="16"/>
        </w:rPr>
      </w:pPr>
      <w:r w:rsidRPr="21F7AE37">
        <w:rPr>
          <w:noProof/>
          <w:sz w:val="16"/>
          <w:szCs w:val="16"/>
        </w:rPr>
        <w:t>PO</w:t>
      </w:r>
      <w:r w:rsidR="77989ECF" w:rsidRPr="21F7AE37">
        <w:rPr>
          <w:noProof/>
          <w:sz w:val="16"/>
          <w:szCs w:val="16"/>
        </w:rPr>
        <w:t>3</w:t>
      </w:r>
      <w:r w:rsidR="00111FCF" w:rsidRPr="21F7AE37">
        <w:rPr>
          <w:noProof/>
          <w:sz w:val="16"/>
          <w:szCs w:val="16"/>
        </w:rPr>
        <w:t>a</w:t>
      </w:r>
      <w:r w:rsidR="00412243" w:rsidRPr="00CD036A">
        <w:rPr>
          <w:noProof/>
          <w:sz w:val="16"/>
          <w:szCs w:val="16"/>
        </w:rPr>
        <w:t xml:space="preserve">: Introduce a single notification </w:t>
      </w:r>
      <w:r w:rsidR="00856039">
        <w:rPr>
          <w:noProof/>
          <w:sz w:val="16"/>
          <w:szCs w:val="16"/>
        </w:rPr>
        <w:t xml:space="preserve">obligation </w:t>
      </w:r>
      <w:r w:rsidR="00412243" w:rsidRPr="00CD036A">
        <w:rPr>
          <w:noProof/>
          <w:sz w:val="16"/>
          <w:szCs w:val="16"/>
        </w:rPr>
        <w:t>for DAC4/</w:t>
      </w:r>
      <w:r w:rsidR="001323C5">
        <w:rPr>
          <w:noProof/>
          <w:sz w:val="16"/>
          <w:szCs w:val="16"/>
        </w:rPr>
        <w:t>DAC9</w:t>
      </w:r>
      <w:r w:rsidR="004D0D2B">
        <w:rPr>
          <w:noProof/>
          <w:sz w:val="16"/>
          <w:szCs w:val="16"/>
        </w:rPr>
        <w:t xml:space="preserve">, including </w:t>
      </w:r>
      <w:r w:rsidR="00C82902">
        <w:rPr>
          <w:noProof/>
          <w:sz w:val="16"/>
          <w:szCs w:val="16"/>
        </w:rPr>
        <w:t>a</w:t>
      </w:r>
      <w:r w:rsidR="43F77BFA" w:rsidRPr="2FB3FAD6">
        <w:rPr>
          <w:noProof/>
          <w:sz w:val="16"/>
          <w:szCs w:val="16"/>
        </w:rPr>
        <w:t xml:space="preserve"> harmonised deadline</w:t>
      </w:r>
      <w:r w:rsidR="00924A09">
        <w:rPr>
          <w:noProof/>
          <w:sz w:val="16"/>
          <w:szCs w:val="16"/>
        </w:rPr>
        <w:t xml:space="preserve"> and a common notification template</w:t>
      </w:r>
    </w:p>
    <w:p w14:paraId="6EFF5690" w14:textId="185FD168" w:rsidR="004413ED" w:rsidRDefault="004413ED" w:rsidP="00D137EC">
      <w:pPr>
        <w:pStyle w:val="Text2"/>
        <w:ind w:left="0"/>
        <w:rPr>
          <w:noProof/>
          <w:sz w:val="16"/>
          <w:szCs w:val="16"/>
        </w:rPr>
      </w:pPr>
      <w:r w:rsidRPr="21F7AE37">
        <w:rPr>
          <w:noProof/>
          <w:sz w:val="16"/>
          <w:szCs w:val="16"/>
        </w:rPr>
        <w:t>PO</w:t>
      </w:r>
      <w:r w:rsidR="597E6630" w:rsidRPr="21F7AE37">
        <w:rPr>
          <w:noProof/>
          <w:sz w:val="16"/>
          <w:szCs w:val="16"/>
        </w:rPr>
        <w:t>3</w:t>
      </w:r>
      <w:r w:rsidR="2F9C54E2" w:rsidRPr="21F7AE37">
        <w:rPr>
          <w:noProof/>
          <w:sz w:val="16"/>
          <w:szCs w:val="16"/>
        </w:rPr>
        <w:t>b</w:t>
      </w:r>
      <w:r w:rsidRPr="21F7AE37">
        <w:rPr>
          <w:noProof/>
          <w:sz w:val="16"/>
          <w:szCs w:val="16"/>
        </w:rPr>
        <w:t xml:space="preserve">: </w:t>
      </w:r>
      <w:r w:rsidRPr="44FA1FFA">
        <w:rPr>
          <w:noProof/>
          <w:sz w:val="16"/>
          <w:szCs w:val="16"/>
        </w:rPr>
        <w:t>P</w:t>
      </w:r>
      <w:r w:rsidR="00685B12" w:rsidRPr="44FA1FFA">
        <w:rPr>
          <w:noProof/>
          <w:sz w:val="16"/>
          <w:szCs w:val="16"/>
        </w:rPr>
        <w:t>O</w:t>
      </w:r>
      <w:r w:rsidR="1EFA0E6E" w:rsidRPr="44FA1FFA">
        <w:rPr>
          <w:noProof/>
          <w:sz w:val="16"/>
          <w:szCs w:val="16"/>
        </w:rPr>
        <w:t>3</w:t>
      </w:r>
      <w:r w:rsidRPr="44FA1FFA">
        <w:rPr>
          <w:noProof/>
          <w:sz w:val="16"/>
          <w:szCs w:val="16"/>
        </w:rPr>
        <w:t>a</w:t>
      </w:r>
      <w:r w:rsidRPr="004413ED">
        <w:rPr>
          <w:noProof/>
          <w:sz w:val="16"/>
          <w:szCs w:val="16"/>
        </w:rPr>
        <w:t xml:space="preserve"> </w:t>
      </w:r>
      <w:r w:rsidR="00061B6C">
        <w:rPr>
          <w:noProof/>
          <w:sz w:val="16"/>
          <w:szCs w:val="16"/>
        </w:rPr>
        <w:t xml:space="preserve">+ </w:t>
      </w:r>
      <w:r w:rsidRPr="004413ED">
        <w:rPr>
          <w:noProof/>
          <w:sz w:val="16"/>
          <w:szCs w:val="16"/>
        </w:rPr>
        <w:t>central filing of notification followed by exchange of information between Member States</w:t>
      </w:r>
      <w:r w:rsidR="65AE11B8" w:rsidRPr="6C1D560D">
        <w:rPr>
          <w:noProof/>
          <w:sz w:val="16"/>
          <w:szCs w:val="16"/>
        </w:rPr>
        <w:t>.</w:t>
      </w:r>
    </w:p>
    <w:p w14:paraId="3CB940BD" w14:textId="09586F32" w:rsidR="5C9C43F5" w:rsidRDefault="533D41B7" w:rsidP="001A64AD">
      <w:pPr>
        <w:spacing w:after="200" w:line="276" w:lineRule="auto"/>
        <w:rPr>
          <w:rFonts w:eastAsia="Times New Roman"/>
          <w:noProof/>
        </w:rPr>
      </w:pPr>
      <w:r w:rsidRPr="4321A1A3">
        <w:rPr>
          <w:rFonts w:eastAsia="Times New Roman"/>
          <w:noProof/>
        </w:rPr>
        <w:t>Both</w:t>
      </w:r>
      <w:r w:rsidR="1ED96A6C" w:rsidRPr="4321A1A3">
        <w:rPr>
          <w:rFonts w:eastAsia="Times New Roman"/>
          <w:noProof/>
        </w:rPr>
        <w:t xml:space="preserve"> policy options have a direct and increasing impact on improving the proportionality of the framework by </w:t>
      </w:r>
      <w:r w:rsidR="3FD208E0" w:rsidRPr="4321A1A3">
        <w:rPr>
          <w:rFonts w:eastAsia="Times New Roman"/>
          <w:noProof/>
        </w:rPr>
        <w:t>eliminating</w:t>
      </w:r>
      <w:r w:rsidR="1ED96A6C" w:rsidRPr="4321A1A3">
        <w:rPr>
          <w:rFonts w:eastAsia="Times New Roman"/>
          <w:noProof/>
          <w:lang w:val="en-IE"/>
        </w:rPr>
        <w:t xml:space="preserve"> duplicative notification requirements </w:t>
      </w:r>
      <w:r w:rsidR="2122063A" w:rsidRPr="4321A1A3">
        <w:rPr>
          <w:rFonts w:eastAsia="Times New Roman"/>
          <w:noProof/>
          <w:lang w:val="en-IE"/>
        </w:rPr>
        <w:t>without undermining the policy objectives of the DAC. This will be achieved by ensuring that Member States r</w:t>
      </w:r>
      <w:r w:rsidR="193DCBD8" w:rsidRPr="4321A1A3">
        <w:rPr>
          <w:rFonts w:eastAsia="Times New Roman"/>
          <w:noProof/>
          <w:lang w:val="en-IE"/>
        </w:rPr>
        <w:t>eceive the same information in a more streamlined manner</w:t>
      </w:r>
      <w:r w:rsidR="752A6C73" w:rsidRPr="4321A1A3">
        <w:rPr>
          <w:rFonts w:eastAsia="Times New Roman"/>
          <w:noProof/>
          <w:lang w:val="en-IE"/>
        </w:rPr>
        <w:t>,</w:t>
      </w:r>
      <w:r w:rsidR="193DCBD8" w:rsidRPr="4321A1A3">
        <w:rPr>
          <w:rFonts w:eastAsia="Times New Roman"/>
          <w:noProof/>
          <w:lang w:val="en-IE"/>
        </w:rPr>
        <w:t xml:space="preserve"> thereby</w:t>
      </w:r>
      <w:r w:rsidR="1ED96A6C" w:rsidRPr="4321A1A3">
        <w:rPr>
          <w:rFonts w:eastAsia="Times New Roman"/>
          <w:noProof/>
        </w:rPr>
        <w:t xml:space="preserve"> </w:t>
      </w:r>
      <w:r w:rsidR="616C5A19" w:rsidRPr="4321A1A3">
        <w:rPr>
          <w:rFonts w:eastAsia="Times New Roman"/>
          <w:noProof/>
        </w:rPr>
        <w:t xml:space="preserve">ensuring </w:t>
      </w:r>
      <w:r w:rsidR="3E6C8B7E" w:rsidRPr="4321A1A3">
        <w:rPr>
          <w:rFonts w:eastAsia="Times New Roman"/>
          <w:noProof/>
        </w:rPr>
        <w:t>a much greater alignment between the reporting requirements and associated compliance costs for business and the information that is necessary</w:t>
      </w:r>
      <w:r w:rsidR="1ED96A6C" w:rsidRPr="4321A1A3">
        <w:rPr>
          <w:rFonts w:eastAsia="Times New Roman"/>
          <w:noProof/>
        </w:rPr>
        <w:t xml:space="preserve"> for tax </w:t>
      </w:r>
      <w:r w:rsidR="3E6C8B7E" w:rsidRPr="4321A1A3">
        <w:rPr>
          <w:rFonts w:eastAsia="Times New Roman"/>
          <w:noProof/>
        </w:rPr>
        <w:t xml:space="preserve">administrations to tackle tax fraud, evasion and </w:t>
      </w:r>
      <w:r w:rsidR="44C8316C" w:rsidRPr="4321A1A3">
        <w:rPr>
          <w:rFonts w:eastAsia="Times New Roman"/>
          <w:noProof/>
        </w:rPr>
        <w:t>avoidance</w:t>
      </w:r>
      <w:r w:rsidR="3E6C8B7E" w:rsidRPr="4321A1A3">
        <w:rPr>
          <w:rFonts w:eastAsia="Times New Roman"/>
          <w:noProof/>
        </w:rPr>
        <w:t>. Therefore, the analysis estimates the cost savings resulting from the reduced scope of reporting requirements while also assessing the extent to which these reductions may impact on the policy objectives of the DAC.</w:t>
      </w:r>
    </w:p>
    <w:p w14:paraId="3A869794" w14:textId="115BE772" w:rsidR="69959C5F" w:rsidRDefault="2023A3B2" w:rsidP="5B19FFBC">
      <w:pPr>
        <w:spacing w:before="240"/>
        <w:rPr>
          <w:rFonts w:eastAsia="Times New Roman"/>
          <w:noProof/>
          <w:lang w:val="en-IE"/>
        </w:rPr>
      </w:pPr>
      <w:r w:rsidRPr="4321A1A3">
        <w:rPr>
          <w:rFonts w:eastAsia="Times New Roman"/>
          <w:noProof/>
          <w:lang w:val="en-IE"/>
        </w:rPr>
        <w:t>Under</w:t>
      </w:r>
      <w:r w:rsidR="1ED96A6C" w:rsidRPr="4321A1A3">
        <w:rPr>
          <w:rFonts w:eastAsia="Times New Roman"/>
          <w:noProof/>
          <w:lang w:val="en-IE"/>
        </w:rPr>
        <w:t xml:space="preserve"> the current framework, </w:t>
      </w:r>
      <w:r w:rsidR="0B232705" w:rsidRPr="4321A1A3">
        <w:rPr>
          <w:rFonts w:eastAsia="Times New Roman"/>
          <w:noProof/>
          <w:lang w:val="en-IE"/>
        </w:rPr>
        <w:t xml:space="preserve">there are </w:t>
      </w:r>
      <w:r w:rsidR="1ED96A6C" w:rsidRPr="4321A1A3">
        <w:rPr>
          <w:rFonts w:eastAsia="Times New Roman"/>
          <w:noProof/>
          <w:lang w:val="en-IE"/>
        </w:rPr>
        <w:t xml:space="preserve">overlapping notification obligations under DAC4 and </w:t>
      </w:r>
      <w:r w:rsidR="001323C5">
        <w:rPr>
          <w:rFonts w:eastAsia="Times New Roman"/>
          <w:noProof/>
          <w:lang w:val="en-IE"/>
        </w:rPr>
        <w:t>DAC9</w:t>
      </w:r>
      <w:r w:rsidR="75903AAC" w:rsidRPr="4321A1A3">
        <w:rPr>
          <w:rFonts w:eastAsia="Times New Roman"/>
          <w:noProof/>
          <w:lang w:val="en-IE"/>
        </w:rPr>
        <w:t>. T</w:t>
      </w:r>
      <w:r w:rsidR="22025817" w:rsidRPr="4321A1A3">
        <w:rPr>
          <w:rFonts w:eastAsia="Times New Roman"/>
          <w:noProof/>
          <w:lang w:val="en-IE"/>
        </w:rPr>
        <w:t xml:space="preserve">he duplication identified does not relate to the substantive reporting obligations under DAC4 and </w:t>
      </w:r>
      <w:r w:rsidR="001323C5">
        <w:rPr>
          <w:rFonts w:eastAsia="Times New Roman"/>
          <w:noProof/>
          <w:lang w:val="en-IE"/>
        </w:rPr>
        <w:t>DAC9</w:t>
      </w:r>
      <w:r w:rsidR="22025817" w:rsidRPr="4321A1A3">
        <w:rPr>
          <w:rFonts w:eastAsia="Times New Roman"/>
          <w:noProof/>
          <w:lang w:val="en-IE"/>
        </w:rPr>
        <w:t xml:space="preserve">, which remain distinct, but rather to the notification layer that precedes reporting. While the information </w:t>
      </w:r>
      <w:r w:rsidR="0D24067A" w:rsidRPr="4321A1A3">
        <w:rPr>
          <w:rFonts w:eastAsia="Times New Roman"/>
          <w:noProof/>
          <w:lang w:val="en-IE"/>
        </w:rPr>
        <w:t xml:space="preserve">included in the </w:t>
      </w:r>
      <w:r w:rsidR="003D49B2" w:rsidRPr="4321A1A3">
        <w:rPr>
          <w:rFonts w:eastAsia="Times New Roman"/>
          <w:noProof/>
          <w:lang w:val="en-IE"/>
        </w:rPr>
        <w:t>notification is</w:t>
      </w:r>
      <w:r w:rsidR="22025817" w:rsidRPr="4321A1A3">
        <w:rPr>
          <w:rFonts w:eastAsia="Times New Roman"/>
          <w:noProof/>
          <w:lang w:val="en-IE"/>
        </w:rPr>
        <w:t xml:space="preserve"> limited in scope, the associated compliance effort extends beyond the mere transmission of data. In practice, it requires internal coordination across the group to identify the reporting entity, verification of consistency across jurisdictions, preparation and validation of the notification, and submission in accordance with national formats and timelines. Where these processes must be carried out separately for DAC4 and </w:t>
      </w:r>
      <w:r w:rsidR="001323C5">
        <w:rPr>
          <w:rFonts w:eastAsia="Times New Roman"/>
          <w:noProof/>
          <w:lang w:val="en-IE"/>
        </w:rPr>
        <w:t>DAC9</w:t>
      </w:r>
      <w:r w:rsidR="22025817" w:rsidRPr="4321A1A3">
        <w:rPr>
          <w:rFonts w:eastAsia="Times New Roman"/>
          <w:noProof/>
          <w:lang w:val="en-IE"/>
        </w:rPr>
        <w:t xml:space="preserve">, often at different points in time and under non-harmonised requirements </w:t>
      </w:r>
      <w:r w:rsidR="6B67FF3A" w:rsidRPr="4321A1A3">
        <w:rPr>
          <w:rFonts w:eastAsia="Times New Roman"/>
          <w:noProof/>
          <w:lang w:val="en-IE"/>
        </w:rPr>
        <w:t xml:space="preserve">businesses </w:t>
      </w:r>
      <w:r w:rsidR="22025817" w:rsidRPr="4321A1A3">
        <w:rPr>
          <w:rFonts w:eastAsia="Times New Roman"/>
          <w:noProof/>
          <w:lang w:val="en-IE"/>
        </w:rPr>
        <w:t xml:space="preserve">may need to replicate these steps, including internal communication, checks and administrative handling. The resulting duplication therefore arises primarily at the level of processes and workflows, rather than the data content itself. </w:t>
      </w:r>
      <w:r w:rsidR="00E90330" w:rsidRPr="00E90330">
        <w:rPr>
          <w:rFonts w:eastAsia="Times New Roman"/>
          <w:noProof/>
          <w:lang w:val="en-IE"/>
        </w:rPr>
        <w:t>This assessment is supported by stakeholder feedback, including from businesses and national tax administrations, which highlighted the absence of alignment between the two frameworks in practice.</w:t>
      </w:r>
    </w:p>
    <w:p w14:paraId="24F7244D" w14:textId="180C16DE" w:rsidR="69959C5F" w:rsidRDefault="18E5BBB3" w:rsidP="30C0A143">
      <w:pPr>
        <w:spacing w:before="240"/>
        <w:rPr>
          <w:rFonts w:eastAsia="Times New Roman"/>
          <w:noProof/>
          <w:lang w:val="en-IE"/>
        </w:rPr>
      </w:pPr>
      <w:r w:rsidRPr="30C0A143">
        <w:rPr>
          <w:rFonts w:eastAsia="Times New Roman"/>
          <w:noProof/>
          <w:lang w:val="en-IE"/>
        </w:rPr>
        <w:t>The proposed measures aim to streamline these processes and eliminate unnecessary duplication. The analysis therefore focuses on estimating the compliance cost savings resulting from the simplification and consolidation of notification requirements.</w:t>
      </w:r>
      <w:r w:rsidR="18317D70" w:rsidRPr="19E3A9A9">
        <w:rPr>
          <w:rFonts w:eastAsia="Times New Roman"/>
          <w:noProof/>
          <w:lang w:val="en-IE"/>
        </w:rPr>
        <w:t xml:space="preserve"> </w:t>
      </w:r>
      <w:r w:rsidR="69959C5F" w:rsidRPr="19E3A9A9">
        <w:rPr>
          <w:rFonts w:eastAsia="Times New Roman"/>
          <w:noProof/>
          <w:lang w:val="en-IE"/>
        </w:rPr>
        <w:t>The estimation is based on the number of MNE groups currently required to submit notifications and assumptions regarding the staff time needed to prepare them.</w:t>
      </w:r>
      <w:r w:rsidRPr="19E3A9A9">
        <w:rPr>
          <w:rFonts w:eastAsia="Times New Roman"/>
          <w:noProof/>
          <w:lang w:val="en-IE"/>
        </w:rPr>
        <w:t xml:space="preserve"> </w:t>
      </w:r>
    </w:p>
    <w:p w14:paraId="4B14EC9F" w14:textId="788303F0" w:rsidR="52DDBB7D" w:rsidRDefault="6EECA889" w:rsidP="642A1276">
      <w:pPr>
        <w:spacing w:before="240"/>
        <w:rPr>
          <w:rFonts w:eastAsia="Times New Roman"/>
          <w:noProof/>
          <w:lang w:val="en-IE"/>
        </w:rPr>
      </w:pPr>
      <w:r w:rsidRPr="77FADF1A">
        <w:rPr>
          <w:rFonts w:eastAsia="Times New Roman"/>
          <w:noProof/>
          <w:lang w:val="en-IE"/>
        </w:rPr>
        <w:t xml:space="preserve">Available information from the </w:t>
      </w:r>
      <w:r w:rsidR="00BC14EF">
        <w:rPr>
          <w:rFonts w:eastAsia="Times New Roman"/>
          <w:noProof/>
          <w:lang w:val="en-IE"/>
        </w:rPr>
        <w:t>company</w:t>
      </w:r>
      <w:r w:rsidR="19C33A4D" w:rsidRPr="642A1276">
        <w:rPr>
          <w:rFonts w:eastAsia="Times New Roman"/>
          <w:noProof/>
          <w:lang w:val="en-IE"/>
        </w:rPr>
        <w:t xml:space="preserve"> </w:t>
      </w:r>
      <w:r w:rsidRPr="77FADF1A">
        <w:rPr>
          <w:rFonts w:eastAsia="Times New Roman"/>
          <w:noProof/>
          <w:lang w:val="en-IE"/>
        </w:rPr>
        <w:t xml:space="preserve">level database ORBIS indicates that approximately 4,700 MNE groups worldwide meet the relevant </w:t>
      </w:r>
      <w:r w:rsidR="082A477F" w:rsidRPr="77FADF1A">
        <w:rPr>
          <w:rFonts w:eastAsia="Times New Roman"/>
          <w:noProof/>
          <w:lang w:val="en-IE"/>
        </w:rPr>
        <w:t xml:space="preserve">requirements under </w:t>
      </w:r>
      <w:r w:rsidRPr="77FADF1A">
        <w:rPr>
          <w:rFonts w:eastAsia="Times New Roman"/>
          <w:noProof/>
          <w:lang w:val="en-IE"/>
        </w:rPr>
        <w:t xml:space="preserve">DAC4 and </w:t>
      </w:r>
      <w:r w:rsidR="001323C5">
        <w:rPr>
          <w:rFonts w:eastAsia="Times New Roman"/>
          <w:noProof/>
          <w:lang w:val="en-IE"/>
        </w:rPr>
        <w:t>DAC9</w:t>
      </w:r>
      <w:r w:rsidRPr="77FADF1A">
        <w:rPr>
          <w:rFonts w:eastAsia="Times New Roman"/>
          <w:noProof/>
          <w:lang w:val="en-IE"/>
        </w:rPr>
        <w:t xml:space="preserve"> and have operations within the EU. </w:t>
      </w:r>
      <w:r w:rsidR="754B3929" w:rsidRPr="642A1276">
        <w:rPr>
          <w:rFonts w:eastAsia="Times New Roman"/>
          <w:noProof/>
          <w:lang w:val="en-IE"/>
        </w:rPr>
        <w:t>As of 2024, t</w:t>
      </w:r>
      <w:r w:rsidRPr="642A1276">
        <w:rPr>
          <w:rFonts w:eastAsia="Times New Roman"/>
          <w:noProof/>
          <w:lang w:val="en-IE"/>
        </w:rPr>
        <w:t>hese</w:t>
      </w:r>
      <w:r w:rsidRPr="77FADF1A">
        <w:rPr>
          <w:rFonts w:eastAsia="Times New Roman"/>
          <w:noProof/>
          <w:lang w:val="en-IE"/>
        </w:rPr>
        <w:t xml:space="preserve"> groups collectively account for approximately 109,000 constituent entities (subsidiaries) located in the EU</w:t>
      </w:r>
      <w:r w:rsidR="061C2E20" w:rsidRPr="77FADF1A">
        <w:rPr>
          <w:rFonts w:eastAsia="Times New Roman"/>
          <w:noProof/>
          <w:lang w:val="en-IE"/>
        </w:rPr>
        <w:t>.</w:t>
      </w:r>
      <w:r w:rsidR="5BD5B9D1" w:rsidRPr="65911F07">
        <w:rPr>
          <w:rFonts w:eastAsia="Times New Roman"/>
          <w:noProof/>
          <w:lang w:val="en-IE"/>
        </w:rPr>
        <w:t xml:space="preserve"> Under the current framework each </w:t>
      </w:r>
      <w:r w:rsidR="7C331610" w:rsidRPr="77FADF1A">
        <w:rPr>
          <w:rFonts w:eastAsia="Times New Roman"/>
          <w:noProof/>
          <w:lang w:val="en-IE"/>
        </w:rPr>
        <w:t>of th</w:t>
      </w:r>
      <w:r w:rsidR="258F8D4F" w:rsidRPr="77FADF1A">
        <w:rPr>
          <w:rFonts w:eastAsia="Times New Roman"/>
          <w:noProof/>
          <w:lang w:val="en-IE"/>
        </w:rPr>
        <w:t>ose</w:t>
      </w:r>
      <w:r w:rsidR="7C331610" w:rsidRPr="77FADF1A">
        <w:rPr>
          <w:rFonts w:eastAsia="Times New Roman"/>
          <w:noProof/>
          <w:lang w:val="en-IE"/>
        </w:rPr>
        <w:t xml:space="preserve"> 10</w:t>
      </w:r>
      <w:r w:rsidR="258F8D4F" w:rsidRPr="77FADF1A">
        <w:rPr>
          <w:rFonts w:eastAsia="Times New Roman"/>
          <w:noProof/>
          <w:lang w:val="en-IE"/>
        </w:rPr>
        <w:t>9</w:t>
      </w:r>
      <w:r w:rsidR="7C331610" w:rsidRPr="77FADF1A">
        <w:rPr>
          <w:rFonts w:eastAsia="Times New Roman"/>
          <w:noProof/>
          <w:lang w:val="en-IE"/>
        </w:rPr>
        <w:t xml:space="preserve">,000 </w:t>
      </w:r>
      <w:r w:rsidR="5BD5B9D1" w:rsidRPr="65911F07">
        <w:rPr>
          <w:rFonts w:eastAsia="Times New Roman"/>
          <w:noProof/>
          <w:lang w:val="en-IE"/>
        </w:rPr>
        <w:t>constituent</w:t>
      </w:r>
      <w:r w:rsidR="33E0EB8D" w:rsidRPr="77FADF1A" w:rsidDel="5E632815">
        <w:rPr>
          <w:rFonts w:eastAsia="Times New Roman"/>
          <w:noProof/>
          <w:lang w:val="en-IE"/>
        </w:rPr>
        <w:t xml:space="preserve"> </w:t>
      </w:r>
      <w:r w:rsidR="79858BF6" w:rsidRPr="642A1276">
        <w:rPr>
          <w:rFonts w:eastAsia="Times New Roman"/>
          <w:noProof/>
          <w:lang w:val="en-IE"/>
        </w:rPr>
        <w:t>entities</w:t>
      </w:r>
      <w:r w:rsidR="5BD5B9D1" w:rsidRPr="77FADF1A">
        <w:rPr>
          <w:rFonts w:eastAsia="Times New Roman"/>
          <w:noProof/>
          <w:lang w:val="en-IE"/>
        </w:rPr>
        <w:t xml:space="preserve"> </w:t>
      </w:r>
      <w:r w:rsidR="4F5943EA" w:rsidRPr="77FADF1A">
        <w:rPr>
          <w:rFonts w:eastAsia="Times New Roman"/>
          <w:noProof/>
          <w:lang w:val="en-IE"/>
        </w:rPr>
        <w:t>is</w:t>
      </w:r>
      <w:r w:rsidR="5BD5B9D1" w:rsidRPr="65911F07">
        <w:rPr>
          <w:rFonts w:eastAsia="Times New Roman"/>
          <w:noProof/>
          <w:lang w:val="en-IE"/>
        </w:rPr>
        <w:t xml:space="preserve"> required to submit a DAC4 notification. </w:t>
      </w:r>
      <w:r w:rsidR="5F78F7F2" w:rsidRPr="77FADF1A">
        <w:rPr>
          <w:rFonts w:eastAsia="Times New Roman"/>
          <w:noProof/>
          <w:lang w:val="en-IE"/>
        </w:rPr>
        <w:t xml:space="preserve">According to information </w:t>
      </w:r>
      <w:r w:rsidR="4645A567" w:rsidRPr="642A1276">
        <w:rPr>
          <w:rFonts w:eastAsia="Times New Roman"/>
          <w:noProof/>
          <w:lang w:val="en-IE"/>
        </w:rPr>
        <w:t>made available by</w:t>
      </w:r>
      <w:r w:rsidR="5F78F7F2" w:rsidRPr="77FADF1A">
        <w:rPr>
          <w:rFonts w:eastAsia="Times New Roman"/>
          <w:noProof/>
          <w:lang w:val="en-IE"/>
        </w:rPr>
        <w:t xml:space="preserve"> </w:t>
      </w:r>
      <w:r w:rsidR="4D143CCF" w:rsidRPr="77FADF1A">
        <w:rPr>
          <w:rFonts w:eastAsia="Times New Roman"/>
          <w:noProof/>
          <w:lang w:val="en-IE"/>
        </w:rPr>
        <w:t>MNE</w:t>
      </w:r>
      <w:r w:rsidR="4D984E45" w:rsidRPr="77FADF1A">
        <w:rPr>
          <w:rFonts w:eastAsia="Times New Roman"/>
          <w:noProof/>
          <w:lang w:val="en-IE"/>
        </w:rPr>
        <w:t xml:space="preserve"> groups</w:t>
      </w:r>
      <w:r w:rsidR="4D143CCF" w:rsidRPr="77FADF1A">
        <w:rPr>
          <w:rFonts w:eastAsia="Times New Roman"/>
          <w:noProof/>
          <w:lang w:val="en-IE"/>
        </w:rPr>
        <w:t xml:space="preserve">, </w:t>
      </w:r>
      <w:r w:rsidR="059B96EA" w:rsidRPr="77FADF1A">
        <w:rPr>
          <w:rFonts w:eastAsia="Times New Roman"/>
          <w:noProof/>
          <w:lang w:val="en-IE"/>
        </w:rPr>
        <w:t xml:space="preserve">the administrative costs for collecting the relevant information, </w:t>
      </w:r>
      <w:r w:rsidR="50972405" w:rsidRPr="642A1276">
        <w:rPr>
          <w:rFonts w:eastAsia="Times New Roman"/>
          <w:noProof/>
          <w:lang w:val="en-IE"/>
        </w:rPr>
        <w:t>coordinat</w:t>
      </w:r>
      <w:r w:rsidR="1149B2B2" w:rsidRPr="642A1276">
        <w:rPr>
          <w:rFonts w:eastAsia="Times New Roman"/>
          <w:noProof/>
          <w:lang w:val="en-IE"/>
        </w:rPr>
        <w:t>ing</w:t>
      </w:r>
      <w:r w:rsidR="50972405" w:rsidRPr="77FADF1A">
        <w:rPr>
          <w:rFonts w:eastAsia="Times New Roman"/>
          <w:noProof/>
          <w:lang w:val="en-IE"/>
        </w:rPr>
        <w:t xml:space="preserve"> within the group and </w:t>
      </w:r>
      <w:r w:rsidR="534AB4BC" w:rsidRPr="77FADF1A">
        <w:rPr>
          <w:rFonts w:eastAsia="Times New Roman"/>
          <w:noProof/>
          <w:lang w:val="en-IE"/>
        </w:rPr>
        <w:t xml:space="preserve">for </w:t>
      </w:r>
      <w:r w:rsidR="73D902CE" w:rsidRPr="642A1276">
        <w:rPr>
          <w:rFonts w:eastAsia="Times New Roman"/>
          <w:noProof/>
          <w:lang w:val="en-IE"/>
        </w:rPr>
        <w:t>submitting</w:t>
      </w:r>
      <w:r w:rsidR="73D902CE" w:rsidRPr="77FADF1A">
        <w:rPr>
          <w:rFonts w:eastAsia="Times New Roman"/>
          <w:noProof/>
          <w:lang w:val="en-IE"/>
        </w:rPr>
        <w:t xml:space="preserve"> the notification</w:t>
      </w:r>
      <w:r w:rsidR="534AB4BC" w:rsidRPr="77FADF1A">
        <w:rPr>
          <w:rFonts w:eastAsia="Times New Roman"/>
          <w:noProof/>
          <w:lang w:val="en-IE"/>
        </w:rPr>
        <w:t xml:space="preserve"> can be estimated at </w:t>
      </w:r>
      <w:r w:rsidR="5BD5B9D1" w:rsidRPr="65911F07">
        <w:rPr>
          <w:rFonts w:eastAsia="Times New Roman"/>
          <w:noProof/>
          <w:lang w:val="en-IE"/>
        </w:rPr>
        <w:t xml:space="preserve">around </w:t>
      </w:r>
      <w:r w:rsidR="43EFE5E6" w:rsidRPr="77FADF1A">
        <w:rPr>
          <w:rFonts w:eastAsia="Times New Roman"/>
          <w:noProof/>
          <w:lang w:val="en-IE"/>
        </w:rPr>
        <w:t xml:space="preserve">28 </w:t>
      </w:r>
      <w:r w:rsidR="5BD5B9D1" w:rsidRPr="65911F07">
        <w:rPr>
          <w:rFonts w:eastAsia="Times New Roman"/>
          <w:noProof/>
          <w:lang w:val="en-IE"/>
        </w:rPr>
        <w:t>hours per entity per year,</w:t>
      </w:r>
      <w:r w:rsidR="74022B70" w:rsidRPr="77FADF1A">
        <w:rPr>
          <w:rFonts w:eastAsia="Times New Roman"/>
          <w:noProof/>
          <w:lang w:val="en-IE"/>
        </w:rPr>
        <w:t xml:space="preserve"> that results in </w:t>
      </w:r>
      <w:r w:rsidR="6BA7F3B3" w:rsidRPr="77FADF1A">
        <w:rPr>
          <w:rFonts w:eastAsia="Times New Roman"/>
          <w:noProof/>
          <w:lang w:val="en-IE"/>
        </w:rPr>
        <w:t xml:space="preserve">an overall </w:t>
      </w:r>
      <w:r w:rsidR="43EFE5E6" w:rsidRPr="77FADF1A">
        <w:rPr>
          <w:rFonts w:eastAsia="Times New Roman"/>
          <w:noProof/>
          <w:lang w:val="en-IE"/>
        </w:rPr>
        <w:t xml:space="preserve">compliance </w:t>
      </w:r>
      <w:r w:rsidR="6BA7F3B3" w:rsidRPr="77FADF1A">
        <w:rPr>
          <w:rFonts w:eastAsia="Times New Roman"/>
          <w:noProof/>
          <w:lang w:val="en-IE"/>
        </w:rPr>
        <w:t>cost</w:t>
      </w:r>
      <w:r w:rsidR="4D66BA0B" w:rsidRPr="77FADF1A">
        <w:rPr>
          <w:rFonts w:eastAsia="Times New Roman"/>
          <w:noProof/>
          <w:lang w:val="en-IE"/>
        </w:rPr>
        <w:t xml:space="preserve"> </w:t>
      </w:r>
      <w:r w:rsidR="43EFE5E6" w:rsidRPr="77FADF1A">
        <w:rPr>
          <w:rFonts w:eastAsia="Times New Roman"/>
          <w:noProof/>
          <w:lang w:val="en-IE"/>
        </w:rPr>
        <w:t xml:space="preserve">estimate </w:t>
      </w:r>
      <w:r w:rsidR="4D66BA0B" w:rsidRPr="77FADF1A">
        <w:rPr>
          <w:rFonts w:eastAsia="Times New Roman"/>
          <w:noProof/>
          <w:lang w:val="en-IE"/>
        </w:rPr>
        <w:t xml:space="preserve">of </w:t>
      </w:r>
      <w:r w:rsidR="33E0EB8D" w:rsidRPr="77FADF1A" w:rsidDel="5E632815">
        <w:rPr>
          <w:rFonts w:eastAsia="Times New Roman"/>
          <w:noProof/>
          <w:lang w:val="en-IE"/>
        </w:rPr>
        <w:t xml:space="preserve">EUR </w:t>
      </w:r>
      <w:r w:rsidR="3136E1BF" w:rsidRPr="77FADF1A">
        <w:rPr>
          <w:rFonts w:eastAsia="Times New Roman"/>
          <w:noProof/>
          <w:lang w:val="en-IE"/>
        </w:rPr>
        <w:t xml:space="preserve">135 </w:t>
      </w:r>
      <w:r w:rsidR="5BD5B9D1" w:rsidRPr="1C5D1CA9">
        <w:rPr>
          <w:rFonts w:eastAsia="Times New Roman"/>
          <w:noProof/>
          <w:lang w:val="en-IE"/>
        </w:rPr>
        <w:t>million per year</w:t>
      </w:r>
      <w:r w:rsidR="0064269E">
        <w:rPr>
          <w:rFonts w:eastAsia="Times New Roman"/>
          <w:noProof/>
          <w:lang w:val="en-IE"/>
        </w:rPr>
        <w:t xml:space="preserve"> (</w:t>
      </w:r>
      <w:r w:rsidR="00C24EDF">
        <w:rPr>
          <w:rStyle w:val="FootnoteReference"/>
          <w:rFonts w:eastAsia="Times New Roman"/>
          <w:noProof/>
          <w:lang w:val="en-IE"/>
        </w:rPr>
        <w:footnoteReference w:id="67"/>
      </w:r>
      <w:r w:rsidR="0064269E">
        <w:rPr>
          <w:rFonts w:eastAsia="Times New Roman"/>
          <w:noProof/>
          <w:lang w:val="en-IE"/>
        </w:rPr>
        <w:t>)</w:t>
      </w:r>
      <w:r w:rsidR="4D66BA0B" w:rsidRPr="77FADF1A">
        <w:rPr>
          <w:rFonts w:eastAsia="Times New Roman"/>
          <w:noProof/>
          <w:lang w:val="en-IE"/>
        </w:rPr>
        <w:t>.</w:t>
      </w:r>
      <w:r w:rsidR="003D49B2">
        <w:rPr>
          <w:rFonts w:eastAsia="Times New Roman"/>
          <w:noProof/>
          <w:lang w:val="en-IE"/>
        </w:rPr>
        <w:t xml:space="preserve"> </w:t>
      </w:r>
      <w:r w:rsidR="69959C5F" w:rsidRPr="642A1276">
        <w:rPr>
          <w:rFonts w:eastAsia="Times New Roman"/>
          <w:noProof/>
          <w:lang w:val="en-IE"/>
        </w:rPr>
        <w:t xml:space="preserve">Assuming similar notification requirements under </w:t>
      </w:r>
      <w:r w:rsidR="001323C5">
        <w:rPr>
          <w:rFonts w:eastAsia="Times New Roman"/>
          <w:noProof/>
          <w:lang w:val="en-IE"/>
        </w:rPr>
        <w:t>DAC9</w:t>
      </w:r>
      <w:r w:rsidR="69959C5F" w:rsidRPr="642A1276">
        <w:rPr>
          <w:rFonts w:eastAsia="Times New Roman"/>
          <w:noProof/>
          <w:lang w:val="en-IE"/>
        </w:rPr>
        <w:t xml:space="preserve"> and no operational synergies, the combined annual cost is EUR </w:t>
      </w:r>
      <w:r w:rsidR="005956A3" w:rsidRPr="642A1276">
        <w:rPr>
          <w:rFonts w:eastAsia="Times New Roman"/>
          <w:noProof/>
          <w:lang w:val="en-IE"/>
        </w:rPr>
        <w:t xml:space="preserve">135 </w:t>
      </w:r>
      <w:r w:rsidR="69959C5F" w:rsidRPr="642A1276">
        <w:rPr>
          <w:rFonts w:eastAsia="Times New Roman"/>
          <w:noProof/>
          <w:lang w:val="en-IE"/>
        </w:rPr>
        <w:t xml:space="preserve">million × 2 = EUR </w:t>
      </w:r>
      <w:r w:rsidR="005956A3" w:rsidRPr="642A1276">
        <w:rPr>
          <w:rFonts w:eastAsia="Times New Roman"/>
          <w:noProof/>
          <w:lang w:val="en-IE"/>
        </w:rPr>
        <w:t xml:space="preserve">270 </w:t>
      </w:r>
      <w:r w:rsidR="69959C5F" w:rsidRPr="642A1276">
        <w:rPr>
          <w:rFonts w:eastAsia="Times New Roman"/>
          <w:noProof/>
          <w:lang w:val="en-IE"/>
        </w:rPr>
        <w:t>million per year</w:t>
      </w:r>
      <w:r w:rsidR="69959C5F" w:rsidRPr="43CAA4D8">
        <w:rPr>
          <w:rFonts w:eastAsia="Times New Roman"/>
          <w:noProof/>
          <w:lang w:val="en-IE"/>
        </w:rPr>
        <w:t>.</w:t>
      </w:r>
      <w:r w:rsidR="00A31CE8" w:rsidRPr="43CAA4D8">
        <w:rPr>
          <w:rFonts w:eastAsia="Times New Roman"/>
          <w:noProof/>
          <w:lang w:val="en-IE"/>
        </w:rPr>
        <w:t xml:space="preserve"> </w:t>
      </w:r>
    </w:p>
    <w:p w14:paraId="28239EC6" w14:textId="635A9E56" w:rsidR="69959C5F" w:rsidRDefault="69959C5F" w:rsidP="65911F07">
      <w:pPr>
        <w:spacing w:before="240"/>
        <w:rPr>
          <w:rFonts w:eastAsia="Times New Roman"/>
          <w:noProof/>
          <w:lang w:val="en-IE"/>
        </w:rPr>
      </w:pPr>
      <w:r w:rsidRPr="003D49B2">
        <w:rPr>
          <w:rFonts w:eastAsia="Times New Roman"/>
          <w:b/>
          <w:bCs/>
          <w:noProof/>
          <w:lang w:val="en-IE"/>
        </w:rPr>
        <w:t xml:space="preserve">Under Policy Option </w:t>
      </w:r>
      <w:r w:rsidR="745B784A" w:rsidRPr="003D49B2">
        <w:rPr>
          <w:rFonts w:eastAsia="Times New Roman"/>
          <w:b/>
          <w:bCs/>
          <w:noProof/>
          <w:lang w:val="en-IE"/>
        </w:rPr>
        <w:t>3</w:t>
      </w:r>
      <w:r w:rsidRPr="003D49B2">
        <w:rPr>
          <w:rFonts w:eastAsia="Times New Roman"/>
          <w:b/>
          <w:bCs/>
          <w:noProof/>
          <w:lang w:val="en-IE"/>
        </w:rPr>
        <w:t>a</w:t>
      </w:r>
      <w:r w:rsidRPr="65911F07">
        <w:rPr>
          <w:rFonts w:eastAsia="Times New Roman"/>
          <w:noProof/>
          <w:lang w:val="en-IE"/>
        </w:rPr>
        <w:t xml:space="preserve">, a single harmonised notification (based on a common template and </w:t>
      </w:r>
      <w:r w:rsidR="0D1B8127" w:rsidRPr="5250ACB8">
        <w:rPr>
          <w:rFonts w:eastAsia="Times New Roman"/>
          <w:noProof/>
          <w:lang w:val="en-IE"/>
        </w:rPr>
        <w:t>common</w:t>
      </w:r>
      <w:r w:rsidRPr="65911F07">
        <w:rPr>
          <w:rFonts w:eastAsia="Times New Roman"/>
          <w:noProof/>
          <w:lang w:val="en-IE"/>
        </w:rPr>
        <w:t xml:space="preserve"> deadline) would replace the current separate notification obligations under DAC4 and </w:t>
      </w:r>
      <w:r w:rsidR="001323C5">
        <w:rPr>
          <w:rFonts w:eastAsia="Times New Roman"/>
          <w:noProof/>
          <w:lang w:val="en-IE"/>
        </w:rPr>
        <w:t>DAC9</w:t>
      </w:r>
      <w:r w:rsidRPr="0940B60B">
        <w:rPr>
          <w:rFonts w:eastAsia="Times New Roman"/>
          <w:noProof/>
          <w:lang w:val="en-IE"/>
        </w:rPr>
        <w:t>.</w:t>
      </w:r>
      <w:r w:rsidRPr="65911F07">
        <w:rPr>
          <w:rFonts w:eastAsia="Times New Roman"/>
          <w:noProof/>
          <w:lang w:val="en-IE"/>
        </w:rPr>
        <w:t xml:space="preserve"> This would streamline reporting </w:t>
      </w:r>
      <w:r w:rsidR="4B5908BF" w:rsidRPr="5250ACB8">
        <w:rPr>
          <w:rFonts w:eastAsia="Times New Roman"/>
          <w:noProof/>
          <w:lang w:val="en-IE"/>
        </w:rPr>
        <w:t>for</w:t>
      </w:r>
      <w:r w:rsidR="006822EC">
        <w:rPr>
          <w:rFonts w:eastAsia="Times New Roman"/>
          <w:noProof/>
          <w:lang w:val="en-IE"/>
        </w:rPr>
        <w:t xml:space="preserve"> each entity in the group </w:t>
      </w:r>
      <w:r w:rsidRPr="65911F07">
        <w:rPr>
          <w:rFonts w:eastAsia="Times New Roman"/>
          <w:noProof/>
          <w:lang w:val="en-IE"/>
        </w:rPr>
        <w:t>without affecting the content of the information provided to tax authorities.</w:t>
      </w:r>
      <w:r w:rsidR="375914AF" w:rsidRPr="55D7AB87">
        <w:rPr>
          <w:rFonts w:eastAsia="Times New Roman"/>
          <w:noProof/>
          <w:lang w:val="en-IE"/>
        </w:rPr>
        <w:t xml:space="preserve"> </w:t>
      </w:r>
      <w:r w:rsidR="00433D51" w:rsidRPr="00433D51">
        <w:rPr>
          <w:rFonts w:eastAsia="Times New Roman"/>
          <w:noProof/>
          <w:lang w:val="en-IE"/>
        </w:rPr>
        <w:t>In practice, under the current framework, the ultimate parent entity (UPE) or designated reporting entity must first collect and coordinate relevant group-level information and subsequently disseminate this information to all constituent entities, which then submit separate notifications</w:t>
      </w:r>
      <w:r w:rsidR="001323C5">
        <w:rPr>
          <w:rFonts w:eastAsia="Times New Roman"/>
          <w:noProof/>
          <w:lang w:val="en-IE"/>
        </w:rPr>
        <w:t>, to support the reporting requirements</w:t>
      </w:r>
      <w:r w:rsidR="00433D51" w:rsidRPr="00433D51">
        <w:rPr>
          <w:rFonts w:eastAsia="Times New Roman"/>
          <w:noProof/>
          <w:lang w:val="en-IE"/>
        </w:rPr>
        <w:t xml:space="preserve"> under </w:t>
      </w:r>
      <w:r w:rsidR="001323C5">
        <w:rPr>
          <w:rFonts w:eastAsia="Times New Roman"/>
          <w:noProof/>
          <w:lang w:val="en-IE"/>
        </w:rPr>
        <w:t xml:space="preserve">the </w:t>
      </w:r>
      <w:r w:rsidR="00433D51" w:rsidRPr="00433D51">
        <w:rPr>
          <w:rFonts w:eastAsia="Times New Roman"/>
          <w:noProof/>
          <w:lang w:val="en-IE"/>
        </w:rPr>
        <w:t xml:space="preserve">DAC4 and the </w:t>
      </w:r>
      <w:r w:rsidR="001323C5">
        <w:rPr>
          <w:rFonts w:eastAsia="Times New Roman"/>
          <w:noProof/>
          <w:lang w:val="en-IE"/>
        </w:rPr>
        <w:t xml:space="preserve">DAC9 </w:t>
      </w:r>
      <w:r w:rsidR="00433D51" w:rsidRPr="00433D51">
        <w:rPr>
          <w:rFonts w:eastAsia="Times New Roman"/>
          <w:noProof/>
          <w:lang w:val="en-IE"/>
        </w:rPr>
        <w:t>framework using different templates and timelines. Under Policy Option 3a, these notification requirements would be aligned and standardised, thereby eliminating duplication related to the preparation, coordination and submission of notifications across the two frameworks.</w:t>
      </w:r>
      <w:r w:rsidR="00433D51">
        <w:rPr>
          <w:rFonts w:eastAsia="Times New Roman"/>
          <w:noProof/>
          <w:lang w:val="en-IE"/>
        </w:rPr>
        <w:t xml:space="preserve"> </w:t>
      </w:r>
      <w:r w:rsidR="375914AF" w:rsidRPr="55D7AB87">
        <w:rPr>
          <w:rFonts w:eastAsia="Times New Roman"/>
          <w:noProof/>
          <w:lang w:val="en-IE"/>
        </w:rPr>
        <w:t>Consequentially</w:t>
      </w:r>
      <w:r w:rsidR="003D7186" w:rsidRPr="003D7186">
        <w:rPr>
          <w:rFonts w:eastAsia="Times New Roman"/>
          <w:noProof/>
          <w:lang w:val="en-IE"/>
        </w:rPr>
        <w:t xml:space="preserve"> duplicative administrative processes would be effectively eliminated leading to estimated compliance cost savings of approximately EUR 135 million per year for affected </w:t>
      </w:r>
      <w:r w:rsidR="0814FEE8" w:rsidRPr="4D22B4D9">
        <w:rPr>
          <w:rFonts w:eastAsia="Times New Roman"/>
          <w:noProof/>
          <w:lang w:val="en-IE"/>
        </w:rPr>
        <w:t>businesses</w:t>
      </w:r>
      <w:r w:rsidR="003D7186" w:rsidRPr="4D22B4D9">
        <w:rPr>
          <w:rFonts w:eastAsia="Times New Roman"/>
          <w:noProof/>
          <w:lang w:val="en-IE"/>
        </w:rPr>
        <w:t>.</w:t>
      </w:r>
      <w:r w:rsidR="003D7186">
        <w:rPr>
          <w:rFonts w:eastAsia="Times New Roman"/>
          <w:noProof/>
          <w:lang w:val="en-IE"/>
        </w:rPr>
        <w:t xml:space="preserve"> </w:t>
      </w:r>
      <w:r w:rsidRPr="65911F07">
        <w:rPr>
          <w:rFonts w:eastAsia="Times New Roman"/>
          <w:noProof/>
          <w:lang w:val="en-IE"/>
        </w:rPr>
        <w:t xml:space="preserve">These savings arise primarily from the elimination of duplicative notifications across constituent entities. </w:t>
      </w:r>
    </w:p>
    <w:p w14:paraId="7E99F204" w14:textId="1A52F023" w:rsidR="002101B1" w:rsidRDefault="69959C5F" w:rsidP="004B6BFE">
      <w:pPr>
        <w:spacing w:before="240"/>
        <w:rPr>
          <w:rFonts w:eastAsia="Times New Roman"/>
          <w:noProof/>
          <w:lang w:val="en-IE"/>
        </w:rPr>
      </w:pPr>
      <w:r w:rsidRPr="003D49B2">
        <w:rPr>
          <w:rFonts w:eastAsia="Times New Roman"/>
          <w:b/>
          <w:bCs/>
          <w:noProof/>
          <w:lang w:val="en-IE"/>
        </w:rPr>
        <w:t xml:space="preserve">Policy Option </w:t>
      </w:r>
      <w:r w:rsidR="2CA83201" w:rsidRPr="003D49B2">
        <w:rPr>
          <w:rFonts w:eastAsia="Times New Roman"/>
          <w:b/>
          <w:bCs/>
          <w:noProof/>
          <w:lang w:val="en-IE"/>
        </w:rPr>
        <w:t>3</w:t>
      </w:r>
      <w:r w:rsidRPr="003D49B2">
        <w:rPr>
          <w:rFonts w:eastAsia="Times New Roman"/>
          <w:b/>
          <w:bCs/>
          <w:noProof/>
          <w:lang w:val="en-IE"/>
        </w:rPr>
        <w:t>b</w:t>
      </w:r>
      <w:r w:rsidRPr="65911F07">
        <w:rPr>
          <w:rFonts w:eastAsia="Times New Roman"/>
          <w:noProof/>
          <w:lang w:val="en-IE"/>
        </w:rPr>
        <w:t xml:space="preserve"> builds on </w:t>
      </w:r>
      <w:r w:rsidRPr="003D49B2">
        <w:rPr>
          <w:rFonts w:eastAsia="Times New Roman"/>
          <w:b/>
          <w:bCs/>
          <w:noProof/>
          <w:lang w:val="en-IE"/>
        </w:rPr>
        <w:t xml:space="preserve">Option </w:t>
      </w:r>
      <w:r w:rsidR="3FEEFDF9" w:rsidRPr="003D49B2">
        <w:rPr>
          <w:rFonts w:eastAsia="Times New Roman"/>
          <w:b/>
          <w:bCs/>
          <w:noProof/>
          <w:lang w:val="en-IE"/>
        </w:rPr>
        <w:t>3</w:t>
      </w:r>
      <w:r w:rsidRPr="003D49B2">
        <w:rPr>
          <w:rFonts w:eastAsia="Times New Roman"/>
          <w:b/>
          <w:bCs/>
          <w:noProof/>
          <w:lang w:val="en-IE"/>
        </w:rPr>
        <w:t>a</w:t>
      </w:r>
      <w:r w:rsidRPr="65911F07">
        <w:rPr>
          <w:rFonts w:eastAsia="Times New Roman"/>
          <w:noProof/>
          <w:lang w:val="en-IE"/>
        </w:rPr>
        <w:t xml:space="preserve"> by introducing central filing, whereby a </w:t>
      </w:r>
      <w:r w:rsidRPr="0916703F">
        <w:rPr>
          <w:rFonts w:eastAsia="Times New Roman"/>
          <w:noProof/>
          <w:lang w:val="en-IE"/>
        </w:rPr>
        <w:t>single</w:t>
      </w:r>
      <w:r w:rsidRPr="65911F07">
        <w:rPr>
          <w:rFonts w:eastAsia="Times New Roman"/>
          <w:noProof/>
          <w:lang w:val="en-IE"/>
        </w:rPr>
        <w:t xml:space="preserve"> entity submits the notification on behalf of the entire MNE group</w:t>
      </w:r>
      <w:r w:rsidR="00E43322">
        <w:rPr>
          <w:rFonts w:eastAsia="Times New Roman"/>
          <w:noProof/>
          <w:lang w:val="en-IE"/>
        </w:rPr>
        <w:t>, instead of each entity of the MNE group</w:t>
      </w:r>
      <w:r w:rsidRPr="65911F07">
        <w:rPr>
          <w:rFonts w:eastAsia="Times New Roman"/>
          <w:noProof/>
          <w:lang w:val="en-IE"/>
        </w:rPr>
        <w:t>. This would further reduce duplicative filings and allow groups to centralise compliance processes, while ensuring that all relevant tax administrations continue to receive the necessary information through automatic exchange.</w:t>
      </w:r>
      <w:r w:rsidR="002D4C56">
        <w:rPr>
          <w:rFonts w:eastAsia="Times New Roman"/>
          <w:noProof/>
          <w:lang w:val="en-IE"/>
        </w:rPr>
        <w:t xml:space="preserve"> </w:t>
      </w:r>
      <w:r w:rsidR="002101B1" w:rsidRPr="002101B1">
        <w:rPr>
          <w:rFonts w:eastAsia="Times New Roman"/>
          <w:noProof/>
          <w:lang w:val="en-IE"/>
        </w:rPr>
        <w:t xml:space="preserve">Under the current system, each constituent entity is required to submit a notification to its domestic tax authority containing largely identical information on the reporting entity, the fiscal year and group affiliation. This requires the dissemination of centrally held information throughout the group and the coordination of multiple entity-level filings. Under Policy Option 3b, these separate filings would be replaced by a single notification submitted centrally by the UPE or another designated entity using one harmonised template and timeline applicable to both DAC4 and </w:t>
      </w:r>
      <w:r w:rsidR="001323C5">
        <w:rPr>
          <w:rFonts w:eastAsia="Times New Roman"/>
          <w:noProof/>
          <w:lang w:val="en-IE"/>
        </w:rPr>
        <w:t>DAC9</w:t>
      </w:r>
      <w:r w:rsidR="002101B1" w:rsidRPr="002101B1">
        <w:rPr>
          <w:rFonts w:eastAsia="Times New Roman"/>
          <w:noProof/>
          <w:lang w:val="en-IE"/>
        </w:rPr>
        <w:t xml:space="preserve"> obligations.</w:t>
      </w:r>
    </w:p>
    <w:p w14:paraId="5189AEE6" w14:textId="5C6A549F" w:rsidR="004B6BFE" w:rsidRDefault="00BB2FB4" w:rsidP="004B6BFE">
      <w:pPr>
        <w:spacing w:before="240"/>
        <w:rPr>
          <w:rFonts w:eastAsia="Times New Roman"/>
          <w:noProof/>
          <w:lang w:val="en-IE"/>
        </w:rPr>
      </w:pPr>
      <w:r w:rsidRPr="00BB2FB4">
        <w:rPr>
          <w:rFonts w:eastAsia="Times New Roman"/>
          <w:noProof/>
          <w:lang w:val="en-IE"/>
        </w:rPr>
        <w:t>Importantly, the proposed centralisation would not materially affect the internal collection and analysis of information within MNE groups, which would largely remain necessary irrespective of the reporting channel. The main savings instead arise from eliminating the repeated dissemination, coordination and submission of notifications by individual constituent entities.</w:t>
      </w:r>
      <w:r>
        <w:rPr>
          <w:rFonts w:eastAsia="Times New Roman"/>
          <w:noProof/>
          <w:lang w:val="en-IE"/>
        </w:rPr>
        <w:t xml:space="preserve"> </w:t>
      </w:r>
      <w:r w:rsidR="1F49A133" w:rsidRPr="4321A1A3">
        <w:rPr>
          <w:rFonts w:eastAsia="Times New Roman"/>
          <w:noProof/>
          <w:lang w:val="en-IE"/>
        </w:rPr>
        <w:t xml:space="preserve">Instead of entity-level notifications, one notification would be submitted per MNE group. The annual compliance cost would therefore be </w:t>
      </w:r>
      <w:r w:rsidR="2EDD3A4E" w:rsidRPr="4321A1A3">
        <w:rPr>
          <w:rFonts w:eastAsia="Times New Roman"/>
          <w:noProof/>
          <w:lang w:val="en-IE"/>
        </w:rPr>
        <w:t>4,700</w:t>
      </w:r>
      <w:r w:rsidR="1F49A133" w:rsidRPr="4321A1A3">
        <w:rPr>
          <w:rFonts w:eastAsia="Times New Roman"/>
          <w:noProof/>
          <w:lang w:val="en-IE"/>
        </w:rPr>
        <w:t xml:space="preserve"> × EUR 1,</w:t>
      </w:r>
      <w:r w:rsidR="2EDD3A4E" w:rsidRPr="4321A1A3">
        <w:rPr>
          <w:rFonts w:eastAsia="Times New Roman"/>
          <w:noProof/>
          <w:lang w:val="en-IE"/>
        </w:rPr>
        <w:t xml:space="preserve">270 </w:t>
      </w:r>
      <w:r w:rsidR="1F49A133" w:rsidRPr="4321A1A3">
        <w:rPr>
          <w:rFonts w:eastAsia="Times New Roman"/>
          <w:noProof/>
          <w:lang w:val="en-IE"/>
        </w:rPr>
        <w:t xml:space="preserve">= EUR </w:t>
      </w:r>
      <w:r w:rsidR="24F67D5A" w:rsidRPr="4321A1A3">
        <w:rPr>
          <w:rFonts w:eastAsia="Times New Roman"/>
          <w:noProof/>
          <w:lang w:val="en-IE"/>
        </w:rPr>
        <w:t>6</w:t>
      </w:r>
      <w:r w:rsidR="1F49A133" w:rsidRPr="4321A1A3">
        <w:rPr>
          <w:rFonts w:eastAsia="Times New Roman"/>
          <w:noProof/>
          <w:lang w:val="en-IE"/>
        </w:rPr>
        <w:t xml:space="preserve"> million per year. The resulting compliance cost savings are therefore EUR 27</w:t>
      </w:r>
      <w:r w:rsidR="0E9BF703" w:rsidRPr="4321A1A3">
        <w:rPr>
          <w:rFonts w:eastAsia="Times New Roman"/>
          <w:noProof/>
          <w:lang w:val="en-IE"/>
        </w:rPr>
        <w:t>0</w:t>
      </w:r>
      <w:r w:rsidR="1F49A133" w:rsidRPr="4321A1A3">
        <w:rPr>
          <w:rFonts w:eastAsia="Times New Roman"/>
          <w:noProof/>
          <w:lang w:val="en-IE"/>
        </w:rPr>
        <w:t xml:space="preserve"> million − EUR </w:t>
      </w:r>
      <w:r w:rsidR="0E9BF703" w:rsidRPr="4321A1A3">
        <w:rPr>
          <w:rFonts w:eastAsia="Times New Roman"/>
          <w:noProof/>
          <w:lang w:val="en-IE"/>
        </w:rPr>
        <w:t>6</w:t>
      </w:r>
      <w:r w:rsidR="1F49A133" w:rsidRPr="4321A1A3">
        <w:rPr>
          <w:rFonts w:eastAsia="Times New Roman"/>
          <w:noProof/>
          <w:lang w:val="en-IE"/>
        </w:rPr>
        <w:t xml:space="preserve"> million = EUR </w:t>
      </w:r>
      <w:r w:rsidR="0E9BF703" w:rsidRPr="4321A1A3">
        <w:rPr>
          <w:rFonts w:eastAsia="Times New Roman"/>
          <w:noProof/>
          <w:lang w:val="en-IE"/>
        </w:rPr>
        <w:t>264</w:t>
      </w:r>
      <w:r w:rsidR="1F49A133" w:rsidRPr="4321A1A3">
        <w:rPr>
          <w:rFonts w:eastAsia="Times New Roman"/>
          <w:noProof/>
          <w:lang w:val="en-IE"/>
        </w:rPr>
        <w:t xml:space="preserve"> million per year</w:t>
      </w:r>
      <w:r w:rsidR="6ED28805" w:rsidRPr="4321A1A3">
        <w:rPr>
          <w:rFonts w:eastAsia="Times New Roman"/>
          <w:noProof/>
          <w:lang w:val="en-IE"/>
        </w:rPr>
        <w:t>.</w:t>
      </w:r>
    </w:p>
    <w:p w14:paraId="2AE2AA3D" w14:textId="77777777" w:rsidR="003828AA" w:rsidRDefault="6844FEF6" w:rsidP="003828AA">
      <w:pPr>
        <w:spacing w:before="240"/>
        <w:rPr>
          <w:rFonts w:eastAsia="Times New Roman"/>
          <w:noProof/>
        </w:rPr>
      </w:pPr>
      <w:r w:rsidRPr="4321A1A3">
        <w:rPr>
          <w:rFonts w:eastAsia="Times New Roman"/>
          <w:noProof/>
          <w:lang w:val="en-IE"/>
        </w:rPr>
        <w:t xml:space="preserve">As only one Member State would receive the notification, the information would need to be exchanged with other Member States. This would require the development of an </w:t>
      </w:r>
      <w:r w:rsidR="46C2416C" w:rsidRPr="4321A1A3">
        <w:rPr>
          <w:rFonts w:eastAsia="Times New Roman"/>
          <w:noProof/>
          <w:lang w:val="en-IE"/>
        </w:rPr>
        <w:t xml:space="preserve">appropriate </w:t>
      </w:r>
      <w:r w:rsidR="5C86C0EA" w:rsidRPr="4321A1A3">
        <w:rPr>
          <w:rFonts w:eastAsia="Times New Roman"/>
          <w:noProof/>
          <w:lang w:val="en-IE"/>
        </w:rPr>
        <w:t xml:space="preserve">IT </w:t>
      </w:r>
      <w:r w:rsidRPr="4321A1A3">
        <w:rPr>
          <w:rFonts w:eastAsia="Times New Roman"/>
          <w:noProof/>
          <w:lang w:val="en-IE"/>
        </w:rPr>
        <w:t>exchange schema and the establishment of an exchange channel</w:t>
      </w:r>
      <w:r w:rsidR="342180A5" w:rsidRPr="4321A1A3">
        <w:rPr>
          <w:rFonts w:eastAsia="Times New Roman"/>
          <w:noProof/>
          <w:lang w:val="en-IE"/>
        </w:rPr>
        <w:t xml:space="preserve">. The </w:t>
      </w:r>
      <w:r w:rsidR="3BB02787" w:rsidRPr="4321A1A3">
        <w:rPr>
          <w:rFonts w:eastAsia="Times New Roman"/>
          <w:noProof/>
          <w:lang w:val="en-IE"/>
        </w:rPr>
        <w:t xml:space="preserve">adjustment costs linked to </w:t>
      </w:r>
      <w:r w:rsidR="6B3E3F53" w:rsidRPr="4321A1A3">
        <w:rPr>
          <w:rFonts w:eastAsia="Times New Roman"/>
          <w:noProof/>
          <w:lang w:val="en-IE"/>
        </w:rPr>
        <w:t>this</w:t>
      </w:r>
      <w:r w:rsidR="12A6694E" w:rsidRPr="4321A1A3">
        <w:rPr>
          <w:rFonts w:eastAsia="Times New Roman"/>
          <w:noProof/>
          <w:lang w:val="en-IE"/>
        </w:rPr>
        <w:t xml:space="preserve"> investment </w:t>
      </w:r>
      <w:r w:rsidR="7BEBD101" w:rsidRPr="4321A1A3">
        <w:rPr>
          <w:rFonts w:eastAsia="Times New Roman"/>
          <w:noProof/>
          <w:lang w:val="en-IE"/>
        </w:rPr>
        <w:t>are expected to</w:t>
      </w:r>
      <w:r w:rsidR="16DDCEAD" w:rsidRPr="4321A1A3">
        <w:rPr>
          <w:rFonts w:eastAsia="Times New Roman"/>
          <w:noProof/>
          <w:lang w:val="en-IE"/>
        </w:rPr>
        <w:t xml:space="preserve"> be limited</w:t>
      </w:r>
      <w:r w:rsidR="4C663BB5" w:rsidRPr="4321A1A3">
        <w:rPr>
          <w:rFonts w:eastAsia="Times New Roman"/>
          <w:noProof/>
          <w:lang w:val="en-IE"/>
        </w:rPr>
        <w:t xml:space="preserve">, as tax administrations can </w:t>
      </w:r>
      <w:r w:rsidR="3FD15098" w:rsidRPr="4321A1A3">
        <w:rPr>
          <w:rFonts w:eastAsia="Times New Roman"/>
          <w:noProof/>
          <w:lang w:val="en-IE"/>
        </w:rPr>
        <w:t>build</w:t>
      </w:r>
      <w:r w:rsidR="2D923AE6" w:rsidRPr="4321A1A3">
        <w:rPr>
          <w:rFonts w:eastAsia="Times New Roman"/>
          <w:noProof/>
          <w:lang w:val="en-IE"/>
        </w:rPr>
        <w:t xml:space="preserve"> </w:t>
      </w:r>
      <w:r w:rsidR="59941F70" w:rsidRPr="4321A1A3">
        <w:rPr>
          <w:rFonts w:eastAsia="Times New Roman"/>
          <w:noProof/>
          <w:lang w:val="en-IE"/>
        </w:rPr>
        <w:t>up</w:t>
      </w:r>
      <w:r w:rsidRPr="4321A1A3">
        <w:rPr>
          <w:rFonts w:eastAsia="Times New Roman"/>
          <w:noProof/>
          <w:lang w:val="en-IE"/>
        </w:rPr>
        <w:t xml:space="preserve">on </w:t>
      </w:r>
      <w:r w:rsidR="47B44D3B" w:rsidRPr="4321A1A3">
        <w:rPr>
          <w:rFonts w:eastAsia="Times New Roman"/>
          <w:noProof/>
          <w:lang w:val="en-IE"/>
        </w:rPr>
        <w:t>the</w:t>
      </w:r>
      <w:r w:rsidRPr="4321A1A3">
        <w:rPr>
          <w:rFonts w:eastAsia="Times New Roman"/>
          <w:noProof/>
          <w:lang w:val="en-IE"/>
        </w:rPr>
        <w:t xml:space="preserve"> existing secure communication infrastructure under the DAC framework.</w:t>
      </w:r>
      <w:r w:rsidR="7F809117" w:rsidRPr="4321A1A3">
        <w:rPr>
          <w:rFonts w:eastAsia="Times New Roman"/>
          <w:noProof/>
          <w:lang w:val="en-IE"/>
        </w:rPr>
        <w:t xml:space="preserve"> At the same time, the streamlining of notification requirements is expected to generate efficiency gains by reducing duplicative submissions and simplifying administrative processes across Member States. Fewer notifications and more harmonised formats would lower the need for data validation, reconciliation and manual processing, while improving the consistency and usability of the information received. Overall, while some limited one-off implementation costs are expected, the measure is likely to result in net administrative savings </w:t>
      </w:r>
      <w:r w:rsidR="00D577E1">
        <w:rPr>
          <w:rFonts w:eastAsia="Times New Roman"/>
          <w:noProof/>
          <w:lang w:val="en-IE"/>
        </w:rPr>
        <w:t xml:space="preserve">for tax administrations </w:t>
      </w:r>
      <w:r w:rsidR="7F809117" w:rsidRPr="4321A1A3">
        <w:rPr>
          <w:rFonts w:eastAsia="Times New Roman"/>
          <w:noProof/>
          <w:lang w:val="en-IE"/>
        </w:rPr>
        <w:t>in the medium to long term, although their precise magnitude cannot be quantified.</w:t>
      </w:r>
    </w:p>
    <w:p w14:paraId="3A3BEC1B" w14:textId="22418C90" w:rsidR="2AD81A7F" w:rsidRDefault="003828AA" w:rsidP="00F12CB6">
      <w:pPr>
        <w:spacing w:before="240"/>
        <w:jc w:val="center"/>
        <w:rPr>
          <w:rFonts w:eastAsia="Times New Roman"/>
          <w:noProof/>
          <w:lang w:val="en-IE"/>
        </w:rPr>
      </w:pPr>
      <w:r>
        <w:rPr>
          <w:rFonts w:eastAsia="Times New Roman"/>
          <w:b/>
          <w:bCs/>
          <w:noProof/>
        </w:rPr>
        <w:t xml:space="preserve">Quantified </w:t>
      </w:r>
      <w:r w:rsidRPr="00C30DFD">
        <w:rPr>
          <w:rFonts w:eastAsia="Times New Roman"/>
          <w:b/>
          <w:bCs/>
          <w:noProof/>
        </w:rPr>
        <w:t xml:space="preserve">Cost Savings under Policy Option </w:t>
      </w:r>
      <w:r>
        <w:rPr>
          <w:rFonts w:eastAsia="Times New Roman"/>
          <w:b/>
          <w:bCs/>
          <w:noProof/>
        </w:rPr>
        <w:t>3</w:t>
      </w:r>
    </w:p>
    <w:tbl>
      <w:tblPr>
        <w:tblW w:w="0" w:type="auto"/>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706"/>
        <w:gridCol w:w="1678"/>
        <w:gridCol w:w="1678"/>
      </w:tblGrid>
      <w:tr w:rsidR="004C6281" w:rsidRPr="00D7088D" w14:paraId="7B1571CF" w14:textId="77777777" w:rsidTr="00F12CB6">
        <w:trPr>
          <w:trHeight w:val="300"/>
          <w:jc w:val="center"/>
        </w:trPr>
        <w:tc>
          <w:tcPr>
            <w:tcW w:w="370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36C876E" w14:textId="77777777" w:rsidR="004C6281" w:rsidRPr="00D7088D" w:rsidRDefault="004C6281" w:rsidP="00DF4DDF">
            <w:pPr>
              <w:spacing w:after="0" w:line="257" w:lineRule="auto"/>
              <w:rPr>
                <w:rFonts w:eastAsia="Times New Roman"/>
                <w:b/>
                <w:bCs/>
                <w:noProof/>
                <w:sz w:val="20"/>
                <w:szCs w:val="20"/>
              </w:rPr>
            </w:pPr>
          </w:p>
        </w:tc>
        <w:tc>
          <w:tcPr>
            <w:tcW w:w="167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59470B0" w14:textId="471EA913" w:rsidR="004C6281" w:rsidRPr="00D7088D" w:rsidRDefault="004C6281" w:rsidP="003828AA">
            <w:pPr>
              <w:spacing w:after="0" w:line="257" w:lineRule="auto"/>
              <w:jc w:val="center"/>
              <w:rPr>
                <w:rFonts w:eastAsia="Times New Roman"/>
                <w:b/>
                <w:bCs/>
                <w:noProof/>
                <w:sz w:val="20"/>
                <w:szCs w:val="20"/>
              </w:rPr>
            </w:pPr>
            <w:r w:rsidRPr="00D7088D">
              <w:rPr>
                <w:rFonts w:eastAsia="Times New Roman"/>
                <w:b/>
                <w:bCs/>
                <w:noProof/>
                <w:sz w:val="20"/>
                <w:szCs w:val="20"/>
              </w:rPr>
              <w:t>PO</w:t>
            </w:r>
            <w:r>
              <w:rPr>
                <w:rFonts w:eastAsia="Times New Roman"/>
                <w:b/>
                <w:bCs/>
                <w:noProof/>
                <w:sz w:val="20"/>
                <w:szCs w:val="20"/>
              </w:rPr>
              <w:t>3</w:t>
            </w:r>
            <w:r w:rsidRPr="00D7088D">
              <w:rPr>
                <w:rFonts w:eastAsia="Times New Roman"/>
                <w:b/>
                <w:bCs/>
                <w:noProof/>
                <w:sz w:val="20"/>
                <w:szCs w:val="20"/>
              </w:rPr>
              <w:t>a</w:t>
            </w:r>
          </w:p>
        </w:tc>
        <w:tc>
          <w:tcPr>
            <w:tcW w:w="167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B3CECD" w14:textId="1B6B3D46" w:rsidR="004C6281" w:rsidRPr="00D7088D" w:rsidRDefault="004C6281" w:rsidP="003828AA">
            <w:pPr>
              <w:spacing w:after="0" w:line="257" w:lineRule="auto"/>
              <w:jc w:val="center"/>
              <w:rPr>
                <w:rFonts w:eastAsia="Times New Roman"/>
                <w:b/>
                <w:bCs/>
                <w:noProof/>
                <w:sz w:val="20"/>
                <w:szCs w:val="20"/>
              </w:rPr>
            </w:pPr>
            <w:r w:rsidRPr="00D7088D">
              <w:rPr>
                <w:rFonts w:eastAsia="Times New Roman"/>
                <w:b/>
                <w:bCs/>
                <w:noProof/>
                <w:sz w:val="20"/>
                <w:szCs w:val="20"/>
              </w:rPr>
              <w:t>PO</w:t>
            </w:r>
            <w:r>
              <w:rPr>
                <w:rFonts w:eastAsia="Times New Roman"/>
                <w:b/>
                <w:bCs/>
                <w:noProof/>
                <w:sz w:val="20"/>
                <w:szCs w:val="20"/>
              </w:rPr>
              <w:t>3</w:t>
            </w:r>
            <w:r w:rsidRPr="00D7088D">
              <w:rPr>
                <w:rFonts w:eastAsia="Times New Roman"/>
                <w:b/>
                <w:bCs/>
                <w:noProof/>
                <w:sz w:val="20"/>
                <w:szCs w:val="20"/>
              </w:rPr>
              <w:t>b</w:t>
            </w:r>
          </w:p>
        </w:tc>
      </w:tr>
      <w:tr w:rsidR="004C6281" w:rsidRPr="00D7088D" w14:paraId="5EE07377" w14:textId="77777777" w:rsidTr="00F12CB6">
        <w:trPr>
          <w:trHeight w:val="300"/>
          <w:jc w:val="center"/>
        </w:trPr>
        <w:tc>
          <w:tcPr>
            <w:tcW w:w="370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A087B91" w14:textId="77777777" w:rsidR="004C6281" w:rsidRPr="00D7088D" w:rsidRDefault="004C6281" w:rsidP="00DF4DDF">
            <w:pPr>
              <w:spacing w:after="0" w:line="257" w:lineRule="auto"/>
              <w:rPr>
                <w:rFonts w:eastAsia="Times New Roman"/>
                <w:b/>
                <w:bCs/>
                <w:noProof/>
                <w:sz w:val="20"/>
                <w:szCs w:val="20"/>
              </w:rPr>
            </w:pPr>
            <w:r w:rsidRPr="00D7088D">
              <w:rPr>
                <w:rFonts w:eastAsia="Times New Roman"/>
                <w:b/>
                <w:bCs/>
                <w:noProof/>
                <w:sz w:val="20"/>
                <w:szCs w:val="20"/>
              </w:rPr>
              <w:t>Companies</w:t>
            </w:r>
          </w:p>
        </w:tc>
        <w:tc>
          <w:tcPr>
            <w:tcW w:w="167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793E31" w14:textId="439B507C" w:rsidR="004C6281" w:rsidRPr="00D7088D" w:rsidRDefault="003828AA" w:rsidP="00F12CB6">
            <w:pPr>
              <w:spacing w:after="0"/>
              <w:jc w:val="center"/>
              <w:rPr>
                <w:noProof/>
                <w:sz w:val="20"/>
                <w:szCs w:val="20"/>
              </w:rPr>
            </w:pPr>
            <w:r>
              <w:rPr>
                <w:noProof/>
                <w:sz w:val="20"/>
                <w:szCs w:val="20"/>
              </w:rPr>
              <w:t>EUR 135mn</w:t>
            </w:r>
          </w:p>
        </w:tc>
        <w:tc>
          <w:tcPr>
            <w:tcW w:w="167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053D9CF" w14:textId="3423F0F7" w:rsidR="004C6281" w:rsidRPr="00D7088D" w:rsidRDefault="0091367C" w:rsidP="00F12CB6">
            <w:pPr>
              <w:spacing w:after="0"/>
              <w:jc w:val="center"/>
              <w:rPr>
                <w:noProof/>
                <w:sz w:val="20"/>
                <w:szCs w:val="20"/>
              </w:rPr>
            </w:pPr>
            <w:r>
              <w:rPr>
                <w:noProof/>
                <w:sz w:val="20"/>
                <w:szCs w:val="20"/>
              </w:rPr>
              <w:t>EUR 264mn</w:t>
            </w:r>
          </w:p>
        </w:tc>
      </w:tr>
    </w:tbl>
    <w:p w14:paraId="47AE43B4" w14:textId="77777777" w:rsidR="004C6281" w:rsidRPr="00F12CB6" w:rsidRDefault="004C6281" w:rsidP="4321A1A3">
      <w:pPr>
        <w:spacing w:before="240"/>
        <w:rPr>
          <w:rFonts w:eastAsia="Times New Roman"/>
          <w:noProof/>
        </w:rPr>
      </w:pPr>
    </w:p>
    <w:p w14:paraId="185CE2D4" w14:textId="179B25E6" w:rsidR="0065008E" w:rsidRPr="00F92EAE" w:rsidRDefault="5AC2B9B0" w:rsidP="00EB7AEE">
      <w:pPr>
        <w:pStyle w:val="Heading3"/>
        <w:numPr>
          <w:ilvl w:val="0"/>
          <w:numId w:val="0"/>
        </w:numPr>
        <w:tabs>
          <w:tab w:val="num" w:pos="1134"/>
        </w:tabs>
        <w:rPr>
          <w:noProof/>
        </w:rPr>
      </w:pPr>
      <w:r w:rsidRPr="642A1276">
        <w:rPr>
          <w:b/>
          <w:noProof/>
        </w:rPr>
        <w:t xml:space="preserve">Policy </w:t>
      </w:r>
      <w:r w:rsidRPr="650A83E9">
        <w:rPr>
          <w:b/>
          <w:bCs/>
          <w:noProof/>
        </w:rPr>
        <w:t>Options</w:t>
      </w:r>
      <w:r w:rsidR="3565E692" w:rsidRPr="650A83E9">
        <w:rPr>
          <w:b/>
          <w:bCs/>
          <w:noProof/>
        </w:rPr>
        <w:t xml:space="preserve"> </w:t>
      </w:r>
      <w:r w:rsidR="2A3C4ED3" w:rsidRPr="650A83E9">
        <w:rPr>
          <w:b/>
          <w:bCs/>
          <w:noProof/>
        </w:rPr>
        <w:t>under</w:t>
      </w:r>
      <w:r w:rsidR="2A3C4ED3" w:rsidRPr="642A1276">
        <w:rPr>
          <w:b/>
          <w:noProof/>
        </w:rPr>
        <w:t xml:space="preserve"> </w:t>
      </w:r>
      <w:r w:rsidR="244D4CFA" w:rsidRPr="642A1276">
        <w:rPr>
          <w:b/>
          <w:noProof/>
        </w:rPr>
        <w:t>m</w:t>
      </w:r>
      <w:r w:rsidR="2A3C4ED3" w:rsidRPr="642A1276">
        <w:rPr>
          <w:b/>
          <w:noProof/>
        </w:rPr>
        <w:t xml:space="preserve">easure </w:t>
      </w:r>
      <w:r w:rsidR="0E567B17" w:rsidRPr="650A83E9">
        <w:rPr>
          <w:b/>
          <w:bCs/>
          <w:noProof/>
        </w:rPr>
        <w:t>4</w:t>
      </w:r>
      <w:r w:rsidR="004B28DA" w:rsidRPr="642A1276">
        <w:rPr>
          <w:b/>
          <w:noProof/>
        </w:rPr>
        <w:t xml:space="preserve"> </w:t>
      </w:r>
      <w:r w:rsidR="00007793">
        <w:rPr>
          <w:b/>
          <w:noProof/>
        </w:rPr>
        <w:t>–</w:t>
      </w:r>
      <w:r w:rsidR="004B28DA" w:rsidRPr="642A1276">
        <w:rPr>
          <w:b/>
          <w:noProof/>
        </w:rPr>
        <w:t xml:space="preserve"> </w:t>
      </w:r>
      <w:r w:rsidRPr="642A1276">
        <w:rPr>
          <w:b/>
          <w:noProof/>
        </w:rPr>
        <w:t xml:space="preserve">Improving the </w:t>
      </w:r>
      <w:r w:rsidR="18E0B6EC" w:rsidRPr="642A1276">
        <w:rPr>
          <w:b/>
          <w:noProof/>
        </w:rPr>
        <w:t>verification</w:t>
      </w:r>
      <w:r w:rsidRPr="642A1276">
        <w:rPr>
          <w:b/>
          <w:noProof/>
        </w:rPr>
        <w:t xml:space="preserve"> of the </w:t>
      </w:r>
      <w:r w:rsidR="18E0B6EC" w:rsidRPr="642A1276">
        <w:rPr>
          <w:b/>
          <w:noProof/>
        </w:rPr>
        <w:t>taxpayer identification number</w:t>
      </w:r>
    </w:p>
    <w:p w14:paraId="12C028BB" w14:textId="7CA1E1D3" w:rsidR="00441A06" w:rsidRDefault="2E49863E" w:rsidP="4321A1A3">
      <w:pPr>
        <w:pStyle w:val="Text2"/>
        <w:spacing w:after="0"/>
        <w:ind w:left="0"/>
        <w:rPr>
          <w:noProof/>
          <w:sz w:val="16"/>
          <w:szCs w:val="16"/>
        </w:rPr>
      </w:pPr>
      <w:r w:rsidRPr="003D49B2">
        <w:rPr>
          <w:noProof/>
          <w:sz w:val="16"/>
          <w:szCs w:val="16"/>
        </w:rPr>
        <w:t xml:space="preserve">Baseline: </w:t>
      </w:r>
      <w:r w:rsidR="0663AA7B" w:rsidRPr="003D49B2">
        <w:rPr>
          <w:noProof/>
          <w:sz w:val="16"/>
          <w:szCs w:val="16"/>
        </w:rPr>
        <w:t xml:space="preserve">No </w:t>
      </w:r>
      <w:r w:rsidR="063855B7" w:rsidRPr="003D49B2">
        <w:rPr>
          <w:noProof/>
          <w:sz w:val="16"/>
          <w:szCs w:val="16"/>
        </w:rPr>
        <w:t xml:space="preserve">centralised system </w:t>
      </w:r>
      <w:r w:rsidR="18C1ED80" w:rsidRPr="003D49B2">
        <w:rPr>
          <w:noProof/>
          <w:sz w:val="16"/>
          <w:szCs w:val="16"/>
        </w:rPr>
        <w:t xml:space="preserve">for reporting entities and </w:t>
      </w:r>
      <w:r w:rsidR="63451977" w:rsidRPr="003D49B2">
        <w:rPr>
          <w:noProof/>
          <w:sz w:val="16"/>
          <w:szCs w:val="16"/>
        </w:rPr>
        <w:t xml:space="preserve">tax administrations to validate </w:t>
      </w:r>
      <w:r w:rsidR="01A708F4" w:rsidRPr="003D49B2">
        <w:rPr>
          <w:noProof/>
          <w:sz w:val="16"/>
          <w:szCs w:val="16"/>
        </w:rPr>
        <w:t>accuracy of TINs</w:t>
      </w:r>
      <w:r w:rsidR="003D49B2">
        <w:rPr>
          <w:noProof/>
          <w:sz w:val="16"/>
          <w:szCs w:val="16"/>
        </w:rPr>
        <w:t>.</w:t>
      </w:r>
    </w:p>
    <w:p w14:paraId="21776672" w14:textId="77777777" w:rsidR="003D49B2" w:rsidRDefault="003D49B2" w:rsidP="4321A1A3">
      <w:pPr>
        <w:pStyle w:val="Text2"/>
        <w:spacing w:after="0"/>
        <w:ind w:left="0"/>
        <w:rPr>
          <w:noProof/>
          <w:sz w:val="16"/>
          <w:szCs w:val="16"/>
          <w:lang w:val="en-US"/>
        </w:rPr>
      </w:pPr>
    </w:p>
    <w:p w14:paraId="5D51D58E" w14:textId="6961679E" w:rsidR="003D49B2" w:rsidRDefault="60C61F84" w:rsidP="4321A1A3">
      <w:pPr>
        <w:pStyle w:val="Text2"/>
        <w:ind w:left="0"/>
        <w:rPr>
          <w:noProof/>
          <w:sz w:val="16"/>
          <w:szCs w:val="16"/>
        </w:rPr>
      </w:pPr>
      <w:r w:rsidRPr="003D49B2">
        <w:rPr>
          <w:noProof/>
          <w:sz w:val="16"/>
          <w:szCs w:val="16"/>
        </w:rPr>
        <w:t>PO</w:t>
      </w:r>
      <w:r w:rsidR="03F46091" w:rsidRPr="003D49B2">
        <w:rPr>
          <w:noProof/>
          <w:sz w:val="16"/>
          <w:szCs w:val="16"/>
        </w:rPr>
        <w:t>4</w:t>
      </w:r>
      <w:r w:rsidR="29FDB868" w:rsidRPr="003D49B2">
        <w:rPr>
          <w:noProof/>
          <w:sz w:val="16"/>
          <w:szCs w:val="16"/>
        </w:rPr>
        <w:t xml:space="preserve">a: Introduce a </w:t>
      </w:r>
      <w:r w:rsidR="461AAB3D" w:rsidRPr="003D49B2">
        <w:rPr>
          <w:noProof/>
          <w:sz w:val="16"/>
          <w:szCs w:val="16"/>
        </w:rPr>
        <w:t xml:space="preserve">centralised </w:t>
      </w:r>
      <w:r w:rsidR="25A30FD3" w:rsidRPr="003D49B2">
        <w:rPr>
          <w:noProof/>
          <w:sz w:val="16"/>
          <w:szCs w:val="16"/>
        </w:rPr>
        <w:t xml:space="preserve">TIN </w:t>
      </w:r>
      <w:r w:rsidR="29FDB868" w:rsidRPr="003D49B2">
        <w:rPr>
          <w:noProof/>
          <w:sz w:val="16"/>
          <w:szCs w:val="16"/>
        </w:rPr>
        <w:t xml:space="preserve">verification </w:t>
      </w:r>
      <w:r w:rsidR="447B9235" w:rsidRPr="003D49B2">
        <w:rPr>
          <w:noProof/>
          <w:sz w:val="16"/>
          <w:szCs w:val="16"/>
        </w:rPr>
        <w:t xml:space="preserve">system </w:t>
      </w:r>
      <w:r w:rsidR="29FDB868" w:rsidRPr="003D49B2">
        <w:rPr>
          <w:noProof/>
          <w:sz w:val="16"/>
          <w:szCs w:val="16"/>
        </w:rPr>
        <w:t>accessible only to the Member States</w:t>
      </w:r>
      <w:r w:rsidR="07F0BEAA" w:rsidRPr="003D49B2">
        <w:rPr>
          <w:noProof/>
          <w:sz w:val="16"/>
          <w:szCs w:val="16"/>
        </w:rPr>
        <w:t xml:space="preserve"> tax administrations</w:t>
      </w:r>
      <w:r w:rsidR="003D49B2">
        <w:rPr>
          <w:noProof/>
          <w:sz w:val="16"/>
          <w:szCs w:val="16"/>
        </w:rPr>
        <w:t>.</w:t>
      </w:r>
    </w:p>
    <w:p w14:paraId="1A9CA900" w14:textId="0476D18E" w:rsidR="2958EAFE" w:rsidRDefault="5CA635B5" w:rsidP="4321A1A3">
      <w:pPr>
        <w:pStyle w:val="Text2"/>
        <w:ind w:left="0"/>
        <w:rPr>
          <w:noProof/>
        </w:rPr>
      </w:pPr>
      <w:r w:rsidRPr="003D49B2">
        <w:rPr>
          <w:noProof/>
          <w:sz w:val="16"/>
          <w:szCs w:val="16"/>
        </w:rPr>
        <w:t>PO</w:t>
      </w:r>
      <w:r w:rsidR="2D2229C8" w:rsidRPr="003D49B2">
        <w:rPr>
          <w:noProof/>
          <w:sz w:val="16"/>
          <w:szCs w:val="16"/>
        </w:rPr>
        <w:t>4</w:t>
      </w:r>
      <w:r w:rsidRPr="003D49B2">
        <w:rPr>
          <w:noProof/>
          <w:sz w:val="16"/>
          <w:szCs w:val="16"/>
        </w:rPr>
        <w:t xml:space="preserve">b: Introduce a </w:t>
      </w:r>
      <w:r w:rsidR="496E77D8" w:rsidRPr="003D49B2">
        <w:rPr>
          <w:noProof/>
          <w:sz w:val="16"/>
          <w:szCs w:val="16"/>
        </w:rPr>
        <w:t xml:space="preserve">centralised TIN </w:t>
      </w:r>
      <w:r w:rsidRPr="003D49B2">
        <w:rPr>
          <w:noProof/>
          <w:sz w:val="16"/>
          <w:szCs w:val="16"/>
        </w:rPr>
        <w:t xml:space="preserve">verification </w:t>
      </w:r>
      <w:r w:rsidR="5975EB40" w:rsidRPr="003D49B2">
        <w:rPr>
          <w:noProof/>
          <w:sz w:val="16"/>
          <w:szCs w:val="16"/>
        </w:rPr>
        <w:t>system</w:t>
      </w:r>
      <w:r w:rsidRPr="003D49B2">
        <w:rPr>
          <w:noProof/>
          <w:sz w:val="16"/>
          <w:szCs w:val="16"/>
        </w:rPr>
        <w:t xml:space="preserve"> accessible to </w:t>
      </w:r>
      <w:r w:rsidR="3C79DAF4" w:rsidRPr="003D49B2">
        <w:rPr>
          <w:noProof/>
          <w:sz w:val="16"/>
          <w:szCs w:val="16"/>
        </w:rPr>
        <w:t xml:space="preserve">both </w:t>
      </w:r>
      <w:r w:rsidRPr="003D49B2">
        <w:rPr>
          <w:noProof/>
          <w:sz w:val="16"/>
          <w:szCs w:val="16"/>
        </w:rPr>
        <w:t xml:space="preserve">Member States </w:t>
      </w:r>
      <w:r w:rsidR="07F0BEAA" w:rsidRPr="003D49B2">
        <w:rPr>
          <w:noProof/>
          <w:sz w:val="16"/>
          <w:szCs w:val="16"/>
        </w:rPr>
        <w:t>tax admini</w:t>
      </w:r>
      <w:r w:rsidR="703E9E7C" w:rsidRPr="003D49B2">
        <w:rPr>
          <w:noProof/>
          <w:sz w:val="16"/>
          <w:szCs w:val="16"/>
        </w:rPr>
        <w:t xml:space="preserve">strations </w:t>
      </w:r>
      <w:r w:rsidRPr="003D49B2">
        <w:rPr>
          <w:noProof/>
          <w:sz w:val="16"/>
          <w:szCs w:val="16"/>
        </w:rPr>
        <w:t>and reporting entities</w:t>
      </w:r>
      <w:r w:rsidRPr="003D49B2">
        <w:rPr>
          <w:noProof/>
        </w:rPr>
        <w:t>.</w:t>
      </w:r>
    </w:p>
    <w:p w14:paraId="4CE684C4" w14:textId="77777777" w:rsidR="002D4C56" w:rsidRDefault="300F5F75" w:rsidP="002D4C56">
      <w:pPr>
        <w:pStyle w:val="Heading4"/>
        <w:numPr>
          <w:ilvl w:val="0"/>
          <w:numId w:val="0"/>
        </w:numPr>
        <w:rPr>
          <w:noProof/>
        </w:rPr>
      </w:pPr>
      <w:r w:rsidRPr="642A1276">
        <w:rPr>
          <w:b/>
          <w:noProof/>
        </w:rPr>
        <w:t xml:space="preserve">Policy Option </w:t>
      </w:r>
      <w:r w:rsidR="0F40ABE7" w:rsidRPr="23BAAD8D">
        <w:rPr>
          <w:b/>
          <w:bCs/>
          <w:noProof/>
        </w:rPr>
        <w:t>4</w:t>
      </w:r>
      <w:r w:rsidRPr="23BAAD8D">
        <w:rPr>
          <w:b/>
          <w:bCs/>
          <w:noProof/>
        </w:rPr>
        <w:t>a</w:t>
      </w:r>
      <w:r w:rsidRPr="642A1276">
        <w:rPr>
          <w:b/>
          <w:noProof/>
        </w:rPr>
        <w:t xml:space="preserve"> </w:t>
      </w:r>
      <w:r w:rsidRPr="3A123E5D">
        <w:rPr>
          <w:noProof/>
        </w:rPr>
        <w:t>would introduce a</w:t>
      </w:r>
      <w:r w:rsidR="00CE0C27">
        <w:rPr>
          <w:noProof/>
        </w:rPr>
        <w:t xml:space="preserve"> centralised TIN verification system </w:t>
      </w:r>
      <w:r w:rsidRPr="3A123E5D">
        <w:rPr>
          <w:noProof/>
        </w:rPr>
        <w:t>accessible to the tax administrations of Member States. Th</w:t>
      </w:r>
      <w:r w:rsidR="003D49B2">
        <w:rPr>
          <w:noProof/>
        </w:rPr>
        <w:t>e</w:t>
      </w:r>
      <w:r w:rsidRPr="3A123E5D">
        <w:rPr>
          <w:noProof/>
        </w:rPr>
        <w:t xml:space="preserve"> tool would allow tax administrations to verify whether a reported TIN corresponds to the indicated taxpayer before transmitting information to another Member State.</w:t>
      </w:r>
      <w:r w:rsidR="002D4C56">
        <w:rPr>
          <w:noProof/>
        </w:rPr>
        <w:t xml:space="preserve"> </w:t>
      </w:r>
    </w:p>
    <w:p w14:paraId="3070F3D0" w14:textId="255F3209" w:rsidR="300F5F75" w:rsidRDefault="1BEA2F9A" w:rsidP="002D4C56">
      <w:pPr>
        <w:pStyle w:val="Heading4"/>
        <w:numPr>
          <w:ilvl w:val="0"/>
          <w:numId w:val="0"/>
        </w:numPr>
        <w:rPr>
          <w:noProof/>
        </w:rPr>
      </w:pPr>
      <w:r w:rsidRPr="4321A1A3">
        <w:rPr>
          <w:noProof/>
        </w:rPr>
        <w:t xml:space="preserve">Compared with the baseline scenario, this option is expected to </w:t>
      </w:r>
      <w:r w:rsidR="6CEB91C9" w:rsidRPr="4321A1A3">
        <w:rPr>
          <w:noProof/>
        </w:rPr>
        <w:t xml:space="preserve">improve </w:t>
      </w:r>
      <w:r w:rsidR="3057FDA4" w:rsidRPr="4321A1A3">
        <w:rPr>
          <w:noProof/>
        </w:rPr>
        <w:t xml:space="preserve">the verification of TINs prior to the exchange of information </w:t>
      </w:r>
      <w:r w:rsidR="77B83BF4" w:rsidRPr="4321A1A3">
        <w:rPr>
          <w:noProof/>
        </w:rPr>
        <w:t xml:space="preserve">which </w:t>
      </w:r>
      <w:r w:rsidR="5AF64F3C" w:rsidRPr="4321A1A3">
        <w:rPr>
          <w:noProof/>
        </w:rPr>
        <w:t xml:space="preserve">would, in turn, </w:t>
      </w:r>
      <w:r w:rsidR="3057FDA4" w:rsidRPr="4321A1A3">
        <w:rPr>
          <w:noProof/>
        </w:rPr>
        <w:t xml:space="preserve">reduce the need for post-exchange correction procedures </w:t>
      </w:r>
      <w:r w:rsidR="07BA4D1B" w:rsidRPr="4321A1A3">
        <w:rPr>
          <w:noProof/>
        </w:rPr>
        <w:t xml:space="preserve">and the associated </w:t>
      </w:r>
      <w:r w:rsidR="28DE6CD6" w:rsidRPr="4321A1A3">
        <w:rPr>
          <w:noProof/>
        </w:rPr>
        <w:t>administrative workload</w:t>
      </w:r>
      <w:r w:rsidR="3057FDA4" w:rsidRPr="4321A1A3">
        <w:rPr>
          <w:noProof/>
        </w:rPr>
        <w:t xml:space="preserve">. </w:t>
      </w:r>
      <w:r w:rsidRPr="4321A1A3">
        <w:rPr>
          <w:noProof/>
        </w:rPr>
        <w:t>In particular, the tax administration of the sending Member State would be able to detect inconsistencies between reported TINs and taxpayer identities before the information is exchanged. This would reduce the number of follow-up requests and corrections required after the exchange of information</w:t>
      </w:r>
      <w:r w:rsidR="21CFEBCF" w:rsidRPr="4321A1A3">
        <w:rPr>
          <w:noProof/>
        </w:rPr>
        <w:t>.</w:t>
      </w:r>
      <w:r w:rsidR="002D4C56">
        <w:rPr>
          <w:noProof/>
        </w:rPr>
        <w:t xml:space="preserve"> </w:t>
      </w:r>
      <w:r w:rsidRPr="4321A1A3">
        <w:rPr>
          <w:noProof/>
        </w:rPr>
        <w:t>For the tax administration of the receiving Member State, the receipt of information that has already been verified by the sending Member State would improve the automatic matching of exchanged data with national taxpayer records, thereby reducing the need for manual verification procedures and follow-up actions.</w:t>
      </w:r>
      <w:r w:rsidR="079F5501" w:rsidRPr="4321A1A3">
        <w:rPr>
          <w:noProof/>
        </w:rPr>
        <w:t xml:space="preserve"> </w:t>
      </w:r>
      <w:r w:rsidR="79F3D3A1" w:rsidRPr="4321A1A3">
        <w:rPr>
          <w:noProof/>
        </w:rPr>
        <w:t>Therefore,</w:t>
      </w:r>
      <w:r w:rsidR="420AA54A" w:rsidRPr="4321A1A3">
        <w:rPr>
          <w:noProof/>
        </w:rPr>
        <w:t xml:space="preserve"> when the TIN has been verified</w:t>
      </w:r>
      <w:r w:rsidR="5CFFF217" w:rsidRPr="4321A1A3">
        <w:rPr>
          <w:noProof/>
        </w:rPr>
        <w:t>,</w:t>
      </w:r>
      <w:r w:rsidR="079F5501" w:rsidRPr="4321A1A3">
        <w:rPr>
          <w:noProof/>
        </w:rPr>
        <w:t xml:space="preserve"> tax administrations </w:t>
      </w:r>
      <w:r w:rsidR="2712AECE" w:rsidRPr="4321A1A3">
        <w:rPr>
          <w:noProof/>
        </w:rPr>
        <w:t>can use the information</w:t>
      </w:r>
      <w:r w:rsidR="1E4BA7B3" w:rsidRPr="4321A1A3">
        <w:rPr>
          <w:noProof/>
        </w:rPr>
        <w:t xml:space="preserve"> much</w:t>
      </w:r>
      <w:r w:rsidR="2712AECE" w:rsidRPr="4321A1A3">
        <w:rPr>
          <w:noProof/>
        </w:rPr>
        <w:t xml:space="preserve"> more effectively and efficiently and in a manner that maximises the benefits of the framework. </w:t>
      </w:r>
      <w:r w:rsidR="300F5F75" w:rsidRPr="3A123E5D">
        <w:rPr>
          <w:noProof/>
        </w:rPr>
        <w:t>The administrative burden for reporting entities would not change significantly compared with the baseline scenario, as reporting entities would continue to provide identification information as</w:t>
      </w:r>
      <w:r w:rsidR="001A64AD">
        <w:rPr>
          <w:noProof/>
        </w:rPr>
        <w:t xml:space="preserve"> </w:t>
      </w:r>
      <w:r w:rsidR="300F5F75" w:rsidRPr="3A123E5D">
        <w:rPr>
          <w:noProof/>
        </w:rPr>
        <w:t>currently required under DAC. However, earlier detection of inconsistencies may reduce delays in the overall exchange process.</w:t>
      </w:r>
    </w:p>
    <w:p w14:paraId="3958E82E" w14:textId="11327898" w:rsidR="002A0ED4" w:rsidRPr="002A0ED4" w:rsidRDefault="1BEA2F9A" w:rsidP="4321A1A3">
      <w:pPr>
        <w:spacing w:before="240"/>
        <w:rPr>
          <w:rFonts w:eastAsia="Times New Roman"/>
          <w:noProof/>
        </w:rPr>
      </w:pPr>
      <w:r w:rsidRPr="4321A1A3">
        <w:rPr>
          <w:rFonts w:eastAsia="Times New Roman"/>
          <w:noProof/>
        </w:rPr>
        <w:t xml:space="preserve">The implementation of this option would entail initial development and recurrent operational costs </w:t>
      </w:r>
      <w:r w:rsidR="00FB4B45" w:rsidRPr="4321A1A3">
        <w:rPr>
          <w:rFonts w:eastAsia="Times New Roman"/>
          <w:noProof/>
        </w:rPr>
        <w:t xml:space="preserve">for </w:t>
      </w:r>
      <w:r w:rsidRPr="4321A1A3">
        <w:rPr>
          <w:rFonts w:eastAsia="Times New Roman"/>
          <w:noProof/>
        </w:rPr>
        <w:t>the Commission</w:t>
      </w:r>
      <w:r w:rsidR="20247859" w:rsidRPr="4321A1A3">
        <w:rPr>
          <w:rFonts w:eastAsia="Times New Roman"/>
          <w:noProof/>
        </w:rPr>
        <w:t>,</w:t>
      </w:r>
      <w:r w:rsidRPr="4321A1A3">
        <w:rPr>
          <w:rFonts w:eastAsia="Times New Roman"/>
          <w:noProof/>
        </w:rPr>
        <w:t xml:space="preserve"> related to the creation and maintenance of the </w:t>
      </w:r>
      <w:r w:rsidR="54DCAE46" w:rsidRPr="4321A1A3">
        <w:rPr>
          <w:rFonts w:eastAsia="Times New Roman"/>
          <w:noProof/>
        </w:rPr>
        <w:t xml:space="preserve">centralised TIN </w:t>
      </w:r>
      <w:r w:rsidRPr="4321A1A3">
        <w:rPr>
          <w:rFonts w:eastAsia="Times New Roman"/>
          <w:noProof/>
        </w:rPr>
        <w:t>verification system</w:t>
      </w:r>
      <w:r w:rsidR="5B3AE37C" w:rsidRPr="4321A1A3">
        <w:rPr>
          <w:rFonts w:eastAsia="Times New Roman"/>
          <w:noProof/>
        </w:rPr>
        <w:t>,</w:t>
      </w:r>
      <w:r w:rsidR="3ED63257" w:rsidRPr="4321A1A3">
        <w:rPr>
          <w:rFonts w:eastAsia="Times New Roman"/>
          <w:noProof/>
        </w:rPr>
        <w:t xml:space="preserve"> and </w:t>
      </w:r>
      <w:r w:rsidR="7A2414B6" w:rsidRPr="4321A1A3">
        <w:rPr>
          <w:rFonts w:eastAsia="Times New Roman"/>
          <w:noProof/>
        </w:rPr>
        <w:t>for Member States’ tax administrations</w:t>
      </w:r>
      <w:r w:rsidR="1E474DAE" w:rsidRPr="4321A1A3">
        <w:rPr>
          <w:rFonts w:eastAsia="Times New Roman"/>
          <w:noProof/>
        </w:rPr>
        <w:t>, related to</w:t>
      </w:r>
      <w:r w:rsidR="5ED3170A" w:rsidRPr="4321A1A3">
        <w:rPr>
          <w:rFonts w:eastAsia="Times New Roman"/>
          <w:noProof/>
        </w:rPr>
        <w:t xml:space="preserve"> the development of national access points and the integration with the central system.</w:t>
      </w:r>
      <w:r w:rsidR="00DD74A0">
        <w:rPr>
          <w:rFonts w:eastAsia="Times New Roman"/>
          <w:noProof/>
        </w:rPr>
        <w:t xml:space="preserve"> </w:t>
      </w:r>
      <w:r w:rsidR="756D3C56" w:rsidRPr="4321A1A3">
        <w:rPr>
          <w:rFonts w:eastAsia="Times New Roman"/>
          <w:noProof/>
        </w:rPr>
        <w:t xml:space="preserve">At EU level, the development of the central component, including IT infrastructure, common specifications and training, is estimated to generate one-off costs in the range of approximately EUR 0.5 million to EUR 0.9 million. In addition, recurrent operational, maintenance and technical assistance costs are expected to amount to around EUR 0.6 million per </w:t>
      </w:r>
      <w:r w:rsidR="756D3C56" w:rsidRPr="002A0ED4">
        <w:rPr>
          <w:rFonts w:eastAsia="Times New Roman"/>
          <w:noProof/>
        </w:rPr>
        <w:t>year</w:t>
      </w:r>
      <w:r w:rsidR="004A7F7D">
        <w:rPr>
          <w:rStyle w:val="FootnoteReference"/>
          <w:rFonts w:eastAsia="Times New Roman"/>
          <w:noProof/>
        </w:rPr>
        <w:footnoteReference w:id="68"/>
      </w:r>
      <w:r w:rsidR="756D3C56" w:rsidRPr="4321A1A3">
        <w:rPr>
          <w:rFonts w:eastAsia="Times New Roman"/>
          <w:noProof/>
        </w:rPr>
        <w:t>.</w:t>
      </w:r>
    </w:p>
    <w:p w14:paraId="3AC61E46" w14:textId="0BA4AAEB" w:rsidR="003C3346" w:rsidRDefault="756D3C56" w:rsidP="002A0ED4">
      <w:pPr>
        <w:spacing w:before="240"/>
        <w:rPr>
          <w:rFonts w:eastAsia="Times New Roman"/>
          <w:noProof/>
        </w:rPr>
      </w:pPr>
      <w:r w:rsidRPr="4321A1A3">
        <w:rPr>
          <w:rFonts w:eastAsia="Times New Roman"/>
          <w:noProof/>
        </w:rPr>
        <w:t xml:space="preserve">At national level, tax administrations would incur one-off costs related to the development of national access points and integration with the central system. These costs are estimated at approximately EUR 11 million across the EU. Recurrent costs would include both system maintenance and administrative costs associated with the validation of TINs. Maintenance costs are estimated at around EUR 1.4 to 2 million annually across Member States. In addition, the administrative burden linked to TIN validation activities, including the handling of mismatches and follow-up procedures, is </w:t>
      </w:r>
      <w:r w:rsidR="00DD74A0">
        <w:rPr>
          <w:rFonts w:eastAsia="Times New Roman"/>
          <w:noProof/>
        </w:rPr>
        <w:t xml:space="preserve">not expected to exceed </w:t>
      </w:r>
      <w:r w:rsidRPr="4321A1A3">
        <w:rPr>
          <w:rFonts w:eastAsia="Times New Roman"/>
          <w:noProof/>
        </w:rPr>
        <w:t xml:space="preserve">EUR 10 million per year at EU level. While tax administrations would need to process a large volume of TIN validations, a high degree of automation and economies of scale are expected to </w:t>
      </w:r>
      <w:r w:rsidR="67D30C87" w:rsidRPr="4321A1A3">
        <w:rPr>
          <w:rFonts w:eastAsia="Times New Roman"/>
          <w:noProof/>
        </w:rPr>
        <w:t xml:space="preserve">significantly </w:t>
      </w:r>
      <w:r w:rsidRPr="4321A1A3">
        <w:rPr>
          <w:rFonts w:eastAsia="Times New Roman"/>
          <w:noProof/>
        </w:rPr>
        <w:t>limit the marginal cost of processing additional records.</w:t>
      </w:r>
      <w:r w:rsidR="00DD74A0">
        <w:rPr>
          <w:rFonts w:eastAsia="Times New Roman"/>
          <w:noProof/>
        </w:rPr>
        <w:t xml:space="preserve"> </w:t>
      </w:r>
      <w:r w:rsidRPr="4321A1A3">
        <w:rPr>
          <w:rFonts w:eastAsia="Times New Roman"/>
          <w:noProof/>
        </w:rPr>
        <w:t>No significant additional costs are expected for reporting entities under this option, as the responsibility for TIN verification would remain entirely with tax administrations.</w:t>
      </w:r>
    </w:p>
    <w:p w14:paraId="661BEBFB" w14:textId="28BFC1A1" w:rsidR="300F5F75" w:rsidRDefault="300F5F75" w:rsidP="00E27A1A">
      <w:pPr>
        <w:pStyle w:val="Heading4"/>
        <w:numPr>
          <w:ilvl w:val="0"/>
          <w:numId w:val="0"/>
        </w:numPr>
        <w:rPr>
          <w:noProof/>
        </w:rPr>
      </w:pPr>
      <w:r w:rsidRPr="642A1276">
        <w:rPr>
          <w:b/>
          <w:noProof/>
        </w:rPr>
        <w:t xml:space="preserve">Policy Option </w:t>
      </w:r>
      <w:r w:rsidR="34DBAE59" w:rsidRPr="0B688FD4">
        <w:rPr>
          <w:b/>
          <w:bCs/>
          <w:noProof/>
        </w:rPr>
        <w:t>4</w:t>
      </w:r>
      <w:r w:rsidRPr="0B688FD4">
        <w:rPr>
          <w:b/>
          <w:bCs/>
          <w:noProof/>
        </w:rPr>
        <w:t>b</w:t>
      </w:r>
      <w:r w:rsidRPr="642A1276">
        <w:rPr>
          <w:b/>
          <w:noProof/>
        </w:rPr>
        <w:t xml:space="preserve"> </w:t>
      </w:r>
      <w:r w:rsidR="1BEA2F9A">
        <w:rPr>
          <w:noProof/>
        </w:rPr>
        <w:t xml:space="preserve">would extend access to the </w:t>
      </w:r>
      <w:r w:rsidR="4708EF4C">
        <w:rPr>
          <w:noProof/>
        </w:rPr>
        <w:t xml:space="preserve">centralised TIN </w:t>
      </w:r>
      <w:r w:rsidR="1BEA2F9A">
        <w:rPr>
          <w:noProof/>
        </w:rPr>
        <w:t xml:space="preserve">verification </w:t>
      </w:r>
      <w:r w:rsidR="4708EF4C">
        <w:rPr>
          <w:noProof/>
        </w:rPr>
        <w:t xml:space="preserve">system </w:t>
      </w:r>
      <w:r w:rsidR="1BEA2F9A">
        <w:rPr>
          <w:noProof/>
        </w:rPr>
        <w:t>to reporting entities</w:t>
      </w:r>
      <w:r w:rsidR="2433A702">
        <w:rPr>
          <w:noProof/>
        </w:rPr>
        <w:t xml:space="preserve">. </w:t>
      </w:r>
      <w:r w:rsidR="1BEA2F9A">
        <w:rPr>
          <w:noProof/>
        </w:rPr>
        <w:t>Under this option, reporting entities would</w:t>
      </w:r>
      <w:r w:rsidR="22F65571">
        <w:rPr>
          <w:noProof/>
        </w:rPr>
        <w:t xml:space="preserve">, on a voluntary basis, </w:t>
      </w:r>
      <w:r w:rsidR="1BEA2F9A">
        <w:rPr>
          <w:noProof/>
        </w:rPr>
        <w:t>be able to verify whether a collected TIN corresponds to the indicated taxpayer before submitting information to the tax authority of the sending Member State.</w:t>
      </w:r>
    </w:p>
    <w:p w14:paraId="4190D072" w14:textId="21AC0547" w:rsidR="300F5F75" w:rsidRDefault="1257DBA0" w:rsidP="00D7088D">
      <w:pPr>
        <w:rPr>
          <w:rFonts w:eastAsia="Times New Roman"/>
          <w:noProof/>
        </w:rPr>
      </w:pPr>
      <w:r w:rsidRPr="4321A1A3">
        <w:rPr>
          <w:rFonts w:eastAsia="Times New Roman"/>
          <w:noProof/>
        </w:rPr>
        <w:t xml:space="preserve">This </w:t>
      </w:r>
      <w:r w:rsidR="1BEA2F9A" w:rsidRPr="4321A1A3">
        <w:rPr>
          <w:rFonts w:eastAsia="Times New Roman"/>
          <w:noProof/>
        </w:rPr>
        <w:t xml:space="preserve">option is expected to further improve the quality and reliability of information transmitted under DAC, as </w:t>
      </w:r>
      <w:r w:rsidR="70F06C16" w:rsidRPr="4321A1A3">
        <w:rPr>
          <w:rFonts w:eastAsia="Times New Roman"/>
          <w:noProof/>
        </w:rPr>
        <w:t>inaccuracies</w:t>
      </w:r>
      <w:r w:rsidR="1BEA2F9A" w:rsidRPr="4321A1A3">
        <w:rPr>
          <w:rFonts w:eastAsia="Times New Roman"/>
          <w:noProof/>
        </w:rPr>
        <w:t xml:space="preserve"> could be detected and corrected </w:t>
      </w:r>
      <w:r w:rsidR="144AE8E8" w:rsidRPr="4321A1A3">
        <w:rPr>
          <w:rFonts w:eastAsia="Times New Roman"/>
          <w:noProof/>
        </w:rPr>
        <w:t xml:space="preserve">directly </w:t>
      </w:r>
      <w:r w:rsidR="1BEA2F9A" w:rsidRPr="4321A1A3">
        <w:rPr>
          <w:rFonts w:eastAsia="Times New Roman"/>
          <w:noProof/>
        </w:rPr>
        <w:t xml:space="preserve">at source. Reporting entities would be able to identify incorrect or incomplete TIN information before submitting reports, thereby </w:t>
      </w:r>
      <w:r w:rsidR="5868D0E7" w:rsidRPr="4321A1A3">
        <w:rPr>
          <w:rFonts w:eastAsia="Times New Roman"/>
          <w:noProof/>
        </w:rPr>
        <w:t xml:space="preserve">significantly </w:t>
      </w:r>
      <w:r w:rsidR="1BEA2F9A" w:rsidRPr="4321A1A3">
        <w:rPr>
          <w:rFonts w:eastAsia="Times New Roman"/>
          <w:noProof/>
        </w:rPr>
        <w:t>reducing the number of correction requests initiated by tax administrations.</w:t>
      </w:r>
      <w:r w:rsidR="00D7088D">
        <w:rPr>
          <w:rFonts w:eastAsia="Times New Roman"/>
          <w:noProof/>
        </w:rPr>
        <w:t xml:space="preserve"> </w:t>
      </w:r>
      <w:r w:rsidR="6908647E" w:rsidRPr="4321A1A3">
        <w:rPr>
          <w:rFonts w:eastAsia="Times New Roman"/>
          <w:noProof/>
        </w:rPr>
        <w:t>In addition, t</w:t>
      </w:r>
      <w:r w:rsidR="1BEA2F9A" w:rsidRPr="4321A1A3">
        <w:rPr>
          <w:rFonts w:eastAsia="Times New Roman"/>
          <w:noProof/>
        </w:rPr>
        <w:t xml:space="preserve">his option </w:t>
      </w:r>
      <w:r w:rsidR="122C4D06" w:rsidRPr="4321A1A3">
        <w:rPr>
          <w:rFonts w:eastAsia="Times New Roman"/>
          <w:noProof/>
        </w:rPr>
        <w:t>will</w:t>
      </w:r>
      <w:r w:rsidR="1BEA2F9A" w:rsidRPr="4321A1A3">
        <w:rPr>
          <w:rFonts w:eastAsia="Times New Roman"/>
          <w:noProof/>
        </w:rPr>
        <w:t xml:space="preserve"> reduce the need for reporting entities to collect and report additional identification information, such as date of birth or other supplementary identifiers, which are used by tax administrations to compensate for missing or inaccurate TINs. By allowing reporting entities to confirm the validity of TINs at the point of reporting, this option </w:t>
      </w:r>
      <w:r w:rsidR="0BAA4CA5" w:rsidRPr="4321A1A3">
        <w:rPr>
          <w:rFonts w:eastAsia="Times New Roman"/>
          <w:noProof/>
        </w:rPr>
        <w:t>will</w:t>
      </w:r>
      <w:r w:rsidR="1BEA2F9A" w:rsidRPr="4321A1A3">
        <w:rPr>
          <w:rFonts w:eastAsia="Times New Roman"/>
          <w:noProof/>
        </w:rPr>
        <w:t xml:space="preserve"> simplify data collection requirements and generate administrative savings for reporting entities over time</w:t>
      </w:r>
      <w:r w:rsidR="1CE6E0B3" w:rsidRPr="4321A1A3">
        <w:rPr>
          <w:rFonts w:eastAsia="Times New Roman"/>
          <w:noProof/>
        </w:rPr>
        <w:t xml:space="preserve"> from a reduction of data collection points (e.g. date of birth).</w:t>
      </w:r>
      <w:r w:rsidR="156C4FEA" w:rsidRPr="4321A1A3">
        <w:rPr>
          <w:rFonts w:eastAsia="Times New Roman"/>
          <w:noProof/>
        </w:rPr>
        <w:t xml:space="preserve"> While these administrative savings are expected to be significant, they cannot be quantified</w:t>
      </w:r>
      <w:r w:rsidR="1BEA2F9A" w:rsidRPr="4321A1A3">
        <w:rPr>
          <w:rFonts w:eastAsia="Times New Roman"/>
          <w:noProof/>
        </w:rPr>
        <w:t>.</w:t>
      </w:r>
    </w:p>
    <w:p w14:paraId="11A5CA65" w14:textId="2DC66D9E" w:rsidR="300F5F75" w:rsidRDefault="2BD88B16" w:rsidP="4321A1A3">
      <w:pPr>
        <w:spacing w:before="240"/>
        <w:rPr>
          <w:rFonts w:eastAsia="Times New Roman"/>
          <w:noProof/>
        </w:rPr>
      </w:pPr>
      <w:r w:rsidRPr="4321A1A3">
        <w:rPr>
          <w:rFonts w:eastAsia="Times New Roman"/>
          <w:noProof/>
        </w:rPr>
        <w:t xml:space="preserve">Similar to </w:t>
      </w:r>
      <w:r w:rsidR="66AD9AEE" w:rsidRPr="00DD74A0">
        <w:rPr>
          <w:rFonts w:eastAsia="Times New Roman"/>
          <w:b/>
          <w:bCs/>
          <w:noProof/>
        </w:rPr>
        <w:t>Policy Option 4a</w:t>
      </w:r>
      <w:r w:rsidRPr="4321A1A3">
        <w:rPr>
          <w:rFonts w:eastAsia="Times New Roman"/>
          <w:noProof/>
        </w:rPr>
        <w:t xml:space="preserve"> </w:t>
      </w:r>
      <w:r w:rsidR="00DD74A0" w:rsidRPr="4321A1A3">
        <w:rPr>
          <w:rFonts w:eastAsia="Times New Roman"/>
          <w:noProof/>
        </w:rPr>
        <w:t>for tax</w:t>
      </w:r>
      <w:r w:rsidR="1BEA2F9A" w:rsidRPr="4321A1A3">
        <w:rPr>
          <w:rFonts w:eastAsia="Times New Roman"/>
          <w:noProof/>
        </w:rPr>
        <w:t xml:space="preserve"> administrations in both the sending and receiving Member States, this option is expected to further increase automatic matching rates, reduce manual validation procedures and improve the efficiency of information exchange and risk analysis</w:t>
      </w:r>
      <w:r w:rsidR="50B8BB6D" w:rsidRPr="4321A1A3">
        <w:rPr>
          <w:rFonts w:eastAsia="Times New Roman"/>
          <w:noProof/>
        </w:rPr>
        <w:t xml:space="preserve"> in a manner that maximises the benefits of the framework. </w:t>
      </w:r>
      <w:r w:rsidR="1BEA2F9A" w:rsidRPr="4321A1A3">
        <w:rPr>
          <w:rFonts w:eastAsia="Times New Roman"/>
          <w:noProof/>
        </w:rPr>
        <w:t>Extending access to the verification tool w</w:t>
      </w:r>
      <w:r w:rsidR="2C15A4A5" w:rsidRPr="4321A1A3">
        <w:rPr>
          <w:rFonts w:eastAsia="Times New Roman"/>
          <w:noProof/>
        </w:rPr>
        <w:t>ill</w:t>
      </w:r>
      <w:r w:rsidR="1BEA2F9A" w:rsidRPr="4321A1A3">
        <w:rPr>
          <w:rFonts w:eastAsia="Times New Roman"/>
          <w:noProof/>
        </w:rPr>
        <w:t xml:space="preserve"> require additional system development and access arrangements, and reporting entities may need to adapt </w:t>
      </w:r>
      <w:r w:rsidR="12032255" w:rsidRPr="4321A1A3">
        <w:rPr>
          <w:rFonts w:eastAsia="Times New Roman"/>
          <w:noProof/>
        </w:rPr>
        <w:t xml:space="preserve">their </w:t>
      </w:r>
      <w:r w:rsidR="1BEA2F9A" w:rsidRPr="4321A1A3">
        <w:rPr>
          <w:rFonts w:eastAsia="Times New Roman"/>
          <w:noProof/>
        </w:rPr>
        <w:t xml:space="preserve">internal systems and processes in order to use the tool. These adjustments </w:t>
      </w:r>
      <w:r w:rsidR="581CC36E" w:rsidRPr="4321A1A3">
        <w:rPr>
          <w:rFonts w:eastAsia="Times New Roman"/>
          <w:noProof/>
        </w:rPr>
        <w:t>will</w:t>
      </w:r>
      <w:r w:rsidR="1BEA2F9A" w:rsidRPr="4321A1A3">
        <w:rPr>
          <w:rFonts w:eastAsia="Times New Roman"/>
          <w:noProof/>
        </w:rPr>
        <w:t xml:space="preserve"> generate </w:t>
      </w:r>
      <w:r w:rsidR="020AE2BE" w:rsidRPr="4321A1A3">
        <w:rPr>
          <w:rFonts w:eastAsia="Times New Roman"/>
          <w:noProof/>
        </w:rPr>
        <w:t>adjustment</w:t>
      </w:r>
      <w:r w:rsidR="1BEA2F9A" w:rsidRPr="4321A1A3">
        <w:rPr>
          <w:rFonts w:eastAsia="Times New Roman"/>
          <w:noProof/>
        </w:rPr>
        <w:t xml:space="preserve"> costs for reporting entities, although these costs may be partly offset over time by reductions in correction requests and compliance risks linked to incorrect </w:t>
      </w:r>
      <w:r w:rsidR="10E8C32E" w:rsidRPr="4321A1A3">
        <w:rPr>
          <w:rFonts w:eastAsia="Times New Roman"/>
          <w:noProof/>
        </w:rPr>
        <w:t xml:space="preserve">reporting of the </w:t>
      </w:r>
      <w:r w:rsidR="1BEA2F9A" w:rsidRPr="4321A1A3">
        <w:rPr>
          <w:rFonts w:eastAsia="Times New Roman"/>
          <w:noProof/>
        </w:rPr>
        <w:t>TIN</w:t>
      </w:r>
      <w:r w:rsidR="5EDAE0A5" w:rsidRPr="4321A1A3">
        <w:rPr>
          <w:rFonts w:eastAsia="Times New Roman"/>
          <w:noProof/>
        </w:rPr>
        <w:t>.</w:t>
      </w:r>
    </w:p>
    <w:p w14:paraId="49F2FDC4" w14:textId="00883795" w:rsidR="00DD74A0" w:rsidRDefault="341CA5CD" w:rsidP="4321A1A3">
      <w:pPr>
        <w:spacing w:before="240"/>
        <w:rPr>
          <w:rFonts w:eastAsia="Times New Roman"/>
          <w:noProof/>
        </w:rPr>
      </w:pPr>
      <w:r w:rsidRPr="00DD74A0">
        <w:rPr>
          <w:rFonts w:eastAsia="Times New Roman"/>
          <w:b/>
          <w:bCs/>
          <w:noProof/>
        </w:rPr>
        <w:t>Under Policy Option 4b</w:t>
      </w:r>
      <w:r w:rsidR="00DD74A0">
        <w:rPr>
          <w:rFonts w:eastAsia="Times New Roman"/>
          <w:b/>
          <w:bCs/>
          <w:noProof/>
        </w:rPr>
        <w:t xml:space="preserve"> </w:t>
      </w:r>
      <w:r w:rsidRPr="4321A1A3">
        <w:rPr>
          <w:rFonts w:eastAsia="Times New Roman"/>
          <w:noProof/>
        </w:rPr>
        <w:t>the main costs arise from extending access to the centralised TIN verification system to reporting entities</w:t>
      </w:r>
      <w:r w:rsidR="46587405" w:rsidRPr="4321A1A3">
        <w:rPr>
          <w:rFonts w:eastAsia="Times New Roman"/>
          <w:noProof/>
        </w:rPr>
        <w:t>.</w:t>
      </w:r>
      <w:r w:rsidRPr="4321A1A3">
        <w:rPr>
          <w:rFonts w:eastAsia="Times New Roman"/>
          <w:noProof/>
        </w:rPr>
        <w:t xml:space="preserve">  At EU level, one-off costs would arise for developing the central component of the system, drafting common specifications and access rules, and training tax administrations. These one-off costs are estimated at approximately EUR 1.0 to 1.8 million in total. In addition, recurrent EU-level IT costs for infrastructure, operations, maintenance and technical support are estimated at around EUR 1.8 to 2.4 million per year. These costs </w:t>
      </w:r>
      <w:r w:rsidR="00DD74A0" w:rsidRPr="4321A1A3">
        <w:rPr>
          <w:rFonts w:eastAsia="Times New Roman"/>
          <w:noProof/>
        </w:rPr>
        <w:t>are higher</w:t>
      </w:r>
      <w:r w:rsidRPr="4321A1A3">
        <w:rPr>
          <w:rFonts w:eastAsia="Times New Roman"/>
          <w:noProof/>
        </w:rPr>
        <w:t xml:space="preserve"> than under the tax-administration</w:t>
      </w:r>
      <w:r w:rsidR="7A77E1B5" w:rsidRPr="4321A1A3">
        <w:rPr>
          <w:rFonts w:eastAsia="Times New Roman"/>
          <w:noProof/>
        </w:rPr>
        <w:t xml:space="preserve"> </w:t>
      </w:r>
      <w:r w:rsidRPr="4321A1A3">
        <w:rPr>
          <w:rFonts w:eastAsia="Times New Roman"/>
          <w:noProof/>
        </w:rPr>
        <w:t xml:space="preserve">only option because the system </w:t>
      </w:r>
      <w:r w:rsidR="39607193" w:rsidRPr="4321A1A3">
        <w:rPr>
          <w:rFonts w:eastAsia="Times New Roman"/>
          <w:noProof/>
        </w:rPr>
        <w:t xml:space="preserve">development </w:t>
      </w:r>
      <w:r w:rsidRPr="4321A1A3">
        <w:rPr>
          <w:rFonts w:eastAsia="Times New Roman"/>
          <w:noProof/>
        </w:rPr>
        <w:t>would need to accommodate access by a potentially very large number of private users</w:t>
      </w:r>
      <w:r w:rsidR="3C32D4E0" w:rsidRPr="4321A1A3">
        <w:rPr>
          <w:rFonts w:eastAsia="Times New Roman"/>
          <w:noProof/>
        </w:rPr>
        <w:t>.</w:t>
      </w:r>
      <w:r w:rsidR="483817B4" w:rsidRPr="4321A1A3">
        <w:rPr>
          <w:rFonts w:eastAsia="Times New Roman"/>
          <w:noProof/>
        </w:rPr>
        <w:t xml:space="preserve"> </w:t>
      </w:r>
      <w:r w:rsidRPr="4321A1A3">
        <w:rPr>
          <w:rFonts w:eastAsia="Times New Roman"/>
          <w:noProof/>
        </w:rPr>
        <w:t>At national level, tax administrations would incur one-off costs related to the development of national access points, system integration and the implementation of access management arrangements for reporting entities. These one-off costs are estimated at around EUR 15 to 25 million across the EU. Recurrent national IT costs, including maintenance of national access points and user support, are estimated at approximately EUR 4.5 to 12 million per year EU-wide.</w:t>
      </w:r>
    </w:p>
    <w:p w14:paraId="2A7A1DD6" w14:textId="69A04529" w:rsidR="3DC842CB" w:rsidRDefault="3DC842CB" w:rsidP="4321A1A3">
      <w:pPr>
        <w:spacing w:before="240"/>
        <w:rPr>
          <w:rFonts w:eastAsia="Times New Roman"/>
          <w:noProof/>
        </w:rPr>
      </w:pPr>
      <w:r w:rsidRPr="002D4C56">
        <w:rPr>
          <w:rFonts w:eastAsia="Times New Roman"/>
          <w:noProof/>
        </w:rPr>
        <w:t xml:space="preserve">For reporting entities, access to the validation tool would be entirely voluntary and therefore would not give rise to mandatory compliance costs. While </w:t>
      </w:r>
      <w:r w:rsidR="00BC14EF">
        <w:rPr>
          <w:rFonts w:eastAsia="Times New Roman"/>
          <w:noProof/>
        </w:rPr>
        <w:t>companies</w:t>
      </w:r>
      <w:r w:rsidRPr="002D4C56">
        <w:rPr>
          <w:rFonts w:eastAsia="Times New Roman"/>
          <w:noProof/>
        </w:rPr>
        <w:t xml:space="preserve"> choosing to use the tool may incur certain adjustment and operational costs (e.g. related to IT integration and process adaptation), these would be offset, at least in part, by reductions in other data collection and verification requirements, such as the need to obtain and report additional identifiers (e.g. date of birth or address) to compensate for missing or inaccurate TINs. Given the voluntary nature of the measure and the interplay between additional costs and </w:t>
      </w:r>
      <w:r w:rsidR="07D8D338" w:rsidRPr="002D4C56">
        <w:rPr>
          <w:rFonts w:eastAsia="Times New Roman"/>
          <w:noProof/>
        </w:rPr>
        <w:t xml:space="preserve">expected </w:t>
      </w:r>
      <w:r w:rsidRPr="002D4C56">
        <w:rPr>
          <w:rFonts w:eastAsia="Times New Roman"/>
          <w:noProof/>
        </w:rPr>
        <w:t>savings, it is not possible to derive a robust ex ante estimate of the net cost impact for reporting entities.</w:t>
      </w:r>
      <w:r w:rsidR="5D586A35" w:rsidRPr="002D4C56">
        <w:rPr>
          <w:rFonts w:eastAsia="Times New Roman"/>
          <w:noProof/>
        </w:rPr>
        <w:t xml:space="preserve"> </w:t>
      </w:r>
      <w:r w:rsidR="1983614F" w:rsidRPr="4321A1A3">
        <w:rPr>
          <w:rFonts w:eastAsia="Times New Roman"/>
          <w:noProof/>
        </w:rPr>
        <w:t xml:space="preserve">Overall, while upfront costs are expected, the measure is </w:t>
      </w:r>
      <w:r w:rsidR="00DD74A0" w:rsidRPr="4321A1A3">
        <w:rPr>
          <w:rFonts w:eastAsia="Times New Roman"/>
          <w:noProof/>
        </w:rPr>
        <w:t>expected to</w:t>
      </w:r>
      <w:r w:rsidR="1983614F" w:rsidRPr="4321A1A3">
        <w:rPr>
          <w:rFonts w:eastAsia="Times New Roman"/>
          <w:noProof/>
        </w:rPr>
        <w:t xml:space="preserve"> deliver net administrative </w:t>
      </w:r>
      <w:r w:rsidR="00D577E1">
        <w:rPr>
          <w:rFonts w:eastAsia="Times New Roman"/>
          <w:noProof/>
        </w:rPr>
        <w:t>savings</w:t>
      </w:r>
      <w:r w:rsidR="1983614F" w:rsidRPr="4321A1A3">
        <w:rPr>
          <w:rFonts w:eastAsia="Times New Roman"/>
          <w:noProof/>
        </w:rPr>
        <w:t xml:space="preserve"> over time through improved data quality</w:t>
      </w:r>
      <w:r w:rsidR="56452DEE" w:rsidRPr="4321A1A3">
        <w:rPr>
          <w:rFonts w:eastAsia="Times New Roman"/>
          <w:noProof/>
        </w:rPr>
        <w:t xml:space="preserve">, and use of information </w:t>
      </w:r>
      <w:r w:rsidR="1983614F" w:rsidRPr="4321A1A3">
        <w:rPr>
          <w:rFonts w:eastAsia="Times New Roman"/>
          <w:noProof/>
        </w:rPr>
        <w:t xml:space="preserve">and reduced correction and validation efforts, although the precise magnitude of these effects cannot be quantified at this stage. </w:t>
      </w:r>
    </w:p>
    <w:p w14:paraId="084C8811" w14:textId="13D76D80" w:rsidR="000218D5" w:rsidRDefault="29654ED1" w:rsidP="4321A1A3">
      <w:pPr>
        <w:spacing w:before="240"/>
        <w:rPr>
          <w:rFonts w:eastAsia="Times New Roman"/>
          <w:noProof/>
        </w:rPr>
      </w:pPr>
      <w:r w:rsidRPr="4321A1A3">
        <w:rPr>
          <w:rFonts w:eastAsia="Times New Roman"/>
          <w:noProof/>
        </w:rPr>
        <w:t>The</w:t>
      </w:r>
      <w:r w:rsidR="19848A8F" w:rsidRPr="4321A1A3">
        <w:rPr>
          <w:rFonts w:eastAsia="Times New Roman"/>
          <w:noProof/>
        </w:rPr>
        <w:t xml:space="preserve"> </w:t>
      </w:r>
      <w:r w:rsidRPr="4321A1A3">
        <w:rPr>
          <w:rFonts w:eastAsia="Times New Roman"/>
          <w:noProof/>
        </w:rPr>
        <w:t xml:space="preserve">cost estimates </w:t>
      </w:r>
      <w:r w:rsidR="535C874F" w:rsidRPr="4321A1A3">
        <w:rPr>
          <w:rFonts w:eastAsia="Times New Roman"/>
          <w:noProof/>
        </w:rPr>
        <w:t xml:space="preserve">of both </w:t>
      </w:r>
      <w:r w:rsidR="535C874F" w:rsidRPr="002D4C56">
        <w:rPr>
          <w:rFonts w:eastAsia="Times New Roman"/>
          <w:b/>
          <w:bCs/>
          <w:noProof/>
        </w:rPr>
        <w:t>Policy Option 4a</w:t>
      </w:r>
      <w:r w:rsidR="535C874F" w:rsidRPr="4321A1A3">
        <w:rPr>
          <w:rFonts w:eastAsia="Times New Roman"/>
          <w:noProof/>
        </w:rPr>
        <w:t xml:space="preserve"> and </w:t>
      </w:r>
      <w:r w:rsidR="535C874F" w:rsidRPr="002D4C56">
        <w:rPr>
          <w:rFonts w:eastAsia="Times New Roman"/>
          <w:b/>
          <w:bCs/>
          <w:noProof/>
        </w:rPr>
        <w:t>4b</w:t>
      </w:r>
      <w:r w:rsidR="535C874F" w:rsidRPr="4321A1A3">
        <w:rPr>
          <w:rFonts w:eastAsia="Times New Roman"/>
          <w:noProof/>
        </w:rPr>
        <w:t xml:space="preserve"> </w:t>
      </w:r>
      <w:r w:rsidRPr="4321A1A3">
        <w:rPr>
          <w:rFonts w:eastAsia="Times New Roman"/>
          <w:noProof/>
        </w:rPr>
        <w:t xml:space="preserve">should be assessed against the </w:t>
      </w:r>
      <w:r w:rsidRPr="4321A1A3">
        <w:rPr>
          <w:rFonts w:eastAsia="Times New Roman"/>
          <w:b/>
          <w:bCs/>
          <w:noProof/>
        </w:rPr>
        <w:t>costs of alternative approaches</w:t>
      </w:r>
      <w:r w:rsidRPr="4321A1A3">
        <w:rPr>
          <w:rFonts w:eastAsia="Times New Roman"/>
          <w:noProof/>
        </w:rPr>
        <w:t xml:space="preserve"> that would achieve a comparable level of TIN matching in the absence of ex ante validation. In particular, under the current system, inconsistencies in TIN data are often identified only after the exchange of information, requiring follow-up procedures between Member States and reporting entities. According to DAC2 statistics, approximately 64 million financial accounts were reported in 2024, of which around 73% (i.e. approximately 47 million accounts) included a TIN that would be subject to validation. Assuming that 10% to 20% of these records require follow-up, this would correspond to approximately 4.7 to 9.4 million cases across the EU. In practice, this implies that, following an initial automatic matching exercise, the receiving Member State requests clarification from the sending Member State, which in turn must contact the reporting entity to verify or complete the information. These processes often involve multiple jurisdictions and require manual, case-by-case handling.</w:t>
      </w:r>
      <w:r w:rsidR="002D4C56">
        <w:rPr>
          <w:rFonts w:eastAsia="Times New Roman"/>
          <w:noProof/>
        </w:rPr>
        <w:t xml:space="preserve"> </w:t>
      </w:r>
      <w:r w:rsidRPr="4321A1A3">
        <w:rPr>
          <w:rFonts w:eastAsia="Times New Roman"/>
          <w:noProof/>
        </w:rPr>
        <w:t xml:space="preserve">Assuming that around 1 million such cases arise annually and that resolving each case requires approximately </w:t>
      </w:r>
      <w:r w:rsidR="0B7CEBBA" w:rsidRPr="002D4C56">
        <w:rPr>
          <w:rFonts w:eastAsia="Times New Roman"/>
          <w:noProof/>
        </w:rPr>
        <w:t xml:space="preserve">1.5 </w:t>
      </w:r>
      <w:r w:rsidRPr="002D4C56">
        <w:rPr>
          <w:rFonts w:eastAsia="Times New Roman"/>
          <w:noProof/>
        </w:rPr>
        <w:t>hour</w:t>
      </w:r>
      <w:r w:rsidR="1D0591F2" w:rsidRPr="002D4C56">
        <w:rPr>
          <w:rFonts w:eastAsia="Times New Roman"/>
          <w:noProof/>
        </w:rPr>
        <w:t>s</w:t>
      </w:r>
      <w:r w:rsidRPr="002D4C56">
        <w:rPr>
          <w:rFonts w:eastAsia="Times New Roman"/>
          <w:noProof/>
        </w:rPr>
        <w:t xml:space="preserve"> of combined effort across the relevant stakeholders, the associated administrative costs would amount to up to approximately EUR </w:t>
      </w:r>
      <w:r w:rsidR="30D516B0" w:rsidRPr="002D4C56">
        <w:rPr>
          <w:rFonts w:eastAsia="Times New Roman"/>
          <w:noProof/>
        </w:rPr>
        <w:t xml:space="preserve">70 </w:t>
      </w:r>
      <w:r w:rsidRPr="002D4C56">
        <w:rPr>
          <w:rFonts w:eastAsia="Times New Roman"/>
          <w:noProof/>
        </w:rPr>
        <w:t>million per year (based on average EU labour costs</w:t>
      </w:r>
      <w:r w:rsidR="4C67FED0" w:rsidRPr="002D4C56">
        <w:rPr>
          <w:rFonts w:eastAsia="Times New Roman"/>
          <w:noProof/>
        </w:rPr>
        <w:t xml:space="preserve"> for financial and tax specialists</w:t>
      </w:r>
      <w:r w:rsidRPr="002D4C56">
        <w:rPr>
          <w:rFonts w:eastAsia="Times New Roman"/>
          <w:noProof/>
        </w:rPr>
        <w:t>). T</w:t>
      </w:r>
      <w:r w:rsidRPr="4321A1A3">
        <w:rPr>
          <w:rFonts w:eastAsia="Times New Roman"/>
          <w:noProof/>
        </w:rPr>
        <w:t xml:space="preserve">his illustrates that, while the introduction of a TIN validation tool entails upfront and operational costs, it </w:t>
      </w:r>
      <w:r w:rsidR="5BF40E95" w:rsidRPr="4321A1A3">
        <w:rPr>
          <w:rFonts w:eastAsia="Times New Roman"/>
          <w:noProof/>
        </w:rPr>
        <w:t>w</w:t>
      </w:r>
      <w:r w:rsidR="7385A7B0" w:rsidRPr="4321A1A3">
        <w:rPr>
          <w:rFonts w:eastAsia="Times New Roman"/>
          <w:noProof/>
        </w:rPr>
        <w:t>ill</w:t>
      </w:r>
      <w:r w:rsidR="5BF40E95" w:rsidRPr="4321A1A3">
        <w:rPr>
          <w:rFonts w:eastAsia="Times New Roman"/>
          <w:noProof/>
        </w:rPr>
        <w:t xml:space="preserve"> </w:t>
      </w:r>
      <w:r w:rsidRPr="4321A1A3">
        <w:rPr>
          <w:rFonts w:eastAsia="Times New Roman"/>
          <w:noProof/>
        </w:rPr>
        <w:t>also generate significant savings by reducing the need for resource-intensive ex post correction procedures.</w:t>
      </w:r>
    </w:p>
    <w:p w14:paraId="1509F706" w14:textId="6E97D555" w:rsidR="559E8D61" w:rsidRDefault="288CF56B" w:rsidP="00EB7AEE">
      <w:pPr>
        <w:pStyle w:val="Heading3"/>
        <w:numPr>
          <w:ilvl w:val="0"/>
          <w:numId w:val="0"/>
        </w:numPr>
        <w:tabs>
          <w:tab w:val="num" w:pos="1134"/>
        </w:tabs>
        <w:rPr>
          <w:noProof/>
        </w:rPr>
      </w:pPr>
      <w:r w:rsidRPr="642A1276">
        <w:rPr>
          <w:b/>
          <w:noProof/>
        </w:rPr>
        <w:t xml:space="preserve">Policy Options </w:t>
      </w:r>
      <w:r w:rsidR="1190973E" w:rsidRPr="642A1276">
        <w:rPr>
          <w:b/>
          <w:noProof/>
        </w:rPr>
        <w:t xml:space="preserve">under </w:t>
      </w:r>
      <w:r w:rsidR="274FAF17" w:rsidRPr="642A1276">
        <w:rPr>
          <w:b/>
          <w:noProof/>
        </w:rPr>
        <w:t>m</w:t>
      </w:r>
      <w:r w:rsidR="1190973E" w:rsidRPr="642A1276">
        <w:rPr>
          <w:b/>
          <w:noProof/>
        </w:rPr>
        <w:t xml:space="preserve">easure </w:t>
      </w:r>
      <w:r w:rsidR="7D812B5A" w:rsidRPr="0AAC7ED1">
        <w:rPr>
          <w:b/>
          <w:bCs/>
          <w:noProof/>
        </w:rPr>
        <w:t>5</w:t>
      </w:r>
      <w:r w:rsidR="00CB6E51" w:rsidRPr="642A1276">
        <w:rPr>
          <w:b/>
          <w:noProof/>
        </w:rPr>
        <w:t xml:space="preserve"> - </w:t>
      </w:r>
      <w:r w:rsidR="1C2F3030" w:rsidRPr="642A1276">
        <w:rPr>
          <w:b/>
          <w:noProof/>
        </w:rPr>
        <w:t>Improving the completeness of information reported under DAC1</w:t>
      </w:r>
    </w:p>
    <w:p w14:paraId="32148087" w14:textId="1911B090" w:rsidR="6FAB85FE" w:rsidRDefault="6FAB85FE" w:rsidP="5D4D2FFC">
      <w:pPr>
        <w:pStyle w:val="Text2"/>
        <w:spacing w:after="0"/>
        <w:ind w:left="0"/>
        <w:rPr>
          <w:noProof/>
          <w:sz w:val="16"/>
          <w:szCs w:val="16"/>
          <w:lang w:val="en-US"/>
        </w:rPr>
      </w:pPr>
      <w:r w:rsidRPr="5D4D2FFC">
        <w:rPr>
          <w:noProof/>
          <w:sz w:val="16"/>
          <w:szCs w:val="16"/>
        </w:rPr>
        <w:t>Baseline:</w:t>
      </w:r>
      <w:r w:rsidR="227D42B4" w:rsidRPr="5D4D2FFC">
        <w:rPr>
          <w:noProof/>
          <w:sz w:val="16"/>
          <w:szCs w:val="16"/>
        </w:rPr>
        <w:t xml:space="preserve"> Member States </w:t>
      </w:r>
      <w:r w:rsidR="227D42B4" w:rsidRPr="5D4D2FFC">
        <w:rPr>
          <w:noProof/>
          <w:sz w:val="16"/>
          <w:szCs w:val="16"/>
          <w:lang w:val="en-US"/>
        </w:rPr>
        <w:t xml:space="preserve">exchange information available in their tax files on </w:t>
      </w:r>
      <w:r w:rsidR="00BA618A">
        <w:rPr>
          <w:noProof/>
          <w:sz w:val="16"/>
          <w:szCs w:val="16"/>
          <w:lang w:val="en-US"/>
        </w:rPr>
        <w:t xml:space="preserve">at least </w:t>
      </w:r>
      <w:r w:rsidR="227D42B4" w:rsidRPr="5D4D2FFC">
        <w:rPr>
          <w:noProof/>
          <w:sz w:val="16"/>
          <w:szCs w:val="16"/>
          <w:lang w:val="en-US"/>
        </w:rPr>
        <w:t>five out of seven categories of income and capital.</w:t>
      </w:r>
    </w:p>
    <w:p w14:paraId="6568220A" w14:textId="22066486" w:rsidR="160CEA1C" w:rsidRDefault="160CEA1C" w:rsidP="160CEA1C">
      <w:pPr>
        <w:pStyle w:val="Text2"/>
        <w:spacing w:after="0"/>
        <w:ind w:left="0"/>
        <w:rPr>
          <w:noProof/>
          <w:sz w:val="16"/>
          <w:szCs w:val="16"/>
          <w:lang w:val="en-US"/>
        </w:rPr>
      </w:pPr>
    </w:p>
    <w:p w14:paraId="24B60AB8" w14:textId="7287F380" w:rsidR="004A2DC6" w:rsidRPr="002B3DFD" w:rsidRDefault="003126F2" w:rsidP="00D137EC">
      <w:pPr>
        <w:pStyle w:val="Text2"/>
        <w:ind w:left="0"/>
        <w:rPr>
          <w:noProof/>
          <w:sz w:val="16"/>
          <w:szCs w:val="16"/>
        </w:rPr>
      </w:pPr>
      <w:r w:rsidRPr="0AAC7ED1">
        <w:rPr>
          <w:noProof/>
          <w:sz w:val="16"/>
          <w:szCs w:val="16"/>
        </w:rPr>
        <w:t>PO</w:t>
      </w:r>
      <w:r w:rsidR="60DBFDA5" w:rsidRPr="0AAC7ED1">
        <w:rPr>
          <w:noProof/>
          <w:sz w:val="16"/>
          <w:szCs w:val="16"/>
        </w:rPr>
        <w:t>5</w:t>
      </w:r>
      <w:r w:rsidRPr="0AAC7ED1">
        <w:rPr>
          <w:noProof/>
          <w:sz w:val="16"/>
          <w:szCs w:val="16"/>
        </w:rPr>
        <w:t>a</w:t>
      </w:r>
      <w:r w:rsidRPr="002B3DFD">
        <w:rPr>
          <w:noProof/>
          <w:sz w:val="16"/>
          <w:szCs w:val="16"/>
        </w:rPr>
        <w:t xml:space="preserve">: </w:t>
      </w:r>
      <w:r w:rsidR="009A475C" w:rsidRPr="661619B9">
        <w:rPr>
          <w:noProof/>
          <w:sz w:val="16"/>
          <w:szCs w:val="16"/>
          <w:lang w:val="en-US"/>
        </w:rPr>
        <w:t xml:space="preserve">The category of life insurance products </w:t>
      </w:r>
      <w:r w:rsidR="001F66D0">
        <w:rPr>
          <w:noProof/>
          <w:sz w:val="16"/>
          <w:szCs w:val="16"/>
          <w:lang w:val="en-US"/>
        </w:rPr>
        <w:t xml:space="preserve">(LIP) </w:t>
      </w:r>
      <w:r w:rsidR="009A475C" w:rsidRPr="661619B9">
        <w:rPr>
          <w:noProof/>
          <w:sz w:val="16"/>
          <w:szCs w:val="16"/>
          <w:lang w:val="en-US"/>
        </w:rPr>
        <w:t>is</w:t>
      </w:r>
      <w:r w:rsidR="002C3806">
        <w:rPr>
          <w:noProof/>
          <w:sz w:val="16"/>
          <w:szCs w:val="16"/>
          <w:lang w:val="en-US"/>
        </w:rPr>
        <w:t xml:space="preserve"> removed</w:t>
      </w:r>
      <w:r w:rsidR="009A475C" w:rsidRPr="661619B9">
        <w:rPr>
          <w:noProof/>
          <w:sz w:val="16"/>
          <w:szCs w:val="16"/>
          <w:lang w:val="en-US"/>
        </w:rPr>
        <w:t xml:space="preserve">. </w:t>
      </w:r>
    </w:p>
    <w:p w14:paraId="4D13C6D8" w14:textId="2DE96F64" w:rsidR="009A475C" w:rsidRPr="00BD5CB2" w:rsidRDefault="003126F2" w:rsidP="00D137EC">
      <w:pPr>
        <w:pStyle w:val="Text2"/>
        <w:ind w:left="0"/>
        <w:rPr>
          <w:noProof/>
          <w:sz w:val="16"/>
          <w:szCs w:val="16"/>
          <w:lang w:val="en-US"/>
        </w:rPr>
      </w:pPr>
      <w:r w:rsidRPr="0AAC7ED1">
        <w:rPr>
          <w:noProof/>
          <w:sz w:val="16"/>
          <w:szCs w:val="16"/>
        </w:rPr>
        <w:t>PO</w:t>
      </w:r>
      <w:r w:rsidR="73C3C5CB" w:rsidRPr="0AAC7ED1">
        <w:rPr>
          <w:noProof/>
          <w:sz w:val="16"/>
          <w:szCs w:val="16"/>
        </w:rPr>
        <w:t>5</w:t>
      </w:r>
      <w:r w:rsidRPr="0AAC7ED1">
        <w:rPr>
          <w:noProof/>
          <w:sz w:val="16"/>
          <w:szCs w:val="16"/>
        </w:rPr>
        <w:t xml:space="preserve">b: </w:t>
      </w:r>
      <w:r w:rsidR="00D86EB8" w:rsidRPr="0AAC7ED1">
        <w:rPr>
          <w:noProof/>
          <w:sz w:val="16"/>
          <w:szCs w:val="16"/>
          <w:lang w:val="en-US"/>
        </w:rPr>
        <w:t>PO</w:t>
      </w:r>
      <w:r w:rsidR="392B51A0" w:rsidRPr="0AAC7ED1">
        <w:rPr>
          <w:noProof/>
          <w:sz w:val="16"/>
          <w:szCs w:val="16"/>
          <w:lang w:val="en-US"/>
        </w:rPr>
        <w:t>5</w:t>
      </w:r>
      <w:r w:rsidR="00D86EB8" w:rsidRPr="0AAC7ED1">
        <w:rPr>
          <w:noProof/>
          <w:sz w:val="16"/>
          <w:szCs w:val="16"/>
          <w:lang w:val="en-US"/>
        </w:rPr>
        <w:t>a</w:t>
      </w:r>
      <w:r w:rsidR="00D86EB8">
        <w:rPr>
          <w:noProof/>
          <w:sz w:val="16"/>
          <w:szCs w:val="16"/>
          <w:lang w:val="en-US"/>
        </w:rPr>
        <w:t xml:space="preserve"> + </w:t>
      </w:r>
      <w:r w:rsidR="009A475C" w:rsidRPr="661619B9">
        <w:rPr>
          <w:noProof/>
          <w:sz w:val="16"/>
          <w:szCs w:val="16"/>
          <w:lang w:val="en-US"/>
        </w:rPr>
        <w:t xml:space="preserve">Member States </w:t>
      </w:r>
      <w:r w:rsidR="00A816BD">
        <w:rPr>
          <w:noProof/>
          <w:sz w:val="16"/>
          <w:szCs w:val="16"/>
          <w:lang w:val="en-US"/>
        </w:rPr>
        <w:t xml:space="preserve">are required </w:t>
      </w:r>
      <w:r w:rsidR="009A475C" w:rsidRPr="661619B9">
        <w:rPr>
          <w:noProof/>
          <w:sz w:val="16"/>
          <w:szCs w:val="16"/>
          <w:lang w:val="en-US"/>
        </w:rPr>
        <w:t xml:space="preserve">to automatically exchange information </w:t>
      </w:r>
      <w:r w:rsidR="00265D3A">
        <w:rPr>
          <w:noProof/>
          <w:sz w:val="16"/>
          <w:szCs w:val="16"/>
          <w:lang w:val="en-US"/>
        </w:rPr>
        <w:t>“</w:t>
      </w:r>
      <w:r w:rsidR="009A475C" w:rsidRPr="661619B9">
        <w:rPr>
          <w:noProof/>
          <w:sz w:val="16"/>
          <w:szCs w:val="16"/>
          <w:lang w:val="en-US"/>
        </w:rPr>
        <w:t>available</w:t>
      </w:r>
      <w:r w:rsidR="00265D3A">
        <w:rPr>
          <w:noProof/>
          <w:sz w:val="16"/>
          <w:szCs w:val="16"/>
          <w:lang w:val="en-US"/>
        </w:rPr>
        <w:t>”</w:t>
      </w:r>
      <w:r w:rsidR="009A475C" w:rsidRPr="661619B9">
        <w:rPr>
          <w:noProof/>
          <w:sz w:val="16"/>
          <w:szCs w:val="16"/>
          <w:lang w:val="en-US"/>
        </w:rPr>
        <w:t xml:space="preserve"> in their tax files on </w:t>
      </w:r>
      <w:r w:rsidR="00E523AD">
        <w:rPr>
          <w:noProof/>
          <w:sz w:val="16"/>
          <w:szCs w:val="16"/>
          <w:lang w:val="en-US"/>
        </w:rPr>
        <w:t xml:space="preserve">all six </w:t>
      </w:r>
      <w:r w:rsidR="009A475C" w:rsidRPr="661619B9">
        <w:rPr>
          <w:noProof/>
          <w:sz w:val="16"/>
          <w:szCs w:val="16"/>
          <w:lang w:val="en-US"/>
        </w:rPr>
        <w:t>remaining categories of income and capital</w:t>
      </w:r>
      <w:r w:rsidR="7018AEE1" w:rsidRPr="6C1D560D">
        <w:rPr>
          <w:noProof/>
          <w:sz w:val="16"/>
          <w:szCs w:val="16"/>
          <w:lang w:val="en-US"/>
        </w:rPr>
        <w:t>.</w:t>
      </w:r>
    </w:p>
    <w:p w14:paraId="01EBFC82" w14:textId="6819C58B" w:rsidR="003126F2" w:rsidRDefault="009A475C" w:rsidP="00D137EC">
      <w:pPr>
        <w:pStyle w:val="Text2"/>
        <w:ind w:left="0"/>
        <w:rPr>
          <w:noProof/>
          <w:sz w:val="16"/>
          <w:szCs w:val="16"/>
          <w:lang w:val="en-US"/>
        </w:rPr>
      </w:pPr>
      <w:r w:rsidRPr="2FDD2028">
        <w:rPr>
          <w:noProof/>
          <w:sz w:val="16"/>
          <w:szCs w:val="16"/>
          <w:lang w:val="en-US"/>
        </w:rPr>
        <w:t>PO</w:t>
      </w:r>
      <w:r w:rsidR="417CA091" w:rsidRPr="2FDD2028">
        <w:rPr>
          <w:noProof/>
          <w:sz w:val="16"/>
          <w:szCs w:val="16"/>
          <w:lang w:val="en-US"/>
        </w:rPr>
        <w:t>5</w:t>
      </w:r>
      <w:r w:rsidR="00173C14" w:rsidRPr="2FDD2028">
        <w:rPr>
          <w:noProof/>
          <w:sz w:val="16"/>
          <w:szCs w:val="16"/>
          <w:lang w:val="en-US"/>
        </w:rPr>
        <w:t>c: PO</w:t>
      </w:r>
      <w:r w:rsidR="51684D5A" w:rsidRPr="2FDD2028">
        <w:rPr>
          <w:noProof/>
          <w:sz w:val="16"/>
          <w:szCs w:val="16"/>
          <w:lang w:val="en-US"/>
        </w:rPr>
        <w:t>5</w:t>
      </w:r>
      <w:r w:rsidR="00642A8E" w:rsidRPr="2FDD2028">
        <w:rPr>
          <w:noProof/>
          <w:sz w:val="16"/>
          <w:szCs w:val="16"/>
          <w:lang w:val="en-US"/>
        </w:rPr>
        <w:t>a</w:t>
      </w:r>
      <w:r w:rsidR="00642A8E">
        <w:rPr>
          <w:noProof/>
          <w:sz w:val="16"/>
          <w:szCs w:val="16"/>
          <w:lang w:val="en-US"/>
        </w:rPr>
        <w:t xml:space="preserve"> + </w:t>
      </w:r>
      <w:r w:rsidR="008563C2" w:rsidRPr="3A123E5D">
        <w:rPr>
          <w:noProof/>
          <w:sz w:val="16"/>
          <w:szCs w:val="16"/>
          <w:lang w:val="en-US"/>
        </w:rPr>
        <w:t xml:space="preserve">Member States </w:t>
      </w:r>
      <w:r w:rsidR="00642A8E">
        <w:rPr>
          <w:noProof/>
          <w:sz w:val="16"/>
          <w:szCs w:val="16"/>
          <w:lang w:val="en-US"/>
        </w:rPr>
        <w:t xml:space="preserve">are required </w:t>
      </w:r>
      <w:r w:rsidR="008563C2" w:rsidRPr="3A123E5D">
        <w:rPr>
          <w:noProof/>
          <w:sz w:val="16"/>
          <w:szCs w:val="16"/>
          <w:lang w:val="en-US"/>
        </w:rPr>
        <w:t xml:space="preserve">to automatically exchange information available to </w:t>
      </w:r>
      <w:r w:rsidR="001E5166">
        <w:rPr>
          <w:noProof/>
          <w:sz w:val="16"/>
          <w:szCs w:val="16"/>
          <w:lang w:val="en-US"/>
        </w:rPr>
        <w:t xml:space="preserve">relevant </w:t>
      </w:r>
      <w:r w:rsidR="008563C2" w:rsidRPr="3A123E5D">
        <w:rPr>
          <w:noProof/>
          <w:sz w:val="16"/>
          <w:szCs w:val="16"/>
          <w:lang w:val="en-US"/>
        </w:rPr>
        <w:t xml:space="preserve">public authorities in the Member States with respect to </w:t>
      </w:r>
      <w:r w:rsidR="00524704">
        <w:rPr>
          <w:noProof/>
          <w:sz w:val="16"/>
          <w:szCs w:val="16"/>
          <w:lang w:val="en-US"/>
        </w:rPr>
        <w:t xml:space="preserve">all </w:t>
      </w:r>
      <w:r w:rsidR="00B65CCA">
        <w:rPr>
          <w:noProof/>
          <w:sz w:val="16"/>
          <w:szCs w:val="16"/>
          <w:lang w:val="en-US"/>
        </w:rPr>
        <w:t xml:space="preserve">six </w:t>
      </w:r>
      <w:r w:rsidR="008563C2" w:rsidRPr="3A123E5D">
        <w:rPr>
          <w:noProof/>
          <w:sz w:val="16"/>
          <w:szCs w:val="16"/>
          <w:lang w:val="en-US"/>
        </w:rPr>
        <w:t>remaining categories of income and capital</w:t>
      </w:r>
      <w:r w:rsidR="0E409F0D" w:rsidRPr="3A123E5D">
        <w:rPr>
          <w:noProof/>
          <w:sz w:val="16"/>
          <w:szCs w:val="16"/>
          <w:lang w:val="en-US"/>
        </w:rPr>
        <w:t>.</w:t>
      </w:r>
    </w:p>
    <w:p w14:paraId="26454755" w14:textId="569343B0" w:rsidR="00EB7AEE" w:rsidRDefault="539088BC" w:rsidP="1CC8EBFB">
      <w:pPr>
        <w:spacing w:before="240"/>
        <w:rPr>
          <w:noProof/>
        </w:rPr>
      </w:pPr>
      <w:r>
        <w:rPr>
          <w:noProof/>
        </w:rPr>
        <w:t>Th</w:t>
      </w:r>
      <w:r w:rsidR="16E4E5F4">
        <w:rPr>
          <w:noProof/>
        </w:rPr>
        <w:t xml:space="preserve">is measure aims </w:t>
      </w:r>
      <w:r w:rsidR="1FBBE43E">
        <w:rPr>
          <w:noProof/>
        </w:rPr>
        <w:t xml:space="preserve">to address </w:t>
      </w:r>
      <w:r w:rsidR="16E4E5F4">
        <w:rPr>
          <w:noProof/>
        </w:rPr>
        <w:t xml:space="preserve">the structural </w:t>
      </w:r>
      <w:r w:rsidR="4F8FED20">
        <w:rPr>
          <w:noProof/>
        </w:rPr>
        <w:t xml:space="preserve">limitations </w:t>
      </w:r>
      <w:r w:rsidR="2CF3BDFC">
        <w:rPr>
          <w:noProof/>
        </w:rPr>
        <w:t>of the framework and enhance the effective functioning and efficiency of DAC1. Firstly, the measure</w:t>
      </w:r>
      <w:r w:rsidR="57B9CFA6">
        <w:rPr>
          <w:noProof/>
        </w:rPr>
        <w:t xml:space="preserve"> seeks to improve the proportionality of the reporting framework by removing reporting requirements that are duplicate and of limited value for tax administrations. Secondly, the measure also seeks to enhance the scope and completeness of income categories that are subject to AEOI under DAC1.</w:t>
      </w:r>
      <w:r w:rsidR="71EBE2AB">
        <w:rPr>
          <w:noProof/>
        </w:rPr>
        <w:t xml:space="preserve"> </w:t>
      </w:r>
      <w:r w:rsidR="26B469BC">
        <w:rPr>
          <w:noProof/>
        </w:rPr>
        <w:t xml:space="preserve">By removing categories of limited </w:t>
      </w:r>
      <w:r w:rsidR="14C061D6">
        <w:rPr>
          <w:noProof/>
        </w:rPr>
        <w:t xml:space="preserve">added value </w:t>
      </w:r>
      <w:r w:rsidR="26B469BC">
        <w:rPr>
          <w:noProof/>
        </w:rPr>
        <w:t xml:space="preserve">and where appropriate, enhancing the completeness and accessibility of relevant information, the measure aims to ensure that administrative resources are focused on data that is </w:t>
      </w:r>
      <w:r w:rsidR="5B9C76CF">
        <w:rPr>
          <w:noProof/>
        </w:rPr>
        <w:t>more effective in</w:t>
      </w:r>
      <w:r w:rsidR="26B469BC">
        <w:rPr>
          <w:noProof/>
        </w:rPr>
        <w:t xml:space="preserve"> identifying non-compliance, while avoiding unnecessary processing and exchange of low-value information.</w:t>
      </w:r>
    </w:p>
    <w:p w14:paraId="414E8DF9" w14:textId="322F5D40" w:rsidR="00D7088D" w:rsidRDefault="00E27A1A" w:rsidP="00D7088D">
      <w:pPr>
        <w:spacing w:before="240"/>
        <w:rPr>
          <w:noProof/>
        </w:rPr>
      </w:pPr>
      <w:r w:rsidRPr="00E27A1A">
        <w:rPr>
          <w:bCs/>
          <w:noProof/>
        </w:rPr>
        <w:t>The main impact of</w:t>
      </w:r>
      <w:r>
        <w:rPr>
          <w:b/>
          <w:noProof/>
        </w:rPr>
        <w:t xml:space="preserve"> </w:t>
      </w:r>
      <w:r w:rsidR="6AA0148A" w:rsidRPr="642A1276">
        <w:rPr>
          <w:b/>
          <w:noProof/>
        </w:rPr>
        <w:t xml:space="preserve">Policy Option </w:t>
      </w:r>
      <w:r w:rsidR="08CAD772" w:rsidRPr="541E9F7F">
        <w:rPr>
          <w:b/>
          <w:bCs/>
          <w:noProof/>
        </w:rPr>
        <w:t>5</w:t>
      </w:r>
      <w:r w:rsidR="6AA0148A" w:rsidRPr="541E9F7F">
        <w:rPr>
          <w:b/>
          <w:bCs/>
          <w:noProof/>
        </w:rPr>
        <w:t>a</w:t>
      </w:r>
      <w:r w:rsidR="6AA0148A" w:rsidRPr="642A1276">
        <w:rPr>
          <w:b/>
          <w:noProof/>
        </w:rPr>
        <w:t xml:space="preserve"> </w:t>
      </w:r>
      <w:r w:rsidR="06942CF7" w:rsidRPr="3A123E5D">
        <w:rPr>
          <w:noProof/>
        </w:rPr>
        <w:t xml:space="preserve">is </w:t>
      </w:r>
      <w:r w:rsidR="7B359603" w:rsidRPr="3A123E5D">
        <w:rPr>
          <w:noProof/>
        </w:rPr>
        <w:t xml:space="preserve">the </w:t>
      </w:r>
      <w:r w:rsidR="06942CF7">
        <w:rPr>
          <w:noProof/>
        </w:rPr>
        <w:t>simplification of the existing framework</w:t>
      </w:r>
      <w:r w:rsidR="7CC8FF55">
        <w:rPr>
          <w:noProof/>
        </w:rPr>
        <w:t xml:space="preserve"> stemming from the removal of the LIP category</w:t>
      </w:r>
      <w:r w:rsidR="346B3302">
        <w:rPr>
          <w:noProof/>
        </w:rPr>
        <w:t>.</w:t>
      </w:r>
      <w:r w:rsidR="7076A1E6">
        <w:rPr>
          <w:noProof/>
        </w:rPr>
        <w:t xml:space="preserve"> </w:t>
      </w:r>
      <w:r w:rsidR="00045CA9">
        <w:rPr>
          <w:rStyle w:val="FootnoteReference"/>
          <w:noProof/>
        </w:rPr>
        <w:footnoteReference w:id="69"/>
      </w:r>
      <w:r w:rsidR="06942CF7" w:rsidRPr="3A123E5D">
        <w:rPr>
          <w:noProof/>
        </w:rPr>
        <w:t xml:space="preserve">Given the limited use of the LIP category and its partial overlap with information exchanged under DAC2, removing this category is expected to have </w:t>
      </w:r>
      <w:r w:rsidR="06942CF7">
        <w:rPr>
          <w:noProof/>
        </w:rPr>
        <w:t>minimal impact on the effectiveness of administrative cooperation</w:t>
      </w:r>
      <w:r w:rsidR="06942CF7" w:rsidRPr="3A123E5D">
        <w:rPr>
          <w:noProof/>
        </w:rPr>
        <w:t>, while slightly reducing the administrative workload associated with processing and exchanging information that appears to have limited operational relevance.</w:t>
      </w:r>
    </w:p>
    <w:p w14:paraId="0D54A91D" w14:textId="089A1333" w:rsidR="0000452C" w:rsidRDefault="6AA0148A" w:rsidP="00E27A1A">
      <w:pPr>
        <w:spacing w:before="240"/>
        <w:rPr>
          <w:noProof/>
        </w:rPr>
      </w:pPr>
      <w:r w:rsidRPr="642A1276">
        <w:rPr>
          <w:b/>
          <w:noProof/>
        </w:rPr>
        <w:t xml:space="preserve">Policy Option </w:t>
      </w:r>
      <w:r w:rsidR="48A2C63C" w:rsidRPr="5A9CA109">
        <w:rPr>
          <w:b/>
          <w:bCs/>
          <w:noProof/>
        </w:rPr>
        <w:t>5</w:t>
      </w:r>
      <w:r w:rsidR="7A4CD31B" w:rsidRPr="5A9CA109">
        <w:rPr>
          <w:b/>
          <w:bCs/>
          <w:noProof/>
        </w:rPr>
        <w:t>b</w:t>
      </w:r>
      <w:r w:rsidR="660D19CF">
        <w:rPr>
          <w:noProof/>
        </w:rPr>
        <w:t xml:space="preserve"> woul</w:t>
      </w:r>
      <w:r w:rsidR="64A31068">
        <w:rPr>
          <w:noProof/>
        </w:rPr>
        <w:t xml:space="preserve">d, in addition to </w:t>
      </w:r>
      <w:r w:rsidR="00787E5F" w:rsidRPr="642A1276">
        <w:rPr>
          <w:b/>
          <w:noProof/>
        </w:rPr>
        <w:t xml:space="preserve">Policy Option </w:t>
      </w:r>
      <w:r w:rsidR="0778D2A9" w:rsidRPr="00DD74A0">
        <w:rPr>
          <w:b/>
          <w:bCs/>
          <w:noProof/>
        </w:rPr>
        <w:t>5</w:t>
      </w:r>
      <w:r w:rsidR="64A31068" w:rsidRPr="00DD74A0">
        <w:rPr>
          <w:b/>
          <w:bCs/>
          <w:noProof/>
        </w:rPr>
        <w:t>a</w:t>
      </w:r>
      <w:r w:rsidR="64A31068">
        <w:rPr>
          <w:noProof/>
        </w:rPr>
        <w:t xml:space="preserve">, </w:t>
      </w:r>
      <w:r w:rsidR="4C522F75">
        <w:rPr>
          <w:noProof/>
        </w:rPr>
        <w:t xml:space="preserve">require Member States to exchange information </w:t>
      </w:r>
      <w:r w:rsidR="4412D3AE">
        <w:rPr>
          <w:noProof/>
        </w:rPr>
        <w:t>“</w:t>
      </w:r>
      <w:r w:rsidR="4C522F75">
        <w:rPr>
          <w:noProof/>
        </w:rPr>
        <w:t>available</w:t>
      </w:r>
      <w:r w:rsidR="4412D3AE">
        <w:rPr>
          <w:noProof/>
        </w:rPr>
        <w:t>”</w:t>
      </w:r>
      <w:r w:rsidR="4C522F75">
        <w:rPr>
          <w:noProof/>
        </w:rPr>
        <w:t xml:space="preserve"> in their tax files for all six remaining income categories.</w:t>
      </w:r>
      <w:r w:rsidR="4C2A469B">
        <w:rPr>
          <w:noProof/>
        </w:rPr>
        <w:t xml:space="preserve"> </w:t>
      </w:r>
      <w:r w:rsidR="4C522F75">
        <w:rPr>
          <w:noProof/>
        </w:rPr>
        <w:t xml:space="preserve">Compared with the baseline, this option is expected to improve the consistency and comparability of information exchanged across Member States, thereby strengthening the level playing field within the Union </w:t>
      </w:r>
      <w:r w:rsidR="03CF2B96">
        <w:rPr>
          <w:noProof/>
        </w:rPr>
        <w:t>and reinforcing the overarching objective of tackling tax fraud, evasion and avoidance.</w:t>
      </w:r>
      <w:r w:rsidR="4C522F75">
        <w:rPr>
          <w:noProof/>
        </w:rPr>
        <w:t xml:space="preserve"> </w:t>
      </w:r>
      <w:r w:rsidR="7BF78D9A">
        <w:rPr>
          <w:noProof/>
        </w:rPr>
        <w:t>Moreover, more complete exchanges of information improve the effectiveness of risk analysis and enforcement activities carried out by tax administrations in relation to taxpayers.</w:t>
      </w:r>
    </w:p>
    <w:p w14:paraId="08E37173" w14:textId="2C0BC1CA" w:rsidR="6AA0148A" w:rsidRDefault="4B0F6CC0" w:rsidP="66333C0B">
      <w:pPr>
        <w:spacing w:before="240"/>
        <w:rPr>
          <w:rFonts w:eastAsia="Times New Roman"/>
          <w:noProof/>
        </w:rPr>
      </w:pPr>
      <w:r w:rsidRPr="3A123E5D">
        <w:rPr>
          <w:noProof/>
        </w:rPr>
        <w:t>The main impacts would arise for tax administrations that currently exchange information on fewer categories and would therefore need to activate exchange processes for additional data already available in their systems</w:t>
      </w:r>
      <w:r w:rsidR="68F90B59" w:rsidRPr="3A123E5D">
        <w:rPr>
          <w:noProof/>
        </w:rPr>
        <w:t xml:space="preserve"> (see </w:t>
      </w:r>
      <w:r w:rsidR="68F90B59" w:rsidRPr="002D4C56">
        <w:rPr>
          <w:b/>
          <w:bCs/>
          <w:noProof/>
        </w:rPr>
        <w:t xml:space="preserve">Figure </w:t>
      </w:r>
      <w:r w:rsidR="00DD74A0" w:rsidRPr="002D4C56">
        <w:rPr>
          <w:b/>
          <w:bCs/>
          <w:noProof/>
        </w:rPr>
        <w:t>4</w:t>
      </w:r>
      <w:r w:rsidR="68F90B59" w:rsidRPr="002D4C56">
        <w:rPr>
          <w:b/>
          <w:bCs/>
          <w:noProof/>
        </w:rPr>
        <w:t>).</w:t>
      </w:r>
      <w:r w:rsidR="68F90B59" w:rsidRPr="3A123E5D">
        <w:rPr>
          <w:noProof/>
        </w:rPr>
        <w:t xml:space="preserve"> These adjustment</w:t>
      </w:r>
      <w:r w:rsidR="7DAADF45" w:rsidRPr="3A123E5D">
        <w:rPr>
          <w:noProof/>
        </w:rPr>
        <w:t xml:space="preserve"> costs relate to </w:t>
      </w:r>
      <w:r w:rsidR="7DAADF45">
        <w:rPr>
          <w:noProof/>
        </w:rPr>
        <w:t xml:space="preserve">IT configuration, data extraction and processing changes for tax administrations, rather than new data collection. </w:t>
      </w:r>
      <w:r w:rsidR="7DAADF45" w:rsidRPr="4E182B82">
        <w:rPr>
          <w:rFonts w:eastAsia="Times New Roman"/>
          <w:noProof/>
        </w:rPr>
        <w:t>As such, the associated costs are not expected to be significant, as tax administrations can build on existing national IT systems and infrastructure. Nevertheless, the magnitude of these costs may vary across Member States depending on the state of digitalisation of their current systems and the extent of the required adaptations</w:t>
      </w:r>
      <w:r w:rsidRPr="4E182B82">
        <w:rPr>
          <w:rFonts w:eastAsia="Times New Roman"/>
          <w:noProof/>
        </w:rPr>
        <w:t>.</w:t>
      </w:r>
    </w:p>
    <w:p w14:paraId="1971C83E" w14:textId="210F3B8D" w:rsidR="00D82DAD" w:rsidRDefault="0BFBF3E4" w:rsidP="54C2EE71">
      <w:pPr>
        <w:spacing w:after="160" w:line="257" w:lineRule="auto"/>
        <w:rPr>
          <w:rFonts w:eastAsia="Times New Roman"/>
          <w:noProof/>
        </w:rPr>
      </w:pPr>
      <w:r w:rsidRPr="6E3781F2">
        <w:rPr>
          <w:b/>
          <w:bCs/>
          <w:noProof/>
        </w:rPr>
        <w:t xml:space="preserve">Policy Option </w:t>
      </w:r>
      <w:r w:rsidR="6A72F673" w:rsidRPr="6E3781F2">
        <w:rPr>
          <w:b/>
          <w:bCs/>
          <w:noProof/>
        </w:rPr>
        <w:t>5</w:t>
      </w:r>
      <w:r w:rsidR="5B6B567B" w:rsidRPr="6E3781F2">
        <w:rPr>
          <w:b/>
          <w:bCs/>
          <w:noProof/>
        </w:rPr>
        <w:t>c</w:t>
      </w:r>
      <w:r w:rsidR="29EDC95C">
        <w:rPr>
          <w:noProof/>
        </w:rPr>
        <w:t xml:space="preserve"> </w:t>
      </w:r>
      <w:r>
        <w:rPr>
          <w:noProof/>
        </w:rPr>
        <w:t xml:space="preserve">represents the most comprehensive reform. In addition to removing the LIP category </w:t>
      </w:r>
      <w:r w:rsidR="4D545126">
        <w:rPr>
          <w:noProof/>
        </w:rPr>
        <w:t>(</w:t>
      </w:r>
      <w:r w:rsidR="5B45D0B2" w:rsidRPr="6E3781F2">
        <w:rPr>
          <w:b/>
          <w:bCs/>
          <w:noProof/>
        </w:rPr>
        <w:t>Policy Option 5a</w:t>
      </w:r>
      <w:r w:rsidR="4D545126">
        <w:rPr>
          <w:noProof/>
        </w:rPr>
        <w:t xml:space="preserve">) </w:t>
      </w:r>
      <w:r>
        <w:rPr>
          <w:noProof/>
        </w:rPr>
        <w:t xml:space="preserve">and requiring the exchange of information on all </w:t>
      </w:r>
      <w:r w:rsidR="3780AA3D">
        <w:rPr>
          <w:noProof/>
        </w:rPr>
        <w:t>6</w:t>
      </w:r>
      <w:r>
        <w:rPr>
          <w:noProof/>
        </w:rPr>
        <w:t xml:space="preserve"> remaining income categories, it would require Member States to exchange information available to all public authorities at national level, rather than limiting exchanges to information contained in</w:t>
      </w:r>
      <w:r w:rsidR="256F982C">
        <w:rPr>
          <w:noProof/>
        </w:rPr>
        <w:t xml:space="preserve"> the files </w:t>
      </w:r>
      <w:r w:rsidR="0A37056D">
        <w:rPr>
          <w:noProof/>
        </w:rPr>
        <w:t xml:space="preserve">of tax administrations. </w:t>
      </w:r>
      <w:r w:rsidR="16528DF2">
        <w:rPr>
          <w:noProof/>
        </w:rPr>
        <w:t xml:space="preserve">Implementing this option would likely require organisational and technical adjustments at national level, including improved access for tax administrations to information held by other public authorities, such as pension institutions </w:t>
      </w:r>
      <w:r w:rsidR="2DDC8772">
        <w:rPr>
          <w:noProof/>
        </w:rPr>
        <w:t xml:space="preserve">and </w:t>
      </w:r>
      <w:r w:rsidR="16528DF2">
        <w:rPr>
          <w:noProof/>
        </w:rPr>
        <w:t>land registries, and potentially the establishment of new data-sharing arrangements or IT interconnections between databases.</w:t>
      </w:r>
      <w:r w:rsidR="0851EF27">
        <w:rPr>
          <w:noProof/>
        </w:rPr>
        <w:t xml:space="preserve"> </w:t>
      </w:r>
      <w:r w:rsidR="4FD1A5DC">
        <w:rPr>
          <w:noProof/>
        </w:rPr>
        <w:t xml:space="preserve">This would therefore entail higher one-off </w:t>
      </w:r>
      <w:r w:rsidR="4CF673C1">
        <w:rPr>
          <w:noProof/>
        </w:rPr>
        <w:t xml:space="preserve">adjustment </w:t>
      </w:r>
      <w:r w:rsidR="4FD1A5DC">
        <w:rPr>
          <w:noProof/>
        </w:rPr>
        <w:t xml:space="preserve">costs for </w:t>
      </w:r>
      <w:r w:rsidR="4CF673C1">
        <w:rPr>
          <w:noProof/>
        </w:rPr>
        <w:t xml:space="preserve">the </w:t>
      </w:r>
      <w:r w:rsidR="4FD1A5DC">
        <w:rPr>
          <w:noProof/>
        </w:rPr>
        <w:t>Member States</w:t>
      </w:r>
      <w:r w:rsidR="4CF673C1">
        <w:rPr>
          <w:noProof/>
        </w:rPr>
        <w:t xml:space="preserve"> concerned</w:t>
      </w:r>
      <w:r w:rsidR="43621CDB">
        <w:rPr>
          <w:noProof/>
        </w:rPr>
        <w:t xml:space="preserve"> </w:t>
      </w:r>
      <w:r w:rsidR="4FBEA09B">
        <w:rPr>
          <w:noProof/>
        </w:rPr>
        <w:t>compared</w:t>
      </w:r>
      <w:r w:rsidR="43621CDB">
        <w:rPr>
          <w:noProof/>
        </w:rPr>
        <w:t xml:space="preserve"> to </w:t>
      </w:r>
      <w:r w:rsidR="4FBEA09B" w:rsidRPr="6E3781F2">
        <w:rPr>
          <w:b/>
          <w:bCs/>
          <w:noProof/>
        </w:rPr>
        <w:t xml:space="preserve">Policy </w:t>
      </w:r>
      <w:r w:rsidR="61250134" w:rsidRPr="6E3781F2">
        <w:rPr>
          <w:b/>
          <w:bCs/>
          <w:noProof/>
        </w:rPr>
        <w:t xml:space="preserve">option </w:t>
      </w:r>
      <w:r w:rsidR="353F7C0A" w:rsidRPr="6E3781F2">
        <w:rPr>
          <w:b/>
          <w:bCs/>
          <w:noProof/>
        </w:rPr>
        <w:t>5</w:t>
      </w:r>
      <w:r w:rsidR="61250134" w:rsidRPr="6E3781F2">
        <w:rPr>
          <w:b/>
          <w:bCs/>
          <w:noProof/>
        </w:rPr>
        <w:t>b</w:t>
      </w:r>
      <w:r w:rsidR="044FB8B0">
        <w:rPr>
          <w:noProof/>
        </w:rPr>
        <w:t>.</w:t>
      </w:r>
      <w:r w:rsidR="4FD1A5DC">
        <w:rPr>
          <w:noProof/>
        </w:rPr>
        <w:t xml:space="preserve"> </w:t>
      </w:r>
      <w:r w:rsidR="1C7C1EC0" w:rsidRPr="6E3781F2">
        <w:rPr>
          <w:rFonts w:eastAsia="Times New Roman"/>
          <w:noProof/>
        </w:rPr>
        <w:t>W</w:t>
      </w:r>
      <w:r w:rsidR="5BAA888B" w:rsidRPr="00F12CB6">
        <w:rPr>
          <w:rFonts w:eastAsia="Times New Roman"/>
          <w:noProof/>
        </w:rPr>
        <w:t>hile</w:t>
      </w:r>
      <w:r w:rsidR="6502AED8" w:rsidRPr="00F12CB6">
        <w:rPr>
          <w:rFonts w:eastAsia="Times New Roman"/>
          <w:noProof/>
        </w:rPr>
        <w:t xml:space="preserve"> t</w:t>
      </w:r>
      <w:r w:rsidR="4FD1A5DC" w:rsidRPr="00F12CB6">
        <w:rPr>
          <w:rFonts w:eastAsia="Times New Roman"/>
          <w:noProof/>
        </w:rPr>
        <w:t>hese costs cannot be reliably quantified at this stage</w:t>
      </w:r>
      <w:r w:rsidR="4DC5A85C" w:rsidRPr="00F12CB6">
        <w:rPr>
          <w:rFonts w:eastAsia="Times New Roman"/>
          <w:noProof/>
        </w:rPr>
        <w:t>, information made available to the Commission services</w:t>
      </w:r>
      <w:r w:rsidR="39823BDD" w:rsidRPr="00F12CB6">
        <w:rPr>
          <w:rFonts w:eastAsia="Times New Roman"/>
          <w:noProof/>
        </w:rPr>
        <w:t xml:space="preserve"> by Member States</w:t>
      </w:r>
      <w:r w:rsidR="4DC5A85C" w:rsidRPr="00F12CB6">
        <w:rPr>
          <w:rFonts w:eastAsia="Times New Roman"/>
          <w:noProof/>
        </w:rPr>
        <w:t xml:space="preserve"> indicates that these costs will be significantly limi</w:t>
      </w:r>
      <w:r w:rsidR="337475DB" w:rsidRPr="00F12CB6">
        <w:rPr>
          <w:rFonts w:eastAsia="Times New Roman"/>
          <w:noProof/>
        </w:rPr>
        <w:t xml:space="preserve">ted by </w:t>
      </w:r>
      <w:r w:rsidR="10D5D7D0" w:rsidRPr="00F12CB6">
        <w:rPr>
          <w:rFonts w:eastAsia="Times New Roman"/>
          <w:noProof/>
        </w:rPr>
        <w:t>several factors.</w:t>
      </w:r>
      <w:r w:rsidR="333B5BC2" w:rsidRPr="00F12CB6">
        <w:rPr>
          <w:rFonts w:eastAsia="Times New Roman"/>
          <w:noProof/>
        </w:rPr>
        <w:t xml:space="preserve"> </w:t>
      </w:r>
      <w:r w:rsidR="08A71522" w:rsidRPr="6E3781F2">
        <w:rPr>
          <w:rFonts w:eastAsia="Times New Roman"/>
          <w:noProof/>
        </w:rPr>
        <w:t xml:space="preserve">Firstly, information made available to the Commission services by Member States indicates that tax authorities already intend to </w:t>
      </w:r>
      <w:r w:rsidR="57E62014" w:rsidRPr="6E3781F2">
        <w:rPr>
          <w:rFonts w:eastAsia="Times New Roman"/>
          <w:noProof/>
        </w:rPr>
        <w:t>increase the number of categories of information that are exchanged</w:t>
      </w:r>
      <w:r w:rsidR="217B2C4F" w:rsidRPr="6E3781F2">
        <w:rPr>
          <w:rFonts w:eastAsia="Times New Roman"/>
          <w:noProof/>
        </w:rPr>
        <w:t xml:space="preserve"> by 1 July 2028.</w:t>
      </w:r>
      <w:r w:rsidR="57E62014" w:rsidRPr="6E3781F2">
        <w:rPr>
          <w:rFonts w:eastAsia="Times New Roman"/>
          <w:noProof/>
        </w:rPr>
        <w:t xml:space="preserve"> Consequentially, and as demonstrated</w:t>
      </w:r>
      <w:r w:rsidR="0495F221" w:rsidRPr="6E3781F2">
        <w:rPr>
          <w:rFonts w:eastAsia="Times New Roman"/>
          <w:noProof/>
        </w:rPr>
        <w:t xml:space="preserve"> by Figure </w:t>
      </w:r>
      <w:r w:rsidR="00C831D9" w:rsidRPr="6E3781F2">
        <w:rPr>
          <w:rFonts w:eastAsia="Times New Roman"/>
          <w:noProof/>
        </w:rPr>
        <w:t>5</w:t>
      </w:r>
      <w:r w:rsidR="0495F221" w:rsidRPr="6E3781F2">
        <w:rPr>
          <w:rFonts w:eastAsia="Times New Roman"/>
          <w:noProof/>
        </w:rPr>
        <w:t>, the impact of the requirement for Member States to exchange information on six categories will be lim</w:t>
      </w:r>
      <w:r w:rsidR="7C6B0E9A" w:rsidRPr="6E3781F2">
        <w:rPr>
          <w:rFonts w:eastAsia="Times New Roman"/>
          <w:noProof/>
        </w:rPr>
        <w:t xml:space="preserve">ited to certain Member States and certain categories of information. </w:t>
      </w:r>
    </w:p>
    <w:p w14:paraId="7488400B" w14:textId="77777777" w:rsidR="00E306CE" w:rsidRDefault="00E306CE" w:rsidP="33561B1D">
      <w:pPr>
        <w:spacing w:after="160" w:line="257" w:lineRule="auto"/>
        <w:rPr>
          <w:rFonts w:eastAsia="Times New Roman"/>
          <w:b/>
          <w:bCs/>
          <w:noProof/>
        </w:rPr>
      </w:pPr>
    </w:p>
    <w:p w14:paraId="69DF677A" w14:textId="04F63628" w:rsidR="00D82DAD" w:rsidRPr="00F12CB6" w:rsidRDefault="0CCA8A11" w:rsidP="33561B1D">
      <w:pPr>
        <w:spacing w:after="160" w:line="257" w:lineRule="auto"/>
        <w:rPr>
          <w:rFonts w:eastAsia="Times New Roman"/>
          <w:b/>
          <w:bCs/>
          <w:noProof/>
        </w:rPr>
      </w:pPr>
      <w:r w:rsidRPr="00F12CB6">
        <w:rPr>
          <w:rFonts w:eastAsia="Times New Roman"/>
          <w:b/>
          <w:bCs/>
          <w:noProof/>
        </w:rPr>
        <w:t xml:space="preserve">Figure </w:t>
      </w:r>
      <w:r w:rsidR="00C831D9">
        <w:rPr>
          <w:rFonts w:eastAsia="Times New Roman"/>
          <w:b/>
          <w:bCs/>
          <w:noProof/>
        </w:rPr>
        <w:t>5</w:t>
      </w:r>
      <w:r w:rsidRPr="00F12CB6">
        <w:rPr>
          <w:rFonts w:eastAsia="Times New Roman"/>
          <w:b/>
          <w:bCs/>
          <w:noProof/>
        </w:rPr>
        <w:t xml:space="preserve">: Categories of information to be exchanged by Member States for the taxable period 2026 with effect from 1 </w:t>
      </w:r>
      <w:r w:rsidR="6BE0317C" w:rsidRPr="00F12CB6">
        <w:rPr>
          <w:rFonts w:eastAsia="Times New Roman"/>
          <w:b/>
          <w:bCs/>
          <w:noProof/>
        </w:rPr>
        <w:t>January 2028</w:t>
      </w:r>
    </w:p>
    <w:tbl>
      <w:tblPr>
        <w:tblStyle w:val="TableGrid"/>
        <w:tblW w:w="0" w:type="auto"/>
        <w:tblLook w:val="04A0" w:firstRow="1" w:lastRow="0" w:firstColumn="1" w:lastColumn="0" w:noHBand="0" w:noVBand="1"/>
      </w:tblPr>
      <w:tblGrid>
        <w:gridCol w:w="3055"/>
        <w:gridCol w:w="5686"/>
      </w:tblGrid>
      <w:tr w:rsidR="2A8FE1A3" w14:paraId="5137E2E6" w14:textId="77777777" w:rsidTr="00F12CB6">
        <w:trPr>
          <w:trHeight w:val="300"/>
        </w:trPr>
        <w:tc>
          <w:tcPr>
            <w:tcW w:w="3055" w:type="dxa"/>
            <w:tcBorders>
              <w:top w:val="single" w:sz="8" w:space="0" w:color="auto"/>
              <w:left w:val="single" w:sz="8" w:space="0" w:color="auto"/>
              <w:bottom w:val="single" w:sz="8" w:space="0" w:color="auto"/>
              <w:right w:val="single" w:sz="8" w:space="0" w:color="auto"/>
            </w:tcBorders>
            <w:tcMar>
              <w:left w:w="108" w:type="dxa"/>
              <w:right w:w="108" w:type="dxa"/>
            </w:tcMar>
          </w:tcPr>
          <w:p w14:paraId="00B085E3" w14:textId="5EABB9E2" w:rsidR="2A8FE1A3" w:rsidRPr="00F12CB6" w:rsidRDefault="7C8CD033" w:rsidP="00F12CB6">
            <w:pPr>
              <w:spacing w:after="0"/>
              <w:rPr>
                <w:b/>
                <w:bCs/>
                <w:noProof/>
              </w:rPr>
            </w:pPr>
            <w:r w:rsidRPr="00F12CB6">
              <w:rPr>
                <w:rFonts w:eastAsiaTheme="minorHAnsi"/>
                <w:b/>
                <w:bCs/>
                <w:noProof/>
              </w:rPr>
              <w:t xml:space="preserve">Category of income and capital </w:t>
            </w:r>
          </w:p>
        </w:tc>
        <w:tc>
          <w:tcPr>
            <w:tcW w:w="5686" w:type="dxa"/>
            <w:tcBorders>
              <w:top w:val="single" w:sz="8" w:space="0" w:color="auto"/>
              <w:left w:val="single" w:sz="8" w:space="0" w:color="auto"/>
              <w:bottom w:val="single" w:sz="8" w:space="0" w:color="auto"/>
              <w:right w:val="single" w:sz="8" w:space="0" w:color="auto"/>
            </w:tcBorders>
            <w:tcMar>
              <w:left w:w="108" w:type="dxa"/>
              <w:right w:w="108" w:type="dxa"/>
            </w:tcMar>
          </w:tcPr>
          <w:p w14:paraId="00977CDF" w14:textId="18AD816E" w:rsidR="2A8FE1A3" w:rsidRPr="00F12CB6" w:rsidRDefault="52ECE28E" w:rsidP="00F12CB6">
            <w:pPr>
              <w:spacing w:after="0"/>
              <w:rPr>
                <w:b/>
                <w:bCs/>
                <w:noProof/>
              </w:rPr>
            </w:pPr>
            <w:r w:rsidRPr="00F12CB6">
              <w:rPr>
                <w:rFonts w:eastAsiaTheme="minorEastAsia"/>
                <w:b/>
                <w:bCs/>
                <w:noProof/>
              </w:rPr>
              <w:t>Number of Member States that will exchange as of 1/7/2028</w:t>
            </w:r>
          </w:p>
        </w:tc>
      </w:tr>
      <w:tr w:rsidR="2A8FE1A3" w14:paraId="5CF36A9C" w14:textId="77777777" w:rsidTr="00F12CB6">
        <w:trPr>
          <w:trHeight w:val="300"/>
        </w:trPr>
        <w:tc>
          <w:tcPr>
            <w:tcW w:w="3055" w:type="dxa"/>
            <w:tcBorders>
              <w:top w:val="single" w:sz="8" w:space="0" w:color="auto"/>
              <w:left w:val="single" w:sz="8" w:space="0" w:color="auto"/>
              <w:bottom w:val="single" w:sz="8" w:space="0" w:color="auto"/>
              <w:right w:val="single" w:sz="8" w:space="0" w:color="auto"/>
            </w:tcBorders>
            <w:tcMar>
              <w:left w:w="108" w:type="dxa"/>
              <w:right w:w="108" w:type="dxa"/>
            </w:tcMar>
          </w:tcPr>
          <w:p w14:paraId="67FF2EE3" w14:textId="0335FF38" w:rsidR="2A8FE1A3" w:rsidRPr="00F12CB6" w:rsidRDefault="7C8CD033" w:rsidP="00F12CB6">
            <w:pPr>
              <w:spacing w:after="0"/>
              <w:rPr>
                <w:noProof/>
              </w:rPr>
            </w:pPr>
            <w:r w:rsidRPr="00F12CB6">
              <w:rPr>
                <w:rFonts w:eastAsiaTheme="minorHAnsi"/>
                <w:noProof/>
              </w:rPr>
              <w:t>Income from employment</w:t>
            </w:r>
          </w:p>
        </w:tc>
        <w:tc>
          <w:tcPr>
            <w:tcW w:w="5686" w:type="dxa"/>
            <w:tcBorders>
              <w:top w:val="single" w:sz="8" w:space="0" w:color="auto"/>
              <w:left w:val="single" w:sz="8" w:space="0" w:color="auto"/>
              <w:bottom w:val="single" w:sz="8" w:space="0" w:color="auto"/>
              <w:right w:val="single" w:sz="8" w:space="0" w:color="auto"/>
            </w:tcBorders>
            <w:tcMar>
              <w:left w:w="108" w:type="dxa"/>
              <w:right w:w="108" w:type="dxa"/>
            </w:tcMar>
          </w:tcPr>
          <w:p w14:paraId="592A74D6" w14:textId="7D38BC9C" w:rsidR="2A8FE1A3" w:rsidRPr="00F12CB6" w:rsidRDefault="7C8CD033" w:rsidP="00F12CB6">
            <w:pPr>
              <w:spacing w:after="0"/>
              <w:rPr>
                <w:noProof/>
              </w:rPr>
            </w:pPr>
            <w:r w:rsidRPr="00F12CB6">
              <w:rPr>
                <w:rFonts w:eastAsiaTheme="minorHAnsi"/>
                <w:noProof/>
              </w:rPr>
              <w:t>27 Member States</w:t>
            </w:r>
          </w:p>
        </w:tc>
      </w:tr>
      <w:tr w:rsidR="2A8FE1A3" w14:paraId="1503D1F1" w14:textId="77777777" w:rsidTr="00F12CB6">
        <w:trPr>
          <w:trHeight w:val="300"/>
        </w:trPr>
        <w:tc>
          <w:tcPr>
            <w:tcW w:w="3055" w:type="dxa"/>
            <w:tcBorders>
              <w:top w:val="single" w:sz="8" w:space="0" w:color="auto"/>
              <w:left w:val="single" w:sz="8" w:space="0" w:color="auto"/>
              <w:bottom w:val="single" w:sz="8" w:space="0" w:color="auto"/>
              <w:right w:val="single" w:sz="8" w:space="0" w:color="auto"/>
            </w:tcBorders>
            <w:tcMar>
              <w:left w:w="108" w:type="dxa"/>
              <w:right w:w="108" w:type="dxa"/>
            </w:tcMar>
          </w:tcPr>
          <w:p w14:paraId="56CD8FDA" w14:textId="3D09B095" w:rsidR="2A8FE1A3" w:rsidRPr="00F12CB6" w:rsidRDefault="7C8CD033" w:rsidP="00F12CB6">
            <w:pPr>
              <w:spacing w:after="0"/>
              <w:rPr>
                <w:noProof/>
              </w:rPr>
            </w:pPr>
            <w:r w:rsidRPr="00F12CB6">
              <w:rPr>
                <w:rFonts w:eastAsiaTheme="minorHAnsi"/>
                <w:noProof/>
              </w:rPr>
              <w:t>Ownership of and income from immovable property</w:t>
            </w:r>
          </w:p>
        </w:tc>
        <w:tc>
          <w:tcPr>
            <w:tcW w:w="5686" w:type="dxa"/>
            <w:tcBorders>
              <w:top w:val="single" w:sz="8" w:space="0" w:color="auto"/>
              <w:left w:val="single" w:sz="8" w:space="0" w:color="auto"/>
              <w:bottom w:val="single" w:sz="8" w:space="0" w:color="auto"/>
              <w:right w:val="single" w:sz="8" w:space="0" w:color="auto"/>
            </w:tcBorders>
            <w:tcMar>
              <w:left w:w="108" w:type="dxa"/>
              <w:right w:w="108" w:type="dxa"/>
            </w:tcMar>
          </w:tcPr>
          <w:p w14:paraId="115E5404" w14:textId="0093B9C1" w:rsidR="2A8FE1A3" w:rsidRPr="00F12CB6" w:rsidRDefault="7C8CD033" w:rsidP="00F12CB6">
            <w:pPr>
              <w:spacing w:after="0"/>
              <w:rPr>
                <w:noProof/>
              </w:rPr>
            </w:pPr>
            <w:r w:rsidRPr="00F12CB6">
              <w:rPr>
                <w:rFonts w:eastAsiaTheme="minorHAnsi"/>
                <w:noProof/>
              </w:rPr>
              <w:t>27 Member States</w:t>
            </w:r>
          </w:p>
        </w:tc>
      </w:tr>
      <w:tr w:rsidR="2A8FE1A3" w14:paraId="2BED02E8" w14:textId="77777777" w:rsidTr="00F12CB6">
        <w:trPr>
          <w:trHeight w:val="300"/>
        </w:trPr>
        <w:tc>
          <w:tcPr>
            <w:tcW w:w="3055" w:type="dxa"/>
            <w:tcBorders>
              <w:top w:val="single" w:sz="8" w:space="0" w:color="auto"/>
              <w:left w:val="single" w:sz="8" w:space="0" w:color="auto"/>
              <w:bottom w:val="single" w:sz="8" w:space="0" w:color="auto"/>
              <w:right w:val="single" w:sz="8" w:space="0" w:color="auto"/>
            </w:tcBorders>
            <w:tcMar>
              <w:left w:w="108" w:type="dxa"/>
              <w:right w:w="108" w:type="dxa"/>
            </w:tcMar>
          </w:tcPr>
          <w:p w14:paraId="17826717" w14:textId="6424E4CA" w:rsidR="2A8FE1A3" w:rsidRPr="00F12CB6" w:rsidRDefault="7C8CD033" w:rsidP="00F12CB6">
            <w:pPr>
              <w:spacing w:after="0"/>
              <w:rPr>
                <w:noProof/>
              </w:rPr>
            </w:pPr>
            <w:r w:rsidRPr="00F12CB6">
              <w:rPr>
                <w:rFonts w:eastAsiaTheme="minorHAnsi"/>
                <w:noProof/>
              </w:rPr>
              <w:t>Directors Fees</w:t>
            </w:r>
          </w:p>
        </w:tc>
        <w:tc>
          <w:tcPr>
            <w:tcW w:w="5686" w:type="dxa"/>
            <w:tcBorders>
              <w:top w:val="single" w:sz="8" w:space="0" w:color="auto"/>
              <w:left w:val="single" w:sz="8" w:space="0" w:color="auto"/>
              <w:bottom w:val="single" w:sz="8" w:space="0" w:color="auto"/>
              <w:right w:val="single" w:sz="8" w:space="0" w:color="auto"/>
            </w:tcBorders>
            <w:tcMar>
              <w:left w:w="108" w:type="dxa"/>
              <w:right w:w="108" w:type="dxa"/>
            </w:tcMar>
          </w:tcPr>
          <w:p w14:paraId="06C5AC32" w14:textId="32E9C1ED" w:rsidR="2A8FE1A3" w:rsidRPr="00F12CB6" w:rsidRDefault="7C8CD033" w:rsidP="00F12CB6">
            <w:pPr>
              <w:spacing w:after="0"/>
              <w:rPr>
                <w:noProof/>
              </w:rPr>
            </w:pPr>
            <w:r w:rsidRPr="00F12CB6">
              <w:rPr>
                <w:rFonts w:eastAsiaTheme="minorHAnsi"/>
                <w:noProof/>
              </w:rPr>
              <w:t>24 Member States</w:t>
            </w:r>
          </w:p>
        </w:tc>
      </w:tr>
      <w:tr w:rsidR="2A8FE1A3" w14:paraId="35A1AC43" w14:textId="77777777" w:rsidTr="00F12CB6">
        <w:trPr>
          <w:trHeight w:val="300"/>
        </w:trPr>
        <w:tc>
          <w:tcPr>
            <w:tcW w:w="3055" w:type="dxa"/>
            <w:tcBorders>
              <w:top w:val="single" w:sz="8" w:space="0" w:color="auto"/>
              <w:left w:val="single" w:sz="8" w:space="0" w:color="auto"/>
              <w:bottom w:val="single" w:sz="8" w:space="0" w:color="auto"/>
              <w:right w:val="single" w:sz="8" w:space="0" w:color="auto"/>
            </w:tcBorders>
            <w:tcMar>
              <w:left w:w="108" w:type="dxa"/>
              <w:right w:w="108" w:type="dxa"/>
            </w:tcMar>
          </w:tcPr>
          <w:p w14:paraId="1163EAFE" w14:textId="694645C1" w:rsidR="2A8FE1A3" w:rsidRPr="00F12CB6" w:rsidRDefault="7C8CD033" w:rsidP="00F12CB6">
            <w:pPr>
              <w:spacing w:after="0"/>
              <w:rPr>
                <w:noProof/>
              </w:rPr>
            </w:pPr>
            <w:r w:rsidRPr="00F12CB6">
              <w:rPr>
                <w:rFonts w:eastAsiaTheme="minorHAnsi"/>
                <w:noProof/>
              </w:rPr>
              <w:t>Pensions</w:t>
            </w:r>
          </w:p>
        </w:tc>
        <w:tc>
          <w:tcPr>
            <w:tcW w:w="5686" w:type="dxa"/>
            <w:tcBorders>
              <w:top w:val="single" w:sz="8" w:space="0" w:color="auto"/>
              <w:left w:val="single" w:sz="8" w:space="0" w:color="auto"/>
              <w:bottom w:val="single" w:sz="8" w:space="0" w:color="auto"/>
              <w:right w:val="single" w:sz="8" w:space="0" w:color="auto"/>
            </w:tcBorders>
            <w:tcMar>
              <w:left w:w="108" w:type="dxa"/>
              <w:right w:w="108" w:type="dxa"/>
            </w:tcMar>
          </w:tcPr>
          <w:p w14:paraId="4DE9C76C" w14:textId="43414462" w:rsidR="2A8FE1A3" w:rsidRPr="00F12CB6" w:rsidRDefault="7C8CD033" w:rsidP="00F12CB6">
            <w:pPr>
              <w:spacing w:after="0"/>
              <w:rPr>
                <w:noProof/>
              </w:rPr>
            </w:pPr>
            <w:r w:rsidRPr="00F12CB6">
              <w:rPr>
                <w:rFonts w:eastAsiaTheme="minorHAnsi"/>
                <w:noProof/>
              </w:rPr>
              <w:t xml:space="preserve">23 Member States </w:t>
            </w:r>
          </w:p>
        </w:tc>
      </w:tr>
      <w:tr w:rsidR="2A8FE1A3" w14:paraId="37B4D1AC" w14:textId="77777777" w:rsidTr="00F12CB6">
        <w:trPr>
          <w:trHeight w:val="300"/>
        </w:trPr>
        <w:tc>
          <w:tcPr>
            <w:tcW w:w="3055" w:type="dxa"/>
            <w:tcBorders>
              <w:top w:val="single" w:sz="8" w:space="0" w:color="auto"/>
              <w:left w:val="single" w:sz="8" w:space="0" w:color="auto"/>
              <w:bottom w:val="single" w:sz="8" w:space="0" w:color="auto"/>
              <w:right w:val="single" w:sz="8" w:space="0" w:color="auto"/>
            </w:tcBorders>
            <w:tcMar>
              <w:left w:w="108" w:type="dxa"/>
              <w:right w:w="108" w:type="dxa"/>
            </w:tcMar>
          </w:tcPr>
          <w:p w14:paraId="60F3F207" w14:textId="2AAD4E8F" w:rsidR="2A8FE1A3" w:rsidRPr="00F12CB6" w:rsidRDefault="7C8CD033" w:rsidP="00F12CB6">
            <w:pPr>
              <w:spacing w:after="0"/>
              <w:rPr>
                <w:noProof/>
              </w:rPr>
            </w:pPr>
            <w:r w:rsidRPr="00F12CB6">
              <w:rPr>
                <w:rFonts w:eastAsiaTheme="minorHAnsi"/>
                <w:noProof/>
              </w:rPr>
              <w:t>Royalties</w:t>
            </w:r>
          </w:p>
        </w:tc>
        <w:tc>
          <w:tcPr>
            <w:tcW w:w="5686" w:type="dxa"/>
            <w:tcBorders>
              <w:top w:val="single" w:sz="8" w:space="0" w:color="auto"/>
              <w:left w:val="single" w:sz="8" w:space="0" w:color="auto"/>
              <w:bottom w:val="single" w:sz="8" w:space="0" w:color="auto"/>
              <w:right w:val="single" w:sz="8" w:space="0" w:color="auto"/>
            </w:tcBorders>
            <w:tcMar>
              <w:left w:w="108" w:type="dxa"/>
              <w:right w:w="108" w:type="dxa"/>
            </w:tcMar>
          </w:tcPr>
          <w:p w14:paraId="089BA7C4" w14:textId="50633E7E" w:rsidR="2A8FE1A3" w:rsidRPr="00F12CB6" w:rsidRDefault="7C8CD033" w:rsidP="00F12CB6">
            <w:pPr>
              <w:spacing w:after="0"/>
              <w:rPr>
                <w:noProof/>
              </w:rPr>
            </w:pPr>
            <w:r w:rsidRPr="00F12CB6">
              <w:rPr>
                <w:rFonts w:eastAsiaTheme="minorHAnsi"/>
                <w:noProof/>
              </w:rPr>
              <w:t xml:space="preserve">22 Member States </w:t>
            </w:r>
          </w:p>
        </w:tc>
      </w:tr>
      <w:tr w:rsidR="2A8FE1A3" w14:paraId="6FCE9B23" w14:textId="77777777" w:rsidTr="00F12CB6">
        <w:trPr>
          <w:trHeight w:val="300"/>
        </w:trPr>
        <w:tc>
          <w:tcPr>
            <w:tcW w:w="3055" w:type="dxa"/>
            <w:tcBorders>
              <w:top w:val="single" w:sz="8" w:space="0" w:color="auto"/>
              <w:left w:val="single" w:sz="8" w:space="0" w:color="auto"/>
              <w:bottom w:val="single" w:sz="8" w:space="0" w:color="auto"/>
              <w:right w:val="single" w:sz="8" w:space="0" w:color="auto"/>
            </w:tcBorders>
            <w:tcMar>
              <w:left w:w="108" w:type="dxa"/>
              <w:right w:w="108" w:type="dxa"/>
            </w:tcMar>
          </w:tcPr>
          <w:p w14:paraId="2FD24CD5" w14:textId="55BC841B" w:rsidR="2A8FE1A3" w:rsidRPr="00F12CB6" w:rsidRDefault="7C8CD033" w:rsidP="00F12CB6">
            <w:pPr>
              <w:spacing w:after="0"/>
              <w:rPr>
                <w:noProof/>
              </w:rPr>
            </w:pPr>
            <w:r w:rsidRPr="00F12CB6">
              <w:rPr>
                <w:rFonts w:eastAsiaTheme="minorHAnsi"/>
                <w:noProof/>
              </w:rPr>
              <w:t>Non-custodial dividend income</w:t>
            </w:r>
          </w:p>
        </w:tc>
        <w:tc>
          <w:tcPr>
            <w:tcW w:w="5686" w:type="dxa"/>
            <w:tcBorders>
              <w:top w:val="single" w:sz="8" w:space="0" w:color="auto"/>
              <w:left w:val="single" w:sz="8" w:space="0" w:color="auto"/>
              <w:bottom w:val="single" w:sz="8" w:space="0" w:color="auto"/>
              <w:right w:val="single" w:sz="8" w:space="0" w:color="auto"/>
            </w:tcBorders>
            <w:tcMar>
              <w:left w:w="108" w:type="dxa"/>
              <w:right w:w="108" w:type="dxa"/>
            </w:tcMar>
          </w:tcPr>
          <w:p w14:paraId="4153BFA8" w14:textId="7AEC22DD" w:rsidR="2A8FE1A3" w:rsidRPr="00F12CB6" w:rsidRDefault="7C8CD033" w:rsidP="00F12CB6">
            <w:pPr>
              <w:spacing w:after="0"/>
              <w:rPr>
                <w:noProof/>
              </w:rPr>
            </w:pPr>
            <w:r w:rsidRPr="00F12CB6">
              <w:rPr>
                <w:rFonts w:eastAsiaTheme="minorHAnsi"/>
                <w:noProof/>
              </w:rPr>
              <w:t>8 Member States</w:t>
            </w:r>
          </w:p>
        </w:tc>
      </w:tr>
    </w:tbl>
    <w:p w14:paraId="7F410950" w14:textId="77777777" w:rsidR="00F12CB6" w:rsidRDefault="00F12CB6">
      <w:pPr>
        <w:rPr>
          <w:noProof/>
        </w:rPr>
      </w:pPr>
    </w:p>
    <w:p w14:paraId="70E6A600" w14:textId="4108B584" w:rsidR="0A50CFDE" w:rsidRDefault="4E64A607">
      <w:pPr>
        <w:rPr>
          <w:noProof/>
        </w:rPr>
      </w:pPr>
      <w:r>
        <w:rPr>
          <w:noProof/>
        </w:rPr>
        <w:t>With respect to</w:t>
      </w:r>
      <w:r w:rsidR="089E0C22">
        <w:rPr>
          <w:noProof/>
        </w:rPr>
        <w:t xml:space="preserve"> the</w:t>
      </w:r>
      <w:r>
        <w:rPr>
          <w:noProof/>
        </w:rPr>
        <w:t xml:space="preserve"> three Member States that do not currently exchange information on </w:t>
      </w:r>
      <w:r w:rsidR="29620AA3">
        <w:rPr>
          <w:noProof/>
        </w:rPr>
        <w:t xml:space="preserve">directors' fees </w:t>
      </w:r>
      <w:r>
        <w:rPr>
          <w:noProof/>
        </w:rPr>
        <w:t>this information is already available to the tax aut</w:t>
      </w:r>
      <w:r w:rsidR="26738AB4">
        <w:rPr>
          <w:noProof/>
        </w:rPr>
        <w:t>horities of th</w:t>
      </w:r>
      <w:r w:rsidR="1D7D33B1">
        <w:rPr>
          <w:noProof/>
        </w:rPr>
        <w:t>e</w:t>
      </w:r>
      <w:r w:rsidR="26738AB4">
        <w:rPr>
          <w:noProof/>
        </w:rPr>
        <w:t>se Member States</w:t>
      </w:r>
      <w:r w:rsidR="1204FD67">
        <w:rPr>
          <w:noProof/>
        </w:rPr>
        <w:t>.</w:t>
      </w:r>
      <w:r w:rsidR="79757169">
        <w:rPr>
          <w:noProof/>
        </w:rPr>
        <w:t xml:space="preserve"> However, these Member States are currently unable </w:t>
      </w:r>
      <w:r w:rsidR="0C0B286C">
        <w:rPr>
          <w:noProof/>
        </w:rPr>
        <w:t>to exchange th</w:t>
      </w:r>
      <w:r w:rsidR="607BA9AF">
        <w:rPr>
          <w:noProof/>
        </w:rPr>
        <w:t>is</w:t>
      </w:r>
      <w:r w:rsidR="0C0B286C">
        <w:rPr>
          <w:noProof/>
        </w:rPr>
        <w:t xml:space="preserve"> information as </w:t>
      </w:r>
      <w:r w:rsidR="0463C014">
        <w:rPr>
          <w:noProof/>
        </w:rPr>
        <w:t>directors' fees are</w:t>
      </w:r>
      <w:r w:rsidR="0C0B286C">
        <w:rPr>
          <w:noProof/>
        </w:rPr>
        <w:t xml:space="preserve"> reported</w:t>
      </w:r>
      <w:r w:rsidR="38EAF4D0">
        <w:rPr>
          <w:noProof/>
        </w:rPr>
        <w:t xml:space="preserve"> nationally</w:t>
      </w:r>
      <w:r w:rsidR="0C0B286C">
        <w:rPr>
          <w:noProof/>
        </w:rPr>
        <w:t xml:space="preserve"> under the category of income from employment. </w:t>
      </w:r>
      <w:r w:rsidR="4A4F347F">
        <w:rPr>
          <w:noProof/>
        </w:rPr>
        <w:t xml:space="preserve">Therefore, only limited technical national reporting adjustments are required to ensure that all </w:t>
      </w:r>
      <w:r w:rsidR="1591078E">
        <w:rPr>
          <w:noProof/>
        </w:rPr>
        <w:t>Member States exchange information on directors' fees.</w:t>
      </w:r>
      <w:r w:rsidR="42A4F22D">
        <w:rPr>
          <w:noProof/>
        </w:rPr>
        <w:t xml:space="preserve"> The lower number of Member States that intend to exchange information on royalties and non-custodial dividend </w:t>
      </w:r>
      <w:r w:rsidR="551B9557">
        <w:rPr>
          <w:noProof/>
        </w:rPr>
        <w:t xml:space="preserve">income is reflective of the fact that these categories of information were only recently introduced by DAC7 and DAC8 respectively. </w:t>
      </w:r>
      <w:r w:rsidR="32302FCE">
        <w:rPr>
          <w:noProof/>
        </w:rPr>
        <w:t>However, as this income is taxable in the vast majority of Member States</w:t>
      </w:r>
      <w:r w:rsidR="00F12CB6">
        <w:rPr>
          <w:rStyle w:val="FootnoteReference"/>
          <w:noProof/>
        </w:rPr>
        <w:footnoteReference w:id="70"/>
      </w:r>
      <w:r w:rsidR="32302FCE">
        <w:rPr>
          <w:noProof/>
        </w:rPr>
        <w:t xml:space="preserve">, it is expected that this income will be available to the tax authorities. </w:t>
      </w:r>
    </w:p>
    <w:p w14:paraId="72AA1EEB" w14:textId="77777777" w:rsidR="00E14C98" w:rsidRDefault="73901CEA" w:rsidP="33561B1D">
      <w:pPr>
        <w:rPr>
          <w:rFonts w:eastAsia="Times New Roman"/>
          <w:noProof/>
        </w:rPr>
      </w:pPr>
      <w:r>
        <w:rPr>
          <w:noProof/>
        </w:rPr>
        <w:t>PO5C also proposes that Member States shall exchange all information that is available at the national level. A key rationale for this proposal is to ensure alignment with the Commission’s ‘Once-Only Principle</w:t>
      </w:r>
      <w:r w:rsidR="64CE82BD">
        <w:rPr>
          <w:noProof/>
        </w:rPr>
        <w:t>’</w:t>
      </w:r>
      <w:r w:rsidR="00F12CB6">
        <w:rPr>
          <w:rStyle w:val="FootnoteReference"/>
          <w:noProof/>
        </w:rPr>
        <w:footnoteReference w:id="71"/>
      </w:r>
      <w:r w:rsidR="6B085276" w:rsidRPr="6A86AAB7">
        <w:rPr>
          <w:rFonts w:eastAsia="Times New Roman"/>
          <w:noProof/>
        </w:rPr>
        <w:t xml:space="preserve"> </w:t>
      </w:r>
      <w:r w:rsidR="04D1AB3C" w:rsidRPr="7B67C206">
        <w:rPr>
          <w:rFonts w:eastAsia="Times New Roman"/>
          <w:noProof/>
        </w:rPr>
        <w:t xml:space="preserve">according to which </w:t>
      </w:r>
      <w:r w:rsidR="6B085276" w:rsidRPr="7B67C206">
        <w:rPr>
          <w:rFonts w:eastAsia="Times New Roman"/>
          <w:noProof/>
        </w:rPr>
        <w:t xml:space="preserve">citizens and businesses should provide the same information to public authorities only once. </w:t>
      </w:r>
      <w:r w:rsidR="18B7DE61" w:rsidRPr="7B67C206">
        <w:rPr>
          <w:rFonts w:eastAsia="Times New Roman"/>
          <w:noProof/>
        </w:rPr>
        <w:t>To achieve this objective the principle provides that public administrations should then securely reuse and share tha</w:t>
      </w:r>
      <w:r w:rsidR="2A8BA751" w:rsidRPr="7B67C206">
        <w:rPr>
          <w:rFonts w:eastAsia="Times New Roman"/>
          <w:noProof/>
        </w:rPr>
        <w:t xml:space="preserve">t information across authorities with </w:t>
      </w:r>
      <w:r w:rsidR="6A900B17" w:rsidRPr="7B67C206">
        <w:rPr>
          <w:rFonts w:eastAsia="Times New Roman"/>
          <w:noProof/>
        </w:rPr>
        <w:t xml:space="preserve">an </w:t>
      </w:r>
      <w:r w:rsidR="2A8BA751" w:rsidRPr="7B67C206">
        <w:rPr>
          <w:rFonts w:eastAsia="Times New Roman"/>
          <w:noProof/>
        </w:rPr>
        <w:t>appropriate legal basis</w:t>
      </w:r>
      <w:r w:rsidR="54E0DE9C" w:rsidRPr="7B67C206">
        <w:rPr>
          <w:rFonts w:eastAsia="Times New Roman"/>
          <w:noProof/>
        </w:rPr>
        <w:t xml:space="preserve"> that will be provided for </w:t>
      </w:r>
      <w:r w:rsidR="62FE5846" w:rsidRPr="7B67C206">
        <w:rPr>
          <w:rFonts w:eastAsia="Times New Roman"/>
          <w:noProof/>
        </w:rPr>
        <w:t>under</w:t>
      </w:r>
      <w:r w:rsidR="54E0DE9C" w:rsidRPr="7B67C206">
        <w:rPr>
          <w:rFonts w:eastAsia="Times New Roman"/>
          <w:noProof/>
        </w:rPr>
        <w:t xml:space="preserve"> this initiative</w:t>
      </w:r>
      <w:r w:rsidR="179B5B7D" w:rsidRPr="7B67C206">
        <w:rPr>
          <w:rFonts w:eastAsia="Times New Roman"/>
          <w:noProof/>
        </w:rPr>
        <w:t>, which upon transposition will</w:t>
      </w:r>
      <w:r w:rsidR="5CE1AFC7" w:rsidRPr="7B67C206">
        <w:rPr>
          <w:rFonts w:eastAsia="Times New Roman"/>
          <w:noProof/>
        </w:rPr>
        <w:t xml:space="preserve"> then be </w:t>
      </w:r>
      <w:r w:rsidR="179B5B7D" w:rsidRPr="7B67C206">
        <w:rPr>
          <w:rFonts w:eastAsia="Times New Roman"/>
          <w:noProof/>
        </w:rPr>
        <w:t xml:space="preserve">applied in accordance with the domestic of law of Member States. </w:t>
      </w:r>
      <w:r w:rsidR="1ED6423C" w:rsidRPr="7B67C206">
        <w:rPr>
          <w:rFonts w:eastAsia="Times New Roman"/>
          <w:noProof/>
        </w:rPr>
        <w:t>Appropriate data sharing safeguards will be applied at the national level</w:t>
      </w:r>
      <w:r w:rsidR="4DC4C21D" w:rsidRPr="7B67C206">
        <w:rPr>
          <w:rFonts w:eastAsia="Times New Roman"/>
          <w:noProof/>
        </w:rPr>
        <w:t xml:space="preserve"> in accordance with the requirements of the GDPR</w:t>
      </w:r>
      <w:r w:rsidR="1ED6423C" w:rsidRPr="7B67C206">
        <w:rPr>
          <w:rFonts w:eastAsia="Times New Roman"/>
          <w:noProof/>
        </w:rPr>
        <w:t>, while the</w:t>
      </w:r>
      <w:r w:rsidR="599C195A" w:rsidRPr="7B67C206">
        <w:rPr>
          <w:rFonts w:eastAsia="Times New Roman"/>
          <w:noProof/>
        </w:rPr>
        <w:t xml:space="preserve"> automatic</w:t>
      </w:r>
      <w:r w:rsidR="1ED6423C" w:rsidRPr="7B67C206">
        <w:rPr>
          <w:rFonts w:eastAsia="Times New Roman"/>
          <w:noProof/>
        </w:rPr>
        <w:t xml:space="preserve"> exchange of information shall take place in accordance with the </w:t>
      </w:r>
      <w:r w:rsidR="60CB832A" w:rsidRPr="7B67C206">
        <w:rPr>
          <w:rFonts w:eastAsia="Times New Roman"/>
          <w:noProof/>
        </w:rPr>
        <w:t>well-established secure transmission system of the European Commission.</w:t>
      </w:r>
      <w:r w:rsidR="2A8BA751" w:rsidRPr="6E3781F2">
        <w:rPr>
          <w:rFonts w:eastAsia="Times New Roman"/>
          <w:noProof/>
        </w:rPr>
        <w:t xml:space="preserve"> </w:t>
      </w:r>
    </w:p>
    <w:p w14:paraId="36CB222B" w14:textId="494EE4BE" w:rsidR="0D6746BB" w:rsidRDefault="00D16DD6" w:rsidP="33561B1D">
      <w:pPr>
        <w:rPr>
          <w:rFonts w:eastAsia="Times New Roman"/>
          <w:noProof/>
        </w:rPr>
      </w:pPr>
      <w:r w:rsidRPr="6E3781F2">
        <w:rPr>
          <w:rFonts w:eastAsia="Times New Roman"/>
          <w:noProof/>
        </w:rPr>
        <w:t>DAC5 already provides tax authorities with access to certain beneficial ownership information that has been collected under anti-money laundering legislation</w:t>
      </w:r>
      <w:r w:rsidR="003A245B" w:rsidRPr="6E3781F2">
        <w:rPr>
          <w:rFonts w:eastAsia="Times New Roman"/>
          <w:noProof/>
        </w:rPr>
        <w:t>. Consistent with the</w:t>
      </w:r>
      <w:r w:rsidR="006B722C" w:rsidRPr="6E3781F2">
        <w:rPr>
          <w:rFonts w:eastAsia="Times New Roman"/>
          <w:noProof/>
        </w:rPr>
        <w:t xml:space="preserve"> once-only principle</w:t>
      </w:r>
      <w:r w:rsidR="61251BA3" w:rsidRPr="6E3781F2">
        <w:rPr>
          <w:rFonts w:eastAsia="Times New Roman"/>
          <w:noProof/>
        </w:rPr>
        <w:t xml:space="preserve"> and in accordance with the existing well-established access safeguards that have been applied at nati</w:t>
      </w:r>
      <w:r w:rsidR="13AEB8D8" w:rsidRPr="6E3781F2">
        <w:rPr>
          <w:rFonts w:eastAsia="Times New Roman"/>
          <w:noProof/>
        </w:rPr>
        <w:t xml:space="preserve">onal level in accordance with the requirements of the GDPR, </w:t>
      </w:r>
      <w:r w:rsidR="003A245B" w:rsidRPr="6E3781F2">
        <w:rPr>
          <w:rFonts w:eastAsia="Times New Roman"/>
          <w:noProof/>
        </w:rPr>
        <w:t xml:space="preserve">this initiative will </w:t>
      </w:r>
      <w:r w:rsidR="00E94CBF" w:rsidRPr="6E3781F2">
        <w:rPr>
          <w:rFonts w:eastAsia="Times New Roman"/>
          <w:noProof/>
        </w:rPr>
        <w:t xml:space="preserve">enhance access </w:t>
      </w:r>
      <w:r w:rsidR="006B722C" w:rsidRPr="6E3781F2">
        <w:rPr>
          <w:rFonts w:eastAsia="Times New Roman"/>
          <w:noProof/>
        </w:rPr>
        <w:t xml:space="preserve">to relevant information </w:t>
      </w:r>
      <w:r w:rsidR="00E94CBF" w:rsidRPr="6E3781F2">
        <w:rPr>
          <w:rFonts w:eastAsia="Times New Roman"/>
          <w:noProof/>
        </w:rPr>
        <w:t>under</w:t>
      </w:r>
      <w:r w:rsidR="003A245B" w:rsidRPr="6E3781F2">
        <w:rPr>
          <w:rFonts w:eastAsia="Times New Roman"/>
          <w:noProof/>
        </w:rPr>
        <w:t xml:space="preserve"> DAC5 </w:t>
      </w:r>
      <w:r w:rsidR="00E94CBF" w:rsidRPr="6E3781F2">
        <w:rPr>
          <w:rFonts w:eastAsia="Times New Roman"/>
          <w:noProof/>
        </w:rPr>
        <w:t xml:space="preserve">in line with the new Anti-Money Laundering Directive (Directive (EU) 2024/1640). </w:t>
      </w:r>
      <w:r w:rsidR="14C4A232" w:rsidRPr="6E3781F2">
        <w:rPr>
          <w:rFonts w:eastAsia="Times New Roman"/>
          <w:noProof/>
        </w:rPr>
        <w:t xml:space="preserve">More specifically this enhancement </w:t>
      </w:r>
      <w:r w:rsidR="4A30F46D" w:rsidRPr="6E3781F2">
        <w:rPr>
          <w:rFonts w:eastAsia="Times New Roman"/>
          <w:noProof/>
        </w:rPr>
        <w:t xml:space="preserve">will ensure that the tax authorities of Member States have the necessary </w:t>
      </w:r>
      <w:r w:rsidR="6754593D" w:rsidRPr="30820474">
        <w:rPr>
          <w:rFonts w:eastAsia="Times New Roman"/>
          <w:noProof/>
        </w:rPr>
        <w:t xml:space="preserve">legal basis to access relevant information </w:t>
      </w:r>
      <w:r w:rsidR="14124581" w:rsidRPr="30820474">
        <w:rPr>
          <w:rFonts w:eastAsia="Times New Roman"/>
          <w:noProof/>
        </w:rPr>
        <w:t>held by other public authorities at national level with respect to</w:t>
      </w:r>
      <w:r w:rsidR="6754593D" w:rsidRPr="30820474">
        <w:rPr>
          <w:rFonts w:eastAsia="Times New Roman"/>
          <w:noProof/>
        </w:rPr>
        <w:t xml:space="preserve"> ownership of and income from immovable property</w:t>
      </w:r>
      <w:r w:rsidR="18D6A199" w:rsidRPr="30820474">
        <w:rPr>
          <w:rFonts w:eastAsia="Times New Roman"/>
          <w:noProof/>
        </w:rPr>
        <w:t xml:space="preserve">, </w:t>
      </w:r>
      <w:r w:rsidR="5906B32A" w:rsidRPr="30820474">
        <w:rPr>
          <w:rFonts w:eastAsia="Times New Roman"/>
          <w:noProof/>
        </w:rPr>
        <w:t>specifically the</w:t>
      </w:r>
      <w:r w:rsidR="18D6A199" w:rsidRPr="30820474">
        <w:rPr>
          <w:rFonts w:eastAsia="Times New Roman"/>
          <w:noProof/>
        </w:rPr>
        <w:t xml:space="preserve"> single access point for real estate information.</w:t>
      </w:r>
    </w:p>
    <w:p w14:paraId="0D574E2A" w14:textId="2F9923AE" w:rsidR="00F428D5" w:rsidRDefault="4C168A2E" w:rsidP="00F428D5">
      <w:pPr>
        <w:rPr>
          <w:noProof/>
        </w:rPr>
      </w:pPr>
      <w:r w:rsidRPr="30820474">
        <w:rPr>
          <w:rFonts w:eastAsia="Times New Roman"/>
          <w:noProof/>
        </w:rPr>
        <w:t xml:space="preserve">By providing </w:t>
      </w:r>
      <w:r w:rsidR="4162EB48" w:rsidRPr="30820474">
        <w:rPr>
          <w:rFonts w:eastAsia="Times New Roman"/>
          <w:noProof/>
        </w:rPr>
        <w:t xml:space="preserve">tax authorities with </w:t>
      </w:r>
      <w:r w:rsidRPr="30820474">
        <w:rPr>
          <w:rFonts w:eastAsia="Times New Roman"/>
          <w:noProof/>
        </w:rPr>
        <w:t>a legal basis to</w:t>
      </w:r>
      <w:r w:rsidR="40174B16" w:rsidRPr="30820474">
        <w:rPr>
          <w:rFonts w:eastAsia="Times New Roman"/>
          <w:noProof/>
        </w:rPr>
        <w:t xml:space="preserve"> access</w:t>
      </w:r>
      <w:r w:rsidRPr="30820474">
        <w:rPr>
          <w:rFonts w:eastAsia="Times New Roman"/>
          <w:noProof/>
        </w:rPr>
        <w:t xml:space="preserve"> relevant information held </w:t>
      </w:r>
      <w:r w:rsidR="458E8B10" w:rsidRPr="30820474">
        <w:rPr>
          <w:rFonts w:eastAsia="Times New Roman"/>
          <w:noProof/>
        </w:rPr>
        <w:t xml:space="preserve">by other public authorities </w:t>
      </w:r>
      <w:r w:rsidRPr="30820474">
        <w:rPr>
          <w:rFonts w:eastAsia="Times New Roman"/>
          <w:noProof/>
        </w:rPr>
        <w:t xml:space="preserve">at national level this is also expected to </w:t>
      </w:r>
      <w:r w:rsidR="502A75FB" w:rsidRPr="30820474">
        <w:rPr>
          <w:rFonts w:eastAsia="Times New Roman"/>
          <w:noProof/>
        </w:rPr>
        <w:t>significantly reduce the associated technical implementation costs</w:t>
      </w:r>
      <w:r w:rsidR="0C2078BD" w:rsidRPr="30820474">
        <w:rPr>
          <w:rFonts w:eastAsia="Times New Roman"/>
          <w:noProof/>
        </w:rPr>
        <w:t>.</w:t>
      </w:r>
      <w:r w:rsidR="502A75FB" w:rsidRPr="30820474">
        <w:rPr>
          <w:rFonts w:eastAsia="Times New Roman"/>
          <w:noProof/>
        </w:rPr>
        <w:t xml:space="preserve"> </w:t>
      </w:r>
      <w:r w:rsidR="68AF923C">
        <w:rPr>
          <w:noProof/>
        </w:rPr>
        <w:t>However, these costs cannot be quantified</w:t>
      </w:r>
      <w:r w:rsidR="00E94CBF">
        <w:rPr>
          <w:noProof/>
        </w:rPr>
        <w:t>, the main reasons for this is the</w:t>
      </w:r>
      <w:r w:rsidR="00F428D5">
        <w:rPr>
          <w:noProof/>
        </w:rPr>
        <w:t xml:space="preserve"> significant heterogeneity across Member States in terms of existing data-sharing arrangements, IT infrastructures, legal frameworks and administrative capacities. In some Member States, tax administrations already have relatively broad access to information held by other public authorities, while in others such access remains limited and would require more substantial adjustments.</w:t>
      </w:r>
    </w:p>
    <w:p w14:paraId="132E9FEF" w14:textId="5DB1FA12" w:rsidR="00E16446" w:rsidRDefault="00D82DAD" w:rsidP="00F428D5">
      <w:pPr>
        <w:rPr>
          <w:noProof/>
        </w:rPr>
      </w:pPr>
      <w:r>
        <w:rPr>
          <w:noProof/>
        </w:rPr>
        <w:t>A robust cost estimate would therefore require a detailed, country-by-country assessment of (i) the current level of data integration, (ii) the additional data sources to be covered under the policy option, and (iii) the technical and organisational changes needed to enable access and exchange. Such granular and comparable information is not available at EU level and goes beyond the scope of the present analysis. As a result, the magnitude of adjustment costs is expected to vary considerably across Member States.</w:t>
      </w:r>
      <w:r w:rsidR="274A3754" w:rsidRPr="4321A1A3">
        <w:rPr>
          <w:noProof/>
        </w:rPr>
        <w:t xml:space="preserve"> </w:t>
      </w:r>
      <w:r w:rsidR="2DC1678D" w:rsidRPr="4321A1A3">
        <w:rPr>
          <w:noProof/>
        </w:rPr>
        <w:t>That said, this</w:t>
      </w:r>
      <w:r w:rsidR="6DC8BAC7" w:rsidRPr="4321A1A3">
        <w:rPr>
          <w:noProof/>
        </w:rPr>
        <w:t xml:space="preserve"> </w:t>
      </w:r>
      <w:r w:rsidR="6DC8BAC7">
        <w:rPr>
          <w:noProof/>
        </w:rPr>
        <w:t xml:space="preserve">option </w:t>
      </w:r>
      <w:r w:rsidR="4C522F75">
        <w:rPr>
          <w:noProof/>
        </w:rPr>
        <w:t xml:space="preserve">would significantly improve the </w:t>
      </w:r>
      <w:r w:rsidR="34606121">
        <w:rPr>
          <w:noProof/>
        </w:rPr>
        <w:t>level playing field and</w:t>
      </w:r>
      <w:r w:rsidR="4C522F75">
        <w:rPr>
          <w:noProof/>
        </w:rPr>
        <w:t xml:space="preserve"> completeness of the information available to tax administrations</w:t>
      </w:r>
      <w:r w:rsidR="001C2683">
        <w:rPr>
          <w:noProof/>
        </w:rPr>
        <w:t xml:space="preserve">, thereby strengthening </w:t>
      </w:r>
      <w:r w:rsidR="00AA06D3">
        <w:rPr>
          <w:noProof/>
        </w:rPr>
        <w:t>their capacity to effectively assess and tax cross-border income</w:t>
      </w:r>
      <w:r w:rsidR="4C522F75">
        <w:rPr>
          <w:noProof/>
        </w:rPr>
        <w:t>.</w:t>
      </w:r>
    </w:p>
    <w:p w14:paraId="502089C9" w14:textId="13776DB1" w:rsidR="050A243C" w:rsidRDefault="050A243C" w:rsidP="0059106A">
      <w:pPr>
        <w:pStyle w:val="Heading2"/>
        <w:numPr>
          <w:ilvl w:val="1"/>
          <w:numId w:val="28"/>
        </w:numPr>
        <w:rPr>
          <w:b w:val="0"/>
          <w:bCs/>
          <w:noProof/>
        </w:rPr>
      </w:pPr>
      <w:bookmarkStart w:id="23" w:name="_Toc231816709"/>
      <w:r w:rsidRPr="00CE11BD">
        <w:rPr>
          <w:noProof/>
        </w:rPr>
        <w:t>Impact on competitiveness and SME’s</w:t>
      </w:r>
      <w:bookmarkEnd w:id="23"/>
    </w:p>
    <w:p w14:paraId="11044467" w14:textId="582AC1E0" w:rsidR="00A367E2" w:rsidRPr="00B23A21" w:rsidRDefault="00A367E2" w:rsidP="00B23A21">
      <w:pPr>
        <w:pStyle w:val="Heading3"/>
        <w:numPr>
          <w:ilvl w:val="0"/>
          <w:numId w:val="0"/>
        </w:numPr>
        <w:rPr>
          <w:b/>
          <w:bCs/>
          <w:noProof/>
        </w:rPr>
      </w:pPr>
      <w:r w:rsidRPr="00B23A21">
        <w:rPr>
          <w:b/>
          <w:bCs/>
          <w:noProof/>
        </w:rPr>
        <w:t>Impact on competitiveness</w:t>
      </w:r>
    </w:p>
    <w:p w14:paraId="51A3F6FE" w14:textId="5CC685BD" w:rsidR="00F00D53" w:rsidRDefault="00F00D53" w:rsidP="00F00D53">
      <w:pPr>
        <w:spacing w:before="240"/>
        <w:rPr>
          <w:noProof/>
        </w:rPr>
      </w:pPr>
      <w:r>
        <w:rPr>
          <w:noProof/>
        </w:rPr>
        <w:t>By introducing targeted simplifications</w:t>
      </w:r>
      <w:r w:rsidR="006E2FF4">
        <w:rPr>
          <w:noProof/>
        </w:rPr>
        <w:t>,</w:t>
      </w:r>
      <w:r>
        <w:rPr>
          <w:noProof/>
        </w:rPr>
        <w:t xml:space="preserve"> greater harmonisation</w:t>
      </w:r>
      <w:r w:rsidR="006E2FF4">
        <w:rPr>
          <w:noProof/>
        </w:rPr>
        <w:t xml:space="preserve"> and clarity</w:t>
      </w:r>
      <w:r>
        <w:rPr>
          <w:noProof/>
        </w:rPr>
        <w:t xml:space="preserve"> across existing DAC instruments, the initiative is expected to have a positive impact on </w:t>
      </w:r>
      <w:r w:rsidR="7FF9BC96">
        <w:rPr>
          <w:noProof/>
        </w:rPr>
        <w:t>business</w:t>
      </w:r>
      <w:r>
        <w:rPr>
          <w:noProof/>
        </w:rPr>
        <w:t xml:space="preserve"> cost </w:t>
      </w:r>
      <w:r w:rsidRPr="0B94D218">
        <w:rPr>
          <w:b/>
          <w:noProof/>
        </w:rPr>
        <w:t>competitiveness.</w:t>
      </w:r>
      <w:r>
        <w:rPr>
          <w:noProof/>
        </w:rPr>
        <w:t xml:space="preserve"> The proposed measures reduce administrative burdens associated with reporting, notification and compliance obligations, thereby lowering recurring compliance costs for businesses operating in the </w:t>
      </w:r>
      <w:r w:rsidR="63C0560D">
        <w:rPr>
          <w:noProof/>
        </w:rPr>
        <w:t>I</w:t>
      </w:r>
      <w:r>
        <w:rPr>
          <w:noProof/>
        </w:rPr>
        <w:t xml:space="preserve">nternal </w:t>
      </w:r>
      <w:r w:rsidR="45D7FD79">
        <w:rPr>
          <w:noProof/>
        </w:rPr>
        <w:t>M</w:t>
      </w:r>
      <w:r>
        <w:rPr>
          <w:noProof/>
        </w:rPr>
        <w:t xml:space="preserve">arket. In particular, the removal or streamlining of certain reporting requirements under DAC6 and DAC7, as well as the elimination of duplicative notification processes under DAC4 and </w:t>
      </w:r>
      <w:r w:rsidR="00E14C98">
        <w:rPr>
          <w:noProof/>
        </w:rPr>
        <w:t>DAC9</w:t>
      </w:r>
      <w:r>
        <w:rPr>
          <w:noProof/>
        </w:rPr>
        <w:t xml:space="preserve"> are expected to reduce operational complexity and associated costs for </w:t>
      </w:r>
      <w:r w:rsidR="4D7CAC2D">
        <w:rPr>
          <w:noProof/>
        </w:rPr>
        <w:t>businesses</w:t>
      </w:r>
      <w:r>
        <w:rPr>
          <w:noProof/>
        </w:rPr>
        <w:t>.</w:t>
      </w:r>
    </w:p>
    <w:p w14:paraId="3B757468" w14:textId="1FE5622A" w:rsidR="00F00D53" w:rsidRDefault="00F00D53" w:rsidP="00F00D53">
      <w:pPr>
        <w:spacing w:before="240"/>
        <w:rPr>
          <w:noProof/>
        </w:rPr>
      </w:pPr>
      <w:r>
        <w:rPr>
          <w:noProof/>
        </w:rPr>
        <w:t xml:space="preserve">The initiative is also expected to contribute to a </w:t>
      </w:r>
      <w:r w:rsidRPr="0B94D218">
        <w:rPr>
          <w:b/>
          <w:noProof/>
        </w:rPr>
        <w:t xml:space="preserve">more level playing field within the </w:t>
      </w:r>
      <w:r w:rsidR="28CE40B5" w:rsidRPr="2459B34A">
        <w:rPr>
          <w:b/>
          <w:bCs/>
          <w:noProof/>
        </w:rPr>
        <w:t>I</w:t>
      </w:r>
      <w:r w:rsidRPr="2459B34A">
        <w:rPr>
          <w:b/>
          <w:bCs/>
          <w:noProof/>
        </w:rPr>
        <w:t xml:space="preserve">nternal </w:t>
      </w:r>
      <w:r w:rsidR="6B870C3A" w:rsidRPr="2459B34A">
        <w:rPr>
          <w:b/>
          <w:bCs/>
          <w:noProof/>
        </w:rPr>
        <w:t>M</w:t>
      </w:r>
      <w:r w:rsidRPr="2459B34A">
        <w:rPr>
          <w:b/>
          <w:bCs/>
          <w:noProof/>
        </w:rPr>
        <w:t>arket.</w:t>
      </w:r>
      <w:r>
        <w:rPr>
          <w:noProof/>
        </w:rPr>
        <w:t xml:space="preserve"> By reducing divergences in the interpretation and application of reporting obligations, the measures aim to facilitate cross-border activity and reduce compliance frictions for </w:t>
      </w:r>
      <w:r w:rsidR="3B0B1CC8">
        <w:rPr>
          <w:noProof/>
        </w:rPr>
        <w:t xml:space="preserve">businesses </w:t>
      </w:r>
      <w:r>
        <w:rPr>
          <w:noProof/>
        </w:rPr>
        <w:t>operating in multiple Member States. This, in turn</w:t>
      </w:r>
      <w:r w:rsidR="4366D1CB">
        <w:rPr>
          <w:noProof/>
        </w:rPr>
        <w:t xml:space="preserve"> will</w:t>
      </w:r>
      <w:r>
        <w:rPr>
          <w:noProof/>
        </w:rPr>
        <w:t xml:space="preserve"> enhance the overall competitiveness of EU businesses, including in comparison with </w:t>
      </w:r>
      <w:r w:rsidR="6EE9E64C">
        <w:rPr>
          <w:noProof/>
        </w:rPr>
        <w:t xml:space="preserve">businesses </w:t>
      </w:r>
      <w:r>
        <w:rPr>
          <w:noProof/>
        </w:rPr>
        <w:t>operating in jurisdictions with less complex reporting frameworks.</w:t>
      </w:r>
    </w:p>
    <w:p w14:paraId="174EE0B5" w14:textId="21015D3C" w:rsidR="00DD1919" w:rsidRPr="00EB7AEE" w:rsidRDefault="00F00D53" w:rsidP="12ED0A5E">
      <w:pPr>
        <w:spacing w:before="240"/>
        <w:rPr>
          <w:noProof/>
          <w:lang w:val="en-US"/>
        </w:rPr>
      </w:pPr>
      <w:r>
        <w:rPr>
          <w:noProof/>
        </w:rPr>
        <w:t xml:space="preserve">While the initiative does not directly target </w:t>
      </w:r>
      <w:r w:rsidR="28485762">
        <w:rPr>
          <w:noProof/>
        </w:rPr>
        <w:t>business</w:t>
      </w:r>
      <w:r>
        <w:rPr>
          <w:noProof/>
        </w:rPr>
        <w:t xml:space="preserve"> </w:t>
      </w:r>
      <w:r w:rsidRPr="0B94D218">
        <w:rPr>
          <w:b/>
          <w:noProof/>
        </w:rPr>
        <w:t>capacity to innovate</w:t>
      </w:r>
      <w:r>
        <w:rPr>
          <w:noProof/>
        </w:rPr>
        <w:t xml:space="preserve">, the reduction in compliance costs may indirectly support investment and growth by freeing up resources that can be reallocated to productive activities. Depending on </w:t>
      </w:r>
      <w:r w:rsidR="2E4E8884">
        <w:rPr>
          <w:noProof/>
        </w:rPr>
        <w:t>business</w:t>
      </w:r>
      <w:r>
        <w:rPr>
          <w:noProof/>
        </w:rPr>
        <w:t xml:space="preserve">-specific decisions, such resources could be used, for example, to support expansion, digitalisation, or innovation-related investments. The magnitude of such effects remains uncertain, as it depends on how </w:t>
      </w:r>
      <w:r w:rsidR="670D2860">
        <w:rPr>
          <w:noProof/>
        </w:rPr>
        <w:t xml:space="preserve">businesses </w:t>
      </w:r>
      <w:r>
        <w:rPr>
          <w:noProof/>
        </w:rPr>
        <w:t>choose to use the resources made available through the reduction in administrative burdens.</w:t>
      </w:r>
      <w:r w:rsidR="002D4C56">
        <w:rPr>
          <w:noProof/>
        </w:rPr>
        <w:t xml:space="preserve"> </w:t>
      </w:r>
      <w:r w:rsidR="00DD1919">
        <w:rPr>
          <w:noProof/>
          <w:lang w:val="en-US"/>
        </w:rPr>
        <w:t xml:space="preserve">The impact on </w:t>
      </w:r>
      <w:r w:rsidR="1EE2DA08" w:rsidRPr="22C73EE8">
        <w:rPr>
          <w:noProof/>
          <w:lang w:val="en-US"/>
        </w:rPr>
        <w:t>business</w:t>
      </w:r>
      <w:r w:rsidR="00DD1919">
        <w:rPr>
          <w:noProof/>
          <w:lang w:val="en-US"/>
        </w:rPr>
        <w:t xml:space="preserve"> competitiveness</w:t>
      </w:r>
      <w:r w:rsidR="00DD1919" w:rsidRPr="00DD1919">
        <w:rPr>
          <w:noProof/>
          <w:lang w:val="en-US"/>
        </w:rPr>
        <w:t xml:space="preserve"> </w:t>
      </w:r>
      <w:r w:rsidR="00DD1919">
        <w:rPr>
          <w:noProof/>
          <w:lang w:val="en-US"/>
        </w:rPr>
        <w:t xml:space="preserve">is </w:t>
      </w:r>
      <w:r w:rsidR="00DD1919" w:rsidRPr="00DD1919">
        <w:rPr>
          <w:noProof/>
          <w:lang w:val="en-US"/>
        </w:rPr>
        <w:t xml:space="preserve">further analysed in the </w:t>
      </w:r>
      <w:r w:rsidR="00DD1919">
        <w:rPr>
          <w:noProof/>
          <w:lang w:val="en-US"/>
        </w:rPr>
        <w:t>Competitiveness</w:t>
      </w:r>
      <w:r w:rsidR="00DD1919" w:rsidRPr="00DD1919">
        <w:rPr>
          <w:noProof/>
          <w:lang w:val="en-US"/>
        </w:rPr>
        <w:t xml:space="preserve"> Test </w:t>
      </w:r>
      <w:r w:rsidR="00DD1919" w:rsidRPr="005C2F5F">
        <w:rPr>
          <w:b/>
          <w:bCs/>
          <w:noProof/>
          <w:lang w:val="en-US"/>
        </w:rPr>
        <w:t>(Annex 5).</w:t>
      </w:r>
    </w:p>
    <w:p w14:paraId="14931365" w14:textId="46CB8D1C" w:rsidR="00F20B5F" w:rsidRPr="00B23A21" w:rsidRDefault="00F20B5F" w:rsidP="00B23A21">
      <w:pPr>
        <w:pStyle w:val="Heading3"/>
        <w:numPr>
          <w:ilvl w:val="0"/>
          <w:numId w:val="0"/>
        </w:numPr>
        <w:rPr>
          <w:b/>
          <w:bCs/>
          <w:noProof/>
        </w:rPr>
      </w:pPr>
      <w:r w:rsidRPr="004B3905">
        <w:rPr>
          <w:b/>
          <w:bCs/>
          <w:noProof/>
        </w:rPr>
        <w:t>Impact on SMEs</w:t>
      </w:r>
    </w:p>
    <w:p w14:paraId="22992391" w14:textId="6CB9292D" w:rsidR="00087722" w:rsidRDefault="00087722" w:rsidP="00087722">
      <w:pPr>
        <w:spacing w:before="240"/>
        <w:rPr>
          <w:noProof/>
        </w:rPr>
      </w:pPr>
      <w:r>
        <w:rPr>
          <w:noProof/>
        </w:rPr>
        <w:t xml:space="preserve">Although the initiative does not include measures specifically targeted at SMEs, it is expected to be particularly relevant for them due to the nature of tax compliance costs. Such costs typically weigh more heavily on smaller </w:t>
      </w:r>
      <w:r w:rsidR="42650DC0">
        <w:rPr>
          <w:noProof/>
        </w:rPr>
        <w:t xml:space="preserve">businesses </w:t>
      </w:r>
      <w:r>
        <w:rPr>
          <w:noProof/>
        </w:rPr>
        <w:t>in relative terms, as they have more limited administrative capacity and face higher fixed costs per reporting obligation compared to large enterprises</w:t>
      </w:r>
      <w:r w:rsidR="00B02600">
        <w:rPr>
          <w:noProof/>
        </w:rPr>
        <w:t xml:space="preserve"> (</w:t>
      </w:r>
      <w:r w:rsidR="002D18A7">
        <w:rPr>
          <w:noProof/>
        </w:rPr>
        <w:t>see also Annex 6 “SME check” for more details)</w:t>
      </w:r>
      <w:r>
        <w:rPr>
          <w:noProof/>
        </w:rPr>
        <w:t>.</w:t>
      </w:r>
    </w:p>
    <w:p w14:paraId="6D296ABA" w14:textId="09FD7A89" w:rsidR="00087722" w:rsidRDefault="25BBAEEF" w:rsidP="00087722">
      <w:pPr>
        <w:spacing w:before="240"/>
        <w:rPr>
          <w:noProof/>
        </w:rPr>
      </w:pPr>
      <w:r>
        <w:rPr>
          <w:noProof/>
        </w:rPr>
        <w:t>Evidence from DAC6 reporting indicates that, among taxpayer</w:t>
      </w:r>
      <w:r w:rsidR="289C3E00">
        <w:rPr>
          <w:noProof/>
        </w:rPr>
        <w:t xml:space="preserve"> </w:t>
      </w:r>
      <w:r>
        <w:rPr>
          <w:noProof/>
        </w:rPr>
        <w:t xml:space="preserve">filed reports, only a relatively small share (around </w:t>
      </w:r>
      <w:r w:rsidR="1D9510E4">
        <w:rPr>
          <w:noProof/>
        </w:rPr>
        <w:t>8</w:t>
      </w:r>
      <w:r>
        <w:rPr>
          <w:noProof/>
        </w:rPr>
        <w:t xml:space="preserve">%) </w:t>
      </w:r>
      <w:r w:rsidR="1DAD9BEE">
        <w:rPr>
          <w:noProof/>
        </w:rPr>
        <w:t>is</w:t>
      </w:r>
      <w:r>
        <w:rPr>
          <w:noProof/>
        </w:rPr>
        <w:t xml:space="preserve"> attributable to</w:t>
      </w:r>
      <w:r w:rsidR="6FCC4ABA">
        <w:rPr>
          <w:noProof/>
        </w:rPr>
        <w:t xml:space="preserve"> large </w:t>
      </w:r>
      <w:r w:rsidR="4172A555">
        <w:rPr>
          <w:noProof/>
        </w:rPr>
        <w:t xml:space="preserve">MNE </w:t>
      </w:r>
      <w:r>
        <w:rPr>
          <w:noProof/>
        </w:rPr>
        <w:t xml:space="preserve">groups </w:t>
      </w:r>
      <w:r w:rsidR="6FCC4ABA">
        <w:rPr>
          <w:noProof/>
        </w:rPr>
        <w:t xml:space="preserve">with </w:t>
      </w:r>
      <w:r w:rsidR="27CD8BA9" w:rsidRPr="00FF0075">
        <w:rPr>
          <w:noProof/>
        </w:rPr>
        <w:t>annual consolidated revenues of at least</w:t>
      </w:r>
      <w:r w:rsidR="71ED1010">
        <w:rPr>
          <w:noProof/>
        </w:rPr>
        <w:t xml:space="preserve"> </w:t>
      </w:r>
      <w:r w:rsidR="6FCC4ABA">
        <w:rPr>
          <w:noProof/>
        </w:rPr>
        <w:t>750</w:t>
      </w:r>
      <w:r w:rsidR="4229D9E0">
        <w:rPr>
          <w:noProof/>
        </w:rPr>
        <w:t xml:space="preserve"> million</w:t>
      </w:r>
      <w:r>
        <w:rPr>
          <w:noProof/>
        </w:rPr>
        <w:t>. This implies that the vast majority of taxpayer reporting entities</w:t>
      </w:r>
      <w:r w:rsidR="3751F1D6">
        <w:rPr>
          <w:noProof/>
        </w:rPr>
        <w:t xml:space="preserve">, </w:t>
      </w:r>
      <w:r>
        <w:rPr>
          <w:noProof/>
        </w:rPr>
        <w:t>approximately 90% or more</w:t>
      </w:r>
      <w:r w:rsidR="3751F1D6">
        <w:rPr>
          <w:noProof/>
        </w:rPr>
        <w:t xml:space="preserve">, </w:t>
      </w:r>
      <w:r>
        <w:rPr>
          <w:noProof/>
        </w:rPr>
        <w:t xml:space="preserve">consist of </w:t>
      </w:r>
      <w:r w:rsidR="6FCC4ABA">
        <w:rPr>
          <w:noProof/>
        </w:rPr>
        <w:t xml:space="preserve">smaller </w:t>
      </w:r>
      <w:r w:rsidR="78540B4D">
        <w:rPr>
          <w:noProof/>
        </w:rPr>
        <w:t>businesses</w:t>
      </w:r>
      <w:r>
        <w:rPr>
          <w:noProof/>
        </w:rPr>
        <w:t xml:space="preserve">, including a significant proportion of </w:t>
      </w:r>
      <w:r w:rsidR="6FCC4ABA">
        <w:rPr>
          <w:noProof/>
        </w:rPr>
        <w:t xml:space="preserve">large </w:t>
      </w:r>
      <w:r>
        <w:rPr>
          <w:noProof/>
        </w:rPr>
        <w:t>SMEs</w:t>
      </w:r>
      <w:r w:rsidR="2A92C5A3">
        <w:rPr>
          <w:noProof/>
        </w:rPr>
        <w:t xml:space="preserve"> (those at the upper limits of the SME threshold</w:t>
      </w:r>
      <w:r w:rsidR="7477E35A">
        <w:rPr>
          <w:noProof/>
        </w:rPr>
        <w:t xml:space="preserve"> </w:t>
      </w:r>
      <w:r w:rsidR="00971647">
        <w:rPr>
          <w:rStyle w:val="FootnoteReference"/>
          <w:noProof/>
        </w:rPr>
        <w:footnoteReference w:id="72"/>
      </w:r>
      <w:r w:rsidR="2A92C5A3">
        <w:rPr>
          <w:noProof/>
        </w:rPr>
        <w:t>)</w:t>
      </w:r>
      <w:r>
        <w:rPr>
          <w:noProof/>
        </w:rPr>
        <w:t xml:space="preserve">. As a result, </w:t>
      </w:r>
      <w:r w:rsidR="4BC95CDB">
        <w:rPr>
          <w:noProof/>
        </w:rPr>
        <w:t xml:space="preserve">it can be assumed that </w:t>
      </w:r>
      <w:r>
        <w:rPr>
          <w:noProof/>
        </w:rPr>
        <w:t xml:space="preserve">SMEs account for a substantial share of DAC6 reporting activity and are therefore directly affected by the associated </w:t>
      </w:r>
      <w:r w:rsidR="1DAD9BEE">
        <w:rPr>
          <w:noProof/>
        </w:rPr>
        <w:t xml:space="preserve">reductions in compliance costs. </w:t>
      </w:r>
      <w:r w:rsidR="40A9C93F">
        <w:rPr>
          <w:noProof/>
        </w:rPr>
        <w:t>This is further supported by evidence collected through the call for evidence, where more than three quarters of responding companies filing DAC6 reports identified themselves as small or medium-sized enterprises. Taken together, this suggests that a substantial share of the expected compliance cost savings from the proposed DAC6 simplifications is likely to accrue to SMEs.</w:t>
      </w:r>
    </w:p>
    <w:p w14:paraId="690BF8DD" w14:textId="7321C64D" w:rsidR="00087722" w:rsidRDefault="45B222B6" w:rsidP="00087722">
      <w:pPr>
        <w:spacing w:before="240"/>
        <w:rPr>
          <w:noProof/>
        </w:rPr>
      </w:pPr>
      <w:r>
        <w:rPr>
          <w:noProof/>
        </w:rPr>
        <w:t xml:space="preserve">The </w:t>
      </w:r>
      <w:r w:rsidR="51773A71">
        <w:rPr>
          <w:noProof/>
        </w:rPr>
        <w:t>proposed</w:t>
      </w:r>
      <w:r>
        <w:rPr>
          <w:noProof/>
        </w:rPr>
        <w:t xml:space="preserve"> simplification measures</w:t>
      </w:r>
      <w:r w:rsidR="00F06935">
        <w:rPr>
          <w:noProof/>
        </w:rPr>
        <w:t xml:space="preserve">, </w:t>
      </w:r>
      <w:r>
        <w:rPr>
          <w:noProof/>
        </w:rPr>
        <w:t xml:space="preserve">in particular the reduction of reporting obligations under DAC6 and DAC7, are expected to reduce compliance costs for </w:t>
      </w:r>
      <w:r w:rsidR="65B732D1">
        <w:rPr>
          <w:noProof/>
        </w:rPr>
        <w:t xml:space="preserve">businesses </w:t>
      </w:r>
      <w:r>
        <w:rPr>
          <w:noProof/>
        </w:rPr>
        <w:t xml:space="preserve">across all size categories. However, given that SMEs typically face higher compliance costs relative to their size, these reductions are likely to be particularly beneficial for smaller </w:t>
      </w:r>
      <w:r w:rsidR="2ADCB553">
        <w:rPr>
          <w:noProof/>
        </w:rPr>
        <w:t>businesses</w:t>
      </w:r>
      <w:r>
        <w:rPr>
          <w:noProof/>
        </w:rPr>
        <w:t xml:space="preserve">. In relative terms, the resources </w:t>
      </w:r>
      <w:r w:rsidR="79149333">
        <w:rPr>
          <w:noProof/>
        </w:rPr>
        <w:t>made available</w:t>
      </w:r>
      <w:r>
        <w:rPr>
          <w:noProof/>
        </w:rPr>
        <w:t xml:space="preserve"> from reduced compliance obligations may represent a more significant share of operating costs for SMEs than for large enterprises.</w:t>
      </w:r>
    </w:p>
    <w:p w14:paraId="763F7BBF" w14:textId="7E2105BD" w:rsidR="00DD1919" w:rsidRPr="00EB7AEE" w:rsidRDefault="00087722" w:rsidP="00087722">
      <w:pPr>
        <w:spacing w:before="240"/>
        <w:rPr>
          <w:noProof/>
          <w:lang w:val="en-US"/>
        </w:rPr>
      </w:pPr>
      <w:r>
        <w:rPr>
          <w:noProof/>
        </w:rPr>
        <w:t xml:space="preserve">More broadly, by reducing administrative complexity and improving legal clarity, the initiative may facilitate SMEs’ participation in cross-border economic activities, where compliance burdens have traditionally been identified as a barrier. While the measures do not introduce SME-specific exemptions, they contribute to alleviating a structural disadvantage faced by smaller </w:t>
      </w:r>
      <w:r w:rsidR="29FCE799">
        <w:rPr>
          <w:noProof/>
        </w:rPr>
        <w:t xml:space="preserve">businesses </w:t>
      </w:r>
      <w:r>
        <w:rPr>
          <w:noProof/>
        </w:rPr>
        <w:t xml:space="preserve">in navigating complex tax reporting frameworks within the </w:t>
      </w:r>
      <w:r w:rsidR="6A7AA218">
        <w:rPr>
          <w:noProof/>
        </w:rPr>
        <w:t>I</w:t>
      </w:r>
      <w:r>
        <w:rPr>
          <w:noProof/>
        </w:rPr>
        <w:t xml:space="preserve">nternal </w:t>
      </w:r>
      <w:r w:rsidR="39E190EA">
        <w:rPr>
          <w:noProof/>
        </w:rPr>
        <w:t>M</w:t>
      </w:r>
      <w:r>
        <w:rPr>
          <w:noProof/>
        </w:rPr>
        <w:t>arket.</w:t>
      </w:r>
      <w:r w:rsidR="002D4C56">
        <w:rPr>
          <w:noProof/>
        </w:rPr>
        <w:t xml:space="preserve"> </w:t>
      </w:r>
      <w:r w:rsidR="00DD1919" w:rsidRPr="00DD1919">
        <w:rPr>
          <w:noProof/>
          <w:lang w:val="en-US"/>
        </w:rPr>
        <w:t>SME impacts are further analysed in the SME Test (</w:t>
      </w:r>
      <w:r w:rsidR="00DD1919" w:rsidRPr="00F06935">
        <w:rPr>
          <w:b/>
          <w:bCs/>
          <w:noProof/>
          <w:lang w:val="en-US"/>
        </w:rPr>
        <w:t>Annex 6).</w:t>
      </w:r>
    </w:p>
    <w:p w14:paraId="26AE41CC" w14:textId="00E9B0E5" w:rsidR="00B607BD" w:rsidRDefault="008C5716" w:rsidP="000C0535">
      <w:pPr>
        <w:pStyle w:val="Heading2"/>
        <w:numPr>
          <w:ilvl w:val="1"/>
          <w:numId w:val="28"/>
        </w:numPr>
        <w:rPr>
          <w:b w:val="0"/>
          <w:bCs/>
          <w:noProof/>
        </w:rPr>
      </w:pPr>
      <w:bookmarkStart w:id="24" w:name="_Toc231816710"/>
      <w:r>
        <w:rPr>
          <w:noProof/>
        </w:rPr>
        <w:t>Other impacts</w:t>
      </w:r>
      <w:bookmarkEnd w:id="24"/>
      <w:r>
        <w:rPr>
          <w:noProof/>
        </w:rPr>
        <w:t xml:space="preserve"> </w:t>
      </w:r>
    </w:p>
    <w:p w14:paraId="713651C2" w14:textId="7CC0FFAF" w:rsidR="00B607BD" w:rsidRDefault="009B0F57" w:rsidP="12ED0A5E">
      <w:pPr>
        <w:spacing w:before="240"/>
        <w:rPr>
          <w:noProof/>
        </w:rPr>
      </w:pPr>
      <w:r w:rsidRPr="009B0F57">
        <w:rPr>
          <w:noProof/>
        </w:rPr>
        <w:t>The measures considered are not expected to have any direct</w:t>
      </w:r>
      <w:r w:rsidR="0014786C">
        <w:rPr>
          <w:noProof/>
        </w:rPr>
        <w:t xml:space="preserve"> and immediate</w:t>
      </w:r>
      <w:r w:rsidRPr="009B0F57">
        <w:rPr>
          <w:noProof/>
        </w:rPr>
        <w:t xml:space="preserve"> </w:t>
      </w:r>
      <w:r w:rsidRPr="00EB7AEE">
        <w:rPr>
          <w:b/>
          <w:bCs/>
          <w:noProof/>
        </w:rPr>
        <w:t>impact on environmental</w:t>
      </w:r>
      <w:r w:rsidRPr="009B0F57">
        <w:rPr>
          <w:noProof/>
        </w:rPr>
        <w:t xml:space="preserve"> outcomes. However, by reducing compliance costs, they may indirectly free up financial resources within </w:t>
      </w:r>
      <w:r w:rsidR="56E027C6">
        <w:rPr>
          <w:noProof/>
        </w:rPr>
        <w:t>companies</w:t>
      </w:r>
      <w:r>
        <w:rPr>
          <w:noProof/>
        </w:rPr>
        <w:t>.</w:t>
      </w:r>
      <w:r w:rsidRPr="009B0F57">
        <w:rPr>
          <w:noProof/>
        </w:rPr>
        <w:t xml:space="preserve"> Depending on business priorities</w:t>
      </w:r>
      <w:r w:rsidR="002A4580">
        <w:rPr>
          <w:noProof/>
        </w:rPr>
        <w:t xml:space="preserve"> and existing constraints</w:t>
      </w:r>
      <w:r w:rsidRPr="009B0F57">
        <w:rPr>
          <w:noProof/>
        </w:rPr>
        <w:t xml:space="preserve">, these resources could be channelled into a range of activities, including investments in more environmentally sustainable technologies or processes. From an </w:t>
      </w:r>
      <w:r w:rsidRPr="00EB7AEE">
        <w:rPr>
          <w:b/>
          <w:bCs/>
          <w:noProof/>
        </w:rPr>
        <w:t>employment and social perspective</w:t>
      </w:r>
      <w:r w:rsidRPr="009B0F57">
        <w:rPr>
          <w:noProof/>
        </w:rPr>
        <w:t xml:space="preserve">, lower compliance burdens may allow </w:t>
      </w:r>
      <w:r w:rsidR="6334DF23">
        <w:rPr>
          <w:noProof/>
        </w:rPr>
        <w:t xml:space="preserve">businesses </w:t>
      </w:r>
      <w:r w:rsidRPr="009B0F57">
        <w:rPr>
          <w:noProof/>
        </w:rPr>
        <w:t>to reallocate resources towards productive uses, such as business expansion, workforce recruitment, or employee training, and potentially also higher remuneration</w:t>
      </w:r>
      <w:r w:rsidR="00F43357">
        <w:rPr>
          <w:noProof/>
        </w:rPr>
        <w:t>, resulting from higher productivities of workers</w:t>
      </w:r>
      <w:r w:rsidRPr="009B0F57">
        <w:rPr>
          <w:noProof/>
        </w:rPr>
        <w:t xml:space="preserve">. Alternatively, </w:t>
      </w:r>
      <w:r w:rsidR="6A574AE5">
        <w:rPr>
          <w:noProof/>
        </w:rPr>
        <w:t>companies</w:t>
      </w:r>
      <w:r w:rsidRPr="009B0F57">
        <w:rPr>
          <w:noProof/>
        </w:rPr>
        <w:t xml:space="preserve"> may decide to distribute part of these gains to shareholders. </w:t>
      </w:r>
      <w:r w:rsidR="00794EF3">
        <w:rPr>
          <w:noProof/>
        </w:rPr>
        <w:t>I</w:t>
      </w:r>
      <w:r w:rsidR="00794EF3" w:rsidRPr="00794EF3">
        <w:rPr>
          <w:noProof/>
        </w:rPr>
        <w:t>mproved tax transparency and more effective detection of tax avoidance may indirectly support fair taxation and public finances</w:t>
      </w:r>
      <w:r w:rsidR="00794EF3">
        <w:rPr>
          <w:noProof/>
        </w:rPr>
        <w:t xml:space="preserve">. </w:t>
      </w:r>
      <w:r w:rsidRPr="009B0F57">
        <w:rPr>
          <w:noProof/>
        </w:rPr>
        <w:t xml:space="preserve">The scale and direction of these indirect effects remain uncertain, as they depend on individual </w:t>
      </w:r>
      <w:r w:rsidR="66A2C467">
        <w:rPr>
          <w:noProof/>
        </w:rPr>
        <w:t xml:space="preserve">business </w:t>
      </w:r>
      <w:r w:rsidRPr="009B0F57">
        <w:rPr>
          <w:noProof/>
        </w:rPr>
        <w:t>decisions regarding the use of the resources made available.</w:t>
      </w:r>
    </w:p>
    <w:p w14:paraId="482BF4E4" w14:textId="7A39907C" w:rsidR="00986DFC" w:rsidRPr="00051023" w:rsidRDefault="73828CE9" w:rsidP="00986DFC">
      <w:pPr>
        <w:spacing w:before="240"/>
        <w:rPr>
          <w:noProof/>
        </w:rPr>
      </w:pPr>
      <w:r w:rsidRPr="00051023">
        <w:rPr>
          <w:noProof/>
        </w:rPr>
        <w:t xml:space="preserve">The initiative has also been </w:t>
      </w:r>
      <w:r w:rsidR="3E87F1E6" w:rsidRPr="00051023">
        <w:rPr>
          <w:noProof/>
        </w:rPr>
        <w:t xml:space="preserve">also </w:t>
      </w:r>
      <w:r w:rsidRPr="00051023">
        <w:rPr>
          <w:noProof/>
        </w:rPr>
        <w:t xml:space="preserve">assessed with regard to its </w:t>
      </w:r>
      <w:r w:rsidRPr="00051023">
        <w:rPr>
          <w:b/>
          <w:bCs/>
          <w:noProof/>
        </w:rPr>
        <w:t xml:space="preserve">potential implications </w:t>
      </w:r>
      <w:r w:rsidR="1D1E69E5" w:rsidRPr="00051023">
        <w:rPr>
          <w:b/>
          <w:bCs/>
          <w:noProof/>
        </w:rPr>
        <w:t>on</w:t>
      </w:r>
      <w:r w:rsidRPr="00051023">
        <w:rPr>
          <w:b/>
          <w:bCs/>
          <w:noProof/>
        </w:rPr>
        <w:t xml:space="preserve"> fundamental rights,</w:t>
      </w:r>
      <w:r w:rsidRPr="00051023">
        <w:rPr>
          <w:noProof/>
        </w:rPr>
        <w:t xml:space="preserve"> in particular those enshrined in the Charter of Fundamental Rights of the European Union</w:t>
      </w:r>
      <w:r w:rsidR="00F06935" w:rsidRPr="00051023">
        <w:rPr>
          <w:rStyle w:val="FootnoteReference"/>
          <w:noProof/>
        </w:rPr>
        <w:footnoteReference w:id="73"/>
      </w:r>
      <w:r w:rsidRPr="00051023">
        <w:rPr>
          <w:noProof/>
        </w:rPr>
        <w:t xml:space="preserve">. </w:t>
      </w:r>
    </w:p>
    <w:p w14:paraId="6A7CC457" w14:textId="5D606F57" w:rsidR="005F20CC" w:rsidRPr="00051023" w:rsidRDefault="005F20CC" w:rsidP="005F20CC">
      <w:pPr>
        <w:spacing w:after="160" w:line="257" w:lineRule="auto"/>
        <w:rPr>
          <w:rFonts w:eastAsia="Times New Roman"/>
          <w:noProof/>
        </w:rPr>
      </w:pPr>
      <w:r w:rsidRPr="00051023">
        <w:rPr>
          <w:rFonts w:eastAsia="Times New Roman"/>
          <w:noProof/>
        </w:rPr>
        <w:t xml:space="preserve">Regarding the exchange of increased data sets due to TIN identification measures, with respect to PO4b, it must be clarified from the outset there is no potential for an increase in the data that is collected and exchanged as this policy option only focuses on introducing a centralised system to enable tax authorities and, potentially, also reporting entities, to verify the correctness of the reported TIN. By enabling this TIN verification, PO4b envisages that certain data points may no longer be required (if a validated TIN is provided), which is therefore likely to lead to a reduction in the data points collected and exchanged. </w:t>
      </w:r>
      <w:r w:rsidR="001C1233">
        <w:rPr>
          <w:rFonts w:eastAsia="Times New Roman"/>
          <w:noProof/>
        </w:rPr>
        <w:t xml:space="preserve">This privacy by design mechanism actively promotes the GDPR principle of data minimisation. </w:t>
      </w:r>
      <w:r w:rsidRPr="00051023">
        <w:rPr>
          <w:rFonts w:eastAsia="Times New Roman"/>
          <w:noProof/>
        </w:rPr>
        <w:t xml:space="preserve">For all configurations, by querying up-to-date national records rather than a centralised repository, the decentralised architecture minimises the risk of processing outdated or duplicated information. </w:t>
      </w:r>
    </w:p>
    <w:p w14:paraId="4F853531" w14:textId="2CA1CDCD" w:rsidR="005F20CC" w:rsidRPr="00051023" w:rsidRDefault="005F20CC" w:rsidP="005F20CC">
      <w:pPr>
        <w:spacing w:after="160" w:line="257" w:lineRule="auto"/>
        <w:rPr>
          <w:rFonts w:eastAsia="Times New Roman"/>
          <w:noProof/>
        </w:rPr>
      </w:pPr>
      <w:r w:rsidRPr="00051023">
        <w:rPr>
          <w:rFonts w:eastAsia="Times New Roman"/>
          <w:noProof/>
        </w:rPr>
        <w:t xml:space="preserve">TINs qualify as personal data and validation requests necessarily involve accompanying the TIN with additional taxpayer identifying elements (such as name, date of birth or place of birth). </w:t>
      </w:r>
      <w:r w:rsidRPr="004B3905">
        <w:rPr>
          <w:rFonts w:eastAsia="Times New Roman"/>
          <w:noProof/>
        </w:rPr>
        <w:t>The operation of the TIN verification system would thus engage Articles 7 and 8 of the Charter</w:t>
      </w:r>
      <w:r w:rsidR="004B3905" w:rsidRPr="004B3905">
        <w:rPr>
          <w:rFonts w:eastAsia="Times New Roman"/>
          <w:noProof/>
        </w:rPr>
        <w:t xml:space="preserve">, </w:t>
      </w:r>
      <w:r w:rsidRPr="004B3905">
        <w:rPr>
          <w:rFonts w:eastAsia="Times New Roman"/>
          <w:noProof/>
        </w:rPr>
        <w:t>respectively, the rights to private and family life and to the protection of personal data</w:t>
      </w:r>
      <w:r w:rsidR="004B3905" w:rsidRPr="004B3905">
        <w:rPr>
          <w:rFonts w:eastAsia="Times New Roman"/>
          <w:noProof/>
        </w:rPr>
        <w:t>,</w:t>
      </w:r>
      <w:r w:rsidRPr="004B3905">
        <w:rPr>
          <w:rFonts w:eastAsia="Times New Roman"/>
          <w:noProof/>
        </w:rPr>
        <w:t xml:space="preserve"> as it would involve the processing of personal data relating to a large number of EU taxpayers across all Member States on a continuous basis. The same applies to the automatic exchange of information under DAC 1, to the extent that the measures involve the collection, exchange or processing of information, including potentially personal data.</w:t>
      </w:r>
    </w:p>
    <w:p w14:paraId="44566EBE" w14:textId="06E30847" w:rsidR="005F20CC" w:rsidRPr="00051023" w:rsidRDefault="005F20CC" w:rsidP="005F20CC">
      <w:pPr>
        <w:spacing w:after="160" w:line="257" w:lineRule="auto"/>
        <w:rPr>
          <w:rFonts w:eastAsia="Times New Roman"/>
          <w:noProof/>
        </w:rPr>
      </w:pPr>
      <w:r w:rsidRPr="7B67C206">
        <w:rPr>
          <w:rFonts w:eastAsia="Times New Roman"/>
          <w:noProof/>
        </w:rPr>
        <w:t>As regards the TIN verification system, fi</w:t>
      </w:r>
      <w:r w:rsidR="43809F03" w:rsidRPr="7B67C206">
        <w:rPr>
          <w:rFonts w:eastAsia="Times New Roman"/>
          <w:noProof/>
        </w:rPr>
        <w:t>r</w:t>
      </w:r>
      <w:r w:rsidRPr="7B67C206">
        <w:rPr>
          <w:rFonts w:eastAsia="Times New Roman"/>
          <w:noProof/>
        </w:rPr>
        <w:t xml:space="preserve">st it must be clarified that it will </w:t>
      </w:r>
      <w:r w:rsidR="004B3905" w:rsidRPr="7B67C206">
        <w:rPr>
          <w:rFonts w:eastAsia="Times New Roman"/>
          <w:noProof/>
        </w:rPr>
        <w:t>be based</w:t>
      </w:r>
      <w:r w:rsidRPr="7B67C206">
        <w:rPr>
          <w:rFonts w:eastAsia="Times New Roman"/>
          <w:noProof/>
        </w:rPr>
        <w:t xml:space="preserve"> on a decentralised architecture (a gateway) that avoids central data storage: the </w:t>
      </w:r>
      <w:r w:rsidR="00F428D5" w:rsidRPr="7B67C206">
        <w:rPr>
          <w:rFonts w:eastAsia="Times New Roman"/>
          <w:noProof/>
        </w:rPr>
        <w:t>g</w:t>
      </w:r>
      <w:r w:rsidRPr="7B67C206">
        <w:rPr>
          <w:rFonts w:eastAsia="Times New Roman"/>
          <w:noProof/>
        </w:rPr>
        <w:t xml:space="preserve">ateway acts as a distribution hub among the 27 national validation access points  and does not itself store personal data or national registry information, which limits the scope of EU-level processing. Second, it will be designed based on a number of safeguard features, including the following: </w:t>
      </w:r>
    </w:p>
    <w:p w14:paraId="42E355FA" w14:textId="77777777" w:rsidR="005F20CC" w:rsidRPr="00410D33" w:rsidRDefault="005F20CC" w:rsidP="005F20CC">
      <w:pPr>
        <w:pStyle w:val="ListParagraph"/>
        <w:numPr>
          <w:ilvl w:val="0"/>
          <w:numId w:val="4"/>
        </w:numPr>
        <w:spacing w:after="0" w:line="257" w:lineRule="auto"/>
        <w:rPr>
          <w:rFonts w:eastAsia="Times New Roman"/>
          <w:noProof/>
        </w:rPr>
      </w:pPr>
      <w:r w:rsidRPr="00410D33">
        <w:rPr>
          <w:rFonts w:eastAsia="Times New Roman"/>
          <w:b/>
          <w:bCs/>
          <w:noProof/>
        </w:rPr>
        <w:t>Restriction of input and output data to predefined minimum sets</w:t>
      </w:r>
      <w:r w:rsidRPr="00410D33">
        <w:rPr>
          <w:rFonts w:eastAsia="Times New Roman"/>
          <w:noProof/>
        </w:rPr>
        <w:t xml:space="preserve"> in light of data minimisation and purpose limitation to tax administration objectives: </w:t>
      </w:r>
      <w:r w:rsidRPr="6A86AAB7">
        <w:rPr>
          <w:rFonts w:eastAsia="Times New Roman"/>
          <w:noProof/>
        </w:rPr>
        <w:t>u</w:t>
      </w:r>
      <w:r w:rsidRPr="00410D33">
        <w:rPr>
          <w:rFonts w:eastAsia="Times New Roman"/>
          <w:noProof/>
        </w:rPr>
        <w:t>nder PO4b, the system will only facilitate a yes/no confirmation for such operators.</w:t>
      </w:r>
    </w:p>
    <w:p w14:paraId="26662154" w14:textId="4EC1493C" w:rsidR="005F20CC" w:rsidRPr="00410D33" w:rsidRDefault="005F20CC" w:rsidP="005F20CC">
      <w:pPr>
        <w:pStyle w:val="ListParagraph"/>
        <w:numPr>
          <w:ilvl w:val="0"/>
          <w:numId w:val="3"/>
        </w:numPr>
        <w:spacing w:after="0" w:line="257" w:lineRule="auto"/>
        <w:rPr>
          <w:rFonts w:eastAsia="Times New Roman"/>
          <w:noProof/>
        </w:rPr>
      </w:pPr>
      <w:r w:rsidRPr="00410D33">
        <w:rPr>
          <w:rFonts w:eastAsia="Times New Roman"/>
          <w:b/>
          <w:bCs/>
          <w:noProof/>
        </w:rPr>
        <w:t>Transient data retention for individual queries:</w:t>
      </w:r>
      <w:r w:rsidRPr="00410D33">
        <w:rPr>
          <w:rFonts w:eastAsia="Times New Roman"/>
          <w:noProof/>
        </w:rPr>
        <w:t xml:space="preserve"> </w:t>
      </w:r>
      <w:r w:rsidRPr="6A86AAB7">
        <w:rPr>
          <w:rFonts w:eastAsia="Times New Roman"/>
          <w:noProof/>
        </w:rPr>
        <w:t>t</w:t>
      </w:r>
      <w:r w:rsidRPr="00410D33">
        <w:rPr>
          <w:rFonts w:eastAsia="Times New Roman"/>
          <w:noProof/>
        </w:rPr>
        <w:t xml:space="preserve">he Gateway </w:t>
      </w:r>
      <w:r w:rsidRPr="6A86AAB7">
        <w:rPr>
          <w:rFonts w:eastAsia="Times New Roman"/>
          <w:noProof/>
        </w:rPr>
        <w:t xml:space="preserve">will be </w:t>
      </w:r>
      <w:r w:rsidRPr="00410D33">
        <w:rPr>
          <w:rFonts w:eastAsia="Times New Roman"/>
          <w:noProof/>
        </w:rPr>
        <w:t xml:space="preserve">designed to perform without accessing or storing underlying national registry data. The Union-level legal instrument establishing the </w:t>
      </w:r>
      <w:r w:rsidRPr="6A86AAB7">
        <w:rPr>
          <w:rFonts w:eastAsia="Times New Roman"/>
          <w:noProof/>
        </w:rPr>
        <w:t xml:space="preserve">verification system </w:t>
      </w:r>
      <w:r w:rsidRPr="00410D33">
        <w:rPr>
          <w:rFonts w:eastAsia="Times New Roman"/>
          <w:noProof/>
        </w:rPr>
        <w:t xml:space="preserve">  </w:t>
      </w:r>
      <w:r w:rsidRPr="6A86AAB7">
        <w:rPr>
          <w:rFonts w:eastAsia="Times New Roman"/>
          <w:noProof/>
        </w:rPr>
        <w:t xml:space="preserve">will </w:t>
      </w:r>
      <w:r w:rsidRPr="00410D33">
        <w:rPr>
          <w:rFonts w:eastAsia="Times New Roman"/>
          <w:noProof/>
        </w:rPr>
        <w:t>clearly delineate the roles and responsibilities of the Gateway operator and the national tax authorities, to prevent accountability gaps, in particular as regards the handling of data subject rights and the allocation of liability.</w:t>
      </w:r>
    </w:p>
    <w:p w14:paraId="37194E43" w14:textId="68235A89" w:rsidR="005F20CC" w:rsidRPr="00410D33" w:rsidRDefault="005F20CC" w:rsidP="005F20CC">
      <w:pPr>
        <w:pStyle w:val="ListParagraph"/>
        <w:numPr>
          <w:ilvl w:val="0"/>
          <w:numId w:val="3"/>
        </w:numPr>
        <w:spacing w:after="0" w:line="257" w:lineRule="auto"/>
        <w:rPr>
          <w:rFonts w:eastAsia="Times New Roman"/>
          <w:strike/>
          <w:noProof/>
        </w:rPr>
      </w:pPr>
      <w:r w:rsidRPr="00410D33">
        <w:rPr>
          <w:rFonts w:eastAsia="Times New Roman"/>
          <w:b/>
          <w:bCs/>
          <w:noProof/>
        </w:rPr>
        <w:t>Access controls</w:t>
      </w:r>
      <w:r w:rsidRPr="00410D33">
        <w:rPr>
          <w:rFonts w:eastAsia="Times New Roman"/>
          <w:noProof/>
        </w:rPr>
        <w:t xml:space="preserve">: The </w:t>
      </w:r>
      <w:r w:rsidRPr="6A86AAB7">
        <w:rPr>
          <w:rFonts w:eastAsia="Times New Roman"/>
          <w:noProof/>
        </w:rPr>
        <w:t xml:space="preserve">verification system will </w:t>
      </w:r>
      <w:r w:rsidRPr="005F20CC">
        <w:rPr>
          <w:rFonts w:eastAsia="Times New Roman"/>
          <w:noProof/>
        </w:rPr>
        <w:t xml:space="preserve">operate </w:t>
      </w:r>
      <w:r w:rsidRPr="00410D33">
        <w:rPr>
          <w:rFonts w:eastAsia="Times New Roman"/>
          <w:noProof/>
        </w:rPr>
        <w:t xml:space="preserve">solely for the purpose of taxpayer identification in the context of administrative cooperation under the DAC. The Union legal instrument establishing the </w:t>
      </w:r>
      <w:r w:rsidRPr="6A86AAB7">
        <w:rPr>
          <w:rFonts w:eastAsia="Times New Roman"/>
          <w:noProof/>
        </w:rPr>
        <w:t xml:space="preserve">verification system will </w:t>
      </w:r>
      <w:r w:rsidRPr="00410D33">
        <w:rPr>
          <w:rFonts w:eastAsia="Times New Roman"/>
          <w:noProof/>
        </w:rPr>
        <w:t xml:space="preserve">clearly define this purpose and preclude any secondary use incompatible with it. </w:t>
      </w:r>
      <w:r w:rsidRPr="6A86AAB7">
        <w:rPr>
          <w:rFonts w:eastAsia="Times New Roman"/>
          <w:noProof/>
        </w:rPr>
        <w:t>Moreover, t</w:t>
      </w:r>
      <w:r w:rsidRPr="00410D33">
        <w:rPr>
          <w:rFonts w:eastAsia="Times New Roman"/>
          <w:noProof/>
        </w:rPr>
        <w:t xml:space="preserve">o prevent function creep, the </w:t>
      </w:r>
      <w:r w:rsidRPr="6A86AAB7">
        <w:rPr>
          <w:rFonts w:eastAsia="Times New Roman"/>
          <w:noProof/>
        </w:rPr>
        <w:t xml:space="preserve">verification system will </w:t>
      </w:r>
      <w:r w:rsidRPr="00410D33">
        <w:rPr>
          <w:rFonts w:eastAsia="Times New Roman"/>
          <w:noProof/>
        </w:rPr>
        <w:t>be accessible on a need-to-know basis only, with access limited to authorised personnel within tax authorities and, where applicable, reporting entities with each organisation responsible for defining internal access rights and procedures.</w:t>
      </w:r>
      <w:r w:rsidRPr="00410D33">
        <w:rPr>
          <w:rFonts w:eastAsia="Times New Roman"/>
          <w:strike/>
          <w:noProof/>
        </w:rPr>
        <w:t xml:space="preserve"> </w:t>
      </w:r>
    </w:p>
    <w:p w14:paraId="60DC2366" w14:textId="2F552E82" w:rsidR="005F20CC" w:rsidRPr="00410D33" w:rsidRDefault="005F20CC" w:rsidP="005F20CC">
      <w:pPr>
        <w:pStyle w:val="ListParagraph"/>
        <w:numPr>
          <w:ilvl w:val="0"/>
          <w:numId w:val="3"/>
        </w:numPr>
        <w:spacing w:after="0" w:line="257" w:lineRule="auto"/>
        <w:rPr>
          <w:rFonts w:eastAsia="Times New Roman"/>
          <w:noProof/>
        </w:rPr>
      </w:pPr>
      <w:r w:rsidRPr="00410D33">
        <w:rPr>
          <w:rFonts w:eastAsia="Times New Roman"/>
          <w:b/>
          <w:bCs/>
          <w:noProof/>
        </w:rPr>
        <w:t>Audit logging</w:t>
      </w:r>
      <w:r w:rsidRPr="00410D33">
        <w:rPr>
          <w:rFonts w:eastAsia="Times New Roman"/>
          <w:noProof/>
        </w:rPr>
        <w:t xml:space="preserve">: Traceability of use </w:t>
      </w:r>
      <w:r w:rsidRPr="6A86AAB7">
        <w:rPr>
          <w:rFonts w:eastAsia="Times New Roman"/>
          <w:noProof/>
        </w:rPr>
        <w:t xml:space="preserve">will be </w:t>
      </w:r>
      <w:r w:rsidRPr="00410D33">
        <w:rPr>
          <w:rFonts w:eastAsia="Times New Roman"/>
          <w:noProof/>
        </w:rPr>
        <w:t>ensured through an audit log function, which documents the actions carried out by each authorised account and, in the context of optional use by reporting entities, could also support tax authorities in avoiding duplicating validation requests already carried out.</w:t>
      </w:r>
    </w:p>
    <w:p w14:paraId="7846EFB2" w14:textId="71E60AEA" w:rsidR="005F20CC" w:rsidRPr="00051023" w:rsidRDefault="005F20CC" w:rsidP="005F20CC">
      <w:pPr>
        <w:pStyle w:val="ListParagraph"/>
        <w:numPr>
          <w:ilvl w:val="0"/>
          <w:numId w:val="3"/>
        </w:numPr>
        <w:spacing w:after="0" w:line="257" w:lineRule="auto"/>
        <w:rPr>
          <w:rFonts w:eastAsia="Times New Roman"/>
          <w:noProof/>
        </w:rPr>
      </w:pPr>
      <w:r w:rsidRPr="00410D33">
        <w:rPr>
          <w:rFonts w:eastAsia="Times New Roman"/>
          <w:b/>
          <w:bCs/>
          <w:noProof/>
        </w:rPr>
        <w:t>Architectural and technical safeguards providing secure communication channels:</w:t>
      </w:r>
      <w:r w:rsidRPr="00410D33">
        <w:rPr>
          <w:rFonts w:eastAsia="Times New Roman"/>
          <w:noProof/>
        </w:rPr>
        <w:t xml:space="preserve"> For the use by tax authorities, the system </w:t>
      </w:r>
      <w:r w:rsidRPr="6A86AAB7">
        <w:rPr>
          <w:rFonts w:eastAsia="Times New Roman"/>
          <w:noProof/>
        </w:rPr>
        <w:t xml:space="preserve">will </w:t>
      </w:r>
      <w:r w:rsidRPr="00410D33">
        <w:rPr>
          <w:rFonts w:eastAsia="Times New Roman"/>
          <w:noProof/>
        </w:rPr>
        <w:t xml:space="preserve">leverage the existing private CCN/CSI network infrastructure of the European Commission, which substantially </w:t>
      </w:r>
      <w:r w:rsidRPr="00051023">
        <w:rPr>
          <w:rFonts w:eastAsia="Times New Roman"/>
          <w:noProof/>
        </w:rPr>
        <w:t xml:space="preserve">limits exposure to external threats. Communication between reporting entities and national validation access points will occur over the public Internet, requiring appropriate, hardened network level security measures—on the side of each national validation access points. At the data transport level, communication between reporting entities and national validation access points must deploy secure communication protocols, and digital certificates or credentials for system-to-system communication. </w:t>
      </w:r>
    </w:p>
    <w:p w14:paraId="3562AC56" w14:textId="77777777" w:rsidR="00EF154D" w:rsidRPr="00051023" w:rsidRDefault="00EF154D" w:rsidP="00830145">
      <w:pPr>
        <w:spacing w:after="0" w:line="257" w:lineRule="auto"/>
        <w:rPr>
          <w:rFonts w:eastAsia="Times New Roman"/>
          <w:noProof/>
        </w:rPr>
      </w:pPr>
    </w:p>
    <w:p w14:paraId="053629EF" w14:textId="77777777" w:rsidR="004B3905" w:rsidRDefault="006B722C" w:rsidP="004B3905">
      <w:pPr>
        <w:spacing w:after="0" w:line="257" w:lineRule="auto"/>
        <w:rPr>
          <w:rFonts w:eastAsia="Times New Roman"/>
          <w:noProof/>
        </w:rPr>
      </w:pPr>
      <w:r w:rsidRPr="00051023">
        <w:rPr>
          <w:rFonts w:eastAsia="Times New Roman"/>
          <w:noProof/>
        </w:rPr>
        <w:t xml:space="preserve">As regards the collection and exchange of </w:t>
      </w:r>
      <w:r w:rsidR="005F20CC" w:rsidRPr="00051023">
        <w:rPr>
          <w:rFonts w:eastAsia="Times New Roman"/>
          <w:noProof/>
        </w:rPr>
        <w:t>information available in the files of other national public entities</w:t>
      </w:r>
      <w:r w:rsidRPr="00051023">
        <w:rPr>
          <w:rFonts w:eastAsia="Times New Roman"/>
          <w:noProof/>
        </w:rPr>
        <w:t>(</w:t>
      </w:r>
      <w:r w:rsidR="005F20CC" w:rsidRPr="00051023">
        <w:rPr>
          <w:rFonts w:eastAsia="Times New Roman"/>
          <w:noProof/>
        </w:rPr>
        <w:t>PO5c</w:t>
      </w:r>
      <w:r w:rsidRPr="00051023">
        <w:rPr>
          <w:rFonts w:eastAsia="Times New Roman"/>
          <w:noProof/>
        </w:rPr>
        <w:t>)</w:t>
      </w:r>
      <w:r w:rsidR="005F20CC" w:rsidRPr="00051023">
        <w:rPr>
          <w:rFonts w:eastAsia="Times New Roman"/>
          <w:noProof/>
        </w:rPr>
        <w:t>, it is important to clarify that th</w:t>
      </w:r>
      <w:r w:rsidRPr="00051023">
        <w:rPr>
          <w:rFonts w:eastAsia="Times New Roman"/>
          <w:noProof/>
        </w:rPr>
        <w:t xml:space="preserve">is policy option </w:t>
      </w:r>
      <w:r w:rsidR="005F20CC" w:rsidRPr="00051023">
        <w:rPr>
          <w:rFonts w:eastAsia="Times New Roman"/>
          <w:noProof/>
        </w:rPr>
        <w:t xml:space="preserve">does not require the centralisation of information held by different national authorities in one single communication system but only requires that this information is shared with tax administrations or that tax administration have access to the information so that it can be subsequently exchanged. In other words, the fact that certain information is not immediately available in the tax files of the tax administration should no longer prevent tax administrations from exchanging this information, if that information is available in the files of other relevant public authorities at national level (therefore excluding regional and local level, which would be much more difficult and costly to implement). </w:t>
      </w:r>
    </w:p>
    <w:p w14:paraId="5A99FAF4" w14:textId="77777777" w:rsidR="004B3905" w:rsidRDefault="004B3905" w:rsidP="004B3905">
      <w:pPr>
        <w:spacing w:after="0" w:line="257" w:lineRule="auto"/>
        <w:rPr>
          <w:rFonts w:eastAsia="Times New Roman"/>
          <w:noProof/>
        </w:rPr>
      </w:pPr>
    </w:p>
    <w:p w14:paraId="72128FEC" w14:textId="603D4685" w:rsidR="005F20CC" w:rsidRPr="00051023" w:rsidRDefault="006B722C" w:rsidP="004B3905">
      <w:pPr>
        <w:spacing w:after="0" w:line="257" w:lineRule="auto"/>
        <w:rPr>
          <w:rFonts w:eastAsia="Times New Roman"/>
          <w:noProof/>
        </w:rPr>
      </w:pPr>
      <w:r w:rsidRPr="00051023">
        <w:rPr>
          <w:rFonts w:eastAsia="Times New Roman"/>
          <w:noProof/>
        </w:rPr>
        <w:t xml:space="preserve">As mentioned above, this will be achieved by enhancing the DAC5 legal basis to provide access to updated and relevant AML information for tax authorities. </w:t>
      </w:r>
      <w:r w:rsidR="00F428D5" w:rsidRPr="00051023">
        <w:rPr>
          <w:rFonts w:eastAsia="Times New Roman"/>
          <w:noProof/>
        </w:rPr>
        <w:t>As regards additional safeguards</w:t>
      </w:r>
      <w:r w:rsidR="00EF154D" w:rsidRPr="00051023">
        <w:rPr>
          <w:rFonts w:eastAsia="Times New Roman"/>
          <w:noProof/>
        </w:rPr>
        <w:t xml:space="preserve"> required under the GDPR</w:t>
      </w:r>
      <w:r w:rsidR="00F428D5" w:rsidRPr="00051023">
        <w:rPr>
          <w:rFonts w:eastAsia="Times New Roman"/>
          <w:noProof/>
        </w:rPr>
        <w:t xml:space="preserve">, those in place both at the level of Member States and at the level of the Commission </w:t>
      </w:r>
      <w:r w:rsidR="00EF154D" w:rsidRPr="00051023">
        <w:rPr>
          <w:rFonts w:eastAsia="Times New Roman"/>
          <w:noProof/>
        </w:rPr>
        <w:t>covering the processing of personal data will continue to apply. For example, f</w:t>
      </w:r>
      <w:r w:rsidR="005F20CC" w:rsidRPr="00051023">
        <w:rPr>
          <w:rFonts w:eastAsia="Times New Roman"/>
          <w:noProof/>
        </w:rPr>
        <w:t>or tax authorities, user authentication and authorisation are managed through existing national Identity and Access Management (IAM) frameworks.</w:t>
      </w:r>
      <w:r w:rsidR="00EF154D" w:rsidRPr="00051023">
        <w:rPr>
          <w:rFonts w:eastAsia="Times New Roman"/>
          <w:noProof/>
        </w:rPr>
        <w:t xml:space="preserve"> In addition, for the use by tax authorities, the system will leverage the existing private CCN/CSI network infrastructure of the European Commission, which substantially limits exposure to external threats.</w:t>
      </w:r>
    </w:p>
    <w:p w14:paraId="4D2837FC" w14:textId="77777777" w:rsidR="005F20CC" w:rsidRDefault="005F20CC" w:rsidP="005F20CC">
      <w:pPr>
        <w:spacing w:after="0" w:line="257" w:lineRule="auto"/>
        <w:rPr>
          <w:rFonts w:ascii="Aptos" w:eastAsia="Aptos" w:hAnsi="Aptos" w:cs="Aptos"/>
          <w:noProof/>
          <w:sz w:val="22"/>
          <w:szCs w:val="22"/>
        </w:rPr>
      </w:pPr>
    </w:p>
    <w:p w14:paraId="33E5D21D" w14:textId="2CBB1A87" w:rsidR="005F20CC" w:rsidRDefault="005F20CC" w:rsidP="004B3905">
      <w:pPr>
        <w:spacing w:after="0" w:line="257" w:lineRule="auto"/>
        <w:rPr>
          <w:noProof/>
        </w:rPr>
      </w:pPr>
      <w:r w:rsidRPr="00410D33">
        <w:rPr>
          <w:rFonts w:eastAsia="Times New Roman"/>
          <w:noProof/>
        </w:rPr>
        <w:t>The initiative is therefore, overall, considered to be compatible with the Charter of Fundamental Rights</w:t>
      </w:r>
      <w:r w:rsidR="00EF154D">
        <w:rPr>
          <w:noProof/>
        </w:rPr>
        <w:t>.</w:t>
      </w:r>
    </w:p>
    <w:p w14:paraId="52F826AF" w14:textId="155AD035" w:rsidR="006B087E" w:rsidRDefault="00EB7AEE" w:rsidP="00EB7AEE">
      <w:pPr>
        <w:pStyle w:val="Heading1"/>
        <w:numPr>
          <w:ilvl w:val="0"/>
          <w:numId w:val="0"/>
        </w:numPr>
        <w:ind w:left="480" w:hanging="480"/>
        <w:rPr>
          <w:noProof/>
        </w:rPr>
      </w:pPr>
      <w:bookmarkStart w:id="25" w:name="_Toc225238677"/>
      <w:bookmarkStart w:id="26" w:name="_Toc231816711"/>
      <w:bookmarkEnd w:id="25"/>
      <w:r>
        <w:rPr>
          <w:noProof/>
        </w:rPr>
        <w:t>7</w:t>
      </w:r>
      <w:r w:rsidR="00B23A21">
        <w:rPr>
          <w:noProof/>
        </w:rPr>
        <w:t xml:space="preserve">. </w:t>
      </w:r>
      <w:r w:rsidR="006B087E">
        <w:rPr>
          <w:noProof/>
        </w:rPr>
        <w:t>How do the options compare?</w:t>
      </w:r>
      <w:bookmarkEnd w:id="26"/>
    </w:p>
    <w:p w14:paraId="77BBF19D" w14:textId="096E3A9C" w:rsidR="69E0D762" w:rsidRDefault="64671BDA" w:rsidP="00D7088D">
      <w:pPr>
        <w:spacing w:before="240"/>
        <w:rPr>
          <w:rFonts w:eastAsia="Times New Roman"/>
          <w:noProof/>
        </w:rPr>
      </w:pPr>
      <w:r w:rsidRPr="77FADF1A">
        <w:rPr>
          <w:rFonts w:eastAsia="Times New Roman"/>
          <w:noProof/>
        </w:rPr>
        <w:t xml:space="preserve">The comparison assesses the extent to which the options contribute to achieving the specific objectives </w:t>
      </w:r>
      <w:r w:rsidR="4BBE680A" w:rsidRPr="77FADF1A">
        <w:rPr>
          <w:rFonts w:eastAsia="Times New Roman"/>
          <w:noProof/>
        </w:rPr>
        <w:t xml:space="preserve">of </w:t>
      </w:r>
      <w:r w:rsidRPr="77FADF1A">
        <w:rPr>
          <w:rFonts w:eastAsia="Times New Roman"/>
          <w:noProof/>
        </w:rPr>
        <w:t>reducing complexity and improving legal</w:t>
      </w:r>
      <w:r w:rsidR="3BB3CC2A" w:rsidRPr="77FADF1A">
        <w:rPr>
          <w:rFonts w:eastAsia="Times New Roman"/>
          <w:noProof/>
        </w:rPr>
        <w:t xml:space="preserve"> clarity and </w:t>
      </w:r>
      <w:r w:rsidRPr="77FADF1A">
        <w:rPr>
          <w:rFonts w:eastAsia="Times New Roman"/>
          <w:noProof/>
        </w:rPr>
        <w:t xml:space="preserve">certainty, </w:t>
      </w:r>
      <w:r w:rsidR="0FAEAF8B" w:rsidRPr="77FADF1A">
        <w:rPr>
          <w:rFonts w:eastAsia="Times New Roman"/>
          <w:noProof/>
        </w:rPr>
        <w:t>ensuring reporting and notification obligations are proportionate and better targeted</w:t>
      </w:r>
      <w:r w:rsidRPr="77FADF1A">
        <w:rPr>
          <w:rFonts w:eastAsia="Times New Roman"/>
          <w:noProof/>
        </w:rPr>
        <w:t xml:space="preserve"> while preserving </w:t>
      </w:r>
      <w:r w:rsidR="56B6B5BB" w:rsidRPr="77FADF1A">
        <w:rPr>
          <w:rFonts w:eastAsia="Times New Roman"/>
          <w:noProof/>
        </w:rPr>
        <w:t xml:space="preserve">the </w:t>
      </w:r>
      <w:r w:rsidRPr="77FADF1A">
        <w:rPr>
          <w:rFonts w:eastAsia="Times New Roman"/>
          <w:noProof/>
        </w:rPr>
        <w:t>policy objectives, and improving the effectiveness and usability of information exchanged between Member States.</w:t>
      </w:r>
      <w:r w:rsidR="00D7088D">
        <w:rPr>
          <w:rFonts w:eastAsia="Times New Roman"/>
          <w:noProof/>
        </w:rPr>
        <w:t xml:space="preserve"> </w:t>
      </w:r>
      <w:r w:rsidR="41ACA031" w:rsidRPr="4321A1A3">
        <w:rPr>
          <w:rFonts w:eastAsia="Times New Roman"/>
          <w:noProof/>
        </w:rPr>
        <w:t>The relative effectiveness of the different options against the general and specific objectives is summarised in each table. The symbol ‘0’ represents no change compared to the baseline ‘no action’ while ‘+’ (</w:t>
      </w:r>
      <w:r w:rsidR="00A40214" w:rsidRPr="4321A1A3">
        <w:rPr>
          <w:rFonts w:eastAsia="Times New Roman"/>
          <w:noProof/>
        </w:rPr>
        <w:t xml:space="preserve">/ “ –“) </w:t>
      </w:r>
      <w:r w:rsidR="41ACA031" w:rsidRPr="4321A1A3">
        <w:rPr>
          <w:rFonts w:eastAsia="Times New Roman"/>
          <w:noProof/>
        </w:rPr>
        <w:t>symbols point to a better</w:t>
      </w:r>
      <w:r w:rsidR="079ADA65" w:rsidRPr="4321A1A3">
        <w:rPr>
          <w:rFonts w:eastAsia="Times New Roman"/>
          <w:noProof/>
        </w:rPr>
        <w:t>/</w:t>
      </w:r>
      <w:r w:rsidR="41ACA031" w:rsidRPr="4321A1A3">
        <w:rPr>
          <w:rFonts w:eastAsia="Times New Roman"/>
          <w:noProof/>
        </w:rPr>
        <w:t xml:space="preserve"> </w:t>
      </w:r>
      <w:r w:rsidR="105E60F6" w:rsidRPr="4321A1A3">
        <w:rPr>
          <w:rFonts w:eastAsia="Times New Roman"/>
          <w:noProof/>
        </w:rPr>
        <w:t>w</w:t>
      </w:r>
      <w:r w:rsidR="00A40214" w:rsidRPr="4321A1A3">
        <w:rPr>
          <w:rFonts w:eastAsia="Times New Roman"/>
          <w:noProof/>
        </w:rPr>
        <w:t>ors</w:t>
      </w:r>
      <w:r w:rsidR="4A7C391E" w:rsidRPr="4321A1A3">
        <w:rPr>
          <w:rFonts w:eastAsia="Times New Roman"/>
          <w:noProof/>
        </w:rPr>
        <w:t>e</w:t>
      </w:r>
      <w:r w:rsidR="025063EF" w:rsidRPr="4321A1A3">
        <w:rPr>
          <w:rFonts w:eastAsia="Times New Roman"/>
          <w:noProof/>
        </w:rPr>
        <w:t xml:space="preserve"> </w:t>
      </w:r>
      <w:r w:rsidR="41ACA031" w:rsidRPr="4321A1A3">
        <w:rPr>
          <w:rFonts w:eastAsia="Times New Roman"/>
          <w:noProof/>
        </w:rPr>
        <w:t xml:space="preserve">performance of the option compared to the baseline. Performance increases with the number of ‘+’ </w:t>
      </w:r>
      <w:r w:rsidR="00AF6A5E" w:rsidRPr="4321A1A3">
        <w:rPr>
          <w:rFonts w:eastAsia="Times New Roman"/>
          <w:noProof/>
        </w:rPr>
        <w:t>(/ “ –“)</w:t>
      </w:r>
      <w:r w:rsidR="00AF6A5E">
        <w:rPr>
          <w:rFonts w:eastAsia="Times New Roman"/>
          <w:noProof/>
        </w:rPr>
        <w:t xml:space="preserve"> symbols.</w:t>
      </w:r>
    </w:p>
    <w:p w14:paraId="624ADE35" w14:textId="00A46865" w:rsidR="006B087E" w:rsidRDefault="4BDE4A57" w:rsidP="58486E0A">
      <w:pPr>
        <w:pStyle w:val="Heading2"/>
        <w:numPr>
          <w:ilvl w:val="0"/>
          <w:numId w:val="0"/>
        </w:numPr>
        <w:rPr>
          <w:noProof/>
        </w:rPr>
      </w:pPr>
      <w:bookmarkStart w:id="27" w:name="_Toc231816712"/>
      <w:r>
        <w:rPr>
          <w:noProof/>
        </w:rPr>
        <w:t xml:space="preserve">Measure </w:t>
      </w:r>
      <w:r w:rsidR="56FF4E89">
        <w:rPr>
          <w:noProof/>
        </w:rPr>
        <w:t>1</w:t>
      </w:r>
      <w:r>
        <w:rPr>
          <w:noProof/>
        </w:rPr>
        <w:t xml:space="preserve"> –</w:t>
      </w:r>
      <w:r w:rsidR="00C3031C">
        <w:rPr>
          <w:noProof/>
        </w:rPr>
        <w:t xml:space="preserve"> Ensuring that DAC6 reporting obligations remain proportionate and effective while promoting a more harmonised application of the MBT</w:t>
      </w:r>
      <w:bookmarkEnd w:id="27"/>
    </w:p>
    <w:p w14:paraId="38A58BCD" w14:textId="30B3237A" w:rsidR="00B23A21" w:rsidRDefault="32D72AA8" w:rsidP="4321A1A3">
      <w:pPr>
        <w:pStyle w:val="Text2"/>
        <w:ind w:left="0"/>
        <w:rPr>
          <w:noProof/>
          <w:sz w:val="20"/>
        </w:rPr>
      </w:pPr>
      <w:r w:rsidRPr="4321A1A3">
        <w:rPr>
          <w:b/>
          <w:bCs/>
          <w:noProof/>
          <w:sz w:val="20"/>
        </w:rPr>
        <w:t>PO1a</w:t>
      </w:r>
      <w:r w:rsidRPr="4321A1A3">
        <w:rPr>
          <w:noProof/>
          <w:sz w:val="20"/>
        </w:rPr>
        <w:t xml:space="preserve"> excludes all companies within the scope of the Pillar 2 Directive from reporting under DAC6. </w:t>
      </w:r>
      <w:r w:rsidRPr="4321A1A3">
        <w:rPr>
          <w:b/>
          <w:bCs/>
          <w:noProof/>
          <w:sz w:val="20"/>
        </w:rPr>
        <w:t>PO1b</w:t>
      </w:r>
      <w:r w:rsidRPr="4321A1A3">
        <w:rPr>
          <w:noProof/>
          <w:sz w:val="20"/>
        </w:rPr>
        <w:t xml:space="preserve"> involves PO1a + removing reporting requirements related to generic hallmarks (category A), combined with guidance on application of MBT to the remaining hallmarks subject to the test. </w:t>
      </w:r>
      <w:r w:rsidRPr="4321A1A3">
        <w:rPr>
          <w:b/>
          <w:bCs/>
          <w:noProof/>
          <w:sz w:val="20"/>
        </w:rPr>
        <w:t>PO1c</w:t>
      </w:r>
      <w:r w:rsidRPr="4321A1A3">
        <w:rPr>
          <w:noProof/>
          <w:sz w:val="20"/>
        </w:rPr>
        <w:t xml:space="preserve"> involves PO1a + removing reporting requirements related to generic hallmarks (category A), removing the MBT and revising the remaining hallmarks previously subject to the test.</w:t>
      </w:r>
    </w:p>
    <w:p w14:paraId="36148221" w14:textId="57BA32F7" w:rsidR="4321A1A3" w:rsidRPr="00D7088D" w:rsidRDefault="32D72AA8" w:rsidP="4321A1A3">
      <w:pPr>
        <w:pStyle w:val="Text2"/>
        <w:spacing w:after="0"/>
        <w:ind w:left="0"/>
        <w:rPr>
          <w:b/>
          <w:bCs/>
          <w:noProof/>
          <w:sz w:val="20"/>
          <w:u w:val="single"/>
        </w:rPr>
      </w:pPr>
      <w:r w:rsidRPr="00D7088D">
        <w:rPr>
          <w:b/>
          <w:bCs/>
          <w:noProof/>
          <w:sz w:val="20"/>
          <w:u w:val="single"/>
        </w:rPr>
        <w:t>Effectiveness</w:t>
      </w:r>
    </w:p>
    <w:tbl>
      <w:tblPr>
        <w:tblW w:w="892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996"/>
        <w:gridCol w:w="1347"/>
        <w:gridCol w:w="1439"/>
        <w:gridCol w:w="1223"/>
        <w:gridCol w:w="917"/>
      </w:tblGrid>
      <w:tr w:rsidR="00BA3FF7" w14:paraId="75EAC88F" w14:textId="77777777" w:rsidTr="4321A1A3">
        <w:trPr>
          <w:trHeight w:val="300"/>
        </w:trPr>
        <w:tc>
          <w:tcPr>
            <w:tcW w:w="399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56DA7CF" w14:textId="65462698" w:rsidR="00BA3FF7" w:rsidRDefault="32D72AA8" w:rsidP="4321A1A3">
            <w:pPr>
              <w:spacing w:after="0"/>
              <w:rPr>
                <w:b/>
                <w:bCs/>
                <w:noProof/>
                <w:sz w:val="20"/>
                <w:szCs w:val="20"/>
              </w:rPr>
            </w:pPr>
            <w:r w:rsidRPr="4321A1A3">
              <w:rPr>
                <w:b/>
                <w:bCs/>
                <w:noProof/>
                <w:sz w:val="20"/>
                <w:szCs w:val="20"/>
              </w:rPr>
              <w:t>Specific Objectives</w:t>
            </w:r>
          </w:p>
        </w:tc>
        <w:tc>
          <w:tcPr>
            <w:tcW w:w="1347" w:type="dxa"/>
            <w:tcBorders>
              <w:top w:val="single" w:sz="8" w:space="0" w:color="auto"/>
              <w:left w:val="single" w:sz="8" w:space="0" w:color="auto"/>
              <w:bottom w:val="single" w:sz="8" w:space="0" w:color="auto"/>
              <w:right w:val="single" w:sz="8" w:space="0" w:color="auto"/>
            </w:tcBorders>
          </w:tcPr>
          <w:p w14:paraId="03F05A5D" w14:textId="5F82A155" w:rsidR="00BA3FF7" w:rsidRPr="3A123E5D" w:rsidRDefault="3C349DEF" w:rsidP="4321A1A3">
            <w:pPr>
              <w:spacing w:after="0" w:line="257" w:lineRule="auto"/>
              <w:rPr>
                <w:rFonts w:eastAsia="Times New Roman"/>
                <w:b/>
                <w:bCs/>
                <w:noProof/>
                <w:sz w:val="20"/>
                <w:szCs w:val="20"/>
              </w:rPr>
            </w:pPr>
            <w:r w:rsidRPr="4321A1A3">
              <w:rPr>
                <w:rFonts w:eastAsia="Times New Roman"/>
                <w:b/>
                <w:bCs/>
                <w:noProof/>
                <w:sz w:val="20"/>
                <w:szCs w:val="20"/>
              </w:rPr>
              <w:t>Baseline</w:t>
            </w:r>
          </w:p>
        </w:tc>
        <w:tc>
          <w:tcPr>
            <w:tcW w:w="143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5731D13" w14:textId="09D9CF3F" w:rsidR="00BA3FF7" w:rsidRPr="00AF6A5E" w:rsidRDefault="3C349DEF" w:rsidP="4321A1A3">
            <w:pPr>
              <w:spacing w:after="0" w:line="257" w:lineRule="auto"/>
              <w:rPr>
                <w:rFonts w:eastAsia="Times New Roman"/>
                <w:b/>
                <w:bCs/>
                <w:noProof/>
                <w:sz w:val="20"/>
                <w:szCs w:val="20"/>
              </w:rPr>
            </w:pPr>
            <w:r w:rsidRPr="4321A1A3">
              <w:rPr>
                <w:rFonts w:eastAsia="Times New Roman"/>
                <w:b/>
                <w:bCs/>
                <w:noProof/>
                <w:sz w:val="20"/>
                <w:szCs w:val="20"/>
              </w:rPr>
              <w:t>PO1a</w:t>
            </w:r>
          </w:p>
        </w:tc>
        <w:tc>
          <w:tcPr>
            <w:tcW w:w="12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2E1FDA" w14:textId="163EA843" w:rsidR="00BA3FF7" w:rsidRPr="00AF6A5E" w:rsidRDefault="3C349DEF" w:rsidP="4321A1A3">
            <w:pPr>
              <w:spacing w:after="0" w:line="257" w:lineRule="auto"/>
              <w:rPr>
                <w:rFonts w:eastAsia="Times New Roman"/>
                <w:b/>
                <w:bCs/>
                <w:noProof/>
                <w:sz w:val="20"/>
                <w:szCs w:val="20"/>
              </w:rPr>
            </w:pPr>
            <w:r w:rsidRPr="4321A1A3">
              <w:rPr>
                <w:rFonts w:eastAsia="Times New Roman"/>
                <w:b/>
                <w:bCs/>
                <w:noProof/>
                <w:sz w:val="20"/>
                <w:szCs w:val="20"/>
              </w:rPr>
              <w:t>PO1b</w:t>
            </w:r>
          </w:p>
        </w:tc>
        <w:tc>
          <w:tcPr>
            <w:tcW w:w="91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7FFE777" w14:textId="2CAB7569" w:rsidR="00BA3FF7" w:rsidRPr="00AF6A5E" w:rsidRDefault="3C349DEF" w:rsidP="4321A1A3">
            <w:pPr>
              <w:spacing w:after="0" w:line="257" w:lineRule="auto"/>
              <w:rPr>
                <w:rFonts w:eastAsia="Times New Roman"/>
                <w:b/>
                <w:bCs/>
                <w:noProof/>
                <w:sz w:val="20"/>
                <w:szCs w:val="20"/>
              </w:rPr>
            </w:pPr>
            <w:r w:rsidRPr="4321A1A3">
              <w:rPr>
                <w:rFonts w:eastAsia="Times New Roman"/>
                <w:b/>
                <w:bCs/>
                <w:noProof/>
                <w:sz w:val="20"/>
                <w:szCs w:val="20"/>
              </w:rPr>
              <w:t>PO1c</w:t>
            </w:r>
          </w:p>
        </w:tc>
      </w:tr>
      <w:tr w:rsidR="00BA3FF7" w14:paraId="7AB8017E" w14:textId="77777777" w:rsidTr="4321A1A3">
        <w:trPr>
          <w:trHeight w:val="300"/>
        </w:trPr>
        <w:tc>
          <w:tcPr>
            <w:tcW w:w="399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EFFA798" w14:textId="653CE9E1" w:rsidR="00BA3FF7" w:rsidRPr="00AF6A5E" w:rsidRDefault="3C349DEF" w:rsidP="4321A1A3">
            <w:pPr>
              <w:spacing w:after="0" w:line="257" w:lineRule="auto"/>
              <w:jc w:val="left"/>
              <w:rPr>
                <w:rFonts w:eastAsia="Times New Roman"/>
                <w:noProof/>
                <w:sz w:val="20"/>
                <w:szCs w:val="20"/>
              </w:rPr>
            </w:pPr>
            <w:r w:rsidRPr="4321A1A3">
              <w:rPr>
                <w:rFonts w:eastAsia="Times New Roman"/>
                <w:noProof/>
                <w:sz w:val="20"/>
                <w:szCs w:val="20"/>
              </w:rPr>
              <w:t>Reduce complexity and improve legal clarity and legal certainty for stakeholders</w:t>
            </w:r>
          </w:p>
        </w:tc>
        <w:tc>
          <w:tcPr>
            <w:tcW w:w="1347" w:type="dxa"/>
            <w:tcBorders>
              <w:top w:val="single" w:sz="8" w:space="0" w:color="auto"/>
              <w:left w:val="single" w:sz="8" w:space="0" w:color="auto"/>
              <w:bottom w:val="single" w:sz="8" w:space="0" w:color="auto"/>
              <w:right w:val="single" w:sz="8" w:space="0" w:color="auto"/>
            </w:tcBorders>
          </w:tcPr>
          <w:p w14:paraId="65F3B362" w14:textId="2F0E3E53" w:rsidR="00BA3FF7" w:rsidRPr="3A123E5D" w:rsidRDefault="3C349DEF" w:rsidP="4321A1A3">
            <w:pPr>
              <w:spacing w:after="0" w:line="257" w:lineRule="auto"/>
              <w:jc w:val="left"/>
              <w:rPr>
                <w:rFonts w:eastAsia="Times New Roman"/>
                <w:noProof/>
                <w:sz w:val="20"/>
                <w:szCs w:val="20"/>
              </w:rPr>
            </w:pPr>
            <w:r w:rsidRPr="4321A1A3">
              <w:rPr>
                <w:rFonts w:eastAsia="Times New Roman"/>
                <w:noProof/>
                <w:sz w:val="20"/>
                <w:szCs w:val="20"/>
              </w:rPr>
              <w:t>0</w:t>
            </w:r>
          </w:p>
        </w:tc>
        <w:tc>
          <w:tcPr>
            <w:tcW w:w="143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07359AA" w14:textId="64621CC7" w:rsidR="00BA3FF7" w:rsidRDefault="4EB51196" w:rsidP="4321A1A3">
            <w:pPr>
              <w:spacing w:after="0" w:line="257" w:lineRule="auto"/>
              <w:jc w:val="left"/>
              <w:rPr>
                <w:rFonts w:eastAsia="Times New Roman"/>
                <w:noProof/>
                <w:sz w:val="20"/>
                <w:szCs w:val="20"/>
              </w:rPr>
            </w:pPr>
            <w:r w:rsidRPr="4321A1A3">
              <w:rPr>
                <w:rFonts w:eastAsia="Times New Roman"/>
                <w:noProof/>
                <w:sz w:val="20"/>
                <w:szCs w:val="20"/>
              </w:rPr>
              <w:t>+</w:t>
            </w:r>
          </w:p>
        </w:tc>
        <w:tc>
          <w:tcPr>
            <w:tcW w:w="12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E355FD3" w14:textId="3BE45302" w:rsidR="00BA3FF7" w:rsidRPr="00AF6A5E" w:rsidRDefault="7FD3AB6D" w:rsidP="4321A1A3">
            <w:pPr>
              <w:spacing w:after="0" w:line="257" w:lineRule="auto"/>
              <w:jc w:val="left"/>
              <w:rPr>
                <w:rFonts w:eastAsia="Times New Roman"/>
                <w:noProof/>
                <w:sz w:val="20"/>
                <w:szCs w:val="20"/>
              </w:rPr>
            </w:pPr>
            <w:r w:rsidRPr="4321A1A3">
              <w:rPr>
                <w:rFonts w:eastAsia="Times New Roman"/>
                <w:noProof/>
                <w:sz w:val="20"/>
                <w:szCs w:val="20"/>
              </w:rPr>
              <w:t>+++</w:t>
            </w:r>
          </w:p>
        </w:tc>
        <w:tc>
          <w:tcPr>
            <w:tcW w:w="91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A7AC776" w14:textId="5FD51BB7" w:rsidR="00BA3FF7" w:rsidRDefault="7DE03D79" w:rsidP="4321A1A3">
            <w:pPr>
              <w:spacing w:after="0" w:line="257" w:lineRule="auto"/>
              <w:jc w:val="left"/>
              <w:rPr>
                <w:rFonts w:eastAsia="Times New Roman"/>
                <w:noProof/>
                <w:sz w:val="20"/>
                <w:szCs w:val="20"/>
              </w:rPr>
            </w:pPr>
            <w:r w:rsidRPr="4321A1A3">
              <w:rPr>
                <w:rFonts w:eastAsia="Times New Roman"/>
                <w:noProof/>
                <w:sz w:val="20"/>
                <w:szCs w:val="20"/>
              </w:rPr>
              <w:t>++</w:t>
            </w:r>
          </w:p>
        </w:tc>
      </w:tr>
      <w:tr w:rsidR="00BA3FF7" w14:paraId="6439EFC0" w14:textId="77777777" w:rsidTr="4321A1A3">
        <w:trPr>
          <w:trHeight w:val="300"/>
        </w:trPr>
        <w:tc>
          <w:tcPr>
            <w:tcW w:w="399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4F5544E" w14:textId="6EDC52E8" w:rsidR="00BA3FF7" w:rsidRPr="00AF6A5E" w:rsidRDefault="3C349DEF" w:rsidP="4321A1A3">
            <w:pPr>
              <w:spacing w:after="0" w:line="257" w:lineRule="auto"/>
              <w:jc w:val="left"/>
              <w:rPr>
                <w:rFonts w:eastAsia="Times New Roman"/>
                <w:noProof/>
                <w:sz w:val="20"/>
                <w:szCs w:val="20"/>
              </w:rPr>
            </w:pPr>
            <w:r w:rsidRPr="4321A1A3">
              <w:rPr>
                <w:rFonts w:eastAsia="Times New Roman"/>
                <w:noProof/>
                <w:sz w:val="20"/>
                <w:szCs w:val="20"/>
              </w:rPr>
              <w:t>Ensure reporting and notification obligations are proportionate and better targeted while preserving the policy objectives</w:t>
            </w:r>
          </w:p>
        </w:tc>
        <w:tc>
          <w:tcPr>
            <w:tcW w:w="1347" w:type="dxa"/>
            <w:tcBorders>
              <w:top w:val="single" w:sz="8" w:space="0" w:color="auto"/>
              <w:left w:val="single" w:sz="8" w:space="0" w:color="auto"/>
              <w:bottom w:val="single" w:sz="8" w:space="0" w:color="auto"/>
              <w:right w:val="single" w:sz="8" w:space="0" w:color="auto"/>
            </w:tcBorders>
          </w:tcPr>
          <w:p w14:paraId="22C115D4" w14:textId="775098A1" w:rsidR="00BA3FF7" w:rsidRPr="3A123E5D" w:rsidRDefault="3C349DEF" w:rsidP="4321A1A3">
            <w:pPr>
              <w:spacing w:after="0" w:line="257" w:lineRule="auto"/>
              <w:jc w:val="left"/>
              <w:rPr>
                <w:rFonts w:eastAsia="Times New Roman"/>
                <w:noProof/>
                <w:sz w:val="20"/>
                <w:szCs w:val="20"/>
              </w:rPr>
            </w:pPr>
            <w:r w:rsidRPr="4321A1A3">
              <w:rPr>
                <w:rFonts w:eastAsia="Times New Roman"/>
                <w:noProof/>
                <w:sz w:val="20"/>
                <w:szCs w:val="20"/>
              </w:rPr>
              <w:t>0</w:t>
            </w:r>
          </w:p>
        </w:tc>
        <w:tc>
          <w:tcPr>
            <w:tcW w:w="143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1C94CEC" w14:textId="78FAD047" w:rsidR="00BA3FF7" w:rsidRDefault="35EC95F4" w:rsidP="4321A1A3">
            <w:pPr>
              <w:spacing w:after="0" w:line="257" w:lineRule="auto"/>
              <w:jc w:val="left"/>
              <w:rPr>
                <w:rFonts w:eastAsia="Times New Roman"/>
                <w:noProof/>
                <w:sz w:val="20"/>
                <w:szCs w:val="20"/>
              </w:rPr>
            </w:pPr>
            <w:r w:rsidRPr="4321A1A3">
              <w:rPr>
                <w:rFonts w:eastAsia="Times New Roman"/>
                <w:noProof/>
                <w:sz w:val="20"/>
                <w:szCs w:val="20"/>
              </w:rPr>
              <w:t>+</w:t>
            </w:r>
          </w:p>
        </w:tc>
        <w:tc>
          <w:tcPr>
            <w:tcW w:w="12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7BF7573" w14:textId="2D3D5F85" w:rsidR="00BA3FF7" w:rsidRDefault="0DB722A4" w:rsidP="4321A1A3">
            <w:pPr>
              <w:spacing w:after="0" w:line="257" w:lineRule="auto"/>
              <w:jc w:val="left"/>
              <w:rPr>
                <w:rFonts w:eastAsia="Times New Roman"/>
                <w:noProof/>
                <w:sz w:val="20"/>
                <w:szCs w:val="20"/>
              </w:rPr>
            </w:pPr>
            <w:r w:rsidRPr="4321A1A3">
              <w:rPr>
                <w:rFonts w:eastAsia="Times New Roman"/>
                <w:noProof/>
                <w:sz w:val="20"/>
                <w:szCs w:val="20"/>
              </w:rPr>
              <w:t>+++</w:t>
            </w:r>
          </w:p>
        </w:tc>
        <w:tc>
          <w:tcPr>
            <w:tcW w:w="91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7571F59" w14:textId="6F5C79FF" w:rsidR="00BA3FF7" w:rsidRDefault="4F04CA42" w:rsidP="4321A1A3">
            <w:pPr>
              <w:spacing w:after="0" w:line="257" w:lineRule="auto"/>
              <w:jc w:val="left"/>
              <w:rPr>
                <w:rFonts w:eastAsia="Times New Roman"/>
                <w:noProof/>
                <w:sz w:val="20"/>
                <w:szCs w:val="20"/>
              </w:rPr>
            </w:pPr>
            <w:r w:rsidRPr="4321A1A3">
              <w:rPr>
                <w:rFonts w:eastAsia="Times New Roman"/>
                <w:noProof/>
                <w:sz w:val="20"/>
                <w:szCs w:val="20"/>
              </w:rPr>
              <w:t>++</w:t>
            </w:r>
          </w:p>
        </w:tc>
      </w:tr>
      <w:tr w:rsidR="00BA3FF7" w14:paraId="20F37512" w14:textId="77777777" w:rsidTr="4321A1A3">
        <w:trPr>
          <w:trHeight w:val="300"/>
        </w:trPr>
        <w:tc>
          <w:tcPr>
            <w:tcW w:w="399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CC3ACF5" w14:textId="12E9D8E8" w:rsidR="00BA3FF7" w:rsidRPr="00AF6A5E" w:rsidRDefault="3C349DEF" w:rsidP="4321A1A3">
            <w:pPr>
              <w:spacing w:after="0" w:line="257" w:lineRule="auto"/>
              <w:jc w:val="left"/>
              <w:rPr>
                <w:rFonts w:eastAsia="Times New Roman"/>
                <w:noProof/>
                <w:sz w:val="20"/>
                <w:szCs w:val="20"/>
              </w:rPr>
            </w:pPr>
            <w:r w:rsidRPr="4321A1A3">
              <w:rPr>
                <w:rFonts w:eastAsia="Times New Roman"/>
                <w:noProof/>
                <w:sz w:val="20"/>
                <w:szCs w:val="20"/>
              </w:rPr>
              <w:t>Improve the effectiveness and usability of exchanged information</w:t>
            </w:r>
          </w:p>
        </w:tc>
        <w:tc>
          <w:tcPr>
            <w:tcW w:w="1347" w:type="dxa"/>
            <w:tcBorders>
              <w:top w:val="single" w:sz="8" w:space="0" w:color="auto"/>
              <w:left w:val="single" w:sz="8" w:space="0" w:color="auto"/>
              <w:bottom w:val="single" w:sz="8" w:space="0" w:color="auto"/>
              <w:right w:val="single" w:sz="8" w:space="0" w:color="auto"/>
            </w:tcBorders>
          </w:tcPr>
          <w:p w14:paraId="063E429B" w14:textId="6197A846" w:rsidR="00BA3FF7" w:rsidRPr="3A123E5D" w:rsidRDefault="3C349DEF" w:rsidP="4321A1A3">
            <w:pPr>
              <w:spacing w:after="0" w:line="257" w:lineRule="auto"/>
              <w:jc w:val="left"/>
              <w:rPr>
                <w:rFonts w:eastAsia="Times New Roman"/>
                <w:noProof/>
                <w:sz w:val="20"/>
                <w:szCs w:val="20"/>
              </w:rPr>
            </w:pPr>
            <w:r w:rsidRPr="4321A1A3">
              <w:rPr>
                <w:rFonts w:eastAsia="Times New Roman"/>
                <w:noProof/>
                <w:sz w:val="20"/>
                <w:szCs w:val="20"/>
              </w:rPr>
              <w:t>0</w:t>
            </w:r>
          </w:p>
        </w:tc>
        <w:tc>
          <w:tcPr>
            <w:tcW w:w="143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05DA5A8" w14:textId="47BEB9FC" w:rsidR="00BA3FF7" w:rsidRDefault="734A3B7A" w:rsidP="4321A1A3">
            <w:pPr>
              <w:spacing w:after="0" w:line="257" w:lineRule="auto"/>
              <w:jc w:val="left"/>
              <w:rPr>
                <w:rFonts w:eastAsia="Times New Roman"/>
                <w:noProof/>
                <w:sz w:val="20"/>
                <w:szCs w:val="20"/>
              </w:rPr>
            </w:pPr>
            <w:r w:rsidRPr="4321A1A3">
              <w:rPr>
                <w:rFonts w:eastAsia="Times New Roman"/>
                <w:noProof/>
                <w:sz w:val="20"/>
                <w:szCs w:val="20"/>
              </w:rPr>
              <w:t>+</w:t>
            </w:r>
          </w:p>
        </w:tc>
        <w:tc>
          <w:tcPr>
            <w:tcW w:w="12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2D2115E" w14:textId="6F68D6AA" w:rsidR="00BA3FF7" w:rsidRDefault="140C3D90" w:rsidP="4321A1A3">
            <w:pPr>
              <w:spacing w:after="0" w:line="257" w:lineRule="auto"/>
              <w:jc w:val="left"/>
              <w:rPr>
                <w:rFonts w:eastAsia="Times New Roman"/>
                <w:noProof/>
                <w:sz w:val="20"/>
                <w:szCs w:val="20"/>
              </w:rPr>
            </w:pPr>
            <w:r w:rsidRPr="4321A1A3">
              <w:rPr>
                <w:rFonts w:eastAsia="Times New Roman"/>
                <w:noProof/>
                <w:sz w:val="20"/>
                <w:szCs w:val="20"/>
              </w:rPr>
              <w:t>+++</w:t>
            </w:r>
          </w:p>
        </w:tc>
        <w:tc>
          <w:tcPr>
            <w:tcW w:w="91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B933E91" w14:textId="6A235C39" w:rsidR="00BA3FF7" w:rsidRDefault="43BD3DC2" w:rsidP="4321A1A3">
            <w:pPr>
              <w:spacing w:after="0" w:line="257" w:lineRule="auto"/>
              <w:jc w:val="left"/>
              <w:rPr>
                <w:rFonts w:eastAsia="Times New Roman"/>
                <w:noProof/>
                <w:sz w:val="20"/>
                <w:szCs w:val="20"/>
              </w:rPr>
            </w:pPr>
            <w:r w:rsidRPr="4321A1A3">
              <w:rPr>
                <w:rFonts w:eastAsia="Times New Roman"/>
                <w:noProof/>
                <w:sz w:val="20"/>
                <w:szCs w:val="20"/>
              </w:rPr>
              <w:t>++</w:t>
            </w:r>
          </w:p>
        </w:tc>
      </w:tr>
    </w:tbl>
    <w:p w14:paraId="71DE74EC" w14:textId="77777777" w:rsidR="00D7088D" w:rsidRDefault="00D7088D" w:rsidP="00C74C37">
      <w:pPr>
        <w:spacing w:after="160" w:line="257" w:lineRule="auto"/>
        <w:rPr>
          <w:rFonts w:eastAsia="Times New Roman"/>
          <w:noProof/>
        </w:rPr>
      </w:pPr>
    </w:p>
    <w:p w14:paraId="6D3B94CB" w14:textId="779EA938" w:rsidR="00C74C37" w:rsidRPr="00F92EAE" w:rsidRDefault="376706F2" w:rsidP="6A86AAB7">
      <w:pPr>
        <w:spacing w:after="160" w:line="257" w:lineRule="auto"/>
        <w:rPr>
          <w:rFonts w:eastAsia="Times New Roman"/>
          <w:noProof/>
        </w:rPr>
      </w:pPr>
      <w:r w:rsidRPr="6A86AAB7">
        <w:rPr>
          <w:rFonts w:eastAsia="Times New Roman"/>
          <w:noProof/>
        </w:rPr>
        <w:t xml:space="preserve">The policy options contribute </w:t>
      </w:r>
      <w:r w:rsidR="0234E484" w:rsidRPr="6A86AAB7">
        <w:rPr>
          <w:rFonts w:eastAsia="Times New Roman"/>
          <w:noProof/>
        </w:rPr>
        <w:t xml:space="preserve">to different </w:t>
      </w:r>
      <w:r w:rsidR="128AEC61" w:rsidRPr="6A86AAB7">
        <w:rPr>
          <w:rFonts w:eastAsia="Times New Roman"/>
          <w:noProof/>
        </w:rPr>
        <w:t xml:space="preserve">positive </w:t>
      </w:r>
      <w:r w:rsidR="0234E484" w:rsidRPr="6A86AAB7">
        <w:rPr>
          <w:rFonts w:eastAsia="Times New Roman"/>
          <w:noProof/>
        </w:rPr>
        <w:t>degrees</w:t>
      </w:r>
      <w:r w:rsidR="57136CE3" w:rsidRPr="6A86AAB7">
        <w:rPr>
          <w:rFonts w:eastAsia="Times New Roman"/>
          <w:noProof/>
        </w:rPr>
        <w:t>,</w:t>
      </w:r>
      <w:r w:rsidR="0234E484" w:rsidRPr="6A86AAB7">
        <w:rPr>
          <w:rFonts w:eastAsia="Times New Roman"/>
          <w:noProof/>
        </w:rPr>
        <w:t xml:space="preserve"> </w:t>
      </w:r>
      <w:r w:rsidRPr="6A86AAB7">
        <w:rPr>
          <w:rFonts w:eastAsia="Times New Roman"/>
          <w:noProof/>
        </w:rPr>
        <w:t xml:space="preserve">to the specific objectives </w:t>
      </w:r>
      <w:r w:rsidR="7379A218" w:rsidRPr="6A86AAB7">
        <w:rPr>
          <w:rFonts w:eastAsia="Times New Roman"/>
          <w:noProof/>
        </w:rPr>
        <w:t>of the initiative</w:t>
      </w:r>
      <w:r w:rsidR="0234E484" w:rsidRPr="6A86AAB7">
        <w:rPr>
          <w:rFonts w:eastAsia="Times New Roman"/>
          <w:noProof/>
        </w:rPr>
        <w:t xml:space="preserve"> and to the </w:t>
      </w:r>
      <w:r w:rsidR="22664777" w:rsidRPr="6A86AAB7">
        <w:rPr>
          <w:rFonts w:eastAsia="Times New Roman"/>
          <w:noProof/>
        </w:rPr>
        <w:t xml:space="preserve">reduction of </w:t>
      </w:r>
      <w:r w:rsidR="469D74CF" w:rsidRPr="6A86AAB7">
        <w:rPr>
          <w:rFonts w:eastAsia="Times New Roman"/>
          <w:noProof/>
        </w:rPr>
        <w:t>compliance costs</w:t>
      </w:r>
      <w:r w:rsidR="07771BB5" w:rsidRPr="6A86AAB7">
        <w:rPr>
          <w:rFonts w:eastAsia="Times New Roman"/>
          <w:noProof/>
        </w:rPr>
        <w:t xml:space="preserve">. </w:t>
      </w:r>
      <w:r w:rsidRPr="6A86AAB7">
        <w:rPr>
          <w:rFonts w:eastAsia="Times New Roman"/>
          <w:b/>
          <w:bCs/>
          <w:noProof/>
        </w:rPr>
        <w:t>PO</w:t>
      </w:r>
      <w:r w:rsidR="7B85DB00" w:rsidRPr="6A86AAB7">
        <w:rPr>
          <w:rFonts w:eastAsia="Times New Roman"/>
          <w:b/>
          <w:bCs/>
          <w:noProof/>
        </w:rPr>
        <w:t>1</w:t>
      </w:r>
      <w:r w:rsidR="6A706B1F" w:rsidRPr="6A86AAB7">
        <w:rPr>
          <w:rFonts w:eastAsia="Times New Roman"/>
          <w:b/>
          <w:bCs/>
          <w:noProof/>
        </w:rPr>
        <w:t>a</w:t>
      </w:r>
      <w:r w:rsidR="6A706B1F" w:rsidRPr="6A86AAB7">
        <w:rPr>
          <w:rFonts w:eastAsia="Times New Roman"/>
          <w:noProof/>
        </w:rPr>
        <w:t xml:space="preserve"> would</w:t>
      </w:r>
      <w:r w:rsidR="48441841" w:rsidRPr="6A86AAB7">
        <w:rPr>
          <w:rFonts w:eastAsia="Times New Roman"/>
          <w:noProof/>
        </w:rPr>
        <w:t xml:space="preserve"> </w:t>
      </w:r>
      <w:r w:rsidR="6DDFC78D" w:rsidRPr="6A86AAB7">
        <w:rPr>
          <w:rFonts w:eastAsia="Times New Roman"/>
          <w:noProof/>
        </w:rPr>
        <w:t xml:space="preserve">significantly </w:t>
      </w:r>
      <w:r w:rsidR="33421786" w:rsidRPr="6A86AAB7">
        <w:rPr>
          <w:rFonts w:eastAsia="Times New Roman"/>
          <w:noProof/>
        </w:rPr>
        <w:t xml:space="preserve">improve the </w:t>
      </w:r>
      <w:r w:rsidR="01627F44" w:rsidRPr="6A86AAB7">
        <w:rPr>
          <w:rFonts w:eastAsia="Times New Roman"/>
          <w:noProof/>
        </w:rPr>
        <w:t xml:space="preserve">proportionality of the </w:t>
      </w:r>
      <w:r w:rsidR="31F525EC" w:rsidRPr="6A86AAB7">
        <w:rPr>
          <w:rFonts w:eastAsia="Times New Roman"/>
          <w:noProof/>
        </w:rPr>
        <w:t>reporting framework and reduce the</w:t>
      </w:r>
      <w:r w:rsidRPr="6A86AAB7">
        <w:rPr>
          <w:rFonts w:eastAsia="Times New Roman"/>
          <w:noProof/>
        </w:rPr>
        <w:t xml:space="preserve"> administrative burden for </w:t>
      </w:r>
      <w:r w:rsidR="51A1E864" w:rsidRPr="6A86AAB7">
        <w:rPr>
          <w:rFonts w:eastAsia="Times New Roman"/>
          <w:noProof/>
        </w:rPr>
        <w:t>the 3</w:t>
      </w:r>
      <w:r w:rsidR="156BC803" w:rsidRPr="6A86AAB7">
        <w:rPr>
          <w:rFonts w:eastAsia="Times New Roman"/>
          <w:noProof/>
        </w:rPr>
        <w:t>,</w:t>
      </w:r>
      <w:r w:rsidR="51A1E864" w:rsidRPr="6A86AAB7">
        <w:rPr>
          <w:rFonts w:eastAsia="Times New Roman"/>
          <w:noProof/>
        </w:rPr>
        <w:t xml:space="preserve">000 </w:t>
      </w:r>
      <w:r w:rsidR="18D82932" w:rsidRPr="6A86AAB7">
        <w:rPr>
          <w:rFonts w:eastAsia="Times New Roman"/>
          <w:noProof/>
        </w:rPr>
        <w:t xml:space="preserve">MNE </w:t>
      </w:r>
      <w:r w:rsidRPr="6A86AAB7">
        <w:rPr>
          <w:rFonts w:eastAsia="Times New Roman"/>
          <w:noProof/>
        </w:rPr>
        <w:t xml:space="preserve">groups within the scope of </w:t>
      </w:r>
      <w:r w:rsidR="18D82932" w:rsidRPr="6A86AAB7">
        <w:rPr>
          <w:rFonts w:eastAsia="Times New Roman"/>
          <w:noProof/>
        </w:rPr>
        <w:t xml:space="preserve">the </w:t>
      </w:r>
      <w:r w:rsidRPr="6A86AAB7">
        <w:rPr>
          <w:rFonts w:eastAsia="Times New Roman"/>
          <w:noProof/>
        </w:rPr>
        <w:t xml:space="preserve">Pillar </w:t>
      </w:r>
      <w:r w:rsidR="18D82932" w:rsidRPr="6A86AAB7">
        <w:rPr>
          <w:rFonts w:eastAsia="Times New Roman"/>
          <w:noProof/>
        </w:rPr>
        <w:t>2 Directive</w:t>
      </w:r>
      <w:r w:rsidR="0FD3F967" w:rsidRPr="6A86AAB7">
        <w:rPr>
          <w:rFonts w:eastAsia="Times New Roman"/>
          <w:noProof/>
        </w:rPr>
        <w:t xml:space="preserve">. Simultaneously it is </w:t>
      </w:r>
      <w:r w:rsidR="55E995A7" w:rsidRPr="6A86AAB7">
        <w:rPr>
          <w:rFonts w:eastAsia="Times New Roman"/>
          <w:noProof/>
        </w:rPr>
        <w:t>not</w:t>
      </w:r>
      <w:r w:rsidR="10C42112" w:rsidRPr="6A86AAB7">
        <w:rPr>
          <w:rFonts w:eastAsia="Times New Roman"/>
          <w:noProof/>
        </w:rPr>
        <w:t xml:space="preserve"> </w:t>
      </w:r>
      <w:r w:rsidR="0FD3F967" w:rsidRPr="6A86AAB7">
        <w:rPr>
          <w:rFonts w:eastAsia="Times New Roman"/>
          <w:noProof/>
        </w:rPr>
        <w:t>expected to negatively impact on the fight against</w:t>
      </w:r>
      <w:r w:rsidR="21FAF2A8" w:rsidRPr="6A86AAB7">
        <w:rPr>
          <w:rFonts w:eastAsia="Times New Roman"/>
          <w:noProof/>
        </w:rPr>
        <w:t xml:space="preserve"> tax fraud</w:t>
      </w:r>
      <w:r w:rsidR="0FD3F967" w:rsidRPr="6A86AAB7">
        <w:rPr>
          <w:rFonts w:eastAsia="Times New Roman"/>
          <w:noProof/>
        </w:rPr>
        <w:t>, ev</w:t>
      </w:r>
      <w:r w:rsidR="3F9F23A8" w:rsidRPr="6A86AAB7">
        <w:rPr>
          <w:rFonts w:eastAsia="Times New Roman"/>
          <w:noProof/>
        </w:rPr>
        <w:t>asion and avoidance due to the Pillar 2 minimum effect</w:t>
      </w:r>
      <w:r w:rsidR="5009B607" w:rsidRPr="6A86AAB7">
        <w:rPr>
          <w:rFonts w:eastAsia="Times New Roman"/>
          <w:noProof/>
        </w:rPr>
        <w:t xml:space="preserve">ive tax rules. </w:t>
      </w:r>
      <w:r w:rsidRPr="6A86AAB7">
        <w:rPr>
          <w:rFonts w:eastAsia="Times New Roman"/>
          <w:b/>
          <w:bCs/>
          <w:noProof/>
        </w:rPr>
        <w:t>PO</w:t>
      </w:r>
      <w:r w:rsidR="2AF67756" w:rsidRPr="6A86AAB7">
        <w:rPr>
          <w:rFonts w:eastAsia="Times New Roman"/>
          <w:b/>
          <w:bCs/>
          <w:noProof/>
        </w:rPr>
        <w:t>1</w:t>
      </w:r>
      <w:r w:rsidRPr="6A86AAB7">
        <w:rPr>
          <w:rFonts w:eastAsia="Times New Roman"/>
          <w:b/>
          <w:bCs/>
          <w:noProof/>
        </w:rPr>
        <w:t>b</w:t>
      </w:r>
      <w:r w:rsidRPr="6A86AAB7">
        <w:rPr>
          <w:rFonts w:eastAsia="Times New Roman"/>
          <w:noProof/>
        </w:rPr>
        <w:t xml:space="preserve"> </w:t>
      </w:r>
      <w:r w:rsidR="50C23E01" w:rsidRPr="6A86AAB7">
        <w:rPr>
          <w:rFonts w:eastAsia="Times New Roman"/>
          <w:noProof/>
        </w:rPr>
        <w:t>would</w:t>
      </w:r>
      <w:r w:rsidR="6A706B1F" w:rsidRPr="6A86AAB7">
        <w:rPr>
          <w:rFonts w:eastAsia="Times New Roman"/>
          <w:noProof/>
        </w:rPr>
        <w:t xml:space="preserve"> </w:t>
      </w:r>
      <w:r w:rsidR="6799F098" w:rsidRPr="6A86AAB7">
        <w:rPr>
          <w:rFonts w:eastAsia="Times New Roman"/>
          <w:noProof/>
        </w:rPr>
        <w:t xml:space="preserve">have a greater </w:t>
      </w:r>
      <w:r w:rsidR="71DA19BD" w:rsidRPr="6A86AAB7">
        <w:rPr>
          <w:rFonts w:eastAsia="Times New Roman"/>
          <w:noProof/>
        </w:rPr>
        <w:t xml:space="preserve">impact on the proportionality </w:t>
      </w:r>
      <w:r w:rsidR="5BC61FF6" w:rsidRPr="6A86AAB7">
        <w:rPr>
          <w:rFonts w:eastAsia="Times New Roman"/>
          <w:noProof/>
        </w:rPr>
        <w:t xml:space="preserve">of the </w:t>
      </w:r>
      <w:r w:rsidR="6A706B1F" w:rsidRPr="6A86AAB7">
        <w:rPr>
          <w:rFonts w:eastAsia="Times New Roman"/>
          <w:noProof/>
        </w:rPr>
        <w:t>framework than</w:t>
      </w:r>
      <w:r w:rsidR="35B8F140" w:rsidRPr="6A86AAB7">
        <w:rPr>
          <w:rFonts w:eastAsia="Times New Roman"/>
          <w:noProof/>
        </w:rPr>
        <w:t xml:space="preserve"> </w:t>
      </w:r>
      <w:r w:rsidR="35B8F140" w:rsidRPr="6A86AAB7">
        <w:rPr>
          <w:rFonts w:eastAsia="Times New Roman"/>
          <w:b/>
          <w:bCs/>
          <w:noProof/>
        </w:rPr>
        <w:t>PO</w:t>
      </w:r>
      <w:r w:rsidR="5492E68B" w:rsidRPr="6A86AAB7">
        <w:rPr>
          <w:rFonts w:eastAsia="Times New Roman"/>
          <w:b/>
          <w:bCs/>
          <w:noProof/>
        </w:rPr>
        <w:t>1</w:t>
      </w:r>
      <w:r w:rsidR="35B8F140" w:rsidRPr="6A86AAB7">
        <w:rPr>
          <w:rFonts w:eastAsia="Times New Roman"/>
          <w:b/>
          <w:bCs/>
          <w:noProof/>
        </w:rPr>
        <w:t>a</w:t>
      </w:r>
      <w:r w:rsidR="2597E35D" w:rsidRPr="6A86AAB7">
        <w:rPr>
          <w:rFonts w:eastAsia="Times New Roman"/>
          <w:noProof/>
        </w:rPr>
        <w:t xml:space="preserve"> </w:t>
      </w:r>
      <w:r w:rsidR="4F95916A" w:rsidRPr="6A86AAB7">
        <w:rPr>
          <w:rFonts w:eastAsia="Times New Roman"/>
          <w:noProof/>
        </w:rPr>
        <w:t xml:space="preserve">as it </w:t>
      </w:r>
      <w:r w:rsidR="35B8F140" w:rsidRPr="6A86AAB7">
        <w:rPr>
          <w:rFonts w:eastAsia="Times New Roman"/>
          <w:noProof/>
        </w:rPr>
        <w:t xml:space="preserve">further reduces </w:t>
      </w:r>
      <w:r w:rsidRPr="6A86AAB7">
        <w:rPr>
          <w:rFonts w:eastAsia="Times New Roman"/>
          <w:noProof/>
        </w:rPr>
        <w:t xml:space="preserve">reporting volumes </w:t>
      </w:r>
      <w:r w:rsidR="0B76332E" w:rsidRPr="6A86AAB7">
        <w:rPr>
          <w:rFonts w:eastAsia="Times New Roman"/>
          <w:noProof/>
        </w:rPr>
        <w:t xml:space="preserve">and </w:t>
      </w:r>
      <w:r w:rsidR="35B8F140" w:rsidRPr="6A86AAB7">
        <w:rPr>
          <w:rFonts w:eastAsia="Times New Roman"/>
          <w:noProof/>
        </w:rPr>
        <w:t>their</w:t>
      </w:r>
      <w:r w:rsidR="0B76332E" w:rsidRPr="6A86AAB7">
        <w:rPr>
          <w:rFonts w:eastAsia="Times New Roman"/>
          <w:noProof/>
        </w:rPr>
        <w:t xml:space="preserve"> </w:t>
      </w:r>
      <w:r w:rsidRPr="6A86AAB7">
        <w:rPr>
          <w:rFonts w:eastAsia="Times New Roman"/>
          <w:noProof/>
        </w:rPr>
        <w:t xml:space="preserve">associated </w:t>
      </w:r>
      <w:r w:rsidR="0B76332E" w:rsidRPr="6A86AAB7">
        <w:rPr>
          <w:rFonts w:eastAsia="Times New Roman"/>
          <w:noProof/>
        </w:rPr>
        <w:t>costs</w:t>
      </w:r>
      <w:r w:rsidR="35B8F140" w:rsidRPr="6A86AAB7">
        <w:rPr>
          <w:rFonts w:eastAsia="Times New Roman"/>
          <w:noProof/>
        </w:rPr>
        <w:t xml:space="preserve"> </w:t>
      </w:r>
      <w:r w:rsidR="27F24AD8" w:rsidRPr="6A86AAB7">
        <w:rPr>
          <w:rFonts w:eastAsia="Times New Roman"/>
          <w:noProof/>
        </w:rPr>
        <w:t xml:space="preserve">for </w:t>
      </w:r>
      <w:r w:rsidRPr="6A86AAB7">
        <w:rPr>
          <w:rFonts w:eastAsia="Times New Roman"/>
          <w:noProof/>
        </w:rPr>
        <w:t xml:space="preserve">arrangements that </w:t>
      </w:r>
      <w:r w:rsidR="27F24AD8" w:rsidRPr="6A86AAB7">
        <w:rPr>
          <w:rFonts w:eastAsia="Times New Roman"/>
          <w:noProof/>
        </w:rPr>
        <w:t>provide</w:t>
      </w:r>
      <w:r w:rsidRPr="6A86AAB7">
        <w:rPr>
          <w:rFonts w:eastAsia="Times New Roman"/>
          <w:noProof/>
        </w:rPr>
        <w:t xml:space="preserve"> limited </w:t>
      </w:r>
      <w:r w:rsidR="2D9338ED" w:rsidRPr="6A86AAB7">
        <w:rPr>
          <w:rFonts w:eastAsia="Times New Roman"/>
          <w:noProof/>
        </w:rPr>
        <w:t xml:space="preserve">added </w:t>
      </w:r>
      <w:r w:rsidRPr="6A86AAB7">
        <w:rPr>
          <w:rFonts w:eastAsia="Times New Roman"/>
          <w:noProof/>
        </w:rPr>
        <w:t>value for tax administrations</w:t>
      </w:r>
      <w:r w:rsidR="73D45438" w:rsidRPr="6A86AAB7">
        <w:rPr>
          <w:rFonts w:eastAsia="Times New Roman"/>
          <w:noProof/>
        </w:rPr>
        <w:t>,</w:t>
      </w:r>
      <w:r w:rsidR="2700D4C8" w:rsidRPr="6A86AAB7">
        <w:rPr>
          <w:rFonts w:eastAsia="Times New Roman"/>
          <w:noProof/>
        </w:rPr>
        <w:t xml:space="preserve"> thereby </w:t>
      </w:r>
      <w:r w:rsidR="3A178EDB" w:rsidRPr="6A86AAB7">
        <w:rPr>
          <w:rFonts w:eastAsia="Times New Roman"/>
          <w:noProof/>
        </w:rPr>
        <w:t xml:space="preserve">preserving the policy objectives. </w:t>
      </w:r>
      <w:r w:rsidRPr="6A86AAB7">
        <w:rPr>
          <w:rFonts w:eastAsia="Times New Roman"/>
          <w:noProof/>
        </w:rPr>
        <w:t xml:space="preserve">In addition, targeted guidance on the interpretation of the </w:t>
      </w:r>
      <w:r w:rsidR="538B7483" w:rsidRPr="6A86AAB7">
        <w:rPr>
          <w:rFonts w:eastAsia="Times New Roman"/>
          <w:noProof/>
        </w:rPr>
        <w:t xml:space="preserve">MBT </w:t>
      </w:r>
      <w:r w:rsidR="2597E35D" w:rsidRPr="6A86AAB7">
        <w:rPr>
          <w:rFonts w:eastAsia="Times New Roman"/>
          <w:noProof/>
        </w:rPr>
        <w:t>for the remain</w:t>
      </w:r>
      <w:r w:rsidR="57B78E3C" w:rsidRPr="6A86AAB7">
        <w:rPr>
          <w:rFonts w:eastAsia="Times New Roman"/>
          <w:noProof/>
        </w:rPr>
        <w:t xml:space="preserve">ing </w:t>
      </w:r>
      <w:r w:rsidR="22B28415" w:rsidRPr="6A86AAB7">
        <w:rPr>
          <w:rFonts w:eastAsia="Times New Roman"/>
          <w:noProof/>
        </w:rPr>
        <w:t>hallmarks</w:t>
      </w:r>
      <w:r w:rsidR="2597E35D" w:rsidRPr="6A86AAB7">
        <w:rPr>
          <w:rFonts w:eastAsia="Times New Roman"/>
          <w:noProof/>
        </w:rPr>
        <w:t xml:space="preserve"> </w:t>
      </w:r>
      <w:r w:rsidRPr="6A86AAB7">
        <w:rPr>
          <w:rFonts w:eastAsia="Times New Roman"/>
          <w:noProof/>
        </w:rPr>
        <w:t>would promote greater consistency in its application across Member States, thereby improving legal certainty for intermediaries and taxpayers.</w:t>
      </w:r>
      <w:r w:rsidR="3400E3A3" w:rsidRPr="6A86AAB7">
        <w:rPr>
          <w:rFonts w:eastAsia="Times New Roman"/>
          <w:noProof/>
        </w:rPr>
        <w:t xml:space="preserve"> </w:t>
      </w:r>
      <w:r w:rsidRPr="6A86AAB7">
        <w:rPr>
          <w:rFonts w:eastAsia="Times New Roman"/>
          <w:b/>
          <w:bCs/>
          <w:noProof/>
        </w:rPr>
        <w:t>PO</w:t>
      </w:r>
      <w:r w:rsidR="6011D9BE" w:rsidRPr="6A86AAB7">
        <w:rPr>
          <w:rFonts w:eastAsia="Times New Roman"/>
          <w:b/>
          <w:bCs/>
          <w:noProof/>
        </w:rPr>
        <w:t>1</w:t>
      </w:r>
      <w:r w:rsidRPr="6A86AAB7">
        <w:rPr>
          <w:rFonts w:eastAsia="Times New Roman"/>
          <w:b/>
          <w:bCs/>
          <w:noProof/>
        </w:rPr>
        <w:t xml:space="preserve">c </w:t>
      </w:r>
      <w:r w:rsidRPr="6A86AAB7">
        <w:rPr>
          <w:rFonts w:eastAsia="Times New Roman"/>
          <w:noProof/>
        </w:rPr>
        <w:t xml:space="preserve">would go further by removing the </w:t>
      </w:r>
      <w:r w:rsidR="371F542D" w:rsidRPr="6A86AAB7">
        <w:rPr>
          <w:rFonts w:eastAsia="Times New Roman"/>
          <w:noProof/>
        </w:rPr>
        <w:t xml:space="preserve">MBT </w:t>
      </w:r>
      <w:r w:rsidRPr="6A86AAB7">
        <w:rPr>
          <w:rFonts w:eastAsia="Times New Roman"/>
          <w:noProof/>
        </w:rPr>
        <w:t xml:space="preserve">from the remaining hallmarks currently subject to the test and replacing it with revised </w:t>
      </w:r>
      <w:r w:rsidR="43AC9751" w:rsidRPr="6A86AAB7">
        <w:rPr>
          <w:rFonts w:eastAsia="Times New Roman"/>
          <w:noProof/>
        </w:rPr>
        <w:t xml:space="preserve">hallmarks based on </w:t>
      </w:r>
      <w:r w:rsidRPr="6A86AAB7">
        <w:rPr>
          <w:rFonts w:eastAsia="Times New Roman"/>
          <w:noProof/>
        </w:rPr>
        <w:t xml:space="preserve">objective criteria. While this </w:t>
      </w:r>
      <w:r w:rsidR="4564D78E" w:rsidRPr="6A86AAB7">
        <w:rPr>
          <w:rFonts w:eastAsia="Times New Roman"/>
          <w:noProof/>
        </w:rPr>
        <w:t xml:space="preserve">is expected to </w:t>
      </w:r>
      <w:r w:rsidR="25B031E0" w:rsidRPr="6A86AAB7">
        <w:rPr>
          <w:rFonts w:eastAsia="Times New Roman"/>
          <w:noProof/>
        </w:rPr>
        <w:t>address the complexity related to the MBT</w:t>
      </w:r>
      <w:r w:rsidR="6A706B1F" w:rsidRPr="6A86AAB7">
        <w:rPr>
          <w:rFonts w:eastAsia="Times New Roman"/>
          <w:noProof/>
        </w:rPr>
        <w:t xml:space="preserve">, the impact on reporting outcomes </w:t>
      </w:r>
      <w:r w:rsidR="652BAD77" w:rsidRPr="6A86AAB7">
        <w:rPr>
          <w:rFonts w:eastAsia="Times New Roman"/>
          <w:noProof/>
        </w:rPr>
        <w:t xml:space="preserve">is not </w:t>
      </w:r>
      <w:r w:rsidR="517C0A7D" w:rsidRPr="6A86AAB7">
        <w:rPr>
          <w:rFonts w:eastAsia="Times New Roman"/>
          <w:noProof/>
        </w:rPr>
        <w:t>predictable</w:t>
      </w:r>
      <w:r w:rsidR="652BAD77" w:rsidRPr="6A86AAB7">
        <w:rPr>
          <w:rFonts w:eastAsia="Times New Roman"/>
          <w:noProof/>
        </w:rPr>
        <w:t xml:space="preserve">. </w:t>
      </w:r>
      <w:r w:rsidR="4E8E9389" w:rsidRPr="00BE4A20">
        <w:rPr>
          <w:rFonts w:eastAsia="Times New Roman"/>
          <w:noProof/>
        </w:rPr>
        <w:t xml:space="preserve">While the removal of the MBT may reduce defensive reporting </w:t>
      </w:r>
      <w:r w:rsidR="755A8A16" w:rsidRPr="00BE4A20">
        <w:rPr>
          <w:rFonts w:eastAsia="Times New Roman"/>
          <w:noProof/>
        </w:rPr>
        <w:t>(i.e. situations where intermediaries choose to report in cases of uncertainty due to the complexity of the test), several business stakeholders have indicated that the MBT can pro</w:t>
      </w:r>
      <w:r w:rsidR="1FB32A18" w:rsidRPr="00BE4A20">
        <w:rPr>
          <w:rFonts w:eastAsia="Times New Roman"/>
          <w:noProof/>
        </w:rPr>
        <w:t>vide useful guidance to intermediaries in assessing whether an arrangement is reportable therefore limiting disclosures by acting as a filter.</w:t>
      </w:r>
      <w:r w:rsidR="1FB32A18" w:rsidRPr="6A86AAB7">
        <w:rPr>
          <w:rFonts w:eastAsia="Times New Roman"/>
          <w:noProof/>
        </w:rPr>
        <w:t xml:space="preserve"> </w:t>
      </w:r>
    </w:p>
    <w:p w14:paraId="5E3BA440" w14:textId="4099BF65" w:rsidR="00C74C37" w:rsidRPr="00F92EAE" w:rsidRDefault="0F1A58FB" w:rsidP="00C74C37">
      <w:pPr>
        <w:spacing w:after="160" w:line="257" w:lineRule="auto"/>
        <w:rPr>
          <w:rFonts w:eastAsia="Times New Roman"/>
          <w:noProof/>
        </w:rPr>
      </w:pPr>
      <w:r w:rsidRPr="6A86AAB7">
        <w:rPr>
          <w:rFonts w:eastAsia="Times New Roman"/>
          <w:noProof/>
        </w:rPr>
        <w:t>Moreover,</w:t>
      </w:r>
      <w:r w:rsidR="70E60972" w:rsidRPr="6A86AAB7">
        <w:rPr>
          <w:rFonts w:eastAsia="Times New Roman"/>
          <w:noProof/>
        </w:rPr>
        <w:t xml:space="preserve"> </w:t>
      </w:r>
      <w:r w:rsidR="6D28721B" w:rsidRPr="6A86AAB7">
        <w:rPr>
          <w:rFonts w:eastAsia="Times New Roman"/>
          <w:noProof/>
        </w:rPr>
        <w:t>t</w:t>
      </w:r>
      <w:r w:rsidR="469D74CF" w:rsidRPr="6A86AAB7">
        <w:rPr>
          <w:rFonts w:eastAsia="Times New Roman"/>
          <w:noProof/>
        </w:rPr>
        <w:t xml:space="preserve">he redesign of </w:t>
      </w:r>
      <w:r w:rsidR="682F0E95" w:rsidRPr="6A86AAB7">
        <w:rPr>
          <w:rFonts w:eastAsia="Times New Roman"/>
          <w:noProof/>
        </w:rPr>
        <w:t>some of the</w:t>
      </w:r>
      <w:r w:rsidR="469D74CF" w:rsidRPr="6A86AAB7">
        <w:rPr>
          <w:rFonts w:eastAsia="Times New Roman"/>
          <w:noProof/>
        </w:rPr>
        <w:t xml:space="preserve"> hallmarks would involve higher adjustment costs for reporting entities </w:t>
      </w:r>
      <w:r w:rsidR="57391040" w:rsidRPr="6A86AAB7">
        <w:rPr>
          <w:rFonts w:eastAsia="Times New Roman"/>
          <w:noProof/>
        </w:rPr>
        <w:t xml:space="preserve">than </w:t>
      </w:r>
      <w:r w:rsidR="57391040" w:rsidRPr="6A86AAB7">
        <w:rPr>
          <w:rFonts w:eastAsia="Times New Roman"/>
          <w:b/>
          <w:bCs/>
          <w:noProof/>
        </w:rPr>
        <w:t>PO</w:t>
      </w:r>
      <w:r w:rsidR="1D206C27" w:rsidRPr="6A86AAB7">
        <w:rPr>
          <w:rFonts w:eastAsia="Times New Roman"/>
          <w:b/>
          <w:bCs/>
          <w:noProof/>
        </w:rPr>
        <w:t>1</w:t>
      </w:r>
      <w:r w:rsidR="57391040" w:rsidRPr="6A86AAB7">
        <w:rPr>
          <w:rFonts w:eastAsia="Times New Roman"/>
          <w:b/>
          <w:bCs/>
          <w:noProof/>
        </w:rPr>
        <w:t>b</w:t>
      </w:r>
      <w:r w:rsidR="469D74CF" w:rsidRPr="6A86AAB7">
        <w:rPr>
          <w:rFonts w:eastAsia="Times New Roman"/>
          <w:noProof/>
        </w:rPr>
        <w:t xml:space="preserve"> </w:t>
      </w:r>
      <w:r w:rsidR="4433ED54" w:rsidRPr="6A86AAB7">
        <w:rPr>
          <w:rFonts w:eastAsia="Times New Roman"/>
          <w:noProof/>
        </w:rPr>
        <w:t>as this would require</w:t>
      </w:r>
      <w:r w:rsidR="0EAAEC74" w:rsidRPr="6A86AAB7">
        <w:rPr>
          <w:rFonts w:eastAsia="Times New Roman"/>
          <w:noProof/>
        </w:rPr>
        <w:t xml:space="preserve"> updates </w:t>
      </w:r>
      <w:r w:rsidR="4433ED54" w:rsidRPr="6A86AAB7">
        <w:rPr>
          <w:rFonts w:eastAsia="Times New Roman"/>
          <w:noProof/>
        </w:rPr>
        <w:t>to</w:t>
      </w:r>
      <w:r w:rsidR="0EAAEC74" w:rsidRPr="6A86AAB7">
        <w:rPr>
          <w:rFonts w:eastAsia="Times New Roman"/>
          <w:noProof/>
        </w:rPr>
        <w:t xml:space="preserve"> internal procedures, compliance systems and staff training</w:t>
      </w:r>
      <w:r w:rsidR="6F4205E4" w:rsidRPr="6A86AAB7">
        <w:rPr>
          <w:rFonts w:eastAsia="Times New Roman"/>
          <w:noProof/>
        </w:rPr>
        <w:t>.</w:t>
      </w:r>
      <w:r w:rsidR="0EAAEC74" w:rsidRPr="6A86AAB7">
        <w:rPr>
          <w:rFonts w:eastAsia="Times New Roman"/>
          <w:noProof/>
        </w:rPr>
        <w:t xml:space="preserve"> </w:t>
      </w:r>
      <w:r w:rsidR="65B44D11" w:rsidRPr="6A86AAB7">
        <w:rPr>
          <w:rFonts w:eastAsia="Times New Roman"/>
          <w:noProof/>
        </w:rPr>
        <w:t>This was one of the key findings from the targeted consultations with business stakeholders as they stated that further modifications to the DAC6 reporting hall</w:t>
      </w:r>
      <w:r w:rsidR="2665B487" w:rsidRPr="6A86AAB7">
        <w:rPr>
          <w:rFonts w:eastAsia="Times New Roman"/>
          <w:noProof/>
        </w:rPr>
        <w:t>marks should be avoided as they would require businesses to once again adapt their internal reporting systems and compliance processes, which would incr</w:t>
      </w:r>
      <w:r w:rsidR="4EAC8EA9" w:rsidRPr="6A86AAB7">
        <w:rPr>
          <w:rFonts w:eastAsia="Times New Roman"/>
          <w:noProof/>
        </w:rPr>
        <w:t>ease compliance costs.</w:t>
      </w:r>
    </w:p>
    <w:p w14:paraId="5133AF46" w14:textId="0B4D7BCE" w:rsidR="00B02E69" w:rsidRDefault="4A38DA0B" w:rsidP="19989A7C">
      <w:pPr>
        <w:spacing w:after="160" w:line="257" w:lineRule="auto"/>
        <w:rPr>
          <w:rFonts w:eastAsia="Times New Roman"/>
          <w:noProof/>
        </w:rPr>
      </w:pPr>
      <w:r w:rsidRPr="58486E0A">
        <w:rPr>
          <w:rFonts w:eastAsia="Times New Roman"/>
          <w:noProof/>
        </w:rPr>
        <w:t xml:space="preserve">All options will reduce the complexity and enhance the legal certainty of the framework for all stakeholders. </w:t>
      </w:r>
      <w:r w:rsidR="73A5FC8B" w:rsidRPr="58486E0A">
        <w:rPr>
          <w:rFonts w:eastAsia="Times New Roman"/>
          <w:noProof/>
        </w:rPr>
        <w:t xml:space="preserve">This is more limited for </w:t>
      </w:r>
      <w:r w:rsidR="73A5FC8B" w:rsidRPr="58486E0A">
        <w:rPr>
          <w:rFonts w:eastAsia="Times New Roman"/>
          <w:b/>
          <w:bCs/>
          <w:noProof/>
        </w:rPr>
        <w:t>PO</w:t>
      </w:r>
      <w:r w:rsidR="631A73B3" w:rsidRPr="58486E0A">
        <w:rPr>
          <w:rFonts w:eastAsia="Times New Roman"/>
          <w:b/>
          <w:bCs/>
          <w:noProof/>
        </w:rPr>
        <w:t>1</w:t>
      </w:r>
      <w:r w:rsidR="73A5FC8B" w:rsidRPr="58486E0A">
        <w:rPr>
          <w:rFonts w:eastAsia="Times New Roman"/>
          <w:b/>
          <w:bCs/>
          <w:noProof/>
        </w:rPr>
        <w:t xml:space="preserve">a </w:t>
      </w:r>
      <w:r w:rsidR="73A5FC8B" w:rsidRPr="58486E0A">
        <w:rPr>
          <w:rFonts w:eastAsia="Times New Roman"/>
          <w:noProof/>
        </w:rPr>
        <w:t xml:space="preserve">than </w:t>
      </w:r>
      <w:r w:rsidR="73A5FC8B" w:rsidRPr="58486E0A">
        <w:rPr>
          <w:rFonts w:eastAsia="Times New Roman"/>
          <w:b/>
          <w:bCs/>
          <w:noProof/>
        </w:rPr>
        <w:t>PO</w:t>
      </w:r>
      <w:r w:rsidR="173B26F1" w:rsidRPr="58486E0A">
        <w:rPr>
          <w:rFonts w:eastAsia="Times New Roman"/>
          <w:b/>
          <w:bCs/>
          <w:noProof/>
        </w:rPr>
        <w:t>1</w:t>
      </w:r>
      <w:r w:rsidR="73A5FC8B" w:rsidRPr="58486E0A">
        <w:rPr>
          <w:rFonts w:eastAsia="Times New Roman"/>
          <w:b/>
          <w:bCs/>
          <w:noProof/>
        </w:rPr>
        <w:t>b</w:t>
      </w:r>
      <w:r w:rsidR="73A5FC8B" w:rsidRPr="58486E0A">
        <w:rPr>
          <w:rFonts w:eastAsia="Times New Roman"/>
          <w:noProof/>
        </w:rPr>
        <w:t xml:space="preserve"> </w:t>
      </w:r>
      <w:r w:rsidR="2399C873" w:rsidRPr="58486E0A">
        <w:rPr>
          <w:rFonts w:eastAsia="Times New Roman"/>
          <w:noProof/>
        </w:rPr>
        <w:t xml:space="preserve">and </w:t>
      </w:r>
      <w:r w:rsidR="2399C873" w:rsidRPr="58486E0A">
        <w:rPr>
          <w:rFonts w:eastAsia="Times New Roman"/>
          <w:b/>
          <w:bCs/>
          <w:noProof/>
        </w:rPr>
        <w:t xml:space="preserve">PO1c, </w:t>
      </w:r>
      <w:r w:rsidR="73A5FC8B" w:rsidRPr="58486E0A">
        <w:rPr>
          <w:rFonts w:eastAsia="Times New Roman"/>
          <w:noProof/>
        </w:rPr>
        <w:t xml:space="preserve">as all companies </w:t>
      </w:r>
      <w:r w:rsidR="097C9961" w:rsidRPr="58486E0A">
        <w:rPr>
          <w:rFonts w:eastAsia="Times New Roman"/>
          <w:noProof/>
        </w:rPr>
        <w:t xml:space="preserve">and intermediaries </w:t>
      </w:r>
      <w:r w:rsidR="73A5FC8B" w:rsidRPr="58486E0A">
        <w:rPr>
          <w:rFonts w:eastAsia="Times New Roman"/>
          <w:noProof/>
        </w:rPr>
        <w:t xml:space="preserve">benefit from the latter </w:t>
      </w:r>
      <w:r w:rsidR="1A47F95C" w:rsidRPr="58486E0A">
        <w:rPr>
          <w:rFonts w:eastAsia="Times New Roman"/>
          <w:noProof/>
        </w:rPr>
        <w:t xml:space="preserve">two </w:t>
      </w:r>
      <w:r w:rsidR="73A5FC8B" w:rsidRPr="58486E0A">
        <w:rPr>
          <w:rFonts w:eastAsia="Times New Roman"/>
          <w:noProof/>
        </w:rPr>
        <w:t>option</w:t>
      </w:r>
      <w:r w:rsidR="0D6DE3E9" w:rsidRPr="58486E0A">
        <w:rPr>
          <w:rFonts w:eastAsia="Times New Roman"/>
          <w:noProof/>
        </w:rPr>
        <w:t>s</w:t>
      </w:r>
      <w:r w:rsidR="1D581AA4" w:rsidRPr="58486E0A">
        <w:rPr>
          <w:rFonts w:eastAsia="Times New Roman"/>
          <w:noProof/>
        </w:rPr>
        <w:t xml:space="preserve">. </w:t>
      </w:r>
      <w:r w:rsidR="2DD52721" w:rsidRPr="58486E0A">
        <w:rPr>
          <w:rFonts w:eastAsia="Times New Roman"/>
          <w:noProof/>
        </w:rPr>
        <w:t>All options are expected to improve the effectiveness and use of information</w:t>
      </w:r>
      <w:r w:rsidR="6D61742F" w:rsidRPr="58486E0A">
        <w:rPr>
          <w:rFonts w:eastAsia="Times New Roman"/>
          <w:noProof/>
        </w:rPr>
        <w:t>.</w:t>
      </w:r>
      <w:r w:rsidR="2DD52721" w:rsidRPr="58486E0A">
        <w:rPr>
          <w:rFonts w:eastAsia="Times New Roman"/>
          <w:noProof/>
        </w:rPr>
        <w:t xml:space="preserve"> </w:t>
      </w:r>
      <w:r w:rsidR="780255FE" w:rsidRPr="58486E0A">
        <w:rPr>
          <w:rFonts w:eastAsia="Times New Roman"/>
          <w:b/>
          <w:bCs/>
          <w:noProof/>
        </w:rPr>
        <w:t>PO</w:t>
      </w:r>
      <w:r w:rsidR="27EC44CB" w:rsidRPr="58486E0A">
        <w:rPr>
          <w:rFonts w:eastAsia="Times New Roman"/>
          <w:b/>
          <w:bCs/>
          <w:noProof/>
        </w:rPr>
        <w:t>1</w:t>
      </w:r>
      <w:r w:rsidR="780255FE" w:rsidRPr="58486E0A">
        <w:rPr>
          <w:rFonts w:eastAsia="Times New Roman"/>
          <w:b/>
          <w:bCs/>
          <w:noProof/>
        </w:rPr>
        <w:t xml:space="preserve">b </w:t>
      </w:r>
      <w:r w:rsidR="780255FE" w:rsidRPr="58486E0A">
        <w:rPr>
          <w:rFonts w:eastAsia="Times New Roman"/>
          <w:noProof/>
        </w:rPr>
        <w:t>scores higher than</w:t>
      </w:r>
      <w:r w:rsidR="780255FE" w:rsidRPr="58486E0A">
        <w:rPr>
          <w:rFonts w:eastAsia="Times New Roman"/>
          <w:b/>
          <w:bCs/>
          <w:noProof/>
        </w:rPr>
        <w:t xml:space="preserve"> PO</w:t>
      </w:r>
      <w:r w:rsidR="0092CE1C" w:rsidRPr="58486E0A">
        <w:rPr>
          <w:rFonts w:eastAsia="Times New Roman"/>
          <w:b/>
          <w:bCs/>
          <w:noProof/>
        </w:rPr>
        <w:t>1</w:t>
      </w:r>
      <w:r w:rsidR="780255FE" w:rsidRPr="58486E0A">
        <w:rPr>
          <w:rFonts w:eastAsia="Times New Roman"/>
          <w:b/>
          <w:bCs/>
          <w:noProof/>
        </w:rPr>
        <w:t xml:space="preserve">a </w:t>
      </w:r>
      <w:r w:rsidR="780255FE" w:rsidRPr="58486E0A">
        <w:rPr>
          <w:rFonts w:eastAsia="Times New Roman"/>
          <w:noProof/>
        </w:rPr>
        <w:t xml:space="preserve">as it ensures that tax administrations can better dedicate resources to </w:t>
      </w:r>
      <w:r w:rsidR="5B71AAC1" w:rsidRPr="58486E0A">
        <w:rPr>
          <w:rFonts w:eastAsia="Times New Roman"/>
          <w:noProof/>
        </w:rPr>
        <w:t>arrangements that present a higher risk of tax fraud, evasion and avoidance</w:t>
      </w:r>
      <w:r w:rsidR="4F522CB9" w:rsidRPr="58486E0A">
        <w:rPr>
          <w:rFonts w:eastAsia="Times New Roman"/>
          <w:noProof/>
        </w:rPr>
        <w:t xml:space="preserve"> thereby further improving the functioning of the </w:t>
      </w:r>
      <w:r w:rsidR="1EA9E8D7" w:rsidRPr="67C99C7D">
        <w:rPr>
          <w:rFonts w:eastAsia="Times New Roman"/>
          <w:noProof/>
        </w:rPr>
        <w:t>I</w:t>
      </w:r>
      <w:r w:rsidR="4F522CB9" w:rsidRPr="67C99C7D">
        <w:rPr>
          <w:rFonts w:eastAsia="Times New Roman"/>
          <w:noProof/>
        </w:rPr>
        <w:t xml:space="preserve">nternal </w:t>
      </w:r>
      <w:r w:rsidR="6F3D35B6" w:rsidRPr="67C99C7D">
        <w:rPr>
          <w:rFonts w:eastAsia="Times New Roman"/>
          <w:noProof/>
        </w:rPr>
        <w:t>M</w:t>
      </w:r>
      <w:r w:rsidR="4F522CB9" w:rsidRPr="67C99C7D">
        <w:rPr>
          <w:rFonts w:eastAsia="Times New Roman"/>
          <w:noProof/>
        </w:rPr>
        <w:t>arket</w:t>
      </w:r>
      <w:r w:rsidR="4F522CB9" w:rsidRPr="58486E0A">
        <w:rPr>
          <w:rFonts w:eastAsia="Times New Roman"/>
          <w:noProof/>
        </w:rPr>
        <w:t xml:space="preserve"> and strengthening competitiveness. </w:t>
      </w:r>
      <w:r w:rsidR="4F522CB9" w:rsidRPr="58486E0A">
        <w:rPr>
          <w:rFonts w:eastAsia="Times New Roman"/>
          <w:b/>
          <w:bCs/>
          <w:noProof/>
        </w:rPr>
        <w:t>PO</w:t>
      </w:r>
      <w:r w:rsidR="2DE9DD78" w:rsidRPr="58486E0A">
        <w:rPr>
          <w:rFonts w:eastAsia="Times New Roman"/>
          <w:b/>
          <w:bCs/>
          <w:noProof/>
        </w:rPr>
        <w:t>1</w:t>
      </w:r>
      <w:r w:rsidR="4F522CB9" w:rsidRPr="58486E0A">
        <w:rPr>
          <w:rFonts w:eastAsia="Times New Roman"/>
          <w:b/>
          <w:bCs/>
          <w:noProof/>
        </w:rPr>
        <w:t>c</w:t>
      </w:r>
      <w:r w:rsidR="4F522CB9" w:rsidRPr="58486E0A">
        <w:rPr>
          <w:rFonts w:eastAsia="Times New Roman"/>
          <w:noProof/>
        </w:rPr>
        <w:t xml:space="preserve"> scores slightly lower than </w:t>
      </w:r>
      <w:r w:rsidR="4F522CB9" w:rsidRPr="58486E0A">
        <w:rPr>
          <w:rFonts w:eastAsia="Times New Roman"/>
          <w:b/>
          <w:bCs/>
          <w:noProof/>
        </w:rPr>
        <w:t>PO</w:t>
      </w:r>
      <w:r w:rsidR="2A1C2302" w:rsidRPr="58486E0A">
        <w:rPr>
          <w:rFonts w:eastAsia="Times New Roman"/>
          <w:b/>
          <w:bCs/>
          <w:noProof/>
        </w:rPr>
        <w:t>1</w:t>
      </w:r>
      <w:r w:rsidR="4F522CB9" w:rsidRPr="58486E0A">
        <w:rPr>
          <w:rFonts w:eastAsia="Times New Roman"/>
          <w:b/>
          <w:bCs/>
          <w:noProof/>
        </w:rPr>
        <w:t>b</w:t>
      </w:r>
      <w:r w:rsidR="06F466D5" w:rsidRPr="58486E0A">
        <w:rPr>
          <w:rFonts w:eastAsia="Times New Roman"/>
          <w:b/>
          <w:bCs/>
          <w:noProof/>
        </w:rPr>
        <w:t xml:space="preserve"> </w:t>
      </w:r>
      <w:r w:rsidR="06F466D5" w:rsidRPr="58486E0A">
        <w:rPr>
          <w:rFonts w:eastAsia="Times New Roman"/>
          <w:noProof/>
        </w:rPr>
        <w:t xml:space="preserve">due to the less predictable nature of revised reporting outcomes. </w:t>
      </w:r>
    </w:p>
    <w:p w14:paraId="7F2D1CA9" w14:textId="500F48A7" w:rsidR="000C0535" w:rsidRDefault="619ACB24" w:rsidP="4321A1A3">
      <w:pPr>
        <w:spacing w:after="0" w:line="257" w:lineRule="auto"/>
        <w:rPr>
          <w:rFonts w:eastAsia="Times New Roman"/>
          <w:b/>
          <w:bCs/>
          <w:noProof/>
          <w:sz w:val="20"/>
          <w:szCs w:val="20"/>
          <w:u w:val="single"/>
        </w:rPr>
      </w:pPr>
      <w:r w:rsidRPr="00D7088D">
        <w:rPr>
          <w:rFonts w:eastAsia="Times New Roman"/>
          <w:b/>
          <w:bCs/>
          <w:noProof/>
          <w:sz w:val="20"/>
          <w:szCs w:val="20"/>
          <w:u w:val="single"/>
        </w:rPr>
        <w:t>Efficiency</w:t>
      </w:r>
    </w:p>
    <w:p w14:paraId="70252786" w14:textId="77777777" w:rsidR="00D6565B" w:rsidRPr="00D7088D" w:rsidRDefault="00D6565B" w:rsidP="4321A1A3">
      <w:pPr>
        <w:spacing w:after="0" w:line="257" w:lineRule="auto"/>
        <w:rPr>
          <w:noProof/>
          <w:sz w:val="20"/>
          <w:szCs w:val="20"/>
          <w:u w:val="single"/>
        </w:rPr>
      </w:pPr>
    </w:p>
    <w:tbl>
      <w:tblPr>
        <w:tblW w:w="8637"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644"/>
        <w:gridCol w:w="1506"/>
        <w:gridCol w:w="999"/>
        <w:gridCol w:w="1133"/>
        <w:gridCol w:w="1355"/>
      </w:tblGrid>
      <w:tr w:rsidR="3A123E5D" w14:paraId="38396D9C" w14:textId="77777777" w:rsidTr="4321A1A3">
        <w:trPr>
          <w:trHeight w:val="606"/>
        </w:trPr>
        <w:tc>
          <w:tcPr>
            <w:tcW w:w="36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456449A" w14:textId="6C07EB77" w:rsidR="3A123E5D" w:rsidRDefault="3A123E5D" w:rsidP="4321A1A3">
            <w:pPr>
              <w:spacing w:after="0" w:line="257" w:lineRule="auto"/>
              <w:jc w:val="left"/>
              <w:rPr>
                <w:rFonts w:eastAsia="Times New Roman"/>
                <w:b/>
                <w:bCs/>
                <w:noProof/>
                <w:sz w:val="20"/>
                <w:szCs w:val="20"/>
              </w:rPr>
            </w:pPr>
          </w:p>
        </w:tc>
        <w:tc>
          <w:tcPr>
            <w:tcW w:w="15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985B217" w14:textId="1359CB0A" w:rsidR="3BFFF9F3" w:rsidRPr="19989A7C" w:rsidRDefault="77D32645" w:rsidP="4321A1A3">
            <w:pPr>
              <w:spacing w:after="0" w:line="257" w:lineRule="auto"/>
              <w:jc w:val="left"/>
              <w:rPr>
                <w:rFonts w:eastAsia="Times New Roman"/>
                <w:b/>
                <w:bCs/>
                <w:noProof/>
                <w:sz w:val="20"/>
                <w:szCs w:val="20"/>
              </w:rPr>
            </w:pPr>
            <w:r w:rsidRPr="4321A1A3">
              <w:rPr>
                <w:rFonts w:eastAsia="Times New Roman"/>
                <w:b/>
                <w:bCs/>
                <w:noProof/>
                <w:sz w:val="20"/>
                <w:szCs w:val="20"/>
              </w:rPr>
              <w:t>Baseline</w:t>
            </w:r>
          </w:p>
        </w:tc>
        <w:tc>
          <w:tcPr>
            <w:tcW w:w="10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8DE4028" w14:textId="51C9C846" w:rsidR="3A123E5D" w:rsidRPr="00AF6A5E" w:rsidRDefault="23E1D706" w:rsidP="4321A1A3">
            <w:pPr>
              <w:spacing w:after="0" w:line="257" w:lineRule="auto"/>
              <w:jc w:val="left"/>
              <w:rPr>
                <w:rFonts w:eastAsia="Times New Roman"/>
                <w:b/>
                <w:bCs/>
                <w:noProof/>
                <w:sz w:val="20"/>
                <w:szCs w:val="20"/>
              </w:rPr>
            </w:pPr>
            <w:r w:rsidRPr="4321A1A3">
              <w:rPr>
                <w:rFonts w:eastAsia="Times New Roman"/>
                <w:b/>
                <w:bCs/>
                <w:noProof/>
                <w:sz w:val="20"/>
                <w:szCs w:val="20"/>
              </w:rPr>
              <w:t>PO</w:t>
            </w:r>
            <w:r w:rsidR="00B02E69">
              <w:rPr>
                <w:rFonts w:eastAsia="Times New Roman"/>
                <w:b/>
                <w:bCs/>
                <w:noProof/>
                <w:sz w:val="20"/>
                <w:szCs w:val="20"/>
              </w:rPr>
              <w:t>1</w:t>
            </w:r>
            <w:r w:rsidRPr="4321A1A3">
              <w:rPr>
                <w:rFonts w:eastAsia="Times New Roman"/>
                <w:b/>
                <w:bCs/>
                <w:noProof/>
                <w:sz w:val="20"/>
                <w:szCs w:val="20"/>
              </w:rPr>
              <w:t>a</w:t>
            </w:r>
          </w:p>
        </w:tc>
        <w:tc>
          <w:tcPr>
            <w:tcW w:w="11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C6325DA" w14:textId="550723E8" w:rsidR="3A123E5D" w:rsidRPr="00AF6A5E" w:rsidRDefault="23E1D706" w:rsidP="4321A1A3">
            <w:pPr>
              <w:spacing w:after="0" w:line="257" w:lineRule="auto"/>
              <w:jc w:val="left"/>
              <w:rPr>
                <w:rFonts w:eastAsia="Times New Roman"/>
                <w:b/>
                <w:bCs/>
                <w:noProof/>
                <w:sz w:val="20"/>
                <w:szCs w:val="20"/>
              </w:rPr>
            </w:pPr>
            <w:r w:rsidRPr="4321A1A3">
              <w:rPr>
                <w:rFonts w:eastAsia="Times New Roman"/>
                <w:b/>
                <w:bCs/>
                <w:noProof/>
                <w:sz w:val="20"/>
                <w:szCs w:val="20"/>
              </w:rPr>
              <w:t>PO</w:t>
            </w:r>
            <w:r w:rsidR="00B02E69">
              <w:rPr>
                <w:rFonts w:eastAsia="Times New Roman"/>
                <w:b/>
                <w:bCs/>
                <w:noProof/>
                <w:sz w:val="20"/>
                <w:szCs w:val="20"/>
              </w:rPr>
              <w:t>1</w:t>
            </w:r>
            <w:r w:rsidRPr="4321A1A3">
              <w:rPr>
                <w:rFonts w:eastAsia="Times New Roman"/>
                <w:b/>
                <w:bCs/>
                <w:noProof/>
                <w:sz w:val="20"/>
                <w:szCs w:val="20"/>
              </w:rPr>
              <w:t>b</w:t>
            </w:r>
          </w:p>
        </w:tc>
        <w:tc>
          <w:tcPr>
            <w:tcW w:w="136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7299FCC" w14:textId="30B39E67" w:rsidR="3A123E5D" w:rsidRPr="00AF6A5E" w:rsidRDefault="23E1D706" w:rsidP="4321A1A3">
            <w:pPr>
              <w:spacing w:after="0" w:line="257" w:lineRule="auto"/>
              <w:jc w:val="left"/>
              <w:rPr>
                <w:rFonts w:eastAsia="Times New Roman"/>
                <w:b/>
                <w:bCs/>
                <w:noProof/>
                <w:sz w:val="20"/>
                <w:szCs w:val="20"/>
              </w:rPr>
            </w:pPr>
            <w:r w:rsidRPr="4321A1A3">
              <w:rPr>
                <w:rFonts w:eastAsia="Times New Roman"/>
                <w:b/>
                <w:bCs/>
                <w:noProof/>
                <w:sz w:val="20"/>
                <w:szCs w:val="20"/>
              </w:rPr>
              <w:t>PO</w:t>
            </w:r>
            <w:r w:rsidR="00B02E69">
              <w:rPr>
                <w:rFonts w:eastAsia="Times New Roman"/>
                <w:b/>
                <w:bCs/>
                <w:noProof/>
                <w:sz w:val="20"/>
                <w:szCs w:val="20"/>
              </w:rPr>
              <w:t>1</w:t>
            </w:r>
            <w:r w:rsidRPr="4321A1A3">
              <w:rPr>
                <w:rFonts w:eastAsia="Times New Roman"/>
                <w:b/>
                <w:bCs/>
                <w:noProof/>
                <w:sz w:val="20"/>
                <w:szCs w:val="20"/>
              </w:rPr>
              <w:t>c</w:t>
            </w:r>
          </w:p>
        </w:tc>
      </w:tr>
      <w:tr w:rsidR="3A123E5D" w14:paraId="2410FFA4" w14:textId="77777777" w:rsidTr="4321A1A3">
        <w:trPr>
          <w:trHeight w:val="300"/>
        </w:trPr>
        <w:tc>
          <w:tcPr>
            <w:tcW w:w="36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A6EF526" w14:textId="06FE6C65" w:rsidR="3A123E5D" w:rsidRDefault="4611511C" w:rsidP="4321A1A3">
            <w:pPr>
              <w:spacing w:after="0" w:line="257" w:lineRule="auto"/>
              <w:jc w:val="left"/>
              <w:rPr>
                <w:rFonts w:eastAsia="Times New Roman"/>
                <w:b/>
                <w:bCs/>
                <w:noProof/>
                <w:sz w:val="20"/>
                <w:szCs w:val="20"/>
              </w:rPr>
            </w:pPr>
            <w:r w:rsidRPr="4321A1A3">
              <w:rPr>
                <w:rFonts w:eastAsia="Times New Roman"/>
                <w:b/>
                <w:bCs/>
                <w:noProof/>
                <w:sz w:val="20"/>
                <w:szCs w:val="20"/>
              </w:rPr>
              <w:t>Companies and intermediaries</w:t>
            </w:r>
          </w:p>
        </w:tc>
        <w:tc>
          <w:tcPr>
            <w:tcW w:w="15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86C3976" w14:textId="3199E7B0" w:rsidR="19989A7C" w:rsidRDefault="19989A7C" w:rsidP="4321A1A3">
            <w:pPr>
              <w:spacing w:after="0"/>
              <w:jc w:val="left"/>
              <w:rPr>
                <w:noProof/>
                <w:sz w:val="20"/>
                <w:szCs w:val="20"/>
              </w:rPr>
            </w:pPr>
          </w:p>
        </w:tc>
        <w:tc>
          <w:tcPr>
            <w:tcW w:w="10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45C0C43" w14:textId="588CB4E2" w:rsidR="3A123E5D" w:rsidRDefault="3A123E5D" w:rsidP="4321A1A3">
            <w:pPr>
              <w:spacing w:after="0"/>
              <w:jc w:val="left"/>
              <w:rPr>
                <w:noProof/>
                <w:sz w:val="20"/>
                <w:szCs w:val="20"/>
              </w:rPr>
            </w:pPr>
          </w:p>
        </w:tc>
        <w:tc>
          <w:tcPr>
            <w:tcW w:w="11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D845542" w14:textId="45192E7E" w:rsidR="3A123E5D" w:rsidRDefault="3A123E5D" w:rsidP="4321A1A3">
            <w:pPr>
              <w:spacing w:after="0"/>
              <w:jc w:val="left"/>
              <w:rPr>
                <w:noProof/>
                <w:sz w:val="20"/>
                <w:szCs w:val="20"/>
              </w:rPr>
            </w:pPr>
          </w:p>
        </w:tc>
        <w:tc>
          <w:tcPr>
            <w:tcW w:w="136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8C5353F" w14:textId="5193DE2E" w:rsidR="3A123E5D" w:rsidRDefault="3A123E5D" w:rsidP="4321A1A3">
            <w:pPr>
              <w:spacing w:after="0"/>
              <w:jc w:val="left"/>
              <w:rPr>
                <w:noProof/>
                <w:sz w:val="20"/>
                <w:szCs w:val="20"/>
              </w:rPr>
            </w:pPr>
          </w:p>
        </w:tc>
      </w:tr>
      <w:tr w:rsidR="3A123E5D" w14:paraId="44F80F8F" w14:textId="77777777" w:rsidTr="4321A1A3">
        <w:trPr>
          <w:trHeight w:val="300"/>
        </w:trPr>
        <w:tc>
          <w:tcPr>
            <w:tcW w:w="36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610C950" w14:textId="101B7E03" w:rsidR="3A123E5D" w:rsidRDefault="4611511C" w:rsidP="4321A1A3">
            <w:pPr>
              <w:spacing w:after="0" w:line="257" w:lineRule="auto"/>
              <w:jc w:val="left"/>
              <w:rPr>
                <w:rFonts w:eastAsia="Times New Roman"/>
                <w:noProof/>
                <w:sz w:val="20"/>
                <w:szCs w:val="20"/>
              </w:rPr>
            </w:pPr>
            <w:r w:rsidRPr="4321A1A3">
              <w:rPr>
                <w:rFonts w:eastAsia="Times New Roman"/>
                <w:noProof/>
                <w:sz w:val="20"/>
                <w:szCs w:val="20"/>
              </w:rPr>
              <w:t xml:space="preserve">Administrative </w:t>
            </w:r>
            <w:r w:rsidR="29602DED" w:rsidRPr="4321A1A3">
              <w:rPr>
                <w:rFonts w:eastAsia="Times New Roman"/>
                <w:noProof/>
                <w:sz w:val="20"/>
                <w:szCs w:val="20"/>
              </w:rPr>
              <w:t>cost</w:t>
            </w:r>
          </w:p>
        </w:tc>
        <w:tc>
          <w:tcPr>
            <w:tcW w:w="15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20E84BB" w14:textId="5F445689" w:rsidR="71ED518C" w:rsidRDefault="321E3B4E" w:rsidP="4321A1A3">
            <w:pPr>
              <w:spacing w:after="0" w:line="257" w:lineRule="auto"/>
              <w:jc w:val="center"/>
              <w:rPr>
                <w:noProof/>
                <w:sz w:val="20"/>
                <w:szCs w:val="20"/>
              </w:rPr>
            </w:pPr>
            <w:r w:rsidRPr="4321A1A3">
              <w:rPr>
                <w:noProof/>
                <w:sz w:val="20"/>
                <w:szCs w:val="20"/>
              </w:rPr>
              <w:t>0</w:t>
            </w:r>
          </w:p>
        </w:tc>
        <w:tc>
          <w:tcPr>
            <w:tcW w:w="10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1968718" w14:textId="15449AA5" w:rsidR="3A123E5D" w:rsidRDefault="00D6565B" w:rsidP="4321A1A3">
            <w:pPr>
              <w:spacing w:after="0" w:line="257" w:lineRule="auto"/>
              <w:jc w:val="center"/>
              <w:rPr>
                <w:noProof/>
                <w:sz w:val="20"/>
                <w:szCs w:val="20"/>
              </w:rPr>
            </w:pPr>
            <w:r>
              <w:rPr>
                <w:noProof/>
                <w:sz w:val="20"/>
                <w:szCs w:val="20"/>
              </w:rPr>
              <w:t>-</w:t>
            </w:r>
          </w:p>
        </w:tc>
        <w:tc>
          <w:tcPr>
            <w:tcW w:w="11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A8A57CE" w14:textId="0C9A5058" w:rsidR="3A123E5D" w:rsidRDefault="00D6565B" w:rsidP="4321A1A3">
            <w:pPr>
              <w:spacing w:after="0" w:line="257" w:lineRule="auto"/>
              <w:jc w:val="center"/>
              <w:rPr>
                <w:rFonts w:eastAsia="Times New Roman"/>
                <w:noProof/>
                <w:sz w:val="20"/>
                <w:szCs w:val="20"/>
              </w:rPr>
            </w:pPr>
            <w:r>
              <w:rPr>
                <w:rFonts w:eastAsia="Times New Roman"/>
                <w:noProof/>
                <w:sz w:val="20"/>
                <w:szCs w:val="20"/>
              </w:rPr>
              <w:t>---</w:t>
            </w:r>
          </w:p>
        </w:tc>
        <w:tc>
          <w:tcPr>
            <w:tcW w:w="136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EF41B89" w14:textId="2CBEC31D" w:rsidR="3A123E5D" w:rsidRDefault="4DE05DE6" w:rsidP="4321A1A3">
            <w:pPr>
              <w:spacing w:after="0" w:line="257" w:lineRule="auto"/>
              <w:jc w:val="center"/>
              <w:rPr>
                <w:noProof/>
                <w:sz w:val="20"/>
                <w:szCs w:val="20"/>
              </w:rPr>
            </w:pPr>
            <w:r w:rsidRPr="4321A1A3">
              <w:rPr>
                <w:noProof/>
                <w:sz w:val="20"/>
                <w:szCs w:val="20"/>
              </w:rPr>
              <w:t xml:space="preserve"> </w:t>
            </w:r>
            <w:r w:rsidR="00D6565B">
              <w:rPr>
                <w:noProof/>
                <w:sz w:val="20"/>
                <w:szCs w:val="20"/>
              </w:rPr>
              <w:t>--</w:t>
            </w:r>
          </w:p>
        </w:tc>
      </w:tr>
      <w:tr w:rsidR="3A123E5D" w14:paraId="604E6C5A" w14:textId="77777777" w:rsidTr="4321A1A3">
        <w:trPr>
          <w:trHeight w:val="300"/>
        </w:trPr>
        <w:tc>
          <w:tcPr>
            <w:tcW w:w="36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EE7A806" w14:textId="6816D2A7" w:rsidR="3A123E5D" w:rsidRDefault="29602DED" w:rsidP="4321A1A3">
            <w:pPr>
              <w:spacing w:after="0" w:line="257" w:lineRule="auto"/>
              <w:jc w:val="left"/>
              <w:rPr>
                <w:rFonts w:eastAsia="Times New Roman"/>
                <w:noProof/>
                <w:sz w:val="20"/>
                <w:szCs w:val="20"/>
              </w:rPr>
            </w:pPr>
            <w:r w:rsidRPr="4321A1A3">
              <w:rPr>
                <w:rFonts w:eastAsia="Times New Roman"/>
                <w:noProof/>
                <w:sz w:val="20"/>
                <w:szCs w:val="20"/>
              </w:rPr>
              <w:t xml:space="preserve">One-off </w:t>
            </w:r>
            <w:r w:rsidR="04AC3D9A" w:rsidRPr="4321A1A3">
              <w:rPr>
                <w:rFonts w:eastAsia="Times New Roman"/>
                <w:noProof/>
                <w:sz w:val="20"/>
                <w:szCs w:val="20"/>
              </w:rPr>
              <w:t>a</w:t>
            </w:r>
            <w:r w:rsidR="23E1D706" w:rsidRPr="4321A1A3">
              <w:rPr>
                <w:rFonts w:eastAsia="Times New Roman"/>
                <w:noProof/>
                <w:sz w:val="20"/>
                <w:szCs w:val="20"/>
              </w:rPr>
              <w:t>djustment</w:t>
            </w:r>
            <w:r w:rsidR="4611511C" w:rsidRPr="4321A1A3">
              <w:rPr>
                <w:rFonts w:eastAsia="Times New Roman"/>
                <w:noProof/>
                <w:sz w:val="20"/>
                <w:szCs w:val="20"/>
              </w:rPr>
              <w:t xml:space="preserve"> and implementation costs</w:t>
            </w:r>
            <w:r w:rsidR="64920D4C" w:rsidRPr="4321A1A3">
              <w:rPr>
                <w:rFonts w:eastAsia="Times New Roman"/>
                <w:noProof/>
                <w:sz w:val="20"/>
                <w:szCs w:val="20"/>
              </w:rPr>
              <w:t xml:space="preserve"> </w:t>
            </w:r>
            <w:r w:rsidR="5DCBA484" w:rsidRPr="4321A1A3">
              <w:rPr>
                <w:rFonts w:eastAsia="Times New Roman"/>
                <w:noProof/>
                <w:sz w:val="20"/>
                <w:szCs w:val="20"/>
              </w:rPr>
              <w:t xml:space="preserve"> </w:t>
            </w:r>
          </w:p>
        </w:tc>
        <w:tc>
          <w:tcPr>
            <w:tcW w:w="15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0EE253B" w14:textId="224C4910" w:rsidR="0AC69C9C" w:rsidRDefault="2A68DF8A" w:rsidP="4321A1A3">
            <w:pPr>
              <w:spacing w:after="0" w:line="257" w:lineRule="auto"/>
              <w:jc w:val="center"/>
              <w:rPr>
                <w:noProof/>
                <w:sz w:val="20"/>
                <w:szCs w:val="20"/>
              </w:rPr>
            </w:pPr>
            <w:r w:rsidRPr="4321A1A3">
              <w:rPr>
                <w:noProof/>
                <w:sz w:val="20"/>
                <w:szCs w:val="20"/>
              </w:rPr>
              <w:t>0</w:t>
            </w:r>
          </w:p>
        </w:tc>
        <w:tc>
          <w:tcPr>
            <w:tcW w:w="10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0D82435" w14:textId="7DF23F03" w:rsidR="3A123E5D" w:rsidRDefault="0BE93DBD" w:rsidP="4321A1A3">
            <w:pPr>
              <w:spacing w:after="0" w:line="257" w:lineRule="auto"/>
              <w:jc w:val="center"/>
              <w:rPr>
                <w:noProof/>
                <w:sz w:val="20"/>
                <w:szCs w:val="20"/>
              </w:rPr>
            </w:pPr>
            <w:r w:rsidRPr="4321A1A3">
              <w:rPr>
                <w:noProof/>
                <w:sz w:val="20"/>
                <w:szCs w:val="20"/>
              </w:rPr>
              <w:t>0</w:t>
            </w:r>
          </w:p>
        </w:tc>
        <w:tc>
          <w:tcPr>
            <w:tcW w:w="11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EF64442" w14:textId="2BA662DA" w:rsidR="3A123E5D" w:rsidRDefault="43BB3445" w:rsidP="4321A1A3">
            <w:pPr>
              <w:spacing w:after="0" w:line="257" w:lineRule="auto"/>
              <w:jc w:val="center"/>
              <w:rPr>
                <w:noProof/>
                <w:sz w:val="20"/>
                <w:szCs w:val="20"/>
              </w:rPr>
            </w:pPr>
            <w:r w:rsidRPr="4321A1A3">
              <w:rPr>
                <w:noProof/>
                <w:sz w:val="20"/>
                <w:szCs w:val="20"/>
              </w:rPr>
              <w:t xml:space="preserve"> </w:t>
            </w:r>
            <w:r w:rsidR="0BE93DBD" w:rsidRPr="4321A1A3">
              <w:rPr>
                <w:noProof/>
                <w:sz w:val="20"/>
                <w:szCs w:val="20"/>
              </w:rPr>
              <w:t>0</w:t>
            </w:r>
          </w:p>
        </w:tc>
        <w:tc>
          <w:tcPr>
            <w:tcW w:w="136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677A5FD" w14:textId="12B24460" w:rsidR="3A123E5D" w:rsidRDefault="43BB3445" w:rsidP="4321A1A3">
            <w:pPr>
              <w:spacing w:after="0" w:line="257" w:lineRule="auto"/>
              <w:jc w:val="center"/>
              <w:rPr>
                <w:rFonts w:eastAsia="Times New Roman"/>
                <w:noProof/>
                <w:sz w:val="20"/>
                <w:szCs w:val="20"/>
              </w:rPr>
            </w:pPr>
            <w:r w:rsidRPr="4321A1A3">
              <w:rPr>
                <w:rFonts w:eastAsia="Times New Roman"/>
                <w:noProof/>
                <w:sz w:val="20"/>
                <w:szCs w:val="20"/>
              </w:rPr>
              <w:t xml:space="preserve"> </w:t>
            </w:r>
            <w:r w:rsidR="00D6565B">
              <w:rPr>
                <w:rFonts w:eastAsia="Times New Roman"/>
                <w:noProof/>
                <w:sz w:val="20"/>
                <w:szCs w:val="20"/>
              </w:rPr>
              <w:t>++</w:t>
            </w:r>
          </w:p>
        </w:tc>
      </w:tr>
      <w:tr w:rsidR="3A123E5D" w14:paraId="1C87ED03" w14:textId="77777777" w:rsidTr="4321A1A3">
        <w:trPr>
          <w:trHeight w:val="300"/>
        </w:trPr>
        <w:tc>
          <w:tcPr>
            <w:tcW w:w="36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5E0FD47" w14:textId="3C479AD7" w:rsidR="3A123E5D" w:rsidRDefault="4611511C" w:rsidP="4321A1A3">
            <w:pPr>
              <w:spacing w:after="0" w:line="257" w:lineRule="auto"/>
              <w:jc w:val="left"/>
              <w:rPr>
                <w:rFonts w:eastAsia="Times New Roman"/>
                <w:b/>
                <w:bCs/>
                <w:noProof/>
                <w:sz w:val="20"/>
                <w:szCs w:val="20"/>
              </w:rPr>
            </w:pPr>
            <w:r w:rsidRPr="4321A1A3">
              <w:rPr>
                <w:rFonts w:eastAsia="Times New Roman"/>
                <w:b/>
                <w:bCs/>
                <w:noProof/>
                <w:sz w:val="20"/>
                <w:szCs w:val="20"/>
              </w:rPr>
              <w:t>Public authorities</w:t>
            </w:r>
          </w:p>
        </w:tc>
        <w:tc>
          <w:tcPr>
            <w:tcW w:w="15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661B361" w14:textId="77B6DF91" w:rsidR="19989A7C" w:rsidRDefault="19989A7C" w:rsidP="4321A1A3">
            <w:pPr>
              <w:spacing w:after="0"/>
              <w:jc w:val="center"/>
              <w:rPr>
                <w:noProof/>
                <w:sz w:val="20"/>
                <w:szCs w:val="20"/>
              </w:rPr>
            </w:pPr>
          </w:p>
        </w:tc>
        <w:tc>
          <w:tcPr>
            <w:tcW w:w="10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BBC6D3D" w14:textId="5FD785DE" w:rsidR="3A123E5D" w:rsidRDefault="3A123E5D" w:rsidP="4321A1A3">
            <w:pPr>
              <w:spacing w:after="0"/>
              <w:jc w:val="center"/>
              <w:rPr>
                <w:noProof/>
                <w:sz w:val="20"/>
                <w:szCs w:val="20"/>
              </w:rPr>
            </w:pPr>
          </w:p>
        </w:tc>
        <w:tc>
          <w:tcPr>
            <w:tcW w:w="11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9991C48" w14:textId="46D860A5" w:rsidR="3A123E5D" w:rsidRDefault="3A123E5D" w:rsidP="4321A1A3">
            <w:pPr>
              <w:spacing w:after="0"/>
              <w:jc w:val="center"/>
              <w:rPr>
                <w:noProof/>
                <w:sz w:val="20"/>
                <w:szCs w:val="20"/>
              </w:rPr>
            </w:pPr>
          </w:p>
        </w:tc>
        <w:tc>
          <w:tcPr>
            <w:tcW w:w="136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89EE243" w14:textId="2CC674F7" w:rsidR="3A123E5D" w:rsidRDefault="3A123E5D" w:rsidP="4321A1A3">
            <w:pPr>
              <w:spacing w:after="0"/>
              <w:jc w:val="center"/>
              <w:rPr>
                <w:noProof/>
                <w:sz w:val="20"/>
                <w:szCs w:val="20"/>
              </w:rPr>
            </w:pPr>
          </w:p>
        </w:tc>
      </w:tr>
      <w:tr w:rsidR="3A123E5D" w14:paraId="250C7CB2" w14:textId="77777777" w:rsidTr="4321A1A3">
        <w:trPr>
          <w:trHeight w:val="300"/>
        </w:trPr>
        <w:tc>
          <w:tcPr>
            <w:tcW w:w="36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CE69D3D" w14:textId="48A41BB1" w:rsidR="3A123E5D" w:rsidRDefault="4611511C" w:rsidP="4321A1A3">
            <w:pPr>
              <w:spacing w:after="0" w:line="257" w:lineRule="auto"/>
              <w:rPr>
                <w:rFonts w:eastAsia="Times New Roman"/>
                <w:noProof/>
                <w:sz w:val="20"/>
                <w:szCs w:val="20"/>
              </w:rPr>
            </w:pPr>
            <w:r w:rsidRPr="4321A1A3">
              <w:rPr>
                <w:rFonts w:eastAsia="Times New Roman"/>
                <w:noProof/>
                <w:sz w:val="20"/>
                <w:szCs w:val="20"/>
              </w:rPr>
              <w:t>Administrative cost</w:t>
            </w:r>
          </w:p>
        </w:tc>
        <w:tc>
          <w:tcPr>
            <w:tcW w:w="15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41EA852" w14:textId="1BF61C81" w:rsidR="03A4A1CA" w:rsidRDefault="3BE37D54" w:rsidP="4321A1A3">
            <w:pPr>
              <w:spacing w:after="0" w:line="257" w:lineRule="auto"/>
              <w:jc w:val="center"/>
              <w:rPr>
                <w:noProof/>
                <w:sz w:val="20"/>
                <w:szCs w:val="20"/>
              </w:rPr>
            </w:pPr>
            <w:r w:rsidRPr="4321A1A3">
              <w:rPr>
                <w:noProof/>
                <w:sz w:val="20"/>
                <w:szCs w:val="20"/>
              </w:rPr>
              <w:t>0</w:t>
            </w:r>
          </w:p>
        </w:tc>
        <w:tc>
          <w:tcPr>
            <w:tcW w:w="10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609DC37" w14:textId="620541DE" w:rsidR="3A123E5D" w:rsidRDefault="69AB3723" w:rsidP="4321A1A3">
            <w:pPr>
              <w:spacing w:after="0" w:line="257" w:lineRule="auto"/>
              <w:jc w:val="center"/>
              <w:rPr>
                <w:noProof/>
                <w:sz w:val="20"/>
                <w:szCs w:val="20"/>
              </w:rPr>
            </w:pPr>
            <w:r w:rsidRPr="4321A1A3">
              <w:rPr>
                <w:noProof/>
                <w:sz w:val="20"/>
                <w:szCs w:val="20"/>
              </w:rPr>
              <w:t xml:space="preserve"> </w:t>
            </w:r>
            <w:r w:rsidR="00D6565B">
              <w:rPr>
                <w:noProof/>
                <w:sz w:val="20"/>
                <w:szCs w:val="20"/>
              </w:rPr>
              <w:t>-</w:t>
            </w:r>
          </w:p>
        </w:tc>
        <w:tc>
          <w:tcPr>
            <w:tcW w:w="11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8045AF4" w14:textId="00A901FD" w:rsidR="3A123E5D" w:rsidRDefault="00D6565B" w:rsidP="4321A1A3">
            <w:pPr>
              <w:spacing w:after="0" w:line="257" w:lineRule="auto"/>
              <w:jc w:val="center"/>
              <w:rPr>
                <w:noProof/>
                <w:sz w:val="20"/>
                <w:szCs w:val="20"/>
              </w:rPr>
            </w:pPr>
            <w:r>
              <w:rPr>
                <w:noProof/>
                <w:sz w:val="20"/>
                <w:szCs w:val="20"/>
              </w:rPr>
              <w:t>---</w:t>
            </w:r>
          </w:p>
        </w:tc>
        <w:tc>
          <w:tcPr>
            <w:tcW w:w="136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7FDB153" w14:textId="699E2B2C" w:rsidR="3A123E5D" w:rsidRDefault="00D6565B" w:rsidP="4321A1A3">
            <w:pPr>
              <w:spacing w:after="0" w:line="257" w:lineRule="auto"/>
              <w:jc w:val="center"/>
              <w:rPr>
                <w:rFonts w:eastAsia="Times New Roman"/>
                <w:noProof/>
                <w:sz w:val="20"/>
                <w:szCs w:val="20"/>
              </w:rPr>
            </w:pPr>
            <w:r>
              <w:rPr>
                <w:rFonts w:eastAsia="Times New Roman"/>
                <w:noProof/>
                <w:sz w:val="20"/>
                <w:szCs w:val="20"/>
              </w:rPr>
              <w:t>--</w:t>
            </w:r>
          </w:p>
        </w:tc>
      </w:tr>
      <w:tr w:rsidR="00FD231F" w14:paraId="733ACCCF" w14:textId="77777777" w:rsidTr="4321A1A3">
        <w:trPr>
          <w:trHeight w:val="300"/>
        </w:trPr>
        <w:tc>
          <w:tcPr>
            <w:tcW w:w="36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BEDC315" w14:textId="72A30BF4" w:rsidR="00FD231F" w:rsidRDefault="0D383744" w:rsidP="4321A1A3">
            <w:pPr>
              <w:spacing w:after="0" w:line="257" w:lineRule="auto"/>
              <w:jc w:val="left"/>
              <w:rPr>
                <w:rFonts w:eastAsia="Times New Roman"/>
                <w:noProof/>
                <w:sz w:val="20"/>
                <w:szCs w:val="20"/>
              </w:rPr>
            </w:pPr>
            <w:r w:rsidRPr="4321A1A3">
              <w:rPr>
                <w:rFonts w:eastAsia="Times New Roman"/>
                <w:noProof/>
                <w:sz w:val="20"/>
                <w:szCs w:val="20"/>
              </w:rPr>
              <w:t xml:space="preserve">One-off </w:t>
            </w:r>
            <w:r w:rsidR="3B161EA6" w:rsidRPr="4321A1A3">
              <w:rPr>
                <w:rFonts w:eastAsia="Times New Roman"/>
                <w:noProof/>
                <w:sz w:val="20"/>
                <w:szCs w:val="20"/>
              </w:rPr>
              <w:t>a</w:t>
            </w:r>
            <w:r w:rsidR="4B1E7D9A" w:rsidRPr="4321A1A3">
              <w:rPr>
                <w:rFonts w:eastAsia="Times New Roman"/>
                <w:noProof/>
                <w:sz w:val="20"/>
                <w:szCs w:val="20"/>
              </w:rPr>
              <w:t>djustment</w:t>
            </w:r>
            <w:r w:rsidRPr="4321A1A3">
              <w:rPr>
                <w:rFonts w:eastAsia="Times New Roman"/>
                <w:noProof/>
                <w:sz w:val="20"/>
                <w:szCs w:val="20"/>
              </w:rPr>
              <w:t xml:space="preserve"> and implementation costs </w:t>
            </w:r>
          </w:p>
        </w:tc>
        <w:tc>
          <w:tcPr>
            <w:tcW w:w="15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3B3D39A" w14:textId="63CED7E0" w:rsidR="5B4F29F4" w:rsidRDefault="22B3D432" w:rsidP="4321A1A3">
            <w:pPr>
              <w:spacing w:after="0" w:line="257" w:lineRule="auto"/>
              <w:jc w:val="center"/>
              <w:rPr>
                <w:noProof/>
                <w:sz w:val="20"/>
                <w:szCs w:val="20"/>
              </w:rPr>
            </w:pPr>
            <w:r w:rsidRPr="4321A1A3">
              <w:rPr>
                <w:noProof/>
                <w:sz w:val="20"/>
                <w:szCs w:val="20"/>
              </w:rPr>
              <w:t>0</w:t>
            </w:r>
          </w:p>
        </w:tc>
        <w:tc>
          <w:tcPr>
            <w:tcW w:w="10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DE63E82" w14:textId="3832464F" w:rsidR="00FD231F" w:rsidRDefault="0BE93DBD" w:rsidP="4321A1A3">
            <w:pPr>
              <w:spacing w:after="0" w:line="257" w:lineRule="auto"/>
              <w:jc w:val="center"/>
              <w:rPr>
                <w:noProof/>
                <w:sz w:val="20"/>
                <w:szCs w:val="20"/>
              </w:rPr>
            </w:pPr>
            <w:r w:rsidRPr="4321A1A3">
              <w:rPr>
                <w:noProof/>
                <w:sz w:val="20"/>
                <w:szCs w:val="20"/>
              </w:rPr>
              <w:t>0</w:t>
            </w:r>
          </w:p>
        </w:tc>
        <w:tc>
          <w:tcPr>
            <w:tcW w:w="11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E4291E2" w14:textId="203B4EED" w:rsidR="00FD231F" w:rsidRDefault="00D6565B" w:rsidP="4321A1A3">
            <w:pPr>
              <w:spacing w:after="0" w:line="257" w:lineRule="auto"/>
              <w:jc w:val="center"/>
              <w:rPr>
                <w:noProof/>
                <w:sz w:val="20"/>
                <w:szCs w:val="20"/>
              </w:rPr>
            </w:pPr>
            <w:r>
              <w:rPr>
                <w:noProof/>
                <w:sz w:val="20"/>
                <w:szCs w:val="20"/>
              </w:rPr>
              <w:t>+</w:t>
            </w:r>
          </w:p>
        </w:tc>
        <w:tc>
          <w:tcPr>
            <w:tcW w:w="136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EB58472" w14:textId="595752AE" w:rsidR="00FD231F" w:rsidRDefault="1A53462B" w:rsidP="4321A1A3">
            <w:pPr>
              <w:spacing w:after="0" w:line="257" w:lineRule="auto"/>
              <w:jc w:val="center"/>
              <w:rPr>
                <w:noProof/>
                <w:sz w:val="20"/>
                <w:szCs w:val="20"/>
              </w:rPr>
            </w:pPr>
            <w:r w:rsidRPr="4321A1A3">
              <w:rPr>
                <w:noProof/>
                <w:sz w:val="20"/>
                <w:szCs w:val="20"/>
              </w:rPr>
              <w:t xml:space="preserve"> </w:t>
            </w:r>
            <w:r w:rsidR="00D6565B">
              <w:rPr>
                <w:noProof/>
                <w:sz w:val="20"/>
                <w:szCs w:val="20"/>
              </w:rPr>
              <w:t>++</w:t>
            </w:r>
          </w:p>
        </w:tc>
      </w:tr>
    </w:tbl>
    <w:p w14:paraId="36845839" w14:textId="1C721B98" w:rsidR="006B087E" w:rsidRPr="00F92EAE" w:rsidRDefault="4FB5A72A" w:rsidP="001A64AD">
      <w:pPr>
        <w:pStyle w:val="Heading2"/>
        <w:numPr>
          <w:ilvl w:val="0"/>
          <w:numId w:val="0"/>
        </w:numPr>
        <w:rPr>
          <w:noProof/>
        </w:rPr>
      </w:pPr>
      <w:bookmarkStart w:id="28" w:name="_Toc231816713"/>
      <w:r w:rsidRPr="58486E0A">
        <w:rPr>
          <w:noProof/>
        </w:rPr>
        <w:t xml:space="preserve">Measure </w:t>
      </w:r>
      <w:r w:rsidR="2782B669" w:rsidRPr="58486E0A">
        <w:rPr>
          <w:noProof/>
        </w:rPr>
        <w:t>2</w:t>
      </w:r>
      <w:r w:rsidRPr="58486E0A">
        <w:rPr>
          <w:noProof/>
        </w:rPr>
        <w:t xml:space="preserve"> – Amending the reporting threshold for activities involving the sale of goods under DAC7</w:t>
      </w:r>
      <w:bookmarkEnd w:id="28"/>
      <w:r w:rsidRPr="58486E0A">
        <w:rPr>
          <w:noProof/>
        </w:rPr>
        <w:t xml:space="preserve"> </w:t>
      </w:r>
    </w:p>
    <w:p w14:paraId="6BC26231" w14:textId="4AAFED5C" w:rsidR="006B087E" w:rsidRPr="00F92EAE" w:rsidRDefault="7BC1C87D" w:rsidP="4321A1A3">
      <w:pPr>
        <w:spacing w:before="240"/>
        <w:rPr>
          <w:rFonts w:eastAsia="Times New Roman"/>
          <w:noProof/>
          <w:sz w:val="20"/>
          <w:szCs w:val="20"/>
        </w:rPr>
      </w:pPr>
      <w:r w:rsidRPr="4321A1A3">
        <w:rPr>
          <w:rFonts w:eastAsia="Times New Roman"/>
          <w:b/>
          <w:bCs/>
          <w:noProof/>
          <w:sz w:val="20"/>
          <w:szCs w:val="20"/>
        </w:rPr>
        <w:t>PO</w:t>
      </w:r>
      <w:r w:rsidR="2A592C80" w:rsidRPr="4321A1A3">
        <w:rPr>
          <w:rFonts w:eastAsia="Times New Roman"/>
          <w:b/>
          <w:bCs/>
          <w:noProof/>
          <w:sz w:val="20"/>
          <w:szCs w:val="20"/>
        </w:rPr>
        <w:t>2</w:t>
      </w:r>
      <w:r w:rsidRPr="4321A1A3">
        <w:rPr>
          <w:rFonts w:eastAsia="Times New Roman"/>
          <w:b/>
          <w:bCs/>
          <w:noProof/>
          <w:sz w:val="20"/>
          <w:szCs w:val="20"/>
        </w:rPr>
        <w:t>a</w:t>
      </w:r>
      <w:r w:rsidRPr="4321A1A3">
        <w:rPr>
          <w:rFonts w:eastAsia="Times New Roman"/>
          <w:noProof/>
          <w:sz w:val="20"/>
          <w:szCs w:val="20"/>
        </w:rPr>
        <w:t xml:space="preserve"> </w:t>
      </w:r>
      <w:r w:rsidR="5EFE9A47" w:rsidRPr="4321A1A3">
        <w:rPr>
          <w:rFonts w:eastAsia="Times New Roman"/>
          <w:noProof/>
          <w:sz w:val="20"/>
          <w:szCs w:val="20"/>
        </w:rPr>
        <w:t>removes</w:t>
      </w:r>
      <w:r w:rsidRPr="4321A1A3">
        <w:rPr>
          <w:rFonts w:eastAsia="Times New Roman"/>
          <w:noProof/>
          <w:sz w:val="20"/>
          <w:szCs w:val="20"/>
        </w:rPr>
        <w:t xml:space="preserve"> the activity threshold of 30 transactions while </w:t>
      </w:r>
      <w:r w:rsidR="2830CA30" w:rsidRPr="4321A1A3">
        <w:rPr>
          <w:rFonts w:eastAsia="Times New Roman"/>
          <w:noProof/>
          <w:sz w:val="20"/>
          <w:szCs w:val="20"/>
        </w:rPr>
        <w:t xml:space="preserve">retaining </w:t>
      </w:r>
      <w:r w:rsidRPr="4321A1A3">
        <w:rPr>
          <w:rFonts w:eastAsia="Times New Roman"/>
          <w:noProof/>
          <w:sz w:val="20"/>
          <w:szCs w:val="20"/>
        </w:rPr>
        <w:t>the monetary threshold of EUR 2</w:t>
      </w:r>
      <w:r w:rsidR="1BE06F0A" w:rsidRPr="4321A1A3">
        <w:rPr>
          <w:rFonts w:eastAsia="Times New Roman"/>
          <w:noProof/>
          <w:sz w:val="20"/>
          <w:szCs w:val="20"/>
        </w:rPr>
        <w:t>,</w:t>
      </w:r>
      <w:r w:rsidRPr="4321A1A3">
        <w:rPr>
          <w:rFonts w:eastAsia="Times New Roman"/>
          <w:noProof/>
          <w:sz w:val="20"/>
          <w:szCs w:val="20"/>
        </w:rPr>
        <w:t>000.</w:t>
      </w:r>
      <w:r w:rsidR="6B95B87E" w:rsidRPr="4321A1A3">
        <w:rPr>
          <w:rFonts w:eastAsia="Times New Roman"/>
          <w:noProof/>
          <w:sz w:val="20"/>
          <w:szCs w:val="20"/>
        </w:rPr>
        <w:t xml:space="preserve"> </w:t>
      </w:r>
      <w:r w:rsidRPr="4321A1A3">
        <w:rPr>
          <w:rFonts w:eastAsia="Times New Roman"/>
          <w:b/>
          <w:bCs/>
          <w:noProof/>
          <w:sz w:val="20"/>
          <w:szCs w:val="20"/>
        </w:rPr>
        <w:t>PO</w:t>
      </w:r>
      <w:r w:rsidR="744F25AD" w:rsidRPr="4321A1A3">
        <w:rPr>
          <w:rFonts w:eastAsia="Times New Roman"/>
          <w:b/>
          <w:bCs/>
          <w:noProof/>
          <w:sz w:val="20"/>
          <w:szCs w:val="20"/>
        </w:rPr>
        <w:t>2</w:t>
      </w:r>
      <w:r w:rsidRPr="4321A1A3">
        <w:rPr>
          <w:rFonts w:eastAsia="Times New Roman"/>
          <w:b/>
          <w:bCs/>
          <w:noProof/>
          <w:sz w:val="20"/>
          <w:szCs w:val="20"/>
        </w:rPr>
        <w:t>b</w:t>
      </w:r>
      <w:r w:rsidRPr="4321A1A3">
        <w:rPr>
          <w:rFonts w:eastAsia="Times New Roman"/>
          <w:noProof/>
          <w:sz w:val="20"/>
          <w:szCs w:val="20"/>
        </w:rPr>
        <w:t xml:space="preserve"> </w:t>
      </w:r>
      <w:r w:rsidR="1CB71AF3" w:rsidRPr="4321A1A3">
        <w:rPr>
          <w:rFonts w:eastAsia="Times New Roman"/>
          <w:noProof/>
          <w:sz w:val="20"/>
          <w:szCs w:val="20"/>
        </w:rPr>
        <w:t>removes</w:t>
      </w:r>
      <w:r w:rsidRPr="4321A1A3">
        <w:rPr>
          <w:rFonts w:eastAsia="Times New Roman"/>
          <w:noProof/>
          <w:sz w:val="20"/>
          <w:szCs w:val="20"/>
        </w:rPr>
        <w:t xml:space="preserve"> the activity threshold and </w:t>
      </w:r>
      <w:r w:rsidR="1951B66F" w:rsidRPr="4321A1A3">
        <w:rPr>
          <w:rFonts w:eastAsia="Times New Roman"/>
          <w:noProof/>
          <w:sz w:val="20"/>
          <w:szCs w:val="20"/>
        </w:rPr>
        <w:t>increas</w:t>
      </w:r>
      <w:r w:rsidR="581D4155" w:rsidRPr="4321A1A3">
        <w:rPr>
          <w:rFonts w:eastAsia="Times New Roman"/>
          <w:noProof/>
          <w:sz w:val="20"/>
          <w:szCs w:val="20"/>
        </w:rPr>
        <w:t>es</w:t>
      </w:r>
      <w:r w:rsidR="1951B66F" w:rsidRPr="4321A1A3">
        <w:rPr>
          <w:rFonts w:eastAsia="Times New Roman"/>
          <w:noProof/>
          <w:sz w:val="20"/>
          <w:szCs w:val="20"/>
        </w:rPr>
        <w:t xml:space="preserve"> the </w:t>
      </w:r>
      <w:r w:rsidRPr="4321A1A3">
        <w:rPr>
          <w:rFonts w:eastAsia="Times New Roman"/>
          <w:noProof/>
          <w:sz w:val="20"/>
          <w:szCs w:val="20"/>
        </w:rPr>
        <w:t xml:space="preserve">monetary threshold </w:t>
      </w:r>
      <w:r w:rsidR="1951B66F" w:rsidRPr="4321A1A3">
        <w:rPr>
          <w:rFonts w:eastAsia="Times New Roman"/>
          <w:noProof/>
          <w:sz w:val="20"/>
          <w:szCs w:val="20"/>
        </w:rPr>
        <w:t xml:space="preserve">to </w:t>
      </w:r>
      <w:r w:rsidRPr="4321A1A3">
        <w:rPr>
          <w:rFonts w:eastAsia="Times New Roman"/>
          <w:noProof/>
          <w:sz w:val="20"/>
          <w:szCs w:val="20"/>
        </w:rPr>
        <w:t>EUR 3</w:t>
      </w:r>
      <w:r w:rsidR="0F3173C2" w:rsidRPr="4321A1A3">
        <w:rPr>
          <w:rFonts w:eastAsia="Times New Roman"/>
          <w:noProof/>
          <w:sz w:val="20"/>
          <w:szCs w:val="20"/>
        </w:rPr>
        <w:t>,</w:t>
      </w:r>
      <w:r w:rsidRPr="4321A1A3">
        <w:rPr>
          <w:rFonts w:eastAsia="Times New Roman"/>
          <w:noProof/>
          <w:sz w:val="20"/>
          <w:szCs w:val="20"/>
        </w:rPr>
        <w:t>000.</w:t>
      </w:r>
      <w:r w:rsidR="3EDEAB4F" w:rsidRPr="4321A1A3">
        <w:rPr>
          <w:rFonts w:eastAsia="Times New Roman"/>
          <w:noProof/>
          <w:sz w:val="20"/>
          <w:szCs w:val="20"/>
        </w:rPr>
        <w:t xml:space="preserve"> </w:t>
      </w:r>
      <w:r w:rsidRPr="4321A1A3">
        <w:rPr>
          <w:rFonts w:eastAsia="Times New Roman"/>
          <w:b/>
          <w:bCs/>
          <w:noProof/>
          <w:sz w:val="20"/>
          <w:szCs w:val="20"/>
        </w:rPr>
        <w:t>PO</w:t>
      </w:r>
      <w:r w:rsidR="68BABAAC" w:rsidRPr="4321A1A3">
        <w:rPr>
          <w:rFonts w:eastAsia="Times New Roman"/>
          <w:b/>
          <w:bCs/>
          <w:noProof/>
          <w:sz w:val="20"/>
          <w:szCs w:val="20"/>
        </w:rPr>
        <w:t>2</w:t>
      </w:r>
      <w:r w:rsidRPr="4321A1A3">
        <w:rPr>
          <w:rFonts w:eastAsia="Times New Roman"/>
          <w:b/>
          <w:bCs/>
          <w:noProof/>
          <w:sz w:val="20"/>
          <w:szCs w:val="20"/>
        </w:rPr>
        <w:t>c</w:t>
      </w:r>
      <w:r w:rsidRPr="4321A1A3">
        <w:rPr>
          <w:rFonts w:eastAsia="Times New Roman"/>
          <w:noProof/>
          <w:sz w:val="20"/>
          <w:szCs w:val="20"/>
        </w:rPr>
        <w:t xml:space="preserve"> </w:t>
      </w:r>
      <w:r w:rsidR="52E4B661" w:rsidRPr="4321A1A3">
        <w:rPr>
          <w:rFonts w:eastAsia="Times New Roman"/>
          <w:noProof/>
          <w:sz w:val="20"/>
          <w:szCs w:val="20"/>
        </w:rPr>
        <w:t>removes</w:t>
      </w:r>
      <w:r w:rsidRPr="4321A1A3">
        <w:rPr>
          <w:rFonts w:eastAsia="Times New Roman"/>
          <w:noProof/>
          <w:sz w:val="20"/>
          <w:szCs w:val="20"/>
        </w:rPr>
        <w:t xml:space="preserve"> the activity threshold and increas</w:t>
      </w:r>
      <w:r w:rsidR="6FF0546B" w:rsidRPr="4321A1A3">
        <w:rPr>
          <w:rFonts w:eastAsia="Times New Roman"/>
          <w:noProof/>
          <w:sz w:val="20"/>
          <w:szCs w:val="20"/>
        </w:rPr>
        <w:t>es</w:t>
      </w:r>
      <w:r w:rsidRPr="4321A1A3">
        <w:rPr>
          <w:rFonts w:eastAsia="Times New Roman"/>
          <w:noProof/>
          <w:sz w:val="20"/>
          <w:szCs w:val="20"/>
        </w:rPr>
        <w:t xml:space="preserve"> the monetary threshold to EUR 5</w:t>
      </w:r>
      <w:r w:rsidR="3C09D266" w:rsidRPr="4321A1A3">
        <w:rPr>
          <w:rFonts w:eastAsia="Times New Roman"/>
          <w:noProof/>
          <w:sz w:val="20"/>
          <w:szCs w:val="20"/>
        </w:rPr>
        <w:t>,</w:t>
      </w:r>
      <w:r w:rsidRPr="4321A1A3">
        <w:rPr>
          <w:rFonts w:eastAsia="Times New Roman"/>
          <w:noProof/>
          <w:sz w:val="20"/>
          <w:szCs w:val="20"/>
        </w:rPr>
        <w:t>000.</w:t>
      </w:r>
    </w:p>
    <w:p w14:paraId="34FA9C97" w14:textId="41226BF6" w:rsidR="006B087E" w:rsidRDefault="5EDFA390" w:rsidP="4321A1A3">
      <w:pPr>
        <w:spacing w:after="0" w:line="257" w:lineRule="auto"/>
        <w:rPr>
          <w:rFonts w:eastAsia="Times New Roman"/>
          <w:b/>
          <w:bCs/>
          <w:noProof/>
          <w:sz w:val="20"/>
          <w:szCs w:val="20"/>
          <w:u w:val="single"/>
        </w:rPr>
      </w:pPr>
      <w:r w:rsidRPr="00D7088D">
        <w:rPr>
          <w:rFonts w:eastAsia="Times New Roman"/>
          <w:b/>
          <w:bCs/>
          <w:noProof/>
          <w:sz w:val="20"/>
          <w:szCs w:val="20"/>
          <w:u w:val="single"/>
        </w:rPr>
        <w:t>Effectiveness</w:t>
      </w:r>
    </w:p>
    <w:p w14:paraId="0A941E3C" w14:textId="77777777" w:rsidR="00D6565B" w:rsidRPr="00D7088D" w:rsidRDefault="00D6565B" w:rsidP="4321A1A3">
      <w:pPr>
        <w:spacing w:after="0" w:line="257" w:lineRule="auto"/>
        <w:rPr>
          <w:noProof/>
          <w:sz w:val="20"/>
          <w:szCs w:val="20"/>
          <w:u w:val="single"/>
        </w:rPr>
      </w:pPr>
    </w:p>
    <w:tbl>
      <w:tblPr>
        <w:tblStyle w:val="TableGrid"/>
        <w:tblW w:w="8760" w:type="dxa"/>
        <w:tblLook w:val="06A0" w:firstRow="1" w:lastRow="0" w:firstColumn="1" w:lastColumn="0" w:noHBand="1" w:noVBand="1"/>
      </w:tblPr>
      <w:tblGrid>
        <w:gridCol w:w="2395"/>
        <w:gridCol w:w="1800"/>
        <w:gridCol w:w="1470"/>
        <w:gridCol w:w="1395"/>
        <w:gridCol w:w="1700"/>
      </w:tblGrid>
      <w:tr w:rsidR="3A123E5D" w:rsidRPr="00DE1F04" w14:paraId="48A87999" w14:textId="77777777" w:rsidTr="4321A1A3">
        <w:trPr>
          <w:trHeight w:val="300"/>
        </w:trPr>
        <w:tc>
          <w:tcPr>
            <w:tcW w:w="2395" w:type="dxa"/>
          </w:tcPr>
          <w:p w14:paraId="02FA7764" w14:textId="1DA93C23" w:rsidR="3A123E5D" w:rsidRPr="00DE1F04" w:rsidRDefault="455A3198" w:rsidP="4321A1A3">
            <w:pPr>
              <w:spacing w:after="0"/>
              <w:rPr>
                <w:b/>
                <w:bCs/>
                <w:noProof/>
                <w:sz w:val="20"/>
                <w:szCs w:val="20"/>
              </w:rPr>
            </w:pPr>
            <w:r w:rsidRPr="4321A1A3">
              <w:rPr>
                <w:rFonts w:eastAsia="Aptos"/>
                <w:b/>
                <w:bCs/>
                <w:noProof/>
                <w:sz w:val="20"/>
                <w:szCs w:val="20"/>
              </w:rPr>
              <w:t>Specific Objectives</w:t>
            </w:r>
          </w:p>
        </w:tc>
        <w:tc>
          <w:tcPr>
            <w:tcW w:w="1800" w:type="dxa"/>
          </w:tcPr>
          <w:p w14:paraId="56D3DBAB" w14:textId="29BC195E" w:rsidR="3C4C25D7" w:rsidRPr="19989A7C" w:rsidRDefault="756F06B8" w:rsidP="4321A1A3">
            <w:pPr>
              <w:spacing w:after="0"/>
              <w:rPr>
                <w:b/>
                <w:bCs/>
                <w:noProof/>
                <w:sz w:val="20"/>
                <w:szCs w:val="20"/>
              </w:rPr>
            </w:pPr>
            <w:r w:rsidRPr="4321A1A3">
              <w:rPr>
                <w:b/>
                <w:bCs/>
                <w:noProof/>
                <w:sz w:val="20"/>
                <w:szCs w:val="20"/>
              </w:rPr>
              <w:t>Baseline</w:t>
            </w:r>
          </w:p>
        </w:tc>
        <w:tc>
          <w:tcPr>
            <w:tcW w:w="1470" w:type="dxa"/>
          </w:tcPr>
          <w:p w14:paraId="370DB0FB" w14:textId="5E317311" w:rsidR="66F15311" w:rsidRPr="00DE1F04" w:rsidRDefault="598BB92C" w:rsidP="4321A1A3">
            <w:pPr>
              <w:spacing w:after="0"/>
              <w:rPr>
                <w:b/>
                <w:bCs/>
                <w:noProof/>
                <w:sz w:val="20"/>
                <w:szCs w:val="20"/>
              </w:rPr>
            </w:pPr>
            <w:r w:rsidRPr="4321A1A3">
              <w:rPr>
                <w:b/>
                <w:bCs/>
                <w:noProof/>
                <w:sz w:val="20"/>
                <w:szCs w:val="20"/>
              </w:rPr>
              <w:t>PO</w:t>
            </w:r>
            <w:r w:rsidR="00B02E69">
              <w:rPr>
                <w:b/>
                <w:bCs/>
                <w:noProof/>
                <w:sz w:val="20"/>
                <w:szCs w:val="20"/>
              </w:rPr>
              <w:t>2</w:t>
            </w:r>
            <w:r w:rsidRPr="4321A1A3">
              <w:rPr>
                <w:b/>
                <w:bCs/>
                <w:noProof/>
                <w:sz w:val="20"/>
                <w:szCs w:val="20"/>
              </w:rPr>
              <w:t>a</w:t>
            </w:r>
          </w:p>
        </w:tc>
        <w:tc>
          <w:tcPr>
            <w:tcW w:w="1395" w:type="dxa"/>
          </w:tcPr>
          <w:p w14:paraId="4368A820" w14:textId="7DD1351F" w:rsidR="66F15311" w:rsidRPr="00DE1F04" w:rsidRDefault="598BB92C" w:rsidP="4321A1A3">
            <w:pPr>
              <w:spacing w:after="0"/>
              <w:rPr>
                <w:b/>
                <w:bCs/>
                <w:noProof/>
                <w:sz w:val="20"/>
                <w:szCs w:val="20"/>
              </w:rPr>
            </w:pPr>
            <w:r w:rsidRPr="4321A1A3">
              <w:rPr>
                <w:b/>
                <w:bCs/>
                <w:noProof/>
                <w:sz w:val="20"/>
                <w:szCs w:val="20"/>
              </w:rPr>
              <w:t>PO</w:t>
            </w:r>
            <w:r w:rsidR="00B02E69">
              <w:rPr>
                <w:b/>
                <w:bCs/>
                <w:noProof/>
                <w:sz w:val="20"/>
                <w:szCs w:val="20"/>
              </w:rPr>
              <w:t>2</w:t>
            </w:r>
            <w:r w:rsidRPr="4321A1A3">
              <w:rPr>
                <w:b/>
                <w:bCs/>
                <w:noProof/>
                <w:sz w:val="20"/>
                <w:szCs w:val="20"/>
              </w:rPr>
              <w:t>b</w:t>
            </w:r>
          </w:p>
        </w:tc>
        <w:tc>
          <w:tcPr>
            <w:tcW w:w="1700" w:type="dxa"/>
          </w:tcPr>
          <w:p w14:paraId="2D2E90CB" w14:textId="54B19446" w:rsidR="66F15311" w:rsidRPr="00DE1F04" w:rsidRDefault="598BB92C" w:rsidP="4321A1A3">
            <w:pPr>
              <w:spacing w:after="0"/>
              <w:rPr>
                <w:b/>
                <w:bCs/>
                <w:noProof/>
                <w:sz w:val="20"/>
                <w:szCs w:val="20"/>
              </w:rPr>
            </w:pPr>
            <w:r w:rsidRPr="4321A1A3">
              <w:rPr>
                <w:b/>
                <w:bCs/>
                <w:noProof/>
                <w:sz w:val="20"/>
                <w:szCs w:val="20"/>
              </w:rPr>
              <w:t>PO</w:t>
            </w:r>
            <w:r w:rsidR="00B02E69">
              <w:rPr>
                <w:b/>
                <w:bCs/>
                <w:noProof/>
                <w:sz w:val="20"/>
                <w:szCs w:val="20"/>
              </w:rPr>
              <w:t>2</w:t>
            </w:r>
            <w:r w:rsidRPr="4321A1A3">
              <w:rPr>
                <w:b/>
                <w:bCs/>
                <w:noProof/>
                <w:sz w:val="20"/>
                <w:szCs w:val="20"/>
              </w:rPr>
              <w:t>c</w:t>
            </w:r>
          </w:p>
        </w:tc>
      </w:tr>
      <w:tr w:rsidR="3A123E5D" w:rsidRPr="00DE1F04" w14:paraId="382C593A" w14:textId="77777777" w:rsidTr="4321A1A3">
        <w:trPr>
          <w:trHeight w:val="300"/>
        </w:trPr>
        <w:tc>
          <w:tcPr>
            <w:tcW w:w="2395" w:type="dxa"/>
          </w:tcPr>
          <w:p w14:paraId="0121A38D" w14:textId="19F28C7A" w:rsidR="3A123E5D" w:rsidRPr="00AF6A5E" w:rsidRDefault="4611511C" w:rsidP="4321A1A3">
            <w:pPr>
              <w:spacing w:after="0" w:line="257" w:lineRule="auto"/>
              <w:jc w:val="left"/>
              <w:rPr>
                <w:rFonts w:eastAsia="Aptos"/>
                <w:noProof/>
                <w:sz w:val="20"/>
                <w:szCs w:val="20"/>
                <w:lang w:val="en-US"/>
              </w:rPr>
            </w:pPr>
            <w:r w:rsidRPr="4321A1A3">
              <w:rPr>
                <w:rFonts w:eastAsia="Aptos"/>
                <w:noProof/>
                <w:sz w:val="20"/>
                <w:szCs w:val="20"/>
              </w:rPr>
              <w:t>Reducing complexity and improving legal clarity and certainty for stakeholders</w:t>
            </w:r>
            <w:r w:rsidRPr="4321A1A3">
              <w:rPr>
                <w:rFonts w:eastAsia="Aptos"/>
                <w:noProof/>
                <w:sz w:val="20"/>
                <w:szCs w:val="20"/>
                <w:lang w:val="en-US"/>
              </w:rPr>
              <w:t xml:space="preserve"> </w:t>
            </w:r>
          </w:p>
        </w:tc>
        <w:tc>
          <w:tcPr>
            <w:tcW w:w="1800" w:type="dxa"/>
          </w:tcPr>
          <w:p w14:paraId="35D5BC5E" w14:textId="7E656BE2" w:rsidR="19989A7C" w:rsidRDefault="31F3130E" w:rsidP="4321A1A3">
            <w:pPr>
              <w:spacing w:after="0" w:line="257" w:lineRule="auto"/>
              <w:jc w:val="center"/>
              <w:rPr>
                <w:rFonts w:eastAsia="Aptos"/>
                <w:noProof/>
                <w:sz w:val="20"/>
                <w:szCs w:val="20"/>
              </w:rPr>
            </w:pPr>
            <w:r w:rsidRPr="4321A1A3">
              <w:rPr>
                <w:rFonts w:eastAsia="Aptos"/>
                <w:noProof/>
                <w:sz w:val="20"/>
                <w:szCs w:val="20"/>
              </w:rPr>
              <w:t>0</w:t>
            </w:r>
          </w:p>
        </w:tc>
        <w:tc>
          <w:tcPr>
            <w:tcW w:w="1470" w:type="dxa"/>
          </w:tcPr>
          <w:p w14:paraId="149811E0" w14:textId="1EAC645F" w:rsidR="3A123E5D" w:rsidRPr="00DE1F04" w:rsidRDefault="737DE2F1" w:rsidP="4321A1A3">
            <w:pPr>
              <w:spacing w:after="0" w:line="257" w:lineRule="auto"/>
              <w:jc w:val="center"/>
              <w:rPr>
                <w:rFonts w:eastAsia="Aptos"/>
                <w:noProof/>
                <w:sz w:val="20"/>
                <w:szCs w:val="20"/>
              </w:rPr>
            </w:pPr>
            <w:r w:rsidRPr="4321A1A3">
              <w:rPr>
                <w:rFonts w:eastAsia="Aptos"/>
                <w:noProof/>
                <w:sz w:val="20"/>
                <w:szCs w:val="20"/>
              </w:rPr>
              <w:t>+</w:t>
            </w:r>
            <w:r w:rsidR="260E73BA" w:rsidRPr="4321A1A3">
              <w:rPr>
                <w:rFonts w:eastAsia="Aptos"/>
                <w:noProof/>
                <w:sz w:val="20"/>
                <w:szCs w:val="20"/>
              </w:rPr>
              <w:t>+</w:t>
            </w:r>
          </w:p>
        </w:tc>
        <w:tc>
          <w:tcPr>
            <w:tcW w:w="1395" w:type="dxa"/>
          </w:tcPr>
          <w:p w14:paraId="57749B22" w14:textId="2ABA9ED7" w:rsidR="3A123E5D" w:rsidRPr="00DE1F04" w:rsidRDefault="737DE2F1" w:rsidP="4321A1A3">
            <w:pPr>
              <w:spacing w:after="0" w:line="257" w:lineRule="auto"/>
              <w:jc w:val="center"/>
              <w:rPr>
                <w:rFonts w:eastAsia="Aptos"/>
                <w:noProof/>
                <w:sz w:val="20"/>
                <w:szCs w:val="20"/>
                <w:lang w:val="en-US"/>
              </w:rPr>
            </w:pPr>
            <w:r w:rsidRPr="4321A1A3">
              <w:rPr>
                <w:rFonts w:eastAsia="Aptos"/>
                <w:noProof/>
                <w:sz w:val="20"/>
                <w:szCs w:val="20"/>
                <w:lang w:val="en-US"/>
              </w:rPr>
              <w:t>++</w:t>
            </w:r>
            <w:r w:rsidR="4611511C" w:rsidRPr="4321A1A3">
              <w:rPr>
                <w:rFonts w:eastAsia="Aptos"/>
                <w:noProof/>
                <w:sz w:val="20"/>
                <w:szCs w:val="20"/>
                <w:lang w:val="en-US"/>
              </w:rPr>
              <w:t xml:space="preserve"> </w:t>
            </w:r>
          </w:p>
        </w:tc>
        <w:tc>
          <w:tcPr>
            <w:tcW w:w="1700" w:type="dxa"/>
          </w:tcPr>
          <w:p w14:paraId="224D3EEC" w14:textId="47CB2FD7" w:rsidR="3A123E5D" w:rsidRPr="00DE1F04" w:rsidRDefault="78190B45" w:rsidP="4321A1A3">
            <w:pPr>
              <w:spacing w:after="0" w:line="257" w:lineRule="auto"/>
              <w:jc w:val="center"/>
              <w:rPr>
                <w:noProof/>
                <w:sz w:val="20"/>
                <w:szCs w:val="20"/>
              </w:rPr>
            </w:pPr>
            <w:r w:rsidRPr="4321A1A3">
              <w:rPr>
                <w:noProof/>
                <w:sz w:val="20"/>
                <w:szCs w:val="20"/>
              </w:rPr>
              <w:t>+</w:t>
            </w:r>
            <w:r w:rsidR="0B2C6B4A" w:rsidRPr="4321A1A3">
              <w:rPr>
                <w:noProof/>
                <w:sz w:val="20"/>
                <w:szCs w:val="20"/>
              </w:rPr>
              <w:t>+</w:t>
            </w:r>
          </w:p>
        </w:tc>
      </w:tr>
      <w:tr w:rsidR="3A123E5D" w:rsidRPr="00DE1F04" w14:paraId="38498752" w14:textId="77777777" w:rsidTr="4321A1A3">
        <w:trPr>
          <w:trHeight w:val="300"/>
        </w:trPr>
        <w:tc>
          <w:tcPr>
            <w:tcW w:w="2395" w:type="dxa"/>
          </w:tcPr>
          <w:p w14:paraId="1AF12976" w14:textId="7BE7B316" w:rsidR="3A123E5D" w:rsidRPr="00AF6A5E" w:rsidRDefault="4611511C" w:rsidP="4321A1A3">
            <w:pPr>
              <w:spacing w:after="0" w:line="257" w:lineRule="auto"/>
              <w:jc w:val="left"/>
              <w:rPr>
                <w:rFonts w:eastAsia="Aptos"/>
                <w:noProof/>
                <w:sz w:val="20"/>
                <w:szCs w:val="20"/>
                <w:lang w:val="en-US"/>
              </w:rPr>
            </w:pPr>
            <w:r w:rsidRPr="4321A1A3">
              <w:rPr>
                <w:rFonts w:eastAsia="Aptos"/>
                <w:noProof/>
                <w:sz w:val="20"/>
                <w:szCs w:val="20"/>
              </w:rPr>
              <w:t>Ensuring reporting obligations are proportionate and better targeted while preserving policy objectives</w:t>
            </w:r>
            <w:r w:rsidRPr="4321A1A3">
              <w:rPr>
                <w:rFonts w:eastAsia="Aptos"/>
                <w:noProof/>
                <w:sz w:val="20"/>
                <w:szCs w:val="20"/>
                <w:lang w:val="en-US"/>
              </w:rPr>
              <w:t xml:space="preserve"> </w:t>
            </w:r>
          </w:p>
        </w:tc>
        <w:tc>
          <w:tcPr>
            <w:tcW w:w="1800" w:type="dxa"/>
          </w:tcPr>
          <w:p w14:paraId="760C62E6" w14:textId="1E1590C6" w:rsidR="19989A7C" w:rsidRDefault="10ED92ED" w:rsidP="4321A1A3">
            <w:pPr>
              <w:spacing w:after="0" w:line="257" w:lineRule="auto"/>
              <w:jc w:val="center"/>
              <w:rPr>
                <w:rFonts w:eastAsia="Aptos"/>
                <w:noProof/>
                <w:sz w:val="20"/>
                <w:szCs w:val="20"/>
              </w:rPr>
            </w:pPr>
            <w:r w:rsidRPr="4321A1A3">
              <w:rPr>
                <w:rFonts w:eastAsia="Aptos"/>
                <w:noProof/>
                <w:sz w:val="20"/>
                <w:szCs w:val="20"/>
              </w:rPr>
              <w:t>0</w:t>
            </w:r>
          </w:p>
        </w:tc>
        <w:tc>
          <w:tcPr>
            <w:tcW w:w="1470" w:type="dxa"/>
          </w:tcPr>
          <w:p w14:paraId="57BEEAF1" w14:textId="55F2E3A1" w:rsidR="3A123E5D" w:rsidRPr="00DE1F04" w:rsidRDefault="3721AA63" w:rsidP="4321A1A3">
            <w:pPr>
              <w:spacing w:after="0" w:line="257" w:lineRule="auto"/>
              <w:jc w:val="center"/>
              <w:rPr>
                <w:rFonts w:eastAsia="Aptos"/>
                <w:noProof/>
                <w:sz w:val="20"/>
                <w:szCs w:val="20"/>
              </w:rPr>
            </w:pPr>
            <w:r w:rsidRPr="4321A1A3">
              <w:rPr>
                <w:rFonts w:eastAsia="Aptos"/>
                <w:noProof/>
                <w:sz w:val="20"/>
                <w:szCs w:val="20"/>
              </w:rPr>
              <w:t>++</w:t>
            </w:r>
          </w:p>
        </w:tc>
        <w:tc>
          <w:tcPr>
            <w:tcW w:w="1395" w:type="dxa"/>
          </w:tcPr>
          <w:p w14:paraId="2525B7EC" w14:textId="12948E06" w:rsidR="3A123E5D" w:rsidRPr="00DE1F04" w:rsidRDefault="3721AA63" w:rsidP="4321A1A3">
            <w:pPr>
              <w:spacing w:after="0" w:line="257" w:lineRule="auto"/>
              <w:jc w:val="center"/>
              <w:rPr>
                <w:rFonts w:eastAsia="Aptos"/>
                <w:noProof/>
                <w:sz w:val="20"/>
                <w:szCs w:val="20"/>
              </w:rPr>
            </w:pPr>
            <w:r w:rsidRPr="4321A1A3">
              <w:rPr>
                <w:rFonts w:eastAsia="Aptos"/>
                <w:noProof/>
                <w:sz w:val="20"/>
                <w:szCs w:val="20"/>
              </w:rPr>
              <w:t>+++</w:t>
            </w:r>
          </w:p>
        </w:tc>
        <w:tc>
          <w:tcPr>
            <w:tcW w:w="1700" w:type="dxa"/>
          </w:tcPr>
          <w:p w14:paraId="0F5B02A6" w14:textId="17B8765D" w:rsidR="3A123E5D" w:rsidRPr="00DE1F04" w:rsidRDefault="0BE93DBD" w:rsidP="4321A1A3">
            <w:pPr>
              <w:spacing w:after="0" w:line="257" w:lineRule="auto"/>
              <w:jc w:val="center"/>
              <w:rPr>
                <w:rFonts w:eastAsia="Aptos"/>
                <w:noProof/>
                <w:sz w:val="20"/>
                <w:szCs w:val="20"/>
              </w:rPr>
            </w:pPr>
            <w:r w:rsidRPr="4321A1A3">
              <w:rPr>
                <w:rFonts w:eastAsia="Aptos"/>
                <w:noProof/>
                <w:sz w:val="20"/>
                <w:szCs w:val="20"/>
              </w:rPr>
              <w:t>+</w:t>
            </w:r>
          </w:p>
        </w:tc>
      </w:tr>
      <w:tr w:rsidR="3A123E5D" w:rsidRPr="00DE1F04" w14:paraId="095497D3" w14:textId="77777777" w:rsidTr="4321A1A3">
        <w:trPr>
          <w:trHeight w:val="300"/>
        </w:trPr>
        <w:tc>
          <w:tcPr>
            <w:tcW w:w="2395" w:type="dxa"/>
          </w:tcPr>
          <w:p w14:paraId="11B2FD0B" w14:textId="60DAD7AD" w:rsidR="3A123E5D" w:rsidRPr="00AF6A5E" w:rsidRDefault="4611511C" w:rsidP="4321A1A3">
            <w:pPr>
              <w:spacing w:after="0" w:line="257" w:lineRule="auto"/>
              <w:jc w:val="left"/>
              <w:rPr>
                <w:rFonts w:eastAsia="Aptos"/>
                <w:noProof/>
                <w:sz w:val="20"/>
                <w:szCs w:val="20"/>
                <w:lang w:val="en-US"/>
              </w:rPr>
            </w:pPr>
            <w:r w:rsidRPr="4321A1A3">
              <w:rPr>
                <w:rFonts w:eastAsia="Aptos"/>
                <w:noProof/>
                <w:sz w:val="20"/>
                <w:szCs w:val="20"/>
              </w:rPr>
              <w:t>Improving the effectiveness and usability of exchanged information</w:t>
            </w:r>
            <w:r w:rsidRPr="4321A1A3">
              <w:rPr>
                <w:rFonts w:eastAsia="Aptos"/>
                <w:noProof/>
                <w:sz w:val="20"/>
                <w:szCs w:val="20"/>
                <w:lang w:val="en-US"/>
              </w:rPr>
              <w:t xml:space="preserve"> </w:t>
            </w:r>
          </w:p>
        </w:tc>
        <w:tc>
          <w:tcPr>
            <w:tcW w:w="1800" w:type="dxa"/>
          </w:tcPr>
          <w:p w14:paraId="5ECEA128" w14:textId="2FF2178A" w:rsidR="19989A7C" w:rsidRDefault="10ED92ED" w:rsidP="4321A1A3">
            <w:pPr>
              <w:spacing w:after="0" w:line="257" w:lineRule="auto"/>
              <w:jc w:val="center"/>
              <w:rPr>
                <w:rFonts w:eastAsia="Aptos"/>
                <w:noProof/>
                <w:sz w:val="20"/>
                <w:szCs w:val="20"/>
              </w:rPr>
            </w:pPr>
            <w:r w:rsidRPr="4321A1A3">
              <w:rPr>
                <w:rFonts w:eastAsia="Aptos"/>
                <w:noProof/>
                <w:sz w:val="20"/>
                <w:szCs w:val="20"/>
              </w:rPr>
              <w:t>0</w:t>
            </w:r>
          </w:p>
        </w:tc>
        <w:tc>
          <w:tcPr>
            <w:tcW w:w="1470" w:type="dxa"/>
          </w:tcPr>
          <w:p w14:paraId="05EFDD19" w14:textId="2FA7318D" w:rsidR="3A123E5D" w:rsidRPr="00DE1F04" w:rsidRDefault="4B90A9C0" w:rsidP="4321A1A3">
            <w:pPr>
              <w:spacing w:after="0" w:line="257" w:lineRule="auto"/>
              <w:jc w:val="center"/>
              <w:rPr>
                <w:rFonts w:eastAsia="Aptos"/>
                <w:noProof/>
                <w:sz w:val="20"/>
                <w:szCs w:val="20"/>
              </w:rPr>
            </w:pPr>
            <w:r w:rsidRPr="4321A1A3">
              <w:rPr>
                <w:rFonts w:eastAsia="Aptos"/>
                <w:noProof/>
                <w:sz w:val="20"/>
                <w:szCs w:val="20"/>
              </w:rPr>
              <w:t>++</w:t>
            </w:r>
          </w:p>
        </w:tc>
        <w:tc>
          <w:tcPr>
            <w:tcW w:w="1395" w:type="dxa"/>
          </w:tcPr>
          <w:p w14:paraId="5706C784" w14:textId="054085EF" w:rsidR="3A123E5D" w:rsidRPr="00DE1F04" w:rsidRDefault="4B90A9C0" w:rsidP="4321A1A3">
            <w:pPr>
              <w:spacing w:after="0" w:line="257" w:lineRule="auto"/>
              <w:jc w:val="center"/>
              <w:rPr>
                <w:rFonts w:eastAsia="Aptos"/>
                <w:noProof/>
                <w:sz w:val="20"/>
                <w:szCs w:val="20"/>
              </w:rPr>
            </w:pPr>
            <w:r w:rsidRPr="4321A1A3">
              <w:rPr>
                <w:rFonts w:eastAsia="Aptos"/>
                <w:noProof/>
                <w:sz w:val="20"/>
                <w:szCs w:val="20"/>
              </w:rPr>
              <w:t>+++</w:t>
            </w:r>
          </w:p>
        </w:tc>
        <w:tc>
          <w:tcPr>
            <w:tcW w:w="1700" w:type="dxa"/>
          </w:tcPr>
          <w:p w14:paraId="28B72963" w14:textId="410B3776" w:rsidR="3A123E5D" w:rsidRPr="000B145D" w:rsidRDefault="0BE93DBD" w:rsidP="4321A1A3">
            <w:pPr>
              <w:spacing w:after="0" w:line="257" w:lineRule="auto"/>
              <w:jc w:val="center"/>
              <w:rPr>
                <w:rFonts w:eastAsia="Aptos"/>
                <w:noProof/>
                <w:sz w:val="20"/>
                <w:szCs w:val="20"/>
                <w:lang w:val="en-US"/>
              </w:rPr>
            </w:pPr>
            <w:r w:rsidRPr="4321A1A3">
              <w:rPr>
                <w:rFonts w:eastAsia="Aptos"/>
                <w:noProof/>
                <w:sz w:val="20"/>
                <w:szCs w:val="20"/>
                <w:lang w:val="en-US"/>
              </w:rPr>
              <w:t>+</w:t>
            </w:r>
          </w:p>
        </w:tc>
      </w:tr>
    </w:tbl>
    <w:p w14:paraId="7B8727A3" w14:textId="60BF6770" w:rsidR="006B087E" w:rsidRDefault="006B087E" w:rsidP="5CDFE24D">
      <w:pPr>
        <w:spacing w:after="160" w:line="257" w:lineRule="auto"/>
        <w:rPr>
          <w:rFonts w:eastAsia="Times New Roman"/>
          <w:b/>
          <w:bCs/>
          <w:noProof/>
        </w:rPr>
      </w:pPr>
    </w:p>
    <w:p w14:paraId="12EFFCFC" w14:textId="5A34E9AB" w:rsidR="006B087E" w:rsidRPr="00F92EAE" w:rsidRDefault="5B7600D8" w:rsidP="5CDFE24D">
      <w:pPr>
        <w:spacing w:after="160" w:line="257" w:lineRule="auto"/>
        <w:rPr>
          <w:rFonts w:eastAsia="Times New Roman"/>
          <w:noProof/>
        </w:rPr>
      </w:pPr>
      <w:r w:rsidRPr="4321A1A3">
        <w:rPr>
          <w:rFonts w:eastAsia="Times New Roman"/>
          <w:noProof/>
        </w:rPr>
        <w:t xml:space="preserve">The policy options contribute to different degrees, to the specific objectives of the initiative and to the reduction of compliance costs. </w:t>
      </w:r>
      <w:r w:rsidR="2BCB7626" w:rsidRPr="4321A1A3">
        <w:rPr>
          <w:rFonts w:eastAsia="Times New Roman"/>
          <w:noProof/>
        </w:rPr>
        <w:t>While all options reduce compliance costs for business stakeholders and improve legal certainty</w:t>
      </w:r>
      <w:r w:rsidR="20BB064D" w:rsidRPr="4321A1A3">
        <w:rPr>
          <w:rFonts w:eastAsia="Times New Roman"/>
          <w:noProof/>
        </w:rPr>
        <w:t>,</w:t>
      </w:r>
      <w:r w:rsidR="2BCB7626" w:rsidRPr="4321A1A3">
        <w:rPr>
          <w:rFonts w:eastAsia="Times New Roman"/>
          <w:noProof/>
        </w:rPr>
        <w:t xml:space="preserve"> certain options score lower as they </w:t>
      </w:r>
      <w:r w:rsidR="5AD9EC25" w:rsidRPr="4321A1A3">
        <w:rPr>
          <w:rFonts w:eastAsia="Times New Roman"/>
          <w:noProof/>
        </w:rPr>
        <w:t xml:space="preserve">do not fully preserve the policy objectives and improve the effectiveness and use of information. This is the case for </w:t>
      </w:r>
      <w:r w:rsidR="5AD9EC25" w:rsidRPr="4321A1A3">
        <w:rPr>
          <w:rFonts w:eastAsia="Times New Roman"/>
          <w:b/>
          <w:bCs/>
          <w:noProof/>
        </w:rPr>
        <w:t>PO</w:t>
      </w:r>
      <w:r w:rsidR="0458D7B8" w:rsidRPr="4321A1A3">
        <w:rPr>
          <w:rFonts w:eastAsia="Times New Roman"/>
          <w:b/>
          <w:bCs/>
          <w:noProof/>
        </w:rPr>
        <w:t>2</w:t>
      </w:r>
      <w:r w:rsidR="5AD9EC25" w:rsidRPr="4321A1A3">
        <w:rPr>
          <w:rFonts w:eastAsia="Times New Roman"/>
          <w:b/>
          <w:bCs/>
          <w:noProof/>
        </w:rPr>
        <w:t>c</w:t>
      </w:r>
      <w:r w:rsidR="4BDE80B6" w:rsidRPr="4321A1A3">
        <w:rPr>
          <w:rFonts w:eastAsia="Times New Roman"/>
          <w:b/>
          <w:bCs/>
          <w:noProof/>
        </w:rPr>
        <w:t>,</w:t>
      </w:r>
      <w:r w:rsidR="5AD9EC25" w:rsidRPr="4321A1A3">
        <w:rPr>
          <w:rFonts w:eastAsia="Times New Roman"/>
          <w:b/>
          <w:bCs/>
          <w:noProof/>
        </w:rPr>
        <w:t xml:space="preserve"> </w:t>
      </w:r>
      <w:r w:rsidR="45399A13" w:rsidRPr="4321A1A3">
        <w:rPr>
          <w:rFonts w:eastAsia="Times New Roman"/>
          <w:noProof/>
        </w:rPr>
        <w:t>as increasing the monetary threshold to EUR 5</w:t>
      </w:r>
      <w:r w:rsidR="16C04EEC" w:rsidRPr="4321A1A3">
        <w:rPr>
          <w:rFonts w:eastAsia="Times New Roman"/>
          <w:noProof/>
        </w:rPr>
        <w:t>,</w:t>
      </w:r>
      <w:r w:rsidR="45399A13" w:rsidRPr="4321A1A3">
        <w:rPr>
          <w:rFonts w:eastAsia="Times New Roman"/>
          <w:noProof/>
        </w:rPr>
        <w:t>000</w:t>
      </w:r>
      <w:r w:rsidR="12C8D111" w:rsidRPr="4321A1A3">
        <w:rPr>
          <w:rFonts w:eastAsia="Times New Roman"/>
          <w:noProof/>
        </w:rPr>
        <w:t xml:space="preserve"> will mean that tax administrations </w:t>
      </w:r>
      <w:r w:rsidR="0BE93DBD" w:rsidRPr="4321A1A3">
        <w:rPr>
          <w:rFonts w:eastAsia="Times New Roman"/>
          <w:noProof/>
        </w:rPr>
        <w:t xml:space="preserve">may </w:t>
      </w:r>
      <w:r w:rsidR="12C8D111" w:rsidRPr="4321A1A3">
        <w:rPr>
          <w:rFonts w:eastAsia="Times New Roman"/>
          <w:noProof/>
        </w:rPr>
        <w:t>no longer receive information that is relevant for the application of national tax rules.</w:t>
      </w:r>
    </w:p>
    <w:p w14:paraId="1C498041" w14:textId="37E54EE9" w:rsidR="2CB73B44" w:rsidRDefault="35AEA897">
      <w:pPr>
        <w:spacing w:after="160" w:line="257" w:lineRule="auto"/>
        <w:rPr>
          <w:rFonts w:eastAsia="Times New Roman"/>
          <w:noProof/>
        </w:rPr>
      </w:pPr>
      <w:r w:rsidRPr="4321A1A3">
        <w:rPr>
          <w:rFonts w:eastAsia="Times New Roman"/>
          <w:b/>
          <w:bCs/>
          <w:noProof/>
        </w:rPr>
        <w:t xml:space="preserve">Under </w:t>
      </w:r>
      <w:r w:rsidR="5C369E31" w:rsidRPr="4321A1A3">
        <w:rPr>
          <w:rFonts w:eastAsia="Times New Roman"/>
          <w:b/>
          <w:bCs/>
          <w:noProof/>
        </w:rPr>
        <w:t>P</w:t>
      </w:r>
      <w:r w:rsidR="5120D41A" w:rsidRPr="4321A1A3">
        <w:rPr>
          <w:rFonts w:eastAsia="Times New Roman"/>
          <w:b/>
          <w:bCs/>
          <w:noProof/>
        </w:rPr>
        <w:t>O</w:t>
      </w:r>
      <w:r w:rsidR="39C52E19" w:rsidRPr="4321A1A3">
        <w:rPr>
          <w:rFonts w:eastAsia="Times New Roman"/>
          <w:b/>
          <w:bCs/>
          <w:noProof/>
        </w:rPr>
        <w:t>2</w:t>
      </w:r>
      <w:r w:rsidR="5C369E31" w:rsidRPr="4321A1A3">
        <w:rPr>
          <w:rFonts w:eastAsia="Times New Roman"/>
          <w:b/>
          <w:bCs/>
          <w:noProof/>
        </w:rPr>
        <w:t>a</w:t>
      </w:r>
      <w:r w:rsidR="5C369E31" w:rsidRPr="4321A1A3">
        <w:rPr>
          <w:rFonts w:eastAsia="Times New Roman"/>
          <w:noProof/>
        </w:rPr>
        <w:t xml:space="preserve"> </w:t>
      </w:r>
      <w:r w:rsidR="5A0CD71E" w:rsidRPr="4321A1A3">
        <w:rPr>
          <w:rFonts w:eastAsia="Times New Roman"/>
          <w:noProof/>
        </w:rPr>
        <w:t>r</w:t>
      </w:r>
      <w:r w:rsidR="5C369E31" w:rsidRPr="4321A1A3">
        <w:rPr>
          <w:rFonts w:eastAsia="Times New Roman"/>
          <w:noProof/>
        </w:rPr>
        <w:t>eporting obligations would be triggered solely by the value of</w:t>
      </w:r>
      <w:r w:rsidR="18CA044D" w:rsidRPr="4321A1A3">
        <w:rPr>
          <w:rFonts w:eastAsia="Times New Roman"/>
          <w:noProof/>
        </w:rPr>
        <w:t xml:space="preserve"> the income</w:t>
      </w:r>
      <w:r w:rsidR="5C369E31" w:rsidRPr="4321A1A3">
        <w:rPr>
          <w:rFonts w:eastAsia="Times New Roman"/>
          <w:noProof/>
        </w:rPr>
        <w:t xml:space="preserve"> received, eliminating reporting linked to sellers carrying out a high number of low-value transactions.</w:t>
      </w:r>
      <w:r w:rsidR="44BC8384" w:rsidRPr="4321A1A3">
        <w:rPr>
          <w:rFonts w:eastAsia="Times New Roman"/>
          <w:noProof/>
        </w:rPr>
        <w:t xml:space="preserve"> </w:t>
      </w:r>
      <w:r w:rsidR="5EDFA390" w:rsidRPr="4321A1A3">
        <w:rPr>
          <w:rFonts w:eastAsia="Times New Roman"/>
          <w:b/>
          <w:bCs/>
          <w:noProof/>
        </w:rPr>
        <w:t>P</w:t>
      </w:r>
      <w:r w:rsidR="1FA864B3" w:rsidRPr="4321A1A3">
        <w:rPr>
          <w:rFonts w:eastAsia="Times New Roman"/>
          <w:b/>
          <w:bCs/>
          <w:noProof/>
        </w:rPr>
        <w:t>O</w:t>
      </w:r>
      <w:r w:rsidR="7679762E" w:rsidRPr="4321A1A3">
        <w:rPr>
          <w:rFonts w:eastAsia="Times New Roman"/>
          <w:b/>
          <w:bCs/>
          <w:noProof/>
        </w:rPr>
        <w:t>2</w:t>
      </w:r>
      <w:r w:rsidR="5EDFA390" w:rsidRPr="4321A1A3">
        <w:rPr>
          <w:rFonts w:eastAsia="Times New Roman"/>
          <w:b/>
          <w:bCs/>
          <w:noProof/>
        </w:rPr>
        <w:t>b</w:t>
      </w:r>
      <w:r w:rsidR="5EDFA390" w:rsidRPr="4321A1A3">
        <w:rPr>
          <w:rFonts w:eastAsia="Times New Roman"/>
          <w:noProof/>
        </w:rPr>
        <w:t xml:space="preserve"> further simplifies the framework by introducing a single monetary reporting threshold of EUR 3</w:t>
      </w:r>
      <w:r w:rsidR="4613667C" w:rsidRPr="4321A1A3">
        <w:rPr>
          <w:rFonts w:eastAsia="Times New Roman"/>
          <w:b/>
          <w:bCs/>
          <w:noProof/>
        </w:rPr>
        <w:t>,</w:t>
      </w:r>
      <w:r w:rsidR="5EDFA390" w:rsidRPr="4321A1A3">
        <w:rPr>
          <w:rFonts w:eastAsia="Times New Roman"/>
          <w:noProof/>
        </w:rPr>
        <w:t>000. This improves legal clarity for reporting entities and ensures that reporting obligations are triggered primarily by economically meaningful levels of activity. The option also improves the targeting of reporting obligations by excluding low-value sellers whose transactions are unlikely to generate tax relevant income.</w:t>
      </w:r>
      <w:r w:rsidR="7480BB44" w:rsidRPr="4321A1A3">
        <w:rPr>
          <w:rFonts w:eastAsia="Times New Roman"/>
          <w:noProof/>
        </w:rPr>
        <w:t xml:space="preserve"> </w:t>
      </w:r>
      <w:r w:rsidR="5EDFA390" w:rsidRPr="4321A1A3">
        <w:rPr>
          <w:rFonts w:eastAsia="Times New Roman"/>
          <w:b/>
          <w:bCs/>
          <w:noProof/>
        </w:rPr>
        <w:t xml:space="preserve">Policy Option </w:t>
      </w:r>
      <w:r w:rsidR="226FC29A" w:rsidRPr="4321A1A3">
        <w:rPr>
          <w:rFonts w:eastAsia="Times New Roman"/>
          <w:b/>
          <w:bCs/>
          <w:noProof/>
        </w:rPr>
        <w:t>2</w:t>
      </w:r>
      <w:r w:rsidR="5EDFA390" w:rsidRPr="4321A1A3">
        <w:rPr>
          <w:rFonts w:eastAsia="Times New Roman"/>
          <w:b/>
          <w:bCs/>
          <w:noProof/>
        </w:rPr>
        <w:t>c</w:t>
      </w:r>
      <w:r w:rsidR="5EDFA390" w:rsidRPr="4321A1A3">
        <w:rPr>
          <w:rFonts w:eastAsia="Times New Roman"/>
          <w:noProof/>
        </w:rPr>
        <w:t xml:space="preserve"> would reduce reporting volumes </w:t>
      </w:r>
      <w:r w:rsidR="3FC02ED1" w:rsidRPr="4321A1A3">
        <w:rPr>
          <w:rFonts w:eastAsia="Times New Roman"/>
          <w:noProof/>
        </w:rPr>
        <w:t xml:space="preserve">even </w:t>
      </w:r>
      <w:r w:rsidR="5EDFA390" w:rsidRPr="4321A1A3">
        <w:rPr>
          <w:rFonts w:eastAsia="Times New Roman"/>
          <w:noProof/>
        </w:rPr>
        <w:t>further by increasing the monetary threshold to EUR 5</w:t>
      </w:r>
      <w:r w:rsidR="60446774" w:rsidRPr="4321A1A3">
        <w:rPr>
          <w:rFonts w:eastAsia="Times New Roman"/>
          <w:b/>
          <w:bCs/>
          <w:noProof/>
        </w:rPr>
        <w:t>,</w:t>
      </w:r>
      <w:r w:rsidR="5EDFA390" w:rsidRPr="4321A1A3">
        <w:rPr>
          <w:rFonts w:eastAsia="Times New Roman"/>
          <w:noProof/>
        </w:rPr>
        <w:t xml:space="preserve">000. However, this option </w:t>
      </w:r>
      <w:r w:rsidR="67F18B0A" w:rsidRPr="4321A1A3">
        <w:rPr>
          <w:rFonts w:eastAsia="Times New Roman"/>
          <w:noProof/>
        </w:rPr>
        <w:t xml:space="preserve">would </w:t>
      </w:r>
      <w:r w:rsidR="5EDFA390" w:rsidRPr="4321A1A3">
        <w:rPr>
          <w:rFonts w:eastAsia="Times New Roman"/>
          <w:noProof/>
        </w:rPr>
        <w:t>also reduce the availability of tax relevant information and therefore performs less strongly in terms of effectiveness</w:t>
      </w:r>
      <w:r w:rsidR="291C27C3" w:rsidRPr="4321A1A3">
        <w:rPr>
          <w:rFonts w:eastAsia="Times New Roman"/>
          <w:noProof/>
        </w:rPr>
        <w:t xml:space="preserve"> </w:t>
      </w:r>
      <w:r w:rsidR="1CA5B307" w:rsidRPr="4321A1A3">
        <w:rPr>
          <w:rFonts w:eastAsia="Times New Roman"/>
          <w:noProof/>
        </w:rPr>
        <w:t xml:space="preserve">as it </w:t>
      </w:r>
      <w:r w:rsidR="0BE93DBD" w:rsidRPr="4321A1A3">
        <w:rPr>
          <w:rFonts w:eastAsia="Times New Roman"/>
          <w:noProof/>
        </w:rPr>
        <w:t xml:space="preserve">may </w:t>
      </w:r>
      <w:r w:rsidR="1CA5B307" w:rsidRPr="4321A1A3">
        <w:rPr>
          <w:rFonts w:eastAsia="Times New Roman"/>
          <w:noProof/>
        </w:rPr>
        <w:t xml:space="preserve">negatively impact on preserving the policy objectives. </w:t>
      </w:r>
    </w:p>
    <w:p w14:paraId="72D4BDCE" w14:textId="77777777" w:rsidR="00E306CE" w:rsidRDefault="00E306CE" w:rsidP="4321A1A3">
      <w:pPr>
        <w:spacing w:after="0" w:line="257" w:lineRule="auto"/>
        <w:rPr>
          <w:rFonts w:eastAsia="Times New Roman"/>
          <w:b/>
          <w:bCs/>
          <w:noProof/>
          <w:sz w:val="20"/>
          <w:szCs w:val="20"/>
          <w:u w:val="single"/>
        </w:rPr>
      </w:pPr>
    </w:p>
    <w:p w14:paraId="36B08044" w14:textId="1018379C" w:rsidR="006B087E" w:rsidRDefault="5EDFA390" w:rsidP="4321A1A3">
      <w:pPr>
        <w:spacing w:after="0" w:line="257" w:lineRule="auto"/>
        <w:rPr>
          <w:rFonts w:eastAsia="Times New Roman"/>
          <w:b/>
          <w:bCs/>
          <w:noProof/>
          <w:sz w:val="20"/>
          <w:szCs w:val="20"/>
          <w:u w:val="single"/>
        </w:rPr>
      </w:pPr>
      <w:r w:rsidRPr="00D7088D">
        <w:rPr>
          <w:rFonts w:eastAsia="Times New Roman"/>
          <w:b/>
          <w:bCs/>
          <w:noProof/>
          <w:sz w:val="20"/>
          <w:szCs w:val="20"/>
          <w:u w:val="single"/>
        </w:rPr>
        <w:t>Efficiency</w:t>
      </w:r>
    </w:p>
    <w:p w14:paraId="34CFC8AE" w14:textId="77777777" w:rsidR="00D6565B" w:rsidRPr="00D7088D" w:rsidRDefault="00D6565B" w:rsidP="4321A1A3">
      <w:pPr>
        <w:spacing w:after="0" w:line="257" w:lineRule="auto"/>
        <w:rPr>
          <w:noProof/>
          <w:sz w:val="20"/>
          <w:szCs w:val="20"/>
          <w:u w:val="single"/>
        </w:rPr>
      </w:pPr>
    </w:p>
    <w:tbl>
      <w:tblPr>
        <w:tblW w:w="877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550"/>
        <w:gridCol w:w="1440"/>
        <w:gridCol w:w="1185"/>
        <w:gridCol w:w="1290"/>
        <w:gridCol w:w="1305"/>
      </w:tblGrid>
      <w:tr w:rsidR="3A123E5D" w14:paraId="0D1E9010" w14:textId="77777777" w:rsidTr="4321A1A3">
        <w:trPr>
          <w:trHeight w:val="300"/>
        </w:trPr>
        <w:tc>
          <w:tcPr>
            <w:tcW w:w="35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DEDF874" w14:textId="037737F3" w:rsidR="3A123E5D" w:rsidRDefault="3A123E5D" w:rsidP="4321A1A3">
            <w:pPr>
              <w:spacing w:after="0" w:line="257" w:lineRule="auto"/>
              <w:rPr>
                <w:rFonts w:eastAsia="Times New Roman"/>
                <w:b/>
                <w:bCs/>
                <w:noProof/>
                <w:sz w:val="20"/>
                <w:szCs w:val="20"/>
              </w:rPr>
            </w:pPr>
          </w:p>
        </w:tc>
        <w:tc>
          <w:tcPr>
            <w:tcW w:w="14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8428966" w14:textId="198C7C5F" w:rsidR="694ADF79" w:rsidRDefault="48D7A881" w:rsidP="4321A1A3">
            <w:pPr>
              <w:spacing w:after="0" w:line="257" w:lineRule="auto"/>
              <w:rPr>
                <w:rFonts w:eastAsia="Times New Roman"/>
                <w:b/>
                <w:bCs/>
                <w:noProof/>
                <w:sz w:val="20"/>
                <w:szCs w:val="20"/>
              </w:rPr>
            </w:pPr>
            <w:r w:rsidRPr="4321A1A3">
              <w:rPr>
                <w:rFonts w:eastAsia="Times New Roman"/>
                <w:b/>
                <w:bCs/>
                <w:noProof/>
                <w:sz w:val="20"/>
                <w:szCs w:val="20"/>
              </w:rPr>
              <w:t>Baseline</w:t>
            </w:r>
          </w:p>
        </w:tc>
        <w:tc>
          <w:tcPr>
            <w:tcW w:w="11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C4CF35" w14:textId="70214CBE" w:rsidR="3A123E5D" w:rsidRPr="00AF6A5E" w:rsidRDefault="4611511C" w:rsidP="4321A1A3">
            <w:pPr>
              <w:spacing w:after="0" w:line="257" w:lineRule="auto"/>
              <w:rPr>
                <w:rFonts w:eastAsia="Times New Roman"/>
                <w:b/>
                <w:bCs/>
                <w:noProof/>
                <w:sz w:val="20"/>
                <w:szCs w:val="20"/>
              </w:rPr>
            </w:pPr>
            <w:r w:rsidRPr="4321A1A3">
              <w:rPr>
                <w:rFonts w:eastAsia="Times New Roman"/>
                <w:b/>
                <w:bCs/>
                <w:noProof/>
                <w:sz w:val="20"/>
                <w:szCs w:val="20"/>
              </w:rPr>
              <w:t>PO</w:t>
            </w:r>
            <w:r w:rsidR="00B02E69">
              <w:rPr>
                <w:rFonts w:eastAsia="Times New Roman"/>
                <w:b/>
                <w:bCs/>
                <w:noProof/>
                <w:sz w:val="20"/>
                <w:szCs w:val="20"/>
              </w:rPr>
              <w:t>2</w:t>
            </w:r>
            <w:r w:rsidRPr="4321A1A3">
              <w:rPr>
                <w:rFonts w:eastAsia="Times New Roman"/>
                <w:b/>
                <w:bCs/>
                <w:noProof/>
                <w:sz w:val="20"/>
                <w:szCs w:val="20"/>
              </w:rPr>
              <w:t>a</w:t>
            </w:r>
          </w:p>
        </w:tc>
        <w:tc>
          <w:tcPr>
            <w:tcW w:w="12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4CBB7FD" w14:textId="738B4D54" w:rsidR="3A123E5D" w:rsidRPr="00AF6A5E" w:rsidRDefault="4611511C" w:rsidP="4321A1A3">
            <w:pPr>
              <w:spacing w:after="0" w:line="257" w:lineRule="auto"/>
              <w:rPr>
                <w:rFonts w:eastAsia="Times New Roman"/>
                <w:b/>
                <w:bCs/>
                <w:noProof/>
                <w:sz w:val="20"/>
                <w:szCs w:val="20"/>
              </w:rPr>
            </w:pPr>
            <w:r w:rsidRPr="4321A1A3">
              <w:rPr>
                <w:rFonts w:eastAsia="Times New Roman"/>
                <w:b/>
                <w:bCs/>
                <w:noProof/>
                <w:sz w:val="20"/>
                <w:szCs w:val="20"/>
              </w:rPr>
              <w:t>PO</w:t>
            </w:r>
            <w:r w:rsidR="00B02E69">
              <w:rPr>
                <w:rFonts w:eastAsia="Times New Roman"/>
                <w:b/>
                <w:bCs/>
                <w:noProof/>
                <w:sz w:val="20"/>
                <w:szCs w:val="20"/>
              </w:rPr>
              <w:t>2</w:t>
            </w:r>
            <w:r w:rsidRPr="4321A1A3">
              <w:rPr>
                <w:rFonts w:eastAsia="Times New Roman"/>
                <w:b/>
                <w:bCs/>
                <w:noProof/>
                <w:sz w:val="20"/>
                <w:szCs w:val="20"/>
              </w:rPr>
              <w:t>b</w:t>
            </w:r>
          </w:p>
        </w:tc>
        <w:tc>
          <w:tcPr>
            <w:tcW w:w="13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7185AD3" w14:textId="440CEADD" w:rsidR="3A123E5D" w:rsidRPr="00AF6A5E" w:rsidRDefault="4611511C" w:rsidP="4321A1A3">
            <w:pPr>
              <w:spacing w:after="0" w:line="257" w:lineRule="auto"/>
              <w:rPr>
                <w:rFonts w:eastAsia="Times New Roman"/>
                <w:b/>
                <w:bCs/>
                <w:noProof/>
                <w:sz w:val="20"/>
                <w:szCs w:val="20"/>
              </w:rPr>
            </w:pPr>
            <w:r w:rsidRPr="4321A1A3">
              <w:rPr>
                <w:rFonts w:eastAsia="Times New Roman"/>
                <w:b/>
                <w:bCs/>
                <w:noProof/>
                <w:sz w:val="20"/>
                <w:szCs w:val="20"/>
              </w:rPr>
              <w:t>PO</w:t>
            </w:r>
            <w:r w:rsidR="00B02E69">
              <w:rPr>
                <w:rFonts w:eastAsia="Times New Roman"/>
                <w:b/>
                <w:bCs/>
                <w:noProof/>
                <w:sz w:val="20"/>
                <w:szCs w:val="20"/>
              </w:rPr>
              <w:t>2</w:t>
            </w:r>
            <w:r w:rsidRPr="4321A1A3">
              <w:rPr>
                <w:rFonts w:eastAsia="Times New Roman"/>
                <w:b/>
                <w:bCs/>
                <w:noProof/>
                <w:sz w:val="20"/>
                <w:szCs w:val="20"/>
              </w:rPr>
              <w:t>c</w:t>
            </w:r>
          </w:p>
        </w:tc>
      </w:tr>
      <w:tr w:rsidR="3A123E5D" w14:paraId="39AF144E" w14:textId="77777777" w:rsidTr="4321A1A3">
        <w:trPr>
          <w:trHeight w:val="300"/>
        </w:trPr>
        <w:tc>
          <w:tcPr>
            <w:tcW w:w="35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5310C9C" w14:textId="093FC64F" w:rsidR="3A123E5D" w:rsidRPr="00AF6A5E" w:rsidRDefault="4611511C" w:rsidP="4321A1A3">
            <w:pPr>
              <w:spacing w:after="0" w:line="257" w:lineRule="auto"/>
              <w:jc w:val="left"/>
              <w:rPr>
                <w:rFonts w:eastAsia="Times New Roman"/>
                <w:b/>
                <w:bCs/>
                <w:noProof/>
                <w:sz w:val="20"/>
                <w:szCs w:val="20"/>
              </w:rPr>
            </w:pPr>
            <w:r w:rsidRPr="4321A1A3">
              <w:rPr>
                <w:rFonts w:eastAsia="Times New Roman"/>
                <w:b/>
                <w:bCs/>
                <w:noProof/>
                <w:sz w:val="20"/>
                <w:szCs w:val="20"/>
              </w:rPr>
              <w:t>Companies (platform operators)</w:t>
            </w:r>
          </w:p>
        </w:tc>
        <w:tc>
          <w:tcPr>
            <w:tcW w:w="14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582BB71" w14:textId="2E89CB39" w:rsidR="694ADF79" w:rsidRDefault="694ADF79" w:rsidP="4321A1A3">
            <w:pPr>
              <w:spacing w:after="0"/>
              <w:jc w:val="left"/>
              <w:rPr>
                <w:noProof/>
                <w:sz w:val="20"/>
                <w:szCs w:val="20"/>
              </w:rPr>
            </w:pPr>
          </w:p>
        </w:tc>
        <w:tc>
          <w:tcPr>
            <w:tcW w:w="11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CEB0863" w14:textId="49C03648" w:rsidR="3A123E5D" w:rsidRDefault="3A123E5D" w:rsidP="4321A1A3">
            <w:pPr>
              <w:spacing w:after="0"/>
              <w:jc w:val="left"/>
              <w:rPr>
                <w:noProof/>
                <w:sz w:val="20"/>
                <w:szCs w:val="20"/>
              </w:rPr>
            </w:pPr>
          </w:p>
        </w:tc>
        <w:tc>
          <w:tcPr>
            <w:tcW w:w="12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CF91027" w14:textId="4CB92505" w:rsidR="3A123E5D" w:rsidRDefault="3A123E5D" w:rsidP="4321A1A3">
            <w:pPr>
              <w:spacing w:after="0"/>
              <w:jc w:val="left"/>
              <w:rPr>
                <w:noProof/>
                <w:sz w:val="20"/>
                <w:szCs w:val="20"/>
              </w:rPr>
            </w:pPr>
          </w:p>
        </w:tc>
        <w:tc>
          <w:tcPr>
            <w:tcW w:w="13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C2049DA" w14:textId="1CE9E7F3" w:rsidR="3A123E5D" w:rsidRDefault="3A123E5D" w:rsidP="4321A1A3">
            <w:pPr>
              <w:spacing w:after="0"/>
              <w:jc w:val="left"/>
              <w:rPr>
                <w:noProof/>
                <w:sz w:val="20"/>
                <w:szCs w:val="20"/>
              </w:rPr>
            </w:pPr>
          </w:p>
        </w:tc>
      </w:tr>
      <w:tr w:rsidR="3A123E5D" w14:paraId="356B358F" w14:textId="77777777" w:rsidTr="4321A1A3">
        <w:trPr>
          <w:trHeight w:val="300"/>
        </w:trPr>
        <w:tc>
          <w:tcPr>
            <w:tcW w:w="35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7355962" w14:textId="12C55F9A" w:rsidR="3A123E5D" w:rsidRDefault="04150364" w:rsidP="4321A1A3">
            <w:pPr>
              <w:spacing w:after="0" w:line="257" w:lineRule="auto"/>
              <w:jc w:val="left"/>
              <w:rPr>
                <w:rFonts w:eastAsia="Times New Roman"/>
                <w:noProof/>
                <w:sz w:val="20"/>
                <w:szCs w:val="20"/>
              </w:rPr>
            </w:pPr>
            <w:r w:rsidRPr="4321A1A3">
              <w:rPr>
                <w:rFonts w:eastAsia="Times New Roman"/>
                <w:noProof/>
                <w:sz w:val="20"/>
                <w:szCs w:val="20"/>
              </w:rPr>
              <w:t>Administrative cost</w:t>
            </w:r>
          </w:p>
        </w:tc>
        <w:tc>
          <w:tcPr>
            <w:tcW w:w="14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358C8D6" w14:textId="42D287E2" w:rsidR="694ADF79" w:rsidRDefault="79EB40EA"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C1DC4A5" w14:textId="54133211" w:rsidR="3A123E5D" w:rsidRDefault="00D6565B" w:rsidP="4321A1A3">
            <w:pPr>
              <w:spacing w:after="0" w:line="257" w:lineRule="auto"/>
              <w:jc w:val="center"/>
              <w:rPr>
                <w:rFonts w:eastAsia="Times New Roman"/>
                <w:noProof/>
                <w:sz w:val="20"/>
                <w:szCs w:val="20"/>
              </w:rPr>
            </w:pPr>
            <w:r>
              <w:rPr>
                <w:rFonts w:eastAsia="Times New Roman"/>
                <w:noProof/>
                <w:sz w:val="20"/>
                <w:szCs w:val="20"/>
              </w:rPr>
              <w:t>-</w:t>
            </w:r>
          </w:p>
        </w:tc>
        <w:tc>
          <w:tcPr>
            <w:tcW w:w="12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D3C35E3" w14:textId="2DFBA0F4" w:rsidR="3A123E5D" w:rsidRDefault="00D6565B" w:rsidP="4321A1A3">
            <w:pPr>
              <w:spacing w:after="0" w:line="257" w:lineRule="auto"/>
              <w:jc w:val="center"/>
              <w:rPr>
                <w:rFonts w:eastAsia="Times New Roman"/>
                <w:noProof/>
                <w:sz w:val="20"/>
                <w:szCs w:val="20"/>
              </w:rPr>
            </w:pPr>
            <w:r>
              <w:rPr>
                <w:rFonts w:eastAsia="Times New Roman"/>
                <w:noProof/>
                <w:sz w:val="20"/>
                <w:szCs w:val="20"/>
              </w:rPr>
              <w:t>--</w:t>
            </w:r>
          </w:p>
        </w:tc>
        <w:tc>
          <w:tcPr>
            <w:tcW w:w="13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62B407D" w14:textId="47813DFC" w:rsidR="3A123E5D" w:rsidRDefault="00D6565B" w:rsidP="4321A1A3">
            <w:pPr>
              <w:spacing w:after="0" w:line="257" w:lineRule="auto"/>
              <w:jc w:val="center"/>
              <w:rPr>
                <w:noProof/>
                <w:sz w:val="20"/>
                <w:szCs w:val="20"/>
              </w:rPr>
            </w:pPr>
            <w:r>
              <w:rPr>
                <w:noProof/>
                <w:sz w:val="20"/>
                <w:szCs w:val="20"/>
              </w:rPr>
              <w:t>---</w:t>
            </w:r>
          </w:p>
        </w:tc>
      </w:tr>
      <w:tr w:rsidR="3A123E5D" w14:paraId="57BF8E38" w14:textId="77777777" w:rsidTr="4321A1A3">
        <w:trPr>
          <w:trHeight w:val="300"/>
        </w:trPr>
        <w:tc>
          <w:tcPr>
            <w:tcW w:w="35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44DC47A" w14:textId="4E621A90" w:rsidR="3A123E5D" w:rsidRDefault="354D23B5" w:rsidP="4321A1A3">
            <w:pPr>
              <w:spacing w:after="0" w:line="257" w:lineRule="auto"/>
              <w:jc w:val="left"/>
              <w:rPr>
                <w:rFonts w:eastAsia="Times New Roman"/>
                <w:noProof/>
                <w:sz w:val="20"/>
                <w:szCs w:val="20"/>
              </w:rPr>
            </w:pPr>
            <w:r w:rsidRPr="4321A1A3">
              <w:rPr>
                <w:rFonts w:eastAsia="Times New Roman"/>
                <w:noProof/>
                <w:sz w:val="20"/>
                <w:szCs w:val="20"/>
              </w:rPr>
              <w:t>One-off implementation and adjustment costs</w:t>
            </w:r>
          </w:p>
        </w:tc>
        <w:tc>
          <w:tcPr>
            <w:tcW w:w="14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A834883" w14:textId="1739E122" w:rsidR="694ADF79" w:rsidRDefault="77FE16B5"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E3714EA" w14:textId="100124A4" w:rsidR="3A123E5D" w:rsidRPr="00AF6A5E" w:rsidRDefault="0BE93DBD" w:rsidP="4321A1A3">
            <w:pPr>
              <w:spacing w:after="0" w:line="257" w:lineRule="auto"/>
              <w:jc w:val="center"/>
              <w:rPr>
                <w:rFonts w:eastAsia="Times New Roman"/>
                <w:noProof/>
                <w:sz w:val="20"/>
                <w:szCs w:val="20"/>
              </w:rPr>
            </w:pPr>
            <w:r w:rsidRPr="4321A1A3">
              <w:rPr>
                <w:rFonts w:eastAsia="Times New Roman"/>
                <w:noProof/>
                <w:sz w:val="20"/>
                <w:szCs w:val="20"/>
              </w:rPr>
              <w:t>0/</w:t>
            </w:r>
            <w:r w:rsidR="00D6565B">
              <w:rPr>
                <w:rFonts w:eastAsia="Times New Roman"/>
                <w:noProof/>
                <w:sz w:val="20"/>
                <w:szCs w:val="20"/>
              </w:rPr>
              <w:t>+</w:t>
            </w:r>
          </w:p>
        </w:tc>
        <w:tc>
          <w:tcPr>
            <w:tcW w:w="12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70F32DB" w14:textId="47321C03" w:rsidR="3A123E5D" w:rsidRDefault="0BE93DBD" w:rsidP="4321A1A3">
            <w:pPr>
              <w:spacing w:after="0" w:line="257" w:lineRule="auto"/>
              <w:jc w:val="center"/>
              <w:rPr>
                <w:rFonts w:eastAsia="Times New Roman"/>
                <w:noProof/>
                <w:sz w:val="20"/>
                <w:szCs w:val="20"/>
              </w:rPr>
            </w:pPr>
            <w:r w:rsidRPr="4321A1A3">
              <w:rPr>
                <w:rFonts w:eastAsia="Times New Roman"/>
                <w:noProof/>
                <w:sz w:val="20"/>
                <w:szCs w:val="20"/>
              </w:rPr>
              <w:t>0/</w:t>
            </w:r>
            <w:r w:rsidR="00D6565B">
              <w:rPr>
                <w:rFonts w:eastAsia="Times New Roman"/>
                <w:noProof/>
                <w:sz w:val="20"/>
                <w:szCs w:val="20"/>
              </w:rPr>
              <w:t>+</w:t>
            </w:r>
          </w:p>
        </w:tc>
        <w:tc>
          <w:tcPr>
            <w:tcW w:w="13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AB66710" w14:textId="32EF0183" w:rsidR="3A123E5D" w:rsidRDefault="0BE93DBD" w:rsidP="4321A1A3">
            <w:pPr>
              <w:spacing w:after="0" w:line="257" w:lineRule="auto"/>
              <w:jc w:val="center"/>
              <w:rPr>
                <w:noProof/>
                <w:sz w:val="20"/>
                <w:szCs w:val="20"/>
              </w:rPr>
            </w:pPr>
            <w:r w:rsidRPr="4321A1A3">
              <w:rPr>
                <w:noProof/>
                <w:sz w:val="20"/>
                <w:szCs w:val="20"/>
              </w:rPr>
              <w:t>0/</w:t>
            </w:r>
            <w:r w:rsidR="00D6565B">
              <w:rPr>
                <w:noProof/>
                <w:sz w:val="20"/>
                <w:szCs w:val="20"/>
              </w:rPr>
              <w:t>+</w:t>
            </w:r>
          </w:p>
        </w:tc>
      </w:tr>
      <w:tr w:rsidR="3A123E5D" w14:paraId="1B71F557" w14:textId="77777777" w:rsidTr="4321A1A3">
        <w:trPr>
          <w:trHeight w:val="300"/>
        </w:trPr>
        <w:tc>
          <w:tcPr>
            <w:tcW w:w="35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6B4E044" w14:textId="50874246" w:rsidR="3A123E5D" w:rsidRPr="00AF6A5E" w:rsidRDefault="4611511C" w:rsidP="4321A1A3">
            <w:pPr>
              <w:spacing w:after="0" w:line="257" w:lineRule="auto"/>
              <w:jc w:val="left"/>
              <w:rPr>
                <w:rFonts w:eastAsia="Times New Roman"/>
                <w:b/>
                <w:bCs/>
                <w:noProof/>
                <w:sz w:val="20"/>
                <w:szCs w:val="20"/>
              </w:rPr>
            </w:pPr>
            <w:r w:rsidRPr="4321A1A3">
              <w:rPr>
                <w:rFonts w:eastAsia="Times New Roman"/>
                <w:b/>
                <w:bCs/>
                <w:noProof/>
                <w:sz w:val="20"/>
                <w:szCs w:val="20"/>
              </w:rPr>
              <w:t>Public authorities</w:t>
            </w:r>
          </w:p>
        </w:tc>
        <w:tc>
          <w:tcPr>
            <w:tcW w:w="14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2D205A0" w14:textId="49BB364E" w:rsidR="694ADF79" w:rsidRDefault="694ADF79" w:rsidP="4321A1A3">
            <w:pPr>
              <w:spacing w:after="0"/>
              <w:jc w:val="center"/>
              <w:rPr>
                <w:noProof/>
                <w:sz w:val="20"/>
                <w:szCs w:val="20"/>
              </w:rPr>
            </w:pPr>
          </w:p>
        </w:tc>
        <w:tc>
          <w:tcPr>
            <w:tcW w:w="11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177E8F" w14:textId="59346304" w:rsidR="3A123E5D" w:rsidRDefault="3A123E5D" w:rsidP="4321A1A3">
            <w:pPr>
              <w:spacing w:after="0"/>
              <w:jc w:val="center"/>
              <w:rPr>
                <w:noProof/>
                <w:sz w:val="20"/>
                <w:szCs w:val="20"/>
              </w:rPr>
            </w:pPr>
          </w:p>
        </w:tc>
        <w:tc>
          <w:tcPr>
            <w:tcW w:w="12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D5EC59" w14:textId="6C19B7FD" w:rsidR="3A123E5D" w:rsidRDefault="3A123E5D" w:rsidP="4321A1A3">
            <w:pPr>
              <w:spacing w:after="0"/>
              <w:jc w:val="center"/>
              <w:rPr>
                <w:noProof/>
                <w:sz w:val="20"/>
                <w:szCs w:val="20"/>
              </w:rPr>
            </w:pPr>
          </w:p>
        </w:tc>
        <w:tc>
          <w:tcPr>
            <w:tcW w:w="13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BD920FF" w14:textId="292D8224" w:rsidR="3A123E5D" w:rsidRDefault="3A123E5D" w:rsidP="4321A1A3">
            <w:pPr>
              <w:spacing w:after="0"/>
              <w:jc w:val="center"/>
              <w:rPr>
                <w:noProof/>
                <w:sz w:val="20"/>
                <w:szCs w:val="20"/>
              </w:rPr>
            </w:pPr>
          </w:p>
        </w:tc>
      </w:tr>
      <w:tr w:rsidR="3A123E5D" w14:paraId="33F155F0" w14:textId="77777777" w:rsidTr="4321A1A3">
        <w:trPr>
          <w:trHeight w:val="300"/>
        </w:trPr>
        <w:tc>
          <w:tcPr>
            <w:tcW w:w="35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5A67A95" w14:textId="31472C5A" w:rsidR="3A123E5D" w:rsidRPr="00AF6A5E" w:rsidRDefault="4611511C" w:rsidP="4321A1A3">
            <w:pPr>
              <w:spacing w:after="0" w:line="257" w:lineRule="auto"/>
              <w:jc w:val="left"/>
              <w:rPr>
                <w:rFonts w:eastAsia="Times New Roman"/>
                <w:noProof/>
                <w:sz w:val="20"/>
                <w:szCs w:val="20"/>
              </w:rPr>
            </w:pPr>
            <w:r w:rsidRPr="4321A1A3">
              <w:rPr>
                <w:rFonts w:eastAsia="Times New Roman"/>
                <w:noProof/>
                <w:sz w:val="20"/>
                <w:szCs w:val="20"/>
              </w:rPr>
              <w:t>Administrative cost</w:t>
            </w:r>
          </w:p>
        </w:tc>
        <w:tc>
          <w:tcPr>
            <w:tcW w:w="14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6518554" w14:textId="16858997" w:rsidR="694ADF79" w:rsidRDefault="7C2A45B3" w:rsidP="4321A1A3">
            <w:pPr>
              <w:spacing w:after="0" w:line="257" w:lineRule="auto"/>
              <w:jc w:val="center"/>
              <w:rPr>
                <w:noProof/>
                <w:sz w:val="20"/>
                <w:szCs w:val="20"/>
              </w:rPr>
            </w:pPr>
            <w:r w:rsidRPr="4321A1A3">
              <w:rPr>
                <w:noProof/>
                <w:sz w:val="20"/>
                <w:szCs w:val="20"/>
              </w:rPr>
              <w:t>0</w:t>
            </w:r>
          </w:p>
        </w:tc>
        <w:tc>
          <w:tcPr>
            <w:tcW w:w="11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1AC0321" w14:textId="75CDA572" w:rsidR="3A123E5D" w:rsidRDefault="00D6565B" w:rsidP="4321A1A3">
            <w:pPr>
              <w:spacing w:after="0" w:line="257" w:lineRule="auto"/>
              <w:jc w:val="center"/>
              <w:rPr>
                <w:noProof/>
                <w:sz w:val="20"/>
                <w:szCs w:val="20"/>
              </w:rPr>
            </w:pPr>
            <w:r>
              <w:rPr>
                <w:noProof/>
                <w:sz w:val="20"/>
                <w:szCs w:val="20"/>
              </w:rPr>
              <w:t>-</w:t>
            </w:r>
          </w:p>
        </w:tc>
        <w:tc>
          <w:tcPr>
            <w:tcW w:w="12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6268F21" w14:textId="47B62DAD" w:rsidR="3A123E5D" w:rsidRDefault="00D6565B" w:rsidP="4321A1A3">
            <w:pPr>
              <w:spacing w:after="0" w:line="257" w:lineRule="auto"/>
              <w:jc w:val="center"/>
              <w:rPr>
                <w:rFonts w:eastAsia="Times New Roman"/>
                <w:noProof/>
                <w:sz w:val="20"/>
                <w:szCs w:val="20"/>
              </w:rPr>
            </w:pPr>
            <w:r>
              <w:rPr>
                <w:rFonts w:eastAsia="Times New Roman"/>
                <w:noProof/>
                <w:sz w:val="20"/>
                <w:szCs w:val="20"/>
              </w:rPr>
              <w:t>--</w:t>
            </w:r>
          </w:p>
        </w:tc>
        <w:tc>
          <w:tcPr>
            <w:tcW w:w="13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2447347" w14:textId="61B5DCEA" w:rsidR="3A123E5D" w:rsidRDefault="00D6565B" w:rsidP="4321A1A3">
            <w:pPr>
              <w:spacing w:after="0" w:line="257" w:lineRule="auto"/>
              <w:jc w:val="center"/>
              <w:rPr>
                <w:noProof/>
                <w:sz w:val="20"/>
                <w:szCs w:val="20"/>
              </w:rPr>
            </w:pPr>
            <w:r>
              <w:rPr>
                <w:noProof/>
                <w:sz w:val="20"/>
                <w:szCs w:val="20"/>
              </w:rPr>
              <w:t>--</w:t>
            </w:r>
          </w:p>
        </w:tc>
      </w:tr>
      <w:tr w:rsidR="3A123E5D" w14:paraId="46CFFCB3" w14:textId="77777777" w:rsidTr="4321A1A3">
        <w:trPr>
          <w:trHeight w:val="300"/>
        </w:trPr>
        <w:tc>
          <w:tcPr>
            <w:tcW w:w="35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E293FCF" w14:textId="73F2557B" w:rsidR="3A123E5D" w:rsidRDefault="42DC5E7C" w:rsidP="4321A1A3">
            <w:pPr>
              <w:spacing w:after="0" w:line="257" w:lineRule="auto"/>
              <w:jc w:val="left"/>
              <w:rPr>
                <w:rFonts w:eastAsia="Times New Roman"/>
                <w:noProof/>
                <w:sz w:val="20"/>
                <w:szCs w:val="20"/>
              </w:rPr>
            </w:pPr>
            <w:r w:rsidRPr="4321A1A3">
              <w:rPr>
                <w:rFonts w:eastAsia="Times New Roman"/>
                <w:noProof/>
                <w:sz w:val="20"/>
                <w:szCs w:val="20"/>
              </w:rPr>
              <w:t>One-off adjustment and implementation costs</w:t>
            </w:r>
          </w:p>
        </w:tc>
        <w:tc>
          <w:tcPr>
            <w:tcW w:w="14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1C2CCD9" w14:textId="118AC0FE" w:rsidR="694ADF79" w:rsidRDefault="2D18D337"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920DBC5" w14:textId="56A9406A" w:rsidR="3A123E5D" w:rsidRDefault="23DBD90D"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2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2D3D3BC" w14:textId="633CD9CF" w:rsidR="3A123E5D" w:rsidRPr="00AF6A5E" w:rsidRDefault="23DBD90D"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30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8376EA9" w14:textId="0A7879F5" w:rsidR="3A123E5D" w:rsidRPr="00AF6A5E" w:rsidRDefault="23DBD90D" w:rsidP="4321A1A3">
            <w:pPr>
              <w:spacing w:after="0" w:line="257" w:lineRule="auto"/>
              <w:jc w:val="center"/>
              <w:rPr>
                <w:rFonts w:eastAsia="Times New Roman"/>
                <w:noProof/>
                <w:sz w:val="20"/>
                <w:szCs w:val="20"/>
              </w:rPr>
            </w:pPr>
            <w:r w:rsidRPr="4321A1A3">
              <w:rPr>
                <w:rFonts w:eastAsia="Times New Roman"/>
                <w:noProof/>
                <w:sz w:val="20"/>
                <w:szCs w:val="20"/>
              </w:rPr>
              <w:t>0</w:t>
            </w:r>
          </w:p>
        </w:tc>
      </w:tr>
    </w:tbl>
    <w:p w14:paraId="54F5D3E2" w14:textId="04FB0DF7" w:rsidR="006B087E" w:rsidRPr="00F92EAE" w:rsidRDefault="2F1B81CD" w:rsidP="58486E0A">
      <w:pPr>
        <w:spacing w:before="240"/>
        <w:rPr>
          <w:rFonts w:eastAsia="Times New Roman"/>
          <w:noProof/>
        </w:rPr>
      </w:pPr>
      <w:r w:rsidRPr="4321A1A3">
        <w:rPr>
          <w:rFonts w:eastAsia="Times New Roman"/>
          <w:noProof/>
        </w:rPr>
        <w:t>All options generate efficiency gains by reducing reporting obligations for digital platform operators.</w:t>
      </w:r>
      <w:r w:rsidR="3FDB58F1" w:rsidRPr="4321A1A3">
        <w:rPr>
          <w:rFonts w:eastAsia="Times New Roman"/>
          <w:noProof/>
        </w:rPr>
        <w:t xml:space="preserve"> </w:t>
      </w:r>
      <w:r w:rsidR="54B08000" w:rsidRPr="4321A1A3">
        <w:rPr>
          <w:rFonts w:eastAsia="Times New Roman"/>
          <w:b/>
          <w:bCs/>
          <w:noProof/>
        </w:rPr>
        <w:t>PO2a</w:t>
      </w:r>
      <w:r w:rsidR="54B08000" w:rsidRPr="4321A1A3">
        <w:rPr>
          <w:rFonts w:eastAsia="Times New Roman"/>
          <w:noProof/>
        </w:rPr>
        <w:t xml:space="preserve"> would reduce the </w:t>
      </w:r>
      <w:r w:rsidR="00AF6A5E" w:rsidRPr="4321A1A3">
        <w:rPr>
          <w:rFonts w:eastAsia="Times New Roman"/>
          <w:noProof/>
        </w:rPr>
        <w:t xml:space="preserve">administrative </w:t>
      </w:r>
      <w:r w:rsidR="00D7088D" w:rsidRPr="4321A1A3">
        <w:rPr>
          <w:rFonts w:eastAsia="Times New Roman"/>
          <w:noProof/>
        </w:rPr>
        <w:t>costs for</w:t>
      </w:r>
      <w:r w:rsidR="54B08000" w:rsidRPr="4321A1A3">
        <w:rPr>
          <w:rFonts w:eastAsia="Times New Roman"/>
          <w:noProof/>
        </w:rPr>
        <w:t xml:space="preserve"> platforms related to reports linked to sellers carrying out a high number of low-value transactions, as reporting obligations would be triggered solely by the EUR 2</w:t>
      </w:r>
      <w:r w:rsidR="23D89CFC" w:rsidRPr="4321A1A3">
        <w:rPr>
          <w:rFonts w:eastAsia="Times New Roman"/>
          <w:noProof/>
        </w:rPr>
        <w:t>,</w:t>
      </w:r>
      <w:r w:rsidR="54B08000" w:rsidRPr="4321A1A3">
        <w:rPr>
          <w:rFonts w:eastAsia="Times New Roman"/>
          <w:noProof/>
        </w:rPr>
        <w:t xml:space="preserve">000 monetary threshold. </w:t>
      </w:r>
      <w:r w:rsidR="54B08000" w:rsidRPr="4321A1A3">
        <w:rPr>
          <w:rFonts w:eastAsia="Times New Roman"/>
          <w:b/>
          <w:bCs/>
          <w:noProof/>
        </w:rPr>
        <w:t>PO2b</w:t>
      </w:r>
      <w:r w:rsidR="54B08000" w:rsidRPr="4321A1A3">
        <w:rPr>
          <w:rFonts w:eastAsia="Times New Roman"/>
          <w:noProof/>
        </w:rPr>
        <w:t xml:space="preserve"> would further reduce </w:t>
      </w:r>
      <w:r w:rsidR="00AF6A5E" w:rsidRPr="4321A1A3">
        <w:rPr>
          <w:rFonts w:eastAsia="Times New Roman"/>
          <w:noProof/>
        </w:rPr>
        <w:t>administrative costs</w:t>
      </w:r>
      <w:r w:rsidR="54B08000" w:rsidRPr="4321A1A3">
        <w:rPr>
          <w:rFonts w:eastAsia="Times New Roman"/>
          <w:noProof/>
        </w:rPr>
        <w:t xml:space="preserve"> for platforms by increasing the standalone monetary threshold to EUR 3</w:t>
      </w:r>
      <w:r w:rsidR="606B8F47" w:rsidRPr="4321A1A3">
        <w:rPr>
          <w:rFonts w:eastAsia="Times New Roman"/>
          <w:noProof/>
        </w:rPr>
        <w:t>,</w:t>
      </w:r>
      <w:r w:rsidR="54B08000" w:rsidRPr="4321A1A3">
        <w:rPr>
          <w:rFonts w:eastAsia="Times New Roman"/>
          <w:noProof/>
        </w:rPr>
        <w:t xml:space="preserve">000 whilst continuing to ensure reporting on economically relevant activity. </w:t>
      </w:r>
      <w:r w:rsidR="54B08000" w:rsidRPr="4321A1A3">
        <w:rPr>
          <w:rFonts w:eastAsia="Times New Roman"/>
          <w:b/>
          <w:bCs/>
          <w:noProof/>
        </w:rPr>
        <w:t>PO2</w:t>
      </w:r>
      <w:r w:rsidR="3C089E43" w:rsidRPr="4321A1A3">
        <w:rPr>
          <w:rFonts w:eastAsia="Times New Roman"/>
          <w:b/>
          <w:bCs/>
          <w:noProof/>
        </w:rPr>
        <w:t>c</w:t>
      </w:r>
      <w:r w:rsidR="54B08000" w:rsidRPr="4321A1A3">
        <w:rPr>
          <w:rFonts w:eastAsia="Times New Roman"/>
          <w:b/>
          <w:bCs/>
          <w:noProof/>
        </w:rPr>
        <w:t xml:space="preserve"> </w:t>
      </w:r>
      <w:r w:rsidR="54B08000" w:rsidRPr="4321A1A3">
        <w:rPr>
          <w:rFonts w:eastAsia="Times New Roman"/>
          <w:noProof/>
        </w:rPr>
        <w:t xml:space="preserve">would result in the highest reduction of </w:t>
      </w:r>
      <w:r w:rsidR="47FEEB09" w:rsidRPr="4321A1A3">
        <w:rPr>
          <w:rFonts w:eastAsia="Times New Roman"/>
          <w:noProof/>
        </w:rPr>
        <w:t xml:space="preserve">administrative </w:t>
      </w:r>
      <w:r w:rsidR="54B08000" w:rsidRPr="4321A1A3">
        <w:rPr>
          <w:rFonts w:eastAsia="Times New Roman"/>
          <w:noProof/>
        </w:rPr>
        <w:t>costs for platforms as reporting volumes would significantly decrease due to the increase of the reporting threshold to EUR 5</w:t>
      </w:r>
      <w:r w:rsidR="12B3F537" w:rsidRPr="4321A1A3">
        <w:rPr>
          <w:rFonts w:eastAsia="Times New Roman"/>
          <w:noProof/>
        </w:rPr>
        <w:t>,</w:t>
      </w:r>
      <w:r w:rsidR="54B08000" w:rsidRPr="4321A1A3">
        <w:rPr>
          <w:rFonts w:eastAsia="Times New Roman"/>
          <w:noProof/>
        </w:rPr>
        <w:t xml:space="preserve">000. </w:t>
      </w:r>
      <w:r w:rsidR="4C8E5D3D" w:rsidRPr="4321A1A3">
        <w:rPr>
          <w:rFonts w:eastAsia="Times New Roman"/>
          <w:noProof/>
        </w:rPr>
        <w:t>However, there are expected to be one-</w:t>
      </w:r>
      <w:r w:rsidR="3C089E43" w:rsidRPr="4321A1A3">
        <w:rPr>
          <w:rFonts w:eastAsia="Times New Roman"/>
          <w:noProof/>
        </w:rPr>
        <w:t xml:space="preserve">off minor </w:t>
      </w:r>
      <w:r w:rsidR="4C8E5D3D" w:rsidRPr="4321A1A3">
        <w:rPr>
          <w:rFonts w:eastAsia="Times New Roman"/>
          <w:noProof/>
        </w:rPr>
        <w:t xml:space="preserve">implementation costs for companies due to the reconfiguration of reporting processes. </w:t>
      </w:r>
    </w:p>
    <w:p w14:paraId="4DA7D0C8" w14:textId="16C09FC9" w:rsidR="006B087E" w:rsidRPr="00F92EAE" w:rsidRDefault="49E75C20" w:rsidP="3A123E5D">
      <w:pPr>
        <w:spacing w:before="240"/>
        <w:rPr>
          <w:rFonts w:eastAsia="Times New Roman"/>
          <w:noProof/>
        </w:rPr>
      </w:pPr>
      <w:r w:rsidRPr="58486E0A">
        <w:rPr>
          <w:rFonts w:eastAsia="Times New Roman"/>
          <w:noProof/>
        </w:rPr>
        <w:t xml:space="preserve">Similarly, </w:t>
      </w:r>
      <w:r w:rsidR="4974B8ED" w:rsidRPr="58486E0A">
        <w:rPr>
          <w:rFonts w:eastAsia="Times New Roman"/>
          <w:noProof/>
        </w:rPr>
        <w:t>the</w:t>
      </w:r>
      <w:r w:rsidR="00AC5E45">
        <w:rPr>
          <w:rFonts w:eastAsia="Times New Roman"/>
          <w:noProof/>
        </w:rPr>
        <w:t xml:space="preserve">re will be a reduction of </w:t>
      </w:r>
      <w:r w:rsidR="4974B8ED" w:rsidRPr="58486E0A">
        <w:rPr>
          <w:rFonts w:eastAsia="Times New Roman"/>
          <w:noProof/>
        </w:rPr>
        <w:t xml:space="preserve">administrative costs </w:t>
      </w:r>
      <w:r w:rsidR="00AC5E45">
        <w:rPr>
          <w:rFonts w:eastAsia="Times New Roman"/>
          <w:noProof/>
        </w:rPr>
        <w:t xml:space="preserve">for </w:t>
      </w:r>
      <w:r w:rsidR="4974B8ED" w:rsidRPr="58486E0A">
        <w:rPr>
          <w:rFonts w:eastAsia="Times New Roman"/>
          <w:noProof/>
        </w:rPr>
        <w:t xml:space="preserve">tax administrations </w:t>
      </w:r>
      <w:r w:rsidR="00AC5E45">
        <w:rPr>
          <w:rFonts w:eastAsia="Times New Roman"/>
          <w:noProof/>
        </w:rPr>
        <w:t xml:space="preserve">as they will be able to </w:t>
      </w:r>
      <w:r w:rsidR="4974B8ED" w:rsidRPr="58486E0A">
        <w:rPr>
          <w:rFonts w:eastAsia="Times New Roman"/>
          <w:noProof/>
        </w:rPr>
        <w:t xml:space="preserve">deploy resources </w:t>
      </w:r>
      <w:r w:rsidR="65BD4573" w:rsidRPr="58486E0A">
        <w:rPr>
          <w:rFonts w:eastAsia="Times New Roman"/>
          <w:noProof/>
        </w:rPr>
        <w:t xml:space="preserve">to areas that present a greater risk of tax fraud, evasion and avoidance. </w:t>
      </w:r>
      <w:r w:rsidR="08B5E0BE" w:rsidRPr="58486E0A">
        <w:rPr>
          <w:rFonts w:eastAsia="Times New Roman"/>
          <w:noProof/>
        </w:rPr>
        <w:t xml:space="preserve">However, as far as </w:t>
      </w:r>
      <w:r w:rsidR="65BD4573" w:rsidRPr="58486E0A">
        <w:rPr>
          <w:rFonts w:eastAsia="Times New Roman"/>
          <w:b/>
          <w:bCs/>
          <w:noProof/>
        </w:rPr>
        <w:t>PO</w:t>
      </w:r>
      <w:r w:rsidR="253E19AE" w:rsidRPr="58486E0A">
        <w:rPr>
          <w:rFonts w:eastAsia="Times New Roman"/>
          <w:b/>
          <w:bCs/>
          <w:noProof/>
        </w:rPr>
        <w:t>2</w:t>
      </w:r>
      <w:r w:rsidR="65BD4573" w:rsidRPr="58486E0A">
        <w:rPr>
          <w:rFonts w:eastAsia="Times New Roman"/>
          <w:b/>
          <w:bCs/>
          <w:noProof/>
        </w:rPr>
        <w:t>c</w:t>
      </w:r>
      <w:r w:rsidR="65BD4573" w:rsidRPr="58486E0A">
        <w:rPr>
          <w:rFonts w:eastAsia="Times New Roman"/>
          <w:noProof/>
        </w:rPr>
        <w:t xml:space="preserve"> </w:t>
      </w:r>
      <w:r w:rsidR="0361CA4E" w:rsidRPr="58486E0A">
        <w:rPr>
          <w:rFonts w:eastAsia="Times New Roman"/>
          <w:noProof/>
        </w:rPr>
        <w:t xml:space="preserve">is concerned, the savings are partially offset by the fact that </w:t>
      </w:r>
      <w:r w:rsidR="65BD4573" w:rsidRPr="58486E0A">
        <w:rPr>
          <w:rFonts w:eastAsia="Times New Roman"/>
          <w:noProof/>
        </w:rPr>
        <w:t xml:space="preserve">Member States </w:t>
      </w:r>
      <w:r w:rsidR="00AC5E45">
        <w:rPr>
          <w:rFonts w:eastAsia="Times New Roman"/>
          <w:noProof/>
        </w:rPr>
        <w:t xml:space="preserve">may </w:t>
      </w:r>
      <w:r w:rsidR="65BD4573" w:rsidRPr="58486E0A">
        <w:rPr>
          <w:rFonts w:eastAsia="Times New Roman"/>
          <w:noProof/>
        </w:rPr>
        <w:t xml:space="preserve">lose information </w:t>
      </w:r>
      <w:r w:rsidR="57E82C25" w:rsidRPr="58486E0A">
        <w:rPr>
          <w:rFonts w:eastAsia="Times New Roman"/>
          <w:noProof/>
        </w:rPr>
        <w:t>that is relevant for tax purposes</w:t>
      </w:r>
      <w:r w:rsidR="00AC5E45">
        <w:rPr>
          <w:rFonts w:eastAsia="Times New Roman"/>
          <w:noProof/>
        </w:rPr>
        <w:t xml:space="preserve"> and, therefore, may need to carry out additional compliance activities to effectively apply their tax rules</w:t>
      </w:r>
      <w:r w:rsidR="57E82C25" w:rsidRPr="58486E0A">
        <w:rPr>
          <w:rFonts w:eastAsia="Times New Roman"/>
          <w:noProof/>
        </w:rPr>
        <w:t xml:space="preserve">. There are expected to be no adjustment and implementation costs </w:t>
      </w:r>
      <w:r w:rsidR="00AC5E45">
        <w:rPr>
          <w:rFonts w:eastAsia="Times New Roman"/>
          <w:noProof/>
        </w:rPr>
        <w:t xml:space="preserve">for tax administrations </w:t>
      </w:r>
      <w:r w:rsidR="57E82C25" w:rsidRPr="58486E0A">
        <w:rPr>
          <w:rFonts w:eastAsia="Times New Roman"/>
          <w:noProof/>
        </w:rPr>
        <w:t xml:space="preserve">as every option removes reporting obligations thereby negating the need for IT adjustments. </w:t>
      </w:r>
    </w:p>
    <w:p w14:paraId="19A39ED3" w14:textId="70FEC4D3" w:rsidR="006B087E" w:rsidRPr="00F92EAE" w:rsidRDefault="7BC1C87D" w:rsidP="009A6A15">
      <w:pPr>
        <w:pStyle w:val="Heading2"/>
        <w:numPr>
          <w:ilvl w:val="0"/>
          <w:numId w:val="0"/>
        </w:numPr>
        <w:spacing w:after="160" w:line="257" w:lineRule="auto"/>
        <w:rPr>
          <w:noProof/>
        </w:rPr>
      </w:pPr>
      <w:bookmarkStart w:id="29" w:name="_Toc231816714"/>
      <w:r>
        <w:rPr>
          <w:noProof/>
        </w:rPr>
        <w:t xml:space="preserve">Measure </w:t>
      </w:r>
      <w:r w:rsidR="491C8370">
        <w:rPr>
          <w:noProof/>
        </w:rPr>
        <w:t>3</w:t>
      </w:r>
      <w:r w:rsidR="75187E6C">
        <w:rPr>
          <w:noProof/>
        </w:rPr>
        <w:t xml:space="preserve"> </w:t>
      </w:r>
      <w:r w:rsidR="7F7FD931">
        <w:rPr>
          <w:noProof/>
        </w:rPr>
        <w:t>–</w:t>
      </w:r>
      <w:r w:rsidR="75187E6C">
        <w:rPr>
          <w:noProof/>
        </w:rPr>
        <w:t xml:space="preserve"> </w:t>
      </w:r>
      <w:r w:rsidR="7F7FD931">
        <w:rPr>
          <w:noProof/>
        </w:rPr>
        <w:t xml:space="preserve">Streamlining </w:t>
      </w:r>
      <w:r w:rsidR="2ED1BEC9">
        <w:rPr>
          <w:noProof/>
        </w:rPr>
        <w:t xml:space="preserve">notification obligations </w:t>
      </w:r>
      <w:r w:rsidR="589A78EA">
        <w:rPr>
          <w:noProof/>
        </w:rPr>
        <w:t xml:space="preserve">for MNE group </w:t>
      </w:r>
      <w:r w:rsidR="2ED1BEC9">
        <w:rPr>
          <w:noProof/>
        </w:rPr>
        <w:t>under DAC4</w:t>
      </w:r>
      <w:r w:rsidR="0D6E0C20">
        <w:rPr>
          <w:noProof/>
        </w:rPr>
        <w:t xml:space="preserve"> and </w:t>
      </w:r>
      <w:r w:rsidR="00BE4A20">
        <w:rPr>
          <w:noProof/>
        </w:rPr>
        <w:t>DAC9</w:t>
      </w:r>
      <w:bookmarkEnd w:id="29"/>
    </w:p>
    <w:p w14:paraId="18EBA398" w14:textId="77777777" w:rsidR="00E306CE" w:rsidRDefault="62D5B5C7" w:rsidP="00E306CE">
      <w:pPr>
        <w:pStyle w:val="Text2"/>
        <w:ind w:left="0"/>
        <w:rPr>
          <w:noProof/>
          <w:sz w:val="20"/>
        </w:rPr>
      </w:pPr>
      <w:r w:rsidRPr="4321A1A3">
        <w:rPr>
          <w:b/>
          <w:bCs/>
          <w:noProof/>
          <w:sz w:val="20"/>
        </w:rPr>
        <w:t>PO</w:t>
      </w:r>
      <w:r w:rsidR="67CA6945" w:rsidRPr="4321A1A3">
        <w:rPr>
          <w:b/>
          <w:bCs/>
          <w:noProof/>
          <w:sz w:val="20"/>
        </w:rPr>
        <w:t>3</w:t>
      </w:r>
      <w:r w:rsidRPr="4321A1A3">
        <w:rPr>
          <w:b/>
          <w:bCs/>
          <w:noProof/>
          <w:sz w:val="20"/>
        </w:rPr>
        <w:t>a</w:t>
      </w:r>
      <w:r w:rsidR="5B378E53" w:rsidRPr="4321A1A3">
        <w:rPr>
          <w:b/>
          <w:bCs/>
          <w:noProof/>
          <w:sz w:val="20"/>
        </w:rPr>
        <w:t xml:space="preserve"> </w:t>
      </w:r>
      <w:r w:rsidR="5B378E53" w:rsidRPr="4321A1A3">
        <w:rPr>
          <w:noProof/>
          <w:sz w:val="20"/>
        </w:rPr>
        <w:t>i</w:t>
      </w:r>
      <w:r w:rsidRPr="4321A1A3">
        <w:rPr>
          <w:noProof/>
          <w:sz w:val="20"/>
        </w:rPr>
        <w:t xml:space="preserve">ntroduce a single notification </w:t>
      </w:r>
      <w:r w:rsidR="047CD074" w:rsidRPr="4321A1A3">
        <w:rPr>
          <w:noProof/>
          <w:sz w:val="20"/>
        </w:rPr>
        <w:t xml:space="preserve">obligation </w:t>
      </w:r>
      <w:r w:rsidR="514F891D" w:rsidRPr="4321A1A3">
        <w:rPr>
          <w:noProof/>
          <w:sz w:val="20"/>
        </w:rPr>
        <w:t xml:space="preserve">covering </w:t>
      </w:r>
      <w:r w:rsidRPr="4321A1A3">
        <w:rPr>
          <w:noProof/>
          <w:sz w:val="20"/>
        </w:rPr>
        <w:t>DAC4</w:t>
      </w:r>
      <w:r w:rsidR="1824D68F" w:rsidRPr="4321A1A3">
        <w:rPr>
          <w:noProof/>
          <w:sz w:val="20"/>
        </w:rPr>
        <w:t xml:space="preserve"> and </w:t>
      </w:r>
      <w:r w:rsidR="00BE4A20">
        <w:rPr>
          <w:noProof/>
          <w:sz w:val="20"/>
        </w:rPr>
        <w:t>DAC9</w:t>
      </w:r>
      <w:r w:rsidR="1824D68F" w:rsidRPr="4321A1A3">
        <w:rPr>
          <w:noProof/>
          <w:sz w:val="20"/>
        </w:rPr>
        <w:t>,</w:t>
      </w:r>
      <w:r w:rsidRPr="4321A1A3">
        <w:rPr>
          <w:noProof/>
          <w:sz w:val="20"/>
        </w:rPr>
        <w:t xml:space="preserve"> </w:t>
      </w:r>
      <w:r w:rsidR="3252489C" w:rsidRPr="4321A1A3">
        <w:rPr>
          <w:noProof/>
          <w:sz w:val="20"/>
        </w:rPr>
        <w:t xml:space="preserve">including a </w:t>
      </w:r>
      <w:r w:rsidRPr="4321A1A3">
        <w:rPr>
          <w:noProof/>
          <w:sz w:val="20"/>
        </w:rPr>
        <w:t xml:space="preserve">harmonised </w:t>
      </w:r>
      <w:r w:rsidR="583D18CC" w:rsidRPr="4321A1A3">
        <w:rPr>
          <w:noProof/>
          <w:sz w:val="20"/>
        </w:rPr>
        <w:t xml:space="preserve">filing </w:t>
      </w:r>
      <w:r w:rsidRPr="4321A1A3">
        <w:rPr>
          <w:noProof/>
          <w:sz w:val="20"/>
        </w:rPr>
        <w:t>deadline</w:t>
      </w:r>
      <w:r w:rsidR="5FE34E9E" w:rsidRPr="4321A1A3">
        <w:rPr>
          <w:noProof/>
          <w:sz w:val="20"/>
        </w:rPr>
        <w:t xml:space="preserve"> and a common notification template</w:t>
      </w:r>
      <w:r w:rsidR="09092F1B" w:rsidRPr="4321A1A3">
        <w:rPr>
          <w:noProof/>
          <w:sz w:val="20"/>
        </w:rPr>
        <w:t xml:space="preserve">. </w:t>
      </w:r>
      <w:r w:rsidRPr="4321A1A3">
        <w:rPr>
          <w:b/>
          <w:bCs/>
          <w:noProof/>
          <w:sz w:val="20"/>
        </w:rPr>
        <w:t>PO</w:t>
      </w:r>
      <w:r w:rsidR="267EEBFA" w:rsidRPr="4321A1A3">
        <w:rPr>
          <w:b/>
          <w:bCs/>
          <w:noProof/>
          <w:sz w:val="20"/>
        </w:rPr>
        <w:t>3</w:t>
      </w:r>
      <w:r w:rsidRPr="4321A1A3">
        <w:rPr>
          <w:b/>
          <w:bCs/>
          <w:noProof/>
          <w:sz w:val="20"/>
        </w:rPr>
        <w:t>b</w:t>
      </w:r>
      <w:r w:rsidR="48DD5B67" w:rsidRPr="4321A1A3">
        <w:rPr>
          <w:b/>
          <w:bCs/>
          <w:noProof/>
          <w:sz w:val="20"/>
        </w:rPr>
        <w:t xml:space="preserve"> </w:t>
      </w:r>
      <w:r w:rsidR="48DD5B67" w:rsidRPr="4321A1A3">
        <w:rPr>
          <w:noProof/>
          <w:sz w:val="20"/>
        </w:rPr>
        <w:t xml:space="preserve">builds on </w:t>
      </w:r>
      <w:r w:rsidR="48DD5B67" w:rsidRPr="009A6A15">
        <w:rPr>
          <w:b/>
          <w:bCs/>
          <w:noProof/>
          <w:sz w:val="20"/>
        </w:rPr>
        <w:t>PO</w:t>
      </w:r>
      <w:r w:rsidR="009A6A15" w:rsidRPr="009A6A15">
        <w:rPr>
          <w:b/>
          <w:bCs/>
          <w:noProof/>
          <w:sz w:val="20"/>
        </w:rPr>
        <w:t>3</w:t>
      </w:r>
      <w:r w:rsidRPr="009A6A15">
        <w:rPr>
          <w:b/>
          <w:bCs/>
          <w:noProof/>
          <w:sz w:val="20"/>
        </w:rPr>
        <w:t>a</w:t>
      </w:r>
      <w:r w:rsidR="1B80D724" w:rsidRPr="4321A1A3">
        <w:rPr>
          <w:noProof/>
          <w:sz w:val="20"/>
        </w:rPr>
        <w:t xml:space="preserve"> and adds a </w:t>
      </w:r>
      <w:r w:rsidRPr="4321A1A3">
        <w:rPr>
          <w:noProof/>
          <w:sz w:val="20"/>
        </w:rPr>
        <w:t xml:space="preserve">central filing of </w:t>
      </w:r>
      <w:r w:rsidR="4D66EB6B" w:rsidRPr="4321A1A3">
        <w:rPr>
          <w:noProof/>
          <w:sz w:val="20"/>
        </w:rPr>
        <w:t xml:space="preserve">the single </w:t>
      </w:r>
      <w:r w:rsidRPr="4321A1A3">
        <w:rPr>
          <w:noProof/>
          <w:sz w:val="20"/>
        </w:rPr>
        <w:t>notification followed by exchange of information between Member States</w:t>
      </w:r>
      <w:r w:rsidRPr="009A6A15">
        <w:rPr>
          <w:noProof/>
          <w:sz w:val="20"/>
        </w:rPr>
        <w:t>.</w:t>
      </w:r>
    </w:p>
    <w:p w14:paraId="0699181A" w14:textId="08B167E6" w:rsidR="006B087E" w:rsidRPr="00E306CE" w:rsidRDefault="0495C67D" w:rsidP="00E306CE">
      <w:pPr>
        <w:pStyle w:val="Text2"/>
        <w:ind w:left="0"/>
        <w:rPr>
          <w:noProof/>
          <w:sz w:val="20"/>
        </w:rPr>
      </w:pPr>
      <w:r w:rsidRPr="00D7088D">
        <w:rPr>
          <w:b/>
          <w:bCs/>
          <w:noProof/>
          <w:sz w:val="20"/>
          <w:u w:val="single"/>
        </w:rPr>
        <w:t>Effectiveness</w:t>
      </w:r>
    </w:p>
    <w:p w14:paraId="3CBCD87F" w14:textId="77777777" w:rsidR="00D6565B" w:rsidRPr="00D7088D" w:rsidRDefault="00D6565B" w:rsidP="4321A1A3">
      <w:pPr>
        <w:spacing w:after="0" w:line="257" w:lineRule="auto"/>
        <w:rPr>
          <w:noProof/>
          <w:sz w:val="20"/>
          <w:szCs w:val="20"/>
          <w:u w:val="single"/>
        </w:rPr>
      </w:pPr>
    </w:p>
    <w:tbl>
      <w:tblPr>
        <w:tblW w:w="876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962"/>
        <w:gridCol w:w="1755"/>
        <w:gridCol w:w="1155"/>
        <w:gridCol w:w="1888"/>
      </w:tblGrid>
      <w:tr w:rsidR="3A123E5D" w14:paraId="32F2C08D" w14:textId="77777777" w:rsidTr="4321A1A3">
        <w:trPr>
          <w:trHeight w:val="300"/>
        </w:trPr>
        <w:tc>
          <w:tcPr>
            <w:tcW w:w="396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D867E93" w14:textId="5C075DEB" w:rsidR="3A123E5D" w:rsidRPr="009A6A15" w:rsidRDefault="4611511C" w:rsidP="4321A1A3">
            <w:pPr>
              <w:spacing w:after="0" w:line="257" w:lineRule="auto"/>
              <w:rPr>
                <w:rFonts w:eastAsia="Times New Roman"/>
                <w:b/>
                <w:bCs/>
                <w:noProof/>
                <w:sz w:val="20"/>
                <w:szCs w:val="20"/>
              </w:rPr>
            </w:pPr>
            <w:r w:rsidRPr="4321A1A3">
              <w:rPr>
                <w:rFonts w:eastAsia="Times New Roman"/>
                <w:b/>
                <w:bCs/>
                <w:noProof/>
                <w:sz w:val="20"/>
                <w:szCs w:val="20"/>
              </w:rPr>
              <w:t>Specific objective</w:t>
            </w:r>
          </w:p>
        </w:tc>
        <w:tc>
          <w:tcPr>
            <w:tcW w:w="17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69E0DB" w14:textId="428F469B" w:rsidR="337EF05B" w:rsidRPr="5EAECC66" w:rsidRDefault="62833D2E" w:rsidP="4321A1A3">
            <w:pPr>
              <w:spacing w:after="0" w:line="257" w:lineRule="auto"/>
              <w:rPr>
                <w:rFonts w:eastAsia="Times New Roman"/>
                <w:b/>
                <w:bCs/>
                <w:noProof/>
                <w:sz w:val="20"/>
                <w:szCs w:val="20"/>
              </w:rPr>
            </w:pPr>
            <w:r w:rsidRPr="4321A1A3">
              <w:rPr>
                <w:rFonts w:eastAsia="Times New Roman"/>
                <w:b/>
                <w:bCs/>
                <w:noProof/>
                <w:sz w:val="20"/>
                <w:szCs w:val="20"/>
              </w:rPr>
              <w:t>Baseline</w:t>
            </w:r>
          </w:p>
        </w:tc>
        <w:tc>
          <w:tcPr>
            <w:tcW w:w="11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46AEC4B" w14:textId="0C11AFA4" w:rsidR="3A123E5D" w:rsidRPr="009A6A15" w:rsidRDefault="12892290" w:rsidP="4321A1A3">
            <w:pPr>
              <w:spacing w:after="0" w:line="257" w:lineRule="auto"/>
              <w:rPr>
                <w:rFonts w:eastAsia="Times New Roman"/>
                <w:b/>
                <w:bCs/>
                <w:noProof/>
                <w:sz w:val="20"/>
                <w:szCs w:val="20"/>
              </w:rPr>
            </w:pPr>
            <w:r w:rsidRPr="4321A1A3">
              <w:rPr>
                <w:rFonts w:eastAsia="Times New Roman"/>
                <w:b/>
                <w:bCs/>
                <w:noProof/>
                <w:sz w:val="20"/>
                <w:szCs w:val="20"/>
              </w:rPr>
              <w:t>PO</w:t>
            </w:r>
            <w:r w:rsidR="3C089E43" w:rsidRPr="4321A1A3">
              <w:rPr>
                <w:rFonts w:eastAsia="Times New Roman"/>
                <w:b/>
                <w:bCs/>
                <w:noProof/>
                <w:sz w:val="20"/>
                <w:szCs w:val="20"/>
              </w:rPr>
              <w:t>3</w:t>
            </w:r>
            <w:r w:rsidRPr="4321A1A3">
              <w:rPr>
                <w:rFonts w:eastAsia="Times New Roman"/>
                <w:b/>
                <w:bCs/>
                <w:noProof/>
                <w:sz w:val="20"/>
                <w:szCs w:val="20"/>
              </w:rPr>
              <w:t>a</w:t>
            </w:r>
          </w:p>
        </w:tc>
        <w:tc>
          <w:tcPr>
            <w:tcW w:w="188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E2F3B6E" w14:textId="1A27B207" w:rsidR="3A123E5D" w:rsidRPr="009A6A15" w:rsidRDefault="4611511C" w:rsidP="4321A1A3">
            <w:pPr>
              <w:spacing w:after="0" w:line="257" w:lineRule="auto"/>
              <w:rPr>
                <w:rFonts w:eastAsia="Times New Roman"/>
                <w:b/>
                <w:bCs/>
                <w:noProof/>
                <w:sz w:val="20"/>
                <w:szCs w:val="20"/>
              </w:rPr>
            </w:pPr>
            <w:r w:rsidRPr="4321A1A3">
              <w:rPr>
                <w:rFonts w:eastAsia="Times New Roman"/>
                <w:b/>
                <w:bCs/>
                <w:noProof/>
                <w:sz w:val="20"/>
                <w:szCs w:val="20"/>
              </w:rPr>
              <w:t>PO</w:t>
            </w:r>
            <w:r w:rsidR="3C089E43" w:rsidRPr="4321A1A3">
              <w:rPr>
                <w:rFonts w:eastAsia="Times New Roman"/>
                <w:b/>
                <w:bCs/>
                <w:noProof/>
                <w:sz w:val="20"/>
                <w:szCs w:val="20"/>
              </w:rPr>
              <w:t>3</w:t>
            </w:r>
            <w:r w:rsidRPr="4321A1A3">
              <w:rPr>
                <w:rFonts w:eastAsia="Times New Roman"/>
                <w:b/>
                <w:bCs/>
                <w:noProof/>
                <w:sz w:val="20"/>
                <w:szCs w:val="20"/>
              </w:rPr>
              <w:t>b</w:t>
            </w:r>
          </w:p>
        </w:tc>
      </w:tr>
      <w:tr w:rsidR="3A123E5D" w14:paraId="4CF48FE7" w14:textId="77777777" w:rsidTr="4321A1A3">
        <w:trPr>
          <w:trHeight w:val="300"/>
        </w:trPr>
        <w:tc>
          <w:tcPr>
            <w:tcW w:w="396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FCCA773" w14:textId="7C786A97" w:rsidR="3A123E5D" w:rsidRPr="009A6A15" w:rsidRDefault="4611511C" w:rsidP="4321A1A3">
            <w:pPr>
              <w:spacing w:after="0" w:line="257" w:lineRule="auto"/>
              <w:jc w:val="left"/>
              <w:rPr>
                <w:rFonts w:eastAsia="Times New Roman"/>
                <w:noProof/>
                <w:sz w:val="20"/>
                <w:szCs w:val="20"/>
              </w:rPr>
            </w:pPr>
            <w:r w:rsidRPr="4321A1A3">
              <w:rPr>
                <w:rFonts w:eastAsia="Times New Roman"/>
                <w:noProof/>
                <w:sz w:val="20"/>
                <w:szCs w:val="20"/>
              </w:rPr>
              <w:t>Reducing complexity and improving legal clarity and certainty</w:t>
            </w:r>
          </w:p>
        </w:tc>
        <w:tc>
          <w:tcPr>
            <w:tcW w:w="17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DC3205" w14:textId="0784F870" w:rsidR="5EAECC66" w:rsidRDefault="215A7202"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61042E6" w14:textId="11C49B8E" w:rsidR="3A123E5D" w:rsidRDefault="7EF68C1E" w:rsidP="4321A1A3">
            <w:pPr>
              <w:spacing w:after="0" w:line="257" w:lineRule="auto"/>
              <w:jc w:val="center"/>
              <w:rPr>
                <w:rFonts w:eastAsia="Times New Roman"/>
                <w:noProof/>
                <w:sz w:val="20"/>
                <w:szCs w:val="20"/>
              </w:rPr>
            </w:pPr>
            <w:r w:rsidRPr="4321A1A3">
              <w:rPr>
                <w:rFonts w:eastAsia="Times New Roman"/>
                <w:noProof/>
                <w:sz w:val="20"/>
                <w:szCs w:val="20"/>
              </w:rPr>
              <w:t xml:space="preserve"> ++</w:t>
            </w:r>
          </w:p>
        </w:tc>
        <w:tc>
          <w:tcPr>
            <w:tcW w:w="188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ECE387C" w14:textId="7B54703A" w:rsidR="3A123E5D" w:rsidRDefault="4226C4D8" w:rsidP="4321A1A3">
            <w:pPr>
              <w:spacing w:after="0" w:line="257" w:lineRule="auto"/>
              <w:jc w:val="center"/>
              <w:rPr>
                <w:rFonts w:eastAsia="Times New Roman"/>
                <w:noProof/>
                <w:sz w:val="20"/>
                <w:szCs w:val="20"/>
              </w:rPr>
            </w:pPr>
            <w:r w:rsidRPr="4321A1A3">
              <w:rPr>
                <w:rFonts w:eastAsia="Times New Roman"/>
                <w:noProof/>
                <w:sz w:val="20"/>
                <w:szCs w:val="20"/>
              </w:rPr>
              <w:t>+++</w:t>
            </w:r>
          </w:p>
        </w:tc>
      </w:tr>
      <w:tr w:rsidR="3A123E5D" w14:paraId="21DD1904" w14:textId="77777777" w:rsidTr="4321A1A3">
        <w:trPr>
          <w:trHeight w:val="300"/>
        </w:trPr>
        <w:tc>
          <w:tcPr>
            <w:tcW w:w="396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2AA2575" w14:textId="56EE98E8" w:rsidR="3A123E5D" w:rsidRPr="009A6A15" w:rsidRDefault="4611511C" w:rsidP="4321A1A3">
            <w:pPr>
              <w:spacing w:after="0" w:line="257" w:lineRule="auto"/>
              <w:jc w:val="left"/>
              <w:rPr>
                <w:rFonts w:eastAsia="Times New Roman"/>
                <w:noProof/>
                <w:sz w:val="20"/>
                <w:szCs w:val="20"/>
              </w:rPr>
            </w:pPr>
            <w:r w:rsidRPr="4321A1A3">
              <w:rPr>
                <w:rFonts w:eastAsia="Times New Roman"/>
                <w:noProof/>
                <w:sz w:val="20"/>
                <w:szCs w:val="20"/>
              </w:rPr>
              <w:t>Ensuring reporting and notification obligations are proportionate and better targeted while preserving policy objectives</w:t>
            </w:r>
          </w:p>
        </w:tc>
        <w:tc>
          <w:tcPr>
            <w:tcW w:w="17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F31A27" w14:textId="13DB606D" w:rsidR="5EAECC66" w:rsidRDefault="2A5A2909"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468BF45" w14:textId="4ADCEA81" w:rsidR="3A123E5D" w:rsidRDefault="08500C41" w:rsidP="4321A1A3">
            <w:pPr>
              <w:spacing w:after="0" w:line="257" w:lineRule="auto"/>
              <w:jc w:val="center"/>
              <w:rPr>
                <w:rFonts w:eastAsia="Times New Roman"/>
                <w:noProof/>
                <w:sz w:val="20"/>
                <w:szCs w:val="20"/>
              </w:rPr>
            </w:pPr>
            <w:r w:rsidRPr="4321A1A3">
              <w:rPr>
                <w:rFonts w:eastAsia="Times New Roman"/>
                <w:noProof/>
                <w:sz w:val="20"/>
                <w:szCs w:val="20"/>
              </w:rPr>
              <w:t>++</w:t>
            </w:r>
          </w:p>
        </w:tc>
        <w:tc>
          <w:tcPr>
            <w:tcW w:w="188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B4963F1" w14:textId="2E3A93E2" w:rsidR="3A123E5D" w:rsidRDefault="428C62A6" w:rsidP="4321A1A3">
            <w:pPr>
              <w:spacing w:after="0" w:line="257" w:lineRule="auto"/>
              <w:jc w:val="center"/>
              <w:rPr>
                <w:rFonts w:eastAsia="Times New Roman"/>
                <w:noProof/>
                <w:sz w:val="20"/>
                <w:szCs w:val="20"/>
              </w:rPr>
            </w:pPr>
            <w:r w:rsidRPr="4321A1A3">
              <w:rPr>
                <w:rFonts w:eastAsia="Times New Roman"/>
                <w:noProof/>
                <w:sz w:val="20"/>
                <w:szCs w:val="20"/>
              </w:rPr>
              <w:t>+++</w:t>
            </w:r>
          </w:p>
        </w:tc>
      </w:tr>
      <w:tr w:rsidR="3A123E5D" w14:paraId="79283538" w14:textId="77777777" w:rsidTr="4321A1A3">
        <w:trPr>
          <w:trHeight w:val="300"/>
        </w:trPr>
        <w:tc>
          <w:tcPr>
            <w:tcW w:w="396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0452DA7" w14:textId="584E7482" w:rsidR="3A123E5D" w:rsidRPr="009A6A15" w:rsidRDefault="4611511C" w:rsidP="4321A1A3">
            <w:pPr>
              <w:spacing w:after="0" w:line="257" w:lineRule="auto"/>
              <w:jc w:val="left"/>
              <w:rPr>
                <w:rFonts w:eastAsia="Times New Roman"/>
                <w:noProof/>
                <w:sz w:val="20"/>
                <w:szCs w:val="20"/>
              </w:rPr>
            </w:pPr>
            <w:r w:rsidRPr="4321A1A3">
              <w:rPr>
                <w:rFonts w:eastAsia="Times New Roman"/>
                <w:noProof/>
                <w:sz w:val="20"/>
                <w:szCs w:val="20"/>
              </w:rPr>
              <w:t>Improving the effectiveness and usability of exchanged information</w:t>
            </w:r>
          </w:p>
        </w:tc>
        <w:tc>
          <w:tcPr>
            <w:tcW w:w="17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C69A0B" w14:textId="26B3F042" w:rsidR="5EAECC66" w:rsidRDefault="1AD4CF73"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F2670A4" w14:textId="671162F5" w:rsidR="3A123E5D" w:rsidRDefault="626FC01E" w:rsidP="4321A1A3">
            <w:pPr>
              <w:spacing w:after="0" w:line="257" w:lineRule="auto"/>
              <w:jc w:val="center"/>
              <w:rPr>
                <w:rFonts w:eastAsia="Times New Roman"/>
                <w:noProof/>
                <w:sz w:val="20"/>
                <w:szCs w:val="20"/>
              </w:rPr>
            </w:pPr>
            <w:r w:rsidRPr="4321A1A3">
              <w:rPr>
                <w:rFonts w:eastAsia="Times New Roman"/>
                <w:noProof/>
                <w:sz w:val="20"/>
                <w:szCs w:val="20"/>
              </w:rPr>
              <w:t>++</w:t>
            </w:r>
          </w:p>
        </w:tc>
        <w:tc>
          <w:tcPr>
            <w:tcW w:w="188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176699D" w14:textId="27F7D31E" w:rsidR="3A123E5D" w:rsidRDefault="6D5456BC" w:rsidP="4321A1A3">
            <w:pPr>
              <w:spacing w:after="0" w:line="257" w:lineRule="auto"/>
              <w:jc w:val="center"/>
              <w:rPr>
                <w:rFonts w:eastAsia="Times New Roman"/>
                <w:noProof/>
                <w:sz w:val="20"/>
                <w:szCs w:val="20"/>
              </w:rPr>
            </w:pPr>
            <w:r w:rsidRPr="4321A1A3">
              <w:rPr>
                <w:rFonts w:eastAsia="Times New Roman"/>
                <w:noProof/>
                <w:sz w:val="20"/>
                <w:szCs w:val="20"/>
              </w:rPr>
              <w:t>+++</w:t>
            </w:r>
          </w:p>
        </w:tc>
      </w:tr>
    </w:tbl>
    <w:p w14:paraId="28D496E5" w14:textId="77777777" w:rsidR="001A64AD" w:rsidRDefault="001A64AD" w:rsidP="37BF55D2">
      <w:pPr>
        <w:spacing w:after="160" w:line="257" w:lineRule="auto"/>
        <w:rPr>
          <w:rFonts w:eastAsia="Times New Roman"/>
          <w:noProof/>
        </w:rPr>
      </w:pPr>
    </w:p>
    <w:p w14:paraId="2834D243" w14:textId="07209A6F" w:rsidR="006B087E" w:rsidRPr="001A64AD" w:rsidRDefault="0495C67D" w:rsidP="37BF55D2">
      <w:pPr>
        <w:spacing w:after="160" w:line="257" w:lineRule="auto"/>
        <w:rPr>
          <w:noProof/>
        </w:rPr>
      </w:pPr>
      <w:r w:rsidRPr="4321A1A3">
        <w:rPr>
          <w:rFonts w:eastAsia="Times New Roman"/>
          <w:noProof/>
        </w:rPr>
        <w:t xml:space="preserve">Both options address the duplication in notification obligations for MNE groups under DAC4 and </w:t>
      </w:r>
      <w:r w:rsidR="00BE4A20">
        <w:rPr>
          <w:rFonts w:eastAsia="Times New Roman"/>
          <w:noProof/>
        </w:rPr>
        <w:t>DAC9</w:t>
      </w:r>
      <w:r w:rsidRPr="4321A1A3">
        <w:rPr>
          <w:rFonts w:eastAsia="Times New Roman"/>
          <w:noProof/>
        </w:rPr>
        <w:t xml:space="preserve"> and therefore </w:t>
      </w:r>
      <w:r w:rsidR="456BB8D5" w:rsidRPr="4321A1A3">
        <w:rPr>
          <w:rFonts w:eastAsia="Times New Roman"/>
          <w:noProof/>
        </w:rPr>
        <w:t xml:space="preserve">positively </w:t>
      </w:r>
      <w:r w:rsidRPr="4321A1A3">
        <w:rPr>
          <w:rFonts w:eastAsia="Times New Roman"/>
          <w:noProof/>
        </w:rPr>
        <w:t xml:space="preserve">contribute to all </w:t>
      </w:r>
      <w:r w:rsidR="009A6A15">
        <w:rPr>
          <w:rFonts w:eastAsia="Times New Roman"/>
          <w:noProof/>
        </w:rPr>
        <w:t>3</w:t>
      </w:r>
      <w:r w:rsidRPr="4321A1A3">
        <w:rPr>
          <w:rFonts w:eastAsia="Times New Roman"/>
          <w:noProof/>
        </w:rPr>
        <w:t xml:space="preserve"> specific objectives.</w:t>
      </w:r>
      <w:r w:rsidR="23169E90" w:rsidRPr="4321A1A3">
        <w:rPr>
          <w:rFonts w:eastAsia="Times New Roman"/>
          <w:noProof/>
        </w:rPr>
        <w:t xml:space="preserve"> </w:t>
      </w:r>
      <w:r w:rsidRPr="4321A1A3">
        <w:rPr>
          <w:rFonts w:eastAsia="Times New Roman"/>
          <w:b/>
          <w:bCs/>
          <w:noProof/>
        </w:rPr>
        <w:t>P</w:t>
      </w:r>
      <w:r w:rsidR="5861DDD5" w:rsidRPr="4321A1A3">
        <w:rPr>
          <w:rFonts w:eastAsia="Times New Roman"/>
          <w:b/>
          <w:bCs/>
          <w:noProof/>
        </w:rPr>
        <w:t>O</w:t>
      </w:r>
      <w:r w:rsidR="63189DDD" w:rsidRPr="4321A1A3">
        <w:rPr>
          <w:rFonts w:eastAsia="Times New Roman"/>
          <w:b/>
          <w:bCs/>
          <w:noProof/>
        </w:rPr>
        <w:t>3</w:t>
      </w:r>
      <w:r w:rsidRPr="4321A1A3">
        <w:rPr>
          <w:rFonts w:eastAsia="Times New Roman"/>
          <w:b/>
          <w:bCs/>
          <w:noProof/>
        </w:rPr>
        <w:t>a</w:t>
      </w:r>
      <w:r w:rsidRPr="4321A1A3">
        <w:rPr>
          <w:rFonts w:eastAsia="Times New Roman"/>
          <w:noProof/>
        </w:rPr>
        <w:t xml:space="preserve"> </w:t>
      </w:r>
      <w:r w:rsidR="23E879E2" w:rsidRPr="4321A1A3">
        <w:rPr>
          <w:rFonts w:eastAsia="Times New Roman"/>
          <w:noProof/>
        </w:rPr>
        <w:t xml:space="preserve">would </w:t>
      </w:r>
      <w:r w:rsidRPr="4321A1A3">
        <w:rPr>
          <w:rFonts w:eastAsia="Times New Roman"/>
          <w:noProof/>
        </w:rPr>
        <w:t xml:space="preserve">improve legal clarity and certainty and reduce complexity by introducing a single harmonised notification </w:t>
      </w:r>
      <w:r w:rsidR="00BE4A20">
        <w:rPr>
          <w:rFonts w:eastAsia="Times New Roman"/>
          <w:noProof/>
        </w:rPr>
        <w:t xml:space="preserve">that supports the reporting requirements for </w:t>
      </w:r>
      <w:r w:rsidR="00BE4A20" w:rsidRPr="4321A1A3">
        <w:rPr>
          <w:rFonts w:eastAsia="Times New Roman"/>
          <w:noProof/>
        </w:rPr>
        <w:t xml:space="preserve">both DAC4 and </w:t>
      </w:r>
      <w:r w:rsidR="00BE4A20">
        <w:rPr>
          <w:rFonts w:eastAsia="Times New Roman"/>
          <w:noProof/>
        </w:rPr>
        <w:t>DAC9</w:t>
      </w:r>
      <w:r w:rsidRPr="4321A1A3">
        <w:rPr>
          <w:rFonts w:eastAsia="Times New Roman"/>
          <w:noProof/>
        </w:rPr>
        <w:t xml:space="preserve">. </w:t>
      </w:r>
      <w:r w:rsidR="00BE4A20">
        <w:rPr>
          <w:rFonts w:eastAsia="Times New Roman"/>
          <w:noProof/>
        </w:rPr>
        <w:t>T</w:t>
      </w:r>
      <w:r w:rsidRPr="4321A1A3">
        <w:rPr>
          <w:rFonts w:eastAsia="Times New Roman"/>
          <w:noProof/>
        </w:rPr>
        <w:t xml:space="preserve">his </w:t>
      </w:r>
      <w:r w:rsidR="3F2940B3" w:rsidRPr="4321A1A3">
        <w:rPr>
          <w:rFonts w:eastAsia="Times New Roman"/>
          <w:noProof/>
        </w:rPr>
        <w:t xml:space="preserve">would </w:t>
      </w:r>
      <w:r w:rsidRPr="4321A1A3">
        <w:rPr>
          <w:rFonts w:eastAsia="Times New Roman"/>
          <w:noProof/>
        </w:rPr>
        <w:t>reduce parallel compliance processes within MNE groups and simplif</w:t>
      </w:r>
      <w:r w:rsidR="37EFEE50" w:rsidRPr="4321A1A3">
        <w:rPr>
          <w:rFonts w:eastAsia="Times New Roman"/>
          <w:noProof/>
        </w:rPr>
        <w:t>y</w:t>
      </w:r>
      <w:r w:rsidRPr="4321A1A3">
        <w:rPr>
          <w:rFonts w:eastAsia="Times New Roman"/>
          <w:noProof/>
        </w:rPr>
        <w:t xml:space="preserve"> interactions with national tax administrations.</w:t>
      </w:r>
      <w:r w:rsidR="312EC3A9" w:rsidRPr="4321A1A3">
        <w:rPr>
          <w:rFonts w:eastAsia="Times New Roman"/>
          <w:noProof/>
        </w:rPr>
        <w:t xml:space="preserve"> </w:t>
      </w:r>
      <w:r w:rsidRPr="4321A1A3">
        <w:rPr>
          <w:rFonts w:eastAsia="Times New Roman"/>
          <w:b/>
          <w:bCs/>
          <w:noProof/>
        </w:rPr>
        <w:t>P</w:t>
      </w:r>
      <w:r w:rsidR="23E879E2" w:rsidRPr="4321A1A3">
        <w:rPr>
          <w:rFonts w:eastAsia="Times New Roman"/>
          <w:b/>
          <w:bCs/>
          <w:noProof/>
        </w:rPr>
        <w:t>O</w:t>
      </w:r>
      <w:r w:rsidR="3D81FD23" w:rsidRPr="4321A1A3">
        <w:rPr>
          <w:rFonts w:eastAsia="Times New Roman"/>
          <w:b/>
          <w:bCs/>
          <w:noProof/>
        </w:rPr>
        <w:t>3</w:t>
      </w:r>
      <w:r w:rsidRPr="4321A1A3">
        <w:rPr>
          <w:rFonts w:eastAsia="Times New Roman"/>
          <w:b/>
          <w:bCs/>
          <w:noProof/>
        </w:rPr>
        <w:t>b</w:t>
      </w:r>
      <w:r w:rsidRPr="4321A1A3">
        <w:rPr>
          <w:rFonts w:eastAsia="Times New Roman"/>
          <w:noProof/>
        </w:rPr>
        <w:t xml:space="preserve"> performs more strongly across all objectives. By allowing a single entity within the MNE group to file the notification centrally in </w:t>
      </w:r>
      <w:r w:rsidR="009A6A15">
        <w:rPr>
          <w:rFonts w:eastAsia="Times New Roman"/>
          <w:noProof/>
        </w:rPr>
        <w:t xml:space="preserve">a </w:t>
      </w:r>
      <w:r w:rsidRPr="4321A1A3">
        <w:rPr>
          <w:rFonts w:eastAsia="Times New Roman"/>
          <w:noProof/>
        </w:rPr>
        <w:t xml:space="preserve">Member State, this option </w:t>
      </w:r>
      <w:r w:rsidR="43F76DD1" w:rsidRPr="4321A1A3">
        <w:rPr>
          <w:rFonts w:eastAsia="Times New Roman"/>
          <w:noProof/>
        </w:rPr>
        <w:t xml:space="preserve">would </w:t>
      </w:r>
      <w:r w:rsidRPr="4321A1A3">
        <w:rPr>
          <w:rFonts w:eastAsia="Times New Roman"/>
          <w:noProof/>
        </w:rPr>
        <w:t xml:space="preserve">remove the need for multiple local notifications by entities across the Union. The subsequent exchange of the notification between Member States </w:t>
      </w:r>
      <w:r w:rsidR="1C7030DD" w:rsidRPr="4321A1A3">
        <w:rPr>
          <w:rFonts w:eastAsia="Times New Roman"/>
          <w:noProof/>
        </w:rPr>
        <w:t xml:space="preserve">would </w:t>
      </w:r>
      <w:r w:rsidRPr="4321A1A3">
        <w:rPr>
          <w:rFonts w:eastAsia="Times New Roman"/>
          <w:noProof/>
        </w:rPr>
        <w:t xml:space="preserve">ensure that all relevant tax administrations continue to receive the information required for </w:t>
      </w:r>
      <w:r w:rsidR="3C7D310F" w:rsidRPr="4321A1A3">
        <w:rPr>
          <w:rFonts w:eastAsia="Times New Roman"/>
          <w:noProof/>
        </w:rPr>
        <w:t xml:space="preserve">effective tax enforcement. </w:t>
      </w:r>
    </w:p>
    <w:p w14:paraId="26441A3B" w14:textId="002CE6DE" w:rsidR="006B087E" w:rsidRDefault="0495C67D" w:rsidP="4321A1A3">
      <w:pPr>
        <w:spacing w:after="0" w:line="257" w:lineRule="auto"/>
        <w:rPr>
          <w:rFonts w:eastAsia="Times New Roman"/>
          <w:b/>
          <w:bCs/>
          <w:noProof/>
          <w:sz w:val="20"/>
          <w:szCs w:val="20"/>
          <w:u w:val="single"/>
        </w:rPr>
      </w:pPr>
      <w:r w:rsidRPr="00D7088D">
        <w:rPr>
          <w:rFonts w:eastAsia="Times New Roman"/>
          <w:b/>
          <w:bCs/>
          <w:noProof/>
          <w:sz w:val="20"/>
          <w:szCs w:val="20"/>
          <w:u w:val="single"/>
        </w:rPr>
        <w:t>Efficiency</w:t>
      </w:r>
    </w:p>
    <w:p w14:paraId="75BF53EB" w14:textId="77777777" w:rsidR="00D6565B" w:rsidRPr="00D7088D" w:rsidRDefault="00D6565B" w:rsidP="4321A1A3">
      <w:pPr>
        <w:spacing w:after="0" w:line="257" w:lineRule="auto"/>
        <w:rPr>
          <w:noProof/>
          <w:sz w:val="20"/>
          <w:szCs w:val="20"/>
          <w:u w:val="single"/>
        </w:rPr>
      </w:pPr>
    </w:p>
    <w:tbl>
      <w:tblPr>
        <w:tblW w:w="876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866"/>
        <w:gridCol w:w="1560"/>
        <w:gridCol w:w="1380"/>
        <w:gridCol w:w="1954"/>
      </w:tblGrid>
      <w:tr w:rsidR="3A123E5D" w14:paraId="7D611451"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9244E1F" w14:textId="4ABA7633" w:rsidR="3A123E5D" w:rsidRDefault="3A123E5D" w:rsidP="4321A1A3">
            <w:pPr>
              <w:spacing w:after="0" w:line="257" w:lineRule="auto"/>
              <w:rPr>
                <w:rFonts w:eastAsia="Times New Roman"/>
                <w:b/>
                <w:bCs/>
                <w:noProof/>
                <w:sz w:val="20"/>
                <w:szCs w:val="20"/>
              </w:rPr>
            </w:pP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26CFAC9" w14:textId="0E9F25B7" w:rsidR="5CDED9FF" w:rsidRPr="6BE3C37B" w:rsidRDefault="4DE94929" w:rsidP="4321A1A3">
            <w:pPr>
              <w:spacing w:after="0" w:line="257" w:lineRule="auto"/>
              <w:jc w:val="center"/>
              <w:rPr>
                <w:rFonts w:eastAsia="Times New Roman"/>
                <w:b/>
                <w:bCs/>
                <w:noProof/>
                <w:sz w:val="20"/>
                <w:szCs w:val="20"/>
              </w:rPr>
            </w:pPr>
            <w:r w:rsidRPr="4321A1A3">
              <w:rPr>
                <w:rFonts w:eastAsia="Times New Roman"/>
                <w:b/>
                <w:bCs/>
                <w:noProof/>
                <w:sz w:val="20"/>
                <w:szCs w:val="20"/>
              </w:rPr>
              <w:t>Baseline</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B9D138E" w14:textId="4BD8ABAF" w:rsidR="3A123E5D" w:rsidRPr="009A6A15" w:rsidRDefault="4611511C" w:rsidP="4321A1A3">
            <w:pPr>
              <w:spacing w:after="0" w:line="257" w:lineRule="auto"/>
              <w:jc w:val="center"/>
              <w:rPr>
                <w:rFonts w:eastAsia="Times New Roman"/>
                <w:b/>
                <w:bCs/>
                <w:noProof/>
                <w:sz w:val="20"/>
                <w:szCs w:val="20"/>
              </w:rPr>
            </w:pPr>
            <w:r w:rsidRPr="4321A1A3">
              <w:rPr>
                <w:rFonts w:eastAsia="Times New Roman"/>
                <w:b/>
                <w:bCs/>
                <w:noProof/>
                <w:sz w:val="20"/>
                <w:szCs w:val="20"/>
              </w:rPr>
              <w:t>PO</w:t>
            </w:r>
            <w:r w:rsidR="75715106" w:rsidRPr="4321A1A3">
              <w:rPr>
                <w:rFonts w:eastAsia="Times New Roman"/>
                <w:b/>
                <w:bCs/>
                <w:noProof/>
                <w:sz w:val="20"/>
                <w:szCs w:val="20"/>
              </w:rPr>
              <w:t>3</w:t>
            </w:r>
            <w:r w:rsidR="70E8DF7C" w:rsidRPr="4321A1A3">
              <w:rPr>
                <w:rFonts w:eastAsia="Times New Roman"/>
                <w:b/>
                <w:bCs/>
                <w:noProof/>
                <w:sz w:val="20"/>
                <w:szCs w:val="20"/>
              </w:rPr>
              <w:t>a</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2843E8E" w14:textId="523F23A7" w:rsidR="3A123E5D" w:rsidRPr="009A6A15" w:rsidRDefault="4611511C" w:rsidP="4321A1A3">
            <w:pPr>
              <w:spacing w:after="0" w:line="257" w:lineRule="auto"/>
              <w:jc w:val="center"/>
              <w:rPr>
                <w:rFonts w:eastAsia="Times New Roman"/>
                <w:b/>
                <w:bCs/>
                <w:noProof/>
                <w:sz w:val="20"/>
                <w:szCs w:val="20"/>
              </w:rPr>
            </w:pPr>
            <w:r w:rsidRPr="4321A1A3">
              <w:rPr>
                <w:rFonts w:eastAsia="Times New Roman"/>
                <w:b/>
                <w:bCs/>
                <w:noProof/>
                <w:sz w:val="20"/>
                <w:szCs w:val="20"/>
              </w:rPr>
              <w:t>PO</w:t>
            </w:r>
            <w:r w:rsidR="096E458B" w:rsidRPr="4321A1A3">
              <w:rPr>
                <w:rFonts w:eastAsia="Times New Roman"/>
                <w:b/>
                <w:bCs/>
                <w:noProof/>
                <w:sz w:val="20"/>
                <w:szCs w:val="20"/>
              </w:rPr>
              <w:t>3</w:t>
            </w:r>
            <w:r w:rsidR="4E6802D9" w:rsidRPr="4321A1A3">
              <w:rPr>
                <w:rFonts w:eastAsia="Times New Roman"/>
                <w:b/>
                <w:bCs/>
                <w:noProof/>
                <w:sz w:val="20"/>
                <w:szCs w:val="20"/>
              </w:rPr>
              <w:t>b</w:t>
            </w:r>
          </w:p>
        </w:tc>
      </w:tr>
      <w:tr w:rsidR="3A123E5D" w14:paraId="58CAFE8D"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F9BF67" w14:textId="64FBF02A" w:rsidR="3A123E5D" w:rsidRPr="009A6A15" w:rsidRDefault="4611511C" w:rsidP="4321A1A3">
            <w:pPr>
              <w:spacing w:after="0" w:line="257" w:lineRule="auto"/>
              <w:rPr>
                <w:rFonts w:eastAsia="Times New Roman"/>
                <w:b/>
                <w:bCs/>
                <w:noProof/>
                <w:sz w:val="20"/>
                <w:szCs w:val="20"/>
              </w:rPr>
            </w:pPr>
            <w:r w:rsidRPr="4321A1A3">
              <w:rPr>
                <w:rFonts w:eastAsia="Times New Roman"/>
                <w:b/>
                <w:bCs/>
                <w:noProof/>
                <w:sz w:val="20"/>
                <w:szCs w:val="20"/>
              </w:rPr>
              <w:t>Companies (MNE groups)</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D9B9098" w14:textId="69D31892" w:rsidR="7368D89B" w:rsidRDefault="7368D89B" w:rsidP="4321A1A3">
            <w:pPr>
              <w:spacing w:after="0"/>
              <w:rPr>
                <w:noProof/>
                <w:sz w:val="20"/>
                <w:szCs w:val="20"/>
              </w:rPr>
            </w:pP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AAF6AFE" w14:textId="1A381B0E" w:rsidR="3A123E5D" w:rsidRDefault="3A123E5D" w:rsidP="4321A1A3">
            <w:pPr>
              <w:spacing w:after="0"/>
              <w:rPr>
                <w:noProof/>
                <w:sz w:val="20"/>
                <w:szCs w:val="20"/>
              </w:rPr>
            </w:pP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886EE52" w14:textId="1606988C" w:rsidR="3A123E5D" w:rsidRDefault="3A123E5D" w:rsidP="4321A1A3">
            <w:pPr>
              <w:spacing w:after="0"/>
              <w:rPr>
                <w:noProof/>
                <w:sz w:val="20"/>
                <w:szCs w:val="20"/>
              </w:rPr>
            </w:pPr>
          </w:p>
        </w:tc>
      </w:tr>
      <w:tr w:rsidR="3A123E5D" w14:paraId="20147D76"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FBF986A" w14:textId="02DC817E" w:rsidR="3A123E5D" w:rsidRDefault="67306F3D" w:rsidP="4321A1A3">
            <w:pPr>
              <w:spacing w:after="0" w:line="257" w:lineRule="auto"/>
              <w:jc w:val="left"/>
              <w:rPr>
                <w:noProof/>
              </w:rPr>
            </w:pPr>
            <w:r w:rsidRPr="4321A1A3">
              <w:rPr>
                <w:rFonts w:eastAsia="Times New Roman"/>
                <w:noProof/>
                <w:sz w:val="20"/>
                <w:szCs w:val="20"/>
              </w:rPr>
              <w:t>Administrative cost</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2C26403" w14:textId="04BAD4A3" w:rsidR="7368D89B" w:rsidRDefault="245F4517" w:rsidP="4321A1A3">
            <w:pPr>
              <w:spacing w:after="0" w:line="257" w:lineRule="auto"/>
              <w:jc w:val="center"/>
              <w:rPr>
                <w:noProof/>
                <w:sz w:val="20"/>
                <w:szCs w:val="20"/>
              </w:rPr>
            </w:pPr>
            <w:r w:rsidRPr="4321A1A3">
              <w:rPr>
                <w:noProof/>
                <w:sz w:val="20"/>
                <w:szCs w:val="20"/>
              </w:rPr>
              <w:t>0</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C11C0FB" w14:textId="44897C90" w:rsidR="3A123E5D" w:rsidRDefault="08E7679F" w:rsidP="4321A1A3">
            <w:pPr>
              <w:spacing w:after="0" w:line="257" w:lineRule="auto"/>
              <w:jc w:val="center"/>
              <w:rPr>
                <w:noProof/>
                <w:sz w:val="20"/>
                <w:szCs w:val="20"/>
              </w:rPr>
            </w:pPr>
            <w:r w:rsidRPr="4321A1A3">
              <w:rPr>
                <w:noProof/>
                <w:sz w:val="20"/>
                <w:szCs w:val="20"/>
              </w:rPr>
              <w:t xml:space="preserve"> </w:t>
            </w:r>
            <w:r w:rsidR="00D6565B">
              <w:rPr>
                <w:noProof/>
                <w:sz w:val="20"/>
                <w:szCs w:val="20"/>
              </w:rPr>
              <w:t>-</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1728C36" w14:textId="79348F14" w:rsidR="3A123E5D" w:rsidRPr="009A6A15" w:rsidRDefault="00D6565B" w:rsidP="4321A1A3">
            <w:pPr>
              <w:spacing w:after="0" w:line="257" w:lineRule="auto"/>
              <w:jc w:val="center"/>
              <w:rPr>
                <w:rFonts w:eastAsia="Times New Roman"/>
                <w:noProof/>
                <w:sz w:val="20"/>
                <w:szCs w:val="20"/>
              </w:rPr>
            </w:pPr>
            <w:r>
              <w:rPr>
                <w:rFonts w:eastAsia="Times New Roman"/>
                <w:noProof/>
                <w:sz w:val="20"/>
                <w:szCs w:val="20"/>
              </w:rPr>
              <w:t>---</w:t>
            </w:r>
          </w:p>
        </w:tc>
      </w:tr>
      <w:tr w:rsidR="3A123E5D" w14:paraId="0F11F971" w14:textId="77777777" w:rsidTr="4321A1A3">
        <w:trPr>
          <w:trHeight w:val="675"/>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88A2F18" w14:textId="5B6F61A4" w:rsidR="3A123E5D" w:rsidRDefault="27E8C3EF" w:rsidP="4321A1A3">
            <w:pPr>
              <w:spacing w:after="0" w:line="257" w:lineRule="auto"/>
              <w:jc w:val="left"/>
              <w:rPr>
                <w:rFonts w:eastAsia="Times New Roman"/>
                <w:noProof/>
                <w:sz w:val="20"/>
                <w:szCs w:val="20"/>
              </w:rPr>
            </w:pPr>
            <w:r w:rsidRPr="4321A1A3">
              <w:rPr>
                <w:rFonts w:eastAsia="Times New Roman"/>
                <w:noProof/>
                <w:sz w:val="20"/>
                <w:szCs w:val="20"/>
              </w:rPr>
              <w:t>One-off adjustment and implementation costs</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4944394" w14:textId="237BCDBD" w:rsidR="7368D89B" w:rsidRDefault="54AA04D4" w:rsidP="4321A1A3">
            <w:pPr>
              <w:spacing w:after="0" w:line="257" w:lineRule="auto"/>
              <w:jc w:val="center"/>
              <w:rPr>
                <w:noProof/>
                <w:sz w:val="20"/>
                <w:szCs w:val="20"/>
              </w:rPr>
            </w:pPr>
            <w:r w:rsidRPr="4321A1A3">
              <w:rPr>
                <w:noProof/>
                <w:sz w:val="20"/>
                <w:szCs w:val="20"/>
              </w:rPr>
              <w:t>0</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7DCACCE" w14:textId="7704A9C2" w:rsidR="3A123E5D" w:rsidRDefault="00D6565B" w:rsidP="4321A1A3">
            <w:pPr>
              <w:spacing w:after="0" w:line="257" w:lineRule="auto"/>
              <w:jc w:val="center"/>
              <w:rPr>
                <w:noProof/>
                <w:sz w:val="20"/>
                <w:szCs w:val="20"/>
              </w:rPr>
            </w:pPr>
            <w:r>
              <w:rPr>
                <w:noProof/>
                <w:sz w:val="20"/>
                <w:szCs w:val="20"/>
              </w:rPr>
              <w:t>+</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A6999F1" w14:textId="08F15ECE" w:rsidR="3A123E5D" w:rsidRDefault="00D6565B" w:rsidP="00D6565B">
            <w:pPr>
              <w:pStyle w:val="ListParagraph"/>
              <w:spacing w:after="0" w:line="257" w:lineRule="auto"/>
              <w:rPr>
                <w:rFonts w:eastAsia="Times New Roman"/>
                <w:noProof/>
                <w:sz w:val="20"/>
                <w:szCs w:val="20"/>
              </w:rPr>
            </w:pPr>
            <w:r>
              <w:rPr>
                <w:rFonts w:eastAsia="Times New Roman"/>
                <w:noProof/>
                <w:sz w:val="20"/>
                <w:szCs w:val="20"/>
              </w:rPr>
              <w:t>+</w:t>
            </w:r>
          </w:p>
        </w:tc>
      </w:tr>
      <w:tr w:rsidR="3A123E5D" w14:paraId="61A168DF"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FBACE89" w14:textId="344BB6AD" w:rsidR="3A123E5D" w:rsidRPr="009A6A15" w:rsidRDefault="4611511C" w:rsidP="4321A1A3">
            <w:pPr>
              <w:spacing w:after="0" w:line="257" w:lineRule="auto"/>
              <w:rPr>
                <w:rFonts w:eastAsia="Times New Roman"/>
                <w:b/>
                <w:bCs/>
                <w:noProof/>
                <w:sz w:val="20"/>
                <w:szCs w:val="20"/>
              </w:rPr>
            </w:pPr>
            <w:r w:rsidRPr="4321A1A3">
              <w:rPr>
                <w:rFonts w:eastAsia="Times New Roman"/>
                <w:b/>
                <w:bCs/>
                <w:noProof/>
                <w:sz w:val="20"/>
                <w:szCs w:val="20"/>
              </w:rPr>
              <w:t>Public authorities</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11402A8" w14:textId="406304FA" w:rsidR="7368D89B" w:rsidRDefault="7368D89B" w:rsidP="4321A1A3">
            <w:pPr>
              <w:spacing w:after="0"/>
              <w:jc w:val="center"/>
              <w:rPr>
                <w:noProof/>
                <w:sz w:val="20"/>
                <w:szCs w:val="20"/>
              </w:rPr>
            </w:pP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E9BE9E" w14:textId="1B394020" w:rsidR="3A123E5D" w:rsidRDefault="3A123E5D" w:rsidP="4321A1A3">
            <w:pPr>
              <w:spacing w:after="0"/>
              <w:rPr>
                <w:noProof/>
                <w:sz w:val="20"/>
                <w:szCs w:val="20"/>
              </w:rPr>
            </w:pP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18ECD1A" w14:textId="6A3A344F" w:rsidR="3A123E5D" w:rsidRDefault="3A123E5D" w:rsidP="4321A1A3">
            <w:pPr>
              <w:spacing w:after="0"/>
              <w:rPr>
                <w:noProof/>
                <w:sz w:val="20"/>
                <w:szCs w:val="20"/>
              </w:rPr>
            </w:pPr>
          </w:p>
        </w:tc>
      </w:tr>
      <w:tr w:rsidR="3A123E5D" w14:paraId="2665F34D"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24DD489" w14:textId="54FC1507" w:rsidR="3A123E5D" w:rsidRPr="009A6A15" w:rsidRDefault="4611511C" w:rsidP="4321A1A3">
            <w:pPr>
              <w:spacing w:after="0" w:line="257" w:lineRule="auto"/>
              <w:jc w:val="left"/>
              <w:rPr>
                <w:rFonts w:eastAsia="Times New Roman"/>
                <w:noProof/>
                <w:sz w:val="20"/>
                <w:szCs w:val="20"/>
              </w:rPr>
            </w:pPr>
            <w:r w:rsidRPr="4321A1A3">
              <w:rPr>
                <w:rFonts w:eastAsia="Times New Roman"/>
                <w:noProof/>
                <w:sz w:val="20"/>
                <w:szCs w:val="20"/>
              </w:rPr>
              <w:t>Administrative cost</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3B43FF" w14:textId="470EE8FF" w:rsidR="7368D89B" w:rsidRDefault="1659F820" w:rsidP="4321A1A3">
            <w:pPr>
              <w:spacing w:after="0" w:line="257" w:lineRule="auto"/>
              <w:jc w:val="center"/>
              <w:rPr>
                <w:noProof/>
                <w:sz w:val="20"/>
                <w:szCs w:val="20"/>
              </w:rPr>
            </w:pPr>
            <w:r w:rsidRPr="4321A1A3">
              <w:rPr>
                <w:noProof/>
                <w:sz w:val="20"/>
                <w:szCs w:val="20"/>
              </w:rPr>
              <w:t>0</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AE2CDA" w14:textId="4E4A86A9" w:rsidR="3A123E5D" w:rsidRDefault="00D6565B" w:rsidP="4321A1A3">
            <w:pPr>
              <w:spacing w:after="0" w:line="257" w:lineRule="auto"/>
              <w:jc w:val="center"/>
              <w:rPr>
                <w:noProof/>
                <w:sz w:val="20"/>
                <w:szCs w:val="20"/>
              </w:rPr>
            </w:pPr>
            <w:r>
              <w:rPr>
                <w:noProof/>
                <w:sz w:val="20"/>
                <w:szCs w:val="20"/>
              </w:rPr>
              <w:t>-</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6910BFE" w14:textId="3B8827DD" w:rsidR="3A123E5D" w:rsidRDefault="00D6565B" w:rsidP="4321A1A3">
            <w:pPr>
              <w:spacing w:after="0" w:line="257" w:lineRule="auto"/>
              <w:jc w:val="center"/>
              <w:rPr>
                <w:noProof/>
                <w:sz w:val="20"/>
                <w:szCs w:val="20"/>
              </w:rPr>
            </w:pPr>
            <w:r>
              <w:rPr>
                <w:noProof/>
                <w:sz w:val="20"/>
                <w:szCs w:val="20"/>
              </w:rPr>
              <w:t>--</w:t>
            </w:r>
          </w:p>
        </w:tc>
      </w:tr>
      <w:tr w:rsidR="3A123E5D" w14:paraId="5C2DF66E"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BB9C5A5" w14:textId="03299E40" w:rsidR="3A123E5D" w:rsidRDefault="6A24265B" w:rsidP="4321A1A3">
            <w:pPr>
              <w:spacing w:after="0" w:line="257" w:lineRule="auto"/>
              <w:jc w:val="left"/>
              <w:rPr>
                <w:rFonts w:eastAsia="Times New Roman"/>
                <w:noProof/>
                <w:sz w:val="20"/>
                <w:szCs w:val="20"/>
              </w:rPr>
            </w:pPr>
            <w:r w:rsidRPr="4321A1A3">
              <w:rPr>
                <w:rFonts w:eastAsia="Times New Roman"/>
                <w:noProof/>
                <w:sz w:val="20"/>
                <w:szCs w:val="20"/>
              </w:rPr>
              <w:t>One-off adjustment and implementation costs</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802D50F" w14:textId="7D2DB6B4" w:rsidR="7368D89B" w:rsidRDefault="30E8A887"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745F75F" w14:textId="275ECC9A" w:rsidR="3A123E5D" w:rsidRDefault="00D6565B" w:rsidP="4321A1A3">
            <w:pPr>
              <w:spacing w:after="0" w:line="257" w:lineRule="auto"/>
              <w:jc w:val="center"/>
              <w:rPr>
                <w:rFonts w:eastAsia="Times New Roman"/>
                <w:noProof/>
                <w:sz w:val="20"/>
                <w:szCs w:val="20"/>
              </w:rPr>
            </w:pPr>
            <w:r>
              <w:rPr>
                <w:rFonts w:eastAsia="Times New Roman"/>
                <w:noProof/>
                <w:sz w:val="20"/>
                <w:szCs w:val="20"/>
              </w:rPr>
              <w:t>+</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59F03D0" w14:textId="7ADBE9A3" w:rsidR="3A123E5D" w:rsidRDefault="00D6565B" w:rsidP="00D6565B">
            <w:pPr>
              <w:pStyle w:val="ListParagraph"/>
              <w:spacing w:after="0" w:line="257" w:lineRule="auto"/>
              <w:rPr>
                <w:rFonts w:eastAsia="Times New Roman"/>
                <w:noProof/>
                <w:sz w:val="20"/>
                <w:szCs w:val="20"/>
              </w:rPr>
            </w:pPr>
            <w:r>
              <w:rPr>
                <w:rFonts w:eastAsia="Times New Roman"/>
                <w:noProof/>
                <w:sz w:val="20"/>
                <w:szCs w:val="20"/>
              </w:rPr>
              <w:t>+</w:t>
            </w:r>
          </w:p>
        </w:tc>
      </w:tr>
    </w:tbl>
    <w:p w14:paraId="2B1AEA30" w14:textId="77777777" w:rsidR="009A6A15" w:rsidRDefault="009A6A15" w:rsidP="3A123E5D">
      <w:pPr>
        <w:spacing w:after="160" w:line="257" w:lineRule="auto"/>
        <w:rPr>
          <w:noProof/>
        </w:rPr>
      </w:pPr>
    </w:p>
    <w:p w14:paraId="05104DCA" w14:textId="564A2700" w:rsidR="006B087E" w:rsidRPr="00F92EAE" w:rsidRDefault="0495C67D" w:rsidP="3A123E5D">
      <w:pPr>
        <w:spacing w:after="160" w:line="257" w:lineRule="auto"/>
        <w:rPr>
          <w:rFonts w:eastAsia="Times New Roman"/>
          <w:noProof/>
        </w:rPr>
      </w:pPr>
      <w:r w:rsidRPr="4321A1A3">
        <w:rPr>
          <w:rFonts w:eastAsia="Times New Roman"/>
          <w:noProof/>
        </w:rPr>
        <w:t>Both options generate efficiency gains by eliminating duplicative notification requirements.</w:t>
      </w:r>
      <w:r w:rsidR="5119B0EF" w:rsidRPr="4321A1A3">
        <w:rPr>
          <w:rFonts w:eastAsia="Times New Roman"/>
          <w:noProof/>
        </w:rPr>
        <w:t xml:space="preserve"> </w:t>
      </w:r>
      <w:r w:rsidRPr="4321A1A3">
        <w:rPr>
          <w:rFonts w:eastAsia="Times New Roman"/>
          <w:b/>
          <w:bCs/>
          <w:noProof/>
        </w:rPr>
        <w:t>P</w:t>
      </w:r>
      <w:r w:rsidR="6EE45D60" w:rsidRPr="4321A1A3">
        <w:rPr>
          <w:rFonts w:eastAsia="Times New Roman"/>
          <w:b/>
          <w:bCs/>
          <w:noProof/>
        </w:rPr>
        <w:t>O</w:t>
      </w:r>
      <w:r w:rsidR="03AA0EE3" w:rsidRPr="4321A1A3">
        <w:rPr>
          <w:rFonts w:eastAsia="Times New Roman"/>
          <w:b/>
          <w:bCs/>
          <w:noProof/>
        </w:rPr>
        <w:t>3</w:t>
      </w:r>
      <w:r w:rsidRPr="4321A1A3">
        <w:rPr>
          <w:rFonts w:eastAsia="Times New Roman"/>
          <w:b/>
          <w:bCs/>
          <w:noProof/>
        </w:rPr>
        <w:t>a</w:t>
      </w:r>
      <w:r w:rsidRPr="4321A1A3">
        <w:rPr>
          <w:rFonts w:eastAsia="Times New Roman"/>
          <w:noProof/>
        </w:rPr>
        <w:t xml:space="preserve"> </w:t>
      </w:r>
      <w:r w:rsidR="6EE45D60" w:rsidRPr="4321A1A3">
        <w:rPr>
          <w:rFonts w:eastAsia="Times New Roman"/>
          <w:noProof/>
        </w:rPr>
        <w:t xml:space="preserve">would </w:t>
      </w:r>
      <w:r w:rsidRPr="4321A1A3">
        <w:rPr>
          <w:rFonts w:eastAsia="Times New Roman"/>
          <w:noProof/>
        </w:rPr>
        <w:t xml:space="preserve">reduce </w:t>
      </w:r>
      <w:r w:rsidR="5E4BAB52" w:rsidRPr="4321A1A3">
        <w:rPr>
          <w:rFonts w:eastAsia="Times New Roman"/>
          <w:noProof/>
        </w:rPr>
        <w:t xml:space="preserve">compliance costs and </w:t>
      </w:r>
      <w:r w:rsidRPr="4321A1A3">
        <w:rPr>
          <w:rFonts w:eastAsia="Times New Roman"/>
          <w:noProof/>
        </w:rPr>
        <w:t xml:space="preserve">administrative burden by replacing </w:t>
      </w:r>
      <w:r w:rsidR="009A6A15">
        <w:rPr>
          <w:rFonts w:eastAsia="Times New Roman"/>
          <w:noProof/>
        </w:rPr>
        <w:t xml:space="preserve">2 </w:t>
      </w:r>
      <w:r w:rsidRPr="4321A1A3">
        <w:rPr>
          <w:rFonts w:eastAsia="Times New Roman"/>
          <w:noProof/>
        </w:rPr>
        <w:t>notifications</w:t>
      </w:r>
      <w:r w:rsidR="792B8084" w:rsidRPr="4321A1A3">
        <w:rPr>
          <w:rFonts w:eastAsia="Times New Roman"/>
          <w:noProof/>
        </w:rPr>
        <w:t xml:space="preserve">, </w:t>
      </w:r>
      <w:r w:rsidR="009A6A15">
        <w:rPr>
          <w:rFonts w:eastAsia="Times New Roman"/>
          <w:noProof/>
        </w:rPr>
        <w:t>1</w:t>
      </w:r>
      <w:r w:rsidRPr="4321A1A3">
        <w:rPr>
          <w:rFonts w:eastAsia="Times New Roman"/>
          <w:noProof/>
        </w:rPr>
        <w:t xml:space="preserve"> under DAC4 and </w:t>
      </w:r>
      <w:r w:rsidR="792B8084" w:rsidRPr="4321A1A3">
        <w:rPr>
          <w:rFonts w:eastAsia="Times New Roman"/>
          <w:noProof/>
        </w:rPr>
        <w:t xml:space="preserve">the other </w:t>
      </w:r>
      <w:r w:rsidR="009A6A15">
        <w:rPr>
          <w:rFonts w:eastAsia="Times New Roman"/>
          <w:noProof/>
        </w:rPr>
        <w:t xml:space="preserve">1 </w:t>
      </w:r>
      <w:r w:rsidR="792B8084" w:rsidRPr="4321A1A3">
        <w:rPr>
          <w:rFonts w:eastAsia="Times New Roman"/>
          <w:noProof/>
        </w:rPr>
        <w:t xml:space="preserve">under </w:t>
      </w:r>
      <w:r w:rsidR="00BE4A20">
        <w:rPr>
          <w:rFonts w:eastAsia="Times New Roman"/>
          <w:noProof/>
        </w:rPr>
        <w:t>DAC9</w:t>
      </w:r>
      <w:r w:rsidR="792B8084" w:rsidRPr="4321A1A3">
        <w:rPr>
          <w:rFonts w:eastAsia="Times New Roman"/>
          <w:noProof/>
        </w:rPr>
        <w:t xml:space="preserve">, </w:t>
      </w:r>
      <w:r w:rsidRPr="4321A1A3">
        <w:rPr>
          <w:rFonts w:eastAsia="Times New Roman"/>
          <w:noProof/>
        </w:rPr>
        <w:t xml:space="preserve">with a single harmonised notification. </w:t>
      </w:r>
      <w:r w:rsidRPr="4321A1A3">
        <w:rPr>
          <w:rFonts w:eastAsia="Times New Roman"/>
          <w:b/>
          <w:bCs/>
          <w:noProof/>
        </w:rPr>
        <w:t>P</w:t>
      </w:r>
      <w:r w:rsidR="56FF3491" w:rsidRPr="4321A1A3">
        <w:rPr>
          <w:rFonts w:eastAsia="Times New Roman"/>
          <w:b/>
          <w:bCs/>
          <w:noProof/>
        </w:rPr>
        <w:t>O</w:t>
      </w:r>
      <w:r w:rsidR="32FB630D" w:rsidRPr="4321A1A3">
        <w:rPr>
          <w:rFonts w:eastAsia="Times New Roman"/>
          <w:b/>
          <w:bCs/>
          <w:noProof/>
        </w:rPr>
        <w:t>3</w:t>
      </w:r>
      <w:r w:rsidRPr="4321A1A3">
        <w:rPr>
          <w:rFonts w:eastAsia="Times New Roman"/>
          <w:b/>
          <w:bCs/>
          <w:noProof/>
        </w:rPr>
        <w:t>b</w:t>
      </w:r>
      <w:r w:rsidRPr="4321A1A3">
        <w:rPr>
          <w:rFonts w:eastAsia="Times New Roman"/>
          <w:noProof/>
        </w:rPr>
        <w:t xml:space="preserve"> </w:t>
      </w:r>
      <w:r w:rsidR="56FF3491" w:rsidRPr="4321A1A3">
        <w:rPr>
          <w:rFonts w:eastAsia="Times New Roman"/>
          <w:noProof/>
        </w:rPr>
        <w:t xml:space="preserve">would </w:t>
      </w:r>
      <w:r w:rsidRPr="4321A1A3">
        <w:rPr>
          <w:rFonts w:eastAsia="Times New Roman"/>
          <w:noProof/>
        </w:rPr>
        <w:t xml:space="preserve">generate larger efficiency gains by allowing central filing of the notification. This </w:t>
      </w:r>
      <w:r w:rsidR="4F652199" w:rsidRPr="4321A1A3">
        <w:rPr>
          <w:rFonts w:eastAsia="Times New Roman"/>
          <w:noProof/>
        </w:rPr>
        <w:t xml:space="preserve">would </w:t>
      </w:r>
      <w:r w:rsidRPr="4321A1A3">
        <w:rPr>
          <w:rFonts w:eastAsia="Times New Roman"/>
          <w:noProof/>
        </w:rPr>
        <w:t xml:space="preserve">remove the need for local notifications by </w:t>
      </w:r>
      <w:r w:rsidR="4FC64DE6" w:rsidRPr="4321A1A3">
        <w:rPr>
          <w:rFonts w:eastAsia="Times New Roman"/>
          <w:noProof/>
        </w:rPr>
        <w:t xml:space="preserve">each </w:t>
      </w:r>
      <w:r w:rsidRPr="4321A1A3">
        <w:rPr>
          <w:rFonts w:eastAsia="Times New Roman"/>
          <w:noProof/>
        </w:rPr>
        <w:t>entit</w:t>
      </w:r>
      <w:r w:rsidR="4FC64DE6" w:rsidRPr="4321A1A3">
        <w:rPr>
          <w:rFonts w:eastAsia="Times New Roman"/>
          <w:noProof/>
        </w:rPr>
        <w:t>y of the MNE group</w:t>
      </w:r>
      <w:r w:rsidRPr="4321A1A3">
        <w:rPr>
          <w:rFonts w:eastAsia="Times New Roman"/>
          <w:noProof/>
        </w:rPr>
        <w:t xml:space="preserve"> and</w:t>
      </w:r>
      <w:r w:rsidR="4FC64DE6" w:rsidRPr="4321A1A3">
        <w:rPr>
          <w:rFonts w:eastAsia="Times New Roman"/>
          <w:noProof/>
        </w:rPr>
        <w:t>, therefore,</w:t>
      </w:r>
      <w:r w:rsidRPr="4321A1A3">
        <w:rPr>
          <w:rFonts w:eastAsia="Times New Roman"/>
          <w:noProof/>
        </w:rPr>
        <w:t xml:space="preserve"> further reduces compliance costs</w:t>
      </w:r>
      <w:r w:rsidR="23D6195D" w:rsidRPr="4321A1A3">
        <w:rPr>
          <w:rFonts w:eastAsia="Times New Roman"/>
          <w:noProof/>
        </w:rPr>
        <w:t xml:space="preserve"> for them</w:t>
      </w:r>
      <w:r w:rsidRPr="4321A1A3">
        <w:rPr>
          <w:rFonts w:eastAsia="Times New Roman"/>
          <w:noProof/>
        </w:rPr>
        <w:t xml:space="preserve">. </w:t>
      </w:r>
      <w:r w:rsidR="3C089E43" w:rsidRPr="4321A1A3">
        <w:rPr>
          <w:rFonts w:eastAsia="Times New Roman"/>
          <w:noProof/>
        </w:rPr>
        <w:t>Both option</w:t>
      </w:r>
      <w:r w:rsidR="2BD0315D" w:rsidRPr="4321A1A3">
        <w:rPr>
          <w:rFonts w:eastAsia="Times New Roman"/>
          <w:noProof/>
        </w:rPr>
        <w:t>s</w:t>
      </w:r>
      <w:r w:rsidR="3C089E43" w:rsidRPr="4321A1A3">
        <w:rPr>
          <w:rFonts w:eastAsia="Times New Roman"/>
          <w:noProof/>
        </w:rPr>
        <w:t xml:space="preserve"> would require limited one-off adjustment and implementation costs for both companies and tax administrations due to the need to revise current processes and procedures. In addition, the </w:t>
      </w:r>
      <w:r w:rsidRPr="4321A1A3">
        <w:rPr>
          <w:rFonts w:eastAsia="Times New Roman"/>
          <w:noProof/>
        </w:rPr>
        <w:t xml:space="preserve">exchange of notification information between Member States </w:t>
      </w:r>
      <w:r w:rsidR="3C089E43" w:rsidRPr="4321A1A3">
        <w:rPr>
          <w:rFonts w:eastAsia="Times New Roman"/>
          <w:noProof/>
        </w:rPr>
        <w:t xml:space="preserve">would </w:t>
      </w:r>
      <w:r w:rsidRPr="4321A1A3">
        <w:rPr>
          <w:rFonts w:eastAsia="Times New Roman"/>
          <w:noProof/>
        </w:rPr>
        <w:t xml:space="preserve">require limited </w:t>
      </w:r>
      <w:r w:rsidR="3C089E43" w:rsidRPr="4321A1A3">
        <w:rPr>
          <w:rFonts w:eastAsia="Times New Roman"/>
          <w:noProof/>
        </w:rPr>
        <w:t xml:space="preserve">IT </w:t>
      </w:r>
      <w:r w:rsidRPr="4321A1A3">
        <w:rPr>
          <w:rFonts w:eastAsia="Times New Roman"/>
          <w:noProof/>
        </w:rPr>
        <w:t xml:space="preserve">adjustments, </w:t>
      </w:r>
      <w:r w:rsidR="3C089E43" w:rsidRPr="4321A1A3">
        <w:rPr>
          <w:rFonts w:eastAsia="Times New Roman"/>
          <w:noProof/>
        </w:rPr>
        <w:t xml:space="preserve">which </w:t>
      </w:r>
      <w:r w:rsidRPr="4321A1A3">
        <w:rPr>
          <w:rFonts w:eastAsia="Times New Roman"/>
          <w:noProof/>
        </w:rPr>
        <w:t>are expected to be modest relative to the compliance savings generated</w:t>
      </w:r>
      <w:r w:rsidR="2BD0315D" w:rsidRPr="4321A1A3">
        <w:rPr>
          <w:rFonts w:eastAsia="Times New Roman"/>
          <w:noProof/>
        </w:rPr>
        <w:t>.</w:t>
      </w:r>
    </w:p>
    <w:p w14:paraId="7F6CA495" w14:textId="6AA8B40C" w:rsidR="006B087E" w:rsidRPr="00F92EAE" w:rsidRDefault="7480D9D8" w:rsidP="4321A1A3">
      <w:pPr>
        <w:pStyle w:val="Heading2"/>
        <w:numPr>
          <w:ilvl w:val="0"/>
          <w:numId w:val="0"/>
        </w:numPr>
        <w:rPr>
          <w:noProof/>
        </w:rPr>
      </w:pPr>
      <w:bookmarkStart w:id="30" w:name="_Toc231816715"/>
      <w:r>
        <w:rPr>
          <w:noProof/>
        </w:rPr>
        <w:t xml:space="preserve">Measure </w:t>
      </w:r>
      <w:r w:rsidR="40A2E100">
        <w:rPr>
          <w:noProof/>
        </w:rPr>
        <w:t>4</w:t>
      </w:r>
      <w:r w:rsidR="4EBEC847">
        <w:rPr>
          <w:noProof/>
        </w:rPr>
        <w:t xml:space="preserve"> - </w:t>
      </w:r>
      <w:r>
        <w:rPr>
          <w:noProof/>
        </w:rPr>
        <w:t xml:space="preserve">Improving the verification of </w:t>
      </w:r>
      <w:r w:rsidR="2A418F35">
        <w:rPr>
          <w:noProof/>
        </w:rPr>
        <w:t>TINs</w:t>
      </w:r>
      <w:bookmarkEnd w:id="30"/>
    </w:p>
    <w:p w14:paraId="7867A506" w14:textId="48424CE5" w:rsidR="006B087E" w:rsidRDefault="1F0D3A2E" w:rsidP="4321A1A3">
      <w:pPr>
        <w:pStyle w:val="Text2"/>
        <w:ind w:left="0"/>
        <w:rPr>
          <w:noProof/>
          <w:sz w:val="20"/>
        </w:rPr>
      </w:pPr>
      <w:r w:rsidRPr="4321A1A3">
        <w:rPr>
          <w:b/>
          <w:bCs/>
          <w:noProof/>
          <w:sz w:val="20"/>
        </w:rPr>
        <w:t>PO</w:t>
      </w:r>
      <w:r w:rsidR="5D2A6BE1" w:rsidRPr="4321A1A3">
        <w:rPr>
          <w:b/>
          <w:bCs/>
          <w:noProof/>
          <w:sz w:val="20"/>
        </w:rPr>
        <w:t>4</w:t>
      </w:r>
      <w:r w:rsidRPr="4321A1A3">
        <w:rPr>
          <w:b/>
          <w:bCs/>
          <w:noProof/>
          <w:sz w:val="20"/>
        </w:rPr>
        <w:t>a</w:t>
      </w:r>
      <w:r w:rsidR="562344BB" w:rsidRPr="4321A1A3">
        <w:rPr>
          <w:b/>
          <w:bCs/>
          <w:noProof/>
          <w:sz w:val="20"/>
        </w:rPr>
        <w:t xml:space="preserve"> </w:t>
      </w:r>
      <w:r w:rsidR="562344BB" w:rsidRPr="4321A1A3">
        <w:rPr>
          <w:noProof/>
          <w:sz w:val="20"/>
        </w:rPr>
        <w:t>introduces</w:t>
      </w:r>
      <w:r w:rsidRPr="4321A1A3">
        <w:rPr>
          <w:noProof/>
          <w:sz w:val="20"/>
        </w:rPr>
        <w:t xml:space="preserve"> a </w:t>
      </w:r>
      <w:r w:rsidR="2512C61F" w:rsidRPr="4321A1A3">
        <w:rPr>
          <w:noProof/>
          <w:sz w:val="20"/>
        </w:rPr>
        <w:t xml:space="preserve">centralised </w:t>
      </w:r>
      <w:r w:rsidR="06602419" w:rsidRPr="4321A1A3">
        <w:rPr>
          <w:noProof/>
          <w:sz w:val="20"/>
        </w:rPr>
        <w:t xml:space="preserve">TIN </w:t>
      </w:r>
      <w:r w:rsidRPr="4321A1A3">
        <w:rPr>
          <w:noProof/>
          <w:sz w:val="20"/>
        </w:rPr>
        <w:t xml:space="preserve">verification </w:t>
      </w:r>
      <w:r w:rsidR="06602419" w:rsidRPr="4321A1A3">
        <w:rPr>
          <w:noProof/>
          <w:sz w:val="20"/>
        </w:rPr>
        <w:t>system</w:t>
      </w:r>
      <w:r w:rsidR="2AEB2F72" w:rsidRPr="4321A1A3">
        <w:rPr>
          <w:noProof/>
          <w:sz w:val="20"/>
        </w:rPr>
        <w:t xml:space="preserve">, </w:t>
      </w:r>
      <w:r w:rsidRPr="4321A1A3">
        <w:rPr>
          <w:noProof/>
          <w:sz w:val="20"/>
        </w:rPr>
        <w:t>accessible only to Member States</w:t>
      </w:r>
      <w:r w:rsidR="78309112" w:rsidRPr="4321A1A3">
        <w:rPr>
          <w:noProof/>
          <w:sz w:val="20"/>
        </w:rPr>
        <w:t xml:space="preserve"> tax administrations</w:t>
      </w:r>
      <w:r w:rsidR="124080C7" w:rsidRPr="4321A1A3">
        <w:rPr>
          <w:noProof/>
          <w:sz w:val="20"/>
        </w:rPr>
        <w:t xml:space="preserve"> </w:t>
      </w:r>
      <w:r w:rsidR="6C4EF431" w:rsidRPr="4321A1A3">
        <w:rPr>
          <w:noProof/>
          <w:sz w:val="20"/>
        </w:rPr>
        <w:t>while</w:t>
      </w:r>
      <w:r w:rsidR="124080C7" w:rsidRPr="4321A1A3">
        <w:rPr>
          <w:noProof/>
          <w:sz w:val="20"/>
        </w:rPr>
        <w:t xml:space="preserve"> </w:t>
      </w:r>
      <w:r w:rsidRPr="4321A1A3">
        <w:rPr>
          <w:b/>
          <w:bCs/>
          <w:noProof/>
          <w:sz w:val="20"/>
        </w:rPr>
        <w:t>PO</w:t>
      </w:r>
      <w:r w:rsidR="0A3FF196" w:rsidRPr="4321A1A3">
        <w:rPr>
          <w:b/>
          <w:bCs/>
          <w:noProof/>
          <w:sz w:val="20"/>
        </w:rPr>
        <w:t>4</w:t>
      </w:r>
      <w:r w:rsidRPr="4321A1A3">
        <w:rPr>
          <w:b/>
          <w:bCs/>
          <w:noProof/>
          <w:sz w:val="20"/>
        </w:rPr>
        <w:t>b</w:t>
      </w:r>
      <w:r w:rsidR="0A9211F8" w:rsidRPr="4321A1A3">
        <w:rPr>
          <w:b/>
          <w:bCs/>
          <w:noProof/>
          <w:sz w:val="20"/>
        </w:rPr>
        <w:t xml:space="preserve"> </w:t>
      </w:r>
      <w:r w:rsidR="0A9211F8" w:rsidRPr="4321A1A3">
        <w:rPr>
          <w:noProof/>
          <w:sz w:val="20"/>
        </w:rPr>
        <w:t>i</w:t>
      </w:r>
      <w:r w:rsidRPr="4321A1A3">
        <w:rPr>
          <w:noProof/>
          <w:sz w:val="20"/>
        </w:rPr>
        <w:t>ntroduce</w:t>
      </w:r>
      <w:r w:rsidR="183138C2" w:rsidRPr="4321A1A3">
        <w:rPr>
          <w:noProof/>
          <w:sz w:val="20"/>
        </w:rPr>
        <w:t>s</w:t>
      </w:r>
      <w:r w:rsidRPr="4321A1A3">
        <w:rPr>
          <w:noProof/>
          <w:sz w:val="20"/>
        </w:rPr>
        <w:t xml:space="preserve"> a </w:t>
      </w:r>
      <w:r w:rsidR="27E8518F" w:rsidRPr="4321A1A3">
        <w:rPr>
          <w:noProof/>
          <w:sz w:val="20"/>
        </w:rPr>
        <w:t xml:space="preserve">centralised TIN </w:t>
      </w:r>
      <w:r w:rsidRPr="4321A1A3">
        <w:rPr>
          <w:noProof/>
          <w:sz w:val="20"/>
        </w:rPr>
        <w:t xml:space="preserve">verification </w:t>
      </w:r>
      <w:r w:rsidR="27E8518F" w:rsidRPr="4321A1A3">
        <w:rPr>
          <w:noProof/>
          <w:sz w:val="20"/>
        </w:rPr>
        <w:t xml:space="preserve">system, </w:t>
      </w:r>
      <w:r w:rsidRPr="4321A1A3">
        <w:rPr>
          <w:noProof/>
          <w:sz w:val="20"/>
        </w:rPr>
        <w:t xml:space="preserve">accessible to </w:t>
      </w:r>
      <w:r w:rsidR="409F3C88" w:rsidRPr="4321A1A3">
        <w:rPr>
          <w:noProof/>
          <w:sz w:val="20"/>
        </w:rPr>
        <w:t xml:space="preserve">both </w:t>
      </w:r>
      <w:r w:rsidRPr="4321A1A3">
        <w:rPr>
          <w:noProof/>
          <w:sz w:val="20"/>
        </w:rPr>
        <w:t xml:space="preserve">Member States </w:t>
      </w:r>
      <w:r w:rsidR="409F3C88" w:rsidRPr="4321A1A3">
        <w:rPr>
          <w:noProof/>
          <w:sz w:val="20"/>
        </w:rPr>
        <w:t xml:space="preserve">tax administrations and </w:t>
      </w:r>
      <w:r w:rsidRPr="4321A1A3">
        <w:rPr>
          <w:noProof/>
          <w:sz w:val="20"/>
        </w:rPr>
        <w:t>reporting entities.</w:t>
      </w:r>
    </w:p>
    <w:p w14:paraId="1B57805C" w14:textId="2361087B" w:rsidR="00D7088D" w:rsidRPr="00D7088D" w:rsidRDefault="00D7088D" w:rsidP="4321A1A3">
      <w:pPr>
        <w:pStyle w:val="Text2"/>
        <w:ind w:left="0"/>
        <w:rPr>
          <w:b/>
          <w:bCs/>
          <w:noProof/>
          <w:sz w:val="20"/>
          <w:u w:val="single"/>
        </w:rPr>
      </w:pPr>
      <w:r w:rsidRPr="00D7088D">
        <w:rPr>
          <w:b/>
          <w:bCs/>
          <w:noProof/>
          <w:sz w:val="20"/>
          <w:u w:val="single"/>
        </w:rPr>
        <w:t>Effectiveness</w:t>
      </w:r>
    </w:p>
    <w:tbl>
      <w:tblPr>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952"/>
        <w:gridCol w:w="1752"/>
        <w:gridCol w:w="1153"/>
        <w:gridCol w:w="1884"/>
      </w:tblGrid>
      <w:tr w:rsidR="4321A1A3" w14:paraId="0F5A5972" w14:textId="77777777" w:rsidTr="4321A1A3">
        <w:trPr>
          <w:trHeight w:val="300"/>
        </w:trPr>
        <w:tc>
          <w:tcPr>
            <w:tcW w:w="396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32775A4" w14:textId="5C075DEB" w:rsidR="4321A1A3" w:rsidRPr="000C0535" w:rsidRDefault="4321A1A3" w:rsidP="4321A1A3">
            <w:pPr>
              <w:spacing w:after="0" w:line="257" w:lineRule="auto"/>
              <w:rPr>
                <w:rFonts w:eastAsia="Times New Roman"/>
                <w:b/>
                <w:bCs/>
                <w:noProof/>
                <w:sz w:val="20"/>
                <w:szCs w:val="20"/>
              </w:rPr>
            </w:pPr>
            <w:r w:rsidRPr="4321A1A3">
              <w:rPr>
                <w:rFonts w:eastAsia="Times New Roman"/>
                <w:b/>
                <w:bCs/>
                <w:noProof/>
                <w:sz w:val="20"/>
                <w:szCs w:val="20"/>
              </w:rPr>
              <w:t>Specific objective</w:t>
            </w:r>
          </w:p>
        </w:tc>
        <w:tc>
          <w:tcPr>
            <w:tcW w:w="17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6CD59FE" w14:textId="428F469B" w:rsidR="4321A1A3" w:rsidRDefault="4321A1A3" w:rsidP="4321A1A3">
            <w:pPr>
              <w:spacing w:after="0" w:line="257" w:lineRule="auto"/>
              <w:jc w:val="center"/>
              <w:rPr>
                <w:rFonts w:eastAsia="Times New Roman"/>
                <w:b/>
                <w:bCs/>
                <w:noProof/>
                <w:sz w:val="20"/>
                <w:szCs w:val="20"/>
              </w:rPr>
            </w:pPr>
            <w:r w:rsidRPr="4321A1A3">
              <w:rPr>
                <w:rFonts w:eastAsia="Times New Roman"/>
                <w:b/>
                <w:bCs/>
                <w:noProof/>
                <w:sz w:val="20"/>
                <w:szCs w:val="20"/>
              </w:rPr>
              <w:t>Baseline</w:t>
            </w:r>
          </w:p>
        </w:tc>
        <w:tc>
          <w:tcPr>
            <w:tcW w:w="11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B9D4440" w14:textId="2DAC5558" w:rsidR="4321A1A3" w:rsidRDefault="4321A1A3" w:rsidP="4321A1A3">
            <w:pPr>
              <w:spacing w:after="0" w:line="257" w:lineRule="auto"/>
              <w:jc w:val="center"/>
              <w:rPr>
                <w:rFonts w:eastAsia="Times New Roman"/>
                <w:b/>
                <w:bCs/>
                <w:noProof/>
                <w:sz w:val="20"/>
                <w:szCs w:val="20"/>
              </w:rPr>
            </w:pPr>
            <w:r w:rsidRPr="4321A1A3">
              <w:rPr>
                <w:rFonts w:eastAsia="Times New Roman"/>
                <w:b/>
                <w:bCs/>
                <w:noProof/>
                <w:sz w:val="20"/>
                <w:szCs w:val="20"/>
              </w:rPr>
              <w:t>PO</w:t>
            </w:r>
            <w:r w:rsidR="56B29FCF" w:rsidRPr="4321A1A3">
              <w:rPr>
                <w:rFonts w:eastAsia="Times New Roman"/>
                <w:b/>
                <w:bCs/>
                <w:noProof/>
                <w:sz w:val="20"/>
                <w:szCs w:val="20"/>
              </w:rPr>
              <w:t>4a</w:t>
            </w:r>
          </w:p>
        </w:tc>
        <w:tc>
          <w:tcPr>
            <w:tcW w:w="188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B8D8777" w14:textId="43594EC6" w:rsidR="4321A1A3" w:rsidRDefault="4321A1A3" w:rsidP="4321A1A3">
            <w:pPr>
              <w:spacing w:after="0" w:line="257" w:lineRule="auto"/>
              <w:jc w:val="center"/>
              <w:rPr>
                <w:rFonts w:eastAsia="Times New Roman"/>
                <w:b/>
                <w:bCs/>
                <w:noProof/>
                <w:sz w:val="20"/>
                <w:szCs w:val="20"/>
              </w:rPr>
            </w:pPr>
            <w:r w:rsidRPr="4321A1A3">
              <w:rPr>
                <w:rFonts w:eastAsia="Times New Roman"/>
                <w:b/>
                <w:bCs/>
                <w:noProof/>
                <w:sz w:val="20"/>
                <w:szCs w:val="20"/>
              </w:rPr>
              <w:t>PO</w:t>
            </w:r>
            <w:r w:rsidR="6C5E3D5E" w:rsidRPr="4321A1A3">
              <w:rPr>
                <w:rFonts w:eastAsia="Times New Roman"/>
                <w:b/>
                <w:bCs/>
                <w:noProof/>
                <w:sz w:val="20"/>
                <w:szCs w:val="20"/>
              </w:rPr>
              <w:t>4b</w:t>
            </w:r>
          </w:p>
        </w:tc>
      </w:tr>
      <w:tr w:rsidR="4321A1A3" w14:paraId="1680DC26" w14:textId="77777777" w:rsidTr="4321A1A3">
        <w:trPr>
          <w:trHeight w:val="300"/>
        </w:trPr>
        <w:tc>
          <w:tcPr>
            <w:tcW w:w="396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F07EB89" w14:textId="7C786A97" w:rsidR="4321A1A3" w:rsidRPr="000C0535" w:rsidRDefault="4321A1A3" w:rsidP="4321A1A3">
            <w:pPr>
              <w:spacing w:after="0" w:line="257" w:lineRule="auto"/>
              <w:jc w:val="left"/>
              <w:rPr>
                <w:rFonts w:eastAsia="Times New Roman"/>
                <w:noProof/>
                <w:sz w:val="20"/>
                <w:szCs w:val="20"/>
              </w:rPr>
            </w:pPr>
            <w:r w:rsidRPr="4321A1A3">
              <w:rPr>
                <w:rFonts w:eastAsia="Times New Roman"/>
                <w:noProof/>
                <w:sz w:val="20"/>
                <w:szCs w:val="20"/>
              </w:rPr>
              <w:t>Reducing complexity and improving legal clarity and certainty</w:t>
            </w:r>
          </w:p>
        </w:tc>
        <w:tc>
          <w:tcPr>
            <w:tcW w:w="17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61F521" w14:textId="0784F870" w:rsidR="4321A1A3" w:rsidRDefault="4321A1A3"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71A1F7F" w14:textId="624D7DEC" w:rsidR="306343DF" w:rsidRDefault="306343DF" w:rsidP="4321A1A3">
            <w:pPr>
              <w:spacing w:after="0" w:line="257" w:lineRule="auto"/>
              <w:jc w:val="center"/>
              <w:rPr>
                <w:rFonts w:eastAsia="Times New Roman"/>
                <w:noProof/>
                <w:sz w:val="20"/>
                <w:szCs w:val="20"/>
              </w:rPr>
            </w:pPr>
            <w:r w:rsidRPr="4321A1A3">
              <w:rPr>
                <w:rFonts w:eastAsia="Times New Roman"/>
                <w:noProof/>
                <w:sz w:val="20"/>
                <w:szCs w:val="20"/>
              </w:rPr>
              <w:t>+</w:t>
            </w:r>
          </w:p>
        </w:tc>
        <w:tc>
          <w:tcPr>
            <w:tcW w:w="188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905F0BE" w14:textId="157E1EA0" w:rsidR="306343DF" w:rsidRDefault="306343DF" w:rsidP="4321A1A3">
            <w:pPr>
              <w:spacing w:after="0" w:line="257" w:lineRule="auto"/>
              <w:jc w:val="center"/>
              <w:rPr>
                <w:rFonts w:eastAsia="Times New Roman"/>
                <w:noProof/>
                <w:sz w:val="20"/>
                <w:szCs w:val="20"/>
              </w:rPr>
            </w:pPr>
            <w:r w:rsidRPr="4321A1A3">
              <w:rPr>
                <w:rFonts w:eastAsia="Times New Roman"/>
                <w:noProof/>
                <w:sz w:val="20"/>
                <w:szCs w:val="20"/>
              </w:rPr>
              <w:t>+</w:t>
            </w:r>
          </w:p>
        </w:tc>
      </w:tr>
      <w:tr w:rsidR="4321A1A3" w14:paraId="713019A9" w14:textId="77777777" w:rsidTr="4321A1A3">
        <w:trPr>
          <w:trHeight w:val="300"/>
        </w:trPr>
        <w:tc>
          <w:tcPr>
            <w:tcW w:w="396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7D6BA76" w14:textId="56EE98E8" w:rsidR="4321A1A3" w:rsidRPr="000C0535" w:rsidRDefault="4321A1A3" w:rsidP="4321A1A3">
            <w:pPr>
              <w:spacing w:after="0" w:line="257" w:lineRule="auto"/>
              <w:jc w:val="left"/>
              <w:rPr>
                <w:rFonts w:eastAsia="Times New Roman"/>
                <w:noProof/>
                <w:sz w:val="20"/>
                <w:szCs w:val="20"/>
              </w:rPr>
            </w:pPr>
            <w:r w:rsidRPr="4321A1A3">
              <w:rPr>
                <w:rFonts w:eastAsia="Times New Roman"/>
                <w:noProof/>
                <w:sz w:val="20"/>
                <w:szCs w:val="20"/>
              </w:rPr>
              <w:t>Ensuring reporting and notification obligations are proportionate and better targeted while preserving policy objectives</w:t>
            </w:r>
          </w:p>
        </w:tc>
        <w:tc>
          <w:tcPr>
            <w:tcW w:w="17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C1CEB6" w14:textId="13DB606D" w:rsidR="4321A1A3" w:rsidRDefault="4321A1A3"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F948C8C" w14:textId="2C85DE45" w:rsidR="6F9C79A3" w:rsidRDefault="6F9C79A3" w:rsidP="4321A1A3">
            <w:pPr>
              <w:spacing w:after="0" w:line="257" w:lineRule="auto"/>
              <w:jc w:val="center"/>
              <w:rPr>
                <w:rFonts w:eastAsia="Times New Roman"/>
                <w:noProof/>
                <w:sz w:val="20"/>
                <w:szCs w:val="20"/>
              </w:rPr>
            </w:pPr>
            <w:r w:rsidRPr="4321A1A3">
              <w:rPr>
                <w:rFonts w:eastAsia="Times New Roman"/>
                <w:noProof/>
                <w:sz w:val="20"/>
                <w:szCs w:val="20"/>
              </w:rPr>
              <w:t>+</w:t>
            </w:r>
          </w:p>
        </w:tc>
        <w:tc>
          <w:tcPr>
            <w:tcW w:w="188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B9311B4" w14:textId="7145BAA7" w:rsidR="6F9C79A3" w:rsidRDefault="6F9C79A3" w:rsidP="4321A1A3">
            <w:pPr>
              <w:spacing w:after="0" w:line="257" w:lineRule="auto"/>
              <w:jc w:val="center"/>
              <w:rPr>
                <w:rFonts w:eastAsia="Times New Roman"/>
                <w:noProof/>
                <w:sz w:val="20"/>
                <w:szCs w:val="20"/>
              </w:rPr>
            </w:pPr>
            <w:r w:rsidRPr="4321A1A3">
              <w:rPr>
                <w:rFonts w:eastAsia="Times New Roman"/>
                <w:noProof/>
                <w:sz w:val="20"/>
                <w:szCs w:val="20"/>
              </w:rPr>
              <w:t>++</w:t>
            </w:r>
          </w:p>
        </w:tc>
      </w:tr>
      <w:tr w:rsidR="4321A1A3" w14:paraId="7BF7E9BC" w14:textId="77777777" w:rsidTr="4321A1A3">
        <w:trPr>
          <w:trHeight w:val="300"/>
        </w:trPr>
        <w:tc>
          <w:tcPr>
            <w:tcW w:w="396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3E9952C" w14:textId="584E7482" w:rsidR="4321A1A3" w:rsidRPr="000C0535" w:rsidRDefault="4321A1A3" w:rsidP="4321A1A3">
            <w:pPr>
              <w:spacing w:after="0" w:line="257" w:lineRule="auto"/>
              <w:jc w:val="left"/>
              <w:rPr>
                <w:rFonts w:eastAsia="Times New Roman"/>
                <w:noProof/>
                <w:sz w:val="20"/>
                <w:szCs w:val="20"/>
              </w:rPr>
            </w:pPr>
            <w:r w:rsidRPr="4321A1A3">
              <w:rPr>
                <w:rFonts w:eastAsia="Times New Roman"/>
                <w:noProof/>
                <w:sz w:val="20"/>
                <w:szCs w:val="20"/>
              </w:rPr>
              <w:t>Improving the effectiveness and usability of exchanged information</w:t>
            </w:r>
          </w:p>
        </w:tc>
        <w:tc>
          <w:tcPr>
            <w:tcW w:w="17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2EF927B" w14:textId="26B3F042" w:rsidR="4321A1A3" w:rsidRDefault="4321A1A3"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5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17E3DA5" w14:textId="1DC8866D" w:rsidR="4BFB269E" w:rsidRDefault="4BFB269E" w:rsidP="4321A1A3">
            <w:pPr>
              <w:spacing w:after="0" w:line="257" w:lineRule="auto"/>
              <w:jc w:val="center"/>
              <w:rPr>
                <w:rFonts w:eastAsia="Times New Roman"/>
                <w:noProof/>
                <w:sz w:val="20"/>
                <w:szCs w:val="20"/>
              </w:rPr>
            </w:pPr>
            <w:r w:rsidRPr="4321A1A3">
              <w:rPr>
                <w:rFonts w:eastAsia="Times New Roman"/>
                <w:noProof/>
                <w:sz w:val="20"/>
                <w:szCs w:val="20"/>
              </w:rPr>
              <w:t>+</w:t>
            </w:r>
            <w:r w:rsidR="496D9F3A" w:rsidRPr="4321A1A3">
              <w:rPr>
                <w:rFonts w:eastAsia="Times New Roman"/>
                <w:noProof/>
                <w:sz w:val="20"/>
                <w:szCs w:val="20"/>
              </w:rPr>
              <w:t>+</w:t>
            </w:r>
          </w:p>
        </w:tc>
        <w:tc>
          <w:tcPr>
            <w:tcW w:w="188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0D00157" w14:textId="60767C35" w:rsidR="75FA27D1" w:rsidRDefault="75FA27D1" w:rsidP="4321A1A3">
            <w:pPr>
              <w:spacing w:after="0" w:line="257" w:lineRule="auto"/>
              <w:jc w:val="center"/>
              <w:rPr>
                <w:rFonts w:eastAsia="Times New Roman"/>
                <w:noProof/>
                <w:sz w:val="20"/>
                <w:szCs w:val="20"/>
              </w:rPr>
            </w:pPr>
            <w:r w:rsidRPr="4321A1A3">
              <w:rPr>
                <w:rFonts w:eastAsia="Times New Roman"/>
                <w:noProof/>
                <w:sz w:val="20"/>
                <w:szCs w:val="20"/>
              </w:rPr>
              <w:t>++</w:t>
            </w:r>
            <w:r w:rsidR="3F8AFCE0" w:rsidRPr="4321A1A3">
              <w:rPr>
                <w:rFonts w:eastAsia="Times New Roman"/>
                <w:noProof/>
                <w:sz w:val="20"/>
                <w:szCs w:val="20"/>
              </w:rPr>
              <w:t>+</w:t>
            </w:r>
          </w:p>
        </w:tc>
      </w:tr>
    </w:tbl>
    <w:p w14:paraId="3D261C0A" w14:textId="77777777" w:rsidR="002D4C56" w:rsidRDefault="002D4C56" w:rsidP="4321A1A3">
      <w:pPr>
        <w:pStyle w:val="Text2"/>
        <w:ind w:left="0"/>
        <w:rPr>
          <w:noProof/>
        </w:rPr>
      </w:pPr>
    </w:p>
    <w:p w14:paraId="0B894764" w14:textId="53E617A6" w:rsidR="360C61A7" w:rsidRDefault="77D52BE0" w:rsidP="4321A1A3">
      <w:pPr>
        <w:pStyle w:val="Text2"/>
        <w:ind w:left="0"/>
        <w:rPr>
          <w:noProof/>
        </w:rPr>
      </w:pPr>
      <w:r>
        <w:rPr>
          <w:noProof/>
        </w:rPr>
        <w:t>B</w:t>
      </w:r>
      <w:r w:rsidR="0D7188D2">
        <w:rPr>
          <w:noProof/>
        </w:rPr>
        <w:t>oth policy options are expected to improve legal clarity and legal certainty</w:t>
      </w:r>
      <w:r w:rsidR="6A4F597A">
        <w:rPr>
          <w:noProof/>
        </w:rPr>
        <w:t>,</w:t>
      </w:r>
      <w:r w:rsidR="5216CF2D">
        <w:rPr>
          <w:noProof/>
        </w:rPr>
        <w:t xml:space="preserve"> as reporting enti</w:t>
      </w:r>
      <w:r w:rsidR="6A41231A">
        <w:rPr>
          <w:noProof/>
        </w:rPr>
        <w:t>ties and tax administrations can more effectively comply with their reporting and exchange of information obligations.</w:t>
      </w:r>
      <w:r w:rsidR="08923646">
        <w:rPr>
          <w:noProof/>
        </w:rPr>
        <w:t xml:space="preserve"> Both policy options </w:t>
      </w:r>
      <w:r w:rsidR="4034F8C1">
        <w:rPr>
          <w:noProof/>
        </w:rPr>
        <w:t xml:space="preserve">would </w:t>
      </w:r>
      <w:r w:rsidR="08923646">
        <w:rPr>
          <w:noProof/>
        </w:rPr>
        <w:t>ensure that reporting obligations are proportionate and better targeted as v</w:t>
      </w:r>
      <w:r w:rsidR="1C52C908">
        <w:rPr>
          <w:noProof/>
        </w:rPr>
        <w:t>erification</w:t>
      </w:r>
      <w:r w:rsidR="08923646">
        <w:rPr>
          <w:noProof/>
        </w:rPr>
        <w:t xml:space="preserve"> of the TIN ensures that accura</w:t>
      </w:r>
      <w:r w:rsidR="036A33C6">
        <w:rPr>
          <w:noProof/>
        </w:rPr>
        <w:t xml:space="preserve">te information is reported and exchanged thereby limiting following up requests for information. Simultaneously, they </w:t>
      </w:r>
      <w:r w:rsidR="263FFF21">
        <w:rPr>
          <w:noProof/>
        </w:rPr>
        <w:t xml:space="preserve">would </w:t>
      </w:r>
      <w:r w:rsidR="036A33C6">
        <w:rPr>
          <w:noProof/>
        </w:rPr>
        <w:t>both preserve the policy objectives of tackling tax fraud, evas</w:t>
      </w:r>
      <w:r w:rsidR="79E38260">
        <w:rPr>
          <w:noProof/>
        </w:rPr>
        <w:t xml:space="preserve">ion </w:t>
      </w:r>
      <w:r w:rsidR="690AA6C4">
        <w:rPr>
          <w:noProof/>
        </w:rPr>
        <w:t xml:space="preserve">and avoidance, </w:t>
      </w:r>
      <w:r w:rsidR="79E38260">
        <w:rPr>
          <w:noProof/>
        </w:rPr>
        <w:t xml:space="preserve">as accurate reporting </w:t>
      </w:r>
      <w:r w:rsidR="55AD52DE">
        <w:rPr>
          <w:noProof/>
        </w:rPr>
        <w:t xml:space="preserve">facilitates the enforcement of tax rules. </w:t>
      </w:r>
      <w:r w:rsidR="55AD52DE" w:rsidRPr="4321A1A3">
        <w:rPr>
          <w:b/>
          <w:bCs/>
          <w:noProof/>
        </w:rPr>
        <w:t>PO4</w:t>
      </w:r>
      <w:r w:rsidR="7AC0E467" w:rsidRPr="4321A1A3">
        <w:rPr>
          <w:b/>
          <w:bCs/>
          <w:noProof/>
        </w:rPr>
        <w:t>b</w:t>
      </w:r>
      <w:r w:rsidR="55AD52DE">
        <w:rPr>
          <w:noProof/>
        </w:rPr>
        <w:t xml:space="preserve"> scores hi</w:t>
      </w:r>
      <w:r w:rsidR="49242BAA">
        <w:rPr>
          <w:noProof/>
        </w:rPr>
        <w:t xml:space="preserve">gher as it is envisaged that </w:t>
      </w:r>
      <w:r w:rsidR="47784611">
        <w:rPr>
          <w:noProof/>
        </w:rPr>
        <w:t xml:space="preserve">in situations where a </w:t>
      </w:r>
      <w:r w:rsidR="49242BAA">
        <w:rPr>
          <w:noProof/>
        </w:rPr>
        <w:t xml:space="preserve">validated TIN is provided by the reporting entity, they </w:t>
      </w:r>
      <w:r w:rsidR="4768F697">
        <w:rPr>
          <w:noProof/>
        </w:rPr>
        <w:t xml:space="preserve">will </w:t>
      </w:r>
      <w:r w:rsidR="49242BAA">
        <w:rPr>
          <w:noProof/>
        </w:rPr>
        <w:t>no longer be required to provide other identification informati</w:t>
      </w:r>
      <w:r w:rsidR="4091F37D">
        <w:rPr>
          <w:noProof/>
        </w:rPr>
        <w:t xml:space="preserve">on </w:t>
      </w:r>
      <w:r w:rsidR="0FCE1A7A">
        <w:rPr>
          <w:noProof/>
        </w:rPr>
        <w:t>(</w:t>
      </w:r>
      <w:r w:rsidR="4091F37D">
        <w:rPr>
          <w:noProof/>
        </w:rPr>
        <w:t xml:space="preserve">for example </w:t>
      </w:r>
      <w:r w:rsidR="5559BD36">
        <w:rPr>
          <w:noProof/>
        </w:rPr>
        <w:t xml:space="preserve">the </w:t>
      </w:r>
      <w:r w:rsidR="4091F37D">
        <w:rPr>
          <w:noProof/>
        </w:rPr>
        <w:t>date of birth</w:t>
      </w:r>
      <w:r w:rsidR="6275F3DD">
        <w:rPr>
          <w:noProof/>
        </w:rPr>
        <w:t xml:space="preserve"> of the taxpayer</w:t>
      </w:r>
      <w:r w:rsidR="74C0AC70">
        <w:rPr>
          <w:noProof/>
        </w:rPr>
        <w:t xml:space="preserve">), </w:t>
      </w:r>
      <w:r w:rsidR="0DB1C200">
        <w:rPr>
          <w:noProof/>
        </w:rPr>
        <w:t>which are used by tax administrations to compensate for missing or inaccurate TINs</w:t>
      </w:r>
      <w:r w:rsidR="3FD1DCC9">
        <w:rPr>
          <w:noProof/>
        </w:rPr>
        <w:t>.</w:t>
      </w:r>
      <w:r w:rsidR="6275F3DD">
        <w:rPr>
          <w:noProof/>
        </w:rPr>
        <w:t xml:space="preserve"> </w:t>
      </w:r>
      <w:r w:rsidR="6BFDFC96">
        <w:rPr>
          <w:noProof/>
        </w:rPr>
        <w:t xml:space="preserve">This provides for more </w:t>
      </w:r>
      <w:r w:rsidR="4091F37D">
        <w:rPr>
          <w:noProof/>
        </w:rPr>
        <w:t>proportionate reporting obligation</w:t>
      </w:r>
      <w:r w:rsidR="544B10D2">
        <w:rPr>
          <w:noProof/>
        </w:rPr>
        <w:t>s</w:t>
      </w:r>
      <w:r w:rsidR="4091F37D">
        <w:rPr>
          <w:noProof/>
        </w:rPr>
        <w:t xml:space="preserve"> while not undermining the policy objectives of the framework. </w:t>
      </w:r>
      <w:r w:rsidR="5416C3CF">
        <w:rPr>
          <w:noProof/>
        </w:rPr>
        <w:t>Finally, both</w:t>
      </w:r>
      <w:r w:rsidR="010E493F">
        <w:rPr>
          <w:noProof/>
        </w:rPr>
        <w:t xml:space="preserve"> policy options score </w:t>
      </w:r>
      <w:r w:rsidR="4BFE42A5">
        <w:rPr>
          <w:noProof/>
        </w:rPr>
        <w:t xml:space="preserve">very </w:t>
      </w:r>
      <w:r w:rsidR="010E493F">
        <w:rPr>
          <w:noProof/>
        </w:rPr>
        <w:t>positively in improving the effectiveness and use of exchanged information as they are predicated o</w:t>
      </w:r>
      <w:r w:rsidR="373224CD">
        <w:rPr>
          <w:noProof/>
        </w:rPr>
        <w:t xml:space="preserve">n the fact that a verified TIN will increase the automatic matching rate of information thereby facilitating </w:t>
      </w:r>
      <w:r w:rsidR="720C0A07">
        <w:rPr>
          <w:noProof/>
        </w:rPr>
        <w:t xml:space="preserve">enhanced use of the information. </w:t>
      </w:r>
      <w:r w:rsidR="64D92967" w:rsidRPr="4321A1A3">
        <w:rPr>
          <w:b/>
          <w:bCs/>
          <w:noProof/>
        </w:rPr>
        <w:t>PO4b</w:t>
      </w:r>
      <w:r w:rsidR="720C0A07">
        <w:rPr>
          <w:noProof/>
        </w:rPr>
        <w:t xml:space="preserve"> scores higher in this area as in situations where th</w:t>
      </w:r>
      <w:r w:rsidR="1921360F">
        <w:rPr>
          <w:noProof/>
        </w:rPr>
        <w:t xml:space="preserve">e TIN cannot be verified the reporting entity can directly contact the taxpayer </w:t>
      </w:r>
      <w:r w:rsidR="20771B0E">
        <w:rPr>
          <w:noProof/>
        </w:rPr>
        <w:t xml:space="preserve">to correct the information </w:t>
      </w:r>
      <w:r w:rsidR="1921360F">
        <w:rPr>
          <w:noProof/>
        </w:rPr>
        <w:t>whereas</w:t>
      </w:r>
      <w:r w:rsidR="3BF88AE7">
        <w:rPr>
          <w:noProof/>
        </w:rPr>
        <w:t>,</w:t>
      </w:r>
      <w:r w:rsidR="399064C2">
        <w:rPr>
          <w:noProof/>
        </w:rPr>
        <w:t xml:space="preserve"> under </w:t>
      </w:r>
      <w:r w:rsidR="399064C2" w:rsidRPr="4321A1A3">
        <w:rPr>
          <w:b/>
          <w:bCs/>
          <w:noProof/>
        </w:rPr>
        <w:t>PO4a</w:t>
      </w:r>
      <w:r w:rsidR="1921360F">
        <w:rPr>
          <w:noProof/>
        </w:rPr>
        <w:t xml:space="preserve"> tax administrations must f</w:t>
      </w:r>
      <w:r w:rsidR="311741EB">
        <w:rPr>
          <w:noProof/>
        </w:rPr>
        <w:t>irst contact the reporting entity who must then contact the taxpayer to correct the information</w:t>
      </w:r>
      <w:r w:rsidR="32FBEE31">
        <w:rPr>
          <w:noProof/>
        </w:rPr>
        <w:t xml:space="preserve">, thereby reducing the effectiveness and efficiency of the framework. </w:t>
      </w:r>
    </w:p>
    <w:p w14:paraId="670F0B13" w14:textId="66F28CCF" w:rsidR="6F0DD09F" w:rsidRPr="001A64AD" w:rsidRDefault="6F0DD09F" w:rsidP="001A64AD">
      <w:pPr>
        <w:spacing w:after="200" w:line="276" w:lineRule="auto"/>
        <w:jc w:val="left"/>
        <w:rPr>
          <w:rFonts w:eastAsia="Times New Roman"/>
          <w:b/>
          <w:bCs/>
          <w:noProof/>
          <w:sz w:val="20"/>
          <w:szCs w:val="20"/>
          <w:u w:val="single"/>
        </w:rPr>
      </w:pPr>
      <w:r w:rsidRPr="00D7088D">
        <w:rPr>
          <w:rFonts w:eastAsia="Times New Roman"/>
          <w:b/>
          <w:bCs/>
          <w:noProof/>
          <w:sz w:val="20"/>
          <w:szCs w:val="20"/>
          <w:u w:val="single"/>
        </w:rPr>
        <w:t>Efficiency</w:t>
      </w:r>
    </w:p>
    <w:tbl>
      <w:tblPr>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858"/>
        <w:gridCol w:w="1557"/>
        <w:gridCol w:w="1377"/>
        <w:gridCol w:w="1949"/>
      </w:tblGrid>
      <w:tr w:rsidR="4321A1A3" w:rsidRPr="00D7088D" w14:paraId="5C831BBB"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AE1FD9D" w14:textId="4ABA7633" w:rsidR="4321A1A3" w:rsidRPr="00D7088D" w:rsidRDefault="4321A1A3" w:rsidP="4321A1A3">
            <w:pPr>
              <w:spacing w:after="0" w:line="257" w:lineRule="auto"/>
              <w:rPr>
                <w:rFonts w:eastAsia="Times New Roman"/>
                <w:b/>
                <w:bCs/>
                <w:noProof/>
                <w:sz w:val="20"/>
                <w:szCs w:val="20"/>
              </w:rPr>
            </w:pP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3027D74" w14:textId="0E9F25B7" w:rsidR="4321A1A3" w:rsidRPr="00D7088D" w:rsidRDefault="4321A1A3" w:rsidP="4321A1A3">
            <w:pPr>
              <w:spacing w:after="0" w:line="257" w:lineRule="auto"/>
              <w:jc w:val="center"/>
              <w:rPr>
                <w:rFonts w:eastAsia="Times New Roman"/>
                <w:b/>
                <w:bCs/>
                <w:noProof/>
                <w:sz w:val="20"/>
                <w:szCs w:val="20"/>
              </w:rPr>
            </w:pPr>
            <w:r w:rsidRPr="00D7088D">
              <w:rPr>
                <w:rFonts w:eastAsia="Times New Roman"/>
                <w:b/>
                <w:bCs/>
                <w:noProof/>
                <w:sz w:val="20"/>
                <w:szCs w:val="20"/>
              </w:rPr>
              <w:t>Baseline</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53880E5" w14:textId="1DA5C8A4" w:rsidR="4321A1A3" w:rsidRPr="00D7088D" w:rsidRDefault="4321A1A3" w:rsidP="4321A1A3">
            <w:pPr>
              <w:spacing w:after="0" w:line="257" w:lineRule="auto"/>
              <w:jc w:val="center"/>
              <w:rPr>
                <w:rFonts w:eastAsia="Times New Roman"/>
                <w:b/>
                <w:bCs/>
                <w:noProof/>
                <w:sz w:val="20"/>
                <w:szCs w:val="20"/>
              </w:rPr>
            </w:pPr>
            <w:r w:rsidRPr="00D7088D">
              <w:rPr>
                <w:rFonts w:eastAsia="Times New Roman"/>
                <w:b/>
                <w:bCs/>
                <w:noProof/>
                <w:sz w:val="20"/>
                <w:szCs w:val="20"/>
              </w:rPr>
              <w:t>PO4a</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CDA2A1D" w14:textId="5F2028EE" w:rsidR="4321A1A3" w:rsidRPr="00D7088D" w:rsidRDefault="4321A1A3" w:rsidP="4321A1A3">
            <w:pPr>
              <w:spacing w:after="0" w:line="257" w:lineRule="auto"/>
              <w:jc w:val="center"/>
              <w:rPr>
                <w:rFonts w:eastAsia="Times New Roman"/>
                <w:b/>
                <w:bCs/>
                <w:noProof/>
                <w:sz w:val="20"/>
                <w:szCs w:val="20"/>
              </w:rPr>
            </w:pPr>
            <w:r w:rsidRPr="00D7088D">
              <w:rPr>
                <w:rFonts w:eastAsia="Times New Roman"/>
                <w:b/>
                <w:bCs/>
                <w:noProof/>
                <w:sz w:val="20"/>
                <w:szCs w:val="20"/>
              </w:rPr>
              <w:t>PO4b</w:t>
            </w:r>
          </w:p>
        </w:tc>
      </w:tr>
      <w:tr w:rsidR="4321A1A3" w:rsidRPr="00D7088D" w14:paraId="363378A9"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E28C764" w14:textId="11D76075" w:rsidR="4321A1A3" w:rsidRPr="00D7088D" w:rsidRDefault="4321A1A3" w:rsidP="4321A1A3">
            <w:pPr>
              <w:spacing w:after="0" w:line="257" w:lineRule="auto"/>
              <w:rPr>
                <w:rFonts w:eastAsia="Times New Roman"/>
                <w:b/>
                <w:bCs/>
                <w:noProof/>
                <w:sz w:val="20"/>
                <w:szCs w:val="20"/>
              </w:rPr>
            </w:pPr>
            <w:r w:rsidRPr="00D7088D">
              <w:rPr>
                <w:rFonts w:eastAsia="Times New Roman"/>
                <w:b/>
                <w:bCs/>
                <w:noProof/>
                <w:sz w:val="20"/>
                <w:szCs w:val="20"/>
              </w:rPr>
              <w:t>Companies</w:t>
            </w:r>
            <w:r w:rsidR="531BE933" w:rsidRPr="00D7088D">
              <w:rPr>
                <w:rFonts w:eastAsia="Times New Roman"/>
                <w:b/>
                <w:bCs/>
                <w:noProof/>
                <w:sz w:val="20"/>
                <w:szCs w:val="20"/>
              </w:rPr>
              <w:t xml:space="preserve"> (Reporting entities)</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559ADE5" w14:textId="69D31892" w:rsidR="4321A1A3" w:rsidRPr="00D7088D" w:rsidRDefault="4321A1A3" w:rsidP="4321A1A3">
            <w:pPr>
              <w:spacing w:after="0"/>
              <w:rPr>
                <w:noProof/>
                <w:sz w:val="20"/>
                <w:szCs w:val="20"/>
              </w:rPr>
            </w:pP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1E88B26" w14:textId="1A381B0E" w:rsidR="4321A1A3" w:rsidRPr="00D7088D" w:rsidRDefault="4321A1A3" w:rsidP="4321A1A3">
            <w:pPr>
              <w:spacing w:after="0"/>
              <w:rPr>
                <w:noProof/>
                <w:sz w:val="20"/>
                <w:szCs w:val="20"/>
              </w:rPr>
            </w:pP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2FF2520" w14:textId="1606988C" w:rsidR="4321A1A3" w:rsidRPr="00D7088D" w:rsidRDefault="4321A1A3" w:rsidP="4321A1A3">
            <w:pPr>
              <w:spacing w:after="0"/>
              <w:rPr>
                <w:noProof/>
                <w:sz w:val="20"/>
                <w:szCs w:val="20"/>
              </w:rPr>
            </w:pPr>
          </w:p>
        </w:tc>
      </w:tr>
      <w:tr w:rsidR="4321A1A3" w:rsidRPr="00D7088D" w14:paraId="0D2FC7AE"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90ACD3D" w14:textId="24ADBD9C" w:rsidR="4321A1A3" w:rsidRPr="00D7088D" w:rsidRDefault="4321A1A3" w:rsidP="4321A1A3">
            <w:pPr>
              <w:spacing w:after="0" w:line="257" w:lineRule="auto"/>
              <w:jc w:val="left"/>
              <w:rPr>
                <w:noProof/>
                <w:sz w:val="20"/>
                <w:szCs w:val="20"/>
              </w:rPr>
            </w:pPr>
            <w:r w:rsidRPr="00D7088D">
              <w:rPr>
                <w:rFonts w:eastAsia="Times New Roman"/>
                <w:noProof/>
                <w:sz w:val="20"/>
                <w:szCs w:val="20"/>
              </w:rPr>
              <w:t>Administrative cost</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1AAF024" w14:textId="04BAD4A3" w:rsidR="4321A1A3" w:rsidRPr="00D7088D" w:rsidRDefault="4321A1A3" w:rsidP="4321A1A3">
            <w:pPr>
              <w:spacing w:after="0" w:line="257" w:lineRule="auto"/>
              <w:jc w:val="center"/>
              <w:rPr>
                <w:noProof/>
                <w:sz w:val="20"/>
                <w:szCs w:val="20"/>
              </w:rPr>
            </w:pPr>
            <w:r w:rsidRPr="00D7088D">
              <w:rPr>
                <w:noProof/>
                <w:sz w:val="20"/>
                <w:szCs w:val="20"/>
              </w:rPr>
              <w:t>0</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8A5CC6C" w14:textId="6E666E53" w:rsidR="19C04E42" w:rsidRPr="00D7088D" w:rsidRDefault="19C04E42" w:rsidP="4321A1A3">
            <w:pPr>
              <w:spacing w:after="0" w:line="257" w:lineRule="auto"/>
              <w:jc w:val="center"/>
              <w:rPr>
                <w:noProof/>
                <w:sz w:val="20"/>
                <w:szCs w:val="20"/>
              </w:rPr>
            </w:pPr>
            <w:r w:rsidRPr="00D7088D">
              <w:rPr>
                <w:noProof/>
                <w:sz w:val="20"/>
                <w:szCs w:val="20"/>
              </w:rPr>
              <w:t>0</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87960B4" w14:textId="3B302001" w:rsidR="751CFF17" w:rsidRPr="00D7088D" w:rsidRDefault="00B25A7A" w:rsidP="4321A1A3">
            <w:pPr>
              <w:spacing w:after="0" w:line="257" w:lineRule="auto"/>
              <w:jc w:val="center"/>
              <w:rPr>
                <w:rFonts w:eastAsia="Times New Roman"/>
                <w:noProof/>
                <w:sz w:val="20"/>
                <w:szCs w:val="20"/>
              </w:rPr>
            </w:pPr>
            <w:r>
              <w:rPr>
                <w:rFonts w:eastAsia="Times New Roman"/>
                <w:noProof/>
                <w:sz w:val="20"/>
                <w:szCs w:val="20"/>
              </w:rPr>
              <w:t>-</w:t>
            </w:r>
          </w:p>
        </w:tc>
      </w:tr>
      <w:tr w:rsidR="4321A1A3" w:rsidRPr="00D7088D" w14:paraId="167EB239" w14:textId="77777777" w:rsidTr="00B02E69">
        <w:trPr>
          <w:trHeight w:val="335"/>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8C507FA" w14:textId="5B6F61A4" w:rsidR="4321A1A3" w:rsidRPr="00D7088D" w:rsidRDefault="4321A1A3" w:rsidP="4321A1A3">
            <w:pPr>
              <w:spacing w:after="0" w:line="257" w:lineRule="auto"/>
              <w:jc w:val="left"/>
              <w:rPr>
                <w:rFonts w:eastAsia="Times New Roman"/>
                <w:noProof/>
                <w:sz w:val="20"/>
                <w:szCs w:val="20"/>
              </w:rPr>
            </w:pPr>
            <w:r w:rsidRPr="00D7088D">
              <w:rPr>
                <w:rFonts w:eastAsia="Times New Roman"/>
                <w:noProof/>
                <w:sz w:val="20"/>
                <w:szCs w:val="20"/>
              </w:rPr>
              <w:t>One-off adjustment and implementation costs</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72F7480" w14:textId="237BCDBD" w:rsidR="4321A1A3" w:rsidRPr="00D7088D" w:rsidRDefault="4321A1A3" w:rsidP="4321A1A3">
            <w:pPr>
              <w:spacing w:after="0" w:line="257" w:lineRule="auto"/>
              <w:jc w:val="center"/>
              <w:rPr>
                <w:noProof/>
                <w:sz w:val="20"/>
                <w:szCs w:val="20"/>
              </w:rPr>
            </w:pPr>
            <w:r w:rsidRPr="00D7088D">
              <w:rPr>
                <w:noProof/>
                <w:sz w:val="20"/>
                <w:szCs w:val="20"/>
              </w:rPr>
              <w:t>0</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2910DFB" w14:textId="583D6D9F" w:rsidR="782EF80C" w:rsidRPr="00D7088D" w:rsidRDefault="782EF80C" w:rsidP="4321A1A3">
            <w:pPr>
              <w:spacing w:after="0" w:line="257" w:lineRule="auto"/>
              <w:jc w:val="center"/>
              <w:rPr>
                <w:noProof/>
                <w:sz w:val="20"/>
                <w:szCs w:val="20"/>
              </w:rPr>
            </w:pPr>
            <w:r w:rsidRPr="00D7088D">
              <w:rPr>
                <w:noProof/>
                <w:sz w:val="20"/>
                <w:szCs w:val="20"/>
              </w:rPr>
              <w:t>0</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C84F765" w14:textId="56223755" w:rsidR="2F9EB46C" w:rsidRPr="00D7088D" w:rsidRDefault="00B25A7A" w:rsidP="4321A1A3">
            <w:pPr>
              <w:spacing w:after="0" w:line="257" w:lineRule="auto"/>
              <w:jc w:val="center"/>
              <w:rPr>
                <w:rFonts w:eastAsia="Times New Roman"/>
                <w:noProof/>
                <w:sz w:val="20"/>
                <w:szCs w:val="20"/>
              </w:rPr>
            </w:pPr>
            <w:r>
              <w:rPr>
                <w:rFonts w:eastAsia="Times New Roman"/>
                <w:noProof/>
                <w:sz w:val="20"/>
                <w:szCs w:val="20"/>
              </w:rPr>
              <w:t>+</w:t>
            </w:r>
          </w:p>
        </w:tc>
      </w:tr>
      <w:tr w:rsidR="4321A1A3" w:rsidRPr="00D7088D" w14:paraId="3F4F3FB0"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5FAD38F" w14:textId="344BB6AD" w:rsidR="4321A1A3" w:rsidRPr="00D7088D" w:rsidRDefault="4321A1A3" w:rsidP="4321A1A3">
            <w:pPr>
              <w:spacing w:after="0" w:line="257" w:lineRule="auto"/>
              <w:rPr>
                <w:rFonts w:eastAsia="Times New Roman"/>
                <w:b/>
                <w:bCs/>
                <w:noProof/>
                <w:sz w:val="20"/>
                <w:szCs w:val="20"/>
              </w:rPr>
            </w:pPr>
            <w:r w:rsidRPr="00D7088D">
              <w:rPr>
                <w:rFonts w:eastAsia="Times New Roman"/>
                <w:b/>
                <w:bCs/>
                <w:noProof/>
                <w:sz w:val="20"/>
                <w:szCs w:val="20"/>
              </w:rPr>
              <w:t>Public authorities</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09D5A78" w14:textId="406304FA" w:rsidR="4321A1A3" w:rsidRPr="00D7088D" w:rsidRDefault="4321A1A3" w:rsidP="4321A1A3">
            <w:pPr>
              <w:spacing w:after="0"/>
              <w:jc w:val="center"/>
              <w:rPr>
                <w:noProof/>
                <w:sz w:val="20"/>
                <w:szCs w:val="20"/>
              </w:rPr>
            </w:pP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16B5622" w14:textId="1B394020" w:rsidR="4321A1A3" w:rsidRPr="00D7088D" w:rsidRDefault="4321A1A3" w:rsidP="4321A1A3">
            <w:pPr>
              <w:spacing w:after="0"/>
              <w:rPr>
                <w:noProof/>
                <w:sz w:val="20"/>
                <w:szCs w:val="20"/>
              </w:rPr>
            </w:pP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0AD5D95" w14:textId="6A3A344F" w:rsidR="4321A1A3" w:rsidRPr="00D7088D" w:rsidRDefault="4321A1A3" w:rsidP="4321A1A3">
            <w:pPr>
              <w:spacing w:after="0"/>
              <w:rPr>
                <w:noProof/>
                <w:sz w:val="20"/>
                <w:szCs w:val="20"/>
              </w:rPr>
            </w:pPr>
          </w:p>
        </w:tc>
      </w:tr>
      <w:tr w:rsidR="4321A1A3" w:rsidRPr="00D7088D" w14:paraId="4CB39B3A"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E5B9032" w14:textId="5A723465" w:rsidR="4321A1A3" w:rsidRPr="00D7088D" w:rsidRDefault="4321A1A3" w:rsidP="4321A1A3">
            <w:pPr>
              <w:spacing w:after="0" w:line="257" w:lineRule="auto"/>
              <w:jc w:val="left"/>
              <w:rPr>
                <w:rFonts w:eastAsia="Times New Roman"/>
                <w:noProof/>
                <w:sz w:val="20"/>
                <w:szCs w:val="20"/>
              </w:rPr>
            </w:pPr>
            <w:r w:rsidRPr="00D7088D">
              <w:rPr>
                <w:rFonts w:eastAsia="Times New Roman"/>
                <w:noProof/>
                <w:sz w:val="20"/>
                <w:szCs w:val="20"/>
              </w:rPr>
              <w:t>Administrative cost</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15E8244" w14:textId="470EE8FF" w:rsidR="4321A1A3" w:rsidRPr="00D7088D" w:rsidRDefault="4321A1A3" w:rsidP="4321A1A3">
            <w:pPr>
              <w:spacing w:after="0" w:line="257" w:lineRule="auto"/>
              <w:jc w:val="center"/>
              <w:rPr>
                <w:noProof/>
                <w:sz w:val="20"/>
                <w:szCs w:val="20"/>
              </w:rPr>
            </w:pPr>
            <w:r w:rsidRPr="00D7088D">
              <w:rPr>
                <w:noProof/>
                <w:sz w:val="20"/>
                <w:szCs w:val="20"/>
              </w:rPr>
              <w:t>0</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4C85CE9" w14:textId="3D640779" w:rsidR="365771AB" w:rsidRPr="00D7088D" w:rsidRDefault="00B25A7A" w:rsidP="4321A1A3">
            <w:pPr>
              <w:spacing w:after="0" w:line="257" w:lineRule="auto"/>
              <w:jc w:val="center"/>
              <w:rPr>
                <w:noProof/>
                <w:sz w:val="20"/>
                <w:szCs w:val="20"/>
              </w:rPr>
            </w:pPr>
            <w:r>
              <w:rPr>
                <w:noProof/>
                <w:sz w:val="20"/>
                <w:szCs w:val="20"/>
              </w:rPr>
              <w:t>--</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55FBA4C" w14:textId="29A8D92A" w:rsidR="365771AB" w:rsidRPr="00D7088D" w:rsidRDefault="00B25A7A" w:rsidP="4321A1A3">
            <w:pPr>
              <w:spacing w:after="0" w:line="257" w:lineRule="auto"/>
              <w:jc w:val="center"/>
              <w:rPr>
                <w:noProof/>
                <w:sz w:val="20"/>
                <w:szCs w:val="20"/>
              </w:rPr>
            </w:pPr>
            <w:r>
              <w:rPr>
                <w:noProof/>
                <w:sz w:val="20"/>
                <w:szCs w:val="20"/>
              </w:rPr>
              <w:t>--</w:t>
            </w:r>
          </w:p>
        </w:tc>
      </w:tr>
      <w:tr w:rsidR="4321A1A3" w:rsidRPr="00D7088D" w14:paraId="4F7080A0" w14:textId="77777777" w:rsidTr="4321A1A3">
        <w:trPr>
          <w:trHeight w:val="300"/>
        </w:trPr>
        <w:tc>
          <w:tcPr>
            <w:tcW w:w="386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D7746DA" w14:textId="03299E40" w:rsidR="4321A1A3" w:rsidRPr="00D7088D" w:rsidRDefault="4321A1A3" w:rsidP="4321A1A3">
            <w:pPr>
              <w:spacing w:after="0" w:line="257" w:lineRule="auto"/>
              <w:jc w:val="left"/>
              <w:rPr>
                <w:rFonts w:eastAsia="Times New Roman"/>
                <w:noProof/>
                <w:sz w:val="20"/>
                <w:szCs w:val="20"/>
              </w:rPr>
            </w:pPr>
            <w:r w:rsidRPr="00D7088D">
              <w:rPr>
                <w:rFonts w:eastAsia="Times New Roman"/>
                <w:noProof/>
                <w:sz w:val="20"/>
                <w:szCs w:val="20"/>
              </w:rPr>
              <w:t>One-off adjustment and implementation costs</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6684420" w14:textId="7D2DB6B4" w:rsidR="4321A1A3" w:rsidRPr="00D7088D" w:rsidRDefault="4321A1A3" w:rsidP="4321A1A3">
            <w:pPr>
              <w:spacing w:after="0" w:line="257" w:lineRule="auto"/>
              <w:jc w:val="center"/>
              <w:rPr>
                <w:rFonts w:eastAsia="Times New Roman"/>
                <w:noProof/>
                <w:sz w:val="20"/>
                <w:szCs w:val="20"/>
              </w:rPr>
            </w:pPr>
            <w:r w:rsidRPr="00D7088D">
              <w:rPr>
                <w:rFonts w:eastAsia="Times New Roman"/>
                <w:noProof/>
                <w:sz w:val="20"/>
                <w:szCs w:val="20"/>
              </w:rPr>
              <w:t>0</w:t>
            </w:r>
          </w:p>
        </w:tc>
        <w:tc>
          <w:tcPr>
            <w:tcW w:w="13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1F10024" w14:textId="6FBB7E6A" w:rsidR="2F372C11" w:rsidRPr="00D7088D" w:rsidRDefault="00B25A7A" w:rsidP="4321A1A3">
            <w:pPr>
              <w:spacing w:after="0" w:line="257" w:lineRule="auto"/>
              <w:jc w:val="center"/>
              <w:rPr>
                <w:rFonts w:eastAsia="Times New Roman"/>
                <w:noProof/>
                <w:sz w:val="20"/>
                <w:szCs w:val="20"/>
              </w:rPr>
            </w:pPr>
            <w:r>
              <w:rPr>
                <w:rFonts w:eastAsia="Times New Roman"/>
                <w:noProof/>
                <w:sz w:val="20"/>
                <w:szCs w:val="20"/>
              </w:rPr>
              <w:t>+</w:t>
            </w:r>
          </w:p>
        </w:tc>
        <w:tc>
          <w:tcPr>
            <w:tcW w:w="195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7868F95" w14:textId="06ED984E" w:rsidR="2F372C11" w:rsidRPr="00D7088D" w:rsidRDefault="00B25A7A" w:rsidP="4321A1A3">
            <w:pPr>
              <w:spacing w:after="0" w:line="257" w:lineRule="auto"/>
              <w:jc w:val="center"/>
              <w:rPr>
                <w:rFonts w:eastAsia="Times New Roman"/>
                <w:noProof/>
                <w:sz w:val="20"/>
                <w:szCs w:val="20"/>
              </w:rPr>
            </w:pPr>
            <w:r>
              <w:rPr>
                <w:rFonts w:eastAsia="Times New Roman"/>
                <w:noProof/>
                <w:sz w:val="20"/>
                <w:szCs w:val="20"/>
              </w:rPr>
              <w:t>++</w:t>
            </w:r>
          </w:p>
        </w:tc>
      </w:tr>
    </w:tbl>
    <w:p w14:paraId="36459C28" w14:textId="77777777" w:rsidR="00787E5F" w:rsidRDefault="00787E5F" w:rsidP="4321A1A3">
      <w:pPr>
        <w:pStyle w:val="Text2"/>
        <w:ind w:left="0"/>
        <w:rPr>
          <w:b/>
          <w:bCs/>
          <w:noProof/>
        </w:rPr>
      </w:pPr>
    </w:p>
    <w:p w14:paraId="0BAD8F5F" w14:textId="6405316A" w:rsidR="6C4CDA7E" w:rsidRDefault="6C4CDA7E" w:rsidP="4321A1A3">
      <w:pPr>
        <w:pStyle w:val="Text2"/>
        <w:ind w:left="0"/>
        <w:rPr>
          <w:noProof/>
        </w:rPr>
      </w:pPr>
      <w:r w:rsidRPr="4321A1A3">
        <w:rPr>
          <w:b/>
          <w:bCs/>
          <w:noProof/>
        </w:rPr>
        <w:t>P</w:t>
      </w:r>
      <w:r w:rsidR="224D5065" w:rsidRPr="4321A1A3">
        <w:rPr>
          <w:b/>
          <w:bCs/>
          <w:noProof/>
        </w:rPr>
        <w:t>O</w:t>
      </w:r>
      <w:r w:rsidRPr="4321A1A3">
        <w:rPr>
          <w:b/>
          <w:bCs/>
          <w:noProof/>
        </w:rPr>
        <w:t>4a</w:t>
      </w:r>
      <w:r>
        <w:rPr>
          <w:noProof/>
        </w:rPr>
        <w:t xml:space="preserve"> </w:t>
      </w:r>
      <w:r w:rsidR="002861A6">
        <w:rPr>
          <w:noProof/>
        </w:rPr>
        <w:t xml:space="preserve">does not envisage any reduction in administrative costs for </w:t>
      </w:r>
      <w:r w:rsidR="68902447">
        <w:rPr>
          <w:noProof/>
        </w:rPr>
        <w:t>reporting entities as</w:t>
      </w:r>
      <w:r w:rsidR="688A270E">
        <w:rPr>
          <w:noProof/>
        </w:rPr>
        <w:t xml:space="preserve"> access to the v</w:t>
      </w:r>
      <w:r w:rsidR="03AC735F">
        <w:rPr>
          <w:noProof/>
        </w:rPr>
        <w:t>erification</w:t>
      </w:r>
      <w:r w:rsidR="688A270E">
        <w:rPr>
          <w:noProof/>
        </w:rPr>
        <w:t xml:space="preserve"> system is restricted to tax administrations. Consequentially</w:t>
      </w:r>
      <w:r w:rsidR="5703FBD8">
        <w:rPr>
          <w:noProof/>
        </w:rPr>
        <w:t xml:space="preserve"> there are no one-off adjustment and implementation costs for </w:t>
      </w:r>
      <w:r w:rsidR="54E83A1F">
        <w:rPr>
          <w:noProof/>
        </w:rPr>
        <w:t>reporting entities</w:t>
      </w:r>
      <w:r w:rsidR="5703FBD8">
        <w:rPr>
          <w:noProof/>
        </w:rPr>
        <w:t>.</w:t>
      </w:r>
      <w:r w:rsidR="0E3DD00E">
        <w:rPr>
          <w:noProof/>
        </w:rPr>
        <w:t xml:space="preserve"> </w:t>
      </w:r>
      <w:r w:rsidR="0E3DD00E" w:rsidRPr="4321A1A3">
        <w:rPr>
          <w:b/>
          <w:bCs/>
          <w:noProof/>
        </w:rPr>
        <w:t>P</w:t>
      </w:r>
      <w:r w:rsidR="31E977F7" w:rsidRPr="4321A1A3">
        <w:rPr>
          <w:b/>
          <w:bCs/>
          <w:noProof/>
        </w:rPr>
        <w:t>O</w:t>
      </w:r>
      <w:r w:rsidR="0E3DD00E" w:rsidRPr="009A6A15">
        <w:rPr>
          <w:b/>
          <w:bCs/>
          <w:noProof/>
        </w:rPr>
        <w:t>4a</w:t>
      </w:r>
      <w:r w:rsidR="0E3DD00E">
        <w:rPr>
          <w:noProof/>
        </w:rPr>
        <w:t xml:space="preserve"> is expected to reduce administrative costs for tax administrat</w:t>
      </w:r>
      <w:r w:rsidR="6FC7E656">
        <w:rPr>
          <w:noProof/>
        </w:rPr>
        <w:t xml:space="preserve">ions as it foresees </w:t>
      </w:r>
      <w:r w:rsidR="2FCA740B">
        <w:rPr>
          <w:noProof/>
        </w:rPr>
        <w:t>that TINs will be validate</w:t>
      </w:r>
      <w:r w:rsidR="192445AF">
        <w:rPr>
          <w:noProof/>
        </w:rPr>
        <w:t>d</w:t>
      </w:r>
      <w:r w:rsidR="2FCA740B">
        <w:rPr>
          <w:noProof/>
        </w:rPr>
        <w:t xml:space="preserve"> by the sending Member State thereby reducing follow up requests for correction information</w:t>
      </w:r>
      <w:r w:rsidR="1700C58D">
        <w:rPr>
          <w:noProof/>
        </w:rPr>
        <w:t xml:space="preserve">. Simultaneously, it is expected that the reporting of verified TINs will lead to higher </w:t>
      </w:r>
      <w:r w:rsidR="25D9594B">
        <w:rPr>
          <w:noProof/>
        </w:rPr>
        <w:t>automatic</w:t>
      </w:r>
      <w:r w:rsidR="1700C58D">
        <w:rPr>
          <w:noProof/>
        </w:rPr>
        <w:t xml:space="preserve"> matching rates</w:t>
      </w:r>
      <w:r w:rsidR="11C21A81">
        <w:rPr>
          <w:noProof/>
        </w:rPr>
        <w:t xml:space="preserve"> </w:t>
      </w:r>
      <w:r w:rsidR="35E5A6F0">
        <w:rPr>
          <w:noProof/>
        </w:rPr>
        <w:t xml:space="preserve">in receiving Member States </w:t>
      </w:r>
      <w:r w:rsidR="27B9DE0B">
        <w:rPr>
          <w:noProof/>
        </w:rPr>
        <w:t xml:space="preserve">thereby reducing </w:t>
      </w:r>
      <w:r w:rsidR="54F2DF04">
        <w:rPr>
          <w:noProof/>
        </w:rPr>
        <w:t>the human and technical resources assigned to manual matching processes and procedures.</w:t>
      </w:r>
      <w:r w:rsidR="7AACA392">
        <w:rPr>
          <w:noProof/>
        </w:rPr>
        <w:t xml:space="preserve"> As clearly identified in Chapter 6</w:t>
      </w:r>
      <w:r w:rsidR="0512F90A">
        <w:rPr>
          <w:noProof/>
        </w:rPr>
        <w:t xml:space="preserve"> there are expected to be one-off adjustment and implementation costs for tax administrations arising</w:t>
      </w:r>
      <w:r w:rsidR="29040AC7">
        <w:rPr>
          <w:noProof/>
        </w:rPr>
        <w:t xml:space="preserve"> from the introduction of a centralised v</w:t>
      </w:r>
      <w:r w:rsidR="69B8F412">
        <w:rPr>
          <w:noProof/>
        </w:rPr>
        <w:t>erification</w:t>
      </w:r>
      <w:r w:rsidR="29040AC7">
        <w:rPr>
          <w:noProof/>
        </w:rPr>
        <w:t xml:space="preserve"> system.</w:t>
      </w:r>
    </w:p>
    <w:p w14:paraId="7320CD71" w14:textId="57F95322" w:rsidR="29040AC7" w:rsidRDefault="29040AC7" w:rsidP="4321A1A3">
      <w:pPr>
        <w:pStyle w:val="Text2"/>
        <w:ind w:left="0"/>
        <w:rPr>
          <w:noProof/>
        </w:rPr>
      </w:pPr>
      <w:r>
        <w:rPr>
          <w:noProof/>
        </w:rPr>
        <w:t>As</w:t>
      </w:r>
      <w:r w:rsidR="3B5DEA35">
        <w:rPr>
          <w:noProof/>
        </w:rPr>
        <w:t xml:space="preserve"> </w:t>
      </w:r>
      <w:r w:rsidR="4D3AA861" w:rsidRPr="4321A1A3">
        <w:rPr>
          <w:b/>
          <w:bCs/>
          <w:noProof/>
        </w:rPr>
        <w:t>PO</w:t>
      </w:r>
      <w:r w:rsidR="5703FBD8" w:rsidRPr="4321A1A3">
        <w:rPr>
          <w:b/>
          <w:bCs/>
          <w:noProof/>
        </w:rPr>
        <w:t>4</w:t>
      </w:r>
      <w:r w:rsidR="036D4017" w:rsidRPr="4321A1A3">
        <w:rPr>
          <w:b/>
          <w:bCs/>
          <w:noProof/>
        </w:rPr>
        <w:t>b</w:t>
      </w:r>
      <w:r w:rsidR="5703FBD8">
        <w:rPr>
          <w:noProof/>
        </w:rPr>
        <w:t xml:space="preserve"> envisages access </w:t>
      </w:r>
      <w:r w:rsidR="753762BA">
        <w:rPr>
          <w:noProof/>
        </w:rPr>
        <w:t>by reporting entities</w:t>
      </w:r>
      <w:r w:rsidR="6D1DF759">
        <w:rPr>
          <w:noProof/>
        </w:rPr>
        <w:t>, on a voluntary basis,</w:t>
      </w:r>
      <w:r w:rsidR="753762BA">
        <w:rPr>
          <w:noProof/>
        </w:rPr>
        <w:t xml:space="preserve"> </w:t>
      </w:r>
      <w:r w:rsidR="6DF1A028">
        <w:rPr>
          <w:noProof/>
        </w:rPr>
        <w:t xml:space="preserve">administrative costs are expected to decline </w:t>
      </w:r>
      <w:r w:rsidR="5662CB8C">
        <w:rPr>
          <w:noProof/>
        </w:rPr>
        <w:t xml:space="preserve">for those reporting entities </w:t>
      </w:r>
      <w:r w:rsidR="6DF1A028">
        <w:rPr>
          <w:noProof/>
        </w:rPr>
        <w:t xml:space="preserve">because </w:t>
      </w:r>
      <w:r w:rsidR="009A6A15">
        <w:rPr>
          <w:noProof/>
        </w:rPr>
        <w:t>they will</w:t>
      </w:r>
      <w:r w:rsidR="6DF1A028">
        <w:rPr>
          <w:noProof/>
        </w:rPr>
        <w:t xml:space="preserve"> receive less follow up requests for correction information f</w:t>
      </w:r>
      <w:r w:rsidR="53549D2F">
        <w:rPr>
          <w:noProof/>
        </w:rPr>
        <w:t>rom tax authorities</w:t>
      </w:r>
      <w:r w:rsidR="706BF7A0">
        <w:rPr>
          <w:noProof/>
        </w:rPr>
        <w:t>. Simultaneously</w:t>
      </w:r>
      <w:r w:rsidR="53549D2F">
        <w:rPr>
          <w:noProof/>
        </w:rPr>
        <w:t xml:space="preserve"> </w:t>
      </w:r>
      <w:r w:rsidR="5F190880">
        <w:rPr>
          <w:noProof/>
        </w:rPr>
        <w:t>in instances where a verified TIN is provided</w:t>
      </w:r>
      <w:r w:rsidR="3FEB75A7">
        <w:rPr>
          <w:noProof/>
        </w:rPr>
        <w:t>,</w:t>
      </w:r>
      <w:r w:rsidR="5F190880">
        <w:rPr>
          <w:noProof/>
        </w:rPr>
        <w:t xml:space="preserve"> </w:t>
      </w:r>
      <w:r w:rsidR="2462D9E3">
        <w:rPr>
          <w:noProof/>
        </w:rPr>
        <w:t xml:space="preserve">reporting entities </w:t>
      </w:r>
      <w:r w:rsidR="170C855C">
        <w:rPr>
          <w:noProof/>
        </w:rPr>
        <w:t xml:space="preserve">choosing to use the centralised TIN verification system, </w:t>
      </w:r>
      <w:r w:rsidR="5F190880">
        <w:rPr>
          <w:noProof/>
        </w:rPr>
        <w:t xml:space="preserve">will no longer be required to verify and report </w:t>
      </w:r>
      <w:r w:rsidR="6047B57E">
        <w:rPr>
          <w:noProof/>
        </w:rPr>
        <w:t xml:space="preserve">additional identifying information </w:t>
      </w:r>
      <w:r w:rsidR="46893453">
        <w:rPr>
          <w:noProof/>
        </w:rPr>
        <w:t xml:space="preserve">(e.g. </w:t>
      </w:r>
      <w:r w:rsidR="3BD7E22B">
        <w:rPr>
          <w:noProof/>
        </w:rPr>
        <w:t>the</w:t>
      </w:r>
      <w:r w:rsidR="6047B57E">
        <w:rPr>
          <w:noProof/>
        </w:rPr>
        <w:t xml:space="preserve"> date of birth of the taxpayer</w:t>
      </w:r>
      <w:r w:rsidR="05995CB4">
        <w:rPr>
          <w:noProof/>
        </w:rPr>
        <w:t>)</w:t>
      </w:r>
      <w:r w:rsidR="53D62E7A">
        <w:rPr>
          <w:noProof/>
        </w:rPr>
        <w:t xml:space="preserve">, </w:t>
      </w:r>
      <w:r w:rsidR="33EDB0FE">
        <w:rPr>
          <w:noProof/>
        </w:rPr>
        <w:t xml:space="preserve">thereby further reducing administrative costs. </w:t>
      </w:r>
      <w:r w:rsidR="58453014">
        <w:rPr>
          <w:noProof/>
        </w:rPr>
        <w:t xml:space="preserve">Under </w:t>
      </w:r>
      <w:r w:rsidR="5709ADA4" w:rsidRPr="4321A1A3">
        <w:rPr>
          <w:b/>
          <w:bCs/>
          <w:noProof/>
        </w:rPr>
        <w:t>PO4</w:t>
      </w:r>
      <w:r w:rsidR="009318E9" w:rsidRPr="4321A1A3">
        <w:rPr>
          <w:b/>
          <w:bCs/>
          <w:noProof/>
        </w:rPr>
        <w:t xml:space="preserve">b, </w:t>
      </w:r>
      <w:r w:rsidR="009318E9">
        <w:rPr>
          <w:noProof/>
        </w:rPr>
        <w:t>tax</w:t>
      </w:r>
      <w:r w:rsidR="58453014">
        <w:rPr>
          <w:noProof/>
        </w:rPr>
        <w:t xml:space="preserve"> authorities are expected </w:t>
      </w:r>
      <w:r w:rsidR="7E42148D">
        <w:rPr>
          <w:noProof/>
        </w:rPr>
        <w:t xml:space="preserve">to see a reduction in administrative costs </w:t>
      </w:r>
      <w:r w:rsidR="3E768269">
        <w:rPr>
          <w:noProof/>
        </w:rPr>
        <w:t xml:space="preserve">as the reporting of a verified TIN will reduce the need for follow up requests for correction information while also reducing the necessity for </w:t>
      </w:r>
      <w:r w:rsidR="7385B0BC">
        <w:rPr>
          <w:noProof/>
        </w:rPr>
        <w:t xml:space="preserve">human and technical </w:t>
      </w:r>
      <w:r w:rsidR="3E768269">
        <w:rPr>
          <w:noProof/>
        </w:rPr>
        <w:t>investment in manual matching processes and procedur</w:t>
      </w:r>
      <w:r w:rsidR="77D91998">
        <w:rPr>
          <w:noProof/>
        </w:rPr>
        <w:t xml:space="preserve">es. </w:t>
      </w:r>
      <w:r w:rsidR="7559609E">
        <w:rPr>
          <w:noProof/>
        </w:rPr>
        <w:t>Finally, as detailed in Chapter 6</w:t>
      </w:r>
      <w:r w:rsidR="473A01C4">
        <w:rPr>
          <w:noProof/>
        </w:rPr>
        <w:t xml:space="preserve">, </w:t>
      </w:r>
      <w:r w:rsidR="7559609E">
        <w:rPr>
          <w:noProof/>
        </w:rPr>
        <w:t>one-off adjustment costs are expected to b</w:t>
      </w:r>
      <w:r w:rsidR="72E65808">
        <w:rPr>
          <w:noProof/>
        </w:rPr>
        <w:t xml:space="preserve">e higher than </w:t>
      </w:r>
      <w:r w:rsidR="2D989C7B" w:rsidRPr="4321A1A3">
        <w:rPr>
          <w:b/>
          <w:bCs/>
          <w:noProof/>
        </w:rPr>
        <w:t>PO</w:t>
      </w:r>
      <w:r w:rsidR="72E65808" w:rsidRPr="4321A1A3">
        <w:rPr>
          <w:b/>
          <w:bCs/>
          <w:noProof/>
        </w:rPr>
        <w:t>4a</w:t>
      </w:r>
      <w:r w:rsidR="72E65808">
        <w:rPr>
          <w:noProof/>
        </w:rPr>
        <w:t>, as tax administrations will be required to verify authentication and access to the system by reporting en</w:t>
      </w:r>
      <w:r w:rsidR="3C806731">
        <w:rPr>
          <w:noProof/>
        </w:rPr>
        <w:t xml:space="preserve">tities. </w:t>
      </w:r>
    </w:p>
    <w:p w14:paraId="14F0EBE8" w14:textId="0AB69661" w:rsidR="006B087E" w:rsidRPr="00F92EAE" w:rsidRDefault="1D358538" w:rsidP="009A6A15">
      <w:pPr>
        <w:pStyle w:val="Heading2"/>
        <w:numPr>
          <w:ilvl w:val="0"/>
          <w:numId w:val="0"/>
        </w:numPr>
        <w:rPr>
          <w:noProof/>
          <w:color w:val="000000" w:themeColor="text1"/>
        </w:rPr>
      </w:pPr>
      <w:bookmarkStart w:id="31" w:name="_Toc231816716"/>
      <w:r>
        <w:rPr>
          <w:noProof/>
        </w:rPr>
        <w:t xml:space="preserve">Measure </w:t>
      </w:r>
      <w:r w:rsidR="4C451404">
        <w:rPr>
          <w:noProof/>
        </w:rPr>
        <w:t>5</w:t>
      </w:r>
      <w:r w:rsidR="4EBEC847">
        <w:rPr>
          <w:noProof/>
        </w:rPr>
        <w:t xml:space="preserve"> - </w:t>
      </w:r>
      <w:r w:rsidR="47B3AE8C" w:rsidRPr="4321A1A3">
        <w:rPr>
          <w:noProof/>
          <w:color w:val="000000" w:themeColor="text1"/>
        </w:rPr>
        <w:t>Improving the completeness of information reported under DAC1</w:t>
      </w:r>
      <w:bookmarkEnd w:id="31"/>
    </w:p>
    <w:p w14:paraId="3A0EC11C" w14:textId="30921F09" w:rsidR="006B087E" w:rsidRDefault="09CFA7A8" w:rsidP="4321A1A3">
      <w:pPr>
        <w:pStyle w:val="Text2"/>
        <w:ind w:left="0"/>
        <w:rPr>
          <w:noProof/>
          <w:sz w:val="20"/>
          <w:lang w:val="en-US"/>
        </w:rPr>
      </w:pPr>
      <w:r w:rsidRPr="4321A1A3">
        <w:rPr>
          <w:noProof/>
          <w:sz w:val="20"/>
        </w:rPr>
        <w:t xml:space="preserve">Under </w:t>
      </w:r>
      <w:r w:rsidR="47B3AE8C" w:rsidRPr="4321A1A3">
        <w:rPr>
          <w:b/>
          <w:bCs/>
          <w:noProof/>
          <w:sz w:val="20"/>
        </w:rPr>
        <w:t>PO</w:t>
      </w:r>
      <w:r w:rsidR="78ABF442" w:rsidRPr="4321A1A3">
        <w:rPr>
          <w:b/>
          <w:bCs/>
          <w:noProof/>
          <w:sz w:val="20"/>
        </w:rPr>
        <w:t>5</w:t>
      </w:r>
      <w:r w:rsidR="47B3AE8C" w:rsidRPr="4321A1A3">
        <w:rPr>
          <w:b/>
          <w:bCs/>
          <w:noProof/>
          <w:sz w:val="20"/>
        </w:rPr>
        <w:t>a</w:t>
      </w:r>
      <w:r w:rsidR="153D378A" w:rsidRPr="4321A1A3">
        <w:rPr>
          <w:b/>
          <w:bCs/>
          <w:noProof/>
          <w:sz w:val="20"/>
        </w:rPr>
        <w:t xml:space="preserve"> </w:t>
      </w:r>
      <w:r w:rsidR="153D378A" w:rsidRPr="4321A1A3">
        <w:rPr>
          <w:noProof/>
          <w:sz w:val="20"/>
        </w:rPr>
        <w:t>t</w:t>
      </w:r>
      <w:r w:rsidR="47B3AE8C" w:rsidRPr="4321A1A3">
        <w:rPr>
          <w:noProof/>
          <w:sz w:val="20"/>
          <w:lang w:val="en-US"/>
        </w:rPr>
        <w:t xml:space="preserve">he </w:t>
      </w:r>
      <w:r w:rsidR="548EC154" w:rsidRPr="4321A1A3">
        <w:rPr>
          <w:noProof/>
          <w:sz w:val="20"/>
          <w:lang w:val="en-US"/>
        </w:rPr>
        <w:t xml:space="preserve">LIP category </w:t>
      </w:r>
      <w:r w:rsidR="47B3AE8C" w:rsidRPr="4321A1A3">
        <w:rPr>
          <w:noProof/>
          <w:sz w:val="20"/>
          <w:lang w:val="en-US"/>
        </w:rPr>
        <w:t>is</w:t>
      </w:r>
      <w:r w:rsidR="50A3446B" w:rsidRPr="4321A1A3">
        <w:rPr>
          <w:noProof/>
          <w:sz w:val="20"/>
          <w:lang w:val="en-US"/>
        </w:rPr>
        <w:t xml:space="preserve"> </w:t>
      </w:r>
      <w:r w:rsidR="3E6B3E59" w:rsidRPr="4321A1A3">
        <w:rPr>
          <w:noProof/>
          <w:sz w:val="20"/>
          <w:lang w:val="en-US"/>
        </w:rPr>
        <w:t>removed</w:t>
      </w:r>
      <w:r w:rsidR="5B44237D" w:rsidRPr="4321A1A3">
        <w:rPr>
          <w:noProof/>
          <w:sz w:val="20"/>
          <w:lang w:val="en-US"/>
        </w:rPr>
        <w:t>. T</w:t>
      </w:r>
      <w:r w:rsidR="1C61298A" w:rsidRPr="4321A1A3">
        <w:rPr>
          <w:noProof/>
          <w:sz w:val="20"/>
          <w:lang w:val="en-US"/>
        </w:rPr>
        <w:t xml:space="preserve">his is also applicable to </w:t>
      </w:r>
      <w:r w:rsidR="47B3AE8C" w:rsidRPr="4321A1A3">
        <w:rPr>
          <w:b/>
          <w:bCs/>
          <w:noProof/>
          <w:sz w:val="20"/>
        </w:rPr>
        <w:t>PO</w:t>
      </w:r>
      <w:r w:rsidR="08C9B4E0" w:rsidRPr="4321A1A3">
        <w:rPr>
          <w:b/>
          <w:bCs/>
          <w:noProof/>
          <w:sz w:val="20"/>
        </w:rPr>
        <w:t>5</w:t>
      </w:r>
      <w:r w:rsidR="47B3AE8C" w:rsidRPr="4321A1A3">
        <w:rPr>
          <w:b/>
          <w:bCs/>
          <w:noProof/>
          <w:sz w:val="20"/>
        </w:rPr>
        <w:t>b</w:t>
      </w:r>
      <w:r w:rsidR="78EA8695" w:rsidRPr="4321A1A3">
        <w:rPr>
          <w:b/>
          <w:bCs/>
          <w:noProof/>
          <w:sz w:val="20"/>
        </w:rPr>
        <w:t xml:space="preserve"> </w:t>
      </w:r>
      <w:r w:rsidR="78EA8695" w:rsidRPr="4321A1A3">
        <w:rPr>
          <w:noProof/>
          <w:sz w:val="20"/>
        </w:rPr>
        <w:t>whe</w:t>
      </w:r>
      <w:r w:rsidR="7F973D8F" w:rsidRPr="4321A1A3">
        <w:rPr>
          <w:noProof/>
          <w:sz w:val="20"/>
        </w:rPr>
        <w:t>r</w:t>
      </w:r>
      <w:r w:rsidR="78EA8695" w:rsidRPr="4321A1A3">
        <w:rPr>
          <w:noProof/>
          <w:sz w:val="20"/>
        </w:rPr>
        <w:t>e</w:t>
      </w:r>
      <w:r w:rsidR="334416BB" w:rsidRPr="4321A1A3">
        <w:rPr>
          <w:noProof/>
          <w:sz w:val="20"/>
        </w:rPr>
        <w:t>,</w:t>
      </w:r>
      <w:r w:rsidR="78EA8695" w:rsidRPr="4321A1A3">
        <w:rPr>
          <w:noProof/>
          <w:sz w:val="20"/>
        </w:rPr>
        <w:t xml:space="preserve"> in addition</w:t>
      </w:r>
      <w:r w:rsidR="53798A17" w:rsidRPr="4321A1A3">
        <w:rPr>
          <w:noProof/>
          <w:sz w:val="20"/>
        </w:rPr>
        <w:t xml:space="preserve">, </w:t>
      </w:r>
      <w:r w:rsidR="47B3AE8C" w:rsidRPr="4321A1A3">
        <w:rPr>
          <w:noProof/>
          <w:sz w:val="20"/>
          <w:lang w:val="en-US"/>
        </w:rPr>
        <w:t xml:space="preserve">Member States </w:t>
      </w:r>
      <w:r w:rsidR="2B871789" w:rsidRPr="4321A1A3">
        <w:rPr>
          <w:noProof/>
          <w:sz w:val="20"/>
          <w:lang w:val="en-US"/>
        </w:rPr>
        <w:t>are</w:t>
      </w:r>
      <w:r w:rsidR="47B3AE8C" w:rsidRPr="4321A1A3">
        <w:rPr>
          <w:noProof/>
          <w:sz w:val="20"/>
          <w:lang w:val="en-US"/>
        </w:rPr>
        <w:t xml:space="preserve"> </w:t>
      </w:r>
      <w:r w:rsidR="11B7FBF0" w:rsidRPr="4321A1A3">
        <w:rPr>
          <w:noProof/>
          <w:sz w:val="20"/>
          <w:lang w:val="en-US"/>
        </w:rPr>
        <w:t xml:space="preserve">required </w:t>
      </w:r>
      <w:r w:rsidR="47B3AE8C" w:rsidRPr="4321A1A3">
        <w:rPr>
          <w:noProof/>
          <w:sz w:val="20"/>
          <w:lang w:val="en-US"/>
        </w:rPr>
        <w:t xml:space="preserve">to automatically exchange information available in their tax files on </w:t>
      </w:r>
      <w:r w:rsidR="015DA040" w:rsidRPr="4321A1A3">
        <w:rPr>
          <w:noProof/>
          <w:sz w:val="20"/>
          <w:lang w:val="en-US"/>
        </w:rPr>
        <w:t xml:space="preserve">all </w:t>
      </w:r>
      <w:r w:rsidR="47B3AE8C" w:rsidRPr="4321A1A3">
        <w:rPr>
          <w:noProof/>
          <w:sz w:val="20"/>
          <w:lang w:val="en-US"/>
        </w:rPr>
        <w:t>remaining six categories of income and capital.</w:t>
      </w:r>
      <w:r w:rsidR="7BC89CCE" w:rsidRPr="4321A1A3">
        <w:rPr>
          <w:noProof/>
          <w:sz w:val="20"/>
          <w:lang w:val="en-US"/>
        </w:rPr>
        <w:t xml:space="preserve"> </w:t>
      </w:r>
      <w:r w:rsidR="47B3AE8C" w:rsidRPr="4321A1A3">
        <w:rPr>
          <w:b/>
          <w:bCs/>
          <w:noProof/>
          <w:sz w:val="20"/>
          <w:lang w:val="en-US"/>
        </w:rPr>
        <w:t>PO</w:t>
      </w:r>
      <w:r w:rsidR="788B1F03" w:rsidRPr="4321A1A3">
        <w:rPr>
          <w:b/>
          <w:bCs/>
          <w:noProof/>
          <w:sz w:val="20"/>
          <w:lang w:val="en-US"/>
        </w:rPr>
        <w:t>5</w:t>
      </w:r>
      <w:r w:rsidR="47B3AE8C" w:rsidRPr="4321A1A3">
        <w:rPr>
          <w:b/>
          <w:bCs/>
          <w:noProof/>
          <w:sz w:val="20"/>
          <w:lang w:val="en-US"/>
        </w:rPr>
        <w:t>c</w:t>
      </w:r>
      <w:r w:rsidR="512A3A2C" w:rsidRPr="4321A1A3">
        <w:rPr>
          <w:b/>
          <w:bCs/>
          <w:noProof/>
          <w:sz w:val="20"/>
          <w:lang w:val="en-US"/>
        </w:rPr>
        <w:t xml:space="preserve"> </w:t>
      </w:r>
      <w:r w:rsidR="512A3A2C" w:rsidRPr="4321A1A3">
        <w:rPr>
          <w:noProof/>
          <w:sz w:val="20"/>
          <w:lang w:val="en-US"/>
        </w:rPr>
        <w:t>builds on the preceding options and requires</w:t>
      </w:r>
      <w:r w:rsidR="248958C5" w:rsidRPr="4321A1A3">
        <w:rPr>
          <w:noProof/>
          <w:sz w:val="20"/>
          <w:lang w:val="en-US"/>
        </w:rPr>
        <w:t xml:space="preserve"> </w:t>
      </w:r>
      <w:r w:rsidR="47B3AE8C" w:rsidRPr="4321A1A3">
        <w:rPr>
          <w:noProof/>
          <w:sz w:val="20"/>
          <w:lang w:val="en-US"/>
        </w:rPr>
        <w:t>Member States</w:t>
      </w:r>
      <w:r w:rsidR="55AFF2F2" w:rsidRPr="4321A1A3">
        <w:rPr>
          <w:noProof/>
          <w:sz w:val="20"/>
          <w:lang w:val="en-US"/>
        </w:rPr>
        <w:t xml:space="preserve"> </w:t>
      </w:r>
      <w:r w:rsidR="47B3AE8C" w:rsidRPr="4321A1A3">
        <w:rPr>
          <w:noProof/>
          <w:sz w:val="20"/>
          <w:lang w:val="en-US"/>
        </w:rPr>
        <w:t xml:space="preserve">to automatically exchange information available to </w:t>
      </w:r>
      <w:r w:rsidR="530237B9" w:rsidRPr="4321A1A3">
        <w:rPr>
          <w:noProof/>
          <w:sz w:val="20"/>
          <w:lang w:val="en-US"/>
        </w:rPr>
        <w:t xml:space="preserve">all </w:t>
      </w:r>
      <w:r w:rsidR="14823D83" w:rsidRPr="4321A1A3">
        <w:rPr>
          <w:noProof/>
          <w:sz w:val="20"/>
          <w:lang w:val="en-US"/>
        </w:rPr>
        <w:t xml:space="preserve">relevant </w:t>
      </w:r>
      <w:r w:rsidR="47B3AE8C" w:rsidRPr="4321A1A3">
        <w:rPr>
          <w:noProof/>
          <w:sz w:val="20"/>
          <w:lang w:val="en-US"/>
        </w:rPr>
        <w:t xml:space="preserve">public authorities in the Member States </w:t>
      </w:r>
      <w:r w:rsidR="6DC017C8" w:rsidRPr="4321A1A3">
        <w:rPr>
          <w:noProof/>
          <w:sz w:val="20"/>
          <w:lang w:val="en-US"/>
        </w:rPr>
        <w:t xml:space="preserve">on </w:t>
      </w:r>
      <w:r w:rsidR="64C68C1B" w:rsidRPr="4321A1A3">
        <w:rPr>
          <w:noProof/>
          <w:sz w:val="20"/>
          <w:lang w:val="en-US"/>
        </w:rPr>
        <w:t xml:space="preserve">all </w:t>
      </w:r>
      <w:r w:rsidR="47B3AE8C" w:rsidRPr="4321A1A3">
        <w:rPr>
          <w:noProof/>
          <w:sz w:val="20"/>
          <w:lang w:val="en-US"/>
        </w:rPr>
        <w:t>remaining six categories of income and capital.</w:t>
      </w:r>
    </w:p>
    <w:p w14:paraId="6AB2DF7D" w14:textId="5AC6D38E" w:rsidR="00440A35" w:rsidRPr="001A64AD" w:rsidRDefault="5D04AD70" w:rsidP="001A64AD">
      <w:pPr>
        <w:spacing w:after="200" w:line="276" w:lineRule="auto"/>
        <w:jc w:val="left"/>
        <w:rPr>
          <w:rFonts w:eastAsia="Times New Roman"/>
          <w:b/>
          <w:bCs/>
          <w:noProof/>
          <w:sz w:val="20"/>
          <w:szCs w:val="20"/>
          <w:u w:val="single"/>
          <w:lang w:val="en-US"/>
        </w:rPr>
      </w:pPr>
      <w:r w:rsidRPr="4321A1A3">
        <w:rPr>
          <w:b/>
          <w:bCs/>
          <w:noProof/>
          <w:sz w:val="20"/>
          <w:u w:val="single"/>
          <w:lang w:val="en-US"/>
        </w:rPr>
        <w:t>Effectiveness</w:t>
      </w:r>
    </w:p>
    <w:p w14:paraId="55FD0A6B" w14:textId="77777777" w:rsidR="00B02E69" w:rsidRPr="00440A35" w:rsidRDefault="00B02E69" w:rsidP="4321A1A3">
      <w:pPr>
        <w:pStyle w:val="Text2"/>
        <w:spacing w:after="0"/>
        <w:ind w:left="0"/>
        <w:rPr>
          <w:b/>
          <w:bCs/>
          <w:noProof/>
          <w:sz w:val="20"/>
          <w:u w:val="single"/>
          <w:lang w:val="en-US"/>
        </w:rPr>
      </w:pPr>
    </w:p>
    <w:tbl>
      <w:tblPr>
        <w:tblStyle w:val="TableGrid"/>
        <w:tblW w:w="8901" w:type="dxa"/>
        <w:tblLook w:val="06A0" w:firstRow="1" w:lastRow="0" w:firstColumn="1" w:lastColumn="0" w:noHBand="1" w:noVBand="1"/>
      </w:tblPr>
      <w:tblGrid>
        <w:gridCol w:w="2371"/>
        <w:gridCol w:w="1735"/>
        <w:gridCol w:w="1843"/>
        <w:gridCol w:w="1469"/>
        <w:gridCol w:w="1483"/>
      </w:tblGrid>
      <w:tr w:rsidR="3A123E5D" w14:paraId="76895C67" w14:textId="77777777" w:rsidTr="4321A1A3">
        <w:trPr>
          <w:trHeight w:val="300"/>
        </w:trPr>
        <w:tc>
          <w:tcPr>
            <w:tcW w:w="2371" w:type="dxa"/>
          </w:tcPr>
          <w:p w14:paraId="14422B6E" w14:textId="1622AD91" w:rsidR="3A123E5D" w:rsidRDefault="2CC4C19E" w:rsidP="4321A1A3">
            <w:pPr>
              <w:spacing w:after="0" w:line="257" w:lineRule="auto"/>
              <w:rPr>
                <w:noProof/>
                <w:sz w:val="20"/>
                <w:szCs w:val="20"/>
                <w:lang w:val="en-US"/>
              </w:rPr>
            </w:pPr>
            <w:r w:rsidRPr="4321A1A3">
              <w:rPr>
                <w:b/>
                <w:bCs/>
                <w:noProof/>
                <w:sz w:val="20"/>
                <w:szCs w:val="20"/>
              </w:rPr>
              <w:t>Specific Objective</w:t>
            </w:r>
          </w:p>
        </w:tc>
        <w:tc>
          <w:tcPr>
            <w:tcW w:w="1735" w:type="dxa"/>
          </w:tcPr>
          <w:p w14:paraId="23957668" w14:textId="49CD64F4" w:rsidR="7BF9EB3D" w:rsidRPr="5C32713D" w:rsidRDefault="2D8EAE12" w:rsidP="4321A1A3">
            <w:pPr>
              <w:pStyle w:val="Text2"/>
              <w:spacing w:after="0"/>
              <w:ind w:left="0"/>
              <w:jc w:val="center"/>
              <w:rPr>
                <w:b/>
                <w:bCs/>
                <w:noProof/>
                <w:sz w:val="20"/>
                <w:lang w:val="en-US"/>
              </w:rPr>
            </w:pPr>
            <w:r w:rsidRPr="4321A1A3">
              <w:rPr>
                <w:b/>
                <w:bCs/>
                <w:noProof/>
                <w:sz w:val="20"/>
                <w:lang w:val="en-US"/>
              </w:rPr>
              <w:t>Baseline</w:t>
            </w:r>
          </w:p>
        </w:tc>
        <w:tc>
          <w:tcPr>
            <w:tcW w:w="1843" w:type="dxa"/>
          </w:tcPr>
          <w:p w14:paraId="7043D79E" w14:textId="33BC7B94" w:rsidR="149A9131" w:rsidRDefault="57524FBC" w:rsidP="4321A1A3">
            <w:pPr>
              <w:pStyle w:val="Text2"/>
              <w:spacing w:after="0"/>
              <w:ind w:left="720"/>
              <w:rPr>
                <w:b/>
                <w:bCs/>
                <w:noProof/>
                <w:sz w:val="20"/>
                <w:lang w:val="en-US"/>
              </w:rPr>
            </w:pPr>
            <w:r w:rsidRPr="4321A1A3">
              <w:rPr>
                <w:b/>
                <w:bCs/>
                <w:noProof/>
                <w:sz w:val="20"/>
                <w:lang w:val="en-US"/>
              </w:rPr>
              <w:t>PO</w:t>
            </w:r>
            <w:r w:rsidR="7EDB3858" w:rsidRPr="4321A1A3">
              <w:rPr>
                <w:b/>
                <w:bCs/>
                <w:noProof/>
                <w:sz w:val="20"/>
                <w:lang w:val="en-US"/>
              </w:rPr>
              <w:t>5</w:t>
            </w:r>
            <w:r w:rsidRPr="4321A1A3">
              <w:rPr>
                <w:b/>
                <w:bCs/>
                <w:noProof/>
                <w:sz w:val="20"/>
                <w:lang w:val="en-US"/>
              </w:rPr>
              <w:t>a</w:t>
            </w:r>
          </w:p>
        </w:tc>
        <w:tc>
          <w:tcPr>
            <w:tcW w:w="1469" w:type="dxa"/>
          </w:tcPr>
          <w:p w14:paraId="04954A7A" w14:textId="2D9E3B92" w:rsidR="149A9131" w:rsidRDefault="57524FBC" w:rsidP="4321A1A3">
            <w:pPr>
              <w:pStyle w:val="Text2"/>
              <w:spacing w:after="0"/>
              <w:ind w:left="0"/>
              <w:jc w:val="center"/>
              <w:rPr>
                <w:b/>
                <w:bCs/>
                <w:noProof/>
                <w:sz w:val="20"/>
                <w:lang w:val="en-US"/>
              </w:rPr>
            </w:pPr>
            <w:r w:rsidRPr="4321A1A3">
              <w:rPr>
                <w:b/>
                <w:bCs/>
                <w:noProof/>
                <w:sz w:val="20"/>
                <w:lang w:val="en-US"/>
              </w:rPr>
              <w:t>PO</w:t>
            </w:r>
            <w:r w:rsidR="7500F97E" w:rsidRPr="4321A1A3">
              <w:rPr>
                <w:b/>
                <w:bCs/>
                <w:noProof/>
                <w:sz w:val="20"/>
                <w:lang w:val="en-US"/>
              </w:rPr>
              <w:t>5</w:t>
            </w:r>
            <w:r w:rsidRPr="4321A1A3">
              <w:rPr>
                <w:b/>
                <w:bCs/>
                <w:noProof/>
                <w:sz w:val="20"/>
                <w:lang w:val="en-US"/>
              </w:rPr>
              <w:t>b</w:t>
            </w:r>
          </w:p>
        </w:tc>
        <w:tc>
          <w:tcPr>
            <w:tcW w:w="1483" w:type="dxa"/>
          </w:tcPr>
          <w:p w14:paraId="4D46D391" w14:textId="56893966" w:rsidR="149A9131" w:rsidRDefault="2BD9D99A" w:rsidP="4321A1A3">
            <w:pPr>
              <w:pStyle w:val="Text2"/>
              <w:spacing w:after="0"/>
              <w:ind w:left="0"/>
              <w:jc w:val="center"/>
              <w:rPr>
                <w:b/>
                <w:bCs/>
                <w:noProof/>
                <w:sz w:val="20"/>
                <w:lang w:val="en-US"/>
              </w:rPr>
            </w:pPr>
            <w:r w:rsidRPr="4321A1A3">
              <w:rPr>
                <w:b/>
                <w:bCs/>
                <w:noProof/>
                <w:sz w:val="20"/>
                <w:lang w:val="en-US"/>
              </w:rPr>
              <w:t>PO</w:t>
            </w:r>
            <w:r w:rsidR="42C43377" w:rsidRPr="4321A1A3">
              <w:rPr>
                <w:b/>
                <w:bCs/>
                <w:noProof/>
                <w:sz w:val="20"/>
                <w:lang w:val="en-US"/>
              </w:rPr>
              <w:t>5</w:t>
            </w:r>
            <w:r w:rsidRPr="4321A1A3">
              <w:rPr>
                <w:b/>
                <w:bCs/>
                <w:noProof/>
                <w:sz w:val="20"/>
                <w:lang w:val="en-US"/>
              </w:rPr>
              <w:t>c</w:t>
            </w:r>
          </w:p>
        </w:tc>
      </w:tr>
      <w:tr w:rsidR="3A123E5D" w14:paraId="448A1FC6" w14:textId="77777777" w:rsidTr="4321A1A3">
        <w:trPr>
          <w:trHeight w:val="300"/>
        </w:trPr>
        <w:tc>
          <w:tcPr>
            <w:tcW w:w="2371" w:type="dxa"/>
          </w:tcPr>
          <w:p w14:paraId="2A4D392E" w14:textId="25C06971" w:rsidR="3A123E5D" w:rsidRDefault="4611511C" w:rsidP="4321A1A3">
            <w:pPr>
              <w:spacing w:after="0" w:line="257" w:lineRule="auto"/>
              <w:jc w:val="left"/>
              <w:rPr>
                <w:noProof/>
                <w:sz w:val="20"/>
                <w:szCs w:val="20"/>
              </w:rPr>
            </w:pPr>
            <w:r w:rsidRPr="4321A1A3">
              <w:rPr>
                <w:noProof/>
                <w:sz w:val="20"/>
                <w:szCs w:val="20"/>
              </w:rPr>
              <w:t>Reducing complexity and improving legal clarity and certainty</w:t>
            </w:r>
          </w:p>
        </w:tc>
        <w:tc>
          <w:tcPr>
            <w:tcW w:w="1735" w:type="dxa"/>
          </w:tcPr>
          <w:p w14:paraId="1AC6FCED" w14:textId="725B9B30" w:rsidR="5C32713D" w:rsidRDefault="2BD0315D" w:rsidP="4321A1A3">
            <w:pPr>
              <w:pStyle w:val="Text2"/>
              <w:spacing w:after="0"/>
              <w:ind w:left="0"/>
              <w:rPr>
                <w:noProof/>
                <w:sz w:val="20"/>
                <w:lang w:val="en-US"/>
              </w:rPr>
            </w:pPr>
            <w:r w:rsidRPr="4321A1A3">
              <w:rPr>
                <w:noProof/>
                <w:sz w:val="20"/>
                <w:lang w:val="en-US"/>
              </w:rPr>
              <w:t xml:space="preserve">           </w:t>
            </w:r>
            <w:r w:rsidR="43587C07" w:rsidRPr="4321A1A3">
              <w:rPr>
                <w:noProof/>
                <w:sz w:val="20"/>
                <w:lang w:val="en-US"/>
              </w:rPr>
              <w:t>0</w:t>
            </w:r>
          </w:p>
        </w:tc>
        <w:tc>
          <w:tcPr>
            <w:tcW w:w="1843" w:type="dxa"/>
          </w:tcPr>
          <w:p w14:paraId="0FF86623" w14:textId="37DB069D" w:rsidR="2804C470" w:rsidRDefault="2BD0315D" w:rsidP="4321A1A3">
            <w:pPr>
              <w:pStyle w:val="Text2"/>
              <w:spacing w:after="0"/>
              <w:ind w:left="0"/>
              <w:rPr>
                <w:noProof/>
                <w:sz w:val="20"/>
                <w:lang w:val="en-US"/>
              </w:rPr>
            </w:pPr>
            <w:r w:rsidRPr="4321A1A3">
              <w:rPr>
                <w:noProof/>
                <w:sz w:val="20"/>
                <w:lang w:val="en-US"/>
              </w:rPr>
              <w:t xml:space="preserve">              </w:t>
            </w:r>
            <w:r w:rsidR="5B21138C" w:rsidRPr="4321A1A3">
              <w:rPr>
                <w:noProof/>
                <w:sz w:val="20"/>
                <w:lang w:val="en-US"/>
              </w:rPr>
              <w:t>+</w:t>
            </w:r>
          </w:p>
        </w:tc>
        <w:tc>
          <w:tcPr>
            <w:tcW w:w="1469" w:type="dxa"/>
          </w:tcPr>
          <w:p w14:paraId="236BCE38" w14:textId="64D93C8B" w:rsidR="2804C470" w:rsidRDefault="2BD0315D" w:rsidP="4321A1A3">
            <w:pPr>
              <w:pStyle w:val="Text2"/>
              <w:spacing w:after="0"/>
              <w:ind w:left="0"/>
              <w:rPr>
                <w:noProof/>
                <w:sz w:val="20"/>
                <w:lang w:val="en-US"/>
              </w:rPr>
            </w:pPr>
            <w:r w:rsidRPr="4321A1A3">
              <w:rPr>
                <w:noProof/>
                <w:sz w:val="20"/>
                <w:lang w:val="en-US"/>
              </w:rPr>
              <w:t xml:space="preserve">        </w:t>
            </w:r>
            <w:r w:rsidR="539D9BD5" w:rsidRPr="4321A1A3">
              <w:rPr>
                <w:noProof/>
                <w:sz w:val="20"/>
                <w:lang w:val="en-US"/>
              </w:rPr>
              <w:t>+</w:t>
            </w:r>
            <w:r w:rsidR="2FD3876E" w:rsidRPr="4321A1A3">
              <w:rPr>
                <w:noProof/>
                <w:sz w:val="20"/>
                <w:lang w:val="en-US"/>
              </w:rPr>
              <w:t>+</w:t>
            </w:r>
          </w:p>
        </w:tc>
        <w:tc>
          <w:tcPr>
            <w:tcW w:w="1483" w:type="dxa"/>
          </w:tcPr>
          <w:p w14:paraId="479A0508" w14:textId="44BE4801" w:rsidR="2804C470" w:rsidRDefault="2BD0315D" w:rsidP="4321A1A3">
            <w:pPr>
              <w:pStyle w:val="Text2"/>
              <w:spacing w:after="0"/>
              <w:ind w:left="0"/>
              <w:rPr>
                <w:noProof/>
                <w:sz w:val="20"/>
                <w:lang w:val="en-US"/>
              </w:rPr>
            </w:pPr>
            <w:r w:rsidRPr="4321A1A3">
              <w:rPr>
                <w:noProof/>
                <w:sz w:val="20"/>
                <w:lang w:val="en-US"/>
              </w:rPr>
              <w:t xml:space="preserve">        </w:t>
            </w:r>
            <w:r w:rsidR="2F4E011A" w:rsidRPr="4321A1A3">
              <w:rPr>
                <w:noProof/>
                <w:sz w:val="20"/>
                <w:lang w:val="en-US"/>
              </w:rPr>
              <w:t>+</w:t>
            </w:r>
            <w:r w:rsidR="2FD3876E" w:rsidRPr="4321A1A3">
              <w:rPr>
                <w:noProof/>
                <w:sz w:val="20"/>
                <w:lang w:val="en-US"/>
              </w:rPr>
              <w:t>+</w:t>
            </w:r>
          </w:p>
        </w:tc>
      </w:tr>
      <w:tr w:rsidR="3A123E5D" w14:paraId="17B80972" w14:textId="77777777" w:rsidTr="4321A1A3">
        <w:trPr>
          <w:trHeight w:val="300"/>
        </w:trPr>
        <w:tc>
          <w:tcPr>
            <w:tcW w:w="2371" w:type="dxa"/>
          </w:tcPr>
          <w:p w14:paraId="726BACEA" w14:textId="6199D7B6" w:rsidR="3A123E5D" w:rsidRDefault="4611511C" w:rsidP="4321A1A3">
            <w:pPr>
              <w:spacing w:after="0" w:line="257" w:lineRule="auto"/>
              <w:jc w:val="left"/>
              <w:rPr>
                <w:noProof/>
                <w:sz w:val="20"/>
                <w:szCs w:val="20"/>
              </w:rPr>
            </w:pPr>
            <w:r w:rsidRPr="4321A1A3">
              <w:rPr>
                <w:noProof/>
                <w:sz w:val="20"/>
                <w:szCs w:val="20"/>
              </w:rPr>
              <w:t>Ensuring reporting obligations are proportionate and better targeted while preserving policy objectives</w:t>
            </w:r>
          </w:p>
        </w:tc>
        <w:tc>
          <w:tcPr>
            <w:tcW w:w="1735" w:type="dxa"/>
          </w:tcPr>
          <w:p w14:paraId="5BF2A771" w14:textId="2C22CDD7" w:rsidR="5C32713D" w:rsidRDefault="2BD0315D" w:rsidP="4321A1A3">
            <w:pPr>
              <w:pStyle w:val="Text2"/>
              <w:spacing w:after="0"/>
              <w:ind w:left="0"/>
              <w:rPr>
                <w:noProof/>
                <w:sz w:val="20"/>
                <w:lang w:val="en-US"/>
              </w:rPr>
            </w:pPr>
            <w:r w:rsidRPr="4321A1A3">
              <w:rPr>
                <w:noProof/>
                <w:sz w:val="20"/>
                <w:lang w:val="en-US"/>
              </w:rPr>
              <w:t xml:space="preserve">            </w:t>
            </w:r>
            <w:r w:rsidR="2873FFC3" w:rsidRPr="4321A1A3">
              <w:rPr>
                <w:noProof/>
                <w:sz w:val="20"/>
                <w:lang w:val="en-US"/>
              </w:rPr>
              <w:t>0</w:t>
            </w:r>
          </w:p>
        </w:tc>
        <w:tc>
          <w:tcPr>
            <w:tcW w:w="1843" w:type="dxa"/>
          </w:tcPr>
          <w:p w14:paraId="11ECBE93" w14:textId="7742A2D5" w:rsidR="181DC258" w:rsidRDefault="2BD0315D" w:rsidP="4321A1A3">
            <w:pPr>
              <w:pStyle w:val="Text2"/>
              <w:spacing w:after="0"/>
              <w:ind w:left="0"/>
              <w:rPr>
                <w:noProof/>
                <w:sz w:val="20"/>
                <w:lang w:val="en-US"/>
              </w:rPr>
            </w:pPr>
            <w:r w:rsidRPr="4321A1A3">
              <w:rPr>
                <w:noProof/>
                <w:sz w:val="20"/>
                <w:lang w:val="en-US"/>
              </w:rPr>
              <w:t xml:space="preserve">             </w:t>
            </w:r>
            <w:r w:rsidR="454FD325" w:rsidRPr="4321A1A3">
              <w:rPr>
                <w:noProof/>
                <w:sz w:val="20"/>
                <w:lang w:val="en-US"/>
              </w:rPr>
              <w:t>+</w:t>
            </w:r>
          </w:p>
        </w:tc>
        <w:tc>
          <w:tcPr>
            <w:tcW w:w="1469" w:type="dxa"/>
          </w:tcPr>
          <w:p w14:paraId="40E505A6" w14:textId="4E4FC886" w:rsidR="181DC258" w:rsidRPr="009A6A15" w:rsidRDefault="2BD0315D" w:rsidP="4321A1A3">
            <w:pPr>
              <w:pStyle w:val="Text2"/>
              <w:spacing w:after="0"/>
              <w:ind w:left="0"/>
              <w:rPr>
                <w:noProof/>
                <w:sz w:val="20"/>
                <w:lang w:val="en-US"/>
              </w:rPr>
            </w:pPr>
            <w:r w:rsidRPr="4321A1A3">
              <w:rPr>
                <w:noProof/>
                <w:sz w:val="20"/>
                <w:lang w:val="en-US"/>
              </w:rPr>
              <w:t xml:space="preserve">        </w:t>
            </w:r>
            <w:r w:rsidR="43C500D1" w:rsidRPr="4321A1A3">
              <w:rPr>
                <w:noProof/>
                <w:sz w:val="20"/>
                <w:lang w:val="en-US"/>
              </w:rPr>
              <w:t>+</w:t>
            </w:r>
            <w:r w:rsidR="17262208" w:rsidRPr="4321A1A3">
              <w:rPr>
                <w:noProof/>
                <w:sz w:val="20"/>
                <w:lang w:val="en-US"/>
              </w:rPr>
              <w:t>+</w:t>
            </w:r>
          </w:p>
        </w:tc>
        <w:tc>
          <w:tcPr>
            <w:tcW w:w="1483" w:type="dxa"/>
          </w:tcPr>
          <w:p w14:paraId="07BFF553" w14:textId="00CCC09F" w:rsidR="181DC258" w:rsidRDefault="2BD0315D" w:rsidP="4321A1A3">
            <w:pPr>
              <w:pStyle w:val="Text2"/>
              <w:spacing w:after="0"/>
              <w:ind w:left="0"/>
              <w:rPr>
                <w:noProof/>
                <w:sz w:val="20"/>
                <w:lang w:val="en-US"/>
              </w:rPr>
            </w:pPr>
            <w:r w:rsidRPr="4321A1A3">
              <w:rPr>
                <w:noProof/>
                <w:sz w:val="20"/>
                <w:lang w:val="en-US"/>
              </w:rPr>
              <w:t xml:space="preserve">        </w:t>
            </w:r>
            <w:r w:rsidR="17262208" w:rsidRPr="4321A1A3">
              <w:rPr>
                <w:noProof/>
                <w:sz w:val="20"/>
                <w:lang w:val="en-US"/>
              </w:rPr>
              <w:t>+++</w:t>
            </w:r>
          </w:p>
        </w:tc>
      </w:tr>
      <w:tr w:rsidR="3A123E5D" w14:paraId="74FBF31B" w14:textId="77777777" w:rsidTr="4321A1A3">
        <w:trPr>
          <w:trHeight w:val="300"/>
        </w:trPr>
        <w:tc>
          <w:tcPr>
            <w:tcW w:w="2371" w:type="dxa"/>
          </w:tcPr>
          <w:p w14:paraId="0BB75F7B" w14:textId="65F53BC7" w:rsidR="3A123E5D" w:rsidRDefault="4611511C" w:rsidP="4321A1A3">
            <w:pPr>
              <w:spacing w:after="0" w:line="257" w:lineRule="auto"/>
              <w:jc w:val="left"/>
              <w:rPr>
                <w:noProof/>
                <w:sz w:val="20"/>
                <w:szCs w:val="20"/>
              </w:rPr>
            </w:pPr>
            <w:r w:rsidRPr="4321A1A3">
              <w:rPr>
                <w:noProof/>
                <w:sz w:val="20"/>
                <w:szCs w:val="20"/>
              </w:rPr>
              <w:t>Improving the effectiveness and usability of exchanged information</w:t>
            </w:r>
          </w:p>
        </w:tc>
        <w:tc>
          <w:tcPr>
            <w:tcW w:w="1735" w:type="dxa"/>
          </w:tcPr>
          <w:p w14:paraId="0CE733FA" w14:textId="26F884C3" w:rsidR="5C32713D" w:rsidRDefault="2BD0315D" w:rsidP="4321A1A3">
            <w:pPr>
              <w:pStyle w:val="Text2"/>
              <w:spacing w:after="0"/>
              <w:ind w:left="0"/>
              <w:rPr>
                <w:noProof/>
                <w:sz w:val="20"/>
                <w:lang w:val="en-US"/>
              </w:rPr>
            </w:pPr>
            <w:r w:rsidRPr="4321A1A3">
              <w:rPr>
                <w:noProof/>
                <w:sz w:val="20"/>
                <w:lang w:val="en-US"/>
              </w:rPr>
              <w:t xml:space="preserve">            </w:t>
            </w:r>
            <w:r w:rsidR="451F6FE2" w:rsidRPr="4321A1A3">
              <w:rPr>
                <w:noProof/>
                <w:sz w:val="20"/>
                <w:lang w:val="en-US"/>
              </w:rPr>
              <w:t>0</w:t>
            </w:r>
          </w:p>
        </w:tc>
        <w:tc>
          <w:tcPr>
            <w:tcW w:w="1843" w:type="dxa"/>
          </w:tcPr>
          <w:p w14:paraId="13BF5A22" w14:textId="7AFC70F5" w:rsidR="77C24EFE" w:rsidRDefault="2BD0315D" w:rsidP="4321A1A3">
            <w:pPr>
              <w:pStyle w:val="Text2"/>
              <w:spacing w:after="0"/>
              <w:ind w:left="0"/>
              <w:rPr>
                <w:noProof/>
                <w:sz w:val="20"/>
                <w:lang w:val="en-US"/>
              </w:rPr>
            </w:pPr>
            <w:r w:rsidRPr="4321A1A3">
              <w:rPr>
                <w:noProof/>
                <w:sz w:val="20"/>
                <w:lang w:val="en-US"/>
              </w:rPr>
              <w:t xml:space="preserve">             </w:t>
            </w:r>
            <w:r w:rsidR="3426AAA2" w:rsidRPr="4321A1A3">
              <w:rPr>
                <w:noProof/>
                <w:sz w:val="20"/>
                <w:lang w:val="en-US"/>
              </w:rPr>
              <w:t>+</w:t>
            </w:r>
          </w:p>
        </w:tc>
        <w:tc>
          <w:tcPr>
            <w:tcW w:w="1469" w:type="dxa"/>
          </w:tcPr>
          <w:p w14:paraId="2F6454D4" w14:textId="59AF42F5" w:rsidR="77C24EFE" w:rsidRPr="009A6A15" w:rsidRDefault="2BD0315D" w:rsidP="4321A1A3">
            <w:pPr>
              <w:pStyle w:val="Text2"/>
              <w:spacing w:after="0"/>
              <w:ind w:left="0"/>
              <w:jc w:val="left"/>
              <w:rPr>
                <w:noProof/>
                <w:sz w:val="20"/>
                <w:lang w:val="en-US"/>
              </w:rPr>
            </w:pPr>
            <w:r w:rsidRPr="4321A1A3">
              <w:rPr>
                <w:noProof/>
                <w:sz w:val="20"/>
                <w:lang w:val="en-US"/>
              </w:rPr>
              <w:t xml:space="preserve">         </w:t>
            </w:r>
            <w:r w:rsidR="24161FB0" w:rsidRPr="4321A1A3">
              <w:rPr>
                <w:noProof/>
                <w:sz w:val="20"/>
                <w:lang w:val="en-US"/>
              </w:rPr>
              <w:t>++</w:t>
            </w:r>
          </w:p>
        </w:tc>
        <w:tc>
          <w:tcPr>
            <w:tcW w:w="1483" w:type="dxa"/>
          </w:tcPr>
          <w:p w14:paraId="59529685" w14:textId="51E65E54" w:rsidR="77C24EFE" w:rsidRDefault="2BD0315D" w:rsidP="4321A1A3">
            <w:pPr>
              <w:pStyle w:val="Text2"/>
              <w:spacing w:after="0"/>
              <w:ind w:left="0"/>
              <w:rPr>
                <w:noProof/>
                <w:sz w:val="20"/>
                <w:lang w:val="en-US"/>
              </w:rPr>
            </w:pPr>
            <w:r w:rsidRPr="4321A1A3">
              <w:rPr>
                <w:noProof/>
                <w:sz w:val="20"/>
                <w:lang w:val="en-US"/>
              </w:rPr>
              <w:t xml:space="preserve">        </w:t>
            </w:r>
            <w:r w:rsidR="39A04C5C" w:rsidRPr="4321A1A3">
              <w:rPr>
                <w:noProof/>
                <w:sz w:val="20"/>
                <w:lang w:val="en-US"/>
              </w:rPr>
              <w:t>++</w:t>
            </w:r>
            <w:r w:rsidR="140093CF" w:rsidRPr="4321A1A3">
              <w:rPr>
                <w:noProof/>
                <w:sz w:val="20"/>
                <w:lang w:val="en-US"/>
              </w:rPr>
              <w:t>+</w:t>
            </w:r>
          </w:p>
        </w:tc>
      </w:tr>
    </w:tbl>
    <w:p w14:paraId="45312B36" w14:textId="7B01091E" w:rsidR="006B087E" w:rsidRDefault="006B087E" w:rsidP="3A123E5D">
      <w:pPr>
        <w:spacing w:after="160" w:line="257" w:lineRule="auto"/>
        <w:rPr>
          <w:noProof/>
          <w:lang w:val="en-US"/>
        </w:rPr>
      </w:pPr>
    </w:p>
    <w:p w14:paraId="5DC7BF6B" w14:textId="1C349088" w:rsidR="006B087E" w:rsidRDefault="3EF07EC0" w:rsidP="3A123E5D">
      <w:pPr>
        <w:spacing w:after="160" w:line="257" w:lineRule="auto"/>
        <w:rPr>
          <w:rFonts w:eastAsia="Times New Roman"/>
          <w:noProof/>
          <w:lang w:val="en-US"/>
        </w:rPr>
      </w:pPr>
      <w:r w:rsidRPr="4321A1A3">
        <w:rPr>
          <w:rFonts w:eastAsia="Times New Roman"/>
          <w:noProof/>
          <w:lang w:val="en-US"/>
        </w:rPr>
        <w:t xml:space="preserve">All options improve the functioning of </w:t>
      </w:r>
      <w:r w:rsidR="306532BA" w:rsidRPr="4321A1A3">
        <w:rPr>
          <w:rFonts w:eastAsia="Times New Roman"/>
          <w:noProof/>
          <w:lang w:val="en-US"/>
        </w:rPr>
        <w:t xml:space="preserve">AEOI </w:t>
      </w:r>
      <w:r w:rsidRPr="4321A1A3">
        <w:rPr>
          <w:rFonts w:eastAsia="Times New Roman"/>
          <w:noProof/>
          <w:lang w:val="en-US"/>
        </w:rPr>
        <w:t>under DAC1 by addressing limitations in the completeness and consistency of the data exchanged between Member States.</w:t>
      </w:r>
      <w:r w:rsidR="2CBED015" w:rsidRPr="4321A1A3">
        <w:rPr>
          <w:rFonts w:eastAsia="Times New Roman"/>
          <w:noProof/>
          <w:lang w:val="en-US"/>
        </w:rPr>
        <w:t xml:space="preserve"> </w:t>
      </w:r>
      <w:r w:rsidRPr="4321A1A3">
        <w:rPr>
          <w:rFonts w:eastAsia="Times New Roman"/>
          <w:b/>
          <w:bCs/>
          <w:noProof/>
          <w:lang w:val="en-US"/>
        </w:rPr>
        <w:t>P</w:t>
      </w:r>
      <w:r w:rsidR="6DD88E82" w:rsidRPr="4321A1A3">
        <w:rPr>
          <w:rFonts w:eastAsia="Times New Roman"/>
          <w:b/>
          <w:bCs/>
          <w:noProof/>
          <w:lang w:val="en-US"/>
        </w:rPr>
        <w:t>O</w:t>
      </w:r>
      <w:r w:rsidR="7CD8F258" w:rsidRPr="4321A1A3">
        <w:rPr>
          <w:rFonts w:eastAsia="Times New Roman"/>
          <w:b/>
          <w:bCs/>
          <w:noProof/>
          <w:lang w:val="en-US"/>
        </w:rPr>
        <w:t>5</w:t>
      </w:r>
      <w:r w:rsidRPr="4321A1A3">
        <w:rPr>
          <w:rFonts w:eastAsia="Times New Roman"/>
          <w:b/>
          <w:bCs/>
          <w:noProof/>
          <w:lang w:val="en-US"/>
        </w:rPr>
        <w:t>a</w:t>
      </w:r>
      <w:r w:rsidRPr="4321A1A3">
        <w:rPr>
          <w:rFonts w:eastAsia="Times New Roman"/>
          <w:noProof/>
          <w:lang w:val="en-US"/>
        </w:rPr>
        <w:t xml:space="preserve"> </w:t>
      </w:r>
      <w:r w:rsidR="5061B174" w:rsidRPr="4321A1A3">
        <w:rPr>
          <w:rFonts w:eastAsia="Times New Roman"/>
          <w:noProof/>
          <w:lang w:val="en-US"/>
        </w:rPr>
        <w:t xml:space="preserve">would </w:t>
      </w:r>
      <w:r w:rsidR="390CC251" w:rsidRPr="4321A1A3">
        <w:rPr>
          <w:rFonts w:eastAsia="Times New Roman"/>
          <w:noProof/>
          <w:lang w:val="en-US"/>
        </w:rPr>
        <w:t>primarily simplif</w:t>
      </w:r>
      <w:r w:rsidR="5061B174" w:rsidRPr="4321A1A3">
        <w:rPr>
          <w:rFonts w:eastAsia="Times New Roman"/>
          <w:noProof/>
          <w:lang w:val="en-US"/>
        </w:rPr>
        <w:t>y</w:t>
      </w:r>
      <w:r w:rsidR="390CC251" w:rsidRPr="4321A1A3">
        <w:rPr>
          <w:rFonts w:eastAsia="Times New Roman"/>
          <w:noProof/>
          <w:lang w:val="en-US"/>
        </w:rPr>
        <w:t xml:space="preserve"> the existing framework, by removing </w:t>
      </w:r>
      <w:r w:rsidR="21C61F10" w:rsidRPr="4321A1A3">
        <w:rPr>
          <w:rFonts w:eastAsia="Times New Roman"/>
          <w:noProof/>
          <w:lang w:val="en-US"/>
        </w:rPr>
        <w:t xml:space="preserve">the </w:t>
      </w:r>
      <w:r w:rsidR="07C8E1FB" w:rsidRPr="4321A1A3">
        <w:rPr>
          <w:rFonts w:eastAsia="Times New Roman"/>
          <w:noProof/>
          <w:lang w:val="en-US"/>
        </w:rPr>
        <w:t xml:space="preserve">LIP </w:t>
      </w:r>
      <w:r w:rsidR="00942052" w:rsidRPr="4321A1A3">
        <w:rPr>
          <w:rFonts w:eastAsia="Times New Roman"/>
          <w:noProof/>
          <w:lang w:val="en-US"/>
        </w:rPr>
        <w:t>category from</w:t>
      </w:r>
      <w:r w:rsidR="21C61F10" w:rsidRPr="4321A1A3">
        <w:rPr>
          <w:rFonts w:eastAsia="Times New Roman"/>
          <w:noProof/>
          <w:lang w:val="en-US"/>
        </w:rPr>
        <w:t xml:space="preserve"> the list of categories subject to </w:t>
      </w:r>
      <w:r w:rsidR="1763C9F4" w:rsidRPr="4321A1A3">
        <w:rPr>
          <w:rFonts w:eastAsia="Times New Roman"/>
          <w:noProof/>
          <w:lang w:val="en-US"/>
        </w:rPr>
        <w:t>AEOI</w:t>
      </w:r>
      <w:r w:rsidR="25769DB8" w:rsidRPr="4321A1A3">
        <w:rPr>
          <w:rFonts w:eastAsia="Times New Roman"/>
          <w:noProof/>
          <w:lang w:val="en-US"/>
        </w:rPr>
        <w:t xml:space="preserve">. In doing so, </w:t>
      </w:r>
      <w:r w:rsidR="5E9B9938" w:rsidRPr="4321A1A3">
        <w:rPr>
          <w:rFonts w:eastAsia="Times New Roman"/>
          <w:noProof/>
          <w:lang w:val="en-US"/>
        </w:rPr>
        <w:t>th</w:t>
      </w:r>
      <w:r w:rsidR="04A69327" w:rsidRPr="4321A1A3">
        <w:rPr>
          <w:rFonts w:eastAsia="Times New Roman"/>
          <w:noProof/>
          <w:lang w:val="en-US"/>
        </w:rPr>
        <w:t>is</w:t>
      </w:r>
      <w:r w:rsidR="5E9B9938" w:rsidRPr="4321A1A3">
        <w:rPr>
          <w:rFonts w:eastAsia="Times New Roman"/>
          <w:noProof/>
          <w:lang w:val="en-US"/>
        </w:rPr>
        <w:t xml:space="preserve"> policy option </w:t>
      </w:r>
      <w:r w:rsidR="04A69327" w:rsidRPr="4321A1A3">
        <w:rPr>
          <w:rFonts w:eastAsia="Times New Roman"/>
          <w:noProof/>
          <w:lang w:val="en-US"/>
        </w:rPr>
        <w:t xml:space="preserve">would </w:t>
      </w:r>
      <w:r w:rsidR="5E9B9938" w:rsidRPr="4321A1A3">
        <w:rPr>
          <w:rFonts w:eastAsia="Times New Roman"/>
          <w:noProof/>
          <w:lang w:val="en-US"/>
        </w:rPr>
        <w:t xml:space="preserve">not </w:t>
      </w:r>
      <w:r w:rsidR="390CC251" w:rsidRPr="4321A1A3">
        <w:rPr>
          <w:rFonts w:eastAsia="Times New Roman"/>
          <w:noProof/>
          <w:lang w:val="en-US"/>
        </w:rPr>
        <w:t>significantly affect the overall effectiveness of administrative cooperation</w:t>
      </w:r>
      <w:r w:rsidR="2AD8DFA4" w:rsidRPr="4321A1A3">
        <w:rPr>
          <w:rFonts w:eastAsia="Times New Roman"/>
          <w:noProof/>
          <w:lang w:val="en-US"/>
        </w:rPr>
        <w:t xml:space="preserve">, </w:t>
      </w:r>
      <w:r w:rsidR="151DBB7F" w:rsidRPr="4321A1A3">
        <w:rPr>
          <w:rFonts w:eastAsia="Times New Roman"/>
          <w:noProof/>
          <w:lang w:val="en-US"/>
        </w:rPr>
        <w:t xml:space="preserve">given </w:t>
      </w:r>
      <w:r w:rsidRPr="4321A1A3">
        <w:rPr>
          <w:rFonts w:eastAsia="Times New Roman"/>
          <w:noProof/>
          <w:lang w:val="en-US"/>
        </w:rPr>
        <w:t>the limited use of the LIP category and its partial overlap with information exchanged under DAC2</w:t>
      </w:r>
      <w:r w:rsidR="151DBB7F" w:rsidRPr="4321A1A3">
        <w:rPr>
          <w:rFonts w:eastAsia="Times New Roman"/>
          <w:noProof/>
          <w:lang w:val="en-US"/>
        </w:rPr>
        <w:t>.</w:t>
      </w:r>
      <w:r w:rsidR="02CAC4DF" w:rsidRPr="4321A1A3">
        <w:rPr>
          <w:rFonts w:eastAsia="Times New Roman"/>
          <w:noProof/>
          <w:lang w:val="en-US"/>
        </w:rPr>
        <w:t xml:space="preserve"> </w:t>
      </w:r>
      <w:r w:rsidR="151DBB7F" w:rsidRPr="4321A1A3">
        <w:rPr>
          <w:rFonts w:eastAsia="Times New Roman"/>
          <w:b/>
          <w:bCs/>
          <w:noProof/>
        </w:rPr>
        <w:t>PO</w:t>
      </w:r>
      <w:r w:rsidR="4DD7EEB1" w:rsidRPr="4321A1A3">
        <w:rPr>
          <w:rFonts w:eastAsia="Times New Roman"/>
          <w:b/>
          <w:bCs/>
          <w:noProof/>
        </w:rPr>
        <w:t>5</w:t>
      </w:r>
      <w:r w:rsidRPr="4321A1A3">
        <w:rPr>
          <w:rFonts w:eastAsia="Times New Roman"/>
          <w:b/>
          <w:bCs/>
          <w:noProof/>
          <w:lang w:val="en-US"/>
        </w:rPr>
        <w:t>b</w:t>
      </w:r>
      <w:r w:rsidRPr="4321A1A3">
        <w:rPr>
          <w:rFonts w:eastAsia="Times New Roman"/>
          <w:noProof/>
          <w:lang w:val="en-US"/>
        </w:rPr>
        <w:t xml:space="preserve"> </w:t>
      </w:r>
      <w:r w:rsidR="6DD88E82" w:rsidRPr="4321A1A3">
        <w:rPr>
          <w:rFonts w:eastAsia="Times New Roman"/>
          <w:noProof/>
          <w:lang w:val="en-US"/>
        </w:rPr>
        <w:t>would, in addition to the benefits brough</w:t>
      </w:r>
      <w:r w:rsidR="009A6A15">
        <w:rPr>
          <w:rFonts w:eastAsia="Times New Roman"/>
          <w:noProof/>
          <w:lang w:val="en-US"/>
        </w:rPr>
        <w:t>t</w:t>
      </w:r>
      <w:r w:rsidR="6DD88E82" w:rsidRPr="4321A1A3">
        <w:rPr>
          <w:rFonts w:eastAsia="Times New Roman"/>
          <w:noProof/>
          <w:lang w:val="en-US"/>
        </w:rPr>
        <w:t xml:space="preserve"> about by </w:t>
      </w:r>
      <w:r w:rsidR="6DD88E82" w:rsidRPr="4321A1A3">
        <w:rPr>
          <w:rFonts w:eastAsia="Times New Roman"/>
          <w:b/>
          <w:bCs/>
          <w:noProof/>
          <w:lang w:val="en-US"/>
        </w:rPr>
        <w:t>PO</w:t>
      </w:r>
      <w:r w:rsidR="25C43935" w:rsidRPr="4321A1A3">
        <w:rPr>
          <w:rFonts w:eastAsia="Times New Roman"/>
          <w:b/>
          <w:bCs/>
          <w:noProof/>
          <w:lang w:val="en-US"/>
        </w:rPr>
        <w:t>5</w:t>
      </w:r>
      <w:r w:rsidR="6DD88E82" w:rsidRPr="4321A1A3">
        <w:rPr>
          <w:rFonts w:eastAsia="Times New Roman"/>
          <w:b/>
          <w:bCs/>
          <w:noProof/>
          <w:lang w:val="en-US"/>
        </w:rPr>
        <w:t>a</w:t>
      </w:r>
      <w:r w:rsidR="6DD88E82" w:rsidRPr="4321A1A3">
        <w:rPr>
          <w:rFonts w:eastAsia="Times New Roman"/>
          <w:noProof/>
          <w:lang w:val="en-US"/>
        </w:rPr>
        <w:t xml:space="preserve">, also </w:t>
      </w:r>
      <w:r w:rsidRPr="4321A1A3">
        <w:rPr>
          <w:rFonts w:eastAsia="Times New Roman"/>
          <w:noProof/>
          <w:lang w:val="en-US"/>
        </w:rPr>
        <w:t>improve the consistency and comparability of information exchanged across Member States and strengthen</w:t>
      </w:r>
      <w:r w:rsidR="6D50B5FD" w:rsidRPr="4321A1A3">
        <w:rPr>
          <w:rFonts w:eastAsia="Times New Roman"/>
          <w:noProof/>
          <w:lang w:val="en-US"/>
        </w:rPr>
        <w:t xml:space="preserve"> </w:t>
      </w:r>
      <w:r w:rsidRPr="4321A1A3">
        <w:rPr>
          <w:rFonts w:eastAsia="Times New Roman"/>
          <w:noProof/>
          <w:lang w:val="en-US"/>
        </w:rPr>
        <w:t>the level playing field</w:t>
      </w:r>
      <w:r w:rsidR="009A6A15">
        <w:rPr>
          <w:rFonts w:eastAsia="Times New Roman"/>
          <w:noProof/>
          <w:lang w:val="en-US"/>
        </w:rPr>
        <w:t>.</w:t>
      </w:r>
      <w:r w:rsidRPr="4321A1A3">
        <w:rPr>
          <w:rFonts w:eastAsia="Times New Roman"/>
          <w:noProof/>
          <w:lang w:val="en-US"/>
        </w:rPr>
        <w:t xml:space="preserve"> </w:t>
      </w:r>
      <w:r w:rsidR="3876950B" w:rsidRPr="4321A1A3">
        <w:rPr>
          <w:rFonts w:eastAsia="Times New Roman"/>
          <w:noProof/>
          <w:lang w:val="en-US"/>
        </w:rPr>
        <w:t>Moreover, b</w:t>
      </w:r>
      <w:r w:rsidRPr="4321A1A3">
        <w:rPr>
          <w:rFonts w:eastAsia="Times New Roman"/>
          <w:noProof/>
          <w:lang w:val="en-US"/>
        </w:rPr>
        <w:t xml:space="preserve">y ensuring that all Member States exchange information on the same set of categories, this option </w:t>
      </w:r>
      <w:r w:rsidR="3876950B" w:rsidRPr="4321A1A3">
        <w:rPr>
          <w:rFonts w:eastAsia="Times New Roman"/>
          <w:noProof/>
          <w:lang w:val="en-US"/>
        </w:rPr>
        <w:t xml:space="preserve">would also </w:t>
      </w:r>
      <w:r w:rsidRPr="4321A1A3">
        <w:rPr>
          <w:rFonts w:eastAsia="Times New Roman"/>
          <w:noProof/>
          <w:lang w:val="en-US"/>
        </w:rPr>
        <w:t xml:space="preserve">improve the usability of exchanged information for tax compliance purposes. </w:t>
      </w:r>
      <w:r w:rsidRPr="4321A1A3">
        <w:rPr>
          <w:rFonts w:eastAsia="Times New Roman"/>
          <w:b/>
          <w:bCs/>
          <w:noProof/>
          <w:lang w:val="en-US"/>
        </w:rPr>
        <w:t>P</w:t>
      </w:r>
      <w:r w:rsidR="3876950B" w:rsidRPr="4321A1A3">
        <w:rPr>
          <w:rFonts w:eastAsia="Times New Roman"/>
          <w:b/>
          <w:bCs/>
          <w:noProof/>
          <w:lang w:val="en-US"/>
        </w:rPr>
        <w:t>O</w:t>
      </w:r>
      <w:r w:rsidR="0F0CBB42" w:rsidRPr="4321A1A3">
        <w:rPr>
          <w:rFonts w:eastAsia="Times New Roman"/>
          <w:b/>
          <w:bCs/>
          <w:noProof/>
          <w:lang w:val="en-US"/>
        </w:rPr>
        <w:t>5</w:t>
      </w:r>
      <w:r w:rsidRPr="4321A1A3">
        <w:rPr>
          <w:rFonts w:eastAsia="Times New Roman"/>
          <w:b/>
          <w:bCs/>
          <w:noProof/>
          <w:lang w:val="en-US"/>
        </w:rPr>
        <w:t>c</w:t>
      </w:r>
      <w:r w:rsidRPr="4321A1A3">
        <w:rPr>
          <w:rFonts w:eastAsia="Times New Roman"/>
          <w:noProof/>
          <w:lang w:val="en-US"/>
        </w:rPr>
        <w:t xml:space="preserve"> represents the most comprehensive approach</w:t>
      </w:r>
      <w:r w:rsidR="39FA2EE9" w:rsidRPr="4321A1A3">
        <w:rPr>
          <w:rFonts w:eastAsia="Times New Roman"/>
          <w:noProof/>
          <w:lang w:val="en-US"/>
        </w:rPr>
        <w:t xml:space="preserve">, as </w:t>
      </w:r>
      <w:r w:rsidRPr="4321A1A3">
        <w:rPr>
          <w:rFonts w:eastAsia="Times New Roman"/>
          <w:noProof/>
          <w:lang w:val="en-US"/>
        </w:rPr>
        <w:t>it would extend the scope of information exchange to data available to other public authorities at national level. By enabling the exchange of relevant information held by other public authorities, this option would significantly improve the completeness and usability of the information available to tax administrations</w:t>
      </w:r>
      <w:r w:rsidR="1C8ABC4F" w:rsidRPr="4321A1A3">
        <w:rPr>
          <w:rFonts w:eastAsia="Times New Roman"/>
          <w:noProof/>
          <w:lang w:val="en-US"/>
        </w:rPr>
        <w:t>, while strengthening the level playing field within the Union</w:t>
      </w:r>
      <w:r w:rsidR="670EE0C7" w:rsidRPr="4321A1A3">
        <w:rPr>
          <w:rFonts w:eastAsia="Times New Roman"/>
          <w:noProof/>
          <w:lang w:val="en-US"/>
        </w:rPr>
        <w:t>.</w:t>
      </w:r>
    </w:p>
    <w:p w14:paraId="132D9176" w14:textId="62FEAAEB" w:rsidR="006B087E" w:rsidRDefault="3EF07EC0" w:rsidP="4321A1A3">
      <w:pPr>
        <w:spacing w:after="0" w:line="257" w:lineRule="auto"/>
        <w:rPr>
          <w:rFonts w:eastAsia="Times New Roman"/>
          <w:b/>
          <w:bCs/>
          <w:noProof/>
          <w:sz w:val="20"/>
          <w:szCs w:val="20"/>
          <w:u w:val="single"/>
          <w:lang w:val="en-US"/>
        </w:rPr>
      </w:pPr>
      <w:r w:rsidRPr="00D7088D">
        <w:rPr>
          <w:rFonts w:eastAsia="Times New Roman"/>
          <w:b/>
          <w:bCs/>
          <w:noProof/>
          <w:sz w:val="20"/>
          <w:szCs w:val="20"/>
          <w:u w:val="single"/>
          <w:lang w:val="en-US"/>
        </w:rPr>
        <w:t>Efficiency</w:t>
      </w:r>
    </w:p>
    <w:p w14:paraId="0A99D0C3" w14:textId="77777777" w:rsidR="00B02E69" w:rsidRPr="00D7088D" w:rsidRDefault="00B02E69" w:rsidP="4321A1A3">
      <w:pPr>
        <w:spacing w:after="0" w:line="257" w:lineRule="auto"/>
        <w:rPr>
          <w:noProof/>
          <w:sz w:val="20"/>
          <w:szCs w:val="20"/>
        </w:rPr>
      </w:pPr>
    </w:p>
    <w:tbl>
      <w:tblPr>
        <w:tblW w:w="8915"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660"/>
        <w:gridCol w:w="1335"/>
        <w:gridCol w:w="1170"/>
        <w:gridCol w:w="1281"/>
        <w:gridCol w:w="1469"/>
      </w:tblGrid>
      <w:tr w:rsidR="3A123E5D" w14:paraId="50F3BDE7" w14:textId="77777777" w:rsidTr="4321A1A3">
        <w:trPr>
          <w:trHeight w:val="300"/>
        </w:trPr>
        <w:tc>
          <w:tcPr>
            <w:tcW w:w="36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3D3CAD5" w14:textId="2ECA19BE" w:rsidR="3A123E5D" w:rsidRDefault="3A123E5D" w:rsidP="4321A1A3">
            <w:pPr>
              <w:spacing w:after="0" w:line="257" w:lineRule="auto"/>
              <w:rPr>
                <w:rFonts w:eastAsia="Times New Roman"/>
                <w:b/>
                <w:bCs/>
                <w:noProof/>
                <w:sz w:val="20"/>
                <w:szCs w:val="20"/>
              </w:rPr>
            </w:pPr>
          </w:p>
        </w:tc>
        <w:tc>
          <w:tcPr>
            <w:tcW w:w="13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0BDFC1C" w14:textId="006770D3" w:rsidR="35C1E5C9" w:rsidRPr="5E5B3E9C" w:rsidRDefault="1815575B" w:rsidP="4321A1A3">
            <w:pPr>
              <w:spacing w:after="0" w:line="257" w:lineRule="auto"/>
              <w:rPr>
                <w:rFonts w:eastAsia="Times New Roman"/>
                <w:b/>
                <w:bCs/>
                <w:noProof/>
                <w:sz w:val="20"/>
                <w:szCs w:val="20"/>
              </w:rPr>
            </w:pPr>
            <w:r w:rsidRPr="4321A1A3">
              <w:rPr>
                <w:rFonts w:eastAsia="Times New Roman"/>
                <w:b/>
                <w:bCs/>
                <w:noProof/>
                <w:sz w:val="20"/>
                <w:szCs w:val="20"/>
              </w:rPr>
              <w:t>Baseline</w:t>
            </w:r>
          </w:p>
        </w:tc>
        <w:tc>
          <w:tcPr>
            <w:tcW w:w="11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04DAC19" w14:textId="2456900C" w:rsidR="3A123E5D" w:rsidRPr="00942052" w:rsidRDefault="4611511C" w:rsidP="4321A1A3">
            <w:pPr>
              <w:spacing w:after="0" w:line="257" w:lineRule="auto"/>
              <w:rPr>
                <w:rFonts w:eastAsia="Times New Roman"/>
                <w:b/>
                <w:bCs/>
                <w:noProof/>
                <w:sz w:val="20"/>
                <w:szCs w:val="20"/>
              </w:rPr>
            </w:pPr>
            <w:r w:rsidRPr="4321A1A3">
              <w:rPr>
                <w:rFonts w:eastAsia="Times New Roman"/>
                <w:b/>
                <w:bCs/>
                <w:noProof/>
                <w:sz w:val="20"/>
                <w:szCs w:val="20"/>
              </w:rPr>
              <w:t>PO5a</w:t>
            </w:r>
          </w:p>
        </w:tc>
        <w:tc>
          <w:tcPr>
            <w:tcW w:w="12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F9D1954" w14:textId="61D25799" w:rsidR="3A123E5D" w:rsidRPr="00942052" w:rsidRDefault="4611511C" w:rsidP="4321A1A3">
            <w:pPr>
              <w:spacing w:after="0" w:line="257" w:lineRule="auto"/>
              <w:rPr>
                <w:rFonts w:eastAsia="Times New Roman"/>
                <w:b/>
                <w:bCs/>
                <w:noProof/>
                <w:sz w:val="20"/>
                <w:szCs w:val="20"/>
              </w:rPr>
            </w:pPr>
            <w:r w:rsidRPr="4321A1A3">
              <w:rPr>
                <w:rFonts w:eastAsia="Times New Roman"/>
                <w:b/>
                <w:bCs/>
                <w:noProof/>
                <w:sz w:val="20"/>
                <w:szCs w:val="20"/>
              </w:rPr>
              <w:t>PO5b</w:t>
            </w:r>
          </w:p>
        </w:tc>
        <w:tc>
          <w:tcPr>
            <w:tcW w:w="14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5DC867" w14:textId="6EA835C8" w:rsidR="3A123E5D" w:rsidRPr="00942052" w:rsidRDefault="4611511C" w:rsidP="4321A1A3">
            <w:pPr>
              <w:spacing w:after="0" w:line="257" w:lineRule="auto"/>
              <w:rPr>
                <w:rFonts w:eastAsia="Times New Roman"/>
                <w:b/>
                <w:bCs/>
                <w:noProof/>
                <w:sz w:val="20"/>
                <w:szCs w:val="20"/>
              </w:rPr>
            </w:pPr>
            <w:r w:rsidRPr="4321A1A3">
              <w:rPr>
                <w:rFonts w:eastAsia="Times New Roman"/>
                <w:b/>
                <w:bCs/>
                <w:noProof/>
                <w:sz w:val="20"/>
                <w:szCs w:val="20"/>
              </w:rPr>
              <w:t>PO5c</w:t>
            </w:r>
          </w:p>
        </w:tc>
      </w:tr>
      <w:tr w:rsidR="3A123E5D" w14:paraId="52A2EDAB" w14:textId="77777777" w:rsidTr="4321A1A3">
        <w:trPr>
          <w:trHeight w:val="300"/>
        </w:trPr>
        <w:tc>
          <w:tcPr>
            <w:tcW w:w="36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ACD9B52" w14:textId="5FD6A313" w:rsidR="3A123E5D" w:rsidRPr="00942052" w:rsidRDefault="4611511C" w:rsidP="4321A1A3">
            <w:pPr>
              <w:spacing w:after="0" w:line="257" w:lineRule="auto"/>
              <w:rPr>
                <w:rFonts w:eastAsia="Times New Roman"/>
                <w:b/>
                <w:bCs/>
                <w:noProof/>
                <w:sz w:val="20"/>
                <w:szCs w:val="20"/>
              </w:rPr>
            </w:pPr>
            <w:r w:rsidRPr="4321A1A3">
              <w:rPr>
                <w:rFonts w:eastAsia="Times New Roman"/>
                <w:b/>
                <w:bCs/>
                <w:noProof/>
                <w:sz w:val="20"/>
                <w:szCs w:val="20"/>
              </w:rPr>
              <w:t xml:space="preserve">Companies </w:t>
            </w:r>
          </w:p>
        </w:tc>
        <w:tc>
          <w:tcPr>
            <w:tcW w:w="13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E6CE3C4" w14:textId="404D0B0F" w:rsidR="5E5B3E9C" w:rsidRDefault="5E5B3E9C" w:rsidP="4321A1A3">
            <w:pPr>
              <w:spacing w:after="0"/>
              <w:rPr>
                <w:noProof/>
                <w:sz w:val="20"/>
                <w:szCs w:val="20"/>
              </w:rPr>
            </w:pPr>
          </w:p>
        </w:tc>
        <w:tc>
          <w:tcPr>
            <w:tcW w:w="11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362C40" w14:textId="77F7478C" w:rsidR="3A123E5D" w:rsidRDefault="3A123E5D" w:rsidP="4321A1A3">
            <w:pPr>
              <w:spacing w:after="0"/>
              <w:rPr>
                <w:noProof/>
                <w:sz w:val="20"/>
                <w:szCs w:val="20"/>
              </w:rPr>
            </w:pPr>
          </w:p>
        </w:tc>
        <w:tc>
          <w:tcPr>
            <w:tcW w:w="12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7755A34" w14:textId="61BA47A6" w:rsidR="3A123E5D" w:rsidRDefault="3A123E5D" w:rsidP="4321A1A3">
            <w:pPr>
              <w:spacing w:after="0"/>
              <w:rPr>
                <w:noProof/>
                <w:sz w:val="20"/>
                <w:szCs w:val="20"/>
              </w:rPr>
            </w:pPr>
          </w:p>
        </w:tc>
        <w:tc>
          <w:tcPr>
            <w:tcW w:w="14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11DBEB0" w14:textId="4F97CCEE" w:rsidR="3A123E5D" w:rsidRDefault="3A123E5D" w:rsidP="4321A1A3">
            <w:pPr>
              <w:spacing w:after="0"/>
              <w:rPr>
                <w:noProof/>
                <w:sz w:val="20"/>
                <w:szCs w:val="20"/>
              </w:rPr>
            </w:pPr>
          </w:p>
        </w:tc>
      </w:tr>
      <w:tr w:rsidR="00A70349" w14:paraId="2ADAF873" w14:textId="77777777" w:rsidTr="4321A1A3">
        <w:trPr>
          <w:trHeight w:val="300"/>
        </w:trPr>
        <w:tc>
          <w:tcPr>
            <w:tcW w:w="36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72B1BEE" w14:textId="74D42FFB" w:rsidR="3A123E5D" w:rsidRDefault="0A265E1C" w:rsidP="4321A1A3">
            <w:pPr>
              <w:spacing w:after="0" w:line="257" w:lineRule="auto"/>
              <w:jc w:val="left"/>
              <w:rPr>
                <w:noProof/>
              </w:rPr>
            </w:pPr>
            <w:r w:rsidRPr="4321A1A3">
              <w:rPr>
                <w:rFonts w:eastAsia="Times New Roman"/>
                <w:noProof/>
                <w:sz w:val="20"/>
                <w:szCs w:val="20"/>
              </w:rPr>
              <w:t>Administrative cost</w:t>
            </w:r>
          </w:p>
        </w:tc>
        <w:tc>
          <w:tcPr>
            <w:tcW w:w="13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2A09DC5" w14:textId="6D73CEEA" w:rsidR="5E5B3E9C" w:rsidRDefault="79CA5BB5"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38B91E5" w14:textId="5E4C6B62" w:rsidR="3A123E5D" w:rsidRPr="00942052" w:rsidRDefault="79CA5BB5"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2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86C1244" w14:textId="7B148543" w:rsidR="3A123E5D" w:rsidRPr="00942052" w:rsidRDefault="79CA5BB5"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4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C3E3E53" w14:textId="60D0BA24" w:rsidR="3A123E5D" w:rsidRPr="00942052" w:rsidRDefault="79CA5BB5" w:rsidP="4321A1A3">
            <w:pPr>
              <w:spacing w:after="0" w:line="257" w:lineRule="auto"/>
              <w:jc w:val="center"/>
              <w:rPr>
                <w:rFonts w:eastAsia="Times New Roman"/>
                <w:noProof/>
                <w:sz w:val="20"/>
                <w:szCs w:val="20"/>
              </w:rPr>
            </w:pPr>
            <w:r w:rsidRPr="4321A1A3">
              <w:rPr>
                <w:rFonts w:eastAsia="Times New Roman"/>
                <w:noProof/>
                <w:sz w:val="20"/>
                <w:szCs w:val="20"/>
              </w:rPr>
              <w:t>0</w:t>
            </w:r>
          </w:p>
        </w:tc>
      </w:tr>
      <w:tr w:rsidR="00A70349" w14:paraId="720FC6B4" w14:textId="77777777" w:rsidTr="4321A1A3">
        <w:trPr>
          <w:trHeight w:val="300"/>
        </w:trPr>
        <w:tc>
          <w:tcPr>
            <w:tcW w:w="36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F62447D" w14:textId="4D941138" w:rsidR="3A123E5D" w:rsidRPr="00942052" w:rsidRDefault="20AB2D0A" w:rsidP="4321A1A3">
            <w:pPr>
              <w:spacing w:after="0" w:line="257" w:lineRule="auto"/>
              <w:jc w:val="left"/>
              <w:rPr>
                <w:rFonts w:eastAsia="Times New Roman"/>
                <w:noProof/>
                <w:sz w:val="20"/>
                <w:szCs w:val="20"/>
              </w:rPr>
            </w:pPr>
            <w:r w:rsidRPr="4321A1A3">
              <w:rPr>
                <w:rFonts w:eastAsia="Times New Roman"/>
                <w:noProof/>
                <w:sz w:val="20"/>
                <w:szCs w:val="20"/>
              </w:rPr>
              <w:t>One-off implementation and adjustment costs</w:t>
            </w:r>
          </w:p>
        </w:tc>
        <w:tc>
          <w:tcPr>
            <w:tcW w:w="13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504F48B" w14:textId="1186205D" w:rsidR="5E5B3E9C" w:rsidRDefault="3D7C7543"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0161515" w14:textId="275EA1CD" w:rsidR="3A123E5D" w:rsidRPr="00942052" w:rsidRDefault="3D7C7543"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2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9A3937D" w14:textId="1702BB92" w:rsidR="3A123E5D" w:rsidRPr="00942052" w:rsidRDefault="3D7C7543"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4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96414F7" w14:textId="05233A18" w:rsidR="3A123E5D" w:rsidRPr="00942052" w:rsidRDefault="3D7C7543" w:rsidP="4321A1A3">
            <w:pPr>
              <w:spacing w:after="0" w:line="257" w:lineRule="auto"/>
              <w:jc w:val="center"/>
              <w:rPr>
                <w:rFonts w:eastAsia="Times New Roman"/>
                <w:noProof/>
                <w:sz w:val="20"/>
                <w:szCs w:val="20"/>
              </w:rPr>
            </w:pPr>
            <w:r w:rsidRPr="4321A1A3">
              <w:rPr>
                <w:rFonts w:eastAsia="Times New Roman"/>
                <w:noProof/>
                <w:sz w:val="20"/>
                <w:szCs w:val="20"/>
              </w:rPr>
              <w:t>0</w:t>
            </w:r>
          </w:p>
        </w:tc>
      </w:tr>
      <w:tr w:rsidR="3A123E5D" w14:paraId="563FDCAA" w14:textId="77777777" w:rsidTr="4321A1A3">
        <w:trPr>
          <w:trHeight w:val="300"/>
        </w:trPr>
        <w:tc>
          <w:tcPr>
            <w:tcW w:w="36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7D0125B" w14:textId="16CA2873" w:rsidR="3A123E5D" w:rsidRPr="00942052" w:rsidRDefault="4611511C" w:rsidP="4321A1A3">
            <w:pPr>
              <w:spacing w:after="0" w:line="257" w:lineRule="auto"/>
              <w:rPr>
                <w:rFonts w:eastAsia="Times New Roman"/>
                <w:b/>
                <w:bCs/>
                <w:noProof/>
                <w:sz w:val="20"/>
                <w:szCs w:val="20"/>
              </w:rPr>
            </w:pPr>
            <w:r w:rsidRPr="4321A1A3">
              <w:rPr>
                <w:rFonts w:eastAsia="Times New Roman"/>
                <w:b/>
                <w:bCs/>
                <w:noProof/>
                <w:sz w:val="20"/>
                <w:szCs w:val="20"/>
              </w:rPr>
              <w:t>Public authorities</w:t>
            </w:r>
          </w:p>
        </w:tc>
        <w:tc>
          <w:tcPr>
            <w:tcW w:w="13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F689970" w14:textId="2AB3471E" w:rsidR="5E5B3E9C" w:rsidRDefault="5E5B3E9C" w:rsidP="4321A1A3">
            <w:pPr>
              <w:spacing w:after="0"/>
              <w:jc w:val="center"/>
              <w:rPr>
                <w:noProof/>
                <w:sz w:val="20"/>
                <w:szCs w:val="20"/>
              </w:rPr>
            </w:pPr>
          </w:p>
        </w:tc>
        <w:tc>
          <w:tcPr>
            <w:tcW w:w="11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1926070" w14:textId="7014D685" w:rsidR="3A123E5D" w:rsidRDefault="3A123E5D" w:rsidP="4321A1A3">
            <w:pPr>
              <w:spacing w:after="0"/>
              <w:rPr>
                <w:noProof/>
                <w:sz w:val="20"/>
                <w:szCs w:val="20"/>
              </w:rPr>
            </w:pPr>
          </w:p>
        </w:tc>
        <w:tc>
          <w:tcPr>
            <w:tcW w:w="12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2292F8C" w14:textId="5C213C04" w:rsidR="3A123E5D" w:rsidRDefault="3A123E5D" w:rsidP="4321A1A3">
            <w:pPr>
              <w:spacing w:after="0"/>
              <w:rPr>
                <w:noProof/>
                <w:sz w:val="20"/>
                <w:szCs w:val="20"/>
              </w:rPr>
            </w:pPr>
          </w:p>
        </w:tc>
        <w:tc>
          <w:tcPr>
            <w:tcW w:w="14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A1DEE65" w14:textId="2F79B2DB" w:rsidR="3A123E5D" w:rsidRDefault="3A123E5D" w:rsidP="4321A1A3">
            <w:pPr>
              <w:spacing w:after="0"/>
              <w:rPr>
                <w:noProof/>
                <w:sz w:val="20"/>
                <w:szCs w:val="20"/>
              </w:rPr>
            </w:pPr>
          </w:p>
        </w:tc>
      </w:tr>
      <w:tr w:rsidR="00CE54F4" w14:paraId="25FB0A85" w14:textId="77777777" w:rsidTr="4321A1A3">
        <w:trPr>
          <w:trHeight w:val="300"/>
        </w:trPr>
        <w:tc>
          <w:tcPr>
            <w:tcW w:w="36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595FC0A" w14:textId="5EDBEEB4" w:rsidR="3A123E5D" w:rsidRPr="00942052" w:rsidRDefault="4611511C" w:rsidP="4321A1A3">
            <w:pPr>
              <w:spacing w:after="0" w:line="257" w:lineRule="auto"/>
              <w:rPr>
                <w:rFonts w:eastAsia="Times New Roman"/>
                <w:noProof/>
                <w:sz w:val="20"/>
                <w:szCs w:val="20"/>
              </w:rPr>
            </w:pPr>
            <w:r w:rsidRPr="4321A1A3">
              <w:rPr>
                <w:rFonts w:eastAsia="Times New Roman"/>
                <w:noProof/>
                <w:sz w:val="20"/>
                <w:szCs w:val="20"/>
              </w:rPr>
              <w:t>Administrative cost</w:t>
            </w:r>
          </w:p>
        </w:tc>
        <w:tc>
          <w:tcPr>
            <w:tcW w:w="13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456B117" w14:textId="09B82ACC" w:rsidR="5E5B3E9C" w:rsidRDefault="243BC0E9"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8F3C289" w14:textId="08651B25" w:rsidR="3A123E5D" w:rsidRPr="00942052" w:rsidRDefault="00B25A7A" w:rsidP="4321A1A3">
            <w:pPr>
              <w:spacing w:after="0" w:line="257" w:lineRule="auto"/>
              <w:jc w:val="center"/>
              <w:rPr>
                <w:rFonts w:eastAsia="Times New Roman"/>
                <w:noProof/>
                <w:sz w:val="20"/>
                <w:szCs w:val="20"/>
              </w:rPr>
            </w:pPr>
            <w:r>
              <w:rPr>
                <w:rFonts w:eastAsia="Times New Roman"/>
                <w:noProof/>
                <w:sz w:val="20"/>
                <w:szCs w:val="20"/>
              </w:rPr>
              <w:t>-</w:t>
            </w:r>
          </w:p>
        </w:tc>
        <w:tc>
          <w:tcPr>
            <w:tcW w:w="12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0FFC56B" w14:textId="06530DB0" w:rsidR="3A123E5D" w:rsidRDefault="00B25A7A" w:rsidP="4321A1A3">
            <w:pPr>
              <w:spacing w:after="0" w:line="257" w:lineRule="auto"/>
              <w:jc w:val="center"/>
              <w:rPr>
                <w:noProof/>
                <w:sz w:val="20"/>
                <w:szCs w:val="20"/>
              </w:rPr>
            </w:pPr>
            <w:r>
              <w:rPr>
                <w:noProof/>
                <w:sz w:val="20"/>
                <w:szCs w:val="20"/>
              </w:rPr>
              <w:t>+</w:t>
            </w:r>
          </w:p>
        </w:tc>
        <w:tc>
          <w:tcPr>
            <w:tcW w:w="14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DA0AC08" w14:textId="4D0AE5FC" w:rsidR="3A123E5D" w:rsidRDefault="00B25A7A" w:rsidP="4321A1A3">
            <w:pPr>
              <w:spacing w:after="0" w:line="257" w:lineRule="auto"/>
              <w:jc w:val="center"/>
              <w:rPr>
                <w:noProof/>
                <w:sz w:val="20"/>
                <w:szCs w:val="20"/>
              </w:rPr>
            </w:pPr>
            <w:r>
              <w:rPr>
                <w:noProof/>
                <w:sz w:val="20"/>
                <w:szCs w:val="20"/>
              </w:rPr>
              <w:t>++</w:t>
            </w:r>
          </w:p>
        </w:tc>
      </w:tr>
      <w:tr w:rsidR="001775D7" w14:paraId="661743F3" w14:textId="77777777" w:rsidTr="4321A1A3">
        <w:trPr>
          <w:trHeight w:val="300"/>
        </w:trPr>
        <w:tc>
          <w:tcPr>
            <w:tcW w:w="36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EEB3700" w14:textId="7220C089" w:rsidR="00DA32D9" w:rsidRPr="00942052" w:rsidRDefault="1497693B" w:rsidP="4321A1A3">
            <w:pPr>
              <w:spacing w:after="0" w:line="257" w:lineRule="auto"/>
              <w:jc w:val="left"/>
              <w:rPr>
                <w:rFonts w:eastAsia="Times New Roman"/>
                <w:noProof/>
                <w:sz w:val="20"/>
                <w:szCs w:val="20"/>
              </w:rPr>
            </w:pPr>
            <w:r w:rsidRPr="4321A1A3">
              <w:rPr>
                <w:rFonts w:eastAsia="Times New Roman"/>
                <w:noProof/>
                <w:sz w:val="20"/>
                <w:szCs w:val="20"/>
              </w:rPr>
              <w:t xml:space="preserve">One-off </w:t>
            </w:r>
            <w:r w:rsidR="03375760" w:rsidRPr="4321A1A3">
              <w:rPr>
                <w:rFonts w:eastAsia="Times New Roman"/>
                <w:noProof/>
                <w:sz w:val="20"/>
                <w:szCs w:val="20"/>
              </w:rPr>
              <w:t xml:space="preserve">implementation </w:t>
            </w:r>
            <w:r w:rsidRPr="4321A1A3">
              <w:rPr>
                <w:rFonts w:eastAsia="Times New Roman"/>
                <w:noProof/>
                <w:sz w:val="20"/>
                <w:szCs w:val="20"/>
              </w:rPr>
              <w:t xml:space="preserve">and adjustment </w:t>
            </w:r>
            <w:r w:rsidR="03375760" w:rsidRPr="4321A1A3">
              <w:rPr>
                <w:rFonts w:eastAsia="Times New Roman"/>
                <w:noProof/>
                <w:sz w:val="20"/>
                <w:szCs w:val="20"/>
              </w:rPr>
              <w:t>costs</w:t>
            </w:r>
          </w:p>
        </w:tc>
        <w:tc>
          <w:tcPr>
            <w:tcW w:w="13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4564F6C" w14:textId="37ACCCDE" w:rsidR="5E5B3E9C" w:rsidRDefault="3BAB3359"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7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A9F9EE" w14:textId="7B3E0245" w:rsidR="00DA32D9" w:rsidRPr="3A123E5D" w:rsidRDefault="314C6628"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28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3E5EDE9" w14:textId="62350B9A" w:rsidR="00DA32D9" w:rsidRPr="00942052" w:rsidRDefault="00B25A7A" w:rsidP="4321A1A3">
            <w:pPr>
              <w:spacing w:after="0" w:line="257" w:lineRule="auto"/>
              <w:jc w:val="center"/>
              <w:rPr>
                <w:rFonts w:eastAsia="Times New Roman"/>
                <w:noProof/>
                <w:sz w:val="20"/>
                <w:szCs w:val="20"/>
              </w:rPr>
            </w:pPr>
            <w:r>
              <w:rPr>
                <w:rFonts w:eastAsia="Times New Roman"/>
                <w:noProof/>
                <w:sz w:val="20"/>
                <w:szCs w:val="20"/>
              </w:rPr>
              <w:t>+</w:t>
            </w:r>
          </w:p>
        </w:tc>
        <w:tc>
          <w:tcPr>
            <w:tcW w:w="14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6E4E44E" w14:textId="211280C3" w:rsidR="00DA32D9" w:rsidRPr="3A123E5D" w:rsidRDefault="00B25A7A" w:rsidP="4321A1A3">
            <w:pPr>
              <w:spacing w:after="0" w:line="257" w:lineRule="auto"/>
              <w:jc w:val="center"/>
              <w:rPr>
                <w:rFonts w:eastAsia="Times New Roman"/>
                <w:noProof/>
                <w:sz w:val="20"/>
                <w:szCs w:val="20"/>
              </w:rPr>
            </w:pPr>
            <w:r>
              <w:rPr>
                <w:rFonts w:eastAsia="Times New Roman"/>
                <w:noProof/>
                <w:sz w:val="20"/>
                <w:szCs w:val="20"/>
              </w:rPr>
              <w:t>++</w:t>
            </w:r>
          </w:p>
        </w:tc>
      </w:tr>
    </w:tbl>
    <w:p w14:paraId="6DC119A7" w14:textId="2F3FE2D9" w:rsidR="006B087E" w:rsidRPr="00F92EAE" w:rsidRDefault="5423CB69" w:rsidP="3A123E5D">
      <w:pPr>
        <w:spacing w:after="160" w:line="257" w:lineRule="auto"/>
        <w:rPr>
          <w:noProof/>
        </w:rPr>
      </w:pPr>
      <w:r w:rsidRPr="3A123E5D">
        <w:rPr>
          <w:rFonts w:eastAsia="Times New Roman"/>
          <w:noProof/>
          <w:lang w:val="en-US"/>
        </w:rPr>
        <w:t xml:space="preserve"> </w:t>
      </w:r>
    </w:p>
    <w:p w14:paraId="10CBF430" w14:textId="59499007" w:rsidR="006B087E" w:rsidRPr="00F92EAE" w:rsidRDefault="5423CB69" w:rsidP="3A123E5D">
      <w:pPr>
        <w:spacing w:after="160" w:line="257" w:lineRule="auto"/>
        <w:rPr>
          <w:noProof/>
        </w:rPr>
      </w:pPr>
      <w:r w:rsidRPr="3A123E5D">
        <w:rPr>
          <w:rFonts w:eastAsia="Times New Roman"/>
          <w:noProof/>
          <w:lang w:val="en-US"/>
        </w:rPr>
        <w:t>Because DAC1 exchanges take place between tax administrations</w:t>
      </w:r>
      <w:r w:rsidR="58086538" w:rsidRPr="3A123E5D">
        <w:rPr>
          <w:rFonts w:eastAsia="Times New Roman"/>
          <w:noProof/>
          <w:lang w:val="en-US"/>
        </w:rPr>
        <w:t xml:space="preserve"> with no specific reporting obligation for any reporting entity</w:t>
      </w:r>
      <w:r w:rsidRPr="3A123E5D">
        <w:rPr>
          <w:rFonts w:eastAsia="Times New Roman"/>
          <w:noProof/>
          <w:lang w:val="en-US"/>
        </w:rPr>
        <w:t xml:space="preserve">, none of the options introduce additional reporting obligations for taxpayers or </w:t>
      </w:r>
      <w:r w:rsidR="00BC14EF">
        <w:rPr>
          <w:rFonts w:eastAsia="Times New Roman"/>
          <w:noProof/>
          <w:lang w:val="en-US"/>
        </w:rPr>
        <w:t>companies</w:t>
      </w:r>
      <w:r w:rsidRPr="3A123E5D">
        <w:rPr>
          <w:rFonts w:eastAsia="Times New Roman"/>
          <w:noProof/>
          <w:lang w:val="en-US"/>
        </w:rPr>
        <w:t>. As a result, no direct compliance costs or savings arise for the private sector under this measure.</w:t>
      </w:r>
    </w:p>
    <w:p w14:paraId="6643C423" w14:textId="13BE3F2A" w:rsidR="006B087E" w:rsidRPr="00F92EAE" w:rsidRDefault="00BE0BC2" w:rsidP="3A123E5D">
      <w:pPr>
        <w:spacing w:after="160" w:line="257" w:lineRule="auto"/>
        <w:rPr>
          <w:rFonts w:eastAsia="Times New Roman"/>
          <w:noProof/>
          <w:lang w:val="en-US"/>
        </w:rPr>
      </w:pPr>
      <w:r w:rsidRPr="4EE019AD">
        <w:rPr>
          <w:rFonts w:eastAsia="Times New Roman"/>
          <w:b/>
          <w:bCs/>
          <w:noProof/>
          <w:lang w:val="en-US"/>
        </w:rPr>
        <w:t>PO</w:t>
      </w:r>
      <w:r w:rsidR="0E5A2102" w:rsidRPr="4EE019AD">
        <w:rPr>
          <w:rFonts w:eastAsia="Times New Roman"/>
          <w:b/>
          <w:bCs/>
          <w:noProof/>
          <w:lang w:val="en-US"/>
        </w:rPr>
        <w:t>5</w:t>
      </w:r>
      <w:r w:rsidRPr="4EE019AD">
        <w:rPr>
          <w:rFonts w:eastAsia="Times New Roman"/>
          <w:b/>
          <w:bCs/>
          <w:noProof/>
          <w:lang w:val="en-US"/>
        </w:rPr>
        <w:t>a</w:t>
      </w:r>
      <w:r w:rsidRPr="4EE019AD">
        <w:rPr>
          <w:rFonts w:eastAsia="Times New Roman"/>
          <w:noProof/>
          <w:lang w:val="en-US"/>
        </w:rPr>
        <w:t xml:space="preserve"> </w:t>
      </w:r>
      <w:r w:rsidR="005E55EB" w:rsidRPr="4EE019AD">
        <w:rPr>
          <w:rFonts w:eastAsia="Times New Roman"/>
          <w:noProof/>
          <w:lang w:val="en-US"/>
        </w:rPr>
        <w:t>would</w:t>
      </w:r>
      <w:r w:rsidR="5423CB69" w:rsidRPr="4EE019AD">
        <w:rPr>
          <w:rFonts w:eastAsia="Times New Roman"/>
          <w:noProof/>
          <w:lang w:val="en-US"/>
        </w:rPr>
        <w:t xml:space="preserve"> generate limited efficiency gains </w:t>
      </w:r>
      <w:r w:rsidRPr="4EE019AD">
        <w:rPr>
          <w:rFonts w:eastAsia="Times New Roman"/>
          <w:noProof/>
          <w:lang w:val="en-US"/>
        </w:rPr>
        <w:t xml:space="preserve">for tax administrations </w:t>
      </w:r>
      <w:r w:rsidR="5423CB69" w:rsidRPr="4EE019AD">
        <w:rPr>
          <w:rFonts w:eastAsia="Times New Roman"/>
          <w:noProof/>
          <w:lang w:val="en-US"/>
        </w:rPr>
        <w:t xml:space="preserve">by removing the LIP category, which currently </w:t>
      </w:r>
      <w:r w:rsidR="00942052">
        <w:rPr>
          <w:rFonts w:eastAsia="Times New Roman"/>
          <w:noProof/>
          <w:lang w:val="en-US"/>
        </w:rPr>
        <w:t>has</w:t>
      </w:r>
      <w:r w:rsidR="5423CB69" w:rsidRPr="4EE019AD">
        <w:rPr>
          <w:rFonts w:eastAsia="Times New Roman"/>
          <w:noProof/>
          <w:lang w:val="en-US"/>
        </w:rPr>
        <w:t xml:space="preserve"> low operational relevance and overlaps partially with information exchanged under DAC2. This option </w:t>
      </w:r>
      <w:r w:rsidR="00742C27" w:rsidRPr="4EE019AD">
        <w:rPr>
          <w:rFonts w:eastAsia="Times New Roman"/>
          <w:noProof/>
          <w:lang w:val="en-US"/>
        </w:rPr>
        <w:t xml:space="preserve">would </w:t>
      </w:r>
      <w:r w:rsidR="5423CB69" w:rsidRPr="4EE019AD">
        <w:rPr>
          <w:rFonts w:eastAsia="Times New Roman"/>
          <w:noProof/>
          <w:lang w:val="en-US"/>
        </w:rPr>
        <w:t>slightly reduce the administrative workload associated with processing and exchanging information.</w:t>
      </w:r>
      <w:r w:rsidR="221375B4" w:rsidRPr="4EE019AD">
        <w:rPr>
          <w:rFonts w:eastAsia="Times New Roman"/>
          <w:noProof/>
          <w:lang w:val="en-US"/>
        </w:rPr>
        <w:t xml:space="preserve"> </w:t>
      </w:r>
      <w:r w:rsidR="5423CB69" w:rsidRPr="4EE019AD">
        <w:rPr>
          <w:rFonts w:eastAsia="Times New Roman"/>
          <w:b/>
          <w:bCs/>
          <w:noProof/>
          <w:lang w:val="en-US"/>
        </w:rPr>
        <w:t>P</w:t>
      </w:r>
      <w:r w:rsidR="003B0742" w:rsidRPr="4EE019AD">
        <w:rPr>
          <w:rFonts w:eastAsia="Times New Roman"/>
          <w:b/>
          <w:bCs/>
          <w:noProof/>
          <w:lang w:val="en-US"/>
        </w:rPr>
        <w:t>O</w:t>
      </w:r>
      <w:r w:rsidR="02DE4C7D" w:rsidRPr="4EE019AD">
        <w:rPr>
          <w:rFonts w:eastAsia="Times New Roman"/>
          <w:b/>
          <w:bCs/>
          <w:noProof/>
          <w:lang w:val="en-US"/>
        </w:rPr>
        <w:t>5</w:t>
      </w:r>
      <w:r w:rsidR="5423CB69" w:rsidRPr="4EE019AD">
        <w:rPr>
          <w:rFonts w:eastAsia="Times New Roman"/>
          <w:b/>
          <w:bCs/>
          <w:noProof/>
          <w:lang w:val="en-US"/>
        </w:rPr>
        <w:t>b</w:t>
      </w:r>
      <w:r w:rsidR="5423CB69" w:rsidRPr="4EE019AD">
        <w:rPr>
          <w:rFonts w:eastAsia="Times New Roman"/>
          <w:noProof/>
          <w:lang w:val="en-US"/>
        </w:rPr>
        <w:t xml:space="preserve"> w</w:t>
      </w:r>
      <w:r w:rsidR="00742C27" w:rsidRPr="4EE019AD">
        <w:rPr>
          <w:rFonts w:eastAsia="Times New Roman"/>
          <w:noProof/>
          <w:lang w:val="en-US"/>
        </w:rPr>
        <w:t>ould</w:t>
      </w:r>
      <w:r w:rsidR="5423CB69" w:rsidRPr="4EE019AD">
        <w:rPr>
          <w:rFonts w:eastAsia="Times New Roman"/>
          <w:noProof/>
          <w:lang w:val="en-US"/>
        </w:rPr>
        <w:t xml:space="preserve"> entail </w:t>
      </w:r>
      <w:r w:rsidR="00953BD4">
        <w:rPr>
          <w:rFonts w:eastAsia="Times New Roman"/>
          <w:noProof/>
          <w:lang w:val="en-US"/>
        </w:rPr>
        <w:t xml:space="preserve">an increase of administrative costs resulting from the increased volume of exchanged information. In addition, </w:t>
      </w:r>
      <w:r w:rsidR="003F75C5">
        <w:rPr>
          <w:rFonts w:eastAsia="Times New Roman"/>
          <w:noProof/>
          <w:lang w:val="en-US"/>
        </w:rPr>
        <w:t xml:space="preserve">it would involve </w:t>
      </w:r>
      <w:r w:rsidR="5423CB69" w:rsidRPr="4EE019AD">
        <w:rPr>
          <w:rFonts w:eastAsia="Times New Roman"/>
          <w:noProof/>
          <w:lang w:val="en-US"/>
        </w:rPr>
        <w:t xml:space="preserve">certain </w:t>
      </w:r>
      <w:r w:rsidR="0E190C53" w:rsidRPr="4EE019AD">
        <w:rPr>
          <w:rFonts w:eastAsia="Times New Roman"/>
          <w:noProof/>
          <w:lang w:val="en-US"/>
        </w:rPr>
        <w:t xml:space="preserve">one-off </w:t>
      </w:r>
      <w:r w:rsidR="5423CB69" w:rsidRPr="4EE019AD">
        <w:rPr>
          <w:rFonts w:eastAsia="Times New Roman"/>
          <w:noProof/>
          <w:lang w:val="en-US"/>
        </w:rPr>
        <w:t xml:space="preserve">administrative adjustments for </w:t>
      </w:r>
      <w:r w:rsidR="7E1800DB" w:rsidRPr="4EE019AD">
        <w:rPr>
          <w:rFonts w:eastAsia="Times New Roman"/>
          <w:noProof/>
          <w:lang w:val="en-US"/>
        </w:rPr>
        <w:t>some</w:t>
      </w:r>
      <w:r w:rsidR="5423CB69" w:rsidRPr="4EE019AD">
        <w:rPr>
          <w:rFonts w:eastAsia="Times New Roman"/>
          <w:noProof/>
          <w:lang w:val="en-US"/>
        </w:rPr>
        <w:t xml:space="preserve"> tax administrations that currently exchange information on fewer than </w:t>
      </w:r>
      <w:r w:rsidR="00942052">
        <w:rPr>
          <w:rFonts w:eastAsia="Times New Roman"/>
          <w:noProof/>
          <w:lang w:val="en-US"/>
        </w:rPr>
        <w:t>6</w:t>
      </w:r>
      <w:r w:rsidR="5423CB69" w:rsidRPr="4EE019AD">
        <w:rPr>
          <w:rFonts w:eastAsia="Times New Roman"/>
          <w:noProof/>
          <w:lang w:val="en-US"/>
        </w:rPr>
        <w:t xml:space="preserve"> categories. These adjustments would mainly involve IT configuration, data extraction and processing changes rather than new data collection. However, the benefits associated with more consistent and complete information exchanges will improve the effectiveness of tax risk analysis and enforcement activities.</w:t>
      </w:r>
      <w:r w:rsidR="38AFAEA6" w:rsidRPr="4EE019AD">
        <w:rPr>
          <w:rFonts w:eastAsia="Times New Roman"/>
          <w:noProof/>
          <w:lang w:val="en-US"/>
        </w:rPr>
        <w:t xml:space="preserve"> </w:t>
      </w:r>
      <w:r w:rsidR="5423CB69" w:rsidRPr="4EE019AD">
        <w:rPr>
          <w:rFonts w:eastAsia="Times New Roman"/>
          <w:b/>
          <w:bCs/>
          <w:noProof/>
          <w:lang w:val="en-US"/>
        </w:rPr>
        <w:t>P</w:t>
      </w:r>
      <w:r w:rsidR="00531EF3" w:rsidRPr="4EE019AD">
        <w:rPr>
          <w:rFonts w:eastAsia="Times New Roman"/>
          <w:b/>
          <w:bCs/>
          <w:noProof/>
          <w:lang w:val="en-US"/>
        </w:rPr>
        <w:t>O</w:t>
      </w:r>
      <w:r w:rsidR="76D9275D" w:rsidRPr="4EE019AD">
        <w:rPr>
          <w:rFonts w:eastAsia="Times New Roman"/>
          <w:b/>
          <w:bCs/>
          <w:noProof/>
          <w:lang w:val="en-US"/>
        </w:rPr>
        <w:t>5</w:t>
      </w:r>
      <w:r w:rsidR="5423CB69" w:rsidRPr="4EE019AD">
        <w:rPr>
          <w:rFonts w:eastAsia="Times New Roman"/>
          <w:b/>
          <w:bCs/>
          <w:noProof/>
          <w:lang w:val="en-US"/>
        </w:rPr>
        <w:t>c</w:t>
      </w:r>
      <w:r w:rsidR="5423CB69" w:rsidRPr="4EE019AD">
        <w:rPr>
          <w:rFonts w:eastAsia="Times New Roman"/>
          <w:noProof/>
          <w:lang w:val="en-US"/>
        </w:rPr>
        <w:t xml:space="preserve"> would </w:t>
      </w:r>
      <w:r w:rsidR="003F75C5" w:rsidRPr="003F75C5">
        <w:rPr>
          <w:rFonts w:eastAsia="Times New Roman"/>
          <w:noProof/>
          <w:lang w:val="en-US"/>
        </w:rPr>
        <w:t>entail a</w:t>
      </w:r>
      <w:r w:rsidR="003F75C5">
        <w:rPr>
          <w:rFonts w:eastAsia="Times New Roman"/>
          <w:noProof/>
          <w:lang w:val="en-US"/>
        </w:rPr>
        <w:t xml:space="preserve"> larger </w:t>
      </w:r>
      <w:r w:rsidR="003F75C5" w:rsidRPr="003F75C5">
        <w:rPr>
          <w:rFonts w:eastAsia="Times New Roman"/>
          <w:noProof/>
          <w:lang w:val="en-US"/>
        </w:rPr>
        <w:t>increase of administrative costs resulting from the increased volume of exchanged information</w:t>
      </w:r>
      <w:r w:rsidR="003F75C5">
        <w:rPr>
          <w:rFonts w:eastAsia="Times New Roman"/>
          <w:noProof/>
          <w:lang w:val="en-US"/>
        </w:rPr>
        <w:t xml:space="preserve">. It would also </w:t>
      </w:r>
      <w:r w:rsidR="5423CB69" w:rsidRPr="4EE019AD">
        <w:rPr>
          <w:rFonts w:eastAsia="Times New Roman"/>
          <w:noProof/>
          <w:lang w:val="en-US"/>
        </w:rPr>
        <w:t>require more substantial organisational and technical adjustments</w:t>
      </w:r>
      <w:r w:rsidR="003479E7" w:rsidRPr="4EE019AD">
        <w:rPr>
          <w:rFonts w:eastAsia="Times New Roman"/>
          <w:noProof/>
          <w:lang w:val="en-US"/>
        </w:rPr>
        <w:t xml:space="preserve"> </w:t>
      </w:r>
      <w:r w:rsidR="5423CB69" w:rsidRPr="4EE019AD">
        <w:rPr>
          <w:rFonts w:eastAsia="Times New Roman"/>
          <w:noProof/>
          <w:lang w:val="en-US"/>
        </w:rPr>
        <w:t>at national level, including improved access for tax administrations to information held by other public authorities and the establishment of appropriate data-sharing arrangements. While this option may involve higher implementation costs, it would also provide the most comprehensive set of information for administrative cooperation and therefore generate the greatest benefits for the enforcement of taxation rules.</w:t>
      </w:r>
    </w:p>
    <w:p w14:paraId="42077662" w14:textId="39E67800" w:rsidR="43F5D31D" w:rsidRDefault="43F5D31D" w:rsidP="19989A7C">
      <w:pPr>
        <w:spacing w:after="160" w:line="257" w:lineRule="auto"/>
        <w:rPr>
          <w:rFonts w:eastAsia="Times New Roman"/>
          <w:b/>
          <w:bCs/>
          <w:noProof/>
          <w:lang w:val="en-US"/>
        </w:rPr>
      </w:pPr>
      <w:r w:rsidRPr="19989A7C">
        <w:rPr>
          <w:rFonts w:eastAsia="Times New Roman"/>
          <w:b/>
          <w:bCs/>
          <w:noProof/>
          <w:lang w:val="en-US"/>
        </w:rPr>
        <w:t>Coherence</w:t>
      </w:r>
    </w:p>
    <w:p w14:paraId="574944C8" w14:textId="77E9CF69" w:rsidR="74F69CFC" w:rsidRDefault="551F42BA" w:rsidP="01297C48">
      <w:pPr>
        <w:spacing w:after="160" w:line="257" w:lineRule="auto"/>
        <w:rPr>
          <w:rFonts w:eastAsia="Times New Roman"/>
          <w:noProof/>
          <w:lang w:val="en-US"/>
        </w:rPr>
      </w:pPr>
      <w:r w:rsidRPr="6A86AAB7">
        <w:rPr>
          <w:rFonts w:eastAsia="Times New Roman"/>
          <w:noProof/>
          <w:lang w:val="en-US"/>
        </w:rPr>
        <w:t xml:space="preserve">All options ensure coherence with the existing framework of the DAC and its policy objectives of tackling tax fraud, </w:t>
      </w:r>
      <w:r w:rsidR="3B9B24BF" w:rsidRPr="6A86AAB7">
        <w:rPr>
          <w:rFonts w:eastAsia="Times New Roman"/>
          <w:noProof/>
          <w:lang w:val="en-US"/>
        </w:rPr>
        <w:t>evasion,</w:t>
      </w:r>
      <w:r w:rsidRPr="6A86AAB7">
        <w:rPr>
          <w:rFonts w:eastAsia="Times New Roman"/>
          <w:noProof/>
          <w:lang w:val="en-US"/>
        </w:rPr>
        <w:t xml:space="preserve"> and avoidance. </w:t>
      </w:r>
      <w:r w:rsidR="32F90D31" w:rsidRPr="6A86AAB7">
        <w:rPr>
          <w:rFonts w:eastAsia="Times New Roman"/>
          <w:noProof/>
          <w:lang w:val="en-US"/>
        </w:rPr>
        <w:t xml:space="preserve">In the context of the DAC6 measure, </w:t>
      </w:r>
      <w:r w:rsidR="6A1159AF" w:rsidRPr="6A86AAB7">
        <w:rPr>
          <w:rFonts w:eastAsia="Times New Roman"/>
          <w:noProof/>
          <w:lang w:val="en-US"/>
        </w:rPr>
        <w:t xml:space="preserve">the preferred policy option of </w:t>
      </w:r>
      <w:r w:rsidR="32F90D31" w:rsidRPr="00BE4A20">
        <w:rPr>
          <w:rFonts w:eastAsia="Times New Roman"/>
          <w:b/>
          <w:bCs/>
          <w:noProof/>
          <w:lang w:val="en-US"/>
        </w:rPr>
        <w:t>PO1b</w:t>
      </w:r>
      <w:r w:rsidR="2FA69AF9" w:rsidRPr="6A86AAB7">
        <w:rPr>
          <w:rFonts w:eastAsia="Times New Roman"/>
          <w:b/>
          <w:bCs/>
          <w:noProof/>
          <w:lang w:val="en-US"/>
        </w:rPr>
        <w:t xml:space="preserve">, </w:t>
      </w:r>
      <w:r w:rsidR="2FA69AF9" w:rsidRPr="00BE4A20">
        <w:rPr>
          <w:rFonts w:eastAsia="Times New Roman"/>
          <w:noProof/>
          <w:lang w:val="en-US"/>
        </w:rPr>
        <w:t xml:space="preserve">which </w:t>
      </w:r>
      <w:r w:rsidR="2FA69AF9" w:rsidRPr="6A86AAB7">
        <w:rPr>
          <w:rFonts w:eastAsia="Times New Roman"/>
          <w:noProof/>
          <w:lang w:val="en-US"/>
        </w:rPr>
        <w:t xml:space="preserve">excludes all companies within the scope of Pillar 2 from DAC6 reporting </w:t>
      </w:r>
      <w:r w:rsidR="3D93E688" w:rsidRPr="6A86AAB7">
        <w:rPr>
          <w:rFonts w:eastAsia="Times New Roman"/>
          <w:noProof/>
          <w:lang w:val="en-US"/>
        </w:rPr>
        <w:t>obligations</w:t>
      </w:r>
      <w:r w:rsidR="2FA69AF9" w:rsidRPr="6A86AAB7">
        <w:rPr>
          <w:rFonts w:eastAsia="Times New Roman"/>
          <w:noProof/>
          <w:lang w:val="en-US"/>
        </w:rPr>
        <w:t xml:space="preserve"> and which removes the reporting requi</w:t>
      </w:r>
      <w:r w:rsidR="0ABA2239" w:rsidRPr="6A86AAB7">
        <w:rPr>
          <w:rFonts w:eastAsia="Times New Roman"/>
          <w:noProof/>
          <w:lang w:val="en-US"/>
        </w:rPr>
        <w:t>re</w:t>
      </w:r>
      <w:r w:rsidR="16EAE6ED" w:rsidRPr="6A86AAB7">
        <w:rPr>
          <w:rFonts w:eastAsia="Times New Roman"/>
          <w:noProof/>
          <w:lang w:val="en-US"/>
        </w:rPr>
        <w:t>ments related to the generic category A h</w:t>
      </w:r>
      <w:r w:rsidR="68A27A4F" w:rsidRPr="6A86AAB7">
        <w:rPr>
          <w:rFonts w:eastAsia="Times New Roman"/>
          <w:noProof/>
          <w:lang w:val="en-US"/>
        </w:rPr>
        <w:t xml:space="preserve">allmark </w:t>
      </w:r>
      <w:r w:rsidR="16EAE6ED" w:rsidRPr="6A86AAB7">
        <w:rPr>
          <w:rFonts w:eastAsia="Times New Roman"/>
          <w:noProof/>
          <w:lang w:val="en-US"/>
        </w:rPr>
        <w:t xml:space="preserve">for all other reporting entities and taxpayers </w:t>
      </w:r>
      <w:r w:rsidR="72A12951" w:rsidRPr="6A86AAB7">
        <w:rPr>
          <w:rFonts w:eastAsia="Times New Roman"/>
          <w:noProof/>
          <w:lang w:val="en-US"/>
        </w:rPr>
        <w:t xml:space="preserve">is coherent with the existing international framework. The </w:t>
      </w:r>
      <w:r w:rsidR="545A483D" w:rsidRPr="6A86AAB7">
        <w:rPr>
          <w:rFonts w:eastAsia="Times New Roman"/>
          <w:noProof/>
          <w:lang w:val="en-US"/>
        </w:rPr>
        <w:t xml:space="preserve">assessment is supported by the fact that DAC6 does not implement any existing international standard into EU legislation and the </w:t>
      </w:r>
      <w:r w:rsidR="41534E81" w:rsidRPr="6A86AAB7">
        <w:rPr>
          <w:rFonts w:eastAsia="Times New Roman"/>
          <w:noProof/>
          <w:lang w:val="en-US"/>
        </w:rPr>
        <w:t xml:space="preserve">proposed carve out for Pillar 2 companies does not therefore have any impact </w:t>
      </w:r>
      <w:r w:rsidR="4F36961C" w:rsidRPr="6A86AAB7">
        <w:rPr>
          <w:rFonts w:eastAsia="Times New Roman"/>
          <w:noProof/>
          <w:lang w:val="en-US"/>
        </w:rPr>
        <w:t xml:space="preserve">on the ability of the Pillar 2 Directive to prevent base erosion and profit shifting by ensuring that MNE groups in scope pay a minimum effective tax rate of 15% on profits in each jurisdiction that they operate. </w:t>
      </w:r>
    </w:p>
    <w:p w14:paraId="70AC223A" w14:textId="75C719D1" w:rsidR="005F20CC" w:rsidRDefault="70F38336" w:rsidP="08681C5B">
      <w:pPr>
        <w:spacing w:after="160" w:line="257" w:lineRule="auto"/>
        <w:rPr>
          <w:rFonts w:eastAsia="Times New Roman"/>
          <w:noProof/>
          <w:lang w:val="en-US"/>
        </w:rPr>
      </w:pPr>
      <w:r w:rsidRPr="6A86AAB7">
        <w:rPr>
          <w:rFonts w:eastAsia="Times New Roman"/>
          <w:noProof/>
          <w:lang w:val="en-US"/>
        </w:rPr>
        <w:t xml:space="preserve">In the context of the DAC7 measure, </w:t>
      </w:r>
      <w:r w:rsidR="281D6665" w:rsidRPr="6A86AAB7">
        <w:rPr>
          <w:rFonts w:eastAsia="Times New Roman"/>
          <w:noProof/>
          <w:lang w:val="en-US"/>
        </w:rPr>
        <w:t xml:space="preserve">the preferred policy option of </w:t>
      </w:r>
      <w:r w:rsidR="718D480D" w:rsidRPr="6A86AAB7">
        <w:rPr>
          <w:rFonts w:eastAsia="Times New Roman"/>
          <w:b/>
          <w:bCs/>
          <w:noProof/>
          <w:lang w:val="en-US"/>
        </w:rPr>
        <w:t>PO</w:t>
      </w:r>
      <w:r w:rsidR="7419E624" w:rsidRPr="6A86AAB7">
        <w:rPr>
          <w:rFonts w:eastAsia="Times New Roman"/>
          <w:b/>
          <w:bCs/>
          <w:noProof/>
          <w:lang w:val="en-US"/>
        </w:rPr>
        <w:t>2</w:t>
      </w:r>
      <w:r w:rsidRPr="6A86AAB7">
        <w:rPr>
          <w:rFonts w:eastAsia="Times New Roman"/>
          <w:b/>
          <w:bCs/>
          <w:noProof/>
          <w:lang w:val="en-US"/>
        </w:rPr>
        <w:t>b</w:t>
      </w:r>
      <w:r w:rsidR="484CDEB6" w:rsidRPr="6A86AAB7">
        <w:rPr>
          <w:rFonts w:eastAsia="Times New Roman"/>
          <w:b/>
          <w:bCs/>
          <w:noProof/>
          <w:lang w:val="en-US"/>
        </w:rPr>
        <w:t>,</w:t>
      </w:r>
      <w:r w:rsidR="484CDEB6" w:rsidRPr="6A86AAB7">
        <w:rPr>
          <w:rFonts w:eastAsia="Times New Roman"/>
          <w:noProof/>
          <w:lang w:val="en-US"/>
        </w:rPr>
        <w:t xml:space="preserve"> </w:t>
      </w:r>
      <w:r w:rsidR="17B213DE" w:rsidRPr="6A86AAB7">
        <w:rPr>
          <w:rFonts w:eastAsia="Times New Roman"/>
          <w:noProof/>
          <w:lang w:val="en-US"/>
        </w:rPr>
        <w:t>which removes the activity threshold of 30 transactions and increases the monetary threshold to EUR 3,000 ensures coherenc</w:t>
      </w:r>
      <w:r w:rsidR="16F71219" w:rsidRPr="6A86AAB7">
        <w:rPr>
          <w:rFonts w:eastAsia="Times New Roman"/>
          <w:noProof/>
          <w:lang w:val="en-US"/>
        </w:rPr>
        <w:t>e</w:t>
      </w:r>
      <w:r w:rsidR="17B213DE" w:rsidRPr="6A86AAB7">
        <w:rPr>
          <w:rFonts w:eastAsia="Times New Roman"/>
          <w:noProof/>
          <w:lang w:val="en-US"/>
        </w:rPr>
        <w:t xml:space="preserve"> with the existing international framework as the proposed amendmen</w:t>
      </w:r>
      <w:r w:rsidR="3A664793" w:rsidRPr="6A86AAB7">
        <w:rPr>
          <w:rFonts w:eastAsia="Times New Roman"/>
          <w:noProof/>
          <w:lang w:val="en-US"/>
        </w:rPr>
        <w:t>t is</w:t>
      </w:r>
      <w:r w:rsidR="3FDBB18D" w:rsidRPr="6A86AAB7">
        <w:rPr>
          <w:rFonts w:eastAsia="Times New Roman"/>
          <w:noProof/>
          <w:lang w:val="en-US"/>
        </w:rPr>
        <w:t xml:space="preserve"> consistent</w:t>
      </w:r>
      <w:r w:rsidR="4C0542E2" w:rsidRPr="6A86AAB7">
        <w:rPr>
          <w:rFonts w:eastAsia="Times New Roman"/>
          <w:noProof/>
          <w:lang w:val="en-US"/>
        </w:rPr>
        <w:t xml:space="preserve"> with the proposed amendment to the OECD MRDP</w:t>
      </w:r>
      <w:r w:rsidR="13732A55" w:rsidRPr="6A86AAB7">
        <w:rPr>
          <w:rFonts w:eastAsia="Times New Roman"/>
          <w:noProof/>
          <w:lang w:val="en-US"/>
        </w:rPr>
        <w:t>, as provisionally agreed at technical level</w:t>
      </w:r>
      <w:r w:rsidR="4C0542E2" w:rsidRPr="6A86AAB7">
        <w:rPr>
          <w:rFonts w:eastAsia="Times New Roman"/>
          <w:noProof/>
          <w:lang w:val="en-US"/>
        </w:rPr>
        <w:t>.</w:t>
      </w:r>
    </w:p>
    <w:p w14:paraId="2EDEDD19" w14:textId="4FB27E97" w:rsidR="4BB95752" w:rsidRDefault="4BB95752" w:rsidP="5AE5215E">
      <w:pPr>
        <w:spacing w:after="160" w:line="257" w:lineRule="auto"/>
        <w:rPr>
          <w:rFonts w:eastAsia="Times New Roman"/>
          <w:noProof/>
          <w:lang w:val="en-US"/>
        </w:rPr>
      </w:pPr>
      <w:r w:rsidRPr="5AE5215E">
        <w:rPr>
          <w:rFonts w:eastAsia="Times New Roman"/>
          <w:noProof/>
          <w:lang w:val="en-US"/>
        </w:rPr>
        <w:t xml:space="preserve">In the context </w:t>
      </w:r>
      <w:r w:rsidR="24AC5FC7" w:rsidRPr="5AE5215E">
        <w:rPr>
          <w:rFonts w:eastAsia="Times New Roman"/>
          <w:noProof/>
          <w:lang w:val="en-US"/>
        </w:rPr>
        <w:t>of the DAC4/</w:t>
      </w:r>
      <w:r w:rsidR="00BE4A20">
        <w:rPr>
          <w:rFonts w:eastAsia="Times New Roman"/>
          <w:noProof/>
          <w:lang w:val="en-US"/>
        </w:rPr>
        <w:t>DAC9</w:t>
      </w:r>
      <w:r w:rsidR="65D5E404" w:rsidRPr="5AE5215E">
        <w:rPr>
          <w:rFonts w:eastAsia="Times New Roman"/>
          <w:noProof/>
          <w:lang w:val="en-US"/>
        </w:rPr>
        <w:t xml:space="preserve"> </w:t>
      </w:r>
      <w:r w:rsidR="24AC5FC7" w:rsidRPr="5AE5215E">
        <w:rPr>
          <w:rFonts w:eastAsia="Times New Roman"/>
          <w:noProof/>
          <w:lang w:val="en-US"/>
        </w:rPr>
        <w:t>measure</w:t>
      </w:r>
      <w:r w:rsidR="246AF27B" w:rsidRPr="5AE5215E">
        <w:rPr>
          <w:rFonts w:eastAsia="Times New Roman"/>
          <w:noProof/>
          <w:lang w:val="en-US"/>
        </w:rPr>
        <w:t>,</w:t>
      </w:r>
      <w:r w:rsidR="7529337A" w:rsidRPr="5AE5215E">
        <w:rPr>
          <w:rFonts w:eastAsia="Times New Roman"/>
          <w:noProof/>
          <w:lang w:val="en-US"/>
        </w:rPr>
        <w:t xml:space="preserve"> the preferred policy option of </w:t>
      </w:r>
      <w:r w:rsidR="7529337A" w:rsidRPr="00BE4A20">
        <w:rPr>
          <w:rFonts w:eastAsia="Times New Roman"/>
          <w:b/>
          <w:bCs/>
          <w:noProof/>
          <w:lang w:val="en-US"/>
        </w:rPr>
        <w:t>PO3b</w:t>
      </w:r>
      <w:r w:rsidR="7F244E2A" w:rsidRPr="00BE4A20">
        <w:rPr>
          <w:rFonts w:eastAsia="Times New Roman"/>
          <w:noProof/>
          <w:lang w:val="en-US"/>
        </w:rPr>
        <w:t xml:space="preserve"> </w:t>
      </w:r>
      <w:r w:rsidR="7F244E2A" w:rsidRPr="5AE5215E">
        <w:rPr>
          <w:rFonts w:eastAsia="Times New Roman"/>
          <w:noProof/>
          <w:lang w:val="en-US"/>
        </w:rPr>
        <w:t>proposes the introduction of a single notification obligation including a ha</w:t>
      </w:r>
      <w:r w:rsidR="0784050B" w:rsidRPr="5AE5215E">
        <w:rPr>
          <w:rFonts w:eastAsia="Times New Roman"/>
          <w:noProof/>
          <w:lang w:val="en-US"/>
        </w:rPr>
        <w:t>rmonised filing deadline, common notification template</w:t>
      </w:r>
      <w:r w:rsidR="58F90393" w:rsidRPr="5AE5215E">
        <w:rPr>
          <w:rFonts w:eastAsia="Times New Roman"/>
          <w:noProof/>
          <w:lang w:val="en-US"/>
        </w:rPr>
        <w:t>,</w:t>
      </w:r>
      <w:r w:rsidR="6778CC9A" w:rsidRPr="5AE5215E">
        <w:rPr>
          <w:rFonts w:eastAsia="Times New Roman"/>
          <w:noProof/>
          <w:lang w:val="en-US"/>
        </w:rPr>
        <w:t xml:space="preserve"> central filing </w:t>
      </w:r>
      <w:r w:rsidR="61447D4B" w:rsidRPr="5AE5215E">
        <w:rPr>
          <w:rFonts w:eastAsia="Times New Roman"/>
          <w:noProof/>
          <w:lang w:val="en-US"/>
        </w:rPr>
        <w:t xml:space="preserve">and exchange of information </w:t>
      </w:r>
      <w:r w:rsidR="4A9A732E" w:rsidRPr="5AE5215E">
        <w:rPr>
          <w:rFonts w:eastAsia="Times New Roman"/>
          <w:noProof/>
          <w:lang w:val="en-US"/>
        </w:rPr>
        <w:t>of that single notification</w:t>
      </w:r>
      <w:r w:rsidR="4F3F2987" w:rsidRPr="5AE5215E">
        <w:rPr>
          <w:rFonts w:eastAsia="Times New Roman"/>
          <w:noProof/>
          <w:lang w:val="en-US"/>
        </w:rPr>
        <w:t xml:space="preserve">. </w:t>
      </w:r>
      <w:r w:rsidR="31FE6971" w:rsidRPr="5AE5215E">
        <w:rPr>
          <w:rFonts w:eastAsia="Times New Roman"/>
          <w:noProof/>
          <w:lang w:val="en-US"/>
        </w:rPr>
        <w:t xml:space="preserve">This proposed measure will not affect the existing coherence with the international OECD </w:t>
      </w:r>
      <w:r w:rsidR="3213B9C2" w:rsidRPr="5AE5215E">
        <w:rPr>
          <w:rFonts w:eastAsia="Times New Roman"/>
          <w:noProof/>
          <w:lang w:val="en-US"/>
        </w:rPr>
        <w:t>frameworks</w:t>
      </w:r>
      <w:r w:rsidR="31FE6971" w:rsidRPr="5AE5215E">
        <w:rPr>
          <w:rFonts w:eastAsia="Times New Roman"/>
          <w:noProof/>
          <w:lang w:val="en-US"/>
        </w:rPr>
        <w:t xml:space="preserve"> of </w:t>
      </w:r>
      <w:r w:rsidR="2910754A" w:rsidRPr="5AE5215E">
        <w:rPr>
          <w:rFonts w:eastAsia="Times New Roman"/>
          <w:noProof/>
          <w:lang w:val="en-US"/>
        </w:rPr>
        <w:t>C</w:t>
      </w:r>
      <w:r w:rsidR="31FE6971" w:rsidRPr="5AE5215E">
        <w:rPr>
          <w:rFonts w:eastAsia="Times New Roman"/>
          <w:noProof/>
          <w:lang w:val="en-US"/>
        </w:rPr>
        <w:t>ountry-by</w:t>
      </w:r>
      <w:r w:rsidR="47E312F9" w:rsidRPr="5AE5215E">
        <w:rPr>
          <w:rFonts w:eastAsia="Times New Roman"/>
          <w:noProof/>
          <w:lang w:val="en-US"/>
        </w:rPr>
        <w:t>-</w:t>
      </w:r>
      <w:r w:rsidR="0DEF2EC1" w:rsidRPr="5AE5215E">
        <w:rPr>
          <w:rFonts w:eastAsia="Times New Roman"/>
          <w:noProof/>
          <w:lang w:val="en-US"/>
        </w:rPr>
        <w:t>C</w:t>
      </w:r>
      <w:r w:rsidR="47E312F9" w:rsidRPr="5AE5215E">
        <w:rPr>
          <w:rFonts w:eastAsia="Times New Roman"/>
          <w:noProof/>
          <w:lang w:val="en-US"/>
        </w:rPr>
        <w:t xml:space="preserve">ountry </w:t>
      </w:r>
      <w:r w:rsidR="3E340F91" w:rsidRPr="5AE5215E">
        <w:rPr>
          <w:rFonts w:eastAsia="Times New Roman"/>
          <w:noProof/>
          <w:lang w:val="en-US"/>
        </w:rPr>
        <w:t>R</w:t>
      </w:r>
      <w:r w:rsidR="47E312F9" w:rsidRPr="5AE5215E">
        <w:rPr>
          <w:rFonts w:eastAsia="Times New Roman"/>
          <w:noProof/>
          <w:lang w:val="en-US"/>
        </w:rPr>
        <w:t>eporting</w:t>
      </w:r>
      <w:r w:rsidR="2374986B" w:rsidRPr="5AE5215E">
        <w:rPr>
          <w:rFonts w:eastAsia="Times New Roman"/>
          <w:noProof/>
          <w:lang w:val="en-US"/>
        </w:rPr>
        <w:t xml:space="preserve"> (CbCR)</w:t>
      </w:r>
      <w:r w:rsidR="47E312F9" w:rsidRPr="5AE5215E">
        <w:rPr>
          <w:rFonts w:eastAsia="Times New Roman"/>
          <w:noProof/>
          <w:lang w:val="en-US"/>
        </w:rPr>
        <w:t xml:space="preserve"> and the Pillar 2</w:t>
      </w:r>
      <w:r w:rsidR="0D914B9B" w:rsidRPr="5AE5215E">
        <w:rPr>
          <w:rFonts w:eastAsia="Times New Roman"/>
          <w:noProof/>
          <w:lang w:val="en-US"/>
        </w:rPr>
        <w:t xml:space="preserve"> rules</w:t>
      </w:r>
      <w:r w:rsidR="0D9CF147" w:rsidRPr="5AE5215E">
        <w:rPr>
          <w:rFonts w:eastAsia="Times New Roman"/>
          <w:noProof/>
          <w:lang w:val="en-US"/>
        </w:rPr>
        <w:t>. The rationale for this assessment is underpinned by the fact that the measure will not amend the existing</w:t>
      </w:r>
      <w:r w:rsidR="19A8E052" w:rsidRPr="5AE5215E">
        <w:rPr>
          <w:rFonts w:eastAsia="Times New Roman"/>
          <w:noProof/>
          <w:lang w:val="en-US"/>
        </w:rPr>
        <w:t xml:space="preserve"> DAC4</w:t>
      </w:r>
      <w:r w:rsidR="0D9CF147" w:rsidRPr="5AE5215E">
        <w:rPr>
          <w:rFonts w:eastAsia="Times New Roman"/>
          <w:noProof/>
          <w:lang w:val="en-US"/>
        </w:rPr>
        <w:t xml:space="preserve"> reporting requirements and therefore remains aligned with the OECD CbCR </w:t>
      </w:r>
      <w:r w:rsidR="3A1229B6" w:rsidRPr="5AE5215E">
        <w:rPr>
          <w:rFonts w:eastAsia="Times New Roman"/>
          <w:noProof/>
          <w:lang w:val="en-US"/>
        </w:rPr>
        <w:t>framework. The s</w:t>
      </w:r>
      <w:r w:rsidR="5D0E85B4" w:rsidRPr="5AE5215E">
        <w:rPr>
          <w:rFonts w:eastAsia="Times New Roman"/>
          <w:noProof/>
          <w:lang w:val="en-US"/>
        </w:rPr>
        <w:t xml:space="preserve">ame rationale applies in the context of the Pillar Two rules, as </w:t>
      </w:r>
      <w:r w:rsidR="361C93F7" w:rsidRPr="5AE5215E">
        <w:rPr>
          <w:rFonts w:eastAsia="Times New Roman"/>
          <w:noProof/>
          <w:lang w:val="en-US"/>
        </w:rPr>
        <w:t>t</w:t>
      </w:r>
      <w:r w:rsidR="5D0E85B4" w:rsidRPr="5AE5215E">
        <w:rPr>
          <w:rFonts w:eastAsia="Times New Roman"/>
          <w:noProof/>
          <w:lang w:val="en-US"/>
        </w:rPr>
        <w:t>he measure does not in any</w:t>
      </w:r>
      <w:r w:rsidR="644F8B2E" w:rsidRPr="5AE5215E">
        <w:rPr>
          <w:rFonts w:eastAsia="Times New Roman"/>
          <w:noProof/>
          <w:lang w:val="en-US"/>
        </w:rPr>
        <w:t xml:space="preserve"> way impact on the information that is </w:t>
      </w:r>
      <w:r w:rsidR="3C4BCB99" w:rsidRPr="5AE5215E">
        <w:rPr>
          <w:rFonts w:eastAsia="Times New Roman"/>
          <w:noProof/>
          <w:lang w:val="en-US"/>
        </w:rPr>
        <w:t>reported</w:t>
      </w:r>
      <w:r w:rsidR="644F8B2E" w:rsidRPr="5AE5215E">
        <w:rPr>
          <w:rFonts w:eastAsia="Times New Roman"/>
          <w:noProof/>
          <w:lang w:val="en-US"/>
        </w:rPr>
        <w:t xml:space="preserve"> under DAC9 to ensure that MNE groups and large domestic groups pay a minimum effective tax rate of 15% in each jurisdiction where they ope</w:t>
      </w:r>
      <w:r w:rsidR="74218253" w:rsidRPr="5AE5215E">
        <w:rPr>
          <w:rFonts w:eastAsia="Times New Roman"/>
          <w:noProof/>
          <w:lang w:val="en-US"/>
        </w:rPr>
        <w:t>rate</w:t>
      </w:r>
      <w:r w:rsidR="75FAC179" w:rsidRPr="5AE5215E">
        <w:rPr>
          <w:rFonts w:eastAsia="Times New Roman"/>
          <w:noProof/>
          <w:lang w:val="en-US"/>
        </w:rPr>
        <w:t xml:space="preserve"> hence remaining aligned with the corresponding OECD Global Information Return</w:t>
      </w:r>
      <w:r w:rsidR="287257B7" w:rsidRPr="5AE5215E">
        <w:rPr>
          <w:rFonts w:eastAsia="Times New Roman"/>
          <w:noProof/>
          <w:lang w:val="en-US"/>
        </w:rPr>
        <w:t xml:space="preserve"> (GIR).</w:t>
      </w:r>
      <w:r w:rsidR="75FAC179" w:rsidRPr="5AE5215E">
        <w:rPr>
          <w:rFonts w:ascii="Roboto" w:eastAsia="Roboto" w:hAnsi="Roboto" w:cs="Roboto"/>
          <w:noProof/>
          <w:color w:val="000000" w:themeColor="text1"/>
          <w:lang w:val="en-US"/>
        </w:rPr>
        <w:t xml:space="preserve"> </w:t>
      </w:r>
      <w:r w:rsidR="75FAC179" w:rsidRPr="5AE5215E">
        <w:rPr>
          <w:rFonts w:eastAsia="Times New Roman"/>
          <w:noProof/>
          <w:lang w:val="en-US"/>
        </w:rPr>
        <w:t xml:space="preserve"> </w:t>
      </w:r>
    </w:p>
    <w:p w14:paraId="71610AE7" w14:textId="031904AB" w:rsidR="4932F456" w:rsidRDefault="4932F456" w:rsidP="5AE5215E">
      <w:pPr>
        <w:spacing w:after="160" w:line="257" w:lineRule="auto"/>
        <w:rPr>
          <w:rFonts w:eastAsia="Times New Roman"/>
          <w:noProof/>
        </w:rPr>
      </w:pPr>
      <w:r w:rsidRPr="5AE5215E">
        <w:rPr>
          <w:rFonts w:eastAsia="Times New Roman"/>
          <w:noProof/>
        </w:rPr>
        <w:t xml:space="preserve">In addition, the proposed measure will have no impact on the existing </w:t>
      </w:r>
      <w:r w:rsidR="2230C292" w:rsidRPr="5AE5215E">
        <w:rPr>
          <w:rFonts w:eastAsia="Times New Roman"/>
          <w:noProof/>
        </w:rPr>
        <w:t>EU Public Country</w:t>
      </w:r>
      <w:r w:rsidR="1CAB6C2B" w:rsidRPr="5AE5215E">
        <w:rPr>
          <w:rFonts w:eastAsia="Times New Roman"/>
          <w:noProof/>
        </w:rPr>
        <w:t>-by-Country</w:t>
      </w:r>
      <w:r w:rsidR="11BC9D51" w:rsidRPr="5AE5215E">
        <w:rPr>
          <w:rFonts w:eastAsia="Times New Roman"/>
          <w:noProof/>
        </w:rPr>
        <w:t xml:space="preserve"> Reporting (PCbCR) Directive which enhances the corporate tax transparency and accountability by requiring large MNE’s</w:t>
      </w:r>
      <w:r w:rsidR="70AA4780" w:rsidRPr="5AE5215E">
        <w:rPr>
          <w:rFonts w:eastAsia="Times New Roman"/>
          <w:noProof/>
        </w:rPr>
        <w:t xml:space="preserve"> to </w:t>
      </w:r>
      <w:r w:rsidR="3E55EB62" w:rsidRPr="5AE5215E">
        <w:rPr>
          <w:rFonts w:eastAsia="Times New Roman"/>
          <w:noProof/>
        </w:rPr>
        <w:t xml:space="preserve">publicly </w:t>
      </w:r>
      <w:r w:rsidR="70AA4780" w:rsidRPr="5AE5215E">
        <w:rPr>
          <w:rFonts w:eastAsia="Times New Roman"/>
          <w:noProof/>
        </w:rPr>
        <w:t xml:space="preserve">disclose where they generate their profits and where they pay their taxes. </w:t>
      </w:r>
      <w:r w:rsidR="68F476D4" w:rsidRPr="5AE5215E">
        <w:rPr>
          <w:rFonts w:eastAsia="Times New Roman"/>
          <w:noProof/>
        </w:rPr>
        <w:t>The rationale for this assessment is underpinned by the fact that DAC4 CbCR and Public CbCR have two different objectives. The objective of DAC4 is to provide EU tax authorities with information on the structure, transfer-pricing policies and internal transactions of MNE groups. This information is used by tax authorities to check for risks of tax abuse due to aggressive tax planning and other base-erosion and profit-shifting risks related to the MNE group.</w:t>
      </w:r>
      <w:r w:rsidR="6142F7BD" w:rsidRPr="5AE5215E">
        <w:rPr>
          <w:rFonts w:eastAsia="Times New Roman"/>
          <w:noProof/>
        </w:rPr>
        <w:t xml:space="preserve"> </w:t>
      </w:r>
      <w:r w:rsidR="68F476D4" w:rsidRPr="5AE5215E">
        <w:rPr>
          <w:rFonts w:eastAsia="Times New Roman"/>
          <w:noProof/>
        </w:rPr>
        <w:t xml:space="preserve">Public CbCR requires MNE’s to publicly disclose </w:t>
      </w:r>
      <w:r w:rsidR="13AB029D" w:rsidRPr="5AE5215E">
        <w:rPr>
          <w:rFonts w:eastAsia="Times New Roman"/>
          <w:noProof/>
        </w:rPr>
        <w:t xml:space="preserve">specific </w:t>
      </w:r>
      <w:r w:rsidR="68F476D4" w:rsidRPr="5AE5215E">
        <w:rPr>
          <w:rFonts w:eastAsia="Times New Roman"/>
          <w:noProof/>
        </w:rPr>
        <w:t xml:space="preserve">corporate tax </w:t>
      </w:r>
      <w:r w:rsidR="00AB1F61" w:rsidRPr="5AE5215E">
        <w:rPr>
          <w:rFonts w:eastAsia="Times New Roman"/>
          <w:noProof/>
        </w:rPr>
        <w:t>information. The</w:t>
      </w:r>
      <w:r w:rsidR="68F476D4" w:rsidRPr="5AE5215E">
        <w:rPr>
          <w:rFonts w:eastAsia="Times New Roman"/>
          <w:noProof/>
        </w:rPr>
        <w:t xml:space="preserve"> objective is to increase corporate transparency and enhance public scrutiny. </w:t>
      </w:r>
      <w:r w:rsidR="40480410" w:rsidRPr="5AE5215E">
        <w:rPr>
          <w:rFonts w:eastAsia="Times New Roman"/>
          <w:noProof/>
        </w:rPr>
        <w:t>In summary</w:t>
      </w:r>
      <w:r w:rsidR="556AE219" w:rsidRPr="5AE5215E">
        <w:rPr>
          <w:rFonts w:eastAsia="Times New Roman"/>
          <w:noProof/>
        </w:rPr>
        <w:t xml:space="preserve"> w</w:t>
      </w:r>
      <w:r w:rsidR="643A57AE" w:rsidRPr="5AE5215E">
        <w:rPr>
          <w:rFonts w:eastAsia="Times New Roman"/>
          <w:noProof/>
        </w:rPr>
        <w:t>hile t</w:t>
      </w:r>
      <w:r w:rsidR="39641F2B" w:rsidRPr="5AE5215E">
        <w:rPr>
          <w:rFonts w:eastAsia="Times New Roman"/>
          <w:noProof/>
        </w:rPr>
        <w:t>he scope of both Directives covers the same MNE’s, the differing objectives and possibilities to use the informa</w:t>
      </w:r>
      <w:r w:rsidR="1586040D" w:rsidRPr="5AE5215E">
        <w:rPr>
          <w:rFonts w:eastAsia="Times New Roman"/>
          <w:noProof/>
        </w:rPr>
        <w:t xml:space="preserve">tion will not be impacted by the measure therefore ensuring coherence with the existing broader EU framework. </w:t>
      </w:r>
    </w:p>
    <w:p w14:paraId="3317EC43" w14:textId="71C28D85" w:rsidR="67C0B114" w:rsidRDefault="440647D9" w:rsidP="67C0B114">
      <w:pPr>
        <w:spacing w:after="160" w:line="257" w:lineRule="auto"/>
        <w:rPr>
          <w:noProof/>
        </w:rPr>
      </w:pPr>
      <w:r>
        <w:rPr>
          <w:noProof/>
        </w:rPr>
        <w:t>In the context of the measure to improve the verification of the TINs</w:t>
      </w:r>
      <w:r w:rsidR="3F70CE2F">
        <w:rPr>
          <w:noProof/>
        </w:rPr>
        <w:t xml:space="preserve">, the preferred policy option of </w:t>
      </w:r>
      <w:r w:rsidR="448D6F8D" w:rsidRPr="00BE4A20">
        <w:rPr>
          <w:b/>
          <w:noProof/>
        </w:rPr>
        <w:t xml:space="preserve">PO4b </w:t>
      </w:r>
      <w:r w:rsidR="448D6F8D">
        <w:rPr>
          <w:noProof/>
        </w:rPr>
        <w:t xml:space="preserve">proposes the </w:t>
      </w:r>
      <w:r w:rsidR="016AD860">
        <w:rPr>
          <w:noProof/>
        </w:rPr>
        <w:t>introduction of a centralised TIN verification system accessible to the tax administrations of Member States and to reporting entities on an optional basis</w:t>
      </w:r>
      <w:r w:rsidR="33C3F648">
        <w:rPr>
          <w:noProof/>
        </w:rPr>
        <w:t xml:space="preserve">. This measure is fully coherent with the existing EU and international legislative frameworks. </w:t>
      </w:r>
    </w:p>
    <w:p w14:paraId="6FC5A995" w14:textId="53E85BDC" w:rsidR="33C3F648" w:rsidRDefault="33C3F648">
      <w:pPr>
        <w:spacing w:after="160" w:line="257" w:lineRule="auto"/>
        <w:rPr>
          <w:noProof/>
        </w:rPr>
      </w:pPr>
      <w:r>
        <w:rPr>
          <w:noProof/>
        </w:rPr>
        <w:t xml:space="preserve">Finally, in the context of the measure to improve the completeness of information </w:t>
      </w:r>
      <w:r w:rsidR="0DBF74CD">
        <w:rPr>
          <w:noProof/>
        </w:rPr>
        <w:t xml:space="preserve">reported under DAC1, the preferred policy option of </w:t>
      </w:r>
      <w:r w:rsidR="4139261C" w:rsidRPr="00AB1F61">
        <w:rPr>
          <w:b/>
          <w:noProof/>
        </w:rPr>
        <w:t xml:space="preserve">PO5c </w:t>
      </w:r>
      <w:r w:rsidR="4139261C">
        <w:rPr>
          <w:noProof/>
        </w:rPr>
        <w:t>proposes t</w:t>
      </w:r>
      <w:r w:rsidR="1425CF4D">
        <w:rPr>
          <w:noProof/>
        </w:rPr>
        <w:t>hat the LIP category is no longer required to be exchanged and that Member States are obliged to automatically exch</w:t>
      </w:r>
      <w:r w:rsidR="49AA15BA">
        <w:rPr>
          <w:noProof/>
        </w:rPr>
        <w:t xml:space="preserve">ange information that is available to all national authorities in the Member State with respect to the remaining six categories of income and capital. </w:t>
      </w:r>
      <w:r w:rsidR="5ED03CEB">
        <w:rPr>
          <w:noProof/>
        </w:rPr>
        <w:t>DAC1 does not have a</w:t>
      </w:r>
      <w:r w:rsidR="4102C045">
        <w:rPr>
          <w:noProof/>
        </w:rPr>
        <w:t xml:space="preserve"> </w:t>
      </w:r>
      <w:r w:rsidR="1B157BBE">
        <w:rPr>
          <w:noProof/>
        </w:rPr>
        <w:t>directly</w:t>
      </w:r>
      <w:r w:rsidR="5ED03CEB">
        <w:rPr>
          <w:noProof/>
        </w:rPr>
        <w:t xml:space="preserve"> </w:t>
      </w:r>
      <w:r w:rsidR="02848900">
        <w:rPr>
          <w:noProof/>
        </w:rPr>
        <w:t xml:space="preserve">equivalent international </w:t>
      </w:r>
      <w:r w:rsidR="5ED03CEB">
        <w:rPr>
          <w:noProof/>
        </w:rPr>
        <w:t>framework for</w:t>
      </w:r>
      <w:r w:rsidR="4102C045">
        <w:rPr>
          <w:noProof/>
        </w:rPr>
        <w:t xml:space="preserve"> reporting and exchange of information</w:t>
      </w:r>
      <w:r w:rsidR="5ED03CEB">
        <w:rPr>
          <w:noProof/>
        </w:rPr>
        <w:t xml:space="preserve">. </w:t>
      </w:r>
    </w:p>
    <w:p w14:paraId="1A4CE393" w14:textId="3FADF49C" w:rsidR="33C3F648" w:rsidRDefault="4B280700" w:rsidP="335D9BD9">
      <w:pPr>
        <w:spacing w:after="160" w:line="257" w:lineRule="auto"/>
        <w:rPr>
          <w:noProof/>
        </w:rPr>
      </w:pPr>
      <w:r>
        <w:rPr>
          <w:noProof/>
        </w:rPr>
        <w:t xml:space="preserve">However, </w:t>
      </w:r>
      <w:r w:rsidR="03BA0D09">
        <w:rPr>
          <w:noProof/>
        </w:rPr>
        <w:t>the current scope of inform</w:t>
      </w:r>
      <w:r w:rsidR="1487C374">
        <w:rPr>
          <w:noProof/>
        </w:rPr>
        <w:t xml:space="preserve">ation reported and exchanged under the DAC1 category of ownership of and income from immovable property will be enhanced to ensure coherence with the recent OECD </w:t>
      </w:r>
      <w:r w:rsidR="5AC4C171">
        <w:rPr>
          <w:noProof/>
        </w:rPr>
        <w:t>initiative to exchange readily available information on immovable property</w:t>
      </w:r>
      <w:r w:rsidR="00AB1F61">
        <w:rPr>
          <w:rStyle w:val="FootnoteReference"/>
          <w:noProof/>
        </w:rPr>
        <w:footnoteReference w:id="74"/>
      </w:r>
    </w:p>
    <w:p w14:paraId="2BF8B3CB" w14:textId="77777777" w:rsidR="006B087E" w:rsidRDefault="006B087E" w:rsidP="0059106A">
      <w:pPr>
        <w:pStyle w:val="Heading1"/>
        <w:numPr>
          <w:ilvl w:val="0"/>
          <w:numId w:val="13"/>
        </w:numPr>
        <w:rPr>
          <w:noProof/>
        </w:rPr>
      </w:pPr>
      <w:bookmarkStart w:id="32" w:name="_Toc231816717"/>
      <w:r w:rsidRPr="00F92EAE">
        <w:rPr>
          <w:noProof/>
        </w:rPr>
        <w:t>Preferred option</w:t>
      </w:r>
      <w:bookmarkEnd w:id="32"/>
    </w:p>
    <w:p w14:paraId="2A05D489" w14:textId="45097EC6" w:rsidR="00DB4ADA" w:rsidRPr="00DB4ADA" w:rsidRDefault="00DB4ADA" w:rsidP="0059106A">
      <w:pPr>
        <w:pStyle w:val="Heading2"/>
        <w:numPr>
          <w:ilvl w:val="1"/>
          <w:numId w:val="29"/>
        </w:numPr>
        <w:rPr>
          <w:b w:val="0"/>
          <w:bCs/>
          <w:noProof/>
        </w:rPr>
      </w:pPr>
      <w:bookmarkStart w:id="33" w:name="_Toc231816718"/>
      <w:r>
        <w:rPr>
          <w:bCs/>
          <w:noProof/>
        </w:rPr>
        <w:t xml:space="preserve">Preferred policy options </w:t>
      </w:r>
      <w:r w:rsidR="004326A1">
        <w:rPr>
          <w:bCs/>
          <w:noProof/>
        </w:rPr>
        <w:t>and option package</w:t>
      </w:r>
      <w:bookmarkEnd w:id="33"/>
    </w:p>
    <w:p w14:paraId="66A849A8" w14:textId="5FF0C76F" w:rsidR="2909E1A6" w:rsidRDefault="16A7938D" w:rsidP="3A123E5D">
      <w:pPr>
        <w:spacing w:after="160" w:line="257" w:lineRule="auto"/>
        <w:rPr>
          <w:noProof/>
        </w:rPr>
      </w:pPr>
      <w:r w:rsidRPr="4321A1A3">
        <w:rPr>
          <w:rFonts w:eastAsia="Times New Roman"/>
          <w:noProof/>
        </w:rPr>
        <w:t>Th</w:t>
      </w:r>
      <w:r w:rsidR="3F9F169C" w:rsidRPr="4321A1A3">
        <w:rPr>
          <w:rFonts w:eastAsia="Times New Roman"/>
          <w:noProof/>
        </w:rPr>
        <w:t xml:space="preserve">is chapter </w:t>
      </w:r>
      <w:r w:rsidR="0A8DE3FA" w:rsidRPr="4321A1A3">
        <w:rPr>
          <w:rFonts w:eastAsia="Times New Roman"/>
          <w:noProof/>
        </w:rPr>
        <w:t xml:space="preserve">lists the preferred policy options under each measure, as resulting from the analysis performed </w:t>
      </w:r>
      <w:r w:rsidR="16DE17F4" w:rsidRPr="4321A1A3">
        <w:rPr>
          <w:rFonts w:eastAsia="Times New Roman"/>
          <w:noProof/>
        </w:rPr>
        <w:t>in the previous chapter</w:t>
      </w:r>
      <w:r w:rsidR="4156A26A" w:rsidRPr="4321A1A3">
        <w:rPr>
          <w:rFonts w:eastAsia="Times New Roman"/>
          <w:noProof/>
        </w:rPr>
        <w:t xml:space="preserve"> and then identif</w:t>
      </w:r>
      <w:r w:rsidR="00942052">
        <w:rPr>
          <w:rFonts w:eastAsia="Times New Roman"/>
          <w:noProof/>
        </w:rPr>
        <w:t>ies</w:t>
      </w:r>
      <w:r w:rsidR="4156A26A" w:rsidRPr="4321A1A3">
        <w:rPr>
          <w:rFonts w:eastAsia="Times New Roman"/>
          <w:noProof/>
        </w:rPr>
        <w:t xml:space="preserve"> the </w:t>
      </w:r>
      <w:r w:rsidRPr="4321A1A3">
        <w:rPr>
          <w:rFonts w:eastAsia="Times New Roman"/>
          <w:noProof/>
        </w:rPr>
        <w:t>preferred policy package</w:t>
      </w:r>
      <w:r w:rsidR="4156A26A" w:rsidRPr="4321A1A3">
        <w:rPr>
          <w:rFonts w:eastAsia="Times New Roman"/>
          <w:noProof/>
        </w:rPr>
        <w:t>.</w:t>
      </w:r>
      <w:r w:rsidRPr="4321A1A3">
        <w:rPr>
          <w:rFonts w:eastAsia="Times New Roman"/>
          <w:noProof/>
        </w:rPr>
        <w:t xml:space="preserve"> </w:t>
      </w:r>
      <w:r w:rsidR="06E6310C" w:rsidRPr="4321A1A3">
        <w:rPr>
          <w:rFonts w:eastAsia="Times New Roman"/>
          <w:noProof/>
        </w:rPr>
        <w:t xml:space="preserve">The preferred policy </w:t>
      </w:r>
      <w:r w:rsidR="0DF8B113" w:rsidRPr="4321A1A3">
        <w:rPr>
          <w:rFonts w:eastAsia="Times New Roman"/>
          <w:noProof/>
        </w:rPr>
        <w:t xml:space="preserve">package </w:t>
      </w:r>
      <w:r w:rsidRPr="4321A1A3">
        <w:rPr>
          <w:rFonts w:eastAsia="Times New Roman"/>
          <w:noProof/>
        </w:rPr>
        <w:t xml:space="preserve">combines the options </w:t>
      </w:r>
      <w:r w:rsidR="7E329D30" w:rsidRPr="4321A1A3">
        <w:rPr>
          <w:rFonts w:eastAsia="Times New Roman"/>
          <w:noProof/>
        </w:rPr>
        <w:t xml:space="preserve">under each measure </w:t>
      </w:r>
      <w:r w:rsidRPr="4321A1A3">
        <w:rPr>
          <w:rFonts w:eastAsia="Times New Roman"/>
          <w:noProof/>
        </w:rPr>
        <w:t>that best contribute to the specific objectives of the initiative</w:t>
      </w:r>
      <w:r w:rsidR="1089C6B0" w:rsidRPr="4321A1A3">
        <w:rPr>
          <w:rFonts w:eastAsia="Times New Roman"/>
          <w:noProof/>
        </w:rPr>
        <w:t xml:space="preserve">. </w:t>
      </w:r>
      <w:r w:rsidR="1E7EBD05" w:rsidRPr="4321A1A3">
        <w:rPr>
          <w:rFonts w:eastAsia="Times New Roman"/>
          <w:noProof/>
        </w:rPr>
        <w:t xml:space="preserve">It </w:t>
      </w:r>
      <w:r w:rsidRPr="4321A1A3">
        <w:rPr>
          <w:rFonts w:eastAsia="Times New Roman"/>
          <w:noProof/>
        </w:rPr>
        <w:t xml:space="preserve">also </w:t>
      </w:r>
      <w:r w:rsidR="33395507" w:rsidRPr="4321A1A3">
        <w:rPr>
          <w:rFonts w:eastAsia="Times New Roman"/>
          <w:noProof/>
        </w:rPr>
        <w:t>considers</w:t>
      </w:r>
      <w:r w:rsidRPr="4321A1A3">
        <w:rPr>
          <w:rFonts w:eastAsia="Times New Roman"/>
          <w:noProof/>
        </w:rPr>
        <w:t xml:space="preserve"> the quantitative and qualitative impacts identified in </w:t>
      </w:r>
      <w:r w:rsidR="1B6D967F" w:rsidRPr="4321A1A3">
        <w:rPr>
          <w:rFonts w:eastAsia="Times New Roman"/>
          <w:noProof/>
        </w:rPr>
        <w:t>the previous chapter</w:t>
      </w:r>
      <w:r w:rsidRPr="4321A1A3">
        <w:rPr>
          <w:rFonts w:eastAsia="Times New Roman"/>
          <w:noProof/>
        </w:rPr>
        <w:t>, including reductions in compliance costs for reporting entities, improvements in the efficiency of administrative cooperation between Member States, and the need to preserve the operational value of the information exchanged.</w:t>
      </w:r>
    </w:p>
    <w:p w14:paraId="1B846181" w14:textId="1B1356AD" w:rsidR="2909E1A6" w:rsidRDefault="2909E1A6" w:rsidP="3A123E5D">
      <w:pPr>
        <w:spacing w:after="160" w:line="257" w:lineRule="auto"/>
        <w:rPr>
          <w:noProof/>
        </w:rPr>
      </w:pPr>
      <w:r w:rsidRPr="3A123E5D">
        <w:rPr>
          <w:rFonts w:eastAsia="Times New Roman"/>
          <w:noProof/>
        </w:rPr>
        <w:t xml:space="preserve">The preferred </w:t>
      </w:r>
      <w:r w:rsidR="000E4FC4" w:rsidRPr="004326A1">
        <w:rPr>
          <w:rFonts w:eastAsia="Times New Roman"/>
          <w:b/>
          <w:bCs/>
          <w:noProof/>
        </w:rPr>
        <w:t xml:space="preserve">policy </w:t>
      </w:r>
      <w:r w:rsidRPr="004326A1">
        <w:rPr>
          <w:rFonts w:eastAsia="Times New Roman"/>
          <w:b/>
          <w:bCs/>
          <w:noProof/>
        </w:rPr>
        <w:t>options under each measure</w:t>
      </w:r>
      <w:r w:rsidRPr="3A123E5D">
        <w:rPr>
          <w:rFonts w:eastAsia="Times New Roman"/>
          <w:noProof/>
        </w:rPr>
        <w:t xml:space="preserve"> are presented below.</w:t>
      </w:r>
    </w:p>
    <w:p w14:paraId="462544E3" w14:textId="2084FB33" w:rsidR="2909E1A6" w:rsidRPr="003F75C5" w:rsidRDefault="2909E1A6" w:rsidP="003F75C5">
      <w:pPr>
        <w:pStyle w:val="Heading3"/>
        <w:numPr>
          <w:ilvl w:val="0"/>
          <w:numId w:val="0"/>
        </w:numPr>
        <w:rPr>
          <w:b/>
          <w:bCs/>
          <w:noProof/>
        </w:rPr>
      </w:pPr>
      <w:r w:rsidRPr="003F75C5">
        <w:rPr>
          <w:b/>
          <w:bCs/>
          <w:noProof/>
        </w:rPr>
        <w:t>Measure 1 –</w:t>
      </w:r>
      <w:r w:rsidR="0034372B" w:rsidRPr="003F75C5">
        <w:rPr>
          <w:b/>
          <w:bCs/>
          <w:noProof/>
        </w:rPr>
        <w:t xml:space="preserve"> E</w:t>
      </w:r>
      <w:r w:rsidRPr="003F75C5">
        <w:rPr>
          <w:b/>
          <w:bCs/>
          <w:noProof/>
        </w:rPr>
        <w:t>nsuring proportionate and effective DAC6 reporting obligations</w:t>
      </w:r>
      <w:r w:rsidR="00C44E8D" w:rsidRPr="003F75C5">
        <w:rPr>
          <w:b/>
          <w:bCs/>
          <w:noProof/>
        </w:rPr>
        <w:t xml:space="preserve"> while </w:t>
      </w:r>
      <w:r w:rsidR="002627AD" w:rsidRPr="003F75C5">
        <w:rPr>
          <w:b/>
          <w:bCs/>
          <w:noProof/>
        </w:rPr>
        <w:t xml:space="preserve">promoting </w:t>
      </w:r>
      <w:r w:rsidR="003D2147" w:rsidRPr="003F75C5">
        <w:rPr>
          <w:b/>
          <w:bCs/>
          <w:noProof/>
        </w:rPr>
        <w:t>a more harmonised application of the MBT</w:t>
      </w:r>
    </w:p>
    <w:p w14:paraId="64E48212" w14:textId="2951470D" w:rsidR="2909E1A6" w:rsidRDefault="2909E1A6" w:rsidP="3A123E5D">
      <w:pPr>
        <w:spacing w:after="160" w:line="257" w:lineRule="auto"/>
        <w:rPr>
          <w:noProof/>
        </w:rPr>
      </w:pPr>
      <w:r w:rsidRPr="3A123E5D">
        <w:rPr>
          <w:rFonts w:eastAsia="Times New Roman"/>
          <w:noProof/>
        </w:rPr>
        <w:t xml:space="preserve">The preferred option is </w:t>
      </w:r>
      <w:r w:rsidRPr="3A123E5D">
        <w:rPr>
          <w:rFonts w:eastAsia="Times New Roman"/>
          <w:b/>
          <w:bCs/>
          <w:noProof/>
        </w:rPr>
        <w:t>Policy Option 1b</w:t>
      </w:r>
      <w:r w:rsidRPr="3A123E5D">
        <w:rPr>
          <w:rFonts w:eastAsia="Times New Roman"/>
          <w:noProof/>
        </w:rPr>
        <w:t>.</w:t>
      </w:r>
    </w:p>
    <w:p w14:paraId="0190B3E5" w14:textId="693E55C4" w:rsidR="2909E1A6" w:rsidRDefault="2909E1A6" w:rsidP="3A123E5D">
      <w:pPr>
        <w:spacing w:after="160" w:line="257" w:lineRule="auto"/>
        <w:rPr>
          <w:noProof/>
        </w:rPr>
      </w:pPr>
      <w:r w:rsidRPr="3A123E5D">
        <w:rPr>
          <w:rFonts w:eastAsia="Times New Roman"/>
          <w:noProof/>
        </w:rPr>
        <w:t xml:space="preserve">This option combines the exclusion of companies within the scope of the </w:t>
      </w:r>
      <w:r w:rsidR="00C055D9">
        <w:rPr>
          <w:rFonts w:eastAsia="Times New Roman"/>
          <w:noProof/>
        </w:rPr>
        <w:t xml:space="preserve">Pillar 2 Directive </w:t>
      </w:r>
      <w:r w:rsidRPr="3A123E5D">
        <w:rPr>
          <w:rFonts w:eastAsia="Times New Roman"/>
          <w:noProof/>
        </w:rPr>
        <w:t xml:space="preserve">from DAC6 reporting obligations with the removal of the generic hallmarks </w:t>
      </w:r>
      <w:r w:rsidR="005D4363">
        <w:rPr>
          <w:rFonts w:eastAsia="Times New Roman"/>
          <w:noProof/>
        </w:rPr>
        <w:t xml:space="preserve">(category A) </w:t>
      </w:r>
      <w:r w:rsidRPr="3A123E5D">
        <w:rPr>
          <w:rFonts w:eastAsia="Times New Roman"/>
          <w:noProof/>
        </w:rPr>
        <w:t>and the issuance of guidance on the interpretation of the MBT for the remaining hallmarks subject to the test.</w:t>
      </w:r>
    </w:p>
    <w:p w14:paraId="5F103C45" w14:textId="0A1421A7" w:rsidR="2909E1A6" w:rsidRDefault="2909E1A6" w:rsidP="3A123E5D">
      <w:pPr>
        <w:spacing w:after="160" w:line="257" w:lineRule="auto"/>
        <w:rPr>
          <w:noProof/>
        </w:rPr>
      </w:pPr>
      <w:r w:rsidRPr="3A123E5D">
        <w:rPr>
          <w:rFonts w:eastAsia="Times New Roman"/>
          <w:noProof/>
        </w:rPr>
        <w:t xml:space="preserve">This option performs best across the evaluation criteria. It significantly reduces reporting volumes associated with hallmarks that generate large numbers of disclosures with limited </w:t>
      </w:r>
      <w:r w:rsidR="00BB5B5B">
        <w:rPr>
          <w:rFonts w:eastAsia="Times New Roman"/>
          <w:noProof/>
        </w:rPr>
        <w:t xml:space="preserve">added </w:t>
      </w:r>
      <w:r w:rsidRPr="3A123E5D">
        <w:rPr>
          <w:rFonts w:eastAsia="Times New Roman"/>
          <w:noProof/>
        </w:rPr>
        <w:t xml:space="preserve">value for tax administrations, thereby improving the proportionality of DAC6 reporting obligations. At the same time, the issuance of guidance </w:t>
      </w:r>
      <w:r w:rsidR="00015BDD">
        <w:rPr>
          <w:rFonts w:eastAsia="Times New Roman"/>
          <w:noProof/>
        </w:rPr>
        <w:t xml:space="preserve">would </w:t>
      </w:r>
      <w:r w:rsidRPr="3A123E5D">
        <w:rPr>
          <w:rFonts w:eastAsia="Times New Roman"/>
          <w:noProof/>
        </w:rPr>
        <w:t>contribute to greater legal clarity and more consistent application of the MBT across Member States.</w:t>
      </w:r>
    </w:p>
    <w:p w14:paraId="1EA1D9AC" w14:textId="1B20EB0D" w:rsidR="2909E1A6" w:rsidRDefault="2909E1A6" w:rsidP="4EE019AD">
      <w:pPr>
        <w:spacing w:after="160" w:line="257" w:lineRule="auto"/>
        <w:rPr>
          <w:rFonts w:eastAsia="Times New Roman"/>
          <w:noProof/>
        </w:rPr>
      </w:pPr>
      <w:r w:rsidRPr="4EE019AD">
        <w:rPr>
          <w:rFonts w:eastAsia="Times New Roman"/>
          <w:noProof/>
        </w:rPr>
        <w:t xml:space="preserve">Compared with </w:t>
      </w:r>
      <w:r w:rsidRPr="00A760A6">
        <w:rPr>
          <w:rFonts w:eastAsia="Times New Roman"/>
          <w:b/>
          <w:bCs/>
          <w:noProof/>
        </w:rPr>
        <w:t>Policy Option 1a</w:t>
      </w:r>
      <w:r w:rsidRPr="4EE019AD">
        <w:rPr>
          <w:rFonts w:eastAsia="Times New Roman"/>
          <w:noProof/>
        </w:rPr>
        <w:t>, this option addresses the broader issues related to the functioning of DAC6 reporting beyond the interaction with the Pillar</w:t>
      </w:r>
      <w:r w:rsidR="41313741" w:rsidRPr="4EE019AD">
        <w:rPr>
          <w:rFonts w:eastAsia="Times New Roman"/>
          <w:noProof/>
        </w:rPr>
        <w:t xml:space="preserve"> 2 Directive</w:t>
      </w:r>
      <w:r w:rsidRPr="4EE019AD">
        <w:rPr>
          <w:rFonts w:eastAsia="Times New Roman"/>
          <w:noProof/>
        </w:rPr>
        <w:t xml:space="preserve">. Compared with </w:t>
      </w:r>
      <w:r w:rsidRPr="00A760A6">
        <w:rPr>
          <w:rFonts w:eastAsia="Times New Roman"/>
          <w:b/>
          <w:bCs/>
          <w:noProof/>
        </w:rPr>
        <w:t>Policy Option 1c</w:t>
      </w:r>
      <w:r w:rsidRPr="4EE019AD">
        <w:rPr>
          <w:rFonts w:eastAsia="Times New Roman"/>
          <w:noProof/>
        </w:rPr>
        <w:t>, it achieves substantial simplification while avoiding the more extensive redesign of the DAC6 reporting framework</w:t>
      </w:r>
      <w:r w:rsidR="00D44640" w:rsidRPr="4EE019AD">
        <w:rPr>
          <w:rFonts w:eastAsia="Times New Roman"/>
          <w:noProof/>
        </w:rPr>
        <w:t xml:space="preserve"> </w:t>
      </w:r>
      <w:r w:rsidR="7069EA3A" w:rsidRPr="4EE019AD">
        <w:rPr>
          <w:rFonts w:eastAsia="Times New Roman"/>
          <w:noProof/>
        </w:rPr>
        <w:t xml:space="preserve">which </w:t>
      </w:r>
      <w:r w:rsidR="39492E1C" w:rsidRPr="4EE019AD">
        <w:rPr>
          <w:rFonts w:eastAsia="Times New Roman"/>
          <w:noProof/>
        </w:rPr>
        <w:t xml:space="preserve">would </w:t>
      </w:r>
      <w:r w:rsidR="7069EA3A" w:rsidRPr="4EE019AD">
        <w:rPr>
          <w:rFonts w:eastAsia="Times New Roman"/>
          <w:noProof/>
        </w:rPr>
        <w:t xml:space="preserve">involve an uncertain outcome in terms of </w:t>
      </w:r>
      <w:r w:rsidR="00942052">
        <w:rPr>
          <w:rFonts w:eastAsia="Times New Roman"/>
          <w:noProof/>
        </w:rPr>
        <w:t>reporting volumes</w:t>
      </w:r>
      <w:r w:rsidR="7069EA3A" w:rsidRPr="4EE019AD">
        <w:rPr>
          <w:rFonts w:eastAsia="Times New Roman"/>
          <w:noProof/>
        </w:rPr>
        <w:t xml:space="preserve"> </w:t>
      </w:r>
      <w:r w:rsidR="4E1D6008" w:rsidRPr="4EE019AD">
        <w:rPr>
          <w:rFonts w:eastAsia="Times New Roman"/>
          <w:noProof/>
        </w:rPr>
        <w:t>and also an</w:t>
      </w:r>
      <w:r w:rsidR="245233E9" w:rsidRPr="4EE019AD">
        <w:rPr>
          <w:rFonts w:eastAsia="Times New Roman"/>
          <w:noProof/>
        </w:rPr>
        <w:t xml:space="preserve"> increase in on</w:t>
      </w:r>
      <w:r w:rsidR="52BC5C73" w:rsidRPr="4EE019AD">
        <w:rPr>
          <w:rFonts w:eastAsia="Times New Roman"/>
          <w:noProof/>
        </w:rPr>
        <w:t>e</w:t>
      </w:r>
      <w:r w:rsidR="245233E9" w:rsidRPr="4EE019AD">
        <w:rPr>
          <w:rFonts w:eastAsia="Times New Roman"/>
          <w:noProof/>
        </w:rPr>
        <w:t>-off administrative burden for business and tax authorities</w:t>
      </w:r>
      <w:r w:rsidR="58886BA7" w:rsidRPr="4EE019AD">
        <w:rPr>
          <w:rFonts w:eastAsia="Times New Roman"/>
          <w:noProof/>
        </w:rPr>
        <w:t xml:space="preserve">, stemming from the removal </w:t>
      </w:r>
      <w:r w:rsidR="00A760A6" w:rsidRPr="4EE019AD">
        <w:rPr>
          <w:rFonts w:eastAsia="Times New Roman"/>
          <w:noProof/>
        </w:rPr>
        <w:t>of the</w:t>
      </w:r>
      <w:r w:rsidRPr="4EE019AD">
        <w:rPr>
          <w:rFonts w:eastAsia="Times New Roman"/>
          <w:noProof/>
        </w:rPr>
        <w:t xml:space="preserve"> MBT from the remaining hallmarks.</w:t>
      </w:r>
    </w:p>
    <w:p w14:paraId="1147E8D8" w14:textId="5A26F92B" w:rsidR="2909E1A6" w:rsidRDefault="2909E1A6" w:rsidP="3A123E5D">
      <w:pPr>
        <w:spacing w:after="160" w:line="257" w:lineRule="auto"/>
        <w:rPr>
          <w:noProof/>
        </w:rPr>
      </w:pPr>
      <w:r w:rsidRPr="3A123E5D">
        <w:rPr>
          <w:rFonts w:eastAsia="Times New Roman"/>
          <w:noProof/>
        </w:rPr>
        <w:t xml:space="preserve">Overall, </w:t>
      </w:r>
      <w:r w:rsidRPr="00A760A6">
        <w:rPr>
          <w:rFonts w:eastAsia="Times New Roman"/>
          <w:b/>
          <w:bCs/>
          <w:noProof/>
        </w:rPr>
        <w:t>Policy Option 1b</w:t>
      </w:r>
      <w:r w:rsidRPr="3A123E5D">
        <w:rPr>
          <w:rFonts w:eastAsia="Times New Roman"/>
          <w:noProof/>
        </w:rPr>
        <w:t xml:space="preserve"> provides the best balance between simplification of reporting obligations, legal certainty for stakeholders and the continued effectiveness of DAC6 as a tool for identifying potentially aggressive cross-border tax arrangements.</w:t>
      </w:r>
    </w:p>
    <w:p w14:paraId="3901CCE4" w14:textId="74C9DC50" w:rsidR="303FCAF1" w:rsidRPr="003F75C5" w:rsidRDefault="303FCAF1" w:rsidP="003F75C5">
      <w:pPr>
        <w:pStyle w:val="Heading3"/>
        <w:numPr>
          <w:ilvl w:val="0"/>
          <w:numId w:val="0"/>
        </w:numPr>
        <w:rPr>
          <w:b/>
          <w:bCs/>
          <w:noProof/>
        </w:rPr>
      </w:pPr>
      <w:r w:rsidRPr="003F75C5">
        <w:rPr>
          <w:b/>
          <w:bCs/>
          <w:noProof/>
        </w:rPr>
        <w:t xml:space="preserve">Measure 2 – Amending the reporting threshold for activities involving the sale of goods under DAC7 </w:t>
      </w:r>
    </w:p>
    <w:p w14:paraId="6369DD3B" w14:textId="20F02582" w:rsidR="303FCAF1" w:rsidRDefault="303FCAF1" w:rsidP="3A123E5D">
      <w:pPr>
        <w:spacing w:after="160" w:line="257" w:lineRule="auto"/>
        <w:rPr>
          <w:noProof/>
        </w:rPr>
      </w:pPr>
      <w:r w:rsidRPr="3A123E5D">
        <w:rPr>
          <w:rFonts w:eastAsia="Times New Roman"/>
          <w:noProof/>
        </w:rPr>
        <w:t xml:space="preserve">The preferred option is </w:t>
      </w:r>
      <w:r w:rsidRPr="3A123E5D">
        <w:rPr>
          <w:rFonts w:eastAsia="Times New Roman"/>
          <w:b/>
          <w:bCs/>
          <w:noProof/>
        </w:rPr>
        <w:t>Policy Option 2b</w:t>
      </w:r>
      <w:r w:rsidRPr="3A123E5D">
        <w:rPr>
          <w:rFonts w:eastAsia="Times New Roman"/>
          <w:noProof/>
        </w:rPr>
        <w:t>.</w:t>
      </w:r>
    </w:p>
    <w:p w14:paraId="2E782A96" w14:textId="543BCA20" w:rsidR="303FCAF1" w:rsidRDefault="1F1E92A3" w:rsidP="3A123E5D">
      <w:pPr>
        <w:spacing w:after="160" w:line="257" w:lineRule="auto"/>
        <w:rPr>
          <w:rFonts w:eastAsia="Times New Roman"/>
          <w:noProof/>
        </w:rPr>
      </w:pPr>
      <w:r w:rsidRPr="4321A1A3">
        <w:rPr>
          <w:rFonts w:eastAsia="Times New Roman"/>
          <w:noProof/>
        </w:rPr>
        <w:t>This option removes the activity threshold and introduces a single monetary reporting threshold of EUR 3</w:t>
      </w:r>
      <w:r w:rsidR="36DB5BD3" w:rsidRPr="4321A1A3">
        <w:rPr>
          <w:rFonts w:eastAsia="Times New Roman"/>
          <w:noProof/>
        </w:rPr>
        <w:t>,</w:t>
      </w:r>
      <w:r w:rsidRPr="4321A1A3">
        <w:rPr>
          <w:rFonts w:eastAsia="Times New Roman"/>
          <w:noProof/>
        </w:rPr>
        <w:t>000. By relying on a single reporting trigger based on the value of income received, this option simplifies the DAC7 reporting framework and improves legal certainty and clarity for digital platform operators.</w:t>
      </w:r>
    </w:p>
    <w:p w14:paraId="4EBDE2BE" w14:textId="5FC7C727" w:rsidR="303FCAF1" w:rsidRDefault="1F1E92A3" w:rsidP="3A123E5D">
      <w:pPr>
        <w:spacing w:after="160" w:line="257" w:lineRule="auto"/>
        <w:rPr>
          <w:rFonts w:eastAsia="Times New Roman"/>
          <w:noProof/>
        </w:rPr>
      </w:pPr>
      <w:r w:rsidRPr="4321A1A3">
        <w:rPr>
          <w:rFonts w:eastAsia="Times New Roman"/>
          <w:noProof/>
        </w:rPr>
        <w:t xml:space="preserve">Compared with </w:t>
      </w:r>
      <w:r w:rsidRPr="00A760A6">
        <w:rPr>
          <w:rFonts w:eastAsia="Times New Roman"/>
          <w:b/>
          <w:bCs/>
          <w:noProof/>
        </w:rPr>
        <w:t>Policy Option 2a</w:t>
      </w:r>
      <w:r w:rsidRPr="4321A1A3">
        <w:rPr>
          <w:rFonts w:eastAsia="Times New Roman"/>
          <w:noProof/>
        </w:rPr>
        <w:t>, which maintains the EUR 2</w:t>
      </w:r>
      <w:r w:rsidR="5C619B96" w:rsidRPr="4321A1A3">
        <w:rPr>
          <w:rFonts w:eastAsia="Times New Roman"/>
          <w:noProof/>
        </w:rPr>
        <w:t>,</w:t>
      </w:r>
      <w:r w:rsidRPr="4321A1A3">
        <w:rPr>
          <w:rFonts w:eastAsia="Times New Roman"/>
          <w:noProof/>
        </w:rPr>
        <w:t xml:space="preserve">000 threshold, </w:t>
      </w:r>
      <w:r w:rsidR="00942052" w:rsidRPr="00A760A6">
        <w:rPr>
          <w:rFonts w:eastAsia="Times New Roman"/>
          <w:b/>
          <w:bCs/>
          <w:noProof/>
        </w:rPr>
        <w:t>P</w:t>
      </w:r>
      <w:r w:rsidRPr="00A760A6">
        <w:rPr>
          <w:rFonts w:eastAsia="Times New Roman"/>
          <w:b/>
          <w:bCs/>
          <w:noProof/>
        </w:rPr>
        <w:t>olicy Option 2b</w:t>
      </w:r>
      <w:r w:rsidRPr="4321A1A3">
        <w:rPr>
          <w:rFonts w:eastAsia="Times New Roman"/>
          <w:noProof/>
        </w:rPr>
        <w:t xml:space="preserve"> further improves the proportionality of reporting obligations by excluding additional low-value sellers whose activities are unlikely to generate tax-relevant income. At the same time, it ensures that tax relevant income remains subject to reporting and exchange of information.</w:t>
      </w:r>
    </w:p>
    <w:p w14:paraId="7FE5A44B" w14:textId="160EF2C1" w:rsidR="303FCAF1" w:rsidRDefault="1F1E92A3" w:rsidP="3A123E5D">
      <w:pPr>
        <w:spacing w:after="160" w:line="257" w:lineRule="auto"/>
        <w:rPr>
          <w:noProof/>
        </w:rPr>
      </w:pPr>
      <w:r w:rsidRPr="4321A1A3">
        <w:rPr>
          <w:rFonts w:eastAsia="Times New Roman"/>
          <w:noProof/>
        </w:rPr>
        <w:t xml:space="preserve">Compared with </w:t>
      </w:r>
      <w:r w:rsidRPr="00A760A6">
        <w:rPr>
          <w:rFonts w:eastAsia="Times New Roman"/>
          <w:b/>
          <w:bCs/>
          <w:noProof/>
        </w:rPr>
        <w:t>Policy Option 2c</w:t>
      </w:r>
      <w:r w:rsidRPr="4321A1A3">
        <w:rPr>
          <w:rFonts w:eastAsia="Times New Roman"/>
          <w:noProof/>
        </w:rPr>
        <w:t>, which would increase the threshold to EUR 5</w:t>
      </w:r>
      <w:r w:rsidR="1622ED60" w:rsidRPr="4321A1A3">
        <w:rPr>
          <w:rFonts w:eastAsia="Times New Roman"/>
          <w:noProof/>
        </w:rPr>
        <w:t>,</w:t>
      </w:r>
      <w:r w:rsidRPr="4321A1A3">
        <w:rPr>
          <w:rFonts w:eastAsia="Times New Roman"/>
          <w:noProof/>
        </w:rPr>
        <w:t xml:space="preserve">000, </w:t>
      </w:r>
      <w:r w:rsidRPr="00A760A6">
        <w:rPr>
          <w:rFonts w:eastAsia="Times New Roman"/>
          <w:b/>
          <w:bCs/>
          <w:noProof/>
        </w:rPr>
        <w:t>Policy Option 2b</w:t>
      </w:r>
      <w:r w:rsidRPr="4321A1A3">
        <w:rPr>
          <w:rFonts w:eastAsia="Times New Roman"/>
          <w:noProof/>
        </w:rPr>
        <w:t xml:space="preserve"> provides a better balance between reducing administrative burden and preserving the effectiveness of DAC7 reporting. A threshold higher than EUR 3,000 would reduce the availability of information relevant for the enforcement of national tax rules. </w:t>
      </w:r>
      <w:r w:rsidRPr="00A760A6">
        <w:rPr>
          <w:rFonts w:eastAsia="Times New Roman"/>
          <w:b/>
          <w:bCs/>
          <w:noProof/>
        </w:rPr>
        <w:t>Policy Option 2b</w:t>
      </w:r>
      <w:r w:rsidRPr="4321A1A3">
        <w:rPr>
          <w:rFonts w:eastAsia="Times New Roman"/>
          <w:noProof/>
        </w:rPr>
        <w:t xml:space="preserve"> is also </w:t>
      </w:r>
      <w:r w:rsidR="6F606963" w:rsidRPr="4321A1A3">
        <w:rPr>
          <w:rFonts w:eastAsia="Times New Roman"/>
          <w:noProof/>
        </w:rPr>
        <w:t xml:space="preserve">fully </w:t>
      </w:r>
      <w:r w:rsidRPr="4321A1A3">
        <w:rPr>
          <w:rFonts w:eastAsia="Times New Roman"/>
          <w:noProof/>
        </w:rPr>
        <w:t>consistent with developments in the OECD MRDP</w:t>
      </w:r>
      <w:r w:rsidR="4EE0E1AB" w:rsidRPr="4321A1A3">
        <w:rPr>
          <w:rFonts w:eastAsia="Times New Roman"/>
          <w:noProof/>
        </w:rPr>
        <w:t xml:space="preserve">, </w:t>
      </w:r>
      <w:r w:rsidRPr="4321A1A3">
        <w:rPr>
          <w:rFonts w:eastAsia="Times New Roman"/>
          <w:noProof/>
        </w:rPr>
        <w:t>thereby contributing to greater international alignment in the design of digital platform reporting rules.</w:t>
      </w:r>
    </w:p>
    <w:p w14:paraId="1B457072" w14:textId="60FB4A31" w:rsidR="303FCAF1" w:rsidRDefault="303FCAF1" w:rsidP="3A123E5D">
      <w:pPr>
        <w:spacing w:after="160" w:line="257" w:lineRule="auto"/>
        <w:rPr>
          <w:noProof/>
        </w:rPr>
      </w:pPr>
      <w:r w:rsidRPr="3A123E5D">
        <w:rPr>
          <w:rFonts w:eastAsia="Times New Roman"/>
          <w:noProof/>
        </w:rPr>
        <w:t>Overall, this option best ensures that reporting obligations remain proportionate while preserving the effectiveness of the DAC7 framework.</w:t>
      </w:r>
    </w:p>
    <w:p w14:paraId="7D287B97" w14:textId="567B1058" w:rsidR="0FDF5457" w:rsidRPr="003F75C5" w:rsidRDefault="0FDF5457" w:rsidP="003F75C5">
      <w:pPr>
        <w:pStyle w:val="Heading3"/>
        <w:numPr>
          <w:ilvl w:val="0"/>
          <w:numId w:val="0"/>
        </w:numPr>
        <w:rPr>
          <w:b/>
          <w:bCs/>
          <w:noProof/>
        </w:rPr>
      </w:pPr>
      <w:r w:rsidRPr="003F75C5">
        <w:rPr>
          <w:b/>
          <w:bCs/>
          <w:noProof/>
        </w:rPr>
        <w:t>Measure 3 –</w:t>
      </w:r>
      <w:r w:rsidR="00A81CBF" w:rsidRPr="003F75C5">
        <w:rPr>
          <w:b/>
          <w:bCs/>
          <w:noProof/>
        </w:rPr>
        <w:t xml:space="preserve"> Streamlining </w:t>
      </w:r>
      <w:r w:rsidRPr="003F75C5">
        <w:rPr>
          <w:b/>
          <w:bCs/>
          <w:noProof/>
        </w:rPr>
        <w:t xml:space="preserve">notification obligations </w:t>
      </w:r>
      <w:r w:rsidR="006130BD" w:rsidRPr="003F75C5">
        <w:rPr>
          <w:b/>
          <w:bCs/>
          <w:noProof/>
        </w:rPr>
        <w:t xml:space="preserve">for MNE group </w:t>
      </w:r>
      <w:r w:rsidRPr="003F75C5">
        <w:rPr>
          <w:b/>
          <w:bCs/>
          <w:noProof/>
        </w:rPr>
        <w:t>under DAC4 and</w:t>
      </w:r>
      <w:r w:rsidR="007E43B6" w:rsidRPr="003F75C5">
        <w:rPr>
          <w:b/>
          <w:bCs/>
          <w:noProof/>
        </w:rPr>
        <w:t xml:space="preserve"> </w:t>
      </w:r>
      <w:r w:rsidR="00AB1F61">
        <w:rPr>
          <w:b/>
          <w:bCs/>
          <w:noProof/>
        </w:rPr>
        <w:t>DAC9</w:t>
      </w:r>
    </w:p>
    <w:p w14:paraId="2428E220" w14:textId="014E5AA9" w:rsidR="0FDF5457" w:rsidRDefault="0FDF5457" w:rsidP="3A123E5D">
      <w:pPr>
        <w:spacing w:after="160" w:line="257" w:lineRule="auto"/>
        <w:rPr>
          <w:noProof/>
        </w:rPr>
      </w:pPr>
      <w:r w:rsidRPr="3A123E5D">
        <w:rPr>
          <w:rFonts w:eastAsia="Times New Roman"/>
          <w:noProof/>
        </w:rPr>
        <w:t xml:space="preserve">The preferred option is </w:t>
      </w:r>
      <w:r w:rsidRPr="3A123E5D">
        <w:rPr>
          <w:rFonts w:eastAsia="Times New Roman"/>
          <w:b/>
          <w:bCs/>
          <w:noProof/>
        </w:rPr>
        <w:t>Policy Option 3b</w:t>
      </w:r>
      <w:r w:rsidRPr="3A123E5D">
        <w:rPr>
          <w:rFonts w:eastAsia="Times New Roman"/>
          <w:noProof/>
        </w:rPr>
        <w:t>.</w:t>
      </w:r>
    </w:p>
    <w:p w14:paraId="5727D12A" w14:textId="10BE720D" w:rsidR="0FDF5457" w:rsidRDefault="0FDF5457" w:rsidP="3A123E5D">
      <w:pPr>
        <w:spacing w:after="160" w:line="257" w:lineRule="auto"/>
        <w:rPr>
          <w:noProof/>
        </w:rPr>
      </w:pPr>
      <w:r w:rsidRPr="3A123E5D">
        <w:rPr>
          <w:rFonts w:eastAsia="Times New Roman"/>
          <w:noProof/>
        </w:rPr>
        <w:t xml:space="preserve">This option builds on the introduction of a single harmonised notification requirement by allowing central filing of the notification by a single entity within the MNE Group in </w:t>
      </w:r>
      <w:r w:rsidR="00A760A6">
        <w:rPr>
          <w:rFonts w:eastAsia="Times New Roman"/>
          <w:noProof/>
        </w:rPr>
        <w:t xml:space="preserve">a </w:t>
      </w:r>
      <w:r w:rsidRPr="3A123E5D">
        <w:rPr>
          <w:rFonts w:eastAsia="Times New Roman"/>
          <w:noProof/>
        </w:rPr>
        <w:t>Member State, followed by the exchange of the notification information between Member States.</w:t>
      </w:r>
    </w:p>
    <w:p w14:paraId="7368011B" w14:textId="6852167E" w:rsidR="0FDF5457" w:rsidRDefault="0FDF5457" w:rsidP="3A123E5D">
      <w:pPr>
        <w:spacing w:after="160" w:line="257" w:lineRule="auto"/>
        <w:rPr>
          <w:noProof/>
        </w:rPr>
      </w:pPr>
      <w:r w:rsidRPr="3A123E5D">
        <w:rPr>
          <w:rFonts w:eastAsia="Times New Roman"/>
          <w:noProof/>
        </w:rPr>
        <w:t xml:space="preserve">Compared with </w:t>
      </w:r>
      <w:r w:rsidRPr="00A760A6">
        <w:rPr>
          <w:rFonts w:eastAsia="Times New Roman"/>
          <w:b/>
          <w:bCs/>
          <w:noProof/>
        </w:rPr>
        <w:t>Policy Option 3a</w:t>
      </w:r>
      <w:r w:rsidRPr="3A123E5D">
        <w:rPr>
          <w:rFonts w:eastAsia="Times New Roman"/>
          <w:noProof/>
        </w:rPr>
        <w:t xml:space="preserve">, which introduces a single notification requirement but still requires local filing in each Member State, this option further reduces the administrative burden for MNE </w:t>
      </w:r>
      <w:r w:rsidR="00733940">
        <w:rPr>
          <w:rFonts w:eastAsia="Times New Roman"/>
          <w:noProof/>
        </w:rPr>
        <w:t>g</w:t>
      </w:r>
      <w:r w:rsidRPr="3A123E5D">
        <w:rPr>
          <w:rFonts w:eastAsia="Times New Roman"/>
          <w:noProof/>
        </w:rPr>
        <w:t>roups by eliminating duplicative filings by multiple constituent entities.</w:t>
      </w:r>
      <w:r w:rsidR="00A760A6">
        <w:rPr>
          <w:rFonts w:eastAsia="Times New Roman"/>
          <w:noProof/>
        </w:rPr>
        <w:t xml:space="preserve"> </w:t>
      </w:r>
      <w:r w:rsidRPr="3A123E5D">
        <w:rPr>
          <w:rFonts w:eastAsia="Times New Roman"/>
          <w:noProof/>
        </w:rPr>
        <w:t>At the same time, the exchange of the notification between Member States ensures that all relevant tax administrations continue to receive the information necessary for effective administrative cooperation.</w:t>
      </w:r>
    </w:p>
    <w:p w14:paraId="6561B82D" w14:textId="2666C2DD" w:rsidR="0FDF5457" w:rsidRDefault="0FDF5457" w:rsidP="3A123E5D">
      <w:pPr>
        <w:spacing w:after="160" w:line="257" w:lineRule="auto"/>
        <w:rPr>
          <w:noProof/>
        </w:rPr>
      </w:pPr>
      <w:r w:rsidRPr="00A760A6">
        <w:rPr>
          <w:rFonts w:eastAsia="Times New Roman"/>
          <w:b/>
          <w:bCs/>
          <w:noProof/>
        </w:rPr>
        <w:t>Policy Option 3b</w:t>
      </w:r>
      <w:r w:rsidRPr="3A123E5D">
        <w:rPr>
          <w:rFonts w:eastAsia="Times New Roman"/>
          <w:noProof/>
        </w:rPr>
        <w:t xml:space="preserve"> therefore achieves the greatest simplification of notification obligations while maintaining the effectiveness of the DAC reporting framework.</w:t>
      </w:r>
    </w:p>
    <w:p w14:paraId="31AD606E" w14:textId="002BEF1E" w:rsidR="7CB7309A" w:rsidRPr="003F75C5" w:rsidRDefault="450B0D1C" w:rsidP="003F75C5">
      <w:pPr>
        <w:pStyle w:val="Heading3"/>
        <w:numPr>
          <w:ilvl w:val="0"/>
          <w:numId w:val="0"/>
        </w:numPr>
        <w:rPr>
          <w:b/>
          <w:bCs/>
          <w:noProof/>
        </w:rPr>
      </w:pPr>
      <w:r w:rsidRPr="4321A1A3">
        <w:rPr>
          <w:b/>
          <w:bCs/>
          <w:noProof/>
        </w:rPr>
        <w:t xml:space="preserve">Measure 4 – Improving the verification of </w:t>
      </w:r>
      <w:r w:rsidR="2845061F" w:rsidRPr="4321A1A3">
        <w:rPr>
          <w:b/>
          <w:bCs/>
          <w:noProof/>
        </w:rPr>
        <w:t>TINs</w:t>
      </w:r>
    </w:p>
    <w:p w14:paraId="1C663583" w14:textId="55CD4E71" w:rsidR="609734F5" w:rsidRDefault="609734F5" w:rsidP="4321A1A3">
      <w:pPr>
        <w:spacing w:after="160" w:line="257" w:lineRule="auto"/>
        <w:rPr>
          <w:rFonts w:eastAsia="Times New Roman"/>
          <w:noProof/>
        </w:rPr>
      </w:pPr>
      <w:r w:rsidRPr="4321A1A3">
        <w:rPr>
          <w:rFonts w:eastAsia="Times New Roman"/>
          <w:noProof/>
        </w:rPr>
        <w:t xml:space="preserve">The preferred option is </w:t>
      </w:r>
      <w:r w:rsidRPr="4321A1A3">
        <w:rPr>
          <w:rFonts w:eastAsia="Times New Roman"/>
          <w:b/>
          <w:bCs/>
          <w:noProof/>
        </w:rPr>
        <w:t>Policy Option 4</w:t>
      </w:r>
      <w:r w:rsidR="300C3752" w:rsidRPr="4321A1A3">
        <w:rPr>
          <w:rFonts w:eastAsia="Times New Roman"/>
          <w:b/>
          <w:bCs/>
          <w:noProof/>
        </w:rPr>
        <w:t>b</w:t>
      </w:r>
      <w:r w:rsidRPr="4321A1A3">
        <w:rPr>
          <w:rFonts w:eastAsia="Times New Roman"/>
          <w:noProof/>
        </w:rPr>
        <w:t>.</w:t>
      </w:r>
    </w:p>
    <w:p w14:paraId="1B148165" w14:textId="613B67DC" w:rsidR="609734F5" w:rsidRDefault="609734F5" w:rsidP="4321A1A3">
      <w:pPr>
        <w:spacing w:after="160" w:line="257" w:lineRule="auto"/>
        <w:rPr>
          <w:rFonts w:eastAsia="Times New Roman"/>
          <w:noProof/>
        </w:rPr>
      </w:pPr>
      <w:r w:rsidRPr="4321A1A3">
        <w:rPr>
          <w:rFonts w:eastAsia="Times New Roman"/>
          <w:noProof/>
        </w:rPr>
        <w:t xml:space="preserve">This option </w:t>
      </w:r>
      <w:r w:rsidR="6166D08B" w:rsidRPr="4321A1A3">
        <w:rPr>
          <w:rFonts w:eastAsia="Times New Roman"/>
          <w:noProof/>
        </w:rPr>
        <w:t xml:space="preserve">envisages the development of </w:t>
      </w:r>
      <w:r w:rsidR="3767BC44" w:rsidRPr="4321A1A3">
        <w:rPr>
          <w:rFonts w:eastAsia="Times New Roman"/>
          <w:noProof/>
        </w:rPr>
        <w:t xml:space="preserve">a centralised TIN verification system that is accessible to tax authorities and reporting entities. </w:t>
      </w:r>
    </w:p>
    <w:p w14:paraId="08E3F627" w14:textId="4EBACFFF" w:rsidR="0215BEC8" w:rsidRDefault="0215BEC8" w:rsidP="4321A1A3">
      <w:pPr>
        <w:spacing w:after="160" w:line="257" w:lineRule="auto"/>
        <w:rPr>
          <w:rFonts w:eastAsia="Times New Roman"/>
          <w:noProof/>
        </w:rPr>
      </w:pPr>
      <w:r w:rsidRPr="00A760A6">
        <w:rPr>
          <w:rFonts w:eastAsia="Times New Roman"/>
          <w:b/>
          <w:bCs/>
          <w:noProof/>
        </w:rPr>
        <w:t>Policy Option 4b</w:t>
      </w:r>
      <w:r w:rsidRPr="4321A1A3">
        <w:rPr>
          <w:rFonts w:eastAsia="Times New Roman"/>
          <w:noProof/>
        </w:rPr>
        <w:t xml:space="preserve"> supports more proportionate and targeted reporting requirements</w:t>
      </w:r>
      <w:r w:rsidR="378D12B5" w:rsidRPr="4321A1A3">
        <w:rPr>
          <w:rFonts w:eastAsia="Times New Roman"/>
          <w:noProof/>
        </w:rPr>
        <w:t xml:space="preserve"> by reducing the necessity</w:t>
      </w:r>
      <w:r w:rsidR="33574392" w:rsidRPr="4321A1A3">
        <w:rPr>
          <w:rFonts w:eastAsia="Times New Roman"/>
          <w:noProof/>
        </w:rPr>
        <w:t>,</w:t>
      </w:r>
      <w:r w:rsidR="378D12B5" w:rsidRPr="4321A1A3">
        <w:rPr>
          <w:rFonts w:eastAsia="Times New Roman"/>
          <w:noProof/>
        </w:rPr>
        <w:t xml:space="preserve"> </w:t>
      </w:r>
      <w:r w:rsidR="5A2FB140" w:rsidRPr="4321A1A3">
        <w:rPr>
          <w:rFonts w:eastAsia="Times New Roman"/>
          <w:noProof/>
        </w:rPr>
        <w:t>for reporting entities that choose to use the centralise</w:t>
      </w:r>
      <w:r w:rsidR="00A760A6">
        <w:rPr>
          <w:rFonts w:eastAsia="Times New Roman"/>
          <w:noProof/>
        </w:rPr>
        <w:t>d</w:t>
      </w:r>
      <w:r w:rsidR="5A2FB140" w:rsidRPr="4321A1A3">
        <w:rPr>
          <w:rFonts w:eastAsia="Times New Roman"/>
          <w:noProof/>
        </w:rPr>
        <w:t xml:space="preserve"> TIN verification tool</w:t>
      </w:r>
      <w:r w:rsidR="18826A29" w:rsidRPr="4321A1A3">
        <w:rPr>
          <w:rFonts w:eastAsia="Times New Roman"/>
          <w:noProof/>
        </w:rPr>
        <w:t>,</w:t>
      </w:r>
      <w:r w:rsidR="5A2FB140" w:rsidRPr="4321A1A3">
        <w:rPr>
          <w:rFonts w:eastAsia="Times New Roman"/>
          <w:noProof/>
        </w:rPr>
        <w:t xml:space="preserve"> </w:t>
      </w:r>
      <w:r w:rsidR="378D12B5" w:rsidRPr="4321A1A3">
        <w:rPr>
          <w:rFonts w:eastAsia="Times New Roman"/>
          <w:noProof/>
        </w:rPr>
        <w:t xml:space="preserve">to report additional identification information </w:t>
      </w:r>
      <w:r w:rsidR="19743EEA" w:rsidRPr="4321A1A3">
        <w:rPr>
          <w:rFonts w:eastAsia="Times New Roman"/>
          <w:noProof/>
        </w:rPr>
        <w:t xml:space="preserve">in circumstances where a verified TIN is </w:t>
      </w:r>
      <w:r w:rsidR="6EFB7462" w:rsidRPr="4321A1A3">
        <w:rPr>
          <w:rFonts w:eastAsia="Times New Roman"/>
          <w:noProof/>
        </w:rPr>
        <w:t>reported</w:t>
      </w:r>
      <w:r w:rsidR="00A760A6">
        <w:rPr>
          <w:rFonts w:eastAsia="Times New Roman"/>
          <w:noProof/>
        </w:rPr>
        <w:t>. This option also preserves</w:t>
      </w:r>
      <w:r w:rsidR="08D22DFB" w:rsidRPr="4321A1A3">
        <w:rPr>
          <w:rFonts w:eastAsia="Times New Roman"/>
          <w:noProof/>
        </w:rPr>
        <w:t xml:space="preserve"> the policy objectives of the framework. Simultaneously, </w:t>
      </w:r>
      <w:r w:rsidR="08D22DFB" w:rsidRPr="00A760A6">
        <w:rPr>
          <w:rFonts w:eastAsia="Times New Roman"/>
          <w:b/>
          <w:bCs/>
          <w:noProof/>
        </w:rPr>
        <w:t>Policy Option 4b</w:t>
      </w:r>
      <w:r w:rsidR="08D22DFB" w:rsidRPr="4321A1A3">
        <w:rPr>
          <w:rFonts w:eastAsia="Times New Roman"/>
          <w:noProof/>
        </w:rPr>
        <w:t xml:space="preserve"> scores higher in </w:t>
      </w:r>
      <w:r w:rsidR="2EB1D882" w:rsidRPr="4321A1A3">
        <w:rPr>
          <w:rFonts w:eastAsia="Times New Roman"/>
          <w:noProof/>
        </w:rPr>
        <w:t>improving the effectiveness and use of information, as reporting entities will have more streamlined processes and procedures in place to attain corrected information from the tax</w:t>
      </w:r>
      <w:r w:rsidR="7C4F6512" w:rsidRPr="4321A1A3">
        <w:rPr>
          <w:rFonts w:eastAsia="Times New Roman"/>
          <w:noProof/>
        </w:rPr>
        <w:t xml:space="preserve">payer than those of tax authorities. </w:t>
      </w:r>
    </w:p>
    <w:p w14:paraId="1FF46DB7" w14:textId="3D99D059" w:rsidR="4321A1A3" w:rsidRDefault="35EEA261" w:rsidP="4321A1A3">
      <w:pPr>
        <w:spacing w:after="160" w:line="257" w:lineRule="auto"/>
        <w:rPr>
          <w:rFonts w:eastAsia="Times New Roman"/>
          <w:noProof/>
        </w:rPr>
      </w:pPr>
      <w:r w:rsidRPr="4321A1A3">
        <w:rPr>
          <w:rFonts w:eastAsia="Times New Roman"/>
          <w:noProof/>
        </w:rPr>
        <w:t xml:space="preserve">As regards administrative costs, </w:t>
      </w:r>
      <w:r w:rsidR="1D4DCF21" w:rsidRPr="00A760A6">
        <w:rPr>
          <w:rFonts w:eastAsia="Times New Roman"/>
          <w:b/>
          <w:bCs/>
          <w:noProof/>
        </w:rPr>
        <w:t>Policy Option 4</w:t>
      </w:r>
      <w:r w:rsidR="019BF2CE" w:rsidRPr="00A760A6">
        <w:rPr>
          <w:rFonts w:eastAsia="Times New Roman"/>
          <w:b/>
          <w:bCs/>
          <w:noProof/>
        </w:rPr>
        <w:t>b</w:t>
      </w:r>
      <w:r w:rsidR="019BF2CE" w:rsidRPr="4321A1A3">
        <w:rPr>
          <w:rFonts w:eastAsia="Times New Roman"/>
          <w:noProof/>
        </w:rPr>
        <w:t xml:space="preserve"> </w:t>
      </w:r>
      <w:r w:rsidR="5B8D510B" w:rsidRPr="4321A1A3">
        <w:rPr>
          <w:rFonts w:eastAsia="Times New Roman"/>
          <w:noProof/>
        </w:rPr>
        <w:t xml:space="preserve">scores higher as it envisages that reporting entities </w:t>
      </w:r>
      <w:r w:rsidR="77479F2F" w:rsidRPr="4321A1A3">
        <w:rPr>
          <w:rFonts w:eastAsia="Times New Roman"/>
          <w:noProof/>
        </w:rPr>
        <w:t>that choose to use the centralise</w:t>
      </w:r>
      <w:r w:rsidR="00A760A6">
        <w:rPr>
          <w:rFonts w:eastAsia="Times New Roman"/>
          <w:noProof/>
        </w:rPr>
        <w:t>d</w:t>
      </w:r>
      <w:r w:rsidR="77479F2F" w:rsidRPr="4321A1A3">
        <w:rPr>
          <w:rFonts w:eastAsia="Times New Roman"/>
          <w:noProof/>
        </w:rPr>
        <w:t xml:space="preserve"> TIN verification too </w:t>
      </w:r>
      <w:r w:rsidR="5B8D510B" w:rsidRPr="4321A1A3">
        <w:rPr>
          <w:rFonts w:eastAsia="Times New Roman"/>
          <w:noProof/>
        </w:rPr>
        <w:t xml:space="preserve">will benefit from a reduction in administrative costs stemming from </w:t>
      </w:r>
      <w:r w:rsidR="6C7C347E" w:rsidRPr="4321A1A3">
        <w:rPr>
          <w:rFonts w:eastAsia="Times New Roman"/>
          <w:noProof/>
        </w:rPr>
        <w:t xml:space="preserve">less follow up requests for corrective information from tax authorities and the possibility to not require reporting of certain additional identification information in circumstances where a verified TIN </w:t>
      </w:r>
      <w:r w:rsidR="3E7D0635" w:rsidRPr="4321A1A3">
        <w:rPr>
          <w:rFonts w:eastAsia="Times New Roman"/>
          <w:noProof/>
        </w:rPr>
        <w:t xml:space="preserve">is reported. </w:t>
      </w:r>
    </w:p>
    <w:p w14:paraId="71461A08" w14:textId="5F53D4AB" w:rsidR="00A760A6" w:rsidRDefault="00A760A6" w:rsidP="3A123E5D">
      <w:pPr>
        <w:spacing w:after="160" w:line="257" w:lineRule="auto"/>
        <w:rPr>
          <w:b/>
          <w:bCs/>
          <w:i/>
          <w:iCs/>
          <w:noProof/>
        </w:rPr>
      </w:pPr>
      <w:r w:rsidRPr="00A760A6">
        <w:rPr>
          <w:b/>
          <w:bCs/>
          <w:i/>
          <w:iCs/>
          <w:noProof/>
        </w:rPr>
        <w:t>Measure 5: Improving the completeness of information reported under DAC1</w:t>
      </w:r>
    </w:p>
    <w:p w14:paraId="2B856502" w14:textId="44377AEE" w:rsidR="7AFB45EB" w:rsidRDefault="7AFB45EB" w:rsidP="3A123E5D">
      <w:pPr>
        <w:spacing w:after="160" w:line="257" w:lineRule="auto"/>
        <w:rPr>
          <w:noProof/>
        </w:rPr>
      </w:pPr>
      <w:r w:rsidRPr="3A123E5D">
        <w:rPr>
          <w:rFonts w:eastAsia="Times New Roman"/>
          <w:noProof/>
        </w:rPr>
        <w:t xml:space="preserve">The preferred option is </w:t>
      </w:r>
      <w:r w:rsidRPr="3A123E5D">
        <w:rPr>
          <w:rFonts w:eastAsia="Times New Roman"/>
          <w:b/>
          <w:bCs/>
          <w:noProof/>
        </w:rPr>
        <w:t>Policy Option 5c</w:t>
      </w:r>
      <w:r w:rsidRPr="3A123E5D">
        <w:rPr>
          <w:rFonts w:eastAsia="Times New Roman"/>
          <w:noProof/>
        </w:rPr>
        <w:t>.</w:t>
      </w:r>
    </w:p>
    <w:p w14:paraId="41D2D509" w14:textId="6F14176F" w:rsidR="7AFB45EB" w:rsidRDefault="7AFB45EB" w:rsidP="3A123E5D">
      <w:pPr>
        <w:spacing w:after="160" w:line="257" w:lineRule="auto"/>
        <w:rPr>
          <w:noProof/>
        </w:rPr>
      </w:pPr>
      <w:r w:rsidRPr="3A123E5D">
        <w:rPr>
          <w:rFonts w:eastAsia="Times New Roman"/>
          <w:noProof/>
        </w:rPr>
        <w:t xml:space="preserve">This option removes the category of LIP from the list of categories subject to exchange and requires Member States to exchange information available to all public authorities with respect to the remaining </w:t>
      </w:r>
      <w:r w:rsidR="00A760A6">
        <w:rPr>
          <w:rFonts w:eastAsia="Times New Roman"/>
          <w:noProof/>
        </w:rPr>
        <w:t xml:space="preserve">6 </w:t>
      </w:r>
      <w:r w:rsidRPr="3A123E5D">
        <w:rPr>
          <w:rFonts w:eastAsia="Times New Roman"/>
          <w:noProof/>
        </w:rPr>
        <w:t>income and capital categories.</w:t>
      </w:r>
    </w:p>
    <w:p w14:paraId="12B31853" w14:textId="32E609DF" w:rsidR="7AFB45EB" w:rsidRDefault="7AFB45EB" w:rsidP="008C1803">
      <w:pPr>
        <w:rPr>
          <w:noProof/>
        </w:rPr>
      </w:pPr>
      <w:r w:rsidRPr="3A123E5D">
        <w:rPr>
          <w:noProof/>
        </w:rPr>
        <w:t xml:space="preserve">Compared with </w:t>
      </w:r>
      <w:r w:rsidRPr="00A760A6">
        <w:rPr>
          <w:b/>
          <w:bCs/>
          <w:noProof/>
        </w:rPr>
        <w:t>Policy Options 5a</w:t>
      </w:r>
      <w:r w:rsidRPr="3A123E5D">
        <w:rPr>
          <w:noProof/>
        </w:rPr>
        <w:t xml:space="preserve"> and </w:t>
      </w:r>
      <w:r w:rsidRPr="00A760A6">
        <w:rPr>
          <w:b/>
          <w:bCs/>
          <w:noProof/>
        </w:rPr>
        <w:t>5b</w:t>
      </w:r>
      <w:r w:rsidRPr="3A123E5D">
        <w:rPr>
          <w:noProof/>
        </w:rPr>
        <w:t xml:space="preserve">, this option most effectively improves the completeness and usability of information exchanged between Member States. By extending the scope of information exchange beyond data contained in the files of tax administrations it addresses a key limitation which </w:t>
      </w:r>
      <w:r w:rsidR="00F6396D">
        <w:rPr>
          <w:noProof/>
        </w:rPr>
        <w:t xml:space="preserve">currently affect </w:t>
      </w:r>
      <w:r w:rsidR="00F6396D" w:rsidRPr="3A123E5D">
        <w:rPr>
          <w:noProof/>
        </w:rPr>
        <w:t>the completeness of DAC1 exchanges</w:t>
      </w:r>
      <w:r w:rsidR="00F6396D">
        <w:rPr>
          <w:noProof/>
        </w:rPr>
        <w:t>.</w:t>
      </w:r>
    </w:p>
    <w:p w14:paraId="75C020DA" w14:textId="7959076E" w:rsidR="7AFB45EB" w:rsidRDefault="7AFB45EB" w:rsidP="3A123E5D">
      <w:pPr>
        <w:spacing w:after="160" w:line="257" w:lineRule="auto"/>
        <w:rPr>
          <w:noProof/>
        </w:rPr>
      </w:pPr>
      <w:r w:rsidRPr="3A123E5D">
        <w:rPr>
          <w:rFonts w:eastAsia="Times New Roman"/>
          <w:noProof/>
        </w:rPr>
        <w:t xml:space="preserve">While this option may involve higher implementation costs for Member States due to the need to ensure access to information held by other public authorities, it provides the most comprehensive improvement in the functioning of </w:t>
      </w:r>
      <w:r w:rsidR="006A02E9">
        <w:rPr>
          <w:rFonts w:eastAsia="Times New Roman"/>
          <w:noProof/>
        </w:rPr>
        <w:t xml:space="preserve">AEOI </w:t>
      </w:r>
      <w:r w:rsidRPr="3A123E5D">
        <w:rPr>
          <w:rFonts w:eastAsia="Times New Roman"/>
          <w:noProof/>
        </w:rPr>
        <w:t>and contributes to a more level playing field within the Union.</w:t>
      </w:r>
    </w:p>
    <w:p w14:paraId="07649B1F" w14:textId="0CE3A960" w:rsidR="7AFB45EB" w:rsidRPr="000C0535" w:rsidRDefault="006A5E2F" w:rsidP="000C0535">
      <w:pPr>
        <w:pStyle w:val="Heading2"/>
        <w:numPr>
          <w:ilvl w:val="1"/>
          <w:numId w:val="29"/>
        </w:numPr>
        <w:rPr>
          <w:noProof/>
        </w:rPr>
      </w:pPr>
      <w:bookmarkStart w:id="34" w:name="_Toc231816719"/>
      <w:r w:rsidRPr="000C0535">
        <w:rPr>
          <w:noProof/>
        </w:rPr>
        <w:t xml:space="preserve">Summary of </w:t>
      </w:r>
      <w:r w:rsidR="72B16C12" w:rsidRPr="000C0535">
        <w:rPr>
          <w:noProof/>
        </w:rPr>
        <w:t xml:space="preserve">the </w:t>
      </w:r>
      <w:r w:rsidR="7AFB45EB" w:rsidRPr="000C0535">
        <w:rPr>
          <w:noProof/>
        </w:rPr>
        <w:t>preferred policy package</w:t>
      </w:r>
      <w:bookmarkEnd w:id="34"/>
    </w:p>
    <w:p w14:paraId="51C72589" w14:textId="3C5A8A63" w:rsidR="7AFB45EB" w:rsidRDefault="7AFB45EB" w:rsidP="3A123E5D">
      <w:pPr>
        <w:spacing w:after="160" w:line="257" w:lineRule="auto"/>
        <w:rPr>
          <w:rFonts w:eastAsia="Times New Roman"/>
          <w:noProof/>
        </w:rPr>
      </w:pPr>
      <w:r w:rsidRPr="3A123E5D">
        <w:rPr>
          <w:rFonts w:eastAsia="Times New Roman"/>
          <w:noProof/>
        </w:rPr>
        <w:t>Taken together, the preferred options form a coherent package aimed at simplifying the DAC reporting framework, reducing administrative burdens for reporting entities and tax administrations and improving the effectiveness of administrative cooperation in taxation within the Union.</w:t>
      </w:r>
    </w:p>
    <w:tbl>
      <w:tblPr>
        <w:tblStyle w:val="TableGrid"/>
        <w:tblW w:w="8880" w:type="dxa"/>
        <w:tblLook w:val="06A0" w:firstRow="1" w:lastRow="0" w:firstColumn="1" w:lastColumn="0" w:noHBand="1" w:noVBand="1"/>
      </w:tblPr>
      <w:tblGrid>
        <w:gridCol w:w="2972"/>
        <w:gridCol w:w="1843"/>
        <w:gridCol w:w="2126"/>
        <w:gridCol w:w="1939"/>
      </w:tblGrid>
      <w:tr w:rsidR="00DA327B" w:rsidRPr="00DE1F04" w14:paraId="002AC985" w14:textId="77777777" w:rsidTr="00A760A6">
        <w:trPr>
          <w:trHeight w:val="1408"/>
        </w:trPr>
        <w:tc>
          <w:tcPr>
            <w:tcW w:w="2972" w:type="dxa"/>
          </w:tcPr>
          <w:p w14:paraId="737C3838" w14:textId="77777777" w:rsidR="00DA327B" w:rsidRPr="00224474" w:rsidRDefault="00DA327B" w:rsidP="3DC7662F">
            <w:pPr>
              <w:jc w:val="left"/>
              <w:rPr>
                <w:b/>
                <w:bCs/>
                <w:noProof/>
                <w:sz w:val="20"/>
                <w:szCs w:val="20"/>
              </w:rPr>
            </w:pPr>
            <w:r w:rsidRPr="00224474">
              <w:rPr>
                <w:rFonts w:eastAsia="Aptos"/>
                <w:b/>
                <w:bCs/>
                <w:noProof/>
                <w:sz w:val="20"/>
                <w:szCs w:val="20"/>
              </w:rPr>
              <w:t>Specific Objectives</w:t>
            </w:r>
          </w:p>
        </w:tc>
        <w:tc>
          <w:tcPr>
            <w:tcW w:w="1843" w:type="dxa"/>
          </w:tcPr>
          <w:p w14:paraId="7F85ACCF" w14:textId="62912F74" w:rsidR="00DA327B" w:rsidRPr="00224474" w:rsidRDefault="007224AA" w:rsidP="3DC7662F">
            <w:pPr>
              <w:jc w:val="left"/>
              <w:rPr>
                <w:b/>
                <w:bCs/>
                <w:noProof/>
                <w:sz w:val="20"/>
                <w:szCs w:val="20"/>
              </w:rPr>
            </w:pPr>
            <w:r w:rsidRPr="0023491E">
              <w:rPr>
                <w:rFonts w:eastAsia="Aptos"/>
                <w:noProof/>
                <w:sz w:val="20"/>
                <w:szCs w:val="20"/>
              </w:rPr>
              <w:t>Reducing complexity and improving legal clarity and certainty for stakeholders</w:t>
            </w:r>
          </w:p>
        </w:tc>
        <w:tc>
          <w:tcPr>
            <w:tcW w:w="2126" w:type="dxa"/>
          </w:tcPr>
          <w:p w14:paraId="464373C4" w14:textId="1E699EF7" w:rsidR="00DA327B" w:rsidRPr="00224474" w:rsidRDefault="007224AA" w:rsidP="3DC7662F">
            <w:pPr>
              <w:jc w:val="left"/>
              <w:rPr>
                <w:b/>
                <w:bCs/>
                <w:noProof/>
                <w:sz w:val="20"/>
                <w:szCs w:val="20"/>
              </w:rPr>
            </w:pPr>
            <w:r w:rsidRPr="001B5E13">
              <w:rPr>
                <w:rFonts w:eastAsia="Aptos"/>
                <w:noProof/>
                <w:sz w:val="20"/>
                <w:szCs w:val="20"/>
              </w:rPr>
              <w:t>Ensuring reporting obligations are proportionate and better targeted while preserving policy objectives</w:t>
            </w:r>
          </w:p>
        </w:tc>
        <w:tc>
          <w:tcPr>
            <w:tcW w:w="1939" w:type="dxa"/>
          </w:tcPr>
          <w:p w14:paraId="24BCF5B4" w14:textId="3C61CC91" w:rsidR="00DA327B" w:rsidRPr="00224474" w:rsidRDefault="007224AA" w:rsidP="3DC7662F">
            <w:pPr>
              <w:jc w:val="left"/>
              <w:rPr>
                <w:b/>
                <w:bCs/>
                <w:noProof/>
                <w:sz w:val="20"/>
                <w:szCs w:val="20"/>
              </w:rPr>
            </w:pPr>
            <w:r w:rsidRPr="00FE449D">
              <w:rPr>
                <w:rFonts w:eastAsia="Aptos"/>
                <w:noProof/>
                <w:sz w:val="20"/>
                <w:szCs w:val="20"/>
              </w:rPr>
              <w:t>Improving the effectiveness and usability of exchanged information</w:t>
            </w:r>
          </w:p>
        </w:tc>
      </w:tr>
      <w:tr w:rsidR="00DA327B" w:rsidRPr="00DE1F04" w14:paraId="62FBDD19" w14:textId="77777777" w:rsidTr="00A760A6">
        <w:trPr>
          <w:trHeight w:val="300"/>
        </w:trPr>
        <w:tc>
          <w:tcPr>
            <w:tcW w:w="2972" w:type="dxa"/>
          </w:tcPr>
          <w:p w14:paraId="04819F9A" w14:textId="547E5AF1" w:rsidR="00DA327B" w:rsidRPr="00224474" w:rsidRDefault="002D4194" w:rsidP="4DF90F87">
            <w:pPr>
              <w:spacing w:after="160" w:line="257" w:lineRule="auto"/>
              <w:jc w:val="left"/>
              <w:rPr>
                <w:noProof/>
                <w:sz w:val="20"/>
                <w:szCs w:val="20"/>
              </w:rPr>
            </w:pPr>
            <w:r>
              <w:rPr>
                <w:noProof/>
                <w:sz w:val="20"/>
                <w:szCs w:val="20"/>
              </w:rPr>
              <w:t>Baseline</w:t>
            </w:r>
          </w:p>
        </w:tc>
        <w:tc>
          <w:tcPr>
            <w:tcW w:w="1843" w:type="dxa"/>
          </w:tcPr>
          <w:p w14:paraId="7BD497D5" w14:textId="7469D14D" w:rsidR="00DA327B" w:rsidRPr="00224474" w:rsidRDefault="5F214991" w:rsidP="00123FB6">
            <w:pPr>
              <w:spacing w:after="160" w:line="257" w:lineRule="auto"/>
              <w:rPr>
                <w:noProof/>
                <w:sz w:val="20"/>
                <w:szCs w:val="20"/>
              </w:rPr>
            </w:pPr>
            <w:r w:rsidRPr="34C3F10D">
              <w:rPr>
                <w:noProof/>
                <w:sz w:val="20"/>
                <w:szCs w:val="20"/>
              </w:rPr>
              <w:t>0</w:t>
            </w:r>
          </w:p>
        </w:tc>
        <w:tc>
          <w:tcPr>
            <w:tcW w:w="2126" w:type="dxa"/>
          </w:tcPr>
          <w:p w14:paraId="25D1BA22" w14:textId="54CC1CDD" w:rsidR="00DA327B" w:rsidRPr="00224474" w:rsidRDefault="5F214991" w:rsidP="00123FB6">
            <w:pPr>
              <w:spacing w:after="160" w:line="257" w:lineRule="auto"/>
              <w:rPr>
                <w:noProof/>
                <w:sz w:val="20"/>
                <w:szCs w:val="20"/>
              </w:rPr>
            </w:pPr>
            <w:r w:rsidRPr="0ADBAE5E">
              <w:rPr>
                <w:noProof/>
                <w:sz w:val="20"/>
                <w:szCs w:val="20"/>
              </w:rPr>
              <w:t>0</w:t>
            </w:r>
          </w:p>
        </w:tc>
        <w:tc>
          <w:tcPr>
            <w:tcW w:w="1939" w:type="dxa"/>
          </w:tcPr>
          <w:p w14:paraId="79DE5F53" w14:textId="567BBD3F" w:rsidR="00DA327B" w:rsidRPr="00224474" w:rsidRDefault="5F214991" w:rsidP="00123FB6">
            <w:pPr>
              <w:spacing w:after="160" w:line="257" w:lineRule="auto"/>
              <w:rPr>
                <w:noProof/>
                <w:sz w:val="20"/>
                <w:szCs w:val="20"/>
              </w:rPr>
            </w:pPr>
            <w:r w:rsidRPr="0ADBAE5E">
              <w:rPr>
                <w:noProof/>
                <w:sz w:val="20"/>
                <w:szCs w:val="20"/>
              </w:rPr>
              <w:t>0</w:t>
            </w:r>
          </w:p>
        </w:tc>
      </w:tr>
      <w:tr w:rsidR="002D4194" w:rsidRPr="000B145D" w14:paraId="5162F24C" w14:textId="77777777" w:rsidTr="00AB1F61">
        <w:trPr>
          <w:trHeight w:val="2607"/>
        </w:trPr>
        <w:tc>
          <w:tcPr>
            <w:tcW w:w="2972" w:type="dxa"/>
          </w:tcPr>
          <w:p w14:paraId="2A2EFC16" w14:textId="77777777" w:rsidR="00A760A6" w:rsidRDefault="00802F6E" w:rsidP="00A760A6">
            <w:pPr>
              <w:spacing w:after="160" w:line="257" w:lineRule="auto"/>
              <w:jc w:val="left"/>
              <w:rPr>
                <w:b/>
                <w:noProof/>
                <w:sz w:val="20"/>
                <w:szCs w:val="20"/>
              </w:rPr>
            </w:pPr>
            <w:r w:rsidRPr="622177A0">
              <w:rPr>
                <w:b/>
                <w:noProof/>
                <w:sz w:val="20"/>
                <w:szCs w:val="20"/>
              </w:rPr>
              <w:t xml:space="preserve">Measure 1 </w:t>
            </w:r>
            <w:r w:rsidR="61304CB7" w:rsidRPr="622177A0">
              <w:rPr>
                <w:b/>
                <w:noProof/>
                <w:sz w:val="20"/>
                <w:szCs w:val="20"/>
              </w:rPr>
              <w:t>–</w:t>
            </w:r>
            <w:r w:rsidR="22721F30" w:rsidRPr="622177A0">
              <w:rPr>
                <w:b/>
                <w:noProof/>
                <w:sz w:val="20"/>
                <w:szCs w:val="20"/>
              </w:rPr>
              <w:t xml:space="preserve"> </w:t>
            </w:r>
            <w:r w:rsidRPr="622177A0">
              <w:rPr>
                <w:b/>
                <w:noProof/>
                <w:sz w:val="20"/>
                <w:szCs w:val="20"/>
              </w:rPr>
              <w:t>D</w:t>
            </w:r>
            <w:r w:rsidR="006F032D" w:rsidRPr="622177A0">
              <w:rPr>
                <w:b/>
                <w:noProof/>
                <w:sz w:val="20"/>
                <w:szCs w:val="20"/>
              </w:rPr>
              <w:t>AC</w:t>
            </w:r>
            <w:r w:rsidRPr="622177A0">
              <w:rPr>
                <w:b/>
                <w:noProof/>
                <w:sz w:val="20"/>
                <w:szCs w:val="20"/>
              </w:rPr>
              <w:t>6</w:t>
            </w:r>
          </w:p>
          <w:p w14:paraId="53835E46" w14:textId="00A7387E" w:rsidR="002D4194" w:rsidRPr="007224AA" w:rsidRDefault="2DBA9E71" w:rsidP="00A760A6">
            <w:pPr>
              <w:spacing w:after="160" w:line="257" w:lineRule="auto"/>
              <w:jc w:val="left"/>
              <w:rPr>
                <w:noProof/>
                <w:sz w:val="20"/>
                <w:szCs w:val="20"/>
              </w:rPr>
            </w:pPr>
            <w:r w:rsidRPr="4321A1A3">
              <w:rPr>
                <w:b/>
                <w:bCs/>
                <w:noProof/>
                <w:sz w:val="20"/>
                <w:szCs w:val="20"/>
              </w:rPr>
              <w:t xml:space="preserve">PO1b: </w:t>
            </w:r>
            <w:r w:rsidR="7D78ACAA" w:rsidRPr="4321A1A3">
              <w:rPr>
                <w:noProof/>
                <w:sz w:val="20"/>
                <w:szCs w:val="20"/>
              </w:rPr>
              <w:t>Exclud</w:t>
            </w:r>
            <w:r w:rsidR="43512D27" w:rsidRPr="4321A1A3">
              <w:rPr>
                <w:noProof/>
                <w:sz w:val="20"/>
                <w:szCs w:val="20"/>
              </w:rPr>
              <w:t>ing</w:t>
            </w:r>
            <w:r w:rsidRPr="4321A1A3">
              <w:rPr>
                <w:noProof/>
                <w:sz w:val="20"/>
                <w:szCs w:val="20"/>
              </w:rPr>
              <w:t xml:space="preserve"> companies within the scope of the Pillar 2 Directive from reporting </w:t>
            </w:r>
            <w:r w:rsidR="2F842A1A" w:rsidRPr="4321A1A3">
              <w:rPr>
                <w:noProof/>
                <w:sz w:val="20"/>
                <w:szCs w:val="20"/>
              </w:rPr>
              <w:t>under</w:t>
            </w:r>
            <w:r w:rsidR="7D78ACAA" w:rsidRPr="4321A1A3">
              <w:rPr>
                <w:noProof/>
                <w:sz w:val="20"/>
                <w:szCs w:val="20"/>
              </w:rPr>
              <w:t xml:space="preserve"> DAC6</w:t>
            </w:r>
            <w:r w:rsidR="002F2A60" w:rsidRPr="4321A1A3">
              <w:rPr>
                <w:noProof/>
                <w:sz w:val="20"/>
                <w:szCs w:val="20"/>
              </w:rPr>
              <w:t xml:space="preserve"> + removing</w:t>
            </w:r>
            <w:r w:rsidR="7D78ACAA" w:rsidRPr="4321A1A3">
              <w:rPr>
                <w:noProof/>
                <w:sz w:val="20"/>
                <w:szCs w:val="20"/>
              </w:rPr>
              <w:t xml:space="preserve"> </w:t>
            </w:r>
            <w:r w:rsidRPr="4321A1A3">
              <w:rPr>
                <w:noProof/>
                <w:sz w:val="20"/>
                <w:szCs w:val="20"/>
              </w:rPr>
              <w:t>the generic hallmarks (category A</w:t>
            </w:r>
            <w:r w:rsidR="7D78ACAA" w:rsidRPr="4321A1A3">
              <w:rPr>
                <w:noProof/>
                <w:sz w:val="20"/>
                <w:szCs w:val="20"/>
              </w:rPr>
              <w:t>)</w:t>
            </w:r>
            <w:r w:rsidR="37A130EB" w:rsidRPr="4321A1A3">
              <w:rPr>
                <w:noProof/>
                <w:sz w:val="20"/>
                <w:szCs w:val="20"/>
              </w:rPr>
              <w:t xml:space="preserve"> +</w:t>
            </w:r>
            <w:r w:rsidRPr="4321A1A3">
              <w:rPr>
                <w:noProof/>
                <w:sz w:val="20"/>
                <w:szCs w:val="20"/>
              </w:rPr>
              <w:t xml:space="preserve"> guidance to promote a more harmonised interpretation of the MBT for the remaining hallmarks subject to the test.</w:t>
            </w:r>
          </w:p>
        </w:tc>
        <w:tc>
          <w:tcPr>
            <w:tcW w:w="1843" w:type="dxa"/>
          </w:tcPr>
          <w:p w14:paraId="71C47BEB" w14:textId="0F5622C0" w:rsidR="002D4194" w:rsidRPr="007224AA" w:rsidRDefault="29058322" w:rsidP="002D4194">
            <w:pPr>
              <w:spacing w:after="160" w:line="257" w:lineRule="auto"/>
              <w:rPr>
                <w:rFonts w:eastAsia="Aptos"/>
                <w:noProof/>
                <w:sz w:val="20"/>
                <w:szCs w:val="20"/>
              </w:rPr>
            </w:pPr>
            <w:r w:rsidRPr="1A328A3B">
              <w:rPr>
                <w:rFonts w:eastAsia="Aptos"/>
                <w:noProof/>
                <w:sz w:val="20"/>
                <w:szCs w:val="20"/>
              </w:rPr>
              <w:t>+++</w:t>
            </w:r>
          </w:p>
        </w:tc>
        <w:tc>
          <w:tcPr>
            <w:tcW w:w="2126" w:type="dxa"/>
          </w:tcPr>
          <w:p w14:paraId="19D2D412" w14:textId="52612F72" w:rsidR="002D4194" w:rsidRPr="007224AA" w:rsidRDefault="29058322" w:rsidP="002D4194">
            <w:pPr>
              <w:spacing w:after="160" w:line="257" w:lineRule="auto"/>
              <w:rPr>
                <w:rFonts w:eastAsia="Aptos"/>
                <w:noProof/>
                <w:sz w:val="20"/>
                <w:szCs w:val="20"/>
              </w:rPr>
            </w:pPr>
            <w:r w:rsidRPr="1A328A3B">
              <w:rPr>
                <w:rFonts w:eastAsia="Aptos"/>
                <w:noProof/>
                <w:sz w:val="20"/>
                <w:szCs w:val="20"/>
              </w:rPr>
              <w:t>+++</w:t>
            </w:r>
          </w:p>
        </w:tc>
        <w:tc>
          <w:tcPr>
            <w:tcW w:w="1939" w:type="dxa"/>
          </w:tcPr>
          <w:p w14:paraId="481E6704" w14:textId="2B001D66" w:rsidR="002D4194" w:rsidRPr="007224AA" w:rsidRDefault="29058322" w:rsidP="002D4194">
            <w:pPr>
              <w:spacing w:after="160" w:line="257" w:lineRule="auto"/>
              <w:rPr>
                <w:rFonts w:eastAsia="Aptos"/>
                <w:noProof/>
                <w:sz w:val="20"/>
                <w:szCs w:val="20"/>
              </w:rPr>
            </w:pPr>
            <w:r w:rsidRPr="1A328A3B">
              <w:rPr>
                <w:rFonts w:eastAsia="Aptos"/>
                <w:noProof/>
                <w:sz w:val="20"/>
                <w:szCs w:val="20"/>
              </w:rPr>
              <w:t>+++</w:t>
            </w:r>
          </w:p>
        </w:tc>
      </w:tr>
      <w:tr w:rsidR="002D4194" w:rsidRPr="000B145D" w14:paraId="75C49C74" w14:textId="77777777" w:rsidTr="00AB1F61">
        <w:trPr>
          <w:trHeight w:val="1385"/>
        </w:trPr>
        <w:tc>
          <w:tcPr>
            <w:tcW w:w="2972" w:type="dxa"/>
          </w:tcPr>
          <w:p w14:paraId="6526EB8D" w14:textId="75D67E42" w:rsidR="002D4194" w:rsidRPr="007224AA" w:rsidRDefault="00802F6E" w:rsidP="4936AB0C">
            <w:pPr>
              <w:spacing w:after="160" w:line="257" w:lineRule="auto"/>
              <w:jc w:val="left"/>
              <w:rPr>
                <w:rFonts w:eastAsia="Aptos"/>
                <w:b/>
                <w:noProof/>
                <w:sz w:val="20"/>
                <w:szCs w:val="20"/>
              </w:rPr>
            </w:pPr>
            <w:r w:rsidRPr="7B63321C">
              <w:rPr>
                <w:b/>
                <w:noProof/>
                <w:sz w:val="20"/>
                <w:szCs w:val="20"/>
              </w:rPr>
              <w:t xml:space="preserve">Measure 2 </w:t>
            </w:r>
            <w:r w:rsidR="31FDF311" w:rsidRPr="7B63321C">
              <w:rPr>
                <w:b/>
                <w:noProof/>
                <w:sz w:val="20"/>
                <w:szCs w:val="20"/>
              </w:rPr>
              <w:t>–</w:t>
            </w:r>
            <w:r w:rsidR="006F032D" w:rsidRPr="7B63321C">
              <w:rPr>
                <w:b/>
                <w:noProof/>
                <w:sz w:val="20"/>
                <w:szCs w:val="20"/>
              </w:rPr>
              <w:t xml:space="preserve"> </w:t>
            </w:r>
            <w:r w:rsidRPr="7B63321C">
              <w:rPr>
                <w:b/>
                <w:noProof/>
                <w:sz w:val="20"/>
                <w:szCs w:val="20"/>
              </w:rPr>
              <w:t>DAC</w:t>
            </w:r>
            <w:r w:rsidR="00A657B6" w:rsidRPr="7B63321C">
              <w:rPr>
                <w:b/>
                <w:noProof/>
                <w:sz w:val="20"/>
                <w:szCs w:val="20"/>
              </w:rPr>
              <w:t>7</w:t>
            </w:r>
          </w:p>
          <w:p w14:paraId="5BF63263" w14:textId="6789A850" w:rsidR="002D4194" w:rsidRPr="007224AA" w:rsidRDefault="63A82106" w:rsidP="00A760A6">
            <w:pPr>
              <w:spacing w:after="160" w:line="257" w:lineRule="auto"/>
              <w:jc w:val="left"/>
              <w:rPr>
                <w:rFonts w:eastAsia="Aptos"/>
                <w:noProof/>
                <w:sz w:val="20"/>
                <w:szCs w:val="20"/>
              </w:rPr>
            </w:pPr>
            <w:r w:rsidRPr="4321A1A3">
              <w:rPr>
                <w:b/>
                <w:bCs/>
                <w:noProof/>
                <w:sz w:val="20"/>
                <w:szCs w:val="20"/>
              </w:rPr>
              <w:t>PO2b</w:t>
            </w:r>
            <w:r w:rsidR="20914E02" w:rsidRPr="4321A1A3">
              <w:rPr>
                <w:b/>
                <w:bCs/>
                <w:noProof/>
                <w:sz w:val="20"/>
                <w:szCs w:val="20"/>
              </w:rPr>
              <w:t xml:space="preserve">: </w:t>
            </w:r>
            <w:r w:rsidR="03C2FFDC" w:rsidRPr="4321A1A3">
              <w:rPr>
                <w:noProof/>
                <w:sz w:val="20"/>
                <w:szCs w:val="20"/>
              </w:rPr>
              <w:t xml:space="preserve">Removing the activity threshold of 30 transactions and increasing the monetary threshold to EUR </w:t>
            </w:r>
            <w:r w:rsidR="2C451C2F" w:rsidRPr="4321A1A3">
              <w:rPr>
                <w:noProof/>
                <w:sz w:val="20"/>
                <w:szCs w:val="20"/>
              </w:rPr>
              <w:t>3</w:t>
            </w:r>
            <w:r w:rsidR="6F765F17" w:rsidRPr="4321A1A3">
              <w:rPr>
                <w:noProof/>
                <w:sz w:val="20"/>
                <w:szCs w:val="20"/>
              </w:rPr>
              <w:t>,</w:t>
            </w:r>
            <w:r w:rsidR="2C451C2F" w:rsidRPr="4321A1A3">
              <w:rPr>
                <w:noProof/>
                <w:sz w:val="20"/>
                <w:szCs w:val="20"/>
              </w:rPr>
              <w:t>000</w:t>
            </w:r>
          </w:p>
        </w:tc>
        <w:tc>
          <w:tcPr>
            <w:tcW w:w="1843" w:type="dxa"/>
          </w:tcPr>
          <w:p w14:paraId="0EF7E592" w14:textId="167D62EC" w:rsidR="002D4194" w:rsidRPr="007224AA" w:rsidRDefault="196B714C" w:rsidP="002D4194">
            <w:pPr>
              <w:spacing w:after="160" w:line="257" w:lineRule="auto"/>
              <w:rPr>
                <w:rFonts w:eastAsia="Aptos"/>
                <w:noProof/>
                <w:sz w:val="20"/>
                <w:szCs w:val="20"/>
              </w:rPr>
            </w:pPr>
            <w:r w:rsidRPr="3C3FBBDB">
              <w:rPr>
                <w:rFonts w:eastAsia="Aptos"/>
                <w:noProof/>
                <w:sz w:val="20"/>
                <w:szCs w:val="20"/>
              </w:rPr>
              <w:t>++</w:t>
            </w:r>
          </w:p>
        </w:tc>
        <w:tc>
          <w:tcPr>
            <w:tcW w:w="2126" w:type="dxa"/>
          </w:tcPr>
          <w:p w14:paraId="572ED134" w14:textId="089786F9" w:rsidR="002D4194" w:rsidRPr="007224AA" w:rsidRDefault="196B714C" w:rsidP="002D4194">
            <w:pPr>
              <w:spacing w:after="160" w:line="257" w:lineRule="auto"/>
              <w:rPr>
                <w:rFonts w:eastAsia="Aptos"/>
                <w:noProof/>
                <w:sz w:val="20"/>
                <w:szCs w:val="20"/>
              </w:rPr>
            </w:pPr>
            <w:r w:rsidRPr="3C3FBBDB">
              <w:rPr>
                <w:rFonts w:eastAsia="Aptos"/>
                <w:noProof/>
                <w:sz w:val="20"/>
                <w:szCs w:val="20"/>
              </w:rPr>
              <w:t>++</w:t>
            </w:r>
            <w:r w:rsidR="003F75C5">
              <w:rPr>
                <w:rFonts w:eastAsia="Aptos"/>
                <w:noProof/>
                <w:sz w:val="20"/>
                <w:szCs w:val="20"/>
              </w:rPr>
              <w:t>+</w:t>
            </w:r>
          </w:p>
        </w:tc>
        <w:tc>
          <w:tcPr>
            <w:tcW w:w="1939" w:type="dxa"/>
          </w:tcPr>
          <w:p w14:paraId="3A1C9673" w14:textId="04150B95" w:rsidR="002D4194" w:rsidRPr="007224AA" w:rsidRDefault="196B714C" w:rsidP="002D4194">
            <w:pPr>
              <w:spacing w:after="160" w:line="257" w:lineRule="auto"/>
              <w:rPr>
                <w:rFonts w:eastAsia="Aptos"/>
                <w:noProof/>
                <w:sz w:val="20"/>
                <w:szCs w:val="20"/>
              </w:rPr>
            </w:pPr>
            <w:r w:rsidRPr="2987FC2B">
              <w:rPr>
                <w:rFonts w:eastAsia="Aptos"/>
                <w:noProof/>
                <w:sz w:val="20"/>
                <w:szCs w:val="20"/>
              </w:rPr>
              <w:t>+++</w:t>
            </w:r>
          </w:p>
        </w:tc>
      </w:tr>
      <w:tr w:rsidR="002D4194" w:rsidRPr="000B145D" w14:paraId="042F8C3B" w14:textId="77777777" w:rsidTr="00A760A6">
        <w:trPr>
          <w:trHeight w:val="300"/>
        </w:trPr>
        <w:tc>
          <w:tcPr>
            <w:tcW w:w="2972" w:type="dxa"/>
          </w:tcPr>
          <w:p w14:paraId="4B44DAFE" w14:textId="252455AF" w:rsidR="002D4194" w:rsidRPr="007224AA" w:rsidRDefault="00A657B6" w:rsidP="1599A2D9">
            <w:pPr>
              <w:spacing w:after="160" w:line="257" w:lineRule="auto"/>
              <w:jc w:val="left"/>
              <w:rPr>
                <w:b/>
                <w:bCs/>
                <w:noProof/>
                <w:sz w:val="20"/>
                <w:szCs w:val="20"/>
              </w:rPr>
            </w:pPr>
            <w:r w:rsidRPr="1599A2D9">
              <w:rPr>
                <w:b/>
                <w:bCs/>
                <w:noProof/>
                <w:sz w:val="20"/>
                <w:szCs w:val="20"/>
              </w:rPr>
              <w:t>Measure 3</w:t>
            </w:r>
            <w:r w:rsidR="411C49E4" w:rsidRPr="1599A2D9">
              <w:rPr>
                <w:b/>
                <w:bCs/>
                <w:noProof/>
                <w:sz w:val="20"/>
                <w:szCs w:val="20"/>
              </w:rPr>
              <w:t xml:space="preserve"> – </w:t>
            </w:r>
            <w:r w:rsidRPr="1599A2D9">
              <w:rPr>
                <w:b/>
                <w:bCs/>
                <w:noProof/>
                <w:sz w:val="20"/>
                <w:szCs w:val="20"/>
              </w:rPr>
              <w:t>DAC</w:t>
            </w:r>
            <w:r w:rsidR="006F032D" w:rsidRPr="1599A2D9">
              <w:rPr>
                <w:b/>
                <w:bCs/>
                <w:noProof/>
                <w:sz w:val="20"/>
                <w:szCs w:val="20"/>
              </w:rPr>
              <w:t>4</w:t>
            </w:r>
            <w:r w:rsidR="727BFE33" w:rsidRPr="1599A2D9">
              <w:rPr>
                <w:b/>
                <w:bCs/>
                <w:noProof/>
                <w:sz w:val="20"/>
                <w:szCs w:val="20"/>
              </w:rPr>
              <w:t>/</w:t>
            </w:r>
            <w:r w:rsidR="00AB1F61">
              <w:rPr>
                <w:b/>
                <w:bCs/>
                <w:noProof/>
                <w:sz w:val="20"/>
                <w:szCs w:val="20"/>
              </w:rPr>
              <w:t>DAC9</w:t>
            </w:r>
          </w:p>
          <w:p w14:paraId="556E80DD" w14:textId="2D6C779A" w:rsidR="002D4194" w:rsidRPr="007224AA" w:rsidRDefault="7E549886" w:rsidP="00A760A6">
            <w:pPr>
              <w:spacing w:after="160" w:line="257" w:lineRule="auto"/>
              <w:jc w:val="left"/>
              <w:rPr>
                <w:noProof/>
                <w:sz w:val="20"/>
                <w:szCs w:val="20"/>
              </w:rPr>
            </w:pPr>
            <w:r w:rsidRPr="4321A1A3">
              <w:rPr>
                <w:b/>
                <w:bCs/>
                <w:noProof/>
                <w:sz w:val="20"/>
                <w:szCs w:val="20"/>
              </w:rPr>
              <w:t>PO3b</w:t>
            </w:r>
            <w:r w:rsidR="026693EC" w:rsidRPr="4321A1A3">
              <w:rPr>
                <w:b/>
                <w:bCs/>
                <w:noProof/>
                <w:sz w:val="20"/>
                <w:szCs w:val="20"/>
              </w:rPr>
              <w:t xml:space="preserve">: </w:t>
            </w:r>
            <w:r w:rsidR="2418560A" w:rsidRPr="4321A1A3">
              <w:rPr>
                <w:noProof/>
                <w:sz w:val="20"/>
                <w:szCs w:val="20"/>
              </w:rPr>
              <w:t>Introduc</w:t>
            </w:r>
            <w:r w:rsidR="481F4770" w:rsidRPr="4321A1A3">
              <w:rPr>
                <w:noProof/>
                <w:sz w:val="20"/>
                <w:szCs w:val="20"/>
              </w:rPr>
              <w:t>ing</w:t>
            </w:r>
            <w:r w:rsidR="2418560A" w:rsidRPr="4321A1A3">
              <w:rPr>
                <w:noProof/>
                <w:sz w:val="20"/>
                <w:szCs w:val="20"/>
              </w:rPr>
              <w:t xml:space="preserve"> a single notification requirement for DAC4/</w:t>
            </w:r>
            <w:r w:rsidR="00AB1F61">
              <w:rPr>
                <w:noProof/>
                <w:sz w:val="20"/>
                <w:szCs w:val="20"/>
              </w:rPr>
              <w:t>DAC9</w:t>
            </w:r>
            <w:r w:rsidR="2418560A" w:rsidRPr="4321A1A3">
              <w:rPr>
                <w:noProof/>
                <w:sz w:val="20"/>
                <w:szCs w:val="20"/>
              </w:rPr>
              <w:t xml:space="preserve"> via a common standard template and harmonised deadlines </w:t>
            </w:r>
            <w:r w:rsidR="00A760A6" w:rsidRPr="4321A1A3">
              <w:rPr>
                <w:noProof/>
                <w:sz w:val="20"/>
                <w:szCs w:val="20"/>
              </w:rPr>
              <w:t>+ central</w:t>
            </w:r>
            <w:r w:rsidR="2418560A" w:rsidRPr="4321A1A3">
              <w:rPr>
                <w:noProof/>
                <w:sz w:val="20"/>
                <w:szCs w:val="20"/>
              </w:rPr>
              <w:t xml:space="preserve"> filing of the notification followed by exchange of information between Member States</w:t>
            </w:r>
          </w:p>
        </w:tc>
        <w:tc>
          <w:tcPr>
            <w:tcW w:w="1843" w:type="dxa"/>
          </w:tcPr>
          <w:p w14:paraId="0B5280F8" w14:textId="1B53487E" w:rsidR="002D4194" w:rsidRPr="007224AA" w:rsidRDefault="537E67AE" w:rsidP="002D4194">
            <w:pPr>
              <w:spacing w:after="160" w:line="257" w:lineRule="auto"/>
              <w:rPr>
                <w:rFonts w:eastAsia="Aptos"/>
                <w:noProof/>
                <w:sz w:val="20"/>
                <w:szCs w:val="20"/>
              </w:rPr>
            </w:pPr>
            <w:r w:rsidRPr="191A2E10">
              <w:rPr>
                <w:rFonts w:eastAsia="Aptos"/>
                <w:noProof/>
                <w:sz w:val="20"/>
                <w:szCs w:val="20"/>
              </w:rPr>
              <w:t>+++</w:t>
            </w:r>
          </w:p>
        </w:tc>
        <w:tc>
          <w:tcPr>
            <w:tcW w:w="2126" w:type="dxa"/>
          </w:tcPr>
          <w:p w14:paraId="772A6609" w14:textId="60D9A2B1" w:rsidR="002D4194" w:rsidRPr="007224AA" w:rsidRDefault="537E67AE" w:rsidP="002D4194">
            <w:pPr>
              <w:spacing w:after="160" w:line="257" w:lineRule="auto"/>
              <w:rPr>
                <w:rFonts w:eastAsia="Aptos"/>
                <w:noProof/>
                <w:sz w:val="20"/>
                <w:szCs w:val="20"/>
              </w:rPr>
            </w:pPr>
            <w:r w:rsidRPr="191A2E10">
              <w:rPr>
                <w:rFonts w:eastAsia="Aptos"/>
                <w:noProof/>
                <w:sz w:val="20"/>
                <w:szCs w:val="20"/>
              </w:rPr>
              <w:t>+++</w:t>
            </w:r>
          </w:p>
        </w:tc>
        <w:tc>
          <w:tcPr>
            <w:tcW w:w="1939" w:type="dxa"/>
          </w:tcPr>
          <w:p w14:paraId="30994D19" w14:textId="5AC6B304" w:rsidR="002D4194" w:rsidRPr="007224AA" w:rsidRDefault="537E67AE" w:rsidP="002D4194">
            <w:pPr>
              <w:spacing w:after="160" w:line="257" w:lineRule="auto"/>
              <w:rPr>
                <w:rFonts w:eastAsia="Aptos"/>
                <w:noProof/>
                <w:sz w:val="20"/>
                <w:szCs w:val="20"/>
              </w:rPr>
            </w:pPr>
            <w:r w:rsidRPr="191A2E10">
              <w:rPr>
                <w:rFonts w:eastAsia="Aptos"/>
                <w:noProof/>
                <w:sz w:val="20"/>
                <w:szCs w:val="20"/>
              </w:rPr>
              <w:t>+++</w:t>
            </w:r>
          </w:p>
        </w:tc>
      </w:tr>
      <w:tr w:rsidR="002D4194" w:rsidRPr="000B145D" w14:paraId="489B7FAD" w14:textId="77777777" w:rsidTr="00A760A6">
        <w:trPr>
          <w:trHeight w:val="300"/>
        </w:trPr>
        <w:tc>
          <w:tcPr>
            <w:tcW w:w="2972" w:type="dxa"/>
          </w:tcPr>
          <w:p w14:paraId="63586DBE" w14:textId="3B3A6478" w:rsidR="002D4194" w:rsidRPr="007224AA" w:rsidRDefault="006F032D" w:rsidP="0AB16D81">
            <w:pPr>
              <w:spacing w:after="160" w:line="257" w:lineRule="auto"/>
              <w:jc w:val="left"/>
              <w:rPr>
                <w:rFonts w:eastAsia="Aptos"/>
                <w:b/>
                <w:bCs/>
                <w:noProof/>
                <w:sz w:val="20"/>
                <w:szCs w:val="20"/>
              </w:rPr>
            </w:pPr>
            <w:r w:rsidRPr="6CEB8E7C">
              <w:rPr>
                <w:rFonts w:eastAsia="Aptos"/>
                <w:b/>
                <w:noProof/>
                <w:sz w:val="20"/>
                <w:szCs w:val="20"/>
              </w:rPr>
              <w:t>Measure 4</w:t>
            </w:r>
            <w:r w:rsidR="001A64AD" w:rsidRPr="1599A2D9">
              <w:rPr>
                <w:b/>
                <w:bCs/>
                <w:noProof/>
                <w:sz w:val="20"/>
                <w:szCs w:val="20"/>
              </w:rPr>
              <w:t xml:space="preserve"> – </w:t>
            </w:r>
            <w:r w:rsidRPr="6CEB8E7C">
              <w:rPr>
                <w:rFonts w:eastAsia="Aptos"/>
                <w:b/>
                <w:noProof/>
                <w:sz w:val="20"/>
                <w:szCs w:val="20"/>
              </w:rPr>
              <w:t>TIN</w:t>
            </w:r>
          </w:p>
          <w:p w14:paraId="2F23663D" w14:textId="7E09CA15" w:rsidR="002D4194" w:rsidRPr="007224AA" w:rsidRDefault="7851E21B" w:rsidP="4321A1A3">
            <w:pPr>
              <w:spacing w:after="160" w:line="257" w:lineRule="auto"/>
              <w:jc w:val="left"/>
              <w:rPr>
                <w:rFonts w:eastAsia="Aptos"/>
                <w:b/>
                <w:bCs/>
                <w:noProof/>
                <w:sz w:val="20"/>
                <w:szCs w:val="20"/>
              </w:rPr>
            </w:pPr>
            <w:r w:rsidRPr="4321A1A3">
              <w:rPr>
                <w:rFonts w:eastAsia="Aptos"/>
                <w:b/>
                <w:bCs/>
                <w:noProof/>
                <w:sz w:val="20"/>
                <w:szCs w:val="20"/>
              </w:rPr>
              <w:t xml:space="preserve">PO4B: </w:t>
            </w:r>
            <w:r w:rsidR="084B65C4" w:rsidRPr="00A760A6">
              <w:rPr>
                <w:noProof/>
                <w:sz w:val="20"/>
                <w:szCs w:val="20"/>
              </w:rPr>
              <w:t xml:space="preserve"> Introduc</w:t>
            </w:r>
            <w:r w:rsidR="2B34E08C" w:rsidRPr="4321A1A3">
              <w:rPr>
                <w:noProof/>
                <w:sz w:val="20"/>
                <w:szCs w:val="20"/>
              </w:rPr>
              <w:t>ing</w:t>
            </w:r>
            <w:r w:rsidR="084B65C4" w:rsidRPr="00A760A6">
              <w:rPr>
                <w:noProof/>
                <w:sz w:val="20"/>
                <w:szCs w:val="20"/>
              </w:rPr>
              <w:t xml:space="preserve"> a centralised TIN verification system accessible to both Member States tax administrations and reporting entities.</w:t>
            </w:r>
          </w:p>
        </w:tc>
        <w:tc>
          <w:tcPr>
            <w:tcW w:w="1843" w:type="dxa"/>
          </w:tcPr>
          <w:p w14:paraId="7C15EB7A" w14:textId="0CE51151" w:rsidR="002D4194" w:rsidRPr="007224AA" w:rsidRDefault="084B65C4" w:rsidP="002D4194">
            <w:pPr>
              <w:spacing w:after="160" w:line="257" w:lineRule="auto"/>
              <w:rPr>
                <w:rFonts w:eastAsia="Aptos"/>
                <w:noProof/>
                <w:sz w:val="20"/>
                <w:szCs w:val="20"/>
              </w:rPr>
            </w:pPr>
            <w:r w:rsidRPr="4321A1A3">
              <w:rPr>
                <w:rFonts w:eastAsia="Aptos"/>
                <w:noProof/>
                <w:sz w:val="20"/>
                <w:szCs w:val="20"/>
              </w:rPr>
              <w:t>+</w:t>
            </w:r>
          </w:p>
        </w:tc>
        <w:tc>
          <w:tcPr>
            <w:tcW w:w="2126" w:type="dxa"/>
          </w:tcPr>
          <w:p w14:paraId="6FF7A5CC" w14:textId="6724B8A8" w:rsidR="002D4194" w:rsidRPr="007224AA" w:rsidRDefault="084B65C4" w:rsidP="002D4194">
            <w:pPr>
              <w:spacing w:after="160" w:line="257" w:lineRule="auto"/>
              <w:rPr>
                <w:rFonts w:eastAsia="Aptos"/>
                <w:noProof/>
                <w:sz w:val="20"/>
                <w:szCs w:val="20"/>
              </w:rPr>
            </w:pPr>
            <w:r w:rsidRPr="4321A1A3">
              <w:rPr>
                <w:rFonts w:eastAsia="Aptos"/>
                <w:noProof/>
                <w:sz w:val="20"/>
                <w:szCs w:val="20"/>
              </w:rPr>
              <w:t>++</w:t>
            </w:r>
          </w:p>
        </w:tc>
        <w:tc>
          <w:tcPr>
            <w:tcW w:w="1939" w:type="dxa"/>
          </w:tcPr>
          <w:p w14:paraId="0AA07454" w14:textId="0CEB3FFC" w:rsidR="002D4194" w:rsidRPr="007224AA" w:rsidRDefault="084B65C4" w:rsidP="002D4194">
            <w:pPr>
              <w:spacing w:after="160" w:line="257" w:lineRule="auto"/>
              <w:rPr>
                <w:rFonts w:eastAsia="Aptos"/>
                <w:noProof/>
                <w:sz w:val="20"/>
                <w:szCs w:val="20"/>
              </w:rPr>
            </w:pPr>
            <w:r w:rsidRPr="4321A1A3">
              <w:rPr>
                <w:rFonts w:eastAsia="Aptos"/>
                <w:noProof/>
                <w:sz w:val="20"/>
                <w:szCs w:val="20"/>
              </w:rPr>
              <w:t>++</w:t>
            </w:r>
            <w:r w:rsidR="174957A4" w:rsidRPr="4321A1A3">
              <w:rPr>
                <w:rFonts w:eastAsia="Aptos"/>
                <w:noProof/>
                <w:sz w:val="20"/>
                <w:szCs w:val="20"/>
              </w:rPr>
              <w:t>+</w:t>
            </w:r>
          </w:p>
        </w:tc>
      </w:tr>
      <w:tr w:rsidR="002D4194" w:rsidRPr="000B145D" w14:paraId="38F0FF13" w14:textId="77777777" w:rsidTr="00A760A6">
        <w:trPr>
          <w:trHeight w:val="699"/>
        </w:trPr>
        <w:tc>
          <w:tcPr>
            <w:tcW w:w="2972" w:type="dxa"/>
          </w:tcPr>
          <w:p w14:paraId="06A64A63" w14:textId="5B7DDBF5" w:rsidR="002D4194" w:rsidRPr="007224AA" w:rsidRDefault="006F032D" w:rsidP="0AB16D81">
            <w:pPr>
              <w:spacing w:after="160" w:line="257" w:lineRule="auto"/>
              <w:jc w:val="left"/>
              <w:rPr>
                <w:rFonts w:eastAsia="Aptos"/>
                <w:b/>
                <w:bCs/>
                <w:noProof/>
                <w:sz w:val="20"/>
                <w:szCs w:val="20"/>
              </w:rPr>
            </w:pPr>
            <w:r w:rsidRPr="3CE7D66D">
              <w:rPr>
                <w:rFonts w:eastAsia="Aptos"/>
                <w:b/>
                <w:noProof/>
                <w:sz w:val="20"/>
                <w:szCs w:val="20"/>
              </w:rPr>
              <w:t>Measure 5 – DAC1</w:t>
            </w:r>
          </w:p>
          <w:p w14:paraId="107DDC6D" w14:textId="13F1F824" w:rsidR="002D4194" w:rsidRPr="007224AA" w:rsidRDefault="04487DBC" w:rsidP="00A760A6">
            <w:pPr>
              <w:spacing w:after="160" w:line="257" w:lineRule="auto"/>
              <w:jc w:val="left"/>
              <w:rPr>
                <w:rFonts w:eastAsia="Aptos"/>
                <w:noProof/>
                <w:sz w:val="20"/>
                <w:szCs w:val="20"/>
                <w:lang w:val="en-US"/>
              </w:rPr>
            </w:pPr>
            <w:r w:rsidRPr="3B09BF9B">
              <w:rPr>
                <w:b/>
                <w:noProof/>
                <w:sz w:val="20"/>
                <w:szCs w:val="20"/>
              </w:rPr>
              <w:t xml:space="preserve">PO5c: </w:t>
            </w:r>
            <w:r w:rsidRPr="3B09BF9B">
              <w:rPr>
                <w:noProof/>
                <w:sz w:val="20"/>
                <w:szCs w:val="20"/>
                <w:lang w:val="en-US"/>
              </w:rPr>
              <w:t>The LIP category is no longer required to be exchanged. Member States are obliged to automatically exchange information available to all public authorities in the Member States with respect to the remaining six categories of income and capital.</w:t>
            </w:r>
          </w:p>
        </w:tc>
        <w:tc>
          <w:tcPr>
            <w:tcW w:w="1843" w:type="dxa"/>
          </w:tcPr>
          <w:p w14:paraId="477E0D80" w14:textId="3821ABCA" w:rsidR="002D4194" w:rsidRPr="007224AA" w:rsidRDefault="42B734D3" w:rsidP="002D4194">
            <w:pPr>
              <w:spacing w:after="160" w:line="257" w:lineRule="auto"/>
              <w:rPr>
                <w:rFonts w:eastAsia="Aptos"/>
                <w:noProof/>
                <w:sz w:val="20"/>
                <w:szCs w:val="20"/>
              </w:rPr>
            </w:pPr>
            <w:r w:rsidRPr="4A907BC4">
              <w:rPr>
                <w:rFonts w:eastAsia="Aptos"/>
                <w:noProof/>
                <w:sz w:val="20"/>
                <w:szCs w:val="20"/>
              </w:rPr>
              <w:t>++</w:t>
            </w:r>
          </w:p>
        </w:tc>
        <w:tc>
          <w:tcPr>
            <w:tcW w:w="2126" w:type="dxa"/>
          </w:tcPr>
          <w:p w14:paraId="49D8C16A" w14:textId="614D01EC" w:rsidR="002D4194" w:rsidRPr="007224AA" w:rsidRDefault="42B734D3" w:rsidP="002D4194">
            <w:pPr>
              <w:spacing w:after="160" w:line="257" w:lineRule="auto"/>
              <w:rPr>
                <w:rFonts w:eastAsia="Aptos"/>
                <w:noProof/>
                <w:sz w:val="20"/>
                <w:szCs w:val="20"/>
              </w:rPr>
            </w:pPr>
            <w:r w:rsidRPr="4A907BC4">
              <w:rPr>
                <w:rFonts w:eastAsia="Aptos"/>
                <w:noProof/>
                <w:sz w:val="20"/>
                <w:szCs w:val="20"/>
              </w:rPr>
              <w:t>+++</w:t>
            </w:r>
          </w:p>
        </w:tc>
        <w:tc>
          <w:tcPr>
            <w:tcW w:w="1939" w:type="dxa"/>
          </w:tcPr>
          <w:p w14:paraId="1B80D827" w14:textId="4A996645" w:rsidR="002D4194" w:rsidRPr="007224AA" w:rsidRDefault="42B734D3" w:rsidP="002D4194">
            <w:pPr>
              <w:spacing w:after="160" w:line="257" w:lineRule="auto"/>
              <w:rPr>
                <w:rFonts w:eastAsia="Aptos"/>
                <w:noProof/>
                <w:sz w:val="20"/>
                <w:szCs w:val="20"/>
              </w:rPr>
            </w:pPr>
            <w:r w:rsidRPr="4A907BC4">
              <w:rPr>
                <w:rFonts w:eastAsia="Aptos"/>
                <w:noProof/>
                <w:sz w:val="20"/>
                <w:szCs w:val="20"/>
              </w:rPr>
              <w:t>+++</w:t>
            </w:r>
          </w:p>
        </w:tc>
      </w:tr>
    </w:tbl>
    <w:p w14:paraId="795869C9" w14:textId="77777777" w:rsidR="00D7088D" w:rsidRDefault="00D7088D" w:rsidP="4321A1A3">
      <w:pPr>
        <w:spacing w:after="0" w:line="257" w:lineRule="auto"/>
        <w:rPr>
          <w:rFonts w:eastAsia="Times New Roman"/>
          <w:b/>
          <w:bCs/>
          <w:noProof/>
          <w:u w:val="single"/>
        </w:rPr>
      </w:pPr>
    </w:p>
    <w:p w14:paraId="05C56290" w14:textId="5DAAB7C2" w:rsidR="002D4194" w:rsidRDefault="2282FCBF" w:rsidP="4321A1A3">
      <w:pPr>
        <w:spacing w:after="0" w:line="257" w:lineRule="auto"/>
        <w:rPr>
          <w:rFonts w:eastAsia="Times New Roman"/>
          <w:b/>
          <w:bCs/>
          <w:noProof/>
          <w:u w:val="single"/>
        </w:rPr>
      </w:pPr>
      <w:r w:rsidRPr="4321A1A3">
        <w:rPr>
          <w:rFonts w:eastAsia="Times New Roman"/>
          <w:b/>
          <w:bCs/>
          <w:noProof/>
          <w:u w:val="single"/>
        </w:rPr>
        <w:t>Efficiency</w:t>
      </w:r>
    </w:p>
    <w:tbl>
      <w:tblPr>
        <w:tblW w:w="8894"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439"/>
        <w:gridCol w:w="983"/>
        <w:gridCol w:w="1106"/>
        <w:gridCol w:w="1065"/>
        <w:gridCol w:w="1131"/>
        <w:gridCol w:w="1187"/>
        <w:gridCol w:w="983"/>
      </w:tblGrid>
      <w:tr w:rsidR="00D776D5" w14:paraId="4C5ED5C5" w14:textId="77777777" w:rsidTr="4321A1A3">
        <w:trPr>
          <w:trHeight w:val="300"/>
        </w:trPr>
        <w:tc>
          <w:tcPr>
            <w:tcW w:w="254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062E05E" w14:textId="4B910A02" w:rsidR="00D417BF" w:rsidRPr="00224474" w:rsidRDefault="00D417BF" w:rsidP="4321A1A3">
            <w:pPr>
              <w:spacing w:after="0" w:line="257" w:lineRule="auto"/>
              <w:rPr>
                <w:noProof/>
                <w:sz w:val="20"/>
                <w:szCs w:val="20"/>
              </w:rPr>
            </w:pPr>
          </w:p>
        </w:tc>
        <w:tc>
          <w:tcPr>
            <w:tcW w:w="990" w:type="dxa"/>
            <w:tcBorders>
              <w:top w:val="single" w:sz="8" w:space="0" w:color="auto"/>
              <w:left w:val="single" w:sz="8" w:space="0" w:color="auto"/>
              <w:bottom w:val="single" w:sz="8" w:space="0" w:color="auto"/>
              <w:right w:val="single" w:sz="8" w:space="0" w:color="auto"/>
            </w:tcBorders>
          </w:tcPr>
          <w:p w14:paraId="25D06E97" w14:textId="4BBD0B5F" w:rsidR="00D417BF" w:rsidRPr="00224474" w:rsidRDefault="00A760A6" w:rsidP="4321A1A3">
            <w:pPr>
              <w:spacing w:after="0" w:line="257" w:lineRule="auto"/>
              <w:jc w:val="left"/>
              <w:rPr>
                <w:rFonts w:eastAsia="Times New Roman"/>
                <w:noProof/>
                <w:sz w:val="20"/>
                <w:szCs w:val="20"/>
              </w:rPr>
            </w:pPr>
            <w:r>
              <w:rPr>
                <w:rFonts w:eastAsia="Times New Roman"/>
                <w:noProof/>
                <w:sz w:val="20"/>
                <w:szCs w:val="20"/>
              </w:rPr>
              <w:t>B</w:t>
            </w:r>
            <w:r w:rsidR="4EF118B4" w:rsidRPr="4321A1A3">
              <w:rPr>
                <w:rFonts w:eastAsia="Times New Roman"/>
                <w:noProof/>
                <w:sz w:val="20"/>
                <w:szCs w:val="20"/>
              </w:rPr>
              <w:t>aseline</w:t>
            </w:r>
          </w:p>
        </w:tc>
        <w:tc>
          <w:tcPr>
            <w:tcW w:w="1125" w:type="dxa"/>
            <w:tcBorders>
              <w:top w:val="single" w:sz="8" w:space="0" w:color="auto"/>
              <w:left w:val="single" w:sz="8" w:space="0" w:color="auto"/>
              <w:bottom w:val="single" w:sz="8" w:space="0" w:color="auto"/>
              <w:right w:val="single" w:sz="8" w:space="0" w:color="auto"/>
            </w:tcBorders>
          </w:tcPr>
          <w:p w14:paraId="35364A68" w14:textId="5B150962" w:rsidR="00D417BF" w:rsidRPr="00224474" w:rsidRDefault="1B322E22" w:rsidP="4321A1A3">
            <w:pPr>
              <w:spacing w:after="0" w:line="257" w:lineRule="auto"/>
              <w:jc w:val="left"/>
              <w:rPr>
                <w:rFonts w:eastAsia="Times New Roman"/>
                <w:b/>
                <w:bCs/>
                <w:noProof/>
                <w:sz w:val="20"/>
                <w:szCs w:val="20"/>
              </w:rPr>
            </w:pPr>
            <w:r w:rsidRPr="4321A1A3">
              <w:rPr>
                <w:noProof/>
                <w:sz w:val="20"/>
                <w:szCs w:val="20"/>
              </w:rPr>
              <w:t>Measure</w:t>
            </w:r>
            <w:r w:rsidR="52851402" w:rsidRPr="4321A1A3">
              <w:rPr>
                <w:noProof/>
                <w:sz w:val="20"/>
                <w:szCs w:val="20"/>
              </w:rPr>
              <w:t xml:space="preserve"> 1</w:t>
            </w:r>
            <w:r w:rsidRPr="4321A1A3">
              <w:rPr>
                <w:noProof/>
                <w:sz w:val="20"/>
                <w:szCs w:val="20"/>
              </w:rPr>
              <w:t xml:space="preserve"> </w:t>
            </w:r>
            <w:r w:rsidR="126A00EE" w:rsidRPr="4321A1A3">
              <w:rPr>
                <w:noProof/>
                <w:sz w:val="20"/>
                <w:szCs w:val="20"/>
              </w:rPr>
              <w:t>DAC6</w:t>
            </w:r>
            <w:r w:rsidR="3163CE82" w:rsidRPr="4321A1A3">
              <w:rPr>
                <w:noProof/>
                <w:sz w:val="20"/>
                <w:szCs w:val="20"/>
              </w:rPr>
              <w:t xml:space="preserve"> </w:t>
            </w:r>
            <w:r w:rsidR="13E420CC" w:rsidRPr="4321A1A3">
              <w:rPr>
                <w:noProof/>
                <w:sz w:val="20"/>
                <w:szCs w:val="20"/>
              </w:rPr>
              <w:t>PO</w:t>
            </w:r>
            <w:r w:rsidR="3163CE82" w:rsidRPr="4321A1A3">
              <w:rPr>
                <w:noProof/>
                <w:sz w:val="20"/>
                <w:szCs w:val="20"/>
              </w:rPr>
              <w:t>1</w:t>
            </w:r>
            <w:r w:rsidR="3A99E624" w:rsidRPr="4321A1A3">
              <w:rPr>
                <w:noProof/>
                <w:sz w:val="20"/>
                <w:szCs w:val="20"/>
              </w:rPr>
              <w:t>b</w:t>
            </w:r>
            <w:r w:rsidRPr="4321A1A3">
              <w:rPr>
                <w:noProof/>
                <w:sz w:val="20"/>
                <w:szCs w:val="20"/>
              </w:rPr>
              <w:t xml:space="preserve"> </w:t>
            </w:r>
          </w:p>
        </w:tc>
        <w:tc>
          <w:tcPr>
            <w:tcW w:w="1080" w:type="dxa"/>
            <w:tcBorders>
              <w:top w:val="single" w:sz="8" w:space="0" w:color="auto"/>
              <w:left w:val="single" w:sz="8" w:space="0" w:color="auto"/>
              <w:bottom w:val="single" w:sz="8" w:space="0" w:color="auto"/>
              <w:right w:val="single" w:sz="8" w:space="0" w:color="auto"/>
            </w:tcBorders>
          </w:tcPr>
          <w:p w14:paraId="0B46D5EB" w14:textId="2995B083" w:rsidR="00D417BF" w:rsidRPr="00224474" w:rsidRDefault="1B322E22" w:rsidP="4321A1A3">
            <w:pPr>
              <w:spacing w:after="0" w:line="257" w:lineRule="auto"/>
              <w:jc w:val="left"/>
              <w:rPr>
                <w:noProof/>
                <w:sz w:val="20"/>
                <w:szCs w:val="20"/>
              </w:rPr>
            </w:pPr>
            <w:r w:rsidRPr="4321A1A3">
              <w:rPr>
                <w:noProof/>
                <w:sz w:val="20"/>
                <w:szCs w:val="20"/>
              </w:rPr>
              <w:t>Measure</w:t>
            </w:r>
            <w:r w:rsidR="2C8780DB" w:rsidRPr="4321A1A3">
              <w:rPr>
                <w:noProof/>
                <w:sz w:val="20"/>
                <w:szCs w:val="20"/>
              </w:rPr>
              <w:t xml:space="preserve"> 2 </w:t>
            </w:r>
            <w:r w:rsidRPr="4321A1A3">
              <w:rPr>
                <w:noProof/>
                <w:sz w:val="20"/>
                <w:szCs w:val="20"/>
              </w:rPr>
              <w:t>DAC7</w:t>
            </w:r>
            <w:r w:rsidR="3F6E204D" w:rsidRPr="4321A1A3">
              <w:rPr>
                <w:noProof/>
                <w:sz w:val="20"/>
                <w:szCs w:val="20"/>
              </w:rPr>
              <w:t xml:space="preserve"> PO2</w:t>
            </w:r>
            <w:r w:rsidR="7DE92342" w:rsidRPr="4321A1A3">
              <w:rPr>
                <w:noProof/>
                <w:sz w:val="20"/>
                <w:szCs w:val="20"/>
              </w:rPr>
              <w:t>b</w:t>
            </w:r>
          </w:p>
        </w:tc>
        <w:tc>
          <w:tcPr>
            <w:tcW w:w="9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7A3E071" w14:textId="77777777" w:rsidR="00AB1F61" w:rsidRDefault="1B322E22" w:rsidP="4321A1A3">
            <w:pPr>
              <w:spacing w:after="0" w:line="257" w:lineRule="auto"/>
              <w:jc w:val="left"/>
              <w:rPr>
                <w:noProof/>
                <w:sz w:val="20"/>
                <w:szCs w:val="20"/>
              </w:rPr>
            </w:pPr>
            <w:r w:rsidRPr="4321A1A3">
              <w:rPr>
                <w:noProof/>
                <w:sz w:val="20"/>
                <w:szCs w:val="20"/>
              </w:rPr>
              <w:t xml:space="preserve">Measure </w:t>
            </w:r>
            <w:r w:rsidR="3163CE82" w:rsidRPr="4321A1A3">
              <w:rPr>
                <w:noProof/>
                <w:sz w:val="20"/>
                <w:szCs w:val="20"/>
              </w:rPr>
              <w:t>3</w:t>
            </w:r>
            <w:r w:rsidR="571608B5" w:rsidRPr="4321A1A3">
              <w:rPr>
                <w:noProof/>
                <w:sz w:val="20"/>
                <w:szCs w:val="20"/>
              </w:rPr>
              <w:t xml:space="preserve"> </w:t>
            </w:r>
            <w:r w:rsidR="3163CE82" w:rsidRPr="4321A1A3">
              <w:rPr>
                <w:noProof/>
                <w:sz w:val="20"/>
                <w:szCs w:val="20"/>
              </w:rPr>
              <w:t>DAC4</w:t>
            </w:r>
            <w:r w:rsidR="00AB1F61">
              <w:rPr>
                <w:noProof/>
                <w:sz w:val="20"/>
                <w:szCs w:val="20"/>
              </w:rPr>
              <w:t>/DAC9</w:t>
            </w:r>
          </w:p>
          <w:p w14:paraId="6C463682" w14:textId="51F17860" w:rsidR="00D417BF" w:rsidRPr="00224474" w:rsidRDefault="79DF55DD" w:rsidP="4321A1A3">
            <w:pPr>
              <w:spacing w:after="0" w:line="257" w:lineRule="auto"/>
              <w:jc w:val="left"/>
              <w:rPr>
                <w:noProof/>
                <w:sz w:val="20"/>
                <w:szCs w:val="20"/>
              </w:rPr>
            </w:pPr>
            <w:r w:rsidRPr="4321A1A3">
              <w:rPr>
                <w:noProof/>
                <w:sz w:val="20"/>
                <w:szCs w:val="20"/>
              </w:rPr>
              <w:t>PO3</w:t>
            </w:r>
            <w:r w:rsidR="76F36260" w:rsidRPr="4321A1A3">
              <w:rPr>
                <w:noProof/>
                <w:sz w:val="20"/>
                <w:szCs w:val="20"/>
              </w:rPr>
              <w:t>b</w:t>
            </w:r>
          </w:p>
        </w:tc>
        <w:tc>
          <w:tcPr>
            <w:tcW w:w="12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E455D73" w14:textId="16A13A6C" w:rsidR="00D417BF" w:rsidRPr="00224474" w:rsidRDefault="1B322E22" w:rsidP="4321A1A3">
            <w:pPr>
              <w:spacing w:after="0" w:line="257" w:lineRule="auto"/>
              <w:jc w:val="left"/>
              <w:rPr>
                <w:rFonts w:eastAsia="Times New Roman"/>
                <w:b/>
                <w:bCs/>
                <w:noProof/>
                <w:sz w:val="20"/>
                <w:szCs w:val="20"/>
              </w:rPr>
            </w:pPr>
            <w:r w:rsidRPr="4321A1A3">
              <w:rPr>
                <w:rFonts w:eastAsia="Aptos"/>
                <w:noProof/>
                <w:sz w:val="20"/>
                <w:szCs w:val="20"/>
              </w:rPr>
              <w:t>Measure 4</w:t>
            </w:r>
          </w:p>
          <w:p w14:paraId="3B321AA9" w14:textId="7E197243" w:rsidR="00D417BF" w:rsidRPr="00224474" w:rsidRDefault="1B322E22" w:rsidP="4321A1A3">
            <w:pPr>
              <w:spacing w:after="0" w:line="257" w:lineRule="auto"/>
              <w:jc w:val="left"/>
              <w:rPr>
                <w:rFonts w:eastAsia="Times New Roman"/>
                <w:b/>
                <w:bCs/>
                <w:noProof/>
                <w:sz w:val="20"/>
                <w:szCs w:val="20"/>
              </w:rPr>
            </w:pPr>
            <w:r w:rsidRPr="4321A1A3">
              <w:rPr>
                <w:rFonts w:eastAsia="Aptos"/>
                <w:noProof/>
                <w:sz w:val="20"/>
                <w:szCs w:val="20"/>
              </w:rPr>
              <w:t>TIN</w:t>
            </w:r>
          </w:p>
          <w:p w14:paraId="5CA61A8E" w14:textId="4FA1816A" w:rsidR="00D417BF" w:rsidRPr="00224474" w:rsidRDefault="250A024C" w:rsidP="4321A1A3">
            <w:pPr>
              <w:spacing w:after="0" w:line="257" w:lineRule="auto"/>
              <w:jc w:val="left"/>
              <w:rPr>
                <w:rFonts w:eastAsia="Aptos"/>
                <w:noProof/>
                <w:sz w:val="20"/>
                <w:szCs w:val="20"/>
              </w:rPr>
            </w:pPr>
            <w:r w:rsidRPr="4321A1A3">
              <w:rPr>
                <w:rFonts w:eastAsia="Aptos"/>
                <w:noProof/>
                <w:sz w:val="20"/>
                <w:szCs w:val="20"/>
              </w:rPr>
              <w:t>PO4b</w:t>
            </w:r>
          </w:p>
        </w:tc>
        <w:tc>
          <w:tcPr>
            <w:tcW w:w="1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A8F73F3" w14:textId="36C3DA24" w:rsidR="00D417BF" w:rsidRPr="00224474" w:rsidRDefault="1B322E22" w:rsidP="4321A1A3">
            <w:pPr>
              <w:spacing w:after="0" w:line="257" w:lineRule="auto"/>
              <w:jc w:val="left"/>
              <w:rPr>
                <w:noProof/>
                <w:sz w:val="20"/>
                <w:szCs w:val="20"/>
              </w:rPr>
            </w:pPr>
            <w:r w:rsidRPr="4321A1A3">
              <w:rPr>
                <w:rFonts w:eastAsia="Aptos"/>
                <w:noProof/>
                <w:sz w:val="20"/>
                <w:szCs w:val="20"/>
              </w:rPr>
              <w:t>Measure 5 DAC1</w:t>
            </w:r>
          </w:p>
          <w:p w14:paraId="6B558F14" w14:textId="50B8E35E" w:rsidR="00D417BF" w:rsidRPr="00224474" w:rsidRDefault="49B1A2F4" w:rsidP="4321A1A3">
            <w:pPr>
              <w:spacing w:after="0" w:line="257" w:lineRule="auto"/>
              <w:jc w:val="left"/>
              <w:rPr>
                <w:rFonts w:eastAsia="Aptos"/>
                <w:noProof/>
                <w:sz w:val="20"/>
                <w:szCs w:val="20"/>
              </w:rPr>
            </w:pPr>
            <w:r w:rsidRPr="4321A1A3">
              <w:rPr>
                <w:rFonts w:eastAsia="Aptos"/>
                <w:noProof/>
                <w:sz w:val="20"/>
                <w:szCs w:val="20"/>
              </w:rPr>
              <w:t>PO5c</w:t>
            </w:r>
          </w:p>
        </w:tc>
      </w:tr>
      <w:tr w:rsidR="00D776D5" w14:paraId="1C7148B7" w14:textId="77777777" w:rsidTr="4321A1A3">
        <w:trPr>
          <w:trHeight w:val="300"/>
        </w:trPr>
        <w:tc>
          <w:tcPr>
            <w:tcW w:w="254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D3BC8CC" w14:textId="7B6B6B8D" w:rsidR="00D417BF" w:rsidRPr="00224474" w:rsidRDefault="794CD53F" w:rsidP="4321A1A3">
            <w:pPr>
              <w:spacing w:after="0" w:line="257" w:lineRule="auto"/>
              <w:rPr>
                <w:noProof/>
                <w:sz w:val="20"/>
                <w:szCs w:val="20"/>
              </w:rPr>
            </w:pPr>
            <w:r w:rsidRPr="4321A1A3">
              <w:rPr>
                <w:rFonts w:eastAsia="Times New Roman"/>
                <w:b/>
                <w:bCs/>
                <w:noProof/>
                <w:sz w:val="20"/>
                <w:szCs w:val="20"/>
              </w:rPr>
              <w:t>Companies</w:t>
            </w:r>
          </w:p>
        </w:tc>
        <w:tc>
          <w:tcPr>
            <w:tcW w:w="990" w:type="dxa"/>
            <w:tcBorders>
              <w:top w:val="single" w:sz="8" w:space="0" w:color="auto"/>
              <w:left w:val="single" w:sz="8" w:space="0" w:color="auto"/>
              <w:bottom w:val="single" w:sz="8" w:space="0" w:color="auto"/>
              <w:right w:val="single" w:sz="8" w:space="0" w:color="auto"/>
            </w:tcBorders>
          </w:tcPr>
          <w:p w14:paraId="424343DA" w14:textId="705781CC" w:rsidR="00D417BF" w:rsidRPr="00224474" w:rsidRDefault="00D417BF" w:rsidP="4321A1A3">
            <w:pPr>
              <w:spacing w:after="0"/>
              <w:rPr>
                <w:noProof/>
                <w:sz w:val="20"/>
                <w:szCs w:val="20"/>
              </w:rPr>
            </w:pPr>
          </w:p>
        </w:tc>
        <w:tc>
          <w:tcPr>
            <w:tcW w:w="1125" w:type="dxa"/>
            <w:tcBorders>
              <w:top w:val="single" w:sz="8" w:space="0" w:color="auto"/>
              <w:left w:val="single" w:sz="8" w:space="0" w:color="auto"/>
              <w:bottom w:val="single" w:sz="8" w:space="0" w:color="auto"/>
              <w:right w:val="single" w:sz="8" w:space="0" w:color="auto"/>
            </w:tcBorders>
          </w:tcPr>
          <w:p w14:paraId="329E0E5C" w14:textId="3B87D9AE" w:rsidR="00D417BF" w:rsidRPr="00224474" w:rsidRDefault="00D417BF" w:rsidP="4321A1A3">
            <w:pPr>
              <w:spacing w:after="0"/>
              <w:rPr>
                <w:noProof/>
                <w:sz w:val="20"/>
                <w:szCs w:val="20"/>
              </w:rPr>
            </w:pPr>
          </w:p>
        </w:tc>
        <w:tc>
          <w:tcPr>
            <w:tcW w:w="1080" w:type="dxa"/>
            <w:tcBorders>
              <w:top w:val="single" w:sz="8" w:space="0" w:color="auto"/>
              <w:left w:val="single" w:sz="8" w:space="0" w:color="auto"/>
              <w:bottom w:val="single" w:sz="8" w:space="0" w:color="auto"/>
              <w:right w:val="single" w:sz="8" w:space="0" w:color="auto"/>
            </w:tcBorders>
          </w:tcPr>
          <w:p w14:paraId="48570CAA" w14:textId="1D68AAB4" w:rsidR="00D417BF" w:rsidRPr="00224474" w:rsidRDefault="00D417BF" w:rsidP="4321A1A3">
            <w:pPr>
              <w:spacing w:after="0"/>
              <w:rPr>
                <w:noProof/>
                <w:sz w:val="20"/>
                <w:szCs w:val="20"/>
              </w:rPr>
            </w:pPr>
          </w:p>
        </w:tc>
        <w:tc>
          <w:tcPr>
            <w:tcW w:w="9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99318F8" w14:textId="4E2E2BA9" w:rsidR="00D417BF" w:rsidRPr="00224474" w:rsidRDefault="00D417BF" w:rsidP="4321A1A3">
            <w:pPr>
              <w:spacing w:after="0"/>
              <w:rPr>
                <w:noProof/>
                <w:sz w:val="20"/>
                <w:szCs w:val="20"/>
              </w:rPr>
            </w:pPr>
          </w:p>
        </w:tc>
        <w:tc>
          <w:tcPr>
            <w:tcW w:w="12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B31BA70" w14:textId="219792D6" w:rsidR="00D417BF" w:rsidRPr="00224474" w:rsidRDefault="00D417BF" w:rsidP="4321A1A3">
            <w:pPr>
              <w:spacing w:after="0"/>
              <w:rPr>
                <w:noProof/>
                <w:sz w:val="20"/>
                <w:szCs w:val="20"/>
              </w:rPr>
            </w:pPr>
          </w:p>
        </w:tc>
        <w:tc>
          <w:tcPr>
            <w:tcW w:w="1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DCA1416" w14:textId="4A5FB812" w:rsidR="00D417BF" w:rsidRPr="00224474" w:rsidRDefault="00D417BF" w:rsidP="4321A1A3">
            <w:pPr>
              <w:spacing w:after="0"/>
              <w:rPr>
                <w:noProof/>
                <w:sz w:val="20"/>
                <w:szCs w:val="20"/>
              </w:rPr>
            </w:pPr>
          </w:p>
        </w:tc>
      </w:tr>
      <w:tr w:rsidR="00D776D5" w14:paraId="7F49D68C" w14:textId="77777777" w:rsidTr="4321A1A3">
        <w:trPr>
          <w:trHeight w:val="300"/>
        </w:trPr>
        <w:tc>
          <w:tcPr>
            <w:tcW w:w="254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0FF5B37" w14:textId="6C8113AD" w:rsidR="00D417BF" w:rsidRPr="00224474" w:rsidRDefault="03433DE1" w:rsidP="4321A1A3">
            <w:pPr>
              <w:spacing w:after="0" w:line="257" w:lineRule="auto"/>
              <w:rPr>
                <w:noProof/>
                <w:sz w:val="20"/>
                <w:szCs w:val="20"/>
              </w:rPr>
            </w:pPr>
            <w:r w:rsidRPr="4321A1A3">
              <w:rPr>
                <w:rFonts w:eastAsia="Times New Roman"/>
                <w:noProof/>
                <w:sz w:val="20"/>
                <w:szCs w:val="20"/>
              </w:rPr>
              <w:t>Administrative</w:t>
            </w:r>
            <w:r w:rsidR="794CD53F" w:rsidRPr="4321A1A3">
              <w:rPr>
                <w:rFonts w:eastAsia="Times New Roman"/>
                <w:noProof/>
                <w:sz w:val="20"/>
                <w:szCs w:val="20"/>
              </w:rPr>
              <w:t xml:space="preserve"> cost</w:t>
            </w:r>
          </w:p>
        </w:tc>
        <w:tc>
          <w:tcPr>
            <w:tcW w:w="990" w:type="dxa"/>
            <w:tcBorders>
              <w:top w:val="single" w:sz="8" w:space="0" w:color="auto"/>
              <w:left w:val="single" w:sz="8" w:space="0" w:color="auto"/>
              <w:bottom w:val="single" w:sz="8" w:space="0" w:color="auto"/>
              <w:right w:val="single" w:sz="8" w:space="0" w:color="auto"/>
            </w:tcBorders>
          </w:tcPr>
          <w:p w14:paraId="7CE3BF88" w14:textId="02098898" w:rsidR="00D417BF" w:rsidRPr="00224474" w:rsidRDefault="52C18DD1"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25" w:type="dxa"/>
            <w:tcBorders>
              <w:top w:val="single" w:sz="8" w:space="0" w:color="auto"/>
              <w:left w:val="single" w:sz="8" w:space="0" w:color="auto"/>
              <w:bottom w:val="single" w:sz="8" w:space="0" w:color="auto"/>
              <w:right w:val="single" w:sz="8" w:space="0" w:color="auto"/>
            </w:tcBorders>
          </w:tcPr>
          <w:p w14:paraId="058A9182" w14:textId="23E59FAC" w:rsidR="00D417BF" w:rsidRPr="00224474" w:rsidRDefault="00B25A7A" w:rsidP="4321A1A3">
            <w:pPr>
              <w:spacing w:after="0" w:line="257" w:lineRule="auto"/>
              <w:jc w:val="center"/>
              <w:rPr>
                <w:rFonts w:eastAsia="Times New Roman"/>
                <w:noProof/>
                <w:sz w:val="20"/>
                <w:szCs w:val="20"/>
              </w:rPr>
            </w:pPr>
            <w:r>
              <w:rPr>
                <w:rFonts w:eastAsia="Times New Roman"/>
                <w:noProof/>
                <w:sz w:val="20"/>
                <w:szCs w:val="20"/>
              </w:rPr>
              <w:t>---</w:t>
            </w:r>
          </w:p>
        </w:tc>
        <w:tc>
          <w:tcPr>
            <w:tcW w:w="1080" w:type="dxa"/>
            <w:tcBorders>
              <w:top w:val="single" w:sz="8" w:space="0" w:color="auto"/>
              <w:left w:val="single" w:sz="8" w:space="0" w:color="auto"/>
              <w:bottom w:val="single" w:sz="8" w:space="0" w:color="auto"/>
              <w:right w:val="single" w:sz="8" w:space="0" w:color="auto"/>
            </w:tcBorders>
          </w:tcPr>
          <w:p w14:paraId="3E8AA63C" w14:textId="358F0106" w:rsidR="00D417BF" w:rsidRPr="00224474" w:rsidRDefault="00B25A7A" w:rsidP="4321A1A3">
            <w:pPr>
              <w:spacing w:after="0" w:line="257" w:lineRule="auto"/>
              <w:jc w:val="center"/>
              <w:rPr>
                <w:rFonts w:eastAsia="Times New Roman"/>
                <w:noProof/>
                <w:sz w:val="20"/>
                <w:szCs w:val="20"/>
              </w:rPr>
            </w:pPr>
            <w:r>
              <w:rPr>
                <w:rFonts w:eastAsia="Times New Roman"/>
                <w:noProof/>
                <w:sz w:val="20"/>
                <w:szCs w:val="20"/>
              </w:rPr>
              <w:t>--</w:t>
            </w:r>
          </w:p>
        </w:tc>
        <w:tc>
          <w:tcPr>
            <w:tcW w:w="9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F5B1271" w14:textId="6F3B9873" w:rsidR="00D417BF" w:rsidRPr="00224474" w:rsidRDefault="00B25A7A" w:rsidP="4321A1A3">
            <w:pPr>
              <w:spacing w:after="0" w:line="257" w:lineRule="auto"/>
              <w:jc w:val="center"/>
              <w:rPr>
                <w:noProof/>
                <w:sz w:val="20"/>
                <w:szCs w:val="20"/>
              </w:rPr>
            </w:pPr>
            <w:r>
              <w:rPr>
                <w:noProof/>
                <w:sz w:val="20"/>
                <w:szCs w:val="20"/>
              </w:rPr>
              <w:t>---</w:t>
            </w:r>
          </w:p>
        </w:tc>
        <w:tc>
          <w:tcPr>
            <w:tcW w:w="12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3DF3B24" w14:textId="4FBB1BC4" w:rsidR="00D417BF" w:rsidRPr="00224474" w:rsidRDefault="00B25A7A" w:rsidP="4321A1A3">
            <w:pPr>
              <w:spacing w:after="0" w:line="257" w:lineRule="auto"/>
              <w:jc w:val="center"/>
              <w:rPr>
                <w:noProof/>
                <w:sz w:val="20"/>
                <w:szCs w:val="20"/>
              </w:rPr>
            </w:pPr>
            <w:r>
              <w:rPr>
                <w:noProof/>
                <w:sz w:val="20"/>
                <w:szCs w:val="20"/>
              </w:rPr>
              <w:t>-</w:t>
            </w:r>
          </w:p>
        </w:tc>
        <w:tc>
          <w:tcPr>
            <w:tcW w:w="1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5EC8F80" w14:textId="01574C2B" w:rsidR="00D417BF" w:rsidRPr="00224474" w:rsidRDefault="70FE3EFB" w:rsidP="4321A1A3">
            <w:pPr>
              <w:spacing w:after="0" w:line="257" w:lineRule="auto"/>
              <w:jc w:val="center"/>
              <w:rPr>
                <w:noProof/>
                <w:sz w:val="20"/>
                <w:szCs w:val="20"/>
              </w:rPr>
            </w:pPr>
            <w:r w:rsidRPr="4321A1A3">
              <w:rPr>
                <w:noProof/>
                <w:sz w:val="20"/>
                <w:szCs w:val="20"/>
              </w:rPr>
              <w:t>0</w:t>
            </w:r>
          </w:p>
        </w:tc>
      </w:tr>
      <w:tr w:rsidR="00D776D5" w14:paraId="1CB985B1" w14:textId="77777777" w:rsidTr="4321A1A3">
        <w:trPr>
          <w:trHeight w:val="300"/>
        </w:trPr>
        <w:tc>
          <w:tcPr>
            <w:tcW w:w="254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EB8A9C7" w14:textId="7BAC3A2D" w:rsidR="00D417BF" w:rsidRPr="00D417BF" w:rsidRDefault="33EE63FE" w:rsidP="4321A1A3">
            <w:pPr>
              <w:spacing w:after="0" w:line="257" w:lineRule="auto"/>
              <w:rPr>
                <w:noProof/>
              </w:rPr>
            </w:pPr>
            <w:r w:rsidRPr="4321A1A3">
              <w:rPr>
                <w:rFonts w:eastAsia="Times New Roman"/>
                <w:noProof/>
                <w:sz w:val="20"/>
                <w:szCs w:val="20"/>
              </w:rPr>
              <w:t>One-off implementation and adjustment costs</w:t>
            </w:r>
          </w:p>
        </w:tc>
        <w:tc>
          <w:tcPr>
            <w:tcW w:w="990" w:type="dxa"/>
            <w:tcBorders>
              <w:top w:val="single" w:sz="8" w:space="0" w:color="auto"/>
              <w:left w:val="single" w:sz="8" w:space="0" w:color="auto"/>
              <w:bottom w:val="single" w:sz="8" w:space="0" w:color="auto"/>
              <w:right w:val="single" w:sz="8" w:space="0" w:color="auto"/>
            </w:tcBorders>
          </w:tcPr>
          <w:p w14:paraId="2F529A5F" w14:textId="6630518A" w:rsidR="00D417BF" w:rsidRPr="00224474" w:rsidRDefault="3148832C"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125" w:type="dxa"/>
            <w:tcBorders>
              <w:top w:val="single" w:sz="8" w:space="0" w:color="auto"/>
              <w:left w:val="single" w:sz="8" w:space="0" w:color="auto"/>
              <w:bottom w:val="single" w:sz="8" w:space="0" w:color="auto"/>
              <w:right w:val="single" w:sz="8" w:space="0" w:color="auto"/>
            </w:tcBorders>
          </w:tcPr>
          <w:p w14:paraId="2118B30F" w14:textId="0B45FCD5" w:rsidR="00D417BF" w:rsidRPr="00224474" w:rsidRDefault="61EFDEC5" w:rsidP="4321A1A3">
            <w:pPr>
              <w:spacing w:after="0" w:line="257" w:lineRule="auto"/>
              <w:jc w:val="center"/>
              <w:rPr>
                <w:rFonts w:eastAsia="Times New Roman"/>
                <w:noProof/>
                <w:sz w:val="20"/>
                <w:szCs w:val="20"/>
              </w:rPr>
            </w:pPr>
            <w:r w:rsidRPr="4321A1A3">
              <w:rPr>
                <w:rFonts w:eastAsia="Times New Roman"/>
                <w:noProof/>
                <w:sz w:val="20"/>
                <w:szCs w:val="20"/>
              </w:rPr>
              <w:t>0</w:t>
            </w:r>
          </w:p>
        </w:tc>
        <w:tc>
          <w:tcPr>
            <w:tcW w:w="1080" w:type="dxa"/>
            <w:tcBorders>
              <w:top w:val="single" w:sz="8" w:space="0" w:color="auto"/>
              <w:left w:val="single" w:sz="8" w:space="0" w:color="auto"/>
              <w:bottom w:val="single" w:sz="8" w:space="0" w:color="auto"/>
              <w:right w:val="single" w:sz="8" w:space="0" w:color="auto"/>
            </w:tcBorders>
          </w:tcPr>
          <w:p w14:paraId="66D1F843" w14:textId="589425DE" w:rsidR="00D417BF" w:rsidRPr="00224474" w:rsidRDefault="4CD9112A" w:rsidP="4321A1A3">
            <w:pPr>
              <w:spacing w:after="0" w:line="257" w:lineRule="auto"/>
              <w:jc w:val="center"/>
              <w:rPr>
                <w:rFonts w:eastAsia="Times New Roman"/>
                <w:noProof/>
                <w:sz w:val="20"/>
                <w:szCs w:val="20"/>
              </w:rPr>
            </w:pPr>
            <w:r w:rsidRPr="4321A1A3">
              <w:rPr>
                <w:rFonts w:eastAsia="Times New Roman"/>
                <w:noProof/>
                <w:sz w:val="20"/>
                <w:szCs w:val="20"/>
              </w:rPr>
              <w:t>0/</w:t>
            </w:r>
            <w:r w:rsidR="00B25A7A">
              <w:rPr>
                <w:rFonts w:eastAsia="Times New Roman"/>
                <w:noProof/>
                <w:sz w:val="20"/>
                <w:szCs w:val="20"/>
              </w:rPr>
              <w:t>+</w:t>
            </w:r>
          </w:p>
        </w:tc>
        <w:tc>
          <w:tcPr>
            <w:tcW w:w="9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D5606F2" w14:textId="2B577F85" w:rsidR="00D417BF" w:rsidRPr="00224474" w:rsidRDefault="00B25A7A" w:rsidP="4321A1A3">
            <w:pPr>
              <w:spacing w:after="0" w:line="257" w:lineRule="auto"/>
              <w:jc w:val="center"/>
              <w:rPr>
                <w:noProof/>
                <w:sz w:val="20"/>
                <w:szCs w:val="20"/>
              </w:rPr>
            </w:pPr>
            <w:r>
              <w:rPr>
                <w:noProof/>
                <w:sz w:val="20"/>
                <w:szCs w:val="20"/>
              </w:rPr>
              <w:t>+</w:t>
            </w:r>
          </w:p>
        </w:tc>
        <w:tc>
          <w:tcPr>
            <w:tcW w:w="12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855289E" w14:textId="1E836E7E" w:rsidR="00D417BF" w:rsidRPr="00224474" w:rsidRDefault="00B25A7A" w:rsidP="4321A1A3">
            <w:pPr>
              <w:spacing w:after="0" w:line="257" w:lineRule="auto"/>
              <w:jc w:val="center"/>
              <w:rPr>
                <w:noProof/>
                <w:sz w:val="20"/>
                <w:szCs w:val="20"/>
              </w:rPr>
            </w:pPr>
            <w:r>
              <w:rPr>
                <w:noProof/>
                <w:sz w:val="20"/>
                <w:szCs w:val="20"/>
              </w:rPr>
              <w:t>+</w:t>
            </w:r>
          </w:p>
        </w:tc>
        <w:tc>
          <w:tcPr>
            <w:tcW w:w="1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603D970" w14:textId="4CB22F7E" w:rsidR="00D417BF" w:rsidRPr="00224474" w:rsidRDefault="454B6E2E" w:rsidP="4321A1A3">
            <w:pPr>
              <w:spacing w:after="0" w:line="257" w:lineRule="auto"/>
              <w:jc w:val="center"/>
              <w:rPr>
                <w:noProof/>
                <w:sz w:val="20"/>
                <w:szCs w:val="20"/>
              </w:rPr>
            </w:pPr>
            <w:r w:rsidRPr="4321A1A3">
              <w:rPr>
                <w:noProof/>
                <w:sz w:val="20"/>
                <w:szCs w:val="20"/>
              </w:rPr>
              <w:t>0</w:t>
            </w:r>
          </w:p>
        </w:tc>
      </w:tr>
      <w:tr w:rsidR="00D776D5" w14:paraId="2118264E" w14:textId="77777777" w:rsidTr="4321A1A3">
        <w:trPr>
          <w:trHeight w:val="300"/>
        </w:trPr>
        <w:tc>
          <w:tcPr>
            <w:tcW w:w="254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44A8F46" w14:textId="2365225E" w:rsidR="00023D1A" w:rsidRPr="00224474" w:rsidRDefault="03433DE1" w:rsidP="4321A1A3">
            <w:pPr>
              <w:spacing w:after="0" w:line="257" w:lineRule="auto"/>
              <w:rPr>
                <w:noProof/>
                <w:sz w:val="20"/>
                <w:szCs w:val="20"/>
              </w:rPr>
            </w:pPr>
            <w:r w:rsidRPr="4321A1A3">
              <w:rPr>
                <w:rFonts w:eastAsia="Times New Roman"/>
                <w:b/>
                <w:bCs/>
                <w:noProof/>
                <w:sz w:val="20"/>
                <w:szCs w:val="20"/>
              </w:rPr>
              <w:t>Public authorities</w:t>
            </w:r>
          </w:p>
        </w:tc>
        <w:tc>
          <w:tcPr>
            <w:tcW w:w="990" w:type="dxa"/>
            <w:tcBorders>
              <w:top w:val="single" w:sz="8" w:space="0" w:color="auto"/>
              <w:left w:val="single" w:sz="8" w:space="0" w:color="auto"/>
              <w:bottom w:val="single" w:sz="8" w:space="0" w:color="auto"/>
              <w:right w:val="single" w:sz="8" w:space="0" w:color="auto"/>
            </w:tcBorders>
          </w:tcPr>
          <w:p w14:paraId="14597A36" w14:textId="68BC7B89" w:rsidR="00023D1A" w:rsidRPr="00224474" w:rsidRDefault="00023D1A" w:rsidP="4321A1A3">
            <w:pPr>
              <w:spacing w:after="0" w:line="257" w:lineRule="auto"/>
              <w:jc w:val="center"/>
              <w:rPr>
                <w:noProof/>
                <w:sz w:val="20"/>
                <w:szCs w:val="20"/>
              </w:rPr>
            </w:pPr>
          </w:p>
        </w:tc>
        <w:tc>
          <w:tcPr>
            <w:tcW w:w="1125" w:type="dxa"/>
            <w:tcBorders>
              <w:top w:val="single" w:sz="8" w:space="0" w:color="auto"/>
              <w:left w:val="single" w:sz="8" w:space="0" w:color="auto"/>
              <w:bottom w:val="single" w:sz="8" w:space="0" w:color="auto"/>
              <w:right w:val="single" w:sz="8" w:space="0" w:color="auto"/>
            </w:tcBorders>
          </w:tcPr>
          <w:p w14:paraId="6FB94079" w14:textId="5F0CC1BE" w:rsidR="00023D1A" w:rsidRPr="00224474" w:rsidRDefault="00023D1A" w:rsidP="4321A1A3">
            <w:pPr>
              <w:spacing w:after="0" w:line="257" w:lineRule="auto"/>
              <w:jc w:val="center"/>
              <w:rPr>
                <w:noProof/>
                <w:sz w:val="20"/>
                <w:szCs w:val="20"/>
              </w:rPr>
            </w:pPr>
          </w:p>
        </w:tc>
        <w:tc>
          <w:tcPr>
            <w:tcW w:w="1080" w:type="dxa"/>
            <w:tcBorders>
              <w:top w:val="single" w:sz="8" w:space="0" w:color="auto"/>
              <w:left w:val="single" w:sz="8" w:space="0" w:color="auto"/>
              <w:bottom w:val="single" w:sz="8" w:space="0" w:color="auto"/>
              <w:right w:val="single" w:sz="8" w:space="0" w:color="auto"/>
            </w:tcBorders>
          </w:tcPr>
          <w:p w14:paraId="3A2A5CA1" w14:textId="4742E55A" w:rsidR="00023D1A" w:rsidRPr="00224474" w:rsidRDefault="00023D1A" w:rsidP="4321A1A3">
            <w:pPr>
              <w:spacing w:after="0" w:line="257" w:lineRule="auto"/>
              <w:jc w:val="center"/>
              <w:rPr>
                <w:noProof/>
                <w:sz w:val="20"/>
                <w:szCs w:val="20"/>
              </w:rPr>
            </w:pPr>
          </w:p>
        </w:tc>
        <w:tc>
          <w:tcPr>
            <w:tcW w:w="9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B673E35" w14:textId="1F67876D" w:rsidR="00023D1A" w:rsidRPr="00224474" w:rsidRDefault="00023D1A" w:rsidP="4321A1A3">
            <w:pPr>
              <w:spacing w:after="0" w:line="257" w:lineRule="auto"/>
              <w:jc w:val="center"/>
              <w:rPr>
                <w:noProof/>
                <w:sz w:val="20"/>
                <w:szCs w:val="20"/>
              </w:rPr>
            </w:pPr>
          </w:p>
        </w:tc>
        <w:tc>
          <w:tcPr>
            <w:tcW w:w="12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2CA3F90" w14:textId="7B0E3734" w:rsidR="00023D1A" w:rsidRPr="00224474" w:rsidRDefault="00023D1A" w:rsidP="4321A1A3">
            <w:pPr>
              <w:spacing w:after="0" w:line="257" w:lineRule="auto"/>
              <w:jc w:val="center"/>
              <w:rPr>
                <w:noProof/>
                <w:sz w:val="20"/>
                <w:szCs w:val="20"/>
              </w:rPr>
            </w:pPr>
          </w:p>
        </w:tc>
        <w:tc>
          <w:tcPr>
            <w:tcW w:w="1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3F535A6" w14:textId="179D0098" w:rsidR="00023D1A" w:rsidRPr="00224474" w:rsidRDefault="00023D1A" w:rsidP="4321A1A3">
            <w:pPr>
              <w:spacing w:after="0" w:line="257" w:lineRule="auto"/>
              <w:jc w:val="center"/>
              <w:rPr>
                <w:noProof/>
                <w:sz w:val="20"/>
                <w:szCs w:val="20"/>
              </w:rPr>
            </w:pPr>
          </w:p>
        </w:tc>
      </w:tr>
      <w:tr w:rsidR="00D776D5" w14:paraId="21DC03BD" w14:textId="77777777" w:rsidTr="4321A1A3">
        <w:trPr>
          <w:trHeight w:val="300"/>
        </w:trPr>
        <w:tc>
          <w:tcPr>
            <w:tcW w:w="254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68241B3" w14:textId="646DF1AC" w:rsidR="00023D1A" w:rsidRPr="00224474" w:rsidRDefault="03433DE1" w:rsidP="4321A1A3">
            <w:pPr>
              <w:spacing w:after="0" w:line="257" w:lineRule="auto"/>
              <w:rPr>
                <w:noProof/>
                <w:sz w:val="20"/>
                <w:szCs w:val="20"/>
              </w:rPr>
            </w:pPr>
            <w:r w:rsidRPr="4321A1A3">
              <w:rPr>
                <w:rFonts w:eastAsia="Times New Roman"/>
                <w:noProof/>
                <w:sz w:val="20"/>
                <w:szCs w:val="20"/>
              </w:rPr>
              <w:t>Administrative cost</w:t>
            </w:r>
          </w:p>
        </w:tc>
        <w:tc>
          <w:tcPr>
            <w:tcW w:w="990" w:type="dxa"/>
            <w:tcBorders>
              <w:top w:val="single" w:sz="8" w:space="0" w:color="auto"/>
              <w:left w:val="single" w:sz="8" w:space="0" w:color="auto"/>
              <w:bottom w:val="single" w:sz="8" w:space="0" w:color="auto"/>
              <w:right w:val="single" w:sz="8" w:space="0" w:color="auto"/>
            </w:tcBorders>
          </w:tcPr>
          <w:p w14:paraId="5917AA44" w14:textId="7C5FEED1" w:rsidR="00023D1A" w:rsidRPr="00224474" w:rsidRDefault="72B8C06D" w:rsidP="4321A1A3">
            <w:pPr>
              <w:spacing w:after="0"/>
              <w:jc w:val="center"/>
              <w:rPr>
                <w:noProof/>
                <w:sz w:val="20"/>
                <w:szCs w:val="20"/>
              </w:rPr>
            </w:pPr>
            <w:r w:rsidRPr="4321A1A3">
              <w:rPr>
                <w:noProof/>
                <w:sz w:val="20"/>
                <w:szCs w:val="20"/>
              </w:rPr>
              <w:t>0</w:t>
            </w:r>
          </w:p>
        </w:tc>
        <w:tc>
          <w:tcPr>
            <w:tcW w:w="1125" w:type="dxa"/>
            <w:tcBorders>
              <w:top w:val="single" w:sz="8" w:space="0" w:color="auto"/>
              <w:left w:val="single" w:sz="8" w:space="0" w:color="auto"/>
              <w:bottom w:val="single" w:sz="8" w:space="0" w:color="auto"/>
              <w:right w:val="single" w:sz="8" w:space="0" w:color="auto"/>
            </w:tcBorders>
          </w:tcPr>
          <w:p w14:paraId="2A93FFB2" w14:textId="30F8D538" w:rsidR="00023D1A" w:rsidRPr="00224474" w:rsidRDefault="00B25A7A" w:rsidP="4321A1A3">
            <w:pPr>
              <w:spacing w:after="0"/>
              <w:jc w:val="center"/>
              <w:rPr>
                <w:noProof/>
                <w:sz w:val="20"/>
                <w:szCs w:val="20"/>
              </w:rPr>
            </w:pPr>
            <w:r>
              <w:rPr>
                <w:noProof/>
                <w:sz w:val="20"/>
                <w:szCs w:val="20"/>
              </w:rPr>
              <w:t>---</w:t>
            </w:r>
          </w:p>
        </w:tc>
        <w:tc>
          <w:tcPr>
            <w:tcW w:w="1080" w:type="dxa"/>
            <w:tcBorders>
              <w:top w:val="single" w:sz="8" w:space="0" w:color="auto"/>
              <w:left w:val="single" w:sz="8" w:space="0" w:color="auto"/>
              <w:bottom w:val="single" w:sz="8" w:space="0" w:color="auto"/>
              <w:right w:val="single" w:sz="8" w:space="0" w:color="auto"/>
            </w:tcBorders>
          </w:tcPr>
          <w:p w14:paraId="281B0558" w14:textId="58207EDE" w:rsidR="00023D1A" w:rsidRPr="00224474" w:rsidRDefault="00B25A7A" w:rsidP="4321A1A3">
            <w:pPr>
              <w:spacing w:after="0"/>
              <w:jc w:val="center"/>
              <w:rPr>
                <w:noProof/>
                <w:sz w:val="20"/>
                <w:szCs w:val="20"/>
              </w:rPr>
            </w:pPr>
            <w:r>
              <w:rPr>
                <w:noProof/>
                <w:sz w:val="20"/>
                <w:szCs w:val="20"/>
              </w:rPr>
              <w:t>--</w:t>
            </w:r>
          </w:p>
        </w:tc>
        <w:tc>
          <w:tcPr>
            <w:tcW w:w="9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E1F2ED1" w14:textId="31597226" w:rsidR="00023D1A" w:rsidRPr="00224474" w:rsidRDefault="00B25A7A" w:rsidP="4321A1A3">
            <w:pPr>
              <w:spacing w:after="0"/>
              <w:jc w:val="center"/>
              <w:rPr>
                <w:noProof/>
                <w:sz w:val="20"/>
                <w:szCs w:val="20"/>
              </w:rPr>
            </w:pPr>
            <w:r>
              <w:rPr>
                <w:noProof/>
                <w:sz w:val="20"/>
                <w:szCs w:val="20"/>
              </w:rPr>
              <w:t>--</w:t>
            </w:r>
          </w:p>
        </w:tc>
        <w:tc>
          <w:tcPr>
            <w:tcW w:w="12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D53EA02" w14:textId="3CFB6615" w:rsidR="00023D1A" w:rsidRPr="00224474" w:rsidRDefault="00B25A7A" w:rsidP="4321A1A3">
            <w:pPr>
              <w:spacing w:after="0"/>
              <w:jc w:val="center"/>
              <w:rPr>
                <w:noProof/>
                <w:sz w:val="20"/>
                <w:szCs w:val="20"/>
              </w:rPr>
            </w:pPr>
            <w:r>
              <w:rPr>
                <w:noProof/>
                <w:sz w:val="20"/>
                <w:szCs w:val="20"/>
              </w:rPr>
              <w:t>--</w:t>
            </w:r>
          </w:p>
        </w:tc>
        <w:tc>
          <w:tcPr>
            <w:tcW w:w="1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7451FA7" w14:textId="4D72D1F6" w:rsidR="00023D1A" w:rsidRPr="00224474" w:rsidRDefault="00B25A7A" w:rsidP="4321A1A3">
            <w:pPr>
              <w:spacing w:after="0"/>
              <w:jc w:val="center"/>
              <w:rPr>
                <w:noProof/>
                <w:sz w:val="20"/>
                <w:szCs w:val="20"/>
              </w:rPr>
            </w:pPr>
            <w:r>
              <w:rPr>
                <w:noProof/>
                <w:sz w:val="20"/>
                <w:szCs w:val="20"/>
              </w:rPr>
              <w:t>++</w:t>
            </w:r>
          </w:p>
        </w:tc>
      </w:tr>
      <w:tr w:rsidR="00D776D5" w14:paraId="03E68B8D" w14:textId="77777777" w:rsidTr="4321A1A3">
        <w:trPr>
          <w:trHeight w:val="300"/>
        </w:trPr>
        <w:tc>
          <w:tcPr>
            <w:tcW w:w="254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A41BC98" w14:textId="1B962D54" w:rsidR="6CDA8E4E" w:rsidRDefault="0EC022D5" w:rsidP="4321A1A3">
            <w:pPr>
              <w:spacing w:after="0" w:line="257" w:lineRule="auto"/>
              <w:rPr>
                <w:rFonts w:eastAsia="Times New Roman"/>
                <w:noProof/>
                <w:sz w:val="20"/>
                <w:szCs w:val="20"/>
              </w:rPr>
            </w:pPr>
            <w:r w:rsidRPr="4321A1A3">
              <w:rPr>
                <w:rFonts w:eastAsia="Times New Roman"/>
                <w:noProof/>
                <w:sz w:val="20"/>
                <w:szCs w:val="20"/>
              </w:rPr>
              <w:t>One-off implementation and adjustment costs</w:t>
            </w:r>
          </w:p>
        </w:tc>
        <w:tc>
          <w:tcPr>
            <w:tcW w:w="990" w:type="dxa"/>
            <w:tcBorders>
              <w:top w:val="single" w:sz="8" w:space="0" w:color="auto"/>
              <w:left w:val="single" w:sz="8" w:space="0" w:color="auto"/>
              <w:bottom w:val="single" w:sz="8" w:space="0" w:color="auto"/>
              <w:right w:val="single" w:sz="8" w:space="0" w:color="auto"/>
            </w:tcBorders>
          </w:tcPr>
          <w:p w14:paraId="1498EB05" w14:textId="4306CDB9" w:rsidR="6CDA8E4E" w:rsidRDefault="72B8C06D" w:rsidP="4321A1A3">
            <w:pPr>
              <w:spacing w:after="0"/>
              <w:jc w:val="center"/>
              <w:rPr>
                <w:noProof/>
                <w:sz w:val="20"/>
                <w:szCs w:val="20"/>
              </w:rPr>
            </w:pPr>
            <w:r w:rsidRPr="4321A1A3">
              <w:rPr>
                <w:noProof/>
                <w:sz w:val="20"/>
                <w:szCs w:val="20"/>
              </w:rPr>
              <w:t>0</w:t>
            </w:r>
          </w:p>
        </w:tc>
        <w:tc>
          <w:tcPr>
            <w:tcW w:w="1125" w:type="dxa"/>
            <w:tcBorders>
              <w:top w:val="single" w:sz="8" w:space="0" w:color="auto"/>
              <w:left w:val="single" w:sz="8" w:space="0" w:color="auto"/>
              <w:bottom w:val="single" w:sz="8" w:space="0" w:color="auto"/>
              <w:right w:val="single" w:sz="8" w:space="0" w:color="auto"/>
            </w:tcBorders>
          </w:tcPr>
          <w:p w14:paraId="28EE3CDD" w14:textId="295285C5" w:rsidR="6CDA8E4E" w:rsidRDefault="00B25A7A" w:rsidP="4321A1A3">
            <w:pPr>
              <w:spacing w:after="0"/>
              <w:jc w:val="center"/>
              <w:rPr>
                <w:noProof/>
                <w:sz w:val="20"/>
                <w:szCs w:val="20"/>
              </w:rPr>
            </w:pPr>
            <w:r>
              <w:rPr>
                <w:noProof/>
                <w:sz w:val="20"/>
                <w:szCs w:val="20"/>
              </w:rPr>
              <w:t>+</w:t>
            </w:r>
          </w:p>
        </w:tc>
        <w:tc>
          <w:tcPr>
            <w:tcW w:w="1080" w:type="dxa"/>
            <w:tcBorders>
              <w:top w:val="single" w:sz="8" w:space="0" w:color="auto"/>
              <w:left w:val="single" w:sz="8" w:space="0" w:color="auto"/>
              <w:bottom w:val="single" w:sz="8" w:space="0" w:color="auto"/>
              <w:right w:val="single" w:sz="8" w:space="0" w:color="auto"/>
            </w:tcBorders>
          </w:tcPr>
          <w:p w14:paraId="5ACFFA81" w14:textId="6686520D" w:rsidR="6CDA8E4E" w:rsidRDefault="2C4343B3" w:rsidP="4321A1A3">
            <w:pPr>
              <w:spacing w:after="0"/>
              <w:jc w:val="center"/>
              <w:rPr>
                <w:noProof/>
                <w:sz w:val="20"/>
                <w:szCs w:val="20"/>
              </w:rPr>
            </w:pPr>
            <w:r w:rsidRPr="4321A1A3">
              <w:rPr>
                <w:noProof/>
                <w:sz w:val="20"/>
                <w:szCs w:val="20"/>
              </w:rPr>
              <w:t>0</w:t>
            </w:r>
          </w:p>
        </w:tc>
        <w:tc>
          <w:tcPr>
            <w:tcW w:w="91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3B8D0A9" w14:textId="04A9D1FE" w:rsidR="6CDA8E4E" w:rsidRDefault="00B25A7A" w:rsidP="4321A1A3">
            <w:pPr>
              <w:spacing w:after="0"/>
              <w:jc w:val="center"/>
              <w:rPr>
                <w:noProof/>
                <w:sz w:val="20"/>
                <w:szCs w:val="20"/>
              </w:rPr>
            </w:pPr>
            <w:r>
              <w:rPr>
                <w:noProof/>
                <w:sz w:val="20"/>
                <w:szCs w:val="20"/>
              </w:rPr>
              <w:t>+</w:t>
            </w:r>
          </w:p>
        </w:tc>
        <w:tc>
          <w:tcPr>
            <w:tcW w:w="12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518908B" w14:textId="3FBAC7CF" w:rsidR="6CDA8E4E" w:rsidRDefault="00B25A7A" w:rsidP="4321A1A3">
            <w:pPr>
              <w:spacing w:after="0"/>
              <w:jc w:val="center"/>
              <w:rPr>
                <w:noProof/>
                <w:sz w:val="20"/>
                <w:szCs w:val="20"/>
              </w:rPr>
            </w:pPr>
            <w:r>
              <w:rPr>
                <w:noProof/>
                <w:sz w:val="20"/>
                <w:szCs w:val="20"/>
              </w:rPr>
              <w:t>++</w:t>
            </w:r>
          </w:p>
        </w:tc>
        <w:tc>
          <w:tcPr>
            <w:tcW w:w="1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9D908BB" w14:textId="5D18E25E" w:rsidR="6CDA8E4E" w:rsidRDefault="00B25A7A" w:rsidP="4321A1A3">
            <w:pPr>
              <w:spacing w:after="0"/>
              <w:jc w:val="center"/>
              <w:rPr>
                <w:noProof/>
                <w:sz w:val="20"/>
                <w:szCs w:val="20"/>
              </w:rPr>
            </w:pPr>
            <w:r>
              <w:rPr>
                <w:noProof/>
                <w:sz w:val="20"/>
                <w:szCs w:val="20"/>
              </w:rPr>
              <w:t>++</w:t>
            </w:r>
          </w:p>
        </w:tc>
      </w:tr>
    </w:tbl>
    <w:p w14:paraId="1812CB53" w14:textId="77777777" w:rsidR="00BC14EF" w:rsidRDefault="00BC14EF" w:rsidP="00BC14EF">
      <w:pPr>
        <w:pStyle w:val="Text2"/>
        <w:ind w:left="0"/>
        <w:rPr>
          <w:noProof/>
        </w:rPr>
      </w:pPr>
    </w:p>
    <w:p w14:paraId="0AE9FAD3" w14:textId="77777777" w:rsidR="00BC14EF" w:rsidRPr="00BC14EF" w:rsidRDefault="00BC14EF" w:rsidP="00BC14EF">
      <w:pPr>
        <w:rPr>
          <w:b/>
          <w:bCs/>
          <w:noProof/>
          <w:sz w:val="20"/>
          <w:szCs w:val="20"/>
          <w:u w:val="single"/>
        </w:rPr>
      </w:pPr>
      <w:r w:rsidRPr="00BC14EF">
        <w:rPr>
          <w:b/>
          <w:bCs/>
          <w:noProof/>
          <w:sz w:val="20"/>
          <w:szCs w:val="20"/>
          <w:u w:val="single"/>
        </w:rPr>
        <w:t>Total cost savings for the preferred policy measures</w:t>
      </w:r>
    </w:p>
    <w:tbl>
      <w:tblPr>
        <w:tblStyle w:val="TableGrid"/>
        <w:tblW w:w="0" w:type="auto"/>
        <w:tblLook w:val="04A0" w:firstRow="1" w:lastRow="0" w:firstColumn="1" w:lastColumn="0" w:noHBand="0" w:noVBand="1"/>
      </w:tblPr>
      <w:tblGrid>
        <w:gridCol w:w="4375"/>
        <w:gridCol w:w="4376"/>
      </w:tblGrid>
      <w:tr w:rsidR="00BC14EF" w:rsidRPr="00BC14EF" w14:paraId="5D60EF4B" w14:textId="77777777">
        <w:tc>
          <w:tcPr>
            <w:tcW w:w="4375" w:type="dxa"/>
          </w:tcPr>
          <w:p w14:paraId="4D4834E9" w14:textId="77777777" w:rsidR="00BC14EF" w:rsidRPr="00BC14EF" w:rsidRDefault="00BC14EF">
            <w:pPr>
              <w:rPr>
                <w:b/>
                <w:bCs/>
                <w:noProof/>
                <w:sz w:val="20"/>
                <w:szCs w:val="20"/>
              </w:rPr>
            </w:pPr>
            <w:r w:rsidRPr="00BC14EF">
              <w:rPr>
                <w:b/>
                <w:bCs/>
                <w:noProof/>
                <w:sz w:val="20"/>
                <w:szCs w:val="20"/>
              </w:rPr>
              <w:t>Policy Measure</w:t>
            </w:r>
          </w:p>
        </w:tc>
        <w:tc>
          <w:tcPr>
            <w:tcW w:w="4376" w:type="dxa"/>
          </w:tcPr>
          <w:p w14:paraId="6622BAB0" w14:textId="77777777" w:rsidR="00BC14EF" w:rsidRPr="00BC14EF" w:rsidRDefault="00BC14EF">
            <w:pPr>
              <w:rPr>
                <w:b/>
                <w:bCs/>
                <w:noProof/>
                <w:sz w:val="20"/>
                <w:szCs w:val="20"/>
              </w:rPr>
            </w:pPr>
            <w:r w:rsidRPr="00BC14EF">
              <w:rPr>
                <w:b/>
                <w:bCs/>
                <w:noProof/>
                <w:sz w:val="20"/>
                <w:szCs w:val="20"/>
              </w:rPr>
              <w:t>Cost Savings</w:t>
            </w:r>
          </w:p>
        </w:tc>
      </w:tr>
      <w:tr w:rsidR="00BC14EF" w:rsidRPr="00BC14EF" w14:paraId="2C962EAD" w14:textId="77777777">
        <w:tc>
          <w:tcPr>
            <w:tcW w:w="4375" w:type="dxa"/>
          </w:tcPr>
          <w:p w14:paraId="6AC8E5A9" w14:textId="77777777" w:rsidR="00BC14EF" w:rsidRPr="00BC14EF" w:rsidRDefault="00BC14EF">
            <w:pPr>
              <w:rPr>
                <w:noProof/>
                <w:sz w:val="20"/>
                <w:szCs w:val="20"/>
              </w:rPr>
            </w:pPr>
            <w:r w:rsidRPr="00BC14EF">
              <w:rPr>
                <w:noProof/>
                <w:sz w:val="20"/>
                <w:szCs w:val="20"/>
              </w:rPr>
              <w:t>Measure 1: DAC6 (PO1b)</w:t>
            </w:r>
          </w:p>
        </w:tc>
        <w:tc>
          <w:tcPr>
            <w:tcW w:w="4376" w:type="dxa"/>
          </w:tcPr>
          <w:p w14:paraId="381F874C" w14:textId="71D204FB" w:rsidR="00BC14EF" w:rsidRPr="00BC14EF" w:rsidRDefault="00E300F7">
            <w:pPr>
              <w:rPr>
                <w:noProof/>
                <w:sz w:val="20"/>
                <w:szCs w:val="20"/>
              </w:rPr>
            </w:pPr>
            <w:r w:rsidRPr="00BC14EF">
              <w:rPr>
                <w:noProof/>
                <w:sz w:val="20"/>
                <w:szCs w:val="20"/>
              </w:rPr>
              <w:t>34</w:t>
            </w:r>
            <w:r>
              <w:rPr>
                <w:noProof/>
                <w:sz w:val="20"/>
                <w:szCs w:val="20"/>
              </w:rPr>
              <w:t>1</w:t>
            </w:r>
            <w:r w:rsidRPr="00BC14EF">
              <w:rPr>
                <w:noProof/>
                <w:sz w:val="20"/>
                <w:szCs w:val="20"/>
              </w:rPr>
              <w:t xml:space="preserve"> </w:t>
            </w:r>
            <w:r w:rsidR="00BC14EF" w:rsidRPr="00BC14EF">
              <w:rPr>
                <w:noProof/>
                <w:sz w:val="20"/>
                <w:szCs w:val="20"/>
              </w:rPr>
              <w:t xml:space="preserve">million </w:t>
            </w:r>
          </w:p>
        </w:tc>
      </w:tr>
      <w:tr w:rsidR="00BC14EF" w:rsidRPr="00BC14EF" w14:paraId="49F3B818" w14:textId="77777777">
        <w:tc>
          <w:tcPr>
            <w:tcW w:w="4375" w:type="dxa"/>
          </w:tcPr>
          <w:p w14:paraId="188961F1" w14:textId="77777777" w:rsidR="00BC14EF" w:rsidRPr="00BC14EF" w:rsidRDefault="00BC14EF">
            <w:pPr>
              <w:rPr>
                <w:noProof/>
                <w:sz w:val="20"/>
                <w:szCs w:val="20"/>
              </w:rPr>
            </w:pPr>
            <w:r w:rsidRPr="00BC14EF">
              <w:rPr>
                <w:noProof/>
                <w:sz w:val="20"/>
                <w:szCs w:val="20"/>
              </w:rPr>
              <w:t>Measure 2: DAC7 (PO2b)</w:t>
            </w:r>
          </w:p>
        </w:tc>
        <w:tc>
          <w:tcPr>
            <w:tcW w:w="4376" w:type="dxa"/>
          </w:tcPr>
          <w:p w14:paraId="697F0BC7" w14:textId="2115FA4F" w:rsidR="00BC14EF" w:rsidRPr="00BC14EF" w:rsidRDefault="00017744">
            <w:pPr>
              <w:rPr>
                <w:noProof/>
                <w:sz w:val="20"/>
                <w:szCs w:val="20"/>
              </w:rPr>
            </w:pPr>
            <w:r>
              <w:rPr>
                <w:noProof/>
                <w:sz w:val="20"/>
                <w:szCs w:val="20"/>
              </w:rPr>
              <w:t>678</w:t>
            </w:r>
            <w:r w:rsidRPr="00BC14EF">
              <w:rPr>
                <w:noProof/>
                <w:sz w:val="20"/>
                <w:szCs w:val="20"/>
              </w:rPr>
              <w:t xml:space="preserve"> </w:t>
            </w:r>
            <w:r w:rsidR="00BC14EF" w:rsidRPr="00BC14EF">
              <w:rPr>
                <w:noProof/>
                <w:sz w:val="20"/>
                <w:szCs w:val="20"/>
              </w:rPr>
              <w:t xml:space="preserve">million </w:t>
            </w:r>
          </w:p>
        </w:tc>
      </w:tr>
      <w:tr w:rsidR="00BC14EF" w:rsidRPr="00BC14EF" w14:paraId="053A5659" w14:textId="77777777">
        <w:tc>
          <w:tcPr>
            <w:tcW w:w="4375" w:type="dxa"/>
          </w:tcPr>
          <w:p w14:paraId="25EA52A7" w14:textId="7AD3C198" w:rsidR="00BC14EF" w:rsidRPr="00BC14EF" w:rsidRDefault="00BC14EF">
            <w:pPr>
              <w:rPr>
                <w:noProof/>
                <w:sz w:val="20"/>
                <w:szCs w:val="20"/>
              </w:rPr>
            </w:pPr>
            <w:r w:rsidRPr="00BC14EF">
              <w:rPr>
                <w:noProof/>
                <w:sz w:val="20"/>
                <w:szCs w:val="20"/>
              </w:rPr>
              <w:t>Measure 3: DAC4/</w:t>
            </w:r>
            <w:r w:rsidR="00AB1F61">
              <w:rPr>
                <w:noProof/>
                <w:sz w:val="20"/>
                <w:szCs w:val="20"/>
              </w:rPr>
              <w:t>DAC9</w:t>
            </w:r>
            <w:r w:rsidRPr="00BC14EF">
              <w:rPr>
                <w:noProof/>
                <w:sz w:val="20"/>
                <w:szCs w:val="20"/>
              </w:rPr>
              <w:t xml:space="preserve"> (PO3b)</w:t>
            </w:r>
          </w:p>
        </w:tc>
        <w:tc>
          <w:tcPr>
            <w:tcW w:w="4376" w:type="dxa"/>
          </w:tcPr>
          <w:p w14:paraId="297193A8" w14:textId="77777777" w:rsidR="00BC14EF" w:rsidRPr="00BC14EF" w:rsidRDefault="00BC14EF">
            <w:pPr>
              <w:rPr>
                <w:noProof/>
                <w:sz w:val="20"/>
                <w:szCs w:val="20"/>
              </w:rPr>
            </w:pPr>
            <w:r w:rsidRPr="00BC14EF">
              <w:rPr>
                <w:noProof/>
                <w:sz w:val="20"/>
                <w:szCs w:val="20"/>
              </w:rPr>
              <w:t xml:space="preserve">264 million </w:t>
            </w:r>
          </w:p>
        </w:tc>
      </w:tr>
      <w:tr w:rsidR="00BC14EF" w:rsidRPr="00BC14EF" w14:paraId="0D5A394A" w14:textId="77777777">
        <w:tc>
          <w:tcPr>
            <w:tcW w:w="4375" w:type="dxa"/>
          </w:tcPr>
          <w:p w14:paraId="2A0F3E4B" w14:textId="77777777" w:rsidR="00BC14EF" w:rsidRPr="00BC14EF" w:rsidRDefault="00BC14EF">
            <w:pPr>
              <w:rPr>
                <w:b/>
                <w:bCs/>
                <w:noProof/>
                <w:sz w:val="20"/>
                <w:szCs w:val="20"/>
              </w:rPr>
            </w:pPr>
            <w:r w:rsidRPr="00BC14EF">
              <w:rPr>
                <w:b/>
                <w:bCs/>
                <w:noProof/>
                <w:sz w:val="20"/>
                <w:szCs w:val="20"/>
              </w:rPr>
              <w:t>Total Savings</w:t>
            </w:r>
          </w:p>
        </w:tc>
        <w:tc>
          <w:tcPr>
            <w:tcW w:w="4376" w:type="dxa"/>
          </w:tcPr>
          <w:p w14:paraId="25D5924C" w14:textId="283FD5F9" w:rsidR="00BC14EF" w:rsidRPr="00BC14EF" w:rsidRDefault="00BC14EF">
            <w:pPr>
              <w:rPr>
                <w:noProof/>
                <w:sz w:val="20"/>
                <w:szCs w:val="20"/>
              </w:rPr>
            </w:pPr>
            <w:r w:rsidRPr="00BC14EF">
              <w:rPr>
                <w:b/>
                <w:bCs/>
                <w:noProof/>
                <w:sz w:val="20"/>
                <w:szCs w:val="20"/>
              </w:rPr>
              <w:t>1,</w:t>
            </w:r>
            <w:r w:rsidR="00017744">
              <w:rPr>
                <w:b/>
                <w:bCs/>
                <w:noProof/>
                <w:sz w:val="20"/>
                <w:szCs w:val="20"/>
              </w:rPr>
              <w:t>283</w:t>
            </w:r>
            <w:r w:rsidRPr="00BC14EF">
              <w:rPr>
                <w:b/>
                <w:bCs/>
                <w:noProof/>
                <w:sz w:val="20"/>
                <w:szCs w:val="20"/>
              </w:rPr>
              <w:t>,000,</w:t>
            </w:r>
            <w:r w:rsidR="00017744" w:rsidRPr="00BC14EF">
              <w:rPr>
                <w:b/>
                <w:bCs/>
                <w:noProof/>
                <w:sz w:val="20"/>
                <w:szCs w:val="20"/>
              </w:rPr>
              <w:t>0</w:t>
            </w:r>
            <w:r w:rsidR="00017744">
              <w:rPr>
                <w:b/>
                <w:bCs/>
                <w:noProof/>
                <w:sz w:val="20"/>
                <w:szCs w:val="20"/>
              </w:rPr>
              <w:t>00</w:t>
            </w:r>
            <w:r w:rsidR="00017744" w:rsidRPr="00BC14EF">
              <w:rPr>
                <w:b/>
                <w:bCs/>
                <w:noProof/>
                <w:sz w:val="20"/>
                <w:szCs w:val="20"/>
              </w:rPr>
              <w:t xml:space="preserve"> </w:t>
            </w:r>
            <w:r w:rsidRPr="00BC14EF">
              <w:rPr>
                <w:b/>
                <w:bCs/>
                <w:noProof/>
                <w:sz w:val="20"/>
                <w:szCs w:val="20"/>
              </w:rPr>
              <w:t xml:space="preserve">— One billion </w:t>
            </w:r>
            <w:r w:rsidR="00017744">
              <w:rPr>
                <w:b/>
                <w:bCs/>
                <w:noProof/>
                <w:sz w:val="20"/>
                <w:szCs w:val="20"/>
              </w:rPr>
              <w:t xml:space="preserve">two hundred </w:t>
            </w:r>
            <w:r w:rsidR="00A47FA5">
              <w:rPr>
                <w:b/>
                <w:bCs/>
                <w:noProof/>
                <w:sz w:val="20"/>
                <w:szCs w:val="20"/>
              </w:rPr>
              <w:t>eighty-three thousand</w:t>
            </w:r>
          </w:p>
        </w:tc>
      </w:tr>
    </w:tbl>
    <w:p w14:paraId="6C18B523" w14:textId="77777777" w:rsidR="00BC14EF" w:rsidRPr="00BC14EF" w:rsidRDefault="00BC14EF" w:rsidP="00BC14EF">
      <w:pPr>
        <w:pStyle w:val="Text2"/>
        <w:ind w:left="0"/>
        <w:rPr>
          <w:noProof/>
        </w:rPr>
      </w:pPr>
    </w:p>
    <w:p w14:paraId="4C257CEE" w14:textId="421A66A2" w:rsidR="006B087E" w:rsidRPr="00F92EAE" w:rsidRDefault="006B087E" w:rsidP="00B02E69">
      <w:pPr>
        <w:pStyle w:val="Heading2"/>
        <w:numPr>
          <w:ilvl w:val="1"/>
          <w:numId w:val="29"/>
        </w:numPr>
        <w:rPr>
          <w:noProof/>
        </w:rPr>
      </w:pPr>
      <w:bookmarkStart w:id="35" w:name="_Toc231816720"/>
      <w:r>
        <w:rPr>
          <w:noProof/>
        </w:rPr>
        <w:t>REFIT (simplification and improved efficiency)</w:t>
      </w:r>
      <w:bookmarkEnd w:id="35"/>
    </w:p>
    <w:p w14:paraId="2EA318E4" w14:textId="5F4D6EF4" w:rsidR="0B757691" w:rsidRDefault="29D042EA" w:rsidP="3A123E5D">
      <w:pPr>
        <w:pStyle w:val="Text2"/>
        <w:ind w:left="0"/>
        <w:rPr>
          <w:noProof/>
        </w:rPr>
      </w:pPr>
      <w:r>
        <w:rPr>
          <w:noProof/>
        </w:rPr>
        <w:t xml:space="preserve">The preferred policy package contributes to the simplification objectives of the Union and supports the REFIT programme by reducing unnecessary administrative burdens while </w:t>
      </w:r>
      <w:r w:rsidR="11C420B1">
        <w:rPr>
          <w:noProof/>
        </w:rPr>
        <w:t>improving</w:t>
      </w:r>
      <w:r>
        <w:rPr>
          <w:noProof/>
        </w:rPr>
        <w:t xml:space="preserve"> the effectiveness of the administrative cooperation framework. </w:t>
      </w:r>
      <w:r w:rsidR="71378415">
        <w:rPr>
          <w:noProof/>
        </w:rPr>
        <w:t>These</w:t>
      </w:r>
      <w:r>
        <w:rPr>
          <w:noProof/>
        </w:rPr>
        <w:t xml:space="preserve"> measures directly </w:t>
      </w:r>
      <w:r w:rsidR="24E7F431">
        <w:rPr>
          <w:noProof/>
        </w:rPr>
        <w:t>simplify</w:t>
      </w:r>
      <w:r>
        <w:rPr>
          <w:noProof/>
        </w:rPr>
        <w:t xml:space="preserve"> existing reporting obligations and remove duplicative procedures. In particular, the removal of certain DAC6 hallmarks and the exclusion of </w:t>
      </w:r>
      <w:r w:rsidR="5DB13635">
        <w:rPr>
          <w:noProof/>
        </w:rPr>
        <w:t xml:space="preserve">MNE </w:t>
      </w:r>
      <w:r w:rsidR="00F64132">
        <w:rPr>
          <w:noProof/>
        </w:rPr>
        <w:t>groups subject</w:t>
      </w:r>
      <w:r>
        <w:rPr>
          <w:noProof/>
        </w:rPr>
        <w:t xml:space="preserve"> to the Pillar </w:t>
      </w:r>
      <w:r w:rsidR="13826F47">
        <w:rPr>
          <w:noProof/>
        </w:rPr>
        <w:t xml:space="preserve">2 Directive </w:t>
      </w:r>
      <w:r>
        <w:rPr>
          <w:noProof/>
        </w:rPr>
        <w:t>re</w:t>
      </w:r>
      <w:r w:rsidR="4E0AE640">
        <w:rPr>
          <w:noProof/>
        </w:rPr>
        <w:t>move</w:t>
      </w:r>
      <w:r>
        <w:rPr>
          <w:noProof/>
        </w:rPr>
        <w:t xml:space="preserve"> reporting </w:t>
      </w:r>
      <w:r w:rsidR="3549C13A">
        <w:rPr>
          <w:noProof/>
        </w:rPr>
        <w:t>requirements</w:t>
      </w:r>
      <w:r>
        <w:rPr>
          <w:noProof/>
        </w:rPr>
        <w:t xml:space="preserve"> that generate limited operational value for tax administrations. Similarly, the simplification of DAC7 reporting thresholds reduces the volume of reports associated with low-value transactions, while the introduction of centralised notifications for </w:t>
      </w:r>
      <w:r w:rsidR="57B89D82">
        <w:rPr>
          <w:noProof/>
        </w:rPr>
        <w:t xml:space="preserve">the purposes of </w:t>
      </w:r>
      <w:r>
        <w:rPr>
          <w:noProof/>
        </w:rPr>
        <w:t xml:space="preserve">DAC4 and </w:t>
      </w:r>
      <w:r w:rsidR="00AB1F61">
        <w:rPr>
          <w:noProof/>
        </w:rPr>
        <w:t>DAC9</w:t>
      </w:r>
      <w:r w:rsidR="4FDDC480">
        <w:rPr>
          <w:noProof/>
        </w:rPr>
        <w:t xml:space="preserve"> </w:t>
      </w:r>
      <w:r>
        <w:rPr>
          <w:noProof/>
        </w:rPr>
        <w:t xml:space="preserve">eliminates </w:t>
      </w:r>
      <w:r w:rsidR="7F2166AA">
        <w:rPr>
          <w:noProof/>
        </w:rPr>
        <w:t>the current</w:t>
      </w:r>
      <w:r>
        <w:rPr>
          <w:noProof/>
        </w:rPr>
        <w:t xml:space="preserve"> duplicative notification obligations for MNE </w:t>
      </w:r>
      <w:r w:rsidR="0234A86F">
        <w:rPr>
          <w:noProof/>
        </w:rPr>
        <w:t>g</w:t>
      </w:r>
      <w:r>
        <w:rPr>
          <w:noProof/>
        </w:rPr>
        <w:t xml:space="preserve">roups. </w:t>
      </w:r>
      <w:r w:rsidR="7653D2AA">
        <w:rPr>
          <w:noProof/>
        </w:rPr>
        <w:t xml:space="preserve">Simultaneously the introduction of a new </w:t>
      </w:r>
      <w:r w:rsidR="17F41A0B">
        <w:rPr>
          <w:noProof/>
        </w:rPr>
        <w:t xml:space="preserve">verification system for TINs combined with improvements in the completeness of the DAC1 </w:t>
      </w:r>
      <w:r w:rsidR="279AFBC3">
        <w:rPr>
          <w:noProof/>
        </w:rPr>
        <w:t xml:space="preserve">framework improve the efficiency of the DAC. </w:t>
      </w:r>
      <w:r>
        <w:rPr>
          <w:noProof/>
        </w:rPr>
        <w:t xml:space="preserve">Together, these measures simplify compliance procedures for </w:t>
      </w:r>
      <w:r w:rsidR="66EA3DDD">
        <w:rPr>
          <w:noProof/>
        </w:rPr>
        <w:t>EU businesses and SME’s</w:t>
      </w:r>
      <w:r>
        <w:rPr>
          <w:noProof/>
        </w:rPr>
        <w:t xml:space="preserve"> </w:t>
      </w:r>
      <w:r w:rsidR="32F442CC">
        <w:rPr>
          <w:noProof/>
        </w:rPr>
        <w:t>and</w:t>
      </w:r>
      <w:r w:rsidR="55E5C67F">
        <w:rPr>
          <w:noProof/>
        </w:rPr>
        <w:t xml:space="preserve"> improv</w:t>
      </w:r>
      <w:r w:rsidR="1B50C88B">
        <w:rPr>
          <w:noProof/>
        </w:rPr>
        <w:t>e</w:t>
      </w:r>
      <w:r w:rsidR="55E5C67F">
        <w:rPr>
          <w:noProof/>
        </w:rPr>
        <w:t xml:space="preserve"> </w:t>
      </w:r>
      <w:r w:rsidR="5C301FE8">
        <w:rPr>
          <w:noProof/>
        </w:rPr>
        <w:t>the quality</w:t>
      </w:r>
      <w:r w:rsidR="39846059">
        <w:rPr>
          <w:noProof/>
        </w:rPr>
        <w:t xml:space="preserve">, completeness and </w:t>
      </w:r>
      <w:r w:rsidR="180FA3B2">
        <w:rPr>
          <w:noProof/>
        </w:rPr>
        <w:t>use</w:t>
      </w:r>
      <w:r>
        <w:rPr>
          <w:noProof/>
        </w:rPr>
        <w:t xml:space="preserve"> of exchanged information </w:t>
      </w:r>
      <w:r w:rsidR="3553526C">
        <w:rPr>
          <w:noProof/>
        </w:rPr>
        <w:t>by</w:t>
      </w:r>
      <w:r>
        <w:rPr>
          <w:noProof/>
        </w:rPr>
        <w:t xml:space="preserve"> tax administrations.</w:t>
      </w:r>
      <w:r w:rsidR="7A1EF3AB">
        <w:rPr>
          <w:noProof/>
        </w:rPr>
        <w:t xml:space="preserve"> </w:t>
      </w:r>
    </w:p>
    <w:p w14:paraId="5536916C" w14:textId="4877EE20" w:rsidR="009409F1" w:rsidRPr="00F92EAE" w:rsidRDefault="00B02E69" w:rsidP="00B02E69">
      <w:pPr>
        <w:pStyle w:val="Heading2"/>
        <w:numPr>
          <w:ilvl w:val="0"/>
          <w:numId w:val="0"/>
        </w:numPr>
        <w:rPr>
          <w:noProof/>
        </w:rPr>
      </w:pPr>
      <w:bookmarkStart w:id="36" w:name="_Toc231816721"/>
      <w:r>
        <w:rPr>
          <w:noProof/>
        </w:rPr>
        <w:t>8.4</w:t>
      </w:r>
      <w:r w:rsidR="00BC14EF">
        <w:rPr>
          <w:noProof/>
        </w:rPr>
        <w:tab/>
      </w:r>
      <w:r w:rsidR="009409F1">
        <w:rPr>
          <w:noProof/>
        </w:rPr>
        <w:t>Application of the ‘one in, one out’ approach</w:t>
      </w:r>
      <w:bookmarkEnd w:id="36"/>
    </w:p>
    <w:p w14:paraId="2975C9B5" w14:textId="08D66341" w:rsidR="006B087E" w:rsidRPr="00F92EAE" w:rsidRDefault="28BAF192" w:rsidP="00AB1F61">
      <w:pPr>
        <w:tabs>
          <w:tab w:val="left" w:pos="1134"/>
        </w:tabs>
        <w:rPr>
          <w:rFonts w:eastAsia="Times New Roman"/>
          <w:noProof/>
        </w:rPr>
      </w:pPr>
      <w:r w:rsidRPr="4321A1A3">
        <w:rPr>
          <w:rFonts w:eastAsia="Times New Roman"/>
          <w:noProof/>
        </w:rPr>
        <w:t xml:space="preserve">The </w:t>
      </w:r>
      <w:r w:rsidR="23384A45" w:rsidRPr="4321A1A3">
        <w:rPr>
          <w:rFonts w:eastAsia="Times New Roman"/>
          <w:noProof/>
        </w:rPr>
        <w:t xml:space="preserve">simplification </w:t>
      </w:r>
      <w:r w:rsidRPr="4321A1A3">
        <w:rPr>
          <w:rFonts w:eastAsia="Times New Roman"/>
          <w:noProof/>
        </w:rPr>
        <w:t xml:space="preserve">initiative generates significant reductions </w:t>
      </w:r>
      <w:r w:rsidR="2501AE66" w:rsidRPr="4321A1A3">
        <w:rPr>
          <w:rFonts w:eastAsia="Times New Roman"/>
          <w:noProof/>
        </w:rPr>
        <w:t>in reporting volumes</w:t>
      </w:r>
      <w:r w:rsidR="276D8EF4" w:rsidRPr="4321A1A3">
        <w:rPr>
          <w:rFonts w:eastAsia="Times New Roman"/>
          <w:noProof/>
        </w:rPr>
        <w:t xml:space="preserve"> and</w:t>
      </w:r>
      <w:r w:rsidR="2501AE66" w:rsidRPr="4321A1A3">
        <w:rPr>
          <w:rFonts w:eastAsia="Times New Roman"/>
          <w:noProof/>
        </w:rPr>
        <w:t xml:space="preserve"> notification obligations </w:t>
      </w:r>
      <w:r w:rsidRPr="4321A1A3">
        <w:rPr>
          <w:rFonts w:eastAsia="Times New Roman"/>
          <w:noProof/>
        </w:rPr>
        <w:t xml:space="preserve">for </w:t>
      </w:r>
      <w:r w:rsidR="26D54ADB" w:rsidRPr="4321A1A3">
        <w:rPr>
          <w:rFonts w:eastAsia="Times New Roman"/>
          <w:noProof/>
        </w:rPr>
        <w:t>EU</w:t>
      </w:r>
      <w:r w:rsidRPr="4321A1A3">
        <w:rPr>
          <w:rFonts w:eastAsia="Times New Roman"/>
          <w:noProof/>
        </w:rPr>
        <w:t xml:space="preserve"> businesses and </w:t>
      </w:r>
      <w:r w:rsidR="29A393B5" w:rsidRPr="4321A1A3">
        <w:rPr>
          <w:rFonts w:eastAsia="Times New Roman"/>
          <w:noProof/>
        </w:rPr>
        <w:t>SMEs</w:t>
      </w:r>
      <w:r w:rsidR="26D54ADB" w:rsidRPr="4321A1A3">
        <w:rPr>
          <w:rFonts w:eastAsia="Times New Roman"/>
          <w:noProof/>
        </w:rPr>
        <w:t>.</w:t>
      </w:r>
      <w:r w:rsidRPr="4321A1A3">
        <w:rPr>
          <w:rFonts w:eastAsia="Times New Roman"/>
          <w:noProof/>
        </w:rPr>
        <w:t xml:space="preserve"> Based </w:t>
      </w:r>
      <w:r w:rsidR="3BE02A25" w:rsidRPr="4321A1A3">
        <w:rPr>
          <w:rFonts w:eastAsia="Times New Roman"/>
          <w:noProof/>
        </w:rPr>
        <w:t>up</w:t>
      </w:r>
      <w:r w:rsidRPr="4321A1A3">
        <w:rPr>
          <w:rFonts w:eastAsia="Times New Roman"/>
          <w:noProof/>
        </w:rPr>
        <w:t>on the estimates presented in Chapter 6, the preferred options are expected to generate substantial compliance cost savings</w:t>
      </w:r>
      <w:r w:rsidR="51E55A65" w:rsidRPr="4321A1A3">
        <w:rPr>
          <w:rFonts w:eastAsia="Times New Roman"/>
          <w:noProof/>
        </w:rPr>
        <w:t xml:space="preserve"> and consequential reductions in administrative burden for EU businesses and </w:t>
      </w:r>
      <w:r w:rsidR="1AA79E3A" w:rsidRPr="4321A1A3">
        <w:rPr>
          <w:rFonts w:eastAsia="Times New Roman"/>
          <w:noProof/>
        </w:rPr>
        <w:t>SMEs</w:t>
      </w:r>
      <w:r w:rsidR="386E011B" w:rsidRPr="4321A1A3">
        <w:rPr>
          <w:rFonts w:eastAsia="Times New Roman"/>
          <w:noProof/>
        </w:rPr>
        <w:t xml:space="preserve">. These compliance costs savings </w:t>
      </w:r>
      <w:r w:rsidR="5AB74342" w:rsidRPr="4321A1A3">
        <w:rPr>
          <w:rFonts w:eastAsia="Times New Roman"/>
          <w:noProof/>
        </w:rPr>
        <w:t>will be</w:t>
      </w:r>
      <w:r w:rsidRPr="4321A1A3">
        <w:rPr>
          <w:rFonts w:eastAsia="Times New Roman"/>
          <w:noProof/>
        </w:rPr>
        <w:t xml:space="preserve"> primarily </w:t>
      </w:r>
      <w:r w:rsidR="5AB74342" w:rsidRPr="4321A1A3">
        <w:rPr>
          <w:rFonts w:eastAsia="Times New Roman"/>
          <w:noProof/>
        </w:rPr>
        <w:t xml:space="preserve">achieved </w:t>
      </w:r>
      <w:r w:rsidR="40B65BB0" w:rsidRPr="4321A1A3">
        <w:rPr>
          <w:rFonts w:eastAsia="Times New Roman"/>
          <w:noProof/>
        </w:rPr>
        <w:t>via</w:t>
      </w:r>
      <w:r w:rsidRPr="4321A1A3">
        <w:rPr>
          <w:rFonts w:eastAsia="Times New Roman"/>
          <w:noProof/>
        </w:rPr>
        <w:t xml:space="preserve"> the simplification of </w:t>
      </w:r>
      <w:r w:rsidR="40B65BB0" w:rsidRPr="4321A1A3">
        <w:rPr>
          <w:rFonts w:eastAsia="Times New Roman"/>
          <w:noProof/>
        </w:rPr>
        <w:t xml:space="preserve">certain </w:t>
      </w:r>
      <w:r w:rsidRPr="4321A1A3">
        <w:rPr>
          <w:rFonts w:eastAsia="Times New Roman"/>
          <w:noProof/>
        </w:rPr>
        <w:t xml:space="preserve">DAC6 reporting </w:t>
      </w:r>
      <w:r w:rsidR="40B65BB0" w:rsidRPr="4321A1A3">
        <w:rPr>
          <w:rFonts w:eastAsia="Times New Roman"/>
          <w:noProof/>
        </w:rPr>
        <w:t>requirements</w:t>
      </w:r>
      <w:r w:rsidR="51AD69CF" w:rsidRPr="4321A1A3">
        <w:rPr>
          <w:rFonts w:eastAsia="Times New Roman"/>
          <w:noProof/>
        </w:rPr>
        <w:t xml:space="preserve"> for example</w:t>
      </w:r>
      <w:r w:rsidRPr="4321A1A3">
        <w:rPr>
          <w:rFonts w:eastAsia="Times New Roman"/>
          <w:noProof/>
        </w:rPr>
        <w:t xml:space="preserve"> the exclusion of </w:t>
      </w:r>
      <w:r w:rsidR="51AD69CF" w:rsidRPr="4321A1A3">
        <w:rPr>
          <w:rFonts w:eastAsia="Times New Roman"/>
          <w:noProof/>
        </w:rPr>
        <w:t xml:space="preserve">MNE </w:t>
      </w:r>
      <w:r w:rsidR="00F64132" w:rsidRPr="4321A1A3">
        <w:rPr>
          <w:rFonts w:eastAsia="Times New Roman"/>
          <w:noProof/>
        </w:rPr>
        <w:t>groups within</w:t>
      </w:r>
      <w:r w:rsidRPr="4321A1A3">
        <w:rPr>
          <w:rFonts w:eastAsia="Times New Roman"/>
          <w:noProof/>
        </w:rPr>
        <w:t xml:space="preserve"> the scope of the </w:t>
      </w:r>
      <w:r w:rsidR="3F38FCDB" w:rsidRPr="4321A1A3">
        <w:rPr>
          <w:rFonts w:eastAsia="Times New Roman"/>
          <w:noProof/>
        </w:rPr>
        <w:t xml:space="preserve">Pillar 2 Directive </w:t>
      </w:r>
      <w:r w:rsidRPr="4321A1A3">
        <w:rPr>
          <w:rFonts w:eastAsia="Times New Roman"/>
          <w:noProof/>
        </w:rPr>
        <w:t xml:space="preserve">is estimated to </w:t>
      </w:r>
      <w:r w:rsidR="75E30FF6" w:rsidRPr="4321A1A3">
        <w:rPr>
          <w:rFonts w:eastAsia="Times New Roman"/>
          <w:noProof/>
        </w:rPr>
        <w:t>achieve compliance cost savings of</w:t>
      </w:r>
      <w:r w:rsidRPr="4321A1A3">
        <w:rPr>
          <w:rFonts w:eastAsia="Times New Roman"/>
          <w:noProof/>
        </w:rPr>
        <w:t xml:space="preserve"> approximately EUR 263 million per year. </w:t>
      </w:r>
      <w:r w:rsidR="75E30FF6" w:rsidRPr="4321A1A3">
        <w:rPr>
          <w:rFonts w:eastAsia="Times New Roman"/>
          <w:noProof/>
        </w:rPr>
        <w:t xml:space="preserve">Additional cost savings will be achieved from the simplification of the DAC7 framework by increasing the reporting threshold for activities involving the sale of goods and </w:t>
      </w:r>
      <w:r w:rsidR="29EA712A" w:rsidRPr="4321A1A3">
        <w:rPr>
          <w:rFonts w:eastAsia="Times New Roman"/>
          <w:noProof/>
        </w:rPr>
        <w:t xml:space="preserve">by simplifying and streamlining </w:t>
      </w:r>
      <w:r w:rsidRPr="4321A1A3">
        <w:rPr>
          <w:rFonts w:eastAsia="Times New Roman"/>
          <w:noProof/>
        </w:rPr>
        <w:t>the notification obligations under DAC4</w:t>
      </w:r>
      <w:r w:rsidR="1FC2FFE0" w:rsidRPr="4321A1A3">
        <w:rPr>
          <w:rFonts w:eastAsia="Times New Roman"/>
          <w:noProof/>
        </w:rPr>
        <w:t>/</w:t>
      </w:r>
      <w:r w:rsidR="00AB1F61">
        <w:rPr>
          <w:rFonts w:eastAsia="Times New Roman"/>
          <w:noProof/>
        </w:rPr>
        <w:t>DAC9</w:t>
      </w:r>
      <w:r w:rsidR="1FC2FFE0" w:rsidRPr="4321A1A3">
        <w:rPr>
          <w:rFonts w:eastAsia="Times New Roman"/>
          <w:noProof/>
        </w:rPr>
        <w:t>.</w:t>
      </w:r>
      <w:r w:rsidRPr="4321A1A3">
        <w:rPr>
          <w:rFonts w:eastAsia="Times New Roman"/>
          <w:noProof/>
        </w:rPr>
        <w:t xml:space="preserve"> Overall, the initiative results in a significant net reduction in administrative burden for </w:t>
      </w:r>
      <w:r w:rsidR="7A1B7ECE" w:rsidRPr="4321A1A3">
        <w:rPr>
          <w:rFonts w:eastAsia="Times New Roman"/>
          <w:noProof/>
        </w:rPr>
        <w:t xml:space="preserve">EU </w:t>
      </w:r>
      <w:r w:rsidRPr="4321A1A3">
        <w:rPr>
          <w:rFonts w:eastAsia="Times New Roman"/>
          <w:noProof/>
        </w:rPr>
        <w:t xml:space="preserve">businesses </w:t>
      </w:r>
      <w:r w:rsidR="750E81AA" w:rsidRPr="4321A1A3">
        <w:rPr>
          <w:rFonts w:eastAsia="Times New Roman"/>
          <w:noProof/>
        </w:rPr>
        <w:t xml:space="preserve">and </w:t>
      </w:r>
      <w:r w:rsidR="77078628" w:rsidRPr="4321A1A3">
        <w:rPr>
          <w:rFonts w:eastAsia="Times New Roman"/>
          <w:noProof/>
        </w:rPr>
        <w:t>SMEs</w:t>
      </w:r>
      <w:r w:rsidRPr="4321A1A3">
        <w:rPr>
          <w:rFonts w:eastAsia="Times New Roman"/>
          <w:noProof/>
        </w:rPr>
        <w:t xml:space="preserve"> in line with the Commission’s ‘one-in, one-out’ approach.</w:t>
      </w:r>
    </w:p>
    <w:p w14:paraId="26C7E6B1" w14:textId="77777777" w:rsidR="006B087E" w:rsidRPr="00F92EAE" w:rsidRDefault="006B087E" w:rsidP="0059106A">
      <w:pPr>
        <w:pStyle w:val="Heading1"/>
        <w:numPr>
          <w:ilvl w:val="0"/>
          <w:numId w:val="13"/>
        </w:numPr>
        <w:rPr>
          <w:noProof/>
        </w:rPr>
      </w:pPr>
      <w:bookmarkStart w:id="37" w:name="_Toc231816722"/>
      <w:r>
        <w:rPr>
          <w:noProof/>
        </w:rPr>
        <w:t>How will actual impacts be monitored and evaluated?</w:t>
      </w:r>
      <w:bookmarkEnd w:id="37"/>
    </w:p>
    <w:p w14:paraId="4A5D7E2A" w14:textId="1D41DDA7" w:rsidR="009E2815" w:rsidRDefault="78C99EBA">
      <w:pPr>
        <w:spacing w:after="160" w:line="257" w:lineRule="auto"/>
        <w:rPr>
          <w:rFonts w:eastAsia="Times New Roman"/>
          <w:noProof/>
        </w:rPr>
      </w:pPr>
      <w:r w:rsidRPr="4321A1A3">
        <w:rPr>
          <w:rFonts w:eastAsia="Times New Roman"/>
          <w:noProof/>
        </w:rPr>
        <w:t>The actual</w:t>
      </w:r>
      <w:r w:rsidR="257E458E" w:rsidRPr="4321A1A3">
        <w:rPr>
          <w:rFonts w:eastAsia="Times New Roman"/>
          <w:noProof/>
        </w:rPr>
        <w:t xml:space="preserve"> impacts of these measures will be monitored and evaluated by the Commission </w:t>
      </w:r>
      <w:r w:rsidR="72981BF9" w:rsidRPr="4321A1A3">
        <w:rPr>
          <w:rFonts w:eastAsia="Times New Roman"/>
          <w:noProof/>
        </w:rPr>
        <w:t xml:space="preserve">services </w:t>
      </w:r>
      <w:r w:rsidR="257E458E" w:rsidRPr="4321A1A3">
        <w:rPr>
          <w:rFonts w:eastAsia="Times New Roman"/>
          <w:noProof/>
        </w:rPr>
        <w:t>in close cooperation with the Member States.</w:t>
      </w:r>
      <w:r w:rsidR="0F1DD8FF" w:rsidRPr="4321A1A3">
        <w:rPr>
          <w:rFonts w:eastAsia="Times New Roman"/>
          <w:noProof/>
        </w:rPr>
        <w:t xml:space="preserve"> </w:t>
      </w:r>
      <w:r w:rsidR="6C35E4B0" w:rsidRPr="3A123E5D">
        <w:rPr>
          <w:rFonts w:eastAsia="Times New Roman"/>
          <w:noProof/>
        </w:rPr>
        <w:t xml:space="preserve">The monitoring framework will assess whether the initiative </w:t>
      </w:r>
      <w:r w:rsidR="061CD3B1" w:rsidRPr="3F5C6E81">
        <w:rPr>
          <w:rFonts w:eastAsia="Times New Roman"/>
          <w:noProof/>
        </w:rPr>
        <w:t xml:space="preserve">is achieving </w:t>
      </w:r>
      <w:r w:rsidR="061CD3B1" w:rsidRPr="5A65A169">
        <w:rPr>
          <w:rFonts w:eastAsia="Times New Roman"/>
          <w:noProof/>
        </w:rPr>
        <w:t>its specific objectives</w:t>
      </w:r>
      <w:r w:rsidR="79A0601E" w:rsidRPr="398374E8">
        <w:rPr>
          <w:rFonts w:eastAsia="Times New Roman"/>
          <w:noProof/>
        </w:rPr>
        <w:t>,</w:t>
      </w:r>
      <w:r w:rsidR="79A0601E" w:rsidRPr="5846415C">
        <w:rPr>
          <w:rFonts w:eastAsia="Times New Roman"/>
          <w:noProof/>
        </w:rPr>
        <w:t xml:space="preserve"> namely,</w:t>
      </w:r>
      <w:r w:rsidR="061CD3B1" w:rsidRPr="5A65A169">
        <w:rPr>
          <w:rFonts w:eastAsia="Times New Roman"/>
          <w:noProof/>
        </w:rPr>
        <w:t xml:space="preserve"> </w:t>
      </w:r>
      <w:r w:rsidR="061CD3B1" w:rsidRPr="5E2EB23D">
        <w:rPr>
          <w:rFonts w:eastAsia="Times New Roman"/>
          <w:noProof/>
        </w:rPr>
        <w:t xml:space="preserve">reducing complexity and </w:t>
      </w:r>
      <w:r w:rsidR="061CD3B1" w:rsidRPr="6EF53ED0">
        <w:rPr>
          <w:rFonts w:eastAsia="Times New Roman"/>
          <w:noProof/>
        </w:rPr>
        <w:t xml:space="preserve">improving legal certainty, </w:t>
      </w:r>
      <w:r w:rsidR="061CD3B1" w:rsidRPr="236CEB62">
        <w:rPr>
          <w:rFonts w:eastAsia="Times New Roman"/>
          <w:noProof/>
        </w:rPr>
        <w:t xml:space="preserve">ensuring that reporting </w:t>
      </w:r>
      <w:r w:rsidR="061CD3B1" w:rsidRPr="46878677">
        <w:rPr>
          <w:rFonts w:eastAsia="Times New Roman"/>
          <w:noProof/>
        </w:rPr>
        <w:t xml:space="preserve">and notification obligations </w:t>
      </w:r>
      <w:r w:rsidR="061CD3B1" w:rsidRPr="772FB348">
        <w:rPr>
          <w:rFonts w:eastAsia="Times New Roman"/>
          <w:noProof/>
        </w:rPr>
        <w:t xml:space="preserve">are </w:t>
      </w:r>
      <w:r w:rsidR="061CD3B1" w:rsidRPr="0F3AE34D">
        <w:rPr>
          <w:rFonts w:eastAsia="Times New Roman"/>
          <w:noProof/>
        </w:rPr>
        <w:t xml:space="preserve">proportionate and better </w:t>
      </w:r>
      <w:r w:rsidR="061CD3B1" w:rsidRPr="331360A9">
        <w:rPr>
          <w:rFonts w:eastAsia="Times New Roman"/>
          <w:noProof/>
        </w:rPr>
        <w:t>targeted whi</w:t>
      </w:r>
      <w:r w:rsidR="7FC39A1B" w:rsidRPr="331360A9">
        <w:rPr>
          <w:rFonts w:eastAsia="Times New Roman"/>
          <w:noProof/>
        </w:rPr>
        <w:t xml:space="preserve">le </w:t>
      </w:r>
      <w:r w:rsidR="7FC39A1B" w:rsidRPr="7A59C0D3">
        <w:rPr>
          <w:rFonts w:eastAsia="Times New Roman"/>
          <w:noProof/>
        </w:rPr>
        <w:t>preservin</w:t>
      </w:r>
      <w:r w:rsidR="3B15D792" w:rsidRPr="7A59C0D3">
        <w:rPr>
          <w:rFonts w:eastAsia="Times New Roman"/>
          <w:noProof/>
        </w:rPr>
        <w:t>g the</w:t>
      </w:r>
      <w:r w:rsidR="7FC39A1B" w:rsidRPr="7BBEE187">
        <w:rPr>
          <w:rFonts w:eastAsia="Times New Roman"/>
          <w:noProof/>
        </w:rPr>
        <w:t xml:space="preserve"> policy </w:t>
      </w:r>
      <w:r w:rsidR="7FC39A1B" w:rsidRPr="6824360D">
        <w:rPr>
          <w:rFonts w:eastAsia="Times New Roman"/>
          <w:noProof/>
        </w:rPr>
        <w:t xml:space="preserve">objectives and </w:t>
      </w:r>
      <w:r w:rsidR="76C4D865" w:rsidRPr="4371D4D1">
        <w:rPr>
          <w:rFonts w:eastAsia="Times New Roman"/>
          <w:noProof/>
        </w:rPr>
        <w:t xml:space="preserve">improving the </w:t>
      </w:r>
      <w:r w:rsidR="76C4D865" w:rsidRPr="5DBA1977">
        <w:rPr>
          <w:rFonts w:eastAsia="Times New Roman"/>
          <w:noProof/>
        </w:rPr>
        <w:t xml:space="preserve">effectiveness and use </w:t>
      </w:r>
      <w:r w:rsidR="76C4D865" w:rsidRPr="78DF515C">
        <w:rPr>
          <w:rFonts w:eastAsia="Times New Roman"/>
          <w:noProof/>
        </w:rPr>
        <w:t>of exchanged information.</w:t>
      </w:r>
      <w:r w:rsidR="76C4D865" w:rsidRPr="7297C1A9">
        <w:rPr>
          <w:rFonts w:eastAsia="Times New Roman"/>
          <w:noProof/>
        </w:rPr>
        <w:t xml:space="preserve"> </w:t>
      </w:r>
      <w:r w:rsidR="00AD360C" w:rsidRPr="00AD360C">
        <w:rPr>
          <w:rFonts w:eastAsia="Times New Roman"/>
          <w:noProof/>
        </w:rPr>
        <w:t xml:space="preserve"> Collection of factual data on the suggested monitoring indicators will also provide the basis for the future evaluation of the initiative</w:t>
      </w:r>
    </w:p>
    <w:p w14:paraId="61A056D8" w14:textId="427AED89" w:rsidR="005452DB" w:rsidRDefault="00864F87">
      <w:pPr>
        <w:spacing w:after="160" w:line="257" w:lineRule="auto"/>
        <w:rPr>
          <w:rFonts w:eastAsia="Times New Roman"/>
          <w:noProof/>
        </w:rPr>
      </w:pPr>
      <w:r>
        <w:rPr>
          <w:rFonts w:eastAsia="Times New Roman"/>
          <w:noProof/>
        </w:rPr>
        <w:t xml:space="preserve">The following indicators </w:t>
      </w:r>
      <w:r w:rsidRPr="00864F87">
        <w:rPr>
          <w:rFonts w:eastAsia="Times New Roman"/>
          <w:noProof/>
        </w:rPr>
        <w:t>are suggested to measure the success of the initiative in light of the specific objectives (Chapter 4)</w:t>
      </w:r>
      <w:r>
        <w:rPr>
          <w:rFonts w:eastAsia="Times New Roman"/>
          <w:noProof/>
        </w:rPr>
        <w:t xml:space="preserve">. An </w:t>
      </w:r>
      <w:r w:rsidR="003C65F7">
        <w:rPr>
          <w:rFonts w:eastAsia="Times New Roman"/>
          <w:noProof/>
        </w:rPr>
        <w:t xml:space="preserve">indication of the target for </w:t>
      </w:r>
      <w:r>
        <w:rPr>
          <w:rFonts w:eastAsia="Times New Roman"/>
          <w:noProof/>
        </w:rPr>
        <w:t>success is also provided</w:t>
      </w:r>
      <w:r w:rsidR="003C65F7">
        <w:rPr>
          <w:rFonts w:eastAsia="Times New Roman"/>
          <w:noProof/>
        </w:rPr>
        <w:t>.</w:t>
      </w:r>
      <w:r>
        <w:rPr>
          <w:rFonts w:eastAsia="Times New Roman"/>
          <w:noProof/>
        </w:rPr>
        <w:t xml:space="preserve"> </w:t>
      </w:r>
    </w:p>
    <w:p w14:paraId="16EC3A2E" w14:textId="77777777" w:rsidR="00C4765D" w:rsidRDefault="00C4765D" w:rsidP="2205B469">
      <w:pPr>
        <w:pStyle w:val="ListParagraph"/>
        <w:spacing w:after="0" w:line="257" w:lineRule="auto"/>
        <w:rPr>
          <w:rFonts w:eastAsia="Times New Roman"/>
          <w:noProof/>
        </w:rPr>
      </w:pPr>
    </w:p>
    <w:tbl>
      <w:tblPr>
        <w:tblStyle w:val="CV12"/>
        <w:tblW w:w="9284"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3047"/>
        <w:gridCol w:w="6237"/>
      </w:tblGrid>
      <w:tr w:rsidR="003C65F7" w14:paraId="44910A03" w14:textId="77777777" w:rsidTr="002F7F70">
        <w:tc>
          <w:tcPr>
            <w:tcW w:w="3047" w:type="dxa"/>
            <w:tcBorders>
              <w:top w:val="double" w:sz="4" w:space="0" w:color="auto"/>
            </w:tcBorders>
          </w:tcPr>
          <w:p w14:paraId="6E6DF0C4" w14:textId="344341E3" w:rsidR="003C65F7" w:rsidRPr="00E16101" w:rsidRDefault="002618E1" w:rsidP="5AE5215E">
            <w:pPr>
              <w:spacing w:after="0"/>
              <w:rPr>
                <w:b/>
                <w:bCs/>
                <w:noProof/>
                <w:sz w:val="20"/>
                <w:szCs w:val="20"/>
              </w:rPr>
            </w:pPr>
            <w:r w:rsidRPr="00AB1F61">
              <w:rPr>
                <w:b/>
                <w:bCs/>
                <w:noProof/>
                <w:sz w:val="20"/>
                <w:szCs w:val="20"/>
              </w:rPr>
              <w:t>Indicators</w:t>
            </w:r>
            <w:r w:rsidR="00AB1F61">
              <w:rPr>
                <w:rStyle w:val="FootnoteReference"/>
                <w:b/>
                <w:bCs/>
                <w:noProof/>
                <w:sz w:val="20"/>
                <w:szCs w:val="20"/>
              </w:rPr>
              <w:footnoteReference w:id="75"/>
            </w:r>
          </w:p>
        </w:tc>
        <w:tc>
          <w:tcPr>
            <w:tcW w:w="6237" w:type="dxa"/>
            <w:tcBorders>
              <w:top w:val="double" w:sz="4" w:space="0" w:color="auto"/>
            </w:tcBorders>
            <w:tcMar>
              <w:top w:w="57" w:type="dxa"/>
              <w:left w:w="57" w:type="dxa"/>
              <w:bottom w:w="57" w:type="dxa"/>
              <w:right w:w="57" w:type="dxa"/>
            </w:tcMar>
          </w:tcPr>
          <w:p w14:paraId="0ABA70D7" w14:textId="3BFAE492" w:rsidR="003C65F7" w:rsidRPr="002F7F70" w:rsidRDefault="677AF27A">
            <w:pPr>
              <w:spacing w:after="0"/>
              <w:rPr>
                <w:b/>
                <w:bCs/>
                <w:noProof/>
                <w:sz w:val="20"/>
              </w:rPr>
            </w:pPr>
            <w:r w:rsidRPr="002F7F70">
              <w:rPr>
                <w:b/>
                <w:bCs/>
                <w:noProof/>
                <w:sz w:val="20"/>
                <w:szCs w:val="20"/>
              </w:rPr>
              <w:t xml:space="preserve">Targets  </w:t>
            </w:r>
          </w:p>
        </w:tc>
      </w:tr>
      <w:tr w:rsidR="003C65F7" w14:paraId="61BDFF7E" w14:textId="77777777" w:rsidTr="002F7F70">
        <w:tc>
          <w:tcPr>
            <w:tcW w:w="3047" w:type="dxa"/>
            <w:tcBorders>
              <w:top w:val="double" w:sz="4" w:space="0" w:color="auto"/>
            </w:tcBorders>
          </w:tcPr>
          <w:p w14:paraId="02643893" w14:textId="36006010" w:rsidR="003C65F7" w:rsidRPr="00F92EAE" w:rsidRDefault="003C65F7">
            <w:pPr>
              <w:spacing w:after="0"/>
              <w:rPr>
                <w:noProof/>
                <w:sz w:val="20"/>
              </w:rPr>
            </w:pPr>
            <w:r w:rsidRPr="00F92EAE">
              <w:rPr>
                <w:noProof/>
                <w:sz w:val="20"/>
              </w:rPr>
              <w:t xml:space="preserve">Compliance cost </w:t>
            </w:r>
            <w:r>
              <w:rPr>
                <w:noProof/>
                <w:sz w:val="20"/>
              </w:rPr>
              <w:t xml:space="preserve">from DAC6 reporting </w:t>
            </w:r>
          </w:p>
        </w:tc>
        <w:tc>
          <w:tcPr>
            <w:tcW w:w="6237" w:type="dxa"/>
            <w:tcBorders>
              <w:top w:val="double" w:sz="4" w:space="0" w:color="auto"/>
            </w:tcBorders>
            <w:tcMar>
              <w:top w:w="57" w:type="dxa"/>
              <w:left w:w="57" w:type="dxa"/>
              <w:bottom w:w="57" w:type="dxa"/>
              <w:right w:w="57" w:type="dxa"/>
            </w:tcMar>
          </w:tcPr>
          <w:p w14:paraId="59DB1ECA" w14:textId="388D82E2" w:rsidR="003C65F7" w:rsidRDefault="003C65F7">
            <w:pPr>
              <w:spacing w:after="0"/>
              <w:rPr>
                <w:noProof/>
                <w:sz w:val="20"/>
              </w:rPr>
            </w:pPr>
            <w:r>
              <w:rPr>
                <w:noProof/>
                <w:sz w:val="20"/>
              </w:rPr>
              <w:t>Reduction of EUR 300 million/year for large MNEs</w:t>
            </w:r>
          </w:p>
          <w:p w14:paraId="18615828" w14:textId="5F99F49D" w:rsidR="003C65F7" w:rsidRPr="002F7F70" w:rsidRDefault="003C65F7">
            <w:pPr>
              <w:spacing w:after="0"/>
              <w:rPr>
                <w:noProof/>
                <w:sz w:val="20"/>
              </w:rPr>
            </w:pPr>
            <w:r>
              <w:rPr>
                <w:noProof/>
                <w:sz w:val="20"/>
              </w:rPr>
              <w:t xml:space="preserve">Reduction of EUR 41.4 million/year for other MNEs                                                                                                                                                                                                                                                                                                                                                                                                                                                                                                                                                                                </w:t>
            </w:r>
          </w:p>
        </w:tc>
      </w:tr>
      <w:tr w:rsidR="003C65F7" w14:paraId="538DA55A" w14:textId="77777777" w:rsidTr="002F7F70">
        <w:tc>
          <w:tcPr>
            <w:tcW w:w="3047" w:type="dxa"/>
            <w:tcBorders>
              <w:top w:val="double" w:sz="4" w:space="0" w:color="auto"/>
            </w:tcBorders>
          </w:tcPr>
          <w:p w14:paraId="50FF67AE" w14:textId="12F6B18C" w:rsidR="003C65F7" w:rsidRPr="00F92EAE" w:rsidRDefault="003C65F7">
            <w:pPr>
              <w:spacing w:after="0"/>
              <w:rPr>
                <w:noProof/>
                <w:sz w:val="20"/>
              </w:rPr>
            </w:pPr>
            <w:r w:rsidRPr="00F92EAE">
              <w:rPr>
                <w:noProof/>
                <w:sz w:val="20"/>
              </w:rPr>
              <w:t>Compliance cost reductions</w:t>
            </w:r>
            <w:r>
              <w:rPr>
                <w:noProof/>
                <w:sz w:val="20"/>
              </w:rPr>
              <w:t xml:space="preserve"> from DAC7 reporting </w:t>
            </w:r>
          </w:p>
        </w:tc>
        <w:tc>
          <w:tcPr>
            <w:tcW w:w="6237" w:type="dxa"/>
            <w:tcBorders>
              <w:top w:val="double" w:sz="4" w:space="0" w:color="auto"/>
            </w:tcBorders>
            <w:tcMar>
              <w:top w:w="57" w:type="dxa"/>
              <w:left w:w="57" w:type="dxa"/>
              <w:bottom w:w="57" w:type="dxa"/>
              <w:right w:w="57" w:type="dxa"/>
            </w:tcMar>
          </w:tcPr>
          <w:p w14:paraId="71394F0E" w14:textId="54DD7ECF" w:rsidR="003C65F7" w:rsidRPr="002F7F70" w:rsidRDefault="003C65F7" w:rsidP="00FA1578">
            <w:pPr>
              <w:spacing w:after="0"/>
              <w:rPr>
                <w:noProof/>
                <w:sz w:val="20"/>
                <w:szCs w:val="20"/>
              </w:rPr>
            </w:pPr>
            <w:r>
              <w:rPr>
                <w:noProof/>
                <w:sz w:val="20"/>
              </w:rPr>
              <w:t>Overall r</w:t>
            </w:r>
            <w:r>
              <w:rPr>
                <w:noProof/>
                <w:sz w:val="20"/>
                <w:szCs w:val="20"/>
              </w:rPr>
              <w:t xml:space="preserve">eduction from </w:t>
            </w:r>
            <w:r w:rsidRPr="4321A1A3">
              <w:rPr>
                <w:noProof/>
                <w:sz w:val="20"/>
                <w:szCs w:val="20"/>
              </w:rPr>
              <w:t>EUR 452 million to EUR 904 million for digital platforms</w:t>
            </w:r>
            <w:r>
              <w:rPr>
                <w:noProof/>
                <w:sz w:val="20"/>
                <w:szCs w:val="20"/>
              </w:rPr>
              <w:t>.</w:t>
            </w:r>
          </w:p>
        </w:tc>
      </w:tr>
      <w:tr w:rsidR="003C65F7" w14:paraId="4842AD97" w14:textId="77777777" w:rsidTr="002F7F70">
        <w:tc>
          <w:tcPr>
            <w:tcW w:w="3047" w:type="dxa"/>
            <w:tcBorders>
              <w:top w:val="double" w:sz="4" w:space="0" w:color="auto"/>
            </w:tcBorders>
          </w:tcPr>
          <w:p w14:paraId="7C0D4343" w14:textId="673DDC3B" w:rsidR="003C65F7" w:rsidRPr="00F92EAE" w:rsidRDefault="003C65F7">
            <w:pPr>
              <w:spacing w:after="0"/>
              <w:rPr>
                <w:noProof/>
                <w:sz w:val="20"/>
              </w:rPr>
            </w:pPr>
            <w:r w:rsidRPr="00F92EAE">
              <w:rPr>
                <w:noProof/>
                <w:sz w:val="20"/>
              </w:rPr>
              <w:t xml:space="preserve">Compliance cost </w:t>
            </w:r>
            <w:r>
              <w:rPr>
                <w:noProof/>
                <w:sz w:val="20"/>
              </w:rPr>
              <w:t>from DAC4</w:t>
            </w:r>
            <w:r w:rsidR="00AB1F61">
              <w:rPr>
                <w:noProof/>
                <w:sz w:val="20"/>
              </w:rPr>
              <w:t>/DAC9</w:t>
            </w:r>
          </w:p>
        </w:tc>
        <w:tc>
          <w:tcPr>
            <w:tcW w:w="6237" w:type="dxa"/>
            <w:tcBorders>
              <w:top w:val="double" w:sz="4" w:space="0" w:color="auto"/>
            </w:tcBorders>
            <w:tcMar>
              <w:top w:w="57" w:type="dxa"/>
              <w:left w:w="57" w:type="dxa"/>
              <w:bottom w:w="57" w:type="dxa"/>
              <w:right w:w="57" w:type="dxa"/>
            </w:tcMar>
          </w:tcPr>
          <w:p w14:paraId="23DA4BD1" w14:textId="1436D853" w:rsidR="003C65F7" w:rsidRPr="0003290E" w:rsidRDefault="003C65F7">
            <w:pPr>
              <w:spacing w:after="0"/>
              <w:rPr>
                <w:b/>
                <w:bCs/>
                <w:noProof/>
                <w:sz w:val="20"/>
              </w:rPr>
            </w:pPr>
            <w:r>
              <w:rPr>
                <w:noProof/>
                <w:sz w:val="20"/>
              </w:rPr>
              <w:t>Reduction of EUR 264 million/year for large MNEs</w:t>
            </w:r>
          </w:p>
        </w:tc>
      </w:tr>
      <w:tr w:rsidR="003C65F7" w14:paraId="5F05368A" w14:textId="77777777" w:rsidTr="002F7F70">
        <w:tc>
          <w:tcPr>
            <w:tcW w:w="3047" w:type="dxa"/>
            <w:tcBorders>
              <w:top w:val="double" w:sz="4" w:space="0" w:color="auto"/>
            </w:tcBorders>
          </w:tcPr>
          <w:p w14:paraId="2AC6EF44" w14:textId="7060F85A" w:rsidR="003C65F7" w:rsidRPr="00F92EAE" w:rsidRDefault="003C65F7">
            <w:pPr>
              <w:spacing w:after="0"/>
              <w:rPr>
                <w:noProof/>
                <w:sz w:val="20"/>
              </w:rPr>
            </w:pPr>
            <w:r>
              <w:rPr>
                <w:noProof/>
                <w:sz w:val="20"/>
              </w:rPr>
              <w:t xml:space="preserve">Regulatory cost for Tax authorities </w:t>
            </w:r>
          </w:p>
        </w:tc>
        <w:tc>
          <w:tcPr>
            <w:tcW w:w="6237" w:type="dxa"/>
            <w:tcBorders>
              <w:top w:val="double" w:sz="4" w:space="0" w:color="auto"/>
            </w:tcBorders>
            <w:tcMar>
              <w:top w:w="57" w:type="dxa"/>
              <w:left w:w="57" w:type="dxa"/>
              <w:bottom w:w="57" w:type="dxa"/>
              <w:right w:w="57" w:type="dxa"/>
            </w:tcMar>
          </w:tcPr>
          <w:p w14:paraId="340F387D" w14:textId="0BA372F7" w:rsidR="003C65F7" w:rsidRDefault="003C65F7">
            <w:pPr>
              <w:spacing w:after="0"/>
              <w:rPr>
                <w:noProof/>
                <w:sz w:val="20"/>
              </w:rPr>
            </w:pPr>
            <w:r>
              <w:rPr>
                <w:noProof/>
                <w:sz w:val="20"/>
              </w:rPr>
              <w:t>Cost for tax authorities is expected to decrease following the decrease in the number of disclosures. Given the difficulties to isolate such component from other costs, the decrease will be appreciated qualitatively.</w:t>
            </w:r>
          </w:p>
          <w:p w14:paraId="117E7634" w14:textId="293D9CA7" w:rsidR="003C65F7" w:rsidRDefault="003C65F7">
            <w:pPr>
              <w:spacing w:after="0"/>
              <w:rPr>
                <w:noProof/>
                <w:sz w:val="20"/>
              </w:rPr>
            </w:pPr>
            <w:r>
              <w:rPr>
                <w:noProof/>
                <w:sz w:val="20"/>
              </w:rPr>
              <w:t xml:space="preserve">Reduction of the number of disclosures to be analysed by tax authorities: </w:t>
            </w:r>
          </w:p>
          <w:p w14:paraId="745984E7" w14:textId="49AC9A20" w:rsidR="003C65F7" w:rsidRDefault="003C65F7">
            <w:pPr>
              <w:spacing w:after="0"/>
              <w:rPr>
                <w:noProof/>
                <w:sz w:val="20"/>
                <w:szCs w:val="20"/>
              </w:rPr>
            </w:pPr>
            <w:r>
              <w:rPr>
                <w:noProof/>
                <w:sz w:val="20"/>
                <w:szCs w:val="20"/>
              </w:rPr>
              <w:t>9,000</w:t>
            </w:r>
            <w:r w:rsidRPr="52C805FE">
              <w:rPr>
                <w:noProof/>
                <w:sz w:val="20"/>
                <w:szCs w:val="20"/>
              </w:rPr>
              <w:t xml:space="preserve"> </w:t>
            </w:r>
            <w:r>
              <w:rPr>
                <w:noProof/>
                <w:sz w:val="20"/>
                <w:szCs w:val="20"/>
              </w:rPr>
              <w:t xml:space="preserve">disclosures less for </w:t>
            </w:r>
            <w:r w:rsidRPr="52C805FE">
              <w:rPr>
                <w:noProof/>
                <w:sz w:val="20"/>
                <w:szCs w:val="20"/>
              </w:rPr>
              <w:t>DAC6</w:t>
            </w:r>
            <w:r>
              <w:rPr>
                <w:noProof/>
                <w:sz w:val="20"/>
                <w:szCs w:val="20"/>
              </w:rPr>
              <w:t>:</w:t>
            </w:r>
          </w:p>
          <w:p w14:paraId="1F7EF6A6" w14:textId="77777777" w:rsidR="003C65F7" w:rsidRDefault="003C65F7">
            <w:pPr>
              <w:spacing w:after="0"/>
              <w:rPr>
                <w:noProof/>
                <w:sz w:val="20"/>
                <w:szCs w:val="20"/>
              </w:rPr>
            </w:pPr>
            <w:r>
              <w:rPr>
                <w:noProof/>
                <w:sz w:val="20"/>
                <w:szCs w:val="20"/>
              </w:rPr>
              <w:t>11.3 million reported sellers less annually for DAC7</w:t>
            </w:r>
          </w:p>
          <w:p w14:paraId="2CD5C066" w14:textId="6ACE67FE" w:rsidR="003C65F7" w:rsidRPr="002F7F70" w:rsidRDefault="003C65F7" w:rsidP="00DE1DB7">
            <w:pPr>
              <w:spacing w:after="0"/>
              <w:rPr>
                <w:noProof/>
                <w:sz w:val="20"/>
                <w:szCs w:val="20"/>
              </w:rPr>
            </w:pPr>
            <w:r>
              <w:rPr>
                <w:noProof/>
                <w:sz w:val="20"/>
                <w:szCs w:val="20"/>
              </w:rPr>
              <w:t xml:space="preserve">109,000 MNEs in scope of </w:t>
            </w:r>
            <w:r w:rsidR="0057730F">
              <w:rPr>
                <w:noProof/>
                <w:sz w:val="20"/>
                <w:szCs w:val="20"/>
              </w:rPr>
              <w:t>DAC9</w:t>
            </w:r>
            <w:r w:rsidRPr="0518B4E3">
              <w:rPr>
                <w:noProof/>
                <w:sz w:val="20"/>
                <w:szCs w:val="20"/>
              </w:rPr>
              <w:t xml:space="preserve"> </w:t>
            </w:r>
            <w:r>
              <w:rPr>
                <w:noProof/>
                <w:sz w:val="20"/>
                <w:szCs w:val="20"/>
              </w:rPr>
              <w:t xml:space="preserve">not filing separate DAC4 and </w:t>
            </w:r>
            <w:r w:rsidR="00AB1F61">
              <w:rPr>
                <w:noProof/>
                <w:sz w:val="20"/>
                <w:szCs w:val="20"/>
              </w:rPr>
              <w:t>DAC9</w:t>
            </w:r>
            <w:r>
              <w:rPr>
                <w:noProof/>
                <w:sz w:val="20"/>
                <w:szCs w:val="20"/>
              </w:rPr>
              <w:t xml:space="preserve"> notifications anymore.</w:t>
            </w:r>
          </w:p>
        </w:tc>
      </w:tr>
      <w:tr w:rsidR="003C65F7" w14:paraId="27659EBD" w14:textId="77777777" w:rsidTr="002F7F70">
        <w:tc>
          <w:tcPr>
            <w:tcW w:w="3047" w:type="dxa"/>
            <w:tcBorders>
              <w:top w:val="double" w:sz="4" w:space="0" w:color="auto"/>
            </w:tcBorders>
          </w:tcPr>
          <w:p w14:paraId="660A4870" w14:textId="22B54263" w:rsidR="003C65F7" w:rsidRPr="00F92EAE" w:rsidRDefault="0026009A">
            <w:pPr>
              <w:spacing w:after="0"/>
              <w:rPr>
                <w:noProof/>
                <w:sz w:val="20"/>
              </w:rPr>
            </w:pPr>
            <w:r>
              <w:rPr>
                <w:noProof/>
                <w:sz w:val="20"/>
                <w:szCs w:val="20"/>
              </w:rPr>
              <w:t>Average a</w:t>
            </w:r>
            <w:r w:rsidR="00E62F4A" w:rsidRPr="4321A1A3">
              <w:rPr>
                <w:noProof/>
                <w:sz w:val="20"/>
                <w:szCs w:val="20"/>
              </w:rPr>
              <w:t xml:space="preserve">utomatic matching rate </w:t>
            </w:r>
            <w:r w:rsidR="006D0C4C">
              <w:rPr>
                <w:noProof/>
                <w:sz w:val="20"/>
                <w:szCs w:val="20"/>
              </w:rPr>
              <w:t>for</w:t>
            </w:r>
            <w:r w:rsidR="00E62F4A" w:rsidRPr="4321A1A3">
              <w:rPr>
                <w:noProof/>
                <w:sz w:val="20"/>
                <w:szCs w:val="20"/>
              </w:rPr>
              <w:t xml:space="preserve"> TINs </w:t>
            </w:r>
          </w:p>
        </w:tc>
        <w:tc>
          <w:tcPr>
            <w:tcW w:w="6237" w:type="dxa"/>
            <w:tcBorders>
              <w:top w:val="double" w:sz="4" w:space="0" w:color="auto"/>
            </w:tcBorders>
            <w:tcMar>
              <w:top w:w="57" w:type="dxa"/>
              <w:left w:w="57" w:type="dxa"/>
              <w:bottom w:w="57" w:type="dxa"/>
              <w:right w:w="57" w:type="dxa"/>
            </w:tcMar>
          </w:tcPr>
          <w:p w14:paraId="3389D7A4" w14:textId="5426016E" w:rsidR="003C65F7" w:rsidRPr="0003290E" w:rsidRDefault="222E4CFC" w:rsidP="537B9AB8">
            <w:pPr>
              <w:spacing w:after="0"/>
              <w:rPr>
                <w:b/>
                <w:bCs/>
                <w:noProof/>
                <w:sz w:val="20"/>
                <w:szCs w:val="20"/>
              </w:rPr>
            </w:pPr>
            <w:r w:rsidRPr="537B9AB8">
              <w:rPr>
                <w:noProof/>
                <w:sz w:val="20"/>
                <w:szCs w:val="20"/>
              </w:rPr>
              <w:t>A</w:t>
            </w:r>
            <w:r w:rsidR="53E49ACC" w:rsidRPr="537B9AB8">
              <w:rPr>
                <w:noProof/>
                <w:sz w:val="20"/>
                <w:szCs w:val="20"/>
              </w:rPr>
              <w:t xml:space="preserve">verage </w:t>
            </w:r>
            <w:r w:rsidR="41F822D1" w:rsidRPr="537B9AB8">
              <w:rPr>
                <w:noProof/>
                <w:sz w:val="20"/>
                <w:szCs w:val="20"/>
              </w:rPr>
              <w:t xml:space="preserve">automatic </w:t>
            </w:r>
            <w:r w:rsidRPr="537B9AB8">
              <w:rPr>
                <w:noProof/>
                <w:sz w:val="20"/>
                <w:szCs w:val="20"/>
              </w:rPr>
              <w:t xml:space="preserve">matching rate </w:t>
            </w:r>
            <w:r w:rsidR="20745B5A" w:rsidRPr="537B9AB8">
              <w:rPr>
                <w:noProof/>
                <w:sz w:val="20"/>
                <w:szCs w:val="20"/>
              </w:rPr>
              <w:t xml:space="preserve">increased </w:t>
            </w:r>
            <w:r w:rsidR="51A54D54" w:rsidRPr="537B9AB8">
              <w:rPr>
                <w:noProof/>
                <w:sz w:val="20"/>
                <w:szCs w:val="20"/>
              </w:rPr>
              <w:t>up to 100</w:t>
            </w:r>
            <w:r w:rsidR="20745B5A" w:rsidRPr="00D639C2">
              <w:rPr>
                <w:noProof/>
                <w:sz w:val="20"/>
                <w:szCs w:val="20"/>
              </w:rPr>
              <w:t xml:space="preserve">% within </w:t>
            </w:r>
            <w:r w:rsidR="75A8FA82" w:rsidRPr="002F7F70">
              <w:rPr>
                <w:noProof/>
                <w:sz w:val="20"/>
                <w:szCs w:val="20"/>
              </w:rPr>
              <w:t>3</w:t>
            </w:r>
            <w:r w:rsidR="20745B5A" w:rsidRPr="00D639C2">
              <w:rPr>
                <w:noProof/>
                <w:sz w:val="20"/>
                <w:szCs w:val="20"/>
              </w:rPr>
              <w:t xml:space="preserve"> years</w:t>
            </w:r>
            <w:r w:rsidR="20745B5A" w:rsidRPr="537B9AB8">
              <w:rPr>
                <w:noProof/>
                <w:sz w:val="20"/>
                <w:szCs w:val="20"/>
              </w:rPr>
              <w:t xml:space="preserve"> from the </w:t>
            </w:r>
            <w:r w:rsidR="02F4FB04" w:rsidRPr="537B9AB8">
              <w:rPr>
                <w:noProof/>
                <w:sz w:val="20"/>
                <w:szCs w:val="20"/>
              </w:rPr>
              <w:t xml:space="preserve">full implementation </w:t>
            </w:r>
            <w:r w:rsidR="3F2263FC" w:rsidRPr="537B9AB8">
              <w:rPr>
                <w:noProof/>
                <w:sz w:val="20"/>
                <w:szCs w:val="20"/>
              </w:rPr>
              <w:t>of the system by all Member States</w:t>
            </w:r>
            <w:r w:rsidR="6EC34272" w:rsidRPr="537B9AB8">
              <w:rPr>
                <w:noProof/>
                <w:sz w:val="20"/>
                <w:szCs w:val="20"/>
              </w:rPr>
              <w:t xml:space="preserve"> </w:t>
            </w:r>
            <w:r w:rsidR="77D75A97" w:rsidRPr="537B9AB8">
              <w:rPr>
                <w:noProof/>
                <w:sz w:val="20"/>
                <w:szCs w:val="20"/>
              </w:rPr>
              <w:t xml:space="preserve"> </w:t>
            </w:r>
            <w:r w:rsidR="21A9209F" w:rsidRPr="537B9AB8">
              <w:rPr>
                <w:b/>
                <w:bCs/>
                <w:noProof/>
                <w:sz w:val="20"/>
                <w:szCs w:val="20"/>
              </w:rPr>
              <w:t xml:space="preserve">                                                                                                                                                                                                     </w:t>
            </w:r>
            <w:r w:rsidR="00435790" w:rsidRPr="537B9AB8">
              <w:rPr>
                <w:b/>
                <w:bCs/>
                <w:noProof/>
                <w:sz w:val="20"/>
                <w:szCs w:val="20"/>
              </w:rPr>
              <w:t xml:space="preserve">      </w:t>
            </w:r>
          </w:p>
        </w:tc>
      </w:tr>
      <w:tr w:rsidR="003C65F7" w14:paraId="1827E5ED" w14:textId="77777777" w:rsidTr="002F7F70">
        <w:tc>
          <w:tcPr>
            <w:tcW w:w="3047" w:type="dxa"/>
            <w:tcBorders>
              <w:top w:val="double" w:sz="4" w:space="0" w:color="auto"/>
              <w:bottom w:val="double" w:sz="4" w:space="0" w:color="auto"/>
            </w:tcBorders>
          </w:tcPr>
          <w:p w14:paraId="00877BBA" w14:textId="122F98B8" w:rsidR="003C65F7" w:rsidRPr="00F92EAE" w:rsidRDefault="003C65F7">
            <w:pPr>
              <w:spacing w:after="0"/>
              <w:rPr>
                <w:noProof/>
                <w:sz w:val="20"/>
              </w:rPr>
            </w:pPr>
            <w:r>
              <w:rPr>
                <w:noProof/>
                <w:sz w:val="20"/>
              </w:rPr>
              <w:t>One-off costs for development of IT system for TIN</w:t>
            </w:r>
          </w:p>
        </w:tc>
        <w:tc>
          <w:tcPr>
            <w:tcW w:w="6237" w:type="dxa"/>
            <w:tcBorders>
              <w:top w:val="double" w:sz="4" w:space="0" w:color="auto"/>
              <w:bottom w:val="double" w:sz="4" w:space="0" w:color="auto"/>
            </w:tcBorders>
            <w:tcMar>
              <w:top w:w="57" w:type="dxa"/>
              <w:left w:w="57" w:type="dxa"/>
              <w:bottom w:w="57" w:type="dxa"/>
              <w:right w:w="57" w:type="dxa"/>
            </w:tcMar>
          </w:tcPr>
          <w:p w14:paraId="68A2317C" w14:textId="0BF005B8" w:rsidR="003C65F7" w:rsidRPr="002F7F70" w:rsidRDefault="003C65F7">
            <w:pPr>
              <w:spacing w:after="0"/>
              <w:rPr>
                <w:noProof/>
                <w:sz w:val="20"/>
              </w:rPr>
            </w:pPr>
            <w:r w:rsidRPr="002F7F70">
              <w:rPr>
                <w:noProof/>
                <w:sz w:val="20"/>
                <w:szCs w:val="20"/>
                <w:lang w:val="en-IE"/>
              </w:rPr>
              <w:t>For EU (central component): EUR 970,000–1,770,000; For Member States (national component): EUR 15–25 million</w:t>
            </w:r>
            <w:r>
              <w:rPr>
                <w:noProof/>
                <w:sz w:val="20"/>
              </w:rPr>
              <w:t xml:space="preserve"> </w:t>
            </w:r>
          </w:p>
        </w:tc>
      </w:tr>
      <w:tr w:rsidR="003C65F7" w14:paraId="62C13E61" w14:textId="77777777" w:rsidTr="002F7F70">
        <w:tc>
          <w:tcPr>
            <w:tcW w:w="3047" w:type="dxa"/>
            <w:tcBorders>
              <w:top w:val="double" w:sz="4" w:space="0" w:color="auto"/>
            </w:tcBorders>
            <w:vAlign w:val="center"/>
          </w:tcPr>
          <w:p w14:paraId="4B4351ED" w14:textId="6B46807F" w:rsidR="003C65F7" w:rsidRDefault="003C65F7" w:rsidP="0022668A">
            <w:pPr>
              <w:spacing w:after="0"/>
              <w:rPr>
                <w:noProof/>
                <w:sz w:val="20"/>
              </w:rPr>
            </w:pPr>
            <w:r w:rsidRPr="00FC725D">
              <w:rPr>
                <w:noProof/>
                <w:sz w:val="20"/>
                <w:szCs w:val="20"/>
              </w:rPr>
              <w:t>Recurrent IT maintenance and assistance</w:t>
            </w:r>
            <w:r>
              <w:rPr>
                <w:noProof/>
                <w:sz w:val="20"/>
                <w:szCs w:val="20"/>
              </w:rPr>
              <w:t xml:space="preserve"> for TIN</w:t>
            </w:r>
          </w:p>
        </w:tc>
        <w:tc>
          <w:tcPr>
            <w:tcW w:w="6237" w:type="dxa"/>
            <w:tcBorders>
              <w:top w:val="double" w:sz="4" w:space="0" w:color="auto"/>
            </w:tcBorders>
            <w:tcMar>
              <w:top w:w="57" w:type="dxa"/>
              <w:left w:w="57" w:type="dxa"/>
              <w:bottom w:w="57" w:type="dxa"/>
              <w:right w:w="57" w:type="dxa"/>
            </w:tcMar>
            <w:vAlign w:val="center"/>
          </w:tcPr>
          <w:p w14:paraId="1612D0FD" w14:textId="77777777" w:rsidR="003C65F7" w:rsidRDefault="003C65F7" w:rsidP="0022668A">
            <w:pPr>
              <w:spacing w:after="0"/>
              <w:rPr>
                <w:noProof/>
                <w:sz w:val="20"/>
                <w:szCs w:val="20"/>
              </w:rPr>
            </w:pPr>
            <w:r w:rsidRPr="002F7F70">
              <w:rPr>
                <w:noProof/>
                <w:sz w:val="20"/>
                <w:szCs w:val="20"/>
              </w:rPr>
              <w:t>For EU (central compone</w:t>
            </w:r>
            <w:r>
              <w:rPr>
                <w:noProof/>
                <w:sz w:val="20"/>
                <w:szCs w:val="20"/>
              </w:rPr>
              <w:t>n</w:t>
            </w:r>
            <w:r w:rsidRPr="002F7F70">
              <w:rPr>
                <w:noProof/>
                <w:sz w:val="20"/>
                <w:szCs w:val="20"/>
              </w:rPr>
              <w:t xml:space="preserve">t): EUR 1.8–2.4 million/year; </w:t>
            </w:r>
          </w:p>
          <w:p w14:paraId="70AADD71" w14:textId="6ACB003F" w:rsidR="003C65F7" w:rsidRDefault="003C65F7" w:rsidP="0022668A">
            <w:pPr>
              <w:spacing w:after="0"/>
              <w:rPr>
                <w:noProof/>
                <w:sz w:val="20"/>
              </w:rPr>
            </w:pPr>
            <w:r w:rsidRPr="002F7F70">
              <w:rPr>
                <w:noProof/>
                <w:sz w:val="20"/>
                <w:szCs w:val="20"/>
              </w:rPr>
              <w:t>For Mem</w:t>
            </w:r>
            <w:r>
              <w:rPr>
                <w:noProof/>
                <w:sz w:val="20"/>
                <w:szCs w:val="20"/>
              </w:rPr>
              <w:t>ber</w:t>
            </w:r>
            <w:r w:rsidRPr="002F7F70">
              <w:rPr>
                <w:noProof/>
                <w:sz w:val="20"/>
                <w:szCs w:val="20"/>
              </w:rPr>
              <w:t xml:space="preserve"> States (national component): EUR 5.5–18 million/year</w:t>
            </w:r>
          </w:p>
        </w:tc>
      </w:tr>
    </w:tbl>
    <w:p w14:paraId="79B4D940" w14:textId="77777777" w:rsidR="00C4765D" w:rsidRDefault="00C4765D" w:rsidP="2205B469">
      <w:pPr>
        <w:pStyle w:val="ListParagraph"/>
        <w:spacing w:after="0" w:line="257" w:lineRule="auto"/>
        <w:rPr>
          <w:rFonts w:eastAsia="Times New Roman"/>
          <w:noProof/>
        </w:rPr>
      </w:pPr>
    </w:p>
    <w:p w14:paraId="69D541FD" w14:textId="77777777" w:rsidR="00C4765D" w:rsidRDefault="00C4765D" w:rsidP="2205B469">
      <w:pPr>
        <w:pStyle w:val="ListParagraph"/>
        <w:spacing w:after="0" w:line="257" w:lineRule="auto"/>
        <w:rPr>
          <w:rFonts w:eastAsia="Times New Roman"/>
          <w:noProof/>
        </w:rPr>
      </w:pPr>
    </w:p>
    <w:p w14:paraId="5B7D470C" w14:textId="213A47DF" w:rsidR="00D20FD1" w:rsidRDefault="3656EFA5" w:rsidP="66333C0B">
      <w:pPr>
        <w:spacing w:after="160" w:line="257" w:lineRule="auto"/>
        <w:rPr>
          <w:rFonts w:eastAsia="Times New Roman"/>
          <w:noProof/>
        </w:rPr>
      </w:pPr>
      <w:r w:rsidRPr="03B12015">
        <w:rPr>
          <w:rFonts w:eastAsia="Times New Roman"/>
          <w:noProof/>
        </w:rPr>
        <w:t xml:space="preserve">The </w:t>
      </w:r>
      <w:r w:rsidRPr="2205B469">
        <w:rPr>
          <w:rFonts w:eastAsia="Times New Roman"/>
          <w:noProof/>
        </w:rPr>
        <w:t>m</w:t>
      </w:r>
      <w:r w:rsidR="6C35E4B0" w:rsidRPr="2205B469">
        <w:rPr>
          <w:rFonts w:eastAsia="Times New Roman"/>
          <w:noProof/>
        </w:rPr>
        <w:t>onitoring</w:t>
      </w:r>
      <w:r w:rsidR="6C35E4B0" w:rsidRPr="2DDB84A2">
        <w:rPr>
          <w:rFonts w:eastAsia="Times New Roman"/>
          <w:noProof/>
        </w:rPr>
        <w:t xml:space="preserve"> </w:t>
      </w:r>
      <w:r w:rsidR="2F4902D8" w:rsidRPr="3B6DEB43">
        <w:rPr>
          <w:rFonts w:eastAsia="Times New Roman"/>
          <w:noProof/>
        </w:rPr>
        <w:t>framework</w:t>
      </w:r>
      <w:r w:rsidR="6C35E4B0" w:rsidRPr="3A123E5D">
        <w:rPr>
          <w:rFonts w:eastAsia="Times New Roman"/>
          <w:noProof/>
        </w:rPr>
        <w:t xml:space="preserve"> will largely </w:t>
      </w:r>
      <w:r w:rsidR="2F4902D8" w:rsidRPr="14D2623D">
        <w:rPr>
          <w:rFonts w:eastAsia="Times New Roman"/>
          <w:noProof/>
        </w:rPr>
        <w:t xml:space="preserve">rely upon the </w:t>
      </w:r>
      <w:r w:rsidR="6C35E4B0" w:rsidRPr="3A123E5D">
        <w:rPr>
          <w:rFonts w:eastAsia="Times New Roman"/>
          <w:noProof/>
        </w:rPr>
        <w:t>existing statistical reporting mechanisms</w:t>
      </w:r>
      <w:r w:rsidR="2F4902D8" w:rsidRPr="124716C9">
        <w:rPr>
          <w:rFonts w:eastAsia="Times New Roman"/>
          <w:noProof/>
        </w:rPr>
        <w:t xml:space="preserve"> </w:t>
      </w:r>
      <w:r w:rsidR="2F4902D8" w:rsidRPr="652DDD63">
        <w:rPr>
          <w:rFonts w:eastAsia="Times New Roman"/>
          <w:noProof/>
        </w:rPr>
        <w:t xml:space="preserve">under </w:t>
      </w:r>
      <w:r w:rsidR="2F4902D8" w:rsidRPr="09A56BCC">
        <w:rPr>
          <w:rFonts w:eastAsia="Times New Roman"/>
          <w:noProof/>
        </w:rPr>
        <w:t xml:space="preserve">DAC. </w:t>
      </w:r>
      <w:r w:rsidR="6C35E4B0" w:rsidRPr="3A123E5D">
        <w:rPr>
          <w:rFonts w:eastAsia="Times New Roman"/>
          <w:noProof/>
        </w:rPr>
        <w:t xml:space="preserve"> Where necessary, these may be complemented by additional </w:t>
      </w:r>
      <w:r w:rsidR="02AD48E9" w:rsidRPr="17AD701D">
        <w:rPr>
          <w:rFonts w:eastAsia="Times New Roman"/>
          <w:noProof/>
        </w:rPr>
        <w:t xml:space="preserve">relevant </w:t>
      </w:r>
      <w:r w:rsidR="6C35E4B0" w:rsidRPr="3A123E5D">
        <w:rPr>
          <w:rFonts w:eastAsia="Times New Roman"/>
          <w:noProof/>
        </w:rPr>
        <w:t xml:space="preserve">indicators </w:t>
      </w:r>
      <w:r w:rsidR="02AD48E9" w:rsidRPr="17AD701D">
        <w:rPr>
          <w:rFonts w:eastAsia="Times New Roman"/>
          <w:noProof/>
        </w:rPr>
        <w:t xml:space="preserve">to </w:t>
      </w:r>
      <w:r w:rsidR="02AD48E9" w:rsidRPr="7A567F6D">
        <w:rPr>
          <w:rFonts w:eastAsia="Times New Roman"/>
          <w:noProof/>
        </w:rPr>
        <w:t>better</w:t>
      </w:r>
      <w:r w:rsidR="02AD48E9" w:rsidRPr="4EF08960">
        <w:rPr>
          <w:rFonts w:eastAsia="Times New Roman"/>
          <w:noProof/>
        </w:rPr>
        <w:t xml:space="preserve"> </w:t>
      </w:r>
      <w:r w:rsidR="02AD48E9" w:rsidRPr="39CD20DB">
        <w:rPr>
          <w:rFonts w:eastAsia="Times New Roman"/>
          <w:noProof/>
        </w:rPr>
        <w:t>assess</w:t>
      </w:r>
      <w:r w:rsidR="6C35E4B0" w:rsidRPr="3A123E5D">
        <w:rPr>
          <w:rFonts w:eastAsia="Times New Roman"/>
          <w:noProof/>
        </w:rPr>
        <w:t xml:space="preserve"> the impacts of the proposed measures.</w:t>
      </w:r>
    </w:p>
    <w:p w14:paraId="2A5E6932" w14:textId="5734AA43" w:rsidR="00D20FD1" w:rsidRDefault="6C35E4B0" w:rsidP="5E25A5F3">
      <w:pPr>
        <w:pStyle w:val="Heading2"/>
        <w:rPr>
          <w:b w:val="0"/>
          <w:bCs/>
          <w:noProof/>
        </w:rPr>
      </w:pPr>
      <w:bookmarkStart w:id="38" w:name="_Toc231816723"/>
      <w:r w:rsidRPr="3A123E5D">
        <w:rPr>
          <w:noProof/>
        </w:rPr>
        <w:t xml:space="preserve">Monitoring </w:t>
      </w:r>
      <w:r w:rsidR="4FDA1E60">
        <w:rPr>
          <w:noProof/>
        </w:rPr>
        <w:t>arrangements</w:t>
      </w:r>
      <w:bookmarkEnd w:id="38"/>
    </w:p>
    <w:p w14:paraId="44F7383E" w14:textId="76A2AAD0" w:rsidR="001A64AD" w:rsidRDefault="6C35E4B0" w:rsidP="00E306CE">
      <w:pPr>
        <w:spacing w:after="160" w:line="257" w:lineRule="auto"/>
        <w:rPr>
          <w:rFonts w:ascii="Aptos" w:eastAsia="Aptos" w:hAnsi="Aptos" w:cs="Aptos"/>
          <w:noProof/>
          <w:sz w:val="22"/>
          <w:szCs w:val="22"/>
        </w:rPr>
      </w:pPr>
      <w:r w:rsidRPr="3A123E5D">
        <w:rPr>
          <w:rFonts w:eastAsia="Times New Roman"/>
          <w:noProof/>
        </w:rPr>
        <w:t xml:space="preserve">The following indicators will be used to monitor the implementation and impacts of </w:t>
      </w:r>
      <w:r w:rsidRPr="7FE70DD9">
        <w:rPr>
          <w:rFonts w:eastAsia="Times New Roman"/>
          <w:noProof/>
        </w:rPr>
        <w:t>th</w:t>
      </w:r>
      <w:r w:rsidR="751FE4D4" w:rsidRPr="7FE70DD9">
        <w:rPr>
          <w:rFonts w:eastAsia="Times New Roman"/>
          <w:noProof/>
        </w:rPr>
        <w:t>is simplification</w:t>
      </w:r>
      <w:r w:rsidRPr="3A123E5D">
        <w:rPr>
          <w:rFonts w:eastAsia="Times New Roman"/>
          <w:noProof/>
        </w:rPr>
        <w:t xml:space="preserve"> initiative</w:t>
      </w:r>
      <w:r w:rsidRPr="3A123E5D">
        <w:rPr>
          <w:rFonts w:ascii="Aptos" w:eastAsia="Aptos" w:hAnsi="Aptos" w:cs="Aptos"/>
          <w:noProof/>
          <w:sz w:val="22"/>
          <w:szCs w:val="22"/>
        </w:rPr>
        <w:t>.</w:t>
      </w:r>
    </w:p>
    <w:tbl>
      <w:tblPr>
        <w:tblW w:w="9204"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3818"/>
        <w:gridCol w:w="2126"/>
        <w:gridCol w:w="1984"/>
        <w:gridCol w:w="1276"/>
      </w:tblGrid>
      <w:tr w:rsidR="0057730F" w14:paraId="10C242FE" w14:textId="77777777" w:rsidTr="00E306CE">
        <w:trPr>
          <w:trHeight w:val="498"/>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F99EC34" w14:textId="491CA101" w:rsidR="0057730F" w:rsidRDefault="0057730F" w:rsidP="4321A1A3">
            <w:pPr>
              <w:spacing w:after="160" w:line="257" w:lineRule="auto"/>
              <w:rPr>
                <w:rFonts w:eastAsia="Times New Roman"/>
                <w:b/>
                <w:bCs/>
                <w:noProof/>
                <w:sz w:val="20"/>
                <w:szCs w:val="20"/>
              </w:rPr>
            </w:pPr>
            <w:r w:rsidRPr="4321A1A3">
              <w:rPr>
                <w:rFonts w:eastAsia="Times New Roman"/>
                <w:b/>
                <w:bCs/>
                <w:noProof/>
                <w:sz w:val="20"/>
                <w:szCs w:val="20"/>
              </w:rPr>
              <w:t>Specific objective</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04ADFE4" w14:textId="1136B4FF" w:rsidR="0057730F" w:rsidRDefault="0057730F" w:rsidP="4321A1A3">
            <w:pPr>
              <w:spacing w:after="160" w:line="257" w:lineRule="auto"/>
              <w:rPr>
                <w:rFonts w:eastAsia="Times New Roman"/>
                <w:b/>
                <w:bCs/>
                <w:noProof/>
                <w:sz w:val="20"/>
                <w:szCs w:val="20"/>
              </w:rPr>
            </w:pPr>
            <w:r w:rsidRPr="4321A1A3">
              <w:rPr>
                <w:rFonts w:eastAsia="Times New Roman"/>
                <w:b/>
                <w:bCs/>
                <w:noProof/>
                <w:sz w:val="20"/>
                <w:szCs w:val="20"/>
              </w:rPr>
              <w:t>Indicator</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2C7CDF1" w14:textId="6B8B6977" w:rsidR="0057730F" w:rsidRDefault="0057730F" w:rsidP="4321A1A3">
            <w:pPr>
              <w:spacing w:after="160" w:line="257" w:lineRule="auto"/>
              <w:rPr>
                <w:rFonts w:eastAsia="Times New Roman"/>
                <w:b/>
                <w:bCs/>
                <w:noProof/>
                <w:sz w:val="20"/>
                <w:szCs w:val="20"/>
              </w:rPr>
            </w:pPr>
            <w:r w:rsidRPr="4321A1A3">
              <w:rPr>
                <w:rFonts w:eastAsia="Times New Roman"/>
                <w:b/>
                <w:bCs/>
                <w:noProof/>
                <w:sz w:val="20"/>
                <w:szCs w:val="20"/>
              </w:rPr>
              <w:t>Data source</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A27AE15" w14:textId="40FDDE97" w:rsidR="0057730F" w:rsidRDefault="0057730F" w:rsidP="4321A1A3">
            <w:pPr>
              <w:spacing w:after="160" w:line="257" w:lineRule="auto"/>
              <w:rPr>
                <w:rFonts w:eastAsia="Times New Roman"/>
                <w:b/>
                <w:bCs/>
                <w:noProof/>
                <w:sz w:val="20"/>
                <w:szCs w:val="20"/>
              </w:rPr>
            </w:pPr>
            <w:r w:rsidRPr="4321A1A3">
              <w:rPr>
                <w:rFonts w:eastAsia="Times New Roman"/>
                <w:b/>
                <w:bCs/>
                <w:noProof/>
                <w:sz w:val="20"/>
                <w:szCs w:val="20"/>
              </w:rPr>
              <w:t>Frequency</w:t>
            </w:r>
          </w:p>
        </w:tc>
      </w:tr>
      <w:tr w:rsidR="0057730F" w14:paraId="30FA3A18" w14:textId="77777777" w:rsidTr="00E306CE">
        <w:trPr>
          <w:trHeight w:val="2209"/>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E2EBFF3" w14:textId="4D891E9B"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Ensure proportionate and legally certain DAC6 reporting (removal of certain MBT-related A hallmarks and exclusion of Pillar 2 entities)</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A4EC9AA" w14:textId="2A15AAD2"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 xml:space="preserve">Number of annual DAC6 disclosures </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959E143" w14:textId="6BBF9E1C"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DAC6 central directory statistics</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F3606FA" w14:textId="3EB9C35A"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Annual</w:t>
            </w:r>
          </w:p>
        </w:tc>
      </w:tr>
      <w:tr w:rsidR="0057730F" w14:paraId="72BB76E4" w14:textId="77777777" w:rsidTr="00E306CE">
        <w:trPr>
          <w:trHeight w:val="2209"/>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4B44D7D" w14:textId="21264102"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 xml:space="preserve">Ensure proportionate and legally certain DAC6 reporting (removal of certain MBT-related A hallmarks and exclusion of Pillar 2 entities)  </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78C7533" w14:textId="4DA5E763"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Reductions in administrative compliance costs</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037341A" w14:textId="6AAA4FF5"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Survey of intermediaries</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A6FE468" w14:textId="6965EE21"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E</w:t>
            </w:r>
            <w:r>
              <w:rPr>
                <w:rFonts w:eastAsia="Times New Roman"/>
                <w:noProof/>
                <w:sz w:val="20"/>
                <w:szCs w:val="20"/>
              </w:rPr>
              <w:t>v</w:t>
            </w:r>
            <w:r w:rsidRPr="59ED801D">
              <w:rPr>
                <w:rFonts w:eastAsia="Times New Roman"/>
                <w:noProof/>
                <w:sz w:val="20"/>
                <w:szCs w:val="20"/>
              </w:rPr>
              <w:t>ery 5 years in view of evaluation</w:t>
            </w:r>
          </w:p>
        </w:tc>
      </w:tr>
      <w:tr w:rsidR="0057730F" w14:paraId="3A62FD4C" w14:textId="77777777" w:rsidTr="00E306CE">
        <w:trPr>
          <w:trHeight w:val="300"/>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A0CD271" w14:textId="1B915102"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Ensure proportionate and better targeted reporting of sellers under DAC7</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42B9B02" w14:textId="3DBDCDC0"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 xml:space="preserve">Number of annual sellers reported for the sale of goods. </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010F363" w14:textId="44DFAF22"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Statistics reported by Member States</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8A3AE0C" w14:textId="600E2CBD"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Annual</w:t>
            </w:r>
          </w:p>
        </w:tc>
      </w:tr>
      <w:tr w:rsidR="0057730F" w14:paraId="6CE10524" w14:textId="77777777" w:rsidTr="00E306CE">
        <w:trPr>
          <w:trHeight w:val="300"/>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0F22436" w14:textId="317258E5"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 xml:space="preserve">Ensure proportionate and better targeted reporting of sellers under DAC7  </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EEED17F" w14:textId="5F508EED"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Reductions in administrative compliance costs</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86FA752" w14:textId="1FD18819"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Survey of Platform Operators</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B741346" w14:textId="7BD0B4A2"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Every 5 years in view of evaluation</w:t>
            </w:r>
          </w:p>
        </w:tc>
      </w:tr>
      <w:tr w:rsidR="0057730F" w14:paraId="5945DC61" w14:textId="77777777" w:rsidTr="00E306CE">
        <w:trPr>
          <w:trHeight w:val="300"/>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A01A3AD" w14:textId="64C7AE47"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Eliminate duplicative (DAC4/</w:t>
            </w:r>
            <w:r>
              <w:rPr>
                <w:rFonts w:eastAsia="Times New Roman"/>
                <w:noProof/>
                <w:sz w:val="20"/>
                <w:szCs w:val="20"/>
              </w:rPr>
              <w:t>DAC9</w:t>
            </w:r>
            <w:r w:rsidRPr="4321A1A3">
              <w:rPr>
                <w:rFonts w:eastAsia="Times New Roman"/>
                <w:noProof/>
                <w:sz w:val="20"/>
                <w:szCs w:val="20"/>
              </w:rPr>
              <w:t xml:space="preserve">) and non-harmonised notification obligations for MNE Groups  </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06B1AFC" w14:textId="48BEA4A5"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Number of notifications submitted by constituent entities and number of notifications submitted at group level</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BE87BB1" w14:textId="543AE7C5"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 xml:space="preserve">Statistics reported by Member States </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83485BA" w14:textId="38991CDE"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Annual</w:t>
            </w:r>
          </w:p>
        </w:tc>
      </w:tr>
      <w:tr w:rsidR="0057730F" w14:paraId="35DD31B0" w14:textId="77777777" w:rsidTr="00E306CE">
        <w:trPr>
          <w:trHeight w:val="300"/>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7D18F4A" w14:textId="29853D13"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Eliminate duplicative (DAC4/</w:t>
            </w:r>
            <w:r>
              <w:rPr>
                <w:rFonts w:eastAsia="Times New Roman"/>
                <w:noProof/>
                <w:sz w:val="20"/>
                <w:szCs w:val="20"/>
              </w:rPr>
              <w:t>DAC9</w:t>
            </w:r>
            <w:r w:rsidRPr="59ED801D">
              <w:rPr>
                <w:rFonts w:eastAsia="Times New Roman"/>
                <w:noProof/>
                <w:sz w:val="20"/>
                <w:szCs w:val="20"/>
              </w:rPr>
              <w:t xml:space="preserve">) and non-harmonised notification obligations for MNE Groups   </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79EFE16" w14:textId="33554F81"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Reductions in administrative compliance costs</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3889E6F" w14:textId="75497E4E"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Survey of Platform Operators</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312E901" w14:textId="784320AD" w:rsidR="0057730F" w:rsidRDefault="0057730F" w:rsidP="59ED801D">
            <w:pPr>
              <w:spacing w:line="257" w:lineRule="auto"/>
              <w:jc w:val="left"/>
              <w:rPr>
                <w:rFonts w:eastAsia="Times New Roman"/>
                <w:noProof/>
                <w:sz w:val="20"/>
                <w:szCs w:val="20"/>
              </w:rPr>
            </w:pPr>
            <w:r w:rsidRPr="59ED801D">
              <w:rPr>
                <w:rFonts w:eastAsia="Times New Roman"/>
                <w:noProof/>
                <w:sz w:val="20"/>
                <w:szCs w:val="20"/>
              </w:rPr>
              <w:t>Every 5 years in view of evaluation</w:t>
            </w:r>
          </w:p>
        </w:tc>
      </w:tr>
      <w:tr w:rsidR="0057730F" w14:paraId="2C03EE4C" w14:textId="77777777" w:rsidTr="00E306CE">
        <w:trPr>
          <w:trHeight w:val="300"/>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B1881FB" w14:textId="49F20066"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Improve the quality and completeness of DAC1 exchanges</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95CAAF1" w14:textId="3A9EFFD6"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Number of categories exchanged by Member States and increase in the volume of information exchanged</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3364A8F" w14:textId="67495628"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DAC1 statistics reported by Member States</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C755390" w14:textId="02E8786C"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Annual</w:t>
            </w:r>
          </w:p>
        </w:tc>
      </w:tr>
      <w:tr w:rsidR="0057730F" w14:paraId="4F324413" w14:textId="77777777" w:rsidTr="00E306CE">
        <w:trPr>
          <w:trHeight w:val="300"/>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E1A4B1D" w14:textId="509390C7"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Strengthen tax compliance and protection of tax bases</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0D10FC5" w14:textId="1505B93E" w:rsidR="0057730F" w:rsidRDefault="0057730F" w:rsidP="4321A1A3">
            <w:pPr>
              <w:spacing w:after="160" w:line="257" w:lineRule="auto"/>
              <w:jc w:val="left"/>
              <w:rPr>
                <w:rFonts w:eastAsia="Times New Roman"/>
                <w:noProof/>
                <w:sz w:val="20"/>
                <w:szCs w:val="20"/>
              </w:rPr>
            </w:pPr>
            <w:r w:rsidRPr="4321A1A3">
              <w:rPr>
                <w:rFonts w:eastAsia="Times New Roman"/>
                <w:noProof/>
                <w:sz w:val="20"/>
                <w:szCs w:val="20"/>
              </w:rPr>
              <w:t xml:space="preserve"> </w:t>
            </w:r>
            <w:r>
              <w:rPr>
                <w:rFonts w:eastAsia="Times New Roman"/>
                <w:noProof/>
                <w:sz w:val="20"/>
                <w:szCs w:val="20"/>
              </w:rPr>
              <w:t xml:space="preserve">Member States qualitative and/or </w:t>
            </w:r>
            <w:r w:rsidR="00510FA2">
              <w:rPr>
                <w:rFonts w:eastAsia="Times New Roman"/>
                <w:noProof/>
                <w:sz w:val="20"/>
                <w:szCs w:val="20"/>
              </w:rPr>
              <w:t>quantitative appreciation</w:t>
            </w:r>
            <w:r>
              <w:rPr>
                <w:rFonts w:eastAsia="Times New Roman"/>
                <w:noProof/>
                <w:sz w:val="20"/>
                <w:szCs w:val="20"/>
              </w:rPr>
              <w:t xml:space="preserve"> of the ability to protect tax base </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40C4103" w14:textId="0F5AB0FC" w:rsidR="0057730F" w:rsidRDefault="0057730F" w:rsidP="4321A1A3">
            <w:pPr>
              <w:jc w:val="left"/>
              <w:rPr>
                <w:rFonts w:eastAsia="Times New Roman"/>
                <w:noProof/>
                <w:sz w:val="20"/>
                <w:szCs w:val="20"/>
              </w:rPr>
            </w:pPr>
            <w:r w:rsidRPr="4321A1A3">
              <w:rPr>
                <w:rFonts w:eastAsia="Times New Roman"/>
                <w:noProof/>
                <w:sz w:val="20"/>
                <w:szCs w:val="20"/>
              </w:rPr>
              <w:t>Statistics reported by Member States</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5EF9006" w14:textId="5A746D2A" w:rsidR="0057730F" w:rsidRDefault="0057730F" w:rsidP="4321A1A3">
            <w:pPr>
              <w:jc w:val="left"/>
              <w:rPr>
                <w:rFonts w:eastAsia="Times New Roman"/>
                <w:noProof/>
                <w:sz w:val="20"/>
                <w:szCs w:val="20"/>
              </w:rPr>
            </w:pPr>
            <w:r w:rsidRPr="4321A1A3">
              <w:rPr>
                <w:rFonts w:eastAsia="Times New Roman"/>
                <w:noProof/>
                <w:sz w:val="20"/>
                <w:szCs w:val="20"/>
              </w:rPr>
              <w:t>Annual</w:t>
            </w:r>
          </w:p>
        </w:tc>
      </w:tr>
      <w:tr w:rsidR="0057730F" w14:paraId="76E97E4E" w14:textId="77777777" w:rsidTr="00E306CE">
        <w:trPr>
          <w:trHeight w:val="300"/>
        </w:trPr>
        <w:tc>
          <w:tcPr>
            <w:tcW w:w="381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6AB0EB9" w14:textId="7928433A" w:rsidR="0057730F" w:rsidRDefault="0057730F" w:rsidP="537B9AB8">
            <w:pPr>
              <w:spacing w:line="257" w:lineRule="auto"/>
              <w:jc w:val="left"/>
              <w:rPr>
                <w:rFonts w:eastAsia="Times New Roman"/>
                <w:noProof/>
                <w:sz w:val="20"/>
                <w:szCs w:val="20"/>
              </w:rPr>
            </w:pPr>
            <w:r w:rsidRPr="00510FA2">
              <w:rPr>
                <w:rFonts w:eastAsia="Times New Roman"/>
                <w:noProof/>
                <w:color w:val="000000" w:themeColor="text1"/>
                <w:sz w:val="20"/>
                <w:szCs w:val="20"/>
              </w:rPr>
              <w:t xml:space="preserve">Increase in tax revenues/tax base as a </w:t>
            </w:r>
            <w:r w:rsidRPr="537B9AB8">
              <w:rPr>
                <w:rFonts w:eastAsia="Times New Roman"/>
                <w:noProof/>
                <w:color w:val="000000" w:themeColor="text1"/>
                <w:sz w:val="20"/>
                <w:szCs w:val="20"/>
              </w:rPr>
              <w:t xml:space="preserve">direct/indirect </w:t>
            </w:r>
            <w:r w:rsidRPr="00510FA2">
              <w:rPr>
                <w:rFonts w:eastAsia="Times New Roman"/>
                <w:noProof/>
                <w:color w:val="000000" w:themeColor="text1"/>
                <w:sz w:val="20"/>
                <w:szCs w:val="20"/>
              </w:rPr>
              <w:t xml:space="preserve">consequence of making all DAC1 categories mandatory and ensuring that all information that is available </w:t>
            </w:r>
            <w:r w:rsidRPr="537B9AB8">
              <w:rPr>
                <w:rFonts w:eastAsia="Times New Roman"/>
                <w:noProof/>
                <w:color w:val="000000" w:themeColor="text1"/>
                <w:sz w:val="20"/>
                <w:szCs w:val="20"/>
              </w:rPr>
              <w:t xml:space="preserve">is </w:t>
            </w:r>
            <w:r w:rsidRPr="00510FA2">
              <w:rPr>
                <w:rFonts w:eastAsia="Times New Roman"/>
                <w:noProof/>
                <w:color w:val="000000" w:themeColor="text1"/>
                <w:sz w:val="20"/>
                <w:szCs w:val="20"/>
              </w:rPr>
              <w:t>exchanged</w:t>
            </w:r>
          </w:p>
        </w:tc>
        <w:tc>
          <w:tcPr>
            <w:tcW w:w="212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8D40690" w14:textId="23DE7BBB" w:rsidR="0057730F" w:rsidRDefault="0057730F" w:rsidP="537B9AB8">
            <w:pPr>
              <w:spacing w:line="257" w:lineRule="auto"/>
              <w:jc w:val="left"/>
              <w:rPr>
                <w:rFonts w:eastAsia="Times New Roman"/>
                <w:noProof/>
                <w:sz w:val="20"/>
                <w:szCs w:val="20"/>
              </w:rPr>
            </w:pPr>
            <w:r w:rsidRPr="537B9AB8">
              <w:rPr>
                <w:rFonts w:eastAsia="Times New Roman"/>
                <w:noProof/>
                <w:color w:val="000000" w:themeColor="text1"/>
                <w:sz w:val="20"/>
                <w:szCs w:val="20"/>
              </w:rPr>
              <w:t>A</w:t>
            </w:r>
            <w:r w:rsidRPr="00510FA2">
              <w:rPr>
                <w:rFonts w:eastAsia="Times New Roman"/>
                <w:noProof/>
                <w:color w:val="000000" w:themeColor="text1"/>
                <w:sz w:val="20"/>
                <w:szCs w:val="20"/>
              </w:rPr>
              <w:t>ssessment of the impact of the new reporting requirements on tax fraud, tax evasion and tax avoidance</w:t>
            </w:r>
          </w:p>
        </w:tc>
        <w:tc>
          <w:tcPr>
            <w:tcW w:w="198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4F548EA" w14:textId="4CAA8E65" w:rsidR="0057730F" w:rsidRDefault="0057730F" w:rsidP="537B9AB8">
            <w:pPr>
              <w:jc w:val="left"/>
              <w:rPr>
                <w:rFonts w:eastAsia="Times New Roman"/>
                <w:noProof/>
                <w:sz w:val="20"/>
                <w:szCs w:val="20"/>
              </w:rPr>
            </w:pPr>
            <w:r w:rsidRPr="537B9AB8">
              <w:rPr>
                <w:rFonts w:eastAsia="Times New Roman"/>
                <w:noProof/>
                <w:sz w:val="20"/>
                <w:szCs w:val="20"/>
              </w:rPr>
              <w:t>Statistics reported by Member States</w:t>
            </w:r>
            <w:r>
              <w:rPr>
                <w:rFonts w:eastAsia="Times New Roman"/>
                <w:noProof/>
                <w:sz w:val="20"/>
                <w:szCs w:val="20"/>
              </w:rPr>
              <w:t xml:space="preserve"> or qualitative appreciation</w:t>
            </w:r>
          </w:p>
        </w:tc>
        <w:tc>
          <w:tcPr>
            <w:tcW w:w="127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7D3D580" w14:textId="16E22716" w:rsidR="0057730F" w:rsidRDefault="0057730F" w:rsidP="537B9AB8">
            <w:pPr>
              <w:jc w:val="left"/>
              <w:rPr>
                <w:rFonts w:eastAsia="Times New Roman"/>
                <w:noProof/>
                <w:sz w:val="20"/>
                <w:szCs w:val="20"/>
              </w:rPr>
            </w:pPr>
            <w:r w:rsidRPr="537B9AB8">
              <w:rPr>
                <w:rFonts w:eastAsia="Times New Roman"/>
                <w:noProof/>
                <w:sz w:val="20"/>
                <w:szCs w:val="20"/>
              </w:rPr>
              <w:t>Annual</w:t>
            </w:r>
          </w:p>
        </w:tc>
      </w:tr>
    </w:tbl>
    <w:p w14:paraId="4570FBE8" w14:textId="4E8EC17A" w:rsidR="00D20FD1" w:rsidRDefault="00D20FD1" w:rsidP="000E3086">
      <w:pPr>
        <w:rPr>
          <w:noProof/>
        </w:rPr>
      </w:pPr>
    </w:p>
    <w:p w14:paraId="1AFE8CA9" w14:textId="681C9B98" w:rsidR="00D6565B" w:rsidRDefault="3685AEBD" w:rsidP="00510FA2">
      <w:pPr>
        <w:pStyle w:val="NormalWeb"/>
        <w:jc w:val="both"/>
        <w:rPr>
          <w:noProof/>
        </w:rPr>
      </w:pPr>
      <w:r w:rsidRPr="00D7088D">
        <w:rPr>
          <w:noProof/>
        </w:rPr>
        <w:t xml:space="preserve">Monitoring will be carried out </w:t>
      </w:r>
      <w:r w:rsidR="686DB166" w:rsidRPr="00D7088D">
        <w:rPr>
          <w:noProof/>
        </w:rPr>
        <w:t>via the</w:t>
      </w:r>
      <w:r w:rsidRPr="00D7088D">
        <w:rPr>
          <w:noProof/>
        </w:rPr>
        <w:t xml:space="preserve"> existing cooperation structures </w:t>
      </w:r>
      <w:r w:rsidR="1D61141E" w:rsidRPr="00D7088D">
        <w:rPr>
          <w:noProof/>
        </w:rPr>
        <w:t>involving</w:t>
      </w:r>
      <w:r w:rsidRPr="00D7088D">
        <w:rPr>
          <w:noProof/>
        </w:rPr>
        <w:t xml:space="preserve"> the Commission </w:t>
      </w:r>
      <w:r w:rsidR="1D61141E" w:rsidRPr="00D7088D">
        <w:rPr>
          <w:noProof/>
        </w:rPr>
        <w:t xml:space="preserve">services </w:t>
      </w:r>
      <w:r w:rsidRPr="00D7088D">
        <w:rPr>
          <w:noProof/>
        </w:rPr>
        <w:t xml:space="preserve">and </w:t>
      </w:r>
      <w:r w:rsidR="1D61141E" w:rsidRPr="00D7088D">
        <w:rPr>
          <w:noProof/>
        </w:rPr>
        <w:t xml:space="preserve">the </w:t>
      </w:r>
      <w:r w:rsidRPr="00D7088D">
        <w:rPr>
          <w:noProof/>
        </w:rPr>
        <w:t>Member States</w:t>
      </w:r>
      <w:r w:rsidR="709606D8" w:rsidRPr="00D7088D">
        <w:rPr>
          <w:noProof/>
        </w:rPr>
        <w:t>.</w:t>
      </w:r>
      <w:r w:rsidR="5F250758" w:rsidRPr="00D7088D">
        <w:rPr>
          <w:noProof/>
        </w:rPr>
        <w:t xml:space="preserve"> </w:t>
      </w:r>
      <w:r w:rsidR="219C5B6A" w:rsidRPr="00D7088D">
        <w:rPr>
          <w:noProof/>
        </w:rPr>
        <w:t>Accordingly,</w:t>
      </w:r>
      <w:r w:rsidRPr="00D7088D">
        <w:rPr>
          <w:noProof/>
        </w:rPr>
        <w:t xml:space="preserve"> the Working Group on Administrative Cooperation in Direct Taxation</w:t>
      </w:r>
      <w:r w:rsidR="12B7FEC4" w:rsidRPr="00D7088D">
        <w:rPr>
          <w:noProof/>
        </w:rPr>
        <w:t xml:space="preserve"> (WG ACDT)</w:t>
      </w:r>
      <w:r w:rsidRPr="00D7088D">
        <w:rPr>
          <w:noProof/>
        </w:rPr>
        <w:t xml:space="preserve">, </w:t>
      </w:r>
      <w:r w:rsidR="1BFD6ABD" w:rsidRPr="00D7088D">
        <w:rPr>
          <w:noProof/>
        </w:rPr>
        <w:t xml:space="preserve">will </w:t>
      </w:r>
      <w:r w:rsidRPr="00D7088D">
        <w:rPr>
          <w:noProof/>
        </w:rPr>
        <w:t xml:space="preserve">discuss the implementation and functioning of the </w:t>
      </w:r>
      <w:r w:rsidR="792B60AB" w:rsidRPr="00D7088D">
        <w:rPr>
          <w:noProof/>
        </w:rPr>
        <w:t>revised</w:t>
      </w:r>
      <w:r w:rsidRPr="00D7088D">
        <w:rPr>
          <w:noProof/>
        </w:rPr>
        <w:t xml:space="preserve"> framework. This forum allows </w:t>
      </w:r>
      <w:r w:rsidR="633D3E2C" w:rsidRPr="00D7088D">
        <w:rPr>
          <w:noProof/>
        </w:rPr>
        <w:t xml:space="preserve">the </w:t>
      </w:r>
      <w:r w:rsidRPr="00D7088D">
        <w:rPr>
          <w:noProof/>
        </w:rPr>
        <w:t>Member States</w:t>
      </w:r>
      <w:r w:rsidR="77B6D3A3" w:rsidRPr="00D7088D">
        <w:rPr>
          <w:noProof/>
        </w:rPr>
        <w:t xml:space="preserve"> and Commission services</w:t>
      </w:r>
      <w:r w:rsidRPr="00D7088D">
        <w:rPr>
          <w:noProof/>
        </w:rPr>
        <w:t xml:space="preserve"> to </w:t>
      </w:r>
      <w:r w:rsidR="723883B5" w:rsidRPr="00D7088D">
        <w:rPr>
          <w:noProof/>
        </w:rPr>
        <w:t>discuss</w:t>
      </w:r>
      <w:r w:rsidRPr="00D7088D">
        <w:rPr>
          <w:noProof/>
        </w:rPr>
        <w:t xml:space="preserve"> implementation </w:t>
      </w:r>
      <w:r w:rsidRPr="4321A1A3">
        <w:rPr>
          <w:noProof/>
        </w:rPr>
        <w:t>practices, identify operational challenges and share experience</w:t>
      </w:r>
      <w:r w:rsidR="732423D1" w:rsidRPr="4321A1A3">
        <w:rPr>
          <w:noProof/>
        </w:rPr>
        <w:t>s</w:t>
      </w:r>
      <w:r w:rsidRPr="4321A1A3">
        <w:rPr>
          <w:noProof/>
        </w:rPr>
        <w:t xml:space="preserve"> regarding the application of the framework.</w:t>
      </w:r>
      <w:r w:rsidR="3FC72D2B" w:rsidRPr="4321A1A3">
        <w:rPr>
          <w:noProof/>
        </w:rPr>
        <w:t xml:space="preserve"> </w:t>
      </w:r>
    </w:p>
    <w:p w14:paraId="6E39CC63" w14:textId="6AAB3BEC" w:rsidR="3DD1B977" w:rsidRDefault="3685AEBD" w:rsidP="00510FA2">
      <w:pPr>
        <w:pStyle w:val="NormalWeb"/>
        <w:jc w:val="both"/>
        <w:rPr>
          <w:noProof/>
        </w:rPr>
      </w:pPr>
      <w:r w:rsidRPr="4321A1A3">
        <w:rPr>
          <w:noProof/>
        </w:rPr>
        <w:t xml:space="preserve">Where appropriate, the Commission </w:t>
      </w:r>
      <w:r w:rsidR="27E6E695" w:rsidRPr="4321A1A3">
        <w:rPr>
          <w:noProof/>
        </w:rPr>
        <w:t>services</w:t>
      </w:r>
      <w:r w:rsidRPr="4321A1A3">
        <w:rPr>
          <w:noProof/>
        </w:rPr>
        <w:t xml:space="preserve"> </w:t>
      </w:r>
      <w:r w:rsidR="00F64132" w:rsidRPr="4321A1A3">
        <w:rPr>
          <w:noProof/>
        </w:rPr>
        <w:t>will also</w:t>
      </w:r>
      <w:r w:rsidRPr="4321A1A3">
        <w:rPr>
          <w:noProof/>
        </w:rPr>
        <w:t xml:space="preserve"> collect feedback from </w:t>
      </w:r>
      <w:r w:rsidR="7FDCF12D" w:rsidRPr="4321A1A3">
        <w:rPr>
          <w:noProof/>
        </w:rPr>
        <w:t>relevant</w:t>
      </w:r>
      <w:r w:rsidRPr="4321A1A3">
        <w:rPr>
          <w:noProof/>
        </w:rPr>
        <w:t xml:space="preserve"> stakeholders</w:t>
      </w:r>
      <w:r w:rsidR="36A11003" w:rsidRPr="4321A1A3">
        <w:rPr>
          <w:noProof/>
        </w:rPr>
        <w:t xml:space="preserve"> (e.g. </w:t>
      </w:r>
      <w:r w:rsidRPr="4321A1A3">
        <w:rPr>
          <w:noProof/>
        </w:rPr>
        <w:t xml:space="preserve">intermediaries, </w:t>
      </w:r>
      <w:r w:rsidR="429EC89E" w:rsidRPr="4321A1A3">
        <w:rPr>
          <w:noProof/>
        </w:rPr>
        <w:t xml:space="preserve">MNE </w:t>
      </w:r>
      <w:r w:rsidR="0401CFE4" w:rsidRPr="4321A1A3">
        <w:rPr>
          <w:noProof/>
        </w:rPr>
        <w:t>g</w:t>
      </w:r>
      <w:r w:rsidR="429EC89E" w:rsidRPr="4321A1A3">
        <w:rPr>
          <w:noProof/>
        </w:rPr>
        <w:t>roups</w:t>
      </w:r>
      <w:r w:rsidR="150F2C19" w:rsidRPr="4321A1A3">
        <w:rPr>
          <w:noProof/>
        </w:rPr>
        <w:t xml:space="preserve">, </w:t>
      </w:r>
      <w:r w:rsidRPr="4321A1A3">
        <w:rPr>
          <w:noProof/>
        </w:rPr>
        <w:t>digital platform operators,</w:t>
      </w:r>
      <w:r w:rsidR="56E21EF1" w:rsidRPr="4321A1A3">
        <w:rPr>
          <w:noProof/>
        </w:rPr>
        <w:t xml:space="preserve"> etc.)</w:t>
      </w:r>
      <w:r w:rsidRPr="4321A1A3">
        <w:rPr>
          <w:noProof/>
        </w:rPr>
        <w:t xml:space="preserve"> to </w:t>
      </w:r>
      <w:r w:rsidR="5ECFCD8C" w:rsidRPr="4321A1A3">
        <w:rPr>
          <w:noProof/>
        </w:rPr>
        <w:t>better</w:t>
      </w:r>
      <w:r w:rsidRPr="4321A1A3">
        <w:rPr>
          <w:noProof/>
        </w:rPr>
        <w:t xml:space="preserve"> assess the practical impact of the reforms</w:t>
      </w:r>
      <w:r w:rsidR="01120413" w:rsidRPr="4321A1A3">
        <w:rPr>
          <w:noProof/>
        </w:rPr>
        <w:t xml:space="preserve">. </w:t>
      </w:r>
      <w:r w:rsidR="3DD1B977">
        <w:rPr>
          <w:noProof/>
        </w:rPr>
        <w:t>The Commission services will survey reporting entities to establish that the measures are delivering the expected reductions in administrative costs. The survey will cover the following areas:</w:t>
      </w:r>
    </w:p>
    <w:p w14:paraId="3B3AD494" w14:textId="542F47AA" w:rsidR="3DD1B977" w:rsidRDefault="3DD1B977" w:rsidP="00510FA2">
      <w:pPr>
        <w:pStyle w:val="NormalWeb"/>
        <w:numPr>
          <w:ilvl w:val="0"/>
          <w:numId w:val="37"/>
        </w:numPr>
        <w:jc w:val="both"/>
        <w:rPr>
          <w:noProof/>
        </w:rPr>
      </w:pPr>
      <w:r>
        <w:rPr>
          <w:noProof/>
        </w:rPr>
        <w:t xml:space="preserve">DAC6: Survey of intermediaries and Pillar 2 companies to confirm the expected reductions in administrative compliance costs as a direct consequence of the removal of hallmark A and the exclusion of Pillar 2 companies from the scope of reporting. </w:t>
      </w:r>
    </w:p>
    <w:p w14:paraId="5CB3BB3B" w14:textId="2AEA0950" w:rsidR="3DD1B977" w:rsidRDefault="3DD1B977" w:rsidP="00510FA2">
      <w:pPr>
        <w:pStyle w:val="NormalWeb"/>
        <w:numPr>
          <w:ilvl w:val="0"/>
          <w:numId w:val="37"/>
        </w:numPr>
        <w:jc w:val="both"/>
        <w:rPr>
          <w:noProof/>
        </w:rPr>
      </w:pPr>
      <w:r>
        <w:rPr>
          <w:noProof/>
        </w:rPr>
        <w:t>DAC7: Survey of reporting platform operators to confirm the expected reductions in administrative compliance costs as a direct consequence of the increase in the reporting threshold for the sale of goods.</w:t>
      </w:r>
    </w:p>
    <w:p w14:paraId="5680CDF2" w14:textId="01C51BF1" w:rsidR="3DD1B977" w:rsidRDefault="3DD1B977" w:rsidP="00510FA2">
      <w:pPr>
        <w:pStyle w:val="NormalWeb"/>
        <w:numPr>
          <w:ilvl w:val="0"/>
          <w:numId w:val="37"/>
        </w:numPr>
        <w:jc w:val="both"/>
        <w:rPr>
          <w:noProof/>
        </w:rPr>
      </w:pPr>
      <w:r>
        <w:rPr>
          <w:noProof/>
        </w:rPr>
        <w:t>DAC4/</w:t>
      </w:r>
      <w:r w:rsidR="00510FA2">
        <w:rPr>
          <w:noProof/>
        </w:rPr>
        <w:t>DAC9</w:t>
      </w:r>
      <w:r>
        <w:rPr>
          <w:noProof/>
        </w:rPr>
        <w:t xml:space="preserve">: Survey of MNE groups to confirm the expected reductions in administrative compliance costs as a direct consequence of streamlining the current dual notification obligations. </w:t>
      </w:r>
    </w:p>
    <w:p w14:paraId="02CDEBDE" w14:textId="3E6C0D98" w:rsidR="309E59F7" w:rsidRDefault="3DD1B977" w:rsidP="00510FA2">
      <w:pPr>
        <w:pStyle w:val="NormalWeb"/>
        <w:jc w:val="both"/>
        <w:rPr>
          <w:noProof/>
        </w:rPr>
      </w:pPr>
      <w:r>
        <w:rPr>
          <w:noProof/>
        </w:rPr>
        <w:t>The information attained from these indicators will further inform the Commissions evaluation of the effective functioning of the directive.</w:t>
      </w:r>
    </w:p>
    <w:p w14:paraId="0184A52B" w14:textId="2BD13F5E" w:rsidR="0D71B4A3" w:rsidRPr="002D4C56" w:rsidRDefault="0D71B4A3" w:rsidP="00D7088D">
      <w:pPr>
        <w:pStyle w:val="NormalWeb"/>
        <w:rPr>
          <w:b/>
          <w:bCs/>
          <w:noProof/>
        </w:rPr>
      </w:pPr>
      <w:r w:rsidRPr="002D4C56">
        <w:rPr>
          <w:b/>
          <w:bCs/>
          <w:noProof/>
        </w:rPr>
        <w:t>Evaluation</w:t>
      </w:r>
    </w:p>
    <w:p w14:paraId="3ABF2776" w14:textId="10CFA181" w:rsidR="0D71B4A3" w:rsidRDefault="0D71B4A3" w:rsidP="66333C0B">
      <w:pPr>
        <w:spacing w:before="240"/>
        <w:rPr>
          <w:rFonts w:eastAsia="Times New Roman"/>
          <w:noProof/>
        </w:rPr>
      </w:pPr>
      <w:r w:rsidRPr="1599A2D9">
        <w:rPr>
          <w:rFonts w:eastAsia="Times New Roman"/>
          <w:noProof/>
        </w:rPr>
        <w:t xml:space="preserve">The Commission </w:t>
      </w:r>
      <w:r w:rsidR="41F6D322" w:rsidRPr="1599A2D9">
        <w:rPr>
          <w:rFonts w:eastAsia="Times New Roman"/>
          <w:noProof/>
        </w:rPr>
        <w:t xml:space="preserve">is required to </w:t>
      </w:r>
      <w:r w:rsidR="15D35A0D" w:rsidRPr="1599A2D9">
        <w:rPr>
          <w:rFonts w:eastAsia="Times New Roman"/>
          <w:noProof/>
        </w:rPr>
        <w:t>carr</w:t>
      </w:r>
      <w:r w:rsidR="7FEFD1C7" w:rsidRPr="1599A2D9">
        <w:rPr>
          <w:rFonts w:eastAsia="Times New Roman"/>
          <w:noProof/>
        </w:rPr>
        <w:t>y</w:t>
      </w:r>
      <w:r w:rsidR="15D35A0D" w:rsidRPr="1599A2D9">
        <w:rPr>
          <w:rFonts w:eastAsia="Times New Roman"/>
          <w:noProof/>
        </w:rPr>
        <w:t xml:space="preserve"> out an evaluation of the DAC every five years based on Article 27</w:t>
      </w:r>
      <w:r w:rsidR="209218FB" w:rsidRPr="1599A2D9">
        <w:rPr>
          <w:rFonts w:eastAsia="Times New Roman"/>
          <w:noProof/>
        </w:rPr>
        <w:t xml:space="preserve"> of the Directive</w:t>
      </w:r>
      <w:r w:rsidR="6AD02FB1" w:rsidRPr="1599A2D9">
        <w:rPr>
          <w:rFonts w:eastAsia="Times New Roman"/>
          <w:noProof/>
        </w:rPr>
        <w:t>.</w:t>
      </w:r>
      <w:r w:rsidR="797E18FC" w:rsidRPr="1599A2D9">
        <w:rPr>
          <w:rFonts w:eastAsia="Times New Roman"/>
          <w:noProof/>
        </w:rPr>
        <w:t xml:space="preserve"> </w:t>
      </w:r>
      <w:r w:rsidRPr="1599A2D9">
        <w:rPr>
          <w:rFonts w:eastAsia="Times New Roman"/>
          <w:noProof/>
        </w:rPr>
        <w:t xml:space="preserve">The evaluation will assess the performance of the revised framework in terms of effectiveness, efficiency, relevance, coherence and EU added value. </w:t>
      </w:r>
      <w:r w:rsidR="4F567CB0" w:rsidRPr="1599A2D9">
        <w:rPr>
          <w:rFonts w:eastAsia="Times New Roman"/>
          <w:noProof/>
        </w:rPr>
        <w:t>The evaluation will pay particular</w:t>
      </w:r>
      <w:r w:rsidRPr="1599A2D9">
        <w:rPr>
          <w:rFonts w:eastAsia="Times New Roman"/>
          <w:noProof/>
        </w:rPr>
        <w:t xml:space="preserve"> attention to assessing whether the </w:t>
      </w:r>
      <w:r w:rsidR="43469BEC" w:rsidRPr="1599A2D9">
        <w:rPr>
          <w:rFonts w:eastAsia="Times New Roman"/>
          <w:noProof/>
        </w:rPr>
        <w:t xml:space="preserve">simplification </w:t>
      </w:r>
      <w:r w:rsidRPr="1599A2D9">
        <w:rPr>
          <w:rFonts w:eastAsia="Times New Roman"/>
          <w:noProof/>
        </w:rPr>
        <w:t>initiative has:</w:t>
      </w:r>
    </w:p>
    <w:p w14:paraId="700A2B10" w14:textId="4B388574" w:rsidR="0D71B4A3" w:rsidRPr="00F64132" w:rsidRDefault="3685AEBD" w:rsidP="00F64132">
      <w:pPr>
        <w:pStyle w:val="ListParagraph"/>
        <w:numPr>
          <w:ilvl w:val="0"/>
          <w:numId w:val="33"/>
        </w:numPr>
        <w:spacing w:before="240"/>
        <w:rPr>
          <w:rFonts w:eastAsia="Times New Roman"/>
          <w:noProof/>
        </w:rPr>
      </w:pPr>
      <w:r w:rsidRPr="00F64132">
        <w:rPr>
          <w:rFonts w:eastAsia="Times New Roman"/>
          <w:noProof/>
        </w:rPr>
        <w:t>reduced compliance costs for reporting entities</w:t>
      </w:r>
      <w:r w:rsidR="0664211F" w:rsidRPr="00F64132">
        <w:rPr>
          <w:rFonts w:eastAsia="Times New Roman"/>
          <w:noProof/>
        </w:rPr>
        <w:t xml:space="preserve"> and </w:t>
      </w:r>
      <w:r w:rsidR="49E6788A" w:rsidRPr="00F64132">
        <w:rPr>
          <w:rFonts w:eastAsia="Times New Roman"/>
          <w:noProof/>
        </w:rPr>
        <w:t>e</w:t>
      </w:r>
      <w:r w:rsidR="6589C613" w:rsidRPr="00F64132">
        <w:rPr>
          <w:rFonts w:eastAsia="Times New Roman"/>
          <w:noProof/>
        </w:rPr>
        <w:t>liminated duplicate notification obligations;</w:t>
      </w:r>
    </w:p>
    <w:p w14:paraId="4D40A7B8" w14:textId="71ED9A00" w:rsidR="0D71B4A3" w:rsidRDefault="0D71B4A3" w:rsidP="0059106A">
      <w:pPr>
        <w:pStyle w:val="ListParagraph"/>
        <w:numPr>
          <w:ilvl w:val="0"/>
          <w:numId w:val="5"/>
        </w:numPr>
        <w:spacing w:before="240"/>
        <w:rPr>
          <w:rFonts w:eastAsia="Times New Roman"/>
          <w:noProof/>
        </w:rPr>
      </w:pPr>
      <w:r w:rsidRPr="1F803A45">
        <w:rPr>
          <w:rFonts w:eastAsia="Times New Roman"/>
          <w:noProof/>
        </w:rPr>
        <w:t>improved</w:t>
      </w:r>
      <w:r w:rsidRPr="3A123E5D">
        <w:rPr>
          <w:rFonts w:eastAsia="Times New Roman"/>
          <w:noProof/>
        </w:rPr>
        <w:t xml:space="preserve"> the quality</w:t>
      </w:r>
      <w:r w:rsidR="58A55809" w:rsidRPr="011B13C5">
        <w:rPr>
          <w:rFonts w:eastAsia="Times New Roman"/>
          <w:noProof/>
        </w:rPr>
        <w:t>,</w:t>
      </w:r>
      <w:r w:rsidRPr="3A123E5D">
        <w:rPr>
          <w:rFonts w:eastAsia="Times New Roman"/>
          <w:noProof/>
        </w:rPr>
        <w:t xml:space="preserve"> </w:t>
      </w:r>
      <w:r w:rsidR="58A55809" w:rsidRPr="0EFC1010">
        <w:rPr>
          <w:rFonts w:eastAsia="Times New Roman"/>
          <w:noProof/>
        </w:rPr>
        <w:t>completeness</w:t>
      </w:r>
      <w:r w:rsidRPr="0EFC1010">
        <w:rPr>
          <w:rFonts w:eastAsia="Times New Roman"/>
          <w:noProof/>
        </w:rPr>
        <w:t xml:space="preserve"> </w:t>
      </w:r>
      <w:r w:rsidRPr="3A123E5D">
        <w:rPr>
          <w:rFonts w:eastAsia="Times New Roman"/>
          <w:noProof/>
        </w:rPr>
        <w:t xml:space="preserve">and </w:t>
      </w:r>
      <w:r w:rsidRPr="2205B469">
        <w:rPr>
          <w:rFonts w:eastAsia="Times New Roman"/>
          <w:noProof/>
        </w:rPr>
        <w:t>us</w:t>
      </w:r>
      <w:r w:rsidR="48EA8D09" w:rsidRPr="2205B469">
        <w:rPr>
          <w:rFonts w:eastAsia="Times New Roman"/>
          <w:noProof/>
        </w:rPr>
        <w:t>e</w:t>
      </w:r>
      <w:r w:rsidRPr="3A123E5D">
        <w:rPr>
          <w:rFonts w:eastAsia="Times New Roman"/>
          <w:noProof/>
        </w:rPr>
        <w:t xml:space="preserve"> of exchanged information,</w:t>
      </w:r>
    </w:p>
    <w:p w14:paraId="7AF1C245" w14:textId="0072B78D" w:rsidR="0D71B4A3" w:rsidRDefault="732296EE" w:rsidP="0059106A">
      <w:pPr>
        <w:pStyle w:val="ListParagraph"/>
        <w:numPr>
          <w:ilvl w:val="0"/>
          <w:numId w:val="5"/>
        </w:numPr>
        <w:spacing w:before="240"/>
        <w:rPr>
          <w:rFonts w:eastAsia="Times New Roman"/>
          <w:noProof/>
        </w:rPr>
      </w:pPr>
      <w:r w:rsidRPr="1E4B7F5A">
        <w:rPr>
          <w:rFonts w:eastAsia="Times New Roman"/>
          <w:noProof/>
        </w:rPr>
        <w:t>i</w:t>
      </w:r>
      <w:r w:rsidR="4B53BA36" w:rsidRPr="1E4B7F5A">
        <w:rPr>
          <w:rFonts w:eastAsia="Times New Roman"/>
          <w:noProof/>
        </w:rPr>
        <w:t>ncreased</w:t>
      </w:r>
      <w:r w:rsidRPr="5B2EB4B0">
        <w:rPr>
          <w:rFonts w:eastAsia="Times New Roman"/>
          <w:noProof/>
        </w:rPr>
        <w:t xml:space="preserve"> </w:t>
      </w:r>
      <w:r w:rsidR="0D71B4A3" w:rsidRPr="5B2EB4B0">
        <w:rPr>
          <w:rFonts w:eastAsia="Times New Roman"/>
          <w:noProof/>
        </w:rPr>
        <w:t>automatic</w:t>
      </w:r>
      <w:r w:rsidR="0D71B4A3" w:rsidRPr="3A123E5D">
        <w:rPr>
          <w:rFonts w:eastAsia="Times New Roman"/>
          <w:noProof/>
        </w:rPr>
        <w:t xml:space="preserve"> matching rates</w:t>
      </w:r>
      <w:r w:rsidR="5F6C5C3B" w:rsidRPr="40E45F86">
        <w:rPr>
          <w:rFonts w:eastAsia="Times New Roman"/>
          <w:noProof/>
        </w:rPr>
        <w:t>;</w:t>
      </w:r>
      <w:r w:rsidR="0D71B4A3" w:rsidRPr="3A123E5D">
        <w:rPr>
          <w:rFonts w:eastAsia="Times New Roman"/>
          <w:noProof/>
        </w:rPr>
        <w:t xml:space="preserve"> contributed to </w:t>
      </w:r>
      <w:r w:rsidR="0D71B4A3" w:rsidRPr="66333C0B">
        <w:rPr>
          <w:rFonts w:eastAsia="Times New Roman"/>
          <w:noProof/>
        </w:rPr>
        <w:t>improvements in tax compliance, tax revenues</w:t>
      </w:r>
      <w:r w:rsidR="0D71B4A3" w:rsidRPr="3A123E5D">
        <w:rPr>
          <w:rFonts w:eastAsia="Times New Roman"/>
          <w:noProof/>
        </w:rPr>
        <w:t xml:space="preserve"> and the protection of national tax bases;</w:t>
      </w:r>
    </w:p>
    <w:p w14:paraId="19EE69FB" w14:textId="136C1F86" w:rsidR="0D71B4A3" w:rsidRDefault="0D71B4A3" w:rsidP="0059106A">
      <w:pPr>
        <w:pStyle w:val="ListParagraph"/>
        <w:numPr>
          <w:ilvl w:val="0"/>
          <w:numId w:val="5"/>
        </w:numPr>
        <w:spacing w:before="240"/>
        <w:rPr>
          <w:rFonts w:eastAsia="Times New Roman"/>
          <w:noProof/>
        </w:rPr>
      </w:pPr>
      <w:r w:rsidRPr="3A123E5D">
        <w:rPr>
          <w:rFonts w:eastAsia="Times New Roman"/>
          <w:noProof/>
        </w:rPr>
        <w:t>contributed to</w:t>
      </w:r>
      <w:r w:rsidR="0D5837D8" w:rsidRPr="3A123E5D">
        <w:rPr>
          <w:rFonts w:eastAsia="Times New Roman"/>
          <w:noProof/>
        </w:rPr>
        <w:t xml:space="preserve"> a</w:t>
      </w:r>
      <w:r w:rsidRPr="3A123E5D">
        <w:rPr>
          <w:rFonts w:eastAsia="Times New Roman"/>
          <w:noProof/>
        </w:rPr>
        <w:t xml:space="preserve"> more consistent implementation of reporting rules across Member States.</w:t>
      </w:r>
    </w:p>
    <w:p w14:paraId="4EE422C7" w14:textId="1735B858" w:rsidR="00211D08" w:rsidRDefault="3685AEBD" w:rsidP="00F64132">
      <w:pPr>
        <w:spacing w:after="200" w:line="276" w:lineRule="auto"/>
        <w:rPr>
          <w:noProof/>
          <w:lang w:val="en-IE"/>
        </w:rPr>
      </w:pPr>
      <w:r w:rsidRPr="4321A1A3">
        <w:rPr>
          <w:rFonts w:eastAsia="Times New Roman"/>
          <w:noProof/>
        </w:rPr>
        <w:t>Changes in tax revenues will be interpreted cautiously, as revenue developments may also be influenced by economic conditions or national policy changes. The evaluation will therefore assess the extent to which improvements in tax compliance and revenue outcomes can reasonably be linked to the enhanced availability and use of information under the DAC</w:t>
      </w:r>
      <w:r w:rsidR="5073AD02" w:rsidRPr="4321A1A3">
        <w:rPr>
          <w:rFonts w:eastAsia="Times New Roman"/>
          <w:noProof/>
        </w:rPr>
        <w:t xml:space="preserve">. </w:t>
      </w:r>
      <w:r w:rsidR="0D71B4A3" w:rsidRPr="4321A1A3">
        <w:rPr>
          <w:noProof/>
          <w:lang w:val="en-IE"/>
        </w:rPr>
        <w:br w:type="page"/>
      </w:r>
    </w:p>
    <w:p w14:paraId="179871E6" w14:textId="75E94E53" w:rsidR="006F2A84" w:rsidRPr="00341B36" w:rsidRDefault="00211D08">
      <w:pPr>
        <w:pStyle w:val="AnnexTitle"/>
        <w:rPr>
          <w:noProof/>
        </w:rPr>
      </w:pPr>
      <w:bookmarkStart w:id="39" w:name="_Toc231816724"/>
      <w:r>
        <w:rPr>
          <w:noProof/>
        </w:rPr>
        <w:t>Annex</w:t>
      </w:r>
      <w:r w:rsidR="00EF687D">
        <w:rPr>
          <w:noProof/>
        </w:rPr>
        <w:t xml:space="preserve"> </w:t>
      </w:r>
      <w:r w:rsidR="002E44C0">
        <w:rPr>
          <w:noProof/>
        </w:rPr>
        <w:t>1</w:t>
      </w:r>
      <w:r w:rsidR="00033F9E">
        <w:rPr>
          <w:noProof/>
        </w:rPr>
        <w:t xml:space="preserve">: </w:t>
      </w:r>
      <w:r w:rsidR="00653811">
        <w:rPr>
          <w:noProof/>
        </w:rPr>
        <w:t>Procedural information</w:t>
      </w:r>
      <w:bookmarkEnd w:id="39"/>
    </w:p>
    <w:p w14:paraId="46C7E024" w14:textId="6F12F6AD" w:rsidR="00AE257E" w:rsidRPr="000368DC" w:rsidRDefault="003C4C00" w:rsidP="003C4C00">
      <w:pPr>
        <w:pStyle w:val="Heading1"/>
        <w:numPr>
          <w:ilvl w:val="0"/>
          <w:numId w:val="0"/>
        </w:numPr>
        <w:ind w:left="480" w:hanging="480"/>
        <w:rPr>
          <w:noProof/>
        </w:rPr>
      </w:pPr>
      <w:bookmarkStart w:id="40" w:name="_Toc471997754"/>
      <w:bookmarkStart w:id="41" w:name="_Toc195101101"/>
      <w:bookmarkStart w:id="42" w:name="_Toc231816725"/>
      <w:r>
        <w:rPr>
          <w:noProof/>
        </w:rPr>
        <w:t xml:space="preserve">1. </w:t>
      </w:r>
      <w:r w:rsidR="00AE257E" w:rsidRPr="000368DC">
        <w:rPr>
          <w:noProof/>
        </w:rPr>
        <w:t>Lead DG, D</w:t>
      </w:r>
      <w:r w:rsidR="00AE257E" w:rsidRPr="000368DC">
        <w:rPr>
          <w:i/>
          <w:noProof/>
        </w:rPr>
        <w:t>e</w:t>
      </w:r>
      <w:r w:rsidR="00AE257E" w:rsidRPr="000368DC">
        <w:rPr>
          <w:noProof/>
        </w:rPr>
        <w:t>cide Planning/CWP references</w:t>
      </w:r>
      <w:bookmarkEnd w:id="40"/>
      <w:bookmarkEnd w:id="41"/>
      <w:bookmarkEnd w:id="42"/>
    </w:p>
    <w:p w14:paraId="7CEEB205" w14:textId="77777777" w:rsidR="00AE257E" w:rsidRPr="00903E4B" w:rsidRDefault="00AE257E" w:rsidP="00AE257E">
      <w:pPr>
        <w:rPr>
          <w:noProof/>
        </w:rPr>
      </w:pPr>
      <w:r w:rsidRPr="00903E4B">
        <w:rPr>
          <w:noProof/>
        </w:rPr>
        <w:t xml:space="preserve">DG TAXUD, PLAN/2025/2140. </w:t>
      </w:r>
    </w:p>
    <w:p w14:paraId="6C306E10" w14:textId="47367306" w:rsidR="00AE257E" w:rsidRPr="00903E4B" w:rsidRDefault="00AE257E" w:rsidP="00AE257E">
      <w:pPr>
        <w:rPr>
          <w:noProof/>
        </w:rPr>
      </w:pPr>
      <w:r>
        <w:rPr>
          <w:noProof/>
        </w:rPr>
        <w:t xml:space="preserve">The initiative will complement the </w:t>
      </w:r>
      <w:r w:rsidR="3D978A0F">
        <w:rPr>
          <w:noProof/>
        </w:rPr>
        <w:t>O</w:t>
      </w:r>
      <w:r>
        <w:rPr>
          <w:noProof/>
        </w:rPr>
        <w:t xml:space="preserve">mnibus initiative in the field of taxation that will streamline, simplify and clarify the EU direct tax acquis </w:t>
      </w:r>
      <w:r w:rsidR="179AF464">
        <w:rPr>
          <w:noProof/>
        </w:rPr>
        <w:t xml:space="preserve">and </w:t>
      </w:r>
      <w:r>
        <w:rPr>
          <w:noProof/>
        </w:rPr>
        <w:t>which</w:t>
      </w:r>
      <w:r w:rsidR="68F94FEE">
        <w:rPr>
          <w:noProof/>
        </w:rPr>
        <w:t>,</w:t>
      </w:r>
      <w:r>
        <w:rPr>
          <w:noProof/>
        </w:rPr>
        <w:t xml:space="preserve"> in turn</w:t>
      </w:r>
      <w:r w:rsidR="2A63DC09">
        <w:rPr>
          <w:noProof/>
        </w:rPr>
        <w:t>,</w:t>
      </w:r>
      <w:r>
        <w:rPr>
          <w:noProof/>
        </w:rPr>
        <w:t xml:space="preserve"> is part of a series of simplification initiatives and omnibus packages aimed at simplifying rules across key policy areas</w:t>
      </w:r>
      <w:r w:rsidR="3A87BD91">
        <w:rPr>
          <w:noProof/>
        </w:rPr>
        <w:t>.</w:t>
      </w:r>
    </w:p>
    <w:p w14:paraId="7FDCF537" w14:textId="77777777" w:rsidR="002D4C56" w:rsidRDefault="10806888" w:rsidP="002D4C56">
      <w:pPr>
        <w:rPr>
          <w:noProof/>
        </w:rPr>
      </w:pPr>
      <w:r>
        <w:rPr>
          <w:noProof/>
        </w:rPr>
        <w:t xml:space="preserve">The initiative is planned as a recast of the directive and its </w:t>
      </w:r>
      <w:r w:rsidR="002D4C56">
        <w:rPr>
          <w:noProof/>
        </w:rPr>
        <w:t>8</w:t>
      </w:r>
      <w:r>
        <w:rPr>
          <w:noProof/>
        </w:rPr>
        <w:t xml:space="preserve"> amendments comprising a </w:t>
      </w:r>
      <w:r w:rsidR="11CE6839">
        <w:rPr>
          <w:noProof/>
        </w:rPr>
        <w:t xml:space="preserve">codification </w:t>
      </w:r>
      <w:r w:rsidR="5C34F538">
        <w:rPr>
          <w:noProof/>
        </w:rPr>
        <w:t xml:space="preserve">of the </w:t>
      </w:r>
      <w:r w:rsidR="6CE63E5D">
        <w:rPr>
          <w:noProof/>
        </w:rPr>
        <w:t xml:space="preserve">legal </w:t>
      </w:r>
      <w:r w:rsidR="5C34F538">
        <w:rPr>
          <w:noProof/>
        </w:rPr>
        <w:t>text with the addition of amendments that are aimed to simplify</w:t>
      </w:r>
      <w:r w:rsidR="39837090">
        <w:rPr>
          <w:noProof/>
        </w:rPr>
        <w:t xml:space="preserve">, </w:t>
      </w:r>
      <w:r w:rsidR="5C34F538">
        <w:rPr>
          <w:noProof/>
        </w:rPr>
        <w:t xml:space="preserve">clarify </w:t>
      </w:r>
      <w:r w:rsidR="7171D51E">
        <w:rPr>
          <w:noProof/>
        </w:rPr>
        <w:t>and improve the functioning of the DAC framework.</w:t>
      </w:r>
      <w:bookmarkStart w:id="43" w:name="_Toc471997755"/>
      <w:bookmarkStart w:id="44" w:name="_Toc195101102"/>
    </w:p>
    <w:p w14:paraId="7BB5B1D6" w14:textId="0D4C5F04" w:rsidR="00AE257E" w:rsidRPr="002D4C56" w:rsidRDefault="002D4C56" w:rsidP="003C4C00">
      <w:pPr>
        <w:pStyle w:val="Heading1"/>
        <w:numPr>
          <w:ilvl w:val="0"/>
          <w:numId w:val="0"/>
        </w:numPr>
        <w:ind w:left="480" w:hanging="480"/>
        <w:rPr>
          <w:noProof/>
        </w:rPr>
      </w:pPr>
      <w:bookmarkStart w:id="45" w:name="_Toc231816726"/>
      <w:r w:rsidRPr="002D4C56">
        <w:rPr>
          <w:noProof/>
        </w:rPr>
        <w:t>2.</w:t>
      </w:r>
      <w:r>
        <w:rPr>
          <w:noProof/>
        </w:rPr>
        <w:t xml:space="preserve"> </w:t>
      </w:r>
      <w:r w:rsidR="00AE257E" w:rsidRPr="002D4C56">
        <w:rPr>
          <w:noProof/>
        </w:rPr>
        <w:t>Organisation and timing</w:t>
      </w:r>
      <w:bookmarkEnd w:id="43"/>
      <w:bookmarkEnd w:id="44"/>
      <w:bookmarkEnd w:id="45"/>
    </w:p>
    <w:p w14:paraId="04746A6A" w14:textId="3ED4F8CA" w:rsidR="00AE257E" w:rsidRPr="00903E4B" w:rsidRDefault="00AE257E" w:rsidP="00AE257E">
      <w:pPr>
        <w:rPr>
          <w:rFonts w:eastAsia="Calibri"/>
          <w:noProof/>
        </w:rPr>
      </w:pPr>
      <w:r w:rsidRPr="1599A2D9">
        <w:rPr>
          <w:rFonts w:eastAsia="Calibri"/>
          <w:noProof/>
        </w:rPr>
        <w:t xml:space="preserve">An inter-service steering group was set up to steer and provide input to this impact assessment report. </w:t>
      </w:r>
      <w:r w:rsidR="425006E9" w:rsidRPr="4F301E43">
        <w:rPr>
          <w:rFonts w:eastAsia="Calibri"/>
          <w:noProof/>
        </w:rPr>
        <w:t xml:space="preserve">The steering group was composed of the following services: </w:t>
      </w:r>
      <w:r w:rsidR="12608CF0" w:rsidRPr="2C9D8C63">
        <w:rPr>
          <w:rFonts w:eastAsia="Calibri"/>
          <w:noProof/>
        </w:rPr>
        <w:t xml:space="preserve">SG, TAXUD, COMP, CNECT, </w:t>
      </w:r>
      <w:r w:rsidR="4C2EA058" w:rsidRPr="50AC848A">
        <w:rPr>
          <w:rFonts w:eastAsia="Calibri"/>
          <w:noProof/>
        </w:rPr>
        <w:t xml:space="preserve">EEAS, GROW, </w:t>
      </w:r>
      <w:r w:rsidR="12608CF0" w:rsidRPr="50AC848A">
        <w:rPr>
          <w:rFonts w:eastAsia="Calibri"/>
          <w:noProof/>
        </w:rPr>
        <w:t>JUST</w:t>
      </w:r>
      <w:r w:rsidR="12608CF0" w:rsidRPr="304475B6">
        <w:rPr>
          <w:rFonts w:eastAsia="Calibri"/>
          <w:noProof/>
        </w:rPr>
        <w:t>, FISMA, ECFIN, SJ.</w:t>
      </w:r>
      <w:r w:rsidR="12608CF0" w:rsidRPr="17434D59">
        <w:rPr>
          <w:rFonts w:eastAsia="Calibri"/>
          <w:noProof/>
        </w:rPr>
        <w:t xml:space="preserve"> </w:t>
      </w:r>
      <w:r w:rsidRPr="304475B6">
        <w:rPr>
          <w:rFonts w:eastAsia="Calibri"/>
          <w:noProof/>
        </w:rPr>
        <w:t>The</w:t>
      </w:r>
      <w:r w:rsidRPr="1599A2D9">
        <w:rPr>
          <w:rFonts w:eastAsia="Calibri"/>
          <w:noProof/>
        </w:rPr>
        <w:t xml:space="preserve"> steering group met </w:t>
      </w:r>
      <w:r w:rsidR="67FD8CBB" w:rsidRPr="1599A2D9">
        <w:rPr>
          <w:rFonts w:eastAsia="Calibri"/>
          <w:noProof/>
        </w:rPr>
        <w:t>4</w:t>
      </w:r>
      <w:r w:rsidRPr="1599A2D9">
        <w:rPr>
          <w:rFonts w:eastAsia="Calibri"/>
          <w:noProof/>
        </w:rPr>
        <w:t xml:space="preserve"> times before the report was submitted to the Regulatory Scrutiny Board.</w:t>
      </w:r>
    </w:p>
    <w:p w14:paraId="012307CE" w14:textId="2E410EC1" w:rsidR="00AE257E" w:rsidRPr="00466BE8" w:rsidRDefault="00466BE8" w:rsidP="003C4C00">
      <w:pPr>
        <w:pStyle w:val="Heading1"/>
        <w:numPr>
          <w:ilvl w:val="0"/>
          <w:numId w:val="0"/>
        </w:numPr>
        <w:ind w:left="480" w:hanging="480"/>
        <w:rPr>
          <w:noProof/>
        </w:rPr>
      </w:pPr>
      <w:bookmarkStart w:id="46" w:name="_Toc471997757"/>
      <w:bookmarkStart w:id="47" w:name="_Toc195101103"/>
      <w:bookmarkStart w:id="48" w:name="_Toc231816727"/>
      <w:r>
        <w:rPr>
          <w:noProof/>
        </w:rPr>
        <w:t xml:space="preserve">3. </w:t>
      </w:r>
      <w:r w:rsidR="00AE257E" w:rsidRPr="00466BE8">
        <w:rPr>
          <w:noProof/>
        </w:rPr>
        <w:t>Consultation of the RSB</w:t>
      </w:r>
      <w:bookmarkEnd w:id="46"/>
      <w:bookmarkEnd w:id="47"/>
      <w:bookmarkEnd w:id="48"/>
    </w:p>
    <w:p w14:paraId="37EF0C27" w14:textId="3517D464" w:rsidR="00AE257E" w:rsidRPr="00C84469" w:rsidRDefault="72EFF58A" w:rsidP="6A86AAB7">
      <w:pPr>
        <w:rPr>
          <w:rFonts w:eastAsia="Calibri"/>
          <w:noProof/>
          <w:color w:val="000000"/>
          <w:lang w:val="en-US"/>
        </w:rPr>
      </w:pPr>
      <w:r w:rsidRPr="6A86AAB7">
        <w:rPr>
          <w:rFonts w:eastAsia="Calibri"/>
          <w:noProof/>
          <w:color w:val="000000" w:themeColor="text1"/>
          <w:lang w:val="en-US"/>
        </w:rPr>
        <w:t xml:space="preserve">On </w:t>
      </w:r>
      <w:r w:rsidR="3FADFC30" w:rsidRPr="6A86AAB7">
        <w:rPr>
          <w:rFonts w:eastAsia="Calibri"/>
          <w:noProof/>
          <w:color w:val="000000" w:themeColor="text1"/>
          <w:lang w:val="en-US"/>
        </w:rPr>
        <w:t>8</w:t>
      </w:r>
      <w:r w:rsidRPr="6A86AAB7">
        <w:rPr>
          <w:rFonts w:eastAsia="Calibri"/>
          <w:noProof/>
          <w:color w:val="000000" w:themeColor="text1"/>
          <w:lang w:val="en-US"/>
        </w:rPr>
        <w:t xml:space="preserve"> April 2026, a draft version of the impact assessment was presented to the Regulatory Scrutiny Board. </w:t>
      </w:r>
      <w:r w:rsidR="7C87BF8B" w:rsidRPr="6A86AAB7">
        <w:rPr>
          <w:rFonts w:eastAsia="Times New Roman"/>
          <w:noProof/>
          <w:lang w:val="en-US"/>
        </w:rPr>
        <w:t xml:space="preserve">On </w:t>
      </w:r>
      <w:r w:rsidR="25E62AAC" w:rsidRPr="6A86AAB7">
        <w:rPr>
          <w:rFonts w:eastAsia="Times New Roman"/>
          <w:noProof/>
          <w:lang w:val="en-US"/>
        </w:rPr>
        <w:t xml:space="preserve">4 </w:t>
      </w:r>
      <w:r w:rsidR="7C87BF8B" w:rsidRPr="6A86AAB7">
        <w:rPr>
          <w:rFonts w:eastAsia="Times New Roman"/>
          <w:noProof/>
          <w:lang w:val="en-US"/>
        </w:rPr>
        <w:t>May 2026, the RSB issued a positive opinion with reservations. Afterwards, the draft report has been revised in order to take into account the recommendations for improvement, as explained in more detail in the table below.</w:t>
      </w:r>
    </w:p>
    <w:tbl>
      <w:tblPr>
        <w:tblStyle w:val="TableGrid"/>
        <w:tblW w:w="0" w:type="auto"/>
        <w:tblLook w:val="06A0" w:firstRow="1" w:lastRow="0" w:firstColumn="1" w:lastColumn="0" w:noHBand="1" w:noVBand="1"/>
      </w:tblPr>
      <w:tblGrid>
        <w:gridCol w:w="4375"/>
        <w:gridCol w:w="4376"/>
      </w:tblGrid>
      <w:tr w:rsidR="6A86AAB7" w14:paraId="7EB4AC67" w14:textId="77777777" w:rsidTr="7B67C206">
        <w:trPr>
          <w:trHeight w:val="300"/>
        </w:trPr>
        <w:tc>
          <w:tcPr>
            <w:tcW w:w="4380" w:type="dxa"/>
          </w:tcPr>
          <w:p w14:paraId="7F0F9AAE" w14:textId="1CF21A29" w:rsidR="7917EC3D" w:rsidRPr="00510FA2" w:rsidRDefault="7917EC3D" w:rsidP="6A86AAB7">
            <w:pPr>
              <w:rPr>
                <w:b/>
                <w:bCs/>
                <w:noProof/>
                <w:lang w:val="en-US"/>
              </w:rPr>
            </w:pPr>
            <w:r w:rsidRPr="00510FA2">
              <w:rPr>
                <w:b/>
                <w:bCs/>
                <w:noProof/>
                <w:lang w:val="en-US"/>
              </w:rPr>
              <w:t>RSB Recommendations</w:t>
            </w:r>
          </w:p>
        </w:tc>
        <w:tc>
          <w:tcPr>
            <w:tcW w:w="4380" w:type="dxa"/>
          </w:tcPr>
          <w:p w14:paraId="68791846" w14:textId="293A2B5C" w:rsidR="7917EC3D" w:rsidRPr="00510FA2" w:rsidRDefault="7917EC3D" w:rsidP="6A86AAB7">
            <w:pPr>
              <w:rPr>
                <w:b/>
                <w:bCs/>
                <w:noProof/>
                <w:lang w:val="en-US"/>
              </w:rPr>
            </w:pPr>
            <w:r w:rsidRPr="00510FA2">
              <w:rPr>
                <w:b/>
                <w:bCs/>
                <w:noProof/>
                <w:lang w:val="en-US"/>
              </w:rPr>
              <w:t>How have the recommendations led to changes to the report?</w:t>
            </w:r>
          </w:p>
        </w:tc>
      </w:tr>
      <w:tr w:rsidR="6A86AAB7" w14:paraId="7484EE17" w14:textId="77777777" w:rsidTr="7B67C206">
        <w:trPr>
          <w:trHeight w:val="300"/>
        </w:trPr>
        <w:tc>
          <w:tcPr>
            <w:tcW w:w="4380" w:type="dxa"/>
          </w:tcPr>
          <w:p w14:paraId="5556D76B" w14:textId="576ED3D5" w:rsidR="7917EC3D" w:rsidRPr="00510FA2" w:rsidRDefault="7917EC3D" w:rsidP="00510FA2">
            <w:pPr>
              <w:jc w:val="left"/>
              <w:rPr>
                <w:b/>
                <w:bCs/>
                <w:noProof/>
              </w:rPr>
            </w:pPr>
            <w:r w:rsidRPr="00510FA2">
              <w:rPr>
                <w:b/>
                <w:bCs/>
                <w:noProof/>
                <w:lang w:val="en-US"/>
              </w:rPr>
              <w:t xml:space="preserve">The report does not sufficiently specify key policy measures included under different policy options, in particular for options ‘improving the accuracy of reported </w:t>
            </w:r>
            <w:r w:rsidR="00510FA2" w:rsidRPr="00510FA2">
              <w:rPr>
                <w:b/>
                <w:bCs/>
                <w:noProof/>
                <w:lang w:val="en-US"/>
              </w:rPr>
              <w:t>TINS and improving</w:t>
            </w:r>
            <w:r w:rsidRPr="00510FA2">
              <w:rPr>
                <w:b/>
                <w:bCs/>
                <w:noProof/>
                <w:lang w:val="en-US"/>
              </w:rPr>
              <w:t xml:space="preserve"> the completeness of information exchanged under DAC1’. The report does not adequately specify what type of information is to be collected and exchanged, and from which entities/public bodies the information is expected to be automatically collected and exchanged. The report should also clarify whether some measures are new or not.</w:t>
            </w:r>
          </w:p>
        </w:tc>
        <w:tc>
          <w:tcPr>
            <w:tcW w:w="4380" w:type="dxa"/>
          </w:tcPr>
          <w:p w14:paraId="5EE96ABD" w14:textId="1B1F75DB" w:rsidR="18EF96FE" w:rsidRDefault="7CF40EF9" w:rsidP="6A86AAB7">
            <w:pPr>
              <w:rPr>
                <w:noProof/>
                <w:lang w:val="en-US"/>
              </w:rPr>
            </w:pPr>
            <w:r w:rsidRPr="7B67C206">
              <w:rPr>
                <w:noProof/>
                <w:lang w:val="en-US"/>
              </w:rPr>
              <w:t>Explanations have been developed further in Chapter 6.</w:t>
            </w:r>
            <w:r w:rsidR="1A2BC825" w:rsidRPr="7B67C206">
              <w:rPr>
                <w:noProof/>
                <w:lang w:val="en-US"/>
              </w:rPr>
              <w:t xml:space="preserve"> In the context of mea</w:t>
            </w:r>
            <w:r w:rsidR="718E90BE" w:rsidRPr="7B67C206">
              <w:rPr>
                <w:noProof/>
                <w:lang w:val="en-US"/>
              </w:rPr>
              <w:t xml:space="preserve">sure 4, the objective of which is </w:t>
            </w:r>
            <w:r w:rsidR="5F568CBC" w:rsidRPr="7B67C206">
              <w:rPr>
                <w:noProof/>
                <w:lang w:val="en-US"/>
              </w:rPr>
              <w:t>to improve</w:t>
            </w:r>
            <w:r w:rsidR="718E90BE" w:rsidRPr="7B67C206">
              <w:rPr>
                <w:noProof/>
                <w:lang w:val="en-US"/>
              </w:rPr>
              <w:t xml:space="preserve"> the accuracy of the reported TIN’s</w:t>
            </w:r>
            <w:r w:rsidR="7DDC9576" w:rsidRPr="7B67C206">
              <w:rPr>
                <w:noProof/>
                <w:lang w:val="en-US"/>
              </w:rPr>
              <w:t>. This</w:t>
            </w:r>
            <w:r w:rsidR="667005DF" w:rsidRPr="7B67C206">
              <w:rPr>
                <w:noProof/>
                <w:lang w:val="en-US"/>
              </w:rPr>
              <w:t xml:space="preserve"> is a new </w:t>
            </w:r>
            <w:r w:rsidR="73A9069C" w:rsidRPr="7B67C206">
              <w:rPr>
                <w:noProof/>
                <w:lang w:val="en-US"/>
              </w:rPr>
              <w:t>measure;</w:t>
            </w:r>
            <w:r w:rsidR="667005DF" w:rsidRPr="7B67C206">
              <w:rPr>
                <w:noProof/>
                <w:lang w:val="en-US"/>
              </w:rPr>
              <w:t xml:space="preserve"> </w:t>
            </w:r>
            <w:r w:rsidR="3E883960" w:rsidRPr="7B67C206">
              <w:rPr>
                <w:noProof/>
                <w:lang w:val="en-US"/>
              </w:rPr>
              <w:t>however,</w:t>
            </w:r>
            <w:r w:rsidR="667005DF" w:rsidRPr="7B67C206">
              <w:rPr>
                <w:noProof/>
                <w:lang w:val="en-US"/>
              </w:rPr>
              <w:t xml:space="preserve"> no additional information shall be required to be collected. </w:t>
            </w:r>
            <w:r w:rsidR="0519EF89" w:rsidRPr="7B67C206">
              <w:rPr>
                <w:noProof/>
                <w:lang w:val="en-US"/>
              </w:rPr>
              <w:t>There is already an existing legal requirement to collect the TIN, measure 4 ensures that there is a new tool to verify the correct of the TIN. In addition, measure 4 also provides the possibility for reporting en</w:t>
            </w:r>
            <w:r w:rsidR="3A2AE0E4" w:rsidRPr="7B67C206">
              <w:rPr>
                <w:noProof/>
                <w:lang w:val="en-US"/>
              </w:rPr>
              <w:t xml:space="preserve">tities that opt to use this new tool, to report less identification information e.g. place of birth may no longer be required where a validated TIN is reported. As regards, </w:t>
            </w:r>
            <w:r w:rsidR="282F6BE4" w:rsidRPr="7B67C206">
              <w:rPr>
                <w:noProof/>
                <w:lang w:val="en-US"/>
              </w:rPr>
              <w:t xml:space="preserve">measure 5, which </w:t>
            </w:r>
            <w:r w:rsidR="5B8AAF62" w:rsidRPr="7B67C206">
              <w:rPr>
                <w:noProof/>
                <w:lang w:val="en-US"/>
              </w:rPr>
              <w:t xml:space="preserve">implements a key recommendation of the ECA. The measure ensures that the existing legislative framework is enhanced by making all categories of information (excluding LIP) mandatory and </w:t>
            </w:r>
            <w:r w:rsidR="12DEB139" w:rsidRPr="7B67C206">
              <w:rPr>
                <w:noProof/>
                <w:lang w:val="en-US"/>
              </w:rPr>
              <w:t>by requiring the tax authorities of Member States to exchange all information that is available to public authori</w:t>
            </w:r>
            <w:r w:rsidR="4FA355E5" w:rsidRPr="7B67C206">
              <w:rPr>
                <w:noProof/>
                <w:lang w:val="en-US"/>
              </w:rPr>
              <w:t xml:space="preserve">ties at national level. Currently, </w:t>
            </w:r>
            <w:r w:rsidR="29953A9C" w:rsidRPr="7B67C206">
              <w:rPr>
                <w:noProof/>
                <w:lang w:val="en-US"/>
              </w:rPr>
              <w:t>only</w:t>
            </w:r>
            <w:r w:rsidR="4FA355E5" w:rsidRPr="7B67C206">
              <w:rPr>
                <w:noProof/>
                <w:lang w:val="en-US"/>
              </w:rPr>
              <w:t xml:space="preserve"> informat</w:t>
            </w:r>
            <w:r w:rsidR="797142F8" w:rsidRPr="7B67C206">
              <w:rPr>
                <w:noProof/>
                <w:lang w:val="en-US"/>
              </w:rPr>
              <w:t xml:space="preserve">ion that is available </w:t>
            </w:r>
            <w:r w:rsidR="5D7CDB60" w:rsidRPr="7B67C206">
              <w:rPr>
                <w:noProof/>
                <w:lang w:val="en-US"/>
              </w:rPr>
              <w:t xml:space="preserve">in the tax files of tax authorities is required to be </w:t>
            </w:r>
            <w:r w:rsidR="6E9F5BFC" w:rsidRPr="7B67C206">
              <w:rPr>
                <w:noProof/>
                <w:lang w:val="en-US"/>
              </w:rPr>
              <w:t>exchanged,</w:t>
            </w:r>
            <w:r w:rsidR="5D7CDB60" w:rsidRPr="7B67C206">
              <w:rPr>
                <w:noProof/>
                <w:lang w:val="en-US"/>
              </w:rPr>
              <w:t xml:space="preserve"> and Member States are only required to exchange information on 5 of the 7 categories. </w:t>
            </w:r>
            <w:r w:rsidR="499BC880" w:rsidRPr="7B67C206">
              <w:rPr>
                <w:noProof/>
                <w:lang w:val="en-US"/>
              </w:rPr>
              <w:t xml:space="preserve">The categories of information are </w:t>
            </w:r>
            <w:r w:rsidR="47306266" w:rsidRPr="7B67C206">
              <w:rPr>
                <w:noProof/>
                <w:lang w:val="en-US"/>
              </w:rPr>
              <w:t xml:space="preserve">income from employment, life insurance products, pensions, ownership of and income from immovable property, directors fees, </w:t>
            </w:r>
            <w:r w:rsidR="6D75C8D7" w:rsidRPr="7B67C206">
              <w:rPr>
                <w:noProof/>
                <w:lang w:val="en-US"/>
              </w:rPr>
              <w:t>royalties and non-custodial dividend income.</w:t>
            </w:r>
          </w:p>
        </w:tc>
      </w:tr>
      <w:tr w:rsidR="6A86AAB7" w14:paraId="10D34306" w14:textId="77777777" w:rsidTr="7B67C206">
        <w:trPr>
          <w:trHeight w:val="300"/>
        </w:trPr>
        <w:tc>
          <w:tcPr>
            <w:tcW w:w="4380" w:type="dxa"/>
          </w:tcPr>
          <w:p w14:paraId="3090E6E7" w14:textId="1010E3FF" w:rsidR="7917EC3D" w:rsidRPr="00510FA2" w:rsidRDefault="7917EC3D" w:rsidP="00510FA2">
            <w:pPr>
              <w:jc w:val="left"/>
              <w:rPr>
                <w:b/>
                <w:bCs/>
                <w:noProof/>
              </w:rPr>
            </w:pPr>
            <w:r w:rsidRPr="00510FA2">
              <w:rPr>
                <w:b/>
                <w:bCs/>
                <w:noProof/>
                <w:lang w:val="en-US"/>
              </w:rPr>
              <w:t>The report should better explain how the values used for the calculation of administrative costs have been derived. It should also assess, based on observational data, the related uncertainty and what difference the use of alternative assumptions would make. It should explain why it was not possible to quantify costs or cost savings resulting from the measures on tax administrations.</w:t>
            </w:r>
          </w:p>
        </w:tc>
        <w:tc>
          <w:tcPr>
            <w:tcW w:w="4380" w:type="dxa"/>
          </w:tcPr>
          <w:p w14:paraId="7D6CA9DF" w14:textId="013CF160" w:rsidR="0D043AD0" w:rsidRDefault="19AB88BE" w:rsidP="5AE5215E">
            <w:pPr>
              <w:rPr>
                <w:noProof/>
                <w:lang w:val="en-US"/>
              </w:rPr>
            </w:pPr>
            <w:r w:rsidRPr="7B67C206">
              <w:rPr>
                <w:noProof/>
                <w:lang w:val="en-US"/>
              </w:rPr>
              <w:t xml:space="preserve">The evidence and </w:t>
            </w:r>
            <w:r w:rsidR="209F2B3B" w:rsidRPr="7B67C206">
              <w:rPr>
                <w:noProof/>
                <w:lang w:val="en-US"/>
              </w:rPr>
              <w:t>robustness</w:t>
            </w:r>
            <w:r w:rsidRPr="7B67C206">
              <w:rPr>
                <w:noProof/>
                <w:lang w:val="en-US"/>
              </w:rPr>
              <w:t xml:space="preserve"> of assumptions </w:t>
            </w:r>
            <w:r w:rsidR="4839D55F" w:rsidRPr="7B67C206">
              <w:rPr>
                <w:noProof/>
                <w:lang w:val="en-US"/>
              </w:rPr>
              <w:t>have</w:t>
            </w:r>
            <w:r w:rsidRPr="7B67C206">
              <w:rPr>
                <w:noProof/>
                <w:lang w:val="en-US"/>
              </w:rPr>
              <w:t xml:space="preserve"> been explained further. </w:t>
            </w:r>
            <w:r w:rsidR="09A60695" w:rsidRPr="7B67C206">
              <w:rPr>
                <w:noProof/>
                <w:lang w:val="en-US"/>
              </w:rPr>
              <w:t>Explanations have been developed further in</w:t>
            </w:r>
            <w:r w:rsidR="5690B4F5" w:rsidRPr="7B67C206">
              <w:rPr>
                <w:noProof/>
                <w:lang w:val="en-US"/>
              </w:rPr>
              <w:t xml:space="preserve"> Chapter 6.</w:t>
            </w:r>
          </w:p>
          <w:p w14:paraId="45A75316" w14:textId="13EAC58C" w:rsidR="0D043AD0" w:rsidRDefault="4A24EA9F" w:rsidP="7B67C206">
            <w:pPr>
              <w:spacing w:before="240" w:after="160" w:line="257" w:lineRule="auto"/>
              <w:rPr>
                <w:noProof/>
              </w:rPr>
            </w:pPr>
            <w:r w:rsidRPr="7B67C206">
              <w:rPr>
                <w:noProof/>
                <w:lang w:val="en-US"/>
              </w:rPr>
              <w:t xml:space="preserve">As regards, administrative costs for tax </w:t>
            </w:r>
            <w:r w:rsidR="00510FA2" w:rsidRPr="7B67C206">
              <w:rPr>
                <w:noProof/>
                <w:lang w:val="en-US"/>
              </w:rPr>
              <w:t>administrations,</w:t>
            </w:r>
            <w:r w:rsidRPr="7B67C206">
              <w:rPr>
                <w:noProof/>
                <w:lang w:val="en-US"/>
              </w:rPr>
              <w:t xml:space="preserve"> it is expected that the</w:t>
            </w:r>
            <w:r w:rsidRPr="7B67C206">
              <w:rPr>
                <w:noProof/>
              </w:rPr>
              <w:t xml:space="preserve"> implementation of the revised framework may entail short-term administrative costs. Tax administrations may need to update IT systems, adapt reporting schemas, revise guidance and provide support to intermediaries and taxpayers during the transition phase. Changes to the interpretation or structure of hallmarks may also require internal training and adjustments to risk assessment tools. </w:t>
            </w:r>
          </w:p>
          <w:p w14:paraId="6D0A26C9" w14:textId="19B877E2" w:rsidR="0D043AD0" w:rsidRDefault="4A24EA9F" w:rsidP="5AE5215E">
            <w:pPr>
              <w:spacing w:before="240" w:after="160" w:line="257" w:lineRule="auto"/>
              <w:rPr>
                <w:noProof/>
              </w:rPr>
            </w:pPr>
            <w:r w:rsidRPr="7B67C206">
              <w:rPr>
                <w:noProof/>
              </w:rPr>
              <w:t xml:space="preserve">At the same time, while the implementation of the revised framework may entail short-term administrative costs (e.g. updates to IT systems, reporting schemas, guidance and training), these costs are expected to be limited and largely marginal in nature. This is because the underlying DAC6 reporting infrastructure is already in place, and the proposed changes primarily affect the scope and interpretation of reporting obligations rather than requiring the development of new systems. As a result, adjustments are expected to concern incremental modifications (such as updates to reporting templates or system parameters) rather than substantial investments. </w:t>
            </w:r>
          </w:p>
          <w:p w14:paraId="3DE33BBE" w14:textId="32D3D0DB" w:rsidR="0D043AD0" w:rsidRDefault="4A24EA9F" w:rsidP="00510FA2">
            <w:pPr>
              <w:spacing w:before="240" w:after="160" w:line="257" w:lineRule="auto"/>
              <w:rPr>
                <w:noProof/>
                <w:lang w:val="en-US"/>
              </w:rPr>
            </w:pPr>
            <w:r w:rsidRPr="5AE5215E">
              <w:rPr>
                <w:noProof/>
              </w:rPr>
              <w:t>This assessment is supported by stakeholder feedback, which did not identify significant transition costs and generally indicated that the proposed changes would be straightforward to implement. Given their limited scale and the absence of robust and comparable data across Member States, th</w:t>
            </w:r>
            <w:r w:rsidR="5FD04349" w:rsidRPr="5AE5215E">
              <w:rPr>
                <w:noProof/>
              </w:rPr>
              <w:t>is</w:t>
            </w:r>
            <w:r w:rsidR="318DD17C" w:rsidRPr="5AE5215E">
              <w:rPr>
                <w:noProof/>
              </w:rPr>
              <w:t xml:space="preserve"> </w:t>
            </w:r>
            <w:r w:rsidRPr="5AE5215E">
              <w:rPr>
                <w:noProof/>
              </w:rPr>
              <w:t>adjustment cost could not be meaningfully quantified.</w:t>
            </w:r>
            <w:r w:rsidR="7464AF82" w:rsidRPr="5AE5215E">
              <w:rPr>
                <w:noProof/>
              </w:rPr>
              <w:t xml:space="preserve"> Similarly in the context of </w:t>
            </w:r>
            <w:r w:rsidR="37C3ED64" w:rsidRPr="5AE5215E">
              <w:rPr>
                <w:noProof/>
              </w:rPr>
              <w:t>measure</w:t>
            </w:r>
            <w:r w:rsidR="7464AF82" w:rsidRPr="5AE5215E">
              <w:rPr>
                <w:noProof/>
              </w:rPr>
              <w:t xml:space="preserve"> 5 </w:t>
            </w:r>
            <w:r w:rsidR="2960D30F" w:rsidRPr="5AE5215E">
              <w:rPr>
                <w:noProof/>
              </w:rPr>
              <w:t>and given the existing heterogeneity across Member States it was not possible to meaningfully quantify the costs.</w:t>
            </w:r>
          </w:p>
        </w:tc>
      </w:tr>
      <w:tr w:rsidR="6A86AAB7" w14:paraId="1DE2F4F4" w14:textId="77777777" w:rsidTr="7B67C206">
        <w:trPr>
          <w:trHeight w:val="300"/>
        </w:trPr>
        <w:tc>
          <w:tcPr>
            <w:tcW w:w="4380" w:type="dxa"/>
          </w:tcPr>
          <w:p w14:paraId="3940720D" w14:textId="7FE51B56" w:rsidR="7917EC3D" w:rsidRPr="00510FA2" w:rsidRDefault="7917EC3D" w:rsidP="6A86AAB7">
            <w:pPr>
              <w:rPr>
                <w:b/>
                <w:bCs/>
                <w:noProof/>
                <w:lang w:val="en-US"/>
              </w:rPr>
            </w:pPr>
            <w:r w:rsidRPr="00510FA2">
              <w:rPr>
                <w:b/>
                <w:bCs/>
                <w:noProof/>
                <w:lang w:val="en-US"/>
              </w:rPr>
              <w:t>The report needs to assess the legal and technical feasibility, as well as the possible costs, of the obligation to automatically exchange the information held not only by tax authorities, but also held by other national public entities etc. This assessment should take into account the underlying reasons for some member states not collecting or exchanging such information at national level so far.</w:t>
            </w:r>
          </w:p>
        </w:tc>
        <w:tc>
          <w:tcPr>
            <w:tcW w:w="4380" w:type="dxa"/>
          </w:tcPr>
          <w:p w14:paraId="1D2A8F2A" w14:textId="77777777" w:rsidR="463162B1" w:rsidRDefault="45441EDC" w:rsidP="6A86AAB7">
            <w:pPr>
              <w:rPr>
                <w:noProof/>
                <w:lang w:val="en-US"/>
              </w:rPr>
            </w:pPr>
            <w:r w:rsidRPr="5AE5215E">
              <w:rPr>
                <w:noProof/>
                <w:lang w:val="en-US"/>
              </w:rPr>
              <w:t>Explanations have been developed further in Chapter 6.</w:t>
            </w:r>
            <w:r w:rsidR="3439A744" w:rsidRPr="5AE5215E">
              <w:rPr>
                <w:noProof/>
                <w:lang w:val="en-US"/>
              </w:rPr>
              <w:t xml:space="preserve"> In this context, the report now clarifies that the initiative will introduce a legal basis th</w:t>
            </w:r>
            <w:r w:rsidR="06DBD665" w:rsidRPr="5AE5215E">
              <w:rPr>
                <w:noProof/>
                <w:lang w:val="en-US"/>
              </w:rPr>
              <w:t xml:space="preserve">at facilitates tax administrations in obtaining information held by other public authorities at the national level. </w:t>
            </w:r>
            <w:r w:rsidR="1C41BB0C" w:rsidRPr="5AE5215E">
              <w:rPr>
                <w:noProof/>
                <w:lang w:val="en-US"/>
              </w:rPr>
              <w:t xml:space="preserve">The absence of an existing legal basis and appropriate data sharing arrangements with other public authorities is the key reason that some </w:t>
            </w:r>
            <w:r w:rsidR="743045F9" w:rsidRPr="5AE5215E">
              <w:rPr>
                <w:noProof/>
                <w:lang w:val="en-US"/>
              </w:rPr>
              <w:t>tax authorities do not have access to this information. By providing a legal basis this</w:t>
            </w:r>
            <w:r w:rsidR="293B262E" w:rsidRPr="5AE5215E">
              <w:rPr>
                <w:noProof/>
                <w:lang w:val="en-US"/>
              </w:rPr>
              <w:t xml:space="preserve"> will ensure that the costs of attaining the information are to the greatest extent possible limited, as the alternative would be to </w:t>
            </w:r>
            <w:r w:rsidR="7132152F" w:rsidRPr="5AE5215E">
              <w:rPr>
                <w:noProof/>
                <w:lang w:val="en-US"/>
              </w:rPr>
              <w:t xml:space="preserve">oblige third party entities to report information. As regards the safeguards that will apply, the safeguards will be in line with the GDPR </w:t>
            </w:r>
            <w:r w:rsidR="37A43440" w:rsidRPr="5AE5215E">
              <w:rPr>
                <w:noProof/>
                <w:lang w:val="en-US"/>
              </w:rPr>
              <w:t xml:space="preserve">while the reporting and exchange of information will take place in accordance with the existing </w:t>
            </w:r>
            <w:r w:rsidR="00510FA2" w:rsidRPr="5AE5215E">
              <w:rPr>
                <w:noProof/>
                <w:lang w:val="en-US"/>
              </w:rPr>
              <w:t>well-established</w:t>
            </w:r>
            <w:r w:rsidR="37A43440" w:rsidRPr="5AE5215E">
              <w:rPr>
                <w:noProof/>
                <w:lang w:val="en-US"/>
              </w:rPr>
              <w:t xml:space="preserve"> security processes and procedures in place for the DAC.</w:t>
            </w:r>
          </w:p>
          <w:p w14:paraId="0F3F9E31" w14:textId="542E82E0" w:rsidR="00510FA2" w:rsidRDefault="00510FA2" w:rsidP="6A86AAB7">
            <w:pPr>
              <w:rPr>
                <w:noProof/>
                <w:lang w:val="en-US"/>
              </w:rPr>
            </w:pPr>
          </w:p>
        </w:tc>
      </w:tr>
      <w:tr w:rsidR="6A86AAB7" w14:paraId="57CCBE10" w14:textId="77777777" w:rsidTr="7B67C206">
        <w:trPr>
          <w:trHeight w:val="300"/>
        </w:trPr>
        <w:tc>
          <w:tcPr>
            <w:tcW w:w="4380" w:type="dxa"/>
          </w:tcPr>
          <w:p w14:paraId="4EA7433E" w14:textId="2FD45B4F" w:rsidR="7917EC3D" w:rsidRPr="00510FA2" w:rsidRDefault="7917EC3D" w:rsidP="00510FA2">
            <w:pPr>
              <w:jc w:val="left"/>
              <w:rPr>
                <w:b/>
                <w:bCs/>
                <w:noProof/>
                <w:lang w:val="en-US"/>
              </w:rPr>
            </w:pPr>
            <w:r w:rsidRPr="00510FA2">
              <w:rPr>
                <w:b/>
                <w:bCs/>
                <w:noProof/>
                <w:lang w:val="en-US"/>
              </w:rPr>
              <w:t>Based on a clear definition and an improved assessment of impacts and risks, the report must contain an adequate analysis of the measures included in options 4 and 5 to allow for the assessment of their proportionality.</w:t>
            </w:r>
          </w:p>
        </w:tc>
        <w:tc>
          <w:tcPr>
            <w:tcW w:w="4380" w:type="dxa"/>
          </w:tcPr>
          <w:p w14:paraId="71CE0BB6" w14:textId="06E9DB01" w:rsidR="6F741DE4" w:rsidRDefault="6F741DE4" w:rsidP="6A86AAB7">
            <w:pPr>
              <w:rPr>
                <w:noProof/>
              </w:rPr>
            </w:pPr>
            <w:r w:rsidRPr="7B67C206">
              <w:rPr>
                <w:noProof/>
                <w:lang w:val="en-US"/>
              </w:rPr>
              <w:t xml:space="preserve">Explanations have been developed further in Chapter </w:t>
            </w:r>
            <w:r w:rsidR="04F0C89F" w:rsidRPr="7B67C206">
              <w:rPr>
                <w:noProof/>
                <w:lang w:val="en-US"/>
              </w:rPr>
              <w:t>2, and</w:t>
            </w:r>
            <w:r w:rsidR="333F3E20" w:rsidRPr="7B67C206">
              <w:rPr>
                <w:noProof/>
                <w:lang w:val="en-US"/>
              </w:rPr>
              <w:t xml:space="preserve"> Annex 9 has been added to provide further analysis of the </w:t>
            </w:r>
            <w:r w:rsidR="2682B802" w:rsidRPr="7B67C206">
              <w:rPr>
                <w:noProof/>
                <w:lang w:val="en-US"/>
              </w:rPr>
              <w:t>matching rates across the EU Member States</w:t>
            </w:r>
            <w:r w:rsidRPr="7B67C206">
              <w:rPr>
                <w:noProof/>
                <w:lang w:val="en-US"/>
              </w:rPr>
              <w:t>.</w:t>
            </w:r>
          </w:p>
          <w:p w14:paraId="577229D0" w14:textId="5BF35C40" w:rsidR="6F741DE4" w:rsidRDefault="672E2F5D" w:rsidP="7B67C206">
            <w:pPr>
              <w:rPr>
                <w:noProof/>
                <w:lang w:val="en-US"/>
              </w:rPr>
            </w:pPr>
            <w:r w:rsidRPr="7B67C206">
              <w:rPr>
                <w:noProof/>
                <w:lang w:val="en-US"/>
              </w:rPr>
              <w:t xml:space="preserve">In the context of measure 4, it is imperative to recall that this measure does not impose any new reporting obligation. The objective of the measure is to ensure that the current </w:t>
            </w:r>
            <w:r w:rsidR="66261038" w:rsidRPr="7B67C206">
              <w:rPr>
                <w:noProof/>
                <w:lang w:val="en-US"/>
              </w:rPr>
              <w:t xml:space="preserve">reporting obligations are efficiently and effectively implemented in a manner that ensures that tax administrations can automatically use all information reported under the DAC. The </w:t>
            </w:r>
            <w:r w:rsidR="5B01F1F9" w:rsidRPr="7B67C206">
              <w:rPr>
                <w:noProof/>
                <w:lang w:val="en-US"/>
              </w:rPr>
              <w:t>proportionality</w:t>
            </w:r>
            <w:r w:rsidR="66261038" w:rsidRPr="7B67C206">
              <w:rPr>
                <w:noProof/>
                <w:lang w:val="en-US"/>
              </w:rPr>
              <w:t xml:space="preserve"> of the measure is further enhanced by the fact that the system </w:t>
            </w:r>
            <w:r w:rsidR="008C69AE" w:rsidRPr="7B67C206">
              <w:rPr>
                <w:noProof/>
                <w:lang w:val="en-US"/>
              </w:rPr>
              <w:t>is optional for reporting entities and where such reporting entities report a valid TIN, additional identification information e.g. place of birth may no longer be required.</w:t>
            </w:r>
          </w:p>
          <w:p w14:paraId="77096AEA" w14:textId="0EC778B4" w:rsidR="6F741DE4" w:rsidRDefault="46D4FC80" w:rsidP="7B67C206">
            <w:pPr>
              <w:rPr>
                <w:noProof/>
                <w:lang w:val="en-US"/>
              </w:rPr>
            </w:pPr>
            <w:r w:rsidRPr="7B67C206">
              <w:rPr>
                <w:noProof/>
                <w:lang w:val="en-US"/>
              </w:rPr>
              <w:t>In the context of measure 5, it is imperative to recall that the measure is intended to implement a key recommendation of the ECA, which cited the fact that the current DAC1 reporting framework was not sufficiently robust to prevent</w:t>
            </w:r>
            <w:r w:rsidR="6B7E1CB9" w:rsidRPr="7B67C206">
              <w:rPr>
                <w:noProof/>
                <w:lang w:val="en-US"/>
              </w:rPr>
              <w:t xml:space="preserve"> tax fraud, tax evasion and tax avoidance. The measure is intended to ensure that all Member States report all categories of information, which ensures a level playing and effective harmonization. Simultaneously, </w:t>
            </w:r>
            <w:r w:rsidR="254EA9C4" w:rsidRPr="7B67C206">
              <w:rPr>
                <w:noProof/>
                <w:lang w:val="en-US"/>
              </w:rPr>
              <w:t>the proportionality of the measure is further enhanced by the fact that in line with t</w:t>
            </w:r>
            <w:r w:rsidR="2E7A0A8E" w:rsidRPr="7B67C206">
              <w:rPr>
                <w:noProof/>
                <w:lang w:val="en-US"/>
              </w:rPr>
              <w:t xml:space="preserve">he Commission once only principle, Member States are required to report information that is already to public authorities at the national level. The alternative of requiring third party reporting would therefore be disproportionate </w:t>
            </w:r>
            <w:r w:rsidR="4A9A310E" w:rsidRPr="7B67C206">
              <w:rPr>
                <w:noProof/>
                <w:lang w:val="en-US"/>
              </w:rPr>
              <w:t>as it would lead to possible duplicate reporting.</w:t>
            </w:r>
          </w:p>
        </w:tc>
      </w:tr>
      <w:tr w:rsidR="6A86AAB7" w14:paraId="1944068D" w14:textId="77777777" w:rsidTr="7B67C206">
        <w:trPr>
          <w:trHeight w:val="300"/>
        </w:trPr>
        <w:tc>
          <w:tcPr>
            <w:tcW w:w="4380" w:type="dxa"/>
          </w:tcPr>
          <w:p w14:paraId="40A3C258" w14:textId="418D988A" w:rsidR="7917EC3D" w:rsidRPr="00510FA2" w:rsidRDefault="7917EC3D" w:rsidP="00510FA2">
            <w:pPr>
              <w:jc w:val="left"/>
              <w:rPr>
                <w:b/>
                <w:bCs/>
                <w:noProof/>
                <w:lang w:val="en-US"/>
              </w:rPr>
            </w:pPr>
            <w:r w:rsidRPr="00510FA2">
              <w:rPr>
                <w:b/>
                <w:bCs/>
                <w:noProof/>
                <w:lang w:val="en-US"/>
              </w:rPr>
              <w:t xml:space="preserve">The report should provide an assessment of the risks on fundamental rights, including privacy, resulting from the exchange of increased data sets due to TIN identification measures and the </w:t>
            </w:r>
            <w:r w:rsidR="00510FA2">
              <w:rPr>
                <w:b/>
                <w:bCs/>
                <w:noProof/>
                <w:lang w:val="en-US"/>
              </w:rPr>
              <w:t>a</w:t>
            </w:r>
            <w:r w:rsidRPr="00510FA2">
              <w:rPr>
                <w:b/>
                <w:bCs/>
                <w:noProof/>
                <w:lang w:val="en-US"/>
              </w:rPr>
              <w:t>utomatic exchange of information under DAC 1.</w:t>
            </w:r>
          </w:p>
        </w:tc>
        <w:tc>
          <w:tcPr>
            <w:tcW w:w="4380" w:type="dxa"/>
          </w:tcPr>
          <w:p w14:paraId="6DC9FD98" w14:textId="7F205E74" w:rsidR="53509CEA" w:rsidRDefault="53509CEA" w:rsidP="7B67C206">
            <w:pPr>
              <w:rPr>
                <w:noProof/>
                <w:lang w:val="en-US"/>
              </w:rPr>
            </w:pPr>
            <w:r w:rsidRPr="7B67C206">
              <w:rPr>
                <w:noProof/>
                <w:lang w:val="en-US"/>
              </w:rPr>
              <w:t>Explanations have been developed further in Chapter 6.</w:t>
            </w:r>
            <w:r w:rsidR="628A7038" w:rsidRPr="7B67C206">
              <w:rPr>
                <w:noProof/>
                <w:lang w:val="en-US"/>
              </w:rPr>
              <w:t xml:space="preserve"> In </w:t>
            </w:r>
            <w:r w:rsidR="720E8E4B" w:rsidRPr="7B67C206">
              <w:rPr>
                <w:noProof/>
                <w:lang w:val="en-US"/>
              </w:rPr>
              <w:t>particular,</w:t>
            </w:r>
            <w:r w:rsidR="628A7038" w:rsidRPr="7B67C206">
              <w:rPr>
                <w:noProof/>
                <w:lang w:val="en-US"/>
              </w:rPr>
              <w:t xml:space="preserve"> section 6.3 of the report has been significantly enhanced</w:t>
            </w:r>
            <w:r w:rsidR="0914D2F2" w:rsidRPr="7B67C206">
              <w:rPr>
                <w:noProof/>
                <w:lang w:val="en-US"/>
              </w:rPr>
              <w:t>.</w:t>
            </w:r>
          </w:p>
          <w:p w14:paraId="3C12DD2B" w14:textId="6AB7CE8B" w:rsidR="53509CEA" w:rsidRDefault="0914D2F2" w:rsidP="7B67C206">
            <w:pPr>
              <w:spacing w:after="160" w:line="257" w:lineRule="auto"/>
              <w:rPr>
                <w:noProof/>
              </w:rPr>
            </w:pPr>
            <w:r w:rsidRPr="7B67C206">
              <w:rPr>
                <w:noProof/>
              </w:rPr>
              <w:t>The TIN verification system</w:t>
            </w:r>
            <w:r w:rsidR="3EA87B2A" w:rsidRPr="7B67C206">
              <w:rPr>
                <w:noProof/>
              </w:rPr>
              <w:t xml:space="preserve"> </w:t>
            </w:r>
            <w:r w:rsidRPr="7B67C206">
              <w:rPr>
                <w:noProof/>
              </w:rPr>
              <w:t xml:space="preserve">will </w:t>
            </w:r>
            <w:r w:rsidR="00510FA2" w:rsidRPr="7B67C206">
              <w:rPr>
                <w:noProof/>
              </w:rPr>
              <w:t>be based</w:t>
            </w:r>
            <w:r w:rsidRPr="7B67C206">
              <w:rPr>
                <w:noProof/>
              </w:rPr>
              <w:t xml:space="preserve"> on a decentralised architecture (a gateway) that avoids central data storage: the gateway acts as a distribution hub among the 27 national validation access points and does not itself store personal data or national registry information, which limits the scope of EU-level processing. Second, it will be designed based on a number of safeguard features, including the following: </w:t>
            </w:r>
          </w:p>
          <w:p w14:paraId="314A3A01" w14:textId="77777777" w:rsidR="00510FA2" w:rsidRPr="00510FA2" w:rsidRDefault="0914D2F2" w:rsidP="7B67C206">
            <w:pPr>
              <w:pStyle w:val="ListParagraph"/>
              <w:numPr>
                <w:ilvl w:val="0"/>
                <w:numId w:val="4"/>
              </w:numPr>
              <w:spacing w:after="0" w:line="257" w:lineRule="auto"/>
              <w:rPr>
                <w:noProof/>
              </w:rPr>
            </w:pPr>
            <w:r w:rsidRPr="7B67C206">
              <w:rPr>
                <w:b/>
                <w:bCs/>
                <w:noProof/>
              </w:rPr>
              <w:t>Restriction of input and output data to predefined minimum sets</w:t>
            </w:r>
            <w:r w:rsidR="00510FA2">
              <w:rPr>
                <w:b/>
                <w:bCs/>
                <w:noProof/>
              </w:rPr>
              <w:t>.</w:t>
            </w:r>
          </w:p>
          <w:p w14:paraId="6A85C2CD" w14:textId="02B33D7B" w:rsidR="53509CEA" w:rsidRDefault="0914D2F2" w:rsidP="00510FA2">
            <w:pPr>
              <w:pStyle w:val="ListParagraph"/>
              <w:spacing w:after="0" w:line="257" w:lineRule="auto"/>
              <w:rPr>
                <w:noProof/>
              </w:rPr>
            </w:pPr>
            <w:r w:rsidRPr="7B67C206">
              <w:rPr>
                <w:noProof/>
              </w:rPr>
              <w:t xml:space="preserve"> </w:t>
            </w:r>
          </w:p>
          <w:p w14:paraId="11E3AE18" w14:textId="531F9482" w:rsidR="53509CEA" w:rsidRDefault="0914D2F2" w:rsidP="7B67C206">
            <w:pPr>
              <w:pStyle w:val="ListParagraph"/>
              <w:numPr>
                <w:ilvl w:val="0"/>
                <w:numId w:val="3"/>
              </w:numPr>
              <w:spacing w:after="0" w:line="257" w:lineRule="auto"/>
              <w:rPr>
                <w:noProof/>
              </w:rPr>
            </w:pPr>
            <w:r w:rsidRPr="7B67C206">
              <w:rPr>
                <w:b/>
                <w:bCs/>
                <w:noProof/>
              </w:rPr>
              <w:t>Transient data retention for individual queries</w:t>
            </w:r>
          </w:p>
          <w:p w14:paraId="604B5F10" w14:textId="58E33E81" w:rsidR="53509CEA" w:rsidRDefault="53509CEA" w:rsidP="00510FA2">
            <w:pPr>
              <w:pStyle w:val="ListParagraph"/>
              <w:spacing w:after="0" w:line="257" w:lineRule="auto"/>
              <w:rPr>
                <w:noProof/>
              </w:rPr>
            </w:pPr>
          </w:p>
          <w:p w14:paraId="1F2CE0CE" w14:textId="77777777" w:rsidR="00510FA2" w:rsidRDefault="0914D2F2" w:rsidP="7B67C206">
            <w:pPr>
              <w:pStyle w:val="ListParagraph"/>
              <w:numPr>
                <w:ilvl w:val="0"/>
                <w:numId w:val="3"/>
              </w:numPr>
              <w:spacing w:after="0" w:line="257" w:lineRule="auto"/>
              <w:rPr>
                <w:noProof/>
              </w:rPr>
            </w:pPr>
            <w:r w:rsidRPr="7B67C206">
              <w:rPr>
                <w:b/>
                <w:bCs/>
                <w:noProof/>
              </w:rPr>
              <w:t>Access controls</w:t>
            </w:r>
            <w:r w:rsidRPr="7B67C206">
              <w:rPr>
                <w:noProof/>
              </w:rPr>
              <w:t xml:space="preserve">: The verification system will operate solely for the purpose of taxpayer identification in the context of administrative cooperation under the DAC. </w:t>
            </w:r>
          </w:p>
          <w:p w14:paraId="17B8FD67" w14:textId="77777777" w:rsidR="00510FA2" w:rsidRPr="00510FA2" w:rsidRDefault="00510FA2" w:rsidP="00510FA2">
            <w:pPr>
              <w:pStyle w:val="ListParagraph"/>
              <w:rPr>
                <w:b/>
                <w:bCs/>
                <w:noProof/>
              </w:rPr>
            </w:pPr>
          </w:p>
          <w:p w14:paraId="7D5E3A28" w14:textId="77777777" w:rsidR="00510FA2" w:rsidRDefault="0914D2F2" w:rsidP="7B67C206">
            <w:pPr>
              <w:pStyle w:val="ListParagraph"/>
              <w:numPr>
                <w:ilvl w:val="0"/>
                <w:numId w:val="3"/>
              </w:numPr>
              <w:spacing w:after="0" w:line="257" w:lineRule="auto"/>
              <w:rPr>
                <w:noProof/>
              </w:rPr>
            </w:pPr>
            <w:r w:rsidRPr="7B67C206">
              <w:rPr>
                <w:b/>
                <w:bCs/>
                <w:noProof/>
              </w:rPr>
              <w:t>Audit logging</w:t>
            </w:r>
            <w:r w:rsidRPr="7B67C206">
              <w:rPr>
                <w:noProof/>
              </w:rPr>
              <w:t>: Traceability of use will be ensured through an audit log function</w:t>
            </w:r>
            <w:r w:rsidR="74C5BF50" w:rsidRPr="7B67C206">
              <w:rPr>
                <w:noProof/>
              </w:rPr>
              <w:t>.</w:t>
            </w:r>
          </w:p>
          <w:p w14:paraId="22E9F9CF" w14:textId="77777777" w:rsidR="00510FA2" w:rsidRPr="00510FA2" w:rsidRDefault="00510FA2" w:rsidP="00510FA2">
            <w:pPr>
              <w:pStyle w:val="ListParagraph"/>
              <w:rPr>
                <w:b/>
                <w:bCs/>
                <w:noProof/>
              </w:rPr>
            </w:pPr>
          </w:p>
          <w:p w14:paraId="75F6758C" w14:textId="06D39094" w:rsidR="53509CEA" w:rsidRDefault="0914D2F2" w:rsidP="7B67C206">
            <w:pPr>
              <w:pStyle w:val="ListParagraph"/>
              <w:numPr>
                <w:ilvl w:val="0"/>
                <w:numId w:val="3"/>
              </w:numPr>
              <w:spacing w:after="0" w:line="257" w:lineRule="auto"/>
              <w:rPr>
                <w:noProof/>
              </w:rPr>
            </w:pPr>
            <w:r w:rsidRPr="00510FA2">
              <w:rPr>
                <w:b/>
                <w:bCs/>
                <w:noProof/>
              </w:rPr>
              <w:t>Architectural and technical safeguards providing secure communication channels:</w:t>
            </w:r>
            <w:r w:rsidRPr="00510FA2">
              <w:rPr>
                <w:noProof/>
              </w:rPr>
              <w:t xml:space="preserve"> For the use by tax authorities, the system will leverage the existing private CCN/CSI network infrastructure of the European Commission, which substantially limits exposure to external threats. </w:t>
            </w:r>
          </w:p>
          <w:p w14:paraId="4A416D8C" w14:textId="77777777" w:rsidR="00510FA2" w:rsidRPr="00510FA2" w:rsidRDefault="00510FA2" w:rsidP="00510FA2">
            <w:pPr>
              <w:pStyle w:val="ListParagraph"/>
              <w:rPr>
                <w:noProof/>
              </w:rPr>
            </w:pPr>
          </w:p>
          <w:p w14:paraId="786B5FA6" w14:textId="77777777" w:rsidR="00510FA2" w:rsidRPr="00510FA2" w:rsidRDefault="00510FA2" w:rsidP="00510FA2">
            <w:pPr>
              <w:pStyle w:val="ListParagraph"/>
              <w:spacing w:after="0" w:line="257" w:lineRule="auto"/>
              <w:rPr>
                <w:noProof/>
              </w:rPr>
            </w:pPr>
          </w:p>
          <w:p w14:paraId="2CF899DF" w14:textId="0588E775" w:rsidR="53509CEA" w:rsidRDefault="0914D2F2" w:rsidP="7B67C206">
            <w:pPr>
              <w:spacing w:after="0" w:line="257" w:lineRule="auto"/>
              <w:rPr>
                <w:noProof/>
              </w:rPr>
            </w:pPr>
            <w:r w:rsidRPr="7B67C206">
              <w:rPr>
                <w:noProof/>
              </w:rPr>
              <w:t xml:space="preserve">As regards the collection and exchange of information available in the files of other national public entities(PO5c), it is important to clarify that this policy option does not require the centralisation of information held by different national authorities in one single communication system but only requires that this information is shared with tax administrations or that tax administration have access to the information so that it can be subsequently exchanged. </w:t>
            </w:r>
            <w:r w:rsidR="7976FFCC" w:rsidRPr="7B67C206">
              <w:rPr>
                <w:noProof/>
              </w:rPr>
              <w:t>A</w:t>
            </w:r>
            <w:r w:rsidRPr="7B67C206">
              <w:rPr>
                <w:noProof/>
              </w:rPr>
              <w:t xml:space="preserve">s regards additional safeguards required under the GDPR, those in place both at the level of Member States and at the level of the Commission covering the processing of personal data will continue to apply. </w:t>
            </w:r>
          </w:p>
          <w:p w14:paraId="6779C79F" w14:textId="7670B61A" w:rsidR="53509CEA" w:rsidRDefault="53509CEA" w:rsidP="7B67C206">
            <w:pPr>
              <w:spacing w:after="0" w:line="257" w:lineRule="auto"/>
              <w:rPr>
                <w:noProof/>
              </w:rPr>
            </w:pPr>
          </w:p>
          <w:p w14:paraId="792A6162" w14:textId="15E92028" w:rsidR="53509CEA" w:rsidRDefault="0914D2F2" w:rsidP="7B67C206">
            <w:pPr>
              <w:spacing w:after="0" w:line="257" w:lineRule="auto"/>
              <w:rPr>
                <w:noProof/>
                <w:lang w:val="en-US"/>
              </w:rPr>
            </w:pPr>
            <w:r w:rsidRPr="7B67C206">
              <w:rPr>
                <w:noProof/>
              </w:rPr>
              <w:t>For example, tax authorities, user authentication and authorisation are managed through existing national Identity and Access Management (IAM) frameworks. In addition, for the use by tax authorities, the system will leverage the existing private CCN/CSI network infrastructure of the European Commission, which substantially limits exposure to external threats.</w:t>
            </w:r>
            <w:r w:rsidR="628A7038" w:rsidRPr="7B67C206">
              <w:rPr>
                <w:noProof/>
                <w:lang w:val="en-US"/>
              </w:rPr>
              <w:t xml:space="preserve"> </w:t>
            </w:r>
          </w:p>
        </w:tc>
      </w:tr>
      <w:tr w:rsidR="6A86AAB7" w14:paraId="7AEE2701" w14:textId="77777777" w:rsidTr="7B67C206">
        <w:trPr>
          <w:trHeight w:val="300"/>
        </w:trPr>
        <w:tc>
          <w:tcPr>
            <w:tcW w:w="4380" w:type="dxa"/>
          </w:tcPr>
          <w:p w14:paraId="377FF2D5" w14:textId="54B86683" w:rsidR="7917EC3D" w:rsidRPr="00510FA2" w:rsidRDefault="7917EC3D" w:rsidP="00510FA2">
            <w:pPr>
              <w:jc w:val="left"/>
              <w:rPr>
                <w:b/>
                <w:bCs/>
                <w:noProof/>
                <w:lang w:val="en-US"/>
              </w:rPr>
            </w:pPr>
            <w:r w:rsidRPr="00510FA2">
              <w:rPr>
                <w:b/>
                <w:bCs/>
                <w:noProof/>
                <w:lang w:val="en-US"/>
              </w:rPr>
              <w:t>For the introduction of a centralised TIN verification system, the analysis should also clarify what safeguards will be put in place. For collecting and exchanging information available in the files of other national public entities, the report should specify what measures will be taken to address data protection and privacy concerns. It should assess the resulting increased cybersecurity risks and the measures envisaged to mitigate them.</w:t>
            </w:r>
          </w:p>
        </w:tc>
        <w:tc>
          <w:tcPr>
            <w:tcW w:w="4380" w:type="dxa"/>
          </w:tcPr>
          <w:p w14:paraId="4FF01E0E" w14:textId="7181D2D1" w:rsidR="651468E2" w:rsidRDefault="651468E2" w:rsidP="6A86AAB7">
            <w:pPr>
              <w:rPr>
                <w:noProof/>
                <w:lang w:val="en-US"/>
              </w:rPr>
            </w:pPr>
            <w:r w:rsidRPr="7B67C206">
              <w:rPr>
                <w:noProof/>
                <w:lang w:val="en-US"/>
              </w:rPr>
              <w:t>Explanations have been developed further in Chapter 6</w:t>
            </w:r>
            <w:r w:rsidR="52C39473" w:rsidRPr="7B67C206">
              <w:rPr>
                <w:noProof/>
                <w:lang w:val="en-US"/>
              </w:rPr>
              <w:t xml:space="preserve"> and in particular 6.3. These explanations are detailed in the previous text box</w:t>
            </w:r>
          </w:p>
        </w:tc>
      </w:tr>
      <w:tr w:rsidR="6A86AAB7" w14:paraId="769EE005" w14:textId="77777777" w:rsidTr="7B67C206">
        <w:trPr>
          <w:trHeight w:val="300"/>
        </w:trPr>
        <w:tc>
          <w:tcPr>
            <w:tcW w:w="4380" w:type="dxa"/>
          </w:tcPr>
          <w:p w14:paraId="4F6E19D0" w14:textId="0FCD922C" w:rsidR="7917EC3D" w:rsidRPr="00510FA2" w:rsidRDefault="7917EC3D" w:rsidP="00510FA2">
            <w:pPr>
              <w:jc w:val="left"/>
              <w:rPr>
                <w:b/>
                <w:bCs/>
                <w:noProof/>
                <w:lang w:val="en-US"/>
              </w:rPr>
            </w:pPr>
            <w:r w:rsidRPr="00510FA2">
              <w:rPr>
                <w:b/>
                <w:bCs/>
                <w:noProof/>
                <w:lang w:val="en-US"/>
              </w:rPr>
              <w:t>The analysis supporting the comparison and identification of preferred options needs to be improved, including sensitivity analysis where relevant to illustrate the impact of different parameters, for example regarding the increase in reporting thresholds from EUR 3,000 to EUR 5,000. The report neither demonstrates why option PO1b is preferred over PO1c adequately, nor why PO2b is preferred over PO2a.</w:t>
            </w:r>
          </w:p>
        </w:tc>
        <w:tc>
          <w:tcPr>
            <w:tcW w:w="4380" w:type="dxa"/>
          </w:tcPr>
          <w:p w14:paraId="6EC0A16E" w14:textId="69B32D8E" w:rsidR="17A6D143" w:rsidRDefault="629E4D08" w:rsidP="5AE5215E">
            <w:pPr>
              <w:rPr>
                <w:noProof/>
                <w:lang w:val="en-US"/>
              </w:rPr>
            </w:pPr>
            <w:r w:rsidRPr="5AE5215E">
              <w:rPr>
                <w:noProof/>
                <w:lang w:val="en-US"/>
              </w:rPr>
              <w:t xml:space="preserve">Explanations have been developed further in Chapter </w:t>
            </w:r>
            <w:r w:rsidR="461E17B6" w:rsidRPr="5AE5215E">
              <w:rPr>
                <w:noProof/>
                <w:lang w:val="en-US"/>
              </w:rPr>
              <w:t>2, and</w:t>
            </w:r>
            <w:r w:rsidR="24C8F20D" w:rsidRPr="5AE5215E">
              <w:rPr>
                <w:noProof/>
                <w:lang w:val="en-US"/>
              </w:rPr>
              <w:t xml:space="preserve"> Anne</w:t>
            </w:r>
            <w:r w:rsidR="6973CF55" w:rsidRPr="5AE5215E">
              <w:rPr>
                <w:noProof/>
                <w:lang w:val="en-US"/>
              </w:rPr>
              <w:t>x 8 has been added.</w:t>
            </w:r>
          </w:p>
          <w:p w14:paraId="52B1DAE4" w14:textId="3286CE28" w:rsidR="17A6D143" w:rsidRDefault="2339334E" w:rsidP="5AE5215E">
            <w:pPr>
              <w:rPr>
                <w:noProof/>
                <w:lang w:val="en-US"/>
              </w:rPr>
            </w:pPr>
            <w:r w:rsidRPr="7B67C206">
              <w:rPr>
                <w:noProof/>
                <w:lang w:val="en-US"/>
              </w:rPr>
              <w:t xml:space="preserve">The rationale for </w:t>
            </w:r>
            <w:r w:rsidR="4C422596" w:rsidRPr="7B67C206">
              <w:rPr>
                <w:noProof/>
                <w:lang w:val="en-US"/>
              </w:rPr>
              <w:t>selecting PO1b over PO1c</w:t>
            </w:r>
            <w:r w:rsidR="2D2115F6" w:rsidRPr="7B67C206">
              <w:rPr>
                <w:noProof/>
                <w:lang w:val="en-US"/>
              </w:rPr>
              <w:t xml:space="preserve"> is primarily due to feedback from business stakeholders who cautioned that removing the MBT and adapting the related hallmarks would result in increased c</w:t>
            </w:r>
            <w:r w:rsidR="762A1FFF" w:rsidRPr="7B67C206">
              <w:rPr>
                <w:noProof/>
                <w:lang w:val="en-US"/>
              </w:rPr>
              <w:t xml:space="preserve">osts for businesses due to the </w:t>
            </w:r>
            <w:r w:rsidR="00510FA2" w:rsidRPr="7B67C206">
              <w:rPr>
                <w:noProof/>
                <w:lang w:val="en-US"/>
              </w:rPr>
              <w:t>consequential</w:t>
            </w:r>
            <w:r w:rsidR="762A1FFF" w:rsidRPr="7B67C206">
              <w:rPr>
                <w:noProof/>
                <w:lang w:val="en-US"/>
              </w:rPr>
              <w:t xml:space="preserve"> requirement to adapt reporting systems, processes and procedures.</w:t>
            </w:r>
          </w:p>
          <w:p w14:paraId="14718C56" w14:textId="7C916FEA" w:rsidR="17A6D143" w:rsidRDefault="2339334E" w:rsidP="6A86AAB7">
            <w:pPr>
              <w:rPr>
                <w:noProof/>
                <w:lang w:val="en-US"/>
              </w:rPr>
            </w:pPr>
            <w:r w:rsidRPr="5AE5215E">
              <w:rPr>
                <w:noProof/>
                <w:lang w:val="en-US"/>
              </w:rPr>
              <w:t>T</w:t>
            </w:r>
            <w:r w:rsidR="7ED32B35" w:rsidRPr="5AE5215E">
              <w:rPr>
                <w:noProof/>
                <w:lang w:val="en-US"/>
              </w:rPr>
              <w:t xml:space="preserve">he rationale for preferring PO2b over PO2a is to ensure alignment with the OECD MRDP framework. The removal of the activity threshold and increase of the </w:t>
            </w:r>
            <w:r w:rsidR="08938A18" w:rsidRPr="5AE5215E">
              <w:rPr>
                <w:noProof/>
                <w:lang w:val="en-US"/>
              </w:rPr>
              <w:t xml:space="preserve">monetary threshold from EUR 2,000 to EUR 3,000 was provisionally agreed at the OECD technical level and endorsed by 26 Member States. In addition, Annex 8 </w:t>
            </w:r>
            <w:r w:rsidR="00510FA2" w:rsidRPr="5AE5215E">
              <w:rPr>
                <w:noProof/>
                <w:lang w:val="en-US"/>
              </w:rPr>
              <w:t>details</w:t>
            </w:r>
            <w:r w:rsidR="2EC4AA5C" w:rsidRPr="5AE5215E">
              <w:rPr>
                <w:noProof/>
                <w:lang w:val="en-US"/>
              </w:rPr>
              <w:t xml:space="preserve"> practical examples of the application of national taxation rules in certain Member States, which further justifies the preferred policy option.</w:t>
            </w:r>
            <w:r w:rsidR="6973CF55" w:rsidRPr="5AE5215E">
              <w:rPr>
                <w:noProof/>
                <w:lang w:val="en-US"/>
              </w:rPr>
              <w:t xml:space="preserve"> </w:t>
            </w:r>
          </w:p>
        </w:tc>
      </w:tr>
      <w:tr w:rsidR="6A86AAB7" w14:paraId="55E47F76" w14:textId="77777777" w:rsidTr="7B67C206">
        <w:trPr>
          <w:trHeight w:val="300"/>
        </w:trPr>
        <w:tc>
          <w:tcPr>
            <w:tcW w:w="4380" w:type="dxa"/>
          </w:tcPr>
          <w:p w14:paraId="09F689FA" w14:textId="49CC0E47" w:rsidR="7917EC3D" w:rsidRPr="00510FA2" w:rsidRDefault="7917EC3D" w:rsidP="00510FA2">
            <w:pPr>
              <w:jc w:val="left"/>
              <w:rPr>
                <w:b/>
                <w:bCs/>
                <w:noProof/>
                <w:lang w:val="en-US"/>
              </w:rPr>
            </w:pPr>
            <w:r w:rsidRPr="00510FA2">
              <w:rPr>
                <w:b/>
                <w:bCs/>
                <w:noProof/>
                <w:lang w:val="en-US"/>
              </w:rPr>
              <w:t>Coherence with other measures, outside of the strictly defined tax policy area, should also be analysed. The EU country-by-country reporting directive is, for example, a relevant point of consideration for understanding whether policy options under DAC4 and Pillar 2 are coherent with the EU legal framework.</w:t>
            </w:r>
          </w:p>
        </w:tc>
        <w:tc>
          <w:tcPr>
            <w:tcW w:w="4380" w:type="dxa"/>
          </w:tcPr>
          <w:p w14:paraId="27FFE2CB" w14:textId="08D85DC0" w:rsidR="02A48947" w:rsidRDefault="7606778D" w:rsidP="6A86AAB7">
            <w:pPr>
              <w:rPr>
                <w:noProof/>
                <w:lang w:val="en-US"/>
              </w:rPr>
            </w:pPr>
            <w:r w:rsidRPr="5AE5215E">
              <w:rPr>
                <w:noProof/>
                <w:lang w:val="en-US"/>
              </w:rPr>
              <w:t xml:space="preserve">Explanations have been developed further in Chapter </w:t>
            </w:r>
            <w:r w:rsidR="76F0A582" w:rsidRPr="5AE5215E">
              <w:rPr>
                <w:noProof/>
                <w:lang w:val="en-US"/>
              </w:rPr>
              <w:t xml:space="preserve">7. These explanations demonstrate that measure </w:t>
            </w:r>
            <w:r w:rsidR="511F84A3" w:rsidRPr="5AE5215E">
              <w:rPr>
                <w:noProof/>
                <w:lang w:val="en-US"/>
              </w:rPr>
              <w:t xml:space="preserve">3 </w:t>
            </w:r>
            <w:r w:rsidR="76F0A582" w:rsidRPr="5AE5215E">
              <w:rPr>
                <w:noProof/>
                <w:lang w:val="en-US"/>
              </w:rPr>
              <w:t xml:space="preserve">will have no impact on </w:t>
            </w:r>
            <w:r w:rsidR="2035A7B2" w:rsidRPr="5AE5215E">
              <w:rPr>
                <w:noProof/>
                <w:lang w:val="en-US"/>
              </w:rPr>
              <w:t>existing</w:t>
            </w:r>
            <w:r w:rsidR="76F0A582" w:rsidRPr="5AE5215E">
              <w:rPr>
                <w:noProof/>
                <w:lang w:val="en-US"/>
              </w:rPr>
              <w:t xml:space="preserve"> international and EU frameworks. In particular, the measure ensures that</w:t>
            </w:r>
            <w:r w:rsidR="01973206" w:rsidRPr="5AE5215E">
              <w:rPr>
                <w:noProof/>
                <w:lang w:val="en-US"/>
              </w:rPr>
              <w:t xml:space="preserve"> </w:t>
            </w:r>
            <w:r w:rsidR="3B4551A6" w:rsidRPr="5AE5215E">
              <w:rPr>
                <w:noProof/>
                <w:lang w:val="en-US"/>
              </w:rPr>
              <w:t xml:space="preserve">the DAC4 and OECD equivalent CbCR reporting requirements remain aligned. </w:t>
            </w:r>
            <w:r w:rsidR="70CAF49F" w:rsidRPr="5AE5215E">
              <w:rPr>
                <w:noProof/>
                <w:lang w:val="en-US"/>
              </w:rPr>
              <w:t>In addition, the measure does not have any impact on the information that is made available under DAC9 and the equivalent OECD Gl</w:t>
            </w:r>
            <w:r w:rsidR="59F9CEBC" w:rsidRPr="5AE5215E">
              <w:rPr>
                <w:noProof/>
                <w:lang w:val="en-US"/>
              </w:rPr>
              <w:t>obal Information Return to apply the Pillar 2 mini</w:t>
            </w:r>
            <w:r w:rsidR="536B1A62" w:rsidRPr="5AE5215E">
              <w:rPr>
                <w:noProof/>
                <w:lang w:val="en-US"/>
              </w:rPr>
              <w:t xml:space="preserve">mum tax rate of 15%. </w:t>
            </w:r>
            <w:r w:rsidR="009139D3" w:rsidRPr="5AE5215E">
              <w:rPr>
                <w:noProof/>
                <w:lang w:val="en-US"/>
              </w:rPr>
              <w:t>Finally,</w:t>
            </w:r>
            <w:r w:rsidR="009139D3">
              <w:rPr>
                <w:noProof/>
                <w:lang w:val="en-US"/>
              </w:rPr>
              <w:t xml:space="preserve"> the</w:t>
            </w:r>
            <w:r w:rsidR="536B1A62" w:rsidRPr="5AE5215E">
              <w:rPr>
                <w:noProof/>
                <w:lang w:val="en-US"/>
              </w:rPr>
              <w:t xml:space="preserve"> measure does not in any way </w:t>
            </w:r>
            <w:r w:rsidR="0A4CF03D" w:rsidRPr="5AE5215E">
              <w:rPr>
                <w:noProof/>
                <w:lang w:val="en-US"/>
              </w:rPr>
              <w:t>impact</w:t>
            </w:r>
            <w:r w:rsidR="536B1A62" w:rsidRPr="5AE5215E">
              <w:rPr>
                <w:noProof/>
                <w:lang w:val="en-US"/>
              </w:rPr>
              <w:t xml:space="preserve"> </w:t>
            </w:r>
            <w:r w:rsidR="009139D3">
              <w:rPr>
                <w:noProof/>
                <w:lang w:val="en-US"/>
              </w:rPr>
              <w:t xml:space="preserve">on </w:t>
            </w:r>
            <w:r w:rsidR="536B1A62" w:rsidRPr="5AE5215E">
              <w:rPr>
                <w:noProof/>
                <w:lang w:val="en-US"/>
              </w:rPr>
              <w:t>the requirement of MNE’s to publicly disclose certain information</w:t>
            </w:r>
            <w:r w:rsidR="1C6DB532" w:rsidRPr="5AE5215E">
              <w:rPr>
                <w:noProof/>
                <w:lang w:val="en-US"/>
              </w:rPr>
              <w:t xml:space="preserve"> as part of the Public CbCR transparency initiative. </w:t>
            </w:r>
          </w:p>
        </w:tc>
      </w:tr>
      <w:tr w:rsidR="6A86AAB7" w14:paraId="67133741" w14:textId="77777777" w:rsidTr="7B67C206">
        <w:trPr>
          <w:trHeight w:val="300"/>
        </w:trPr>
        <w:tc>
          <w:tcPr>
            <w:tcW w:w="4380" w:type="dxa"/>
          </w:tcPr>
          <w:p w14:paraId="1F167A4C" w14:textId="3E62BEB6" w:rsidR="7917EC3D" w:rsidRPr="009139D3" w:rsidRDefault="7917EC3D" w:rsidP="009139D3">
            <w:pPr>
              <w:jc w:val="left"/>
              <w:rPr>
                <w:b/>
                <w:bCs/>
                <w:noProof/>
                <w:lang w:val="en-US"/>
              </w:rPr>
            </w:pPr>
            <w:r w:rsidRPr="009139D3">
              <w:rPr>
                <w:b/>
                <w:bCs/>
                <w:noProof/>
                <w:lang w:val="en-US"/>
              </w:rPr>
              <w:t>The monitoring and evaluation framework should contain specific and measurable indicators allowing for an understanding of what success would look like for this initiative.</w:t>
            </w:r>
          </w:p>
        </w:tc>
        <w:tc>
          <w:tcPr>
            <w:tcW w:w="4380" w:type="dxa"/>
          </w:tcPr>
          <w:p w14:paraId="288019C0" w14:textId="35080BCA" w:rsidR="61A9A7AE" w:rsidRDefault="762EE11F" w:rsidP="6A86AAB7">
            <w:pPr>
              <w:rPr>
                <w:noProof/>
                <w:lang w:val="en-US"/>
              </w:rPr>
            </w:pPr>
            <w:r w:rsidRPr="5AE5215E">
              <w:rPr>
                <w:noProof/>
                <w:lang w:val="en-US"/>
              </w:rPr>
              <w:t xml:space="preserve">Further details on consultations have been </w:t>
            </w:r>
            <w:r w:rsidR="2456A87D" w:rsidRPr="5AE5215E">
              <w:rPr>
                <w:noProof/>
                <w:lang w:val="en-US"/>
              </w:rPr>
              <w:t>added,</w:t>
            </w:r>
            <w:r w:rsidRPr="5AE5215E">
              <w:rPr>
                <w:noProof/>
                <w:lang w:val="en-US"/>
              </w:rPr>
              <w:t xml:space="preserve"> and e</w:t>
            </w:r>
            <w:r w:rsidR="193D4FE3" w:rsidRPr="5AE5215E">
              <w:rPr>
                <w:noProof/>
                <w:lang w:val="en-US"/>
              </w:rPr>
              <w:t>xplanations have been developed further in Chapter 9.</w:t>
            </w:r>
            <w:r w:rsidR="7710BEB3" w:rsidRPr="5AE5215E">
              <w:rPr>
                <w:noProof/>
                <w:lang w:val="en-US"/>
              </w:rPr>
              <w:t xml:space="preserve"> </w:t>
            </w:r>
            <w:r w:rsidR="1A8E9AF7" w:rsidRPr="5AE5215E">
              <w:rPr>
                <w:noProof/>
                <w:lang w:val="en-US"/>
              </w:rPr>
              <w:t xml:space="preserve">These details and explanations include specific monitoring targets </w:t>
            </w:r>
            <w:r w:rsidR="44D8D66D" w:rsidRPr="5AE5215E">
              <w:rPr>
                <w:noProof/>
                <w:lang w:val="en-US"/>
              </w:rPr>
              <w:t xml:space="preserve">related to decreases in reporting volumes, increases in tax revenues, and reductions in compliance costs for EU businesses. These targets will be monitored and evaluated by the Commission services in collaboration with </w:t>
            </w:r>
            <w:r w:rsidR="529D390F" w:rsidRPr="5AE5215E">
              <w:rPr>
                <w:noProof/>
                <w:lang w:val="en-US"/>
              </w:rPr>
              <w:t xml:space="preserve">Member States and in tandem via dedicated survey questionnaires to EU businesses, to better establish ongoing savings. </w:t>
            </w:r>
          </w:p>
        </w:tc>
      </w:tr>
    </w:tbl>
    <w:p w14:paraId="3DA41943" w14:textId="461496D3" w:rsidR="6A86AAB7" w:rsidRDefault="6A86AAB7">
      <w:pPr>
        <w:rPr>
          <w:rFonts w:eastAsia="Times New Roman"/>
          <w:noProof/>
          <w:lang w:val="en-US"/>
        </w:rPr>
      </w:pPr>
    </w:p>
    <w:p w14:paraId="3D5363D6" w14:textId="77777777" w:rsidR="009139D3" w:rsidRDefault="009139D3">
      <w:pPr>
        <w:rPr>
          <w:rFonts w:eastAsia="Times New Roman"/>
          <w:noProof/>
          <w:lang w:val="en-US"/>
        </w:rPr>
      </w:pPr>
    </w:p>
    <w:p w14:paraId="6A534B5F" w14:textId="77777777" w:rsidR="009139D3" w:rsidRDefault="009139D3">
      <w:pPr>
        <w:rPr>
          <w:rFonts w:eastAsia="Times New Roman"/>
          <w:noProof/>
          <w:lang w:val="en-US"/>
        </w:rPr>
      </w:pPr>
    </w:p>
    <w:p w14:paraId="6ECC3B0A" w14:textId="74E47C20" w:rsidR="00AE257E" w:rsidRPr="00466BE8" w:rsidRDefault="00AE257E" w:rsidP="00466BE8">
      <w:pPr>
        <w:pStyle w:val="Heading1"/>
        <w:numPr>
          <w:ilvl w:val="0"/>
          <w:numId w:val="35"/>
        </w:numPr>
        <w:tabs>
          <w:tab w:val="num" w:pos="284"/>
        </w:tabs>
        <w:rPr>
          <w:bCs/>
          <w:noProof/>
        </w:rPr>
      </w:pPr>
      <w:bookmarkStart w:id="49" w:name="_Toc471997758"/>
      <w:bookmarkStart w:id="50" w:name="_Toc195101104"/>
      <w:bookmarkStart w:id="51" w:name="_Toc231816728"/>
      <w:r w:rsidRPr="00466BE8">
        <w:rPr>
          <w:bCs/>
          <w:noProof/>
        </w:rPr>
        <w:t>Evidence, sources and quality</w:t>
      </w:r>
      <w:bookmarkEnd w:id="49"/>
      <w:bookmarkEnd w:id="50"/>
      <w:bookmarkEnd w:id="51"/>
    </w:p>
    <w:p w14:paraId="2C01EAA4" w14:textId="77777777" w:rsidR="00AE257E" w:rsidRPr="00903E4B" w:rsidRDefault="00AE257E" w:rsidP="00AE257E">
      <w:pPr>
        <w:autoSpaceDE w:val="0"/>
        <w:autoSpaceDN w:val="0"/>
        <w:adjustRightInd w:val="0"/>
        <w:spacing w:after="0"/>
        <w:rPr>
          <w:rFonts w:eastAsia="Calibri"/>
          <w:noProof/>
          <w:color w:val="000000"/>
          <w:lang w:val="en-US"/>
        </w:rPr>
      </w:pPr>
      <w:r w:rsidRPr="73B26DB1">
        <w:rPr>
          <w:rFonts w:eastAsia="Calibri"/>
          <w:noProof/>
          <w:color w:val="000000" w:themeColor="text1"/>
          <w:lang w:val="en-US"/>
        </w:rPr>
        <w:t xml:space="preserve">The evidence for the impact assessment report was gathered through various activities and from different sources: </w:t>
      </w:r>
    </w:p>
    <w:p w14:paraId="14222B57" w14:textId="70368753" w:rsidR="73B26DB1" w:rsidRDefault="7709EA8B" w:rsidP="4321A1A3">
      <w:pPr>
        <w:numPr>
          <w:ilvl w:val="0"/>
          <w:numId w:val="25"/>
        </w:numPr>
        <w:spacing w:after="47"/>
        <w:contextualSpacing/>
        <w:rPr>
          <w:noProof/>
        </w:rPr>
      </w:pPr>
      <w:r w:rsidRPr="4321A1A3">
        <w:rPr>
          <w:rFonts w:eastAsia="Calibri"/>
          <w:noProof/>
          <w:color w:val="000000" w:themeColor="text1"/>
          <w:lang w:val="en-US"/>
        </w:rPr>
        <w:t>2025 E</w:t>
      </w:r>
      <w:r>
        <w:rPr>
          <w:noProof/>
        </w:rPr>
        <w:t>valuation of the Directive on administrative cooperation</w:t>
      </w:r>
      <w:r w:rsidR="25F43B48">
        <w:rPr>
          <w:noProof/>
        </w:rPr>
        <w:t>.</w:t>
      </w:r>
    </w:p>
    <w:p w14:paraId="198E0E2A" w14:textId="76F276A2" w:rsidR="72B6A8A4" w:rsidRDefault="7709EA8B" w:rsidP="4321A1A3">
      <w:pPr>
        <w:numPr>
          <w:ilvl w:val="0"/>
          <w:numId w:val="25"/>
        </w:numPr>
        <w:spacing w:after="47"/>
        <w:contextualSpacing/>
        <w:rPr>
          <w:noProof/>
        </w:rPr>
      </w:pPr>
      <w:r>
        <w:rPr>
          <w:noProof/>
        </w:rPr>
        <w:t xml:space="preserve">2021 </w:t>
      </w:r>
      <w:r w:rsidR="216A839F">
        <w:rPr>
          <w:noProof/>
        </w:rPr>
        <w:t xml:space="preserve">Special </w:t>
      </w:r>
      <w:r>
        <w:rPr>
          <w:noProof/>
        </w:rPr>
        <w:t>Report of the European Court of Auditors</w:t>
      </w:r>
      <w:r w:rsidR="7BD31127">
        <w:rPr>
          <w:noProof/>
        </w:rPr>
        <w:t>.</w:t>
      </w:r>
    </w:p>
    <w:p w14:paraId="20D33876" w14:textId="3984DF79" w:rsidR="72B6A8A4" w:rsidRDefault="7709EA8B" w:rsidP="4321A1A3">
      <w:pPr>
        <w:numPr>
          <w:ilvl w:val="0"/>
          <w:numId w:val="25"/>
        </w:numPr>
        <w:spacing w:after="47"/>
        <w:contextualSpacing/>
        <w:rPr>
          <w:noProof/>
        </w:rPr>
      </w:pPr>
      <w:r>
        <w:rPr>
          <w:noProof/>
        </w:rPr>
        <w:t xml:space="preserve">2024 </w:t>
      </w:r>
      <w:r w:rsidR="0AC5C9F4">
        <w:rPr>
          <w:noProof/>
        </w:rPr>
        <w:t xml:space="preserve">Special </w:t>
      </w:r>
      <w:r>
        <w:rPr>
          <w:noProof/>
        </w:rPr>
        <w:t>Report of the European Cour o</w:t>
      </w:r>
      <w:r w:rsidR="4B51B81F">
        <w:rPr>
          <w:noProof/>
        </w:rPr>
        <w:t>f</w:t>
      </w:r>
      <w:r>
        <w:rPr>
          <w:noProof/>
        </w:rPr>
        <w:t xml:space="preserve"> Auditors</w:t>
      </w:r>
      <w:r w:rsidR="00466BE8">
        <w:rPr>
          <w:noProof/>
        </w:rPr>
        <w:t>.</w:t>
      </w:r>
    </w:p>
    <w:p w14:paraId="32EE18E3" w14:textId="77777777" w:rsidR="009139D3" w:rsidRDefault="56939C01" w:rsidP="009139D3">
      <w:pPr>
        <w:numPr>
          <w:ilvl w:val="0"/>
          <w:numId w:val="25"/>
        </w:numPr>
        <w:spacing w:after="47"/>
        <w:contextualSpacing/>
        <w:rPr>
          <w:noProof/>
        </w:rPr>
      </w:pPr>
      <w:r>
        <w:rPr>
          <w:noProof/>
        </w:rPr>
        <w:t xml:space="preserve">Study by an external contractor: </w:t>
      </w:r>
      <w:r w:rsidR="320D37D1">
        <w:rPr>
          <w:noProof/>
        </w:rPr>
        <w:t>“</w:t>
      </w:r>
      <w:r w:rsidR="0CE8861E">
        <w:rPr>
          <w:noProof/>
        </w:rPr>
        <w:t>Evaluation of the Directive 2011/16 and its Amendments</w:t>
      </w:r>
      <w:r w:rsidR="17D6C916">
        <w:rPr>
          <w:noProof/>
        </w:rPr>
        <w:t>”</w:t>
      </w:r>
      <w:r w:rsidR="00466BE8">
        <w:rPr>
          <w:rStyle w:val="FootnoteReference"/>
          <w:noProof/>
        </w:rPr>
        <w:footnoteReference w:id="76"/>
      </w:r>
    </w:p>
    <w:p w14:paraId="5C00854A" w14:textId="37FB0760" w:rsidR="1622309D" w:rsidRPr="009139D3" w:rsidRDefault="2B4167AF" w:rsidP="009139D3">
      <w:pPr>
        <w:numPr>
          <w:ilvl w:val="0"/>
          <w:numId w:val="25"/>
        </w:numPr>
        <w:spacing w:after="47"/>
        <w:contextualSpacing/>
        <w:rPr>
          <w:rStyle w:val="FootnoteReference"/>
          <w:noProof/>
          <w:vertAlign w:val="baseline"/>
        </w:rPr>
      </w:pPr>
      <w:r>
        <w:rPr>
          <w:noProof/>
        </w:rPr>
        <w:t xml:space="preserve">Study by an external contractor: </w:t>
      </w:r>
      <w:r w:rsidR="550D908E">
        <w:rPr>
          <w:noProof/>
        </w:rPr>
        <w:t>“</w:t>
      </w:r>
      <w:r w:rsidR="564F8B0E">
        <w:rPr>
          <w:noProof/>
        </w:rPr>
        <w:t>Study on Taxpayer Identification Number</w:t>
      </w:r>
      <w:r w:rsidR="001C1233">
        <w:rPr>
          <w:noProof/>
        </w:rPr>
        <w:t xml:space="preserve">s </w:t>
      </w:r>
      <w:r w:rsidR="564F8B0E">
        <w:rPr>
          <w:noProof/>
        </w:rPr>
        <w:t xml:space="preserve">(TIN) </w:t>
      </w:r>
      <w:r w:rsidR="56BEC8C5">
        <w:rPr>
          <w:noProof/>
        </w:rPr>
        <w:t xml:space="preserve">and </w:t>
      </w:r>
      <w:r w:rsidR="001C1233">
        <w:rPr>
          <w:noProof/>
        </w:rPr>
        <w:t>possible</w:t>
      </w:r>
      <w:r w:rsidR="56BEC8C5">
        <w:rPr>
          <w:noProof/>
        </w:rPr>
        <w:t xml:space="preserve"> </w:t>
      </w:r>
      <w:r w:rsidR="564F8B0E">
        <w:rPr>
          <w:noProof/>
        </w:rPr>
        <w:t>verification instrument</w:t>
      </w:r>
      <w:r w:rsidR="06ACD834">
        <w:rPr>
          <w:noProof/>
        </w:rPr>
        <w:t>s</w:t>
      </w:r>
      <w:r w:rsidR="65974AC5">
        <w:rPr>
          <w:noProof/>
        </w:rPr>
        <w:t>”</w:t>
      </w:r>
    </w:p>
    <w:p w14:paraId="609360BB" w14:textId="6726A109" w:rsidR="00AE257E" w:rsidRPr="00903E4B" w:rsidRDefault="7CAAA950" w:rsidP="0059106A">
      <w:pPr>
        <w:numPr>
          <w:ilvl w:val="0"/>
          <w:numId w:val="25"/>
        </w:numPr>
        <w:autoSpaceDE w:val="0"/>
        <w:autoSpaceDN w:val="0"/>
        <w:adjustRightInd w:val="0"/>
        <w:spacing w:after="47"/>
        <w:contextualSpacing/>
        <w:rPr>
          <w:rFonts w:eastAsia="Calibri"/>
          <w:noProof/>
          <w:color w:val="000000"/>
          <w:lang w:val="en-US"/>
        </w:rPr>
      </w:pPr>
      <w:r w:rsidRPr="1599A2D9">
        <w:rPr>
          <w:rFonts w:eastAsia="Calibri"/>
          <w:noProof/>
          <w:color w:val="000000" w:themeColor="text1"/>
          <w:lang w:val="en-US"/>
        </w:rPr>
        <w:t>Targeted c</w:t>
      </w:r>
      <w:r w:rsidR="00AE257E" w:rsidRPr="1599A2D9">
        <w:rPr>
          <w:rFonts w:eastAsia="Calibri"/>
          <w:noProof/>
          <w:color w:val="000000" w:themeColor="text1"/>
          <w:lang w:val="en-US"/>
        </w:rPr>
        <w:t xml:space="preserve">onsultation with Member States in the Working Party IV </w:t>
      </w:r>
      <w:r w:rsidR="2678B9CD" w:rsidRPr="1599A2D9">
        <w:rPr>
          <w:rFonts w:eastAsia="Calibri"/>
          <w:noProof/>
          <w:color w:val="000000" w:themeColor="text1"/>
          <w:lang w:val="en-US"/>
        </w:rPr>
        <w:t xml:space="preserve">(WPIV) </w:t>
      </w:r>
      <w:r w:rsidR="00AE257E" w:rsidRPr="1599A2D9">
        <w:rPr>
          <w:rFonts w:eastAsia="Calibri"/>
          <w:noProof/>
          <w:color w:val="000000" w:themeColor="text1"/>
          <w:lang w:val="en-US"/>
        </w:rPr>
        <w:t>Commission Expert group on direct taxation</w:t>
      </w:r>
      <w:r w:rsidR="1A22CBAF" w:rsidRPr="1599A2D9">
        <w:rPr>
          <w:rFonts w:eastAsia="Calibri"/>
          <w:noProof/>
          <w:color w:val="000000" w:themeColor="text1"/>
          <w:lang w:val="en-US"/>
        </w:rPr>
        <w:t>.</w:t>
      </w:r>
    </w:p>
    <w:p w14:paraId="7D711882" w14:textId="2CF1A207" w:rsidR="7F028BA9" w:rsidRDefault="7142A450" w:rsidP="7F028BA9">
      <w:pPr>
        <w:numPr>
          <w:ilvl w:val="0"/>
          <w:numId w:val="25"/>
        </w:numPr>
        <w:spacing w:after="47"/>
        <w:contextualSpacing/>
        <w:rPr>
          <w:rFonts w:eastAsia="Calibri"/>
          <w:noProof/>
          <w:color w:val="000000" w:themeColor="text1"/>
          <w:lang w:val="en-US"/>
        </w:rPr>
      </w:pPr>
      <w:r w:rsidRPr="22890DF2">
        <w:rPr>
          <w:rFonts w:eastAsia="Calibri"/>
          <w:noProof/>
          <w:color w:val="000000" w:themeColor="text1"/>
          <w:lang w:val="en-US"/>
        </w:rPr>
        <w:t>Outcome</w:t>
      </w:r>
      <w:r w:rsidRPr="4DEE5299">
        <w:rPr>
          <w:rFonts w:eastAsia="Calibri"/>
          <w:noProof/>
          <w:color w:val="000000" w:themeColor="text1"/>
          <w:lang w:val="en-US"/>
        </w:rPr>
        <w:t xml:space="preserve"> from work </w:t>
      </w:r>
      <w:r w:rsidR="6CF82E71" w:rsidRPr="07D1661A">
        <w:rPr>
          <w:rFonts w:eastAsia="Calibri"/>
          <w:noProof/>
          <w:color w:val="000000" w:themeColor="text1"/>
          <w:lang w:val="en-US"/>
        </w:rPr>
        <w:t>in</w:t>
      </w:r>
      <w:r w:rsidRPr="4DEE5299">
        <w:rPr>
          <w:rFonts w:eastAsia="Calibri"/>
          <w:noProof/>
          <w:color w:val="000000" w:themeColor="text1"/>
          <w:lang w:val="en-US"/>
        </w:rPr>
        <w:t xml:space="preserve"> the VISDAC Expert Team </w:t>
      </w:r>
      <w:r w:rsidR="25BD2C60" w:rsidRPr="21F5A53A">
        <w:rPr>
          <w:rFonts w:eastAsia="Calibri"/>
          <w:noProof/>
          <w:color w:val="000000" w:themeColor="text1"/>
          <w:lang w:val="en-US"/>
        </w:rPr>
        <w:t xml:space="preserve">(Fiscalis </w:t>
      </w:r>
      <w:r w:rsidR="25BD2C60" w:rsidRPr="0D443924">
        <w:rPr>
          <w:rFonts w:eastAsia="Calibri"/>
          <w:noProof/>
          <w:color w:val="000000" w:themeColor="text1"/>
          <w:lang w:val="en-US"/>
        </w:rPr>
        <w:t xml:space="preserve">program) </w:t>
      </w:r>
      <w:r w:rsidRPr="0D443924">
        <w:rPr>
          <w:rFonts w:eastAsia="Calibri"/>
          <w:noProof/>
          <w:color w:val="000000" w:themeColor="text1"/>
          <w:lang w:val="en-US"/>
        </w:rPr>
        <w:t>which</w:t>
      </w:r>
      <w:r w:rsidRPr="4DEE5299">
        <w:rPr>
          <w:rFonts w:eastAsia="Calibri"/>
          <w:noProof/>
          <w:color w:val="000000" w:themeColor="text1"/>
          <w:lang w:val="en-US"/>
        </w:rPr>
        <w:t xml:space="preserve"> collected evidence through on-site visits to Member States tax </w:t>
      </w:r>
      <w:r w:rsidRPr="22890DF2">
        <w:rPr>
          <w:rFonts w:eastAsia="Calibri"/>
          <w:noProof/>
          <w:color w:val="000000" w:themeColor="text1"/>
          <w:lang w:val="en-US"/>
        </w:rPr>
        <w:t>administrations</w:t>
      </w:r>
      <w:r w:rsidR="31E734A8" w:rsidRPr="22890DF2">
        <w:rPr>
          <w:rFonts w:eastAsia="Calibri"/>
          <w:noProof/>
          <w:color w:val="000000" w:themeColor="text1"/>
          <w:lang w:val="en-US"/>
        </w:rPr>
        <w:t>.</w:t>
      </w:r>
    </w:p>
    <w:p w14:paraId="7F077D45" w14:textId="1B59D5E5" w:rsidR="148602F9" w:rsidRDefault="148602F9" w:rsidP="6F6EDDF6">
      <w:pPr>
        <w:numPr>
          <w:ilvl w:val="0"/>
          <w:numId w:val="25"/>
        </w:numPr>
        <w:spacing w:after="47"/>
        <w:contextualSpacing/>
        <w:rPr>
          <w:rFonts w:eastAsia="Calibri"/>
          <w:noProof/>
          <w:color w:val="000000" w:themeColor="text1"/>
          <w:lang w:val="en-US"/>
        </w:rPr>
      </w:pPr>
      <w:r w:rsidRPr="29407A30">
        <w:rPr>
          <w:rFonts w:eastAsia="Calibri"/>
          <w:noProof/>
          <w:color w:val="000000" w:themeColor="text1"/>
          <w:lang w:val="en-US"/>
        </w:rPr>
        <w:t>Consultations in the expert group Platform on Tax Good Governance</w:t>
      </w:r>
      <w:r w:rsidRPr="49EA1D03">
        <w:rPr>
          <w:rFonts w:eastAsia="Calibri"/>
          <w:noProof/>
          <w:color w:val="000000" w:themeColor="text1"/>
          <w:lang w:val="en-US"/>
        </w:rPr>
        <w:t xml:space="preserve"> which gathers experts from </w:t>
      </w:r>
      <w:r w:rsidRPr="1145612E">
        <w:rPr>
          <w:rFonts w:eastAsia="Calibri"/>
          <w:noProof/>
          <w:color w:val="000000" w:themeColor="text1"/>
          <w:lang w:val="en-US"/>
        </w:rPr>
        <w:t xml:space="preserve">business, </w:t>
      </w:r>
      <w:r w:rsidR="2968C6D0" w:rsidRPr="1145612E">
        <w:rPr>
          <w:rFonts w:eastAsia="Calibri"/>
          <w:noProof/>
          <w:color w:val="000000" w:themeColor="text1"/>
          <w:lang w:val="en-US"/>
        </w:rPr>
        <w:t xml:space="preserve">interest groups </w:t>
      </w:r>
      <w:r w:rsidR="2968C6D0" w:rsidRPr="152F425A">
        <w:rPr>
          <w:rFonts w:eastAsia="Calibri"/>
          <w:noProof/>
          <w:color w:val="000000" w:themeColor="text1"/>
          <w:lang w:val="en-US"/>
        </w:rPr>
        <w:t>and Member States.</w:t>
      </w:r>
    </w:p>
    <w:p w14:paraId="00B04BBE" w14:textId="56758A75" w:rsidR="2F594B58" w:rsidRDefault="5E7F4DC2" w:rsidP="2F594B58">
      <w:pPr>
        <w:numPr>
          <w:ilvl w:val="0"/>
          <w:numId w:val="25"/>
        </w:numPr>
        <w:spacing w:after="47"/>
        <w:contextualSpacing/>
        <w:rPr>
          <w:rFonts w:eastAsia="Calibri"/>
          <w:noProof/>
          <w:color w:val="000000" w:themeColor="text1"/>
          <w:lang w:val="en-US"/>
        </w:rPr>
      </w:pPr>
      <w:r w:rsidRPr="2713D112">
        <w:rPr>
          <w:rFonts w:eastAsia="Calibri"/>
          <w:noProof/>
          <w:color w:val="000000" w:themeColor="text1"/>
          <w:lang w:val="en-US"/>
        </w:rPr>
        <w:t xml:space="preserve">Yearly questionnaires </w:t>
      </w:r>
      <w:r w:rsidRPr="7CD4BEFD">
        <w:rPr>
          <w:rFonts w:eastAsia="Calibri"/>
          <w:noProof/>
          <w:color w:val="000000" w:themeColor="text1"/>
          <w:lang w:val="en-US"/>
        </w:rPr>
        <w:t xml:space="preserve">to Member States </w:t>
      </w:r>
      <w:r w:rsidRPr="2713D112">
        <w:rPr>
          <w:rFonts w:eastAsia="Calibri"/>
          <w:noProof/>
          <w:color w:val="000000" w:themeColor="text1"/>
          <w:lang w:val="en-US"/>
        </w:rPr>
        <w:t xml:space="preserve">on automatic exchange of information and other forms of </w:t>
      </w:r>
      <w:r w:rsidRPr="7CD4BEFD">
        <w:rPr>
          <w:rFonts w:eastAsia="Calibri"/>
          <w:noProof/>
          <w:color w:val="000000" w:themeColor="text1"/>
          <w:lang w:val="en-US"/>
        </w:rPr>
        <w:t>administrative cooperation, respectively.</w:t>
      </w:r>
    </w:p>
    <w:p w14:paraId="10F2C6E5" w14:textId="40A49A12" w:rsidR="00AE257E" w:rsidRPr="00903E4B" w:rsidRDefault="00AE257E" w:rsidP="0059106A">
      <w:pPr>
        <w:numPr>
          <w:ilvl w:val="0"/>
          <w:numId w:val="25"/>
        </w:numPr>
        <w:autoSpaceDE w:val="0"/>
        <w:autoSpaceDN w:val="0"/>
        <w:adjustRightInd w:val="0"/>
        <w:spacing w:after="47"/>
        <w:contextualSpacing/>
        <w:rPr>
          <w:rFonts w:eastAsia="Calibri"/>
          <w:noProof/>
          <w:color w:val="000000"/>
          <w:lang w:val="en-US"/>
        </w:rPr>
      </w:pPr>
      <w:r w:rsidRPr="1599A2D9">
        <w:rPr>
          <w:rFonts w:eastAsia="Calibri"/>
          <w:noProof/>
          <w:color w:val="000000" w:themeColor="text1"/>
          <w:lang w:val="en-US"/>
        </w:rPr>
        <w:t>Targeted consultation with relevant stakeholders, such as business associations, tax consultants</w:t>
      </w:r>
      <w:r w:rsidR="17D76F48" w:rsidRPr="1599A2D9">
        <w:rPr>
          <w:rFonts w:eastAsia="Calibri"/>
          <w:noProof/>
          <w:color w:val="000000" w:themeColor="text1"/>
          <w:lang w:val="en-US"/>
        </w:rPr>
        <w:t xml:space="preserve">, </w:t>
      </w:r>
      <w:r w:rsidRPr="1599A2D9">
        <w:rPr>
          <w:rFonts w:eastAsia="Calibri"/>
          <w:noProof/>
          <w:color w:val="000000" w:themeColor="text1"/>
          <w:lang w:val="en-US"/>
        </w:rPr>
        <w:t>and leading corporations in the global market</w:t>
      </w:r>
      <w:r w:rsidR="10CA4C5C" w:rsidRPr="1599A2D9">
        <w:rPr>
          <w:rFonts w:eastAsia="Calibri"/>
          <w:noProof/>
          <w:color w:val="000000" w:themeColor="text1"/>
          <w:lang w:val="en-US"/>
        </w:rPr>
        <w:t>.</w:t>
      </w:r>
    </w:p>
    <w:p w14:paraId="3ADD98F3" w14:textId="4E1A3CB3" w:rsidR="00AE257E" w:rsidRPr="00903E4B" w:rsidRDefault="00AE257E" w:rsidP="0059106A">
      <w:pPr>
        <w:numPr>
          <w:ilvl w:val="0"/>
          <w:numId w:val="25"/>
        </w:numPr>
        <w:autoSpaceDE w:val="0"/>
        <w:autoSpaceDN w:val="0"/>
        <w:adjustRightInd w:val="0"/>
        <w:spacing w:after="47"/>
        <w:contextualSpacing/>
        <w:rPr>
          <w:rFonts w:eastAsia="Calibri"/>
          <w:noProof/>
          <w:color w:val="000000"/>
          <w:lang w:val="en-US"/>
        </w:rPr>
      </w:pPr>
      <w:r w:rsidRPr="2713D112">
        <w:rPr>
          <w:rFonts w:eastAsia="Calibri"/>
          <w:noProof/>
          <w:color w:val="000000" w:themeColor="text1"/>
          <w:lang w:val="en-US"/>
        </w:rPr>
        <w:t>Public consultation and Call for evidence</w:t>
      </w:r>
      <w:r w:rsidR="740CD679" w:rsidRPr="2713D112">
        <w:rPr>
          <w:rFonts w:eastAsia="Calibri"/>
          <w:noProof/>
          <w:color w:val="000000" w:themeColor="text1"/>
          <w:lang w:val="en-US"/>
        </w:rPr>
        <w:t>.</w:t>
      </w:r>
    </w:p>
    <w:p w14:paraId="63D8E3C9" w14:textId="0C6E1BF3" w:rsidR="41961341" w:rsidRDefault="00AE257E" w:rsidP="00466BE8">
      <w:pPr>
        <w:numPr>
          <w:ilvl w:val="0"/>
          <w:numId w:val="25"/>
        </w:numPr>
        <w:autoSpaceDE w:val="0"/>
        <w:autoSpaceDN w:val="0"/>
        <w:adjustRightInd w:val="0"/>
        <w:spacing w:after="47"/>
        <w:contextualSpacing/>
        <w:rPr>
          <w:rFonts w:eastAsia="Calibri"/>
          <w:noProof/>
          <w:color w:val="000000"/>
          <w:lang w:val="en-US"/>
        </w:rPr>
      </w:pPr>
      <w:r w:rsidRPr="41961341">
        <w:rPr>
          <w:rFonts w:eastAsia="Calibri"/>
          <w:noProof/>
          <w:color w:val="000000" w:themeColor="text1"/>
          <w:lang w:val="en-US"/>
        </w:rPr>
        <w:t>Desk research</w:t>
      </w:r>
      <w:r w:rsidR="73295B42" w:rsidRPr="2713D112">
        <w:rPr>
          <w:rFonts w:eastAsia="Calibri"/>
          <w:noProof/>
          <w:color w:val="000000" w:themeColor="text1"/>
          <w:lang w:val="en-US"/>
        </w:rPr>
        <w:t>.</w:t>
      </w:r>
      <w:r w:rsidRPr="41961341">
        <w:rPr>
          <w:rFonts w:eastAsia="Calibri"/>
          <w:noProof/>
          <w:color w:val="000000" w:themeColor="text1"/>
          <w:lang w:val="en-US"/>
        </w:rPr>
        <w:t xml:space="preserve"> </w:t>
      </w:r>
    </w:p>
    <w:p w14:paraId="7AD375B3" w14:textId="77777777" w:rsidR="00466BE8" w:rsidRPr="00466BE8" w:rsidRDefault="00466BE8" w:rsidP="00466BE8">
      <w:pPr>
        <w:autoSpaceDE w:val="0"/>
        <w:autoSpaceDN w:val="0"/>
        <w:adjustRightInd w:val="0"/>
        <w:spacing w:after="47"/>
        <w:ind w:left="720"/>
        <w:contextualSpacing/>
        <w:rPr>
          <w:rFonts w:eastAsia="Calibri"/>
          <w:noProof/>
          <w:color w:val="000000"/>
          <w:lang w:val="en-US"/>
        </w:rPr>
      </w:pPr>
    </w:p>
    <w:p w14:paraId="6F6A3644" w14:textId="2D0D1F4E" w:rsidR="14FE24B4" w:rsidRDefault="14FE24B4" w:rsidP="003C4C00">
      <w:pPr>
        <w:pStyle w:val="Heading1"/>
        <w:rPr>
          <w:rFonts w:eastAsia="Calibri"/>
          <w:noProof/>
          <w:lang w:val="en-US"/>
        </w:rPr>
      </w:pPr>
      <w:bookmarkStart w:id="52" w:name="_Toc231816729"/>
      <w:r w:rsidRPr="00C84469">
        <w:rPr>
          <w:rFonts w:eastAsia="Calibri"/>
          <w:noProof/>
          <w:lang w:val="en-US"/>
        </w:rPr>
        <w:t>External expertise</w:t>
      </w:r>
      <w:bookmarkEnd w:id="52"/>
    </w:p>
    <w:p w14:paraId="40C45060" w14:textId="3FE80A78" w:rsidR="00466BE8" w:rsidRDefault="680F9D4E" w:rsidP="09A87E47">
      <w:pPr>
        <w:spacing w:after="47"/>
        <w:contextualSpacing/>
        <w:rPr>
          <w:rFonts w:eastAsia="Times New Roman"/>
          <w:noProof/>
        </w:rPr>
      </w:pPr>
      <w:r w:rsidRPr="09A87E47">
        <w:rPr>
          <w:rFonts w:eastAsia="Times New Roman"/>
          <w:noProof/>
        </w:rPr>
        <w:t xml:space="preserve">Two </w:t>
      </w:r>
      <w:r w:rsidR="494D4C41" w:rsidRPr="09A87E47">
        <w:rPr>
          <w:rFonts w:eastAsia="Times New Roman"/>
          <w:noProof/>
        </w:rPr>
        <w:t>studies</w:t>
      </w:r>
      <w:r w:rsidR="025C9FA7" w:rsidRPr="09A87E47">
        <w:rPr>
          <w:rFonts w:eastAsia="Times New Roman"/>
          <w:noProof/>
        </w:rPr>
        <w:t xml:space="preserve"> </w:t>
      </w:r>
      <w:r w:rsidR="3FECABCA" w:rsidRPr="09A87E47">
        <w:rPr>
          <w:rFonts w:eastAsia="Times New Roman"/>
          <w:noProof/>
        </w:rPr>
        <w:t xml:space="preserve">by external consultants </w:t>
      </w:r>
      <w:r w:rsidR="727E83C7" w:rsidRPr="09A87E47">
        <w:rPr>
          <w:rFonts w:eastAsia="Times New Roman"/>
          <w:noProof/>
        </w:rPr>
        <w:t>have been used to inform this impact assessment</w:t>
      </w:r>
      <w:r w:rsidR="4372F6BF" w:rsidRPr="09A87E47">
        <w:rPr>
          <w:rFonts w:eastAsia="Times New Roman"/>
          <w:noProof/>
        </w:rPr>
        <w:t xml:space="preserve">: </w:t>
      </w:r>
      <w:r w:rsidR="727E83C7" w:rsidRPr="09A87E47">
        <w:rPr>
          <w:rFonts w:eastAsia="Times New Roman"/>
          <w:noProof/>
        </w:rPr>
        <w:t>a study supporting the 2025 evaluation of the DAC</w:t>
      </w:r>
      <w:r w:rsidR="0636B510" w:rsidRPr="09A87E47">
        <w:rPr>
          <w:rFonts w:eastAsia="Times New Roman"/>
          <w:noProof/>
        </w:rPr>
        <w:t xml:space="preserve">, and a </w:t>
      </w:r>
      <w:r w:rsidR="001C1233">
        <w:rPr>
          <w:noProof/>
        </w:rPr>
        <w:t>Study on Taxpayer Identification Numbers (TIN) and possible verification instruments</w:t>
      </w:r>
      <w:r w:rsidR="34396A76" w:rsidRPr="09A87E47">
        <w:rPr>
          <w:rFonts w:eastAsia="Times New Roman"/>
          <w:noProof/>
        </w:rPr>
        <w:t xml:space="preserve">. </w:t>
      </w:r>
    </w:p>
    <w:p w14:paraId="76FA07BA" w14:textId="77777777" w:rsidR="00466BE8" w:rsidRDefault="00466BE8" w:rsidP="4321A1A3">
      <w:pPr>
        <w:spacing w:after="47"/>
        <w:contextualSpacing/>
        <w:rPr>
          <w:rFonts w:eastAsia="Times New Roman"/>
          <w:noProof/>
        </w:rPr>
      </w:pPr>
    </w:p>
    <w:p w14:paraId="2A6349DC" w14:textId="76E586D2" w:rsidR="4D27DFF9" w:rsidRDefault="3C4CD55D" w:rsidP="4321A1A3">
      <w:pPr>
        <w:spacing w:after="47"/>
        <w:contextualSpacing/>
        <w:rPr>
          <w:rFonts w:eastAsia="Times New Roman"/>
          <w:noProof/>
        </w:rPr>
      </w:pPr>
      <w:r w:rsidRPr="4321A1A3">
        <w:rPr>
          <w:rFonts w:eastAsia="Times New Roman"/>
          <w:noProof/>
        </w:rPr>
        <w:t xml:space="preserve">The study </w:t>
      </w:r>
      <w:r w:rsidR="0BF5EE87" w:rsidRPr="4321A1A3">
        <w:rPr>
          <w:rFonts w:eastAsia="Times New Roman"/>
          <w:noProof/>
        </w:rPr>
        <w:t xml:space="preserve">supporting </w:t>
      </w:r>
      <w:r w:rsidRPr="4321A1A3">
        <w:rPr>
          <w:rFonts w:eastAsia="Times New Roman"/>
          <w:noProof/>
        </w:rPr>
        <w:t>the evaluation of the DAC cover</w:t>
      </w:r>
      <w:r w:rsidR="4C4F0051" w:rsidRPr="4321A1A3">
        <w:rPr>
          <w:rFonts w:eastAsia="Times New Roman"/>
          <w:noProof/>
        </w:rPr>
        <w:t>s</w:t>
      </w:r>
      <w:r w:rsidRPr="4321A1A3">
        <w:rPr>
          <w:rFonts w:eastAsia="Times New Roman"/>
          <w:noProof/>
        </w:rPr>
        <w:t xml:space="preserve"> directive</w:t>
      </w:r>
      <w:r w:rsidR="14315268" w:rsidRPr="4321A1A3">
        <w:rPr>
          <w:rFonts w:eastAsia="Times New Roman"/>
          <w:noProof/>
        </w:rPr>
        <w:t xml:space="preserve">s DAC1 to DAC6. It provides a basis for assessing the usefulness of DAC1 income categories and DAC6 hallmarks and </w:t>
      </w:r>
      <w:r w:rsidR="442D9004" w:rsidRPr="4321A1A3">
        <w:rPr>
          <w:rFonts w:eastAsia="Times New Roman"/>
          <w:noProof/>
        </w:rPr>
        <w:t xml:space="preserve">MBT. </w:t>
      </w:r>
      <w:r w:rsidR="5E2E61D3" w:rsidRPr="4321A1A3">
        <w:rPr>
          <w:rFonts w:eastAsia="Times New Roman"/>
          <w:noProof/>
        </w:rPr>
        <w:t xml:space="preserve">The study also provides </w:t>
      </w:r>
      <w:r w:rsidR="3CAA9AC1" w:rsidRPr="4321A1A3">
        <w:rPr>
          <w:rFonts w:eastAsia="Times New Roman"/>
          <w:noProof/>
        </w:rPr>
        <w:t xml:space="preserve">a </w:t>
      </w:r>
      <w:r w:rsidR="00466BE8" w:rsidRPr="4321A1A3">
        <w:rPr>
          <w:rFonts w:eastAsia="Times New Roman"/>
          <w:noProof/>
        </w:rPr>
        <w:t>general analysis</w:t>
      </w:r>
      <w:r w:rsidR="5E2E61D3" w:rsidRPr="4321A1A3">
        <w:rPr>
          <w:rFonts w:eastAsia="Times New Roman"/>
          <w:noProof/>
        </w:rPr>
        <w:t xml:space="preserve"> of the quality and use of data for all </w:t>
      </w:r>
      <w:r w:rsidR="72A47FE2" w:rsidRPr="4321A1A3">
        <w:rPr>
          <w:rFonts w:eastAsia="Times New Roman"/>
          <w:noProof/>
        </w:rPr>
        <w:t>DAC</w:t>
      </w:r>
      <w:r w:rsidR="00466BE8">
        <w:rPr>
          <w:rFonts w:eastAsia="Times New Roman"/>
          <w:noProof/>
        </w:rPr>
        <w:t>’s</w:t>
      </w:r>
      <w:r w:rsidR="72A47FE2" w:rsidRPr="4321A1A3">
        <w:rPr>
          <w:rFonts w:eastAsia="Times New Roman"/>
          <w:noProof/>
        </w:rPr>
        <w:t>,</w:t>
      </w:r>
      <w:r w:rsidR="00466BE8">
        <w:rPr>
          <w:rFonts w:eastAsia="Times New Roman"/>
          <w:noProof/>
        </w:rPr>
        <w:t xml:space="preserve"> w</w:t>
      </w:r>
      <w:r w:rsidR="5E2E61D3" w:rsidRPr="4321A1A3">
        <w:rPr>
          <w:rFonts w:eastAsia="Times New Roman"/>
          <w:noProof/>
        </w:rPr>
        <w:t xml:space="preserve">hich is used for the assessment of </w:t>
      </w:r>
      <w:r w:rsidR="59C90664" w:rsidRPr="4321A1A3">
        <w:rPr>
          <w:rFonts w:eastAsia="Times New Roman"/>
          <w:noProof/>
        </w:rPr>
        <w:t>all of the measures in this impact assessment.</w:t>
      </w:r>
    </w:p>
    <w:p w14:paraId="58C0699C" w14:textId="77777777" w:rsidR="00466BE8" w:rsidRDefault="00466BE8" w:rsidP="4321A1A3">
      <w:pPr>
        <w:spacing w:after="47"/>
        <w:contextualSpacing/>
        <w:rPr>
          <w:rFonts w:eastAsia="Times New Roman"/>
          <w:noProof/>
        </w:rPr>
      </w:pPr>
    </w:p>
    <w:p w14:paraId="18A1A7D5" w14:textId="53301026" w:rsidR="7A089B51" w:rsidRDefault="59C90664" w:rsidP="09A87E47">
      <w:pPr>
        <w:spacing w:after="47"/>
        <w:contextualSpacing/>
        <w:rPr>
          <w:rFonts w:eastAsia="Times New Roman"/>
          <w:noProof/>
        </w:rPr>
      </w:pPr>
      <w:r w:rsidRPr="09A87E47">
        <w:rPr>
          <w:rFonts w:eastAsia="Times New Roman"/>
          <w:noProof/>
        </w:rPr>
        <w:t xml:space="preserve">The TIN study specifically targets the use and quality of the TIN and assesses different options to improve these. </w:t>
      </w:r>
      <w:r w:rsidR="001C1867">
        <w:rPr>
          <w:rFonts w:eastAsia="Times New Roman"/>
          <w:noProof/>
        </w:rPr>
        <w:t xml:space="preserve">The </w:t>
      </w:r>
      <w:r w:rsidR="16B581DB" w:rsidRPr="09A87E47">
        <w:rPr>
          <w:rFonts w:eastAsia="Times New Roman"/>
          <w:noProof/>
        </w:rPr>
        <w:t xml:space="preserve">preliminary </w:t>
      </w:r>
      <w:r w:rsidR="46B5D021" w:rsidRPr="09A87E47">
        <w:rPr>
          <w:rFonts w:eastAsia="Times New Roman"/>
          <w:noProof/>
        </w:rPr>
        <w:t xml:space="preserve">results have been used </w:t>
      </w:r>
      <w:r w:rsidR="5274F695" w:rsidRPr="09A87E47">
        <w:rPr>
          <w:rFonts w:eastAsia="Times New Roman"/>
          <w:noProof/>
        </w:rPr>
        <w:t xml:space="preserve">in this report </w:t>
      </w:r>
      <w:r w:rsidR="3A4C11FD" w:rsidRPr="09A87E47">
        <w:rPr>
          <w:rFonts w:eastAsia="Times New Roman"/>
          <w:noProof/>
        </w:rPr>
        <w:t xml:space="preserve">for </w:t>
      </w:r>
      <w:r w:rsidR="00466BE8" w:rsidRPr="09A87E47">
        <w:rPr>
          <w:rFonts w:eastAsia="Times New Roman"/>
          <w:noProof/>
        </w:rPr>
        <w:t>assessing the</w:t>
      </w:r>
      <w:r w:rsidR="5274F695" w:rsidRPr="09A87E47">
        <w:rPr>
          <w:rFonts w:eastAsia="Times New Roman"/>
          <w:noProof/>
        </w:rPr>
        <w:t xml:space="preserve"> costs of a </w:t>
      </w:r>
      <w:r w:rsidR="117240B2" w:rsidRPr="09A87E47">
        <w:rPr>
          <w:rFonts w:eastAsia="Times New Roman"/>
          <w:noProof/>
        </w:rPr>
        <w:t xml:space="preserve">centralised </w:t>
      </w:r>
      <w:r w:rsidR="5274F695" w:rsidRPr="09A87E47">
        <w:rPr>
          <w:rFonts w:eastAsia="Times New Roman"/>
          <w:noProof/>
        </w:rPr>
        <w:t>verification tool</w:t>
      </w:r>
      <w:r w:rsidR="652AEEF7" w:rsidRPr="09A87E47">
        <w:rPr>
          <w:rFonts w:eastAsia="Times New Roman"/>
          <w:noProof/>
        </w:rPr>
        <w:t xml:space="preserve">. </w:t>
      </w:r>
    </w:p>
    <w:p w14:paraId="2EC8D6A3" w14:textId="04E0C031" w:rsidR="7A089B51" w:rsidRDefault="7A089B51" w:rsidP="7A089B51">
      <w:pPr>
        <w:spacing w:after="47"/>
        <w:contextualSpacing/>
        <w:rPr>
          <w:rFonts w:eastAsia="Times New Roman"/>
          <w:noProof/>
        </w:rPr>
      </w:pPr>
    </w:p>
    <w:p w14:paraId="03A65CA1" w14:textId="6881C967" w:rsidR="00653811" w:rsidRDefault="00653811">
      <w:pPr>
        <w:spacing w:after="200" w:line="276" w:lineRule="auto"/>
        <w:jc w:val="left"/>
        <w:rPr>
          <w:noProof/>
          <w:lang w:val="en-IE"/>
        </w:rPr>
      </w:pPr>
      <w:r>
        <w:rPr>
          <w:noProof/>
          <w:lang w:val="en-IE"/>
        </w:rPr>
        <w:br w:type="page"/>
      </w:r>
    </w:p>
    <w:p w14:paraId="52B8A256" w14:textId="6EC3C23B" w:rsidR="00653811" w:rsidRPr="00341B36" w:rsidRDefault="5DFAE2A5" w:rsidP="77FADF1A">
      <w:pPr>
        <w:pStyle w:val="AnnexTitle"/>
        <w:rPr>
          <w:noProof/>
        </w:rPr>
      </w:pPr>
      <w:bookmarkStart w:id="53" w:name="_Toc231816730"/>
      <w:r>
        <w:rPr>
          <w:noProof/>
        </w:rPr>
        <w:t xml:space="preserve">Annex </w:t>
      </w:r>
      <w:r w:rsidR="0CF00808">
        <w:rPr>
          <w:noProof/>
        </w:rPr>
        <w:t>2</w:t>
      </w:r>
      <w:r w:rsidR="33AEE75A">
        <w:rPr>
          <w:noProof/>
        </w:rPr>
        <w:t xml:space="preserve">: </w:t>
      </w:r>
      <w:r w:rsidR="368D0ADC" w:rsidRPr="77FADF1A">
        <w:rPr>
          <w:noProof/>
          <w:color w:val="000000" w:themeColor="text1"/>
          <w:sz w:val="31"/>
          <w:szCs w:val="31"/>
        </w:rPr>
        <w:t>Stakeholder consultation</w:t>
      </w:r>
      <w:r w:rsidR="368D0ADC">
        <w:rPr>
          <w:noProof/>
        </w:rPr>
        <w:t xml:space="preserve"> (</w:t>
      </w:r>
      <w:sdt>
        <w:sdtPr>
          <w:rPr>
            <w:noProof/>
          </w:rPr>
          <w:id w:val="931940256"/>
          <w:docPartObj>
            <w:docPartGallery w:val="Cover Pages"/>
            <w:docPartUnique/>
          </w:docPartObj>
        </w:sdtPr>
        <w:sdtEndPr/>
        <w:sdtContent>
          <w:r>
            <w:rPr>
              <w:noProof/>
            </w:rPr>
            <w:t>Synopsis report</w:t>
          </w:r>
          <w:r w:rsidR="423A170E">
            <w:rPr>
              <w:noProof/>
            </w:rPr>
            <w:t>)</w:t>
          </w:r>
        </w:sdtContent>
      </w:sdt>
      <w:bookmarkEnd w:id="53"/>
    </w:p>
    <w:p w14:paraId="1038A0FA" w14:textId="768D9DFB" w:rsidR="00653811" w:rsidRPr="007325C2" w:rsidRDefault="003C4C00" w:rsidP="003C4C00">
      <w:pPr>
        <w:pStyle w:val="Heading1"/>
        <w:numPr>
          <w:ilvl w:val="0"/>
          <w:numId w:val="0"/>
        </w:numPr>
        <w:ind w:left="480" w:hanging="480"/>
        <w:rPr>
          <w:noProof/>
        </w:rPr>
      </w:pPr>
      <w:bookmarkStart w:id="54" w:name="_Toc224058332"/>
      <w:bookmarkStart w:id="55" w:name="_Toc231816731"/>
      <w:r>
        <w:rPr>
          <w:noProof/>
        </w:rPr>
        <w:t xml:space="preserve">1. </w:t>
      </w:r>
      <w:r w:rsidR="00653811" w:rsidRPr="007325C2">
        <w:rPr>
          <w:noProof/>
        </w:rPr>
        <w:t>Introduction</w:t>
      </w:r>
      <w:bookmarkEnd w:id="54"/>
      <w:bookmarkEnd w:id="55"/>
    </w:p>
    <w:p w14:paraId="77ADFFCA" w14:textId="5AA5855F" w:rsidR="2445B241" w:rsidRDefault="1875B45B">
      <w:pPr>
        <w:rPr>
          <w:noProof/>
        </w:rPr>
      </w:pPr>
      <w:r>
        <w:rPr>
          <w:noProof/>
        </w:rPr>
        <w:t xml:space="preserve">To inform the preparation of this initiative, </w:t>
      </w:r>
      <w:r w:rsidR="07950495">
        <w:rPr>
          <w:noProof/>
        </w:rPr>
        <w:t>DG TAXUD</w:t>
      </w:r>
      <w:r>
        <w:rPr>
          <w:noProof/>
        </w:rPr>
        <w:t xml:space="preserve"> carried out the following consultation activities: </w:t>
      </w:r>
    </w:p>
    <w:p w14:paraId="221429BB" w14:textId="74DADFC2" w:rsidR="1A7D3CF7" w:rsidRDefault="22F052B6" w:rsidP="0059106A">
      <w:pPr>
        <w:pStyle w:val="ListParagraph"/>
        <w:numPr>
          <w:ilvl w:val="0"/>
          <w:numId w:val="22"/>
        </w:numPr>
        <w:rPr>
          <w:noProof/>
        </w:rPr>
      </w:pPr>
      <w:r>
        <w:rPr>
          <w:noProof/>
        </w:rPr>
        <w:t xml:space="preserve">targeted consultations </w:t>
      </w:r>
      <w:r w:rsidR="4F23BC2D">
        <w:rPr>
          <w:noProof/>
        </w:rPr>
        <w:t>of</w:t>
      </w:r>
      <w:r>
        <w:rPr>
          <w:noProof/>
        </w:rPr>
        <w:t xml:space="preserve"> business </w:t>
      </w:r>
      <w:r w:rsidR="234EE0E7">
        <w:rPr>
          <w:noProof/>
        </w:rPr>
        <w:t xml:space="preserve">stakeholders; </w:t>
      </w:r>
    </w:p>
    <w:p w14:paraId="24839E3F" w14:textId="0B985BF1" w:rsidR="4FB36FF9" w:rsidRDefault="234EE0E7" w:rsidP="0059106A">
      <w:pPr>
        <w:pStyle w:val="ListParagraph"/>
        <w:numPr>
          <w:ilvl w:val="0"/>
          <w:numId w:val="22"/>
        </w:numPr>
        <w:rPr>
          <w:noProof/>
        </w:rPr>
      </w:pPr>
      <w:r>
        <w:rPr>
          <w:noProof/>
        </w:rPr>
        <w:t>targeted consultations</w:t>
      </w:r>
      <w:r w:rsidR="346776B6">
        <w:rPr>
          <w:noProof/>
        </w:rPr>
        <w:t xml:space="preserve"> of Member States; </w:t>
      </w:r>
    </w:p>
    <w:p w14:paraId="2DEDE977" w14:textId="03AF8F74" w:rsidR="13A81A04" w:rsidRDefault="79A92FED" w:rsidP="0059106A">
      <w:pPr>
        <w:pStyle w:val="ListParagraph"/>
        <w:numPr>
          <w:ilvl w:val="0"/>
          <w:numId w:val="22"/>
        </w:numPr>
        <w:rPr>
          <w:noProof/>
        </w:rPr>
      </w:pPr>
      <w:r>
        <w:rPr>
          <w:noProof/>
        </w:rPr>
        <w:t>C</w:t>
      </w:r>
      <w:r w:rsidR="346776B6">
        <w:rPr>
          <w:noProof/>
        </w:rPr>
        <w:t xml:space="preserve">all for </w:t>
      </w:r>
      <w:r w:rsidR="65179EC9">
        <w:rPr>
          <w:noProof/>
        </w:rPr>
        <w:t>E</w:t>
      </w:r>
      <w:r w:rsidR="346776B6">
        <w:rPr>
          <w:noProof/>
        </w:rPr>
        <w:t xml:space="preserve">vidence </w:t>
      </w:r>
      <w:r w:rsidR="514B7CE4">
        <w:rPr>
          <w:noProof/>
        </w:rPr>
        <w:t xml:space="preserve">(CfE) </w:t>
      </w:r>
      <w:r w:rsidR="346776B6">
        <w:rPr>
          <w:noProof/>
        </w:rPr>
        <w:t>and public consultation</w:t>
      </w:r>
      <w:r w:rsidR="2EDBD44C">
        <w:rPr>
          <w:noProof/>
        </w:rPr>
        <w:t xml:space="preserve"> (PC)</w:t>
      </w:r>
      <w:r w:rsidR="346776B6">
        <w:rPr>
          <w:noProof/>
        </w:rPr>
        <w:t>.</w:t>
      </w:r>
    </w:p>
    <w:p w14:paraId="7C9C2512" w14:textId="7C0C636C" w:rsidR="46D8DFF1" w:rsidRDefault="4CFAD582">
      <w:pPr>
        <w:rPr>
          <w:rFonts w:eastAsia="Calibri"/>
          <w:noProof/>
          <w:color w:val="000000" w:themeColor="text1"/>
        </w:rPr>
      </w:pPr>
      <w:r>
        <w:rPr>
          <w:noProof/>
        </w:rPr>
        <w:t>The targeted consultations o</w:t>
      </w:r>
      <w:r w:rsidR="534BC75C">
        <w:rPr>
          <w:noProof/>
        </w:rPr>
        <w:t xml:space="preserve">f business stakeholders took the form of interviews and meetings with </w:t>
      </w:r>
      <w:r w:rsidR="082169E9" w:rsidRPr="77FADF1A">
        <w:rPr>
          <w:rFonts w:eastAsia="Calibri"/>
          <w:noProof/>
          <w:color w:val="000000" w:themeColor="text1"/>
        </w:rPr>
        <w:t xml:space="preserve">different private stakeholders, including businesses of different sizes operating in different sectors, business associations, associations of tax consultants and academia.  The consultations </w:t>
      </w:r>
      <w:r w:rsidR="226F76EE" w:rsidRPr="77FADF1A">
        <w:rPr>
          <w:rFonts w:eastAsia="Calibri"/>
          <w:noProof/>
          <w:color w:val="000000" w:themeColor="text1"/>
        </w:rPr>
        <w:t xml:space="preserve">were mainly aimed at identifying </w:t>
      </w:r>
      <w:r w:rsidR="74C1C7A9" w:rsidRPr="77FADF1A">
        <w:rPr>
          <w:rFonts w:eastAsia="Calibri"/>
          <w:noProof/>
          <w:color w:val="000000" w:themeColor="text1"/>
        </w:rPr>
        <w:t>areas for simplification</w:t>
      </w:r>
      <w:r w:rsidR="082169E9" w:rsidRPr="77FADF1A">
        <w:rPr>
          <w:rFonts w:eastAsia="Calibri"/>
          <w:noProof/>
          <w:color w:val="000000" w:themeColor="text1"/>
        </w:rPr>
        <w:t xml:space="preserve"> </w:t>
      </w:r>
      <w:r w:rsidR="58930402" w:rsidRPr="77FADF1A">
        <w:rPr>
          <w:rFonts w:eastAsia="Calibri"/>
          <w:noProof/>
          <w:color w:val="000000" w:themeColor="text1"/>
        </w:rPr>
        <w:t xml:space="preserve">in relation to </w:t>
      </w:r>
      <w:r w:rsidR="72F32A0B" w:rsidRPr="77FADF1A">
        <w:rPr>
          <w:rFonts w:eastAsia="Calibri"/>
          <w:noProof/>
          <w:color w:val="000000" w:themeColor="text1"/>
        </w:rPr>
        <w:t>DAC4</w:t>
      </w:r>
      <w:r w:rsidR="009139D3">
        <w:rPr>
          <w:rFonts w:eastAsia="Calibri"/>
          <w:noProof/>
          <w:color w:val="000000" w:themeColor="text1"/>
        </w:rPr>
        <w:t>/DAC9</w:t>
      </w:r>
      <w:r w:rsidR="72F32A0B" w:rsidRPr="77FADF1A">
        <w:rPr>
          <w:rFonts w:eastAsia="Calibri"/>
          <w:noProof/>
          <w:color w:val="000000" w:themeColor="text1"/>
        </w:rPr>
        <w:t xml:space="preserve">, DAC6 and DAC7. </w:t>
      </w:r>
    </w:p>
    <w:p w14:paraId="7E848F0D" w14:textId="5C0FA6F6" w:rsidR="747D8CDF" w:rsidRDefault="72F32A0B" w:rsidP="37677F63">
      <w:pPr>
        <w:rPr>
          <w:rFonts w:eastAsia="Calibri"/>
          <w:noProof/>
          <w:color w:val="000000" w:themeColor="text1"/>
        </w:rPr>
      </w:pPr>
      <w:r w:rsidRPr="77FADF1A">
        <w:rPr>
          <w:rFonts w:eastAsia="Calibri"/>
          <w:noProof/>
          <w:color w:val="000000" w:themeColor="text1"/>
        </w:rPr>
        <w:t>As far as Member States are concerned, DG TAXUD organised 5 Working Party IV meetings</w:t>
      </w:r>
      <w:r w:rsidR="6C91D827" w:rsidRPr="77FADF1A">
        <w:rPr>
          <w:rFonts w:eastAsia="Calibri"/>
          <w:noProof/>
          <w:color w:val="000000" w:themeColor="text1"/>
        </w:rPr>
        <w:t>.</w:t>
      </w:r>
      <w:r w:rsidRPr="77FADF1A">
        <w:rPr>
          <w:rFonts w:eastAsia="Calibri"/>
          <w:noProof/>
          <w:color w:val="000000" w:themeColor="text1"/>
        </w:rPr>
        <w:t xml:space="preserve"> </w:t>
      </w:r>
      <w:r w:rsidR="6946539C" w:rsidRPr="77FADF1A">
        <w:rPr>
          <w:rFonts w:eastAsia="Calibri"/>
          <w:noProof/>
          <w:color w:val="000000" w:themeColor="text1"/>
        </w:rPr>
        <w:t xml:space="preserve">These meetings focused on </w:t>
      </w:r>
      <w:r w:rsidR="2543A9DE" w:rsidRPr="77FADF1A">
        <w:rPr>
          <w:rFonts w:eastAsia="Calibri"/>
          <w:noProof/>
          <w:color w:val="000000" w:themeColor="text1"/>
        </w:rPr>
        <w:t>potential topics for simplification</w:t>
      </w:r>
      <w:r w:rsidR="07E6BBB2" w:rsidRPr="77FADF1A">
        <w:rPr>
          <w:rFonts w:eastAsia="Calibri"/>
          <w:noProof/>
          <w:color w:val="000000" w:themeColor="text1"/>
        </w:rPr>
        <w:t>/</w:t>
      </w:r>
      <w:r w:rsidR="2543A9DE" w:rsidRPr="77FADF1A">
        <w:rPr>
          <w:rFonts w:eastAsia="Calibri"/>
          <w:noProof/>
          <w:color w:val="000000" w:themeColor="text1"/>
        </w:rPr>
        <w:t xml:space="preserve">improvement and possible solutions related to </w:t>
      </w:r>
      <w:r w:rsidR="6946539C" w:rsidRPr="77FADF1A">
        <w:rPr>
          <w:rFonts w:eastAsia="Calibri"/>
          <w:noProof/>
          <w:color w:val="000000" w:themeColor="text1"/>
        </w:rPr>
        <w:t>DAC4/</w:t>
      </w:r>
      <w:r w:rsidR="009139D3">
        <w:rPr>
          <w:rFonts w:eastAsia="Calibri"/>
          <w:noProof/>
          <w:color w:val="000000" w:themeColor="text1"/>
        </w:rPr>
        <w:t>DAC9</w:t>
      </w:r>
      <w:r w:rsidR="4AA9B536" w:rsidRPr="77FADF1A">
        <w:rPr>
          <w:rFonts w:eastAsia="Calibri"/>
          <w:noProof/>
          <w:color w:val="000000" w:themeColor="text1"/>
        </w:rPr>
        <w:t>,</w:t>
      </w:r>
      <w:r w:rsidR="6946539C" w:rsidRPr="77FADF1A">
        <w:rPr>
          <w:rFonts w:eastAsia="Calibri"/>
          <w:noProof/>
          <w:color w:val="000000" w:themeColor="text1"/>
        </w:rPr>
        <w:t xml:space="preserve"> DAC7, DAC1</w:t>
      </w:r>
      <w:r w:rsidR="1628D353" w:rsidRPr="77FADF1A">
        <w:rPr>
          <w:rFonts w:eastAsia="Calibri"/>
          <w:noProof/>
          <w:color w:val="000000" w:themeColor="text1"/>
        </w:rPr>
        <w:t xml:space="preserve"> and</w:t>
      </w:r>
      <w:r w:rsidR="6946539C" w:rsidRPr="77FADF1A">
        <w:rPr>
          <w:rFonts w:eastAsia="Calibri"/>
          <w:noProof/>
          <w:color w:val="000000" w:themeColor="text1"/>
        </w:rPr>
        <w:t xml:space="preserve"> DAC6</w:t>
      </w:r>
      <w:r w:rsidR="2C73317C" w:rsidRPr="77FADF1A">
        <w:rPr>
          <w:rFonts w:eastAsia="Calibri"/>
          <w:noProof/>
          <w:color w:val="000000" w:themeColor="text1"/>
        </w:rPr>
        <w:t>.</w:t>
      </w:r>
    </w:p>
    <w:p w14:paraId="57C746EE" w14:textId="78A6996A" w:rsidR="00653811" w:rsidRPr="00C9421B" w:rsidRDefault="2C73317C" w:rsidP="00653811">
      <w:pPr>
        <w:rPr>
          <w:noProof/>
        </w:rPr>
      </w:pPr>
      <w:r w:rsidRPr="77FADF1A">
        <w:rPr>
          <w:rFonts w:eastAsia="Calibri"/>
          <w:noProof/>
          <w:color w:val="000000" w:themeColor="text1"/>
        </w:rPr>
        <w:t xml:space="preserve">Finally, on </w:t>
      </w:r>
      <w:r w:rsidR="5DFAE2A5">
        <w:rPr>
          <w:noProof/>
        </w:rPr>
        <w:t>16 December 2025, DG TAXUD launched a CfE</w:t>
      </w:r>
      <w:r w:rsidR="33B93DBB">
        <w:rPr>
          <w:noProof/>
        </w:rPr>
        <w:t xml:space="preserve"> and, in parallel, a PC </w:t>
      </w:r>
      <w:r w:rsidR="603A5413">
        <w:rPr>
          <w:noProof/>
        </w:rPr>
        <w:t>to</w:t>
      </w:r>
      <w:r w:rsidR="2943F006">
        <w:rPr>
          <w:noProof/>
        </w:rPr>
        <w:t xml:space="preserve"> collect stakeholders’ views on the main policy options </w:t>
      </w:r>
      <w:r w:rsidR="7E4CC3FB">
        <w:rPr>
          <w:noProof/>
        </w:rPr>
        <w:t xml:space="preserve">for simplification </w:t>
      </w:r>
      <w:r w:rsidR="2943F006">
        <w:rPr>
          <w:noProof/>
        </w:rPr>
        <w:t>and their possible impact, including potential cost savings associated with the simplification of reporting requirements.</w:t>
      </w:r>
      <w:r w:rsidR="502FB8F8">
        <w:rPr>
          <w:noProof/>
        </w:rPr>
        <w:t xml:space="preserve"> </w:t>
      </w:r>
      <w:r w:rsidR="5DFAE2A5">
        <w:rPr>
          <w:noProof/>
        </w:rPr>
        <w:t xml:space="preserve">The possibility to participate in the consultation process was published on the Commission’s ‘Have your say’ portal, allowing stakeholders to submit feedback in any official EU language and to upload additional supporting documents. </w:t>
      </w:r>
      <w:r w:rsidR="78C99979">
        <w:rPr>
          <w:noProof/>
        </w:rPr>
        <w:t>The consultation remained open until 10 February 2026 and received a total of 60 written responses</w:t>
      </w:r>
      <w:r w:rsidR="524617B9">
        <w:rPr>
          <w:noProof/>
        </w:rPr>
        <w:t>.</w:t>
      </w:r>
    </w:p>
    <w:p w14:paraId="5EDBD1E0" w14:textId="3A23CB3D" w:rsidR="00653811" w:rsidRPr="00C9421B" w:rsidRDefault="5DFAE2A5" w:rsidP="77FADF1A">
      <w:pPr>
        <w:rPr>
          <w:noProof/>
        </w:rPr>
      </w:pPr>
      <w:r>
        <w:rPr>
          <w:noProof/>
        </w:rPr>
        <w:t xml:space="preserve">The PC consisted in the submission of a close-ended questionnaire, structured to gather views on the proposed recast, including aspects such as simplification of reporting obligations (e.g., under DAC4 and its interplay with </w:t>
      </w:r>
      <w:r w:rsidR="009139D3">
        <w:rPr>
          <w:noProof/>
        </w:rPr>
        <w:t>DAC9</w:t>
      </w:r>
      <w:r>
        <w:rPr>
          <w:noProof/>
        </w:rPr>
        <w:t>, DAC6, and DAC7), potential administrative burden reductions, and overall impacts on stakeholders.</w:t>
      </w:r>
      <w:r w:rsidR="027A8990">
        <w:rPr>
          <w:noProof/>
        </w:rPr>
        <w:t xml:space="preserve"> </w:t>
      </w:r>
      <w:r>
        <w:rPr>
          <w:noProof/>
        </w:rPr>
        <w:t xml:space="preserve">Respondents to the PC could also upload additional documents integrating their answers or more generally covering the subject of the consultation. </w:t>
      </w:r>
    </w:p>
    <w:p w14:paraId="7EE8F4EF" w14:textId="5201772D" w:rsidR="77FADF1A" w:rsidRPr="001C1867" w:rsidRDefault="5DFAE2A5" w:rsidP="001C1867">
      <w:pPr>
        <w:pStyle w:val="Heading1"/>
        <w:numPr>
          <w:ilvl w:val="0"/>
          <w:numId w:val="39"/>
        </w:numPr>
        <w:spacing w:after="160" w:line="278" w:lineRule="auto"/>
        <w:jc w:val="left"/>
        <w:rPr>
          <w:bCs/>
          <w:noProof/>
        </w:rPr>
      </w:pPr>
      <w:bookmarkStart w:id="56" w:name="_Toc224058333"/>
      <w:bookmarkStart w:id="57" w:name="_Toc231816732"/>
      <w:r w:rsidRPr="003C4C00">
        <w:rPr>
          <w:bCs/>
          <w:noProof/>
        </w:rPr>
        <w:t>Results</w:t>
      </w:r>
      <w:r w:rsidR="7DDEF081" w:rsidRPr="003C4C00">
        <w:rPr>
          <w:bCs/>
          <w:noProof/>
        </w:rPr>
        <w:t xml:space="preserve"> of consultation activities</w:t>
      </w:r>
      <w:bookmarkEnd w:id="56"/>
      <w:bookmarkEnd w:id="57"/>
    </w:p>
    <w:p w14:paraId="25E5AF8F" w14:textId="560AD16B" w:rsidR="495832B4" w:rsidRPr="003C4C00" w:rsidRDefault="4D6B6CA3" w:rsidP="003C4C00">
      <w:pPr>
        <w:pStyle w:val="ListParagraph"/>
        <w:numPr>
          <w:ilvl w:val="1"/>
          <w:numId w:val="40"/>
        </w:numPr>
        <w:spacing w:after="160" w:line="278" w:lineRule="auto"/>
        <w:jc w:val="left"/>
        <w:rPr>
          <w:b/>
          <w:bCs/>
          <w:noProof/>
        </w:rPr>
      </w:pPr>
      <w:r w:rsidRPr="003C4C00">
        <w:rPr>
          <w:b/>
          <w:bCs/>
          <w:noProof/>
        </w:rPr>
        <w:t>Results of targeted consultations of business stakeholders</w:t>
      </w:r>
    </w:p>
    <w:p w14:paraId="47EA262F" w14:textId="04C88B16" w:rsidR="001F6633" w:rsidRPr="001F6633" w:rsidRDefault="0196413E" w:rsidP="77FADF1A">
      <w:pPr>
        <w:spacing w:after="160" w:line="278" w:lineRule="auto"/>
        <w:rPr>
          <w:noProof/>
        </w:rPr>
      </w:pPr>
      <w:r>
        <w:rPr>
          <w:noProof/>
        </w:rPr>
        <w:t xml:space="preserve">The </w:t>
      </w:r>
      <w:r w:rsidR="1C4B2C60">
        <w:rPr>
          <w:noProof/>
        </w:rPr>
        <w:t xml:space="preserve">targeted </w:t>
      </w:r>
      <w:r>
        <w:rPr>
          <w:noProof/>
        </w:rPr>
        <w:t xml:space="preserve">consultation of business stakeholders covered overall </w:t>
      </w:r>
      <w:r w:rsidR="68EF57A3" w:rsidRPr="00466BE8">
        <w:rPr>
          <w:noProof/>
        </w:rPr>
        <w:t>50</w:t>
      </w:r>
      <w:r>
        <w:rPr>
          <w:noProof/>
        </w:rPr>
        <w:t xml:space="preserve"> stakeholders. These were business organisations</w:t>
      </w:r>
      <w:r w:rsidR="4AA26721">
        <w:rPr>
          <w:noProof/>
        </w:rPr>
        <w:t xml:space="preserve"> for the whole economy as well as for specific industries</w:t>
      </w:r>
      <w:r>
        <w:rPr>
          <w:noProof/>
        </w:rPr>
        <w:t>,</w:t>
      </w:r>
      <w:r w:rsidR="1D483187">
        <w:rPr>
          <w:noProof/>
        </w:rPr>
        <w:t xml:space="preserve"> </w:t>
      </w:r>
      <w:r>
        <w:rPr>
          <w:noProof/>
        </w:rPr>
        <w:t xml:space="preserve">individual </w:t>
      </w:r>
      <w:r w:rsidR="1DF2E414">
        <w:rPr>
          <w:noProof/>
        </w:rPr>
        <w:t xml:space="preserve">businesses </w:t>
      </w:r>
      <w:r w:rsidR="688A890B">
        <w:rPr>
          <w:noProof/>
        </w:rPr>
        <w:t xml:space="preserve">in different industries </w:t>
      </w:r>
      <w:r w:rsidR="1DF2E414">
        <w:rPr>
          <w:noProof/>
        </w:rPr>
        <w:t>and tax consultants.</w:t>
      </w:r>
    </w:p>
    <w:p w14:paraId="1B923326" w14:textId="136DCE9C" w:rsidR="001F6633" w:rsidRPr="001F6633" w:rsidRDefault="4E3BE9F5" w:rsidP="77FADF1A">
      <w:pPr>
        <w:spacing w:after="160" w:line="278" w:lineRule="auto"/>
        <w:rPr>
          <w:noProof/>
        </w:rPr>
      </w:pPr>
      <w:r>
        <w:rPr>
          <w:noProof/>
        </w:rPr>
        <w:t xml:space="preserve">Overall, the stakeholders favour the objectives of simplification and </w:t>
      </w:r>
      <w:r w:rsidR="5533255F">
        <w:rPr>
          <w:noProof/>
        </w:rPr>
        <w:t>burden reduction</w:t>
      </w:r>
      <w:r w:rsidR="75D63A1D">
        <w:rPr>
          <w:noProof/>
        </w:rPr>
        <w:t>,</w:t>
      </w:r>
      <w:r>
        <w:rPr>
          <w:noProof/>
        </w:rPr>
        <w:t xml:space="preserve"> but their current issues and needs vary relative</w:t>
      </w:r>
      <w:r w:rsidR="36F70CAE">
        <w:rPr>
          <w:noProof/>
        </w:rPr>
        <w:t>ly</w:t>
      </w:r>
      <w:r>
        <w:rPr>
          <w:noProof/>
        </w:rPr>
        <w:t xml:space="preserve"> to their activities. The key take-aways from the discussions </w:t>
      </w:r>
      <w:r w:rsidR="28167BB3">
        <w:rPr>
          <w:noProof/>
        </w:rPr>
        <w:t xml:space="preserve">are </w:t>
      </w:r>
      <w:r>
        <w:rPr>
          <w:noProof/>
        </w:rPr>
        <w:t xml:space="preserve">summarised </w:t>
      </w:r>
      <w:r w:rsidR="241FE89B">
        <w:rPr>
          <w:noProof/>
        </w:rPr>
        <w:t xml:space="preserve">below. </w:t>
      </w:r>
    </w:p>
    <w:p w14:paraId="712D299B" w14:textId="6810DD49" w:rsidR="001F6633" w:rsidRPr="001F6633" w:rsidRDefault="4E3BE9F5" w:rsidP="77FADF1A">
      <w:pPr>
        <w:spacing w:after="160" w:line="278" w:lineRule="auto"/>
        <w:rPr>
          <w:noProof/>
        </w:rPr>
      </w:pPr>
      <w:r>
        <w:rPr>
          <w:noProof/>
        </w:rPr>
        <w:t xml:space="preserve">Concerning the interaction between DAC4/DAC9, </w:t>
      </w:r>
      <w:r w:rsidR="70AB8780">
        <w:rPr>
          <w:noProof/>
        </w:rPr>
        <w:t>many</w:t>
      </w:r>
      <w:r w:rsidR="139A69CF">
        <w:rPr>
          <w:noProof/>
        </w:rPr>
        <w:t xml:space="preserve"> business stakeholders asked for a carve-out from reporting under DAC4 for MNEs group in scope of the Pillar 2 Directive (therefore reporting under DAC9)</w:t>
      </w:r>
      <w:r w:rsidR="76869A15">
        <w:rPr>
          <w:noProof/>
        </w:rPr>
        <w:t>, arguing that the transparency framework brough</w:t>
      </w:r>
      <w:r w:rsidR="00330B10">
        <w:rPr>
          <w:noProof/>
        </w:rPr>
        <w:t>t</w:t>
      </w:r>
      <w:r w:rsidR="76869A15">
        <w:rPr>
          <w:noProof/>
        </w:rPr>
        <w:t xml:space="preserve"> about by DAC9 makes DAC4 redundant. </w:t>
      </w:r>
      <w:r w:rsidR="3D925D89">
        <w:rPr>
          <w:noProof/>
        </w:rPr>
        <w:t xml:space="preserve">More generally, </w:t>
      </w:r>
      <w:r w:rsidR="0626754D">
        <w:rPr>
          <w:noProof/>
        </w:rPr>
        <w:t xml:space="preserve">business </w:t>
      </w:r>
      <w:r>
        <w:rPr>
          <w:noProof/>
        </w:rPr>
        <w:t xml:space="preserve">stakeholders </w:t>
      </w:r>
      <w:r w:rsidR="7C71B7A1">
        <w:rPr>
          <w:noProof/>
        </w:rPr>
        <w:t xml:space="preserve">supported </w:t>
      </w:r>
      <w:r>
        <w:rPr>
          <w:noProof/>
        </w:rPr>
        <w:t>the harmoni</w:t>
      </w:r>
      <w:r w:rsidR="5AC219DB">
        <w:rPr>
          <w:noProof/>
        </w:rPr>
        <w:t>s</w:t>
      </w:r>
      <w:r>
        <w:rPr>
          <w:noProof/>
        </w:rPr>
        <w:t xml:space="preserve">ation of reporting requirements to eliminate the current fragmented landscape. </w:t>
      </w:r>
      <w:r w:rsidR="2D17E175">
        <w:rPr>
          <w:noProof/>
        </w:rPr>
        <w:t xml:space="preserve">In particular, </w:t>
      </w:r>
      <w:r w:rsidR="5BFE123B">
        <w:rPr>
          <w:noProof/>
        </w:rPr>
        <w:t>t</w:t>
      </w:r>
      <w:r>
        <w:rPr>
          <w:noProof/>
        </w:rPr>
        <w:t xml:space="preserve">here is significant support for merging DAC4 and </w:t>
      </w:r>
      <w:r w:rsidR="009139D3">
        <w:rPr>
          <w:noProof/>
        </w:rPr>
        <w:t>DAC9</w:t>
      </w:r>
      <w:r w:rsidR="75CC6D62">
        <w:rPr>
          <w:noProof/>
        </w:rPr>
        <w:t xml:space="preserve"> </w:t>
      </w:r>
      <w:r>
        <w:rPr>
          <w:noProof/>
        </w:rPr>
        <w:t xml:space="preserve">notifications into a </w:t>
      </w:r>
      <w:r w:rsidR="0BE0E7D9">
        <w:rPr>
          <w:noProof/>
        </w:rPr>
        <w:t xml:space="preserve">single, </w:t>
      </w:r>
      <w:r>
        <w:rPr>
          <w:noProof/>
        </w:rPr>
        <w:t>group-level submission</w:t>
      </w:r>
      <w:r w:rsidR="0A956DFD">
        <w:rPr>
          <w:noProof/>
        </w:rPr>
        <w:t xml:space="preserve"> </w:t>
      </w:r>
      <w:r>
        <w:rPr>
          <w:noProof/>
        </w:rPr>
        <w:t xml:space="preserve">and adopting a "change-only" approach to reduce redundant filings. </w:t>
      </w:r>
    </w:p>
    <w:p w14:paraId="632B9EEE" w14:textId="1F167D0D" w:rsidR="001F6633" w:rsidRPr="001F6633" w:rsidRDefault="1F4ED065" w:rsidP="4321A1A3">
      <w:pPr>
        <w:spacing w:after="160" w:line="278" w:lineRule="auto"/>
        <w:rPr>
          <w:noProof/>
        </w:rPr>
      </w:pPr>
      <w:r>
        <w:rPr>
          <w:noProof/>
        </w:rPr>
        <w:t>As far as DAC6 is concerned, respondents emphasi</w:t>
      </w:r>
      <w:r w:rsidR="28A188BC">
        <w:rPr>
          <w:noProof/>
        </w:rPr>
        <w:t>s</w:t>
      </w:r>
      <w:r>
        <w:rPr>
          <w:noProof/>
        </w:rPr>
        <w:t>e</w:t>
      </w:r>
      <w:r w:rsidR="4E7FA59A">
        <w:rPr>
          <w:noProof/>
        </w:rPr>
        <w:t>d</w:t>
      </w:r>
      <w:r>
        <w:rPr>
          <w:noProof/>
        </w:rPr>
        <w:t xml:space="preserve"> the disproportionate administrative burden and high staffing costs </w:t>
      </w:r>
      <w:r w:rsidR="1879A1FB">
        <w:rPr>
          <w:noProof/>
        </w:rPr>
        <w:t xml:space="preserve">associated with </w:t>
      </w:r>
      <w:r w:rsidR="77D9573F">
        <w:rPr>
          <w:noProof/>
        </w:rPr>
        <w:t xml:space="preserve">DAC 6 </w:t>
      </w:r>
      <w:r w:rsidR="1879A1FB">
        <w:rPr>
          <w:noProof/>
        </w:rPr>
        <w:t>and some of them called for</w:t>
      </w:r>
      <w:r w:rsidR="25519205">
        <w:rPr>
          <w:noProof/>
        </w:rPr>
        <w:t xml:space="preserve"> a complete repeal. </w:t>
      </w:r>
      <w:r w:rsidR="72F4C798">
        <w:rPr>
          <w:noProof/>
        </w:rPr>
        <w:t xml:space="preserve">In particular, the Main Benefit Test (MBT) was considered as particularly complex and difficult to apply, also </w:t>
      </w:r>
      <w:r w:rsidR="4702B7CD">
        <w:rPr>
          <w:noProof/>
        </w:rPr>
        <w:t>considering</w:t>
      </w:r>
      <w:r w:rsidR="72F4C798">
        <w:rPr>
          <w:noProof/>
        </w:rPr>
        <w:t xml:space="preserve"> the </w:t>
      </w:r>
      <w:r w:rsidR="5F7F0D46">
        <w:rPr>
          <w:noProof/>
        </w:rPr>
        <w:t xml:space="preserve">different interpretation of the concept across Member States. </w:t>
      </w:r>
      <w:r>
        <w:rPr>
          <w:noProof/>
        </w:rPr>
        <w:t>To mitigate this</w:t>
      </w:r>
      <w:r w:rsidR="477B286F">
        <w:rPr>
          <w:noProof/>
        </w:rPr>
        <w:t xml:space="preserve"> issue</w:t>
      </w:r>
      <w:r>
        <w:rPr>
          <w:noProof/>
        </w:rPr>
        <w:t xml:space="preserve">, </w:t>
      </w:r>
      <w:r w:rsidR="799682CE">
        <w:rPr>
          <w:noProof/>
        </w:rPr>
        <w:t>the large majority</w:t>
      </w:r>
      <w:r w:rsidR="418E417A">
        <w:rPr>
          <w:noProof/>
        </w:rPr>
        <w:t xml:space="preserve"> of</w:t>
      </w:r>
      <w:r w:rsidR="46F54DCD">
        <w:rPr>
          <w:noProof/>
        </w:rPr>
        <w:t xml:space="preserve"> the business stakeholders called for harmonised EU-level guidance</w:t>
      </w:r>
      <w:r w:rsidR="2A9B994A">
        <w:rPr>
          <w:noProof/>
        </w:rPr>
        <w:t>. While</w:t>
      </w:r>
      <w:r w:rsidR="1E9B4D78">
        <w:rPr>
          <w:noProof/>
        </w:rPr>
        <w:t xml:space="preserve"> </w:t>
      </w:r>
      <w:r w:rsidR="46F54DCD">
        <w:rPr>
          <w:noProof/>
        </w:rPr>
        <w:t xml:space="preserve">few of them </w:t>
      </w:r>
      <w:r w:rsidR="1C503C02">
        <w:rPr>
          <w:noProof/>
        </w:rPr>
        <w:t>supported</w:t>
      </w:r>
      <w:r w:rsidR="6F0A03CE">
        <w:rPr>
          <w:noProof/>
        </w:rPr>
        <w:t>, instead,</w:t>
      </w:r>
      <w:r w:rsidR="1C503C02">
        <w:rPr>
          <w:noProof/>
        </w:rPr>
        <w:t xml:space="preserve"> the complete removal of the MBT</w:t>
      </w:r>
      <w:r w:rsidR="48C83701">
        <w:rPr>
          <w:noProof/>
        </w:rPr>
        <w:t>,</w:t>
      </w:r>
      <w:r w:rsidR="1C503C02">
        <w:rPr>
          <w:noProof/>
        </w:rPr>
        <w:t xml:space="preserve"> coupled with a revision of the hallmarks subject to the test to make them more objective</w:t>
      </w:r>
      <w:r w:rsidR="1B4DBBFA">
        <w:rPr>
          <w:noProof/>
        </w:rPr>
        <w:t>, several other opposed this idea, arguing that it would result in an increase of the reporting and would also entail the need to change their current practices.</w:t>
      </w:r>
      <w:r w:rsidR="1C503C02">
        <w:rPr>
          <w:noProof/>
        </w:rPr>
        <w:t xml:space="preserve"> </w:t>
      </w:r>
      <w:r w:rsidR="15F841D4">
        <w:rPr>
          <w:noProof/>
        </w:rPr>
        <w:t xml:space="preserve">To make DAC6 more targeted and efficient, </w:t>
      </w:r>
      <w:r w:rsidR="7B86B92C">
        <w:rPr>
          <w:noProof/>
        </w:rPr>
        <w:t xml:space="preserve">some </w:t>
      </w:r>
      <w:r w:rsidR="73CCE628">
        <w:rPr>
          <w:noProof/>
        </w:rPr>
        <w:t>s</w:t>
      </w:r>
      <w:r>
        <w:rPr>
          <w:noProof/>
        </w:rPr>
        <w:t>takeholders propose</w:t>
      </w:r>
      <w:r w:rsidR="2E415FD3">
        <w:rPr>
          <w:noProof/>
        </w:rPr>
        <w:t>d</w:t>
      </w:r>
      <w:r>
        <w:rPr>
          <w:noProof/>
        </w:rPr>
        <w:t xml:space="preserve"> narrowing the directive</w:t>
      </w:r>
      <w:r w:rsidR="0B52412B">
        <w:rPr>
          <w:noProof/>
        </w:rPr>
        <w:t>’</w:t>
      </w:r>
      <w:r>
        <w:rPr>
          <w:noProof/>
        </w:rPr>
        <w:t xml:space="preserve">s scope through quantitative </w:t>
      </w:r>
      <w:r w:rsidRPr="4321A1A3">
        <w:rPr>
          <w:i/>
          <w:iCs/>
          <w:noProof/>
        </w:rPr>
        <w:t>de minimis</w:t>
      </w:r>
      <w:r>
        <w:rPr>
          <w:noProof/>
        </w:rPr>
        <w:t xml:space="preserve"> </w:t>
      </w:r>
      <w:r w:rsidR="00466BE8">
        <w:rPr>
          <w:noProof/>
        </w:rPr>
        <w:t>thresholds, “</w:t>
      </w:r>
      <w:r>
        <w:rPr>
          <w:noProof/>
        </w:rPr>
        <w:t>whitelists</w:t>
      </w:r>
      <w:r w:rsidR="5FE0B7CB">
        <w:rPr>
          <w:noProof/>
        </w:rPr>
        <w:t>”</w:t>
      </w:r>
      <w:r>
        <w:rPr>
          <w:noProof/>
        </w:rPr>
        <w:t xml:space="preserve"> for routine commercial transactions, and the deletion of redundant hallmarks that overlap with Pillar 2 rules</w:t>
      </w:r>
      <w:r w:rsidR="74BD354A">
        <w:rPr>
          <w:noProof/>
        </w:rPr>
        <w:t xml:space="preserve"> </w:t>
      </w:r>
      <w:r w:rsidR="087F4D23">
        <w:rPr>
          <w:noProof/>
        </w:rPr>
        <w:t xml:space="preserve">or carving out from DAC6 all MNEs groups that are withing the scope of the Pillar 2 Directive. </w:t>
      </w:r>
      <w:r w:rsidR="4668E1A9">
        <w:rPr>
          <w:noProof/>
        </w:rPr>
        <w:t xml:space="preserve">There was a very broad consensus on the need to repeal the </w:t>
      </w:r>
      <w:r w:rsidR="0B2BF793">
        <w:rPr>
          <w:noProof/>
        </w:rPr>
        <w:t>‘generic hallmarks’</w:t>
      </w:r>
      <w:r w:rsidR="31278774">
        <w:rPr>
          <w:noProof/>
        </w:rPr>
        <w:t xml:space="preserve"> (category A) as it has </w:t>
      </w:r>
      <w:r w:rsidR="0B2BF793">
        <w:rPr>
          <w:noProof/>
        </w:rPr>
        <w:t xml:space="preserve">led to </w:t>
      </w:r>
      <w:r w:rsidR="4AF5B3F1">
        <w:rPr>
          <w:noProof/>
        </w:rPr>
        <w:t>excessive burden with limited impact</w:t>
      </w:r>
      <w:r w:rsidR="57EF9C41">
        <w:rPr>
          <w:noProof/>
        </w:rPr>
        <w:t xml:space="preserve"> on Member States’ revenues</w:t>
      </w:r>
      <w:r>
        <w:rPr>
          <w:noProof/>
        </w:rPr>
        <w:t xml:space="preserve">. </w:t>
      </w:r>
    </w:p>
    <w:p w14:paraId="4D8CBFC6" w14:textId="64E4202C" w:rsidR="00466BE8" w:rsidRPr="001F6633" w:rsidRDefault="4E3BE9F5" w:rsidP="492E75AD">
      <w:pPr>
        <w:spacing w:after="160" w:line="278" w:lineRule="auto"/>
        <w:rPr>
          <w:noProof/>
        </w:rPr>
      </w:pPr>
      <w:r>
        <w:rPr>
          <w:noProof/>
        </w:rPr>
        <w:t xml:space="preserve">Finally, in relation to DAC7, </w:t>
      </w:r>
      <w:r w:rsidR="6D0CE2BD">
        <w:rPr>
          <w:noProof/>
        </w:rPr>
        <w:t xml:space="preserve">two umbrella organisations for platform operators, two </w:t>
      </w:r>
      <w:r w:rsidR="48AA4DD1">
        <w:rPr>
          <w:noProof/>
        </w:rPr>
        <w:t>tax advisers</w:t>
      </w:r>
      <w:r w:rsidR="6D0CE2BD">
        <w:rPr>
          <w:noProof/>
        </w:rPr>
        <w:t xml:space="preserve"> specialised in </w:t>
      </w:r>
      <w:r w:rsidR="68694540">
        <w:rPr>
          <w:noProof/>
        </w:rPr>
        <w:t>DAC7</w:t>
      </w:r>
      <w:r w:rsidR="6D0CE2BD">
        <w:rPr>
          <w:noProof/>
        </w:rPr>
        <w:t xml:space="preserve"> </w:t>
      </w:r>
      <w:r w:rsidR="6B1698A2">
        <w:rPr>
          <w:noProof/>
        </w:rPr>
        <w:t xml:space="preserve">and five single platform operators were consulted. The consultations focused mainly on platforms </w:t>
      </w:r>
      <w:r w:rsidR="0CE746DE">
        <w:rPr>
          <w:noProof/>
        </w:rPr>
        <w:t xml:space="preserve">specialised in the sale of goods and rental of immovable property, but platforms for </w:t>
      </w:r>
      <w:r w:rsidR="7995D008">
        <w:rPr>
          <w:noProof/>
        </w:rPr>
        <w:t>rental of transport modes and for personal services were consulted in the context of the umbrella organisations.</w:t>
      </w:r>
      <w:r w:rsidR="0D2EF32A">
        <w:rPr>
          <w:noProof/>
        </w:rPr>
        <w:t xml:space="preserve"> </w:t>
      </w:r>
      <w:r>
        <w:rPr>
          <w:noProof/>
        </w:rPr>
        <w:t>A major point of contention is the current reporting thresholds</w:t>
      </w:r>
      <w:r w:rsidR="0A49F5AD">
        <w:rPr>
          <w:noProof/>
        </w:rPr>
        <w:t>:</w:t>
      </w:r>
      <w:r>
        <w:rPr>
          <w:noProof/>
        </w:rPr>
        <w:t xml:space="preserve"> stakeholders </w:t>
      </w:r>
      <w:r w:rsidR="4A0CB7E4">
        <w:rPr>
          <w:noProof/>
        </w:rPr>
        <w:t xml:space="preserve">strongly advocated for </w:t>
      </w:r>
      <w:r>
        <w:rPr>
          <w:noProof/>
        </w:rPr>
        <w:t xml:space="preserve">raising the monetary </w:t>
      </w:r>
      <w:r w:rsidR="2CEA051A">
        <w:rPr>
          <w:noProof/>
        </w:rPr>
        <w:t xml:space="preserve">threshold </w:t>
      </w:r>
      <w:r w:rsidR="2791BD85">
        <w:rPr>
          <w:noProof/>
        </w:rPr>
        <w:t xml:space="preserve">(EUR 2000) </w:t>
      </w:r>
      <w:r>
        <w:rPr>
          <w:noProof/>
        </w:rPr>
        <w:t xml:space="preserve">and </w:t>
      </w:r>
      <w:r w:rsidR="78A9BB07">
        <w:rPr>
          <w:noProof/>
        </w:rPr>
        <w:t xml:space="preserve">removing the activity </w:t>
      </w:r>
      <w:r w:rsidR="1EFF0CBE">
        <w:rPr>
          <w:noProof/>
        </w:rPr>
        <w:t>threshold</w:t>
      </w:r>
      <w:r w:rsidR="78A9BB07">
        <w:rPr>
          <w:noProof/>
        </w:rPr>
        <w:t xml:space="preserve"> (30 transactions)</w:t>
      </w:r>
      <w:r w:rsidR="10E511A6">
        <w:rPr>
          <w:noProof/>
        </w:rPr>
        <w:t xml:space="preserve"> to</w:t>
      </w:r>
      <w:r>
        <w:rPr>
          <w:noProof/>
        </w:rPr>
        <w:t xml:space="preserve"> avoid capturing occasional, non-professional sellers. Additionally, there is a clear demand for enhanced EU-level TIN verification tools to ease the data collection burden</w:t>
      </w:r>
      <w:r w:rsidR="10E0812D">
        <w:rPr>
          <w:noProof/>
        </w:rPr>
        <w:t xml:space="preserve">. </w:t>
      </w:r>
    </w:p>
    <w:p w14:paraId="5E59929E" w14:textId="71274CC9" w:rsidR="5D102399" w:rsidRDefault="429E0BB5" w:rsidP="26BDEDC0">
      <w:pPr>
        <w:spacing w:after="160" w:line="278" w:lineRule="auto"/>
        <w:jc w:val="left"/>
        <w:rPr>
          <w:b/>
          <w:bCs/>
          <w:noProof/>
        </w:rPr>
      </w:pPr>
      <w:r w:rsidRPr="77FADF1A">
        <w:rPr>
          <w:b/>
          <w:bCs/>
          <w:noProof/>
        </w:rPr>
        <w:t xml:space="preserve">2.2   </w:t>
      </w:r>
      <w:r w:rsidR="7DDEF081" w:rsidRPr="77FADF1A">
        <w:rPr>
          <w:b/>
          <w:bCs/>
          <w:noProof/>
        </w:rPr>
        <w:t>Results of targeted consultations of Member States</w:t>
      </w:r>
    </w:p>
    <w:p w14:paraId="087526B4" w14:textId="6F84EE50" w:rsidR="0015779D" w:rsidRDefault="7064122D" w:rsidP="00AD23D1">
      <w:pPr>
        <w:spacing w:after="160" w:line="278" w:lineRule="auto"/>
        <w:rPr>
          <w:noProof/>
        </w:rPr>
      </w:pPr>
      <w:r>
        <w:rPr>
          <w:noProof/>
        </w:rPr>
        <w:t xml:space="preserve">As far as DAC1 is concerned, </w:t>
      </w:r>
      <w:r w:rsidR="20087401">
        <w:rPr>
          <w:noProof/>
        </w:rPr>
        <w:t xml:space="preserve">Member States stressed the need </w:t>
      </w:r>
      <w:r w:rsidR="3159E421">
        <w:rPr>
          <w:noProof/>
        </w:rPr>
        <w:t>to avoid duplications with respect to the LIP category</w:t>
      </w:r>
      <w:r w:rsidR="2A42B89C">
        <w:rPr>
          <w:noProof/>
        </w:rPr>
        <w:t>,</w:t>
      </w:r>
      <w:r w:rsidR="20087401">
        <w:rPr>
          <w:noProof/>
        </w:rPr>
        <w:t xml:space="preserve"> since information may also be included in DAC2 report</w:t>
      </w:r>
      <w:r w:rsidR="339F544C">
        <w:rPr>
          <w:noProof/>
        </w:rPr>
        <w:t>s</w:t>
      </w:r>
      <w:r w:rsidR="6EEAEF4B">
        <w:rPr>
          <w:noProof/>
        </w:rPr>
        <w:t>.</w:t>
      </w:r>
      <w:r w:rsidR="339F544C">
        <w:rPr>
          <w:noProof/>
        </w:rPr>
        <w:t xml:space="preserve"> </w:t>
      </w:r>
      <w:r w:rsidR="4B574736">
        <w:rPr>
          <w:noProof/>
        </w:rPr>
        <w:t>H</w:t>
      </w:r>
      <w:r w:rsidR="339F544C">
        <w:rPr>
          <w:noProof/>
        </w:rPr>
        <w:t>owever</w:t>
      </w:r>
      <w:r w:rsidR="54D4E227">
        <w:rPr>
          <w:noProof/>
        </w:rPr>
        <w:t xml:space="preserve">, they </w:t>
      </w:r>
      <w:r w:rsidR="339F544C">
        <w:rPr>
          <w:noProof/>
        </w:rPr>
        <w:t>insisted that no information should be lost.</w:t>
      </w:r>
    </w:p>
    <w:p w14:paraId="7EA628CF" w14:textId="17C3A898" w:rsidR="00176FB7" w:rsidRDefault="38D7D794" w:rsidP="26BDEDC0">
      <w:pPr>
        <w:spacing w:after="160" w:line="278" w:lineRule="auto"/>
        <w:rPr>
          <w:noProof/>
        </w:rPr>
      </w:pPr>
      <w:r>
        <w:rPr>
          <w:noProof/>
        </w:rPr>
        <w:t xml:space="preserve">Regarding mandatory </w:t>
      </w:r>
      <w:r w:rsidR="7DF5B640">
        <w:rPr>
          <w:noProof/>
        </w:rPr>
        <w:t xml:space="preserve">categories of </w:t>
      </w:r>
      <w:r>
        <w:rPr>
          <w:noProof/>
        </w:rPr>
        <w:t xml:space="preserve">information, </w:t>
      </w:r>
      <w:r w:rsidR="10EB9679">
        <w:rPr>
          <w:noProof/>
        </w:rPr>
        <w:t>Member States stress</w:t>
      </w:r>
      <w:r w:rsidR="307D564F">
        <w:rPr>
          <w:noProof/>
        </w:rPr>
        <w:t>ed</w:t>
      </w:r>
      <w:r w:rsidR="10EB9679">
        <w:rPr>
          <w:noProof/>
        </w:rPr>
        <w:t xml:space="preserve"> that no</w:t>
      </w:r>
      <w:r w:rsidR="346AC042">
        <w:rPr>
          <w:noProof/>
        </w:rPr>
        <w:t>t</w:t>
      </w:r>
      <w:r w:rsidR="10EB9679">
        <w:rPr>
          <w:noProof/>
        </w:rPr>
        <w:t xml:space="preserve"> all information is readily </w:t>
      </w:r>
      <w:r w:rsidR="00466BE8">
        <w:rPr>
          <w:noProof/>
        </w:rPr>
        <w:t>available,</w:t>
      </w:r>
      <w:r w:rsidR="10EB9679">
        <w:rPr>
          <w:noProof/>
        </w:rPr>
        <w:t xml:space="preserve"> and access other public databases </w:t>
      </w:r>
      <w:r w:rsidR="2D54C772">
        <w:rPr>
          <w:noProof/>
        </w:rPr>
        <w:t>can be very costly to build.</w:t>
      </w:r>
      <w:r w:rsidR="346AC042">
        <w:rPr>
          <w:noProof/>
        </w:rPr>
        <w:t xml:space="preserve"> Most </w:t>
      </w:r>
      <w:r w:rsidR="1A1F4724">
        <w:rPr>
          <w:noProof/>
        </w:rPr>
        <w:t xml:space="preserve">of them </w:t>
      </w:r>
      <w:r w:rsidR="346AC042">
        <w:rPr>
          <w:noProof/>
        </w:rPr>
        <w:t>could however support, provided that the implementation time</w:t>
      </w:r>
      <w:r w:rsidR="29F21C55">
        <w:rPr>
          <w:noProof/>
        </w:rPr>
        <w:t>line</w:t>
      </w:r>
      <w:r w:rsidR="346AC042">
        <w:rPr>
          <w:noProof/>
        </w:rPr>
        <w:t xml:space="preserve"> is adequate.</w:t>
      </w:r>
    </w:p>
    <w:p w14:paraId="3C86188D" w14:textId="550638D8" w:rsidR="007A067B" w:rsidRPr="00DF7EA1" w:rsidRDefault="24774D1E" w:rsidP="77FADF1A">
      <w:pPr>
        <w:spacing w:after="160" w:line="278" w:lineRule="auto"/>
        <w:rPr>
          <w:noProof/>
        </w:rPr>
      </w:pPr>
      <w:r>
        <w:rPr>
          <w:noProof/>
        </w:rPr>
        <w:t xml:space="preserve">Member States </w:t>
      </w:r>
      <w:r w:rsidR="36380E1E">
        <w:rPr>
          <w:noProof/>
        </w:rPr>
        <w:t xml:space="preserve">were overall sceptical </w:t>
      </w:r>
      <w:r>
        <w:rPr>
          <w:noProof/>
        </w:rPr>
        <w:t xml:space="preserve">on the streamlining of reporting </w:t>
      </w:r>
      <w:r w:rsidR="7E63A120">
        <w:rPr>
          <w:noProof/>
        </w:rPr>
        <w:t xml:space="preserve">under </w:t>
      </w:r>
      <w:r>
        <w:rPr>
          <w:noProof/>
        </w:rPr>
        <w:t xml:space="preserve">DAC4 and </w:t>
      </w:r>
      <w:r w:rsidR="09B2E5AD">
        <w:rPr>
          <w:noProof/>
        </w:rPr>
        <w:t>DAC9</w:t>
      </w:r>
      <w:r w:rsidR="45B26B36">
        <w:rPr>
          <w:noProof/>
        </w:rPr>
        <w:t>, due to the risks of introducing</w:t>
      </w:r>
      <w:r w:rsidR="29D302F3">
        <w:rPr>
          <w:noProof/>
        </w:rPr>
        <w:t xml:space="preserve"> </w:t>
      </w:r>
      <w:r>
        <w:rPr>
          <w:noProof/>
        </w:rPr>
        <w:t>discrepancies</w:t>
      </w:r>
      <w:r w:rsidR="7F06957B">
        <w:rPr>
          <w:noProof/>
        </w:rPr>
        <w:t xml:space="preserve"> </w:t>
      </w:r>
      <w:r>
        <w:rPr>
          <w:noProof/>
        </w:rPr>
        <w:t>with the international standards that would create different reports inside and outside the EU.</w:t>
      </w:r>
      <w:r w:rsidR="5EB874B9">
        <w:rPr>
          <w:noProof/>
        </w:rPr>
        <w:t xml:space="preserve"> </w:t>
      </w:r>
    </w:p>
    <w:p w14:paraId="6C705E5D" w14:textId="7D51847D" w:rsidR="00327437" w:rsidRDefault="6AE843C9" w:rsidP="007A067B">
      <w:pPr>
        <w:rPr>
          <w:noProof/>
        </w:rPr>
      </w:pPr>
      <w:r>
        <w:rPr>
          <w:noProof/>
        </w:rPr>
        <w:t xml:space="preserve">As regards DAC6, the </w:t>
      </w:r>
      <w:r w:rsidR="6FAD4CE8">
        <w:rPr>
          <w:noProof/>
        </w:rPr>
        <w:t xml:space="preserve">large majority of the </w:t>
      </w:r>
      <w:r w:rsidR="5D07386D">
        <w:rPr>
          <w:noProof/>
        </w:rPr>
        <w:t xml:space="preserve">Member States </w:t>
      </w:r>
      <w:r w:rsidR="74156E59">
        <w:rPr>
          <w:noProof/>
        </w:rPr>
        <w:t xml:space="preserve">expressed the view that the </w:t>
      </w:r>
      <w:r w:rsidR="5D07386D">
        <w:rPr>
          <w:noProof/>
        </w:rPr>
        <w:t xml:space="preserve">MBT </w:t>
      </w:r>
      <w:r w:rsidR="6B7B9380">
        <w:rPr>
          <w:noProof/>
        </w:rPr>
        <w:t xml:space="preserve">is </w:t>
      </w:r>
      <w:r w:rsidR="5D07386D">
        <w:rPr>
          <w:noProof/>
        </w:rPr>
        <w:t>an essential filter to prevent reporting of arrangements with little value</w:t>
      </w:r>
      <w:r w:rsidR="1DB0845D">
        <w:rPr>
          <w:noProof/>
        </w:rPr>
        <w:t>. Therefore,</w:t>
      </w:r>
      <w:r w:rsidR="5D07386D">
        <w:rPr>
          <w:noProof/>
        </w:rPr>
        <w:t xml:space="preserve"> </w:t>
      </w:r>
      <w:r w:rsidR="1F32B26C">
        <w:rPr>
          <w:noProof/>
        </w:rPr>
        <w:t xml:space="preserve">several of them </w:t>
      </w:r>
      <w:r w:rsidR="16A240B5">
        <w:rPr>
          <w:noProof/>
        </w:rPr>
        <w:t xml:space="preserve">were </w:t>
      </w:r>
      <w:r w:rsidR="5D07386D">
        <w:rPr>
          <w:noProof/>
        </w:rPr>
        <w:t>in favour of clarifying the MBT</w:t>
      </w:r>
      <w:r w:rsidR="1459424E">
        <w:rPr>
          <w:noProof/>
        </w:rPr>
        <w:t>, as opposed</w:t>
      </w:r>
      <w:r w:rsidR="667C8651">
        <w:rPr>
          <w:noProof/>
        </w:rPr>
        <w:t xml:space="preserve"> to removing it and revising the hallmarks subject to the test, to make them more objective.</w:t>
      </w:r>
      <w:r w:rsidR="1459424E">
        <w:rPr>
          <w:noProof/>
        </w:rPr>
        <w:t xml:space="preserve"> </w:t>
      </w:r>
    </w:p>
    <w:p w14:paraId="3A527F92" w14:textId="2F0C2AA3" w:rsidR="00327437" w:rsidRPr="00C9421B" w:rsidRDefault="46D75D15" w:rsidP="007A067B">
      <w:pPr>
        <w:rPr>
          <w:noProof/>
        </w:rPr>
      </w:pPr>
      <w:r>
        <w:rPr>
          <w:noProof/>
        </w:rPr>
        <w:t xml:space="preserve">Member States were also consulted on the relevance of hallmarks, and no Member State opposed </w:t>
      </w:r>
      <w:r w:rsidR="0CAD60AB">
        <w:rPr>
          <w:noProof/>
        </w:rPr>
        <w:t xml:space="preserve">the </w:t>
      </w:r>
      <w:r>
        <w:rPr>
          <w:noProof/>
        </w:rPr>
        <w:t xml:space="preserve">deletion of </w:t>
      </w:r>
      <w:r w:rsidR="3AFCA0A3">
        <w:rPr>
          <w:noProof/>
        </w:rPr>
        <w:t xml:space="preserve">the category A (generic hallmarks). </w:t>
      </w:r>
      <w:r>
        <w:rPr>
          <w:noProof/>
        </w:rPr>
        <w:t xml:space="preserve"> </w:t>
      </w:r>
      <w:r w:rsidR="46078485">
        <w:rPr>
          <w:noProof/>
        </w:rPr>
        <w:t>R</w:t>
      </w:r>
      <w:r>
        <w:rPr>
          <w:noProof/>
        </w:rPr>
        <w:t>egarding the rest of the hallmarks, views of Member States were varied and there was no clear preference to remove or significantly change any other hallmark.</w:t>
      </w:r>
    </w:p>
    <w:p w14:paraId="1221BD31" w14:textId="446A8C54" w:rsidR="6E07C7DA" w:rsidRDefault="02C94F3B">
      <w:pPr>
        <w:rPr>
          <w:noProof/>
        </w:rPr>
      </w:pPr>
      <w:r>
        <w:rPr>
          <w:noProof/>
        </w:rPr>
        <w:t>On DAC7, t</w:t>
      </w:r>
      <w:r w:rsidR="111AC022">
        <w:rPr>
          <w:noProof/>
        </w:rPr>
        <w:t xml:space="preserve">he </w:t>
      </w:r>
      <w:r w:rsidR="4177EC08">
        <w:rPr>
          <w:noProof/>
        </w:rPr>
        <w:t>majority of</w:t>
      </w:r>
      <w:r w:rsidR="00CB8EFF">
        <w:rPr>
          <w:noProof/>
        </w:rPr>
        <w:t xml:space="preserve"> </w:t>
      </w:r>
      <w:r w:rsidR="2A35678B">
        <w:rPr>
          <w:noProof/>
        </w:rPr>
        <w:t xml:space="preserve">the </w:t>
      </w:r>
      <w:r w:rsidR="00CB8EFF">
        <w:rPr>
          <w:noProof/>
        </w:rPr>
        <w:t>Member States that gave an opinion expressed a clear preference for the removal of the activity threshold</w:t>
      </w:r>
      <w:r w:rsidR="2C2E4413">
        <w:rPr>
          <w:noProof/>
        </w:rPr>
        <w:t>.</w:t>
      </w:r>
      <w:r w:rsidR="00CB8EFF">
        <w:rPr>
          <w:noProof/>
        </w:rPr>
        <w:t xml:space="preserve"> </w:t>
      </w:r>
      <w:r w:rsidR="703CE001">
        <w:rPr>
          <w:noProof/>
        </w:rPr>
        <w:t>H</w:t>
      </w:r>
      <w:r w:rsidR="00CB8EFF">
        <w:rPr>
          <w:noProof/>
        </w:rPr>
        <w:t>owever, there was a divergence of views on the possible increase of the monetary threshold</w:t>
      </w:r>
      <w:r w:rsidR="7331A281">
        <w:rPr>
          <w:noProof/>
        </w:rPr>
        <w:t>,</w:t>
      </w:r>
      <w:r w:rsidR="00CB8EFF">
        <w:rPr>
          <w:noProof/>
        </w:rPr>
        <w:t xml:space="preserve"> </w:t>
      </w:r>
      <w:r w:rsidR="3D13A749">
        <w:rPr>
          <w:noProof/>
        </w:rPr>
        <w:t>with</w:t>
      </w:r>
      <w:r w:rsidR="00CB8EFF">
        <w:rPr>
          <w:noProof/>
        </w:rPr>
        <w:t xml:space="preserve"> </w:t>
      </w:r>
      <w:r w:rsidR="4177EC08">
        <w:rPr>
          <w:noProof/>
        </w:rPr>
        <w:t>some</w:t>
      </w:r>
      <w:r w:rsidR="00CB8EFF">
        <w:rPr>
          <w:noProof/>
        </w:rPr>
        <w:t xml:space="preserve"> Member States </w:t>
      </w:r>
      <w:r w:rsidR="35A470A8">
        <w:rPr>
          <w:noProof/>
        </w:rPr>
        <w:t>support</w:t>
      </w:r>
      <w:r w:rsidR="7946AD4F">
        <w:rPr>
          <w:noProof/>
        </w:rPr>
        <w:t>ing</w:t>
      </w:r>
      <w:r w:rsidR="35A470A8">
        <w:rPr>
          <w:noProof/>
        </w:rPr>
        <w:t xml:space="preserve"> the current threshold, </w:t>
      </w:r>
      <w:r w:rsidR="672A1E95">
        <w:rPr>
          <w:noProof/>
        </w:rPr>
        <w:t>others supporting</w:t>
      </w:r>
      <w:r w:rsidR="00CB8EFF">
        <w:rPr>
          <w:noProof/>
        </w:rPr>
        <w:t xml:space="preserve"> a threshold between EUR 3</w:t>
      </w:r>
      <w:r w:rsidR="02776C8C">
        <w:rPr>
          <w:noProof/>
        </w:rPr>
        <w:t>,</w:t>
      </w:r>
      <w:r w:rsidR="00CB8EFF">
        <w:rPr>
          <w:noProof/>
        </w:rPr>
        <w:t>000 and EUR 5</w:t>
      </w:r>
      <w:r w:rsidR="59789178">
        <w:rPr>
          <w:noProof/>
        </w:rPr>
        <w:t>,</w:t>
      </w:r>
      <w:r w:rsidR="00CB8EFF">
        <w:rPr>
          <w:noProof/>
        </w:rPr>
        <w:t xml:space="preserve">000 </w:t>
      </w:r>
      <w:r w:rsidR="5440CEB4">
        <w:rPr>
          <w:noProof/>
        </w:rPr>
        <w:t xml:space="preserve">and </w:t>
      </w:r>
      <w:r w:rsidR="00BB0C8F">
        <w:rPr>
          <w:noProof/>
        </w:rPr>
        <w:t>a minority</w:t>
      </w:r>
      <w:r w:rsidR="00CB8EFF">
        <w:rPr>
          <w:noProof/>
        </w:rPr>
        <w:t xml:space="preserve"> even favour</w:t>
      </w:r>
      <w:r w:rsidR="38C288EB">
        <w:rPr>
          <w:noProof/>
        </w:rPr>
        <w:t xml:space="preserve">ing </w:t>
      </w:r>
      <w:r w:rsidR="00CB8EFF">
        <w:rPr>
          <w:noProof/>
        </w:rPr>
        <w:t>an increase above EUR 5</w:t>
      </w:r>
      <w:r w:rsidR="4ECAADAE">
        <w:rPr>
          <w:noProof/>
        </w:rPr>
        <w:t>,</w:t>
      </w:r>
      <w:r w:rsidR="00CB8EFF">
        <w:rPr>
          <w:noProof/>
        </w:rPr>
        <w:t>000.</w:t>
      </w:r>
    </w:p>
    <w:p w14:paraId="23150981" w14:textId="572BFC74" w:rsidR="4D6B6CA3" w:rsidRDefault="2E489E08" w:rsidP="77FADF1A">
      <w:pPr>
        <w:spacing w:after="160" w:line="278" w:lineRule="auto"/>
        <w:jc w:val="left"/>
        <w:rPr>
          <w:b/>
          <w:bCs/>
          <w:noProof/>
        </w:rPr>
      </w:pPr>
      <w:r w:rsidRPr="77FADF1A">
        <w:rPr>
          <w:b/>
          <w:bCs/>
          <w:noProof/>
        </w:rPr>
        <w:t xml:space="preserve">2.3 </w:t>
      </w:r>
      <w:r w:rsidR="7DDEF081" w:rsidRPr="77FADF1A">
        <w:rPr>
          <w:b/>
          <w:bCs/>
          <w:noProof/>
        </w:rPr>
        <w:t>Results of CfE and PC</w:t>
      </w:r>
    </w:p>
    <w:p w14:paraId="130298C8" w14:textId="3DC536D3" w:rsidR="00653811" w:rsidRPr="007325C2" w:rsidRDefault="5DFAE2A5" w:rsidP="77FADF1A">
      <w:pPr>
        <w:spacing w:after="160" w:line="278" w:lineRule="auto"/>
        <w:jc w:val="left"/>
        <w:rPr>
          <w:b/>
          <w:bCs/>
          <w:noProof/>
        </w:rPr>
      </w:pPr>
      <w:bookmarkStart w:id="58" w:name="_Toc224058334"/>
      <w:r w:rsidRPr="1599A2D9">
        <w:rPr>
          <w:b/>
          <w:bCs/>
          <w:noProof/>
        </w:rPr>
        <w:t>Identification of respondents</w:t>
      </w:r>
      <w:bookmarkEnd w:id="58"/>
    </w:p>
    <w:p w14:paraId="71DE27A6" w14:textId="7E8A5B0A" w:rsidR="00653811" w:rsidRPr="00C9421B" w:rsidRDefault="2B097BEE" w:rsidP="00653811">
      <w:pPr>
        <w:rPr>
          <w:noProof/>
        </w:rPr>
      </w:pPr>
      <w:r w:rsidRPr="00C9421B">
        <w:rPr>
          <w:noProof/>
        </w:rPr>
        <w:t>Overall, a total of 50 different stakeholders participated in the consultation process. Of these, 30 respondents completed the PC questionnaire, and the remaining 30 stakeholders contributed exclusively through written feedback submissions in the CfE</w:t>
      </w:r>
      <w:r w:rsidR="00653811" w:rsidRPr="00C9421B">
        <w:rPr>
          <w:rStyle w:val="FootnoteReference"/>
          <w:noProof/>
        </w:rPr>
        <w:footnoteReference w:id="77"/>
      </w:r>
      <w:r w:rsidRPr="00C9421B">
        <w:rPr>
          <w:noProof/>
        </w:rPr>
        <w:t xml:space="preserve">. </w:t>
      </w:r>
      <w:r>
        <w:rPr>
          <w:noProof/>
        </w:rPr>
        <w:t>The largest share of responses came from tax intermediaries, accountants, and tax advisors (14), reflecting the strong engagement of professionals directly involved in tax reporting and compliance. Online platforms (13), banking and financial services (12), and general business associations (12) were also well represented among respondents. By contrast, very few contributions were submitted by individual EU citizens</w:t>
      </w:r>
      <w:r w:rsidR="1DEC0DF9">
        <w:rPr>
          <w:noProof/>
        </w:rPr>
        <w:t xml:space="preserve"> and </w:t>
      </w:r>
      <w:r w:rsidR="3247389E">
        <w:rPr>
          <w:noProof/>
        </w:rPr>
        <w:t xml:space="preserve">no feedback </w:t>
      </w:r>
      <w:r w:rsidR="11BBB472">
        <w:rPr>
          <w:noProof/>
        </w:rPr>
        <w:t xml:space="preserve">was </w:t>
      </w:r>
      <w:r w:rsidR="0E1797F8">
        <w:rPr>
          <w:noProof/>
        </w:rPr>
        <w:t>received</w:t>
      </w:r>
      <w:r w:rsidR="11BBB472">
        <w:rPr>
          <w:noProof/>
        </w:rPr>
        <w:t xml:space="preserve"> </w:t>
      </w:r>
      <w:r w:rsidR="3247389E">
        <w:rPr>
          <w:noProof/>
        </w:rPr>
        <w:t>from SMEs or SME-specific business organisations</w:t>
      </w:r>
      <w:r w:rsidR="5D0E2327">
        <w:rPr>
          <w:noProof/>
        </w:rPr>
        <w:t>.</w:t>
      </w:r>
    </w:p>
    <w:p w14:paraId="579FD33C" w14:textId="77777777" w:rsidR="00671BCF" w:rsidRDefault="00671BCF">
      <w:pPr>
        <w:spacing w:after="200" w:line="276" w:lineRule="auto"/>
        <w:jc w:val="left"/>
        <w:rPr>
          <w:b/>
          <w:bCs/>
          <w:noProof/>
        </w:rPr>
      </w:pPr>
      <w:r>
        <w:rPr>
          <w:b/>
          <w:bCs/>
          <w:noProof/>
        </w:rPr>
        <w:br w:type="page"/>
      </w:r>
    </w:p>
    <w:p w14:paraId="6FFA3408" w14:textId="1EB317AC" w:rsidR="00653811" w:rsidRPr="00C9421B" w:rsidRDefault="2771077B" w:rsidP="4321A1A3">
      <w:pPr>
        <w:rPr>
          <w:b/>
          <w:bCs/>
          <w:noProof/>
        </w:rPr>
      </w:pPr>
      <w:r w:rsidRPr="4321A1A3">
        <w:rPr>
          <w:b/>
          <w:bCs/>
          <w:noProof/>
        </w:rPr>
        <w:t>Figure 1</w:t>
      </w:r>
      <w:r w:rsidR="1A740575" w:rsidRPr="4321A1A3">
        <w:rPr>
          <w:b/>
          <w:bCs/>
          <w:noProof/>
        </w:rPr>
        <w:t>:</w:t>
      </w:r>
      <w:r w:rsidRPr="4321A1A3">
        <w:rPr>
          <w:b/>
          <w:bCs/>
          <w:noProof/>
        </w:rPr>
        <w:t xml:space="preserve"> Distribution of respondents by area of activity</w:t>
      </w:r>
    </w:p>
    <w:p w14:paraId="6CAB1229" w14:textId="77777777" w:rsidR="00653811" w:rsidRPr="00C9421B" w:rsidRDefault="00653811" w:rsidP="00653811">
      <w:pPr>
        <w:rPr>
          <w:noProof/>
          <w:color w:val="FF0000"/>
        </w:rPr>
      </w:pPr>
      <w:r w:rsidRPr="00C9421B">
        <w:rPr>
          <w:noProof/>
          <w:lang w:eastAsia="en-GB"/>
        </w:rPr>
        <w:drawing>
          <wp:inline distT="0" distB="0" distL="0" distR="0" wp14:anchorId="227AEB14" wp14:editId="60992479">
            <wp:extent cx="5662295" cy="2143125"/>
            <wp:effectExtent l="0" t="0" r="14605" b="9525"/>
            <wp:docPr id="1353960709" name="Chart 1">
              <a:extLst xmlns:a="http://schemas.openxmlformats.org/drawingml/2006/main">
                <a:ext uri="{FF2B5EF4-FFF2-40B4-BE49-F238E27FC236}">
                  <a16:creationId xmlns:a16="http://schemas.microsoft.com/office/drawing/2014/main" id="{458BC57D-6990-9C8F-D20B-5982CDA6C1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3F8F105" w14:textId="4B12BA64" w:rsidR="00653811" w:rsidRPr="007325C2" w:rsidRDefault="5DFAE2A5" w:rsidP="77FADF1A">
      <w:pPr>
        <w:spacing w:after="160" w:line="278" w:lineRule="auto"/>
        <w:rPr>
          <w:b/>
          <w:bCs/>
          <w:noProof/>
        </w:rPr>
      </w:pPr>
      <w:r w:rsidRPr="1599A2D9">
        <w:rPr>
          <w:b/>
          <w:bCs/>
          <w:noProof/>
        </w:rPr>
        <w:t>General Comments</w:t>
      </w:r>
    </w:p>
    <w:p w14:paraId="1C7EE160" w14:textId="34905DE4" w:rsidR="00653811" w:rsidRPr="00C9421B" w:rsidRDefault="5DFAE2A5" w:rsidP="00653811">
      <w:pPr>
        <w:rPr>
          <w:noProof/>
        </w:rPr>
      </w:pPr>
      <w:r>
        <w:rPr>
          <w:noProof/>
        </w:rPr>
        <w:t>The distribution of comments across the different DAC instruments highlights which parts of the framework stakeholders consider</w:t>
      </w:r>
      <w:r w:rsidR="612033D8">
        <w:rPr>
          <w:noProof/>
        </w:rPr>
        <w:t>ed</w:t>
      </w:r>
      <w:r>
        <w:rPr>
          <w:noProof/>
        </w:rPr>
        <w:t xml:space="preserve"> most relevant or impactful. DAC7 (the rules for online platforms) received by far the </w:t>
      </w:r>
      <w:r w:rsidR="044CF847">
        <w:rPr>
          <w:noProof/>
        </w:rPr>
        <w:t xml:space="preserve">highest number of </w:t>
      </w:r>
      <w:r>
        <w:rPr>
          <w:noProof/>
        </w:rPr>
        <w:t xml:space="preserve">comments, </w:t>
      </w:r>
      <w:r w:rsidR="0B9CE0FB">
        <w:rPr>
          <w:noProof/>
        </w:rPr>
        <w:t>followed by</w:t>
      </w:r>
      <w:r>
        <w:rPr>
          <w:noProof/>
        </w:rPr>
        <w:t xml:space="preserve"> </w:t>
      </w:r>
      <w:r w:rsidR="0B9CE0FB">
        <w:rPr>
          <w:noProof/>
        </w:rPr>
        <w:t xml:space="preserve">DAC6, and DAC4/DAC9. </w:t>
      </w:r>
    </w:p>
    <w:p w14:paraId="0A2EDC15" w14:textId="6FED2F27" w:rsidR="00653811" w:rsidRPr="00C9421B" w:rsidRDefault="5DFAE2A5" w:rsidP="00653811">
      <w:pPr>
        <w:rPr>
          <w:noProof/>
        </w:rPr>
      </w:pPr>
      <w:r>
        <w:rPr>
          <w:noProof/>
        </w:rPr>
        <w:t>A strong consensus emerge</w:t>
      </w:r>
      <w:r w:rsidR="4EC62500">
        <w:rPr>
          <w:noProof/>
        </w:rPr>
        <w:t>d</w:t>
      </w:r>
      <w:r>
        <w:rPr>
          <w:noProof/>
        </w:rPr>
        <w:t xml:space="preserve"> from the </w:t>
      </w:r>
      <w:r w:rsidR="173810A7">
        <w:rPr>
          <w:noProof/>
        </w:rPr>
        <w:t>business sector on the need for</w:t>
      </w:r>
      <w:r>
        <w:rPr>
          <w:noProof/>
        </w:rPr>
        <w:t xml:space="preserve"> </w:t>
      </w:r>
      <w:r w:rsidR="4E7C6AEF" w:rsidRPr="77FADF1A">
        <w:rPr>
          <w:b/>
          <w:bCs/>
          <w:noProof/>
        </w:rPr>
        <w:t>codifying the DAC</w:t>
      </w:r>
      <w:r w:rsidR="4E7C6AEF">
        <w:rPr>
          <w:noProof/>
        </w:rPr>
        <w:t xml:space="preserve"> by </w:t>
      </w:r>
      <w:r w:rsidR="19355006" w:rsidRPr="77FADF1A">
        <w:rPr>
          <w:rFonts w:eastAsia="Calibri"/>
          <w:noProof/>
        </w:rPr>
        <w:t xml:space="preserve">bringing together </w:t>
      </w:r>
      <w:r w:rsidR="4E7C6AEF" w:rsidRPr="77FADF1A">
        <w:rPr>
          <w:rFonts w:eastAsia="Calibri"/>
          <w:noProof/>
        </w:rPr>
        <w:t>DAC1</w:t>
      </w:r>
      <w:r w:rsidR="19355006" w:rsidRPr="77FADF1A">
        <w:rPr>
          <w:rFonts w:eastAsia="Calibri"/>
          <w:noProof/>
        </w:rPr>
        <w:t xml:space="preserve"> and all its </w:t>
      </w:r>
      <w:r w:rsidR="4E7C6AEF" w:rsidRPr="77FADF1A">
        <w:rPr>
          <w:rFonts w:eastAsia="Calibri"/>
          <w:noProof/>
        </w:rPr>
        <w:t xml:space="preserve">eight amendments (DAC2-DAC9) </w:t>
      </w:r>
      <w:r w:rsidR="19355006" w:rsidRPr="77FADF1A">
        <w:rPr>
          <w:rFonts w:eastAsia="Calibri"/>
          <w:noProof/>
        </w:rPr>
        <w:t xml:space="preserve">into a single new </w:t>
      </w:r>
      <w:r w:rsidR="4E7C6AEF" w:rsidRPr="77FADF1A">
        <w:rPr>
          <w:rFonts w:eastAsia="Calibri"/>
          <w:noProof/>
        </w:rPr>
        <w:t xml:space="preserve">legal </w:t>
      </w:r>
      <w:r w:rsidR="19355006" w:rsidRPr="77FADF1A">
        <w:rPr>
          <w:rFonts w:eastAsia="Calibri"/>
          <w:noProof/>
        </w:rPr>
        <w:t>act</w:t>
      </w:r>
      <w:r w:rsidR="309BDBC1" w:rsidRPr="77FADF1A">
        <w:rPr>
          <w:rFonts w:eastAsia="Calibri"/>
          <w:noProof/>
        </w:rPr>
        <w:t xml:space="preserve"> which would replace the current fragmented legal framework. </w:t>
      </w:r>
      <w:r w:rsidRPr="77FADF1A">
        <w:rPr>
          <w:b/>
          <w:bCs/>
          <w:noProof/>
        </w:rPr>
        <w:t xml:space="preserve"> </w:t>
      </w:r>
      <w:r>
        <w:rPr>
          <w:noProof/>
        </w:rPr>
        <w:t xml:space="preserve">There </w:t>
      </w:r>
      <w:r w:rsidR="10C13E08">
        <w:rPr>
          <w:noProof/>
        </w:rPr>
        <w:t>wa</w:t>
      </w:r>
      <w:r>
        <w:rPr>
          <w:noProof/>
        </w:rPr>
        <w:t xml:space="preserve">s </w:t>
      </w:r>
      <w:r w:rsidR="70BA287A">
        <w:rPr>
          <w:noProof/>
        </w:rPr>
        <w:t xml:space="preserve">also </w:t>
      </w:r>
      <w:r>
        <w:rPr>
          <w:noProof/>
        </w:rPr>
        <w:t xml:space="preserve">broad agreement that the existing </w:t>
      </w:r>
      <w:r w:rsidR="233D9E32">
        <w:rPr>
          <w:noProof/>
        </w:rPr>
        <w:t>framework</w:t>
      </w:r>
      <w:r>
        <w:rPr>
          <w:noProof/>
        </w:rPr>
        <w:t xml:space="preserve"> creates disproportionate administrative and compliance burdens for </w:t>
      </w:r>
      <w:r w:rsidR="2AAC665A">
        <w:rPr>
          <w:noProof/>
        </w:rPr>
        <w:t xml:space="preserve">reporting entities. </w:t>
      </w:r>
      <w:r>
        <w:rPr>
          <w:noProof/>
        </w:rPr>
        <w:t>5 stakeholders from business and associations propose</w:t>
      </w:r>
      <w:r w:rsidR="2D065AB3">
        <w:rPr>
          <w:noProof/>
        </w:rPr>
        <w:t>d</w:t>
      </w:r>
      <w:r>
        <w:rPr>
          <w:noProof/>
        </w:rPr>
        <w:t xml:space="preserve"> simplification and burden-reduction measures, such as simplified (5</w:t>
      </w:r>
      <w:r w:rsidR="0543E1F5">
        <w:rPr>
          <w:noProof/>
        </w:rPr>
        <w:t xml:space="preserve"> </w:t>
      </w:r>
      <w:r>
        <w:rPr>
          <w:noProof/>
        </w:rPr>
        <w:t>inputs) or excluded reporting for low-risk, or low-value transactions</w:t>
      </w:r>
      <w:r w:rsidR="50079046">
        <w:rPr>
          <w:noProof/>
        </w:rPr>
        <w:t xml:space="preserve">. </w:t>
      </w:r>
      <w:r>
        <w:rPr>
          <w:noProof/>
        </w:rPr>
        <w:t xml:space="preserve">The once-only reporting principle </w:t>
      </w:r>
      <w:r w:rsidR="5894DE9A">
        <w:rPr>
          <w:noProof/>
        </w:rPr>
        <w:t>wa</w:t>
      </w:r>
      <w:r>
        <w:rPr>
          <w:noProof/>
        </w:rPr>
        <w:t xml:space="preserve">s emphasized by 4 associations, along with the elimination of overlaps which was supported by 2 associations. </w:t>
      </w:r>
    </w:p>
    <w:p w14:paraId="42BDC840" w14:textId="4921A40E" w:rsidR="00653811" w:rsidRPr="00C9421B" w:rsidRDefault="5DFAE2A5" w:rsidP="00653811">
      <w:pPr>
        <w:rPr>
          <w:noProof/>
        </w:rPr>
      </w:pPr>
      <w:r>
        <w:rPr>
          <w:noProof/>
        </w:rPr>
        <w:t xml:space="preserve">5 business and tax advisor associations </w:t>
      </w:r>
      <w:r w:rsidR="5D76156B">
        <w:rPr>
          <w:noProof/>
        </w:rPr>
        <w:t>suggested</w:t>
      </w:r>
      <w:r w:rsidR="00C84469">
        <w:rPr>
          <w:noProof/>
        </w:rPr>
        <w:t xml:space="preserve"> </w:t>
      </w:r>
      <w:r>
        <w:rPr>
          <w:noProof/>
        </w:rPr>
        <w:t>rely</w:t>
      </w:r>
      <w:r w:rsidR="2ADA19EB">
        <w:rPr>
          <w:noProof/>
        </w:rPr>
        <w:t>ing</w:t>
      </w:r>
      <w:r>
        <w:rPr>
          <w:noProof/>
        </w:rPr>
        <w:t xml:space="preserve"> on existing national identification systems</w:t>
      </w:r>
      <w:r w:rsidR="2C904604">
        <w:rPr>
          <w:noProof/>
        </w:rPr>
        <w:t xml:space="preserve"> combined with </w:t>
      </w:r>
      <w:r>
        <w:rPr>
          <w:noProof/>
        </w:rPr>
        <w:t>a centralised validation</w:t>
      </w:r>
      <w:r w:rsidR="5635F1FA">
        <w:rPr>
          <w:noProof/>
        </w:rPr>
        <w:t xml:space="preserve"> tool</w:t>
      </w:r>
      <w:r>
        <w:rPr>
          <w:noProof/>
        </w:rPr>
        <w:t xml:space="preserve">. </w:t>
      </w:r>
      <w:r w:rsidR="0880F4CB">
        <w:rPr>
          <w:noProof/>
        </w:rPr>
        <w:t xml:space="preserve">As regards the latter, </w:t>
      </w:r>
      <w:r>
        <w:rPr>
          <w:noProof/>
        </w:rPr>
        <w:t>contributors advocate</w:t>
      </w:r>
      <w:r w:rsidR="0C322702">
        <w:rPr>
          <w:noProof/>
        </w:rPr>
        <w:t>d</w:t>
      </w:r>
      <w:r>
        <w:rPr>
          <w:noProof/>
        </w:rPr>
        <w:t xml:space="preserve"> </w:t>
      </w:r>
      <w:r w:rsidR="0C322702">
        <w:rPr>
          <w:noProof/>
        </w:rPr>
        <w:t>for</w:t>
      </w:r>
      <w:r>
        <w:rPr>
          <w:noProof/>
        </w:rPr>
        <w:t xml:space="preserve"> centrali</w:t>
      </w:r>
      <w:r w:rsidR="4AC9CB05">
        <w:rPr>
          <w:noProof/>
        </w:rPr>
        <w:t>s</w:t>
      </w:r>
      <w:r>
        <w:rPr>
          <w:noProof/>
        </w:rPr>
        <w:t xml:space="preserve">ed validation tools connected to authoritative sources, made available to reporting entities early in the process, with interoperable verification mechanisms preferred over new obligations on taxpayers. </w:t>
      </w:r>
    </w:p>
    <w:p w14:paraId="05B8290D" w14:textId="0E491F41" w:rsidR="00653811" w:rsidRPr="00C9421B" w:rsidRDefault="63925ED3" w:rsidP="00653811">
      <w:pPr>
        <w:rPr>
          <w:noProof/>
        </w:rPr>
      </w:pPr>
      <w:r>
        <w:rPr>
          <w:noProof/>
        </w:rPr>
        <w:t xml:space="preserve">More generally, business </w:t>
      </w:r>
      <w:r w:rsidR="66BFC2FA">
        <w:rPr>
          <w:noProof/>
        </w:rPr>
        <w:t>stakeholders emphasi</w:t>
      </w:r>
      <w:r w:rsidR="67DC4363">
        <w:rPr>
          <w:noProof/>
        </w:rPr>
        <w:t>s</w:t>
      </w:r>
      <w:r w:rsidR="66BFC2FA">
        <w:rPr>
          <w:noProof/>
        </w:rPr>
        <w:t>ed the need for technical modernization and digital-friendly infrastructure</w:t>
      </w:r>
      <w:r w:rsidR="0E23D3AF">
        <w:rPr>
          <w:noProof/>
        </w:rPr>
        <w:t>s</w:t>
      </w:r>
      <w:r w:rsidR="66BFC2FA">
        <w:rPr>
          <w:noProof/>
        </w:rPr>
        <w:t xml:space="preserve"> to support efficiency and prevent future administrative burdens from piecemeal updates.</w:t>
      </w:r>
    </w:p>
    <w:p w14:paraId="4C301A95" w14:textId="01C8C976" w:rsidR="00653811" w:rsidRDefault="5DFAE2A5" w:rsidP="001C1867">
      <w:pPr>
        <w:spacing w:after="160"/>
        <w:rPr>
          <w:noProof/>
        </w:rPr>
      </w:pPr>
      <w:r>
        <w:rPr>
          <w:noProof/>
        </w:rPr>
        <w:t>Finally, 2 contributors stress</w:t>
      </w:r>
      <w:r w:rsidR="658A3F3D">
        <w:rPr>
          <w:noProof/>
        </w:rPr>
        <w:t>ed</w:t>
      </w:r>
      <w:r>
        <w:rPr>
          <w:noProof/>
        </w:rPr>
        <w:t xml:space="preserve"> that reporting obligations should remain limited to objective data already held by reporting entities, without imposing investigative or interpretative roles. 3 stakeholders from </w:t>
      </w:r>
      <w:r w:rsidR="763D8FAA">
        <w:rPr>
          <w:noProof/>
        </w:rPr>
        <w:t xml:space="preserve">business </w:t>
      </w:r>
      <w:r>
        <w:rPr>
          <w:noProof/>
        </w:rPr>
        <w:t xml:space="preserve">associations </w:t>
      </w:r>
      <w:r w:rsidR="4DC6A2B7">
        <w:rPr>
          <w:noProof/>
        </w:rPr>
        <w:t>stressed the need</w:t>
      </w:r>
      <w:r>
        <w:rPr>
          <w:noProof/>
        </w:rPr>
        <w:t xml:space="preserve"> to ensure full alignment and consistency with existing international frameworks </w:t>
      </w:r>
      <w:r w:rsidR="1A32110C">
        <w:rPr>
          <w:noProof/>
        </w:rPr>
        <w:t>t</w:t>
      </w:r>
      <w:r>
        <w:rPr>
          <w:noProof/>
        </w:rPr>
        <w:t xml:space="preserve">o avoid duplicative or conflicting requirements. </w:t>
      </w:r>
    </w:p>
    <w:p w14:paraId="43673686" w14:textId="77777777" w:rsidR="00C84469" w:rsidRPr="007325C2" w:rsidRDefault="00C84469" w:rsidP="77FADF1A">
      <w:pPr>
        <w:spacing w:after="160" w:line="278" w:lineRule="auto"/>
        <w:rPr>
          <w:b/>
          <w:bCs/>
          <w:noProof/>
        </w:rPr>
      </w:pPr>
    </w:p>
    <w:p w14:paraId="6B2B8211" w14:textId="04C90B7A" w:rsidR="00653811" w:rsidRPr="007325C2" w:rsidRDefault="003DD88A" w:rsidP="77FADF1A">
      <w:pPr>
        <w:spacing w:after="160" w:line="278" w:lineRule="auto"/>
        <w:rPr>
          <w:b/>
          <w:bCs/>
          <w:noProof/>
        </w:rPr>
      </w:pPr>
      <w:bookmarkStart w:id="59" w:name="_Toc224058336"/>
      <w:r w:rsidRPr="1599A2D9">
        <w:rPr>
          <w:b/>
          <w:bCs/>
          <w:noProof/>
        </w:rPr>
        <w:t>Specific comments</w:t>
      </w:r>
    </w:p>
    <w:p w14:paraId="29A555A5" w14:textId="512824EA" w:rsidR="00653811" w:rsidRPr="007325C2" w:rsidRDefault="5DFAE2A5" w:rsidP="77FADF1A">
      <w:pPr>
        <w:spacing w:after="160" w:line="278" w:lineRule="auto"/>
        <w:rPr>
          <w:b/>
          <w:bCs/>
          <w:noProof/>
        </w:rPr>
      </w:pPr>
      <w:r w:rsidRPr="77FADF1A">
        <w:rPr>
          <w:b/>
          <w:bCs/>
          <w:noProof/>
        </w:rPr>
        <w:t>DAC4/</w:t>
      </w:r>
      <w:r w:rsidR="3BE17989" w:rsidRPr="77FADF1A">
        <w:rPr>
          <w:b/>
          <w:bCs/>
          <w:noProof/>
        </w:rPr>
        <w:t>DAC</w:t>
      </w:r>
      <w:r w:rsidRPr="77FADF1A">
        <w:rPr>
          <w:b/>
          <w:bCs/>
          <w:noProof/>
        </w:rPr>
        <w:t>9</w:t>
      </w:r>
      <w:bookmarkEnd w:id="59"/>
    </w:p>
    <w:p w14:paraId="46D36C3D" w14:textId="641AF42B" w:rsidR="00653811" w:rsidRPr="00C9421B" w:rsidRDefault="1B6A0072" w:rsidP="00653811">
      <w:pPr>
        <w:rPr>
          <w:noProof/>
        </w:rPr>
      </w:pPr>
      <w:r>
        <w:rPr>
          <w:noProof/>
        </w:rPr>
        <w:t xml:space="preserve">The feedback provided by business </w:t>
      </w:r>
      <w:r w:rsidR="5DFAE2A5">
        <w:rPr>
          <w:noProof/>
        </w:rPr>
        <w:t xml:space="preserve">stakeholders </w:t>
      </w:r>
      <w:r w:rsidR="049F9F19">
        <w:rPr>
          <w:noProof/>
        </w:rPr>
        <w:t xml:space="preserve">and </w:t>
      </w:r>
      <w:r w:rsidR="5DFAE2A5">
        <w:rPr>
          <w:noProof/>
        </w:rPr>
        <w:t xml:space="preserve">tax advisors </w:t>
      </w:r>
      <w:r w:rsidR="4440CCB4">
        <w:rPr>
          <w:noProof/>
        </w:rPr>
        <w:t>on this topic can be summaris</w:t>
      </w:r>
      <w:r w:rsidR="1786B8EB">
        <w:rPr>
          <w:noProof/>
        </w:rPr>
        <w:t>ed</w:t>
      </w:r>
      <w:r w:rsidR="4440CCB4">
        <w:rPr>
          <w:noProof/>
        </w:rPr>
        <w:t xml:space="preserve"> as follows</w:t>
      </w:r>
      <w:r w:rsidR="4F73DFBF">
        <w:rPr>
          <w:noProof/>
        </w:rPr>
        <w:t>.</w:t>
      </w:r>
    </w:p>
    <w:p w14:paraId="234DE692" w14:textId="14F0F8CF" w:rsidR="00653811" w:rsidRPr="00C9421B" w:rsidRDefault="33B8B06F" w:rsidP="77FADF1A">
      <w:pPr>
        <w:spacing w:after="160" w:line="278" w:lineRule="auto"/>
        <w:rPr>
          <w:noProof/>
        </w:rPr>
      </w:pPr>
      <w:r>
        <w:rPr>
          <w:noProof/>
        </w:rPr>
        <w:t xml:space="preserve">Tax </w:t>
      </w:r>
      <w:r w:rsidR="66BFC2FA">
        <w:rPr>
          <w:noProof/>
        </w:rPr>
        <w:t xml:space="preserve">advisors </w:t>
      </w:r>
      <w:r w:rsidR="0C6019B0">
        <w:rPr>
          <w:noProof/>
        </w:rPr>
        <w:t xml:space="preserve">and business stakeholders </w:t>
      </w:r>
      <w:r w:rsidR="0A965581">
        <w:rPr>
          <w:noProof/>
        </w:rPr>
        <w:t xml:space="preserve">(12) </w:t>
      </w:r>
      <w:r w:rsidR="45B056CD">
        <w:rPr>
          <w:noProof/>
        </w:rPr>
        <w:t xml:space="preserve">strongly supported a </w:t>
      </w:r>
      <w:r w:rsidR="45B056CD" w:rsidRPr="4321A1A3">
        <w:rPr>
          <w:b/>
          <w:bCs/>
          <w:noProof/>
        </w:rPr>
        <w:t>single</w:t>
      </w:r>
      <w:r w:rsidR="66BFC2FA" w:rsidRPr="4321A1A3">
        <w:rPr>
          <w:b/>
          <w:bCs/>
          <w:noProof/>
        </w:rPr>
        <w:t xml:space="preserve"> notification</w:t>
      </w:r>
      <w:r w:rsidR="009139D3">
        <w:rPr>
          <w:b/>
          <w:bCs/>
          <w:noProof/>
        </w:rPr>
        <w:t xml:space="preserve"> to support the reporting requirements under DAC4/DAC9</w:t>
      </w:r>
      <w:r w:rsidR="71149704">
        <w:rPr>
          <w:noProof/>
        </w:rPr>
        <w:t>, based on a</w:t>
      </w:r>
      <w:r w:rsidR="19B77687">
        <w:rPr>
          <w:noProof/>
        </w:rPr>
        <w:t xml:space="preserve"> </w:t>
      </w:r>
      <w:r w:rsidR="71149704">
        <w:rPr>
          <w:noProof/>
        </w:rPr>
        <w:t xml:space="preserve">common template and a harmonised timeline, to avoid duplications and </w:t>
      </w:r>
      <w:r w:rsidR="66BFC2FA">
        <w:rPr>
          <w:noProof/>
        </w:rPr>
        <w:t xml:space="preserve">address the current fragmentation within the MS. </w:t>
      </w:r>
      <w:r w:rsidR="54001222">
        <w:rPr>
          <w:noProof/>
        </w:rPr>
        <w:t>They also advocated in favour of “central filing”, i.e. enabling one entity of the group which is lo</w:t>
      </w:r>
      <w:r w:rsidR="4636357C">
        <w:rPr>
          <w:noProof/>
        </w:rPr>
        <w:t>cated in the EU to file the notification on behalf of the entire group, thereby avoiding multiple notifications.</w:t>
      </w:r>
      <w:r w:rsidR="66BFC2FA">
        <w:rPr>
          <w:noProof/>
        </w:rPr>
        <w:t xml:space="preserve"> To further simplify the notification requirements, stakeholders propose</w:t>
      </w:r>
      <w:r w:rsidR="5A0C95E5">
        <w:rPr>
          <w:noProof/>
        </w:rPr>
        <w:t>d</w:t>
      </w:r>
      <w:r w:rsidR="66BFC2FA">
        <w:rPr>
          <w:noProof/>
        </w:rPr>
        <w:t xml:space="preserve"> the </w:t>
      </w:r>
      <w:r w:rsidR="66BFC2FA" w:rsidRPr="4321A1A3">
        <w:rPr>
          <w:b/>
          <w:bCs/>
          <w:noProof/>
        </w:rPr>
        <w:t>"change-only" approach</w:t>
      </w:r>
      <w:r w:rsidR="66BFC2FA">
        <w:rPr>
          <w:noProof/>
        </w:rPr>
        <w:t xml:space="preserve">, which would keep the existing notifications valid until there is a change in the underlying data.  </w:t>
      </w:r>
    </w:p>
    <w:p w14:paraId="7E9331F2" w14:textId="4A6CC390" w:rsidR="00653811" w:rsidRDefault="1069E0E9" w:rsidP="00653811">
      <w:pPr>
        <w:rPr>
          <w:noProof/>
        </w:rPr>
      </w:pPr>
      <w:r>
        <w:rPr>
          <w:noProof/>
        </w:rPr>
        <w:t>On the contrary, t</w:t>
      </w:r>
      <w:r w:rsidR="5DFAE2A5">
        <w:rPr>
          <w:noProof/>
        </w:rPr>
        <w:t xml:space="preserve">ax advisors and businesses </w:t>
      </w:r>
      <w:r w:rsidR="2210221B">
        <w:rPr>
          <w:noProof/>
        </w:rPr>
        <w:t xml:space="preserve">stakeholders </w:t>
      </w:r>
      <w:r w:rsidR="5DFAE2A5">
        <w:rPr>
          <w:noProof/>
        </w:rPr>
        <w:t>express</w:t>
      </w:r>
      <w:r w:rsidR="2DB8CFE8">
        <w:rPr>
          <w:noProof/>
        </w:rPr>
        <w:t>ed</w:t>
      </w:r>
      <w:r w:rsidR="5DFAE2A5">
        <w:rPr>
          <w:noProof/>
        </w:rPr>
        <w:t xml:space="preserve"> mixed views on </w:t>
      </w:r>
      <w:r w:rsidR="5DFAE2A5" w:rsidRPr="77FADF1A">
        <w:rPr>
          <w:b/>
          <w:bCs/>
          <w:noProof/>
        </w:rPr>
        <w:t xml:space="preserve">merging DAC4 and DAC9 </w:t>
      </w:r>
      <w:r w:rsidR="1A778808" w:rsidRPr="77FADF1A">
        <w:rPr>
          <w:b/>
          <w:bCs/>
          <w:noProof/>
        </w:rPr>
        <w:t xml:space="preserve">reporting </w:t>
      </w:r>
      <w:r w:rsidR="5DFAE2A5" w:rsidRPr="77FADF1A">
        <w:rPr>
          <w:b/>
          <w:bCs/>
          <w:noProof/>
        </w:rPr>
        <w:t>schemas</w:t>
      </w:r>
      <w:r w:rsidR="5DFAE2A5">
        <w:rPr>
          <w:noProof/>
        </w:rPr>
        <w:t xml:space="preserve">, with 4 stakeholders supporting </w:t>
      </w:r>
      <w:r w:rsidR="550977D8">
        <w:rPr>
          <w:noProof/>
        </w:rPr>
        <w:t xml:space="preserve">the proposal, as a means </w:t>
      </w:r>
      <w:r w:rsidR="5DFAE2A5">
        <w:rPr>
          <w:noProof/>
        </w:rPr>
        <w:t>to cut duplication and costs</w:t>
      </w:r>
      <w:r w:rsidR="0CDC7936">
        <w:rPr>
          <w:noProof/>
        </w:rPr>
        <w:t>,</w:t>
      </w:r>
      <w:r w:rsidR="5DFAE2A5">
        <w:rPr>
          <w:noProof/>
        </w:rPr>
        <w:t xml:space="preserve"> </w:t>
      </w:r>
      <w:r w:rsidR="06FBEE04">
        <w:rPr>
          <w:noProof/>
        </w:rPr>
        <w:t xml:space="preserve">and </w:t>
      </w:r>
      <w:r w:rsidR="2B1BDEAA">
        <w:rPr>
          <w:noProof/>
        </w:rPr>
        <w:t xml:space="preserve">2 </w:t>
      </w:r>
      <w:r w:rsidR="5DFAE2A5">
        <w:rPr>
          <w:noProof/>
        </w:rPr>
        <w:t>other</w:t>
      </w:r>
      <w:r w:rsidR="2BDF8D12">
        <w:rPr>
          <w:noProof/>
        </w:rPr>
        <w:t>s</w:t>
      </w:r>
      <w:r w:rsidR="5DFAE2A5">
        <w:rPr>
          <w:noProof/>
        </w:rPr>
        <w:t xml:space="preserve"> </w:t>
      </w:r>
      <w:r w:rsidR="7A2B5889">
        <w:rPr>
          <w:noProof/>
        </w:rPr>
        <w:t xml:space="preserve">considering </w:t>
      </w:r>
      <w:r w:rsidR="5DFAE2A5">
        <w:rPr>
          <w:noProof/>
        </w:rPr>
        <w:t>it premature</w:t>
      </w:r>
      <w:r w:rsidR="3BFC0766">
        <w:rPr>
          <w:noProof/>
        </w:rPr>
        <w:t xml:space="preserve"> given the need to keep full consistency with </w:t>
      </w:r>
      <w:r w:rsidR="5DFAE2A5">
        <w:rPr>
          <w:noProof/>
        </w:rPr>
        <w:t xml:space="preserve">international standards. </w:t>
      </w:r>
    </w:p>
    <w:p w14:paraId="6FF018FB" w14:textId="382F6196" w:rsidR="00653811" w:rsidRPr="007325C2" w:rsidRDefault="5DFAE2A5" w:rsidP="77FADF1A">
      <w:pPr>
        <w:spacing w:after="160" w:line="278" w:lineRule="auto"/>
        <w:rPr>
          <w:b/>
          <w:bCs/>
          <w:noProof/>
        </w:rPr>
      </w:pPr>
      <w:bookmarkStart w:id="60" w:name="_Toc224058337"/>
      <w:r w:rsidRPr="77FADF1A">
        <w:rPr>
          <w:b/>
          <w:bCs/>
          <w:noProof/>
        </w:rPr>
        <w:t xml:space="preserve">DAC6 </w:t>
      </w:r>
      <w:bookmarkEnd w:id="60"/>
    </w:p>
    <w:p w14:paraId="3ACA0C35" w14:textId="43F6B703" w:rsidR="00653811" w:rsidRPr="00C9421B" w:rsidRDefault="5DFAE2A5" w:rsidP="00653811">
      <w:pPr>
        <w:rPr>
          <w:noProof/>
        </w:rPr>
      </w:pPr>
      <w:r>
        <w:rPr>
          <w:noProof/>
        </w:rPr>
        <w:t xml:space="preserve">30 respondents </w:t>
      </w:r>
      <w:r w:rsidR="5CA54F33">
        <w:rPr>
          <w:noProof/>
        </w:rPr>
        <w:t xml:space="preserve">to the PC and CfE </w:t>
      </w:r>
      <w:r>
        <w:rPr>
          <w:noProof/>
        </w:rPr>
        <w:t xml:space="preserve">provided </w:t>
      </w:r>
      <w:r w:rsidR="50CF8D79">
        <w:rPr>
          <w:noProof/>
        </w:rPr>
        <w:t xml:space="preserve">feedback on </w:t>
      </w:r>
      <w:r>
        <w:rPr>
          <w:noProof/>
        </w:rPr>
        <w:t>DAC6</w:t>
      </w:r>
      <w:r w:rsidR="5F621C32">
        <w:rPr>
          <w:noProof/>
        </w:rPr>
        <w:t>.</w:t>
      </w:r>
      <w:r w:rsidR="62E3C530">
        <w:rPr>
          <w:noProof/>
        </w:rPr>
        <w:t xml:space="preserve"> </w:t>
      </w:r>
      <w:r>
        <w:rPr>
          <w:noProof/>
        </w:rPr>
        <w:t xml:space="preserve">12 stakeholders from business, and intermediaries called for </w:t>
      </w:r>
      <w:r w:rsidRPr="77FADF1A">
        <w:rPr>
          <w:b/>
          <w:bCs/>
          <w:noProof/>
        </w:rPr>
        <w:t>clear and harmonised EU-level guidance</w:t>
      </w:r>
      <w:r>
        <w:rPr>
          <w:noProof/>
        </w:rPr>
        <w:t xml:space="preserve"> to ensure consistent interpretation and application of DAC6 across MS. One intermediary therefore stressed the need for uniform guidelines clarifying key concepts such as “arrangement,” “participant,” and “tax advantage”. 2 associations also suggested that guidance should clarify the relationship between DAC6 and other EU frameworks, such as ATAD, the Parent-Subsidiary Directive, the Interest and Royalties Directive, and Pillar 2 rules, to prevent overlapping reporting obligations.</w:t>
      </w:r>
    </w:p>
    <w:p w14:paraId="0C931EC8" w14:textId="3F0F3E43" w:rsidR="00653811" w:rsidRPr="00C9421B" w:rsidRDefault="5DFAE2A5" w:rsidP="00653811">
      <w:pPr>
        <w:rPr>
          <w:noProof/>
        </w:rPr>
      </w:pPr>
      <w:r>
        <w:rPr>
          <w:noProof/>
        </w:rPr>
        <w:t xml:space="preserve">The </w:t>
      </w:r>
      <w:r w:rsidRPr="77FADF1A">
        <w:rPr>
          <w:b/>
          <w:bCs/>
          <w:noProof/>
        </w:rPr>
        <w:t>Main Benefit Test (MBT)</w:t>
      </w:r>
      <w:r>
        <w:rPr>
          <w:noProof/>
        </w:rPr>
        <w:t xml:space="preserve"> has been widely </w:t>
      </w:r>
      <w:r w:rsidR="3799A84B">
        <w:rPr>
          <w:noProof/>
        </w:rPr>
        <w:t xml:space="preserve">recognised </w:t>
      </w:r>
      <w:r>
        <w:rPr>
          <w:noProof/>
        </w:rPr>
        <w:t xml:space="preserve">as </w:t>
      </w:r>
      <w:r w:rsidR="3A6BAD91">
        <w:rPr>
          <w:noProof/>
        </w:rPr>
        <w:t xml:space="preserve">a </w:t>
      </w:r>
      <w:r>
        <w:rPr>
          <w:noProof/>
        </w:rPr>
        <w:t>key filtering tool</w:t>
      </w:r>
      <w:r w:rsidR="150247BA">
        <w:rPr>
          <w:noProof/>
        </w:rPr>
        <w:t xml:space="preserve"> to limit the number</w:t>
      </w:r>
      <w:r>
        <w:rPr>
          <w:noProof/>
        </w:rPr>
        <w:t xml:space="preserve"> of </w:t>
      </w:r>
      <w:r w:rsidR="150247BA">
        <w:rPr>
          <w:noProof/>
        </w:rPr>
        <w:t xml:space="preserve">reporting under </w:t>
      </w:r>
      <w:r>
        <w:rPr>
          <w:noProof/>
        </w:rPr>
        <w:t xml:space="preserve">DAC6. However, 2 intermediaries reported that there have been practical difficulties in applying the MBT. The divergence of national approaches, particularly with regard to the requirement for the relevant tax advantage to arise within the EU or to include third countries, has been a source of concern. </w:t>
      </w:r>
    </w:p>
    <w:p w14:paraId="581DF529" w14:textId="16340F6F" w:rsidR="00653811" w:rsidRPr="00C9421B" w:rsidRDefault="5DFAE2A5" w:rsidP="00653811">
      <w:pPr>
        <w:rPr>
          <w:noProof/>
        </w:rPr>
      </w:pPr>
      <w:r>
        <w:rPr>
          <w:noProof/>
        </w:rPr>
        <w:t xml:space="preserve">5 intermediaries’ associations (tax advisors, lawyers) emphasised the </w:t>
      </w:r>
      <w:r w:rsidRPr="77FADF1A">
        <w:rPr>
          <w:b/>
          <w:bCs/>
          <w:noProof/>
        </w:rPr>
        <w:t>significant compliance burden associated with DAC6</w:t>
      </w:r>
      <w:r>
        <w:rPr>
          <w:noProof/>
        </w:rPr>
        <w:t xml:space="preserve">. In particular, businesses must systematically assess every cross-border transaction to determine whether it falls within the scope of the directive, even when it ultimately does not trigger a reporting obligation. This screening process requires substantial internal resources, with 3 tax advisors reporting the need for several full-time employees to manage DAC6 compliance. </w:t>
      </w:r>
    </w:p>
    <w:p w14:paraId="6C102EE2" w14:textId="33813E14" w:rsidR="00653811" w:rsidRDefault="5DFAE2A5" w:rsidP="00653811">
      <w:pPr>
        <w:rPr>
          <w:noProof/>
        </w:rPr>
      </w:pPr>
      <w:r>
        <w:rPr>
          <w:noProof/>
        </w:rPr>
        <w:t xml:space="preserve">Similarly, business respondents argued that the </w:t>
      </w:r>
      <w:r w:rsidRPr="77FADF1A">
        <w:rPr>
          <w:b/>
          <w:bCs/>
          <w:noProof/>
        </w:rPr>
        <w:t xml:space="preserve">scope of DAC6 reporting should be more narrowly targeted </w:t>
      </w:r>
      <w:r w:rsidR="1733DA1E">
        <w:rPr>
          <w:noProof/>
        </w:rPr>
        <w:t xml:space="preserve">to </w:t>
      </w:r>
      <w:r w:rsidRPr="392799B8">
        <w:rPr>
          <w:b/>
          <w:bCs/>
          <w:noProof/>
        </w:rPr>
        <w:t>arrangements</w:t>
      </w:r>
      <w:r w:rsidRPr="77FADF1A">
        <w:rPr>
          <w:b/>
          <w:bCs/>
          <w:noProof/>
        </w:rPr>
        <w:t xml:space="preserve"> presenting genuine tax risks</w:t>
      </w:r>
      <w:r>
        <w:rPr>
          <w:noProof/>
        </w:rPr>
        <w:t xml:space="preserve">. </w:t>
      </w:r>
      <w:r w:rsidR="2DFBE831">
        <w:rPr>
          <w:noProof/>
        </w:rPr>
        <w:t>In the light of this, several business stakeholders argued in favour of carving out from DAC6 reporting all companies that are within the scope of the Pillar 2 Directi</w:t>
      </w:r>
      <w:r w:rsidR="58F0F9D6">
        <w:rPr>
          <w:noProof/>
        </w:rPr>
        <w:t xml:space="preserve">ve. Other business </w:t>
      </w:r>
      <w:r>
        <w:rPr>
          <w:noProof/>
        </w:rPr>
        <w:t>stakeholders suggest</w:t>
      </w:r>
      <w:r w:rsidR="7556ECDC">
        <w:rPr>
          <w:noProof/>
        </w:rPr>
        <w:t xml:space="preserve">ed </w:t>
      </w:r>
      <w:r>
        <w:rPr>
          <w:noProof/>
        </w:rPr>
        <w:t>limiting reporting to implemented arrangements rather than potential ones, assigning the primary reporting obligation to taxpayers to avoid duplicative reporting, and removing reporting obligations for secondary intermediaries that are not directly involved with taxpayer</w:t>
      </w:r>
      <w:r w:rsidR="7BA4DE5C">
        <w:rPr>
          <w:noProof/>
        </w:rPr>
        <w:t>s</w:t>
      </w:r>
      <w:r>
        <w:rPr>
          <w:noProof/>
        </w:rPr>
        <w:t xml:space="preserve">. 5 business respondents also proposed introducing safe harbours for transactions already covered by other EU frameworks and exempting entities subject to extensive regulatory oversight, such as companies participating in cooperative compliance programmes or continuous audits. </w:t>
      </w:r>
      <w:r w:rsidR="2A99C543">
        <w:rPr>
          <w:noProof/>
        </w:rPr>
        <w:t xml:space="preserve">17 stakeholders from business and tax advisors recommended reviewing and refining the DAC6 hallmarks to better target arrangements that pose a genuine risk of aggressive tax planning. </w:t>
      </w:r>
      <w:r w:rsidR="13D1F620">
        <w:rPr>
          <w:noProof/>
        </w:rPr>
        <w:t>B</w:t>
      </w:r>
      <w:r w:rsidR="2A99C543">
        <w:rPr>
          <w:noProof/>
        </w:rPr>
        <w:t xml:space="preserve">usiness stakeholders were aligned on the need to remove the </w:t>
      </w:r>
      <w:r w:rsidR="2A99C543" w:rsidRPr="77FADF1A">
        <w:rPr>
          <w:b/>
          <w:bCs/>
          <w:noProof/>
        </w:rPr>
        <w:t xml:space="preserve">category A </w:t>
      </w:r>
      <w:r w:rsidR="2A99C543" w:rsidRPr="632A57A9">
        <w:rPr>
          <w:b/>
          <w:bCs/>
          <w:noProof/>
        </w:rPr>
        <w:t>hallmark</w:t>
      </w:r>
      <w:r w:rsidR="0C8274BC" w:rsidRPr="632A57A9">
        <w:rPr>
          <w:b/>
          <w:bCs/>
          <w:noProof/>
        </w:rPr>
        <w:t>s</w:t>
      </w:r>
      <w:r w:rsidR="2A99C543" w:rsidRPr="77FADF1A">
        <w:rPr>
          <w:b/>
          <w:bCs/>
          <w:noProof/>
        </w:rPr>
        <w:t xml:space="preserve"> (generic hallmarks),</w:t>
      </w:r>
      <w:r w:rsidR="2A99C543">
        <w:rPr>
          <w:noProof/>
        </w:rPr>
        <w:t xml:space="preserve"> which was regarded as having a very limited added value in terms of identifying potentially harmful tax arrangements</w:t>
      </w:r>
      <w:r w:rsidR="6BBA3407">
        <w:rPr>
          <w:noProof/>
        </w:rPr>
        <w:t xml:space="preserve">. However, </w:t>
      </w:r>
      <w:r w:rsidR="2A99C543">
        <w:rPr>
          <w:noProof/>
        </w:rPr>
        <w:t xml:space="preserve">their views were very divergent on the </w:t>
      </w:r>
      <w:r w:rsidR="2E783DFA">
        <w:rPr>
          <w:noProof/>
        </w:rPr>
        <w:t xml:space="preserve">potential removal </w:t>
      </w:r>
      <w:r w:rsidR="00466BE8">
        <w:rPr>
          <w:noProof/>
        </w:rPr>
        <w:t>of other</w:t>
      </w:r>
      <w:r w:rsidR="2A99C543">
        <w:rPr>
          <w:noProof/>
        </w:rPr>
        <w:t xml:space="preserve"> hallmarks, with each of them </w:t>
      </w:r>
      <w:r w:rsidR="1B9CD25E">
        <w:rPr>
          <w:noProof/>
        </w:rPr>
        <w:t>suggesting</w:t>
      </w:r>
      <w:r w:rsidR="2A99C543">
        <w:rPr>
          <w:noProof/>
        </w:rPr>
        <w:t xml:space="preserve"> different hallmarks, </w:t>
      </w:r>
      <w:r w:rsidR="625C22F5">
        <w:rPr>
          <w:noProof/>
        </w:rPr>
        <w:t xml:space="preserve">linked to the </w:t>
      </w:r>
      <w:r w:rsidR="2A99C543">
        <w:rPr>
          <w:noProof/>
        </w:rPr>
        <w:t xml:space="preserve">  sector in which they operate.</w:t>
      </w:r>
    </w:p>
    <w:p w14:paraId="31EC6F7F" w14:textId="76CEEC27" w:rsidR="00183827" w:rsidRPr="00C9421B" w:rsidRDefault="00183827" w:rsidP="00653811">
      <w:pPr>
        <w:rPr>
          <w:noProof/>
        </w:rPr>
      </w:pPr>
      <w:r w:rsidRPr="00183827">
        <w:rPr>
          <w:noProof/>
        </w:rPr>
        <w:t>Evidence gathered through stakeholder consultations with business representatives consistently indicates that the cost of preparing and filing a DAC6 report is approximately EUR 5,000 per report on average. Similar estimates were also reported by tax intermediaries, accountants and tax advisory firms involved in DAC6 compliance processes. Stakeholders highlighted that these costs primarily reflect the need for legal and tax analysis, internal coordination, documentation and the preparation and submission of the report, with costs varying depending on the complexity of the arrangement and the applicable hallmarks.</w:t>
      </w:r>
    </w:p>
    <w:p w14:paraId="292C2CF8" w14:textId="45394DF3" w:rsidR="00653811" w:rsidRPr="007325C2" w:rsidRDefault="5DFAE2A5" w:rsidP="77FADF1A">
      <w:pPr>
        <w:spacing w:after="160" w:line="278" w:lineRule="auto"/>
        <w:rPr>
          <w:b/>
          <w:bCs/>
          <w:noProof/>
        </w:rPr>
      </w:pPr>
      <w:bookmarkStart w:id="61" w:name="_Toc224058338"/>
      <w:r w:rsidRPr="77FADF1A">
        <w:rPr>
          <w:b/>
          <w:bCs/>
          <w:noProof/>
        </w:rPr>
        <w:t>DAC7</w:t>
      </w:r>
      <w:bookmarkEnd w:id="61"/>
    </w:p>
    <w:p w14:paraId="3A190511" w14:textId="248F557A" w:rsidR="00653811" w:rsidRPr="00C9421B" w:rsidRDefault="66BFC2FA" w:rsidP="00653811">
      <w:pPr>
        <w:rPr>
          <w:noProof/>
        </w:rPr>
      </w:pPr>
      <w:r>
        <w:rPr>
          <w:noProof/>
        </w:rPr>
        <w:t xml:space="preserve">22 respondents </w:t>
      </w:r>
      <w:r w:rsidR="176FE382">
        <w:rPr>
          <w:noProof/>
        </w:rPr>
        <w:t xml:space="preserve">to the PC and CfE </w:t>
      </w:r>
      <w:r>
        <w:rPr>
          <w:noProof/>
        </w:rPr>
        <w:t>(including tax advisors, online platforms, and associations) gave their opinion on DAC7</w:t>
      </w:r>
      <w:r w:rsidR="15301DD0">
        <w:rPr>
          <w:noProof/>
        </w:rPr>
        <w:t xml:space="preserve">. </w:t>
      </w:r>
      <w:r w:rsidR="3B3BBC8B">
        <w:rPr>
          <w:noProof/>
        </w:rPr>
        <w:t xml:space="preserve">6 stakeholders (4 of them associations representing online platforms, 1 online platform and 1 tax adviser) expressed concerns regarding the </w:t>
      </w:r>
      <w:r w:rsidR="3B3BBC8B" w:rsidRPr="4321A1A3">
        <w:rPr>
          <w:b/>
          <w:bCs/>
          <w:noProof/>
        </w:rPr>
        <w:t>thresholds for the sales of goods</w:t>
      </w:r>
      <w:r w:rsidR="3B3BBC8B">
        <w:rPr>
          <w:noProof/>
        </w:rPr>
        <w:t>. They argued that the thresholds are too low</w:t>
      </w:r>
      <w:r w:rsidR="3709BF83">
        <w:rPr>
          <w:noProof/>
        </w:rPr>
        <w:t xml:space="preserve">, which results in reporting </w:t>
      </w:r>
      <w:r w:rsidR="3B3BBC8B">
        <w:rPr>
          <w:noProof/>
        </w:rPr>
        <w:t>sales that are not relevant for tax</w:t>
      </w:r>
      <w:r w:rsidR="1530B59F">
        <w:rPr>
          <w:noProof/>
        </w:rPr>
        <w:t xml:space="preserve"> purposes</w:t>
      </w:r>
      <w:r w:rsidR="3B3BBC8B">
        <w:rPr>
          <w:noProof/>
        </w:rPr>
        <w:t xml:space="preserve">.  </w:t>
      </w:r>
      <w:r w:rsidR="367CC7E0">
        <w:rPr>
          <w:noProof/>
        </w:rPr>
        <w:t xml:space="preserve">In this respect, </w:t>
      </w:r>
      <w:r w:rsidR="3B3BBC8B">
        <w:rPr>
          <w:noProof/>
        </w:rPr>
        <w:t xml:space="preserve">2 stakeholders from online platforms and an association </w:t>
      </w:r>
      <w:r w:rsidR="06085247">
        <w:rPr>
          <w:noProof/>
        </w:rPr>
        <w:t xml:space="preserve">suggested </w:t>
      </w:r>
      <w:r w:rsidR="321F5F73">
        <w:rPr>
          <w:noProof/>
        </w:rPr>
        <w:t xml:space="preserve">raising the current monetary threshold </w:t>
      </w:r>
      <w:r w:rsidR="3B3BBC8B">
        <w:rPr>
          <w:noProof/>
        </w:rPr>
        <w:t xml:space="preserve">up to EUR 5,000. </w:t>
      </w:r>
      <w:r w:rsidR="6B7CEBC2">
        <w:rPr>
          <w:noProof/>
        </w:rPr>
        <w:t>Stakeholders also suggested removing t</w:t>
      </w:r>
      <w:r w:rsidR="3B3BBC8B">
        <w:rPr>
          <w:noProof/>
        </w:rPr>
        <w:t xml:space="preserve">he activity thresholds </w:t>
      </w:r>
      <w:r w:rsidR="3517D5BC">
        <w:rPr>
          <w:noProof/>
        </w:rPr>
        <w:t>(30 transaction</w:t>
      </w:r>
      <w:r w:rsidR="342635C1">
        <w:rPr>
          <w:noProof/>
        </w:rPr>
        <w:t>s</w:t>
      </w:r>
      <w:r w:rsidR="3517D5BC">
        <w:rPr>
          <w:noProof/>
        </w:rPr>
        <w:t xml:space="preserve">) and keeping only the monetary threshold. </w:t>
      </w:r>
    </w:p>
    <w:p w14:paraId="7DB4BECC" w14:textId="0C119D2C" w:rsidR="00653811" w:rsidRPr="00C9421B" w:rsidRDefault="5DFAE2A5" w:rsidP="00653811">
      <w:pPr>
        <w:rPr>
          <w:noProof/>
        </w:rPr>
      </w:pPr>
      <w:r>
        <w:rPr>
          <w:noProof/>
        </w:rPr>
        <w:t xml:space="preserve">Two tax advisor associations stressed the need for </w:t>
      </w:r>
      <w:r w:rsidRPr="77FADF1A">
        <w:rPr>
          <w:b/>
          <w:bCs/>
          <w:noProof/>
        </w:rPr>
        <w:t xml:space="preserve">increased harmonisation of reporting systems </w:t>
      </w:r>
      <w:r>
        <w:rPr>
          <w:noProof/>
        </w:rPr>
        <w:t xml:space="preserve">within the MS. These stakeholders identified that there are considerable variations in national portals, formats, documentation requirements, timelines, and technical specifications, which cause operational problems for cross-border platforms. One business suggested that there is a need for the development of a </w:t>
      </w:r>
      <w:r w:rsidRPr="77FADF1A">
        <w:rPr>
          <w:b/>
          <w:bCs/>
          <w:noProof/>
        </w:rPr>
        <w:t>unified reporting system for the EU</w:t>
      </w:r>
      <w:r>
        <w:rPr>
          <w:noProof/>
        </w:rPr>
        <w:t>, including the adoption of a single XML reporting template that is accepted within all the MS</w:t>
      </w:r>
      <w:r w:rsidR="2A701BF9">
        <w:rPr>
          <w:noProof/>
        </w:rPr>
        <w:t xml:space="preserve">. </w:t>
      </w:r>
      <w:r>
        <w:rPr>
          <w:noProof/>
        </w:rPr>
        <w:t xml:space="preserve">Some suggestions were raised from 6 stakeholders about the </w:t>
      </w:r>
      <w:r w:rsidRPr="77FADF1A">
        <w:rPr>
          <w:b/>
          <w:bCs/>
          <w:noProof/>
        </w:rPr>
        <w:t xml:space="preserve">reporting deadlines, </w:t>
      </w:r>
      <w:r>
        <w:rPr>
          <w:noProof/>
        </w:rPr>
        <w:t xml:space="preserve">2 associations expressed their views that the current reporting deadline is giving rise to certain problems, as the availability of certain information concerning the transactions that took place in the later part of the year might only occur after the reporting date. 8 stakeholders (associations, business and online platforms) requested </w:t>
      </w:r>
      <w:r w:rsidR="5F2B6F35" w:rsidRPr="77FADF1A">
        <w:rPr>
          <w:b/>
          <w:bCs/>
          <w:noProof/>
        </w:rPr>
        <w:t xml:space="preserve">the </w:t>
      </w:r>
      <w:r w:rsidRPr="77FADF1A">
        <w:rPr>
          <w:b/>
          <w:bCs/>
          <w:noProof/>
        </w:rPr>
        <w:t xml:space="preserve">development of </w:t>
      </w:r>
      <w:r w:rsidR="2595CA61" w:rsidRPr="77FADF1A">
        <w:rPr>
          <w:b/>
          <w:bCs/>
          <w:noProof/>
        </w:rPr>
        <w:t xml:space="preserve">a centralised </w:t>
      </w:r>
      <w:r w:rsidRPr="77FADF1A">
        <w:rPr>
          <w:b/>
          <w:bCs/>
          <w:noProof/>
        </w:rPr>
        <w:t>verification tool for TIN</w:t>
      </w:r>
      <w:r>
        <w:rPr>
          <w:noProof/>
        </w:rPr>
        <w:t>. Platforms face challenges in obtaining certain seller information, such as place of birth as it may not be recorded in identification documents. To address these issues, stakeholders suggested focusing on essential data points like name, address, and TIN, while also developing enhanced verification tools for TIN at the EU level. They highlighted the fragmented nature of current verification tools across MS and expressed concerns about the costs, burdens, and GDPR/cybersecurity implications for sellers and platforms.</w:t>
      </w:r>
    </w:p>
    <w:p w14:paraId="65265628" w14:textId="01212AF3" w:rsidR="00653811" w:rsidRDefault="7785054D" w:rsidP="00653811">
      <w:pPr>
        <w:rPr>
          <w:noProof/>
        </w:rPr>
      </w:pPr>
      <w:r>
        <w:rPr>
          <w:noProof/>
        </w:rPr>
        <w:t>Some respondents</w:t>
      </w:r>
      <w:r w:rsidR="00671BCF">
        <w:rPr>
          <w:noProof/>
        </w:rPr>
        <w:t xml:space="preserve"> expressed concerns about the </w:t>
      </w:r>
      <w:r w:rsidR="5DFAE2A5">
        <w:rPr>
          <w:noProof/>
        </w:rPr>
        <w:t>uneven enforcement between EU and non-EU platforms, uncertainty regarding sanctions for incomplete data, and situations where platforms must retain seller funds while awaiting missing information</w:t>
      </w:r>
      <w:r w:rsidR="52FA2686">
        <w:rPr>
          <w:noProof/>
        </w:rPr>
        <w:t>.</w:t>
      </w:r>
    </w:p>
    <w:p w14:paraId="4D528499" w14:textId="18D5CA2F" w:rsidR="00121C00" w:rsidRDefault="00121C00">
      <w:pPr>
        <w:spacing w:after="200" w:line="276" w:lineRule="auto"/>
        <w:jc w:val="left"/>
        <w:rPr>
          <w:noProof/>
        </w:rPr>
      </w:pPr>
      <w:r>
        <w:rPr>
          <w:noProof/>
        </w:rPr>
        <w:br w:type="page"/>
      </w:r>
    </w:p>
    <w:p w14:paraId="7003BE06" w14:textId="59094D55" w:rsidR="00211D08" w:rsidRPr="0015779D" w:rsidRDefault="00341B36" w:rsidP="1599A2D9">
      <w:pPr>
        <w:pStyle w:val="AnnexTitle"/>
        <w:rPr>
          <w:noProof/>
        </w:rPr>
      </w:pPr>
      <w:bookmarkStart w:id="62" w:name="_Toc231816733"/>
      <w:r>
        <w:rPr>
          <w:noProof/>
        </w:rPr>
        <w:t xml:space="preserve">Annex </w:t>
      </w:r>
      <w:r w:rsidR="002E44C0">
        <w:rPr>
          <w:noProof/>
        </w:rPr>
        <w:t>3</w:t>
      </w:r>
      <w:r w:rsidR="007726CB">
        <w:rPr>
          <w:noProof/>
        </w:rPr>
        <w:t xml:space="preserve">: </w:t>
      </w:r>
      <w:r>
        <w:rPr>
          <w:noProof/>
        </w:rPr>
        <w:t>Who is affected and how?</w:t>
      </w:r>
      <w:bookmarkEnd w:id="62"/>
    </w:p>
    <w:p w14:paraId="250B85F9" w14:textId="60E6F704" w:rsidR="00B95D88" w:rsidRPr="00F92EAE" w:rsidRDefault="00B95D88" w:rsidP="0059106A">
      <w:pPr>
        <w:pStyle w:val="Heading1"/>
        <w:numPr>
          <w:ilvl w:val="0"/>
          <w:numId w:val="31"/>
        </w:numPr>
        <w:rPr>
          <w:noProof/>
        </w:rPr>
      </w:pPr>
      <w:bookmarkStart w:id="63" w:name="_Toc195101107"/>
      <w:bookmarkStart w:id="64" w:name="_Toc231816734"/>
      <w:r>
        <w:rPr>
          <w:noProof/>
        </w:rPr>
        <w:t>Practical implications of the initiative</w:t>
      </w:r>
      <w:bookmarkEnd w:id="63"/>
      <w:bookmarkEnd w:id="64"/>
    </w:p>
    <w:p w14:paraId="088677D6" w14:textId="35054F50" w:rsidR="00355920" w:rsidRDefault="00355920" w:rsidP="00B95D88">
      <w:pPr>
        <w:rPr>
          <w:noProof/>
        </w:rPr>
      </w:pPr>
      <w:r>
        <w:rPr>
          <w:noProof/>
        </w:rPr>
        <w:t>The initiative aims to streamline and simplify the DAC, significantly reducing administrative burdens for reporting entities while improving the efficiency of tax administrations.</w:t>
      </w:r>
    </w:p>
    <w:p w14:paraId="17232AB6" w14:textId="770E6528" w:rsidR="00AE70D2" w:rsidRDefault="00AE70D2" w:rsidP="00B95D88">
      <w:pPr>
        <w:rPr>
          <w:noProof/>
        </w:rPr>
      </w:pPr>
      <w:r>
        <w:rPr>
          <w:noProof/>
        </w:rPr>
        <w:t xml:space="preserve">On the business side, </w:t>
      </w:r>
      <w:r w:rsidR="00B345B4">
        <w:rPr>
          <w:noProof/>
        </w:rPr>
        <w:t>we distinguish between large MNE</w:t>
      </w:r>
      <w:r w:rsidR="0A591EC7">
        <w:rPr>
          <w:noProof/>
        </w:rPr>
        <w:t xml:space="preserve"> groups</w:t>
      </w:r>
      <w:r w:rsidR="00B345B4">
        <w:rPr>
          <w:noProof/>
        </w:rPr>
        <w:t xml:space="preserve"> which are in scope of </w:t>
      </w:r>
      <w:r w:rsidR="4A19494F">
        <w:rPr>
          <w:noProof/>
        </w:rPr>
        <w:t xml:space="preserve">the </w:t>
      </w:r>
      <w:r w:rsidR="00B345B4">
        <w:rPr>
          <w:noProof/>
        </w:rPr>
        <w:t>Pillar</w:t>
      </w:r>
      <w:r w:rsidR="7E05728B">
        <w:rPr>
          <w:noProof/>
        </w:rPr>
        <w:t xml:space="preserve"> 2 Directive</w:t>
      </w:r>
      <w:r w:rsidR="00B345B4">
        <w:rPr>
          <w:noProof/>
        </w:rPr>
        <w:t xml:space="preserve">, other </w:t>
      </w:r>
      <w:r w:rsidR="51E9A648">
        <w:rPr>
          <w:noProof/>
        </w:rPr>
        <w:t>companies</w:t>
      </w:r>
      <w:r w:rsidR="00B345B4">
        <w:rPr>
          <w:noProof/>
        </w:rPr>
        <w:t xml:space="preserve"> outside of the scope of </w:t>
      </w:r>
      <w:r w:rsidR="4254743C">
        <w:rPr>
          <w:noProof/>
        </w:rPr>
        <w:t xml:space="preserve">the </w:t>
      </w:r>
      <w:r w:rsidR="00B345B4">
        <w:rPr>
          <w:noProof/>
        </w:rPr>
        <w:t xml:space="preserve">Pillar </w:t>
      </w:r>
      <w:r w:rsidR="4E8BF2F3">
        <w:rPr>
          <w:noProof/>
        </w:rPr>
        <w:t>2</w:t>
      </w:r>
      <w:r w:rsidR="00B345B4">
        <w:rPr>
          <w:noProof/>
        </w:rPr>
        <w:t xml:space="preserve">, and </w:t>
      </w:r>
      <w:r w:rsidR="00AE0F83">
        <w:rPr>
          <w:noProof/>
        </w:rPr>
        <w:t>platform operators</w:t>
      </w:r>
      <w:r w:rsidR="00406C99">
        <w:rPr>
          <w:noProof/>
        </w:rPr>
        <w:t xml:space="preserve"> of any size</w:t>
      </w:r>
      <w:r w:rsidR="00AE0F83">
        <w:rPr>
          <w:noProof/>
        </w:rPr>
        <w:t>.</w:t>
      </w:r>
    </w:p>
    <w:p w14:paraId="451D35EC" w14:textId="5E7F5B9F" w:rsidR="00355920" w:rsidRDefault="00355920" w:rsidP="00B95D88">
      <w:pPr>
        <w:rPr>
          <w:noProof/>
        </w:rPr>
      </w:pPr>
      <w:r>
        <w:rPr>
          <w:noProof/>
        </w:rPr>
        <w:t>MNE groups within the scope of the Pillar 2 Directive (</w:t>
      </w:r>
      <w:r w:rsidR="00AE0F83">
        <w:rPr>
          <w:noProof/>
        </w:rPr>
        <w:t xml:space="preserve">consolidated </w:t>
      </w:r>
      <w:r w:rsidR="002A4D3C">
        <w:rPr>
          <w:noProof/>
        </w:rPr>
        <w:t xml:space="preserve">annual </w:t>
      </w:r>
      <w:r>
        <w:rPr>
          <w:noProof/>
        </w:rPr>
        <w:t>revenue</w:t>
      </w:r>
      <w:r w:rsidR="00AE0F83">
        <w:rPr>
          <w:noProof/>
        </w:rPr>
        <w:t>s</w:t>
      </w:r>
      <w:r>
        <w:rPr>
          <w:noProof/>
        </w:rPr>
        <w:t xml:space="preserve"> </w:t>
      </w:r>
      <w:r w:rsidR="00AE0F83">
        <w:rPr>
          <w:noProof/>
        </w:rPr>
        <w:t xml:space="preserve">of at least EUR </w:t>
      </w:r>
      <w:r>
        <w:rPr>
          <w:noProof/>
        </w:rPr>
        <w:t>750</w:t>
      </w:r>
      <w:r w:rsidR="00AE0F83">
        <w:rPr>
          <w:noProof/>
        </w:rPr>
        <w:t xml:space="preserve"> </w:t>
      </w:r>
      <w:r>
        <w:rPr>
          <w:noProof/>
        </w:rPr>
        <w:t>m</w:t>
      </w:r>
      <w:r w:rsidR="00AE0F83">
        <w:rPr>
          <w:noProof/>
        </w:rPr>
        <w:t>illion</w:t>
      </w:r>
      <w:r>
        <w:rPr>
          <w:noProof/>
        </w:rPr>
        <w:t xml:space="preserve">) will no longer be </w:t>
      </w:r>
      <w:r w:rsidR="0038517A">
        <w:rPr>
          <w:noProof/>
        </w:rPr>
        <w:t>obliged</w:t>
      </w:r>
      <w:r>
        <w:rPr>
          <w:noProof/>
        </w:rPr>
        <w:t xml:space="preserve"> to report cross-border arrangements under DAC6, as risks are deemed covered by the global minimum tax rules. </w:t>
      </w:r>
      <w:r w:rsidR="00AE0F83">
        <w:rPr>
          <w:noProof/>
        </w:rPr>
        <w:t xml:space="preserve">This will directly reduce the associated compliance costs for those companies. </w:t>
      </w:r>
      <w:r w:rsidR="009139D3">
        <w:rPr>
          <w:noProof/>
        </w:rPr>
        <w:t>They will also benefit from a single notification to support the reporting requirements under DAC4/DAC9</w:t>
      </w:r>
      <w:r>
        <w:rPr>
          <w:noProof/>
        </w:rPr>
        <w:t>, filing only once per group via a common template and harmoni</w:t>
      </w:r>
      <w:r w:rsidR="00375073">
        <w:rPr>
          <w:noProof/>
        </w:rPr>
        <w:t>s</w:t>
      </w:r>
      <w:r>
        <w:rPr>
          <w:noProof/>
        </w:rPr>
        <w:t>ed deadline</w:t>
      </w:r>
      <w:r w:rsidR="00F32169">
        <w:rPr>
          <w:noProof/>
        </w:rPr>
        <w:t xml:space="preserve">, instead of </w:t>
      </w:r>
      <w:r w:rsidR="00466FB5">
        <w:rPr>
          <w:noProof/>
        </w:rPr>
        <w:t xml:space="preserve">separate </w:t>
      </w:r>
      <w:r w:rsidR="2ADA10A1">
        <w:rPr>
          <w:noProof/>
        </w:rPr>
        <w:t>notifications</w:t>
      </w:r>
      <w:r w:rsidR="00466FB5">
        <w:rPr>
          <w:noProof/>
        </w:rPr>
        <w:t xml:space="preserve"> for DAC4 and</w:t>
      </w:r>
      <w:r w:rsidR="20CAFF75">
        <w:rPr>
          <w:noProof/>
        </w:rPr>
        <w:t xml:space="preserve"> </w:t>
      </w:r>
      <w:r w:rsidR="009139D3">
        <w:rPr>
          <w:noProof/>
        </w:rPr>
        <w:t>DAC9</w:t>
      </w:r>
      <w:r w:rsidR="20CAFF75">
        <w:rPr>
          <w:noProof/>
        </w:rPr>
        <w:t xml:space="preserve"> purposes</w:t>
      </w:r>
      <w:r w:rsidR="00466FB5">
        <w:rPr>
          <w:noProof/>
        </w:rPr>
        <w:t xml:space="preserve"> by each of the </w:t>
      </w:r>
      <w:r w:rsidR="0006636A">
        <w:rPr>
          <w:noProof/>
        </w:rPr>
        <w:t xml:space="preserve">109,000 subsidiaries of </w:t>
      </w:r>
      <w:r w:rsidR="006E3B5E">
        <w:rPr>
          <w:noProof/>
        </w:rPr>
        <w:t xml:space="preserve">MNEs in scope of Pillar </w:t>
      </w:r>
      <w:r w:rsidR="225BE4FD">
        <w:rPr>
          <w:noProof/>
        </w:rPr>
        <w:t>2</w:t>
      </w:r>
      <w:r w:rsidR="006E3B5E">
        <w:rPr>
          <w:noProof/>
        </w:rPr>
        <w:t xml:space="preserve">. </w:t>
      </w:r>
    </w:p>
    <w:p w14:paraId="31A1C1D6" w14:textId="205848C0" w:rsidR="00D51564" w:rsidRPr="00DF3393" w:rsidRDefault="00D85921" w:rsidP="00B95D88">
      <w:pPr>
        <w:rPr>
          <w:noProof/>
          <w:lang w:val="en-US"/>
        </w:rPr>
      </w:pPr>
      <w:r w:rsidRPr="1599A2D9">
        <w:rPr>
          <w:noProof/>
          <w:lang w:val="en-US"/>
        </w:rPr>
        <w:t xml:space="preserve">Smaller MNE groups, i.e. those outside the scope of </w:t>
      </w:r>
      <w:r w:rsidR="5FEE891C" w:rsidRPr="1599A2D9">
        <w:rPr>
          <w:noProof/>
          <w:lang w:val="en-US"/>
        </w:rPr>
        <w:t xml:space="preserve">the </w:t>
      </w:r>
      <w:r w:rsidRPr="1599A2D9">
        <w:rPr>
          <w:noProof/>
          <w:lang w:val="en-US"/>
        </w:rPr>
        <w:t>Pillar</w:t>
      </w:r>
      <w:r w:rsidR="711131D4" w:rsidRPr="1599A2D9">
        <w:rPr>
          <w:noProof/>
          <w:lang w:val="en-US"/>
        </w:rPr>
        <w:t xml:space="preserve"> 2 Directive</w:t>
      </w:r>
      <w:r w:rsidRPr="1599A2D9">
        <w:rPr>
          <w:noProof/>
          <w:lang w:val="en-US"/>
        </w:rPr>
        <w:t>, will benefit from a reduction in the number of DAC6 disclosures</w:t>
      </w:r>
      <w:r w:rsidR="00A70072" w:rsidRPr="1599A2D9">
        <w:rPr>
          <w:noProof/>
          <w:lang w:val="en-US"/>
        </w:rPr>
        <w:t xml:space="preserve"> (about 8,300 per year)</w:t>
      </w:r>
      <w:r w:rsidRPr="1599A2D9">
        <w:rPr>
          <w:noProof/>
          <w:lang w:val="en-US"/>
        </w:rPr>
        <w:t xml:space="preserve">. Given their larger population, a significant share of the resulting compliance cost savings is expected to accrue to </w:t>
      </w:r>
      <w:r w:rsidR="00466BE8" w:rsidRPr="1599A2D9">
        <w:rPr>
          <w:noProof/>
          <w:lang w:val="en-US"/>
        </w:rPr>
        <w:t xml:space="preserve">smaller </w:t>
      </w:r>
      <w:r w:rsidR="00466BE8">
        <w:rPr>
          <w:noProof/>
        </w:rPr>
        <w:t>companies</w:t>
      </w:r>
      <w:r w:rsidRPr="1599A2D9">
        <w:rPr>
          <w:noProof/>
          <w:lang w:val="en-US"/>
        </w:rPr>
        <w:t>, including those with fewer than 50 employees.</w:t>
      </w:r>
      <w:r w:rsidR="006526BD" w:rsidRPr="1599A2D9">
        <w:rPr>
          <w:noProof/>
          <w:lang w:val="en-US"/>
        </w:rPr>
        <w:t xml:space="preserve"> </w:t>
      </w:r>
      <w:r w:rsidR="006622DA" w:rsidRPr="1599A2D9">
        <w:rPr>
          <w:noProof/>
          <w:lang w:val="en-US"/>
        </w:rPr>
        <w:t xml:space="preserve">Within the population of MNEs in Europe, </w:t>
      </w:r>
      <w:r w:rsidR="2665E2D7" w:rsidRPr="7A1472A6">
        <w:rPr>
          <w:noProof/>
          <w:lang w:val="en-US"/>
        </w:rPr>
        <w:t xml:space="preserve">companies </w:t>
      </w:r>
      <w:r w:rsidR="006622DA" w:rsidRPr="1599A2D9">
        <w:rPr>
          <w:noProof/>
          <w:lang w:val="en-US"/>
        </w:rPr>
        <w:t xml:space="preserve">with fewer than 50 employees account for nearly two thirds, meaning that a substantial proportion of the benefits </w:t>
      </w:r>
      <w:r w:rsidR="0047011C">
        <w:rPr>
          <w:noProof/>
          <w:lang w:val="en-US"/>
        </w:rPr>
        <w:t>is likely to</w:t>
      </w:r>
      <w:r w:rsidR="0047011C" w:rsidRPr="1599A2D9">
        <w:rPr>
          <w:noProof/>
          <w:lang w:val="en-US"/>
        </w:rPr>
        <w:t xml:space="preserve"> </w:t>
      </w:r>
      <w:r w:rsidR="006622DA" w:rsidRPr="1599A2D9">
        <w:rPr>
          <w:noProof/>
          <w:lang w:val="en-US"/>
        </w:rPr>
        <w:t>be concentrated among these smaller entities.</w:t>
      </w:r>
    </w:p>
    <w:p w14:paraId="15ACD983" w14:textId="78D9DCE7" w:rsidR="00355920" w:rsidRDefault="24285032" w:rsidP="00B95D88">
      <w:pPr>
        <w:rPr>
          <w:noProof/>
        </w:rPr>
      </w:pPr>
      <w:r>
        <w:rPr>
          <w:noProof/>
        </w:rPr>
        <w:t>Platform</w:t>
      </w:r>
      <w:r w:rsidR="5FCF0BFE">
        <w:rPr>
          <w:noProof/>
        </w:rPr>
        <w:t xml:space="preserve"> operator</w:t>
      </w:r>
      <w:r>
        <w:rPr>
          <w:noProof/>
        </w:rPr>
        <w:t>s</w:t>
      </w:r>
      <w:r w:rsidR="5D04CF04">
        <w:rPr>
          <w:noProof/>
        </w:rPr>
        <w:t>, both larger and smaller ones,</w:t>
      </w:r>
      <w:r>
        <w:rPr>
          <w:noProof/>
        </w:rPr>
        <w:t xml:space="preserve"> will see a reduction in reporting volumes due to increased monetary thresholds (to EUR 3</w:t>
      </w:r>
      <w:r w:rsidR="02573C8C">
        <w:rPr>
          <w:noProof/>
        </w:rPr>
        <w:t>,</w:t>
      </w:r>
      <w:r>
        <w:rPr>
          <w:noProof/>
        </w:rPr>
        <w:t>000) and the removal of the 30-transaction activity threshold for sellers of goods, eliminating the need to report low-value occasional sellers.</w:t>
      </w:r>
      <w:r w:rsidR="1172A60A">
        <w:rPr>
          <w:noProof/>
        </w:rPr>
        <w:t xml:space="preserve"> The preferred option has the potential to reduce the number of reported seller</w:t>
      </w:r>
      <w:r w:rsidR="6E48BEEE">
        <w:rPr>
          <w:noProof/>
        </w:rPr>
        <w:t>s</w:t>
      </w:r>
      <w:r w:rsidR="1172A60A">
        <w:rPr>
          <w:noProof/>
        </w:rPr>
        <w:t xml:space="preserve"> by up to </w:t>
      </w:r>
      <w:r w:rsidR="6E48BEEE">
        <w:rPr>
          <w:noProof/>
        </w:rPr>
        <w:t>11.3 million per year.</w:t>
      </w:r>
    </w:p>
    <w:p w14:paraId="2BC53823" w14:textId="65926B01" w:rsidR="00355920" w:rsidRDefault="00F46394" w:rsidP="00B95D88">
      <w:pPr>
        <w:rPr>
          <w:noProof/>
        </w:rPr>
      </w:pPr>
      <w:r>
        <w:rPr>
          <w:noProof/>
        </w:rPr>
        <w:t>Finally, t</w:t>
      </w:r>
      <w:r w:rsidR="00355920">
        <w:rPr>
          <w:noProof/>
        </w:rPr>
        <w:t xml:space="preserve">ax </w:t>
      </w:r>
      <w:r w:rsidR="002E5CD6">
        <w:rPr>
          <w:noProof/>
        </w:rPr>
        <w:t>i</w:t>
      </w:r>
      <w:r w:rsidR="00355920">
        <w:rPr>
          <w:noProof/>
        </w:rPr>
        <w:t>ntermediaries</w:t>
      </w:r>
      <w:r>
        <w:rPr>
          <w:noProof/>
        </w:rPr>
        <w:t xml:space="preserve">, e.g., </w:t>
      </w:r>
      <w:r w:rsidR="00355920">
        <w:rPr>
          <w:noProof/>
        </w:rPr>
        <w:t>advisors</w:t>
      </w:r>
      <w:r>
        <w:rPr>
          <w:noProof/>
        </w:rPr>
        <w:t xml:space="preserve"> and</w:t>
      </w:r>
      <w:r w:rsidR="00355920">
        <w:rPr>
          <w:noProof/>
        </w:rPr>
        <w:t xml:space="preserve"> accountants</w:t>
      </w:r>
      <w:r>
        <w:rPr>
          <w:noProof/>
        </w:rPr>
        <w:t>,</w:t>
      </w:r>
      <w:r w:rsidR="00355920">
        <w:rPr>
          <w:noProof/>
        </w:rPr>
        <w:t xml:space="preserve"> will benefit from the removal of Category A (generic) hallmarks </w:t>
      </w:r>
      <w:r>
        <w:rPr>
          <w:noProof/>
        </w:rPr>
        <w:t xml:space="preserve">under DAC6 </w:t>
      </w:r>
      <w:r w:rsidR="00355920">
        <w:rPr>
          <w:noProof/>
        </w:rPr>
        <w:t xml:space="preserve">and clearer guidance on the Main Benefit Test (MBT), reducing </w:t>
      </w:r>
      <w:r>
        <w:rPr>
          <w:noProof/>
        </w:rPr>
        <w:t>“</w:t>
      </w:r>
      <w:r w:rsidR="00355920">
        <w:rPr>
          <w:noProof/>
        </w:rPr>
        <w:t>defensive reporting</w:t>
      </w:r>
      <w:r>
        <w:rPr>
          <w:noProof/>
        </w:rPr>
        <w:t>”</w:t>
      </w:r>
      <w:r w:rsidR="00355920">
        <w:rPr>
          <w:noProof/>
        </w:rPr>
        <w:t xml:space="preserve"> of standard commercial transactions.</w:t>
      </w:r>
    </w:p>
    <w:p w14:paraId="273C5748" w14:textId="4D9E879B" w:rsidR="00355920" w:rsidRPr="00F92EAE" w:rsidRDefault="70B9703D" w:rsidP="00B95D88">
      <w:pPr>
        <w:rPr>
          <w:noProof/>
        </w:rPr>
      </w:pPr>
      <w:r>
        <w:rPr>
          <w:noProof/>
        </w:rPr>
        <w:t xml:space="preserve">Tax </w:t>
      </w:r>
      <w:r w:rsidR="192DFB91">
        <w:rPr>
          <w:noProof/>
        </w:rPr>
        <w:t>au</w:t>
      </w:r>
      <w:r w:rsidRPr="00355920">
        <w:rPr>
          <w:noProof/>
        </w:rPr>
        <w:t>thorities will process higher-quality data due to centralized TIN verification and more complete DAC1 exchanges, while the volume of low-value information from DAC6 and DAC7 will decrease, allowing for better-targeted risk assessments.</w:t>
      </w:r>
      <w:r w:rsidR="24CF29D4">
        <w:rPr>
          <w:noProof/>
        </w:rPr>
        <w:t xml:space="preserve"> Costs are expected to be driven primarily by the need to</w:t>
      </w:r>
      <w:r w:rsidR="24CF29D4" w:rsidDel="002A3D46">
        <w:rPr>
          <w:noProof/>
        </w:rPr>
        <w:t xml:space="preserve"> </w:t>
      </w:r>
      <w:r w:rsidR="3756CAA1">
        <w:rPr>
          <w:noProof/>
        </w:rPr>
        <w:t>adjust</w:t>
      </w:r>
      <w:r w:rsidR="24CF29D4">
        <w:rPr>
          <w:noProof/>
        </w:rPr>
        <w:t xml:space="preserve"> IT systems and data-sharing arrangements in order to access and exchange information held by a broader set of public authorities. The magnitude of these costs will depend on the existing level of digitalisation and interoperability of public sector databases in each Member State. In more advanced systems, where data is already centrally accessible, the required adjustments may be relatively limited. By contrast, Member States with more fragmented data infrastructures may face higher initial investment costs related to system integration, data standardisation</w:t>
      </w:r>
      <w:r w:rsidR="24CF29D4" w:rsidRPr="0073216E">
        <w:rPr>
          <w:noProof/>
        </w:rPr>
        <w:t xml:space="preserve"> and governance frameworks. Evidence from national assessments, such as in Sweden</w:t>
      </w:r>
      <w:r w:rsidR="21180C24">
        <w:rPr>
          <w:noProof/>
        </w:rPr>
        <w:t xml:space="preserve"> </w:t>
      </w:r>
      <w:r w:rsidR="00FC743D">
        <w:rPr>
          <w:rStyle w:val="FootnoteReference"/>
          <w:noProof/>
        </w:rPr>
        <w:footnoteReference w:id="78"/>
      </w:r>
      <w:r w:rsidR="24CF29D4" w:rsidRPr="0073216E">
        <w:rPr>
          <w:noProof/>
        </w:rPr>
        <w:t>, suggests that while such reforms may entail upfront IT development and coordination costs, they can also lead to efficiency gains over time through improved data quality, reduced manual processing and more effective risk analysis.</w:t>
      </w:r>
    </w:p>
    <w:p w14:paraId="408AA720" w14:textId="51FD4451" w:rsidR="00B95D88" w:rsidRPr="00F92EAE" w:rsidRDefault="00B95D88" w:rsidP="0059106A">
      <w:pPr>
        <w:pStyle w:val="Heading1"/>
        <w:numPr>
          <w:ilvl w:val="0"/>
          <w:numId w:val="31"/>
        </w:numPr>
        <w:rPr>
          <w:noProof/>
        </w:rPr>
      </w:pPr>
      <w:bookmarkStart w:id="65" w:name="_Toc195101108"/>
      <w:bookmarkStart w:id="66" w:name="_Toc231816735"/>
      <w:r>
        <w:rPr>
          <w:noProof/>
        </w:rPr>
        <w:t>Summary of costs and benefits</w:t>
      </w:r>
      <w:bookmarkEnd w:id="65"/>
      <w:bookmarkEnd w:id="66"/>
    </w:p>
    <w:tbl>
      <w:tblPr>
        <w:tblStyle w:val="CV12"/>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4043"/>
        <w:gridCol w:w="3651"/>
      </w:tblGrid>
      <w:tr w:rsidR="00B95D88" w:rsidRPr="00F92EAE" w14:paraId="285109A1" w14:textId="77777777" w:rsidTr="4321A1A3">
        <w:tc>
          <w:tcPr>
            <w:tcW w:w="10206" w:type="dxa"/>
            <w:gridSpan w:val="3"/>
            <w:tcBorders>
              <w:top w:val="double" w:sz="4" w:space="0" w:color="auto"/>
              <w:bottom w:val="single" w:sz="4" w:space="0" w:color="auto"/>
            </w:tcBorders>
            <w:shd w:val="clear" w:color="auto" w:fill="C6D9F1" w:themeFill="text2" w:themeFillTint="33"/>
          </w:tcPr>
          <w:p w14:paraId="34331FA0" w14:textId="77777777" w:rsidR="00B95D88" w:rsidRPr="00F92EAE" w:rsidRDefault="00B95D88" w:rsidP="1599A2D9">
            <w:pPr>
              <w:spacing w:after="0"/>
              <w:rPr>
                <w:b/>
                <w:bCs/>
                <w:noProof/>
                <w:sz w:val="20"/>
                <w:szCs w:val="20"/>
              </w:rPr>
            </w:pPr>
            <w:r w:rsidRPr="1599A2D9">
              <w:rPr>
                <w:b/>
                <w:bCs/>
                <w:noProof/>
                <w:sz w:val="20"/>
                <w:szCs w:val="20"/>
              </w:rPr>
              <w:t>I. Overview of Benefits (total for all provisions) – Preferred Option</w:t>
            </w:r>
          </w:p>
        </w:tc>
      </w:tr>
      <w:tr w:rsidR="001D47A2" w:rsidRPr="00F92EAE" w14:paraId="114FAFAC" w14:textId="77777777" w:rsidTr="4321A1A3">
        <w:tc>
          <w:tcPr>
            <w:tcW w:w="2512" w:type="dxa"/>
            <w:tcBorders>
              <w:top w:val="single" w:sz="4" w:space="0" w:color="auto"/>
            </w:tcBorders>
            <w:shd w:val="clear" w:color="auto" w:fill="C6D9F1" w:themeFill="text2" w:themeFillTint="33"/>
          </w:tcPr>
          <w:p w14:paraId="47EB2A6C" w14:textId="77777777" w:rsidR="00B95D88" w:rsidRPr="00F92EAE" w:rsidRDefault="00B95D88" w:rsidP="1599A2D9">
            <w:pPr>
              <w:spacing w:after="0"/>
              <w:jc w:val="center"/>
              <w:rPr>
                <w:b/>
                <w:bCs/>
                <w:i/>
                <w:iCs/>
                <w:noProof/>
                <w:sz w:val="20"/>
                <w:szCs w:val="20"/>
              </w:rPr>
            </w:pPr>
            <w:r w:rsidRPr="1599A2D9">
              <w:rPr>
                <w:b/>
                <w:bCs/>
                <w:i/>
                <w:iCs/>
                <w:noProof/>
                <w:sz w:val="20"/>
                <w:szCs w:val="20"/>
              </w:rPr>
              <w:t>Description</w:t>
            </w:r>
          </w:p>
        </w:tc>
        <w:tc>
          <w:tcPr>
            <w:tcW w:w="4043" w:type="dxa"/>
            <w:tcBorders>
              <w:top w:val="single" w:sz="4" w:space="0" w:color="auto"/>
            </w:tcBorders>
            <w:shd w:val="clear" w:color="auto" w:fill="C6D9F1" w:themeFill="text2" w:themeFillTint="33"/>
          </w:tcPr>
          <w:p w14:paraId="23C74F45" w14:textId="77777777" w:rsidR="00B95D88" w:rsidRPr="00F92EAE" w:rsidRDefault="00B95D88" w:rsidP="1599A2D9">
            <w:pPr>
              <w:spacing w:after="0"/>
              <w:jc w:val="center"/>
              <w:rPr>
                <w:b/>
                <w:bCs/>
                <w:i/>
                <w:iCs/>
                <w:noProof/>
                <w:sz w:val="20"/>
                <w:szCs w:val="20"/>
              </w:rPr>
            </w:pPr>
            <w:r w:rsidRPr="1599A2D9">
              <w:rPr>
                <w:b/>
                <w:bCs/>
                <w:i/>
                <w:iCs/>
                <w:noProof/>
                <w:sz w:val="20"/>
                <w:szCs w:val="20"/>
              </w:rPr>
              <w:t>Amount</w:t>
            </w:r>
          </w:p>
        </w:tc>
        <w:tc>
          <w:tcPr>
            <w:tcW w:w="3651" w:type="dxa"/>
            <w:tcBorders>
              <w:top w:val="single" w:sz="4" w:space="0" w:color="auto"/>
            </w:tcBorders>
            <w:shd w:val="clear" w:color="auto" w:fill="C6D9F1" w:themeFill="text2" w:themeFillTint="33"/>
            <w:tcMar>
              <w:top w:w="57" w:type="dxa"/>
              <w:left w:w="57" w:type="dxa"/>
              <w:bottom w:w="57" w:type="dxa"/>
              <w:right w:w="57" w:type="dxa"/>
            </w:tcMar>
          </w:tcPr>
          <w:p w14:paraId="3038E255" w14:textId="77777777" w:rsidR="00B95D88" w:rsidRPr="00F92EAE" w:rsidRDefault="00B95D88" w:rsidP="1599A2D9">
            <w:pPr>
              <w:spacing w:after="0"/>
              <w:jc w:val="center"/>
              <w:rPr>
                <w:b/>
                <w:bCs/>
                <w:i/>
                <w:iCs/>
                <w:noProof/>
                <w:sz w:val="20"/>
                <w:szCs w:val="20"/>
              </w:rPr>
            </w:pPr>
            <w:r w:rsidRPr="1599A2D9">
              <w:rPr>
                <w:b/>
                <w:bCs/>
                <w:i/>
                <w:iCs/>
                <w:noProof/>
                <w:sz w:val="20"/>
                <w:szCs w:val="20"/>
              </w:rPr>
              <w:t>Comments</w:t>
            </w:r>
          </w:p>
        </w:tc>
      </w:tr>
      <w:tr w:rsidR="00B95D88" w:rsidRPr="00F92EAE" w14:paraId="2C4C5AE0" w14:textId="77777777" w:rsidTr="4321A1A3">
        <w:tc>
          <w:tcPr>
            <w:tcW w:w="10206" w:type="dxa"/>
            <w:gridSpan w:val="3"/>
            <w:tcBorders>
              <w:top w:val="double" w:sz="4" w:space="0" w:color="auto"/>
            </w:tcBorders>
            <w:shd w:val="clear" w:color="auto" w:fill="F2F2F2" w:themeFill="background1" w:themeFillShade="F2"/>
          </w:tcPr>
          <w:p w14:paraId="39131654" w14:textId="77777777" w:rsidR="00B95D88" w:rsidRPr="00F92EAE" w:rsidRDefault="00B95D88" w:rsidP="1599A2D9">
            <w:pPr>
              <w:spacing w:after="0"/>
              <w:jc w:val="center"/>
              <w:rPr>
                <w:b/>
                <w:bCs/>
                <w:i/>
                <w:iCs/>
                <w:noProof/>
                <w:sz w:val="20"/>
                <w:szCs w:val="20"/>
              </w:rPr>
            </w:pPr>
            <w:r w:rsidRPr="1599A2D9">
              <w:rPr>
                <w:b/>
                <w:bCs/>
                <w:i/>
                <w:iCs/>
                <w:noProof/>
                <w:sz w:val="20"/>
                <w:szCs w:val="20"/>
              </w:rPr>
              <w:t>Direct benefits</w:t>
            </w:r>
          </w:p>
        </w:tc>
      </w:tr>
      <w:tr w:rsidR="00481996" w:rsidRPr="00F92EAE" w14:paraId="4C6F975D" w14:textId="77777777" w:rsidTr="4321A1A3">
        <w:tc>
          <w:tcPr>
            <w:tcW w:w="2512" w:type="dxa"/>
            <w:tcBorders>
              <w:top w:val="double" w:sz="4" w:space="0" w:color="auto"/>
            </w:tcBorders>
          </w:tcPr>
          <w:p w14:paraId="42A1535A" w14:textId="152F7C69" w:rsidR="00481996" w:rsidRPr="00F92EAE" w:rsidRDefault="00481996" w:rsidP="00481996">
            <w:pPr>
              <w:spacing w:after="0"/>
              <w:rPr>
                <w:noProof/>
                <w:sz w:val="20"/>
              </w:rPr>
            </w:pPr>
            <w:r w:rsidRPr="00F92EAE">
              <w:rPr>
                <w:noProof/>
                <w:sz w:val="20"/>
              </w:rPr>
              <w:t>Compliance cost reductions</w:t>
            </w:r>
            <w:r>
              <w:rPr>
                <w:noProof/>
                <w:sz w:val="20"/>
              </w:rPr>
              <w:t xml:space="preserve"> from DAC6</w:t>
            </w:r>
          </w:p>
        </w:tc>
        <w:tc>
          <w:tcPr>
            <w:tcW w:w="4043" w:type="dxa"/>
            <w:tcBorders>
              <w:top w:val="double" w:sz="4" w:space="0" w:color="auto"/>
            </w:tcBorders>
            <w:tcMar>
              <w:top w:w="57" w:type="dxa"/>
              <w:left w:w="57" w:type="dxa"/>
              <w:bottom w:w="57" w:type="dxa"/>
              <w:right w:w="57" w:type="dxa"/>
            </w:tcMar>
          </w:tcPr>
          <w:p w14:paraId="69A0D6CE" w14:textId="77777777" w:rsidR="00481996" w:rsidRDefault="00481996" w:rsidP="00481996">
            <w:pPr>
              <w:spacing w:after="0"/>
              <w:rPr>
                <w:noProof/>
                <w:sz w:val="20"/>
              </w:rPr>
            </w:pPr>
            <w:r>
              <w:rPr>
                <w:noProof/>
                <w:sz w:val="20"/>
              </w:rPr>
              <w:t>EUR 300 million/year for large MNEs</w:t>
            </w:r>
          </w:p>
          <w:p w14:paraId="5A5D9971" w14:textId="77777777" w:rsidR="00481996" w:rsidRDefault="00481996" w:rsidP="00481996">
            <w:pPr>
              <w:spacing w:after="0"/>
              <w:rPr>
                <w:noProof/>
                <w:sz w:val="20"/>
              </w:rPr>
            </w:pPr>
            <w:r>
              <w:rPr>
                <w:noProof/>
                <w:sz w:val="20"/>
              </w:rPr>
              <w:t>EUR 41.4 million/year for other MNEs</w:t>
            </w:r>
          </w:p>
          <w:p w14:paraId="420783C1" w14:textId="53D46083" w:rsidR="00481996" w:rsidRPr="0003290E" w:rsidRDefault="00481996" w:rsidP="00481996">
            <w:pPr>
              <w:spacing w:after="0"/>
              <w:rPr>
                <w:b/>
                <w:bCs/>
                <w:noProof/>
                <w:sz w:val="20"/>
              </w:rPr>
            </w:pPr>
            <w:r>
              <w:rPr>
                <w:noProof/>
                <w:sz w:val="20"/>
              </w:rPr>
              <w:t xml:space="preserve">                                                                                                                                                                                                                                                                                                                                                                                                                                                                                                                                                                                       </w:t>
            </w:r>
          </w:p>
        </w:tc>
        <w:tc>
          <w:tcPr>
            <w:tcW w:w="3651" w:type="dxa"/>
            <w:tcBorders>
              <w:top w:val="double" w:sz="4" w:space="0" w:color="auto"/>
            </w:tcBorders>
            <w:tcMar>
              <w:top w:w="57" w:type="dxa"/>
              <w:left w:w="57" w:type="dxa"/>
              <w:bottom w:w="57" w:type="dxa"/>
              <w:right w:w="57" w:type="dxa"/>
            </w:tcMar>
          </w:tcPr>
          <w:p w14:paraId="355657B5" w14:textId="2BA74C09" w:rsidR="00481996" w:rsidRDefault="16DC35CD" w:rsidP="4321A1A3">
            <w:pPr>
              <w:spacing w:after="0"/>
              <w:rPr>
                <w:noProof/>
                <w:sz w:val="20"/>
                <w:szCs w:val="20"/>
              </w:rPr>
            </w:pPr>
            <w:r w:rsidRPr="4321A1A3">
              <w:rPr>
                <w:noProof/>
                <w:sz w:val="20"/>
                <w:szCs w:val="20"/>
              </w:rPr>
              <w:t xml:space="preserve">Large MNEs </w:t>
            </w:r>
            <w:r w:rsidR="03F38DF3" w:rsidRPr="4321A1A3">
              <w:rPr>
                <w:noProof/>
                <w:sz w:val="20"/>
                <w:szCs w:val="20"/>
              </w:rPr>
              <w:t xml:space="preserve">are those </w:t>
            </w:r>
            <w:r w:rsidRPr="4321A1A3">
              <w:rPr>
                <w:noProof/>
                <w:sz w:val="20"/>
                <w:szCs w:val="20"/>
              </w:rPr>
              <w:t>within the scope of Pillar 2</w:t>
            </w:r>
            <w:r w:rsidR="03F38DF3" w:rsidRPr="4321A1A3">
              <w:rPr>
                <w:noProof/>
                <w:sz w:val="20"/>
                <w:szCs w:val="20"/>
              </w:rPr>
              <w:t>.</w:t>
            </w:r>
            <w:r w:rsidR="3E152CBE" w:rsidRPr="4321A1A3">
              <w:rPr>
                <w:noProof/>
                <w:sz w:val="20"/>
                <w:szCs w:val="20"/>
              </w:rPr>
              <w:t xml:space="preserve"> “Other MNEs” are those outside of the scope of Pillar 2.</w:t>
            </w:r>
          </w:p>
        </w:tc>
      </w:tr>
      <w:tr w:rsidR="00481996" w:rsidRPr="00F92EAE" w14:paraId="53B3E868" w14:textId="77777777" w:rsidTr="4321A1A3">
        <w:tc>
          <w:tcPr>
            <w:tcW w:w="2512" w:type="dxa"/>
            <w:tcBorders>
              <w:top w:val="double" w:sz="4" w:space="0" w:color="auto"/>
            </w:tcBorders>
          </w:tcPr>
          <w:p w14:paraId="106B70C0" w14:textId="4C7946E7" w:rsidR="00481996" w:rsidRPr="00F92EAE" w:rsidRDefault="00481996" w:rsidP="00481996">
            <w:pPr>
              <w:spacing w:after="0"/>
              <w:rPr>
                <w:noProof/>
                <w:sz w:val="20"/>
              </w:rPr>
            </w:pPr>
            <w:r w:rsidRPr="00F92EAE">
              <w:rPr>
                <w:noProof/>
                <w:sz w:val="20"/>
              </w:rPr>
              <w:t>Compliance cost reductions</w:t>
            </w:r>
            <w:r>
              <w:rPr>
                <w:noProof/>
                <w:sz w:val="20"/>
              </w:rPr>
              <w:t xml:space="preserve"> from DAC7</w:t>
            </w:r>
          </w:p>
        </w:tc>
        <w:tc>
          <w:tcPr>
            <w:tcW w:w="4043" w:type="dxa"/>
            <w:tcBorders>
              <w:top w:val="double" w:sz="4" w:space="0" w:color="auto"/>
            </w:tcBorders>
            <w:tcMar>
              <w:top w:w="57" w:type="dxa"/>
              <w:left w:w="57" w:type="dxa"/>
              <w:bottom w:w="57" w:type="dxa"/>
              <w:right w:w="57" w:type="dxa"/>
            </w:tcMar>
          </w:tcPr>
          <w:p w14:paraId="04D13BBD" w14:textId="34311C82" w:rsidR="00481996" w:rsidRPr="0003290E" w:rsidRDefault="16DC35CD" w:rsidP="4321A1A3">
            <w:pPr>
              <w:spacing w:after="0"/>
              <w:rPr>
                <w:b/>
                <w:bCs/>
                <w:noProof/>
                <w:sz w:val="20"/>
                <w:szCs w:val="20"/>
              </w:rPr>
            </w:pPr>
            <w:r w:rsidRPr="4321A1A3">
              <w:rPr>
                <w:noProof/>
                <w:sz w:val="20"/>
                <w:szCs w:val="20"/>
              </w:rPr>
              <w:t>From EUR 452 million to EUR 904 million for digital platform</w:t>
            </w:r>
            <w:r w:rsidR="3877BF74" w:rsidRPr="4321A1A3">
              <w:rPr>
                <w:noProof/>
                <w:sz w:val="20"/>
                <w:szCs w:val="20"/>
              </w:rPr>
              <w:t>s</w:t>
            </w:r>
            <w:r w:rsidRPr="4321A1A3">
              <w:rPr>
                <w:noProof/>
                <w:sz w:val="20"/>
                <w:szCs w:val="20"/>
              </w:rPr>
              <w:t xml:space="preserve"> </w:t>
            </w:r>
          </w:p>
        </w:tc>
        <w:tc>
          <w:tcPr>
            <w:tcW w:w="3651" w:type="dxa"/>
            <w:tcBorders>
              <w:top w:val="double" w:sz="4" w:space="0" w:color="auto"/>
            </w:tcBorders>
            <w:tcMar>
              <w:top w:w="57" w:type="dxa"/>
              <w:left w:w="57" w:type="dxa"/>
              <w:bottom w:w="57" w:type="dxa"/>
              <w:right w:w="57" w:type="dxa"/>
            </w:tcMar>
          </w:tcPr>
          <w:p w14:paraId="69ED67CC" w14:textId="094B2015" w:rsidR="00481996" w:rsidRDefault="00481996" w:rsidP="00481996">
            <w:pPr>
              <w:spacing w:after="0"/>
              <w:rPr>
                <w:noProof/>
                <w:sz w:val="20"/>
              </w:rPr>
            </w:pPr>
            <w:r>
              <w:rPr>
                <w:noProof/>
                <w:sz w:val="20"/>
              </w:rPr>
              <w:t>Estimated EU</w:t>
            </w:r>
            <w:r w:rsidR="001868CB">
              <w:rPr>
                <w:noProof/>
                <w:sz w:val="20"/>
              </w:rPr>
              <w:t xml:space="preserve">-wide savings </w:t>
            </w:r>
            <w:r>
              <w:rPr>
                <w:noProof/>
                <w:sz w:val="20"/>
              </w:rPr>
              <w:t>for DAC7 compliance costs</w:t>
            </w:r>
            <w:r w:rsidR="00382E66">
              <w:rPr>
                <w:noProof/>
                <w:sz w:val="20"/>
              </w:rPr>
              <w:t xml:space="preserve">, based on </w:t>
            </w:r>
            <w:r w:rsidR="00ED2F57">
              <w:rPr>
                <w:noProof/>
                <w:sz w:val="20"/>
              </w:rPr>
              <w:t xml:space="preserve">a range of </w:t>
            </w:r>
            <w:r w:rsidR="00DF21D0">
              <w:rPr>
                <w:noProof/>
                <w:sz w:val="20"/>
              </w:rPr>
              <w:t>costs</w:t>
            </w:r>
            <w:r>
              <w:rPr>
                <w:noProof/>
                <w:sz w:val="20"/>
              </w:rPr>
              <w:t xml:space="preserve"> per reported seller from EUR 40 to EUR 80</w:t>
            </w:r>
            <w:r w:rsidR="00925031">
              <w:rPr>
                <w:noProof/>
                <w:sz w:val="20"/>
              </w:rPr>
              <w:t>.</w:t>
            </w:r>
          </w:p>
        </w:tc>
      </w:tr>
      <w:tr w:rsidR="00A8510C" w:rsidRPr="00F92EAE" w14:paraId="7B084C63" w14:textId="77777777" w:rsidTr="4321A1A3">
        <w:tc>
          <w:tcPr>
            <w:tcW w:w="2512" w:type="dxa"/>
            <w:tcBorders>
              <w:top w:val="double" w:sz="4" w:space="0" w:color="auto"/>
            </w:tcBorders>
          </w:tcPr>
          <w:p w14:paraId="536235B3" w14:textId="49EC51D5" w:rsidR="00A8510C" w:rsidRPr="00F92EAE" w:rsidRDefault="00A8510C" w:rsidP="00A8510C">
            <w:pPr>
              <w:spacing w:after="0"/>
              <w:rPr>
                <w:noProof/>
                <w:sz w:val="20"/>
              </w:rPr>
            </w:pPr>
            <w:r w:rsidRPr="00F92EAE">
              <w:rPr>
                <w:noProof/>
                <w:sz w:val="20"/>
              </w:rPr>
              <w:t>Compliance cost reductions</w:t>
            </w:r>
            <w:r>
              <w:rPr>
                <w:noProof/>
                <w:sz w:val="20"/>
              </w:rPr>
              <w:t xml:space="preserve"> from DAC4/</w:t>
            </w:r>
            <w:r w:rsidR="009139D3">
              <w:rPr>
                <w:noProof/>
                <w:sz w:val="20"/>
              </w:rPr>
              <w:t>DAC9</w:t>
            </w:r>
          </w:p>
        </w:tc>
        <w:tc>
          <w:tcPr>
            <w:tcW w:w="4043" w:type="dxa"/>
            <w:tcBorders>
              <w:top w:val="double" w:sz="4" w:space="0" w:color="auto"/>
            </w:tcBorders>
            <w:tcMar>
              <w:top w:w="57" w:type="dxa"/>
              <w:left w:w="57" w:type="dxa"/>
              <w:bottom w:w="57" w:type="dxa"/>
              <w:right w:w="57" w:type="dxa"/>
            </w:tcMar>
          </w:tcPr>
          <w:p w14:paraId="79B2E58C" w14:textId="3D8279F6" w:rsidR="00A8510C" w:rsidRPr="0003290E" w:rsidRDefault="00A8510C" w:rsidP="00A8510C">
            <w:pPr>
              <w:spacing w:after="0"/>
              <w:rPr>
                <w:b/>
                <w:bCs/>
                <w:noProof/>
                <w:sz w:val="20"/>
              </w:rPr>
            </w:pPr>
            <w:r>
              <w:rPr>
                <w:noProof/>
                <w:sz w:val="20"/>
              </w:rPr>
              <w:t>EUR 264 million/year for large MNEs</w:t>
            </w:r>
          </w:p>
        </w:tc>
        <w:tc>
          <w:tcPr>
            <w:tcW w:w="3651" w:type="dxa"/>
            <w:tcBorders>
              <w:top w:val="double" w:sz="4" w:space="0" w:color="auto"/>
            </w:tcBorders>
            <w:tcMar>
              <w:top w:w="57" w:type="dxa"/>
              <w:left w:w="57" w:type="dxa"/>
              <w:bottom w:w="57" w:type="dxa"/>
              <w:right w:w="57" w:type="dxa"/>
            </w:tcMar>
          </w:tcPr>
          <w:p w14:paraId="5F1D1DAD" w14:textId="33450AF3" w:rsidR="00A8510C" w:rsidRDefault="00A8510C" w:rsidP="00A8510C">
            <w:pPr>
              <w:spacing w:after="0"/>
              <w:rPr>
                <w:noProof/>
                <w:sz w:val="20"/>
              </w:rPr>
            </w:pPr>
            <w:r>
              <w:rPr>
                <w:noProof/>
                <w:sz w:val="20"/>
              </w:rPr>
              <w:t xml:space="preserve">Large MNEs are those within the scope of </w:t>
            </w:r>
            <w:r w:rsidR="009139D3">
              <w:rPr>
                <w:noProof/>
                <w:sz w:val="20"/>
              </w:rPr>
              <w:t>DAC9</w:t>
            </w:r>
            <w:r w:rsidR="007411CC">
              <w:rPr>
                <w:noProof/>
                <w:sz w:val="20"/>
              </w:rPr>
              <w:t xml:space="preserve"> reporting</w:t>
            </w:r>
            <w:r>
              <w:rPr>
                <w:noProof/>
                <w:sz w:val="20"/>
              </w:rPr>
              <w:t>.</w:t>
            </w:r>
          </w:p>
        </w:tc>
      </w:tr>
      <w:tr w:rsidR="00DB7725" w:rsidRPr="00F92EAE" w14:paraId="2253A971" w14:textId="77777777" w:rsidTr="4321A1A3">
        <w:tc>
          <w:tcPr>
            <w:tcW w:w="2512" w:type="dxa"/>
            <w:tcBorders>
              <w:top w:val="double" w:sz="4" w:space="0" w:color="auto"/>
            </w:tcBorders>
          </w:tcPr>
          <w:p w14:paraId="15C628C8" w14:textId="4DD81D43" w:rsidR="00DB7725" w:rsidRPr="00F92EAE" w:rsidRDefault="00DB7725" w:rsidP="00DB7725">
            <w:pPr>
              <w:spacing w:after="0"/>
              <w:rPr>
                <w:noProof/>
                <w:sz w:val="20"/>
              </w:rPr>
            </w:pPr>
            <w:r>
              <w:rPr>
                <w:noProof/>
                <w:sz w:val="20"/>
              </w:rPr>
              <w:t>Compliance cost reduction for the overall DAC framework</w:t>
            </w:r>
          </w:p>
        </w:tc>
        <w:tc>
          <w:tcPr>
            <w:tcW w:w="4043" w:type="dxa"/>
            <w:tcBorders>
              <w:top w:val="double" w:sz="4" w:space="0" w:color="auto"/>
            </w:tcBorders>
            <w:tcMar>
              <w:top w:w="57" w:type="dxa"/>
              <w:left w:w="57" w:type="dxa"/>
              <w:bottom w:w="57" w:type="dxa"/>
              <w:right w:w="57" w:type="dxa"/>
            </w:tcMar>
          </w:tcPr>
          <w:p w14:paraId="6E173029" w14:textId="4AEDDD65" w:rsidR="00DB7725" w:rsidRPr="0003290E" w:rsidRDefault="00DB7725" w:rsidP="00DB7725">
            <w:pPr>
              <w:spacing w:after="0"/>
              <w:rPr>
                <w:b/>
                <w:bCs/>
                <w:noProof/>
                <w:sz w:val="20"/>
              </w:rPr>
            </w:pPr>
            <w:r>
              <w:rPr>
                <w:noProof/>
                <w:sz w:val="20"/>
              </w:rPr>
              <w:t xml:space="preserve">Quantification is not available </w:t>
            </w:r>
          </w:p>
        </w:tc>
        <w:tc>
          <w:tcPr>
            <w:tcW w:w="3651" w:type="dxa"/>
            <w:tcBorders>
              <w:top w:val="double" w:sz="4" w:space="0" w:color="auto"/>
            </w:tcBorders>
            <w:tcMar>
              <w:top w:w="57" w:type="dxa"/>
              <w:left w:w="57" w:type="dxa"/>
              <w:bottom w:w="57" w:type="dxa"/>
              <w:right w:w="57" w:type="dxa"/>
            </w:tcMar>
          </w:tcPr>
          <w:p w14:paraId="0A9F74E2" w14:textId="7BB0A43B" w:rsidR="00DB7725" w:rsidRDefault="00DB7725" w:rsidP="00DB7725">
            <w:pPr>
              <w:spacing w:after="0"/>
              <w:rPr>
                <w:noProof/>
                <w:sz w:val="20"/>
              </w:rPr>
            </w:pPr>
            <w:r>
              <w:rPr>
                <w:noProof/>
                <w:sz w:val="20"/>
              </w:rPr>
              <w:t>Recast of Directive 2011/16/EU to reduce complexity and strengthen legal certainty</w:t>
            </w:r>
            <w:r w:rsidR="00913558">
              <w:rPr>
                <w:noProof/>
                <w:sz w:val="20"/>
              </w:rPr>
              <w:t>.</w:t>
            </w:r>
          </w:p>
        </w:tc>
      </w:tr>
      <w:tr w:rsidR="00DB7725" w:rsidRPr="00F92EAE" w14:paraId="0728BDFA" w14:textId="77777777" w:rsidTr="4321A1A3">
        <w:tc>
          <w:tcPr>
            <w:tcW w:w="2512" w:type="dxa"/>
            <w:tcBorders>
              <w:top w:val="double" w:sz="4" w:space="0" w:color="auto"/>
            </w:tcBorders>
          </w:tcPr>
          <w:p w14:paraId="676DD297" w14:textId="4CDC0004" w:rsidR="00DB7725" w:rsidRPr="00F92EAE" w:rsidRDefault="00DB7725" w:rsidP="00DB7725">
            <w:pPr>
              <w:spacing w:after="0"/>
              <w:rPr>
                <w:noProof/>
                <w:sz w:val="20"/>
              </w:rPr>
            </w:pPr>
            <w:r>
              <w:rPr>
                <w:noProof/>
                <w:sz w:val="20"/>
              </w:rPr>
              <w:t>Regulatory cost reduction</w:t>
            </w:r>
          </w:p>
        </w:tc>
        <w:tc>
          <w:tcPr>
            <w:tcW w:w="4043" w:type="dxa"/>
            <w:tcBorders>
              <w:top w:val="double" w:sz="4" w:space="0" w:color="auto"/>
            </w:tcBorders>
            <w:tcMar>
              <w:top w:w="57" w:type="dxa"/>
              <w:left w:w="57" w:type="dxa"/>
              <w:bottom w:w="57" w:type="dxa"/>
              <w:right w:w="57" w:type="dxa"/>
            </w:tcMar>
          </w:tcPr>
          <w:p w14:paraId="7B34C690" w14:textId="39A3FBBE" w:rsidR="00DB7725" w:rsidRPr="0003290E" w:rsidRDefault="00DB7725" w:rsidP="00DB7725">
            <w:pPr>
              <w:spacing w:after="0"/>
              <w:rPr>
                <w:b/>
                <w:noProof/>
                <w:sz w:val="20"/>
                <w:szCs w:val="20"/>
              </w:rPr>
            </w:pPr>
            <w:r>
              <w:rPr>
                <w:noProof/>
                <w:sz w:val="20"/>
              </w:rPr>
              <w:t xml:space="preserve">Quantification is not available </w:t>
            </w:r>
          </w:p>
        </w:tc>
        <w:tc>
          <w:tcPr>
            <w:tcW w:w="3651" w:type="dxa"/>
            <w:tcBorders>
              <w:top w:val="double" w:sz="4" w:space="0" w:color="auto"/>
            </w:tcBorders>
            <w:tcMar>
              <w:top w:w="57" w:type="dxa"/>
              <w:left w:w="57" w:type="dxa"/>
              <w:bottom w:w="57" w:type="dxa"/>
              <w:right w:w="57" w:type="dxa"/>
            </w:tcMar>
          </w:tcPr>
          <w:p w14:paraId="32B28F1B" w14:textId="0FABB783" w:rsidR="00DB7725" w:rsidRDefault="00DB7725" w:rsidP="00DB7725">
            <w:pPr>
              <w:spacing w:after="0"/>
              <w:rPr>
                <w:noProof/>
                <w:sz w:val="20"/>
                <w:szCs w:val="20"/>
              </w:rPr>
            </w:pPr>
            <w:r w:rsidRPr="52C805FE">
              <w:rPr>
                <w:noProof/>
                <w:sz w:val="20"/>
                <w:szCs w:val="20"/>
              </w:rPr>
              <w:t>For tax authorities dealing with a reduced number of disclosures (DAC6</w:t>
            </w:r>
            <w:r>
              <w:rPr>
                <w:noProof/>
                <w:sz w:val="20"/>
                <w:szCs w:val="20"/>
              </w:rPr>
              <w:t xml:space="preserve">: 9,000 disclosures from A hallmarks and those filed by </w:t>
            </w:r>
            <w:r w:rsidR="5FB77719" w:rsidRPr="3ADC82A0">
              <w:rPr>
                <w:noProof/>
                <w:sz w:val="20"/>
                <w:szCs w:val="20"/>
              </w:rPr>
              <w:t xml:space="preserve">companies </w:t>
            </w:r>
            <w:r>
              <w:rPr>
                <w:noProof/>
                <w:sz w:val="20"/>
                <w:szCs w:val="20"/>
              </w:rPr>
              <w:t xml:space="preserve">in scope of Pillar </w:t>
            </w:r>
            <w:r w:rsidR="6890DAA8" w:rsidRPr="3ADC82A0">
              <w:rPr>
                <w:noProof/>
                <w:sz w:val="20"/>
                <w:szCs w:val="20"/>
              </w:rPr>
              <w:t xml:space="preserve">2 </w:t>
            </w:r>
            <w:r>
              <w:rPr>
                <w:noProof/>
                <w:sz w:val="20"/>
                <w:szCs w:val="20"/>
              </w:rPr>
              <w:t>under other hallmarks</w:t>
            </w:r>
            <w:r w:rsidRPr="52C805FE">
              <w:rPr>
                <w:noProof/>
                <w:sz w:val="20"/>
                <w:szCs w:val="20"/>
              </w:rPr>
              <w:t>; D</w:t>
            </w:r>
            <w:r>
              <w:rPr>
                <w:noProof/>
                <w:sz w:val="20"/>
                <w:szCs w:val="20"/>
              </w:rPr>
              <w:t>AC</w:t>
            </w:r>
            <w:r w:rsidRPr="52C805FE">
              <w:rPr>
                <w:noProof/>
                <w:sz w:val="20"/>
                <w:szCs w:val="20"/>
              </w:rPr>
              <w:t>7</w:t>
            </w:r>
            <w:r>
              <w:rPr>
                <w:noProof/>
                <w:sz w:val="20"/>
                <w:szCs w:val="20"/>
              </w:rPr>
              <w:t>: up to 11.3 million reported sellers annually</w:t>
            </w:r>
            <w:r w:rsidR="00686385">
              <w:rPr>
                <w:noProof/>
                <w:sz w:val="20"/>
                <w:szCs w:val="20"/>
              </w:rPr>
              <w:t xml:space="preserve"> less</w:t>
            </w:r>
            <w:r>
              <w:rPr>
                <w:noProof/>
                <w:sz w:val="20"/>
                <w:szCs w:val="20"/>
              </w:rPr>
              <w:t>;</w:t>
            </w:r>
            <w:r w:rsidRPr="52C805FE">
              <w:rPr>
                <w:noProof/>
                <w:sz w:val="20"/>
                <w:szCs w:val="20"/>
              </w:rPr>
              <w:t xml:space="preserve"> DAC4</w:t>
            </w:r>
            <w:r>
              <w:rPr>
                <w:noProof/>
                <w:sz w:val="20"/>
                <w:szCs w:val="20"/>
              </w:rPr>
              <w:t xml:space="preserve">: 109,000 entities of MNEs in scope of </w:t>
            </w:r>
            <w:r w:rsidR="007411CC">
              <w:rPr>
                <w:noProof/>
                <w:sz w:val="20"/>
                <w:szCs w:val="20"/>
              </w:rPr>
              <w:t>DAC9</w:t>
            </w:r>
            <w:r w:rsidR="0052E424" w:rsidRPr="0518B4E3">
              <w:rPr>
                <w:noProof/>
                <w:sz w:val="20"/>
                <w:szCs w:val="20"/>
              </w:rPr>
              <w:t xml:space="preserve"> </w:t>
            </w:r>
            <w:r>
              <w:rPr>
                <w:noProof/>
                <w:sz w:val="20"/>
                <w:szCs w:val="20"/>
              </w:rPr>
              <w:t xml:space="preserve">not filing separate DAC4 and </w:t>
            </w:r>
            <w:r w:rsidR="007411CC">
              <w:rPr>
                <w:noProof/>
                <w:sz w:val="20"/>
                <w:szCs w:val="20"/>
              </w:rPr>
              <w:t>DAC9</w:t>
            </w:r>
            <w:r w:rsidR="00330B10">
              <w:rPr>
                <w:noProof/>
                <w:sz w:val="20"/>
                <w:szCs w:val="20"/>
              </w:rPr>
              <w:t xml:space="preserve"> notifications</w:t>
            </w:r>
            <w:r>
              <w:rPr>
                <w:noProof/>
                <w:sz w:val="20"/>
                <w:szCs w:val="20"/>
              </w:rPr>
              <w:t xml:space="preserve"> anymore</w:t>
            </w:r>
            <w:r w:rsidRPr="52C805FE">
              <w:rPr>
                <w:noProof/>
                <w:sz w:val="20"/>
                <w:szCs w:val="20"/>
              </w:rPr>
              <w:t>)</w:t>
            </w:r>
            <w:r>
              <w:rPr>
                <w:noProof/>
                <w:sz w:val="20"/>
                <w:szCs w:val="20"/>
              </w:rPr>
              <w:t>.</w:t>
            </w:r>
            <w:r w:rsidRPr="52C805FE">
              <w:rPr>
                <w:noProof/>
                <w:sz w:val="20"/>
                <w:szCs w:val="20"/>
              </w:rPr>
              <w:t xml:space="preserve"> </w:t>
            </w:r>
          </w:p>
        </w:tc>
      </w:tr>
      <w:tr w:rsidR="00DB7725" w:rsidRPr="00F92EAE" w14:paraId="299AFCD5" w14:textId="77777777" w:rsidTr="4321A1A3">
        <w:tc>
          <w:tcPr>
            <w:tcW w:w="2512" w:type="dxa"/>
            <w:tcBorders>
              <w:top w:val="double" w:sz="4" w:space="0" w:color="auto"/>
            </w:tcBorders>
          </w:tcPr>
          <w:p w14:paraId="0DBC9B38" w14:textId="68C519B1" w:rsidR="00DB7725" w:rsidRPr="00F92EAE" w:rsidRDefault="00DB7725" w:rsidP="00DB7725">
            <w:pPr>
              <w:spacing w:after="0"/>
              <w:rPr>
                <w:noProof/>
                <w:sz w:val="20"/>
              </w:rPr>
            </w:pPr>
            <w:r>
              <w:rPr>
                <w:noProof/>
                <w:sz w:val="20"/>
              </w:rPr>
              <w:t>Protect MS tax base (DAC1 and TIN)</w:t>
            </w:r>
          </w:p>
        </w:tc>
        <w:tc>
          <w:tcPr>
            <w:tcW w:w="4043" w:type="dxa"/>
            <w:tcBorders>
              <w:top w:val="double" w:sz="4" w:space="0" w:color="auto"/>
            </w:tcBorders>
            <w:tcMar>
              <w:top w:w="57" w:type="dxa"/>
              <w:left w:w="57" w:type="dxa"/>
              <w:bottom w:w="57" w:type="dxa"/>
              <w:right w:w="57" w:type="dxa"/>
            </w:tcMar>
          </w:tcPr>
          <w:p w14:paraId="179B609A" w14:textId="6C777969" w:rsidR="00DB7725" w:rsidRPr="0003290E" w:rsidRDefault="00DB7725" w:rsidP="00DB7725">
            <w:pPr>
              <w:spacing w:after="0"/>
              <w:rPr>
                <w:b/>
                <w:bCs/>
                <w:noProof/>
                <w:sz w:val="20"/>
              </w:rPr>
            </w:pPr>
            <w:r>
              <w:rPr>
                <w:noProof/>
                <w:sz w:val="20"/>
              </w:rPr>
              <w:t xml:space="preserve">Quantification is not available </w:t>
            </w:r>
          </w:p>
        </w:tc>
        <w:tc>
          <w:tcPr>
            <w:tcW w:w="3651" w:type="dxa"/>
            <w:tcBorders>
              <w:top w:val="double" w:sz="4" w:space="0" w:color="auto"/>
            </w:tcBorders>
            <w:tcMar>
              <w:top w:w="57" w:type="dxa"/>
              <w:left w:w="57" w:type="dxa"/>
              <w:bottom w:w="57" w:type="dxa"/>
              <w:right w:w="57" w:type="dxa"/>
            </w:tcMar>
          </w:tcPr>
          <w:p w14:paraId="3ED5C2B2" w14:textId="5F1E1827" w:rsidR="00DB7725" w:rsidRDefault="00DB7725" w:rsidP="00DB7725">
            <w:pPr>
              <w:spacing w:after="0"/>
              <w:rPr>
                <w:noProof/>
                <w:sz w:val="20"/>
              </w:rPr>
            </w:pPr>
            <w:r>
              <w:rPr>
                <w:noProof/>
                <w:sz w:val="20"/>
              </w:rPr>
              <w:t>Tax administrations will benefit from improved effectiveness of risk analysis stemming from (1) information on all six income categories (DAC1) and (2) centralised TIN verification system.</w:t>
            </w:r>
          </w:p>
        </w:tc>
      </w:tr>
      <w:tr w:rsidR="00DB7725" w:rsidRPr="00F92EAE" w14:paraId="69671E91" w14:textId="77777777" w:rsidTr="4321A1A3">
        <w:tc>
          <w:tcPr>
            <w:tcW w:w="2512" w:type="dxa"/>
            <w:tcBorders>
              <w:top w:val="double" w:sz="4" w:space="0" w:color="auto"/>
            </w:tcBorders>
          </w:tcPr>
          <w:p w14:paraId="5E8070C3" w14:textId="1F2192A1" w:rsidR="00DB7725" w:rsidRPr="00F92EAE" w:rsidRDefault="00DB7725" w:rsidP="00DB7725">
            <w:pPr>
              <w:spacing w:after="0"/>
              <w:rPr>
                <w:noProof/>
                <w:sz w:val="20"/>
              </w:rPr>
            </w:pPr>
            <w:r>
              <w:rPr>
                <w:noProof/>
                <w:sz w:val="20"/>
              </w:rPr>
              <w:t>Support EU business competitiveness trough simpler, harmonised and less burdensome DAC reporting obligations</w:t>
            </w:r>
          </w:p>
        </w:tc>
        <w:tc>
          <w:tcPr>
            <w:tcW w:w="4043" w:type="dxa"/>
            <w:tcBorders>
              <w:top w:val="double" w:sz="4" w:space="0" w:color="auto"/>
            </w:tcBorders>
            <w:tcMar>
              <w:top w:w="57" w:type="dxa"/>
              <w:left w:w="57" w:type="dxa"/>
              <w:bottom w:w="57" w:type="dxa"/>
              <w:right w:w="57" w:type="dxa"/>
            </w:tcMar>
          </w:tcPr>
          <w:p w14:paraId="0072DD5C" w14:textId="40B360BB" w:rsidR="00DB7725" w:rsidRPr="0003290E" w:rsidRDefault="00DB7725" w:rsidP="00DB7725">
            <w:pPr>
              <w:spacing w:after="0"/>
              <w:rPr>
                <w:b/>
                <w:bCs/>
                <w:noProof/>
                <w:sz w:val="20"/>
              </w:rPr>
            </w:pPr>
            <w:r>
              <w:rPr>
                <w:noProof/>
                <w:sz w:val="20"/>
              </w:rPr>
              <w:t>Quantification is not available</w:t>
            </w:r>
          </w:p>
        </w:tc>
        <w:tc>
          <w:tcPr>
            <w:tcW w:w="3651" w:type="dxa"/>
            <w:tcBorders>
              <w:top w:val="double" w:sz="4" w:space="0" w:color="auto"/>
            </w:tcBorders>
            <w:tcMar>
              <w:top w:w="57" w:type="dxa"/>
              <w:left w:w="57" w:type="dxa"/>
              <w:bottom w:w="57" w:type="dxa"/>
              <w:right w:w="57" w:type="dxa"/>
            </w:tcMar>
          </w:tcPr>
          <w:p w14:paraId="51A2B0D8" w14:textId="120AAB6D" w:rsidR="00DB7725" w:rsidRDefault="39E3BBC4" w:rsidP="1599A2D9">
            <w:pPr>
              <w:spacing w:after="0"/>
              <w:rPr>
                <w:noProof/>
                <w:sz w:val="20"/>
                <w:szCs w:val="20"/>
              </w:rPr>
            </w:pPr>
            <w:r w:rsidRPr="1599A2D9">
              <w:rPr>
                <w:noProof/>
                <w:sz w:val="20"/>
                <w:szCs w:val="20"/>
              </w:rPr>
              <w:t xml:space="preserve">The initiative supports EU business competitiveness by simplifying and streamlining DAC reporting obligations, thereby reducing administrative and compliance costs for </w:t>
            </w:r>
            <w:r w:rsidR="795EB95B" w:rsidRPr="3D2738FE">
              <w:rPr>
                <w:noProof/>
                <w:sz w:val="20"/>
                <w:szCs w:val="20"/>
              </w:rPr>
              <w:t>companies</w:t>
            </w:r>
            <w:r w:rsidR="6D158021" w:rsidRPr="3D2738FE">
              <w:rPr>
                <w:noProof/>
                <w:sz w:val="20"/>
                <w:szCs w:val="20"/>
              </w:rPr>
              <w:t>.</w:t>
            </w:r>
            <w:r w:rsidRPr="1599A2D9">
              <w:rPr>
                <w:noProof/>
                <w:sz w:val="20"/>
                <w:szCs w:val="20"/>
              </w:rPr>
              <w:t xml:space="preserve"> Greater harmonisation across Member States improves legal certainty and reduces the need for businesses to navigate divergent national requirements. Taken together, these changes facilitate cross-border activity and allow </w:t>
            </w:r>
            <w:r w:rsidR="01BA15B8" w:rsidRPr="58434DD6">
              <w:rPr>
                <w:noProof/>
                <w:sz w:val="20"/>
                <w:szCs w:val="20"/>
              </w:rPr>
              <w:t>businesses</w:t>
            </w:r>
            <w:r w:rsidRPr="1599A2D9">
              <w:rPr>
                <w:noProof/>
                <w:sz w:val="20"/>
                <w:szCs w:val="20"/>
              </w:rPr>
              <w:t xml:space="preserve"> to allocate more resources to productive and growth-enhancing activities.</w:t>
            </w:r>
          </w:p>
        </w:tc>
      </w:tr>
      <w:tr w:rsidR="00DB7725" w:rsidRPr="00F92EAE" w14:paraId="579E89B6" w14:textId="77777777" w:rsidTr="4321A1A3">
        <w:tc>
          <w:tcPr>
            <w:tcW w:w="10206" w:type="dxa"/>
            <w:gridSpan w:val="3"/>
            <w:shd w:val="clear" w:color="auto" w:fill="F2F2F2" w:themeFill="background1" w:themeFillShade="F2"/>
          </w:tcPr>
          <w:p w14:paraId="0AE39382" w14:textId="77777777" w:rsidR="00DB7725" w:rsidRPr="00F92EAE" w:rsidRDefault="39E3BBC4" w:rsidP="1599A2D9">
            <w:pPr>
              <w:spacing w:after="0"/>
              <w:jc w:val="center"/>
              <w:rPr>
                <w:b/>
                <w:bCs/>
                <w:i/>
                <w:iCs/>
                <w:noProof/>
                <w:sz w:val="20"/>
                <w:szCs w:val="20"/>
              </w:rPr>
            </w:pPr>
            <w:r w:rsidRPr="1599A2D9">
              <w:rPr>
                <w:b/>
                <w:bCs/>
                <w:i/>
                <w:iCs/>
                <w:noProof/>
                <w:sz w:val="20"/>
                <w:szCs w:val="20"/>
              </w:rPr>
              <w:t>Indirect benefits</w:t>
            </w:r>
          </w:p>
        </w:tc>
      </w:tr>
      <w:tr w:rsidR="00DB7725" w:rsidRPr="00F92EAE" w14:paraId="4304378F" w14:textId="77777777" w:rsidTr="4321A1A3">
        <w:tc>
          <w:tcPr>
            <w:tcW w:w="2512" w:type="dxa"/>
            <w:tcBorders>
              <w:top w:val="double" w:sz="4" w:space="0" w:color="auto"/>
            </w:tcBorders>
          </w:tcPr>
          <w:p w14:paraId="781600C0" w14:textId="5F4969A2" w:rsidR="00DB7725" w:rsidRPr="00F92EAE" w:rsidRDefault="00DB7725" w:rsidP="1599A2D9">
            <w:pPr>
              <w:spacing w:after="0"/>
              <w:rPr>
                <w:noProof/>
                <w:sz w:val="20"/>
                <w:szCs w:val="20"/>
              </w:rPr>
            </w:pPr>
          </w:p>
        </w:tc>
        <w:tc>
          <w:tcPr>
            <w:tcW w:w="4043" w:type="dxa"/>
            <w:tcBorders>
              <w:top w:val="double" w:sz="4" w:space="0" w:color="auto"/>
            </w:tcBorders>
            <w:tcMar>
              <w:top w:w="57" w:type="dxa"/>
              <w:left w:w="57" w:type="dxa"/>
              <w:bottom w:w="57" w:type="dxa"/>
              <w:right w:w="57" w:type="dxa"/>
            </w:tcMar>
          </w:tcPr>
          <w:p w14:paraId="7F27CCB1" w14:textId="43FD1633" w:rsidR="00DB7725" w:rsidRPr="00F92EAE" w:rsidRDefault="00DB7725" w:rsidP="1599A2D9">
            <w:pPr>
              <w:spacing w:after="0"/>
              <w:rPr>
                <w:noProof/>
                <w:sz w:val="20"/>
                <w:szCs w:val="20"/>
              </w:rPr>
            </w:pPr>
          </w:p>
        </w:tc>
        <w:tc>
          <w:tcPr>
            <w:tcW w:w="3651" w:type="dxa"/>
            <w:tcBorders>
              <w:top w:val="double" w:sz="4" w:space="0" w:color="auto"/>
            </w:tcBorders>
            <w:tcMar>
              <w:top w:w="57" w:type="dxa"/>
              <w:left w:w="57" w:type="dxa"/>
              <w:bottom w:w="57" w:type="dxa"/>
              <w:right w:w="57" w:type="dxa"/>
            </w:tcMar>
          </w:tcPr>
          <w:p w14:paraId="34E4A7C0" w14:textId="719D8B7C" w:rsidR="00DB7725" w:rsidRPr="00F92EAE" w:rsidRDefault="00DB7725" w:rsidP="1599A2D9">
            <w:pPr>
              <w:spacing w:after="0"/>
              <w:rPr>
                <w:noProof/>
                <w:sz w:val="20"/>
                <w:szCs w:val="20"/>
              </w:rPr>
            </w:pPr>
          </w:p>
        </w:tc>
      </w:tr>
    </w:tbl>
    <w:p w14:paraId="242887A7" w14:textId="758A6F8A" w:rsidR="00B95D88" w:rsidRPr="00F92EAE" w:rsidRDefault="5C3BF67E" w:rsidP="4321A1A3">
      <w:pPr>
        <w:rPr>
          <w:i/>
          <w:iCs/>
          <w:noProof/>
          <w:sz w:val="20"/>
          <w:szCs w:val="20"/>
        </w:rPr>
      </w:pPr>
      <w:r w:rsidRPr="4321A1A3">
        <w:rPr>
          <w:i/>
          <w:iCs/>
          <w:noProof/>
          <w:sz w:val="20"/>
          <w:szCs w:val="20"/>
        </w:rPr>
        <w:t xml:space="preserve">(1) Estimates are gross values relative to the baseline for the preferred option as a whole (i.e. the impact of individual actions/obligations of the </w:t>
      </w:r>
      <w:r w:rsidRPr="4321A1A3">
        <w:rPr>
          <w:i/>
          <w:iCs/>
          <w:noProof/>
          <w:sz w:val="20"/>
          <w:szCs w:val="20"/>
          <w:u w:val="single"/>
        </w:rPr>
        <w:t>preferred</w:t>
      </w:r>
      <w:r w:rsidRPr="4321A1A3">
        <w:rPr>
          <w:i/>
          <w:iCs/>
          <w:noProof/>
          <w:sz w:val="20"/>
          <w:szCs w:val="20"/>
        </w:rPr>
        <w:t xml:space="preserve"> option are aggregated together); (2) Please indicate in the comments column which stakeholder group is the main recipient of the benefit;(3) For reductions in regulatory costs, please describe in the comments column the details as to how the saving arises (e.g. reductions in adjustment costs, administrative costs, regulatory charges, enforcement costs, etc.). </w:t>
      </w:r>
    </w:p>
    <w:p w14:paraId="41E8E836" w14:textId="77777777" w:rsidR="00B95D88" w:rsidRDefault="00B95D88" w:rsidP="00B95D88">
      <w:pPr>
        <w:rPr>
          <w:noProof/>
        </w:rPr>
      </w:pPr>
    </w:p>
    <w:tbl>
      <w:tblPr>
        <w:tblStyle w:val="CV11"/>
        <w:tblW w:w="10223"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972"/>
        <w:gridCol w:w="1575"/>
        <w:gridCol w:w="1110"/>
        <w:gridCol w:w="1091"/>
        <w:gridCol w:w="1388"/>
        <w:gridCol w:w="1387"/>
        <w:gridCol w:w="1336"/>
        <w:gridCol w:w="1364"/>
      </w:tblGrid>
      <w:tr w:rsidR="00B95D88" w:rsidRPr="00F92EAE" w14:paraId="57783CC1" w14:textId="77777777" w:rsidTr="4321A1A3">
        <w:tc>
          <w:tcPr>
            <w:tcW w:w="10223" w:type="dxa"/>
            <w:gridSpan w:val="8"/>
            <w:shd w:val="clear" w:color="auto" w:fill="C6D9F1" w:themeFill="text2" w:themeFillTint="33"/>
            <w:tcMar>
              <w:top w:w="57" w:type="dxa"/>
              <w:left w:w="57" w:type="dxa"/>
              <w:bottom w:w="57" w:type="dxa"/>
              <w:right w:w="57" w:type="dxa"/>
            </w:tcMar>
          </w:tcPr>
          <w:p w14:paraId="1F213197" w14:textId="77777777" w:rsidR="00B95D88" w:rsidRPr="00F92EAE" w:rsidRDefault="00B95D88" w:rsidP="1599A2D9">
            <w:pPr>
              <w:spacing w:after="0"/>
              <w:rPr>
                <w:b/>
                <w:bCs/>
                <w:noProof/>
                <w:sz w:val="20"/>
                <w:szCs w:val="20"/>
              </w:rPr>
            </w:pPr>
            <w:r w:rsidRPr="1599A2D9">
              <w:rPr>
                <w:b/>
                <w:bCs/>
                <w:noProof/>
                <w:sz w:val="20"/>
                <w:szCs w:val="20"/>
              </w:rPr>
              <w:t>II. Overview of costs – Preferred option</w:t>
            </w:r>
          </w:p>
        </w:tc>
      </w:tr>
      <w:tr w:rsidR="001D47A2" w:rsidRPr="00F92EAE" w14:paraId="4F06E474" w14:textId="77777777" w:rsidTr="4321A1A3">
        <w:tc>
          <w:tcPr>
            <w:tcW w:w="2547"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3ABF9C38" w14:textId="77777777" w:rsidR="00B95D88" w:rsidRPr="00F92EAE" w:rsidRDefault="00B95D88" w:rsidP="1599A2D9">
            <w:pPr>
              <w:spacing w:after="0"/>
              <w:rPr>
                <w:b/>
                <w:bCs/>
                <w:noProof/>
                <w:sz w:val="20"/>
                <w:szCs w:val="20"/>
              </w:rPr>
            </w:pPr>
          </w:p>
        </w:tc>
        <w:tc>
          <w:tcPr>
            <w:tcW w:w="2201" w:type="dxa"/>
            <w:gridSpan w:val="2"/>
            <w:tcBorders>
              <w:left w:val="double" w:sz="4" w:space="0" w:color="auto"/>
            </w:tcBorders>
            <w:tcMar>
              <w:top w:w="57" w:type="dxa"/>
              <w:left w:w="57" w:type="dxa"/>
              <w:bottom w:w="57" w:type="dxa"/>
              <w:right w:w="57" w:type="dxa"/>
            </w:tcMar>
          </w:tcPr>
          <w:p w14:paraId="63D8DD98" w14:textId="77777777" w:rsidR="00B95D88" w:rsidRPr="00F92EAE" w:rsidRDefault="00B95D88" w:rsidP="1599A2D9">
            <w:pPr>
              <w:spacing w:after="0"/>
              <w:jc w:val="center"/>
              <w:rPr>
                <w:b/>
                <w:bCs/>
                <w:noProof/>
                <w:sz w:val="20"/>
                <w:szCs w:val="20"/>
              </w:rPr>
            </w:pPr>
            <w:r w:rsidRPr="1599A2D9">
              <w:rPr>
                <w:b/>
                <w:bCs/>
                <w:noProof/>
                <w:sz w:val="20"/>
                <w:szCs w:val="20"/>
              </w:rPr>
              <w:t>Citizens/Consumers</w:t>
            </w:r>
          </w:p>
        </w:tc>
        <w:tc>
          <w:tcPr>
            <w:tcW w:w="2775" w:type="dxa"/>
            <w:gridSpan w:val="2"/>
            <w:tcMar>
              <w:top w:w="57" w:type="dxa"/>
              <w:left w:w="57" w:type="dxa"/>
              <w:bottom w:w="57" w:type="dxa"/>
              <w:right w:w="57" w:type="dxa"/>
            </w:tcMar>
          </w:tcPr>
          <w:p w14:paraId="11B9F47A" w14:textId="77777777" w:rsidR="00B95D88" w:rsidRPr="00F92EAE" w:rsidRDefault="00B95D88" w:rsidP="1599A2D9">
            <w:pPr>
              <w:spacing w:after="0"/>
              <w:jc w:val="center"/>
              <w:rPr>
                <w:b/>
                <w:bCs/>
                <w:noProof/>
                <w:sz w:val="20"/>
                <w:szCs w:val="20"/>
              </w:rPr>
            </w:pPr>
            <w:r w:rsidRPr="1599A2D9">
              <w:rPr>
                <w:b/>
                <w:bCs/>
                <w:noProof/>
                <w:sz w:val="20"/>
                <w:szCs w:val="20"/>
              </w:rPr>
              <w:t>Businesses</w:t>
            </w:r>
          </w:p>
        </w:tc>
        <w:tc>
          <w:tcPr>
            <w:tcW w:w="2700" w:type="dxa"/>
            <w:gridSpan w:val="2"/>
            <w:tcMar>
              <w:top w:w="57" w:type="dxa"/>
              <w:left w:w="57" w:type="dxa"/>
              <w:bottom w:w="57" w:type="dxa"/>
              <w:right w:w="57" w:type="dxa"/>
            </w:tcMar>
          </w:tcPr>
          <w:p w14:paraId="25E4A126" w14:textId="77777777" w:rsidR="00B95D88" w:rsidRPr="00F92EAE" w:rsidRDefault="00B95D88" w:rsidP="1599A2D9">
            <w:pPr>
              <w:spacing w:after="0"/>
              <w:jc w:val="center"/>
              <w:rPr>
                <w:b/>
                <w:bCs/>
                <w:noProof/>
                <w:sz w:val="20"/>
                <w:szCs w:val="20"/>
              </w:rPr>
            </w:pPr>
            <w:r w:rsidRPr="1599A2D9">
              <w:rPr>
                <w:b/>
                <w:bCs/>
                <w:noProof/>
                <w:sz w:val="20"/>
                <w:szCs w:val="20"/>
              </w:rPr>
              <w:t>Administrations</w:t>
            </w:r>
          </w:p>
        </w:tc>
      </w:tr>
      <w:tr w:rsidR="001D47A2" w:rsidRPr="00F92EAE" w14:paraId="544AD846" w14:textId="77777777" w:rsidTr="4321A1A3">
        <w:tc>
          <w:tcPr>
            <w:tcW w:w="2547" w:type="dxa"/>
            <w:gridSpan w:val="2"/>
            <w:vMerge/>
            <w:tcBorders>
              <w:tl2br w:val="double" w:sz="4" w:space="0" w:color="auto"/>
            </w:tcBorders>
            <w:tcMar>
              <w:top w:w="57" w:type="dxa"/>
              <w:left w:w="57" w:type="dxa"/>
              <w:bottom w:w="57" w:type="dxa"/>
              <w:right w:w="57" w:type="dxa"/>
            </w:tcMar>
          </w:tcPr>
          <w:p w14:paraId="56771214" w14:textId="77777777" w:rsidR="00B95D88" w:rsidRPr="00F92EAE" w:rsidRDefault="00B95D88">
            <w:pPr>
              <w:spacing w:after="0"/>
              <w:rPr>
                <w:b/>
                <w:noProof/>
                <w:sz w:val="20"/>
                <w:szCs w:val="20"/>
              </w:rPr>
            </w:pPr>
          </w:p>
        </w:tc>
        <w:tc>
          <w:tcPr>
            <w:tcW w:w="1110" w:type="dxa"/>
            <w:tcBorders>
              <w:left w:val="double" w:sz="4" w:space="0" w:color="auto"/>
              <w:bottom w:val="double" w:sz="4" w:space="0" w:color="auto"/>
            </w:tcBorders>
            <w:tcMar>
              <w:top w:w="57" w:type="dxa"/>
              <w:left w:w="57" w:type="dxa"/>
              <w:bottom w:w="57" w:type="dxa"/>
              <w:right w:w="57" w:type="dxa"/>
            </w:tcMar>
          </w:tcPr>
          <w:p w14:paraId="30FD5E3C" w14:textId="77777777" w:rsidR="00B95D88" w:rsidRPr="00F92EAE" w:rsidRDefault="00B95D88" w:rsidP="1599A2D9">
            <w:pPr>
              <w:spacing w:after="0"/>
              <w:jc w:val="center"/>
              <w:rPr>
                <w:b/>
                <w:bCs/>
                <w:noProof/>
                <w:sz w:val="20"/>
                <w:szCs w:val="20"/>
              </w:rPr>
            </w:pPr>
            <w:r w:rsidRPr="1599A2D9">
              <w:rPr>
                <w:b/>
                <w:bCs/>
                <w:noProof/>
                <w:sz w:val="20"/>
                <w:szCs w:val="20"/>
              </w:rPr>
              <w:t>One-off</w:t>
            </w:r>
          </w:p>
        </w:tc>
        <w:tc>
          <w:tcPr>
            <w:tcW w:w="1091" w:type="dxa"/>
            <w:tcBorders>
              <w:bottom w:val="double" w:sz="4" w:space="0" w:color="auto"/>
            </w:tcBorders>
            <w:tcMar>
              <w:top w:w="57" w:type="dxa"/>
              <w:left w:w="57" w:type="dxa"/>
              <w:bottom w:w="57" w:type="dxa"/>
              <w:right w:w="57" w:type="dxa"/>
            </w:tcMar>
          </w:tcPr>
          <w:p w14:paraId="0314FCE4" w14:textId="77777777" w:rsidR="00B95D88" w:rsidRPr="00F92EAE" w:rsidRDefault="00B95D88" w:rsidP="1599A2D9">
            <w:pPr>
              <w:spacing w:after="0"/>
              <w:jc w:val="center"/>
              <w:rPr>
                <w:b/>
                <w:bCs/>
                <w:noProof/>
                <w:sz w:val="20"/>
                <w:szCs w:val="20"/>
              </w:rPr>
            </w:pPr>
            <w:r w:rsidRPr="1599A2D9">
              <w:rPr>
                <w:b/>
                <w:bCs/>
                <w:noProof/>
                <w:sz w:val="20"/>
                <w:szCs w:val="20"/>
              </w:rPr>
              <w:t>Recurrent</w:t>
            </w:r>
          </w:p>
        </w:tc>
        <w:tc>
          <w:tcPr>
            <w:tcW w:w="1388" w:type="dxa"/>
            <w:tcBorders>
              <w:bottom w:val="double" w:sz="4" w:space="0" w:color="auto"/>
            </w:tcBorders>
            <w:tcMar>
              <w:top w:w="57" w:type="dxa"/>
              <w:left w:w="57" w:type="dxa"/>
              <w:bottom w:w="57" w:type="dxa"/>
              <w:right w:w="57" w:type="dxa"/>
            </w:tcMar>
          </w:tcPr>
          <w:p w14:paraId="5736692E" w14:textId="77777777" w:rsidR="00B95D88" w:rsidRPr="00F92EAE" w:rsidRDefault="00B95D88" w:rsidP="1599A2D9">
            <w:pPr>
              <w:spacing w:after="0"/>
              <w:jc w:val="center"/>
              <w:rPr>
                <w:b/>
                <w:bCs/>
                <w:noProof/>
                <w:sz w:val="20"/>
                <w:szCs w:val="20"/>
              </w:rPr>
            </w:pPr>
            <w:r w:rsidRPr="1599A2D9">
              <w:rPr>
                <w:b/>
                <w:bCs/>
                <w:noProof/>
                <w:sz w:val="20"/>
                <w:szCs w:val="20"/>
              </w:rPr>
              <w:t>One-off</w:t>
            </w:r>
          </w:p>
        </w:tc>
        <w:tc>
          <w:tcPr>
            <w:tcW w:w="1387" w:type="dxa"/>
            <w:tcBorders>
              <w:bottom w:val="double" w:sz="4" w:space="0" w:color="auto"/>
            </w:tcBorders>
            <w:tcMar>
              <w:top w:w="57" w:type="dxa"/>
              <w:left w:w="57" w:type="dxa"/>
              <w:bottom w:w="57" w:type="dxa"/>
              <w:right w:w="57" w:type="dxa"/>
            </w:tcMar>
          </w:tcPr>
          <w:p w14:paraId="5D6DE5F3" w14:textId="77777777" w:rsidR="00B95D88" w:rsidRPr="00F92EAE" w:rsidRDefault="00B95D88" w:rsidP="1599A2D9">
            <w:pPr>
              <w:spacing w:after="0"/>
              <w:jc w:val="center"/>
              <w:rPr>
                <w:b/>
                <w:bCs/>
                <w:noProof/>
                <w:sz w:val="20"/>
                <w:szCs w:val="20"/>
              </w:rPr>
            </w:pPr>
            <w:r w:rsidRPr="1599A2D9">
              <w:rPr>
                <w:b/>
                <w:bCs/>
                <w:noProof/>
                <w:sz w:val="20"/>
                <w:szCs w:val="20"/>
              </w:rPr>
              <w:t>Recurrent</w:t>
            </w:r>
          </w:p>
        </w:tc>
        <w:tc>
          <w:tcPr>
            <w:tcW w:w="1336" w:type="dxa"/>
            <w:tcBorders>
              <w:bottom w:val="double" w:sz="4" w:space="0" w:color="auto"/>
            </w:tcBorders>
            <w:tcMar>
              <w:top w:w="57" w:type="dxa"/>
              <w:left w:w="57" w:type="dxa"/>
              <w:bottom w:w="57" w:type="dxa"/>
              <w:right w:w="57" w:type="dxa"/>
            </w:tcMar>
          </w:tcPr>
          <w:p w14:paraId="5C1B7CC2" w14:textId="77777777" w:rsidR="00B95D88" w:rsidRPr="00F92EAE" w:rsidRDefault="00B95D88" w:rsidP="1599A2D9">
            <w:pPr>
              <w:spacing w:after="0"/>
              <w:jc w:val="center"/>
              <w:rPr>
                <w:b/>
                <w:bCs/>
                <w:noProof/>
                <w:sz w:val="20"/>
                <w:szCs w:val="20"/>
              </w:rPr>
            </w:pPr>
            <w:r w:rsidRPr="1599A2D9">
              <w:rPr>
                <w:b/>
                <w:bCs/>
                <w:noProof/>
                <w:sz w:val="20"/>
                <w:szCs w:val="20"/>
              </w:rPr>
              <w:t>One-off</w:t>
            </w:r>
          </w:p>
        </w:tc>
        <w:tc>
          <w:tcPr>
            <w:tcW w:w="1364" w:type="dxa"/>
            <w:tcBorders>
              <w:bottom w:val="double" w:sz="4" w:space="0" w:color="auto"/>
            </w:tcBorders>
            <w:tcMar>
              <w:top w:w="57" w:type="dxa"/>
              <w:left w:w="57" w:type="dxa"/>
              <w:bottom w:w="57" w:type="dxa"/>
              <w:right w:w="57" w:type="dxa"/>
            </w:tcMar>
          </w:tcPr>
          <w:p w14:paraId="258E0462" w14:textId="77777777" w:rsidR="00B95D88" w:rsidRPr="00F92EAE" w:rsidRDefault="00B95D88" w:rsidP="1599A2D9">
            <w:pPr>
              <w:spacing w:after="0"/>
              <w:jc w:val="center"/>
              <w:rPr>
                <w:b/>
                <w:bCs/>
                <w:noProof/>
                <w:sz w:val="20"/>
                <w:szCs w:val="20"/>
              </w:rPr>
            </w:pPr>
            <w:r w:rsidRPr="1599A2D9">
              <w:rPr>
                <w:b/>
                <w:bCs/>
                <w:noProof/>
                <w:sz w:val="20"/>
                <w:szCs w:val="20"/>
              </w:rPr>
              <w:t>Recurrent</w:t>
            </w:r>
          </w:p>
        </w:tc>
      </w:tr>
      <w:tr w:rsidR="00123CA8" w:rsidRPr="004F697E" w14:paraId="04F6010D" w14:textId="77777777" w:rsidTr="4321A1A3">
        <w:trPr>
          <w:trHeight w:val="307"/>
        </w:trPr>
        <w:tc>
          <w:tcPr>
            <w:tcW w:w="972" w:type="dxa"/>
            <w:vMerge w:val="restart"/>
            <w:tcMar>
              <w:top w:w="57" w:type="dxa"/>
              <w:left w:w="57" w:type="dxa"/>
              <w:bottom w:w="57" w:type="dxa"/>
              <w:right w:w="57" w:type="dxa"/>
            </w:tcMar>
            <w:vAlign w:val="center"/>
          </w:tcPr>
          <w:p w14:paraId="5657E9DE" w14:textId="31EB76DB" w:rsidR="00123CA8" w:rsidRPr="00F92EAE" w:rsidRDefault="0D517014" w:rsidP="00123CA8">
            <w:pPr>
              <w:spacing w:after="0"/>
              <w:rPr>
                <w:noProof/>
                <w:sz w:val="20"/>
                <w:szCs w:val="20"/>
              </w:rPr>
            </w:pPr>
            <w:r w:rsidRPr="1599A2D9">
              <w:rPr>
                <w:noProof/>
                <w:sz w:val="20"/>
                <w:szCs w:val="20"/>
              </w:rPr>
              <w:t xml:space="preserve">All actions (1 to 7)  </w:t>
            </w:r>
          </w:p>
        </w:tc>
        <w:tc>
          <w:tcPr>
            <w:tcW w:w="1575" w:type="dxa"/>
            <w:tcBorders>
              <w:right w:val="double" w:sz="4" w:space="0" w:color="auto"/>
            </w:tcBorders>
            <w:tcMar>
              <w:top w:w="57" w:type="dxa"/>
              <w:left w:w="57" w:type="dxa"/>
              <w:bottom w:w="57" w:type="dxa"/>
              <w:right w:w="57" w:type="dxa"/>
            </w:tcMar>
            <w:vAlign w:val="center"/>
          </w:tcPr>
          <w:p w14:paraId="05B3CDD5" w14:textId="77777777" w:rsidR="00123CA8" w:rsidRPr="00F92EAE" w:rsidRDefault="0D517014" w:rsidP="00123CA8">
            <w:pPr>
              <w:spacing w:after="0"/>
              <w:jc w:val="left"/>
              <w:rPr>
                <w:noProof/>
                <w:sz w:val="20"/>
                <w:szCs w:val="20"/>
              </w:rPr>
            </w:pPr>
            <w:r w:rsidRPr="1599A2D9">
              <w:rPr>
                <w:noProof/>
                <w:sz w:val="20"/>
                <w:szCs w:val="20"/>
              </w:rPr>
              <w:t>Direct adjustment costs</w:t>
            </w:r>
          </w:p>
        </w:tc>
        <w:tc>
          <w:tcPr>
            <w:tcW w:w="1110" w:type="dxa"/>
            <w:tcBorders>
              <w:left w:val="double" w:sz="4" w:space="0" w:color="auto"/>
            </w:tcBorders>
            <w:tcMar>
              <w:top w:w="57" w:type="dxa"/>
              <w:left w:w="57" w:type="dxa"/>
              <w:bottom w:w="57" w:type="dxa"/>
              <w:right w:w="57" w:type="dxa"/>
            </w:tcMar>
            <w:vAlign w:val="center"/>
          </w:tcPr>
          <w:p w14:paraId="5DEC123C" w14:textId="05B49A38" w:rsidR="00123CA8" w:rsidRPr="00F92EAE" w:rsidRDefault="0D517014" w:rsidP="00123CA8">
            <w:pPr>
              <w:spacing w:after="0"/>
              <w:rPr>
                <w:noProof/>
                <w:sz w:val="20"/>
                <w:szCs w:val="20"/>
              </w:rPr>
            </w:pPr>
            <w:r w:rsidRPr="1599A2D9">
              <w:rPr>
                <w:noProof/>
                <w:sz w:val="20"/>
                <w:szCs w:val="20"/>
              </w:rPr>
              <w:t>None</w:t>
            </w:r>
          </w:p>
        </w:tc>
        <w:tc>
          <w:tcPr>
            <w:tcW w:w="1091" w:type="dxa"/>
            <w:tcMar>
              <w:top w:w="57" w:type="dxa"/>
              <w:left w:w="57" w:type="dxa"/>
              <w:bottom w:w="57" w:type="dxa"/>
              <w:right w:w="57" w:type="dxa"/>
            </w:tcMar>
            <w:vAlign w:val="center"/>
          </w:tcPr>
          <w:p w14:paraId="448467EE" w14:textId="7FD08120" w:rsidR="00123CA8" w:rsidRPr="00F92EAE" w:rsidRDefault="0D517014" w:rsidP="00123CA8">
            <w:pPr>
              <w:spacing w:after="0"/>
              <w:rPr>
                <w:noProof/>
                <w:sz w:val="20"/>
                <w:szCs w:val="20"/>
              </w:rPr>
            </w:pPr>
            <w:r w:rsidRPr="1599A2D9">
              <w:rPr>
                <w:noProof/>
                <w:sz w:val="20"/>
                <w:szCs w:val="20"/>
              </w:rPr>
              <w:t>None</w:t>
            </w:r>
          </w:p>
        </w:tc>
        <w:tc>
          <w:tcPr>
            <w:tcW w:w="1388" w:type="dxa"/>
            <w:tcMar>
              <w:top w:w="57" w:type="dxa"/>
              <w:left w:w="57" w:type="dxa"/>
              <w:bottom w:w="57" w:type="dxa"/>
              <w:right w:w="57" w:type="dxa"/>
            </w:tcMar>
            <w:vAlign w:val="center"/>
          </w:tcPr>
          <w:p w14:paraId="2693F106" w14:textId="610DD975" w:rsidR="00123CA8" w:rsidRPr="00F92EAE" w:rsidRDefault="6E62E1EC" w:rsidP="4321A1A3">
            <w:pPr>
              <w:spacing w:after="0"/>
              <w:rPr>
                <w:noProof/>
                <w:sz w:val="20"/>
                <w:szCs w:val="20"/>
              </w:rPr>
            </w:pPr>
            <w:r w:rsidRPr="4321A1A3">
              <w:rPr>
                <w:noProof/>
                <w:sz w:val="20"/>
                <w:szCs w:val="20"/>
              </w:rPr>
              <w:t xml:space="preserve">Potential </w:t>
            </w:r>
            <w:r w:rsidR="32ADBFC6" w:rsidRPr="4321A1A3">
              <w:rPr>
                <w:noProof/>
                <w:sz w:val="20"/>
                <w:szCs w:val="20"/>
              </w:rPr>
              <w:t>s</w:t>
            </w:r>
            <w:r w:rsidR="5FE16CC6" w:rsidRPr="4321A1A3">
              <w:rPr>
                <w:noProof/>
                <w:sz w:val="20"/>
                <w:szCs w:val="20"/>
              </w:rPr>
              <w:t xml:space="preserve">et-up costs for TIN verification scheme </w:t>
            </w:r>
            <w:r w:rsidR="3BEB6587" w:rsidRPr="4321A1A3">
              <w:rPr>
                <w:noProof/>
                <w:sz w:val="20"/>
                <w:szCs w:val="20"/>
              </w:rPr>
              <w:t xml:space="preserve">if used by reporting entities </w:t>
            </w:r>
          </w:p>
        </w:tc>
        <w:tc>
          <w:tcPr>
            <w:tcW w:w="1387" w:type="dxa"/>
            <w:tcMar>
              <w:top w:w="57" w:type="dxa"/>
              <w:left w:w="57" w:type="dxa"/>
              <w:bottom w:w="57" w:type="dxa"/>
              <w:right w:w="57" w:type="dxa"/>
            </w:tcMar>
            <w:vAlign w:val="center"/>
          </w:tcPr>
          <w:p w14:paraId="5D56AA4C" w14:textId="2422344E" w:rsidR="003E7425" w:rsidRDefault="003E7425" w:rsidP="00123CA8">
            <w:pPr>
              <w:spacing w:after="0"/>
              <w:rPr>
                <w:noProof/>
                <w:sz w:val="20"/>
                <w:szCs w:val="20"/>
              </w:rPr>
            </w:pPr>
            <w:r w:rsidRPr="4321A1A3">
              <w:rPr>
                <w:noProof/>
                <w:sz w:val="20"/>
                <w:szCs w:val="20"/>
              </w:rPr>
              <w:t>Potential recurrent costs fo</w:t>
            </w:r>
            <w:r>
              <w:rPr>
                <w:noProof/>
                <w:sz w:val="20"/>
                <w:szCs w:val="20"/>
              </w:rPr>
              <w:t xml:space="preserve">r IT maintenance </w:t>
            </w:r>
            <w:r w:rsidRPr="4321A1A3">
              <w:rPr>
                <w:noProof/>
                <w:sz w:val="20"/>
                <w:szCs w:val="20"/>
              </w:rPr>
              <w:t>TIN verification scheme if used by reporting entities</w:t>
            </w:r>
          </w:p>
          <w:p w14:paraId="14924BAC" w14:textId="1E8649C2" w:rsidR="00123CA8" w:rsidRPr="00F92EAE" w:rsidRDefault="00123CA8" w:rsidP="00123CA8">
            <w:pPr>
              <w:spacing w:after="0"/>
              <w:rPr>
                <w:noProof/>
                <w:sz w:val="20"/>
                <w:szCs w:val="20"/>
              </w:rPr>
            </w:pPr>
          </w:p>
        </w:tc>
        <w:tc>
          <w:tcPr>
            <w:tcW w:w="1336" w:type="dxa"/>
            <w:tcMar>
              <w:top w:w="57" w:type="dxa"/>
              <w:left w:w="57" w:type="dxa"/>
              <w:bottom w:w="57" w:type="dxa"/>
              <w:right w:w="57" w:type="dxa"/>
            </w:tcMar>
            <w:vAlign w:val="center"/>
          </w:tcPr>
          <w:p w14:paraId="03459A3B" w14:textId="77777777" w:rsidR="003E7425" w:rsidRDefault="5481B93B" w:rsidP="4321A1A3">
            <w:pPr>
              <w:spacing w:after="0"/>
              <w:rPr>
                <w:noProof/>
                <w:sz w:val="20"/>
                <w:szCs w:val="20"/>
              </w:rPr>
            </w:pPr>
            <w:r w:rsidRPr="4321A1A3">
              <w:rPr>
                <w:noProof/>
                <w:sz w:val="20"/>
                <w:szCs w:val="20"/>
              </w:rPr>
              <w:t xml:space="preserve">Development of IT </w:t>
            </w:r>
            <w:r w:rsidR="5976593B" w:rsidRPr="4321A1A3">
              <w:rPr>
                <w:noProof/>
                <w:sz w:val="20"/>
                <w:szCs w:val="20"/>
              </w:rPr>
              <w:t xml:space="preserve">system, access points, </w:t>
            </w:r>
            <w:r w:rsidRPr="4321A1A3">
              <w:rPr>
                <w:noProof/>
                <w:sz w:val="20"/>
                <w:szCs w:val="20"/>
              </w:rPr>
              <w:t>and training of staff for TIN verification scheme</w:t>
            </w:r>
            <w:r w:rsidR="003E7425">
              <w:rPr>
                <w:noProof/>
                <w:sz w:val="20"/>
                <w:szCs w:val="20"/>
              </w:rPr>
              <w:t>.</w:t>
            </w:r>
          </w:p>
          <w:p w14:paraId="4B6DCCD1" w14:textId="5BDD562E" w:rsidR="00123CA8" w:rsidRPr="003E7425" w:rsidRDefault="004B393D" w:rsidP="4321A1A3">
            <w:pPr>
              <w:spacing w:after="0"/>
              <w:rPr>
                <w:noProof/>
                <w:sz w:val="20"/>
                <w:szCs w:val="20"/>
                <w:lang w:val="fr-BE"/>
              </w:rPr>
            </w:pPr>
            <w:r>
              <w:rPr>
                <w:noProof/>
                <w:sz w:val="20"/>
                <w:szCs w:val="20"/>
                <w:lang w:val="fr-BE"/>
              </w:rPr>
              <w:t xml:space="preserve">For </w:t>
            </w:r>
            <w:r w:rsidR="24EFDC7D" w:rsidRPr="003E7425">
              <w:rPr>
                <w:noProof/>
                <w:sz w:val="20"/>
                <w:szCs w:val="20"/>
                <w:lang w:val="fr-BE"/>
              </w:rPr>
              <w:t>EU</w:t>
            </w:r>
            <w:r>
              <w:rPr>
                <w:noProof/>
                <w:sz w:val="20"/>
                <w:szCs w:val="20"/>
                <w:lang w:val="fr-BE"/>
              </w:rPr>
              <w:t xml:space="preserve"> (</w:t>
            </w:r>
            <w:r w:rsidR="00196626">
              <w:rPr>
                <w:noProof/>
                <w:sz w:val="20"/>
                <w:szCs w:val="20"/>
                <w:lang w:val="fr-BE"/>
              </w:rPr>
              <w:t>central</w:t>
            </w:r>
            <w:r>
              <w:rPr>
                <w:noProof/>
                <w:sz w:val="20"/>
                <w:szCs w:val="20"/>
                <w:lang w:val="fr-BE"/>
              </w:rPr>
              <w:t xml:space="preserve"> component)</w:t>
            </w:r>
            <w:r w:rsidR="003E7425" w:rsidRPr="003E7425">
              <w:rPr>
                <w:noProof/>
                <w:sz w:val="20"/>
                <w:szCs w:val="20"/>
                <w:lang w:val="fr-BE"/>
              </w:rPr>
              <w:t>:</w:t>
            </w:r>
            <w:r w:rsidR="24EFDC7D" w:rsidRPr="003E7425">
              <w:rPr>
                <w:noProof/>
                <w:sz w:val="20"/>
                <w:szCs w:val="20"/>
                <w:lang w:val="fr-BE"/>
              </w:rPr>
              <w:t xml:space="preserve"> EUR 970,000</w:t>
            </w:r>
            <w:r w:rsidR="3A51CFD1" w:rsidRPr="003E7425">
              <w:rPr>
                <w:noProof/>
                <w:sz w:val="20"/>
                <w:szCs w:val="20"/>
                <w:lang w:val="fr-BE"/>
              </w:rPr>
              <w:t>–</w:t>
            </w:r>
            <w:r w:rsidR="24EFDC7D" w:rsidRPr="003E7425">
              <w:rPr>
                <w:noProof/>
                <w:sz w:val="20"/>
                <w:szCs w:val="20"/>
                <w:lang w:val="fr-BE"/>
              </w:rPr>
              <w:t>1</w:t>
            </w:r>
            <w:r w:rsidR="3D2B2CB6" w:rsidRPr="003E7425">
              <w:rPr>
                <w:noProof/>
                <w:sz w:val="20"/>
                <w:szCs w:val="20"/>
                <w:lang w:val="fr-BE"/>
              </w:rPr>
              <w:t>,</w:t>
            </w:r>
            <w:r w:rsidR="24EFDC7D" w:rsidRPr="003E7425">
              <w:rPr>
                <w:noProof/>
                <w:sz w:val="20"/>
                <w:szCs w:val="20"/>
                <w:lang w:val="fr-BE"/>
              </w:rPr>
              <w:t>77</w:t>
            </w:r>
            <w:r w:rsidR="0A3986FC" w:rsidRPr="003E7425">
              <w:rPr>
                <w:noProof/>
                <w:sz w:val="20"/>
                <w:szCs w:val="20"/>
                <w:lang w:val="fr-BE"/>
              </w:rPr>
              <w:t>0,000</w:t>
            </w:r>
            <w:r w:rsidR="24EFDC7D" w:rsidRPr="003E7425">
              <w:rPr>
                <w:noProof/>
                <w:sz w:val="20"/>
                <w:szCs w:val="20"/>
                <w:lang w:val="fr-BE"/>
              </w:rPr>
              <w:t xml:space="preserve">; </w:t>
            </w:r>
            <w:r w:rsidR="003D4217">
              <w:rPr>
                <w:noProof/>
                <w:sz w:val="20"/>
                <w:szCs w:val="20"/>
                <w:lang w:val="fr-BE"/>
              </w:rPr>
              <w:t xml:space="preserve">For </w:t>
            </w:r>
            <w:r w:rsidR="003E7425">
              <w:rPr>
                <w:noProof/>
                <w:sz w:val="20"/>
                <w:szCs w:val="20"/>
                <w:lang w:val="fr-BE"/>
              </w:rPr>
              <w:t>Member States</w:t>
            </w:r>
            <w:r w:rsidR="003D4217">
              <w:rPr>
                <w:noProof/>
                <w:sz w:val="20"/>
                <w:szCs w:val="20"/>
                <w:lang w:val="fr-BE"/>
              </w:rPr>
              <w:t xml:space="preserve"> (national component)</w:t>
            </w:r>
            <w:r w:rsidR="24EFDC7D" w:rsidRPr="003E7425">
              <w:rPr>
                <w:noProof/>
                <w:sz w:val="20"/>
                <w:szCs w:val="20"/>
                <w:lang w:val="fr-BE"/>
              </w:rPr>
              <w:t xml:space="preserve">: </w:t>
            </w:r>
            <w:r w:rsidR="778024C3" w:rsidRPr="003E7425">
              <w:rPr>
                <w:noProof/>
                <w:sz w:val="20"/>
                <w:szCs w:val="20"/>
                <w:lang w:val="fr-BE"/>
              </w:rPr>
              <w:t>EUR 15</w:t>
            </w:r>
            <w:r w:rsidR="29C6479B" w:rsidRPr="003E7425">
              <w:rPr>
                <w:noProof/>
                <w:sz w:val="20"/>
                <w:szCs w:val="20"/>
                <w:lang w:val="fr-BE"/>
              </w:rPr>
              <w:t>–</w:t>
            </w:r>
            <w:r w:rsidR="778024C3" w:rsidRPr="003E7425">
              <w:rPr>
                <w:noProof/>
                <w:sz w:val="20"/>
                <w:szCs w:val="20"/>
                <w:lang w:val="fr-BE"/>
              </w:rPr>
              <w:t>25 million</w:t>
            </w:r>
          </w:p>
        </w:tc>
        <w:tc>
          <w:tcPr>
            <w:tcW w:w="1364" w:type="dxa"/>
            <w:tcMar>
              <w:top w:w="57" w:type="dxa"/>
              <w:left w:w="57" w:type="dxa"/>
              <w:bottom w:w="57" w:type="dxa"/>
              <w:right w:w="57" w:type="dxa"/>
            </w:tcMar>
            <w:vAlign w:val="center"/>
          </w:tcPr>
          <w:p w14:paraId="4E5744C4" w14:textId="4BD5DDE7" w:rsidR="00123CA8" w:rsidRPr="007411CC" w:rsidRDefault="003E7425" w:rsidP="00123CA8">
            <w:pPr>
              <w:spacing w:after="0"/>
              <w:rPr>
                <w:noProof/>
                <w:sz w:val="20"/>
                <w:szCs w:val="20"/>
                <w:lang w:val="fr-BE"/>
              </w:rPr>
            </w:pPr>
            <w:r w:rsidRPr="007411CC">
              <w:rPr>
                <w:noProof/>
                <w:sz w:val="20"/>
                <w:szCs w:val="20"/>
                <w:lang w:val="fr-BE"/>
              </w:rPr>
              <w:t xml:space="preserve">Recurrent IT maintenance and assistance: </w:t>
            </w:r>
            <w:r w:rsidR="003D4217" w:rsidRPr="007411CC">
              <w:rPr>
                <w:noProof/>
                <w:sz w:val="20"/>
                <w:szCs w:val="20"/>
                <w:lang w:val="fr-BE"/>
              </w:rPr>
              <w:t xml:space="preserve">For </w:t>
            </w:r>
            <w:r w:rsidRPr="007411CC">
              <w:rPr>
                <w:noProof/>
                <w:sz w:val="20"/>
                <w:szCs w:val="20"/>
                <w:lang w:val="fr-BE"/>
              </w:rPr>
              <w:t>EU</w:t>
            </w:r>
            <w:r w:rsidR="00FD394A" w:rsidRPr="007411CC">
              <w:rPr>
                <w:noProof/>
                <w:sz w:val="20"/>
                <w:szCs w:val="20"/>
                <w:lang w:val="fr-BE"/>
              </w:rPr>
              <w:t xml:space="preserve"> (central compone</w:t>
            </w:r>
            <w:r w:rsidR="003A48B2">
              <w:rPr>
                <w:noProof/>
                <w:sz w:val="20"/>
                <w:szCs w:val="20"/>
                <w:lang w:val="fr-BE"/>
              </w:rPr>
              <w:t>n</w:t>
            </w:r>
            <w:r w:rsidR="00FD394A" w:rsidRPr="007411CC">
              <w:rPr>
                <w:noProof/>
                <w:sz w:val="20"/>
                <w:szCs w:val="20"/>
                <w:lang w:val="fr-BE"/>
              </w:rPr>
              <w:t>t)</w:t>
            </w:r>
            <w:r w:rsidRPr="007411CC">
              <w:rPr>
                <w:noProof/>
                <w:sz w:val="20"/>
                <w:szCs w:val="20"/>
                <w:lang w:val="fr-BE"/>
              </w:rPr>
              <w:t xml:space="preserve">: EUR 1.8–2.4 million/year; </w:t>
            </w:r>
            <w:r w:rsidR="00FD394A" w:rsidRPr="007411CC">
              <w:rPr>
                <w:noProof/>
                <w:sz w:val="20"/>
                <w:szCs w:val="20"/>
                <w:lang w:val="fr-BE"/>
              </w:rPr>
              <w:t>For Mem</w:t>
            </w:r>
            <w:r w:rsidR="003A48B2">
              <w:rPr>
                <w:noProof/>
                <w:sz w:val="20"/>
                <w:szCs w:val="20"/>
                <w:lang w:val="fr-BE"/>
              </w:rPr>
              <w:t>b</w:t>
            </w:r>
            <w:r w:rsidR="00FD394A" w:rsidRPr="007411CC">
              <w:rPr>
                <w:noProof/>
                <w:sz w:val="20"/>
                <w:szCs w:val="20"/>
                <w:lang w:val="fr-BE"/>
              </w:rPr>
              <w:t>er States (</w:t>
            </w:r>
            <w:r w:rsidR="00FD394A" w:rsidRPr="00FD394A">
              <w:rPr>
                <w:noProof/>
                <w:sz w:val="20"/>
                <w:szCs w:val="20"/>
                <w:lang w:val="fr-BE"/>
              </w:rPr>
              <w:t>n</w:t>
            </w:r>
            <w:r w:rsidRPr="007411CC">
              <w:rPr>
                <w:noProof/>
                <w:sz w:val="20"/>
                <w:szCs w:val="20"/>
                <w:lang w:val="fr-BE"/>
              </w:rPr>
              <w:t>ational</w:t>
            </w:r>
            <w:r w:rsidR="00FD394A" w:rsidRPr="00FD394A">
              <w:rPr>
                <w:noProof/>
                <w:sz w:val="20"/>
                <w:szCs w:val="20"/>
                <w:lang w:val="fr-BE"/>
              </w:rPr>
              <w:t xml:space="preserve"> com</w:t>
            </w:r>
            <w:r w:rsidR="00FD394A" w:rsidRPr="007411CC">
              <w:rPr>
                <w:noProof/>
                <w:sz w:val="20"/>
                <w:szCs w:val="20"/>
                <w:lang w:val="fr-BE"/>
              </w:rPr>
              <w:t>p</w:t>
            </w:r>
            <w:r w:rsidR="00FD394A">
              <w:rPr>
                <w:noProof/>
                <w:sz w:val="20"/>
                <w:szCs w:val="20"/>
                <w:lang w:val="fr-BE"/>
              </w:rPr>
              <w:t>onent)</w:t>
            </w:r>
            <w:r w:rsidRPr="007411CC">
              <w:rPr>
                <w:noProof/>
                <w:sz w:val="20"/>
                <w:szCs w:val="20"/>
                <w:lang w:val="fr-BE"/>
              </w:rPr>
              <w:t>: EUR 5.5–18 million/year</w:t>
            </w:r>
          </w:p>
        </w:tc>
      </w:tr>
      <w:tr w:rsidR="00123CA8" w:rsidRPr="00F92EAE" w14:paraId="6FE8DDFB" w14:textId="77777777" w:rsidTr="4321A1A3">
        <w:trPr>
          <w:trHeight w:val="307"/>
        </w:trPr>
        <w:tc>
          <w:tcPr>
            <w:tcW w:w="972" w:type="dxa"/>
            <w:vMerge/>
            <w:tcMar>
              <w:top w:w="57" w:type="dxa"/>
              <w:left w:w="57" w:type="dxa"/>
              <w:bottom w:w="57" w:type="dxa"/>
              <w:right w:w="57" w:type="dxa"/>
            </w:tcMar>
            <w:vAlign w:val="center"/>
          </w:tcPr>
          <w:p w14:paraId="6C930E23" w14:textId="77777777" w:rsidR="00123CA8" w:rsidRPr="00E0162C" w:rsidRDefault="00123CA8" w:rsidP="00123CA8">
            <w:pPr>
              <w:spacing w:after="0"/>
              <w:rPr>
                <w:noProof/>
                <w:sz w:val="20"/>
                <w:szCs w:val="20"/>
                <w:lang w:val="fr-BE"/>
              </w:rPr>
            </w:pPr>
          </w:p>
        </w:tc>
        <w:tc>
          <w:tcPr>
            <w:tcW w:w="1575" w:type="dxa"/>
            <w:tcBorders>
              <w:right w:val="double" w:sz="4" w:space="0" w:color="auto"/>
            </w:tcBorders>
            <w:tcMar>
              <w:top w:w="57" w:type="dxa"/>
              <w:left w:w="57" w:type="dxa"/>
              <w:bottom w:w="57" w:type="dxa"/>
              <w:right w:w="57" w:type="dxa"/>
            </w:tcMar>
            <w:vAlign w:val="center"/>
          </w:tcPr>
          <w:p w14:paraId="60923A51" w14:textId="77777777" w:rsidR="00123CA8" w:rsidRPr="00F92EAE" w:rsidRDefault="0D517014" w:rsidP="00123CA8">
            <w:pPr>
              <w:spacing w:after="0"/>
              <w:jc w:val="left"/>
              <w:rPr>
                <w:noProof/>
                <w:sz w:val="20"/>
                <w:szCs w:val="20"/>
              </w:rPr>
            </w:pPr>
            <w:r w:rsidRPr="1599A2D9">
              <w:rPr>
                <w:noProof/>
                <w:sz w:val="20"/>
                <w:szCs w:val="20"/>
              </w:rPr>
              <w:t>Direct administrative costs</w:t>
            </w:r>
          </w:p>
        </w:tc>
        <w:tc>
          <w:tcPr>
            <w:tcW w:w="1110" w:type="dxa"/>
            <w:tcBorders>
              <w:left w:val="double" w:sz="4" w:space="0" w:color="auto"/>
            </w:tcBorders>
            <w:tcMar>
              <w:top w:w="57" w:type="dxa"/>
              <w:left w:w="57" w:type="dxa"/>
              <w:bottom w:w="57" w:type="dxa"/>
              <w:right w:w="57" w:type="dxa"/>
            </w:tcMar>
            <w:vAlign w:val="center"/>
          </w:tcPr>
          <w:p w14:paraId="64D41AF4" w14:textId="5FC953EB" w:rsidR="00123CA8" w:rsidRPr="00F92EAE" w:rsidRDefault="0D517014" w:rsidP="00123CA8">
            <w:pPr>
              <w:spacing w:after="0"/>
              <w:rPr>
                <w:noProof/>
                <w:sz w:val="20"/>
                <w:szCs w:val="20"/>
              </w:rPr>
            </w:pPr>
            <w:r w:rsidRPr="1599A2D9">
              <w:rPr>
                <w:noProof/>
                <w:sz w:val="20"/>
                <w:szCs w:val="20"/>
              </w:rPr>
              <w:t>None</w:t>
            </w:r>
          </w:p>
        </w:tc>
        <w:tc>
          <w:tcPr>
            <w:tcW w:w="1091" w:type="dxa"/>
            <w:tcMar>
              <w:top w:w="57" w:type="dxa"/>
              <w:left w:w="57" w:type="dxa"/>
              <w:bottom w:w="57" w:type="dxa"/>
              <w:right w:w="57" w:type="dxa"/>
            </w:tcMar>
            <w:vAlign w:val="center"/>
          </w:tcPr>
          <w:p w14:paraId="381AE133" w14:textId="6B606C08" w:rsidR="00123CA8" w:rsidRPr="00F92EAE" w:rsidRDefault="0D517014" w:rsidP="00123CA8">
            <w:pPr>
              <w:spacing w:after="0"/>
              <w:rPr>
                <w:noProof/>
                <w:sz w:val="20"/>
                <w:szCs w:val="20"/>
              </w:rPr>
            </w:pPr>
            <w:r w:rsidRPr="1599A2D9">
              <w:rPr>
                <w:noProof/>
                <w:sz w:val="20"/>
                <w:szCs w:val="20"/>
              </w:rPr>
              <w:t>None</w:t>
            </w:r>
          </w:p>
        </w:tc>
        <w:tc>
          <w:tcPr>
            <w:tcW w:w="1388" w:type="dxa"/>
            <w:tcMar>
              <w:top w:w="57" w:type="dxa"/>
              <w:left w:w="57" w:type="dxa"/>
              <w:bottom w:w="57" w:type="dxa"/>
              <w:right w:w="57" w:type="dxa"/>
            </w:tcMar>
            <w:vAlign w:val="center"/>
          </w:tcPr>
          <w:p w14:paraId="7A3E4434" w14:textId="6F565305" w:rsidR="00123CA8" w:rsidRPr="00F92EAE" w:rsidRDefault="1356C9CD" w:rsidP="00123CA8">
            <w:pPr>
              <w:spacing w:after="0"/>
              <w:rPr>
                <w:noProof/>
                <w:sz w:val="20"/>
                <w:szCs w:val="20"/>
              </w:rPr>
            </w:pPr>
            <w:r w:rsidRPr="4321A1A3">
              <w:rPr>
                <w:noProof/>
                <w:sz w:val="20"/>
                <w:szCs w:val="20"/>
              </w:rPr>
              <w:t>None</w:t>
            </w:r>
          </w:p>
        </w:tc>
        <w:tc>
          <w:tcPr>
            <w:tcW w:w="1387" w:type="dxa"/>
            <w:tcMar>
              <w:top w:w="57" w:type="dxa"/>
              <w:left w:w="57" w:type="dxa"/>
              <w:bottom w:w="57" w:type="dxa"/>
              <w:right w:w="57" w:type="dxa"/>
            </w:tcMar>
            <w:vAlign w:val="center"/>
          </w:tcPr>
          <w:p w14:paraId="41CB878F" w14:textId="31FC4641" w:rsidR="00123CA8" w:rsidRPr="00F92EAE" w:rsidRDefault="0985E90E" w:rsidP="4321A1A3">
            <w:pPr>
              <w:spacing w:after="0"/>
              <w:rPr>
                <w:noProof/>
                <w:sz w:val="20"/>
                <w:szCs w:val="20"/>
              </w:rPr>
            </w:pPr>
            <w:r w:rsidRPr="4321A1A3">
              <w:rPr>
                <w:noProof/>
                <w:sz w:val="20"/>
                <w:szCs w:val="20"/>
              </w:rPr>
              <w:t xml:space="preserve">Potential </w:t>
            </w:r>
            <w:r w:rsidR="75622C79" w:rsidRPr="4321A1A3">
              <w:rPr>
                <w:noProof/>
                <w:sz w:val="20"/>
                <w:szCs w:val="20"/>
              </w:rPr>
              <w:t>r</w:t>
            </w:r>
            <w:r w:rsidR="7792CB21" w:rsidRPr="4321A1A3">
              <w:rPr>
                <w:noProof/>
                <w:sz w:val="20"/>
                <w:szCs w:val="20"/>
              </w:rPr>
              <w:t xml:space="preserve">ecurrent costs for TIN verification scheme </w:t>
            </w:r>
            <w:r w:rsidR="3FD63519" w:rsidRPr="4321A1A3">
              <w:rPr>
                <w:noProof/>
                <w:sz w:val="20"/>
                <w:szCs w:val="20"/>
              </w:rPr>
              <w:t xml:space="preserve">if used by reporting entities </w:t>
            </w:r>
          </w:p>
        </w:tc>
        <w:tc>
          <w:tcPr>
            <w:tcW w:w="1336" w:type="dxa"/>
            <w:tcMar>
              <w:top w:w="57" w:type="dxa"/>
              <w:left w:w="57" w:type="dxa"/>
              <w:bottom w:w="57" w:type="dxa"/>
              <w:right w:w="57" w:type="dxa"/>
            </w:tcMar>
            <w:vAlign w:val="center"/>
          </w:tcPr>
          <w:p w14:paraId="381C5EC7" w14:textId="746DF2A9" w:rsidR="00123CA8" w:rsidRPr="00F92EAE" w:rsidRDefault="69B026F8" w:rsidP="00123CA8">
            <w:pPr>
              <w:spacing w:after="0"/>
              <w:rPr>
                <w:noProof/>
                <w:sz w:val="20"/>
                <w:szCs w:val="20"/>
              </w:rPr>
            </w:pPr>
            <w:r w:rsidRPr="4321A1A3">
              <w:rPr>
                <w:noProof/>
                <w:sz w:val="20"/>
                <w:szCs w:val="20"/>
              </w:rPr>
              <w:t>None</w:t>
            </w:r>
          </w:p>
        </w:tc>
        <w:tc>
          <w:tcPr>
            <w:tcW w:w="1364" w:type="dxa"/>
            <w:tcMar>
              <w:top w:w="57" w:type="dxa"/>
              <w:left w:w="57" w:type="dxa"/>
              <w:bottom w:w="57" w:type="dxa"/>
              <w:right w:w="57" w:type="dxa"/>
            </w:tcMar>
            <w:vAlign w:val="center"/>
          </w:tcPr>
          <w:p w14:paraId="336CCC5D" w14:textId="362008AD" w:rsidR="00123CA8" w:rsidRPr="00F92EAE" w:rsidRDefault="00123CA8" w:rsidP="4321A1A3">
            <w:pPr>
              <w:spacing w:after="0"/>
              <w:rPr>
                <w:noProof/>
                <w:sz w:val="20"/>
                <w:szCs w:val="20"/>
              </w:rPr>
            </w:pPr>
          </w:p>
        </w:tc>
      </w:tr>
      <w:tr w:rsidR="003E7425" w:rsidRPr="00F92EAE" w14:paraId="0E1AD2AE" w14:textId="77777777" w:rsidTr="008E1600">
        <w:trPr>
          <w:trHeight w:val="307"/>
        </w:trPr>
        <w:tc>
          <w:tcPr>
            <w:tcW w:w="972" w:type="dxa"/>
            <w:vMerge/>
            <w:tcMar>
              <w:top w:w="57" w:type="dxa"/>
              <w:left w:w="57" w:type="dxa"/>
              <w:bottom w:w="57" w:type="dxa"/>
              <w:right w:w="57" w:type="dxa"/>
            </w:tcMar>
            <w:vAlign w:val="center"/>
          </w:tcPr>
          <w:p w14:paraId="5398C9FD" w14:textId="77777777" w:rsidR="003E7425" w:rsidRPr="00F92EAE" w:rsidRDefault="003E7425" w:rsidP="003E7425">
            <w:pPr>
              <w:spacing w:after="0"/>
              <w:rPr>
                <w:noProof/>
                <w:sz w:val="20"/>
                <w:szCs w:val="20"/>
              </w:rPr>
            </w:pPr>
          </w:p>
        </w:tc>
        <w:tc>
          <w:tcPr>
            <w:tcW w:w="1575" w:type="dxa"/>
            <w:tcBorders>
              <w:right w:val="double" w:sz="4" w:space="0" w:color="auto"/>
            </w:tcBorders>
            <w:tcMar>
              <w:top w:w="57" w:type="dxa"/>
              <w:left w:w="57" w:type="dxa"/>
              <w:bottom w:w="57" w:type="dxa"/>
              <w:right w:w="57" w:type="dxa"/>
            </w:tcMar>
            <w:vAlign w:val="center"/>
          </w:tcPr>
          <w:p w14:paraId="2789C6A7" w14:textId="77777777" w:rsidR="003E7425" w:rsidRPr="00F92EAE" w:rsidRDefault="003E7425" w:rsidP="003E7425">
            <w:pPr>
              <w:spacing w:after="0"/>
              <w:jc w:val="left"/>
              <w:rPr>
                <w:noProof/>
                <w:sz w:val="20"/>
                <w:szCs w:val="20"/>
              </w:rPr>
            </w:pPr>
            <w:r w:rsidRPr="1599A2D9">
              <w:rPr>
                <w:noProof/>
                <w:sz w:val="20"/>
                <w:szCs w:val="20"/>
              </w:rPr>
              <w:t>Direct regulatory fees and charges</w:t>
            </w:r>
          </w:p>
        </w:tc>
        <w:tc>
          <w:tcPr>
            <w:tcW w:w="1110" w:type="dxa"/>
            <w:tcBorders>
              <w:left w:val="double" w:sz="4" w:space="0" w:color="auto"/>
            </w:tcBorders>
            <w:tcMar>
              <w:top w:w="57" w:type="dxa"/>
              <w:left w:w="57" w:type="dxa"/>
              <w:bottom w:w="57" w:type="dxa"/>
              <w:right w:w="57" w:type="dxa"/>
            </w:tcMar>
            <w:vAlign w:val="center"/>
          </w:tcPr>
          <w:p w14:paraId="6B96C30A" w14:textId="626B0C79" w:rsidR="003E7425" w:rsidRPr="00F92EAE" w:rsidRDefault="003E7425" w:rsidP="003E7425">
            <w:pPr>
              <w:spacing w:after="0"/>
              <w:rPr>
                <w:noProof/>
                <w:sz w:val="20"/>
                <w:szCs w:val="20"/>
              </w:rPr>
            </w:pPr>
            <w:r w:rsidRPr="1599A2D9">
              <w:rPr>
                <w:noProof/>
                <w:sz w:val="20"/>
                <w:szCs w:val="20"/>
              </w:rPr>
              <w:t>None</w:t>
            </w:r>
          </w:p>
        </w:tc>
        <w:tc>
          <w:tcPr>
            <w:tcW w:w="1091" w:type="dxa"/>
            <w:tcMar>
              <w:top w:w="57" w:type="dxa"/>
              <w:left w:w="57" w:type="dxa"/>
              <w:bottom w:w="57" w:type="dxa"/>
              <w:right w:w="57" w:type="dxa"/>
            </w:tcMar>
            <w:vAlign w:val="center"/>
          </w:tcPr>
          <w:p w14:paraId="11C556B0" w14:textId="1365C436" w:rsidR="003E7425" w:rsidRPr="00F92EAE" w:rsidRDefault="003E7425" w:rsidP="003E7425">
            <w:pPr>
              <w:spacing w:after="0"/>
              <w:rPr>
                <w:noProof/>
                <w:sz w:val="20"/>
                <w:szCs w:val="20"/>
              </w:rPr>
            </w:pPr>
            <w:r w:rsidRPr="1599A2D9">
              <w:rPr>
                <w:noProof/>
                <w:sz w:val="20"/>
                <w:szCs w:val="20"/>
              </w:rPr>
              <w:t>None</w:t>
            </w:r>
          </w:p>
        </w:tc>
        <w:tc>
          <w:tcPr>
            <w:tcW w:w="1388" w:type="dxa"/>
            <w:tcMar>
              <w:top w:w="57" w:type="dxa"/>
              <w:left w:w="57" w:type="dxa"/>
              <w:bottom w:w="57" w:type="dxa"/>
              <w:right w:w="57" w:type="dxa"/>
            </w:tcMar>
          </w:tcPr>
          <w:p w14:paraId="5A9B61BF" w14:textId="2A96217D" w:rsidR="003E7425" w:rsidRPr="00F92EAE" w:rsidRDefault="003E7425" w:rsidP="003E7425">
            <w:pPr>
              <w:spacing w:after="0"/>
              <w:rPr>
                <w:noProof/>
                <w:sz w:val="20"/>
                <w:szCs w:val="20"/>
              </w:rPr>
            </w:pPr>
            <w:r w:rsidRPr="0021688F">
              <w:rPr>
                <w:noProof/>
                <w:sz w:val="20"/>
                <w:szCs w:val="20"/>
              </w:rPr>
              <w:t>None</w:t>
            </w:r>
          </w:p>
        </w:tc>
        <w:tc>
          <w:tcPr>
            <w:tcW w:w="1387" w:type="dxa"/>
            <w:tcMar>
              <w:top w:w="57" w:type="dxa"/>
              <w:left w:w="57" w:type="dxa"/>
              <w:bottom w:w="57" w:type="dxa"/>
              <w:right w:w="57" w:type="dxa"/>
            </w:tcMar>
          </w:tcPr>
          <w:p w14:paraId="1601C4FD" w14:textId="07D9B63B" w:rsidR="003E7425" w:rsidRPr="00F92EAE" w:rsidRDefault="003E7425" w:rsidP="003E7425">
            <w:pPr>
              <w:spacing w:after="0"/>
              <w:rPr>
                <w:noProof/>
                <w:sz w:val="20"/>
                <w:szCs w:val="20"/>
              </w:rPr>
            </w:pPr>
            <w:r w:rsidRPr="0021688F">
              <w:rPr>
                <w:noProof/>
                <w:sz w:val="20"/>
                <w:szCs w:val="20"/>
              </w:rPr>
              <w:t>None</w:t>
            </w:r>
          </w:p>
        </w:tc>
        <w:tc>
          <w:tcPr>
            <w:tcW w:w="1336" w:type="dxa"/>
            <w:tcMar>
              <w:top w:w="57" w:type="dxa"/>
              <w:left w:w="57" w:type="dxa"/>
              <w:bottom w:w="57" w:type="dxa"/>
              <w:right w:w="57" w:type="dxa"/>
            </w:tcMar>
          </w:tcPr>
          <w:p w14:paraId="5CEEE743" w14:textId="559B8F7E" w:rsidR="003E7425" w:rsidRPr="00F92EAE" w:rsidRDefault="003E7425" w:rsidP="003E7425">
            <w:pPr>
              <w:spacing w:after="0"/>
              <w:rPr>
                <w:noProof/>
                <w:sz w:val="20"/>
                <w:szCs w:val="20"/>
              </w:rPr>
            </w:pPr>
            <w:r w:rsidRPr="0021688F">
              <w:rPr>
                <w:noProof/>
                <w:sz w:val="20"/>
                <w:szCs w:val="20"/>
              </w:rPr>
              <w:t>None</w:t>
            </w:r>
          </w:p>
        </w:tc>
        <w:tc>
          <w:tcPr>
            <w:tcW w:w="1364" w:type="dxa"/>
            <w:tcMar>
              <w:top w:w="57" w:type="dxa"/>
              <w:left w:w="57" w:type="dxa"/>
              <w:bottom w:w="57" w:type="dxa"/>
              <w:right w:w="57" w:type="dxa"/>
            </w:tcMar>
          </w:tcPr>
          <w:p w14:paraId="542AEEDF" w14:textId="702000CB" w:rsidR="003E7425" w:rsidRPr="00F92EAE" w:rsidRDefault="003E7425" w:rsidP="003E7425">
            <w:pPr>
              <w:spacing w:after="0"/>
              <w:rPr>
                <w:noProof/>
                <w:sz w:val="20"/>
                <w:szCs w:val="20"/>
              </w:rPr>
            </w:pPr>
            <w:r w:rsidRPr="0021688F">
              <w:rPr>
                <w:noProof/>
                <w:sz w:val="20"/>
                <w:szCs w:val="20"/>
              </w:rPr>
              <w:t>None</w:t>
            </w:r>
          </w:p>
        </w:tc>
      </w:tr>
      <w:tr w:rsidR="00123CA8" w:rsidRPr="00F92EAE" w14:paraId="3008C00B" w14:textId="77777777" w:rsidTr="4321A1A3">
        <w:trPr>
          <w:trHeight w:val="307"/>
        </w:trPr>
        <w:tc>
          <w:tcPr>
            <w:tcW w:w="972" w:type="dxa"/>
            <w:vMerge/>
            <w:tcMar>
              <w:top w:w="57" w:type="dxa"/>
              <w:left w:w="57" w:type="dxa"/>
              <w:bottom w:w="57" w:type="dxa"/>
              <w:right w:w="57" w:type="dxa"/>
            </w:tcMar>
            <w:vAlign w:val="center"/>
          </w:tcPr>
          <w:p w14:paraId="361125BE" w14:textId="77777777" w:rsidR="00123CA8" w:rsidRPr="00F92EAE" w:rsidRDefault="00123CA8" w:rsidP="00123CA8">
            <w:pPr>
              <w:spacing w:after="0"/>
              <w:rPr>
                <w:noProof/>
                <w:sz w:val="20"/>
                <w:szCs w:val="20"/>
              </w:rPr>
            </w:pPr>
          </w:p>
        </w:tc>
        <w:tc>
          <w:tcPr>
            <w:tcW w:w="1575" w:type="dxa"/>
            <w:tcBorders>
              <w:right w:val="double" w:sz="4" w:space="0" w:color="auto"/>
            </w:tcBorders>
            <w:tcMar>
              <w:top w:w="57" w:type="dxa"/>
              <w:left w:w="57" w:type="dxa"/>
              <w:bottom w:w="57" w:type="dxa"/>
              <w:right w:w="57" w:type="dxa"/>
            </w:tcMar>
            <w:vAlign w:val="center"/>
          </w:tcPr>
          <w:p w14:paraId="4AE1BD45" w14:textId="77777777" w:rsidR="00123CA8" w:rsidRPr="00F92EAE" w:rsidRDefault="0D517014" w:rsidP="00123CA8">
            <w:pPr>
              <w:spacing w:after="0"/>
              <w:jc w:val="left"/>
              <w:rPr>
                <w:noProof/>
                <w:sz w:val="20"/>
                <w:szCs w:val="20"/>
              </w:rPr>
            </w:pPr>
            <w:r w:rsidRPr="1599A2D9">
              <w:rPr>
                <w:noProof/>
                <w:sz w:val="20"/>
                <w:szCs w:val="20"/>
              </w:rPr>
              <w:t>Direct enforcement costs</w:t>
            </w:r>
          </w:p>
        </w:tc>
        <w:tc>
          <w:tcPr>
            <w:tcW w:w="1110" w:type="dxa"/>
            <w:tcBorders>
              <w:left w:val="double" w:sz="4" w:space="0" w:color="auto"/>
            </w:tcBorders>
            <w:tcMar>
              <w:top w:w="57" w:type="dxa"/>
              <w:left w:w="57" w:type="dxa"/>
              <w:bottom w:w="57" w:type="dxa"/>
              <w:right w:w="57" w:type="dxa"/>
            </w:tcMar>
            <w:vAlign w:val="center"/>
          </w:tcPr>
          <w:p w14:paraId="5126D256" w14:textId="049E1746" w:rsidR="00123CA8" w:rsidRPr="00F92EAE" w:rsidRDefault="0D517014" w:rsidP="00123CA8">
            <w:pPr>
              <w:spacing w:after="0"/>
              <w:rPr>
                <w:noProof/>
                <w:sz w:val="20"/>
                <w:szCs w:val="20"/>
              </w:rPr>
            </w:pPr>
            <w:r w:rsidRPr="1599A2D9">
              <w:rPr>
                <w:noProof/>
                <w:sz w:val="20"/>
                <w:szCs w:val="20"/>
              </w:rPr>
              <w:t>None</w:t>
            </w:r>
          </w:p>
        </w:tc>
        <w:tc>
          <w:tcPr>
            <w:tcW w:w="1091" w:type="dxa"/>
            <w:tcMar>
              <w:top w:w="57" w:type="dxa"/>
              <w:left w:w="57" w:type="dxa"/>
              <w:bottom w:w="57" w:type="dxa"/>
              <w:right w:w="57" w:type="dxa"/>
            </w:tcMar>
            <w:vAlign w:val="center"/>
          </w:tcPr>
          <w:p w14:paraId="59601804" w14:textId="42046935" w:rsidR="00123CA8" w:rsidRPr="00F92EAE" w:rsidRDefault="0D517014" w:rsidP="00123CA8">
            <w:pPr>
              <w:spacing w:after="0"/>
              <w:rPr>
                <w:noProof/>
                <w:sz w:val="20"/>
                <w:szCs w:val="20"/>
              </w:rPr>
            </w:pPr>
            <w:r w:rsidRPr="1599A2D9">
              <w:rPr>
                <w:noProof/>
                <w:sz w:val="20"/>
                <w:szCs w:val="20"/>
              </w:rPr>
              <w:t>None</w:t>
            </w:r>
          </w:p>
        </w:tc>
        <w:tc>
          <w:tcPr>
            <w:tcW w:w="1388" w:type="dxa"/>
            <w:tcMar>
              <w:top w:w="57" w:type="dxa"/>
              <w:left w:w="57" w:type="dxa"/>
              <w:bottom w:w="57" w:type="dxa"/>
              <w:right w:w="57" w:type="dxa"/>
            </w:tcMar>
            <w:vAlign w:val="center"/>
          </w:tcPr>
          <w:p w14:paraId="56862512" w14:textId="1C3512F2" w:rsidR="00123CA8" w:rsidRPr="00F92EAE" w:rsidRDefault="0D517014" w:rsidP="00123CA8">
            <w:pPr>
              <w:spacing w:after="0"/>
              <w:rPr>
                <w:noProof/>
                <w:sz w:val="20"/>
                <w:szCs w:val="20"/>
              </w:rPr>
            </w:pPr>
            <w:r w:rsidRPr="1599A2D9">
              <w:rPr>
                <w:noProof/>
                <w:sz w:val="20"/>
                <w:szCs w:val="20"/>
              </w:rPr>
              <w:t>Non-identified</w:t>
            </w:r>
          </w:p>
        </w:tc>
        <w:tc>
          <w:tcPr>
            <w:tcW w:w="1387" w:type="dxa"/>
            <w:tcMar>
              <w:top w:w="57" w:type="dxa"/>
              <w:left w:w="57" w:type="dxa"/>
              <w:bottom w:w="57" w:type="dxa"/>
              <w:right w:w="57" w:type="dxa"/>
            </w:tcMar>
            <w:vAlign w:val="center"/>
          </w:tcPr>
          <w:p w14:paraId="734918A6" w14:textId="47242F43" w:rsidR="00123CA8" w:rsidRPr="00F92EAE" w:rsidRDefault="0D517014" w:rsidP="00123CA8">
            <w:pPr>
              <w:spacing w:after="0"/>
              <w:rPr>
                <w:noProof/>
                <w:sz w:val="20"/>
                <w:szCs w:val="20"/>
              </w:rPr>
            </w:pPr>
            <w:r w:rsidRPr="1599A2D9">
              <w:rPr>
                <w:noProof/>
                <w:sz w:val="20"/>
                <w:szCs w:val="20"/>
              </w:rPr>
              <w:t>Non-identified</w:t>
            </w:r>
          </w:p>
        </w:tc>
        <w:tc>
          <w:tcPr>
            <w:tcW w:w="1336" w:type="dxa"/>
            <w:tcMar>
              <w:top w:w="57" w:type="dxa"/>
              <w:left w:w="57" w:type="dxa"/>
              <w:bottom w:w="57" w:type="dxa"/>
              <w:right w:w="57" w:type="dxa"/>
            </w:tcMar>
            <w:vAlign w:val="center"/>
          </w:tcPr>
          <w:p w14:paraId="564394D6" w14:textId="2C3C358F" w:rsidR="00123CA8" w:rsidRPr="00F92EAE" w:rsidRDefault="0D517014" w:rsidP="00123CA8">
            <w:pPr>
              <w:spacing w:after="0"/>
              <w:rPr>
                <w:noProof/>
                <w:sz w:val="20"/>
                <w:szCs w:val="20"/>
              </w:rPr>
            </w:pPr>
            <w:r w:rsidRPr="1599A2D9">
              <w:rPr>
                <w:noProof/>
                <w:sz w:val="20"/>
                <w:szCs w:val="20"/>
              </w:rPr>
              <w:t>Non-identified</w:t>
            </w:r>
          </w:p>
        </w:tc>
        <w:tc>
          <w:tcPr>
            <w:tcW w:w="1364" w:type="dxa"/>
            <w:tcMar>
              <w:top w:w="57" w:type="dxa"/>
              <w:left w:w="57" w:type="dxa"/>
              <w:bottom w:w="57" w:type="dxa"/>
              <w:right w:w="57" w:type="dxa"/>
            </w:tcMar>
            <w:vAlign w:val="center"/>
          </w:tcPr>
          <w:p w14:paraId="79B1AB62" w14:textId="1A027479" w:rsidR="00123CA8" w:rsidRPr="00F92EAE" w:rsidRDefault="0D517014" w:rsidP="00123CA8">
            <w:pPr>
              <w:spacing w:after="0"/>
              <w:rPr>
                <w:noProof/>
                <w:sz w:val="20"/>
                <w:szCs w:val="20"/>
              </w:rPr>
            </w:pPr>
            <w:r w:rsidRPr="1599A2D9">
              <w:rPr>
                <w:noProof/>
                <w:sz w:val="20"/>
                <w:szCs w:val="20"/>
              </w:rPr>
              <w:t>Non-identified</w:t>
            </w:r>
          </w:p>
        </w:tc>
      </w:tr>
      <w:tr w:rsidR="00123CA8" w:rsidRPr="00F92EAE" w14:paraId="477CAFA7" w14:textId="77777777" w:rsidTr="4321A1A3">
        <w:tc>
          <w:tcPr>
            <w:tcW w:w="972" w:type="dxa"/>
            <w:vMerge/>
            <w:tcMar>
              <w:top w:w="57" w:type="dxa"/>
              <w:left w:w="57" w:type="dxa"/>
              <w:bottom w:w="57" w:type="dxa"/>
              <w:right w:w="57" w:type="dxa"/>
            </w:tcMar>
          </w:tcPr>
          <w:p w14:paraId="5ABC4022" w14:textId="77777777" w:rsidR="00123CA8" w:rsidRPr="00F92EAE" w:rsidRDefault="00123CA8" w:rsidP="00123CA8">
            <w:pPr>
              <w:spacing w:after="0"/>
              <w:rPr>
                <w:noProof/>
                <w:sz w:val="20"/>
                <w:szCs w:val="20"/>
              </w:rPr>
            </w:pPr>
          </w:p>
        </w:tc>
        <w:tc>
          <w:tcPr>
            <w:tcW w:w="1575"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02F545E7" w14:textId="77777777" w:rsidR="00123CA8" w:rsidRPr="00F92EAE" w:rsidRDefault="0D517014" w:rsidP="00123CA8">
            <w:pPr>
              <w:spacing w:after="0"/>
              <w:jc w:val="left"/>
              <w:rPr>
                <w:noProof/>
                <w:sz w:val="20"/>
                <w:szCs w:val="20"/>
              </w:rPr>
            </w:pPr>
            <w:r w:rsidRPr="1599A2D9">
              <w:rPr>
                <w:noProof/>
                <w:sz w:val="20"/>
                <w:szCs w:val="20"/>
              </w:rPr>
              <w:t>Indirect costs</w:t>
            </w:r>
          </w:p>
        </w:tc>
        <w:tc>
          <w:tcPr>
            <w:tcW w:w="1110"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16875176" w14:textId="2C321C30" w:rsidR="00123CA8" w:rsidRPr="00F92EAE" w:rsidRDefault="0D517014" w:rsidP="00123CA8">
            <w:pPr>
              <w:spacing w:after="0"/>
              <w:rPr>
                <w:noProof/>
                <w:sz w:val="20"/>
                <w:szCs w:val="20"/>
              </w:rPr>
            </w:pPr>
            <w:r w:rsidRPr="1599A2D9">
              <w:rPr>
                <w:noProof/>
                <w:sz w:val="20"/>
                <w:szCs w:val="20"/>
              </w:rPr>
              <w:t>None</w:t>
            </w:r>
          </w:p>
        </w:tc>
        <w:tc>
          <w:tcPr>
            <w:tcW w:w="1091"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604CEB97" w14:textId="01DE87CA" w:rsidR="00123CA8" w:rsidRPr="00F92EAE" w:rsidRDefault="0D517014" w:rsidP="00123CA8">
            <w:pPr>
              <w:spacing w:after="0"/>
              <w:rPr>
                <w:noProof/>
                <w:sz w:val="20"/>
                <w:szCs w:val="20"/>
              </w:rPr>
            </w:pPr>
            <w:r w:rsidRPr="1599A2D9">
              <w:rPr>
                <w:noProof/>
                <w:sz w:val="20"/>
                <w:szCs w:val="20"/>
              </w:rPr>
              <w:t>None</w:t>
            </w:r>
          </w:p>
        </w:tc>
        <w:tc>
          <w:tcPr>
            <w:tcW w:w="1388"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01F6FAE4" w14:textId="3B249ADE" w:rsidR="00123CA8" w:rsidRPr="00F92EAE" w:rsidRDefault="0D517014" w:rsidP="00123CA8">
            <w:pPr>
              <w:spacing w:after="0"/>
              <w:rPr>
                <w:noProof/>
                <w:sz w:val="20"/>
                <w:szCs w:val="20"/>
              </w:rPr>
            </w:pPr>
            <w:r w:rsidRPr="1599A2D9">
              <w:rPr>
                <w:noProof/>
                <w:sz w:val="20"/>
                <w:szCs w:val="20"/>
              </w:rPr>
              <w:t>Non-identified</w:t>
            </w:r>
          </w:p>
        </w:tc>
        <w:tc>
          <w:tcPr>
            <w:tcW w:w="1387"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7B03BA0B" w14:textId="5235E6C5" w:rsidR="00123CA8" w:rsidRPr="00F92EAE" w:rsidRDefault="0D517014" w:rsidP="00123CA8">
            <w:pPr>
              <w:spacing w:after="0"/>
              <w:rPr>
                <w:noProof/>
                <w:sz w:val="20"/>
                <w:szCs w:val="20"/>
              </w:rPr>
            </w:pPr>
            <w:r w:rsidRPr="1599A2D9">
              <w:rPr>
                <w:noProof/>
                <w:sz w:val="20"/>
                <w:szCs w:val="20"/>
              </w:rPr>
              <w:t>Non-identified</w:t>
            </w:r>
          </w:p>
        </w:tc>
        <w:tc>
          <w:tcPr>
            <w:tcW w:w="1336"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59052132" w14:textId="4FDE230E" w:rsidR="00123CA8" w:rsidRPr="00F92EAE" w:rsidRDefault="0D517014" w:rsidP="00123CA8">
            <w:pPr>
              <w:spacing w:after="0"/>
              <w:rPr>
                <w:noProof/>
                <w:sz w:val="20"/>
                <w:szCs w:val="20"/>
              </w:rPr>
            </w:pPr>
            <w:r w:rsidRPr="1599A2D9">
              <w:rPr>
                <w:noProof/>
                <w:sz w:val="20"/>
                <w:szCs w:val="20"/>
              </w:rPr>
              <w:t>Non-identified</w:t>
            </w:r>
          </w:p>
        </w:tc>
        <w:tc>
          <w:tcPr>
            <w:tcW w:w="1364"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34D76CFB" w14:textId="659AB4A8" w:rsidR="00123CA8" w:rsidRPr="00F92EAE" w:rsidRDefault="0D517014" w:rsidP="00123CA8">
            <w:pPr>
              <w:spacing w:after="0"/>
              <w:rPr>
                <w:noProof/>
                <w:sz w:val="20"/>
                <w:szCs w:val="20"/>
              </w:rPr>
            </w:pPr>
            <w:r w:rsidRPr="1599A2D9">
              <w:rPr>
                <w:noProof/>
                <w:sz w:val="20"/>
                <w:szCs w:val="20"/>
              </w:rPr>
              <w:t>Non-identified</w:t>
            </w:r>
          </w:p>
        </w:tc>
      </w:tr>
    </w:tbl>
    <w:p w14:paraId="156B64AD" w14:textId="2A9CE851" w:rsidR="00B95D88" w:rsidRPr="00C22AB4" w:rsidRDefault="00B95D88" w:rsidP="0059106A">
      <w:pPr>
        <w:pStyle w:val="ListParagraph"/>
        <w:numPr>
          <w:ilvl w:val="0"/>
          <w:numId w:val="23"/>
        </w:numPr>
        <w:rPr>
          <w:i/>
          <w:iCs/>
          <w:noProof/>
          <w:sz w:val="20"/>
          <w:szCs w:val="20"/>
        </w:rPr>
      </w:pPr>
      <w:r w:rsidRPr="1599A2D9">
        <w:rPr>
          <w:i/>
          <w:iCs/>
          <w:noProof/>
          <w:sz w:val="20"/>
          <w:szCs w:val="20"/>
        </w:rPr>
        <w:t xml:space="preserve">Estimates (gross values) to be provided with respect to the baseline; (2) costs are provided for each identifiable action/obligation of the </w:t>
      </w:r>
      <w:r w:rsidRPr="1599A2D9">
        <w:rPr>
          <w:i/>
          <w:iCs/>
          <w:noProof/>
          <w:sz w:val="20"/>
          <w:szCs w:val="20"/>
          <w:u w:val="single"/>
        </w:rPr>
        <w:t>preferred</w:t>
      </w:r>
      <w:r w:rsidRPr="1599A2D9">
        <w:rPr>
          <w:i/>
          <w:iCs/>
          <w:noProof/>
          <w:sz w:val="20"/>
          <w:szCs w:val="20"/>
        </w:rPr>
        <w:t xml:space="preserve"> option otherwise for all retained options when no preferred option is specified; (3) If relevant and available, please present information on costs according to the standard typology of costs (adjustment costs, administrative costs, regulatory charges, enforcement costs, indirect costs</w:t>
      </w:r>
      <w:r w:rsidRPr="3959C9FC">
        <w:rPr>
          <w:i/>
          <w:iCs/>
          <w:noProof/>
          <w:sz w:val="20"/>
          <w:szCs w:val="20"/>
        </w:rPr>
        <w:t>).</w:t>
      </w:r>
      <w:r w:rsidRPr="1599A2D9">
        <w:rPr>
          <w:i/>
          <w:iCs/>
          <w:noProof/>
          <w:sz w:val="20"/>
          <w:szCs w:val="20"/>
        </w:rPr>
        <w:t xml:space="preserve"> </w:t>
      </w:r>
    </w:p>
    <w:p w14:paraId="7F00D77D" w14:textId="6820BA4C" w:rsidR="1599A2D9" w:rsidRDefault="1599A2D9" w:rsidP="1599A2D9">
      <w:pPr>
        <w:rPr>
          <w:i/>
          <w:iCs/>
          <w:noProof/>
          <w:sz w:val="20"/>
          <w:szCs w:val="20"/>
        </w:rPr>
      </w:pPr>
    </w:p>
    <w:p w14:paraId="5401ED81" w14:textId="77777777" w:rsidR="00B95D88" w:rsidRDefault="00B95D88" w:rsidP="00B95D88">
      <w:pPr>
        <w:pStyle w:val="ListParagraph"/>
        <w:ind w:left="-207"/>
        <w:rPr>
          <w:noProof/>
          <w:sz w:val="22"/>
          <w:szCs w:val="22"/>
        </w:rPr>
      </w:pPr>
    </w:p>
    <w:p w14:paraId="0CA8CDBA" w14:textId="77777777" w:rsidR="00D6565B" w:rsidRPr="003506A0" w:rsidRDefault="00D6565B" w:rsidP="00B95D88">
      <w:pPr>
        <w:pStyle w:val="ListParagraph"/>
        <w:ind w:left="-207"/>
        <w:rPr>
          <w:noProof/>
          <w:sz w:val="22"/>
          <w:szCs w:val="22"/>
        </w:rPr>
      </w:pPr>
    </w:p>
    <w:tbl>
      <w:tblPr>
        <w:tblW w:w="10228" w:type="dxa"/>
        <w:tblInd w:w="-459" w:type="dxa"/>
        <w:tblLook w:val="04A0" w:firstRow="1" w:lastRow="0" w:firstColumn="1" w:lastColumn="0" w:noHBand="0" w:noVBand="1"/>
      </w:tblPr>
      <w:tblGrid>
        <w:gridCol w:w="1721"/>
        <w:gridCol w:w="2011"/>
        <w:gridCol w:w="2011"/>
        <w:gridCol w:w="1304"/>
        <w:gridCol w:w="1593"/>
        <w:gridCol w:w="1588"/>
      </w:tblGrid>
      <w:tr w:rsidR="00B95D88" w14:paraId="72A404FD" w14:textId="77777777" w:rsidTr="4321A1A3">
        <w:trPr>
          <w:trHeight w:val="300"/>
        </w:trPr>
        <w:tc>
          <w:tcPr>
            <w:tcW w:w="10228" w:type="dxa"/>
            <w:gridSpan w:val="6"/>
            <w:tcBorders>
              <w:top w:val="double" w:sz="4" w:space="0" w:color="auto"/>
              <w:left w:val="double" w:sz="4" w:space="0" w:color="auto"/>
              <w:bottom w:val="single" w:sz="8" w:space="0" w:color="auto"/>
              <w:right w:val="double" w:sz="4" w:space="0" w:color="auto"/>
            </w:tcBorders>
            <w:shd w:val="clear" w:color="auto" w:fill="C6D9F1" w:themeFill="text2" w:themeFillTint="33"/>
            <w:tcMar>
              <w:top w:w="0" w:type="dxa"/>
              <w:left w:w="108" w:type="dxa"/>
              <w:bottom w:w="0" w:type="dxa"/>
              <w:right w:w="108" w:type="dxa"/>
            </w:tcMar>
            <w:vAlign w:val="center"/>
          </w:tcPr>
          <w:p w14:paraId="070A27AF" w14:textId="27A37BD5" w:rsidR="00B95D88" w:rsidRDefault="00B95D88">
            <w:pPr>
              <w:spacing w:after="0"/>
              <w:rPr>
                <w:rFonts w:eastAsia="Times New Roman"/>
                <w:b/>
                <w:bCs/>
                <w:noProof/>
                <w:sz w:val="20"/>
                <w:szCs w:val="20"/>
              </w:rPr>
            </w:pPr>
            <w:bookmarkStart w:id="67" w:name="_Hlk126312867"/>
            <w:r w:rsidRPr="1599A2D9">
              <w:rPr>
                <w:rFonts w:eastAsia="Times New Roman"/>
                <w:b/>
                <w:bCs/>
                <w:noProof/>
                <w:sz w:val="20"/>
                <w:szCs w:val="20"/>
              </w:rPr>
              <w:t>III. Contribution to the administrative burden reduction targets – Preferred option(s)</w:t>
            </w:r>
          </w:p>
          <w:p w14:paraId="5FBF89E6" w14:textId="666AA859" w:rsidR="00F76C5A" w:rsidRDefault="00F76C5A">
            <w:pPr>
              <w:spacing w:after="0"/>
              <w:rPr>
                <w:rFonts w:eastAsia="Times New Roman"/>
                <w:b/>
                <w:bCs/>
                <w:noProof/>
                <w:sz w:val="20"/>
                <w:szCs w:val="20"/>
              </w:rPr>
            </w:pPr>
          </w:p>
          <w:p w14:paraId="01DC22E7" w14:textId="6DB9776A" w:rsidR="00166752" w:rsidRDefault="72554F34">
            <w:pPr>
              <w:spacing w:after="0"/>
              <w:rPr>
                <w:rFonts w:eastAsia="Times New Roman"/>
                <w:noProof/>
                <w:sz w:val="20"/>
                <w:szCs w:val="20"/>
              </w:rPr>
            </w:pPr>
            <w:r w:rsidRPr="1599A2D9">
              <w:rPr>
                <w:rFonts w:eastAsia="Times New Roman"/>
                <w:noProof/>
                <w:sz w:val="20"/>
                <w:szCs w:val="20"/>
              </w:rPr>
              <w:t xml:space="preserve">Measure 1 (DAC6): Excludes Pillar 2 companies and removes Category A hallmarks. It targets a EUR </w:t>
            </w:r>
            <w:r w:rsidR="007C692C">
              <w:rPr>
                <w:rFonts w:eastAsia="Times New Roman"/>
                <w:noProof/>
                <w:sz w:val="20"/>
                <w:szCs w:val="20"/>
              </w:rPr>
              <w:t>341</w:t>
            </w:r>
            <w:r w:rsidR="007C692C" w:rsidRPr="1599A2D9">
              <w:rPr>
                <w:rFonts w:eastAsia="Times New Roman"/>
                <w:noProof/>
                <w:sz w:val="20"/>
                <w:szCs w:val="20"/>
              </w:rPr>
              <w:t xml:space="preserve"> </w:t>
            </w:r>
            <w:r w:rsidRPr="1599A2D9">
              <w:rPr>
                <w:rFonts w:eastAsia="Times New Roman"/>
                <w:noProof/>
                <w:sz w:val="20"/>
                <w:szCs w:val="20"/>
              </w:rPr>
              <w:t>million total annual reduction in compliance costs for businesses.</w:t>
            </w:r>
          </w:p>
          <w:p w14:paraId="0E69D54F" w14:textId="5D06C62A" w:rsidR="00166752" w:rsidRDefault="00166752">
            <w:pPr>
              <w:spacing w:after="0"/>
              <w:rPr>
                <w:rFonts w:eastAsia="Times New Roman"/>
                <w:noProof/>
                <w:sz w:val="20"/>
                <w:szCs w:val="20"/>
              </w:rPr>
            </w:pPr>
          </w:p>
          <w:p w14:paraId="06B07E63" w14:textId="168F9033" w:rsidR="00166752" w:rsidRDefault="05A47A1A">
            <w:pPr>
              <w:spacing w:after="0"/>
              <w:rPr>
                <w:rFonts w:eastAsia="Times New Roman"/>
                <w:noProof/>
                <w:sz w:val="20"/>
                <w:szCs w:val="20"/>
              </w:rPr>
            </w:pPr>
            <w:r w:rsidRPr="4321A1A3">
              <w:rPr>
                <w:rFonts w:eastAsia="Times New Roman"/>
                <w:noProof/>
                <w:sz w:val="20"/>
                <w:szCs w:val="20"/>
              </w:rPr>
              <w:t xml:space="preserve">Measure 2 (DAC7): Increases threshold to EUR 3,000 and removes the 30-transaction rule, reducing platform reporting costs by approximately EUR </w:t>
            </w:r>
            <w:r w:rsidR="007C692C">
              <w:rPr>
                <w:rFonts w:eastAsia="Times New Roman"/>
                <w:noProof/>
                <w:sz w:val="20"/>
                <w:szCs w:val="20"/>
              </w:rPr>
              <w:t>678</w:t>
            </w:r>
            <w:r w:rsidR="007C692C" w:rsidRPr="4321A1A3">
              <w:rPr>
                <w:rFonts w:eastAsia="Times New Roman"/>
                <w:noProof/>
                <w:sz w:val="20"/>
                <w:szCs w:val="20"/>
              </w:rPr>
              <w:t xml:space="preserve"> </w:t>
            </w:r>
            <w:r w:rsidRPr="4321A1A3">
              <w:rPr>
                <w:rFonts w:eastAsia="Times New Roman"/>
                <w:noProof/>
                <w:sz w:val="20"/>
                <w:szCs w:val="20"/>
              </w:rPr>
              <w:t>million/year.</w:t>
            </w:r>
          </w:p>
          <w:p w14:paraId="20E7E976" w14:textId="6B374958" w:rsidR="00166752" w:rsidRDefault="00166752">
            <w:pPr>
              <w:spacing w:after="0"/>
              <w:rPr>
                <w:rFonts w:eastAsia="Times New Roman"/>
                <w:noProof/>
                <w:sz w:val="20"/>
                <w:szCs w:val="20"/>
              </w:rPr>
            </w:pPr>
          </w:p>
          <w:p w14:paraId="43FE26CC" w14:textId="5670664D" w:rsidR="00166752" w:rsidRDefault="72554F34">
            <w:pPr>
              <w:spacing w:after="0"/>
              <w:rPr>
                <w:rFonts w:eastAsia="Times New Roman"/>
                <w:noProof/>
                <w:sz w:val="20"/>
                <w:szCs w:val="20"/>
              </w:rPr>
            </w:pPr>
            <w:r w:rsidRPr="1599A2D9">
              <w:rPr>
                <w:rFonts w:eastAsia="Times New Roman"/>
                <w:noProof/>
                <w:sz w:val="20"/>
                <w:szCs w:val="20"/>
              </w:rPr>
              <w:t>Measure 3 (DAC4/</w:t>
            </w:r>
            <w:r w:rsidR="007411CC">
              <w:rPr>
                <w:rFonts w:eastAsia="Times New Roman"/>
                <w:noProof/>
                <w:sz w:val="20"/>
                <w:szCs w:val="20"/>
              </w:rPr>
              <w:t>DAC9</w:t>
            </w:r>
            <w:r w:rsidRPr="1599A2D9">
              <w:rPr>
                <w:rFonts w:eastAsia="Times New Roman"/>
                <w:noProof/>
                <w:sz w:val="20"/>
                <w:szCs w:val="20"/>
              </w:rPr>
              <w:t>): Introduces central filing for notifications, saving MNEs EUR 264 million/year.</w:t>
            </w:r>
          </w:p>
          <w:p w14:paraId="752ED03B" w14:textId="6A10C5D6" w:rsidR="00166752" w:rsidRDefault="00166752">
            <w:pPr>
              <w:spacing w:after="0"/>
              <w:rPr>
                <w:rFonts w:eastAsia="Times New Roman"/>
                <w:noProof/>
                <w:sz w:val="20"/>
                <w:szCs w:val="20"/>
              </w:rPr>
            </w:pPr>
          </w:p>
          <w:p w14:paraId="7F96D3A8" w14:textId="11385A9E" w:rsidR="00D577E1" w:rsidRDefault="72554F34">
            <w:pPr>
              <w:spacing w:after="0"/>
              <w:rPr>
                <w:rFonts w:eastAsia="Times New Roman"/>
                <w:noProof/>
                <w:sz w:val="20"/>
                <w:szCs w:val="20"/>
              </w:rPr>
            </w:pPr>
            <w:r w:rsidRPr="1599A2D9">
              <w:rPr>
                <w:rFonts w:eastAsia="Times New Roman"/>
                <w:noProof/>
                <w:sz w:val="20"/>
                <w:szCs w:val="20"/>
              </w:rPr>
              <w:t xml:space="preserve">Measure 4 (TIN): </w:t>
            </w:r>
            <w:r w:rsidR="00D577E1">
              <w:rPr>
                <w:rFonts w:eastAsia="Times New Roman"/>
                <w:noProof/>
                <w:sz w:val="20"/>
                <w:szCs w:val="20"/>
              </w:rPr>
              <w:t xml:space="preserve">Establish a centralised TIN </w:t>
            </w:r>
            <w:r w:rsidR="009318E9">
              <w:rPr>
                <w:rFonts w:eastAsia="Times New Roman"/>
                <w:noProof/>
                <w:sz w:val="20"/>
                <w:szCs w:val="20"/>
              </w:rPr>
              <w:t xml:space="preserve">verification system accessible to the tax administrations of Member States and reporting entities. </w:t>
            </w:r>
          </w:p>
          <w:p w14:paraId="11E65D88" w14:textId="59A2F994" w:rsidR="00166752" w:rsidRDefault="00166752">
            <w:pPr>
              <w:spacing w:after="0"/>
              <w:rPr>
                <w:rFonts w:eastAsia="Times New Roman"/>
                <w:noProof/>
                <w:sz w:val="20"/>
                <w:szCs w:val="20"/>
              </w:rPr>
            </w:pPr>
          </w:p>
          <w:p w14:paraId="1237A0F1" w14:textId="47975210" w:rsidR="00F76C5A" w:rsidRPr="00224474" w:rsidRDefault="72554F34">
            <w:pPr>
              <w:spacing w:after="0"/>
              <w:rPr>
                <w:rFonts w:eastAsia="Times New Roman"/>
                <w:noProof/>
                <w:sz w:val="20"/>
                <w:szCs w:val="20"/>
              </w:rPr>
            </w:pPr>
            <w:r w:rsidRPr="1599A2D9">
              <w:rPr>
                <w:rFonts w:eastAsia="Times New Roman"/>
                <w:noProof/>
                <w:sz w:val="20"/>
                <w:szCs w:val="20"/>
              </w:rPr>
              <w:t>Measure 5 (DAC1): Removes life insurance products (LIP) from exchange requirements while mandating the exchange of all "available" information across other categories to close reporting gaps.</w:t>
            </w:r>
          </w:p>
          <w:p w14:paraId="731C23C0" w14:textId="31377885" w:rsidR="00F76C5A" w:rsidRDefault="00F76C5A">
            <w:pPr>
              <w:spacing w:after="0"/>
              <w:rPr>
                <w:rFonts w:eastAsia="Times New Roman"/>
                <w:b/>
                <w:bCs/>
                <w:noProof/>
                <w:sz w:val="20"/>
                <w:szCs w:val="20"/>
              </w:rPr>
            </w:pPr>
          </w:p>
          <w:p w14:paraId="76B53B39" w14:textId="1C9BBABD" w:rsidR="00166752" w:rsidRDefault="72554F34">
            <w:pPr>
              <w:spacing w:after="0"/>
              <w:rPr>
                <w:rFonts w:eastAsia="Times New Roman"/>
                <w:b/>
                <w:bCs/>
                <w:noProof/>
                <w:sz w:val="20"/>
                <w:szCs w:val="20"/>
              </w:rPr>
            </w:pPr>
            <w:r w:rsidRPr="1599A2D9">
              <w:rPr>
                <w:rFonts w:eastAsia="Times New Roman"/>
                <w:b/>
                <w:bCs/>
                <w:noProof/>
                <w:sz w:val="20"/>
                <w:szCs w:val="20"/>
              </w:rPr>
              <w:t xml:space="preserve">There is no reliable element to </w:t>
            </w:r>
            <w:r w:rsidR="59F28CF8" w:rsidRPr="1599A2D9">
              <w:rPr>
                <w:rFonts w:eastAsia="Times New Roman"/>
                <w:b/>
                <w:bCs/>
                <w:noProof/>
                <w:sz w:val="20"/>
                <w:szCs w:val="20"/>
              </w:rPr>
              <w:t>assess the following removed costs</w:t>
            </w:r>
            <w:r w:rsidR="0D063895" w:rsidRPr="1599A2D9">
              <w:rPr>
                <w:rFonts w:eastAsia="Times New Roman"/>
                <w:b/>
                <w:bCs/>
                <w:noProof/>
                <w:sz w:val="20"/>
                <w:szCs w:val="20"/>
              </w:rPr>
              <w:t xml:space="preserve"> in Euro. However, the </w:t>
            </w:r>
            <w:r w:rsidR="4CFF2DE7" w:rsidRPr="1599A2D9">
              <w:rPr>
                <w:rFonts w:eastAsia="Times New Roman"/>
                <w:b/>
                <w:bCs/>
                <w:noProof/>
                <w:sz w:val="20"/>
                <w:szCs w:val="20"/>
              </w:rPr>
              <w:t xml:space="preserve">overall benefit / costs balance should be in favour of the private stakeholders, and relatively neutral for the tax </w:t>
            </w:r>
            <w:r w:rsidR="00001943" w:rsidRPr="1599A2D9">
              <w:rPr>
                <w:rFonts w:eastAsia="Times New Roman"/>
                <w:b/>
                <w:bCs/>
                <w:noProof/>
                <w:sz w:val="20"/>
                <w:szCs w:val="20"/>
              </w:rPr>
              <w:t>administrations</w:t>
            </w:r>
            <w:r w:rsidR="4CFF2DE7" w:rsidRPr="1599A2D9">
              <w:rPr>
                <w:rFonts w:eastAsia="Times New Roman"/>
                <w:b/>
                <w:bCs/>
                <w:noProof/>
                <w:sz w:val="20"/>
                <w:szCs w:val="20"/>
              </w:rPr>
              <w:t xml:space="preserve">. </w:t>
            </w:r>
            <w:r w:rsidR="59F28CF8" w:rsidRPr="1599A2D9">
              <w:rPr>
                <w:rFonts w:eastAsia="Times New Roman"/>
                <w:b/>
                <w:bCs/>
                <w:noProof/>
                <w:sz w:val="20"/>
                <w:szCs w:val="20"/>
              </w:rPr>
              <w:t xml:space="preserve"> </w:t>
            </w:r>
          </w:p>
          <w:p w14:paraId="69015197" w14:textId="3EA3C014" w:rsidR="00F76C5A" w:rsidRDefault="00F76C5A">
            <w:pPr>
              <w:spacing w:after="0"/>
              <w:rPr>
                <w:rFonts w:eastAsia="Times New Roman"/>
                <w:b/>
                <w:bCs/>
                <w:noProof/>
                <w:sz w:val="20"/>
                <w:szCs w:val="20"/>
              </w:rPr>
            </w:pPr>
          </w:p>
        </w:tc>
      </w:tr>
      <w:tr w:rsidR="005C0C96" w14:paraId="41B032F2" w14:textId="77777777" w:rsidTr="4321A1A3">
        <w:trPr>
          <w:trHeight w:val="300"/>
        </w:trPr>
        <w:tc>
          <w:tcPr>
            <w:tcW w:w="206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196056C6" w14:textId="77777777" w:rsidR="00B95D88" w:rsidRDefault="00B95D88">
            <w:pPr>
              <w:spacing w:before="60" w:after="60"/>
              <w:jc w:val="center"/>
              <w:rPr>
                <w:rFonts w:eastAsia="Times New Roman"/>
                <w:b/>
                <w:bCs/>
                <w:noProof/>
                <w:sz w:val="20"/>
                <w:szCs w:val="20"/>
              </w:rPr>
            </w:pPr>
            <w:r w:rsidRPr="1599A2D9">
              <w:rPr>
                <w:rFonts w:eastAsia="Times New Roman"/>
                <w:b/>
                <w:bCs/>
                <w:noProof/>
                <w:sz w:val="20"/>
                <w:szCs w:val="20"/>
              </w:rPr>
              <w:t>Administrative costs</w:t>
            </w:r>
          </w:p>
          <w:p w14:paraId="1FED9CF5" w14:textId="77777777" w:rsidR="00B95D88" w:rsidRPr="005B4026" w:rsidRDefault="00B95D88">
            <w:pPr>
              <w:spacing w:before="60" w:after="60"/>
              <w:jc w:val="center"/>
              <w:rPr>
                <w:rFonts w:ascii="Calibri" w:eastAsia="Calibri" w:hAnsi="Calibri" w:cs="Calibri"/>
                <w:b/>
                <w:bCs/>
                <w:noProof/>
                <w:sz w:val="20"/>
                <w:szCs w:val="20"/>
              </w:rPr>
            </w:pPr>
            <w:r w:rsidRPr="1599A2D9">
              <w:rPr>
                <w:rFonts w:eastAsia="Calibri"/>
                <w:b/>
                <w:bCs/>
                <w:noProof/>
                <w:sz w:val="20"/>
                <w:szCs w:val="20"/>
              </w:rPr>
              <w:t xml:space="preserve"> [M€]</w:t>
            </w:r>
          </w:p>
        </w:tc>
        <w:tc>
          <w:tcPr>
            <w:tcW w:w="1634" w:type="dxa"/>
            <w:tcBorders>
              <w:top w:val="nil"/>
              <w:left w:val="nil"/>
              <w:bottom w:val="single" w:sz="8" w:space="0" w:color="auto"/>
              <w:right w:val="single" w:sz="4" w:space="0" w:color="auto"/>
            </w:tcBorders>
            <w:tcMar>
              <w:top w:w="0" w:type="dxa"/>
              <w:left w:w="108" w:type="dxa"/>
              <w:bottom w:w="0" w:type="dxa"/>
              <w:right w:w="108" w:type="dxa"/>
            </w:tcMar>
          </w:tcPr>
          <w:p w14:paraId="79AB313A" w14:textId="77777777" w:rsidR="00B95D88" w:rsidRDefault="00B95D88">
            <w:pPr>
              <w:spacing w:before="60" w:after="120"/>
              <w:jc w:val="center"/>
              <w:rPr>
                <w:rFonts w:eastAsia="Times New Roman"/>
                <w:b/>
                <w:bCs/>
                <w:noProof/>
                <w:sz w:val="20"/>
                <w:szCs w:val="20"/>
              </w:rPr>
            </w:pPr>
            <w:r w:rsidRPr="1599A2D9">
              <w:rPr>
                <w:rFonts w:eastAsia="Times New Roman"/>
                <w:b/>
                <w:bCs/>
                <w:noProof/>
                <w:sz w:val="20"/>
                <w:szCs w:val="20"/>
              </w:rPr>
              <w:t>New recurrent costs (INs)</w:t>
            </w:r>
          </w:p>
          <w:p w14:paraId="378C7030" w14:textId="77777777" w:rsidR="00B95D88" w:rsidRDefault="00B95D88">
            <w:pPr>
              <w:spacing w:before="60" w:after="120"/>
              <w:jc w:val="center"/>
              <w:rPr>
                <w:rFonts w:eastAsia="Times New Roman"/>
                <w:b/>
                <w:bCs/>
                <w:noProof/>
                <w:sz w:val="20"/>
                <w:szCs w:val="20"/>
              </w:rPr>
            </w:pPr>
            <w:r w:rsidRPr="1599A2D9">
              <w:rPr>
                <w:rFonts w:eastAsia="Times New Roman"/>
                <w:noProof/>
                <w:sz w:val="20"/>
                <w:szCs w:val="20"/>
              </w:rPr>
              <w:t>(nominal values per year)</w:t>
            </w:r>
          </w:p>
        </w:tc>
        <w:tc>
          <w:tcPr>
            <w:tcW w:w="1362" w:type="dxa"/>
            <w:tcBorders>
              <w:top w:val="nil"/>
              <w:left w:val="nil"/>
              <w:bottom w:val="single" w:sz="8" w:space="0" w:color="auto"/>
              <w:right w:val="single" w:sz="4" w:space="0" w:color="auto"/>
            </w:tcBorders>
          </w:tcPr>
          <w:p w14:paraId="21B8AD7E" w14:textId="77777777" w:rsidR="00B95D88" w:rsidRDefault="00B95D88">
            <w:pPr>
              <w:spacing w:before="60" w:after="120"/>
              <w:jc w:val="center"/>
              <w:rPr>
                <w:rFonts w:eastAsia="Times New Roman"/>
                <w:b/>
                <w:bCs/>
                <w:noProof/>
                <w:sz w:val="20"/>
                <w:szCs w:val="20"/>
              </w:rPr>
            </w:pPr>
            <w:r w:rsidRPr="1599A2D9">
              <w:rPr>
                <w:rFonts w:eastAsia="Times New Roman"/>
                <w:b/>
                <w:bCs/>
                <w:noProof/>
                <w:sz w:val="20"/>
                <w:szCs w:val="20"/>
              </w:rPr>
              <w:t>Removed recurrent costs (OUTs)</w:t>
            </w:r>
          </w:p>
          <w:p w14:paraId="44E47C43" w14:textId="77777777" w:rsidR="00B95D88" w:rsidRDefault="00B95D88">
            <w:pPr>
              <w:spacing w:before="60" w:after="120"/>
              <w:jc w:val="center"/>
              <w:rPr>
                <w:rFonts w:eastAsia="Times New Roman"/>
                <w:b/>
                <w:bCs/>
                <w:noProof/>
                <w:sz w:val="20"/>
                <w:szCs w:val="20"/>
              </w:rPr>
            </w:pPr>
            <w:r w:rsidRPr="1599A2D9">
              <w:rPr>
                <w:rFonts w:eastAsia="Times New Roman"/>
                <w:noProof/>
                <w:sz w:val="20"/>
                <w:szCs w:val="20"/>
              </w:rPr>
              <w:t>(nominal values per year)</w:t>
            </w:r>
          </w:p>
        </w:tc>
        <w:tc>
          <w:tcPr>
            <w:tcW w:w="1361" w:type="dxa"/>
            <w:tcBorders>
              <w:top w:val="nil"/>
              <w:left w:val="single" w:sz="4" w:space="0" w:color="auto"/>
              <w:bottom w:val="single" w:sz="8" w:space="0" w:color="auto"/>
              <w:right w:val="single" w:sz="4" w:space="0" w:color="auto"/>
            </w:tcBorders>
          </w:tcPr>
          <w:p w14:paraId="0C7FE6BE" w14:textId="77777777" w:rsidR="00B95D88" w:rsidRDefault="00B95D88">
            <w:pPr>
              <w:spacing w:before="60" w:after="60"/>
              <w:jc w:val="center"/>
              <w:rPr>
                <w:rFonts w:eastAsia="Times New Roman"/>
                <w:b/>
                <w:bCs/>
                <w:noProof/>
                <w:sz w:val="20"/>
                <w:szCs w:val="20"/>
              </w:rPr>
            </w:pPr>
            <w:r w:rsidRPr="1599A2D9">
              <w:rPr>
                <w:rFonts w:eastAsia="Times New Roman"/>
                <w:b/>
                <w:bCs/>
                <w:noProof/>
                <w:sz w:val="20"/>
                <w:szCs w:val="20"/>
              </w:rPr>
              <w:t>Net cost   (INs – OUTs)</w:t>
            </w:r>
          </w:p>
          <w:p w14:paraId="21C3B6AE" w14:textId="77777777" w:rsidR="00B95D88" w:rsidRDefault="00B95D88">
            <w:pPr>
              <w:spacing w:before="60" w:after="60"/>
              <w:jc w:val="center"/>
              <w:rPr>
                <w:rFonts w:eastAsia="Times New Roman"/>
                <w:noProof/>
                <w:sz w:val="20"/>
                <w:szCs w:val="20"/>
              </w:rPr>
            </w:pPr>
          </w:p>
          <w:p w14:paraId="6C43F8C4" w14:textId="77777777" w:rsidR="00B95D88" w:rsidRPr="004F7893" w:rsidRDefault="00B95D88">
            <w:pPr>
              <w:spacing w:before="60" w:after="60"/>
              <w:jc w:val="center"/>
              <w:rPr>
                <w:rFonts w:eastAsia="Times New Roman"/>
                <w:b/>
                <w:bCs/>
                <w:noProof/>
                <w:sz w:val="20"/>
                <w:szCs w:val="20"/>
              </w:rPr>
            </w:pPr>
            <w:r w:rsidRPr="1599A2D9">
              <w:rPr>
                <w:rFonts w:eastAsia="Times New Roman"/>
                <w:noProof/>
                <w:sz w:val="20"/>
                <w:szCs w:val="20"/>
              </w:rPr>
              <w:t>(nominal values per year)</w:t>
            </w:r>
            <w:r w:rsidRPr="1599A2D9">
              <w:rPr>
                <w:rFonts w:eastAsia="Times New Roman"/>
                <w:b/>
                <w:bCs/>
                <w:noProof/>
                <w:sz w:val="20"/>
                <w:szCs w:val="20"/>
              </w:rPr>
              <w:t xml:space="preserve"> </w:t>
            </w:r>
          </w:p>
        </w:tc>
        <w:tc>
          <w:tcPr>
            <w:tcW w:w="1911" w:type="dxa"/>
            <w:tcBorders>
              <w:top w:val="nil"/>
              <w:left w:val="single" w:sz="4" w:space="0" w:color="auto"/>
              <w:bottom w:val="single" w:sz="8" w:space="0" w:color="auto"/>
              <w:right w:val="single" w:sz="4" w:space="0" w:color="auto"/>
            </w:tcBorders>
          </w:tcPr>
          <w:p w14:paraId="06AB62F4" w14:textId="77777777" w:rsidR="00B95D88" w:rsidRDefault="00B95D88">
            <w:pPr>
              <w:spacing w:before="60" w:after="60"/>
              <w:jc w:val="center"/>
              <w:rPr>
                <w:rFonts w:eastAsia="Times New Roman"/>
                <w:noProof/>
                <w:sz w:val="20"/>
                <w:szCs w:val="20"/>
              </w:rPr>
            </w:pPr>
            <w:r w:rsidRPr="1599A2D9">
              <w:rPr>
                <w:rFonts w:eastAsia="Times New Roman"/>
                <w:b/>
                <w:bCs/>
                <w:noProof/>
                <w:sz w:val="20"/>
                <w:szCs w:val="20"/>
              </w:rPr>
              <w:t>New one-off costs (INs)</w:t>
            </w:r>
            <w:r w:rsidRPr="1599A2D9">
              <w:rPr>
                <w:rFonts w:eastAsia="Times New Roman"/>
                <w:noProof/>
                <w:sz w:val="20"/>
                <w:szCs w:val="20"/>
              </w:rPr>
              <w:t xml:space="preserve"> </w:t>
            </w:r>
          </w:p>
          <w:p w14:paraId="77FFE5E8" w14:textId="77777777" w:rsidR="00B95D88" w:rsidRDefault="00B95D88">
            <w:pPr>
              <w:spacing w:before="60" w:after="60"/>
              <w:jc w:val="center"/>
              <w:rPr>
                <w:rFonts w:eastAsia="Calibri"/>
                <w:b/>
                <w:bCs/>
                <w:noProof/>
                <w:sz w:val="20"/>
                <w:szCs w:val="20"/>
              </w:rPr>
            </w:pPr>
            <w:r w:rsidRPr="1599A2D9">
              <w:rPr>
                <w:rFonts w:eastAsia="Times New Roman"/>
                <w:noProof/>
                <w:sz w:val="20"/>
                <w:szCs w:val="20"/>
              </w:rPr>
              <w:t xml:space="preserve">(annualised </w:t>
            </w:r>
            <w:r w:rsidRPr="1599A2D9">
              <w:rPr>
                <w:rFonts w:eastAsia="Calibri"/>
                <w:noProof/>
                <w:sz w:val="20"/>
                <w:szCs w:val="20"/>
              </w:rPr>
              <w:t>total net present value over the relevant period</w:t>
            </w:r>
            <w:r w:rsidRPr="1599A2D9">
              <w:rPr>
                <w:rFonts w:eastAsia="Times New Roman"/>
                <w:noProof/>
                <w:sz w:val="20"/>
                <w:szCs w:val="20"/>
              </w:rPr>
              <w:t>)</w:t>
            </w:r>
          </w:p>
        </w:tc>
        <w:tc>
          <w:tcPr>
            <w:tcW w:w="1900" w:type="dxa"/>
            <w:tcBorders>
              <w:top w:val="nil"/>
              <w:left w:val="single" w:sz="4" w:space="0" w:color="auto"/>
              <w:bottom w:val="single" w:sz="8" w:space="0" w:color="auto"/>
              <w:right w:val="double" w:sz="4" w:space="0" w:color="auto"/>
            </w:tcBorders>
          </w:tcPr>
          <w:p w14:paraId="2F23E91F" w14:textId="77777777" w:rsidR="00B95D88" w:rsidRDefault="00B95D88">
            <w:pPr>
              <w:spacing w:before="60" w:after="60"/>
              <w:jc w:val="center"/>
              <w:rPr>
                <w:rFonts w:eastAsia="Times New Roman"/>
                <w:b/>
                <w:bCs/>
                <w:noProof/>
                <w:sz w:val="20"/>
                <w:szCs w:val="20"/>
              </w:rPr>
            </w:pPr>
            <w:r w:rsidRPr="1599A2D9">
              <w:rPr>
                <w:rFonts w:eastAsia="Times New Roman"/>
                <w:b/>
                <w:bCs/>
                <w:noProof/>
                <w:sz w:val="20"/>
                <w:szCs w:val="20"/>
              </w:rPr>
              <w:t>Removed one-off costs (OUTs)</w:t>
            </w:r>
          </w:p>
          <w:p w14:paraId="0FB31D36" w14:textId="77777777" w:rsidR="00B95D88" w:rsidRDefault="00B95D88">
            <w:pPr>
              <w:spacing w:before="60" w:after="60"/>
              <w:jc w:val="center"/>
              <w:rPr>
                <w:rFonts w:eastAsia="Calibri"/>
                <w:b/>
                <w:bCs/>
                <w:noProof/>
                <w:sz w:val="20"/>
                <w:szCs w:val="20"/>
              </w:rPr>
            </w:pPr>
            <w:r w:rsidRPr="1599A2D9">
              <w:rPr>
                <w:rFonts w:eastAsia="Times New Roman"/>
                <w:noProof/>
                <w:sz w:val="20"/>
                <w:szCs w:val="20"/>
              </w:rPr>
              <w:t xml:space="preserve">(annualised </w:t>
            </w:r>
            <w:r w:rsidRPr="1599A2D9">
              <w:rPr>
                <w:rFonts w:eastAsia="Calibri"/>
                <w:noProof/>
                <w:sz w:val="20"/>
                <w:szCs w:val="20"/>
              </w:rPr>
              <w:t>total net present value over the relevant period</w:t>
            </w:r>
            <w:r w:rsidRPr="1599A2D9">
              <w:rPr>
                <w:rFonts w:eastAsia="Times New Roman"/>
                <w:noProof/>
                <w:sz w:val="20"/>
                <w:szCs w:val="20"/>
              </w:rPr>
              <w:t>)</w:t>
            </w:r>
          </w:p>
        </w:tc>
      </w:tr>
      <w:tr w:rsidR="005C0C96" w14:paraId="44A711E8" w14:textId="77777777" w:rsidTr="4321A1A3">
        <w:trPr>
          <w:trHeight w:val="300"/>
        </w:trPr>
        <w:tc>
          <w:tcPr>
            <w:tcW w:w="2060" w:type="dxa"/>
            <w:tcBorders>
              <w:top w:val="single" w:sz="8" w:space="0" w:color="auto"/>
              <w:left w:val="double" w:sz="4" w:space="0" w:color="auto"/>
              <w:bottom w:val="single" w:sz="8" w:space="0" w:color="auto"/>
              <w:right w:val="single" w:sz="8" w:space="0" w:color="auto"/>
            </w:tcBorders>
            <w:tcMar>
              <w:top w:w="0" w:type="dxa"/>
              <w:left w:w="108" w:type="dxa"/>
              <w:bottom w:w="0" w:type="dxa"/>
              <w:right w:w="108" w:type="dxa"/>
            </w:tcMar>
            <w:vAlign w:val="center"/>
          </w:tcPr>
          <w:p w14:paraId="3B3B0959" w14:textId="77777777" w:rsidR="00B95D88" w:rsidRDefault="00B95D88">
            <w:pPr>
              <w:spacing w:before="60" w:after="60"/>
              <w:jc w:val="left"/>
              <w:rPr>
                <w:rFonts w:eastAsia="Times New Roman"/>
                <w:noProof/>
                <w:sz w:val="20"/>
                <w:szCs w:val="20"/>
              </w:rPr>
            </w:pPr>
            <w:r w:rsidRPr="1599A2D9">
              <w:rPr>
                <w:rFonts w:eastAsia="Times New Roman"/>
                <w:noProof/>
                <w:sz w:val="20"/>
                <w:szCs w:val="20"/>
              </w:rPr>
              <w:t>All businesses</w:t>
            </w:r>
          </w:p>
        </w:tc>
        <w:tc>
          <w:tcPr>
            <w:tcW w:w="1634"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62E26D74" w14:textId="2BC69B3C" w:rsidR="00B95D88" w:rsidRDefault="005C0C96" w:rsidP="005C0C96">
            <w:pPr>
              <w:ind w:right="739"/>
              <w:jc w:val="left"/>
              <w:rPr>
                <w:rFonts w:eastAsia="Calibri"/>
                <w:noProof/>
                <w:sz w:val="20"/>
                <w:szCs w:val="20"/>
                <w:lang w:eastAsia="en-GB"/>
              </w:rPr>
            </w:pPr>
            <w:r>
              <w:rPr>
                <w:rFonts w:eastAsia="Calibri"/>
                <w:noProof/>
                <w:sz w:val="20"/>
                <w:szCs w:val="20"/>
                <w:lang w:eastAsia="en-GB"/>
              </w:rPr>
              <w:t>None or negative (if reporting entities opt-in for access to the centralised TIN verification system)</w:t>
            </w:r>
          </w:p>
        </w:tc>
        <w:tc>
          <w:tcPr>
            <w:tcW w:w="1362" w:type="dxa"/>
            <w:tcBorders>
              <w:top w:val="single" w:sz="8" w:space="0" w:color="auto"/>
              <w:left w:val="nil"/>
              <w:bottom w:val="single" w:sz="8" w:space="0" w:color="auto"/>
              <w:right w:val="single" w:sz="4" w:space="0" w:color="auto"/>
            </w:tcBorders>
            <w:vAlign w:val="center"/>
          </w:tcPr>
          <w:p w14:paraId="238DD7FB" w14:textId="71C23BE3" w:rsidR="00B95D88" w:rsidRDefault="00D87B12" w:rsidP="00466BE8">
            <w:pPr>
              <w:ind w:right="630"/>
              <w:jc w:val="right"/>
              <w:rPr>
                <w:rFonts w:eastAsia="Calibri"/>
                <w:noProof/>
                <w:sz w:val="20"/>
                <w:szCs w:val="20"/>
                <w:lang w:eastAsia="en-GB"/>
              </w:rPr>
            </w:pPr>
            <w:r>
              <w:rPr>
                <w:rFonts w:eastAsia="Calibri"/>
                <w:noProof/>
                <w:sz w:val="20"/>
                <w:szCs w:val="20"/>
                <w:lang w:eastAsia="en-GB"/>
              </w:rPr>
              <w:t>EUR 1,</w:t>
            </w:r>
            <w:r w:rsidR="00840AE6">
              <w:rPr>
                <w:rFonts w:eastAsia="Calibri"/>
                <w:noProof/>
                <w:sz w:val="20"/>
                <w:szCs w:val="20"/>
                <w:lang w:eastAsia="en-GB"/>
              </w:rPr>
              <w:t xml:space="preserve">283 </w:t>
            </w:r>
            <w:r>
              <w:rPr>
                <w:rFonts w:eastAsia="Calibri"/>
                <w:noProof/>
                <w:sz w:val="20"/>
                <w:szCs w:val="20"/>
                <w:lang w:eastAsia="en-GB"/>
              </w:rPr>
              <w:t>*</w:t>
            </w:r>
          </w:p>
        </w:tc>
        <w:tc>
          <w:tcPr>
            <w:tcW w:w="1361" w:type="dxa"/>
            <w:tcBorders>
              <w:top w:val="single" w:sz="8" w:space="0" w:color="auto"/>
              <w:left w:val="single" w:sz="4" w:space="0" w:color="auto"/>
              <w:bottom w:val="single" w:sz="8" w:space="0" w:color="auto"/>
              <w:right w:val="single" w:sz="4" w:space="0" w:color="auto"/>
            </w:tcBorders>
            <w:vAlign w:val="center"/>
          </w:tcPr>
          <w:p w14:paraId="13A36DAF" w14:textId="43806B46" w:rsidR="00B95D88" w:rsidRDefault="00D87B12" w:rsidP="1599A2D9">
            <w:pPr>
              <w:ind w:right="-35"/>
              <w:jc w:val="left"/>
              <w:rPr>
                <w:rFonts w:eastAsia="Calibri"/>
                <w:noProof/>
                <w:sz w:val="20"/>
                <w:szCs w:val="20"/>
                <w:lang w:eastAsia="en-GB"/>
              </w:rPr>
            </w:pPr>
            <w:r>
              <w:rPr>
                <w:rFonts w:eastAsia="Calibri"/>
                <w:noProof/>
                <w:sz w:val="20"/>
                <w:szCs w:val="20"/>
                <w:lang w:eastAsia="en-GB"/>
              </w:rPr>
              <w:t>EUR 1,</w:t>
            </w:r>
            <w:r w:rsidR="00840AE6">
              <w:rPr>
                <w:rFonts w:eastAsia="Calibri"/>
                <w:noProof/>
                <w:sz w:val="20"/>
                <w:szCs w:val="20"/>
                <w:lang w:eastAsia="en-GB"/>
              </w:rPr>
              <w:t xml:space="preserve">283 </w:t>
            </w:r>
            <w:r>
              <w:rPr>
                <w:rFonts w:eastAsia="Calibri"/>
                <w:noProof/>
                <w:sz w:val="20"/>
                <w:szCs w:val="20"/>
                <w:lang w:eastAsia="en-GB"/>
              </w:rPr>
              <w:t>net savings*</w:t>
            </w:r>
          </w:p>
        </w:tc>
        <w:tc>
          <w:tcPr>
            <w:tcW w:w="1911" w:type="dxa"/>
            <w:tcBorders>
              <w:top w:val="single" w:sz="8" w:space="0" w:color="auto"/>
              <w:left w:val="single" w:sz="4" w:space="0" w:color="auto"/>
              <w:bottom w:val="single" w:sz="8" w:space="0" w:color="auto"/>
              <w:right w:val="single" w:sz="4" w:space="0" w:color="auto"/>
            </w:tcBorders>
            <w:vAlign w:val="center"/>
          </w:tcPr>
          <w:p w14:paraId="7FB3A092" w14:textId="4E79F04D" w:rsidR="00B95D88" w:rsidRDefault="6680458B" w:rsidP="1599A2D9">
            <w:pPr>
              <w:ind w:right="-13"/>
              <w:jc w:val="center"/>
              <w:rPr>
                <w:rFonts w:eastAsia="Calibri"/>
                <w:noProof/>
                <w:sz w:val="20"/>
                <w:szCs w:val="20"/>
                <w:lang w:eastAsia="en-GB"/>
              </w:rPr>
            </w:pPr>
            <w:r w:rsidRPr="1599A2D9">
              <w:rPr>
                <w:rFonts w:eastAsia="Calibri"/>
                <w:noProof/>
                <w:sz w:val="20"/>
                <w:szCs w:val="20"/>
                <w:lang w:eastAsia="en-GB"/>
              </w:rPr>
              <w:t>Yes</w:t>
            </w:r>
            <w:r w:rsidR="00655E51">
              <w:rPr>
                <w:noProof/>
              </w:rPr>
              <w:br/>
            </w:r>
            <w:r w:rsidRPr="1599A2D9">
              <w:rPr>
                <w:rFonts w:eastAsia="Calibri"/>
                <w:noProof/>
                <w:sz w:val="20"/>
                <w:szCs w:val="20"/>
                <w:lang w:eastAsia="en-GB"/>
              </w:rPr>
              <w:t>(adaption to new</w:t>
            </w:r>
            <w:r w:rsidR="005C0C96">
              <w:rPr>
                <w:rFonts w:eastAsia="Calibri"/>
                <w:noProof/>
                <w:sz w:val="20"/>
                <w:szCs w:val="20"/>
                <w:lang w:eastAsia="en-GB"/>
              </w:rPr>
              <w:t xml:space="preserve"> TIN</w:t>
            </w:r>
            <w:r w:rsidRPr="1599A2D9">
              <w:rPr>
                <w:rFonts w:eastAsia="Calibri"/>
                <w:noProof/>
                <w:sz w:val="20"/>
                <w:szCs w:val="20"/>
                <w:lang w:eastAsia="en-GB"/>
              </w:rPr>
              <w:t xml:space="preserve"> schemas)</w:t>
            </w:r>
          </w:p>
        </w:tc>
        <w:tc>
          <w:tcPr>
            <w:tcW w:w="1900" w:type="dxa"/>
            <w:tcBorders>
              <w:top w:val="single" w:sz="8" w:space="0" w:color="auto"/>
              <w:left w:val="single" w:sz="4" w:space="0" w:color="auto"/>
              <w:bottom w:val="single" w:sz="8" w:space="0" w:color="auto"/>
              <w:right w:val="double" w:sz="4" w:space="0" w:color="auto"/>
            </w:tcBorders>
            <w:vAlign w:val="center"/>
          </w:tcPr>
          <w:p w14:paraId="2924049D" w14:textId="64F1B1E3" w:rsidR="00B95D88" w:rsidRDefault="5021EDB3">
            <w:pPr>
              <w:ind w:right="739"/>
              <w:jc w:val="right"/>
              <w:rPr>
                <w:rFonts w:eastAsia="Calibri"/>
                <w:noProof/>
                <w:sz w:val="20"/>
                <w:szCs w:val="20"/>
                <w:lang w:eastAsia="en-GB"/>
              </w:rPr>
            </w:pPr>
            <w:r w:rsidRPr="1599A2D9">
              <w:rPr>
                <w:rFonts w:eastAsia="Calibri"/>
                <w:noProof/>
                <w:sz w:val="20"/>
                <w:szCs w:val="20"/>
                <w:lang w:eastAsia="en-GB"/>
              </w:rPr>
              <w:t>No</w:t>
            </w:r>
            <w:r w:rsidR="005C0C96">
              <w:rPr>
                <w:rFonts w:eastAsia="Calibri"/>
                <w:noProof/>
                <w:sz w:val="20"/>
                <w:szCs w:val="20"/>
                <w:lang w:eastAsia="en-GB"/>
              </w:rPr>
              <w:t>ne</w:t>
            </w:r>
          </w:p>
        </w:tc>
      </w:tr>
      <w:tr w:rsidR="005C0C96" w14:paraId="39156D61" w14:textId="77777777" w:rsidTr="4321A1A3">
        <w:trPr>
          <w:trHeight w:val="300"/>
        </w:trPr>
        <w:tc>
          <w:tcPr>
            <w:tcW w:w="206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3DA6E9A2" w14:textId="77777777" w:rsidR="001411A3" w:rsidRDefault="0D063895" w:rsidP="0059106A">
            <w:pPr>
              <w:pStyle w:val="ListParagraph"/>
              <w:numPr>
                <w:ilvl w:val="0"/>
                <w:numId w:val="24"/>
              </w:numPr>
              <w:spacing w:after="0" w:line="257" w:lineRule="auto"/>
              <w:ind w:left="475"/>
              <w:rPr>
                <w:rFonts w:eastAsia="Times New Roman"/>
                <w:noProof/>
                <w:sz w:val="20"/>
                <w:szCs w:val="20"/>
              </w:rPr>
            </w:pPr>
            <w:r w:rsidRPr="1599A2D9">
              <w:rPr>
                <w:rFonts w:eastAsia="Times New Roman"/>
                <w:noProof/>
                <w:sz w:val="20"/>
                <w:szCs w:val="20"/>
              </w:rPr>
              <w:t>in which SMEs</w:t>
            </w:r>
          </w:p>
        </w:tc>
        <w:tc>
          <w:tcPr>
            <w:tcW w:w="1634"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475DCAEF" w14:textId="5B81F8C5" w:rsidR="001411A3" w:rsidRDefault="0D063895" w:rsidP="001411A3">
            <w:pPr>
              <w:ind w:right="739"/>
              <w:jc w:val="right"/>
              <w:rPr>
                <w:rFonts w:eastAsia="Calibri"/>
                <w:noProof/>
                <w:sz w:val="20"/>
                <w:szCs w:val="20"/>
                <w:lang w:eastAsia="en-GB"/>
              </w:rPr>
            </w:pPr>
            <w:r w:rsidRPr="1599A2D9">
              <w:rPr>
                <w:rFonts w:eastAsia="Calibri"/>
                <w:noProof/>
                <w:sz w:val="20"/>
                <w:szCs w:val="20"/>
                <w:lang w:eastAsia="en-GB"/>
              </w:rPr>
              <w:t>Possibly</w:t>
            </w:r>
          </w:p>
        </w:tc>
        <w:tc>
          <w:tcPr>
            <w:tcW w:w="1362" w:type="dxa"/>
            <w:tcBorders>
              <w:top w:val="single" w:sz="8" w:space="0" w:color="auto"/>
              <w:left w:val="nil"/>
              <w:bottom w:val="single" w:sz="8" w:space="0" w:color="auto"/>
              <w:right w:val="single" w:sz="4" w:space="0" w:color="auto"/>
            </w:tcBorders>
            <w:vAlign w:val="center"/>
          </w:tcPr>
          <w:p w14:paraId="5AC7A60D" w14:textId="7823871C" w:rsidR="001411A3" w:rsidRDefault="004966D4" w:rsidP="00250F22">
            <w:pPr>
              <w:ind w:right="739"/>
              <w:jc w:val="left"/>
              <w:rPr>
                <w:rFonts w:eastAsia="Calibri"/>
                <w:noProof/>
                <w:sz w:val="20"/>
                <w:szCs w:val="20"/>
                <w:lang w:eastAsia="en-GB"/>
              </w:rPr>
            </w:pPr>
            <w:r>
              <w:rPr>
                <w:rFonts w:eastAsia="Calibri"/>
                <w:noProof/>
                <w:sz w:val="20"/>
                <w:szCs w:val="20"/>
                <w:lang w:eastAsia="en-GB"/>
              </w:rPr>
              <w:t>Yes</w:t>
            </w:r>
          </w:p>
          <w:p w14:paraId="743F1FEB" w14:textId="7198B0E3" w:rsidR="004966D4" w:rsidRDefault="004966D4" w:rsidP="00250F22">
            <w:pPr>
              <w:ind w:right="739"/>
              <w:jc w:val="left"/>
              <w:rPr>
                <w:rFonts w:eastAsia="Calibri"/>
                <w:noProof/>
                <w:sz w:val="20"/>
                <w:szCs w:val="20"/>
                <w:lang w:eastAsia="en-GB"/>
              </w:rPr>
            </w:pPr>
            <w:r>
              <w:rPr>
                <w:rFonts w:eastAsia="Calibri"/>
                <w:noProof/>
                <w:sz w:val="20"/>
                <w:szCs w:val="20"/>
                <w:lang w:eastAsia="en-GB"/>
              </w:rPr>
              <w:t>(Quantitative estimates not available)</w:t>
            </w:r>
          </w:p>
        </w:tc>
        <w:tc>
          <w:tcPr>
            <w:tcW w:w="1361" w:type="dxa"/>
            <w:tcBorders>
              <w:top w:val="single" w:sz="8" w:space="0" w:color="auto"/>
              <w:left w:val="single" w:sz="4" w:space="0" w:color="auto"/>
              <w:bottom w:val="single" w:sz="8" w:space="0" w:color="auto"/>
              <w:right w:val="single" w:sz="4" w:space="0" w:color="auto"/>
            </w:tcBorders>
            <w:vAlign w:val="center"/>
          </w:tcPr>
          <w:p w14:paraId="34B86632" w14:textId="00DCDFB0" w:rsidR="001411A3" w:rsidRDefault="0D063895" w:rsidP="001411A3">
            <w:pPr>
              <w:ind w:right="739"/>
              <w:jc w:val="right"/>
              <w:rPr>
                <w:rFonts w:eastAsia="Calibri"/>
                <w:noProof/>
                <w:sz w:val="20"/>
                <w:szCs w:val="20"/>
                <w:lang w:eastAsia="en-GB"/>
              </w:rPr>
            </w:pPr>
            <w:r w:rsidRPr="1599A2D9">
              <w:rPr>
                <w:rFonts w:eastAsia="Calibri"/>
                <w:noProof/>
                <w:sz w:val="20"/>
                <w:szCs w:val="20"/>
                <w:lang w:eastAsia="en-GB"/>
              </w:rPr>
              <w:t>Yes</w:t>
            </w:r>
          </w:p>
        </w:tc>
        <w:tc>
          <w:tcPr>
            <w:tcW w:w="1911" w:type="dxa"/>
            <w:tcBorders>
              <w:top w:val="single" w:sz="8" w:space="0" w:color="auto"/>
              <w:left w:val="single" w:sz="4" w:space="0" w:color="auto"/>
              <w:bottom w:val="single" w:sz="8" w:space="0" w:color="auto"/>
              <w:right w:val="single" w:sz="4" w:space="0" w:color="auto"/>
            </w:tcBorders>
          </w:tcPr>
          <w:p w14:paraId="21354E54" w14:textId="56A5D642" w:rsidR="001411A3" w:rsidRDefault="0D063895" w:rsidP="1599A2D9">
            <w:pPr>
              <w:ind w:right="-27"/>
              <w:jc w:val="center"/>
              <w:rPr>
                <w:rFonts w:eastAsia="Calibri"/>
                <w:noProof/>
                <w:sz w:val="20"/>
                <w:szCs w:val="20"/>
                <w:lang w:eastAsia="en-GB"/>
              </w:rPr>
            </w:pPr>
            <w:r w:rsidRPr="1599A2D9">
              <w:rPr>
                <w:rFonts w:eastAsia="Calibri"/>
                <w:noProof/>
                <w:sz w:val="20"/>
                <w:szCs w:val="20"/>
                <w:lang w:eastAsia="en-GB"/>
              </w:rPr>
              <w:t>Yes</w:t>
            </w:r>
            <w:r w:rsidR="001411A3">
              <w:rPr>
                <w:noProof/>
              </w:rPr>
              <w:br/>
            </w:r>
            <w:r w:rsidRPr="1599A2D9">
              <w:rPr>
                <w:rFonts w:eastAsia="Calibri"/>
                <w:noProof/>
                <w:sz w:val="20"/>
                <w:szCs w:val="20"/>
                <w:lang w:eastAsia="en-GB"/>
              </w:rPr>
              <w:t>(adaption to new schemas)</w:t>
            </w:r>
          </w:p>
        </w:tc>
        <w:tc>
          <w:tcPr>
            <w:tcW w:w="1900" w:type="dxa"/>
            <w:tcBorders>
              <w:top w:val="single" w:sz="8" w:space="0" w:color="auto"/>
              <w:left w:val="single" w:sz="4" w:space="0" w:color="auto"/>
              <w:bottom w:val="single" w:sz="8" w:space="0" w:color="auto"/>
              <w:right w:val="double" w:sz="4" w:space="0" w:color="auto"/>
            </w:tcBorders>
            <w:vAlign w:val="center"/>
          </w:tcPr>
          <w:p w14:paraId="150AAEE8" w14:textId="30F43BF7" w:rsidR="001411A3" w:rsidRDefault="0D063895" w:rsidP="001411A3">
            <w:pPr>
              <w:ind w:right="739"/>
              <w:jc w:val="right"/>
              <w:rPr>
                <w:rFonts w:eastAsia="Calibri"/>
                <w:noProof/>
                <w:sz w:val="20"/>
                <w:szCs w:val="20"/>
                <w:lang w:eastAsia="en-GB"/>
              </w:rPr>
            </w:pPr>
            <w:r w:rsidRPr="1599A2D9">
              <w:rPr>
                <w:rFonts w:eastAsia="Calibri"/>
                <w:noProof/>
                <w:sz w:val="20"/>
                <w:szCs w:val="20"/>
                <w:lang w:eastAsia="en-GB"/>
              </w:rPr>
              <w:t>No</w:t>
            </w:r>
            <w:r w:rsidR="005C0C96">
              <w:rPr>
                <w:rFonts w:eastAsia="Calibri"/>
                <w:noProof/>
                <w:sz w:val="20"/>
                <w:szCs w:val="20"/>
                <w:lang w:eastAsia="en-GB"/>
              </w:rPr>
              <w:t>ne</w:t>
            </w:r>
          </w:p>
        </w:tc>
      </w:tr>
      <w:tr w:rsidR="005C0C96" w14:paraId="5F2FDD22" w14:textId="77777777" w:rsidTr="4321A1A3">
        <w:trPr>
          <w:trHeight w:val="300"/>
        </w:trPr>
        <w:tc>
          <w:tcPr>
            <w:tcW w:w="206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4089018C" w14:textId="77777777" w:rsidR="001411A3" w:rsidRPr="008A0394" w:rsidRDefault="0D063895" w:rsidP="001411A3">
            <w:pPr>
              <w:spacing w:after="0" w:line="257" w:lineRule="auto"/>
              <w:rPr>
                <w:rFonts w:eastAsia="Times New Roman"/>
                <w:noProof/>
                <w:sz w:val="20"/>
                <w:szCs w:val="20"/>
              </w:rPr>
            </w:pPr>
            <w:r w:rsidRPr="1599A2D9">
              <w:rPr>
                <w:rFonts w:eastAsia="Times New Roman"/>
                <w:noProof/>
                <w:sz w:val="20"/>
                <w:szCs w:val="20"/>
              </w:rPr>
              <w:t>Public administrations</w:t>
            </w:r>
          </w:p>
        </w:tc>
        <w:tc>
          <w:tcPr>
            <w:tcW w:w="1634"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6DD3CF1A" w14:textId="77777777" w:rsidR="001411A3" w:rsidRDefault="0D063895" w:rsidP="001411A3">
            <w:pPr>
              <w:ind w:right="739"/>
              <w:jc w:val="right"/>
              <w:rPr>
                <w:rFonts w:eastAsia="Calibri"/>
                <w:noProof/>
                <w:sz w:val="20"/>
                <w:szCs w:val="20"/>
                <w:lang w:eastAsia="en-GB"/>
              </w:rPr>
            </w:pPr>
            <w:r w:rsidRPr="1599A2D9">
              <w:rPr>
                <w:rFonts w:eastAsia="Calibri"/>
                <w:noProof/>
                <w:sz w:val="20"/>
                <w:szCs w:val="20"/>
                <w:lang w:eastAsia="en-GB"/>
              </w:rPr>
              <w:t>Yes</w:t>
            </w:r>
          </w:p>
          <w:p w14:paraId="630D23E9" w14:textId="76432410" w:rsidR="005C0C96" w:rsidRDefault="005C0C96" w:rsidP="005C0C96">
            <w:pPr>
              <w:ind w:right="739"/>
              <w:jc w:val="center"/>
              <w:rPr>
                <w:rFonts w:eastAsia="Calibri"/>
                <w:noProof/>
                <w:sz w:val="20"/>
                <w:szCs w:val="20"/>
                <w:lang w:eastAsia="en-GB"/>
              </w:rPr>
            </w:pPr>
            <w:r>
              <w:rPr>
                <w:rFonts w:eastAsia="Calibri"/>
                <w:noProof/>
                <w:sz w:val="20"/>
                <w:szCs w:val="20"/>
                <w:lang w:eastAsia="en-GB"/>
              </w:rPr>
              <w:t>(Quantitative estimates not available)</w:t>
            </w:r>
          </w:p>
        </w:tc>
        <w:tc>
          <w:tcPr>
            <w:tcW w:w="1362" w:type="dxa"/>
            <w:tcBorders>
              <w:top w:val="single" w:sz="8" w:space="0" w:color="auto"/>
              <w:left w:val="nil"/>
              <w:bottom w:val="single" w:sz="8" w:space="0" w:color="auto"/>
              <w:right w:val="single" w:sz="4" w:space="0" w:color="auto"/>
            </w:tcBorders>
            <w:vAlign w:val="center"/>
          </w:tcPr>
          <w:p w14:paraId="78E6ED27" w14:textId="77777777" w:rsidR="001411A3" w:rsidRDefault="0D063895" w:rsidP="001411A3">
            <w:pPr>
              <w:ind w:right="739"/>
              <w:jc w:val="right"/>
              <w:rPr>
                <w:rFonts w:eastAsia="Calibri"/>
                <w:noProof/>
                <w:sz w:val="20"/>
                <w:szCs w:val="20"/>
                <w:lang w:eastAsia="en-GB"/>
              </w:rPr>
            </w:pPr>
            <w:r w:rsidRPr="1599A2D9">
              <w:rPr>
                <w:rFonts w:eastAsia="Calibri"/>
                <w:noProof/>
                <w:sz w:val="20"/>
                <w:szCs w:val="20"/>
                <w:lang w:eastAsia="en-GB"/>
              </w:rPr>
              <w:t>Yes</w:t>
            </w:r>
          </w:p>
          <w:p w14:paraId="0A278980" w14:textId="4E24F87D" w:rsidR="005C0C96" w:rsidRDefault="005C0C96" w:rsidP="001411A3">
            <w:pPr>
              <w:ind w:right="739"/>
              <w:jc w:val="right"/>
              <w:rPr>
                <w:rFonts w:eastAsia="Calibri"/>
                <w:noProof/>
                <w:sz w:val="20"/>
                <w:szCs w:val="20"/>
                <w:lang w:eastAsia="en-GB"/>
              </w:rPr>
            </w:pPr>
            <w:r>
              <w:rPr>
                <w:rFonts w:eastAsia="Calibri"/>
                <w:noProof/>
                <w:sz w:val="20"/>
                <w:szCs w:val="20"/>
                <w:lang w:eastAsia="en-GB"/>
              </w:rPr>
              <w:t>(Quantitative estimates not available)</w:t>
            </w:r>
          </w:p>
        </w:tc>
        <w:tc>
          <w:tcPr>
            <w:tcW w:w="1361" w:type="dxa"/>
            <w:tcBorders>
              <w:top w:val="single" w:sz="8" w:space="0" w:color="auto"/>
              <w:left w:val="single" w:sz="4" w:space="0" w:color="auto"/>
              <w:bottom w:val="single" w:sz="8" w:space="0" w:color="auto"/>
              <w:right w:val="single" w:sz="4" w:space="0" w:color="auto"/>
            </w:tcBorders>
            <w:vAlign w:val="center"/>
          </w:tcPr>
          <w:p w14:paraId="29D29D89" w14:textId="358BC27B" w:rsidR="001411A3" w:rsidRDefault="0D063895" w:rsidP="001411A3">
            <w:pPr>
              <w:ind w:right="739"/>
              <w:jc w:val="right"/>
              <w:rPr>
                <w:rFonts w:eastAsia="Calibri"/>
                <w:noProof/>
                <w:sz w:val="20"/>
                <w:szCs w:val="20"/>
                <w:lang w:eastAsia="en-GB"/>
              </w:rPr>
            </w:pPr>
            <w:r w:rsidRPr="1599A2D9">
              <w:rPr>
                <w:rFonts w:eastAsia="Calibri"/>
                <w:noProof/>
                <w:sz w:val="20"/>
                <w:szCs w:val="20"/>
                <w:lang w:eastAsia="en-GB"/>
              </w:rPr>
              <w:t>No</w:t>
            </w:r>
          </w:p>
        </w:tc>
        <w:tc>
          <w:tcPr>
            <w:tcW w:w="1911" w:type="dxa"/>
            <w:tcBorders>
              <w:top w:val="single" w:sz="8" w:space="0" w:color="auto"/>
              <w:left w:val="single" w:sz="4" w:space="0" w:color="auto"/>
              <w:bottom w:val="single" w:sz="8" w:space="0" w:color="auto"/>
              <w:right w:val="single" w:sz="4" w:space="0" w:color="auto"/>
            </w:tcBorders>
          </w:tcPr>
          <w:p w14:paraId="6E30A5F0" w14:textId="77777777" w:rsidR="001411A3" w:rsidRDefault="0D063895" w:rsidP="1599A2D9">
            <w:pPr>
              <w:ind w:right="-27"/>
              <w:jc w:val="center"/>
              <w:rPr>
                <w:rFonts w:eastAsia="Calibri"/>
                <w:noProof/>
                <w:sz w:val="20"/>
                <w:szCs w:val="20"/>
                <w:lang w:eastAsia="en-GB"/>
              </w:rPr>
            </w:pPr>
            <w:r w:rsidRPr="1599A2D9">
              <w:rPr>
                <w:rFonts w:eastAsia="Calibri"/>
                <w:noProof/>
                <w:sz w:val="20"/>
                <w:szCs w:val="20"/>
                <w:lang w:eastAsia="en-GB"/>
              </w:rPr>
              <w:t>Yes</w:t>
            </w:r>
            <w:r w:rsidR="001411A3">
              <w:rPr>
                <w:noProof/>
              </w:rPr>
              <w:br/>
            </w:r>
            <w:r w:rsidRPr="1599A2D9">
              <w:rPr>
                <w:rFonts w:eastAsia="Calibri"/>
                <w:noProof/>
                <w:sz w:val="20"/>
                <w:szCs w:val="20"/>
                <w:lang w:eastAsia="en-GB"/>
              </w:rPr>
              <w:t>(adaption to new schemas)</w:t>
            </w:r>
          </w:p>
          <w:p w14:paraId="0FF266CA" w14:textId="01ABA445" w:rsidR="005C0C96" w:rsidRDefault="005C0C96" w:rsidP="1599A2D9">
            <w:pPr>
              <w:ind w:right="-27"/>
              <w:jc w:val="center"/>
              <w:rPr>
                <w:rFonts w:eastAsia="Calibri"/>
                <w:noProof/>
                <w:sz w:val="20"/>
                <w:szCs w:val="20"/>
                <w:lang w:eastAsia="en-GB"/>
              </w:rPr>
            </w:pPr>
            <w:r>
              <w:rPr>
                <w:rFonts w:eastAsia="Calibri"/>
                <w:noProof/>
                <w:sz w:val="20"/>
                <w:szCs w:val="20"/>
                <w:lang w:eastAsia="en-GB"/>
              </w:rPr>
              <w:t>(Quantitative estimates not available)</w:t>
            </w:r>
          </w:p>
        </w:tc>
        <w:tc>
          <w:tcPr>
            <w:tcW w:w="1900" w:type="dxa"/>
            <w:tcBorders>
              <w:top w:val="single" w:sz="8" w:space="0" w:color="auto"/>
              <w:left w:val="single" w:sz="4" w:space="0" w:color="auto"/>
              <w:bottom w:val="single" w:sz="8" w:space="0" w:color="auto"/>
              <w:right w:val="double" w:sz="4" w:space="0" w:color="auto"/>
            </w:tcBorders>
            <w:vAlign w:val="center"/>
          </w:tcPr>
          <w:p w14:paraId="615E1AF0" w14:textId="26373C09" w:rsidR="001411A3" w:rsidRDefault="0D063895" w:rsidP="001411A3">
            <w:pPr>
              <w:ind w:right="739"/>
              <w:jc w:val="right"/>
              <w:rPr>
                <w:rFonts w:eastAsia="Calibri"/>
                <w:noProof/>
                <w:sz w:val="20"/>
                <w:szCs w:val="20"/>
                <w:lang w:eastAsia="en-GB"/>
              </w:rPr>
            </w:pPr>
            <w:r w:rsidRPr="1599A2D9">
              <w:rPr>
                <w:rFonts w:eastAsia="Calibri"/>
                <w:noProof/>
                <w:sz w:val="20"/>
                <w:szCs w:val="20"/>
                <w:lang w:eastAsia="en-GB"/>
              </w:rPr>
              <w:t>No</w:t>
            </w:r>
            <w:r w:rsidR="005C0C96">
              <w:rPr>
                <w:rFonts w:eastAsia="Calibri"/>
                <w:noProof/>
                <w:sz w:val="20"/>
                <w:szCs w:val="20"/>
                <w:lang w:eastAsia="en-GB"/>
              </w:rPr>
              <w:t>ne</w:t>
            </w:r>
          </w:p>
        </w:tc>
      </w:tr>
      <w:tr w:rsidR="005C0C96" w14:paraId="5AA8E049" w14:textId="77777777" w:rsidTr="4321A1A3">
        <w:trPr>
          <w:trHeight w:val="300"/>
        </w:trPr>
        <w:tc>
          <w:tcPr>
            <w:tcW w:w="206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tcPr>
          <w:p w14:paraId="0F93364F" w14:textId="77777777" w:rsidR="00B95D88" w:rsidRPr="008A0394" w:rsidRDefault="00B95D88">
            <w:pPr>
              <w:spacing w:before="60" w:after="60"/>
              <w:jc w:val="left"/>
              <w:rPr>
                <w:rFonts w:eastAsia="Times New Roman"/>
                <w:noProof/>
                <w:sz w:val="20"/>
                <w:szCs w:val="20"/>
              </w:rPr>
            </w:pPr>
            <w:r w:rsidRPr="1599A2D9">
              <w:rPr>
                <w:rFonts w:eastAsia="Times New Roman"/>
                <w:noProof/>
                <w:sz w:val="20"/>
                <w:szCs w:val="20"/>
              </w:rPr>
              <w:t>Citizens</w:t>
            </w:r>
          </w:p>
        </w:tc>
        <w:tc>
          <w:tcPr>
            <w:tcW w:w="1634" w:type="dxa"/>
            <w:tcBorders>
              <w:top w:val="single" w:sz="8" w:space="0" w:color="auto"/>
              <w:left w:val="nil"/>
              <w:bottom w:val="double" w:sz="4" w:space="0" w:color="auto"/>
              <w:right w:val="single" w:sz="4" w:space="0" w:color="auto"/>
            </w:tcBorders>
            <w:tcMar>
              <w:top w:w="0" w:type="dxa"/>
              <w:left w:w="108" w:type="dxa"/>
              <w:bottom w:w="0" w:type="dxa"/>
              <w:right w:w="108" w:type="dxa"/>
            </w:tcMar>
            <w:vAlign w:val="center"/>
          </w:tcPr>
          <w:p w14:paraId="1D973451" w14:textId="0B29A6DA" w:rsidR="00B95D88" w:rsidRDefault="36A76E80">
            <w:pPr>
              <w:ind w:right="739"/>
              <w:jc w:val="right"/>
              <w:rPr>
                <w:rFonts w:eastAsia="Calibri"/>
                <w:noProof/>
                <w:sz w:val="20"/>
                <w:szCs w:val="20"/>
                <w:lang w:eastAsia="en-GB"/>
              </w:rPr>
            </w:pPr>
            <w:r w:rsidRPr="4321A1A3">
              <w:rPr>
                <w:rFonts w:eastAsia="Calibri"/>
                <w:noProof/>
                <w:sz w:val="20"/>
                <w:szCs w:val="20"/>
                <w:lang w:eastAsia="en-GB"/>
              </w:rPr>
              <w:t>No</w:t>
            </w:r>
            <w:r w:rsidR="0A1A1EEC" w:rsidRPr="4321A1A3">
              <w:rPr>
                <w:rFonts w:eastAsia="Calibri"/>
                <w:noProof/>
                <w:sz w:val="20"/>
                <w:szCs w:val="20"/>
                <w:lang w:eastAsia="en-GB"/>
              </w:rPr>
              <w:t>ne</w:t>
            </w:r>
          </w:p>
        </w:tc>
        <w:tc>
          <w:tcPr>
            <w:tcW w:w="1362" w:type="dxa"/>
            <w:tcBorders>
              <w:top w:val="single" w:sz="8" w:space="0" w:color="auto"/>
              <w:left w:val="nil"/>
              <w:bottom w:val="double" w:sz="4" w:space="0" w:color="auto"/>
              <w:right w:val="single" w:sz="4" w:space="0" w:color="auto"/>
            </w:tcBorders>
            <w:vAlign w:val="center"/>
          </w:tcPr>
          <w:p w14:paraId="4CBEC311" w14:textId="0C7E040B" w:rsidR="00B95D88" w:rsidRDefault="4D386B7A">
            <w:pPr>
              <w:ind w:right="739"/>
              <w:jc w:val="right"/>
              <w:rPr>
                <w:rFonts w:eastAsia="Calibri"/>
                <w:noProof/>
                <w:sz w:val="20"/>
                <w:szCs w:val="20"/>
                <w:lang w:eastAsia="en-GB"/>
              </w:rPr>
            </w:pPr>
            <w:r w:rsidRPr="4321A1A3">
              <w:rPr>
                <w:rFonts w:eastAsia="Calibri"/>
                <w:noProof/>
                <w:sz w:val="20"/>
                <w:szCs w:val="20"/>
                <w:lang w:eastAsia="en-GB"/>
              </w:rPr>
              <w:t>No</w:t>
            </w:r>
            <w:r w:rsidR="0A1A1EEC" w:rsidRPr="4321A1A3">
              <w:rPr>
                <w:rFonts w:eastAsia="Calibri"/>
                <w:noProof/>
                <w:sz w:val="20"/>
                <w:szCs w:val="20"/>
                <w:lang w:eastAsia="en-GB"/>
              </w:rPr>
              <w:t>ne</w:t>
            </w:r>
          </w:p>
        </w:tc>
        <w:tc>
          <w:tcPr>
            <w:tcW w:w="1361" w:type="dxa"/>
            <w:tcBorders>
              <w:top w:val="single" w:sz="8" w:space="0" w:color="auto"/>
              <w:left w:val="single" w:sz="4" w:space="0" w:color="auto"/>
              <w:bottom w:val="double" w:sz="4" w:space="0" w:color="auto"/>
              <w:right w:val="single" w:sz="4" w:space="0" w:color="auto"/>
              <w:tl2br w:val="single" w:sz="4" w:space="0" w:color="auto"/>
              <w:tr2bl w:val="single" w:sz="4" w:space="0" w:color="auto"/>
            </w:tcBorders>
            <w:vAlign w:val="center"/>
          </w:tcPr>
          <w:p w14:paraId="4D4E537E" w14:textId="77777777" w:rsidR="00B95D88" w:rsidRDefault="00B95D88">
            <w:pPr>
              <w:ind w:right="739"/>
              <w:jc w:val="right"/>
              <w:rPr>
                <w:rFonts w:eastAsia="Calibri"/>
                <w:noProof/>
                <w:sz w:val="20"/>
                <w:szCs w:val="20"/>
                <w:lang w:eastAsia="en-GB"/>
              </w:rPr>
            </w:pPr>
          </w:p>
        </w:tc>
        <w:tc>
          <w:tcPr>
            <w:tcW w:w="1911" w:type="dxa"/>
            <w:tcBorders>
              <w:top w:val="single" w:sz="8" w:space="0" w:color="auto"/>
              <w:left w:val="single" w:sz="4" w:space="0" w:color="auto"/>
              <w:bottom w:val="double" w:sz="4" w:space="0" w:color="auto"/>
              <w:right w:val="single" w:sz="4" w:space="0" w:color="auto"/>
            </w:tcBorders>
            <w:vAlign w:val="center"/>
          </w:tcPr>
          <w:p w14:paraId="50E5ED54" w14:textId="726CDA6D" w:rsidR="00B95D88" w:rsidRDefault="320EA02A">
            <w:pPr>
              <w:ind w:right="739"/>
              <w:jc w:val="right"/>
              <w:rPr>
                <w:rFonts w:eastAsia="Calibri"/>
                <w:noProof/>
                <w:sz w:val="20"/>
                <w:szCs w:val="20"/>
                <w:lang w:eastAsia="en-GB"/>
              </w:rPr>
            </w:pPr>
            <w:r w:rsidRPr="4321A1A3">
              <w:rPr>
                <w:rFonts w:eastAsia="Calibri"/>
                <w:noProof/>
                <w:sz w:val="20"/>
                <w:szCs w:val="20"/>
                <w:lang w:eastAsia="en-GB"/>
              </w:rPr>
              <w:t>No</w:t>
            </w:r>
            <w:r w:rsidR="0A1A1EEC" w:rsidRPr="4321A1A3">
              <w:rPr>
                <w:rFonts w:eastAsia="Calibri"/>
                <w:noProof/>
                <w:sz w:val="20"/>
                <w:szCs w:val="20"/>
                <w:lang w:eastAsia="en-GB"/>
              </w:rPr>
              <w:t>ne</w:t>
            </w:r>
          </w:p>
        </w:tc>
        <w:tc>
          <w:tcPr>
            <w:tcW w:w="1900" w:type="dxa"/>
            <w:tcBorders>
              <w:top w:val="single" w:sz="8" w:space="0" w:color="auto"/>
              <w:left w:val="single" w:sz="4" w:space="0" w:color="auto"/>
              <w:bottom w:val="double" w:sz="4" w:space="0" w:color="auto"/>
              <w:right w:val="double" w:sz="4" w:space="0" w:color="auto"/>
            </w:tcBorders>
            <w:vAlign w:val="center"/>
          </w:tcPr>
          <w:p w14:paraId="1FCE8037" w14:textId="7709AB4F" w:rsidR="00B95D88" w:rsidRDefault="320EA02A">
            <w:pPr>
              <w:ind w:right="739"/>
              <w:jc w:val="right"/>
              <w:rPr>
                <w:rFonts w:eastAsia="Calibri"/>
                <w:noProof/>
                <w:sz w:val="20"/>
                <w:szCs w:val="20"/>
                <w:lang w:eastAsia="en-GB"/>
              </w:rPr>
            </w:pPr>
            <w:r w:rsidRPr="4321A1A3">
              <w:rPr>
                <w:rFonts w:eastAsia="Calibri"/>
                <w:noProof/>
                <w:sz w:val="20"/>
                <w:szCs w:val="20"/>
                <w:lang w:eastAsia="en-GB"/>
              </w:rPr>
              <w:t>No</w:t>
            </w:r>
            <w:r w:rsidR="0A1A1EEC" w:rsidRPr="4321A1A3">
              <w:rPr>
                <w:rFonts w:eastAsia="Calibri"/>
                <w:noProof/>
                <w:sz w:val="20"/>
                <w:szCs w:val="20"/>
                <w:lang w:eastAsia="en-GB"/>
              </w:rPr>
              <w:t>ne</w:t>
            </w:r>
          </w:p>
        </w:tc>
      </w:tr>
    </w:tbl>
    <w:p w14:paraId="14E85A8F" w14:textId="7DA0C4ED" w:rsidR="00B95D88" w:rsidRPr="00F92EAE" w:rsidDel="0044214A" w:rsidRDefault="00B95D88" w:rsidP="0059106A">
      <w:pPr>
        <w:pStyle w:val="Heading1"/>
        <w:numPr>
          <w:ilvl w:val="0"/>
          <w:numId w:val="31"/>
        </w:numPr>
        <w:rPr>
          <w:noProof/>
        </w:rPr>
      </w:pPr>
      <w:bookmarkStart w:id="68" w:name="_Toc195101109"/>
      <w:bookmarkStart w:id="69" w:name="_Toc231816736"/>
      <w:bookmarkEnd w:id="67"/>
      <w:r>
        <w:rPr>
          <w:noProof/>
        </w:rPr>
        <w:t>Relevant sustainable development goals</w:t>
      </w:r>
      <w:bookmarkEnd w:id="68"/>
      <w:bookmarkEnd w:id="69"/>
    </w:p>
    <w:tbl>
      <w:tblPr>
        <w:tblStyle w:val="CV11"/>
        <w:tblW w:w="10377"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52"/>
        <w:gridCol w:w="4111"/>
        <w:gridCol w:w="3714"/>
      </w:tblGrid>
      <w:tr w:rsidR="001D47A2" w:rsidRPr="00F92EAE" w14:paraId="490E8313" w14:textId="77777777" w:rsidTr="4321A1A3">
        <w:tc>
          <w:tcPr>
            <w:tcW w:w="10377" w:type="dxa"/>
            <w:gridSpan w:val="3"/>
            <w:tcBorders>
              <w:top w:val="double" w:sz="4" w:space="0" w:color="auto"/>
              <w:bottom w:val="single" w:sz="4" w:space="0" w:color="auto"/>
            </w:tcBorders>
            <w:shd w:val="clear" w:color="auto" w:fill="C6D9F1" w:themeFill="text2" w:themeFillTint="33"/>
          </w:tcPr>
          <w:p w14:paraId="50EA56BD" w14:textId="77777777" w:rsidR="0044214A" w:rsidRPr="00F92EAE" w:rsidRDefault="355D418A" w:rsidP="1599A2D9">
            <w:pPr>
              <w:spacing w:after="0"/>
              <w:rPr>
                <w:b/>
                <w:bCs/>
                <w:noProof/>
                <w:sz w:val="20"/>
                <w:szCs w:val="20"/>
              </w:rPr>
            </w:pPr>
            <w:r w:rsidRPr="1599A2D9">
              <w:rPr>
                <w:b/>
                <w:bCs/>
                <w:noProof/>
                <w:sz w:val="20"/>
                <w:szCs w:val="20"/>
              </w:rPr>
              <w:t>IV. Overview of relevant Sustainable Development Goals – Preferred Option(s)</w:t>
            </w:r>
          </w:p>
        </w:tc>
      </w:tr>
      <w:tr w:rsidR="001D47A2" w:rsidRPr="00F92EAE" w14:paraId="2006B23B" w14:textId="77777777" w:rsidTr="4321A1A3">
        <w:tc>
          <w:tcPr>
            <w:tcW w:w="2552" w:type="dxa"/>
            <w:tcBorders>
              <w:top w:val="single" w:sz="4" w:space="0" w:color="auto"/>
            </w:tcBorders>
            <w:shd w:val="clear" w:color="auto" w:fill="C6D9F1" w:themeFill="text2" w:themeFillTint="33"/>
          </w:tcPr>
          <w:p w14:paraId="4CC757C1" w14:textId="77777777" w:rsidR="0044214A" w:rsidRPr="00F92EAE" w:rsidRDefault="355D418A" w:rsidP="1599A2D9">
            <w:pPr>
              <w:spacing w:after="0"/>
              <w:rPr>
                <w:b/>
                <w:bCs/>
                <w:noProof/>
                <w:sz w:val="20"/>
                <w:szCs w:val="20"/>
              </w:rPr>
            </w:pPr>
            <w:r w:rsidRPr="1599A2D9">
              <w:rPr>
                <w:b/>
                <w:bCs/>
                <w:noProof/>
                <w:sz w:val="20"/>
                <w:szCs w:val="20"/>
              </w:rPr>
              <w:t>Relevant SDG</w:t>
            </w:r>
          </w:p>
        </w:tc>
        <w:tc>
          <w:tcPr>
            <w:tcW w:w="4111" w:type="dxa"/>
            <w:tcBorders>
              <w:top w:val="single" w:sz="4" w:space="0" w:color="auto"/>
            </w:tcBorders>
            <w:shd w:val="clear" w:color="auto" w:fill="C6D9F1" w:themeFill="text2" w:themeFillTint="33"/>
          </w:tcPr>
          <w:p w14:paraId="167E5784" w14:textId="77777777" w:rsidR="0044214A" w:rsidRPr="00F92EAE" w:rsidRDefault="355D418A" w:rsidP="1599A2D9">
            <w:pPr>
              <w:spacing w:after="0"/>
              <w:rPr>
                <w:b/>
                <w:bCs/>
                <w:noProof/>
                <w:sz w:val="20"/>
                <w:szCs w:val="20"/>
              </w:rPr>
            </w:pPr>
            <w:r w:rsidRPr="1599A2D9">
              <w:rPr>
                <w:b/>
                <w:bCs/>
                <w:noProof/>
                <w:sz w:val="20"/>
                <w:szCs w:val="20"/>
              </w:rPr>
              <w:t>Expected progress towards the Goal</w:t>
            </w:r>
          </w:p>
        </w:tc>
        <w:tc>
          <w:tcPr>
            <w:tcW w:w="3714" w:type="dxa"/>
            <w:tcBorders>
              <w:top w:val="single" w:sz="4" w:space="0" w:color="auto"/>
            </w:tcBorders>
            <w:shd w:val="clear" w:color="auto" w:fill="C6D9F1" w:themeFill="text2" w:themeFillTint="33"/>
            <w:tcMar>
              <w:top w:w="57" w:type="dxa"/>
              <w:left w:w="57" w:type="dxa"/>
              <w:bottom w:w="57" w:type="dxa"/>
              <w:right w:w="57" w:type="dxa"/>
            </w:tcMar>
          </w:tcPr>
          <w:p w14:paraId="07F0129C" w14:textId="77777777" w:rsidR="0044214A" w:rsidRPr="00F92EAE" w:rsidRDefault="355D418A" w:rsidP="1599A2D9">
            <w:pPr>
              <w:spacing w:after="0"/>
              <w:rPr>
                <w:b/>
                <w:bCs/>
                <w:noProof/>
                <w:sz w:val="20"/>
                <w:szCs w:val="20"/>
              </w:rPr>
            </w:pPr>
            <w:r w:rsidRPr="1599A2D9">
              <w:rPr>
                <w:b/>
                <w:bCs/>
                <w:noProof/>
                <w:sz w:val="20"/>
                <w:szCs w:val="20"/>
              </w:rPr>
              <w:t>Comments</w:t>
            </w:r>
          </w:p>
        </w:tc>
      </w:tr>
      <w:tr w:rsidR="0044214A" w:rsidRPr="00F92EAE" w14:paraId="477E2C9D" w14:textId="77777777" w:rsidTr="4321A1A3">
        <w:tc>
          <w:tcPr>
            <w:tcW w:w="2552" w:type="dxa"/>
            <w:tcBorders>
              <w:top w:val="single" w:sz="4" w:space="0" w:color="auto"/>
              <w:bottom w:val="single" w:sz="4" w:space="0" w:color="auto"/>
            </w:tcBorders>
          </w:tcPr>
          <w:p w14:paraId="3BF046D1" w14:textId="77777777" w:rsidR="0044214A" w:rsidRPr="00F92EAE" w:rsidRDefault="355D418A" w:rsidP="1599A2D9">
            <w:pPr>
              <w:spacing w:after="0"/>
              <w:rPr>
                <w:noProof/>
                <w:sz w:val="20"/>
                <w:szCs w:val="20"/>
              </w:rPr>
            </w:pPr>
            <w:r w:rsidRPr="1599A2D9">
              <w:rPr>
                <w:noProof/>
                <w:sz w:val="20"/>
                <w:szCs w:val="20"/>
              </w:rPr>
              <w:t>SDG 8 – Decent work and economic growth</w:t>
            </w:r>
          </w:p>
        </w:tc>
        <w:tc>
          <w:tcPr>
            <w:tcW w:w="4111" w:type="dxa"/>
            <w:tcBorders>
              <w:top w:val="single" w:sz="4" w:space="0" w:color="auto"/>
              <w:bottom w:val="single" w:sz="4" w:space="0" w:color="auto"/>
            </w:tcBorders>
            <w:tcMar>
              <w:top w:w="57" w:type="dxa"/>
              <w:left w:w="57" w:type="dxa"/>
              <w:bottom w:w="57" w:type="dxa"/>
              <w:right w:w="57" w:type="dxa"/>
            </w:tcMar>
          </w:tcPr>
          <w:p w14:paraId="0BD9A169" w14:textId="76F4F45F" w:rsidR="0044214A" w:rsidRPr="00F92EAE" w:rsidRDefault="52527AF4" w:rsidP="1599A2D9">
            <w:pPr>
              <w:spacing w:after="0"/>
              <w:rPr>
                <w:noProof/>
                <w:sz w:val="20"/>
                <w:szCs w:val="20"/>
              </w:rPr>
            </w:pPr>
            <w:r w:rsidRPr="4321A1A3">
              <w:rPr>
                <w:noProof/>
                <w:sz w:val="20"/>
                <w:szCs w:val="20"/>
              </w:rPr>
              <w:t xml:space="preserve">The initiative reduces tax compliance costs and administrative burdens for </w:t>
            </w:r>
            <w:r w:rsidR="7F67F354" w:rsidRPr="4321A1A3">
              <w:rPr>
                <w:noProof/>
                <w:sz w:val="20"/>
                <w:szCs w:val="20"/>
              </w:rPr>
              <w:t>businesses</w:t>
            </w:r>
            <w:r w:rsidRPr="4321A1A3">
              <w:rPr>
                <w:noProof/>
                <w:sz w:val="20"/>
                <w:szCs w:val="20"/>
              </w:rPr>
              <w:t xml:space="preserve">, in particular through simplification of DAC6 and DAC7 reporting obligations and the streamlining of notification requirements. This is expected to improve the business environment, support productivity and facilitate cross-border economic activity within the </w:t>
            </w:r>
            <w:r w:rsidR="53C4AA24" w:rsidRPr="4321A1A3">
              <w:rPr>
                <w:noProof/>
                <w:sz w:val="20"/>
                <w:szCs w:val="20"/>
              </w:rPr>
              <w:t>I</w:t>
            </w:r>
            <w:r w:rsidR="7EE6379C" w:rsidRPr="4321A1A3">
              <w:rPr>
                <w:noProof/>
                <w:sz w:val="20"/>
                <w:szCs w:val="20"/>
              </w:rPr>
              <w:t xml:space="preserve">nternal </w:t>
            </w:r>
            <w:r w:rsidR="04C0B1A4" w:rsidRPr="4321A1A3">
              <w:rPr>
                <w:noProof/>
                <w:sz w:val="20"/>
                <w:szCs w:val="20"/>
              </w:rPr>
              <w:t>M</w:t>
            </w:r>
            <w:r w:rsidRPr="4321A1A3">
              <w:rPr>
                <w:noProof/>
                <w:sz w:val="20"/>
                <w:szCs w:val="20"/>
              </w:rPr>
              <w:t>arket.</w:t>
            </w:r>
          </w:p>
        </w:tc>
        <w:tc>
          <w:tcPr>
            <w:tcW w:w="3714" w:type="dxa"/>
            <w:tcBorders>
              <w:top w:val="single" w:sz="4" w:space="0" w:color="auto"/>
              <w:bottom w:val="single" w:sz="4" w:space="0" w:color="auto"/>
            </w:tcBorders>
            <w:tcMar>
              <w:top w:w="57" w:type="dxa"/>
              <w:left w:w="57" w:type="dxa"/>
              <w:bottom w:w="57" w:type="dxa"/>
              <w:right w:w="57" w:type="dxa"/>
            </w:tcMar>
          </w:tcPr>
          <w:p w14:paraId="3711F8AF" w14:textId="30FF983B" w:rsidR="0044214A" w:rsidRPr="00F92EAE" w:rsidRDefault="355D418A" w:rsidP="1599A2D9">
            <w:pPr>
              <w:spacing w:after="0"/>
              <w:rPr>
                <w:noProof/>
                <w:sz w:val="20"/>
                <w:szCs w:val="20"/>
              </w:rPr>
            </w:pPr>
            <w:r w:rsidRPr="1599A2D9">
              <w:rPr>
                <w:noProof/>
                <w:sz w:val="20"/>
                <w:szCs w:val="20"/>
              </w:rPr>
              <w:t xml:space="preserve">Lower compliance costs may free up resources for productive investment, employment or wage growth. Impacts are indirect and depend on </w:t>
            </w:r>
            <w:r w:rsidR="5EF8EE38" w:rsidRPr="6D21266F">
              <w:rPr>
                <w:noProof/>
                <w:sz w:val="20"/>
                <w:szCs w:val="20"/>
              </w:rPr>
              <w:t>companies</w:t>
            </w:r>
            <w:r w:rsidR="69A090ED" w:rsidRPr="6D21266F">
              <w:rPr>
                <w:noProof/>
                <w:sz w:val="20"/>
                <w:szCs w:val="20"/>
              </w:rPr>
              <w:t>’</w:t>
            </w:r>
            <w:r w:rsidRPr="1599A2D9">
              <w:rPr>
                <w:noProof/>
                <w:sz w:val="20"/>
                <w:szCs w:val="20"/>
              </w:rPr>
              <w:t xml:space="preserve"> allocation of cost savings.</w:t>
            </w:r>
          </w:p>
        </w:tc>
      </w:tr>
      <w:tr w:rsidR="0044214A" w:rsidRPr="00F92EAE" w14:paraId="3E1ADC24" w14:textId="77777777" w:rsidTr="4321A1A3">
        <w:tc>
          <w:tcPr>
            <w:tcW w:w="2552" w:type="dxa"/>
          </w:tcPr>
          <w:p w14:paraId="4E82511C" w14:textId="77777777" w:rsidR="0044214A" w:rsidRPr="00F92EAE" w:rsidRDefault="355D418A" w:rsidP="1599A2D9">
            <w:pPr>
              <w:spacing w:after="0"/>
              <w:rPr>
                <w:noProof/>
                <w:sz w:val="20"/>
                <w:szCs w:val="20"/>
              </w:rPr>
            </w:pPr>
            <w:r w:rsidRPr="1599A2D9">
              <w:rPr>
                <w:noProof/>
                <w:sz w:val="20"/>
                <w:szCs w:val="20"/>
              </w:rPr>
              <w:t>SDG 9 – Industry, innovation and infrastructure</w:t>
            </w:r>
          </w:p>
        </w:tc>
        <w:tc>
          <w:tcPr>
            <w:tcW w:w="4111" w:type="dxa"/>
            <w:tcMar>
              <w:top w:w="57" w:type="dxa"/>
              <w:left w:w="57" w:type="dxa"/>
              <w:bottom w:w="57" w:type="dxa"/>
              <w:right w:w="57" w:type="dxa"/>
            </w:tcMar>
          </w:tcPr>
          <w:p w14:paraId="786E8359" w14:textId="77777777" w:rsidR="0044214A" w:rsidRPr="00F92EAE" w:rsidRDefault="355D418A" w:rsidP="1599A2D9">
            <w:pPr>
              <w:spacing w:after="0"/>
              <w:rPr>
                <w:noProof/>
                <w:sz w:val="20"/>
                <w:szCs w:val="20"/>
              </w:rPr>
            </w:pPr>
            <w:r w:rsidRPr="1599A2D9">
              <w:rPr>
                <w:noProof/>
                <w:sz w:val="20"/>
                <w:szCs w:val="20"/>
              </w:rPr>
              <w:t>By simplifying reporting obligations and improving the coherence of EU tax information systems, the initiative contributes to a more efficient regulatory framework and supports digitalisation of tax administration processes, including data exchange and verification systems.</w:t>
            </w:r>
          </w:p>
        </w:tc>
        <w:tc>
          <w:tcPr>
            <w:tcW w:w="3714" w:type="dxa"/>
            <w:tcMar>
              <w:top w:w="57" w:type="dxa"/>
              <w:left w:w="57" w:type="dxa"/>
              <w:bottom w:w="57" w:type="dxa"/>
              <w:right w:w="57" w:type="dxa"/>
            </w:tcMar>
          </w:tcPr>
          <w:p w14:paraId="42B1E7EA" w14:textId="77777777" w:rsidR="0044214A" w:rsidRPr="00F92EAE" w:rsidRDefault="355D418A" w:rsidP="1599A2D9">
            <w:pPr>
              <w:spacing w:after="0"/>
              <w:rPr>
                <w:noProof/>
                <w:sz w:val="20"/>
                <w:szCs w:val="20"/>
              </w:rPr>
            </w:pPr>
            <w:r w:rsidRPr="1599A2D9">
              <w:rPr>
                <w:noProof/>
                <w:sz w:val="20"/>
                <w:szCs w:val="20"/>
              </w:rPr>
              <w:t>Reduced administrative complexity and improved legal certainty may indirectly support innovation and investment decisions, although no direct R&amp;D incentives are introduced.</w:t>
            </w:r>
          </w:p>
        </w:tc>
      </w:tr>
      <w:tr w:rsidR="4321A1A3" w14:paraId="4839590D" w14:textId="77777777" w:rsidTr="4321A1A3">
        <w:trPr>
          <w:trHeight w:val="300"/>
        </w:trPr>
        <w:tc>
          <w:tcPr>
            <w:tcW w:w="2552" w:type="dxa"/>
          </w:tcPr>
          <w:p w14:paraId="003EE38A" w14:textId="77777777" w:rsidR="49B2F52B" w:rsidRDefault="49B2F52B" w:rsidP="4321A1A3">
            <w:pPr>
              <w:spacing w:after="0"/>
              <w:rPr>
                <w:noProof/>
                <w:sz w:val="20"/>
                <w:szCs w:val="20"/>
              </w:rPr>
            </w:pPr>
            <w:r w:rsidRPr="4321A1A3">
              <w:rPr>
                <w:noProof/>
                <w:sz w:val="20"/>
                <w:szCs w:val="20"/>
              </w:rPr>
              <w:t>SDG 10 – Reduced inequalities</w:t>
            </w:r>
          </w:p>
          <w:p w14:paraId="0C4093FC" w14:textId="010EE162" w:rsidR="4321A1A3" w:rsidRDefault="4321A1A3" w:rsidP="4321A1A3">
            <w:pPr>
              <w:rPr>
                <w:noProof/>
                <w:sz w:val="20"/>
                <w:szCs w:val="20"/>
              </w:rPr>
            </w:pPr>
          </w:p>
        </w:tc>
        <w:tc>
          <w:tcPr>
            <w:tcW w:w="4111" w:type="dxa"/>
            <w:tcMar>
              <w:top w:w="57" w:type="dxa"/>
              <w:left w:w="57" w:type="dxa"/>
              <w:bottom w:w="57" w:type="dxa"/>
              <w:right w:w="57" w:type="dxa"/>
            </w:tcMar>
          </w:tcPr>
          <w:p w14:paraId="4BFD6577" w14:textId="77777777" w:rsidR="49B2F52B" w:rsidRDefault="49B2F52B" w:rsidP="4321A1A3">
            <w:pPr>
              <w:spacing w:after="0"/>
              <w:rPr>
                <w:noProof/>
                <w:sz w:val="20"/>
                <w:szCs w:val="20"/>
              </w:rPr>
            </w:pPr>
            <w:r w:rsidRPr="4321A1A3">
              <w:rPr>
                <w:noProof/>
                <w:sz w:val="20"/>
                <w:szCs w:val="20"/>
              </w:rPr>
              <w:t>By improving the effectiveness of tax transparency frameworks, the initiative may contribute indirectly to fairer taxation and a more level playing field across taxpayers.</w:t>
            </w:r>
          </w:p>
          <w:p w14:paraId="3094DDFB" w14:textId="083AD7E4" w:rsidR="4321A1A3" w:rsidRDefault="4321A1A3" w:rsidP="4321A1A3">
            <w:pPr>
              <w:rPr>
                <w:noProof/>
                <w:sz w:val="20"/>
                <w:szCs w:val="20"/>
              </w:rPr>
            </w:pPr>
          </w:p>
        </w:tc>
        <w:tc>
          <w:tcPr>
            <w:tcW w:w="3714" w:type="dxa"/>
            <w:tcMar>
              <w:top w:w="57" w:type="dxa"/>
              <w:left w:w="57" w:type="dxa"/>
              <w:bottom w:w="57" w:type="dxa"/>
              <w:right w:w="57" w:type="dxa"/>
            </w:tcMar>
          </w:tcPr>
          <w:p w14:paraId="67531D55" w14:textId="77777777" w:rsidR="49B2F52B" w:rsidRDefault="49B2F52B" w:rsidP="4321A1A3">
            <w:pPr>
              <w:spacing w:after="0"/>
              <w:rPr>
                <w:noProof/>
                <w:sz w:val="20"/>
                <w:szCs w:val="20"/>
              </w:rPr>
            </w:pPr>
            <w:r w:rsidRPr="4321A1A3">
              <w:rPr>
                <w:noProof/>
                <w:sz w:val="20"/>
                <w:szCs w:val="20"/>
              </w:rPr>
              <w:t>Effects are indirect and depend on enforcement outcomes. Simplification measures are designed not to undermine core anti-avoidance objectives.</w:t>
            </w:r>
          </w:p>
          <w:p w14:paraId="3CB2D559" w14:textId="1236B6D8" w:rsidR="4321A1A3" w:rsidRDefault="4321A1A3" w:rsidP="4321A1A3">
            <w:pPr>
              <w:rPr>
                <w:noProof/>
                <w:sz w:val="20"/>
                <w:szCs w:val="20"/>
              </w:rPr>
            </w:pPr>
          </w:p>
        </w:tc>
      </w:tr>
      <w:tr w:rsidR="0044214A" w:rsidRPr="00F92EAE" w14:paraId="4CADDEDA" w14:textId="77777777" w:rsidTr="4321A1A3">
        <w:tc>
          <w:tcPr>
            <w:tcW w:w="2552" w:type="dxa"/>
          </w:tcPr>
          <w:p w14:paraId="277C2CA4" w14:textId="77777777" w:rsidR="0044214A" w:rsidRPr="00F73E85" w:rsidRDefault="355D418A" w:rsidP="1599A2D9">
            <w:pPr>
              <w:spacing w:after="0"/>
              <w:rPr>
                <w:noProof/>
                <w:sz w:val="20"/>
                <w:szCs w:val="20"/>
              </w:rPr>
            </w:pPr>
            <w:r w:rsidRPr="1599A2D9">
              <w:rPr>
                <w:noProof/>
                <w:sz w:val="20"/>
                <w:szCs w:val="20"/>
              </w:rPr>
              <w:t>SDG 16 – Peace, justice and strong institutions</w:t>
            </w:r>
          </w:p>
        </w:tc>
        <w:tc>
          <w:tcPr>
            <w:tcW w:w="4111" w:type="dxa"/>
            <w:tcMar>
              <w:top w:w="57" w:type="dxa"/>
              <w:left w:w="57" w:type="dxa"/>
              <w:bottom w:w="57" w:type="dxa"/>
              <w:right w:w="57" w:type="dxa"/>
            </w:tcMar>
          </w:tcPr>
          <w:p w14:paraId="61C96811" w14:textId="77777777" w:rsidR="0044214A" w:rsidRPr="00F73E85" w:rsidRDefault="355D418A" w:rsidP="1599A2D9">
            <w:pPr>
              <w:spacing w:after="0"/>
              <w:rPr>
                <w:noProof/>
                <w:sz w:val="20"/>
                <w:szCs w:val="20"/>
              </w:rPr>
            </w:pPr>
            <w:r w:rsidRPr="1599A2D9">
              <w:rPr>
                <w:noProof/>
                <w:sz w:val="20"/>
                <w:szCs w:val="20"/>
              </w:rPr>
              <w:t>The initiative strengthens tax transparency, administrative cooperation and the effectiveness of tax enforcement across Member States, while improving the proportionality of reporting obligations.</w:t>
            </w:r>
          </w:p>
        </w:tc>
        <w:tc>
          <w:tcPr>
            <w:tcW w:w="3714" w:type="dxa"/>
            <w:tcMar>
              <w:top w:w="57" w:type="dxa"/>
              <w:left w:w="57" w:type="dxa"/>
              <w:bottom w:w="57" w:type="dxa"/>
              <w:right w:w="57" w:type="dxa"/>
            </w:tcMar>
          </w:tcPr>
          <w:p w14:paraId="06AA41E0" w14:textId="0D990767" w:rsidR="0044214A" w:rsidRPr="00586B03" w:rsidRDefault="52527AF4" w:rsidP="1599A2D9">
            <w:pPr>
              <w:spacing w:after="0"/>
              <w:rPr>
                <w:noProof/>
                <w:sz w:val="20"/>
                <w:szCs w:val="20"/>
              </w:rPr>
            </w:pPr>
            <w:r w:rsidRPr="4321A1A3">
              <w:rPr>
                <w:noProof/>
                <w:sz w:val="20"/>
                <w:szCs w:val="20"/>
              </w:rPr>
              <w:t xml:space="preserve">Enhanced data quality, reduced duplication and improved exchange of information contribute to more efficient and fair tax systems. Some measures (e.g. DAC7 threshold adjustments) may slightly reduce available </w:t>
            </w:r>
            <w:r w:rsidR="0BA20A65" w:rsidRPr="4321A1A3">
              <w:rPr>
                <w:noProof/>
                <w:sz w:val="20"/>
                <w:szCs w:val="20"/>
              </w:rPr>
              <w:t>information but</w:t>
            </w:r>
            <w:r w:rsidRPr="4321A1A3">
              <w:rPr>
                <w:noProof/>
                <w:sz w:val="20"/>
                <w:szCs w:val="20"/>
              </w:rPr>
              <w:t xml:space="preserve"> aim to better align reporting with risk relevance.</w:t>
            </w:r>
          </w:p>
        </w:tc>
      </w:tr>
      <w:tr w:rsidR="0044214A" w:rsidRPr="00F92EAE" w14:paraId="7A3BD69C" w14:textId="77777777" w:rsidTr="4321A1A3">
        <w:tc>
          <w:tcPr>
            <w:tcW w:w="2552" w:type="dxa"/>
            <w:tcBorders>
              <w:bottom w:val="double" w:sz="4" w:space="0" w:color="auto"/>
            </w:tcBorders>
          </w:tcPr>
          <w:p w14:paraId="1863AF92" w14:textId="77777777" w:rsidR="0044214A" w:rsidRPr="00F73E85" w:rsidRDefault="355D418A" w:rsidP="1599A2D9">
            <w:pPr>
              <w:spacing w:after="0"/>
              <w:rPr>
                <w:noProof/>
                <w:sz w:val="20"/>
                <w:szCs w:val="20"/>
              </w:rPr>
            </w:pPr>
            <w:r w:rsidRPr="1599A2D9">
              <w:rPr>
                <w:noProof/>
                <w:sz w:val="20"/>
                <w:szCs w:val="20"/>
              </w:rPr>
              <w:t>SDG 17 – Partnerships for the goals</w:t>
            </w:r>
          </w:p>
        </w:tc>
        <w:tc>
          <w:tcPr>
            <w:tcW w:w="4111" w:type="dxa"/>
            <w:tcBorders>
              <w:bottom w:val="double" w:sz="4" w:space="0" w:color="auto"/>
            </w:tcBorders>
            <w:tcMar>
              <w:top w:w="57" w:type="dxa"/>
              <w:left w:w="57" w:type="dxa"/>
              <w:bottom w:w="57" w:type="dxa"/>
              <w:right w:w="57" w:type="dxa"/>
            </w:tcMar>
          </w:tcPr>
          <w:p w14:paraId="4353305B" w14:textId="7D3AFA8B" w:rsidR="0044214A" w:rsidRPr="00F73E85" w:rsidRDefault="355D418A" w:rsidP="1599A2D9">
            <w:pPr>
              <w:spacing w:after="0"/>
              <w:rPr>
                <w:noProof/>
                <w:sz w:val="20"/>
                <w:szCs w:val="20"/>
              </w:rPr>
            </w:pPr>
            <w:r w:rsidRPr="1599A2D9">
              <w:rPr>
                <w:noProof/>
                <w:sz w:val="20"/>
                <w:szCs w:val="20"/>
              </w:rPr>
              <w:t>The initiative enhances cooperation and information exchange between Member States’ tax administrations, including through harmonised reporting frameworks and potential centralised systems (e.g. TIN verification, DAC4/</w:t>
            </w:r>
            <w:r w:rsidR="007411CC">
              <w:rPr>
                <w:noProof/>
                <w:sz w:val="20"/>
                <w:szCs w:val="20"/>
              </w:rPr>
              <w:t>DAC9</w:t>
            </w:r>
            <w:r w:rsidRPr="1599A2D9">
              <w:rPr>
                <w:noProof/>
                <w:sz w:val="20"/>
                <w:szCs w:val="20"/>
              </w:rPr>
              <w:t xml:space="preserve"> notifications).</w:t>
            </w:r>
          </w:p>
        </w:tc>
        <w:tc>
          <w:tcPr>
            <w:tcW w:w="3714" w:type="dxa"/>
            <w:tcBorders>
              <w:bottom w:val="double" w:sz="4" w:space="0" w:color="auto"/>
            </w:tcBorders>
            <w:tcMar>
              <w:top w:w="57" w:type="dxa"/>
              <w:left w:w="57" w:type="dxa"/>
              <w:bottom w:w="57" w:type="dxa"/>
              <w:right w:w="57" w:type="dxa"/>
            </w:tcMar>
          </w:tcPr>
          <w:p w14:paraId="6972F55D" w14:textId="39C455FE" w:rsidR="0044214A" w:rsidRPr="00586B03" w:rsidRDefault="52527AF4" w:rsidP="1599A2D9">
            <w:pPr>
              <w:spacing w:after="0"/>
              <w:rPr>
                <w:noProof/>
                <w:sz w:val="20"/>
                <w:szCs w:val="20"/>
              </w:rPr>
            </w:pPr>
            <w:r w:rsidRPr="4321A1A3">
              <w:rPr>
                <w:noProof/>
                <w:sz w:val="20"/>
                <w:szCs w:val="20"/>
              </w:rPr>
              <w:t xml:space="preserve">Improved administrative cooperation supports coordinated action at EU level and strengthens the functioning of the </w:t>
            </w:r>
            <w:r w:rsidR="5FF5C474" w:rsidRPr="4321A1A3">
              <w:rPr>
                <w:noProof/>
                <w:sz w:val="20"/>
                <w:szCs w:val="20"/>
              </w:rPr>
              <w:t>I</w:t>
            </w:r>
            <w:r w:rsidR="7EE6379C" w:rsidRPr="4321A1A3">
              <w:rPr>
                <w:noProof/>
                <w:sz w:val="20"/>
                <w:szCs w:val="20"/>
              </w:rPr>
              <w:t xml:space="preserve">nternal </w:t>
            </w:r>
            <w:r w:rsidR="543F1A33" w:rsidRPr="4321A1A3">
              <w:rPr>
                <w:noProof/>
                <w:sz w:val="20"/>
                <w:szCs w:val="20"/>
              </w:rPr>
              <w:t>M</w:t>
            </w:r>
            <w:r w:rsidRPr="4321A1A3">
              <w:rPr>
                <w:noProof/>
                <w:sz w:val="20"/>
                <w:szCs w:val="20"/>
              </w:rPr>
              <w:t>arket.</w:t>
            </w:r>
          </w:p>
        </w:tc>
      </w:tr>
    </w:tbl>
    <w:p w14:paraId="0D52C924" w14:textId="79A7BF5A" w:rsidR="00341B36" w:rsidRDefault="00341B36">
      <w:pPr>
        <w:spacing w:after="200" w:line="276" w:lineRule="auto"/>
        <w:jc w:val="left"/>
        <w:rPr>
          <w:noProof/>
          <w:lang w:val="en-IE"/>
        </w:rPr>
      </w:pPr>
      <w:r>
        <w:rPr>
          <w:noProof/>
          <w:lang w:val="en-IE"/>
        </w:rPr>
        <w:br w:type="page"/>
      </w:r>
    </w:p>
    <w:p w14:paraId="1A2DD5C0" w14:textId="248465F5" w:rsidR="00CD2260" w:rsidRPr="00F92EAE" w:rsidRDefault="00CD2260" w:rsidP="00CD2260">
      <w:pPr>
        <w:pStyle w:val="AnnexTitle"/>
        <w:rPr>
          <w:noProof/>
        </w:rPr>
      </w:pPr>
      <w:bookmarkStart w:id="70" w:name="_Toc195101110"/>
      <w:bookmarkStart w:id="71" w:name="_Toc231816737"/>
      <w:r>
        <w:rPr>
          <w:noProof/>
        </w:rPr>
        <w:t>Annex 4: Analytical methods</w:t>
      </w:r>
      <w:bookmarkEnd w:id="70"/>
      <w:bookmarkEnd w:id="71"/>
    </w:p>
    <w:p w14:paraId="6B6DF2BA" w14:textId="77777777" w:rsidR="00CD2260" w:rsidRDefault="00CD2260" w:rsidP="00CD2260">
      <w:pPr>
        <w:rPr>
          <w:noProof/>
        </w:rPr>
      </w:pPr>
      <w:r>
        <w:rPr>
          <w:noProof/>
        </w:rPr>
        <w:t>This appendix provides the technical details underlying the quantification of compliance cost savings associated with the DAC Recast measures. It describes the data sources used, the assumptions applied and the methodologies to estimate the magnitude of the savings across the different policy options. In particular, it sets out the numerical inputs, calculation steps and simplifying assumptions used in deriving the estimates presented in the main text. The purpose of this appendix is to ensure transparency regarding the analytical approach and to allow the estimates to be reproduced and interpreted in light of the underlying data limitations and methodological choices.</w:t>
      </w:r>
    </w:p>
    <w:p w14:paraId="7405AA73" w14:textId="6BE883EB" w:rsidR="00CD2260" w:rsidRPr="00E95B03" w:rsidRDefault="002E44C0" w:rsidP="1599A2D9">
      <w:pPr>
        <w:rPr>
          <w:b/>
          <w:bCs/>
          <w:noProof/>
        </w:rPr>
      </w:pPr>
      <w:r w:rsidRPr="1599A2D9">
        <w:rPr>
          <w:b/>
          <w:bCs/>
          <w:noProof/>
        </w:rPr>
        <w:t xml:space="preserve">1. </w:t>
      </w:r>
      <w:r w:rsidR="00CD2260" w:rsidRPr="1599A2D9">
        <w:rPr>
          <w:b/>
          <w:bCs/>
          <w:noProof/>
        </w:rPr>
        <w:t>DAC6 (Measure 1)</w:t>
      </w:r>
    </w:p>
    <w:p w14:paraId="1868F8BD" w14:textId="77777777" w:rsidR="00CD2260" w:rsidRDefault="00CD2260" w:rsidP="00CD2260">
      <w:pPr>
        <w:rPr>
          <w:noProof/>
        </w:rPr>
      </w:pPr>
      <w:r>
        <w:rPr>
          <w:noProof/>
        </w:rPr>
        <w:t>The quantification of compliance cost savings under Measure 1 is based on the estimated number of DAC6 disclosures affected by the removal or modification of certain hallmarks and on the average cost of preparing a DAC6 disclosure.</w:t>
      </w:r>
    </w:p>
    <w:p w14:paraId="0E1B20FD" w14:textId="0BF6F38E" w:rsidR="00CD2260" w:rsidRDefault="00CD2260" w:rsidP="1599A2D9">
      <w:pPr>
        <w:rPr>
          <w:noProof/>
        </w:rPr>
      </w:pPr>
      <w:r>
        <w:rPr>
          <w:noProof/>
        </w:rPr>
        <w:t xml:space="preserve">In estimating the compliance cost savings under Measure 1, companies within the scope of Pillar </w:t>
      </w:r>
      <w:r w:rsidR="11F08B5D">
        <w:rPr>
          <w:noProof/>
        </w:rPr>
        <w:t xml:space="preserve">2 </w:t>
      </w:r>
      <w:r>
        <w:rPr>
          <w:noProof/>
        </w:rPr>
        <w:t xml:space="preserve">and those outside its scope are considered separately, both because they are affected to different extents by the proposed simplifications and because their compliance cost structures differ. </w:t>
      </w:r>
      <w:r w:rsidR="007B7350">
        <w:rPr>
          <w:noProof/>
        </w:rPr>
        <w:t xml:space="preserve">Large </w:t>
      </w:r>
      <w:r>
        <w:rPr>
          <w:noProof/>
        </w:rPr>
        <w:t xml:space="preserve">MNE groups within the scope of Pillar </w:t>
      </w:r>
      <w:r w:rsidR="35DBDAF2">
        <w:rPr>
          <w:noProof/>
        </w:rPr>
        <w:t>2</w:t>
      </w:r>
      <w:r w:rsidR="007B7350">
        <w:rPr>
          <w:noProof/>
        </w:rPr>
        <w:t>, i.e. those with consolidated turnover</w:t>
      </w:r>
      <w:r w:rsidR="00C13780">
        <w:rPr>
          <w:noProof/>
        </w:rPr>
        <w:t xml:space="preserve"> of at least EUR 750 million,</w:t>
      </w:r>
      <w:r>
        <w:rPr>
          <w:noProof/>
        </w:rPr>
        <w:t xml:space="preserve"> would benefit from a full exemption from DAC6 reporting obligations, whereas companies outside this scope would remain subject to DAC6 but would experience a reduction in reporting obligations through the removal or modification of specific hallmarks. This distinction is particularly relevant as Pillar </w:t>
      </w:r>
      <w:r w:rsidR="2B4FE5AD">
        <w:rPr>
          <w:noProof/>
        </w:rPr>
        <w:t xml:space="preserve">2 </w:t>
      </w:r>
      <w:r>
        <w:rPr>
          <w:noProof/>
        </w:rPr>
        <w:t>entities are typically large MNEs with more complex business models, a significantly higher volume of cross-border transactions and more complex group structures, requiring substantial resources to identify, analyse and document reportable arrangements.</w:t>
      </w:r>
    </w:p>
    <w:p w14:paraId="41CD3179" w14:textId="5C9DDD6C" w:rsidR="00CD2260" w:rsidRDefault="00CD2260" w:rsidP="1599A2D9">
      <w:pPr>
        <w:rPr>
          <w:noProof/>
        </w:rPr>
      </w:pPr>
      <w:r>
        <w:rPr>
          <w:noProof/>
        </w:rPr>
        <w:t xml:space="preserve">At the same time, </w:t>
      </w:r>
      <w:r w:rsidR="3A703709">
        <w:rPr>
          <w:noProof/>
        </w:rPr>
        <w:t>companies</w:t>
      </w:r>
      <w:r>
        <w:rPr>
          <w:noProof/>
        </w:rPr>
        <w:t xml:space="preserve"> differ in how they organise their tax compliance functions. </w:t>
      </w:r>
      <w:r w:rsidR="58B4062A">
        <w:rPr>
          <w:noProof/>
        </w:rPr>
        <w:t>Entities</w:t>
      </w:r>
      <w:r>
        <w:rPr>
          <w:noProof/>
        </w:rPr>
        <w:t xml:space="preserve"> outside the scope of Pillar</w:t>
      </w:r>
      <w:r w:rsidDel="00CD2260">
        <w:rPr>
          <w:noProof/>
        </w:rPr>
        <w:t xml:space="preserve"> </w:t>
      </w:r>
      <w:r w:rsidR="37A2E4BC">
        <w:rPr>
          <w:noProof/>
        </w:rPr>
        <w:t>2</w:t>
      </w:r>
      <w:r>
        <w:rPr>
          <w:noProof/>
        </w:rPr>
        <w:t xml:space="preserve"> are more likely to rely on external advisory services due to more limited in-house capacity, meaning that compliance costs can be reasonably approximated using a cost per disclosure, based on the EUR 3,000–5,000 range identified in stakeholder consultations. By contrast, large MNE groups typically maintain dedicated in-house tax and compliance departments and manage reporting obligations on a continuous basis. For these </w:t>
      </w:r>
      <w:r w:rsidR="640C3CFC">
        <w:rPr>
          <w:noProof/>
        </w:rPr>
        <w:t>entities</w:t>
      </w:r>
      <w:r>
        <w:rPr>
          <w:noProof/>
        </w:rPr>
        <w:t xml:space="preserve">, compliance costs are better captured through an estimation based on internal resources, e.g., expressed in FTE staff devoted to DAC6-related activities. This approach reflects economies of scale in internal compliance functions and provides a more realistic representation of their cost structure than a per-disclosure methodology. Consequently, the simplification measures are expected to generate comparatively larger compliance cost savings for </w:t>
      </w:r>
      <w:r w:rsidR="6D9B3B52">
        <w:rPr>
          <w:noProof/>
        </w:rPr>
        <w:t xml:space="preserve">entities </w:t>
      </w:r>
      <w:r>
        <w:rPr>
          <w:noProof/>
        </w:rPr>
        <w:t xml:space="preserve">within the scope of Pillar </w:t>
      </w:r>
      <w:r w:rsidR="550B9F61">
        <w:rPr>
          <w:noProof/>
        </w:rPr>
        <w:t>2</w:t>
      </w:r>
      <w:r>
        <w:rPr>
          <w:noProof/>
        </w:rPr>
        <w:t>, both in absolute terms and in terms of the intensity of administrative effort avoided.</w:t>
      </w:r>
    </w:p>
    <w:p w14:paraId="77EFC532" w14:textId="17B360A6" w:rsidR="00CD2260" w:rsidRPr="00466BE8" w:rsidRDefault="00CD2260" w:rsidP="1599A2D9">
      <w:pPr>
        <w:rPr>
          <w:b/>
          <w:bCs/>
          <w:i/>
          <w:iCs/>
          <w:noProof/>
          <w:u w:val="single"/>
        </w:rPr>
      </w:pPr>
      <w:r w:rsidRPr="00466BE8">
        <w:rPr>
          <w:b/>
          <w:bCs/>
          <w:i/>
          <w:iCs/>
          <w:noProof/>
          <w:u w:val="single"/>
        </w:rPr>
        <w:t xml:space="preserve">Compliance cost savings for companies falling within the scope of </w:t>
      </w:r>
      <w:r w:rsidR="22319AEF" w:rsidRPr="00466BE8">
        <w:rPr>
          <w:b/>
          <w:bCs/>
          <w:i/>
          <w:iCs/>
          <w:noProof/>
          <w:u w:val="single"/>
        </w:rPr>
        <w:t>the Pillar 2 Directive</w:t>
      </w:r>
    </w:p>
    <w:p w14:paraId="619AC7AF" w14:textId="33E5B600" w:rsidR="00892DCB" w:rsidRDefault="5415F128" w:rsidP="00CD2260">
      <w:pPr>
        <w:rPr>
          <w:noProof/>
        </w:rPr>
      </w:pPr>
      <w:r>
        <w:rPr>
          <w:noProof/>
        </w:rPr>
        <w:t xml:space="preserve">Starting with policy option 1a, the estimation of compliance costs for </w:t>
      </w:r>
      <w:r w:rsidR="36D8B51A">
        <w:rPr>
          <w:noProof/>
        </w:rPr>
        <w:t xml:space="preserve">companies </w:t>
      </w:r>
      <w:r>
        <w:rPr>
          <w:noProof/>
        </w:rPr>
        <w:t xml:space="preserve">within the scope of Pillar </w:t>
      </w:r>
      <w:r w:rsidR="70736DEC">
        <w:rPr>
          <w:noProof/>
        </w:rPr>
        <w:t xml:space="preserve">2 </w:t>
      </w:r>
      <w:r>
        <w:rPr>
          <w:noProof/>
        </w:rPr>
        <w:t xml:space="preserve">requires an approximation of the number of MNE groups with a relevant presence in the EU. </w:t>
      </w:r>
      <w:r w:rsidR="3796AD26">
        <w:rPr>
          <w:noProof/>
        </w:rPr>
        <w:t>Company</w:t>
      </w:r>
      <w:r>
        <w:rPr>
          <w:noProof/>
        </w:rPr>
        <w:t xml:space="preserve">-level data from the ORBIS database indicate that approximately 4,700 global ultimate owner (GUO) groups worldwide meet the turnover threshold of EUR 750 million and have at least one subsidiary in the EU, of which around 1,900 are headquartered within the Union. </w:t>
      </w:r>
      <w:r w:rsidR="008E1A14" w:rsidRPr="008E1A14">
        <w:rPr>
          <w:noProof/>
        </w:rPr>
        <w:t>However, for DAC6, the relevant unit of analysis differs, as reporting is trigger-based and depends on the existence of potentially reportable cross-border arrangements. As a result, not all MNE groups in scope of DAC4/Pillar Two will necessarily generate DAC6 reporting obligations, in particular those with only a limited footprint in the EU.</w:t>
      </w:r>
    </w:p>
    <w:p w14:paraId="74963D97" w14:textId="3A09510C" w:rsidR="00CD2260" w:rsidRDefault="003E606E" w:rsidP="00CD2260">
      <w:pPr>
        <w:rPr>
          <w:noProof/>
        </w:rPr>
      </w:pPr>
      <w:r w:rsidRPr="003E606E">
        <w:rPr>
          <w:noProof/>
        </w:rPr>
        <w:t>For the purpose of estimating DAC6-related compliance costs, the analysis therefore focuses on MNE groups that are likely to be actively engaged in DAC6 compliance activities. The upper bound is given by all MNE groups with a presence in the EU (around 4,700), while the lower bound corresponds to those headquartered in the EU (around 1,900), which are assumed to have a sufficiently significant footprint to systematically assess DAC6 obligations. Against this background, a central estimate of approximately 3,000 MNE groups is used as a pragmatic midpoint, capturing those non-EU groups with a sufficiently substantial operational presence</w:t>
      </w:r>
      <w:r>
        <w:rPr>
          <w:noProof/>
        </w:rPr>
        <w:t xml:space="preserve">, </w:t>
      </w:r>
      <w:r w:rsidRPr="003E606E">
        <w:rPr>
          <w:noProof/>
        </w:rPr>
        <w:t>such as multiple subsidiaries and cross-border intra-group activities</w:t>
      </w:r>
      <w:r>
        <w:rPr>
          <w:noProof/>
        </w:rPr>
        <w:t xml:space="preserve">, </w:t>
      </w:r>
      <w:r w:rsidRPr="003E606E">
        <w:rPr>
          <w:noProof/>
        </w:rPr>
        <w:t>that are most likely to give rise to DAC6-relevant arrangements.</w:t>
      </w:r>
      <w:r>
        <w:rPr>
          <w:noProof/>
        </w:rPr>
        <w:t xml:space="preserve"> </w:t>
      </w:r>
      <w:r w:rsidR="670C2A12" w:rsidRPr="00164DC5">
        <w:rPr>
          <w:noProof/>
        </w:rPr>
        <w:t xml:space="preserve">The estimation of compliance costs for MNE groups within the scope of Pillar </w:t>
      </w:r>
      <w:r w:rsidR="663BF884">
        <w:rPr>
          <w:noProof/>
        </w:rPr>
        <w:t>2</w:t>
      </w:r>
      <w:r w:rsidR="670C2A12" w:rsidRPr="00164DC5">
        <w:rPr>
          <w:noProof/>
        </w:rPr>
        <w:t xml:space="preserve"> is informed by evidence from the evaluation of the Anti-Tax Avoidance Directive (ATAD), which suggests that large </w:t>
      </w:r>
      <w:r w:rsidR="5699F363" w:rsidRPr="00164DC5">
        <w:rPr>
          <w:noProof/>
        </w:rPr>
        <w:t>entities</w:t>
      </w:r>
      <w:r w:rsidR="670C2A12" w:rsidRPr="00164DC5">
        <w:rPr>
          <w:noProof/>
        </w:rPr>
        <w:t xml:space="preserve"> incur compliance costs of approximately EUR 100,000 per year</w:t>
      </w:r>
      <w:r w:rsidR="42A6E359">
        <w:rPr>
          <w:noProof/>
        </w:rPr>
        <w:t xml:space="preserve"> (</w:t>
      </w:r>
      <w:r w:rsidR="00CD2260">
        <w:rPr>
          <w:rStyle w:val="FootnoteReference"/>
          <w:noProof/>
        </w:rPr>
        <w:footnoteReference w:id="79"/>
      </w:r>
      <w:r w:rsidR="42A6E359">
        <w:rPr>
          <w:noProof/>
        </w:rPr>
        <w:t>)</w:t>
      </w:r>
      <w:r w:rsidR="670C2A12" w:rsidRPr="00164DC5">
        <w:rPr>
          <w:noProof/>
        </w:rPr>
        <w:t xml:space="preserve">. While ATAD and DAC6 differ in their specific objectives and </w:t>
      </w:r>
      <w:r w:rsidR="670C2A12">
        <w:rPr>
          <w:noProof/>
        </w:rPr>
        <w:t>instruments</w:t>
      </w:r>
      <w:r w:rsidR="670C2A12" w:rsidRPr="00164DC5">
        <w:rPr>
          <w:noProof/>
        </w:rPr>
        <w:t xml:space="preserve">, both frameworks require </w:t>
      </w:r>
      <w:r w:rsidR="6205E967" w:rsidRPr="00164DC5">
        <w:rPr>
          <w:noProof/>
        </w:rPr>
        <w:t xml:space="preserve">entities </w:t>
      </w:r>
      <w:r w:rsidR="1DB0F841">
        <w:rPr>
          <w:noProof/>
        </w:rPr>
        <w:t xml:space="preserve">on a continuous basis </w:t>
      </w:r>
      <w:r w:rsidR="670C2A12" w:rsidRPr="00164DC5">
        <w:rPr>
          <w:noProof/>
        </w:rPr>
        <w:t>to identify, monitor and assess cross-border transactions against predefined criteria, implying a comparable level of analytical effort and operational complexity. Given that DAC6 compliance involves highly specialised tax expertise, including the assessment of complex legal and economic arrangements, it is appropriate to base the cost estimation on sector-specific labour costs. Using average EU labour costs for tax specialists in the sector “Accounting, bookkeeping and auditing activities; tax consultancy” of approximately EUR 45 per hour</w:t>
      </w:r>
      <w:r w:rsidR="670C2A12">
        <w:rPr>
          <w:noProof/>
        </w:rPr>
        <w:t xml:space="preserve"> (average value for the EU in 2024)</w:t>
      </w:r>
      <w:r w:rsidR="670C2A12" w:rsidRPr="00164DC5">
        <w:rPr>
          <w:noProof/>
        </w:rPr>
        <w:t>, an annual compliance cost of EUR 100,000 corresponds to around 2,200 hours of work</w:t>
      </w:r>
      <w:r w:rsidR="670C2A12">
        <w:rPr>
          <w:noProof/>
        </w:rPr>
        <w:t xml:space="preserve"> input</w:t>
      </w:r>
      <w:r w:rsidR="670C2A12" w:rsidRPr="00164DC5">
        <w:rPr>
          <w:noProof/>
        </w:rPr>
        <w:t>. This is equivalent to approximately 1.3 to 1.5 full-time equivalent (FTE) staff dedicated to DAC6-related compliance activities per MNE group. This approach provides a reasonable approximation of the internal resources required by large MNEs to comply with DAC6 obligations.</w:t>
      </w:r>
    </w:p>
    <w:p w14:paraId="42C5C350" w14:textId="2AF65B96" w:rsidR="00CD2260" w:rsidRDefault="04FA6F23" w:rsidP="00CD2260">
      <w:pPr>
        <w:rPr>
          <w:noProof/>
        </w:rPr>
      </w:pPr>
      <w:r>
        <w:rPr>
          <w:noProof/>
        </w:rPr>
        <w:t xml:space="preserve">Taken together, the estimated compliance cost savings for </w:t>
      </w:r>
      <w:r w:rsidR="2F4FD7BA">
        <w:rPr>
          <w:noProof/>
        </w:rPr>
        <w:t xml:space="preserve">entities </w:t>
      </w:r>
      <w:r>
        <w:rPr>
          <w:noProof/>
        </w:rPr>
        <w:t xml:space="preserve">within the scope of Pillar </w:t>
      </w:r>
      <w:r w:rsidR="6D7325CE">
        <w:rPr>
          <w:noProof/>
        </w:rPr>
        <w:t xml:space="preserve">2 </w:t>
      </w:r>
      <w:r>
        <w:rPr>
          <w:noProof/>
        </w:rPr>
        <w:t>amount to approximately 3,000 MNEs × EUR 100,000 = EUR 300 million per year in total</w:t>
      </w:r>
      <w:r w:rsidR="16E27E0F">
        <w:rPr>
          <w:noProof/>
        </w:rPr>
        <w:t xml:space="preserve"> (</w:t>
      </w:r>
      <w:r w:rsidR="00940785">
        <w:rPr>
          <w:rStyle w:val="FootnoteReference"/>
          <w:noProof/>
        </w:rPr>
        <w:footnoteReference w:id="80"/>
      </w:r>
      <w:r w:rsidR="16E27E0F">
        <w:rPr>
          <w:noProof/>
        </w:rPr>
        <w:t>)</w:t>
      </w:r>
      <w:r>
        <w:rPr>
          <w:noProof/>
        </w:rPr>
        <w:t>.</w:t>
      </w:r>
    </w:p>
    <w:p w14:paraId="24546E4F" w14:textId="05626760" w:rsidR="00BB47B4" w:rsidRDefault="00BB47B4" w:rsidP="00BB47B4">
      <w:pPr>
        <w:rPr>
          <w:noProof/>
        </w:rPr>
      </w:pPr>
      <w:r>
        <w:rPr>
          <w:noProof/>
        </w:rPr>
        <w:t>The ATAD evaluation indicates that compliance costs vary significantly depending on the size and complexity of the MNE group. While some firms report relatively limited compliance efforts, large and complex groups often incur annual compliance costs in the range of around EUR 100,000, corresponding to approximately 2–3 full-time equivalent staff dedicated to compliance activities. At the same time, the evaluation also highlights considerable uncertainty, with some firms reporting substantially higher costs in specific cases, for example where significant external advisory support is required.</w:t>
      </w:r>
    </w:p>
    <w:p w14:paraId="086108D6" w14:textId="14BCF4F7" w:rsidR="00BB47B4" w:rsidRDefault="00BB47B4" w:rsidP="00BB47B4">
      <w:pPr>
        <w:rPr>
          <w:noProof/>
        </w:rPr>
      </w:pPr>
      <w:r>
        <w:rPr>
          <w:noProof/>
        </w:rPr>
        <w:t xml:space="preserve">To reflect this uncertainty, sensitivity analysis was carried out using alternative low- and high-cost scenarios. Under a lower-bound assumption of annual compliance costs of EUR 75,000 per MNE group, the estimated compliance cost savings would amount to approximately EUR 225 million per year (3,000 </w:t>
      </w:r>
      <w:r w:rsidR="00232EE8">
        <w:rPr>
          <w:noProof/>
        </w:rPr>
        <w:t xml:space="preserve">MNEs </w:t>
      </w:r>
      <w:r>
        <w:rPr>
          <w:noProof/>
        </w:rPr>
        <w:t xml:space="preserve">× EUR 75,000). Under a higher-cost scenario assuming annual compliance costs of EUR 125,000 per MNE group, the estimated savings would increase to approximately EUR 375 million per year (3,000 </w:t>
      </w:r>
      <w:r w:rsidR="00232EE8">
        <w:rPr>
          <w:noProof/>
        </w:rPr>
        <w:t xml:space="preserve">MNEs </w:t>
      </w:r>
      <w:r>
        <w:rPr>
          <w:noProof/>
        </w:rPr>
        <w:t>× EUR 125,000).</w:t>
      </w:r>
    </w:p>
    <w:p w14:paraId="2B61AA0D" w14:textId="5134D1EB" w:rsidR="00BB47B4" w:rsidRPr="008C6EA5" w:rsidRDefault="00BB47B4" w:rsidP="00BB47B4">
      <w:pPr>
        <w:rPr>
          <w:noProof/>
        </w:rPr>
      </w:pPr>
      <w:r>
        <w:rPr>
          <w:noProof/>
        </w:rPr>
        <w:t>Overall, this suggests that the estimated annual compliance cost savings for Pillar 2 in-scope entities are likely to fall within a range of approximately EUR 225 million to EUR 375 million, with EUR 300 million representing the central estimate used in the impact assessment.</w:t>
      </w:r>
    </w:p>
    <w:p w14:paraId="6795F047" w14:textId="7B7E1961" w:rsidR="00CD2260" w:rsidRPr="00466BE8" w:rsidRDefault="00CD2260" w:rsidP="007411CC">
      <w:pPr>
        <w:spacing w:after="200" w:line="276" w:lineRule="auto"/>
        <w:jc w:val="left"/>
        <w:rPr>
          <w:b/>
          <w:bCs/>
          <w:i/>
          <w:iCs/>
          <w:noProof/>
          <w:u w:val="single"/>
        </w:rPr>
      </w:pPr>
      <w:r w:rsidRPr="00466BE8">
        <w:rPr>
          <w:b/>
          <w:bCs/>
          <w:i/>
          <w:iCs/>
          <w:noProof/>
          <w:u w:val="single"/>
        </w:rPr>
        <w:t xml:space="preserve">Compliance cost for companies outside of the scope of </w:t>
      </w:r>
      <w:r w:rsidR="0026D65B" w:rsidRPr="00466BE8">
        <w:rPr>
          <w:b/>
          <w:bCs/>
          <w:i/>
          <w:iCs/>
          <w:noProof/>
          <w:u w:val="single"/>
        </w:rPr>
        <w:t>the Pillar 2 Directive</w:t>
      </w:r>
      <w:r w:rsidRPr="00466BE8">
        <w:rPr>
          <w:b/>
          <w:bCs/>
          <w:i/>
          <w:iCs/>
          <w:noProof/>
          <w:u w:val="single"/>
        </w:rPr>
        <w:t xml:space="preserve">. </w:t>
      </w:r>
    </w:p>
    <w:p w14:paraId="10BFEB5E" w14:textId="29230CF5" w:rsidR="00CD2260" w:rsidRDefault="00CD2260" w:rsidP="00CD2260">
      <w:pPr>
        <w:rPr>
          <w:noProof/>
        </w:rPr>
      </w:pPr>
      <w:r w:rsidRPr="1599A2D9">
        <w:rPr>
          <w:b/>
          <w:bCs/>
          <w:noProof/>
        </w:rPr>
        <w:t>Policy option 1b</w:t>
      </w:r>
      <w:r>
        <w:rPr>
          <w:noProof/>
        </w:rPr>
        <w:t xml:space="preserve"> extends policy option 1</w:t>
      </w:r>
      <w:r w:rsidR="0052618F">
        <w:rPr>
          <w:noProof/>
        </w:rPr>
        <w:t>a</w:t>
      </w:r>
      <w:r>
        <w:rPr>
          <w:noProof/>
        </w:rPr>
        <w:t xml:space="preserve"> by removing reporting obligations related to generic hallmarks in Category A. According to the DAC evaluation, the average cost of screening, assessing and reporting a DAC6 arrangement is estimated to range between EUR 3,000 and EUR 5,000 per disclosure. This range reflects the heterogeneity of reporting obligations across different hallmarks. Some hallmarks require a more detailed assessment, including legal and economic analysis, documentation of the underlying structure and the preparation of comprehensive descriptions for reporting purposes. These cases often involve significant input from tax, legal and compliance functions and may require external advisory support. By contrast, other hallmarks are more straightforward in nature and may rely on relatively simple criteria, in some cases amounting to binary (“yes/no”) determinations with limited additional documentation requirements. In the case of the generic hallmarks under Category A, which tend to involve broader and less precisely defined concepts and may therefore require more extensive assessment and documentation, the upper bound of EUR 5,000 per disclosure is used for the purpose of the quantification to reflect their relatively higher complexity.</w:t>
      </w:r>
    </w:p>
    <w:p w14:paraId="2DB51D89" w14:textId="665AF7A3" w:rsidR="00CD2260" w:rsidRDefault="670C2A12" w:rsidP="00CD2260">
      <w:pPr>
        <w:rPr>
          <w:noProof/>
        </w:rPr>
      </w:pPr>
      <w:r>
        <w:rPr>
          <w:noProof/>
        </w:rPr>
        <w:t>For Policy Option 1b, which removes the generic hallmarks A.1, A.2(a), A.2(b) and A</w:t>
      </w:r>
      <w:r w:rsidRPr="00601E2E">
        <w:rPr>
          <w:noProof/>
        </w:rPr>
        <w:t>.3</w:t>
      </w:r>
      <w:r>
        <w:rPr>
          <w:noProof/>
        </w:rPr>
        <w:t xml:space="preserve">, the estimation relies on DAC6 reporting statistics indicating that approximately 9,000 disclosures per year are associated with these </w:t>
      </w:r>
      <w:r w:rsidR="446B4E98">
        <w:rPr>
          <w:noProof/>
        </w:rPr>
        <w:t xml:space="preserve">A </w:t>
      </w:r>
      <w:r>
        <w:rPr>
          <w:noProof/>
        </w:rPr>
        <w:t xml:space="preserve">hallmarks </w:t>
      </w:r>
      <w:r w:rsidR="00CD2260">
        <w:rPr>
          <w:rStyle w:val="FootnoteReference"/>
          <w:noProof/>
        </w:rPr>
        <w:footnoteReference w:id="81"/>
      </w:r>
      <w:r>
        <w:rPr>
          <w:noProof/>
        </w:rPr>
        <w:t>.</w:t>
      </w:r>
    </w:p>
    <w:p w14:paraId="183AE6F1" w14:textId="7BB21EAB" w:rsidR="00CD2260" w:rsidRDefault="04FA6F23" w:rsidP="00CD2260">
      <w:pPr>
        <w:rPr>
          <w:noProof/>
        </w:rPr>
      </w:pPr>
      <w:r>
        <w:rPr>
          <w:noProof/>
        </w:rPr>
        <w:t xml:space="preserve">According to the available information from Member States, </w:t>
      </w:r>
      <w:r w:rsidRPr="00F60205">
        <w:rPr>
          <w:noProof/>
        </w:rPr>
        <w:t xml:space="preserve">approximately 8% </w:t>
      </w:r>
      <w:r>
        <w:rPr>
          <w:noProof/>
        </w:rPr>
        <w:t xml:space="preserve">of disclosures </w:t>
      </w:r>
      <w:r w:rsidRPr="00F60205">
        <w:rPr>
          <w:noProof/>
        </w:rPr>
        <w:t xml:space="preserve">are submitted by </w:t>
      </w:r>
      <w:r w:rsidR="29EAE53A" w:rsidRPr="00F60205">
        <w:rPr>
          <w:noProof/>
        </w:rPr>
        <w:t xml:space="preserve">MNE </w:t>
      </w:r>
      <w:r w:rsidRPr="00F60205">
        <w:rPr>
          <w:noProof/>
        </w:rPr>
        <w:t xml:space="preserve">groups within the scope of Pillar </w:t>
      </w:r>
      <w:r w:rsidR="149EA4FC" w:rsidRPr="00F60205">
        <w:rPr>
          <w:noProof/>
        </w:rPr>
        <w:t>2</w:t>
      </w:r>
      <w:r w:rsidRPr="00F60205">
        <w:rPr>
          <w:noProof/>
        </w:rPr>
        <w:t>.</w:t>
      </w:r>
      <w:r>
        <w:rPr>
          <w:noProof/>
        </w:rPr>
        <w:t xml:space="preserve"> </w:t>
      </w:r>
      <w:r w:rsidRPr="00CD6975">
        <w:rPr>
          <w:noProof/>
        </w:rPr>
        <w:t>Assuming that the same proportion applies to the affected disclosures</w:t>
      </w:r>
      <w:r>
        <w:rPr>
          <w:noProof/>
        </w:rPr>
        <w:t xml:space="preserve">, 92% of those disclosures are filed by companies outside of the scope of Pillar </w:t>
      </w:r>
      <w:r w:rsidR="7ED17E9C">
        <w:rPr>
          <w:noProof/>
        </w:rPr>
        <w:t>2</w:t>
      </w:r>
      <w:r>
        <w:rPr>
          <w:noProof/>
        </w:rPr>
        <w:t xml:space="preserve">. Thus, the estimated annual compliance cost savings for companies outside of the scope of Pillar </w:t>
      </w:r>
      <w:r w:rsidR="09772423">
        <w:rPr>
          <w:noProof/>
        </w:rPr>
        <w:t xml:space="preserve">2 </w:t>
      </w:r>
      <w:r>
        <w:rPr>
          <w:noProof/>
        </w:rPr>
        <w:t>are calculated by multiplying the number of relevant disclosures by the average cost per disclosure</w:t>
      </w:r>
      <w:r w:rsidR="36D3AF75">
        <w:rPr>
          <w:noProof/>
        </w:rPr>
        <w:t xml:space="preserve"> </w:t>
      </w:r>
      <w:r w:rsidR="00035909">
        <w:rPr>
          <w:rStyle w:val="FootnoteReference"/>
          <w:noProof/>
        </w:rPr>
        <w:footnoteReference w:id="82"/>
      </w:r>
      <w:r>
        <w:rPr>
          <w:noProof/>
        </w:rPr>
        <w:t>.</w:t>
      </w:r>
    </w:p>
    <w:p w14:paraId="26BA5AAF" w14:textId="134F1796" w:rsidR="00CD2260" w:rsidRDefault="04FA6F23" w:rsidP="00CD2260">
      <w:pPr>
        <w:jc w:val="center"/>
        <w:rPr>
          <w:noProof/>
        </w:rPr>
      </w:pPr>
      <w:r>
        <w:rPr>
          <w:noProof/>
        </w:rPr>
        <w:t xml:space="preserve">9,000 disclosures × 92% × EUR 5,000 </w:t>
      </w:r>
      <w:r>
        <w:rPr>
          <w:noProof/>
          <w:lang w:val="en-US"/>
        </w:rPr>
        <w:t>=</w:t>
      </w:r>
      <w:r>
        <w:rPr>
          <w:noProof/>
        </w:rPr>
        <w:t xml:space="preserve"> EUR 41.4 million</w:t>
      </w:r>
      <w:r w:rsidR="7862651E">
        <w:rPr>
          <w:noProof/>
        </w:rPr>
        <w:t xml:space="preserve"> (</w:t>
      </w:r>
      <w:r w:rsidR="00A77220">
        <w:rPr>
          <w:rStyle w:val="FootnoteReference"/>
          <w:noProof/>
        </w:rPr>
        <w:footnoteReference w:id="83"/>
      </w:r>
      <w:r w:rsidR="7862651E">
        <w:rPr>
          <w:noProof/>
        </w:rPr>
        <w:t>)</w:t>
      </w:r>
    </w:p>
    <w:p w14:paraId="7A52375C" w14:textId="22C0164A" w:rsidR="00083C49" w:rsidRDefault="00083C49" w:rsidP="00083C49">
      <w:pPr>
        <w:rPr>
          <w:noProof/>
        </w:rPr>
      </w:pPr>
      <w:r>
        <w:rPr>
          <w:noProof/>
        </w:rPr>
        <w:t xml:space="preserve">Under </w:t>
      </w:r>
      <w:r w:rsidRPr="00BC3379">
        <w:rPr>
          <w:b/>
          <w:bCs/>
          <w:noProof/>
        </w:rPr>
        <w:t>Policy Option 1c</w:t>
      </w:r>
      <w:r>
        <w:rPr>
          <w:noProof/>
        </w:rPr>
        <w:t xml:space="preserve">, in addition to excluding companies within the scope of Pillar </w:t>
      </w:r>
      <w:r w:rsidR="2E86698E">
        <w:rPr>
          <w:noProof/>
        </w:rPr>
        <w:t xml:space="preserve">2 </w:t>
      </w:r>
      <w:r>
        <w:rPr>
          <w:noProof/>
        </w:rPr>
        <w:t>from DAC6 reporting (Policy Option 1a), the MBT would be removed from the remaining hallmarks currently subject to it, notably those in Category B and certain hallmarks in Category C.</w:t>
      </w:r>
    </w:p>
    <w:p w14:paraId="3484B85F" w14:textId="39FC29FD" w:rsidR="00083C49" w:rsidRDefault="00083C49" w:rsidP="00083C49">
      <w:pPr>
        <w:rPr>
          <w:noProof/>
        </w:rPr>
      </w:pPr>
      <w:r>
        <w:rPr>
          <w:noProof/>
        </w:rPr>
        <w:t xml:space="preserve">The impact of this change on disclosure volumes cannot be robustly quantified. There is no historical evidence in which identical hallmarks have alternated between being subject to and exempt from the MBT, which would be necessary to isolate its effect on reporting behaviour. </w:t>
      </w:r>
      <w:r w:rsidR="00252A47">
        <w:rPr>
          <w:noProof/>
        </w:rPr>
        <w:t>Alternative</w:t>
      </w:r>
      <w:r>
        <w:rPr>
          <w:noProof/>
        </w:rPr>
        <w:t xml:space="preserve"> attempts to approximate the impact using comparisons between different hallmarks are subject to significant limitations, as differences in disclosure volumes across hallmarks are primarily driven by differences in their scope rather than by the presence or absence of the MBT.</w:t>
      </w:r>
    </w:p>
    <w:p w14:paraId="712B76F8" w14:textId="6A6CBCB7" w:rsidR="00CD2260" w:rsidRPr="00083C49" w:rsidRDefault="00083C49" w:rsidP="00083C49">
      <w:pPr>
        <w:rPr>
          <w:noProof/>
          <w:lang w:val="en-US"/>
        </w:rPr>
      </w:pPr>
      <w:r>
        <w:rPr>
          <w:noProof/>
        </w:rPr>
        <w:t>In the absence of reliable empirical evidence and given the methodological limitations outlined above, no quantitative estimate of the impact on disclosure volumes or compliance costs is provided.</w:t>
      </w:r>
    </w:p>
    <w:p w14:paraId="2B7FF471" w14:textId="19D906C0" w:rsidR="00CD2260" w:rsidRPr="00E95B03" w:rsidRDefault="002E44C0" w:rsidP="1599A2D9">
      <w:pPr>
        <w:rPr>
          <w:b/>
          <w:bCs/>
          <w:noProof/>
        </w:rPr>
      </w:pPr>
      <w:r w:rsidRPr="1599A2D9">
        <w:rPr>
          <w:b/>
          <w:bCs/>
          <w:noProof/>
        </w:rPr>
        <w:t xml:space="preserve">2. </w:t>
      </w:r>
      <w:r w:rsidR="00CD2260" w:rsidRPr="1599A2D9">
        <w:rPr>
          <w:b/>
          <w:bCs/>
          <w:noProof/>
        </w:rPr>
        <w:t>DAC7 (Measure 2)</w:t>
      </w:r>
    </w:p>
    <w:p w14:paraId="66D15FB3" w14:textId="77777777" w:rsidR="00CD2260" w:rsidRDefault="00CD2260" w:rsidP="00CD2260">
      <w:pPr>
        <w:rPr>
          <w:noProof/>
        </w:rPr>
      </w:pPr>
      <w:r>
        <w:rPr>
          <w:noProof/>
        </w:rPr>
        <w:t>The quantification of compliance cost under Measure 2 is based on an approximation of recurrent reporting costs incurred by platform operators and the estimated reduction in the number of reportable sellers under the alternative threshold options.</w:t>
      </w:r>
    </w:p>
    <w:p w14:paraId="09514F44" w14:textId="0F87FFF0" w:rsidR="00CD2260" w:rsidRDefault="670C2A12" w:rsidP="00CD2260">
      <w:pPr>
        <w:rPr>
          <w:noProof/>
        </w:rPr>
      </w:pPr>
      <w:r>
        <w:rPr>
          <w:noProof/>
        </w:rPr>
        <w:t>According to DAC statistics (</w:t>
      </w:r>
      <w:r w:rsidR="00CD2260">
        <w:rPr>
          <w:rStyle w:val="FootnoteReference"/>
          <w:noProof/>
        </w:rPr>
        <w:footnoteReference w:id="84"/>
      </w:r>
      <w:r>
        <w:rPr>
          <w:noProof/>
        </w:rPr>
        <w:t xml:space="preserve">), </w:t>
      </w:r>
      <w:r w:rsidRPr="00EE7F3B">
        <w:rPr>
          <w:noProof/>
        </w:rPr>
        <w:t xml:space="preserve">there were approximately 52,000 platforms operating in the EU in 2024, reporting information on around 5 million sellers. Evidence from the Impact Assessment on “Tax fraud and evasion – better cooperation between national tax authorities on exchanging information” </w:t>
      </w:r>
      <w:r>
        <w:rPr>
          <w:noProof/>
        </w:rPr>
        <w:t>(</w:t>
      </w:r>
      <w:r w:rsidR="00CD2260">
        <w:rPr>
          <w:rStyle w:val="FootnoteReference"/>
          <w:noProof/>
        </w:rPr>
        <w:footnoteReference w:id="85"/>
      </w:r>
      <w:r>
        <w:rPr>
          <w:noProof/>
        </w:rPr>
        <w:t xml:space="preserve">), </w:t>
      </w:r>
      <w:r w:rsidRPr="00EE7F3B">
        <w:rPr>
          <w:noProof/>
        </w:rPr>
        <w:t xml:space="preserve">provides an estimate of </w:t>
      </w:r>
      <w:r>
        <w:rPr>
          <w:noProof/>
        </w:rPr>
        <w:t>EUR 50,000 in</w:t>
      </w:r>
      <w:r w:rsidRPr="00EE7F3B">
        <w:rPr>
          <w:noProof/>
        </w:rPr>
        <w:t xml:space="preserve"> recurrent annual compliance costs incurred by platform operators to operate reporting systems under the DAC framework</w:t>
      </w:r>
      <w:r w:rsidR="0B7DC471">
        <w:rPr>
          <w:noProof/>
        </w:rPr>
        <w:t xml:space="preserve"> (</w:t>
      </w:r>
      <w:r w:rsidR="00E1295A">
        <w:rPr>
          <w:rStyle w:val="FootnoteReference"/>
          <w:noProof/>
        </w:rPr>
        <w:footnoteReference w:id="86"/>
      </w:r>
      <w:r w:rsidR="0B7DC471">
        <w:rPr>
          <w:noProof/>
        </w:rPr>
        <w:t>)</w:t>
      </w:r>
      <w:r w:rsidRPr="00EE7F3B">
        <w:rPr>
          <w:noProof/>
        </w:rPr>
        <w:t xml:space="preserve">. </w:t>
      </w:r>
    </w:p>
    <w:p w14:paraId="0F5A9323" w14:textId="2F26ED44" w:rsidR="00CD2260" w:rsidRDefault="00CD2260" w:rsidP="00CD2260">
      <w:pPr>
        <w:rPr>
          <w:noProof/>
        </w:rPr>
      </w:pPr>
      <w:r>
        <w:rPr>
          <w:noProof/>
        </w:rPr>
        <w:t xml:space="preserve">However, the reporting systems used by platform operators typically also serve multiple regulatory and tax-related purposes beyond DAC7, including other DAC obligations (where applicable) and, in some cases, requirements linked to other tax or regulatory frameworks such as digital services taxation. As a result, only a share of the overall system costs can reasonably be attributed specifically to DAC7. At the same time, DAC7 often constitutes the primary reporting obligation for platform operators, suggesting that its cost share is non-negligible. On this basis and </w:t>
      </w:r>
      <w:r w:rsidR="0F5BB567">
        <w:rPr>
          <w:noProof/>
        </w:rPr>
        <w:t>considering</w:t>
      </w:r>
      <w:r>
        <w:rPr>
          <w:noProof/>
        </w:rPr>
        <w:t xml:space="preserve"> both multi-purpose use and the central role of DAC7 for platforms, a working assumption of 30% of recurrent reporting system costs being attributable to DAC7 is applied. This results in estimated annual DAC7-related compliance costs of 52,000 × EUR 50,000 × 30% </w:t>
      </w:r>
      <w:r w:rsidRPr="1599A2D9">
        <w:rPr>
          <w:noProof/>
          <w:lang w:val="en-US"/>
        </w:rPr>
        <w:t xml:space="preserve">= </w:t>
      </w:r>
      <w:r>
        <w:rPr>
          <w:noProof/>
        </w:rPr>
        <w:t>EUR 780 million.</w:t>
      </w:r>
    </w:p>
    <w:p w14:paraId="0C4C0616" w14:textId="1A4752F8" w:rsidR="00CC5BAF" w:rsidRDefault="039B1BAA" w:rsidP="00CC5BAF">
      <w:pPr>
        <w:rPr>
          <w:noProof/>
        </w:rPr>
      </w:pPr>
      <w:r>
        <w:rPr>
          <w:noProof/>
        </w:rPr>
        <w:t xml:space="preserve">With regard to the overall number of sellers active on platforms, no harmonised EU-wide data are currently available. The analysis therefore relies on survey-based evidence from Sweden as a benchmark. A representative household survey indicates that approximately one in four individuals aged 16 and above sold goods or services via an online platform in 2024 </w:t>
      </w:r>
      <w:r w:rsidR="57760A8F">
        <w:rPr>
          <w:noProof/>
        </w:rPr>
        <w:t>(</w:t>
      </w:r>
      <w:r w:rsidR="00881ED1">
        <w:rPr>
          <w:rStyle w:val="FootnoteReference"/>
          <w:noProof/>
        </w:rPr>
        <w:footnoteReference w:id="87"/>
      </w:r>
      <w:r w:rsidR="57760A8F">
        <w:rPr>
          <w:noProof/>
        </w:rPr>
        <w:t>)</w:t>
      </w:r>
      <w:r>
        <w:rPr>
          <w:noProof/>
        </w:rPr>
        <w:t>. When extended to the total population, this corresponds to roughly 20% of the population, or approximately 2.1 million individuals. This estimate is particularly relevant for the present analysis, as the Swedish platform economy is predominantly goods-based, with major platforms such as Blocket, Tradera and eBay focusing on the sale of second-hand goods.</w:t>
      </w:r>
    </w:p>
    <w:p w14:paraId="5B922BF8" w14:textId="77777777" w:rsidR="00CC5BAF" w:rsidRDefault="00CC5BAF" w:rsidP="00CC5BAF">
      <w:pPr>
        <w:rPr>
          <w:noProof/>
        </w:rPr>
      </w:pPr>
      <w:r>
        <w:rPr>
          <w:noProof/>
        </w:rPr>
        <w:t>At the same time, the Swedish Tax Agency estimates that approximately 400,000 sellers were reportable under DAC7 in 2024. This implies that around 19% of all platform sellers fall within the current DAC7 reporting scope in Sweden.</w:t>
      </w:r>
    </w:p>
    <w:p w14:paraId="11ADA8DB" w14:textId="0049F6B8" w:rsidR="00CC5BAF" w:rsidRDefault="039B1BAA" w:rsidP="00CC5BAF">
      <w:pPr>
        <w:rPr>
          <w:noProof/>
        </w:rPr>
      </w:pPr>
      <w:r>
        <w:rPr>
          <w:noProof/>
        </w:rPr>
        <w:t>This evidence is used as a basis to approximate the total number of platform sellers in the EU through extrapolation. To account for differences in digital uptake across Member States, countries are grouped into three terciles based on internet usage. For the tercile with the highest level of internet usage</w:t>
      </w:r>
      <w:r w:rsidR="5A076CB3">
        <w:rPr>
          <w:noProof/>
        </w:rPr>
        <w:t xml:space="preserve"> (</w:t>
      </w:r>
      <w:r w:rsidR="00A2528C">
        <w:rPr>
          <w:rStyle w:val="FootnoteReference"/>
          <w:noProof/>
        </w:rPr>
        <w:footnoteReference w:id="88"/>
      </w:r>
      <w:r w:rsidR="5A076CB3">
        <w:rPr>
          <w:noProof/>
        </w:rPr>
        <w:t>)</w:t>
      </w:r>
      <w:r>
        <w:rPr>
          <w:noProof/>
        </w:rPr>
        <w:t>, it is assumed that 20% of the overall population engages in platform selling, consistent with the Swedish benchmark. For the middle tercile</w:t>
      </w:r>
      <w:r w:rsidR="1CBAD3ED">
        <w:rPr>
          <w:noProof/>
        </w:rPr>
        <w:t xml:space="preserve"> (</w:t>
      </w:r>
      <w:r w:rsidR="00CA1728">
        <w:rPr>
          <w:rStyle w:val="FootnoteReference"/>
          <w:noProof/>
        </w:rPr>
        <w:footnoteReference w:id="89"/>
      </w:r>
      <w:r w:rsidR="1CBAD3ED">
        <w:rPr>
          <w:noProof/>
        </w:rPr>
        <w:t>)</w:t>
      </w:r>
      <w:r>
        <w:rPr>
          <w:noProof/>
        </w:rPr>
        <w:t>, a share of 16% is assumed, and for the lowest tercile</w:t>
      </w:r>
      <w:r w:rsidR="709C7EE3">
        <w:rPr>
          <w:noProof/>
        </w:rPr>
        <w:t xml:space="preserve"> (</w:t>
      </w:r>
      <w:r w:rsidR="004245E6">
        <w:rPr>
          <w:rStyle w:val="FootnoteReference"/>
          <w:noProof/>
        </w:rPr>
        <w:footnoteReference w:id="90"/>
      </w:r>
      <w:r w:rsidR="709C7EE3">
        <w:rPr>
          <w:noProof/>
        </w:rPr>
        <w:t>)</w:t>
      </w:r>
      <w:r>
        <w:rPr>
          <w:noProof/>
        </w:rPr>
        <w:t>, 12%.</w:t>
      </w:r>
    </w:p>
    <w:p w14:paraId="4E339247" w14:textId="77777777" w:rsidR="00CC5BAF" w:rsidRDefault="00CC5BAF" w:rsidP="00CC5BAF">
      <w:pPr>
        <w:rPr>
          <w:noProof/>
        </w:rPr>
      </w:pPr>
      <w:r>
        <w:rPr>
          <w:noProof/>
        </w:rPr>
        <w:t>Applying these shares to the 2024 EU population results in an estimated total of approximately 71 million individuals selling goods or services via platforms. Assuming that the proportion of reportable sellers among all sellers is broadly comparable to the Swedish case (19%), this implies that approximately 13.5 million sellers are currently reportable under DAC7, while around 57.5 million sellers (81% of all sellers) fall below the current reporting thresholds.</w:t>
      </w:r>
    </w:p>
    <w:p w14:paraId="2B7F9AE4" w14:textId="77777777" w:rsidR="00CC5BAF" w:rsidRDefault="00CC5BAF" w:rsidP="00CC5BAF">
      <w:pPr>
        <w:rPr>
          <w:noProof/>
        </w:rPr>
      </w:pPr>
      <w:r>
        <w:rPr>
          <w:noProof/>
        </w:rPr>
        <w:t>Dividing the estimated total DAC7-related compliance costs by the number of reportable sellers yields an indicative per-seller compliance cost of approximately EUR 780 million ÷ 13.5 million ≈ EUR 60 per reported seller.</w:t>
      </w:r>
    </w:p>
    <w:p w14:paraId="3DDF4684" w14:textId="77777777" w:rsidR="004245E6" w:rsidRDefault="00CC5BAF" w:rsidP="00CC5BAF">
      <w:pPr>
        <w:rPr>
          <w:noProof/>
        </w:rPr>
      </w:pPr>
      <w:r>
        <w:rPr>
          <w:noProof/>
        </w:rPr>
        <w:t>To reflect uncertainty in both the allocation of system costs to DAC7 and the estimation of the reportable seller base, a sensitivity range is applied, resulting in a per-seller cost of EUR 40 (low scenario), EUR 60 (central scenario) and EUR 80 (high scenario).</w:t>
      </w:r>
    </w:p>
    <w:p w14:paraId="237FAA9F" w14:textId="77777777" w:rsidR="00A8136E" w:rsidRDefault="1E348CEC" w:rsidP="00A8136E">
      <w:pPr>
        <w:rPr>
          <w:noProof/>
        </w:rPr>
      </w:pPr>
      <w:r>
        <w:rPr>
          <w:noProof/>
        </w:rPr>
        <w:t>Note that DAC7 covers several categories of reportable activities, including immovable property, transport, personal services and the sale of goods. Due to limited data availability, the analysis does not distinguish between these categories, and in particular does not allow for an identification of the share of sellers engaged in the sale of goods, to which the reporting threshold applies. Empirical evidence from France, a relatively service-oriented market (e.g. short-term accommodation platforms), suggests that the split between goods and services is broadly balanced (around 50/50 in value terms) (</w:t>
      </w:r>
      <w:r w:rsidR="00A8136E">
        <w:rPr>
          <w:rStyle w:val="FootnoteReference"/>
          <w:noProof/>
        </w:rPr>
        <w:footnoteReference w:id="91"/>
      </w:r>
      <w:r>
        <w:rPr>
          <w:noProof/>
        </w:rPr>
        <w:t>). In other Member States, such as Sweden, the composition is expected to be more skewed towards goods-based activities. Accordingly, the estimates should be interpreted as indicative and may represent an upper-bound approximation.</w:t>
      </w:r>
    </w:p>
    <w:p w14:paraId="79DF348C" w14:textId="60EB4C69" w:rsidR="00CD2260" w:rsidRPr="003258DB" w:rsidRDefault="00CD2260" w:rsidP="00CC5BAF">
      <w:pPr>
        <w:rPr>
          <w:b/>
          <w:bCs/>
          <w:noProof/>
        </w:rPr>
      </w:pPr>
      <w:r w:rsidRPr="1599A2D9">
        <w:rPr>
          <w:b/>
          <w:bCs/>
          <w:noProof/>
        </w:rPr>
        <w:t>Policy option 2a – Removal of the activity threshold</w:t>
      </w:r>
    </w:p>
    <w:p w14:paraId="02EFCF55" w14:textId="77777777" w:rsidR="00CD2260" w:rsidRDefault="00CD2260" w:rsidP="00CD2260">
      <w:pPr>
        <w:rPr>
          <w:noProof/>
        </w:rPr>
      </w:pPr>
      <w:r>
        <w:rPr>
          <w:noProof/>
        </w:rPr>
        <w:t>Under the current rules, sellers must be reported if they either exceed 30 transactions or receive more than EUR 2,000 in annual consideration (see illustration below). Option 2a removes the activity threshold while maintaining the monetary threshold.</w:t>
      </w:r>
    </w:p>
    <w:p w14:paraId="44F195B8" w14:textId="77777777" w:rsidR="00CD2260" w:rsidRDefault="00CD2260" w:rsidP="00CD2260">
      <w:pPr>
        <w:jc w:val="center"/>
        <w:rPr>
          <w:noProof/>
        </w:rPr>
      </w:pPr>
      <w:r w:rsidRPr="005B420B">
        <w:rPr>
          <w:noProof/>
          <w:lang w:eastAsia="en-GB"/>
        </w:rPr>
        <w:drawing>
          <wp:inline distT="0" distB="0" distL="0" distR="0" wp14:anchorId="3CA3AD8B" wp14:editId="6E457F17">
            <wp:extent cx="5759450" cy="2082800"/>
            <wp:effectExtent l="0" t="0" r="0" b="0"/>
            <wp:docPr id="1520843580"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843580" name="Picture 1" descr="A screenshot of a graph&#10;&#10;AI-generated content may be incorrect."/>
                    <pic:cNvPicPr/>
                  </pic:nvPicPr>
                  <pic:blipFill>
                    <a:blip r:embed="rId24"/>
                    <a:stretch>
                      <a:fillRect/>
                    </a:stretch>
                  </pic:blipFill>
                  <pic:spPr>
                    <a:xfrm>
                      <a:off x="0" y="0"/>
                      <a:ext cx="5759450" cy="2082800"/>
                    </a:xfrm>
                    <a:prstGeom prst="rect">
                      <a:avLst/>
                    </a:prstGeom>
                  </pic:spPr>
                </pic:pic>
              </a:graphicData>
            </a:graphic>
          </wp:inline>
        </w:drawing>
      </w:r>
    </w:p>
    <w:p w14:paraId="07ACC126" w14:textId="77777777" w:rsidR="00110660" w:rsidRDefault="00110660" w:rsidP="00110660">
      <w:pPr>
        <w:rPr>
          <w:noProof/>
        </w:rPr>
      </w:pPr>
      <w:r>
        <w:rPr>
          <w:noProof/>
        </w:rPr>
        <w:t>According to information collected from some mayor platforms in the EU, approximately 79% of the reportable sellers are reported solely due to exceeding the 30-transaction threshold while remaining below the EUR 2,000 monetary threshold.</w:t>
      </w:r>
    </w:p>
    <w:p w14:paraId="097A8D86" w14:textId="77777777" w:rsidR="00110660" w:rsidRDefault="00110660" w:rsidP="00110660">
      <w:pPr>
        <w:rPr>
          <w:noProof/>
        </w:rPr>
      </w:pPr>
      <w:r>
        <w:rPr>
          <w:noProof/>
        </w:rPr>
        <w:t xml:space="preserve">Applying this share to the population of reported sellers of 13.5 </w:t>
      </w:r>
      <w:r w:rsidRPr="00301094">
        <w:rPr>
          <w:noProof/>
        </w:rPr>
        <w:t>million</w:t>
      </w:r>
      <w:r>
        <w:rPr>
          <w:noProof/>
        </w:rPr>
        <w:t xml:space="preserve"> sellers implies that approximately 10.7 million sellers per year (13.5 million sellers × 79%) would fall out of scope under Policy option 2a.</w:t>
      </w:r>
    </w:p>
    <w:p w14:paraId="09B6F7C7" w14:textId="77777777" w:rsidR="00110660" w:rsidRDefault="00110660" w:rsidP="00110660">
      <w:pPr>
        <w:rPr>
          <w:noProof/>
        </w:rPr>
      </w:pPr>
      <w:r>
        <w:rPr>
          <w:noProof/>
        </w:rPr>
        <w:t>The associated compliance cost savings are estimated as follows:</w:t>
      </w:r>
    </w:p>
    <w:p w14:paraId="722E0B00" w14:textId="77777777" w:rsidR="00110660" w:rsidRDefault="00110660" w:rsidP="00110660">
      <w:pPr>
        <w:rPr>
          <w:noProof/>
        </w:rPr>
      </w:pPr>
      <w:r>
        <w:rPr>
          <w:noProof/>
        </w:rPr>
        <w:t>Low-cost scenario: 10.7 million sellers × EUR 40 = EUR 428 million</w:t>
      </w:r>
    </w:p>
    <w:p w14:paraId="6B69056B" w14:textId="77777777" w:rsidR="00110660" w:rsidRPr="00EE2533" w:rsidRDefault="00110660" w:rsidP="00110660">
      <w:pPr>
        <w:rPr>
          <w:noProof/>
        </w:rPr>
      </w:pPr>
      <w:r w:rsidRPr="001A1A26">
        <w:rPr>
          <w:noProof/>
        </w:rPr>
        <w:t xml:space="preserve">Central scenario: </w:t>
      </w:r>
      <w:r>
        <w:rPr>
          <w:noProof/>
        </w:rPr>
        <w:t xml:space="preserve">10.7 million </w:t>
      </w:r>
      <w:r w:rsidRPr="001A1A26">
        <w:rPr>
          <w:noProof/>
        </w:rPr>
        <w:t xml:space="preserve">sellers × EUR </w:t>
      </w:r>
      <w:r>
        <w:rPr>
          <w:noProof/>
        </w:rPr>
        <w:t>60</w:t>
      </w:r>
      <w:r w:rsidRPr="001A1A26">
        <w:rPr>
          <w:noProof/>
        </w:rPr>
        <w:t xml:space="preserve"> = EUR </w:t>
      </w:r>
      <w:r>
        <w:rPr>
          <w:noProof/>
        </w:rPr>
        <w:t>642</w:t>
      </w:r>
      <w:r w:rsidRPr="001A1A26">
        <w:rPr>
          <w:noProof/>
        </w:rPr>
        <w:t xml:space="preserve"> million</w:t>
      </w:r>
    </w:p>
    <w:p w14:paraId="3701D4FB" w14:textId="77777777" w:rsidR="00110660" w:rsidRDefault="00110660" w:rsidP="00110660">
      <w:pPr>
        <w:rPr>
          <w:noProof/>
        </w:rPr>
      </w:pPr>
      <w:r>
        <w:rPr>
          <w:noProof/>
        </w:rPr>
        <w:t>High-cost scenario: 10.7 million sellers × EUR 80 = EUR 856 million</w:t>
      </w:r>
    </w:p>
    <w:p w14:paraId="3DAD2365" w14:textId="66DD9803" w:rsidR="00CD2260" w:rsidRPr="00294C01" w:rsidRDefault="00671BCF" w:rsidP="00CD2260">
      <w:pPr>
        <w:rPr>
          <w:b/>
          <w:bCs/>
          <w:noProof/>
        </w:rPr>
      </w:pPr>
      <w:r>
        <w:rPr>
          <w:b/>
          <w:bCs/>
          <w:noProof/>
        </w:rPr>
        <w:t>Policy o</w:t>
      </w:r>
      <w:r w:rsidR="5415F128" w:rsidRPr="4321A1A3">
        <w:rPr>
          <w:b/>
          <w:bCs/>
          <w:noProof/>
        </w:rPr>
        <w:t>ption 2b – Removal of the activity threshold and increase of the monetary threshold to EUR 3</w:t>
      </w:r>
      <w:r w:rsidR="7F98B8B2" w:rsidRPr="4321A1A3">
        <w:rPr>
          <w:b/>
          <w:bCs/>
          <w:noProof/>
        </w:rPr>
        <w:t>,</w:t>
      </w:r>
      <w:r w:rsidR="5415F128" w:rsidRPr="4321A1A3">
        <w:rPr>
          <w:b/>
          <w:bCs/>
          <w:noProof/>
        </w:rPr>
        <w:t>000</w:t>
      </w:r>
    </w:p>
    <w:p w14:paraId="42C40127" w14:textId="37DA788D" w:rsidR="005A33F5" w:rsidRPr="005A33F5" w:rsidRDefault="3BD0FFA5" w:rsidP="005A33F5">
      <w:pPr>
        <w:rPr>
          <w:rFonts w:eastAsia="Aptos"/>
          <w:noProof/>
        </w:rPr>
      </w:pPr>
      <w:r w:rsidRPr="4321A1A3">
        <w:rPr>
          <w:rFonts w:eastAsia="Aptos"/>
          <w:noProof/>
        </w:rPr>
        <w:t>Policy Option 2b removes the activity threshold and increases the monetary threshold from EUR 2</w:t>
      </w:r>
      <w:r w:rsidR="0570DE95" w:rsidRPr="4321A1A3">
        <w:rPr>
          <w:rFonts w:eastAsia="Aptos"/>
          <w:noProof/>
        </w:rPr>
        <w:t>,</w:t>
      </w:r>
      <w:r w:rsidRPr="4321A1A3">
        <w:rPr>
          <w:rFonts w:eastAsia="Aptos"/>
          <w:noProof/>
        </w:rPr>
        <w:t>000 to EUR 3</w:t>
      </w:r>
      <w:r w:rsidR="780140B1" w:rsidRPr="4321A1A3">
        <w:rPr>
          <w:rFonts w:eastAsia="Aptos"/>
          <w:noProof/>
        </w:rPr>
        <w:t>,</w:t>
      </w:r>
      <w:r w:rsidRPr="4321A1A3">
        <w:rPr>
          <w:rFonts w:eastAsia="Aptos"/>
          <w:noProof/>
        </w:rPr>
        <w:t>000.</w:t>
      </w:r>
    </w:p>
    <w:p w14:paraId="162949D6" w14:textId="2C3A478F" w:rsidR="005A33F5" w:rsidRPr="005A33F5" w:rsidRDefault="6302DB4B" w:rsidP="005A33F5">
      <w:pPr>
        <w:rPr>
          <w:rFonts w:eastAsia="Aptos"/>
          <w:noProof/>
        </w:rPr>
      </w:pPr>
      <w:r w:rsidRPr="005A33F5">
        <w:rPr>
          <w:rFonts w:eastAsia="Aptos"/>
          <w:noProof/>
        </w:rPr>
        <w:t>Evidence from stakeholders’ consultation</w:t>
      </w:r>
      <w:r w:rsidR="46F13FE7">
        <w:rPr>
          <w:rFonts w:eastAsia="Aptos"/>
          <w:noProof/>
        </w:rPr>
        <w:t xml:space="preserve"> </w:t>
      </w:r>
      <w:r w:rsidR="005A33F5" w:rsidRPr="005A33F5">
        <w:rPr>
          <w:rFonts w:eastAsia="Aptos"/>
          <w:noProof/>
          <w:vertAlign w:val="superscript"/>
        </w:rPr>
        <w:footnoteReference w:id="92"/>
      </w:r>
      <w:r w:rsidRPr="005A33F5">
        <w:rPr>
          <w:rFonts w:eastAsia="Aptos"/>
          <w:noProof/>
        </w:rPr>
        <w:t xml:space="preserve"> suggest that the share of non-reportable sellers is estimated to increase from approximately 81% under the current framework to around 97% under Option 2b, corresponding to an increase of about 16 percentage points. Applied to an estimated seller population of 71 million, this implies that approximately 11.3 million sellers (71 million sellers × 16%) would fall out of scope compared to the status quo. </w:t>
      </w:r>
    </w:p>
    <w:p w14:paraId="490247D2" w14:textId="77777777" w:rsidR="005A33F5" w:rsidRPr="005A33F5" w:rsidRDefault="005A33F5" w:rsidP="005A33F5">
      <w:pPr>
        <w:rPr>
          <w:rFonts w:eastAsia="Aptos"/>
          <w:noProof/>
        </w:rPr>
      </w:pPr>
      <w:r w:rsidRPr="005A33F5">
        <w:rPr>
          <w:rFonts w:eastAsia="Aptos"/>
          <w:noProof/>
        </w:rPr>
        <w:t>The associated compliance cost savings are estimated as follows:</w:t>
      </w:r>
    </w:p>
    <w:p w14:paraId="778A1C27" w14:textId="77777777" w:rsidR="005A33F5" w:rsidRPr="005A33F5" w:rsidRDefault="005A33F5" w:rsidP="005A33F5">
      <w:pPr>
        <w:rPr>
          <w:rFonts w:eastAsia="Aptos"/>
          <w:noProof/>
        </w:rPr>
      </w:pPr>
      <w:r w:rsidRPr="005A33F5">
        <w:rPr>
          <w:rFonts w:eastAsia="Aptos"/>
          <w:noProof/>
        </w:rPr>
        <w:t>Low-cost scenario: 11.3 million sellers × EUR 40 = EUR 452 million</w:t>
      </w:r>
    </w:p>
    <w:p w14:paraId="0866EE58" w14:textId="77777777" w:rsidR="005A33F5" w:rsidRPr="005A33F5" w:rsidRDefault="005A33F5" w:rsidP="005A33F5">
      <w:pPr>
        <w:rPr>
          <w:rFonts w:eastAsia="Aptos"/>
          <w:noProof/>
        </w:rPr>
      </w:pPr>
      <w:r w:rsidRPr="005A33F5">
        <w:rPr>
          <w:rFonts w:eastAsia="Aptos"/>
          <w:noProof/>
        </w:rPr>
        <w:t>Central scenario: 11.3 million sellers × EUR 60 = EUR 678 million</w:t>
      </w:r>
    </w:p>
    <w:p w14:paraId="6FD26847" w14:textId="77777777" w:rsidR="005A33F5" w:rsidRPr="005A33F5" w:rsidRDefault="005A33F5" w:rsidP="005A33F5">
      <w:pPr>
        <w:rPr>
          <w:rFonts w:eastAsia="Aptos"/>
          <w:noProof/>
        </w:rPr>
      </w:pPr>
      <w:r w:rsidRPr="005A33F5">
        <w:rPr>
          <w:rFonts w:eastAsia="Aptos"/>
          <w:noProof/>
        </w:rPr>
        <w:t>High-cost scenario: 11.3 million sellers × EUR 80 = EUR 904 million</w:t>
      </w:r>
    </w:p>
    <w:p w14:paraId="15DA4C0D" w14:textId="1FEE9D78" w:rsidR="00CD2260" w:rsidRPr="00294C01" w:rsidRDefault="00671BCF" w:rsidP="00CD2260">
      <w:pPr>
        <w:rPr>
          <w:b/>
          <w:bCs/>
          <w:noProof/>
        </w:rPr>
      </w:pPr>
      <w:r>
        <w:rPr>
          <w:b/>
          <w:bCs/>
          <w:noProof/>
        </w:rPr>
        <w:t>Policy o</w:t>
      </w:r>
      <w:r w:rsidRPr="4321A1A3">
        <w:rPr>
          <w:b/>
          <w:bCs/>
          <w:noProof/>
        </w:rPr>
        <w:t>ption</w:t>
      </w:r>
      <w:r w:rsidR="5415F128" w:rsidRPr="4321A1A3">
        <w:rPr>
          <w:b/>
          <w:bCs/>
          <w:noProof/>
        </w:rPr>
        <w:t xml:space="preserve"> 2c – Removal of the activity threshold and increase of the monetary threshold to EUR 5</w:t>
      </w:r>
      <w:r w:rsidR="65917591" w:rsidRPr="4321A1A3">
        <w:rPr>
          <w:b/>
          <w:bCs/>
          <w:noProof/>
        </w:rPr>
        <w:t>,</w:t>
      </w:r>
      <w:r w:rsidR="5415F128" w:rsidRPr="4321A1A3">
        <w:rPr>
          <w:b/>
          <w:bCs/>
          <w:noProof/>
        </w:rPr>
        <w:t>000</w:t>
      </w:r>
    </w:p>
    <w:p w14:paraId="72A45E38" w14:textId="45E3BC39" w:rsidR="004373B8" w:rsidRDefault="72F6A6AF" w:rsidP="004373B8">
      <w:pPr>
        <w:rPr>
          <w:noProof/>
        </w:rPr>
      </w:pPr>
      <w:r>
        <w:rPr>
          <w:noProof/>
        </w:rPr>
        <w:t>Policy option 2c removes the activity threshold and increases the monetary threshold from EUR 2</w:t>
      </w:r>
      <w:r w:rsidR="440652BA">
        <w:rPr>
          <w:noProof/>
        </w:rPr>
        <w:t>,</w:t>
      </w:r>
      <w:r>
        <w:rPr>
          <w:noProof/>
        </w:rPr>
        <w:t>000 to EUR 5</w:t>
      </w:r>
      <w:r w:rsidR="56A7E2F5">
        <w:rPr>
          <w:noProof/>
        </w:rPr>
        <w:t>,</w:t>
      </w:r>
      <w:r>
        <w:rPr>
          <w:noProof/>
        </w:rPr>
        <w:t>000.</w:t>
      </w:r>
    </w:p>
    <w:p w14:paraId="59055902" w14:textId="46765F68" w:rsidR="004373B8" w:rsidRDefault="004373B8" w:rsidP="004373B8">
      <w:pPr>
        <w:rPr>
          <w:noProof/>
        </w:rPr>
      </w:pPr>
      <w:r>
        <w:rPr>
          <w:noProof/>
        </w:rPr>
        <w:t xml:space="preserve">Under this option approximately 98% of sellers would fall below the reporting threshold, compared with approximately 81% under the current framework, according to information collected from affected platform </w:t>
      </w:r>
      <w:r w:rsidR="65FCE868">
        <w:rPr>
          <w:noProof/>
        </w:rPr>
        <w:t>companies</w:t>
      </w:r>
      <w:r>
        <w:rPr>
          <w:noProof/>
        </w:rPr>
        <w:t>. This implies an increase of roughly 17 percentage points in the share of non-reportable sellers.</w:t>
      </w:r>
      <w:r w:rsidR="004204BC">
        <w:rPr>
          <w:noProof/>
        </w:rPr>
        <w:t xml:space="preserve"> </w:t>
      </w:r>
      <w:r w:rsidR="004204BC">
        <w:rPr>
          <w:noProof/>
          <w:color w:val="000000" w:themeColor="text1"/>
          <w:lang w:val="en-IE"/>
        </w:rPr>
        <w:t>T</w:t>
      </w:r>
      <w:r w:rsidR="004204BC" w:rsidRPr="00BC1B1C">
        <w:rPr>
          <w:noProof/>
          <w:color w:val="000000" w:themeColor="text1"/>
          <w:lang w:val="en-IE"/>
        </w:rPr>
        <w:t>his is based on information obtained through stakeholder consultations, in particular from major platform operators in the EU. These operators provided detailed simulations on the distribution of sellers across different thresholds and the corresponding number of sellers that would fall out of scope under alternative policy scenarios. This evidence was used to calibrate the estimates</w:t>
      </w:r>
      <w:r w:rsidR="004204BC">
        <w:rPr>
          <w:noProof/>
          <w:color w:val="000000" w:themeColor="text1"/>
          <w:lang w:val="en-IE"/>
        </w:rPr>
        <w:t>.</w:t>
      </w:r>
    </w:p>
    <w:p w14:paraId="3D349677" w14:textId="77777777" w:rsidR="004373B8" w:rsidRDefault="004373B8" w:rsidP="004373B8">
      <w:pPr>
        <w:rPr>
          <w:noProof/>
        </w:rPr>
      </w:pPr>
      <w:r>
        <w:rPr>
          <w:noProof/>
        </w:rPr>
        <w:t>Applying this change to the seller population of 71 million sellers results in an estimated reduction of approximately 12.1 million reported sellers per year (71 million sellers × 17%).</w:t>
      </w:r>
    </w:p>
    <w:p w14:paraId="2CA08A6F" w14:textId="77777777" w:rsidR="004373B8" w:rsidRDefault="004373B8" w:rsidP="004373B8">
      <w:pPr>
        <w:rPr>
          <w:noProof/>
        </w:rPr>
      </w:pPr>
      <w:r>
        <w:rPr>
          <w:noProof/>
        </w:rPr>
        <w:t>The associated compliance cost savings are estimated as follows:</w:t>
      </w:r>
    </w:p>
    <w:p w14:paraId="4E311D78" w14:textId="77777777" w:rsidR="004373B8" w:rsidRDefault="004373B8" w:rsidP="004373B8">
      <w:pPr>
        <w:rPr>
          <w:noProof/>
        </w:rPr>
      </w:pPr>
      <w:r>
        <w:rPr>
          <w:noProof/>
        </w:rPr>
        <w:t>Low-cost scenario: 12.1 million sellers × EUR 40 = EUR 484 million</w:t>
      </w:r>
    </w:p>
    <w:p w14:paraId="4D44663A" w14:textId="77777777" w:rsidR="004373B8" w:rsidRDefault="004373B8" w:rsidP="004373B8">
      <w:pPr>
        <w:rPr>
          <w:noProof/>
        </w:rPr>
      </w:pPr>
      <w:r>
        <w:rPr>
          <w:noProof/>
        </w:rPr>
        <w:t>Central scenario: 12.1 million sellers × EUR 60 = EUR 726 million</w:t>
      </w:r>
    </w:p>
    <w:p w14:paraId="3E176A8D" w14:textId="77777777" w:rsidR="004373B8" w:rsidRDefault="004373B8" w:rsidP="004373B8">
      <w:pPr>
        <w:rPr>
          <w:noProof/>
        </w:rPr>
      </w:pPr>
      <w:r>
        <w:rPr>
          <w:noProof/>
        </w:rPr>
        <w:t>High-cost scenario: 12.1 million sellers × EUR 80 = EUR 968 million</w:t>
      </w:r>
    </w:p>
    <w:p w14:paraId="67A626E2" w14:textId="60966807" w:rsidR="00CD2260" w:rsidRPr="00442053" w:rsidRDefault="007E502F" w:rsidP="004373B8">
      <w:pPr>
        <w:rPr>
          <w:noProof/>
        </w:rPr>
      </w:pPr>
      <w:r w:rsidRPr="1599A2D9">
        <w:rPr>
          <w:b/>
          <w:bCs/>
          <w:noProof/>
        </w:rPr>
        <w:t xml:space="preserve">3. </w:t>
      </w:r>
      <w:r w:rsidR="00CD2260" w:rsidRPr="1599A2D9">
        <w:rPr>
          <w:b/>
          <w:bCs/>
          <w:noProof/>
        </w:rPr>
        <w:t xml:space="preserve">DAC4 and </w:t>
      </w:r>
      <w:r w:rsidR="007411CC">
        <w:rPr>
          <w:b/>
          <w:bCs/>
          <w:noProof/>
        </w:rPr>
        <w:t>DAC9</w:t>
      </w:r>
      <w:r w:rsidRPr="1599A2D9">
        <w:rPr>
          <w:b/>
          <w:bCs/>
          <w:noProof/>
        </w:rPr>
        <w:t xml:space="preserve"> </w:t>
      </w:r>
      <w:r w:rsidR="00CD2260" w:rsidRPr="1599A2D9">
        <w:rPr>
          <w:b/>
          <w:bCs/>
          <w:noProof/>
        </w:rPr>
        <w:t>(Measure 3)</w:t>
      </w:r>
    </w:p>
    <w:p w14:paraId="6C2EA961" w14:textId="6A04337D" w:rsidR="00CD2260" w:rsidRDefault="00CD2260" w:rsidP="00CD2260">
      <w:pPr>
        <w:rPr>
          <w:noProof/>
          <w:lang w:val="en-US"/>
        </w:rPr>
      </w:pPr>
      <w:r w:rsidRPr="00FB434E">
        <w:rPr>
          <w:noProof/>
          <w:lang w:val="en-US"/>
        </w:rPr>
        <w:t xml:space="preserve">The current framework gives rise to a clear duplication of compliance costs for </w:t>
      </w:r>
      <w:r w:rsidR="774852C6" w:rsidRPr="5EB8A68D">
        <w:rPr>
          <w:noProof/>
          <w:lang w:val="en-US"/>
        </w:rPr>
        <w:t xml:space="preserve">MNE </w:t>
      </w:r>
      <w:r w:rsidRPr="5EB8A68D">
        <w:rPr>
          <w:noProof/>
          <w:lang w:val="en-US"/>
        </w:rPr>
        <w:t>groups</w:t>
      </w:r>
      <w:r w:rsidRPr="00FB434E">
        <w:rPr>
          <w:noProof/>
          <w:lang w:val="en-US"/>
        </w:rPr>
        <w:t xml:space="preserve">, stemming from overlapping notification requirements under DAC4 and </w:t>
      </w:r>
      <w:r w:rsidR="00D635F8">
        <w:rPr>
          <w:noProof/>
          <w:lang w:val="en-US"/>
        </w:rPr>
        <w:t>DAC9</w:t>
      </w:r>
      <w:r w:rsidRPr="00FB434E">
        <w:rPr>
          <w:noProof/>
          <w:lang w:val="en-US"/>
        </w:rPr>
        <w:t xml:space="preserve">. In practice, constituent entities within an MNE group are required to submit separate notifications identifying the reporting entity responsible for filing group-level information under each framework, despite the fact that these notifications largely concern the same underlying information. Differences in scope, timing and national implementation mean that these notifications cannot be consolidated, requiring </w:t>
      </w:r>
      <w:r w:rsidR="1726F5E3" w:rsidRPr="4C699FDC">
        <w:rPr>
          <w:noProof/>
          <w:lang w:val="en-US"/>
        </w:rPr>
        <w:t xml:space="preserve">companies </w:t>
      </w:r>
      <w:r w:rsidRPr="4C699FDC">
        <w:rPr>
          <w:noProof/>
          <w:lang w:val="en-US"/>
        </w:rPr>
        <w:t>to</w:t>
      </w:r>
      <w:r w:rsidRPr="00FB434E">
        <w:rPr>
          <w:noProof/>
          <w:lang w:val="en-US"/>
        </w:rPr>
        <w:t xml:space="preserve"> establish parallel internal processes for data collection</w:t>
      </w:r>
      <w:r>
        <w:rPr>
          <w:noProof/>
          <w:lang w:val="en-US"/>
        </w:rPr>
        <w:t xml:space="preserve"> </w:t>
      </w:r>
      <w:r w:rsidRPr="00FB434E">
        <w:rPr>
          <w:noProof/>
          <w:lang w:val="en-US"/>
        </w:rPr>
        <w:t xml:space="preserve">and submission. As a result, MNE groups must devote additional administrative resources to </w:t>
      </w:r>
      <w:r w:rsidR="5EF5CA33" w:rsidRPr="02054BD4">
        <w:rPr>
          <w:noProof/>
          <w:lang w:val="en-US"/>
        </w:rPr>
        <w:t>monitor</w:t>
      </w:r>
      <w:r w:rsidRPr="00FB434E">
        <w:rPr>
          <w:noProof/>
          <w:lang w:val="en-US"/>
        </w:rPr>
        <w:t xml:space="preserve"> multiple reporting obligations across jurisdictions, often involving repeated coordination across the group structure for essentially identical information. This duplication increases compliance costs and creates unnecessary complexity, without generating corresponding additional benefits for tax administrations.</w:t>
      </w:r>
    </w:p>
    <w:p w14:paraId="5524E30D" w14:textId="2EDA2A3D" w:rsidR="00CD2260" w:rsidRPr="00A6166B" w:rsidRDefault="00CD2260" w:rsidP="00CD2260">
      <w:pPr>
        <w:rPr>
          <w:noProof/>
          <w:lang w:val="en-US"/>
        </w:rPr>
      </w:pPr>
      <w:r w:rsidRPr="00A6166B">
        <w:rPr>
          <w:noProof/>
          <w:lang w:val="en-US"/>
        </w:rPr>
        <w:t>Policy Option 3a</w:t>
      </w:r>
      <w:r>
        <w:rPr>
          <w:noProof/>
          <w:lang w:val="en-US"/>
        </w:rPr>
        <w:t xml:space="preserve"> </w:t>
      </w:r>
      <w:r w:rsidRPr="00A6166B">
        <w:rPr>
          <w:noProof/>
          <w:lang w:val="en-US"/>
        </w:rPr>
        <w:t xml:space="preserve">introduces a single harmonised notification requirement covering both DAC4 and </w:t>
      </w:r>
      <w:r w:rsidR="00F73947">
        <w:rPr>
          <w:noProof/>
          <w:lang w:val="en-US"/>
        </w:rPr>
        <w:t>DAC9</w:t>
      </w:r>
      <w:r w:rsidRPr="02054BD4">
        <w:rPr>
          <w:noProof/>
          <w:lang w:val="en-US"/>
        </w:rPr>
        <w:t>.</w:t>
      </w:r>
      <w:r w:rsidRPr="00A6166B">
        <w:rPr>
          <w:noProof/>
          <w:lang w:val="en-US"/>
        </w:rPr>
        <w:t xml:space="preserve"> The estimation is based on the number of MNE entities currently required to submit </w:t>
      </w:r>
      <w:r>
        <w:rPr>
          <w:noProof/>
          <w:lang w:val="en-US"/>
        </w:rPr>
        <w:t xml:space="preserve">such </w:t>
      </w:r>
      <w:r w:rsidRPr="00A6166B">
        <w:rPr>
          <w:noProof/>
          <w:lang w:val="en-US"/>
        </w:rPr>
        <w:t xml:space="preserve">notifications and on assumptions regarding the staff time required to prepare </w:t>
      </w:r>
      <w:r>
        <w:rPr>
          <w:noProof/>
          <w:lang w:val="en-US"/>
        </w:rPr>
        <w:t>them</w:t>
      </w:r>
      <w:r w:rsidRPr="00A6166B">
        <w:rPr>
          <w:noProof/>
          <w:lang w:val="en-US"/>
        </w:rPr>
        <w:t>.</w:t>
      </w:r>
    </w:p>
    <w:p w14:paraId="03274A76" w14:textId="77777777" w:rsidR="00CD2260" w:rsidRPr="00A6166B" w:rsidRDefault="00CD2260" w:rsidP="00CD2260">
      <w:pPr>
        <w:rPr>
          <w:noProof/>
          <w:lang w:val="en-US"/>
        </w:rPr>
      </w:pPr>
      <w:r w:rsidRPr="00A6166B">
        <w:rPr>
          <w:noProof/>
          <w:lang w:val="en-US"/>
        </w:rPr>
        <w:t xml:space="preserve">Under the current framework, each constituent entity </w:t>
      </w:r>
      <w:r>
        <w:rPr>
          <w:noProof/>
          <w:lang w:val="en-US"/>
        </w:rPr>
        <w:t>is</w:t>
      </w:r>
      <w:r w:rsidRPr="00A6166B">
        <w:rPr>
          <w:noProof/>
          <w:lang w:val="en-US"/>
        </w:rPr>
        <w:t xml:space="preserve"> required to submit a DAC4 notification identifying the reporting entity within the group and the jurisdiction where the Country-by-Country report will be filed. Th</w:t>
      </w:r>
      <w:r>
        <w:rPr>
          <w:noProof/>
          <w:lang w:val="en-US"/>
        </w:rPr>
        <w:t xml:space="preserve">is requires </w:t>
      </w:r>
      <w:r w:rsidRPr="00A6166B">
        <w:rPr>
          <w:noProof/>
          <w:lang w:val="en-US"/>
        </w:rPr>
        <w:t xml:space="preserve">internal coordination to gather the relevant information, communicate across the group structure and prepare </w:t>
      </w:r>
      <w:r>
        <w:rPr>
          <w:noProof/>
          <w:lang w:val="en-US"/>
        </w:rPr>
        <w:t xml:space="preserve">and report </w:t>
      </w:r>
      <w:r w:rsidRPr="00A6166B">
        <w:rPr>
          <w:noProof/>
          <w:lang w:val="en-US"/>
        </w:rPr>
        <w:t>the notification</w:t>
      </w:r>
      <w:r>
        <w:rPr>
          <w:noProof/>
          <w:lang w:val="en-US"/>
        </w:rPr>
        <w:t>; according to information from stakeholders, it can be</w:t>
      </w:r>
      <w:r w:rsidRPr="00A6166B">
        <w:rPr>
          <w:noProof/>
          <w:lang w:val="en-US"/>
        </w:rPr>
        <w:t xml:space="preserve"> assumed </w:t>
      </w:r>
      <w:r>
        <w:rPr>
          <w:noProof/>
          <w:lang w:val="en-US"/>
        </w:rPr>
        <w:t xml:space="preserve">that these activities </w:t>
      </w:r>
      <w:r w:rsidRPr="00A6166B">
        <w:rPr>
          <w:noProof/>
          <w:lang w:val="en-US"/>
        </w:rPr>
        <w:t xml:space="preserve">require approximately </w:t>
      </w:r>
      <w:r>
        <w:rPr>
          <w:noProof/>
          <w:lang w:val="en-US"/>
        </w:rPr>
        <w:t>28</w:t>
      </w:r>
      <w:r w:rsidRPr="00A6166B">
        <w:rPr>
          <w:noProof/>
          <w:lang w:val="en-US"/>
        </w:rPr>
        <w:t xml:space="preserve"> hours per entity per year.</w:t>
      </w:r>
    </w:p>
    <w:p w14:paraId="15603117" w14:textId="77777777" w:rsidR="00CD2260" w:rsidRPr="00A6166B" w:rsidRDefault="00CD2260" w:rsidP="00CD2260">
      <w:pPr>
        <w:rPr>
          <w:noProof/>
          <w:lang w:val="en-US"/>
        </w:rPr>
      </w:pPr>
      <w:r w:rsidRPr="00251FA1">
        <w:rPr>
          <w:noProof/>
          <w:lang w:val="en-US"/>
        </w:rPr>
        <w:t>Applying average EU labour costs for the sector “Accounting, bookkeeping and auditing activities; tax consultancy”, the estimated labour cost of preparing a notification corresponds to approximately EUR 1,</w:t>
      </w:r>
      <w:r>
        <w:rPr>
          <w:noProof/>
          <w:lang w:val="en-US"/>
        </w:rPr>
        <w:t>270</w:t>
      </w:r>
      <w:r w:rsidRPr="00251FA1">
        <w:rPr>
          <w:noProof/>
          <w:lang w:val="en-US"/>
        </w:rPr>
        <w:t xml:space="preserve"> per entity.</w:t>
      </w:r>
    </w:p>
    <w:p w14:paraId="2647F6E2" w14:textId="63ED8215" w:rsidR="00CD2260" w:rsidRDefault="00CD2260" w:rsidP="00CD2260">
      <w:pPr>
        <w:rPr>
          <w:noProof/>
          <w:lang w:val="en-US"/>
        </w:rPr>
      </w:pPr>
      <w:r w:rsidRPr="00F40930">
        <w:rPr>
          <w:noProof/>
          <w:lang w:val="en-US"/>
        </w:rPr>
        <w:t xml:space="preserve">Available information from the </w:t>
      </w:r>
      <w:r w:rsidR="00BC14EF">
        <w:rPr>
          <w:noProof/>
          <w:lang w:val="en-US"/>
        </w:rPr>
        <w:t xml:space="preserve">company </w:t>
      </w:r>
      <w:r w:rsidRPr="00F40930">
        <w:rPr>
          <w:noProof/>
          <w:lang w:val="en-US"/>
        </w:rPr>
        <w:t xml:space="preserve">level database ORBIS indicates that approximately 4,700 MNE groups worldwide meet the relevant DAC4 and </w:t>
      </w:r>
      <w:r w:rsidR="00E0162C">
        <w:rPr>
          <w:noProof/>
          <w:lang w:val="en-US"/>
        </w:rPr>
        <w:t>DAC9</w:t>
      </w:r>
      <w:r w:rsidR="1CD682C6" w:rsidRPr="6B0A3201">
        <w:rPr>
          <w:noProof/>
          <w:lang w:val="en-US"/>
        </w:rPr>
        <w:t xml:space="preserve"> </w:t>
      </w:r>
      <w:r w:rsidRPr="00F40930">
        <w:rPr>
          <w:noProof/>
          <w:lang w:val="en-US"/>
        </w:rPr>
        <w:t>reporting thresholds</w:t>
      </w:r>
      <w:r>
        <w:rPr>
          <w:noProof/>
          <w:lang w:val="en-US"/>
        </w:rPr>
        <w:t xml:space="preserve">, i.e. are within the scope of Pillar </w:t>
      </w:r>
      <w:r w:rsidR="64E281CB" w:rsidRPr="620C39E7">
        <w:rPr>
          <w:noProof/>
          <w:lang w:val="en-US"/>
        </w:rPr>
        <w:t>2</w:t>
      </w:r>
      <w:r>
        <w:rPr>
          <w:noProof/>
          <w:lang w:val="en-US"/>
        </w:rPr>
        <w:t>,</w:t>
      </w:r>
      <w:r w:rsidRPr="00F40930">
        <w:rPr>
          <w:noProof/>
          <w:lang w:val="en-US"/>
        </w:rPr>
        <w:t xml:space="preserve"> and have operations within the EU. These groups collectively account for </w:t>
      </w:r>
      <w:r>
        <w:rPr>
          <w:noProof/>
          <w:lang w:val="en-US"/>
        </w:rPr>
        <w:t>approximately</w:t>
      </w:r>
      <w:r w:rsidRPr="00F40930">
        <w:rPr>
          <w:noProof/>
          <w:lang w:val="en-US"/>
        </w:rPr>
        <w:t xml:space="preserve"> </w:t>
      </w:r>
      <w:r>
        <w:rPr>
          <w:noProof/>
          <w:lang w:val="en-US"/>
        </w:rPr>
        <w:t>109</w:t>
      </w:r>
      <w:r w:rsidRPr="00F40930">
        <w:rPr>
          <w:noProof/>
          <w:lang w:val="en-US"/>
        </w:rPr>
        <w:t>,000 constituent entities (subsidiaries) located in the EU</w:t>
      </w:r>
      <w:r>
        <w:rPr>
          <w:noProof/>
          <w:lang w:val="en-US"/>
        </w:rPr>
        <w:t xml:space="preserve"> as of 2024</w:t>
      </w:r>
      <w:r w:rsidRPr="00F40930">
        <w:rPr>
          <w:noProof/>
          <w:lang w:val="en-US"/>
        </w:rPr>
        <w:t>.</w:t>
      </w:r>
    </w:p>
    <w:p w14:paraId="31D6F712" w14:textId="2812DCCB" w:rsidR="00CD2260" w:rsidRPr="00A6166B" w:rsidRDefault="04FA6F23" w:rsidP="00CD2260">
      <w:pPr>
        <w:rPr>
          <w:noProof/>
          <w:lang w:val="en-US"/>
        </w:rPr>
      </w:pPr>
      <w:r w:rsidRPr="00A6166B">
        <w:rPr>
          <w:noProof/>
          <w:lang w:val="en-US"/>
        </w:rPr>
        <w:t>The annual compliance cost burden for DAC4 notifications can therefore be approximated as</w:t>
      </w:r>
      <w:r>
        <w:rPr>
          <w:noProof/>
          <w:lang w:val="en-US"/>
        </w:rPr>
        <w:t xml:space="preserve"> </w:t>
      </w:r>
      <w:r w:rsidRPr="00A6166B">
        <w:rPr>
          <w:noProof/>
          <w:lang w:val="en-US"/>
        </w:rPr>
        <w:t>10</w:t>
      </w:r>
      <w:r>
        <w:rPr>
          <w:noProof/>
          <w:lang w:val="en-US"/>
        </w:rPr>
        <w:t>9</w:t>
      </w:r>
      <w:r w:rsidRPr="00A6166B">
        <w:rPr>
          <w:noProof/>
          <w:lang w:val="en-US"/>
        </w:rPr>
        <w:t xml:space="preserve">,000 entities × </w:t>
      </w:r>
      <w:r>
        <w:rPr>
          <w:noProof/>
          <w:lang w:val="en-US"/>
        </w:rPr>
        <w:t>EU</w:t>
      </w:r>
      <w:r w:rsidRPr="00A6166B">
        <w:rPr>
          <w:noProof/>
          <w:lang w:val="en-US"/>
        </w:rPr>
        <w:t>R 1,</w:t>
      </w:r>
      <w:r>
        <w:rPr>
          <w:noProof/>
          <w:lang w:val="en-US"/>
        </w:rPr>
        <w:t>270</w:t>
      </w:r>
      <w:r w:rsidRPr="00A6166B">
        <w:rPr>
          <w:noProof/>
          <w:lang w:val="en-US"/>
        </w:rPr>
        <w:t xml:space="preserve"> ≈ EUR 13</w:t>
      </w:r>
      <w:r>
        <w:rPr>
          <w:noProof/>
          <w:lang w:val="en-US"/>
        </w:rPr>
        <w:t>5</w:t>
      </w:r>
      <w:r w:rsidRPr="00A6166B">
        <w:rPr>
          <w:noProof/>
          <w:lang w:val="en-US"/>
        </w:rPr>
        <w:t xml:space="preserve"> million per year</w:t>
      </w:r>
      <w:r w:rsidR="432F6605" w:rsidRPr="09A87E47">
        <w:rPr>
          <w:noProof/>
          <w:lang w:val="en-US"/>
        </w:rPr>
        <w:t xml:space="preserve"> (</w:t>
      </w:r>
      <w:r w:rsidR="003300CD">
        <w:rPr>
          <w:rStyle w:val="FootnoteReference"/>
          <w:noProof/>
          <w:lang w:val="en-US"/>
        </w:rPr>
        <w:footnoteReference w:id="93"/>
      </w:r>
      <w:r w:rsidR="432F6605" w:rsidRPr="09A87E47">
        <w:rPr>
          <w:noProof/>
          <w:lang w:val="en-US"/>
        </w:rPr>
        <w:t>)</w:t>
      </w:r>
      <w:r>
        <w:rPr>
          <w:noProof/>
          <w:lang w:val="en-US"/>
        </w:rPr>
        <w:t>.</w:t>
      </w:r>
    </w:p>
    <w:p w14:paraId="1ED14582" w14:textId="2DE28CB3" w:rsidR="00CD2260" w:rsidRPr="00A6166B" w:rsidRDefault="00CD2260" w:rsidP="00CD2260">
      <w:pPr>
        <w:rPr>
          <w:noProof/>
          <w:lang w:val="en-US"/>
        </w:rPr>
      </w:pPr>
      <w:r w:rsidRPr="00A6166B">
        <w:rPr>
          <w:noProof/>
          <w:lang w:val="en-US"/>
        </w:rPr>
        <w:t>Assuming a similar notification</w:t>
      </w:r>
      <w:r w:rsidR="00D635F8">
        <w:rPr>
          <w:noProof/>
          <w:lang w:val="en-US"/>
        </w:rPr>
        <w:t xml:space="preserve"> obligation for DAC9 </w:t>
      </w:r>
      <w:r w:rsidRPr="00A6166B">
        <w:rPr>
          <w:noProof/>
          <w:lang w:val="en-US"/>
        </w:rPr>
        <w:t xml:space="preserve">and that no operational synergies arise between DAC4 and </w:t>
      </w:r>
      <w:r w:rsidR="00D635F8">
        <w:rPr>
          <w:noProof/>
          <w:lang w:val="en-US"/>
        </w:rPr>
        <w:t>DAC9</w:t>
      </w:r>
      <w:r w:rsidR="0F4FF585" w:rsidRPr="00EF06A8">
        <w:rPr>
          <w:noProof/>
          <w:lang w:val="en-US"/>
        </w:rPr>
        <w:t xml:space="preserve"> </w:t>
      </w:r>
      <w:r w:rsidRPr="00A6166B">
        <w:rPr>
          <w:noProof/>
          <w:lang w:val="en-US"/>
        </w:rPr>
        <w:t>notifications, the combined compliance burden for both notifications could reach approximately</w:t>
      </w:r>
      <w:r>
        <w:rPr>
          <w:noProof/>
          <w:lang w:val="en-US"/>
        </w:rPr>
        <w:t xml:space="preserve"> </w:t>
      </w:r>
      <w:r w:rsidRPr="00A6166B">
        <w:rPr>
          <w:noProof/>
          <w:lang w:val="en-US"/>
        </w:rPr>
        <w:t>EUR 13</w:t>
      </w:r>
      <w:r>
        <w:rPr>
          <w:noProof/>
          <w:lang w:val="en-US"/>
        </w:rPr>
        <w:t>5</w:t>
      </w:r>
      <w:r w:rsidRPr="00A6166B">
        <w:rPr>
          <w:noProof/>
          <w:lang w:val="en-US"/>
        </w:rPr>
        <w:t xml:space="preserve"> million × 2 </w:t>
      </w:r>
      <w:r>
        <w:rPr>
          <w:noProof/>
          <w:lang w:val="en-US"/>
        </w:rPr>
        <w:t>=</w:t>
      </w:r>
      <w:r w:rsidRPr="00A6166B">
        <w:rPr>
          <w:noProof/>
          <w:lang w:val="en-US"/>
        </w:rPr>
        <w:t xml:space="preserve"> EUR 270 million per year</w:t>
      </w:r>
      <w:r>
        <w:rPr>
          <w:noProof/>
          <w:lang w:val="en-US"/>
        </w:rPr>
        <w:t>.</w:t>
      </w:r>
    </w:p>
    <w:p w14:paraId="5D644924" w14:textId="0619DAA7" w:rsidR="00CD2260" w:rsidRPr="00A6166B" w:rsidRDefault="5415F128" w:rsidP="00CD2260">
      <w:pPr>
        <w:rPr>
          <w:noProof/>
          <w:lang w:val="en-US"/>
        </w:rPr>
      </w:pPr>
      <w:r w:rsidRPr="4321A1A3">
        <w:rPr>
          <w:noProof/>
          <w:lang w:val="en-US"/>
        </w:rPr>
        <w:t xml:space="preserve">Under Policy Option 3b, a single harmonised notification covering both DAC4 and </w:t>
      </w:r>
      <w:r w:rsidR="00D635F8">
        <w:rPr>
          <w:noProof/>
          <w:lang w:val="en-US"/>
        </w:rPr>
        <w:t>DAC9</w:t>
      </w:r>
      <w:r w:rsidR="472BC5BD" w:rsidRPr="4321A1A3">
        <w:rPr>
          <w:noProof/>
          <w:lang w:val="en-US"/>
        </w:rPr>
        <w:t xml:space="preserve"> </w:t>
      </w:r>
      <w:r w:rsidRPr="4321A1A3">
        <w:rPr>
          <w:noProof/>
          <w:lang w:val="en-US"/>
        </w:rPr>
        <w:t>would be introduced. Instead of each constituent entity submitting a separate notification, a single notification would be prepared and submitted for the entire MNE group.</w:t>
      </w:r>
    </w:p>
    <w:p w14:paraId="6B56DDC4" w14:textId="77777777" w:rsidR="00CD2260" w:rsidRPr="00A6166B" w:rsidRDefault="00CD2260" w:rsidP="00CD2260">
      <w:pPr>
        <w:rPr>
          <w:noProof/>
          <w:lang w:val="en-US"/>
        </w:rPr>
      </w:pPr>
      <w:r w:rsidRPr="00A6166B">
        <w:rPr>
          <w:noProof/>
          <w:lang w:val="en-US"/>
        </w:rPr>
        <w:t xml:space="preserve">Assuming that the internal coordination effort required to prepare this notification remains approximately </w:t>
      </w:r>
      <w:r>
        <w:rPr>
          <w:noProof/>
          <w:lang w:val="en-US"/>
        </w:rPr>
        <w:t>28</w:t>
      </w:r>
      <w:r w:rsidRPr="00A6166B">
        <w:rPr>
          <w:noProof/>
          <w:lang w:val="en-US"/>
        </w:rPr>
        <w:t xml:space="preserve"> hours per MNE group per year, the associated compliance costs can be approximated as</w:t>
      </w:r>
      <w:r>
        <w:rPr>
          <w:noProof/>
          <w:lang w:val="en-US"/>
        </w:rPr>
        <w:t xml:space="preserve"> 4,700 </w:t>
      </w:r>
      <w:r w:rsidRPr="00A6166B">
        <w:rPr>
          <w:noProof/>
          <w:lang w:val="en-US"/>
        </w:rPr>
        <w:t>groups × EUR 1,</w:t>
      </w:r>
      <w:r>
        <w:rPr>
          <w:noProof/>
          <w:lang w:val="en-US"/>
        </w:rPr>
        <w:t>270</w:t>
      </w:r>
      <w:r w:rsidRPr="00A6166B">
        <w:rPr>
          <w:noProof/>
          <w:lang w:val="en-US"/>
        </w:rPr>
        <w:t xml:space="preserve"> ≈ EUR </w:t>
      </w:r>
      <w:r>
        <w:rPr>
          <w:noProof/>
          <w:lang w:val="en-US"/>
        </w:rPr>
        <w:t>6</w:t>
      </w:r>
      <w:r w:rsidRPr="00A6166B">
        <w:rPr>
          <w:noProof/>
          <w:lang w:val="en-US"/>
        </w:rPr>
        <w:t xml:space="preserve"> million per year</w:t>
      </w:r>
      <w:r>
        <w:rPr>
          <w:noProof/>
          <w:lang w:val="en-US"/>
        </w:rPr>
        <w:t>.</w:t>
      </w:r>
    </w:p>
    <w:p w14:paraId="7E86936C" w14:textId="77777777" w:rsidR="00CD2260" w:rsidRPr="00A6166B" w:rsidRDefault="00CD2260" w:rsidP="00CD2260">
      <w:pPr>
        <w:rPr>
          <w:noProof/>
          <w:lang w:val="en-US"/>
        </w:rPr>
      </w:pPr>
      <w:r w:rsidRPr="00A6166B">
        <w:rPr>
          <w:noProof/>
          <w:lang w:val="en-US"/>
        </w:rPr>
        <w:t>The resulting reduction in compliance costs is therefore estimated as</w:t>
      </w:r>
      <w:r>
        <w:rPr>
          <w:noProof/>
          <w:lang w:val="en-US"/>
        </w:rPr>
        <w:t xml:space="preserve"> </w:t>
      </w:r>
      <w:r w:rsidRPr="00A6166B">
        <w:rPr>
          <w:noProof/>
          <w:lang w:val="en-US"/>
        </w:rPr>
        <w:t xml:space="preserve">EUR 270 million − EUR </w:t>
      </w:r>
      <w:r>
        <w:rPr>
          <w:noProof/>
          <w:lang w:val="en-US"/>
        </w:rPr>
        <w:t>6</w:t>
      </w:r>
      <w:r w:rsidRPr="00A6166B">
        <w:rPr>
          <w:noProof/>
          <w:lang w:val="en-US"/>
        </w:rPr>
        <w:t xml:space="preserve"> million ≈ EUR 26</w:t>
      </w:r>
      <w:r>
        <w:rPr>
          <w:noProof/>
          <w:lang w:val="en-US"/>
        </w:rPr>
        <w:t>4</w:t>
      </w:r>
      <w:r w:rsidRPr="00A6166B">
        <w:rPr>
          <w:noProof/>
          <w:lang w:val="en-US"/>
        </w:rPr>
        <w:t xml:space="preserve"> million per year</w:t>
      </w:r>
      <w:r>
        <w:rPr>
          <w:noProof/>
          <w:lang w:val="en-US"/>
        </w:rPr>
        <w:t>.</w:t>
      </w:r>
    </w:p>
    <w:p w14:paraId="0BD293BE" w14:textId="77777777" w:rsidR="00CD2260" w:rsidRPr="00A6166B" w:rsidRDefault="5415F128" w:rsidP="00CD2260">
      <w:pPr>
        <w:rPr>
          <w:noProof/>
          <w:lang w:val="en-US"/>
        </w:rPr>
      </w:pPr>
      <w:r w:rsidRPr="4321A1A3">
        <w:rPr>
          <w:noProof/>
          <w:lang w:val="en-US"/>
        </w:rPr>
        <w:t>These estimates are intended to illustrate the order of magnitude of the potential savings associated with eliminating duplicative notification requirements. They rely on simplifying assumptions regarding the time required for internal coordination and the average labour costs involved in preparing notifications.</w:t>
      </w:r>
    </w:p>
    <w:p w14:paraId="33298B30" w14:textId="29528285" w:rsidR="000E328F" w:rsidRPr="00442053" w:rsidRDefault="52AEBEB6" w:rsidP="000E328F">
      <w:pPr>
        <w:rPr>
          <w:noProof/>
        </w:rPr>
      </w:pPr>
      <w:r>
        <w:rPr>
          <w:b/>
          <w:bCs/>
          <w:noProof/>
        </w:rPr>
        <w:t>4</w:t>
      </w:r>
      <w:r w:rsidR="2136238E" w:rsidRPr="1599A2D9">
        <w:rPr>
          <w:b/>
          <w:bCs/>
          <w:noProof/>
        </w:rPr>
        <w:t xml:space="preserve">. </w:t>
      </w:r>
      <w:r w:rsidR="429C2B0B">
        <w:rPr>
          <w:b/>
          <w:bCs/>
          <w:noProof/>
        </w:rPr>
        <w:t xml:space="preserve">Improving the </w:t>
      </w:r>
      <w:r w:rsidR="444C2849">
        <w:rPr>
          <w:b/>
          <w:bCs/>
          <w:noProof/>
        </w:rPr>
        <w:t xml:space="preserve">verification of </w:t>
      </w:r>
      <w:r w:rsidR="2706D0F0">
        <w:rPr>
          <w:b/>
          <w:bCs/>
          <w:noProof/>
        </w:rPr>
        <w:t>TINs</w:t>
      </w:r>
      <w:r w:rsidR="2136238E" w:rsidRPr="1599A2D9">
        <w:rPr>
          <w:b/>
          <w:bCs/>
          <w:noProof/>
        </w:rPr>
        <w:t xml:space="preserve"> (Measure </w:t>
      </w:r>
      <w:r w:rsidR="2706D0F0">
        <w:rPr>
          <w:b/>
          <w:bCs/>
          <w:noProof/>
        </w:rPr>
        <w:t>4</w:t>
      </w:r>
      <w:r w:rsidR="2136238E" w:rsidRPr="1599A2D9">
        <w:rPr>
          <w:b/>
          <w:bCs/>
          <w:noProof/>
        </w:rPr>
        <w:t>)</w:t>
      </w:r>
      <w:r w:rsidR="002A633F">
        <w:rPr>
          <w:rStyle w:val="FootnoteReference"/>
          <w:b/>
          <w:bCs/>
          <w:noProof/>
        </w:rPr>
        <w:footnoteReference w:id="94"/>
      </w:r>
    </w:p>
    <w:p w14:paraId="2283BE55" w14:textId="63D5CC2C" w:rsidR="000E328F" w:rsidRPr="00671BCF" w:rsidRDefault="00671BCF" w:rsidP="00CD2260">
      <w:pPr>
        <w:rPr>
          <w:b/>
          <w:bCs/>
          <w:noProof/>
        </w:rPr>
      </w:pPr>
      <w:r w:rsidRPr="00671BCF">
        <w:rPr>
          <w:b/>
          <w:bCs/>
          <w:noProof/>
        </w:rPr>
        <w:t xml:space="preserve">Policy option </w:t>
      </w:r>
      <w:r w:rsidR="4F6351D8" w:rsidRPr="00671BCF">
        <w:rPr>
          <w:b/>
          <w:bCs/>
          <w:noProof/>
        </w:rPr>
        <w:t xml:space="preserve">4a – </w:t>
      </w:r>
      <w:r w:rsidR="74FF9C9A" w:rsidRPr="00671BCF">
        <w:rPr>
          <w:b/>
          <w:bCs/>
          <w:noProof/>
        </w:rPr>
        <w:t>Centralised TIN verification system (access limited to tax administrations)</w:t>
      </w:r>
    </w:p>
    <w:p w14:paraId="285D4C2F" w14:textId="6076C63D" w:rsidR="003F4DC5" w:rsidRPr="003F4DC5" w:rsidRDefault="0DD765FB" w:rsidP="4321A1A3">
      <w:pPr>
        <w:rPr>
          <w:noProof/>
          <w:lang w:val="en-US"/>
        </w:rPr>
      </w:pPr>
      <w:r w:rsidRPr="4321A1A3">
        <w:rPr>
          <w:noProof/>
          <w:lang w:val="en-US"/>
        </w:rPr>
        <w:t>The cost estimates for the introduction of a centralised TIN verification system accessible only to Member States’ tax administrations are based on benchmark comparisons with existing EU IT systems (notably VIES and DAC infrastructures), complemented by available evidence from the DAC evaluation and limited stakeholder input. Estimates are presented separately for EU-level (central component) and national-level (Member State) costs.</w:t>
      </w:r>
    </w:p>
    <w:p w14:paraId="2731D5A3" w14:textId="4EB605E3" w:rsidR="003F4DC5" w:rsidRPr="003F4DC5" w:rsidRDefault="0DD765FB" w:rsidP="003F4DC5">
      <w:pPr>
        <w:rPr>
          <w:noProof/>
          <w:lang w:val="en-US"/>
        </w:rPr>
      </w:pPr>
      <w:r w:rsidRPr="4321A1A3">
        <w:rPr>
          <w:noProof/>
          <w:lang w:val="en-US"/>
        </w:rPr>
        <w:t>At EU level, one-off development costs for the central component are estimated in the range of EUR 300,000 to EUR 700,000. This range is derived from two benchmarks. The lower bound reflects the cost of the modernisation of the VIES-on-the-web application (approximately EUR 300,000), while the upper bound is informed by the development of the central component for DAC3 exchanges (approximately EUR 715,000, based on the DAC evaluation). Given that the TIN validation tool would require additional functionalities compared to VIES (notably bulk request splitting, routing and reassembly</w:t>
      </w:r>
      <w:r w:rsidR="00D635F8" w:rsidRPr="4321A1A3">
        <w:rPr>
          <w:noProof/>
          <w:lang w:val="en-US"/>
        </w:rPr>
        <w:t>) but</w:t>
      </w:r>
      <w:r w:rsidRPr="4321A1A3">
        <w:rPr>
          <w:noProof/>
          <w:lang w:val="en-US"/>
        </w:rPr>
        <w:t xml:space="preserve"> remains less complex than a full central repository such as DAC3, these two benchmarks are considered appropriate lower and upper bounds.</w:t>
      </w:r>
    </w:p>
    <w:p w14:paraId="77912047" w14:textId="77777777" w:rsidR="003F4DC5" w:rsidRPr="003F4DC5" w:rsidRDefault="0DD765FB" w:rsidP="003F4DC5">
      <w:pPr>
        <w:rPr>
          <w:noProof/>
          <w:lang w:val="en-US"/>
        </w:rPr>
      </w:pPr>
      <w:r w:rsidRPr="4321A1A3">
        <w:rPr>
          <w:noProof/>
          <w:lang w:val="en-US"/>
        </w:rPr>
        <w:t>In addition, the development of common specifications and validation rules is estimated at EUR 150,000, based on the cost of developing a comparable “call-off stock” module within VIES. Training costs for tax administrations are estimated at EUR 20,000, based on average costs for in-person IT training under the Fiscalis programme. This results in total EU-level one-off costs in the range of EUR 470,000 to EUR 870,000.</w:t>
      </w:r>
    </w:p>
    <w:p w14:paraId="59682C93" w14:textId="77777777" w:rsidR="003F4DC5" w:rsidRPr="003F4DC5" w:rsidRDefault="0DD765FB" w:rsidP="003F4DC5">
      <w:pPr>
        <w:rPr>
          <w:noProof/>
          <w:lang w:val="en-US"/>
        </w:rPr>
      </w:pPr>
      <w:r w:rsidRPr="4321A1A3">
        <w:rPr>
          <w:noProof/>
          <w:lang w:val="en-US"/>
        </w:rPr>
        <w:t>Recurrent EU-level costs, including infrastructure, operations, maintenance and technical assistance, are estimated at EUR 600,000 per year. This estimate is based on two consistent benchmarks: the operational costs of VIES-on-the-web (approximately EUR 600,000 annually) and the recurrent costs associated with DAC6 central systems, which are of a similar magnitude.</w:t>
      </w:r>
    </w:p>
    <w:p w14:paraId="14293CCB" w14:textId="69A8EE34" w:rsidR="003F4DC5" w:rsidRPr="003F4DC5" w:rsidRDefault="0DD765FB" w:rsidP="003F4DC5">
      <w:pPr>
        <w:rPr>
          <w:noProof/>
          <w:lang w:val="en-US"/>
        </w:rPr>
      </w:pPr>
      <w:r w:rsidRPr="4321A1A3">
        <w:rPr>
          <w:noProof/>
          <w:lang w:val="en-US"/>
        </w:rPr>
        <w:t xml:space="preserve">At national level, one-off implementation costs are estimated at approximately EUR 11 million across the EU, corresponding to roughly EUR 265,000 per Member State on average. This estimate is based on observed public procurement data for the implementation of the BRIS, which provides a relevant benchmark for interoperability projects between national systems and EU-level infrastructure. A multiplier </w:t>
      </w:r>
      <w:r w:rsidR="7198669B" w:rsidRPr="4321A1A3">
        <w:rPr>
          <w:noProof/>
          <w:lang w:val="en-US"/>
        </w:rPr>
        <w:t xml:space="preserve">of 1.5 </w:t>
      </w:r>
      <w:r w:rsidRPr="4321A1A3">
        <w:rPr>
          <w:noProof/>
          <w:lang w:val="en-US"/>
        </w:rPr>
        <w:t>has been applied to account for additional complexity in cases where TIN data are held by multiple authorities (e.g. separate registries for natural and legal persons), including the need for coordination arrangements and system integration. The resulting estimate reflects an average cost across Member States, with potentially significant variation depending on national institutional setups.</w:t>
      </w:r>
    </w:p>
    <w:p w14:paraId="6A0E5AFD" w14:textId="77777777" w:rsidR="003F4DC5" w:rsidRPr="003F4DC5" w:rsidRDefault="0DD765FB" w:rsidP="003F4DC5">
      <w:pPr>
        <w:rPr>
          <w:noProof/>
          <w:lang w:val="en-US"/>
        </w:rPr>
      </w:pPr>
      <w:r w:rsidRPr="4321A1A3">
        <w:rPr>
          <w:noProof/>
          <w:lang w:val="en-US"/>
        </w:rPr>
        <w:t>Recurrent national costs consist of both maintenance costs and administrative costs associated with TIN validation. Maintenance costs are estimated at 12% to 18% of initial development costs, corresponding to EUR 1.4 to 2 million annually at EU level, in line with standard industry benchmarks for IT systems.</w:t>
      </w:r>
    </w:p>
    <w:p w14:paraId="0D174C53" w14:textId="020B303A" w:rsidR="003F4DC5" w:rsidRPr="003F4DC5" w:rsidRDefault="0DD765FB" w:rsidP="003F4DC5">
      <w:pPr>
        <w:rPr>
          <w:noProof/>
          <w:lang w:val="en-US"/>
        </w:rPr>
      </w:pPr>
      <w:r w:rsidRPr="4321A1A3">
        <w:rPr>
          <w:noProof/>
          <w:lang w:val="en-US"/>
        </w:rPr>
        <w:t xml:space="preserve">The administrative burden for TIN validation is estimated not to exceed EUR 10 million per year across the EU. This estimate is derived by benchmarking against overall recurring administrative costs for the AEOI under the DAC framework, which are estimated at EUR 20 to 40 million annually at EU level. Given that TIN validation represents a more narrowly defined and highly automatable task within this broader framework, the associated costs are assumed to be significantly lower. This assumption is further supported by limited stakeholder input, which indicates substantial variation across Member States. Reported estimates range from approximately EUR 40,000 per year in low-cost cases to up to EUR 0.5 million per year (corresponding to around 10 </w:t>
      </w:r>
      <w:r w:rsidR="30FC0C7F" w:rsidRPr="4321A1A3">
        <w:rPr>
          <w:noProof/>
          <w:lang w:val="en-US"/>
        </w:rPr>
        <w:t>FTEs</w:t>
      </w:r>
      <w:r w:rsidRPr="4321A1A3">
        <w:rPr>
          <w:noProof/>
          <w:lang w:val="en-US"/>
        </w:rPr>
        <w:t>) in higher-cost scenarios. Even the upper bound of these estimates would imply aggregate EU-level costs in the order of EUR 13–14 million annually, which supports the use of EUR 10 million as a conservative upper-bound estimate.</w:t>
      </w:r>
    </w:p>
    <w:p w14:paraId="4A9ED706" w14:textId="5EED5D7E" w:rsidR="003F4DC5" w:rsidRDefault="0DD765FB" w:rsidP="003F4DC5">
      <w:pPr>
        <w:rPr>
          <w:noProof/>
          <w:lang w:val="en-US"/>
        </w:rPr>
      </w:pPr>
      <w:r w:rsidRPr="4321A1A3">
        <w:rPr>
          <w:noProof/>
          <w:lang w:val="en-US"/>
        </w:rPr>
        <w:t>No additional costs are expected for reporting entities under this option, as the validation process would be carried out exclusively by tax administrations.</w:t>
      </w:r>
    </w:p>
    <w:p w14:paraId="2931AB67" w14:textId="77777777" w:rsidR="00D635F8" w:rsidRDefault="00D635F8" w:rsidP="003F4DC5">
      <w:pPr>
        <w:rPr>
          <w:noProof/>
          <w:lang w:val="en-US"/>
        </w:rPr>
      </w:pPr>
    </w:p>
    <w:p w14:paraId="40383EAF" w14:textId="4652BD18" w:rsidR="00416A19" w:rsidRPr="00671BCF" w:rsidRDefault="00671BCF" w:rsidP="00416A19">
      <w:pPr>
        <w:rPr>
          <w:b/>
          <w:bCs/>
          <w:noProof/>
        </w:rPr>
      </w:pPr>
      <w:r w:rsidRPr="00671BCF">
        <w:rPr>
          <w:b/>
          <w:bCs/>
          <w:noProof/>
        </w:rPr>
        <w:t>Policy option</w:t>
      </w:r>
      <w:r w:rsidR="4AAD10D7" w:rsidRPr="00671BCF">
        <w:rPr>
          <w:b/>
          <w:bCs/>
          <w:noProof/>
        </w:rPr>
        <w:t xml:space="preserve"> 4b – Centralised TIN verification system (optional access to reporting entities)</w:t>
      </w:r>
    </w:p>
    <w:p w14:paraId="1E24D7FE" w14:textId="5B0B571B" w:rsidR="00416A19" w:rsidRDefault="4AAD10D7" w:rsidP="00416A19">
      <w:pPr>
        <w:rPr>
          <w:noProof/>
        </w:rPr>
      </w:pPr>
      <w:r>
        <w:rPr>
          <w:noProof/>
        </w:rPr>
        <w:t>This option assumes a centralised TIN validation tool providing binary (yes/no) feedback and accessible to reporting entities. Costs are assessed at EU level, national level (tax authorities), and for reporting entities.</w:t>
      </w:r>
    </w:p>
    <w:p w14:paraId="4EBB0053" w14:textId="6C84064A" w:rsidR="00416A19" w:rsidRDefault="4AAD10D7" w:rsidP="00416A19">
      <w:pPr>
        <w:rPr>
          <w:noProof/>
        </w:rPr>
      </w:pPr>
      <w:r>
        <w:rPr>
          <w:noProof/>
        </w:rPr>
        <w:t>At EU level, one-off development costs for the central component are estimated at EUR 600,000 to EUR 1.4 million, reflecting the need to scale the system to accommodate potential access by reporting entities. This estimate builds on the cost range identified for the tax-administration-only system (EUR 300,000–700,000) and applies an approximate doubling factor to reflect higher system capacity requirements, including increased concurrency, authentication and bulk processing functionalities. The development of common specifications and access management rules is estimated at EUR 350,000, based on benchmarks from VIES developments and the expected need for coordination among Member States (comparable to the cost of an expert team under Fiscalis). Training costs for tax administrations are estimated at EUR 20,000. Overall, total EU-level one-off costs are estimated at EUR 970,000 to EUR 1.77 million.</w:t>
      </w:r>
    </w:p>
    <w:p w14:paraId="130012FA" w14:textId="747AF99B" w:rsidR="00416A19" w:rsidRDefault="4AAD10D7" w:rsidP="00416A19">
      <w:pPr>
        <w:rPr>
          <w:noProof/>
        </w:rPr>
      </w:pPr>
      <w:r>
        <w:rPr>
          <w:noProof/>
        </w:rPr>
        <w:t>Recurrent EU-level costs, including infrastructure, maintenance, and technical support, are estimated at EUR 1.8 to 2.4 million per year. This estimate reflects a three- to fourfold increase compared to systems limited to tax authority access (e.g.</w:t>
      </w:r>
      <w:r w:rsidR="1E86F423">
        <w:rPr>
          <w:noProof/>
        </w:rPr>
        <w:t>,</w:t>
      </w:r>
      <w:r>
        <w:rPr>
          <w:noProof/>
        </w:rPr>
        <w:t xml:space="preserve"> DAC6), driven by higher expected system load, authentication requirements and fragmented user access patterns. The resulting range is broadly consistent with observed costs for systems with private-sector access, such as VIES-on-the-web.</w:t>
      </w:r>
    </w:p>
    <w:p w14:paraId="54C8DA93" w14:textId="77777777" w:rsidR="00416A19" w:rsidRDefault="4AAD10D7" w:rsidP="00416A19">
      <w:pPr>
        <w:rPr>
          <w:noProof/>
        </w:rPr>
      </w:pPr>
      <w:r>
        <w:rPr>
          <w:noProof/>
        </w:rPr>
        <w:t>At national level, one-off costs for tax administrations are estimated at EUR 15 to 25 million across the EU. These costs include the development of national access points (estimated at EUR 14–20 million), based on public procurement benchmarks for interoperability systems such as BRIS, and additional costs for implementing authorisation and access management systems (estimated at EUR 1–5 million). The increase compared to the tax-authority-only scenario reflects the need to accommodate higher volumes of concurrent requests and to implement secure access for reporting entities.</w:t>
      </w:r>
    </w:p>
    <w:p w14:paraId="2528FF0F" w14:textId="77777777" w:rsidR="00416A19" w:rsidRDefault="4AAD10D7" w:rsidP="00416A19">
      <w:pPr>
        <w:rPr>
          <w:noProof/>
        </w:rPr>
      </w:pPr>
      <w:r>
        <w:rPr>
          <w:noProof/>
        </w:rPr>
        <w:t>Recurrent national IT costs are estimated at EUR 4.5 to 12 million per year across the EU, comprising maintenance of national access points (EUR 3–7 million annually) and technical assistance and troubleshooting (EUR 1.5–5 million annually). These estimates are based on standard industry benchmarks for maintenance (20–28% of development costs) and on expected increases in user support needs resulting from a broader and more heterogeneous user base.</w:t>
      </w:r>
    </w:p>
    <w:p w14:paraId="5D28124C" w14:textId="19F87CBF" w:rsidR="00416A19" w:rsidRDefault="4AAD10D7" w:rsidP="00416A19">
      <w:pPr>
        <w:rPr>
          <w:noProof/>
        </w:rPr>
      </w:pPr>
      <w:r>
        <w:rPr>
          <w:noProof/>
        </w:rPr>
        <w:t xml:space="preserve">The administrative burden for tax authorities associated with TIN validation is expected to be significantly reduced compared to a tax-administration-only validation model. </w:t>
      </w:r>
      <w:r w:rsidR="7BFE5DFF">
        <w:rPr>
          <w:noProof/>
        </w:rPr>
        <w:t>R</w:t>
      </w:r>
      <w:r>
        <w:rPr>
          <w:noProof/>
        </w:rPr>
        <w:t xml:space="preserve">eporting entities would perform a share of validations voluntarily, reducing the volume of TINs to be processed by tax authorities. </w:t>
      </w:r>
      <w:r w:rsidR="5C62AFC6">
        <w:rPr>
          <w:noProof/>
        </w:rPr>
        <w:t>R</w:t>
      </w:r>
      <w:r>
        <w:rPr>
          <w:noProof/>
        </w:rPr>
        <w:t>esidual administrative costs are estimated at EUR 1 to 6 million per year at EU level, corresponding to validation of approximately 5% to 60% of TINs not pre-validated by reporting entities.</w:t>
      </w:r>
    </w:p>
    <w:p w14:paraId="1B2C1C6D" w14:textId="63F3E7AB" w:rsidR="58F2B636" w:rsidRDefault="58F2B636" w:rsidP="4321A1A3">
      <w:pPr>
        <w:rPr>
          <w:rFonts w:eastAsia="Times New Roman"/>
          <w:noProof/>
        </w:rPr>
      </w:pPr>
      <w:r w:rsidRPr="4321A1A3">
        <w:rPr>
          <w:rFonts w:eastAsia="Times New Roman"/>
          <w:noProof/>
        </w:rPr>
        <w:t>Under this option, reporting entities would be granted access to the validation tool on a voluntary basis and would not be subject to any legal obligation to use it. As a result, no mandatory compliance costs arise for businesses. Reporting entities that choose to make use of the tool may incur certain implementation and operational costs, including IT integration and adjustments to existing processes. However, these costs are expected to be at least partially offset by reductions in other data collection and verification requirements, such as the need to obtain and report supplementary identifiers (e.g. date of birth or address) in cases of missing or inaccurate TINs. Given the voluntary nature of the instrument and the offsetting effects between additional costs and potential savings, it is not possible to provide a robust ex ante quantification of the net cost impact for reporting entities</w:t>
      </w:r>
      <w:r w:rsidR="408AB593" w:rsidRPr="4321A1A3">
        <w:rPr>
          <w:rFonts w:eastAsia="Times New Roman"/>
          <w:noProof/>
        </w:rPr>
        <w:t xml:space="preserve"> under this PO</w:t>
      </w:r>
      <w:r w:rsidRPr="4321A1A3">
        <w:rPr>
          <w:rFonts w:eastAsia="Times New Roman"/>
          <w:noProof/>
        </w:rPr>
        <w:t>.</w:t>
      </w:r>
    </w:p>
    <w:p w14:paraId="2C5CC32A" w14:textId="77777777" w:rsidR="00416A19" w:rsidRPr="002A24A2" w:rsidRDefault="00416A19" w:rsidP="003F4DC5">
      <w:pPr>
        <w:rPr>
          <w:noProof/>
        </w:rPr>
      </w:pPr>
    </w:p>
    <w:p w14:paraId="02E9569F" w14:textId="75E85184" w:rsidR="00CD2260" w:rsidRPr="009D78EC" w:rsidRDefault="00CD2260" w:rsidP="00BC14EF">
      <w:pPr>
        <w:pStyle w:val="AnnexTitle"/>
        <w:rPr>
          <w:noProof/>
        </w:rPr>
      </w:pPr>
      <w:r w:rsidRPr="00F92EAE">
        <w:rPr>
          <w:noProof/>
        </w:rPr>
        <w:br w:type="page"/>
      </w:r>
      <w:bookmarkStart w:id="72" w:name="_Toc195101111"/>
      <w:bookmarkStart w:id="73" w:name="_Toc231816738"/>
      <w:r w:rsidRPr="009D78EC">
        <w:rPr>
          <w:noProof/>
        </w:rPr>
        <w:t>Annex 5: Competitiveness check</w:t>
      </w:r>
      <w:bookmarkEnd w:id="72"/>
      <w:bookmarkEnd w:id="73"/>
    </w:p>
    <w:p w14:paraId="4CACCE61" w14:textId="59D1158C" w:rsidR="00CD2260" w:rsidRPr="00442053" w:rsidRDefault="00E95B03" w:rsidP="1599A2D9">
      <w:pPr>
        <w:rPr>
          <w:b/>
          <w:bCs/>
          <w:noProof/>
        </w:rPr>
      </w:pPr>
      <w:bookmarkStart w:id="74" w:name="_Toc195101112"/>
      <w:r w:rsidRPr="1599A2D9">
        <w:rPr>
          <w:b/>
          <w:bCs/>
          <w:noProof/>
        </w:rPr>
        <w:t xml:space="preserve">1. </w:t>
      </w:r>
      <w:r w:rsidR="00CD2260" w:rsidRPr="1599A2D9">
        <w:rPr>
          <w:b/>
          <w:bCs/>
          <w:noProof/>
        </w:rPr>
        <w:t>Overview of impacts on competitiveness</w:t>
      </w:r>
      <w:bookmarkEnd w:id="74"/>
      <w:r w:rsidR="00CD2260" w:rsidRPr="1599A2D9">
        <w:rPr>
          <w:b/>
          <w:bCs/>
          <w:noProof/>
        </w:rPr>
        <w:t xml:space="preserve"> </w:t>
      </w:r>
    </w:p>
    <w:tbl>
      <w:tblPr>
        <w:tblStyle w:val="TableGrid"/>
        <w:tblW w:w="8784" w:type="dxa"/>
        <w:tblLook w:val="04A0" w:firstRow="1" w:lastRow="0" w:firstColumn="1" w:lastColumn="0" w:noHBand="0" w:noVBand="1"/>
      </w:tblPr>
      <w:tblGrid>
        <w:gridCol w:w="3281"/>
        <w:gridCol w:w="2639"/>
        <w:gridCol w:w="2864"/>
      </w:tblGrid>
      <w:tr w:rsidR="00CD2260" w:rsidRPr="00325998" w14:paraId="3BE04B2F" w14:textId="77777777" w:rsidTr="4321A1A3">
        <w:trPr>
          <w:trHeight w:val="735"/>
        </w:trPr>
        <w:tc>
          <w:tcPr>
            <w:tcW w:w="3281" w:type="dxa"/>
            <w:vAlign w:val="center"/>
          </w:tcPr>
          <w:p w14:paraId="1C76370F" w14:textId="77777777" w:rsidR="00CD2260" w:rsidRPr="00A55ACB" w:rsidRDefault="00CD2260">
            <w:pPr>
              <w:spacing w:before="60" w:after="60"/>
              <w:jc w:val="center"/>
              <w:rPr>
                <w:b/>
                <w:noProof/>
                <w:lang w:val="en-IE"/>
              </w:rPr>
            </w:pPr>
            <w:r w:rsidRPr="00A55ACB">
              <w:rPr>
                <w:b/>
                <w:noProof/>
                <w:lang w:val="en-IE"/>
              </w:rPr>
              <w:t>Dimensions of Competitiveness</w:t>
            </w:r>
          </w:p>
        </w:tc>
        <w:tc>
          <w:tcPr>
            <w:tcW w:w="2639" w:type="dxa"/>
            <w:vAlign w:val="center"/>
          </w:tcPr>
          <w:p w14:paraId="7E2B006E" w14:textId="77777777" w:rsidR="00CD2260" w:rsidRPr="00A55ACB" w:rsidRDefault="00CD2260">
            <w:pPr>
              <w:spacing w:before="60" w:after="60"/>
              <w:jc w:val="center"/>
              <w:rPr>
                <w:b/>
                <w:noProof/>
                <w:lang w:val="en-IE"/>
              </w:rPr>
            </w:pPr>
            <w:r w:rsidRPr="00A55ACB">
              <w:rPr>
                <w:b/>
                <w:noProof/>
                <w:lang w:val="en-IE"/>
              </w:rPr>
              <w:t>Impact of the initiative</w:t>
            </w:r>
          </w:p>
          <w:p w14:paraId="52BC6ED3" w14:textId="77777777" w:rsidR="00CD2260" w:rsidRPr="00A55ACB" w:rsidRDefault="00CD2260" w:rsidP="1599A2D9">
            <w:pPr>
              <w:spacing w:before="60" w:after="60"/>
              <w:jc w:val="center"/>
              <w:rPr>
                <w:b/>
                <w:bCs/>
                <w:noProof/>
                <w:lang w:val="en-IE"/>
              </w:rPr>
            </w:pPr>
            <w:r w:rsidRPr="1599A2D9">
              <w:rPr>
                <w:b/>
                <w:bCs/>
                <w:noProof/>
                <w:lang w:val="en-IE"/>
              </w:rPr>
              <w:t>(++ / + / 0 / - / -- / n.a.)</w:t>
            </w:r>
          </w:p>
        </w:tc>
        <w:tc>
          <w:tcPr>
            <w:tcW w:w="2864" w:type="dxa"/>
            <w:vAlign w:val="center"/>
          </w:tcPr>
          <w:p w14:paraId="21F48007" w14:textId="77777777" w:rsidR="00CD2260" w:rsidRPr="00A55ACB" w:rsidRDefault="00CD2260">
            <w:pPr>
              <w:spacing w:before="60" w:after="60"/>
              <w:jc w:val="center"/>
              <w:rPr>
                <w:b/>
                <w:noProof/>
                <w:lang w:val="en-IE"/>
              </w:rPr>
            </w:pPr>
            <w:r w:rsidRPr="00A55ACB">
              <w:rPr>
                <w:b/>
                <w:noProof/>
                <w:lang w:val="en-IE"/>
              </w:rPr>
              <w:t>References to sub-section</w:t>
            </w:r>
            <w:r>
              <w:rPr>
                <w:b/>
                <w:noProof/>
                <w:lang w:val="en-IE"/>
              </w:rPr>
              <w:t>s</w:t>
            </w:r>
            <w:r w:rsidRPr="00A55ACB">
              <w:rPr>
                <w:b/>
                <w:noProof/>
                <w:lang w:val="en-IE"/>
              </w:rPr>
              <w:t xml:space="preserve"> of the </w:t>
            </w:r>
            <w:r>
              <w:rPr>
                <w:b/>
                <w:noProof/>
                <w:lang w:val="en-IE"/>
              </w:rPr>
              <w:t xml:space="preserve">main </w:t>
            </w:r>
            <w:r w:rsidRPr="00A55ACB">
              <w:rPr>
                <w:b/>
                <w:noProof/>
                <w:lang w:val="en-IE"/>
              </w:rPr>
              <w:t>report</w:t>
            </w:r>
            <w:r>
              <w:rPr>
                <w:b/>
                <w:noProof/>
                <w:lang w:val="en-IE"/>
              </w:rPr>
              <w:t xml:space="preserve"> or annexes</w:t>
            </w:r>
          </w:p>
        </w:tc>
      </w:tr>
      <w:tr w:rsidR="00CD2260" w:rsidRPr="001A1423" w14:paraId="12E7EFD7" w14:textId="77777777" w:rsidTr="4321A1A3">
        <w:tc>
          <w:tcPr>
            <w:tcW w:w="3281" w:type="dxa"/>
            <w:vAlign w:val="center"/>
          </w:tcPr>
          <w:p w14:paraId="26B11E38" w14:textId="77777777" w:rsidR="00CD2260" w:rsidRPr="00B65D4D" w:rsidRDefault="00CD2260">
            <w:pPr>
              <w:spacing w:before="60" w:after="60"/>
              <w:rPr>
                <w:noProof/>
                <w:lang w:val="en-IE"/>
              </w:rPr>
            </w:pPr>
            <w:r>
              <w:rPr>
                <w:noProof/>
                <w:lang w:val="en-IE"/>
              </w:rPr>
              <w:t>Cost and price competitiveness</w:t>
            </w:r>
          </w:p>
        </w:tc>
        <w:tc>
          <w:tcPr>
            <w:tcW w:w="2639" w:type="dxa"/>
            <w:vAlign w:val="center"/>
          </w:tcPr>
          <w:p w14:paraId="73E12381" w14:textId="77777777" w:rsidR="00CD2260" w:rsidRPr="00B65D4D" w:rsidRDefault="00CD2260">
            <w:pPr>
              <w:spacing w:before="60" w:after="60"/>
              <w:jc w:val="center"/>
              <w:rPr>
                <w:noProof/>
                <w:lang w:val="en-IE"/>
              </w:rPr>
            </w:pPr>
            <w:r>
              <w:rPr>
                <w:noProof/>
                <w:lang w:val="en-IE"/>
              </w:rPr>
              <w:t>++</w:t>
            </w:r>
          </w:p>
        </w:tc>
        <w:tc>
          <w:tcPr>
            <w:tcW w:w="2864" w:type="dxa"/>
            <w:vAlign w:val="center"/>
          </w:tcPr>
          <w:p w14:paraId="1F1C11EA" w14:textId="77777777" w:rsidR="00CD2260" w:rsidRPr="00B65D4D" w:rsidRDefault="00CD2260">
            <w:pPr>
              <w:spacing w:before="60" w:after="60"/>
              <w:jc w:val="center"/>
              <w:rPr>
                <w:noProof/>
                <w:lang w:val="en-IE"/>
              </w:rPr>
            </w:pPr>
            <w:r>
              <w:rPr>
                <w:noProof/>
                <w:lang w:val="en-IE"/>
              </w:rPr>
              <w:t>Chapters 5, 6, 7</w:t>
            </w:r>
          </w:p>
        </w:tc>
      </w:tr>
      <w:tr w:rsidR="00CD2260" w:rsidRPr="00F76223" w14:paraId="5D86D6D0" w14:textId="77777777" w:rsidTr="4321A1A3">
        <w:tc>
          <w:tcPr>
            <w:tcW w:w="3281" w:type="dxa"/>
            <w:vAlign w:val="center"/>
          </w:tcPr>
          <w:p w14:paraId="66E8B690" w14:textId="77777777" w:rsidR="00CD2260" w:rsidRPr="00B65D4D" w:rsidRDefault="00CD2260">
            <w:pPr>
              <w:spacing w:before="60" w:after="60"/>
              <w:rPr>
                <w:noProof/>
                <w:lang w:val="en-IE"/>
              </w:rPr>
            </w:pPr>
            <w:r>
              <w:rPr>
                <w:noProof/>
                <w:lang w:val="en-IE"/>
              </w:rPr>
              <w:t xml:space="preserve">International competitiveness </w:t>
            </w:r>
          </w:p>
        </w:tc>
        <w:tc>
          <w:tcPr>
            <w:tcW w:w="2639" w:type="dxa"/>
            <w:vAlign w:val="center"/>
          </w:tcPr>
          <w:p w14:paraId="08B099A4" w14:textId="77777777" w:rsidR="00CD2260" w:rsidRPr="00B65D4D" w:rsidRDefault="00CD2260">
            <w:pPr>
              <w:spacing w:before="60" w:after="60"/>
              <w:jc w:val="center"/>
              <w:rPr>
                <w:noProof/>
                <w:lang w:val="en-IE"/>
              </w:rPr>
            </w:pPr>
            <w:r>
              <w:rPr>
                <w:noProof/>
                <w:lang w:val="en-IE"/>
              </w:rPr>
              <w:t>+</w:t>
            </w:r>
          </w:p>
        </w:tc>
        <w:tc>
          <w:tcPr>
            <w:tcW w:w="2864" w:type="dxa"/>
            <w:vAlign w:val="center"/>
          </w:tcPr>
          <w:p w14:paraId="7A02EE8F" w14:textId="77777777" w:rsidR="00CD2260" w:rsidRPr="00B65D4D" w:rsidRDefault="00CD2260">
            <w:pPr>
              <w:spacing w:before="60" w:after="60"/>
              <w:jc w:val="center"/>
              <w:rPr>
                <w:noProof/>
                <w:lang w:val="en-IE"/>
              </w:rPr>
            </w:pPr>
            <w:r>
              <w:rPr>
                <w:noProof/>
                <w:lang w:val="en-IE"/>
              </w:rPr>
              <w:t>Chapters 5, 6, 7</w:t>
            </w:r>
          </w:p>
        </w:tc>
      </w:tr>
      <w:tr w:rsidR="00CD2260" w:rsidRPr="002A40AC" w14:paraId="6916D40F" w14:textId="77777777" w:rsidTr="4321A1A3">
        <w:tc>
          <w:tcPr>
            <w:tcW w:w="3281" w:type="dxa"/>
            <w:vAlign w:val="center"/>
          </w:tcPr>
          <w:p w14:paraId="18EBD4F0" w14:textId="77777777" w:rsidR="00CD2260" w:rsidRPr="00B65D4D" w:rsidRDefault="00CD2260">
            <w:pPr>
              <w:spacing w:before="60" w:after="60"/>
              <w:rPr>
                <w:noProof/>
                <w:lang w:val="en-IE"/>
              </w:rPr>
            </w:pPr>
            <w:r>
              <w:rPr>
                <w:noProof/>
                <w:lang w:val="en-IE"/>
              </w:rPr>
              <w:t>Capacity to innovate</w:t>
            </w:r>
          </w:p>
        </w:tc>
        <w:tc>
          <w:tcPr>
            <w:tcW w:w="2639" w:type="dxa"/>
            <w:vAlign w:val="center"/>
          </w:tcPr>
          <w:p w14:paraId="2A54B9D4" w14:textId="77777777" w:rsidR="00CD2260" w:rsidRPr="00B65D4D" w:rsidRDefault="00CD2260">
            <w:pPr>
              <w:spacing w:before="60" w:after="60"/>
              <w:jc w:val="center"/>
              <w:rPr>
                <w:noProof/>
                <w:lang w:val="en-IE"/>
              </w:rPr>
            </w:pPr>
            <w:r>
              <w:rPr>
                <w:noProof/>
                <w:lang w:val="en-IE"/>
              </w:rPr>
              <w:t>++</w:t>
            </w:r>
          </w:p>
        </w:tc>
        <w:tc>
          <w:tcPr>
            <w:tcW w:w="2864" w:type="dxa"/>
            <w:vAlign w:val="center"/>
          </w:tcPr>
          <w:p w14:paraId="0F69CE2A" w14:textId="77777777" w:rsidR="00CD2260" w:rsidRPr="00B65D4D" w:rsidRDefault="00CD2260">
            <w:pPr>
              <w:spacing w:before="60" w:after="60"/>
              <w:jc w:val="center"/>
              <w:rPr>
                <w:noProof/>
                <w:lang w:val="en-IE"/>
              </w:rPr>
            </w:pPr>
            <w:r>
              <w:rPr>
                <w:noProof/>
                <w:lang w:val="en-IE"/>
              </w:rPr>
              <w:t>Chapters 5, 6, 7</w:t>
            </w:r>
          </w:p>
        </w:tc>
      </w:tr>
      <w:tr w:rsidR="00CD2260" w:rsidRPr="00682D9D" w14:paraId="75680DDC" w14:textId="77777777" w:rsidTr="4321A1A3">
        <w:tc>
          <w:tcPr>
            <w:tcW w:w="3281" w:type="dxa"/>
            <w:vAlign w:val="center"/>
          </w:tcPr>
          <w:p w14:paraId="2BD22322" w14:textId="77777777" w:rsidR="00CD2260" w:rsidRPr="00B65D4D" w:rsidRDefault="00CD2260">
            <w:pPr>
              <w:spacing w:before="60" w:after="60"/>
              <w:rPr>
                <w:noProof/>
                <w:lang w:val="en-IE"/>
              </w:rPr>
            </w:pPr>
            <w:r>
              <w:rPr>
                <w:noProof/>
                <w:lang w:val="en-IE"/>
              </w:rPr>
              <w:t>SME competitiveness</w:t>
            </w:r>
          </w:p>
        </w:tc>
        <w:tc>
          <w:tcPr>
            <w:tcW w:w="2639" w:type="dxa"/>
            <w:vAlign w:val="center"/>
          </w:tcPr>
          <w:p w14:paraId="379AA778" w14:textId="77777777" w:rsidR="00CD2260" w:rsidRPr="00B65D4D" w:rsidRDefault="00CD2260">
            <w:pPr>
              <w:spacing w:before="60" w:after="60"/>
              <w:jc w:val="center"/>
              <w:rPr>
                <w:noProof/>
                <w:lang w:val="en-IE"/>
              </w:rPr>
            </w:pPr>
            <w:r>
              <w:rPr>
                <w:noProof/>
                <w:lang w:val="en-IE"/>
              </w:rPr>
              <w:t>+</w:t>
            </w:r>
          </w:p>
        </w:tc>
        <w:tc>
          <w:tcPr>
            <w:tcW w:w="2864" w:type="dxa"/>
            <w:vAlign w:val="center"/>
          </w:tcPr>
          <w:p w14:paraId="43177172" w14:textId="77777777" w:rsidR="00CD2260" w:rsidRPr="00B65D4D" w:rsidRDefault="00CD2260">
            <w:pPr>
              <w:spacing w:before="60" w:after="60"/>
              <w:jc w:val="center"/>
              <w:rPr>
                <w:noProof/>
                <w:lang w:val="en-IE"/>
              </w:rPr>
            </w:pPr>
            <w:r>
              <w:rPr>
                <w:noProof/>
                <w:lang w:val="en-IE"/>
              </w:rPr>
              <w:t>Chapters 5, 6, 7</w:t>
            </w:r>
          </w:p>
        </w:tc>
      </w:tr>
    </w:tbl>
    <w:p w14:paraId="33E89CE5" w14:textId="77777777" w:rsidR="00CD2260" w:rsidRDefault="00CD2260" w:rsidP="00CD2260">
      <w:pPr>
        <w:rPr>
          <w:b/>
          <w:bCs/>
          <w:noProof/>
          <w:u w:val="single"/>
          <w:lang w:val="en-IE"/>
        </w:rPr>
      </w:pPr>
    </w:p>
    <w:p w14:paraId="7DD7CD49" w14:textId="6E99D307" w:rsidR="00CD2260" w:rsidRPr="00442053" w:rsidRDefault="00E95B03" w:rsidP="1599A2D9">
      <w:pPr>
        <w:rPr>
          <w:b/>
          <w:bCs/>
          <w:noProof/>
        </w:rPr>
      </w:pPr>
      <w:bookmarkStart w:id="75" w:name="_Toc195101113"/>
      <w:r w:rsidRPr="1599A2D9">
        <w:rPr>
          <w:b/>
          <w:bCs/>
          <w:noProof/>
        </w:rPr>
        <w:t xml:space="preserve">2. </w:t>
      </w:r>
      <w:r w:rsidR="00CD2260" w:rsidRPr="1599A2D9">
        <w:rPr>
          <w:b/>
          <w:bCs/>
          <w:noProof/>
        </w:rPr>
        <w:t>Synthetic assessment</w:t>
      </w:r>
      <w:bookmarkEnd w:id="75"/>
      <w:r w:rsidR="00CD2260" w:rsidRPr="1599A2D9">
        <w:rPr>
          <w:b/>
          <w:bCs/>
          <w:noProof/>
        </w:rPr>
        <w:t xml:space="preserve"> </w:t>
      </w:r>
    </w:p>
    <w:p w14:paraId="5AEB7064" w14:textId="43074878" w:rsidR="00CD2260" w:rsidRDefault="00CD2260" w:rsidP="00CD2260">
      <w:pPr>
        <w:rPr>
          <w:noProof/>
        </w:rPr>
      </w:pPr>
      <w:r>
        <w:rPr>
          <w:noProof/>
        </w:rPr>
        <w:t xml:space="preserve">The preferred options are expected to have a positive overall impact on competitiveness. By simplifying and streamlining reporting and notification obligations across several DAC instruments, the initiative reduces administrative burdens and recurring compliance costs for </w:t>
      </w:r>
      <w:r w:rsidR="7DFBC121">
        <w:rPr>
          <w:noProof/>
        </w:rPr>
        <w:t xml:space="preserve">businesses </w:t>
      </w:r>
      <w:r>
        <w:rPr>
          <w:noProof/>
        </w:rPr>
        <w:t xml:space="preserve">operating within the </w:t>
      </w:r>
      <w:r w:rsidR="270E1430">
        <w:rPr>
          <w:noProof/>
        </w:rPr>
        <w:t>I</w:t>
      </w:r>
      <w:r>
        <w:rPr>
          <w:noProof/>
        </w:rPr>
        <w:t xml:space="preserve">nternal </w:t>
      </w:r>
      <w:r w:rsidR="3582C17C">
        <w:rPr>
          <w:noProof/>
        </w:rPr>
        <w:t>M</w:t>
      </w:r>
      <w:r>
        <w:rPr>
          <w:noProof/>
        </w:rPr>
        <w:t>arket. The removal of certain reporting requirements, the clarification of legal concepts, and the reduction of duplication in reporting and notification processes are expected to improve legal certainty and reduce operational complexity.</w:t>
      </w:r>
    </w:p>
    <w:p w14:paraId="1543845F" w14:textId="0D578699" w:rsidR="00CD2260" w:rsidRDefault="00CD2260" w:rsidP="00CD2260">
      <w:pPr>
        <w:rPr>
          <w:noProof/>
        </w:rPr>
      </w:pPr>
      <w:r>
        <w:rPr>
          <w:noProof/>
        </w:rPr>
        <w:t xml:space="preserve">These changes are likely to strengthen </w:t>
      </w:r>
      <w:r w:rsidR="711CE28B">
        <w:rPr>
          <w:noProof/>
        </w:rPr>
        <w:t>business</w:t>
      </w:r>
      <w:r>
        <w:rPr>
          <w:noProof/>
        </w:rPr>
        <w:t xml:space="preserve">’ cost competitiveness by lowering fixed compliance costs and reducing the need for external advisory services. In addition, greater consistency in the application of rules across Member States is expected to facilitate cross-border business activities and reduce frictions associated with divergent national practices as well as regulatory arbitrage. This is expected to contribute to a more efficient functioning of the </w:t>
      </w:r>
      <w:r w:rsidR="62609D78">
        <w:rPr>
          <w:noProof/>
        </w:rPr>
        <w:t>I</w:t>
      </w:r>
      <w:r>
        <w:rPr>
          <w:noProof/>
        </w:rPr>
        <w:t xml:space="preserve">nternal </w:t>
      </w:r>
      <w:r w:rsidR="7932F50D">
        <w:rPr>
          <w:noProof/>
        </w:rPr>
        <w:t>M</w:t>
      </w:r>
      <w:r>
        <w:rPr>
          <w:noProof/>
        </w:rPr>
        <w:t xml:space="preserve">arket and improve the overall business environment for EU </w:t>
      </w:r>
      <w:r w:rsidR="51CCF2A4">
        <w:rPr>
          <w:noProof/>
        </w:rPr>
        <w:t>businesses</w:t>
      </w:r>
      <w:r>
        <w:rPr>
          <w:noProof/>
        </w:rPr>
        <w:t>.</w:t>
      </w:r>
    </w:p>
    <w:p w14:paraId="5A39F465" w14:textId="7FB7B969" w:rsidR="00CD2260" w:rsidRPr="005520EA" w:rsidRDefault="00CD2260" w:rsidP="00CD2260">
      <w:pPr>
        <w:rPr>
          <w:noProof/>
        </w:rPr>
      </w:pPr>
      <w:r>
        <w:rPr>
          <w:noProof/>
        </w:rPr>
        <w:t xml:space="preserve">While the initiative does not directly target innovation, the reduction in compliance costs will free up financial and administrative resources that can be dedicated to support investment and growth. These resources may be reallocated to productive activities, including digitalisation, expansion or innovation-related investments, depending on </w:t>
      </w:r>
      <w:r w:rsidR="47D35600">
        <w:rPr>
          <w:noProof/>
        </w:rPr>
        <w:t>company</w:t>
      </w:r>
      <w:r>
        <w:rPr>
          <w:noProof/>
        </w:rPr>
        <w:t>-specific decisions.</w:t>
      </w:r>
    </w:p>
    <w:p w14:paraId="7C61B642" w14:textId="47276F1C" w:rsidR="00CD2260" w:rsidRPr="00442053" w:rsidRDefault="00E95B03" w:rsidP="1599A2D9">
      <w:pPr>
        <w:rPr>
          <w:b/>
          <w:bCs/>
          <w:noProof/>
        </w:rPr>
      </w:pPr>
      <w:bookmarkStart w:id="76" w:name="_Toc195101114"/>
      <w:r w:rsidRPr="1599A2D9">
        <w:rPr>
          <w:b/>
          <w:bCs/>
          <w:noProof/>
        </w:rPr>
        <w:t xml:space="preserve">3. </w:t>
      </w:r>
      <w:r w:rsidR="00CD2260" w:rsidRPr="1599A2D9">
        <w:rPr>
          <w:b/>
          <w:bCs/>
          <w:noProof/>
        </w:rPr>
        <w:t>Competitive position of the most affected sectors</w:t>
      </w:r>
      <w:bookmarkEnd w:id="76"/>
    </w:p>
    <w:p w14:paraId="4B99ED93" w14:textId="41BF0054" w:rsidR="00CD2260" w:rsidRDefault="00CD2260" w:rsidP="00CD2260">
      <w:pPr>
        <w:spacing w:after="200" w:line="276" w:lineRule="auto"/>
        <w:rPr>
          <w:noProof/>
        </w:rPr>
      </w:pPr>
      <w:r>
        <w:rPr>
          <w:noProof/>
        </w:rPr>
        <w:t xml:space="preserve">The initiative is horizontal in nature and does not target specific sectors. It applies broadly to </w:t>
      </w:r>
      <w:r w:rsidR="540C6749">
        <w:rPr>
          <w:noProof/>
        </w:rPr>
        <w:t xml:space="preserve">businesses </w:t>
      </w:r>
      <w:r>
        <w:rPr>
          <w:noProof/>
        </w:rPr>
        <w:t>subject to reporting obligations under the DAC framework. However, the impact is expected to be more pronounced in sectors with a higher exposure to cross-border transactions, complex organisational structures or platform-based business models.</w:t>
      </w:r>
    </w:p>
    <w:p w14:paraId="6B3BF3F2" w14:textId="6E1CA5B7" w:rsidR="00CD2260" w:rsidRDefault="00CD2260" w:rsidP="00CD2260">
      <w:pPr>
        <w:spacing w:after="200" w:line="276" w:lineRule="auto"/>
        <w:rPr>
          <w:noProof/>
        </w:rPr>
      </w:pPr>
      <w:r>
        <w:rPr>
          <w:noProof/>
        </w:rPr>
        <w:t xml:space="preserve">In particular, </w:t>
      </w:r>
      <w:r w:rsidR="643C70BC">
        <w:rPr>
          <w:noProof/>
        </w:rPr>
        <w:t>MNE</w:t>
      </w:r>
      <w:r>
        <w:rPr>
          <w:noProof/>
        </w:rPr>
        <w:t xml:space="preserve"> groups engaged in cross-border activities may benefit from reduced duplication in notification and reporting requirements (notably under DAC4 </w:t>
      </w:r>
      <w:r w:rsidR="002A24A2">
        <w:rPr>
          <w:noProof/>
        </w:rPr>
        <w:t xml:space="preserve">and </w:t>
      </w:r>
      <w:r w:rsidR="00715B1E">
        <w:rPr>
          <w:noProof/>
        </w:rPr>
        <w:t>DAC9</w:t>
      </w:r>
      <w:r>
        <w:rPr>
          <w:noProof/>
        </w:rPr>
        <w:t>) and from increased legal clarity under DAC6. Similarly, digital platform operators subject to DAC7 reporting obligations are expected to benefit from simplified thresholds and reduced reporting scope, particularly where large volumes of low-value transactions are currently captured.</w:t>
      </w:r>
    </w:p>
    <w:p w14:paraId="14FD158B" w14:textId="1836A109" w:rsidR="007726CB" w:rsidRDefault="00CD2260" w:rsidP="0015779D">
      <w:pPr>
        <w:rPr>
          <w:noProof/>
        </w:rPr>
      </w:pPr>
      <w:r>
        <w:rPr>
          <w:noProof/>
        </w:rPr>
        <w:t xml:space="preserve">It should be noted that SMEs and smaller </w:t>
      </w:r>
      <w:r w:rsidR="612DDE2C">
        <w:rPr>
          <w:noProof/>
        </w:rPr>
        <w:t xml:space="preserve">businesses </w:t>
      </w:r>
      <w:r>
        <w:rPr>
          <w:noProof/>
        </w:rPr>
        <w:t xml:space="preserve">are generally less engaged in cross-border activities and are therefore, both in absolute and relative terms, less frequently captured by DAC reporting obligations compared to large </w:t>
      </w:r>
      <w:r w:rsidR="1C428FE4">
        <w:rPr>
          <w:noProof/>
        </w:rPr>
        <w:t>MNE</w:t>
      </w:r>
      <w:r>
        <w:rPr>
          <w:noProof/>
        </w:rPr>
        <w:t xml:space="preserve">s. As a result, they are, to some extent, in a more favourable starting position under the baseline. At the same time, while the initiative does not include SME-specific measures, SMEs and smaller </w:t>
      </w:r>
      <w:r w:rsidR="19FBC58B">
        <w:rPr>
          <w:noProof/>
        </w:rPr>
        <w:t xml:space="preserve">businesses </w:t>
      </w:r>
      <w:r>
        <w:rPr>
          <w:noProof/>
        </w:rPr>
        <w:t xml:space="preserve">are still expected to benefit from the proposed simplifications alongside larger </w:t>
      </w:r>
      <w:r w:rsidR="1E7B6AF8">
        <w:rPr>
          <w:noProof/>
        </w:rPr>
        <w:t>businesses</w:t>
      </w:r>
      <w:r>
        <w:rPr>
          <w:noProof/>
        </w:rPr>
        <w:t xml:space="preserve">. In addition, SMEs are likely to benefit disproportionately in relative terms, as compliance costs tend to represent a higher share of their operating costs. The reduction in administrative burdens may therefore improve their ability to participate in cross-border economic activities within the </w:t>
      </w:r>
      <w:r w:rsidR="2DEBB318">
        <w:rPr>
          <w:noProof/>
        </w:rPr>
        <w:t>I</w:t>
      </w:r>
      <w:r>
        <w:rPr>
          <w:noProof/>
        </w:rPr>
        <w:t xml:space="preserve">nternal </w:t>
      </w:r>
      <w:r w:rsidR="0E8B7C67">
        <w:rPr>
          <w:noProof/>
        </w:rPr>
        <w:t>M</w:t>
      </w:r>
      <w:r>
        <w:rPr>
          <w:noProof/>
        </w:rPr>
        <w:t>arket.</w:t>
      </w:r>
    </w:p>
    <w:p w14:paraId="0AD30EE4" w14:textId="47356ABA" w:rsidR="00CD2260" w:rsidRDefault="00CD2260" w:rsidP="007726CB">
      <w:pPr>
        <w:pStyle w:val="AnnexTitle"/>
        <w:rPr>
          <w:noProof/>
        </w:rPr>
      </w:pPr>
      <w:r>
        <w:rPr>
          <w:noProof/>
        </w:rPr>
        <w:br w:type="page"/>
      </w:r>
      <w:bookmarkStart w:id="77" w:name="_Toc231816739"/>
      <w:bookmarkStart w:id="78" w:name="_Toc195101115"/>
      <w:r>
        <w:rPr>
          <w:noProof/>
        </w:rPr>
        <w:t>Annex 6: SME check</w:t>
      </w:r>
      <w:bookmarkEnd w:id="77"/>
      <w:r>
        <w:rPr>
          <w:noProof/>
        </w:rPr>
        <w:t xml:space="preserve"> </w:t>
      </w:r>
      <w:bookmarkEnd w:id="78"/>
    </w:p>
    <w:p w14:paraId="5DEEFD98" w14:textId="77777777" w:rsidR="00CD2260" w:rsidRPr="00830FDC" w:rsidRDefault="00CD2260" w:rsidP="00E95B03">
      <w:pPr>
        <w:rPr>
          <w:b/>
          <w:bCs/>
          <w:noProof/>
        </w:rPr>
      </w:pPr>
      <w:r w:rsidRPr="00830FDC">
        <w:rPr>
          <w:b/>
          <w:bCs/>
          <w:noProof/>
        </w:rPr>
        <w:t>Overview of impacts on SMEs</w:t>
      </w:r>
    </w:p>
    <w:tbl>
      <w:tblPr>
        <w:tblStyle w:val="TableGrid"/>
        <w:tblW w:w="0" w:type="auto"/>
        <w:tblInd w:w="-34" w:type="dxa"/>
        <w:tblLook w:val="04A0" w:firstRow="1" w:lastRow="0" w:firstColumn="1" w:lastColumn="0" w:noHBand="0" w:noVBand="1"/>
      </w:tblPr>
      <w:tblGrid>
        <w:gridCol w:w="8785"/>
      </w:tblGrid>
      <w:tr w:rsidR="00442053" w:rsidRPr="00AF61BA" w14:paraId="64991AAF" w14:textId="77777777" w:rsidTr="4321A1A3">
        <w:tc>
          <w:tcPr>
            <w:tcW w:w="9322" w:type="dxa"/>
          </w:tcPr>
          <w:p w14:paraId="56A07443" w14:textId="77777777" w:rsidR="00442053" w:rsidRPr="00AF61BA" w:rsidRDefault="00442053">
            <w:pPr>
              <w:pStyle w:val="ListParagraph"/>
              <w:ind w:left="0"/>
              <w:rPr>
                <w:b/>
                <w:bCs/>
                <w:noProof/>
                <w:color w:val="000000" w:themeColor="text1"/>
              </w:rPr>
            </w:pPr>
            <w:r w:rsidRPr="4E03C77D">
              <w:rPr>
                <w:b/>
                <w:bCs/>
                <w:noProof/>
                <w:color w:val="000000" w:themeColor="text1"/>
              </w:rPr>
              <w:t xml:space="preserve">Relevance for SMEs </w:t>
            </w:r>
          </w:p>
        </w:tc>
      </w:tr>
      <w:tr w:rsidR="00442053" w:rsidRPr="00AF61BA" w14:paraId="78F8DDA1" w14:textId="77777777" w:rsidTr="4321A1A3">
        <w:tc>
          <w:tcPr>
            <w:tcW w:w="9322" w:type="dxa"/>
          </w:tcPr>
          <w:p w14:paraId="334819FC" w14:textId="4AEDC9DC" w:rsidR="00442053" w:rsidRDefault="670E612B" w:rsidP="4321A1A3">
            <w:pPr>
              <w:pStyle w:val="ListParagraph"/>
              <w:ind w:left="0"/>
              <w:rPr>
                <w:i/>
                <w:iCs/>
                <w:noProof/>
                <w:color w:val="000000" w:themeColor="text1"/>
              </w:rPr>
            </w:pPr>
            <w:r w:rsidRPr="4321A1A3">
              <w:rPr>
                <w:i/>
                <w:iCs/>
                <w:noProof/>
                <w:color w:val="000000" w:themeColor="text1"/>
              </w:rPr>
              <w:t xml:space="preserve">The initiative is relevant for SMEs as tax compliance costs generally impose a proportionally higher burden on smaller </w:t>
            </w:r>
            <w:r w:rsidR="55F73232" w:rsidRPr="4321A1A3">
              <w:rPr>
                <w:i/>
                <w:iCs/>
                <w:noProof/>
              </w:rPr>
              <w:t xml:space="preserve">businesses </w:t>
            </w:r>
            <w:r w:rsidRPr="4321A1A3">
              <w:rPr>
                <w:i/>
                <w:iCs/>
                <w:noProof/>
                <w:color w:val="000000" w:themeColor="text1"/>
              </w:rPr>
              <w:t xml:space="preserve">compared to large enterprises. While the DAC Recast does not introduce SME-specific exemptions, it aims at simplifying and streamlining reporting and notification obligations under several DAC instruments. These simplifications are expected to reduce administrative complexity, legal uncertainty and recurring compliance costs for </w:t>
            </w:r>
            <w:r w:rsidRPr="4321A1A3">
              <w:rPr>
                <w:i/>
                <w:iCs/>
                <w:noProof/>
              </w:rPr>
              <w:t xml:space="preserve">all </w:t>
            </w:r>
            <w:r w:rsidR="0647A8AC" w:rsidRPr="4321A1A3">
              <w:rPr>
                <w:i/>
                <w:iCs/>
                <w:noProof/>
              </w:rPr>
              <w:t>businesses</w:t>
            </w:r>
            <w:r w:rsidRPr="4321A1A3">
              <w:rPr>
                <w:i/>
                <w:iCs/>
                <w:noProof/>
                <w:color w:val="000000" w:themeColor="text1"/>
              </w:rPr>
              <w:t>, including SMEs.</w:t>
            </w:r>
          </w:p>
          <w:p w14:paraId="7019B694" w14:textId="019FFD35" w:rsidR="00442053" w:rsidRPr="00251FA1" w:rsidRDefault="670E612B" w:rsidP="4321A1A3">
            <w:pPr>
              <w:rPr>
                <w:i/>
                <w:iCs/>
                <w:noProof/>
                <w:color w:val="000000" w:themeColor="text1"/>
              </w:rPr>
            </w:pPr>
            <w:r w:rsidRPr="4321A1A3">
              <w:rPr>
                <w:i/>
                <w:iCs/>
                <w:noProof/>
                <w:color w:val="000000" w:themeColor="text1"/>
              </w:rPr>
              <w:t xml:space="preserve">Evidence from DAC6 reporting suggests that, among taxpayer-filed reports, only a limited share (approximately 7–9%) is attributable to </w:t>
            </w:r>
            <w:r w:rsidR="002A24A2" w:rsidRPr="4321A1A3">
              <w:rPr>
                <w:i/>
                <w:iCs/>
                <w:noProof/>
                <w:color w:val="000000" w:themeColor="text1"/>
              </w:rPr>
              <w:t>large MNE</w:t>
            </w:r>
            <w:r w:rsidRPr="4321A1A3">
              <w:rPr>
                <w:i/>
                <w:iCs/>
                <w:noProof/>
                <w:color w:val="000000" w:themeColor="text1"/>
              </w:rPr>
              <w:t xml:space="preserve"> groups within the scope of Pillar </w:t>
            </w:r>
            <w:r w:rsidR="62AFBA63" w:rsidRPr="4321A1A3">
              <w:rPr>
                <w:i/>
                <w:iCs/>
                <w:noProof/>
                <w:color w:val="000000" w:themeColor="text1"/>
              </w:rPr>
              <w:t>2</w:t>
            </w:r>
            <w:r w:rsidRPr="4321A1A3">
              <w:rPr>
                <w:i/>
                <w:iCs/>
                <w:noProof/>
                <w:color w:val="000000" w:themeColor="text1"/>
              </w:rPr>
              <w:t xml:space="preserve">. This implies that the majority of reporting </w:t>
            </w:r>
            <w:r w:rsidR="6188DDD3" w:rsidRPr="4321A1A3">
              <w:rPr>
                <w:i/>
                <w:iCs/>
                <w:noProof/>
                <w:color w:val="000000" w:themeColor="text1"/>
              </w:rPr>
              <w:t xml:space="preserve">companies </w:t>
            </w:r>
            <w:r w:rsidRPr="4321A1A3">
              <w:rPr>
                <w:i/>
                <w:iCs/>
                <w:noProof/>
                <w:color w:val="000000" w:themeColor="text1"/>
              </w:rPr>
              <w:t xml:space="preserve">are outside this group and include a significant number of SMEs. </w:t>
            </w:r>
            <w:r w:rsidR="19D6CD8B" w:rsidRPr="4321A1A3">
              <w:rPr>
                <w:i/>
                <w:iCs/>
                <w:noProof/>
                <w:color w:val="000000" w:themeColor="text1"/>
              </w:rPr>
              <w:t xml:space="preserve">For example, the share of </w:t>
            </w:r>
            <w:r w:rsidR="7B5E620A" w:rsidRPr="4321A1A3">
              <w:rPr>
                <w:i/>
                <w:iCs/>
                <w:noProof/>
                <w:color w:val="000000" w:themeColor="text1"/>
              </w:rPr>
              <w:t>SMEs, i.e. those with less than 50 employees, in all European MNEs</w:t>
            </w:r>
            <w:r w:rsidR="46EF956D" w:rsidRPr="4321A1A3">
              <w:rPr>
                <w:i/>
                <w:iCs/>
                <w:noProof/>
                <w:color w:val="000000" w:themeColor="text1"/>
              </w:rPr>
              <w:t xml:space="preserve"> accounts to as much as two thirds of the total</w:t>
            </w:r>
            <w:r w:rsidR="68547710" w:rsidRPr="4321A1A3">
              <w:rPr>
                <w:i/>
                <w:iCs/>
                <w:noProof/>
                <w:color w:val="000000" w:themeColor="text1"/>
              </w:rPr>
              <w:t>. Thus</w:t>
            </w:r>
            <w:r w:rsidRPr="4321A1A3">
              <w:rPr>
                <w:i/>
                <w:iCs/>
                <w:noProof/>
                <w:color w:val="000000" w:themeColor="text1"/>
              </w:rPr>
              <w:t>, they are directly affected by the compliance burden and are expected to benefit from its reduction.</w:t>
            </w:r>
            <w:r w:rsidR="14E1A794" w:rsidRPr="4321A1A3">
              <w:rPr>
                <w:i/>
                <w:iCs/>
                <w:noProof/>
                <w:color w:val="000000" w:themeColor="text1"/>
              </w:rPr>
              <w:t xml:space="preserve"> </w:t>
            </w:r>
            <w:r w:rsidR="00693EBC" w:rsidRPr="00693EBC">
              <w:rPr>
                <w:i/>
                <w:iCs/>
                <w:noProof/>
                <w:color w:val="000000" w:themeColor="text1"/>
              </w:rPr>
              <w:t xml:space="preserve">In addition, evidence collected through the call for evidence indicates that more than three quarters of responding companies filing DAC6 reports identified themselves as small or medium-sized enterprises. This further illustrates that SMEs </w:t>
            </w:r>
            <w:r w:rsidR="00A71492">
              <w:rPr>
                <w:i/>
                <w:iCs/>
                <w:noProof/>
                <w:color w:val="000000" w:themeColor="text1"/>
              </w:rPr>
              <w:t xml:space="preserve">potentially </w:t>
            </w:r>
            <w:r w:rsidR="00693EBC" w:rsidRPr="00693EBC">
              <w:rPr>
                <w:i/>
                <w:iCs/>
                <w:noProof/>
                <w:color w:val="000000" w:themeColor="text1"/>
              </w:rPr>
              <w:t>account for a substantial share of DAC6 reporting activity and are therefore expected to benefit significantly from the reduction in compliance burdens resulting from the proposed simplifications.</w:t>
            </w:r>
            <w:r w:rsidR="00E96222">
              <w:rPr>
                <w:i/>
                <w:iCs/>
                <w:noProof/>
                <w:color w:val="000000" w:themeColor="text1"/>
              </w:rPr>
              <w:t xml:space="preserve"> </w:t>
            </w:r>
            <w:r w:rsidR="416F9493" w:rsidRPr="4321A1A3">
              <w:rPr>
                <w:i/>
                <w:iCs/>
                <w:noProof/>
                <w:color w:val="000000" w:themeColor="text1"/>
              </w:rPr>
              <w:t>A similar pattern can be expected for platform operators under DAC7, where a substantial proportion are SMEs, which are likely to benefit directly from the simplification of reporting obligations.</w:t>
            </w:r>
          </w:p>
          <w:p w14:paraId="257E4A65" w14:textId="47FAB5F5" w:rsidR="00442053" w:rsidRPr="00AF61BA" w:rsidRDefault="00442053" w:rsidP="1599A2D9">
            <w:pPr>
              <w:pStyle w:val="ListParagraph"/>
              <w:ind w:left="0"/>
              <w:rPr>
                <w:i/>
                <w:iCs/>
                <w:noProof/>
                <w:color w:val="000000" w:themeColor="text1"/>
              </w:rPr>
            </w:pPr>
            <w:r w:rsidRPr="1599A2D9">
              <w:rPr>
                <w:i/>
                <w:iCs/>
                <w:noProof/>
                <w:color w:val="000000" w:themeColor="text1"/>
              </w:rPr>
              <w:t xml:space="preserve">Given that compliance costs tend to be relatively higher for SMEs in proportion to their size, any reduction in reporting obligations is expected to have a comparatively stronger positive effect on SMEs. In addition, greater legal clarity and reduced fragmentation across Member States may facilitate SMEs’ participation in cross-border activities within the </w:t>
            </w:r>
            <w:r w:rsidR="7CBB3221" w:rsidRPr="6DE5EE1E">
              <w:rPr>
                <w:i/>
                <w:iCs/>
                <w:noProof/>
                <w:color w:val="000000" w:themeColor="text1"/>
              </w:rPr>
              <w:t>I</w:t>
            </w:r>
            <w:r w:rsidRPr="6DE5EE1E">
              <w:rPr>
                <w:i/>
                <w:iCs/>
                <w:noProof/>
                <w:color w:val="000000" w:themeColor="text1"/>
              </w:rPr>
              <w:t xml:space="preserve">nternal </w:t>
            </w:r>
            <w:r w:rsidR="132CDB75" w:rsidRPr="6DE5EE1E">
              <w:rPr>
                <w:i/>
                <w:iCs/>
                <w:noProof/>
                <w:color w:val="000000" w:themeColor="text1"/>
              </w:rPr>
              <w:t>M</w:t>
            </w:r>
            <w:r w:rsidRPr="6DE5EE1E">
              <w:rPr>
                <w:i/>
                <w:iCs/>
                <w:noProof/>
                <w:color w:val="000000" w:themeColor="text1"/>
              </w:rPr>
              <w:t>arket</w:t>
            </w:r>
            <w:r w:rsidRPr="1599A2D9">
              <w:rPr>
                <w:i/>
                <w:iCs/>
                <w:noProof/>
                <w:color w:val="000000" w:themeColor="text1"/>
              </w:rPr>
              <w:t>.</w:t>
            </w:r>
          </w:p>
        </w:tc>
      </w:tr>
    </w:tbl>
    <w:p w14:paraId="7E5B5AA0" w14:textId="7A0F62BC" w:rsidR="00442053" w:rsidRPr="00425749" w:rsidRDefault="00442053" w:rsidP="00442053">
      <w:pPr>
        <w:rPr>
          <w:b/>
          <w:bCs/>
          <w:smallCaps/>
          <w:noProof/>
          <w:color w:val="000000" w:themeColor="text1"/>
        </w:rPr>
      </w:pPr>
    </w:p>
    <w:tbl>
      <w:tblPr>
        <w:tblStyle w:val="TableGrid"/>
        <w:tblW w:w="0" w:type="auto"/>
        <w:tblInd w:w="-34" w:type="dxa"/>
        <w:tblLook w:val="04A0" w:firstRow="1" w:lastRow="0" w:firstColumn="1" w:lastColumn="0" w:noHBand="0" w:noVBand="1"/>
      </w:tblPr>
      <w:tblGrid>
        <w:gridCol w:w="8785"/>
      </w:tblGrid>
      <w:tr w:rsidR="00442053" w:rsidRPr="008928A0" w14:paraId="436DD1A4" w14:textId="77777777" w:rsidTr="1599A2D9">
        <w:tc>
          <w:tcPr>
            <w:tcW w:w="9322" w:type="dxa"/>
          </w:tcPr>
          <w:p w14:paraId="11B0B71F" w14:textId="77777777" w:rsidR="00442053" w:rsidRPr="008928A0" w:rsidRDefault="00442053">
            <w:pPr>
              <w:pStyle w:val="ListParagraph"/>
              <w:ind w:left="0"/>
              <w:rPr>
                <w:b/>
                <w:bCs/>
                <w:noProof/>
                <w:color w:val="000000" w:themeColor="text1"/>
              </w:rPr>
            </w:pPr>
            <w:r w:rsidRPr="4E03C77D">
              <w:rPr>
                <w:b/>
                <w:bCs/>
                <w:noProof/>
                <w:color w:val="000000" w:themeColor="text1"/>
              </w:rPr>
              <w:t>(1)</w:t>
            </w:r>
            <w:r>
              <w:rPr>
                <w:noProof/>
              </w:rPr>
              <w:tab/>
            </w:r>
            <w:r w:rsidRPr="4E03C77D">
              <w:rPr>
                <w:b/>
                <w:bCs/>
                <w:smallCaps/>
                <w:noProof/>
                <w:color w:val="000000" w:themeColor="text1"/>
              </w:rPr>
              <w:t>Identification of affected businesses and assessment of relevance</w:t>
            </w:r>
          </w:p>
        </w:tc>
      </w:tr>
      <w:tr w:rsidR="00442053" w:rsidRPr="008928A0" w14:paraId="77B1C054" w14:textId="77777777" w:rsidTr="1599A2D9">
        <w:tc>
          <w:tcPr>
            <w:tcW w:w="9322" w:type="dxa"/>
          </w:tcPr>
          <w:p w14:paraId="67104EF3" w14:textId="77777777" w:rsidR="00442053" w:rsidRPr="008928A0" w:rsidRDefault="00442053">
            <w:pPr>
              <w:pStyle w:val="ListParagraph"/>
              <w:ind w:left="0"/>
              <w:rPr>
                <w:b/>
                <w:bCs/>
                <w:noProof/>
                <w:color w:val="000000" w:themeColor="text1"/>
              </w:rPr>
            </w:pPr>
            <w:r w:rsidRPr="4E03C77D">
              <w:rPr>
                <w:b/>
                <w:bCs/>
                <w:noProof/>
                <w:color w:val="000000" w:themeColor="text1"/>
              </w:rPr>
              <w:t>Are SMEs directly affected?</w:t>
            </w:r>
            <w:r w:rsidRPr="4E03C77D">
              <w:rPr>
                <w:noProof/>
                <w:color w:val="000000" w:themeColor="text1"/>
              </w:rPr>
              <w:t xml:space="preserve"> </w:t>
            </w:r>
            <w:r w:rsidRPr="4E03C77D">
              <w:rPr>
                <w:i/>
                <w:iCs/>
                <w:noProof/>
                <w:color w:val="000000" w:themeColor="text1"/>
              </w:rPr>
              <w:t>(Yes/No)</w:t>
            </w:r>
            <w:r w:rsidRPr="4E03C77D">
              <w:rPr>
                <w:noProof/>
                <w:color w:val="000000" w:themeColor="text1"/>
              </w:rPr>
              <w:t xml:space="preserve"> </w:t>
            </w:r>
            <w:r w:rsidRPr="4E03C77D">
              <w:rPr>
                <w:b/>
                <w:bCs/>
                <w:noProof/>
                <w:color w:val="000000" w:themeColor="text1"/>
              </w:rPr>
              <w:t>In which sectors?</w:t>
            </w:r>
          </w:p>
        </w:tc>
      </w:tr>
      <w:tr w:rsidR="00442053" w:rsidRPr="008928A0" w14:paraId="31B7A8AB" w14:textId="77777777" w:rsidTr="1599A2D9">
        <w:tc>
          <w:tcPr>
            <w:tcW w:w="9322" w:type="dxa"/>
          </w:tcPr>
          <w:p w14:paraId="792C409C" w14:textId="49157292" w:rsidR="00442053" w:rsidRPr="001A529D" w:rsidRDefault="00442053">
            <w:pPr>
              <w:pStyle w:val="ListParagraph"/>
              <w:ind w:left="0"/>
              <w:rPr>
                <w:i/>
                <w:iCs/>
                <w:noProof/>
                <w:color w:val="000000" w:themeColor="text1"/>
                <w:highlight w:val="lightGray"/>
              </w:rPr>
            </w:pPr>
            <w:r w:rsidRPr="00F94D45">
              <w:rPr>
                <w:i/>
                <w:iCs/>
                <w:noProof/>
                <w:color w:val="000000" w:themeColor="text1"/>
              </w:rPr>
              <w:t xml:space="preserve">Yes, SMEs are directly affected across all sectors to the extent that they are subject to DAC reporting obligations (notably under DAC6 and </w:t>
            </w:r>
            <w:r w:rsidR="00F14580">
              <w:rPr>
                <w:i/>
                <w:iCs/>
                <w:noProof/>
                <w:color w:val="000000" w:themeColor="text1"/>
              </w:rPr>
              <w:t>DAC7</w:t>
            </w:r>
            <w:r w:rsidRPr="00F94D45">
              <w:rPr>
                <w:i/>
                <w:iCs/>
                <w:noProof/>
                <w:color w:val="000000" w:themeColor="text1"/>
              </w:rPr>
              <w:t>).</w:t>
            </w:r>
          </w:p>
        </w:tc>
      </w:tr>
      <w:tr w:rsidR="00442053" w:rsidRPr="008928A0" w14:paraId="24852140" w14:textId="77777777" w:rsidTr="1599A2D9">
        <w:tc>
          <w:tcPr>
            <w:tcW w:w="9322" w:type="dxa"/>
          </w:tcPr>
          <w:p w14:paraId="6DCE75AB" w14:textId="77777777" w:rsidR="00442053" w:rsidRPr="008928A0" w:rsidRDefault="00442053">
            <w:pPr>
              <w:pStyle w:val="ListParagraph"/>
              <w:ind w:left="0"/>
              <w:contextualSpacing w:val="0"/>
              <w:rPr>
                <w:rFonts w:cstheme="minorHAnsi"/>
                <w:b/>
                <w:noProof/>
                <w:color w:val="000000" w:themeColor="text1"/>
              </w:rPr>
            </w:pPr>
            <w:r w:rsidRPr="008928A0">
              <w:rPr>
                <w:rFonts w:cstheme="minorHAnsi"/>
                <w:b/>
                <w:noProof/>
                <w:color w:val="000000" w:themeColor="text1"/>
              </w:rPr>
              <w:t xml:space="preserve">Estimated number of </w:t>
            </w:r>
            <w:r>
              <w:rPr>
                <w:rFonts w:cstheme="minorHAnsi"/>
                <w:b/>
                <w:noProof/>
                <w:color w:val="000000" w:themeColor="text1"/>
              </w:rPr>
              <w:t xml:space="preserve">directly </w:t>
            </w:r>
            <w:r w:rsidRPr="008928A0">
              <w:rPr>
                <w:rFonts w:cstheme="minorHAnsi"/>
                <w:b/>
                <w:noProof/>
                <w:color w:val="000000" w:themeColor="text1"/>
              </w:rPr>
              <w:t>affected SMEs</w:t>
            </w:r>
          </w:p>
        </w:tc>
      </w:tr>
      <w:tr w:rsidR="00442053" w:rsidRPr="008928A0" w14:paraId="59A253E4" w14:textId="77777777" w:rsidTr="1599A2D9">
        <w:tc>
          <w:tcPr>
            <w:tcW w:w="9322" w:type="dxa"/>
          </w:tcPr>
          <w:p w14:paraId="22595F1B" w14:textId="61AC8A39" w:rsidR="00442053" w:rsidRPr="008928A0" w:rsidRDefault="00442053">
            <w:pPr>
              <w:pStyle w:val="ListParagraph"/>
              <w:ind w:left="0"/>
              <w:rPr>
                <w:rFonts w:eastAsiaTheme="minorEastAsia"/>
                <w:noProof/>
                <w:color w:val="000000" w:themeColor="text1"/>
              </w:rPr>
            </w:pPr>
            <w:r w:rsidRPr="00F94D45">
              <w:rPr>
                <w:rFonts w:eastAsiaTheme="minorEastAsia"/>
                <w:i/>
                <w:iCs/>
                <w:noProof/>
                <w:color w:val="000000" w:themeColor="text1"/>
              </w:rPr>
              <w:t xml:space="preserve">Not available. DAC reporting data do not provide a comprehensive breakdown of reporting entities by </w:t>
            </w:r>
            <w:r w:rsidR="549F2554" w:rsidRPr="66A06BE2">
              <w:rPr>
                <w:rFonts w:eastAsiaTheme="minorEastAsia"/>
                <w:i/>
                <w:iCs/>
                <w:noProof/>
                <w:color w:val="000000" w:themeColor="text1"/>
              </w:rPr>
              <w:t xml:space="preserve">company </w:t>
            </w:r>
            <w:r w:rsidRPr="00F94D45">
              <w:rPr>
                <w:rFonts w:eastAsiaTheme="minorEastAsia"/>
                <w:i/>
                <w:iCs/>
                <w:noProof/>
                <w:color w:val="000000" w:themeColor="text1"/>
              </w:rPr>
              <w:t>size at EU level.</w:t>
            </w:r>
          </w:p>
        </w:tc>
      </w:tr>
      <w:tr w:rsidR="00442053" w:rsidRPr="008928A0" w14:paraId="1D44B180" w14:textId="77777777" w:rsidTr="1599A2D9">
        <w:tc>
          <w:tcPr>
            <w:tcW w:w="9322" w:type="dxa"/>
          </w:tcPr>
          <w:p w14:paraId="43793DCD" w14:textId="77777777" w:rsidR="00442053" w:rsidRPr="008928A0" w:rsidRDefault="00442053">
            <w:pPr>
              <w:pStyle w:val="ListParagraph"/>
              <w:ind w:left="0"/>
              <w:contextualSpacing w:val="0"/>
              <w:rPr>
                <w:rFonts w:cstheme="minorHAnsi"/>
                <w:b/>
                <w:noProof/>
                <w:color w:val="000000" w:themeColor="text1"/>
              </w:rPr>
            </w:pPr>
            <w:r w:rsidRPr="008928A0">
              <w:rPr>
                <w:rFonts w:cstheme="minorHAnsi"/>
                <w:b/>
                <w:noProof/>
                <w:color w:val="000000" w:themeColor="text1"/>
              </w:rPr>
              <w:t xml:space="preserve">Estimated number </w:t>
            </w:r>
            <w:r>
              <w:rPr>
                <w:rFonts w:cstheme="minorHAnsi"/>
                <w:b/>
                <w:noProof/>
                <w:color w:val="000000" w:themeColor="text1"/>
              </w:rPr>
              <w:t xml:space="preserve">of employees in directly affected </w:t>
            </w:r>
            <w:r w:rsidRPr="008928A0">
              <w:rPr>
                <w:rFonts w:cstheme="minorHAnsi"/>
                <w:b/>
                <w:noProof/>
                <w:color w:val="000000" w:themeColor="text1"/>
              </w:rPr>
              <w:t>SME</w:t>
            </w:r>
            <w:r>
              <w:rPr>
                <w:rFonts w:cstheme="minorHAnsi"/>
                <w:b/>
                <w:noProof/>
                <w:color w:val="000000" w:themeColor="text1"/>
              </w:rPr>
              <w:t>s</w:t>
            </w:r>
          </w:p>
        </w:tc>
      </w:tr>
      <w:tr w:rsidR="00442053" w:rsidRPr="008928A0" w14:paraId="71BD7F02" w14:textId="77777777" w:rsidTr="1599A2D9">
        <w:tc>
          <w:tcPr>
            <w:tcW w:w="9322" w:type="dxa"/>
          </w:tcPr>
          <w:p w14:paraId="6F5A2EAC" w14:textId="206E1415" w:rsidR="00442053" w:rsidRPr="008928A0" w:rsidRDefault="00442053">
            <w:pPr>
              <w:pStyle w:val="ListParagraph"/>
              <w:ind w:left="0"/>
              <w:rPr>
                <w:rFonts w:eastAsiaTheme="minorEastAsia"/>
                <w:i/>
                <w:iCs/>
                <w:noProof/>
                <w:color w:val="000000" w:themeColor="text1"/>
              </w:rPr>
            </w:pPr>
            <w:r w:rsidRPr="008F133F">
              <w:rPr>
                <w:rFonts w:eastAsiaTheme="minorEastAsia"/>
                <w:i/>
                <w:iCs/>
                <w:noProof/>
                <w:color w:val="000000" w:themeColor="text1"/>
              </w:rPr>
              <w:t>Not available.</w:t>
            </w:r>
          </w:p>
        </w:tc>
      </w:tr>
      <w:tr w:rsidR="00442053" w:rsidRPr="008928A0" w14:paraId="5A85F57D" w14:textId="77777777" w:rsidTr="1599A2D9">
        <w:tc>
          <w:tcPr>
            <w:tcW w:w="9322" w:type="dxa"/>
          </w:tcPr>
          <w:p w14:paraId="0DBE59C1" w14:textId="77777777" w:rsidR="00442053" w:rsidRPr="008928A0" w:rsidRDefault="00442053">
            <w:pPr>
              <w:pStyle w:val="ListParagraph"/>
              <w:ind w:left="0"/>
              <w:rPr>
                <w:b/>
                <w:bCs/>
                <w:noProof/>
                <w:color w:val="000000" w:themeColor="text1"/>
              </w:rPr>
            </w:pPr>
            <w:r w:rsidRPr="4E03C77D">
              <w:rPr>
                <w:b/>
                <w:bCs/>
                <w:noProof/>
                <w:color w:val="000000" w:themeColor="text1"/>
              </w:rPr>
              <w:t xml:space="preserve">Are SMEs indirectly affected? </w:t>
            </w:r>
            <w:r w:rsidRPr="4E03C77D">
              <w:rPr>
                <w:i/>
                <w:iCs/>
                <w:noProof/>
                <w:color w:val="000000" w:themeColor="text1"/>
              </w:rPr>
              <w:t>(Yes/No)</w:t>
            </w:r>
            <w:r w:rsidRPr="4E03C77D">
              <w:rPr>
                <w:b/>
                <w:bCs/>
                <w:noProof/>
                <w:color w:val="000000" w:themeColor="text1"/>
              </w:rPr>
              <w:t xml:space="preserve"> In which sectors? What is the estimated number of indirectly affected SMEs and employees?</w:t>
            </w:r>
          </w:p>
        </w:tc>
      </w:tr>
      <w:tr w:rsidR="00442053" w:rsidRPr="008928A0" w14:paraId="698B091E" w14:textId="77777777" w:rsidTr="00224474">
        <w:trPr>
          <w:trHeight w:val="984"/>
        </w:trPr>
        <w:tc>
          <w:tcPr>
            <w:tcW w:w="9322" w:type="dxa"/>
          </w:tcPr>
          <w:p w14:paraId="602794F9" w14:textId="3DFB3C63" w:rsidR="00442053" w:rsidRPr="00A156E9" w:rsidRDefault="00442053">
            <w:pPr>
              <w:pStyle w:val="ListParagraph"/>
              <w:ind w:left="0"/>
              <w:rPr>
                <w:i/>
                <w:iCs/>
                <w:noProof/>
                <w:color w:val="000000" w:themeColor="text1"/>
              </w:rPr>
            </w:pPr>
            <w:r w:rsidRPr="008F133F">
              <w:rPr>
                <w:i/>
                <w:iCs/>
                <w:noProof/>
                <w:color w:val="000000" w:themeColor="text1"/>
              </w:rPr>
              <w:t xml:space="preserve">SMEs are primarily directly affected. Indirect effects may arise through improved functioning of the </w:t>
            </w:r>
            <w:r w:rsidR="328B4128" w:rsidRPr="0A676121">
              <w:rPr>
                <w:i/>
                <w:iCs/>
                <w:noProof/>
                <w:color w:val="000000" w:themeColor="text1"/>
              </w:rPr>
              <w:t>I</w:t>
            </w:r>
            <w:r w:rsidRPr="0A676121">
              <w:rPr>
                <w:i/>
                <w:iCs/>
                <w:noProof/>
                <w:color w:val="000000" w:themeColor="text1"/>
              </w:rPr>
              <w:t xml:space="preserve">nternal </w:t>
            </w:r>
            <w:r w:rsidR="1F31FC3B" w:rsidRPr="0A676121">
              <w:rPr>
                <w:i/>
                <w:iCs/>
                <w:noProof/>
                <w:color w:val="000000" w:themeColor="text1"/>
              </w:rPr>
              <w:t>M</w:t>
            </w:r>
            <w:r w:rsidRPr="0A676121">
              <w:rPr>
                <w:i/>
                <w:iCs/>
                <w:noProof/>
                <w:color w:val="000000" w:themeColor="text1"/>
              </w:rPr>
              <w:t>arket</w:t>
            </w:r>
            <w:r w:rsidRPr="008F133F">
              <w:rPr>
                <w:i/>
                <w:iCs/>
                <w:noProof/>
                <w:color w:val="000000" w:themeColor="text1"/>
              </w:rPr>
              <w:t xml:space="preserve"> and reduced administrative complexity, but these are not quantifiable.</w:t>
            </w:r>
          </w:p>
        </w:tc>
      </w:tr>
    </w:tbl>
    <w:p w14:paraId="4303D767" w14:textId="3DA0A666" w:rsidR="00442053" w:rsidRPr="00AF61BA" w:rsidRDefault="00442053" w:rsidP="00442053">
      <w:pPr>
        <w:pStyle w:val="ListParagraph"/>
        <w:spacing w:after="0"/>
        <w:ind w:left="357"/>
        <w:contextualSpacing w:val="0"/>
        <w:rPr>
          <w:rFonts w:cstheme="minorBidi"/>
          <w:b/>
          <w:smallCaps/>
          <w:noProof/>
          <w:color w:val="000000" w:themeColor="text1"/>
        </w:rPr>
      </w:pPr>
    </w:p>
    <w:tbl>
      <w:tblPr>
        <w:tblStyle w:val="TableGrid"/>
        <w:tblW w:w="8818" w:type="dxa"/>
        <w:tblInd w:w="-34" w:type="dxa"/>
        <w:tblLook w:val="04A0" w:firstRow="1" w:lastRow="0" w:firstColumn="1" w:lastColumn="0" w:noHBand="0" w:noVBand="1"/>
      </w:tblPr>
      <w:tblGrid>
        <w:gridCol w:w="8818"/>
      </w:tblGrid>
      <w:tr w:rsidR="00442053" w:rsidRPr="00AF61BA" w14:paraId="050E9CD9" w14:textId="77777777" w:rsidTr="1599A2D9">
        <w:tc>
          <w:tcPr>
            <w:tcW w:w="8818" w:type="dxa"/>
          </w:tcPr>
          <w:p w14:paraId="056B6BAE" w14:textId="77777777" w:rsidR="00442053" w:rsidRPr="00AF61BA" w:rsidRDefault="00442053" w:rsidP="0059106A">
            <w:pPr>
              <w:pStyle w:val="ListParagraph"/>
              <w:numPr>
                <w:ilvl w:val="0"/>
                <w:numId w:val="15"/>
              </w:numPr>
              <w:spacing w:after="0"/>
              <w:rPr>
                <w:smallCaps/>
                <w:noProof/>
                <w:color w:val="000000" w:themeColor="text1"/>
              </w:rPr>
            </w:pPr>
            <w:r w:rsidRPr="4E03C77D">
              <w:rPr>
                <w:b/>
                <w:bCs/>
                <w:smallCaps/>
                <w:noProof/>
                <w:color w:val="000000" w:themeColor="text1"/>
              </w:rPr>
              <w:t>Consultation of SME stakeholders</w:t>
            </w:r>
          </w:p>
        </w:tc>
      </w:tr>
      <w:tr w:rsidR="00442053" w:rsidRPr="00AF61BA" w14:paraId="5882C4F6" w14:textId="77777777" w:rsidTr="1599A2D9">
        <w:tc>
          <w:tcPr>
            <w:tcW w:w="8818" w:type="dxa"/>
          </w:tcPr>
          <w:p w14:paraId="1CA3F1DF" w14:textId="77777777" w:rsidR="00442053" w:rsidRPr="001A529D" w:rsidRDefault="00442053">
            <w:pPr>
              <w:pStyle w:val="ListParagraph"/>
              <w:ind w:left="0"/>
              <w:contextualSpacing w:val="0"/>
              <w:rPr>
                <w:rFonts w:cstheme="minorHAnsi"/>
                <w:b/>
                <w:noProof/>
                <w:color w:val="000000" w:themeColor="text1"/>
                <w:highlight w:val="lightGray"/>
              </w:rPr>
            </w:pPr>
            <w:r w:rsidRPr="00AF61BA">
              <w:rPr>
                <w:rFonts w:cstheme="minorHAnsi"/>
                <w:b/>
                <w:noProof/>
                <w:color w:val="000000" w:themeColor="text1"/>
              </w:rPr>
              <w:t>How has the input from the SME community been taken into consideration?</w:t>
            </w:r>
          </w:p>
        </w:tc>
      </w:tr>
      <w:tr w:rsidR="00442053" w:rsidRPr="00AF61BA" w14:paraId="25D01DD9" w14:textId="77777777" w:rsidTr="1599A2D9">
        <w:tc>
          <w:tcPr>
            <w:tcW w:w="8818" w:type="dxa"/>
          </w:tcPr>
          <w:p w14:paraId="2BCB001D" w14:textId="355F164F" w:rsidR="00442053" w:rsidRPr="00AF61BA" w:rsidRDefault="00442053">
            <w:pPr>
              <w:pStyle w:val="ListParagraph"/>
              <w:ind w:left="0"/>
              <w:rPr>
                <w:noProof/>
                <w:color w:val="000000" w:themeColor="text1"/>
              </w:rPr>
            </w:pPr>
            <w:r w:rsidRPr="0007758C">
              <w:rPr>
                <w:i/>
                <w:iCs/>
                <w:noProof/>
                <w:color w:val="000000" w:themeColor="text1"/>
              </w:rPr>
              <w:t xml:space="preserve">Stakeholder input was gathered through consultations with business representatives, including platforms and industry associations, which reflect the views of a broad range </w:t>
            </w:r>
            <w:r w:rsidRPr="0A676121">
              <w:rPr>
                <w:i/>
                <w:noProof/>
              </w:rPr>
              <w:t xml:space="preserve">of </w:t>
            </w:r>
            <w:r w:rsidR="66B58E9E" w:rsidRPr="0A676121">
              <w:rPr>
                <w:i/>
                <w:noProof/>
              </w:rPr>
              <w:t>businesses</w:t>
            </w:r>
            <w:r w:rsidRPr="0007758C">
              <w:rPr>
                <w:i/>
                <w:iCs/>
                <w:noProof/>
                <w:color w:val="000000" w:themeColor="text1"/>
              </w:rPr>
              <w:t xml:space="preserve">, including SMEs. These consultations highlighted the importance of reducing administrative burdens and simplifying reporting obligations, particularly for </w:t>
            </w:r>
            <w:r w:rsidR="390C5AB4" w:rsidRPr="0A676121">
              <w:rPr>
                <w:i/>
                <w:noProof/>
              </w:rPr>
              <w:t xml:space="preserve">businesses </w:t>
            </w:r>
            <w:r w:rsidRPr="0007758C">
              <w:rPr>
                <w:i/>
                <w:iCs/>
                <w:noProof/>
                <w:color w:val="000000" w:themeColor="text1"/>
              </w:rPr>
              <w:t>with limited administrative capacity.</w:t>
            </w:r>
          </w:p>
        </w:tc>
      </w:tr>
      <w:tr w:rsidR="00442053" w:rsidRPr="00AF61BA" w14:paraId="29BFA435" w14:textId="77777777" w:rsidTr="1599A2D9">
        <w:tc>
          <w:tcPr>
            <w:tcW w:w="8818" w:type="dxa"/>
            <w:tcBorders>
              <w:bottom w:val="single" w:sz="4" w:space="0" w:color="auto"/>
            </w:tcBorders>
          </w:tcPr>
          <w:p w14:paraId="3C15C1FC" w14:textId="77777777" w:rsidR="00442053" w:rsidRPr="00AF61BA" w:rsidRDefault="00442053">
            <w:pPr>
              <w:pStyle w:val="ListParagraph"/>
              <w:ind w:left="0"/>
              <w:rPr>
                <w:noProof/>
                <w:color w:val="000000" w:themeColor="text1"/>
              </w:rPr>
            </w:pPr>
            <w:r w:rsidRPr="4E03C77D">
              <w:rPr>
                <w:b/>
                <w:bCs/>
                <w:noProof/>
                <w:color w:val="000000" w:themeColor="text1"/>
              </w:rPr>
              <w:t xml:space="preserve">Are SMEs’ views different from those of large businesses? </w:t>
            </w:r>
            <w:r w:rsidRPr="4E03C77D">
              <w:rPr>
                <w:i/>
                <w:iCs/>
                <w:noProof/>
                <w:color w:val="000000" w:themeColor="text1"/>
              </w:rPr>
              <w:t>(Yes/No)</w:t>
            </w:r>
          </w:p>
        </w:tc>
      </w:tr>
      <w:tr w:rsidR="00442053" w:rsidRPr="00AF61BA" w14:paraId="276B8BF8" w14:textId="77777777" w:rsidTr="1599A2D9">
        <w:tc>
          <w:tcPr>
            <w:tcW w:w="8818" w:type="dxa"/>
          </w:tcPr>
          <w:p w14:paraId="380B5FEB" w14:textId="50916972" w:rsidR="00442053" w:rsidRPr="00AF61BA" w:rsidRDefault="00442053" w:rsidP="1599A2D9">
            <w:pPr>
              <w:pStyle w:val="ListParagraph"/>
              <w:ind w:left="0"/>
              <w:rPr>
                <w:i/>
                <w:iCs/>
                <w:noProof/>
                <w:color w:val="000000" w:themeColor="text1"/>
              </w:rPr>
            </w:pPr>
            <w:r w:rsidRPr="1599A2D9">
              <w:rPr>
                <w:i/>
                <w:iCs/>
                <w:noProof/>
                <w:color w:val="000000" w:themeColor="text1"/>
              </w:rPr>
              <w:t xml:space="preserve">Partially. While both SMEs and large </w:t>
            </w:r>
            <w:r w:rsidR="3D3CF621" w:rsidRPr="0A676121">
              <w:rPr>
                <w:i/>
                <w:noProof/>
              </w:rPr>
              <w:t xml:space="preserve">businesses </w:t>
            </w:r>
            <w:r w:rsidRPr="1599A2D9">
              <w:rPr>
                <w:i/>
                <w:iCs/>
                <w:noProof/>
                <w:color w:val="000000" w:themeColor="text1"/>
              </w:rPr>
              <w:t>support simplification, SMEs tend to emphasise more strongly the burden of compliance costs and administrative complexity, which can represent a larger relative cost burden.</w:t>
            </w:r>
          </w:p>
        </w:tc>
      </w:tr>
    </w:tbl>
    <w:p w14:paraId="63E57B83" w14:textId="44D3B5C2" w:rsidR="00442053" w:rsidRPr="00AF61BA" w:rsidRDefault="00442053" w:rsidP="00442053">
      <w:pPr>
        <w:spacing w:after="0"/>
        <w:rPr>
          <w:rFonts w:cstheme="minorBidi"/>
          <w:b/>
          <w:noProof/>
          <w:color w:val="000000" w:themeColor="text1"/>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1"/>
      </w:tblGrid>
      <w:tr w:rsidR="00442053" w:rsidRPr="00AF61BA" w14:paraId="6CC8DA59" w14:textId="77777777" w:rsidTr="09A87E47">
        <w:trPr>
          <w:trHeight w:val="300"/>
        </w:trPr>
        <w:tc>
          <w:tcPr>
            <w:tcW w:w="9288" w:type="dxa"/>
          </w:tcPr>
          <w:p w14:paraId="75C0494C" w14:textId="77777777" w:rsidR="00442053" w:rsidRPr="00AF61BA" w:rsidRDefault="31308E2E" w:rsidP="0059106A">
            <w:pPr>
              <w:pStyle w:val="ListParagraph"/>
              <w:numPr>
                <w:ilvl w:val="0"/>
                <w:numId w:val="15"/>
              </w:numPr>
              <w:spacing w:after="0"/>
              <w:jc w:val="left"/>
              <w:rPr>
                <w:b/>
                <w:bCs/>
                <w:smallCaps/>
                <w:noProof/>
                <w:color w:val="000000" w:themeColor="text1"/>
              </w:rPr>
            </w:pPr>
            <w:r w:rsidRPr="4E03C77D">
              <w:rPr>
                <w:b/>
                <w:bCs/>
                <w:smallCaps/>
                <w:noProof/>
                <w:color w:val="000000" w:themeColor="text1"/>
              </w:rPr>
              <w:t>Assessment of impacts on SMEs</w:t>
            </w:r>
            <w:r w:rsidR="00442053" w:rsidRPr="4E03C77D">
              <w:rPr>
                <w:rStyle w:val="FootnoteReference"/>
                <w:b/>
                <w:bCs/>
                <w:smallCaps/>
                <w:noProof/>
                <w:color w:val="000000" w:themeColor="text1"/>
              </w:rPr>
              <w:footnoteReference w:id="95"/>
            </w:r>
          </w:p>
        </w:tc>
      </w:tr>
      <w:tr w:rsidR="00442053" w:rsidRPr="00AF61BA" w14:paraId="3394D31B" w14:textId="77777777" w:rsidTr="09A87E47">
        <w:trPr>
          <w:trHeight w:val="300"/>
        </w:trPr>
        <w:tc>
          <w:tcPr>
            <w:tcW w:w="9288" w:type="dxa"/>
          </w:tcPr>
          <w:p w14:paraId="706D7E57" w14:textId="03D98B4A" w:rsidR="00442053" w:rsidRPr="0077460C" w:rsidRDefault="00442053">
            <w:pPr>
              <w:rPr>
                <w:noProof/>
                <w:color w:val="000000" w:themeColor="text1"/>
              </w:rPr>
            </w:pPr>
            <w:r w:rsidRPr="1599A2D9">
              <w:rPr>
                <w:b/>
                <w:bCs/>
                <w:noProof/>
                <w:color w:val="000000" w:themeColor="text1"/>
              </w:rPr>
              <w:t>What are the estimated direct costs for SMEs of the preferred policy option</w:t>
            </w:r>
            <w:r w:rsidRPr="1599A2D9">
              <w:rPr>
                <w:b/>
                <w:bCs/>
                <w:i/>
                <w:iCs/>
                <w:noProof/>
                <w:color w:val="000000" w:themeColor="text1"/>
              </w:rPr>
              <w:t>?</w:t>
            </w:r>
          </w:p>
        </w:tc>
      </w:tr>
      <w:tr w:rsidR="00442053" w:rsidRPr="00AF61BA" w14:paraId="3DA59C76" w14:textId="77777777" w:rsidTr="09A87E47">
        <w:trPr>
          <w:trHeight w:val="300"/>
        </w:trPr>
        <w:tc>
          <w:tcPr>
            <w:tcW w:w="9288" w:type="dxa"/>
          </w:tcPr>
          <w:p w14:paraId="6F738441" w14:textId="77777777" w:rsidR="00442053" w:rsidRPr="00AF61BA" w:rsidRDefault="00442053">
            <w:pPr>
              <w:rPr>
                <w:i/>
                <w:iCs/>
                <w:noProof/>
                <w:color w:val="000000" w:themeColor="text1"/>
              </w:rPr>
            </w:pPr>
            <w:r w:rsidRPr="4E03C77D">
              <w:rPr>
                <w:b/>
                <w:bCs/>
                <w:i/>
                <w:iCs/>
                <w:noProof/>
                <w:color w:val="000000" w:themeColor="text1"/>
              </w:rPr>
              <w:t>Qualitative assessment</w:t>
            </w:r>
          </w:p>
        </w:tc>
      </w:tr>
      <w:tr w:rsidR="00442053" w:rsidRPr="00AF61BA" w14:paraId="0CC553E1" w14:textId="77777777" w:rsidTr="09A87E47">
        <w:trPr>
          <w:trHeight w:val="300"/>
        </w:trPr>
        <w:tc>
          <w:tcPr>
            <w:tcW w:w="9288" w:type="dxa"/>
          </w:tcPr>
          <w:p w14:paraId="1570359C" w14:textId="4C49A0BD" w:rsidR="00442053" w:rsidRPr="00AF61BA" w:rsidRDefault="00442053" w:rsidP="1599A2D9">
            <w:pPr>
              <w:rPr>
                <w:i/>
                <w:iCs/>
                <w:noProof/>
                <w:color w:val="000000" w:themeColor="text1"/>
              </w:rPr>
            </w:pPr>
            <w:r w:rsidRPr="1599A2D9">
              <w:rPr>
                <w:i/>
                <w:iCs/>
                <w:noProof/>
                <w:color w:val="000000" w:themeColor="text1"/>
              </w:rPr>
              <w:t>No significant additional direct costs are expected for SMEs. The initiative primarily introduces simplifications and reductions in existing reporting and notification requirements.</w:t>
            </w:r>
          </w:p>
        </w:tc>
      </w:tr>
      <w:tr w:rsidR="00442053" w:rsidRPr="00AF61BA" w14:paraId="7F4E6D91" w14:textId="77777777" w:rsidTr="09A87E47">
        <w:trPr>
          <w:trHeight w:val="300"/>
        </w:trPr>
        <w:tc>
          <w:tcPr>
            <w:tcW w:w="9288" w:type="dxa"/>
          </w:tcPr>
          <w:p w14:paraId="092F86AE" w14:textId="77777777" w:rsidR="00442053" w:rsidRPr="00AF61BA" w:rsidRDefault="00442053">
            <w:pPr>
              <w:rPr>
                <w:b/>
                <w:bCs/>
                <w:noProof/>
                <w:color w:val="000000" w:themeColor="text1"/>
              </w:rPr>
            </w:pPr>
            <w:r w:rsidRPr="4E03C77D">
              <w:rPr>
                <w:b/>
                <w:bCs/>
                <w:noProof/>
                <w:color w:val="000000" w:themeColor="text1"/>
              </w:rPr>
              <w:t>Quantitative assessment</w:t>
            </w:r>
          </w:p>
        </w:tc>
      </w:tr>
      <w:tr w:rsidR="00442053" w:rsidRPr="00AF61BA" w14:paraId="49C2CF86" w14:textId="77777777" w:rsidTr="09A87E47">
        <w:trPr>
          <w:trHeight w:val="300"/>
        </w:trPr>
        <w:tc>
          <w:tcPr>
            <w:tcW w:w="9288" w:type="dxa"/>
          </w:tcPr>
          <w:p w14:paraId="7ECE41E4" w14:textId="3FA85D82" w:rsidR="00442053" w:rsidRPr="004C79A6" w:rsidRDefault="00442053">
            <w:pPr>
              <w:rPr>
                <w:i/>
                <w:iCs/>
                <w:noProof/>
                <w:color w:val="000000" w:themeColor="text1"/>
              </w:rPr>
            </w:pPr>
            <w:r w:rsidRPr="008A2359">
              <w:rPr>
                <w:i/>
                <w:iCs/>
                <w:noProof/>
                <w:color w:val="000000" w:themeColor="text1"/>
              </w:rPr>
              <w:t>Not applicable.</w:t>
            </w:r>
          </w:p>
        </w:tc>
      </w:tr>
      <w:tr w:rsidR="00442053" w:rsidRPr="00AF61BA" w14:paraId="06EDC019" w14:textId="77777777" w:rsidTr="09A87E47">
        <w:trPr>
          <w:trHeight w:val="300"/>
        </w:trPr>
        <w:tc>
          <w:tcPr>
            <w:tcW w:w="9288" w:type="dxa"/>
          </w:tcPr>
          <w:p w14:paraId="51A01FB8" w14:textId="77777777" w:rsidR="00442053" w:rsidRPr="00AF61BA" w:rsidRDefault="31308E2E">
            <w:pPr>
              <w:rPr>
                <w:b/>
                <w:bCs/>
                <w:noProof/>
                <w:color w:val="000000" w:themeColor="text1"/>
              </w:rPr>
            </w:pPr>
            <w:r w:rsidRPr="52ADF795">
              <w:rPr>
                <w:b/>
                <w:bCs/>
                <w:noProof/>
                <w:color w:val="000000" w:themeColor="text1"/>
              </w:rPr>
              <w:t>What are the estimated direct benefits/cost savings for SMEs of the preferred policy option</w:t>
            </w:r>
            <w:r w:rsidR="00442053" w:rsidRPr="52ADF795">
              <w:rPr>
                <w:rStyle w:val="FootnoteReference"/>
                <w:b/>
                <w:bCs/>
                <w:noProof/>
                <w:color w:val="000000" w:themeColor="text1"/>
              </w:rPr>
              <w:footnoteReference w:id="96"/>
            </w:r>
            <w:r w:rsidRPr="52ADF795">
              <w:rPr>
                <w:b/>
                <w:bCs/>
                <w:noProof/>
                <w:color w:val="000000" w:themeColor="text1"/>
              </w:rPr>
              <w:t>?</w:t>
            </w:r>
          </w:p>
        </w:tc>
      </w:tr>
      <w:tr w:rsidR="00442053" w:rsidRPr="00AF61BA" w14:paraId="15F54656" w14:textId="77777777" w:rsidTr="09A87E47">
        <w:trPr>
          <w:trHeight w:val="300"/>
        </w:trPr>
        <w:tc>
          <w:tcPr>
            <w:tcW w:w="9288" w:type="dxa"/>
          </w:tcPr>
          <w:p w14:paraId="69EF21EC" w14:textId="77777777" w:rsidR="00442053" w:rsidRPr="00AF61BA" w:rsidRDefault="00442053">
            <w:pPr>
              <w:rPr>
                <w:noProof/>
                <w:color w:val="000000" w:themeColor="text1"/>
              </w:rPr>
            </w:pPr>
            <w:r w:rsidRPr="4E03C77D">
              <w:rPr>
                <w:b/>
                <w:bCs/>
                <w:noProof/>
                <w:color w:val="000000" w:themeColor="text1"/>
              </w:rPr>
              <w:t>Qualitative assessment</w:t>
            </w:r>
          </w:p>
        </w:tc>
      </w:tr>
      <w:tr w:rsidR="00442053" w:rsidRPr="00AF61BA" w14:paraId="4B086361" w14:textId="77777777" w:rsidTr="09A87E47">
        <w:trPr>
          <w:trHeight w:val="300"/>
        </w:trPr>
        <w:tc>
          <w:tcPr>
            <w:tcW w:w="9288" w:type="dxa"/>
          </w:tcPr>
          <w:p w14:paraId="7D97FE6C" w14:textId="23C19CA8" w:rsidR="00442053" w:rsidRPr="00FC70A6" w:rsidRDefault="670E612B" w:rsidP="4321A1A3">
            <w:pPr>
              <w:rPr>
                <w:i/>
                <w:iCs/>
                <w:noProof/>
                <w:color w:val="000000" w:themeColor="text1"/>
                <w:u w:val="single"/>
              </w:rPr>
            </w:pPr>
            <w:r w:rsidRPr="4321A1A3">
              <w:rPr>
                <w:i/>
                <w:iCs/>
                <w:noProof/>
                <w:color w:val="000000" w:themeColor="text1"/>
              </w:rPr>
              <w:t xml:space="preserve">SMEs are expected to benefit from reduced compliance costs associated with DAC reporting obligations, particularly under DAC6 and DAC7. As SMEs typically face higher compliance costs relative to their size, these savings are likely to be proportionally more significant for </w:t>
            </w:r>
            <w:r w:rsidR="002A24A2" w:rsidRPr="4321A1A3">
              <w:rPr>
                <w:i/>
                <w:iCs/>
                <w:noProof/>
                <w:color w:val="000000" w:themeColor="text1"/>
              </w:rPr>
              <w:t xml:space="preserve">smaller </w:t>
            </w:r>
            <w:r w:rsidR="002A24A2">
              <w:rPr>
                <w:noProof/>
              </w:rPr>
              <w:t>businesses</w:t>
            </w:r>
            <w:r w:rsidRPr="4321A1A3">
              <w:rPr>
                <w:i/>
                <w:iCs/>
                <w:noProof/>
                <w:color w:val="000000" w:themeColor="text1"/>
              </w:rPr>
              <w:t>. Simplified rules and reduced reporting obligations may also lower the need for external advisory services and internal administrative resources.</w:t>
            </w:r>
          </w:p>
        </w:tc>
      </w:tr>
      <w:tr w:rsidR="00442053" w:rsidRPr="00AF61BA" w14:paraId="7C7881E6" w14:textId="77777777" w:rsidTr="09A87E47">
        <w:trPr>
          <w:trHeight w:val="300"/>
        </w:trPr>
        <w:tc>
          <w:tcPr>
            <w:tcW w:w="9288" w:type="dxa"/>
          </w:tcPr>
          <w:p w14:paraId="1BD95AAE" w14:textId="77777777" w:rsidR="00442053" w:rsidRPr="00AF61BA" w:rsidRDefault="00442053">
            <w:pPr>
              <w:rPr>
                <w:noProof/>
                <w:color w:val="000000" w:themeColor="text1"/>
              </w:rPr>
            </w:pPr>
            <w:r w:rsidRPr="4E03C77D">
              <w:rPr>
                <w:b/>
                <w:bCs/>
                <w:noProof/>
                <w:color w:val="000000" w:themeColor="text1"/>
              </w:rPr>
              <w:t>Quantitative assessment</w:t>
            </w:r>
          </w:p>
        </w:tc>
      </w:tr>
      <w:tr w:rsidR="00442053" w:rsidRPr="00AF61BA" w14:paraId="78AA1FAF" w14:textId="77777777" w:rsidTr="09A87E47">
        <w:trPr>
          <w:trHeight w:val="300"/>
        </w:trPr>
        <w:tc>
          <w:tcPr>
            <w:tcW w:w="9288" w:type="dxa"/>
          </w:tcPr>
          <w:p w14:paraId="361C59B4" w14:textId="00213C0A" w:rsidR="00442053" w:rsidRPr="001A529D" w:rsidRDefault="00442053">
            <w:pPr>
              <w:rPr>
                <w:noProof/>
                <w:color w:val="000000" w:themeColor="text1"/>
                <w:highlight w:val="lightGray"/>
              </w:rPr>
            </w:pPr>
            <w:r w:rsidRPr="1599A2D9">
              <w:rPr>
                <w:noProof/>
                <w:color w:val="000000" w:themeColor="text1"/>
              </w:rPr>
              <w:t>While overall compliance cost savings have been estimated at aggregate level, it is not possible to isolate the share accruing specifically to SMEs due to data limitations regarding the size distribution of reporting entities.</w:t>
            </w:r>
          </w:p>
        </w:tc>
      </w:tr>
      <w:tr w:rsidR="00442053" w:rsidRPr="00AF61BA" w14:paraId="42CB8AAA" w14:textId="77777777" w:rsidTr="09A87E47">
        <w:trPr>
          <w:trHeight w:val="300"/>
        </w:trPr>
        <w:tc>
          <w:tcPr>
            <w:tcW w:w="9288" w:type="dxa"/>
          </w:tcPr>
          <w:p w14:paraId="318E7FDA" w14:textId="71974DB2" w:rsidR="00442053" w:rsidRPr="00AF61BA" w:rsidRDefault="00442053">
            <w:pPr>
              <w:rPr>
                <w:b/>
                <w:bCs/>
                <w:noProof/>
                <w:color w:val="000000" w:themeColor="text1"/>
              </w:rPr>
            </w:pPr>
            <w:r w:rsidRPr="4E03C77D">
              <w:rPr>
                <w:b/>
                <w:bCs/>
                <w:noProof/>
                <w:color w:val="000000" w:themeColor="text1"/>
              </w:rPr>
              <w:t>What are the indirect impacts of this initiative on SMEs?</w:t>
            </w:r>
          </w:p>
        </w:tc>
      </w:tr>
      <w:tr w:rsidR="00442053" w:rsidRPr="00AF61BA" w14:paraId="52AEFBCD" w14:textId="77777777" w:rsidTr="09A87E47">
        <w:trPr>
          <w:trHeight w:val="300"/>
        </w:trPr>
        <w:tc>
          <w:tcPr>
            <w:tcW w:w="9288" w:type="dxa"/>
          </w:tcPr>
          <w:p w14:paraId="159365A4" w14:textId="4442BA85" w:rsidR="00442053" w:rsidRPr="00AF61BA" w:rsidRDefault="00442053" w:rsidP="1599A2D9">
            <w:pPr>
              <w:rPr>
                <w:i/>
                <w:iCs/>
                <w:noProof/>
                <w:color w:val="000000" w:themeColor="text1"/>
              </w:rPr>
            </w:pPr>
            <w:r w:rsidRPr="1599A2D9">
              <w:rPr>
                <w:i/>
                <w:iCs/>
                <w:noProof/>
                <w:color w:val="000000" w:themeColor="text1"/>
              </w:rPr>
              <w:t xml:space="preserve">The initiative may indirectly benefit SMEs by improving legal clarity, reducing fragmentation across Member States, and lowering barriers to cross-border activity. These effects may support SME growth and participation in the </w:t>
            </w:r>
            <w:r w:rsidR="2FF614C0" w:rsidRPr="0A676121">
              <w:rPr>
                <w:i/>
                <w:iCs/>
                <w:noProof/>
                <w:color w:val="000000" w:themeColor="text1"/>
              </w:rPr>
              <w:t>I</w:t>
            </w:r>
            <w:r w:rsidRPr="0A676121">
              <w:rPr>
                <w:i/>
                <w:iCs/>
                <w:noProof/>
                <w:color w:val="000000" w:themeColor="text1"/>
              </w:rPr>
              <w:t xml:space="preserve">nternal </w:t>
            </w:r>
            <w:r w:rsidR="492CB35A" w:rsidRPr="0A676121">
              <w:rPr>
                <w:i/>
                <w:iCs/>
                <w:noProof/>
                <w:color w:val="000000" w:themeColor="text1"/>
              </w:rPr>
              <w:t>M</w:t>
            </w:r>
            <w:r w:rsidRPr="0A676121">
              <w:rPr>
                <w:i/>
                <w:iCs/>
                <w:noProof/>
                <w:color w:val="000000" w:themeColor="text1"/>
              </w:rPr>
              <w:t>arket</w:t>
            </w:r>
            <w:r w:rsidRPr="1599A2D9">
              <w:rPr>
                <w:i/>
                <w:iCs/>
                <w:noProof/>
                <w:color w:val="000000" w:themeColor="text1"/>
              </w:rPr>
              <w:t>, although they cannot be quantified.</w:t>
            </w:r>
          </w:p>
        </w:tc>
      </w:tr>
    </w:tbl>
    <w:p w14:paraId="1DFEBC4B" w14:textId="27818534" w:rsidR="00442053" w:rsidRPr="00AF61BA" w:rsidRDefault="00442053" w:rsidP="00442053">
      <w:pPr>
        <w:spacing w:after="0"/>
        <w:rPr>
          <w:b/>
          <w:bCs/>
          <w:noProof/>
          <w:color w:val="000000" w:themeColor="text1"/>
        </w:rPr>
      </w:pPr>
    </w:p>
    <w:tbl>
      <w:tblPr>
        <w:tblStyle w:val="TableGrid"/>
        <w:tblW w:w="0" w:type="auto"/>
        <w:tblLook w:val="04A0" w:firstRow="1" w:lastRow="0" w:firstColumn="1" w:lastColumn="0" w:noHBand="0" w:noVBand="1"/>
      </w:tblPr>
      <w:tblGrid>
        <w:gridCol w:w="8751"/>
      </w:tblGrid>
      <w:tr w:rsidR="00442053" w:rsidRPr="00AF61BA" w14:paraId="65D4AE03" w14:textId="77777777">
        <w:tc>
          <w:tcPr>
            <w:tcW w:w="9288" w:type="dxa"/>
          </w:tcPr>
          <w:p w14:paraId="508A5466" w14:textId="77777777" w:rsidR="00442053" w:rsidRPr="00AF61BA" w:rsidRDefault="00442053" w:rsidP="0059106A">
            <w:pPr>
              <w:pStyle w:val="ListParagraph"/>
              <w:numPr>
                <w:ilvl w:val="0"/>
                <w:numId w:val="15"/>
              </w:numPr>
              <w:spacing w:after="0"/>
              <w:jc w:val="left"/>
              <w:rPr>
                <w:b/>
                <w:bCs/>
                <w:smallCaps/>
                <w:noProof/>
                <w:color w:val="000000" w:themeColor="text1"/>
              </w:rPr>
            </w:pPr>
            <w:r w:rsidRPr="4E03C77D">
              <w:rPr>
                <w:b/>
                <w:bCs/>
                <w:smallCaps/>
                <w:noProof/>
                <w:color w:val="000000" w:themeColor="text1"/>
              </w:rPr>
              <w:t>Minimising negative impacts on SMEs</w:t>
            </w:r>
          </w:p>
        </w:tc>
      </w:tr>
      <w:tr w:rsidR="00442053" w:rsidRPr="00AF61BA" w14:paraId="79C82955" w14:textId="77777777">
        <w:tc>
          <w:tcPr>
            <w:tcW w:w="9288" w:type="dxa"/>
          </w:tcPr>
          <w:p w14:paraId="2B248494" w14:textId="77777777" w:rsidR="00442053" w:rsidRPr="00AF61BA" w:rsidRDefault="00442053">
            <w:pPr>
              <w:rPr>
                <w:noProof/>
                <w:color w:val="000000" w:themeColor="text1"/>
              </w:rPr>
            </w:pPr>
            <w:r w:rsidRPr="4E03C77D">
              <w:rPr>
                <w:b/>
                <w:bCs/>
                <w:noProof/>
                <w:color w:val="000000" w:themeColor="text1"/>
              </w:rPr>
              <w:t xml:space="preserve">Are SMEs disproportionately affected compared to large companies? </w:t>
            </w:r>
            <w:r w:rsidRPr="4E03C77D">
              <w:rPr>
                <w:noProof/>
                <w:color w:val="000000" w:themeColor="text1"/>
              </w:rPr>
              <w:t>(</w:t>
            </w:r>
            <w:r w:rsidRPr="4E03C77D">
              <w:rPr>
                <w:i/>
                <w:iCs/>
                <w:noProof/>
                <w:color w:val="000000" w:themeColor="text1"/>
              </w:rPr>
              <w:t>Yes/No)</w:t>
            </w:r>
          </w:p>
          <w:p w14:paraId="32FEF34A" w14:textId="77777777" w:rsidR="00442053" w:rsidRPr="00AF61BA" w:rsidRDefault="00442053">
            <w:pPr>
              <w:rPr>
                <w:b/>
                <w:bCs/>
                <w:noProof/>
                <w:color w:val="000000" w:themeColor="text1"/>
              </w:rPr>
            </w:pPr>
            <w:r w:rsidRPr="59115C3B">
              <w:rPr>
                <w:b/>
                <w:bCs/>
                <w:noProof/>
                <w:color w:val="000000" w:themeColor="text1"/>
              </w:rPr>
              <w:t>If yes, are there any specific subgroups</w:t>
            </w:r>
            <w:r>
              <w:rPr>
                <w:noProof/>
              </w:rPr>
              <w:t xml:space="preserve"> </w:t>
            </w:r>
            <w:r w:rsidRPr="59115C3B">
              <w:rPr>
                <w:b/>
                <w:bCs/>
                <w:noProof/>
                <w:color w:val="000000" w:themeColor="text1"/>
              </w:rPr>
              <w:t>of SMEs more exposed than others?</w:t>
            </w:r>
          </w:p>
        </w:tc>
      </w:tr>
      <w:tr w:rsidR="00442053" w:rsidRPr="00AF61BA" w14:paraId="40637745" w14:textId="77777777">
        <w:tc>
          <w:tcPr>
            <w:tcW w:w="9288" w:type="dxa"/>
          </w:tcPr>
          <w:p w14:paraId="0EE69EB6" w14:textId="5EBD514F" w:rsidR="00442053" w:rsidRPr="00AF61BA" w:rsidRDefault="00442053">
            <w:pPr>
              <w:rPr>
                <w:i/>
                <w:iCs/>
                <w:noProof/>
                <w:color w:val="000000" w:themeColor="text1"/>
              </w:rPr>
            </w:pPr>
            <w:r>
              <w:rPr>
                <w:i/>
                <w:iCs/>
                <w:noProof/>
                <w:color w:val="000000" w:themeColor="text1"/>
              </w:rPr>
              <w:t>No</w:t>
            </w:r>
          </w:p>
        </w:tc>
      </w:tr>
      <w:tr w:rsidR="00442053" w:rsidRPr="00AF61BA" w14:paraId="2AC088AB" w14:textId="77777777">
        <w:tc>
          <w:tcPr>
            <w:tcW w:w="9288" w:type="dxa"/>
          </w:tcPr>
          <w:p w14:paraId="42E37306" w14:textId="77777777" w:rsidR="00442053" w:rsidRPr="00AF61BA" w:rsidRDefault="00442053">
            <w:pPr>
              <w:rPr>
                <w:b/>
                <w:bCs/>
                <w:noProof/>
                <w:color w:val="000000" w:themeColor="text1"/>
              </w:rPr>
            </w:pPr>
            <w:r w:rsidRPr="4E03C77D">
              <w:rPr>
                <w:b/>
                <w:bCs/>
                <w:noProof/>
                <w:color w:val="000000" w:themeColor="text1"/>
              </w:rPr>
              <w:t xml:space="preserve">Have mitigating measures been included in the preferred option/proposal? </w:t>
            </w:r>
            <w:r w:rsidRPr="4E03C77D">
              <w:rPr>
                <w:noProof/>
                <w:color w:val="000000" w:themeColor="text1"/>
              </w:rPr>
              <w:t xml:space="preserve">(Yes/No) </w:t>
            </w:r>
          </w:p>
        </w:tc>
      </w:tr>
      <w:tr w:rsidR="00442053" w:rsidRPr="00AF61BA" w14:paraId="5A755A65" w14:textId="77777777">
        <w:tc>
          <w:tcPr>
            <w:tcW w:w="9288" w:type="dxa"/>
          </w:tcPr>
          <w:p w14:paraId="3747D9A5" w14:textId="1FE53152" w:rsidR="00442053" w:rsidRPr="00AF61BA" w:rsidRDefault="00442053">
            <w:pPr>
              <w:rPr>
                <w:i/>
                <w:iCs/>
                <w:noProof/>
                <w:color w:val="000000" w:themeColor="text1"/>
              </w:rPr>
            </w:pPr>
            <w:r>
              <w:rPr>
                <w:i/>
                <w:iCs/>
                <w:noProof/>
                <w:color w:val="000000" w:themeColor="text1"/>
              </w:rPr>
              <w:t>No</w:t>
            </w:r>
          </w:p>
        </w:tc>
      </w:tr>
    </w:tbl>
    <w:p w14:paraId="6319AB28" w14:textId="3AD888A4" w:rsidR="00442053" w:rsidRDefault="00442053" w:rsidP="00442053">
      <w:pPr>
        <w:spacing w:after="0"/>
        <w:rPr>
          <w:b/>
          <w:bCs/>
          <w:smallCaps/>
          <w:noProof/>
          <w:color w:val="000000" w:themeColor="text1"/>
        </w:rPr>
      </w:pPr>
    </w:p>
    <w:tbl>
      <w:tblPr>
        <w:tblStyle w:val="TableGrid"/>
        <w:tblW w:w="8784" w:type="dxa"/>
        <w:tblLayout w:type="fixed"/>
        <w:tblLook w:val="06A0" w:firstRow="1" w:lastRow="0" w:firstColumn="1" w:lastColumn="0" w:noHBand="1" w:noVBand="1"/>
      </w:tblPr>
      <w:tblGrid>
        <w:gridCol w:w="8784"/>
      </w:tblGrid>
      <w:tr w:rsidR="00442053" w14:paraId="17F06094" w14:textId="77777777" w:rsidTr="4321A1A3">
        <w:trPr>
          <w:trHeight w:val="300"/>
        </w:trPr>
        <w:tc>
          <w:tcPr>
            <w:tcW w:w="8784" w:type="dxa"/>
          </w:tcPr>
          <w:p w14:paraId="6AC80EE5" w14:textId="77777777" w:rsidR="00442053" w:rsidRDefault="00442053">
            <w:pPr>
              <w:rPr>
                <w:b/>
                <w:bCs/>
                <w:smallCaps/>
                <w:noProof/>
                <w:color w:val="000000" w:themeColor="text1"/>
              </w:rPr>
            </w:pPr>
            <w:r w:rsidRPr="4EBE68BB">
              <w:rPr>
                <w:b/>
                <w:bCs/>
                <w:smallCaps/>
                <w:noProof/>
                <w:color w:val="000000" w:themeColor="text1"/>
              </w:rPr>
              <w:t>Contribution to the 35% burden reduction target for SMEs</w:t>
            </w:r>
          </w:p>
        </w:tc>
      </w:tr>
      <w:tr w:rsidR="00442053" w14:paraId="083EA821" w14:textId="77777777" w:rsidTr="4321A1A3">
        <w:trPr>
          <w:trHeight w:val="300"/>
        </w:trPr>
        <w:tc>
          <w:tcPr>
            <w:tcW w:w="8784" w:type="dxa"/>
          </w:tcPr>
          <w:p w14:paraId="7BB5CB21" w14:textId="77777777" w:rsidR="00442053" w:rsidRDefault="00442053">
            <w:pPr>
              <w:rPr>
                <w:b/>
                <w:bCs/>
                <w:noProof/>
                <w:color w:val="000000" w:themeColor="text1"/>
              </w:rPr>
            </w:pPr>
            <w:r w:rsidRPr="4EBE68BB">
              <w:rPr>
                <w:b/>
                <w:bCs/>
                <w:noProof/>
                <w:color w:val="000000" w:themeColor="text1"/>
              </w:rPr>
              <w:t>Are there any administrative cost savings relevant for the 35% burden reduction target for SMEs?</w:t>
            </w:r>
          </w:p>
        </w:tc>
      </w:tr>
      <w:tr w:rsidR="00442053" w14:paraId="212B8C52" w14:textId="77777777" w:rsidTr="4321A1A3">
        <w:trPr>
          <w:trHeight w:val="300"/>
        </w:trPr>
        <w:tc>
          <w:tcPr>
            <w:tcW w:w="8784" w:type="dxa"/>
          </w:tcPr>
          <w:p w14:paraId="66C4A645" w14:textId="554A7839" w:rsidR="00442053" w:rsidRDefault="670E612B">
            <w:pPr>
              <w:rPr>
                <w:noProof/>
                <w:color w:val="000000" w:themeColor="text1"/>
              </w:rPr>
            </w:pPr>
            <w:r w:rsidRPr="4321A1A3">
              <w:rPr>
                <w:i/>
                <w:iCs/>
                <w:noProof/>
                <w:color w:val="000000" w:themeColor="text1"/>
              </w:rPr>
              <w:t xml:space="preserve">Yes. The initiative is expected to generate compliance cost savings for </w:t>
            </w:r>
            <w:r w:rsidR="0E9674DA" w:rsidRPr="4321A1A3">
              <w:rPr>
                <w:i/>
                <w:iCs/>
                <w:noProof/>
              </w:rPr>
              <w:t xml:space="preserve">businesses </w:t>
            </w:r>
            <w:r w:rsidRPr="4321A1A3">
              <w:rPr>
                <w:i/>
                <w:iCs/>
                <w:noProof/>
                <w:color w:val="000000" w:themeColor="text1"/>
              </w:rPr>
              <w:t>subject to DAC reporting obligations. Given that SMEs represent a large share of reporting entities and face relatively higher compliance costs, a substantial portion of these savings is expected to accrue to SMEs. However, due to data limitations, the exact contribution to the 35% burden reduction target cannot be quantified.</w:t>
            </w:r>
          </w:p>
        </w:tc>
      </w:tr>
    </w:tbl>
    <w:p w14:paraId="1EB2E4CE" w14:textId="01E0907F" w:rsidR="00442053" w:rsidRPr="00AF61BA" w:rsidRDefault="00442053" w:rsidP="00442053">
      <w:pPr>
        <w:spacing w:before="360" w:after="0"/>
        <w:rPr>
          <w:noProof/>
          <w:color w:val="000000" w:themeColor="text1"/>
          <w:sz w:val="28"/>
          <w:szCs w:val="28"/>
        </w:rPr>
      </w:pPr>
      <w:r w:rsidRPr="1599A2D9">
        <w:rPr>
          <w:b/>
          <w:bCs/>
          <w:smallCaps/>
          <w:noProof/>
          <w:color w:val="000000" w:themeColor="text1"/>
          <w:sz w:val="28"/>
          <w:szCs w:val="28"/>
        </w:rPr>
        <w:t xml:space="preserve">Additional information </w:t>
      </w:r>
    </w:p>
    <w:p w14:paraId="3EC00A6D" w14:textId="74FC38F8" w:rsidR="00442053" w:rsidRPr="00CC4DF6" w:rsidRDefault="00442053" w:rsidP="00442053">
      <w:pPr>
        <w:spacing w:after="200" w:line="276" w:lineRule="auto"/>
        <w:jc w:val="left"/>
        <w:rPr>
          <w:rFonts w:eastAsia="Times New Roman"/>
          <w:b/>
          <w:smallCaps/>
          <w:noProof/>
          <w:sz w:val="32"/>
          <w:szCs w:val="32"/>
        </w:rPr>
      </w:pPr>
      <w:r>
        <w:rPr>
          <w:i/>
          <w:iCs/>
          <w:noProof/>
          <w:color w:val="000000" w:themeColor="text1"/>
        </w:rPr>
        <w:t>None</w:t>
      </w:r>
    </w:p>
    <w:p w14:paraId="32D73BF3" w14:textId="77777777" w:rsidR="00341B36" w:rsidRDefault="00341B36" w:rsidP="007C03FA">
      <w:pPr>
        <w:rPr>
          <w:noProof/>
          <w:lang w:val="en-IE"/>
        </w:rPr>
      </w:pPr>
    </w:p>
    <w:p w14:paraId="13F8DE27" w14:textId="77777777" w:rsidR="00235522" w:rsidRPr="0072406E" w:rsidRDefault="00235522" w:rsidP="00D154A9">
      <w:pPr>
        <w:pStyle w:val="AnnexTitle"/>
        <w:rPr>
          <w:rFonts w:eastAsiaTheme="minorEastAsia"/>
          <w:noProof/>
        </w:rPr>
      </w:pPr>
      <w:bookmarkStart w:id="79" w:name="_Toc231816740"/>
      <w:r w:rsidRPr="0072406E">
        <w:rPr>
          <w:rFonts w:eastAsiaTheme="minorEastAsia"/>
          <w:bCs/>
          <w:noProof/>
        </w:rPr>
        <w:t xml:space="preserve">Annex 7: </w:t>
      </w:r>
      <w:r w:rsidRPr="0072406E">
        <w:rPr>
          <w:rFonts w:eastAsiaTheme="minorEastAsia"/>
          <w:noProof/>
        </w:rPr>
        <w:t>Overview of selected reporting and exchange mechanisms in the Directive on Administrative Cooperation (DAC)</w:t>
      </w:r>
      <w:bookmarkEnd w:id="79"/>
    </w:p>
    <w:p w14:paraId="40B5F73F" w14:textId="77777777" w:rsidR="00235522" w:rsidRPr="0072406E" w:rsidRDefault="00235522" w:rsidP="00235522">
      <w:pPr>
        <w:rPr>
          <w:noProof/>
        </w:rPr>
      </w:pPr>
      <w:r w:rsidRPr="0072406E">
        <w:rPr>
          <w:noProof/>
        </w:rPr>
        <w:t>Council Directive 2011/16/EU on administrative cooperation in the field of taxation (DAC) establishes the framework for administrative cooperation and exchange of information between Member States’ tax authorities. The Directive provides for different forms of cooperation, including exchange of information on request, spontaneous exchange of information and automatic exchange of information.</w:t>
      </w:r>
    </w:p>
    <w:p w14:paraId="1FDB1038" w14:textId="77777777" w:rsidR="00235522" w:rsidRPr="0072406E" w:rsidRDefault="00235522" w:rsidP="00235522">
      <w:pPr>
        <w:rPr>
          <w:noProof/>
        </w:rPr>
      </w:pPr>
      <w:r w:rsidRPr="0072406E">
        <w:rPr>
          <w:noProof/>
        </w:rPr>
        <w:t>Since its adoption, the Directive has been amended several times in order to extend the scope of information exchanged between tax authorities and to address emerging risks related to tax evasion, tax avoidance and aggressive tax planning.</w:t>
      </w:r>
    </w:p>
    <w:p w14:paraId="0E3DBC67" w14:textId="77777777" w:rsidR="00715B1E" w:rsidRDefault="00235522" w:rsidP="00830145">
      <w:pPr>
        <w:spacing w:before="120" w:after="120"/>
        <w:contextualSpacing/>
        <w:rPr>
          <w:b/>
          <w:bCs/>
          <w:noProof/>
        </w:rPr>
      </w:pPr>
      <w:r w:rsidRPr="0072406E">
        <w:rPr>
          <w:noProof/>
        </w:rPr>
        <w:t xml:space="preserve">This annex provides a brief overview of the </w:t>
      </w:r>
      <w:r w:rsidR="00F963BF">
        <w:rPr>
          <w:noProof/>
        </w:rPr>
        <w:t xml:space="preserve">rationale for not amending DAC2, </w:t>
      </w:r>
      <w:r w:rsidR="00715B1E">
        <w:rPr>
          <w:noProof/>
        </w:rPr>
        <w:t xml:space="preserve">DAC3 and </w:t>
      </w:r>
      <w:r w:rsidR="00F963BF">
        <w:rPr>
          <w:noProof/>
        </w:rPr>
        <w:t xml:space="preserve">DAC8 and conversely details the </w:t>
      </w:r>
      <w:r w:rsidR="00F963BF" w:rsidRPr="0072406E">
        <w:rPr>
          <w:noProof/>
        </w:rPr>
        <w:t xml:space="preserve">amendments </w:t>
      </w:r>
      <w:r w:rsidR="00F963BF">
        <w:rPr>
          <w:noProof/>
        </w:rPr>
        <w:t xml:space="preserve">which are </w:t>
      </w:r>
      <w:r w:rsidR="00F963BF" w:rsidRPr="0072406E">
        <w:rPr>
          <w:noProof/>
        </w:rPr>
        <w:t xml:space="preserve">relevant for this impact assessment, namely </w:t>
      </w:r>
      <w:r w:rsidR="00F963BF" w:rsidRPr="0072406E">
        <w:rPr>
          <w:b/>
          <w:bCs/>
          <w:noProof/>
        </w:rPr>
        <w:t xml:space="preserve">DAC1, DAC4, DAC6, </w:t>
      </w:r>
      <w:r w:rsidR="00F963BF">
        <w:rPr>
          <w:b/>
          <w:bCs/>
          <w:noProof/>
        </w:rPr>
        <w:t xml:space="preserve">and </w:t>
      </w:r>
      <w:r w:rsidR="00F963BF" w:rsidRPr="0072406E">
        <w:rPr>
          <w:b/>
          <w:bCs/>
          <w:noProof/>
        </w:rPr>
        <w:t>DAC7</w:t>
      </w:r>
      <w:r w:rsidR="00715B1E">
        <w:rPr>
          <w:b/>
          <w:bCs/>
          <w:noProof/>
        </w:rPr>
        <w:t xml:space="preserve"> and DAC9</w:t>
      </w:r>
      <w:r w:rsidR="00F963BF">
        <w:rPr>
          <w:b/>
          <w:bCs/>
          <w:noProof/>
        </w:rPr>
        <w:t>.</w:t>
      </w:r>
    </w:p>
    <w:p w14:paraId="221A78C9" w14:textId="77777777" w:rsidR="00715B1E" w:rsidRDefault="00715B1E" w:rsidP="00830145">
      <w:pPr>
        <w:spacing w:before="120" w:after="120"/>
        <w:contextualSpacing/>
        <w:rPr>
          <w:b/>
          <w:bCs/>
          <w:noProof/>
        </w:rPr>
      </w:pPr>
    </w:p>
    <w:p w14:paraId="6126D52C" w14:textId="77777777" w:rsidR="00715B1E" w:rsidRDefault="00F963BF">
      <w:pPr>
        <w:spacing w:before="120" w:after="120"/>
        <w:contextualSpacing/>
        <w:rPr>
          <w:rFonts w:eastAsia="Times New Roman"/>
          <w:b/>
          <w:bCs/>
          <w:noProof/>
          <w:color w:val="000000" w:themeColor="text1"/>
          <w:szCs w:val="20"/>
        </w:rPr>
      </w:pPr>
      <w:r w:rsidRPr="00F963BF">
        <w:rPr>
          <w:rFonts w:eastAsia="Times New Roman"/>
          <w:b/>
          <w:bCs/>
          <w:noProof/>
          <w:color w:val="000000" w:themeColor="text1"/>
          <w:szCs w:val="20"/>
        </w:rPr>
        <w:t>DAC2</w:t>
      </w:r>
      <w:r w:rsidRPr="00715B1E">
        <w:rPr>
          <w:rFonts w:eastAsia="Times New Roman"/>
          <w:b/>
          <w:bCs/>
          <w:noProof/>
          <w:color w:val="000000" w:themeColor="text1"/>
          <w:szCs w:val="20"/>
        </w:rPr>
        <w:t xml:space="preserve"> – Automatic exchange of financial account information</w:t>
      </w:r>
    </w:p>
    <w:p w14:paraId="34797CF7" w14:textId="77777777" w:rsidR="00715B1E" w:rsidRDefault="00715B1E" w:rsidP="00715B1E">
      <w:pPr>
        <w:spacing w:before="120" w:after="120"/>
        <w:contextualSpacing/>
        <w:rPr>
          <w:rFonts w:eastAsia="Times New Roman"/>
          <w:b/>
          <w:bCs/>
          <w:noProof/>
          <w:color w:val="000000" w:themeColor="text1"/>
          <w:szCs w:val="20"/>
        </w:rPr>
      </w:pPr>
    </w:p>
    <w:p w14:paraId="142FCC23" w14:textId="739BA0EC" w:rsidR="00F963BF" w:rsidRDefault="00F963BF" w:rsidP="00715B1E">
      <w:pPr>
        <w:spacing w:before="120" w:after="120"/>
        <w:contextualSpacing/>
        <w:rPr>
          <w:rFonts w:eastAsia="Times New Roman"/>
          <w:noProof/>
          <w:color w:val="000000" w:themeColor="text1"/>
          <w:szCs w:val="20"/>
        </w:rPr>
      </w:pPr>
      <w:r>
        <w:rPr>
          <w:rFonts w:eastAsia="Times New Roman"/>
          <w:noProof/>
          <w:color w:val="000000" w:themeColor="text1"/>
          <w:szCs w:val="20"/>
        </w:rPr>
        <w:t xml:space="preserve">DAC2 </w:t>
      </w:r>
      <w:r w:rsidRPr="009C04F3">
        <w:rPr>
          <w:rFonts w:eastAsia="Times New Roman"/>
          <w:noProof/>
          <w:color w:val="000000" w:themeColor="text1"/>
          <w:szCs w:val="20"/>
        </w:rPr>
        <w:t>implements into EU law the Common Reporting Standard (CRS) developed by the OECD. This is an international standard which is in force since 2014 and has already been subject to revision in 2022 to reflect global developments (the changes have been incorporated into EU law through DAC8). No further issues have emerged in relation to DAC2, and this directive has not been identified by stakeholders as an area where there is potential for simplification.</w:t>
      </w:r>
    </w:p>
    <w:p w14:paraId="40EBA658" w14:textId="77777777" w:rsidR="00715B1E" w:rsidRDefault="00715B1E" w:rsidP="00715B1E">
      <w:pPr>
        <w:spacing w:before="120" w:after="120"/>
        <w:contextualSpacing/>
        <w:rPr>
          <w:rFonts w:eastAsia="Times New Roman"/>
          <w:noProof/>
          <w:color w:val="000000" w:themeColor="text1"/>
          <w:szCs w:val="20"/>
        </w:rPr>
      </w:pPr>
    </w:p>
    <w:p w14:paraId="650BDC17" w14:textId="77777777" w:rsidR="00715B1E" w:rsidRDefault="00715B1E" w:rsidP="00715B1E">
      <w:pPr>
        <w:spacing w:before="120" w:after="120"/>
        <w:contextualSpacing/>
        <w:rPr>
          <w:rFonts w:eastAsia="Times New Roman"/>
          <w:b/>
          <w:bCs/>
          <w:noProof/>
          <w:color w:val="000000" w:themeColor="text1"/>
          <w:szCs w:val="20"/>
        </w:rPr>
      </w:pPr>
      <w:r w:rsidRPr="00FD5459">
        <w:rPr>
          <w:rFonts w:eastAsia="Times New Roman"/>
          <w:b/>
          <w:bCs/>
          <w:noProof/>
          <w:color w:val="000000" w:themeColor="text1"/>
          <w:szCs w:val="20"/>
        </w:rPr>
        <w:t xml:space="preserve">DAC3 </w:t>
      </w:r>
      <w:r>
        <w:rPr>
          <w:rFonts w:eastAsia="Times New Roman"/>
          <w:b/>
          <w:bCs/>
          <w:noProof/>
          <w:color w:val="000000" w:themeColor="text1"/>
          <w:szCs w:val="20"/>
        </w:rPr>
        <w:t>– Exchange of cross-border rulings and advance pricing agreements</w:t>
      </w:r>
    </w:p>
    <w:p w14:paraId="1307538C" w14:textId="77777777" w:rsidR="00715B1E" w:rsidRDefault="00715B1E" w:rsidP="00715B1E">
      <w:pPr>
        <w:spacing w:before="120" w:after="120"/>
        <w:contextualSpacing/>
        <w:rPr>
          <w:rFonts w:eastAsia="Times New Roman"/>
          <w:b/>
          <w:bCs/>
          <w:noProof/>
          <w:color w:val="000000" w:themeColor="text1"/>
          <w:szCs w:val="20"/>
        </w:rPr>
      </w:pPr>
    </w:p>
    <w:p w14:paraId="1B1CD8A2" w14:textId="77777777" w:rsidR="00715B1E" w:rsidRPr="009C04F3" w:rsidRDefault="00715B1E" w:rsidP="00715B1E">
      <w:pPr>
        <w:spacing w:before="120" w:after="120"/>
        <w:contextualSpacing/>
        <w:rPr>
          <w:rFonts w:eastAsia="Times New Roman"/>
          <w:noProof/>
          <w:color w:val="000000" w:themeColor="text1"/>
          <w:szCs w:val="20"/>
        </w:rPr>
      </w:pPr>
      <w:r w:rsidRPr="00FD5459">
        <w:rPr>
          <w:rFonts w:eastAsia="Times New Roman"/>
          <w:noProof/>
          <w:color w:val="000000" w:themeColor="text1"/>
          <w:szCs w:val="20"/>
          <w:lang w:val="en-IE"/>
        </w:rPr>
        <w:t>In 2015, the DAC was amended by Council Directive (EU) 2015/2376 (DAC3). DAC3 extends the scope of the existing provisions in relation to AEOI and administrative cooperation between EU Member States. DAC3 obliges tax administrations to automatically exchange information on advance cross-border tax rulings and advance pricing agreements with other Member States</w:t>
      </w:r>
      <w:r>
        <w:rPr>
          <w:rFonts w:eastAsia="Times New Roman"/>
          <w:noProof/>
          <w:color w:val="000000" w:themeColor="text1"/>
          <w:szCs w:val="20"/>
          <w:lang w:val="en-IE"/>
        </w:rPr>
        <w:t xml:space="preserve">. </w:t>
      </w:r>
      <w:r>
        <w:rPr>
          <w:rFonts w:eastAsia="Times New Roman"/>
          <w:noProof/>
          <w:color w:val="000000" w:themeColor="text1"/>
          <w:szCs w:val="20"/>
        </w:rPr>
        <w:t>N</w:t>
      </w:r>
      <w:r w:rsidRPr="009C04F3">
        <w:rPr>
          <w:rFonts w:eastAsia="Times New Roman"/>
          <w:noProof/>
          <w:color w:val="000000" w:themeColor="text1"/>
          <w:szCs w:val="20"/>
        </w:rPr>
        <w:t xml:space="preserve">o potential for simplification of this reporting framework has been identified </w:t>
      </w:r>
      <w:r>
        <w:rPr>
          <w:rFonts w:eastAsia="Times New Roman"/>
          <w:noProof/>
          <w:color w:val="000000" w:themeColor="text1"/>
          <w:szCs w:val="20"/>
        </w:rPr>
        <w:t>by</w:t>
      </w:r>
      <w:r w:rsidRPr="009C04F3">
        <w:rPr>
          <w:rFonts w:eastAsia="Times New Roman"/>
          <w:noProof/>
          <w:color w:val="000000" w:themeColor="text1"/>
          <w:szCs w:val="20"/>
        </w:rPr>
        <w:t xml:space="preserve"> the Commission services or stakeholders. </w:t>
      </w:r>
    </w:p>
    <w:p w14:paraId="092BD32D" w14:textId="77777777" w:rsidR="00715B1E" w:rsidRPr="00715B1E" w:rsidRDefault="00715B1E" w:rsidP="00715B1E">
      <w:pPr>
        <w:spacing w:before="120" w:after="120"/>
        <w:contextualSpacing/>
        <w:rPr>
          <w:rFonts w:eastAsia="Times New Roman"/>
          <w:b/>
          <w:bCs/>
          <w:noProof/>
          <w:color w:val="000000" w:themeColor="text1"/>
          <w:szCs w:val="20"/>
        </w:rPr>
      </w:pPr>
    </w:p>
    <w:p w14:paraId="5619C5C5" w14:textId="77777777" w:rsidR="00F963BF" w:rsidRDefault="00F963BF" w:rsidP="00830145">
      <w:pPr>
        <w:spacing w:before="120" w:after="120"/>
        <w:contextualSpacing/>
        <w:rPr>
          <w:rFonts w:eastAsia="Times New Roman"/>
          <w:b/>
          <w:bCs/>
          <w:noProof/>
          <w:color w:val="000000" w:themeColor="text1"/>
          <w:szCs w:val="20"/>
        </w:rPr>
      </w:pPr>
    </w:p>
    <w:p w14:paraId="4477EE45" w14:textId="77777777" w:rsidR="00715B1E" w:rsidRDefault="00F963BF">
      <w:pPr>
        <w:spacing w:before="120" w:after="120"/>
        <w:contextualSpacing/>
        <w:rPr>
          <w:rFonts w:eastAsia="Times New Roman"/>
          <w:b/>
          <w:bCs/>
          <w:noProof/>
          <w:color w:val="000000" w:themeColor="text1"/>
          <w:szCs w:val="20"/>
        </w:rPr>
      </w:pPr>
      <w:r w:rsidRPr="009C04F3">
        <w:rPr>
          <w:rFonts w:eastAsia="Times New Roman"/>
          <w:b/>
          <w:bCs/>
          <w:noProof/>
          <w:color w:val="000000" w:themeColor="text1"/>
          <w:szCs w:val="20"/>
        </w:rPr>
        <w:t>DAC8</w:t>
      </w:r>
      <w:r>
        <w:rPr>
          <w:rFonts w:eastAsia="Times New Roman"/>
          <w:b/>
          <w:bCs/>
          <w:noProof/>
          <w:color w:val="000000" w:themeColor="text1"/>
          <w:szCs w:val="20"/>
        </w:rPr>
        <w:t xml:space="preserve"> – Automatic exchange of crypto-assets information</w:t>
      </w:r>
    </w:p>
    <w:p w14:paraId="39489A81" w14:textId="77777777" w:rsidR="00715B1E" w:rsidRDefault="00715B1E" w:rsidP="00715B1E">
      <w:pPr>
        <w:spacing w:before="120" w:after="120"/>
        <w:contextualSpacing/>
        <w:rPr>
          <w:rFonts w:eastAsia="Times New Roman"/>
          <w:b/>
          <w:bCs/>
          <w:noProof/>
          <w:color w:val="000000" w:themeColor="text1"/>
          <w:szCs w:val="20"/>
        </w:rPr>
      </w:pPr>
    </w:p>
    <w:p w14:paraId="716EC20E" w14:textId="3A0051A3" w:rsidR="00F963BF" w:rsidRDefault="00F963BF" w:rsidP="00715B1E">
      <w:pPr>
        <w:spacing w:before="120" w:after="120"/>
        <w:contextualSpacing/>
        <w:rPr>
          <w:rFonts w:eastAsia="Times New Roman"/>
          <w:noProof/>
          <w:color w:val="000000" w:themeColor="text1"/>
          <w:szCs w:val="20"/>
        </w:rPr>
      </w:pPr>
      <w:r>
        <w:rPr>
          <w:rFonts w:eastAsia="Times New Roman"/>
          <w:noProof/>
          <w:color w:val="000000" w:themeColor="text1"/>
          <w:szCs w:val="20"/>
        </w:rPr>
        <w:t xml:space="preserve">DAC8 </w:t>
      </w:r>
      <w:r w:rsidRPr="009C04F3">
        <w:rPr>
          <w:rFonts w:eastAsia="Times New Roman"/>
          <w:noProof/>
          <w:color w:val="000000" w:themeColor="text1"/>
          <w:szCs w:val="20"/>
        </w:rPr>
        <w:t xml:space="preserve">implements into EU law the OECD Crypto-Asset Reporting Framework (CARF). As the directive only applies from 1 January 2026 and no reporting has yet taken place, no potential for simplification of this reporting framework has been identified so far by the OECD, the Commission services or stakeholders. </w:t>
      </w:r>
    </w:p>
    <w:p w14:paraId="5C34B265" w14:textId="77777777" w:rsidR="00715B1E" w:rsidRDefault="00715B1E" w:rsidP="00715B1E">
      <w:pPr>
        <w:spacing w:before="120" w:after="120"/>
        <w:contextualSpacing/>
        <w:rPr>
          <w:rFonts w:eastAsia="Times New Roman"/>
          <w:noProof/>
          <w:color w:val="000000" w:themeColor="text1"/>
          <w:szCs w:val="20"/>
        </w:rPr>
      </w:pPr>
    </w:p>
    <w:p w14:paraId="04A29D15" w14:textId="77777777" w:rsidR="00715B1E" w:rsidRDefault="00715B1E" w:rsidP="00715B1E">
      <w:pPr>
        <w:spacing w:before="120" w:after="120"/>
        <w:contextualSpacing/>
        <w:rPr>
          <w:rFonts w:eastAsia="Times New Roman"/>
          <w:noProof/>
          <w:color w:val="000000" w:themeColor="text1"/>
          <w:szCs w:val="20"/>
        </w:rPr>
      </w:pPr>
    </w:p>
    <w:p w14:paraId="0361A6BD" w14:textId="77777777" w:rsidR="00715B1E" w:rsidRPr="00715B1E" w:rsidRDefault="00715B1E" w:rsidP="00715B1E">
      <w:pPr>
        <w:spacing w:before="120" w:after="120"/>
        <w:contextualSpacing/>
        <w:rPr>
          <w:rFonts w:eastAsia="Times New Roman"/>
          <w:b/>
          <w:bCs/>
          <w:noProof/>
          <w:color w:val="000000" w:themeColor="text1"/>
          <w:szCs w:val="20"/>
        </w:rPr>
      </w:pPr>
    </w:p>
    <w:p w14:paraId="23AD1BCF" w14:textId="77777777" w:rsidR="00F963BF" w:rsidRDefault="00F963BF" w:rsidP="00830145">
      <w:pPr>
        <w:spacing w:before="120" w:after="120"/>
        <w:contextualSpacing/>
        <w:rPr>
          <w:rFonts w:eastAsia="Times New Roman"/>
          <w:b/>
          <w:bCs/>
          <w:noProof/>
          <w:color w:val="000000" w:themeColor="text1"/>
          <w:szCs w:val="20"/>
        </w:rPr>
      </w:pPr>
    </w:p>
    <w:p w14:paraId="459E15F2" w14:textId="77777777" w:rsidR="00F963BF" w:rsidRDefault="00F963BF" w:rsidP="00235522">
      <w:pPr>
        <w:rPr>
          <w:noProof/>
        </w:rPr>
      </w:pPr>
    </w:p>
    <w:p w14:paraId="4FF7849F" w14:textId="3F0AE3A5" w:rsidR="00235522" w:rsidRPr="0072406E" w:rsidRDefault="00235522" w:rsidP="00235522">
      <w:pPr>
        <w:rPr>
          <w:b/>
          <w:bCs/>
          <w:noProof/>
        </w:rPr>
      </w:pPr>
      <w:r w:rsidRPr="0072406E">
        <w:rPr>
          <w:b/>
          <w:bCs/>
          <w:noProof/>
        </w:rPr>
        <w:t>DAC1 – Automatic exchange of information on certain categories of income and assets</w:t>
      </w:r>
    </w:p>
    <w:p w14:paraId="65A79935" w14:textId="77777777" w:rsidR="00235522" w:rsidRPr="0072406E" w:rsidRDefault="00235522" w:rsidP="00235522">
      <w:pPr>
        <w:rPr>
          <w:noProof/>
        </w:rPr>
      </w:pPr>
      <w:r w:rsidRPr="0072406E">
        <w:rPr>
          <w:noProof/>
        </w:rPr>
        <w:t xml:space="preserve">DAC1 introduced the </w:t>
      </w:r>
      <w:r w:rsidRPr="0072406E">
        <w:rPr>
          <w:b/>
          <w:bCs/>
          <w:noProof/>
        </w:rPr>
        <w:t>automatic exchange of information (AEOI)</w:t>
      </w:r>
      <w:r w:rsidRPr="0072406E">
        <w:rPr>
          <w:noProof/>
        </w:rPr>
        <w:t xml:space="preserve"> between Member States (MS) on certain categories of income received and assets held by taxpayers in another MS than their MS of residence.</w:t>
      </w:r>
    </w:p>
    <w:p w14:paraId="69AD7119" w14:textId="77777777" w:rsidR="00235522" w:rsidRPr="0072406E" w:rsidRDefault="00235522" w:rsidP="00235522">
      <w:pPr>
        <w:rPr>
          <w:noProof/>
        </w:rPr>
      </w:pPr>
      <w:r w:rsidRPr="0072406E">
        <w:rPr>
          <w:noProof/>
        </w:rPr>
        <w:t>The main goal of DAC1 AEOI is to ensure tax fairness between the taxation of income received and wealth held nationally by EU taxpayers and income received and wealth held in other MS. MS can also use the information received to check if taxes have been levied in the other MS to avoid double taxation of the taxpayer.</w:t>
      </w:r>
    </w:p>
    <w:p w14:paraId="3DD8CD09" w14:textId="77777777" w:rsidR="00235522" w:rsidRPr="0072406E" w:rsidRDefault="00235522" w:rsidP="00235522">
      <w:pPr>
        <w:rPr>
          <w:noProof/>
        </w:rPr>
      </w:pPr>
      <w:r w:rsidRPr="0072406E">
        <w:rPr>
          <w:noProof/>
        </w:rPr>
        <w:t>The categories of information covered include:</w:t>
      </w:r>
    </w:p>
    <w:p w14:paraId="413E9CE6" w14:textId="77777777" w:rsidR="00235522" w:rsidRPr="0072406E" w:rsidRDefault="55753BEF" w:rsidP="4321A1A3">
      <w:pPr>
        <w:numPr>
          <w:ilvl w:val="0"/>
          <w:numId w:val="16"/>
        </w:numPr>
        <w:spacing w:after="0" w:line="278" w:lineRule="auto"/>
        <w:rPr>
          <w:noProof/>
        </w:rPr>
      </w:pPr>
      <w:r>
        <w:rPr>
          <w:noProof/>
        </w:rPr>
        <w:t>Employment income</w:t>
      </w:r>
    </w:p>
    <w:p w14:paraId="1A15FA19" w14:textId="77777777" w:rsidR="00235522" w:rsidRPr="0072406E" w:rsidRDefault="55753BEF" w:rsidP="4321A1A3">
      <w:pPr>
        <w:numPr>
          <w:ilvl w:val="0"/>
          <w:numId w:val="16"/>
        </w:numPr>
        <w:spacing w:after="0" w:line="278" w:lineRule="auto"/>
        <w:rPr>
          <w:noProof/>
        </w:rPr>
      </w:pPr>
      <w:r>
        <w:rPr>
          <w:noProof/>
        </w:rPr>
        <w:t>Directors’ fees</w:t>
      </w:r>
    </w:p>
    <w:p w14:paraId="5828630D" w14:textId="77777777" w:rsidR="00235522" w:rsidRPr="0072406E" w:rsidRDefault="55753BEF" w:rsidP="4321A1A3">
      <w:pPr>
        <w:numPr>
          <w:ilvl w:val="0"/>
          <w:numId w:val="16"/>
        </w:numPr>
        <w:spacing w:after="0" w:line="278" w:lineRule="auto"/>
        <w:rPr>
          <w:noProof/>
        </w:rPr>
      </w:pPr>
      <w:r>
        <w:rPr>
          <w:noProof/>
        </w:rPr>
        <w:t>Pensions</w:t>
      </w:r>
    </w:p>
    <w:p w14:paraId="206CDEFD" w14:textId="77777777" w:rsidR="00235522" w:rsidRPr="0072406E" w:rsidRDefault="55753BEF" w:rsidP="4321A1A3">
      <w:pPr>
        <w:numPr>
          <w:ilvl w:val="0"/>
          <w:numId w:val="16"/>
        </w:numPr>
        <w:spacing w:after="0" w:line="278" w:lineRule="auto"/>
        <w:rPr>
          <w:noProof/>
        </w:rPr>
      </w:pPr>
      <w:r>
        <w:rPr>
          <w:noProof/>
        </w:rPr>
        <w:t>Ownership of and income from immovable property</w:t>
      </w:r>
    </w:p>
    <w:p w14:paraId="0BB34DA8" w14:textId="77777777" w:rsidR="00235522" w:rsidRPr="0072406E" w:rsidRDefault="55753BEF" w:rsidP="4321A1A3">
      <w:pPr>
        <w:numPr>
          <w:ilvl w:val="0"/>
          <w:numId w:val="16"/>
        </w:numPr>
        <w:spacing w:after="0" w:line="278" w:lineRule="auto"/>
        <w:rPr>
          <w:noProof/>
        </w:rPr>
      </w:pPr>
      <w:r>
        <w:rPr>
          <w:noProof/>
        </w:rPr>
        <w:t>Life insurance products</w:t>
      </w:r>
    </w:p>
    <w:p w14:paraId="78B6CCEA" w14:textId="77777777" w:rsidR="00235522" w:rsidRPr="0072406E" w:rsidRDefault="55753BEF" w:rsidP="4321A1A3">
      <w:pPr>
        <w:numPr>
          <w:ilvl w:val="0"/>
          <w:numId w:val="16"/>
        </w:numPr>
        <w:spacing w:after="0" w:line="278" w:lineRule="auto"/>
        <w:rPr>
          <w:noProof/>
        </w:rPr>
      </w:pPr>
      <w:r>
        <w:rPr>
          <w:noProof/>
        </w:rPr>
        <w:t>Royalties (added via later amendments, e.g., DAC7/DAC8 context)</w:t>
      </w:r>
    </w:p>
    <w:p w14:paraId="17E037A1" w14:textId="77777777" w:rsidR="00235522" w:rsidRPr="0072406E" w:rsidRDefault="55753BEF" w:rsidP="4321A1A3">
      <w:pPr>
        <w:numPr>
          <w:ilvl w:val="0"/>
          <w:numId w:val="16"/>
        </w:numPr>
        <w:spacing w:after="0" w:line="278" w:lineRule="auto"/>
        <w:rPr>
          <w:noProof/>
        </w:rPr>
      </w:pPr>
      <w:r>
        <w:rPr>
          <w:noProof/>
        </w:rPr>
        <w:t>Non-custodial dividends (added as from 2026 via DAC8-related expansions)</w:t>
      </w:r>
    </w:p>
    <w:p w14:paraId="477EA625" w14:textId="398E89A5" w:rsidR="4321A1A3" w:rsidRDefault="4321A1A3" w:rsidP="4321A1A3">
      <w:pPr>
        <w:spacing w:after="0" w:line="278" w:lineRule="auto"/>
        <w:ind w:left="720"/>
        <w:rPr>
          <w:noProof/>
        </w:rPr>
      </w:pPr>
    </w:p>
    <w:p w14:paraId="0FC2D077" w14:textId="77777777" w:rsidR="00235522" w:rsidRDefault="00235522" w:rsidP="00235522">
      <w:pPr>
        <w:rPr>
          <w:noProof/>
        </w:rPr>
      </w:pPr>
      <w:r w:rsidRPr="0072406E">
        <w:rPr>
          <w:noProof/>
        </w:rPr>
        <w:t>MS have reported substantial revenue gains. For instance, in tax year 2022, DAC1-related exchanges on employment and pension income alone contributed to approximately EUR 117 million in additional tax revenues, primarily through enhanced risk assessments, audits, and voluntary disclosures.</w:t>
      </w:r>
    </w:p>
    <w:p w14:paraId="635EAD9E" w14:textId="10E9CD9A" w:rsidR="00235522" w:rsidRPr="00D154A9" w:rsidRDefault="00235522" w:rsidP="00235522">
      <w:pPr>
        <w:rPr>
          <w:b/>
          <w:bCs/>
          <w:noProof/>
        </w:rPr>
      </w:pPr>
      <w:r w:rsidRPr="00D154A9">
        <w:rPr>
          <w:b/>
          <w:bCs/>
          <w:noProof/>
        </w:rPr>
        <w:t>DAC4 – Automatic exchange of Country-by-Country reports</w:t>
      </w:r>
    </w:p>
    <w:p w14:paraId="4237827B" w14:textId="3A669EBE" w:rsidR="00235522" w:rsidRPr="0072406E" w:rsidRDefault="00235522" w:rsidP="00235522">
      <w:pPr>
        <w:rPr>
          <w:noProof/>
        </w:rPr>
      </w:pPr>
      <w:r w:rsidRPr="0072406E">
        <w:rPr>
          <w:noProof/>
        </w:rPr>
        <w:t xml:space="preserve">DAC4 (Council Directive (EU) 2016/881) introduced the automatic exchange of </w:t>
      </w:r>
      <w:r w:rsidRPr="0072406E">
        <w:rPr>
          <w:b/>
          <w:bCs/>
          <w:noProof/>
        </w:rPr>
        <w:t>Country-by-Country (CbC) reports</w:t>
      </w:r>
      <w:r w:rsidRPr="0072406E">
        <w:rPr>
          <w:noProof/>
        </w:rPr>
        <w:t xml:space="preserve"> for large MNE groups, implementing the OECD BEPS (Base Erosion and Profit Shifting) Action 13 standard within the EU legal framework.</w:t>
      </w:r>
    </w:p>
    <w:p w14:paraId="66957ABA" w14:textId="77777777" w:rsidR="00235522" w:rsidRPr="0072406E" w:rsidRDefault="00235522" w:rsidP="00235522">
      <w:pPr>
        <w:rPr>
          <w:noProof/>
        </w:rPr>
      </w:pPr>
      <w:r w:rsidRPr="0072406E">
        <w:rPr>
          <w:noProof/>
        </w:rPr>
        <w:t>Multinational groups with consolidated annual revenues exceeding EUR 750 million are required to file a Country-by-Country report with the tax authority of the jurisdiction of the ultimate parent entity of the group. The report shall contain aggregated information for each tax jurisdiction in which the group operates, including:</w:t>
      </w:r>
    </w:p>
    <w:p w14:paraId="0F922DCE" w14:textId="77777777" w:rsidR="00235522" w:rsidRPr="0072406E" w:rsidRDefault="55753BEF" w:rsidP="4321A1A3">
      <w:pPr>
        <w:numPr>
          <w:ilvl w:val="0"/>
          <w:numId w:val="17"/>
        </w:numPr>
        <w:spacing w:after="0" w:line="278" w:lineRule="auto"/>
        <w:rPr>
          <w:noProof/>
        </w:rPr>
      </w:pPr>
      <w:r>
        <w:rPr>
          <w:noProof/>
        </w:rPr>
        <w:t>Revenues</w:t>
      </w:r>
    </w:p>
    <w:p w14:paraId="75F3F174" w14:textId="77777777" w:rsidR="00235522" w:rsidRPr="0072406E" w:rsidRDefault="55753BEF" w:rsidP="4321A1A3">
      <w:pPr>
        <w:numPr>
          <w:ilvl w:val="0"/>
          <w:numId w:val="17"/>
        </w:numPr>
        <w:spacing w:after="0" w:line="278" w:lineRule="auto"/>
        <w:rPr>
          <w:noProof/>
        </w:rPr>
      </w:pPr>
      <w:r>
        <w:rPr>
          <w:noProof/>
        </w:rPr>
        <w:t>Profit or loss before income tax</w:t>
      </w:r>
    </w:p>
    <w:p w14:paraId="2A82E322" w14:textId="77777777" w:rsidR="00235522" w:rsidRPr="0072406E" w:rsidRDefault="55753BEF" w:rsidP="4321A1A3">
      <w:pPr>
        <w:numPr>
          <w:ilvl w:val="0"/>
          <w:numId w:val="17"/>
        </w:numPr>
        <w:spacing w:after="0" w:line="278" w:lineRule="auto"/>
        <w:rPr>
          <w:noProof/>
        </w:rPr>
      </w:pPr>
      <w:r>
        <w:rPr>
          <w:noProof/>
        </w:rPr>
        <w:t>Income tax paid and accrued</w:t>
      </w:r>
    </w:p>
    <w:p w14:paraId="7A5049B8" w14:textId="77777777" w:rsidR="00235522" w:rsidRPr="0072406E" w:rsidRDefault="55753BEF" w:rsidP="4321A1A3">
      <w:pPr>
        <w:numPr>
          <w:ilvl w:val="0"/>
          <w:numId w:val="17"/>
        </w:numPr>
        <w:spacing w:after="0" w:line="278" w:lineRule="auto"/>
        <w:rPr>
          <w:noProof/>
        </w:rPr>
      </w:pPr>
      <w:r>
        <w:rPr>
          <w:noProof/>
        </w:rPr>
        <w:t>Number of employees</w:t>
      </w:r>
    </w:p>
    <w:p w14:paraId="752904C9" w14:textId="77777777" w:rsidR="00235522" w:rsidRPr="0072406E" w:rsidRDefault="55753BEF" w:rsidP="4321A1A3">
      <w:pPr>
        <w:numPr>
          <w:ilvl w:val="0"/>
          <w:numId w:val="17"/>
        </w:numPr>
        <w:spacing w:after="0" w:line="278" w:lineRule="auto"/>
        <w:rPr>
          <w:noProof/>
        </w:rPr>
      </w:pPr>
      <w:r>
        <w:rPr>
          <w:noProof/>
        </w:rPr>
        <w:t>Stated capital, accumulated earnings, and tangible assets</w:t>
      </w:r>
    </w:p>
    <w:p w14:paraId="41A9976B" w14:textId="77777777" w:rsidR="00235522" w:rsidRPr="0072406E" w:rsidRDefault="55753BEF" w:rsidP="4321A1A3">
      <w:pPr>
        <w:numPr>
          <w:ilvl w:val="0"/>
          <w:numId w:val="17"/>
        </w:numPr>
        <w:spacing w:after="0" w:line="278" w:lineRule="auto"/>
        <w:rPr>
          <w:noProof/>
        </w:rPr>
      </w:pPr>
      <w:r>
        <w:rPr>
          <w:noProof/>
        </w:rPr>
        <w:t xml:space="preserve">Other economic activity indicators </w:t>
      </w:r>
    </w:p>
    <w:p w14:paraId="1F90D910" w14:textId="18E53D03" w:rsidR="4321A1A3" w:rsidRDefault="4321A1A3" w:rsidP="4321A1A3">
      <w:pPr>
        <w:spacing w:after="0" w:line="278" w:lineRule="auto"/>
        <w:ind w:left="720"/>
        <w:rPr>
          <w:noProof/>
        </w:rPr>
      </w:pPr>
    </w:p>
    <w:p w14:paraId="09C30799" w14:textId="77777777" w:rsidR="001C1867" w:rsidRDefault="001C1867" w:rsidP="00235522">
      <w:pPr>
        <w:rPr>
          <w:noProof/>
        </w:rPr>
      </w:pPr>
    </w:p>
    <w:p w14:paraId="2222BC37" w14:textId="078B658A" w:rsidR="00235522" w:rsidRPr="0072406E" w:rsidRDefault="00235522" w:rsidP="00235522">
      <w:pPr>
        <w:rPr>
          <w:noProof/>
        </w:rPr>
      </w:pPr>
      <w:r w:rsidRPr="0072406E">
        <w:rPr>
          <w:noProof/>
        </w:rPr>
        <w:t>Key mechanisms:</w:t>
      </w:r>
    </w:p>
    <w:p w14:paraId="299B4361" w14:textId="77777777" w:rsidR="00235522" w:rsidRPr="0072406E" w:rsidRDefault="00235522" w:rsidP="0059106A">
      <w:pPr>
        <w:pStyle w:val="ListParagraph"/>
        <w:numPr>
          <w:ilvl w:val="0"/>
          <w:numId w:val="19"/>
        </w:numPr>
        <w:spacing w:after="160" w:line="278" w:lineRule="auto"/>
        <w:rPr>
          <w:noProof/>
        </w:rPr>
      </w:pPr>
      <w:r w:rsidRPr="0072406E">
        <w:rPr>
          <w:noProof/>
        </w:rPr>
        <w:t>Filing deadline: 12 months after the last day of the reporting fiscal year.</w:t>
      </w:r>
    </w:p>
    <w:p w14:paraId="447498F6" w14:textId="77777777" w:rsidR="00235522" w:rsidRPr="0072406E" w:rsidRDefault="00235522" w:rsidP="0059106A">
      <w:pPr>
        <w:pStyle w:val="ListParagraph"/>
        <w:numPr>
          <w:ilvl w:val="0"/>
          <w:numId w:val="19"/>
        </w:numPr>
        <w:spacing w:after="160" w:line="278" w:lineRule="auto"/>
        <w:rPr>
          <w:noProof/>
        </w:rPr>
      </w:pPr>
      <w:r w:rsidRPr="0072406E">
        <w:rPr>
          <w:noProof/>
        </w:rPr>
        <w:t>Automatic exchange to all MS where the group has resident constituent entities or permanent establishments subject to tax.</w:t>
      </w:r>
    </w:p>
    <w:p w14:paraId="481CDC19" w14:textId="77777777" w:rsidR="00235522" w:rsidRPr="0072406E" w:rsidRDefault="00235522" w:rsidP="0059106A">
      <w:pPr>
        <w:pStyle w:val="ListParagraph"/>
        <w:numPr>
          <w:ilvl w:val="0"/>
          <w:numId w:val="19"/>
        </w:numPr>
        <w:spacing w:after="160" w:line="278" w:lineRule="auto"/>
        <w:rPr>
          <w:noProof/>
        </w:rPr>
      </w:pPr>
      <w:r w:rsidRPr="0072406E">
        <w:rPr>
          <w:noProof/>
        </w:rPr>
        <w:t>Used for high-level transfer pricing risk assessment and BEPS detection (not as direct audit evidence).</w:t>
      </w:r>
    </w:p>
    <w:p w14:paraId="163496E8" w14:textId="0C24DC3A" w:rsidR="00235522" w:rsidRPr="0072406E" w:rsidRDefault="00235522" w:rsidP="00235522">
      <w:pPr>
        <w:rPr>
          <w:noProof/>
        </w:rPr>
      </w:pPr>
      <w:r>
        <w:rPr>
          <w:noProof/>
        </w:rPr>
        <w:t>The information is intended to support high-level transfer pricing risk assessments and the identification of potential BEPS risks. Since first exchanges in 2018 (for 2016 data), DAC4 has significantly improved tax authorities' ability to identify profit-shifting risks, contributing to global efforts against aggressive tax planning.</w:t>
      </w:r>
    </w:p>
    <w:p w14:paraId="7A8E045D" w14:textId="54F21436" w:rsidR="00235522" w:rsidRPr="0072406E" w:rsidRDefault="00235522" w:rsidP="00235522">
      <w:pPr>
        <w:rPr>
          <w:b/>
          <w:bCs/>
          <w:noProof/>
        </w:rPr>
      </w:pPr>
      <w:r w:rsidRPr="0072406E">
        <w:rPr>
          <w:b/>
          <w:bCs/>
          <w:noProof/>
        </w:rPr>
        <w:t>DAC6 – Mandatory disclosure of cross-border arrangements</w:t>
      </w:r>
    </w:p>
    <w:p w14:paraId="354A6BEE" w14:textId="642083BE" w:rsidR="00235522" w:rsidRPr="0072406E" w:rsidRDefault="00235522" w:rsidP="00235522">
      <w:pPr>
        <w:rPr>
          <w:noProof/>
        </w:rPr>
      </w:pPr>
      <w:r>
        <w:rPr>
          <w:noProof/>
        </w:rPr>
        <w:t xml:space="preserve">DAC6 (Council Directive (EU) 2018/822) introduced </w:t>
      </w:r>
      <w:r w:rsidRPr="1599A2D9">
        <w:rPr>
          <w:b/>
          <w:bCs/>
          <w:noProof/>
        </w:rPr>
        <w:t>mandatory disclosure rules (MDR)</w:t>
      </w:r>
      <w:r>
        <w:rPr>
          <w:noProof/>
        </w:rPr>
        <w:t xml:space="preserve"> for certain cross-border arrangements that may present a risk of tax avoidance. It reflects a fundamental shift in tax transparency from reactive enforcement towards </w:t>
      </w:r>
      <w:r w:rsidRPr="1599A2D9">
        <w:rPr>
          <w:b/>
          <w:bCs/>
          <w:noProof/>
        </w:rPr>
        <w:t>proactive information gathering</w:t>
      </w:r>
      <w:r>
        <w:rPr>
          <w:noProof/>
        </w:rPr>
        <w:t xml:space="preserve">, enabling tax administrations to </w:t>
      </w:r>
      <w:r w:rsidRPr="1599A2D9">
        <w:rPr>
          <w:b/>
          <w:bCs/>
          <w:noProof/>
        </w:rPr>
        <w:t>detect emerging risks before they fully materialise</w:t>
      </w:r>
      <w:r>
        <w:rPr>
          <w:noProof/>
        </w:rPr>
        <w:t>.</w:t>
      </w:r>
    </w:p>
    <w:p w14:paraId="031B64F4" w14:textId="77777777" w:rsidR="00235522" w:rsidRPr="0072406E" w:rsidRDefault="00235522" w:rsidP="00235522">
      <w:pPr>
        <w:rPr>
          <w:noProof/>
        </w:rPr>
      </w:pPr>
      <w:r w:rsidRPr="0072406E">
        <w:rPr>
          <w:noProof/>
        </w:rPr>
        <w:t xml:space="preserve">The reporting obligation primarily applies to </w:t>
      </w:r>
      <w:r w:rsidRPr="0072406E">
        <w:rPr>
          <w:b/>
          <w:bCs/>
          <w:noProof/>
        </w:rPr>
        <w:t>intermediaries</w:t>
      </w:r>
      <w:r w:rsidRPr="0072406E">
        <w:rPr>
          <w:noProof/>
        </w:rPr>
        <w:t xml:space="preserve">, meaning professionals who help design or implement tax-related structures. The notion of intermediary is intentionally broad and function-based, capturing both primary actors (e.g. designers and promoters) and secondary actors (e.g. service providers assisting with implementation), such as tax advisors, lawyers, accountants, and sometimes financial institutions. In practice, this broad scope has ensured extensive coverage of the advisory ecosystem, although it has also raised issues of overlap and duplication in reporting obligations. </w:t>
      </w:r>
    </w:p>
    <w:p w14:paraId="4CFC8FCD" w14:textId="77777777" w:rsidR="00235522" w:rsidRPr="0072406E" w:rsidRDefault="00235522" w:rsidP="00235522">
      <w:pPr>
        <w:rPr>
          <w:noProof/>
        </w:rPr>
      </w:pPr>
      <w:r w:rsidRPr="0072406E">
        <w:rPr>
          <w:noProof/>
        </w:rPr>
        <w:t xml:space="preserve">Where no intermediary is involved, or where reporting is prevented (notably due to legal professional privilege), the obligation shifts to the taxpayer, creating a </w:t>
      </w:r>
      <w:r w:rsidRPr="0072406E">
        <w:rPr>
          <w:b/>
          <w:bCs/>
          <w:noProof/>
        </w:rPr>
        <w:t>cascade mechanism</w:t>
      </w:r>
      <w:r w:rsidRPr="0072406E">
        <w:rPr>
          <w:noProof/>
        </w:rPr>
        <w:t xml:space="preserve"> to safeguard reporting completeness. This mechanism determines who must report the arrangement. It works like a chain of responsibility, ensuring that at least one party reports the information:</w:t>
      </w:r>
    </w:p>
    <w:p w14:paraId="102576EE" w14:textId="77777777" w:rsidR="00235522" w:rsidRPr="0072406E" w:rsidRDefault="00235522" w:rsidP="00715B1E">
      <w:pPr>
        <w:pStyle w:val="ListParagraph"/>
        <w:numPr>
          <w:ilvl w:val="1"/>
          <w:numId w:val="17"/>
        </w:numPr>
        <w:spacing w:after="160" w:line="278" w:lineRule="auto"/>
        <w:ind w:left="851" w:hanging="567"/>
        <w:rPr>
          <w:i/>
          <w:iCs/>
          <w:noProof/>
        </w:rPr>
      </w:pPr>
      <w:r w:rsidRPr="0072406E">
        <w:rPr>
          <w:i/>
          <w:iCs/>
          <w:noProof/>
        </w:rPr>
        <w:t>First level: intermediary (primary responsibility)</w:t>
      </w:r>
    </w:p>
    <w:p w14:paraId="08504F92" w14:textId="77777777" w:rsidR="00235522" w:rsidRPr="0072406E" w:rsidRDefault="00235522" w:rsidP="00715B1E">
      <w:pPr>
        <w:pStyle w:val="ListParagraph"/>
        <w:numPr>
          <w:ilvl w:val="2"/>
          <w:numId w:val="17"/>
        </w:numPr>
        <w:spacing w:after="160" w:line="278" w:lineRule="auto"/>
        <w:ind w:left="851" w:hanging="567"/>
        <w:rPr>
          <w:noProof/>
        </w:rPr>
      </w:pPr>
      <w:r w:rsidRPr="0072406E">
        <w:rPr>
          <w:noProof/>
        </w:rPr>
        <w:t>The obligation normally falls on the intermediary who designed or promoted the arrangement. Example: A tax advisor creates a cross-border structure for a client → the advisor must report it.</w:t>
      </w:r>
    </w:p>
    <w:p w14:paraId="0C0955FB" w14:textId="77777777" w:rsidR="00235522" w:rsidRPr="0072406E" w:rsidRDefault="00235522" w:rsidP="00715B1E">
      <w:pPr>
        <w:pStyle w:val="ListParagraph"/>
        <w:numPr>
          <w:ilvl w:val="1"/>
          <w:numId w:val="17"/>
        </w:numPr>
        <w:spacing w:after="160" w:line="278" w:lineRule="auto"/>
        <w:ind w:left="851" w:hanging="567"/>
        <w:rPr>
          <w:i/>
          <w:iCs/>
          <w:noProof/>
        </w:rPr>
      </w:pPr>
      <w:r w:rsidRPr="0072406E">
        <w:rPr>
          <w:i/>
          <w:iCs/>
          <w:noProof/>
        </w:rPr>
        <w:t>Second level: other intermediaries (if applicable)</w:t>
      </w:r>
    </w:p>
    <w:p w14:paraId="5D342BAA" w14:textId="77777777" w:rsidR="00235522" w:rsidRPr="0072406E" w:rsidRDefault="00235522" w:rsidP="00715B1E">
      <w:pPr>
        <w:pStyle w:val="ListParagraph"/>
        <w:numPr>
          <w:ilvl w:val="2"/>
          <w:numId w:val="17"/>
        </w:numPr>
        <w:spacing w:after="160" w:line="278" w:lineRule="auto"/>
        <w:ind w:left="851" w:hanging="567"/>
        <w:rPr>
          <w:noProof/>
        </w:rPr>
      </w:pPr>
      <w:r w:rsidRPr="0072406E">
        <w:rPr>
          <w:noProof/>
        </w:rPr>
        <w:t>If there are multiple intermediaries involved (e.g. a lawyer and a bank), any of them may have a reporting obligation. In practice, they may agree that one of them reports, but all remain potentially responsible.</w:t>
      </w:r>
    </w:p>
    <w:p w14:paraId="357BFC6A" w14:textId="77777777" w:rsidR="00235522" w:rsidRPr="0072406E" w:rsidRDefault="00235522" w:rsidP="00715B1E">
      <w:pPr>
        <w:pStyle w:val="ListParagraph"/>
        <w:numPr>
          <w:ilvl w:val="1"/>
          <w:numId w:val="17"/>
        </w:numPr>
        <w:spacing w:after="160" w:line="278" w:lineRule="auto"/>
        <w:ind w:left="851" w:hanging="567"/>
        <w:rPr>
          <w:i/>
          <w:iCs/>
          <w:noProof/>
        </w:rPr>
      </w:pPr>
      <w:r w:rsidRPr="0072406E">
        <w:rPr>
          <w:i/>
          <w:iCs/>
          <w:noProof/>
        </w:rPr>
        <w:t>Third level: taxpayer (fallback)</w:t>
      </w:r>
    </w:p>
    <w:p w14:paraId="708F384F" w14:textId="77777777" w:rsidR="00235522" w:rsidRPr="0072406E" w:rsidRDefault="00235522" w:rsidP="00715B1E">
      <w:pPr>
        <w:pStyle w:val="ListParagraph"/>
        <w:numPr>
          <w:ilvl w:val="2"/>
          <w:numId w:val="17"/>
        </w:numPr>
        <w:spacing w:after="160" w:line="278" w:lineRule="auto"/>
        <w:ind w:left="851" w:hanging="567"/>
        <w:rPr>
          <w:noProof/>
        </w:rPr>
      </w:pPr>
      <w:r w:rsidRPr="0072406E">
        <w:rPr>
          <w:noProof/>
        </w:rPr>
        <w:t>The obligation shifts to the taxpayer if: there is no intermediary (e.g. the arrangement is designed in-house), or the intermediary is exempt from reporting (e.g. due to legal professional privilege), or the intermediary is located outside the EU and therefore not subject to DAC6.</w:t>
      </w:r>
    </w:p>
    <w:p w14:paraId="41702BAE" w14:textId="77777777" w:rsidR="00235522" w:rsidRPr="0072406E" w:rsidRDefault="00235522" w:rsidP="00235522">
      <w:pPr>
        <w:rPr>
          <w:noProof/>
        </w:rPr>
      </w:pPr>
      <w:r w:rsidRPr="0072406E">
        <w:rPr>
          <w:noProof/>
        </w:rPr>
        <w:t xml:space="preserve">Arrangements are reportable if they meet </w:t>
      </w:r>
      <w:r w:rsidRPr="0072406E">
        <w:rPr>
          <w:b/>
          <w:bCs/>
          <w:noProof/>
        </w:rPr>
        <w:t xml:space="preserve">one hallmark </w:t>
      </w:r>
      <w:r w:rsidRPr="0072406E">
        <w:rPr>
          <w:noProof/>
        </w:rPr>
        <w:t>(certain predefined characteristics).</w:t>
      </w:r>
      <w:r w:rsidRPr="0072406E">
        <w:rPr>
          <w:b/>
          <w:bCs/>
          <w:noProof/>
        </w:rPr>
        <w:t xml:space="preserve"> </w:t>
      </w:r>
      <w:r w:rsidRPr="0072406E">
        <w:rPr>
          <w:noProof/>
        </w:rPr>
        <w:t xml:space="preserve">Some hallmarks are subject to the </w:t>
      </w:r>
      <w:r w:rsidRPr="0072406E">
        <w:rPr>
          <w:b/>
          <w:bCs/>
          <w:noProof/>
        </w:rPr>
        <w:t>main benefit test (MBT)</w:t>
      </w:r>
      <w:r w:rsidRPr="0072406E">
        <w:rPr>
          <w:noProof/>
        </w:rPr>
        <w:t xml:space="preserve">. This test asks whether it is reasonable to conclude that obtaining a tax advantage is one of the main reasons for the arrangement. In simpler terms, if the main purpose of a structure is to save taxes, it is more likely to be reportable. The hallmarks are designed as </w:t>
      </w:r>
      <w:r w:rsidRPr="0072406E">
        <w:rPr>
          <w:b/>
          <w:bCs/>
          <w:noProof/>
        </w:rPr>
        <w:t>risk indicators</w:t>
      </w:r>
      <w:r w:rsidRPr="0072406E">
        <w:rPr>
          <w:noProof/>
        </w:rPr>
        <w:t xml:space="preserve"> rather than legal definitions of avoidance, and their breadth allows the framework to capture both known and novel tax planning strategies:</w:t>
      </w:r>
    </w:p>
    <w:p w14:paraId="38F03A93" w14:textId="51B9D409" w:rsidR="00132502" w:rsidRPr="0072406E" w:rsidRDefault="00235522" w:rsidP="00C50805">
      <w:pPr>
        <w:pStyle w:val="ListParagraph"/>
        <w:numPr>
          <w:ilvl w:val="0"/>
          <w:numId w:val="20"/>
        </w:numPr>
        <w:spacing w:after="160" w:line="278" w:lineRule="auto"/>
        <w:rPr>
          <w:noProof/>
        </w:rPr>
      </w:pPr>
      <w:r w:rsidRPr="0072406E">
        <w:rPr>
          <w:b/>
          <w:bCs/>
          <w:noProof/>
        </w:rPr>
        <w:t>Category A (Generic hallmarks- MBT)</w:t>
      </w:r>
      <w:r w:rsidRPr="0072406E">
        <w:rPr>
          <w:noProof/>
        </w:rPr>
        <w:t>: These cover common features of marketed tax schemes, such as confidentiality clauses (where clients are not allowed to disclose how the scheme works) or fee structures linked to tax savings. These are often standardized solutions sold to multiple clients.</w:t>
      </w:r>
    </w:p>
    <w:p w14:paraId="20C32A79" w14:textId="77777777" w:rsidR="000369D9" w:rsidRDefault="000369D9" w:rsidP="00C14E50">
      <w:pPr>
        <w:pStyle w:val="ListParagraph"/>
        <w:spacing w:after="160" w:line="278" w:lineRule="auto"/>
        <w:rPr>
          <w:noProof/>
        </w:rPr>
      </w:pPr>
    </w:p>
    <w:p w14:paraId="671017AD" w14:textId="77777777" w:rsidR="00E54365" w:rsidRPr="000369D9" w:rsidRDefault="00E54365" w:rsidP="00E54365">
      <w:pPr>
        <w:pStyle w:val="ListParagraph"/>
        <w:spacing w:after="160" w:line="278" w:lineRule="auto"/>
        <w:rPr>
          <w:i/>
          <w:iCs/>
          <w:noProof/>
          <w:sz w:val="22"/>
          <w:szCs w:val="22"/>
        </w:rPr>
      </w:pPr>
      <w:r w:rsidRPr="000369D9">
        <w:rPr>
          <w:i/>
          <w:iCs/>
          <w:noProof/>
          <w:sz w:val="22"/>
          <w:szCs w:val="22"/>
        </w:rPr>
        <w:t>1. An arrangement where the relevant taxpayer or a participant in the arrangement undertakes to comply with a condition of confidentiality which may require them not to disclose how the arrangement could secure a tax advantage vis-à-vis other intermediaries or the tax authorities.</w:t>
      </w:r>
    </w:p>
    <w:p w14:paraId="6F693743" w14:textId="77777777" w:rsidR="00E54365" w:rsidRPr="000369D9" w:rsidRDefault="00E54365" w:rsidP="00E54365">
      <w:pPr>
        <w:pStyle w:val="ListParagraph"/>
        <w:spacing w:after="160" w:line="278" w:lineRule="auto"/>
        <w:rPr>
          <w:i/>
          <w:iCs/>
          <w:noProof/>
          <w:sz w:val="22"/>
          <w:szCs w:val="22"/>
        </w:rPr>
      </w:pPr>
      <w:r w:rsidRPr="000369D9">
        <w:rPr>
          <w:i/>
          <w:iCs/>
          <w:noProof/>
          <w:sz w:val="22"/>
          <w:szCs w:val="22"/>
        </w:rPr>
        <w:t>2. An arrangement where the intermediary is entitled to receive a fee (or interest, remuneration for finance costs and other charges) for the arrangement and that fee is fixed by reference to:</w:t>
      </w:r>
    </w:p>
    <w:p w14:paraId="327A095D" w14:textId="77777777" w:rsidR="00E54365" w:rsidRPr="000369D9" w:rsidRDefault="00E54365" w:rsidP="009306B4">
      <w:pPr>
        <w:pStyle w:val="ListParagraph"/>
        <w:spacing w:after="160" w:line="278" w:lineRule="auto"/>
        <w:ind w:left="993"/>
        <w:rPr>
          <w:i/>
          <w:iCs/>
          <w:noProof/>
          <w:sz w:val="22"/>
          <w:szCs w:val="22"/>
        </w:rPr>
      </w:pPr>
      <w:r w:rsidRPr="000369D9">
        <w:rPr>
          <w:i/>
          <w:iCs/>
          <w:noProof/>
          <w:sz w:val="22"/>
          <w:szCs w:val="22"/>
        </w:rPr>
        <w:t>(a) the amount of the tax advantage derived from the arrangement; or</w:t>
      </w:r>
    </w:p>
    <w:p w14:paraId="0EC610BA" w14:textId="77777777" w:rsidR="00E54365" w:rsidRPr="000369D9" w:rsidRDefault="00E54365" w:rsidP="009306B4">
      <w:pPr>
        <w:pStyle w:val="ListParagraph"/>
        <w:spacing w:after="160" w:line="278" w:lineRule="auto"/>
        <w:ind w:left="851"/>
        <w:rPr>
          <w:i/>
          <w:iCs/>
          <w:noProof/>
          <w:sz w:val="22"/>
          <w:szCs w:val="22"/>
        </w:rPr>
      </w:pPr>
      <w:r w:rsidRPr="000369D9">
        <w:rPr>
          <w:i/>
          <w:iCs/>
          <w:noProof/>
          <w:sz w:val="22"/>
          <w:szCs w:val="22"/>
        </w:rPr>
        <w:t>(b) whether or not a tax advantage is actually derived from the arrangement. This would include an obligation on the intermediary to partially or fully refund the fees where the intended tax advantage derived from the arrangement was not partially or fully achieved.</w:t>
      </w:r>
    </w:p>
    <w:p w14:paraId="7E8EB4F0" w14:textId="5F7C5E2D" w:rsidR="00A51A09" w:rsidRDefault="00E54365" w:rsidP="00A51A09">
      <w:pPr>
        <w:pStyle w:val="ListParagraph"/>
        <w:spacing w:after="160" w:line="278" w:lineRule="auto"/>
        <w:rPr>
          <w:i/>
          <w:noProof/>
          <w:sz w:val="22"/>
          <w:szCs w:val="22"/>
        </w:rPr>
      </w:pPr>
      <w:r w:rsidRPr="000369D9">
        <w:rPr>
          <w:i/>
          <w:iCs/>
          <w:noProof/>
          <w:sz w:val="22"/>
          <w:szCs w:val="22"/>
        </w:rPr>
        <w:t>3. An arrangement that has substantially standardised documentation and/or structure and is available to more than one relevant taxpayer without a need to be substantially customised for implementation.</w:t>
      </w:r>
    </w:p>
    <w:p w14:paraId="5AF48560" w14:textId="77777777" w:rsidR="00004C40" w:rsidRPr="000369D9" w:rsidRDefault="00004C40" w:rsidP="00E54365">
      <w:pPr>
        <w:pStyle w:val="ListParagraph"/>
        <w:spacing w:after="160" w:line="278" w:lineRule="auto"/>
        <w:rPr>
          <w:i/>
          <w:iCs/>
          <w:noProof/>
          <w:sz w:val="22"/>
          <w:szCs w:val="22"/>
        </w:rPr>
      </w:pPr>
    </w:p>
    <w:p w14:paraId="050F21F3" w14:textId="77777777" w:rsidR="00235522" w:rsidRPr="0072406E" w:rsidRDefault="00235522" w:rsidP="0059106A">
      <w:pPr>
        <w:pStyle w:val="ListParagraph"/>
        <w:numPr>
          <w:ilvl w:val="0"/>
          <w:numId w:val="20"/>
        </w:numPr>
        <w:spacing w:after="160" w:line="278" w:lineRule="auto"/>
        <w:rPr>
          <w:noProof/>
        </w:rPr>
      </w:pPr>
      <w:r w:rsidRPr="0072406E">
        <w:rPr>
          <w:b/>
          <w:bCs/>
          <w:noProof/>
        </w:rPr>
        <w:t>Category B</w:t>
      </w:r>
      <w:r w:rsidRPr="0072406E">
        <w:rPr>
          <w:noProof/>
        </w:rPr>
        <w:t xml:space="preserve"> </w:t>
      </w:r>
      <w:r w:rsidRPr="0072406E">
        <w:rPr>
          <w:b/>
          <w:bCs/>
          <w:noProof/>
        </w:rPr>
        <w:t>(Specific hallmarks – MBT):</w:t>
      </w:r>
      <w:r w:rsidRPr="0072406E">
        <w:rPr>
          <w:noProof/>
        </w:rPr>
        <w:t xml:space="preserve"> These refers to concrete strategies, such as buying a company mainly to use its tax losses to reduce taxable profits, even if there is little real economic activity behind the transaction.</w:t>
      </w:r>
    </w:p>
    <w:p w14:paraId="0B32234D" w14:textId="77777777" w:rsidR="00004C40" w:rsidRDefault="00004C40" w:rsidP="00004C40">
      <w:pPr>
        <w:pStyle w:val="ListParagraph"/>
        <w:spacing w:after="160" w:line="278" w:lineRule="auto"/>
        <w:rPr>
          <w:noProof/>
        </w:rPr>
      </w:pPr>
    </w:p>
    <w:p w14:paraId="1564DA78" w14:textId="77777777" w:rsidR="00BE0016" w:rsidRPr="00004C40" w:rsidRDefault="00BE0016" w:rsidP="00BE0016">
      <w:pPr>
        <w:pStyle w:val="ListParagraph"/>
        <w:spacing w:after="160" w:line="278" w:lineRule="auto"/>
        <w:rPr>
          <w:i/>
          <w:iCs/>
          <w:noProof/>
          <w:sz w:val="22"/>
          <w:szCs w:val="22"/>
        </w:rPr>
      </w:pPr>
      <w:r w:rsidRPr="00004C40">
        <w:rPr>
          <w:i/>
          <w:iCs/>
          <w:noProof/>
          <w:sz w:val="22"/>
          <w:szCs w:val="22"/>
        </w:rPr>
        <w:t>1. An arrangement whereby a participant in the arrangement takes contrived steps which consist in acquiring a lossmaking company, discontinuing the main activity of such company and using its losses in order to reduce its tax liability, including through a transfer of those losses to another jurisdiction or by the acceleration of the use of those losses.</w:t>
      </w:r>
    </w:p>
    <w:p w14:paraId="591DF513" w14:textId="77777777" w:rsidR="00BE0016" w:rsidRPr="00004C40" w:rsidRDefault="00BE0016" w:rsidP="00BE0016">
      <w:pPr>
        <w:pStyle w:val="ListParagraph"/>
        <w:spacing w:after="160" w:line="278" w:lineRule="auto"/>
        <w:rPr>
          <w:i/>
          <w:iCs/>
          <w:noProof/>
          <w:sz w:val="22"/>
          <w:szCs w:val="22"/>
        </w:rPr>
      </w:pPr>
      <w:r w:rsidRPr="00004C40">
        <w:rPr>
          <w:i/>
          <w:iCs/>
          <w:noProof/>
          <w:sz w:val="22"/>
          <w:szCs w:val="22"/>
        </w:rPr>
        <w:t>2. An arrangement that has the effect of converting income into capital, gifts or other categories of revenue which are taxed at a lower level or exempt from tax.</w:t>
      </w:r>
    </w:p>
    <w:p w14:paraId="40FD7E32" w14:textId="6D4FBEAE" w:rsidR="00C14E50" w:rsidRDefault="00BE0016" w:rsidP="00BE0016">
      <w:pPr>
        <w:pStyle w:val="ListParagraph"/>
        <w:spacing w:after="160" w:line="278" w:lineRule="auto"/>
        <w:rPr>
          <w:i/>
          <w:iCs/>
          <w:noProof/>
          <w:sz w:val="22"/>
          <w:szCs w:val="22"/>
        </w:rPr>
      </w:pPr>
      <w:r w:rsidRPr="00004C40">
        <w:rPr>
          <w:i/>
          <w:iCs/>
          <w:noProof/>
          <w:sz w:val="22"/>
          <w:szCs w:val="22"/>
        </w:rPr>
        <w:t>3. An arrangement which includes circular transactions resulting in the round-tripping of funds, namely through involving interposed entities without other primary commercial function or transactions that offset or cancel each other or that have other similar features.</w:t>
      </w:r>
    </w:p>
    <w:p w14:paraId="3603A3E1" w14:textId="77777777" w:rsidR="00BA00CA" w:rsidRPr="00004C40" w:rsidRDefault="00BA00CA" w:rsidP="00BE0016">
      <w:pPr>
        <w:pStyle w:val="ListParagraph"/>
        <w:spacing w:after="160" w:line="278" w:lineRule="auto"/>
        <w:rPr>
          <w:i/>
          <w:iCs/>
          <w:noProof/>
          <w:sz w:val="22"/>
          <w:szCs w:val="22"/>
        </w:rPr>
      </w:pPr>
    </w:p>
    <w:p w14:paraId="30962565" w14:textId="77777777" w:rsidR="00235522" w:rsidRPr="0072406E" w:rsidRDefault="00235522" w:rsidP="0059106A">
      <w:pPr>
        <w:pStyle w:val="ListParagraph"/>
        <w:numPr>
          <w:ilvl w:val="0"/>
          <w:numId w:val="20"/>
        </w:numPr>
        <w:spacing w:after="160" w:line="278" w:lineRule="auto"/>
        <w:rPr>
          <w:noProof/>
        </w:rPr>
      </w:pPr>
      <w:r w:rsidRPr="0072406E">
        <w:rPr>
          <w:b/>
          <w:bCs/>
          <w:noProof/>
        </w:rPr>
        <w:t>Category C (Specific hallmarks - Cross-border payments):</w:t>
      </w:r>
      <w:r w:rsidRPr="0072406E">
        <w:rPr>
          <w:noProof/>
        </w:rPr>
        <w:t xml:space="preserve"> These focus on payments between countries that may reduce tax, for example when a company makes payments to another entity located in a country with very low or no taxation. This category captures many common international tax planning structures. (e.g., deductible payments to low-tax jurisdictions, misaligned tax treatments).</w:t>
      </w:r>
    </w:p>
    <w:p w14:paraId="37DEA12A" w14:textId="77777777" w:rsidR="00925A82" w:rsidRPr="00BA00CA" w:rsidRDefault="00925A82" w:rsidP="00925A82">
      <w:pPr>
        <w:pStyle w:val="ListParagraph"/>
        <w:spacing w:after="160" w:line="278" w:lineRule="auto"/>
        <w:rPr>
          <w:i/>
          <w:iCs/>
          <w:noProof/>
          <w:sz w:val="22"/>
          <w:szCs w:val="22"/>
        </w:rPr>
      </w:pPr>
      <w:r w:rsidRPr="00BA00CA">
        <w:rPr>
          <w:i/>
          <w:iCs/>
          <w:noProof/>
          <w:sz w:val="22"/>
          <w:szCs w:val="22"/>
        </w:rPr>
        <w:t>1. An arrangement that involves deductible cross-border payments made between two or more associated</w:t>
      </w:r>
    </w:p>
    <w:p w14:paraId="72D9A5D7" w14:textId="77777777" w:rsidR="00925A82" w:rsidRPr="00BA00CA" w:rsidRDefault="00925A82" w:rsidP="00925A82">
      <w:pPr>
        <w:pStyle w:val="ListParagraph"/>
        <w:spacing w:after="160" w:line="278" w:lineRule="auto"/>
        <w:rPr>
          <w:i/>
          <w:iCs/>
          <w:noProof/>
          <w:sz w:val="22"/>
          <w:szCs w:val="22"/>
        </w:rPr>
      </w:pPr>
      <w:r w:rsidRPr="00BA00CA">
        <w:rPr>
          <w:i/>
          <w:iCs/>
          <w:noProof/>
          <w:sz w:val="22"/>
          <w:szCs w:val="22"/>
        </w:rPr>
        <w:t>enterprises where at least one of the following conditions occurs:</w:t>
      </w:r>
    </w:p>
    <w:p w14:paraId="22BC244A" w14:textId="77777777" w:rsidR="00925A82" w:rsidRPr="00BA00CA" w:rsidRDefault="00925A82" w:rsidP="00E865EA">
      <w:pPr>
        <w:pStyle w:val="ListParagraph"/>
        <w:spacing w:after="160" w:line="278" w:lineRule="auto"/>
        <w:ind w:left="851"/>
        <w:rPr>
          <w:i/>
          <w:iCs/>
          <w:noProof/>
          <w:sz w:val="22"/>
          <w:szCs w:val="22"/>
        </w:rPr>
      </w:pPr>
      <w:r w:rsidRPr="00BA00CA">
        <w:rPr>
          <w:i/>
          <w:iCs/>
          <w:noProof/>
          <w:sz w:val="22"/>
          <w:szCs w:val="22"/>
        </w:rPr>
        <w:t>(a) the recipient is not resident for tax purposes in any tax jurisdiction;</w:t>
      </w:r>
    </w:p>
    <w:p w14:paraId="26C8F60A" w14:textId="77777777" w:rsidR="00925A82" w:rsidRPr="00BA00CA" w:rsidRDefault="00925A82" w:rsidP="00E865EA">
      <w:pPr>
        <w:pStyle w:val="ListParagraph"/>
        <w:spacing w:after="160" w:line="278" w:lineRule="auto"/>
        <w:ind w:left="851"/>
        <w:rPr>
          <w:i/>
          <w:iCs/>
          <w:noProof/>
          <w:sz w:val="22"/>
          <w:szCs w:val="22"/>
        </w:rPr>
      </w:pPr>
      <w:r w:rsidRPr="00BA00CA">
        <w:rPr>
          <w:i/>
          <w:iCs/>
          <w:noProof/>
          <w:sz w:val="22"/>
          <w:szCs w:val="22"/>
        </w:rPr>
        <w:t>(b) although the recipient is resident for tax purposes in a jurisdiction, that jurisdiction either:</w:t>
      </w:r>
    </w:p>
    <w:p w14:paraId="0693983B" w14:textId="77777777" w:rsidR="00925A82" w:rsidRPr="00BA00CA" w:rsidRDefault="00925A82" w:rsidP="00BA00CA">
      <w:pPr>
        <w:pStyle w:val="ListParagraph"/>
        <w:spacing w:after="160" w:line="278" w:lineRule="auto"/>
        <w:ind w:left="1440"/>
        <w:rPr>
          <w:i/>
          <w:iCs/>
          <w:noProof/>
          <w:sz w:val="22"/>
          <w:szCs w:val="22"/>
        </w:rPr>
      </w:pPr>
      <w:r w:rsidRPr="00BA00CA">
        <w:rPr>
          <w:i/>
          <w:iCs/>
          <w:noProof/>
          <w:sz w:val="22"/>
          <w:szCs w:val="22"/>
        </w:rPr>
        <w:t>(i) does not impose any corporate tax or imposes corporate tax at the rate of zero or almost zero; or</w:t>
      </w:r>
    </w:p>
    <w:p w14:paraId="6743C48E" w14:textId="60C6A6EF" w:rsidR="00925A82" w:rsidRPr="00BA00CA" w:rsidRDefault="00925A82" w:rsidP="00BA00CA">
      <w:pPr>
        <w:pStyle w:val="ListParagraph"/>
        <w:spacing w:after="160" w:line="278" w:lineRule="auto"/>
        <w:ind w:left="1440"/>
        <w:rPr>
          <w:i/>
          <w:iCs/>
          <w:noProof/>
          <w:sz w:val="22"/>
          <w:szCs w:val="22"/>
        </w:rPr>
      </w:pPr>
      <w:r w:rsidRPr="00BA00CA">
        <w:rPr>
          <w:i/>
          <w:iCs/>
          <w:noProof/>
          <w:sz w:val="22"/>
          <w:szCs w:val="22"/>
        </w:rPr>
        <w:t xml:space="preserve">(ii) is included in a list of third-country jurisdictions which have been assessed by </w:t>
      </w:r>
      <w:r w:rsidR="00EB06BE">
        <w:rPr>
          <w:i/>
          <w:iCs/>
          <w:noProof/>
          <w:sz w:val="22"/>
          <w:szCs w:val="22"/>
        </w:rPr>
        <w:t>MS</w:t>
      </w:r>
      <w:r w:rsidRPr="00BA00CA">
        <w:rPr>
          <w:i/>
          <w:iCs/>
          <w:noProof/>
          <w:sz w:val="22"/>
          <w:szCs w:val="22"/>
        </w:rPr>
        <w:t xml:space="preserve"> collectively or within the framework of the OECD as being non-cooperative;</w:t>
      </w:r>
    </w:p>
    <w:p w14:paraId="2DD87379" w14:textId="77777777" w:rsidR="00925A82" w:rsidRPr="00BA00CA" w:rsidRDefault="00925A82" w:rsidP="00F93AB4">
      <w:pPr>
        <w:pStyle w:val="ListParagraph"/>
        <w:spacing w:after="160" w:line="278" w:lineRule="auto"/>
        <w:ind w:left="851"/>
        <w:rPr>
          <w:i/>
          <w:iCs/>
          <w:noProof/>
          <w:sz w:val="22"/>
          <w:szCs w:val="22"/>
        </w:rPr>
      </w:pPr>
      <w:r w:rsidRPr="00BA00CA">
        <w:rPr>
          <w:i/>
          <w:iCs/>
          <w:noProof/>
          <w:sz w:val="22"/>
          <w:szCs w:val="22"/>
        </w:rPr>
        <w:t>(c) the payment benefits from a full exemption from tax in the jurisdiction where the recipient is resident for tax purposes;</w:t>
      </w:r>
    </w:p>
    <w:p w14:paraId="63D2B468" w14:textId="77777777" w:rsidR="00925A82" w:rsidRPr="00BA00CA" w:rsidRDefault="00925A82" w:rsidP="00F93AB4">
      <w:pPr>
        <w:pStyle w:val="ListParagraph"/>
        <w:spacing w:after="160" w:line="278" w:lineRule="auto"/>
        <w:ind w:left="851"/>
        <w:rPr>
          <w:i/>
          <w:iCs/>
          <w:noProof/>
          <w:sz w:val="22"/>
          <w:szCs w:val="22"/>
        </w:rPr>
      </w:pPr>
      <w:r w:rsidRPr="00BA00CA">
        <w:rPr>
          <w:i/>
          <w:iCs/>
          <w:noProof/>
          <w:sz w:val="22"/>
          <w:szCs w:val="22"/>
        </w:rPr>
        <w:t>(d) the payment benefits from a preferential tax regime in the jurisdiction where the recipient is resident for tax purposes;</w:t>
      </w:r>
    </w:p>
    <w:p w14:paraId="255FF69D" w14:textId="77777777" w:rsidR="00925A82" w:rsidRPr="00BA00CA" w:rsidRDefault="00925A82" w:rsidP="00925A82">
      <w:pPr>
        <w:pStyle w:val="ListParagraph"/>
        <w:spacing w:after="160" w:line="278" w:lineRule="auto"/>
        <w:rPr>
          <w:i/>
          <w:iCs/>
          <w:noProof/>
          <w:sz w:val="22"/>
          <w:szCs w:val="22"/>
        </w:rPr>
      </w:pPr>
      <w:r w:rsidRPr="00BA00CA">
        <w:rPr>
          <w:i/>
          <w:iCs/>
          <w:noProof/>
          <w:sz w:val="22"/>
          <w:szCs w:val="22"/>
        </w:rPr>
        <w:t>2. Deductions for the same depreciation on the asset are claimed in more than one jurisdiction.</w:t>
      </w:r>
    </w:p>
    <w:p w14:paraId="6D84B009" w14:textId="77777777" w:rsidR="00925A82" w:rsidRPr="00BA00CA" w:rsidRDefault="00925A82" w:rsidP="00925A82">
      <w:pPr>
        <w:pStyle w:val="ListParagraph"/>
        <w:spacing w:after="160" w:line="278" w:lineRule="auto"/>
        <w:rPr>
          <w:i/>
          <w:iCs/>
          <w:noProof/>
          <w:sz w:val="22"/>
          <w:szCs w:val="22"/>
        </w:rPr>
      </w:pPr>
      <w:r w:rsidRPr="00BA00CA">
        <w:rPr>
          <w:i/>
          <w:iCs/>
          <w:noProof/>
          <w:sz w:val="22"/>
          <w:szCs w:val="22"/>
        </w:rPr>
        <w:t>3. Relief from double taxation in respect of the same item of income or capital is claimed in more than one jurisdiction.</w:t>
      </w:r>
    </w:p>
    <w:p w14:paraId="4270F15C" w14:textId="166242A8" w:rsidR="007938EC" w:rsidRDefault="00925A82" w:rsidP="00925A82">
      <w:pPr>
        <w:pStyle w:val="ListParagraph"/>
        <w:spacing w:after="160" w:line="278" w:lineRule="auto"/>
        <w:rPr>
          <w:i/>
          <w:iCs/>
          <w:noProof/>
          <w:sz w:val="22"/>
          <w:szCs w:val="22"/>
        </w:rPr>
      </w:pPr>
      <w:r w:rsidRPr="00BA00CA">
        <w:rPr>
          <w:i/>
          <w:iCs/>
          <w:noProof/>
          <w:sz w:val="22"/>
          <w:szCs w:val="22"/>
        </w:rPr>
        <w:t>4. There is an arrangement that includes transfers of assets and where there is a material difference in the amount being treated as payable in consideration for the assets in those jurisdictions involved.</w:t>
      </w:r>
    </w:p>
    <w:p w14:paraId="4ABC4D91" w14:textId="77777777" w:rsidR="009306B4" w:rsidRPr="00BA00CA" w:rsidRDefault="009306B4" w:rsidP="00925A82">
      <w:pPr>
        <w:pStyle w:val="ListParagraph"/>
        <w:spacing w:after="160" w:line="278" w:lineRule="auto"/>
        <w:rPr>
          <w:i/>
          <w:iCs/>
          <w:noProof/>
          <w:sz w:val="22"/>
          <w:szCs w:val="22"/>
        </w:rPr>
      </w:pPr>
    </w:p>
    <w:p w14:paraId="0B255D6D" w14:textId="77777777" w:rsidR="00235522" w:rsidRPr="0072406E" w:rsidRDefault="00235522" w:rsidP="0059106A">
      <w:pPr>
        <w:pStyle w:val="ListParagraph"/>
        <w:numPr>
          <w:ilvl w:val="0"/>
          <w:numId w:val="20"/>
        </w:numPr>
        <w:spacing w:after="160" w:line="278" w:lineRule="auto"/>
        <w:rPr>
          <w:noProof/>
        </w:rPr>
      </w:pPr>
      <w:r w:rsidRPr="0072406E">
        <w:rPr>
          <w:b/>
          <w:bCs/>
          <w:noProof/>
        </w:rPr>
        <w:t>Category D (Transparency hallmarks -automatic exchange/ beneficial ownership):</w:t>
      </w:r>
      <w:r w:rsidRPr="0072406E">
        <w:rPr>
          <w:noProof/>
        </w:rPr>
        <w:t xml:space="preserve"> These aim at arrangements that try to hide information from tax authorities, for example by obscuring who really owns assets or by circumventing international information exchange systems. (e.g., undermining CRS/DAC rules).</w:t>
      </w:r>
    </w:p>
    <w:p w14:paraId="4A856B85" w14:textId="77777777" w:rsidR="003D0EA4" w:rsidRDefault="003D0EA4" w:rsidP="003D0EA4">
      <w:pPr>
        <w:pStyle w:val="ListParagraph"/>
        <w:spacing w:after="160" w:line="278" w:lineRule="auto"/>
        <w:rPr>
          <w:noProof/>
        </w:rPr>
      </w:pPr>
    </w:p>
    <w:p w14:paraId="0D66420C" w14:textId="77777777" w:rsidR="00440ED0" w:rsidRPr="003D0EA4" w:rsidRDefault="00440ED0" w:rsidP="00440ED0">
      <w:pPr>
        <w:pStyle w:val="ListParagraph"/>
        <w:spacing w:after="160" w:line="278" w:lineRule="auto"/>
        <w:rPr>
          <w:i/>
          <w:iCs/>
          <w:noProof/>
          <w:sz w:val="22"/>
          <w:szCs w:val="22"/>
        </w:rPr>
      </w:pPr>
      <w:r w:rsidRPr="003D0EA4">
        <w:rPr>
          <w:i/>
          <w:iCs/>
          <w:noProof/>
          <w:sz w:val="22"/>
          <w:szCs w:val="22"/>
        </w:rPr>
        <w:t>1. An arrangement which may have the effect of undermining the reporting obligation under the laws implementing Union legislation or any equivalent agreements on the automatic exchange of Financial Account information, including agreements with third countries, or which takes advantage of the absence of such legislation or agreements. Such arrangements include at least the following:</w:t>
      </w:r>
    </w:p>
    <w:p w14:paraId="27006DEC" w14:textId="77777777" w:rsidR="00440ED0" w:rsidRPr="003D0EA4" w:rsidRDefault="00440ED0" w:rsidP="00D2110B">
      <w:pPr>
        <w:pStyle w:val="ListParagraph"/>
        <w:spacing w:after="160" w:line="278" w:lineRule="auto"/>
        <w:ind w:left="993"/>
        <w:rPr>
          <w:i/>
          <w:iCs/>
          <w:noProof/>
          <w:sz w:val="22"/>
          <w:szCs w:val="22"/>
        </w:rPr>
      </w:pPr>
      <w:r w:rsidRPr="003D0EA4">
        <w:rPr>
          <w:i/>
          <w:iCs/>
          <w:noProof/>
          <w:sz w:val="22"/>
          <w:szCs w:val="22"/>
        </w:rPr>
        <w:t>(a) the use of an account, product or investment that is not, or purports not to be, a Financial Account, but has features that are substantially similar to those of a Financial Account;</w:t>
      </w:r>
    </w:p>
    <w:p w14:paraId="5685CCFA" w14:textId="77777777" w:rsidR="00440ED0" w:rsidRPr="003D0EA4" w:rsidRDefault="00440ED0" w:rsidP="00D2110B">
      <w:pPr>
        <w:pStyle w:val="ListParagraph"/>
        <w:spacing w:after="160" w:line="278" w:lineRule="auto"/>
        <w:ind w:left="993"/>
        <w:rPr>
          <w:i/>
          <w:iCs/>
          <w:noProof/>
          <w:sz w:val="22"/>
          <w:szCs w:val="22"/>
        </w:rPr>
      </w:pPr>
      <w:r w:rsidRPr="003D0EA4">
        <w:rPr>
          <w:i/>
          <w:iCs/>
          <w:noProof/>
          <w:sz w:val="22"/>
          <w:szCs w:val="22"/>
        </w:rPr>
        <w:t>(b) the transfer of Financial Accounts or assets to, or the use of jurisdictions that are not bound by the automatic exchange of Financial Account information with the State of residence of the relevant taxpayer;</w:t>
      </w:r>
    </w:p>
    <w:p w14:paraId="66156F48" w14:textId="77777777" w:rsidR="00440ED0" w:rsidRPr="003D0EA4" w:rsidRDefault="00440ED0" w:rsidP="00D2110B">
      <w:pPr>
        <w:pStyle w:val="ListParagraph"/>
        <w:spacing w:after="160" w:line="278" w:lineRule="auto"/>
        <w:ind w:left="993"/>
        <w:rPr>
          <w:i/>
          <w:iCs/>
          <w:noProof/>
          <w:sz w:val="22"/>
          <w:szCs w:val="22"/>
        </w:rPr>
      </w:pPr>
      <w:r w:rsidRPr="003D0EA4">
        <w:rPr>
          <w:i/>
          <w:iCs/>
          <w:noProof/>
          <w:sz w:val="22"/>
          <w:szCs w:val="22"/>
        </w:rPr>
        <w:t>(c) the reclassification of income and capital into products or payments that are not subject to the automatic exchange of Financial Account information;</w:t>
      </w:r>
    </w:p>
    <w:p w14:paraId="5F5AFC8A" w14:textId="77777777" w:rsidR="00440ED0" w:rsidRPr="003D0EA4" w:rsidRDefault="00440ED0" w:rsidP="00D2110B">
      <w:pPr>
        <w:pStyle w:val="ListParagraph"/>
        <w:spacing w:after="160" w:line="278" w:lineRule="auto"/>
        <w:ind w:left="993"/>
        <w:rPr>
          <w:i/>
          <w:iCs/>
          <w:noProof/>
          <w:sz w:val="22"/>
          <w:szCs w:val="22"/>
        </w:rPr>
      </w:pPr>
      <w:r w:rsidRPr="003D0EA4">
        <w:rPr>
          <w:i/>
          <w:iCs/>
          <w:noProof/>
          <w:sz w:val="22"/>
          <w:szCs w:val="22"/>
        </w:rPr>
        <w:t>(d) the transfer or conversion of a Financial Institution or a Financial Account or the assets therein into a Financial Institution or a Financial Account or assets not subject to reporting under the automatic exchange of Financial Account information;</w:t>
      </w:r>
    </w:p>
    <w:p w14:paraId="40971CBD" w14:textId="77777777" w:rsidR="00440ED0" w:rsidRPr="003D0EA4" w:rsidRDefault="00440ED0" w:rsidP="00D2110B">
      <w:pPr>
        <w:pStyle w:val="ListParagraph"/>
        <w:spacing w:after="160" w:line="278" w:lineRule="auto"/>
        <w:ind w:left="993"/>
        <w:rPr>
          <w:i/>
          <w:iCs/>
          <w:noProof/>
          <w:sz w:val="22"/>
          <w:szCs w:val="22"/>
        </w:rPr>
      </w:pPr>
      <w:r w:rsidRPr="003D0EA4">
        <w:rPr>
          <w:i/>
          <w:iCs/>
          <w:noProof/>
          <w:sz w:val="22"/>
          <w:szCs w:val="22"/>
        </w:rPr>
        <w:t>(e) the use of legal entities, arrangements or structures that eliminate or purport to eliminate reporting of one or more Account Holders or Controlling Persons under the automatic exchange of Financial Account information;</w:t>
      </w:r>
    </w:p>
    <w:p w14:paraId="00365A01" w14:textId="77777777" w:rsidR="00440ED0" w:rsidRPr="003D0EA4" w:rsidRDefault="00440ED0" w:rsidP="00D2110B">
      <w:pPr>
        <w:pStyle w:val="ListParagraph"/>
        <w:spacing w:after="160" w:line="278" w:lineRule="auto"/>
        <w:ind w:left="993"/>
        <w:rPr>
          <w:i/>
          <w:iCs/>
          <w:noProof/>
          <w:sz w:val="22"/>
          <w:szCs w:val="22"/>
        </w:rPr>
      </w:pPr>
      <w:r w:rsidRPr="003D0EA4">
        <w:rPr>
          <w:i/>
          <w:iCs/>
          <w:noProof/>
          <w:sz w:val="22"/>
          <w:szCs w:val="22"/>
        </w:rPr>
        <w:t>(f) arrangements that undermine, or exploit weaknesses in, the due diligence procedures used by Financial Institutions to comply with their obligations to report Financial Account information, including the use of jurisdictions with inadequate or weak regimes of enforcement of anti-money-laundering legislation or with weak transparency requirements for legal persons or legal arrangements.</w:t>
      </w:r>
    </w:p>
    <w:p w14:paraId="40277596" w14:textId="77777777" w:rsidR="00440ED0" w:rsidRPr="003D0EA4" w:rsidRDefault="00440ED0" w:rsidP="00440ED0">
      <w:pPr>
        <w:pStyle w:val="ListParagraph"/>
        <w:spacing w:after="160" w:line="278" w:lineRule="auto"/>
        <w:rPr>
          <w:i/>
          <w:iCs/>
          <w:noProof/>
          <w:sz w:val="22"/>
          <w:szCs w:val="22"/>
        </w:rPr>
      </w:pPr>
      <w:r w:rsidRPr="003D0EA4">
        <w:rPr>
          <w:i/>
          <w:iCs/>
          <w:noProof/>
          <w:sz w:val="22"/>
          <w:szCs w:val="22"/>
        </w:rPr>
        <w:t>2. An arrangement involving a non-transparent legal or beneficial ownership chain with the use of persons, legal arrangements or structures:</w:t>
      </w:r>
    </w:p>
    <w:p w14:paraId="44D6CF30" w14:textId="77777777" w:rsidR="00440ED0" w:rsidRPr="003D0EA4" w:rsidRDefault="00440ED0" w:rsidP="00D2110B">
      <w:pPr>
        <w:pStyle w:val="ListParagraph"/>
        <w:spacing w:after="160" w:line="278" w:lineRule="auto"/>
        <w:ind w:left="993"/>
        <w:rPr>
          <w:i/>
          <w:iCs/>
          <w:noProof/>
          <w:sz w:val="22"/>
          <w:szCs w:val="22"/>
        </w:rPr>
      </w:pPr>
      <w:r w:rsidRPr="003D0EA4">
        <w:rPr>
          <w:i/>
          <w:iCs/>
          <w:noProof/>
          <w:sz w:val="22"/>
          <w:szCs w:val="22"/>
        </w:rPr>
        <w:t>(a) that do not carry on a substantive economic activity supported by adequate staff, equipment, assets and premises; and</w:t>
      </w:r>
    </w:p>
    <w:p w14:paraId="7FD7488A" w14:textId="77777777" w:rsidR="00440ED0" w:rsidRPr="003D0EA4" w:rsidRDefault="00440ED0" w:rsidP="00D2110B">
      <w:pPr>
        <w:pStyle w:val="ListParagraph"/>
        <w:spacing w:after="160" w:line="278" w:lineRule="auto"/>
        <w:ind w:left="993"/>
        <w:rPr>
          <w:i/>
          <w:iCs/>
          <w:noProof/>
          <w:sz w:val="22"/>
          <w:szCs w:val="22"/>
        </w:rPr>
      </w:pPr>
      <w:r w:rsidRPr="003D0EA4">
        <w:rPr>
          <w:i/>
          <w:iCs/>
          <w:noProof/>
          <w:sz w:val="22"/>
          <w:szCs w:val="22"/>
        </w:rPr>
        <w:t>(b) that are incorporated, managed, resident, controlled or established in any jurisdiction other than the jurisdiction of residence of one or more of the beneficial owners of the assets held by such persons, legal arrangements or structures; and</w:t>
      </w:r>
    </w:p>
    <w:p w14:paraId="72D68D26" w14:textId="0106C9C0" w:rsidR="00EB06BE" w:rsidRPr="003D0EA4" w:rsidRDefault="00440ED0" w:rsidP="00D2110B">
      <w:pPr>
        <w:pStyle w:val="ListParagraph"/>
        <w:spacing w:after="160" w:line="278" w:lineRule="auto"/>
        <w:ind w:left="993"/>
        <w:rPr>
          <w:i/>
          <w:iCs/>
          <w:noProof/>
          <w:sz w:val="22"/>
          <w:szCs w:val="22"/>
        </w:rPr>
      </w:pPr>
      <w:r w:rsidRPr="003D0EA4">
        <w:rPr>
          <w:i/>
          <w:iCs/>
          <w:noProof/>
          <w:sz w:val="22"/>
          <w:szCs w:val="22"/>
        </w:rPr>
        <w:t>(c) where the beneficial owners of such persons, legal arrangements or structures, as defined in Directive (EU) 2015/849, are made unidentifiable.</w:t>
      </w:r>
    </w:p>
    <w:p w14:paraId="697F0B56" w14:textId="77777777" w:rsidR="003D0EA4" w:rsidRPr="0072406E" w:rsidRDefault="003D0EA4" w:rsidP="00440ED0">
      <w:pPr>
        <w:pStyle w:val="ListParagraph"/>
        <w:spacing w:after="160" w:line="278" w:lineRule="auto"/>
        <w:rPr>
          <w:noProof/>
        </w:rPr>
      </w:pPr>
    </w:p>
    <w:p w14:paraId="337DC7E2" w14:textId="351D6DD4" w:rsidR="00235522" w:rsidRPr="0072406E" w:rsidRDefault="55753BEF" w:rsidP="0059106A">
      <w:pPr>
        <w:pStyle w:val="ListParagraph"/>
        <w:numPr>
          <w:ilvl w:val="0"/>
          <w:numId w:val="20"/>
        </w:numPr>
        <w:spacing w:after="160" w:line="278" w:lineRule="auto"/>
        <w:rPr>
          <w:noProof/>
        </w:rPr>
      </w:pPr>
      <w:r w:rsidRPr="4321A1A3">
        <w:rPr>
          <w:b/>
          <w:bCs/>
          <w:noProof/>
        </w:rPr>
        <w:t>Category E (Transfer Pricing hallmarks):</w:t>
      </w:r>
      <w:r>
        <w:rPr>
          <w:noProof/>
        </w:rPr>
        <w:t xml:space="preserve"> These relate to how </w:t>
      </w:r>
      <w:r w:rsidR="3179B622">
        <w:rPr>
          <w:noProof/>
        </w:rPr>
        <w:t xml:space="preserve">MNEs </w:t>
      </w:r>
      <w:r>
        <w:rPr>
          <w:noProof/>
        </w:rPr>
        <w:t>price transactions within their group, such as transferring intellectual property between subsidiaries in different countries to shift profits, (e.g., unilateral safe harbours, hard-to-value intangibles).</w:t>
      </w:r>
    </w:p>
    <w:p w14:paraId="7B0F756D" w14:textId="77777777" w:rsidR="0052053E" w:rsidRDefault="0052053E" w:rsidP="0052053E">
      <w:pPr>
        <w:pStyle w:val="ListParagraph"/>
        <w:rPr>
          <w:noProof/>
        </w:rPr>
      </w:pPr>
    </w:p>
    <w:p w14:paraId="25181599" w14:textId="77777777" w:rsidR="0052053E" w:rsidRPr="00693BB7" w:rsidRDefault="0052053E" w:rsidP="0052053E">
      <w:pPr>
        <w:pStyle w:val="ListParagraph"/>
        <w:spacing w:after="160" w:line="278" w:lineRule="auto"/>
        <w:rPr>
          <w:i/>
          <w:iCs/>
          <w:noProof/>
          <w:sz w:val="22"/>
          <w:szCs w:val="22"/>
        </w:rPr>
      </w:pPr>
      <w:r w:rsidRPr="00693BB7">
        <w:rPr>
          <w:i/>
          <w:iCs/>
          <w:noProof/>
          <w:sz w:val="22"/>
          <w:szCs w:val="22"/>
        </w:rPr>
        <w:t>1. An arrangement which involves the use of unilateral safe harbour rules.</w:t>
      </w:r>
    </w:p>
    <w:p w14:paraId="2801547E" w14:textId="77777777" w:rsidR="0052053E" w:rsidRPr="00693BB7" w:rsidRDefault="0052053E" w:rsidP="0052053E">
      <w:pPr>
        <w:pStyle w:val="ListParagraph"/>
        <w:spacing w:after="160" w:line="278" w:lineRule="auto"/>
        <w:rPr>
          <w:i/>
          <w:iCs/>
          <w:noProof/>
          <w:sz w:val="22"/>
          <w:szCs w:val="22"/>
        </w:rPr>
      </w:pPr>
      <w:r w:rsidRPr="00693BB7">
        <w:rPr>
          <w:i/>
          <w:iCs/>
          <w:noProof/>
          <w:sz w:val="22"/>
          <w:szCs w:val="22"/>
        </w:rPr>
        <w:t>2. An arrangement involving the transfer of hard-to-value intangibles. The term “hard-to-value intangibles” covers intangibles or rights in intangibles for which, at the time of their transfer between associated enterprises:</w:t>
      </w:r>
    </w:p>
    <w:p w14:paraId="56132B4E" w14:textId="77777777" w:rsidR="0052053E" w:rsidRPr="00693BB7" w:rsidRDefault="0052053E" w:rsidP="00D2110B">
      <w:pPr>
        <w:pStyle w:val="ListParagraph"/>
        <w:spacing w:after="160" w:line="278" w:lineRule="auto"/>
        <w:ind w:left="1134"/>
        <w:rPr>
          <w:i/>
          <w:iCs/>
          <w:noProof/>
          <w:sz w:val="22"/>
          <w:szCs w:val="22"/>
        </w:rPr>
      </w:pPr>
      <w:r w:rsidRPr="00693BB7">
        <w:rPr>
          <w:i/>
          <w:iCs/>
          <w:noProof/>
          <w:sz w:val="22"/>
          <w:szCs w:val="22"/>
        </w:rPr>
        <w:t>(a) no reliable comparables exist; and</w:t>
      </w:r>
    </w:p>
    <w:p w14:paraId="38713EC1" w14:textId="77777777" w:rsidR="0052053E" w:rsidRPr="00693BB7" w:rsidRDefault="0052053E" w:rsidP="00D2110B">
      <w:pPr>
        <w:pStyle w:val="ListParagraph"/>
        <w:spacing w:after="160" w:line="278" w:lineRule="auto"/>
        <w:ind w:left="1134"/>
        <w:rPr>
          <w:i/>
          <w:iCs/>
          <w:noProof/>
          <w:sz w:val="22"/>
          <w:szCs w:val="22"/>
        </w:rPr>
      </w:pPr>
      <w:r w:rsidRPr="00693BB7">
        <w:rPr>
          <w:i/>
          <w:iCs/>
          <w:noProof/>
          <w:sz w:val="22"/>
          <w:szCs w:val="22"/>
        </w:rPr>
        <w:t>(b) at the time the transaction was entered into, the projections of future cash flows or income expected to be derived from the transferred intangible, or the assumptions used in valuing the intangible are highly uncertain, making it difficult to predict the level of ultimate success of the intangible at the time of the transfer.</w:t>
      </w:r>
    </w:p>
    <w:p w14:paraId="1C68C9B9" w14:textId="6B814FC5" w:rsidR="0052053E" w:rsidRPr="00693BB7" w:rsidRDefault="0052053E" w:rsidP="0052053E">
      <w:pPr>
        <w:pStyle w:val="ListParagraph"/>
        <w:spacing w:after="160" w:line="278" w:lineRule="auto"/>
        <w:rPr>
          <w:i/>
          <w:iCs/>
          <w:noProof/>
          <w:sz w:val="22"/>
          <w:szCs w:val="22"/>
        </w:rPr>
      </w:pPr>
      <w:r w:rsidRPr="00693BB7">
        <w:rPr>
          <w:i/>
          <w:iCs/>
          <w:noProof/>
          <w:sz w:val="22"/>
          <w:szCs w:val="22"/>
        </w:rPr>
        <w:t>3. An arrangement involving an intragroup cross-border transfer of functions and/or risks and/or assets, if the projected annual earnings before interest and taxes (EBIT), during the three-year period after the transfer, of the transferor or transferors, are less than 50 % of the projected annual EBIT of such transferor or transferors if the transfer had not been made.’</w:t>
      </w:r>
    </w:p>
    <w:p w14:paraId="7B6A0629" w14:textId="77777777" w:rsidR="00235522" w:rsidRPr="0072406E" w:rsidRDefault="00235522" w:rsidP="00235522">
      <w:pPr>
        <w:rPr>
          <w:noProof/>
        </w:rPr>
      </w:pPr>
      <w:r w:rsidRPr="0072406E">
        <w:rPr>
          <w:noProof/>
        </w:rPr>
        <w:t xml:space="preserve">Information reported to national tax authorities is subsequently </w:t>
      </w:r>
      <w:r w:rsidRPr="0072406E">
        <w:rPr>
          <w:b/>
          <w:bCs/>
          <w:noProof/>
        </w:rPr>
        <w:t>exchanged automatically between MS within a month</w:t>
      </w:r>
      <w:r w:rsidRPr="0072406E">
        <w:rPr>
          <w:noProof/>
        </w:rPr>
        <w:t xml:space="preserve">. This exchange is made by standardized XML schema for data via a central depository provided by the Commission services and accessible by Member States The data shared includes who is involved, what the arrangement looks like, which hallmarks apply, and when it was implemented. The system enables all Member States to access the information, creating a </w:t>
      </w:r>
      <w:r w:rsidRPr="0072406E">
        <w:rPr>
          <w:b/>
          <w:bCs/>
          <w:noProof/>
        </w:rPr>
        <w:t>shared repository of intelligence on cross-border tax arrangements</w:t>
      </w:r>
      <w:r w:rsidRPr="0072406E">
        <w:rPr>
          <w:noProof/>
        </w:rPr>
        <w:t>.</w:t>
      </w:r>
    </w:p>
    <w:p w14:paraId="05D04B88" w14:textId="77777777" w:rsidR="00B47EFF" w:rsidRDefault="00235522" w:rsidP="00235522">
      <w:pPr>
        <w:rPr>
          <w:noProof/>
        </w:rPr>
      </w:pPr>
      <w:r w:rsidRPr="0072406E">
        <w:rPr>
          <w:noProof/>
        </w:rPr>
        <w:t xml:space="preserve">The reporting framework aims to provide </w:t>
      </w:r>
      <w:r w:rsidRPr="0072406E">
        <w:rPr>
          <w:b/>
          <w:bCs/>
          <w:noProof/>
        </w:rPr>
        <w:t>tax administrations with early information on potentially aggressive tax planning arrangements</w:t>
      </w:r>
      <w:r w:rsidRPr="0072406E">
        <w:rPr>
          <w:noProof/>
        </w:rPr>
        <w:t>, thereby supporting risk assessment and enforcement activities.</w:t>
      </w:r>
      <w:r w:rsidR="00B47EFF">
        <w:rPr>
          <w:noProof/>
        </w:rPr>
        <w:t xml:space="preserve"> </w:t>
      </w:r>
    </w:p>
    <w:p w14:paraId="2D7B43AA" w14:textId="1D62CCB7" w:rsidR="00F37619" w:rsidRDefault="00B47EFF" w:rsidP="00235522">
      <w:pPr>
        <w:rPr>
          <w:noProof/>
        </w:rPr>
      </w:pPr>
      <w:r w:rsidRPr="00B47EFF">
        <w:rPr>
          <w:b/>
          <w:bCs/>
          <w:noProof/>
        </w:rPr>
        <w:t xml:space="preserve">Figure </w:t>
      </w:r>
      <w:r w:rsidR="00F37619">
        <w:rPr>
          <w:b/>
          <w:bCs/>
          <w:noProof/>
        </w:rPr>
        <w:t>2</w:t>
      </w:r>
      <w:r>
        <w:rPr>
          <w:noProof/>
        </w:rPr>
        <w:t xml:space="preserve"> on the following page includes an explanatory chart on the functioning of the hallmarks and the Main Benefit Test.</w:t>
      </w:r>
    </w:p>
    <w:p w14:paraId="725447A4" w14:textId="77777777" w:rsidR="00F37619" w:rsidRDefault="00F37619">
      <w:pPr>
        <w:spacing w:after="200" w:line="276" w:lineRule="auto"/>
        <w:jc w:val="left"/>
        <w:rPr>
          <w:noProof/>
        </w:rPr>
      </w:pPr>
      <w:r>
        <w:rPr>
          <w:noProof/>
        </w:rPr>
        <w:br w:type="page"/>
      </w:r>
    </w:p>
    <w:p w14:paraId="752B68DD" w14:textId="1D918C4E" w:rsidR="00235522" w:rsidRDefault="00F37619" w:rsidP="00235522">
      <w:pPr>
        <w:rPr>
          <w:noProof/>
        </w:rPr>
      </w:pPr>
      <w:r w:rsidRPr="4321A1A3">
        <w:rPr>
          <w:b/>
          <w:bCs/>
          <w:noProof/>
        </w:rPr>
        <w:t xml:space="preserve">Figure </w:t>
      </w:r>
      <w:r>
        <w:rPr>
          <w:b/>
          <w:bCs/>
          <w:noProof/>
        </w:rPr>
        <w:t>2</w:t>
      </w:r>
      <w:r w:rsidRPr="4321A1A3">
        <w:rPr>
          <w:b/>
          <w:bCs/>
          <w:noProof/>
        </w:rPr>
        <w:t xml:space="preserve">- </w:t>
      </w:r>
      <w:r>
        <w:rPr>
          <w:b/>
          <w:bCs/>
          <w:noProof/>
        </w:rPr>
        <w:t>DAC6 e</w:t>
      </w:r>
      <w:r w:rsidRPr="00F37619">
        <w:rPr>
          <w:b/>
          <w:bCs/>
          <w:noProof/>
        </w:rPr>
        <w:t>xplanatory chart</w:t>
      </w:r>
    </w:p>
    <w:p w14:paraId="5802EAE5" w14:textId="5B2574F2" w:rsidR="00235522" w:rsidRPr="0072406E" w:rsidRDefault="55753BEF" w:rsidP="00235522">
      <w:pPr>
        <w:rPr>
          <w:noProof/>
        </w:rPr>
      </w:pPr>
      <w:r>
        <w:rPr>
          <w:noProof/>
          <w:lang w:eastAsia="en-GB"/>
        </w:rPr>
        <w:drawing>
          <wp:inline distT="0" distB="0" distL="0" distR="0" wp14:anchorId="327ED03D" wp14:editId="47043DA2">
            <wp:extent cx="5637526" cy="7761370"/>
            <wp:effectExtent l="0" t="0" r="0" b="0"/>
            <wp:docPr id="807466384" name="Picture 3"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66384" name="Picture 3" descr="A diagram of a flowchart&#10;&#10;AI-generated content may be incorrect."/>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5637526" cy="7761370"/>
                    </a:xfrm>
                    <a:prstGeom prst="rect">
                      <a:avLst/>
                    </a:prstGeom>
                    <a:noFill/>
                  </pic:spPr>
                </pic:pic>
              </a:graphicData>
            </a:graphic>
          </wp:inline>
        </w:drawing>
      </w:r>
    </w:p>
    <w:p w14:paraId="4AB68A30" w14:textId="319C1D64" w:rsidR="74DA41DD" w:rsidRDefault="74DA41DD">
      <w:pPr>
        <w:rPr>
          <w:noProof/>
        </w:rPr>
      </w:pPr>
      <w:r>
        <w:rPr>
          <w:noProof/>
        </w:rPr>
        <w:t>Focusing on the distribution of reported arrangements across the different hallmarks under DAC6. The total number of hallmark disclosures</w:t>
      </w:r>
      <w:r w:rsidR="2520EDB7">
        <w:rPr>
          <w:noProof/>
        </w:rPr>
        <w:t xml:space="preserve"> (</w:t>
      </w:r>
      <w:r w:rsidR="2520EDB7" w:rsidRPr="00B47EFF">
        <w:rPr>
          <w:b/>
          <w:bCs/>
          <w:noProof/>
        </w:rPr>
        <w:t xml:space="preserve">Figure </w:t>
      </w:r>
      <w:r w:rsidR="00F37619">
        <w:rPr>
          <w:b/>
          <w:bCs/>
          <w:noProof/>
        </w:rPr>
        <w:t>3</w:t>
      </w:r>
      <w:r w:rsidR="2520EDB7">
        <w:rPr>
          <w:noProof/>
        </w:rPr>
        <w:t>)</w:t>
      </w:r>
      <w:r>
        <w:rPr>
          <w:noProof/>
        </w:rPr>
        <w:t xml:space="preserve"> does not equal 79,000 reports because a single report may include multiple hallmarks. As a result, the same arrangement can be counted under more than one hallmark category, leading to a higher cumulative total when aggregating across hallmarks than the number of individual reports submitted.</w:t>
      </w:r>
    </w:p>
    <w:p w14:paraId="0AEECAC5" w14:textId="49C0880E" w:rsidR="74DA41DD" w:rsidRDefault="74DA41DD" w:rsidP="4321A1A3">
      <w:pPr>
        <w:rPr>
          <w:b/>
          <w:bCs/>
          <w:noProof/>
        </w:rPr>
      </w:pPr>
      <w:r w:rsidRPr="4321A1A3">
        <w:rPr>
          <w:b/>
          <w:bCs/>
          <w:noProof/>
        </w:rPr>
        <w:t xml:space="preserve">Figure </w:t>
      </w:r>
      <w:r w:rsidR="00F37619">
        <w:rPr>
          <w:b/>
          <w:bCs/>
          <w:noProof/>
        </w:rPr>
        <w:t>3</w:t>
      </w:r>
      <w:r w:rsidRPr="4321A1A3">
        <w:rPr>
          <w:b/>
          <w:bCs/>
          <w:noProof/>
        </w:rPr>
        <w:t>- Number of Disclosures affected by hallmarks</w:t>
      </w:r>
    </w:p>
    <w:p w14:paraId="23E80D54" w14:textId="4D456DBA" w:rsidR="74DA41DD" w:rsidRDefault="74DA41DD" w:rsidP="4321A1A3">
      <w:pPr>
        <w:rPr>
          <w:noProof/>
        </w:rPr>
      </w:pPr>
      <w:r>
        <w:rPr>
          <w:noProof/>
          <w:lang w:eastAsia="en-GB"/>
        </w:rPr>
        <w:drawing>
          <wp:anchor distT="0" distB="0" distL="114300" distR="114300" simplePos="0" relativeHeight="251658240" behindDoc="1" locked="0" layoutInCell="1" allowOverlap="1" wp14:anchorId="6FE28AEC" wp14:editId="7E8833C3">
            <wp:simplePos x="0" y="0"/>
            <wp:positionH relativeFrom="column">
              <wp:posOffset>3810</wp:posOffset>
            </wp:positionH>
            <wp:positionV relativeFrom="paragraph">
              <wp:posOffset>0</wp:posOffset>
            </wp:positionV>
            <wp:extent cx="6030000" cy="2257200"/>
            <wp:effectExtent l="0" t="0" r="0" b="0"/>
            <wp:wrapTight wrapText="bothSides">
              <wp:wrapPolygon edited="0">
                <wp:start x="0" y="0"/>
                <wp:lineTo x="0" y="21333"/>
                <wp:lineTo x="21495" y="21333"/>
                <wp:lineTo x="21495" y="0"/>
                <wp:lineTo x="0" y="0"/>
              </wp:wrapPolygon>
            </wp:wrapTight>
            <wp:docPr id="20008345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34569" name="Picture 2000834569"/>
                    <pic:cNvPicPr/>
                  </pic:nvPicPr>
                  <pic:blipFill>
                    <a:blip r:embed="rId26">
                      <a:extLst>
                        <a:ext uri="{28A0092B-C50C-407E-A947-70E740481C1C}">
                          <a14:useLocalDpi xmlns:a14="http://schemas.microsoft.com/office/drawing/2010/main" val="0"/>
                        </a:ext>
                      </a:extLst>
                    </a:blip>
                    <a:stretch>
                      <a:fillRect/>
                    </a:stretch>
                  </pic:blipFill>
                  <pic:spPr>
                    <a:xfrm>
                      <a:off x="0" y="0"/>
                      <a:ext cx="6030000" cy="2257200"/>
                    </a:xfrm>
                    <a:prstGeom prst="rect">
                      <a:avLst/>
                    </a:prstGeom>
                  </pic:spPr>
                </pic:pic>
              </a:graphicData>
            </a:graphic>
            <wp14:sizeRelH relativeFrom="page">
              <wp14:pctWidth>0</wp14:pctWidth>
            </wp14:sizeRelH>
            <wp14:sizeRelV relativeFrom="page">
              <wp14:pctHeight>0</wp14:pctHeight>
            </wp14:sizeRelV>
          </wp:anchor>
        </w:drawing>
      </w:r>
    </w:p>
    <w:p w14:paraId="1BBDC182" w14:textId="6BC7DF1F" w:rsidR="030535EB" w:rsidRDefault="00B47EFF">
      <w:pPr>
        <w:rPr>
          <w:noProof/>
        </w:rPr>
      </w:pPr>
      <w:r>
        <w:rPr>
          <w:b/>
          <w:bCs/>
          <w:noProof/>
        </w:rPr>
        <w:t>F</w:t>
      </w:r>
      <w:r w:rsidR="030535EB" w:rsidRPr="4321A1A3">
        <w:rPr>
          <w:b/>
          <w:bCs/>
          <w:noProof/>
        </w:rPr>
        <w:t xml:space="preserve">igure </w:t>
      </w:r>
      <w:r w:rsidR="00F37619">
        <w:rPr>
          <w:b/>
          <w:bCs/>
          <w:noProof/>
        </w:rPr>
        <w:t>4</w:t>
      </w:r>
      <w:r w:rsidR="030535EB" w:rsidRPr="4321A1A3">
        <w:rPr>
          <w:b/>
          <w:bCs/>
          <w:noProof/>
        </w:rPr>
        <w:t>- T</w:t>
      </w:r>
      <w:r w:rsidR="38BA51B5" w:rsidRPr="4321A1A3">
        <w:rPr>
          <w:b/>
          <w:bCs/>
          <w:noProof/>
        </w:rPr>
        <w:t>otal number of reported cross-border arrangements under the DAC6 Directive across MS from 2020 to 2025</w:t>
      </w:r>
      <w:r w:rsidR="38BA51B5">
        <w:rPr>
          <w:noProof/>
        </w:rPr>
        <w:t xml:space="preserve">. </w:t>
      </w:r>
    </w:p>
    <w:p w14:paraId="6BE89918" w14:textId="284DA6E7" w:rsidR="00F37619" w:rsidRDefault="38BA51B5" w:rsidP="4321A1A3">
      <w:pPr>
        <w:rPr>
          <w:noProof/>
        </w:rPr>
      </w:pPr>
      <w:r>
        <w:rPr>
          <w:noProof/>
          <w:lang w:eastAsia="en-GB"/>
        </w:rPr>
        <w:drawing>
          <wp:inline distT="0" distB="0" distL="0" distR="0" wp14:anchorId="37148F15" wp14:editId="00BF2AF1">
            <wp:extent cx="5859740" cy="3591126"/>
            <wp:effectExtent l="0" t="0" r="0" b="0"/>
            <wp:docPr id="1580661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61238" name="Picture 1580661238"/>
                    <pic:cNvPicPr/>
                  </pic:nvPicPr>
                  <pic:blipFill>
                    <a:blip r:embed="rId27">
                      <a:extLst>
                        <a:ext uri="{28A0092B-C50C-407E-A947-70E740481C1C}">
                          <a14:useLocalDpi xmlns:a14="http://schemas.microsoft.com/office/drawing/2010/main"/>
                        </a:ext>
                      </a:extLst>
                    </a:blip>
                    <a:stretch>
                      <a:fillRect/>
                    </a:stretch>
                  </pic:blipFill>
                  <pic:spPr>
                    <a:xfrm>
                      <a:off x="0" y="0"/>
                      <a:ext cx="5859740" cy="3591126"/>
                    </a:xfrm>
                    <a:prstGeom prst="rect">
                      <a:avLst/>
                    </a:prstGeom>
                  </pic:spPr>
                </pic:pic>
              </a:graphicData>
            </a:graphic>
          </wp:inline>
        </w:drawing>
      </w:r>
    </w:p>
    <w:p w14:paraId="4608BF8A" w14:textId="77777777" w:rsidR="00F37619" w:rsidRDefault="00F37619">
      <w:pPr>
        <w:spacing w:after="200" w:line="276" w:lineRule="auto"/>
        <w:jc w:val="left"/>
        <w:rPr>
          <w:noProof/>
        </w:rPr>
      </w:pPr>
      <w:r>
        <w:rPr>
          <w:noProof/>
        </w:rPr>
        <w:br w:type="page"/>
      </w:r>
    </w:p>
    <w:p w14:paraId="02FA4337" w14:textId="3CF6154E" w:rsidR="00235522" w:rsidRPr="0072406E" w:rsidRDefault="00235522" w:rsidP="00715B1E">
      <w:pPr>
        <w:rPr>
          <w:b/>
          <w:bCs/>
          <w:noProof/>
        </w:rPr>
      </w:pPr>
      <w:r w:rsidRPr="0072406E">
        <w:rPr>
          <w:b/>
          <w:bCs/>
          <w:noProof/>
        </w:rPr>
        <w:t>DAC7 – Reporting obligations for digital platform operators</w:t>
      </w:r>
    </w:p>
    <w:p w14:paraId="55F1374C" w14:textId="77777777" w:rsidR="00235522" w:rsidRPr="0072406E" w:rsidRDefault="00235522" w:rsidP="00235522">
      <w:pPr>
        <w:rPr>
          <w:noProof/>
        </w:rPr>
      </w:pPr>
      <w:r w:rsidRPr="0072406E">
        <w:rPr>
          <w:noProof/>
        </w:rPr>
        <w:t xml:space="preserve">DAC7 (Council Directive (EU) 2021/514 amending Directive 2011/16/EU) introduced reporting obligations for </w:t>
      </w:r>
      <w:r w:rsidRPr="0072406E">
        <w:rPr>
          <w:b/>
          <w:bCs/>
          <w:noProof/>
        </w:rPr>
        <w:t>digital platform operators</w:t>
      </w:r>
      <w:r w:rsidRPr="0072406E">
        <w:rPr>
          <w:noProof/>
        </w:rPr>
        <w:t xml:space="preserve"> facilitating certain activities carried out by sellers through digital platforms.</w:t>
      </w:r>
    </w:p>
    <w:p w14:paraId="21E33FCC" w14:textId="77777777" w:rsidR="00235522" w:rsidRPr="0072406E" w:rsidRDefault="00235522" w:rsidP="00235522">
      <w:pPr>
        <w:rPr>
          <w:noProof/>
        </w:rPr>
      </w:pPr>
      <w:r w:rsidRPr="0072406E">
        <w:rPr>
          <w:noProof/>
        </w:rPr>
        <w:t>Platform operators are required to collect and report information on sellers generating income through their platforms. More concretely:</w:t>
      </w:r>
    </w:p>
    <w:p w14:paraId="26132FC8" w14:textId="77777777" w:rsidR="00235522" w:rsidRPr="0072406E" w:rsidRDefault="00235522" w:rsidP="0059106A">
      <w:pPr>
        <w:pStyle w:val="ListParagraph"/>
        <w:numPr>
          <w:ilvl w:val="0"/>
          <w:numId w:val="21"/>
        </w:numPr>
        <w:spacing w:after="160" w:line="278" w:lineRule="auto"/>
        <w:rPr>
          <w:noProof/>
        </w:rPr>
      </w:pPr>
      <w:r w:rsidRPr="0072406E">
        <w:rPr>
          <w:i/>
          <w:iCs/>
          <w:noProof/>
        </w:rPr>
        <w:t>Relevant activities</w:t>
      </w:r>
      <w:r w:rsidRPr="0072406E">
        <w:rPr>
          <w:noProof/>
        </w:rPr>
        <w:t>: Rental of immovable property, personal services, sale of goods, rental of means of transport.</w:t>
      </w:r>
    </w:p>
    <w:p w14:paraId="491CC7C0" w14:textId="77777777" w:rsidR="00235522" w:rsidRPr="0072406E" w:rsidRDefault="00235522" w:rsidP="0059106A">
      <w:pPr>
        <w:pStyle w:val="ListParagraph"/>
        <w:numPr>
          <w:ilvl w:val="0"/>
          <w:numId w:val="21"/>
        </w:numPr>
        <w:spacing w:after="160" w:line="278" w:lineRule="auto"/>
        <w:rPr>
          <w:noProof/>
        </w:rPr>
      </w:pPr>
      <w:r w:rsidRPr="0072406E">
        <w:rPr>
          <w:i/>
          <w:iCs/>
          <w:noProof/>
        </w:rPr>
        <w:t>Reporting platform operators</w:t>
      </w:r>
      <w:r w:rsidRPr="0072406E">
        <w:rPr>
          <w:noProof/>
        </w:rPr>
        <w:t>: EU-resident/established operators; non-EU operators if facilitating EU sellers or EU immovable property rentals.</w:t>
      </w:r>
    </w:p>
    <w:p w14:paraId="7027DE26" w14:textId="77777777" w:rsidR="00235522" w:rsidRPr="0072406E" w:rsidRDefault="00235522" w:rsidP="0059106A">
      <w:pPr>
        <w:pStyle w:val="ListParagraph"/>
        <w:numPr>
          <w:ilvl w:val="0"/>
          <w:numId w:val="21"/>
        </w:numPr>
        <w:spacing w:after="160" w:line="278" w:lineRule="auto"/>
        <w:rPr>
          <w:noProof/>
        </w:rPr>
      </w:pPr>
      <w:r w:rsidRPr="0072406E">
        <w:rPr>
          <w:i/>
          <w:iCs/>
          <w:noProof/>
        </w:rPr>
        <w:t>Reportable sellers:</w:t>
      </w:r>
      <w:r w:rsidRPr="0072406E">
        <w:rPr>
          <w:noProof/>
        </w:rPr>
        <w:t xml:space="preserve"> Active sellers (≥30 transactions or &gt;EUR 2,000 consideration annually for goods, with exemptions applicable to all activities for listed entities, government bodies, etc.).</w:t>
      </w:r>
    </w:p>
    <w:p w14:paraId="448249FF" w14:textId="77777777" w:rsidR="00235522" w:rsidRPr="0072406E" w:rsidRDefault="00235522" w:rsidP="00235522">
      <w:pPr>
        <w:rPr>
          <w:noProof/>
        </w:rPr>
      </w:pPr>
      <w:r w:rsidRPr="0072406E">
        <w:rPr>
          <w:noProof/>
        </w:rPr>
        <w:t>The information reported includes, among other elements:</w:t>
      </w:r>
    </w:p>
    <w:p w14:paraId="555D8E95" w14:textId="77777777" w:rsidR="00235522" w:rsidRPr="0072406E" w:rsidRDefault="55753BEF" w:rsidP="4321A1A3">
      <w:pPr>
        <w:numPr>
          <w:ilvl w:val="0"/>
          <w:numId w:val="18"/>
        </w:numPr>
        <w:spacing w:after="0" w:line="278" w:lineRule="auto"/>
        <w:rPr>
          <w:noProof/>
        </w:rPr>
      </w:pPr>
      <w:r>
        <w:rPr>
          <w:noProof/>
        </w:rPr>
        <w:t>identification details of the seller (individuals: name, address, TIN, DOB; entities: name, address, TIN, incorporation details)</w:t>
      </w:r>
    </w:p>
    <w:p w14:paraId="0133C6E5" w14:textId="77777777" w:rsidR="00235522" w:rsidRPr="0072406E" w:rsidRDefault="55753BEF" w:rsidP="4321A1A3">
      <w:pPr>
        <w:numPr>
          <w:ilvl w:val="0"/>
          <w:numId w:val="18"/>
        </w:numPr>
        <w:spacing w:after="0" w:line="278" w:lineRule="auto"/>
        <w:rPr>
          <w:noProof/>
        </w:rPr>
      </w:pPr>
      <w:r>
        <w:rPr>
          <w:noProof/>
        </w:rPr>
        <w:t>the total consideration paid or credited to the seller</w:t>
      </w:r>
    </w:p>
    <w:p w14:paraId="3A61EDB9" w14:textId="77777777" w:rsidR="00235522" w:rsidRPr="0072406E" w:rsidRDefault="55753BEF" w:rsidP="4321A1A3">
      <w:pPr>
        <w:numPr>
          <w:ilvl w:val="0"/>
          <w:numId w:val="18"/>
        </w:numPr>
        <w:spacing w:after="0" w:line="278" w:lineRule="auto"/>
        <w:rPr>
          <w:noProof/>
        </w:rPr>
      </w:pPr>
      <w:r>
        <w:rPr>
          <w:noProof/>
        </w:rPr>
        <w:t>fees or commissions charged by the platform</w:t>
      </w:r>
    </w:p>
    <w:p w14:paraId="59E9A454" w14:textId="18BFEF97" w:rsidR="00235522" w:rsidRPr="0072406E" w:rsidRDefault="55753BEF" w:rsidP="4321A1A3">
      <w:pPr>
        <w:numPr>
          <w:ilvl w:val="0"/>
          <w:numId w:val="18"/>
        </w:numPr>
        <w:spacing w:after="0" w:line="278" w:lineRule="auto"/>
        <w:rPr>
          <w:noProof/>
        </w:rPr>
      </w:pPr>
      <w:r>
        <w:rPr>
          <w:noProof/>
        </w:rPr>
        <w:t>the number of relevant transactions carried out</w:t>
      </w:r>
    </w:p>
    <w:p w14:paraId="6FED5F28" w14:textId="713A1B41" w:rsidR="4321A1A3" w:rsidRDefault="4321A1A3" w:rsidP="4321A1A3">
      <w:pPr>
        <w:spacing w:after="0" w:line="278" w:lineRule="auto"/>
        <w:ind w:left="720"/>
        <w:rPr>
          <w:noProof/>
        </w:rPr>
      </w:pPr>
    </w:p>
    <w:p w14:paraId="735212D0" w14:textId="77777777" w:rsidR="00235522" w:rsidRPr="0072406E" w:rsidRDefault="00235522" w:rsidP="00235522">
      <w:pPr>
        <w:rPr>
          <w:noProof/>
        </w:rPr>
      </w:pPr>
      <w:r w:rsidRPr="0072406E">
        <w:rPr>
          <w:noProof/>
        </w:rPr>
        <w:t>The information is reported to the tax authority of the MS where the platform operator is registered and subsequently exchanged with the MS of residence of the seller.</w:t>
      </w:r>
    </w:p>
    <w:p w14:paraId="2EA8AFC6" w14:textId="77777777" w:rsidR="00235522" w:rsidRPr="0072406E" w:rsidRDefault="00235522" w:rsidP="00235522">
      <w:pPr>
        <w:rPr>
          <w:noProof/>
        </w:rPr>
      </w:pPr>
      <w:r>
        <w:rPr>
          <w:noProof/>
        </w:rPr>
        <w:t>The objective of this framework is to improve tax transparency in MS and facilitate the taxation of income generated through the platform economy.</w:t>
      </w:r>
    </w:p>
    <w:p w14:paraId="2F259901" w14:textId="77777777" w:rsidR="00715B1E" w:rsidRDefault="00715B1E" w:rsidP="00715B1E">
      <w:pPr>
        <w:spacing w:before="120" w:after="120"/>
        <w:contextualSpacing/>
        <w:rPr>
          <w:rFonts w:eastAsia="Times New Roman"/>
          <w:b/>
          <w:bCs/>
          <w:noProof/>
          <w:color w:val="000000" w:themeColor="text1"/>
          <w:szCs w:val="20"/>
        </w:rPr>
      </w:pPr>
      <w:r w:rsidRPr="009C04F3">
        <w:rPr>
          <w:rFonts w:eastAsia="Times New Roman"/>
          <w:b/>
          <w:bCs/>
          <w:noProof/>
          <w:color w:val="000000" w:themeColor="text1"/>
          <w:szCs w:val="20"/>
        </w:rPr>
        <w:t>DAC9</w:t>
      </w:r>
      <w:r>
        <w:rPr>
          <w:rFonts w:eastAsia="Times New Roman"/>
          <w:b/>
          <w:bCs/>
          <w:noProof/>
          <w:color w:val="000000" w:themeColor="text1"/>
          <w:szCs w:val="20"/>
        </w:rPr>
        <w:t xml:space="preserve"> - </w:t>
      </w:r>
      <w:r w:rsidRPr="00715B1E">
        <w:rPr>
          <w:rFonts w:eastAsia="Times New Roman"/>
          <w:b/>
          <w:bCs/>
          <w:noProof/>
          <w:color w:val="000000" w:themeColor="text1"/>
          <w:szCs w:val="20"/>
        </w:rPr>
        <w:t xml:space="preserve">Automatic </w:t>
      </w:r>
      <w:r>
        <w:rPr>
          <w:rFonts w:eastAsia="Times New Roman"/>
          <w:b/>
          <w:bCs/>
          <w:noProof/>
          <w:color w:val="000000" w:themeColor="text1"/>
          <w:szCs w:val="20"/>
        </w:rPr>
        <w:t>exchange for the purposes of the Pillar 2 Directive</w:t>
      </w:r>
    </w:p>
    <w:p w14:paraId="09339C70" w14:textId="77777777" w:rsidR="00715B1E" w:rsidRDefault="00715B1E" w:rsidP="00715B1E">
      <w:pPr>
        <w:spacing w:before="120" w:after="120"/>
        <w:contextualSpacing/>
        <w:rPr>
          <w:rFonts w:eastAsia="Times New Roman"/>
          <w:b/>
          <w:bCs/>
          <w:noProof/>
          <w:color w:val="000000" w:themeColor="text1"/>
          <w:szCs w:val="20"/>
        </w:rPr>
      </w:pPr>
    </w:p>
    <w:p w14:paraId="75920BBB" w14:textId="360216DB" w:rsidR="00715B1E" w:rsidRPr="00715B1E" w:rsidRDefault="00715B1E" w:rsidP="00715B1E">
      <w:pPr>
        <w:spacing w:before="120" w:after="120"/>
        <w:contextualSpacing/>
        <w:rPr>
          <w:rFonts w:eastAsia="Times New Roman"/>
          <w:b/>
          <w:bCs/>
          <w:noProof/>
          <w:color w:val="000000" w:themeColor="text1"/>
          <w:szCs w:val="20"/>
        </w:rPr>
      </w:pPr>
      <w:r>
        <w:rPr>
          <w:rFonts w:eastAsia="Times New Roman"/>
          <w:noProof/>
          <w:color w:val="000000" w:themeColor="text1"/>
          <w:szCs w:val="20"/>
        </w:rPr>
        <w:t xml:space="preserve">DAC9 </w:t>
      </w:r>
      <w:r w:rsidRPr="009C04F3">
        <w:rPr>
          <w:rFonts w:eastAsia="Times New Roman"/>
          <w:noProof/>
          <w:color w:val="000000" w:themeColor="text1"/>
          <w:szCs w:val="20"/>
        </w:rPr>
        <w:t>operationalises the implementation in the EU of the Pillar 2 Directive by enabling in scope MNEs to file, at central level, the information to be reported and requiring Member States tax authorities to subsequently exchange this information.  As the directive only applies from 1 January 2026 and no reporting has yet taken place, no potential for simplification of this reporting f</w:t>
      </w:r>
      <w:r>
        <w:rPr>
          <w:rFonts w:eastAsia="Times New Roman"/>
          <w:noProof/>
          <w:color w:val="000000" w:themeColor="text1"/>
          <w:szCs w:val="20"/>
        </w:rPr>
        <w:t>ramework</w:t>
      </w:r>
      <w:r w:rsidRPr="009C04F3">
        <w:rPr>
          <w:rFonts w:eastAsia="Times New Roman"/>
          <w:noProof/>
          <w:color w:val="000000" w:themeColor="text1"/>
          <w:szCs w:val="20"/>
        </w:rPr>
        <w:t xml:space="preserve"> has been identified so far by the OECD, the Commission services or stakeholders.</w:t>
      </w:r>
    </w:p>
    <w:p w14:paraId="0F2E8AD1" w14:textId="5211A99D" w:rsidR="00235522" w:rsidRPr="00681036" w:rsidRDefault="00235522" w:rsidP="007C03FA">
      <w:pPr>
        <w:rPr>
          <w:noProof/>
        </w:rPr>
      </w:pPr>
    </w:p>
    <w:p w14:paraId="0A87818C" w14:textId="6427C51A" w:rsidR="00235522" w:rsidRPr="00681036" w:rsidRDefault="00235522" w:rsidP="007C03FA">
      <w:pPr>
        <w:rPr>
          <w:noProof/>
        </w:rPr>
      </w:pPr>
    </w:p>
    <w:p w14:paraId="45364E28" w14:textId="6F2356F0" w:rsidR="00235522" w:rsidRPr="00681036" w:rsidRDefault="00235522" w:rsidP="007C03FA">
      <w:pPr>
        <w:rPr>
          <w:noProof/>
        </w:rPr>
      </w:pPr>
    </w:p>
    <w:p w14:paraId="4967D7E1" w14:textId="30B5E478" w:rsidR="00235522" w:rsidRPr="00681036" w:rsidRDefault="00235522" w:rsidP="007C03FA">
      <w:pPr>
        <w:rPr>
          <w:noProof/>
        </w:rPr>
      </w:pPr>
    </w:p>
    <w:p w14:paraId="372A6EE8" w14:textId="5F315D69" w:rsidR="00235522" w:rsidRPr="00681036" w:rsidRDefault="00235522" w:rsidP="007C03FA">
      <w:pPr>
        <w:rPr>
          <w:noProof/>
        </w:rPr>
      </w:pPr>
    </w:p>
    <w:p w14:paraId="2D09A46E" w14:textId="4A2E15DD" w:rsidR="00235522" w:rsidRPr="00681036" w:rsidRDefault="0DD0411E" w:rsidP="00715B1E">
      <w:pPr>
        <w:pStyle w:val="AnnexTitle"/>
        <w:rPr>
          <w:noProof/>
        </w:rPr>
      </w:pPr>
      <w:bookmarkStart w:id="80" w:name="_Toc231816741"/>
      <w:r>
        <w:rPr>
          <w:noProof/>
        </w:rPr>
        <w:t xml:space="preserve">ANNEX 8: </w:t>
      </w:r>
      <w:r w:rsidR="29CC2F26">
        <w:rPr>
          <w:noProof/>
        </w:rPr>
        <w:t>PRACTICAL</w:t>
      </w:r>
      <w:r>
        <w:rPr>
          <w:noProof/>
        </w:rPr>
        <w:t xml:space="preserve"> EXAMPLES OF NATIONAL TAXATION </w:t>
      </w:r>
      <w:r w:rsidR="694986ED">
        <w:rPr>
          <w:noProof/>
        </w:rPr>
        <w:t>RULES FOR THE SALE OF GOODS (DAC7)</w:t>
      </w:r>
      <w:bookmarkEnd w:id="80"/>
    </w:p>
    <w:p w14:paraId="092854BB" w14:textId="1CACC312" w:rsidR="17CE534C" w:rsidRDefault="46452920" w:rsidP="58BC260B">
      <w:pPr>
        <w:rPr>
          <w:rFonts w:eastAsia="Times New Roman"/>
          <w:noProof/>
        </w:rPr>
      </w:pPr>
      <w:r w:rsidRPr="58BC260B">
        <w:rPr>
          <w:rFonts w:eastAsia="Times New Roman"/>
          <w:noProof/>
        </w:rPr>
        <w:t xml:space="preserve">As detailed earlier in this report, 26 Member States reached a provisional agreement at technical level at the OECD, to remove the activity threshold and increase the monetary threshold to EUR 3,000. in relation to the Model Rules for Digital Platform Operators (MRDP), which are implemented in the EU through DAC7. </w:t>
      </w:r>
    </w:p>
    <w:p w14:paraId="63EB72D4" w14:textId="5AA11C7C" w:rsidR="00715B1E" w:rsidRDefault="00715B1E" w:rsidP="58BC260B">
      <w:pPr>
        <w:rPr>
          <w:rFonts w:eastAsia="Times New Roman"/>
          <w:noProof/>
        </w:rPr>
      </w:pPr>
      <w:r w:rsidRPr="58BC260B">
        <w:rPr>
          <w:rFonts w:eastAsia="Times New Roman"/>
          <w:noProof/>
        </w:rPr>
        <w:t>This provisional technical agreement is reflective of the fact that Member States do not view an increase of the threshold as negatively impacting on their ability to effectively apply their national taxation rules. While the application of national taxation rules is dependent on specific personal circumstances e.g. entitlement to tax credits and allowances based on marital and parental status etc, general practical examples of certain national taxation rules applicable to personal income are included below.</w:t>
      </w:r>
    </w:p>
    <w:tbl>
      <w:tblPr>
        <w:tblW w:w="0" w:type="auto"/>
        <w:tblLook w:val="04A0" w:firstRow="1" w:lastRow="0" w:firstColumn="1" w:lastColumn="0" w:noHBand="0" w:noVBand="1"/>
      </w:tblPr>
      <w:tblGrid>
        <w:gridCol w:w="1845"/>
        <w:gridCol w:w="3255"/>
        <w:gridCol w:w="3150"/>
      </w:tblGrid>
      <w:tr w:rsidR="33561B1D" w14:paraId="0BECDD13"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0A3E64CB" w14:textId="05C10DED" w:rsidR="33561B1D" w:rsidRPr="00715B1E" w:rsidRDefault="33561B1D" w:rsidP="00715B1E">
            <w:pPr>
              <w:spacing w:after="0"/>
              <w:rPr>
                <w:rFonts w:eastAsia="Times New Roman"/>
                <w:b/>
                <w:bCs/>
                <w:noProof/>
                <w:lang w:val="en-US"/>
              </w:rPr>
            </w:pPr>
            <w:r w:rsidRPr="00715B1E">
              <w:rPr>
                <w:rFonts w:eastAsia="Times New Roman"/>
                <w:b/>
                <w:bCs/>
                <w:noProof/>
                <w:lang w:val="en-US"/>
              </w:rPr>
              <w:t>Member State</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1B19CE1C" w14:textId="18A017F7" w:rsidR="33561B1D" w:rsidRPr="00715B1E" w:rsidRDefault="33561B1D" w:rsidP="00715B1E">
            <w:pPr>
              <w:spacing w:after="0"/>
              <w:rPr>
                <w:rFonts w:eastAsia="Times New Roman"/>
                <w:b/>
                <w:bCs/>
                <w:noProof/>
                <w:lang w:val="en-US"/>
              </w:rPr>
            </w:pPr>
            <w:r w:rsidRPr="00715B1E">
              <w:rPr>
                <w:rFonts w:eastAsia="Times New Roman"/>
                <w:b/>
                <w:bCs/>
                <w:noProof/>
                <w:lang w:val="en-US"/>
              </w:rPr>
              <w:t>Nature of tax-free amount</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4B5F4516" w14:textId="7508852E" w:rsidR="33561B1D" w:rsidRPr="00715B1E" w:rsidRDefault="33561B1D" w:rsidP="00715B1E">
            <w:pPr>
              <w:spacing w:after="0"/>
              <w:rPr>
                <w:rFonts w:eastAsia="Times New Roman"/>
                <w:b/>
                <w:bCs/>
                <w:noProof/>
                <w:lang w:val="en-US"/>
              </w:rPr>
            </w:pPr>
            <w:r w:rsidRPr="00715B1E">
              <w:rPr>
                <w:rFonts w:eastAsia="Times New Roman"/>
                <w:b/>
                <w:bCs/>
                <w:noProof/>
                <w:lang w:val="en-US"/>
              </w:rPr>
              <w:t>Tax free amount annual</w:t>
            </w:r>
          </w:p>
        </w:tc>
      </w:tr>
      <w:tr w:rsidR="33561B1D" w14:paraId="1ABDD196"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7957903B" w14:textId="545BC923" w:rsidR="33561B1D" w:rsidRPr="00715B1E" w:rsidRDefault="33561B1D" w:rsidP="00715B1E">
            <w:pPr>
              <w:spacing w:after="0"/>
              <w:rPr>
                <w:rFonts w:eastAsia="Times New Roman"/>
                <w:b/>
                <w:bCs/>
                <w:noProof/>
                <w:lang w:val="en-US"/>
              </w:rPr>
            </w:pPr>
            <w:r w:rsidRPr="00715B1E">
              <w:rPr>
                <w:rFonts w:eastAsia="Times New Roman"/>
                <w:b/>
                <w:bCs/>
                <w:noProof/>
                <w:lang w:val="en-US"/>
              </w:rPr>
              <w:t xml:space="preserve">Austria </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2CC1FFBA" w14:textId="7BF1C978" w:rsidR="33561B1D" w:rsidRPr="00715B1E" w:rsidRDefault="33561B1D" w:rsidP="00715B1E">
            <w:pPr>
              <w:spacing w:after="0"/>
              <w:rPr>
                <w:rFonts w:eastAsia="Times New Roman"/>
                <w:noProof/>
                <w:lang w:val="en-US"/>
              </w:rPr>
            </w:pPr>
            <w:r w:rsidRPr="00715B1E">
              <w:rPr>
                <w:rFonts w:eastAsia="Times New Roman"/>
                <w:noProof/>
                <w:lang w:val="en-US"/>
              </w:rPr>
              <w:t>Statutory % band</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281F78CE" w14:textId="79BC8ED8" w:rsidR="33561B1D" w:rsidRPr="00715B1E" w:rsidRDefault="33561B1D" w:rsidP="00715B1E">
            <w:pPr>
              <w:spacing w:after="0"/>
              <w:rPr>
                <w:rFonts w:eastAsia="Times New Roman"/>
                <w:noProof/>
                <w:lang w:val="en-US"/>
              </w:rPr>
            </w:pPr>
            <w:r w:rsidRPr="00715B1E">
              <w:rPr>
                <w:rFonts w:eastAsia="Times New Roman"/>
                <w:noProof/>
                <w:lang w:val="en-US"/>
              </w:rPr>
              <w:t>€0–€13,539 at 0%</w:t>
            </w:r>
          </w:p>
        </w:tc>
      </w:tr>
      <w:tr w:rsidR="33561B1D" w14:paraId="65F34559"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5B143050" w14:textId="04406E94" w:rsidR="33561B1D" w:rsidRPr="00715B1E" w:rsidRDefault="33561B1D" w:rsidP="00715B1E">
            <w:pPr>
              <w:spacing w:after="0"/>
              <w:rPr>
                <w:rFonts w:eastAsia="Times New Roman"/>
                <w:b/>
                <w:bCs/>
                <w:noProof/>
                <w:lang w:val="en-US"/>
              </w:rPr>
            </w:pPr>
            <w:r w:rsidRPr="00715B1E">
              <w:rPr>
                <w:rFonts w:eastAsia="Times New Roman"/>
                <w:b/>
                <w:bCs/>
                <w:noProof/>
                <w:lang w:val="en-US"/>
              </w:rPr>
              <w:t>Croatia</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6DE3ABEE" w14:textId="294FFC5F" w:rsidR="33561B1D" w:rsidRPr="00715B1E" w:rsidRDefault="33561B1D" w:rsidP="00715B1E">
            <w:pPr>
              <w:spacing w:after="0"/>
              <w:rPr>
                <w:rFonts w:eastAsia="Times New Roman"/>
                <w:noProof/>
              </w:rPr>
            </w:pPr>
            <w:r w:rsidRPr="00715B1E">
              <w:rPr>
                <w:rFonts w:eastAsia="Times New Roman"/>
                <w:noProof/>
              </w:rPr>
              <w:t>Personal allowance (deduction)</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6CF9075B" w14:textId="16FC0F87" w:rsidR="33561B1D" w:rsidRPr="00715B1E" w:rsidRDefault="33561B1D" w:rsidP="00715B1E">
            <w:pPr>
              <w:spacing w:after="0"/>
              <w:rPr>
                <w:rFonts w:eastAsia="Times New Roman"/>
                <w:noProof/>
              </w:rPr>
            </w:pPr>
            <w:r w:rsidRPr="00715B1E">
              <w:rPr>
                <w:rFonts w:eastAsia="Times New Roman"/>
                <w:noProof/>
              </w:rPr>
              <w:t xml:space="preserve">€7,200 </w:t>
            </w:r>
          </w:p>
        </w:tc>
      </w:tr>
      <w:tr w:rsidR="33561B1D" w14:paraId="46DBB242"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27B43161" w14:textId="2060C311" w:rsidR="33561B1D" w:rsidRPr="00715B1E" w:rsidRDefault="33561B1D" w:rsidP="00715B1E">
            <w:pPr>
              <w:spacing w:after="0"/>
              <w:rPr>
                <w:rFonts w:eastAsia="Times New Roman"/>
                <w:b/>
                <w:bCs/>
                <w:noProof/>
                <w:lang w:val="en-US"/>
              </w:rPr>
            </w:pPr>
            <w:r w:rsidRPr="00715B1E">
              <w:rPr>
                <w:rFonts w:eastAsia="Times New Roman"/>
                <w:b/>
                <w:bCs/>
                <w:noProof/>
                <w:lang w:val="en-US"/>
              </w:rPr>
              <w:t>Cyprus</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68531722" w14:textId="1FBA5001" w:rsidR="33561B1D" w:rsidRPr="00715B1E" w:rsidRDefault="33561B1D" w:rsidP="00715B1E">
            <w:pPr>
              <w:spacing w:after="0"/>
              <w:rPr>
                <w:rFonts w:eastAsia="Times New Roman"/>
                <w:noProof/>
                <w:lang w:val="en-US"/>
              </w:rPr>
            </w:pPr>
            <w:r w:rsidRPr="00715B1E">
              <w:rPr>
                <w:rFonts w:eastAsia="Times New Roman"/>
                <w:noProof/>
                <w:lang w:val="en-US"/>
              </w:rPr>
              <w:t>Statutory % band</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20C4F5B8" w14:textId="6E80A980" w:rsidR="33561B1D" w:rsidRPr="00715B1E" w:rsidRDefault="33561B1D" w:rsidP="00715B1E">
            <w:pPr>
              <w:spacing w:after="0"/>
              <w:rPr>
                <w:rFonts w:eastAsia="Times New Roman"/>
                <w:noProof/>
                <w:lang w:val="en-US"/>
              </w:rPr>
            </w:pPr>
            <w:r w:rsidRPr="00715B1E">
              <w:rPr>
                <w:rFonts w:eastAsia="Times New Roman"/>
                <w:noProof/>
                <w:lang w:val="en-US"/>
              </w:rPr>
              <w:t>€0–€19,500 at 0%</w:t>
            </w:r>
          </w:p>
        </w:tc>
      </w:tr>
      <w:tr w:rsidR="33561B1D" w14:paraId="57A34DCF"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50A8B12E" w14:textId="71C1AACE" w:rsidR="33561B1D" w:rsidRPr="00715B1E" w:rsidRDefault="33561B1D" w:rsidP="00715B1E">
            <w:pPr>
              <w:spacing w:after="0"/>
              <w:rPr>
                <w:rFonts w:eastAsia="Times New Roman"/>
                <w:b/>
                <w:bCs/>
                <w:noProof/>
                <w:lang w:val="en-US"/>
              </w:rPr>
            </w:pPr>
            <w:r w:rsidRPr="00715B1E">
              <w:rPr>
                <w:rFonts w:eastAsia="Times New Roman"/>
                <w:b/>
                <w:bCs/>
                <w:noProof/>
                <w:lang w:val="en-US"/>
              </w:rPr>
              <w:t>Germany</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3AEDC2CB" w14:textId="0BCEC7BD" w:rsidR="33561B1D" w:rsidRPr="00715B1E" w:rsidRDefault="33561B1D" w:rsidP="00715B1E">
            <w:pPr>
              <w:spacing w:after="0"/>
              <w:rPr>
                <w:rFonts w:eastAsia="Times New Roman"/>
                <w:noProof/>
                <w:lang w:val="en-US"/>
              </w:rPr>
            </w:pPr>
            <w:r w:rsidRPr="00715B1E">
              <w:rPr>
                <w:rFonts w:eastAsia="Times New Roman"/>
                <w:noProof/>
                <w:lang w:val="en-US"/>
              </w:rPr>
              <w:t>Statutory basic allowance</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71B285DE" w14:textId="46B5E16F" w:rsidR="33561B1D" w:rsidRPr="00715B1E" w:rsidRDefault="33561B1D" w:rsidP="00715B1E">
            <w:pPr>
              <w:spacing w:after="0"/>
              <w:rPr>
                <w:rFonts w:eastAsia="Times New Roman"/>
                <w:noProof/>
                <w:lang w:val="en-US"/>
              </w:rPr>
            </w:pPr>
            <w:r w:rsidRPr="00715B1E">
              <w:rPr>
                <w:rFonts w:eastAsia="Times New Roman"/>
                <w:noProof/>
                <w:lang w:val="en-US"/>
              </w:rPr>
              <w:t>€12,096</w:t>
            </w:r>
          </w:p>
        </w:tc>
      </w:tr>
      <w:tr w:rsidR="33561B1D" w14:paraId="66B45568"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22636CAC" w14:textId="5306367A" w:rsidR="33561B1D" w:rsidRPr="00715B1E" w:rsidRDefault="33561B1D" w:rsidP="00715B1E">
            <w:pPr>
              <w:spacing w:after="0"/>
              <w:rPr>
                <w:rFonts w:eastAsia="Times New Roman"/>
                <w:b/>
                <w:bCs/>
                <w:noProof/>
                <w:lang w:val="en-US"/>
              </w:rPr>
            </w:pPr>
            <w:r w:rsidRPr="00715B1E">
              <w:rPr>
                <w:rFonts w:eastAsia="Times New Roman"/>
                <w:b/>
                <w:bCs/>
                <w:noProof/>
                <w:lang w:val="en-US"/>
              </w:rPr>
              <w:t>Ireland</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4C00FB15" w14:textId="32FCAF90" w:rsidR="33561B1D" w:rsidRPr="00715B1E" w:rsidRDefault="33561B1D" w:rsidP="00715B1E">
            <w:pPr>
              <w:spacing w:after="0"/>
              <w:rPr>
                <w:rFonts w:eastAsia="Times New Roman"/>
                <w:noProof/>
              </w:rPr>
            </w:pPr>
            <w:r w:rsidRPr="00715B1E">
              <w:rPr>
                <w:rFonts w:eastAsia="Times New Roman"/>
                <w:noProof/>
              </w:rPr>
              <w:t>Tax Credit System</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2E8A43A2" w14:textId="04A1BB12" w:rsidR="33561B1D" w:rsidRPr="00715B1E" w:rsidRDefault="33561B1D" w:rsidP="00715B1E">
            <w:pPr>
              <w:spacing w:after="0"/>
              <w:rPr>
                <w:rFonts w:eastAsia="Times New Roman"/>
                <w:noProof/>
              </w:rPr>
            </w:pPr>
            <w:r w:rsidRPr="00715B1E">
              <w:rPr>
                <w:rFonts w:eastAsia="Times New Roman"/>
                <w:noProof/>
              </w:rPr>
              <w:t>€4,000 credits</w:t>
            </w:r>
          </w:p>
        </w:tc>
      </w:tr>
      <w:tr w:rsidR="33561B1D" w14:paraId="3733EF64"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2C24B974" w14:textId="34954D84" w:rsidR="33561B1D" w:rsidRPr="00715B1E" w:rsidRDefault="33561B1D" w:rsidP="00715B1E">
            <w:pPr>
              <w:spacing w:after="0"/>
              <w:rPr>
                <w:rFonts w:eastAsia="Times New Roman"/>
                <w:b/>
                <w:bCs/>
                <w:noProof/>
                <w:lang w:val="en-US"/>
              </w:rPr>
            </w:pPr>
            <w:r w:rsidRPr="00715B1E">
              <w:rPr>
                <w:rFonts w:eastAsia="Times New Roman"/>
                <w:b/>
                <w:bCs/>
                <w:noProof/>
                <w:lang w:val="en-US"/>
              </w:rPr>
              <w:t>Luxembourg</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28367B3F" w14:textId="03CB0A56" w:rsidR="33561B1D" w:rsidRPr="00715B1E" w:rsidRDefault="33561B1D" w:rsidP="00715B1E">
            <w:pPr>
              <w:spacing w:after="0"/>
              <w:rPr>
                <w:rFonts w:eastAsia="Times New Roman"/>
                <w:noProof/>
                <w:lang w:val="en-US"/>
              </w:rPr>
            </w:pPr>
            <w:r w:rsidRPr="00715B1E">
              <w:rPr>
                <w:rFonts w:eastAsia="Times New Roman"/>
                <w:noProof/>
                <w:lang w:val="en-US"/>
              </w:rPr>
              <w:t>Statutory % band</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03FD6252" w14:textId="670F6B77" w:rsidR="33561B1D" w:rsidRPr="00715B1E" w:rsidRDefault="33561B1D" w:rsidP="00715B1E">
            <w:pPr>
              <w:spacing w:after="0"/>
              <w:rPr>
                <w:rFonts w:eastAsia="Times New Roman"/>
                <w:noProof/>
                <w:lang w:val="en-US"/>
              </w:rPr>
            </w:pPr>
            <w:r w:rsidRPr="00715B1E">
              <w:rPr>
                <w:rFonts w:eastAsia="Times New Roman"/>
                <w:noProof/>
                <w:lang w:val="en-US"/>
              </w:rPr>
              <w:t>€0–€13,230 at 0%</w:t>
            </w:r>
          </w:p>
        </w:tc>
      </w:tr>
      <w:tr w:rsidR="33561B1D" w14:paraId="680A273D"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57F7B62F" w14:textId="3204A9F6" w:rsidR="33561B1D" w:rsidRPr="00715B1E" w:rsidRDefault="33561B1D" w:rsidP="00715B1E">
            <w:pPr>
              <w:spacing w:after="0"/>
              <w:rPr>
                <w:rFonts w:eastAsia="Times New Roman"/>
                <w:b/>
                <w:bCs/>
                <w:noProof/>
                <w:lang w:val="en-US"/>
              </w:rPr>
            </w:pPr>
            <w:r w:rsidRPr="00715B1E">
              <w:rPr>
                <w:rFonts w:eastAsia="Times New Roman"/>
                <w:b/>
                <w:bCs/>
                <w:noProof/>
                <w:lang w:val="en-US"/>
              </w:rPr>
              <w:t>Malta</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7956A7EF" w14:textId="563A2077" w:rsidR="33561B1D" w:rsidRPr="00715B1E" w:rsidRDefault="33561B1D" w:rsidP="00715B1E">
            <w:pPr>
              <w:spacing w:after="0"/>
              <w:rPr>
                <w:rFonts w:eastAsia="Times New Roman"/>
                <w:noProof/>
                <w:lang w:val="en-US"/>
              </w:rPr>
            </w:pPr>
            <w:r w:rsidRPr="00715B1E">
              <w:rPr>
                <w:rFonts w:eastAsia="Times New Roman"/>
                <w:noProof/>
                <w:lang w:val="en-US"/>
              </w:rPr>
              <w:t>Statutory % band</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25D2D95D" w14:textId="1A488100" w:rsidR="33561B1D" w:rsidRPr="00715B1E" w:rsidRDefault="33561B1D" w:rsidP="00715B1E">
            <w:pPr>
              <w:spacing w:after="0"/>
              <w:rPr>
                <w:rFonts w:eastAsia="Times New Roman"/>
                <w:noProof/>
                <w:lang w:val="en-US"/>
              </w:rPr>
            </w:pPr>
            <w:r w:rsidRPr="00715B1E">
              <w:rPr>
                <w:rFonts w:eastAsia="Times New Roman"/>
                <w:noProof/>
                <w:lang w:val="en-US"/>
              </w:rPr>
              <w:t>€0–€12,000 at 0%</w:t>
            </w:r>
          </w:p>
        </w:tc>
      </w:tr>
      <w:tr w:rsidR="33561B1D" w14:paraId="7FABEA6A"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0FEB566D" w14:textId="46F77734" w:rsidR="33561B1D" w:rsidRPr="00715B1E" w:rsidRDefault="33561B1D" w:rsidP="00715B1E">
            <w:pPr>
              <w:spacing w:after="0"/>
              <w:rPr>
                <w:rFonts w:eastAsia="Times New Roman"/>
                <w:b/>
                <w:bCs/>
                <w:noProof/>
                <w:lang w:val="en-US"/>
              </w:rPr>
            </w:pPr>
            <w:r w:rsidRPr="00715B1E">
              <w:rPr>
                <w:rFonts w:eastAsia="Times New Roman"/>
                <w:b/>
                <w:bCs/>
                <w:noProof/>
                <w:lang w:val="en-US"/>
              </w:rPr>
              <w:t>Poland</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2818ADEA" w14:textId="0AB3CC86" w:rsidR="33561B1D" w:rsidRPr="00715B1E" w:rsidRDefault="33561B1D" w:rsidP="00715B1E">
            <w:pPr>
              <w:spacing w:after="0"/>
              <w:rPr>
                <w:rFonts w:eastAsia="Times New Roman"/>
                <w:noProof/>
              </w:rPr>
            </w:pPr>
            <w:r w:rsidRPr="00715B1E">
              <w:rPr>
                <w:rFonts w:eastAsia="Times New Roman"/>
                <w:noProof/>
              </w:rPr>
              <w:t>Statutory 0% band</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495F9D12" w14:textId="44260CA3" w:rsidR="33561B1D" w:rsidRPr="00715B1E" w:rsidRDefault="33561B1D" w:rsidP="00715B1E">
            <w:pPr>
              <w:spacing w:after="0"/>
              <w:rPr>
                <w:rFonts w:eastAsia="Times New Roman"/>
                <w:noProof/>
              </w:rPr>
            </w:pPr>
            <w:r w:rsidRPr="00715B1E">
              <w:rPr>
                <w:rFonts w:eastAsia="Times New Roman"/>
                <w:noProof/>
              </w:rPr>
              <w:t>30,000 PLN</w:t>
            </w:r>
          </w:p>
          <w:p w14:paraId="622F58CE" w14:textId="5844D8B4" w:rsidR="33561B1D" w:rsidRPr="00715B1E" w:rsidRDefault="33561B1D" w:rsidP="00715B1E">
            <w:pPr>
              <w:spacing w:after="0"/>
              <w:rPr>
                <w:rFonts w:eastAsia="Times New Roman"/>
                <w:noProof/>
              </w:rPr>
            </w:pPr>
            <w:r w:rsidRPr="00715B1E">
              <w:rPr>
                <w:rFonts w:eastAsia="Times New Roman"/>
                <w:noProof/>
              </w:rPr>
              <w:t>Approx €7,000</w:t>
            </w:r>
          </w:p>
        </w:tc>
      </w:tr>
      <w:tr w:rsidR="33561B1D" w14:paraId="78809BA0"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411E7547" w14:textId="4BFCB0A3" w:rsidR="33561B1D" w:rsidRPr="00715B1E" w:rsidRDefault="33561B1D" w:rsidP="00715B1E">
            <w:pPr>
              <w:spacing w:after="0"/>
              <w:rPr>
                <w:rFonts w:eastAsia="Times New Roman"/>
                <w:b/>
                <w:bCs/>
                <w:noProof/>
                <w:lang w:val="en-US"/>
              </w:rPr>
            </w:pPr>
            <w:r w:rsidRPr="00715B1E">
              <w:rPr>
                <w:rFonts w:eastAsia="Times New Roman"/>
                <w:b/>
                <w:bCs/>
                <w:noProof/>
                <w:lang w:val="en-US"/>
              </w:rPr>
              <w:t>Slovakia</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47B9E2D5" w14:textId="7783EBBC" w:rsidR="33561B1D" w:rsidRPr="00715B1E" w:rsidRDefault="33561B1D" w:rsidP="00715B1E">
            <w:pPr>
              <w:spacing w:after="0"/>
              <w:rPr>
                <w:rStyle w:val="Hyperlink"/>
                <w:rFonts w:eastAsia="Times New Roman"/>
                <w:noProof/>
                <w:color w:val="467886"/>
                <w:lang w:val="en-US"/>
              </w:rPr>
            </w:pPr>
            <w:r w:rsidRPr="00715B1E">
              <w:rPr>
                <w:rFonts w:eastAsia="Times New Roman"/>
                <w:noProof/>
                <w:lang w:val="en-US"/>
              </w:rPr>
              <w:t xml:space="preserve">Likely exempt based on details on </w:t>
            </w:r>
            <w:hyperlink r:id="rId28" w:history="1">
              <w:r w:rsidRPr="00715B1E">
                <w:rPr>
                  <w:rStyle w:val="Hyperlink"/>
                  <w:rFonts w:eastAsia="Times New Roman"/>
                  <w:noProof/>
                  <w:color w:val="467886"/>
                  <w:lang w:val="en-US"/>
                </w:rPr>
                <w:t>website.</w:t>
              </w:r>
            </w:hyperlink>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2BFE3659" w14:textId="5F97BDEF" w:rsidR="33561B1D" w:rsidRPr="00715B1E" w:rsidRDefault="33561B1D" w:rsidP="00715B1E">
            <w:pPr>
              <w:spacing w:after="0"/>
              <w:rPr>
                <w:rFonts w:eastAsia="Times New Roman"/>
                <w:b/>
                <w:bCs/>
                <w:noProof/>
                <w:lang w:val="en-US"/>
              </w:rPr>
            </w:pPr>
            <w:r w:rsidRPr="00715B1E">
              <w:rPr>
                <w:rFonts w:eastAsia="Times New Roman"/>
                <w:noProof/>
                <w:lang w:val="en-US"/>
              </w:rPr>
              <w:t xml:space="preserve">If the taxpayer's tax base in 2025 is equal to or less than EUR 25,426.27, the non-taxable part is the amount of </w:t>
            </w:r>
            <w:r w:rsidRPr="00715B1E">
              <w:rPr>
                <w:rFonts w:eastAsia="Times New Roman"/>
                <w:b/>
                <w:bCs/>
                <w:noProof/>
                <w:lang w:val="en-US"/>
              </w:rPr>
              <w:t>EUR 5,753.79</w:t>
            </w:r>
          </w:p>
        </w:tc>
      </w:tr>
      <w:tr w:rsidR="33561B1D" w14:paraId="0C76610F"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3456E66F" w14:textId="70BDB44B" w:rsidR="33561B1D" w:rsidRPr="00715B1E" w:rsidRDefault="33561B1D" w:rsidP="00715B1E">
            <w:pPr>
              <w:spacing w:after="0"/>
              <w:rPr>
                <w:rFonts w:eastAsia="Times New Roman"/>
                <w:b/>
                <w:bCs/>
                <w:noProof/>
                <w:lang w:val="en-US"/>
              </w:rPr>
            </w:pPr>
            <w:r w:rsidRPr="00715B1E">
              <w:rPr>
                <w:rFonts w:eastAsia="Times New Roman"/>
                <w:b/>
                <w:bCs/>
                <w:noProof/>
                <w:lang w:val="en-US"/>
              </w:rPr>
              <w:t>Slovenia</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3A58D9FE" w14:textId="7FCFF217" w:rsidR="33561B1D" w:rsidRPr="00715B1E" w:rsidRDefault="33561B1D" w:rsidP="00715B1E">
            <w:pPr>
              <w:spacing w:after="0"/>
              <w:rPr>
                <w:rFonts w:eastAsia="Times New Roman"/>
                <w:noProof/>
                <w:lang w:val="en-US"/>
              </w:rPr>
            </w:pPr>
            <w:r w:rsidRPr="00715B1E">
              <w:rPr>
                <w:rFonts w:eastAsia="Times New Roman"/>
                <w:noProof/>
                <w:lang w:val="en-US"/>
              </w:rPr>
              <w:t>Statutory % band</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3DBD3E12" w14:textId="0EFF062E" w:rsidR="33561B1D" w:rsidRPr="00715B1E" w:rsidRDefault="33561B1D" w:rsidP="00715B1E">
            <w:pPr>
              <w:spacing w:after="0"/>
              <w:rPr>
                <w:rFonts w:eastAsia="Times New Roman"/>
                <w:noProof/>
                <w:lang w:val="en-US"/>
              </w:rPr>
            </w:pPr>
            <w:r w:rsidRPr="00715B1E">
              <w:rPr>
                <w:rFonts w:eastAsia="Times New Roman"/>
                <w:noProof/>
                <w:lang w:val="en-US"/>
              </w:rPr>
              <w:t>€0–€9,210.26 at 0%</w:t>
            </w:r>
          </w:p>
        </w:tc>
      </w:tr>
      <w:tr w:rsidR="33561B1D" w14:paraId="0F4C082A"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7334BFD3" w14:textId="0AC9BC3E" w:rsidR="33561B1D" w:rsidRPr="00715B1E" w:rsidRDefault="33561B1D" w:rsidP="00715B1E">
            <w:pPr>
              <w:spacing w:after="0"/>
              <w:rPr>
                <w:rFonts w:eastAsia="Times New Roman"/>
                <w:b/>
                <w:bCs/>
                <w:noProof/>
                <w:lang w:val="en-US"/>
              </w:rPr>
            </w:pPr>
            <w:r w:rsidRPr="00715B1E">
              <w:rPr>
                <w:rFonts w:eastAsia="Times New Roman"/>
                <w:b/>
                <w:bCs/>
                <w:noProof/>
                <w:lang w:val="en-US"/>
              </w:rPr>
              <w:t>Spain</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690CFE10" w14:textId="32355D88" w:rsidR="33561B1D" w:rsidRPr="00715B1E" w:rsidRDefault="33561B1D" w:rsidP="00715B1E">
            <w:pPr>
              <w:spacing w:after="0"/>
              <w:rPr>
                <w:rFonts w:eastAsia="Times New Roman"/>
                <w:noProof/>
              </w:rPr>
            </w:pPr>
            <w:r w:rsidRPr="00715B1E">
              <w:rPr>
                <w:rFonts w:eastAsia="Times New Roman"/>
                <w:noProof/>
              </w:rPr>
              <w:t>Personal allowance to reduce taxable income</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67611442" w14:textId="2EAE34FC" w:rsidR="33561B1D" w:rsidRPr="00715B1E" w:rsidRDefault="33561B1D" w:rsidP="00715B1E">
            <w:pPr>
              <w:spacing w:after="0"/>
              <w:rPr>
                <w:rFonts w:eastAsia="Times New Roman"/>
                <w:noProof/>
              </w:rPr>
            </w:pPr>
            <w:r w:rsidRPr="00715B1E">
              <w:rPr>
                <w:rFonts w:eastAsia="Times New Roman"/>
                <w:noProof/>
              </w:rPr>
              <w:t>€5,500 per annum</w:t>
            </w:r>
          </w:p>
        </w:tc>
      </w:tr>
      <w:tr w:rsidR="33561B1D" w14:paraId="5D646F72" w14:textId="77777777" w:rsidTr="00715B1E">
        <w:trPr>
          <w:trHeight w:val="300"/>
        </w:trPr>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447918B9" w14:textId="5F69EDC3" w:rsidR="33561B1D" w:rsidRPr="00715B1E" w:rsidRDefault="33561B1D" w:rsidP="00715B1E">
            <w:pPr>
              <w:spacing w:after="0"/>
              <w:rPr>
                <w:rFonts w:eastAsia="Times New Roman"/>
                <w:b/>
                <w:bCs/>
                <w:noProof/>
                <w:lang w:val="en-US"/>
              </w:rPr>
            </w:pPr>
            <w:r w:rsidRPr="00715B1E">
              <w:rPr>
                <w:rFonts w:eastAsia="Times New Roman"/>
                <w:b/>
                <w:bCs/>
                <w:noProof/>
                <w:lang w:val="en-US"/>
              </w:rPr>
              <w:t>Sweden</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0468D683" w14:textId="72596925" w:rsidR="33561B1D" w:rsidRPr="00715B1E" w:rsidRDefault="33561B1D" w:rsidP="00715B1E">
            <w:pPr>
              <w:spacing w:after="0"/>
              <w:rPr>
                <w:rFonts w:eastAsia="Times New Roman"/>
                <w:noProof/>
              </w:rPr>
            </w:pPr>
            <w:r w:rsidRPr="00715B1E">
              <w:rPr>
                <w:rFonts w:eastAsia="Times New Roman"/>
                <w:noProof/>
              </w:rPr>
              <w:t>Profit dependent</w:t>
            </w:r>
          </w:p>
        </w:tc>
        <w:tc>
          <w:tcPr>
            <w:tcW w:w="3150" w:type="dxa"/>
            <w:tcBorders>
              <w:top w:val="single" w:sz="8" w:space="0" w:color="auto"/>
              <w:left w:val="single" w:sz="8" w:space="0" w:color="auto"/>
              <w:bottom w:val="single" w:sz="8" w:space="0" w:color="auto"/>
              <w:right w:val="single" w:sz="8" w:space="0" w:color="auto"/>
            </w:tcBorders>
            <w:tcMar>
              <w:left w:w="108" w:type="dxa"/>
              <w:right w:w="108" w:type="dxa"/>
            </w:tcMar>
          </w:tcPr>
          <w:p w14:paraId="3C124DF3" w14:textId="63999FE0" w:rsidR="33561B1D" w:rsidRPr="00715B1E" w:rsidRDefault="33561B1D" w:rsidP="00715B1E">
            <w:pPr>
              <w:spacing w:after="0"/>
              <w:rPr>
                <w:rFonts w:eastAsia="Times New Roman"/>
                <w:noProof/>
              </w:rPr>
            </w:pPr>
            <w:r w:rsidRPr="00715B1E">
              <w:rPr>
                <w:rFonts w:eastAsia="Times New Roman"/>
                <w:noProof/>
              </w:rPr>
              <w:t>SEK 50,000</w:t>
            </w:r>
          </w:p>
          <w:p w14:paraId="0E1C0016" w14:textId="3B8964E4" w:rsidR="33561B1D" w:rsidRPr="00715B1E" w:rsidRDefault="33561B1D" w:rsidP="00715B1E">
            <w:pPr>
              <w:spacing w:after="0"/>
              <w:rPr>
                <w:rFonts w:eastAsia="Times New Roman"/>
                <w:noProof/>
              </w:rPr>
            </w:pPr>
            <w:r w:rsidRPr="00715B1E">
              <w:rPr>
                <w:rFonts w:eastAsia="Times New Roman"/>
                <w:noProof/>
              </w:rPr>
              <w:t>Approx €4,600</w:t>
            </w:r>
          </w:p>
        </w:tc>
      </w:tr>
    </w:tbl>
    <w:p w14:paraId="10EC0861" w14:textId="433D3776" w:rsidR="33561B1D" w:rsidRDefault="33561B1D">
      <w:pPr>
        <w:rPr>
          <w:noProof/>
        </w:rPr>
      </w:pPr>
    </w:p>
    <w:p w14:paraId="4F1F73EF" w14:textId="6DDB37BC" w:rsidR="00121C00" w:rsidRDefault="00121C00">
      <w:pPr>
        <w:spacing w:after="200" w:line="276" w:lineRule="auto"/>
        <w:jc w:val="left"/>
        <w:rPr>
          <w:noProof/>
        </w:rPr>
      </w:pPr>
      <w:r>
        <w:rPr>
          <w:noProof/>
        </w:rPr>
        <w:br w:type="page"/>
      </w:r>
    </w:p>
    <w:p w14:paraId="42CA5277" w14:textId="7B360A36" w:rsidR="00235522" w:rsidRPr="00681036" w:rsidRDefault="694986ED" w:rsidP="00715B1E">
      <w:pPr>
        <w:pStyle w:val="AnnexTitle"/>
        <w:rPr>
          <w:noProof/>
        </w:rPr>
      </w:pPr>
      <w:bookmarkStart w:id="81" w:name="_Toc231816742"/>
      <w:r>
        <w:rPr>
          <w:noProof/>
        </w:rPr>
        <w:t>ANNEX 9: RATIONALE FOR DIVERGING AUTOMATIC MATCHING RATES</w:t>
      </w:r>
      <w:bookmarkEnd w:id="81"/>
    </w:p>
    <w:p w14:paraId="5A0DBE80" w14:textId="238F6201" w:rsidR="00235522" w:rsidRPr="00681036" w:rsidRDefault="3C453D2B" w:rsidP="00715B1E">
      <w:pPr>
        <w:spacing w:after="160" w:line="257" w:lineRule="auto"/>
        <w:rPr>
          <w:rFonts w:eastAsia="Times New Roman"/>
          <w:noProof/>
          <w:color w:val="000000" w:themeColor="text1"/>
        </w:rPr>
      </w:pPr>
      <w:r w:rsidRPr="537B9AB8">
        <w:rPr>
          <w:rFonts w:eastAsia="Times New Roman"/>
          <w:noProof/>
          <w:color w:val="000000" w:themeColor="text1"/>
        </w:rPr>
        <w:t xml:space="preserve">The differences in the automatic matching rates across the individual DAC’s can be explained by the fact that there is a direct correlation between the legislative requirements to collect and verify identification information and automatic matching rates. A detailed explanation of the divergent legislative requirements under each DAC is included below. While this represents the ‘as is’ position it is important to note that Article 27c of Council Directive (EU) 2023/2226 ‘DAC8’ introduce new and improved requirements for reporting entities and tax administrations to report the taxpayer identification number (TIN). However, these new requirements do not apply until the commencement of the taxable period 1 January 2028 for DAC3, DAC4 and DAC6 and the taxable period 1 January 2030 for DAC1. Irrespective of these new requirements in the absence of a centralised tool to verify the TIN an automatic matching rate of 100% cannot be achieved. </w:t>
      </w:r>
    </w:p>
    <w:p w14:paraId="52AB7130" w14:textId="68E92E6C" w:rsidR="00235522" w:rsidRPr="00681036" w:rsidRDefault="3C453D2B" w:rsidP="00715B1E">
      <w:pPr>
        <w:spacing w:after="160" w:line="257" w:lineRule="auto"/>
        <w:rPr>
          <w:rFonts w:eastAsia="Times New Roman"/>
          <w:noProof/>
          <w:color w:val="000000" w:themeColor="text1"/>
        </w:rPr>
      </w:pPr>
      <w:r w:rsidRPr="537B9AB8">
        <w:rPr>
          <w:rFonts w:eastAsia="Times New Roman"/>
          <w:noProof/>
          <w:color w:val="000000" w:themeColor="text1"/>
        </w:rPr>
        <w:t xml:space="preserve">For </w:t>
      </w:r>
      <w:r w:rsidRPr="537B9AB8">
        <w:rPr>
          <w:rFonts w:eastAsia="Times New Roman"/>
          <w:b/>
          <w:bCs/>
          <w:noProof/>
          <w:color w:val="000000" w:themeColor="text1"/>
        </w:rPr>
        <w:t xml:space="preserve">DAC1 </w:t>
      </w:r>
      <w:r w:rsidRPr="537B9AB8">
        <w:rPr>
          <w:rFonts w:eastAsia="Times New Roman"/>
          <w:noProof/>
          <w:color w:val="000000" w:themeColor="text1"/>
        </w:rPr>
        <w:t>there are no third-party due diligence and reporting requirements. The tax authorities of Member States are only required to report and exchange information that is available in their tax files. Consequentially, the tax authorities of Member States routinely collect only the TIN relevant to their own Member State and do not routinely collect any other TIN. Therefore, receiving Member States receive a very limited subset of identification information i.e. name, date of birth and non-resident address to the extent that this information is routinely collected by the tax administration of the sending Member State. Also, the directive does not require tax administrations to verify this information. Consequentially, the automatic matching rates of 39.3% (Employment Income), 41.6% (Directors Fees), 46.9% (Pensions) and 24.2% (Life Insurance Products) are reflective of the current ‘availability’ limitations of the legislative framework and absence of a centralised tool to verify the TIN.</w:t>
      </w:r>
    </w:p>
    <w:p w14:paraId="122A3A7B" w14:textId="4D947CAB" w:rsidR="00235522" w:rsidRPr="00681036" w:rsidRDefault="3C453D2B" w:rsidP="00715B1E">
      <w:pPr>
        <w:spacing w:after="160" w:line="257" w:lineRule="auto"/>
        <w:rPr>
          <w:rFonts w:eastAsia="Times New Roman"/>
          <w:noProof/>
          <w:color w:val="000000" w:themeColor="text1"/>
        </w:rPr>
      </w:pPr>
      <w:r w:rsidRPr="537B9AB8">
        <w:rPr>
          <w:rFonts w:eastAsia="Times New Roman"/>
          <w:noProof/>
          <w:color w:val="000000" w:themeColor="text1"/>
        </w:rPr>
        <w:t xml:space="preserve">For </w:t>
      </w:r>
      <w:r w:rsidRPr="537B9AB8">
        <w:rPr>
          <w:rFonts w:eastAsia="Times New Roman"/>
          <w:b/>
          <w:bCs/>
          <w:noProof/>
          <w:color w:val="000000" w:themeColor="text1"/>
        </w:rPr>
        <w:t>DAC2</w:t>
      </w:r>
      <w:r w:rsidRPr="537B9AB8">
        <w:rPr>
          <w:rFonts w:eastAsia="Times New Roman"/>
          <w:noProof/>
          <w:color w:val="000000" w:themeColor="text1"/>
        </w:rPr>
        <w:t>, Financial Institutions are required to collect and report the name, address, Member State of residence, TIN, and date and place of birth of each reportable person. These reporting requirements are supplemented by due diligence requirements whereby Financial Institutions are required to attain a self-certification from every account holder of a new account,</w:t>
      </w:r>
      <w:r w:rsidRPr="537B9AB8">
        <w:rPr>
          <w:rFonts w:eastAsia="Times New Roman"/>
          <w:noProof/>
          <w:color w:val="000000" w:themeColor="text1"/>
          <w:lang w:val="en-US"/>
        </w:rPr>
        <w:t xml:space="preserve"> including any documentation collected pursuant to anti-money laundering/know your customer procedures. </w:t>
      </w:r>
      <w:r w:rsidRPr="537B9AB8">
        <w:rPr>
          <w:rFonts w:eastAsia="Times New Roman"/>
          <w:noProof/>
          <w:color w:val="000000" w:themeColor="text1"/>
        </w:rPr>
        <w:t>A new account is any account opened on or after 1 January 2016. A pre-existing account is any account opened prior to 1 January 2016. Financial Institutions are subject to less onerous due diligence requirements for pre-existing accounts as they are only required to rely upon their existing records. Consequentially, the associated accuracy and completeness of identification information that is reported and exchanged is lower for pre-existing accounts than for new account</w:t>
      </w:r>
      <w:r w:rsidRPr="537B9AB8">
        <w:rPr>
          <w:rFonts w:ascii="Aptos" w:eastAsia="Aptos" w:hAnsi="Aptos" w:cs="Aptos"/>
          <w:noProof/>
          <w:color w:val="000000" w:themeColor="text1"/>
          <w:sz w:val="22"/>
          <w:szCs w:val="22"/>
        </w:rPr>
        <w:t xml:space="preserve">s. </w:t>
      </w:r>
      <w:r w:rsidRPr="537B9AB8">
        <w:rPr>
          <w:rFonts w:eastAsia="Times New Roman"/>
          <w:noProof/>
          <w:color w:val="000000" w:themeColor="text1"/>
        </w:rPr>
        <w:t>Therefore, the automatic matching rate of 67.9% is reflective of the higher collection and validation requirements for new accounts and more limited requirements for pre-existing accounts. This is also compounded by the absence of a centralised tool to verify the TIN.</w:t>
      </w:r>
    </w:p>
    <w:p w14:paraId="20B0876F" w14:textId="77777777" w:rsidR="001C1867" w:rsidRDefault="001C1867" w:rsidP="00715B1E">
      <w:pPr>
        <w:spacing w:after="160" w:line="257" w:lineRule="auto"/>
        <w:rPr>
          <w:rFonts w:eastAsia="Times New Roman"/>
          <w:noProof/>
          <w:color w:val="000000" w:themeColor="text1"/>
        </w:rPr>
      </w:pPr>
    </w:p>
    <w:p w14:paraId="5D5EC091" w14:textId="1A072F5B" w:rsidR="00235522" w:rsidRPr="00681036" w:rsidRDefault="3C453D2B" w:rsidP="00715B1E">
      <w:pPr>
        <w:spacing w:after="160" w:line="257" w:lineRule="auto"/>
        <w:rPr>
          <w:rFonts w:eastAsia="Times New Roman"/>
          <w:noProof/>
          <w:color w:val="000000" w:themeColor="text1"/>
        </w:rPr>
      </w:pPr>
      <w:r w:rsidRPr="537B9AB8">
        <w:rPr>
          <w:rFonts w:eastAsia="Times New Roman"/>
          <w:noProof/>
          <w:color w:val="000000" w:themeColor="text1"/>
        </w:rPr>
        <w:t>Under</w:t>
      </w:r>
      <w:r w:rsidRPr="537B9AB8">
        <w:rPr>
          <w:rFonts w:eastAsia="Times New Roman"/>
          <w:b/>
          <w:bCs/>
          <w:noProof/>
          <w:color w:val="000000" w:themeColor="text1"/>
        </w:rPr>
        <w:t xml:space="preserve"> DAC3, </w:t>
      </w:r>
      <w:r w:rsidRPr="537B9AB8">
        <w:rPr>
          <w:rFonts w:eastAsia="Times New Roman"/>
          <w:noProof/>
          <w:color w:val="000000" w:themeColor="text1"/>
        </w:rPr>
        <w:t>tax administrations that issue, amend or renew an advance cross-border ruling or an advance pricing arrangement are required to automatically exchange certain information to all other Member States. The information that is required to be automatically exchanged includes the identification of the person, other than a natural person, and where appropriate the group of persons to which it belongs. However, the directive is not prescriptive on the type of identification information that must be provided for example the directive does not require that the TIN of the Member State of residence must be provided. Also, the directive does not require tax administrations to verify this information. Consequentially, the significantly lower automatic matching rate of 27.3%</w:t>
      </w:r>
      <w:r w:rsidRPr="537B9AB8">
        <w:rPr>
          <w:rFonts w:eastAsia="Times New Roman"/>
          <w:b/>
          <w:bCs/>
          <w:noProof/>
          <w:color w:val="000000" w:themeColor="text1"/>
        </w:rPr>
        <w:t xml:space="preserve"> </w:t>
      </w:r>
      <w:r w:rsidRPr="537B9AB8">
        <w:rPr>
          <w:rFonts w:eastAsia="Times New Roman"/>
          <w:noProof/>
          <w:color w:val="000000" w:themeColor="text1"/>
        </w:rPr>
        <w:t>is reflective of the absence of the legislative requirement to collect and verify the TIN. This is also compounded by the absence of a centralised tool to verify the TIN.</w:t>
      </w:r>
    </w:p>
    <w:p w14:paraId="74729459" w14:textId="42972A85" w:rsidR="00235522" w:rsidRPr="00681036" w:rsidRDefault="3C453D2B" w:rsidP="00715B1E">
      <w:pPr>
        <w:spacing w:after="160" w:line="257" w:lineRule="auto"/>
        <w:rPr>
          <w:rFonts w:eastAsia="Times New Roman"/>
          <w:noProof/>
          <w:color w:val="000000" w:themeColor="text1"/>
        </w:rPr>
      </w:pPr>
      <w:r w:rsidRPr="537B9AB8">
        <w:rPr>
          <w:rFonts w:eastAsia="Times New Roman"/>
          <w:noProof/>
          <w:color w:val="000000" w:themeColor="text1"/>
        </w:rPr>
        <w:t xml:space="preserve">For </w:t>
      </w:r>
      <w:r w:rsidRPr="537B9AB8">
        <w:rPr>
          <w:rFonts w:eastAsia="Times New Roman"/>
          <w:b/>
          <w:bCs/>
          <w:noProof/>
          <w:color w:val="000000" w:themeColor="text1"/>
        </w:rPr>
        <w:t>DAC4</w:t>
      </w:r>
      <w:r w:rsidRPr="537B9AB8">
        <w:rPr>
          <w:rFonts w:eastAsia="Times New Roman"/>
          <w:noProof/>
          <w:color w:val="000000" w:themeColor="text1"/>
        </w:rPr>
        <w:t>, MNE groups are required to report specified information on their constituent entities. The directive requires that in circumstances where the relevant constituent entity has a TIN this must be mandatorily provided, and where the constituent entity does not have a TIN, this information is not required. Consequentially, the automatic matching rate of 81.5% is reflective of these legislative requirements yet remains limited due to the absence dedicated verification requirements and the absence of a centralised tool to verify the TIN.</w:t>
      </w:r>
    </w:p>
    <w:p w14:paraId="092DCD31" w14:textId="30E18082" w:rsidR="00235522" w:rsidRPr="00681036" w:rsidRDefault="3C453D2B" w:rsidP="00715B1E">
      <w:pPr>
        <w:spacing w:after="160" w:line="257" w:lineRule="auto"/>
        <w:rPr>
          <w:rFonts w:eastAsia="Times New Roman"/>
          <w:noProof/>
          <w:color w:val="000000" w:themeColor="text1"/>
        </w:rPr>
      </w:pPr>
      <w:r w:rsidRPr="537B9AB8">
        <w:rPr>
          <w:rFonts w:eastAsia="Times New Roman"/>
          <w:noProof/>
          <w:color w:val="000000" w:themeColor="text1"/>
        </w:rPr>
        <w:t xml:space="preserve">For </w:t>
      </w:r>
      <w:r w:rsidRPr="537B9AB8">
        <w:rPr>
          <w:rFonts w:eastAsia="Times New Roman"/>
          <w:b/>
          <w:bCs/>
          <w:noProof/>
          <w:color w:val="000000" w:themeColor="text1"/>
        </w:rPr>
        <w:t>DAC6,</w:t>
      </w:r>
      <w:r w:rsidRPr="537B9AB8">
        <w:rPr>
          <w:rFonts w:eastAsia="Times New Roman"/>
          <w:noProof/>
          <w:color w:val="000000" w:themeColor="text1"/>
        </w:rPr>
        <w:t xml:space="preserve"> intermediaries and relevant taxpayers are required to report their name, date and place of birth (in the case of an individual), residence for tax purposes and the TIN. While the legislation supports the reporting of the TIN there is no requirement for intermediaries to verify the reported information. Consequentially, the automatic matching rate of 56.8% is reflective of the absence of a requirement to verify the reported information and a centralised tool to verify the TIN.</w:t>
      </w:r>
    </w:p>
    <w:p w14:paraId="139D1CB2" w14:textId="1187E594" w:rsidR="00235522" w:rsidRPr="00681036" w:rsidRDefault="3C453D2B" w:rsidP="00715B1E">
      <w:pPr>
        <w:spacing w:after="160" w:line="257" w:lineRule="auto"/>
        <w:rPr>
          <w:rFonts w:eastAsia="Times New Roman"/>
          <w:noProof/>
          <w:color w:val="000000" w:themeColor="text1"/>
        </w:rPr>
      </w:pPr>
      <w:r w:rsidRPr="537B9AB8">
        <w:rPr>
          <w:rFonts w:eastAsia="Times New Roman"/>
          <w:noProof/>
          <w:color w:val="000000" w:themeColor="text1"/>
        </w:rPr>
        <w:t xml:space="preserve">For </w:t>
      </w:r>
      <w:r w:rsidRPr="537B9AB8">
        <w:rPr>
          <w:rFonts w:eastAsia="Times New Roman"/>
          <w:b/>
          <w:bCs/>
          <w:noProof/>
          <w:color w:val="000000" w:themeColor="text1"/>
        </w:rPr>
        <w:t>DAC7,</w:t>
      </w:r>
      <w:r w:rsidRPr="537B9AB8">
        <w:rPr>
          <w:rFonts w:eastAsia="Times New Roman"/>
          <w:noProof/>
          <w:color w:val="000000" w:themeColor="text1"/>
        </w:rPr>
        <w:t xml:space="preserve"> reporting platform operators are required to collect and report the name, address, TIN and in the absence of a TIN, the place of birth, the VAT identification number (where available) and the date of birth of the individual seller. Where the seller is an entity seller the business registration number is also required to be collected and reported. The directive requires reporting platform operators to also verify the collected information. The automatic matching rate of 69.7% is reflective of the fact that there is no centralised system to verify the TIN.</w:t>
      </w:r>
    </w:p>
    <w:p w14:paraId="2926CE07" w14:textId="2B4DD467" w:rsidR="00235522" w:rsidRPr="00681036" w:rsidRDefault="00235522" w:rsidP="007C03FA">
      <w:pPr>
        <w:rPr>
          <w:noProof/>
          <w:lang w:val="en-IE"/>
        </w:rPr>
      </w:pPr>
    </w:p>
    <w:sectPr w:rsidR="00235522" w:rsidRPr="00681036" w:rsidSect="00AA1542">
      <w:headerReference w:type="even" r:id="rId29"/>
      <w:headerReference w:type="default" r:id="rId30"/>
      <w:footerReference w:type="even" r:id="rId31"/>
      <w:footerReference w:type="default" r:id="rId32"/>
      <w:headerReference w:type="first" r:id="rId33"/>
      <w:footerReference w:type="first" r:id="rId34"/>
      <w:pgSz w:w="11906" w:h="16838"/>
      <w:pgMar w:top="1020" w:right="1558"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CFC8C" w14:textId="77777777" w:rsidR="00573A8A" w:rsidRDefault="00573A8A" w:rsidP="000E3086">
      <w:r>
        <w:separator/>
      </w:r>
    </w:p>
  </w:endnote>
  <w:endnote w:type="continuationSeparator" w:id="0">
    <w:p w14:paraId="14547952" w14:textId="77777777" w:rsidR="00573A8A" w:rsidRDefault="00573A8A" w:rsidP="000E3086">
      <w:r>
        <w:continuationSeparator/>
      </w:r>
    </w:p>
  </w:endnote>
  <w:endnote w:type="continuationNotice" w:id="1">
    <w:p w14:paraId="467488F1" w14:textId="77777777" w:rsidR="00573A8A" w:rsidRDefault="00573A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quot;Times New Roman&quot;,serif">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125B6" w14:textId="0D64BFD4" w:rsidR="00334808" w:rsidRPr="00334808" w:rsidRDefault="00334808" w:rsidP="00334808">
    <w:pPr>
      <w:pStyle w:val="FooterCoverPage"/>
      <w:rPr>
        <w:rFonts w:ascii="Arial" w:hAnsi="Arial" w:cs="Arial"/>
        <w:b/>
        <w:sz w:val="48"/>
      </w:rPr>
    </w:pPr>
    <w:r w:rsidRPr="00334808">
      <w:rPr>
        <w:rFonts w:ascii="Arial" w:hAnsi="Arial" w:cs="Arial"/>
        <w:b/>
        <w:sz w:val="48"/>
      </w:rPr>
      <w:t>EN</w:t>
    </w:r>
    <w:r w:rsidRPr="00334808">
      <w:rPr>
        <w:rFonts w:ascii="Arial" w:hAnsi="Arial" w:cs="Arial"/>
        <w:b/>
        <w:sz w:val="48"/>
      </w:rPr>
      <w:tab/>
    </w:r>
    <w:r w:rsidRPr="00334808">
      <w:rPr>
        <w:rFonts w:ascii="Arial" w:hAnsi="Arial" w:cs="Arial"/>
        <w:b/>
        <w:sz w:val="48"/>
      </w:rPr>
      <w:tab/>
    </w:r>
    <w:r w:rsidRPr="00334808">
      <w:tab/>
    </w:r>
    <w:r w:rsidRPr="0033480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32011" w14:textId="7BF65775" w:rsidR="00334808" w:rsidRPr="00334808" w:rsidRDefault="00334808" w:rsidP="00334808">
    <w:pPr>
      <w:pStyle w:val="FooterCoverPage"/>
      <w:rPr>
        <w:rFonts w:ascii="Arial" w:hAnsi="Arial" w:cs="Arial"/>
        <w:b/>
        <w:sz w:val="48"/>
      </w:rPr>
    </w:pPr>
    <w:r w:rsidRPr="00334808">
      <w:rPr>
        <w:rFonts w:ascii="Arial" w:hAnsi="Arial" w:cs="Arial"/>
        <w:b/>
        <w:sz w:val="48"/>
      </w:rPr>
      <w:t>EN</w:t>
    </w:r>
    <w:r w:rsidRPr="00334808">
      <w:rPr>
        <w:rFonts w:ascii="Arial" w:hAnsi="Arial" w:cs="Arial"/>
        <w:b/>
        <w:sz w:val="48"/>
      </w:rPr>
      <w:tab/>
    </w:r>
    <w:r w:rsidRPr="00334808">
      <w:rPr>
        <w:rFonts w:ascii="Arial" w:hAnsi="Arial" w:cs="Arial"/>
        <w:b/>
        <w:sz w:val="48"/>
      </w:rPr>
      <w:tab/>
    </w:r>
    <w:r w:rsidRPr="00334808">
      <w:tab/>
    </w:r>
    <w:r w:rsidRPr="0033480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BCF77" w14:textId="77777777" w:rsidR="00334808" w:rsidRPr="00334808" w:rsidRDefault="00334808" w:rsidP="0033480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90344"/>
      <w:docPartObj>
        <w:docPartGallery w:val="Page Numbers (Bottom of Page)"/>
        <w:docPartUnique/>
      </w:docPartObj>
    </w:sdtPr>
    <w:sdtEndPr>
      <w:rPr>
        <w:noProof/>
      </w:rPr>
    </w:sdtEndPr>
    <w:sdtContent>
      <w:p w14:paraId="24897D4D" w14:textId="455C25FF" w:rsidR="008F2068" w:rsidRDefault="008F2068">
        <w:pPr>
          <w:pStyle w:val="Footer"/>
          <w:jc w:val="center"/>
        </w:pPr>
        <w:r>
          <w:fldChar w:fldCharType="begin"/>
        </w:r>
        <w:r>
          <w:instrText xml:space="preserve"> PAGE   \* MERGEFORMAT </w:instrText>
        </w:r>
        <w:r>
          <w:fldChar w:fldCharType="separate"/>
        </w:r>
        <w:r w:rsidR="00334808">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422781"/>
      <w:docPartObj>
        <w:docPartGallery w:val="Page Numbers (Bottom of Page)"/>
        <w:docPartUnique/>
      </w:docPartObj>
    </w:sdtPr>
    <w:sdtEndPr>
      <w:rPr>
        <w:noProof/>
      </w:rPr>
    </w:sdtEndPr>
    <w:sdtContent>
      <w:p w14:paraId="705CCD03" w14:textId="0BF317C6" w:rsidR="004F697E" w:rsidRDefault="004F697E">
        <w:pPr>
          <w:pStyle w:val="Footer"/>
          <w:jc w:val="center"/>
        </w:pPr>
        <w:r>
          <w:fldChar w:fldCharType="begin"/>
        </w:r>
        <w:r>
          <w:instrText xml:space="preserve"> PAGE   \* MERGEFORMAT </w:instrText>
        </w:r>
        <w:r>
          <w:fldChar w:fldCharType="separate"/>
        </w:r>
        <w:r w:rsidR="0033480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5F5DC" w14:textId="77777777" w:rsidR="00573A8A" w:rsidRDefault="00573A8A" w:rsidP="000E3086">
      <w:r>
        <w:separator/>
      </w:r>
    </w:p>
  </w:footnote>
  <w:footnote w:type="continuationSeparator" w:id="0">
    <w:p w14:paraId="0BA03454" w14:textId="77777777" w:rsidR="00573A8A" w:rsidRDefault="00573A8A" w:rsidP="000E3086">
      <w:r>
        <w:continuationSeparator/>
      </w:r>
    </w:p>
  </w:footnote>
  <w:footnote w:type="continuationNotice" w:id="1">
    <w:p w14:paraId="69C69F87" w14:textId="77777777" w:rsidR="00573A8A" w:rsidRDefault="00573A8A">
      <w:pPr>
        <w:spacing w:after="0"/>
      </w:pPr>
    </w:p>
  </w:footnote>
  <w:footnote w:id="2">
    <w:p w14:paraId="530D5774" w14:textId="53D4A94E" w:rsidR="001D47A2" w:rsidRPr="00CD1816" w:rsidRDefault="001D47A2" w:rsidP="005C6E0F">
      <w:pPr>
        <w:pStyle w:val="FootnoteText"/>
        <w:rPr>
          <w:sz w:val="16"/>
          <w:szCs w:val="16"/>
        </w:rPr>
      </w:pPr>
      <w:r w:rsidRPr="00CD1816">
        <w:rPr>
          <w:rStyle w:val="FootnoteReference"/>
          <w:sz w:val="16"/>
          <w:szCs w:val="16"/>
        </w:rPr>
        <w:footnoteRef/>
      </w:r>
      <w:r w:rsidR="61D8C6E3" w:rsidRPr="00CD1816">
        <w:rPr>
          <w:sz w:val="16"/>
          <w:szCs w:val="16"/>
        </w:rPr>
        <w:t xml:space="preserve">European Commission, </w:t>
      </w:r>
      <w:r w:rsidR="61D8C6E3" w:rsidRPr="00CD1816">
        <w:rPr>
          <w:i/>
          <w:iCs/>
          <w:sz w:val="16"/>
          <w:szCs w:val="16"/>
        </w:rPr>
        <w:t>Political Guidelines for the Next European Commission 2024–2029: Europe’s Choice</w:t>
      </w:r>
      <w:r w:rsidR="61D8C6E3" w:rsidRPr="00CD1816">
        <w:rPr>
          <w:sz w:val="16"/>
          <w:szCs w:val="16"/>
        </w:rPr>
        <w:t xml:space="preserve">, July 2024, available at: </w:t>
      </w:r>
      <w:hyperlink r:id="rId1" w:history="1">
        <w:r w:rsidR="61D8C6E3" w:rsidRPr="00CD1816">
          <w:rPr>
            <w:rStyle w:val="Hyperlink"/>
            <w:sz w:val="16"/>
            <w:szCs w:val="16"/>
          </w:rPr>
          <w:t>https://commission.europa.eu/priorities-2024-2029_en</w:t>
        </w:r>
      </w:hyperlink>
      <w:r w:rsidR="61D8C6E3" w:rsidRPr="00CD1816">
        <w:rPr>
          <w:sz w:val="16"/>
          <w:szCs w:val="16"/>
        </w:rPr>
        <w:t xml:space="preserve"> </w:t>
      </w:r>
    </w:p>
  </w:footnote>
  <w:footnote w:id="3">
    <w:p w14:paraId="1DEB4BF1" w14:textId="51D47CAE" w:rsidR="0029649A" w:rsidRPr="00CD1816" w:rsidRDefault="0029649A" w:rsidP="005C6E0F">
      <w:pPr>
        <w:pStyle w:val="FootnoteText"/>
        <w:rPr>
          <w:sz w:val="16"/>
          <w:szCs w:val="16"/>
        </w:rPr>
      </w:pPr>
      <w:r w:rsidRPr="00CD1816">
        <w:rPr>
          <w:rStyle w:val="FootnoteReference"/>
          <w:sz w:val="16"/>
          <w:szCs w:val="16"/>
        </w:rPr>
        <w:footnoteRef/>
      </w:r>
      <w:r w:rsidRPr="00CD1816">
        <w:rPr>
          <w:sz w:val="16"/>
          <w:szCs w:val="16"/>
        </w:rPr>
        <w:t xml:space="preserve"> European Commission, </w:t>
      </w:r>
      <w:r w:rsidRPr="00CD1816">
        <w:rPr>
          <w:i/>
          <w:iCs/>
          <w:sz w:val="16"/>
          <w:szCs w:val="16"/>
        </w:rPr>
        <w:t>Communication from the Commission to the European Parliament, the European Council, the Council, the European Economic and Social Committee and the Committee of the Regions: A Competitiveness Compass for the EU</w:t>
      </w:r>
      <w:r w:rsidRPr="00CD1816">
        <w:rPr>
          <w:sz w:val="16"/>
          <w:szCs w:val="16"/>
        </w:rPr>
        <w:t xml:space="preserve">, COM(2025) 30 final, 29 January 2025, available at: </w:t>
      </w:r>
      <w:hyperlink r:id="rId2" w:tgtFrame="_new" w:history="1">
        <w:r w:rsidRPr="00CD1816">
          <w:rPr>
            <w:rStyle w:val="Hyperlink"/>
            <w:sz w:val="16"/>
            <w:szCs w:val="16"/>
          </w:rPr>
          <w:t>https://commission.europa.eu/document/download/10017eb1-4722-4333-add2-e0ed18105a34_en</w:t>
        </w:r>
      </w:hyperlink>
    </w:p>
  </w:footnote>
  <w:footnote w:id="4">
    <w:p w14:paraId="3BF36810" w14:textId="3BAC857D" w:rsidR="002A605A" w:rsidRPr="00CD1816" w:rsidRDefault="002A605A" w:rsidP="005C6E0F">
      <w:pPr>
        <w:pStyle w:val="FootnoteText"/>
        <w:rPr>
          <w:sz w:val="16"/>
          <w:szCs w:val="16"/>
        </w:rPr>
      </w:pPr>
      <w:r w:rsidRPr="00CD1816">
        <w:rPr>
          <w:rStyle w:val="FootnoteReference"/>
          <w:sz w:val="16"/>
          <w:szCs w:val="16"/>
        </w:rPr>
        <w:footnoteRef/>
      </w:r>
      <w:r w:rsidRPr="00CD1816">
        <w:rPr>
          <w:sz w:val="16"/>
          <w:szCs w:val="16"/>
        </w:rPr>
        <w:t xml:space="preserve"> </w:t>
      </w:r>
      <w:r w:rsidR="009A2159" w:rsidRPr="00CD1816">
        <w:rPr>
          <w:sz w:val="16"/>
          <w:szCs w:val="16"/>
        </w:rPr>
        <w:t xml:space="preserve">European Commission, </w:t>
      </w:r>
      <w:r w:rsidR="009A2159" w:rsidRPr="00CD1816">
        <w:rPr>
          <w:i/>
          <w:iCs/>
          <w:sz w:val="16"/>
          <w:szCs w:val="16"/>
        </w:rPr>
        <w:t>Competitiveness Compass</w:t>
      </w:r>
      <w:r w:rsidR="009A2159" w:rsidRPr="00CD1816">
        <w:rPr>
          <w:sz w:val="16"/>
          <w:szCs w:val="16"/>
        </w:rPr>
        <w:t>, COM(2025) 30 final.</w:t>
      </w:r>
    </w:p>
  </w:footnote>
  <w:footnote w:id="5">
    <w:p w14:paraId="7B441D86" w14:textId="171776CE" w:rsidR="00B80752" w:rsidRPr="00CD1816" w:rsidRDefault="00B80752" w:rsidP="005C6E0F">
      <w:pPr>
        <w:pStyle w:val="FootnoteText"/>
        <w:rPr>
          <w:sz w:val="16"/>
          <w:szCs w:val="16"/>
        </w:rPr>
      </w:pPr>
      <w:r w:rsidRPr="00CD1816">
        <w:rPr>
          <w:rStyle w:val="FootnoteReference"/>
          <w:sz w:val="16"/>
          <w:szCs w:val="16"/>
        </w:rPr>
        <w:footnoteRef/>
      </w:r>
      <w:r w:rsidRPr="00CD1816">
        <w:rPr>
          <w:sz w:val="16"/>
          <w:szCs w:val="16"/>
        </w:rPr>
        <w:t xml:space="preserve"> </w:t>
      </w:r>
      <w:r w:rsidR="007A6212" w:rsidRPr="00CD1816">
        <w:rPr>
          <w:sz w:val="16"/>
          <w:szCs w:val="16"/>
        </w:rPr>
        <w:t xml:space="preserve">European Commission, </w:t>
      </w:r>
      <w:r w:rsidR="007A6212" w:rsidRPr="00CD1816">
        <w:rPr>
          <w:i/>
          <w:iCs/>
          <w:sz w:val="16"/>
          <w:szCs w:val="16"/>
        </w:rPr>
        <w:t>Communication from the Commission to the European Parliament, the Council, the European Economic and Social Committee and the Committee of the Regions: Commission Work Programme 2025 – Moving forward together: A Bolder, Simpler, Faster Union</w:t>
      </w:r>
      <w:r w:rsidR="007A6212" w:rsidRPr="00CD1816">
        <w:rPr>
          <w:sz w:val="16"/>
          <w:szCs w:val="16"/>
        </w:rPr>
        <w:t>, COM(2025) 45 final, 11 February 2025, available at:</w:t>
      </w:r>
      <w:r w:rsidR="005C6E0F">
        <w:rPr>
          <w:sz w:val="16"/>
          <w:szCs w:val="16"/>
        </w:rPr>
        <w:t xml:space="preserve"> </w:t>
      </w:r>
      <w:hyperlink r:id="rId3" w:history="1">
        <w:r w:rsidR="005C6E0F" w:rsidRPr="005C6E0F">
          <w:rPr>
            <w:rStyle w:val="Hyperlink"/>
            <w:sz w:val="16"/>
            <w:szCs w:val="16"/>
          </w:rPr>
          <w:t>EUR-Lex - 52025DC0045 - EN - EUR-Lex</w:t>
        </w:r>
      </w:hyperlink>
    </w:p>
  </w:footnote>
  <w:footnote w:id="6">
    <w:p w14:paraId="43A9DAB0" w14:textId="15190B4D" w:rsidR="0010549E" w:rsidRPr="00CD1816" w:rsidRDefault="0010549E" w:rsidP="005C6E0F">
      <w:pPr>
        <w:pStyle w:val="FootnoteText"/>
        <w:rPr>
          <w:sz w:val="16"/>
          <w:szCs w:val="16"/>
        </w:rPr>
      </w:pPr>
      <w:r w:rsidRPr="00CD1816">
        <w:rPr>
          <w:rStyle w:val="FootnoteReference"/>
          <w:sz w:val="16"/>
          <w:szCs w:val="16"/>
        </w:rPr>
        <w:footnoteRef/>
      </w:r>
      <w:r w:rsidRPr="00CD1816">
        <w:rPr>
          <w:sz w:val="16"/>
          <w:szCs w:val="16"/>
        </w:rPr>
        <w:t xml:space="preserve"> </w:t>
      </w:r>
      <w:r w:rsidR="00D612C8" w:rsidRPr="00CD1816">
        <w:rPr>
          <w:sz w:val="16"/>
          <w:szCs w:val="16"/>
        </w:rPr>
        <w:t xml:space="preserve">European Commission, </w:t>
      </w:r>
      <w:r w:rsidR="00D612C8" w:rsidRPr="00CD1816">
        <w:rPr>
          <w:i/>
          <w:iCs/>
          <w:sz w:val="16"/>
          <w:szCs w:val="16"/>
        </w:rPr>
        <w:t>Communication from the Commission: Commission Work Programme 2026 – Europe’s Independence Moment</w:t>
      </w:r>
      <w:r w:rsidR="00D612C8" w:rsidRPr="00CD1816">
        <w:rPr>
          <w:sz w:val="16"/>
          <w:szCs w:val="16"/>
        </w:rPr>
        <w:t xml:space="preserve">, 21 October 2025, available at: </w:t>
      </w:r>
      <w:hyperlink r:id="rId4" w:tgtFrame="_new" w:history="1">
        <w:r w:rsidR="00D612C8" w:rsidRPr="00CD1816">
          <w:rPr>
            <w:rStyle w:val="Hyperlink"/>
            <w:sz w:val="16"/>
            <w:szCs w:val="16"/>
          </w:rPr>
          <w:t>https://commission.europa.eu/strategy-and-policy/strategy-documents/commission-work-programme/commission-work-programme-2026_en</w:t>
        </w:r>
      </w:hyperlink>
    </w:p>
  </w:footnote>
  <w:footnote w:id="7">
    <w:p w14:paraId="41C6BF5A" w14:textId="629195FF" w:rsidR="00331C83" w:rsidRPr="00CD1816" w:rsidRDefault="00331C83" w:rsidP="005C6E0F">
      <w:pPr>
        <w:pStyle w:val="FootnoteText"/>
        <w:rPr>
          <w:sz w:val="16"/>
          <w:szCs w:val="16"/>
        </w:rPr>
      </w:pPr>
      <w:r w:rsidRPr="00CD1816">
        <w:rPr>
          <w:rStyle w:val="FootnoteReference"/>
          <w:sz w:val="16"/>
          <w:szCs w:val="16"/>
        </w:rPr>
        <w:footnoteRef/>
      </w:r>
      <w:r w:rsidRPr="00CD1816">
        <w:rPr>
          <w:sz w:val="16"/>
          <w:szCs w:val="16"/>
        </w:rPr>
        <w:t xml:space="preserve"> Council Directive 2003/49/EC of 3 June 2003 on a common system of taxation applicable to interest and royalty payments made between associated companies of different Member States, OJ L 157</w:t>
      </w:r>
    </w:p>
  </w:footnote>
  <w:footnote w:id="8">
    <w:p w14:paraId="47BE178F" w14:textId="34A05AC0" w:rsidR="004916BA" w:rsidRPr="00CD1816" w:rsidRDefault="004916BA" w:rsidP="005C6E0F">
      <w:pPr>
        <w:pStyle w:val="FootnoteText"/>
        <w:rPr>
          <w:sz w:val="16"/>
          <w:szCs w:val="16"/>
        </w:rPr>
      </w:pPr>
      <w:r w:rsidRPr="00CD1816">
        <w:rPr>
          <w:rStyle w:val="FootnoteReference"/>
          <w:sz w:val="16"/>
          <w:szCs w:val="16"/>
        </w:rPr>
        <w:footnoteRef/>
      </w:r>
      <w:r w:rsidRPr="00CD1816">
        <w:rPr>
          <w:sz w:val="16"/>
          <w:szCs w:val="16"/>
        </w:rPr>
        <w:t xml:space="preserve"> Council Directive 2009/133/EC of 19 October 2009 on the common system of taxation applicable to mergers, divisions, partial divisions, transfers of assets and exchanges of shares concerning companies of different Member States and to the transfer of the registered office of an SE or SCE between Member States, OJ L 310</w:t>
      </w:r>
    </w:p>
  </w:footnote>
  <w:footnote w:id="9">
    <w:p w14:paraId="09D5A48A" w14:textId="75668147" w:rsidR="00384E53" w:rsidRPr="00384E53" w:rsidRDefault="00384E53" w:rsidP="005C6E0F">
      <w:pPr>
        <w:pStyle w:val="FootnoteText"/>
      </w:pPr>
      <w:r w:rsidRPr="00CD1816">
        <w:rPr>
          <w:rStyle w:val="FootnoteReference"/>
          <w:sz w:val="16"/>
          <w:szCs w:val="16"/>
        </w:rPr>
        <w:footnoteRef/>
      </w:r>
      <w:r w:rsidRPr="00CD1816">
        <w:rPr>
          <w:sz w:val="16"/>
          <w:szCs w:val="16"/>
        </w:rPr>
        <w:t xml:space="preserve"> Council Directive 2011/96/EU of 30 November 2011 on the common system of taxation applicable in the case of parent companies and subsidiaries of different Member States (recast), OJ L 345</w:t>
      </w:r>
    </w:p>
  </w:footnote>
  <w:footnote w:id="10">
    <w:p w14:paraId="2E7B536C" w14:textId="06BF09D0" w:rsidR="00163962" w:rsidRPr="005A23C3" w:rsidRDefault="00163962" w:rsidP="005C6E0F">
      <w:pPr>
        <w:pStyle w:val="FootnoteText"/>
        <w:rPr>
          <w:sz w:val="16"/>
          <w:szCs w:val="16"/>
        </w:rPr>
      </w:pPr>
      <w:r w:rsidRPr="005A23C3">
        <w:rPr>
          <w:rStyle w:val="FootnoteReference"/>
          <w:sz w:val="16"/>
          <w:szCs w:val="16"/>
        </w:rPr>
        <w:footnoteRef/>
      </w:r>
      <w:r w:rsidRPr="005A23C3">
        <w:rPr>
          <w:sz w:val="16"/>
          <w:szCs w:val="16"/>
        </w:rPr>
        <w:t xml:space="preserve"> Council Directive (EU) 2016/1164 of 12 July 2016 laying down rules against tax avoidance practices that directly affect the functioning of the internal market, OJ L 193</w:t>
      </w:r>
    </w:p>
  </w:footnote>
  <w:footnote w:id="11">
    <w:p w14:paraId="5BFC1654" w14:textId="5312BA33" w:rsidR="004C28D9" w:rsidRPr="005A23C3" w:rsidRDefault="004C28D9" w:rsidP="005C6E0F">
      <w:pPr>
        <w:pStyle w:val="FootnoteText"/>
        <w:rPr>
          <w:sz w:val="16"/>
          <w:szCs w:val="16"/>
        </w:rPr>
      </w:pPr>
      <w:r w:rsidRPr="005A23C3">
        <w:rPr>
          <w:rStyle w:val="FootnoteReference"/>
          <w:sz w:val="16"/>
          <w:szCs w:val="16"/>
        </w:rPr>
        <w:footnoteRef/>
      </w:r>
      <w:r w:rsidRPr="005A23C3">
        <w:rPr>
          <w:sz w:val="16"/>
          <w:szCs w:val="16"/>
        </w:rPr>
        <w:t xml:space="preserve"> Council Directive (EU) 2017/1852 of 10 October 2017 on tax dispute resolution mechanisms in the European Union, OJ L 265</w:t>
      </w:r>
    </w:p>
  </w:footnote>
  <w:footnote w:id="12">
    <w:p w14:paraId="6F399417" w14:textId="425550ED" w:rsidR="00A20810" w:rsidRPr="005A23C3" w:rsidRDefault="00A20810" w:rsidP="005C6E0F">
      <w:pPr>
        <w:pStyle w:val="FootnoteText"/>
        <w:jc w:val="left"/>
        <w:rPr>
          <w:sz w:val="16"/>
          <w:szCs w:val="16"/>
        </w:rPr>
      </w:pPr>
      <w:r w:rsidRPr="005A23C3">
        <w:rPr>
          <w:rStyle w:val="FootnoteReference"/>
          <w:sz w:val="16"/>
          <w:szCs w:val="16"/>
        </w:rPr>
        <w:footnoteRef/>
      </w:r>
      <w:r w:rsidRPr="005A23C3">
        <w:rPr>
          <w:sz w:val="16"/>
          <w:szCs w:val="16"/>
        </w:rPr>
        <w:t xml:space="preserve"> Council Directive (EU) 2025/50 of 10 December 2024 on Faster and Safer Relief of Excess Withholding Taxes (FASTER), OJ L, 2025/50</w:t>
      </w:r>
    </w:p>
  </w:footnote>
  <w:footnote w:id="13">
    <w:p w14:paraId="202F7925" w14:textId="1A91873D" w:rsidR="00506476" w:rsidRPr="005A23C3" w:rsidRDefault="00506476" w:rsidP="005C6E0F">
      <w:pPr>
        <w:pStyle w:val="FootnoteText"/>
        <w:jc w:val="left"/>
        <w:rPr>
          <w:sz w:val="16"/>
          <w:szCs w:val="16"/>
        </w:rPr>
      </w:pPr>
      <w:r w:rsidRPr="005A23C3">
        <w:rPr>
          <w:rStyle w:val="FootnoteReference"/>
          <w:sz w:val="16"/>
          <w:szCs w:val="16"/>
        </w:rPr>
        <w:footnoteRef/>
      </w:r>
      <w:r w:rsidRPr="005A23C3">
        <w:rPr>
          <w:sz w:val="16"/>
          <w:szCs w:val="16"/>
        </w:rPr>
        <w:t xml:space="preserve"> Council Directive 2011/16/EU of 15 February 2011 on administrative cooperation in the field of taxation and repealing Directive 77/799/EEC, OJ L 64</w:t>
      </w:r>
    </w:p>
  </w:footnote>
  <w:footnote w:id="14">
    <w:p w14:paraId="2E4DEA9C" w14:textId="3DEFFC0D" w:rsidR="004D1346" w:rsidRPr="005A23C3" w:rsidRDefault="004D1346" w:rsidP="005C6E0F">
      <w:pPr>
        <w:pStyle w:val="FootnoteText"/>
        <w:jc w:val="left"/>
        <w:rPr>
          <w:sz w:val="16"/>
          <w:szCs w:val="16"/>
        </w:rPr>
      </w:pPr>
      <w:r w:rsidRPr="005A23C3">
        <w:rPr>
          <w:rStyle w:val="FootnoteReference"/>
          <w:sz w:val="16"/>
          <w:szCs w:val="16"/>
        </w:rPr>
        <w:footnoteRef/>
      </w:r>
      <w:r w:rsidRPr="005A23C3">
        <w:rPr>
          <w:sz w:val="16"/>
          <w:szCs w:val="16"/>
        </w:rPr>
        <w:t xml:space="preserve"> European Council, </w:t>
      </w:r>
      <w:r w:rsidRPr="005A23C3">
        <w:rPr>
          <w:i/>
          <w:iCs/>
          <w:sz w:val="16"/>
          <w:szCs w:val="16"/>
        </w:rPr>
        <w:t>European Council conclusions, 20 March 2025</w:t>
      </w:r>
      <w:r w:rsidRPr="005A23C3">
        <w:rPr>
          <w:sz w:val="16"/>
          <w:szCs w:val="16"/>
        </w:rPr>
        <w:t xml:space="preserve">, EUCO 1/25, 20 March 2025, available at: </w:t>
      </w:r>
      <w:hyperlink r:id="rId5" w:tgtFrame="_new" w:history="1">
        <w:r w:rsidRPr="005A23C3">
          <w:rPr>
            <w:rStyle w:val="Hyperlink"/>
            <w:sz w:val="16"/>
            <w:szCs w:val="16"/>
          </w:rPr>
          <w:t>https://www.consilium.europa.eu/media/viyhc2m4/20250320-european-council-conclusions-en.pdf</w:t>
        </w:r>
      </w:hyperlink>
    </w:p>
  </w:footnote>
  <w:footnote w:id="15">
    <w:p w14:paraId="09712387" w14:textId="21099E5A" w:rsidR="00101236" w:rsidRPr="00101236" w:rsidRDefault="00101236">
      <w:pPr>
        <w:pStyle w:val="FootnoteText"/>
      </w:pPr>
      <w:r>
        <w:rPr>
          <w:rStyle w:val="FootnoteReference"/>
        </w:rPr>
        <w:footnoteRef/>
      </w:r>
      <w:r>
        <w:t xml:space="preserve"> </w:t>
      </w:r>
      <w:r w:rsidR="00051023" w:rsidRPr="0093037A">
        <w:rPr>
          <w:sz w:val="16"/>
          <w:szCs w:val="16"/>
        </w:rPr>
        <w:t xml:space="preserve">European Commission, </w:t>
      </w:r>
      <w:r w:rsidR="00051023" w:rsidRPr="0093037A">
        <w:rPr>
          <w:i/>
          <w:iCs/>
          <w:sz w:val="16"/>
          <w:szCs w:val="16"/>
        </w:rPr>
        <w:t>Proposal for a Regulation on the 28th Regime Corporate Legal Framework – ‘EU Inc.’</w:t>
      </w:r>
      <w:r w:rsidR="00051023" w:rsidRPr="0093037A">
        <w:rPr>
          <w:sz w:val="16"/>
          <w:szCs w:val="16"/>
        </w:rPr>
        <w:t>, COM(2026) 321 final, 18 March 2026</w:t>
      </w:r>
    </w:p>
  </w:footnote>
  <w:footnote w:id="16">
    <w:p w14:paraId="28255A45" w14:textId="775981F8" w:rsidR="00101236" w:rsidRPr="00101236" w:rsidRDefault="00101236">
      <w:pPr>
        <w:pStyle w:val="FootnoteText"/>
      </w:pPr>
      <w:r>
        <w:rPr>
          <w:rStyle w:val="FootnoteReference"/>
        </w:rPr>
        <w:footnoteRef/>
      </w:r>
      <w:r>
        <w:t xml:space="preserve"> </w:t>
      </w:r>
      <w:r w:rsidRPr="0093037A">
        <w:rPr>
          <w:sz w:val="16"/>
          <w:szCs w:val="16"/>
        </w:rPr>
        <w:t xml:space="preserve">Directive (EU) 2021/2101 of the European Parliament and of the Council of 24 November 2021 amending Directive 2013/34/EU as regards disclosure of income tax information by certain undertakings and branches; OJ L 429, 1.12.2021, pp. 1–14, ELI: </w:t>
      </w:r>
      <w:hyperlink r:id="rId6" w:history="1">
        <w:r w:rsidRPr="0093037A">
          <w:rPr>
            <w:sz w:val="16"/>
            <w:szCs w:val="16"/>
          </w:rPr>
          <w:t>http://data.europa.eu/eli/dir/2021/2101/oj</w:t>
        </w:r>
      </w:hyperlink>
      <w:r w:rsidRPr="0093037A">
        <w:rPr>
          <w:sz w:val="16"/>
          <w:szCs w:val="16"/>
        </w:rPr>
        <w:t>.</w:t>
      </w:r>
    </w:p>
  </w:footnote>
  <w:footnote w:id="17">
    <w:p w14:paraId="30BD24F0" w14:textId="1C553FC0" w:rsidR="00C945E8" w:rsidRPr="00C945E8" w:rsidRDefault="00C945E8" w:rsidP="005C6E0F">
      <w:pPr>
        <w:pStyle w:val="FootnoteText"/>
        <w:jc w:val="left"/>
      </w:pPr>
      <w:r w:rsidRPr="005A23C3">
        <w:rPr>
          <w:rStyle w:val="FootnoteReference"/>
          <w:sz w:val="16"/>
          <w:szCs w:val="16"/>
        </w:rPr>
        <w:footnoteRef/>
      </w:r>
      <w:r w:rsidRPr="005A23C3">
        <w:rPr>
          <w:sz w:val="16"/>
          <w:szCs w:val="16"/>
        </w:rPr>
        <w:t xml:space="preserve"> United Nations, </w:t>
      </w:r>
      <w:r w:rsidRPr="005A23C3">
        <w:rPr>
          <w:i/>
          <w:iCs/>
          <w:sz w:val="16"/>
          <w:szCs w:val="16"/>
        </w:rPr>
        <w:t>Transforming our world: the 2030 Agenda for Sustainable Development</w:t>
      </w:r>
      <w:r w:rsidRPr="005A23C3">
        <w:rPr>
          <w:sz w:val="16"/>
          <w:szCs w:val="16"/>
        </w:rPr>
        <w:t xml:space="preserve">, Resolution adopted by the General Assembly on 25 September 2015, A/RES/70/1, available at: </w:t>
      </w:r>
      <w:hyperlink r:id="rId7" w:tgtFrame="_new" w:history="1">
        <w:r w:rsidRPr="005A23C3">
          <w:rPr>
            <w:rStyle w:val="Hyperlink"/>
            <w:sz w:val="16"/>
            <w:szCs w:val="16"/>
          </w:rPr>
          <w:t>https://undocs.org/en/A/RES/70/1</w:t>
        </w:r>
      </w:hyperlink>
    </w:p>
  </w:footnote>
  <w:footnote w:id="18">
    <w:p w14:paraId="6AF28AF0" w14:textId="6EB015EB" w:rsidR="003923E7" w:rsidRPr="003923E7" w:rsidRDefault="003923E7">
      <w:pPr>
        <w:pStyle w:val="FootnoteText"/>
        <w:rPr>
          <w:sz w:val="16"/>
          <w:szCs w:val="16"/>
        </w:rPr>
      </w:pPr>
      <w:r w:rsidRPr="003923E7">
        <w:rPr>
          <w:rStyle w:val="FootnoteReference"/>
          <w:sz w:val="16"/>
          <w:szCs w:val="16"/>
        </w:rPr>
        <w:footnoteRef/>
      </w:r>
      <w:r w:rsidRPr="003923E7">
        <w:rPr>
          <w:sz w:val="16"/>
          <w:szCs w:val="16"/>
        </w:rPr>
        <w:t xml:space="preserve"> Council Directive (EU) 2014/107 of 9 December 2014 amending Directive 2011/16/EU as regards mandatory automatic exchange of information in the field of taxation, OJ L 359</w:t>
      </w:r>
    </w:p>
  </w:footnote>
  <w:footnote w:id="19">
    <w:p w14:paraId="6ECBA0B5" w14:textId="15E2B8CE" w:rsidR="003923E7" w:rsidRPr="003923E7" w:rsidRDefault="003923E7">
      <w:pPr>
        <w:pStyle w:val="FootnoteText"/>
        <w:rPr>
          <w:sz w:val="16"/>
          <w:szCs w:val="16"/>
        </w:rPr>
      </w:pPr>
      <w:r w:rsidRPr="003923E7">
        <w:rPr>
          <w:rStyle w:val="FootnoteReference"/>
          <w:sz w:val="16"/>
          <w:szCs w:val="16"/>
        </w:rPr>
        <w:footnoteRef/>
      </w:r>
      <w:r w:rsidRPr="003923E7">
        <w:rPr>
          <w:sz w:val="16"/>
          <w:szCs w:val="16"/>
        </w:rPr>
        <w:t xml:space="preserve"> Council Directive (EU) 2015/2376 of 8 December 2015 amending Directive 2011/16/EU as regards mandatory automatic exchange of information in the field of taxation, OJ L 332</w:t>
      </w:r>
    </w:p>
  </w:footnote>
  <w:footnote w:id="20">
    <w:p w14:paraId="126F1B94" w14:textId="30F87A5B" w:rsidR="003923E7" w:rsidRPr="003923E7" w:rsidRDefault="003923E7">
      <w:pPr>
        <w:pStyle w:val="FootnoteText"/>
        <w:rPr>
          <w:sz w:val="16"/>
          <w:szCs w:val="16"/>
        </w:rPr>
      </w:pPr>
      <w:r w:rsidRPr="003923E7">
        <w:rPr>
          <w:rStyle w:val="FootnoteReference"/>
          <w:sz w:val="16"/>
          <w:szCs w:val="16"/>
        </w:rPr>
        <w:footnoteRef/>
      </w:r>
      <w:r w:rsidRPr="003923E7">
        <w:rPr>
          <w:sz w:val="16"/>
          <w:szCs w:val="16"/>
        </w:rPr>
        <w:t xml:space="preserve"> Council Directive (EU) 2016/881 of 25 May 2016 amending Directive 2011/16/EU as regards mandatory automatic exchange of information in the field of taxation, OJ L 146</w:t>
      </w:r>
    </w:p>
  </w:footnote>
  <w:footnote w:id="21">
    <w:p w14:paraId="1C586C3D" w14:textId="2DE07837" w:rsidR="003923E7" w:rsidRPr="003923E7" w:rsidRDefault="003923E7">
      <w:pPr>
        <w:pStyle w:val="FootnoteText"/>
        <w:rPr>
          <w:sz w:val="16"/>
          <w:szCs w:val="16"/>
        </w:rPr>
      </w:pPr>
      <w:r w:rsidRPr="003923E7">
        <w:rPr>
          <w:rStyle w:val="FootnoteReference"/>
          <w:sz w:val="16"/>
          <w:szCs w:val="16"/>
        </w:rPr>
        <w:footnoteRef/>
      </w:r>
      <w:r w:rsidRPr="003923E7">
        <w:rPr>
          <w:sz w:val="16"/>
          <w:szCs w:val="16"/>
        </w:rPr>
        <w:t xml:space="preserve"> Council Directive (EU) 2018/822 of 25 May 2018 amending Directive 2011/16/EU as regards mandatory automatic exchange of information in the field of taxation in relation to reportable cross-border arrangements, OJ L 139</w:t>
      </w:r>
    </w:p>
  </w:footnote>
  <w:footnote w:id="22">
    <w:p w14:paraId="6C4C92A3" w14:textId="12BFF0E7" w:rsidR="003923E7" w:rsidRPr="003923E7" w:rsidRDefault="003923E7">
      <w:pPr>
        <w:pStyle w:val="FootnoteText"/>
        <w:rPr>
          <w:sz w:val="16"/>
          <w:szCs w:val="16"/>
        </w:rPr>
      </w:pPr>
      <w:r w:rsidRPr="003923E7">
        <w:rPr>
          <w:rStyle w:val="FootnoteReference"/>
          <w:sz w:val="16"/>
          <w:szCs w:val="16"/>
        </w:rPr>
        <w:footnoteRef/>
      </w:r>
      <w:r w:rsidRPr="003923E7">
        <w:rPr>
          <w:sz w:val="16"/>
          <w:szCs w:val="16"/>
        </w:rPr>
        <w:t xml:space="preserve"> Council Directive (EU) 2021/514 of 22 March 2021 amending Directive 2011/16/EU on administrative cooperation in the field of taxation, OJ L 104</w:t>
      </w:r>
    </w:p>
  </w:footnote>
  <w:footnote w:id="23">
    <w:p w14:paraId="534FFAD1" w14:textId="1FFA1BBB" w:rsidR="003923E7" w:rsidRPr="003923E7" w:rsidRDefault="003923E7">
      <w:pPr>
        <w:pStyle w:val="FootnoteText"/>
      </w:pPr>
      <w:r w:rsidRPr="003923E7">
        <w:rPr>
          <w:rStyle w:val="FootnoteReference"/>
          <w:sz w:val="16"/>
          <w:szCs w:val="16"/>
        </w:rPr>
        <w:footnoteRef/>
      </w:r>
      <w:r w:rsidRPr="003923E7">
        <w:rPr>
          <w:sz w:val="16"/>
          <w:szCs w:val="16"/>
        </w:rPr>
        <w:t xml:space="preserve"> Council Directive (EU) 2023/2226 of 17 October 2023 amending Directive 2011/16/EU on administrative cooperation in the field of taxation, OJ L 2023/2226</w:t>
      </w:r>
    </w:p>
  </w:footnote>
  <w:footnote w:id="24">
    <w:p w14:paraId="60B28E9F" w14:textId="5FDB4C32" w:rsidR="00E75FDF" w:rsidRPr="00E75FDF" w:rsidRDefault="00E75FDF">
      <w:pPr>
        <w:pStyle w:val="FootnoteText"/>
        <w:rPr>
          <w:sz w:val="16"/>
          <w:szCs w:val="16"/>
        </w:rPr>
      </w:pPr>
      <w:r w:rsidRPr="00E75FDF">
        <w:rPr>
          <w:rStyle w:val="FootnoteReference"/>
          <w:sz w:val="16"/>
          <w:szCs w:val="16"/>
        </w:rPr>
        <w:footnoteRef/>
      </w:r>
      <w:r w:rsidRPr="00E75FDF">
        <w:rPr>
          <w:sz w:val="16"/>
          <w:szCs w:val="16"/>
        </w:rPr>
        <w:t xml:space="preserve"> Council Directive (EU) 202</w:t>
      </w:r>
      <w:r w:rsidR="00D9632F">
        <w:rPr>
          <w:sz w:val="16"/>
          <w:szCs w:val="16"/>
        </w:rPr>
        <w:t>5</w:t>
      </w:r>
      <w:r w:rsidRPr="00E75FDF">
        <w:rPr>
          <w:sz w:val="16"/>
          <w:szCs w:val="16"/>
        </w:rPr>
        <w:t>/</w:t>
      </w:r>
      <w:r w:rsidR="00D9632F">
        <w:rPr>
          <w:sz w:val="16"/>
          <w:szCs w:val="16"/>
        </w:rPr>
        <w:t>872</w:t>
      </w:r>
      <w:r w:rsidRPr="00E75FDF">
        <w:rPr>
          <w:sz w:val="16"/>
          <w:szCs w:val="16"/>
        </w:rPr>
        <w:t xml:space="preserve"> of 29 April 2024 amending Directive 2011/16/EU on administrative cooperation in the field of taxation, OJ L 2024/1263</w:t>
      </w:r>
    </w:p>
  </w:footnote>
  <w:footnote w:id="25">
    <w:p w14:paraId="50AC2261" w14:textId="77777777" w:rsidR="00E75FDF" w:rsidRPr="00215FB2" w:rsidRDefault="00E75FDF" w:rsidP="00E75FDF">
      <w:pPr>
        <w:pStyle w:val="FootnoteText"/>
        <w:rPr>
          <w:sz w:val="16"/>
          <w:szCs w:val="16"/>
        </w:rPr>
      </w:pPr>
      <w:r w:rsidRPr="00215FB2">
        <w:rPr>
          <w:rStyle w:val="FootnoteReference"/>
          <w:sz w:val="16"/>
          <w:szCs w:val="16"/>
        </w:rPr>
        <w:footnoteRef/>
      </w:r>
      <w:r w:rsidRPr="00215FB2">
        <w:rPr>
          <w:sz w:val="16"/>
          <w:szCs w:val="16"/>
        </w:rPr>
        <w:t xml:space="preserve"> </w:t>
      </w:r>
      <w:r w:rsidRPr="00215FB2">
        <w:rPr>
          <w:rFonts w:eastAsia="Times New Roman"/>
          <w:sz w:val="16"/>
          <w:szCs w:val="16"/>
        </w:rPr>
        <w:t>Council Directive (EU) 2016/2258 of 6 December 2016 amending Directive 2011/16/EU as regards access to anti-money-laundering information by tax authorities, OJ L 342</w:t>
      </w:r>
    </w:p>
  </w:footnote>
  <w:footnote w:id="26">
    <w:p w14:paraId="19D7AFD2" w14:textId="77777777" w:rsidR="004565B9" w:rsidRPr="00215FB2" w:rsidRDefault="004565B9" w:rsidP="004565B9">
      <w:pPr>
        <w:pStyle w:val="FootnoteText"/>
        <w:jc w:val="left"/>
        <w:rPr>
          <w:sz w:val="16"/>
          <w:szCs w:val="16"/>
        </w:rPr>
      </w:pPr>
      <w:r w:rsidRPr="00215FB2">
        <w:rPr>
          <w:rStyle w:val="FootnoteReference"/>
          <w:sz w:val="16"/>
          <w:szCs w:val="16"/>
        </w:rPr>
        <w:footnoteRef/>
      </w:r>
      <w:r w:rsidRPr="00215FB2">
        <w:rPr>
          <w:sz w:val="16"/>
          <w:szCs w:val="16"/>
        </w:rPr>
        <w:t xml:space="preserve"> European Commission (2025), </w:t>
      </w:r>
      <w:r w:rsidRPr="00215FB2">
        <w:rPr>
          <w:i/>
          <w:iCs/>
          <w:sz w:val="16"/>
          <w:szCs w:val="16"/>
        </w:rPr>
        <w:t>Report from the Commission to the European Parliament and the Council on the evaluation of Council Directive 2011/16/EU on administrative cooperation in the field of taxation</w:t>
      </w:r>
      <w:r w:rsidRPr="00215FB2">
        <w:rPr>
          <w:sz w:val="16"/>
          <w:szCs w:val="16"/>
        </w:rPr>
        <w:t xml:space="preserve">, COM (2025) 695 final, 19 November 2025. Available at: </w:t>
      </w:r>
      <w:hyperlink r:id="rId8" w:tgtFrame="_new" w:history="1">
        <w:r w:rsidRPr="00215FB2">
          <w:rPr>
            <w:rStyle w:val="Hyperlink"/>
            <w:sz w:val="16"/>
            <w:szCs w:val="16"/>
          </w:rPr>
          <w:t>https://taxation-customs.ec.europa.eu/document/download/c24ef108-3dce-4169-84e3-0d024f419efd_en?filename=COM_2025_695_1_EN_ACT_part1_v3.pdf</w:t>
        </w:r>
      </w:hyperlink>
    </w:p>
  </w:footnote>
  <w:footnote w:id="27">
    <w:p w14:paraId="0280B8ED" w14:textId="77777777" w:rsidR="004565B9" w:rsidRPr="00215FB2" w:rsidRDefault="004565B9" w:rsidP="004565B9">
      <w:pPr>
        <w:pStyle w:val="FootnoteText"/>
        <w:rPr>
          <w:sz w:val="16"/>
          <w:szCs w:val="16"/>
        </w:rPr>
      </w:pPr>
      <w:r w:rsidRPr="00215FB2">
        <w:rPr>
          <w:rStyle w:val="FootnoteReference"/>
          <w:sz w:val="16"/>
          <w:szCs w:val="16"/>
        </w:rPr>
        <w:footnoteRef/>
      </w:r>
      <w:r w:rsidRPr="00215FB2">
        <w:rPr>
          <w:sz w:val="16"/>
          <w:szCs w:val="16"/>
        </w:rPr>
        <w:t xml:space="preserve"> European Commission (2025), </w:t>
      </w:r>
      <w:r w:rsidRPr="00215FB2">
        <w:rPr>
          <w:i/>
          <w:iCs/>
          <w:sz w:val="16"/>
          <w:szCs w:val="16"/>
        </w:rPr>
        <w:t>Commission Staff Working Document accompanying the Report on the evaluation of Council Directive 2011/16/EU on administrative cooperation in the field of taxation</w:t>
      </w:r>
      <w:r w:rsidRPr="00215FB2">
        <w:rPr>
          <w:sz w:val="16"/>
          <w:szCs w:val="16"/>
        </w:rPr>
        <w:t xml:space="preserve">, SWD(2025) [final], Brussels. Available at: </w:t>
      </w:r>
      <w:hyperlink r:id="rId9" w:tgtFrame="_new" w:history="1">
        <w:r w:rsidRPr="00215FB2">
          <w:rPr>
            <w:rStyle w:val="Hyperlink"/>
            <w:sz w:val="16"/>
            <w:szCs w:val="16"/>
          </w:rPr>
          <w:t>https://taxation-customs.ec.europa.eu/document/download/c1235b9c-8c70-4c36-8270-fc908d3d28fa_en?filename=Soon.pdf</w:t>
        </w:r>
      </w:hyperlink>
    </w:p>
  </w:footnote>
  <w:footnote w:id="28">
    <w:p w14:paraId="1F4300F7" w14:textId="77777777" w:rsidR="004565B9" w:rsidRPr="00215FB2" w:rsidRDefault="004565B9" w:rsidP="004565B9">
      <w:pPr>
        <w:pStyle w:val="FootnoteText"/>
        <w:rPr>
          <w:sz w:val="16"/>
          <w:szCs w:val="16"/>
        </w:rPr>
      </w:pPr>
      <w:r w:rsidRPr="00215FB2">
        <w:rPr>
          <w:rStyle w:val="FootnoteReference"/>
          <w:sz w:val="16"/>
          <w:szCs w:val="16"/>
        </w:rPr>
        <w:footnoteRef/>
      </w:r>
      <w:r w:rsidRPr="00215FB2">
        <w:rPr>
          <w:sz w:val="16"/>
          <w:szCs w:val="16"/>
        </w:rPr>
        <w:t xml:space="preserve"> Ramboll, London School of Economics and Political Science, and Syntesia (2025), </w:t>
      </w:r>
      <w:r w:rsidRPr="00215FB2">
        <w:rPr>
          <w:i/>
          <w:iCs/>
          <w:sz w:val="16"/>
          <w:szCs w:val="16"/>
        </w:rPr>
        <w:t>Study supporting the evaluation of Directive 2011/16/EU (DAC)</w:t>
      </w:r>
      <w:r w:rsidRPr="00215FB2">
        <w:rPr>
          <w:sz w:val="16"/>
          <w:szCs w:val="16"/>
        </w:rPr>
        <w:t xml:space="preserve">, external study for the European Commission. Available at: </w:t>
      </w:r>
      <w:hyperlink r:id="rId10" w:tgtFrame="_new" w:history="1">
        <w:r w:rsidRPr="00215FB2">
          <w:rPr>
            <w:rStyle w:val="Hyperlink"/>
            <w:sz w:val="16"/>
            <w:szCs w:val="16"/>
          </w:rPr>
          <w:t>https://taxation-customs.ec.europa.eu/document/download/2206de45-1576-4eab-826a-4cb22aa7f80d_en?filename=Soon_0.pdf</w:t>
        </w:r>
      </w:hyperlink>
    </w:p>
  </w:footnote>
  <w:footnote w:id="29">
    <w:p w14:paraId="6888C54B" w14:textId="77777777" w:rsidR="004565B9" w:rsidRPr="00215FB2" w:rsidRDefault="004565B9" w:rsidP="004565B9">
      <w:pPr>
        <w:pStyle w:val="FootnoteText"/>
        <w:rPr>
          <w:sz w:val="16"/>
          <w:szCs w:val="16"/>
        </w:rPr>
      </w:pPr>
      <w:r w:rsidRPr="00215FB2">
        <w:rPr>
          <w:rStyle w:val="FootnoteReference"/>
          <w:sz w:val="16"/>
          <w:szCs w:val="16"/>
        </w:rPr>
        <w:footnoteRef/>
      </w:r>
      <w:r w:rsidRPr="00215FB2">
        <w:rPr>
          <w:sz w:val="16"/>
          <w:szCs w:val="16"/>
        </w:rPr>
        <w:t xml:space="preserve"> See COM(2025) 695 final, pp. 6–8; SWD(2025), pp. 33–40.</w:t>
      </w:r>
    </w:p>
  </w:footnote>
  <w:footnote w:id="30">
    <w:p w14:paraId="6205BC9D" w14:textId="77777777" w:rsidR="004565B9" w:rsidRPr="00060EDC" w:rsidRDefault="004565B9" w:rsidP="004565B9">
      <w:pPr>
        <w:pStyle w:val="FootnoteText"/>
      </w:pPr>
      <w:r w:rsidRPr="00215FB2">
        <w:rPr>
          <w:rStyle w:val="FootnoteReference"/>
          <w:sz w:val="16"/>
          <w:szCs w:val="16"/>
        </w:rPr>
        <w:footnoteRef/>
      </w:r>
      <w:r w:rsidRPr="00215FB2">
        <w:rPr>
          <w:sz w:val="16"/>
          <w:szCs w:val="16"/>
        </w:rPr>
        <w:t xml:space="preserve"> European Commission (2025), COM(2025) 695 final, Section 3</w:t>
      </w:r>
    </w:p>
  </w:footnote>
  <w:footnote w:id="31">
    <w:p w14:paraId="1121C23B" w14:textId="77777777" w:rsidR="004565B9" w:rsidRPr="00215FB2" w:rsidRDefault="004565B9" w:rsidP="004565B9">
      <w:pPr>
        <w:pStyle w:val="FootnoteText"/>
        <w:jc w:val="left"/>
        <w:rPr>
          <w:sz w:val="16"/>
          <w:szCs w:val="16"/>
        </w:rPr>
      </w:pPr>
      <w:r w:rsidRPr="00215FB2">
        <w:rPr>
          <w:rStyle w:val="FootnoteReference"/>
          <w:sz w:val="16"/>
          <w:szCs w:val="16"/>
        </w:rPr>
        <w:footnoteRef/>
      </w:r>
      <w:r w:rsidRPr="00215FB2">
        <w:rPr>
          <w:sz w:val="16"/>
          <w:szCs w:val="16"/>
        </w:rPr>
        <w:t xml:space="preserve"> European Court of Auditors, </w:t>
      </w:r>
      <w:r w:rsidRPr="00215FB2">
        <w:rPr>
          <w:i/>
          <w:iCs/>
          <w:sz w:val="16"/>
          <w:szCs w:val="16"/>
        </w:rPr>
        <w:t>Special Report 03/2021: Exchanging tax information in the EU: solid foundation, cracks in the implementation</w:t>
      </w:r>
      <w:r w:rsidRPr="00215FB2">
        <w:rPr>
          <w:sz w:val="16"/>
          <w:szCs w:val="16"/>
        </w:rPr>
        <w:t xml:space="preserve">, 2021, available at: </w:t>
      </w:r>
      <w:hyperlink r:id="rId11" w:tgtFrame="_new" w:history="1">
        <w:r w:rsidRPr="00215FB2">
          <w:rPr>
            <w:rStyle w:val="Hyperlink"/>
            <w:sz w:val="16"/>
            <w:szCs w:val="16"/>
          </w:rPr>
          <w:t>https://www.eca.europa.eu/en/publications/SR21_03</w:t>
        </w:r>
      </w:hyperlink>
    </w:p>
  </w:footnote>
  <w:footnote w:id="32">
    <w:p w14:paraId="57251A30" w14:textId="77777777" w:rsidR="004565B9" w:rsidRPr="00215FB2" w:rsidRDefault="004565B9" w:rsidP="004565B9">
      <w:pPr>
        <w:pStyle w:val="FootnoteText"/>
        <w:rPr>
          <w:sz w:val="16"/>
          <w:szCs w:val="16"/>
        </w:rPr>
      </w:pPr>
      <w:r w:rsidRPr="00215FB2">
        <w:rPr>
          <w:rStyle w:val="FootnoteReference"/>
          <w:sz w:val="16"/>
          <w:szCs w:val="16"/>
        </w:rPr>
        <w:footnoteRef/>
      </w:r>
      <w:r w:rsidRPr="00215FB2">
        <w:rPr>
          <w:sz w:val="16"/>
          <w:szCs w:val="16"/>
        </w:rPr>
        <w:t xml:space="preserve"> European Court of Auditors, </w:t>
      </w:r>
      <w:r w:rsidRPr="00215FB2">
        <w:rPr>
          <w:i/>
          <w:iCs/>
          <w:sz w:val="16"/>
          <w:szCs w:val="16"/>
        </w:rPr>
        <w:t>Special Report 27/2024: Combatting harmful tax regimes and corporate tax avoidance</w:t>
      </w:r>
      <w:r w:rsidRPr="00215FB2">
        <w:rPr>
          <w:sz w:val="16"/>
          <w:szCs w:val="16"/>
        </w:rPr>
        <w:t xml:space="preserve">, 28 November 2024, available at: </w:t>
      </w:r>
      <w:hyperlink r:id="rId12" w:tgtFrame="_new" w:history="1">
        <w:r w:rsidRPr="00215FB2">
          <w:rPr>
            <w:rStyle w:val="Hyperlink"/>
            <w:sz w:val="16"/>
            <w:szCs w:val="16"/>
          </w:rPr>
          <w:t>https://www.eca.europa.eu/en/publications/SR-2024-27</w:t>
        </w:r>
      </w:hyperlink>
    </w:p>
  </w:footnote>
  <w:footnote w:id="33">
    <w:p w14:paraId="456A8B96" w14:textId="77777777" w:rsidR="004565B9" w:rsidRPr="00215FB2" w:rsidRDefault="004565B9" w:rsidP="004565B9">
      <w:pPr>
        <w:pStyle w:val="FootnoteText"/>
        <w:rPr>
          <w:sz w:val="16"/>
          <w:szCs w:val="16"/>
        </w:rPr>
      </w:pPr>
      <w:r w:rsidRPr="00215FB2">
        <w:rPr>
          <w:rStyle w:val="FootnoteReference"/>
          <w:sz w:val="16"/>
          <w:szCs w:val="16"/>
        </w:rPr>
        <w:footnoteRef/>
      </w:r>
      <w:r w:rsidRPr="00215FB2">
        <w:rPr>
          <w:sz w:val="16"/>
          <w:szCs w:val="16"/>
        </w:rPr>
        <w:t xml:space="preserve"> European Commission, </w:t>
      </w:r>
      <w:r w:rsidRPr="00215FB2">
        <w:rPr>
          <w:i/>
          <w:iCs/>
          <w:sz w:val="16"/>
          <w:szCs w:val="16"/>
        </w:rPr>
        <w:t>EU rules on administrative cooperation in the field of taxation – recast (call for evidence and public consultation)</w:t>
      </w:r>
      <w:r w:rsidRPr="00215FB2">
        <w:rPr>
          <w:sz w:val="16"/>
          <w:szCs w:val="16"/>
        </w:rPr>
        <w:t xml:space="preserve">, available at: </w:t>
      </w:r>
      <w:hyperlink r:id="rId13" w:history="1">
        <w:r w:rsidRPr="00215FB2">
          <w:rPr>
            <w:rStyle w:val="Hyperlink"/>
            <w:sz w:val="16"/>
            <w:szCs w:val="16"/>
          </w:rPr>
          <w:t>EU rules on administrative cooperation in the field of taxation – recast</w:t>
        </w:r>
      </w:hyperlink>
    </w:p>
  </w:footnote>
  <w:footnote w:id="34">
    <w:p w14:paraId="17E3F8E3" w14:textId="77777777" w:rsidR="0060546D" w:rsidRPr="00215FB2" w:rsidRDefault="0060546D" w:rsidP="0060546D">
      <w:pPr>
        <w:pStyle w:val="FootnoteText"/>
        <w:rPr>
          <w:sz w:val="16"/>
          <w:szCs w:val="16"/>
          <w:lang w:val="en-IE"/>
        </w:rPr>
      </w:pPr>
      <w:r w:rsidRPr="00215FB2">
        <w:rPr>
          <w:rStyle w:val="FootnoteReference"/>
          <w:sz w:val="16"/>
          <w:szCs w:val="16"/>
        </w:rPr>
        <w:footnoteRef/>
      </w:r>
      <w:r w:rsidRPr="00215FB2">
        <w:rPr>
          <w:sz w:val="16"/>
          <w:szCs w:val="16"/>
        </w:rPr>
        <w:t xml:space="preserve"> See COM(2025) 695 final, pp. 7–9; SWD(2025), pp. 20–24.</w:t>
      </w:r>
    </w:p>
  </w:footnote>
  <w:footnote w:id="35">
    <w:p w14:paraId="10B1388F" w14:textId="77777777" w:rsidR="0060546D" w:rsidRPr="00215FB2" w:rsidRDefault="0060546D" w:rsidP="0060546D">
      <w:pPr>
        <w:pStyle w:val="FootnoteText"/>
        <w:rPr>
          <w:sz w:val="16"/>
          <w:szCs w:val="16"/>
        </w:rPr>
      </w:pPr>
      <w:r w:rsidRPr="00215FB2">
        <w:rPr>
          <w:rStyle w:val="FootnoteReference"/>
          <w:sz w:val="16"/>
          <w:szCs w:val="16"/>
        </w:rPr>
        <w:footnoteRef/>
      </w:r>
      <w:r w:rsidRPr="00215FB2">
        <w:rPr>
          <w:sz w:val="16"/>
          <w:szCs w:val="16"/>
        </w:rPr>
        <w:t xml:space="preserve"> See SWD(2025) [final], p. 96.</w:t>
      </w:r>
    </w:p>
  </w:footnote>
  <w:footnote w:id="36">
    <w:p w14:paraId="6DF69CA4" w14:textId="417E78ED" w:rsidR="006255EE" w:rsidRPr="006255EE" w:rsidRDefault="006255EE">
      <w:pPr>
        <w:pStyle w:val="FootnoteText"/>
        <w:rPr>
          <w:lang w:val="en-US"/>
        </w:rPr>
      </w:pPr>
      <w:r>
        <w:rPr>
          <w:rStyle w:val="FootnoteReference"/>
        </w:rPr>
        <w:footnoteRef/>
      </w:r>
      <w:r>
        <w:t xml:space="preserve"> </w:t>
      </w:r>
      <w:r w:rsidRPr="008419BD">
        <w:rPr>
          <w:sz w:val="16"/>
          <w:szCs w:val="16"/>
        </w:rPr>
        <w:t>This estimate is based on approximately 3,000 MNE groups within the scope of Pillar 2 and an average annual compliance cost of EUR 100,000 per group, drawing on evidence from the evaluation of the Anti-Tax Avoidance Directive. This results in an aggregate compliance cost of around EUR 300 million per year (see Chapter 6 and Annex 4 for details).</w:t>
      </w:r>
    </w:p>
  </w:footnote>
  <w:footnote w:id="37">
    <w:p w14:paraId="671D2009" w14:textId="1AED3291" w:rsidR="00D7088D" w:rsidRPr="00D7088D" w:rsidRDefault="00D7088D">
      <w:pPr>
        <w:pStyle w:val="FootnoteText"/>
        <w:rPr>
          <w:lang w:val="en-IE"/>
        </w:rPr>
      </w:pPr>
      <w:r>
        <w:rPr>
          <w:rStyle w:val="FootnoteReference"/>
        </w:rPr>
        <w:footnoteRef/>
      </w:r>
      <w:r>
        <w:t xml:space="preserve"> </w:t>
      </w:r>
      <w:r w:rsidRPr="005020FB">
        <w:rPr>
          <w:rFonts w:eastAsia="Times New Roman"/>
          <w:sz w:val="16"/>
          <w:szCs w:val="16"/>
        </w:rPr>
        <w:t>COM(2025) 695 final, p. 6.</w:t>
      </w:r>
    </w:p>
  </w:footnote>
  <w:footnote w:id="38">
    <w:p w14:paraId="744CC7CE" w14:textId="0F8F746D" w:rsidR="00D7088D" w:rsidRPr="00D7088D" w:rsidRDefault="00D7088D">
      <w:pPr>
        <w:pStyle w:val="FootnoteText"/>
        <w:rPr>
          <w:lang w:val="en-IE"/>
        </w:rPr>
      </w:pPr>
      <w:r>
        <w:rPr>
          <w:rStyle w:val="FootnoteReference"/>
        </w:rPr>
        <w:footnoteRef/>
      </w:r>
      <w:r>
        <w:t xml:space="preserve"> </w:t>
      </w:r>
      <w:r w:rsidRPr="000E7BED">
        <w:rPr>
          <w:rFonts w:eastAsia="Times New Roman"/>
          <w:sz w:val="16"/>
          <w:szCs w:val="16"/>
        </w:rPr>
        <w:t>SWD(2025) 695 final, p. 109</w:t>
      </w:r>
    </w:p>
  </w:footnote>
  <w:footnote w:id="39">
    <w:p w14:paraId="5CB612D9" w14:textId="3026B7CC" w:rsidR="00D7088D" w:rsidRPr="00D7088D" w:rsidRDefault="00D7088D">
      <w:pPr>
        <w:pStyle w:val="FootnoteText"/>
        <w:rPr>
          <w:lang w:val="en-IE"/>
        </w:rPr>
      </w:pPr>
      <w:r>
        <w:rPr>
          <w:rStyle w:val="FootnoteReference"/>
        </w:rPr>
        <w:footnoteRef/>
      </w:r>
      <w:r>
        <w:t xml:space="preserve"> </w:t>
      </w:r>
      <w:r w:rsidRPr="000E7BED">
        <w:rPr>
          <w:rFonts w:eastAsia="Times New Roman"/>
          <w:sz w:val="16"/>
          <w:szCs w:val="16"/>
        </w:rPr>
        <w:t>SWD(2025) 695 final, p. 109</w:t>
      </w:r>
    </w:p>
  </w:footnote>
  <w:footnote w:id="40">
    <w:p w14:paraId="32C00AEA" w14:textId="15C15DBD" w:rsidR="00D7088D" w:rsidRPr="00D7088D" w:rsidRDefault="00D7088D">
      <w:pPr>
        <w:pStyle w:val="FootnoteText"/>
        <w:rPr>
          <w:lang w:val="en-IE"/>
        </w:rPr>
      </w:pPr>
      <w:r>
        <w:rPr>
          <w:rStyle w:val="FootnoteReference"/>
        </w:rPr>
        <w:footnoteRef/>
      </w:r>
      <w:r>
        <w:t xml:space="preserve"> </w:t>
      </w:r>
      <w:r w:rsidRPr="00597F7A">
        <w:rPr>
          <w:rFonts w:eastAsia="Times New Roman"/>
          <w:sz w:val="16"/>
          <w:szCs w:val="16"/>
        </w:rPr>
        <w:t>ECA, Special Report 27/2024, paras 59–63</w:t>
      </w:r>
    </w:p>
  </w:footnote>
  <w:footnote w:id="41">
    <w:p w14:paraId="7D8EA5AB" w14:textId="1DF2177C" w:rsidR="00597F7A" w:rsidRPr="00597F7A" w:rsidRDefault="00597F7A" w:rsidP="00597F7A">
      <w:pPr>
        <w:pStyle w:val="FootnoteText"/>
        <w:rPr>
          <w:sz w:val="16"/>
          <w:szCs w:val="16"/>
        </w:rPr>
      </w:pPr>
      <w:r w:rsidRPr="00597F7A">
        <w:rPr>
          <w:rStyle w:val="FootnoteReference"/>
          <w:sz w:val="16"/>
          <w:szCs w:val="16"/>
        </w:rPr>
        <w:footnoteRef/>
      </w:r>
      <w:r w:rsidRPr="00597F7A">
        <w:rPr>
          <w:sz w:val="16"/>
          <w:szCs w:val="16"/>
        </w:rPr>
        <w:t xml:space="preserve"> DAC6 reporting obligations are primarily imposed on intermediaries, which account for approximately two thirds of all disclosures, while the remaining one third are filed directly by taxpayers. For the purpose of this analysis, no distinction is made between intermediary and taxpayer filed reports, as the associated compliance costs are assumed to be broadly comparable. In practice, costs incurred by intermediaries are typically passed on to the underlying taxpayer, such that the overall economic burden is borne by </w:t>
      </w:r>
      <w:r w:rsidR="00BC14EF">
        <w:rPr>
          <w:sz w:val="16"/>
          <w:szCs w:val="16"/>
        </w:rPr>
        <w:t>companies</w:t>
      </w:r>
      <w:r w:rsidRPr="00597F7A">
        <w:rPr>
          <w:sz w:val="16"/>
          <w:szCs w:val="16"/>
        </w:rPr>
        <w:t xml:space="preserve"> irrespective of the reporting channel.</w:t>
      </w:r>
    </w:p>
  </w:footnote>
  <w:footnote w:id="42">
    <w:p w14:paraId="605B3573" w14:textId="360F489A" w:rsidR="00597F7A" w:rsidRPr="00597F7A" w:rsidRDefault="00597F7A" w:rsidP="00597F7A">
      <w:pPr>
        <w:pStyle w:val="FootnoteText"/>
        <w:rPr>
          <w:sz w:val="16"/>
          <w:szCs w:val="16"/>
        </w:rPr>
      </w:pPr>
      <w:r w:rsidRPr="00597F7A">
        <w:rPr>
          <w:rStyle w:val="FootnoteReference"/>
          <w:sz w:val="16"/>
          <w:szCs w:val="16"/>
        </w:rPr>
        <w:footnoteRef/>
      </w:r>
      <w:r w:rsidRPr="00597F7A">
        <w:rPr>
          <w:sz w:val="16"/>
          <w:szCs w:val="16"/>
        </w:rPr>
        <w:t xml:space="preserve"> See </w:t>
      </w:r>
      <w:r w:rsidR="0038442B" w:rsidRPr="00597F7A">
        <w:rPr>
          <w:sz w:val="16"/>
          <w:szCs w:val="16"/>
        </w:rPr>
        <w:t>SWD (</w:t>
      </w:r>
      <w:r w:rsidRPr="00597F7A">
        <w:rPr>
          <w:sz w:val="16"/>
          <w:szCs w:val="16"/>
        </w:rPr>
        <w:t xml:space="preserve">2025), pp. 118–128; </w:t>
      </w:r>
      <w:r w:rsidR="00D7088D" w:rsidRPr="00597F7A">
        <w:rPr>
          <w:sz w:val="16"/>
          <w:szCs w:val="16"/>
        </w:rPr>
        <w:t>COM (</w:t>
      </w:r>
      <w:r w:rsidRPr="00597F7A">
        <w:rPr>
          <w:sz w:val="16"/>
          <w:szCs w:val="16"/>
        </w:rPr>
        <w:t>2025) 695 final, pp. 8–9.</w:t>
      </w:r>
    </w:p>
  </w:footnote>
  <w:footnote w:id="43">
    <w:p w14:paraId="261E5C2A" w14:textId="77777777" w:rsidR="00597F7A" w:rsidRPr="000E7BED" w:rsidRDefault="00597F7A" w:rsidP="00597F7A">
      <w:pPr>
        <w:pStyle w:val="FootnoteText"/>
        <w:rPr>
          <w:sz w:val="16"/>
          <w:szCs w:val="16"/>
        </w:rPr>
      </w:pPr>
      <w:r w:rsidRPr="00597F7A">
        <w:rPr>
          <w:rStyle w:val="FootnoteReference"/>
          <w:sz w:val="16"/>
          <w:szCs w:val="16"/>
        </w:rPr>
        <w:footnoteRef/>
      </w:r>
      <w:r w:rsidRPr="00597F7A">
        <w:rPr>
          <w:sz w:val="16"/>
          <w:szCs w:val="16"/>
        </w:rPr>
        <w:t xml:space="preserve"> ECA, Special Report 27/2024, paras 59–63</w:t>
      </w:r>
    </w:p>
  </w:footnote>
  <w:footnote w:id="44">
    <w:p w14:paraId="76FB4623" w14:textId="77777777" w:rsidR="00695E73" w:rsidRPr="000E7BED" w:rsidRDefault="00695E73" w:rsidP="00695E73">
      <w:pPr>
        <w:pStyle w:val="FootnoteText"/>
      </w:pPr>
      <w:r>
        <w:rPr>
          <w:rStyle w:val="FootnoteReference"/>
        </w:rPr>
        <w:footnoteRef/>
      </w:r>
      <w:r>
        <w:t xml:space="preserve"> </w:t>
      </w:r>
      <w:r w:rsidRPr="00695E73">
        <w:rPr>
          <w:sz w:val="16"/>
          <w:szCs w:val="16"/>
        </w:rPr>
        <w:t xml:space="preserve">European Commission, </w:t>
      </w:r>
      <w:r w:rsidRPr="00695E73">
        <w:rPr>
          <w:i/>
          <w:iCs/>
          <w:sz w:val="16"/>
          <w:szCs w:val="16"/>
        </w:rPr>
        <w:t>A new Circular Economy Action Plan: For a cleaner and more competitive Europe</w:t>
      </w:r>
      <w:r w:rsidRPr="00695E73">
        <w:rPr>
          <w:sz w:val="16"/>
          <w:szCs w:val="16"/>
        </w:rPr>
        <w:t xml:space="preserve">, COM(2020) 98 final, 11 March 2020, available at: </w:t>
      </w:r>
      <w:hyperlink r:id="rId14" w:tgtFrame="_new" w:history="1">
        <w:r w:rsidRPr="00695E73">
          <w:rPr>
            <w:rStyle w:val="Hyperlink"/>
            <w:sz w:val="16"/>
            <w:szCs w:val="16"/>
          </w:rPr>
          <w:t>Circular Economy Action Plan (COM(2020) 98)</w:t>
        </w:r>
      </w:hyperlink>
    </w:p>
  </w:footnote>
  <w:footnote w:id="45">
    <w:p w14:paraId="05794705" w14:textId="77777777" w:rsidR="00AB346E" w:rsidRPr="00EA13EC" w:rsidRDefault="00AB346E" w:rsidP="00AB346E">
      <w:pPr>
        <w:pStyle w:val="FootnoteText"/>
        <w:rPr>
          <w:sz w:val="16"/>
          <w:szCs w:val="16"/>
          <w:lang w:val="en-IE"/>
        </w:rPr>
      </w:pPr>
      <w:r w:rsidRPr="00EA13EC">
        <w:rPr>
          <w:rStyle w:val="FootnoteReference"/>
          <w:sz w:val="16"/>
          <w:szCs w:val="16"/>
        </w:rPr>
        <w:footnoteRef/>
      </w:r>
      <w:r w:rsidRPr="00EA13EC">
        <w:rPr>
          <w:sz w:val="16"/>
          <w:szCs w:val="16"/>
        </w:rPr>
        <w:t xml:space="preserve"> See SWD(2025), pp. 95–97</w:t>
      </w:r>
    </w:p>
  </w:footnote>
  <w:footnote w:id="46">
    <w:p w14:paraId="18A646D6" w14:textId="77777777" w:rsidR="00AB346E" w:rsidRPr="0004228E" w:rsidRDefault="00AB346E" w:rsidP="00AB346E">
      <w:pPr>
        <w:pStyle w:val="FootnoteText"/>
        <w:rPr>
          <w:sz w:val="16"/>
          <w:szCs w:val="16"/>
        </w:rPr>
      </w:pPr>
      <w:r w:rsidRPr="00EA13EC">
        <w:rPr>
          <w:rStyle w:val="FootnoteReference"/>
          <w:sz w:val="16"/>
          <w:szCs w:val="16"/>
        </w:rPr>
        <w:footnoteRef/>
      </w:r>
      <w:r w:rsidRPr="00EA13EC">
        <w:rPr>
          <w:sz w:val="16"/>
          <w:szCs w:val="16"/>
        </w:rPr>
        <w:t xml:space="preserve"> ECA, Special Report 03/2021, paras 57–63.</w:t>
      </w:r>
    </w:p>
  </w:footnote>
  <w:footnote w:id="47">
    <w:p w14:paraId="63CFBD5B" w14:textId="77777777" w:rsidR="00EA13EC" w:rsidRPr="0004228E" w:rsidRDefault="00EA13EC" w:rsidP="00EA13EC">
      <w:pPr>
        <w:pStyle w:val="FootnoteText"/>
        <w:rPr>
          <w:sz w:val="16"/>
          <w:szCs w:val="16"/>
        </w:rPr>
      </w:pPr>
      <w:r w:rsidRPr="0004228E">
        <w:rPr>
          <w:rStyle w:val="FootnoteReference"/>
          <w:sz w:val="16"/>
          <w:szCs w:val="16"/>
        </w:rPr>
        <w:footnoteRef/>
      </w:r>
      <w:r w:rsidRPr="0004228E">
        <w:rPr>
          <w:sz w:val="16"/>
          <w:szCs w:val="16"/>
        </w:rPr>
        <w:t xml:space="preserve"> See SWD(2025), pp. 45–49</w:t>
      </w:r>
    </w:p>
  </w:footnote>
  <w:footnote w:id="48">
    <w:p w14:paraId="33A0406C" w14:textId="77777777" w:rsidR="00EA13EC" w:rsidRPr="0004228E" w:rsidRDefault="00EA13EC" w:rsidP="00EA13EC">
      <w:pPr>
        <w:pStyle w:val="FootnoteText"/>
        <w:rPr>
          <w:lang w:val="en-IE"/>
        </w:rPr>
      </w:pPr>
      <w:r w:rsidRPr="0004228E">
        <w:rPr>
          <w:rStyle w:val="FootnoteReference"/>
          <w:sz w:val="16"/>
          <w:szCs w:val="16"/>
        </w:rPr>
        <w:footnoteRef/>
      </w:r>
      <w:r w:rsidRPr="0004228E">
        <w:rPr>
          <w:sz w:val="16"/>
          <w:szCs w:val="16"/>
        </w:rPr>
        <w:t xml:space="preserve"> ECA, Special Report 03/2021, para. VIII; see also paras 29–33, 108</w:t>
      </w:r>
    </w:p>
  </w:footnote>
  <w:footnote w:id="49">
    <w:p w14:paraId="4E94BFC3" w14:textId="77777777" w:rsidR="00EA13EC" w:rsidRPr="003D5930" w:rsidRDefault="00EA13EC" w:rsidP="00EA13EC">
      <w:pPr>
        <w:pStyle w:val="FootnoteText"/>
      </w:pPr>
      <w:r>
        <w:rPr>
          <w:rStyle w:val="FootnoteReference"/>
        </w:rPr>
        <w:footnoteRef/>
      </w:r>
      <w:r>
        <w:t xml:space="preserve"> </w:t>
      </w:r>
      <w:r w:rsidRPr="003D5930">
        <w:rPr>
          <w:sz w:val="16"/>
          <w:szCs w:val="16"/>
        </w:rPr>
        <w:t xml:space="preserve">European Commission, </w:t>
      </w:r>
      <w:r w:rsidRPr="003D5930">
        <w:rPr>
          <w:i/>
          <w:iCs/>
          <w:sz w:val="16"/>
          <w:szCs w:val="16"/>
        </w:rPr>
        <w:t>TIN on the Web (Taxpayer Identification Number)</w:t>
      </w:r>
      <w:r w:rsidRPr="003D5930">
        <w:rPr>
          <w:sz w:val="16"/>
          <w:szCs w:val="16"/>
        </w:rPr>
        <w:t xml:space="preserve">, available at: </w:t>
      </w:r>
      <w:hyperlink r:id="rId15" w:tgtFrame="_new" w:history="1">
        <w:r w:rsidRPr="003D5930">
          <w:rPr>
            <w:rStyle w:val="Hyperlink"/>
            <w:sz w:val="16"/>
            <w:szCs w:val="16"/>
          </w:rPr>
          <w:t>TIN on the Web</w:t>
        </w:r>
      </w:hyperlink>
    </w:p>
  </w:footnote>
  <w:footnote w:id="50">
    <w:p w14:paraId="3B8D6A37" w14:textId="77777777" w:rsidR="00EA13EC" w:rsidRPr="0011476C" w:rsidRDefault="00EA13EC" w:rsidP="00EA13EC">
      <w:pPr>
        <w:pStyle w:val="FootnoteText"/>
      </w:pPr>
      <w:r>
        <w:rPr>
          <w:rStyle w:val="FootnoteReference"/>
        </w:rPr>
        <w:footnoteRef/>
      </w:r>
      <w:r>
        <w:t xml:space="preserve"> </w:t>
      </w:r>
      <w:r w:rsidRPr="0004228E">
        <w:rPr>
          <w:sz w:val="16"/>
          <w:szCs w:val="16"/>
        </w:rPr>
        <w:t>ECA, Special Report 03/2021, para. VIII; see also paras 29–33, 108</w:t>
      </w:r>
    </w:p>
  </w:footnote>
  <w:footnote w:id="51">
    <w:p w14:paraId="0497E2A0" w14:textId="10395BB8" w:rsidR="009F0F43" w:rsidRPr="00257E2B" w:rsidRDefault="009F0F43" w:rsidP="009F0F43">
      <w:pPr>
        <w:pStyle w:val="FootnoteText"/>
        <w:rPr>
          <w:sz w:val="16"/>
          <w:szCs w:val="16"/>
          <w:lang w:val="en-US"/>
        </w:rPr>
      </w:pPr>
      <w:r w:rsidRPr="00257E2B">
        <w:rPr>
          <w:sz w:val="16"/>
          <w:szCs w:val="16"/>
        </w:rPr>
        <w:t>(</w:t>
      </w:r>
      <w:r w:rsidRPr="00257E2B">
        <w:rPr>
          <w:rStyle w:val="FootnoteReference"/>
          <w:sz w:val="16"/>
          <w:szCs w:val="16"/>
        </w:rPr>
        <w:footnoteRef/>
      </w:r>
      <w:r w:rsidRPr="00257E2B">
        <w:rPr>
          <w:sz w:val="16"/>
          <w:szCs w:val="16"/>
        </w:rPr>
        <w:t>) Evaluation of the Directive 2011/16 and its amendments, Final Report, 2025, Figure 5.</w:t>
      </w:r>
    </w:p>
    <w:p w14:paraId="51DDD3F7" w14:textId="77777777" w:rsidR="009F0F43" w:rsidRPr="005C34C2" w:rsidRDefault="009F0F43" w:rsidP="009F0F43">
      <w:pPr>
        <w:pStyle w:val="FootnoteText"/>
        <w:rPr>
          <w:lang w:val="en-US"/>
        </w:rPr>
      </w:pPr>
    </w:p>
  </w:footnote>
  <w:footnote w:id="52">
    <w:p w14:paraId="1B673DA1" w14:textId="77777777" w:rsidR="00890FB6" w:rsidRPr="009A6A74" w:rsidRDefault="00890FB6" w:rsidP="00890FB6">
      <w:pPr>
        <w:pStyle w:val="FootnoteText"/>
        <w:jc w:val="left"/>
        <w:rPr>
          <w:sz w:val="16"/>
          <w:szCs w:val="16"/>
          <w:lang w:val="en-IE"/>
        </w:rPr>
      </w:pPr>
      <w:r w:rsidRPr="009A6A74">
        <w:rPr>
          <w:rStyle w:val="FootnoteReference"/>
          <w:sz w:val="16"/>
          <w:szCs w:val="16"/>
        </w:rPr>
        <w:footnoteRef/>
      </w:r>
      <w:r w:rsidRPr="009A6A74">
        <w:rPr>
          <w:sz w:val="16"/>
          <w:szCs w:val="16"/>
        </w:rPr>
        <w:t xml:space="preserve"> European Commission, </w:t>
      </w:r>
      <w:r w:rsidRPr="009A6A74">
        <w:rPr>
          <w:i/>
          <w:iCs/>
          <w:sz w:val="16"/>
          <w:szCs w:val="16"/>
        </w:rPr>
        <w:t>Competitiveness Compass</w:t>
      </w:r>
      <w:r w:rsidRPr="009A6A74">
        <w:rPr>
          <w:sz w:val="16"/>
          <w:szCs w:val="16"/>
        </w:rPr>
        <w:t xml:space="preserve">, available at: </w:t>
      </w:r>
      <w:hyperlink r:id="rId16" w:tgtFrame="_new" w:history="1">
        <w:r w:rsidRPr="009A6A74">
          <w:rPr>
            <w:rStyle w:val="Hyperlink"/>
            <w:sz w:val="16"/>
            <w:szCs w:val="16"/>
          </w:rPr>
          <w:t>https://commission.europa.eu/topics/competitiveness/competitiveness-compass_en</w:t>
        </w:r>
      </w:hyperlink>
    </w:p>
  </w:footnote>
  <w:footnote w:id="53">
    <w:p w14:paraId="62B40428" w14:textId="77777777" w:rsidR="00890FB6" w:rsidRPr="009A6A74" w:rsidRDefault="00890FB6" w:rsidP="00890FB6">
      <w:pPr>
        <w:pStyle w:val="FootnoteText"/>
        <w:jc w:val="left"/>
        <w:rPr>
          <w:lang w:val="en-IE"/>
        </w:rPr>
      </w:pPr>
      <w:r w:rsidRPr="009A6A74">
        <w:rPr>
          <w:rStyle w:val="FootnoteReference"/>
          <w:sz w:val="16"/>
          <w:szCs w:val="16"/>
        </w:rPr>
        <w:footnoteRef/>
      </w:r>
      <w:r w:rsidRPr="009A6A74">
        <w:rPr>
          <w:sz w:val="16"/>
          <w:szCs w:val="16"/>
        </w:rPr>
        <w:t xml:space="preserve"> European Commission, </w:t>
      </w:r>
      <w:r w:rsidRPr="009A6A74">
        <w:rPr>
          <w:i/>
          <w:iCs/>
          <w:sz w:val="16"/>
          <w:szCs w:val="16"/>
        </w:rPr>
        <w:t>The Single Market: our European home market in an uncertain world – A Strategy for making the Single Market simple, seamless and strong</w:t>
      </w:r>
      <w:r w:rsidRPr="009A6A74">
        <w:rPr>
          <w:sz w:val="16"/>
          <w:szCs w:val="16"/>
        </w:rPr>
        <w:t xml:space="preserve">, COM(2025) 500 final, 21 May 2025, available at: </w:t>
      </w:r>
      <w:hyperlink r:id="rId17" w:tgtFrame="_new" w:history="1">
        <w:r w:rsidRPr="009A6A74">
          <w:rPr>
            <w:rStyle w:val="Hyperlink"/>
            <w:sz w:val="16"/>
            <w:szCs w:val="16"/>
          </w:rPr>
          <w:t>https://eur-lex.europa.eu/legal-content/EN/TXT/?uri=celex%3A52025DC0500</w:t>
        </w:r>
      </w:hyperlink>
    </w:p>
  </w:footnote>
  <w:footnote w:id="54">
    <w:p w14:paraId="3A63C427" w14:textId="017A47EE" w:rsidR="004A61BA" w:rsidRPr="00C220F8" w:rsidRDefault="004A61BA" w:rsidP="004A61BA">
      <w:pPr>
        <w:pStyle w:val="FootnoteText"/>
      </w:pPr>
      <w:r>
        <w:rPr>
          <w:rStyle w:val="FootnoteReference"/>
        </w:rPr>
        <w:footnoteRef/>
      </w:r>
      <w:r>
        <w:t xml:space="preserve"> </w:t>
      </w:r>
      <w:r w:rsidRPr="00C220F8">
        <w:rPr>
          <w:sz w:val="16"/>
          <w:szCs w:val="16"/>
        </w:rPr>
        <w:t xml:space="preserve">European Commission, </w:t>
      </w:r>
      <w:r w:rsidRPr="00C220F8">
        <w:rPr>
          <w:i/>
          <w:iCs/>
          <w:sz w:val="16"/>
          <w:szCs w:val="16"/>
        </w:rPr>
        <w:t>A new Circular Economy Action Plan</w:t>
      </w:r>
      <w:r w:rsidRPr="00C220F8">
        <w:rPr>
          <w:sz w:val="16"/>
          <w:szCs w:val="16"/>
        </w:rPr>
        <w:t xml:space="preserve">, </w:t>
      </w:r>
      <w:r w:rsidR="00C7262C" w:rsidRPr="00C220F8">
        <w:rPr>
          <w:sz w:val="16"/>
          <w:szCs w:val="16"/>
        </w:rPr>
        <w:t>COM (</w:t>
      </w:r>
      <w:r w:rsidRPr="00C220F8">
        <w:rPr>
          <w:sz w:val="16"/>
          <w:szCs w:val="16"/>
        </w:rPr>
        <w:t>2020) 98 final; see also ongoing work on a Circular Economy Act (2025–2026)</w:t>
      </w:r>
    </w:p>
  </w:footnote>
  <w:footnote w:id="55">
    <w:p w14:paraId="4C5216E2" w14:textId="3CA2B9B3" w:rsidR="00CB3A15" w:rsidRPr="00C80F80" w:rsidRDefault="00CB3A15">
      <w:pPr>
        <w:pStyle w:val="FootnoteText"/>
        <w:rPr>
          <w:sz w:val="16"/>
          <w:szCs w:val="16"/>
        </w:rPr>
      </w:pPr>
      <w:r w:rsidRPr="00C80F80">
        <w:rPr>
          <w:rStyle w:val="FootnoteReference"/>
          <w:sz w:val="16"/>
          <w:szCs w:val="16"/>
        </w:rPr>
        <w:footnoteRef/>
      </w:r>
      <w:r w:rsidRPr="00C80F80">
        <w:rPr>
          <w:sz w:val="16"/>
          <w:szCs w:val="16"/>
        </w:rPr>
        <w:t xml:space="preserve"> </w:t>
      </w:r>
      <w:r w:rsidR="00BC14EF">
        <w:rPr>
          <w:sz w:val="16"/>
          <w:szCs w:val="16"/>
        </w:rPr>
        <w:t>Company l</w:t>
      </w:r>
      <w:r w:rsidRPr="00C80F80">
        <w:rPr>
          <w:sz w:val="16"/>
          <w:szCs w:val="16"/>
        </w:rPr>
        <w:t>evel data from the ORBIS database indicate that approximately 4,700 multinational enterprise groups worldwide meet the relevant turnover threshold (EUR 750 million) and have a presence in the EU</w:t>
      </w:r>
      <w:r w:rsidR="001E007A" w:rsidRPr="00C80F80">
        <w:rPr>
          <w:sz w:val="16"/>
          <w:szCs w:val="16"/>
        </w:rPr>
        <w:t xml:space="preserve"> (as of 2024)</w:t>
      </w:r>
      <w:r w:rsidRPr="00C80F80">
        <w:rPr>
          <w:sz w:val="16"/>
          <w:szCs w:val="16"/>
        </w:rPr>
        <w:t>, of which around 1,900 are headquartered within the Union. Given that not all groups with a limited EU presence are equally exposed to DAC6 reporting obligations, a central estimate of 3,000 MNE groups is used as a pragmatic midpoint within this range (see Annex 4 for more details).</w:t>
      </w:r>
    </w:p>
  </w:footnote>
  <w:footnote w:id="56">
    <w:p w14:paraId="68CC1793" w14:textId="37CCEF5C" w:rsidR="00CC088D" w:rsidRPr="00CC088D" w:rsidRDefault="00CC088D">
      <w:pPr>
        <w:pStyle w:val="FootnoteText"/>
      </w:pPr>
      <w:r>
        <w:rPr>
          <w:rStyle w:val="FootnoteReference"/>
        </w:rPr>
        <w:footnoteRef/>
      </w:r>
      <w:r>
        <w:t xml:space="preserve"> </w:t>
      </w:r>
      <w:r w:rsidRPr="0013048E">
        <w:rPr>
          <w:sz w:val="16"/>
          <w:szCs w:val="16"/>
        </w:rPr>
        <w:t>Study prepared for the European Commission to support an evaluation of the Anti-tax Avoidance Directive (ATAD Evaluation), Final Report (2026).</w:t>
      </w:r>
      <w:r w:rsidR="00904256">
        <w:rPr>
          <w:sz w:val="16"/>
          <w:szCs w:val="16"/>
        </w:rPr>
        <w:t xml:space="preserve"> E</w:t>
      </w:r>
      <w:r w:rsidR="00904256" w:rsidRPr="00904256">
        <w:rPr>
          <w:sz w:val="16"/>
          <w:szCs w:val="16"/>
        </w:rPr>
        <w:t>stimates cited in the ATAD evaluation are based on targeted consultations with companies, which indicate that compliance costs vary significantly depending on the size and complexity of the firm. While some MNEs report relatively modest compliance efforts (e.g. below 1 FTE where rules are not binding), costs for large and complex groups are typically higher and often in the range of around EUR 100,000 per year, corresponding to approximately 2–3 FTEs. At the same time, the evaluation acknowledges considerable uncertainty, with some firms reporting even higher costs in specific cases (e.g. related to exit taxation or high reliance on external advisors).</w:t>
      </w:r>
      <w:r w:rsidR="00E84A61">
        <w:rPr>
          <w:sz w:val="16"/>
          <w:szCs w:val="16"/>
        </w:rPr>
        <w:t xml:space="preserve"> </w:t>
      </w:r>
      <w:r w:rsidR="00E84A61" w:rsidRPr="00E84A61">
        <w:rPr>
          <w:sz w:val="16"/>
          <w:szCs w:val="16"/>
        </w:rPr>
        <w:t xml:space="preserve">To reflect this uncertainty, we </w:t>
      </w:r>
      <w:r w:rsidR="00E84A61">
        <w:rPr>
          <w:sz w:val="16"/>
          <w:szCs w:val="16"/>
        </w:rPr>
        <w:t>have</w:t>
      </w:r>
      <w:r w:rsidR="00E84A61" w:rsidRPr="00E84A61">
        <w:rPr>
          <w:sz w:val="16"/>
          <w:szCs w:val="16"/>
        </w:rPr>
        <w:t xml:space="preserve"> complement</w:t>
      </w:r>
      <w:r w:rsidR="00AD065A">
        <w:rPr>
          <w:sz w:val="16"/>
          <w:szCs w:val="16"/>
        </w:rPr>
        <w:t>ed</w:t>
      </w:r>
      <w:r w:rsidR="00E84A61" w:rsidRPr="00E84A61">
        <w:rPr>
          <w:sz w:val="16"/>
          <w:szCs w:val="16"/>
        </w:rPr>
        <w:t xml:space="preserve"> the central estimate with </w:t>
      </w:r>
      <w:r w:rsidR="00AD065A">
        <w:rPr>
          <w:sz w:val="16"/>
          <w:szCs w:val="16"/>
        </w:rPr>
        <w:t xml:space="preserve">a </w:t>
      </w:r>
      <w:r w:rsidR="00E84A61" w:rsidRPr="00E84A61">
        <w:rPr>
          <w:sz w:val="16"/>
          <w:szCs w:val="16"/>
        </w:rPr>
        <w:t>sensitivity analysis, including alternative low and high</w:t>
      </w:r>
      <w:r w:rsidR="00AD065A">
        <w:rPr>
          <w:sz w:val="16"/>
          <w:szCs w:val="16"/>
        </w:rPr>
        <w:t>-</w:t>
      </w:r>
      <w:r w:rsidR="00E84A61" w:rsidRPr="00E84A61">
        <w:rPr>
          <w:sz w:val="16"/>
          <w:szCs w:val="16"/>
        </w:rPr>
        <w:t>cost scenarios (EUR 75,000 and EUR 125,000 per year)</w:t>
      </w:r>
      <w:r w:rsidR="00760D82">
        <w:rPr>
          <w:sz w:val="16"/>
          <w:szCs w:val="16"/>
        </w:rPr>
        <w:t xml:space="preserve"> in </w:t>
      </w:r>
      <w:r w:rsidR="003D18F5">
        <w:rPr>
          <w:sz w:val="16"/>
          <w:szCs w:val="16"/>
        </w:rPr>
        <w:t>Annex 4</w:t>
      </w:r>
      <w:r w:rsidR="00E84A61" w:rsidRPr="00E84A61">
        <w:rPr>
          <w:sz w:val="16"/>
          <w:szCs w:val="16"/>
        </w:rPr>
        <w:t>.</w:t>
      </w:r>
    </w:p>
  </w:footnote>
  <w:footnote w:id="57">
    <w:p w14:paraId="2916D211" w14:textId="1BC4D00C" w:rsidR="00C94A9E" w:rsidRPr="0013048E" w:rsidRDefault="00C94A9E" w:rsidP="00073D8B">
      <w:pPr>
        <w:pStyle w:val="FootnoteText"/>
        <w:rPr>
          <w:lang w:val="en-US"/>
        </w:rPr>
      </w:pPr>
      <w:r w:rsidRPr="0013048E">
        <w:rPr>
          <w:rStyle w:val="FootnoteReference"/>
          <w:sz w:val="16"/>
          <w:szCs w:val="16"/>
        </w:rPr>
        <w:footnoteRef/>
      </w:r>
      <w:r w:rsidRPr="0013048E">
        <w:rPr>
          <w:sz w:val="16"/>
          <w:szCs w:val="16"/>
        </w:rPr>
        <w:t xml:space="preserve"> </w:t>
      </w:r>
      <w:r w:rsidRPr="0013048E">
        <w:rPr>
          <w:sz w:val="16"/>
          <w:szCs w:val="16"/>
          <w:lang w:val="en-US"/>
        </w:rPr>
        <w:t xml:space="preserve">See in particular </w:t>
      </w:r>
      <w:r w:rsidR="00073D8B">
        <w:rPr>
          <w:sz w:val="16"/>
          <w:szCs w:val="16"/>
          <w:lang w:val="en-US"/>
        </w:rPr>
        <w:t>chapter 3.6 of the impact assessment</w:t>
      </w:r>
      <w:r w:rsidR="006C24EB">
        <w:rPr>
          <w:sz w:val="16"/>
          <w:szCs w:val="16"/>
          <w:lang w:val="en-US"/>
        </w:rPr>
        <w:t xml:space="preserve"> on the expected impact on profit shifting, which has been singled out as the most </w:t>
      </w:r>
      <w:r w:rsidR="00DB0474">
        <w:rPr>
          <w:sz w:val="16"/>
          <w:szCs w:val="16"/>
          <w:lang w:val="en-US"/>
        </w:rPr>
        <w:t>substantive risk</w:t>
      </w:r>
      <w:r w:rsidR="00073D8B">
        <w:rPr>
          <w:sz w:val="16"/>
          <w:szCs w:val="16"/>
          <w:lang w:val="en-US"/>
        </w:rPr>
        <w:t xml:space="preserve">: </w:t>
      </w:r>
      <w:r w:rsidR="00073D8B" w:rsidRPr="00073D8B">
        <w:rPr>
          <w:sz w:val="16"/>
          <w:szCs w:val="16"/>
          <w:lang w:val="en-US"/>
        </w:rPr>
        <w:t xml:space="preserve">OECD (2020), Tax Challenges Arising from Digitalisation – Economic Impact Assessment: Inclusive Framework on BEPS, OECD/G20 Base Erosion and Profit Shifting Project, OECD Publishing, Paris, </w:t>
      </w:r>
      <w:hyperlink r:id="rId18" w:history="1">
        <w:r w:rsidR="00362CBC" w:rsidRPr="00676C59">
          <w:rPr>
            <w:rStyle w:val="Hyperlink"/>
            <w:sz w:val="16"/>
            <w:szCs w:val="16"/>
            <w:lang w:val="en-US"/>
          </w:rPr>
          <w:t>https://doi.org/10.1787/0e3cc2d4-en</w:t>
        </w:r>
      </w:hyperlink>
      <w:r w:rsidR="00073D8B" w:rsidRPr="00073D8B">
        <w:rPr>
          <w:sz w:val="16"/>
          <w:szCs w:val="16"/>
          <w:lang w:val="en-US"/>
        </w:rPr>
        <w:t>.</w:t>
      </w:r>
      <w:r w:rsidR="00362CBC">
        <w:rPr>
          <w:sz w:val="16"/>
          <w:szCs w:val="16"/>
          <w:lang w:val="en-US"/>
        </w:rPr>
        <w:t xml:space="preserve"> </w:t>
      </w:r>
    </w:p>
  </w:footnote>
  <w:footnote w:id="58">
    <w:p w14:paraId="005D47D2" w14:textId="47D9151E" w:rsidR="0071156C" w:rsidRPr="00C80F80" w:rsidRDefault="0071156C" w:rsidP="00E83353">
      <w:pPr>
        <w:spacing w:before="240"/>
        <w:rPr>
          <w:sz w:val="16"/>
          <w:szCs w:val="16"/>
        </w:rPr>
      </w:pPr>
      <w:r w:rsidRPr="00C80F80">
        <w:rPr>
          <w:rStyle w:val="FootnoteReference"/>
          <w:sz w:val="16"/>
          <w:szCs w:val="16"/>
        </w:rPr>
        <w:footnoteRef/>
      </w:r>
      <w:r w:rsidRPr="00C80F80">
        <w:rPr>
          <w:sz w:val="16"/>
          <w:szCs w:val="16"/>
        </w:rPr>
        <w:t xml:space="preserve"> </w:t>
      </w:r>
      <w:r w:rsidRPr="00C80F80">
        <w:rPr>
          <w:rFonts w:eastAsia="Times New Roman"/>
          <w:sz w:val="16"/>
          <w:szCs w:val="16"/>
        </w:rPr>
        <w:t xml:space="preserve">Over the period 2019–2025, the hallmarks linked to category accounted for a significant share of </w:t>
      </w:r>
      <w:r w:rsidR="00260F48" w:rsidRPr="00C80F80">
        <w:rPr>
          <w:rFonts w:eastAsia="Times New Roman"/>
          <w:sz w:val="16"/>
          <w:szCs w:val="16"/>
        </w:rPr>
        <w:t xml:space="preserve">all </w:t>
      </w:r>
      <w:r w:rsidRPr="00C80F80">
        <w:rPr>
          <w:rFonts w:eastAsia="Times New Roman"/>
          <w:sz w:val="16"/>
          <w:szCs w:val="16"/>
        </w:rPr>
        <w:t xml:space="preserve">disclosures (namely, A1: 24.3%, A2: 0.8%, A3: </w:t>
      </w:r>
      <w:r w:rsidR="00575929" w:rsidRPr="00C80F80">
        <w:rPr>
          <w:rFonts w:eastAsia="Times New Roman"/>
          <w:sz w:val="16"/>
          <w:szCs w:val="16"/>
        </w:rPr>
        <w:t>42</w:t>
      </w:r>
      <w:r w:rsidRPr="00C80F80">
        <w:rPr>
          <w:rFonts w:eastAsia="Times New Roman"/>
          <w:sz w:val="16"/>
          <w:szCs w:val="16"/>
        </w:rPr>
        <w:t>.</w:t>
      </w:r>
      <w:r w:rsidR="00575929" w:rsidRPr="00C80F80">
        <w:rPr>
          <w:rFonts w:eastAsia="Times New Roman"/>
          <w:sz w:val="16"/>
          <w:szCs w:val="16"/>
        </w:rPr>
        <w:t>6</w:t>
      </w:r>
      <w:r w:rsidRPr="00C80F80">
        <w:rPr>
          <w:rFonts w:eastAsia="Times New Roman"/>
          <w:sz w:val="16"/>
          <w:szCs w:val="16"/>
        </w:rPr>
        <w:t xml:space="preserve">%). </w:t>
      </w:r>
      <w:r w:rsidR="000702E2" w:rsidRPr="00C80F80">
        <w:rPr>
          <w:rFonts w:eastAsia="Times New Roman"/>
          <w:sz w:val="16"/>
          <w:szCs w:val="16"/>
        </w:rPr>
        <w:t>They account for approximately 9,000 disclosures annually in absolute terms. Combined with information from Member States indicating that around 92% of all disclosures are filed by companies outside the scope of Pillar Two, the final number of relevant disclosures is estimated at approximately 8,300 per year. See Annex 4 for further details.</w:t>
      </w:r>
    </w:p>
  </w:footnote>
  <w:footnote w:id="59">
    <w:p w14:paraId="5C7B1D8B" w14:textId="0519BE6E" w:rsidR="00575328" w:rsidRPr="0013048E" w:rsidRDefault="00575328" w:rsidP="00575328">
      <w:pPr>
        <w:pStyle w:val="FootnoteText"/>
        <w:rPr>
          <w:sz w:val="16"/>
          <w:szCs w:val="16"/>
          <w:lang w:val="en-US"/>
        </w:rPr>
      </w:pPr>
      <w:r w:rsidRPr="0013048E">
        <w:rPr>
          <w:sz w:val="16"/>
          <w:szCs w:val="16"/>
        </w:rPr>
        <w:t>(</w:t>
      </w:r>
      <w:r w:rsidRPr="0013048E">
        <w:rPr>
          <w:rStyle w:val="FootnoteReference"/>
          <w:sz w:val="16"/>
          <w:szCs w:val="16"/>
        </w:rPr>
        <w:footnoteRef/>
      </w:r>
      <w:r w:rsidRPr="0013048E">
        <w:rPr>
          <w:sz w:val="16"/>
          <w:szCs w:val="16"/>
        </w:rPr>
        <w:t>)</w:t>
      </w:r>
      <w:r w:rsidR="00B14CE4" w:rsidRPr="0013048E">
        <w:rPr>
          <w:sz w:val="16"/>
          <w:szCs w:val="16"/>
        </w:rPr>
        <w:t xml:space="preserve"> </w:t>
      </w:r>
      <w:r w:rsidR="0044617B">
        <w:rPr>
          <w:sz w:val="16"/>
          <w:szCs w:val="16"/>
        </w:rPr>
        <w:t>See external support study</w:t>
      </w:r>
      <w:r w:rsidR="00292D7D">
        <w:rPr>
          <w:sz w:val="16"/>
          <w:szCs w:val="16"/>
        </w:rPr>
        <w:t xml:space="preserve"> by Ramboll “</w:t>
      </w:r>
      <w:r w:rsidRPr="0013048E">
        <w:rPr>
          <w:sz w:val="16"/>
          <w:szCs w:val="16"/>
        </w:rPr>
        <w:t>Evaluation of the Directive 2011/16 and its amendments</w:t>
      </w:r>
      <w:r w:rsidR="00292D7D">
        <w:rPr>
          <w:sz w:val="16"/>
          <w:szCs w:val="16"/>
        </w:rPr>
        <w:t>”</w:t>
      </w:r>
      <w:r w:rsidRPr="0013048E">
        <w:rPr>
          <w:sz w:val="16"/>
          <w:szCs w:val="16"/>
        </w:rPr>
        <w:t>, 2024, Table 30.</w:t>
      </w:r>
    </w:p>
    <w:p w14:paraId="7A293708" w14:textId="77777777" w:rsidR="00575328" w:rsidRPr="00DC152F" w:rsidRDefault="00575328" w:rsidP="00575328">
      <w:pPr>
        <w:pStyle w:val="FootnoteText"/>
        <w:rPr>
          <w:lang w:val="en-US"/>
        </w:rPr>
      </w:pPr>
    </w:p>
  </w:footnote>
  <w:footnote w:id="60">
    <w:p w14:paraId="5B2ED208" w14:textId="5F21E7E7" w:rsidR="00B1218D" w:rsidRPr="009D5CF2" w:rsidRDefault="00B1218D">
      <w:pPr>
        <w:pStyle w:val="FootnoteText"/>
        <w:rPr>
          <w:sz w:val="16"/>
          <w:szCs w:val="16"/>
        </w:rPr>
      </w:pPr>
      <w:r w:rsidRPr="009D5CF2">
        <w:rPr>
          <w:rStyle w:val="FootnoteReference"/>
          <w:sz w:val="16"/>
          <w:szCs w:val="16"/>
        </w:rPr>
        <w:footnoteRef/>
      </w:r>
      <w:r w:rsidRPr="009D5CF2">
        <w:rPr>
          <w:sz w:val="16"/>
          <w:szCs w:val="16"/>
        </w:rPr>
        <w:t xml:space="preserve"> DAC6 disclosures occasionally refer to more than one hallmark for the same arrangement. As a result, the removal of specific hallmarks does not necessarily imply that all corresponding disclosures would disappear entirely, as some arrangements may remain reportable under other applicable hallmarks (see Annex 4 for a discussion of this aspect).</w:t>
      </w:r>
    </w:p>
  </w:footnote>
  <w:footnote w:id="61">
    <w:p w14:paraId="304926ED" w14:textId="44127B6A" w:rsidR="00EA4B18" w:rsidRPr="001323C5" w:rsidRDefault="005A7442">
      <w:pPr>
        <w:pStyle w:val="FootnoteText"/>
        <w:rPr>
          <w:sz w:val="16"/>
          <w:szCs w:val="16"/>
        </w:rPr>
      </w:pPr>
      <w:r w:rsidRPr="001323C5">
        <w:rPr>
          <w:sz w:val="16"/>
          <w:szCs w:val="16"/>
        </w:rPr>
        <w:t>(</w:t>
      </w:r>
      <w:r w:rsidR="00EA4B18" w:rsidRPr="001323C5">
        <w:rPr>
          <w:rStyle w:val="FootnoteReference"/>
          <w:sz w:val="16"/>
          <w:szCs w:val="16"/>
        </w:rPr>
        <w:footnoteRef/>
      </w:r>
      <w:r w:rsidRPr="001323C5">
        <w:rPr>
          <w:sz w:val="16"/>
          <w:szCs w:val="16"/>
        </w:rPr>
        <w:t xml:space="preserve">) This is further corroborated by evidence collected through the call for evidence, where approximately three quarters of responding platform operators indicated that DAC7 constituted the only DAC-related reporting obligation they had filed during the previous year. </w:t>
      </w:r>
      <w:r w:rsidR="00F6215B">
        <w:rPr>
          <w:sz w:val="16"/>
          <w:szCs w:val="16"/>
        </w:rPr>
        <w:t>O</w:t>
      </w:r>
      <w:r w:rsidRPr="001323C5">
        <w:rPr>
          <w:sz w:val="16"/>
          <w:szCs w:val="16"/>
        </w:rPr>
        <w:t>ne quarter of respondents reported that they were also subject to DAC4 and/or DAC6 reporting obligations, suggesting that DAC7 represents the primary DAC-related compliance burden for the large majority of platform operators.</w:t>
      </w:r>
    </w:p>
  </w:footnote>
  <w:footnote w:id="62">
    <w:p w14:paraId="26944B32" w14:textId="5AF26C00" w:rsidR="00083B15" w:rsidRPr="001323C5" w:rsidRDefault="00083B15">
      <w:pPr>
        <w:pStyle w:val="FootnoteText"/>
        <w:rPr>
          <w:sz w:val="16"/>
          <w:szCs w:val="16"/>
        </w:rPr>
      </w:pPr>
      <w:r w:rsidRPr="001323C5">
        <w:rPr>
          <w:rStyle w:val="FootnoteReference"/>
          <w:sz w:val="16"/>
          <w:szCs w:val="16"/>
        </w:rPr>
        <w:footnoteRef/>
      </w:r>
      <w:r w:rsidRPr="001323C5">
        <w:rPr>
          <w:sz w:val="16"/>
          <w:szCs w:val="16"/>
        </w:rPr>
        <w:t xml:space="preserve"> </w:t>
      </w:r>
      <w:r w:rsidR="00FC2A26" w:rsidRPr="001323C5">
        <w:rPr>
          <w:sz w:val="16"/>
          <w:szCs w:val="16"/>
        </w:rPr>
        <w:t xml:space="preserve">The precise share of total reporting system costs attributable specifically to DAC7 cannot be observed directly and is therefore subject to uncertainty. The 30% assumption is based on stakeholder feedback and the operational characteristics of reporting systems used by platform operators. To account for this uncertainty, the </w:t>
      </w:r>
      <w:r w:rsidR="00246B63">
        <w:rPr>
          <w:sz w:val="16"/>
          <w:szCs w:val="16"/>
        </w:rPr>
        <w:t>assessment</w:t>
      </w:r>
      <w:r w:rsidR="00FC2A26" w:rsidRPr="001323C5">
        <w:rPr>
          <w:sz w:val="16"/>
          <w:szCs w:val="16"/>
        </w:rPr>
        <w:t xml:space="preserve"> includes robustness checks </w:t>
      </w:r>
      <w:r w:rsidR="008F58F5">
        <w:rPr>
          <w:sz w:val="16"/>
          <w:szCs w:val="16"/>
        </w:rPr>
        <w:t xml:space="preserve">further below </w:t>
      </w:r>
      <w:r w:rsidR="00246B63">
        <w:rPr>
          <w:sz w:val="16"/>
          <w:szCs w:val="16"/>
        </w:rPr>
        <w:t xml:space="preserve">and in Annex 4 </w:t>
      </w:r>
      <w:r w:rsidR="00FC2A26" w:rsidRPr="001323C5">
        <w:rPr>
          <w:sz w:val="16"/>
          <w:szCs w:val="16"/>
        </w:rPr>
        <w:t>using alternative parameter values in order to assess the sensitivity of the estimated compliance costs and cost savings to different assumptions.</w:t>
      </w:r>
    </w:p>
  </w:footnote>
  <w:footnote w:id="63">
    <w:p w14:paraId="5F0F0624" w14:textId="654D5040" w:rsidR="00F261F6" w:rsidRPr="009D5CF2" w:rsidRDefault="00F261F6" w:rsidP="00F261F6">
      <w:pPr>
        <w:pStyle w:val="FootnoteText"/>
        <w:rPr>
          <w:sz w:val="16"/>
          <w:szCs w:val="16"/>
        </w:rPr>
      </w:pPr>
      <w:r w:rsidRPr="009D5CF2">
        <w:rPr>
          <w:rStyle w:val="FootnoteReference"/>
          <w:sz w:val="16"/>
          <w:szCs w:val="16"/>
        </w:rPr>
        <w:footnoteRef/>
      </w:r>
      <w:r w:rsidRPr="009D5CF2">
        <w:rPr>
          <w:sz w:val="16"/>
          <w:szCs w:val="16"/>
        </w:rPr>
        <w:t xml:space="preserve"> </w:t>
      </w:r>
      <w:r w:rsidR="002D0147" w:rsidRPr="009D5CF2">
        <w:rPr>
          <w:sz w:val="16"/>
          <w:szCs w:val="16"/>
        </w:rPr>
        <w:t>This estimate is based on survey evidence from Sweden on the share of individuals engaging in platform-based selling and the proportion of reportable sellers. The figures are extrapolated to the EU level by adjusting for differences in internet usage across Member States and applying these shares to national population data. See Annex 4 for further details on the methodology and underlying assumptions.</w:t>
      </w:r>
    </w:p>
  </w:footnote>
  <w:footnote w:id="64">
    <w:p w14:paraId="631D736E" w14:textId="4C6E7EA3" w:rsidR="000C0B5F" w:rsidRPr="00EB7AEE" w:rsidRDefault="000C0B5F" w:rsidP="001448C3">
      <w:pPr>
        <w:pStyle w:val="FootnoteText"/>
        <w:rPr>
          <w:lang w:val="fr-BE"/>
        </w:rPr>
      </w:pPr>
      <w:r w:rsidRPr="009D5CF2">
        <w:rPr>
          <w:rStyle w:val="FootnoteReference"/>
          <w:sz w:val="16"/>
          <w:szCs w:val="16"/>
        </w:rPr>
        <w:footnoteRef/>
      </w:r>
      <w:r w:rsidRPr="009D5CF2">
        <w:rPr>
          <w:sz w:val="16"/>
          <w:szCs w:val="16"/>
          <w:lang w:val="fr-BE"/>
        </w:rPr>
        <w:t xml:space="preserve"> </w:t>
      </w:r>
      <w:r w:rsidR="007F32E6" w:rsidRPr="009D5CF2">
        <w:rPr>
          <w:sz w:val="16"/>
          <w:szCs w:val="16"/>
          <w:lang w:val="fr-BE"/>
        </w:rPr>
        <w:t>Statistique publique de la fiscali</w:t>
      </w:r>
      <w:r w:rsidR="00514395" w:rsidRPr="009D5CF2">
        <w:rPr>
          <w:sz w:val="16"/>
          <w:szCs w:val="16"/>
          <w:lang w:val="fr-BE"/>
        </w:rPr>
        <w:t>t</w:t>
      </w:r>
      <w:r w:rsidR="004C0F39" w:rsidRPr="009D5CF2">
        <w:rPr>
          <w:sz w:val="16"/>
          <w:szCs w:val="16"/>
          <w:lang w:val="fr-BE"/>
        </w:rPr>
        <w:t>é, “</w:t>
      </w:r>
      <w:r w:rsidR="001448C3" w:rsidRPr="009D5CF2">
        <w:rPr>
          <w:sz w:val="16"/>
          <w:szCs w:val="16"/>
          <w:lang w:val="fr-BE"/>
        </w:rPr>
        <w:t>Près de 40 Md€ de ventes sur les plateformes en 2022 : une diversité de profils de vendeurs</w:t>
      </w:r>
      <w:r w:rsidR="004C0F39" w:rsidRPr="009D5CF2">
        <w:rPr>
          <w:sz w:val="16"/>
          <w:szCs w:val="16"/>
          <w:lang w:val="fr-BE"/>
        </w:rPr>
        <w:t>”</w:t>
      </w:r>
      <w:r w:rsidR="0003538E" w:rsidRPr="009D5CF2">
        <w:rPr>
          <w:sz w:val="16"/>
          <w:szCs w:val="16"/>
          <w:lang w:val="fr-BE"/>
        </w:rPr>
        <w:t>, DGFIP Analyses N° 09.</w:t>
      </w:r>
    </w:p>
  </w:footnote>
  <w:footnote w:id="65">
    <w:p w14:paraId="5ED7963D" w14:textId="12934DC7" w:rsidR="00650C4C" w:rsidRPr="001323C5" w:rsidRDefault="00650C4C">
      <w:pPr>
        <w:pStyle w:val="FootnoteText"/>
        <w:rPr>
          <w:sz w:val="16"/>
          <w:szCs w:val="16"/>
        </w:rPr>
      </w:pPr>
      <w:r w:rsidRPr="001323C5">
        <w:rPr>
          <w:rStyle w:val="FootnoteReference"/>
          <w:sz w:val="16"/>
          <w:szCs w:val="16"/>
        </w:rPr>
        <w:footnoteRef/>
      </w:r>
      <w:r w:rsidRPr="001323C5">
        <w:rPr>
          <w:sz w:val="16"/>
          <w:szCs w:val="16"/>
        </w:rPr>
        <w:t xml:space="preserve"> </w:t>
      </w:r>
      <w:r w:rsidR="00DA6CB1" w:rsidRPr="001323C5">
        <w:rPr>
          <w:sz w:val="16"/>
          <w:szCs w:val="16"/>
        </w:rPr>
        <w:t>The estimate is based on evidence collected through stakeholder engagement, in particular input from major platform operators in the EU. These platforms provided detailed simulations on the distribution of sellers across different reporting thresholds, including the share of sellers reportable solely due to the activity threshold.</w:t>
      </w:r>
    </w:p>
  </w:footnote>
  <w:footnote w:id="66">
    <w:p w14:paraId="3B15C6A6" w14:textId="0955D6BE" w:rsidR="000C4DBA" w:rsidRPr="001323C5" w:rsidRDefault="000C4DBA">
      <w:pPr>
        <w:pStyle w:val="FootnoteText"/>
        <w:rPr>
          <w:sz w:val="16"/>
          <w:szCs w:val="16"/>
        </w:rPr>
      </w:pPr>
      <w:r w:rsidRPr="001323C5">
        <w:rPr>
          <w:rStyle w:val="FootnoteReference"/>
          <w:sz w:val="16"/>
          <w:szCs w:val="16"/>
        </w:rPr>
        <w:footnoteRef/>
      </w:r>
      <w:r w:rsidRPr="001323C5">
        <w:rPr>
          <w:sz w:val="16"/>
          <w:szCs w:val="16"/>
        </w:rPr>
        <w:t xml:space="preserve"> This is based on information obtained through stakeholder consultations, in particular from major platform operators in the EU. These operators provided detailed simulations on the distribution of sellers across different thresholds and the corresponding number of sellers that would fall out of scope under alternative policy scenarios. This evidence was used to calibrate the estimates</w:t>
      </w:r>
      <w:r w:rsidR="005D18C2" w:rsidRPr="001323C5">
        <w:rPr>
          <w:sz w:val="16"/>
          <w:szCs w:val="16"/>
        </w:rPr>
        <w:t>.</w:t>
      </w:r>
    </w:p>
  </w:footnote>
  <w:footnote w:id="67">
    <w:p w14:paraId="22B10881" w14:textId="488C8B69" w:rsidR="00C24EDF" w:rsidRPr="003D49B2" w:rsidRDefault="00C24EDF">
      <w:pPr>
        <w:pStyle w:val="FootnoteText"/>
        <w:rPr>
          <w:sz w:val="16"/>
          <w:szCs w:val="16"/>
          <w:lang w:val="en-IE"/>
        </w:rPr>
      </w:pPr>
      <w:r w:rsidRPr="003D49B2">
        <w:rPr>
          <w:rStyle w:val="FootnoteReference"/>
          <w:sz w:val="16"/>
          <w:szCs w:val="16"/>
        </w:rPr>
        <w:footnoteRef/>
      </w:r>
      <w:r w:rsidRPr="003D49B2">
        <w:rPr>
          <w:sz w:val="16"/>
          <w:szCs w:val="16"/>
        </w:rPr>
        <w:t xml:space="preserve"> </w:t>
      </w:r>
      <w:r w:rsidR="00435391" w:rsidRPr="003D49B2">
        <w:rPr>
          <w:rFonts w:eastAsia="Times New Roman"/>
          <w:sz w:val="16"/>
          <w:szCs w:val="16"/>
          <w:lang w:val="en-IE"/>
        </w:rPr>
        <w:t>A</w:t>
      </w:r>
      <w:r w:rsidRPr="003D49B2">
        <w:rPr>
          <w:rFonts w:eastAsia="Times New Roman"/>
          <w:sz w:val="16"/>
          <w:szCs w:val="16"/>
          <w:lang w:val="en-IE"/>
        </w:rPr>
        <w:t xml:space="preserve">pplying average EU labour </w:t>
      </w:r>
      <w:r w:rsidR="003D49B2" w:rsidRPr="003D49B2">
        <w:rPr>
          <w:rFonts w:eastAsia="Times New Roman"/>
          <w:sz w:val="16"/>
          <w:szCs w:val="16"/>
          <w:lang w:val="en-IE"/>
        </w:rPr>
        <w:t>costs for</w:t>
      </w:r>
      <w:r w:rsidR="0012674F" w:rsidRPr="003D49B2">
        <w:rPr>
          <w:rFonts w:eastAsia="Times New Roman"/>
          <w:sz w:val="16"/>
          <w:szCs w:val="16"/>
          <w:lang w:val="en-IE"/>
        </w:rPr>
        <w:t xml:space="preserve"> the sector “Accounting, bookkeeping and auditing activities; tax consultancy”</w:t>
      </w:r>
      <w:r w:rsidR="00944BBB" w:rsidRPr="003D49B2">
        <w:rPr>
          <w:rFonts w:eastAsia="Times New Roman"/>
          <w:sz w:val="16"/>
          <w:szCs w:val="16"/>
          <w:lang w:val="en-IE"/>
        </w:rPr>
        <w:t xml:space="preserve">, </w:t>
      </w:r>
      <w:r w:rsidR="00E87DE2" w:rsidRPr="003D49B2">
        <w:rPr>
          <w:rFonts w:eastAsia="Times New Roman"/>
          <w:sz w:val="16"/>
          <w:szCs w:val="16"/>
          <w:lang w:val="en-IE"/>
        </w:rPr>
        <w:t>the cost per notification is estimated at EUR 1,</w:t>
      </w:r>
      <w:r w:rsidR="00944BBB" w:rsidRPr="003D49B2">
        <w:rPr>
          <w:rFonts w:eastAsia="Times New Roman"/>
          <w:sz w:val="16"/>
          <w:szCs w:val="16"/>
          <w:lang w:val="en-IE"/>
        </w:rPr>
        <w:t>270 per entity</w:t>
      </w:r>
      <w:r w:rsidR="00E87DE2" w:rsidRPr="003D49B2">
        <w:rPr>
          <w:rFonts w:eastAsia="Times New Roman"/>
          <w:sz w:val="16"/>
          <w:szCs w:val="16"/>
          <w:lang w:val="en-IE"/>
        </w:rPr>
        <w:t>.</w:t>
      </w:r>
    </w:p>
  </w:footnote>
  <w:footnote w:id="68">
    <w:p w14:paraId="58490CD9" w14:textId="70F17010" w:rsidR="004A7F7D" w:rsidRPr="00F12CB6" w:rsidRDefault="004A7F7D">
      <w:pPr>
        <w:pStyle w:val="FootnoteText"/>
        <w:rPr>
          <w:sz w:val="16"/>
          <w:szCs w:val="16"/>
        </w:rPr>
      </w:pPr>
      <w:r w:rsidRPr="00F12CB6">
        <w:rPr>
          <w:rStyle w:val="FootnoteReference"/>
          <w:sz w:val="16"/>
          <w:szCs w:val="16"/>
        </w:rPr>
        <w:footnoteRef/>
      </w:r>
      <w:r w:rsidRPr="00F12CB6">
        <w:rPr>
          <w:sz w:val="16"/>
          <w:szCs w:val="16"/>
        </w:rPr>
        <w:t xml:space="preserve"> These estimates are based on cost benchmarks from comparable EU-level IT systems developed under the DAC and VAT frameworks. They draw in particular on experience with the development of common specifications, validation tools and training activities under programmes such as Fiscalis, as well as on the operational costs of existing central systems (e.g. </w:t>
      </w:r>
      <w:r w:rsidR="00A05B8A" w:rsidRPr="00F12CB6">
        <w:rPr>
          <w:sz w:val="16"/>
          <w:szCs w:val="16"/>
        </w:rPr>
        <w:t xml:space="preserve">the Excise Movement and Control System (EMCS), </w:t>
      </w:r>
      <w:r w:rsidR="00B16D88" w:rsidRPr="00F12CB6">
        <w:rPr>
          <w:sz w:val="16"/>
          <w:szCs w:val="16"/>
        </w:rPr>
        <w:t>the VAT Information Exchange System (</w:t>
      </w:r>
      <w:r w:rsidRPr="00F12CB6">
        <w:rPr>
          <w:sz w:val="16"/>
          <w:szCs w:val="16"/>
        </w:rPr>
        <w:t>VIES</w:t>
      </w:r>
      <w:r w:rsidR="00B16D88" w:rsidRPr="00F12CB6">
        <w:rPr>
          <w:sz w:val="16"/>
          <w:szCs w:val="16"/>
        </w:rPr>
        <w:t>)</w:t>
      </w:r>
      <w:r w:rsidRPr="00F12CB6">
        <w:rPr>
          <w:sz w:val="16"/>
          <w:szCs w:val="16"/>
        </w:rPr>
        <w:t xml:space="preserve"> and DAC-related infrastructures). The figures should be understood as indicative and limited to the central EU component, excluding national implementation costs</w:t>
      </w:r>
      <w:r w:rsidR="003B319F" w:rsidRPr="00F12CB6">
        <w:rPr>
          <w:sz w:val="16"/>
          <w:szCs w:val="16"/>
        </w:rPr>
        <w:t xml:space="preserve"> (see Annex 4 for details)</w:t>
      </w:r>
      <w:r w:rsidRPr="00F12CB6">
        <w:rPr>
          <w:sz w:val="16"/>
          <w:szCs w:val="16"/>
        </w:rPr>
        <w:t>.</w:t>
      </w:r>
    </w:p>
  </w:footnote>
  <w:footnote w:id="69">
    <w:p w14:paraId="328C64BA" w14:textId="5F800406" w:rsidR="00045CA9" w:rsidRPr="00DD74A0" w:rsidRDefault="00045CA9">
      <w:pPr>
        <w:pStyle w:val="FootnoteText"/>
        <w:rPr>
          <w:sz w:val="16"/>
          <w:szCs w:val="16"/>
          <w:lang w:val="en-IE"/>
        </w:rPr>
      </w:pPr>
      <w:r w:rsidRPr="00DD74A0">
        <w:rPr>
          <w:rStyle w:val="FootnoteReference"/>
          <w:sz w:val="16"/>
          <w:szCs w:val="16"/>
        </w:rPr>
        <w:footnoteRef/>
      </w:r>
      <w:r w:rsidRPr="00DD74A0">
        <w:rPr>
          <w:sz w:val="16"/>
          <w:szCs w:val="16"/>
        </w:rPr>
        <w:t xml:space="preserve"> </w:t>
      </w:r>
      <w:r w:rsidR="00D64A56" w:rsidRPr="00DD74A0">
        <w:rPr>
          <w:sz w:val="16"/>
          <w:szCs w:val="16"/>
        </w:rPr>
        <w:t>According to the DAC Statistics, t</w:t>
      </w:r>
      <w:r w:rsidR="00E54A3A" w:rsidRPr="00DD74A0">
        <w:rPr>
          <w:sz w:val="16"/>
          <w:szCs w:val="16"/>
        </w:rPr>
        <w:t xml:space="preserve">he </w:t>
      </w:r>
      <w:r w:rsidRPr="00DD74A0">
        <w:rPr>
          <w:sz w:val="16"/>
          <w:szCs w:val="16"/>
        </w:rPr>
        <w:t>LIP category is exchanged only by 10 Member States and represents less than 1% of both the number of taxpayer and the total value of income exchanges under DAC1.</w:t>
      </w:r>
    </w:p>
  </w:footnote>
  <w:footnote w:id="70">
    <w:p w14:paraId="06285443" w14:textId="03CE2345" w:rsidR="00F12CB6" w:rsidRPr="00F12CB6" w:rsidRDefault="00F12CB6" w:rsidP="00F12CB6">
      <w:r w:rsidRPr="00F12CB6">
        <w:rPr>
          <w:rStyle w:val="FootnoteReference"/>
          <w:sz w:val="16"/>
          <w:szCs w:val="16"/>
        </w:rPr>
        <w:footnoteRef/>
      </w:r>
      <w:r w:rsidRPr="00F12CB6">
        <w:rPr>
          <w:sz w:val="16"/>
          <w:szCs w:val="16"/>
        </w:rPr>
        <w:t xml:space="preserve"> </w:t>
      </w:r>
      <w:r w:rsidRPr="00F12CB6">
        <w:rPr>
          <w:rFonts w:eastAsia="Times New Roman"/>
          <w:sz w:val="16"/>
          <w:szCs w:val="16"/>
        </w:rPr>
        <w:t xml:space="preserve">As at 2025, 24 of the 27 EU Member States impose, or may impose in specified cases, domestic withholding tax on outbound royalty payments falling outside the exemption in Council Directive 2003/49/EC; the exceptions are Hungary, Luxembourg and Malta. See IBFD, </w:t>
      </w:r>
      <w:r w:rsidRPr="00F12CB6">
        <w:rPr>
          <w:rFonts w:eastAsia="Times New Roman"/>
          <w:i/>
          <w:iCs/>
          <w:sz w:val="16"/>
          <w:szCs w:val="16"/>
        </w:rPr>
        <w:t>European Tax Handbook 2025</w:t>
      </w:r>
      <w:r w:rsidRPr="00F12CB6">
        <w:rPr>
          <w:rFonts w:eastAsia="Times New Roman"/>
          <w:sz w:val="16"/>
          <w:szCs w:val="16"/>
        </w:rPr>
        <w:t xml:space="preserve">, country surveys; see also IBFD, </w:t>
      </w:r>
      <w:r w:rsidRPr="00F12CB6">
        <w:rPr>
          <w:rFonts w:eastAsia="Times New Roman"/>
          <w:i/>
          <w:iCs/>
          <w:sz w:val="16"/>
          <w:szCs w:val="16"/>
        </w:rPr>
        <w:t>European Tax Handbook 2025</w:t>
      </w:r>
      <w:r w:rsidRPr="00F12CB6">
        <w:rPr>
          <w:rFonts w:eastAsia="Times New Roman"/>
          <w:sz w:val="16"/>
          <w:szCs w:val="16"/>
        </w:rPr>
        <w:t xml:space="preserve">, EU Direct Taxation chapter, section on the Interest and Royalties Directive.“All 27 EU Member States include dividend income in the tax base of resident taxpayers. Following the introduction of the concept of ‘non-custodial dividend income’ in the DAC8 amendments, Member States are required to exchange information on dividends or dividend-equivalent income paid or credited to an account other than a custodial account, reflecting the fact that such income remains taxable in the residence State notwithstanding its exclusion from CRS custodial-account reporting.” See Council Directive (EU) 2023/2226 (DAC8), recitals and Article 8; IBFD, </w:t>
      </w:r>
      <w:r w:rsidRPr="00F12CB6">
        <w:rPr>
          <w:rFonts w:eastAsia="Times New Roman"/>
          <w:i/>
          <w:iCs/>
          <w:sz w:val="16"/>
          <w:szCs w:val="16"/>
        </w:rPr>
        <w:t>European Tax Handbook 2025</w:t>
      </w:r>
      <w:r w:rsidRPr="00F12CB6">
        <w:rPr>
          <w:rFonts w:eastAsia="Times New Roman"/>
          <w:sz w:val="16"/>
          <w:szCs w:val="16"/>
        </w:rPr>
        <w:t>, country chapters.</w:t>
      </w:r>
    </w:p>
  </w:footnote>
  <w:footnote w:id="71">
    <w:p w14:paraId="0647ABBF" w14:textId="36B5F9C8" w:rsidR="00F12CB6" w:rsidRPr="00F12CB6" w:rsidRDefault="00F12CB6">
      <w:pPr>
        <w:pStyle w:val="FootnoteText"/>
      </w:pPr>
      <w:r>
        <w:rPr>
          <w:rStyle w:val="FootnoteReference"/>
        </w:rPr>
        <w:footnoteRef/>
      </w:r>
      <w:r>
        <w:t xml:space="preserve"> </w:t>
      </w:r>
      <w:r w:rsidRPr="00F12CB6">
        <w:rPr>
          <w:rFonts w:eastAsia="Times New Roman"/>
          <w:sz w:val="16"/>
          <w:szCs w:val="16"/>
        </w:rPr>
        <w:t xml:space="preserve">European Commission, </w:t>
      </w:r>
      <w:r w:rsidRPr="00F12CB6">
        <w:rPr>
          <w:rFonts w:eastAsia="Times New Roman"/>
          <w:i/>
          <w:iCs/>
          <w:sz w:val="16"/>
          <w:szCs w:val="16"/>
        </w:rPr>
        <w:t>“The Once Only Principle System: A breakthrough for the EU’s Digital Single Market”</w:t>
      </w:r>
      <w:r w:rsidRPr="00F12CB6">
        <w:rPr>
          <w:rFonts w:eastAsia="Times New Roman"/>
          <w:sz w:val="16"/>
          <w:szCs w:val="16"/>
        </w:rPr>
        <w:t xml:space="preserve">, available at: </w:t>
      </w:r>
      <w:hyperlink r:id="rId19" w:history="1">
        <w:r w:rsidRPr="00F12CB6">
          <w:rPr>
            <w:rStyle w:val="Hyperlink"/>
            <w:rFonts w:eastAsia="Times New Roman"/>
            <w:sz w:val="16"/>
            <w:szCs w:val="16"/>
          </w:rPr>
          <w:t>European Commission – Once Only Principle System</w:t>
        </w:r>
      </w:hyperlink>
      <w:r w:rsidRPr="00F12CB6">
        <w:rPr>
          <w:rFonts w:eastAsia="Times New Roman"/>
          <w:sz w:val="16"/>
          <w:szCs w:val="16"/>
        </w:rPr>
        <w:t xml:space="preserve"> (accessed 17 May 2026).</w:t>
      </w:r>
    </w:p>
  </w:footnote>
  <w:footnote w:id="72">
    <w:p w14:paraId="4885AD26" w14:textId="4865472C" w:rsidR="00971647" w:rsidRPr="00F06935" w:rsidRDefault="00971647">
      <w:pPr>
        <w:pStyle w:val="FootnoteText"/>
        <w:rPr>
          <w:sz w:val="16"/>
          <w:szCs w:val="16"/>
        </w:rPr>
      </w:pPr>
      <w:r w:rsidRPr="00F06935">
        <w:rPr>
          <w:rStyle w:val="FootnoteReference"/>
          <w:sz w:val="16"/>
          <w:szCs w:val="16"/>
        </w:rPr>
        <w:footnoteRef/>
      </w:r>
      <w:r w:rsidRPr="00F06935">
        <w:rPr>
          <w:sz w:val="16"/>
          <w:szCs w:val="16"/>
        </w:rPr>
        <w:t xml:space="preserve"> SMEs are defined in accordance with Commission Recommendation 2003/361/EC as enterprises with fewer than 250 employees and either annual turnover not exceeding EUR 50 million or a balance sheet total not exceeding EUR 43 million.</w:t>
      </w:r>
    </w:p>
  </w:footnote>
  <w:footnote w:id="73">
    <w:p w14:paraId="543F1839" w14:textId="3967E6CC" w:rsidR="00F06935" w:rsidRPr="00F06935" w:rsidRDefault="00F06935">
      <w:pPr>
        <w:pStyle w:val="FootnoteText"/>
        <w:rPr>
          <w:sz w:val="16"/>
          <w:szCs w:val="16"/>
          <w:lang w:val="en-IE"/>
        </w:rPr>
      </w:pPr>
      <w:r w:rsidRPr="00F06935">
        <w:rPr>
          <w:rStyle w:val="FootnoteReference"/>
          <w:sz w:val="16"/>
          <w:szCs w:val="16"/>
        </w:rPr>
        <w:footnoteRef/>
      </w:r>
      <w:r w:rsidRPr="00F06935">
        <w:rPr>
          <w:sz w:val="16"/>
          <w:szCs w:val="16"/>
        </w:rPr>
        <w:t xml:space="preserve"> Charter of Fundamental Rights of the European Union [2012] OJ C 326/391</w:t>
      </w:r>
    </w:p>
  </w:footnote>
  <w:footnote w:id="74">
    <w:p w14:paraId="0F8DECD3" w14:textId="79B1C2E2" w:rsidR="00AB1F61" w:rsidRPr="00AB1F61" w:rsidRDefault="00AB1F61" w:rsidP="00AB1F61">
      <w:pPr>
        <w:pStyle w:val="FootnoteText"/>
        <w:jc w:val="left"/>
      </w:pPr>
      <w:r>
        <w:rPr>
          <w:rStyle w:val="FootnoteReference"/>
        </w:rPr>
        <w:footnoteRef/>
      </w:r>
      <w:r>
        <w:t xml:space="preserve"> </w:t>
      </w:r>
      <w:r w:rsidRPr="00AB1F61">
        <w:rPr>
          <w:rFonts w:eastAsia="Times New Roman"/>
          <w:sz w:val="16"/>
          <w:szCs w:val="16"/>
        </w:rPr>
        <w:t xml:space="preserve">Organisation for Economic Co-operation and Development, Framework for the Automatic Exchange of Readily Available Information on Immovable Property for Tax Purposes: OECD Report to G20 Finance Ministers and Central Bank Governors (OECD Publishing October 2025) </w:t>
      </w:r>
      <w:hyperlink r:id="rId20" w:history="1">
        <w:r w:rsidRPr="00AB1F61">
          <w:rPr>
            <w:rStyle w:val="Hyperlink"/>
            <w:rFonts w:eastAsia="Times New Roman"/>
            <w:sz w:val="16"/>
            <w:szCs w:val="16"/>
          </w:rPr>
          <w:t>https://www.oecd.org/content/dam/oecd/en/topics/policy-issues/tax-transparency-and-international-co-operation/framework-for-the-automatic-exchange-of-readily-available-information-on-immovable-property-for-tax-purposes.pdf</w:t>
        </w:r>
      </w:hyperlink>
    </w:p>
  </w:footnote>
  <w:footnote w:id="75">
    <w:p w14:paraId="13436A4C" w14:textId="4B727618" w:rsidR="00AB1F61" w:rsidRPr="00AB1F61" w:rsidRDefault="00AB1F61">
      <w:pPr>
        <w:pStyle w:val="FootnoteText"/>
        <w:rPr>
          <w:sz w:val="16"/>
          <w:szCs w:val="16"/>
          <w:lang w:val="en-IE"/>
        </w:rPr>
      </w:pPr>
      <w:r w:rsidRPr="00AB1F61">
        <w:rPr>
          <w:rStyle w:val="FootnoteReference"/>
          <w:sz w:val="16"/>
          <w:szCs w:val="16"/>
        </w:rPr>
        <w:footnoteRef/>
      </w:r>
      <w:r w:rsidRPr="00AB1F61">
        <w:rPr>
          <w:sz w:val="16"/>
          <w:szCs w:val="16"/>
        </w:rPr>
        <w:t xml:space="preserve"> The ability of the Commission services to effectively monitor the compliance cost savings for EU businesses will be dependent upon the detailed scope of information provided by EU businesses to the Commission service surveys.</w:t>
      </w:r>
    </w:p>
  </w:footnote>
  <w:footnote w:id="76">
    <w:p w14:paraId="265D40FA" w14:textId="1DF7B70F" w:rsidR="00466BE8" w:rsidRPr="00466BE8" w:rsidRDefault="00466BE8">
      <w:pPr>
        <w:pStyle w:val="FootnoteText"/>
        <w:rPr>
          <w:sz w:val="16"/>
          <w:szCs w:val="16"/>
        </w:rPr>
      </w:pPr>
      <w:r w:rsidRPr="00466BE8">
        <w:rPr>
          <w:rStyle w:val="FootnoteReference"/>
          <w:sz w:val="16"/>
          <w:szCs w:val="16"/>
        </w:rPr>
        <w:footnoteRef/>
      </w:r>
      <w:r w:rsidRPr="00466BE8">
        <w:rPr>
          <w:sz w:val="16"/>
          <w:szCs w:val="16"/>
        </w:rPr>
        <w:t xml:space="preserve"> Final Report, 11 January 2024, Ramboll</w:t>
      </w:r>
    </w:p>
  </w:footnote>
  <w:footnote w:id="77">
    <w:p w14:paraId="0F275715" w14:textId="77777777" w:rsidR="00653811" w:rsidRDefault="00653811" w:rsidP="00653811">
      <w:pPr>
        <w:pStyle w:val="FootnoteText"/>
      </w:pPr>
      <w:r>
        <w:rPr>
          <w:rStyle w:val="FootnoteReference"/>
        </w:rPr>
        <w:footnoteRef/>
      </w:r>
      <w:r>
        <w:t xml:space="preserve"> </w:t>
      </w:r>
      <w:r w:rsidRPr="00466BE8">
        <w:rPr>
          <w:sz w:val="16"/>
          <w:szCs w:val="16"/>
        </w:rPr>
        <w:t>Although 10 of them contributed by written feedback and online questionnaire, and 4 respondents did not include their identification data.</w:t>
      </w:r>
    </w:p>
  </w:footnote>
  <w:footnote w:id="78">
    <w:p w14:paraId="7E4601C4" w14:textId="2A22307E" w:rsidR="00FC743D" w:rsidRPr="00AE5E08" w:rsidRDefault="00FC743D" w:rsidP="005159DD">
      <w:pPr>
        <w:pStyle w:val="FootnoteText"/>
        <w:rPr>
          <w:lang w:val="sv-SE"/>
        </w:rPr>
      </w:pPr>
      <w:r>
        <w:rPr>
          <w:rStyle w:val="FootnoteReference"/>
        </w:rPr>
        <w:footnoteRef/>
      </w:r>
      <w:r w:rsidRPr="00AE5E08">
        <w:rPr>
          <w:lang w:val="sv-SE"/>
        </w:rPr>
        <w:t xml:space="preserve"> </w:t>
      </w:r>
      <w:r w:rsidRPr="00AE5E08">
        <w:rPr>
          <w:sz w:val="16"/>
          <w:szCs w:val="16"/>
          <w:lang w:val="sv-SE"/>
        </w:rPr>
        <w:t xml:space="preserve">Skatteverket, </w:t>
      </w:r>
      <w:r w:rsidR="005159DD" w:rsidRPr="00AE5E08">
        <w:rPr>
          <w:sz w:val="16"/>
          <w:szCs w:val="16"/>
          <w:lang w:val="sv-SE"/>
        </w:rPr>
        <w:t>“Rapportering och utbyte av upplysningar om inkomster från digitala plattformar och vissa andra ändringar i EU:s direktiv om administrativt samarbete på direktskatteområdet”, 2022.</w:t>
      </w:r>
    </w:p>
  </w:footnote>
  <w:footnote w:id="79">
    <w:p w14:paraId="7B298E23" w14:textId="120851F9" w:rsidR="00CD2260" w:rsidRPr="00D6565B" w:rsidRDefault="00CD2260" w:rsidP="00CD2260">
      <w:pPr>
        <w:pStyle w:val="FootnoteText"/>
        <w:rPr>
          <w:sz w:val="16"/>
          <w:szCs w:val="16"/>
        </w:rPr>
      </w:pPr>
      <w:r w:rsidRPr="00D6565B">
        <w:rPr>
          <w:rStyle w:val="FootnoteReference"/>
          <w:sz w:val="16"/>
          <w:szCs w:val="16"/>
        </w:rPr>
        <w:footnoteRef/>
      </w:r>
      <w:r w:rsidRPr="00D6565B">
        <w:rPr>
          <w:sz w:val="16"/>
          <w:szCs w:val="16"/>
        </w:rPr>
        <w:t xml:space="preserve"> Study prepared for the European Commission to support an evaluation of the Anti-tax Avoidance Directive (ATAD Evaluation), Final Report (</w:t>
      </w:r>
      <w:r w:rsidR="00123CC7">
        <w:rPr>
          <w:sz w:val="16"/>
          <w:szCs w:val="16"/>
        </w:rPr>
        <w:t>2026</w:t>
      </w:r>
      <w:r w:rsidRPr="00D6565B">
        <w:rPr>
          <w:sz w:val="16"/>
          <w:szCs w:val="16"/>
        </w:rPr>
        <w:t>)</w:t>
      </w:r>
      <w:r w:rsidR="00EE6158">
        <w:rPr>
          <w:sz w:val="16"/>
          <w:szCs w:val="16"/>
        </w:rPr>
        <w:t>.</w:t>
      </w:r>
    </w:p>
  </w:footnote>
  <w:footnote w:id="80">
    <w:p w14:paraId="482456AB" w14:textId="6EBE4FDC" w:rsidR="00940785" w:rsidRPr="007411CC" w:rsidRDefault="00940785">
      <w:pPr>
        <w:pStyle w:val="FootnoteText"/>
        <w:rPr>
          <w:sz w:val="16"/>
          <w:szCs w:val="16"/>
        </w:rPr>
      </w:pPr>
      <w:r w:rsidRPr="007411CC">
        <w:rPr>
          <w:rStyle w:val="FootnoteReference"/>
          <w:sz w:val="16"/>
          <w:szCs w:val="16"/>
        </w:rPr>
        <w:footnoteRef/>
      </w:r>
      <w:r w:rsidRPr="007411CC">
        <w:rPr>
          <w:sz w:val="16"/>
          <w:szCs w:val="16"/>
        </w:rPr>
        <w:t xml:space="preserve"> </w:t>
      </w:r>
      <w:r w:rsidR="00243B0E" w:rsidRPr="007411CC">
        <w:rPr>
          <w:sz w:val="16"/>
          <w:szCs w:val="16"/>
        </w:rPr>
        <w:t>This estimate is consistent with the findings of the 2025 DAC Evaluation</w:t>
      </w:r>
      <w:r w:rsidR="00BE025B" w:rsidRPr="007411CC">
        <w:rPr>
          <w:sz w:val="16"/>
          <w:szCs w:val="16"/>
        </w:rPr>
        <w:t xml:space="preserve"> (</w:t>
      </w:r>
      <w:r w:rsidR="000E0BD9" w:rsidRPr="007411CC">
        <w:rPr>
          <w:sz w:val="16"/>
          <w:szCs w:val="16"/>
        </w:rPr>
        <w:t>Evaluation of the Directive 2011/16</w:t>
      </w:r>
      <w:r w:rsidR="00197388" w:rsidRPr="007411CC">
        <w:rPr>
          <w:sz w:val="16"/>
          <w:szCs w:val="16"/>
        </w:rPr>
        <w:t xml:space="preserve"> and its amendments, Final Report, </w:t>
      </w:r>
      <w:r w:rsidR="0087692A" w:rsidRPr="007411CC">
        <w:rPr>
          <w:sz w:val="16"/>
          <w:szCs w:val="16"/>
        </w:rPr>
        <w:t xml:space="preserve">Table 32, p. </w:t>
      </w:r>
      <w:r w:rsidR="00B07462" w:rsidRPr="007411CC">
        <w:rPr>
          <w:sz w:val="16"/>
          <w:szCs w:val="16"/>
        </w:rPr>
        <w:t>149)</w:t>
      </w:r>
      <w:r w:rsidR="00243B0E" w:rsidRPr="007411CC">
        <w:rPr>
          <w:sz w:val="16"/>
          <w:szCs w:val="16"/>
        </w:rPr>
        <w:t>, which identifies recurrent administrative burdens of approximately EUR 300 million per year for large and very large MNE groups in relation to DAC6 reporting over the period 2020–2022. This aligns with the central estimate used in the present impact assessment for the compliance cost reductions associated with exempting Pillar 2 in-scope entities from DAC6 reporting obligations.</w:t>
      </w:r>
    </w:p>
  </w:footnote>
  <w:footnote w:id="81">
    <w:p w14:paraId="043ECD6E" w14:textId="77777777" w:rsidR="00CD2260" w:rsidRPr="00466BE8" w:rsidRDefault="00CD2260" w:rsidP="00CD2260">
      <w:pPr>
        <w:pStyle w:val="FootnoteText"/>
        <w:rPr>
          <w:sz w:val="16"/>
          <w:szCs w:val="16"/>
        </w:rPr>
      </w:pPr>
      <w:r w:rsidRPr="00466BE8">
        <w:rPr>
          <w:rStyle w:val="FootnoteReference"/>
          <w:sz w:val="16"/>
          <w:szCs w:val="16"/>
        </w:rPr>
        <w:footnoteRef/>
      </w:r>
      <w:r w:rsidRPr="00466BE8">
        <w:rPr>
          <w:sz w:val="16"/>
          <w:szCs w:val="16"/>
        </w:rPr>
        <w:t xml:space="preserve"> The respective numbers of disclosures between July 2020 and December 2025, i.e. over a time horizon of roughly six years, were as follows: A.1: 19,256, A.2(a): 672, A.2(b): 32, A.3: 33,785 (Source: DAC6 Reporting Statistics).</w:t>
      </w:r>
    </w:p>
  </w:footnote>
  <w:footnote w:id="82">
    <w:p w14:paraId="62F39554" w14:textId="69CD8274" w:rsidR="00035909" w:rsidRPr="00D91EDE" w:rsidRDefault="00035909" w:rsidP="00035909">
      <w:pPr>
        <w:pStyle w:val="FootnoteText"/>
      </w:pPr>
      <w:r w:rsidRPr="00466BE8">
        <w:rPr>
          <w:rStyle w:val="FootnoteReference"/>
          <w:sz w:val="16"/>
          <w:szCs w:val="16"/>
        </w:rPr>
        <w:footnoteRef/>
      </w:r>
      <w:r w:rsidRPr="00466BE8">
        <w:rPr>
          <w:sz w:val="16"/>
          <w:szCs w:val="16"/>
        </w:rPr>
        <w:t xml:space="preserve"> </w:t>
      </w:r>
      <w:r w:rsidR="004A2808" w:rsidRPr="00466BE8">
        <w:rPr>
          <w:sz w:val="16"/>
          <w:szCs w:val="16"/>
        </w:rPr>
        <w:t>Estimates are based on disclosures associated with the relevant hallmarks. As DAC6 reports may refer to multiple hallmarks for a single arrangement, the removal of a given hallmark does not necessarily eliminate all corresponding reports. However, the generic hallmarks concerned are broad in scope and account for a significant share of disclosures, such that their removal is expected to eliminate most associated reporting. Any residual reporting under more specific hallmarks is considered limited and not quantifiable. Estimates should therefore be interpreted as indicative.</w:t>
      </w:r>
    </w:p>
  </w:footnote>
  <w:footnote w:id="83">
    <w:p w14:paraId="5C488931" w14:textId="4BABDA05" w:rsidR="00A77220" w:rsidRPr="007411CC" w:rsidRDefault="00A77220">
      <w:pPr>
        <w:pStyle w:val="FootnoteText"/>
        <w:rPr>
          <w:sz w:val="16"/>
          <w:szCs w:val="16"/>
        </w:rPr>
      </w:pPr>
      <w:r w:rsidRPr="007411CC">
        <w:rPr>
          <w:rStyle w:val="FootnoteReference"/>
          <w:sz w:val="16"/>
          <w:szCs w:val="16"/>
        </w:rPr>
        <w:footnoteRef/>
      </w:r>
      <w:r w:rsidR="0074444D" w:rsidRPr="007411CC">
        <w:rPr>
          <w:sz w:val="16"/>
          <w:szCs w:val="16"/>
        </w:rPr>
        <w:t xml:space="preserve"> The DAC Evaluation does not separately isolate costs for this specific group. Instead, it reports costs for “small-scale MNEs” of approximately EUR 20 million, while grouping larger non-Pillar 2 MNEs together with the largest MNE categories</w:t>
      </w:r>
      <w:r w:rsidR="001B00A8">
        <w:rPr>
          <w:sz w:val="16"/>
          <w:szCs w:val="16"/>
        </w:rPr>
        <w:t xml:space="preserve"> </w:t>
      </w:r>
      <w:r w:rsidR="001B00A8" w:rsidRPr="001B00A8">
        <w:rPr>
          <w:sz w:val="16"/>
          <w:szCs w:val="16"/>
        </w:rPr>
        <w:t>(Evaluation of the Directive 2011/16 and its amendments, Final Report, Table 32, p. 149)</w:t>
      </w:r>
      <w:r w:rsidR="0074444D" w:rsidRPr="007411CC">
        <w:rPr>
          <w:sz w:val="16"/>
          <w:szCs w:val="16"/>
        </w:rPr>
        <w:t>. Given that compliance costs for larger firms are substantially higher than for small-scale MNEs, the implied costs for all non-Pillar 2 firms combined would likely exceed EUR 20 million and move closer to the EUR 40 million estimated in the present impact assessment.</w:t>
      </w:r>
    </w:p>
  </w:footnote>
  <w:footnote w:id="84">
    <w:p w14:paraId="785B9A0C" w14:textId="77777777" w:rsidR="00CD2260" w:rsidRPr="00466BE8" w:rsidRDefault="00CD2260" w:rsidP="00CD2260">
      <w:pPr>
        <w:pStyle w:val="FootnoteText"/>
        <w:rPr>
          <w:sz w:val="16"/>
          <w:szCs w:val="16"/>
        </w:rPr>
      </w:pPr>
      <w:r w:rsidRPr="00466BE8">
        <w:rPr>
          <w:rStyle w:val="FootnoteReference"/>
          <w:sz w:val="16"/>
          <w:szCs w:val="16"/>
        </w:rPr>
        <w:footnoteRef/>
      </w:r>
      <w:r w:rsidRPr="00466BE8">
        <w:rPr>
          <w:sz w:val="16"/>
          <w:szCs w:val="16"/>
        </w:rPr>
        <w:t xml:space="preserve"> DAC7 Statistical Reporting – EU Statistics 2025.</w:t>
      </w:r>
    </w:p>
  </w:footnote>
  <w:footnote w:id="85">
    <w:p w14:paraId="6D31BB30" w14:textId="77777777" w:rsidR="00CD2260" w:rsidRPr="00466BE8" w:rsidRDefault="00CD2260" w:rsidP="00CD2260">
      <w:pPr>
        <w:pStyle w:val="FootnoteText"/>
        <w:rPr>
          <w:sz w:val="16"/>
          <w:szCs w:val="16"/>
          <w:lang w:val="en-US"/>
        </w:rPr>
      </w:pPr>
      <w:r w:rsidRPr="00466BE8">
        <w:rPr>
          <w:rStyle w:val="FootnoteReference"/>
          <w:sz w:val="16"/>
          <w:szCs w:val="16"/>
        </w:rPr>
        <w:footnoteRef/>
      </w:r>
      <w:r w:rsidRPr="00466BE8">
        <w:rPr>
          <w:sz w:val="16"/>
          <w:szCs w:val="16"/>
        </w:rPr>
        <w:t xml:space="preserve"> European Commission, Impact Assessment – Tax fraud and evasion – better cooperation between national tax authorities on exchanging information, 2020.</w:t>
      </w:r>
    </w:p>
  </w:footnote>
  <w:footnote w:id="86">
    <w:p w14:paraId="6F725335" w14:textId="4BE88A08" w:rsidR="00E1295A" w:rsidRPr="00466BE8" w:rsidRDefault="00E1295A" w:rsidP="00E1295A">
      <w:pPr>
        <w:pStyle w:val="FootnoteText"/>
        <w:rPr>
          <w:sz w:val="16"/>
          <w:szCs w:val="16"/>
          <w:lang w:val="en-US"/>
        </w:rPr>
      </w:pPr>
      <w:r w:rsidRPr="00466BE8">
        <w:rPr>
          <w:rStyle w:val="FootnoteReference"/>
          <w:sz w:val="16"/>
          <w:szCs w:val="16"/>
        </w:rPr>
        <w:footnoteRef/>
      </w:r>
      <w:r w:rsidRPr="00466BE8">
        <w:rPr>
          <w:sz w:val="16"/>
          <w:szCs w:val="16"/>
        </w:rPr>
        <w:t xml:space="preserve"> </w:t>
      </w:r>
      <w:r w:rsidR="00554381" w:rsidRPr="00554381">
        <w:rPr>
          <w:sz w:val="16"/>
          <w:szCs w:val="16"/>
        </w:rPr>
        <w:t>Available evidence from Eurostat indicates that prices in the relevant category “Information and communication (equipment)” have remained broadly stable, if not slightly declining, over the period 2018–2025. This suggests that the EUR 50,000 estimate remains a reasonable proxy in current prices. The report will include a reference to this evidence to justify the continued use of this figure</w:t>
      </w:r>
      <w:r w:rsidRPr="00466BE8">
        <w:rPr>
          <w:sz w:val="16"/>
          <w:szCs w:val="16"/>
        </w:rPr>
        <w:t>.</w:t>
      </w:r>
    </w:p>
  </w:footnote>
  <w:footnote w:id="87">
    <w:p w14:paraId="75F9C327" w14:textId="77777777" w:rsidR="00881ED1" w:rsidRPr="00AE5E08" w:rsidRDefault="00881ED1" w:rsidP="00881ED1">
      <w:pPr>
        <w:pStyle w:val="FootnoteText"/>
        <w:rPr>
          <w:lang w:val="sv-SE"/>
        </w:rPr>
      </w:pPr>
      <w:r w:rsidRPr="00466BE8">
        <w:rPr>
          <w:rStyle w:val="FootnoteReference"/>
          <w:sz w:val="16"/>
          <w:szCs w:val="16"/>
        </w:rPr>
        <w:footnoteRef/>
      </w:r>
      <w:r w:rsidRPr="00AE5E08">
        <w:rPr>
          <w:sz w:val="16"/>
          <w:szCs w:val="16"/>
          <w:lang w:val="sv-SE"/>
        </w:rPr>
        <w:t xml:space="preserve"> Befolkningens it-användning 2024, E-handel, Statistics Sweden.</w:t>
      </w:r>
      <w:r w:rsidRPr="00AE5E08">
        <w:rPr>
          <w:lang w:val="sv-SE"/>
        </w:rPr>
        <w:t xml:space="preserve"> </w:t>
      </w:r>
    </w:p>
  </w:footnote>
  <w:footnote w:id="88">
    <w:p w14:paraId="7B0939FD" w14:textId="77777777" w:rsidR="00A2528C" w:rsidRPr="00466BE8" w:rsidRDefault="00A2528C" w:rsidP="00A2528C">
      <w:pPr>
        <w:pStyle w:val="FootnoteText"/>
        <w:rPr>
          <w:sz w:val="16"/>
          <w:szCs w:val="16"/>
          <w:lang w:val="en-US"/>
        </w:rPr>
      </w:pPr>
      <w:r w:rsidRPr="00466BE8">
        <w:rPr>
          <w:rStyle w:val="FootnoteReference"/>
          <w:sz w:val="16"/>
          <w:szCs w:val="16"/>
        </w:rPr>
        <w:footnoteRef/>
      </w:r>
      <w:r w:rsidRPr="00466BE8">
        <w:rPr>
          <w:sz w:val="16"/>
          <w:szCs w:val="16"/>
          <w:lang w:val="en-US"/>
        </w:rPr>
        <w:t xml:space="preserve"> The first tercile (highest internet usage) comprises the following Member States: Austria, Belgium, Spain, Finland, Sweden, Luxembourg, Ireland, the Netherlands and Denmark.</w:t>
      </w:r>
    </w:p>
  </w:footnote>
  <w:footnote w:id="89">
    <w:p w14:paraId="1FC5A7B8" w14:textId="77777777" w:rsidR="00CA1728" w:rsidRPr="00466BE8" w:rsidRDefault="00CA1728" w:rsidP="00CA1728">
      <w:pPr>
        <w:pStyle w:val="FootnoteText"/>
        <w:rPr>
          <w:sz w:val="16"/>
          <w:szCs w:val="16"/>
          <w:lang w:val="en-US"/>
        </w:rPr>
      </w:pPr>
      <w:r w:rsidRPr="00466BE8">
        <w:rPr>
          <w:rStyle w:val="FootnoteReference"/>
          <w:sz w:val="16"/>
          <w:szCs w:val="16"/>
        </w:rPr>
        <w:footnoteRef/>
      </w:r>
      <w:r w:rsidRPr="00466BE8">
        <w:rPr>
          <w:sz w:val="16"/>
          <w:szCs w:val="16"/>
          <w:lang w:val="en-US"/>
        </w:rPr>
        <w:t xml:space="preserve"> The second tercile (medium level of internet usage) comprises the following Member States: Estonia, Malta, Latvia, Romania, Hungary, Czechia, Germany, Cyprus and France.</w:t>
      </w:r>
    </w:p>
  </w:footnote>
  <w:footnote w:id="90">
    <w:p w14:paraId="308A99E8" w14:textId="77777777" w:rsidR="004245E6" w:rsidRPr="00466BE8" w:rsidRDefault="004245E6" w:rsidP="004245E6">
      <w:pPr>
        <w:pStyle w:val="FootnoteText"/>
        <w:rPr>
          <w:sz w:val="16"/>
          <w:szCs w:val="16"/>
          <w:lang w:val="en-US"/>
        </w:rPr>
      </w:pPr>
      <w:r w:rsidRPr="00466BE8">
        <w:rPr>
          <w:rStyle w:val="FootnoteReference"/>
          <w:sz w:val="16"/>
          <w:szCs w:val="16"/>
        </w:rPr>
        <w:footnoteRef/>
      </w:r>
      <w:r w:rsidRPr="00466BE8">
        <w:rPr>
          <w:sz w:val="16"/>
          <w:szCs w:val="16"/>
          <w:lang w:val="en-US"/>
        </w:rPr>
        <w:t xml:space="preserve"> The third tercile (lowest level of internet usage) comprises the following Member States: Croatia, Greece, Bulgaria, Portugal, Lithuania, Poland, Italy, Slovenia and Slovakia.</w:t>
      </w:r>
    </w:p>
  </w:footnote>
  <w:footnote w:id="91">
    <w:p w14:paraId="73C15ED0" w14:textId="77777777" w:rsidR="00A8136E" w:rsidRPr="00B468A3" w:rsidRDefault="00A8136E" w:rsidP="00A8136E">
      <w:pPr>
        <w:pStyle w:val="FootnoteText"/>
        <w:rPr>
          <w:lang w:val="fr-BE"/>
        </w:rPr>
      </w:pPr>
      <w:r w:rsidRPr="00466BE8">
        <w:rPr>
          <w:rStyle w:val="FootnoteReference"/>
          <w:sz w:val="16"/>
          <w:szCs w:val="16"/>
        </w:rPr>
        <w:footnoteRef/>
      </w:r>
      <w:r w:rsidRPr="00466BE8">
        <w:rPr>
          <w:sz w:val="16"/>
          <w:szCs w:val="16"/>
          <w:lang w:val="fr-BE"/>
        </w:rPr>
        <w:t xml:space="preserve"> Statistique publique de la fiscalité, “Près de 40 Md€ de ventes sur les plateformes en 2022 : une diversité de profils de vendeurs”, DGFIP Analyses N° 09.</w:t>
      </w:r>
    </w:p>
  </w:footnote>
  <w:footnote w:id="92">
    <w:p w14:paraId="75F7627A" w14:textId="64E33CE5" w:rsidR="005A33F5" w:rsidRPr="00C84469" w:rsidRDefault="005A33F5" w:rsidP="005A33F5">
      <w:pPr>
        <w:pStyle w:val="FootnoteText"/>
        <w:rPr>
          <w:sz w:val="16"/>
          <w:szCs w:val="16"/>
          <w:lang w:val="en-IE"/>
        </w:rPr>
      </w:pPr>
      <w:r w:rsidRPr="00C84469">
        <w:rPr>
          <w:rStyle w:val="FootnoteReference"/>
          <w:sz w:val="16"/>
          <w:szCs w:val="16"/>
        </w:rPr>
        <w:footnoteRef/>
      </w:r>
      <w:r w:rsidRPr="00C84469">
        <w:rPr>
          <w:sz w:val="16"/>
          <w:szCs w:val="16"/>
        </w:rPr>
        <w:t xml:space="preserve"> Data are available for thresholds at EUR 2,000, EUR 5,000 and EUR 10,000. These were used to approximate the intermediate value by applying a non-linear interpolation, reflecting the fact that the share of exempted sellers increases at a decreasing rate and gradually converges towards 100% at higher thresholds.</w:t>
      </w:r>
    </w:p>
  </w:footnote>
  <w:footnote w:id="93">
    <w:p w14:paraId="76AD1483" w14:textId="74E0D294" w:rsidR="003300CD" w:rsidRPr="00E0162C" w:rsidRDefault="003300CD">
      <w:pPr>
        <w:pStyle w:val="FootnoteText"/>
        <w:rPr>
          <w:sz w:val="16"/>
          <w:szCs w:val="16"/>
        </w:rPr>
      </w:pPr>
      <w:r w:rsidRPr="00E0162C">
        <w:rPr>
          <w:rStyle w:val="FootnoteReference"/>
          <w:sz w:val="16"/>
          <w:szCs w:val="16"/>
        </w:rPr>
        <w:footnoteRef/>
      </w:r>
      <w:r w:rsidRPr="00E0162C">
        <w:rPr>
          <w:sz w:val="16"/>
          <w:szCs w:val="16"/>
        </w:rPr>
        <w:t xml:space="preserve"> </w:t>
      </w:r>
      <w:r w:rsidR="00AC0DC0">
        <w:rPr>
          <w:sz w:val="16"/>
          <w:szCs w:val="16"/>
        </w:rPr>
        <w:t>T</w:t>
      </w:r>
      <w:r w:rsidR="00AC0DC0" w:rsidRPr="00E0162C">
        <w:rPr>
          <w:sz w:val="16"/>
          <w:szCs w:val="16"/>
        </w:rPr>
        <w:t>he DAC Evaluation reports total recurrent compliance costs of approximately EUR 56 million in 2022, with estimated firm-level costs ranging from around EUR 8,000 for smaller MNE groups to approximately EUR 45,000 for larger groups (</w:t>
      </w:r>
      <w:r w:rsidR="00B65F50" w:rsidRPr="00B65F50">
        <w:rPr>
          <w:sz w:val="16"/>
          <w:szCs w:val="16"/>
        </w:rPr>
        <w:t>Evaluation of the Directive 2011/16 and its amendments, Final Report, Table 2</w:t>
      </w:r>
      <w:r w:rsidR="00DD68EF">
        <w:rPr>
          <w:sz w:val="16"/>
          <w:szCs w:val="16"/>
        </w:rPr>
        <w:t>7</w:t>
      </w:r>
      <w:r w:rsidR="00B65F50" w:rsidRPr="00B65F50">
        <w:rPr>
          <w:sz w:val="16"/>
          <w:szCs w:val="16"/>
        </w:rPr>
        <w:t>, p. 14</w:t>
      </w:r>
      <w:r w:rsidR="00DD68EF">
        <w:rPr>
          <w:sz w:val="16"/>
          <w:szCs w:val="16"/>
        </w:rPr>
        <w:t>5</w:t>
      </w:r>
      <w:r w:rsidR="00AC0DC0" w:rsidRPr="00E0162C">
        <w:rPr>
          <w:sz w:val="16"/>
          <w:szCs w:val="16"/>
        </w:rPr>
        <w:t>). In the present impact assessment, DAC4-related compliance costs are estimated at around EUR 135 million for approximately 4,700 MNE groups, corresponding to average annual costs of around EUR 29,000 per group. Importantly, this average lies well within the range identified in the DAC Evaluation. The difference in aggregate estimates mainly reflects different assumptions regarding the distribution of firms across cost categories. While the DAC Evaluation assumes that only around 10% of MNE groups incur higher compliance costs, stakeholder evidence collected for the present impact assessment suggests a more balanced distribution between lower- and higher-cost firms, resulting in a higher aggregate estimate.</w:t>
      </w:r>
    </w:p>
  </w:footnote>
  <w:footnote w:id="94">
    <w:p w14:paraId="5D65EAC7" w14:textId="57B2DFAD" w:rsidR="002A633F" w:rsidRPr="002A633F" w:rsidRDefault="002A633F">
      <w:pPr>
        <w:pStyle w:val="FootnoteText"/>
      </w:pPr>
      <w:r>
        <w:rPr>
          <w:rStyle w:val="FootnoteReference"/>
        </w:rPr>
        <w:footnoteRef/>
      </w:r>
      <w:r>
        <w:t xml:space="preserve"> </w:t>
      </w:r>
      <w:r w:rsidRPr="002A24A2">
        <w:rPr>
          <w:sz w:val="16"/>
          <w:szCs w:val="16"/>
        </w:rPr>
        <w:t>For the purpose of the cost assessment under Policy Options 4a and 4b, it is assumed that the TIN verification system would provide only a binary yes/no response indicating whether the taxpayer identifiers match the information held in the relevant national register. An alternative design would be to provide “close match” feedback for individual queries, indicating that the information submitted is sufficiently close to the correct taxpayer identifiers and signalling the degree of proximity to the correct information. Such a functionality could improve error resolution but would also imply additional technical and operational complexity.</w:t>
      </w:r>
    </w:p>
  </w:footnote>
  <w:footnote w:id="95">
    <w:p w14:paraId="4D039A0A" w14:textId="77777777" w:rsidR="00442053" w:rsidRPr="002A24A2" w:rsidRDefault="00442053" w:rsidP="00442053">
      <w:pPr>
        <w:pStyle w:val="FootnoteText"/>
        <w:rPr>
          <w:sz w:val="16"/>
          <w:szCs w:val="16"/>
        </w:rPr>
      </w:pPr>
      <w:r w:rsidRPr="002A24A2">
        <w:rPr>
          <w:rStyle w:val="FootnoteReference"/>
          <w:sz w:val="16"/>
          <w:szCs w:val="16"/>
        </w:rPr>
        <w:footnoteRef/>
      </w:r>
      <w:r w:rsidRPr="002A24A2">
        <w:rPr>
          <w:sz w:val="16"/>
          <w:szCs w:val="16"/>
        </w:rPr>
        <w:t xml:space="preserve"> The costs and benefits data in this annex are consistent with the data in annex 3. The preferred option includes the mitigating measures listed in section 4. </w:t>
      </w:r>
    </w:p>
  </w:footnote>
  <w:footnote w:id="96">
    <w:p w14:paraId="1E39488D" w14:textId="77777777" w:rsidR="00442053" w:rsidRDefault="00442053" w:rsidP="00442053">
      <w:pPr>
        <w:pStyle w:val="FootnoteText"/>
      </w:pPr>
      <w:r w:rsidRPr="002A24A2">
        <w:rPr>
          <w:rStyle w:val="FootnoteReference"/>
          <w:sz w:val="16"/>
          <w:szCs w:val="16"/>
        </w:rPr>
        <w:footnoteRef/>
      </w:r>
      <w:r w:rsidRPr="002A24A2">
        <w:rPr>
          <w:sz w:val="16"/>
          <w:szCs w:val="16"/>
        </w:rPr>
        <w:t xml:space="preserve"> The direct benefits for SMEs can also be cost savings.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C39E0" w14:textId="77777777" w:rsidR="00334808" w:rsidRPr="00334808" w:rsidRDefault="00334808" w:rsidP="0033480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324CA" w14:textId="77777777" w:rsidR="00334808" w:rsidRPr="00334808" w:rsidRDefault="00334808" w:rsidP="0033480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18875" w14:textId="77777777" w:rsidR="00334808" w:rsidRPr="00334808" w:rsidRDefault="00334808" w:rsidP="0033480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340A1"/>
    <w:multiLevelType w:val="hybridMultilevel"/>
    <w:tmpl w:val="3888223E"/>
    <w:lvl w:ilvl="0" w:tplc="F3B2B4A2">
      <w:start w:val="1"/>
      <w:numFmt w:val="bullet"/>
      <w:lvlText w:val=""/>
      <w:lvlJc w:val="left"/>
      <w:pPr>
        <w:ind w:left="720" w:hanging="360"/>
      </w:pPr>
      <w:rPr>
        <w:rFonts w:ascii="Symbol" w:hAnsi="Symbol" w:hint="default"/>
      </w:rPr>
    </w:lvl>
    <w:lvl w:ilvl="1" w:tplc="4260DE28">
      <w:start w:val="1"/>
      <w:numFmt w:val="bullet"/>
      <w:lvlText w:val="o"/>
      <w:lvlJc w:val="left"/>
      <w:pPr>
        <w:ind w:left="1440" w:hanging="360"/>
      </w:pPr>
      <w:rPr>
        <w:rFonts w:ascii="Courier New" w:hAnsi="Courier New" w:hint="default"/>
      </w:rPr>
    </w:lvl>
    <w:lvl w:ilvl="2" w:tplc="61A69C1A">
      <w:start w:val="1"/>
      <w:numFmt w:val="bullet"/>
      <w:lvlText w:val=""/>
      <w:lvlJc w:val="left"/>
      <w:pPr>
        <w:ind w:left="2160" w:hanging="360"/>
      </w:pPr>
      <w:rPr>
        <w:rFonts w:ascii="Wingdings" w:hAnsi="Wingdings" w:hint="default"/>
      </w:rPr>
    </w:lvl>
    <w:lvl w:ilvl="3" w:tplc="1A268954">
      <w:start w:val="1"/>
      <w:numFmt w:val="bullet"/>
      <w:lvlText w:val=""/>
      <w:lvlJc w:val="left"/>
      <w:pPr>
        <w:ind w:left="2880" w:hanging="360"/>
      </w:pPr>
      <w:rPr>
        <w:rFonts w:ascii="Symbol" w:hAnsi="Symbol" w:hint="default"/>
      </w:rPr>
    </w:lvl>
    <w:lvl w:ilvl="4" w:tplc="02968012">
      <w:start w:val="1"/>
      <w:numFmt w:val="bullet"/>
      <w:lvlText w:val="o"/>
      <w:lvlJc w:val="left"/>
      <w:pPr>
        <w:ind w:left="3600" w:hanging="360"/>
      </w:pPr>
      <w:rPr>
        <w:rFonts w:ascii="Courier New" w:hAnsi="Courier New" w:hint="default"/>
      </w:rPr>
    </w:lvl>
    <w:lvl w:ilvl="5" w:tplc="AACCDFA0">
      <w:start w:val="1"/>
      <w:numFmt w:val="bullet"/>
      <w:lvlText w:val=""/>
      <w:lvlJc w:val="left"/>
      <w:pPr>
        <w:ind w:left="4320" w:hanging="360"/>
      </w:pPr>
      <w:rPr>
        <w:rFonts w:ascii="Wingdings" w:hAnsi="Wingdings" w:hint="default"/>
      </w:rPr>
    </w:lvl>
    <w:lvl w:ilvl="6" w:tplc="9D4E52C2">
      <w:start w:val="1"/>
      <w:numFmt w:val="bullet"/>
      <w:lvlText w:val=""/>
      <w:lvlJc w:val="left"/>
      <w:pPr>
        <w:ind w:left="5040" w:hanging="360"/>
      </w:pPr>
      <w:rPr>
        <w:rFonts w:ascii="Symbol" w:hAnsi="Symbol" w:hint="default"/>
      </w:rPr>
    </w:lvl>
    <w:lvl w:ilvl="7" w:tplc="776A8E5E">
      <w:start w:val="1"/>
      <w:numFmt w:val="bullet"/>
      <w:lvlText w:val="o"/>
      <w:lvlJc w:val="left"/>
      <w:pPr>
        <w:ind w:left="5760" w:hanging="360"/>
      </w:pPr>
      <w:rPr>
        <w:rFonts w:ascii="Courier New" w:hAnsi="Courier New" w:hint="default"/>
      </w:rPr>
    </w:lvl>
    <w:lvl w:ilvl="8" w:tplc="54E65D9C">
      <w:start w:val="1"/>
      <w:numFmt w:val="bullet"/>
      <w:lvlText w:val=""/>
      <w:lvlJc w:val="left"/>
      <w:pPr>
        <w:ind w:left="6480" w:hanging="360"/>
      </w:pPr>
      <w:rPr>
        <w:rFonts w:ascii="Wingdings" w:hAnsi="Wingdings" w:hint="default"/>
      </w:rPr>
    </w:lvl>
  </w:abstractNum>
  <w:abstractNum w:abstractNumId="1" w15:restartNumberingAfterBreak="0">
    <w:nsid w:val="06B90EF4"/>
    <w:multiLevelType w:val="hybridMultilevel"/>
    <w:tmpl w:val="FFFFFFFF"/>
    <w:lvl w:ilvl="0" w:tplc="4B823948">
      <w:start w:val="1"/>
      <w:numFmt w:val="bullet"/>
      <w:lvlText w:val=""/>
      <w:lvlJc w:val="left"/>
      <w:pPr>
        <w:ind w:left="720" w:hanging="360"/>
      </w:pPr>
      <w:rPr>
        <w:rFonts w:ascii="Symbol" w:hAnsi="Symbol" w:hint="default"/>
      </w:rPr>
    </w:lvl>
    <w:lvl w:ilvl="1" w:tplc="D9D2F252">
      <w:start w:val="1"/>
      <w:numFmt w:val="bullet"/>
      <w:lvlText w:val="o"/>
      <w:lvlJc w:val="left"/>
      <w:pPr>
        <w:ind w:left="1440" w:hanging="360"/>
      </w:pPr>
      <w:rPr>
        <w:rFonts w:ascii="Courier New" w:hAnsi="Courier New" w:hint="default"/>
      </w:rPr>
    </w:lvl>
    <w:lvl w:ilvl="2" w:tplc="BD12E4D4">
      <w:start w:val="1"/>
      <w:numFmt w:val="bullet"/>
      <w:lvlText w:val=""/>
      <w:lvlJc w:val="left"/>
      <w:pPr>
        <w:ind w:left="2160" w:hanging="360"/>
      </w:pPr>
      <w:rPr>
        <w:rFonts w:ascii="Wingdings" w:hAnsi="Wingdings" w:hint="default"/>
      </w:rPr>
    </w:lvl>
    <w:lvl w:ilvl="3" w:tplc="345ACB86">
      <w:start w:val="1"/>
      <w:numFmt w:val="bullet"/>
      <w:lvlText w:val=""/>
      <w:lvlJc w:val="left"/>
      <w:pPr>
        <w:ind w:left="2880" w:hanging="360"/>
      </w:pPr>
      <w:rPr>
        <w:rFonts w:ascii="Symbol" w:hAnsi="Symbol" w:hint="default"/>
      </w:rPr>
    </w:lvl>
    <w:lvl w:ilvl="4" w:tplc="71AEA592">
      <w:start w:val="1"/>
      <w:numFmt w:val="bullet"/>
      <w:lvlText w:val="o"/>
      <w:lvlJc w:val="left"/>
      <w:pPr>
        <w:ind w:left="3600" w:hanging="360"/>
      </w:pPr>
      <w:rPr>
        <w:rFonts w:ascii="Courier New" w:hAnsi="Courier New" w:hint="default"/>
      </w:rPr>
    </w:lvl>
    <w:lvl w:ilvl="5" w:tplc="507E7590">
      <w:start w:val="1"/>
      <w:numFmt w:val="bullet"/>
      <w:lvlText w:val=""/>
      <w:lvlJc w:val="left"/>
      <w:pPr>
        <w:ind w:left="4320" w:hanging="360"/>
      </w:pPr>
      <w:rPr>
        <w:rFonts w:ascii="Wingdings" w:hAnsi="Wingdings" w:hint="default"/>
      </w:rPr>
    </w:lvl>
    <w:lvl w:ilvl="6" w:tplc="AEF44F4E">
      <w:start w:val="1"/>
      <w:numFmt w:val="bullet"/>
      <w:lvlText w:val=""/>
      <w:lvlJc w:val="left"/>
      <w:pPr>
        <w:ind w:left="5040" w:hanging="360"/>
      </w:pPr>
      <w:rPr>
        <w:rFonts w:ascii="Symbol" w:hAnsi="Symbol" w:hint="default"/>
      </w:rPr>
    </w:lvl>
    <w:lvl w:ilvl="7" w:tplc="BDD068B8">
      <w:start w:val="1"/>
      <w:numFmt w:val="bullet"/>
      <w:lvlText w:val="o"/>
      <w:lvlJc w:val="left"/>
      <w:pPr>
        <w:ind w:left="5760" w:hanging="360"/>
      </w:pPr>
      <w:rPr>
        <w:rFonts w:ascii="Courier New" w:hAnsi="Courier New" w:hint="default"/>
      </w:rPr>
    </w:lvl>
    <w:lvl w:ilvl="8" w:tplc="C1DE1E5C">
      <w:start w:val="1"/>
      <w:numFmt w:val="bullet"/>
      <w:lvlText w:val=""/>
      <w:lvlJc w:val="left"/>
      <w:pPr>
        <w:ind w:left="6480" w:hanging="360"/>
      </w:pPr>
      <w:rPr>
        <w:rFonts w:ascii="Wingdings" w:hAnsi="Wingdings" w:hint="default"/>
      </w:rPr>
    </w:lvl>
  </w:abstractNum>
  <w:abstractNum w:abstractNumId="2" w15:restartNumberingAfterBreak="0">
    <w:nsid w:val="09F94EDB"/>
    <w:multiLevelType w:val="multilevel"/>
    <w:tmpl w:val="69E4F194"/>
    <w:lvl w:ilvl="0">
      <w:start w:val="1"/>
      <w:numFmt w:val="decimal"/>
      <w:lvlText w:val="%1."/>
      <w:lvlJc w:val="left"/>
      <w:pPr>
        <w:ind w:left="720" w:hanging="360"/>
      </w:pPr>
      <w:rPr>
        <w:rFonts w:hint="default"/>
      </w:rPr>
    </w:lvl>
    <w:lvl w:ilvl="1">
      <w:start w:val="1"/>
      <w:numFmt w:val="decimal"/>
      <w:lvlText w:val="%1.%2"/>
      <w:lvlJc w:val="left"/>
      <w:pPr>
        <w:ind w:left="1800" w:hanging="720"/>
      </w:p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280" w:hanging="2160"/>
      </w:pPr>
      <w:rPr>
        <w:rFonts w:hint="default"/>
      </w:rPr>
    </w:lvl>
  </w:abstractNum>
  <w:abstractNum w:abstractNumId="3" w15:restartNumberingAfterBreak="0">
    <w:nsid w:val="0D4E0F76"/>
    <w:multiLevelType w:val="hybridMultilevel"/>
    <w:tmpl w:val="FFFFFFFF"/>
    <w:lvl w:ilvl="0" w:tplc="BABAED06">
      <w:start w:val="1"/>
      <w:numFmt w:val="bullet"/>
      <w:lvlText w:val=""/>
      <w:lvlJc w:val="left"/>
      <w:pPr>
        <w:ind w:left="720" w:hanging="360"/>
      </w:pPr>
      <w:rPr>
        <w:rFonts w:ascii="Symbol" w:hAnsi="Symbol" w:hint="default"/>
      </w:rPr>
    </w:lvl>
    <w:lvl w:ilvl="1" w:tplc="7ED41182">
      <w:start w:val="1"/>
      <w:numFmt w:val="bullet"/>
      <w:lvlText w:val="o"/>
      <w:lvlJc w:val="left"/>
      <w:pPr>
        <w:ind w:left="1440" w:hanging="360"/>
      </w:pPr>
      <w:rPr>
        <w:rFonts w:ascii="Courier New" w:hAnsi="Courier New" w:hint="default"/>
      </w:rPr>
    </w:lvl>
    <w:lvl w:ilvl="2" w:tplc="10EC88E0">
      <w:start w:val="1"/>
      <w:numFmt w:val="bullet"/>
      <w:lvlText w:val=""/>
      <w:lvlJc w:val="left"/>
      <w:pPr>
        <w:ind w:left="2160" w:hanging="360"/>
      </w:pPr>
      <w:rPr>
        <w:rFonts w:ascii="Wingdings" w:hAnsi="Wingdings" w:hint="default"/>
      </w:rPr>
    </w:lvl>
    <w:lvl w:ilvl="3" w:tplc="97B81CB2">
      <w:start w:val="1"/>
      <w:numFmt w:val="bullet"/>
      <w:lvlText w:val=""/>
      <w:lvlJc w:val="left"/>
      <w:pPr>
        <w:ind w:left="2880" w:hanging="360"/>
      </w:pPr>
      <w:rPr>
        <w:rFonts w:ascii="Symbol" w:hAnsi="Symbol" w:hint="default"/>
      </w:rPr>
    </w:lvl>
    <w:lvl w:ilvl="4" w:tplc="4D5C5634">
      <w:start w:val="1"/>
      <w:numFmt w:val="bullet"/>
      <w:lvlText w:val="o"/>
      <w:lvlJc w:val="left"/>
      <w:pPr>
        <w:ind w:left="3600" w:hanging="360"/>
      </w:pPr>
      <w:rPr>
        <w:rFonts w:ascii="Courier New" w:hAnsi="Courier New" w:hint="default"/>
      </w:rPr>
    </w:lvl>
    <w:lvl w:ilvl="5" w:tplc="61F8F6A6">
      <w:start w:val="1"/>
      <w:numFmt w:val="bullet"/>
      <w:lvlText w:val=""/>
      <w:lvlJc w:val="left"/>
      <w:pPr>
        <w:ind w:left="4320" w:hanging="360"/>
      </w:pPr>
      <w:rPr>
        <w:rFonts w:ascii="Wingdings" w:hAnsi="Wingdings" w:hint="default"/>
      </w:rPr>
    </w:lvl>
    <w:lvl w:ilvl="6" w:tplc="F66406C0">
      <w:start w:val="1"/>
      <w:numFmt w:val="bullet"/>
      <w:lvlText w:val=""/>
      <w:lvlJc w:val="left"/>
      <w:pPr>
        <w:ind w:left="5040" w:hanging="360"/>
      </w:pPr>
      <w:rPr>
        <w:rFonts w:ascii="Symbol" w:hAnsi="Symbol" w:hint="default"/>
      </w:rPr>
    </w:lvl>
    <w:lvl w:ilvl="7" w:tplc="7402E00A">
      <w:start w:val="1"/>
      <w:numFmt w:val="bullet"/>
      <w:lvlText w:val="o"/>
      <w:lvlJc w:val="left"/>
      <w:pPr>
        <w:ind w:left="5760" w:hanging="360"/>
      </w:pPr>
      <w:rPr>
        <w:rFonts w:ascii="Courier New" w:hAnsi="Courier New" w:hint="default"/>
      </w:rPr>
    </w:lvl>
    <w:lvl w:ilvl="8" w:tplc="967A6622">
      <w:start w:val="1"/>
      <w:numFmt w:val="bullet"/>
      <w:lvlText w:val=""/>
      <w:lvlJc w:val="left"/>
      <w:pPr>
        <w:ind w:left="6480" w:hanging="360"/>
      </w:pPr>
      <w:rPr>
        <w:rFonts w:ascii="Wingdings" w:hAnsi="Wingdings" w:hint="default"/>
      </w:rPr>
    </w:lvl>
  </w:abstractNum>
  <w:abstractNum w:abstractNumId="4" w15:restartNumberingAfterBreak="0">
    <w:nsid w:val="165AE50C"/>
    <w:multiLevelType w:val="hybridMultilevel"/>
    <w:tmpl w:val="FFFFFFFF"/>
    <w:lvl w:ilvl="0" w:tplc="5E3EEB14">
      <w:start w:val="1"/>
      <w:numFmt w:val="bullet"/>
      <w:lvlText w:val=""/>
      <w:lvlJc w:val="left"/>
      <w:pPr>
        <w:ind w:left="720" w:hanging="360"/>
      </w:pPr>
      <w:rPr>
        <w:rFonts w:ascii="Symbol" w:hAnsi="Symbol" w:hint="default"/>
      </w:rPr>
    </w:lvl>
    <w:lvl w:ilvl="1" w:tplc="1D14F272">
      <w:start w:val="1"/>
      <w:numFmt w:val="bullet"/>
      <w:lvlText w:val="o"/>
      <w:lvlJc w:val="left"/>
      <w:pPr>
        <w:ind w:left="1440" w:hanging="360"/>
      </w:pPr>
      <w:rPr>
        <w:rFonts w:ascii="Courier New" w:hAnsi="Courier New" w:hint="default"/>
      </w:rPr>
    </w:lvl>
    <w:lvl w:ilvl="2" w:tplc="CA18B9CE">
      <w:start w:val="1"/>
      <w:numFmt w:val="bullet"/>
      <w:lvlText w:val=""/>
      <w:lvlJc w:val="left"/>
      <w:pPr>
        <w:ind w:left="2160" w:hanging="360"/>
      </w:pPr>
      <w:rPr>
        <w:rFonts w:ascii="Wingdings" w:hAnsi="Wingdings" w:hint="default"/>
      </w:rPr>
    </w:lvl>
    <w:lvl w:ilvl="3" w:tplc="A44C9F1C">
      <w:start w:val="1"/>
      <w:numFmt w:val="bullet"/>
      <w:lvlText w:val=""/>
      <w:lvlJc w:val="left"/>
      <w:pPr>
        <w:ind w:left="2880" w:hanging="360"/>
      </w:pPr>
      <w:rPr>
        <w:rFonts w:ascii="Symbol" w:hAnsi="Symbol" w:hint="default"/>
      </w:rPr>
    </w:lvl>
    <w:lvl w:ilvl="4" w:tplc="90EC1DB2">
      <w:start w:val="1"/>
      <w:numFmt w:val="bullet"/>
      <w:lvlText w:val="o"/>
      <w:lvlJc w:val="left"/>
      <w:pPr>
        <w:ind w:left="3600" w:hanging="360"/>
      </w:pPr>
      <w:rPr>
        <w:rFonts w:ascii="Courier New" w:hAnsi="Courier New" w:hint="default"/>
      </w:rPr>
    </w:lvl>
    <w:lvl w:ilvl="5" w:tplc="7FCC59BE">
      <w:start w:val="1"/>
      <w:numFmt w:val="bullet"/>
      <w:lvlText w:val=""/>
      <w:lvlJc w:val="left"/>
      <w:pPr>
        <w:ind w:left="4320" w:hanging="360"/>
      </w:pPr>
      <w:rPr>
        <w:rFonts w:ascii="Wingdings" w:hAnsi="Wingdings" w:hint="default"/>
      </w:rPr>
    </w:lvl>
    <w:lvl w:ilvl="6" w:tplc="67CEB89C">
      <w:start w:val="1"/>
      <w:numFmt w:val="bullet"/>
      <w:lvlText w:val=""/>
      <w:lvlJc w:val="left"/>
      <w:pPr>
        <w:ind w:left="5040" w:hanging="360"/>
      </w:pPr>
      <w:rPr>
        <w:rFonts w:ascii="Symbol" w:hAnsi="Symbol" w:hint="default"/>
      </w:rPr>
    </w:lvl>
    <w:lvl w:ilvl="7" w:tplc="A7701A6A">
      <w:start w:val="1"/>
      <w:numFmt w:val="bullet"/>
      <w:lvlText w:val="o"/>
      <w:lvlJc w:val="left"/>
      <w:pPr>
        <w:ind w:left="5760" w:hanging="360"/>
      </w:pPr>
      <w:rPr>
        <w:rFonts w:ascii="Courier New" w:hAnsi="Courier New" w:hint="default"/>
      </w:rPr>
    </w:lvl>
    <w:lvl w:ilvl="8" w:tplc="B596BA48">
      <w:start w:val="1"/>
      <w:numFmt w:val="bullet"/>
      <w:lvlText w:val=""/>
      <w:lvlJc w:val="left"/>
      <w:pPr>
        <w:ind w:left="6480" w:hanging="360"/>
      </w:pPr>
      <w:rPr>
        <w:rFonts w:ascii="Wingdings" w:hAnsi="Wingdings" w:hint="default"/>
      </w:rPr>
    </w:lvl>
  </w:abstractNum>
  <w:abstractNum w:abstractNumId="5" w15:restartNumberingAfterBreak="0">
    <w:nsid w:val="179A7BE9"/>
    <w:multiLevelType w:val="hybridMultilevel"/>
    <w:tmpl w:val="FFFFFFFF"/>
    <w:lvl w:ilvl="0" w:tplc="C1CEAF4C">
      <w:start w:val="1"/>
      <w:numFmt w:val="bullet"/>
      <w:lvlText w:val=""/>
      <w:lvlJc w:val="left"/>
      <w:pPr>
        <w:ind w:left="720" w:hanging="360"/>
      </w:pPr>
      <w:rPr>
        <w:rFonts w:ascii="Wingdings" w:hAnsi="Wingdings" w:hint="default"/>
      </w:rPr>
    </w:lvl>
    <w:lvl w:ilvl="1" w:tplc="69929FB4">
      <w:start w:val="1"/>
      <w:numFmt w:val="bullet"/>
      <w:lvlText w:val="o"/>
      <w:lvlJc w:val="left"/>
      <w:pPr>
        <w:ind w:left="1440" w:hanging="360"/>
      </w:pPr>
      <w:rPr>
        <w:rFonts w:ascii="Courier New" w:hAnsi="Courier New" w:hint="default"/>
      </w:rPr>
    </w:lvl>
    <w:lvl w:ilvl="2" w:tplc="5B8EEFA6">
      <w:start w:val="1"/>
      <w:numFmt w:val="bullet"/>
      <w:lvlText w:val=""/>
      <w:lvlJc w:val="left"/>
      <w:pPr>
        <w:ind w:left="2160" w:hanging="360"/>
      </w:pPr>
      <w:rPr>
        <w:rFonts w:ascii="Wingdings" w:hAnsi="Wingdings" w:hint="default"/>
      </w:rPr>
    </w:lvl>
    <w:lvl w:ilvl="3" w:tplc="58C4CAAE">
      <w:start w:val="1"/>
      <w:numFmt w:val="bullet"/>
      <w:lvlText w:val=""/>
      <w:lvlJc w:val="left"/>
      <w:pPr>
        <w:ind w:left="2880" w:hanging="360"/>
      </w:pPr>
      <w:rPr>
        <w:rFonts w:ascii="Symbol" w:hAnsi="Symbol" w:hint="default"/>
      </w:rPr>
    </w:lvl>
    <w:lvl w:ilvl="4" w:tplc="EFFC24C8">
      <w:start w:val="1"/>
      <w:numFmt w:val="bullet"/>
      <w:lvlText w:val="o"/>
      <w:lvlJc w:val="left"/>
      <w:pPr>
        <w:ind w:left="3600" w:hanging="360"/>
      </w:pPr>
      <w:rPr>
        <w:rFonts w:ascii="Courier New" w:hAnsi="Courier New" w:hint="default"/>
      </w:rPr>
    </w:lvl>
    <w:lvl w:ilvl="5" w:tplc="566E13EC">
      <w:start w:val="1"/>
      <w:numFmt w:val="bullet"/>
      <w:lvlText w:val=""/>
      <w:lvlJc w:val="left"/>
      <w:pPr>
        <w:ind w:left="4320" w:hanging="360"/>
      </w:pPr>
      <w:rPr>
        <w:rFonts w:ascii="Wingdings" w:hAnsi="Wingdings" w:hint="default"/>
      </w:rPr>
    </w:lvl>
    <w:lvl w:ilvl="6" w:tplc="A130226A">
      <w:start w:val="1"/>
      <w:numFmt w:val="bullet"/>
      <w:lvlText w:val=""/>
      <w:lvlJc w:val="left"/>
      <w:pPr>
        <w:ind w:left="5040" w:hanging="360"/>
      </w:pPr>
      <w:rPr>
        <w:rFonts w:ascii="Symbol" w:hAnsi="Symbol" w:hint="default"/>
      </w:rPr>
    </w:lvl>
    <w:lvl w:ilvl="7" w:tplc="B0BCC232">
      <w:start w:val="1"/>
      <w:numFmt w:val="bullet"/>
      <w:lvlText w:val="o"/>
      <w:lvlJc w:val="left"/>
      <w:pPr>
        <w:ind w:left="5760" w:hanging="360"/>
      </w:pPr>
      <w:rPr>
        <w:rFonts w:ascii="Courier New" w:hAnsi="Courier New" w:hint="default"/>
      </w:rPr>
    </w:lvl>
    <w:lvl w:ilvl="8" w:tplc="8CDC72E2">
      <w:start w:val="1"/>
      <w:numFmt w:val="bullet"/>
      <w:lvlText w:val=""/>
      <w:lvlJc w:val="left"/>
      <w:pPr>
        <w:ind w:left="6480" w:hanging="360"/>
      </w:pPr>
      <w:rPr>
        <w:rFonts w:ascii="Wingdings" w:hAnsi="Wingdings" w:hint="default"/>
      </w:rPr>
    </w:lvl>
  </w:abstractNum>
  <w:abstractNum w:abstractNumId="6" w15:restartNumberingAfterBreak="0">
    <w:nsid w:val="1E9C0C11"/>
    <w:multiLevelType w:val="multilevel"/>
    <w:tmpl w:val="30A47CC4"/>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F734306"/>
    <w:multiLevelType w:val="multilevel"/>
    <w:tmpl w:val="F54AC54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04"/>
        </w:tabs>
        <w:ind w:left="1004" w:hanging="720"/>
      </w:pPr>
      <w:rPr>
        <w:b/>
        <w:bCs w:val="0"/>
      </w:rPr>
    </w:lvl>
    <w:lvl w:ilvl="2">
      <w:start w:val="1"/>
      <w:numFmt w:val="decimal"/>
      <w:pStyle w:val="Heading3"/>
      <w:lvlText w:val="%1.%2.%3."/>
      <w:lvlJc w:val="left"/>
      <w:pPr>
        <w:tabs>
          <w:tab w:val="num" w:pos="1920"/>
        </w:tabs>
        <w:ind w:left="1920" w:hanging="720"/>
      </w:pPr>
    </w:lvl>
    <w:lvl w:ilvl="3">
      <w:start w:val="1"/>
      <w:numFmt w:val="lowerLetter"/>
      <w:pStyle w:val="Heading4"/>
      <w:lvlText w:val="%4."/>
      <w:lvlJc w:val="left"/>
      <w:pPr>
        <w:ind w:left="1560" w:hanging="360"/>
      </w:pPr>
      <w:rPr>
        <w:b/>
        <w:bCs/>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FA52EDB"/>
    <w:multiLevelType w:val="hybridMultilevel"/>
    <w:tmpl w:val="AC20E1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4748D3"/>
    <w:multiLevelType w:val="hybridMultilevel"/>
    <w:tmpl w:val="27AEC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77F5335"/>
    <w:multiLevelType w:val="multilevel"/>
    <w:tmpl w:val="CFC0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8D22F6"/>
    <w:multiLevelType w:val="hybridMultilevel"/>
    <w:tmpl w:val="FFFFFFFF"/>
    <w:lvl w:ilvl="0" w:tplc="AA40F8E8">
      <w:start w:val="1"/>
      <w:numFmt w:val="bullet"/>
      <w:lvlText w:val=""/>
      <w:lvlJc w:val="left"/>
      <w:pPr>
        <w:ind w:left="720" w:hanging="360"/>
      </w:pPr>
      <w:rPr>
        <w:rFonts w:ascii="Symbol" w:hAnsi="Symbol" w:hint="default"/>
      </w:rPr>
    </w:lvl>
    <w:lvl w:ilvl="1" w:tplc="870682AA">
      <w:start w:val="1"/>
      <w:numFmt w:val="bullet"/>
      <w:lvlText w:val="o"/>
      <w:lvlJc w:val="left"/>
      <w:pPr>
        <w:ind w:left="1440" w:hanging="360"/>
      </w:pPr>
      <w:rPr>
        <w:rFonts w:ascii="Courier New" w:hAnsi="Courier New" w:hint="default"/>
      </w:rPr>
    </w:lvl>
    <w:lvl w:ilvl="2" w:tplc="1F5C5142">
      <w:start w:val="1"/>
      <w:numFmt w:val="bullet"/>
      <w:lvlText w:val=""/>
      <w:lvlJc w:val="left"/>
      <w:pPr>
        <w:ind w:left="2160" w:hanging="360"/>
      </w:pPr>
      <w:rPr>
        <w:rFonts w:ascii="Wingdings" w:hAnsi="Wingdings" w:hint="default"/>
      </w:rPr>
    </w:lvl>
    <w:lvl w:ilvl="3" w:tplc="D6E47290">
      <w:start w:val="1"/>
      <w:numFmt w:val="bullet"/>
      <w:lvlText w:val=""/>
      <w:lvlJc w:val="left"/>
      <w:pPr>
        <w:ind w:left="2880" w:hanging="360"/>
      </w:pPr>
      <w:rPr>
        <w:rFonts w:ascii="Symbol" w:hAnsi="Symbol" w:hint="default"/>
      </w:rPr>
    </w:lvl>
    <w:lvl w:ilvl="4" w:tplc="87E6151E">
      <w:start w:val="1"/>
      <w:numFmt w:val="bullet"/>
      <w:lvlText w:val="o"/>
      <w:lvlJc w:val="left"/>
      <w:pPr>
        <w:ind w:left="3600" w:hanging="360"/>
      </w:pPr>
      <w:rPr>
        <w:rFonts w:ascii="Courier New" w:hAnsi="Courier New" w:hint="default"/>
      </w:rPr>
    </w:lvl>
    <w:lvl w:ilvl="5" w:tplc="6CC6835E">
      <w:start w:val="1"/>
      <w:numFmt w:val="bullet"/>
      <w:lvlText w:val=""/>
      <w:lvlJc w:val="left"/>
      <w:pPr>
        <w:ind w:left="4320" w:hanging="360"/>
      </w:pPr>
      <w:rPr>
        <w:rFonts w:ascii="Wingdings" w:hAnsi="Wingdings" w:hint="default"/>
      </w:rPr>
    </w:lvl>
    <w:lvl w:ilvl="6" w:tplc="0DF85D98">
      <w:start w:val="1"/>
      <w:numFmt w:val="bullet"/>
      <w:lvlText w:val=""/>
      <w:lvlJc w:val="left"/>
      <w:pPr>
        <w:ind w:left="5040" w:hanging="360"/>
      </w:pPr>
      <w:rPr>
        <w:rFonts w:ascii="Symbol" w:hAnsi="Symbol" w:hint="default"/>
      </w:rPr>
    </w:lvl>
    <w:lvl w:ilvl="7" w:tplc="F2F2CF06">
      <w:start w:val="1"/>
      <w:numFmt w:val="bullet"/>
      <w:lvlText w:val="o"/>
      <w:lvlJc w:val="left"/>
      <w:pPr>
        <w:ind w:left="5760" w:hanging="360"/>
      </w:pPr>
      <w:rPr>
        <w:rFonts w:ascii="Courier New" w:hAnsi="Courier New" w:hint="default"/>
      </w:rPr>
    </w:lvl>
    <w:lvl w:ilvl="8" w:tplc="B492C802">
      <w:start w:val="1"/>
      <w:numFmt w:val="bullet"/>
      <w:lvlText w:val=""/>
      <w:lvlJc w:val="left"/>
      <w:pPr>
        <w:ind w:left="6480" w:hanging="360"/>
      </w:pPr>
      <w:rPr>
        <w:rFonts w:ascii="Wingdings" w:hAnsi="Wingdings" w:hint="default"/>
      </w:rPr>
    </w:lvl>
  </w:abstractNum>
  <w:abstractNum w:abstractNumId="13"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15:restartNumberingAfterBreak="0">
    <w:nsid w:val="3F266576"/>
    <w:multiLevelType w:val="hybridMultilevel"/>
    <w:tmpl w:val="47807EDE"/>
    <w:lvl w:ilvl="0" w:tplc="1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5E4635"/>
    <w:multiLevelType w:val="multilevel"/>
    <w:tmpl w:val="6B3E88D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8B1305"/>
    <w:multiLevelType w:val="hybridMultilevel"/>
    <w:tmpl w:val="32A2C3AA"/>
    <w:lvl w:ilvl="0" w:tplc="C978767E">
      <w:start w:val="1"/>
      <w:numFmt w:val="bullet"/>
      <w:lvlText w:val=""/>
      <w:lvlJc w:val="left"/>
      <w:pPr>
        <w:ind w:left="720" w:hanging="360"/>
      </w:pPr>
      <w:rPr>
        <w:rFonts w:ascii="Symbol" w:hAnsi="Symbol" w:hint="default"/>
      </w:rPr>
    </w:lvl>
    <w:lvl w:ilvl="1" w:tplc="2CDAFBDA">
      <w:start w:val="1"/>
      <w:numFmt w:val="bullet"/>
      <w:lvlText w:val="o"/>
      <w:lvlJc w:val="left"/>
      <w:pPr>
        <w:ind w:left="1440" w:hanging="360"/>
      </w:pPr>
      <w:rPr>
        <w:rFonts w:ascii="Courier New" w:hAnsi="Courier New" w:hint="default"/>
      </w:rPr>
    </w:lvl>
    <w:lvl w:ilvl="2" w:tplc="6DFE49CE">
      <w:start w:val="1"/>
      <w:numFmt w:val="bullet"/>
      <w:lvlText w:val=""/>
      <w:lvlJc w:val="left"/>
      <w:pPr>
        <w:ind w:left="2160" w:hanging="360"/>
      </w:pPr>
      <w:rPr>
        <w:rFonts w:ascii="Wingdings" w:hAnsi="Wingdings" w:hint="default"/>
      </w:rPr>
    </w:lvl>
    <w:lvl w:ilvl="3" w:tplc="F86E2A2E">
      <w:start w:val="1"/>
      <w:numFmt w:val="bullet"/>
      <w:lvlText w:val=""/>
      <w:lvlJc w:val="left"/>
      <w:pPr>
        <w:ind w:left="2880" w:hanging="360"/>
      </w:pPr>
      <w:rPr>
        <w:rFonts w:ascii="Symbol" w:hAnsi="Symbol" w:hint="default"/>
      </w:rPr>
    </w:lvl>
    <w:lvl w:ilvl="4" w:tplc="B5F88F70">
      <w:start w:val="1"/>
      <w:numFmt w:val="bullet"/>
      <w:lvlText w:val="o"/>
      <w:lvlJc w:val="left"/>
      <w:pPr>
        <w:ind w:left="3600" w:hanging="360"/>
      </w:pPr>
      <w:rPr>
        <w:rFonts w:ascii="Courier New" w:hAnsi="Courier New" w:hint="default"/>
      </w:rPr>
    </w:lvl>
    <w:lvl w:ilvl="5" w:tplc="5762B50E">
      <w:start w:val="1"/>
      <w:numFmt w:val="bullet"/>
      <w:lvlText w:val=""/>
      <w:lvlJc w:val="left"/>
      <w:pPr>
        <w:ind w:left="4320" w:hanging="360"/>
      </w:pPr>
      <w:rPr>
        <w:rFonts w:ascii="Wingdings" w:hAnsi="Wingdings" w:hint="default"/>
      </w:rPr>
    </w:lvl>
    <w:lvl w:ilvl="6" w:tplc="8A52CF98">
      <w:start w:val="1"/>
      <w:numFmt w:val="bullet"/>
      <w:lvlText w:val=""/>
      <w:lvlJc w:val="left"/>
      <w:pPr>
        <w:ind w:left="5040" w:hanging="360"/>
      </w:pPr>
      <w:rPr>
        <w:rFonts w:ascii="Symbol" w:hAnsi="Symbol" w:hint="default"/>
      </w:rPr>
    </w:lvl>
    <w:lvl w:ilvl="7" w:tplc="71867A2E">
      <w:start w:val="1"/>
      <w:numFmt w:val="bullet"/>
      <w:lvlText w:val="o"/>
      <w:lvlJc w:val="left"/>
      <w:pPr>
        <w:ind w:left="5760" w:hanging="360"/>
      </w:pPr>
      <w:rPr>
        <w:rFonts w:ascii="Courier New" w:hAnsi="Courier New" w:hint="default"/>
      </w:rPr>
    </w:lvl>
    <w:lvl w:ilvl="8" w:tplc="C77EBA5E">
      <w:start w:val="1"/>
      <w:numFmt w:val="bullet"/>
      <w:lvlText w:val=""/>
      <w:lvlJc w:val="left"/>
      <w:pPr>
        <w:ind w:left="6480" w:hanging="360"/>
      </w:pPr>
      <w:rPr>
        <w:rFonts w:ascii="Wingdings" w:hAnsi="Wingdings" w:hint="default"/>
      </w:rPr>
    </w:lvl>
  </w:abstractNum>
  <w:abstractNum w:abstractNumId="17" w15:restartNumberingAfterBreak="0">
    <w:nsid w:val="4B151D46"/>
    <w:multiLevelType w:val="hybridMultilevel"/>
    <w:tmpl w:val="9F26F9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CFF306A"/>
    <w:multiLevelType w:val="hybridMultilevel"/>
    <w:tmpl w:val="FFFFFFFF"/>
    <w:lvl w:ilvl="0" w:tplc="E57E9FA8">
      <w:start w:val="1"/>
      <w:numFmt w:val="bullet"/>
      <w:lvlText w:val="-"/>
      <w:lvlJc w:val="left"/>
      <w:pPr>
        <w:ind w:left="720" w:hanging="360"/>
      </w:pPr>
      <w:rPr>
        <w:rFonts w:ascii="Aptos" w:hAnsi="Aptos" w:hint="default"/>
      </w:rPr>
    </w:lvl>
    <w:lvl w:ilvl="1" w:tplc="7A28EF7E">
      <w:start w:val="1"/>
      <w:numFmt w:val="bullet"/>
      <w:lvlText w:val="o"/>
      <w:lvlJc w:val="left"/>
      <w:pPr>
        <w:ind w:left="1440" w:hanging="360"/>
      </w:pPr>
      <w:rPr>
        <w:rFonts w:ascii="Courier New" w:hAnsi="Courier New" w:hint="default"/>
      </w:rPr>
    </w:lvl>
    <w:lvl w:ilvl="2" w:tplc="6B528842">
      <w:start w:val="1"/>
      <w:numFmt w:val="bullet"/>
      <w:lvlText w:val=""/>
      <w:lvlJc w:val="left"/>
      <w:pPr>
        <w:ind w:left="2160" w:hanging="360"/>
      </w:pPr>
      <w:rPr>
        <w:rFonts w:ascii="Wingdings" w:hAnsi="Wingdings" w:hint="default"/>
      </w:rPr>
    </w:lvl>
    <w:lvl w:ilvl="3" w:tplc="C2CA2FF0">
      <w:start w:val="1"/>
      <w:numFmt w:val="bullet"/>
      <w:lvlText w:val=""/>
      <w:lvlJc w:val="left"/>
      <w:pPr>
        <w:ind w:left="2880" w:hanging="360"/>
      </w:pPr>
      <w:rPr>
        <w:rFonts w:ascii="Symbol" w:hAnsi="Symbol" w:hint="default"/>
      </w:rPr>
    </w:lvl>
    <w:lvl w:ilvl="4" w:tplc="53C05E8A">
      <w:start w:val="1"/>
      <w:numFmt w:val="bullet"/>
      <w:lvlText w:val="o"/>
      <w:lvlJc w:val="left"/>
      <w:pPr>
        <w:ind w:left="3600" w:hanging="360"/>
      </w:pPr>
      <w:rPr>
        <w:rFonts w:ascii="Courier New" w:hAnsi="Courier New" w:hint="default"/>
      </w:rPr>
    </w:lvl>
    <w:lvl w:ilvl="5" w:tplc="5268C698">
      <w:start w:val="1"/>
      <w:numFmt w:val="bullet"/>
      <w:lvlText w:val=""/>
      <w:lvlJc w:val="left"/>
      <w:pPr>
        <w:ind w:left="4320" w:hanging="360"/>
      </w:pPr>
      <w:rPr>
        <w:rFonts w:ascii="Wingdings" w:hAnsi="Wingdings" w:hint="default"/>
      </w:rPr>
    </w:lvl>
    <w:lvl w:ilvl="6" w:tplc="69B01648">
      <w:start w:val="1"/>
      <w:numFmt w:val="bullet"/>
      <w:lvlText w:val=""/>
      <w:lvlJc w:val="left"/>
      <w:pPr>
        <w:ind w:left="5040" w:hanging="360"/>
      </w:pPr>
      <w:rPr>
        <w:rFonts w:ascii="Symbol" w:hAnsi="Symbol" w:hint="default"/>
      </w:rPr>
    </w:lvl>
    <w:lvl w:ilvl="7" w:tplc="0E74B5DA">
      <w:start w:val="1"/>
      <w:numFmt w:val="bullet"/>
      <w:lvlText w:val="o"/>
      <w:lvlJc w:val="left"/>
      <w:pPr>
        <w:ind w:left="5760" w:hanging="360"/>
      </w:pPr>
      <w:rPr>
        <w:rFonts w:ascii="Courier New" w:hAnsi="Courier New" w:hint="default"/>
      </w:rPr>
    </w:lvl>
    <w:lvl w:ilvl="8" w:tplc="E1D67CD4">
      <w:start w:val="1"/>
      <w:numFmt w:val="bullet"/>
      <w:lvlText w:val=""/>
      <w:lvlJc w:val="left"/>
      <w:pPr>
        <w:ind w:left="6480" w:hanging="360"/>
      </w:pPr>
      <w:rPr>
        <w:rFonts w:ascii="Wingdings" w:hAnsi="Wingdings" w:hint="default"/>
      </w:rPr>
    </w:lvl>
  </w:abstractNum>
  <w:abstractNum w:abstractNumId="19" w15:restartNumberingAfterBreak="0">
    <w:nsid w:val="507FB217"/>
    <w:multiLevelType w:val="hybridMultilevel"/>
    <w:tmpl w:val="1F60277C"/>
    <w:lvl w:ilvl="0" w:tplc="16AC050E">
      <w:start w:val="1"/>
      <w:numFmt w:val="bullet"/>
      <w:lvlText w:val="-"/>
      <w:lvlJc w:val="left"/>
      <w:pPr>
        <w:ind w:left="720" w:hanging="360"/>
      </w:pPr>
      <w:rPr>
        <w:rFonts w:ascii="&quot;Times New Roman&quot;,serif" w:hAnsi="&quot;Times New Roman&quot;,serif" w:hint="default"/>
      </w:rPr>
    </w:lvl>
    <w:lvl w:ilvl="1" w:tplc="54A6B52C">
      <w:start w:val="1"/>
      <w:numFmt w:val="bullet"/>
      <w:lvlText w:val="o"/>
      <w:lvlJc w:val="left"/>
      <w:pPr>
        <w:ind w:left="1440" w:hanging="360"/>
      </w:pPr>
      <w:rPr>
        <w:rFonts w:ascii="Courier New" w:hAnsi="Courier New" w:hint="default"/>
      </w:rPr>
    </w:lvl>
    <w:lvl w:ilvl="2" w:tplc="F4E483B4">
      <w:start w:val="1"/>
      <w:numFmt w:val="bullet"/>
      <w:lvlText w:val=""/>
      <w:lvlJc w:val="left"/>
      <w:pPr>
        <w:ind w:left="2160" w:hanging="360"/>
      </w:pPr>
      <w:rPr>
        <w:rFonts w:ascii="Wingdings" w:hAnsi="Wingdings" w:hint="default"/>
      </w:rPr>
    </w:lvl>
    <w:lvl w:ilvl="3" w:tplc="18468BEA">
      <w:start w:val="1"/>
      <w:numFmt w:val="bullet"/>
      <w:lvlText w:val=""/>
      <w:lvlJc w:val="left"/>
      <w:pPr>
        <w:ind w:left="2880" w:hanging="360"/>
      </w:pPr>
      <w:rPr>
        <w:rFonts w:ascii="Symbol" w:hAnsi="Symbol" w:hint="default"/>
      </w:rPr>
    </w:lvl>
    <w:lvl w:ilvl="4" w:tplc="F926C3A0">
      <w:start w:val="1"/>
      <w:numFmt w:val="bullet"/>
      <w:lvlText w:val="o"/>
      <w:lvlJc w:val="left"/>
      <w:pPr>
        <w:ind w:left="3600" w:hanging="360"/>
      </w:pPr>
      <w:rPr>
        <w:rFonts w:ascii="Courier New" w:hAnsi="Courier New" w:hint="default"/>
      </w:rPr>
    </w:lvl>
    <w:lvl w:ilvl="5" w:tplc="83DC2894">
      <w:start w:val="1"/>
      <w:numFmt w:val="bullet"/>
      <w:lvlText w:val=""/>
      <w:lvlJc w:val="left"/>
      <w:pPr>
        <w:ind w:left="4320" w:hanging="360"/>
      </w:pPr>
      <w:rPr>
        <w:rFonts w:ascii="Wingdings" w:hAnsi="Wingdings" w:hint="default"/>
      </w:rPr>
    </w:lvl>
    <w:lvl w:ilvl="6" w:tplc="17989D0A">
      <w:start w:val="1"/>
      <w:numFmt w:val="bullet"/>
      <w:lvlText w:val=""/>
      <w:lvlJc w:val="left"/>
      <w:pPr>
        <w:ind w:left="5040" w:hanging="360"/>
      </w:pPr>
      <w:rPr>
        <w:rFonts w:ascii="Symbol" w:hAnsi="Symbol" w:hint="default"/>
      </w:rPr>
    </w:lvl>
    <w:lvl w:ilvl="7" w:tplc="2BC21BC8">
      <w:start w:val="1"/>
      <w:numFmt w:val="bullet"/>
      <w:lvlText w:val="o"/>
      <w:lvlJc w:val="left"/>
      <w:pPr>
        <w:ind w:left="5760" w:hanging="360"/>
      </w:pPr>
      <w:rPr>
        <w:rFonts w:ascii="Courier New" w:hAnsi="Courier New" w:hint="default"/>
      </w:rPr>
    </w:lvl>
    <w:lvl w:ilvl="8" w:tplc="3174899E">
      <w:start w:val="1"/>
      <w:numFmt w:val="bullet"/>
      <w:lvlText w:val=""/>
      <w:lvlJc w:val="left"/>
      <w:pPr>
        <w:ind w:left="6480" w:hanging="360"/>
      </w:pPr>
      <w:rPr>
        <w:rFonts w:ascii="Wingdings" w:hAnsi="Wingdings" w:hint="default"/>
      </w:rPr>
    </w:lvl>
  </w:abstractNum>
  <w:abstractNum w:abstractNumId="20" w15:restartNumberingAfterBreak="0">
    <w:nsid w:val="51D40AE5"/>
    <w:multiLevelType w:val="multilevel"/>
    <w:tmpl w:val="2B6C3234"/>
    <w:lvl w:ilvl="0">
      <w:start w:val="9"/>
      <w:numFmt w:val="decimal"/>
      <w:lvlText w:val="%1"/>
      <w:lvlJc w:val="left"/>
      <w:pPr>
        <w:ind w:left="360" w:hanging="360"/>
      </w:pPr>
      <w:rPr>
        <w:rFonts w:hint="default"/>
        <w:b/>
      </w:rPr>
    </w:lvl>
    <w:lvl w:ilvl="1">
      <w:start w:val="1"/>
      <w:numFmt w:val="decimal"/>
      <w:lvlText w:val="%1.%2"/>
      <w:lvlJc w:val="left"/>
      <w:pPr>
        <w:ind w:left="840" w:hanging="36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21" w15:restartNumberingAfterBreak="0">
    <w:nsid w:val="57C7352E"/>
    <w:multiLevelType w:val="multilevel"/>
    <w:tmpl w:val="88CED1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DC9E9B"/>
    <w:multiLevelType w:val="hybridMultilevel"/>
    <w:tmpl w:val="FFFFFFFF"/>
    <w:lvl w:ilvl="0" w:tplc="038C4F20">
      <w:start w:val="1"/>
      <w:numFmt w:val="bullet"/>
      <w:lvlText w:val="-"/>
      <w:lvlJc w:val="left"/>
      <w:pPr>
        <w:ind w:left="720" w:hanging="360"/>
      </w:pPr>
      <w:rPr>
        <w:rFonts w:ascii="Aptos" w:hAnsi="Aptos" w:hint="default"/>
      </w:rPr>
    </w:lvl>
    <w:lvl w:ilvl="1" w:tplc="EDBCFF2A">
      <w:start w:val="1"/>
      <w:numFmt w:val="bullet"/>
      <w:lvlText w:val="o"/>
      <w:lvlJc w:val="left"/>
      <w:pPr>
        <w:ind w:left="1440" w:hanging="360"/>
      </w:pPr>
      <w:rPr>
        <w:rFonts w:ascii="Courier New" w:hAnsi="Courier New" w:hint="default"/>
      </w:rPr>
    </w:lvl>
    <w:lvl w:ilvl="2" w:tplc="8FD0A5E4">
      <w:start w:val="1"/>
      <w:numFmt w:val="bullet"/>
      <w:lvlText w:val=""/>
      <w:lvlJc w:val="left"/>
      <w:pPr>
        <w:ind w:left="2160" w:hanging="360"/>
      </w:pPr>
      <w:rPr>
        <w:rFonts w:ascii="Wingdings" w:hAnsi="Wingdings" w:hint="default"/>
      </w:rPr>
    </w:lvl>
    <w:lvl w:ilvl="3" w:tplc="C0E0F63A">
      <w:start w:val="1"/>
      <w:numFmt w:val="bullet"/>
      <w:lvlText w:val=""/>
      <w:lvlJc w:val="left"/>
      <w:pPr>
        <w:ind w:left="2880" w:hanging="360"/>
      </w:pPr>
      <w:rPr>
        <w:rFonts w:ascii="Symbol" w:hAnsi="Symbol" w:hint="default"/>
      </w:rPr>
    </w:lvl>
    <w:lvl w:ilvl="4" w:tplc="AF92E46A">
      <w:start w:val="1"/>
      <w:numFmt w:val="bullet"/>
      <w:lvlText w:val="o"/>
      <w:lvlJc w:val="left"/>
      <w:pPr>
        <w:ind w:left="3600" w:hanging="360"/>
      </w:pPr>
      <w:rPr>
        <w:rFonts w:ascii="Courier New" w:hAnsi="Courier New" w:hint="default"/>
      </w:rPr>
    </w:lvl>
    <w:lvl w:ilvl="5" w:tplc="7A4663A8">
      <w:start w:val="1"/>
      <w:numFmt w:val="bullet"/>
      <w:lvlText w:val=""/>
      <w:lvlJc w:val="left"/>
      <w:pPr>
        <w:ind w:left="4320" w:hanging="360"/>
      </w:pPr>
      <w:rPr>
        <w:rFonts w:ascii="Wingdings" w:hAnsi="Wingdings" w:hint="default"/>
      </w:rPr>
    </w:lvl>
    <w:lvl w:ilvl="6" w:tplc="8BD62324">
      <w:start w:val="1"/>
      <w:numFmt w:val="bullet"/>
      <w:lvlText w:val=""/>
      <w:lvlJc w:val="left"/>
      <w:pPr>
        <w:ind w:left="5040" w:hanging="360"/>
      </w:pPr>
      <w:rPr>
        <w:rFonts w:ascii="Symbol" w:hAnsi="Symbol" w:hint="default"/>
      </w:rPr>
    </w:lvl>
    <w:lvl w:ilvl="7" w:tplc="95A20C2C">
      <w:start w:val="1"/>
      <w:numFmt w:val="bullet"/>
      <w:lvlText w:val="o"/>
      <w:lvlJc w:val="left"/>
      <w:pPr>
        <w:ind w:left="5760" w:hanging="360"/>
      </w:pPr>
      <w:rPr>
        <w:rFonts w:ascii="Courier New" w:hAnsi="Courier New" w:hint="default"/>
      </w:rPr>
    </w:lvl>
    <w:lvl w:ilvl="8" w:tplc="64C2E588">
      <w:start w:val="1"/>
      <w:numFmt w:val="bullet"/>
      <w:lvlText w:val=""/>
      <w:lvlJc w:val="left"/>
      <w:pPr>
        <w:ind w:left="6480" w:hanging="360"/>
      </w:pPr>
      <w:rPr>
        <w:rFonts w:ascii="Wingdings" w:hAnsi="Wingdings" w:hint="default"/>
      </w:rPr>
    </w:lvl>
  </w:abstractNum>
  <w:abstractNum w:abstractNumId="23" w15:restartNumberingAfterBreak="0">
    <w:nsid w:val="5E010E50"/>
    <w:multiLevelType w:val="hybridMultilevel"/>
    <w:tmpl w:val="70700A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5"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352BFB1"/>
    <w:multiLevelType w:val="hybridMultilevel"/>
    <w:tmpl w:val="FFFFFFFF"/>
    <w:lvl w:ilvl="0" w:tplc="B9744660">
      <w:start w:val="1"/>
      <w:numFmt w:val="bullet"/>
      <w:lvlText w:val=""/>
      <w:lvlJc w:val="left"/>
      <w:pPr>
        <w:ind w:left="720" w:hanging="360"/>
      </w:pPr>
      <w:rPr>
        <w:rFonts w:ascii="Symbol" w:hAnsi="Symbol" w:hint="default"/>
      </w:rPr>
    </w:lvl>
    <w:lvl w:ilvl="1" w:tplc="249A724C">
      <w:start w:val="1"/>
      <w:numFmt w:val="bullet"/>
      <w:lvlText w:val="o"/>
      <w:lvlJc w:val="left"/>
      <w:pPr>
        <w:ind w:left="1440" w:hanging="360"/>
      </w:pPr>
      <w:rPr>
        <w:rFonts w:ascii="Courier New" w:hAnsi="Courier New" w:hint="default"/>
      </w:rPr>
    </w:lvl>
    <w:lvl w:ilvl="2" w:tplc="5E7877A2">
      <w:start w:val="1"/>
      <w:numFmt w:val="bullet"/>
      <w:lvlText w:val=""/>
      <w:lvlJc w:val="left"/>
      <w:pPr>
        <w:ind w:left="2160" w:hanging="360"/>
      </w:pPr>
      <w:rPr>
        <w:rFonts w:ascii="Wingdings" w:hAnsi="Wingdings" w:hint="default"/>
      </w:rPr>
    </w:lvl>
    <w:lvl w:ilvl="3" w:tplc="F200AB32">
      <w:start w:val="1"/>
      <w:numFmt w:val="bullet"/>
      <w:lvlText w:val=""/>
      <w:lvlJc w:val="left"/>
      <w:pPr>
        <w:ind w:left="2880" w:hanging="360"/>
      </w:pPr>
      <w:rPr>
        <w:rFonts w:ascii="Symbol" w:hAnsi="Symbol" w:hint="default"/>
      </w:rPr>
    </w:lvl>
    <w:lvl w:ilvl="4" w:tplc="139A647C">
      <w:start w:val="1"/>
      <w:numFmt w:val="bullet"/>
      <w:lvlText w:val="o"/>
      <w:lvlJc w:val="left"/>
      <w:pPr>
        <w:ind w:left="3600" w:hanging="360"/>
      </w:pPr>
      <w:rPr>
        <w:rFonts w:ascii="Courier New" w:hAnsi="Courier New" w:hint="default"/>
      </w:rPr>
    </w:lvl>
    <w:lvl w:ilvl="5" w:tplc="62FCCDD8">
      <w:start w:val="1"/>
      <w:numFmt w:val="bullet"/>
      <w:lvlText w:val=""/>
      <w:lvlJc w:val="left"/>
      <w:pPr>
        <w:ind w:left="4320" w:hanging="360"/>
      </w:pPr>
      <w:rPr>
        <w:rFonts w:ascii="Wingdings" w:hAnsi="Wingdings" w:hint="default"/>
      </w:rPr>
    </w:lvl>
    <w:lvl w:ilvl="6" w:tplc="6C6A9AD0">
      <w:start w:val="1"/>
      <w:numFmt w:val="bullet"/>
      <w:lvlText w:val=""/>
      <w:lvlJc w:val="left"/>
      <w:pPr>
        <w:ind w:left="5040" w:hanging="360"/>
      </w:pPr>
      <w:rPr>
        <w:rFonts w:ascii="Symbol" w:hAnsi="Symbol" w:hint="default"/>
      </w:rPr>
    </w:lvl>
    <w:lvl w:ilvl="7" w:tplc="9C92272A">
      <w:start w:val="1"/>
      <w:numFmt w:val="bullet"/>
      <w:lvlText w:val="o"/>
      <w:lvlJc w:val="left"/>
      <w:pPr>
        <w:ind w:left="5760" w:hanging="360"/>
      </w:pPr>
      <w:rPr>
        <w:rFonts w:ascii="Courier New" w:hAnsi="Courier New" w:hint="default"/>
      </w:rPr>
    </w:lvl>
    <w:lvl w:ilvl="8" w:tplc="DC42788E">
      <w:start w:val="1"/>
      <w:numFmt w:val="bullet"/>
      <w:lvlText w:val=""/>
      <w:lvlJc w:val="left"/>
      <w:pPr>
        <w:ind w:left="6480" w:hanging="360"/>
      </w:pPr>
      <w:rPr>
        <w:rFonts w:ascii="Wingdings" w:hAnsi="Wingdings" w:hint="default"/>
      </w:rPr>
    </w:lvl>
  </w:abstractNum>
  <w:abstractNum w:abstractNumId="27" w15:restartNumberingAfterBreak="0">
    <w:nsid w:val="66ABD2C7"/>
    <w:multiLevelType w:val="hybridMultilevel"/>
    <w:tmpl w:val="B2B07C1C"/>
    <w:lvl w:ilvl="0" w:tplc="A5A4F9E8">
      <w:start w:val="1"/>
      <w:numFmt w:val="bullet"/>
      <w:lvlText w:val="·"/>
      <w:lvlJc w:val="left"/>
      <w:pPr>
        <w:ind w:left="720" w:hanging="360"/>
      </w:pPr>
      <w:rPr>
        <w:rFonts w:ascii="Symbol" w:hAnsi="Symbol" w:hint="default"/>
      </w:rPr>
    </w:lvl>
    <w:lvl w:ilvl="1" w:tplc="F5B6E59E">
      <w:start w:val="1"/>
      <w:numFmt w:val="bullet"/>
      <w:lvlText w:val="o"/>
      <w:lvlJc w:val="left"/>
      <w:pPr>
        <w:ind w:left="1440" w:hanging="360"/>
      </w:pPr>
      <w:rPr>
        <w:rFonts w:ascii="Courier New" w:hAnsi="Courier New" w:hint="default"/>
      </w:rPr>
    </w:lvl>
    <w:lvl w:ilvl="2" w:tplc="7E0C0306">
      <w:start w:val="1"/>
      <w:numFmt w:val="bullet"/>
      <w:lvlText w:val=""/>
      <w:lvlJc w:val="left"/>
      <w:pPr>
        <w:ind w:left="2160" w:hanging="360"/>
      </w:pPr>
      <w:rPr>
        <w:rFonts w:ascii="Wingdings" w:hAnsi="Wingdings" w:hint="default"/>
      </w:rPr>
    </w:lvl>
    <w:lvl w:ilvl="3" w:tplc="613C98A6">
      <w:start w:val="1"/>
      <w:numFmt w:val="bullet"/>
      <w:lvlText w:val=""/>
      <w:lvlJc w:val="left"/>
      <w:pPr>
        <w:ind w:left="2880" w:hanging="360"/>
      </w:pPr>
      <w:rPr>
        <w:rFonts w:ascii="Symbol" w:hAnsi="Symbol" w:hint="default"/>
      </w:rPr>
    </w:lvl>
    <w:lvl w:ilvl="4" w:tplc="9E20A148">
      <w:start w:val="1"/>
      <w:numFmt w:val="bullet"/>
      <w:lvlText w:val="o"/>
      <w:lvlJc w:val="left"/>
      <w:pPr>
        <w:ind w:left="3600" w:hanging="360"/>
      </w:pPr>
      <w:rPr>
        <w:rFonts w:ascii="Courier New" w:hAnsi="Courier New" w:hint="default"/>
      </w:rPr>
    </w:lvl>
    <w:lvl w:ilvl="5" w:tplc="C6125878">
      <w:start w:val="1"/>
      <w:numFmt w:val="bullet"/>
      <w:lvlText w:val=""/>
      <w:lvlJc w:val="left"/>
      <w:pPr>
        <w:ind w:left="4320" w:hanging="360"/>
      </w:pPr>
      <w:rPr>
        <w:rFonts w:ascii="Wingdings" w:hAnsi="Wingdings" w:hint="default"/>
      </w:rPr>
    </w:lvl>
    <w:lvl w:ilvl="6" w:tplc="5CC8D42C">
      <w:start w:val="1"/>
      <w:numFmt w:val="bullet"/>
      <w:lvlText w:val=""/>
      <w:lvlJc w:val="left"/>
      <w:pPr>
        <w:ind w:left="5040" w:hanging="360"/>
      </w:pPr>
      <w:rPr>
        <w:rFonts w:ascii="Symbol" w:hAnsi="Symbol" w:hint="default"/>
      </w:rPr>
    </w:lvl>
    <w:lvl w:ilvl="7" w:tplc="21B4816E">
      <w:start w:val="1"/>
      <w:numFmt w:val="bullet"/>
      <w:lvlText w:val="o"/>
      <w:lvlJc w:val="left"/>
      <w:pPr>
        <w:ind w:left="5760" w:hanging="360"/>
      </w:pPr>
      <w:rPr>
        <w:rFonts w:ascii="Courier New" w:hAnsi="Courier New" w:hint="default"/>
      </w:rPr>
    </w:lvl>
    <w:lvl w:ilvl="8" w:tplc="CF06C47C">
      <w:start w:val="1"/>
      <w:numFmt w:val="bullet"/>
      <w:lvlText w:val=""/>
      <w:lvlJc w:val="left"/>
      <w:pPr>
        <w:ind w:left="6480" w:hanging="360"/>
      </w:pPr>
      <w:rPr>
        <w:rFonts w:ascii="Wingdings" w:hAnsi="Wingdings" w:hint="default"/>
      </w:rPr>
    </w:lvl>
  </w:abstractNum>
  <w:abstractNum w:abstractNumId="28" w15:restartNumberingAfterBreak="0">
    <w:nsid w:val="67AB593D"/>
    <w:multiLevelType w:val="hybridMultilevel"/>
    <w:tmpl w:val="B3C86F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9E2134E"/>
    <w:multiLevelType w:val="hybridMultilevel"/>
    <w:tmpl w:val="C38437C0"/>
    <w:lvl w:ilvl="0" w:tplc="194E3BCC">
      <w:start w:val="1"/>
      <w:numFmt w:val="bullet"/>
      <w:lvlText w:val=""/>
      <w:lvlJc w:val="left"/>
      <w:pPr>
        <w:ind w:left="720" w:hanging="360"/>
      </w:pPr>
      <w:rPr>
        <w:rFonts w:ascii="Symbol" w:hAnsi="Symbol" w:hint="default"/>
      </w:rPr>
    </w:lvl>
    <w:lvl w:ilvl="1" w:tplc="692072B6">
      <w:start w:val="1"/>
      <w:numFmt w:val="bullet"/>
      <w:lvlText w:val="o"/>
      <w:lvlJc w:val="left"/>
      <w:pPr>
        <w:ind w:left="1440" w:hanging="360"/>
      </w:pPr>
      <w:rPr>
        <w:rFonts w:ascii="Courier New" w:hAnsi="Courier New" w:hint="default"/>
      </w:rPr>
    </w:lvl>
    <w:lvl w:ilvl="2" w:tplc="51302EC2">
      <w:start w:val="1"/>
      <w:numFmt w:val="bullet"/>
      <w:lvlText w:val=""/>
      <w:lvlJc w:val="left"/>
      <w:pPr>
        <w:ind w:left="2160" w:hanging="360"/>
      </w:pPr>
      <w:rPr>
        <w:rFonts w:ascii="Wingdings" w:hAnsi="Wingdings" w:hint="default"/>
      </w:rPr>
    </w:lvl>
    <w:lvl w:ilvl="3" w:tplc="421EFF82">
      <w:start w:val="1"/>
      <w:numFmt w:val="bullet"/>
      <w:lvlText w:val=""/>
      <w:lvlJc w:val="left"/>
      <w:pPr>
        <w:ind w:left="2880" w:hanging="360"/>
      </w:pPr>
      <w:rPr>
        <w:rFonts w:ascii="Symbol" w:hAnsi="Symbol" w:hint="default"/>
      </w:rPr>
    </w:lvl>
    <w:lvl w:ilvl="4" w:tplc="E9B43DA8">
      <w:start w:val="1"/>
      <w:numFmt w:val="bullet"/>
      <w:lvlText w:val="o"/>
      <w:lvlJc w:val="left"/>
      <w:pPr>
        <w:ind w:left="3600" w:hanging="360"/>
      </w:pPr>
      <w:rPr>
        <w:rFonts w:ascii="Courier New" w:hAnsi="Courier New" w:hint="default"/>
      </w:rPr>
    </w:lvl>
    <w:lvl w:ilvl="5" w:tplc="A6629F12">
      <w:start w:val="1"/>
      <w:numFmt w:val="bullet"/>
      <w:lvlText w:val=""/>
      <w:lvlJc w:val="left"/>
      <w:pPr>
        <w:ind w:left="4320" w:hanging="360"/>
      </w:pPr>
      <w:rPr>
        <w:rFonts w:ascii="Wingdings" w:hAnsi="Wingdings" w:hint="default"/>
      </w:rPr>
    </w:lvl>
    <w:lvl w:ilvl="6" w:tplc="1374CFB4">
      <w:start w:val="1"/>
      <w:numFmt w:val="bullet"/>
      <w:lvlText w:val=""/>
      <w:lvlJc w:val="left"/>
      <w:pPr>
        <w:ind w:left="5040" w:hanging="360"/>
      </w:pPr>
      <w:rPr>
        <w:rFonts w:ascii="Symbol" w:hAnsi="Symbol" w:hint="default"/>
      </w:rPr>
    </w:lvl>
    <w:lvl w:ilvl="7" w:tplc="B146822A">
      <w:start w:val="1"/>
      <w:numFmt w:val="bullet"/>
      <w:lvlText w:val="o"/>
      <w:lvlJc w:val="left"/>
      <w:pPr>
        <w:ind w:left="5760" w:hanging="360"/>
      </w:pPr>
      <w:rPr>
        <w:rFonts w:ascii="Courier New" w:hAnsi="Courier New" w:hint="default"/>
      </w:rPr>
    </w:lvl>
    <w:lvl w:ilvl="8" w:tplc="F5A6896C">
      <w:start w:val="1"/>
      <w:numFmt w:val="bullet"/>
      <w:lvlText w:val=""/>
      <w:lvlJc w:val="left"/>
      <w:pPr>
        <w:ind w:left="6480" w:hanging="360"/>
      </w:pPr>
      <w:rPr>
        <w:rFonts w:ascii="Wingdings" w:hAnsi="Wingdings" w:hint="default"/>
      </w:rPr>
    </w:lvl>
  </w:abstractNum>
  <w:abstractNum w:abstractNumId="30" w15:restartNumberingAfterBreak="0">
    <w:nsid w:val="71CD0466"/>
    <w:multiLevelType w:val="multilevel"/>
    <w:tmpl w:val="B4CE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C64BA9"/>
    <w:multiLevelType w:val="multilevel"/>
    <w:tmpl w:val="CAF01860"/>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7900B7D3"/>
    <w:multiLevelType w:val="hybridMultilevel"/>
    <w:tmpl w:val="4C082272"/>
    <w:lvl w:ilvl="0" w:tplc="E90047FC">
      <w:start w:val="1"/>
      <w:numFmt w:val="bullet"/>
      <w:lvlText w:val="·"/>
      <w:lvlJc w:val="left"/>
      <w:pPr>
        <w:ind w:left="720" w:hanging="360"/>
      </w:pPr>
      <w:rPr>
        <w:rFonts w:ascii="Symbol" w:hAnsi="Symbol" w:hint="default"/>
      </w:rPr>
    </w:lvl>
    <w:lvl w:ilvl="1" w:tplc="129650B8">
      <w:start w:val="1"/>
      <w:numFmt w:val="bullet"/>
      <w:lvlText w:val="o"/>
      <w:lvlJc w:val="left"/>
      <w:pPr>
        <w:ind w:left="1440" w:hanging="360"/>
      </w:pPr>
      <w:rPr>
        <w:rFonts w:ascii="Courier New" w:hAnsi="Courier New" w:hint="default"/>
      </w:rPr>
    </w:lvl>
    <w:lvl w:ilvl="2" w:tplc="2C3EBD78">
      <w:start w:val="1"/>
      <w:numFmt w:val="bullet"/>
      <w:lvlText w:val=""/>
      <w:lvlJc w:val="left"/>
      <w:pPr>
        <w:ind w:left="2160" w:hanging="360"/>
      </w:pPr>
      <w:rPr>
        <w:rFonts w:ascii="Wingdings" w:hAnsi="Wingdings" w:hint="default"/>
      </w:rPr>
    </w:lvl>
    <w:lvl w:ilvl="3" w:tplc="1B4C7DB0">
      <w:start w:val="1"/>
      <w:numFmt w:val="bullet"/>
      <w:lvlText w:val=""/>
      <w:lvlJc w:val="left"/>
      <w:pPr>
        <w:ind w:left="2880" w:hanging="360"/>
      </w:pPr>
      <w:rPr>
        <w:rFonts w:ascii="Symbol" w:hAnsi="Symbol" w:hint="default"/>
      </w:rPr>
    </w:lvl>
    <w:lvl w:ilvl="4" w:tplc="42FC1340">
      <w:start w:val="1"/>
      <w:numFmt w:val="bullet"/>
      <w:lvlText w:val="o"/>
      <w:lvlJc w:val="left"/>
      <w:pPr>
        <w:ind w:left="3600" w:hanging="360"/>
      </w:pPr>
      <w:rPr>
        <w:rFonts w:ascii="Courier New" w:hAnsi="Courier New" w:hint="default"/>
      </w:rPr>
    </w:lvl>
    <w:lvl w:ilvl="5" w:tplc="E7CC0DB2">
      <w:start w:val="1"/>
      <w:numFmt w:val="bullet"/>
      <w:lvlText w:val=""/>
      <w:lvlJc w:val="left"/>
      <w:pPr>
        <w:ind w:left="4320" w:hanging="360"/>
      </w:pPr>
      <w:rPr>
        <w:rFonts w:ascii="Wingdings" w:hAnsi="Wingdings" w:hint="default"/>
      </w:rPr>
    </w:lvl>
    <w:lvl w:ilvl="6" w:tplc="BA4EF128">
      <w:start w:val="1"/>
      <w:numFmt w:val="bullet"/>
      <w:lvlText w:val=""/>
      <w:lvlJc w:val="left"/>
      <w:pPr>
        <w:ind w:left="5040" w:hanging="360"/>
      </w:pPr>
      <w:rPr>
        <w:rFonts w:ascii="Symbol" w:hAnsi="Symbol" w:hint="default"/>
      </w:rPr>
    </w:lvl>
    <w:lvl w:ilvl="7" w:tplc="0CEE6030">
      <w:start w:val="1"/>
      <w:numFmt w:val="bullet"/>
      <w:lvlText w:val="o"/>
      <w:lvlJc w:val="left"/>
      <w:pPr>
        <w:ind w:left="5760" w:hanging="360"/>
      </w:pPr>
      <w:rPr>
        <w:rFonts w:ascii="Courier New" w:hAnsi="Courier New" w:hint="default"/>
      </w:rPr>
    </w:lvl>
    <w:lvl w:ilvl="8" w:tplc="67AC95B6">
      <w:start w:val="1"/>
      <w:numFmt w:val="bullet"/>
      <w:lvlText w:val=""/>
      <w:lvlJc w:val="left"/>
      <w:pPr>
        <w:ind w:left="6480" w:hanging="360"/>
      </w:pPr>
      <w:rPr>
        <w:rFonts w:ascii="Wingdings" w:hAnsi="Wingdings" w:hint="default"/>
      </w:rPr>
    </w:lvl>
  </w:abstractNum>
  <w:abstractNum w:abstractNumId="33" w15:restartNumberingAfterBreak="0">
    <w:nsid w:val="7C1F118D"/>
    <w:multiLevelType w:val="multilevel"/>
    <w:tmpl w:val="F40874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61127C"/>
    <w:multiLevelType w:val="hybridMultilevel"/>
    <w:tmpl w:val="2856DEBC"/>
    <w:lvl w:ilvl="0" w:tplc="6C1AADC0">
      <w:start w:val="1"/>
      <w:numFmt w:val="bullet"/>
      <w:lvlText w:val="·"/>
      <w:lvlJc w:val="left"/>
      <w:pPr>
        <w:ind w:left="720" w:hanging="360"/>
      </w:pPr>
      <w:rPr>
        <w:rFonts w:ascii="Symbol" w:hAnsi="Symbol" w:hint="default"/>
      </w:rPr>
    </w:lvl>
    <w:lvl w:ilvl="1" w:tplc="3668B95A">
      <w:start w:val="1"/>
      <w:numFmt w:val="bullet"/>
      <w:lvlText w:val="o"/>
      <w:lvlJc w:val="left"/>
      <w:pPr>
        <w:ind w:left="1440" w:hanging="360"/>
      </w:pPr>
      <w:rPr>
        <w:rFonts w:ascii="Courier New" w:hAnsi="Courier New" w:hint="default"/>
      </w:rPr>
    </w:lvl>
    <w:lvl w:ilvl="2" w:tplc="43988BD0">
      <w:start w:val="1"/>
      <w:numFmt w:val="bullet"/>
      <w:lvlText w:val=""/>
      <w:lvlJc w:val="left"/>
      <w:pPr>
        <w:ind w:left="2160" w:hanging="360"/>
      </w:pPr>
      <w:rPr>
        <w:rFonts w:ascii="Wingdings" w:hAnsi="Wingdings" w:hint="default"/>
      </w:rPr>
    </w:lvl>
    <w:lvl w:ilvl="3" w:tplc="5726CBFE">
      <w:start w:val="1"/>
      <w:numFmt w:val="bullet"/>
      <w:lvlText w:val=""/>
      <w:lvlJc w:val="left"/>
      <w:pPr>
        <w:ind w:left="2880" w:hanging="360"/>
      </w:pPr>
      <w:rPr>
        <w:rFonts w:ascii="Symbol" w:hAnsi="Symbol" w:hint="default"/>
      </w:rPr>
    </w:lvl>
    <w:lvl w:ilvl="4" w:tplc="4A52A510">
      <w:start w:val="1"/>
      <w:numFmt w:val="bullet"/>
      <w:lvlText w:val="o"/>
      <w:lvlJc w:val="left"/>
      <w:pPr>
        <w:ind w:left="3600" w:hanging="360"/>
      </w:pPr>
      <w:rPr>
        <w:rFonts w:ascii="Courier New" w:hAnsi="Courier New" w:hint="default"/>
      </w:rPr>
    </w:lvl>
    <w:lvl w:ilvl="5" w:tplc="F20677DC">
      <w:start w:val="1"/>
      <w:numFmt w:val="bullet"/>
      <w:lvlText w:val=""/>
      <w:lvlJc w:val="left"/>
      <w:pPr>
        <w:ind w:left="4320" w:hanging="360"/>
      </w:pPr>
      <w:rPr>
        <w:rFonts w:ascii="Wingdings" w:hAnsi="Wingdings" w:hint="default"/>
      </w:rPr>
    </w:lvl>
    <w:lvl w:ilvl="6" w:tplc="BD84028A">
      <w:start w:val="1"/>
      <w:numFmt w:val="bullet"/>
      <w:lvlText w:val=""/>
      <w:lvlJc w:val="left"/>
      <w:pPr>
        <w:ind w:left="5040" w:hanging="360"/>
      </w:pPr>
      <w:rPr>
        <w:rFonts w:ascii="Symbol" w:hAnsi="Symbol" w:hint="default"/>
      </w:rPr>
    </w:lvl>
    <w:lvl w:ilvl="7" w:tplc="BE1A9D80">
      <w:start w:val="1"/>
      <w:numFmt w:val="bullet"/>
      <w:lvlText w:val="o"/>
      <w:lvlJc w:val="left"/>
      <w:pPr>
        <w:ind w:left="5760" w:hanging="360"/>
      </w:pPr>
      <w:rPr>
        <w:rFonts w:ascii="Courier New" w:hAnsi="Courier New" w:hint="default"/>
      </w:rPr>
    </w:lvl>
    <w:lvl w:ilvl="8" w:tplc="A654967E">
      <w:start w:val="1"/>
      <w:numFmt w:val="bullet"/>
      <w:lvlText w:val=""/>
      <w:lvlJc w:val="left"/>
      <w:pPr>
        <w:ind w:left="6480" w:hanging="360"/>
      </w:pPr>
      <w:rPr>
        <w:rFonts w:ascii="Wingdings" w:hAnsi="Wingdings" w:hint="default"/>
      </w:rPr>
    </w:lvl>
  </w:abstractNum>
  <w:abstractNum w:abstractNumId="35" w15:restartNumberingAfterBreak="0">
    <w:nsid w:val="7D1B2C12"/>
    <w:multiLevelType w:val="hybridMultilevel"/>
    <w:tmpl w:val="A198B72C"/>
    <w:lvl w:ilvl="0" w:tplc="84C29256">
      <w:start w:val="1"/>
      <w:numFmt w:val="bullet"/>
      <w:lvlText w:val="·"/>
      <w:lvlJc w:val="left"/>
      <w:pPr>
        <w:ind w:left="720" w:hanging="360"/>
      </w:pPr>
      <w:rPr>
        <w:rFonts w:ascii="Symbol" w:hAnsi="Symbol" w:hint="default"/>
      </w:rPr>
    </w:lvl>
    <w:lvl w:ilvl="1" w:tplc="85A68FBE">
      <w:start w:val="1"/>
      <w:numFmt w:val="bullet"/>
      <w:lvlText w:val="o"/>
      <w:lvlJc w:val="left"/>
      <w:pPr>
        <w:ind w:left="1440" w:hanging="360"/>
      </w:pPr>
      <w:rPr>
        <w:rFonts w:ascii="Courier New" w:hAnsi="Courier New" w:hint="default"/>
      </w:rPr>
    </w:lvl>
    <w:lvl w:ilvl="2" w:tplc="EF52D456">
      <w:start w:val="1"/>
      <w:numFmt w:val="bullet"/>
      <w:lvlText w:val=""/>
      <w:lvlJc w:val="left"/>
      <w:pPr>
        <w:ind w:left="2160" w:hanging="360"/>
      </w:pPr>
      <w:rPr>
        <w:rFonts w:ascii="Wingdings" w:hAnsi="Wingdings" w:hint="default"/>
      </w:rPr>
    </w:lvl>
    <w:lvl w:ilvl="3" w:tplc="8810560E">
      <w:start w:val="1"/>
      <w:numFmt w:val="bullet"/>
      <w:lvlText w:val=""/>
      <w:lvlJc w:val="left"/>
      <w:pPr>
        <w:ind w:left="2880" w:hanging="360"/>
      </w:pPr>
      <w:rPr>
        <w:rFonts w:ascii="Symbol" w:hAnsi="Symbol" w:hint="default"/>
      </w:rPr>
    </w:lvl>
    <w:lvl w:ilvl="4" w:tplc="C082BBA0">
      <w:start w:val="1"/>
      <w:numFmt w:val="bullet"/>
      <w:lvlText w:val="o"/>
      <w:lvlJc w:val="left"/>
      <w:pPr>
        <w:ind w:left="3600" w:hanging="360"/>
      </w:pPr>
      <w:rPr>
        <w:rFonts w:ascii="Courier New" w:hAnsi="Courier New" w:hint="default"/>
      </w:rPr>
    </w:lvl>
    <w:lvl w:ilvl="5" w:tplc="9C22444A">
      <w:start w:val="1"/>
      <w:numFmt w:val="bullet"/>
      <w:lvlText w:val=""/>
      <w:lvlJc w:val="left"/>
      <w:pPr>
        <w:ind w:left="4320" w:hanging="360"/>
      </w:pPr>
      <w:rPr>
        <w:rFonts w:ascii="Wingdings" w:hAnsi="Wingdings" w:hint="default"/>
      </w:rPr>
    </w:lvl>
    <w:lvl w:ilvl="6" w:tplc="6002C04C">
      <w:start w:val="1"/>
      <w:numFmt w:val="bullet"/>
      <w:lvlText w:val=""/>
      <w:lvlJc w:val="left"/>
      <w:pPr>
        <w:ind w:left="5040" w:hanging="360"/>
      </w:pPr>
      <w:rPr>
        <w:rFonts w:ascii="Symbol" w:hAnsi="Symbol" w:hint="default"/>
      </w:rPr>
    </w:lvl>
    <w:lvl w:ilvl="7" w:tplc="CB2E304C">
      <w:start w:val="1"/>
      <w:numFmt w:val="bullet"/>
      <w:lvlText w:val="o"/>
      <w:lvlJc w:val="left"/>
      <w:pPr>
        <w:ind w:left="5760" w:hanging="360"/>
      </w:pPr>
      <w:rPr>
        <w:rFonts w:ascii="Courier New" w:hAnsi="Courier New" w:hint="default"/>
      </w:rPr>
    </w:lvl>
    <w:lvl w:ilvl="8" w:tplc="219841DA">
      <w:start w:val="1"/>
      <w:numFmt w:val="bullet"/>
      <w:lvlText w:val=""/>
      <w:lvlJc w:val="left"/>
      <w:pPr>
        <w:ind w:left="6480" w:hanging="360"/>
      </w:pPr>
      <w:rPr>
        <w:rFonts w:ascii="Wingdings" w:hAnsi="Wingdings" w:hint="default"/>
      </w:rPr>
    </w:lvl>
  </w:abstractNum>
  <w:num w:numId="1">
    <w:abstractNumId w:val="35"/>
  </w:num>
  <w:num w:numId="2">
    <w:abstractNumId w:val="32"/>
  </w:num>
  <w:num w:numId="3">
    <w:abstractNumId w:val="27"/>
  </w:num>
  <w:num w:numId="4">
    <w:abstractNumId w:val="34"/>
  </w:num>
  <w:num w:numId="5">
    <w:abstractNumId w:val="16"/>
  </w:num>
  <w:num w:numId="6">
    <w:abstractNumId w:val="0"/>
  </w:num>
  <w:num w:numId="7">
    <w:abstractNumId w:val="13"/>
  </w:num>
  <w:num w:numId="8">
    <w:abstractNumId w:val="24"/>
  </w:num>
  <w:num w:numId="9">
    <w:abstractNumId w:val="8"/>
  </w:num>
  <w:num w:numId="10">
    <w:abstractNumId w:val="4"/>
  </w:num>
  <w:num w:numId="11">
    <w:abstractNumId w:val="3"/>
  </w:num>
  <w:num w:numId="12">
    <w:abstractNumId w:val="1"/>
  </w:num>
  <w:num w:numId="13">
    <w:abstractNumId w:val="8"/>
    <w:lvlOverride w:ilvl="0">
      <w:startOverride w:val="8"/>
    </w:lvlOverride>
  </w:num>
  <w:num w:numId="14">
    <w:abstractNumId w:val="2"/>
  </w:num>
  <w:num w:numId="15">
    <w:abstractNumId w:val="7"/>
  </w:num>
  <w:num w:numId="16">
    <w:abstractNumId w:val="11"/>
  </w:num>
  <w:num w:numId="17">
    <w:abstractNumId w:val="21"/>
  </w:num>
  <w:num w:numId="18">
    <w:abstractNumId w:val="30"/>
  </w:num>
  <w:num w:numId="19">
    <w:abstractNumId w:val="17"/>
  </w:num>
  <w:num w:numId="20">
    <w:abstractNumId w:val="9"/>
  </w:num>
  <w:num w:numId="21">
    <w:abstractNumId w:val="10"/>
  </w:num>
  <w:num w:numId="22">
    <w:abstractNumId w:val="5"/>
  </w:num>
  <w:num w:numId="23">
    <w:abstractNumId w:val="25"/>
  </w:num>
  <w:num w:numId="24">
    <w:abstractNumId w:val="19"/>
  </w:num>
  <w:num w:numId="25">
    <w:abstractNumId w:val="14"/>
  </w:num>
  <w:num w:numId="26">
    <w:abstractNumId w:val="22"/>
  </w:num>
  <w:num w:numId="27">
    <w:abstractNumId w:val="18"/>
  </w:num>
  <w:num w:numId="28">
    <w:abstractNumId w:val="31"/>
  </w:num>
  <w:num w:numId="29">
    <w:abstractNumId w:val="6"/>
  </w:num>
  <w:num w:numId="30">
    <w:abstractNumId w:val="20"/>
  </w:num>
  <w:num w:numId="31">
    <w:abstractNumId w:val="28"/>
  </w:num>
  <w:num w:numId="32">
    <w:abstractNumId w:val="12"/>
  </w:num>
  <w:num w:numId="33">
    <w:abstractNumId w:val="23"/>
  </w:num>
  <w:num w:numId="34">
    <w:abstractNumId w:val="15"/>
  </w:num>
  <w:num w:numId="35">
    <w:abstractNumId w:val="8"/>
    <w:lvlOverride w:ilvl="0">
      <w:startOverride w:val="4"/>
    </w:lvlOverride>
  </w:num>
  <w:num w:numId="36">
    <w:abstractNumId w:val="8"/>
  </w:num>
  <w:num w:numId="37">
    <w:abstractNumId w:val="26"/>
  </w:num>
  <w:num w:numId="38">
    <w:abstractNumId w:val="29"/>
  </w:num>
  <w:num w:numId="39">
    <w:abstractNumId w:val="8"/>
    <w:lvlOverride w:ilvl="0">
      <w:startOverride w:val="2"/>
    </w:lvlOverride>
  </w:num>
  <w:num w:numId="40">
    <w:abstractNumId w:val="3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A94A37CE-1A69-4F70-AC58-97B5489652E2"/>
    <w:docVar w:name="LW_COVERPAGE_TYPE" w:val="1"/>
    <w:docVar w:name="LW_CROSSREFERENCE" w:val="{COM(2026) 308 final} - {SEC(2026) 186 final} - {SWD(2026) 164 final} - {SWD(2026) 166 final}"/>
    <w:docVar w:name="LW_DocType" w:val="NORMAL"/>
    <w:docVar w:name="LW_EMISSION" w:val="24.6.2026"/>
    <w:docVar w:name="LW_EMISSION_ISODATE" w:val="2026-06-24"/>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administrative cooperation in the field of taxation (recast)"/>
    <w:docVar w:name="LW_PART_NBR" w:val="1"/>
    <w:docVar w:name="LW_PART_NBR_TOTAL" w:val="1"/>
    <w:docVar w:name="LW_REF.INST.NEW" w:val="SWD"/>
    <w:docVar w:name="LW_REF.INST.NEW_ADOPTED" w:val="final"/>
    <w:docVar w:name="LW_REF.INST.NEW_TEXT" w:val="(2026) 1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COUNCIL DIRECTIVE"/>
    <w:docVar w:name="LwApiVersions" w:val="LW4CoDe 1.24.5.0; LW 9.2, Build 20251112"/>
  </w:docVars>
  <w:rsids>
    <w:rsidRoot w:val="006B087E"/>
    <w:rsid w:val="00000107"/>
    <w:rsid w:val="00000247"/>
    <w:rsid w:val="000002AC"/>
    <w:rsid w:val="000002F3"/>
    <w:rsid w:val="0000049E"/>
    <w:rsid w:val="000004C5"/>
    <w:rsid w:val="00000534"/>
    <w:rsid w:val="0000060E"/>
    <w:rsid w:val="00000668"/>
    <w:rsid w:val="000006F9"/>
    <w:rsid w:val="0000079D"/>
    <w:rsid w:val="00000953"/>
    <w:rsid w:val="00000A4D"/>
    <w:rsid w:val="00000CB2"/>
    <w:rsid w:val="00000D79"/>
    <w:rsid w:val="00000EF7"/>
    <w:rsid w:val="0000117A"/>
    <w:rsid w:val="000011DC"/>
    <w:rsid w:val="00001326"/>
    <w:rsid w:val="0000145A"/>
    <w:rsid w:val="000014BE"/>
    <w:rsid w:val="00001557"/>
    <w:rsid w:val="000015E9"/>
    <w:rsid w:val="0000184A"/>
    <w:rsid w:val="0000186A"/>
    <w:rsid w:val="000018E6"/>
    <w:rsid w:val="00001943"/>
    <w:rsid w:val="00001A0B"/>
    <w:rsid w:val="00001A62"/>
    <w:rsid w:val="00001C64"/>
    <w:rsid w:val="00001CB8"/>
    <w:rsid w:val="00001D88"/>
    <w:rsid w:val="00001D89"/>
    <w:rsid w:val="00001E15"/>
    <w:rsid w:val="00001EC2"/>
    <w:rsid w:val="00002044"/>
    <w:rsid w:val="000020CC"/>
    <w:rsid w:val="000020D0"/>
    <w:rsid w:val="00002112"/>
    <w:rsid w:val="00002172"/>
    <w:rsid w:val="000021A3"/>
    <w:rsid w:val="00002200"/>
    <w:rsid w:val="0000239B"/>
    <w:rsid w:val="00002438"/>
    <w:rsid w:val="00002475"/>
    <w:rsid w:val="000024EB"/>
    <w:rsid w:val="00002784"/>
    <w:rsid w:val="000027B8"/>
    <w:rsid w:val="00002884"/>
    <w:rsid w:val="000028A9"/>
    <w:rsid w:val="00002A65"/>
    <w:rsid w:val="00002C43"/>
    <w:rsid w:val="00002C8E"/>
    <w:rsid w:val="00002D2E"/>
    <w:rsid w:val="00002E66"/>
    <w:rsid w:val="00002E9F"/>
    <w:rsid w:val="00002F53"/>
    <w:rsid w:val="0000326D"/>
    <w:rsid w:val="00003420"/>
    <w:rsid w:val="0000347B"/>
    <w:rsid w:val="00003580"/>
    <w:rsid w:val="00003646"/>
    <w:rsid w:val="000037E8"/>
    <w:rsid w:val="0000391A"/>
    <w:rsid w:val="00003980"/>
    <w:rsid w:val="00003B02"/>
    <w:rsid w:val="00003B28"/>
    <w:rsid w:val="00003C53"/>
    <w:rsid w:val="00004097"/>
    <w:rsid w:val="000040EB"/>
    <w:rsid w:val="000040F4"/>
    <w:rsid w:val="0000437E"/>
    <w:rsid w:val="000043B8"/>
    <w:rsid w:val="000044C2"/>
    <w:rsid w:val="0000452C"/>
    <w:rsid w:val="0000483B"/>
    <w:rsid w:val="00004B88"/>
    <w:rsid w:val="00004C40"/>
    <w:rsid w:val="00004E12"/>
    <w:rsid w:val="00004E6A"/>
    <w:rsid w:val="00004ED8"/>
    <w:rsid w:val="00004F89"/>
    <w:rsid w:val="000051D5"/>
    <w:rsid w:val="000051ED"/>
    <w:rsid w:val="000051F4"/>
    <w:rsid w:val="0000529A"/>
    <w:rsid w:val="000053B4"/>
    <w:rsid w:val="000054BF"/>
    <w:rsid w:val="000054CB"/>
    <w:rsid w:val="00005689"/>
    <w:rsid w:val="000056EA"/>
    <w:rsid w:val="000058C3"/>
    <w:rsid w:val="0000598F"/>
    <w:rsid w:val="00005B89"/>
    <w:rsid w:val="00005BDE"/>
    <w:rsid w:val="00005CE4"/>
    <w:rsid w:val="00005D53"/>
    <w:rsid w:val="00005E8E"/>
    <w:rsid w:val="00006073"/>
    <w:rsid w:val="00006109"/>
    <w:rsid w:val="000062BE"/>
    <w:rsid w:val="000063AA"/>
    <w:rsid w:val="0000655E"/>
    <w:rsid w:val="000065FB"/>
    <w:rsid w:val="00006613"/>
    <w:rsid w:val="000067A7"/>
    <w:rsid w:val="000067DA"/>
    <w:rsid w:val="0000681C"/>
    <w:rsid w:val="0000685E"/>
    <w:rsid w:val="00006C9E"/>
    <w:rsid w:val="00006E6F"/>
    <w:rsid w:val="00006EF7"/>
    <w:rsid w:val="00006FE1"/>
    <w:rsid w:val="000070D3"/>
    <w:rsid w:val="000070F7"/>
    <w:rsid w:val="000072E3"/>
    <w:rsid w:val="000075E7"/>
    <w:rsid w:val="00007607"/>
    <w:rsid w:val="0000768F"/>
    <w:rsid w:val="000076B0"/>
    <w:rsid w:val="000076B3"/>
    <w:rsid w:val="000076B7"/>
    <w:rsid w:val="00007706"/>
    <w:rsid w:val="0000775E"/>
    <w:rsid w:val="00007793"/>
    <w:rsid w:val="00007846"/>
    <w:rsid w:val="0000789E"/>
    <w:rsid w:val="000078BE"/>
    <w:rsid w:val="00007A17"/>
    <w:rsid w:val="00007A7D"/>
    <w:rsid w:val="00007CA5"/>
    <w:rsid w:val="00007D0F"/>
    <w:rsid w:val="00007D8A"/>
    <w:rsid w:val="00007E1C"/>
    <w:rsid w:val="00007F44"/>
    <w:rsid w:val="00007F96"/>
    <w:rsid w:val="000100DA"/>
    <w:rsid w:val="00010122"/>
    <w:rsid w:val="0001046F"/>
    <w:rsid w:val="0001057C"/>
    <w:rsid w:val="00010595"/>
    <w:rsid w:val="0001062E"/>
    <w:rsid w:val="00010685"/>
    <w:rsid w:val="000107B2"/>
    <w:rsid w:val="0001081B"/>
    <w:rsid w:val="00010868"/>
    <w:rsid w:val="00010960"/>
    <w:rsid w:val="00010984"/>
    <w:rsid w:val="00010A32"/>
    <w:rsid w:val="00010A3F"/>
    <w:rsid w:val="00010C2E"/>
    <w:rsid w:val="00010E72"/>
    <w:rsid w:val="0001104B"/>
    <w:rsid w:val="00011064"/>
    <w:rsid w:val="00011079"/>
    <w:rsid w:val="00011193"/>
    <w:rsid w:val="00011224"/>
    <w:rsid w:val="00011267"/>
    <w:rsid w:val="000112DC"/>
    <w:rsid w:val="00011305"/>
    <w:rsid w:val="00011476"/>
    <w:rsid w:val="00011489"/>
    <w:rsid w:val="00011560"/>
    <w:rsid w:val="00011630"/>
    <w:rsid w:val="00011634"/>
    <w:rsid w:val="000116A9"/>
    <w:rsid w:val="000117F3"/>
    <w:rsid w:val="000118D6"/>
    <w:rsid w:val="000119A2"/>
    <w:rsid w:val="000119A9"/>
    <w:rsid w:val="000119C7"/>
    <w:rsid w:val="00011ACC"/>
    <w:rsid w:val="00011BBD"/>
    <w:rsid w:val="00011BFD"/>
    <w:rsid w:val="00011C6F"/>
    <w:rsid w:val="00011F9C"/>
    <w:rsid w:val="0001205B"/>
    <w:rsid w:val="00012146"/>
    <w:rsid w:val="00012200"/>
    <w:rsid w:val="0001227E"/>
    <w:rsid w:val="000124B7"/>
    <w:rsid w:val="00012692"/>
    <w:rsid w:val="000126D1"/>
    <w:rsid w:val="000126F9"/>
    <w:rsid w:val="00012803"/>
    <w:rsid w:val="000128F4"/>
    <w:rsid w:val="00012904"/>
    <w:rsid w:val="00012ADF"/>
    <w:rsid w:val="00012E66"/>
    <w:rsid w:val="00013186"/>
    <w:rsid w:val="000131D1"/>
    <w:rsid w:val="0001328A"/>
    <w:rsid w:val="00013386"/>
    <w:rsid w:val="0001339C"/>
    <w:rsid w:val="000136A5"/>
    <w:rsid w:val="00013781"/>
    <w:rsid w:val="0001387A"/>
    <w:rsid w:val="000138D0"/>
    <w:rsid w:val="000139A3"/>
    <w:rsid w:val="00013A1B"/>
    <w:rsid w:val="00013A67"/>
    <w:rsid w:val="00013B37"/>
    <w:rsid w:val="00013BD6"/>
    <w:rsid w:val="00013D5F"/>
    <w:rsid w:val="00013DFD"/>
    <w:rsid w:val="00013E6B"/>
    <w:rsid w:val="00014067"/>
    <w:rsid w:val="00014163"/>
    <w:rsid w:val="000141D0"/>
    <w:rsid w:val="0001429D"/>
    <w:rsid w:val="00014309"/>
    <w:rsid w:val="00014315"/>
    <w:rsid w:val="0001435A"/>
    <w:rsid w:val="0001439A"/>
    <w:rsid w:val="0001455C"/>
    <w:rsid w:val="000146E9"/>
    <w:rsid w:val="00014728"/>
    <w:rsid w:val="00014746"/>
    <w:rsid w:val="000147BA"/>
    <w:rsid w:val="0001487C"/>
    <w:rsid w:val="00014905"/>
    <w:rsid w:val="00014963"/>
    <w:rsid w:val="0001498E"/>
    <w:rsid w:val="000149F8"/>
    <w:rsid w:val="00014A05"/>
    <w:rsid w:val="00014A85"/>
    <w:rsid w:val="00014B93"/>
    <w:rsid w:val="00014BE9"/>
    <w:rsid w:val="00014CF1"/>
    <w:rsid w:val="00014E1D"/>
    <w:rsid w:val="00014E2A"/>
    <w:rsid w:val="00014FDC"/>
    <w:rsid w:val="000151C0"/>
    <w:rsid w:val="000151E1"/>
    <w:rsid w:val="000151EC"/>
    <w:rsid w:val="00015269"/>
    <w:rsid w:val="0001526E"/>
    <w:rsid w:val="000152B7"/>
    <w:rsid w:val="000152C2"/>
    <w:rsid w:val="0001532C"/>
    <w:rsid w:val="00015663"/>
    <w:rsid w:val="000156CC"/>
    <w:rsid w:val="00015724"/>
    <w:rsid w:val="00015977"/>
    <w:rsid w:val="00015BDD"/>
    <w:rsid w:val="00015FAF"/>
    <w:rsid w:val="00015FFA"/>
    <w:rsid w:val="000160E0"/>
    <w:rsid w:val="0001619C"/>
    <w:rsid w:val="00016213"/>
    <w:rsid w:val="000162C9"/>
    <w:rsid w:val="00016368"/>
    <w:rsid w:val="00016384"/>
    <w:rsid w:val="00016932"/>
    <w:rsid w:val="00016AB2"/>
    <w:rsid w:val="00016B4A"/>
    <w:rsid w:val="00016B4D"/>
    <w:rsid w:val="00016CA1"/>
    <w:rsid w:val="00016CEA"/>
    <w:rsid w:val="00016CEB"/>
    <w:rsid w:val="00016D75"/>
    <w:rsid w:val="00016DAE"/>
    <w:rsid w:val="00016DD4"/>
    <w:rsid w:val="00016F9F"/>
    <w:rsid w:val="000170EF"/>
    <w:rsid w:val="0001726A"/>
    <w:rsid w:val="00017397"/>
    <w:rsid w:val="000175DC"/>
    <w:rsid w:val="00017744"/>
    <w:rsid w:val="0001777F"/>
    <w:rsid w:val="000177A6"/>
    <w:rsid w:val="000178C0"/>
    <w:rsid w:val="00017984"/>
    <w:rsid w:val="00017A05"/>
    <w:rsid w:val="00017A2E"/>
    <w:rsid w:val="00017C42"/>
    <w:rsid w:val="00017DD3"/>
    <w:rsid w:val="00017E2F"/>
    <w:rsid w:val="00017F52"/>
    <w:rsid w:val="00019D4D"/>
    <w:rsid w:val="000200AE"/>
    <w:rsid w:val="000201BC"/>
    <w:rsid w:val="000204FD"/>
    <w:rsid w:val="000206C1"/>
    <w:rsid w:val="000206E5"/>
    <w:rsid w:val="00020722"/>
    <w:rsid w:val="00020782"/>
    <w:rsid w:val="00020A34"/>
    <w:rsid w:val="00020DB2"/>
    <w:rsid w:val="00020F29"/>
    <w:rsid w:val="00020F62"/>
    <w:rsid w:val="00020F7E"/>
    <w:rsid w:val="00021070"/>
    <w:rsid w:val="0002128A"/>
    <w:rsid w:val="000212E1"/>
    <w:rsid w:val="0002132E"/>
    <w:rsid w:val="00021382"/>
    <w:rsid w:val="000213BA"/>
    <w:rsid w:val="00021448"/>
    <w:rsid w:val="000214C6"/>
    <w:rsid w:val="000214F8"/>
    <w:rsid w:val="00021524"/>
    <w:rsid w:val="00021605"/>
    <w:rsid w:val="0002160E"/>
    <w:rsid w:val="000216C7"/>
    <w:rsid w:val="000217A0"/>
    <w:rsid w:val="000218D5"/>
    <w:rsid w:val="000219A5"/>
    <w:rsid w:val="00021D4E"/>
    <w:rsid w:val="00021F40"/>
    <w:rsid w:val="00021FAA"/>
    <w:rsid w:val="00022408"/>
    <w:rsid w:val="0002246C"/>
    <w:rsid w:val="00022473"/>
    <w:rsid w:val="0002262B"/>
    <w:rsid w:val="00022700"/>
    <w:rsid w:val="000229C2"/>
    <w:rsid w:val="00022B3F"/>
    <w:rsid w:val="00022B51"/>
    <w:rsid w:val="00022DEF"/>
    <w:rsid w:val="00023277"/>
    <w:rsid w:val="00023405"/>
    <w:rsid w:val="0002345C"/>
    <w:rsid w:val="0002350C"/>
    <w:rsid w:val="000238D5"/>
    <w:rsid w:val="000239D9"/>
    <w:rsid w:val="00023A99"/>
    <w:rsid w:val="00023AF3"/>
    <w:rsid w:val="00023C1C"/>
    <w:rsid w:val="00023C42"/>
    <w:rsid w:val="00023C5F"/>
    <w:rsid w:val="00023CD7"/>
    <w:rsid w:val="00023D1A"/>
    <w:rsid w:val="00023DF3"/>
    <w:rsid w:val="00023E5C"/>
    <w:rsid w:val="00023FDB"/>
    <w:rsid w:val="000240BA"/>
    <w:rsid w:val="0002412D"/>
    <w:rsid w:val="00024181"/>
    <w:rsid w:val="000243B7"/>
    <w:rsid w:val="00024456"/>
    <w:rsid w:val="000246FD"/>
    <w:rsid w:val="000247FA"/>
    <w:rsid w:val="0002497C"/>
    <w:rsid w:val="00024CE9"/>
    <w:rsid w:val="00024E53"/>
    <w:rsid w:val="00024F01"/>
    <w:rsid w:val="00024FEF"/>
    <w:rsid w:val="000250B7"/>
    <w:rsid w:val="00025259"/>
    <w:rsid w:val="0002553C"/>
    <w:rsid w:val="00025572"/>
    <w:rsid w:val="00025652"/>
    <w:rsid w:val="0002565E"/>
    <w:rsid w:val="0002566E"/>
    <w:rsid w:val="000256BA"/>
    <w:rsid w:val="000256F4"/>
    <w:rsid w:val="00025795"/>
    <w:rsid w:val="0002589A"/>
    <w:rsid w:val="00025C23"/>
    <w:rsid w:val="00025D05"/>
    <w:rsid w:val="00025DE3"/>
    <w:rsid w:val="00025DE9"/>
    <w:rsid w:val="00025E43"/>
    <w:rsid w:val="00025F99"/>
    <w:rsid w:val="00026127"/>
    <w:rsid w:val="0002616C"/>
    <w:rsid w:val="00026283"/>
    <w:rsid w:val="0002628C"/>
    <w:rsid w:val="000262D7"/>
    <w:rsid w:val="000264E8"/>
    <w:rsid w:val="000264F2"/>
    <w:rsid w:val="00026739"/>
    <w:rsid w:val="0002676D"/>
    <w:rsid w:val="00026823"/>
    <w:rsid w:val="00026896"/>
    <w:rsid w:val="000268D2"/>
    <w:rsid w:val="000268FC"/>
    <w:rsid w:val="00026957"/>
    <w:rsid w:val="0002698A"/>
    <w:rsid w:val="000269A6"/>
    <w:rsid w:val="00026A0A"/>
    <w:rsid w:val="00026A1A"/>
    <w:rsid w:val="00026A47"/>
    <w:rsid w:val="00026A7E"/>
    <w:rsid w:val="00026BA0"/>
    <w:rsid w:val="00026BF1"/>
    <w:rsid w:val="00026C22"/>
    <w:rsid w:val="00026C47"/>
    <w:rsid w:val="00026C8E"/>
    <w:rsid w:val="00026F8C"/>
    <w:rsid w:val="0002700F"/>
    <w:rsid w:val="0002702B"/>
    <w:rsid w:val="0002726D"/>
    <w:rsid w:val="000272B4"/>
    <w:rsid w:val="00027337"/>
    <w:rsid w:val="00027375"/>
    <w:rsid w:val="0002741D"/>
    <w:rsid w:val="00027519"/>
    <w:rsid w:val="00027752"/>
    <w:rsid w:val="00027766"/>
    <w:rsid w:val="0002781D"/>
    <w:rsid w:val="00027923"/>
    <w:rsid w:val="00027C39"/>
    <w:rsid w:val="00027CE5"/>
    <w:rsid w:val="00027E96"/>
    <w:rsid w:val="00027F82"/>
    <w:rsid w:val="00027F88"/>
    <w:rsid w:val="00027FC0"/>
    <w:rsid w:val="0003003D"/>
    <w:rsid w:val="00030046"/>
    <w:rsid w:val="0003013B"/>
    <w:rsid w:val="000302F7"/>
    <w:rsid w:val="00030315"/>
    <w:rsid w:val="00030357"/>
    <w:rsid w:val="00030428"/>
    <w:rsid w:val="0003058D"/>
    <w:rsid w:val="00030786"/>
    <w:rsid w:val="000307EE"/>
    <w:rsid w:val="00030A9E"/>
    <w:rsid w:val="00030B27"/>
    <w:rsid w:val="00030BD0"/>
    <w:rsid w:val="00030D76"/>
    <w:rsid w:val="00030EAE"/>
    <w:rsid w:val="00030F71"/>
    <w:rsid w:val="000310A4"/>
    <w:rsid w:val="00031101"/>
    <w:rsid w:val="000311CE"/>
    <w:rsid w:val="000312BF"/>
    <w:rsid w:val="00031327"/>
    <w:rsid w:val="00031664"/>
    <w:rsid w:val="000318A2"/>
    <w:rsid w:val="00031B7E"/>
    <w:rsid w:val="00031CD5"/>
    <w:rsid w:val="00031CE9"/>
    <w:rsid w:val="00031DD9"/>
    <w:rsid w:val="00031DF2"/>
    <w:rsid w:val="00031E60"/>
    <w:rsid w:val="00031E79"/>
    <w:rsid w:val="00031FB6"/>
    <w:rsid w:val="00032102"/>
    <w:rsid w:val="0003218E"/>
    <w:rsid w:val="000321A8"/>
    <w:rsid w:val="000321FE"/>
    <w:rsid w:val="0003232C"/>
    <w:rsid w:val="0003254D"/>
    <w:rsid w:val="000325B6"/>
    <w:rsid w:val="00032626"/>
    <w:rsid w:val="0003265A"/>
    <w:rsid w:val="0003290E"/>
    <w:rsid w:val="00032DE0"/>
    <w:rsid w:val="00032DED"/>
    <w:rsid w:val="00032E42"/>
    <w:rsid w:val="00032E45"/>
    <w:rsid w:val="00032F21"/>
    <w:rsid w:val="00032F8C"/>
    <w:rsid w:val="00033138"/>
    <w:rsid w:val="0003341C"/>
    <w:rsid w:val="0003345F"/>
    <w:rsid w:val="000336B2"/>
    <w:rsid w:val="000336B7"/>
    <w:rsid w:val="000336F7"/>
    <w:rsid w:val="000338D3"/>
    <w:rsid w:val="0003398D"/>
    <w:rsid w:val="000339CC"/>
    <w:rsid w:val="00033A6D"/>
    <w:rsid w:val="00033AF4"/>
    <w:rsid w:val="00033B27"/>
    <w:rsid w:val="00033B3D"/>
    <w:rsid w:val="00033DE9"/>
    <w:rsid w:val="00033F58"/>
    <w:rsid w:val="00033F9E"/>
    <w:rsid w:val="000340E6"/>
    <w:rsid w:val="00034206"/>
    <w:rsid w:val="0003420E"/>
    <w:rsid w:val="0003422D"/>
    <w:rsid w:val="000343CA"/>
    <w:rsid w:val="000343DD"/>
    <w:rsid w:val="00034695"/>
    <w:rsid w:val="0003475C"/>
    <w:rsid w:val="00034A96"/>
    <w:rsid w:val="00034B93"/>
    <w:rsid w:val="00034C25"/>
    <w:rsid w:val="00034D6C"/>
    <w:rsid w:val="00034D85"/>
    <w:rsid w:val="00034F5D"/>
    <w:rsid w:val="0003509F"/>
    <w:rsid w:val="000351A7"/>
    <w:rsid w:val="0003525D"/>
    <w:rsid w:val="0003526A"/>
    <w:rsid w:val="00035293"/>
    <w:rsid w:val="0003538E"/>
    <w:rsid w:val="00035404"/>
    <w:rsid w:val="00035788"/>
    <w:rsid w:val="0003578D"/>
    <w:rsid w:val="000357A2"/>
    <w:rsid w:val="00035909"/>
    <w:rsid w:val="00035A39"/>
    <w:rsid w:val="00035A48"/>
    <w:rsid w:val="00035D22"/>
    <w:rsid w:val="00035D39"/>
    <w:rsid w:val="00035DBD"/>
    <w:rsid w:val="00035E8D"/>
    <w:rsid w:val="00035EED"/>
    <w:rsid w:val="0003617D"/>
    <w:rsid w:val="0003618D"/>
    <w:rsid w:val="000361DC"/>
    <w:rsid w:val="0003625D"/>
    <w:rsid w:val="00036604"/>
    <w:rsid w:val="00036677"/>
    <w:rsid w:val="000367F6"/>
    <w:rsid w:val="000368D7"/>
    <w:rsid w:val="000368DC"/>
    <w:rsid w:val="00036944"/>
    <w:rsid w:val="00036964"/>
    <w:rsid w:val="000369AB"/>
    <w:rsid w:val="000369D9"/>
    <w:rsid w:val="00036B6F"/>
    <w:rsid w:val="00036C60"/>
    <w:rsid w:val="00036C8C"/>
    <w:rsid w:val="00036CCC"/>
    <w:rsid w:val="00036CF3"/>
    <w:rsid w:val="00036CFF"/>
    <w:rsid w:val="00036E3D"/>
    <w:rsid w:val="00036EDC"/>
    <w:rsid w:val="00036EE5"/>
    <w:rsid w:val="00036F8F"/>
    <w:rsid w:val="00036FBE"/>
    <w:rsid w:val="00037048"/>
    <w:rsid w:val="00037198"/>
    <w:rsid w:val="00037280"/>
    <w:rsid w:val="0003742B"/>
    <w:rsid w:val="000375C6"/>
    <w:rsid w:val="000376B0"/>
    <w:rsid w:val="0003778F"/>
    <w:rsid w:val="00037791"/>
    <w:rsid w:val="0003780C"/>
    <w:rsid w:val="000378FF"/>
    <w:rsid w:val="0003793E"/>
    <w:rsid w:val="00037A23"/>
    <w:rsid w:val="00037B18"/>
    <w:rsid w:val="00037D7F"/>
    <w:rsid w:val="00037F94"/>
    <w:rsid w:val="0003DF89"/>
    <w:rsid w:val="00040006"/>
    <w:rsid w:val="0004009F"/>
    <w:rsid w:val="000401EA"/>
    <w:rsid w:val="000401F3"/>
    <w:rsid w:val="0004021A"/>
    <w:rsid w:val="00040269"/>
    <w:rsid w:val="000402BC"/>
    <w:rsid w:val="000402D5"/>
    <w:rsid w:val="000403DB"/>
    <w:rsid w:val="00040467"/>
    <w:rsid w:val="0004056C"/>
    <w:rsid w:val="0004067C"/>
    <w:rsid w:val="000407EA"/>
    <w:rsid w:val="00040900"/>
    <w:rsid w:val="0004091F"/>
    <w:rsid w:val="00040C3B"/>
    <w:rsid w:val="00040C9C"/>
    <w:rsid w:val="00040DAB"/>
    <w:rsid w:val="00040E30"/>
    <w:rsid w:val="00040E46"/>
    <w:rsid w:val="00040FBC"/>
    <w:rsid w:val="00041049"/>
    <w:rsid w:val="000411A0"/>
    <w:rsid w:val="00041320"/>
    <w:rsid w:val="0004140D"/>
    <w:rsid w:val="000416A2"/>
    <w:rsid w:val="000418F3"/>
    <w:rsid w:val="000419DE"/>
    <w:rsid w:val="00041A45"/>
    <w:rsid w:val="00041AC0"/>
    <w:rsid w:val="00041B87"/>
    <w:rsid w:val="00041DC0"/>
    <w:rsid w:val="00041DE9"/>
    <w:rsid w:val="00041DFC"/>
    <w:rsid w:val="00042116"/>
    <w:rsid w:val="000426DF"/>
    <w:rsid w:val="000427B7"/>
    <w:rsid w:val="00042840"/>
    <w:rsid w:val="000428C7"/>
    <w:rsid w:val="00042957"/>
    <w:rsid w:val="00042A40"/>
    <w:rsid w:val="00042C72"/>
    <w:rsid w:val="00042D8A"/>
    <w:rsid w:val="00042E8E"/>
    <w:rsid w:val="00042FB5"/>
    <w:rsid w:val="0004302D"/>
    <w:rsid w:val="00043077"/>
    <w:rsid w:val="0004308C"/>
    <w:rsid w:val="000432C7"/>
    <w:rsid w:val="00043347"/>
    <w:rsid w:val="000434C2"/>
    <w:rsid w:val="0004357B"/>
    <w:rsid w:val="00043580"/>
    <w:rsid w:val="000435AE"/>
    <w:rsid w:val="00043607"/>
    <w:rsid w:val="00043659"/>
    <w:rsid w:val="00043856"/>
    <w:rsid w:val="00043935"/>
    <w:rsid w:val="00043A3E"/>
    <w:rsid w:val="00043ADA"/>
    <w:rsid w:val="00043B95"/>
    <w:rsid w:val="00043C0B"/>
    <w:rsid w:val="00043D27"/>
    <w:rsid w:val="00043D3F"/>
    <w:rsid w:val="00043D4A"/>
    <w:rsid w:val="00043D94"/>
    <w:rsid w:val="000441BE"/>
    <w:rsid w:val="00044348"/>
    <w:rsid w:val="000443D0"/>
    <w:rsid w:val="00044495"/>
    <w:rsid w:val="000444F4"/>
    <w:rsid w:val="000445C1"/>
    <w:rsid w:val="00044689"/>
    <w:rsid w:val="00044751"/>
    <w:rsid w:val="00044847"/>
    <w:rsid w:val="000448C0"/>
    <w:rsid w:val="000448CD"/>
    <w:rsid w:val="00044959"/>
    <w:rsid w:val="000449C0"/>
    <w:rsid w:val="00044CF2"/>
    <w:rsid w:val="00044D0F"/>
    <w:rsid w:val="00044D14"/>
    <w:rsid w:val="00044D98"/>
    <w:rsid w:val="00044E18"/>
    <w:rsid w:val="00044FAB"/>
    <w:rsid w:val="0004501D"/>
    <w:rsid w:val="000450D1"/>
    <w:rsid w:val="00045169"/>
    <w:rsid w:val="0004521B"/>
    <w:rsid w:val="00045287"/>
    <w:rsid w:val="000454DE"/>
    <w:rsid w:val="00045603"/>
    <w:rsid w:val="00045684"/>
    <w:rsid w:val="000456A8"/>
    <w:rsid w:val="00045728"/>
    <w:rsid w:val="00045819"/>
    <w:rsid w:val="0004585D"/>
    <w:rsid w:val="000458A9"/>
    <w:rsid w:val="00045A92"/>
    <w:rsid w:val="00045A97"/>
    <w:rsid w:val="00045B23"/>
    <w:rsid w:val="00045C51"/>
    <w:rsid w:val="00045C61"/>
    <w:rsid w:val="00045CA9"/>
    <w:rsid w:val="00045CE1"/>
    <w:rsid w:val="00045D17"/>
    <w:rsid w:val="00045DAA"/>
    <w:rsid w:val="00045E70"/>
    <w:rsid w:val="00045EAC"/>
    <w:rsid w:val="00045EE1"/>
    <w:rsid w:val="00045F09"/>
    <w:rsid w:val="000463C6"/>
    <w:rsid w:val="000465BA"/>
    <w:rsid w:val="000465D9"/>
    <w:rsid w:val="0004662D"/>
    <w:rsid w:val="0004662F"/>
    <w:rsid w:val="000467D3"/>
    <w:rsid w:val="0004687B"/>
    <w:rsid w:val="000468E7"/>
    <w:rsid w:val="00046974"/>
    <w:rsid w:val="00046A59"/>
    <w:rsid w:val="00046C29"/>
    <w:rsid w:val="00046DE9"/>
    <w:rsid w:val="00046F82"/>
    <w:rsid w:val="00047066"/>
    <w:rsid w:val="00047093"/>
    <w:rsid w:val="000470C5"/>
    <w:rsid w:val="0004735B"/>
    <w:rsid w:val="0004736C"/>
    <w:rsid w:val="00047410"/>
    <w:rsid w:val="00047496"/>
    <w:rsid w:val="0004749E"/>
    <w:rsid w:val="00047543"/>
    <w:rsid w:val="00047732"/>
    <w:rsid w:val="0004783C"/>
    <w:rsid w:val="00047841"/>
    <w:rsid w:val="00047888"/>
    <w:rsid w:val="000478B0"/>
    <w:rsid w:val="00047952"/>
    <w:rsid w:val="00047A0C"/>
    <w:rsid w:val="00047A22"/>
    <w:rsid w:val="00047AAE"/>
    <w:rsid w:val="00047AE3"/>
    <w:rsid w:val="00047BA6"/>
    <w:rsid w:val="00047E48"/>
    <w:rsid w:val="00047F10"/>
    <w:rsid w:val="000500E0"/>
    <w:rsid w:val="0005046F"/>
    <w:rsid w:val="0005077C"/>
    <w:rsid w:val="00050C80"/>
    <w:rsid w:val="00050F8C"/>
    <w:rsid w:val="00051023"/>
    <w:rsid w:val="00051303"/>
    <w:rsid w:val="00051305"/>
    <w:rsid w:val="00051318"/>
    <w:rsid w:val="0005136B"/>
    <w:rsid w:val="000514F8"/>
    <w:rsid w:val="0005179B"/>
    <w:rsid w:val="000517E9"/>
    <w:rsid w:val="00051A21"/>
    <w:rsid w:val="00051C2F"/>
    <w:rsid w:val="00051DC6"/>
    <w:rsid w:val="00051FE0"/>
    <w:rsid w:val="00052013"/>
    <w:rsid w:val="00052048"/>
    <w:rsid w:val="0005237E"/>
    <w:rsid w:val="000523F8"/>
    <w:rsid w:val="00052479"/>
    <w:rsid w:val="000525F3"/>
    <w:rsid w:val="0005264F"/>
    <w:rsid w:val="000527FD"/>
    <w:rsid w:val="0005288F"/>
    <w:rsid w:val="000528E2"/>
    <w:rsid w:val="0005296B"/>
    <w:rsid w:val="00052995"/>
    <w:rsid w:val="000529B4"/>
    <w:rsid w:val="00052A49"/>
    <w:rsid w:val="00052A60"/>
    <w:rsid w:val="00052ACB"/>
    <w:rsid w:val="00052B58"/>
    <w:rsid w:val="00052B80"/>
    <w:rsid w:val="00052C0B"/>
    <w:rsid w:val="00052CD0"/>
    <w:rsid w:val="00052D3E"/>
    <w:rsid w:val="00052D9D"/>
    <w:rsid w:val="00052EDD"/>
    <w:rsid w:val="00052EE1"/>
    <w:rsid w:val="00052F0B"/>
    <w:rsid w:val="0005307D"/>
    <w:rsid w:val="000532D0"/>
    <w:rsid w:val="000534AD"/>
    <w:rsid w:val="000534B4"/>
    <w:rsid w:val="00053573"/>
    <w:rsid w:val="000535F1"/>
    <w:rsid w:val="00053690"/>
    <w:rsid w:val="000539C1"/>
    <w:rsid w:val="00053A46"/>
    <w:rsid w:val="00053C27"/>
    <w:rsid w:val="00053C9C"/>
    <w:rsid w:val="00053D16"/>
    <w:rsid w:val="00053EF9"/>
    <w:rsid w:val="00053F7A"/>
    <w:rsid w:val="00054323"/>
    <w:rsid w:val="000545E4"/>
    <w:rsid w:val="00054651"/>
    <w:rsid w:val="000546B1"/>
    <w:rsid w:val="0005479F"/>
    <w:rsid w:val="000547BB"/>
    <w:rsid w:val="000547F0"/>
    <w:rsid w:val="0005485E"/>
    <w:rsid w:val="00054877"/>
    <w:rsid w:val="000548B2"/>
    <w:rsid w:val="00054A7D"/>
    <w:rsid w:val="00054BC2"/>
    <w:rsid w:val="00054D58"/>
    <w:rsid w:val="00054D68"/>
    <w:rsid w:val="00054DE7"/>
    <w:rsid w:val="00054EC4"/>
    <w:rsid w:val="0005502D"/>
    <w:rsid w:val="000551B3"/>
    <w:rsid w:val="00055232"/>
    <w:rsid w:val="0005535C"/>
    <w:rsid w:val="0005553B"/>
    <w:rsid w:val="000556F4"/>
    <w:rsid w:val="0005584D"/>
    <w:rsid w:val="00055993"/>
    <w:rsid w:val="000559DD"/>
    <w:rsid w:val="00055A9B"/>
    <w:rsid w:val="00055B39"/>
    <w:rsid w:val="00055B6C"/>
    <w:rsid w:val="00055C6A"/>
    <w:rsid w:val="00055CD9"/>
    <w:rsid w:val="00056305"/>
    <w:rsid w:val="00056577"/>
    <w:rsid w:val="0005681A"/>
    <w:rsid w:val="00056821"/>
    <w:rsid w:val="0005684B"/>
    <w:rsid w:val="00056889"/>
    <w:rsid w:val="00056916"/>
    <w:rsid w:val="00056A73"/>
    <w:rsid w:val="00056BB0"/>
    <w:rsid w:val="00056BB7"/>
    <w:rsid w:val="00056C2E"/>
    <w:rsid w:val="00056C57"/>
    <w:rsid w:val="00056D9A"/>
    <w:rsid w:val="00057079"/>
    <w:rsid w:val="000570CF"/>
    <w:rsid w:val="00057246"/>
    <w:rsid w:val="00057287"/>
    <w:rsid w:val="00057405"/>
    <w:rsid w:val="0005743A"/>
    <w:rsid w:val="00057456"/>
    <w:rsid w:val="0005768F"/>
    <w:rsid w:val="0005772C"/>
    <w:rsid w:val="00057787"/>
    <w:rsid w:val="00057919"/>
    <w:rsid w:val="0005799E"/>
    <w:rsid w:val="00057A63"/>
    <w:rsid w:val="00057FC0"/>
    <w:rsid w:val="0005F186"/>
    <w:rsid w:val="000600A8"/>
    <w:rsid w:val="000600FE"/>
    <w:rsid w:val="0006012E"/>
    <w:rsid w:val="000601A1"/>
    <w:rsid w:val="000602CE"/>
    <w:rsid w:val="00060300"/>
    <w:rsid w:val="0006036D"/>
    <w:rsid w:val="0006041B"/>
    <w:rsid w:val="0006047C"/>
    <w:rsid w:val="000604D6"/>
    <w:rsid w:val="00060551"/>
    <w:rsid w:val="0006056C"/>
    <w:rsid w:val="000605A7"/>
    <w:rsid w:val="000607F1"/>
    <w:rsid w:val="000608A9"/>
    <w:rsid w:val="00060A36"/>
    <w:rsid w:val="00060A8B"/>
    <w:rsid w:val="00060C8D"/>
    <w:rsid w:val="00060CB1"/>
    <w:rsid w:val="00060D24"/>
    <w:rsid w:val="00060EAB"/>
    <w:rsid w:val="00060EDC"/>
    <w:rsid w:val="0006114B"/>
    <w:rsid w:val="00061199"/>
    <w:rsid w:val="0006133E"/>
    <w:rsid w:val="0006141F"/>
    <w:rsid w:val="000618FE"/>
    <w:rsid w:val="00061A50"/>
    <w:rsid w:val="00061AE1"/>
    <w:rsid w:val="00061B61"/>
    <w:rsid w:val="00061B6C"/>
    <w:rsid w:val="00061BBB"/>
    <w:rsid w:val="00061BD0"/>
    <w:rsid w:val="00061BE3"/>
    <w:rsid w:val="00061C22"/>
    <w:rsid w:val="00061C33"/>
    <w:rsid w:val="00061C86"/>
    <w:rsid w:val="00061C8D"/>
    <w:rsid w:val="00062141"/>
    <w:rsid w:val="0006219F"/>
    <w:rsid w:val="0006220E"/>
    <w:rsid w:val="000623E4"/>
    <w:rsid w:val="00062454"/>
    <w:rsid w:val="0006246F"/>
    <w:rsid w:val="00062494"/>
    <w:rsid w:val="0006256C"/>
    <w:rsid w:val="000625EC"/>
    <w:rsid w:val="000625FD"/>
    <w:rsid w:val="000626A4"/>
    <w:rsid w:val="000626AA"/>
    <w:rsid w:val="000626B2"/>
    <w:rsid w:val="000627A6"/>
    <w:rsid w:val="0006280B"/>
    <w:rsid w:val="00062AE8"/>
    <w:rsid w:val="00062AF8"/>
    <w:rsid w:val="00062B79"/>
    <w:rsid w:val="00062B84"/>
    <w:rsid w:val="00062BAA"/>
    <w:rsid w:val="00062CBB"/>
    <w:rsid w:val="00062D99"/>
    <w:rsid w:val="00062DEC"/>
    <w:rsid w:val="00062ECA"/>
    <w:rsid w:val="00063047"/>
    <w:rsid w:val="0006305B"/>
    <w:rsid w:val="0006309A"/>
    <w:rsid w:val="000630B6"/>
    <w:rsid w:val="00063172"/>
    <w:rsid w:val="000631F7"/>
    <w:rsid w:val="0006322D"/>
    <w:rsid w:val="00063237"/>
    <w:rsid w:val="00063249"/>
    <w:rsid w:val="000633EB"/>
    <w:rsid w:val="00063605"/>
    <w:rsid w:val="0006387B"/>
    <w:rsid w:val="00063A6B"/>
    <w:rsid w:val="00063B40"/>
    <w:rsid w:val="00063B49"/>
    <w:rsid w:val="00063BE5"/>
    <w:rsid w:val="00063E18"/>
    <w:rsid w:val="00063EF7"/>
    <w:rsid w:val="000640AD"/>
    <w:rsid w:val="000642A3"/>
    <w:rsid w:val="00064334"/>
    <w:rsid w:val="000643D8"/>
    <w:rsid w:val="000643E3"/>
    <w:rsid w:val="00064579"/>
    <w:rsid w:val="000645BB"/>
    <w:rsid w:val="0006467F"/>
    <w:rsid w:val="000646E5"/>
    <w:rsid w:val="0006477E"/>
    <w:rsid w:val="00064A06"/>
    <w:rsid w:val="00064B5E"/>
    <w:rsid w:val="00064C16"/>
    <w:rsid w:val="00064C2F"/>
    <w:rsid w:val="00064C62"/>
    <w:rsid w:val="00064CD9"/>
    <w:rsid w:val="00064D5D"/>
    <w:rsid w:val="00064DB8"/>
    <w:rsid w:val="00064EEA"/>
    <w:rsid w:val="0006508F"/>
    <w:rsid w:val="000651F3"/>
    <w:rsid w:val="000652D3"/>
    <w:rsid w:val="00065341"/>
    <w:rsid w:val="0006535E"/>
    <w:rsid w:val="00065387"/>
    <w:rsid w:val="00065474"/>
    <w:rsid w:val="000654E5"/>
    <w:rsid w:val="000655C9"/>
    <w:rsid w:val="0006573E"/>
    <w:rsid w:val="00065787"/>
    <w:rsid w:val="000657E5"/>
    <w:rsid w:val="000657EB"/>
    <w:rsid w:val="0006580C"/>
    <w:rsid w:val="00065957"/>
    <w:rsid w:val="00065C19"/>
    <w:rsid w:val="00065DF7"/>
    <w:rsid w:val="00065E7E"/>
    <w:rsid w:val="00065E81"/>
    <w:rsid w:val="00065FF1"/>
    <w:rsid w:val="0006618E"/>
    <w:rsid w:val="0006619B"/>
    <w:rsid w:val="000661F7"/>
    <w:rsid w:val="000661FB"/>
    <w:rsid w:val="0006636A"/>
    <w:rsid w:val="0006636E"/>
    <w:rsid w:val="00066379"/>
    <w:rsid w:val="0006647F"/>
    <w:rsid w:val="0006653A"/>
    <w:rsid w:val="00066584"/>
    <w:rsid w:val="0006669A"/>
    <w:rsid w:val="000666B8"/>
    <w:rsid w:val="00066961"/>
    <w:rsid w:val="00066995"/>
    <w:rsid w:val="00066A23"/>
    <w:rsid w:val="00066D2B"/>
    <w:rsid w:val="00066D6D"/>
    <w:rsid w:val="00066E35"/>
    <w:rsid w:val="00066EE8"/>
    <w:rsid w:val="00066EF9"/>
    <w:rsid w:val="00066F61"/>
    <w:rsid w:val="00066FCF"/>
    <w:rsid w:val="00067092"/>
    <w:rsid w:val="00067147"/>
    <w:rsid w:val="00067334"/>
    <w:rsid w:val="000673D1"/>
    <w:rsid w:val="0006740D"/>
    <w:rsid w:val="000674A6"/>
    <w:rsid w:val="000674DC"/>
    <w:rsid w:val="00067522"/>
    <w:rsid w:val="000675F3"/>
    <w:rsid w:val="00067635"/>
    <w:rsid w:val="000676B3"/>
    <w:rsid w:val="00067714"/>
    <w:rsid w:val="000678FA"/>
    <w:rsid w:val="000679CE"/>
    <w:rsid w:val="00067A23"/>
    <w:rsid w:val="00067B10"/>
    <w:rsid w:val="00067C3C"/>
    <w:rsid w:val="00067C42"/>
    <w:rsid w:val="00067E70"/>
    <w:rsid w:val="00067EFF"/>
    <w:rsid w:val="00070118"/>
    <w:rsid w:val="00070155"/>
    <w:rsid w:val="000701D9"/>
    <w:rsid w:val="000701FE"/>
    <w:rsid w:val="000701FF"/>
    <w:rsid w:val="00070201"/>
    <w:rsid w:val="000702E2"/>
    <w:rsid w:val="0007031E"/>
    <w:rsid w:val="00070326"/>
    <w:rsid w:val="0007071D"/>
    <w:rsid w:val="00070942"/>
    <w:rsid w:val="000709F6"/>
    <w:rsid w:val="00070C9A"/>
    <w:rsid w:val="00070D2C"/>
    <w:rsid w:val="00070EE2"/>
    <w:rsid w:val="00070EEE"/>
    <w:rsid w:val="00070FD3"/>
    <w:rsid w:val="00070FE7"/>
    <w:rsid w:val="00071001"/>
    <w:rsid w:val="0007109A"/>
    <w:rsid w:val="00071133"/>
    <w:rsid w:val="000712C2"/>
    <w:rsid w:val="00071437"/>
    <w:rsid w:val="00071463"/>
    <w:rsid w:val="000716AE"/>
    <w:rsid w:val="00071702"/>
    <w:rsid w:val="00071758"/>
    <w:rsid w:val="000718E5"/>
    <w:rsid w:val="0007193E"/>
    <w:rsid w:val="00071B04"/>
    <w:rsid w:val="00071B1D"/>
    <w:rsid w:val="00071B79"/>
    <w:rsid w:val="00071C10"/>
    <w:rsid w:val="00071CA8"/>
    <w:rsid w:val="00071CF7"/>
    <w:rsid w:val="00071D09"/>
    <w:rsid w:val="00071D19"/>
    <w:rsid w:val="00071DAC"/>
    <w:rsid w:val="00071E43"/>
    <w:rsid w:val="00071E8D"/>
    <w:rsid w:val="00072045"/>
    <w:rsid w:val="000720C7"/>
    <w:rsid w:val="0007215F"/>
    <w:rsid w:val="0007229A"/>
    <w:rsid w:val="000723C0"/>
    <w:rsid w:val="00072481"/>
    <w:rsid w:val="0007284A"/>
    <w:rsid w:val="000728C2"/>
    <w:rsid w:val="000729E3"/>
    <w:rsid w:val="00072A3E"/>
    <w:rsid w:val="00072A5B"/>
    <w:rsid w:val="00072A89"/>
    <w:rsid w:val="00072B4D"/>
    <w:rsid w:val="00072B86"/>
    <w:rsid w:val="00072C58"/>
    <w:rsid w:val="00072CEB"/>
    <w:rsid w:val="00072D19"/>
    <w:rsid w:val="00072D78"/>
    <w:rsid w:val="00072EE5"/>
    <w:rsid w:val="00072F21"/>
    <w:rsid w:val="00072F53"/>
    <w:rsid w:val="00072F80"/>
    <w:rsid w:val="00072F97"/>
    <w:rsid w:val="00073260"/>
    <w:rsid w:val="000732EB"/>
    <w:rsid w:val="000736AC"/>
    <w:rsid w:val="00073794"/>
    <w:rsid w:val="000737AE"/>
    <w:rsid w:val="000737F6"/>
    <w:rsid w:val="000738A2"/>
    <w:rsid w:val="00073937"/>
    <w:rsid w:val="000739F7"/>
    <w:rsid w:val="00073AE3"/>
    <w:rsid w:val="00073B2D"/>
    <w:rsid w:val="00073D8B"/>
    <w:rsid w:val="00073F11"/>
    <w:rsid w:val="00074045"/>
    <w:rsid w:val="00074092"/>
    <w:rsid w:val="00074246"/>
    <w:rsid w:val="00074321"/>
    <w:rsid w:val="000743F0"/>
    <w:rsid w:val="00074525"/>
    <w:rsid w:val="00074573"/>
    <w:rsid w:val="0007461E"/>
    <w:rsid w:val="0007461F"/>
    <w:rsid w:val="00074659"/>
    <w:rsid w:val="00074709"/>
    <w:rsid w:val="0007481E"/>
    <w:rsid w:val="00074A90"/>
    <w:rsid w:val="00074B22"/>
    <w:rsid w:val="00074D79"/>
    <w:rsid w:val="00074EFB"/>
    <w:rsid w:val="00074F7F"/>
    <w:rsid w:val="0007511E"/>
    <w:rsid w:val="00075184"/>
    <w:rsid w:val="000752CB"/>
    <w:rsid w:val="00075318"/>
    <w:rsid w:val="0007536D"/>
    <w:rsid w:val="000754A4"/>
    <w:rsid w:val="000754C1"/>
    <w:rsid w:val="000755CC"/>
    <w:rsid w:val="000756F7"/>
    <w:rsid w:val="00075838"/>
    <w:rsid w:val="00075970"/>
    <w:rsid w:val="00075B1D"/>
    <w:rsid w:val="00075B5F"/>
    <w:rsid w:val="00075B82"/>
    <w:rsid w:val="00075BB6"/>
    <w:rsid w:val="00075BC6"/>
    <w:rsid w:val="00075C55"/>
    <w:rsid w:val="00075C57"/>
    <w:rsid w:val="00075D94"/>
    <w:rsid w:val="00075EA8"/>
    <w:rsid w:val="000761CE"/>
    <w:rsid w:val="00076250"/>
    <w:rsid w:val="000762C3"/>
    <w:rsid w:val="00076332"/>
    <w:rsid w:val="000763D3"/>
    <w:rsid w:val="00076536"/>
    <w:rsid w:val="000766F9"/>
    <w:rsid w:val="0007670F"/>
    <w:rsid w:val="00076840"/>
    <w:rsid w:val="00076936"/>
    <w:rsid w:val="00076A88"/>
    <w:rsid w:val="00076B54"/>
    <w:rsid w:val="00076B5F"/>
    <w:rsid w:val="00076FD8"/>
    <w:rsid w:val="00076FDE"/>
    <w:rsid w:val="000770BB"/>
    <w:rsid w:val="00077320"/>
    <w:rsid w:val="0007732D"/>
    <w:rsid w:val="000773D0"/>
    <w:rsid w:val="0007748F"/>
    <w:rsid w:val="000774F3"/>
    <w:rsid w:val="00077529"/>
    <w:rsid w:val="00077552"/>
    <w:rsid w:val="000775DF"/>
    <w:rsid w:val="00077618"/>
    <w:rsid w:val="00077826"/>
    <w:rsid w:val="00077913"/>
    <w:rsid w:val="00077E71"/>
    <w:rsid w:val="00077EE3"/>
    <w:rsid w:val="00077FEA"/>
    <w:rsid w:val="000802F3"/>
    <w:rsid w:val="00080316"/>
    <w:rsid w:val="00080327"/>
    <w:rsid w:val="0008036D"/>
    <w:rsid w:val="00080387"/>
    <w:rsid w:val="000804E3"/>
    <w:rsid w:val="0008053A"/>
    <w:rsid w:val="0008055C"/>
    <w:rsid w:val="00080622"/>
    <w:rsid w:val="00080920"/>
    <w:rsid w:val="00080C63"/>
    <w:rsid w:val="00080C6A"/>
    <w:rsid w:val="00080DC7"/>
    <w:rsid w:val="00080E82"/>
    <w:rsid w:val="00080F76"/>
    <w:rsid w:val="0008107D"/>
    <w:rsid w:val="00081249"/>
    <w:rsid w:val="00081376"/>
    <w:rsid w:val="000813F0"/>
    <w:rsid w:val="0008143E"/>
    <w:rsid w:val="000815BF"/>
    <w:rsid w:val="000816ED"/>
    <w:rsid w:val="000817BF"/>
    <w:rsid w:val="0008191E"/>
    <w:rsid w:val="00081AED"/>
    <w:rsid w:val="00081F20"/>
    <w:rsid w:val="000820DE"/>
    <w:rsid w:val="0008215B"/>
    <w:rsid w:val="0008216E"/>
    <w:rsid w:val="0008227D"/>
    <w:rsid w:val="000822E3"/>
    <w:rsid w:val="000823F0"/>
    <w:rsid w:val="00082549"/>
    <w:rsid w:val="0008276E"/>
    <w:rsid w:val="0008277E"/>
    <w:rsid w:val="00082866"/>
    <w:rsid w:val="00082880"/>
    <w:rsid w:val="00082930"/>
    <w:rsid w:val="00082968"/>
    <w:rsid w:val="00082A3D"/>
    <w:rsid w:val="00082A86"/>
    <w:rsid w:val="00082AD4"/>
    <w:rsid w:val="00082AE6"/>
    <w:rsid w:val="00082B95"/>
    <w:rsid w:val="00082C34"/>
    <w:rsid w:val="00082D63"/>
    <w:rsid w:val="00082EAB"/>
    <w:rsid w:val="00082EB0"/>
    <w:rsid w:val="00082F65"/>
    <w:rsid w:val="00082FDA"/>
    <w:rsid w:val="0008303B"/>
    <w:rsid w:val="000832DE"/>
    <w:rsid w:val="0008333D"/>
    <w:rsid w:val="00083493"/>
    <w:rsid w:val="00083541"/>
    <w:rsid w:val="0008365C"/>
    <w:rsid w:val="000836F2"/>
    <w:rsid w:val="000837D3"/>
    <w:rsid w:val="00083867"/>
    <w:rsid w:val="00083943"/>
    <w:rsid w:val="00083AEB"/>
    <w:rsid w:val="00083B15"/>
    <w:rsid w:val="00083C49"/>
    <w:rsid w:val="00083C8A"/>
    <w:rsid w:val="00083FC3"/>
    <w:rsid w:val="000840C5"/>
    <w:rsid w:val="000840C8"/>
    <w:rsid w:val="00084213"/>
    <w:rsid w:val="00084457"/>
    <w:rsid w:val="000844A0"/>
    <w:rsid w:val="0008456E"/>
    <w:rsid w:val="000846FD"/>
    <w:rsid w:val="00084934"/>
    <w:rsid w:val="000849E8"/>
    <w:rsid w:val="000849EA"/>
    <w:rsid w:val="00084A97"/>
    <w:rsid w:val="00084A9A"/>
    <w:rsid w:val="00084C6A"/>
    <w:rsid w:val="00084D2A"/>
    <w:rsid w:val="00084D7D"/>
    <w:rsid w:val="00084D9C"/>
    <w:rsid w:val="00085039"/>
    <w:rsid w:val="000850A7"/>
    <w:rsid w:val="000851E1"/>
    <w:rsid w:val="000852B5"/>
    <w:rsid w:val="0008544B"/>
    <w:rsid w:val="0008563E"/>
    <w:rsid w:val="00085687"/>
    <w:rsid w:val="000856B8"/>
    <w:rsid w:val="000856DB"/>
    <w:rsid w:val="000857D1"/>
    <w:rsid w:val="000857FB"/>
    <w:rsid w:val="0008591C"/>
    <w:rsid w:val="00085AA0"/>
    <w:rsid w:val="00085AF6"/>
    <w:rsid w:val="00085B04"/>
    <w:rsid w:val="00085BEA"/>
    <w:rsid w:val="00085D95"/>
    <w:rsid w:val="00085FA7"/>
    <w:rsid w:val="00085FD7"/>
    <w:rsid w:val="0008609D"/>
    <w:rsid w:val="000860C2"/>
    <w:rsid w:val="000861D4"/>
    <w:rsid w:val="0008628E"/>
    <w:rsid w:val="000864CC"/>
    <w:rsid w:val="000865C9"/>
    <w:rsid w:val="0008662F"/>
    <w:rsid w:val="00086680"/>
    <w:rsid w:val="000866A7"/>
    <w:rsid w:val="000868D3"/>
    <w:rsid w:val="00086B24"/>
    <w:rsid w:val="00086B9D"/>
    <w:rsid w:val="00086BE0"/>
    <w:rsid w:val="00086C28"/>
    <w:rsid w:val="00086D24"/>
    <w:rsid w:val="00086E37"/>
    <w:rsid w:val="00086ED4"/>
    <w:rsid w:val="0008702C"/>
    <w:rsid w:val="0008709C"/>
    <w:rsid w:val="000873EF"/>
    <w:rsid w:val="00087404"/>
    <w:rsid w:val="000874A7"/>
    <w:rsid w:val="000875B5"/>
    <w:rsid w:val="0008768C"/>
    <w:rsid w:val="0008769B"/>
    <w:rsid w:val="00087722"/>
    <w:rsid w:val="0008775E"/>
    <w:rsid w:val="00087A8B"/>
    <w:rsid w:val="00087AB1"/>
    <w:rsid w:val="00087AC0"/>
    <w:rsid w:val="00087AE9"/>
    <w:rsid w:val="00087B42"/>
    <w:rsid w:val="00087C8F"/>
    <w:rsid w:val="00087D3B"/>
    <w:rsid w:val="00087E4A"/>
    <w:rsid w:val="00087F2F"/>
    <w:rsid w:val="00087F61"/>
    <w:rsid w:val="000900DC"/>
    <w:rsid w:val="00090472"/>
    <w:rsid w:val="00090484"/>
    <w:rsid w:val="000904F1"/>
    <w:rsid w:val="000905A0"/>
    <w:rsid w:val="000905D9"/>
    <w:rsid w:val="000905DF"/>
    <w:rsid w:val="00090748"/>
    <w:rsid w:val="00090899"/>
    <w:rsid w:val="000908C9"/>
    <w:rsid w:val="0009092F"/>
    <w:rsid w:val="00090A12"/>
    <w:rsid w:val="00090A59"/>
    <w:rsid w:val="00090B2E"/>
    <w:rsid w:val="00090F31"/>
    <w:rsid w:val="00090F4E"/>
    <w:rsid w:val="00090FCE"/>
    <w:rsid w:val="00091185"/>
    <w:rsid w:val="000912FC"/>
    <w:rsid w:val="00091360"/>
    <w:rsid w:val="0009140C"/>
    <w:rsid w:val="00091472"/>
    <w:rsid w:val="0009161E"/>
    <w:rsid w:val="00091724"/>
    <w:rsid w:val="00091785"/>
    <w:rsid w:val="000917CA"/>
    <w:rsid w:val="000918BE"/>
    <w:rsid w:val="0009196F"/>
    <w:rsid w:val="00091975"/>
    <w:rsid w:val="00091B2E"/>
    <w:rsid w:val="00091DC3"/>
    <w:rsid w:val="00091F00"/>
    <w:rsid w:val="00091F86"/>
    <w:rsid w:val="0009224D"/>
    <w:rsid w:val="00092250"/>
    <w:rsid w:val="00092285"/>
    <w:rsid w:val="00092352"/>
    <w:rsid w:val="0009256D"/>
    <w:rsid w:val="00092589"/>
    <w:rsid w:val="00092651"/>
    <w:rsid w:val="00092691"/>
    <w:rsid w:val="00092747"/>
    <w:rsid w:val="0009293E"/>
    <w:rsid w:val="00092A14"/>
    <w:rsid w:val="00092BA1"/>
    <w:rsid w:val="00092CBF"/>
    <w:rsid w:val="00092CF2"/>
    <w:rsid w:val="00092E46"/>
    <w:rsid w:val="00093117"/>
    <w:rsid w:val="0009311B"/>
    <w:rsid w:val="000931A9"/>
    <w:rsid w:val="000932FA"/>
    <w:rsid w:val="000933C3"/>
    <w:rsid w:val="000933C5"/>
    <w:rsid w:val="000933CB"/>
    <w:rsid w:val="0009386F"/>
    <w:rsid w:val="0009396F"/>
    <w:rsid w:val="0009398D"/>
    <w:rsid w:val="00093A1A"/>
    <w:rsid w:val="00093A8C"/>
    <w:rsid w:val="00093AB9"/>
    <w:rsid w:val="00093BB5"/>
    <w:rsid w:val="00093C1F"/>
    <w:rsid w:val="00093D89"/>
    <w:rsid w:val="00093DF4"/>
    <w:rsid w:val="00093EEE"/>
    <w:rsid w:val="00093F7A"/>
    <w:rsid w:val="000940A4"/>
    <w:rsid w:val="000941E2"/>
    <w:rsid w:val="00094245"/>
    <w:rsid w:val="000942EA"/>
    <w:rsid w:val="000945EE"/>
    <w:rsid w:val="00094629"/>
    <w:rsid w:val="00094779"/>
    <w:rsid w:val="000947C7"/>
    <w:rsid w:val="00094800"/>
    <w:rsid w:val="0009489B"/>
    <w:rsid w:val="0009492F"/>
    <w:rsid w:val="00094967"/>
    <w:rsid w:val="00094B98"/>
    <w:rsid w:val="00094D1A"/>
    <w:rsid w:val="00094D9F"/>
    <w:rsid w:val="00094F96"/>
    <w:rsid w:val="00094FA2"/>
    <w:rsid w:val="00095044"/>
    <w:rsid w:val="00095074"/>
    <w:rsid w:val="0009514D"/>
    <w:rsid w:val="00095167"/>
    <w:rsid w:val="000955B0"/>
    <w:rsid w:val="00095704"/>
    <w:rsid w:val="00095715"/>
    <w:rsid w:val="0009574D"/>
    <w:rsid w:val="00095769"/>
    <w:rsid w:val="000957D0"/>
    <w:rsid w:val="0009583D"/>
    <w:rsid w:val="00095A45"/>
    <w:rsid w:val="00095FCF"/>
    <w:rsid w:val="000962F6"/>
    <w:rsid w:val="0009630A"/>
    <w:rsid w:val="00096344"/>
    <w:rsid w:val="00096394"/>
    <w:rsid w:val="00096608"/>
    <w:rsid w:val="0009668A"/>
    <w:rsid w:val="000967F4"/>
    <w:rsid w:val="00096931"/>
    <w:rsid w:val="00096A04"/>
    <w:rsid w:val="00096C9B"/>
    <w:rsid w:val="00096E10"/>
    <w:rsid w:val="00096E34"/>
    <w:rsid w:val="00096ECD"/>
    <w:rsid w:val="00096F4C"/>
    <w:rsid w:val="00097137"/>
    <w:rsid w:val="000971EC"/>
    <w:rsid w:val="00097322"/>
    <w:rsid w:val="00097643"/>
    <w:rsid w:val="0009777C"/>
    <w:rsid w:val="000977C7"/>
    <w:rsid w:val="00097856"/>
    <w:rsid w:val="0009794C"/>
    <w:rsid w:val="00097B70"/>
    <w:rsid w:val="00097D8B"/>
    <w:rsid w:val="00097EDB"/>
    <w:rsid w:val="00097EFD"/>
    <w:rsid w:val="00097F07"/>
    <w:rsid w:val="000A00D5"/>
    <w:rsid w:val="000A01D0"/>
    <w:rsid w:val="000A01D6"/>
    <w:rsid w:val="000A0391"/>
    <w:rsid w:val="000A0421"/>
    <w:rsid w:val="000A04E6"/>
    <w:rsid w:val="000A0533"/>
    <w:rsid w:val="000A05F6"/>
    <w:rsid w:val="000A0626"/>
    <w:rsid w:val="000A08A6"/>
    <w:rsid w:val="000A0990"/>
    <w:rsid w:val="000A0BF1"/>
    <w:rsid w:val="000A0DD8"/>
    <w:rsid w:val="000A1026"/>
    <w:rsid w:val="000A10A2"/>
    <w:rsid w:val="000A11F8"/>
    <w:rsid w:val="000A12DA"/>
    <w:rsid w:val="000A137F"/>
    <w:rsid w:val="000A14C4"/>
    <w:rsid w:val="000A18A3"/>
    <w:rsid w:val="000A19E4"/>
    <w:rsid w:val="000A1A3E"/>
    <w:rsid w:val="000A1A8E"/>
    <w:rsid w:val="000A1BD1"/>
    <w:rsid w:val="000A1C2A"/>
    <w:rsid w:val="000A1C6C"/>
    <w:rsid w:val="000A1E1A"/>
    <w:rsid w:val="000A1E86"/>
    <w:rsid w:val="000A1EFF"/>
    <w:rsid w:val="000A201D"/>
    <w:rsid w:val="000A202B"/>
    <w:rsid w:val="000A21D4"/>
    <w:rsid w:val="000A232D"/>
    <w:rsid w:val="000A237F"/>
    <w:rsid w:val="000A240D"/>
    <w:rsid w:val="000A2465"/>
    <w:rsid w:val="000A2522"/>
    <w:rsid w:val="000A268E"/>
    <w:rsid w:val="000A2954"/>
    <w:rsid w:val="000A29AE"/>
    <w:rsid w:val="000A2B8A"/>
    <w:rsid w:val="000A2B9F"/>
    <w:rsid w:val="000A2CB1"/>
    <w:rsid w:val="000A2D03"/>
    <w:rsid w:val="000A304D"/>
    <w:rsid w:val="000A321F"/>
    <w:rsid w:val="000A32B8"/>
    <w:rsid w:val="000A3794"/>
    <w:rsid w:val="000A39F7"/>
    <w:rsid w:val="000A3A0A"/>
    <w:rsid w:val="000A3A95"/>
    <w:rsid w:val="000A3B7A"/>
    <w:rsid w:val="000A3C28"/>
    <w:rsid w:val="000A3D22"/>
    <w:rsid w:val="000A3D71"/>
    <w:rsid w:val="000A40E6"/>
    <w:rsid w:val="000A4139"/>
    <w:rsid w:val="000A4451"/>
    <w:rsid w:val="000A44BC"/>
    <w:rsid w:val="000A4569"/>
    <w:rsid w:val="000A45BD"/>
    <w:rsid w:val="000A4615"/>
    <w:rsid w:val="000A4629"/>
    <w:rsid w:val="000A46C2"/>
    <w:rsid w:val="000A477A"/>
    <w:rsid w:val="000A4814"/>
    <w:rsid w:val="000A4937"/>
    <w:rsid w:val="000A4A2E"/>
    <w:rsid w:val="000A4AB7"/>
    <w:rsid w:val="000A4C32"/>
    <w:rsid w:val="000A4D4C"/>
    <w:rsid w:val="000A4E86"/>
    <w:rsid w:val="000A4F07"/>
    <w:rsid w:val="000A4F8E"/>
    <w:rsid w:val="000A4FCE"/>
    <w:rsid w:val="000A50CA"/>
    <w:rsid w:val="000A511B"/>
    <w:rsid w:val="000A5256"/>
    <w:rsid w:val="000A5305"/>
    <w:rsid w:val="000A5484"/>
    <w:rsid w:val="000A550A"/>
    <w:rsid w:val="000A5685"/>
    <w:rsid w:val="000A5857"/>
    <w:rsid w:val="000A5A7C"/>
    <w:rsid w:val="000A5AF8"/>
    <w:rsid w:val="000A5B58"/>
    <w:rsid w:val="000A5BCA"/>
    <w:rsid w:val="000A5DB0"/>
    <w:rsid w:val="000A5E0E"/>
    <w:rsid w:val="000A5E27"/>
    <w:rsid w:val="000A5E9B"/>
    <w:rsid w:val="000A6082"/>
    <w:rsid w:val="000A6140"/>
    <w:rsid w:val="000A61B9"/>
    <w:rsid w:val="000A6319"/>
    <w:rsid w:val="000A63E6"/>
    <w:rsid w:val="000A6460"/>
    <w:rsid w:val="000A6473"/>
    <w:rsid w:val="000A65BE"/>
    <w:rsid w:val="000A6667"/>
    <w:rsid w:val="000A66E4"/>
    <w:rsid w:val="000A66ED"/>
    <w:rsid w:val="000A67C4"/>
    <w:rsid w:val="000A67F1"/>
    <w:rsid w:val="000A6838"/>
    <w:rsid w:val="000A688A"/>
    <w:rsid w:val="000A68BB"/>
    <w:rsid w:val="000A6967"/>
    <w:rsid w:val="000A6B9D"/>
    <w:rsid w:val="000A6DA3"/>
    <w:rsid w:val="000A6ECE"/>
    <w:rsid w:val="000A71A3"/>
    <w:rsid w:val="000A7285"/>
    <w:rsid w:val="000A73EB"/>
    <w:rsid w:val="000A7400"/>
    <w:rsid w:val="000A74A0"/>
    <w:rsid w:val="000A74F3"/>
    <w:rsid w:val="000A7506"/>
    <w:rsid w:val="000A77CB"/>
    <w:rsid w:val="000A78FD"/>
    <w:rsid w:val="000A7996"/>
    <w:rsid w:val="000A7AB9"/>
    <w:rsid w:val="000A7AFF"/>
    <w:rsid w:val="000A7CAB"/>
    <w:rsid w:val="000A7D73"/>
    <w:rsid w:val="000A7D74"/>
    <w:rsid w:val="000A7F0B"/>
    <w:rsid w:val="000A7F85"/>
    <w:rsid w:val="000B0080"/>
    <w:rsid w:val="000B0328"/>
    <w:rsid w:val="000B0340"/>
    <w:rsid w:val="000B039E"/>
    <w:rsid w:val="000B05D2"/>
    <w:rsid w:val="000B0611"/>
    <w:rsid w:val="000B07A1"/>
    <w:rsid w:val="000B08F3"/>
    <w:rsid w:val="000B09BA"/>
    <w:rsid w:val="000B09CB"/>
    <w:rsid w:val="000B0A38"/>
    <w:rsid w:val="000B0B92"/>
    <w:rsid w:val="000B0BBD"/>
    <w:rsid w:val="000B0BFD"/>
    <w:rsid w:val="000B0E67"/>
    <w:rsid w:val="000B0F35"/>
    <w:rsid w:val="000B0FAB"/>
    <w:rsid w:val="000B0FC9"/>
    <w:rsid w:val="000B1038"/>
    <w:rsid w:val="000B10F3"/>
    <w:rsid w:val="000B1174"/>
    <w:rsid w:val="000B11B4"/>
    <w:rsid w:val="000B12E3"/>
    <w:rsid w:val="000B1314"/>
    <w:rsid w:val="000B1383"/>
    <w:rsid w:val="000B13EA"/>
    <w:rsid w:val="000B143D"/>
    <w:rsid w:val="000B145D"/>
    <w:rsid w:val="000B14C8"/>
    <w:rsid w:val="000B16BB"/>
    <w:rsid w:val="000B17F3"/>
    <w:rsid w:val="000B18D2"/>
    <w:rsid w:val="000B1A52"/>
    <w:rsid w:val="000B1A56"/>
    <w:rsid w:val="000B1AB7"/>
    <w:rsid w:val="000B1B59"/>
    <w:rsid w:val="000B1C69"/>
    <w:rsid w:val="000B1E79"/>
    <w:rsid w:val="000B1FAF"/>
    <w:rsid w:val="000B206F"/>
    <w:rsid w:val="000B21AA"/>
    <w:rsid w:val="000B234C"/>
    <w:rsid w:val="000B2370"/>
    <w:rsid w:val="000B2483"/>
    <w:rsid w:val="000B24D5"/>
    <w:rsid w:val="000B2520"/>
    <w:rsid w:val="000B25C1"/>
    <w:rsid w:val="000B26E4"/>
    <w:rsid w:val="000B27F4"/>
    <w:rsid w:val="000B2845"/>
    <w:rsid w:val="000B2897"/>
    <w:rsid w:val="000B294F"/>
    <w:rsid w:val="000B2A25"/>
    <w:rsid w:val="000B2CAB"/>
    <w:rsid w:val="000B2E38"/>
    <w:rsid w:val="000B2E72"/>
    <w:rsid w:val="000B304A"/>
    <w:rsid w:val="000B308B"/>
    <w:rsid w:val="000B3102"/>
    <w:rsid w:val="000B31F2"/>
    <w:rsid w:val="000B322E"/>
    <w:rsid w:val="000B3339"/>
    <w:rsid w:val="000B3583"/>
    <w:rsid w:val="000B35A4"/>
    <w:rsid w:val="000B35B6"/>
    <w:rsid w:val="000B36CA"/>
    <w:rsid w:val="000B376C"/>
    <w:rsid w:val="000B3790"/>
    <w:rsid w:val="000B38C9"/>
    <w:rsid w:val="000B3947"/>
    <w:rsid w:val="000B3A80"/>
    <w:rsid w:val="000B3AFF"/>
    <w:rsid w:val="000B3E10"/>
    <w:rsid w:val="000B40A3"/>
    <w:rsid w:val="000B410D"/>
    <w:rsid w:val="000B4173"/>
    <w:rsid w:val="000B4327"/>
    <w:rsid w:val="000B4473"/>
    <w:rsid w:val="000B44E3"/>
    <w:rsid w:val="000B45F0"/>
    <w:rsid w:val="000B48EE"/>
    <w:rsid w:val="000B4AAD"/>
    <w:rsid w:val="000B4AC9"/>
    <w:rsid w:val="000B4B8E"/>
    <w:rsid w:val="000B4BBA"/>
    <w:rsid w:val="000B4C20"/>
    <w:rsid w:val="000B4D3D"/>
    <w:rsid w:val="000B4D61"/>
    <w:rsid w:val="000B4E4E"/>
    <w:rsid w:val="000B4FC4"/>
    <w:rsid w:val="000B5060"/>
    <w:rsid w:val="000B50A6"/>
    <w:rsid w:val="000B521B"/>
    <w:rsid w:val="000B538C"/>
    <w:rsid w:val="000B5414"/>
    <w:rsid w:val="000B546C"/>
    <w:rsid w:val="000B5549"/>
    <w:rsid w:val="000B5686"/>
    <w:rsid w:val="000B56E3"/>
    <w:rsid w:val="000B57FC"/>
    <w:rsid w:val="000B586E"/>
    <w:rsid w:val="000B59AF"/>
    <w:rsid w:val="000B5A82"/>
    <w:rsid w:val="000B5B22"/>
    <w:rsid w:val="000B5C55"/>
    <w:rsid w:val="000B5C9E"/>
    <w:rsid w:val="000B5D14"/>
    <w:rsid w:val="000B5D30"/>
    <w:rsid w:val="000B5D5D"/>
    <w:rsid w:val="000B5E36"/>
    <w:rsid w:val="000B5E62"/>
    <w:rsid w:val="000B5FFB"/>
    <w:rsid w:val="000B63BE"/>
    <w:rsid w:val="000B63C9"/>
    <w:rsid w:val="000B64E3"/>
    <w:rsid w:val="000B66CA"/>
    <w:rsid w:val="000B674F"/>
    <w:rsid w:val="000B687A"/>
    <w:rsid w:val="000B69DE"/>
    <w:rsid w:val="000B6A11"/>
    <w:rsid w:val="000B6A87"/>
    <w:rsid w:val="000B6AA5"/>
    <w:rsid w:val="000B6B0E"/>
    <w:rsid w:val="000B6B1A"/>
    <w:rsid w:val="000B6C63"/>
    <w:rsid w:val="000B6CF1"/>
    <w:rsid w:val="000B6F04"/>
    <w:rsid w:val="000B6F4D"/>
    <w:rsid w:val="000B6F8F"/>
    <w:rsid w:val="000B70CE"/>
    <w:rsid w:val="000B71C9"/>
    <w:rsid w:val="000B71F4"/>
    <w:rsid w:val="000B730C"/>
    <w:rsid w:val="000B7363"/>
    <w:rsid w:val="000B73B7"/>
    <w:rsid w:val="000B7637"/>
    <w:rsid w:val="000B7663"/>
    <w:rsid w:val="000B76A6"/>
    <w:rsid w:val="000B7727"/>
    <w:rsid w:val="000B78C5"/>
    <w:rsid w:val="000B7A4F"/>
    <w:rsid w:val="000B7A8A"/>
    <w:rsid w:val="000B7BC9"/>
    <w:rsid w:val="000B7C25"/>
    <w:rsid w:val="000B7CD2"/>
    <w:rsid w:val="000B7D6F"/>
    <w:rsid w:val="000B7EC6"/>
    <w:rsid w:val="000B7F96"/>
    <w:rsid w:val="000B7FB2"/>
    <w:rsid w:val="000C0005"/>
    <w:rsid w:val="000C00D7"/>
    <w:rsid w:val="000C027B"/>
    <w:rsid w:val="000C02D0"/>
    <w:rsid w:val="000C034E"/>
    <w:rsid w:val="000C0535"/>
    <w:rsid w:val="000C0597"/>
    <w:rsid w:val="000C077A"/>
    <w:rsid w:val="000C077C"/>
    <w:rsid w:val="000C083F"/>
    <w:rsid w:val="000C08D7"/>
    <w:rsid w:val="000C09EC"/>
    <w:rsid w:val="000C0A2E"/>
    <w:rsid w:val="000C0B5F"/>
    <w:rsid w:val="000C0C86"/>
    <w:rsid w:val="000C0D36"/>
    <w:rsid w:val="000C0D4C"/>
    <w:rsid w:val="000C0FF9"/>
    <w:rsid w:val="000C10F5"/>
    <w:rsid w:val="000C1105"/>
    <w:rsid w:val="000C114E"/>
    <w:rsid w:val="000C1245"/>
    <w:rsid w:val="000C1262"/>
    <w:rsid w:val="000C13B2"/>
    <w:rsid w:val="000C144D"/>
    <w:rsid w:val="000C14A7"/>
    <w:rsid w:val="000C14D6"/>
    <w:rsid w:val="000C1601"/>
    <w:rsid w:val="000C164E"/>
    <w:rsid w:val="000C1866"/>
    <w:rsid w:val="000C1872"/>
    <w:rsid w:val="000C1876"/>
    <w:rsid w:val="000C1A8F"/>
    <w:rsid w:val="000C1A91"/>
    <w:rsid w:val="000C1CAF"/>
    <w:rsid w:val="000C1F46"/>
    <w:rsid w:val="000C21B0"/>
    <w:rsid w:val="000C21D3"/>
    <w:rsid w:val="000C21F7"/>
    <w:rsid w:val="000C233B"/>
    <w:rsid w:val="000C233C"/>
    <w:rsid w:val="000C2357"/>
    <w:rsid w:val="000C24A8"/>
    <w:rsid w:val="000C250B"/>
    <w:rsid w:val="000C250D"/>
    <w:rsid w:val="000C25A8"/>
    <w:rsid w:val="000C290E"/>
    <w:rsid w:val="000C292B"/>
    <w:rsid w:val="000C2934"/>
    <w:rsid w:val="000C2A5E"/>
    <w:rsid w:val="000C2ED1"/>
    <w:rsid w:val="000C2F69"/>
    <w:rsid w:val="000C2F8D"/>
    <w:rsid w:val="000C306B"/>
    <w:rsid w:val="000C30ED"/>
    <w:rsid w:val="000C3122"/>
    <w:rsid w:val="000C323C"/>
    <w:rsid w:val="000C338F"/>
    <w:rsid w:val="000C3405"/>
    <w:rsid w:val="000C34F5"/>
    <w:rsid w:val="000C3816"/>
    <w:rsid w:val="000C39C1"/>
    <w:rsid w:val="000C3AC5"/>
    <w:rsid w:val="000C3B6E"/>
    <w:rsid w:val="000C3BC7"/>
    <w:rsid w:val="000C3C14"/>
    <w:rsid w:val="000C3C1D"/>
    <w:rsid w:val="000C3F18"/>
    <w:rsid w:val="000C40A0"/>
    <w:rsid w:val="000C414F"/>
    <w:rsid w:val="000C4320"/>
    <w:rsid w:val="000C4522"/>
    <w:rsid w:val="000C459E"/>
    <w:rsid w:val="000C4766"/>
    <w:rsid w:val="000C487E"/>
    <w:rsid w:val="000C48A3"/>
    <w:rsid w:val="000C48C8"/>
    <w:rsid w:val="000C4905"/>
    <w:rsid w:val="000C4984"/>
    <w:rsid w:val="000C4C09"/>
    <w:rsid w:val="000C4C7C"/>
    <w:rsid w:val="000C4D1F"/>
    <w:rsid w:val="000C4DBA"/>
    <w:rsid w:val="000C4E34"/>
    <w:rsid w:val="000C4E3A"/>
    <w:rsid w:val="000C4F66"/>
    <w:rsid w:val="000C5045"/>
    <w:rsid w:val="000C5216"/>
    <w:rsid w:val="000C52FD"/>
    <w:rsid w:val="000C5588"/>
    <w:rsid w:val="000C5612"/>
    <w:rsid w:val="000C5618"/>
    <w:rsid w:val="000C5680"/>
    <w:rsid w:val="000C5769"/>
    <w:rsid w:val="000C585D"/>
    <w:rsid w:val="000C58BA"/>
    <w:rsid w:val="000C59BD"/>
    <w:rsid w:val="000C5BEA"/>
    <w:rsid w:val="000C5E04"/>
    <w:rsid w:val="000C5E47"/>
    <w:rsid w:val="000C5EC8"/>
    <w:rsid w:val="000C5F14"/>
    <w:rsid w:val="000C5FC4"/>
    <w:rsid w:val="000C601C"/>
    <w:rsid w:val="000C604A"/>
    <w:rsid w:val="000C605A"/>
    <w:rsid w:val="000C60B3"/>
    <w:rsid w:val="000C60CA"/>
    <w:rsid w:val="000C61C9"/>
    <w:rsid w:val="000C6291"/>
    <w:rsid w:val="000C64A9"/>
    <w:rsid w:val="000C653D"/>
    <w:rsid w:val="000C65D0"/>
    <w:rsid w:val="000C65F5"/>
    <w:rsid w:val="000C6604"/>
    <w:rsid w:val="000C66CB"/>
    <w:rsid w:val="000C67C5"/>
    <w:rsid w:val="000C6809"/>
    <w:rsid w:val="000C69AF"/>
    <w:rsid w:val="000C6C0A"/>
    <w:rsid w:val="000C6C8C"/>
    <w:rsid w:val="000C6CEE"/>
    <w:rsid w:val="000C6EC0"/>
    <w:rsid w:val="000C6EC8"/>
    <w:rsid w:val="000C6EF2"/>
    <w:rsid w:val="000C6F04"/>
    <w:rsid w:val="000C71EC"/>
    <w:rsid w:val="000C725C"/>
    <w:rsid w:val="000C7333"/>
    <w:rsid w:val="000C7482"/>
    <w:rsid w:val="000C755D"/>
    <w:rsid w:val="000C761D"/>
    <w:rsid w:val="000C7664"/>
    <w:rsid w:val="000C781B"/>
    <w:rsid w:val="000C79AE"/>
    <w:rsid w:val="000C7AA4"/>
    <w:rsid w:val="000C7B0B"/>
    <w:rsid w:val="000C7CB1"/>
    <w:rsid w:val="000C7D55"/>
    <w:rsid w:val="000C7F4F"/>
    <w:rsid w:val="000C7FB0"/>
    <w:rsid w:val="000C7FF0"/>
    <w:rsid w:val="000D0430"/>
    <w:rsid w:val="000D0543"/>
    <w:rsid w:val="000D05DE"/>
    <w:rsid w:val="000D0637"/>
    <w:rsid w:val="000D077C"/>
    <w:rsid w:val="000D07AE"/>
    <w:rsid w:val="000D07C5"/>
    <w:rsid w:val="000D084F"/>
    <w:rsid w:val="000D08B7"/>
    <w:rsid w:val="000D091B"/>
    <w:rsid w:val="000D0AA1"/>
    <w:rsid w:val="000D0AF0"/>
    <w:rsid w:val="000D0CB3"/>
    <w:rsid w:val="000D0CB4"/>
    <w:rsid w:val="000D0E0B"/>
    <w:rsid w:val="000D0F41"/>
    <w:rsid w:val="000D102A"/>
    <w:rsid w:val="000D1195"/>
    <w:rsid w:val="000D11A8"/>
    <w:rsid w:val="000D11AC"/>
    <w:rsid w:val="000D1380"/>
    <w:rsid w:val="000D13E7"/>
    <w:rsid w:val="000D1457"/>
    <w:rsid w:val="000D155C"/>
    <w:rsid w:val="000D17D7"/>
    <w:rsid w:val="000D1871"/>
    <w:rsid w:val="000D19E8"/>
    <w:rsid w:val="000D1B7A"/>
    <w:rsid w:val="000D1C8E"/>
    <w:rsid w:val="000D1CE8"/>
    <w:rsid w:val="000D1CEF"/>
    <w:rsid w:val="000D1D97"/>
    <w:rsid w:val="000D1DDA"/>
    <w:rsid w:val="000D1E9F"/>
    <w:rsid w:val="000D1EB5"/>
    <w:rsid w:val="000D201F"/>
    <w:rsid w:val="000D2115"/>
    <w:rsid w:val="000D2164"/>
    <w:rsid w:val="000D2250"/>
    <w:rsid w:val="000D22B9"/>
    <w:rsid w:val="000D24C0"/>
    <w:rsid w:val="000D2525"/>
    <w:rsid w:val="000D2570"/>
    <w:rsid w:val="000D25C6"/>
    <w:rsid w:val="000D2676"/>
    <w:rsid w:val="000D2805"/>
    <w:rsid w:val="000D28B2"/>
    <w:rsid w:val="000D28D7"/>
    <w:rsid w:val="000D298B"/>
    <w:rsid w:val="000D2A63"/>
    <w:rsid w:val="000D2A86"/>
    <w:rsid w:val="000D2AB2"/>
    <w:rsid w:val="000D2B66"/>
    <w:rsid w:val="000D2BA8"/>
    <w:rsid w:val="000D2BDF"/>
    <w:rsid w:val="000D2C09"/>
    <w:rsid w:val="000D2C2A"/>
    <w:rsid w:val="000D2CE0"/>
    <w:rsid w:val="000D2D87"/>
    <w:rsid w:val="000D2E0C"/>
    <w:rsid w:val="000D317E"/>
    <w:rsid w:val="000D3233"/>
    <w:rsid w:val="000D328A"/>
    <w:rsid w:val="000D330B"/>
    <w:rsid w:val="000D33A0"/>
    <w:rsid w:val="000D33B8"/>
    <w:rsid w:val="000D3643"/>
    <w:rsid w:val="000D3694"/>
    <w:rsid w:val="000D37DD"/>
    <w:rsid w:val="000D3843"/>
    <w:rsid w:val="000D3899"/>
    <w:rsid w:val="000D3A47"/>
    <w:rsid w:val="000D3B0B"/>
    <w:rsid w:val="000D3B5F"/>
    <w:rsid w:val="000D3D1F"/>
    <w:rsid w:val="000D3F07"/>
    <w:rsid w:val="000D408D"/>
    <w:rsid w:val="000D40E6"/>
    <w:rsid w:val="000D4538"/>
    <w:rsid w:val="000D45B5"/>
    <w:rsid w:val="000D4702"/>
    <w:rsid w:val="000D471A"/>
    <w:rsid w:val="000D4879"/>
    <w:rsid w:val="000D4B22"/>
    <w:rsid w:val="000D4B9D"/>
    <w:rsid w:val="000D4F7D"/>
    <w:rsid w:val="000D5113"/>
    <w:rsid w:val="000D51AF"/>
    <w:rsid w:val="000D5291"/>
    <w:rsid w:val="000D53EF"/>
    <w:rsid w:val="000D55AA"/>
    <w:rsid w:val="000D56D2"/>
    <w:rsid w:val="000D594F"/>
    <w:rsid w:val="000D5A9B"/>
    <w:rsid w:val="000D5ADA"/>
    <w:rsid w:val="000D5B0F"/>
    <w:rsid w:val="000D5B44"/>
    <w:rsid w:val="000D5B92"/>
    <w:rsid w:val="000D5E11"/>
    <w:rsid w:val="000D62A3"/>
    <w:rsid w:val="000D6812"/>
    <w:rsid w:val="000D6911"/>
    <w:rsid w:val="000D692C"/>
    <w:rsid w:val="000D6BDB"/>
    <w:rsid w:val="000D6C16"/>
    <w:rsid w:val="000D6C3D"/>
    <w:rsid w:val="000D6D0B"/>
    <w:rsid w:val="000D6E3A"/>
    <w:rsid w:val="000D6E56"/>
    <w:rsid w:val="000D6FB5"/>
    <w:rsid w:val="000D7013"/>
    <w:rsid w:val="000D70D1"/>
    <w:rsid w:val="000D7120"/>
    <w:rsid w:val="000D746D"/>
    <w:rsid w:val="000D7564"/>
    <w:rsid w:val="000D7795"/>
    <w:rsid w:val="000D786F"/>
    <w:rsid w:val="000D7951"/>
    <w:rsid w:val="000D7A0F"/>
    <w:rsid w:val="000D7ABE"/>
    <w:rsid w:val="000D7B4C"/>
    <w:rsid w:val="000D7C6F"/>
    <w:rsid w:val="000D7C94"/>
    <w:rsid w:val="000E00CD"/>
    <w:rsid w:val="000E072B"/>
    <w:rsid w:val="000E08E5"/>
    <w:rsid w:val="000E0917"/>
    <w:rsid w:val="000E0AC3"/>
    <w:rsid w:val="000E0BD9"/>
    <w:rsid w:val="000E0CB1"/>
    <w:rsid w:val="000E0CC4"/>
    <w:rsid w:val="000E0DBD"/>
    <w:rsid w:val="000E0EDD"/>
    <w:rsid w:val="000E11EC"/>
    <w:rsid w:val="000E12F3"/>
    <w:rsid w:val="000E130D"/>
    <w:rsid w:val="000E13B7"/>
    <w:rsid w:val="000E1458"/>
    <w:rsid w:val="000E14F8"/>
    <w:rsid w:val="000E1550"/>
    <w:rsid w:val="000E159B"/>
    <w:rsid w:val="000E15BB"/>
    <w:rsid w:val="000E15E0"/>
    <w:rsid w:val="000E1775"/>
    <w:rsid w:val="000E18A2"/>
    <w:rsid w:val="000E191D"/>
    <w:rsid w:val="000E1975"/>
    <w:rsid w:val="000E1986"/>
    <w:rsid w:val="000E1A78"/>
    <w:rsid w:val="000E1BFE"/>
    <w:rsid w:val="000E1C3D"/>
    <w:rsid w:val="000E1D2B"/>
    <w:rsid w:val="000E1FDA"/>
    <w:rsid w:val="000E202C"/>
    <w:rsid w:val="000E22FC"/>
    <w:rsid w:val="000E2410"/>
    <w:rsid w:val="000E257E"/>
    <w:rsid w:val="000E263C"/>
    <w:rsid w:val="000E269E"/>
    <w:rsid w:val="000E270E"/>
    <w:rsid w:val="000E273F"/>
    <w:rsid w:val="000E2785"/>
    <w:rsid w:val="000E2889"/>
    <w:rsid w:val="000E299C"/>
    <w:rsid w:val="000E2C97"/>
    <w:rsid w:val="000E2CEA"/>
    <w:rsid w:val="000E2DEF"/>
    <w:rsid w:val="000E2E37"/>
    <w:rsid w:val="000E2E7D"/>
    <w:rsid w:val="000E2E9A"/>
    <w:rsid w:val="000E2E9F"/>
    <w:rsid w:val="000E2EAC"/>
    <w:rsid w:val="000E3086"/>
    <w:rsid w:val="000E3146"/>
    <w:rsid w:val="000E31F3"/>
    <w:rsid w:val="000E328A"/>
    <w:rsid w:val="000E328F"/>
    <w:rsid w:val="000E32DB"/>
    <w:rsid w:val="000E33E8"/>
    <w:rsid w:val="000E3407"/>
    <w:rsid w:val="000E345B"/>
    <w:rsid w:val="000E3780"/>
    <w:rsid w:val="000E3843"/>
    <w:rsid w:val="000E3956"/>
    <w:rsid w:val="000E397B"/>
    <w:rsid w:val="000E397D"/>
    <w:rsid w:val="000E3988"/>
    <w:rsid w:val="000E399B"/>
    <w:rsid w:val="000E3A67"/>
    <w:rsid w:val="000E3AAD"/>
    <w:rsid w:val="000E3BF5"/>
    <w:rsid w:val="000E3C9A"/>
    <w:rsid w:val="000E3D2A"/>
    <w:rsid w:val="000E3D57"/>
    <w:rsid w:val="000E3DFB"/>
    <w:rsid w:val="000E3E5B"/>
    <w:rsid w:val="000E3ECB"/>
    <w:rsid w:val="000E400D"/>
    <w:rsid w:val="000E406D"/>
    <w:rsid w:val="000E409C"/>
    <w:rsid w:val="000E40AF"/>
    <w:rsid w:val="000E40D1"/>
    <w:rsid w:val="000E4191"/>
    <w:rsid w:val="000E42A4"/>
    <w:rsid w:val="000E436F"/>
    <w:rsid w:val="000E4379"/>
    <w:rsid w:val="000E4454"/>
    <w:rsid w:val="000E4560"/>
    <w:rsid w:val="000E456A"/>
    <w:rsid w:val="000E4598"/>
    <w:rsid w:val="000E4759"/>
    <w:rsid w:val="000E4761"/>
    <w:rsid w:val="000E4866"/>
    <w:rsid w:val="000E48D3"/>
    <w:rsid w:val="000E494A"/>
    <w:rsid w:val="000E4968"/>
    <w:rsid w:val="000E4B1A"/>
    <w:rsid w:val="000E4D02"/>
    <w:rsid w:val="000E4E35"/>
    <w:rsid w:val="000E4EBF"/>
    <w:rsid w:val="000E4FC4"/>
    <w:rsid w:val="000E50B6"/>
    <w:rsid w:val="000E51D8"/>
    <w:rsid w:val="000E5322"/>
    <w:rsid w:val="000E55A8"/>
    <w:rsid w:val="000E59F1"/>
    <w:rsid w:val="000E5A8A"/>
    <w:rsid w:val="000E5CDA"/>
    <w:rsid w:val="000E61BA"/>
    <w:rsid w:val="000E61F9"/>
    <w:rsid w:val="000E621E"/>
    <w:rsid w:val="000E628E"/>
    <w:rsid w:val="000E6332"/>
    <w:rsid w:val="000E63A8"/>
    <w:rsid w:val="000E668F"/>
    <w:rsid w:val="000E6756"/>
    <w:rsid w:val="000E67FD"/>
    <w:rsid w:val="000E68F1"/>
    <w:rsid w:val="000E692D"/>
    <w:rsid w:val="000E6974"/>
    <w:rsid w:val="000E69F3"/>
    <w:rsid w:val="000E6A44"/>
    <w:rsid w:val="000E6ACC"/>
    <w:rsid w:val="000E6B26"/>
    <w:rsid w:val="000E6B72"/>
    <w:rsid w:val="000E6CDC"/>
    <w:rsid w:val="000E6DB7"/>
    <w:rsid w:val="000E6ED9"/>
    <w:rsid w:val="000E6F85"/>
    <w:rsid w:val="000E7067"/>
    <w:rsid w:val="000E706E"/>
    <w:rsid w:val="000E744D"/>
    <w:rsid w:val="000E74A7"/>
    <w:rsid w:val="000E7642"/>
    <w:rsid w:val="000E7806"/>
    <w:rsid w:val="000E7930"/>
    <w:rsid w:val="000E7C38"/>
    <w:rsid w:val="000E7D7C"/>
    <w:rsid w:val="000E7FA8"/>
    <w:rsid w:val="000E7FE9"/>
    <w:rsid w:val="000ECAB3"/>
    <w:rsid w:val="000F0063"/>
    <w:rsid w:val="000F0232"/>
    <w:rsid w:val="000F023E"/>
    <w:rsid w:val="000F0277"/>
    <w:rsid w:val="000F03AB"/>
    <w:rsid w:val="000F0491"/>
    <w:rsid w:val="000F0515"/>
    <w:rsid w:val="000F05EB"/>
    <w:rsid w:val="000F06F1"/>
    <w:rsid w:val="000F06F7"/>
    <w:rsid w:val="000F0719"/>
    <w:rsid w:val="000F078E"/>
    <w:rsid w:val="000F0864"/>
    <w:rsid w:val="000F0957"/>
    <w:rsid w:val="000F09AB"/>
    <w:rsid w:val="000F0A8C"/>
    <w:rsid w:val="000F0CAD"/>
    <w:rsid w:val="000F0D8A"/>
    <w:rsid w:val="000F0D92"/>
    <w:rsid w:val="000F0DD9"/>
    <w:rsid w:val="000F0E99"/>
    <w:rsid w:val="000F0F65"/>
    <w:rsid w:val="000F0F9D"/>
    <w:rsid w:val="000F1203"/>
    <w:rsid w:val="000F1448"/>
    <w:rsid w:val="000F1740"/>
    <w:rsid w:val="000F17DC"/>
    <w:rsid w:val="000F196A"/>
    <w:rsid w:val="000F19E0"/>
    <w:rsid w:val="000F1AA2"/>
    <w:rsid w:val="000F1ADF"/>
    <w:rsid w:val="000F1B8A"/>
    <w:rsid w:val="000F1C2C"/>
    <w:rsid w:val="000F1CF3"/>
    <w:rsid w:val="000F1D47"/>
    <w:rsid w:val="000F1E7F"/>
    <w:rsid w:val="000F209F"/>
    <w:rsid w:val="000F21B6"/>
    <w:rsid w:val="000F2213"/>
    <w:rsid w:val="000F2455"/>
    <w:rsid w:val="000F24FE"/>
    <w:rsid w:val="000F2592"/>
    <w:rsid w:val="000F27D4"/>
    <w:rsid w:val="000F2911"/>
    <w:rsid w:val="000F299F"/>
    <w:rsid w:val="000F29B6"/>
    <w:rsid w:val="000F2AAA"/>
    <w:rsid w:val="000F2B6A"/>
    <w:rsid w:val="000F2BAE"/>
    <w:rsid w:val="000F2BB6"/>
    <w:rsid w:val="000F2C2A"/>
    <w:rsid w:val="000F2DD6"/>
    <w:rsid w:val="000F2E9B"/>
    <w:rsid w:val="000F2EF9"/>
    <w:rsid w:val="000F2F65"/>
    <w:rsid w:val="000F31FE"/>
    <w:rsid w:val="000F3261"/>
    <w:rsid w:val="000F333C"/>
    <w:rsid w:val="000F334C"/>
    <w:rsid w:val="000F369E"/>
    <w:rsid w:val="000F36FC"/>
    <w:rsid w:val="000F38AA"/>
    <w:rsid w:val="000F38DB"/>
    <w:rsid w:val="000F399C"/>
    <w:rsid w:val="000F39C3"/>
    <w:rsid w:val="000F3AAF"/>
    <w:rsid w:val="000F3C0E"/>
    <w:rsid w:val="000F3C96"/>
    <w:rsid w:val="000F3E63"/>
    <w:rsid w:val="000F3FF1"/>
    <w:rsid w:val="000F43F5"/>
    <w:rsid w:val="000F4462"/>
    <w:rsid w:val="000F44F1"/>
    <w:rsid w:val="000F450D"/>
    <w:rsid w:val="000F4678"/>
    <w:rsid w:val="000F4681"/>
    <w:rsid w:val="000F46D6"/>
    <w:rsid w:val="000F4717"/>
    <w:rsid w:val="000F480A"/>
    <w:rsid w:val="000F4871"/>
    <w:rsid w:val="000F48F5"/>
    <w:rsid w:val="000F4A81"/>
    <w:rsid w:val="000F4A8D"/>
    <w:rsid w:val="000F4ACA"/>
    <w:rsid w:val="000F4C09"/>
    <w:rsid w:val="000F4C67"/>
    <w:rsid w:val="000F4C6C"/>
    <w:rsid w:val="000F4F05"/>
    <w:rsid w:val="000F4F2D"/>
    <w:rsid w:val="000F4F5A"/>
    <w:rsid w:val="000F4F5B"/>
    <w:rsid w:val="000F4FDD"/>
    <w:rsid w:val="000F4FFA"/>
    <w:rsid w:val="000F52DB"/>
    <w:rsid w:val="000F54BC"/>
    <w:rsid w:val="000F5512"/>
    <w:rsid w:val="000F557F"/>
    <w:rsid w:val="000F55F3"/>
    <w:rsid w:val="000F5690"/>
    <w:rsid w:val="000F56AB"/>
    <w:rsid w:val="000F5760"/>
    <w:rsid w:val="000F57AB"/>
    <w:rsid w:val="000F5958"/>
    <w:rsid w:val="000F5AEC"/>
    <w:rsid w:val="000F5CC0"/>
    <w:rsid w:val="000F5D43"/>
    <w:rsid w:val="000F5F0C"/>
    <w:rsid w:val="000F5F55"/>
    <w:rsid w:val="000F61AA"/>
    <w:rsid w:val="000F64BE"/>
    <w:rsid w:val="000F658E"/>
    <w:rsid w:val="000F65E9"/>
    <w:rsid w:val="000F68CD"/>
    <w:rsid w:val="000F68EC"/>
    <w:rsid w:val="000F699E"/>
    <w:rsid w:val="000F6A2B"/>
    <w:rsid w:val="000F6C20"/>
    <w:rsid w:val="000F6CF8"/>
    <w:rsid w:val="000F6DA0"/>
    <w:rsid w:val="000F6DC0"/>
    <w:rsid w:val="000F6FAD"/>
    <w:rsid w:val="000F7164"/>
    <w:rsid w:val="000F7269"/>
    <w:rsid w:val="000F744E"/>
    <w:rsid w:val="000F746D"/>
    <w:rsid w:val="000F7813"/>
    <w:rsid w:val="000F784E"/>
    <w:rsid w:val="000F79D9"/>
    <w:rsid w:val="000F7A5F"/>
    <w:rsid w:val="000F7CA4"/>
    <w:rsid w:val="000F7D09"/>
    <w:rsid w:val="000F7D0E"/>
    <w:rsid w:val="000F7D14"/>
    <w:rsid w:val="001002A3"/>
    <w:rsid w:val="001003E1"/>
    <w:rsid w:val="00100416"/>
    <w:rsid w:val="00100618"/>
    <w:rsid w:val="001007C7"/>
    <w:rsid w:val="0010089A"/>
    <w:rsid w:val="001008DD"/>
    <w:rsid w:val="001008DF"/>
    <w:rsid w:val="00100BA0"/>
    <w:rsid w:val="00100BA7"/>
    <w:rsid w:val="00100BCF"/>
    <w:rsid w:val="00100DD4"/>
    <w:rsid w:val="0010101C"/>
    <w:rsid w:val="00101090"/>
    <w:rsid w:val="001011C8"/>
    <w:rsid w:val="00101236"/>
    <w:rsid w:val="001012CF"/>
    <w:rsid w:val="00101326"/>
    <w:rsid w:val="001013B3"/>
    <w:rsid w:val="001013F4"/>
    <w:rsid w:val="001014D1"/>
    <w:rsid w:val="001015AE"/>
    <w:rsid w:val="001016FE"/>
    <w:rsid w:val="00101740"/>
    <w:rsid w:val="001017E6"/>
    <w:rsid w:val="0010185E"/>
    <w:rsid w:val="001018D2"/>
    <w:rsid w:val="00101A3D"/>
    <w:rsid w:val="00101A8E"/>
    <w:rsid w:val="00101BC8"/>
    <w:rsid w:val="00101C96"/>
    <w:rsid w:val="00101E69"/>
    <w:rsid w:val="00102124"/>
    <w:rsid w:val="00102276"/>
    <w:rsid w:val="0010231D"/>
    <w:rsid w:val="001023D4"/>
    <w:rsid w:val="001025C0"/>
    <w:rsid w:val="00102633"/>
    <w:rsid w:val="0010267E"/>
    <w:rsid w:val="0010269A"/>
    <w:rsid w:val="0010283C"/>
    <w:rsid w:val="001028F6"/>
    <w:rsid w:val="001029C7"/>
    <w:rsid w:val="00102AAF"/>
    <w:rsid w:val="00102B8B"/>
    <w:rsid w:val="00102BF3"/>
    <w:rsid w:val="00102C79"/>
    <w:rsid w:val="00102F10"/>
    <w:rsid w:val="00102F21"/>
    <w:rsid w:val="00102F2B"/>
    <w:rsid w:val="00103057"/>
    <w:rsid w:val="001031A1"/>
    <w:rsid w:val="00103268"/>
    <w:rsid w:val="0010326C"/>
    <w:rsid w:val="001032B3"/>
    <w:rsid w:val="0010330A"/>
    <w:rsid w:val="00103390"/>
    <w:rsid w:val="001034B7"/>
    <w:rsid w:val="00103550"/>
    <w:rsid w:val="001035C4"/>
    <w:rsid w:val="0010362F"/>
    <w:rsid w:val="00103643"/>
    <w:rsid w:val="00103658"/>
    <w:rsid w:val="0010374C"/>
    <w:rsid w:val="001037AD"/>
    <w:rsid w:val="00103808"/>
    <w:rsid w:val="0010397A"/>
    <w:rsid w:val="001039C7"/>
    <w:rsid w:val="00103A30"/>
    <w:rsid w:val="00103F1D"/>
    <w:rsid w:val="001041E8"/>
    <w:rsid w:val="00104338"/>
    <w:rsid w:val="001044CD"/>
    <w:rsid w:val="00104555"/>
    <w:rsid w:val="0010467F"/>
    <w:rsid w:val="0010482F"/>
    <w:rsid w:val="00104899"/>
    <w:rsid w:val="00104AE7"/>
    <w:rsid w:val="00104B9E"/>
    <w:rsid w:val="00104CC0"/>
    <w:rsid w:val="00104CEA"/>
    <w:rsid w:val="00104D78"/>
    <w:rsid w:val="00104FC9"/>
    <w:rsid w:val="00105269"/>
    <w:rsid w:val="00105319"/>
    <w:rsid w:val="0010549E"/>
    <w:rsid w:val="0010553A"/>
    <w:rsid w:val="00105540"/>
    <w:rsid w:val="0010555E"/>
    <w:rsid w:val="00105622"/>
    <w:rsid w:val="00105755"/>
    <w:rsid w:val="0010583D"/>
    <w:rsid w:val="00105943"/>
    <w:rsid w:val="001059B2"/>
    <w:rsid w:val="00105A12"/>
    <w:rsid w:val="00105A1B"/>
    <w:rsid w:val="00105A5D"/>
    <w:rsid w:val="00105C37"/>
    <w:rsid w:val="00105C3F"/>
    <w:rsid w:val="00105CD3"/>
    <w:rsid w:val="00105EDF"/>
    <w:rsid w:val="001060FE"/>
    <w:rsid w:val="00106282"/>
    <w:rsid w:val="001062EC"/>
    <w:rsid w:val="00106309"/>
    <w:rsid w:val="00106327"/>
    <w:rsid w:val="00106448"/>
    <w:rsid w:val="001064FD"/>
    <w:rsid w:val="0010679F"/>
    <w:rsid w:val="001067A5"/>
    <w:rsid w:val="001069A4"/>
    <w:rsid w:val="001069AD"/>
    <w:rsid w:val="00106DBA"/>
    <w:rsid w:val="00106DCB"/>
    <w:rsid w:val="00106E11"/>
    <w:rsid w:val="00106E52"/>
    <w:rsid w:val="00106EBF"/>
    <w:rsid w:val="00107058"/>
    <w:rsid w:val="0010717C"/>
    <w:rsid w:val="00107279"/>
    <w:rsid w:val="001072DA"/>
    <w:rsid w:val="00107326"/>
    <w:rsid w:val="00107669"/>
    <w:rsid w:val="001076A7"/>
    <w:rsid w:val="001076C4"/>
    <w:rsid w:val="00107771"/>
    <w:rsid w:val="001078B3"/>
    <w:rsid w:val="0010794B"/>
    <w:rsid w:val="00107970"/>
    <w:rsid w:val="00107A81"/>
    <w:rsid w:val="00107B39"/>
    <w:rsid w:val="00107D33"/>
    <w:rsid w:val="00107EE3"/>
    <w:rsid w:val="00107F3A"/>
    <w:rsid w:val="00107F9A"/>
    <w:rsid w:val="00107FA5"/>
    <w:rsid w:val="0010C8EB"/>
    <w:rsid w:val="00110198"/>
    <w:rsid w:val="0011019C"/>
    <w:rsid w:val="0011022C"/>
    <w:rsid w:val="00110237"/>
    <w:rsid w:val="00110319"/>
    <w:rsid w:val="00110320"/>
    <w:rsid w:val="0011047C"/>
    <w:rsid w:val="00110490"/>
    <w:rsid w:val="0011051B"/>
    <w:rsid w:val="001105C5"/>
    <w:rsid w:val="00110660"/>
    <w:rsid w:val="00110704"/>
    <w:rsid w:val="0011071A"/>
    <w:rsid w:val="0011092E"/>
    <w:rsid w:val="0011099C"/>
    <w:rsid w:val="00110B01"/>
    <w:rsid w:val="00110B76"/>
    <w:rsid w:val="00110CE3"/>
    <w:rsid w:val="00110DBA"/>
    <w:rsid w:val="00110DE4"/>
    <w:rsid w:val="00110EFD"/>
    <w:rsid w:val="00110F16"/>
    <w:rsid w:val="00110F17"/>
    <w:rsid w:val="00110F23"/>
    <w:rsid w:val="001111C8"/>
    <w:rsid w:val="0011129A"/>
    <w:rsid w:val="00111451"/>
    <w:rsid w:val="0011147B"/>
    <w:rsid w:val="00111535"/>
    <w:rsid w:val="0011160E"/>
    <w:rsid w:val="00111612"/>
    <w:rsid w:val="0011166A"/>
    <w:rsid w:val="00111734"/>
    <w:rsid w:val="00111842"/>
    <w:rsid w:val="00111A5E"/>
    <w:rsid w:val="00111C55"/>
    <w:rsid w:val="00111CD1"/>
    <w:rsid w:val="00111D4C"/>
    <w:rsid w:val="00111E6B"/>
    <w:rsid w:val="00111F37"/>
    <w:rsid w:val="00111FCF"/>
    <w:rsid w:val="00111FDC"/>
    <w:rsid w:val="0011217A"/>
    <w:rsid w:val="001121EC"/>
    <w:rsid w:val="0011223C"/>
    <w:rsid w:val="001122B4"/>
    <w:rsid w:val="0011232F"/>
    <w:rsid w:val="00112496"/>
    <w:rsid w:val="001125C8"/>
    <w:rsid w:val="00112836"/>
    <w:rsid w:val="001128B6"/>
    <w:rsid w:val="001128F3"/>
    <w:rsid w:val="00112AE0"/>
    <w:rsid w:val="00112B62"/>
    <w:rsid w:val="00112BC7"/>
    <w:rsid w:val="00112CB4"/>
    <w:rsid w:val="00112DA0"/>
    <w:rsid w:val="00112E52"/>
    <w:rsid w:val="00112E5D"/>
    <w:rsid w:val="00113231"/>
    <w:rsid w:val="0011325E"/>
    <w:rsid w:val="001132C2"/>
    <w:rsid w:val="00113307"/>
    <w:rsid w:val="0011332E"/>
    <w:rsid w:val="00113341"/>
    <w:rsid w:val="001133C8"/>
    <w:rsid w:val="001134B2"/>
    <w:rsid w:val="00113578"/>
    <w:rsid w:val="001135AB"/>
    <w:rsid w:val="0011367B"/>
    <w:rsid w:val="00113733"/>
    <w:rsid w:val="00113764"/>
    <w:rsid w:val="001138EC"/>
    <w:rsid w:val="0011393B"/>
    <w:rsid w:val="001139D3"/>
    <w:rsid w:val="001139D8"/>
    <w:rsid w:val="001139DB"/>
    <w:rsid w:val="00113A24"/>
    <w:rsid w:val="00113A61"/>
    <w:rsid w:val="00113C0A"/>
    <w:rsid w:val="00113C4E"/>
    <w:rsid w:val="00113CA5"/>
    <w:rsid w:val="00113ED1"/>
    <w:rsid w:val="00113FA9"/>
    <w:rsid w:val="0011403A"/>
    <w:rsid w:val="001140CF"/>
    <w:rsid w:val="0011424C"/>
    <w:rsid w:val="0011439E"/>
    <w:rsid w:val="00114427"/>
    <w:rsid w:val="00114458"/>
    <w:rsid w:val="001144A1"/>
    <w:rsid w:val="001144A7"/>
    <w:rsid w:val="001145F5"/>
    <w:rsid w:val="001147A2"/>
    <w:rsid w:val="001147BF"/>
    <w:rsid w:val="00114804"/>
    <w:rsid w:val="00114B81"/>
    <w:rsid w:val="00114BBD"/>
    <w:rsid w:val="00114ED4"/>
    <w:rsid w:val="0011517E"/>
    <w:rsid w:val="00115244"/>
    <w:rsid w:val="00115266"/>
    <w:rsid w:val="001152F5"/>
    <w:rsid w:val="0011533E"/>
    <w:rsid w:val="0011540B"/>
    <w:rsid w:val="0011541D"/>
    <w:rsid w:val="0011545A"/>
    <w:rsid w:val="00115487"/>
    <w:rsid w:val="0011549E"/>
    <w:rsid w:val="001155C6"/>
    <w:rsid w:val="001156FE"/>
    <w:rsid w:val="00115976"/>
    <w:rsid w:val="0011598F"/>
    <w:rsid w:val="001159A7"/>
    <w:rsid w:val="00115A41"/>
    <w:rsid w:val="00115EA9"/>
    <w:rsid w:val="001160A4"/>
    <w:rsid w:val="001160BE"/>
    <w:rsid w:val="001160F7"/>
    <w:rsid w:val="00116336"/>
    <w:rsid w:val="00116384"/>
    <w:rsid w:val="0011645E"/>
    <w:rsid w:val="001164A3"/>
    <w:rsid w:val="00116556"/>
    <w:rsid w:val="00116583"/>
    <w:rsid w:val="001165D5"/>
    <w:rsid w:val="001166F5"/>
    <w:rsid w:val="001167D0"/>
    <w:rsid w:val="001168B4"/>
    <w:rsid w:val="0011691E"/>
    <w:rsid w:val="00116925"/>
    <w:rsid w:val="001169BB"/>
    <w:rsid w:val="001169D2"/>
    <w:rsid w:val="00116A12"/>
    <w:rsid w:val="00116A38"/>
    <w:rsid w:val="00116B7C"/>
    <w:rsid w:val="00116BD4"/>
    <w:rsid w:val="00116D84"/>
    <w:rsid w:val="00116FE8"/>
    <w:rsid w:val="00117048"/>
    <w:rsid w:val="00117155"/>
    <w:rsid w:val="0011717D"/>
    <w:rsid w:val="0011731B"/>
    <w:rsid w:val="001173D8"/>
    <w:rsid w:val="001173E6"/>
    <w:rsid w:val="00117472"/>
    <w:rsid w:val="001174A9"/>
    <w:rsid w:val="00117739"/>
    <w:rsid w:val="0011778C"/>
    <w:rsid w:val="0011786B"/>
    <w:rsid w:val="00117A7D"/>
    <w:rsid w:val="00117B11"/>
    <w:rsid w:val="00117B75"/>
    <w:rsid w:val="00117BFA"/>
    <w:rsid w:val="00117D6E"/>
    <w:rsid w:val="00117E40"/>
    <w:rsid w:val="00117F10"/>
    <w:rsid w:val="00117FD6"/>
    <w:rsid w:val="0011B381"/>
    <w:rsid w:val="00120212"/>
    <w:rsid w:val="00120293"/>
    <w:rsid w:val="0012046D"/>
    <w:rsid w:val="001204B8"/>
    <w:rsid w:val="0012051A"/>
    <w:rsid w:val="00120585"/>
    <w:rsid w:val="001205F5"/>
    <w:rsid w:val="001206B9"/>
    <w:rsid w:val="00120CAF"/>
    <w:rsid w:val="00120D32"/>
    <w:rsid w:val="00120F6A"/>
    <w:rsid w:val="00120FC1"/>
    <w:rsid w:val="001211EF"/>
    <w:rsid w:val="0012126F"/>
    <w:rsid w:val="00121313"/>
    <w:rsid w:val="001213C6"/>
    <w:rsid w:val="00121645"/>
    <w:rsid w:val="00121748"/>
    <w:rsid w:val="0012177C"/>
    <w:rsid w:val="0012178E"/>
    <w:rsid w:val="00121886"/>
    <w:rsid w:val="00121A36"/>
    <w:rsid w:val="00121A65"/>
    <w:rsid w:val="00121AAF"/>
    <w:rsid w:val="00121BF4"/>
    <w:rsid w:val="00121C00"/>
    <w:rsid w:val="00121CAC"/>
    <w:rsid w:val="00121D80"/>
    <w:rsid w:val="00121DC4"/>
    <w:rsid w:val="00121E88"/>
    <w:rsid w:val="00121FA4"/>
    <w:rsid w:val="00122112"/>
    <w:rsid w:val="0012229E"/>
    <w:rsid w:val="001222D5"/>
    <w:rsid w:val="00122425"/>
    <w:rsid w:val="0012242D"/>
    <w:rsid w:val="001224E1"/>
    <w:rsid w:val="00122698"/>
    <w:rsid w:val="001226C0"/>
    <w:rsid w:val="001227D0"/>
    <w:rsid w:val="001228FA"/>
    <w:rsid w:val="00122ADC"/>
    <w:rsid w:val="00122B4F"/>
    <w:rsid w:val="00122BA9"/>
    <w:rsid w:val="00122E0E"/>
    <w:rsid w:val="00122EE5"/>
    <w:rsid w:val="00122F1C"/>
    <w:rsid w:val="00122F80"/>
    <w:rsid w:val="00122FAB"/>
    <w:rsid w:val="0012306A"/>
    <w:rsid w:val="001230D2"/>
    <w:rsid w:val="00123237"/>
    <w:rsid w:val="001232A1"/>
    <w:rsid w:val="001233A0"/>
    <w:rsid w:val="001233DA"/>
    <w:rsid w:val="00123454"/>
    <w:rsid w:val="001234FF"/>
    <w:rsid w:val="001235BF"/>
    <w:rsid w:val="00123811"/>
    <w:rsid w:val="00123AF9"/>
    <w:rsid w:val="00123C6E"/>
    <w:rsid w:val="00123CA8"/>
    <w:rsid w:val="00123CAD"/>
    <w:rsid w:val="00123CC7"/>
    <w:rsid w:val="00123EA1"/>
    <w:rsid w:val="00123F57"/>
    <w:rsid w:val="00123FB6"/>
    <w:rsid w:val="001240B4"/>
    <w:rsid w:val="00124170"/>
    <w:rsid w:val="00124181"/>
    <w:rsid w:val="00124200"/>
    <w:rsid w:val="00124204"/>
    <w:rsid w:val="0012425A"/>
    <w:rsid w:val="00124283"/>
    <w:rsid w:val="00124350"/>
    <w:rsid w:val="00124358"/>
    <w:rsid w:val="00124A47"/>
    <w:rsid w:val="00124CE9"/>
    <w:rsid w:val="00124DA7"/>
    <w:rsid w:val="0012508B"/>
    <w:rsid w:val="001251E6"/>
    <w:rsid w:val="00125481"/>
    <w:rsid w:val="001254CE"/>
    <w:rsid w:val="0012555F"/>
    <w:rsid w:val="0012563D"/>
    <w:rsid w:val="001256BC"/>
    <w:rsid w:val="001256D7"/>
    <w:rsid w:val="00125754"/>
    <w:rsid w:val="001257E9"/>
    <w:rsid w:val="00125878"/>
    <w:rsid w:val="00125A0D"/>
    <w:rsid w:val="00125BB7"/>
    <w:rsid w:val="00125BB8"/>
    <w:rsid w:val="00125C5E"/>
    <w:rsid w:val="00125CA1"/>
    <w:rsid w:val="00125CE8"/>
    <w:rsid w:val="00125DD3"/>
    <w:rsid w:val="00126178"/>
    <w:rsid w:val="001265D9"/>
    <w:rsid w:val="0012674F"/>
    <w:rsid w:val="001268B2"/>
    <w:rsid w:val="00126A64"/>
    <w:rsid w:val="00126B53"/>
    <w:rsid w:val="00126C16"/>
    <w:rsid w:val="00126D6C"/>
    <w:rsid w:val="00126D79"/>
    <w:rsid w:val="00126F39"/>
    <w:rsid w:val="00126FE6"/>
    <w:rsid w:val="001270B3"/>
    <w:rsid w:val="0012712F"/>
    <w:rsid w:val="001271FB"/>
    <w:rsid w:val="00127292"/>
    <w:rsid w:val="001272FD"/>
    <w:rsid w:val="00127350"/>
    <w:rsid w:val="001273CE"/>
    <w:rsid w:val="00127534"/>
    <w:rsid w:val="001275DD"/>
    <w:rsid w:val="001276B1"/>
    <w:rsid w:val="00127805"/>
    <w:rsid w:val="001278B9"/>
    <w:rsid w:val="00127970"/>
    <w:rsid w:val="00127ABC"/>
    <w:rsid w:val="00127B46"/>
    <w:rsid w:val="00127C52"/>
    <w:rsid w:val="00127CA3"/>
    <w:rsid w:val="00127E1A"/>
    <w:rsid w:val="00127F19"/>
    <w:rsid w:val="0013004D"/>
    <w:rsid w:val="0013019B"/>
    <w:rsid w:val="001301CE"/>
    <w:rsid w:val="0013048E"/>
    <w:rsid w:val="0013062A"/>
    <w:rsid w:val="00130630"/>
    <w:rsid w:val="00130687"/>
    <w:rsid w:val="0013080C"/>
    <w:rsid w:val="00130899"/>
    <w:rsid w:val="001308FD"/>
    <w:rsid w:val="0013092E"/>
    <w:rsid w:val="001309B0"/>
    <w:rsid w:val="00130AB0"/>
    <w:rsid w:val="00130BA4"/>
    <w:rsid w:val="00130BD9"/>
    <w:rsid w:val="00130D96"/>
    <w:rsid w:val="00130E2B"/>
    <w:rsid w:val="00130E2F"/>
    <w:rsid w:val="00130E64"/>
    <w:rsid w:val="00130F07"/>
    <w:rsid w:val="00130F6F"/>
    <w:rsid w:val="00130F76"/>
    <w:rsid w:val="00131019"/>
    <w:rsid w:val="001310B5"/>
    <w:rsid w:val="0013123B"/>
    <w:rsid w:val="00131351"/>
    <w:rsid w:val="001313FE"/>
    <w:rsid w:val="00131454"/>
    <w:rsid w:val="00131512"/>
    <w:rsid w:val="0013158D"/>
    <w:rsid w:val="001315F8"/>
    <w:rsid w:val="0013174D"/>
    <w:rsid w:val="001317B2"/>
    <w:rsid w:val="001318E6"/>
    <w:rsid w:val="00131A99"/>
    <w:rsid w:val="00131C99"/>
    <w:rsid w:val="00131CFE"/>
    <w:rsid w:val="00131DF4"/>
    <w:rsid w:val="00131E16"/>
    <w:rsid w:val="00131E75"/>
    <w:rsid w:val="00131E7B"/>
    <w:rsid w:val="00131F7F"/>
    <w:rsid w:val="001320F9"/>
    <w:rsid w:val="00132126"/>
    <w:rsid w:val="00132156"/>
    <w:rsid w:val="0013218D"/>
    <w:rsid w:val="0013220B"/>
    <w:rsid w:val="001322C8"/>
    <w:rsid w:val="001323C5"/>
    <w:rsid w:val="00132502"/>
    <w:rsid w:val="00132609"/>
    <w:rsid w:val="0013262A"/>
    <w:rsid w:val="0013272F"/>
    <w:rsid w:val="00132749"/>
    <w:rsid w:val="0013274B"/>
    <w:rsid w:val="00132862"/>
    <w:rsid w:val="00132886"/>
    <w:rsid w:val="001329E5"/>
    <w:rsid w:val="00132A69"/>
    <w:rsid w:val="00132A72"/>
    <w:rsid w:val="00132AF7"/>
    <w:rsid w:val="00132B46"/>
    <w:rsid w:val="00132C32"/>
    <w:rsid w:val="00132CAD"/>
    <w:rsid w:val="00132CD3"/>
    <w:rsid w:val="00132CE9"/>
    <w:rsid w:val="00132E53"/>
    <w:rsid w:val="00132F39"/>
    <w:rsid w:val="00132FFF"/>
    <w:rsid w:val="00133102"/>
    <w:rsid w:val="0013320D"/>
    <w:rsid w:val="001333CE"/>
    <w:rsid w:val="00133718"/>
    <w:rsid w:val="00133740"/>
    <w:rsid w:val="001337AC"/>
    <w:rsid w:val="00133891"/>
    <w:rsid w:val="001338DF"/>
    <w:rsid w:val="00133919"/>
    <w:rsid w:val="00133C83"/>
    <w:rsid w:val="00133EEA"/>
    <w:rsid w:val="00134053"/>
    <w:rsid w:val="001340A3"/>
    <w:rsid w:val="00134155"/>
    <w:rsid w:val="001341AA"/>
    <w:rsid w:val="001342A6"/>
    <w:rsid w:val="0013430F"/>
    <w:rsid w:val="001344EB"/>
    <w:rsid w:val="0013459F"/>
    <w:rsid w:val="00134604"/>
    <w:rsid w:val="001346E7"/>
    <w:rsid w:val="00134787"/>
    <w:rsid w:val="0013484E"/>
    <w:rsid w:val="00134AA2"/>
    <w:rsid w:val="00134AE9"/>
    <w:rsid w:val="00134BA8"/>
    <w:rsid w:val="00134BC0"/>
    <w:rsid w:val="00134C57"/>
    <w:rsid w:val="00134E1E"/>
    <w:rsid w:val="00134E32"/>
    <w:rsid w:val="00135039"/>
    <w:rsid w:val="0013532C"/>
    <w:rsid w:val="00135496"/>
    <w:rsid w:val="001354B7"/>
    <w:rsid w:val="00135517"/>
    <w:rsid w:val="001357AD"/>
    <w:rsid w:val="0013588D"/>
    <w:rsid w:val="001358BE"/>
    <w:rsid w:val="00135990"/>
    <w:rsid w:val="001359D3"/>
    <w:rsid w:val="00135A99"/>
    <w:rsid w:val="00135B01"/>
    <w:rsid w:val="00135B4F"/>
    <w:rsid w:val="00135BC0"/>
    <w:rsid w:val="00135CF0"/>
    <w:rsid w:val="00135D59"/>
    <w:rsid w:val="00135DC5"/>
    <w:rsid w:val="00135DDA"/>
    <w:rsid w:val="00135E8A"/>
    <w:rsid w:val="0013611F"/>
    <w:rsid w:val="00136180"/>
    <w:rsid w:val="001361AA"/>
    <w:rsid w:val="001361F4"/>
    <w:rsid w:val="00136237"/>
    <w:rsid w:val="0013628E"/>
    <w:rsid w:val="0013630D"/>
    <w:rsid w:val="00136325"/>
    <w:rsid w:val="00136397"/>
    <w:rsid w:val="001363CD"/>
    <w:rsid w:val="00136569"/>
    <w:rsid w:val="001366C1"/>
    <w:rsid w:val="00136726"/>
    <w:rsid w:val="00136842"/>
    <w:rsid w:val="0013688A"/>
    <w:rsid w:val="001369C2"/>
    <w:rsid w:val="00136C29"/>
    <w:rsid w:val="00136D64"/>
    <w:rsid w:val="00136EA3"/>
    <w:rsid w:val="00136F00"/>
    <w:rsid w:val="00136F81"/>
    <w:rsid w:val="0013705C"/>
    <w:rsid w:val="00137085"/>
    <w:rsid w:val="0013709A"/>
    <w:rsid w:val="001370C0"/>
    <w:rsid w:val="001370DB"/>
    <w:rsid w:val="00137170"/>
    <w:rsid w:val="001371C5"/>
    <w:rsid w:val="00137385"/>
    <w:rsid w:val="00137438"/>
    <w:rsid w:val="001374AA"/>
    <w:rsid w:val="001375C0"/>
    <w:rsid w:val="001376E0"/>
    <w:rsid w:val="00137757"/>
    <w:rsid w:val="001377E0"/>
    <w:rsid w:val="001379D7"/>
    <w:rsid w:val="00137A1A"/>
    <w:rsid w:val="00137B29"/>
    <w:rsid w:val="00137BE0"/>
    <w:rsid w:val="00140094"/>
    <w:rsid w:val="00140100"/>
    <w:rsid w:val="001402D4"/>
    <w:rsid w:val="001403F1"/>
    <w:rsid w:val="001405C4"/>
    <w:rsid w:val="00140747"/>
    <w:rsid w:val="00140931"/>
    <w:rsid w:val="00140997"/>
    <w:rsid w:val="00140A11"/>
    <w:rsid w:val="00140AD7"/>
    <w:rsid w:val="00140B9D"/>
    <w:rsid w:val="00140BBB"/>
    <w:rsid w:val="00140D36"/>
    <w:rsid w:val="00140D57"/>
    <w:rsid w:val="00140F95"/>
    <w:rsid w:val="001410B2"/>
    <w:rsid w:val="001411A3"/>
    <w:rsid w:val="0014135D"/>
    <w:rsid w:val="0014149A"/>
    <w:rsid w:val="001414CB"/>
    <w:rsid w:val="00141529"/>
    <w:rsid w:val="00141667"/>
    <w:rsid w:val="00141893"/>
    <w:rsid w:val="00141910"/>
    <w:rsid w:val="00141ACE"/>
    <w:rsid w:val="00141B25"/>
    <w:rsid w:val="00141B54"/>
    <w:rsid w:val="00141B8F"/>
    <w:rsid w:val="00141ECD"/>
    <w:rsid w:val="00141EF1"/>
    <w:rsid w:val="001420B5"/>
    <w:rsid w:val="001422D1"/>
    <w:rsid w:val="00142399"/>
    <w:rsid w:val="001424FD"/>
    <w:rsid w:val="001425CA"/>
    <w:rsid w:val="001426F1"/>
    <w:rsid w:val="001426FB"/>
    <w:rsid w:val="00142735"/>
    <w:rsid w:val="00142812"/>
    <w:rsid w:val="00142A13"/>
    <w:rsid w:val="00142A3A"/>
    <w:rsid w:val="00142AA1"/>
    <w:rsid w:val="00142AAB"/>
    <w:rsid w:val="00142AE0"/>
    <w:rsid w:val="00142C03"/>
    <w:rsid w:val="00142C5E"/>
    <w:rsid w:val="00142CA0"/>
    <w:rsid w:val="00142CD0"/>
    <w:rsid w:val="00142E1F"/>
    <w:rsid w:val="00142E21"/>
    <w:rsid w:val="001431B9"/>
    <w:rsid w:val="00143229"/>
    <w:rsid w:val="0014337E"/>
    <w:rsid w:val="001433AB"/>
    <w:rsid w:val="001433B4"/>
    <w:rsid w:val="001433C6"/>
    <w:rsid w:val="001433CE"/>
    <w:rsid w:val="00143481"/>
    <w:rsid w:val="0014353D"/>
    <w:rsid w:val="00143602"/>
    <w:rsid w:val="00143655"/>
    <w:rsid w:val="0014391C"/>
    <w:rsid w:val="001439E1"/>
    <w:rsid w:val="00143A78"/>
    <w:rsid w:val="00143AE7"/>
    <w:rsid w:val="00143DD2"/>
    <w:rsid w:val="00143ED4"/>
    <w:rsid w:val="00143F0B"/>
    <w:rsid w:val="00143F5D"/>
    <w:rsid w:val="0014411B"/>
    <w:rsid w:val="0014437D"/>
    <w:rsid w:val="00144634"/>
    <w:rsid w:val="00144733"/>
    <w:rsid w:val="001447CE"/>
    <w:rsid w:val="0014480E"/>
    <w:rsid w:val="001448C3"/>
    <w:rsid w:val="00144928"/>
    <w:rsid w:val="00144AB0"/>
    <w:rsid w:val="00144AB5"/>
    <w:rsid w:val="00144B20"/>
    <w:rsid w:val="00144B5D"/>
    <w:rsid w:val="00144C50"/>
    <w:rsid w:val="00144D15"/>
    <w:rsid w:val="00144EFE"/>
    <w:rsid w:val="00145401"/>
    <w:rsid w:val="00145445"/>
    <w:rsid w:val="001454C9"/>
    <w:rsid w:val="001454EF"/>
    <w:rsid w:val="0014553E"/>
    <w:rsid w:val="001455D6"/>
    <w:rsid w:val="00145718"/>
    <w:rsid w:val="0014575A"/>
    <w:rsid w:val="0014584D"/>
    <w:rsid w:val="001459E3"/>
    <w:rsid w:val="00145BCD"/>
    <w:rsid w:val="00145C8D"/>
    <w:rsid w:val="00145CC7"/>
    <w:rsid w:val="00145D4B"/>
    <w:rsid w:val="00145DC7"/>
    <w:rsid w:val="00145E51"/>
    <w:rsid w:val="00145E86"/>
    <w:rsid w:val="0014611C"/>
    <w:rsid w:val="001461D8"/>
    <w:rsid w:val="001462F0"/>
    <w:rsid w:val="00146584"/>
    <w:rsid w:val="001465EF"/>
    <w:rsid w:val="0014665A"/>
    <w:rsid w:val="0014676F"/>
    <w:rsid w:val="00146890"/>
    <w:rsid w:val="00146980"/>
    <w:rsid w:val="00146991"/>
    <w:rsid w:val="001469FA"/>
    <w:rsid w:val="00147274"/>
    <w:rsid w:val="0014736E"/>
    <w:rsid w:val="001473B3"/>
    <w:rsid w:val="001474CC"/>
    <w:rsid w:val="00147506"/>
    <w:rsid w:val="00147579"/>
    <w:rsid w:val="001476E5"/>
    <w:rsid w:val="00147705"/>
    <w:rsid w:val="00147734"/>
    <w:rsid w:val="00147786"/>
    <w:rsid w:val="0014781B"/>
    <w:rsid w:val="0014786C"/>
    <w:rsid w:val="00147883"/>
    <w:rsid w:val="001478F3"/>
    <w:rsid w:val="0014797B"/>
    <w:rsid w:val="00147982"/>
    <w:rsid w:val="00147A23"/>
    <w:rsid w:val="00147AF1"/>
    <w:rsid w:val="00147B37"/>
    <w:rsid w:val="00147B5C"/>
    <w:rsid w:val="00147C65"/>
    <w:rsid w:val="00147C6F"/>
    <w:rsid w:val="00147CCA"/>
    <w:rsid w:val="00147DD8"/>
    <w:rsid w:val="00147F30"/>
    <w:rsid w:val="00147F40"/>
    <w:rsid w:val="00147FDC"/>
    <w:rsid w:val="00150078"/>
    <w:rsid w:val="00150272"/>
    <w:rsid w:val="0015030D"/>
    <w:rsid w:val="0015032D"/>
    <w:rsid w:val="00150362"/>
    <w:rsid w:val="00150381"/>
    <w:rsid w:val="00150386"/>
    <w:rsid w:val="001503B8"/>
    <w:rsid w:val="00150575"/>
    <w:rsid w:val="00150597"/>
    <w:rsid w:val="00150683"/>
    <w:rsid w:val="00150751"/>
    <w:rsid w:val="001508AC"/>
    <w:rsid w:val="00150984"/>
    <w:rsid w:val="00150A07"/>
    <w:rsid w:val="00150A96"/>
    <w:rsid w:val="00150B86"/>
    <w:rsid w:val="00150C26"/>
    <w:rsid w:val="00150C58"/>
    <w:rsid w:val="00150C98"/>
    <w:rsid w:val="00150DE1"/>
    <w:rsid w:val="00150F18"/>
    <w:rsid w:val="00150F9C"/>
    <w:rsid w:val="00151138"/>
    <w:rsid w:val="0015143E"/>
    <w:rsid w:val="0015159B"/>
    <w:rsid w:val="00151769"/>
    <w:rsid w:val="00151776"/>
    <w:rsid w:val="001517E1"/>
    <w:rsid w:val="0015181D"/>
    <w:rsid w:val="0015183F"/>
    <w:rsid w:val="001518BA"/>
    <w:rsid w:val="00151AB8"/>
    <w:rsid w:val="00151AED"/>
    <w:rsid w:val="00151E14"/>
    <w:rsid w:val="00151E95"/>
    <w:rsid w:val="00151FBF"/>
    <w:rsid w:val="00152025"/>
    <w:rsid w:val="0015216E"/>
    <w:rsid w:val="0015222B"/>
    <w:rsid w:val="00152453"/>
    <w:rsid w:val="001524C7"/>
    <w:rsid w:val="00152527"/>
    <w:rsid w:val="00152736"/>
    <w:rsid w:val="00152792"/>
    <w:rsid w:val="0015285D"/>
    <w:rsid w:val="001529CE"/>
    <w:rsid w:val="001529F8"/>
    <w:rsid w:val="00152AB2"/>
    <w:rsid w:val="00152ABE"/>
    <w:rsid w:val="00152C19"/>
    <w:rsid w:val="00152DCD"/>
    <w:rsid w:val="001530A0"/>
    <w:rsid w:val="0015312E"/>
    <w:rsid w:val="00153135"/>
    <w:rsid w:val="00153308"/>
    <w:rsid w:val="001537FD"/>
    <w:rsid w:val="00153887"/>
    <w:rsid w:val="001538B9"/>
    <w:rsid w:val="00153958"/>
    <w:rsid w:val="00153961"/>
    <w:rsid w:val="001539B7"/>
    <w:rsid w:val="001539D4"/>
    <w:rsid w:val="00153A36"/>
    <w:rsid w:val="00153A88"/>
    <w:rsid w:val="00153AB5"/>
    <w:rsid w:val="00153B2B"/>
    <w:rsid w:val="00153BA6"/>
    <w:rsid w:val="00153CF4"/>
    <w:rsid w:val="00153D8D"/>
    <w:rsid w:val="00153DE0"/>
    <w:rsid w:val="00153E2B"/>
    <w:rsid w:val="001540B7"/>
    <w:rsid w:val="0015412C"/>
    <w:rsid w:val="00154247"/>
    <w:rsid w:val="00154274"/>
    <w:rsid w:val="0015436A"/>
    <w:rsid w:val="0015457C"/>
    <w:rsid w:val="00154595"/>
    <w:rsid w:val="00154630"/>
    <w:rsid w:val="00154791"/>
    <w:rsid w:val="001549B5"/>
    <w:rsid w:val="001549D1"/>
    <w:rsid w:val="00154A87"/>
    <w:rsid w:val="00154ADA"/>
    <w:rsid w:val="00154B38"/>
    <w:rsid w:val="00154C6F"/>
    <w:rsid w:val="00154D66"/>
    <w:rsid w:val="00154E98"/>
    <w:rsid w:val="00155151"/>
    <w:rsid w:val="0015525A"/>
    <w:rsid w:val="001552D9"/>
    <w:rsid w:val="001552E3"/>
    <w:rsid w:val="00155313"/>
    <w:rsid w:val="0015539E"/>
    <w:rsid w:val="001554A6"/>
    <w:rsid w:val="0015558C"/>
    <w:rsid w:val="00155687"/>
    <w:rsid w:val="001556E3"/>
    <w:rsid w:val="00155793"/>
    <w:rsid w:val="0015581E"/>
    <w:rsid w:val="00155846"/>
    <w:rsid w:val="00155878"/>
    <w:rsid w:val="001558B8"/>
    <w:rsid w:val="00155BA3"/>
    <w:rsid w:val="00155D3E"/>
    <w:rsid w:val="00155E79"/>
    <w:rsid w:val="00155ED3"/>
    <w:rsid w:val="00156013"/>
    <w:rsid w:val="00156037"/>
    <w:rsid w:val="00156072"/>
    <w:rsid w:val="001560B6"/>
    <w:rsid w:val="001561FC"/>
    <w:rsid w:val="001563C5"/>
    <w:rsid w:val="00156609"/>
    <w:rsid w:val="0015668D"/>
    <w:rsid w:val="001566BB"/>
    <w:rsid w:val="001566CB"/>
    <w:rsid w:val="001566CF"/>
    <w:rsid w:val="0015679C"/>
    <w:rsid w:val="001568CA"/>
    <w:rsid w:val="0015692B"/>
    <w:rsid w:val="001569B7"/>
    <w:rsid w:val="00156C21"/>
    <w:rsid w:val="00156CA9"/>
    <w:rsid w:val="00156F71"/>
    <w:rsid w:val="001570DA"/>
    <w:rsid w:val="00157111"/>
    <w:rsid w:val="00157174"/>
    <w:rsid w:val="0015724D"/>
    <w:rsid w:val="001573E9"/>
    <w:rsid w:val="00157546"/>
    <w:rsid w:val="00157614"/>
    <w:rsid w:val="0015779D"/>
    <w:rsid w:val="00157819"/>
    <w:rsid w:val="001579E0"/>
    <w:rsid w:val="00157B74"/>
    <w:rsid w:val="00157C20"/>
    <w:rsid w:val="00157C5C"/>
    <w:rsid w:val="00157D36"/>
    <w:rsid w:val="00157DD0"/>
    <w:rsid w:val="00157F4C"/>
    <w:rsid w:val="00160068"/>
    <w:rsid w:val="0016028F"/>
    <w:rsid w:val="00160395"/>
    <w:rsid w:val="001603C3"/>
    <w:rsid w:val="001603F6"/>
    <w:rsid w:val="00160497"/>
    <w:rsid w:val="001604DC"/>
    <w:rsid w:val="00160670"/>
    <w:rsid w:val="00160690"/>
    <w:rsid w:val="001606A9"/>
    <w:rsid w:val="0016072F"/>
    <w:rsid w:val="001607BE"/>
    <w:rsid w:val="00160890"/>
    <w:rsid w:val="00160926"/>
    <w:rsid w:val="001609BB"/>
    <w:rsid w:val="00160A97"/>
    <w:rsid w:val="00160AFE"/>
    <w:rsid w:val="00160B19"/>
    <w:rsid w:val="00160B54"/>
    <w:rsid w:val="00160C0C"/>
    <w:rsid w:val="00160E9B"/>
    <w:rsid w:val="00160EB8"/>
    <w:rsid w:val="00160F4B"/>
    <w:rsid w:val="001614D1"/>
    <w:rsid w:val="001615A9"/>
    <w:rsid w:val="0016166B"/>
    <w:rsid w:val="001617FA"/>
    <w:rsid w:val="001618C6"/>
    <w:rsid w:val="00161977"/>
    <w:rsid w:val="001619F4"/>
    <w:rsid w:val="001619FD"/>
    <w:rsid w:val="00161A34"/>
    <w:rsid w:val="00161AE3"/>
    <w:rsid w:val="00161BA0"/>
    <w:rsid w:val="00161E1B"/>
    <w:rsid w:val="00161FF1"/>
    <w:rsid w:val="0016202D"/>
    <w:rsid w:val="00162383"/>
    <w:rsid w:val="00162522"/>
    <w:rsid w:val="001627B2"/>
    <w:rsid w:val="001628E2"/>
    <w:rsid w:val="00162C3D"/>
    <w:rsid w:val="00162CF4"/>
    <w:rsid w:val="00162D0D"/>
    <w:rsid w:val="00162F51"/>
    <w:rsid w:val="00162FE9"/>
    <w:rsid w:val="0016303A"/>
    <w:rsid w:val="00163215"/>
    <w:rsid w:val="0016338F"/>
    <w:rsid w:val="001635F8"/>
    <w:rsid w:val="0016368A"/>
    <w:rsid w:val="0016368F"/>
    <w:rsid w:val="00163774"/>
    <w:rsid w:val="001637FE"/>
    <w:rsid w:val="00163927"/>
    <w:rsid w:val="00163962"/>
    <w:rsid w:val="0016398C"/>
    <w:rsid w:val="00163DE0"/>
    <w:rsid w:val="00163EAF"/>
    <w:rsid w:val="00164045"/>
    <w:rsid w:val="00164105"/>
    <w:rsid w:val="0016410B"/>
    <w:rsid w:val="001643B4"/>
    <w:rsid w:val="00164525"/>
    <w:rsid w:val="00164566"/>
    <w:rsid w:val="00164894"/>
    <w:rsid w:val="001648B8"/>
    <w:rsid w:val="00164B13"/>
    <w:rsid w:val="00164B40"/>
    <w:rsid w:val="00164CF8"/>
    <w:rsid w:val="00164E1E"/>
    <w:rsid w:val="00164ED6"/>
    <w:rsid w:val="00164F7B"/>
    <w:rsid w:val="0016501E"/>
    <w:rsid w:val="0016505C"/>
    <w:rsid w:val="001650AA"/>
    <w:rsid w:val="001650C5"/>
    <w:rsid w:val="001650F3"/>
    <w:rsid w:val="001651B0"/>
    <w:rsid w:val="0016520D"/>
    <w:rsid w:val="001652ED"/>
    <w:rsid w:val="0016531F"/>
    <w:rsid w:val="00165344"/>
    <w:rsid w:val="00165440"/>
    <w:rsid w:val="0016555B"/>
    <w:rsid w:val="001655CA"/>
    <w:rsid w:val="00165627"/>
    <w:rsid w:val="001656FB"/>
    <w:rsid w:val="00165741"/>
    <w:rsid w:val="00165794"/>
    <w:rsid w:val="00165A7F"/>
    <w:rsid w:val="00165AF9"/>
    <w:rsid w:val="00165C1D"/>
    <w:rsid w:val="00165C7E"/>
    <w:rsid w:val="00165CB5"/>
    <w:rsid w:val="00165CFD"/>
    <w:rsid w:val="00165D1D"/>
    <w:rsid w:val="00165E17"/>
    <w:rsid w:val="00165E1F"/>
    <w:rsid w:val="00165E21"/>
    <w:rsid w:val="0016612B"/>
    <w:rsid w:val="001662CA"/>
    <w:rsid w:val="00166349"/>
    <w:rsid w:val="00166416"/>
    <w:rsid w:val="001665DA"/>
    <w:rsid w:val="00166752"/>
    <w:rsid w:val="001667FA"/>
    <w:rsid w:val="001668B1"/>
    <w:rsid w:val="00166973"/>
    <w:rsid w:val="00166A21"/>
    <w:rsid w:val="00166A4E"/>
    <w:rsid w:val="00166AA0"/>
    <w:rsid w:val="00166AC2"/>
    <w:rsid w:val="00166AF6"/>
    <w:rsid w:val="00166B3F"/>
    <w:rsid w:val="00166B9F"/>
    <w:rsid w:val="00166BC7"/>
    <w:rsid w:val="00166C5A"/>
    <w:rsid w:val="00166F24"/>
    <w:rsid w:val="00166FF8"/>
    <w:rsid w:val="00167068"/>
    <w:rsid w:val="001670EC"/>
    <w:rsid w:val="001672A8"/>
    <w:rsid w:val="0016741B"/>
    <w:rsid w:val="00167491"/>
    <w:rsid w:val="0016765F"/>
    <w:rsid w:val="00167711"/>
    <w:rsid w:val="00167778"/>
    <w:rsid w:val="0016789E"/>
    <w:rsid w:val="00167985"/>
    <w:rsid w:val="001679A9"/>
    <w:rsid w:val="00167A32"/>
    <w:rsid w:val="00167A3B"/>
    <w:rsid w:val="00167CD5"/>
    <w:rsid w:val="00167DDD"/>
    <w:rsid w:val="00167E28"/>
    <w:rsid w:val="00167F02"/>
    <w:rsid w:val="00167F19"/>
    <w:rsid w:val="00167FE9"/>
    <w:rsid w:val="00170241"/>
    <w:rsid w:val="00170258"/>
    <w:rsid w:val="001702F3"/>
    <w:rsid w:val="0017052E"/>
    <w:rsid w:val="00170685"/>
    <w:rsid w:val="00170949"/>
    <w:rsid w:val="0017097C"/>
    <w:rsid w:val="00170BF4"/>
    <w:rsid w:val="00170CBA"/>
    <w:rsid w:val="00170CF5"/>
    <w:rsid w:val="00170F60"/>
    <w:rsid w:val="0017100F"/>
    <w:rsid w:val="001712F5"/>
    <w:rsid w:val="001713A4"/>
    <w:rsid w:val="00171456"/>
    <w:rsid w:val="001716F6"/>
    <w:rsid w:val="00171860"/>
    <w:rsid w:val="00171A86"/>
    <w:rsid w:val="00171BFE"/>
    <w:rsid w:val="00171D30"/>
    <w:rsid w:val="00171DB0"/>
    <w:rsid w:val="00171EC7"/>
    <w:rsid w:val="00171F3F"/>
    <w:rsid w:val="00171FAB"/>
    <w:rsid w:val="00171FE4"/>
    <w:rsid w:val="00171FFE"/>
    <w:rsid w:val="00172073"/>
    <w:rsid w:val="001720EE"/>
    <w:rsid w:val="00172265"/>
    <w:rsid w:val="0017226E"/>
    <w:rsid w:val="001722A2"/>
    <w:rsid w:val="00172382"/>
    <w:rsid w:val="001724CE"/>
    <w:rsid w:val="001724EB"/>
    <w:rsid w:val="001726D0"/>
    <w:rsid w:val="00172727"/>
    <w:rsid w:val="001727D5"/>
    <w:rsid w:val="00172A91"/>
    <w:rsid w:val="00172CEE"/>
    <w:rsid w:val="00172D96"/>
    <w:rsid w:val="00172DC8"/>
    <w:rsid w:val="00172E02"/>
    <w:rsid w:val="00173048"/>
    <w:rsid w:val="00173201"/>
    <w:rsid w:val="00173698"/>
    <w:rsid w:val="001737C6"/>
    <w:rsid w:val="00173931"/>
    <w:rsid w:val="0017396D"/>
    <w:rsid w:val="0017398C"/>
    <w:rsid w:val="001739CA"/>
    <w:rsid w:val="00173A3E"/>
    <w:rsid w:val="00173AC9"/>
    <w:rsid w:val="00173AFC"/>
    <w:rsid w:val="00173B09"/>
    <w:rsid w:val="00173C14"/>
    <w:rsid w:val="00173C41"/>
    <w:rsid w:val="00173D17"/>
    <w:rsid w:val="00174123"/>
    <w:rsid w:val="0017425F"/>
    <w:rsid w:val="001742FC"/>
    <w:rsid w:val="00174378"/>
    <w:rsid w:val="001743F3"/>
    <w:rsid w:val="0017467F"/>
    <w:rsid w:val="001746A2"/>
    <w:rsid w:val="001747AD"/>
    <w:rsid w:val="001749C8"/>
    <w:rsid w:val="00174C09"/>
    <w:rsid w:val="00174C41"/>
    <w:rsid w:val="00174C9B"/>
    <w:rsid w:val="00174D0E"/>
    <w:rsid w:val="00174D7B"/>
    <w:rsid w:val="00174EF1"/>
    <w:rsid w:val="00174F14"/>
    <w:rsid w:val="00174F5C"/>
    <w:rsid w:val="00174FCA"/>
    <w:rsid w:val="00175165"/>
    <w:rsid w:val="0017536F"/>
    <w:rsid w:val="0017537F"/>
    <w:rsid w:val="00175439"/>
    <w:rsid w:val="0017543D"/>
    <w:rsid w:val="00175486"/>
    <w:rsid w:val="00175541"/>
    <w:rsid w:val="001758A3"/>
    <w:rsid w:val="00175A0A"/>
    <w:rsid w:val="00175A86"/>
    <w:rsid w:val="00175B3E"/>
    <w:rsid w:val="00175BF6"/>
    <w:rsid w:val="00175BFB"/>
    <w:rsid w:val="00175C30"/>
    <w:rsid w:val="00175C75"/>
    <w:rsid w:val="00175CC7"/>
    <w:rsid w:val="00175DCB"/>
    <w:rsid w:val="00175E10"/>
    <w:rsid w:val="00175F16"/>
    <w:rsid w:val="001760D7"/>
    <w:rsid w:val="00176119"/>
    <w:rsid w:val="0017616B"/>
    <w:rsid w:val="0017625C"/>
    <w:rsid w:val="0017630C"/>
    <w:rsid w:val="00176485"/>
    <w:rsid w:val="0017649F"/>
    <w:rsid w:val="001764BC"/>
    <w:rsid w:val="00176604"/>
    <w:rsid w:val="001766DF"/>
    <w:rsid w:val="0017674C"/>
    <w:rsid w:val="0017676A"/>
    <w:rsid w:val="001767AD"/>
    <w:rsid w:val="00176892"/>
    <w:rsid w:val="001768FC"/>
    <w:rsid w:val="00176A67"/>
    <w:rsid w:val="00176C26"/>
    <w:rsid w:val="00176CA6"/>
    <w:rsid w:val="00176FB3"/>
    <w:rsid w:val="00176FB7"/>
    <w:rsid w:val="00177121"/>
    <w:rsid w:val="00177300"/>
    <w:rsid w:val="00177462"/>
    <w:rsid w:val="00177506"/>
    <w:rsid w:val="0017754A"/>
    <w:rsid w:val="001775D7"/>
    <w:rsid w:val="00177644"/>
    <w:rsid w:val="00177738"/>
    <w:rsid w:val="0017786F"/>
    <w:rsid w:val="00177876"/>
    <w:rsid w:val="00177895"/>
    <w:rsid w:val="001778F1"/>
    <w:rsid w:val="00177963"/>
    <w:rsid w:val="00177A8C"/>
    <w:rsid w:val="00177AD5"/>
    <w:rsid w:val="00177B0A"/>
    <w:rsid w:val="00177BB3"/>
    <w:rsid w:val="00177BEB"/>
    <w:rsid w:val="00177D22"/>
    <w:rsid w:val="00177D47"/>
    <w:rsid w:val="00177D4D"/>
    <w:rsid w:val="00177DD7"/>
    <w:rsid w:val="00177E59"/>
    <w:rsid w:val="00180046"/>
    <w:rsid w:val="00180054"/>
    <w:rsid w:val="00180071"/>
    <w:rsid w:val="001800BD"/>
    <w:rsid w:val="00180117"/>
    <w:rsid w:val="001801EA"/>
    <w:rsid w:val="00180231"/>
    <w:rsid w:val="0018054F"/>
    <w:rsid w:val="00180635"/>
    <w:rsid w:val="001806A8"/>
    <w:rsid w:val="001807DB"/>
    <w:rsid w:val="00180AC3"/>
    <w:rsid w:val="00180E40"/>
    <w:rsid w:val="0018102E"/>
    <w:rsid w:val="00181030"/>
    <w:rsid w:val="001810C5"/>
    <w:rsid w:val="001811C4"/>
    <w:rsid w:val="001814E0"/>
    <w:rsid w:val="00181598"/>
    <w:rsid w:val="001815EF"/>
    <w:rsid w:val="00181612"/>
    <w:rsid w:val="001816B1"/>
    <w:rsid w:val="00181734"/>
    <w:rsid w:val="001817DF"/>
    <w:rsid w:val="0018181F"/>
    <w:rsid w:val="001818E5"/>
    <w:rsid w:val="001818F0"/>
    <w:rsid w:val="001819AA"/>
    <w:rsid w:val="001819DE"/>
    <w:rsid w:val="00181CD7"/>
    <w:rsid w:val="00181CFB"/>
    <w:rsid w:val="00181DFC"/>
    <w:rsid w:val="00181E34"/>
    <w:rsid w:val="00181E5B"/>
    <w:rsid w:val="00181E8D"/>
    <w:rsid w:val="00181EB5"/>
    <w:rsid w:val="00181ECA"/>
    <w:rsid w:val="00182037"/>
    <w:rsid w:val="00182047"/>
    <w:rsid w:val="0018217E"/>
    <w:rsid w:val="0018218A"/>
    <w:rsid w:val="0018218D"/>
    <w:rsid w:val="001821D9"/>
    <w:rsid w:val="0018229A"/>
    <w:rsid w:val="0018235F"/>
    <w:rsid w:val="00182398"/>
    <w:rsid w:val="00182573"/>
    <w:rsid w:val="00182A19"/>
    <w:rsid w:val="00182A86"/>
    <w:rsid w:val="00182BD8"/>
    <w:rsid w:val="00182C47"/>
    <w:rsid w:val="00182CFC"/>
    <w:rsid w:val="00182D0E"/>
    <w:rsid w:val="00182EB7"/>
    <w:rsid w:val="00182F5D"/>
    <w:rsid w:val="00182FDB"/>
    <w:rsid w:val="0018312E"/>
    <w:rsid w:val="001832DB"/>
    <w:rsid w:val="00183332"/>
    <w:rsid w:val="0018333D"/>
    <w:rsid w:val="00183350"/>
    <w:rsid w:val="00183393"/>
    <w:rsid w:val="001834A7"/>
    <w:rsid w:val="00183773"/>
    <w:rsid w:val="0018377D"/>
    <w:rsid w:val="001837DD"/>
    <w:rsid w:val="00183827"/>
    <w:rsid w:val="001838E2"/>
    <w:rsid w:val="0018399C"/>
    <w:rsid w:val="001839A4"/>
    <w:rsid w:val="001839AD"/>
    <w:rsid w:val="001839DB"/>
    <w:rsid w:val="00183A1B"/>
    <w:rsid w:val="00183B1A"/>
    <w:rsid w:val="00183CDF"/>
    <w:rsid w:val="00183E76"/>
    <w:rsid w:val="00183F0E"/>
    <w:rsid w:val="00183F95"/>
    <w:rsid w:val="00183FAC"/>
    <w:rsid w:val="00183FB0"/>
    <w:rsid w:val="00183FE4"/>
    <w:rsid w:val="0018417A"/>
    <w:rsid w:val="0018426A"/>
    <w:rsid w:val="0018427C"/>
    <w:rsid w:val="001843C0"/>
    <w:rsid w:val="0018444E"/>
    <w:rsid w:val="00184489"/>
    <w:rsid w:val="0018457D"/>
    <w:rsid w:val="00184614"/>
    <w:rsid w:val="00184743"/>
    <w:rsid w:val="001847BF"/>
    <w:rsid w:val="001848E5"/>
    <w:rsid w:val="00184990"/>
    <w:rsid w:val="00184BEB"/>
    <w:rsid w:val="00184C75"/>
    <w:rsid w:val="00184D23"/>
    <w:rsid w:val="00184DDB"/>
    <w:rsid w:val="00184E88"/>
    <w:rsid w:val="00184EB2"/>
    <w:rsid w:val="00184F89"/>
    <w:rsid w:val="001851C5"/>
    <w:rsid w:val="001851EF"/>
    <w:rsid w:val="0018521B"/>
    <w:rsid w:val="00185274"/>
    <w:rsid w:val="001852EB"/>
    <w:rsid w:val="0018534B"/>
    <w:rsid w:val="00185386"/>
    <w:rsid w:val="001853D2"/>
    <w:rsid w:val="00185635"/>
    <w:rsid w:val="001857A0"/>
    <w:rsid w:val="001858A9"/>
    <w:rsid w:val="001859D1"/>
    <w:rsid w:val="00185B20"/>
    <w:rsid w:val="00185D84"/>
    <w:rsid w:val="00185E04"/>
    <w:rsid w:val="00185E14"/>
    <w:rsid w:val="00185EBA"/>
    <w:rsid w:val="00185EDB"/>
    <w:rsid w:val="00185FEB"/>
    <w:rsid w:val="00186027"/>
    <w:rsid w:val="0018608B"/>
    <w:rsid w:val="00186093"/>
    <w:rsid w:val="0018614A"/>
    <w:rsid w:val="001862BB"/>
    <w:rsid w:val="001864BE"/>
    <w:rsid w:val="0018667F"/>
    <w:rsid w:val="001868CB"/>
    <w:rsid w:val="001869BE"/>
    <w:rsid w:val="00186B56"/>
    <w:rsid w:val="00186B7A"/>
    <w:rsid w:val="00186C28"/>
    <w:rsid w:val="00186CF9"/>
    <w:rsid w:val="00186D7F"/>
    <w:rsid w:val="00186DC6"/>
    <w:rsid w:val="00186E87"/>
    <w:rsid w:val="00186EFB"/>
    <w:rsid w:val="00186F03"/>
    <w:rsid w:val="00186F92"/>
    <w:rsid w:val="00187068"/>
    <w:rsid w:val="0018714A"/>
    <w:rsid w:val="00187183"/>
    <w:rsid w:val="001871B7"/>
    <w:rsid w:val="001872B0"/>
    <w:rsid w:val="001873BF"/>
    <w:rsid w:val="00187440"/>
    <w:rsid w:val="00187497"/>
    <w:rsid w:val="00187560"/>
    <w:rsid w:val="0018762A"/>
    <w:rsid w:val="00187776"/>
    <w:rsid w:val="00187867"/>
    <w:rsid w:val="0018788F"/>
    <w:rsid w:val="00187941"/>
    <w:rsid w:val="00187B0B"/>
    <w:rsid w:val="00187BB8"/>
    <w:rsid w:val="00187CF4"/>
    <w:rsid w:val="00187DA7"/>
    <w:rsid w:val="00187DCD"/>
    <w:rsid w:val="00190013"/>
    <w:rsid w:val="00190173"/>
    <w:rsid w:val="001904AC"/>
    <w:rsid w:val="00190521"/>
    <w:rsid w:val="0019052D"/>
    <w:rsid w:val="001907C2"/>
    <w:rsid w:val="00190B4C"/>
    <w:rsid w:val="00190B82"/>
    <w:rsid w:val="00190BB7"/>
    <w:rsid w:val="00190C53"/>
    <w:rsid w:val="00190CD7"/>
    <w:rsid w:val="00190CFF"/>
    <w:rsid w:val="00190D29"/>
    <w:rsid w:val="00190DB6"/>
    <w:rsid w:val="00190E69"/>
    <w:rsid w:val="00190F4B"/>
    <w:rsid w:val="0019103E"/>
    <w:rsid w:val="001910E6"/>
    <w:rsid w:val="001910F9"/>
    <w:rsid w:val="0019115E"/>
    <w:rsid w:val="001911A8"/>
    <w:rsid w:val="001911CE"/>
    <w:rsid w:val="0019122F"/>
    <w:rsid w:val="00191296"/>
    <w:rsid w:val="00191329"/>
    <w:rsid w:val="0019136C"/>
    <w:rsid w:val="001916AC"/>
    <w:rsid w:val="001916BB"/>
    <w:rsid w:val="0019187F"/>
    <w:rsid w:val="00191883"/>
    <w:rsid w:val="00191A1D"/>
    <w:rsid w:val="00191F4D"/>
    <w:rsid w:val="00191FF8"/>
    <w:rsid w:val="001921DE"/>
    <w:rsid w:val="00192302"/>
    <w:rsid w:val="00192310"/>
    <w:rsid w:val="001923E8"/>
    <w:rsid w:val="00192415"/>
    <w:rsid w:val="00192702"/>
    <w:rsid w:val="0019272B"/>
    <w:rsid w:val="0019280E"/>
    <w:rsid w:val="00192862"/>
    <w:rsid w:val="00192946"/>
    <w:rsid w:val="00192A16"/>
    <w:rsid w:val="00192BD6"/>
    <w:rsid w:val="00192C3F"/>
    <w:rsid w:val="00192CB7"/>
    <w:rsid w:val="00192DC9"/>
    <w:rsid w:val="00192E49"/>
    <w:rsid w:val="00192E7F"/>
    <w:rsid w:val="00192EC7"/>
    <w:rsid w:val="00193049"/>
    <w:rsid w:val="00193066"/>
    <w:rsid w:val="00193185"/>
    <w:rsid w:val="001931AB"/>
    <w:rsid w:val="00193257"/>
    <w:rsid w:val="001933E2"/>
    <w:rsid w:val="00193529"/>
    <w:rsid w:val="00193638"/>
    <w:rsid w:val="00193643"/>
    <w:rsid w:val="00193664"/>
    <w:rsid w:val="0019366A"/>
    <w:rsid w:val="0019369A"/>
    <w:rsid w:val="0019377F"/>
    <w:rsid w:val="001938A8"/>
    <w:rsid w:val="00193BBF"/>
    <w:rsid w:val="00193BC5"/>
    <w:rsid w:val="00193C04"/>
    <w:rsid w:val="00193F18"/>
    <w:rsid w:val="00193F53"/>
    <w:rsid w:val="00193F82"/>
    <w:rsid w:val="00193FAD"/>
    <w:rsid w:val="00194214"/>
    <w:rsid w:val="00194358"/>
    <w:rsid w:val="0019459B"/>
    <w:rsid w:val="001945CA"/>
    <w:rsid w:val="00194666"/>
    <w:rsid w:val="001947C8"/>
    <w:rsid w:val="001947FC"/>
    <w:rsid w:val="0019498B"/>
    <w:rsid w:val="00194A0D"/>
    <w:rsid w:val="00194AAB"/>
    <w:rsid w:val="00194ABD"/>
    <w:rsid w:val="00194B48"/>
    <w:rsid w:val="00194B6D"/>
    <w:rsid w:val="00194B8E"/>
    <w:rsid w:val="00194E29"/>
    <w:rsid w:val="00194F62"/>
    <w:rsid w:val="00194FFC"/>
    <w:rsid w:val="001950BF"/>
    <w:rsid w:val="001951B3"/>
    <w:rsid w:val="001951CE"/>
    <w:rsid w:val="001952F7"/>
    <w:rsid w:val="00195566"/>
    <w:rsid w:val="00195668"/>
    <w:rsid w:val="001956E0"/>
    <w:rsid w:val="0019579B"/>
    <w:rsid w:val="00195810"/>
    <w:rsid w:val="001958D3"/>
    <w:rsid w:val="0019597D"/>
    <w:rsid w:val="00195A09"/>
    <w:rsid w:val="00195AB7"/>
    <w:rsid w:val="00195C8F"/>
    <w:rsid w:val="00195C9A"/>
    <w:rsid w:val="00195D27"/>
    <w:rsid w:val="00195D28"/>
    <w:rsid w:val="00195D5E"/>
    <w:rsid w:val="00195FA8"/>
    <w:rsid w:val="00196085"/>
    <w:rsid w:val="001961A0"/>
    <w:rsid w:val="001961D6"/>
    <w:rsid w:val="001964A9"/>
    <w:rsid w:val="00196566"/>
    <w:rsid w:val="001965D1"/>
    <w:rsid w:val="00196626"/>
    <w:rsid w:val="001966F6"/>
    <w:rsid w:val="00196A90"/>
    <w:rsid w:val="00196B44"/>
    <w:rsid w:val="00196C30"/>
    <w:rsid w:val="00196DD8"/>
    <w:rsid w:val="00196EA7"/>
    <w:rsid w:val="00196F3E"/>
    <w:rsid w:val="00196F93"/>
    <w:rsid w:val="00196FC4"/>
    <w:rsid w:val="001970C5"/>
    <w:rsid w:val="001972D0"/>
    <w:rsid w:val="00197388"/>
    <w:rsid w:val="0019739A"/>
    <w:rsid w:val="00197885"/>
    <w:rsid w:val="0019799A"/>
    <w:rsid w:val="00197A94"/>
    <w:rsid w:val="00197B04"/>
    <w:rsid w:val="00197BCF"/>
    <w:rsid w:val="00197C13"/>
    <w:rsid w:val="00197D2A"/>
    <w:rsid w:val="00197D9E"/>
    <w:rsid w:val="00197E5A"/>
    <w:rsid w:val="00197E66"/>
    <w:rsid w:val="00197EAC"/>
    <w:rsid w:val="00197ECD"/>
    <w:rsid w:val="00197ED7"/>
    <w:rsid w:val="00197F8B"/>
    <w:rsid w:val="001A00D6"/>
    <w:rsid w:val="001A0194"/>
    <w:rsid w:val="001A0437"/>
    <w:rsid w:val="001A0441"/>
    <w:rsid w:val="001A050A"/>
    <w:rsid w:val="001A0515"/>
    <w:rsid w:val="001A0538"/>
    <w:rsid w:val="001A0577"/>
    <w:rsid w:val="001A058A"/>
    <w:rsid w:val="001A0642"/>
    <w:rsid w:val="001A0683"/>
    <w:rsid w:val="001A072C"/>
    <w:rsid w:val="001A0750"/>
    <w:rsid w:val="001A080D"/>
    <w:rsid w:val="001A0B24"/>
    <w:rsid w:val="001A0B87"/>
    <w:rsid w:val="001A0C05"/>
    <w:rsid w:val="001A0C36"/>
    <w:rsid w:val="001A0CCD"/>
    <w:rsid w:val="001A0D05"/>
    <w:rsid w:val="001A0DA1"/>
    <w:rsid w:val="001A0E80"/>
    <w:rsid w:val="001A0F32"/>
    <w:rsid w:val="001A0F4D"/>
    <w:rsid w:val="001A1314"/>
    <w:rsid w:val="001A1347"/>
    <w:rsid w:val="001A147A"/>
    <w:rsid w:val="001A16F0"/>
    <w:rsid w:val="001A17D9"/>
    <w:rsid w:val="001A1897"/>
    <w:rsid w:val="001A191B"/>
    <w:rsid w:val="001A1972"/>
    <w:rsid w:val="001A1BB7"/>
    <w:rsid w:val="001A1BBF"/>
    <w:rsid w:val="001A1C96"/>
    <w:rsid w:val="001A1D3D"/>
    <w:rsid w:val="001A1E48"/>
    <w:rsid w:val="001A1FDB"/>
    <w:rsid w:val="001A210F"/>
    <w:rsid w:val="001A2120"/>
    <w:rsid w:val="001A2169"/>
    <w:rsid w:val="001A220A"/>
    <w:rsid w:val="001A222E"/>
    <w:rsid w:val="001A238A"/>
    <w:rsid w:val="001A23E6"/>
    <w:rsid w:val="001A23F7"/>
    <w:rsid w:val="001A253F"/>
    <w:rsid w:val="001A25AE"/>
    <w:rsid w:val="001A2701"/>
    <w:rsid w:val="001A2756"/>
    <w:rsid w:val="001A2853"/>
    <w:rsid w:val="001A287E"/>
    <w:rsid w:val="001A29B9"/>
    <w:rsid w:val="001A2C8F"/>
    <w:rsid w:val="001A2CA2"/>
    <w:rsid w:val="001A2FAD"/>
    <w:rsid w:val="001A3009"/>
    <w:rsid w:val="001A30C4"/>
    <w:rsid w:val="001A31CB"/>
    <w:rsid w:val="001A3333"/>
    <w:rsid w:val="001A3453"/>
    <w:rsid w:val="001A3556"/>
    <w:rsid w:val="001A3652"/>
    <w:rsid w:val="001A3698"/>
    <w:rsid w:val="001A3779"/>
    <w:rsid w:val="001A37C1"/>
    <w:rsid w:val="001A3904"/>
    <w:rsid w:val="001A39D2"/>
    <w:rsid w:val="001A3B9A"/>
    <w:rsid w:val="001A3CAC"/>
    <w:rsid w:val="001A3D95"/>
    <w:rsid w:val="001A3F2F"/>
    <w:rsid w:val="001A3F8C"/>
    <w:rsid w:val="001A3FD1"/>
    <w:rsid w:val="001A403D"/>
    <w:rsid w:val="001A44A4"/>
    <w:rsid w:val="001A44E2"/>
    <w:rsid w:val="001A454D"/>
    <w:rsid w:val="001A457C"/>
    <w:rsid w:val="001A4728"/>
    <w:rsid w:val="001A49BE"/>
    <w:rsid w:val="001A49EF"/>
    <w:rsid w:val="001A4B02"/>
    <w:rsid w:val="001A4B24"/>
    <w:rsid w:val="001A4BAD"/>
    <w:rsid w:val="001A4BF9"/>
    <w:rsid w:val="001A4D51"/>
    <w:rsid w:val="001A4D9F"/>
    <w:rsid w:val="001A501C"/>
    <w:rsid w:val="001A5073"/>
    <w:rsid w:val="001A520C"/>
    <w:rsid w:val="001A529D"/>
    <w:rsid w:val="001A5337"/>
    <w:rsid w:val="001A53AB"/>
    <w:rsid w:val="001A54BD"/>
    <w:rsid w:val="001A54F9"/>
    <w:rsid w:val="001A555D"/>
    <w:rsid w:val="001A55A3"/>
    <w:rsid w:val="001A5768"/>
    <w:rsid w:val="001A59FA"/>
    <w:rsid w:val="001A5C26"/>
    <w:rsid w:val="001A5C27"/>
    <w:rsid w:val="001A5CFA"/>
    <w:rsid w:val="001A5D4A"/>
    <w:rsid w:val="001A5E66"/>
    <w:rsid w:val="001A6039"/>
    <w:rsid w:val="001A62B2"/>
    <w:rsid w:val="001A62EB"/>
    <w:rsid w:val="001A64AD"/>
    <w:rsid w:val="001A6509"/>
    <w:rsid w:val="001A659E"/>
    <w:rsid w:val="001A68B2"/>
    <w:rsid w:val="001A68C5"/>
    <w:rsid w:val="001A696B"/>
    <w:rsid w:val="001A6A0F"/>
    <w:rsid w:val="001A6A46"/>
    <w:rsid w:val="001A6CFB"/>
    <w:rsid w:val="001A6D6C"/>
    <w:rsid w:val="001A6EF7"/>
    <w:rsid w:val="001A6F4D"/>
    <w:rsid w:val="001A703B"/>
    <w:rsid w:val="001A7057"/>
    <w:rsid w:val="001A70C0"/>
    <w:rsid w:val="001A7216"/>
    <w:rsid w:val="001A725A"/>
    <w:rsid w:val="001A747C"/>
    <w:rsid w:val="001A7681"/>
    <w:rsid w:val="001A7737"/>
    <w:rsid w:val="001A7B83"/>
    <w:rsid w:val="001A7C6F"/>
    <w:rsid w:val="001A7D14"/>
    <w:rsid w:val="001A7D19"/>
    <w:rsid w:val="001A7D4E"/>
    <w:rsid w:val="001A7EC7"/>
    <w:rsid w:val="001A7F8C"/>
    <w:rsid w:val="001B00A8"/>
    <w:rsid w:val="001B00DC"/>
    <w:rsid w:val="001B0161"/>
    <w:rsid w:val="001B0212"/>
    <w:rsid w:val="001B0245"/>
    <w:rsid w:val="001B0507"/>
    <w:rsid w:val="001B0739"/>
    <w:rsid w:val="001B08C0"/>
    <w:rsid w:val="001B0ABB"/>
    <w:rsid w:val="001B0B85"/>
    <w:rsid w:val="001B0BB7"/>
    <w:rsid w:val="001B0C28"/>
    <w:rsid w:val="001B0D13"/>
    <w:rsid w:val="001B0D50"/>
    <w:rsid w:val="001B0D97"/>
    <w:rsid w:val="001B0E3F"/>
    <w:rsid w:val="001B0E5D"/>
    <w:rsid w:val="001B0F59"/>
    <w:rsid w:val="001B0F84"/>
    <w:rsid w:val="001B11D0"/>
    <w:rsid w:val="001B1315"/>
    <w:rsid w:val="001B13CF"/>
    <w:rsid w:val="001B14FA"/>
    <w:rsid w:val="001B151B"/>
    <w:rsid w:val="001B15A7"/>
    <w:rsid w:val="001B1874"/>
    <w:rsid w:val="001B18D2"/>
    <w:rsid w:val="001B18E2"/>
    <w:rsid w:val="001B1991"/>
    <w:rsid w:val="001B1AA2"/>
    <w:rsid w:val="001B1B14"/>
    <w:rsid w:val="001B1BA7"/>
    <w:rsid w:val="001B1FD5"/>
    <w:rsid w:val="001B211F"/>
    <w:rsid w:val="001B2209"/>
    <w:rsid w:val="001B221E"/>
    <w:rsid w:val="001B230E"/>
    <w:rsid w:val="001B23E0"/>
    <w:rsid w:val="001B240A"/>
    <w:rsid w:val="001B253A"/>
    <w:rsid w:val="001B260A"/>
    <w:rsid w:val="001B2661"/>
    <w:rsid w:val="001B2721"/>
    <w:rsid w:val="001B272F"/>
    <w:rsid w:val="001B27CA"/>
    <w:rsid w:val="001B29C8"/>
    <w:rsid w:val="001B2BE5"/>
    <w:rsid w:val="001B2BE8"/>
    <w:rsid w:val="001B2DD4"/>
    <w:rsid w:val="001B319C"/>
    <w:rsid w:val="001B32A3"/>
    <w:rsid w:val="001B32CC"/>
    <w:rsid w:val="001B3303"/>
    <w:rsid w:val="001B334C"/>
    <w:rsid w:val="001B34AB"/>
    <w:rsid w:val="001B34FF"/>
    <w:rsid w:val="001B380D"/>
    <w:rsid w:val="001B398E"/>
    <w:rsid w:val="001B3C19"/>
    <w:rsid w:val="001B3D6E"/>
    <w:rsid w:val="001B3E2F"/>
    <w:rsid w:val="001B3EBA"/>
    <w:rsid w:val="001B3EDF"/>
    <w:rsid w:val="001B3F72"/>
    <w:rsid w:val="001B3FC4"/>
    <w:rsid w:val="001B403A"/>
    <w:rsid w:val="001B407E"/>
    <w:rsid w:val="001B412B"/>
    <w:rsid w:val="001B4154"/>
    <w:rsid w:val="001B41BE"/>
    <w:rsid w:val="001B43D0"/>
    <w:rsid w:val="001B452A"/>
    <w:rsid w:val="001B46A6"/>
    <w:rsid w:val="001B4767"/>
    <w:rsid w:val="001B498B"/>
    <w:rsid w:val="001B499D"/>
    <w:rsid w:val="001B49DE"/>
    <w:rsid w:val="001B4AA3"/>
    <w:rsid w:val="001B4C67"/>
    <w:rsid w:val="001B4CA4"/>
    <w:rsid w:val="001B4CBD"/>
    <w:rsid w:val="001B4DC3"/>
    <w:rsid w:val="001B4F5F"/>
    <w:rsid w:val="001B4FCA"/>
    <w:rsid w:val="001B50A6"/>
    <w:rsid w:val="001B513E"/>
    <w:rsid w:val="001B5186"/>
    <w:rsid w:val="001B51A2"/>
    <w:rsid w:val="001B5243"/>
    <w:rsid w:val="001B52E8"/>
    <w:rsid w:val="001B53E9"/>
    <w:rsid w:val="001B5440"/>
    <w:rsid w:val="001B544A"/>
    <w:rsid w:val="001B571B"/>
    <w:rsid w:val="001B57CC"/>
    <w:rsid w:val="001B581F"/>
    <w:rsid w:val="001B5ADD"/>
    <w:rsid w:val="001B5AE2"/>
    <w:rsid w:val="001B5ECF"/>
    <w:rsid w:val="001B5F82"/>
    <w:rsid w:val="001B608F"/>
    <w:rsid w:val="001B62D9"/>
    <w:rsid w:val="001B630E"/>
    <w:rsid w:val="001B63B6"/>
    <w:rsid w:val="001B6406"/>
    <w:rsid w:val="001B64A6"/>
    <w:rsid w:val="001B6506"/>
    <w:rsid w:val="001B6545"/>
    <w:rsid w:val="001B656C"/>
    <w:rsid w:val="001B6659"/>
    <w:rsid w:val="001B66B1"/>
    <w:rsid w:val="001B66CD"/>
    <w:rsid w:val="001B66EA"/>
    <w:rsid w:val="001B68F8"/>
    <w:rsid w:val="001B6B81"/>
    <w:rsid w:val="001B6CAC"/>
    <w:rsid w:val="001B6D36"/>
    <w:rsid w:val="001B6EA1"/>
    <w:rsid w:val="001B6FB3"/>
    <w:rsid w:val="001B6FC0"/>
    <w:rsid w:val="001B6FE8"/>
    <w:rsid w:val="001B7094"/>
    <w:rsid w:val="001B70ED"/>
    <w:rsid w:val="001B710B"/>
    <w:rsid w:val="001B71AA"/>
    <w:rsid w:val="001B72D7"/>
    <w:rsid w:val="001B747C"/>
    <w:rsid w:val="001B7501"/>
    <w:rsid w:val="001B758D"/>
    <w:rsid w:val="001B763D"/>
    <w:rsid w:val="001B7667"/>
    <w:rsid w:val="001B78E4"/>
    <w:rsid w:val="001B7A38"/>
    <w:rsid w:val="001B7AD4"/>
    <w:rsid w:val="001B7B1B"/>
    <w:rsid w:val="001B7C2F"/>
    <w:rsid w:val="001B7D72"/>
    <w:rsid w:val="001B7F5D"/>
    <w:rsid w:val="001BA63D"/>
    <w:rsid w:val="001C0496"/>
    <w:rsid w:val="001C05DD"/>
    <w:rsid w:val="001C07ED"/>
    <w:rsid w:val="001C0806"/>
    <w:rsid w:val="001C0AD8"/>
    <w:rsid w:val="001C0BE4"/>
    <w:rsid w:val="001C0CAD"/>
    <w:rsid w:val="001C0EA1"/>
    <w:rsid w:val="001C0ED2"/>
    <w:rsid w:val="001C0FD6"/>
    <w:rsid w:val="001C11C7"/>
    <w:rsid w:val="001C1233"/>
    <w:rsid w:val="001C12DB"/>
    <w:rsid w:val="001C1492"/>
    <w:rsid w:val="001C162E"/>
    <w:rsid w:val="001C1867"/>
    <w:rsid w:val="001C195F"/>
    <w:rsid w:val="001C19F1"/>
    <w:rsid w:val="001C1BF6"/>
    <w:rsid w:val="001C1E71"/>
    <w:rsid w:val="001C1F15"/>
    <w:rsid w:val="001C1F80"/>
    <w:rsid w:val="001C20AE"/>
    <w:rsid w:val="001C223D"/>
    <w:rsid w:val="001C22A1"/>
    <w:rsid w:val="001C22E1"/>
    <w:rsid w:val="001C2461"/>
    <w:rsid w:val="001C25C0"/>
    <w:rsid w:val="001C2683"/>
    <w:rsid w:val="001C2732"/>
    <w:rsid w:val="001C27A6"/>
    <w:rsid w:val="001C27FA"/>
    <w:rsid w:val="001C2CB4"/>
    <w:rsid w:val="001C2CE6"/>
    <w:rsid w:val="001C2D5B"/>
    <w:rsid w:val="001C2E54"/>
    <w:rsid w:val="001C2F8D"/>
    <w:rsid w:val="001C3186"/>
    <w:rsid w:val="001C31AA"/>
    <w:rsid w:val="001C3432"/>
    <w:rsid w:val="001C3484"/>
    <w:rsid w:val="001C3537"/>
    <w:rsid w:val="001C372F"/>
    <w:rsid w:val="001C3784"/>
    <w:rsid w:val="001C37A7"/>
    <w:rsid w:val="001C3811"/>
    <w:rsid w:val="001C3834"/>
    <w:rsid w:val="001C3916"/>
    <w:rsid w:val="001C397F"/>
    <w:rsid w:val="001C3A0D"/>
    <w:rsid w:val="001C3AC5"/>
    <w:rsid w:val="001C3C03"/>
    <w:rsid w:val="001C3CCC"/>
    <w:rsid w:val="001C3DAC"/>
    <w:rsid w:val="001C3DF1"/>
    <w:rsid w:val="001C3F98"/>
    <w:rsid w:val="001C40BA"/>
    <w:rsid w:val="001C4149"/>
    <w:rsid w:val="001C424F"/>
    <w:rsid w:val="001C45A3"/>
    <w:rsid w:val="001C464D"/>
    <w:rsid w:val="001C4735"/>
    <w:rsid w:val="001C47F0"/>
    <w:rsid w:val="001C4983"/>
    <w:rsid w:val="001C4A21"/>
    <w:rsid w:val="001C4A22"/>
    <w:rsid w:val="001C4B00"/>
    <w:rsid w:val="001C4B1D"/>
    <w:rsid w:val="001C4B7E"/>
    <w:rsid w:val="001C4CDC"/>
    <w:rsid w:val="001C4E21"/>
    <w:rsid w:val="001C4E3D"/>
    <w:rsid w:val="001C4EAD"/>
    <w:rsid w:val="001C535B"/>
    <w:rsid w:val="001C537D"/>
    <w:rsid w:val="001C570D"/>
    <w:rsid w:val="001C579D"/>
    <w:rsid w:val="001C5815"/>
    <w:rsid w:val="001C594B"/>
    <w:rsid w:val="001C59AB"/>
    <w:rsid w:val="001C5AA8"/>
    <w:rsid w:val="001C5B42"/>
    <w:rsid w:val="001C5BAF"/>
    <w:rsid w:val="001C5BE9"/>
    <w:rsid w:val="001C5C12"/>
    <w:rsid w:val="001C5C5A"/>
    <w:rsid w:val="001C5C9D"/>
    <w:rsid w:val="001C5CAF"/>
    <w:rsid w:val="001C5DE0"/>
    <w:rsid w:val="001C5DEF"/>
    <w:rsid w:val="001C5EF1"/>
    <w:rsid w:val="001C5FAE"/>
    <w:rsid w:val="001C5FF7"/>
    <w:rsid w:val="001C619C"/>
    <w:rsid w:val="001C6270"/>
    <w:rsid w:val="001C63B5"/>
    <w:rsid w:val="001C63DE"/>
    <w:rsid w:val="001C6425"/>
    <w:rsid w:val="001C643F"/>
    <w:rsid w:val="001C6679"/>
    <w:rsid w:val="001C67D0"/>
    <w:rsid w:val="001C67EB"/>
    <w:rsid w:val="001C6871"/>
    <w:rsid w:val="001C6951"/>
    <w:rsid w:val="001C6B14"/>
    <w:rsid w:val="001C6C63"/>
    <w:rsid w:val="001C6D64"/>
    <w:rsid w:val="001C6E51"/>
    <w:rsid w:val="001C72DC"/>
    <w:rsid w:val="001C7408"/>
    <w:rsid w:val="001C74C5"/>
    <w:rsid w:val="001C7542"/>
    <w:rsid w:val="001C765F"/>
    <w:rsid w:val="001C768F"/>
    <w:rsid w:val="001C76CE"/>
    <w:rsid w:val="001C777F"/>
    <w:rsid w:val="001C77C8"/>
    <w:rsid w:val="001C785C"/>
    <w:rsid w:val="001C79D9"/>
    <w:rsid w:val="001C7ABA"/>
    <w:rsid w:val="001C7C4D"/>
    <w:rsid w:val="001C7C77"/>
    <w:rsid w:val="001C7D52"/>
    <w:rsid w:val="001C7DD1"/>
    <w:rsid w:val="001C7EC5"/>
    <w:rsid w:val="001C7F06"/>
    <w:rsid w:val="001CA552"/>
    <w:rsid w:val="001D004A"/>
    <w:rsid w:val="001D005D"/>
    <w:rsid w:val="001D0137"/>
    <w:rsid w:val="001D0277"/>
    <w:rsid w:val="001D02D7"/>
    <w:rsid w:val="001D03DE"/>
    <w:rsid w:val="001D0448"/>
    <w:rsid w:val="001D0467"/>
    <w:rsid w:val="001D0481"/>
    <w:rsid w:val="001D04A4"/>
    <w:rsid w:val="001D0746"/>
    <w:rsid w:val="001D096B"/>
    <w:rsid w:val="001D09D4"/>
    <w:rsid w:val="001D0A8E"/>
    <w:rsid w:val="001D0BA2"/>
    <w:rsid w:val="001D0BEF"/>
    <w:rsid w:val="001D0D19"/>
    <w:rsid w:val="001D0DA8"/>
    <w:rsid w:val="001D0DF1"/>
    <w:rsid w:val="001D0E97"/>
    <w:rsid w:val="001D0ECD"/>
    <w:rsid w:val="001D1181"/>
    <w:rsid w:val="001D1277"/>
    <w:rsid w:val="001D1321"/>
    <w:rsid w:val="001D1480"/>
    <w:rsid w:val="001D1668"/>
    <w:rsid w:val="001D197A"/>
    <w:rsid w:val="001D1B50"/>
    <w:rsid w:val="001D1C30"/>
    <w:rsid w:val="001D1D0F"/>
    <w:rsid w:val="001D1D58"/>
    <w:rsid w:val="001D1E0D"/>
    <w:rsid w:val="001D1E2D"/>
    <w:rsid w:val="001D1FDE"/>
    <w:rsid w:val="001D2085"/>
    <w:rsid w:val="001D2537"/>
    <w:rsid w:val="001D2587"/>
    <w:rsid w:val="001D2849"/>
    <w:rsid w:val="001D2993"/>
    <w:rsid w:val="001D29CA"/>
    <w:rsid w:val="001D2B96"/>
    <w:rsid w:val="001D2BD2"/>
    <w:rsid w:val="001D2D09"/>
    <w:rsid w:val="001D2D37"/>
    <w:rsid w:val="001D2DBB"/>
    <w:rsid w:val="001D2DDD"/>
    <w:rsid w:val="001D2E2E"/>
    <w:rsid w:val="001D300F"/>
    <w:rsid w:val="001D3024"/>
    <w:rsid w:val="001D306F"/>
    <w:rsid w:val="001D308D"/>
    <w:rsid w:val="001D30EB"/>
    <w:rsid w:val="001D324C"/>
    <w:rsid w:val="001D3329"/>
    <w:rsid w:val="001D33AF"/>
    <w:rsid w:val="001D3530"/>
    <w:rsid w:val="001D361B"/>
    <w:rsid w:val="001D3631"/>
    <w:rsid w:val="001D3641"/>
    <w:rsid w:val="001D3672"/>
    <w:rsid w:val="001D37F7"/>
    <w:rsid w:val="001D384E"/>
    <w:rsid w:val="001D3944"/>
    <w:rsid w:val="001D3A64"/>
    <w:rsid w:val="001D3A99"/>
    <w:rsid w:val="001D3B59"/>
    <w:rsid w:val="001D3BB5"/>
    <w:rsid w:val="001D3BCF"/>
    <w:rsid w:val="001D3C06"/>
    <w:rsid w:val="001D3E0B"/>
    <w:rsid w:val="001D3E90"/>
    <w:rsid w:val="001D4037"/>
    <w:rsid w:val="001D4069"/>
    <w:rsid w:val="001D4071"/>
    <w:rsid w:val="001D41AE"/>
    <w:rsid w:val="001D4313"/>
    <w:rsid w:val="001D4329"/>
    <w:rsid w:val="001D4456"/>
    <w:rsid w:val="001D4514"/>
    <w:rsid w:val="001D457F"/>
    <w:rsid w:val="001D47A2"/>
    <w:rsid w:val="001D4912"/>
    <w:rsid w:val="001D4A9E"/>
    <w:rsid w:val="001D4CFA"/>
    <w:rsid w:val="001D4DAF"/>
    <w:rsid w:val="001D5579"/>
    <w:rsid w:val="001D559A"/>
    <w:rsid w:val="001D5903"/>
    <w:rsid w:val="001D599C"/>
    <w:rsid w:val="001D5A62"/>
    <w:rsid w:val="001D5B0A"/>
    <w:rsid w:val="001D5B48"/>
    <w:rsid w:val="001D5DC8"/>
    <w:rsid w:val="001D5DE1"/>
    <w:rsid w:val="001D5FA4"/>
    <w:rsid w:val="001D620D"/>
    <w:rsid w:val="001D6312"/>
    <w:rsid w:val="001D63BB"/>
    <w:rsid w:val="001D6524"/>
    <w:rsid w:val="001D6605"/>
    <w:rsid w:val="001D66CE"/>
    <w:rsid w:val="001D670E"/>
    <w:rsid w:val="001D682F"/>
    <w:rsid w:val="001D6882"/>
    <w:rsid w:val="001D699B"/>
    <w:rsid w:val="001D69D3"/>
    <w:rsid w:val="001D6A5A"/>
    <w:rsid w:val="001D6B8A"/>
    <w:rsid w:val="001D6D0D"/>
    <w:rsid w:val="001D6D45"/>
    <w:rsid w:val="001D6D60"/>
    <w:rsid w:val="001D6D99"/>
    <w:rsid w:val="001D6E78"/>
    <w:rsid w:val="001D6EB6"/>
    <w:rsid w:val="001D6F42"/>
    <w:rsid w:val="001D6F93"/>
    <w:rsid w:val="001D72CE"/>
    <w:rsid w:val="001D72DF"/>
    <w:rsid w:val="001D7354"/>
    <w:rsid w:val="001D7381"/>
    <w:rsid w:val="001D7398"/>
    <w:rsid w:val="001D73CB"/>
    <w:rsid w:val="001D7405"/>
    <w:rsid w:val="001D75DC"/>
    <w:rsid w:val="001D7667"/>
    <w:rsid w:val="001D77F2"/>
    <w:rsid w:val="001D7811"/>
    <w:rsid w:val="001D781E"/>
    <w:rsid w:val="001D7937"/>
    <w:rsid w:val="001D7AB5"/>
    <w:rsid w:val="001D7B22"/>
    <w:rsid w:val="001D7B7C"/>
    <w:rsid w:val="001D7BA1"/>
    <w:rsid w:val="001D7C07"/>
    <w:rsid w:val="001D7C7F"/>
    <w:rsid w:val="001D7D47"/>
    <w:rsid w:val="001D7DC1"/>
    <w:rsid w:val="001D7E4C"/>
    <w:rsid w:val="001D7F02"/>
    <w:rsid w:val="001D7F32"/>
    <w:rsid w:val="001D7F83"/>
    <w:rsid w:val="001E0065"/>
    <w:rsid w:val="001E007A"/>
    <w:rsid w:val="001E01D0"/>
    <w:rsid w:val="001E0221"/>
    <w:rsid w:val="001E0235"/>
    <w:rsid w:val="001E037A"/>
    <w:rsid w:val="001E05A8"/>
    <w:rsid w:val="001E071B"/>
    <w:rsid w:val="001E0760"/>
    <w:rsid w:val="001E0771"/>
    <w:rsid w:val="001E087D"/>
    <w:rsid w:val="001E08C0"/>
    <w:rsid w:val="001E093F"/>
    <w:rsid w:val="001E0AFC"/>
    <w:rsid w:val="001E0BE4"/>
    <w:rsid w:val="001E0BF8"/>
    <w:rsid w:val="001E0E56"/>
    <w:rsid w:val="001E0EED"/>
    <w:rsid w:val="001E0FFE"/>
    <w:rsid w:val="001E100A"/>
    <w:rsid w:val="001E13B1"/>
    <w:rsid w:val="001E13DC"/>
    <w:rsid w:val="001E1694"/>
    <w:rsid w:val="001E1BCB"/>
    <w:rsid w:val="001E1FB9"/>
    <w:rsid w:val="001E200F"/>
    <w:rsid w:val="001E2078"/>
    <w:rsid w:val="001E21A5"/>
    <w:rsid w:val="001E2212"/>
    <w:rsid w:val="001E2217"/>
    <w:rsid w:val="001E227B"/>
    <w:rsid w:val="001E22D3"/>
    <w:rsid w:val="001E241F"/>
    <w:rsid w:val="001E242C"/>
    <w:rsid w:val="001E2545"/>
    <w:rsid w:val="001E25A5"/>
    <w:rsid w:val="001E2657"/>
    <w:rsid w:val="001E270C"/>
    <w:rsid w:val="001E27D0"/>
    <w:rsid w:val="001E2968"/>
    <w:rsid w:val="001E29AB"/>
    <w:rsid w:val="001E2B3F"/>
    <w:rsid w:val="001E2B75"/>
    <w:rsid w:val="001E2C5A"/>
    <w:rsid w:val="001E2C7D"/>
    <w:rsid w:val="001E2CBA"/>
    <w:rsid w:val="001E2CCB"/>
    <w:rsid w:val="001E2E5B"/>
    <w:rsid w:val="001E30A9"/>
    <w:rsid w:val="001E3158"/>
    <w:rsid w:val="001E315F"/>
    <w:rsid w:val="001E3206"/>
    <w:rsid w:val="001E3220"/>
    <w:rsid w:val="001E3421"/>
    <w:rsid w:val="001E3460"/>
    <w:rsid w:val="001E348B"/>
    <w:rsid w:val="001E35DE"/>
    <w:rsid w:val="001E36DF"/>
    <w:rsid w:val="001E3A58"/>
    <w:rsid w:val="001E3A5C"/>
    <w:rsid w:val="001E3A71"/>
    <w:rsid w:val="001E3ACC"/>
    <w:rsid w:val="001E3B99"/>
    <w:rsid w:val="001E3C07"/>
    <w:rsid w:val="001E3D00"/>
    <w:rsid w:val="001E3D89"/>
    <w:rsid w:val="001E3E1A"/>
    <w:rsid w:val="001E3E4C"/>
    <w:rsid w:val="001E416D"/>
    <w:rsid w:val="001E424C"/>
    <w:rsid w:val="001E4275"/>
    <w:rsid w:val="001E427D"/>
    <w:rsid w:val="001E453F"/>
    <w:rsid w:val="001E4578"/>
    <w:rsid w:val="001E461E"/>
    <w:rsid w:val="001E4815"/>
    <w:rsid w:val="001E4A74"/>
    <w:rsid w:val="001E4A8B"/>
    <w:rsid w:val="001E4ADB"/>
    <w:rsid w:val="001E4AE5"/>
    <w:rsid w:val="001E4B50"/>
    <w:rsid w:val="001E4BA5"/>
    <w:rsid w:val="001E4C03"/>
    <w:rsid w:val="001E4D9D"/>
    <w:rsid w:val="001E4ECC"/>
    <w:rsid w:val="001E4F68"/>
    <w:rsid w:val="001E4FA2"/>
    <w:rsid w:val="001E5166"/>
    <w:rsid w:val="001E5266"/>
    <w:rsid w:val="001E5442"/>
    <w:rsid w:val="001E544B"/>
    <w:rsid w:val="001E5493"/>
    <w:rsid w:val="001E54A3"/>
    <w:rsid w:val="001E55B1"/>
    <w:rsid w:val="001E56D3"/>
    <w:rsid w:val="001E5781"/>
    <w:rsid w:val="001E5ACA"/>
    <w:rsid w:val="001E5B6F"/>
    <w:rsid w:val="001E5CD0"/>
    <w:rsid w:val="001E5D92"/>
    <w:rsid w:val="001E5E31"/>
    <w:rsid w:val="001E5EE3"/>
    <w:rsid w:val="001E5F86"/>
    <w:rsid w:val="001E6564"/>
    <w:rsid w:val="001E6638"/>
    <w:rsid w:val="001E66BB"/>
    <w:rsid w:val="001E66E7"/>
    <w:rsid w:val="001E66F3"/>
    <w:rsid w:val="001E67D3"/>
    <w:rsid w:val="001E68B9"/>
    <w:rsid w:val="001E6948"/>
    <w:rsid w:val="001E6A0A"/>
    <w:rsid w:val="001E6A20"/>
    <w:rsid w:val="001E6B86"/>
    <w:rsid w:val="001E6D4C"/>
    <w:rsid w:val="001E6DC6"/>
    <w:rsid w:val="001E6EB8"/>
    <w:rsid w:val="001E6FA0"/>
    <w:rsid w:val="001E714C"/>
    <w:rsid w:val="001E7315"/>
    <w:rsid w:val="001E7352"/>
    <w:rsid w:val="001E7625"/>
    <w:rsid w:val="001E7675"/>
    <w:rsid w:val="001E776C"/>
    <w:rsid w:val="001E777E"/>
    <w:rsid w:val="001E7819"/>
    <w:rsid w:val="001E7A6C"/>
    <w:rsid w:val="001E7ADD"/>
    <w:rsid w:val="001E7B7E"/>
    <w:rsid w:val="001E7C6F"/>
    <w:rsid w:val="001E7D6C"/>
    <w:rsid w:val="001E7D73"/>
    <w:rsid w:val="001F005D"/>
    <w:rsid w:val="001F02DB"/>
    <w:rsid w:val="001F02DC"/>
    <w:rsid w:val="001F0307"/>
    <w:rsid w:val="001F03F0"/>
    <w:rsid w:val="001F0521"/>
    <w:rsid w:val="001F0535"/>
    <w:rsid w:val="001F077B"/>
    <w:rsid w:val="001F07BF"/>
    <w:rsid w:val="001F07F8"/>
    <w:rsid w:val="001F0859"/>
    <w:rsid w:val="001F0887"/>
    <w:rsid w:val="001F096C"/>
    <w:rsid w:val="001F09DA"/>
    <w:rsid w:val="001F0B63"/>
    <w:rsid w:val="001F0CD3"/>
    <w:rsid w:val="001F0D63"/>
    <w:rsid w:val="001F0DAC"/>
    <w:rsid w:val="001F0E8D"/>
    <w:rsid w:val="001F0FC9"/>
    <w:rsid w:val="001F1035"/>
    <w:rsid w:val="001F115C"/>
    <w:rsid w:val="001F1179"/>
    <w:rsid w:val="001F1281"/>
    <w:rsid w:val="001F1409"/>
    <w:rsid w:val="001F1628"/>
    <w:rsid w:val="001F1680"/>
    <w:rsid w:val="001F170A"/>
    <w:rsid w:val="001F173C"/>
    <w:rsid w:val="001F17D6"/>
    <w:rsid w:val="001F18A5"/>
    <w:rsid w:val="001F18B8"/>
    <w:rsid w:val="001F19A4"/>
    <w:rsid w:val="001F1AFB"/>
    <w:rsid w:val="001F1B20"/>
    <w:rsid w:val="001F1FE4"/>
    <w:rsid w:val="001F20B9"/>
    <w:rsid w:val="001F225F"/>
    <w:rsid w:val="001F239F"/>
    <w:rsid w:val="001F243F"/>
    <w:rsid w:val="001F24E8"/>
    <w:rsid w:val="001F2772"/>
    <w:rsid w:val="001F28AF"/>
    <w:rsid w:val="001F28C5"/>
    <w:rsid w:val="001F28F2"/>
    <w:rsid w:val="001F2925"/>
    <w:rsid w:val="001F2A45"/>
    <w:rsid w:val="001F2A83"/>
    <w:rsid w:val="001F2BB6"/>
    <w:rsid w:val="001F2CF1"/>
    <w:rsid w:val="001F2D45"/>
    <w:rsid w:val="001F2EB0"/>
    <w:rsid w:val="001F2FAF"/>
    <w:rsid w:val="001F3091"/>
    <w:rsid w:val="001F3126"/>
    <w:rsid w:val="001F3177"/>
    <w:rsid w:val="001F32AA"/>
    <w:rsid w:val="001F3380"/>
    <w:rsid w:val="001F340C"/>
    <w:rsid w:val="001F37B4"/>
    <w:rsid w:val="001F389A"/>
    <w:rsid w:val="001F397E"/>
    <w:rsid w:val="001F39E4"/>
    <w:rsid w:val="001F3A19"/>
    <w:rsid w:val="001F3ACE"/>
    <w:rsid w:val="001F3B49"/>
    <w:rsid w:val="001F3B6E"/>
    <w:rsid w:val="001F3C14"/>
    <w:rsid w:val="001F3C21"/>
    <w:rsid w:val="001F3C7E"/>
    <w:rsid w:val="001F3CB5"/>
    <w:rsid w:val="001F3CD0"/>
    <w:rsid w:val="001F3CE4"/>
    <w:rsid w:val="001F3D78"/>
    <w:rsid w:val="001F3DCF"/>
    <w:rsid w:val="001F3EB5"/>
    <w:rsid w:val="001F3FA6"/>
    <w:rsid w:val="001F401C"/>
    <w:rsid w:val="001F4164"/>
    <w:rsid w:val="001F41DE"/>
    <w:rsid w:val="001F41FC"/>
    <w:rsid w:val="001F423E"/>
    <w:rsid w:val="001F434D"/>
    <w:rsid w:val="001F442F"/>
    <w:rsid w:val="001F451B"/>
    <w:rsid w:val="001F461D"/>
    <w:rsid w:val="001F46EC"/>
    <w:rsid w:val="001F4815"/>
    <w:rsid w:val="001F49DA"/>
    <w:rsid w:val="001F4AFA"/>
    <w:rsid w:val="001F4BBB"/>
    <w:rsid w:val="001F4C3E"/>
    <w:rsid w:val="001F4CA7"/>
    <w:rsid w:val="001F4CAE"/>
    <w:rsid w:val="001F4D8E"/>
    <w:rsid w:val="001F4EBF"/>
    <w:rsid w:val="001F4EC3"/>
    <w:rsid w:val="001F505B"/>
    <w:rsid w:val="001F5188"/>
    <w:rsid w:val="001F523B"/>
    <w:rsid w:val="001F52D1"/>
    <w:rsid w:val="001F5368"/>
    <w:rsid w:val="001F542F"/>
    <w:rsid w:val="001F5430"/>
    <w:rsid w:val="001F54AD"/>
    <w:rsid w:val="001F5541"/>
    <w:rsid w:val="001F56F6"/>
    <w:rsid w:val="001F57EC"/>
    <w:rsid w:val="001F58C5"/>
    <w:rsid w:val="001F5AC5"/>
    <w:rsid w:val="001F5ADC"/>
    <w:rsid w:val="001F5B8B"/>
    <w:rsid w:val="001F5CD8"/>
    <w:rsid w:val="001F60B1"/>
    <w:rsid w:val="001F60EE"/>
    <w:rsid w:val="001F615A"/>
    <w:rsid w:val="001F61CE"/>
    <w:rsid w:val="001F62B6"/>
    <w:rsid w:val="001F6341"/>
    <w:rsid w:val="001F635F"/>
    <w:rsid w:val="001F6447"/>
    <w:rsid w:val="001F6619"/>
    <w:rsid w:val="001F6633"/>
    <w:rsid w:val="001F66D0"/>
    <w:rsid w:val="001F66DC"/>
    <w:rsid w:val="001F68D3"/>
    <w:rsid w:val="001F6992"/>
    <w:rsid w:val="001F6AF6"/>
    <w:rsid w:val="001F6B47"/>
    <w:rsid w:val="001F6B89"/>
    <w:rsid w:val="001F6BE6"/>
    <w:rsid w:val="001F6CCC"/>
    <w:rsid w:val="001F6D56"/>
    <w:rsid w:val="001F6DE7"/>
    <w:rsid w:val="001F6E17"/>
    <w:rsid w:val="001F6FAE"/>
    <w:rsid w:val="001F7029"/>
    <w:rsid w:val="001F7213"/>
    <w:rsid w:val="001F7243"/>
    <w:rsid w:val="001F7312"/>
    <w:rsid w:val="001F7427"/>
    <w:rsid w:val="001F7471"/>
    <w:rsid w:val="001F74E0"/>
    <w:rsid w:val="001F750A"/>
    <w:rsid w:val="001F76EB"/>
    <w:rsid w:val="001F7740"/>
    <w:rsid w:val="001F7853"/>
    <w:rsid w:val="001F7872"/>
    <w:rsid w:val="001F787A"/>
    <w:rsid w:val="001F78B7"/>
    <w:rsid w:val="001F795A"/>
    <w:rsid w:val="001F79DD"/>
    <w:rsid w:val="001F7A7C"/>
    <w:rsid w:val="001F7D1F"/>
    <w:rsid w:val="001F7F87"/>
    <w:rsid w:val="00200039"/>
    <w:rsid w:val="002000F7"/>
    <w:rsid w:val="0020012A"/>
    <w:rsid w:val="002001C7"/>
    <w:rsid w:val="002002E0"/>
    <w:rsid w:val="0020031A"/>
    <w:rsid w:val="00200355"/>
    <w:rsid w:val="002003C1"/>
    <w:rsid w:val="002003C6"/>
    <w:rsid w:val="00200542"/>
    <w:rsid w:val="00200587"/>
    <w:rsid w:val="002005AB"/>
    <w:rsid w:val="00200613"/>
    <w:rsid w:val="002007B6"/>
    <w:rsid w:val="00200A15"/>
    <w:rsid w:val="00200AAB"/>
    <w:rsid w:val="00200F01"/>
    <w:rsid w:val="00200F68"/>
    <w:rsid w:val="00201070"/>
    <w:rsid w:val="00201121"/>
    <w:rsid w:val="0020126F"/>
    <w:rsid w:val="002012BC"/>
    <w:rsid w:val="0020131E"/>
    <w:rsid w:val="0020145F"/>
    <w:rsid w:val="00201461"/>
    <w:rsid w:val="002014C1"/>
    <w:rsid w:val="002015EA"/>
    <w:rsid w:val="00201674"/>
    <w:rsid w:val="002017CE"/>
    <w:rsid w:val="002017E6"/>
    <w:rsid w:val="00201908"/>
    <w:rsid w:val="0020195C"/>
    <w:rsid w:val="00201A54"/>
    <w:rsid w:val="00201AB1"/>
    <w:rsid w:val="00201B90"/>
    <w:rsid w:val="00201D33"/>
    <w:rsid w:val="00201D73"/>
    <w:rsid w:val="00201E26"/>
    <w:rsid w:val="00201EB0"/>
    <w:rsid w:val="0020200D"/>
    <w:rsid w:val="0020208C"/>
    <w:rsid w:val="0020213E"/>
    <w:rsid w:val="002022B6"/>
    <w:rsid w:val="002022C3"/>
    <w:rsid w:val="002024F8"/>
    <w:rsid w:val="002027F4"/>
    <w:rsid w:val="002029C4"/>
    <w:rsid w:val="00202A98"/>
    <w:rsid w:val="00202AE0"/>
    <w:rsid w:val="00202BD1"/>
    <w:rsid w:val="00202C5E"/>
    <w:rsid w:val="00202CD7"/>
    <w:rsid w:val="00202D98"/>
    <w:rsid w:val="00202FE5"/>
    <w:rsid w:val="00203036"/>
    <w:rsid w:val="0020304E"/>
    <w:rsid w:val="00203071"/>
    <w:rsid w:val="002030A9"/>
    <w:rsid w:val="002030C2"/>
    <w:rsid w:val="002031E0"/>
    <w:rsid w:val="00203325"/>
    <w:rsid w:val="00203408"/>
    <w:rsid w:val="00203555"/>
    <w:rsid w:val="0020359D"/>
    <w:rsid w:val="0020368F"/>
    <w:rsid w:val="002037A2"/>
    <w:rsid w:val="0020391B"/>
    <w:rsid w:val="00203B74"/>
    <w:rsid w:val="00203C8F"/>
    <w:rsid w:val="00203DC5"/>
    <w:rsid w:val="00203E80"/>
    <w:rsid w:val="00203FA9"/>
    <w:rsid w:val="002040CE"/>
    <w:rsid w:val="00204177"/>
    <w:rsid w:val="002041E2"/>
    <w:rsid w:val="0020428E"/>
    <w:rsid w:val="002043B7"/>
    <w:rsid w:val="00204567"/>
    <w:rsid w:val="00204603"/>
    <w:rsid w:val="0020464E"/>
    <w:rsid w:val="0020465B"/>
    <w:rsid w:val="002046F0"/>
    <w:rsid w:val="00204738"/>
    <w:rsid w:val="002047A1"/>
    <w:rsid w:val="002047DA"/>
    <w:rsid w:val="002048B6"/>
    <w:rsid w:val="00204A7E"/>
    <w:rsid w:val="00204A91"/>
    <w:rsid w:val="00204B08"/>
    <w:rsid w:val="00204BC1"/>
    <w:rsid w:val="00204C64"/>
    <w:rsid w:val="00204D2D"/>
    <w:rsid w:val="00204E22"/>
    <w:rsid w:val="00204EF3"/>
    <w:rsid w:val="00204F76"/>
    <w:rsid w:val="00204F88"/>
    <w:rsid w:val="00204FF5"/>
    <w:rsid w:val="00205005"/>
    <w:rsid w:val="00205040"/>
    <w:rsid w:val="00205151"/>
    <w:rsid w:val="002051AB"/>
    <w:rsid w:val="00205201"/>
    <w:rsid w:val="0020527B"/>
    <w:rsid w:val="00205401"/>
    <w:rsid w:val="002054A5"/>
    <w:rsid w:val="002054DA"/>
    <w:rsid w:val="002056E1"/>
    <w:rsid w:val="00205983"/>
    <w:rsid w:val="00205BB8"/>
    <w:rsid w:val="00205C97"/>
    <w:rsid w:val="00205D38"/>
    <w:rsid w:val="00205E23"/>
    <w:rsid w:val="00205F72"/>
    <w:rsid w:val="00205FA3"/>
    <w:rsid w:val="00206066"/>
    <w:rsid w:val="0020610D"/>
    <w:rsid w:val="00206137"/>
    <w:rsid w:val="0020614C"/>
    <w:rsid w:val="00206186"/>
    <w:rsid w:val="0020634D"/>
    <w:rsid w:val="002065C3"/>
    <w:rsid w:val="002065E6"/>
    <w:rsid w:val="002065F9"/>
    <w:rsid w:val="00206833"/>
    <w:rsid w:val="002068A7"/>
    <w:rsid w:val="00206933"/>
    <w:rsid w:val="00206AEB"/>
    <w:rsid w:val="00206D09"/>
    <w:rsid w:val="00206D77"/>
    <w:rsid w:val="00206E7F"/>
    <w:rsid w:val="002070B6"/>
    <w:rsid w:val="002073E9"/>
    <w:rsid w:val="0020743F"/>
    <w:rsid w:val="00207622"/>
    <w:rsid w:val="00207651"/>
    <w:rsid w:val="00207832"/>
    <w:rsid w:val="00207892"/>
    <w:rsid w:val="002078D9"/>
    <w:rsid w:val="002079B0"/>
    <w:rsid w:val="00207B7D"/>
    <w:rsid w:val="00207CA9"/>
    <w:rsid w:val="00207CF9"/>
    <w:rsid w:val="00207D6F"/>
    <w:rsid w:val="00207EA0"/>
    <w:rsid w:val="00207F91"/>
    <w:rsid w:val="0020FBE1"/>
    <w:rsid w:val="002100C5"/>
    <w:rsid w:val="002101B1"/>
    <w:rsid w:val="002101CA"/>
    <w:rsid w:val="00210227"/>
    <w:rsid w:val="0021025D"/>
    <w:rsid w:val="00210283"/>
    <w:rsid w:val="0021038F"/>
    <w:rsid w:val="00210509"/>
    <w:rsid w:val="0021050F"/>
    <w:rsid w:val="00210523"/>
    <w:rsid w:val="00210525"/>
    <w:rsid w:val="0021059C"/>
    <w:rsid w:val="0021092E"/>
    <w:rsid w:val="00210964"/>
    <w:rsid w:val="002109D3"/>
    <w:rsid w:val="00210A49"/>
    <w:rsid w:val="00210A7A"/>
    <w:rsid w:val="00210B7A"/>
    <w:rsid w:val="00210CD8"/>
    <w:rsid w:val="00210E03"/>
    <w:rsid w:val="002110E8"/>
    <w:rsid w:val="00211135"/>
    <w:rsid w:val="00211184"/>
    <w:rsid w:val="00211249"/>
    <w:rsid w:val="0021139A"/>
    <w:rsid w:val="002113DA"/>
    <w:rsid w:val="00211597"/>
    <w:rsid w:val="002115CC"/>
    <w:rsid w:val="002116DC"/>
    <w:rsid w:val="002116E2"/>
    <w:rsid w:val="00211C4D"/>
    <w:rsid w:val="00211CB2"/>
    <w:rsid w:val="00211CE3"/>
    <w:rsid w:val="00211D08"/>
    <w:rsid w:val="00211DD4"/>
    <w:rsid w:val="00211E96"/>
    <w:rsid w:val="00212026"/>
    <w:rsid w:val="002122A0"/>
    <w:rsid w:val="002122A5"/>
    <w:rsid w:val="0021246C"/>
    <w:rsid w:val="0021248C"/>
    <w:rsid w:val="002124AF"/>
    <w:rsid w:val="00212572"/>
    <w:rsid w:val="002126F7"/>
    <w:rsid w:val="00212727"/>
    <w:rsid w:val="00212920"/>
    <w:rsid w:val="00212D7B"/>
    <w:rsid w:val="00212DA1"/>
    <w:rsid w:val="00212DEF"/>
    <w:rsid w:val="00212E4F"/>
    <w:rsid w:val="00212EF8"/>
    <w:rsid w:val="00212F5A"/>
    <w:rsid w:val="00212FD9"/>
    <w:rsid w:val="002130F6"/>
    <w:rsid w:val="00213262"/>
    <w:rsid w:val="00213334"/>
    <w:rsid w:val="0021342C"/>
    <w:rsid w:val="0021343B"/>
    <w:rsid w:val="0021345B"/>
    <w:rsid w:val="0021353B"/>
    <w:rsid w:val="002135D4"/>
    <w:rsid w:val="00213748"/>
    <w:rsid w:val="00213850"/>
    <w:rsid w:val="00213987"/>
    <w:rsid w:val="00213A56"/>
    <w:rsid w:val="00213A96"/>
    <w:rsid w:val="00213AA4"/>
    <w:rsid w:val="00213E5C"/>
    <w:rsid w:val="00213E7E"/>
    <w:rsid w:val="00213F9E"/>
    <w:rsid w:val="002140E4"/>
    <w:rsid w:val="002141FF"/>
    <w:rsid w:val="00214324"/>
    <w:rsid w:val="0021437D"/>
    <w:rsid w:val="00214531"/>
    <w:rsid w:val="0021462C"/>
    <w:rsid w:val="0021467F"/>
    <w:rsid w:val="00214755"/>
    <w:rsid w:val="002148C7"/>
    <w:rsid w:val="00214A5B"/>
    <w:rsid w:val="00214B49"/>
    <w:rsid w:val="00214B80"/>
    <w:rsid w:val="00214C05"/>
    <w:rsid w:val="00214C62"/>
    <w:rsid w:val="00214DF9"/>
    <w:rsid w:val="00214F63"/>
    <w:rsid w:val="0021514C"/>
    <w:rsid w:val="00215461"/>
    <w:rsid w:val="002155D2"/>
    <w:rsid w:val="00215624"/>
    <w:rsid w:val="00215772"/>
    <w:rsid w:val="0021579A"/>
    <w:rsid w:val="00215815"/>
    <w:rsid w:val="0021589E"/>
    <w:rsid w:val="002159BD"/>
    <w:rsid w:val="00215AED"/>
    <w:rsid w:val="00215B64"/>
    <w:rsid w:val="00215C0A"/>
    <w:rsid w:val="00215D51"/>
    <w:rsid w:val="00215FEA"/>
    <w:rsid w:val="00216053"/>
    <w:rsid w:val="002161E0"/>
    <w:rsid w:val="00216262"/>
    <w:rsid w:val="00216288"/>
    <w:rsid w:val="002163FF"/>
    <w:rsid w:val="00216504"/>
    <w:rsid w:val="0021678B"/>
    <w:rsid w:val="00216807"/>
    <w:rsid w:val="00216987"/>
    <w:rsid w:val="002169C3"/>
    <w:rsid w:val="002169D6"/>
    <w:rsid w:val="002169ED"/>
    <w:rsid w:val="00216A70"/>
    <w:rsid w:val="00216ABE"/>
    <w:rsid w:val="00216ADB"/>
    <w:rsid w:val="00216D38"/>
    <w:rsid w:val="00216D3F"/>
    <w:rsid w:val="00216E07"/>
    <w:rsid w:val="00216E0E"/>
    <w:rsid w:val="00216FF6"/>
    <w:rsid w:val="0021715E"/>
    <w:rsid w:val="002171CB"/>
    <w:rsid w:val="002171EE"/>
    <w:rsid w:val="002171FC"/>
    <w:rsid w:val="00217201"/>
    <w:rsid w:val="002173AF"/>
    <w:rsid w:val="002173FD"/>
    <w:rsid w:val="002174D1"/>
    <w:rsid w:val="002175A7"/>
    <w:rsid w:val="002175E9"/>
    <w:rsid w:val="00217844"/>
    <w:rsid w:val="00217A51"/>
    <w:rsid w:val="00217A73"/>
    <w:rsid w:val="00217B47"/>
    <w:rsid w:val="00217B77"/>
    <w:rsid w:val="00217D6C"/>
    <w:rsid w:val="00217E39"/>
    <w:rsid w:val="0021E974"/>
    <w:rsid w:val="0022009C"/>
    <w:rsid w:val="002200A1"/>
    <w:rsid w:val="00220158"/>
    <w:rsid w:val="00220283"/>
    <w:rsid w:val="00220332"/>
    <w:rsid w:val="0022035F"/>
    <w:rsid w:val="00220515"/>
    <w:rsid w:val="0022069F"/>
    <w:rsid w:val="002206B2"/>
    <w:rsid w:val="002206CB"/>
    <w:rsid w:val="0022080C"/>
    <w:rsid w:val="00220976"/>
    <w:rsid w:val="00220AAB"/>
    <w:rsid w:val="00220ACC"/>
    <w:rsid w:val="00220DCE"/>
    <w:rsid w:val="00220DE6"/>
    <w:rsid w:val="00220E05"/>
    <w:rsid w:val="0022109D"/>
    <w:rsid w:val="002211F3"/>
    <w:rsid w:val="00221283"/>
    <w:rsid w:val="002212A7"/>
    <w:rsid w:val="002212E7"/>
    <w:rsid w:val="0022148B"/>
    <w:rsid w:val="00221491"/>
    <w:rsid w:val="002214CE"/>
    <w:rsid w:val="0022152F"/>
    <w:rsid w:val="0022180B"/>
    <w:rsid w:val="002218D8"/>
    <w:rsid w:val="0022191A"/>
    <w:rsid w:val="00221946"/>
    <w:rsid w:val="00221A68"/>
    <w:rsid w:val="00221C94"/>
    <w:rsid w:val="00221E3E"/>
    <w:rsid w:val="00221F5C"/>
    <w:rsid w:val="00221FA2"/>
    <w:rsid w:val="00222011"/>
    <w:rsid w:val="002224B6"/>
    <w:rsid w:val="002224B8"/>
    <w:rsid w:val="00222519"/>
    <w:rsid w:val="00222618"/>
    <w:rsid w:val="002226AF"/>
    <w:rsid w:val="002226F1"/>
    <w:rsid w:val="0022273C"/>
    <w:rsid w:val="00222770"/>
    <w:rsid w:val="002227ED"/>
    <w:rsid w:val="0022286B"/>
    <w:rsid w:val="002228AC"/>
    <w:rsid w:val="002228E6"/>
    <w:rsid w:val="00222A04"/>
    <w:rsid w:val="00222B61"/>
    <w:rsid w:val="00222B84"/>
    <w:rsid w:val="00222ED5"/>
    <w:rsid w:val="00222F05"/>
    <w:rsid w:val="002230D9"/>
    <w:rsid w:val="002231FC"/>
    <w:rsid w:val="0022350F"/>
    <w:rsid w:val="00223535"/>
    <w:rsid w:val="00223549"/>
    <w:rsid w:val="002236CF"/>
    <w:rsid w:val="002238DB"/>
    <w:rsid w:val="00223BD0"/>
    <w:rsid w:val="00223D95"/>
    <w:rsid w:val="00223E9F"/>
    <w:rsid w:val="00224117"/>
    <w:rsid w:val="00224313"/>
    <w:rsid w:val="00224324"/>
    <w:rsid w:val="00224339"/>
    <w:rsid w:val="00224474"/>
    <w:rsid w:val="00224480"/>
    <w:rsid w:val="002244FE"/>
    <w:rsid w:val="00224606"/>
    <w:rsid w:val="002246E7"/>
    <w:rsid w:val="00224755"/>
    <w:rsid w:val="0022485E"/>
    <w:rsid w:val="00224872"/>
    <w:rsid w:val="00224BEF"/>
    <w:rsid w:val="00224BFD"/>
    <w:rsid w:val="00224D04"/>
    <w:rsid w:val="00224F57"/>
    <w:rsid w:val="00224F77"/>
    <w:rsid w:val="00225043"/>
    <w:rsid w:val="002252CF"/>
    <w:rsid w:val="00225504"/>
    <w:rsid w:val="002255A1"/>
    <w:rsid w:val="002255C4"/>
    <w:rsid w:val="002255F3"/>
    <w:rsid w:val="002257B6"/>
    <w:rsid w:val="002257C7"/>
    <w:rsid w:val="002257D1"/>
    <w:rsid w:val="00225935"/>
    <w:rsid w:val="002259C0"/>
    <w:rsid w:val="00225A29"/>
    <w:rsid w:val="00225A2E"/>
    <w:rsid w:val="00225A87"/>
    <w:rsid w:val="00225BBC"/>
    <w:rsid w:val="00225C3E"/>
    <w:rsid w:val="00225E39"/>
    <w:rsid w:val="00226015"/>
    <w:rsid w:val="0022626F"/>
    <w:rsid w:val="002262DB"/>
    <w:rsid w:val="002262ED"/>
    <w:rsid w:val="0022630C"/>
    <w:rsid w:val="00226329"/>
    <w:rsid w:val="0022632A"/>
    <w:rsid w:val="00226435"/>
    <w:rsid w:val="00226437"/>
    <w:rsid w:val="0022646F"/>
    <w:rsid w:val="002264C1"/>
    <w:rsid w:val="0022666E"/>
    <w:rsid w:val="0022668A"/>
    <w:rsid w:val="002266E9"/>
    <w:rsid w:val="0022671F"/>
    <w:rsid w:val="00226762"/>
    <w:rsid w:val="00226807"/>
    <w:rsid w:val="00226A0D"/>
    <w:rsid w:val="00226A86"/>
    <w:rsid w:val="00226C1C"/>
    <w:rsid w:val="00226C40"/>
    <w:rsid w:val="00226DB4"/>
    <w:rsid w:val="00226F1E"/>
    <w:rsid w:val="00226F31"/>
    <w:rsid w:val="00227078"/>
    <w:rsid w:val="00227307"/>
    <w:rsid w:val="002276C8"/>
    <w:rsid w:val="00227730"/>
    <w:rsid w:val="002278C5"/>
    <w:rsid w:val="002278D5"/>
    <w:rsid w:val="00227938"/>
    <w:rsid w:val="00227B08"/>
    <w:rsid w:val="00227CB6"/>
    <w:rsid w:val="00227D4B"/>
    <w:rsid w:val="00227DAF"/>
    <w:rsid w:val="00227E19"/>
    <w:rsid w:val="00227FA0"/>
    <w:rsid w:val="00230223"/>
    <w:rsid w:val="00230487"/>
    <w:rsid w:val="0023060A"/>
    <w:rsid w:val="00230696"/>
    <w:rsid w:val="002306DF"/>
    <w:rsid w:val="00230773"/>
    <w:rsid w:val="00230800"/>
    <w:rsid w:val="00230849"/>
    <w:rsid w:val="0023098D"/>
    <w:rsid w:val="0023099C"/>
    <w:rsid w:val="002309D4"/>
    <w:rsid w:val="00230B58"/>
    <w:rsid w:val="00230BA5"/>
    <w:rsid w:val="00230D90"/>
    <w:rsid w:val="00230D92"/>
    <w:rsid w:val="002314C3"/>
    <w:rsid w:val="0023156C"/>
    <w:rsid w:val="00231782"/>
    <w:rsid w:val="00231835"/>
    <w:rsid w:val="00231980"/>
    <w:rsid w:val="002319E8"/>
    <w:rsid w:val="00231B7C"/>
    <w:rsid w:val="00231B7E"/>
    <w:rsid w:val="00231BFD"/>
    <w:rsid w:val="00231CAA"/>
    <w:rsid w:val="00231D8F"/>
    <w:rsid w:val="0023228B"/>
    <w:rsid w:val="00232368"/>
    <w:rsid w:val="00232425"/>
    <w:rsid w:val="00232740"/>
    <w:rsid w:val="0023278C"/>
    <w:rsid w:val="002327A1"/>
    <w:rsid w:val="00232834"/>
    <w:rsid w:val="00232972"/>
    <w:rsid w:val="0023299C"/>
    <w:rsid w:val="002329AC"/>
    <w:rsid w:val="00232A3D"/>
    <w:rsid w:val="00232C84"/>
    <w:rsid w:val="00232D56"/>
    <w:rsid w:val="00232D93"/>
    <w:rsid w:val="00232EE8"/>
    <w:rsid w:val="00232F96"/>
    <w:rsid w:val="0023311A"/>
    <w:rsid w:val="00233135"/>
    <w:rsid w:val="00233165"/>
    <w:rsid w:val="002331DF"/>
    <w:rsid w:val="0023324C"/>
    <w:rsid w:val="00233259"/>
    <w:rsid w:val="00233279"/>
    <w:rsid w:val="0023335D"/>
    <w:rsid w:val="00233394"/>
    <w:rsid w:val="0023354B"/>
    <w:rsid w:val="0023394A"/>
    <w:rsid w:val="00233A71"/>
    <w:rsid w:val="00233B5B"/>
    <w:rsid w:val="00233B71"/>
    <w:rsid w:val="00233BCD"/>
    <w:rsid w:val="00233C01"/>
    <w:rsid w:val="00233E45"/>
    <w:rsid w:val="00233F5C"/>
    <w:rsid w:val="00233F6D"/>
    <w:rsid w:val="00233F6F"/>
    <w:rsid w:val="00233FAC"/>
    <w:rsid w:val="00233FD9"/>
    <w:rsid w:val="00234198"/>
    <w:rsid w:val="002341AA"/>
    <w:rsid w:val="002341CB"/>
    <w:rsid w:val="002341F6"/>
    <w:rsid w:val="00234255"/>
    <w:rsid w:val="00234408"/>
    <w:rsid w:val="00234589"/>
    <w:rsid w:val="002345A0"/>
    <w:rsid w:val="00234606"/>
    <w:rsid w:val="00234794"/>
    <w:rsid w:val="002348AB"/>
    <w:rsid w:val="00234954"/>
    <w:rsid w:val="00234980"/>
    <w:rsid w:val="00234C56"/>
    <w:rsid w:val="00234D4F"/>
    <w:rsid w:val="00234D76"/>
    <w:rsid w:val="00234E06"/>
    <w:rsid w:val="00235124"/>
    <w:rsid w:val="0023519D"/>
    <w:rsid w:val="002352E6"/>
    <w:rsid w:val="00235404"/>
    <w:rsid w:val="00235522"/>
    <w:rsid w:val="00235613"/>
    <w:rsid w:val="00235662"/>
    <w:rsid w:val="002357CA"/>
    <w:rsid w:val="00235847"/>
    <w:rsid w:val="002359A4"/>
    <w:rsid w:val="002359BD"/>
    <w:rsid w:val="00235A3E"/>
    <w:rsid w:val="00235B15"/>
    <w:rsid w:val="00235B8C"/>
    <w:rsid w:val="00235B95"/>
    <w:rsid w:val="00235D63"/>
    <w:rsid w:val="00235D68"/>
    <w:rsid w:val="00235F40"/>
    <w:rsid w:val="00236065"/>
    <w:rsid w:val="002366D2"/>
    <w:rsid w:val="002366DE"/>
    <w:rsid w:val="00236765"/>
    <w:rsid w:val="00236781"/>
    <w:rsid w:val="002368A3"/>
    <w:rsid w:val="00236976"/>
    <w:rsid w:val="002369C0"/>
    <w:rsid w:val="00236A45"/>
    <w:rsid w:val="00236A62"/>
    <w:rsid w:val="00236B75"/>
    <w:rsid w:val="00236C1E"/>
    <w:rsid w:val="00236E09"/>
    <w:rsid w:val="00237105"/>
    <w:rsid w:val="002371E1"/>
    <w:rsid w:val="002371F2"/>
    <w:rsid w:val="0023744E"/>
    <w:rsid w:val="00237457"/>
    <w:rsid w:val="00237472"/>
    <w:rsid w:val="002374AB"/>
    <w:rsid w:val="00237566"/>
    <w:rsid w:val="0023768E"/>
    <w:rsid w:val="00237771"/>
    <w:rsid w:val="00237AE3"/>
    <w:rsid w:val="00237BE2"/>
    <w:rsid w:val="002400F9"/>
    <w:rsid w:val="00240116"/>
    <w:rsid w:val="00240226"/>
    <w:rsid w:val="00240263"/>
    <w:rsid w:val="002402A0"/>
    <w:rsid w:val="0024041D"/>
    <w:rsid w:val="002404A6"/>
    <w:rsid w:val="0024065F"/>
    <w:rsid w:val="002406F9"/>
    <w:rsid w:val="00240789"/>
    <w:rsid w:val="002407D6"/>
    <w:rsid w:val="0024084D"/>
    <w:rsid w:val="00240BAC"/>
    <w:rsid w:val="00240C4D"/>
    <w:rsid w:val="00240D1D"/>
    <w:rsid w:val="00240FD3"/>
    <w:rsid w:val="00241420"/>
    <w:rsid w:val="00241434"/>
    <w:rsid w:val="002414B1"/>
    <w:rsid w:val="0024156B"/>
    <w:rsid w:val="0024167B"/>
    <w:rsid w:val="002416DD"/>
    <w:rsid w:val="002416F5"/>
    <w:rsid w:val="00241752"/>
    <w:rsid w:val="00241895"/>
    <w:rsid w:val="00241B8D"/>
    <w:rsid w:val="00241C27"/>
    <w:rsid w:val="00241C6E"/>
    <w:rsid w:val="00241C83"/>
    <w:rsid w:val="00241C8D"/>
    <w:rsid w:val="00241D33"/>
    <w:rsid w:val="00241DBB"/>
    <w:rsid w:val="00241E2F"/>
    <w:rsid w:val="00241FA7"/>
    <w:rsid w:val="002421AE"/>
    <w:rsid w:val="002422E3"/>
    <w:rsid w:val="002422F5"/>
    <w:rsid w:val="00242474"/>
    <w:rsid w:val="002424B3"/>
    <w:rsid w:val="00242672"/>
    <w:rsid w:val="00242808"/>
    <w:rsid w:val="002428BA"/>
    <w:rsid w:val="002428DB"/>
    <w:rsid w:val="002428FB"/>
    <w:rsid w:val="00242935"/>
    <w:rsid w:val="002429FB"/>
    <w:rsid w:val="00242A42"/>
    <w:rsid w:val="00242B9C"/>
    <w:rsid w:val="00242C2E"/>
    <w:rsid w:val="00242C69"/>
    <w:rsid w:val="00242C6F"/>
    <w:rsid w:val="00242C78"/>
    <w:rsid w:val="00242D12"/>
    <w:rsid w:val="00242DB1"/>
    <w:rsid w:val="00242ED4"/>
    <w:rsid w:val="00243044"/>
    <w:rsid w:val="00243508"/>
    <w:rsid w:val="0024384B"/>
    <w:rsid w:val="00243867"/>
    <w:rsid w:val="002438C6"/>
    <w:rsid w:val="00243A57"/>
    <w:rsid w:val="00243B0E"/>
    <w:rsid w:val="00243E60"/>
    <w:rsid w:val="00243E76"/>
    <w:rsid w:val="00243EAA"/>
    <w:rsid w:val="0024408E"/>
    <w:rsid w:val="002440EF"/>
    <w:rsid w:val="00244144"/>
    <w:rsid w:val="00244164"/>
    <w:rsid w:val="0024425E"/>
    <w:rsid w:val="00244263"/>
    <w:rsid w:val="00244342"/>
    <w:rsid w:val="00244389"/>
    <w:rsid w:val="00244491"/>
    <w:rsid w:val="00244493"/>
    <w:rsid w:val="00244598"/>
    <w:rsid w:val="00244738"/>
    <w:rsid w:val="002447D8"/>
    <w:rsid w:val="002447EA"/>
    <w:rsid w:val="002447F6"/>
    <w:rsid w:val="00244BCF"/>
    <w:rsid w:val="00244C4A"/>
    <w:rsid w:val="00244CF5"/>
    <w:rsid w:val="00244D64"/>
    <w:rsid w:val="00244D6C"/>
    <w:rsid w:val="00244E06"/>
    <w:rsid w:val="00244E2E"/>
    <w:rsid w:val="00244EA8"/>
    <w:rsid w:val="00244FD0"/>
    <w:rsid w:val="00244FE5"/>
    <w:rsid w:val="00245043"/>
    <w:rsid w:val="00245239"/>
    <w:rsid w:val="002452F3"/>
    <w:rsid w:val="002454F7"/>
    <w:rsid w:val="00245539"/>
    <w:rsid w:val="0024555F"/>
    <w:rsid w:val="00245655"/>
    <w:rsid w:val="0024566D"/>
    <w:rsid w:val="002456D6"/>
    <w:rsid w:val="002457E1"/>
    <w:rsid w:val="002459C7"/>
    <w:rsid w:val="00245A98"/>
    <w:rsid w:val="00245B7B"/>
    <w:rsid w:val="00245BBF"/>
    <w:rsid w:val="00245C0B"/>
    <w:rsid w:val="00245C66"/>
    <w:rsid w:val="00245CBB"/>
    <w:rsid w:val="00245DDB"/>
    <w:rsid w:val="00245FFF"/>
    <w:rsid w:val="00246034"/>
    <w:rsid w:val="002461C5"/>
    <w:rsid w:val="002461FB"/>
    <w:rsid w:val="002463FD"/>
    <w:rsid w:val="0024646D"/>
    <w:rsid w:val="0024648F"/>
    <w:rsid w:val="00246580"/>
    <w:rsid w:val="00246606"/>
    <w:rsid w:val="0024692B"/>
    <w:rsid w:val="002469B4"/>
    <w:rsid w:val="002469E1"/>
    <w:rsid w:val="00246A00"/>
    <w:rsid w:val="00246B63"/>
    <w:rsid w:val="00246B99"/>
    <w:rsid w:val="00246BA1"/>
    <w:rsid w:val="00246C92"/>
    <w:rsid w:val="00246D12"/>
    <w:rsid w:val="00246E32"/>
    <w:rsid w:val="00246E6B"/>
    <w:rsid w:val="00246F82"/>
    <w:rsid w:val="00247021"/>
    <w:rsid w:val="00247071"/>
    <w:rsid w:val="00247139"/>
    <w:rsid w:val="002471A0"/>
    <w:rsid w:val="002472C2"/>
    <w:rsid w:val="00247349"/>
    <w:rsid w:val="00247362"/>
    <w:rsid w:val="002473B9"/>
    <w:rsid w:val="002473D5"/>
    <w:rsid w:val="00247485"/>
    <w:rsid w:val="002479CE"/>
    <w:rsid w:val="002479DC"/>
    <w:rsid w:val="00247A98"/>
    <w:rsid w:val="00247B40"/>
    <w:rsid w:val="00247B41"/>
    <w:rsid w:val="00247D2E"/>
    <w:rsid w:val="00247EE9"/>
    <w:rsid w:val="00250009"/>
    <w:rsid w:val="00250010"/>
    <w:rsid w:val="002500E9"/>
    <w:rsid w:val="002501A4"/>
    <w:rsid w:val="0025021F"/>
    <w:rsid w:val="00250261"/>
    <w:rsid w:val="002502C7"/>
    <w:rsid w:val="00250335"/>
    <w:rsid w:val="002504C9"/>
    <w:rsid w:val="002504FA"/>
    <w:rsid w:val="0025053E"/>
    <w:rsid w:val="002505FF"/>
    <w:rsid w:val="002506D1"/>
    <w:rsid w:val="002506FB"/>
    <w:rsid w:val="0025076A"/>
    <w:rsid w:val="00250ABB"/>
    <w:rsid w:val="00250B94"/>
    <w:rsid w:val="00250D11"/>
    <w:rsid w:val="00250D4A"/>
    <w:rsid w:val="00250E81"/>
    <w:rsid w:val="00250EFB"/>
    <w:rsid w:val="00250F22"/>
    <w:rsid w:val="0025118E"/>
    <w:rsid w:val="0025138D"/>
    <w:rsid w:val="002514B7"/>
    <w:rsid w:val="002514E9"/>
    <w:rsid w:val="00251555"/>
    <w:rsid w:val="002516D5"/>
    <w:rsid w:val="0025186B"/>
    <w:rsid w:val="002518A6"/>
    <w:rsid w:val="00251A18"/>
    <w:rsid w:val="00251BC8"/>
    <w:rsid w:val="00251BD3"/>
    <w:rsid w:val="00251BF7"/>
    <w:rsid w:val="00251C13"/>
    <w:rsid w:val="00251E83"/>
    <w:rsid w:val="00251F3B"/>
    <w:rsid w:val="002520C2"/>
    <w:rsid w:val="0025211A"/>
    <w:rsid w:val="00252502"/>
    <w:rsid w:val="0025262D"/>
    <w:rsid w:val="00252691"/>
    <w:rsid w:val="002526CD"/>
    <w:rsid w:val="002528A1"/>
    <w:rsid w:val="00252A47"/>
    <w:rsid w:val="00252A81"/>
    <w:rsid w:val="00252AD2"/>
    <w:rsid w:val="00252BB1"/>
    <w:rsid w:val="00252BDE"/>
    <w:rsid w:val="00252C17"/>
    <w:rsid w:val="00252C33"/>
    <w:rsid w:val="00252F3D"/>
    <w:rsid w:val="00252F73"/>
    <w:rsid w:val="00252FB4"/>
    <w:rsid w:val="00253036"/>
    <w:rsid w:val="00253121"/>
    <w:rsid w:val="00253164"/>
    <w:rsid w:val="002531BB"/>
    <w:rsid w:val="00253249"/>
    <w:rsid w:val="0025364A"/>
    <w:rsid w:val="00253651"/>
    <w:rsid w:val="002537A7"/>
    <w:rsid w:val="002538B9"/>
    <w:rsid w:val="00253A8C"/>
    <w:rsid w:val="00253AB8"/>
    <w:rsid w:val="00253E27"/>
    <w:rsid w:val="00253FAE"/>
    <w:rsid w:val="00254046"/>
    <w:rsid w:val="002540DD"/>
    <w:rsid w:val="002540F5"/>
    <w:rsid w:val="0025419C"/>
    <w:rsid w:val="002542A9"/>
    <w:rsid w:val="00254367"/>
    <w:rsid w:val="0025443B"/>
    <w:rsid w:val="00254458"/>
    <w:rsid w:val="002544A9"/>
    <w:rsid w:val="002544B1"/>
    <w:rsid w:val="0025453C"/>
    <w:rsid w:val="0025477A"/>
    <w:rsid w:val="0025485C"/>
    <w:rsid w:val="002549E8"/>
    <w:rsid w:val="00254A01"/>
    <w:rsid w:val="00254AED"/>
    <w:rsid w:val="00254CCB"/>
    <w:rsid w:val="00254D4E"/>
    <w:rsid w:val="00254DAD"/>
    <w:rsid w:val="00254DE9"/>
    <w:rsid w:val="00254FC2"/>
    <w:rsid w:val="00255192"/>
    <w:rsid w:val="00255202"/>
    <w:rsid w:val="002552A5"/>
    <w:rsid w:val="002552D8"/>
    <w:rsid w:val="0025543E"/>
    <w:rsid w:val="00255541"/>
    <w:rsid w:val="002556D2"/>
    <w:rsid w:val="002556EB"/>
    <w:rsid w:val="002557E7"/>
    <w:rsid w:val="00255825"/>
    <w:rsid w:val="002559F2"/>
    <w:rsid w:val="00255A6F"/>
    <w:rsid w:val="00255AB6"/>
    <w:rsid w:val="00255D4A"/>
    <w:rsid w:val="00255E9D"/>
    <w:rsid w:val="00256036"/>
    <w:rsid w:val="002560ED"/>
    <w:rsid w:val="0025610A"/>
    <w:rsid w:val="00256271"/>
    <w:rsid w:val="002562AA"/>
    <w:rsid w:val="002562BB"/>
    <w:rsid w:val="0025636E"/>
    <w:rsid w:val="002564DE"/>
    <w:rsid w:val="002565C5"/>
    <w:rsid w:val="0025678A"/>
    <w:rsid w:val="002567E1"/>
    <w:rsid w:val="00256A45"/>
    <w:rsid w:val="00256CBC"/>
    <w:rsid w:val="00256D5A"/>
    <w:rsid w:val="00256D7A"/>
    <w:rsid w:val="00256F01"/>
    <w:rsid w:val="00256F6D"/>
    <w:rsid w:val="00257048"/>
    <w:rsid w:val="00257063"/>
    <w:rsid w:val="0025709B"/>
    <w:rsid w:val="002570BC"/>
    <w:rsid w:val="002570ED"/>
    <w:rsid w:val="002570F4"/>
    <w:rsid w:val="00257342"/>
    <w:rsid w:val="002573A6"/>
    <w:rsid w:val="002574BB"/>
    <w:rsid w:val="002574BD"/>
    <w:rsid w:val="002574C1"/>
    <w:rsid w:val="002577B2"/>
    <w:rsid w:val="00257870"/>
    <w:rsid w:val="00257871"/>
    <w:rsid w:val="00257A48"/>
    <w:rsid w:val="00257ABE"/>
    <w:rsid w:val="00257C88"/>
    <w:rsid w:val="00257DE5"/>
    <w:rsid w:val="00257E0E"/>
    <w:rsid w:val="00257E2B"/>
    <w:rsid w:val="00257F7B"/>
    <w:rsid w:val="00257F93"/>
    <w:rsid w:val="00257FBA"/>
    <w:rsid w:val="0025F43C"/>
    <w:rsid w:val="0026009A"/>
    <w:rsid w:val="002600F6"/>
    <w:rsid w:val="00260125"/>
    <w:rsid w:val="002601CE"/>
    <w:rsid w:val="00260259"/>
    <w:rsid w:val="002603F9"/>
    <w:rsid w:val="0026048A"/>
    <w:rsid w:val="0026076A"/>
    <w:rsid w:val="0026080E"/>
    <w:rsid w:val="0026097D"/>
    <w:rsid w:val="00260A05"/>
    <w:rsid w:val="00260B7D"/>
    <w:rsid w:val="00260C00"/>
    <w:rsid w:val="00260CF5"/>
    <w:rsid w:val="00260D3A"/>
    <w:rsid w:val="00260D3C"/>
    <w:rsid w:val="00260D92"/>
    <w:rsid w:val="00260F48"/>
    <w:rsid w:val="00261110"/>
    <w:rsid w:val="00261116"/>
    <w:rsid w:val="00261183"/>
    <w:rsid w:val="002611CB"/>
    <w:rsid w:val="002613F7"/>
    <w:rsid w:val="00261509"/>
    <w:rsid w:val="00261605"/>
    <w:rsid w:val="0026177E"/>
    <w:rsid w:val="0026181A"/>
    <w:rsid w:val="002618E1"/>
    <w:rsid w:val="002619BE"/>
    <w:rsid w:val="00261BB5"/>
    <w:rsid w:val="00261C2C"/>
    <w:rsid w:val="00261CCB"/>
    <w:rsid w:val="00261D60"/>
    <w:rsid w:val="00261DCC"/>
    <w:rsid w:val="002620C7"/>
    <w:rsid w:val="002620C9"/>
    <w:rsid w:val="00262179"/>
    <w:rsid w:val="00262191"/>
    <w:rsid w:val="00262430"/>
    <w:rsid w:val="002624E3"/>
    <w:rsid w:val="00262628"/>
    <w:rsid w:val="0026263A"/>
    <w:rsid w:val="00262705"/>
    <w:rsid w:val="0026273D"/>
    <w:rsid w:val="002627AD"/>
    <w:rsid w:val="002627B0"/>
    <w:rsid w:val="00262811"/>
    <w:rsid w:val="00262C10"/>
    <w:rsid w:val="00262E24"/>
    <w:rsid w:val="00262ED9"/>
    <w:rsid w:val="00263049"/>
    <w:rsid w:val="002631A9"/>
    <w:rsid w:val="0026328D"/>
    <w:rsid w:val="0026332D"/>
    <w:rsid w:val="00263495"/>
    <w:rsid w:val="00263566"/>
    <w:rsid w:val="0026368F"/>
    <w:rsid w:val="00263862"/>
    <w:rsid w:val="00263A6F"/>
    <w:rsid w:val="00263AE3"/>
    <w:rsid w:val="00263BE7"/>
    <w:rsid w:val="00263C44"/>
    <w:rsid w:val="00263C59"/>
    <w:rsid w:val="00263CA1"/>
    <w:rsid w:val="00263CEA"/>
    <w:rsid w:val="00263D03"/>
    <w:rsid w:val="00263F3F"/>
    <w:rsid w:val="00263FFB"/>
    <w:rsid w:val="00264068"/>
    <w:rsid w:val="002640AE"/>
    <w:rsid w:val="00264172"/>
    <w:rsid w:val="0026422F"/>
    <w:rsid w:val="0026424D"/>
    <w:rsid w:val="002642E9"/>
    <w:rsid w:val="00264337"/>
    <w:rsid w:val="0026440E"/>
    <w:rsid w:val="002645F8"/>
    <w:rsid w:val="00264660"/>
    <w:rsid w:val="002646AD"/>
    <w:rsid w:val="002647D6"/>
    <w:rsid w:val="00264813"/>
    <w:rsid w:val="00264847"/>
    <w:rsid w:val="002648B6"/>
    <w:rsid w:val="002648C9"/>
    <w:rsid w:val="00264A09"/>
    <w:rsid w:val="00264AC3"/>
    <w:rsid w:val="00264C8E"/>
    <w:rsid w:val="00264C95"/>
    <w:rsid w:val="00264CF4"/>
    <w:rsid w:val="00264DF6"/>
    <w:rsid w:val="002650B0"/>
    <w:rsid w:val="00265109"/>
    <w:rsid w:val="00265233"/>
    <w:rsid w:val="00265234"/>
    <w:rsid w:val="002652A8"/>
    <w:rsid w:val="00265322"/>
    <w:rsid w:val="002653CC"/>
    <w:rsid w:val="002654D2"/>
    <w:rsid w:val="00265AEA"/>
    <w:rsid w:val="00265D3A"/>
    <w:rsid w:val="00265D7F"/>
    <w:rsid w:val="002660D7"/>
    <w:rsid w:val="00266255"/>
    <w:rsid w:val="00266390"/>
    <w:rsid w:val="00266476"/>
    <w:rsid w:val="00266527"/>
    <w:rsid w:val="002665C8"/>
    <w:rsid w:val="00266603"/>
    <w:rsid w:val="0026665F"/>
    <w:rsid w:val="0026668F"/>
    <w:rsid w:val="00266690"/>
    <w:rsid w:val="002666B2"/>
    <w:rsid w:val="002667FC"/>
    <w:rsid w:val="0026680F"/>
    <w:rsid w:val="0026697E"/>
    <w:rsid w:val="00266B0A"/>
    <w:rsid w:val="00266BF5"/>
    <w:rsid w:val="00266C1C"/>
    <w:rsid w:val="00266CA4"/>
    <w:rsid w:val="00266EB0"/>
    <w:rsid w:val="00266F1C"/>
    <w:rsid w:val="002670CF"/>
    <w:rsid w:val="002671DF"/>
    <w:rsid w:val="002671E0"/>
    <w:rsid w:val="00267665"/>
    <w:rsid w:val="00267687"/>
    <w:rsid w:val="0026772C"/>
    <w:rsid w:val="00267780"/>
    <w:rsid w:val="0026779F"/>
    <w:rsid w:val="00267802"/>
    <w:rsid w:val="00267846"/>
    <w:rsid w:val="002679B5"/>
    <w:rsid w:val="00267C5F"/>
    <w:rsid w:val="00267DC0"/>
    <w:rsid w:val="00267E07"/>
    <w:rsid w:val="00267E5A"/>
    <w:rsid w:val="00267E93"/>
    <w:rsid w:val="00267EFB"/>
    <w:rsid w:val="00267F55"/>
    <w:rsid w:val="0026897E"/>
    <w:rsid w:val="0026D65B"/>
    <w:rsid w:val="00270105"/>
    <w:rsid w:val="002701A5"/>
    <w:rsid w:val="00270243"/>
    <w:rsid w:val="0027025F"/>
    <w:rsid w:val="0027028F"/>
    <w:rsid w:val="0027036C"/>
    <w:rsid w:val="002704BD"/>
    <w:rsid w:val="002705EA"/>
    <w:rsid w:val="0027063F"/>
    <w:rsid w:val="00270672"/>
    <w:rsid w:val="00270828"/>
    <w:rsid w:val="00270900"/>
    <w:rsid w:val="00270945"/>
    <w:rsid w:val="00270AEA"/>
    <w:rsid w:val="00270FC6"/>
    <w:rsid w:val="0027109A"/>
    <w:rsid w:val="002710B6"/>
    <w:rsid w:val="002710C7"/>
    <w:rsid w:val="00271113"/>
    <w:rsid w:val="0027113F"/>
    <w:rsid w:val="0027114B"/>
    <w:rsid w:val="002711D4"/>
    <w:rsid w:val="00271251"/>
    <w:rsid w:val="00271263"/>
    <w:rsid w:val="0027130B"/>
    <w:rsid w:val="0027132B"/>
    <w:rsid w:val="002714C3"/>
    <w:rsid w:val="0027164F"/>
    <w:rsid w:val="002716B0"/>
    <w:rsid w:val="002716F4"/>
    <w:rsid w:val="00271855"/>
    <w:rsid w:val="00271974"/>
    <w:rsid w:val="00271B38"/>
    <w:rsid w:val="00271C60"/>
    <w:rsid w:val="00271D6E"/>
    <w:rsid w:val="00271DD7"/>
    <w:rsid w:val="00271DDC"/>
    <w:rsid w:val="00271E0E"/>
    <w:rsid w:val="00271F52"/>
    <w:rsid w:val="00271FF2"/>
    <w:rsid w:val="0027207C"/>
    <w:rsid w:val="00272095"/>
    <w:rsid w:val="0027220F"/>
    <w:rsid w:val="002722D7"/>
    <w:rsid w:val="00272486"/>
    <w:rsid w:val="00272493"/>
    <w:rsid w:val="002725C8"/>
    <w:rsid w:val="002725C9"/>
    <w:rsid w:val="0027264C"/>
    <w:rsid w:val="00272729"/>
    <w:rsid w:val="002728EF"/>
    <w:rsid w:val="0027299F"/>
    <w:rsid w:val="00272BDB"/>
    <w:rsid w:val="00272D49"/>
    <w:rsid w:val="00272EEA"/>
    <w:rsid w:val="00273208"/>
    <w:rsid w:val="002733BA"/>
    <w:rsid w:val="002733D7"/>
    <w:rsid w:val="00273622"/>
    <w:rsid w:val="00273648"/>
    <w:rsid w:val="00273743"/>
    <w:rsid w:val="0027374D"/>
    <w:rsid w:val="00273814"/>
    <w:rsid w:val="00273A29"/>
    <w:rsid w:val="00273BFC"/>
    <w:rsid w:val="00273C1C"/>
    <w:rsid w:val="00273CEA"/>
    <w:rsid w:val="00273D81"/>
    <w:rsid w:val="00273D94"/>
    <w:rsid w:val="00273EBD"/>
    <w:rsid w:val="00273F3F"/>
    <w:rsid w:val="00273F92"/>
    <w:rsid w:val="002740AE"/>
    <w:rsid w:val="002741DE"/>
    <w:rsid w:val="0027420E"/>
    <w:rsid w:val="00274220"/>
    <w:rsid w:val="002744E4"/>
    <w:rsid w:val="00274608"/>
    <w:rsid w:val="002746AE"/>
    <w:rsid w:val="0027477A"/>
    <w:rsid w:val="00274AF5"/>
    <w:rsid w:val="00274BA8"/>
    <w:rsid w:val="00274F8E"/>
    <w:rsid w:val="00274FC2"/>
    <w:rsid w:val="00275070"/>
    <w:rsid w:val="002753BA"/>
    <w:rsid w:val="0027540E"/>
    <w:rsid w:val="002754CB"/>
    <w:rsid w:val="0027554E"/>
    <w:rsid w:val="002755F5"/>
    <w:rsid w:val="002756C5"/>
    <w:rsid w:val="0027578D"/>
    <w:rsid w:val="00275905"/>
    <w:rsid w:val="00275EED"/>
    <w:rsid w:val="00275FF7"/>
    <w:rsid w:val="00276056"/>
    <w:rsid w:val="002761F2"/>
    <w:rsid w:val="0027640B"/>
    <w:rsid w:val="00276410"/>
    <w:rsid w:val="002766B0"/>
    <w:rsid w:val="002766CD"/>
    <w:rsid w:val="0027674E"/>
    <w:rsid w:val="0027674F"/>
    <w:rsid w:val="0027679E"/>
    <w:rsid w:val="002767FE"/>
    <w:rsid w:val="00276999"/>
    <w:rsid w:val="002769D8"/>
    <w:rsid w:val="002769E0"/>
    <w:rsid w:val="002769E7"/>
    <w:rsid w:val="00276A68"/>
    <w:rsid w:val="00276AF0"/>
    <w:rsid w:val="00276C62"/>
    <w:rsid w:val="00276C67"/>
    <w:rsid w:val="00276D23"/>
    <w:rsid w:val="00276DD9"/>
    <w:rsid w:val="00276DE4"/>
    <w:rsid w:val="00276EE7"/>
    <w:rsid w:val="00276FBB"/>
    <w:rsid w:val="00277151"/>
    <w:rsid w:val="0027715B"/>
    <w:rsid w:val="00277172"/>
    <w:rsid w:val="00277176"/>
    <w:rsid w:val="002772A0"/>
    <w:rsid w:val="002775EF"/>
    <w:rsid w:val="002775F0"/>
    <w:rsid w:val="002777A5"/>
    <w:rsid w:val="002777D2"/>
    <w:rsid w:val="00277886"/>
    <w:rsid w:val="00277AD3"/>
    <w:rsid w:val="00277B47"/>
    <w:rsid w:val="00277BC4"/>
    <w:rsid w:val="00277BE5"/>
    <w:rsid w:val="00277CCD"/>
    <w:rsid w:val="00277E42"/>
    <w:rsid w:val="00277F9F"/>
    <w:rsid w:val="00280054"/>
    <w:rsid w:val="00280229"/>
    <w:rsid w:val="002806F8"/>
    <w:rsid w:val="00280722"/>
    <w:rsid w:val="002807E3"/>
    <w:rsid w:val="00280AB1"/>
    <w:rsid w:val="00280DA5"/>
    <w:rsid w:val="00280DB2"/>
    <w:rsid w:val="00280E16"/>
    <w:rsid w:val="00280F0C"/>
    <w:rsid w:val="00280F33"/>
    <w:rsid w:val="00280F5E"/>
    <w:rsid w:val="00280FDA"/>
    <w:rsid w:val="0028105D"/>
    <w:rsid w:val="0028111D"/>
    <w:rsid w:val="00281164"/>
    <w:rsid w:val="00281221"/>
    <w:rsid w:val="00281327"/>
    <w:rsid w:val="002814E7"/>
    <w:rsid w:val="00281509"/>
    <w:rsid w:val="00281573"/>
    <w:rsid w:val="00281604"/>
    <w:rsid w:val="0028161E"/>
    <w:rsid w:val="002816BB"/>
    <w:rsid w:val="00281721"/>
    <w:rsid w:val="00281805"/>
    <w:rsid w:val="002819DD"/>
    <w:rsid w:val="00281BEF"/>
    <w:rsid w:val="00281C30"/>
    <w:rsid w:val="0028211E"/>
    <w:rsid w:val="002821C0"/>
    <w:rsid w:val="00282227"/>
    <w:rsid w:val="0028228E"/>
    <w:rsid w:val="002823AF"/>
    <w:rsid w:val="00282412"/>
    <w:rsid w:val="00282453"/>
    <w:rsid w:val="002824BB"/>
    <w:rsid w:val="0028254A"/>
    <w:rsid w:val="0028274A"/>
    <w:rsid w:val="002827BD"/>
    <w:rsid w:val="0028297D"/>
    <w:rsid w:val="00282AFB"/>
    <w:rsid w:val="00282C4C"/>
    <w:rsid w:val="00282C9C"/>
    <w:rsid w:val="00282E79"/>
    <w:rsid w:val="00282F19"/>
    <w:rsid w:val="00282FCA"/>
    <w:rsid w:val="00283088"/>
    <w:rsid w:val="002831F2"/>
    <w:rsid w:val="00283300"/>
    <w:rsid w:val="00283359"/>
    <w:rsid w:val="002833CC"/>
    <w:rsid w:val="0028343B"/>
    <w:rsid w:val="00283455"/>
    <w:rsid w:val="002834E2"/>
    <w:rsid w:val="0028355A"/>
    <w:rsid w:val="00283623"/>
    <w:rsid w:val="00283685"/>
    <w:rsid w:val="002836FD"/>
    <w:rsid w:val="00283715"/>
    <w:rsid w:val="002839D6"/>
    <w:rsid w:val="00283B75"/>
    <w:rsid w:val="00283BDE"/>
    <w:rsid w:val="00283C30"/>
    <w:rsid w:val="00283E6A"/>
    <w:rsid w:val="00283EE2"/>
    <w:rsid w:val="00283F81"/>
    <w:rsid w:val="00283F8F"/>
    <w:rsid w:val="002841A4"/>
    <w:rsid w:val="0028421A"/>
    <w:rsid w:val="00284276"/>
    <w:rsid w:val="0028431B"/>
    <w:rsid w:val="00284551"/>
    <w:rsid w:val="00284694"/>
    <w:rsid w:val="002848A1"/>
    <w:rsid w:val="00284BBF"/>
    <w:rsid w:val="00284C18"/>
    <w:rsid w:val="00284D1A"/>
    <w:rsid w:val="00284D88"/>
    <w:rsid w:val="00284D96"/>
    <w:rsid w:val="00284E95"/>
    <w:rsid w:val="00284EB6"/>
    <w:rsid w:val="00284F8E"/>
    <w:rsid w:val="00285072"/>
    <w:rsid w:val="002850D0"/>
    <w:rsid w:val="0028519B"/>
    <w:rsid w:val="002852E7"/>
    <w:rsid w:val="0028538D"/>
    <w:rsid w:val="002853AB"/>
    <w:rsid w:val="00285453"/>
    <w:rsid w:val="002854A3"/>
    <w:rsid w:val="002854B7"/>
    <w:rsid w:val="002854CD"/>
    <w:rsid w:val="0028557B"/>
    <w:rsid w:val="002856DC"/>
    <w:rsid w:val="002857CF"/>
    <w:rsid w:val="0028582F"/>
    <w:rsid w:val="00285A34"/>
    <w:rsid w:val="00285A3C"/>
    <w:rsid w:val="00285A90"/>
    <w:rsid w:val="00285AAA"/>
    <w:rsid w:val="00285AF2"/>
    <w:rsid w:val="00285B8E"/>
    <w:rsid w:val="00285C7F"/>
    <w:rsid w:val="00285EDB"/>
    <w:rsid w:val="00285F8F"/>
    <w:rsid w:val="00285FA7"/>
    <w:rsid w:val="002860F3"/>
    <w:rsid w:val="0028610E"/>
    <w:rsid w:val="002861A6"/>
    <w:rsid w:val="002861FE"/>
    <w:rsid w:val="00286310"/>
    <w:rsid w:val="0028645F"/>
    <w:rsid w:val="0028646C"/>
    <w:rsid w:val="002864E0"/>
    <w:rsid w:val="00286557"/>
    <w:rsid w:val="002865FD"/>
    <w:rsid w:val="0028680A"/>
    <w:rsid w:val="002868CD"/>
    <w:rsid w:val="00286966"/>
    <w:rsid w:val="00286980"/>
    <w:rsid w:val="002869C3"/>
    <w:rsid w:val="00286A41"/>
    <w:rsid w:val="00286A7B"/>
    <w:rsid w:val="00286B17"/>
    <w:rsid w:val="00286B21"/>
    <w:rsid w:val="00286BA5"/>
    <w:rsid w:val="00286C5E"/>
    <w:rsid w:val="00286C71"/>
    <w:rsid w:val="00286D61"/>
    <w:rsid w:val="00286F2F"/>
    <w:rsid w:val="00286F4E"/>
    <w:rsid w:val="00286FD6"/>
    <w:rsid w:val="0028702D"/>
    <w:rsid w:val="00287059"/>
    <w:rsid w:val="002870A0"/>
    <w:rsid w:val="002870D9"/>
    <w:rsid w:val="00287251"/>
    <w:rsid w:val="0028777D"/>
    <w:rsid w:val="002877B3"/>
    <w:rsid w:val="00287850"/>
    <w:rsid w:val="0028786E"/>
    <w:rsid w:val="002878A9"/>
    <w:rsid w:val="00287931"/>
    <w:rsid w:val="00287B95"/>
    <w:rsid w:val="00287B9D"/>
    <w:rsid w:val="00287B9E"/>
    <w:rsid w:val="00287E0C"/>
    <w:rsid w:val="00287E2E"/>
    <w:rsid w:val="00287FD4"/>
    <w:rsid w:val="0029003A"/>
    <w:rsid w:val="00290122"/>
    <w:rsid w:val="00290276"/>
    <w:rsid w:val="00290415"/>
    <w:rsid w:val="002904C2"/>
    <w:rsid w:val="0029055D"/>
    <w:rsid w:val="0029059A"/>
    <w:rsid w:val="002908EA"/>
    <w:rsid w:val="00290951"/>
    <w:rsid w:val="00290979"/>
    <w:rsid w:val="00290AF8"/>
    <w:rsid w:val="00290B0D"/>
    <w:rsid w:val="00290B93"/>
    <w:rsid w:val="00290CBC"/>
    <w:rsid w:val="00290CC0"/>
    <w:rsid w:val="00290CFC"/>
    <w:rsid w:val="00290EF9"/>
    <w:rsid w:val="00290F1E"/>
    <w:rsid w:val="00291044"/>
    <w:rsid w:val="002910FD"/>
    <w:rsid w:val="00291208"/>
    <w:rsid w:val="0029121C"/>
    <w:rsid w:val="00291395"/>
    <w:rsid w:val="002913EE"/>
    <w:rsid w:val="002913FA"/>
    <w:rsid w:val="0029144B"/>
    <w:rsid w:val="00291622"/>
    <w:rsid w:val="00291746"/>
    <w:rsid w:val="00291877"/>
    <w:rsid w:val="00291890"/>
    <w:rsid w:val="0029194C"/>
    <w:rsid w:val="00291A85"/>
    <w:rsid w:val="00291B40"/>
    <w:rsid w:val="00291BDD"/>
    <w:rsid w:val="00291CA4"/>
    <w:rsid w:val="00291D50"/>
    <w:rsid w:val="00291D9D"/>
    <w:rsid w:val="00291F56"/>
    <w:rsid w:val="002920E8"/>
    <w:rsid w:val="00292116"/>
    <w:rsid w:val="00292151"/>
    <w:rsid w:val="00292271"/>
    <w:rsid w:val="00292323"/>
    <w:rsid w:val="002923E8"/>
    <w:rsid w:val="00292504"/>
    <w:rsid w:val="00292541"/>
    <w:rsid w:val="0029263C"/>
    <w:rsid w:val="002926E6"/>
    <w:rsid w:val="00292702"/>
    <w:rsid w:val="002927A5"/>
    <w:rsid w:val="002927B9"/>
    <w:rsid w:val="00292873"/>
    <w:rsid w:val="0029287C"/>
    <w:rsid w:val="00292937"/>
    <w:rsid w:val="002929B8"/>
    <w:rsid w:val="00292AD7"/>
    <w:rsid w:val="00292C44"/>
    <w:rsid w:val="00292D08"/>
    <w:rsid w:val="00292D7D"/>
    <w:rsid w:val="00292D9C"/>
    <w:rsid w:val="00292DA5"/>
    <w:rsid w:val="00292EA6"/>
    <w:rsid w:val="00292EC3"/>
    <w:rsid w:val="00292F95"/>
    <w:rsid w:val="00292FE2"/>
    <w:rsid w:val="0029300B"/>
    <w:rsid w:val="0029307D"/>
    <w:rsid w:val="0029311C"/>
    <w:rsid w:val="0029328A"/>
    <w:rsid w:val="002932CF"/>
    <w:rsid w:val="0029339E"/>
    <w:rsid w:val="002933C4"/>
    <w:rsid w:val="00293420"/>
    <w:rsid w:val="0029342B"/>
    <w:rsid w:val="0029347F"/>
    <w:rsid w:val="002934F6"/>
    <w:rsid w:val="00293688"/>
    <w:rsid w:val="0029368D"/>
    <w:rsid w:val="0029379E"/>
    <w:rsid w:val="00293850"/>
    <w:rsid w:val="00293897"/>
    <w:rsid w:val="00293C05"/>
    <w:rsid w:val="00293C6F"/>
    <w:rsid w:val="00293CD6"/>
    <w:rsid w:val="00293E9C"/>
    <w:rsid w:val="00293F0F"/>
    <w:rsid w:val="00294004"/>
    <w:rsid w:val="002942EF"/>
    <w:rsid w:val="0029445C"/>
    <w:rsid w:val="0029466E"/>
    <w:rsid w:val="002946EE"/>
    <w:rsid w:val="00294709"/>
    <w:rsid w:val="0029473E"/>
    <w:rsid w:val="00294786"/>
    <w:rsid w:val="00294800"/>
    <w:rsid w:val="0029482E"/>
    <w:rsid w:val="0029491F"/>
    <w:rsid w:val="00294922"/>
    <w:rsid w:val="00294974"/>
    <w:rsid w:val="00294B2D"/>
    <w:rsid w:val="00294CF6"/>
    <w:rsid w:val="00294D81"/>
    <w:rsid w:val="00294D99"/>
    <w:rsid w:val="00294F3F"/>
    <w:rsid w:val="00295091"/>
    <w:rsid w:val="00295109"/>
    <w:rsid w:val="0029511C"/>
    <w:rsid w:val="0029526C"/>
    <w:rsid w:val="002952CA"/>
    <w:rsid w:val="00295541"/>
    <w:rsid w:val="002955D5"/>
    <w:rsid w:val="0029564D"/>
    <w:rsid w:val="002959AE"/>
    <w:rsid w:val="002959D3"/>
    <w:rsid w:val="00295A15"/>
    <w:rsid w:val="00295A6E"/>
    <w:rsid w:val="00295B10"/>
    <w:rsid w:val="00295BA4"/>
    <w:rsid w:val="00295CC4"/>
    <w:rsid w:val="00295DD9"/>
    <w:rsid w:val="00295EF5"/>
    <w:rsid w:val="00295EF7"/>
    <w:rsid w:val="00295FB1"/>
    <w:rsid w:val="00296078"/>
    <w:rsid w:val="002961C3"/>
    <w:rsid w:val="002962BD"/>
    <w:rsid w:val="002962FE"/>
    <w:rsid w:val="0029649A"/>
    <w:rsid w:val="002964A2"/>
    <w:rsid w:val="002964B1"/>
    <w:rsid w:val="002965D5"/>
    <w:rsid w:val="00296649"/>
    <w:rsid w:val="00296737"/>
    <w:rsid w:val="00296915"/>
    <w:rsid w:val="00296AEA"/>
    <w:rsid w:val="00296B07"/>
    <w:rsid w:val="00296B19"/>
    <w:rsid w:val="00296B42"/>
    <w:rsid w:val="00296C7E"/>
    <w:rsid w:val="00296DDD"/>
    <w:rsid w:val="00296DED"/>
    <w:rsid w:val="002970C9"/>
    <w:rsid w:val="002971A1"/>
    <w:rsid w:val="00297290"/>
    <w:rsid w:val="0029748E"/>
    <w:rsid w:val="002975A7"/>
    <w:rsid w:val="002975C2"/>
    <w:rsid w:val="002978AC"/>
    <w:rsid w:val="00297B51"/>
    <w:rsid w:val="00297B60"/>
    <w:rsid w:val="00297F40"/>
    <w:rsid w:val="00297F4C"/>
    <w:rsid w:val="0029BD04"/>
    <w:rsid w:val="002A00CA"/>
    <w:rsid w:val="002A0208"/>
    <w:rsid w:val="002A02E4"/>
    <w:rsid w:val="002A03EB"/>
    <w:rsid w:val="002A048D"/>
    <w:rsid w:val="002A052C"/>
    <w:rsid w:val="002A064E"/>
    <w:rsid w:val="002A06D9"/>
    <w:rsid w:val="002A0749"/>
    <w:rsid w:val="002A086A"/>
    <w:rsid w:val="002A08E8"/>
    <w:rsid w:val="002A08F8"/>
    <w:rsid w:val="002A0931"/>
    <w:rsid w:val="002A0BF9"/>
    <w:rsid w:val="002A0C03"/>
    <w:rsid w:val="002A0DBA"/>
    <w:rsid w:val="002A0ED4"/>
    <w:rsid w:val="002A0FBA"/>
    <w:rsid w:val="002A10AA"/>
    <w:rsid w:val="002A10CE"/>
    <w:rsid w:val="002A11F4"/>
    <w:rsid w:val="002A140E"/>
    <w:rsid w:val="002A14AB"/>
    <w:rsid w:val="002A14FB"/>
    <w:rsid w:val="002A1589"/>
    <w:rsid w:val="002A15A2"/>
    <w:rsid w:val="002A1710"/>
    <w:rsid w:val="002A17D8"/>
    <w:rsid w:val="002A19FF"/>
    <w:rsid w:val="002A1EEC"/>
    <w:rsid w:val="002A1FA2"/>
    <w:rsid w:val="002A1FC8"/>
    <w:rsid w:val="002A1FCC"/>
    <w:rsid w:val="002A2027"/>
    <w:rsid w:val="002A229E"/>
    <w:rsid w:val="002A22CD"/>
    <w:rsid w:val="002A2358"/>
    <w:rsid w:val="002A2411"/>
    <w:rsid w:val="002A24A2"/>
    <w:rsid w:val="002A2705"/>
    <w:rsid w:val="002A27C3"/>
    <w:rsid w:val="002A2882"/>
    <w:rsid w:val="002A297A"/>
    <w:rsid w:val="002A2A24"/>
    <w:rsid w:val="002A2A88"/>
    <w:rsid w:val="002A2CE3"/>
    <w:rsid w:val="002A2F43"/>
    <w:rsid w:val="002A2F86"/>
    <w:rsid w:val="002A3040"/>
    <w:rsid w:val="002A3069"/>
    <w:rsid w:val="002A30E8"/>
    <w:rsid w:val="002A31D3"/>
    <w:rsid w:val="002A323F"/>
    <w:rsid w:val="002A32A0"/>
    <w:rsid w:val="002A33F9"/>
    <w:rsid w:val="002A34AE"/>
    <w:rsid w:val="002A3632"/>
    <w:rsid w:val="002A3644"/>
    <w:rsid w:val="002A373D"/>
    <w:rsid w:val="002A38DC"/>
    <w:rsid w:val="002A3900"/>
    <w:rsid w:val="002A396E"/>
    <w:rsid w:val="002A398A"/>
    <w:rsid w:val="002A3A5F"/>
    <w:rsid w:val="002A3A90"/>
    <w:rsid w:val="002A3AAB"/>
    <w:rsid w:val="002A3B15"/>
    <w:rsid w:val="002A3B9E"/>
    <w:rsid w:val="002A3D45"/>
    <w:rsid w:val="002A3D46"/>
    <w:rsid w:val="002A3D78"/>
    <w:rsid w:val="002A3E96"/>
    <w:rsid w:val="002A3F3D"/>
    <w:rsid w:val="002A3F4E"/>
    <w:rsid w:val="002A4035"/>
    <w:rsid w:val="002A4043"/>
    <w:rsid w:val="002A41F7"/>
    <w:rsid w:val="002A4241"/>
    <w:rsid w:val="002A431B"/>
    <w:rsid w:val="002A4580"/>
    <w:rsid w:val="002A45FF"/>
    <w:rsid w:val="002A4654"/>
    <w:rsid w:val="002A4723"/>
    <w:rsid w:val="002A47A4"/>
    <w:rsid w:val="002A4B5C"/>
    <w:rsid w:val="002A4CFA"/>
    <w:rsid w:val="002A4D3C"/>
    <w:rsid w:val="002A4D98"/>
    <w:rsid w:val="002A4DE9"/>
    <w:rsid w:val="002A50FA"/>
    <w:rsid w:val="002A5208"/>
    <w:rsid w:val="002A5260"/>
    <w:rsid w:val="002A526B"/>
    <w:rsid w:val="002A5307"/>
    <w:rsid w:val="002A544E"/>
    <w:rsid w:val="002A5539"/>
    <w:rsid w:val="002A555F"/>
    <w:rsid w:val="002A5695"/>
    <w:rsid w:val="002A56D0"/>
    <w:rsid w:val="002A56D1"/>
    <w:rsid w:val="002A56D9"/>
    <w:rsid w:val="002A57A0"/>
    <w:rsid w:val="002A57E6"/>
    <w:rsid w:val="002A583A"/>
    <w:rsid w:val="002A586B"/>
    <w:rsid w:val="002A58BF"/>
    <w:rsid w:val="002A5C1E"/>
    <w:rsid w:val="002A5C7F"/>
    <w:rsid w:val="002A5DB1"/>
    <w:rsid w:val="002A5DFE"/>
    <w:rsid w:val="002A605A"/>
    <w:rsid w:val="002A60CB"/>
    <w:rsid w:val="002A6174"/>
    <w:rsid w:val="002A6222"/>
    <w:rsid w:val="002A6232"/>
    <w:rsid w:val="002A633F"/>
    <w:rsid w:val="002A63B2"/>
    <w:rsid w:val="002A63D9"/>
    <w:rsid w:val="002A644C"/>
    <w:rsid w:val="002A66AF"/>
    <w:rsid w:val="002A66F0"/>
    <w:rsid w:val="002A6788"/>
    <w:rsid w:val="002A67E8"/>
    <w:rsid w:val="002A6830"/>
    <w:rsid w:val="002A68EA"/>
    <w:rsid w:val="002A6981"/>
    <w:rsid w:val="002A69D5"/>
    <w:rsid w:val="002A69E2"/>
    <w:rsid w:val="002A6AAA"/>
    <w:rsid w:val="002A6C03"/>
    <w:rsid w:val="002A6C11"/>
    <w:rsid w:val="002A6DE4"/>
    <w:rsid w:val="002A6E17"/>
    <w:rsid w:val="002A70B7"/>
    <w:rsid w:val="002A71A1"/>
    <w:rsid w:val="002A71A7"/>
    <w:rsid w:val="002A730B"/>
    <w:rsid w:val="002A734E"/>
    <w:rsid w:val="002A740F"/>
    <w:rsid w:val="002A7535"/>
    <w:rsid w:val="002A756F"/>
    <w:rsid w:val="002A767D"/>
    <w:rsid w:val="002A7694"/>
    <w:rsid w:val="002A77C6"/>
    <w:rsid w:val="002A77E6"/>
    <w:rsid w:val="002A7807"/>
    <w:rsid w:val="002A7856"/>
    <w:rsid w:val="002A7E9E"/>
    <w:rsid w:val="002A7FA4"/>
    <w:rsid w:val="002AF9AE"/>
    <w:rsid w:val="002B00B6"/>
    <w:rsid w:val="002B00B8"/>
    <w:rsid w:val="002B02FD"/>
    <w:rsid w:val="002B0421"/>
    <w:rsid w:val="002B04C9"/>
    <w:rsid w:val="002B05C1"/>
    <w:rsid w:val="002B0756"/>
    <w:rsid w:val="002B07F3"/>
    <w:rsid w:val="002B0987"/>
    <w:rsid w:val="002B0A25"/>
    <w:rsid w:val="002B0B45"/>
    <w:rsid w:val="002B0E38"/>
    <w:rsid w:val="002B0E8C"/>
    <w:rsid w:val="002B0F61"/>
    <w:rsid w:val="002B0FAB"/>
    <w:rsid w:val="002B1136"/>
    <w:rsid w:val="002B1242"/>
    <w:rsid w:val="002B1345"/>
    <w:rsid w:val="002B135F"/>
    <w:rsid w:val="002B139C"/>
    <w:rsid w:val="002B13D0"/>
    <w:rsid w:val="002B13E4"/>
    <w:rsid w:val="002B14D9"/>
    <w:rsid w:val="002B14F9"/>
    <w:rsid w:val="002B165F"/>
    <w:rsid w:val="002B18B4"/>
    <w:rsid w:val="002B18D9"/>
    <w:rsid w:val="002B1909"/>
    <w:rsid w:val="002B19AC"/>
    <w:rsid w:val="002B19B4"/>
    <w:rsid w:val="002B1A5D"/>
    <w:rsid w:val="002B1BA3"/>
    <w:rsid w:val="002B1D31"/>
    <w:rsid w:val="002B1D4A"/>
    <w:rsid w:val="002B1D5B"/>
    <w:rsid w:val="002B1D83"/>
    <w:rsid w:val="002B1FDF"/>
    <w:rsid w:val="002B2078"/>
    <w:rsid w:val="002B23DF"/>
    <w:rsid w:val="002B246C"/>
    <w:rsid w:val="002B2495"/>
    <w:rsid w:val="002B2681"/>
    <w:rsid w:val="002B26EA"/>
    <w:rsid w:val="002B26FC"/>
    <w:rsid w:val="002B26FE"/>
    <w:rsid w:val="002B299D"/>
    <w:rsid w:val="002B29FD"/>
    <w:rsid w:val="002B2ABA"/>
    <w:rsid w:val="002B2B00"/>
    <w:rsid w:val="002B2BAC"/>
    <w:rsid w:val="002B2CB1"/>
    <w:rsid w:val="002B2CBA"/>
    <w:rsid w:val="002B2E03"/>
    <w:rsid w:val="002B2FAC"/>
    <w:rsid w:val="002B3045"/>
    <w:rsid w:val="002B32A3"/>
    <w:rsid w:val="002B35A3"/>
    <w:rsid w:val="002B35C1"/>
    <w:rsid w:val="002B3837"/>
    <w:rsid w:val="002B3881"/>
    <w:rsid w:val="002B390C"/>
    <w:rsid w:val="002B39FA"/>
    <w:rsid w:val="002B3AEA"/>
    <w:rsid w:val="002B3CE5"/>
    <w:rsid w:val="002B3DFD"/>
    <w:rsid w:val="002B3EDB"/>
    <w:rsid w:val="002B3FB4"/>
    <w:rsid w:val="002B41FF"/>
    <w:rsid w:val="002B425B"/>
    <w:rsid w:val="002B43BF"/>
    <w:rsid w:val="002B4404"/>
    <w:rsid w:val="002B44D4"/>
    <w:rsid w:val="002B4827"/>
    <w:rsid w:val="002B48A8"/>
    <w:rsid w:val="002B4902"/>
    <w:rsid w:val="002B4919"/>
    <w:rsid w:val="002B4973"/>
    <w:rsid w:val="002B4A32"/>
    <w:rsid w:val="002B4CE6"/>
    <w:rsid w:val="002B4DC7"/>
    <w:rsid w:val="002B4F72"/>
    <w:rsid w:val="002B4F88"/>
    <w:rsid w:val="002B524C"/>
    <w:rsid w:val="002B52CC"/>
    <w:rsid w:val="002B53E1"/>
    <w:rsid w:val="002B53F7"/>
    <w:rsid w:val="002B5508"/>
    <w:rsid w:val="002B55D9"/>
    <w:rsid w:val="002B56E9"/>
    <w:rsid w:val="002B5741"/>
    <w:rsid w:val="002B574C"/>
    <w:rsid w:val="002B577C"/>
    <w:rsid w:val="002B57DA"/>
    <w:rsid w:val="002B58E4"/>
    <w:rsid w:val="002B5BC3"/>
    <w:rsid w:val="002B5BEC"/>
    <w:rsid w:val="002B5C4C"/>
    <w:rsid w:val="002B5CDB"/>
    <w:rsid w:val="002B5DA8"/>
    <w:rsid w:val="002B63DC"/>
    <w:rsid w:val="002B6631"/>
    <w:rsid w:val="002B6873"/>
    <w:rsid w:val="002B6875"/>
    <w:rsid w:val="002B69F0"/>
    <w:rsid w:val="002B6B12"/>
    <w:rsid w:val="002B6B16"/>
    <w:rsid w:val="002B6B6A"/>
    <w:rsid w:val="002B6C02"/>
    <w:rsid w:val="002B6CD2"/>
    <w:rsid w:val="002B6D1C"/>
    <w:rsid w:val="002B6F02"/>
    <w:rsid w:val="002B6F9A"/>
    <w:rsid w:val="002B70F7"/>
    <w:rsid w:val="002B71E6"/>
    <w:rsid w:val="002B7228"/>
    <w:rsid w:val="002B72CB"/>
    <w:rsid w:val="002B74E7"/>
    <w:rsid w:val="002B78BB"/>
    <w:rsid w:val="002B78DB"/>
    <w:rsid w:val="002B78F6"/>
    <w:rsid w:val="002B7BCC"/>
    <w:rsid w:val="002B7C2C"/>
    <w:rsid w:val="002B7C2D"/>
    <w:rsid w:val="002B7F82"/>
    <w:rsid w:val="002C0125"/>
    <w:rsid w:val="002C0204"/>
    <w:rsid w:val="002C0233"/>
    <w:rsid w:val="002C033C"/>
    <w:rsid w:val="002C037A"/>
    <w:rsid w:val="002C03E2"/>
    <w:rsid w:val="002C041F"/>
    <w:rsid w:val="002C04BD"/>
    <w:rsid w:val="002C050A"/>
    <w:rsid w:val="002C0646"/>
    <w:rsid w:val="002C0697"/>
    <w:rsid w:val="002C0976"/>
    <w:rsid w:val="002C098D"/>
    <w:rsid w:val="002C0A07"/>
    <w:rsid w:val="002C0A89"/>
    <w:rsid w:val="002C0B21"/>
    <w:rsid w:val="002C0B2A"/>
    <w:rsid w:val="002C0B74"/>
    <w:rsid w:val="002C0BEF"/>
    <w:rsid w:val="002C0C81"/>
    <w:rsid w:val="002C0D15"/>
    <w:rsid w:val="002C0D86"/>
    <w:rsid w:val="002C0EAD"/>
    <w:rsid w:val="002C107F"/>
    <w:rsid w:val="002C10EE"/>
    <w:rsid w:val="002C1402"/>
    <w:rsid w:val="002C14AC"/>
    <w:rsid w:val="002C15D9"/>
    <w:rsid w:val="002C1703"/>
    <w:rsid w:val="002C17AB"/>
    <w:rsid w:val="002C18DA"/>
    <w:rsid w:val="002C1A17"/>
    <w:rsid w:val="002C1BE8"/>
    <w:rsid w:val="002C1C02"/>
    <w:rsid w:val="002C1C44"/>
    <w:rsid w:val="002C1C51"/>
    <w:rsid w:val="002C1CCB"/>
    <w:rsid w:val="002C1E84"/>
    <w:rsid w:val="002C1E93"/>
    <w:rsid w:val="002C1EE3"/>
    <w:rsid w:val="002C1F1C"/>
    <w:rsid w:val="002C2010"/>
    <w:rsid w:val="002C20FA"/>
    <w:rsid w:val="002C2104"/>
    <w:rsid w:val="002C227A"/>
    <w:rsid w:val="002C2685"/>
    <w:rsid w:val="002C270E"/>
    <w:rsid w:val="002C2918"/>
    <w:rsid w:val="002C293A"/>
    <w:rsid w:val="002C29D0"/>
    <w:rsid w:val="002C2ED3"/>
    <w:rsid w:val="002C3217"/>
    <w:rsid w:val="002C32AD"/>
    <w:rsid w:val="002C3326"/>
    <w:rsid w:val="002C3367"/>
    <w:rsid w:val="002C344A"/>
    <w:rsid w:val="002C346D"/>
    <w:rsid w:val="002C34B1"/>
    <w:rsid w:val="002C3806"/>
    <w:rsid w:val="002C381E"/>
    <w:rsid w:val="002C3883"/>
    <w:rsid w:val="002C3938"/>
    <w:rsid w:val="002C394C"/>
    <w:rsid w:val="002C3A1C"/>
    <w:rsid w:val="002C3B1F"/>
    <w:rsid w:val="002C3B75"/>
    <w:rsid w:val="002C3F6D"/>
    <w:rsid w:val="002C4006"/>
    <w:rsid w:val="002C409A"/>
    <w:rsid w:val="002C40C7"/>
    <w:rsid w:val="002C40F7"/>
    <w:rsid w:val="002C41A5"/>
    <w:rsid w:val="002C43BD"/>
    <w:rsid w:val="002C4BA7"/>
    <w:rsid w:val="002C4C3D"/>
    <w:rsid w:val="002C4E2B"/>
    <w:rsid w:val="002C4F4F"/>
    <w:rsid w:val="002C5040"/>
    <w:rsid w:val="002C5241"/>
    <w:rsid w:val="002C529E"/>
    <w:rsid w:val="002C52E5"/>
    <w:rsid w:val="002C53CD"/>
    <w:rsid w:val="002C53F2"/>
    <w:rsid w:val="002C5410"/>
    <w:rsid w:val="002C5549"/>
    <w:rsid w:val="002C55B4"/>
    <w:rsid w:val="002C56A3"/>
    <w:rsid w:val="002C5764"/>
    <w:rsid w:val="002C583E"/>
    <w:rsid w:val="002C584A"/>
    <w:rsid w:val="002C5892"/>
    <w:rsid w:val="002C59CA"/>
    <w:rsid w:val="002C5A05"/>
    <w:rsid w:val="002C5A9A"/>
    <w:rsid w:val="002C5AEE"/>
    <w:rsid w:val="002C5C63"/>
    <w:rsid w:val="002C5DF2"/>
    <w:rsid w:val="002C5E44"/>
    <w:rsid w:val="002C5E5E"/>
    <w:rsid w:val="002C609C"/>
    <w:rsid w:val="002C642A"/>
    <w:rsid w:val="002C6435"/>
    <w:rsid w:val="002C65E7"/>
    <w:rsid w:val="002C65EB"/>
    <w:rsid w:val="002C66AF"/>
    <w:rsid w:val="002C66BA"/>
    <w:rsid w:val="002C66BF"/>
    <w:rsid w:val="002C6705"/>
    <w:rsid w:val="002C67A6"/>
    <w:rsid w:val="002C6959"/>
    <w:rsid w:val="002C6A71"/>
    <w:rsid w:val="002C6B25"/>
    <w:rsid w:val="002C6B77"/>
    <w:rsid w:val="002C6BE5"/>
    <w:rsid w:val="002C6C51"/>
    <w:rsid w:val="002C6CD7"/>
    <w:rsid w:val="002C6D2D"/>
    <w:rsid w:val="002C6D87"/>
    <w:rsid w:val="002C6F63"/>
    <w:rsid w:val="002C7055"/>
    <w:rsid w:val="002C7119"/>
    <w:rsid w:val="002C7192"/>
    <w:rsid w:val="002C7271"/>
    <w:rsid w:val="002C72C6"/>
    <w:rsid w:val="002C735E"/>
    <w:rsid w:val="002C746D"/>
    <w:rsid w:val="002C7486"/>
    <w:rsid w:val="002C7637"/>
    <w:rsid w:val="002C76B7"/>
    <w:rsid w:val="002C7914"/>
    <w:rsid w:val="002C7955"/>
    <w:rsid w:val="002C7981"/>
    <w:rsid w:val="002C7ABB"/>
    <w:rsid w:val="002C7BAE"/>
    <w:rsid w:val="002C7CDD"/>
    <w:rsid w:val="002C7D8E"/>
    <w:rsid w:val="002C7DD8"/>
    <w:rsid w:val="002C7DFF"/>
    <w:rsid w:val="002C7E83"/>
    <w:rsid w:val="002C7EE8"/>
    <w:rsid w:val="002C7F00"/>
    <w:rsid w:val="002C9AAE"/>
    <w:rsid w:val="002CEF79"/>
    <w:rsid w:val="002D0070"/>
    <w:rsid w:val="002D0147"/>
    <w:rsid w:val="002D02E6"/>
    <w:rsid w:val="002D0413"/>
    <w:rsid w:val="002D0553"/>
    <w:rsid w:val="002D069D"/>
    <w:rsid w:val="002D071E"/>
    <w:rsid w:val="002D080B"/>
    <w:rsid w:val="002D08AC"/>
    <w:rsid w:val="002D09BA"/>
    <w:rsid w:val="002D09FD"/>
    <w:rsid w:val="002D0AB8"/>
    <w:rsid w:val="002D0C72"/>
    <w:rsid w:val="002D0D08"/>
    <w:rsid w:val="002D0D4B"/>
    <w:rsid w:val="002D0E62"/>
    <w:rsid w:val="002D1118"/>
    <w:rsid w:val="002D1130"/>
    <w:rsid w:val="002D1211"/>
    <w:rsid w:val="002D1589"/>
    <w:rsid w:val="002D167C"/>
    <w:rsid w:val="002D1840"/>
    <w:rsid w:val="002D1880"/>
    <w:rsid w:val="002D18A7"/>
    <w:rsid w:val="002D199A"/>
    <w:rsid w:val="002D19EF"/>
    <w:rsid w:val="002D1A18"/>
    <w:rsid w:val="002D1ABC"/>
    <w:rsid w:val="002D1BA3"/>
    <w:rsid w:val="002D1CBD"/>
    <w:rsid w:val="002D1E3C"/>
    <w:rsid w:val="002D1E5F"/>
    <w:rsid w:val="002D1EB2"/>
    <w:rsid w:val="002D21B5"/>
    <w:rsid w:val="002D2581"/>
    <w:rsid w:val="002D25D2"/>
    <w:rsid w:val="002D2663"/>
    <w:rsid w:val="002D2664"/>
    <w:rsid w:val="002D27CC"/>
    <w:rsid w:val="002D2807"/>
    <w:rsid w:val="002D29F0"/>
    <w:rsid w:val="002D2AFE"/>
    <w:rsid w:val="002D2B88"/>
    <w:rsid w:val="002D2BD3"/>
    <w:rsid w:val="002D2BFD"/>
    <w:rsid w:val="002D2C79"/>
    <w:rsid w:val="002D3046"/>
    <w:rsid w:val="002D304F"/>
    <w:rsid w:val="002D320C"/>
    <w:rsid w:val="002D3418"/>
    <w:rsid w:val="002D34AB"/>
    <w:rsid w:val="002D3671"/>
    <w:rsid w:val="002D3686"/>
    <w:rsid w:val="002D372F"/>
    <w:rsid w:val="002D37DD"/>
    <w:rsid w:val="002D390F"/>
    <w:rsid w:val="002D3A61"/>
    <w:rsid w:val="002D3AE7"/>
    <w:rsid w:val="002D3AF3"/>
    <w:rsid w:val="002D3B47"/>
    <w:rsid w:val="002D3B69"/>
    <w:rsid w:val="002D3BD3"/>
    <w:rsid w:val="002D3D0C"/>
    <w:rsid w:val="002D3D4E"/>
    <w:rsid w:val="002D3DE3"/>
    <w:rsid w:val="002D3E84"/>
    <w:rsid w:val="002D3E8E"/>
    <w:rsid w:val="002D3FBE"/>
    <w:rsid w:val="002D40F6"/>
    <w:rsid w:val="002D4194"/>
    <w:rsid w:val="002D42B1"/>
    <w:rsid w:val="002D42DC"/>
    <w:rsid w:val="002D4346"/>
    <w:rsid w:val="002D43B2"/>
    <w:rsid w:val="002D459E"/>
    <w:rsid w:val="002D4633"/>
    <w:rsid w:val="002D468C"/>
    <w:rsid w:val="002D4789"/>
    <w:rsid w:val="002D4C56"/>
    <w:rsid w:val="002D4DAE"/>
    <w:rsid w:val="002D4E28"/>
    <w:rsid w:val="002D4EB2"/>
    <w:rsid w:val="002D5017"/>
    <w:rsid w:val="002D5090"/>
    <w:rsid w:val="002D5209"/>
    <w:rsid w:val="002D53CC"/>
    <w:rsid w:val="002D5464"/>
    <w:rsid w:val="002D54EB"/>
    <w:rsid w:val="002D5892"/>
    <w:rsid w:val="002D5A70"/>
    <w:rsid w:val="002D5B36"/>
    <w:rsid w:val="002D5BFC"/>
    <w:rsid w:val="002D5C5B"/>
    <w:rsid w:val="002D5C8A"/>
    <w:rsid w:val="002D5CDC"/>
    <w:rsid w:val="002D5CE0"/>
    <w:rsid w:val="002D5DD0"/>
    <w:rsid w:val="002D5EE9"/>
    <w:rsid w:val="002D5F05"/>
    <w:rsid w:val="002D5F37"/>
    <w:rsid w:val="002D5FAA"/>
    <w:rsid w:val="002D605B"/>
    <w:rsid w:val="002D638C"/>
    <w:rsid w:val="002D63B2"/>
    <w:rsid w:val="002D645E"/>
    <w:rsid w:val="002D64B4"/>
    <w:rsid w:val="002D64B5"/>
    <w:rsid w:val="002D64DE"/>
    <w:rsid w:val="002D653A"/>
    <w:rsid w:val="002D65FD"/>
    <w:rsid w:val="002D66AA"/>
    <w:rsid w:val="002D6B95"/>
    <w:rsid w:val="002D6BE0"/>
    <w:rsid w:val="002D6CA2"/>
    <w:rsid w:val="002D6E04"/>
    <w:rsid w:val="002D6E4A"/>
    <w:rsid w:val="002D6F6A"/>
    <w:rsid w:val="002D6F8C"/>
    <w:rsid w:val="002D70C3"/>
    <w:rsid w:val="002D721E"/>
    <w:rsid w:val="002D72F7"/>
    <w:rsid w:val="002D73E6"/>
    <w:rsid w:val="002D74EE"/>
    <w:rsid w:val="002D754B"/>
    <w:rsid w:val="002D75FB"/>
    <w:rsid w:val="002D7613"/>
    <w:rsid w:val="002D7627"/>
    <w:rsid w:val="002D774B"/>
    <w:rsid w:val="002D7862"/>
    <w:rsid w:val="002D7895"/>
    <w:rsid w:val="002D797B"/>
    <w:rsid w:val="002D7A33"/>
    <w:rsid w:val="002D7A72"/>
    <w:rsid w:val="002D7A82"/>
    <w:rsid w:val="002D7AE7"/>
    <w:rsid w:val="002D7AF8"/>
    <w:rsid w:val="002D7B47"/>
    <w:rsid w:val="002D7B4A"/>
    <w:rsid w:val="002D7C91"/>
    <w:rsid w:val="002D7D55"/>
    <w:rsid w:val="002D7D64"/>
    <w:rsid w:val="002D7D84"/>
    <w:rsid w:val="002D7E2F"/>
    <w:rsid w:val="002E014A"/>
    <w:rsid w:val="002E023E"/>
    <w:rsid w:val="002E0475"/>
    <w:rsid w:val="002E051F"/>
    <w:rsid w:val="002E052F"/>
    <w:rsid w:val="002E05A3"/>
    <w:rsid w:val="002E0757"/>
    <w:rsid w:val="002E07BF"/>
    <w:rsid w:val="002E0841"/>
    <w:rsid w:val="002E0905"/>
    <w:rsid w:val="002E0953"/>
    <w:rsid w:val="002E0B83"/>
    <w:rsid w:val="002E0BE7"/>
    <w:rsid w:val="002E0DFA"/>
    <w:rsid w:val="002E0E46"/>
    <w:rsid w:val="002E1005"/>
    <w:rsid w:val="002E10D8"/>
    <w:rsid w:val="002E1121"/>
    <w:rsid w:val="002E11B8"/>
    <w:rsid w:val="002E153B"/>
    <w:rsid w:val="002E159D"/>
    <w:rsid w:val="002E15EF"/>
    <w:rsid w:val="002E168E"/>
    <w:rsid w:val="002E1884"/>
    <w:rsid w:val="002E1ACE"/>
    <w:rsid w:val="002E1AD5"/>
    <w:rsid w:val="002E1BBE"/>
    <w:rsid w:val="002E1C09"/>
    <w:rsid w:val="002E1EA3"/>
    <w:rsid w:val="002E1F2E"/>
    <w:rsid w:val="002E2199"/>
    <w:rsid w:val="002E2280"/>
    <w:rsid w:val="002E2344"/>
    <w:rsid w:val="002E23EC"/>
    <w:rsid w:val="002E248A"/>
    <w:rsid w:val="002E2521"/>
    <w:rsid w:val="002E2528"/>
    <w:rsid w:val="002E259D"/>
    <w:rsid w:val="002E25DB"/>
    <w:rsid w:val="002E2606"/>
    <w:rsid w:val="002E2721"/>
    <w:rsid w:val="002E2781"/>
    <w:rsid w:val="002E2846"/>
    <w:rsid w:val="002E291D"/>
    <w:rsid w:val="002E2926"/>
    <w:rsid w:val="002E292C"/>
    <w:rsid w:val="002E293C"/>
    <w:rsid w:val="002E2D40"/>
    <w:rsid w:val="002E2DE1"/>
    <w:rsid w:val="002E2F47"/>
    <w:rsid w:val="002E2F64"/>
    <w:rsid w:val="002E2F8B"/>
    <w:rsid w:val="002E2FEE"/>
    <w:rsid w:val="002E3106"/>
    <w:rsid w:val="002E3177"/>
    <w:rsid w:val="002E327A"/>
    <w:rsid w:val="002E338E"/>
    <w:rsid w:val="002E3419"/>
    <w:rsid w:val="002E3464"/>
    <w:rsid w:val="002E351E"/>
    <w:rsid w:val="002E3530"/>
    <w:rsid w:val="002E3548"/>
    <w:rsid w:val="002E3559"/>
    <w:rsid w:val="002E359E"/>
    <w:rsid w:val="002E3611"/>
    <w:rsid w:val="002E3665"/>
    <w:rsid w:val="002E36F7"/>
    <w:rsid w:val="002E377F"/>
    <w:rsid w:val="002E386F"/>
    <w:rsid w:val="002E3899"/>
    <w:rsid w:val="002E3AE3"/>
    <w:rsid w:val="002E3B3F"/>
    <w:rsid w:val="002E3BAC"/>
    <w:rsid w:val="002E3D26"/>
    <w:rsid w:val="002E3E29"/>
    <w:rsid w:val="002E3EA1"/>
    <w:rsid w:val="002E3F7B"/>
    <w:rsid w:val="002E4077"/>
    <w:rsid w:val="002E4140"/>
    <w:rsid w:val="002E4174"/>
    <w:rsid w:val="002E436B"/>
    <w:rsid w:val="002E4486"/>
    <w:rsid w:val="002E44B9"/>
    <w:rsid w:val="002E44C0"/>
    <w:rsid w:val="002E4631"/>
    <w:rsid w:val="002E49F5"/>
    <w:rsid w:val="002E4A1C"/>
    <w:rsid w:val="002E4A6E"/>
    <w:rsid w:val="002E4C0D"/>
    <w:rsid w:val="002E4C4E"/>
    <w:rsid w:val="002E4CA6"/>
    <w:rsid w:val="002E4CBB"/>
    <w:rsid w:val="002E4CF6"/>
    <w:rsid w:val="002E4E0A"/>
    <w:rsid w:val="002E4E4F"/>
    <w:rsid w:val="002E4EF3"/>
    <w:rsid w:val="002E50A2"/>
    <w:rsid w:val="002E5124"/>
    <w:rsid w:val="002E52AA"/>
    <w:rsid w:val="002E54FB"/>
    <w:rsid w:val="002E5642"/>
    <w:rsid w:val="002E566B"/>
    <w:rsid w:val="002E5677"/>
    <w:rsid w:val="002E57BF"/>
    <w:rsid w:val="002E5A9D"/>
    <w:rsid w:val="002E5AB3"/>
    <w:rsid w:val="002E5CD6"/>
    <w:rsid w:val="002E5DB9"/>
    <w:rsid w:val="002E5DD8"/>
    <w:rsid w:val="002E5EA2"/>
    <w:rsid w:val="002E5F98"/>
    <w:rsid w:val="002E601D"/>
    <w:rsid w:val="002E61FC"/>
    <w:rsid w:val="002E6290"/>
    <w:rsid w:val="002E6314"/>
    <w:rsid w:val="002E6350"/>
    <w:rsid w:val="002E64A5"/>
    <w:rsid w:val="002E64FD"/>
    <w:rsid w:val="002E6549"/>
    <w:rsid w:val="002E654F"/>
    <w:rsid w:val="002E6610"/>
    <w:rsid w:val="002E6613"/>
    <w:rsid w:val="002E66A8"/>
    <w:rsid w:val="002E66F5"/>
    <w:rsid w:val="002E67F1"/>
    <w:rsid w:val="002E6815"/>
    <w:rsid w:val="002E6B84"/>
    <w:rsid w:val="002E6CD8"/>
    <w:rsid w:val="002E6E32"/>
    <w:rsid w:val="002E6F92"/>
    <w:rsid w:val="002E70CE"/>
    <w:rsid w:val="002E70FE"/>
    <w:rsid w:val="002E7176"/>
    <w:rsid w:val="002E7297"/>
    <w:rsid w:val="002E72A4"/>
    <w:rsid w:val="002E72BF"/>
    <w:rsid w:val="002E7441"/>
    <w:rsid w:val="002E7456"/>
    <w:rsid w:val="002E765F"/>
    <w:rsid w:val="002E7676"/>
    <w:rsid w:val="002E76B8"/>
    <w:rsid w:val="002E7736"/>
    <w:rsid w:val="002E778C"/>
    <w:rsid w:val="002E785C"/>
    <w:rsid w:val="002E7909"/>
    <w:rsid w:val="002E798F"/>
    <w:rsid w:val="002E7A0C"/>
    <w:rsid w:val="002E7A4B"/>
    <w:rsid w:val="002E7D34"/>
    <w:rsid w:val="002F001C"/>
    <w:rsid w:val="002F0220"/>
    <w:rsid w:val="002F02A4"/>
    <w:rsid w:val="002F04CC"/>
    <w:rsid w:val="002F0675"/>
    <w:rsid w:val="002F0676"/>
    <w:rsid w:val="002F0751"/>
    <w:rsid w:val="002F0786"/>
    <w:rsid w:val="002F07A2"/>
    <w:rsid w:val="002F0BFC"/>
    <w:rsid w:val="002F0C8E"/>
    <w:rsid w:val="002F0D9F"/>
    <w:rsid w:val="002F0DD8"/>
    <w:rsid w:val="002F0EB1"/>
    <w:rsid w:val="002F0F32"/>
    <w:rsid w:val="002F0F35"/>
    <w:rsid w:val="002F0F36"/>
    <w:rsid w:val="002F1044"/>
    <w:rsid w:val="002F1057"/>
    <w:rsid w:val="002F1162"/>
    <w:rsid w:val="002F1242"/>
    <w:rsid w:val="002F125E"/>
    <w:rsid w:val="002F12C6"/>
    <w:rsid w:val="002F1433"/>
    <w:rsid w:val="002F144F"/>
    <w:rsid w:val="002F14B9"/>
    <w:rsid w:val="002F1570"/>
    <w:rsid w:val="002F15CB"/>
    <w:rsid w:val="002F15E1"/>
    <w:rsid w:val="002F16CA"/>
    <w:rsid w:val="002F17C1"/>
    <w:rsid w:val="002F1947"/>
    <w:rsid w:val="002F1B7B"/>
    <w:rsid w:val="002F1B92"/>
    <w:rsid w:val="002F1CAB"/>
    <w:rsid w:val="002F1D11"/>
    <w:rsid w:val="002F1D9B"/>
    <w:rsid w:val="002F2318"/>
    <w:rsid w:val="002F23C6"/>
    <w:rsid w:val="002F24F4"/>
    <w:rsid w:val="002F26D5"/>
    <w:rsid w:val="002F277D"/>
    <w:rsid w:val="002F2958"/>
    <w:rsid w:val="002F2A60"/>
    <w:rsid w:val="002F2B9D"/>
    <w:rsid w:val="002F2C6F"/>
    <w:rsid w:val="002F2CC5"/>
    <w:rsid w:val="002F2E84"/>
    <w:rsid w:val="002F2F24"/>
    <w:rsid w:val="002F2F91"/>
    <w:rsid w:val="002F2FBA"/>
    <w:rsid w:val="002F31A3"/>
    <w:rsid w:val="002F34D7"/>
    <w:rsid w:val="002F350C"/>
    <w:rsid w:val="002F3792"/>
    <w:rsid w:val="002F380E"/>
    <w:rsid w:val="002F3898"/>
    <w:rsid w:val="002F3974"/>
    <w:rsid w:val="002F3A21"/>
    <w:rsid w:val="002F3A3F"/>
    <w:rsid w:val="002F3ABE"/>
    <w:rsid w:val="002F3B3B"/>
    <w:rsid w:val="002F3C16"/>
    <w:rsid w:val="002F3D43"/>
    <w:rsid w:val="002F3ECC"/>
    <w:rsid w:val="002F3F7B"/>
    <w:rsid w:val="002F3FE6"/>
    <w:rsid w:val="002F4134"/>
    <w:rsid w:val="002F41B6"/>
    <w:rsid w:val="002F4293"/>
    <w:rsid w:val="002F4554"/>
    <w:rsid w:val="002F45C8"/>
    <w:rsid w:val="002F45DE"/>
    <w:rsid w:val="002F47C4"/>
    <w:rsid w:val="002F4822"/>
    <w:rsid w:val="002F48DB"/>
    <w:rsid w:val="002F499B"/>
    <w:rsid w:val="002F4A6E"/>
    <w:rsid w:val="002F4B56"/>
    <w:rsid w:val="002F4D18"/>
    <w:rsid w:val="002F4DAA"/>
    <w:rsid w:val="002F5085"/>
    <w:rsid w:val="002F5141"/>
    <w:rsid w:val="002F5297"/>
    <w:rsid w:val="002F5299"/>
    <w:rsid w:val="002F5422"/>
    <w:rsid w:val="002F5519"/>
    <w:rsid w:val="002F55B4"/>
    <w:rsid w:val="002F56D4"/>
    <w:rsid w:val="002F5818"/>
    <w:rsid w:val="002F5AE6"/>
    <w:rsid w:val="002F5BD3"/>
    <w:rsid w:val="002F5BEA"/>
    <w:rsid w:val="002F5D93"/>
    <w:rsid w:val="002F5F3B"/>
    <w:rsid w:val="002F5FC0"/>
    <w:rsid w:val="002F600B"/>
    <w:rsid w:val="002F6172"/>
    <w:rsid w:val="002F6223"/>
    <w:rsid w:val="002F6272"/>
    <w:rsid w:val="002F63E9"/>
    <w:rsid w:val="002F6423"/>
    <w:rsid w:val="002F6475"/>
    <w:rsid w:val="002F6740"/>
    <w:rsid w:val="002F67B5"/>
    <w:rsid w:val="002F697C"/>
    <w:rsid w:val="002F69CD"/>
    <w:rsid w:val="002F6B29"/>
    <w:rsid w:val="002F6B34"/>
    <w:rsid w:val="002F6BA5"/>
    <w:rsid w:val="002F6C24"/>
    <w:rsid w:val="002F6C4E"/>
    <w:rsid w:val="002F6DAE"/>
    <w:rsid w:val="002F714B"/>
    <w:rsid w:val="002F7150"/>
    <w:rsid w:val="002F72FC"/>
    <w:rsid w:val="002F7406"/>
    <w:rsid w:val="002F7451"/>
    <w:rsid w:val="002F74AC"/>
    <w:rsid w:val="002F76E5"/>
    <w:rsid w:val="002F779A"/>
    <w:rsid w:val="002F77A5"/>
    <w:rsid w:val="002F7924"/>
    <w:rsid w:val="002F7934"/>
    <w:rsid w:val="002F795F"/>
    <w:rsid w:val="002F7A17"/>
    <w:rsid w:val="002F7B4C"/>
    <w:rsid w:val="002F7C3B"/>
    <w:rsid w:val="002F7CAB"/>
    <w:rsid w:val="002F7DEB"/>
    <w:rsid w:val="002F7F19"/>
    <w:rsid w:val="002F7F59"/>
    <w:rsid w:val="002F7F70"/>
    <w:rsid w:val="00300040"/>
    <w:rsid w:val="00300044"/>
    <w:rsid w:val="00300086"/>
    <w:rsid w:val="003001CB"/>
    <w:rsid w:val="0030036B"/>
    <w:rsid w:val="0030040C"/>
    <w:rsid w:val="0030068F"/>
    <w:rsid w:val="00300818"/>
    <w:rsid w:val="003008AE"/>
    <w:rsid w:val="00300A00"/>
    <w:rsid w:val="00300E32"/>
    <w:rsid w:val="003010AD"/>
    <w:rsid w:val="003010C1"/>
    <w:rsid w:val="003012C7"/>
    <w:rsid w:val="003012F9"/>
    <w:rsid w:val="0030138C"/>
    <w:rsid w:val="0030144D"/>
    <w:rsid w:val="00301890"/>
    <w:rsid w:val="003018CF"/>
    <w:rsid w:val="00301A12"/>
    <w:rsid w:val="00301B29"/>
    <w:rsid w:val="00301BBD"/>
    <w:rsid w:val="00301BE9"/>
    <w:rsid w:val="00301BEB"/>
    <w:rsid w:val="00301E1F"/>
    <w:rsid w:val="00301E72"/>
    <w:rsid w:val="00301EAD"/>
    <w:rsid w:val="00301FEA"/>
    <w:rsid w:val="00302160"/>
    <w:rsid w:val="003022E2"/>
    <w:rsid w:val="00302516"/>
    <w:rsid w:val="00302544"/>
    <w:rsid w:val="00302808"/>
    <w:rsid w:val="0030286A"/>
    <w:rsid w:val="003028FC"/>
    <w:rsid w:val="00302913"/>
    <w:rsid w:val="00302A65"/>
    <w:rsid w:val="00302A7F"/>
    <w:rsid w:val="00302B86"/>
    <w:rsid w:val="00302CB5"/>
    <w:rsid w:val="00302E3C"/>
    <w:rsid w:val="00302E9A"/>
    <w:rsid w:val="0030308A"/>
    <w:rsid w:val="003030A1"/>
    <w:rsid w:val="00303127"/>
    <w:rsid w:val="0030321E"/>
    <w:rsid w:val="0030347F"/>
    <w:rsid w:val="00303493"/>
    <w:rsid w:val="003034BA"/>
    <w:rsid w:val="003034BD"/>
    <w:rsid w:val="00303514"/>
    <w:rsid w:val="003036DD"/>
    <w:rsid w:val="003038F5"/>
    <w:rsid w:val="00303A13"/>
    <w:rsid w:val="00303A2F"/>
    <w:rsid w:val="00303A4A"/>
    <w:rsid w:val="00303B8A"/>
    <w:rsid w:val="00303B99"/>
    <w:rsid w:val="00303D39"/>
    <w:rsid w:val="00303D8B"/>
    <w:rsid w:val="00303E08"/>
    <w:rsid w:val="00303FD3"/>
    <w:rsid w:val="00304022"/>
    <w:rsid w:val="00304054"/>
    <w:rsid w:val="003041D5"/>
    <w:rsid w:val="003041F7"/>
    <w:rsid w:val="00304314"/>
    <w:rsid w:val="0030439E"/>
    <w:rsid w:val="003043A8"/>
    <w:rsid w:val="003044B4"/>
    <w:rsid w:val="00304523"/>
    <w:rsid w:val="003047F0"/>
    <w:rsid w:val="00304899"/>
    <w:rsid w:val="00304993"/>
    <w:rsid w:val="003049EF"/>
    <w:rsid w:val="00304A37"/>
    <w:rsid w:val="00304B0A"/>
    <w:rsid w:val="00304B46"/>
    <w:rsid w:val="00304B94"/>
    <w:rsid w:val="00304E82"/>
    <w:rsid w:val="00305009"/>
    <w:rsid w:val="0030512B"/>
    <w:rsid w:val="00305264"/>
    <w:rsid w:val="00305303"/>
    <w:rsid w:val="0030545D"/>
    <w:rsid w:val="003055AE"/>
    <w:rsid w:val="003056AE"/>
    <w:rsid w:val="0030589C"/>
    <w:rsid w:val="0030597A"/>
    <w:rsid w:val="003059DF"/>
    <w:rsid w:val="00305A1A"/>
    <w:rsid w:val="00305BA9"/>
    <w:rsid w:val="00305E95"/>
    <w:rsid w:val="00305EF4"/>
    <w:rsid w:val="0030602B"/>
    <w:rsid w:val="00306063"/>
    <w:rsid w:val="003060C4"/>
    <w:rsid w:val="00306282"/>
    <w:rsid w:val="003062E3"/>
    <w:rsid w:val="00306342"/>
    <w:rsid w:val="00306457"/>
    <w:rsid w:val="003064A2"/>
    <w:rsid w:val="0030656C"/>
    <w:rsid w:val="003066CB"/>
    <w:rsid w:val="00306779"/>
    <w:rsid w:val="00306889"/>
    <w:rsid w:val="003069C1"/>
    <w:rsid w:val="00306A0A"/>
    <w:rsid w:val="00306B14"/>
    <w:rsid w:val="00306B85"/>
    <w:rsid w:val="00306C62"/>
    <w:rsid w:val="00306DA9"/>
    <w:rsid w:val="00306ED0"/>
    <w:rsid w:val="00306EDA"/>
    <w:rsid w:val="00306EF7"/>
    <w:rsid w:val="00306F66"/>
    <w:rsid w:val="00306FCF"/>
    <w:rsid w:val="00307058"/>
    <w:rsid w:val="003070F7"/>
    <w:rsid w:val="0030710E"/>
    <w:rsid w:val="003072B1"/>
    <w:rsid w:val="00307354"/>
    <w:rsid w:val="0030738C"/>
    <w:rsid w:val="00307395"/>
    <w:rsid w:val="00307490"/>
    <w:rsid w:val="00307A04"/>
    <w:rsid w:val="00307A0F"/>
    <w:rsid w:val="00307A4E"/>
    <w:rsid w:val="00307B10"/>
    <w:rsid w:val="00307BD4"/>
    <w:rsid w:val="00307D2D"/>
    <w:rsid w:val="00307D9F"/>
    <w:rsid w:val="00307DDA"/>
    <w:rsid w:val="00307E95"/>
    <w:rsid w:val="00307EA7"/>
    <w:rsid w:val="00307EAB"/>
    <w:rsid w:val="00307F11"/>
    <w:rsid w:val="00307FE6"/>
    <w:rsid w:val="0030B314"/>
    <w:rsid w:val="00310011"/>
    <w:rsid w:val="00310040"/>
    <w:rsid w:val="003100A7"/>
    <w:rsid w:val="003100B3"/>
    <w:rsid w:val="003101E9"/>
    <w:rsid w:val="00310266"/>
    <w:rsid w:val="00310448"/>
    <w:rsid w:val="00310482"/>
    <w:rsid w:val="003104E5"/>
    <w:rsid w:val="00310525"/>
    <w:rsid w:val="0031066E"/>
    <w:rsid w:val="00310744"/>
    <w:rsid w:val="0031074D"/>
    <w:rsid w:val="0031088E"/>
    <w:rsid w:val="003108BC"/>
    <w:rsid w:val="00310A33"/>
    <w:rsid w:val="00310AA5"/>
    <w:rsid w:val="00310B69"/>
    <w:rsid w:val="00310BFC"/>
    <w:rsid w:val="00310F96"/>
    <w:rsid w:val="00310FD6"/>
    <w:rsid w:val="00311002"/>
    <w:rsid w:val="0031102D"/>
    <w:rsid w:val="0031108B"/>
    <w:rsid w:val="003111C8"/>
    <w:rsid w:val="003113F8"/>
    <w:rsid w:val="00311436"/>
    <w:rsid w:val="00311497"/>
    <w:rsid w:val="0031153C"/>
    <w:rsid w:val="003115D8"/>
    <w:rsid w:val="00311773"/>
    <w:rsid w:val="00311947"/>
    <w:rsid w:val="003119EB"/>
    <w:rsid w:val="00311A3D"/>
    <w:rsid w:val="00311E6A"/>
    <w:rsid w:val="00311F67"/>
    <w:rsid w:val="00311F6C"/>
    <w:rsid w:val="00312071"/>
    <w:rsid w:val="003122D3"/>
    <w:rsid w:val="003122DA"/>
    <w:rsid w:val="003124AD"/>
    <w:rsid w:val="003124BB"/>
    <w:rsid w:val="003126C2"/>
    <w:rsid w:val="003126C6"/>
    <w:rsid w:val="003126F2"/>
    <w:rsid w:val="00312A13"/>
    <w:rsid w:val="00312B40"/>
    <w:rsid w:val="00312B57"/>
    <w:rsid w:val="00312B80"/>
    <w:rsid w:val="00312CCB"/>
    <w:rsid w:val="00312DAF"/>
    <w:rsid w:val="00312F1B"/>
    <w:rsid w:val="00313193"/>
    <w:rsid w:val="00313227"/>
    <w:rsid w:val="003132D1"/>
    <w:rsid w:val="003132F4"/>
    <w:rsid w:val="00313317"/>
    <w:rsid w:val="0031335B"/>
    <w:rsid w:val="00313458"/>
    <w:rsid w:val="003134F9"/>
    <w:rsid w:val="00313531"/>
    <w:rsid w:val="003136DD"/>
    <w:rsid w:val="00313716"/>
    <w:rsid w:val="003137EE"/>
    <w:rsid w:val="00313869"/>
    <w:rsid w:val="003138DF"/>
    <w:rsid w:val="003138E1"/>
    <w:rsid w:val="00313989"/>
    <w:rsid w:val="003139E3"/>
    <w:rsid w:val="00313A98"/>
    <w:rsid w:val="00313AF4"/>
    <w:rsid w:val="00313B53"/>
    <w:rsid w:val="00313B78"/>
    <w:rsid w:val="00313B89"/>
    <w:rsid w:val="00313DFF"/>
    <w:rsid w:val="00313F45"/>
    <w:rsid w:val="0031400F"/>
    <w:rsid w:val="003140ED"/>
    <w:rsid w:val="00314179"/>
    <w:rsid w:val="003141F4"/>
    <w:rsid w:val="00314293"/>
    <w:rsid w:val="00314311"/>
    <w:rsid w:val="0031436B"/>
    <w:rsid w:val="00314419"/>
    <w:rsid w:val="00314505"/>
    <w:rsid w:val="0031458E"/>
    <w:rsid w:val="003145E8"/>
    <w:rsid w:val="0031497C"/>
    <w:rsid w:val="00314AF9"/>
    <w:rsid w:val="00314BB5"/>
    <w:rsid w:val="00314CB9"/>
    <w:rsid w:val="00314D65"/>
    <w:rsid w:val="00314F1A"/>
    <w:rsid w:val="00315170"/>
    <w:rsid w:val="00315389"/>
    <w:rsid w:val="00315501"/>
    <w:rsid w:val="003155E9"/>
    <w:rsid w:val="003157FB"/>
    <w:rsid w:val="003158C2"/>
    <w:rsid w:val="003159DA"/>
    <w:rsid w:val="00315AD4"/>
    <w:rsid w:val="00315B43"/>
    <w:rsid w:val="00315CBB"/>
    <w:rsid w:val="00315EF1"/>
    <w:rsid w:val="00315F19"/>
    <w:rsid w:val="00315F5C"/>
    <w:rsid w:val="00315F8D"/>
    <w:rsid w:val="0031607C"/>
    <w:rsid w:val="0031612D"/>
    <w:rsid w:val="003164AB"/>
    <w:rsid w:val="00316610"/>
    <w:rsid w:val="0031675A"/>
    <w:rsid w:val="003167AF"/>
    <w:rsid w:val="00316921"/>
    <w:rsid w:val="00316BBE"/>
    <w:rsid w:val="00316D19"/>
    <w:rsid w:val="00316D28"/>
    <w:rsid w:val="00316F84"/>
    <w:rsid w:val="00316FD1"/>
    <w:rsid w:val="00316FEC"/>
    <w:rsid w:val="00317241"/>
    <w:rsid w:val="003173DE"/>
    <w:rsid w:val="00317433"/>
    <w:rsid w:val="00317456"/>
    <w:rsid w:val="00317500"/>
    <w:rsid w:val="003175C1"/>
    <w:rsid w:val="00317674"/>
    <w:rsid w:val="0031769E"/>
    <w:rsid w:val="00317968"/>
    <w:rsid w:val="00317A15"/>
    <w:rsid w:val="00317B92"/>
    <w:rsid w:val="00317BAA"/>
    <w:rsid w:val="00317EBD"/>
    <w:rsid w:val="00317F27"/>
    <w:rsid w:val="0032004D"/>
    <w:rsid w:val="003203FE"/>
    <w:rsid w:val="00320481"/>
    <w:rsid w:val="003204AD"/>
    <w:rsid w:val="003204FF"/>
    <w:rsid w:val="0032055A"/>
    <w:rsid w:val="003205F4"/>
    <w:rsid w:val="0032066B"/>
    <w:rsid w:val="003207B8"/>
    <w:rsid w:val="00320999"/>
    <w:rsid w:val="003209CA"/>
    <w:rsid w:val="00320C97"/>
    <w:rsid w:val="00320EE9"/>
    <w:rsid w:val="003212CC"/>
    <w:rsid w:val="003213A6"/>
    <w:rsid w:val="003213AC"/>
    <w:rsid w:val="0032142D"/>
    <w:rsid w:val="003214E1"/>
    <w:rsid w:val="003214FF"/>
    <w:rsid w:val="00321569"/>
    <w:rsid w:val="00321778"/>
    <w:rsid w:val="0032179B"/>
    <w:rsid w:val="0032184C"/>
    <w:rsid w:val="003218FD"/>
    <w:rsid w:val="003219DC"/>
    <w:rsid w:val="00321A2B"/>
    <w:rsid w:val="00321A4A"/>
    <w:rsid w:val="00321A63"/>
    <w:rsid w:val="00321B19"/>
    <w:rsid w:val="00321B2B"/>
    <w:rsid w:val="00321B76"/>
    <w:rsid w:val="00321C78"/>
    <w:rsid w:val="00321CAE"/>
    <w:rsid w:val="00321D65"/>
    <w:rsid w:val="00321DE6"/>
    <w:rsid w:val="00321E9C"/>
    <w:rsid w:val="00321FF3"/>
    <w:rsid w:val="003220B1"/>
    <w:rsid w:val="00322270"/>
    <w:rsid w:val="003222E3"/>
    <w:rsid w:val="0032239D"/>
    <w:rsid w:val="003223DB"/>
    <w:rsid w:val="003224FC"/>
    <w:rsid w:val="00322689"/>
    <w:rsid w:val="0032271B"/>
    <w:rsid w:val="003227A1"/>
    <w:rsid w:val="003227C9"/>
    <w:rsid w:val="00322A96"/>
    <w:rsid w:val="00322AC1"/>
    <w:rsid w:val="00322BD2"/>
    <w:rsid w:val="00322C96"/>
    <w:rsid w:val="00322D09"/>
    <w:rsid w:val="00322EC2"/>
    <w:rsid w:val="00322EDD"/>
    <w:rsid w:val="00322FE1"/>
    <w:rsid w:val="00323019"/>
    <w:rsid w:val="00323075"/>
    <w:rsid w:val="003231AB"/>
    <w:rsid w:val="00323228"/>
    <w:rsid w:val="003232E5"/>
    <w:rsid w:val="00323330"/>
    <w:rsid w:val="0032337B"/>
    <w:rsid w:val="003233F2"/>
    <w:rsid w:val="0032382F"/>
    <w:rsid w:val="00323853"/>
    <w:rsid w:val="00323962"/>
    <w:rsid w:val="00323B39"/>
    <w:rsid w:val="00323B90"/>
    <w:rsid w:val="00323C9C"/>
    <w:rsid w:val="00323E6A"/>
    <w:rsid w:val="00323ED8"/>
    <w:rsid w:val="00323FF2"/>
    <w:rsid w:val="00324074"/>
    <w:rsid w:val="003241C9"/>
    <w:rsid w:val="003241F5"/>
    <w:rsid w:val="00324231"/>
    <w:rsid w:val="0032448A"/>
    <w:rsid w:val="00324619"/>
    <w:rsid w:val="00324765"/>
    <w:rsid w:val="0032478A"/>
    <w:rsid w:val="00324BE4"/>
    <w:rsid w:val="00324C3C"/>
    <w:rsid w:val="00324C57"/>
    <w:rsid w:val="00324C80"/>
    <w:rsid w:val="00324CD8"/>
    <w:rsid w:val="00324ED5"/>
    <w:rsid w:val="00324F3A"/>
    <w:rsid w:val="00324F53"/>
    <w:rsid w:val="003250D3"/>
    <w:rsid w:val="00325138"/>
    <w:rsid w:val="0032529E"/>
    <w:rsid w:val="003252DA"/>
    <w:rsid w:val="00325305"/>
    <w:rsid w:val="00325393"/>
    <w:rsid w:val="00325734"/>
    <w:rsid w:val="003257D1"/>
    <w:rsid w:val="003257D7"/>
    <w:rsid w:val="0032597E"/>
    <w:rsid w:val="003259D4"/>
    <w:rsid w:val="00325C24"/>
    <w:rsid w:val="00325DF8"/>
    <w:rsid w:val="00326135"/>
    <w:rsid w:val="003261F8"/>
    <w:rsid w:val="003262CC"/>
    <w:rsid w:val="0032638D"/>
    <w:rsid w:val="003263E3"/>
    <w:rsid w:val="00326479"/>
    <w:rsid w:val="003264E9"/>
    <w:rsid w:val="00326680"/>
    <w:rsid w:val="00326750"/>
    <w:rsid w:val="0032675F"/>
    <w:rsid w:val="003267E0"/>
    <w:rsid w:val="003268A3"/>
    <w:rsid w:val="003268C1"/>
    <w:rsid w:val="00326A50"/>
    <w:rsid w:val="00326AC3"/>
    <w:rsid w:val="00326BDB"/>
    <w:rsid w:val="00326C49"/>
    <w:rsid w:val="00326D56"/>
    <w:rsid w:val="00326F2B"/>
    <w:rsid w:val="0032703C"/>
    <w:rsid w:val="0032714D"/>
    <w:rsid w:val="003271B6"/>
    <w:rsid w:val="003272E0"/>
    <w:rsid w:val="00327317"/>
    <w:rsid w:val="00327381"/>
    <w:rsid w:val="00327424"/>
    <w:rsid w:val="00327437"/>
    <w:rsid w:val="00327509"/>
    <w:rsid w:val="003277CE"/>
    <w:rsid w:val="0032786D"/>
    <w:rsid w:val="003278B3"/>
    <w:rsid w:val="00327A2C"/>
    <w:rsid w:val="00327D26"/>
    <w:rsid w:val="00327D4C"/>
    <w:rsid w:val="00327DA5"/>
    <w:rsid w:val="00327DF2"/>
    <w:rsid w:val="00327F88"/>
    <w:rsid w:val="00330005"/>
    <w:rsid w:val="00330037"/>
    <w:rsid w:val="003300CD"/>
    <w:rsid w:val="003301B9"/>
    <w:rsid w:val="0033038F"/>
    <w:rsid w:val="0033056B"/>
    <w:rsid w:val="003305DD"/>
    <w:rsid w:val="00330616"/>
    <w:rsid w:val="003306BF"/>
    <w:rsid w:val="003307EB"/>
    <w:rsid w:val="0033082A"/>
    <w:rsid w:val="003308A7"/>
    <w:rsid w:val="00330AE6"/>
    <w:rsid w:val="00330B10"/>
    <w:rsid w:val="00330B53"/>
    <w:rsid w:val="00330C25"/>
    <w:rsid w:val="00330C3D"/>
    <w:rsid w:val="00330C46"/>
    <w:rsid w:val="00330CBB"/>
    <w:rsid w:val="00330D0A"/>
    <w:rsid w:val="00330D96"/>
    <w:rsid w:val="00330E87"/>
    <w:rsid w:val="00330F35"/>
    <w:rsid w:val="00331140"/>
    <w:rsid w:val="0033132D"/>
    <w:rsid w:val="0033148A"/>
    <w:rsid w:val="00331599"/>
    <w:rsid w:val="00331625"/>
    <w:rsid w:val="0033183C"/>
    <w:rsid w:val="00331875"/>
    <w:rsid w:val="00331989"/>
    <w:rsid w:val="00331A3F"/>
    <w:rsid w:val="00331A52"/>
    <w:rsid w:val="00331C16"/>
    <w:rsid w:val="00331C71"/>
    <w:rsid w:val="00331C83"/>
    <w:rsid w:val="00331D21"/>
    <w:rsid w:val="00331D43"/>
    <w:rsid w:val="00331D45"/>
    <w:rsid w:val="00331DFB"/>
    <w:rsid w:val="00331E4B"/>
    <w:rsid w:val="00331EBF"/>
    <w:rsid w:val="00332081"/>
    <w:rsid w:val="00332099"/>
    <w:rsid w:val="003321A9"/>
    <w:rsid w:val="003321DA"/>
    <w:rsid w:val="00332225"/>
    <w:rsid w:val="003322F1"/>
    <w:rsid w:val="003323C2"/>
    <w:rsid w:val="003324CD"/>
    <w:rsid w:val="0033252C"/>
    <w:rsid w:val="003325A9"/>
    <w:rsid w:val="0033261A"/>
    <w:rsid w:val="0033275F"/>
    <w:rsid w:val="003327A8"/>
    <w:rsid w:val="0033287D"/>
    <w:rsid w:val="003329A0"/>
    <w:rsid w:val="003329E6"/>
    <w:rsid w:val="00332A37"/>
    <w:rsid w:val="00332A3C"/>
    <w:rsid w:val="00332A95"/>
    <w:rsid w:val="00332B00"/>
    <w:rsid w:val="00332C93"/>
    <w:rsid w:val="00332D09"/>
    <w:rsid w:val="00332DB9"/>
    <w:rsid w:val="00332DED"/>
    <w:rsid w:val="003330AA"/>
    <w:rsid w:val="0033316E"/>
    <w:rsid w:val="0033323E"/>
    <w:rsid w:val="00333505"/>
    <w:rsid w:val="00333589"/>
    <w:rsid w:val="003335B2"/>
    <w:rsid w:val="003339D6"/>
    <w:rsid w:val="00333D8B"/>
    <w:rsid w:val="00333DD2"/>
    <w:rsid w:val="00333E65"/>
    <w:rsid w:val="00333F94"/>
    <w:rsid w:val="00334067"/>
    <w:rsid w:val="003340A1"/>
    <w:rsid w:val="0033418A"/>
    <w:rsid w:val="003341F9"/>
    <w:rsid w:val="00334265"/>
    <w:rsid w:val="003343C8"/>
    <w:rsid w:val="00334462"/>
    <w:rsid w:val="00334538"/>
    <w:rsid w:val="00334558"/>
    <w:rsid w:val="003345E5"/>
    <w:rsid w:val="003346FC"/>
    <w:rsid w:val="00334808"/>
    <w:rsid w:val="003348F6"/>
    <w:rsid w:val="003349D7"/>
    <w:rsid w:val="00334B8B"/>
    <w:rsid w:val="00334C1F"/>
    <w:rsid w:val="00334C28"/>
    <w:rsid w:val="00334CBD"/>
    <w:rsid w:val="00334CD1"/>
    <w:rsid w:val="00334CFF"/>
    <w:rsid w:val="00334EAA"/>
    <w:rsid w:val="003350CB"/>
    <w:rsid w:val="003352BB"/>
    <w:rsid w:val="003352D0"/>
    <w:rsid w:val="00335429"/>
    <w:rsid w:val="003354D6"/>
    <w:rsid w:val="0033551C"/>
    <w:rsid w:val="00335535"/>
    <w:rsid w:val="003355C2"/>
    <w:rsid w:val="003356C7"/>
    <w:rsid w:val="003358AC"/>
    <w:rsid w:val="00335937"/>
    <w:rsid w:val="00335DBC"/>
    <w:rsid w:val="00335E6D"/>
    <w:rsid w:val="00335FD1"/>
    <w:rsid w:val="0033617B"/>
    <w:rsid w:val="003363C2"/>
    <w:rsid w:val="003364B9"/>
    <w:rsid w:val="003365D1"/>
    <w:rsid w:val="0033685A"/>
    <w:rsid w:val="0033692A"/>
    <w:rsid w:val="00336A5A"/>
    <w:rsid w:val="00336B68"/>
    <w:rsid w:val="00336CF5"/>
    <w:rsid w:val="00336D16"/>
    <w:rsid w:val="00336DF4"/>
    <w:rsid w:val="00336DFD"/>
    <w:rsid w:val="00336E58"/>
    <w:rsid w:val="00336F2B"/>
    <w:rsid w:val="00336F9E"/>
    <w:rsid w:val="00336FF8"/>
    <w:rsid w:val="0033707B"/>
    <w:rsid w:val="003370E0"/>
    <w:rsid w:val="003372F1"/>
    <w:rsid w:val="0033730A"/>
    <w:rsid w:val="00337357"/>
    <w:rsid w:val="0033736D"/>
    <w:rsid w:val="00337429"/>
    <w:rsid w:val="00337669"/>
    <w:rsid w:val="00337688"/>
    <w:rsid w:val="0033791A"/>
    <w:rsid w:val="003379CC"/>
    <w:rsid w:val="00337B6B"/>
    <w:rsid w:val="00337C60"/>
    <w:rsid w:val="00337E62"/>
    <w:rsid w:val="00337E84"/>
    <w:rsid w:val="00337F41"/>
    <w:rsid w:val="00340016"/>
    <w:rsid w:val="0034011B"/>
    <w:rsid w:val="00340124"/>
    <w:rsid w:val="003402DE"/>
    <w:rsid w:val="00340373"/>
    <w:rsid w:val="0034050E"/>
    <w:rsid w:val="003406C5"/>
    <w:rsid w:val="00340715"/>
    <w:rsid w:val="003408ED"/>
    <w:rsid w:val="00340969"/>
    <w:rsid w:val="00340A6F"/>
    <w:rsid w:val="00340A89"/>
    <w:rsid w:val="00340A94"/>
    <w:rsid w:val="00340B14"/>
    <w:rsid w:val="00340B3B"/>
    <w:rsid w:val="00340BB5"/>
    <w:rsid w:val="00340BC9"/>
    <w:rsid w:val="00340CD9"/>
    <w:rsid w:val="00340E12"/>
    <w:rsid w:val="00340EF6"/>
    <w:rsid w:val="00340FAF"/>
    <w:rsid w:val="0034102C"/>
    <w:rsid w:val="003410E2"/>
    <w:rsid w:val="003410FA"/>
    <w:rsid w:val="00341104"/>
    <w:rsid w:val="003411B1"/>
    <w:rsid w:val="00341554"/>
    <w:rsid w:val="0034177F"/>
    <w:rsid w:val="0034185B"/>
    <w:rsid w:val="003418C1"/>
    <w:rsid w:val="00341B36"/>
    <w:rsid w:val="00341B9A"/>
    <w:rsid w:val="00341D72"/>
    <w:rsid w:val="00341D92"/>
    <w:rsid w:val="00341DA9"/>
    <w:rsid w:val="00341DFA"/>
    <w:rsid w:val="00341E74"/>
    <w:rsid w:val="00341E8D"/>
    <w:rsid w:val="00341F05"/>
    <w:rsid w:val="00341F22"/>
    <w:rsid w:val="00342298"/>
    <w:rsid w:val="0034242A"/>
    <w:rsid w:val="0034247D"/>
    <w:rsid w:val="003424C2"/>
    <w:rsid w:val="0034251D"/>
    <w:rsid w:val="003426DE"/>
    <w:rsid w:val="003427C0"/>
    <w:rsid w:val="003427C9"/>
    <w:rsid w:val="0034281B"/>
    <w:rsid w:val="00342886"/>
    <w:rsid w:val="00342887"/>
    <w:rsid w:val="00342891"/>
    <w:rsid w:val="00342AAF"/>
    <w:rsid w:val="00342AD4"/>
    <w:rsid w:val="00342B2E"/>
    <w:rsid w:val="00342E9F"/>
    <w:rsid w:val="00342F9D"/>
    <w:rsid w:val="00343043"/>
    <w:rsid w:val="003430C5"/>
    <w:rsid w:val="003430FE"/>
    <w:rsid w:val="003431A5"/>
    <w:rsid w:val="003431CD"/>
    <w:rsid w:val="0034327E"/>
    <w:rsid w:val="00343295"/>
    <w:rsid w:val="003432A5"/>
    <w:rsid w:val="00343479"/>
    <w:rsid w:val="003434BD"/>
    <w:rsid w:val="003436D8"/>
    <w:rsid w:val="0034370A"/>
    <w:rsid w:val="0034372B"/>
    <w:rsid w:val="00343785"/>
    <w:rsid w:val="003437EA"/>
    <w:rsid w:val="0034382D"/>
    <w:rsid w:val="0034388A"/>
    <w:rsid w:val="0034388B"/>
    <w:rsid w:val="00343941"/>
    <w:rsid w:val="00343A0F"/>
    <w:rsid w:val="00343AD3"/>
    <w:rsid w:val="00343B1D"/>
    <w:rsid w:val="00343B6A"/>
    <w:rsid w:val="00343BC2"/>
    <w:rsid w:val="00343C60"/>
    <w:rsid w:val="00343CC2"/>
    <w:rsid w:val="00343D33"/>
    <w:rsid w:val="00343F31"/>
    <w:rsid w:val="00343FF6"/>
    <w:rsid w:val="00344017"/>
    <w:rsid w:val="00344152"/>
    <w:rsid w:val="003441A3"/>
    <w:rsid w:val="0034422F"/>
    <w:rsid w:val="00344306"/>
    <w:rsid w:val="00344474"/>
    <w:rsid w:val="0034465C"/>
    <w:rsid w:val="0034470A"/>
    <w:rsid w:val="00344769"/>
    <w:rsid w:val="003447E7"/>
    <w:rsid w:val="00344932"/>
    <w:rsid w:val="00344A37"/>
    <w:rsid w:val="00344A86"/>
    <w:rsid w:val="00344ABD"/>
    <w:rsid w:val="00344B3C"/>
    <w:rsid w:val="00344CA3"/>
    <w:rsid w:val="00344E02"/>
    <w:rsid w:val="00344E47"/>
    <w:rsid w:val="00344E62"/>
    <w:rsid w:val="00344F22"/>
    <w:rsid w:val="00344F96"/>
    <w:rsid w:val="0034510E"/>
    <w:rsid w:val="00345316"/>
    <w:rsid w:val="00345575"/>
    <w:rsid w:val="003455DF"/>
    <w:rsid w:val="0034577F"/>
    <w:rsid w:val="0034585B"/>
    <w:rsid w:val="003458A9"/>
    <w:rsid w:val="003459F1"/>
    <w:rsid w:val="00345BAB"/>
    <w:rsid w:val="00345C29"/>
    <w:rsid w:val="00345C3A"/>
    <w:rsid w:val="00345CF5"/>
    <w:rsid w:val="00345D98"/>
    <w:rsid w:val="00345DE7"/>
    <w:rsid w:val="00345ED8"/>
    <w:rsid w:val="00345FC7"/>
    <w:rsid w:val="0034627C"/>
    <w:rsid w:val="003462E7"/>
    <w:rsid w:val="003465D3"/>
    <w:rsid w:val="00346789"/>
    <w:rsid w:val="00346828"/>
    <w:rsid w:val="003468CD"/>
    <w:rsid w:val="00346979"/>
    <w:rsid w:val="003469A9"/>
    <w:rsid w:val="00346A13"/>
    <w:rsid w:val="00346A23"/>
    <w:rsid w:val="00346B9F"/>
    <w:rsid w:val="00346E1A"/>
    <w:rsid w:val="00346FA0"/>
    <w:rsid w:val="00347008"/>
    <w:rsid w:val="00347111"/>
    <w:rsid w:val="00347265"/>
    <w:rsid w:val="0034761F"/>
    <w:rsid w:val="003476B9"/>
    <w:rsid w:val="003476F8"/>
    <w:rsid w:val="0034771D"/>
    <w:rsid w:val="0034774E"/>
    <w:rsid w:val="00347758"/>
    <w:rsid w:val="003477F8"/>
    <w:rsid w:val="003477FF"/>
    <w:rsid w:val="00347870"/>
    <w:rsid w:val="003478E6"/>
    <w:rsid w:val="00347968"/>
    <w:rsid w:val="003479E7"/>
    <w:rsid w:val="00347B0A"/>
    <w:rsid w:val="00347CAF"/>
    <w:rsid w:val="00347D06"/>
    <w:rsid w:val="00347D6F"/>
    <w:rsid w:val="00347D8B"/>
    <w:rsid w:val="00347DBC"/>
    <w:rsid w:val="00347E33"/>
    <w:rsid w:val="00347E35"/>
    <w:rsid w:val="00347E7E"/>
    <w:rsid w:val="00347F05"/>
    <w:rsid w:val="00347F2F"/>
    <w:rsid w:val="00347FA5"/>
    <w:rsid w:val="0034C68C"/>
    <w:rsid w:val="0034D36D"/>
    <w:rsid w:val="00350007"/>
    <w:rsid w:val="00350039"/>
    <w:rsid w:val="00350115"/>
    <w:rsid w:val="003501C7"/>
    <w:rsid w:val="0035031A"/>
    <w:rsid w:val="003504E6"/>
    <w:rsid w:val="00350526"/>
    <w:rsid w:val="00350670"/>
    <w:rsid w:val="003506A0"/>
    <w:rsid w:val="003506F0"/>
    <w:rsid w:val="00350789"/>
    <w:rsid w:val="00350827"/>
    <w:rsid w:val="0035083F"/>
    <w:rsid w:val="00350995"/>
    <w:rsid w:val="00350B96"/>
    <w:rsid w:val="00351047"/>
    <w:rsid w:val="003510EC"/>
    <w:rsid w:val="00351330"/>
    <w:rsid w:val="00351338"/>
    <w:rsid w:val="003515E7"/>
    <w:rsid w:val="003517B5"/>
    <w:rsid w:val="00351872"/>
    <w:rsid w:val="00351987"/>
    <w:rsid w:val="003519AF"/>
    <w:rsid w:val="00351A57"/>
    <w:rsid w:val="00351ADC"/>
    <w:rsid w:val="00351B14"/>
    <w:rsid w:val="00351B53"/>
    <w:rsid w:val="00351BB7"/>
    <w:rsid w:val="00351C06"/>
    <w:rsid w:val="00351C25"/>
    <w:rsid w:val="00351DFC"/>
    <w:rsid w:val="0035207F"/>
    <w:rsid w:val="00352125"/>
    <w:rsid w:val="00352165"/>
    <w:rsid w:val="003521DE"/>
    <w:rsid w:val="00352358"/>
    <w:rsid w:val="00352481"/>
    <w:rsid w:val="003524A1"/>
    <w:rsid w:val="00352578"/>
    <w:rsid w:val="0035286B"/>
    <w:rsid w:val="00352997"/>
    <w:rsid w:val="003529C3"/>
    <w:rsid w:val="003529EA"/>
    <w:rsid w:val="00352A85"/>
    <w:rsid w:val="00352A87"/>
    <w:rsid w:val="00352B43"/>
    <w:rsid w:val="00352B73"/>
    <w:rsid w:val="00352B93"/>
    <w:rsid w:val="00352C66"/>
    <w:rsid w:val="00352CCC"/>
    <w:rsid w:val="00352E78"/>
    <w:rsid w:val="00353133"/>
    <w:rsid w:val="00353275"/>
    <w:rsid w:val="00353326"/>
    <w:rsid w:val="00353410"/>
    <w:rsid w:val="00353694"/>
    <w:rsid w:val="003536FC"/>
    <w:rsid w:val="00353778"/>
    <w:rsid w:val="003537EC"/>
    <w:rsid w:val="00353813"/>
    <w:rsid w:val="003538AE"/>
    <w:rsid w:val="0035390E"/>
    <w:rsid w:val="0035393E"/>
    <w:rsid w:val="0035398E"/>
    <w:rsid w:val="00353B0E"/>
    <w:rsid w:val="00353C27"/>
    <w:rsid w:val="00353C87"/>
    <w:rsid w:val="00353CE0"/>
    <w:rsid w:val="00353D6C"/>
    <w:rsid w:val="00353E05"/>
    <w:rsid w:val="00353E73"/>
    <w:rsid w:val="00353EFD"/>
    <w:rsid w:val="00353FBF"/>
    <w:rsid w:val="0035405A"/>
    <w:rsid w:val="003541A3"/>
    <w:rsid w:val="0035425C"/>
    <w:rsid w:val="00354436"/>
    <w:rsid w:val="00354521"/>
    <w:rsid w:val="0035480A"/>
    <w:rsid w:val="00354A40"/>
    <w:rsid w:val="00354BC2"/>
    <w:rsid w:val="00354C5F"/>
    <w:rsid w:val="00354C80"/>
    <w:rsid w:val="00354F6E"/>
    <w:rsid w:val="00355221"/>
    <w:rsid w:val="00355346"/>
    <w:rsid w:val="00355398"/>
    <w:rsid w:val="003553C5"/>
    <w:rsid w:val="00355519"/>
    <w:rsid w:val="00355625"/>
    <w:rsid w:val="0035575B"/>
    <w:rsid w:val="00355848"/>
    <w:rsid w:val="00355920"/>
    <w:rsid w:val="00355AEA"/>
    <w:rsid w:val="00355AEF"/>
    <w:rsid w:val="00355B6B"/>
    <w:rsid w:val="00355BC4"/>
    <w:rsid w:val="00355BCD"/>
    <w:rsid w:val="00355BFF"/>
    <w:rsid w:val="00355E45"/>
    <w:rsid w:val="0035605C"/>
    <w:rsid w:val="00356075"/>
    <w:rsid w:val="00356187"/>
    <w:rsid w:val="00356211"/>
    <w:rsid w:val="0035622B"/>
    <w:rsid w:val="00356258"/>
    <w:rsid w:val="00356266"/>
    <w:rsid w:val="003563EC"/>
    <w:rsid w:val="003565BC"/>
    <w:rsid w:val="003565F5"/>
    <w:rsid w:val="0035666F"/>
    <w:rsid w:val="00356732"/>
    <w:rsid w:val="00356AC7"/>
    <w:rsid w:val="00356AEE"/>
    <w:rsid w:val="00356B7B"/>
    <w:rsid w:val="00356BE5"/>
    <w:rsid w:val="00356DC8"/>
    <w:rsid w:val="00357250"/>
    <w:rsid w:val="0035733F"/>
    <w:rsid w:val="003573F4"/>
    <w:rsid w:val="00357529"/>
    <w:rsid w:val="0035768E"/>
    <w:rsid w:val="00357837"/>
    <w:rsid w:val="00357A50"/>
    <w:rsid w:val="00357C53"/>
    <w:rsid w:val="00357D8A"/>
    <w:rsid w:val="00357EBE"/>
    <w:rsid w:val="00357F77"/>
    <w:rsid w:val="00360069"/>
    <w:rsid w:val="003600B9"/>
    <w:rsid w:val="00360159"/>
    <w:rsid w:val="00360177"/>
    <w:rsid w:val="00360477"/>
    <w:rsid w:val="0036047D"/>
    <w:rsid w:val="0036061F"/>
    <w:rsid w:val="00360653"/>
    <w:rsid w:val="00360724"/>
    <w:rsid w:val="00360856"/>
    <w:rsid w:val="00360956"/>
    <w:rsid w:val="0036099A"/>
    <w:rsid w:val="003609BC"/>
    <w:rsid w:val="003609E7"/>
    <w:rsid w:val="00360A0F"/>
    <w:rsid w:val="00360A34"/>
    <w:rsid w:val="00360B2D"/>
    <w:rsid w:val="00360BAB"/>
    <w:rsid w:val="00360BC9"/>
    <w:rsid w:val="00360DEE"/>
    <w:rsid w:val="00360DF9"/>
    <w:rsid w:val="00360EFD"/>
    <w:rsid w:val="00360FA9"/>
    <w:rsid w:val="00360FE4"/>
    <w:rsid w:val="0036110B"/>
    <w:rsid w:val="003611B3"/>
    <w:rsid w:val="00361243"/>
    <w:rsid w:val="0036129A"/>
    <w:rsid w:val="003613BA"/>
    <w:rsid w:val="00361586"/>
    <w:rsid w:val="003616F9"/>
    <w:rsid w:val="0036172C"/>
    <w:rsid w:val="00361853"/>
    <w:rsid w:val="003619D3"/>
    <w:rsid w:val="00361A4E"/>
    <w:rsid w:val="00361BEF"/>
    <w:rsid w:val="00361C2C"/>
    <w:rsid w:val="00361C39"/>
    <w:rsid w:val="00361CAD"/>
    <w:rsid w:val="00361D1D"/>
    <w:rsid w:val="00361E0C"/>
    <w:rsid w:val="00361F55"/>
    <w:rsid w:val="00362190"/>
    <w:rsid w:val="003621AC"/>
    <w:rsid w:val="003622EB"/>
    <w:rsid w:val="003624BC"/>
    <w:rsid w:val="003624D8"/>
    <w:rsid w:val="0036253B"/>
    <w:rsid w:val="00362589"/>
    <w:rsid w:val="00362619"/>
    <w:rsid w:val="00362826"/>
    <w:rsid w:val="0036284F"/>
    <w:rsid w:val="00362865"/>
    <w:rsid w:val="0036287F"/>
    <w:rsid w:val="00362988"/>
    <w:rsid w:val="00362A3A"/>
    <w:rsid w:val="00362B01"/>
    <w:rsid w:val="00362B4A"/>
    <w:rsid w:val="00362BB5"/>
    <w:rsid w:val="00362CBC"/>
    <w:rsid w:val="00362E50"/>
    <w:rsid w:val="00362F22"/>
    <w:rsid w:val="00362F5D"/>
    <w:rsid w:val="00362F74"/>
    <w:rsid w:val="00363329"/>
    <w:rsid w:val="0036336E"/>
    <w:rsid w:val="003638EB"/>
    <w:rsid w:val="00363B18"/>
    <w:rsid w:val="00363B87"/>
    <w:rsid w:val="00363DE4"/>
    <w:rsid w:val="00363ED2"/>
    <w:rsid w:val="00363F70"/>
    <w:rsid w:val="003641B4"/>
    <w:rsid w:val="003642B5"/>
    <w:rsid w:val="00364315"/>
    <w:rsid w:val="00364464"/>
    <w:rsid w:val="0036461E"/>
    <w:rsid w:val="00364647"/>
    <w:rsid w:val="003646E0"/>
    <w:rsid w:val="003647A0"/>
    <w:rsid w:val="003647D4"/>
    <w:rsid w:val="003647D7"/>
    <w:rsid w:val="003649B6"/>
    <w:rsid w:val="00364A40"/>
    <w:rsid w:val="00364B15"/>
    <w:rsid w:val="00364BA4"/>
    <w:rsid w:val="00364F27"/>
    <w:rsid w:val="00364F2B"/>
    <w:rsid w:val="003650B7"/>
    <w:rsid w:val="00365102"/>
    <w:rsid w:val="003651B7"/>
    <w:rsid w:val="003651C5"/>
    <w:rsid w:val="00365219"/>
    <w:rsid w:val="003652B8"/>
    <w:rsid w:val="00365691"/>
    <w:rsid w:val="0036575E"/>
    <w:rsid w:val="00365906"/>
    <w:rsid w:val="0036590A"/>
    <w:rsid w:val="00365AEA"/>
    <w:rsid w:val="00365C73"/>
    <w:rsid w:val="00365DA9"/>
    <w:rsid w:val="00365EF4"/>
    <w:rsid w:val="00365FAA"/>
    <w:rsid w:val="00365FF9"/>
    <w:rsid w:val="00366075"/>
    <w:rsid w:val="00366282"/>
    <w:rsid w:val="003662B9"/>
    <w:rsid w:val="003662C5"/>
    <w:rsid w:val="00366350"/>
    <w:rsid w:val="003665D5"/>
    <w:rsid w:val="003666A6"/>
    <w:rsid w:val="003667FC"/>
    <w:rsid w:val="003668AF"/>
    <w:rsid w:val="00366A15"/>
    <w:rsid w:val="00366A99"/>
    <w:rsid w:val="00366DD0"/>
    <w:rsid w:val="0036714C"/>
    <w:rsid w:val="00367215"/>
    <w:rsid w:val="003672CA"/>
    <w:rsid w:val="00367445"/>
    <w:rsid w:val="00367459"/>
    <w:rsid w:val="00367591"/>
    <w:rsid w:val="003675F3"/>
    <w:rsid w:val="0036769B"/>
    <w:rsid w:val="00367721"/>
    <w:rsid w:val="00367A08"/>
    <w:rsid w:val="00367A53"/>
    <w:rsid w:val="00367B99"/>
    <w:rsid w:val="00367C31"/>
    <w:rsid w:val="00367C93"/>
    <w:rsid w:val="00367CEB"/>
    <w:rsid w:val="00367D66"/>
    <w:rsid w:val="00367EA0"/>
    <w:rsid w:val="0036C9A6"/>
    <w:rsid w:val="003701B5"/>
    <w:rsid w:val="00370322"/>
    <w:rsid w:val="003703A0"/>
    <w:rsid w:val="00370433"/>
    <w:rsid w:val="003704BE"/>
    <w:rsid w:val="003705FA"/>
    <w:rsid w:val="003706DB"/>
    <w:rsid w:val="0037073D"/>
    <w:rsid w:val="003707E1"/>
    <w:rsid w:val="0037084F"/>
    <w:rsid w:val="0037093C"/>
    <w:rsid w:val="00370944"/>
    <w:rsid w:val="00370B95"/>
    <w:rsid w:val="00370CFF"/>
    <w:rsid w:val="00370D8E"/>
    <w:rsid w:val="00370DA1"/>
    <w:rsid w:val="00370F35"/>
    <w:rsid w:val="00370FE1"/>
    <w:rsid w:val="0037118A"/>
    <w:rsid w:val="003712D0"/>
    <w:rsid w:val="0037134F"/>
    <w:rsid w:val="00371439"/>
    <w:rsid w:val="0037169E"/>
    <w:rsid w:val="003719B6"/>
    <w:rsid w:val="00371A5A"/>
    <w:rsid w:val="00371D00"/>
    <w:rsid w:val="00371DCF"/>
    <w:rsid w:val="00371DDC"/>
    <w:rsid w:val="00371EB0"/>
    <w:rsid w:val="00371F48"/>
    <w:rsid w:val="00371F6F"/>
    <w:rsid w:val="003723DA"/>
    <w:rsid w:val="00372455"/>
    <w:rsid w:val="0037245D"/>
    <w:rsid w:val="0037251E"/>
    <w:rsid w:val="003725B8"/>
    <w:rsid w:val="00372722"/>
    <w:rsid w:val="0037282F"/>
    <w:rsid w:val="00372887"/>
    <w:rsid w:val="0037288B"/>
    <w:rsid w:val="00372978"/>
    <w:rsid w:val="00372B24"/>
    <w:rsid w:val="00372BF5"/>
    <w:rsid w:val="00372EF2"/>
    <w:rsid w:val="00373035"/>
    <w:rsid w:val="003735DD"/>
    <w:rsid w:val="00373642"/>
    <w:rsid w:val="0037365B"/>
    <w:rsid w:val="0037369F"/>
    <w:rsid w:val="00373721"/>
    <w:rsid w:val="0037393D"/>
    <w:rsid w:val="00373951"/>
    <w:rsid w:val="00373962"/>
    <w:rsid w:val="00373B61"/>
    <w:rsid w:val="00373E20"/>
    <w:rsid w:val="00373E43"/>
    <w:rsid w:val="003742C3"/>
    <w:rsid w:val="003743B3"/>
    <w:rsid w:val="003743E7"/>
    <w:rsid w:val="00374428"/>
    <w:rsid w:val="0037448E"/>
    <w:rsid w:val="0037449A"/>
    <w:rsid w:val="003744F8"/>
    <w:rsid w:val="003747A5"/>
    <w:rsid w:val="003749E4"/>
    <w:rsid w:val="00374B88"/>
    <w:rsid w:val="00374CB8"/>
    <w:rsid w:val="00374FC8"/>
    <w:rsid w:val="00375073"/>
    <w:rsid w:val="003752B0"/>
    <w:rsid w:val="003753B4"/>
    <w:rsid w:val="0037550E"/>
    <w:rsid w:val="00375864"/>
    <w:rsid w:val="003758BA"/>
    <w:rsid w:val="00375908"/>
    <w:rsid w:val="003759F0"/>
    <w:rsid w:val="00375B86"/>
    <w:rsid w:val="00375CDD"/>
    <w:rsid w:val="00375F1F"/>
    <w:rsid w:val="00375F37"/>
    <w:rsid w:val="00376077"/>
    <w:rsid w:val="00376204"/>
    <w:rsid w:val="0037628A"/>
    <w:rsid w:val="00376305"/>
    <w:rsid w:val="0037633E"/>
    <w:rsid w:val="003763E4"/>
    <w:rsid w:val="00376583"/>
    <w:rsid w:val="003765C7"/>
    <w:rsid w:val="00376733"/>
    <w:rsid w:val="00376930"/>
    <w:rsid w:val="00376A8A"/>
    <w:rsid w:val="00376B21"/>
    <w:rsid w:val="00376B2E"/>
    <w:rsid w:val="00376C33"/>
    <w:rsid w:val="00376EA1"/>
    <w:rsid w:val="00376FB1"/>
    <w:rsid w:val="00376FB2"/>
    <w:rsid w:val="00377105"/>
    <w:rsid w:val="00377291"/>
    <w:rsid w:val="00377392"/>
    <w:rsid w:val="00377523"/>
    <w:rsid w:val="0037769E"/>
    <w:rsid w:val="00377798"/>
    <w:rsid w:val="0037781C"/>
    <w:rsid w:val="00377835"/>
    <w:rsid w:val="003778E8"/>
    <w:rsid w:val="00377DD7"/>
    <w:rsid w:val="00377E2A"/>
    <w:rsid w:val="00377EDB"/>
    <w:rsid w:val="00377EEE"/>
    <w:rsid w:val="0038012D"/>
    <w:rsid w:val="0038014D"/>
    <w:rsid w:val="00380289"/>
    <w:rsid w:val="0038043F"/>
    <w:rsid w:val="0038049F"/>
    <w:rsid w:val="003804EE"/>
    <w:rsid w:val="00380664"/>
    <w:rsid w:val="003806CD"/>
    <w:rsid w:val="003806CF"/>
    <w:rsid w:val="003806EC"/>
    <w:rsid w:val="00380782"/>
    <w:rsid w:val="003807DF"/>
    <w:rsid w:val="00380909"/>
    <w:rsid w:val="00380CB5"/>
    <w:rsid w:val="00380D5D"/>
    <w:rsid w:val="00380D62"/>
    <w:rsid w:val="00380ED4"/>
    <w:rsid w:val="00380F67"/>
    <w:rsid w:val="00381166"/>
    <w:rsid w:val="00381261"/>
    <w:rsid w:val="003812D9"/>
    <w:rsid w:val="0038139B"/>
    <w:rsid w:val="003813F9"/>
    <w:rsid w:val="0038142F"/>
    <w:rsid w:val="00381543"/>
    <w:rsid w:val="00381777"/>
    <w:rsid w:val="00381886"/>
    <w:rsid w:val="003818A4"/>
    <w:rsid w:val="003818EA"/>
    <w:rsid w:val="00381A4B"/>
    <w:rsid w:val="00381A90"/>
    <w:rsid w:val="00381AD8"/>
    <w:rsid w:val="00381B04"/>
    <w:rsid w:val="00381C6D"/>
    <w:rsid w:val="00381D90"/>
    <w:rsid w:val="00381F77"/>
    <w:rsid w:val="00381FB4"/>
    <w:rsid w:val="00381FF1"/>
    <w:rsid w:val="00382004"/>
    <w:rsid w:val="0038200E"/>
    <w:rsid w:val="0038202C"/>
    <w:rsid w:val="003820E8"/>
    <w:rsid w:val="0038224A"/>
    <w:rsid w:val="003822F3"/>
    <w:rsid w:val="0038232E"/>
    <w:rsid w:val="003823AE"/>
    <w:rsid w:val="0038271F"/>
    <w:rsid w:val="0038274F"/>
    <w:rsid w:val="003828AA"/>
    <w:rsid w:val="0038291F"/>
    <w:rsid w:val="00382C50"/>
    <w:rsid w:val="00382D5E"/>
    <w:rsid w:val="00382D88"/>
    <w:rsid w:val="00382DD7"/>
    <w:rsid w:val="00382E66"/>
    <w:rsid w:val="00382ED8"/>
    <w:rsid w:val="00382FDE"/>
    <w:rsid w:val="00383004"/>
    <w:rsid w:val="00383027"/>
    <w:rsid w:val="0038340A"/>
    <w:rsid w:val="003834D6"/>
    <w:rsid w:val="0038354D"/>
    <w:rsid w:val="0038359C"/>
    <w:rsid w:val="003835B7"/>
    <w:rsid w:val="003835D2"/>
    <w:rsid w:val="003835FC"/>
    <w:rsid w:val="0038367E"/>
    <w:rsid w:val="003838D0"/>
    <w:rsid w:val="003839A7"/>
    <w:rsid w:val="003839D8"/>
    <w:rsid w:val="003839F1"/>
    <w:rsid w:val="003839F6"/>
    <w:rsid w:val="00383A92"/>
    <w:rsid w:val="00383AF5"/>
    <w:rsid w:val="00383CA8"/>
    <w:rsid w:val="00383CB8"/>
    <w:rsid w:val="00383D45"/>
    <w:rsid w:val="00383D83"/>
    <w:rsid w:val="00383E09"/>
    <w:rsid w:val="00383ED4"/>
    <w:rsid w:val="00384149"/>
    <w:rsid w:val="0038442B"/>
    <w:rsid w:val="00384449"/>
    <w:rsid w:val="00384481"/>
    <w:rsid w:val="0038465F"/>
    <w:rsid w:val="0038476C"/>
    <w:rsid w:val="003848A7"/>
    <w:rsid w:val="00384AAF"/>
    <w:rsid w:val="00384C52"/>
    <w:rsid w:val="00384E53"/>
    <w:rsid w:val="00384F1C"/>
    <w:rsid w:val="00384FC4"/>
    <w:rsid w:val="00384FD6"/>
    <w:rsid w:val="00384FDE"/>
    <w:rsid w:val="003850CE"/>
    <w:rsid w:val="00385147"/>
    <w:rsid w:val="0038517A"/>
    <w:rsid w:val="0038529F"/>
    <w:rsid w:val="003852E7"/>
    <w:rsid w:val="003853A4"/>
    <w:rsid w:val="00385712"/>
    <w:rsid w:val="00385751"/>
    <w:rsid w:val="00385759"/>
    <w:rsid w:val="0038575A"/>
    <w:rsid w:val="00385785"/>
    <w:rsid w:val="003858B7"/>
    <w:rsid w:val="00385B12"/>
    <w:rsid w:val="00385B71"/>
    <w:rsid w:val="00385BA9"/>
    <w:rsid w:val="00385D18"/>
    <w:rsid w:val="00385DC4"/>
    <w:rsid w:val="00385E1F"/>
    <w:rsid w:val="00385FE1"/>
    <w:rsid w:val="00386074"/>
    <w:rsid w:val="00386141"/>
    <w:rsid w:val="00386223"/>
    <w:rsid w:val="0038622B"/>
    <w:rsid w:val="00386378"/>
    <w:rsid w:val="00386438"/>
    <w:rsid w:val="003864B7"/>
    <w:rsid w:val="00386528"/>
    <w:rsid w:val="0038653E"/>
    <w:rsid w:val="00386600"/>
    <w:rsid w:val="003866B8"/>
    <w:rsid w:val="003868AB"/>
    <w:rsid w:val="00386B73"/>
    <w:rsid w:val="00386B9C"/>
    <w:rsid w:val="00386DAB"/>
    <w:rsid w:val="00386E28"/>
    <w:rsid w:val="00386E35"/>
    <w:rsid w:val="00386E4F"/>
    <w:rsid w:val="00386F61"/>
    <w:rsid w:val="00387060"/>
    <w:rsid w:val="00387073"/>
    <w:rsid w:val="0038718B"/>
    <w:rsid w:val="0038720A"/>
    <w:rsid w:val="00387262"/>
    <w:rsid w:val="003876F0"/>
    <w:rsid w:val="003877C6"/>
    <w:rsid w:val="00387A2C"/>
    <w:rsid w:val="00387A42"/>
    <w:rsid w:val="00387AA1"/>
    <w:rsid w:val="00387B45"/>
    <w:rsid w:val="00387BB4"/>
    <w:rsid w:val="00387BD1"/>
    <w:rsid w:val="00387C56"/>
    <w:rsid w:val="00387CC3"/>
    <w:rsid w:val="00387D6C"/>
    <w:rsid w:val="00387E7E"/>
    <w:rsid w:val="00387EBE"/>
    <w:rsid w:val="00387F56"/>
    <w:rsid w:val="00390183"/>
    <w:rsid w:val="003901BB"/>
    <w:rsid w:val="003901D6"/>
    <w:rsid w:val="00390279"/>
    <w:rsid w:val="0039034E"/>
    <w:rsid w:val="00390382"/>
    <w:rsid w:val="003905ED"/>
    <w:rsid w:val="003905FF"/>
    <w:rsid w:val="00390774"/>
    <w:rsid w:val="00390AC2"/>
    <w:rsid w:val="00390AD4"/>
    <w:rsid w:val="00390C9C"/>
    <w:rsid w:val="00390DE0"/>
    <w:rsid w:val="00390E0E"/>
    <w:rsid w:val="00390EC7"/>
    <w:rsid w:val="003910EE"/>
    <w:rsid w:val="003912DE"/>
    <w:rsid w:val="00391309"/>
    <w:rsid w:val="003913E0"/>
    <w:rsid w:val="003914B7"/>
    <w:rsid w:val="0039159C"/>
    <w:rsid w:val="0039172D"/>
    <w:rsid w:val="0039184B"/>
    <w:rsid w:val="00391907"/>
    <w:rsid w:val="0039196A"/>
    <w:rsid w:val="00391A42"/>
    <w:rsid w:val="00391ABA"/>
    <w:rsid w:val="00391AF7"/>
    <w:rsid w:val="00391D41"/>
    <w:rsid w:val="00391D98"/>
    <w:rsid w:val="00391FCA"/>
    <w:rsid w:val="0039205A"/>
    <w:rsid w:val="00392084"/>
    <w:rsid w:val="0039208E"/>
    <w:rsid w:val="0039214D"/>
    <w:rsid w:val="003921CE"/>
    <w:rsid w:val="0039221B"/>
    <w:rsid w:val="003922AF"/>
    <w:rsid w:val="00392377"/>
    <w:rsid w:val="003923E7"/>
    <w:rsid w:val="003923EB"/>
    <w:rsid w:val="00392410"/>
    <w:rsid w:val="0039245B"/>
    <w:rsid w:val="003924BA"/>
    <w:rsid w:val="0039252D"/>
    <w:rsid w:val="003925A8"/>
    <w:rsid w:val="003925D3"/>
    <w:rsid w:val="00392663"/>
    <w:rsid w:val="003927A8"/>
    <w:rsid w:val="00392AFC"/>
    <w:rsid w:val="00392BD4"/>
    <w:rsid w:val="00392CD6"/>
    <w:rsid w:val="00392D74"/>
    <w:rsid w:val="00392E11"/>
    <w:rsid w:val="00392EE3"/>
    <w:rsid w:val="00392F21"/>
    <w:rsid w:val="00393043"/>
    <w:rsid w:val="00393053"/>
    <w:rsid w:val="0039306C"/>
    <w:rsid w:val="00393099"/>
    <w:rsid w:val="003932B9"/>
    <w:rsid w:val="00393302"/>
    <w:rsid w:val="003933A2"/>
    <w:rsid w:val="003933D6"/>
    <w:rsid w:val="003935B9"/>
    <w:rsid w:val="003938C3"/>
    <w:rsid w:val="003938E9"/>
    <w:rsid w:val="00393AB5"/>
    <w:rsid w:val="00393C54"/>
    <w:rsid w:val="00393CAE"/>
    <w:rsid w:val="00393DAD"/>
    <w:rsid w:val="00393E8F"/>
    <w:rsid w:val="00393F22"/>
    <w:rsid w:val="003941A7"/>
    <w:rsid w:val="00394205"/>
    <w:rsid w:val="00394220"/>
    <w:rsid w:val="003942DA"/>
    <w:rsid w:val="003943A1"/>
    <w:rsid w:val="003943E3"/>
    <w:rsid w:val="00394701"/>
    <w:rsid w:val="00394718"/>
    <w:rsid w:val="003947AE"/>
    <w:rsid w:val="0039481E"/>
    <w:rsid w:val="0039484E"/>
    <w:rsid w:val="00394AA9"/>
    <w:rsid w:val="00394ADF"/>
    <w:rsid w:val="00394B16"/>
    <w:rsid w:val="00394CDE"/>
    <w:rsid w:val="00394F63"/>
    <w:rsid w:val="0039512A"/>
    <w:rsid w:val="0039516C"/>
    <w:rsid w:val="00395353"/>
    <w:rsid w:val="003953E0"/>
    <w:rsid w:val="0039549A"/>
    <w:rsid w:val="00395572"/>
    <w:rsid w:val="00395699"/>
    <w:rsid w:val="003959B8"/>
    <w:rsid w:val="003959D2"/>
    <w:rsid w:val="003959EF"/>
    <w:rsid w:val="00395AD9"/>
    <w:rsid w:val="00395B53"/>
    <w:rsid w:val="00395BD0"/>
    <w:rsid w:val="00395CE8"/>
    <w:rsid w:val="00395D83"/>
    <w:rsid w:val="00395DE3"/>
    <w:rsid w:val="00395E19"/>
    <w:rsid w:val="00396061"/>
    <w:rsid w:val="0039618B"/>
    <w:rsid w:val="003961FA"/>
    <w:rsid w:val="00396264"/>
    <w:rsid w:val="0039651A"/>
    <w:rsid w:val="00396628"/>
    <w:rsid w:val="0039678F"/>
    <w:rsid w:val="003967C8"/>
    <w:rsid w:val="00396B21"/>
    <w:rsid w:val="00396B40"/>
    <w:rsid w:val="00396C76"/>
    <w:rsid w:val="00396CF6"/>
    <w:rsid w:val="00396EF7"/>
    <w:rsid w:val="003970D1"/>
    <w:rsid w:val="003971C9"/>
    <w:rsid w:val="003971F0"/>
    <w:rsid w:val="00397519"/>
    <w:rsid w:val="00397521"/>
    <w:rsid w:val="003975C8"/>
    <w:rsid w:val="003976B5"/>
    <w:rsid w:val="00397704"/>
    <w:rsid w:val="0039772D"/>
    <w:rsid w:val="0039780F"/>
    <w:rsid w:val="00397863"/>
    <w:rsid w:val="00397875"/>
    <w:rsid w:val="00397C64"/>
    <w:rsid w:val="00397D3E"/>
    <w:rsid w:val="00397D3F"/>
    <w:rsid w:val="00397E95"/>
    <w:rsid w:val="00397F42"/>
    <w:rsid w:val="003A001A"/>
    <w:rsid w:val="003A001E"/>
    <w:rsid w:val="003A00A2"/>
    <w:rsid w:val="003A02B0"/>
    <w:rsid w:val="003A0432"/>
    <w:rsid w:val="003A05C9"/>
    <w:rsid w:val="003A0655"/>
    <w:rsid w:val="003A0786"/>
    <w:rsid w:val="003A0894"/>
    <w:rsid w:val="003A08BB"/>
    <w:rsid w:val="003A0921"/>
    <w:rsid w:val="003A0AFD"/>
    <w:rsid w:val="003A0BAD"/>
    <w:rsid w:val="003A0C1C"/>
    <w:rsid w:val="003A0D8F"/>
    <w:rsid w:val="003A0E6B"/>
    <w:rsid w:val="003A0ECB"/>
    <w:rsid w:val="003A0F1E"/>
    <w:rsid w:val="003A1005"/>
    <w:rsid w:val="003A1089"/>
    <w:rsid w:val="003A1113"/>
    <w:rsid w:val="003A1140"/>
    <w:rsid w:val="003A1280"/>
    <w:rsid w:val="003A12B1"/>
    <w:rsid w:val="003A12C9"/>
    <w:rsid w:val="003A1472"/>
    <w:rsid w:val="003A14C9"/>
    <w:rsid w:val="003A1623"/>
    <w:rsid w:val="003A165C"/>
    <w:rsid w:val="003A1737"/>
    <w:rsid w:val="003A192C"/>
    <w:rsid w:val="003A19B5"/>
    <w:rsid w:val="003A19F5"/>
    <w:rsid w:val="003A1AB5"/>
    <w:rsid w:val="003A1BC1"/>
    <w:rsid w:val="003A1C1D"/>
    <w:rsid w:val="003A1CC6"/>
    <w:rsid w:val="003A1D27"/>
    <w:rsid w:val="003A1D41"/>
    <w:rsid w:val="003A1E09"/>
    <w:rsid w:val="003A1F52"/>
    <w:rsid w:val="003A2040"/>
    <w:rsid w:val="003A20E9"/>
    <w:rsid w:val="003A225E"/>
    <w:rsid w:val="003A22AF"/>
    <w:rsid w:val="003A234F"/>
    <w:rsid w:val="003A2408"/>
    <w:rsid w:val="003A245B"/>
    <w:rsid w:val="003A2573"/>
    <w:rsid w:val="003A25D4"/>
    <w:rsid w:val="003A2753"/>
    <w:rsid w:val="003A2764"/>
    <w:rsid w:val="003A28B3"/>
    <w:rsid w:val="003A2961"/>
    <w:rsid w:val="003A2A0B"/>
    <w:rsid w:val="003A2AF3"/>
    <w:rsid w:val="003A2B1F"/>
    <w:rsid w:val="003A2CB3"/>
    <w:rsid w:val="003A2EF1"/>
    <w:rsid w:val="003A3132"/>
    <w:rsid w:val="003A3391"/>
    <w:rsid w:val="003A33C1"/>
    <w:rsid w:val="003A34F5"/>
    <w:rsid w:val="003A354F"/>
    <w:rsid w:val="003A35AF"/>
    <w:rsid w:val="003A35B2"/>
    <w:rsid w:val="003A35F4"/>
    <w:rsid w:val="003A369B"/>
    <w:rsid w:val="003A36BB"/>
    <w:rsid w:val="003A36F0"/>
    <w:rsid w:val="003A373C"/>
    <w:rsid w:val="003A38CD"/>
    <w:rsid w:val="003A397D"/>
    <w:rsid w:val="003A3A1F"/>
    <w:rsid w:val="003A3A8A"/>
    <w:rsid w:val="003A3B83"/>
    <w:rsid w:val="003A3BBE"/>
    <w:rsid w:val="003A3C0E"/>
    <w:rsid w:val="003A3C7B"/>
    <w:rsid w:val="003A3DB0"/>
    <w:rsid w:val="003A3E0B"/>
    <w:rsid w:val="003A3E13"/>
    <w:rsid w:val="003A3FDD"/>
    <w:rsid w:val="003A4044"/>
    <w:rsid w:val="003A4135"/>
    <w:rsid w:val="003A4172"/>
    <w:rsid w:val="003A42DC"/>
    <w:rsid w:val="003A4335"/>
    <w:rsid w:val="003A435D"/>
    <w:rsid w:val="003A4615"/>
    <w:rsid w:val="003A482A"/>
    <w:rsid w:val="003A48B2"/>
    <w:rsid w:val="003A48E7"/>
    <w:rsid w:val="003A49B4"/>
    <w:rsid w:val="003A4BCE"/>
    <w:rsid w:val="003A4C83"/>
    <w:rsid w:val="003A4DAC"/>
    <w:rsid w:val="003A523E"/>
    <w:rsid w:val="003A5334"/>
    <w:rsid w:val="003A53C7"/>
    <w:rsid w:val="003A544D"/>
    <w:rsid w:val="003A558A"/>
    <w:rsid w:val="003A580E"/>
    <w:rsid w:val="003A5ABA"/>
    <w:rsid w:val="003A5D4A"/>
    <w:rsid w:val="003A5D8D"/>
    <w:rsid w:val="003A5EFD"/>
    <w:rsid w:val="003A5FF9"/>
    <w:rsid w:val="003A6106"/>
    <w:rsid w:val="003A6175"/>
    <w:rsid w:val="003A63F4"/>
    <w:rsid w:val="003A64C9"/>
    <w:rsid w:val="003A650A"/>
    <w:rsid w:val="003A6551"/>
    <w:rsid w:val="003A65C7"/>
    <w:rsid w:val="003A65E0"/>
    <w:rsid w:val="003A662A"/>
    <w:rsid w:val="003A6726"/>
    <w:rsid w:val="003A673F"/>
    <w:rsid w:val="003A6777"/>
    <w:rsid w:val="003A6874"/>
    <w:rsid w:val="003A6C80"/>
    <w:rsid w:val="003A6D60"/>
    <w:rsid w:val="003A6E45"/>
    <w:rsid w:val="003A6EAB"/>
    <w:rsid w:val="003A702D"/>
    <w:rsid w:val="003A723B"/>
    <w:rsid w:val="003A72B5"/>
    <w:rsid w:val="003A73A3"/>
    <w:rsid w:val="003A73CC"/>
    <w:rsid w:val="003A75FB"/>
    <w:rsid w:val="003A7672"/>
    <w:rsid w:val="003A76C9"/>
    <w:rsid w:val="003A76D6"/>
    <w:rsid w:val="003A7858"/>
    <w:rsid w:val="003A7CC5"/>
    <w:rsid w:val="003A7DD9"/>
    <w:rsid w:val="003A7EFB"/>
    <w:rsid w:val="003B000B"/>
    <w:rsid w:val="003B008A"/>
    <w:rsid w:val="003B010D"/>
    <w:rsid w:val="003B03AD"/>
    <w:rsid w:val="003B044B"/>
    <w:rsid w:val="003B0576"/>
    <w:rsid w:val="003B05EA"/>
    <w:rsid w:val="003B0742"/>
    <w:rsid w:val="003B0752"/>
    <w:rsid w:val="003B09A8"/>
    <w:rsid w:val="003B0AB6"/>
    <w:rsid w:val="003B0B72"/>
    <w:rsid w:val="003B0BC3"/>
    <w:rsid w:val="003B0BFA"/>
    <w:rsid w:val="003B0E80"/>
    <w:rsid w:val="003B0F5D"/>
    <w:rsid w:val="003B0FA2"/>
    <w:rsid w:val="003B0FFB"/>
    <w:rsid w:val="003B10AA"/>
    <w:rsid w:val="003B110A"/>
    <w:rsid w:val="003B11C7"/>
    <w:rsid w:val="003B12FF"/>
    <w:rsid w:val="003B1328"/>
    <w:rsid w:val="003B1340"/>
    <w:rsid w:val="003B1462"/>
    <w:rsid w:val="003B1970"/>
    <w:rsid w:val="003B19B3"/>
    <w:rsid w:val="003B1A86"/>
    <w:rsid w:val="003B1CFA"/>
    <w:rsid w:val="003B1D20"/>
    <w:rsid w:val="003B1F1E"/>
    <w:rsid w:val="003B1FDA"/>
    <w:rsid w:val="003B218B"/>
    <w:rsid w:val="003B219F"/>
    <w:rsid w:val="003B21DF"/>
    <w:rsid w:val="003B226E"/>
    <w:rsid w:val="003B245A"/>
    <w:rsid w:val="003B247A"/>
    <w:rsid w:val="003B24AD"/>
    <w:rsid w:val="003B25BB"/>
    <w:rsid w:val="003B2633"/>
    <w:rsid w:val="003B26EC"/>
    <w:rsid w:val="003B26ED"/>
    <w:rsid w:val="003B2735"/>
    <w:rsid w:val="003B2827"/>
    <w:rsid w:val="003B28EB"/>
    <w:rsid w:val="003B2976"/>
    <w:rsid w:val="003B2A63"/>
    <w:rsid w:val="003B2BD7"/>
    <w:rsid w:val="003B2CBA"/>
    <w:rsid w:val="003B2CE5"/>
    <w:rsid w:val="003B2E47"/>
    <w:rsid w:val="003B2E8B"/>
    <w:rsid w:val="003B2E9E"/>
    <w:rsid w:val="003B2EA9"/>
    <w:rsid w:val="003B2EB0"/>
    <w:rsid w:val="003B2EE6"/>
    <w:rsid w:val="003B2F8D"/>
    <w:rsid w:val="003B3067"/>
    <w:rsid w:val="003B308B"/>
    <w:rsid w:val="003B3091"/>
    <w:rsid w:val="003B319F"/>
    <w:rsid w:val="003B3252"/>
    <w:rsid w:val="003B335F"/>
    <w:rsid w:val="003B33F5"/>
    <w:rsid w:val="003B346B"/>
    <w:rsid w:val="003B3491"/>
    <w:rsid w:val="003B3547"/>
    <w:rsid w:val="003B35ED"/>
    <w:rsid w:val="003B3679"/>
    <w:rsid w:val="003B3822"/>
    <w:rsid w:val="003B388F"/>
    <w:rsid w:val="003B38F6"/>
    <w:rsid w:val="003B3AE6"/>
    <w:rsid w:val="003B3CB3"/>
    <w:rsid w:val="003B3D8F"/>
    <w:rsid w:val="003B3DF3"/>
    <w:rsid w:val="003B3FA5"/>
    <w:rsid w:val="003B40DB"/>
    <w:rsid w:val="003B420E"/>
    <w:rsid w:val="003B4511"/>
    <w:rsid w:val="003B4708"/>
    <w:rsid w:val="003B4778"/>
    <w:rsid w:val="003B4835"/>
    <w:rsid w:val="003B487F"/>
    <w:rsid w:val="003B4998"/>
    <w:rsid w:val="003B4A43"/>
    <w:rsid w:val="003B4B33"/>
    <w:rsid w:val="003B4C07"/>
    <w:rsid w:val="003B4D61"/>
    <w:rsid w:val="003B4ECA"/>
    <w:rsid w:val="003B4FAF"/>
    <w:rsid w:val="003B5070"/>
    <w:rsid w:val="003B50CC"/>
    <w:rsid w:val="003B50DA"/>
    <w:rsid w:val="003B5123"/>
    <w:rsid w:val="003B51AD"/>
    <w:rsid w:val="003B5220"/>
    <w:rsid w:val="003B5331"/>
    <w:rsid w:val="003B537A"/>
    <w:rsid w:val="003B56C1"/>
    <w:rsid w:val="003B57BB"/>
    <w:rsid w:val="003B5900"/>
    <w:rsid w:val="003B592B"/>
    <w:rsid w:val="003B59A2"/>
    <w:rsid w:val="003B5A3D"/>
    <w:rsid w:val="003B5AF4"/>
    <w:rsid w:val="003B5B70"/>
    <w:rsid w:val="003B5BE9"/>
    <w:rsid w:val="003B5FCE"/>
    <w:rsid w:val="003B5FCF"/>
    <w:rsid w:val="003B5FE0"/>
    <w:rsid w:val="003B6086"/>
    <w:rsid w:val="003B6089"/>
    <w:rsid w:val="003B6128"/>
    <w:rsid w:val="003B64D0"/>
    <w:rsid w:val="003B65DE"/>
    <w:rsid w:val="003B66EF"/>
    <w:rsid w:val="003B68DE"/>
    <w:rsid w:val="003B68F1"/>
    <w:rsid w:val="003B6A63"/>
    <w:rsid w:val="003B6AB6"/>
    <w:rsid w:val="003B6B1D"/>
    <w:rsid w:val="003B6CE5"/>
    <w:rsid w:val="003B6D7F"/>
    <w:rsid w:val="003B6EFD"/>
    <w:rsid w:val="003B7047"/>
    <w:rsid w:val="003B70D0"/>
    <w:rsid w:val="003B72CF"/>
    <w:rsid w:val="003B7593"/>
    <w:rsid w:val="003B76BD"/>
    <w:rsid w:val="003B775B"/>
    <w:rsid w:val="003B787D"/>
    <w:rsid w:val="003B798E"/>
    <w:rsid w:val="003B7A0D"/>
    <w:rsid w:val="003B7BA4"/>
    <w:rsid w:val="003B7CAC"/>
    <w:rsid w:val="003B7D8D"/>
    <w:rsid w:val="003B7E20"/>
    <w:rsid w:val="003B7E73"/>
    <w:rsid w:val="003B7F76"/>
    <w:rsid w:val="003B7FAD"/>
    <w:rsid w:val="003B7FCC"/>
    <w:rsid w:val="003C0039"/>
    <w:rsid w:val="003C0157"/>
    <w:rsid w:val="003C01C5"/>
    <w:rsid w:val="003C02DB"/>
    <w:rsid w:val="003C03C5"/>
    <w:rsid w:val="003C03F3"/>
    <w:rsid w:val="003C04FF"/>
    <w:rsid w:val="003C0559"/>
    <w:rsid w:val="003C074A"/>
    <w:rsid w:val="003C076F"/>
    <w:rsid w:val="003C07EE"/>
    <w:rsid w:val="003C0979"/>
    <w:rsid w:val="003C0A0D"/>
    <w:rsid w:val="003C0B0A"/>
    <w:rsid w:val="003C0B6E"/>
    <w:rsid w:val="003C0BD4"/>
    <w:rsid w:val="003C0CF7"/>
    <w:rsid w:val="003C0E03"/>
    <w:rsid w:val="003C0E1E"/>
    <w:rsid w:val="003C0F31"/>
    <w:rsid w:val="003C10A1"/>
    <w:rsid w:val="003C119D"/>
    <w:rsid w:val="003C1234"/>
    <w:rsid w:val="003C1270"/>
    <w:rsid w:val="003C12F9"/>
    <w:rsid w:val="003C136F"/>
    <w:rsid w:val="003C15EE"/>
    <w:rsid w:val="003C190B"/>
    <w:rsid w:val="003C19A4"/>
    <w:rsid w:val="003C1A7F"/>
    <w:rsid w:val="003C1B4B"/>
    <w:rsid w:val="003C1B50"/>
    <w:rsid w:val="003C1B8D"/>
    <w:rsid w:val="003C1BEB"/>
    <w:rsid w:val="003C1EA3"/>
    <w:rsid w:val="003C1F85"/>
    <w:rsid w:val="003C204A"/>
    <w:rsid w:val="003C208D"/>
    <w:rsid w:val="003C2204"/>
    <w:rsid w:val="003C2258"/>
    <w:rsid w:val="003C2514"/>
    <w:rsid w:val="003C284F"/>
    <w:rsid w:val="003C29E7"/>
    <w:rsid w:val="003C2A41"/>
    <w:rsid w:val="003C2A80"/>
    <w:rsid w:val="003C2B32"/>
    <w:rsid w:val="003C2CB9"/>
    <w:rsid w:val="003C2CBD"/>
    <w:rsid w:val="003C2D2C"/>
    <w:rsid w:val="003C2E7B"/>
    <w:rsid w:val="003C2F2D"/>
    <w:rsid w:val="003C2F8D"/>
    <w:rsid w:val="003C323B"/>
    <w:rsid w:val="003C3299"/>
    <w:rsid w:val="003C3346"/>
    <w:rsid w:val="003C339B"/>
    <w:rsid w:val="003C33F7"/>
    <w:rsid w:val="003C352F"/>
    <w:rsid w:val="003C35B9"/>
    <w:rsid w:val="003C3607"/>
    <w:rsid w:val="003C3632"/>
    <w:rsid w:val="003C3794"/>
    <w:rsid w:val="003C37C8"/>
    <w:rsid w:val="003C3883"/>
    <w:rsid w:val="003C38FF"/>
    <w:rsid w:val="003C39EF"/>
    <w:rsid w:val="003C3B59"/>
    <w:rsid w:val="003C3DC5"/>
    <w:rsid w:val="003C3F6F"/>
    <w:rsid w:val="003C3FB0"/>
    <w:rsid w:val="003C3FF3"/>
    <w:rsid w:val="003C41EC"/>
    <w:rsid w:val="003C4200"/>
    <w:rsid w:val="003C4470"/>
    <w:rsid w:val="003C447C"/>
    <w:rsid w:val="003C44B1"/>
    <w:rsid w:val="003C47C6"/>
    <w:rsid w:val="003C49B5"/>
    <w:rsid w:val="003C4BC4"/>
    <w:rsid w:val="003C4BD8"/>
    <w:rsid w:val="003C4C00"/>
    <w:rsid w:val="003C4D3E"/>
    <w:rsid w:val="003C4D5D"/>
    <w:rsid w:val="003C4D88"/>
    <w:rsid w:val="003C4FE9"/>
    <w:rsid w:val="003C5220"/>
    <w:rsid w:val="003C52A7"/>
    <w:rsid w:val="003C52E2"/>
    <w:rsid w:val="003C53B5"/>
    <w:rsid w:val="003C546A"/>
    <w:rsid w:val="003C556F"/>
    <w:rsid w:val="003C5654"/>
    <w:rsid w:val="003C5DFB"/>
    <w:rsid w:val="003C5E33"/>
    <w:rsid w:val="003C61FB"/>
    <w:rsid w:val="003C6284"/>
    <w:rsid w:val="003C6437"/>
    <w:rsid w:val="003C64DA"/>
    <w:rsid w:val="003C65A1"/>
    <w:rsid w:val="003C65D6"/>
    <w:rsid w:val="003C65F7"/>
    <w:rsid w:val="003C66A9"/>
    <w:rsid w:val="003C69B5"/>
    <w:rsid w:val="003C6A29"/>
    <w:rsid w:val="003C6AEC"/>
    <w:rsid w:val="003C6C07"/>
    <w:rsid w:val="003C6C92"/>
    <w:rsid w:val="003C6C9A"/>
    <w:rsid w:val="003C6E28"/>
    <w:rsid w:val="003C6E8E"/>
    <w:rsid w:val="003C716B"/>
    <w:rsid w:val="003C7303"/>
    <w:rsid w:val="003C7374"/>
    <w:rsid w:val="003C737C"/>
    <w:rsid w:val="003C7508"/>
    <w:rsid w:val="003C7612"/>
    <w:rsid w:val="003C761C"/>
    <w:rsid w:val="003C7678"/>
    <w:rsid w:val="003C771D"/>
    <w:rsid w:val="003C78D7"/>
    <w:rsid w:val="003C790B"/>
    <w:rsid w:val="003C790F"/>
    <w:rsid w:val="003C7935"/>
    <w:rsid w:val="003C7A14"/>
    <w:rsid w:val="003C7D26"/>
    <w:rsid w:val="003C7D9A"/>
    <w:rsid w:val="003C7DB2"/>
    <w:rsid w:val="003C7F3E"/>
    <w:rsid w:val="003C7FD3"/>
    <w:rsid w:val="003C7FF4"/>
    <w:rsid w:val="003D010A"/>
    <w:rsid w:val="003D025C"/>
    <w:rsid w:val="003D037F"/>
    <w:rsid w:val="003D04F0"/>
    <w:rsid w:val="003D0535"/>
    <w:rsid w:val="003D0650"/>
    <w:rsid w:val="003D06A6"/>
    <w:rsid w:val="003D07EE"/>
    <w:rsid w:val="003D08AE"/>
    <w:rsid w:val="003D099F"/>
    <w:rsid w:val="003D0A13"/>
    <w:rsid w:val="003D0A9D"/>
    <w:rsid w:val="003D0B32"/>
    <w:rsid w:val="003D0D3D"/>
    <w:rsid w:val="003D0D85"/>
    <w:rsid w:val="003D0EA4"/>
    <w:rsid w:val="003D0EBA"/>
    <w:rsid w:val="003D10EE"/>
    <w:rsid w:val="003D1360"/>
    <w:rsid w:val="003D1403"/>
    <w:rsid w:val="003D1409"/>
    <w:rsid w:val="003D1531"/>
    <w:rsid w:val="003D18F5"/>
    <w:rsid w:val="003D19A2"/>
    <w:rsid w:val="003D1A20"/>
    <w:rsid w:val="003D1A4A"/>
    <w:rsid w:val="003D1C3C"/>
    <w:rsid w:val="003D1D46"/>
    <w:rsid w:val="003D1E1E"/>
    <w:rsid w:val="003D1E93"/>
    <w:rsid w:val="003D1E98"/>
    <w:rsid w:val="003D1EA7"/>
    <w:rsid w:val="003D1F21"/>
    <w:rsid w:val="003D1F2B"/>
    <w:rsid w:val="003D1FA8"/>
    <w:rsid w:val="003D2147"/>
    <w:rsid w:val="003D2183"/>
    <w:rsid w:val="003D2230"/>
    <w:rsid w:val="003D2254"/>
    <w:rsid w:val="003D234E"/>
    <w:rsid w:val="003D23A8"/>
    <w:rsid w:val="003D23C1"/>
    <w:rsid w:val="003D243E"/>
    <w:rsid w:val="003D24D5"/>
    <w:rsid w:val="003D24EB"/>
    <w:rsid w:val="003D2577"/>
    <w:rsid w:val="003D257F"/>
    <w:rsid w:val="003D268E"/>
    <w:rsid w:val="003D2758"/>
    <w:rsid w:val="003D279C"/>
    <w:rsid w:val="003D27CF"/>
    <w:rsid w:val="003D286A"/>
    <w:rsid w:val="003D2BBD"/>
    <w:rsid w:val="003D2BEF"/>
    <w:rsid w:val="003D2E36"/>
    <w:rsid w:val="003D2E54"/>
    <w:rsid w:val="003D2E99"/>
    <w:rsid w:val="003D2EA3"/>
    <w:rsid w:val="003D2F0A"/>
    <w:rsid w:val="003D2F2D"/>
    <w:rsid w:val="003D3052"/>
    <w:rsid w:val="003D3188"/>
    <w:rsid w:val="003D326B"/>
    <w:rsid w:val="003D33D4"/>
    <w:rsid w:val="003D33E1"/>
    <w:rsid w:val="003D3420"/>
    <w:rsid w:val="003D3453"/>
    <w:rsid w:val="003D3495"/>
    <w:rsid w:val="003D358D"/>
    <w:rsid w:val="003D36C6"/>
    <w:rsid w:val="003D3710"/>
    <w:rsid w:val="003D3857"/>
    <w:rsid w:val="003D38FD"/>
    <w:rsid w:val="003D3930"/>
    <w:rsid w:val="003D39CB"/>
    <w:rsid w:val="003D3C10"/>
    <w:rsid w:val="003D3C6D"/>
    <w:rsid w:val="003D3DBD"/>
    <w:rsid w:val="003D3ECD"/>
    <w:rsid w:val="003D3F98"/>
    <w:rsid w:val="003D40BB"/>
    <w:rsid w:val="003D411B"/>
    <w:rsid w:val="003D4217"/>
    <w:rsid w:val="003D444D"/>
    <w:rsid w:val="003D44FB"/>
    <w:rsid w:val="003D4526"/>
    <w:rsid w:val="003D46E3"/>
    <w:rsid w:val="003D47D5"/>
    <w:rsid w:val="003D4876"/>
    <w:rsid w:val="003D48D6"/>
    <w:rsid w:val="003D493D"/>
    <w:rsid w:val="003D49B2"/>
    <w:rsid w:val="003D49CA"/>
    <w:rsid w:val="003D4B0B"/>
    <w:rsid w:val="003D4B49"/>
    <w:rsid w:val="003D4C33"/>
    <w:rsid w:val="003D4C58"/>
    <w:rsid w:val="003D4CE7"/>
    <w:rsid w:val="003D4D85"/>
    <w:rsid w:val="003D4F68"/>
    <w:rsid w:val="003D521C"/>
    <w:rsid w:val="003D5244"/>
    <w:rsid w:val="003D5252"/>
    <w:rsid w:val="003D5312"/>
    <w:rsid w:val="003D531D"/>
    <w:rsid w:val="003D53E7"/>
    <w:rsid w:val="003D5460"/>
    <w:rsid w:val="003D552C"/>
    <w:rsid w:val="003D55A1"/>
    <w:rsid w:val="003D5638"/>
    <w:rsid w:val="003D56E8"/>
    <w:rsid w:val="003D571C"/>
    <w:rsid w:val="003D576A"/>
    <w:rsid w:val="003D576F"/>
    <w:rsid w:val="003D583E"/>
    <w:rsid w:val="003D584A"/>
    <w:rsid w:val="003D59ED"/>
    <w:rsid w:val="003D5B03"/>
    <w:rsid w:val="003D5B68"/>
    <w:rsid w:val="003D5C48"/>
    <w:rsid w:val="003D5C63"/>
    <w:rsid w:val="003D5E75"/>
    <w:rsid w:val="003D5EBC"/>
    <w:rsid w:val="003D5F58"/>
    <w:rsid w:val="003D5F72"/>
    <w:rsid w:val="003D61CE"/>
    <w:rsid w:val="003D6315"/>
    <w:rsid w:val="003D636E"/>
    <w:rsid w:val="003D6423"/>
    <w:rsid w:val="003D648A"/>
    <w:rsid w:val="003D64B0"/>
    <w:rsid w:val="003D64DF"/>
    <w:rsid w:val="003D65DB"/>
    <w:rsid w:val="003D69AA"/>
    <w:rsid w:val="003D69FE"/>
    <w:rsid w:val="003D6B19"/>
    <w:rsid w:val="003D6CD6"/>
    <w:rsid w:val="003D6D29"/>
    <w:rsid w:val="003D6D30"/>
    <w:rsid w:val="003D6D69"/>
    <w:rsid w:val="003D6D98"/>
    <w:rsid w:val="003D6DD5"/>
    <w:rsid w:val="003D6DE1"/>
    <w:rsid w:val="003D6E0B"/>
    <w:rsid w:val="003D6E2B"/>
    <w:rsid w:val="003D6F9F"/>
    <w:rsid w:val="003D6FC6"/>
    <w:rsid w:val="003D70FE"/>
    <w:rsid w:val="003D7186"/>
    <w:rsid w:val="003D71D0"/>
    <w:rsid w:val="003D744F"/>
    <w:rsid w:val="003D757E"/>
    <w:rsid w:val="003D77C9"/>
    <w:rsid w:val="003D7813"/>
    <w:rsid w:val="003D785C"/>
    <w:rsid w:val="003D789F"/>
    <w:rsid w:val="003D78E6"/>
    <w:rsid w:val="003D78EB"/>
    <w:rsid w:val="003D78FB"/>
    <w:rsid w:val="003D799D"/>
    <w:rsid w:val="003D7B0B"/>
    <w:rsid w:val="003D7BC6"/>
    <w:rsid w:val="003D7BD1"/>
    <w:rsid w:val="003D7E0E"/>
    <w:rsid w:val="003D7E2A"/>
    <w:rsid w:val="003DD88A"/>
    <w:rsid w:val="003E0080"/>
    <w:rsid w:val="003E02F5"/>
    <w:rsid w:val="003E0326"/>
    <w:rsid w:val="003E03DB"/>
    <w:rsid w:val="003E0477"/>
    <w:rsid w:val="003E04FB"/>
    <w:rsid w:val="003E04FC"/>
    <w:rsid w:val="003E0731"/>
    <w:rsid w:val="003E074C"/>
    <w:rsid w:val="003E0A09"/>
    <w:rsid w:val="003E0A52"/>
    <w:rsid w:val="003E0B15"/>
    <w:rsid w:val="003E0B17"/>
    <w:rsid w:val="003E0C76"/>
    <w:rsid w:val="003E0F0E"/>
    <w:rsid w:val="003E1049"/>
    <w:rsid w:val="003E10C9"/>
    <w:rsid w:val="003E10FC"/>
    <w:rsid w:val="003E1226"/>
    <w:rsid w:val="003E1333"/>
    <w:rsid w:val="003E138E"/>
    <w:rsid w:val="003E145C"/>
    <w:rsid w:val="003E1541"/>
    <w:rsid w:val="003E16E9"/>
    <w:rsid w:val="003E17DC"/>
    <w:rsid w:val="003E1840"/>
    <w:rsid w:val="003E18E0"/>
    <w:rsid w:val="003E1A2B"/>
    <w:rsid w:val="003E1B24"/>
    <w:rsid w:val="003E1B64"/>
    <w:rsid w:val="003E1BE9"/>
    <w:rsid w:val="003E1CF2"/>
    <w:rsid w:val="003E1D03"/>
    <w:rsid w:val="003E1D46"/>
    <w:rsid w:val="003E1DBB"/>
    <w:rsid w:val="003E1E0B"/>
    <w:rsid w:val="003E1E0D"/>
    <w:rsid w:val="003E1E18"/>
    <w:rsid w:val="003E1EC5"/>
    <w:rsid w:val="003E1F28"/>
    <w:rsid w:val="003E1FC0"/>
    <w:rsid w:val="003E2048"/>
    <w:rsid w:val="003E217B"/>
    <w:rsid w:val="003E21F7"/>
    <w:rsid w:val="003E26BD"/>
    <w:rsid w:val="003E27E4"/>
    <w:rsid w:val="003E2860"/>
    <w:rsid w:val="003E28B8"/>
    <w:rsid w:val="003E295C"/>
    <w:rsid w:val="003E2995"/>
    <w:rsid w:val="003E29F4"/>
    <w:rsid w:val="003E2BE5"/>
    <w:rsid w:val="003E2C46"/>
    <w:rsid w:val="003E2CED"/>
    <w:rsid w:val="003E2E8E"/>
    <w:rsid w:val="003E2EC3"/>
    <w:rsid w:val="003E2FF9"/>
    <w:rsid w:val="003E31CE"/>
    <w:rsid w:val="003E31D6"/>
    <w:rsid w:val="003E3204"/>
    <w:rsid w:val="003E3298"/>
    <w:rsid w:val="003E3341"/>
    <w:rsid w:val="003E3487"/>
    <w:rsid w:val="003E34BB"/>
    <w:rsid w:val="003E3672"/>
    <w:rsid w:val="003E3828"/>
    <w:rsid w:val="003E3957"/>
    <w:rsid w:val="003E3976"/>
    <w:rsid w:val="003E3A19"/>
    <w:rsid w:val="003E3D52"/>
    <w:rsid w:val="003E3ECE"/>
    <w:rsid w:val="003E4016"/>
    <w:rsid w:val="003E40B4"/>
    <w:rsid w:val="003E424E"/>
    <w:rsid w:val="003E4336"/>
    <w:rsid w:val="003E43D4"/>
    <w:rsid w:val="003E4460"/>
    <w:rsid w:val="003E4475"/>
    <w:rsid w:val="003E4612"/>
    <w:rsid w:val="003E4661"/>
    <w:rsid w:val="003E471F"/>
    <w:rsid w:val="003E4860"/>
    <w:rsid w:val="003E48AA"/>
    <w:rsid w:val="003E4901"/>
    <w:rsid w:val="003E4A5E"/>
    <w:rsid w:val="003E4BD2"/>
    <w:rsid w:val="003E4BE6"/>
    <w:rsid w:val="003E4BFB"/>
    <w:rsid w:val="003E4E67"/>
    <w:rsid w:val="003E4ECD"/>
    <w:rsid w:val="003E4EF8"/>
    <w:rsid w:val="003E4EFC"/>
    <w:rsid w:val="003E5009"/>
    <w:rsid w:val="003E5150"/>
    <w:rsid w:val="003E5286"/>
    <w:rsid w:val="003E52E2"/>
    <w:rsid w:val="003E53BB"/>
    <w:rsid w:val="003E53D4"/>
    <w:rsid w:val="003E55A8"/>
    <w:rsid w:val="003E56C3"/>
    <w:rsid w:val="003E56ED"/>
    <w:rsid w:val="003E57CB"/>
    <w:rsid w:val="003E58AB"/>
    <w:rsid w:val="003E5902"/>
    <w:rsid w:val="003E590B"/>
    <w:rsid w:val="003E592F"/>
    <w:rsid w:val="003E5A72"/>
    <w:rsid w:val="003E5BDF"/>
    <w:rsid w:val="003E5DFF"/>
    <w:rsid w:val="003E5FF2"/>
    <w:rsid w:val="003E6019"/>
    <w:rsid w:val="003E606E"/>
    <w:rsid w:val="003E60B0"/>
    <w:rsid w:val="003E6101"/>
    <w:rsid w:val="003E6201"/>
    <w:rsid w:val="003E6354"/>
    <w:rsid w:val="003E63EE"/>
    <w:rsid w:val="003E6432"/>
    <w:rsid w:val="003E645D"/>
    <w:rsid w:val="003E651D"/>
    <w:rsid w:val="003E66EC"/>
    <w:rsid w:val="003E6716"/>
    <w:rsid w:val="003E680F"/>
    <w:rsid w:val="003E6837"/>
    <w:rsid w:val="003E6989"/>
    <w:rsid w:val="003E69A2"/>
    <w:rsid w:val="003E6D1F"/>
    <w:rsid w:val="003E7049"/>
    <w:rsid w:val="003E70B0"/>
    <w:rsid w:val="003E70BA"/>
    <w:rsid w:val="003E730B"/>
    <w:rsid w:val="003E7425"/>
    <w:rsid w:val="003E7681"/>
    <w:rsid w:val="003E7730"/>
    <w:rsid w:val="003E77B0"/>
    <w:rsid w:val="003E7883"/>
    <w:rsid w:val="003E7A52"/>
    <w:rsid w:val="003E7AA8"/>
    <w:rsid w:val="003E7B7D"/>
    <w:rsid w:val="003E7C7B"/>
    <w:rsid w:val="003E7CCA"/>
    <w:rsid w:val="003E7CD7"/>
    <w:rsid w:val="003E7D1A"/>
    <w:rsid w:val="003E7D9F"/>
    <w:rsid w:val="003E7ECB"/>
    <w:rsid w:val="003E7ED2"/>
    <w:rsid w:val="003E7F2D"/>
    <w:rsid w:val="003E7F3C"/>
    <w:rsid w:val="003E7FE3"/>
    <w:rsid w:val="003F0057"/>
    <w:rsid w:val="003F00DF"/>
    <w:rsid w:val="003F011B"/>
    <w:rsid w:val="003F01BF"/>
    <w:rsid w:val="003F0209"/>
    <w:rsid w:val="003F02A9"/>
    <w:rsid w:val="003F040A"/>
    <w:rsid w:val="003F05B0"/>
    <w:rsid w:val="003F0664"/>
    <w:rsid w:val="003F0740"/>
    <w:rsid w:val="003F08F9"/>
    <w:rsid w:val="003F09A4"/>
    <w:rsid w:val="003F0A38"/>
    <w:rsid w:val="003F0ADF"/>
    <w:rsid w:val="003F0C5E"/>
    <w:rsid w:val="003F0CDB"/>
    <w:rsid w:val="003F0D72"/>
    <w:rsid w:val="003F0E21"/>
    <w:rsid w:val="003F0F28"/>
    <w:rsid w:val="003F10D8"/>
    <w:rsid w:val="003F1164"/>
    <w:rsid w:val="003F133F"/>
    <w:rsid w:val="003F13F4"/>
    <w:rsid w:val="003F1477"/>
    <w:rsid w:val="003F147D"/>
    <w:rsid w:val="003F14FA"/>
    <w:rsid w:val="003F154F"/>
    <w:rsid w:val="003F1662"/>
    <w:rsid w:val="003F17F8"/>
    <w:rsid w:val="003F1813"/>
    <w:rsid w:val="003F1890"/>
    <w:rsid w:val="003F1934"/>
    <w:rsid w:val="003F1A05"/>
    <w:rsid w:val="003F1A14"/>
    <w:rsid w:val="003F1B01"/>
    <w:rsid w:val="003F1B24"/>
    <w:rsid w:val="003F1BEC"/>
    <w:rsid w:val="003F1D0A"/>
    <w:rsid w:val="003F1D13"/>
    <w:rsid w:val="003F1E67"/>
    <w:rsid w:val="003F1F22"/>
    <w:rsid w:val="003F1FC1"/>
    <w:rsid w:val="003F1FC6"/>
    <w:rsid w:val="003F21AE"/>
    <w:rsid w:val="003F21D4"/>
    <w:rsid w:val="003F222F"/>
    <w:rsid w:val="003F2294"/>
    <w:rsid w:val="003F231D"/>
    <w:rsid w:val="003F234B"/>
    <w:rsid w:val="003F25E9"/>
    <w:rsid w:val="003F261C"/>
    <w:rsid w:val="003F268C"/>
    <w:rsid w:val="003F28BD"/>
    <w:rsid w:val="003F2901"/>
    <w:rsid w:val="003F29E8"/>
    <w:rsid w:val="003F2AAA"/>
    <w:rsid w:val="003F2B7C"/>
    <w:rsid w:val="003F2D4A"/>
    <w:rsid w:val="003F2D8B"/>
    <w:rsid w:val="003F2DA4"/>
    <w:rsid w:val="003F2F0D"/>
    <w:rsid w:val="003F2FFF"/>
    <w:rsid w:val="003F325E"/>
    <w:rsid w:val="003F3390"/>
    <w:rsid w:val="003F33ED"/>
    <w:rsid w:val="003F34EC"/>
    <w:rsid w:val="003F36F4"/>
    <w:rsid w:val="003F3931"/>
    <w:rsid w:val="003F3BC3"/>
    <w:rsid w:val="003F3C6E"/>
    <w:rsid w:val="003F3CAA"/>
    <w:rsid w:val="003F3D13"/>
    <w:rsid w:val="003F3D35"/>
    <w:rsid w:val="003F3D96"/>
    <w:rsid w:val="003F3E02"/>
    <w:rsid w:val="003F3E1C"/>
    <w:rsid w:val="003F3E4C"/>
    <w:rsid w:val="003F3E50"/>
    <w:rsid w:val="003F3F3B"/>
    <w:rsid w:val="003F3FFC"/>
    <w:rsid w:val="003F40F5"/>
    <w:rsid w:val="003F4166"/>
    <w:rsid w:val="003F4174"/>
    <w:rsid w:val="003F4280"/>
    <w:rsid w:val="003F4375"/>
    <w:rsid w:val="003F45BE"/>
    <w:rsid w:val="003F46DF"/>
    <w:rsid w:val="003F4806"/>
    <w:rsid w:val="003F48B6"/>
    <w:rsid w:val="003F49F5"/>
    <w:rsid w:val="003F4B54"/>
    <w:rsid w:val="003F4DC5"/>
    <w:rsid w:val="003F4E79"/>
    <w:rsid w:val="003F4F5E"/>
    <w:rsid w:val="003F51B0"/>
    <w:rsid w:val="003F5383"/>
    <w:rsid w:val="003F54DF"/>
    <w:rsid w:val="003F56FA"/>
    <w:rsid w:val="003F57DE"/>
    <w:rsid w:val="003F57ED"/>
    <w:rsid w:val="003F5846"/>
    <w:rsid w:val="003F5B3E"/>
    <w:rsid w:val="003F5D16"/>
    <w:rsid w:val="003F5FB4"/>
    <w:rsid w:val="003F6005"/>
    <w:rsid w:val="003F60E7"/>
    <w:rsid w:val="003F6103"/>
    <w:rsid w:val="003F6229"/>
    <w:rsid w:val="003F623C"/>
    <w:rsid w:val="003F658C"/>
    <w:rsid w:val="003F6594"/>
    <w:rsid w:val="003F67A9"/>
    <w:rsid w:val="003F6809"/>
    <w:rsid w:val="003F6871"/>
    <w:rsid w:val="003F6A42"/>
    <w:rsid w:val="003F6C19"/>
    <w:rsid w:val="003F6D87"/>
    <w:rsid w:val="003F6E3C"/>
    <w:rsid w:val="003F6EF8"/>
    <w:rsid w:val="003F6F4B"/>
    <w:rsid w:val="003F701C"/>
    <w:rsid w:val="003F702F"/>
    <w:rsid w:val="003F7423"/>
    <w:rsid w:val="003F7478"/>
    <w:rsid w:val="003F75C5"/>
    <w:rsid w:val="003F76EE"/>
    <w:rsid w:val="003F796C"/>
    <w:rsid w:val="003F7A01"/>
    <w:rsid w:val="003F7A80"/>
    <w:rsid w:val="003F7AF6"/>
    <w:rsid w:val="003F7B49"/>
    <w:rsid w:val="003F7BAB"/>
    <w:rsid w:val="003F7BAD"/>
    <w:rsid w:val="003F7BEE"/>
    <w:rsid w:val="003F7BFC"/>
    <w:rsid w:val="003F7CA7"/>
    <w:rsid w:val="003F7CC4"/>
    <w:rsid w:val="003F7EE5"/>
    <w:rsid w:val="004000DB"/>
    <w:rsid w:val="00400176"/>
    <w:rsid w:val="004001EC"/>
    <w:rsid w:val="00400220"/>
    <w:rsid w:val="00400225"/>
    <w:rsid w:val="00400492"/>
    <w:rsid w:val="0040056B"/>
    <w:rsid w:val="0040057B"/>
    <w:rsid w:val="004006C7"/>
    <w:rsid w:val="00400806"/>
    <w:rsid w:val="00400A3E"/>
    <w:rsid w:val="00400C3B"/>
    <w:rsid w:val="00400C81"/>
    <w:rsid w:val="00400CD9"/>
    <w:rsid w:val="00400E25"/>
    <w:rsid w:val="00400E42"/>
    <w:rsid w:val="00400E69"/>
    <w:rsid w:val="00400F55"/>
    <w:rsid w:val="00400FA5"/>
    <w:rsid w:val="00401009"/>
    <w:rsid w:val="0040108F"/>
    <w:rsid w:val="004011A7"/>
    <w:rsid w:val="0040155B"/>
    <w:rsid w:val="004015F1"/>
    <w:rsid w:val="0040165D"/>
    <w:rsid w:val="004016DB"/>
    <w:rsid w:val="004018C8"/>
    <w:rsid w:val="00401A1A"/>
    <w:rsid w:val="00401A33"/>
    <w:rsid w:val="00401AAC"/>
    <w:rsid w:val="00401C1B"/>
    <w:rsid w:val="00401CE9"/>
    <w:rsid w:val="00401D17"/>
    <w:rsid w:val="00401D83"/>
    <w:rsid w:val="00401E1C"/>
    <w:rsid w:val="00401E35"/>
    <w:rsid w:val="00401E6F"/>
    <w:rsid w:val="00401EA7"/>
    <w:rsid w:val="00401EFE"/>
    <w:rsid w:val="004020F0"/>
    <w:rsid w:val="004020F2"/>
    <w:rsid w:val="00402269"/>
    <w:rsid w:val="004023BB"/>
    <w:rsid w:val="0040246F"/>
    <w:rsid w:val="00402525"/>
    <w:rsid w:val="00402598"/>
    <w:rsid w:val="0040270C"/>
    <w:rsid w:val="004028B5"/>
    <w:rsid w:val="00402A61"/>
    <w:rsid w:val="00402C61"/>
    <w:rsid w:val="00402E2B"/>
    <w:rsid w:val="00402F01"/>
    <w:rsid w:val="00402FDF"/>
    <w:rsid w:val="0040322C"/>
    <w:rsid w:val="0040325C"/>
    <w:rsid w:val="0040339A"/>
    <w:rsid w:val="00403442"/>
    <w:rsid w:val="00403512"/>
    <w:rsid w:val="004035C1"/>
    <w:rsid w:val="00403616"/>
    <w:rsid w:val="00403641"/>
    <w:rsid w:val="00403649"/>
    <w:rsid w:val="004037FB"/>
    <w:rsid w:val="0040393A"/>
    <w:rsid w:val="00403949"/>
    <w:rsid w:val="00403A11"/>
    <w:rsid w:val="00403A8B"/>
    <w:rsid w:val="00403C60"/>
    <w:rsid w:val="00403C95"/>
    <w:rsid w:val="00403CAB"/>
    <w:rsid w:val="00403DAB"/>
    <w:rsid w:val="00403DC7"/>
    <w:rsid w:val="00403E9A"/>
    <w:rsid w:val="00403F56"/>
    <w:rsid w:val="00404012"/>
    <w:rsid w:val="00404077"/>
    <w:rsid w:val="004040E3"/>
    <w:rsid w:val="004041DE"/>
    <w:rsid w:val="0040432B"/>
    <w:rsid w:val="00404409"/>
    <w:rsid w:val="004044B8"/>
    <w:rsid w:val="004044E3"/>
    <w:rsid w:val="0040489E"/>
    <w:rsid w:val="00404A74"/>
    <w:rsid w:val="00404AEC"/>
    <w:rsid w:val="00404B46"/>
    <w:rsid w:val="00404B63"/>
    <w:rsid w:val="00404BD4"/>
    <w:rsid w:val="00404BF0"/>
    <w:rsid w:val="00404C28"/>
    <w:rsid w:val="00404CEB"/>
    <w:rsid w:val="00404DEE"/>
    <w:rsid w:val="00405196"/>
    <w:rsid w:val="00405293"/>
    <w:rsid w:val="004056AC"/>
    <w:rsid w:val="00405726"/>
    <w:rsid w:val="00405984"/>
    <w:rsid w:val="00405A5D"/>
    <w:rsid w:val="00405F19"/>
    <w:rsid w:val="00405F76"/>
    <w:rsid w:val="00405F81"/>
    <w:rsid w:val="00405F8C"/>
    <w:rsid w:val="00405FF6"/>
    <w:rsid w:val="00406356"/>
    <w:rsid w:val="0040642B"/>
    <w:rsid w:val="004064CD"/>
    <w:rsid w:val="00406513"/>
    <w:rsid w:val="0040657B"/>
    <w:rsid w:val="004067DA"/>
    <w:rsid w:val="00406807"/>
    <w:rsid w:val="004068AC"/>
    <w:rsid w:val="00406C99"/>
    <w:rsid w:val="00406D44"/>
    <w:rsid w:val="00406DDF"/>
    <w:rsid w:val="00406F23"/>
    <w:rsid w:val="0040727A"/>
    <w:rsid w:val="004072A7"/>
    <w:rsid w:val="0040740D"/>
    <w:rsid w:val="00407426"/>
    <w:rsid w:val="00407706"/>
    <w:rsid w:val="00407735"/>
    <w:rsid w:val="00407753"/>
    <w:rsid w:val="00407767"/>
    <w:rsid w:val="00407A2B"/>
    <w:rsid w:val="00407A75"/>
    <w:rsid w:val="00407AAB"/>
    <w:rsid w:val="00407AAF"/>
    <w:rsid w:val="00407C53"/>
    <w:rsid w:val="00407C8C"/>
    <w:rsid w:val="00407CA9"/>
    <w:rsid w:val="00407CD2"/>
    <w:rsid w:val="00407D14"/>
    <w:rsid w:val="00407DBD"/>
    <w:rsid w:val="00407E43"/>
    <w:rsid w:val="00407EE6"/>
    <w:rsid w:val="00407F42"/>
    <w:rsid w:val="00407F96"/>
    <w:rsid w:val="0040B8EB"/>
    <w:rsid w:val="004100E4"/>
    <w:rsid w:val="0041031A"/>
    <w:rsid w:val="00410414"/>
    <w:rsid w:val="004104B5"/>
    <w:rsid w:val="00410521"/>
    <w:rsid w:val="0041065E"/>
    <w:rsid w:val="00410704"/>
    <w:rsid w:val="00410970"/>
    <w:rsid w:val="00410C0E"/>
    <w:rsid w:val="00410C16"/>
    <w:rsid w:val="00410C39"/>
    <w:rsid w:val="00410CB4"/>
    <w:rsid w:val="00410CBC"/>
    <w:rsid w:val="00410CDB"/>
    <w:rsid w:val="00410E07"/>
    <w:rsid w:val="00410E51"/>
    <w:rsid w:val="00411163"/>
    <w:rsid w:val="0041122C"/>
    <w:rsid w:val="004113B2"/>
    <w:rsid w:val="00411494"/>
    <w:rsid w:val="0041151A"/>
    <w:rsid w:val="004115DE"/>
    <w:rsid w:val="004116A1"/>
    <w:rsid w:val="004116B9"/>
    <w:rsid w:val="00411712"/>
    <w:rsid w:val="00411784"/>
    <w:rsid w:val="004118C7"/>
    <w:rsid w:val="004119A8"/>
    <w:rsid w:val="00411A65"/>
    <w:rsid w:val="00411AE0"/>
    <w:rsid w:val="00411AE7"/>
    <w:rsid w:val="00411B71"/>
    <w:rsid w:val="00411CCA"/>
    <w:rsid w:val="00411E28"/>
    <w:rsid w:val="00411ED5"/>
    <w:rsid w:val="00411F13"/>
    <w:rsid w:val="00411F9E"/>
    <w:rsid w:val="00412225"/>
    <w:rsid w:val="00412243"/>
    <w:rsid w:val="00412400"/>
    <w:rsid w:val="004125BC"/>
    <w:rsid w:val="00412784"/>
    <w:rsid w:val="00412899"/>
    <w:rsid w:val="0041291A"/>
    <w:rsid w:val="00412920"/>
    <w:rsid w:val="00412B21"/>
    <w:rsid w:val="00412BEF"/>
    <w:rsid w:val="00412C3D"/>
    <w:rsid w:val="00412CB5"/>
    <w:rsid w:val="00412CC1"/>
    <w:rsid w:val="00412D95"/>
    <w:rsid w:val="00412DB7"/>
    <w:rsid w:val="00412E96"/>
    <w:rsid w:val="00412EA7"/>
    <w:rsid w:val="00412F49"/>
    <w:rsid w:val="0041333C"/>
    <w:rsid w:val="00413531"/>
    <w:rsid w:val="004136DC"/>
    <w:rsid w:val="00413807"/>
    <w:rsid w:val="00413839"/>
    <w:rsid w:val="00413A0C"/>
    <w:rsid w:val="00413BBA"/>
    <w:rsid w:val="00413BCE"/>
    <w:rsid w:val="00413C5A"/>
    <w:rsid w:val="00413C82"/>
    <w:rsid w:val="00413CD3"/>
    <w:rsid w:val="00413CD7"/>
    <w:rsid w:val="00413CFE"/>
    <w:rsid w:val="00413D9A"/>
    <w:rsid w:val="00413DA0"/>
    <w:rsid w:val="00413E1D"/>
    <w:rsid w:val="00413E1E"/>
    <w:rsid w:val="00413F0E"/>
    <w:rsid w:val="00413FBC"/>
    <w:rsid w:val="00414019"/>
    <w:rsid w:val="0041402C"/>
    <w:rsid w:val="004140B7"/>
    <w:rsid w:val="00414124"/>
    <w:rsid w:val="00414490"/>
    <w:rsid w:val="004145A1"/>
    <w:rsid w:val="004146CB"/>
    <w:rsid w:val="00414876"/>
    <w:rsid w:val="004149D2"/>
    <w:rsid w:val="004149D3"/>
    <w:rsid w:val="00414A09"/>
    <w:rsid w:val="00414A95"/>
    <w:rsid w:val="00414C4D"/>
    <w:rsid w:val="00414CB1"/>
    <w:rsid w:val="00414E74"/>
    <w:rsid w:val="00414EAD"/>
    <w:rsid w:val="00414EE5"/>
    <w:rsid w:val="00414F6D"/>
    <w:rsid w:val="004150A7"/>
    <w:rsid w:val="004150CE"/>
    <w:rsid w:val="004150E0"/>
    <w:rsid w:val="00415136"/>
    <w:rsid w:val="00415160"/>
    <w:rsid w:val="00415165"/>
    <w:rsid w:val="00415214"/>
    <w:rsid w:val="0041528A"/>
    <w:rsid w:val="0041540E"/>
    <w:rsid w:val="00415575"/>
    <w:rsid w:val="0041558A"/>
    <w:rsid w:val="004155F2"/>
    <w:rsid w:val="0041569C"/>
    <w:rsid w:val="004156B3"/>
    <w:rsid w:val="0041570C"/>
    <w:rsid w:val="00415726"/>
    <w:rsid w:val="004157C3"/>
    <w:rsid w:val="004157D8"/>
    <w:rsid w:val="004158D3"/>
    <w:rsid w:val="00415B87"/>
    <w:rsid w:val="00415C3D"/>
    <w:rsid w:val="00415CEB"/>
    <w:rsid w:val="00415D2B"/>
    <w:rsid w:val="00415DA9"/>
    <w:rsid w:val="00415DFA"/>
    <w:rsid w:val="00415EAC"/>
    <w:rsid w:val="00416073"/>
    <w:rsid w:val="0041610E"/>
    <w:rsid w:val="004161F4"/>
    <w:rsid w:val="0041623E"/>
    <w:rsid w:val="00416246"/>
    <w:rsid w:val="004162D9"/>
    <w:rsid w:val="00416624"/>
    <w:rsid w:val="00416649"/>
    <w:rsid w:val="0041664C"/>
    <w:rsid w:val="0041672B"/>
    <w:rsid w:val="00416806"/>
    <w:rsid w:val="00416888"/>
    <w:rsid w:val="004169D5"/>
    <w:rsid w:val="004169E3"/>
    <w:rsid w:val="00416A19"/>
    <w:rsid w:val="00416B5C"/>
    <w:rsid w:val="00416BC7"/>
    <w:rsid w:val="00416C12"/>
    <w:rsid w:val="00416CBD"/>
    <w:rsid w:val="00416E08"/>
    <w:rsid w:val="00416EEA"/>
    <w:rsid w:val="00416EF6"/>
    <w:rsid w:val="00416F79"/>
    <w:rsid w:val="00416F96"/>
    <w:rsid w:val="00416FAC"/>
    <w:rsid w:val="004174F8"/>
    <w:rsid w:val="00417561"/>
    <w:rsid w:val="0041767A"/>
    <w:rsid w:val="00417684"/>
    <w:rsid w:val="004176F2"/>
    <w:rsid w:val="0041799D"/>
    <w:rsid w:val="004179B2"/>
    <w:rsid w:val="00417B2B"/>
    <w:rsid w:val="00417C23"/>
    <w:rsid w:val="00417C44"/>
    <w:rsid w:val="00417C82"/>
    <w:rsid w:val="00417DD0"/>
    <w:rsid w:val="0042000F"/>
    <w:rsid w:val="00420034"/>
    <w:rsid w:val="00420261"/>
    <w:rsid w:val="00420386"/>
    <w:rsid w:val="004203BB"/>
    <w:rsid w:val="00420453"/>
    <w:rsid w:val="004204BC"/>
    <w:rsid w:val="004204C2"/>
    <w:rsid w:val="004205E4"/>
    <w:rsid w:val="00420603"/>
    <w:rsid w:val="0042076E"/>
    <w:rsid w:val="004207A5"/>
    <w:rsid w:val="004207E3"/>
    <w:rsid w:val="004207EC"/>
    <w:rsid w:val="00420898"/>
    <w:rsid w:val="004209BA"/>
    <w:rsid w:val="00420CAB"/>
    <w:rsid w:val="00420DA7"/>
    <w:rsid w:val="00420DB1"/>
    <w:rsid w:val="00420E94"/>
    <w:rsid w:val="0042105F"/>
    <w:rsid w:val="00421082"/>
    <w:rsid w:val="00421321"/>
    <w:rsid w:val="0042137C"/>
    <w:rsid w:val="00421417"/>
    <w:rsid w:val="00421484"/>
    <w:rsid w:val="0042148C"/>
    <w:rsid w:val="00421498"/>
    <w:rsid w:val="0042151A"/>
    <w:rsid w:val="00421608"/>
    <w:rsid w:val="004216D3"/>
    <w:rsid w:val="004218B0"/>
    <w:rsid w:val="0042190F"/>
    <w:rsid w:val="004219F8"/>
    <w:rsid w:val="00421BC5"/>
    <w:rsid w:val="00421C47"/>
    <w:rsid w:val="00421C9B"/>
    <w:rsid w:val="00421E2D"/>
    <w:rsid w:val="00421FBA"/>
    <w:rsid w:val="00422119"/>
    <w:rsid w:val="004223C7"/>
    <w:rsid w:val="0042254A"/>
    <w:rsid w:val="00422559"/>
    <w:rsid w:val="00422657"/>
    <w:rsid w:val="00422670"/>
    <w:rsid w:val="00422807"/>
    <w:rsid w:val="00422808"/>
    <w:rsid w:val="00422809"/>
    <w:rsid w:val="00422831"/>
    <w:rsid w:val="00422886"/>
    <w:rsid w:val="0042289D"/>
    <w:rsid w:val="00422ACC"/>
    <w:rsid w:val="00422D7F"/>
    <w:rsid w:val="00422D8B"/>
    <w:rsid w:val="00422E5A"/>
    <w:rsid w:val="00422EF2"/>
    <w:rsid w:val="00422FB2"/>
    <w:rsid w:val="00423084"/>
    <w:rsid w:val="00423092"/>
    <w:rsid w:val="004230FF"/>
    <w:rsid w:val="0042311C"/>
    <w:rsid w:val="0042319E"/>
    <w:rsid w:val="0042320A"/>
    <w:rsid w:val="004232E1"/>
    <w:rsid w:val="0042330E"/>
    <w:rsid w:val="004233B3"/>
    <w:rsid w:val="004233B8"/>
    <w:rsid w:val="00423460"/>
    <w:rsid w:val="0042359A"/>
    <w:rsid w:val="004235FB"/>
    <w:rsid w:val="004236C7"/>
    <w:rsid w:val="004237CF"/>
    <w:rsid w:val="00423814"/>
    <w:rsid w:val="00423863"/>
    <w:rsid w:val="0042392A"/>
    <w:rsid w:val="0042398D"/>
    <w:rsid w:val="004239F8"/>
    <w:rsid w:val="00423A26"/>
    <w:rsid w:val="00423C03"/>
    <w:rsid w:val="00423E10"/>
    <w:rsid w:val="00424017"/>
    <w:rsid w:val="004240D5"/>
    <w:rsid w:val="004240EB"/>
    <w:rsid w:val="00424262"/>
    <w:rsid w:val="00424339"/>
    <w:rsid w:val="00424352"/>
    <w:rsid w:val="00424449"/>
    <w:rsid w:val="004244C8"/>
    <w:rsid w:val="004244EB"/>
    <w:rsid w:val="004244FE"/>
    <w:rsid w:val="004245E6"/>
    <w:rsid w:val="004246FC"/>
    <w:rsid w:val="00424916"/>
    <w:rsid w:val="00424CE3"/>
    <w:rsid w:val="00424D29"/>
    <w:rsid w:val="00424E80"/>
    <w:rsid w:val="00425164"/>
    <w:rsid w:val="0042531B"/>
    <w:rsid w:val="0042537F"/>
    <w:rsid w:val="004253E7"/>
    <w:rsid w:val="0042542F"/>
    <w:rsid w:val="00425489"/>
    <w:rsid w:val="0042570B"/>
    <w:rsid w:val="00425828"/>
    <w:rsid w:val="0042596A"/>
    <w:rsid w:val="00425975"/>
    <w:rsid w:val="00425D33"/>
    <w:rsid w:val="00425D5E"/>
    <w:rsid w:val="00425E48"/>
    <w:rsid w:val="00426126"/>
    <w:rsid w:val="004263B6"/>
    <w:rsid w:val="00426480"/>
    <w:rsid w:val="00426504"/>
    <w:rsid w:val="00426829"/>
    <w:rsid w:val="004268E1"/>
    <w:rsid w:val="004269A1"/>
    <w:rsid w:val="00426AAA"/>
    <w:rsid w:val="00426C0F"/>
    <w:rsid w:val="00426C2D"/>
    <w:rsid w:val="00426F09"/>
    <w:rsid w:val="00426F6E"/>
    <w:rsid w:val="00427307"/>
    <w:rsid w:val="00427555"/>
    <w:rsid w:val="004275BA"/>
    <w:rsid w:val="004275BC"/>
    <w:rsid w:val="00427847"/>
    <w:rsid w:val="00427892"/>
    <w:rsid w:val="0042790D"/>
    <w:rsid w:val="00427922"/>
    <w:rsid w:val="004279BF"/>
    <w:rsid w:val="00427AC5"/>
    <w:rsid w:val="00427B10"/>
    <w:rsid w:val="00427BE1"/>
    <w:rsid w:val="00427E4F"/>
    <w:rsid w:val="00427E67"/>
    <w:rsid w:val="00427E97"/>
    <w:rsid w:val="00427FDD"/>
    <w:rsid w:val="0042D437"/>
    <w:rsid w:val="004300AE"/>
    <w:rsid w:val="00430210"/>
    <w:rsid w:val="00430269"/>
    <w:rsid w:val="004302A9"/>
    <w:rsid w:val="00430307"/>
    <w:rsid w:val="004303C1"/>
    <w:rsid w:val="004303FF"/>
    <w:rsid w:val="004304FB"/>
    <w:rsid w:val="004305DA"/>
    <w:rsid w:val="004305E1"/>
    <w:rsid w:val="0043070C"/>
    <w:rsid w:val="00430766"/>
    <w:rsid w:val="00430807"/>
    <w:rsid w:val="004308CB"/>
    <w:rsid w:val="00430B22"/>
    <w:rsid w:val="00430CD8"/>
    <w:rsid w:val="00430CE4"/>
    <w:rsid w:val="00430D5D"/>
    <w:rsid w:val="00430DB1"/>
    <w:rsid w:val="00430DE2"/>
    <w:rsid w:val="00430E74"/>
    <w:rsid w:val="00430F70"/>
    <w:rsid w:val="00430FCD"/>
    <w:rsid w:val="0043100E"/>
    <w:rsid w:val="004312F0"/>
    <w:rsid w:val="00431404"/>
    <w:rsid w:val="00431505"/>
    <w:rsid w:val="00431523"/>
    <w:rsid w:val="004315D2"/>
    <w:rsid w:val="0043162D"/>
    <w:rsid w:val="004316D5"/>
    <w:rsid w:val="0043184E"/>
    <w:rsid w:val="00431A19"/>
    <w:rsid w:val="00431B39"/>
    <w:rsid w:val="00431C08"/>
    <w:rsid w:val="00431C83"/>
    <w:rsid w:val="00431C84"/>
    <w:rsid w:val="00431CCB"/>
    <w:rsid w:val="00431D58"/>
    <w:rsid w:val="00431D9C"/>
    <w:rsid w:val="00431E06"/>
    <w:rsid w:val="00431E6C"/>
    <w:rsid w:val="00431FCC"/>
    <w:rsid w:val="00432031"/>
    <w:rsid w:val="0043203A"/>
    <w:rsid w:val="00432067"/>
    <w:rsid w:val="00432129"/>
    <w:rsid w:val="00432343"/>
    <w:rsid w:val="00432349"/>
    <w:rsid w:val="004323D3"/>
    <w:rsid w:val="00432480"/>
    <w:rsid w:val="00432547"/>
    <w:rsid w:val="00432629"/>
    <w:rsid w:val="00432634"/>
    <w:rsid w:val="004326A1"/>
    <w:rsid w:val="00432718"/>
    <w:rsid w:val="0043279B"/>
    <w:rsid w:val="004327CA"/>
    <w:rsid w:val="0043281C"/>
    <w:rsid w:val="00432963"/>
    <w:rsid w:val="00432994"/>
    <w:rsid w:val="00432B7B"/>
    <w:rsid w:val="00432BFA"/>
    <w:rsid w:val="00432CAD"/>
    <w:rsid w:val="00432E05"/>
    <w:rsid w:val="00432EC6"/>
    <w:rsid w:val="00432FBE"/>
    <w:rsid w:val="00433031"/>
    <w:rsid w:val="00433087"/>
    <w:rsid w:val="004330F3"/>
    <w:rsid w:val="0043317B"/>
    <w:rsid w:val="00433414"/>
    <w:rsid w:val="00433466"/>
    <w:rsid w:val="00433467"/>
    <w:rsid w:val="004336C2"/>
    <w:rsid w:val="004337A2"/>
    <w:rsid w:val="00433953"/>
    <w:rsid w:val="0043398E"/>
    <w:rsid w:val="0043399D"/>
    <w:rsid w:val="00433AB1"/>
    <w:rsid w:val="00433AFD"/>
    <w:rsid w:val="00433B37"/>
    <w:rsid w:val="00433B7F"/>
    <w:rsid w:val="00433CD1"/>
    <w:rsid w:val="00433CDC"/>
    <w:rsid w:val="00433D51"/>
    <w:rsid w:val="00433E7B"/>
    <w:rsid w:val="00433F8B"/>
    <w:rsid w:val="004340C4"/>
    <w:rsid w:val="004341A6"/>
    <w:rsid w:val="0043460F"/>
    <w:rsid w:val="004348BF"/>
    <w:rsid w:val="004348F3"/>
    <w:rsid w:val="00434AF9"/>
    <w:rsid w:val="00434AFF"/>
    <w:rsid w:val="00434BB7"/>
    <w:rsid w:val="00434E56"/>
    <w:rsid w:val="00434EAF"/>
    <w:rsid w:val="00434ECD"/>
    <w:rsid w:val="004351AC"/>
    <w:rsid w:val="00435391"/>
    <w:rsid w:val="004354CE"/>
    <w:rsid w:val="004355A5"/>
    <w:rsid w:val="004355D4"/>
    <w:rsid w:val="004356C0"/>
    <w:rsid w:val="004356E0"/>
    <w:rsid w:val="00435790"/>
    <w:rsid w:val="00435840"/>
    <w:rsid w:val="00435913"/>
    <w:rsid w:val="00435928"/>
    <w:rsid w:val="00435B16"/>
    <w:rsid w:val="00435B66"/>
    <w:rsid w:val="00435C0B"/>
    <w:rsid w:val="00435CEB"/>
    <w:rsid w:val="00435DC7"/>
    <w:rsid w:val="00435E86"/>
    <w:rsid w:val="00435EC3"/>
    <w:rsid w:val="00435FF5"/>
    <w:rsid w:val="004360FF"/>
    <w:rsid w:val="00436167"/>
    <w:rsid w:val="0043617A"/>
    <w:rsid w:val="004362DD"/>
    <w:rsid w:val="0043632C"/>
    <w:rsid w:val="00436342"/>
    <w:rsid w:val="0043637D"/>
    <w:rsid w:val="004364AC"/>
    <w:rsid w:val="0043650E"/>
    <w:rsid w:val="0043680F"/>
    <w:rsid w:val="00436990"/>
    <w:rsid w:val="004369DB"/>
    <w:rsid w:val="004369FB"/>
    <w:rsid w:val="00436A6D"/>
    <w:rsid w:val="00436B9E"/>
    <w:rsid w:val="00436BB4"/>
    <w:rsid w:val="00436F19"/>
    <w:rsid w:val="00436F98"/>
    <w:rsid w:val="0043703B"/>
    <w:rsid w:val="00437084"/>
    <w:rsid w:val="004370C1"/>
    <w:rsid w:val="004371FF"/>
    <w:rsid w:val="00437259"/>
    <w:rsid w:val="00437286"/>
    <w:rsid w:val="004373B8"/>
    <w:rsid w:val="004374C5"/>
    <w:rsid w:val="00437567"/>
    <w:rsid w:val="004375ED"/>
    <w:rsid w:val="00437787"/>
    <w:rsid w:val="004379B2"/>
    <w:rsid w:val="004379BD"/>
    <w:rsid w:val="004379E0"/>
    <w:rsid w:val="00437AB5"/>
    <w:rsid w:val="00437B9E"/>
    <w:rsid w:val="00437C17"/>
    <w:rsid w:val="00437D80"/>
    <w:rsid w:val="00437D8E"/>
    <w:rsid w:val="00437DDB"/>
    <w:rsid w:val="00437E27"/>
    <w:rsid w:val="00437E3F"/>
    <w:rsid w:val="00437E61"/>
    <w:rsid w:val="0044001F"/>
    <w:rsid w:val="00440193"/>
    <w:rsid w:val="0044023C"/>
    <w:rsid w:val="00440363"/>
    <w:rsid w:val="004403ED"/>
    <w:rsid w:val="00440476"/>
    <w:rsid w:val="004405C6"/>
    <w:rsid w:val="00440924"/>
    <w:rsid w:val="00440A35"/>
    <w:rsid w:val="00440A4C"/>
    <w:rsid w:val="00440A88"/>
    <w:rsid w:val="00440ED0"/>
    <w:rsid w:val="00440F06"/>
    <w:rsid w:val="0044103D"/>
    <w:rsid w:val="0044115A"/>
    <w:rsid w:val="00441216"/>
    <w:rsid w:val="004412F3"/>
    <w:rsid w:val="004413ED"/>
    <w:rsid w:val="00441461"/>
    <w:rsid w:val="004415FB"/>
    <w:rsid w:val="004416C6"/>
    <w:rsid w:val="00441778"/>
    <w:rsid w:val="0044184D"/>
    <w:rsid w:val="00441A06"/>
    <w:rsid w:val="00441A99"/>
    <w:rsid w:val="00441B02"/>
    <w:rsid w:val="00441B91"/>
    <w:rsid w:val="00441D23"/>
    <w:rsid w:val="00442053"/>
    <w:rsid w:val="00442074"/>
    <w:rsid w:val="00442085"/>
    <w:rsid w:val="004420CC"/>
    <w:rsid w:val="0044214A"/>
    <w:rsid w:val="00442191"/>
    <w:rsid w:val="004421C4"/>
    <w:rsid w:val="0044232D"/>
    <w:rsid w:val="00442378"/>
    <w:rsid w:val="004423B4"/>
    <w:rsid w:val="00442453"/>
    <w:rsid w:val="004425FC"/>
    <w:rsid w:val="004426DE"/>
    <w:rsid w:val="004427AB"/>
    <w:rsid w:val="0044280F"/>
    <w:rsid w:val="0044285C"/>
    <w:rsid w:val="004428AA"/>
    <w:rsid w:val="004429A1"/>
    <w:rsid w:val="00442A16"/>
    <w:rsid w:val="00442B4E"/>
    <w:rsid w:val="00442C6D"/>
    <w:rsid w:val="00442F76"/>
    <w:rsid w:val="004431CE"/>
    <w:rsid w:val="00443297"/>
    <w:rsid w:val="0044369E"/>
    <w:rsid w:val="004436FC"/>
    <w:rsid w:val="0044386C"/>
    <w:rsid w:val="004438C9"/>
    <w:rsid w:val="004438DA"/>
    <w:rsid w:val="004439D8"/>
    <w:rsid w:val="00443A3F"/>
    <w:rsid w:val="00443A9A"/>
    <w:rsid w:val="00443B92"/>
    <w:rsid w:val="00443BC0"/>
    <w:rsid w:val="00443C8B"/>
    <w:rsid w:val="00443C9A"/>
    <w:rsid w:val="00443EF0"/>
    <w:rsid w:val="0044411B"/>
    <w:rsid w:val="0044428D"/>
    <w:rsid w:val="004442AA"/>
    <w:rsid w:val="004442FC"/>
    <w:rsid w:val="0044439E"/>
    <w:rsid w:val="004443F9"/>
    <w:rsid w:val="0044453B"/>
    <w:rsid w:val="004445EF"/>
    <w:rsid w:val="00444684"/>
    <w:rsid w:val="0044468F"/>
    <w:rsid w:val="004446CA"/>
    <w:rsid w:val="004447C7"/>
    <w:rsid w:val="004447FF"/>
    <w:rsid w:val="00444845"/>
    <w:rsid w:val="00444874"/>
    <w:rsid w:val="004449CE"/>
    <w:rsid w:val="00444AEF"/>
    <w:rsid w:val="00444B54"/>
    <w:rsid w:val="00444CFC"/>
    <w:rsid w:val="00444DBF"/>
    <w:rsid w:val="00444E02"/>
    <w:rsid w:val="00444FD8"/>
    <w:rsid w:val="00445055"/>
    <w:rsid w:val="00445077"/>
    <w:rsid w:val="004450BE"/>
    <w:rsid w:val="004451CD"/>
    <w:rsid w:val="004451FA"/>
    <w:rsid w:val="00445266"/>
    <w:rsid w:val="00445378"/>
    <w:rsid w:val="00445529"/>
    <w:rsid w:val="004455A0"/>
    <w:rsid w:val="0044564E"/>
    <w:rsid w:val="00445650"/>
    <w:rsid w:val="00445781"/>
    <w:rsid w:val="00445845"/>
    <w:rsid w:val="0044596C"/>
    <w:rsid w:val="00445A02"/>
    <w:rsid w:val="00445A5C"/>
    <w:rsid w:val="00445C17"/>
    <w:rsid w:val="00445CEF"/>
    <w:rsid w:val="00445E2A"/>
    <w:rsid w:val="00445F0D"/>
    <w:rsid w:val="00446007"/>
    <w:rsid w:val="00446083"/>
    <w:rsid w:val="00446178"/>
    <w:rsid w:val="0044617B"/>
    <w:rsid w:val="0044619E"/>
    <w:rsid w:val="0044641C"/>
    <w:rsid w:val="00446454"/>
    <w:rsid w:val="004464F5"/>
    <w:rsid w:val="00446572"/>
    <w:rsid w:val="00446585"/>
    <w:rsid w:val="00446610"/>
    <w:rsid w:val="004466AE"/>
    <w:rsid w:val="0044679B"/>
    <w:rsid w:val="00446A44"/>
    <w:rsid w:val="00446B1D"/>
    <w:rsid w:val="00446B60"/>
    <w:rsid w:val="00446D96"/>
    <w:rsid w:val="00446F49"/>
    <w:rsid w:val="00446F96"/>
    <w:rsid w:val="00447387"/>
    <w:rsid w:val="00447532"/>
    <w:rsid w:val="004475B0"/>
    <w:rsid w:val="004477E8"/>
    <w:rsid w:val="00447989"/>
    <w:rsid w:val="0044798E"/>
    <w:rsid w:val="00447996"/>
    <w:rsid w:val="00447BBB"/>
    <w:rsid w:val="00447C12"/>
    <w:rsid w:val="00447D15"/>
    <w:rsid w:val="00447E87"/>
    <w:rsid w:val="00447EAA"/>
    <w:rsid w:val="00447F09"/>
    <w:rsid w:val="00450479"/>
    <w:rsid w:val="0045057D"/>
    <w:rsid w:val="0045057F"/>
    <w:rsid w:val="0045060A"/>
    <w:rsid w:val="0045067E"/>
    <w:rsid w:val="004506BD"/>
    <w:rsid w:val="004506E4"/>
    <w:rsid w:val="00450851"/>
    <w:rsid w:val="00450A79"/>
    <w:rsid w:val="00450BA9"/>
    <w:rsid w:val="00450DB0"/>
    <w:rsid w:val="00450DB7"/>
    <w:rsid w:val="00450DFD"/>
    <w:rsid w:val="00450F23"/>
    <w:rsid w:val="00451090"/>
    <w:rsid w:val="004510A3"/>
    <w:rsid w:val="0045111C"/>
    <w:rsid w:val="00451427"/>
    <w:rsid w:val="00451611"/>
    <w:rsid w:val="00451671"/>
    <w:rsid w:val="004517DC"/>
    <w:rsid w:val="0045183D"/>
    <w:rsid w:val="004518FE"/>
    <w:rsid w:val="004519B8"/>
    <w:rsid w:val="00451B17"/>
    <w:rsid w:val="00451BFB"/>
    <w:rsid w:val="00451C6C"/>
    <w:rsid w:val="00451CD9"/>
    <w:rsid w:val="00451D37"/>
    <w:rsid w:val="00451DF5"/>
    <w:rsid w:val="00451F4C"/>
    <w:rsid w:val="0045205B"/>
    <w:rsid w:val="00452068"/>
    <w:rsid w:val="004520D2"/>
    <w:rsid w:val="004521A7"/>
    <w:rsid w:val="004522A1"/>
    <w:rsid w:val="004522FB"/>
    <w:rsid w:val="004523D8"/>
    <w:rsid w:val="00452450"/>
    <w:rsid w:val="004524B4"/>
    <w:rsid w:val="00452524"/>
    <w:rsid w:val="004525E2"/>
    <w:rsid w:val="00452798"/>
    <w:rsid w:val="00452902"/>
    <w:rsid w:val="00452923"/>
    <w:rsid w:val="00452B1B"/>
    <w:rsid w:val="00452B91"/>
    <w:rsid w:val="00452C31"/>
    <w:rsid w:val="00452F2B"/>
    <w:rsid w:val="004531AA"/>
    <w:rsid w:val="004531C2"/>
    <w:rsid w:val="00453209"/>
    <w:rsid w:val="004532FB"/>
    <w:rsid w:val="00453317"/>
    <w:rsid w:val="0045332A"/>
    <w:rsid w:val="004534B6"/>
    <w:rsid w:val="00453543"/>
    <w:rsid w:val="004538B1"/>
    <w:rsid w:val="00453AAF"/>
    <w:rsid w:val="00453AC6"/>
    <w:rsid w:val="00453B8C"/>
    <w:rsid w:val="00453C49"/>
    <w:rsid w:val="00453C51"/>
    <w:rsid w:val="00453C97"/>
    <w:rsid w:val="00453CB8"/>
    <w:rsid w:val="004540BD"/>
    <w:rsid w:val="0045417C"/>
    <w:rsid w:val="0045428A"/>
    <w:rsid w:val="004542A0"/>
    <w:rsid w:val="004542CD"/>
    <w:rsid w:val="0045439B"/>
    <w:rsid w:val="004545C2"/>
    <w:rsid w:val="004548B7"/>
    <w:rsid w:val="004549CC"/>
    <w:rsid w:val="004549CF"/>
    <w:rsid w:val="00454BAE"/>
    <w:rsid w:val="00454D0C"/>
    <w:rsid w:val="00454D58"/>
    <w:rsid w:val="00454D6A"/>
    <w:rsid w:val="00454E14"/>
    <w:rsid w:val="00454E52"/>
    <w:rsid w:val="00454FBB"/>
    <w:rsid w:val="0045508D"/>
    <w:rsid w:val="0045510B"/>
    <w:rsid w:val="0045518F"/>
    <w:rsid w:val="0045524A"/>
    <w:rsid w:val="0045526C"/>
    <w:rsid w:val="004554A1"/>
    <w:rsid w:val="0045565D"/>
    <w:rsid w:val="004557B4"/>
    <w:rsid w:val="004558D7"/>
    <w:rsid w:val="0045594E"/>
    <w:rsid w:val="0045599A"/>
    <w:rsid w:val="00455E5D"/>
    <w:rsid w:val="00455E8B"/>
    <w:rsid w:val="00455F77"/>
    <w:rsid w:val="00455F97"/>
    <w:rsid w:val="004560AB"/>
    <w:rsid w:val="004562F5"/>
    <w:rsid w:val="00456314"/>
    <w:rsid w:val="004564C3"/>
    <w:rsid w:val="004565B9"/>
    <w:rsid w:val="0045662F"/>
    <w:rsid w:val="00456646"/>
    <w:rsid w:val="00456692"/>
    <w:rsid w:val="004567FF"/>
    <w:rsid w:val="00456878"/>
    <w:rsid w:val="00456A18"/>
    <w:rsid w:val="00456B92"/>
    <w:rsid w:val="00456BD9"/>
    <w:rsid w:val="00456E03"/>
    <w:rsid w:val="00457039"/>
    <w:rsid w:val="004571E4"/>
    <w:rsid w:val="0045745A"/>
    <w:rsid w:val="00457478"/>
    <w:rsid w:val="00457582"/>
    <w:rsid w:val="004575CC"/>
    <w:rsid w:val="004575DD"/>
    <w:rsid w:val="00457646"/>
    <w:rsid w:val="00457730"/>
    <w:rsid w:val="0045793E"/>
    <w:rsid w:val="004579EC"/>
    <w:rsid w:val="00457AFD"/>
    <w:rsid w:val="00457BA1"/>
    <w:rsid w:val="00457D20"/>
    <w:rsid w:val="00457E0E"/>
    <w:rsid w:val="00457E8D"/>
    <w:rsid w:val="00457EA4"/>
    <w:rsid w:val="00457EF3"/>
    <w:rsid w:val="00457F94"/>
    <w:rsid w:val="004601D2"/>
    <w:rsid w:val="0046029A"/>
    <w:rsid w:val="00460306"/>
    <w:rsid w:val="00460317"/>
    <w:rsid w:val="0046050A"/>
    <w:rsid w:val="0046064A"/>
    <w:rsid w:val="00460BC7"/>
    <w:rsid w:val="00460D13"/>
    <w:rsid w:val="00460E63"/>
    <w:rsid w:val="0046115E"/>
    <w:rsid w:val="00461167"/>
    <w:rsid w:val="004611AC"/>
    <w:rsid w:val="004612F3"/>
    <w:rsid w:val="0046137A"/>
    <w:rsid w:val="004613C9"/>
    <w:rsid w:val="00461436"/>
    <w:rsid w:val="004614FD"/>
    <w:rsid w:val="0046157C"/>
    <w:rsid w:val="00461599"/>
    <w:rsid w:val="004615AE"/>
    <w:rsid w:val="004616AC"/>
    <w:rsid w:val="0046180B"/>
    <w:rsid w:val="0046195F"/>
    <w:rsid w:val="0046198F"/>
    <w:rsid w:val="00461A85"/>
    <w:rsid w:val="00461B40"/>
    <w:rsid w:val="00461B65"/>
    <w:rsid w:val="00461C42"/>
    <w:rsid w:val="00461D11"/>
    <w:rsid w:val="00461D7A"/>
    <w:rsid w:val="00461DB7"/>
    <w:rsid w:val="00461E7C"/>
    <w:rsid w:val="00461ECB"/>
    <w:rsid w:val="00461F1A"/>
    <w:rsid w:val="0046203E"/>
    <w:rsid w:val="0046205D"/>
    <w:rsid w:val="004621C4"/>
    <w:rsid w:val="0046228E"/>
    <w:rsid w:val="00462711"/>
    <w:rsid w:val="00462720"/>
    <w:rsid w:val="0046272D"/>
    <w:rsid w:val="00462867"/>
    <w:rsid w:val="00462A86"/>
    <w:rsid w:val="00462C63"/>
    <w:rsid w:val="00462CF9"/>
    <w:rsid w:val="00462D35"/>
    <w:rsid w:val="00462F13"/>
    <w:rsid w:val="00463040"/>
    <w:rsid w:val="00463103"/>
    <w:rsid w:val="004631B9"/>
    <w:rsid w:val="004631E5"/>
    <w:rsid w:val="004633A4"/>
    <w:rsid w:val="00463439"/>
    <w:rsid w:val="004634CB"/>
    <w:rsid w:val="00463711"/>
    <w:rsid w:val="00463721"/>
    <w:rsid w:val="00463832"/>
    <w:rsid w:val="00463858"/>
    <w:rsid w:val="0046385A"/>
    <w:rsid w:val="0046390C"/>
    <w:rsid w:val="00463953"/>
    <w:rsid w:val="004639DB"/>
    <w:rsid w:val="004639F4"/>
    <w:rsid w:val="00463C6C"/>
    <w:rsid w:val="00463CA2"/>
    <w:rsid w:val="00463E49"/>
    <w:rsid w:val="00463F32"/>
    <w:rsid w:val="00463F47"/>
    <w:rsid w:val="00463F4B"/>
    <w:rsid w:val="00464023"/>
    <w:rsid w:val="004641B9"/>
    <w:rsid w:val="004643A6"/>
    <w:rsid w:val="004644BD"/>
    <w:rsid w:val="0046450C"/>
    <w:rsid w:val="004646DD"/>
    <w:rsid w:val="0046474F"/>
    <w:rsid w:val="004648BB"/>
    <w:rsid w:val="00464A8E"/>
    <w:rsid w:val="00464ABE"/>
    <w:rsid w:val="00464B71"/>
    <w:rsid w:val="00464B8B"/>
    <w:rsid w:val="00464C18"/>
    <w:rsid w:val="00464DE4"/>
    <w:rsid w:val="00464EF7"/>
    <w:rsid w:val="00464FC8"/>
    <w:rsid w:val="004650BF"/>
    <w:rsid w:val="0046513F"/>
    <w:rsid w:val="004651D6"/>
    <w:rsid w:val="004651DE"/>
    <w:rsid w:val="004651E8"/>
    <w:rsid w:val="004651FA"/>
    <w:rsid w:val="0046539D"/>
    <w:rsid w:val="0046543C"/>
    <w:rsid w:val="004654A0"/>
    <w:rsid w:val="004654F6"/>
    <w:rsid w:val="004655D7"/>
    <w:rsid w:val="00465608"/>
    <w:rsid w:val="004656CD"/>
    <w:rsid w:val="0046590F"/>
    <w:rsid w:val="00465A8E"/>
    <w:rsid w:val="00465AEE"/>
    <w:rsid w:val="00465B05"/>
    <w:rsid w:val="00465C1F"/>
    <w:rsid w:val="00465C69"/>
    <w:rsid w:val="00465D42"/>
    <w:rsid w:val="00465ED0"/>
    <w:rsid w:val="00465F91"/>
    <w:rsid w:val="00466018"/>
    <w:rsid w:val="0046601F"/>
    <w:rsid w:val="004662AB"/>
    <w:rsid w:val="00466343"/>
    <w:rsid w:val="00466560"/>
    <w:rsid w:val="00466747"/>
    <w:rsid w:val="004668AA"/>
    <w:rsid w:val="00466A5D"/>
    <w:rsid w:val="00466BBF"/>
    <w:rsid w:val="00466BC0"/>
    <w:rsid w:val="00466BE8"/>
    <w:rsid w:val="00466CC9"/>
    <w:rsid w:val="00466E1F"/>
    <w:rsid w:val="00466FB5"/>
    <w:rsid w:val="00467264"/>
    <w:rsid w:val="004673E5"/>
    <w:rsid w:val="0046749B"/>
    <w:rsid w:val="004674EF"/>
    <w:rsid w:val="0046760C"/>
    <w:rsid w:val="00467732"/>
    <w:rsid w:val="004677FD"/>
    <w:rsid w:val="004678B0"/>
    <w:rsid w:val="004678E5"/>
    <w:rsid w:val="00467949"/>
    <w:rsid w:val="00467999"/>
    <w:rsid w:val="00467AF3"/>
    <w:rsid w:val="00467C66"/>
    <w:rsid w:val="00467D92"/>
    <w:rsid w:val="00467E13"/>
    <w:rsid w:val="00467E19"/>
    <w:rsid w:val="00467E97"/>
    <w:rsid w:val="00467E9F"/>
    <w:rsid w:val="00469D81"/>
    <w:rsid w:val="00470001"/>
    <w:rsid w:val="00470033"/>
    <w:rsid w:val="0047011C"/>
    <w:rsid w:val="00470167"/>
    <w:rsid w:val="00470326"/>
    <w:rsid w:val="00470383"/>
    <w:rsid w:val="0047072A"/>
    <w:rsid w:val="00470988"/>
    <w:rsid w:val="004709A7"/>
    <w:rsid w:val="00470A1F"/>
    <w:rsid w:val="00470A75"/>
    <w:rsid w:val="00470B3A"/>
    <w:rsid w:val="00470C49"/>
    <w:rsid w:val="00470C5D"/>
    <w:rsid w:val="00470E02"/>
    <w:rsid w:val="00470E3A"/>
    <w:rsid w:val="00471028"/>
    <w:rsid w:val="00471061"/>
    <w:rsid w:val="00471111"/>
    <w:rsid w:val="00471164"/>
    <w:rsid w:val="004712F1"/>
    <w:rsid w:val="00471414"/>
    <w:rsid w:val="00471576"/>
    <w:rsid w:val="0047158C"/>
    <w:rsid w:val="004715A9"/>
    <w:rsid w:val="00471692"/>
    <w:rsid w:val="0047189E"/>
    <w:rsid w:val="00471A25"/>
    <w:rsid w:val="00471AAE"/>
    <w:rsid w:val="00471B2A"/>
    <w:rsid w:val="00471B50"/>
    <w:rsid w:val="00471B63"/>
    <w:rsid w:val="00471C5D"/>
    <w:rsid w:val="00471D18"/>
    <w:rsid w:val="00471E25"/>
    <w:rsid w:val="00471EC6"/>
    <w:rsid w:val="00471F9D"/>
    <w:rsid w:val="00471FC0"/>
    <w:rsid w:val="00472028"/>
    <w:rsid w:val="00472267"/>
    <w:rsid w:val="00472304"/>
    <w:rsid w:val="00472396"/>
    <w:rsid w:val="004723A4"/>
    <w:rsid w:val="004723AB"/>
    <w:rsid w:val="0047246D"/>
    <w:rsid w:val="00472471"/>
    <w:rsid w:val="004724DD"/>
    <w:rsid w:val="004725EA"/>
    <w:rsid w:val="004726CB"/>
    <w:rsid w:val="004729B8"/>
    <w:rsid w:val="00472AB0"/>
    <w:rsid w:val="00472C15"/>
    <w:rsid w:val="00472C28"/>
    <w:rsid w:val="00472C2B"/>
    <w:rsid w:val="00472CA9"/>
    <w:rsid w:val="00473047"/>
    <w:rsid w:val="00473062"/>
    <w:rsid w:val="0047307B"/>
    <w:rsid w:val="004732A5"/>
    <w:rsid w:val="0047348D"/>
    <w:rsid w:val="004734A6"/>
    <w:rsid w:val="004736FF"/>
    <w:rsid w:val="0047370F"/>
    <w:rsid w:val="00473750"/>
    <w:rsid w:val="00473ADE"/>
    <w:rsid w:val="00473BAD"/>
    <w:rsid w:val="00473DA7"/>
    <w:rsid w:val="00473E8C"/>
    <w:rsid w:val="00473EC7"/>
    <w:rsid w:val="00474029"/>
    <w:rsid w:val="00474045"/>
    <w:rsid w:val="004741E7"/>
    <w:rsid w:val="004742DB"/>
    <w:rsid w:val="004742ED"/>
    <w:rsid w:val="00474504"/>
    <w:rsid w:val="00474611"/>
    <w:rsid w:val="00474704"/>
    <w:rsid w:val="004748C8"/>
    <w:rsid w:val="00474925"/>
    <w:rsid w:val="004749B2"/>
    <w:rsid w:val="00474B4A"/>
    <w:rsid w:val="00474CA3"/>
    <w:rsid w:val="00474DAB"/>
    <w:rsid w:val="00474E8B"/>
    <w:rsid w:val="00474FA2"/>
    <w:rsid w:val="00474FCF"/>
    <w:rsid w:val="00475016"/>
    <w:rsid w:val="004752F0"/>
    <w:rsid w:val="00475382"/>
    <w:rsid w:val="00475634"/>
    <w:rsid w:val="00475663"/>
    <w:rsid w:val="0047574A"/>
    <w:rsid w:val="00475754"/>
    <w:rsid w:val="004757D8"/>
    <w:rsid w:val="0047582D"/>
    <w:rsid w:val="004758DB"/>
    <w:rsid w:val="00475966"/>
    <w:rsid w:val="00475CFA"/>
    <w:rsid w:val="00475E46"/>
    <w:rsid w:val="00475FDF"/>
    <w:rsid w:val="004760BD"/>
    <w:rsid w:val="00476198"/>
    <w:rsid w:val="004761FF"/>
    <w:rsid w:val="00476213"/>
    <w:rsid w:val="00476219"/>
    <w:rsid w:val="0047633E"/>
    <w:rsid w:val="0047641E"/>
    <w:rsid w:val="00476451"/>
    <w:rsid w:val="0047649F"/>
    <w:rsid w:val="004764F9"/>
    <w:rsid w:val="00476565"/>
    <w:rsid w:val="0047664A"/>
    <w:rsid w:val="0047670D"/>
    <w:rsid w:val="004767C4"/>
    <w:rsid w:val="0047682B"/>
    <w:rsid w:val="0047685A"/>
    <w:rsid w:val="00476936"/>
    <w:rsid w:val="004769E5"/>
    <w:rsid w:val="00476A91"/>
    <w:rsid w:val="00476AAA"/>
    <w:rsid w:val="00476AE6"/>
    <w:rsid w:val="00476B9F"/>
    <w:rsid w:val="00476BAE"/>
    <w:rsid w:val="00476D01"/>
    <w:rsid w:val="00476D0B"/>
    <w:rsid w:val="00476E09"/>
    <w:rsid w:val="00476E19"/>
    <w:rsid w:val="00476E32"/>
    <w:rsid w:val="00476E8B"/>
    <w:rsid w:val="00476ECA"/>
    <w:rsid w:val="00476F60"/>
    <w:rsid w:val="00476F6E"/>
    <w:rsid w:val="00476F74"/>
    <w:rsid w:val="0047706E"/>
    <w:rsid w:val="0047716F"/>
    <w:rsid w:val="004771B3"/>
    <w:rsid w:val="00477217"/>
    <w:rsid w:val="004772AD"/>
    <w:rsid w:val="004772F2"/>
    <w:rsid w:val="0047739A"/>
    <w:rsid w:val="004775A2"/>
    <w:rsid w:val="004776A8"/>
    <w:rsid w:val="00477711"/>
    <w:rsid w:val="004778FC"/>
    <w:rsid w:val="00477943"/>
    <w:rsid w:val="004779EF"/>
    <w:rsid w:val="00477A99"/>
    <w:rsid w:val="00477C3D"/>
    <w:rsid w:val="00477C6B"/>
    <w:rsid w:val="00477DA1"/>
    <w:rsid w:val="00477DFB"/>
    <w:rsid w:val="004800ED"/>
    <w:rsid w:val="004801A3"/>
    <w:rsid w:val="004801E0"/>
    <w:rsid w:val="00480401"/>
    <w:rsid w:val="00480601"/>
    <w:rsid w:val="0048068A"/>
    <w:rsid w:val="00480715"/>
    <w:rsid w:val="00480718"/>
    <w:rsid w:val="00480A49"/>
    <w:rsid w:val="00480B3E"/>
    <w:rsid w:val="00480D49"/>
    <w:rsid w:val="00480DEE"/>
    <w:rsid w:val="00480EAE"/>
    <w:rsid w:val="00480F97"/>
    <w:rsid w:val="00480FCC"/>
    <w:rsid w:val="004812E5"/>
    <w:rsid w:val="00481337"/>
    <w:rsid w:val="004813B7"/>
    <w:rsid w:val="004813D9"/>
    <w:rsid w:val="004814C2"/>
    <w:rsid w:val="004814C4"/>
    <w:rsid w:val="004815FB"/>
    <w:rsid w:val="0048182F"/>
    <w:rsid w:val="004818E7"/>
    <w:rsid w:val="00481940"/>
    <w:rsid w:val="00481996"/>
    <w:rsid w:val="00481A67"/>
    <w:rsid w:val="00481B16"/>
    <w:rsid w:val="00481B1E"/>
    <w:rsid w:val="00481C22"/>
    <w:rsid w:val="00481C6D"/>
    <w:rsid w:val="00481D32"/>
    <w:rsid w:val="00481F12"/>
    <w:rsid w:val="00481FD5"/>
    <w:rsid w:val="004820F5"/>
    <w:rsid w:val="004821E6"/>
    <w:rsid w:val="0048224A"/>
    <w:rsid w:val="004823E2"/>
    <w:rsid w:val="00482698"/>
    <w:rsid w:val="004827E0"/>
    <w:rsid w:val="0048280B"/>
    <w:rsid w:val="004828F9"/>
    <w:rsid w:val="00482AF0"/>
    <w:rsid w:val="00482D03"/>
    <w:rsid w:val="00482D25"/>
    <w:rsid w:val="00482EAE"/>
    <w:rsid w:val="00482EFE"/>
    <w:rsid w:val="004830D6"/>
    <w:rsid w:val="0048311C"/>
    <w:rsid w:val="004836C4"/>
    <w:rsid w:val="00483AAD"/>
    <w:rsid w:val="00483C38"/>
    <w:rsid w:val="00483C8D"/>
    <w:rsid w:val="00483CC3"/>
    <w:rsid w:val="00483F0F"/>
    <w:rsid w:val="00483F70"/>
    <w:rsid w:val="0048407E"/>
    <w:rsid w:val="004841C2"/>
    <w:rsid w:val="004842CA"/>
    <w:rsid w:val="004843C0"/>
    <w:rsid w:val="004843D6"/>
    <w:rsid w:val="004843DA"/>
    <w:rsid w:val="0048452A"/>
    <w:rsid w:val="0048454C"/>
    <w:rsid w:val="00484787"/>
    <w:rsid w:val="004847A0"/>
    <w:rsid w:val="0048486E"/>
    <w:rsid w:val="00484918"/>
    <w:rsid w:val="00484AA7"/>
    <w:rsid w:val="00484B2D"/>
    <w:rsid w:val="00484B81"/>
    <w:rsid w:val="00484C4E"/>
    <w:rsid w:val="00484C71"/>
    <w:rsid w:val="00484CE3"/>
    <w:rsid w:val="00484D60"/>
    <w:rsid w:val="00484D9A"/>
    <w:rsid w:val="00484E21"/>
    <w:rsid w:val="00484E22"/>
    <w:rsid w:val="00484F26"/>
    <w:rsid w:val="00484F45"/>
    <w:rsid w:val="00485111"/>
    <w:rsid w:val="0048516D"/>
    <w:rsid w:val="004851E7"/>
    <w:rsid w:val="00485210"/>
    <w:rsid w:val="00485270"/>
    <w:rsid w:val="0048540D"/>
    <w:rsid w:val="00485419"/>
    <w:rsid w:val="0048551E"/>
    <w:rsid w:val="00485604"/>
    <w:rsid w:val="00485605"/>
    <w:rsid w:val="00485815"/>
    <w:rsid w:val="00485973"/>
    <w:rsid w:val="00485BC7"/>
    <w:rsid w:val="00485BE6"/>
    <w:rsid w:val="00485C5C"/>
    <w:rsid w:val="00485CD3"/>
    <w:rsid w:val="00485D7E"/>
    <w:rsid w:val="00485E3A"/>
    <w:rsid w:val="00485E5E"/>
    <w:rsid w:val="00485E65"/>
    <w:rsid w:val="00485ED3"/>
    <w:rsid w:val="00485F2D"/>
    <w:rsid w:val="00485F98"/>
    <w:rsid w:val="00485FC6"/>
    <w:rsid w:val="00486082"/>
    <w:rsid w:val="00486123"/>
    <w:rsid w:val="0048616A"/>
    <w:rsid w:val="004861D3"/>
    <w:rsid w:val="00486226"/>
    <w:rsid w:val="004862DF"/>
    <w:rsid w:val="00486387"/>
    <w:rsid w:val="004864DD"/>
    <w:rsid w:val="0048677F"/>
    <w:rsid w:val="0048678E"/>
    <w:rsid w:val="00486796"/>
    <w:rsid w:val="004867CA"/>
    <w:rsid w:val="004869B4"/>
    <w:rsid w:val="00486B07"/>
    <w:rsid w:val="00486D6D"/>
    <w:rsid w:val="00486E19"/>
    <w:rsid w:val="00486EE1"/>
    <w:rsid w:val="0048706A"/>
    <w:rsid w:val="004872F5"/>
    <w:rsid w:val="00487456"/>
    <w:rsid w:val="00487919"/>
    <w:rsid w:val="00487A0E"/>
    <w:rsid w:val="00487AAC"/>
    <w:rsid w:val="00487B1E"/>
    <w:rsid w:val="00487BFA"/>
    <w:rsid w:val="00487CB5"/>
    <w:rsid w:val="00487D05"/>
    <w:rsid w:val="00487D2B"/>
    <w:rsid w:val="00487D91"/>
    <w:rsid w:val="00487E29"/>
    <w:rsid w:val="00487EC6"/>
    <w:rsid w:val="004902DE"/>
    <w:rsid w:val="004902FF"/>
    <w:rsid w:val="0049031E"/>
    <w:rsid w:val="004903CF"/>
    <w:rsid w:val="004903DF"/>
    <w:rsid w:val="004904F6"/>
    <w:rsid w:val="00490582"/>
    <w:rsid w:val="0049085E"/>
    <w:rsid w:val="00490A61"/>
    <w:rsid w:val="00490A93"/>
    <w:rsid w:val="00490CC2"/>
    <w:rsid w:val="00490D6F"/>
    <w:rsid w:val="00490EA7"/>
    <w:rsid w:val="00490F7E"/>
    <w:rsid w:val="00491058"/>
    <w:rsid w:val="004910CF"/>
    <w:rsid w:val="0049122A"/>
    <w:rsid w:val="004913D2"/>
    <w:rsid w:val="00491597"/>
    <w:rsid w:val="0049167B"/>
    <w:rsid w:val="004916BA"/>
    <w:rsid w:val="004919E3"/>
    <w:rsid w:val="00491A01"/>
    <w:rsid w:val="00491B13"/>
    <w:rsid w:val="00491B56"/>
    <w:rsid w:val="00491BC9"/>
    <w:rsid w:val="00491C49"/>
    <w:rsid w:val="00491E72"/>
    <w:rsid w:val="00491EDC"/>
    <w:rsid w:val="00491F42"/>
    <w:rsid w:val="00491F83"/>
    <w:rsid w:val="00491FC6"/>
    <w:rsid w:val="00492174"/>
    <w:rsid w:val="004921D9"/>
    <w:rsid w:val="00492202"/>
    <w:rsid w:val="004922C6"/>
    <w:rsid w:val="00492339"/>
    <w:rsid w:val="00492362"/>
    <w:rsid w:val="004923BF"/>
    <w:rsid w:val="00492426"/>
    <w:rsid w:val="004926A5"/>
    <w:rsid w:val="00492806"/>
    <w:rsid w:val="00492967"/>
    <w:rsid w:val="004929A6"/>
    <w:rsid w:val="00492A3D"/>
    <w:rsid w:val="00492A4F"/>
    <w:rsid w:val="00492BAB"/>
    <w:rsid w:val="00492D59"/>
    <w:rsid w:val="00492D9A"/>
    <w:rsid w:val="00493024"/>
    <w:rsid w:val="004930E5"/>
    <w:rsid w:val="00493167"/>
    <w:rsid w:val="00493195"/>
    <w:rsid w:val="004931A4"/>
    <w:rsid w:val="00493249"/>
    <w:rsid w:val="00493257"/>
    <w:rsid w:val="0049326B"/>
    <w:rsid w:val="004933E5"/>
    <w:rsid w:val="004934AC"/>
    <w:rsid w:val="004934DB"/>
    <w:rsid w:val="004934FE"/>
    <w:rsid w:val="00493582"/>
    <w:rsid w:val="004935B6"/>
    <w:rsid w:val="004938A5"/>
    <w:rsid w:val="00493A79"/>
    <w:rsid w:val="00493A7C"/>
    <w:rsid w:val="00493C83"/>
    <w:rsid w:val="00493C91"/>
    <w:rsid w:val="00493CCE"/>
    <w:rsid w:val="00493CD3"/>
    <w:rsid w:val="00493DDB"/>
    <w:rsid w:val="00493E2D"/>
    <w:rsid w:val="00493F00"/>
    <w:rsid w:val="00493F1C"/>
    <w:rsid w:val="00493F47"/>
    <w:rsid w:val="0049408F"/>
    <w:rsid w:val="004940D9"/>
    <w:rsid w:val="004942D2"/>
    <w:rsid w:val="004943CF"/>
    <w:rsid w:val="0049445A"/>
    <w:rsid w:val="00494470"/>
    <w:rsid w:val="0049457D"/>
    <w:rsid w:val="0049459D"/>
    <w:rsid w:val="004945B6"/>
    <w:rsid w:val="004945C7"/>
    <w:rsid w:val="00494647"/>
    <w:rsid w:val="00494971"/>
    <w:rsid w:val="00494A45"/>
    <w:rsid w:val="00494A62"/>
    <w:rsid w:val="00494B78"/>
    <w:rsid w:val="00494CBB"/>
    <w:rsid w:val="00494EE0"/>
    <w:rsid w:val="004950EF"/>
    <w:rsid w:val="004950F4"/>
    <w:rsid w:val="0049517B"/>
    <w:rsid w:val="0049537C"/>
    <w:rsid w:val="00495499"/>
    <w:rsid w:val="0049552F"/>
    <w:rsid w:val="0049578C"/>
    <w:rsid w:val="00495849"/>
    <w:rsid w:val="004958C0"/>
    <w:rsid w:val="00495DF9"/>
    <w:rsid w:val="00495E8B"/>
    <w:rsid w:val="004960E2"/>
    <w:rsid w:val="004962CB"/>
    <w:rsid w:val="004962EA"/>
    <w:rsid w:val="0049646F"/>
    <w:rsid w:val="004966D4"/>
    <w:rsid w:val="0049681A"/>
    <w:rsid w:val="0049683B"/>
    <w:rsid w:val="004968AC"/>
    <w:rsid w:val="004969FF"/>
    <w:rsid w:val="00496A0A"/>
    <w:rsid w:val="00496A17"/>
    <w:rsid w:val="00496AAF"/>
    <w:rsid w:val="00496ABE"/>
    <w:rsid w:val="00496B73"/>
    <w:rsid w:val="00496C18"/>
    <w:rsid w:val="00496C2B"/>
    <w:rsid w:val="004970F1"/>
    <w:rsid w:val="00497328"/>
    <w:rsid w:val="00497352"/>
    <w:rsid w:val="00497360"/>
    <w:rsid w:val="00497531"/>
    <w:rsid w:val="004975F9"/>
    <w:rsid w:val="00497657"/>
    <w:rsid w:val="00497734"/>
    <w:rsid w:val="00497785"/>
    <w:rsid w:val="004978FD"/>
    <w:rsid w:val="00497983"/>
    <w:rsid w:val="004979C7"/>
    <w:rsid w:val="00497A7C"/>
    <w:rsid w:val="00497B61"/>
    <w:rsid w:val="00497B99"/>
    <w:rsid w:val="00497BCC"/>
    <w:rsid w:val="00497E4E"/>
    <w:rsid w:val="00497F3D"/>
    <w:rsid w:val="00497F48"/>
    <w:rsid w:val="0049FB92"/>
    <w:rsid w:val="004A00BC"/>
    <w:rsid w:val="004A035C"/>
    <w:rsid w:val="004A045D"/>
    <w:rsid w:val="004A0537"/>
    <w:rsid w:val="004A09DE"/>
    <w:rsid w:val="004A0B06"/>
    <w:rsid w:val="004A0C2C"/>
    <w:rsid w:val="004A0E84"/>
    <w:rsid w:val="004A0F1D"/>
    <w:rsid w:val="004A0FE7"/>
    <w:rsid w:val="004A10AB"/>
    <w:rsid w:val="004A12B6"/>
    <w:rsid w:val="004A13E1"/>
    <w:rsid w:val="004A1545"/>
    <w:rsid w:val="004A16A2"/>
    <w:rsid w:val="004A176B"/>
    <w:rsid w:val="004A17BB"/>
    <w:rsid w:val="004A1A45"/>
    <w:rsid w:val="004A1B22"/>
    <w:rsid w:val="004A1D3F"/>
    <w:rsid w:val="004A1D70"/>
    <w:rsid w:val="004A1E56"/>
    <w:rsid w:val="004A1E73"/>
    <w:rsid w:val="004A1F1D"/>
    <w:rsid w:val="004A1F70"/>
    <w:rsid w:val="004A209D"/>
    <w:rsid w:val="004A21EE"/>
    <w:rsid w:val="004A24FF"/>
    <w:rsid w:val="004A254C"/>
    <w:rsid w:val="004A25A2"/>
    <w:rsid w:val="004A25BA"/>
    <w:rsid w:val="004A2629"/>
    <w:rsid w:val="004A264F"/>
    <w:rsid w:val="004A26F4"/>
    <w:rsid w:val="004A2808"/>
    <w:rsid w:val="004A2816"/>
    <w:rsid w:val="004A2884"/>
    <w:rsid w:val="004A2A48"/>
    <w:rsid w:val="004A2A5E"/>
    <w:rsid w:val="004A2AEA"/>
    <w:rsid w:val="004A2BA8"/>
    <w:rsid w:val="004A2C12"/>
    <w:rsid w:val="004A2DC6"/>
    <w:rsid w:val="004A2E08"/>
    <w:rsid w:val="004A33D2"/>
    <w:rsid w:val="004A33FA"/>
    <w:rsid w:val="004A343D"/>
    <w:rsid w:val="004A3467"/>
    <w:rsid w:val="004A36F8"/>
    <w:rsid w:val="004A37E3"/>
    <w:rsid w:val="004A4087"/>
    <w:rsid w:val="004A4097"/>
    <w:rsid w:val="004A4099"/>
    <w:rsid w:val="004A40C0"/>
    <w:rsid w:val="004A43E5"/>
    <w:rsid w:val="004A44CF"/>
    <w:rsid w:val="004A477E"/>
    <w:rsid w:val="004A4780"/>
    <w:rsid w:val="004A4909"/>
    <w:rsid w:val="004A4A88"/>
    <w:rsid w:val="004A4DC9"/>
    <w:rsid w:val="004A4E1E"/>
    <w:rsid w:val="004A4ED7"/>
    <w:rsid w:val="004A4F86"/>
    <w:rsid w:val="004A511F"/>
    <w:rsid w:val="004A54C7"/>
    <w:rsid w:val="004A560E"/>
    <w:rsid w:val="004A5617"/>
    <w:rsid w:val="004A569A"/>
    <w:rsid w:val="004A56D4"/>
    <w:rsid w:val="004A570F"/>
    <w:rsid w:val="004A580F"/>
    <w:rsid w:val="004A586C"/>
    <w:rsid w:val="004A5A24"/>
    <w:rsid w:val="004A5CE5"/>
    <w:rsid w:val="004A5D24"/>
    <w:rsid w:val="004A5E12"/>
    <w:rsid w:val="004A5ECE"/>
    <w:rsid w:val="004A5F20"/>
    <w:rsid w:val="004A5F3C"/>
    <w:rsid w:val="004A5F7F"/>
    <w:rsid w:val="004A6122"/>
    <w:rsid w:val="004A61BA"/>
    <w:rsid w:val="004A61DF"/>
    <w:rsid w:val="004A6241"/>
    <w:rsid w:val="004A646D"/>
    <w:rsid w:val="004A647D"/>
    <w:rsid w:val="004A65F2"/>
    <w:rsid w:val="004A66FA"/>
    <w:rsid w:val="004A678B"/>
    <w:rsid w:val="004A679D"/>
    <w:rsid w:val="004A67B9"/>
    <w:rsid w:val="004A687C"/>
    <w:rsid w:val="004A692E"/>
    <w:rsid w:val="004A69CE"/>
    <w:rsid w:val="004A69D0"/>
    <w:rsid w:val="004A6BC1"/>
    <w:rsid w:val="004A6BCD"/>
    <w:rsid w:val="004A6EB9"/>
    <w:rsid w:val="004A6EF4"/>
    <w:rsid w:val="004A6F98"/>
    <w:rsid w:val="004A7177"/>
    <w:rsid w:val="004A718C"/>
    <w:rsid w:val="004A71C4"/>
    <w:rsid w:val="004A7302"/>
    <w:rsid w:val="004A73AA"/>
    <w:rsid w:val="004A73D3"/>
    <w:rsid w:val="004A740B"/>
    <w:rsid w:val="004A7475"/>
    <w:rsid w:val="004A7661"/>
    <w:rsid w:val="004A783B"/>
    <w:rsid w:val="004A78D5"/>
    <w:rsid w:val="004A7C0B"/>
    <w:rsid w:val="004A7C0D"/>
    <w:rsid w:val="004A7C0E"/>
    <w:rsid w:val="004A7E4C"/>
    <w:rsid w:val="004A7E88"/>
    <w:rsid w:val="004A7E92"/>
    <w:rsid w:val="004A7EDC"/>
    <w:rsid w:val="004A7F7D"/>
    <w:rsid w:val="004A93C5"/>
    <w:rsid w:val="004B0032"/>
    <w:rsid w:val="004B004A"/>
    <w:rsid w:val="004B0094"/>
    <w:rsid w:val="004B01AB"/>
    <w:rsid w:val="004B027D"/>
    <w:rsid w:val="004B033F"/>
    <w:rsid w:val="004B0386"/>
    <w:rsid w:val="004B03B7"/>
    <w:rsid w:val="004B0583"/>
    <w:rsid w:val="004B05BB"/>
    <w:rsid w:val="004B06FB"/>
    <w:rsid w:val="004B0736"/>
    <w:rsid w:val="004B0781"/>
    <w:rsid w:val="004B086A"/>
    <w:rsid w:val="004B08DF"/>
    <w:rsid w:val="004B0B26"/>
    <w:rsid w:val="004B0B9A"/>
    <w:rsid w:val="004B0C04"/>
    <w:rsid w:val="004B0D4D"/>
    <w:rsid w:val="004B0D67"/>
    <w:rsid w:val="004B0EFA"/>
    <w:rsid w:val="004B108C"/>
    <w:rsid w:val="004B1446"/>
    <w:rsid w:val="004B1680"/>
    <w:rsid w:val="004B176E"/>
    <w:rsid w:val="004B19BD"/>
    <w:rsid w:val="004B1B71"/>
    <w:rsid w:val="004B1C1F"/>
    <w:rsid w:val="004B1D5A"/>
    <w:rsid w:val="004B1F8D"/>
    <w:rsid w:val="004B2062"/>
    <w:rsid w:val="004B20F8"/>
    <w:rsid w:val="004B210B"/>
    <w:rsid w:val="004B2168"/>
    <w:rsid w:val="004B21E0"/>
    <w:rsid w:val="004B2345"/>
    <w:rsid w:val="004B23A4"/>
    <w:rsid w:val="004B244E"/>
    <w:rsid w:val="004B24AD"/>
    <w:rsid w:val="004B24D1"/>
    <w:rsid w:val="004B274D"/>
    <w:rsid w:val="004B27CF"/>
    <w:rsid w:val="004B28CA"/>
    <w:rsid w:val="004B28DA"/>
    <w:rsid w:val="004B28E0"/>
    <w:rsid w:val="004B2903"/>
    <w:rsid w:val="004B2926"/>
    <w:rsid w:val="004B29DA"/>
    <w:rsid w:val="004B2A0B"/>
    <w:rsid w:val="004B2B71"/>
    <w:rsid w:val="004B2C71"/>
    <w:rsid w:val="004B2C87"/>
    <w:rsid w:val="004B2CD9"/>
    <w:rsid w:val="004B2D06"/>
    <w:rsid w:val="004B2D9E"/>
    <w:rsid w:val="004B2E5C"/>
    <w:rsid w:val="004B302A"/>
    <w:rsid w:val="004B3049"/>
    <w:rsid w:val="004B3067"/>
    <w:rsid w:val="004B313E"/>
    <w:rsid w:val="004B31D7"/>
    <w:rsid w:val="004B32DE"/>
    <w:rsid w:val="004B33D8"/>
    <w:rsid w:val="004B34A6"/>
    <w:rsid w:val="004B35C8"/>
    <w:rsid w:val="004B360E"/>
    <w:rsid w:val="004B36AD"/>
    <w:rsid w:val="004B3905"/>
    <w:rsid w:val="004B393D"/>
    <w:rsid w:val="004B39E7"/>
    <w:rsid w:val="004B3ACC"/>
    <w:rsid w:val="004B3B26"/>
    <w:rsid w:val="004B3B5A"/>
    <w:rsid w:val="004B3D06"/>
    <w:rsid w:val="004B3D68"/>
    <w:rsid w:val="004B3DB1"/>
    <w:rsid w:val="004B3E20"/>
    <w:rsid w:val="004B3E48"/>
    <w:rsid w:val="004B402C"/>
    <w:rsid w:val="004B453E"/>
    <w:rsid w:val="004B4655"/>
    <w:rsid w:val="004B465C"/>
    <w:rsid w:val="004B473D"/>
    <w:rsid w:val="004B4816"/>
    <w:rsid w:val="004B4822"/>
    <w:rsid w:val="004B4886"/>
    <w:rsid w:val="004B4987"/>
    <w:rsid w:val="004B4AD7"/>
    <w:rsid w:val="004B4C01"/>
    <w:rsid w:val="004B4C90"/>
    <w:rsid w:val="004B4E98"/>
    <w:rsid w:val="004B4F05"/>
    <w:rsid w:val="004B4F54"/>
    <w:rsid w:val="004B5046"/>
    <w:rsid w:val="004B509B"/>
    <w:rsid w:val="004B50C8"/>
    <w:rsid w:val="004B513F"/>
    <w:rsid w:val="004B51AA"/>
    <w:rsid w:val="004B51D0"/>
    <w:rsid w:val="004B5438"/>
    <w:rsid w:val="004B5502"/>
    <w:rsid w:val="004B5724"/>
    <w:rsid w:val="004B574B"/>
    <w:rsid w:val="004B5787"/>
    <w:rsid w:val="004B57D2"/>
    <w:rsid w:val="004B5882"/>
    <w:rsid w:val="004B5928"/>
    <w:rsid w:val="004B5972"/>
    <w:rsid w:val="004B5992"/>
    <w:rsid w:val="004B5AA0"/>
    <w:rsid w:val="004B5D2D"/>
    <w:rsid w:val="004B5D57"/>
    <w:rsid w:val="004B5E10"/>
    <w:rsid w:val="004B5E18"/>
    <w:rsid w:val="004B5F63"/>
    <w:rsid w:val="004B60F1"/>
    <w:rsid w:val="004B627A"/>
    <w:rsid w:val="004B64E2"/>
    <w:rsid w:val="004B663C"/>
    <w:rsid w:val="004B6829"/>
    <w:rsid w:val="004B6972"/>
    <w:rsid w:val="004B6A02"/>
    <w:rsid w:val="004B6ADB"/>
    <w:rsid w:val="004B6BFE"/>
    <w:rsid w:val="004B6C7E"/>
    <w:rsid w:val="004B6E16"/>
    <w:rsid w:val="004B6EA2"/>
    <w:rsid w:val="004B6F2F"/>
    <w:rsid w:val="004B6F57"/>
    <w:rsid w:val="004B71BD"/>
    <w:rsid w:val="004B7210"/>
    <w:rsid w:val="004B7211"/>
    <w:rsid w:val="004B72B6"/>
    <w:rsid w:val="004B75A7"/>
    <w:rsid w:val="004B78AE"/>
    <w:rsid w:val="004B78ED"/>
    <w:rsid w:val="004B794B"/>
    <w:rsid w:val="004B7958"/>
    <w:rsid w:val="004B7A8A"/>
    <w:rsid w:val="004B7B78"/>
    <w:rsid w:val="004B7C2F"/>
    <w:rsid w:val="004B7D18"/>
    <w:rsid w:val="004B7D3B"/>
    <w:rsid w:val="004B7DCE"/>
    <w:rsid w:val="004B7DFF"/>
    <w:rsid w:val="004B7E3C"/>
    <w:rsid w:val="004B7EC2"/>
    <w:rsid w:val="004B7EE2"/>
    <w:rsid w:val="004C0003"/>
    <w:rsid w:val="004C0070"/>
    <w:rsid w:val="004C013F"/>
    <w:rsid w:val="004C02A4"/>
    <w:rsid w:val="004C036F"/>
    <w:rsid w:val="004C046B"/>
    <w:rsid w:val="004C048D"/>
    <w:rsid w:val="004C065B"/>
    <w:rsid w:val="004C074B"/>
    <w:rsid w:val="004C0A66"/>
    <w:rsid w:val="004C0BE7"/>
    <w:rsid w:val="004C0D1B"/>
    <w:rsid w:val="004C0D1C"/>
    <w:rsid w:val="004C0D4D"/>
    <w:rsid w:val="004C0DF4"/>
    <w:rsid w:val="004C0EED"/>
    <w:rsid w:val="004C0F39"/>
    <w:rsid w:val="004C0FE3"/>
    <w:rsid w:val="004C1160"/>
    <w:rsid w:val="004C123D"/>
    <w:rsid w:val="004C129B"/>
    <w:rsid w:val="004C1347"/>
    <w:rsid w:val="004C14FB"/>
    <w:rsid w:val="004C1672"/>
    <w:rsid w:val="004C178F"/>
    <w:rsid w:val="004C17F6"/>
    <w:rsid w:val="004C1912"/>
    <w:rsid w:val="004C1A37"/>
    <w:rsid w:val="004C1A57"/>
    <w:rsid w:val="004C1ACD"/>
    <w:rsid w:val="004C1B2E"/>
    <w:rsid w:val="004C1B6B"/>
    <w:rsid w:val="004C1CE9"/>
    <w:rsid w:val="004C1E83"/>
    <w:rsid w:val="004C1E88"/>
    <w:rsid w:val="004C1EFE"/>
    <w:rsid w:val="004C2012"/>
    <w:rsid w:val="004C206A"/>
    <w:rsid w:val="004C2124"/>
    <w:rsid w:val="004C212E"/>
    <w:rsid w:val="004C2238"/>
    <w:rsid w:val="004C24A8"/>
    <w:rsid w:val="004C25B7"/>
    <w:rsid w:val="004C2647"/>
    <w:rsid w:val="004C267E"/>
    <w:rsid w:val="004C26BC"/>
    <w:rsid w:val="004C27A3"/>
    <w:rsid w:val="004C28AE"/>
    <w:rsid w:val="004C28B8"/>
    <w:rsid w:val="004C28D9"/>
    <w:rsid w:val="004C2CA8"/>
    <w:rsid w:val="004C2CB2"/>
    <w:rsid w:val="004C2DCD"/>
    <w:rsid w:val="004C2ED4"/>
    <w:rsid w:val="004C2FE3"/>
    <w:rsid w:val="004C3005"/>
    <w:rsid w:val="004C3147"/>
    <w:rsid w:val="004C31B6"/>
    <w:rsid w:val="004C31BF"/>
    <w:rsid w:val="004C31D5"/>
    <w:rsid w:val="004C33FD"/>
    <w:rsid w:val="004C3422"/>
    <w:rsid w:val="004C355A"/>
    <w:rsid w:val="004C3616"/>
    <w:rsid w:val="004C3977"/>
    <w:rsid w:val="004C3A29"/>
    <w:rsid w:val="004C3AB9"/>
    <w:rsid w:val="004C410E"/>
    <w:rsid w:val="004C41C8"/>
    <w:rsid w:val="004C41FA"/>
    <w:rsid w:val="004C4274"/>
    <w:rsid w:val="004C42C8"/>
    <w:rsid w:val="004C42FD"/>
    <w:rsid w:val="004C4411"/>
    <w:rsid w:val="004C45A8"/>
    <w:rsid w:val="004C480F"/>
    <w:rsid w:val="004C4AC5"/>
    <w:rsid w:val="004C4B81"/>
    <w:rsid w:val="004C4C55"/>
    <w:rsid w:val="004C4C63"/>
    <w:rsid w:val="004C51E4"/>
    <w:rsid w:val="004C52FE"/>
    <w:rsid w:val="004C55E5"/>
    <w:rsid w:val="004C5885"/>
    <w:rsid w:val="004C596D"/>
    <w:rsid w:val="004C5B50"/>
    <w:rsid w:val="004C5B6C"/>
    <w:rsid w:val="004C5F2C"/>
    <w:rsid w:val="004C5F54"/>
    <w:rsid w:val="004C5F7E"/>
    <w:rsid w:val="004C6281"/>
    <w:rsid w:val="004C62F1"/>
    <w:rsid w:val="004C6485"/>
    <w:rsid w:val="004C66DC"/>
    <w:rsid w:val="004C6886"/>
    <w:rsid w:val="004C68F4"/>
    <w:rsid w:val="004C69A6"/>
    <w:rsid w:val="004C69C6"/>
    <w:rsid w:val="004C6AAA"/>
    <w:rsid w:val="004C6B09"/>
    <w:rsid w:val="004C6B66"/>
    <w:rsid w:val="004C6C8C"/>
    <w:rsid w:val="004C6D03"/>
    <w:rsid w:val="004C6D68"/>
    <w:rsid w:val="004C6DED"/>
    <w:rsid w:val="004C6EA0"/>
    <w:rsid w:val="004C7294"/>
    <w:rsid w:val="004C7559"/>
    <w:rsid w:val="004C7590"/>
    <w:rsid w:val="004C7723"/>
    <w:rsid w:val="004C7787"/>
    <w:rsid w:val="004C77A9"/>
    <w:rsid w:val="004C7812"/>
    <w:rsid w:val="004C793F"/>
    <w:rsid w:val="004C7A74"/>
    <w:rsid w:val="004C7B05"/>
    <w:rsid w:val="004C7B0C"/>
    <w:rsid w:val="004C7C66"/>
    <w:rsid w:val="004C7DF6"/>
    <w:rsid w:val="004C7EB8"/>
    <w:rsid w:val="004C7EFC"/>
    <w:rsid w:val="004C7F64"/>
    <w:rsid w:val="004C7FCA"/>
    <w:rsid w:val="004D00AA"/>
    <w:rsid w:val="004D011A"/>
    <w:rsid w:val="004D0150"/>
    <w:rsid w:val="004D01EC"/>
    <w:rsid w:val="004D027C"/>
    <w:rsid w:val="004D02CC"/>
    <w:rsid w:val="004D04B0"/>
    <w:rsid w:val="004D0787"/>
    <w:rsid w:val="004D0826"/>
    <w:rsid w:val="004D0904"/>
    <w:rsid w:val="004D0A02"/>
    <w:rsid w:val="004D0A25"/>
    <w:rsid w:val="004D0A38"/>
    <w:rsid w:val="004D0A5D"/>
    <w:rsid w:val="004D0A9D"/>
    <w:rsid w:val="004D0B3B"/>
    <w:rsid w:val="004D0C32"/>
    <w:rsid w:val="004D0C67"/>
    <w:rsid w:val="004D0C6A"/>
    <w:rsid w:val="004D0D2B"/>
    <w:rsid w:val="004D0D95"/>
    <w:rsid w:val="004D0DED"/>
    <w:rsid w:val="004D0F53"/>
    <w:rsid w:val="004D0FE5"/>
    <w:rsid w:val="004D1346"/>
    <w:rsid w:val="004D1504"/>
    <w:rsid w:val="004D153E"/>
    <w:rsid w:val="004D156F"/>
    <w:rsid w:val="004D1679"/>
    <w:rsid w:val="004D17B9"/>
    <w:rsid w:val="004D1932"/>
    <w:rsid w:val="004D1992"/>
    <w:rsid w:val="004D1A35"/>
    <w:rsid w:val="004D1C15"/>
    <w:rsid w:val="004D1DAF"/>
    <w:rsid w:val="004D1DD4"/>
    <w:rsid w:val="004D1FDC"/>
    <w:rsid w:val="004D22B0"/>
    <w:rsid w:val="004D2488"/>
    <w:rsid w:val="004D257F"/>
    <w:rsid w:val="004D2708"/>
    <w:rsid w:val="004D292F"/>
    <w:rsid w:val="004D293E"/>
    <w:rsid w:val="004D29D4"/>
    <w:rsid w:val="004D2B4D"/>
    <w:rsid w:val="004D2CFF"/>
    <w:rsid w:val="004D2D73"/>
    <w:rsid w:val="004D3009"/>
    <w:rsid w:val="004D309F"/>
    <w:rsid w:val="004D31A6"/>
    <w:rsid w:val="004D31B9"/>
    <w:rsid w:val="004D32DB"/>
    <w:rsid w:val="004D32FA"/>
    <w:rsid w:val="004D3330"/>
    <w:rsid w:val="004D3349"/>
    <w:rsid w:val="004D335F"/>
    <w:rsid w:val="004D34C9"/>
    <w:rsid w:val="004D3574"/>
    <w:rsid w:val="004D365B"/>
    <w:rsid w:val="004D368F"/>
    <w:rsid w:val="004D383D"/>
    <w:rsid w:val="004D3865"/>
    <w:rsid w:val="004D38C6"/>
    <w:rsid w:val="004D39BA"/>
    <w:rsid w:val="004D3A47"/>
    <w:rsid w:val="004D3A8D"/>
    <w:rsid w:val="004D3AB3"/>
    <w:rsid w:val="004D3C28"/>
    <w:rsid w:val="004D3C91"/>
    <w:rsid w:val="004D3E33"/>
    <w:rsid w:val="004D3E5D"/>
    <w:rsid w:val="004D4007"/>
    <w:rsid w:val="004D40C0"/>
    <w:rsid w:val="004D419B"/>
    <w:rsid w:val="004D4278"/>
    <w:rsid w:val="004D4345"/>
    <w:rsid w:val="004D4410"/>
    <w:rsid w:val="004D45AA"/>
    <w:rsid w:val="004D4618"/>
    <w:rsid w:val="004D4666"/>
    <w:rsid w:val="004D46BB"/>
    <w:rsid w:val="004D4703"/>
    <w:rsid w:val="004D478C"/>
    <w:rsid w:val="004D4876"/>
    <w:rsid w:val="004D4942"/>
    <w:rsid w:val="004D49D0"/>
    <w:rsid w:val="004D4BA7"/>
    <w:rsid w:val="004D4C6C"/>
    <w:rsid w:val="004D4F5E"/>
    <w:rsid w:val="004D4F7F"/>
    <w:rsid w:val="004D5205"/>
    <w:rsid w:val="004D5339"/>
    <w:rsid w:val="004D549E"/>
    <w:rsid w:val="004D5683"/>
    <w:rsid w:val="004D5820"/>
    <w:rsid w:val="004D5896"/>
    <w:rsid w:val="004D5973"/>
    <w:rsid w:val="004D5A21"/>
    <w:rsid w:val="004D5A5F"/>
    <w:rsid w:val="004D5AC1"/>
    <w:rsid w:val="004D5BE7"/>
    <w:rsid w:val="004D5C0F"/>
    <w:rsid w:val="004D5CA4"/>
    <w:rsid w:val="004D5EFB"/>
    <w:rsid w:val="004D5F43"/>
    <w:rsid w:val="004D63EE"/>
    <w:rsid w:val="004D658B"/>
    <w:rsid w:val="004D65D9"/>
    <w:rsid w:val="004D672B"/>
    <w:rsid w:val="004D67AF"/>
    <w:rsid w:val="004D6824"/>
    <w:rsid w:val="004D68CD"/>
    <w:rsid w:val="004D696E"/>
    <w:rsid w:val="004D69DB"/>
    <w:rsid w:val="004D6A50"/>
    <w:rsid w:val="004D6AA3"/>
    <w:rsid w:val="004D6AB2"/>
    <w:rsid w:val="004D6AB4"/>
    <w:rsid w:val="004D6AE1"/>
    <w:rsid w:val="004D6BF8"/>
    <w:rsid w:val="004D6CC2"/>
    <w:rsid w:val="004D6E3E"/>
    <w:rsid w:val="004D6F00"/>
    <w:rsid w:val="004D6F7C"/>
    <w:rsid w:val="004D6FB5"/>
    <w:rsid w:val="004D7076"/>
    <w:rsid w:val="004D711C"/>
    <w:rsid w:val="004D7152"/>
    <w:rsid w:val="004D7188"/>
    <w:rsid w:val="004D7245"/>
    <w:rsid w:val="004D75AD"/>
    <w:rsid w:val="004D75BB"/>
    <w:rsid w:val="004D765A"/>
    <w:rsid w:val="004D76C4"/>
    <w:rsid w:val="004D7891"/>
    <w:rsid w:val="004D7996"/>
    <w:rsid w:val="004D79CC"/>
    <w:rsid w:val="004D7B4D"/>
    <w:rsid w:val="004D7C7F"/>
    <w:rsid w:val="004D7D19"/>
    <w:rsid w:val="004D7D49"/>
    <w:rsid w:val="004D7EA0"/>
    <w:rsid w:val="004D7EA9"/>
    <w:rsid w:val="004D7ED2"/>
    <w:rsid w:val="004D7F39"/>
    <w:rsid w:val="004E007B"/>
    <w:rsid w:val="004E013A"/>
    <w:rsid w:val="004E02AB"/>
    <w:rsid w:val="004E0415"/>
    <w:rsid w:val="004E06AE"/>
    <w:rsid w:val="004E07B0"/>
    <w:rsid w:val="004E07B3"/>
    <w:rsid w:val="004E07B6"/>
    <w:rsid w:val="004E0810"/>
    <w:rsid w:val="004E086B"/>
    <w:rsid w:val="004E089D"/>
    <w:rsid w:val="004E08C9"/>
    <w:rsid w:val="004E09DC"/>
    <w:rsid w:val="004E09ED"/>
    <w:rsid w:val="004E0A60"/>
    <w:rsid w:val="004E0C2E"/>
    <w:rsid w:val="004E0CEE"/>
    <w:rsid w:val="004E0F34"/>
    <w:rsid w:val="004E1087"/>
    <w:rsid w:val="004E10F7"/>
    <w:rsid w:val="004E1185"/>
    <w:rsid w:val="004E1319"/>
    <w:rsid w:val="004E1358"/>
    <w:rsid w:val="004E13E4"/>
    <w:rsid w:val="004E15C5"/>
    <w:rsid w:val="004E169C"/>
    <w:rsid w:val="004E191A"/>
    <w:rsid w:val="004E1934"/>
    <w:rsid w:val="004E1A3A"/>
    <w:rsid w:val="004E1BBA"/>
    <w:rsid w:val="004E1C0D"/>
    <w:rsid w:val="004E1C88"/>
    <w:rsid w:val="004E1CAF"/>
    <w:rsid w:val="004E1D62"/>
    <w:rsid w:val="004E1E17"/>
    <w:rsid w:val="004E1E1F"/>
    <w:rsid w:val="004E1F2B"/>
    <w:rsid w:val="004E206B"/>
    <w:rsid w:val="004E20CC"/>
    <w:rsid w:val="004E20E3"/>
    <w:rsid w:val="004E211D"/>
    <w:rsid w:val="004E2158"/>
    <w:rsid w:val="004E2199"/>
    <w:rsid w:val="004E2386"/>
    <w:rsid w:val="004E2489"/>
    <w:rsid w:val="004E26CD"/>
    <w:rsid w:val="004E27EE"/>
    <w:rsid w:val="004E282C"/>
    <w:rsid w:val="004E2A18"/>
    <w:rsid w:val="004E2B25"/>
    <w:rsid w:val="004E2B9D"/>
    <w:rsid w:val="004E2BB1"/>
    <w:rsid w:val="004E2BE9"/>
    <w:rsid w:val="004E2E51"/>
    <w:rsid w:val="004E2E94"/>
    <w:rsid w:val="004E3095"/>
    <w:rsid w:val="004E311A"/>
    <w:rsid w:val="004E3163"/>
    <w:rsid w:val="004E319F"/>
    <w:rsid w:val="004E3406"/>
    <w:rsid w:val="004E35CF"/>
    <w:rsid w:val="004E3B34"/>
    <w:rsid w:val="004E3BF3"/>
    <w:rsid w:val="004E3C4A"/>
    <w:rsid w:val="004E3CD5"/>
    <w:rsid w:val="004E3CE6"/>
    <w:rsid w:val="004E3E52"/>
    <w:rsid w:val="004E3EDA"/>
    <w:rsid w:val="004E4065"/>
    <w:rsid w:val="004E40DE"/>
    <w:rsid w:val="004E421B"/>
    <w:rsid w:val="004E4294"/>
    <w:rsid w:val="004E4296"/>
    <w:rsid w:val="004E43BB"/>
    <w:rsid w:val="004E4439"/>
    <w:rsid w:val="004E45FB"/>
    <w:rsid w:val="004E4678"/>
    <w:rsid w:val="004E46A7"/>
    <w:rsid w:val="004E46C0"/>
    <w:rsid w:val="004E4BB0"/>
    <w:rsid w:val="004E4C2E"/>
    <w:rsid w:val="004E4D7B"/>
    <w:rsid w:val="004E4E86"/>
    <w:rsid w:val="004E4F12"/>
    <w:rsid w:val="004E5031"/>
    <w:rsid w:val="004E50C6"/>
    <w:rsid w:val="004E510A"/>
    <w:rsid w:val="004E5137"/>
    <w:rsid w:val="004E5323"/>
    <w:rsid w:val="004E532B"/>
    <w:rsid w:val="004E534C"/>
    <w:rsid w:val="004E55A3"/>
    <w:rsid w:val="004E5602"/>
    <w:rsid w:val="004E56B7"/>
    <w:rsid w:val="004E5702"/>
    <w:rsid w:val="004E571F"/>
    <w:rsid w:val="004E58C6"/>
    <w:rsid w:val="004E5948"/>
    <w:rsid w:val="004E59C2"/>
    <w:rsid w:val="004E5A4F"/>
    <w:rsid w:val="004E5AA0"/>
    <w:rsid w:val="004E5B22"/>
    <w:rsid w:val="004E5C71"/>
    <w:rsid w:val="004E5CD5"/>
    <w:rsid w:val="004E5D4A"/>
    <w:rsid w:val="004E5D7D"/>
    <w:rsid w:val="004E5D89"/>
    <w:rsid w:val="004E5DD8"/>
    <w:rsid w:val="004E5EA7"/>
    <w:rsid w:val="004E5FF7"/>
    <w:rsid w:val="004E6003"/>
    <w:rsid w:val="004E606A"/>
    <w:rsid w:val="004E6175"/>
    <w:rsid w:val="004E62EE"/>
    <w:rsid w:val="004E6334"/>
    <w:rsid w:val="004E6355"/>
    <w:rsid w:val="004E6413"/>
    <w:rsid w:val="004E662E"/>
    <w:rsid w:val="004E66AF"/>
    <w:rsid w:val="004E68BE"/>
    <w:rsid w:val="004E6998"/>
    <w:rsid w:val="004E69DA"/>
    <w:rsid w:val="004E6A00"/>
    <w:rsid w:val="004E6BE6"/>
    <w:rsid w:val="004E6C0D"/>
    <w:rsid w:val="004E6C7C"/>
    <w:rsid w:val="004E6C96"/>
    <w:rsid w:val="004E6EBF"/>
    <w:rsid w:val="004E6F6A"/>
    <w:rsid w:val="004E704A"/>
    <w:rsid w:val="004E72A7"/>
    <w:rsid w:val="004E738E"/>
    <w:rsid w:val="004E7394"/>
    <w:rsid w:val="004E7400"/>
    <w:rsid w:val="004E7415"/>
    <w:rsid w:val="004E75C0"/>
    <w:rsid w:val="004E7D97"/>
    <w:rsid w:val="004E7EA1"/>
    <w:rsid w:val="004E7FB3"/>
    <w:rsid w:val="004F01D4"/>
    <w:rsid w:val="004F0202"/>
    <w:rsid w:val="004F0221"/>
    <w:rsid w:val="004F02CC"/>
    <w:rsid w:val="004F0385"/>
    <w:rsid w:val="004F03A7"/>
    <w:rsid w:val="004F0584"/>
    <w:rsid w:val="004F05A6"/>
    <w:rsid w:val="004F065C"/>
    <w:rsid w:val="004F07CF"/>
    <w:rsid w:val="004F07D9"/>
    <w:rsid w:val="004F09DD"/>
    <w:rsid w:val="004F0AE9"/>
    <w:rsid w:val="004F0AF8"/>
    <w:rsid w:val="004F0B6A"/>
    <w:rsid w:val="004F0BCB"/>
    <w:rsid w:val="004F0C41"/>
    <w:rsid w:val="004F0C4C"/>
    <w:rsid w:val="004F0C61"/>
    <w:rsid w:val="004F0DA5"/>
    <w:rsid w:val="004F0E2B"/>
    <w:rsid w:val="004F0FA0"/>
    <w:rsid w:val="004F0FFE"/>
    <w:rsid w:val="004F1139"/>
    <w:rsid w:val="004F118E"/>
    <w:rsid w:val="004F11E4"/>
    <w:rsid w:val="004F1293"/>
    <w:rsid w:val="004F144D"/>
    <w:rsid w:val="004F14B8"/>
    <w:rsid w:val="004F14D7"/>
    <w:rsid w:val="004F17EF"/>
    <w:rsid w:val="004F1916"/>
    <w:rsid w:val="004F1AAB"/>
    <w:rsid w:val="004F1AEC"/>
    <w:rsid w:val="004F1BDC"/>
    <w:rsid w:val="004F1BEC"/>
    <w:rsid w:val="004F1C04"/>
    <w:rsid w:val="004F1D04"/>
    <w:rsid w:val="004F1D50"/>
    <w:rsid w:val="004F1DF6"/>
    <w:rsid w:val="004F1F41"/>
    <w:rsid w:val="004F1F7B"/>
    <w:rsid w:val="004F1F88"/>
    <w:rsid w:val="004F1FC1"/>
    <w:rsid w:val="004F21F8"/>
    <w:rsid w:val="004F22F4"/>
    <w:rsid w:val="004F2337"/>
    <w:rsid w:val="004F2353"/>
    <w:rsid w:val="004F2629"/>
    <w:rsid w:val="004F26C7"/>
    <w:rsid w:val="004F27FD"/>
    <w:rsid w:val="004F28AE"/>
    <w:rsid w:val="004F292D"/>
    <w:rsid w:val="004F29EE"/>
    <w:rsid w:val="004F29FB"/>
    <w:rsid w:val="004F2BF1"/>
    <w:rsid w:val="004F2C15"/>
    <w:rsid w:val="004F2CA0"/>
    <w:rsid w:val="004F2D8B"/>
    <w:rsid w:val="004F301B"/>
    <w:rsid w:val="004F307B"/>
    <w:rsid w:val="004F3202"/>
    <w:rsid w:val="004F32D7"/>
    <w:rsid w:val="004F342E"/>
    <w:rsid w:val="004F35F5"/>
    <w:rsid w:val="004F37C3"/>
    <w:rsid w:val="004F3874"/>
    <w:rsid w:val="004F3886"/>
    <w:rsid w:val="004F3A41"/>
    <w:rsid w:val="004F3A75"/>
    <w:rsid w:val="004F3B29"/>
    <w:rsid w:val="004F3BEF"/>
    <w:rsid w:val="004F3CDB"/>
    <w:rsid w:val="004F3F06"/>
    <w:rsid w:val="004F3FC5"/>
    <w:rsid w:val="004F4018"/>
    <w:rsid w:val="004F4026"/>
    <w:rsid w:val="004F40A0"/>
    <w:rsid w:val="004F40D7"/>
    <w:rsid w:val="004F40E6"/>
    <w:rsid w:val="004F4364"/>
    <w:rsid w:val="004F438A"/>
    <w:rsid w:val="004F43D9"/>
    <w:rsid w:val="004F4463"/>
    <w:rsid w:val="004F4556"/>
    <w:rsid w:val="004F467C"/>
    <w:rsid w:val="004F46FD"/>
    <w:rsid w:val="004F48F5"/>
    <w:rsid w:val="004F4AC6"/>
    <w:rsid w:val="004F4AE3"/>
    <w:rsid w:val="004F4C87"/>
    <w:rsid w:val="004F4E2E"/>
    <w:rsid w:val="004F4E41"/>
    <w:rsid w:val="004F50B5"/>
    <w:rsid w:val="004F5393"/>
    <w:rsid w:val="004F5409"/>
    <w:rsid w:val="004F540E"/>
    <w:rsid w:val="004F543D"/>
    <w:rsid w:val="004F554D"/>
    <w:rsid w:val="004F5A20"/>
    <w:rsid w:val="004F5C07"/>
    <w:rsid w:val="004F5C09"/>
    <w:rsid w:val="004F5D50"/>
    <w:rsid w:val="004F5D8E"/>
    <w:rsid w:val="004F5E70"/>
    <w:rsid w:val="004F5F0E"/>
    <w:rsid w:val="004F5F2A"/>
    <w:rsid w:val="004F6000"/>
    <w:rsid w:val="004F6028"/>
    <w:rsid w:val="004F60BC"/>
    <w:rsid w:val="004F60C7"/>
    <w:rsid w:val="004F623D"/>
    <w:rsid w:val="004F659E"/>
    <w:rsid w:val="004F674C"/>
    <w:rsid w:val="004F6763"/>
    <w:rsid w:val="004F67E7"/>
    <w:rsid w:val="004F68EB"/>
    <w:rsid w:val="004F697E"/>
    <w:rsid w:val="004F6B07"/>
    <w:rsid w:val="004F6C05"/>
    <w:rsid w:val="004F6D2E"/>
    <w:rsid w:val="004F6D33"/>
    <w:rsid w:val="004F6E5C"/>
    <w:rsid w:val="004F6EB3"/>
    <w:rsid w:val="004F6EE5"/>
    <w:rsid w:val="004F6FCE"/>
    <w:rsid w:val="004F70B0"/>
    <w:rsid w:val="004F70D1"/>
    <w:rsid w:val="004F70D5"/>
    <w:rsid w:val="004F71E6"/>
    <w:rsid w:val="004F7201"/>
    <w:rsid w:val="004F7282"/>
    <w:rsid w:val="004F7293"/>
    <w:rsid w:val="004F72A4"/>
    <w:rsid w:val="004F739C"/>
    <w:rsid w:val="004F73E2"/>
    <w:rsid w:val="004F73F6"/>
    <w:rsid w:val="004F7482"/>
    <w:rsid w:val="004F75E8"/>
    <w:rsid w:val="004F768F"/>
    <w:rsid w:val="004F7721"/>
    <w:rsid w:val="004F781A"/>
    <w:rsid w:val="004F7835"/>
    <w:rsid w:val="004F784D"/>
    <w:rsid w:val="004F785B"/>
    <w:rsid w:val="004F789A"/>
    <w:rsid w:val="004F7998"/>
    <w:rsid w:val="004F7A93"/>
    <w:rsid w:val="004F7BA1"/>
    <w:rsid w:val="004F7C02"/>
    <w:rsid w:val="004F7C22"/>
    <w:rsid w:val="004F7C64"/>
    <w:rsid w:val="004F7DEE"/>
    <w:rsid w:val="005000DF"/>
    <w:rsid w:val="00500248"/>
    <w:rsid w:val="00500559"/>
    <w:rsid w:val="005005B2"/>
    <w:rsid w:val="00500844"/>
    <w:rsid w:val="005008AE"/>
    <w:rsid w:val="0050092B"/>
    <w:rsid w:val="00500A3E"/>
    <w:rsid w:val="00500B05"/>
    <w:rsid w:val="00500B65"/>
    <w:rsid w:val="00500C30"/>
    <w:rsid w:val="00500DFB"/>
    <w:rsid w:val="00500E79"/>
    <w:rsid w:val="0050107E"/>
    <w:rsid w:val="0050112A"/>
    <w:rsid w:val="0050126C"/>
    <w:rsid w:val="005012E4"/>
    <w:rsid w:val="005015F0"/>
    <w:rsid w:val="005016D5"/>
    <w:rsid w:val="00501819"/>
    <w:rsid w:val="00501A6A"/>
    <w:rsid w:val="00501B22"/>
    <w:rsid w:val="00501C2E"/>
    <w:rsid w:val="00501C70"/>
    <w:rsid w:val="00501D4C"/>
    <w:rsid w:val="00501DCD"/>
    <w:rsid w:val="00501EA6"/>
    <w:rsid w:val="00501EFD"/>
    <w:rsid w:val="00501FB3"/>
    <w:rsid w:val="00502347"/>
    <w:rsid w:val="00502564"/>
    <w:rsid w:val="00502636"/>
    <w:rsid w:val="005027E5"/>
    <w:rsid w:val="005028AA"/>
    <w:rsid w:val="005028CF"/>
    <w:rsid w:val="005028FF"/>
    <w:rsid w:val="005029D0"/>
    <w:rsid w:val="005029D1"/>
    <w:rsid w:val="00502A49"/>
    <w:rsid w:val="00502AC8"/>
    <w:rsid w:val="00502AFB"/>
    <w:rsid w:val="00502BC5"/>
    <w:rsid w:val="00502CC2"/>
    <w:rsid w:val="00502FA1"/>
    <w:rsid w:val="005030F2"/>
    <w:rsid w:val="005032D8"/>
    <w:rsid w:val="005033B4"/>
    <w:rsid w:val="00503587"/>
    <w:rsid w:val="005036E6"/>
    <w:rsid w:val="00503746"/>
    <w:rsid w:val="00503818"/>
    <w:rsid w:val="005038CE"/>
    <w:rsid w:val="005039B5"/>
    <w:rsid w:val="00503C26"/>
    <w:rsid w:val="00503D80"/>
    <w:rsid w:val="00503E95"/>
    <w:rsid w:val="00503E9A"/>
    <w:rsid w:val="00503F62"/>
    <w:rsid w:val="00504020"/>
    <w:rsid w:val="00504079"/>
    <w:rsid w:val="005041B6"/>
    <w:rsid w:val="005041F8"/>
    <w:rsid w:val="00504208"/>
    <w:rsid w:val="005043AA"/>
    <w:rsid w:val="0050442E"/>
    <w:rsid w:val="00504532"/>
    <w:rsid w:val="00504596"/>
    <w:rsid w:val="0050466D"/>
    <w:rsid w:val="00504673"/>
    <w:rsid w:val="00504730"/>
    <w:rsid w:val="00504856"/>
    <w:rsid w:val="005048D0"/>
    <w:rsid w:val="00504967"/>
    <w:rsid w:val="00504B03"/>
    <w:rsid w:val="00504D16"/>
    <w:rsid w:val="00504D7B"/>
    <w:rsid w:val="00504DBD"/>
    <w:rsid w:val="00504DE7"/>
    <w:rsid w:val="00504E71"/>
    <w:rsid w:val="005051C1"/>
    <w:rsid w:val="005051EA"/>
    <w:rsid w:val="0050536C"/>
    <w:rsid w:val="00505614"/>
    <w:rsid w:val="005056A2"/>
    <w:rsid w:val="0050571F"/>
    <w:rsid w:val="00505972"/>
    <w:rsid w:val="00505A6A"/>
    <w:rsid w:val="00505A6C"/>
    <w:rsid w:val="00505A8F"/>
    <w:rsid w:val="00505D9C"/>
    <w:rsid w:val="005060B0"/>
    <w:rsid w:val="005061DF"/>
    <w:rsid w:val="00506288"/>
    <w:rsid w:val="005063C3"/>
    <w:rsid w:val="00506448"/>
    <w:rsid w:val="00506476"/>
    <w:rsid w:val="00506483"/>
    <w:rsid w:val="00506488"/>
    <w:rsid w:val="00506592"/>
    <w:rsid w:val="00506714"/>
    <w:rsid w:val="005069FF"/>
    <w:rsid w:val="00506ADA"/>
    <w:rsid w:val="00506CFD"/>
    <w:rsid w:val="00506D75"/>
    <w:rsid w:val="00506F8D"/>
    <w:rsid w:val="00507127"/>
    <w:rsid w:val="0050717D"/>
    <w:rsid w:val="00507251"/>
    <w:rsid w:val="00507268"/>
    <w:rsid w:val="005072C0"/>
    <w:rsid w:val="005074AD"/>
    <w:rsid w:val="0050756A"/>
    <w:rsid w:val="005075DD"/>
    <w:rsid w:val="00507752"/>
    <w:rsid w:val="0050789A"/>
    <w:rsid w:val="005078F2"/>
    <w:rsid w:val="00507A3B"/>
    <w:rsid w:val="00507B26"/>
    <w:rsid w:val="00507B9C"/>
    <w:rsid w:val="00507CE6"/>
    <w:rsid w:val="00507E41"/>
    <w:rsid w:val="00507E57"/>
    <w:rsid w:val="00507EB7"/>
    <w:rsid w:val="00507FFD"/>
    <w:rsid w:val="0051001C"/>
    <w:rsid w:val="005101C0"/>
    <w:rsid w:val="0051047A"/>
    <w:rsid w:val="00510549"/>
    <w:rsid w:val="005106D0"/>
    <w:rsid w:val="00510725"/>
    <w:rsid w:val="0051072E"/>
    <w:rsid w:val="00510738"/>
    <w:rsid w:val="00510769"/>
    <w:rsid w:val="00510773"/>
    <w:rsid w:val="005107CE"/>
    <w:rsid w:val="00510886"/>
    <w:rsid w:val="00510B5A"/>
    <w:rsid w:val="00510C0C"/>
    <w:rsid w:val="00510CBE"/>
    <w:rsid w:val="00510DDC"/>
    <w:rsid w:val="00510FA2"/>
    <w:rsid w:val="00511008"/>
    <w:rsid w:val="0051102F"/>
    <w:rsid w:val="00511147"/>
    <w:rsid w:val="005113E5"/>
    <w:rsid w:val="0051146C"/>
    <w:rsid w:val="0051160D"/>
    <w:rsid w:val="005117EC"/>
    <w:rsid w:val="005119DB"/>
    <w:rsid w:val="00511B04"/>
    <w:rsid w:val="00511BB9"/>
    <w:rsid w:val="00511CD3"/>
    <w:rsid w:val="00511D2A"/>
    <w:rsid w:val="00511E8A"/>
    <w:rsid w:val="00511E92"/>
    <w:rsid w:val="0051202E"/>
    <w:rsid w:val="0051214D"/>
    <w:rsid w:val="00512155"/>
    <w:rsid w:val="005121D8"/>
    <w:rsid w:val="00512375"/>
    <w:rsid w:val="00512384"/>
    <w:rsid w:val="005124F9"/>
    <w:rsid w:val="00512502"/>
    <w:rsid w:val="00512591"/>
    <w:rsid w:val="00512601"/>
    <w:rsid w:val="00512674"/>
    <w:rsid w:val="005126E9"/>
    <w:rsid w:val="00512784"/>
    <w:rsid w:val="00512828"/>
    <w:rsid w:val="0051286E"/>
    <w:rsid w:val="00512A81"/>
    <w:rsid w:val="00512ABB"/>
    <w:rsid w:val="00512B1B"/>
    <w:rsid w:val="00512CB1"/>
    <w:rsid w:val="00512FA8"/>
    <w:rsid w:val="005131A1"/>
    <w:rsid w:val="00513288"/>
    <w:rsid w:val="005133F5"/>
    <w:rsid w:val="0051345A"/>
    <w:rsid w:val="005134BE"/>
    <w:rsid w:val="00513506"/>
    <w:rsid w:val="005137C7"/>
    <w:rsid w:val="00513860"/>
    <w:rsid w:val="00513905"/>
    <w:rsid w:val="0051396F"/>
    <w:rsid w:val="00513B25"/>
    <w:rsid w:val="00513DC2"/>
    <w:rsid w:val="00513EE8"/>
    <w:rsid w:val="00513F4C"/>
    <w:rsid w:val="0051401E"/>
    <w:rsid w:val="005141BE"/>
    <w:rsid w:val="00514254"/>
    <w:rsid w:val="005142F0"/>
    <w:rsid w:val="00514395"/>
    <w:rsid w:val="0051458E"/>
    <w:rsid w:val="00514627"/>
    <w:rsid w:val="005146C0"/>
    <w:rsid w:val="005149D5"/>
    <w:rsid w:val="00514BCE"/>
    <w:rsid w:val="00514C48"/>
    <w:rsid w:val="00514D25"/>
    <w:rsid w:val="00514EF1"/>
    <w:rsid w:val="00514F36"/>
    <w:rsid w:val="00514FA1"/>
    <w:rsid w:val="00514FD8"/>
    <w:rsid w:val="0051500D"/>
    <w:rsid w:val="00515101"/>
    <w:rsid w:val="005151B0"/>
    <w:rsid w:val="0051529B"/>
    <w:rsid w:val="0051530A"/>
    <w:rsid w:val="005153FC"/>
    <w:rsid w:val="005156B7"/>
    <w:rsid w:val="00515818"/>
    <w:rsid w:val="00515836"/>
    <w:rsid w:val="005158F6"/>
    <w:rsid w:val="00515934"/>
    <w:rsid w:val="005159DD"/>
    <w:rsid w:val="00515A07"/>
    <w:rsid w:val="00515AF3"/>
    <w:rsid w:val="00515D66"/>
    <w:rsid w:val="00515EB6"/>
    <w:rsid w:val="00515F0D"/>
    <w:rsid w:val="005162F5"/>
    <w:rsid w:val="00516389"/>
    <w:rsid w:val="0051655B"/>
    <w:rsid w:val="00516566"/>
    <w:rsid w:val="00516666"/>
    <w:rsid w:val="00516676"/>
    <w:rsid w:val="005166EE"/>
    <w:rsid w:val="00516740"/>
    <w:rsid w:val="00516757"/>
    <w:rsid w:val="005168B5"/>
    <w:rsid w:val="00516971"/>
    <w:rsid w:val="005169F6"/>
    <w:rsid w:val="00516A08"/>
    <w:rsid w:val="00516A6C"/>
    <w:rsid w:val="00516A78"/>
    <w:rsid w:val="00516AAB"/>
    <w:rsid w:val="00516AAF"/>
    <w:rsid w:val="00516DFE"/>
    <w:rsid w:val="00516EAF"/>
    <w:rsid w:val="00516EC1"/>
    <w:rsid w:val="0051703D"/>
    <w:rsid w:val="00517247"/>
    <w:rsid w:val="005174B4"/>
    <w:rsid w:val="00517514"/>
    <w:rsid w:val="005176A6"/>
    <w:rsid w:val="0051778F"/>
    <w:rsid w:val="00517823"/>
    <w:rsid w:val="005178CF"/>
    <w:rsid w:val="00517AA3"/>
    <w:rsid w:val="00517CCA"/>
    <w:rsid w:val="00517E1F"/>
    <w:rsid w:val="00517E3B"/>
    <w:rsid w:val="00517FCD"/>
    <w:rsid w:val="00517FE7"/>
    <w:rsid w:val="005200A8"/>
    <w:rsid w:val="00520181"/>
    <w:rsid w:val="00520265"/>
    <w:rsid w:val="00520388"/>
    <w:rsid w:val="00520428"/>
    <w:rsid w:val="005204C2"/>
    <w:rsid w:val="0052053E"/>
    <w:rsid w:val="0052055B"/>
    <w:rsid w:val="00520605"/>
    <w:rsid w:val="00520628"/>
    <w:rsid w:val="00520830"/>
    <w:rsid w:val="00520B63"/>
    <w:rsid w:val="00520CD5"/>
    <w:rsid w:val="00520DD8"/>
    <w:rsid w:val="00520E50"/>
    <w:rsid w:val="0052104B"/>
    <w:rsid w:val="0052104C"/>
    <w:rsid w:val="00521054"/>
    <w:rsid w:val="005210DE"/>
    <w:rsid w:val="0052116E"/>
    <w:rsid w:val="00521371"/>
    <w:rsid w:val="005214D3"/>
    <w:rsid w:val="0052165E"/>
    <w:rsid w:val="0052168F"/>
    <w:rsid w:val="00521708"/>
    <w:rsid w:val="005218A8"/>
    <w:rsid w:val="005219ED"/>
    <w:rsid w:val="00521A23"/>
    <w:rsid w:val="00521ADB"/>
    <w:rsid w:val="00521B6E"/>
    <w:rsid w:val="00521E13"/>
    <w:rsid w:val="0052204C"/>
    <w:rsid w:val="005221B4"/>
    <w:rsid w:val="0052224B"/>
    <w:rsid w:val="005222A8"/>
    <w:rsid w:val="00522666"/>
    <w:rsid w:val="005226A4"/>
    <w:rsid w:val="005226FB"/>
    <w:rsid w:val="0052272F"/>
    <w:rsid w:val="00522779"/>
    <w:rsid w:val="00522780"/>
    <w:rsid w:val="0052278F"/>
    <w:rsid w:val="00522795"/>
    <w:rsid w:val="005229F0"/>
    <w:rsid w:val="00522AD2"/>
    <w:rsid w:val="00522B37"/>
    <w:rsid w:val="00522BE0"/>
    <w:rsid w:val="00522E78"/>
    <w:rsid w:val="00522F91"/>
    <w:rsid w:val="00522FC8"/>
    <w:rsid w:val="005230F8"/>
    <w:rsid w:val="00523252"/>
    <w:rsid w:val="0052338F"/>
    <w:rsid w:val="005233B7"/>
    <w:rsid w:val="005234F4"/>
    <w:rsid w:val="00523513"/>
    <w:rsid w:val="0052354C"/>
    <w:rsid w:val="00523763"/>
    <w:rsid w:val="00523782"/>
    <w:rsid w:val="005237F6"/>
    <w:rsid w:val="005238A6"/>
    <w:rsid w:val="005239D7"/>
    <w:rsid w:val="00523A65"/>
    <w:rsid w:val="00523A7E"/>
    <w:rsid w:val="00523BA6"/>
    <w:rsid w:val="00523CDC"/>
    <w:rsid w:val="00523D74"/>
    <w:rsid w:val="00523D98"/>
    <w:rsid w:val="00523E7C"/>
    <w:rsid w:val="00523F3C"/>
    <w:rsid w:val="00524005"/>
    <w:rsid w:val="00524078"/>
    <w:rsid w:val="0052410D"/>
    <w:rsid w:val="005241BA"/>
    <w:rsid w:val="00524266"/>
    <w:rsid w:val="005242E2"/>
    <w:rsid w:val="00524424"/>
    <w:rsid w:val="0052454B"/>
    <w:rsid w:val="00524578"/>
    <w:rsid w:val="00524704"/>
    <w:rsid w:val="0052479F"/>
    <w:rsid w:val="00524910"/>
    <w:rsid w:val="0052492D"/>
    <w:rsid w:val="00524A1F"/>
    <w:rsid w:val="00524A72"/>
    <w:rsid w:val="00524B26"/>
    <w:rsid w:val="00524B77"/>
    <w:rsid w:val="00524E0B"/>
    <w:rsid w:val="00524EFD"/>
    <w:rsid w:val="00524F0E"/>
    <w:rsid w:val="00524FB1"/>
    <w:rsid w:val="00524FCA"/>
    <w:rsid w:val="0052500B"/>
    <w:rsid w:val="0052512A"/>
    <w:rsid w:val="00525163"/>
    <w:rsid w:val="00525210"/>
    <w:rsid w:val="005252B7"/>
    <w:rsid w:val="00525327"/>
    <w:rsid w:val="0052547B"/>
    <w:rsid w:val="00525505"/>
    <w:rsid w:val="005256B1"/>
    <w:rsid w:val="00525782"/>
    <w:rsid w:val="00525851"/>
    <w:rsid w:val="005259C7"/>
    <w:rsid w:val="00525A61"/>
    <w:rsid w:val="00525B23"/>
    <w:rsid w:val="00525C30"/>
    <w:rsid w:val="00525C41"/>
    <w:rsid w:val="00525C54"/>
    <w:rsid w:val="00525EE6"/>
    <w:rsid w:val="00525F4B"/>
    <w:rsid w:val="00525FBF"/>
    <w:rsid w:val="0052617D"/>
    <w:rsid w:val="00526187"/>
    <w:rsid w:val="0052618F"/>
    <w:rsid w:val="005261B7"/>
    <w:rsid w:val="00526265"/>
    <w:rsid w:val="0052628B"/>
    <w:rsid w:val="005263A2"/>
    <w:rsid w:val="00526477"/>
    <w:rsid w:val="005264B4"/>
    <w:rsid w:val="005265F5"/>
    <w:rsid w:val="005266CC"/>
    <w:rsid w:val="00526796"/>
    <w:rsid w:val="00526819"/>
    <w:rsid w:val="00526C39"/>
    <w:rsid w:val="00526D3B"/>
    <w:rsid w:val="00526EDF"/>
    <w:rsid w:val="00526EF4"/>
    <w:rsid w:val="00526F57"/>
    <w:rsid w:val="00527232"/>
    <w:rsid w:val="0052725F"/>
    <w:rsid w:val="0052733B"/>
    <w:rsid w:val="00527468"/>
    <w:rsid w:val="00527521"/>
    <w:rsid w:val="005275AC"/>
    <w:rsid w:val="00527667"/>
    <w:rsid w:val="00527751"/>
    <w:rsid w:val="0052779F"/>
    <w:rsid w:val="005279E6"/>
    <w:rsid w:val="00527B70"/>
    <w:rsid w:val="00527CDC"/>
    <w:rsid w:val="00527D02"/>
    <w:rsid w:val="00527D46"/>
    <w:rsid w:val="00527D5C"/>
    <w:rsid w:val="00527F03"/>
    <w:rsid w:val="00527F74"/>
    <w:rsid w:val="0052E424"/>
    <w:rsid w:val="005301FC"/>
    <w:rsid w:val="00530240"/>
    <w:rsid w:val="00530405"/>
    <w:rsid w:val="005304C8"/>
    <w:rsid w:val="0053068A"/>
    <w:rsid w:val="0053091C"/>
    <w:rsid w:val="00530985"/>
    <w:rsid w:val="00530A29"/>
    <w:rsid w:val="00530AA3"/>
    <w:rsid w:val="00530B3F"/>
    <w:rsid w:val="00530C11"/>
    <w:rsid w:val="00530C3B"/>
    <w:rsid w:val="00530C45"/>
    <w:rsid w:val="00530CE8"/>
    <w:rsid w:val="00530D09"/>
    <w:rsid w:val="00530E9C"/>
    <w:rsid w:val="00530F72"/>
    <w:rsid w:val="00531017"/>
    <w:rsid w:val="0053126D"/>
    <w:rsid w:val="00531279"/>
    <w:rsid w:val="005312F2"/>
    <w:rsid w:val="00531348"/>
    <w:rsid w:val="00531458"/>
    <w:rsid w:val="00531484"/>
    <w:rsid w:val="005314A2"/>
    <w:rsid w:val="00531609"/>
    <w:rsid w:val="00531686"/>
    <w:rsid w:val="005317A3"/>
    <w:rsid w:val="005319AB"/>
    <w:rsid w:val="00531A95"/>
    <w:rsid w:val="00531B58"/>
    <w:rsid w:val="00531CCC"/>
    <w:rsid w:val="00531DA7"/>
    <w:rsid w:val="00531DBF"/>
    <w:rsid w:val="00531EF3"/>
    <w:rsid w:val="00531F87"/>
    <w:rsid w:val="00531FC5"/>
    <w:rsid w:val="00531FE1"/>
    <w:rsid w:val="0053214D"/>
    <w:rsid w:val="005321AF"/>
    <w:rsid w:val="005321F0"/>
    <w:rsid w:val="00532412"/>
    <w:rsid w:val="00532523"/>
    <w:rsid w:val="00532548"/>
    <w:rsid w:val="00532555"/>
    <w:rsid w:val="00532573"/>
    <w:rsid w:val="00532674"/>
    <w:rsid w:val="00532836"/>
    <w:rsid w:val="00532858"/>
    <w:rsid w:val="00532892"/>
    <w:rsid w:val="00532DAE"/>
    <w:rsid w:val="00532EFE"/>
    <w:rsid w:val="00532F14"/>
    <w:rsid w:val="00532FDC"/>
    <w:rsid w:val="00533032"/>
    <w:rsid w:val="00533036"/>
    <w:rsid w:val="005330D1"/>
    <w:rsid w:val="0053316B"/>
    <w:rsid w:val="0053316F"/>
    <w:rsid w:val="005333D1"/>
    <w:rsid w:val="00533418"/>
    <w:rsid w:val="005334BC"/>
    <w:rsid w:val="005334C0"/>
    <w:rsid w:val="00533578"/>
    <w:rsid w:val="00533738"/>
    <w:rsid w:val="00533745"/>
    <w:rsid w:val="005337C6"/>
    <w:rsid w:val="0053380C"/>
    <w:rsid w:val="00533ABD"/>
    <w:rsid w:val="00533B0D"/>
    <w:rsid w:val="00533B54"/>
    <w:rsid w:val="00533C70"/>
    <w:rsid w:val="00533C71"/>
    <w:rsid w:val="00533C95"/>
    <w:rsid w:val="00533E28"/>
    <w:rsid w:val="00533E65"/>
    <w:rsid w:val="00533E9F"/>
    <w:rsid w:val="00533EB2"/>
    <w:rsid w:val="00533F15"/>
    <w:rsid w:val="00533FC7"/>
    <w:rsid w:val="005340A7"/>
    <w:rsid w:val="00534245"/>
    <w:rsid w:val="005342E3"/>
    <w:rsid w:val="00534520"/>
    <w:rsid w:val="00534674"/>
    <w:rsid w:val="0053491B"/>
    <w:rsid w:val="00534CFF"/>
    <w:rsid w:val="00534DBC"/>
    <w:rsid w:val="00534DE2"/>
    <w:rsid w:val="00534E58"/>
    <w:rsid w:val="00534F73"/>
    <w:rsid w:val="00535127"/>
    <w:rsid w:val="00535170"/>
    <w:rsid w:val="00535319"/>
    <w:rsid w:val="0053533A"/>
    <w:rsid w:val="00535492"/>
    <w:rsid w:val="005355D4"/>
    <w:rsid w:val="00535639"/>
    <w:rsid w:val="0053573A"/>
    <w:rsid w:val="0053583A"/>
    <w:rsid w:val="00535938"/>
    <w:rsid w:val="0053594C"/>
    <w:rsid w:val="00535955"/>
    <w:rsid w:val="00535ACC"/>
    <w:rsid w:val="00535AF3"/>
    <w:rsid w:val="00535C1D"/>
    <w:rsid w:val="00535D44"/>
    <w:rsid w:val="00535D75"/>
    <w:rsid w:val="00535D9A"/>
    <w:rsid w:val="00535DF3"/>
    <w:rsid w:val="00535EB8"/>
    <w:rsid w:val="00535EFF"/>
    <w:rsid w:val="00535F78"/>
    <w:rsid w:val="00535FB7"/>
    <w:rsid w:val="00535FBF"/>
    <w:rsid w:val="00535FD1"/>
    <w:rsid w:val="005360BB"/>
    <w:rsid w:val="005360F7"/>
    <w:rsid w:val="00536200"/>
    <w:rsid w:val="005362C2"/>
    <w:rsid w:val="0053662C"/>
    <w:rsid w:val="005366C0"/>
    <w:rsid w:val="005367A5"/>
    <w:rsid w:val="005367F9"/>
    <w:rsid w:val="005367FF"/>
    <w:rsid w:val="005368EB"/>
    <w:rsid w:val="005369C3"/>
    <w:rsid w:val="005369FE"/>
    <w:rsid w:val="00536A0F"/>
    <w:rsid w:val="00536D4A"/>
    <w:rsid w:val="00536ECD"/>
    <w:rsid w:val="0053702A"/>
    <w:rsid w:val="0053712D"/>
    <w:rsid w:val="0053724D"/>
    <w:rsid w:val="0053732B"/>
    <w:rsid w:val="0053746C"/>
    <w:rsid w:val="005374BF"/>
    <w:rsid w:val="00537527"/>
    <w:rsid w:val="005375A3"/>
    <w:rsid w:val="005375EB"/>
    <w:rsid w:val="0053778C"/>
    <w:rsid w:val="00537AF1"/>
    <w:rsid w:val="00537B63"/>
    <w:rsid w:val="00537C17"/>
    <w:rsid w:val="00537CB9"/>
    <w:rsid w:val="00537CC2"/>
    <w:rsid w:val="00537D5F"/>
    <w:rsid w:val="00537F89"/>
    <w:rsid w:val="0053DA68"/>
    <w:rsid w:val="0054013A"/>
    <w:rsid w:val="00540175"/>
    <w:rsid w:val="005401B5"/>
    <w:rsid w:val="005401F2"/>
    <w:rsid w:val="0054030E"/>
    <w:rsid w:val="0054039E"/>
    <w:rsid w:val="00540433"/>
    <w:rsid w:val="00540480"/>
    <w:rsid w:val="005404E5"/>
    <w:rsid w:val="005408E4"/>
    <w:rsid w:val="00540919"/>
    <w:rsid w:val="005409C8"/>
    <w:rsid w:val="005409C9"/>
    <w:rsid w:val="005409DE"/>
    <w:rsid w:val="00540ACC"/>
    <w:rsid w:val="00540B53"/>
    <w:rsid w:val="00540D6F"/>
    <w:rsid w:val="00540DA6"/>
    <w:rsid w:val="00540DD2"/>
    <w:rsid w:val="00540DDF"/>
    <w:rsid w:val="00540E72"/>
    <w:rsid w:val="00540E9D"/>
    <w:rsid w:val="00540FEA"/>
    <w:rsid w:val="0054100B"/>
    <w:rsid w:val="0054102C"/>
    <w:rsid w:val="00541107"/>
    <w:rsid w:val="005412DD"/>
    <w:rsid w:val="005413AC"/>
    <w:rsid w:val="005413B9"/>
    <w:rsid w:val="0054157F"/>
    <w:rsid w:val="0054172C"/>
    <w:rsid w:val="0054179F"/>
    <w:rsid w:val="005418F0"/>
    <w:rsid w:val="00541922"/>
    <w:rsid w:val="00541969"/>
    <w:rsid w:val="00541A46"/>
    <w:rsid w:val="00541B35"/>
    <w:rsid w:val="00541C4C"/>
    <w:rsid w:val="00541DAE"/>
    <w:rsid w:val="00541E21"/>
    <w:rsid w:val="00541F34"/>
    <w:rsid w:val="00541FC0"/>
    <w:rsid w:val="0054211A"/>
    <w:rsid w:val="00542358"/>
    <w:rsid w:val="005424B5"/>
    <w:rsid w:val="00542579"/>
    <w:rsid w:val="005425EE"/>
    <w:rsid w:val="00542779"/>
    <w:rsid w:val="00542847"/>
    <w:rsid w:val="00542A5F"/>
    <w:rsid w:val="00542A68"/>
    <w:rsid w:val="00542B0B"/>
    <w:rsid w:val="00542D24"/>
    <w:rsid w:val="00542D6D"/>
    <w:rsid w:val="00542D73"/>
    <w:rsid w:val="00543079"/>
    <w:rsid w:val="005431BC"/>
    <w:rsid w:val="00543226"/>
    <w:rsid w:val="00543356"/>
    <w:rsid w:val="0054338A"/>
    <w:rsid w:val="00543464"/>
    <w:rsid w:val="005435E4"/>
    <w:rsid w:val="0054366F"/>
    <w:rsid w:val="005437E3"/>
    <w:rsid w:val="005438C1"/>
    <w:rsid w:val="005438CF"/>
    <w:rsid w:val="00543C55"/>
    <w:rsid w:val="00543D09"/>
    <w:rsid w:val="00543F06"/>
    <w:rsid w:val="005440E1"/>
    <w:rsid w:val="005441B6"/>
    <w:rsid w:val="0054450A"/>
    <w:rsid w:val="0054451F"/>
    <w:rsid w:val="00544810"/>
    <w:rsid w:val="00544970"/>
    <w:rsid w:val="00544B38"/>
    <w:rsid w:val="00544B86"/>
    <w:rsid w:val="00544B93"/>
    <w:rsid w:val="00544BF7"/>
    <w:rsid w:val="00544D95"/>
    <w:rsid w:val="00544F11"/>
    <w:rsid w:val="00544F51"/>
    <w:rsid w:val="00544FCE"/>
    <w:rsid w:val="00545010"/>
    <w:rsid w:val="00545085"/>
    <w:rsid w:val="00545125"/>
    <w:rsid w:val="00545242"/>
    <w:rsid w:val="005452DB"/>
    <w:rsid w:val="0054530B"/>
    <w:rsid w:val="005454C9"/>
    <w:rsid w:val="00545527"/>
    <w:rsid w:val="00545577"/>
    <w:rsid w:val="005455BD"/>
    <w:rsid w:val="005455FA"/>
    <w:rsid w:val="00545638"/>
    <w:rsid w:val="005457B7"/>
    <w:rsid w:val="0054582C"/>
    <w:rsid w:val="0054584E"/>
    <w:rsid w:val="005458DB"/>
    <w:rsid w:val="00545AE1"/>
    <w:rsid w:val="00545AF9"/>
    <w:rsid w:val="00545AFD"/>
    <w:rsid w:val="00545C64"/>
    <w:rsid w:val="00545F19"/>
    <w:rsid w:val="00545F47"/>
    <w:rsid w:val="0054609E"/>
    <w:rsid w:val="005460CD"/>
    <w:rsid w:val="00546189"/>
    <w:rsid w:val="00546297"/>
    <w:rsid w:val="005462F1"/>
    <w:rsid w:val="005463FF"/>
    <w:rsid w:val="005464D7"/>
    <w:rsid w:val="005465A6"/>
    <w:rsid w:val="005465B9"/>
    <w:rsid w:val="00546749"/>
    <w:rsid w:val="00546871"/>
    <w:rsid w:val="00546C8A"/>
    <w:rsid w:val="00546CAD"/>
    <w:rsid w:val="00546F1B"/>
    <w:rsid w:val="00546F82"/>
    <w:rsid w:val="0054731F"/>
    <w:rsid w:val="00547400"/>
    <w:rsid w:val="00547743"/>
    <w:rsid w:val="00547804"/>
    <w:rsid w:val="005478AB"/>
    <w:rsid w:val="00547B48"/>
    <w:rsid w:val="00547C0D"/>
    <w:rsid w:val="00547C2A"/>
    <w:rsid w:val="00547D15"/>
    <w:rsid w:val="00547D84"/>
    <w:rsid w:val="00547DBC"/>
    <w:rsid w:val="005495F4"/>
    <w:rsid w:val="00550242"/>
    <w:rsid w:val="005504D4"/>
    <w:rsid w:val="005505C1"/>
    <w:rsid w:val="005505CD"/>
    <w:rsid w:val="005505E6"/>
    <w:rsid w:val="00550616"/>
    <w:rsid w:val="005507E2"/>
    <w:rsid w:val="0055093D"/>
    <w:rsid w:val="005509B8"/>
    <w:rsid w:val="00550C7D"/>
    <w:rsid w:val="00550DA3"/>
    <w:rsid w:val="00550DA9"/>
    <w:rsid w:val="00550EED"/>
    <w:rsid w:val="00551207"/>
    <w:rsid w:val="00551261"/>
    <w:rsid w:val="005514AA"/>
    <w:rsid w:val="005514FD"/>
    <w:rsid w:val="0055157E"/>
    <w:rsid w:val="00551622"/>
    <w:rsid w:val="0055163B"/>
    <w:rsid w:val="005516B2"/>
    <w:rsid w:val="005516D7"/>
    <w:rsid w:val="00551769"/>
    <w:rsid w:val="00551842"/>
    <w:rsid w:val="00551859"/>
    <w:rsid w:val="0055194B"/>
    <w:rsid w:val="00551954"/>
    <w:rsid w:val="005519E5"/>
    <w:rsid w:val="00551CB1"/>
    <w:rsid w:val="00551E4C"/>
    <w:rsid w:val="00551E85"/>
    <w:rsid w:val="0055205B"/>
    <w:rsid w:val="005520CB"/>
    <w:rsid w:val="005520D6"/>
    <w:rsid w:val="0055225F"/>
    <w:rsid w:val="005523DE"/>
    <w:rsid w:val="0055241F"/>
    <w:rsid w:val="00552599"/>
    <w:rsid w:val="00552846"/>
    <w:rsid w:val="005528F4"/>
    <w:rsid w:val="00552949"/>
    <w:rsid w:val="005529B5"/>
    <w:rsid w:val="00552AAB"/>
    <w:rsid w:val="00552C89"/>
    <w:rsid w:val="00552DF9"/>
    <w:rsid w:val="005530AE"/>
    <w:rsid w:val="00553169"/>
    <w:rsid w:val="00553294"/>
    <w:rsid w:val="00553352"/>
    <w:rsid w:val="005536B7"/>
    <w:rsid w:val="005536CA"/>
    <w:rsid w:val="005536E4"/>
    <w:rsid w:val="005536ED"/>
    <w:rsid w:val="005537A3"/>
    <w:rsid w:val="00553A24"/>
    <w:rsid w:val="00553A88"/>
    <w:rsid w:val="00553B57"/>
    <w:rsid w:val="00553C39"/>
    <w:rsid w:val="00553C3C"/>
    <w:rsid w:val="00553DFB"/>
    <w:rsid w:val="00553ED2"/>
    <w:rsid w:val="00553ED8"/>
    <w:rsid w:val="005540DC"/>
    <w:rsid w:val="005540F2"/>
    <w:rsid w:val="005541E8"/>
    <w:rsid w:val="0055424E"/>
    <w:rsid w:val="0055430A"/>
    <w:rsid w:val="00554381"/>
    <w:rsid w:val="0055440E"/>
    <w:rsid w:val="0055442B"/>
    <w:rsid w:val="005544A0"/>
    <w:rsid w:val="005545AC"/>
    <w:rsid w:val="00554603"/>
    <w:rsid w:val="005547B6"/>
    <w:rsid w:val="00554884"/>
    <w:rsid w:val="005548A9"/>
    <w:rsid w:val="005548BC"/>
    <w:rsid w:val="00554E67"/>
    <w:rsid w:val="00554F19"/>
    <w:rsid w:val="005550BA"/>
    <w:rsid w:val="005551D4"/>
    <w:rsid w:val="005552EA"/>
    <w:rsid w:val="005552F0"/>
    <w:rsid w:val="005554A8"/>
    <w:rsid w:val="005555D8"/>
    <w:rsid w:val="00555628"/>
    <w:rsid w:val="005556DD"/>
    <w:rsid w:val="005556DF"/>
    <w:rsid w:val="00555887"/>
    <w:rsid w:val="00555B42"/>
    <w:rsid w:val="00555BD4"/>
    <w:rsid w:val="00555C3F"/>
    <w:rsid w:val="00555CD0"/>
    <w:rsid w:val="00555D57"/>
    <w:rsid w:val="00555E79"/>
    <w:rsid w:val="0055602F"/>
    <w:rsid w:val="00556201"/>
    <w:rsid w:val="0055626C"/>
    <w:rsid w:val="005563A9"/>
    <w:rsid w:val="00556452"/>
    <w:rsid w:val="00556462"/>
    <w:rsid w:val="00556541"/>
    <w:rsid w:val="00556623"/>
    <w:rsid w:val="00556624"/>
    <w:rsid w:val="00556787"/>
    <w:rsid w:val="005567A7"/>
    <w:rsid w:val="00556814"/>
    <w:rsid w:val="0055682D"/>
    <w:rsid w:val="0055689C"/>
    <w:rsid w:val="005568A6"/>
    <w:rsid w:val="00556917"/>
    <w:rsid w:val="00556930"/>
    <w:rsid w:val="00556A33"/>
    <w:rsid w:val="00556A9A"/>
    <w:rsid w:val="00556AC1"/>
    <w:rsid w:val="00556B3D"/>
    <w:rsid w:val="00556BAD"/>
    <w:rsid w:val="00556BD2"/>
    <w:rsid w:val="00556E3B"/>
    <w:rsid w:val="00556E9A"/>
    <w:rsid w:val="00556EE1"/>
    <w:rsid w:val="00556EE5"/>
    <w:rsid w:val="00556FCF"/>
    <w:rsid w:val="00556FE4"/>
    <w:rsid w:val="0055710C"/>
    <w:rsid w:val="00557781"/>
    <w:rsid w:val="00557798"/>
    <w:rsid w:val="005577E2"/>
    <w:rsid w:val="00557879"/>
    <w:rsid w:val="005579EA"/>
    <w:rsid w:val="00557BA3"/>
    <w:rsid w:val="00557C92"/>
    <w:rsid w:val="00557DFF"/>
    <w:rsid w:val="00557E27"/>
    <w:rsid w:val="00557FF3"/>
    <w:rsid w:val="00560070"/>
    <w:rsid w:val="005600A8"/>
    <w:rsid w:val="0056044F"/>
    <w:rsid w:val="0056046E"/>
    <w:rsid w:val="005607C8"/>
    <w:rsid w:val="005607FA"/>
    <w:rsid w:val="00560BE5"/>
    <w:rsid w:val="00560C2C"/>
    <w:rsid w:val="00560CC4"/>
    <w:rsid w:val="0056110E"/>
    <w:rsid w:val="00561282"/>
    <w:rsid w:val="005612A2"/>
    <w:rsid w:val="00561419"/>
    <w:rsid w:val="005615AA"/>
    <w:rsid w:val="00561673"/>
    <w:rsid w:val="00561755"/>
    <w:rsid w:val="005617D2"/>
    <w:rsid w:val="005617E7"/>
    <w:rsid w:val="00561801"/>
    <w:rsid w:val="00561A4E"/>
    <w:rsid w:val="00561BBD"/>
    <w:rsid w:val="00561C9B"/>
    <w:rsid w:val="00561D8B"/>
    <w:rsid w:val="00561E69"/>
    <w:rsid w:val="00561ED3"/>
    <w:rsid w:val="00561EF1"/>
    <w:rsid w:val="00561F3B"/>
    <w:rsid w:val="00561F5E"/>
    <w:rsid w:val="00561F76"/>
    <w:rsid w:val="005623C0"/>
    <w:rsid w:val="00562417"/>
    <w:rsid w:val="005624EE"/>
    <w:rsid w:val="0056257C"/>
    <w:rsid w:val="0056264F"/>
    <w:rsid w:val="005626C2"/>
    <w:rsid w:val="00562A3D"/>
    <w:rsid w:val="00562D42"/>
    <w:rsid w:val="00562FBD"/>
    <w:rsid w:val="00563126"/>
    <w:rsid w:val="005632C0"/>
    <w:rsid w:val="005632F3"/>
    <w:rsid w:val="00563385"/>
    <w:rsid w:val="0056366C"/>
    <w:rsid w:val="005636B1"/>
    <w:rsid w:val="0056370B"/>
    <w:rsid w:val="00563711"/>
    <w:rsid w:val="00563769"/>
    <w:rsid w:val="00563784"/>
    <w:rsid w:val="0056392F"/>
    <w:rsid w:val="00563961"/>
    <w:rsid w:val="00563B4C"/>
    <w:rsid w:val="00563BF6"/>
    <w:rsid w:val="00563C8C"/>
    <w:rsid w:val="00563D73"/>
    <w:rsid w:val="00563E31"/>
    <w:rsid w:val="00564043"/>
    <w:rsid w:val="00564076"/>
    <w:rsid w:val="00564179"/>
    <w:rsid w:val="0056417B"/>
    <w:rsid w:val="005641B0"/>
    <w:rsid w:val="00564277"/>
    <w:rsid w:val="00564458"/>
    <w:rsid w:val="00564586"/>
    <w:rsid w:val="005646C1"/>
    <w:rsid w:val="00564864"/>
    <w:rsid w:val="00564877"/>
    <w:rsid w:val="00564966"/>
    <w:rsid w:val="0056496A"/>
    <w:rsid w:val="005649C3"/>
    <w:rsid w:val="00564D0E"/>
    <w:rsid w:val="00564EB6"/>
    <w:rsid w:val="00564FAD"/>
    <w:rsid w:val="00565026"/>
    <w:rsid w:val="0056506B"/>
    <w:rsid w:val="005650B8"/>
    <w:rsid w:val="00565189"/>
    <w:rsid w:val="00565526"/>
    <w:rsid w:val="00565609"/>
    <w:rsid w:val="0056563F"/>
    <w:rsid w:val="00565716"/>
    <w:rsid w:val="005657F5"/>
    <w:rsid w:val="005659BB"/>
    <w:rsid w:val="00565A8C"/>
    <w:rsid w:val="00565AA4"/>
    <w:rsid w:val="00565AF2"/>
    <w:rsid w:val="00565B13"/>
    <w:rsid w:val="00565BEF"/>
    <w:rsid w:val="00565CC6"/>
    <w:rsid w:val="00565ED1"/>
    <w:rsid w:val="0056617D"/>
    <w:rsid w:val="00566202"/>
    <w:rsid w:val="0056621D"/>
    <w:rsid w:val="005663F0"/>
    <w:rsid w:val="00566651"/>
    <w:rsid w:val="0056687D"/>
    <w:rsid w:val="005668F5"/>
    <w:rsid w:val="00566B84"/>
    <w:rsid w:val="00566BAC"/>
    <w:rsid w:val="00566C5C"/>
    <w:rsid w:val="00566C92"/>
    <w:rsid w:val="00566D0B"/>
    <w:rsid w:val="00566DD9"/>
    <w:rsid w:val="00567014"/>
    <w:rsid w:val="005670E7"/>
    <w:rsid w:val="005670F4"/>
    <w:rsid w:val="00567351"/>
    <w:rsid w:val="00567408"/>
    <w:rsid w:val="005674F3"/>
    <w:rsid w:val="005677F8"/>
    <w:rsid w:val="00567803"/>
    <w:rsid w:val="00567AAD"/>
    <w:rsid w:val="00567B7A"/>
    <w:rsid w:val="00567C5D"/>
    <w:rsid w:val="00567DBB"/>
    <w:rsid w:val="00567E56"/>
    <w:rsid w:val="00567FAC"/>
    <w:rsid w:val="00567FCE"/>
    <w:rsid w:val="00570125"/>
    <w:rsid w:val="00570563"/>
    <w:rsid w:val="00570580"/>
    <w:rsid w:val="00570637"/>
    <w:rsid w:val="005706E8"/>
    <w:rsid w:val="00570733"/>
    <w:rsid w:val="00570A8F"/>
    <w:rsid w:val="00570ADA"/>
    <w:rsid w:val="00570B92"/>
    <w:rsid w:val="00570BAE"/>
    <w:rsid w:val="00570BC5"/>
    <w:rsid w:val="00570CF0"/>
    <w:rsid w:val="00570F62"/>
    <w:rsid w:val="00570FDE"/>
    <w:rsid w:val="00571153"/>
    <w:rsid w:val="005711B6"/>
    <w:rsid w:val="005711ED"/>
    <w:rsid w:val="005711FA"/>
    <w:rsid w:val="005712EE"/>
    <w:rsid w:val="00571379"/>
    <w:rsid w:val="0057142A"/>
    <w:rsid w:val="00571553"/>
    <w:rsid w:val="00571954"/>
    <w:rsid w:val="0057195F"/>
    <w:rsid w:val="00571AF7"/>
    <w:rsid w:val="00571AFC"/>
    <w:rsid w:val="00571C01"/>
    <w:rsid w:val="00571CDF"/>
    <w:rsid w:val="00571D15"/>
    <w:rsid w:val="00571F65"/>
    <w:rsid w:val="00571FFB"/>
    <w:rsid w:val="0057213C"/>
    <w:rsid w:val="00572147"/>
    <w:rsid w:val="005723E1"/>
    <w:rsid w:val="0057241B"/>
    <w:rsid w:val="00572510"/>
    <w:rsid w:val="005725A1"/>
    <w:rsid w:val="005728D9"/>
    <w:rsid w:val="00572AD9"/>
    <w:rsid w:val="00572B06"/>
    <w:rsid w:val="00572BE8"/>
    <w:rsid w:val="00572C32"/>
    <w:rsid w:val="00572CCA"/>
    <w:rsid w:val="00572DC3"/>
    <w:rsid w:val="00572DEE"/>
    <w:rsid w:val="00572DF4"/>
    <w:rsid w:val="00572E5C"/>
    <w:rsid w:val="00572F18"/>
    <w:rsid w:val="00572FC5"/>
    <w:rsid w:val="00572FED"/>
    <w:rsid w:val="00573099"/>
    <w:rsid w:val="005730BA"/>
    <w:rsid w:val="00573278"/>
    <w:rsid w:val="0057330B"/>
    <w:rsid w:val="00573394"/>
    <w:rsid w:val="0057351A"/>
    <w:rsid w:val="005735EA"/>
    <w:rsid w:val="00573607"/>
    <w:rsid w:val="00573732"/>
    <w:rsid w:val="005737DD"/>
    <w:rsid w:val="0057387B"/>
    <w:rsid w:val="0057388E"/>
    <w:rsid w:val="0057392F"/>
    <w:rsid w:val="00573A1A"/>
    <w:rsid w:val="00573A8A"/>
    <w:rsid w:val="00573D9D"/>
    <w:rsid w:val="00573DB2"/>
    <w:rsid w:val="00573E65"/>
    <w:rsid w:val="00573F56"/>
    <w:rsid w:val="00573FBD"/>
    <w:rsid w:val="00573FE4"/>
    <w:rsid w:val="0057400A"/>
    <w:rsid w:val="00574304"/>
    <w:rsid w:val="00574397"/>
    <w:rsid w:val="0057461C"/>
    <w:rsid w:val="005747F1"/>
    <w:rsid w:val="0057493C"/>
    <w:rsid w:val="00574D30"/>
    <w:rsid w:val="00574EE6"/>
    <w:rsid w:val="00574EEF"/>
    <w:rsid w:val="00574F8A"/>
    <w:rsid w:val="00575028"/>
    <w:rsid w:val="0057508B"/>
    <w:rsid w:val="00575153"/>
    <w:rsid w:val="00575170"/>
    <w:rsid w:val="005752C5"/>
    <w:rsid w:val="005752F1"/>
    <w:rsid w:val="00575328"/>
    <w:rsid w:val="00575330"/>
    <w:rsid w:val="00575461"/>
    <w:rsid w:val="00575584"/>
    <w:rsid w:val="005755E4"/>
    <w:rsid w:val="0057564F"/>
    <w:rsid w:val="0057578A"/>
    <w:rsid w:val="005757AF"/>
    <w:rsid w:val="005757F2"/>
    <w:rsid w:val="00575842"/>
    <w:rsid w:val="00575929"/>
    <w:rsid w:val="00575BE6"/>
    <w:rsid w:val="00575BFC"/>
    <w:rsid w:val="00575C64"/>
    <w:rsid w:val="00575DAB"/>
    <w:rsid w:val="00575E1E"/>
    <w:rsid w:val="00575EEC"/>
    <w:rsid w:val="00575F53"/>
    <w:rsid w:val="0057680B"/>
    <w:rsid w:val="005768E6"/>
    <w:rsid w:val="0057694A"/>
    <w:rsid w:val="005769C1"/>
    <w:rsid w:val="00576A40"/>
    <w:rsid w:val="00576BCB"/>
    <w:rsid w:val="00576BCF"/>
    <w:rsid w:val="00576C8E"/>
    <w:rsid w:val="00576EF2"/>
    <w:rsid w:val="0057721E"/>
    <w:rsid w:val="005772EC"/>
    <w:rsid w:val="0057730F"/>
    <w:rsid w:val="00577371"/>
    <w:rsid w:val="005773BE"/>
    <w:rsid w:val="0057749C"/>
    <w:rsid w:val="00577520"/>
    <w:rsid w:val="0057753F"/>
    <w:rsid w:val="0057759E"/>
    <w:rsid w:val="005775DA"/>
    <w:rsid w:val="00577740"/>
    <w:rsid w:val="00577823"/>
    <w:rsid w:val="00577925"/>
    <w:rsid w:val="00577A59"/>
    <w:rsid w:val="00577B7F"/>
    <w:rsid w:val="00577C08"/>
    <w:rsid w:val="00577C57"/>
    <w:rsid w:val="00577C75"/>
    <w:rsid w:val="00577DDE"/>
    <w:rsid w:val="00577E02"/>
    <w:rsid w:val="00577E8B"/>
    <w:rsid w:val="00577EC4"/>
    <w:rsid w:val="00577F0A"/>
    <w:rsid w:val="00577F74"/>
    <w:rsid w:val="00577F81"/>
    <w:rsid w:val="00577FDE"/>
    <w:rsid w:val="00577FFA"/>
    <w:rsid w:val="00580209"/>
    <w:rsid w:val="0058025D"/>
    <w:rsid w:val="0058031C"/>
    <w:rsid w:val="00580505"/>
    <w:rsid w:val="0058052D"/>
    <w:rsid w:val="005805D7"/>
    <w:rsid w:val="00580772"/>
    <w:rsid w:val="00580A82"/>
    <w:rsid w:val="00580B4D"/>
    <w:rsid w:val="00580BF1"/>
    <w:rsid w:val="00580D5A"/>
    <w:rsid w:val="00580D82"/>
    <w:rsid w:val="00580E99"/>
    <w:rsid w:val="00580ED1"/>
    <w:rsid w:val="00580F14"/>
    <w:rsid w:val="00580F6A"/>
    <w:rsid w:val="00580FB6"/>
    <w:rsid w:val="00580FCC"/>
    <w:rsid w:val="005810AF"/>
    <w:rsid w:val="005810E2"/>
    <w:rsid w:val="005813F7"/>
    <w:rsid w:val="00581479"/>
    <w:rsid w:val="005814B1"/>
    <w:rsid w:val="005814B3"/>
    <w:rsid w:val="005814D5"/>
    <w:rsid w:val="0058167C"/>
    <w:rsid w:val="005816D4"/>
    <w:rsid w:val="00581937"/>
    <w:rsid w:val="00581944"/>
    <w:rsid w:val="0058196B"/>
    <w:rsid w:val="005819A8"/>
    <w:rsid w:val="00581AF2"/>
    <w:rsid w:val="00581B60"/>
    <w:rsid w:val="00581C4C"/>
    <w:rsid w:val="00581C85"/>
    <w:rsid w:val="00581DE1"/>
    <w:rsid w:val="00581E3C"/>
    <w:rsid w:val="00581E79"/>
    <w:rsid w:val="00581F2C"/>
    <w:rsid w:val="0058208D"/>
    <w:rsid w:val="00582125"/>
    <w:rsid w:val="005821AC"/>
    <w:rsid w:val="00582396"/>
    <w:rsid w:val="00582443"/>
    <w:rsid w:val="00582471"/>
    <w:rsid w:val="005824B5"/>
    <w:rsid w:val="005824D0"/>
    <w:rsid w:val="00582549"/>
    <w:rsid w:val="00582571"/>
    <w:rsid w:val="00582652"/>
    <w:rsid w:val="005826FF"/>
    <w:rsid w:val="005827A5"/>
    <w:rsid w:val="005828C2"/>
    <w:rsid w:val="00582994"/>
    <w:rsid w:val="00582A73"/>
    <w:rsid w:val="00582AA5"/>
    <w:rsid w:val="00582B10"/>
    <w:rsid w:val="00582C17"/>
    <w:rsid w:val="00582CB1"/>
    <w:rsid w:val="00582D1F"/>
    <w:rsid w:val="00582EA5"/>
    <w:rsid w:val="0058313E"/>
    <w:rsid w:val="00583193"/>
    <w:rsid w:val="00583454"/>
    <w:rsid w:val="005836DC"/>
    <w:rsid w:val="00583716"/>
    <w:rsid w:val="00583A62"/>
    <w:rsid w:val="00583B1C"/>
    <w:rsid w:val="00583BE1"/>
    <w:rsid w:val="00583C28"/>
    <w:rsid w:val="00583CC9"/>
    <w:rsid w:val="00583E68"/>
    <w:rsid w:val="00583FA2"/>
    <w:rsid w:val="0058411B"/>
    <w:rsid w:val="005841D7"/>
    <w:rsid w:val="00584263"/>
    <w:rsid w:val="0058430B"/>
    <w:rsid w:val="005843D5"/>
    <w:rsid w:val="00584593"/>
    <w:rsid w:val="005846D6"/>
    <w:rsid w:val="00584722"/>
    <w:rsid w:val="00584761"/>
    <w:rsid w:val="0058488D"/>
    <w:rsid w:val="005848E5"/>
    <w:rsid w:val="0058491A"/>
    <w:rsid w:val="00584C35"/>
    <w:rsid w:val="00584D2B"/>
    <w:rsid w:val="00584E30"/>
    <w:rsid w:val="00584E5A"/>
    <w:rsid w:val="00584E7F"/>
    <w:rsid w:val="00584EBA"/>
    <w:rsid w:val="00584EC8"/>
    <w:rsid w:val="00584FE8"/>
    <w:rsid w:val="005850B8"/>
    <w:rsid w:val="005850DF"/>
    <w:rsid w:val="005850EC"/>
    <w:rsid w:val="0058524A"/>
    <w:rsid w:val="0058530D"/>
    <w:rsid w:val="00585320"/>
    <w:rsid w:val="005854D8"/>
    <w:rsid w:val="00585591"/>
    <w:rsid w:val="005855B4"/>
    <w:rsid w:val="005856A4"/>
    <w:rsid w:val="005856A8"/>
    <w:rsid w:val="005856B4"/>
    <w:rsid w:val="00585816"/>
    <w:rsid w:val="00585842"/>
    <w:rsid w:val="00585853"/>
    <w:rsid w:val="005858A4"/>
    <w:rsid w:val="005858C1"/>
    <w:rsid w:val="00585931"/>
    <w:rsid w:val="00585ACA"/>
    <w:rsid w:val="00585B71"/>
    <w:rsid w:val="00585DFF"/>
    <w:rsid w:val="00585E16"/>
    <w:rsid w:val="00586089"/>
    <w:rsid w:val="005861A7"/>
    <w:rsid w:val="00586355"/>
    <w:rsid w:val="005863D1"/>
    <w:rsid w:val="00586423"/>
    <w:rsid w:val="00586549"/>
    <w:rsid w:val="0058654A"/>
    <w:rsid w:val="00586596"/>
    <w:rsid w:val="00586602"/>
    <w:rsid w:val="0058670F"/>
    <w:rsid w:val="00586797"/>
    <w:rsid w:val="005867AE"/>
    <w:rsid w:val="00586964"/>
    <w:rsid w:val="00586A58"/>
    <w:rsid w:val="00586AD1"/>
    <w:rsid w:val="00586C82"/>
    <w:rsid w:val="00586D17"/>
    <w:rsid w:val="00586F2D"/>
    <w:rsid w:val="00587061"/>
    <w:rsid w:val="005870C8"/>
    <w:rsid w:val="00587119"/>
    <w:rsid w:val="00587138"/>
    <w:rsid w:val="005871D7"/>
    <w:rsid w:val="005873FB"/>
    <w:rsid w:val="00587429"/>
    <w:rsid w:val="005874B2"/>
    <w:rsid w:val="005874B8"/>
    <w:rsid w:val="00587530"/>
    <w:rsid w:val="0058764E"/>
    <w:rsid w:val="005876C5"/>
    <w:rsid w:val="0058776D"/>
    <w:rsid w:val="005877FF"/>
    <w:rsid w:val="00587887"/>
    <w:rsid w:val="005879D4"/>
    <w:rsid w:val="00587A6F"/>
    <w:rsid w:val="00587A94"/>
    <w:rsid w:val="00587D33"/>
    <w:rsid w:val="00587F36"/>
    <w:rsid w:val="00587FB1"/>
    <w:rsid w:val="0059007F"/>
    <w:rsid w:val="005900D2"/>
    <w:rsid w:val="00590145"/>
    <w:rsid w:val="005901CA"/>
    <w:rsid w:val="00590446"/>
    <w:rsid w:val="005905BC"/>
    <w:rsid w:val="005905F4"/>
    <w:rsid w:val="005906BC"/>
    <w:rsid w:val="0059094D"/>
    <w:rsid w:val="00590D59"/>
    <w:rsid w:val="00590DFB"/>
    <w:rsid w:val="00590E7A"/>
    <w:rsid w:val="00590F82"/>
    <w:rsid w:val="00591008"/>
    <w:rsid w:val="0059106A"/>
    <w:rsid w:val="0059114B"/>
    <w:rsid w:val="0059121F"/>
    <w:rsid w:val="0059128A"/>
    <w:rsid w:val="0059173E"/>
    <w:rsid w:val="00591A0C"/>
    <w:rsid w:val="00591A29"/>
    <w:rsid w:val="00591AD7"/>
    <w:rsid w:val="00591B23"/>
    <w:rsid w:val="00591C30"/>
    <w:rsid w:val="00591CDC"/>
    <w:rsid w:val="00591EFF"/>
    <w:rsid w:val="005920D6"/>
    <w:rsid w:val="0059212F"/>
    <w:rsid w:val="005921AF"/>
    <w:rsid w:val="00592206"/>
    <w:rsid w:val="005924B5"/>
    <w:rsid w:val="00592557"/>
    <w:rsid w:val="00592580"/>
    <w:rsid w:val="00592A30"/>
    <w:rsid w:val="00592AB5"/>
    <w:rsid w:val="00592C50"/>
    <w:rsid w:val="00592C95"/>
    <w:rsid w:val="00592DC5"/>
    <w:rsid w:val="00592E40"/>
    <w:rsid w:val="005930B8"/>
    <w:rsid w:val="0059325D"/>
    <w:rsid w:val="00593277"/>
    <w:rsid w:val="00593291"/>
    <w:rsid w:val="0059344A"/>
    <w:rsid w:val="005935C3"/>
    <w:rsid w:val="005935C6"/>
    <w:rsid w:val="005935F7"/>
    <w:rsid w:val="005936A5"/>
    <w:rsid w:val="005936A7"/>
    <w:rsid w:val="00593737"/>
    <w:rsid w:val="005937A1"/>
    <w:rsid w:val="005937C1"/>
    <w:rsid w:val="005937EA"/>
    <w:rsid w:val="00593A72"/>
    <w:rsid w:val="00593A9D"/>
    <w:rsid w:val="00593AEE"/>
    <w:rsid w:val="00593B0B"/>
    <w:rsid w:val="00593C0C"/>
    <w:rsid w:val="00593C14"/>
    <w:rsid w:val="00593E27"/>
    <w:rsid w:val="00593F07"/>
    <w:rsid w:val="00594106"/>
    <w:rsid w:val="005943A0"/>
    <w:rsid w:val="005947B3"/>
    <w:rsid w:val="005948F6"/>
    <w:rsid w:val="00594970"/>
    <w:rsid w:val="0059498F"/>
    <w:rsid w:val="005949A0"/>
    <w:rsid w:val="005949E0"/>
    <w:rsid w:val="00594A9B"/>
    <w:rsid w:val="00594AD5"/>
    <w:rsid w:val="00594B24"/>
    <w:rsid w:val="00594B98"/>
    <w:rsid w:val="00594BA3"/>
    <w:rsid w:val="00594BC5"/>
    <w:rsid w:val="00594CCE"/>
    <w:rsid w:val="00594CE4"/>
    <w:rsid w:val="00595234"/>
    <w:rsid w:val="0059526A"/>
    <w:rsid w:val="005952A8"/>
    <w:rsid w:val="005952E8"/>
    <w:rsid w:val="005952F0"/>
    <w:rsid w:val="005953CF"/>
    <w:rsid w:val="005954D6"/>
    <w:rsid w:val="005955FB"/>
    <w:rsid w:val="005956A3"/>
    <w:rsid w:val="005956E5"/>
    <w:rsid w:val="005957DE"/>
    <w:rsid w:val="0059584E"/>
    <w:rsid w:val="00595861"/>
    <w:rsid w:val="00595A0E"/>
    <w:rsid w:val="00595BF1"/>
    <w:rsid w:val="00595C86"/>
    <w:rsid w:val="00595F62"/>
    <w:rsid w:val="00595FE7"/>
    <w:rsid w:val="0059614A"/>
    <w:rsid w:val="0059624D"/>
    <w:rsid w:val="005963DB"/>
    <w:rsid w:val="0059662E"/>
    <w:rsid w:val="00596661"/>
    <w:rsid w:val="00596705"/>
    <w:rsid w:val="0059676D"/>
    <w:rsid w:val="005968BC"/>
    <w:rsid w:val="00596915"/>
    <w:rsid w:val="00596A16"/>
    <w:rsid w:val="00596AC2"/>
    <w:rsid w:val="00596B74"/>
    <w:rsid w:val="00596CCD"/>
    <w:rsid w:val="00596D1C"/>
    <w:rsid w:val="00596D2B"/>
    <w:rsid w:val="00596E3C"/>
    <w:rsid w:val="00596EE0"/>
    <w:rsid w:val="00596FFD"/>
    <w:rsid w:val="005970C8"/>
    <w:rsid w:val="005970E7"/>
    <w:rsid w:val="005970FC"/>
    <w:rsid w:val="00597240"/>
    <w:rsid w:val="00597247"/>
    <w:rsid w:val="00597385"/>
    <w:rsid w:val="00597508"/>
    <w:rsid w:val="0059764D"/>
    <w:rsid w:val="00597A0A"/>
    <w:rsid w:val="00597BAA"/>
    <w:rsid w:val="00597C83"/>
    <w:rsid w:val="00597D5E"/>
    <w:rsid w:val="00597DB7"/>
    <w:rsid w:val="00597E9A"/>
    <w:rsid w:val="00597F7A"/>
    <w:rsid w:val="00597F80"/>
    <w:rsid w:val="00598291"/>
    <w:rsid w:val="0059C11D"/>
    <w:rsid w:val="005A0026"/>
    <w:rsid w:val="005A002D"/>
    <w:rsid w:val="005A01BD"/>
    <w:rsid w:val="005A05EF"/>
    <w:rsid w:val="005A07CF"/>
    <w:rsid w:val="005A0828"/>
    <w:rsid w:val="005A09E8"/>
    <w:rsid w:val="005A09F7"/>
    <w:rsid w:val="005A0C93"/>
    <w:rsid w:val="005A0D03"/>
    <w:rsid w:val="005A0D54"/>
    <w:rsid w:val="005A0E12"/>
    <w:rsid w:val="005A0E22"/>
    <w:rsid w:val="005A0E7A"/>
    <w:rsid w:val="005A0F36"/>
    <w:rsid w:val="005A0F40"/>
    <w:rsid w:val="005A10D5"/>
    <w:rsid w:val="005A111B"/>
    <w:rsid w:val="005A11D4"/>
    <w:rsid w:val="005A12BF"/>
    <w:rsid w:val="005A139D"/>
    <w:rsid w:val="005A14D5"/>
    <w:rsid w:val="005A155F"/>
    <w:rsid w:val="005A15DD"/>
    <w:rsid w:val="005A178B"/>
    <w:rsid w:val="005A189F"/>
    <w:rsid w:val="005A1A16"/>
    <w:rsid w:val="005A1D7D"/>
    <w:rsid w:val="005A1DBC"/>
    <w:rsid w:val="005A1E4A"/>
    <w:rsid w:val="005A1E96"/>
    <w:rsid w:val="005A1E9F"/>
    <w:rsid w:val="005A1F1E"/>
    <w:rsid w:val="005A1F98"/>
    <w:rsid w:val="005A1F9C"/>
    <w:rsid w:val="005A1FF4"/>
    <w:rsid w:val="005A20CE"/>
    <w:rsid w:val="005A223B"/>
    <w:rsid w:val="005A2328"/>
    <w:rsid w:val="005A2348"/>
    <w:rsid w:val="005A235D"/>
    <w:rsid w:val="005A23C3"/>
    <w:rsid w:val="005A2641"/>
    <w:rsid w:val="005A2649"/>
    <w:rsid w:val="005A2657"/>
    <w:rsid w:val="005A2689"/>
    <w:rsid w:val="005A27AC"/>
    <w:rsid w:val="005A2916"/>
    <w:rsid w:val="005A2965"/>
    <w:rsid w:val="005A29A2"/>
    <w:rsid w:val="005A2B5C"/>
    <w:rsid w:val="005A2B8C"/>
    <w:rsid w:val="005A2C76"/>
    <w:rsid w:val="005A2DC5"/>
    <w:rsid w:val="005A2E6D"/>
    <w:rsid w:val="005A2EAE"/>
    <w:rsid w:val="005A2FDC"/>
    <w:rsid w:val="005A318B"/>
    <w:rsid w:val="005A320F"/>
    <w:rsid w:val="005A323B"/>
    <w:rsid w:val="005A323D"/>
    <w:rsid w:val="005A3293"/>
    <w:rsid w:val="005A32EE"/>
    <w:rsid w:val="005A3349"/>
    <w:rsid w:val="005A33F5"/>
    <w:rsid w:val="005A34B4"/>
    <w:rsid w:val="005A3746"/>
    <w:rsid w:val="005A378E"/>
    <w:rsid w:val="005A379D"/>
    <w:rsid w:val="005A37A8"/>
    <w:rsid w:val="005A38FD"/>
    <w:rsid w:val="005A3933"/>
    <w:rsid w:val="005A39CC"/>
    <w:rsid w:val="005A3AC6"/>
    <w:rsid w:val="005A3B0F"/>
    <w:rsid w:val="005A3D16"/>
    <w:rsid w:val="005A3D99"/>
    <w:rsid w:val="005A3E06"/>
    <w:rsid w:val="005A3FCD"/>
    <w:rsid w:val="005A4126"/>
    <w:rsid w:val="005A446E"/>
    <w:rsid w:val="005A46FD"/>
    <w:rsid w:val="005A47A5"/>
    <w:rsid w:val="005A4AE8"/>
    <w:rsid w:val="005A4B50"/>
    <w:rsid w:val="005A4B7A"/>
    <w:rsid w:val="005A4B9E"/>
    <w:rsid w:val="005A4BA7"/>
    <w:rsid w:val="005A4DAA"/>
    <w:rsid w:val="005A4E35"/>
    <w:rsid w:val="005A505C"/>
    <w:rsid w:val="005A507F"/>
    <w:rsid w:val="005A50DD"/>
    <w:rsid w:val="005A5155"/>
    <w:rsid w:val="005A5224"/>
    <w:rsid w:val="005A53D7"/>
    <w:rsid w:val="005A5402"/>
    <w:rsid w:val="005A552C"/>
    <w:rsid w:val="005A559C"/>
    <w:rsid w:val="005A5605"/>
    <w:rsid w:val="005A5611"/>
    <w:rsid w:val="005A56AB"/>
    <w:rsid w:val="005A56DF"/>
    <w:rsid w:val="005A572B"/>
    <w:rsid w:val="005A5794"/>
    <w:rsid w:val="005A5878"/>
    <w:rsid w:val="005A591B"/>
    <w:rsid w:val="005A5BAE"/>
    <w:rsid w:val="005A5C14"/>
    <w:rsid w:val="005A5DEF"/>
    <w:rsid w:val="005A6047"/>
    <w:rsid w:val="005A6159"/>
    <w:rsid w:val="005A61FC"/>
    <w:rsid w:val="005A62C0"/>
    <w:rsid w:val="005A6348"/>
    <w:rsid w:val="005A649A"/>
    <w:rsid w:val="005A649C"/>
    <w:rsid w:val="005A67A7"/>
    <w:rsid w:val="005A68D4"/>
    <w:rsid w:val="005A69CB"/>
    <w:rsid w:val="005A6A99"/>
    <w:rsid w:val="005A6B3B"/>
    <w:rsid w:val="005A6BFF"/>
    <w:rsid w:val="005A6C04"/>
    <w:rsid w:val="005A6C18"/>
    <w:rsid w:val="005A6C3E"/>
    <w:rsid w:val="005A6D58"/>
    <w:rsid w:val="005A6F29"/>
    <w:rsid w:val="005A7156"/>
    <w:rsid w:val="005A7218"/>
    <w:rsid w:val="005A723C"/>
    <w:rsid w:val="005A7370"/>
    <w:rsid w:val="005A737D"/>
    <w:rsid w:val="005A738A"/>
    <w:rsid w:val="005A7403"/>
    <w:rsid w:val="005A7442"/>
    <w:rsid w:val="005A74CF"/>
    <w:rsid w:val="005A752B"/>
    <w:rsid w:val="005A755A"/>
    <w:rsid w:val="005A75C5"/>
    <w:rsid w:val="005A75E7"/>
    <w:rsid w:val="005A7650"/>
    <w:rsid w:val="005A79B8"/>
    <w:rsid w:val="005A7A8E"/>
    <w:rsid w:val="005A7A92"/>
    <w:rsid w:val="005A7C7D"/>
    <w:rsid w:val="005A7CBB"/>
    <w:rsid w:val="005A7E2E"/>
    <w:rsid w:val="005A7EB7"/>
    <w:rsid w:val="005ADB3D"/>
    <w:rsid w:val="005B00B7"/>
    <w:rsid w:val="005B00FB"/>
    <w:rsid w:val="005B0190"/>
    <w:rsid w:val="005B036F"/>
    <w:rsid w:val="005B0709"/>
    <w:rsid w:val="005B07B3"/>
    <w:rsid w:val="005B0972"/>
    <w:rsid w:val="005B0977"/>
    <w:rsid w:val="005B0A36"/>
    <w:rsid w:val="005B0A4B"/>
    <w:rsid w:val="005B0A96"/>
    <w:rsid w:val="005B0BF5"/>
    <w:rsid w:val="005B0C47"/>
    <w:rsid w:val="005B0D8E"/>
    <w:rsid w:val="005B0E0A"/>
    <w:rsid w:val="005B0E90"/>
    <w:rsid w:val="005B103D"/>
    <w:rsid w:val="005B138A"/>
    <w:rsid w:val="005B1418"/>
    <w:rsid w:val="005B16A0"/>
    <w:rsid w:val="005B17DD"/>
    <w:rsid w:val="005B18C1"/>
    <w:rsid w:val="005B1961"/>
    <w:rsid w:val="005B1B4B"/>
    <w:rsid w:val="005B1D3C"/>
    <w:rsid w:val="005B1DA2"/>
    <w:rsid w:val="005B220D"/>
    <w:rsid w:val="005B2216"/>
    <w:rsid w:val="005B2260"/>
    <w:rsid w:val="005B2288"/>
    <w:rsid w:val="005B22D3"/>
    <w:rsid w:val="005B22FC"/>
    <w:rsid w:val="005B2571"/>
    <w:rsid w:val="005B265D"/>
    <w:rsid w:val="005B26CE"/>
    <w:rsid w:val="005B27BC"/>
    <w:rsid w:val="005B2881"/>
    <w:rsid w:val="005B29AA"/>
    <w:rsid w:val="005B29B3"/>
    <w:rsid w:val="005B2AA6"/>
    <w:rsid w:val="005B2AF1"/>
    <w:rsid w:val="005B2B22"/>
    <w:rsid w:val="005B2B2A"/>
    <w:rsid w:val="005B2C77"/>
    <w:rsid w:val="005B2C7E"/>
    <w:rsid w:val="005B2CC2"/>
    <w:rsid w:val="005B2CD8"/>
    <w:rsid w:val="005B2DD7"/>
    <w:rsid w:val="005B2F30"/>
    <w:rsid w:val="005B2FDD"/>
    <w:rsid w:val="005B3002"/>
    <w:rsid w:val="005B308A"/>
    <w:rsid w:val="005B3101"/>
    <w:rsid w:val="005B3265"/>
    <w:rsid w:val="005B32BA"/>
    <w:rsid w:val="005B33FC"/>
    <w:rsid w:val="005B3458"/>
    <w:rsid w:val="005B34CF"/>
    <w:rsid w:val="005B352D"/>
    <w:rsid w:val="005B35D9"/>
    <w:rsid w:val="005B37E0"/>
    <w:rsid w:val="005B3AD1"/>
    <w:rsid w:val="005B3B99"/>
    <w:rsid w:val="005B3BF8"/>
    <w:rsid w:val="005B3C46"/>
    <w:rsid w:val="005B3E4E"/>
    <w:rsid w:val="005B3F30"/>
    <w:rsid w:val="005B408B"/>
    <w:rsid w:val="005B43CC"/>
    <w:rsid w:val="005B43CF"/>
    <w:rsid w:val="005B45EB"/>
    <w:rsid w:val="005B4684"/>
    <w:rsid w:val="005B4789"/>
    <w:rsid w:val="005B47CA"/>
    <w:rsid w:val="005B47FF"/>
    <w:rsid w:val="005B4823"/>
    <w:rsid w:val="005B4853"/>
    <w:rsid w:val="005B4B4E"/>
    <w:rsid w:val="005B4FA5"/>
    <w:rsid w:val="005B4FF6"/>
    <w:rsid w:val="005B5235"/>
    <w:rsid w:val="005B52EA"/>
    <w:rsid w:val="005B5357"/>
    <w:rsid w:val="005B5570"/>
    <w:rsid w:val="005B5577"/>
    <w:rsid w:val="005B558C"/>
    <w:rsid w:val="005B57A5"/>
    <w:rsid w:val="005B5808"/>
    <w:rsid w:val="005B58A4"/>
    <w:rsid w:val="005B5922"/>
    <w:rsid w:val="005B5A04"/>
    <w:rsid w:val="005B5B97"/>
    <w:rsid w:val="005B5C26"/>
    <w:rsid w:val="005B5CEE"/>
    <w:rsid w:val="005B5D99"/>
    <w:rsid w:val="005B5DBD"/>
    <w:rsid w:val="005B5DE2"/>
    <w:rsid w:val="005B5E44"/>
    <w:rsid w:val="005B5F65"/>
    <w:rsid w:val="005B5FDB"/>
    <w:rsid w:val="005B5FEA"/>
    <w:rsid w:val="005B6017"/>
    <w:rsid w:val="005B605F"/>
    <w:rsid w:val="005B6164"/>
    <w:rsid w:val="005B6249"/>
    <w:rsid w:val="005B62D2"/>
    <w:rsid w:val="005B637D"/>
    <w:rsid w:val="005B6472"/>
    <w:rsid w:val="005B6692"/>
    <w:rsid w:val="005B67FB"/>
    <w:rsid w:val="005B6978"/>
    <w:rsid w:val="005B6995"/>
    <w:rsid w:val="005B69F2"/>
    <w:rsid w:val="005B6A09"/>
    <w:rsid w:val="005B6A36"/>
    <w:rsid w:val="005B6A38"/>
    <w:rsid w:val="005B6CC1"/>
    <w:rsid w:val="005B6D21"/>
    <w:rsid w:val="005B6DC7"/>
    <w:rsid w:val="005B6E3B"/>
    <w:rsid w:val="005B6F03"/>
    <w:rsid w:val="005B715F"/>
    <w:rsid w:val="005B7227"/>
    <w:rsid w:val="005B7232"/>
    <w:rsid w:val="005B7297"/>
    <w:rsid w:val="005B72CB"/>
    <w:rsid w:val="005B73DE"/>
    <w:rsid w:val="005B74A5"/>
    <w:rsid w:val="005B7669"/>
    <w:rsid w:val="005B76B3"/>
    <w:rsid w:val="005B7796"/>
    <w:rsid w:val="005B7818"/>
    <w:rsid w:val="005B78C5"/>
    <w:rsid w:val="005B7A59"/>
    <w:rsid w:val="005B7A71"/>
    <w:rsid w:val="005B7ACE"/>
    <w:rsid w:val="005B7AD0"/>
    <w:rsid w:val="005B7CCA"/>
    <w:rsid w:val="005B7D14"/>
    <w:rsid w:val="005B7E11"/>
    <w:rsid w:val="005B7E34"/>
    <w:rsid w:val="005B7EBE"/>
    <w:rsid w:val="005B7FD5"/>
    <w:rsid w:val="005C0028"/>
    <w:rsid w:val="005C006F"/>
    <w:rsid w:val="005C01BE"/>
    <w:rsid w:val="005C01EE"/>
    <w:rsid w:val="005C022C"/>
    <w:rsid w:val="005C026C"/>
    <w:rsid w:val="005C03D9"/>
    <w:rsid w:val="005C0630"/>
    <w:rsid w:val="005C0688"/>
    <w:rsid w:val="005C06AF"/>
    <w:rsid w:val="005C075F"/>
    <w:rsid w:val="005C0945"/>
    <w:rsid w:val="005C0A34"/>
    <w:rsid w:val="005C0A56"/>
    <w:rsid w:val="005C0AC4"/>
    <w:rsid w:val="005C0C23"/>
    <w:rsid w:val="005C0C38"/>
    <w:rsid w:val="005C0C61"/>
    <w:rsid w:val="005C0C96"/>
    <w:rsid w:val="005C0CC1"/>
    <w:rsid w:val="005C0DF8"/>
    <w:rsid w:val="005C1006"/>
    <w:rsid w:val="005C17CC"/>
    <w:rsid w:val="005C17DA"/>
    <w:rsid w:val="005C17F4"/>
    <w:rsid w:val="005C183F"/>
    <w:rsid w:val="005C188F"/>
    <w:rsid w:val="005C19D0"/>
    <w:rsid w:val="005C1A95"/>
    <w:rsid w:val="005C1A99"/>
    <w:rsid w:val="005C1B88"/>
    <w:rsid w:val="005C1CE8"/>
    <w:rsid w:val="005C1D7D"/>
    <w:rsid w:val="005C1E08"/>
    <w:rsid w:val="005C1F38"/>
    <w:rsid w:val="005C20D7"/>
    <w:rsid w:val="005C21E4"/>
    <w:rsid w:val="005C2327"/>
    <w:rsid w:val="005C23F2"/>
    <w:rsid w:val="005C248B"/>
    <w:rsid w:val="005C251F"/>
    <w:rsid w:val="005C26F9"/>
    <w:rsid w:val="005C283E"/>
    <w:rsid w:val="005C2855"/>
    <w:rsid w:val="005C28EF"/>
    <w:rsid w:val="005C293F"/>
    <w:rsid w:val="005C2A17"/>
    <w:rsid w:val="005C2B24"/>
    <w:rsid w:val="005C2C50"/>
    <w:rsid w:val="005C2D1C"/>
    <w:rsid w:val="005C2DBA"/>
    <w:rsid w:val="005C2E92"/>
    <w:rsid w:val="005C2F5F"/>
    <w:rsid w:val="005C2F71"/>
    <w:rsid w:val="005C319F"/>
    <w:rsid w:val="005C3397"/>
    <w:rsid w:val="005C33BA"/>
    <w:rsid w:val="005C3824"/>
    <w:rsid w:val="005C3979"/>
    <w:rsid w:val="005C3C0C"/>
    <w:rsid w:val="005C3D67"/>
    <w:rsid w:val="005C3E78"/>
    <w:rsid w:val="005C3EC8"/>
    <w:rsid w:val="005C3F84"/>
    <w:rsid w:val="005C3F97"/>
    <w:rsid w:val="005C3FAD"/>
    <w:rsid w:val="005C4066"/>
    <w:rsid w:val="005C406F"/>
    <w:rsid w:val="005C4126"/>
    <w:rsid w:val="005C4202"/>
    <w:rsid w:val="005C4278"/>
    <w:rsid w:val="005C42A1"/>
    <w:rsid w:val="005C43EA"/>
    <w:rsid w:val="005C441B"/>
    <w:rsid w:val="005C457D"/>
    <w:rsid w:val="005C46C2"/>
    <w:rsid w:val="005C46E7"/>
    <w:rsid w:val="005C470C"/>
    <w:rsid w:val="005C4881"/>
    <w:rsid w:val="005C4944"/>
    <w:rsid w:val="005C494F"/>
    <w:rsid w:val="005C4963"/>
    <w:rsid w:val="005C4BFF"/>
    <w:rsid w:val="005C4E3C"/>
    <w:rsid w:val="005C4E7C"/>
    <w:rsid w:val="005C4F9D"/>
    <w:rsid w:val="005C4FFE"/>
    <w:rsid w:val="005C50A1"/>
    <w:rsid w:val="005C5199"/>
    <w:rsid w:val="005C526A"/>
    <w:rsid w:val="005C533C"/>
    <w:rsid w:val="005C53FB"/>
    <w:rsid w:val="005C5483"/>
    <w:rsid w:val="005C54A6"/>
    <w:rsid w:val="005C5537"/>
    <w:rsid w:val="005C55AA"/>
    <w:rsid w:val="005C56EA"/>
    <w:rsid w:val="005C5755"/>
    <w:rsid w:val="005C575C"/>
    <w:rsid w:val="005C57C8"/>
    <w:rsid w:val="005C58CC"/>
    <w:rsid w:val="005C58FB"/>
    <w:rsid w:val="005C5935"/>
    <w:rsid w:val="005C5BC1"/>
    <w:rsid w:val="005C5BE4"/>
    <w:rsid w:val="005C5C09"/>
    <w:rsid w:val="005C5D4C"/>
    <w:rsid w:val="005C5D79"/>
    <w:rsid w:val="005C5E22"/>
    <w:rsid w:val="005C5EBA"/>
    <w:rsid w:val="005C5FC8"/>
    <w:rsid w:val="005C5FC9"/>
    <w:rsid w:val="005C60D1"/>
    <w:rsid w:val="005C60E3"/>
    <w:rsid w:val="005C6161"/>
    <w:rsid w:val="005C61A4"/>
    <w:rsid w:val="005C6327"/>
    <w:rsid w:val="005C632F"/>
    <w:rsid w:val="005C65E2"/>
    <w:rsid w:val="005C67C5"/>
    <w:rsid w:val="005C6938"/>
    <w:rsid w:val="005C6A05"/>
    <w:rsid w:val="005C6ACB"/>
    <w:rsid w:val="005C6AFA"/>
    <w:rsid w:val="005C6C25"/>
    <w:rsid w:val="005C6CC5"/>
    <w:rsid w:val="005C6CD4"/>
    <w:rsid w:val="005C6E0F"/>
    <w:rsid w:val="005C6F2B"/>
    <w:rsid w:val="005C6F88"/>
    <w:rsid w:val="005C706F"/>
    <w:rsid w:val="005C724E"/>
    <w:rsid w:val="005C728A"/>
    <w:rsid w:val="005C72A5"/>
    <w:rsid w:val="005C7614"/>
    <w:rsid w:val="005C7699"/>
    <w:rsid w:val="005C77F7"/>
    <w:rsid w:val="005C77FF"/>
    <w:rsid w:val="005C78CA"/>
    <w:rsid w:val="005C78DA"/>
    <w:rsid w:val="005C7905"/>
    <w:rsid w:val="005C793E"/>
    <w:rsid w:val="005C79E8"/>
    <w:rsid w:val="005C7A8F"/>
    <w:rsid w:val="005C7ADA"/>
    <w:rsid w:val="005C7BA9"/>
    <w:rsid w:val="005C7D19"/>
    <w:rsid w:val="005C7DC4"/>
    <w:rsid w:val="005C7FC3"/>
    <w:rsid w:val="005D0046"/>
    <w:rsid w:val="005D0134"/>
    <w:rsid w:val="005D0193"/>
    <w:rsid w:val="005D0424"/>
    <w:rsid w:val="005D05A2"/>
    <w:rsid w:val="005D06D5"/>
    <w:rsid w:val="005D0798"/>
    <w:rsid w:val="005D07A8"/>
    <w:rsid w:val="005D07B2"/>
    <w:rsid w:val="005D0931"/>
    <w:rsid w:val="005D09E2"/>
    <w:rsid w:val="005D0A96"/>
    <w:rsid w:val="005D0B67"/>
    <w:rsid w:val="005D0C07"/>
    <w:rsid w:val="005D0C48"/>
    <w:rsid w:val="005D1052"/>
    <w:rsid w:val="005D1151"/>
    <w:rsid w:val="005D1205"/>
    <w:rsid w:val="005D155E"/>
    <w:rsid w:val="005D1662"/>
    <w:rsid w:val="005D174E"/>
    <w:rsid w:val="005D1762"/>
    <w:rsid w:val="005D17D8"/>
    <w:rsid w:val="005D184D"/>
    <w:rsid w:val="005D1882"/>
    <w:rsid w:val="005D18C2"/>
    <w:rsid w:val="005D195B"/>
    <w:rsid w:val="005D1AC5"/>
    <w:rsid w:val="005D1BAE"/>
    <w:rsid w:val="005D1CB6"/>
    <w:rsid w:val="005D1D4E"/>
    <w:rsid w:val="005D1D6C"/>
    <w:rsid w:val="005D1DA8"/>
    <w:rsid w:val="005D1E00"/>
    <w:rsid w:val="005D1E6E"/>
    <w:rsid w:val="005D1FA3"/>
    <w:rsid w:val="005D2015"/>
    <w:rsid w:val="005D21F6"/>
    <w:rsid w:val="005D22A6"/>
    <w:rsid w:val="005D22ED"/>
    <w:rsid w:val="005D2312"/>
    <w:rsid w:val="005D24C0"/>
    <w:rsid w:val="005D2629"/>
    <w:rsid w:val="005D262C"/>
    <w:rsid w:val="005D276E"/>
    <w:rsid w:val="005D27BF"/>
    <w:rsid w:val="005D2812"/>
    <w:rsid w:val="005D2850"/>
    <w:rsid w:val="005D288B"/>
    <w:rsid w:val="005D28EE"/>
    <w:rsid w:val="005D299C"/>
    <w:rsid w:val="005D2A41"/>
    <w:rsid w:val="005D2B5D"/>
    <w:rsid w:val="005D2CE8"/>
    <w:rsid w:val="005D2E2A"/>
    <w:rsid w:val="005D2F21"/>
    <w:rsid w:val="005D3034"/>
    <w:rsid w:val="005D323B"/>
    <w:rsid w:val="005D3458"/>
    <w:rsid w:val="005D34EA"/>
    <w:rsid w:val="005D3543"/>
    <w:rsid w:val="005D3644"/>
    <w:rsid w:val="005D3701"/>
    <w:rsid w:val="005D3714"/>
    <w:rsid w:val="005D3740"/>
    <w:rsid w:val="005D3842"/>
    <w:rsid w:val="005D388F"/>
    <w:rsid w:val="005D39BA"/>
    <w:rsid w:val="005D3A23"/>
    <w:rsid w:val="005D3AC2"/>
    <w:rsid w:val="005D3B01"/>
    <w:rsid w:val="005D3B75"/>
    <w:rsid w:val="005D3C0E"/>
    <w:rsid w:val="005D3C1D"/>
    <w:rsid w:val="005D3CEE"/>
    <w:rsid w:val="005D3D0C"/>
    <w:rsid w:val="005D3D27"/>
    <w:rsid w:val="005D3E85"/>
    <w:rsid w:val="005D4000"/>
    <w:rsid w:val="005D41A4"/>
    <w:rsid w:val="005D4200"/>
    <w:rsid w:val="005D4259"/>
    <w:rsid w:val="005D4363"/>
    <w:rsid w:val="005D43A8"/>
    <w:rsid w:val="005D43D0"/>
    <w:rsid w:val="005D4565"/>
    <w:rsid w:val="005D4612"/>
    <w:rsid w:val="005D4685"/>
    <w:rsid w:val="005D481B"/>
    <w:rsid w:val="005D4833"/>
    <w:rsid w:val="005D4839"/>
    <w:rsid w:val="005D490D"/>
    <w:rsid w:val="005D4C05"/>
    <w:rsid w:val="005D4D85"/>
    <w:rsid w:val="005D5005"/>
    <w:rsid w:val="005D5038"/>
    <w:rsid w:val="005D50E3"/>
    <w:rsid w:val="005D5110"/>
    <w:rsid w:val="005D5250"/>
    <w:rsid w:val="005D5352"/>
    <w:rsid w:val="005D539A"/>
    <w:rsid w:val="005D54A1"/>
    <w:rsid w:val="005D5569"/>
    <w:rsid w:val="005D563F"/>
    <w:rsid w:val="005D56B8"/>
    <w:rsid w:val="005D570D"/>
    <w:rsid w:val="005D5795"/>
    <w:rsid w:val="005D5832"/>
    <w:rsid w:val="005D587C"/>
    <w:rsid w:val="005D5B32"/>
    <w:rsid w:val="005D5B99"/>
    <w:rsid w:val="005D5E86"/>
    <w:rsid w:val="005D5F4A"/>
    <w:rsid w:val="005D608C"/>
    <w:rsid w:val="005D609D"/>
    <w:rsid w:val="005D60F5"/>
    <w:rsid w:val="005D619F"/>
    <w:rsid w:val="005D61FC"/>
    <w:rsid w:val="005D6374"/>
    <w:rsid w:val="005D65A8"/>
    <w:rsid w:val="005D68DC"/>
    <w:rsid w:val="005D696C"/>
    <w:rsid w:val="005D69A8"/>
    <w:rsid w:val="005D6A7C"/>
    <w:rsid w:val="005D6BE8"/>
    <w:rsid w:val="005D6C1C"/>
    <w:rsid w:val="005D6D7B"/>
    <w:rsid w:val="005D6DA8"/>
    <w:rsid w:val="005D7088"/>
    <w:rsid w:val="005D712E"/>
    <w:rsid w:val="005D7235"/>
    <w:rsid w:val="005D72DE"/>
    <w:rsid w:val="005D741E"/>
    <w:rsid w:val="005D7628"/>
    <w:rsid w:val="005D7760"/>
    <w:rsid w:val="005D7802"/>
    <w:rsid w:val="005D783F"/>
    <w:rsid w:val="005D7908"/>
    <w:rsid w:val="005D791B"/>
    <w:rsid w:val="005D79D5"/>
    <w:rsid w:val="005D7D82"/>
    <w:rsid w:val="005D7D94"/>
    <w:rsid w:val="005D7DEF"/>
    <w:rsid w:val="005D7FAD"/>
    <w:rsid w:val="005D7FFD"/>
    <w:rsid w:val="005E00A7"/>
    <w:rsid w:val="005E00E4"/>
    <w:rsid w:val="005E0135"/>
    <w:rsid w:val="005E02C5"/>
    <w:rsid w:val="005E02C9"/>
    <w:rsid w:val="005E038D"/>
    <w:rsid w:val="005E07A7"/>
    <w:rsid w:val="005E07E1"/>
    <w:rsid w:val="005E07F0"/>
    <w:rsid w:val="005E08F5"/>
    <w:rsid w:val="005E092D"/>
    <w:rsid w:val="005E0AD9"/>
    <w:rsid w:val="005E0C45"/>
    <w:rsid w:val="005E0C6B"/>
    <w:rsid w:val="005E0D60"/>
    <w:rsid w:val="005E1011"/>
    <w:rsid w:val="005E10E1"/>
    <w:rsid w:val="005E1199"/>
    <w:rsid w:val="005E11C4"/>
    <w:rsid w:val="005E1424"/>
    <w:rsid w:val="005E1685"/>
    <w:rsid w:val="005E1697"/>
    <w:rsid w:val="005E16F5"/>
    <w:rsid w:val="005E1734"/>
    <w:rsid w:val="005E17FB"/>
    <w:rsid w:val="005E1952"/>
    <w:rsid w:val="005E1AB7"/>
    <w:rsid w:val="005E1AB8"/>
    <w:rsid w:val="005E1CC3"/>
    <w:rsid w:val="005E1D31"/>
    <w:rsid w:val="005E1DD9"/>
    <w:rsid w:val="005E1E0C"/>
    <w:rsid w:val="005E1E6A"/>
    <w:rsid w:val="005E1EB2"/>
    <w:rsid w:val="005E203B"/>
    <w:rsid w:val="005E20CA"/>
    <w:rsid w:val="005E20F6"/>
    <w:rsid w:val="005E2223"/>
    <w:rsid w:val="005E222F"/>
    <w:rsid w:val="005E227F"/>
    <w:rsid w:val="005E22B7"/>
    <w:rsid w:val="005E2482"/>
    <w:rsid w:val="005E250D"/>
    <w:rsid w:val="005E2520"/>
    <w:rsid w:val="005E256C"/>
    <w:rsid w:val="005E2589"/>
    <w:rsid w:val="005E2792"/>
    <w:rsid w:val="005E2801"/>
    <w:rsid w:val="005E28AB"/>
    <w:rsid w:val="005E2901"/>
    <w:rsid w:val="005E2921"/>
    <w:rsid w:val="005E2AAC"/>
    <w:rsid w:val="005E2B3B"/>
    <w:rsid w:val="005E2B57"/>
    <w:rsid w:val="005E2C83"/>
    <w:rsid w:val="005E2FF6"/>
    <w:rsid w:val="005E30DC"/>
    <w:rsid w:val="005E30F5"/>
    <w:rsid w:val="005E3157"/>
    <w:rsid w:val="005E324C"/>
    <w:rsid w:val="005E3335"/>
    <w:rsid w:val="005E33ED"/>
    <w:rsid w:val="005E3444"/>
    <w:rsid w:val="005E350E"/>
    <w:rsid w:val="005E3611"/>
    <w:rsid w:val="005E3967"/>
    <w:rsid w:val="005E39B0"/>
    <w:rsid w:val="005E3B15"/>
    <w:rsid w:val="005E3B25"/>
    <w:rsid w:val="005E3B36"/>
    <w:rsid w:val="005E3B68"/>
    <w:rsid w:val="005E3BD2"/>
    <w:rsid w:val="005E3CAB"/>
    <w:rsid w:val="005E3E46"/>
    <w:rsid w:val="005E3F71"/>
    <w:rsid w:val="005E432E"/>
    <w:rsid w:val="005E44CE"/>
    <w:rsid w:val="005E4672"/>
    <w:rsid w:val="005E47BB"/>
    <w:rsid w:val="005E4802"/>
    <w:rsid w:val="005E48CB"/>
    <w:rsid w:val="005E492B"/>
    <w:rsid w:val="005E4976"/>
    <w:rsid w:val="005E4984"/>
    <w:rsid w:val="005E49AD"/>
    <w:rsid w:val="005E4C2D"/>
    <w:rsid w:val="005E4D1B"/>
    <w:rsid w:val="005E4DB4"/>
    <w:rsid w:val="005E4E95"/>
    <w:rsid w:val="005E4EB9"/>
    <w:rsid w:val="005E4EC1"/>
    <w:rsid w:val="005E4F41"/>
    <w:rsid w:val="005E5059"/>
    <w:rsid w:val="005E50C4"/>
    <w:rsid w:val="005E50EC"/>
    <w:rsid w:val="005E50F0"/>
    <w:rsid w:val="005E51A3"/>
    <w:rsid w:val="005E51C2"/>
    <w:rsid w:val="005E5238"/>
    <w:rsid w:val="005E5284"/>
    <w:rsid w:val="005E52EF"/>
    <w:rsid w:val="005E53B8"/>
    <w:rsid w:val="005E5543"/>
    <w:rsid w:val="005E55EB"/>
    <w:rsid w:val="005E586D"/>
    <w:rsid w:val="005E5938"/>
    <w:rsid w:val="005E5B01"/>
    <w:rsid w:val="005E5B3D"/>
    <w:rsid w:val="005E5B7A"/>
    <w:rsid w:val="005E5B8E"/>
    <w:rsid w:val="005E5DCF"/>
    <w:rsid w:val="005E5E1F"/>
    <w:rsid w:val="005E5EF2"/>
    <w:rsid w:val="005E61A0"/>
    <w:rsid w:val="005E627C"/>
    <w:rsid w:val="005E63E1"/>
    <w:rsid w:val="005E65CB"/>
    <w:rsid w:val="005E66EF"/>
    <w:rsid w:val="005E67A6"/>
    <w:rsid w:val="005E67B3"/>
    <w:rsid w:val="005E68AC"/>
    <w:rsid w:val="005E699E"/>
    <w:rsid w:val="005E6A1A"/>
    <w:rsid w:val="005E6BA4"/>
    <w:rsid w:val="005E6BF3"/>
    <w:rsid w:val="005E6DBA"/>
    <w:rsid w:val="005E6E89"/>
    <w:rsid w:val="005E6FF0"/>
    <w:rsid w:val="005E70B2"/>
    <w:rsid w:val="005E70DF"/>
    <w:rsid w:val="005E71E3"/>
    <w:rsid w:val="005E7202"/>
    <w:rsid w:val="005E722F"/>
    <w:rsid w:val="005E7322"/>
    <w:rsid w:val="005E73DB"/>
    <w:rsid w:val="005E7592"/>
    <w:rsid w:val="005E7738"/>
    <w:rsid w:val="005E792D"/>
    <w:rsid w:val="005E79D4"/>
    <w:rsid w:val="005E79DF"/>
    <w:rsid w:val="005E7AE6"/>
    <w:rsid w:val="005E7AFC"/>
    <w:rsid w:val="005E7B99"/>
    <w:rsid w:val="005E7DC4"/>
    <w:rsid w:val="005E7E1C"/>
    <w:rsid w:val="005E7E62"/>
    <w:rsid w:val="005E7ED8"/>
    <w:rsid w:val="005F0002"/>
    <w:rsid w:val="005F013B"/>
    <w:rsid w:val="005F0187"/>
    <w:rsid w:val="005F03F8"/>
    <w:rsid w:val="005F0635"/>
    <w:rsid w:val="005F07EB"/>
    <w:rsid w:val="005F085A"/>
    <w:rsid w:val="005F0941"/>
    <w:rsid w:val="005F094F"/>
    <w:rsid w:val="005F0A3C"/>
    <w:rsid w:val="005F0AA3"/>
    <w:rsid w:val="005F0B83"/>
    <w:rsid w:val="005F0C39"/>
    <w:rsid w:val="005F0D19"/>
    <w:rsid w:val="005F0E39"/>
    <w:rsid w:val="005F0E55"/>
    <w:rsid w:val="005F0FA6"/>
    <w:rsid w:val="005F1182"/>
    <w:rsid w:val="005F12BA"/>
    <w:rsid w:val="005F131A"/>
    <w:rsid w:val="005F14CB"/>
    <w:rsid w:val="005F151F"/>
    <w:rsid w:val="005F1770"/>
    <w:rsid w:val="005F18D3"/>
    <w:rsid w:val="005F1A45"/>
    <w:rsid w:val="005F1AD9"/>
    <w:rsid w:val="005F1CBB"/>
    <w:rsid w:val="005F1F3A"/>
    <w:rsid w:val="005F1F86"/>
    <w:rsid w:val="005F1F91"/>
    <w:rsid w:val="005F20CC"/>
    <w:rsid w:val="005F212A"/>
    <w:rsid w:val="005F2200"/>
    <w:rsid w:val="005F2221"/>
    <w:rsid w:val="005F22EB"/>
    <w:rsid w:val="005F2548"/>
    <w:rsid w:val="005F2568"/>
    <w:rsid w:val="005F2717"/>
    <w:rsid w:val="005F2736"/>
    <w:rsid w:val="005F284C"/>
    <w:rsid w:val="005F294B"/>
    <w:rsid w:val="005F299B"/>
    <w:rsid w:val="005F29F2"/>
    <w:rsid w:val="005F2C0B"/>
    <w:rsid w:val="005F2C9D"/>
    <w:rsid w:val="005F2CF7"/>
    <w:rsid w:val="005F2D5F"/>
    <w:rsid w:val="005F2D7E"/>
    <w:rsid w:val="005F2E71"/>
    <w:rsid w:val="005F2EED"/>
    <w:rsid w:val="005F314F"/>
    <w:rsid w:val="005F33EE"/>
    <w:rsid w:val="005F3836"/>
    <w:rsid w:val="005F3946"/>
    <w:rsid w:val="005F3AB6"/>
    <w:rsid w:val="005F3AD3"/>
    <w:rsid w:val="005F3CEF"/>
    <w:rsid w:val="005F3D9F"/>
    <w:rsid w:val="005F3E40"/>
    <w:rsid w:val="005F3E79"/>
    <w:rsid w:val="005F4033"/>
    <w:rsid w:val="005F406D"/>
    <w:rsid w:val="005F4274"/>
    <w:rsid w:val="005F42DF"/>
    <w:rsid w:val="005F438C"/>
    <w:rsid w:val="005F447A"/>
    <w:rsid w:val="005F47DF"/>
    <w:rsid w:val="005F47E7"/>
    <w:rsid w:val="005F48AF"/>
    <w:rsid w:val="005F4A61"/>
    <w:rsid w:val="005F4AAB"/>
    <w:rsid w:val="005F4C21"/>
    <w:rsid w:val="005F4CF6"/>
    <w:rsid w:val="005F4DBB"/>
    <w:rsid w:val="005F4E8A"/>
    <w:rsid w:val="005F4F1B"/>
    <w:rsid w:val="005F4F6B"/>
    <w:rsid w:val="005F4FBA"/>
    <w:rsid w:val="005F500E"/>
    <w:rsid w:val="005F50F1"/>
    <w:rsid w:val="005F5597"/>
    <w:rsid w:val="005F55E6"/>
    <w:rsid w:val="005F55F6"/>
    <w:rsid w:val="005F5604"/>
    <w:rsid w:val="005F56F3"/>
    <w:rsid w:val="005F57F0"/>
    <w:rsid w:val="005F5810"/>
    <w:rsid w:val="005F5813"/>
    <w:rsid w:val="005F58CD"/>
    <w:rsid w:val="005F5948"/>
    <w:rsid w:val="005F5A96"/>
    <w:rsid w:val="005F5B1A"/>
    <w:rsid w:val="005F5B5C"/>
    <w:rsid w:val="005F5CBE"/>
    <w:rsid w:val="005F6048"/>
    <w:rsid w:val="005F6298"/>
    <w:rsid w:val="005F6331"/>
    <w:rsid w:val="005F636C"/>
    <w:rsid w:val="005F6384"/>
    <w:rsid w:val="005F696C"/>
    <w:rsid w:val="005F6B30"/>
    <w:rsid w:val="005F6CA8"/>
    <w:rsid w:val="005F6F8E"/>
    <w:rsid w:val="005F7004"/>
    <w:rsid w:val="005F704D"/>
    <w:rsid w:val="005F7104"/>
    <w:rsid w:val="005F7189"/>
    <w:rsid w:val="005F72BB"/>
    <w:rsid w:val="005F72F0"/>
    <w:rsid w:val="005F7459"/>
    <w:rsid w:val="005F7730"/>
    <w:rsid w:val="005F7790"/>
    <w:rsid w:val="005F77F3"/>
    <w:rsid w:val="005F77FA"/>
    <w:rsid w:val="005F782E"/>
    <w:rsid w:val="005F7917"/>
    <w:rsid w:val="005F7940"/>
    <w:rsid w:val="005F798A"/>
    <w:rsid w:val="005F7A6B"/>
    <w:rsid w:val="005F7B0C"/>
    <w:rsid w:val="005F7B4B"/>
    <w:rsid w:val="005F7C3D"/>
    <w:rsid w:val="005F7C53"/>
    <w:rsid w:val="005F7CC3"/>
    <w:rsid w:val="0060021E"/>
    <w:rsid w:val="006002C8"/>
    <w:rsid w:val="00600454"/>
    <w:rsid w:val="00600678"/>
    <w:rsid w:val="0060075E"/>
    <w:rsid w:val="006008EB"/>
    <w:rsid w:val="006009F3"/>
    <w:rsid w:val="00600A07"/>
    <w:rsid w:val="00600C7F"/>
    <w:rsid w:val="00600E66"/>
    <w:rsid w:val="00600EC3"/>
    <w:rsid w:val="00600F91"/>
    <w:rsid w:val="006010DD"/>
    <w:rsid w:val="006011C6"/>
    <w:rsid w:val="006012D4"/>
    <w:rsid w:val="00601399"/>
    <w:rsid w:val="00601606"/>
    <w:rsid w:val="00601694"/>
    <w:rsid w:val="0060187B"/>
    <w:rsid w:val="0060198E"/>
    <w:rsid w:val="00601A56"/>
    <w:rsid w:val="00601B2D"/>
    <w:rsid w:val="00601B70"/>
    <w:rsid w:val="00601C2A"/>
    <w:rsid w:val="00601CB6"/>
    <w:rsid w:val="00601CEA"/>
    <w:rsid w:val="00601D98"/>
    <w:rsid w:val="00601F25"/>
    <w:rsid w:val="00602276"/>
    <w:rsid w:val="00602299"/>
    <w:rsid w:val="0060246B"/>
    <w:rsid w:val="006024A3"/>
    <w:rsid w:val="00602702"/>
    <w:rsid w:val="006027CF"/>
    <w:rsid w:val="00602A1D"/>
    <w:rsid w:val="00602B46"/>
    <w:rsid w:val="00602C00"/>
    <w:rsid w:val="00602C05"/>
    <w:rsid w:val="00602C4F"/>
    <w:rsid w:val="00602C6D"/>
    <w:rsid w:val="00602DD1"/>
    <w:rsid w:val="00602F0A"/>
    <w:rsid w:val="0060303A"/>
    <w:rsid w:val="00603119"/>
    <w:rsid w:val="0060311A"/>
    <w:rsid w:val="00603185"/>
    <w:rsid w:val="0060328C"/>
    <w:rsid w:val="006032A1"/>
    <w:rsid w:val="006032CF"/>
    <w:rsid w:val="00603419"/>
    <w:rsid w:val="00603421"/>
    <w:rsid w:val="00603431"/>
    <w:rsid w:val="0060347B"/>
    <w:rsid w:val="00603550"/>
    <w:rsid w:val="00603932"/>
    <w:rsid w:val="00603AF7"/>
    <w:rsid w:val="00603B06"/>
    <w:rsid w:val="00603B08"/>
    <w:rsid w:val="00603E64"/>
    <w:rsid w:val="00603EA7"/>
    <w:rsid w:val="00603EAE"/>
    <w:rsid w:val="006040F6"/>
    <w:rsid w:val="006041B3"/>
    <w:rsid w:val="00604423"/>
    <w:rsid w:val="006044F7"/>
    <w:rsid w:val="006045C2"/>
    <w:rsid w:val="006048F1"/>
    <w:rsid w:val="00604A22"/>
    <w:rsid w:val="00604BC3"/>
    <w:rsid w:val="00604D6F"/>
    <w:rsid w:val="00604DA3"/>
    <w:rsid w:val="00604DB5"/>
    <w:rsid w:val="00604DBA"/>
    <w:rsid w:val="00604E2C"/>
    <w:rsid w:val="0060546D"/>
    <w:rsid w:val="006054AB"/>
    <w:rsid w:val="006055FF"/>
    <w:rsid w:val="00605681"/>
    <w:rsid w:val="006056AE"/>
    <w:rsid w:val="006058E0"/>
    <w:rsid w:val="0060594C"/>
    <w:rsid w:val="006059E2"/>
    <w:rsid w:val="00605A6F"/>
    <w:rsid w:val="00605B49"/>
    <w:rsid w:val="00605B53"/>
    <w:rsid w:val="00605D24"/>
    <w:rsid w:val="00605D30"/>
    <w:rsid w:val="00605D4E"/>
    <w:rsid w:val="00605D72"/>
    <w:rsid w:val="00605D9D"/>
    <w:rsid w:val="00605E76"/>
    <w:rsid w:val="00605E9D"/>
    <w:rsid w:val="00606198"/>
    <w:rsid w:val="0060619C"/>
    <w:rsid w:val="00606217"/>
    <w:rsid w:val="006062C0"/>
    <w:rsid w:val="0060636D"/>
    <w:rsid w:val="0060636F"/>
    <w:rsid w:val="00606389"/>
    <w:rsid w:val="006065AC"/>
    <w:rsid w:val="006067A9"/>
    <w:rsid w:val="006067F2"/>
    <w:rsid w:val="00606908"/>
    <w:rsid w:val="00606A77"/>
    <w:rsid w:val="00606A99"/>
    <w:rsid w:val="00606A9E"/>
    <w:rsid w:val="00606C18"/>
    <w:rsid w:val="00606C68"/>
    <w:rsid w:val="00606D01"/>
    <w:rsid w:val="00607017"/>
    <w:rsid w:val="0060737C"/>
    <w:rsid w:val="006074D6"/>
    <w:rsid w:val="0060758E"/>
    <w:rsid w:val="006075ED"/>
    <w:rsid w:val="0060762F"/>
    <w:rsid w:val="006078B9"/>
    <w:rsid w:val="00607CF6"/>
    <w:rsid w:val="00607D17"/>
    <w:rsid w:val="00607D50"/>
    <w:rsid w:val="00607E41"/>
    <w:rsid w:val="00607FCD"/>
    <w:rsid w:val="00607FEE"/>
    <w:rsid w:val="0061036C"/>
    <w:rsid w:val="0061072F"/>
    <w:rsid w:val="0061084E"/>
    <w:rsid w:val="00610920"/>
    <w:rsid w:val="00610AB2"/>
    <w:rsid w:val="00610B52"/>
    <w:rsid w:val="00610BF0"/>
    <w:rsid w:val="00610C28"/>
    <w:rsid w:val="00610D2D"/>
    <w:rsid w:val="00610D63"/>
    <w:rsid w:val="00610D83"/>
    <w:rsid w:val="00610E1D"/>
    <w:rsid w:val="00610E9B"/>
    <w:rsid w:val="00610F47"/>
    <w:rsid w:val="00610F89"/>
    <w:rsid w:val="00610FC5"/>
    <w:rsid w:val="0061112F"/>
    <w:rsid w:val="00611291"/>
    <w:rsid w:val="0061146C"/>
    <w:rsid w:val="006116B9"/>
    <w:rsid w:val="00611751"/>
    <w:rsid w:val="006118A0"/>
    <w:rsid w:val="0061195E"/>
    <w:rsid w:val="006119B5"/>
    <w:rsid w:val="00611A0B"/>
    <w:rsid w:val="00611A2B"/>
    <w:rsid w:val="00611AFC"/>
    <w:rsid w:val="00611B42"/>
    <w:rsid w:val="00611B67"/>
    <w:rsid w:val="00611BB6"/>
    <w:rsid w:val="00611C74"/>
    <w:rsid w:val="00611E40"/>
    <w:rsid w:val="0061200D"/>
    <w:rsid w:val="00612044"/>
    <w:rsid w:val="0061208E"/>
    <w:rsid w:val="00612120"/>
    <w:rsid w:val="00612121"/>
    <w:rsid w:val="00612125"/>
    <w:rsid w:val="00612134"/>
    <w:rsid w:val="006122A6"/>
    <w:rsid w:val="00612303"/>
    <w:rsid w:val="00612417"/>
    <w:rsid w:val="00612446"/>
    <w:rsid w:val="00612451"/>
    <w:rsid w:val="006124BE"/>
    <w:rsid w:val="0061265B"/>
    <w:rsid w:val="00612719"/>
    <w:rsid w:val="00612866"/>
    <w:rsid w:val="0061292A"/>
    <w:rsid w:val="00612975"/>
    <w:rsid w:val="0061297F"/>
    <w:rsid w:val="00612C57"/>
    <w:rsid w:val="00612C9A"/>
    <w:rsid w:val="00613009"/>
    <w:rsid w:val="006130BD"/>
    <w:rsid w:val="006132B4"/>
    <w:rsid w:val="0061331B"/>
    <w:rsid w:val="006133C5"/>
    <w:rsid w:val="00613568"/>
    <w:rsid w:val="00613598"/>
    <w:rsid w:val="006136DB"/>
    <w:rsid w:val="00613756"/>
    <w:rsid w:val="006137C4"/>
    <w:rsid w:val="0061383E"/>
    <w:rsid w:val="00613879"/>
    <w:rsid w:val="00613901"/>
    <w:rsid w:val="00613956"/>
    <w:rsid w:val="00613A5C"/>
    <w:rsid w:val="00613B0B"/>
    <w:rsid w:val="00613C87"/>
    <w:rsid w:val="00613CF1"/>
    <w:rsid w:val="00613ECC"/>
    <w:rsid w:val="00614035"/>
    <w:rsid w:val="00614191"/>
    <w:rsid w:val="006141D4"/>
    <w:rsid w:val="006142A4"/>
    <w:rsid w:val="0061447B"/>
    <w:rsid w:val="006144A9"/>
    <w:rsid w:val="006144B8"/>
    <w:rsid w:val="006145D9"/>
    <w:rsid w:val="006146E7"/>
    <w:rsid w:val="006147C3"/>
    <w:rsid w:val="0061485F"/>
    <w:rsid w:val="00614863"/>
    <w:rsid w:val="006149F8"/>
    <w:rsid w:val="00614B58"/>
    <w:rsid w:val="00614BF4"/>
    <w:rsid w:val="00614D53"/>
    <w:rsid w:val="00614E7E"/>
    <w:rsid w:val="00614E87"/>
    <w:rsid w:val="00614EF9"/>
    <w:rsid w:val="0061505A"/>
    <w:rsid w:val="006151AB"/>
    <w:rsid w:val="006151AF"/>
    <w:rsid w:val="006151E9"/>
    <w:rsid w:val="006153C6"/>
    <w:rsid w:val="0061550B"/>
    <w:rsid w:val="006155C0"/>
    <w:rsid w:val="006155C8"/>
    <w:rsid w:val="006155D4"/>
    <w:rsid w:val="00615899"/>
    <w:rsid w:val="006158F1"/>
    <w:rsid w:val="00615953"/>
    <w:rsid w:val="0061595E"/>
    <w:rsid w:val="00615C06"/>
    <w:rsid w:val="00615C3A"/>
    <w:rsid w:val="00615DCF"/>
    <w:rsid w:val="00615EC2"/>
    <w:rsid w:val="00615F1E"/>
    <w:rsid w:val="00615F9B"/>
    <w:rsid w:val="006160AA"/>
    <w:rsid w:val="00616139"/>
    <w:rsid w:val="006161C3"/>
    <w:rsid w:val="006162ED"/>
    <w:rsid w:val="0061641A"/>
    <w:rsid w:val="0061651A"/>
    <w:rsid w:val="0061655C"/>
    <w:rsid w:val="006166C6"/>
    <w:rsid w:val="0061674B"/>
    <w:rsid w:val="00616781"/>
    <w:rsid w:val="0061689A"/>
    <w:rsid w:val="00616931"/>
    <w:rsid w:val="006169D0"/>
    <w:rsid w:val="00616B73"/>
    <w:rsid w:val="00616B81"/>
    <w:rsid w:val="00616E01"/>
    <w:rsid w:val="00616E31"/>
    <w:rsid w:val="00616EAB"/>
    <w:rsid w:val="00616EEF"/>
    <w:rsid w:val="0061712F"/>
    <w:rsid w:val="00617399"/>
    <w:rsid w:val="006173D0"/>
    <w:rsid w:val="0061744C"/>
    <w:rsid w:val="006176DB"/>
    <w:rsid w:val="006177A9"/>
    <w:rsid w:val="006177C4"/>
    <w:rsid w:val="00617A1A"/>
    <w:rsid w:val="00617A88"/>
    <w:rsid w:val="00617AD8"/>
    <w:rsid w:val="00617B5A"/>
    <w:rsid w:val="00617D47"/>
    <w:rsid w:val="00617F59"/>
    <w:rsid w:val="00617FB1"/>
    <w:rsid w:val="00620131"/>
    <w:rsid w:val="00620303"/>
    <w:rsid w:val="0062031F"/>
    <w:rsid w:val="0062034E"/>
    <w:rsid w:val="00620436"/>
    <w:rsid w:val="006206A1"/>
    <w:rsid w:val="00620784"/>
    <w:rsid w:val="00620867"/>
    <w:rsid w:val="006208AD"/>
    <w:rsid w:val="00620A41"/>
    <w:rsid w:val="00620AF3"/>
    <w:rsid w:val="00620F4D"/>
    <w:rsid w:val="0062109B"/>
    <w:rsid w:val="006211B4"/>
    <w:rsid w:val="0062142E"/>
    <w:rsid w:val="00621432"/>
    <w:rsid w:val="006214B0"/>
    <w:rsid w:val="006215AF"/>
    <w:rsid w:val="00621759"/>
    <w:rsid w:val="0062188F"/>
    <w:rsid w:val="0062190F"/>
    <w:rsid w:val="00621A10"/>
    <w:rsid w:val="00621A5E"/>
    <w:rsid w:val="00621B3D"/>
    <w:rsid w:val="00621B4D"/>
    <w:rsid w:val="00621B8E"/>
    <w:rsid w:val="00621C7A"/>
    <w:rsid w:val="00622111"/>
    <w:rsid w:val="00622161"/>
    <w:rsid w:val="0062219D"/>
    <w:rsid w:val="0062225A"/>
    <w:rsid w:val="00622288"/>
    <w:rsid w:val="0062233D"/>
    <w:rsid w:val="00622656"/>
    <w:rsid w:val="00622726"/>
    <w:rsid w:val="00622761"/>
    <w:rsid w:val="00622778"/>
    <w:rsid w:val="00622945"/>
    <w:rsid w:val="006229C9"/>
    <w:rsid w:val="00622A58"/>
    <w:rsid w:val="00622ADF"/>
    <w:rsid w:val="00622B05"/>
    <w:rsid w:val="00622B31"/>
    <w:rsid w:val="00622B63"/>
    <w:rsid w:val="00622B6F"/>
    <w:rsid w:val="00622C3D"/>
    <w:rsid w:val="00622C56"/>
    <w:rsid w:val="00622C78"/>
    <w:rsid w:val="00622F59"/>
    <w:rsid w:val="00622FA5"/>
    <w:rsid w:val="00622FC1"/>
    <w:rsid w:val="00623090"/>
    <w:rsid w:val="006231B3"/>
    <w:rsid w:val="006231E0"/>
    <w:rsid w:val="0062330B"/>
    <w:rsid w:val="006233FC"/>
    <w:rsid w:val="00623413"/>
    <w:rsid w:val="006234EC"/>
    <w:rsid w:val="00623588"/>
    <w:rsid w:val="0062363B"/>
    <w:rsid w:val="0062365E"/>
    <w:rsid w:val="00623961"/>
    <w:rsid w:val="006239A9"/>
    <w:rsid w:val="00623ABB"/>
    <w:rsid w:val="00623D48"/>
    <w:rsid w:val="00623DF6"/>
    <w:rsid w:val="00623E88"/>
    <w:rsid w:val="00623F5A"/>
    <w:rsid w:val="00624253"/>
    <w:rsid w:val="006243A2"/>
    <w:rsid w:val="00624498"/>
    <w:rsid w:val="006244BD"/>
    <w:rsid w:val="00624580"/>
    <w:rsid w:val="00624703"/>
    <w:rsid w:val="00624733"/>
    <w:rsid w:val="006248E5"/>
    <w:rsid w:val="00624A97"/>
    <w:rsid w:val="00624BCA"/>
    <w:rsid w:val="00624D2C"/>
    <w:rsid w:val="006253CC"/>
    <w:rsid w:val="006254B5"/>
    <w:rsid w:val="006255E3"/>
    <w:rsid w:val="006255EE"/>
    <w:rsid w:val="00625907"/>
    <w:rsid w:val="00625A5B"/>
    <w:rsid w:val="00625BE5"/>
    <w:rsid w:val="00625CB2"/>
    <w:rsid w:val="00625D88"/>
    <w:rsid w:val="00626184"/>
    <w:rsid w:val="006261AA"/>
    <w:rsid w:val="006261FB"/>
    <w:rsid w:val="00626235"/>
    <w:rsid w:val="006263C4"/>
    <w:rsid w:val="0062650B"/>
    <w:rsid w:val="00626763"/>
    <w:rsid w:val="00626846"/>
    <w:rsid w:val="006268E3"/>
    <w:rsid w:val="006269FB"/>
    <w:rsid w:val="00626A3C"/>
    <w:rsid w:val="00626AAE"/>
    <w:rsid w:val="00626B52"/>
    <w:rsid w:val="00626CF8"/>
    <w:rsid w:val="00626DD6"/>
    <w:rsid w:val="00626E01"/>
    <w:rsid w:val="00626E0D"/>
    <w:rsid w:val="00626E3F"/>
    <w:rsid w:val="006270D5"/>
    <w:rsid w:val="00627173"/>
    <w:rsid w:val="006271E4"/>
    <w:rsid w:val="0062724E"/>
    <w:rsid w:val="006272A4"/>
    <w:rsid w:val="006273B9"/>
    <w:rsid w:val="0062741F"/>
    <w:rsid w:val="00627696"/>
    <w:rsid w:val="00627797"/>
    <w:rsid w:val="006279B8"/>
    <w:rsid w:val="00627AB0"/>
    <w:rsid w:val="00627AD7"/>
    <w:rsid w:val="00627B11"/>
    <w:rsid w:val="00627B13"/>
    <w:rsid w:val="00627B42"/>
    <w:rsid w:val="00627B5C"/>
    <w:rsid w:val="00627B94"/>
    <w:rsid w:val="00627CB3"/>
    <w:rsid w:val="00627D41"/>
    <w:rsid w:val="00627DBD"/>
    <w:rsid w:val="00627DF4"/>
    <w:rsid w:val="00627DF6"/>
    <w:rsid w:val="00627E0D"/>
    <w:rsid w:val="0063007A"/>
    <w:rsid w:val="00630270"/>
    <w:rsid w:val="00630494"/>
    <w:rsid w:val="00630603"/>
    <w:rsid w:val="00630729"/>
    <w:rsid w:val="006307F8"/>
    <w:rsid w:val="0063083E"/>
    <w:rsid w:val="00630990"/>
    <w:rsid w:val="00630BFF"/>
    <w:rsid w:val="00630C52"/>
    <w:rsid w:val="00630DED"/>
    <w:rsid w:val="00630E23"/>
    <w:rsid w:val="00630E67"/>
    <w:rsid w:val="0063124C"/>
    <w:rsid w:val="006312F3"/>
    <w:rsid w:val="00631489"/>
    <w:rsid w:val="00631625"/>
    <w:rsid w:val="006316F7"/>
    <w:rsid w:val="0063170D"/>
    <w:rsid w:val="006317B4"/>
    <w:rsid w:val="006317D2"/>
    <w:rsid w:val="00631BBD"/>
    <w:rsid w:val="00631D01"/>
    <w:rsid w:val="00632016"/>
    <w:rsid w:val="006320B0"/>
    <w:rsid w:val="00632286"/>
    <w:rsid w:val="006322FC"/>
    <w:rsid w:val="0063242C"/>
    <w:rsid w:val="0063248F"/>
    <w:rsid w:val="006325C0"/>
    <w:rsid w:val="0063274A"/>
    <w:rsid w:val="006327B6"/>
    <w:rsid w:val="006327BD"/>
    <w:rsid w:val="006327DA"/>
    <w:rsid w:val="00632806"/>
    <w:rsid w:val="006329F9"/>
    <w:rsid w:val="00632A0C"/>
    <w:rsid w:val="00632AF4"/>
    <w:rsid w:val="00632B1B"/>
    <w:rsid w:val="00632B51"/>
    <w:rsid w:val="00632CE0"/>
    <w:rsid w:val="00632D66"/>
    <w:rsid w:val="00632E72"/>
    <w:rsid w:val="00632EAD"/>
    <w:rsid w:val="00632EFC"/>
    <w:rsid w:val="00632F3B"/>
    <w:rsid w:val="00632FCC"/>
    <w:rsid w:val="00633305"/>
    <w:rsid w:val="0063337C"/>
    <w:rsid w:val="006333BD"/>
    <w:rsid w:val="006333F9"/>
    <w:rsid w:val="00633431"/>
    <w:rsid w:val="006334B5"/>
    <w:rsid w:val="0063355A"/>
    <w:rsid w:val="00633762"/>
    <w:rsid w:val="006338EC"/>
    <w:rsid w:val="00633A8C"/>
    <w:rsid w:val="00633C73"/>
    <w:rsid w:val="00633D19"/>
    <w:rsid w:val="00633DF7"/>
    <w:rsid w:val="00633E6F"/>
    <w:rsid w:val="00633FAD"/>
    <w:rsid w:val="006340A6"/>
    <w:rsid w:val="00634192"/>
    <w:rsid w:val="006341D7"/>
    <w:rsid w:val="006341F2"/>
    <w:rsid w:val="006341FE"/>
    <w:rsid w:val="00634309"/>
    <w:rsid w:val="0063430C"/>
    <w:rsid w:val="00634332"/>
    <w:rsid w:val="006346DF"/>
    <w:rsid w:val="00634B35"/>
    <w:rsid w:val="00634B46"/>
    <w:rsid w:val="00634B88"/>
    <w:rsid w:val="00634B98"/>
    <w:rsid w:val="00634BCA"/>
    <w:rsid w:val="00634EBF"/>
    <w:rsid w:val="00634F74"/>
    <w:rsid w:val="00635121"/>
    <w:rsid w:val="006351A1"/>
    <w:rsid w:val="006353EB"/>
    <w:rsid w:val="00635422"/>
    <w:rsid w:val="0063542A"/>
    <w:rsid w:val="00635546"/>
    <w:rsid w:val="0063554C"/>
    <w:rsid w:val="00635662"/>
    <w:rsid w:val="006358E3"/>
    <w:rsid w:val="00635A21"/>
    <w:rsid w:val="00635BCF"/>
    <w:rsid w:val="00635C66"/>
    <w:rsid w:val="00635CAA"/>
    <w:rsid w:val="00635CEB"/>
    <w:rsid w:val="00635D7D"/>
    <w:rsid w:val="00635DB2"/>
    <w:rsid w:val="00635E2E"/>
    <w:rsid w:val="00635E59"/>
    <w:rsid w:val="00635EBD"/>
    <w:rsid w:val="00636097"/>
    <w:rsid w:val="006360BF"/>
    <w:rsid w:val="00636358"/>
    <w:rsid w:val="0063647D"/>
    <w:rsid w:val="00636837"/>
    <w:rsid w:val="0063687D"/>
    <w:rsid w:val="006368EE"/>
    <w:rsid w:val="00636A8C"/>
    <w:rsid w:val="00636ACA"/>
    <w:rsid w:val="00636D7E"/>
    <w:rsid w:val="00636E72"/>
    <w:rsid w:val="00636F28"/>
    <w:rsid w:val="00636F6C"/>
    <w:rsid w:val="00637164"/>
    <w:rsid w:val="0063722B"/>
    <w:rsid w:val="00637258"/>
    <w:rsid w:val="006373F1"/>
    <w:rsid w:val="00637439"/>
    <w:rsid w:val="006374D8"/>
    <w:rsid w:val="00637587"/>
    <w:rsid w:val="0063779B"/>
    <w:rsid w:val="0063793B"/>
    <w:rsid w:val="00637991"/>
    <w:rsid w:val="00637AA5"/>
    <w:rsid w:val="00637B0D"/>
    <w:rsid w:val="00637E50"/>
    <w:rsid w:val="00637E9F"/>
    <w:rsid w:val="00637EC5"/>
    <w:rsid w:val="00637FC0"/>
    <w:rsid w:val="00640152"/>
    <w:rsid w:val="00640223"/>
    <w:rsid w:val="00640308"/>
    <w:rsid w:val="00640339"/>
    <w:rsid w:val="0064072B"/>
    <w:rsid w:val="0064080F"/>
    <w:rsid w:val="00640817"/>
    <w:rsid w:val="00640967"/>
    <w:rsid w:val="00640CD9"/>
    <w:rsid w:val="00640D6C"/>
    <w:rsid w:val="00640E7C"/>
    <w:rsid w:val="00640E8B"/>
    <w:rsid w:val="00640F59"/>
    <w:rsid w:val="0064102C"/>
    <w:rsid w:val="0064107D"/>
    <w:rsid w:val="00641259"/>
    <w:rsid w:val="00641271"/>
    <w:rsid w:val="00641295"/>
    <w:rsid w:val="0064138C"/>
    <w:rsid w:val="006413BE"/>
    <w:rsid w:val="00641638"/>
    <w:rsid w:val="0064167B"/>
    <w:rsid w:val="0064168A"/>
    <w:rsid w:val="00641758"/>
    <w:rsid w:val="00641839"/>
    <w:rsid w:val="00641850"/>
    <w:rsid w:val="006418A7"/>
    <w:rsid w:val="00641ADA"/>
    <w:rsid w:val="00641D86"/>
    <w:rsid w:val="00641D88"/>
    <w:rsid w:val="00641DFD"/>
    <w:rsid w:val="0064208F"/>
    <w:rsid w:val="006420F9"/>
    <w:rsid w:val="006421A0"/>
    <w:rsid w:val="006421F6"/>
    <w:rsid w:val="00642333"/>
    <w:rsid w:val="006423CE"/>
    <w:rsid w:val="0064269E"/>
    <w:rsid w:val="006426B6"/>
    <w:rsid w:val="00642714"/>
    <w:rsid w:val="0064271A"/>
    <w:rsid w:val="00642762"/>
    <w:rsid w:val="006428AB"/>
    <w:rsid w:val="0064290B"/>
    <w:rsid w:val="0064291D"/>
    <w:rsid w:val="00642958"/>
    <w:rsid w:val="00642A6C"/>
    <w:rsid w:val="00642A81"/>
    <w:rsid w:val="00642A8E"/>
    <w:rsid w:val="00642A92"/>
    <w:rsid w:val="00642C53"/>
    <w:rsid w:val="00642CFE"/>
    <w:rsid w:val="00642D67"/>
    <w:rsid w:val="00642FAD"/>
    <w:rsid w:val="0064306C"/>
    <w:rsid w:val="0064309A"/>
    <w:rsid w:val="00643108"/>
    <w:rsid w:val="00643122"/>
    <w:rsid w:val="006431A5"/>
    <w:rsid w:val="006431B6"/>
    <w:rsid w:val="006431E8"/>
    <w:rsid w:val="00643269"/>
    <w:rsid w:val="006432F7"/>
    <w:rsid w:val="0064337E"/>
    <w:rsid w:val="00643559"/>
    <w:rsid w:val="006435EA"/>
    <w:rsid w:val="006437C8"/>
    <w:rsid w:val="00643846"/>
    <w:rsid w:val="00643945"/>
    <w:rsid w:val="006439CF"/>
    <w:rsid w:val="006439ED"/>
    <w:rsid w:val="00643A24"/>
    <w:rsid w:val="00643A82"/>
    <w:rsid w:val="00643AC3"/>
    <w:rsid w:val="00643AF6"/>
    <w:rsid w:val="00643B94"/>
    <w:rsid w:val="00643D37"/>
    <w:rsid w:val="00643DE1"/>
    <w:rsid w:val="00643E96"/>
    <w:rsid w:val="00643F19"/>
    <w:rsid w:val="0064411F"/>
    <w:rsid w:val="00644132"/>
    <w:rsid w:val="006442AF"/>
    <w:rsid w:val="0064433B"/>
    <w:rsid w:val="00644413"/>
    <w:rsid w:val="0064447B"/>
    <w:rsid w:val="00644638"/>
    <w:rsid w:val="00644715"/>
    <w:rsid w:val="0064473B"/>
    <w:rsid w:val="006447D5"/>
    <w:rsid w:val="00644841"/>
    <w:rsid w:val="006449E1"/>
    <w:rsid w:val="00644A98"/>
    <w:rsid w:val="00644B12"/>
    <w:rsid w:val="00644B63"/>
    <w:rsid w:val="00644D98"/>
    <w:rsid w:val="00644DCA"/>
    <w:rsid w:val="00644E45"/>
    <w:rsid w:val="00645002"/>
    <w:rsid w:val="00645004"/>
    <w:rsid w:val="006451F8"/>
    <w:rsid w:val="00645302"/>
    <w:rsid w:val="0064559F"/>
    <w:rsid w:val="0064572A"/>
    <w:rsid w:val="0064577B"/>
    <w:rsid w:val="00645908"/>
    <w:rsid w:val="006459AD"/>
    <w:rsid w:val="00645A04"/>
    <w:rsid w:val="00645A44"/>
    <w:rsid w:val="00645AE9"/>
    <w:rsid w:val="00645CBF"/>
    <w:rsid w:val="00645DDC"/>
    <w:rsid w:val="00645F6A"/>
    <w:rsid w:val="00645FCD"/>
    <w:rsid w:val="006460DF"/>
    <w:rsid w:val="00646103"/>
    <w:rsid w:val="00646175"/>
    <w:rsid w:val="0064621D"/>
    <w:rsid w:val="00646241"/>
    <w:rsid w:val="0064638A"/>
    <w:rsid w:val="00646423"/>
    <w:rsid w:val="006465D7"/>
    <w:rsid w:val="0064663C"/>
    <w:rsid w:val="006466DE"/>
    <w:rsid w:val="006467AB"/>
    <w:rsid w:val="006467DC"/>
    <w:rsid w:val="00646A00"/>
    <w:rsid w:val="00646A1E"/>
    <w:rsid w:val="00646A27"/>
    <w:rsid w:val="00646BFB"/>
    <w:rsid w:val="00646C63"/>
    <w:rsid w:val="00646D01"/>
    <w:rsid w:val="00646D29"/>
    <w:rsid w:val="00646F98"/>
    <w:rsid w:val="00646FBD"/>
    <w:rsid w:val="00647054"/>
    <w:rsid w:val="00647080"/>
    <w:rsid w:val="006470E8"/>
    <w:rsid w:val="00647108"/>
    <w:rsid w:val="00647133"/>
    <w:rsid w:val="00647211"/>
    <w:rsid w:val="00647214"/>
    <w:rsid w:val="006473EB"/>
    <w:rsid w:val="006473F1"/>
    <w:rsid w:val="006473F7"/>
    <w:rsid w:val="00647418"/>
    <w:rsid w:val="00647550"/>
    <w:rsid w:val="00647577"/>
    <w:rsid w:val="00647692"/>
    <w:rsid w:val="006476E5"/>
    <w:rsid w:val="006476E8"/>
    <w:rsid w:val="00647700"/>
    <w:rsid w:val="006477C0"/>
    <w:rsid w:val="00647958"/>
    <w:rsid w:val="006479C1"/>
    <w:rsid w:val="00647A2B"/>
    <w:rsid w:val="00647AE9"/>
    <w:rsid w:val="00647B18"/>
    <w:rsid w:val="00647B6A"/>
    <w:rsid w:val="00647CF7"/>
    <w:rsid w:val="00647DFA"/>
    <w:rsid w:val="00647E07"/>
    <w:rsid w:val="00647E1E"/>
    <w:rsid w:val="00647F57"/>
    <w:rsid w:val="0065008E"/>
    <w:rsid w:val="006500B8"/>
    <w:rsid w:val="00650187"/>
    <w:rsid w:val="00650340"/>
    <w:rsid w:val="006505A9"/>
    <w:rsid w:val="006505FC"/>
    <w:rsid w:val="006507D2"/>
    <w:rsid w:val="00650848"/>
    <w:rsid w:val="00650889"/>
    <w:rsid w:val="006508E7"/>
    <w:rsid w:val="006509C0"/>
    <w:rsid w:val="00650A6C"/>
    <w:rsid w:val="00650C4C"/>
    <w:rsid w:val="00650CCA"/>
    <w:rsid w:val="00650D12"/>
    <w:rsid w:val="00650EFF"/>
    <w:rsid w:val="006510D3"/>
    <w:rsid w:val="006511BC"/>
    <w:rsid w:val="0065128E"/>
    <w:rsid w:val="006512B9"/>
    <w:rsid w:val="006512CF"/>
    <w:rsid w:val="00651341"/>
    <w:rsid w:val="006513E4"/>
    <w:rsid w:val="006515E8"/>
    <w:rsid w:val="00651975"/>
    <w:rsid w:val="006519B7"/>
    <w:rsid w:val="00651A3C"/>
    <w:rsid w:val="00651D08"/>
    <w:rsid w:val="00651F98"/>
    <w:rsid w:val="00652117"/>
    <w:rsid w:val="006521FB"/>
    <w:rsid w:val="00652220"/>
    <w:rsid w:val="0065229A"/>
    <w:rsid w:val="0065239B"/>
    <w:rsid w:val="006523D5"/>
    <w:rsid w:val="00652483"/>
    <w:rsid w:val="006525B1"/>
    <w:rsid w:val="0065265F"/>
    <w:rsid w:val="0065267A"/>
    <w:rsid w:val="006526BD"/>
    <w:rsid w:val="006527C4"/>
    <w:rsid w:val="0065283A"/>
    <w:rsid w:val="0065293A"/>
    <w:rsid w:val="00652B39"/>
    <w:rsid w:val="00652DF7"/>
    <w:rsid w:val="00652EC5"/>
    <w:rsid w:val="00652F74"/>
    <w:rsid w:val="00652FE1"/>
    <w:rsid w:val="00653040"/>
    <w:rsid w:val="006530B9"/>
    <w:rsid w:val="00653375"/>
    <w:rsid w:val="00653382"/>
    <w:rsid w:val="006533A0"/>
    <w:rsid w:val="006537D3"/>
    <w:rsid w:val="00653811"/>
    <w:rsid w:val="006538E2"/>
    <w:rsid w:val="0065398F"/>
    <w:rsid w:val="006539CA"/>
    <w:rsid w:val="00653C45"/>
    <w:rsid w:val="00653CAB"/>
    <w:rsid w:val="00653E7C"/>
    <w:rsid w:val="00653F1A"/>
    <w:rsid w:val="0065400A"/>
    <w:rsid w:val="0065412E"/>
    <w:rsid w:val="0065421C"/>
    <w:rsid w:val="006542EA"/>
    <w:rsid w:val="0065439C"/>
    <w:rsid w:val="00654997"/>
    <w:rsid w:val="00654ABF"/>
    <w:rsid w:val="00654B0F"/>
    <w:rsid w:val="00654B99"/>
    <w:rsid w:val="00654BAB"/>
    <w:rsid w:val="00654C0C"/>
    <w:rsid w:val="00654D55"/>
    <w:rsid w:val="00654DBD"/>
    <w:rsid w:val="00654E0B"/>
    <w:rsid w:val="00654E4B"/>
    <w:rsid w:val="00654EF0"/>
    <w:rsid w:val="00655019"/>
    <w:rsid w:val="00655102"/>
    <w:rsid w:val="006551B6"/>
    <w:rsid w:val="0065538A"/>
    <w:rsid w:val="00655604"/>
    <w:rsid w:val="00655691"/>
    <w:rsid w:val="00655698"/>
    <w:rsid w:val="00655799"/>
    <w:rsid w:val="006559C0"/>
    <w:rsid w:val="00655B5C"/>
    <w:rsid w:val="00655CDD"/>
    <w:rsid w:val="00655E51"/>
    <w:rsid w:val="00655ED6"/>
    <w:rsid w:val="00655F4C"/>
    <w:rsid w:val="00655F8C"/>
    <w:rsid w:val="0065602C"/>
    <w:rsid w:val="0065604C"/>
    <w:rsid w:val="0065606F"/>
    <w:rsid w:val="006561F5"/>
    <w:rsid w:val="00656259"/>
    <w:rsid w:val="00656341"/>
    <w:rsid w:val="00656356"/>
    <w:rsid w:val="00656416"/>
    <w:rsid w:val="00656452"/>
    <w:rsid w:val="00656507"/>
    <w:rsid w:val="00656710"/>
    <w:rsid w:val="00656803"/>
    <w:rsid w:val="00656951"/>
    <w:rsid w:val="006569F7"/>
    <w:rsid w:val="00656A22"/>
    <w:rsid w:val="00656A51"/>
    <w:rsid w:val="00656B19"/>
    <w:rsid w:val="00656C53"/>
    <w:rsid w:val="00656E03"/>
    <w:rsid w:val="00656EA8"/>
    <w:rsid w:val="00656F90"/>
    <w:rsid w:val="006570FE"/>
    <w:rsid w:val="00657177"/>
    <w:rsid w:val="006572C7"/>
    <w:rsid w:val="006572CE"/>
    <w:rsid w:val="006572F8"/>
    <w:rsid w:val="00657325"/>
    <w:rsid w:val="00657350"/>
    <w:rsid w:val="006573AE"/>
    <w:rsid w:val="00657503"/>
    <w:rsid w:val="00657506"/>
    <w:rsid w:val="00657558"/>
    <w:rsid w:val="00657596"/>
    <w:rsid w:val="00657691"/>
    <w:rsid w:val="006576BD"/>
    <w:rsid w:val="0065797F"/>
    <w:rsid w:val="006579BD"/>
    <w:rsid w:val="00657DCE"/>
    <w:rsid w:val="00657E01"/>
    <w:rsid w:val="00657E3A"/>
    <w:rsid w:val="00657EB0"/>
    <w:rsid w:val="00657F16"/>
    <w:rsid w:val="0066005E"/>
    <w:rsid w:val="00660311"/>
    <w:rsid w:val="0066044D"/>
    <w:rsid w:val="006604A5"/>
    <w:rsid w:val="00660523"/>
    <w:rsid w:val="0066052E"/>
    <w:rsid w:val="00660583"/>
    <w:rsid w:val="00660586"/>
    <w:rsid w:val="0066067C"/>
    <w:rsid w:val="006606A8"/>
    <w:rsid w:val="00660723"/>
    <w:rsid w:val="006607D3"/>
    <w:rsid w:val="006609C7"/>
    <w:rsid w:val="00660AC7"/>
    <w:rsid w:val="00660CC2"/>
    <w:rsid w:val="00660DCF"/>
    <w:rsid w:val="00660F4F"/>
    <w:rsid w:val="00660FF1"/>
    <w:rsid w:val="00661168"/>
    <w:rsid w:val="006612DC"/>
    <w:rsid w:val="00661342"/>
    <w:rsid w:val="00661355"/>
    <w:rsid w:val="0066138D"/>
    <w:rsid w:val="0066152C"/>
    <w:rsid w:val="006615ED"/>
    <w:rsid w:val="00661657"/>
    <w:rsid w:val="0066168E"/>
    <w:rsid w:val="006618C1"/>
    <w:rsid w:val="00661A7B"/>
    <w:rsid w:val="00661D38"/>
    <w:rsid w:val="00661D43"/>
    <w:rsid w:val="00661E05"/>
    <w:rsid w:val="00661EA4"/>
    <w:rsid w:val="006620B0"/>
    <w:rsid w:val="006620EF"/>
    <w:rsid w:val="006622DA"/>
    <w:rsid w:val="0066238E"/>
    <w:rsid w:val="006623E6"/>
    <w:rsid w:val="006625FA"/>
    <w:rsid w:val="0066263F"/>
    <w:rsid w:val="00662772"/>
    <w:rsid w:val="0066290E"/>
    <w:rsid w:val="00662B41"/>
    <w:rsid w:val="00662C65"/>
    <w:rsid w:val="00662DC5"/>
    <w:rsid w:val="00662DDA"/>
    <w:rsid w:val="00662E71"/>
    <w:rsid w:val="00662EF7"/>
    <w:rsid w:val="00662FDC"/>
    <w:rsid w:val="00663013"/>
    <w:rsid w:val="006630D7"/>
    <w:rsid w:val="006630E4"/>
    <w:rsid w:val="0066315E"/>
    <w:rsid w:val="006631EE"/>
    <w:rsid w:val="006632F4"/>
    <w:rsid w:val="00663364"/>
    <w:rsid w:val="0066349D"/>
    <w:rsid w:val="0066359D"/>
    <w:rsid w:val="006635A3"/>
    <w:rsid w:val="006635FE"/>
    <w:rsid w:val="00663602"/>
    <w:rsid w:val="006636FA"/>
    <w:rsid w:val="006637FE"/>
    <w:rsid w:val="00663930"/>
    <w:rsid w:val="00663981"/>
    <w:rsid w:val="00663A7B"/>
    <w:rsid w:val="00663AF8"/>
    <w:rsid w:val="00663BEC"/>
    <w:rsid w:val="00663C59"/>
    <w:rsid w:val="00663CD3"/>
    <w:rsid w:val="00663DBE"/>
    <w:rsid w:val="00663F98"/>
    <w:rsid w:val="00664071"/>
    <w:rsid w:val="0066408A"/>
    <w:rsid w:val="006640A1"/>
    <w:rsid w:val="0066412F"/>
    <w:rsid w:val="0066423A"/>
    <w:rsid w:val="00664247"/>
    <w:rsid w:val="00664298"/>
    <w:rsid w:val="00664318"/>
    <w:rsid w:val="00664370"/>
    <w:rsid w:val="006644A6"/>
    <w:rsid w:val="0066451B"/>
    <w:rsid w:val="006645DE"/>
    <w:rsid w:val="006646DC"/>
    <w:rsid w:val="00664736"/>
    <w:rsid w:val="006647D5"/>
    <w:rsid w:val="00664A2E"/>
    <w:rsid w:val="00664BC2"/>
    <w:rsid w:val="00664C28"/>
    <w:rsid w:val="00664D21"/>
    <w:rsid w:val="00664DDD"/>
    <w:rsid w:val="00664DEC"/>
    <w:rsid w:val="00664DF3"/>
    <w:rsid w:val="00664DFF"/>
    <w:rsid w:val="00664E0C"/>
    <w:rsid w:val="00664E34"/>
    <w:rsid w:val="00664F6E"/>
    <w:rsid w:val="00665048"/>
    <w:rsid w:val="0066517D"/>
    <w:rsid w:val="00665427"/>
    <w:rsid w:val="006654BE"/>
    <w:rsid w:val="00665511"/>
    <w:rsid w:val="0066578A"/>
    <w:rsid w:val="00665881"/>
    <w:rsid w:val="0066588C"/>
    <w:rsid w:val="0066590D"/>
    <w:rsid w:val="0066594B"/>
    <w:rsid w:val="0066599F"/>
    <w:rsid w:val="00665ADD"/>
    <w:rsid w:val="00665B52"/>
    <w:rsid w:val="00665BE5"/>
    <w:rsid w:val="00665D65"/>
    <w:rsid w:val="00665D6B"/>
    <w:rsid w:val="00665EBC"/>
    <w:rsid w:val="00665FF0"/>
    <w:rsid w:val="006660A8"/>
    <w:rsid w:val="006660AC"/>
    <w:rsid w:val="00666107"/>
    <w:rsid w:val="006661BA"/>
    <w:rsid w:val="006661DF"/>
    <w:rsid w:val="00666286"/>
    <w:rsid w:val="00666338"/>
    <w:rsid w:val="006663C7"/>
    <w:rsid w:val="00666454"/>
    <w:rsid w:val="00666480"/>
    <w:rsid w:val="00666486"/>
    <w:rsid w:val="006664F6"/>
    <w:rsid w:val="00666623"/>
    <w:rsid w:val="0066663B"/>
    <w:rsid w:val="00666644"/>
    <w:rsid w:val="0066665B"/>
    <w:rsid w:val="00666677"/>
    <w:rsid w:val="006666BE"/>
    <w:rsid w:val="006667BD"/>
    <w:rsid w:val="006667CA"/>
    <w:rsid w:val="006667E6"/>
    <w:rsid w:val="00666965"/>
    <w:rsid w:val="006669BC"/>
    <w:rsid w:val="00666A2E"/>
    <w:rsid w:val="00666A44"/>
    <w:rsid w:val="00666DC1"/>
    <w:rsid w:val="006670C0"/>
    <w:rsid w:val="006670F4"/>
    <w:rsid w:val="0066742C"/>
    <w:rsid w:val="00667613"/>
    <w:rsid w:val="006676CE"/>
    <w:rsid w:val="00667797"/>
    <w:rsid w:val="006677A7"/>
    <w:rsid w:val="006678C1"/>
    <w:rsid w:val="006678DC"/>
    <w:rsid w:val="00667902"/>
    <w:rsid w:val="006679D5"/>
    <w:rsid w:val="00667A72"/>
    <w:rsid w:val="00667CAA"/>
    <w:rsid w:val="00667D8A"/>
    <w:rsid w:val="00667DED"/>
    <w:rsid w:val="00667F49"/>
    <w:rsid w:val="0066BE2A"/>
    <w:rsid w:val="0067007F"/>
    <w:rsid w:val="0067017B"/>
    <w:rsid w:val="006701B7"/>
    <w:rsid w:val="006702B6"/>
    <w:rsid w:val="0067061A"/>
    <w:rsid w:val="0067066A"/>
    <w:rsid w:val="00670782"/>
    <w:rsid w:val="006707CB"/>
    <w:rsid w:val="00670863"/>
    <w:rsid w:val="006708E4"/>
    <w:rsid w:val="00670A0F"/>
    <w:rsid w:val="00670AF5"/>
    <w:rsid w:val="00670B5E"/>
    <w:rsid w:val="00670BA2"/>
    <w:rsid w:val="00670CFF"/>
    <w:rsid w:val="00670DAF"/>
    <w:rsid w:val="00670FC6"/>
    <w:rsid w:val="00671051"/>
    <w:rsid w:val="006711BC"/>
    <w:rsid w:val="0067137B"/>
    <w:rsid w:val="00671499"/>
    <w:rsid w:val="0067151F"/>
    <w:rsid w:val="0067154B"/>
    <w:rsid w:val="00671553"/>
    <w:rsid w:val="006716E2"/>
    <w:rsid w:val="00671800"/>
    <w:rsid w:val="00671BA1"/>
    <w:rsid w:val="00671BCF"/>
    <w:rsid w:val="00671C6A"/>
    <w:rsid w:val="00671C7C"/>
    <w:rsid w:val="00671DA3"/>
    <w:rsid w:val="00671E8E"/>
    <w:rsid w:val="00671FA1"/>
    <w:rsid w:val="00672024"/>
    <w:rsid w:val="00672076"/>
    <w:rsid w:val="00672094"/>
    <w:rsid w:val="00672098"/>
    <w:rsid w:val="0067212B"/>
    <w:rsid w:val="00672227"/>
    <w:rsid w:val="00672661"/>
    <w:rsid w:val="006726AD"/>
    <w:rsid w:val="0067285E"/>
    <w:rsid w:val="0067291F"/>
    <w:rsid w:val="00672971"/>
    <w:rsid w:val="006729DC"/>
    <w:rsid w:val="00672A4B"/>
    <w:rsid w:val="00672C31"/>
    <w:rsid w:val="00672D5A"/>
    <w:rsid w:val="00672E6A"/>
    <w:rsid w:val="00672F96"/>
    <w:rsid w:val="00672F9D"/>
    <w:rsid w:val="0067313A"/>
    <w:rsid w:val="00673148"/>
    <w:rsid w:val="0067319D"/>
    <w:rsid w:val="006731D7"/>
    <w:rsid w:val="0067322B"/>
    <w:rsid w:val="0067357C"/>
    <w:rsid w:val="00673888"/>
    <w:rsid w:val="0067399B"/>
    <w:rsid w:val="00673B02"/>
    <w:rsid w:val="00673B03"/>
    <w:rsid w:val="00673B50"/>
    <w:rsid w:val="00673C84"/>
    <w:rsid w:val="00673CD5"/>
    <w:rsid w:val="00673CEF"/>
    <w:rsid w:val="00673D4A"/>
    <w:rsid w:val="00673D85"/>
    <w:rsid w:val="00673F5A"/>
    <w:rsid w:val="00673FDD"/>
    <w:rsid w:val="00674035"/>
    <w:rsid w:val="006742CA"/>
    <w:rsid w:val="006742F9"/>
    <w:rsid w:val="00674350"/>
    <w:rsid w:val="00674518"/>
    <w:rsid w:val="006747EA"/>
    <w:rsid w:val="006748D7"/>
    <w:rsid w:val="006749AD"/>
    <w:rsid w:val="00674A08"/>
    <w:rsid w:val="00674CCB"/>
    <w:rsid w:val="00674CD4"/>
    <w:rsid w:val="00674F8D"/>
    <w:rsid w:val="00675045"/>
    <w:rsid w:val="0067513B"/>
    <w:rsid w:val="006752F8"/>
    <w:rsid w:val="006753A1"/>
    <w:rsid w:val="006753A4"/>
    <w:rsid w:val="00675621"/>
    <w:rsid w:val="00675678"/>
    <w:rsid w:val="0067574A"/>
    <w:rsid w:val="006757A3"/>
    <w:rsid w:val="006757A5"/>
    <w:rsid w:val="006757A6"/>
    <w:rsid w:val="00675851"/>
    <w:rsid w:val="0067599E"/>
    <w:rsid w:val="006759F9"/>
    <w:rsid w:val="00675E76"/>
    <w:rsid w:val="00675E7F"/>
    <w:rsid w:val="00675F2A"/>
    <w:rsid w:val="00675F50"/>
    <w:rsid w:val="006760AD"/>
    <w:rsid w:val="006760FD"/>
    <w:rsid w:val="0067631A"/>
    <w:rsid w:val="00676391"/>
    <w:rsid w:val="00676407"/>
    <w:rsid w:val="00676582"/>
    <w:rsid w:val="00676590"/>
    <w:rsid w:val="006766BE"/>
    <w:rsid w:val="00676826"/>
    <w:rsid w:val="0067684C"/>
    <w:rsid w:val="00676993"/>
    <w:rsid w:val="00676A2B"/>
    <w:rsid w:val="00676B7F"/>
    <w:rsid w:val="00676B8E"/>
    <w:rsid w:val="00676C56"/>
    <w:rsid w:val="00676EB3"/>
    <w:rsid w:val="00676ED7"/>
    <w:rsid w:val="00676FE8"/>
    <w:rsid w:val="00677073"/>
    <w:rsid w:val="006771F3"/>
    <w:rsid w:val="0067729E"/>
    <w:rsid w:val="00677416"/>
    <w:rsid w:val="006774E2"/>
    <w:rsid w:val="0067751C"/>
    <w:rsid w:val="006776C3"/>
    <w:rsid w:val="00677707"/>
    <w:rsid w:val="00677965"/>
    <w:rsid w:val="00677AEC"/>
    <w:rsid w:val="00677B8F"/>
    <w:rsid w:val="00677C42"/>
    <w:rsid w:val="00677E0B"/>
    <w:rsid w:val="00677E23"/>
    <w:rsid w:val="00677E47"/>
    <w:rsid w:val="00677E88"/>
    <w:rsid w:val="0068019F"/>
    <w:rsid w:val="006801BA"/>
    <w:rsid w:val="006803AE"/>
    <w:rsid w:val="00680423"/>
    <w:rsid w:val="006806AF"/>
    <w:rsid w:val="006806F6"/>
    <w:rsid w:val="00680754"/>
    <w:rsid w:val="00680973"/>
    <w:rsid w:val="00680AE7"/>
    <w:rsid w:val="00680BD1"/>
    <w:rsid w:val="00680C3E"/>
    <w:rsid w:val="00680DF7"/>
    <w:rsid w:val="00680EF2"/>
    <w:rsid w:val="00680EFF"/>
    <w:rsid w:val="00680F05"/>
    <w:rsid w:val="00680FEF"/>
    <w:rsid w:val="00681036"/>
    <w:rsid w:val="00681040"/>
    <w:rsid w:val="0068147C"/>
    <w:rsid w:val="006815A6"/>
    <w:rsid w:val="00681623"/>
    <w:rsid w:val="0068168E"/>
    <w:rsid w:val="0068178F"/>
    <w:rsid w:val="006817C0"/>
    <w:rsid w:val="006817E0"/>
    <w:rsid w:val="00681826"/>
    <w:rsid w:val="0068183D"/>
    <w:rsid w:val="00681999"/>
    <w:rsid w:val="006819F0"/>
    <w:rsid w:val="00681A79"/>
    <w:rsid w:val="00681BC7"/>
    <w:rsid w:val="00681D60"/>
    <w:rsid w:val="00681D9E"/>
    <w:rsid w:val="00682024"/>
    <w:rsid w:val="006822DB"/>
    <w:rsid w:val="006822EC"/>
    <w:rsid w:val="006822FE"/>
    <w:rsid w:val="00682389"/>
    <w:rsid w:val="0068239F"/>
    <w:rsid w:val="00682405"/>
    <w:rsid w:val="006824AC"/>
    <w:rsid w:val="00682583"/>
    <w:rsid w:val="006825D1"/>
    <w:rsid w:val="00682640"/>
    <w:rsid w:val="00682705"/>
    <w:rsid w:val="00682709"/>
    <w:rsid w:val="00682718"/>
    <w:rsid w:val="006827A5"/>
    <w:rsid w:val="006828BC"/>
    <w:rsid w:val="00682A5B"/>
    <w:rsid w:val="00682A70"/>
    <w:rsid w:val="00682BAB"/>
    <w:rsid w:val="00682C45"/>
    <w:rsid w:val="00683007"/>
    <w:rsid w:val="0068308F"/>
    <w:rsid w:val="006831B9"/>
    <w:rsid w:val="006832E2"/>
    <w:rsid w:val="00683323"/>
    <w:rsid w:val="0068337A"/>
    <w:rsid w:val="00683412"/>
    <w:rsid w:val="006836D0"/>
    <w:rsid w:val="00683744"/>
    <w:rsid w:val="00683788"/>
    <w:rsid w:val="0068380A"/>
    <w:rsid w:val="0068387E"/>
    <w:rsid w:val="006838E5"/>
    <w:rsid w:val="006838FE"/>
    <w:rsid w:val="006839C5"/>
    <w:rsid w:val="006839FE"/>
    <w:rsid w:val="00683A28"/>
    <w:rsid w:val="00683A84"/>
    <w:rsid w:val="00683B88"/>
    <w:rsid w:val="00683B8E"/>
    <w:rsid w:val="00683BBE"/>
    <w:rsid w:val="00683CC6"/>
    <w:rsid w:val="00683CD0"/>
    <w:rsid w:val="00683CD3"/>
    <w:rsid w:val="00683CF6"/>
    <w:rsid w:val="00683D28"/>
    <w:rsid w:val="00683D2F"/>
    <w:rsid w:val="00683E18"/>
    <w:rsid w:val="00683E95"/>
    <w:rsid w:val="00683F05"/>
    <w:rsid w:val="00683F74"/>
    <w:rsid w:val="0068404D"/>
    <w:rsid w:val="00684217"/>
    <w:rsid w:val="0068425C"/>
    <w:rsid w:val="00684474"/>
    <w:rsid w:val="006844B5"/>
    <w:rsid w:val="006844D5"/>
    <w:rsid w:val="00684547"/>
    <w:rsid w:val="00684566"/>
    <w:rsid w:val="0068460A"/>
    <w:rsid w:val="006846B7"/>
    <w:rsid w:val="006846F7"/>
    <w:rsid w:val="00684864"/>
    <w:rsid w:val="00684874"/>
    <w:rsid w:val="00684942"/>
    <w:rsid w:val="00684A49"/>
    <w:rsid w:val="00684A4F"/>
    <w:rsid w:val="00684B91"/>
    <w:rsid w:val="00684FEB"/>
    <w:rsid w:val="006851CA"/>
    <w:rsid w:val="0068526B"/>
    <w:rsid w:val="00685661"/>
    <w:rsid w:val="00685757"/>
    <w:rsid w:val="006857C1"/>
    <w:rsid w:val="006857ED"/>
    <w:rsid w:val="006858AF"/>
    <w:rsid w:val="00685978"/>
    <w:rsid w:val="00685B12"/>
    <w:rsid w:val="00685BAA"/>
    <w:rsid w:val="00685CD2"/>
    <w:rsid w:val="00685E23"/>
    <w:rsid w:val="00686216"/>
    <w:rsid w:val="00686283"/>
    <w:rsid w:val="00686331"/>
    <w:rsid w:val="00686385"/>
    <w:rsid w:val="006865E8"/>
    <w:rsid w:val="0068662B"/>
    <w:rsid w:val="00686757"/>
    <w:rsid w:val="0068677E"/>
    <w:rsid w:val="006867C8"/>
    <w:rsid w:val="00686810"/>
    <w:rsid w:val="00686957"/>
    <w:rsid w:val="006869FF"/>
    <w:rsid w:val="00686A7A"/>
    <w:rsid w:val="00686AB9"/>
    <w:rsid w:val="00686B58"/>
    <w:rsid w:val="00686E0D"/>
    <w:rsid w:val="00687050"/>
    <w:rsid w:val="00687197"/>
    <w:rsid w:val="00687256"/>
    <w:rsid w:val="0068739F"/>
    <w:rsid w:val="006875A0"/>
    <w:rsid w:val="0068766D"/>
    <w:rsid w:val="0068769D"/>
    <w:rsid w:val="006876BE"/>
    <w:rsid w:val="006876E0"/>
    <w:rsid w:val="00687796"/>
    <w:rsid w:val="00687810"/>
    <w:rsid w:val="0068788E"/>
    <w:rsid w:val="00687AB9"/>
    <w:rsid w:val="00687AC0"/>
    <w:rsid w:val="00687CEE"/>
    <w:rsid w:val="00687E7B"/>
    <w:rsid w:val="00687EC3"/>
    <w:rsid w:val="00687FF7"/>
    <w:rsid w:val="006901E5"/>
    <w:rsid w:val="00690261"/>
    <w:rsid w:val="0069031B"/>
    <w:rsid w:val="006904FA"/>
    <w:rsid w:val="006905F8"/>
    <w:rsid w:val="0069067C"/>
    <w:rsid w:val="00690833"/>
    <w:rsid w:val="00690844"/>
    <w:rsid w:val="006908E8"/>
    <w:rsid w:val="00690928"/>
    <w:rsid w:val="0069096D"/>
    <w:rsid w:val="006909F7"/>
    <w:rsid w:val="00690BBA"/>
    <w:rsid w:val="00690CB2"/>
    <w:rsid w:val="00690CF0"/>
    <w:rsid w:val="00690E88"/>
    <w:rsid w:val="00691083"/>
    <w:rsid w:val="00691158"/>
    <w:rsid w:val="006912A6"/>
    <w:rsid w:val="00691301"/>
    <w:rsid w:val="0069138D"/>
    <w:rsid w:val="0069144A"/>
    <w:rsid w:val="0069170C"/>
    <w:rsid w:val="0069177D"/>
    <w:rsid w:val="006919A1"/>
    <w:rsid w:val="00691A51"/>
    <w:rsid w:val="00691C0E"/>
    <w:rsid w:val="00691C67"/>
    <w:rsid w:val="00691CAF"/>
    <w:rsid w:val="00691DC2"/>
    <w:rsid w:val="00691E18"/>
    <w:rsid w:val="00691F3A"/>
    <w:rsid w:val="0069222F"/>
    <w:rsid w:val="006922EB"/>
    <w:rsid w:val="006923BE"/>
    <w:rsid w:val="00692404"/>
    <w:rsid w:val="0069248D"/>
    <w:rsid w:val="0069253D"/>
    <w:rsid w:val="0069275F"/>
    <w:rsid w:val="006927E6"/>
    <w:rsid w:val="006927F2"/>
    <w:rsid w:val="006929BA"/>
    <w:rsid w:val="006929DE"/>
    <w:rsid w:val="00692A39"/>
    <w:rsid w:val="00692B71"/>
    <w:rsid w:val="00692B99"/>
    <w:rsid w:val="00692BCE"/>
    <w:rsid w:val="00692C44"/>
    <w:rsid w:val="00692C61"/>
    <w:rsid w:val="00692E26"/>
    <w:rsid w:val="00692E3E"/>
    <w:rsid w:val="00692E4D"/>
    <w:rsid w:val="00692ECA"/>
    <w:rsid w:val="00692F0E"/>
    <w:rsid w:val="00692F0F"/>
    <w:rsid w:val="00692FB2"/>
    <w:rsid w:val="00693046"/>
    <w:rsid w:val="0069312A"/>
    <w:rsid w:val="0069346C"/>
    <w:rsid w:val="006934F2"/>
    <w:rsid w:val="00693542"/>
    <w:rsid w:val="00693747"/>
    <w:rsid w:val="0069379D"/>
    <w:rsid w:val="006937FD"/>
    <w:rsid w:val="0069381A"/>
    <w:rsid w:val="00693858"/>
    <w:rsid w:val="006939E0"/>
    <w:rsid w:val="006939FE"/>
    <w:rsid w:val="00693A1C"/>
    <w:rsid w:val="00693A2A"/>
    <w:rsid w:val="00693AA7"/>
    <w:rsid w:val="00693AE5"/>
    <w:rsid w:val="00693B6D"/>
    <w:rsid w:val="00693BB7"/>
    <w:rsid w:val="00693C76"/>
    <w:rsid w:val="00693E82"/>
    <w:rsid w:val="00693EBC"/>
    <w:rsid w:val="0069400C"/>
    <w:rsid w:val="00694150"/>
    <w:rsid w:val="006942C0"/>
    <w:rsid w:val="006942D2"/>
    <w:rsid w:val="006943A0"/>
    <w:rsid w:val="0069447C"/>
    <w:rsid w:val="0069447F"/>
    <w:rsid w:val="00694505"/>
    <w:rsid w:val="0069454F"/>
    <w:rsid w:val="00694612"/>
    <w:rsid w:val="00694656"/>
    <w:rsid w:val="00694722"/>
    <w:rsid w:val="0069481B"/>
    <w:rsid w:val="00694862"/>
    <w:rsid w:val="00694913"/>
    <w:rsid w:val="006949FB"/>
    <w:rsid w:val="00694A7C"/>
    <w:rsid w:val="00694B0B"/>
    <w:rsid w:val="00694BB7"/>
    <w:rsid w:val="00694BD5"/>
    <w:rsid w:val="00694DE3"/>
    <w:rsid w:val="00694E4C"/>
    <w:rsid w:val="00694E60"/>
    <w:rsid w:val="00694EFF"/>
    <w:rsid w:val="00694F3F"/>
    <w:rsid w:val="006950E5"/>
    <w:rsid w:val="00695129"/>
    <w:rsid w:val="0069525A"/>
    <w:rsid w:val="0069525C"/>
    <w:rsid w:val="006952B2"/>
    <w:rsid w:val="006954AC"/>
    <w:rsid w:val="006955F3"/>
    <w:rsid w:val="00695730"/>
    <w:rsid w:val="0069577A"/>
    <w:rsid w:val="006957B6"/>
    <w:rsid w:val="006958FE"/>
    <w:rsid w:val="00695C25"/>
    <w:rsid w:val="00695CE7"/>
    <w:rsid w:val="00695E73"/>
    <w:rsid w:val="00695EC6"/>
    <w:rsid w:val="00695F2A"/>
    <w:rsid w:val="00695FCD"/>
    <w:rsid w:val="00695FD8"/>
    <w:rsid w:val="0069610C"/>
    <w:rsid w:val="0069627E"/>
    <w:rsid w:val="00696494"/>
    <w:rsid w:val="0069654D"/>
    <w:rsid w:val="00696636"/>
    <w:rsid w:val="00696697"/>
    <w:rsid w:val="006966D8"/>
    <w:rsid w:val="0069676A"/>
    <w:rsid w:val="00696847"/>
    <w:rsid w:val="00696928"/>
    <w:rsid w:val="00696A6B"/>
    <w:rsid w:val="00696A7A"/>
    <w:rsid w:val="00696C59"/>
    <w:rsid w:val="00696C64"/>
    <w:rsid w:val="00696C88"/>
    <w:rsid w:val="00696CAA"/>
    <w:rsid w:val="00696CC1"/>
    <w:rsid w:val="00696F67"/>
    <w:rsid w:val="00697083"/>
    <w:rsid w:val="006970B0"/>
    <w:rsid w:val="00697177"/>
    <w:rsid w:val="0069717D"/>
    <w:rsid w:val="006971C4"/>
    <w:rsid w:val="006972F4"/>
    <w:rsid w:val="00697437"/>
    <w:rsid w:val="006974C7"/>
    <w:rsid w:val="006976B5"/>
    <w:rsid w:val="0069773F"/>
    <w:rsid w:val="00697948"/>
    <w:rsid w:val="006979C8"/>
    <w:rsid w:val="00697EFB"/>
    <w:rsid w:val="00697FCA"/>
    <w:rsid w:val="00698D94"/>
    <w:rsid w:val="0069EB6A"/>
    <w:rsid w:val="006A0008"/>
    <w:rsid w:val="006A0145"/>
    <w:rsid w:val="006A02CC"/>
    <w:rsid w:val="006A02E0"/>
    <w:rsid w:val="006A02E6"/>
    <w:rsid w:val="006A02E9"/>
    <w:rsid w:val="006A03BA"/>
    <w:rsid w:val="006A03C2"/>
    <w:rsid w:val="006A03F5"/>
    <w:rsid w:val="006A05A4"/>
    <w:rsid w:val="006A06C5"/>
    <w:rsid w:val="006A0722"/>
    <w:rsid w:val="006A0758"/>
    <w:rsid w:val="006A07DD"/>
    <w:rsid w:val="006A0829"/>
    <w:rsid w:val="006A097D"/>
    <w:rsid w:val="006A0A27"/>
    <w:rsid w:val="006A0AB7"/>
    <w:rsid w:val="006A0AE6"/>
    <w:rsid w:val="006A0AFD"/>
    <w:rsid w:val="006A0BEF"/>
    <w:rsid w:val="006A0C53"/>
    <w:rsid w:val="006A0C7A"/>
    <w:rsid w:val="006A0D0D"/>
    <w:rsid w:val="006A0D7C"/>
    <w:rsid w:val="006A0E8E"/>
    <w:rsid w:val="006A0FA4"/>
    <w:rsid w:val="006A0FAD"/>
    <w:rsid w:val="006A0FDE"/>
    <w:rsid w:val="006A1028"/>
    <w:rsid w:val="006A10A8"/>
    <w:rsid w:val="006A1128"/>
    <w:rsid w:val="006A11DE"/>
    <w:rsid w:val="006A1317"/>
    <w:rsid w:val="006A133C"/>
    <w:rsid w:val="006A1371"/>
    <w:rsid w:val="006A16D2"/>
    <w:rsid w:val="006A186D"/>
    <w:rsid w:val="006A19E9"/>
    <w:rsid w:val="006A1A82"/>
    <w:rsid w:val="006A1B04"/>
    <w:rsid w:val="006A1BBE"/>
    <w:rsid w:val="006A1CFD"/>
    <w:rsid w:val="006A1D77"/>
    <w:rsid w:val="006A1DFB"/>
    <w:rsid w:val="006A1EB1"/>
    <w:rsid w:val="006A1F26"/>
    <w:rsid w:val="006A1F60"/>
    <w:rsid w:val="006A2075"/>
    <w:rsid w:val="006A20C8"/>
    <w:rsid w:val="006A21F5"/>
    <w:rsid w:val="006A2353"/>
    <w:rsid w:val="006A23FF"/>
    <w:rsid w:val="006A2478"/>
    <w:rsid w:val="006A249C"/>
    <w:rsid w:val="006A24C1"/>
    <w:rsid w:val="006A25AE"/>
    <w:rsid w:val="006A2688"/>
    <w:rsid w:val="006A27A5"/>
    <w:rsid w:val="006A2A09"/>
    <w:rsid w:val="006A2AB9"/>
    <w:rsid w:val="006A2B57"/>
    <w:rsid w:val="006A2CDE"/>
    <w:rsid w:val="006A2D4B"/>
    <w:rsid w:val="006A2F6A"/>
    <w:rsid w:val="006A2F85"/>
    <w:rsid w:val="006A3026"/>
    <w:rsid w:val="006A3143"/>
    <w:rsid w:val="006A34DA"/>
    <w:rsid w:val="006A363C"/>
    <w:rsid w:val="006A36F5"/>
    <w:rsid w:val="006A3747"/>
    <w:rsid w:val="006A383E"/>
    <w:rsid w:val="006A398D"/>
    <w:rsid w:val="006A39FF"/>
    <w:rsid w:val="006A3A05"/>
    <w:rsid w:val="006A3A3C"/>
    <w:rsid w:val="006A3BC0"/>
    <w:rsid w:val="006A3C21"/>
    <w:rsid w:val="006A3E63"/>
    <w:rsid w:val="006A3F8F"/>
    <w:rsid w:val="006A3FEB"/>
    <w:rsid w:val="006A42C1"/>
    <w:rsid w:val="006A42F2"/>
    <w:rsid w:val="006A4670"/>
    <w:rsid w:val="006A4731"/>
    <w:rsid w:val="006A47B5"/>
    <w:rsid w:val="006A4891"/>
    <w:rsid w:val="006A498C"/>
    <w:rsid w:val="006A4AAD"/>
    <w:rsid w:val="006A4B10"/>
    <w:rsid w:val="006A4C06"/>
    <w:rsid w:val="006A4CFE"/>
    <w:rsid w:val="006A4D76"/>
    <w:rsid w:val="006A5005"/>
    <w:rsid w:val="006A5293"/>
    <w:rsid w:val="006A52F3"/>
    <w:rsid w:val="006A533F"/>
    <w:rsid w:val="006A54FD"/>
    <w:rsid w:val="006A550A"/>
    <w:rsid w:val="006A5611"/>
    <w:rsid w:val="006A5656"/>
    <w:rsid w:val="006A56DD"/>
    <w:rsid w:val="006A5718"/>
    <w:rsid w:val="006A584D"/>
    <w:rsid w:val="006A58B1"/>
    <w:rsid w:val="006A5927"/>
    <w:rsid w:val="006A5985"/>
    <w:rsid w:val="006A5A47"/>
    <w:rsid w:val="006A5AD9"/>
    <w:rsid w:val="006A5B21"/>
    <w:rsid w:val="006A5CA8"/>
    <w:rsid w:val="006A5E2F"/>
    <w:rsid w:val="006A5FC3"/>
    <w:rsid w:val="006A602B"/>
    <w:rsid w:val="006A60C7"/>
    <w:rsid w:val="006A655B"/>
    <w:rsid w:val="006A677E"/>
    <w:rsid w:val="006A67AE"/>
    <w:rsid w:val="006A68CB"/>
    <w:rsid w:val="006A68D1"/>
    <w:rsid w:val="006A69E8"/>
    <w:rsid w:val="006A6A79"/>
    <w:rsid w:val="006A6B95"/>
    <w:rsid w:val="006A6C3E"/>
    <w:rsid w:val="006A6E95"/>
    <w:rsid w:val="006A6EAD"/>
    <w:rsid w:val="006A7342"/>
    <w:rsid w:val="006A7442"/>
    <w:rsid w:val="006A7467"/>
    <w:rsid w:val="006A75BB"/>
    <w:rsid w:val="006A762C"/>
    <w:rsid w:val="006A7665"/>
    <w:rsid w:val="006A7769"/>
    <w:rsid w:val="006A7785"/>
    <w:rsid w:val="006A77F6"/>
    <w:rsid w:val="006A790A"/>
    <w:rsid w:val="006A793E"/>
    <w:rsid w:val="006A7953"/>
    <w:rsid w:val="006A7A5B"/>
    <w:rsid w:val="006A7A77"/>
    <w:rsid w:val="006A7AC0"/>
    <w:rsid w:val="006A7ACD"/>
    <w:rsid w:val="006A7AE1"/>
    <w:rsid w:val="006A7AEF"/>
    <w:rsid w:val="006A7C1A"/>
    <w:rsid w:val="006A7C2E"/>
    <w:rsid w:val="006A7C37"/>
    <w:rsid w:val="006A7C65"/>
    <w:rsid w:val="006A7C82"/>
    <w:rsid w:val="006A7D2B"/>
    <w:rsid w:val="006A7D9A"/>
    <w:rsid w:val="006A7DFE"/>
    <w:rsid w:val="006A7E2C"/>
    <w:rsid w:val="006A7F2B"/>
    <w:rsid w:val="006A7FBE"/>
    <w:rsid w:val="006AF54C"/>
    <w:rsid w:val="006B0199"/>
    <w:rsid w:val="006B0214"/>
    <w:rsid w:val="006B02A8"/>
    <w:rsid w:val="006B0426"/>
    <w:rsid w:val="006B0491"/>
    <w:rsid w:val="006B0569"/>
    <w:rsid w:val="006B087E"/>
    <w:rsid w:val="006B0D0F"/>
    <w:rsid w:val="006B0E84"/>
    <w:rsid w:val="006B0F24"/>
    <w:rsid w:val="006B0F73"/>
    <w:rsid w:val="006B1130"/>
    <w:rsid w:val="006B1132"/>
    <w:rsid w:val="006B11ED"/>
    <w:rsid w:val="006B11FC"/>
    <w:rsid w:val="006B13B9"/>
    <w:rsid w:val="006B147E"/>
    <w:rsid w:val="006B15B0"/>
    <w:rsid w:val="006B1753"/>
    <w:rsid w:val="006B1A7F"/>
    <w:rsid w:val="006B1A96"/>
    <w:rsid w:val="006B1B5C"/>
    <w:rsid w:val="006B1B6A"/>
    <w:rsid w:val="006B1C5E"/>
    <w:rsid w:val="006B1D26"/>
    <w:rsid w:val="006B1DC1"/>
    <w:rsid w:val="006B2124"/>
    <w:rsid w:val="006B2346"/>
    <w:rsid w:val="006B2498"/>
    <w:rsid w:val="006B25FE"/>
    <w:rsid w:val="006B27AA"/>
    <w:rsid w:val="006B293E"/>
    <w:rsid w:val="006B2956"/>
    <w:rsid w:val="006B29E0"/>
    <w:rsid w:val="006B2A01"/>
    <w:rsid w:val="006B2AF4"/>
    <w:rsid w:val="006B2C00"/>
    <w:rsid w:val="006B2C26"/>
    <w:rsid w:val="006B2C36"/>
    <w:rsid w:val="006B2C7E"/>
    <w:rsid w:val="006B2DE4"/>
    <w:rsid w:val="006B2E5F"/>
    <w:rsid w:val="006B2E87"/>
    <w:rsid w:val="006B2FBE"/>
    <w:rsid w:val="006B30B4"/>
    <w:rsid w:val="006B30F4"/>
    <w:rsid w:val="006B312F"/>
    <w:rsid w:val="006B32A7"/>
    <w:rsid w:val="006B333C"/>
    <w:rsid w:val="006B34B3"/>
    <w:rsid w:val="006B34C7"/>
    <w:rsid w:val="006B3588"/>
    <w:rsid w:val="006B3960"/>
    <w:rsid w:val="006B39D6"/>
    <w:rsid w:val="006B3A4C"/>
    <w:rsid w:val="006B3AF2"/>
    <w:rsid w:val="006B3B34"/>
    <w:rsid w:val="006B3BC8"/>
    <w:rsid w:val="006B3CDB"/>
    <w:rsid w:val="006B3CE7"/>
    <w:rsid w:val="006B3D62"/>
    <w:rsid w:val="006B3E34"/>
    <w:rsid w:val="006B3F61"/>
    <w:rsid w:val="006B40A6"/>
    <w:rsid w:val="006B40F4"/>
    <w:rsid w:val="006B434C"/>
    <w:rsid w:val="006B43F1"/>
    <w:rsid w:val="006B43FD"/>
    <w:rsid w:val="006B45D6"/>
    <w:rsid w:val="006B4649"/>
    <w:rsid w:val="006B470E"/>
    <w:rsid w:val="006B4770"/>
    <w:rsid w:val="006B47CC"/>
    <w:rsid w:val="006B48CF"/>
    <w:rsid w:val="006B498D"/>
    <w:rsid w:val="006B499E"/>
    <w:rsid w:val="006B49F6"/>
    <w:rsid w:val="006B4A11"/>
    <w:rsid w:val="006B4B23"/>
    <w:rsid w:val="006B4DD7"/>
    <w:rsid w:val="006B4E3F"/>
    <w:rsid w:val="006B4E49"/>
    <w:rsid w:val="006B4F4E"/>
    <w:rsid w:val="006B5061"/>
    <w:rsid w:val="006B50BE"/>
    <w:rsid w:val="006B50D0"/>
    <w:rsid w:val="006B5184"/>
    <w:rsid w:val="006B5187"/>
    <w:rsid w:val="006B51C0"/>
    <w:rsid w:val="006B52E8"/>
    <w:rsid w:val="006B54A6"/>
    <w:rsid w:val="006B54AB"/>
    <w:rsid w:val="006B54F0"/>
    <w:rsid w:val="006B550F"/>
    <w:rsid w:val="006B55AB"/>
    <w:rsid w:val="006B566F"/>
    <w:rsid w:val="006B56EF"/>
    <w:rsid w:val="006B56F9"/>
    <w:rsid w:val="006B5ABE"/>
    <w:rsid w:val="006B5AC8"/>
    <w:rsid w:val="006B5B3C"/>
    <w:rsid w:val="006B5B80"/>
    <w:rsid w:val="006B5DAC"/>
    <w:rsid w:val="006B5F0A"/>
    <w:rsid w:val="006B5F67"/>
    <w:rsid w:val="006B5F7C"/>
    <w:rsid w:val="006B611E"/>
    <w:rsid w:val="006B62F9"/>
    <w:rsid w:val="006B6312"/>
    <w:rsid w:val="006B63B8"/>
    <w:rsid w:val="006B64C4"/>
    <w:rsid w:val="006B67E4"/>
    <w:rsid w:val="006B6870"/>
    <w:rsid w:val="006B6883"/>
    <w:rsid w:val="006B69E5"/>
    <w:rsid w:val="006B6B43"/>
    <w:rsid w:val="006B6B56"/>
    <w:rsid w:val="006B6DAF"/>
    <w:rsid w:val="006B6ECD"/>
    <w:rsid w:val="006B6EFD"/>
    <w:rsid w:val="006B6FD5"/>
    <w:rsid w:val="006B7219"/>
    <w:rsid w:val="006B722C"/>
    <w:rsid w:val="006B7299"/>
    <w:rsid w:val="006B72A6"/>
    <w:rsid w:val="006B730C"/>
    <w:rsid w:val="006B757C"/>
    <w:rsid w:val="006B7683"/>
    <w:rsid w:val="006B7785"/>
    <w:rsid w:val="006B7868"/>
    <w:rsid w:val="006B78B3"/>
    <w:rsid w:val="006B78DE"/>
    <w:rsid w:val="006B79DB"/>
    <w:rsid w:val="006B7AA0"/>
    <w:rsid w:val="006B7D01"/>
    <w:rsid w:val="006B7D7B"/>
    <w:rsid w:val="006B7E77"/>
    <w:rsid w:val="006B7EEE"/>
    <w:rsid w:val="006C00F2"/>
    <w:rsid w:val="006C0203"/>
    <w:rsid w:val="006C02C6"/>
    <w:rsid w:val="006C02DE"/>
    <w:rsid w:val="006C05A8"/>
    <w:rsid w:val="006C05E6"/>
    <w:rsid w:val="006C0602"/>
    <w:rsid w:val="006C0625"/>
    <w:rsid w:val="006C0664"/>
    <w:rsid w:val="006C068A"/>
    <w:rsid w:val="006C08CB"/>
    <w:rsid w:val="006C08CC"/>
    <w:rsid w:val="006C0936"/>
    <w:rsid w:val="006C0B56"/>
    <w:rsid w:val="006C0CCE"/>
    <w:rsid w:val="006C0D58"/>
    <w:rsid w:val="006C0D5A"/>
    <w:rsid w:val="006C0DE8"/>
    <w:rsid w:val="006C0FAC"/>
    <w:rsid w:val="006C0FC3"/>
    <w:rsid w:val="006C10B5"/>
    <w:rsid w:val="006C1145"/>
    <w:rsid w:val="006C119D"/>
    <w:rsid w:val="006C1282"/>
    <w:rsid w:val="006C1291"/>
    <w:rsid w:val="006C12AD"/>
    <w:rsid w:val="006C13A3"/>
    <w:rsid w:val="006C1450"/>
    <w:rsid w:val="006C154D"/>
    <w:rsid w:val="006C173E"/>
    <w:rsid w:val="006C17BF"/>
    <w:rsid w:val="006C184A"/>
    <w:rsid w:val="006C19F8"/>
    <w:rsid w:val="006C1A4B"/>
    <w:rsid w:val="006C1B09"/>
    <w:rsid w:val="006C1CFB"/>
    <w:rsid w:val="006C1D0C"/>
    <w:rsid w:val="006C1E14"/>
    <w:rsid w:val="006C1E37"/>
    <w:rsid w:val="006C1EC0"/>
    <w:rsid w:val="006C2030"/>
    <w:rsid w:val="006C2068"/>
    <w:rsid w:val="006C2195"/>
    <w:rsid w:val="006C2196"/>
    <w:rsid w:val="006C22CF"/>
    <w:rsid w:val="006C22E7"/>
    <w:rsid w:val="006C22FC"/>
    <w:rsid w:val="006C24EB"/>
    <w:rsid w:val="006C2538"/>
    <w:rsid w:val="006C25E3"/>
    <w:rsid w:val="006C2756"/>
    <w:rsid w:val="006C276F"/>
    <w:rsid w:val="006C290C"/>
    <w:rsid w:val="006C29DD"/>
    <w:rsid w:val="006C2A22"/>
    <w:rsid w:val="006C2A6E"/>
    <w:rsid w:val="006C2A73"/>
    <w:rsid w:val="006C2C29"/>
    <w:rsid w:val="006C2D46"/>
    <w:rsid w:val="006C2D80"/>
    <w:rsid w:val="006C2F93"/>
    <w:rsid w:val="006C3111"/>
    <w:rsid w:val="006C333A"/>
    <w:rsid w:val="006C3344"/>
    <w:rsid w:val="006C34BD"/>
    <w:rsid w:val="006C34D6"/>
    <w:rsid w:val="006C3546"/>
    <w:rsid w:val="006C3646"/>
    <w:rsid w:val="006C36A7"/>
    <w:rsid w:val="006C38B5"/>
    <w:rsid w:val="006C3A25"/>
    <w:rsid w:val="006C3A9A"/>
    <w:rsid w:val="006C451F"/>
    <w:rsid w:val="006C453A"/>
    <w:rsid w:val="006C4636"/>
    <w:rsid w:val="006C469F"/>
    <w:rsid w:val="006C46C5"/>
    <w:rsid w:val="006C4768"/>
    <w:rsid w:val="006C487B"/>
    <w:rsid w:val="006C4909"/>
    <w:rsid w:val="006C4960"/>
    <w:rsid w:val="006C4BAC"/>
    <w:rsid w:val="006C4EEC"/>
    <w:rsid w:val="006C4F01"/>
    <w:rsid w:val="006C537C"/>
    <w:rsid w:val="006C53D3"/>
    <w:rsid w:val="006C5426"/>
    <w:rsid w:val="006C573B"/>
    <w:rsid w:val="006C5873"/>
    <w:rsid w:val="006C5AC7"/>
    <w:rsid w:val="006C5D69"/>
    <w:rsid w:val="006C5E4B"/>
    <w:rsid w:val="006C5F83"/>
    <w:rsid w:val="006C6163"/>
    <w:rsid w:val="006C6237"/>
    <w:rsid w:val="006C6405"/>
    <w:rsid w:val="006C6406"/>
    <w:rsid w:val="006C6465"/>
    <w:rsid w:val="006C6554"/>
    <w:rsid w:val="006C677A"/>
    <w:rsid w:val="006C67D4"/>
    <w:rsid w:val="006C686A"/>
    <w:rsid w:val="006C6909"/>
    <w:rsid w:val="006C6A2D"/>
    <w:rsid w:val="006C6A30"/>
    <w:rsid w:val="006C6CC7"/>
    <w:rsid w:val="006C6DA1"/>
    <w:rsid w:val="006C6DF2"/>
    <w:rsid w:val="006C6E5C"/>
    <w:rsid w:val="006C6E8E"/>
    <w:rsid w:val="006C6EA3"/>
    <w:rsid w:val="006C6F63"/>
    <w:rsid w:val="006C7039"/>
    <w:rsid w:val="006C7054"/>
    <w:rsid w:val="006C70AB"/>
    <w:rsid w:val="006C73B7"/>
    <w:rsid w:val="006C7590"/>
    <w:rsid w:val="006C75FA"/>
    <w:rsid w:val="006C75FC"/>
    <w:rsid w:val="006C7978"/>
    <w:rsid w:val="006C799B"/>
    <w:rsid w:val="006C7AD6"/>
    <w:rsid w:val="006C7B61"/>
    <w:rsid w:val="006C7C23"/>
    <w:rsid w:val="006C7C6C"/>
    <w:rsid w:val="006C7CAB"/>
    <w:rsid w:val="006C7D43"/>
    <w:rsid w:val="006C7E4D"/>
    <w:rsid w:val="006C7F64"/>
    <w:rsid w:val="006C7F9F"/>
    <w:rsid w:val="006D00CA"/>
    <w:rsid w:val="006D0159"/>
    <w:rsid w:val="006D0255"/>
    <w:rsid w:val="006D0307"/>
    <w:rsid w:val="006D031F"/>
    <w:rsid w:val="006D0363"/>
    <w:rsid w:val="006D03EB"/>
    <w:rsid w:val="006D0482"/>
    <w:rsid w:val="006D054D"/>
    <w:rsid w:val="006D06C3"/>
    <w:rsid w:val="006D0897"/>
    <w:rsid w:val="006D0964"/>
    <w:rsid w:val="006D09B2"/>
    <w:rsid w:val="006D0BAE"/>
    <w:rsid w:val="006D0C4C"/>
    <w:rsid w:val="006D0CED"/>
    <w:rsid w:val="006D0D84"/>
    <w:rsid w:val="006D0DAB"/>
    <w:rsid w:val="006D0ECE"/>
    <w:rsid w:val="006D0FFA"/>
    <w:rsid w:val="006D10B8"/>
    <w:rsid w:val="006D115B"/>
    <w:rsid w:val="006D1286"/>
    <w:rsid w:val="006D1307"/>
    <w:rsid w:val="006D131A"/>
    <w:rsid w:val="006D13AE"/>
    <w:rsid w:val="006D18EC"/>
    <w:rsid w:val="006D18ED"/>
    <w:rsid w:val="006D1A13"/>
    <w:rsid w:val="006D1A98"/>
    <w:rsid w:val="006D1B96"/>
    <w:rsid w:val="006D1C70"/>
    <w:rsid w:val="006D1E78"/>
    <w:rsid w:val="006D1F0C"/>
    <w:rsid w:val="006D1F72"/>
    <w:rsid w:val="006D20E2"/>
    <w:rsid w:val="006D20F6"/>
    <w:rsid w:val="006D21EC"/>
    <w:rsid w:val="006D2689"/>
    <w:rsid w:val="006D26B8"/>
    <w:rsid w:val="006D2769"/>
    <w:rsid w:val="006D28CD"/>
    <w:rsid w:val="006D2938"/>
    <w:rsid w:val="006D2992"/>
    <w:rsid w:val="006D2A66"/>
    <w:rsid w:val="006D2A6A"/>
    <w:rsid w:val="006D2AA4"/>
    <w:rsid w:val="006D2AAA"/>
    <w:rsid w:val="006D2C25"/>
    <w:rsid w:val="006D2CA7"/>
    <w:rsid w:val="006D2D5B"/>
    <w:rsid w:val="006D2FE7"/>
    <w:rsid w:val="006D32F5"/>
    <w:rsid w:val="006D3473"/>
    <w:rsid w:val="006D3797"/>
    <w:rsid w:val="006D37A6"/>
    <w:rsid w:val="006D37B4"/>
    <w:rsid w:val="006D38F5"/>
    <w:rsid w:val="006D3A1E"/>
    <w:rsid w:val="006D3A24"/>
    <w:rsid w:val="006D3B77"/>
    <w:rsid w:val="006D3CBF"/>
    <w:rsid w:val="006D3E7A"/>
    <w:rsid w:val="006D3FBA"/>
    <w:rsid w:val="006D4373"/>
    <w:rsid w:val="006D43AA"/>
    <w:rsid w:val="006D44D9"/>
    <w:rsid w:val="006D47BC"/>
    <w:rsid w:val="006D485F"/>
    <w:rsid w:val="006D4A6F"/>
    <w:rsid w:val="006D4BAD"/>
    <w:rsid w:val="006D4BEF"/>
    <w:rsid w:val="006D4BF2"/>
    <w:rsid w:val="006D4C4B"/>
    <w:rsid w:val="006D4D5F"/>
    <w:rsid w:val="006D4D6C"/>
    <w:rsid w:val="006D4F43"/>
    <w:rsid w:val="006D5003"/>
    <w:rsid w:val="006D5139"/>
    <w:rsid w:val="006D5187"/>
    <w:rsid w:val="006D521E"/>
    <w:rsid w:val="006D529C"/>
    <w:rsid w:val="006D5336"/>
    <w:rsid w:val="006D5341"/>
    <w:rsid w:val="006D535E"/>
    <w:rsid w:val="006D53CC"/>
    <w:rsid w:val="006D53FF"/>
    <w:rsid w:val="006D546F"/>
    <w:rsid w:val="006D550F"/>
    <w:rsid w:val="006D55AF"/>
    <w:rsid w:val="006D5677"/>
    <w:rsid w:val="006D56C3"/>
    <w:rsid w:val="006D576A"/>
    <w:rsid w:val="006D59C8"/>
    <w:rsid w:val="006D5A40"/>
    <w:rsid w:val="006D5B40"/>
    <w:rsid w:val="006D5B8E"/>
    <w:rsid w:val="006D5BFE"/>
    <w:rsid w:val="006D5C58"/>
    <w:rsid w:val="006D5CA8"/>
    <w:rsid w:val="006D5CF3"/>
    <w:rsid w:val="006D5D10"/>
    <w:rsid w:val="006D5D82"/>
    <w:rsid w:val="006D5EB9"/>
    <w:rsid w:val="006D6039"/>
    <w:rsid w:val="006D6183"/>
    <w:rsid w:val="006D6312"/>
    <w:rsid w:val="006D639F"/>
    <w:rsid w:val="006D664F"/>
    <w:rsid w:val="006D66E2"/>
    <w:rsid w:val="006D68A7"/>
    <w:rsid w:val="006D68E8"/>
    <w:rsid w:val="006D6A55"/>
    <w:rsid w:val="006D6ADC"/>
    <w:rsid w:val="006D6CA0"/>
    <w:rsid w:val="006D6DC8"/>
    <w:rsid w:val="006D6F0B"/>
    <w:rsid w:val="006D6FAF"/>
    <w:rsid w:val="006D7089"/>
    <w:rsid w:val="006D708B"/>
    <w:rsid w:val="006D710B"/>
    <w:rsid w:val="006D71C9"/>
    <w:rsid w:val="006D726B"/>
    <w:rsid w:val="006D727C"/>
    <w:rsid w:val="006D7477"/>
    <w:rsid w:val="006D759B"/>
    <w:rsid w:val="006D75EB"/>
    <w:rsid w:val="006D7615"/>
    <w:rsid w:val="006D7766"/>
    <w:rsid w:val="006D79E5"/>
    <w:rsid w:val="006D7B15"/>
    <w:rsid w:val="006D7B35"/>
    <w:rsid w:val="006D7BC7"/>
    <w:rsid w:val="006D7DE1"/>
    <w:rsid w:val="006D7E23"/>
    <w:rsid w:val="006D7E59"/>
    <w:rsid w:val="006D7F62"/>
    <w:rsid w:val="006D7F81"/>
    <w:rsid w:val="006E00DF"/>
    <w:rsid w:val="006E00E6"/>
    <w:rsid w:val="006E00F8"/>
    <w:rsid w:val="006E0109"/>
    <w:rsid w:val="006E0303"/>
    <w:rsid w:val="006E03F5"/>
    <w:rsid w:val="006E048D"/>
    <w:rsid w:val="006E073B"/>
    <w:rsid w:val="006E079C"/>
    <w:rsid w:val="006E0843"/>
    <w:rsid w:val="006E0941"/>
    <w:rsid w:val="006E0942"/>
    <w:rsid w:val="006E0B10"/>
    <w:rsid w:val="006E0BE1"/>
    <w:rsid w:val="006E0C23"/>
    <w:rsid w:val="006E0CC1"/>
    <w:rsid w:val="006E0D7D"/>
    <w:rsid w:val="006E0DB1"/>
    <w:rsid w:val="006E0DB5"/>
    <w:rsid w:val="006E0F9D"/>
    <w:rsid w:val="006E1454"/>
    <w:rsid w:val="006E14DA"/>
    <w:rsid w:val="006E169D"/>
    <w:rsid w:val="006E16EF"/>
    <w:rsid w:val="006E17A2"/>
    <w:rsid w:val="006E1A43"/>
    <w:rsid w:val="006E1A4E"/>
    <w:rsid w:val="006E1C5A"/>
    <w:rsid w:val="006E1C73"/>
    <w:rsid w:val="006E1D0E"/>
    <w:rsid w:val="006E1E1E"/>
    <w:rsid w:val="006E1F96"/>
    <w:rsid w:val="006E2011"/>
    <w:rsid w:val="006E214E"/>
    <w:rsid w:val="006E218D"/>
    <w:rsid w:val="006E23D6"/>
    <w:rsid w:val="006E240D"/>
    <w:rsid w:val="006E2486"/>
    <w:rsid w:val="006E24E6"/>
    <w:rsid w:val="006E2631"/>
    <w:rsid w:val="006E26A2"/>
    <w:rsid w:val="006E26D8"/>
    <w:rsid w:val="006E2717"/>
    <w:rsid w:val="006E2886"/>
    <w:rsid w:val="006E2A69"/>
    <w:rsid w:val="006E2BD7"/>
    <w:rsid w:val="006E2C47"/>
    <w:rsid w:val="006E2C82"/>
    <w:rsid w:val="006E2CD5"/>
    <w:rsid w:val="006E2DF2"/>
    <w:rsid w:val="006E2E73"/>
    <w:rsid w:val="006E2E9C"/>
    <w:rsid w:val="006E2F96"/>
    <w:rsid w:val="006E2FF4"/>
    <w:rsid w:val="006E3021"/>
    <w:rsid w:val="006E303D"/>
    <w:rsid w:val="006E330A"/>
    <w:rsid w:val="006E33A7"/>
    <w:rsid w:val="006E33B6"/>
    <w:rsid w:val="006E3648"/>
    <w:rsid w:val="006E399E"/>
    <w:rsid w:val="006E3B2D"/>
    <w:rsid w:val="006E3B5E"/>
    <w:rsid w:val="006E3BC2"/>
    <w:rsid w:val="006E3BF7"/>
    <w:rsid w:val="006E3C03"/>
    <w:rsid w:val="006E3C1B"/>
    <w:rsid w:val="006E3C8C"/>
    <w:rsid w:val="006E3CDA"/>
    <w:rsid w:val="006E3CE2"/>
    <w:rsid w:val="006E3D2A"/>
    <w:rsid w:val="006E3D88"/>
    <w:rsid w:val="006E3DC9"/>
    <w:rsid w:val="006E3E32"/>
    <w:rsid w:val="006E3E68"/>
    <w:rsid w:val="006E3EA9"/>
    <w:rsid w:val="006E41B6"/>
    <w:rsid w:val="006E41C5"/>
    <w:rsid w:val="006E43E2"/>
    <w:rsid w:val="006E44A6"/>
    <w:rsid w:val="006E4660"/>
    <w:rsid w:val="006E4789"/>
    <w:rsid w:val="006E47A9"/>
    <w:rsid w:val="006E4A08"/>
    <w:rsid w:val="006E4B0F"/>
    <w:rsid w:val="006E4D49"/>
    <w:rsid w:val="006E4FA9"/>
    <w:rsid w:val="006E50C3"/>
    <w:rsid w:val="006E51E0"/>
    <w:rsid w:val="006E5371"/>
    <w:rsid w:val="006E5473"/>
    <w:rsid w:val="006E569D"/>
    <w:rsid w:val="006E5702"/>
    <w:rsid w:val="006E5938"/>
    <w:rsid w:val="006E59F4"/>
    <w:rsid w:val="006E59FD"/>
    <w:rsid w:val="006E5AD4"/>
    <w:rsid w:val="006E5BAE"/>
    <w:rsid w:val="006E5C37"/>
    <w:rsid w:val="006E5C3D"/>
    <w:rsid w:val="006E5E90"/>
    <w:rsid w:val="006E5EA8"/>
    <w:rsid w:val="006E5F4C"/>
    <w:rsid w:val="006E60E4"/>
    <w:rsid w:val="006E6106"/>
    <w:rsid w:val="006E61B0"/>
    <w:rsid w:val="006E62F7"/>
    <w:rsid w:val="006E6592"/>
    <w:rsid w:val="006E69CA"/>
    <w:rsid w:val="006E6B1F"/>
    <w:rsid w:val="006E6B31"/>
    <w:rsid w:val="006E6B5B"/>
    <w:rsid w:val="006E6BCA"/>
    <w:rsid w:val="006E6E02"/>
    <w:rsid w:val="006E6ECD"/>
    <w:rsid w:val="006E6F11"/>
    <w:rsid w:val="006E6FE5"/>
    <w:rsid w:val="006E7139"/>
    <w:rsid w:val="006E7193"/>
    <w:rsid w:val="006E719C"/>
    <w:rsid w:val="006E72A7"/>
    <w:rsid w:val="006E72FC"/>
    <w:rsid w:val="006E735C"/>
    <w:rsid w:val="006E73E1"/>
    <w:rsid w:val="006E74ED"/>
    <w:rsid w:val="006E75E7"/>
    <w:rsid w:val="006E760B"/>
    <w:rsid w:val="006E7648"/>
    <w:rsid w:val="006E7657"/>
    <w:rsid w:val="006E7690"/>
    <w:rsid w:val="006E78A8"/>
    <w:rsid w:val="006E78BD"/>
    <w:rsid w:val="006E7A02"/>
    <w:rsid w:val="006E7AB5"/>
    <w:rsid w:val="006E7ABC"/>
    <w:rsid w:val="006E7C39"/>
    <w:rsid w:val="006E7CCE"/>
    <w:rsid w:val="006E7CFD"/>
    <w:rsid w:val="006E7D3B"/>
    <w:rsid w:val="006E7D4E"/>
    <w:rsid w:val="006E7D7B"/>
    <w:rsid w:val="006E7EEC"/>
    <w:rsid w:val="006F00FB"/>
    <w:rsid w:val="006F0111"/>
    <w:rsid w:val="006F032D"/>
    <w:rsid w:val="006F04DF"/>
    <w:rsid w:val="006F0519"/>
    <w:rsid w:val="006F0579"/>
    <w:rsid w:val="006F0CB0"/>
    <w:rsid w:val="006F0CDD"/>
    <w:rsid w:val="006F0D6A"/>
    <w:rsid w:val="006F0E94"/>
    <w:rsid w:val="006F0FA3"/>
    <w:rsid w:val="006F10CA"/>
    <w:rsid w:val="006F11F7"/>
    <w:rsid w:val="006F1274"/>
    <w:rsid w:val="006F137E"/>
    <w:rsid w:val="006F1428"/>
    <w:rsid w:val="006F145D"/>
    <w:rsid w:val="006F15BE"/>
    <w:rsid w:val="006F1726"/>
    <w:rsid w:val="006F178B"/>
    <w:rsid w:val="006F195F"/>
    <w:rsid w:val="006F196A"/>
    <w:rsid w:val="006F19CB"/>
    <w:rsid w:val="006F1AC1"/>
    <w:rsid w:val="006F1CAC"/>
    <w:rsid w:val="006F1E9A"/>
    <w:rsid w:val="006F1EA4"/>
    <w:rsid w:val="006F1F4F"/>
    <w:rsid w:val="006F1F98"/>
    <w:rsid w:val="006F1FD8"/>
    <w:rsid w:val="006F2065"/>
    <w:rsid w:val="006F212D"/>
    <w:rsid w:val="006F22D3"/>
    <w:rsid w:val="006F250E"/>
    <w:rsid w:val="006F2513"/>
    <w:rsid w:val="006F2536"/>
    <w:rsid w:val="006F26A3"/>
    <w:rsid w:val="006F26A6"/>
    <w:rsid w:val="006F2848"/>
    <w:rsid w:val="006F284F"/>
    <w:rsid w:val="006F28DC"/>
    <w:rsid w:val="006F28ED"/>
    <w:rsid w:val="006F2A84"/>
    <w:rsid w:val="006F2B63"/>
    <w:rsid w:val="006F2B8A"/>
    <w:rsid w:val="006F2D2D"/>
    <w:rsid w:val="006F2E82"/>
    <w:rsid w:val="006F2FA6"/>
    <w:rsid w:val="006F2FD1"/>
    <w:rsid w:val="006F2FF8"/>
    <w:rsid w:val="006F316D"/>
    <w:rsid w:val="006F325A"/>
    <w:rsid w:val="006F337B"/>
    <w:rsid w:val="006F346C"/>
    <w:rsid w:val="006F3485"/>
    <w:rsid w:val="006F34BA"/>
    <w:rsid w:val="006F3727"/>
    <w:rsid w:val="006F3744"/>
    <w:rsid w:val="006F37FC"/>
    <w:rsid w:val="006F39D3"/>
    <w:rsid w:val="006F39F6"/>
    <w:rsid w:val="006F3A01"/>
    <w:rsid w:val="006F3AF7"/>
    <w:rsid w:val="006F3BB7"/>
    <w:rsid w:val="006F3E95"/>
    <w:rsid w:val="006F4058"/>
    <w:rsid w:val="006F405E"/>
    <w:rsid w:val="006F4127"/>
    <w:rsid w:val="006F4189"/>
    <w:rsid w:val="006F41FB"/>
    <w:rsid w:val="006F4259"/>
    <w:rsid w:val="006F474A"/>
    <w:rsid w:val="006F4919"/>
    <w:rsid w:val="006F494A"/>
    <w:rsid w:val="006F499F"/>
    <w:rsid w:val="006F4A8A"/>
    <w:rsid w:val="006F4ABD"/>
    <w:rsid w:val="006F4C3E"/>
    <w:rsid w:val="006F4CA1"/>
    <w:rsid w:val="006F4D1E"/>
    <w:rsid w:val="006F4D46"/>
    <w:rsid w:val="006F4D63"/>
    <w:rsid w:val="006F4ECF"/>
    <w:rsid w:val="006F4F2F"/>
    <w:rsid w:val="006F4FD4"/>
    <w:rsid w:val="006F5243"/>
    <w:rsid w:val="006F529A"/>
    <w:rsid w:val="006F52E7"/>
    <w:rsid w:val="006F54E5"/>
    <w:rsid w:val="006F5502"/>
    <w:rsid w:val="006F5608"/>
    <w:rsid w:val="006F560E"/>
    <w:rsid w:val="006F57AA"/>
    <w:rsid w:val="006F595A"/>
    <w:rsid w:val="006F5B53"/>
    <w:rsid w:val="006F5B60"/>
    <w:rsid w:val="006F5B63"/>
    <w:rsid w:val="006F5CA1"/>
    <w:rsid w:val="006F5DAC"/>
    <w:rsid w:val="006F5EC4"/>
    <w:rsid w:val="006F5F27"/>
    <w:rsid w:val="006F5F7D"/>
    <w:rsid w:val="006F62E2"/>
    <w:rsid w:val="006F63C7"/>
    <w:rsid w:val="006F63CA"/>
    <w:rsid w:val="006F63E0"/>
    <w:rsid w:val="006F6431"/>
    <w:rsid w:val="006F65E5"/>
    <w:rsid w:val="006F6637"/>
    <w:rsid w:val="006F66D6"/>
    <w:rsid w:val="006F689C"/>
    <w:rsid w:val="006F68BC"/>
    <w:rsid w:val="006F6A54"/>
    <w:rsid w:val="006F6BFF"/>
    <w:rsid w:val="006F6C5E"/>
    <w:rsid w:val="006F6C8F"/>
    <w:rsid w:val="006F6D3B"/>
    <w:rsid w:val="006F6DBF"/>
    <w:rsid w:val="006F6E7C"/>
    <w:rsid w:val="006F7093"/>
    <w:rsid w:val="006F7105"/>
    <w:rsid w:val="006F73B3"/>
    <w:rsid w:val="006F7571"/>
    <w:rsid w:val="006F75F6"/>
    <w:rsid w:val="006F771E"/>
    <w:rsid w:val="006F78D3"/>
    <w:rsid w:val="006F7974"/>
    <w:rsid w:val="006F7A2B"/>
    <w:rsid w:val="006F7ADA"/>
    <w:rsid w:val="006F7B0A"/>
    <w:rsid w:val="006F7E3B"/>
    <w:rsid w:val="006F7F99"/>
    <w:rsid w:val="006F7FC0"/>
    <w:rsid w:val="006F7FC4"/>
    <w:rsid w:val="006FB18D"/>
    <w:rsid w:val="0070015E"/>
    <w:rsid w:val="007001CE"/>
    <w:rsid w:val="0070024A"/>
    <w:rsid w:val="0070030C"/>
    <w:rsid w:val="007003C6"/>
    <w:rsid w:val="00700674"/>
    <w:rsid w:val="0070080A"/>
    <w:rsid w:val="007008B7"/>
    <w:rsid w:val="007008D4"/>
    <w:rsid w:val="007008D7"/>
    <w:rsid w:val="00700987"/>
    <w:rsid w:val="007009C3"/>
    <w:rsid w:val="00700F88"/>
    <w:rsid w:val="00701075"/>
    <w:rsid w:val="007010E7"/>
    <w:rsid w:val="007011C0"/>
    <w:rsid w:val="00701231"/>
    <w:rsid w:val="0070123E"/>
    <w:rsid w:val="0070124A"/>
    <w:rsid w:val="00701358"/>
    <w:rsid w:val="00701557"/>
    <w:rsid w:val="007015E3"/>
    <w:rsid w:val="00701616"/>
    <w:rsid w:val="00701790"/>
    <w:rsid w:val="007017EE"/>
    <w:rsid w:val="0070193E"/>
    <w:rsid w:val="00701A66"/>
    <w:rsid w:val="00701A69"/>
    <w:rsid w:val="00701B06"/>
    <w:rsid w:val="00701F87"/>
    <w:rsid w:val="00702010"/>
    <w:rsid w:val="0070212F"/>
    <w:rsid w:val="007021B8"/>
    <w:rsid w:val="007022B8"/>
    <w:rsid w:val="007022E5"/>
    <w:rsid w:val="0070238A"/>
    <w:rsid w:val="00702467"/>
    <w:rsid w:val="0070260B"/>
    <w:rsid w:val="00702635"/>
    <w:rsid w:val="00702658"/>
    <w:rsid w:val="00702A2A"/>
    <w:rsid w:val="00702A85"/>
    <w:rsid w:val="00702B5E"/>
    <w:rsid w:val="00702D1C"/>
    <w:rsid w:val="00702DB6"/>
    <w:rsid w:val="00702DED"/>
    <w:rsid w:val="00702E96"/>
    <w:rsid w:val="00702ED5"/>
    <w:rsid w:val="00702EEE"/>
    <w:rsid w:val="00702F7E"/>
    <w:rsid w:val="00703078"/>
    <w:rsid w:val="00703139"/>
    <w:rsid w:val="007031E1"/>
    <w:rsid w:val="00703351"/>
    <w:rsid w:val="007033C2"/>
    <w:rsid w:val="007033DA"/>
    <w:rsid w:val="00703465"/>
    <w:rsid w:val="007034D4"/>
    <w:rsid w:val="007036E7"/>
    <w:rsid w:val="00703785"/>
    <w:rsid w:val="00703787"/>
    <w:rsid w:val="00703813"/>
    <w:rsid w:val="007038AA"/>
    <w:rsid w:val="00703912"/>
    <w:rsid w:val="00703CF4"/>
    <w:rsid w:val="007040B7"/>
    <w:rsid w:val="00704163"/>
    <w:rsid w:val="007041CC"/>
    <w:rsid w:val="0070423E"/>
    <w:rsid w:val="007042BA"/>
    <w:rsid w:val="007042C7"/>
    <w:rsid w:val="0070430C"/>
    <w:rsid w:val="007046DC"/>
    <w:rsid w:val="0070477B"/>
    <w:rsid w:val="007048B4"/>
    <w:rsid w:val="00704A34"/>
    <w:rsid w:val="00704A77"/>
    <w:rsid w:val="00704AA8"/>
    <w:rsid w:val="00704BE0"/>
    <w:rsid w:val="00704CAD"/>
    <w:rsid w:val="00704D83"/>
    <w:rsid w:val="00704E5C"/>
    <w:rsid w:val="00704F2E"/>
    <w:rsid w:val="00704FA3"/>
    <w:rsid w:val="00704FE4"/>
    <w:rsid w:val="007052A3"/>
    <w:rsid w:val="007053BD"/>
    <w:rsid w:val="007053D2"/>
    <w:rsid w:val="007053DD"/>
    <w:rsid w:val="007054BF"/>
    <w:rsid w:val="0070569D"/>
    <w:rsid w:val="007056A4"/>
    <w:rsid w:val="0070573D"/>
    <w:rsid w:val="0070590A"/>
    <w:rsid w:val="00705925"/>
    <w:rsid w:val="007059F3"/>
    <w:rsid w:val="00705A03"/>
    <w:rsid w:val="00705A9B"/>
    <w:rsid w:val="00705AC0"/>
    <w:rsid w:val="00705AEF"/>
    <w:rsid w:val="00705B53"/>
    <w:rsid w:val="00705B54"/>
    <w:rsid w:val="00705BE4"/>
    <w:rsid w:val="00705EDA"/>
    <w:rsid w:val="00705F39"/>
    <w:rsid w:val="007061CE"/>
    <w:rsid w:val="007061FD"/>
    <w:rsid w:val="00706257"/>
    <w:rsid w:val="0070628A"/>
    <w:rsid w:val="007062E8"/>
    <w:rsid w:val="007063C7"/>
    <w:rsid w:val="00706417"/>
    <w:rsid w:val="007064BC"/>
    <w:rsid w:val="00706501"/>
    <w:rsid w:val="00706598"/>
    <w:rsid w:val="007065F6"/>
    <w:rsid w:val="007066AC"/>
    <w:rsid w:val="007066E3"/>
    <w:rsid w:val="007067F2"/>
    <w:rsid w:val="0070686F"/>
    <w:rsid w:val="0070688E"/>
    <w:rsid w:val="0070695F"/>
    <w:rsid w:val="00706B78"/>
    <w:rsid w:val="00706BA3"/>
    <w:rsid w:val="00706C57"/>
    <w:rsid w:val="00706F61"/>
    <w:rsid w:val="0070703D"/>
    <w:rsid w:val="007070F6"/>
    <w:rsid w:val="0070714D"/>
    <w:rsid w:val="007072CF"/>
    <w:rsid w:val="007074D6"/>
    <w:rsid w:val="00707560"/>
    <w:rsid w:val="007077D4"/>
    <w:rsid w:val="007077DC"/>
    <w:rsid w:val="00707D2C"/>
    <w:rsid w:val="00707DB2"/>
    <w:rsid w:val="00707E13"/>
    <w:rsid w:val="00707E59"/>
    <w:rsid w:val="00710051"/>
    <w:rsid w:val="0071028C"/>
    <w:rsid w:val="007102A9"/>
    <w:rsid w:val="007102C2"/>
    <w:rsid w:val="00710375"/>
    <w:rsid w:val="007103BC"/>
    <w:rsid w:val="00710454"/>
    <w:rsid w:val="007104A8"/>
    <w:rsid w:val="007104BD"/>
    <w:rsid w:val="0071056E"/>
    <w:rsid w:val="0071062E"/>
    <w:rsid w:val="00710ACD"/>
    <w:rsid w:val="00710B6D"/>
    <w:rsid w:val="00710B81"/>
    <w:rsid w:val="00710C20"/>
    <w:rsid w:val="00710C79"/>
    <w:rsid w:val="00710CAB"/>
    <w:rsid w:val="00710D2F"/>
    <w:rsid w:val="00710D55"/>
    <w:rsid w:val="00710D82"/>
    <w:rsid w:val="00710DF3"/>
    <w:rsid w:val="00710E6D"/>
    <w:rsid w:val="00710E89"/>
    <w:rsid w:val="00710F73"/>
    <w:rsid w:val="00711536"/>
    <w:rsid w:val="0071156C"/>
    <w:rsid w:val="0071169A"/>
    <w:rsid w:val="007117B1"/>
    <w:rsid w:val="007117FD"/>
    <w:rsid w:val="00711BD6"/>
    <w:rsid w:val="00711D59"/>
    <w:rsid w:val="00711EFF"/>
    <w:rsid w:val="00711F2F"/>
    <w:rsid w:val="0071200B"/>
    <w:rsid w:val="00712066"/>
    <w:rsid w:val="007120BB"/>
    <w:rsid w:val="00712161"/>
    <w:rsid w:val="0071230F"/>
    <w:rsid w:val="007124B4"/>
    <w:rsid w:val="007124D3"/>
    <w:rsid w:val="00712545"/>
    <w:rsid w:val="00712558"/>
    <w:rsid w:val="007126CC"/>
    <w:rsid w:val="007126D4"/>
    <w:rsid w:val="00712769"/>
    <w:rsid w:val="00712812"/>
    <w:rsid w:val="007128E8"/>
    <w:rsid w:val="0071290E"/>
    <w:rsid w:val="00712922"/>
    <w:rsid w:val="00712978"/>
    <w:rsid w:val="007129CC"/>
    <w:rsid w:val="00712D87"/>
    <w:rsid w:val="00712F85"/>
    <w:rsid w:val="00712FC3"/>
    <w:rsid w:val="00713074"/>
    <w:rsid w:val="007132B5"/>
    <w:rsid w:val="007135A9"/>
    <w:rsid w:val="0071374E"/>
    <w:rsid w:val="00713826"/>
    <w:rsid w:val="00713A11"/>
    <w:rsid w:val="00713AF5"/>
    <w:rsid w:val="00713B00"/>
    <w:rsid w:val="00713B1A"/>
    <w:rsid w:val="00713B27"/>
    <w:rsid w:val="00713E4D"/>
    <w:rsid w:val="00713F88"/>
    <w:rsid w:val="00714126"/>
    <w:rsid w:val="00714280"/>
    <w:rsid w:val="00714374"/>
    <w:rsid w:val="0071438E"/>
    <w:rsid w:val="00714409"/>
    <w:rsid w:val="0071451A"/>
    <w:rsid w:val="007145EB"/>
    <w:rsid w:val="0071487E"/>
    <w:rsid w:val="007148C4"/>
    <w:rsid w:val="007148EA"/>
    <w:rsid w:val="00714A47"/>
    <w:rsid w:val="00714B77"/>
    <w:rsid w:val="00714C3F"/>
    <w:rsid w:val="00714F29"/>
    <w:rsid w:val="00714F62"/>
    <w:rsid w:val="0071513A"/>
    <w:rsid w:val="00715233"/>
    <w:rsid w:val="00715241"/>
    <w:rsid w:val="00715278"/>
    <w:rsid w:val="007153A4"/>
    <w:rsid w:val="0071548E"/>
    <w:rsid w:val="007154C9"/>
    <w:rsid w:val="00715685"/>
    <w:rsid w:val="0071569E"/>
    <w:rsid w:val="0071581C"/>
    <w:rsid w:val="00715B0A"/>
    <w:rsid w:val="00715B1E"/>
    <w:rsid w:val="00715BFA"/>
    <w:rsid w:val="00715C00"/>
    <w:rsid w:val="00715CB1"/>
    <w:rsid w:val="00715DA4"/>
    <w:rsid w:val="00715DE1"/>
    <w:rsid w:val="00715E62"/>
    <w:rsid w:val="00715E91"/>
    <w:rsid w:val="00715F9F"/>
    <w:rsid w:val="0071604F"/>
    <w:rsid w:val="00716065"/>
    <w:rsid w:val="0071620E"/>
    <w:rsid w:val="00716333"/>
    <w:rsid w:val="007163C4"/>
    <w:rsid w:val="007164F1"/>
    <w:rsid w:val="0071656B"/>
    <w:rsid w:val="00716586"/>
    <w:rsid w:val="00716677"/>
    <w:rsid w:val="00716694"/>
    <w:rsid w:val="0071671D"/>
    <w:rsid w:val="00716733"/>
    <w:rsid w:val="00716816"/>
    <w:rsid w:val="00716824"/>
    <w:rsid w:val="007169D1"/>
    <w:rsid w:val="00716C37"/>
    <w:rsid w:val="00716D1C"/>
    <w:rsid w:val="00716D72"/>
    <w:rsid w:val="00716E2C"/>
    <w:rsid w:val="00716EEF"/>
    <w:rsid w:val="00716F20"/>
    <w:rsid w:val="007170B2"/>
    <w:rsid w:val="0071715A"/>
    <w:rsid w:val="007171CA"/>
    <w:rsid w:val="007172DF"/>
    <w:rsid w:val="00717313"/>
    <w:rsid w:val="0071735B"/>
    <w:rsid w:val="007173A5"/>
    <w:rsid w:val="007174BB"/>
    <w:rsid w:val="007174EA"/>
    <w:rsid w:val="00717530"/>
    <w:rsid w:val="007175C2"/>
    <w:rsid w:val="00717769"/>
    <w:rsid w:val="00717797"/>
    <w:rsid w:val="00717836"/>
    <w:rsid w:val="0071788E"/>
    <w:rsid w:val="00717A0F"/>
    <w:rsid w:val="00717AA5"/>
    <w:rsid w:val="00717BFD"/>
    <w:rsid w:val="00717D9B"/>
    <w:rsid w:val="00717F36"/>
    <w:rsid w:val="00717F5A"/>
    <w:rsid w:val="00717F5E"/>
    <w:rsid w:val="0072001B"/>
    <w:rsid w:val="00720102"/>
    <w:rsid w:val="00720120"/>
    <w:rsid w:val="00720123"/>
    <w:rsid w:val="007201DB"/>
    <w:rsid w:val="007201FD"/>
    <w:rsid w:val="007205EE"/>
    <w:rsid w:val="007206E8"/>
    <w:rsid w:val="00720765"/>
    <w:rsid w:val="0072094B"/>
    <w:rsid w:val="00720AEB"/>
    <w:rsid w:val="00720CE2"/>
    <w:rsid w:val="00720D41"/>
    <w:rsid w:val="00720E16"/>
    <w:rsid w:val="00720E39"/>
    <w:rsid w:val="00720F50"/>
    <w:rsid w:val="00720F54"/>
    <w:rsid w:val="007210E4"/>
    <w:rsid w:val="00721123"/>
    <w:rsid w:val="00721150"/>
    <w:rsid w:val="00721210"/>
    <w:rsid w:val="00721224"/>
    <w:rsid w:val="0072123A"/>
    <w:rsid w:val="007212AF"/>
    <w:rsid w:val="007212B2"/>
    <w:rsid w:val="00721439"/>
    <w:rsid w:val="00721643"/>
    <w:rsid w:val="00721A3C"/>
    <w:rsid w:val="00721B99"/>
    <w:rsid w:val="00721D34"/>
    <w:rsid w:val="00722020"/>
    <w:rsid w:val="007220A9"/>
    <w:rsid w:val="00722194"/>
    <w:rsid w:val="00722418"/>
    <w:rsid w:val="0072246B"/>
    <w:rsid w:val="007224AA"/>
    <w:rsid w:val="007225BE"/>
    <w:rsid w:val="007225F1"/>
    <w:rsid w:val="007227DF"/>
    <w:rsid w:val="007227F9"/>
    <w:rsid w:val="007228D2"/>
    <w:rsid w:val="00722C50"/>
    <w:rsid w:val="00722D54"/>
    <w:rsid w:val="00722E04"/>
    <w:rsid w:val="00722E6E"/>
    <w:rsid w:val="00722E99"/>
    <w:rsid w:val="00722F10"/>
    <w:rsid w:val="00722F21"/>
    <w:rsid w:val="00722FDF"/>
    <w:rsid w:val="0072322A"/>
    <w:rsid w:val="0072332E"/>
    <w:rsid w:val="00723353"/>
    <w:rsid w:val="0072352B"/>
    <w:rsid w:val="00723553"/>
    <w:rsid w:val="007235D2"/>
    <w:rsid w:val="007235EE"/>
    <w:rsid w:val="0072364C"/>
    <w:rsid w:val="00723672"/>
    <w:rsid w:val="007236E5"/>
    <w:rsid w:val="007237BB"/>
    <w:rsid w:val="007237EC"/>
    <w:rsid w:val="0072386C"/>
    <w:rsid w:val="00723891"/>
    <w:rsid w:val="00723934"/>
    <w:rsid w:val="00723955"/>
    <w:rsid w:val="007239A2"/>
    <w:rsid w:val="00723A51"/>
    <w:rsid w:val="00723A69"/>
    <w:rsid w:val="00723CEF"/>
    <w:rsid w:val="00723D7D"/>
    <w:rsid w:val="00723D97"/>
    <w:rsid w:val="00723E2D"/>
    <w:rsid w:val="00723EC7"/>
    <w:rsid w:val="00724046"/>
    <w:rsid w:val="007241FF"/>
    <w:rsid w:val="0072438C"/>
    <w:rsid w:val="007244CD"/>
    <w:rsid w:val="007245A8"/>
    <w:rsid w:val="0072477D"/>
    <w:rsid w:val="00724793"/>
    <w:rsid w:val="007249A8"/>
    <w:rsid w:val="00724A34"/>
    <w:rsid w:val="00724AFF"/>
    <w:rsid w:val="00724BCA"/>
    <w:rsid w:val="00724BF4"/>
    <w:rsid w:val="00724D8E"/>
    <w:rsid w:val="00724EE0"/>
    <w:rsid w:val="00724F0E"/>
    <w:rsid w:val="00725013"/>
    <w:rsid w:val="00725015"/>
    <w:rsid w:val="00725031"/>
    <w:rsid w:val="007252C9"/>
    <w:rsid w:val="0072536F"/>
    <w:rsid w:val="00725384"/>
    <w:rsid w:val="007253AE"/>
    <w:rsid w:val="007254D1"/>
    <w:rsid w:val="007255DE"/>
    <w:rsid w:val="0072566F"/>
    <w:rsid w:val="007256F3"/>
    <w:rsid w:val="007257EA"/>
    <w:rsid w:val="00725AAC"/>
    <w:rsid w:val="00725B60"/>
    <w:rsid w:val="00725CB6"/>
    <w:rsid w:val="00725DF8"/>
    <w:rsid w:val="00725E6A"/>
    <w:rsid w:val="00726046"/>
    <w:rsid w:val="0072624D"/>
    <w:rsid w:val="0072631C"/>
    <w:rsid w:val="007263FE"/>
    <w:rsid w:val="0072661B"/>
    <w:rsid w:val="0072671C"/>
    <w:rsid w:val="00726795"/>
    <w:rsid w:val="007267CD"/>
    <w:rsid w:val="0072681B"/>
    <w:rsid w:val="007269A4"/>
    <w:rsid w:val="007269DD"/>
    <w:rsid w:val="00726A3C"/>
    <w:rsid w:val="00726B31"/>
    <w:rsid w:val="00726C17"/>
    <w:rsid w:val="00726CC0"/>
    <w:rsid w:val="00726F47"/>
    <w:rsid w:val="007270BF"/>
    <w:rsid w:val="00727135"/>
    <w:rsid w:val="00727175"/>
    <w:rsid w:val="007271B6"/>
    <w:rsid w:val="00727297"/>
    <w:rsid w:val="007272AB"/>
    <w:rsid w:val="00727565"/>
    <w:rsid w:val="00727644"/>
    <w:rsid w:val="0072764D"/>
    <w:rsid w:val="00727704"/>
    <w:rsid w:val="00727737"/>
    <w:rsid w:val="0072780A"/>
    <w:rsid w:val="00727829"/>
    <w:rsid w:val="00727899"/>
    <w:rsid w:val="00727948"/>
    <w:rsid w:val="00727993"/>
    <w:rsid w:val="00727ABD"/>
    <w:rsid w:val="00727B6A"/>
    <w:rsid w:val="00727D48"/>
    <w:rsid w:val="00727FCB"/>
    <w:rsid w:val="00727FF6"/>
    <w:rsid w:val="0073000B"/>
    <w:rsid w:val="00730056"/>
    <w:rsid w:val="007300A5"/>
    <w:rsid w:val="007300E3"/>
    <w:rsid w:val="00730138"/>
    <w:rsid w:val="00730164"/>
    <w:rsid w:val="007302E1"/>
    <w:rsid w:val="0073031F"/>
    <w:rsid w:val="0073037C"/>
    <w:rsid w:val="007303D5"/>
    <w:rsid w:val="007303DB"/>
    <w:rsid w:val="0073053D"/>
    <w:rsid w:val="0073056B"/>
    <w:rsid w:val="007305E9"/>
    <w:rsid w:val="007308D0"/>
    <w:rsid w:val="007308EC"/>
    <w:rsid w:val="00730A1B"/>
    <w:rsid w:val="00730B88"/>
    <w:rsid w:val="00730BD5"/>
    <w:rsid w:val="00730D5D"/>
    <w:rsid w:val="00730E85"/>
    <w:rsid w:val="00731348"/>
    <w:rsid w:val="00731399"/>
    <w:rsid w:val="0073159D"/>
    <w:rsid w:val="0073178D"/>
    <w:rsid w:val="007317E6"/>
    <w:rsid w:val="00731858"/>
    <w:rsid w:val="00731A35"/>
    <w:rsid w:val="00731A76"/>
    <w:rsid w:val="00731A9C"/>
    <w:rsid w:val="00731C0F"/>
    <w:rsid w:val="00731C30"/>
    <w:rsid w:val="00731E51"/>
    <w:rsid w:val="0073204A"/>
    <w:rsid w:val="0073216E"/>
    <w:rsid w:val="007321C3"/>
    <w:rsid w:val="007322FB"/>
    <w:rsid w:val="007323E0"/>
    <w:rsid w:val="00732419"/>
    <w:rsid w:val="0073246A"/>
    <w:rsid w:val="00732487"/>
    <w:rsid w:val="007325B8"/>
    <w:rsid w:val="007326BE"/>
    <w:rsid w:val="0073271C"/>
    <w:rsid w:val="00732830"/>
    <w:rsid w:val="00732838"/>
    <w:rsid w:val="00732898"/>
    <w:rsid w:val="00732D9E"/>
    <w:rsid w:val="00732DC3"/>
    <w:rsid w:val="00732E23"/>
    <w:rsid w:val="00732F11"/>
    <w:rsid w:val="00732F4B"/>
    <w:rsid w:val="00732FA2"/>
    <w:rsid w:val="0073306A"/>
    <w:rsid w:val="00733099"/>
    <w:rsid w:val="007330EC"/>
    <w:rsid w:val="007331B1"/>
    <w:rsid w:val="007332BF"/>
    <w:rsid w:val="00733359"/>
    <w:rsid w:val="007335B4"/>
    <w:rsid w:val="007336B7"/>
    <w:rsid w:val="0073379C"/>
    <w:rsid w:val="0073386A"/>
    <w:rsid w:val="0073388A"/>
    <w:rsid w:val="00733940"/>
    <w:rsid w:val="007339ED"/>
    <w:rsid w:val="00733AE4"/>
    <w:rsid w:val="00733C45"/>
    <w:rsid w:val="00733C48"/>
    <w:rsid w:val="00733E1F"/>
    <w:rsid w:val="00733E90"/>
    <w:rsid w:val="00733FE0"/>
    <w:rsid w:val="0073403B"/>
    <w:rsid w:val="007340CD"/>
    <w:rsid w:val="007343A9"/>
    <w:rsid w:val="007343B1"/>
    <w:rsid w:val="00734429"/>
    <w:rsid w:val="007344D2"/>
    <w:rsid w:val="007346D1"/>
    <w:rsid w:val="00734878"/>
    <w:rsid w:val="007348BC"/>
    <w:rsid w:val="00734904"/>
    <w:rsid w:val="00734B13"/>
    <w:rsid w:val="00734C40"/>
    <w:rsid w:val="00734DC3"/>
    <w:rsid w:val="00734DD2"/>
    <w:rsid w:val="00734E8A"/>
    <w:rsid w:val="00734F18"/>
    <w:rsid w:val="00734F55"/>
    <w:rsid w:val="00734FAB"/>
    <w:rsid w:val="00734FAE"/>
    <w:rsid w:val="00734FE6"/>
    <w:rsid w:val="007350FD"/>
    <w:rsid w:val="0073517A"/>
    <w:rsid w:val="0073519E"/>
    <w:rsid w:val="00735310"/>
    <w:rsid w:val="00735380"/>
    <w:rsid w:val="007353A5"/>
    <w:rsid w:val="007354AD"/>
    <w:rsid w:val="007355CC"/>
    <w:rsid w:val="0073561A"/>
    <w:rsid w:val="00735748"/>
    <w:rsid w:val="007358D7"/>
    <w:rsid w:val="00735A30"/>
    <w:rsid w:val="00735A47"/>
    <w:rsid w:val="00735BB5"/>
    <w:rsid w:val="00735BCD"/>
    <w:rsid w:val="00735CAE"/>
    <w:rsid w:val="00735CBD"/>
    <w:rsid w:val="00735D1C"/>
    <w:rsid w:val="00735D63"/>
    <w:rsid w:val="00735DD8"/>
    <w:rsid w:val="007361E2"/>
    <w:rsid w:val="0073636E"/>
    <w:rsid w:val="00736409"/>
    <w:rsid w:val="00736412"/>
    <w:rsid w:val="0073644F"/>
    <w:rsid w:val="00736494"/>
    <w:rsid w:val="0073654D"/>
    <w:rsid w:val="007365F0"/>
    <w:rsid w:val="0073662E"/>
    <w:rsid w:val="007366E5"/>
    <w:rsid w:val="00736752"/>
    <w:rsid w:val="00736885"/>
    <w:rsid w:val="0073693D"/>
    <w:rsid w:val="00736949"/>
    <w:rsid w:val="00736B4B"/>
    <w:rsid w:val="00736CF5"/>
    <w:rsid w:val="00736E44"/>
    <w:rsid w:val="00736EF0"/>
    <w:rsid w:val="00736FB3"/>
    <w:rsid w:val="00736FDA"/>
    <w:rsid w:val="00737023"/>
    <w:rsid w:val="007370AB"/>
    <w:rsid w:val="0073710C"/>
    <w:rsid w:val="0073734A"/>
    <w:rsid w:val="00737417"/>
    <w:rsid w:val="007374ED"/>
    <w:rsid w:val="00737674"/>
    <w:rsid w:val="007376BB"/>
    <w:rsid w:val="007377F9"/>
    <w:rsid w:val="00737862"/>
    <w:rsid w:val="007378AC"/>
    <w:rsid w:val="007378ED"/>
    <w:rsid w:val="00737BA4"/>
    <w:rsid w:val="00737BBC"/>
    <w:rsid w:val="00737BDB"/>
    <w:rsid w:val="00737C83"/>
    <w:rsid w:val="00737CBD"/>
    <w:rsid w:val="00737D4D"/>
    <w:rsid w:val="00737DC5"/>
    <w:rsid w:val="00737EDF"/>
    <w:rsid w:val="00740183"/>
    <w:rsid w:val="0074054F"/>
    <w:rsid w:val="0074058A"/>
    <w:rsid w:val="007405C4"/>
    <w:rsid w:val="00740627"/>
    <w:rsid w:val="0074064D"/>
    <w:rsid w:val="0074076B"/>
    <w:rsid w:val="0074079B"/>
    <w:rsid w:val="00740835"/>
    <w:rsid w:val="00740917"/>
    <w:rsid w:val="00740A38"/>
    <w:rsid w:val="00740A5C"/>
    <w:rsid w:val="00740BA8"/>
    <w:rsid w:val="00740C4F"/>
    <w:rsid w:val="00740D16"/>
    <w:rsid w:val="00740EA0"/>
    <w:rsid w:val="00740F67"/>
    <w:rsid w:val="007411B7"/>
    <w:rsid w:val="007411CC"/>
    <w:rsid w:val="00741206"/>
    <w:rsid w:val="007413F4"/>
    <w:rsid w:val="007414AC"/>
    <w:rsid w:val="00741819"/>
    <w:rsid w:val="007418EF"/>
    <w:rsid w:val="00741983"/>
    <w:rsid w:val="007419FA"/>
    <w:rsid w:val="00741A85"/>
    <w:rsid w:val="00741B88"/>
    <w:rsid w:val="00741CF9"/>
    <w:rsid w:val="00741D7B"/>
    <w:rsid w:val="00741F23"/>
    <w:rsid w:val="0074228A"/>
    <w:rsid w:val="00742423"/>
    <w:rsid w:val="007425B2"/>
    <w:rsid w:val="0074274E"/>
    <w:rsid w:val="0074282F"/>
    <w:rsid w:val="00742B10"/>
    <w:rsid w:val="00742B75"/>
    <w:rsid w:val="00742C1B"/>
    <w:rsid w:val="00742C27"/>
    <w:rsid w:val="00742C31"/>
    <w:rsid w:val="00742C45"/>
    <w:rsid w:val="00742C62"/>
    <w:rsid w:val="00742CAA"/>
    <w:rsid w:val="00742E79"/>
    <w:rsid w:val="00742EB5"/>
    <w:rsid w:val="0074301C"/>
    <w:rsid w:val="007431F4"/>
    <w:rsid w:val="00743297"/>
    <w:rsid w:val="007432F3"/>
    <w:rsid w:val="007432F6"/>
    <w:rsid w:val="00743342"/>
    <w:rsid w:val="007434BE"/>
    <w:rsid w:val="0074360C"/>
    <w:rsid w:val="00743695"/>
    <w:rsid w:val="007436E0"/>
    <w:rsid w:val="00743B6F"/>
    <w:rsid w:val="00743CC7"/>
    <w:rsid w:val="00743D96"/>
    <w:rsid w:val="00743E38"/>
    <w:rsid w:val="00743F41"/>
    <w:rsid w:val="007440F8"/>
    <w:rsid w:val="00744110"/>
    <w:rsid w:val="0074413A"/>
    <w:rsid w:val="007443BD"/>
    <w:rsid w:val="00744448"/>
    <w:rsid w:val="0074444D"/>
    <w:rsid w:val="0074451C"/>
    <w:rsid w:val="0074455B"/>
    <w:rsid w:val="0074471B"/>
    <w:rsid w:val="00744812"/>
    <w:rsid w:val="0074486F"/>
    <w:rsid w:val="0074496E"/>
    <w:rsid w:val="00744AFE"/>
    <w:rsid w:val="00744DFC"/>
    <w:rsid w:val="00744E07"/>
    <w:rsid w:val="00744E6A"/>
    <w:rsid w:val="00744FD4"/>
    <w:rsid w:val="00745025"/>
    <w:rsid w:val="007450F3"/>
    <w:rsid w:val="00745116"/>
    <w:rsid w:val="00745159"/>
    <w:rsid w:val="00745335"/>
    <w:rsid w:val="0074536C"/>
    <w:rsid w:val="007453AD"/>
    <w:rsid w:val="00745456"/>
    <w:rsid w:val="007454ED"/>
    <w:rsid w:val="00745808"/>
    <w:rsid w:val="00745946"/>
    <w:rsid w:val="007459FD"/>
    <w:rsid w:val="00745A83"/>
    <w:rsid w:val="00745ADE"/>
    <w:rsid w:val="00745AE6"/>
    <w:rsid w:val="00745BC0"/>
    <w:rsid w:val="00745BD0"/>
    <w:rsid w:val="00745C16"/>
    <w:rsid w:val="00745CDF"/>
    <w:rsid w:val="00745E9B"/>
    <w:rsid w:val="00745FE8"/>
    <w:rsid w:val="007460A5"/>
    <w:rsid w:val="0074611E"/>
    <w:rsid w:val="007462BF"/>
    <w:rsid w:val="007462F5"/>
    <w:rsid w:val="00746391"/>
    <w:rsid w:val="0074643B"/>
    <w:rsid w:val="007465BC"/>
    <w:rsid w:val="00746905"/>
    <w:rsid w:val="00746907"/>
    <w:rsid w:val="007469BD"/>
    <w:rsid w:val="00746A61"/>
    <w:rsid w:val="00746AFF"/>
    <w:rsid w:val="00746B35"/>
    <w:rsid w:val="00746D00"/>
    <w:rsid w:val="00746D2E"/>
    <w:rsid w:val="00746E91"/>
    <w:rsid w:val="00746FB5"/>
    <w:rsid w:val="007471AC"/>
    <w:rsid w:val="00747390"/>
    <w:rsid w:val="007474FB"/>
    <w:rsid w:val="007474FF"/>
    <w:rsid w:val="007475F0"/>
    <w:rsid w:val="00747737"/>
    <w:rsid w:val="00747993"/>
    <w:rsid w:val="007479C8"/>
    <w:rsid w:val="00747A0D"/>
    <w:rsid w:val="00747A52"/>
    <w:rsid w:val="00747A82"/>
    <w:rsid w:val="00747B6B"/>
    <w:rsid w:val="00747B6C"/>
    <w:rsid w:val="00747CC0"/>
    <w:rsid w:val="00747D65"/>
    <w:rsid w:val="00747EE4"/>
    <w:rsid w:val="00747F0E"/>
    <w:rsid w:val="007501E3"/>
    <w:rsid w:val="00750379"/>
    <w:rsid w:val="007504DC"/>
    <w:rsid w:val="0075050A"/>
    <w:rsid w:val="0075090A"/>
    <w:rsid w:val="00750E56"/>
    <w:rsid w:val="00750FC9"/>
    <w:rsid w:val="00751180"/>
    <w:rsid w:val="0075118B"/>
    <w:rsid w:val="0075118D"/>
    <w:rsid w:val="0075122D"/>
    <w:rsid w:val="007512ED"/>
    <w:rsid w:val="007513DF"/>
    <w:rsid w:val="00751503"/>
    <w:rsid w:val="007515A4"/>
    <w:rsid w:val="007515EB"/>
    <w:rsid w:val="00751706"/>
    <w:rsid w:val="00751738"/>
    <w:rsid w:val="0075195E"/>
    <w:rsid w:val="0075199D"/>
    <w:rsid w:val="00751A7F"/>
    <w:rsid w:val="00751AFE"/>
    <w:rsid w:val="00751B1D"/>
    <w:rsid w:val="00751C4A"/>
    <w:rsid w:val="00751D6F"/>
    <w:rsid w:val="00751E74"/>
    <w:rsid w:val="00751E8E"/>
    <w:rsid w:val="00752012"/>
    <w:rsid w:val="00752298"/>
    <w:rsid w:val="007523DF"/>
    <w:rsid w:val="0075242F"/>
    <w:rsid w:val="007524A5"/>
    <w:rsid w:val="007524B8"/>
    <w:rsid w:val="007525F0"/>
    <w:rsid w:val="00752610"/>
    <w:rsid w:val="007526AD"/>
    <w:rsid w:val="00752752"/>
    <w:rsid w:val="00752849"/>
    <w:rsid w:val="00752926"/>
    <w:rsid w:val="00752941"/>
    <w:rsid w:val="00752A6E"/>
    <w:rsid w:val="00752BC8"/>
    <w:rsid w:val="00752D22"/>
    <w:rsid w:val="00752D5E"/>
    <w:rsid w:val="00752DBA"/>
    <w:rsid w:val="00752DE4"/>
    <w:rsid w:val="00752E14"/>
    <w:rsid w:val="0075309A"/>
    <w:rsid w:val="0075311F"/>
    <w:rsid w:val="0075325A"/>
    <w:rsid w:val="0075337C"/>
    <w:rsid w:val="00753754"/>
    <w:rsid w:val="00753993"/>
    <w:rsid w:val="007539FF"/>
    <w:rsid w:val="00753A5B"/>
    <w:rsid w:val="00753BA8"/>
    <w:rsid w:val="00753BED"/>
    <w:rsid w:val="00753DA6"/>
    <w:rsid w:val="00753F60"/>
    <w:rsid w:val="00754069"/>
    <w:rsid w:val="007540A4"/>
    <w:rsid w:val="00754104"/>
    <w:rsid w:val="00754244"/>
    <w:rsid w:val="00754510"/>
    <w:rsid w:val="00754642"/>
    <w:rsid w:val="007546F8"/>
    <w:rsid w:val="00754857"/>
    <w:rsid w:val="007548D1"/>
    <w:rsid w:val="007549B4"/>
    <w:rsid w:val="00754A7F"/>
    <w:rsid w:val="00754B31"/>
    <w:rsid w:val="00754C9C"/>
    <w:rsid w:val="00754F8F"/>
    <w:rsid w:val="00754F91"/>
    <w:rsid w:val="00755193"/>
    <w:rsid w:val="00755347"/>
    <w:rsid w:val="007554EC"/>
    <w:rsid w:val="007557D6"/>
    <w:rsid w:val="00755835"/>
    <w:rsid w:val="00755838"/>
    <w:rsid w:val="00755950"/>
    <w:rsid w:val="00755A0A"/>
    <w:rsid w:val="00755A65"/>
    <w:rsid w:val="00755C15"/>
    <w:rsid w:val="00755C67"/>
    <w:rsid w:val="00755E55"/>
    <w:rsid w:val="00755F44"/>
    <w:rsid w:val="00755FF3"/>
    <w:rsid w:val="00756024"/>
    <w:rsid w:val="00756155"/>
    <w:rsid w:val="0075641C"/>
    <w:rsid w:val="007564F4"/>
    <w:rsid w:val="0075653E"/>
    <w:rsid w:val="007565A1"/>
    <w:rsid w:val="007565CB"/>
    <w:rsid w:val="00756650"/>
    <w:rsid w:val="007566D0"/>
    <w:rsid w:val="0075671E"/>
    <w:rsid w:val="00756855"/>
    <w:rsid w:val="00756D07"/>
    <w:rsid w:val="00756D4A"/>
    <w:rsid w:val="00756DB4"/>
    <w:rsid w:val="00756EF9"/>
    <w:rsid w:val="00756FD6"/>
    <w:rsid w:val="0075705A"/>
    <w:rsid w:val="007570D6"/>
    <w:rsid w:val="007572F8"/>
    <w:rsid w:val="00757463"/>
    <w:rsid w:val="0075752D"/>
    <w:rsid w:val="00757679"/>
    <w:rsid w:val="007577E6"/>
    <w:rsid w:val="00757887"/>
    <w:rsid w:val="00757AA2"/>
    <w:rsid w:val="00757DAE"/>
    <w:rsid w:val="00757E56"/>
    <w:rsid w:val="00757FE4"/>
    <w:rsid w:val="0075D2E5"/>
    <w:rsid w:val="0076046F"/>
    <w:rsid w:val="007604B5"/>
    <w:rsid w:val="0076064A"/>
    <w:rsid w:val="00760761"/>
    <w:rsid w:val="0076086E"/>
    <w:rsid w:val="00760AB7"/>
    <w:rsid w:val="00760AC5"/>
    <w:rsid w:val="00760BC1"/>
    <w:rsid w:val="00760D43"/>
    <w:rsid w:val="00760D82"/>
    <w:rsid w:val="00760E0C"/>
    <w:rsid w:val="00760E3C"/>
    <w:rsid w:val="00761281"/>
    <w:rsid w:val="007612C5"/>
    <w:rsid w:val="007613C0"/>
    <w:rsid w:val="00761526"/>
    <w:rsid w:val="00761640"/>
    <w:rsid w:val="00761D0B"/>
    <w:rsid w:val="00761F36"/>
    <w:rsid w:val="00761FE2"/>
    <w:rsid w:val="00762275"/>
    <w:rsid w:val="007623D3"/>
    <w:rsid w:val="0076240A"/>
    <w:rsid w:val="00762461"/>
    <w:rsid w:val="007624BD"/>
    <w:rsid w:val="007624E9"/>
    <w:rsid w:val="007625CF"/>
    <w:rsid w:val="007626EB"/>
    <w:rsid w:val="0076274E"/>
    <w:rsid w:val="00762771"/>
    <w:rsid w:val="00762B3B"/>
    <w:rsid w:val="00762B40"/>
    <w:rsid w:val="00762E81"/>
    <w:rsid w:val="00762E88"/>
    <w:rsid w:val="007630D2"/>
    <w:rsid w:val="007633F9"/>
    <w:rsid w:val="0076345C"/>
    <w:rsid w:val="007636A5"/>
    <w:rsid w:val="00763780"/>
    <w:rsid w:val="00763ABC"/>
    <w:rsid w:val="00763D4C"/>
    <w:rsid w:val="00763D66"/>
    <w:rsid w:val="00763E21"/>
    <w:rsid w:val="00763E64"/>
    <w:rsid w:val="00763E6C"/>
    <w:rsid w:val="0076414E"/>
    <w:rsid w:val="00764163"/>
    <w:rsid w:val="007641AE"/>
    <w:rsid w:val="007641EE"/>
    <w:rsid w:val="0076437F"/>
    <w:rsid w:val="007643A2"/>
    <w:rsid w:val="007643B5"/>
    <w:rsid w:val="007644DB"/>
    <w:rsid w:val="007645CD"/>
    <w:rsid w:val="00764927"/>
    <w:rsid w:val="00764932"/>
    <w:rsid w:val="00764A7F"/>
    <w:rsid w:val="00764B21"/>
    <w:rsid w:val="00764B60"/>
    <w:rsid w:val="00764BCF"/>
    <w:rsid w:val="0076509C"/>
    <w:rsid w:val="00765113"/>
    <w:rsid w:val="00765203"/>
    <w:rsid w:val="007653CE"/>
    <w:rsid w:val="0076566F"/>
    <w:rsid w:val="0076567A"/>
    <w:rsid w:val="007656E7"/>
    <w:rsid w:val="0076572E"/>
    <w:rsid w:val="007658DD"/>
    <w:rsid w:val="00765945"/>
    <w:rsid w:val="00765969"/>
    <w:rsid w:val="00765975"/>
    <w:rsid w:val="007659BB"/>
    <w:rsid w:val="007659F1"/>
    <w:rsid w:val="00765AA4"/>
    <w:rsid w:val="00765BDE"/>
    <w:rsid w:val="00765CEC"/>
    <w:rsid w:val="00765D77"/>
    <w:rsid w:val="00765D97"/>
    <w:rsid w:val="00765E0C"/>
    <w:rsid w:val="00765E2A"/>
    <w:rsid w:val="00765EA6"/>
    <w:rsid w:val="00765FA3"/>
    <w:rsid w:val="00766077"/>
    <w:rsid w:val="00766121"/>
    <w:rsid w:val="00766203"/>
    <w:rsid w:val="00766204"/>
    <w:rsid w:val="0076639F"/>
    <w:rsid w:val="007663AA"/>
    <w:rsid w:val="00766476"/>
    <w:rsid w:val="007664D0"/>
    <w:rsid w:val="007665C1"/>
    <w:rsid w:val="0076663A"/>
    <w:rsid w:val="0076663F"/>
    <w:rsid w:val="007669B1"/>
    <w:rsid w:val="00766CFF"/>
    <w:rsid w:val="00766D4F"/>
    <w:rsid w:val="00766EF8"/>
    <w:rsid w:val="00766F8D"/>
    <w:rsid w:val="00766FD4"/>
    <w:rsid w:val="00767096"/>
    <w:rsid w:val="00767184"/>
    <w:rsid w:val="00767320"/>
    <w:rsid w:val="00767403"/>
    <w:rsid w:val="00767447"/>
    <w:rsid w:val="007676EA"/>
    <w:rsid w:val="00767A0C"/>
    <w:rsid w:val="00767B0E"/>
    <w:rsid w:val="00767B7D"/>
    <w:rsid w:val="00767D5C"/>
    <w:rsid w:val="00767D71"/>
    <w:rsid w:val="00767EEF"/>
    <w:rsid w:val="0076BD39"/>
    <w:rsid w:val="00770146"/>
    <w:rsid w:val="007704AA"/>
    <w:rsid w:val="00770502"/>
    <w:rsid w:val="00770553"/>
    <w:rsid w:val="00770640"/>
    <w:rsid w:val="0077074F"/>
    <w:rsid w:val="0077078A"/>
    <w:rsid w:val="0077089A"/>
    <w:rsid w:val="0077097A"/>
    <w:rsid w:val="00770AAD"/>
    <w:rsid w:val="00770AE5"/>
    <w:rsid w:val="00770AFB"/>
    <w:rsid w:val="00770C24"/>
    <w:rsid w:val="00770CC0"/>
    <w:rsid w:val="00770E4E"/>
    <w:rsid w:val="00770E83"/>
    <w:rsid w:val="00770EF4"/>
    <w:rsid w:val="00770F33"/>
    <w:rsid w:val="0077112E"/>
    <w:rsid w:val="007712E6"/>
    <w:rsid w:val="00771358"/>
    <w:rsid w:val="007713A5"/>
    <w:rsid w:val="0077175F"/>
    <w:rsid w:val="00771816"/>
    <w:rsid w:val="007718DF"/>
    <w:rsid w:val="0077195F"/>
    <w:rsid w:val="007719BF"/>
    <w:rsid w:val="00771B7F"/>
    <w:rsid w:val="00771B8F"/>
    <w:rsid w:val="00771C30"/>
    <w:rsid w:val="00771E61"/>
    <w:rsid w:val="00771F2F"/>
    <w:rsid w:val="00771F51"/>
    <w:rsid w:val="00772046"/>
    <w:rsid w:val="00772342"/>
    <w:rsid w:val="00772593"/>
    <w:rsid w:val="00772692"/>
    <w:rsid w:val="007726CB"/>
    <w:rsid w:val="0077278C"/>
    <w:rsid w:val="007727E1"/>
    <w:rsid w:val="0077285C"/>
    <w:rsid w:val="00772880"/>
    <w:rsid w:val="00772A47"/>
    <w:rsid w:val="00772A71"/>
    <w:rsid w:val="00772B51"/>
    <w:rsid w:val="00772B75"/>
    <w:rsid w:val="00772BEB"/>
    <w:rsid w:val="00772C0D"/>
    <w:rsid w:val="00772CE3"/>
    <w:rsid w:val="00772D43"/>
    <w:rsid w:val="00772E0B"/>
    <w:rsid w:val="00772E1C"/>
    <w:rsid w:val="0077310B"/>
    <w:rsid w:val="00773301"/>
    <w:rsid w:val="00773342"/>
    <w:rsid w:val="00773391"/>
    <w:rsid w:val="007733A0"/>
    <w:rsid w:val="007734A6"/>
    <w:rsid w:val="007734B3"/>
    <w:rsid w:val="00773507"/>
    <w:rsid w:val="007737DE"/>
    <w:rsid w:val="007737E0"/>
    <w:rsid w:val="0077381E"/>
    <w:rsid w:val="0077392E"/>
    <w:rsid w:val="00773CC4"/>
    <w:rsid w:val="00773CCD"/>
    <w:rsid w:val="00773D4E"/>
    <w:rsid w:val="00773DAF"/>
    <w:rsid w:val="00773E02"/>
    <w:rsid w:val="00773EEC"/>
    <w:rsid w:val="00773F0F"/>
    <w:rsid w:val="00773F28"/>
    <w:rsid w:val="00773F30"/>
    <w:rsid w:val="00773F68"/>
    <w:rsid w:val="0077418F"/>
    <w:rsid w:val="007741C1"/>
    <w:rsid w:val="007744F0"/>
    <w:rsid w:val="00774509"/>
    <w:rsid w:val="00774576"/>
    <w:rsid w:val="00774591"/>
    <w:rsid w:val="00774675"/>
    <w:rsid w:val="00774733"/>
    <w:rsid w:val="00774790"/>
    <w:rsid w:val="007747AF"/>
    <w:rsid w:val="0077496E"/>
    <w:rsid w:val="00774B1D"/>
    <w:rsid w:val="00774D46"/>
    <w:rsid w:val="00774DB8"/>
    <w:rsid w:val="00774E4D"/>
    <w:rsid w:val="00774EF3"/>
    <w:rsid w:val="007750E6"/>
    <w:rsid w:val="0077513D"/>
    <w:rsid w:val="007752F0"/>
    <w:rsid w:val="007755B0"/>
    <w:rsid w:val="00775605"/>
    <w:rsid w:val="007756AF"/>
    <w:rsid w:val="0077572B"/>
    <w:rsid w:val="00775746"/>
    <w:rsid w:val="0077574E"/>
    <w:rsid w:val="0077576A"/>
    <w:rsid w:val="007757D1"/>
    <w:rsid w:val="0077593C"/>
    <w:rsid w:val="00775954"/>
    <w:rsid w:val="00775965"/>
    <w:rsid w:val="007759CA"/>
    <w:rsid w:val="007759DC"/>
    <w:rsid w:val="00775B81"/>
    <w:rsid w:val="00775BD8"/>
    <w:rsid w:val="00775C2A"/>
    <w:rsid w:val="00775E2E"/>
    <w:rsid w:val="00775F35"/>
    <w:rsid w:val="00775F3A"/>
    <w:rsid w:val="00775F70"/>
    <w:rsid w:val="00775FFA"/>
    <w:rsid w:val="00776043"/>
    <w:rsid w:val="007760FF"/>
    <w:rsid w:val="0077612C"/>
    <w:rsid w:val="00776141"/>
    <w:rsid w:val="007761EC"/>
    <w:rsid w:val="00776248"/>
    <w:rsid w:val="007764CA"/>
    <w:rsid w:val="0077660D"/>
    <w:rsid w:val="00776661"/>
    <w:rsid w:val="007766B1"/>
    <w:rsid w:val="007766C8"/>
    <w:rsid w:val="00776711"/>
    <w:rsid w:val="00776854"/>
    <w:rsid w:val="00776929"/>
    <w:rsid w:val="00776BBF"/>
    <w:rsid w:val="00776C6C"/>
    <w:rsid w:val="00777040"/>
    <w:rsid w:val="00777078"/>
    <w:rsid w:val="007770D7"/>
    <w:rsid w:val="00777267"/>
    <w:rsid w:val="007775AF"/>
    <w:rsid w:val="0077764B"/>
    <w:rsid w:val="00777750"/>
    <w:rsid w:val="007777EB"/>
    <w:rsid w:val="00777823"/>
    <w:rsid w:val="007779D0"/>
    <w:rsid w:val="007779D8"/>
    <w:rsid w:val="00777B36"/>
    <w:rsid w:val="00777BA2"/>
    <w:rsid w:val="00777BE2"/>
    <w:rsid w:val="00777C8C"/>
    <w:rsid w:val="00777E47"/>
    <w:rsid w:val="00777FC9"/>
    <w:rsid w:val="00780069"/>
    <w:rsid w:val="007800BB"/>
    <w:rsid w:val="007801E7"/>
    <w:rsid w:val="0078058E"/>
    <w:rsid w:val="00780668"/>
    <w:rsid w:val="0078079F"/>
    <w:rsid w:val="00780931"/>
    <w:rsid w:val="00780970"/>
    <w:rsid w:val="00780A3C"/>
    <w:rsid w:val="00780AF7"/>
    <w:rsid w:val="00780B3D"/>
    <w:rsid w:val="00780B8B"/>
    <w:rsid w:val="00780C57"/>
    <w:rsid w:val="00780C67"/>
    <w:rsid w:val="00780CAE"/>
    <w:rsid w:val="00780D1D"/>
    <w:rsid w:val="00780F34"/>
    <w:rsid w:val="00780F48"/>
    <w:rsid w:val="00780F58"/>
    <w:rsid w:val="00780FF8"/>
    <w:rsid w:val="0078111C"/>
    <w:rsid w:val="00781263"/>
    <w:rsid w:val="007813C1"/>
    <w:rsid w:val="00781476"/>
    <w:rsid w:val="00781490"/>
    <w:rsid w:val="00781746"/>
    <w:rsid w:val="007817F8"/>
    <w:rsid w:val="007818BF"/>
    <w:rsid w:val="00781908"/>
    <w:rsid w:val="00781A11"/>
    <w:rsid w:val="00781B23"/>
    <w:rsid w:val="00781B8B"/>
    <w:rsid w:val="00781BDC"/>
    <w:rsid w:val="00781CE8"/>
    <w:rsid w:val="00782097"/>
    <w:rsid w:val="0078224E"/>
    <w:rsid w:val="007822FA"/>
    <w:rsid w:val="00782387"/>
    <w:rsid w:val="00782702"/>
    <w:rsid w:val="0078271D"/>
    <w:rsid w:val="00782937"/>
    <w:rsid w:val="00782952"/>
    <w:rsid w:val="00782AB6"/>
    <w:rsid w:val="00782B16"/>
    <w:rsid w:val="00782CDD"/>
    <w:rsid w:val="00782D88"/>
    <w:rsid w:val="00782DD2"/>
    <w:rsid w:val="00782E9D"/>
    <w:rsid w:val="00782EB1"/>
    <w:rsid w:val="00783112"/>
    <w:rsid w:val="0078330F"/>
    <w:rsid w:val="0078345B"/>
    <w:rsid w:val="00783488"/>
    <w:rsid w:val="007834E4"/>
    <w:rsid w:val="00783513"/>
    <w:rsid w:val="007835BC"/>
    <w:rsid w:val="007837A9"/>
    <w:rsid w:val="0078393F"/>
    <w:rsid w:val="00783997"/>
    <w:rsid w:val="00783A02"/>
    <w:rsid w:val="00783A04"/>
    <w:rsid w:val="00783B3C"/>
    <w:rsid w:val="00783BED"/>
    <w:rsid w:val="00783CFB"/>
    <w:rsid w:val="00783D9C"/>
    <w:rsid w:val="00783EB6"/>
    <w:rsid w:val="00783EFC"/>
    <w:rsid w:val="00783F54"/>
    <w:rsid w:val="00783FAC"/>
    <w:rsid w:val="007840B1"/>
    <w:rsid w:val="007841B8"/>
    <w:rsid w:val="00784223"/>
    <w:rsid w:val="00784281"/>
    <w:rsid w:val="007842E4"/>
    <w:rsid w:val="00784338"/>
    <w:rsid w:val="00784536"/>
    <w:rsid w:val="00784607"/>
    <w:rsid w:val="0078495D"/>
    <w:rsid w:val="00784A0C"/>
    <w:rsid w:val="00784A30"/>
    <w:rsid w:val="00784BD9"/>
    <w:rsid w:val="00784BEC"/>
    <w:rsid w:val="00784BF3"/>
    <w:rsid w:val="00784CDD"/>
    <w:rsid w:val="00784D7B"/>
    <w:rsid w:val="00784E9D"/>
    <w:rsid w:val="00785069"/>
    <w:rsid w:val="007851FF"/>
    <w:rsid w:val="00785222"/>
    <w:rsid w:val="0078525D"/>
    <w:rsid w:val="00785292"/>
    <w:rsid w:val="007852BB"/>
    <w:rsid w:val="007853C5"/>
    <w:rsid w:val="00785416"/>
    <w:rsid w:val="0078562A"/>
    <w:rsid w:val="00785655"/>
    <w:rsid w:val="007856C8"/>
    <w:rsid w:val="00785723"/>
    <w:rsid w:val="00785767"/>
    <w:rsid w:val="007858B9"/>
    <w:rsid w:val="00785900"/>
    <w:rsid w:val="0078598B"/>
    <w:rsid w:val="00785A0B"/>
    <w:rsid w:val="00785B8F"/>
    <w:rsid w:val="00785BF9"/>
    <w:rsid w:val="00785D56"/>
    <w:rsid w:val="00785DED"/>
    <w:rsid w:val="00785E39"/>
    <w:rsid w:val="0078611E"/>
    <w:rsid w:val="007861F0"/>
    <w:rsid w:val="00786258"/>
    <w:rsid w:val="00786447"/>
    <w:rsid w:val="0078644E"/>
    <w:rsid w:val="00786502"/>
    <w:rsid w:val="00786643"/>
    <w:rsid w:val="00786986"/>
    <w:rsid w:val="00786A49"/>
    <w:rsid w:val="00786AF6"/>
    <w:rsid w:val="00786C24"/>
    <w:rsid w:val="00786C76"/>
    <w:rsid w:val="00786D2E"/>
    <w:rsid w:val="00786E35"/>
    <w:rsid w:val="00786E4A"/>
    <w:rsid w:val="00787130"/>
    <w:rsid w:val="0078724C"/>
    <w:rsid w:val="0078739D"/>
    <w:rsid w:val="0078749C"/>
    <w:rsid w:val="007874AA"/>
    <w:rsid w:val="0078771D"/>
    <w:rsid w:val="0078785E"/>
    <w:rsid w:val="007878F4"/>
    <w:rsid w:val="00787903"/>
    <w:rsid w:val="00787974"/>
    <w:rsid w:val="007879B6"/>
    <w:rsid w:val="00787A58"/>
    <w:rsid w:val="00787BB1"/>
    <w:rsid w:val="00787E5F"/>
    <w:rsid w:val="00787E69"/>
    <w:rsid w:val="00790046"/>
    <w:rsid w:val="00790160"/>
    <w:rsid w:val="007901E5"/>
    <w:rsid w:val="0079031B"/>
    <w:rsid w:val="007904DB"/>
    <w:rsid w:val="007904DC"/>
    <w:rsid w:val="00790605"/>
    <w:rsid w:val="0079070B"/>
    <w:rsid w:val="007908F6"/>
    <w:rsid w:val="00790A4D"/>
    <w:rsid w:val="00790B44"/>
    <w:rsid w:val="00790BD9"/>
    <w:rsid w:val="00790CF7"/>
    <w:rsid w:val="00790FB2"/>
    <w:rsid w:val="00791182"/>
    <w:rsid w:val="00791272"/>
    <w:rsid w:val="007913D8"/>
    <w:rsid w:val="0079145E"/>
    <w:rsid w:val="0079152C"/>
    <w:rsid w:val="0079153D"/>
    <w:rsid w:val="00791690"/>
    <w:rsid w:val="007916E7"/>
    <w:rsid w:val="00791714"/>
    <w:rsid w:val="007918D7"/>
    <w:rsid w:val="00791C5C"/>
    <w:rsid w:val="00791F1B"/>
    <w:rsid w:val="00791FA4"/>
    <w:rsid w:val="00792014"/>
    <w:rsid w:val="00792295"/>
    <w:rsid w:val="007922CC"/>
    <w:rsid w:val="007922D4"/>
    <w:rsid w:val="00792321"/>
    <w:rsid w:val="00792338"/>
    <w:rsid w:val="00792359"/>
    <w:rsid w:val="007923E9"/>
    <w:rsid w:val="00792444"/>
    <w:rsid w:val="00792572"/>
    <w:rsid w:val="007925DB"/>
    <w:rsid w:val="0079269A"/>
    <w:rsid w:val="007926C1"/>
    <w:rsid w:val="00792750"/>
    <w:rsid w:val="007927FE"/>
    <w:rsid w:val="00792838"/>
    <w:rsid w:val="00792A78"/>
    <w:rsid w:val="00792A96"/>
    <w:rsid w:val="00792AF2"/>
    <w:rsid w:val="00792B2B"/>
    <w:rsid w:val="00792B74"/>
    <w:rsid w:val="00792BEA"/>
    <w:rsid w:val="00792CED"/>
    <w:rsid w:val="00792D54"/>
    <w:rsid w:val="00792D80"/>
    <w:rsid w:val="00792E72"/>
    <w:rsid w:val="00792EA4"/>
    <w:rsid w:val="00792F46"/>
    <w:rsid w:val="00792FD3"/>
    <w:rsid w:val="00793021"/>
    <w:rsid w:val="0079302D"/>
    <w:rsid w:val="0079302E"/>
    <w:rsid w:val="0079310F"/>
    <w:rsid w:val="0079317A"/>
    <w:rsid w:val="00793798"/>
    <w:rsid w:val="0079382A"/>
    <w:rsid w:val="007938EC"/>
    <w:rsid w:val="00793991"/>
    <w:rsid w:val="00793A9C"/>
    <w:rsid w:val="00793BE6"/>
    <w:rsid w:val="00793CB6"/>
    <w:rsid w:val="00793F3A"/>
    <w:rsid w:val="00793F62"/>
    <w:rsid w:val="00793FB0"/>
    <w:rsid w:val="00794007"/>
    <w:rsid w:val="007940E7"/>
    <w:rsid w:val="00794182"/>
    <w:rsid w:val="007941EE"/>
    <w:rsid w:val="00794366"/>
    <w:rsid w:val="00794391"/>
    <w:rsid w:val="00794560"/>
    <w:rsid w:val="007945A7"/>
    <w:rsid w:val="007945EB"/>
    <w:rsid w:val="00794894"/>
    <w:rsid w:val="007949D2"/>
    <w:rsid w:val="00794B32"/>
    <w:rsid w:val="00794D7A"/>
    <w:rsid w:val="00794EEF"/>
    <w:rsid w:val="00794EF3"/>
    <w:rsid w:val="00794F63"/>
    <w:rsid w:val="00794F6D"/>
    <w:rsid w:val="00794F6F"/>
    <w:rsid w:val="007950FE"/>
    <w:rsid w:val="00795134"/>
    <w:rsid w:val="00795151"/>
    <w:rsid w:val="007951C1"/>
    <w:rsid w:val="007952A9"/>
    <w:rsid w:val="007952C0"/>
    <w:rsid w:val="007953F2"/>
    <w:rsid w:val="007954CE"/>
    <w:rsid w:val="00795542"/>
    <w:rsid w:val="007957BF"/>
    <w:rsid w:val="0079591B"/>
    <w:rsid w:val="00795C29"/>
    <w:rsid w:val="00795C6A"/>
    <w:rsid w:val="00795C94"/>
    <w:rsid w:val="00795D7C"/>
    <w:rsid w:val="00795D90"/>
    <w:rsid w:val="00795DB2"/>
    <w:rsid w:val="00795F4B"/>
    <w:rsid w:val="00795F83"/>
    <w:rsid w:val="00795FD0"/>
    <w:rsid w:val="0079617E"/>
    <w:rsid w:val="007961DA"/>
    <w:rsid w:val="0079621F"/>
    <w:rsid w:val="00796277"/>
    <w:rsid w:val="00796374"/>
    <w:rsid w:val="0079639B"/>
    <w:rsid w:val="007963D4"/>
    <w:rsid w:val="0079641C"/>
    <w:rsid w:val="00796422"/>
    <w:rsid w:val="00796639"/>
    <w:rsid w:val="0079696D"/>
    <w:rsid w:val="00796A82"/>
    <w:rsid w:val="00796A96"/>
    <w:rsid w:val="00796F64"/>
    <w:rsid w:val="00796F98"/>
    <w:rsid w:val="00796FBD"/>
    <w:rsid w:val="00797196"/>
    <w:rsid w:val="00797407"/>
    <w:rsid w:val="00797421"/>
    <w:rsid w:val="007974B7"/>
    <w:rsid w:val="0079759B"/>
    <w:rsid w:val="0079759D"/>
    <w:rsid w:val="007976EB"/>
    <w:rsid w:val="007977C9"/>
    <w:rsid w:val="0079791C"/>
    <w:rsid w:val="007979AA"/>
    <w:rsid w:val="007979BC"/>
    <w:rsid w:val="00797B44"/>
    <w:rsid w:val="00797BA9"/>
    <w:rsid w:val="00797D63"/>
    <w:rsid w:val="00797FDF"/>
    <w:rsid w:val="007A0092"/>
    <w:rsid w:val="007A014B"/>
    <w:rsid w:val="007A0178"/>
    <w:rsid w:val="007A019F"/>
    <w:rsid w:val="007A01BF"/>
    <w:rsid w:val="007A025C"/>
    <w:rsid w:val="007A02AF"/>
    <w:rsid w:val="007A0389"/>
    <w:rsid w:val="007A03F4"/>
    <w:rsid w:val="007A04F9"/>
    <w:rsid w:val="007A0617"/>
    <w:rsid w:val="007A067B"/>
    <w:rsid w:val="007A06BF"/>
    <w:rsid w:val="007A0717"/>
    <w:rsid w:val="007A0795"/>
    <w:rsid w:val="007A0AC1"/>
    <w:rsid w:val="007A0CC2"/>
    <w:rsid w:val="007A0E8E"/>
    <w:rsid w:val="007A1008"/>
    <w:rsid w:val="007A1276"/>
    <w:rsid w:val="007A1336"/>
    <w:rsid w:val="007A135D"/>
    <w:rsid w:val="007A144C"/>
    <w:rsid w:val="007A17B5"/>
    <w:rsid w:val="007A17CA"/>
    <w:rsid w:val="007A1924"/>
    <w:rsid w:val="007A194A"/>
    <w:rsid w:val="007A19DA"/>
    <w:rsid w:val="007A19F7"/>
    <w:rsid w:val="007A19F9"/>
    <w:rsid w:val="007A1B64"/>
    <w:rsid w:val="007A1E10"/>
    <w:rsid w:val="007A20DE"/>
    <w:rsid w:val="007A21EC"/>
    <w:rsid w:val="007A22AB"/>
    <w:rsid w:val="007A2347"/>
    <w:rsid w:val="007A2427"/>
    <w:rsid w:val="007A268A"/>
    <w:rsid w:val="007A2709"/>
    <w:rsid w:val="007A27D4"/>
    <w:rsid w:val="007A28E3"/>
    <w:rsid w:val="007A293D"/>
    <w:rsid w:val="007A298F"/>
    <w:rsid w:val="007A29D3"/>
    <w:rsid w:val="007A2A47"/>
    <w:rsid w:val="007A2BB5"/>
    <w:rsid w:val="007A2D33"/>
    <w:rsid w:val="007A2E7B"/>
    <w:rsid w:val="007A2F02"/>
    <w:rsid w:val="007A2FC5"/>
    <w:rsid w:val="007A3089"/>
    <w:rsid w:val="007A30E6"/>
    <w:rsid w:val="007A32D0"/>
    <w:rsid w:val="007A3367"/>
    <w:rsid w:val="007A3386"/>
    <w:rsid w:val="007A34D8"/>
    <w:rsid w:val="007A3798"/>
    <w:rsid w:val="007A379F"/>
    <w:rsid w:val="007A37A3"/>
    <w:rsid w:val="007A38D2"/>
    <w:rsid w:val="007A39A7"/>
    <w:rsid w:val="007A3A65"/>
    <w:rsid w:val="007A3ACA"/>
    <w:rsid w:val="007A3B1E"/>
    <w:rsid w:val="007A3C5C"/>
    <w:rsid w:val="007A3FD9"/>
    <w:rsid w:val="007A40CF"/>
    <w:rsid w:val="007A4217"/>
    <w:rsid w:val="007A4369"/>
    <w:rsid w:val="007A4581"/>
    <w:rsid w:val="007A4869"/>
    <w:rsid w:val="007A4931"/>
    <w:rsid w:val="007A498B"/>
    <w:rsid w:val="007A49F4"/>
    <w:rsid w:val="007A4AD1"/>
    <w:rsid w:val="007A4B35"/>
    <w:rsid w:val="007A4BDF"/>
    <w:rsid w:val="007A4C05"/>
    <w:rsid w:val="007A4CB4"/>
    <w:rsid w:val="007A4D7C"/>
    <w:rsid w:val="007A4D86"/>
    <w:rsid w:val="007A4DDD"/>
    <w:rsid w:val="007A4F6B"/>
    <w:rsid w:val="007A504C"/>
    <w:rsid w:val="007A514E"/>
    <w:rsid w:val="007A53DF"/>
    <w:rsid w:val="007A53F8"/>
    <w:rsid w:val="007A5480"/>
    <w:rsid w:val="007A55DE"/>
    <w:rsid w:val="007A55E3"/>
    <w:rsid w:val="007A5635"/>
    <w:rsid w:val="007A56D8"/>
    <w:rsid w:val="007A572B"/>
    <w:rsid w:val="007A5755"/>
    <w:rsid w:val="007A586F"/>
    <w:rsid w:val="007A5880"/>
    <w:rsid w:val="007A58FB"/>
    <w:rsid w:val="007A5973"/>
    <w:rsid w:val="007A5C2D"/>
    <w:rsid w:val="007A5C3E"/>
    <w:rsid w:val="007A5EE9"/>
    <w:rsid w:val="007A5F82"/>
    <w:rsid w:val="007A6176"/>
    <w:rsid w:val="007A617E"/>
    <w:rsid w:val="007A6212"/>
    <w:rsid w:val="007A6351"/>
    <w:rsid w:val="007A6428"/>
    <w:rsid w:val="007A655C"/>
    <w:rsid w:val="007A65D9"/>
    <w:rsid w:val="007A6684"/>
    <w:rsid w:val="007A66CD"/>
    <w:rsid w:val="007A66E5"/>
    <w:rsid w:val="007A674B"/>
    <w:rsid w:val="007A68BD"/>
    <w:rsid w:val="007A6958"/>
    <w:rsid w:val="007A69AD"/>
    <w:rsid w:val="007A6ACB"/>
    <w:rsid w:val="007A6BF1"/>
    <w:rsid w:val="007A6C3D"/>
    <w:rsid w:val="007A6C72"/>
    <w:rsid w:val="007A6D09"/>
    <w:rsid w:val="007A6D6F"/>
    <w:rsid w:val="007A6FF3"/>
    <w:rsid w:val="007A7239"/>
    <w:rsid w:val="007A72A1"/>
    <w:rsid w:val="007A730F"/>
    <w:rsid w:val="007A7675"/>
    <w:rsid w:val="007A76F2"/>
    <w:rsid w:val="007A77F4"/>
    <w:rsid w:val="007A79A7"/>
    <w:rsid w:val="007A79BC"/>
    <w:rsid w:val="007A79EE"/>
    <w:rsid w:val="007A7A24"/>
    <w:rsid w:val="007A7A8A"/>
    <w:rsid w:val="007A7B1B"/>
    <w:rsid w:val="007A7B86"/>
    <w:rsid w:val="007A7CC2"/>
    <w:rsid w:val="007A7D16"/>
    <w:rsid w:val="007A7E5B"/>
    <w:rsid w:val="007A7E96"/>
    <w:rsid w:val="007B0019"/>
    <w:rsid w:val="007B0182"/>
    <w:rsid w:val="007B025A"/>
    <w:rsid w:val="007B0266"/>
    <w:rsid w:val="007B035B"/>
    <w:rsid w:val="007B0369"/>
    <w:rsid w:val="007B03B7"/>
    <w:rsid w:val="007B04C2"/>
    <w:rsid w:val="007B04D4"/>
    <w:rsid w:val="007B04F9"/>
    <w:rsid w:val="007B04FB"/>
    <w:rsid w:val="007B065A"/>
    <w:rsid w:val="007B0662"/>
    <w:rsid w:val="007B081F"/>
    <w:rsid w:val="007B0821"/>
    <w:rsid w:val="007B0833"/>
    <w:rsid w:val="007B0992"/>
    <w:rsid w:val="007B0A0F"/>
    <w:rsid w:val="007B0A4D"/>
    <w:rsid w:val="007B0A5C"/>
    <w:rsid w:val="007B0BB0"/>
    <w:rsid w:val="007B0BC1"/>
    <w:rsid w:val="007B0C7B"/>
    <w:rsid w:val="007B0D02"/>
    <w:rsid w:val="007B0D47"/>
    <w:rsid w:val="007B1048"/>
    <w:rsid w:val="007B104A"/>
    <w:rsid w:val="007B1056"/>
    <w:rsid w:val="007B1063"/>
    <w:rsid w:val="007B11D3"/>
    <w:rsid w:val="007B1275"/>
    <w:rsid w:val="007B153F"/>
    <w:rsid w:val="007B17FF"/>
    <w:rsid w:val="007B19CA"/>
    <w:rsid w:val="007B19FC"/>
    <w:rsid w:val="007B1B2F"/>
    <w:rsid w:val="007B1B68"/>
    <w:rsid w:val="007B1D4A"/>
    <w:rsid w:val="007B1D6E"/>
    <w:rsid w:val="007B1DB3"/>
    <w:rsid w:val="007B1ED6"/>
    <w:rsid w:val="007B1F50"/>
    <w:rsid w:val="007B1FDE"/>
    <w:rsid w:val="007B2006"/>
    <w:rsid w:val="007B208C"/>
    <w:rsid w:val="007B20F0"/>
    <w:rsid w:val="007B21D8"/>
    <w:rsid w:val="007B224D"/>
    <w:rsid w:val="007B23F9"/>
    <w:rsid w:val="007B2432"/>
    <w:rsid w:val="007B25C4"/>
    <w:rsid w:val="007B26B8"/>
    <w:rsid w:val="007B270F"/>
    <w:rsid w:val="007B2783"/>
    <w:rsid w:val="007B27BE"/>
    <w:rsid w:val="007B28D6"/>
    <w:rsid w:val="007B2AA7"/>
    <w:rsid w:val="007B2B4B"/>
    <w:rsid w:val="007B2CDC"/>
    <w:rsid w:val="007B2E49"/>
    <w:rsid w:val="007B2E7E"/>
    <w:rsid w:val="007B2F9E"/>
    <w:rsid w:val="007B2FC0"/>
    <w:rsid w:val="007B30D6"/>
    <w:rsid w:val="007B323E"/>
    <w:rsid w:val="007B3299"/>
    <w:rsid w:val="007B334C"/>
    <w:rsid w:val="007B336D"/>
    <w:rsid w:val="007B337F"/>
    <w:rsid w:val="007B342A"/>
    <w:rsid w:val="007B345C"/>
    <w:rsid w:val="007B36A0"/>
    <w:rsid w:val="007B36A4"/>
    <w:rsid w:val="007B372C"/>
    <w:rsid w:val="007B3739"/>
    <w:rsid w:val="007B3881"/>
    <w:rsid w:val="007B389D"/>
    <w:rsid w:val="007B3978"/>
    <w:rsid w:val="007B39DE"/>
    <w:rsid w:val="007B39E8"/>
    <w:rsid w:val="007B39F4"/>
    <w:rsid w:val="007B3E8B"/>
    <w:rsid w:val="007B41F8"/>
    <w:rsid w:val="007B4361"/>
    <w:rsid w:val="007B43B2"/>
    <w:rsid w:val="007B4411"/>
    <w:rsid w:val="007B44CB"/>
    <w:rsid w:val="007B475F"/>
    <w:rsid w:val="007B4773"/>
    <w:rsid w:val="007B487E"/>
    <w:rsid w:val="007B49BE"/>
    <w:rsid w:val="007B4B76"/>
    <w:rsid w:val="007B4BF7"/>
    <w:rsid w:val="007B4C06"/>
    <w:rsid w:val="007B4CC3"/>
    <w:rsid w:val="007B4D25"/>
    <w:rsid w:val="007B4D3C"/>
    <w:rsid w:val="007B4D97"/>
    <w:rsid w:val="007B4DB5"/>
    <w:rsid w:val="007B4E0B"/>
    <w:rsid w:val="007B4E14"/>
    <w:rsid w:val="007B4E5C"/>
    <w:rsid w:val="007B4E8D"/>
    <w:rsid w:val="007B4ECF"/>
    <w:rsid w:val="007B50C3"/>
    <w:rsid w:val="007B5201"/>
    <w:rsid w:val="007B5289"/>
    <w:rsid w:val="007B5293"/>
    <w:rsid w:val="007B5457"/>
    <w:rsid w:val="007B55F6"/>
    <w:rsid w:val="007B5774"/>
    <w:rsid w:val="007B5834"/>
    <w:rsid w:val="007B589C"/>
    <w:rsid w:val="007B58EA"/>
    <w:rsid w:val="007B5AF5"/>
    <w:rsid w:val="007B5B50"/>
    <w:rsid w:val="007B5B8D"/>
    <w:rsid w:val="007B5D2C"/>
    <w:rsid w:val="007B5F43"/>
    <w:rsid w:val="007B5F50"/>
    <w:rsid w:val="007B62EB"/>
    <w:rsid w:val="007B6310"/>
    <w:rsid w:val="007B6407"/>
    <w:rsid w:val="007B6516"/>
    <w:rsid w:val="007B6761"/>
    <w:rsid w:val="007B6768"/>
    <w:rsid w:val="007B676E"/>
    <w:rsid w:val="007B688C"/>
    <w:rsid w:val="007B6A56"/>
    <w:rsid w:val="007B6A75"/>
    <w:rsid w:val="007B6A95"/>
    <w:rsid w:val="007B6B19"/>
    <w:rsid w:val="007B6BE9"/>
    <w:rsid w:val="007B6C13"/>
    <w:rsid w:val="007B6EC2"/>
    <w:rsid w:val="007B6F86"/>
    <w:rsid w:val="007B6FE9"/>
    <w:rsid w:val="007B71FA"/>
    <w:rsid w:val="007B7282"/>
    <w:rsid w:val="007B7350"/>
    <w:rsid w:val="007B73A9"/>
    <w:rsid w:val="007B7406"/>
    <w:rsid w:val="007B74B5"/>
    <w:rsid w:val="007B74E6"/>
    <w:rsid w:val="007B7748"/>
    <w:rsid w:val="007B7979"/>
    <w:rsid w:val="007B79C3"/>
    <w:rsid w:val="007B7ADA"/>
    <w:rsid w:val="007B7B52"/>
    <w:rsid w:val="007B7BBC"/>
    <w:rsid w:val="007B7ECD"/>
    <w:rsid w:val="007C02DA"/>
    <w:rsid w:val="007C02DF"/>
    <w:rsid w:val="007C03FA"/>
    <w:rsid w:val="007C054D"/>
    <w:rsid w:val="007C0681"/>
    <w:rsid w:val="007C06C8"/>
    <w:rsid w:val="007C0766"/>
    <w:rsid w:val="007C0769"/>
    <w:rsid w:val="007C0788"/>
    <w:rsid w:val="007C08DB"/>
    <w:rsid w:val="007C0929"/>
    <w:rsid w:val="007C0A1A"/>
    <w:rsid w:val="007C0ACF"/>
    <w:rsid w:val="007C0BBF"/>
    <w:rsid w:val="007C0D53"/>
    <w:rsid w:val="007C0EA9"/>
    <w:rsid w:val="007C0EBB"/>
    <w:rsid w:val="007C0EEF"/>
    <w:rsid w:val="007C0F11"/>
    <w:rsid w:val="007C101D"/>
    <w:rsid w:val="007C1258"/>
    <w:rsid w:val="007C138C"/>
    <w:rsid w:val="007C147B"/>
    <w:rsid w:val="007C1640"/>
    <w:rsid w:val="007C1693"/>
    <w:rsid w:val="007C1818"/>
    <w:rsid w:val="007C19FB"/>
    <w:rsid w:val="007C1A40"/>
    <w:rsid w:val="007C1AEC"/>
    <w:rsid w:val="007C1D39"/>
    <w:rsid w:val="007C22B9"/>
    <w:rsid w:val="007C22CB"/>
    <w:rsid w:val="007C2427"/>
    <w:rsid w:val="007C260F"/>
    <w:rsid w:val="007C2633"/>
    <w:rsid w:val="007C2764"/>
    <w:rsid w:val="007C279B"/>
    <w:rsid w:val="007C2854"/>
    <w:rsid w:val="007C28FD"/>
    <w:rsid w:val="007C2950"/>
    <w:rsid w:val="007C2A8B"/>
    <w:rsid w:val="007C2D33"/>
    <w:rsid w:val="007C2E3A"/>
    <w:rsid w:val="007C3030"/>
    <w:rsid w:val="007C325A"/>
    <w:rsid w:val="007C346F"/>
    <w:rsid w:val="007C34A4"/>
    <w:rsid w:val="007C37D5"/>
    <w:rsid w:val="007C37DA"/>
    <w:rsid w:val="007C38F8"/>
    <w:rsid w:val="007C38F9"/>
    <w:rsid w:val="007C398F"/>
    <w:rsid w:val="007C3A45"/>
    <w:rsid w:val="007C3C5F"/>
    <w:rsid w:val="007C3D42"/>
    <w:rsid w:val="007C3DA5"/>
    <w:rsid w:val="007C3DF7"/>
    <w:rsid w:val="007C3F81"/>
    <w:rsid w:val="007C4071"/>
    <w:rsid w:val="007C40BE"/>
    <w:rsid w:val="007C4145"/>
    <w:rsid w:val="007C4227"/>
    <w:rsid w:val="007C425F"/>
    <w:rsid w:val="007C44AF"/>
    <w:rsid w:val="007C44F0"/>
    <w:rsid w:val="007C45BD"/>
    <w:rsid w:val="007C4613"/>
    <w:rsid w:val="007C463A"/>
    <w:rsid w:val="007C4751"/>
    <w:rsid w:val="007C4867"/>
    <w:rsid w:val="007C4894"/>
    <w:rsid w:val="007C4C4C"/>
    <w:rsid w:val="007C4DAA"/>
    <w:rsid w:val="007C50BD"/>
    <w:rsid w:val="007C5167"/>
    <w:rsid w:val="007C517A"/>
    <w:rsid w:val="007C51FF"/>
    <w:rsid w:val="007C5494"/>
    <w:rsid w:val="007C54FA"/>
    <w:rsid w:val="007C56D3"/>
    <w:rsid w:val="007C58A7"/>
    <w:rsid w:val="007C58F3"/>
    <w:rsid w:val="007C58F7"/>
    <w:rsid w:val="007C59CC"/>
    <w:rsid w:val="007C5A02"/>
    <w:rsid w:val="007C5A2D"/>
    <w:rsid w:val="007C5AD7"/>
    <w:rsid w:val="007C5AFE"/>
    <w:rsid w:val="007C5C8D"/>
    <w:rsid w:val="007C5EBE"/>
    <w:rsid w:val="007C5F55"/>
    <w:rsid w:val="007C60FC"/>
    <w:rsid w:val="007C6107"/>
    <w:rsid w:val="007C6119"/>
    <w:rsid w:val="007C61A4"/>
    <w:rsid w:val="007C6338"/>
    <w:rsid w:val="007C63A1"/>
    <w:rsid w:val="007C6449"/>
    <w:rsid w:val="007C6589"/>
    <w:rsid w:val="007C66A4"/>
    <w:rsid w:val="007C6791"/>
    <w:rsid w:val="007C692C"/>
    <w:rsid w:val="007C6A02"/>
    <w:rsid w:val="007C6A4B"/>
    <w:rsid w:val="007C6B40"/>
    <w:rsid w:val="007C6B4C"/>
    <w:rsid w:val="007C6CF2"/>
    <w:rsid w:val="007C7006"/>
    <w:rsid w:val="007C7078"/>
    <w:rsid w:val="007C719C"/>
    <w:rsid w:val="007C7211"/>
    <w:rsid w:val="007C7241"/>
    <w:rsid w:val="007C7262"/>
    <w:rsid w:val="007C72AE"/>
    <w:rsid w:val="007C732F"/>
    <w:rsid w:val="007C7373"/>
    <w:rsid w:val="007C7501"/>
    <w:rsid w:val="007C77CD"/>
    <w:rsid w:val="007C7868"/>
    <w:rsid w:val="007C786C"/>
    <w:rsid w:val="007C7892"/>
    <w:rsid w:val="007C78EB"/>
    <w:rsid w:val="007C7937"/>
    <w:rsid w:val="007C7AC5"/>
    <w:rsid w:val="007C7D0C"/>
    <w:rsid w:val="007C7D26"/>
    <w:rsid w:val="007C7F01"/>
    <w:rsid w:val="007C7FE2"/>
    <w:rsid w:val="007D01BD"/>
    <w:rsid w:val="007D02F2"/>
    <w:rsid w:val="007D0453"/>
    <w:rsid w:val="007D0662"/>
    <w:rsid w:val="007D068A"/>
    <w:rsid w:val="007D0942"/>
    <w:rsid w:val="007D0A7E"/>
    <w:rsid w:val="007D0B68"/>
    <w:rsid w:val="007D0C12"/>
    <w:rsid w:val="007D0E5B"/>
    <w:rsid w:val="007D0E5E"/>
    <w:rsid w:val="007D1118"/>
    <w:rsid w:val="007D1237"/>
    <w:rsid w:val="007D130A"/>
    <w:rsid w:val="007D13E9"/>
    <w:rsid w:val="007D142D"/>
    <w:rsid w:val="007D15D6"/>
    <w:rsid w:val="007D1705"/>
    <w:rsid w:val="007D1872"/>
    <w:rsid w:val="007D1917"/>
    <w:rsid w:val="007D191B"/>
    <w:rsid w:val="007D19CE"/>
    <w:rsid w:val="007D1B36"/>
    <w:rsid w:val="007D1D11"/>
    <w:rsid w:val="007D1D40"/>
    <w:rsid w:val="007D1DC7"/>
    <w:rsid w:val="007D1DDB"/>
    <w:rsid w:val="007D1E46"/>
    <w:rsid w:val="007D1E4E"/>
    <w:rsid w:val="007D1FFE"/>
    <w:rsid w:val="007D202D"/>
    <w:rsid w:val="007D20B2"/>
    <w:rsid w:val="007D214A"/>
    <w:rsid w:val="007D218C"/>
    <w:rsid w:val="007D226D"/>
    <w:rsid w:val="007D2279"/>
    <w:rsid w:val="007D23A0"/>
    <w:rsid w:val="007D242E"/>
    <w:rsid w:val="007D25A5"/>
    <w:rsid w:val="007D25BA"/>
    <w:rsid w:val="007D2725"/>
    <w:rsid w:val="007D29AF"/>
    <w:rsid w:val="007D2AFC"/>
    <w:rsid w:val="007D2B85"/>
    <w:rsid w:val="007D2BA4"/>
    <w:rsid w:val="007D2BA7"/>
    <w:rsid w:val="007D2FB4"/>
    <w:rsid w:val="007D3141"/>
    <w:rsid w:val="007D33E0"/>
    <w:rsid w:val="007D3566"/>
    <w:rsid w:val="007D367D"/>
    <w:rsid w:val="007D3686"/>
    <w:rsid w:val="007D373C"/>
    <w:rsid w:val="007D378D"/>
    <w:rsid w:val="007D3990"/>
    <w:rsid w:val="007D3A06"/>
    <w:rsid w:val="007D3ACA"/>
    <w:rsid w:val="007D3AD3"/>
    <w:rsid w:val="007D3C89"/>
    <w:rsid w:val="007D3CC3"/>
    <w:rsid w:val="007D3DB3"/>
    <w:rsid w:val="007D3DFC"/>
    <w:rsid w:val="007D3E48"/>
    <w:rsid w:val="007D3EA0"/>
    <w:rsid w:val="007D3F7D"/>
    <w:rsid w:val="007D4001"/>
    <w:rsid w:val="007D419D"/>
    <w:rsid w:val="007D4287"/>
    <w:rsid w:val="007D4314"/>
    <w:rsid w:val="007D4344"/>
    <w:rsid w:val="007D43B6"/>
    <w:rsid w:val="007D4545"/>
    <w:rsid w:val="007D460B"/>
    <w:rsid w:val="007D46B0"/>
    <w:rsid w:val="007D4705"/>
    <w:rsid w:val="007D47F8"/>
    <w:rsid w:val="007D49EC"/>
    <w:rsid w:val="007D4AC4"/>
    <w:rsid w:val="007D4B0B"/>
    <w:rsid w:val="007D4C20"/>
    <w:rsid w:val="007D4CCE"/>
    <w:rsid w:val="007D4CD0"/>
    <w:rsid w:val="007D4DA0"/>
    <w:rsid w:val="007D4DCA"/>
    <w:rsid w:val="007D4FD6"/>
    <w:rsid w:val="007D50AE"/>
    <w:rsid w:val="007D5144"/>
    <w:rsid w:val="007D517A"/>
    <w:rsid w:val="007D5248"/>
    <w:rsid w:val="007D5275"/>
    <w:rsid w:val="007D5397"/>
    <w:rsid w:val="007D541E"/>
    <w:rsid w:val="007D5464"/>
    <w:rsid w:val="007D54C6"/>
    <w:rsid w:val="007D5518"/>
    <w:rsid w:val="007D557D"/>
    <w:rsid w:val="007D55CA"/>
    <w:rsid w:val="007D574C"/>
    <w:rsid w:val="007D57CB"/>
    <w:rsid w:val="007D58C4"/>
    <w:rsid w:val="007D5A91"/>
    <w:rsid w:val="007D5DFD"/>
    <w:rsid w:val="007D6044"/>
    <w:rsid w:val="007D60CD"/>
    <w:rsid w:val="007D611F"/>
    <w:rsid w:val="007D6140"/>
    <w:rsid w:val="007D619D"/>
    <w:rsid w:val="007D61D5"/>
    <w:rsid w:val="007D6585"/>
    <w:rsid w:val="007D6647"/>
    <w:rsid w:val="007D6895"/>
    <w:rsid w:val="007D68E9"/>
    <w:rsid w:val="007D69BC"/>
    <w:rsid w:val="007D6A46"/>
    <w:rsid w:val="007D6BF1"/>
    <w:rsid w:val="007D6C82"/>
    <w:rsid w:val="007D6CCD"/>
    <w:rsid w:val="007D6EFF"/>
    <w:rsid w:val="007D6F51"/>
    <w:rsid w:val="007D6FB1"/>
    <w:rsid w:val="007D702A"/>
    <w:rsid w:val="007D7273"/>
    <w:rsid w:val="007D7548"/>
    <w:rsid w:val="007D7657"/>
    <w:rsid w:val="007D76E4"/>
    <w:rsid w:val="007D76FB"/>
    <w:rsid w:val="007D77E0"/>
    <w:rsid w:val="007D7810"/>
    <w:rsid w:val="007D7971"/>
    <w:rsid w:val="007D7A6E"/>
    <w:rsid w:val="007D7B7F"/>
    <w:rsid w:val="007D7D12"/>
    <w:rsid w:val="007D7D29"/>
    <w:rsid w:val="007D7DD2"/>
    <w:rsid w:val="007D7DDC"/>
    <w:rsid w:val="007D7EE8"/>
    <w:rsid w:val="007D7F98"/>
    <w:rsid w:val="007D7FA0"/>
    <w:rsid w:val="007D7FD6"/>
    <w:rsid w:val="007E01FF"/>
    <w:rsid w:val="007E02D4"/>
    <w:rsid w:val="007E0356"/>
    <w:rsid w:val="007E05D2"/>
    <w:rsid w:val="007E05D8"/>
    <w:rsid w:val="007E0698"/>
    <w:rsid w:val="007E0785"/>
    <w:rsid w:val="007E089C"/>
    <w:rsid w:val="007E0910"/>
    <w:rsid w:val="007E0AE1"/>
    <w:rsid w:val="007E0B07"/>
    <w:rsid w:val="007E0B1B"/>
    <w:rsid w:val="007E0B63"/>
    <w:rsid w:val="007E0B68"/>
    <w:rsid w:val="007E0BD7"/>
    <w:rsid w:val="007E0BDA"/>
    <w:rsid w:val="007E0BFD"/>
    <w:rsid w:val="007E0D4B"/>
    <w:rsid w:val="007E0DC6"/>
    <w:rsid w:val="007E0E3D"/>
    <w:rsid w:val="007E0EF2"/>
    <w:rsid w:val="007E0FCD"/>
    <w:rsid w:val="007E106E"/>
    <w:rsid w:val="007E1074"/>
    <w:rsid w:val="007E114A"/>
    <w:rsid w:val="007E118B"/>
    <w:rsid w:val="007E122A"/>
    <w:rsid w:val="007E140B"/>
    <w:rsid w:val="007E14E3"/>
    <w:rsid w:val="007E1582"/>
    <w:rsid w:val="007E1658"/>
    <w:rsid w:val="007E17E1"/>
    <w:rsid w:val="007E17FA"/>
    <w:rsid w:val="007E18C2"/>
    <w:rsid w:val="007E1927"/>
    <w:rsid w:val="007E1DB3"/>
    <w:rsid w:val="007E1F07"/>
    <w:rsid w:val="007E1F75"/>
    <w:rsid w:val="007E211F"/>
    <w:rsid w:val="007E218E"/>
    <w:rsid w:val="007E21C0"/>
    <w:rsid w:val="007E225A"/>
    <w:rsid w:val="007E22AE"/>
    <w:rsid w:val="007E23DD"/>
    <w:rsid w:val="007E27F8"/>
    <w:rsid w:val="007E2842"/>
    <w:rsid w:val="007E29C6"/>
    <w:rsid w:val="007E2A4C"/>
    <w:rsid w:val="007E2E3C"/>
    <w:rsid w:val="007E2E43"/>
    <w:rsid w:val="007E2F70"/>
    <w:rsid w:val="007E3143"/>
    <w:rsid w:val="007E333A"/>
    <w:rsid w:val="007E3645"/>
    <w:rsid w:val="007E372F"/>
    <w:rsid w:val="007E390F"/>
    <w:rsid w:val="007E3978"/>
    <w:rsid w:val="007E39D7"/>
    <w:rsid w:val="007E3A73"/>
    <w:rsid w:val="007E3B0C"/>
    <w:rsid w:val="007E3BB6"/>
    <w:rsid w:val="007E3D9C"/>
    <w:rsid w:val="007E3F73"/>
    <w:rsid w:val="007E3FD6"/>
    <w:rsid w:val="007E401A"/>
    <w:rsid w:val="007E4140"/>
    <w:rsid w:val="007E422F"/>
    <w:rsid w:val="007E4272"/>
    <w:rsid w:val="007E427D"/>
    <w:rsid w:val="007E42FB"/>
    <w:rsid w:val="007E43B6"/>
    <w:rsid w:val="007E443D"/>
    <w:rsid w:val="007E44A0"/>
    <w:rsid w:val="007E468E"/>
    <w:rsid w:val="007E48D3"/>
    <w:rsid w:val="007E4AA4"/>
    <w:rsid w:val="007E4AFF"/>
    <w:rsid w:val="007E4B9B"/>
    <w:rsid w:val="007E4BD6"/>
    <w:rsid w:val="007E4E1A"/>
    <w:rsid w:val="007E4E67"/>
    <w:rsid w:val="007E4EF7"/>
    <w:rsid w:val="007E4F19"/>
    <w:rsid w:val="007E4FC1"/>
    <w:rsid w:val="007E5021"/>
    <w:rsid w:val="007E502F"/>
    <w:rsid w:val="007E5123"/>
    <w:rsid w:val="007E52E2"/>
    <w:rsid w:val="007E53D1"/>
    <w:rsid w:val="007E54C4"/>
    <w:rsid w:val="007E5572"/>
    <w:rsid w:val="007E58C0"/>
    <w:rsid w:val="007E58C8"/>
    <w:rsid w:val="007E5A86"/>
    <w:rsid w:val="007E5AC0"/>
    <w:rsid w:val="007E5B89"/>
    <w:rsid w:val="007E5C03"/>
    <w:rsid w:val="007E5C9C"/>
    <w:rsid w:val="007E5CB6"/>
    <w:rsid w:val="007E5F6B"/>
    <w:rsid w:val="007E6066"/>
    <w:rsid w:val="007E6169"/>
    <w:rsid w:val="007E6209"/>
    <w:rsid w:val="007E6219"/>
    <w:rsid w:val="007E62A0"/>
    <w:rsid w:val="007E62A2"/>
    <w:rsid w:val="007E644C"/>
    <w:rsid w:val="007E6543"/>
    <w:rsid w:val="007E671A"/>
    <w:rsid w:val="007E679F"/>
    <w:rsid w:val="007E6801"/>
    <w:rsid w:val="007E690F"/>
    <w:rsid w:val="007E69CA"/>
    <w:rsid w:val="007E6A53"/>
    <w:rsid w:val="007E6B72"/>
    <w:rsid w:val="007E6DE4"/>
    <w:rsid w:val="007E6FB5"/>
    <w:rsid w:val="007E7138"/>
    <w:rsid w:val="007E72D9"/>
    <w:rsid w:val="007E72DD"/>
    <w:rsid w:val="007E73E4"/>
    <w:rsid w:val="007E73EA"/>
    <w:rsid w:val="007E746B"/>
    <w:rsid w:val="007E74F4"/>
    <w:rsid w:val="007E7608"/>
    <w:rsid w:val="007E770A"/>
    <w:rsid w:val="007E774D"/>
    <w:rsid w:val="007E779C"/>
    <w:rsid w:val="007E7877"/>
    <w:rsid w:val="007E7883"/>
    <w:rsid w:val="007E7A33"/>
    <w:rsid w:val="007E7ABB"/>
    <w:rsid w:val="007E7CAF"/>
    <w:rsid w:val="007E7F7D"/>
    <w:rsid w:val="007E7F89"/>
    <w:rsid w:val="007F008E"/>
    <w:rsid w:val="007F00D0"/>
    <w:rsid w:val="007F00FF"/>
    <w:rsid w:val="007F0412"/>
    <w:rsid w:val="007F0649"/>
    <w:rsid w:val="007F0678"/>
    <w:rsid w:val="007F07CD"/>
    <w:rsid w:val="007F0945"/>
    <w:rsid w:val="007F09D0"/>
    <w:rsid w:val="007F0A5C"/>
    <w:rsid w:val="007F0B57"/>
    <w:rsid w:val="007F0C37"/>
    <w:rsid w:val="007F0C4C"/>
    <w:rsid w:val="007F0D80"/>
    <w:rsid w:val="007F0DFC"/>
    <w:rsid w:val="007F0F7C"/>
    <w:rsid w:val="007F0FED"/>
    <w:rsid w:val="007F109E"/>
    <w:rsid w:val="007F11CA"/>
    <w:rsid w:val="007F11D2"/>
    <w:rsid w:val="007F156A"/>
    <w:rsid w:val="007F15E3"/>
    <w:rsid w:val="007F1616"/>
    <w:rsid w:val="007F161F"/>
    <w:rsid w:val="007F1675"/>
    <w:rsid w:val="007F16F1"/>
    <w:rsid w:val="007F188A"/>
    <w:rsid w:val="007F190B"/>
    <w:rsid w:val="007F1BE3"/>
    <w:rsid w:val="007F1CC2"/>
    <w:rsid w:val="007F1E79"/>
    <w:rsid w:val="007F1F44"/>
    <w:rsid w:val="007F20CE"/>
    <w:rsid w:val="007F2200"/>
    <w:rsid w:val="007F222B"/>
    <w:rsid w:val="007F22E2"/>
    <w:rsid w:val="007F2460"/>
    <w:rsid w:val="007F2516"/>
    <w:rsid w:val="007F2854"/>
    <w:rsid w:val="007F2A8C"/>
    <w:rsid w:val="007F2C63"/>
    <w:rsid w:val="007F2C89"/>
    <w:rsid w:val="007F2CCB"/>
    <w:rsid w:val="007F2D12"/>
    <w:rsid w:val="007F2D74"/>
    <w:rsid w:val="007F2D9E"/>
    <w:rsid w:val="007F2FE7"/>
    <w:rsid w:val="007F303B"/>
    <w:rsid w:val="007F3061"/>
    <w:rsid w:val="007F3086"/>
    <w:rsid w:val="007F321D"/>
    <w:rsid w:val="007F3264"/>
    <w:rsid w:val="007F32E6"/>
    <w:rsid w:val="007F3359"/>
    <w:rsid w:val="007F34A6"/>
    <w:rsid w:val="007F356E"/>
    <w:rsid w:val="007F3602"/>
    <w:rsid w:val="007F367A"/>
    <w:rsid w:val="007F36E3"/>
    <w:rsid w:val="007F3774"/>
    <w:rsid w:val="007F3966"/>
    <w:rsid w:val="007F3A86"/>
    <w:rsid w:val="007F3BC3"/>
    <w:rsid w:val="007F3EDD"/>
    <w:rsid w:val="007F3EE5"/>
    <w:rsid w:val="007F3F4D"/>
    <w:rsid w:val="007F4011"/>
    <w:rsid w:val="007F406C"/>
    <w:rsid w:val="007F409C"/>
    <w:rsid w:val="007F409E"/>
    <w:rsid w:val="007F4176"/>
    <w:rsid w:val="007F425F"/>
    <w:rsid w:val="007F4358"/>
    <w:rsid w:val="007F44A1"/>
    <w:rsid w:val="007F44C1"/>
    <w:rsid w:val="007F44ED"/>
    <w:rsid w:val="007F4588"/>
    <w:rsid w:val="007F460A"/>
    <w:rsid w:val="007F478E"/>
    <w:rsid w:val="007F4896"/>
    <w:rsid w:val="007F4A65"/>
    <w:rsid w:val="007F4A83"/>
    <w:rsid w:val="007F4D3B"/>
    <w:rsid w:val="007F4DCF"/>
    <w:rsid w:val="007F4DF1"/>
    <w:rsid w:val="007F4E44"/>
    <w:rsid w:val="007F4EB2"/>
    <w:rsid w:val="007F4F83"/>
    <w:rsid w:val="007F50E2"/>
    <w:rsid w:val="007F513B"/>
    <w:rsid w:val="007F5161"/>
    <w:rsid w:val="007F519C"/>
    <w:rsid w:val="007F52DF"/>
    <w:rsid w:val="007F5379"/>
    <w:rsid w:val="007F5591"/>
    <w:rsid w:val="007F570C"/>
    <w:rsid w:val="007F57A1"/>
    <w:rsid w:val="007F584C"/>
    <w:rsid w:val="007F590C"/>
    <w:rsid w:val="007F59C8"/>
    <w:rsid w:val="007F5A1B"/>
    <w:rsid w:val="007F5A42"/>
    <w:rsid w:val="007F5B01"/>
    <w:rsid w:val="007F5B32"/>
    <w:rsid w:val="007F5B73"/>
    <w:rsid w:val="007F5CAF"/>
    <w:rsid w:val="007F5D73"/>
    <w:rsid w:val="007F5F12"/>
    <w:rsid w:val="007F5F85"/>
    <w:rsid w:val="007F5FEE"/>
    <w:rsid w:val="007F6169"/>
    <w:rsid w:val="007F62AB"/>
    <w:rsid w:val="007F64B5"/>
    <w:rsid w:val="007F65A4"/>
    <w:rsid w:val="007F6850"/>
    <w:rsid w:val="007F6A2B"/>
    <w:rsid w:val="007F6CF0"/>
    <w:rsid w:val="007F6D08"/>
    <w:rsid w:val="007F6D36"/>
    <w:rsid w:val="007F6EC7"/>
    <w:rsid w:val="007F6F4E"/>
    <w:rsid w:val="007F6F60"/>
    <w:rsid w:val="007F703B"/>
    <w:rsid w:val="007F7053"/>
    <w:rsid w:val="007F70F9"/>
    <w:rsid w:val="007F7115"/>
    <w:rsid w:val="007F749A"/>
    <w:rsid w:val="007F7518"/>
    <w:rsid w:val="007F751B"/>
    <w:rsid w:val="007F7530"/>
    <w:rsid w:val="007F7613"/>
    <w:rsid w:val="007F7655"/>
    <w:rsid w:val="007F7681"/>
    <w:rsid w:val="007F7A2E"/>
    <w:rsid w:val="007F7D29"/>
    <w:rsid w:val="007F7D88"/>
    <w:rsid w:val="007F7F20"/>
    <w:rsid w:val="007F7F55"/>
    <w:rsid w:val="007F7FA7"/>
    <w:rsid w:val="00800088"/>
    <w:rsid w:val="008000F9"/>
    <w:rsid w:val="008001EE"/>
    <w:rsid w:val="00800329"/>
    <w:rsid w:val="00800451"/>
    <w:rsid w:val="008005F6"/>
    <w:rsid w:val="00800699"/>
    <w:rsid w:val="008008A0"/>
    <w:rsid w:val="00800984"/>
    <w:rsid w:val="008009C1"/>
    <w:rsid w:val="00800A98"/>
    <w:rsid w:val="00800BEF"/>
    <w:rsid w:val="00800C43"/>
    <w:rsid w:val="00800F6C"/>
    <w:rsid w:val="00801268"/>
    <w:rsid w:val="008012A2"/>
    <w:rsid w:val="00801546"/>
    <w:rsid w:val="0080168E"/>
    <w:rsid w:val="008016CE"/>
    <w:rsid w:val="0080175D"/>
    <w:rsid w:val="00801765"/>
    <w:rsid w:val="00801833"/>
    <w:rsid w:val="0080195C"/>
    <w:rsid w:val="0080198A"/>
    <w:rsid w:val="00801A49"/>
    <w:rsid w:val="00801A8F"/>
    <w:rsid w:val="00801CE0"/>
    <w:rsid w:val="00801D8D"/>
    <w:rsid w:val="00801E73"/>
    <w:rsid w:val="0080203A"/>
    <w:rsid w:val="00802083"/>
    <w:rsid w:val="0080209E"/>
    <w:rsid w:val="00802257"/>
    <w:rsid w:val="008022D2"/>
    <w:rsid w:val="00802419"/>
    <w:rsid w:val="008024A9"/>
    <w:rsid w:val="0080259F"/>
    <w:rsid w:val="0080268C"/>
    <w:rsid w:val="008026D2"/>
    <w:rsid w:val="00802888"/>
    <w:rsid w:val="00802930"/>
    <w:rsid w:val="008029BF"/>
    <w:rsid w:val="00802A44"/>
    <w:rsid w:val="00802AC5"/>
    <w:rsid w:val="00802C8D"/>
    <w:rsid w:val="00802D39"/>
    <w:rsid w:val="00802E0E"/>
    <w:rsid w:val="00802F6E"/>
    <w:rsid w:val="00803008"/>
    <w:rsid w:val="0080329B"/>
    <w:rsid w:val="008034AF"/>
    <w:rsid w:val="00803564"/>
    <w:rsid w:val="0080362C"/>
    <w:rsid w:val="00803639"/>
    <w:rsid w:val="008036BB"/>
    <w:rsid w:val="0080370B"/>
    <w:rsid w:val="00803773"/>
    <w:rsid w:val="008037A3"/>
    <w:rsid w:val="008038CB"/>
    <w:rsid w:val="00803958"/>
    <w:rsid w:val="00803CCE"/>
    <w:rsid w:val="00803DDB"/>
    <w:rsid w:val="00803EBD"/>
    <w:rsid w:val="00803ED1"/>
    <w:rsid w:val="00803F5B"/>
    <w:rsid w:val="00803FCE"/>
    <w:rsid w:val="00804066"/>
    <w:rsid w:val="00804097"/>
    <w:rsid w:val="00804375"/>
    <w:rsid w:val="008043E5"/>
    <w:rsid w:val="0080442F"/>
    <w:rsid w:val="00804555"/>
    <w:rsid w:val="0080460E"/>
    <w:rsid w:val="0080480D"/>
    <w:rsid w:val="008048BA"/>
    <w:rsid w:val="008048D1"/>
    <w:rsid w:val="0080494F"/>
    <w:rsid w:val="00804969"/>
    <w:rsid w:val="008049D3"/>
    <w:rsid w:val="008049FE"/>
    <w:rsid w:val="00804B0E"/>
    <w:rsid w:val="00804B5D"/>
    <w:rsid w:val="00804BE8"/>
    <w:rsid w:val="00804BFA"/>
    <w:rsid w:val="00804E26"/>
    <w:rsid w:val="00805362"/>
    <w:rsid w:val="00805384"/>
    <w:rsid w:val="0080539D"/>
    <w:rsid w:val="00805573"/>
    <w:rsid w:val="008055C3"/>
    <w:rsid w:val="008056CA"/>
    <w:rsid w:val="008056FA"/>
    <w:rsid w:val="00805708"/>
    <w:rsid w:val="00805BCF"/>
    <w:rsid w:val="00805BE7"/>
    <w:rsid w:val="00805EDC"/>
    <w:rsid w:val="008060C5"/>
    <w:rsid w:val="00806234"/>
    <w:rsid w:val="0080635B"/>
    <w:rsid w:val="008063F1"/>
    <w:rsid w:val="0080656E"/>
    <w:rsid w:val="008065A9"/>
    <w:rsid w:val="00806686"/>
    <w:rsid w:val="0080675A"/>
    <w:rsid w:val="00806821"/>
    <w:rsid w:val="00806A32"/>
    <w:rsid w:val="00806B21"/>
    <w:rsid w:val="00806BD4"/>
    <w:rsid w:val="00806EE5"/>
    <w:rsid w:val="00806FAA"/>
    <w:rsid w:val="00806FDD"/>
    <w:rsid w:val="00807071"/>
    <w:rsid w:val="00807141"/>
    <w:rsid w:val="008071A2"/>
    <w:rsid w:val="008071B0"/>
    <w:rsid w:val="00807666"/>
    <w:rsid w:val="008076B3"/>
    <w:rsid w:val="008076DF"/>
    <w:rsid w:val="00807701"/>
    <w:rsid w:val="00807808"/>
    <w:rsid w:val="00807824"/>
    <w:rsid w:val="00807829"/>
    <w:rsid w:val="00807AAD"/>
    <w:rsid w:val="00807B69"/>
    <w:rsid w:val="00807B87"/>
    <w:rsid w:val="00807BE9"/>
    <w:rsid w:val="00807EBA"/>
    <w:rsid w:val="00807FB2"/>
    <w:rsid w:val="00810023"/>
    <w:rsid w:val="00810220"/>
    <w:rsid w:val="00810278"/>
    <w:rsid w:val="008102A3"/>
    <w:rsid w:val="008102B7"/>
    <w:rsid w:val="00810381"/>
    <w:rsid w:val="008104E9"/>
    <w:rsid w:val="008105B6"/>
    <w:rsid w:val="0081061A"/>
    <w:rsid w:val="00810751"/>
    <w:rsid w:val="0081078D"/>
    <w:rsid w:val="00810839"/>
    <w:rsid w:val="00810987"/>
    <w:rsid w:val="008109A8"/>
    <w:rsid w:val="008109EE"/>
    <w:rsid w:val="00810A82"/>
    <w:rsid w:val="00810B52"/>
    <w:rsid w:val="00810D5E"/>
    <w:rsid w:val="00810D7E"/>
    <w:rsid w:val="00810EBC"/>
    <w:rsid w:val="00810F8C"/>
    <w:rsid w:val="0081103C"/>
    <w:rsid w:val="0081106F"/>
    <w:rsid w:val="00811080"/>
    <w:rsid w:val="00811245"/>
    <w:rsid w:val="008112C1"/>
    <w:rsid w:val="00811407"/>
    <w:rsid w:val="00811432"/>
    <w:rsid w:val="00811481"/>
    <w:rsid w:val="0081155D"/>
    <w:rsid w:val="00811597"/>
    <w:rsid w:val="00811701"/>
    <w:rsid w:val="0081171E"/>
    <w:rsid w:val="00811879"/>
    <w:rsid w:val="008118AF"/>
    <w:rsid w:val="00811A81"/>
    <w:rsid w:val="00811AE2"/>
    <w:rsid w:val="00811C09"/>
    <w:rsid w:val="00811D58"/>
    <w:rsid w:val="00811F6F"/>
    <w:rsid w:val="008120E7"/>
    <w:rsid w:val="0081229F"/>
    <w:rsid w:val="0081232B"/>
    <w:rsid w:val="00812390"/>
    <w:rsid w:val="0081247A"/>
    <w:rsid w:val="0081260C"/>
    <w:rsid w:val="0081263A"/>
    <w:rsid w:val="0081264F"/>
    <w:rsid w:val="0081283A"/>
    <w:rsid w:val="0081287E"/>
    <w:rsid w:val="008129A7"/>
    <w:rsid w:val="008129E8"/>
    <w:rsid w:val="00812C10"/>
    <w:rsid w:val="00812D65"/>
    <w:rsid w:val="00812FE6"/>
    <w:rsid w:val="00813008"/>
    <w:rsid w:val="00813060"/>
    <w:rsid w:val="00813115"/>
    <w:rsid w:val="0081317D"/>
    <w:rsid w:val="00813285"/>
    <w:rsid w:val="00813304"/>
    <w:rsid w:val="00813334"/>
    <w:rsid w:val="00813602"/>
    <w:rsid w:val="0081360D"/>
    <w:rsid w:val="008136EF"/>
    <w:rsid w:val="00813775"/>
    <w:rsid w:val="008137A3"/>
    <w:rsid w:val="00813909"/>
    <w:rsid w:val="00813CC2"/>
    <w:rsid w:val="00813D61"/>
    <w:rsid w:val="00813DBA"/>
    <w:rsid w:val="00813E09"/>
    <w:rsid w:val="00813EB3"/>
    <w:rsid w:val="00814044"/>
    <w:rsid w:val="0081421C"/>
    <w:rsid w:val="00814403"/>
    <w:rsid w:val="008144A8"/>
    <w:rsid w:val="0081450D"/>
    <w:rsid w:val="008145B0"/>
    <w:rsid w:val="008145B7"/>
    <w:rsid w:val="0081461C"/>
    <w:rsid w:val="00814653"/>
    <w:rsid w:val="0081470B"/>
    <w:rsid w:val="0081478D"/>
    <w:rsid w:val="008148C6"/>
    <w:rsid w:val="0081496E"/>
    <w:rsid w:val="00814A28"/>
    <w:rsid w:val="00814AE2"/>
    <w:rsid w:val="00814BED"/>
    <w:rsid w:val="00814C20"/>
    <w:rsid w:val="00814D0C"/>
    <w:rsid w:val="00814DA9"/>
    <w:rsid w:val="00814ECA"/>
    <w:rsid w:val="00814F34"/>
    <w:rsid w:val="00814FA0"/>
    <w:rsid w:val="0081502B"/>
    <w:rsid w:val="008150E9"/>
    <w:rsid w:val="00815114"/>
    <w:rsid w:val="00815257"/>
    <w:rsid w:val="00815291"/>
    <w:rsid w:val="0081529D"/>
    <w:rsid w:val="00815316"/>
    <w:rsid w:val="00815388"/>
    <w:rsid w:val="0081548E"/>
    <w:rsid w:val="00815615"/>
    <w:rsid w:val="008156A0"/>
    <w:rsid w:val="00815801"/>
    <w:rsid w:val="0081586C"/>
    <w:rsid w:val="008159A9"/>
    <w:rsid w:val="00815AA7"/>
    <w:rsid w:val="00815B93"/>
    <w:rsid w:val="00815CB9"/>
    <w:rsid w:val="00815DDF"/>
    <w:rsid w:val="00815FEF"/>
    <w:rsid w:val="00815FF0"/>
    <w:rsid w:val="0081602D"/>
    <w:rsid w:val="008161C8"/>
    <w:rsid w:val="00816270"/>
    <w:rsid w:val="0081638B"/>
    <w:rsid w:val="00816441"/>
    <w:rsid w:val="00816527"/>
    <w:rsid w:val="0081653B"/>
    <w:rsid w:val="008165EB"/>
    <w:rsid w:val="0081669F"/>
    <w:rsid w:val="008166C3"/>
    <w:rsid w:val="00816864"/>
    <w:rsid w:val="00816A17"/>
    <w:rsid w:val="00816BDC"/>
    <w:rsid w:val="00816C0A"/>
    <w:rsid w:val="00816C7B"/>
    <w:rsid w:val="00816CAA"/>
    <w:rsid w:val="0081720B"/>
    <w:rsid w:val="00817251"/>
    <w:rsid w:val="00817255"/>
    <w:rsid w:val="008172A0"/>
    <w:rsid w:val="00817389"/>
    <w:rsid w:val="008173AC"/>
    <w:rsid w:val="008176B8"/>
    <w:rsid w:val="0081774B"/>
    <w:rsid w:val="0081778A"/>
    <w:rsid w:val="008177AE"/>
    <w:rsid w:val="00817826"/>
    <w:rsid w:val="00817869"/>
    <w:rsid w:val="00817A28"/>
    <w:rsid w:val="00817C2B"/>
    <w:rsid w:val="00817C42"/>
    <w:rsid w:val="00817DE3"/>
    <w:rsid w:val="00817E9A"/>
    <w:rsid w:val="00817ED4"/>
    <w:rsid w:val="0082010D"/>
    <w:rsid w:val="0082015D"/>
    <w:rsid w:val="0082021F"/>
    <w:rsid w:val="00820371"/>
    <w:rsid w:val="00820424"/>
    <w:rsid w:val="0082048F"/>
    <w:rsid w:val="008204FE"/>
    <w:rsid w:val="008207AB"/>
    <w:rsid w:val="00820B61"/>
    <w:rsid w:val="00820CDC"/>
    <w:rsid w:val="00820EF5"/>
    <w:rsid w:val="00820FE2"/>
    <w:rsid w:val="0082100A"/>
    <w:rsid w:val="00821035"/>
    <w:rsid w:val="008210AA"/>
    <w:rsid w:val="008215D5"/>
    <w:rsid w:val="0082166B"/>
    <w:rsid w:val="00821769"/>
    <w:rsid w:val="008217D1"/>
    <w:rsid w:val="0082195F"/>
    <w:rsid w:val="008219DE"/>
    <w:rsid w:val="00821A2E"/>
    <w:rsid w:val="00821ABC"/>
    <w:rsid w:val="00821BDB"/>
    <w:rsid w:val="00821CE1"/>
    <w:rsid w:val="00821CF8"/>
    <w:rsid w:val="00821D08"/>
    <w:rsid w:val="00821D74"/>
    <w:rsid w:val="00821E96"/>
    <w:rsid w:val="0082214F"/>
    <w:rsid w:val="00822196"/>
    <w:rsid w:val="008222A0"/>
    <w:rsid w:val="008222EA"/>
    <w:rsid w:val="00822396"/>
    <w:rsid w:val="008224EA"/>
    <w:rsid w:val="00822633"/>
    <w:rsid w:val="0082269D"/>
    <w:rsid w:val="00822773"/>
    <w:rsid w:val="008227CE"/>
    <w:rsid w:val="008227FD"/>
    <w:rsid w:val="00822986"/>
    <w:rsid w:val="00822993"/>
    <w:rsid w:val="008229B6"/>
    <w:rsid w:val="00822A95"/>
    <w:rsid w:val="00822B14"/>
    <w:rsid w:val="00822BC2"/>
    <w:rsid w:val="00822BC8"/>
    <w:rsid w:val="00822CE5"/>
    <w:rsid w:val="00822F18"/>
    <w:rsid w:val="00823007"/>
    <w:rsid w:val="008231DA"/>
    <w:rsid w:val="008232AC"/>
    <w:rsid w:val="00823375"/>
    <w:rsid w:val="0082386A"/>
    <w:rsid w:val="0082395B"/>
    <w:rsid w:val="008239D3"/>
    <w:rsid w:val="00823AFA"/>
    <w:rsid w:val="00823C82"/>
    <w:rsid w:val="00823CF2"/>
    <w:rsid w:val="00823D50"/>
    <w:rsid w:val="00823E02"/>
    <w:rsid w:val="00823ECC"/>
    <w:rsid w:val="008240BA"/>
    <w:rsid w:val="00824252"/>
    <w:rsid w:val="00824285"/>
    <w:rsid w:val="008242BC"/>
    <w:rsid w:val="008243AA"/>
    <w:rsid w:val="008243C9"/>
    <w:rsid w:val="00824404"/>
    <w:rsid w:val="00824458"/>
    <w:rsid w:val="0082466C"/>
    <w:rsid w:val="00824732"/>
    <w:rsid w:val="008248EC"/>
    <w:rsid w:val="00824A96"/>
    <w:rsid w:val="00824AE1"/>
    <w:rsid w:val="00824AEF"/>
    <w:rsid w:val="00824B9E"/>
    <w:rsid w:val="00824F0E"/>
    <w:rsid w:val="00824FA7"/>
    <w:rsid w:val="00825048"/>
    <w:rsid w:val="008250E1"/>
    <w:rsid w:val="008251D7"/>
    <w:rsid w:val="008252FC"/>
    <w:rsid w:val="0082555B"/>
    <w:rsid w:val="00825575"/>
    <w:rsid w:val="008255DE"/>
    <w:rsid w:val="00825626"/>
    <w:rsid w:val="0082569D"/>
    <w:rsid w:val="00825976"/>
    <w:rsid w:val="00825A48"/>
    <w:rsid w:val="00825B11"/>
    <w:rsid w:val="00825D1B"/>
    <w:rsid w:val="00825E82"/>
    <w:rsid w:val="00826113"/>
    <w:rsid w:val="008261FB"/>
    <w:rsid w:val="00826230"/>
    <w:rsid w:val="00826535"/>
    <w:rsid w:val="00826714"/>
    <w:rsid w:val="008267EF"/>
    <w:rsid w:val="00826837"/>
    <w:rsid w:val="0082688B"/>
    <w:rsid w:val="008269A1"/>
    <w:rsid w:val="00826C73"/>
    <w:rsid w:val="00826DAD"/>
    <w:rsid w:val="00826E2A"/>
    <w:rsid w:val="00826F61"/>
    <w:rsid w:val="00827310"/>
    <w:rsid w:val="00827386"/>
    <w:rsid w:val="008276BD"/>
    <w:rsid w:val="008277FE"/>
    <w:rsid w:val="00827847"/>
    <w:rsid w:val="00827877"/>
    <w:rsid w:val="008278C6"/>
    <w:rsid w:val="008278E9"/>
    <w:rsid w:val="00827A52"/>
    <w:rsid w:val="00827E28"/>
    <w:rsid w:val="0082FC22"/>
    <w:rsid w:val="00830044"/>
    <w:rsid w:val="008300E5"/>
    <w:rsid w:val="0083012E"/>
    <w:rsid w:val="00830134"/>
    <w:rsid w:val="00830145"/>
    <w:rsid w:val="00830225"/>
    <w:rsid w:val="0083048B"/>
    <w:rsid w:val="008304C0"/>
    <w:rsid w:val="008305F6"/>
    <w:rsid w:val="00830627"/>
    <w:rsid w:val="0083080A"/>
    <w:rsid w:val="00830817"/>
    <w:rsid w:val="00830851"/>
    <w:rsid w:val="008309E3"/>
    <w:rsid w:val="00830A9D"/>
    <w:rsid w:val="00830B05"/>
    <w:rsid w:val="00830BA4"/>
    <w:rsid w:val="00830C55"/>
    <w:rsid w:val="00830E5F"/>
    <w:rsid w:val="00830E90"/>
    <w:rsid w:val="00830EB1"/>
    <w:rsid w:val="00830FDC"/>
    <w:rsid w:val="0083102B"/>
    <w:rsid w:val="00831219"/>
    <w:rsid w:val="0083128A"/>
    <w:rsid w:val="0083134A"/>
    <w:rsid w:val="00831399"/>
    <w:rsid w:val="008314AA"/>
    <w:rsid w:val="00831505"/>
    <w:rsid w:val="00831779"/>
    <w:rsid w:val="00831908"/>
    <w:rsid w:val="008319AC"/>
    <w:rsid w:val="00831A39"/>
    <w:rsid w:val="00831AD9"/>
    <w:rsid w:val="00831B8A"/>
    <w:rsid w:val="00831B9D"/>
    <w:rsid w:val="00831DA1"/>
    <w:rsid w:val="00831E3A"/>
    <w:rsid w:val="00831F35"/>
    <w:rsid w:val="00831F74"/>
    <w:rsid w:val="00831FA7"/>
    <w:rsid w:val="00831FD8"/>
    <w:rsid w:val="0083236A"/>
    <w:rsid w:val="008324CB"/>
    <w:rsid w:val="00832594"/>
    <w:rsid w:val="00832607"/>
    <w:rsid w:val="0083268F"/>
    <w:rsid w:val="00832792"/>
    <w:rsid w:val="008327C6"/>
    <w:rsid w:val="0083280F"/>
    <w:rsid w:val="00832845"/>
    <w:rsid w:val="00832BDA"/>
    <w:rsid w:val="00832C4D"/>
    <w:rsid w:val="00832C79"/>
    <w:rsid w:val="00832C9B"/>
    <w:rsid w:val="00832D01"/>
    <w:rsid w:val="00832DA5"/>
    <w:rsid w:val="00833069"/>
    <w:rsid w:val="00833087"/>
    <w:rsid w:val="0083315C"/>
    <w:rsid w:val="00833167"/>
    <w:rsid w:val="008333F0"/>
    <w:rsid w:val="008334BD"/>
    <w:rsid w:val="008334BE"/>
    <w:rsid w:val="008336E7"/>
    <w:rsid w:val="0083376C"/>
    <w:rsid w:val="00833772"/>
    <w:rsid w:val="0083379A"/>
    <w:rsid w:val="008337DF"/>
    <w:rsid w:val="0083387D"/>
    <w:rsid w:val="00833A22"/>
    <w:rsid w:val="00833CE1"/>
    <w:rsid w:val="00833FE3"/>
    <w:rsid w:val="0083407A"/>
    <w:rsid w:val="008341A2"/>
    <w:rsid w:val="008342BB"/>
    <w:rsid w:val="008342D3"/>
    <w:rsid w:val="00834581"/>
    <w:rsid w:val="00834590"/>
    <w:rsid w:val="00834642"/>
    <w:rsid w:val="00834845"/>
    <w:rsid w:val="0083492C"/>
    <w:rsid w:val="008349A6"/>
    <w:rsid w:val="008349A9"/>
    <w:rsid w:val="00834BA7"/>
    <w:rsid w:val="00834CA4"/>
    <w:rsid w:val="00834CC4"/>
    <w:rsid w:val="00834DD2"/>
    <w:rsid w:val="00834F3E"/>
    <w:rsid w:val="008350BA"/>
    <w:rsid w:val="00835328"/>
    <w:rsid w:val="00835361"/>
    <w:rsid w:val="00835363"/>
    <w:rsid w:val="00835475"/>
    <w:rsid w:val="008354A5"/>
    <w:rsid w:val="008354DE"/>
    <w:rsid w:val="00835514"/>
    <w:rsid w:val="0083554E"/>
    <w:rsid w:val="0083558A"/>
    <w:rsid w:val="008357A0"/>
    <w:rsid w:val="008357CD"/>
    <w:rsid w:val="00835875"/>
    <w:rsid w:val="008358D6"/>
    <w:rsid w:val="00835B96"/>
    <w:rsid w:val="00835C13"/>
    <w:rsid w:val="00835C1B"/>
    <w:rsid w:val="00835CA0"/>
    <w:rsid w:val="00835CE1"/>
    <w:rsid w:val="00835D48"/>
    <w:rsid w:val="00835D4A"/>
    <w:rsid w:val="00836099"/>
    <w:rsid w:val="008361BD"/>
    <w:rsid w:val="008361C9"/>
    <w:rsid w:val="00836219"/>
    <w:rsid w:val="00836275"/>
    <w:rsid w:val="008364F9"/>
    <w:rsid w:val="0083659F"/>
    <w:rsid w:val="0083661C"/>
    <w:rsid w:val="008366B6"/>
    <w:rsid w:val="008366ED"/>
    <w:rsid w:val="008367EC"/>
    <w:rsid w:val="0083693D"/>
    <w:rsid w:val="00836A83"/>
    <w:rsid w:val="00836AAB"/>
    <w:rsid w:val="00836B70"/>
    <w:rsid w:val="00836C23"/>
    <w:rsid w:val="00836C36"/>
    <w:rsid w:val="00836C8E"/>
    <w:rsid w:val="00836D11"/>
    <w:rsid w:val="00836DFE"/>
    <w:rsid w:val="00836F3E"/>
    <w:rsid w:val="00836FAE"/>
    <w:rsid w:val="0083724A"/>
    <w:rsid w:val="0083725E"/>
    <w:rsid w:val="008373D1"/>
    <w:rsid w:val="00837456"/>
    <w:rsid w:val="008374C1"/>
    <w:rsid w:val="0083754B"/>
    <w:rsid w:val="008375CA"/>
    <w:rsid w:val="008375E1"/>
    <w:rsid w:val="00837648"/>
    <w:rsid w:val="00837784"/>
    <w:rsid w:val="008377BC"/>
    <w:rsid w:val="008378AF"/>
    <w:rsid w:val="008379F6"/>
    <w:rsid w:val="00837A08"/>
    <w:rsid w:val="00837AD5"/>
    <w:rsid w:val="00837C2D"/>
    <w:rsid w:val="00837D9C"/>
    <w:rsid w:val="00837E16"/>
    <w:rsid w:val="00837ECB"/>
    <w:rsid w:val="0083E566"/>
    <w:rsid w:val="00840146"/>
    <w:rsid w:val="008401EE"/>
    <w:rsid w:val="008403E2"/>
    <w:rsid w:val="00840406"/>
    <w:rsid w:val="0084041B"/>
    <w:rsid w:val="0084057B"/>
    <w:rsid w:val="00840605"/>
    <w:rsid w:val="008407C4"/>
    <w:rsid w:val="008407D5"/>
    <w:rsid w:val="00840A23"/>
    <w:rsid w:val="00840A5C"/>
    <w:rsid w:val="00840AE6"/>
    <w:rsid w:val="00840B08"/>
    <w:rsid w:val="00840C3F"/>
    <w:rsid w:val="00840D62"/>
    <w:rsid w:val="00840E68"/>
    <w:rsid w:val="00840EC9"/>
    <w:rsid w:val="00840ECA"/>
    <w:rsid w:val="00840ED0"/>
    <w:rsid w:val="00840FA0"/>
    <w:rsid w:val="00841001"/>
    <w:rsid w:val="008410CD"/>
    <w:rsid w:val="00841105"/>
    <w:rsid w:val="008411F9"/>
    <w:rsid w:val="008412D5"/>
    <w:rsid w:val="00841430"/>
    <w:rsid w:val="0084145C"/>
    <w:rsid w:val="0084146D"/>
    <w:rsid w:val="008414FE"/>
    <w:rsid w:val="00841557"/>
    <w:rsid w:val="0084170F"/>
    <w:rsid w:val="0084173F"/>
    <w:rsid w:val="008417CB"/>
    <w:rsid w:val="00841916"/>
    <w:rsid w:val="008419BD"/>
    <w:rsid w:val="008419FF"/>
    <w:rsid w:val="00841A60"/>
    <w:rsid w:val="00841B56"/>
    <w:rsid w:val="00841BD6"/>
    <w:rsid w:val="00841CD6"/>
    <w:rsid w:val="00841D56"/>
    <w:rsid w:val="00841DED"/>
    <w:rsid w:val="00841E15"/>
    <w:rsid w:val="00842398"/>
    <w:rsid w:val="008423E2"/>
    <w:rsid w:val="00842418"/>
    <w:rsid w:val="008424DD"/>
    <w:rsid w:val="008424F7"/>
    <w:rsid w:val="0084250C"/>
    <w:rsid w:val="008425F7"/>
    <w:rsid w:val="0084260A"/>
    <w:rsid w:val="008428EE"/>
    <w:rsid w:val="008429D0"/>
    <w:rsid w:val="008429E4"/>
    <w:rsid w:val="00842A63"/>
    <w:rsid w:val="00842A6C"/>
    <w:rsid w:val="00842D5B"/>
    <w:rsid w:val="00842D7B"/>
    <w:rsid w:val="00842DA2"/>
    <w:rsid w:val="00842DB9"/>
    <w:rsid w:val="00842E17"/>
    <w:rsid w:val="00842F1D"/>
    <w:rsid w:val="00842F56"/>
    <w:rsid w:val="00842F70"/>
    <w:rsid w:val="0084312C"/>
    <w:rsid w:val="0084314F"/>
    <w:rsid w:val="008431EB"/>
    <w:rsid w:val="0084341C"/>
    <w:rsid w:val="008436FF"/>
    <w:rsid w:val="0084379C"/>
    <w:rsid w:val="0084384D"/>
    <w:rsid w:val="008438C7"/>
    <w:rsid w:val="008438C8"/>
    <w:rsid w:val="00843ABA"/>
    <w:rsid w:val="00843ABE"/>
    <w:rsid w:val="00843B0F"/>
    <w:rsid w:val="00843BFC"/>
    <w:rsid w:val="00843BFE"/>
    <w:rsid w:val="00843C7B"/>
    <w:rsid w:val="00843CE4"/>
    <w:rsid w:val="00843CFF"/>
    <w:rsid w:val="00843D19"/>
    <w:rsid w:val="00843E0E"/>
    <w:rsid w:val="00843E5E"/>
    <w:rsid w:val="00843FDC"/>
    <w:rsid w:val="00844115"/>
    <w:rsid w:val="00844393"/>
    <w:rsid w:val="00844411"/>
    <w:rsid w:val="008444A3"/>
    <w:rsid w:val="00844626"/>
    <w:rsid w:val="0084467A"/>
    <w:rsid w:val="008446A4"/>
    <w:rsid w:val="008446B4"/>
    <w:rsid w:val="008446F4"/>
    <w:rsid w:val="008446F6"/>
    <w:rsid w:val="008447A2"/>
    <w:rsid w:val="008448F9"/>
    <w:rsid w:val="00844A80"/>
    <w:rsid w:val="00844B53"/>
    <w:rsid w:val="00844B5E"/>
    <w:rsid w:val="00844C1F"/>
    <w:rsid w:val="00844D48"/>
    <w:rsid w:val="00844D6F"/>
    <w:rsid w:val="00844DB7"/>
    <w:rsid w:val="00844DD5"/>
    <w:rsid w:val="00844F7C"/>
    <w:rsid w:val="00844FBA"/>
    <w:rsid w:val="008450BC"/>
    <w:rsid w:val="008450CE"/>
    <w:rsid w:val="008451FE"/>
    <w:rsid w:val="00845396"/>
    <w:rsid w:val="00845666"/>
    <w:rsid w:val="008456AE"/>
    <w:rsid w:val="00845773"/>
    <w:rsid w:val="00845914"/>
    <w:rsid w:val="008459EE"/>
    <w:rsid w:val="008459F7"/>
    <w:rsid w:val="00845A7E"/>
    <w:rsid w:val="00845BD2"/>
    <w:rsid w:val="00845BD7"/>
    <w:rsid w:val="00845C30"/>
    <w:rsid w:val="00845D43"/>
    <w:rsid w:val="00845EE6"/>
    <w:rsid w:val="00845F96"/>
    <w:rsid w:val="0084608B"/>
    <w:rsid w:val="008460AD"/>
    <w:rsid w:val="008460AE"/>
    <w:rsid w:val="008463B8"/>
    <w:rsid w:val="0084641E"/>
    <w:rsid w:val="008464DA"/>
    <w:rsid w:val="00846791"/>
    <w:rsid w:val="008467A8"/>
    <w:rsid w:val="008468B9"/>
    <w:rsid w:val="0084692C"/>
    <w:rsid w:val="0084697F"/>
    <w:rsid w:val="00846AA8"/>
    <w:rsid w:val="00846B72"/>
    <w:rsid w:val="00846BA7"/>
    <w:rsid w:val="00846BC4"/>
    <w:rsid w:val="00846C74"/>
    <w:rsid w:val="00846D77"/>
    <w:rsid w:val="00846E45"/>
    <w:rsid w:val="00847066"/>
    <w:rsid w:val="00847113"/>
    <w:rsid w:val="00847292"/>
    <w:rsid w:val="008472A1"/>
    <w:rsid w:val="00847311"/>
    <w:rsid w:val="008473A8"/>
    <w:rsid w:val="008473C1"/>
    <w:rsid w:val="00847412"/>
    <w:rsid w:val="00847572"/>
    <w:rsid w:val="00847671"/>
    <w:rsid w:val="008476CC"/>
    <w:rsid w:val="0084770D"/>
    <w:rsid w:val="00847782"/>
    <w:rsid w:val="00847887"/>
    <w:rsid w:val="008479B9"/>
    <w:rsid w:val="00847ABB"/>
    <w:rsid w:val="00847B86"/>
    <w:rsid w:val="00847B9E"/>
    <w:rsid w:val="00847C2E"/>
    <w:rsid w:val="00847DA4"/>
    <w:rsid w:val="00847E6E"/>
    <w:rsid w:val="00847FA5"/>
    <w:rsid w:val="0084E1A6"/>
    <w:rsid w:val="0085008B"/>
    <w:rsid w:val="00850141"/>
    <w:rsid w:val="0085022B"/>
    <w:rsid w:val="00850274"/>
    <w:rsid w:val="008504D8"/>
    <w:rsid w:val="00850509"/>
    <w:rsid w:val="00850535"/>
    <w:rsid w:val="0085053D"/>
    <w:rsid w:val="008506B6"/>
    <w:rsid w:val="008506F0"/>
    <w:rsid w:val="00850830"/>
    <w:rsid w:val="00850856"/>
    <w:rsid w:val="008508F9"/>
    <w:rsid w:val="00850957"/>
    <w:rsid w:val="00850A53"/>
    <w:rsid w:val="00850A69"/>
    <w:rsid w:val="00850BD2"/>
    <w:rsid w:val="00850D05"/>
    <w:rsid w:val="00850D7E"/>
    <w:rsid w:val="00850D98"/>
    <w:rsid w:val="00850E04"/>
    <w:rsid w:val="00850E7F"/>
    <w:rsid w:val="00851190"/>
    <w:rsid w:val="00851204"/>
    <w:rsid w:val="00851273"/>
    <w:rsid w:val="008512AD"/>
    <w:rsid w:val="00851329"/>
    <w:rsid w:val="00851359"/>
    <w:rsid w:val="008513B4"/>
    <w:rsid w:val="008513BE"/>
    <w:rsid w:val="008513D2"/>
    <w:rsid w:val="00851436"/>
    <w:rsid w:val="00851567"/>
    <w:rsid w:val="008515AA"/>
    <w:rsid w:val="0085161B"/>
    <w:rsid w:val="008516BF"/>
    <w:rsid w:val="008517AB"/>
    <w:rsid w:val="008518C4"/>
    <w:rsid w:val="0085194F"/>
    <w:rsid w:val="008519D0"/>
    <w:rsid w:val="00851A96"/>
    <w:rsid w:val="00851AA9"/>
    <w:rsid w:val="00851AAC"/>
    <w:rsid w:val="00851BF2"/>
    <w:rsid w:val="00851D31"/>
    <w:rsid w:val="00851EC4"/>
    <w:rsid w:val="00851F19"/>
    <w:rsid w:val="00851FBA"/>
    <w:rsid w:val="008520CA"/>
    <w:rsid w:val="0085252E"/>
    <w:rsid w:val="00852535"/>
    <w:rsid w:val="00852A7D"/>
    <w:rsid w:val="00852AB2"/>
    <w:rsid w:val="00852BF8"/>
    <w:rsid w:val="00852DD4"/>
    <w:rsid w:val="00852EBC"/>
    <w:rsid w:val="00852EBD"/>
    <w:rsid w:val="00852F28"/>
    <w:rsid w:val="00852FAF"/>
    <w:rsid w:val="008530AA"/>
    <w:rsid w:val="0085329A"/>
    <w:rsid w:val="0085329B"/>
    <w:rsid w:val="008532C5"/>
    <w:rsid w:val="008535B7"/>
    <w:rsid w:val="00853601"/>
    <w:rsid w:val="008536CB"/>
    <w:rsid w:val="008536FE"/>
    <w:rsid w:val="0085370A"/>
    <w:rsid w:val="00853796"/>
    <w:rsid w:val="00853945"/>
    <w:rsid w:val="00853954"/>
    <w:rsid w:val="00853C17"/>
    <w:rsid w:val="00853D96"/>
    <w:rsid w:val="0085406C"/>
    <w:rsid w:val="00854090"/>
    <w:rsid w:val="008540DE"/>
    <w:rsid w:val="00854123"/>
    <w:rsid w:val="0085417E"/>
    <w:rsid w:val="00854314"/>
    <w:rsid w:val="00854380"/>
    <w:rsid w:val="008543BB"/>
    <w:rsid w:val="008543CB"/>
    <w:rsid w:val="00854649"/>
    <w:rsid w:val="008546A0"/>
    <w:rsid w:val="008547E3"/>
    <w:rsid w:val="0085485A"/>
    <w:rsid w:val="00854BB3"/>
    <w:rsid w:val="00854FD5"/>
    <w:rsid w:val="00855265"/>
    <w:rsid w:val="0085534C"/>
    <w:rsid w:val="00855363"/>
    <w:rsid w:val="00855367"/>
    <w:rsid w:val="0085559E"/>
    <w:rsid w:val="00855682"/>
    <w:rsid w:val="00855706"/>
    <w:rsid w:val="00855734"/>
    <w:rsid w:val="00855772"/>
    <w:rsid w:val="008559FC"/>
    <w:rsid w:val="00855A6F"/>
    <w:rsid w:val="00855AE2"/>
    <w:rsid w:val="00855B98"/>
    <w:rsid w:val="00855C84"/>
    <w:rsid w:val="00855EFF"/>
    <w:rsid w:val="00856039"/>
    <w:rsid w:val="008560C4"/>
    <w:rsid w:val="0085614B"/>
    <w:rsid w:val="00856255"/>
    <w:rsid w:val="0085627C"/>
    <w:rsid w:val="008562CC"/>
    <w:rsid w:val="0085635A"/>
    <w:rsid w:val="008563C2"/>
    <w:rsid w:val="008563F2"/>
    <w:rsid w:val="00856431"/>
    <w:rsid w:val="0085651D"/>
    <w:rsid w:val="008566E3"/>
    <w:rsid w:val="0085676A"/>
    <w:rsid w:val="00856890"/>
    <w:rsid w:val="00856A2C"/>
    <w:rsid w:val="00856A93"/>
    <w:rsid w:val="00856EE0"/>
    <w:rsid w:val="0085703E"/>
    <w:rsid w:val="0085725B"/>
    <w:rsid w:val="00857401"/>
    <w:rsid w:val="008575DF"/>
    <w:rsid w:val="0085762F"/>
    <w:rsid w:val="008576A6"/>
    <w:rsid w:val="008576D1"/>
    <w:rsid w:val="0085781A"/>
    <w:rsid w:val="0085782F"/>
    <w:rsid w:val="00857857"/>
    <w:rsid w:val="00857886"/>
    <w:rsid w:val="008578BE"/>
    <w:rsid w:val="00857936"/>
    <w:rsid w:val="00857A4E"/>
    <w:rsid w:val="00857A60"/>
    <w:rsid w:val="00857B6D"/>
    <w:rsid w:val="00857CDB"/>
    <w:rsid w:val="00857D5D"/>
    <w:rsid w:val="00857E7E"/>
    <w:rsid w:val="00860134"/>
    <w:rsid w:val="008601CA"/>
    <w:rsid w:val="008601D4"/>
    <w:rsid w:val="00860278"/>
    <w:rsid w:val="0086038D"/>
    <w:rsid w:val="00860434"/>
    <w:rsid w:val="0086047F"/>
    <w:rsid w:val="00860523"/>
    <w:rsid w:val="00860528"/>
    <w:rsid w:val="008606AD"/>
    <w:rsid w:val="008606C5"/>
    <w:rsid w:val="008608D7"/>
    <w:rsid w:val="0086098F"/>
    <w:rsid w:val="00860B0F"/>
    <w:rsid w:val="00860B67"/>
    <w:rsid w:val="00860C2F"/>
    <w:rsid w:val="00860DA5"/>
    <w:rsid w:val="00860EB5"/>
    <w:rsid w:val="00860FBE"/>
    <w:rsid w:val="00861017"/>
    <w:rsid w:val="00861066"/>
    <w:rsid w:val="0086135A"/>
    <w:rsid w:val="008614A0"/>
    <w:rsid w:val="008614CB"/>
    <w:rsid w:val="008614CF"/>
    <w:rsid w:val="008614E6"/>
    <w:rsid w:val="0086154D"/>
    <w:rsid w:val="00861914"/>
    <w:rsid w:val="00861AD7"/>
    <w:rsid w:val="00861C2E"/>
    <w:rsid w:val="00861C81"/>
    <w:rsid w:val="00861DFD"/>
    <w:rsid w:val="00861EDC"/>
    <w:rsid w:val="00861FA7"/>
    <w:rsid w:val="00862030"/>
    <w:rsid w:val="008621D7"/>
    <w:rsid w:val="00862333"/>
    <w:rsid w:val="0086238C"/>
    <w:rsid w:val="00862695"/>
    <w:rsid w:val="008627FE"/>
    <w:rsid w:val="008629B9"/>
    <w:rsid w:val="00862D19"/>
    <w:rsid w:val="00862E68"/>
    <w:rsid w:val="00862F6C"/>
    <w:rsid w:val="00863094"/>
    <w:rsid w:val="00863254"/>
    <w:rsid w:val="00863340"/>
    <w:rsid w:val="00863355"/>
    <w:rsid w:val="00863404"/>
    <w:rsid w:val="0086340C"/>
    <w:rsid w:val="0086377D"/>
    <w:rsid w:val="008637B9"/>
    <w:rsid w:val="00863852"/>
    <w:rsid w:val="00863868"/>
    <w:rsid w:val="008638FA"/>
    <w:rsid w:val="00863A4A"/>
    <w:rsid w:val="00863B18"/>
    <w:rsid w:val="00863BD4"/>
    <w:rsid w:val="00863D0E"/>
    <w:rsid w:val="00863D47"/>
    <w:rsid w:val="00863D4E"/>
    <w:rsid w:val="00863D82"/>
    <w:rsid w:val="00863E36"/>
    <w:rsid w:val="00863E41"/>
    <w:rsid w:val="00863E8C"/>
    <w:rsid w:val="00863F02"/>
    <w:rsid w:val="00863F79"/>
    <w:rsid w:val="00863FD2"/>
    <w:rsid w:val="0086404D"/>
    <w:rsid w:val="00864116"/>
    <w:rsid w:val="008641E1"/>
    <w:rsid w:val="00864279"/>
    <w:rsid w:val="00864387"/>
    <w:rsid w:val="0086444D"/>
    <w:rsid w:val="00864483"/>
    <w:rsid w:val="00864656"/>
    <w:rsid w:val="008646F2"/>
    <w:rsid w:val="008646F3"/>
    <w:rsid w:val="0086476C"/>
    <w:rsid w:val="008647DA"/>
    <w:rsid w:val="008648AB"/>
    <w:rsid w:val="00864995"/>
    <w:rsid w:val="00864C3E"/>
    <w:rsid w:val="00864C76"/>
    <w:rsid w:val="00864D3F"/>
    <w:rsid w:val="00864F87"/>
    <w:rsid w:val="00864F9C"/>
    <w:rsid w:val="00864FA1"/>
    <w:rsid w:val="00864FFE"/>
    <w:rsid w:val="008650DB"/>
    <w:rsid w:val="00865140"/>
    <w:rsid w:val="00865674"/>
    <w:rsid w:val="00865793"/>
    <w:rsid w:val="008657A1"/>
    <w:rsid w:val="00865814"/>
    <w:rsid w:val="008658E3"/>
    <w:rsid w:val="00865950"/>
    <w:rsid w:val="00865B15"/>
    <w:rsid w:val="00865B84"/>
    <w:rsid w:val="00865C35"/>
    <w:rsid w:val="00865F11"/>
    <w:rsid w:val="00865F5B"/>
    <w:rsid w:val="008662C4"/>
    <w:rsid w:val="008662E8"/>
    <w:rsid w:val="008663E3"/>
    <w:rsid w:val="00866461"/>
    <w:rsid w:val="00866575"/>
    <w:rsid w:val="008665AE"/>
    <w:rsid w:val="008666F9"/>
    <w:rsid w:val="00866846"/>
    <w:rsid w:val="008668EB"/>
    <w:rsid w:val="008669BB"/>
    <w:rsid w:val="008669BD"/>
    <w:rsid w:val="008669CD"/>
    <w:rsid w:val="008669DA"/>
    <w:rsid w:val="00866A4E"/>
    <w:rsid w:val="00866B79"/>
    <w:rsid w:val="00866C51"/>
    <w:rsid w:val="00866D3A"/>
    <w:rsid w:val="00866DAC"/>
    <w:rsid w:val="00866FDC"/>
    <w:rsid w:val="0086711B"/>
    <w:rsid w:val="00867126"/>
    <w:rsid w:val="008671B3"/>
    <w:rsid w:val="00867277"/>
    <w:rsid w:val="0086729E"/>
    <w:rsid w:val="008672A1"/>
    <w:rsid w:val="00867550"/>
    <w:rsid w:val="00867743"/>
    <w:rsid w:val="00867897"/>
    <w:rsid w:val="008678C2"/>
    <w:rsid w:val="008678C7"/>
    <w:rsid w:val="00867926"/>
    <w:rsid w:val="00867A23"/>
    <w:rsid w:val="00867AB4"/>
    <w:rsid w:val="00867B01"/>
    <w:rsid w:val="00867DD2"/>
    <w:rsid w:val="00867DD3"/>
    <w:rsid w:val="00867F14"/>
    <w:rsid w:val="00867F72"/>
    <w:rsid w:val="00870063"/>
    <w:rsid w:val="00870132"/>
    <w:rsid w:val="0087032F"/>
    <w:rsid w:val="00870344"/>
    <w:rsid w:val="00870395"/>
    <w:rsid w:val="008703AA"/>
    <w:rsid w:val="00870470"/>
    <w:rsid w:val="008704DD"/>
    <w:rsid w:val="0087056D"/>
    <w:rsid w:val="008705FA"/>
    <w:rsid w:val="00870801"/>
    <w:rsid w:val="008708A6"/>
    <w:rsid w:val="00870A44"/>
    <w:rsid w:val="00870B0A"/>
    <w:rsid w:val="00870B80"/>
    <w:rsid w:val="00870BA2"/>
    <w:rsid w:val="00870BA8"/>
    <w:rsid w:val="00870C3D"/>
    <w:rsid w:val="00870CCF"/>
    <w:rsid w:val="00870D10"/>
    <w:rsid w:val="00870D6B"/>
    <w:rsid w:val="00870E6D"/>
    <w:rsid w:val="00871179"/>
    <w:rsid w:val="008711B3"/>
    <w:rsid w:val="00871209"/>
    <w:rsid w:val="00871428"/>
    <w:rsid w:val="00871479"/>
    <w:rsid w:val="008714D5"/>
    <w:rsid w:val="00871581"/>
    <w:rsid w:val="00871659"/>
    <w:rsid w:val="00871735"/>
    <w:rsid w:val="008717C2"/>
    <w:rsid w:val="00871909"/>
    <w:rsid w:val="008719E7"/>
    <w:rsid w:val="00871B57"/>
    <w:rsid w:val="00871C09"/>
    <w:rsid w:val="00871D27"/>
    <w:rsid w:val="00871D4F"/>
    <w:rsid w:val="0087217A"/>
    <w:rsid w:val="008721C9"/>
    <w:rsid w:val="008723B1"/>
    <w:rsid w:val="008723D0"/>
    <w:rsid w:val="00872474"/>
    <w:rsid w:val="00872491"/>
    <w:rsid w:val="008724BE"/>
    <w:rsid w:val="00872587"/>
    <w:rsid w:val="00872589"/>
    <w:rsid w:val="00872667"/>
    <w:rsid w:val="008726E1"/>
    <w:rsid w:val="00872716"/>
    <w:rsid w:val="0087281C"/>
    <w:rsid w:val="0087297E"/>
    <w:rsid w:val="00872988"/>
    <w:rsid w:val="0087299B"/>
    <w:rsid w:val="00872A46"/>
    <w:rsid w:val="00872DB5"/>
    <w:rsid w:val="00872DCE"/>
    <w:rsid w:val="008731BC"/>
    <w:rsid w:val="00873230"/>
    <w:rsid w:val="00873406"/>
    <w:rsid w:val="0087348E"/>
    <w:rsid w:val="008735CD"/>
    <w:rsid w:val="008735EA"/>
    <w:rsid w:val="00873638"/>
    <w:rsid w:val="008736A3"/>
    <w:rsid w:val="008736F4"/>
    <w:rsid w:val="008736FB"/>
    <w:rsid w:val="008737E8"/>
    <w:rsid w:val="00873B5A"/>
    <w:rsid w:val="00873CD7"/>
    <w:rsid w:val="00873CF8"/>
    <w:rsid w:val="00873EE8"/>
    <w:rsid w:val="00874107"/>
    <w:rsid w:val="008742F8"/>
    <w:rsid w:val="00874383"/>
    <w:rsid w:val="008743EB"/>
    <w:rsid w:val="008745A4"/>
    <w:rsid w:val="008746B7"/>
    <w:rsid w:val="00874864"/>
    <w:rsid w:val="00874873"/>
    <w:rsid w:val="00874959"/>
    <w:rsid w:val="00874B0F"/>
    <w:rsid w:val="00874B82"/>
    <w:rsid w:val="00874C84"/>
    <w:rsid w:val="00874DC4"/>
    <w:rsid w:val="00874F27"/>
    <w:rsid w:val="00874F99"/>
    <w:rsid w:val="00875003"/>
    <w:rsid w:val="008751D9"/>
    <w:rsid w:val="008751ED"/>
    <w:rsid w:val="0087525A"/>
    <w:rsid w:val="00875290"/>
    <w:rsid w:val="008752C7"/>
    <w:rsid w:val="00875372"/>
    <w:rsid w:val="008754BF"/>
    <w:rsid w:val="00875636"/>
    <w:rsid w:val="00875661"/>
    <w:rsid w:val="00875A59"/>
    <w:rsid w:val="00875B00"/>
    <w:rsid w:val="00875B31"/>
    <w:rsid w:val="00875C56"/>
    <w:rsid w:val="00875E17"/>
    <w:rsid w:val="00875E3A"/>
    <w:rsid w:val="00875E75"/>
    <w:rsid w:val="00876198"/>
    <w:rsid w:val="008761C0"/>
    <w:rsid w:val="0087633D"/>
    <w:rsid w:val="008763FB"/>
    <w:rsid w:val="008764D9"/>
    <w:rsid w:val="008765DA"/>
    <w:rsid w:val="008765F6"/>
    <w:rsid w:val="008766F0"/>
    <w:rsid w:val="0087692A"/>
    <w:rsid w:val="00876B5F"/>
    <w:rsid w:val="00876CFB"/>
    <w:rsid w:val="00876D47"/>
    <w:rsid w:val="00876D77"/>
    <w:rsid w:val="00876FB7"/>
    <w:rsid w:val="00876FE9"/>
    <w:rsid w:val="00877026"/>
    <w:rsid w:val="0087721A"/>
    <w:rsid w:val="008772B3"/>
    <w:rsid w:val="008772B6"/>
    <w:rsid w:val="008772CD"/>
    <w:rsid w:val="008773F5"/>
    <w:rsid w:val="008774B6"/>
    <w:rsid w:val="008774FE"/>
    <w:rsid w:val="00877643"/>
    <w:rsid w:val="008777B0"/>
    <w:rsid w:val="00877839"/>
    <w:rsid w:val="008778DD"/>
    <w:rsid w:val="008779EC"/>
    <w:rsid w:val="00877A63"/>
    <w:rsid w:val="00877B57"/>
    <w:rsid w:val="00877BCF"/>
    <w:rsid w:val="00877C58"/>
    <w:rsid w:val="00877D61"/>
    <w:rsid w:val="00877E10"/>
    <w:rsid w:val="00877E68"/>
    <w:rsid w:val="00877F2D"/>
    <w:rsid w:val="00877F4E"/>
    <w:rsid w:val="00880087"/>
    <w:rsid w:val="008800F5"/>
    <w:rsid w:val="008802EC"/>
    <w:rsid w:val="00880514"/>
    <w:rsid w:val="00880575"/>
    <w:rsid w:val="008805B5"/>
    <w:rsid w:val="00880672"/>
    <w:rsid w:val="0088067E"/>
    <w:rsid w:val="008806E9"/>
    <w:rsid w:val="008806FB"/>
    <w:rsid w:val="00880755"/>
    <w:rsid w:val="008808E6"/>
    <w:rsid w:val="00880975"/>
    <w:rsid w:val="00880A00"/>
    <w:rsid w:val="00880B34"/>
    <w:rsid w:val="00880B82"/>
    <w:rsid w:val="00880D3C"/>
    <w:rsid w:val="00880D44"/>
    <w:rsid w:val="00880D83"/>
    <w:rsid w:val="0088108F"/>
    <w:rsid w:val="00881090"/>
    <w:rsid w:val="008810AC"/>
    <w:rsid w:val="008810C3"/>
    <w:rsid w:val="008810D3"/>
    <w:rsid w:val="0088135F"/>
    <w:rsid w:val="0088148F"/>
    <w:rsid w:val="008814FF"/>
    <w:rsid w:val="0088158B"/>
    <w:rsid w:val="0088163B"/>
    <w:rsid w:val="0088167F"/>
    <w:rsid w:val="008816A6"/>
    <w:rsid w:val="008818CE"/>
    <w:rsid w:val="00881921"/>
    <w:rsid w:val="00881C73"/>
    <w:rsid w:val="00881D76"/>
    <w:rsid w:val="00881ED1"/>
    <w:rsid w:val="008820EA"/>
    <w:rsid w:val="00882136"/>
    <w:rsid w:val="008822ED"/>
    <w:rsid w:val="0088230C"/>
    <w:rsid w:val="008824DF"/>
    <w:rsid w:val="008825DF"/>
    <w:rsid w:val="0088274C"/>
    <w:rsid w:val="0088276D"/>
    <w:rsid w:val="008827F8"/>
    <w:rsid w:val="00882849"/>
    <w:rsid w:val="00882A1D"/>
    <w:rsid w:val="00882A54"/>
    <w:rsid w:val="00882C7D"/>
    <w:rsid w:val="00882CE9"/>
    <w:rsid w:val="00882CEF"/>
    <w:rsid w:val="00882D96"/>
    <w:rsid w:val="00882F02"/>
    <w:rsid w:val="00882F61"/>
    <w:rsid w:val="0088300F"/>
    <w:rsid w:val="0088301F"/>
    <w:rsid w:val="0088335D"/>
    <w:rsid w:val="008834C0"/>
    <w:rsid w:val="00883824"/>
    <w:rsid w:val="008838BA"/>
    <w:rsid w:val="00883A01"/>
    <w:rsid w:val="00883A06"/>
    <w:rsid w:val="00883CD0"/>
    <w:rsid w:val="00883CF2"/>
    <w:rsid w:val="00883CFF"/>
    <w:rsid w:val="00883DE0"/>
    <w:rsid w:val="00883EB3"/>
    <w:rsid w:val="00883F0A"/>
    <w:rsid w:val="00883F1F"/>
    <w:rsid w:val="00884011"/>
    <w:rsid w:val="00884158"/>
    <w:rsid w:val="0088424A"/>
    <w:rsid w:val="008842CA"/>
    <w:rsid w:val="00884486"/>
    <w:rsid w:val="008846AF"/>
    <w:rsid w:val="008848B2"/>
    <w:rsid w:val="008848F5"/>
    <w:rsid w:val="00884ABF"/>
    <w:rsid w:val="00884C63"/>
    <w:rsid w:val="00884CF6"/>
    <w:rsid w:val="00884D03"/>
    <w:rsid w:val="00884E57"/>
    <w:rsid w:val="00884F2F"/>
    <w:rsid w:val="00884FCB"/>
    <w:rsid w:val="00885037"/>
    <w:rsid w:val="008851AC"/>
    <w:rsid w:val="008852C4"/>
    <w:rsid w:val="00885356"/>
    <w:rsid w:val="008853DE"/>
    <w:rsid w:val="00885503"/>
    <w:rsid w:val="00885548"/>
    <w:rsid w:val="008855D9"/>
    <w:rsid w:val="00885720"/>
    <w:rsid w:val="008858E4"/>
    <w:rsid w:val="008858ED"/>
    <w:rsid w:val="0088593A"/>
    <w:rsid w:val="00885964"/>
    <w:rsid w:val="00885A33"/>
    <w:rsid w:val="00885BF3"/>
    <w:rsid w:val="00885C97"/>
    <w:rsid w:val="00885C9D"/>
    <w:rsid w:val="00885CB6"/>
    <w:rsid w:val="00885DC8"/>
    <w:rsid w:val="00885E85"/>
    <w:rsid w:val="00885EF9"/>
    <w:rsid w:val="00885FAF"/>
    <w:rsid w:val="00885FF2"/>
    <w:rsid w:val="00886523"/>
    <w:rsid w:val="008865BF"/>
    <w:rsid w:val="0088670E"/>
    <w:rsid w:val="00886762"/>
    <w:rsid w:val="00886764"/>
    <w:rsid w:val="008867D5"/>
    <w:rsid w:val="008868E5"/>
    <w:rsid w:val="0088692C"/>
    <w:rsid w:val="008869A5"/>
    <w:rsid w:val="00886A76"/>
    <w:rsid w:val="00886B80"/>
    <w:rsid w:val="00886BE7"/>
    <w:rsid w:val="00886E8D"/>
    <w:rsid w:val="00886F48"/>
    <w:rsid w:val="008870AA"/>
    <w:rsid w:val="00887369"/>
    <w:rsid w:val="0088751B"/>
    <w:rsid w:val="00887544"/>
    <w:rsid w:val="0088763D"/>
    <w:rsid w:val="00887646"/>
    <w:rsid w:val="008877C7"/>
    <w:rsid w:val="008879C7"/>
    <w:rsid w:val="00887B17"/>
    <w:rsid w:val="00887BE4"/>
    <w:rsid w:val="00887D6E"/>
    <w:rsid w:val="00887F4E"/>
    <w:rsid w:val="00887FCB"/>
    <w:rsid w:val="00890101"/>
    <w:rsid w:val="00890210"/>
    <w:rsid w:val="008902BE"/>
    <w:rsid w:val="008903C5"/>
    <w:rsid w:val="008903E6"/>
    <w:rsid w:val="00890484"/>
    <w:rsid w:val="008904E7"/>
    <w:rsid w:val="0089050C"/>
    <w:rsid w:val="0089063F"/>
    <w:rsid w:val="00890750"/>
    <w:rsid w:val="00890838"/>
    <w:rsid w:val="00890916"/>
    <w:rsid w:val="0089092A"/>
    <w:rsid w:val="00890973"/>
    <w:rsid w:val="00890B3D"/>
    <w:rsid w:val="00890BAB"/>
    <w:rsid w:val="00890BB3"/>
    <w:rsid w:val="00890C08"/>
    <w:rsid w:val="00890DB0"/>
    <w:rsid w:val="00890E52"/>
    <w:rsid w:val="00890E7B"/>
    <w:rsid w:val="00890E96"/>
    <w:rsid w:val="00890EB7"/>
    <w:rsid w:val="00890ECF"/>
    <w:rsid w:val="00890EFC"/>
    <w:rsid w:val="00890F7B"/>
    <w:rsid w:val="00890FB6"/>
    <w:rsid w:val="008910B8"/>
    <w:rsid w:val="0089110E"/>
    <w:rsid w:val="0089114E"/>
    <w:rsid w:val="0089125F"/>
    <w:rsid w:val="008912E6"/>
    <w:rsid w:val="008913BC"/>
    <w:rsid w:val="00891547"/>
    <w:rsid w:val="00891552"/>
    <w:rsid w:val="00891574"/>
    <w:rsid w:val="00891749"/>
    <w:rsid w:val="00891813"/>
    <w:rsid w:val="00891B46"/>
    <w:rsid w:val="00891CCF"/>
    <w:rsid w:val="00891DBE"/>
    <w:rsid w:val="00891E66"/>
    <w:rsid w:val="00891FEC"/>
    <w:rsid w:val="008920B7"/>
    <w:rsid w:val="008920DC"/>
    <w:rsid w:val="00892106"/>
    <w:rsid w:val="00892241"/>
    <w:rsid w:val="00892282"/>
    <w:rsid w:val="008924DA"/>
    <w:rsid w:val="008927D5"/>
    <w:rsid w:val="00892A46"/>
    <w:rsid w:val="00892A92"/>
    <w:rsid w:val="00892B4B"/>
    <w:rsid w:val="00892C61"/>
    <w:rsid w:val="00892C6F"/>
    <w:rsid w:val="00892D02"/>
    <w:rsid w:val="00892D2E"/>
    <w:rsid w:val="00892DCB"/>
    <w:rsid w:val="00892DD7"/>
    <w:rsid w:val="00892DE1"/>
    <w:rsid w:val="00892E9F"/>
    <w:rsid w:val="00892F11"/>
    <w:rsid w:val="00892F33"/>
    <w:rsid w:val="00893209"/>
    <w:rsid w:val="00893428"/>
    <w:rsid w:val="008934A9"/>
    <w:rsid w:val="00893508"/>
    <w:rsid w:val="0089372D"/>
    <w:rsid w:val="00893940"/>
    <w:rsid w:val="00893A94"/>
    <w:rsid w:val="00893B59"/>
    <w:rsid w:val="00893C52"/>
    <w:rsid w:val="00893C97"/>
    <w:rsid w:val="00893D95"/>
    <w:rsid w:val="00894078"/>
    <w:rsid w:val="008940FB"/>
    <w:rsid w:val="0089464D"/>
    <w:rsid w:val="00894651"/>
    <w:rsid w:val="00894B7B"/>
    <w:rsid w:val="00894BE2"/>
    <w:rsid w:val="00894C79"/>
    <w:rsid w:val="00894CB0"/>
    <w:rsid w:val="00894CE4"/>
    <w:rsid w:val="00894E38"/>
    <w:rsid w:val="00894E9E"/>
    <w:rsid w:val="008950B9"/>
    <w:rsid w:val="00895118"/>
    <w:rsid w:val="0089514A"/>
    <w:rsid w:val="008951FF"/>
    <w:rsid w:val="00895266"/>
    <w:rsid w:val="0089526C"/>
    <w:rsid w:val="00895325"/>
    <w:rsid w:val="00895380"/>
    <w:rsid w:val="00895425"/>
    <w:rsid w:val="008954A1"/>
    <w:rsid w:val="008954F6"/>
    <w:rsid w:val="00895503"/>
    <w:rsid w:val="0089551D"/>
    <w:rsid w:val="00895580"/>
    <w:rsid w:val="008955CF"/>
    <w:rsid w:val="0089568D"/>
    <w:rsid w:val="0089577F"/>
    <w:rsid w:val="008957F9"/>
    <w:rsid w:val="00895859"/>
    <w:rsid w:val="008958B5"/>
    <w:rsid w:val="0089599B"/>
    <w:rsid w:val="00895AE0"/>
    <w:rsid w:val="00895B12"/>
    <w:rsid w:val="00895B4C"/>
    <w:rsid w:val="00895B9D"/>
    <w:rsid w:val="00895FD9"/>
    <w:rsid w:val="0089612F"/>
    <w:rsid w:val="00896182"/>
    <w:rsid w:val="008961FD"/>
    <w:rsid w:val="008961FE"/>
    <w:rsid w:val="0089650E"/>
    <w:rsid w:val="0089673C"/>
    <w:rsid w:val="0089677E"/>
    <w:rsid w:val="008967BA"/>
    <w:rsid w:val="00896808"/>
    <w:rsid w:val="008968BB"/>
    <w:rsid w:val="008968F8"/>
    <w:rsid w:val="00896B38"/>
    <w:rsid w:val="00896C92"/>
    <w:rsid w:val="00896E1A"/>
    <w:rsid w:val="00896E52"/>
    <w:rsid w:val="00896F6B"/>
    <w:rsid w:val="00896F9E"/>
    <w:rsid w:val="00897026"/>
    <w:rsid w:val="0089710F"/>
    <w:rsid w:val="008971AB"/>
    <w:rsid w:val="008972D0"/>
    <w:rsid w:val="00897342"/>
    <w:rsid w:val="00897394"/>
    <w:rsid w:val="008973A2"/>
    <w:rsid w:val="008973DD"/>
    <w:rsid w:val="00897537"/>
    <w:rsid w:val="00897687"/>
    <w:rsid w:val="008977A2"/>
    <w:rsid w:val="008977C3"/>
    <w:rsid w:val="0089783D"/>
    <w:rsid w:val="008978A1"/>
    <w:rsid w:val="00897997"/>
    <w:rsid w:val="008979A5"/>
    <w:rsid w:val="00897A65"/>
    <w:rsid w:val="00897ADA"/>
    <w:rsid w:val="00897B26"/>
    <w:rsid w:val="00897B96"/>
    <w:rsid w:val="00897D49"/>
    <w:rsid w:val="008A0053"/>
    <w:rsid w:val="008A023E"/>
    <w:rsid w:val="008A02D9"/>
    <w:rsid w:val="008A04BF"/>
    <w:rsid w:val="008A0522"/>
    <w:rsid w:val="008A06E0"/>
    <w:rsid w:val="008A0808"/>
    <w:rsid w:val="008A0AD5"/>
    <w:rsid w:val="008A0BB5"/>
    <w:rsid w:val="008A0BFF"/>
    <w:rsid w:val="008A0C0B"/>
    <w:rsid w:val="008A0C9F"/>
    <w:rsid w:val="008A0D6F"/>
    <w:rsid w:val="008A0FA3"/>
    <w:rsid w:val="008A105F"/>
    <w:rsid w:val="008A10AF"/>
    <w:rsid w:val="008A125B"/>
    <w:rsid w:val="008A12A8"/>
    <w:rsid w:val="008A12AD"/>
    <w:rsid w:val="008A138D"/>
    <w:rsid w:val="008A1567"/>
    <w:rsid w:val="008A15A5"/>
    <w:rsid w:val="008A1655"/>
    <w:rsid w:val="008A16AB"/>
    <w:rsid w:val="008A19E2"/>
    <w:rsid w:val="008A1B7C"/>
    <w:rsid w:val="008A1B8A"/>
    <w:rsid w:val="008A1CD0"/>
    <w:rsid w:val="008A1E81"/>
    <w:rsid w:val="008A1EE7"/>
    <w:rsid w:val="008A1F86"/>
    <w:rsid w:val="008A1FE6"/>
    <w:rsid w:val="008A2088"/>
    <w:rsid w:val="008A2103"/>
    <w:rsid w:val="008A2148"/>
    <w:rsid w:val="008A2459"/>
    <w:rsid w:val="008A249F"/>
    <w:rsid w:val="008A24E0"/>
    <w:rsid w:val="008A262F"/>
    <w:rsid w:val="008A2691"/>
    <w:rsid w:val="008A29C5"/>
    <w:rsid w:val="008A2A75"/>
    <w:rsid w:val="008A2B51"/>
    <w:rsid w:val="008A2D0D"/>
    <w:rsid w:val="008A2DD3"/>
    <w:rsid w:val="008A2E0F"/>
    <w:rsid w:val="008A2E1B"/>
    <w:rsid w:val="008A2E62"/>
    <w:rsid w:val="008A2F87"/>
    <w:rsid w:val="008A2FBA"/>
    <w:rsid w:val="008A2FED"/>
    <w:rsid w:val="008A3288"/>
    <w:rsid w:val="008A33D1"/>
    <w:rsid w:val="008A3405"/>
    <w:rsid w:val="008A34C2"/>
    <w:rsid w:val="008A3571"/>
    <w:rsid w:val="008A358B"/>
    <w:rsid w:val="008A3616"/>
    <w:rsid w:val="008A3759"/>
    <w:rsid w:val="008A38C6"/>
    <w:rsid w:val="008A397F"/>
    <w:rsid w:val="008A3C64"/>
    <w:rsid w:val="008A3D5E"/>
    <w:rsid w:val="008A3E68"/>
    <w:rsid w:val="008A3F93"/>
    <w:rsid w:val="008A3FDC"/>
    <w:rsid w:val="008A45A5"/>
    <w:rsid w:val="008A45E1"/>
    <w:rsid w:val="008A4733"/>
    <w:rsid w:val="008A481B"/>
    <w:rsid w:val="008A4971"/>
    <w:rsid w:val="008A4A5F"/>
    <w:rsid w:val="008A4A74"/>
    <w:rsid w:val="008A4B33"/>
    <w:rsid w:val="008A4D0F"/>
    <w:rsid w:val="008A4D14"/>
    <w:rsid w:val="008A4DCB"/>
    <w:rsid w:val="008A4E44"/>
    <w:rsid w:val="008A4E61"/>
    <w:rsid w:val="008A4F07"/>
    <w:rsid w:val="008A4FE5"/>
    <w:rsid w:val="008A5187"/>
    <w:rsid w:val="008A51C8"/>
    <w:rsid w:val="008A5292"/>
    <w:rsid w:val="008A5391"/>
    <w:rsid w:val="008A53B6"/>
    <w:rsid w:val="008A53C1"/>
    <w:rsid w:val="008A5606"/>
    <w:rsid w:val="008A5610"/>
    <w:rsid w:val="008A58F3"/>
    <w:rsid w:val="008A5947"/>
    <w:rsid w:val="008A5A14"/>
    <w:rsid w:val="008A5CA9"/>
    <w:rsid w:val="008A5D0B"/>
    <w:rsid w:val="008A5D4D"/>
    <w:rsid w:val="008A5D83"/>
    <w:rsid w:val="008A5EBE"/>
    <w:rsid w:val="008A5F7D"/>
    <w:rsid w:val="008A60F0"/>
    <w:rsid w:val="008A6149"/>
    <w:rsid w:val="008A6337"/>
    <w:rsid w:val="008A6375"/>
    <w:rsid w:val="008A637F"/>
    <w:rsid w:val="008A63CF"/>
    <w:rsid w:val="008A645A"/>
    <w:rsid w:val="008A6557"/>
    <w:rsid w:val="008A6611"/>
    <w:rsid w:val="008A6677"/>
    <w:rsid w:val="008A6687"/>
    <w:rsid w:val="008A6738"/>
    <w:rsid w:val="008A67EF"/>
    <w:rsid w:val="008A6B7C"/>
    <w:rsid w:val="008A6C0C"/>
    <w:rsid w:val="008A6C6C"/>
    <w:rsid w:val="008A6C93"/>
    <w:rsid w:val="008A6CBE"/>
    <w:rsid w:val="008A6D16"/>
    <w:rsid w:val="008A6DF7"/>
    <w:rsid w:val="008A719A"/>
    <w:rsid w:val="008A741D"/>
    <w:rsid w:val="008A748E"/>
    <w:rsid w:val="008A74C3"/>
    <w:rsid w:val="008A75E9"/>
    <w:rsid w:val="008A766B"/>
    <w:rsid w:val="008A7AA6"/>
    <w:rsid w:val="008A7ABD"/>
    <w:rsid w:val="008A7B7B"/>
    <w:rsid w:val="008A7B8B"/>
    <w:rsid w:val="008A7D22"/>
    <w:rsid w:val="008A7D93"/>
    <w:rsid w:val="008A7EFE"/>
    <w:rsid w:val="008A7FB5"/>
    <w:rsid w:val="008A7FC9"/>
    <w:rsid w:val="008B00D2"/>
    <w:rsid w:val="008B0175"/>
    <w:rsid w:val="008B0251"/>
    <w:rsid w:val="008B0368"/>
    <w:rsid w:val="008B0445"/>
    <w:rsid w:val="008B044B"/>
    <w:rsid w:val="008B04FD"/>
    <w:rsid w:val="008B081C"/>
    <w:rsid w:val="008B082D"/>
    <w:rsid w:val="008B08C1"/>
    <w:rsid w:val="008B0956"/>
    <w:rsid w:val="008B09A6"/>
    <w:rsid w:val="008B0AC8"/>
    <w:rsid w:val="008B0AE0"/>
    <w:rsid w:val="008B0B5F"/>
    <w:rsid w:val="008B0C28"/>
    <w:rsid w:val="008B0C4D"/>
    <w:rsid w:val="008B0CA9"/>
    <w:rsid w:val="008B0CE8"/>
    <w:rsid w:val="008B0CF1"/>
    <w:rsid w:val="008B0DCB"/>
    <w:rsid w:val="008B0E58"/>
    <w:rsid w:val="008B0EC7"/>
    <w:rsid w:val="008B0F47"/>
    <w:rsid w:val="008B10A0"/>
    <w:rsid w:val="008B10D5"/>
    <w:rsid w:val="008B127F"/>
    <w:rsid w:val="008B1657"/>
    <w:rsid w:val="008B16EE"/>
    <w:rsid w:val="008B1718"/>
    <w:rsid w:val="008B1841"/>
    <w:rsid w:val="008B1956"/>
    <w:rsid w:val="008B19E5"/>
    <w:rsid w:val="008B1DD2"/>
    <w:rsid w:val="008B21F3"/>
    <w:rsid w:val="008B221A"/>
    <w:rsid w:val="008B22D8"/>
    <w:rsid w:val="008B23D4"/>
    <w:rsid w:val="008B246D"/>
    <w:rsid w:val="008B286C"/>
    <w:rsid w:val="008B2AA7"/>
    <w:rsid w:val="008B2BDE"/>
    <w:rsid w:val="008B2C09"/>
    <w:rsid w:val="008B2CF2"/>
    <w:rsid w:val="008B2CF3"/>
    <w:rsid w:val="008B2D72"/>
    <w:rsid w:val="008B2E90"/>
    <w:rsid w:val="008B2F03"/>
    <w:rsid w:val="008B3368"/>
    <w:rsid w:val="008B33AC"/>
    <w:rsid w:val="008B3440"/>
    <w:rsid w:val="008B3449"/>
    <w:rsid w:val="008B3450"/>
    <w:rsid w:val="008B34D0"/>
    <w:rsid w:val="008B35CF"/>
    <w:rsid w:val="008B3705"/>
    <w:rsid w:val="008B37BC"/>
    <w:rsid w:val="008B37E9"/>
    <w:rsid w:val="008B3892"/>
    <w:rsid w:val="008B38CE"/>
    <w:rsid w:val="008B394C"/>
    <w:rsid w:val="008B3A4C"/>
    <w:rsid w:val="008B3C00"/>
    <w:rsid w:val="008B3C92"/>
    <w:rsid w:val="008B41F2"/>
    <w:rsid w:val="008B435B"/>
    <w:rsid w:val="008B438F"/>
    <w:rsid w:val="008B470C"/>
    <w:rsid w:val="008B4765"/>
    <w:rsid w:val="008B4883"/>
    <w:rsid w:val="008B4A5D"/>
    <w:rsid w:val="008B4C0F"/>
    <w:rsid w:val="008B4E30"/>
    <w:rsid w:val="008B5155"/>
    <w:rsid w:val="008B529F"/>
    <w:rsid w:val="008B5354"/>
    <w:rsid w:val="008B564A"/>
    <w:rsid w:val="008B566E"/>
    <w:rsid w:val="008B58BE"/>
    <w:rsid w:val="008B59D6"/>
    <w:rsid w:val="008B5A59"/>
    <w:rsid w:val="008B5B0F"/>
    <w:rsid w:val="008B5B58"/>
    <w:rsid w:val="008B5B82"/>
    <w:rsid w:val="008B5E71"/>
    <w:rsid w:val="008B61C0"/>
    <w:rsid w:val="008B6342"/>
    <w:rsid w:val="008B6391"/>
    <w:rsid w:val="008B6573"/>
    <w:rsid w:val="008B65D1"/>
    <w:rsid w:val="008B663B"/>
    <w:rsid w:val="008B664A"/>
    <w:rsid w:val="008B666F"/>
    <w:rsid w:val="008B687B"/>
    <w:rsid w:val="008B6AD0"/>
    <w:rsid w:val="008B6B0E"/>
    <w:rsid w:val="008B6CA2"/>
    <w:rsid w:val="008B6ED5"/>
    <w:rsid w:val="008B6F20"/>
    <w:rsid w:val="008B6F44"/>
    <w:rsid w:val="008B706F"/>
    <w:rsid w:val="008B731D"/>
    <w:rsid w:val="008B73BF"/>
    <w:rsid w:val="008B7494"/>
    <w:rsid w:val="008B7559"/>
    <w:rsid w:val="008B7572"/>
    <w:rsid w:val="008B768C"/>
    <w:rsid w:val="008B7733"/>
    <w:rsid w:val="008B7779"/>
    <w:rsid w:val="008B79A1"/>
    <w:rsid w:val="008B7BD0"/>
    <w:rsid w:val="008B7C65"/>
    <w:rsid w:val="008B7CBD"/>
    <w:rsid w:val="008B7CC3"/>
    <w:rsid w:val="008B7DC4"/>
    <w:rsid w:val="008B7F0C"/>
    <w:rsid w:val="008B7F36"/>
    <w:rsid w:val="008B7FD9"/>
    <w:rsid w:val="008C02CB"/>
    <w:rsid w:val="008C04B6"/>
    <w:rsid w:val="008C04E5"/>
    <w:rsid w:val="008C056E"/>
    <w:rsid w:val="008C0573"/>
    <w:rsid w:val="008C0673"/>
    <w:rsid w:val="008C06F0"/>
    <w:rsid w:val="008C0750"/>
    <w:rsid w:val="008C09DA"/>
    <w:rsid w:val="008C0B78"/>
    <w:rsid w:val="008C0BA5"/>
    <w:rsid w:val="008C0E8D"/>
    <w:rsid w:val="008C0F31"/>
    <w:rsid w:val="008C1101"/>
    <w:rsid w:val="008C123D"/>
    <w:rsid w:val="008C1390"/>
    <w:rsid w:val="008C13CF"/>
    <w:rsid w:val="008C17A6"/>
    <w:rsid w:val="008C1803"/>
    <w:rsid w:val="008C1818"/>
    <w:rsid w:val="008C1855"/>
    <w:rsid w:val="008C191D"/>
    <w:rsid w:val="008C19B5"/>
    <w:rsid w:val="008C1A5F"/>
    <w:rsid w:val="008C1AD2"/>
    <w:rsid w:val="008C1B3D"/>
    <w:rsid w:val="008C1B6D"/>
    <w:rsid w:val="008C1B7E"/>
    <w:rsid w:val="008C1BD9"/>
    <w:rsid w:val="008C1C91"/>
    <w:rsid w:val="008C1CBD"/>
    <w:rsid w:val="008C1D23"/>
    <w:rsid w:val="008C1D81"/>
    <w:rsid w:val="008C1E36"/>
    <w:rsid w:val="008C1ECD"/>
    <w:rsid w:val="008C1FDF"/>
    <w:rsid w:val="008C2258"/>
    <w:rsid w:val="008C256D"/>
    <w:rsid w:val="008C25AB"/>
    <w:rsid w:val="008C2604"/>
    <w:rsid w:val="008C2782"/>
    <w:rsid w:val="008C2ABD"/>
    <w:rsid w:val="008C2B02"/>
    <w:rsid w:val="008C2B2F"/>
    <w:rsid w:val="008C2B85"/>
    <w:rsid w:val="008C2B8A"/>
    <w:rsid w:val="008C2D61"/>
    <w:rsid w:val="008C2DA0"/>
    <w:rsid w:val="008C2EFA"/>
    <w:rsid w:val="008C2FA3"/>
    <w:rsid w:val="008C300F"/>
    <w:rsid w:val="008C33C9"/>
    <w:rsid w:val="008C347B"/>
    <w:rsid w:val="008C3504"/>
    <w:rsid w:val="008C3725"/>
    <w:rsid w:val="008C379C"/>
    <w:rsid w:val="008C37DE"/>
    <w:rsid w:val="008C3877"/>
    <w:rsid w:val="008C38A5"/>
    <w:rsid w:val="008C38AF"/>
    <w:rsid w:val="008C38B6"/>
    <w:rsid w:val="008C39BC"/>
    <w:rsid w:val="008C3A12"/>
    <w:rsid w:val="008C3A25"/>
    <w:rsid w:val="008C3EB6"/>
    <w:rsid w:val="008C40B5"/>
    <w:rsid w:val="008C41AC"/>
    <w:rsid w:val="008C437C"/>
    <w:rsid w:val="008C447A"/>
    <w:rsid w:val="008C44C2"/>
    <w:rsid w:val="008C4592"/>
    <w:rsid w:val="008C45E8"/>
    <w:rsid w:val="008C45FD"/>
    <w:rsid w:val="008C466D"/>
    <w:rsid w:val="008C4A21"/>
    <w:rsid w:val="008C4B85"/>
    <w:rsid w:val="008C4C3B"/>
    <w:rsid w:val="008C4CD2"/>
    <w:rsid w:val="008C4F01"/>
    <w:rsid w:val="008C4F93"/>
    <w:rsid w:val="008C5201"/>
    <w:rsid w:val="008C5290"/>
    <w:rsid w:val="008C52DB"/>
    <w:rsid w:val="008C5335"/>
    <w:rsid w:val="008C5357"/>
    <w:rsid w:val="008C5361"/>
    <w:rsid w:val="008C5369"/>
    <w:rsid w:val="008C53A3"/>
    <w:rsid w:val="008C53DB"/>
    <w:rsid w:val="008C54DC"/>
    <w:rsid w:val="008C54FB"/>
    <w:rsid w:val="008C5502"/>
    <w:rsid w:val="008C5592"/>
    <w:rsid w:val="008C55D9"/>
    <w:rsid w:val="008C5716"/>
    <w:rsid w:val="008C57D0"/>
    <w:rsid w:val="008C57F0"/>
    <w:rsid w:val="008C59D5"/>
    <w:rsid w:val="008C5A5C"/>
    <w:rsid w:val="008C5B59"/>
    <w:rsid w:val="008C5BE2"/>
    <w:rsid w:val="008C5BFD"/>
    <w:rsid w:val="008C5CE1"/>
    <w:rsid w:val="008C5D91"/>
    <w:rsid w:val="008C5E61"/>
    <w:rsid w:val="008C5F13"/>
    <w:rsid w:val="008C5F61"/>
    <w:rsid w:val="008C60B1"/>
    <w:rsid w:val="008C60C9"/>
    <w:rsid w:val="008C612B"/>
    <w:rsid w:val="008C640C"/>
    <w:rsid w:val="008C649C"/>
    <w:rsid w:val="008C650F"/>
    <w:rsid w:val="008C6613"/>
    <w:rsid w:val="008C6647"/>
    <w:rsid w:val="008C6661"/>
    <w:rsid w:val="008C6754"/>
    <w:rsid w:val="008C6787"/>
    <w:rsid w:val="008C6802"/>
    <w:rsid w:val="008C69AE"/>
    <w:rsid w:val="008C6A3F"/>
    <w:rsid w:val="008C6AC2"/>
    <w:rsid w:val="008C6AD1"/>
    <w:rsid w:val="008C6B8B"/>
    <w:rsid w:val="008C6BCA"/>
    <w:rsid w:val="008C6C38"/>
    <w:rsid w:val="008C6CB4"/>
    <w:rsid w:val="008C6ED2"/>
    <w:rsid w:val="008C6F04"/>
    <w:rsid w:val="008C6F26"/>
    <w:rsid w:val="008C6F33"/>
    <w:rsid w:val="008C731A"/>
    <w:rsid w:val="008C732F"/>
    <w:rsid w:val="008C7456"/>
    <w:rsid w:val="008C7513"/>
    <w:rsid w:val="008C756F"/>
    <w:rsid w:val="008C76C2"/>
    <w:rsid w:val="008C7722"/>
    <w:rsid w:val="008C773B"/>
    <w:rsid w:val="008C788E"/>
    <w:rsid w:val="008C792A"/>
    <w:rsid w:val="008C795F"/>
    <w:rsid w:val="008C79A5"/>
    <w:rsid w:val="008C7CDB"/>
    <w:rsid w:val="008C7E9F"/>
    <w:rsid w:val="008C7F80"/>
    <w:rsid w:val="008CEC42"/>
    <w:rsid w:val="008D0057"/>
    <w:rsid w:val="008D0187"/>
    <w:rsid w:val="008D0194"/>
    <w:rsid w:val="008D02F5"/>
    <w:rsid w:val="008D048C"/>
    <w:rsid w:val="008D055C"/>
    <w:rsid w:val="008D06D2"/>
    <w:rsid w:val="008D0914"/>
    <w:rsid w:val="008D098D"/>
    <w:rsid w:val="008D0A73"/>
    <w:rsid w:val="008D0A7D"/>
    <w:rsid w:val="008D0A7E"/>
    <w:rsid w:val="008D0A99"/>
    <w:rsid w:val="008D0C64"/>
    <w:rsid w:val="008D0C65"/>
    <w:rsid w:val="008D0CE2"/>
    <w:rsid w:val="008D0D77"/>
    <w:rsid w:val="008D0D95"/>
    <w:rsid w:val="008D0EF5"/>
    <w:rsid w:val="008D101B"/>
    <w:rsid w:val="008D1052"/>
    <w:rsid w:val="008D123A"/>
    <w:rsid w:val="008D1322"/>
    <w:rsid w:val="008D13B3"/>
    <w:rsid w:val="008D1749"/>
    <w:rsid w:val="008D17D0"/>
    <w:rsid w:val="008D18EC"/>
    <w:rsid w:val="008D19E0"/>
    <w:rsid w:val="008D1B7F"/>
    <w:rsid w:val="008D1CFF"/>
    <w:rsid w:val="008D1D4B"/>
    <w:rsid w:val="008D1D74"/>
    <w:rsid w:val="008D1E42"/>
    <w:rsid w:val="008D1E72"/>
    <w:rsid w:val="008D1FFA"/>
    <w:rsid w:val="008D2052"/>
    <w:rsid w:val="008D2085"/>
    <w:rsid w:val="008D20C7"/>
    <w:rsid w:val="008D20ED"/>
    <w:rsid w:val="008D22F9"/>
    <w:rsid w:val="008D23C4"/>
    <w:rsid w:val="008D2485"/>
    <w:rsid w:val="008D2524"/>
    <w:rsid w:val="008D29CC"/>
    <w:rsid w:val="008D2AA0"/>
    <w:rsid w:val="008D2D16"/>
    <w:rsid w:val="008D2DE6"/>
    <w:rsid w:val="008D2E9B"/>
    <w:rsid w:val="008D2EAC"/>
    <w:rsid w:val="008D2EFC"/>
    <w:rsid w:val="008D2F0B"/>
    <w:rsid w:val="008D2F20"/>
    <w:rsid w:val="008D2F57"/>
    <w:rsid w:val="008D2FA1"/>
    <w:rsid w:val="008D2FB4"/>
    <w:rsid w:val="008D3111"/>
    <w:rsid w:val="008D31FC"/>
    <w:rsid w:val="008D3333"/>
    <w:rsid w:val="008D336D"/>
    <w:rsid w:val="008D3432"/>
    <w:rsid w:val="008D343C"/>
    <w:rsid w:val="008D3734"/>
    <w:rsid w:val="008D3854"/>
    <w:rsid w:val="008D3876"/>
    <w:rsid w:val="008D38CF"/>
    <w:rsid w:val="008D3AF7"/>
    <w:rsid w:val="008D3B56"/>
    <w:rsid w:val="008D3C0E"/>
    <w:rsid w:val="008D3C32"/>
    <w:rsid w:val="008D3CB6"/>
    <w:rsid w:val="008D3E29"/>
    <w:rsid w:val="008D3F9E"/>
    <w:rsid w:val="008D3FC1"/>
    <w:rsid w:val="008D4073"/>
    <w:rsid w:val="008D4110"/>
    <w:rsid w:val="008D4117"/>
    <w:rsid w:val="008D411E"/>
    <w:rsid w:val="008D4246"/>
    <w:rsid w:val="008D4379"/>
    <w:rsid w:val="008D43C7"/>
    <w:rsid w:val="008D43ED"/>
    <w:rsid w:val="008D45D8"/>
    <w:rsid w:val="008D4673"/>
    <w:rsid w:val="008D485B"/>
    <w:rsid w:val="008D485E"/>
    <w:rsid w:val="008D48F7"/>
    <w:rsid w:val="008D4A98"/>
    <w:rsid w:val="008D4AE5"/>
    <w:rsid w:val="008D4B37"/>
    <w:rsid w:val="008D4B6C"/>
    <w:rsid w:val="008D4DEB"/>
    <w:rsid w:val="008D4E5E"/>
    <w:rsid w:val="008D4E99"/>
    <w:rsid w:val="008D513A"/>
    <w:rsid w:val="008D5457"/>
    <w:rsid w:val="008D565B"/>
    <w:rsid w:val="008D566B"/>
    <w:rsid w:val="008D56BF"/>
    <w:rsid w:val="008D5920"/>
    <w:rsid w:val="008D598A"/>
    <w:rsid w:val="008D5A67"/>
    <w:rsid w:val="008D5B9B"/>
    <w:rsid w:val="008D5F58"/>
    <w:rsid w:val="008D5FBC"/>
    <w:rsid w:val="008D60F0"/>
    <w:rsid w:val="008D6113"/>
    <w:rsid w:val="008D61D6"/>
    <w:rsid w:val="008D6285"/>
    <w:rsid w:val="008D6321"/>
    <w:rsid w:val="008D6464"/>
    <w:rsid w:val="008D65D1"/>
    <w:rsid w:val="008D6938"/>
    <w:rsid w:val="008D6A1F"/>
    <w:rsid w:val="008D6A3F"/>
    <w:rsid w:val="008D6A7C"/>
    <w:rsid w:val="008D6A8B"/>
    <w:rsid w:val="008D6BDD"/>
    <w:rsid w:val="008D6C66"/>
    <w:rsid w:val="008D6D8B"/>
    <w:rsid w:val="008D6E59"/>
    <w:rsid w:val="008D6EA6"/>
    <w:rsid w:val="008D6F27"/>
    <w:rsid w:val="008D6FC1"/>
    <w:rsid w:val="008D7084"/>
    <w:rsid w:val="008D7102"/>
    <w:rsid w:val="008D71B9"/>
    <w:rsid w:val="008D721D"/>
    <w:rsid w:val="008D73C1"/>
    <w:rsid w:val="008D7617"/>
    <w:rsid w:val="008D76FD"/>
    <w:rsid w:val="008D77E2"/>
    <w:rsid w:val="008D78CC"/>
    <w:rsid w:val="008D7A6C"/>
    <w:rsid w:val="008D7A85"/>
    <w:rsid w:val="008D7A98"/>
    <w:rsid w:val="008D7DC4"/>
    <w:rsid w:val="008D7DE2"/>
    <w:rsid w:val="008D7E13"/>
    <w:rsid w:val="008D7EF0"/>
    <w:rsid w:val="008D7FB0"/>
    <w:rsid w:val="008E055A"/>
    <w:rsid w:val="008E07E6"/>
    <w:rsid w:val="008E08ED"/>
    <w:rsid w:val="008E0989"/>
    <w:rsid w:val="008E0B90"/>
    <w:rsid w:val="008E0CE8"/>
    <w:rsid w:val="008E0D29"/>
    <w:rsid w:val="008E0DDA"/>
    <w:rsid w:val="008E0E30"/>
    <w:rsid w:val="008E0F4C"/>
    <w:rsid w:val="008E1138"/>
    <w:rsid w:val="008E1244"/>
    <w:rsid w:val="008E136E"/>
    <w:rsid w:val="008E14A1"/>
    <w:rsid w:val="008E1565"/>
    <w:rsid w:val="008E1600"/>
    <w:rsid w:val="008E16EF"/>
    <w:rsid w:val="008E185D"/>
    <w:rsid w:val="008E1916"/>
    <w:rsid w:val="008E1A14"/>
    <w:rsid w:val="008E1B77"/>
    <w:rsid w:val="008E1D5C"/>
    <w:rsid w:val="008E1E65"/>
    <w:rsid w:val="008E1E92"/>
    <w:rsid w:val="008E1F50"/>
    <w:rsid w:val="008E1FA7"/>
    <w:rsid w:val="008E22E1"/>
    <w:rsid w:val="008E231D"/>
    <w:rsid w:val="008E2334"/>
    <w:rsid w:val="008E2503"/>
    <w:rsid w:val="008E2524"/>
    <w:rsid w:val="008E25B4"/>
    <w:rsid w:val="008E27BA"/>
    <w:rsid w:val="008E286C"/>
    <w:rsid w:val="008E28C3"/>
    <w:rsid w:val="008E29B1"/>
    <w:rsid w:val="008E2A42"/>
    <w:rsid w:val="008E2B0C"/>
    <w:rsid w:val="008E2B76"/>
    <w:rsid w:val="008E2C68"/>
    <w:rsid w:val="008E2D0A"/>
    <w:rsid w:val="008E2D0E"/>
    <w:rsid w:val="008E2D99"/>
    <w:rsid w:val="008E2E50"/>
    <w:rsid w:val="008E2F9D"/>
    <w:rsid w:val="008E2FB2"/>
    <w:rsid w:val="008E300E"/>
    <w:rsid w:val="008E30F6"/>
    <w:rsid w:val="008E310B"/>
    <w:rsid w:val="008E345B"/>
    <w:rsid w:val="008E3563"/>
    <w:rsid w:val="008E3631"/>
    <w:rsid w:val="008E3692"/>
    <w:rsid w:val="008E3699"/>
    <w:rsid w:val="008E373A"/>
    <w:rsid w:val="008E3755"/>
    <w:rsid w:val="008E3807"/>
    <w:rsid w:val="008E380D"/>
    <w:rsid w:val="008E39D3"/>
    <w:rsid w:val="008E3A59"/>
    <w:rsid w:val="008E3AEA"/>
    <w:rsid w:val="008E3B9B"/>
    <w:rsid w:val="008E3C1D"/>
    <w:rsid w:val="008E3CE5"/>
    <w:rsid w:val="008E3DD4"/>
    <w:rsid w:val="008E3E41"/>
    <w:rsid w:val="008E3E99"/>
    <w:rsid w:val="008E3EF1"/>
    <w:rsid w:val="008E3F5B"/>
    <w:rsid w:val="008E3F7A"/>
    <w:rsid w:val="008E405B"/>
    <w:rsid w:val="008E4290"/>
    <w:rsid w:val="008E42EB"/>
    <w:rsid w:val="008E43AF"/>
    <w:rsid w:val="008E447F"/>
    <w:rsid w:val="008E46AE"/>
    <w:rsid w:val="008E473A"/>
    <w:rsid w:val="008E4AB2"/>
    <w:rsid w:val="008E4BEA"/>
    <w:rsid w:val="008E4CAE"/>
    <w:rsid w:val="008E4DA5"/>
    <w:rsid w:val="008E4E15"/>
    <w:rsid w:val="008E4E31"/>
    <w:rsid w:val="008E4E3E"/>
    <w:rsid w:val="008E4FC7"/>
    <w:rsid w:val="008E508B"/>
    <w:rsid w:val="008E509A"/>
    <w:rsid w:val="008E51B1"/>
    <w:rsid w:val="008E5239"/>
    <w:rsid w:val="008E53B3"/>
    <w:rsid w:val="008E546A"/>
    <w:rsid w:val="008E5540"/>
    <w:rsid w:val="008E5654"/>
    <w:rsid w:val="008E599F"/>
    <w:rsid w:val="008E5A47"/>
    <w:rsid w:val="008E5BC2"/>
    <w:rsid w:val="008E5BC3"/>
    <w:rsid w:val="008E5C2F"/>
    <w:rsid w:val="008E5DDB"/>
    <w:rsid w:val="008E5DDE"/>
    <w:rsid w:val="008E5EFF"/>
    <w:rsid w:val="008E5F1B"/>
    <w:rsid w:val="008E6032"/>
    <w:rsid w:val="008E6295"/>
    <w:rsid w:val="008E62C1"/>
    <w:rsid w:val="008E64D1"/>
    <w:rsid w:val="008E6621"/>
    <w:rsid w:val="008E664B"/>
    <w:rsid w:val="008E66EA"/>
    <w:rsid w:val="008E67B0"/>
    <w:rsid w:val="008E67C7"/>
    <w:rsid w:val="008E67FD"/>
    <w:rsid w:val="008E69B2"/>
    <w:rsid w:val="008E6F3C"/>
    <w:rsid w:val="008E6F9F"/>
    <w:rsid w:val="008E71B7"/>
    <w:rsid w:val="008E7208"/>
    <w:rsid w:val="008E7267"/>
    <w:rsid w:val="008E726D"/>
    <w:rsid w:val="008E7375"/>
    <w:rsid w:val="008E737C"/>
    <w:rsid w:val="008E73C5"/>
    <w:rsid w:val="008E741C"/>
    <w:rsid w:val="008E7480"/>
    <w:rsid w:val="008E74D6"/>
    <w:rsid w:val="008E7535"/>
    <w:rsid w:val="008E76C4"/>
    <w:rsid w:val="008E78AE"/>
    <w:rsid w:val="008E791A"/>
    <w:rsid w:val="008E7993"/>
    <w:rsid w:val="008E79AA"/>
    <w:rsid w:val="008E7AEA"/>
    <w:rsid w:val="008E7B36"/>
    <w:rsid w:val="008E7DE9"/>
    <w:rsid w:val="008E7FAC"/>
    <w:rsid w:val="008F00DE"/>
    <w:rsid w:val="008F0154"/>
    <w:rsid w:val="008F0190"/>
    <w:rsid w:val="008F044D"/>
    <w:rsid w:val="008F0502"/>
    <w:rsid w:val="008F0574"/>
    <w:rsid w:val="008F058C"/>
    <w:rsid w:val="008F0602"/>
    <w:rsid w:val="008F064C"/>
    <w:rsid w:val="008F06B5"/>
    <w:rsid w:val="008F06FF"/>
    <w:rsid w:val="008F0713"/>
    <w:rsid w:val="008F0852"/>
    <w:rsid w:val="008F08C6"/>
    <w:rsid w:val="008F08CB"/>
    <w:rsid w:val="008F0978"/>
    <w:rsid w:val="008F0A9E"/>
    <w:rsid w:val="008F0BD0"/>
    <w:rsid w:val="008F0D21"/>
    <w:rsid w:val="008F0E95"/>
    <w:rsid w:val="008F0EF5"/>
    <w:rsid w:val="008F0F1C"/>
    <w:rsid w:val="008F1196"/>
    <w:rsid w:val="008F1216"/>
    <w:rsid w:val="008F1380"/>
    <w:rsid w:val="008F13D5"/>
    <w:rsid w:val="008F144C"/>
    <w:rsid w:val="008F1466"/>
    <w:rsid w:val="008F1477"/>
    <w:rsid w:val="008F15C1"/>
    <w:rsid w:val="008F164F"/>
    <w:rsid w:val="008F1669"/>
    <w:rsid w:val="008F1771"/>
    <w:rsid w:val="008F17AE"/>
    <w:rsid w:val="008F1838"/>
    <w:rsid w:val="008F18BB"/>
    <w:rsid w:val="008F1D13"/>
    <w:rsid w:val="008F1EAA"/>
    <w:rsid w:val="008F1ED2"/>
    <w:rsid w:val="008F1F80"/>
    <w:rsid w:val="008F2068"/>
    <w:rsid w:val="008F206F"/>
    <w:rsid w:val="008F228C"/>
    <w:rsid w:val="008F2351"/>
    <w:rsid w:val="008F23B2"/>
    <w:rsid w:val="008F23DB"/>
    <w:rsid w:val="008F2514"/>
    <w:rsid w:val="008F269D"/>
    <w:rsid w:val="008F27C5"/>
    <w:rsid w:val="008F28EB"/>
    <w:rsid w:val="008F2B42"/>
    <w:rsid w:val="008F2BD4"/>
    <w:rsid w:val="008F2C7F"/>
    <w:rsid w:val="008F2E16"/>
    <w:rsid w:val="008F2E28"/>
    <w:rsid w:val="008F2E74"/>
    <w:rsid w:val="008F30AE"/>
    <w:rsid w:val="008F314A"/>
    <w:rsid w:val="008F33D3"/>
    <w:rsid w:val="008F350D"/>
    <w:rsid w:val="008F35B9"/>
    <w:rsid w:val="008F3677"/>
    <w:rsid w:val="008F3695"/>
    <w:rsid w:val="008F369C"/>
    <w:rsid w:val="008F3784"/>
    <w:rsid w:val="008F3791"/>
    <w:rsid w:val="008F3A92"/>
    <w:rsid w:val="008F3B21"/>
    <w:rsid w:val="008F3BF3"/>
    <w:rsid w:val="008F3BF4"/>
    <w:rsid w:val="008F3C9C"/>
    <w:rsid w:val="008F3D13"/>
    <w:rsid w:val="008F3D2A"/>
    <w:rsid w:val="008F3E06"/>
    <w:rsid w:val="008F3F4D"/>
    <w:rsid w:val="008F3FEC"/>
    <w:rsid w:val="008F404D"/>
    <w:rsid w:val="008F447C"/>
    <w:rsid w:val="008F455A"/>
    <w:rsid w:val="008F46B3"/>
    <w:rsid w:val="008F4780"/>
    <w:rsid w:val="008F47E8"/>
    <w:rsid w:val="008F47EF"/>
    <w:rsid w:val="008F485A"/>
    <w:rsid w:val="008F4903"/>
    <w:rsid w:val="008F4907"/>
    <w:rsid w:val="008F49A4"/>
    <w:rsid w:val="008F4ACF"/>
    <w:rsid w:val="008F4AF0"/>
    <w:rsid w:val="008F4BC3"/>
    <w:rsid w:val="008F4CDF"/>
    <w:rsid w:val="008F4D83"/>
    <w:rsid w:val="008F4E66"/>
    <w:rsid w:val="008F4F53"/>
    <w:rsid w:val="008F4FC0"/>
    <w:rsid w:val="008F5039"/>
    <w:rsid w:val="008F540C"/>
    <w:rsid w:val="008F5532"/>
    <w:rsid w:val="008F55C4"/>
    <w:rsid w:val="008F5679"/>
    <w:rsid w:val="008F57D9"/>
    <w:rsid w:val="008F58F5"/>
    <w:rsid w:val="008F5956"/>
    <w:rsid w:val="008F59E0"/>
    <w:rsid w:val="008F5A13"/>
    <w:rsid w:val="008F5A1E"/>
    <w:rsid w:val="008F5AA4"/>
    <w:rsid w:val="008F5B84"/>
    <w:rsid w:val="008F5CE2"/>
    <w:rsid w:val="008F5D11"/>
    <w:rsid w:val="008F5D9F"/>
    <w:rsid w:val="008F5DE6"/>
    <w:rsid w:val="008F5E48"/>
    <w:rsid w:val="008F5E99"/>
    <w:rsid w:val="008F5F28"/>
    <w:rsid w:val="008F6053"/>
    <w:rsid w:val="008F6190"/>
    <w:rsid w:val="008F627F"/>
    <w:rsid w:val="008F6312"/>
    <w:rsid w:val="008F6361"/>
    <w:rsid w:val="008F650C"/>
    <w:rsid w:val="008F667B"/>
    <w:rsid w:val="008F67EA"/>
    <w:rsid w:val="008F682C"/>
    <w:rsid w:val="008F68D8"/>
    <w:rsid w:val="008F697E"/>
    <w:rsid w:val="008F69E7"/>
    <w:rsid w:val="008F6A1D"/>
    <w:rsid w:val="008F6B04"/>
    <w:rsid w:val="008F6C46"/>
    <w:rsid w:val="008F6E82"/>
    <w:rsid w:val="008F6E96"/>
    <w:rsid w:val="008F6EB0"/>
    <w:rsid w:val="008F6F32"/>
    <w:rsid w:val="008F6F82"/>
    <w:rsid w:val="008F6FF1"/>
    <w:rsid w:val="008F701C"/>
    <w:rsid w:val="008F7093"/>
    <w:rsid w:val="008F7140"/>
    <w:rsid w:val="008F71A9"/>
    <w:rsid w:val="008F7262"/>
    <w:rsid w:val="008F7346"/>
    <w:rsid w:val="008F77F4"/>
    <w:rsid w:val="008F798F"/>
    <w:rsid w:val="008F7992"/>
    <w:rsid w:val="008F7BC0"/>
    <w:rsid w:val="008F7D7C"/>
    <w:rsid w:val="008F7EAA"/>
    <w:rsid w:val="00900112"/>
    <w:rsid w:val="00900207"/>
    <w:rsid w:val="0090024D"/>
    <w:rsid w:val="009003AD"/>
    <w:rsid w:val="00900675"/>
    <w:rsid w:val="009006AA"/>
    <w:rsid w:val="00900725"/>
    <w:rsid w:val="00900956"/>
    <w:rsid w:val="00900AD4"/>
    <w:rsid w:val="00900D87"/>
    <w:rsid w:val="00900E75"/>
    <w:rsid w:val="00901312"/>
    <w:rsid w:val="009013ED"/>
    <w:rsid w:val="009017B6"/>
    <w:rsid w:val="0090180A"/>
    <w:rsid w:val="0090181C"/>
    <w:rsid w:val="0090181F"/>
    <w:rsid w:val="00901826"/>
    <w:rsid w:val="009018A3"/>
    <w:rsid w:val="0090196F"/>
    <w:rsid w:val="009019C0"/>
    <w:rsid w:val="00901B56"/>
    <w:rsid w:val="00901C55"/>
    <w:rsid w:val="00901C9C"/>
    <w:rsid w:val="00901E38"/>
    <w:rsid w:val="00901EBE"/>
    <w:rsid w:val="00901EDA"/>
    <w:rsid w:val="00901F77"/>
    <w:rsid w:val="00902186"/>
    <w:rsid w:val="009021C2"/>
    <w:rsid w:val="009021CA"/>
    <w:rsid w:val="009022D2"/>
    <w:rsid w:val="00902343"/>
    <w:rsid w:val="009023B8"/>
    <w:rsid w:val="00902467"/>
    <w:rsid w:val="009024FB"/>
    <w:rsid w:val="00902641"/>
    <w:rsid w:val="0090278C"/>
    <w:rsid w:val="009027D4"/>
    <w:rsid w:val="00902866"/>
    <w:rsid w:val="009028A9"/>
    <w:rsid w:val="0090296C"/>
    <w:rsid w:val="009029FA"/>
    <w:rsid w:val="00902A78"/>
    <w:rsid w:val="00902B77"/>
    <w:rsid w:val="00902C07"/>
    <w:rsid w:val="00902C0E"/>
    <w:rsid w:val="00902C18"/>
    <w:rsid w:val="00902D49"/>
    <w:rsid w:val="00902E9F"/>
    <w:rsid w:val="00902F91"/>
    <w:rsid w:val="009030FA"/>
    <w:rsid w:val="00903129"/>
    <w:rsid w:val="0090324C"/>
    <w:rsid w:val="009033CE"/>
    <w:rsid w:val="00903514"/>
    <w:rsid w:val="009035BF"/>
    <w:rsid w:val="009035EB"/>
    <w:rsid w:val="009035F9"/>
    <w:rsid w:val="00903625"/>
    <w:rsid w:val="00903673"/>
    <w:rsid w:val="00903804"/>
    <w:rsid w:val="0090386D"/>
    <w:rsid w:val="00903E93"/>
    <w:rsid w:val="00903F35"/>
    <w:rsid w:val="00904104"/>
    <w:rsid w:val="0090412A"/>
    <w:rsid w:val="009041EA"/>
    <w:rsid w:val="00904256"/>
    <w:rsid w:val="009043B6"/>
    <w:rsid w:val="00904646"/>
    <w:rsid w:val="0090464D"/>
    <w:rsid w:val="0090467B"/>
    <w:rsid w:val="00904854"/>
    <w:rsid w:val="00904855"/>
    <w:rsid w:val="0090487E"/>
    <w:rsid w:val="00904AB5"/>
    <w:rsid w:val="00904DBC"/>
    <w:rsid w:val="00904E19"/>
    <w:rsid w:val="00904F8E"/>
    <w:rsid w:val="00904FD1"/>
    <w:rsid w:val="00905337"/>
    <w:rsid w:val="009053D0"/>
    <w:rsid w:val="009053DF"/>
    <w:rsid w:val="009053F0"/>
    <w:rsid w:val="00905441"/>
    <w:rsid w:val="0090557A"/>
    <w:rsid w:val="00905865"/>
    <w:rsid w:val="0090586C"/>
    <w:rsid w:val="009058E1"/>
    <w:rsid w:val="0090591A"/>
    <w:rsid w:val="009059DE"/>
    <w:rsid w:val="00905ADF"/>
    <w:rsid w:val="00905BD0"/>
    <w:rsid w:val="00905CC0"/>
    <w:rsid w:val="00905E21"/>
    <w:rsid w:val="00905F75"/>
    <w:rsid w:val="009060EA"/>
    <w:rsid w:val="0090615E"/>
    <w:rsid w:val="009061CD"/>
    <w:rsid w:val="00906206"/>
    <w:rsid w:val="0090644D"/>
    <w:rsid w:val="009064C2"/>
    <w:rsid w:val="00906789"/>
    <w:rsid w:val="009067A4"/>
    <w:rsid w:val="00906820"/>
    <w:rsid w:val="0090689A"/>
    <w:rsid w:val="00906A02"/>
    <w:rsid w:val="00906A45"/>
    <w:rsid w:val="00906B61"/>
    <w:rsid w:val="00906E17"/>
    <w:rsid w:val="00907055"/>
    <w:rsid w:val="009070C3"/>
    <w:rsid w:val="009070EA"/>
    <w:rsid w:val="00907296"/>
    <w:rsid w:val="009074D5"/>
    <w:rsid w:val="00907546"/>
    <w:rsid w:val="0090757A"/>
    <w:rsid w:val="009077C3"/>
    <w:rsid w:val="00907847"/>
    <w:rsid w:val="0090796D"/>
    <w:rsid w:val="00907A09"/>
    <w:rsid w:val="00907A3C"/>
    <w:rsid w:val="00907A66"/>
    <w:rsid w:val="00907AA6"/>
    <w:rsid w:val="00907B55"/>
    <w:rsid w:val="00907BB1"/>
    <w:rsid w:val="00907C44"/>
    <w:rsid w:val="00907C6B"/>
    <w:rsid w:val="0091000A"/>
    <w:rsid w:val="0091019E"/>
    <w:rsid w:val="009101A6"/>
    <w:rsid w:val="0091032A"/>
    <w:rsid w:val="009103FD"/>
    <w:rsid w:val="0091042D"/>
    <w:rsid w:val="0091051B"/>
    <w:rsid w:val="00910616"/>
    <w:rsid w:val="0091067A"/>
    <w:rsid w:val="00910759"/>
    <w:rsid w:val="0091085C"/>
    <w:rsid w:val="009108B9"/>
    <w:rsid w:val="009108FB"/>
    <w:rsid w:val="0091093F"/>
    <w:rsid w:val="00910954"/>
    <w:rsid w:val="00910CCB"/>
    <w:rsid w:val="00910CE3"/>
    <w:rsid w:val="00910CFB"/>
    <w:rsid w:val="00910D3D"/>
    <w:rsid w:val="00910D91"/>
    <w:rsid w:val="00910DBF"/>
    <w:rsid w:val="00910F3B"/>
    <w:rsid w:val="00910F66"/>
    <w:rsid w:val="00910FAD"/>
    <w:rsid w:val="00911114"/>
    <w:rsid w:val="00911264"/>
    <w:rsid w:val="009113A0"/>
    <w:rsid w:val="009113C8"/>
    <w:rsid w:val="0091153B"/>
    <w:rsid w:val="00911570"/>
    <w:rsid w:val="009115E8"/>
    <w:rsid w:val="00911717"/>
    <w:rsid w:val="009117BE"/>
    <w:rsid w:val="0091194F"/>
    <w:rsid w:val="00911983"/>
    <w:rsid w:val="00911B18"/>
    <w:rsid w:val="00911B9F"/>
    <w:rsid w:val="00911BD4"/>
    <w:rsid w:val="00911C5D"/>
    <w:rsid w:val="00911C61"/>
    <w:rsid w:val="00911D35"/>
    <w:rsid w:val="00911E08"/>
    <w:rsid w:val="00911ED7"/>
    <w:rsid w:val="00911FAA"/>
    <w:rsid w:val="00912021"/>
    <w:rsid w:val="0091221B"/>
    <w:rsid w:val="009122F4"/>
    <w:rsid w:val="00912423"/>
    <w:rsid w:val="009125F4"/>
    <w:rsid w:val="009127ED"/>
    <w:rsid w:val="00912861"/>
    <w:rsid w:val="00912A35"/>
    <w:rsid w:val="00912AA8"/>
    <w:rsid w:val="00912CA4"/>
    <w:rsid w:val="00912CD1"/>
    <w:rsid w:val="00912DF2"/>
    <w:rsid w:val="00912E9F"/>
    <w:rsid w:val="00912EBE"/>
    <w:rsid w:val="00912F74"/>
    <w:rsid w:val="00913115"/>
    <w:rsid w:val="0091319F"/>
    <w:rsid w:val="0091327B"/>
    <w:rsid w:val="009133D8"/>
    <w:rsid w:val="00913409"/>
    <w:rsid w:val="00913444"/>
    <w:rsid w:val="00913459"/>
    <w:rsid w:val="00913558"/>
    <w:rsid w:val="00913658"/>
    <w:rsid w:val="0091367C"/>
    <w:rsid w:val="009136B5"/>
    <w:rsid w:val="00913821"/>
    <w:rsid w:val="009139BC"/>
    <w:rsid w:val="009139D3"/>
    <w:rsid w:val="009139E5"/>
    <w:rsid w:val="00913AA8"/>
    <w:rsid w:val="00913CEC"/>
    <w:rsid w:val="00913D93"/>
    <w:rsid w:val="00913EA9"/>
    <w:rsid w:val="00913EBB"/>
    <w:rsid w:val="00913FC7"/>
    <w:rsid w:val="0091406A"/>
    <w:rsid w:val="00914267"/>
    <w:rsid w:val="00914397"/>
    <w:rsid w:val="009143BF"/>
    <w:rsid w:val="00914492"/>
    <w:rsid w:val="00914665"/>
    <w:rsid w:val="009146B8"/>
    <w:rsid w:val="009146EB"/>
    <w:rsid w:val="009147EF"/>
    <w:rsid w:val="009147F7"/>
    <w:rsid w:val="009148F3"/>
    <w:rsid w:val="00914A07"/>
    <w:rsid w:val="00914A1E"/>
    <w:rsid w:val="00914A2E"/>
    <w:rsid w:val="00914B81"/>
    <w:rsid w:val="00914BA2"/>
    <w:rsid w:val="00914BFE"/>
    <w:rsid w:val="00914DA9"/>
    <w:rsid w:val="009153A2"/>
    <w:rsid w:val="0091540E"/>
    <w:rsid w:val="009154F5"/>
    <w:rsid w:val="009154FC"/>
    <w:rsid w:val="009155E7"/>
    <w:rsid w:val="009155EC"/>
    <w:rsid w:val="0091569C"/>
    <w:rsid w:val="00915794"/>
    <w:rsid w:val="00915936"/>
    <w:rsid w:val="00915A46"/>
    <w:rsid w:val="00915B2C"/>
    <w:rsid w:val="00915BA2"/>
    <w:rsid w:val="00915BD2"/>
    <w:rsid w:val="00915F21"/>
    <w:rsid w:val="00915F77"/>
    <w:rsid w:val="00916105"/>
    <w:rsid w:val="00916170"/>
    <w:rsid w:val="00916177"/>
    <w:rsid w:val="00916182"/>
    <w:rsid w:val="009161E4"/>
    <w:rsid w:val="00916234"/>
    <w:rsid w:val="0091625D"/>
    <w:rsid w:val="00916356"/>
    <w:rsid w:val="00916399"/>
    <w:rsid w:val="009163DE"/>
    <w:rsid w:val="009165AB"/>
    <w:rsid w:val="00916679"/>
    <w:rsid w:val="009166D0"/>
    <w:rsid w:val="009166DF"/>
    <w:rsid w:val="00916949"/>
    <w:rsid w:val="00916A8C"/>
    <w:rsid w:val="00916A9A"/>
    <w:rsid w:val="00916AAD"/>
    <w:rsid w:val="00916C1E"/>
    <w:rsid w:val="00916C35"/>
    <w:rsid w:val="00916C55"/>
    <w:rsid w:val="00916E4D"/>
    <w:rsid w:val="00916F5E"/>
    <w:rsid w:val="0091701A"/>
    <w:rsid w:val="009171E4"/>
    <w:rsid w:val="009172F0"/>
    <w:rsid w:val="009173F2"/>
    <w:rsid w:val="009174BC"/>
    <w:rsid w:val="009174D1"/>
    <w:rsid w:val="009175D9"/>
    <w:rsid w:val="0091764E"/>
    <w:rsid w:val="0091767A"/>
    <w:rsid w:val="00917737"/>
    <w:rsid w:val="009178BD"/>
    <w:rsid w:val="009178DC"/>
    <w:rsid w:val="009179FD"/>
    <w:rsid w:val="00917AC6"/>
    <w:rsid w:val="00917B68"/>
    <w:rsid w:val="00917B6A"/>
    <w:rsid w:val="00917BCC"/>
    <w:rsid w:val="00917DB1"/>
    <w:rsid w:val="00917DF7"/>
    <w:rsid w:val="00917E4C"/>
    <w:rsid w:val="0091AAA2"/>
    <w:rsid w:val="0091DB1B"/>
    <w:rsid w:val="0092046E"/>
    <w:rsid w:val="00920722"/>
    <w:rsid w:val="009207AC"/>
    <w:rsid w:val="00920906"/>
    <w:rsid w:val="0092090F"/>
    <w:rsid w:val="00920996"/>
    <w:rsid w:val="00920A80"/>
    <w:rsid w:val="00920D8A"/>
    <w:rsid w:val="00920E2D"/>
    <w:rsid w:val="00920FD1"/>
    <w:rsid w:val="00921119"/>
    <w:rsid w:val="00921151"/>
    <w:rsid w:val="0092116C"/>
    <w:rsid w:val="009211C0"/>
    <w:rsid w:val="009211CC"/>
    <w:rsid w:val="009212E0"/>
    <w:rsid w:val="009215E2"/>
    <w:rsid w:val="0092170A"/>
    <w:rsid w:val="00921916"/>
    <w:rsid w:val="00921AFD"/>
    <w:rsid w:val="00921B8E"/>
    <w:rsid w:val="00921DE8"/>
    <w:rsid w:val="00921E30"/>
    <w:rsid w:val="00921E81"/>
    <w:rsid w:val="00921EC1"/>
    <w:rsid w:val="009221FE"/>
    <w:rsid w:val="009222CE"/>
    <w:rsid w:val="00922358"/>
    <w:rsid w:val="009223A0"/>
    <w:rsid w:val="009226DC"/>
    <w:rsid w:val="009226E2"/>
    <w:rsid w:val="009228E6"/>
    <w:rsid w:val="00922934"/>
    <w:rsid w:val="009229DA"/>
    <w:rsid w:val="00922A8F"/>
    <w:rsid w:val="00922B2D"/>
    <w:rsid w:val="00922DAE"/>
    <w:rsid w:val="00922EAF"/>
    <w:rsid w:val="00922FF6"/>
    <w:rsid w:val="0092302A"/>
    <w:rsid w:val="0092310B"/>
    <w:rsid w:val="00923155"/>
    <w:rsid w:val="009231B7"/>
    <w:rsid w:val="009232B9"/>
    <w:rsid w:val="0092335A"/>
    <w:rsid w:val="0092340B"/>
    <w:rsid w:val="00923440"/>
    <w:rsid w:val="00923484"/>
    <w:rsid w:val="00923614"/>
    <w:rsid w:val="00923731"/>
    <w:rsid w:val="0092393B"/>
    <w:rsid w:val="00923CA7"/>
    <w:rsid w:val="009240E1"/>
    <w:rsid w:val="0092416F"/>
    <w:rsid w:val="009241A7"/>
    <w:rsid w:val="0092452E"/>
    <w:rsid w:val="00924531"/>
    <w:rsid w:val="00924535"/>
    <w:rsid w:val="009246E9"/>
    <w:rsid w:val="0092477E"/>
    <w:rsid w:val="009247AA"/>
    <w:rsid w:val="009247C2"/>
    <w:rsid w:val="00924920"/>
    <w:rsid w:val="00924A09"/>
    <w:rsid w:val="00924AB9"/>
    <w:rsid w:val="00924ACB"/>
    <w:rsid w:val="00924CF6"/>
    <w:rsid w:val="00924D30"/>
    <w:rsid w:val="00924D6E"/>
    <w:rsid w:val="00924EB7"/>
    <w:rsid w:val="00924EFC"/>
    <w:rsid w:val="00924FB4"/>
    <w:rsid w:val="00925031"/>
    <w:rsid w:val="00925079"/>
    <w:rsid w:val="00925205"/>
    <w:rsid w:val="0092532D"/>
    <w:rsid w:val="009253E8"/>
    <w:rsid w:val="00925496"/>
    <w:rsid w:val="0092566B"/>
    <w:rsid w:val="0092566C"/>
    <w:rsid w:val="00925691"/>
    <w:rsid w:val="009259AF"/>
    <w:rsid w:val="009259EC"/>
    <w:rsid w:val="009259FE"/>
    <w:rsid w:val="00925A82"/>
    <w:rsid w:val="00925AC2"/>
    <w:rsid w:val="00925D1F"/>
    <w:rsid w:val="00925F18"/>
    <w:rsid w:val="0092602C"/>
    <w:rsid w:val="00926227"/>
    <w:rsid w:val="00926386"/>
    <w:rsid w:val="009263C2"/>
    <w:rsid w:val="009264C6"/>
    <w:rsid w:val="0092657A"/>
    <w:rsid w:val="0092659D"/>
    <w:rsid w:val="009265D5"/>
    <w:rsid w:val="00926623"/>
    <w:rsid w:val="009266AB"/>
    <w:rsid w:val="009266FA"/>
    <w:rsid w:val="009268D8"/>
    <w:rsid w:val="00926941"/>
    <w:rsid w:val="00926C03"/>
    <w:rsid w:val="00926C3F"/>
    <w:rsid w:val="00926C89"/>
    <w:rsid w:val="00926FD5"/>
    <w:rsid w:val="00926FFD"/>
    <w:rsid w:val="00927025"/>
    <w:rsid w:val="0092706C"/>
    <w:rsid w:val="009270CE"/>
    <w:rsid w:val="0092711F"/>
    <w:rsid w:val="00927408"/>
    <w:rsid w:val="009274D2"/>
    <w:rsid w:val="00927815"/>
    <w:rsid w:val="00927A25"/>
    <w:rsid w:val="00927BE8"/>
    <w:rsid w:val="00927C7E"/>
    <w:rsid w:val="00927CBE"/>
    <w:rsid w:val="00927F52"/>
    <w:rsid w:val="00927FC1"/>
    <w:rsid w:val="0092CE1C"/>
    <w:rsid w:val="00930069"/>
    <w:rsid w:val="0093009C"/>
    <w:rsid w:val="009302DC"/>
    <w:rsid w:val="009302E8"/>
    <w:rsid w:val="0093037A"/>
    <w:rsid w:val="0093064C"/>
    <w:rsid w:val="00930685"/>
    <w:rsid w:val="009306B4"/>
    <w:rsid w:val="00930713"/>
    <w:rsid w:val="0093076B"/>
    <w:rsid w:val="00930799"/>
    <w:rsid w:val="00930804"/>
    <w:rsid w:val="00930B8E"/>
    <w:rsid w:val="00930BEE"/>
    <w:rsid w:val="00930BF3"/>
    <w:rsid w:val="00930C46"/>
    <w:rsid w:val="00931028"/>
    <w:rsid w:val="009310A1"/>
    <w:rsid w:val="0093115A"/>
    <w:rsid w:val="009314F7"/>
    <w:rsid w:val="009314F8"/>
    <w:rsid w:val="00931623"/>
    <w:rsid w:val="00931716"/>
    <w:rsid w:val="009318E2"/>
    <w:rsid w:val="009318E9"/>
    <w:rsid w:val="009319B1"/>
    <w:rsid w:val="00931ABB"/>
    <w:rsid w:val="00931ADA"/>
    <w:rsid w:val="00931BB2"/>
    <w:rsid w:val="00931BC3"/>
    <w:rsid w:val="00931C3B"/>
    <w:rsid w:val="00931D44"/>
    <w:rsid w:val="0093202A"/>
    <w:rsid w:val="009320F2"/>
    <w:rsid w:val="009320FF"/>
    <w:rsid w:val="0093225C"/>
    <w:rsid w:val="009322D3"/>
    <w:rsid w:val="009323DD"/>
    <w:rsid w:val="0093249E"/>
    <w:rsid w:val="00932511"/>
    <w:rsid w:val="00932629"/>
    <w:rsid w:val="00932847"/>
    <w:rsid w:val="00932987"/>
    <w:rsid w:val="00932AFF"/>
    <w:rsid w:val="00932C5A"/>
    <w:rsid w:val="00932D53"/>
    <w:rsid w:val="00932E4B"/>
    <w:rsid w:val="00932F41"/>
    <w:rsid w:val="00933142"/>
    <w:rsid w:val="0093336D"/>
    <w:rsid w:val="00933433"/>
    <w:rsid w:val="00933484"/>
    <w:rsid w:val="00933677"/>
    <w:rsid w:val="009336AF"/>
    <w:rsid w:val="00933750"/>
    <w:rsid w:val="0093375D"/>
    <w:rsid w:val="009337F5"/>
    <w:rsid w:val="00933925"/>
    <w:rsid w:val="00933AC3"/>
    <w:rsid w:val="00933B90"/>
    <w:rsid w:val="00933DF4"/>
    <w:rsid w:val="00933E0E"/>
    <w:rsid w:val="00933EE0"/>
    <w:rsid w:val="00933F6E"/>
    <w:rsid w:val="00933F97"/>
    <w:rsid w:val="00934085"/>
    <w:rsid w:val="00934220"/>
    <w:rsid w:val="0093425F"/>
    <w:rsid w:val="00934765"/>
    <w:rsid w:val="0093485F"/>
    <w:rsid w:val="0093493E"/>
    <w:rsid w:val="0093498E"/>
    <w:rsid w:val="009349CF"/>
    <w:rsid w:val="00934CAC"/>
    <w:rsid w:val="00934CC2"/>
    <w:rsid w:val="00934D76"/>
    <w:rsid w:val="00934DED"/>
    <w:rsid w:val="00934E6C"/>
    <w:rsid w:val="00935006"/>
    <w:rsid w:val="0093513C"/>
    <w:rsid w:val="009351C6"/>
    <w:rsid w:val="00935312"/>
    <w:rsid w:val="00935316"/>
    <w:rsid w:val="00935378"/>
    <w:rsid w:val="009353A8"/>
    <w:rsid w:val="009353E2"/>
    <w:rsid w:val="00935400"/>
    <w:rsid w:val="00935485"/>
    <w:rsid w:val="00935571"/>
    <w:rsid w:val="009355B3"/>
    <w:rsid w:val="0093560F"/>
    <w:rsid w:val="0093566B"/>
    <w:rsid w:val="00935718"/>
    <w:rsid w:val="00935877"/>
    <w:rsid w:val="009358DC"/>
    <w:rsid w:val="009358F4"/>
    <w:rsid w:val="00935976"/>
    <w:rsid w:val="00935A01"/>
    <w:rsid w:val="00935A9B"/>
    <w:rsid w:val="00935C34"/>
    <w:rsid w:val="00935D82"/>
    <w:rsid w:val="00935E38"/>
    <w:rsid w:val="00935F12"/>
    <w:rsid w:val="00935F7D"/>
    <w:rsid w:val="009361B7"/>
    <w:rsid w:val="009362EA"/>
    <w:rsid w:val="009362F0"/>
    <w:rsid w:val="0093649B"/>
    <w:rsid w:val="009366E2"/>
    <w:rsid w:val="00936748"/>
    <w:rsid w:val="00936905"/>
    <w:rsid w:val="00936944"/>
    <w:rsid w:val="00936985"/>
    <w:rsid w:val="0093699C"/>
    <w:rsid w:val="00936A69"/>
    <w:rsid w:val="00936B85"/>
    <w:rsid w:val="00936C25"/>
    <w:rsid w:val="00936D3E"/>
    <w:rsid w:val="00936E1C"/>
    <w:rsid w:val="009373A3"/>
    <w:rsid w:val="00937423"/>
    <w:rsid w:val="009375A8"/>
    <w:rsid w:val="009375EE"/>
    <w:rsid w:val="0093764F"/>
    <w:rsid w:val="00937707"/>
    <w:rsid w:val="00937718"/>
    <w:rsid w:val="0093781C"/>
    <w:rsid w:val="00937A30"/>
    <w:rsid w:val="00937B05"/>
    <w:rsid w:val="00937C02"/>
    <w:rsid w:val="00937CB1"/>
    <w:rsid w:val="00937EAC"/>
    <w:rsid w:val="0094012A"/>
    <w:rsid w:val="009401AD"/>
    <w:rsid w:val="00940242"/>
    <w:rsid w:val="0094026F"/>
    <w:rsid w:val="00940305"/>
    <w:rsid w:val="00940335"/>
    <w:rsid w:val="00940477"/>
    <w:rsid w:val="0094068A"/>
    <w:rsid w:val="00940785"/>
    <w:rsid w:val="009407FC"/>
    <w:rsid w:val="0094084A"/>
    <w:rsid w:val="009408BF"/>
    <w:rsid w:val="009408C1"/>
    <w:rsid w:val="00940953"/>
    <w:rsid w:val="009409F1"/>
    <w:rsid w:val="00940A44"/>
    <w:rsid w:val="00940A95"/>
    <w:rsid w:val="00940B3C"/>
    <w:rsid w:val="00940B5B"/>
    <w:rsid w:val="00940BEB"/>
    <w:rsid w:val="00940BF7"/>
    <w:rsid w:val="00940C2A"/>
    <w:rsid w:val="00940D18"/>
    <w:rsid w:val="00940E5D"/>
    <w:rsid w:val="00940F55"/>
    <w:rsid w:val="00940F79"/>
    <w:rsid w:val="00940FC0"/>
    <w:rsid w:val="00940FEC"/>
    <w:rsid w:val="009412E1"/>
    <w:rsid w:val="009412F6"/>
    <w:rsid w:val="009413FC"/>
    <w:rsid w:val="00941448"/>
    <w:rsid w:val="0094153D"/>
    <w:rsid w:val="009415A1"/>
    <w:rsid w:val="00941B37"/>
    <w:rsid w:val="00941E39"/>
    <w:rsid w:val="00941EE6"/>
    <w:rsid w:val="00941F94"/>
    <w:rsid w:val="00942052"/>
    <w:rsid w:val="0094237C"/>
    <w:rsid w:val="00942497"/>
    <w:rsid w:val="009426F8"/>
    <w:rsid w:val="0094287D"/>
    <w:rsid w:val="00942A3E"/>
    <w:rsid w:val="00942BC2"/>
    <w:rsid w:val="00942C67"/>
    <w:rsid w:val="00942D7A"/>
    <w:rsid w:val="00942DF3"/>
    <w:rsid w:val="00942E34"/>
    <w:rsid w:val="00942F51"/>
    <w:rsid w:val="00943096"/>
    <w:rsid w:val="009430F4"/>
    <w:rsid w:val="00943493"/>
    <w:rsid w:val="0094377E"/>
    <w:rsid w:val="009437A0"/>
    <w:rsid w:val="00943812"/>
    <w:rsid w:val="0094396F"/>
    <w:rsid w:val="00943ABD"/>
    <w:rsid w:val="00943C80"/>
    <w:rsid w:val="00943CE6"/>
    <w:rsid w:val="00943D10"/>
    <w:rsid w:val="00943D1A"/>
    <w:rsid w:val="00943D39"/>
    <w:rsid w:val="009440DE"/>
    <w:rsid w:val="009441C3"/>
    <w:rsid w:val="009441D9"/>
    <w:rsid w:val="00944306"/>
    <w:rsid w:val="00944356"/>
    <w:rsid w:val="009444AC"/>
    <w:rsid w:val="00944581"/>
    <w:rsid w:val="00944593"/>
    <w:rsid w:val="009446AB"/>
    <w:rsid w:val="0094474E"/>
    <w:rsid w:val="00944B1F"/>
    <w:rsid w:val="00944B5F"/>
    <w:rsid w:val="00944BBB"/>
    <w:rsid w:val="00944D6C"/>
    <w:rsid w:val="00944DCE"/>
    <w:rsid w:val="00944E36"/>
    <w:rsid w:val="00945515"/>
    <w:rsid w:val="009457E5"/>
    <w:rsid w:val="00945934"/>
    <w:rsid w:val="00945987"/>
    <w:rsid w:val="00945B41"/>
    <w:rsid w:val="00945B70"/>
    <w:rsid w:val="00945B8E"/>
    <w:rsid w:val="00945B94"/>
    <w:rsid w:val="00945BA9"/>
    <w:rsid w:val="00945C26"/>
    <w:rsid w:val="00945CC6"/>
    <w:rsid w:val="00945D1A"/>
    <w:rsid w:val="00945D4E"/>
    <w:rsid w:val="00945D8A"/>
    <w:rsid w:val="00945E0E"/>
    <w:rsid w:val="00945EE6"/>
    <w:rsid w:val="0094605E"/>
    <w:rsid w:val="009461AA"/>
    <w:rsid w:val="009464C6"/>
    <w:rsid w:val="0094656F"/>
    <w:rsid w:val="0094666C"/>
    <w:rsid w:val="00946727"/>
    <w:rsid w:val="00946A6F"/>
    <w:rsid w:val="00946BF7"/>
    <w:rsid w:val="00946DFB"/>
    <w:rsid w:val="00946E53"/>
    <w:rsid w:val="00946E66"/>
    <w:rsid w:val="00946F92"/>
    <w:rsid w:val="0094714D"/>
    <w:rsid w:val="009471C9"/>
    <w:rsid w:val="00947288"/>
    <w:rsid w:val="0094729D"/>
    <w:rsid w:val="009472BF"/>
    <w:rsid w:val="00947606"/>
    <w:rsid w:val="00947734"/>
    <w:rsid w:val="009477E0"/>
    <w:rsid w:val="009477F3"/>
    <w:rsid w:val="00947832"/>
    <w:rsid w:val="00947887"/>
    <w:rsid w:val="00947AC2"/>
    <w:rsid w:val="00947BD5"/>
    <w:rsid w:val="00947CA4"/>
    <w:rsid w:val="00947D93"/>
    <w:rsid w:val="00947DE6"/>
    <w:rsid w:val="00947F08"/>
    <w:rsid w:val="00950096"/>
    <w:rsid w:val="009500F2"/>
    <w:rsid w:val="0095011F"/>
    <w:rsid w:val="009501A7"/>
    <w:rsid w:val="009502EF"/>
    <w:rsid w:val="00950311"/>
    <w:rsid w:val="00950355"/>
    <w:rsid w:val="0095070A"/>
    <w:rsid w:val="00950772"/>
    <w:rsid w:val="00950790"/>
    <w:rsid w:val="009507A1"/>
    <w:rsid w:val="00950829"/>
    <w:rsid w:val="009508B0"/>
    <w:rsid w:val="00950918"/>
    <w:rsid w:val="00950962"/>
    <w:rsid w:val="0095096D"/>
    <w:rsid w:val="00950ABB"/>
    <w:rsid w:val="00950AF3"/>
    <w:rsid w:val="00950B62"/>
    <w:rsid w:val="00950B78"/>
    <w:rsid w:val="00950CB5"/>
    <w:rsid w:val="00950D20"/>
    <w:rsid w:val="00950E46"/>
    <w:rsid w:val="0095100C"/>
    <w:rsid w:val="00951062"/>
    <w:rsid w:val="009511AC"/>
    <w:rsid w:val="0095123B"/>
    <w:rsid w:val="00951510"/>
    <w:rsid w:val="00951537"/>
    <w:rsid w:val="00951631"/>
    <w:rsid w:val="0095170C"/>
    <w:rsid w:val="00951814"/>
    <w:rsid w:val="009518CA"/>
    <w:rsid w:val="00951EFF"/>
    <w:rsid w:val="00951FCB"/>
    <w:rsid w:val="0095200D"/>
    <w:rsid w:val="0095209E"/>
    <w:rsid w:val="0095213C"/>
    <w:rsid w:val="00952201"/>
    <w:rsid w:val="0095226D"/>
    <w:rsid w:val="009522B5"/>
    <w:rsid w:val="009522EF"/>
    <w:rsid w:val="00952328"/>
    <w:rsid w:val="009526AE"/>
    <w:rsid w:val="0095276B"/>
    <w:rsid w:val="00952ACA"/>
    <w:rsid w:val="00952C34"/>
    <w:rsid w:val="00952D51"/>
    <w:rsid w:val="00952F0F"/>
    <w:rsid w:val="00952FE6"/>
    <w:rsid w:val="0095300C"/>
    <w:rsid w:val="009530EF"/>
    <w:rsid w:val="00953101"/>
    <w:rsid w:val="0095316C"/>
    <w:rsid w:val="00953217"/>
    <w:rsid w:val="00953271"/>
    <w:rsid w:val="009532B2"/>
    <w:rsid w:val="009532FF"/>
    <w:rsid w:val="00953418"/>
    <w:rsid w:val="0095361F"/>
    <w:rsid w:val="00953664"/>
    <w:rsid w:val="0095372D"/>
    <w:rsid w:val="00953853"/>
    <w:rsid w:val="00953ADB"/>
    <w:rsid w:val="00953B0A"/>
    <w:rsid w:val="00953B35"/>
    <w:rsid w:val="00953BD4"/>
    <w:rsid w:val="00953CAA"/>
    <w:rsid w:val="00953CB8"/>
    <w:rsid w:val="00953CE9"/>
    <w:rsid w:val="00953D5C"/>
    <w:rsid w:val="00954069"/>
    <w:rsid w:val="009540AD"/>
    <w:rsid w:val="0095416F"/>
    <w:rsid w:val="009541DD"/>
    <w:rsid w:val="00954202"/>
    <w:rsid w:val="00954436"/>
    <w:rsid w:val="00954475"/>
    <w:rsid w:val="009544F8"/>
    <w:rsid w:val="009545B8"/>
    <w:rsid w:val="00954686"/>
    <w:rsid w:val="00954788"/>
    <w:rsid w:val="009547E2"/>
    <w:rsid w:val="009547FC"/>
    <w:rsid w:val="00954876"/>
    <w:rsid w:val="00954919"/>
    <w:rsid w:val="00954972"/>
    <w:rsid w:val="00954A20"/>
    <w:rsid w:val="00954A43"/>
    <w:rsid w:val="00954D1D"/>
    <w:rsid w:val="00954D53"/>
    <w:rsid w:val="00954DD6"/>
    <w:rsid w:val="00954F32"/>
    <w:rsid w:val="009550D9"/>
    <w:rsid w:val="00955275"/>
    <w:rsid w:val="0095543E"/>
    <w:rsid w:val="0095565F"/>
    <w:rsid w:val="00955670"/>
    <w:rsid w:val="00955770"/>
    <w:rsid w:val="009558E9"/>
    <w:rsid w:val="0095595A"/>
    <w:rsid w:val="00955998"/>
    <w:rsid w:val="00955A1F"/>
    <w:rsid w:val="00955A8C"/>
    <w:rsid w:val="00955AAC"/>
    <w:rsid w:val="00955B6B"/>
    <w:rsid w:val="00955B8F"/>
    <w:rsid w:val="00955DEF"/>
    <w:rsid w:val="00955E09"/>
    <w:rsid w:val="00955F7A"/>
    <w:rsid w:val="00956052"/>
    <w:rsid w:val="00956075"/>
    <w:rsid w:val="0095613E"/>
    <w:rsid w:val="0095618B"/>
    <w:rsid w:val="00956439"/>
    <w:rsid w:val="00956737"/>
    <w:rsid w:val="00956819"/>
    <w:rsid w:val="00956888"/>
    <w:rsid w:val="009569AE"/>
    <w:rsid w:val="00956AFA"/>
    <w:rsid w:val="00956C29"/>
    <w:rsid w:val="00956CC3"/>
    <w:rsid w:val="00956DEE"/>
    <w:rsid w:val="00956EC0"/>
    <w:rsid w:val="00956EFA"/>
    <w:rsid w:val="00956F67"/>
    <w:rsid w:val="00957286"/>
    <w:rsid w:val="0095751A"/>
    <w:rsid w:val="009576B6"/>
    <w:rsid w:val="0095777E"/>
    <w:rsid w:val="00957836"/>
    <w:rsid w:val="00957AB4"/>
    <w:rsid w:val="00957AFB"/>
    <w:rsid w:val="00957CBB"/>
    <w:rsid w:val="00957D6F"/>
    <w:rsid w:val="00957E85"/>
    <w:rsid w:val="00957ECF"/>
    <w:rsid w:val="0096025F"/>
    <w:rsid w:val="0096033E"/>
    <w:rsid w:val="009603E4"/>
    <w:rsid w:val="009604BD"/>
    <w:rsid w:val="00960591"/>
    <w:rsid w:val="009605ED"/>
    <w:rsid w:val="009606E7"/>
    <w:rsid w:val="00960955"/>
    <w:rsid w:val="00960AA4"/>
    <w:rsid w:val="00960B19"/>
    <w:rsid w:val="00960B43"/>
    <w:rsid w:val="00960D89"/>
    <w:rsid w:val="00960DAB"/>
    <w:rsid w:val="00960DB2"/>
    <w:rsid w:val="00960E38"/>
    <w:rsid w:val="00960EE1"/>
    <w:rsid w:val="00960F98"/>
    <w:rsid w:val="00960FAC"/>
    <w:rsid w:val="00961027"/>
    <w:rsid w:val="0096104F"/>
    <w:rsid w:val="00961073"/>
    <w:rsid w:val="009611DF"/>
    <w:rsid w:val="0096120E"/>
    <w:rsid w:val="00961280"/>
    <w:rsid w:val="009615E9"/>
    <w:rsid w:val="009615EC"/>
    <w:rsid w:val="00961670"/>
    <w:rsid w:val="00961782"/>
    <w:rsid w:val="0096178A"/>
    <w:rsid w:val="0096179B"/>
    <w:rsid w:val="0096179C"/>
    <w:rsid w:val="009618B2"/>
    <w:rsid w:val="00961ADE"/>
    <w:rsid w:val="00961B02"/>
    <w:rsid w:val="00961CDC"/>
    <w:rsid w:val="00961D2A"/>
    <w:rsid w:val="00961D2F"/>
    <w:rsid w:val="00961D3A"/>
    <w:rsid w:val="0096207A"/>
    <w:rsid w:val="009620BC"/>
    <w:rsid w:val="00962111"/>
    <w:rsid w:val="00962235"/>
    <w:rsid w:val="0096228B"/>
    <w:rsid w:val="0096239D"/>
    <w:rsid w:val="009625CE"/>
    <w:rsid w:val="009626EA"/>
    <w:rsid w:val="00962896"/>
    <w:rsid w:val="009629A7"/>
    <w:rsid w:val="009629DB"/>
    <w:rsid w:val="009629F1"/>
    <w:rsid w:val="00962C45"/>
    <w:rsid w:val="00962C62"/>
    <w:rsid w:val="00962E69"/>
    <w:rsid w:val="00962EAB"/>
    <w:rsid w:val="00962ED4"/>
    <w:rsid w:val="00962F00"/>
    <w:rsid w:val="009631C6"/>
    <w:rsid w:val="00963297"/>
    <w:rsid w:val="0096335B"/>
    <w:rsid w:val="00963603"/>
    <w:rsid w:val="0096379F"/>
    <w:rsid w:val="0096385A"/>
    <w:rsid w:val="00963AE1"/>
    <w:rsid w:val="00963B30"/>
    <w:rsid w:val="00963C7D"/>
    <w:rsid w:val="00963CFE"/>
    <w:rsid w:val="00963E39"/>
    <w:rsid w:val="00963FE3"/>
    <w:rsid w:val="00964023"/>
    <w:rsid w:val="0096404B"/>
    <w:rsid w:val="00964074"/>
    <w:rsid w:val="009641C2"/>
    <w:rsid w:val="009641E5"/>
    <w:rsid w:val="009641FB"/>
    <w:rsid w:val="00964368"/>
    <w:rsid w:val="00964510"/>
    <w:rsid w:val="009645E5"/>
    <w:rsid w:val="009645E7"/>
    <w:rsid w:val="0096466C"/>
    <w:rsid w:val="0096471E"/>
    <w:rsid w:val="0096473D"/>
    <w:rsid w:val="009649BA"/>
    <w:rsid w:val="009649D8"/>
    <w:rsid w:val="00964AC0"/>
    <w:rsid w:val="00964AFE"/>
    <w:rsid w:val="00964D0C"/>
    <w:rsid w:val="00964D6F"/>
    <w:rsid w:val="00964D80"/>
    <w:rsid w:val="00964F4F"/>
    <w:rsid w:val="00964F78"/>
    <w:rsid w:val="0096504C"/>
    <w:rsid w:val="009650AD"/>
    <w:rsid w:val="009650E6"/>
    <w:rsid w:val="00965101"/>
    <w:rsid w:val="0096523A"/>
    <w:rsid w:val="009652E7"/>
    <w:rsid w:val="00965377"/>
    <w:rsid w:val="00965447"/>
    <w:rsid w:val="009654CC"/>
    <w:rsid w:val="00965651"/>
    <w:rsid w:val="00965752"/>
    <w:rsid w:val="009657B3"/>
    <w:rsid w:val="009657D8"/>
    <w:rsid w:val="00965966"/>
    <w:rsid w:val="00965D73"/>
    <w:rsid w:val="00965EA0"/>
    <w:rsid w:val="00965F98"/>
    <w:rsid w:val="00965FA3"/>
    <w:rsid w:val="00966060"/>
    <w:rsid w:val="009661DB"/>
    <w:rsid w:val="00966308"/>
    <w:rsid w:val="009663CD"/>
    <w:rsid w:val="00966413"/>
    <w:rsid w:val="009666CE"/>
    <w:rsid w:val="00966B18"/>
    <w:rsid w:val="00966B1D"/>
    <w:rsid w:val="00966CAC"/>
    <w:rsid w:val="00966EBF"/>
    <w:rsid w:val="00966F85"/>
    <w:rsid w:val="0096705B"/>
    <w:rsid w:val="009670EB"/>
    <w:rsid w:val="00967207"/>
    <w:rsid w:val="00967409"/>
    <w:rsid w:val="009674DF"/>
    <w:rsid w:val="0096750A"/>
    <w:rsid w:val="0096751F"/>
    <w:rsid w:val="00967540"/>
    <w:rsid w:val="00967606"/>
    <w:rsid w:val="0096769D"/>
    <w:rsid w:val="009676DB"/>
    <w:rsid w:val="00967766"/>
    <w:rsid w:val="009677B1"/>
    <w:rsid w:val="00967868"/>
    <w:rsid w:val="009678BB"/>
    <w:rsid w:val="009678CF"/>
    <w:rsid w:val="00967913"/>
    <w:rsid w:val="00967B05"/>
    <w:rsid w:val="00967B6E"/>
    <w:rsid w:val="00967E94"/>
    <w:rsid w:val="0097001D"/>
    <w:rsid w:val="0097003E"/>
    <w:rsid w:val="009701E7"/>
    <w:rsid w:val="00970338"/>
    <w:rsid w:val="00970406"/>
    <w:rsid w:val="009704AA"/>
    <w:rsid w:val="009704BE"/>
    <w:rsid w:val="009705FD"/>
    <w:rsid w:val="00970617"/>
    <w:rsid w:val="00970699"/>
    <w:rsid w:val="009708A7"/>
    <w:rsid w:val="009709CA"/>
    <w:rsid w:val="009709DD"/>
    <w:rsid w:val="00970A1E"/>
    <w:rsid w:val="00970B04"/>
    <w:rsid w:val="00970B5D"/>
    <w:rsid w:val="00970BEE"/>
    <w:rsid w:val="00970CA1"/>
    <w:rsid w:val="00970D98"/>
    <w:rsid w:val="00971188"/>
    <w:rsid w:val="009711AD"/>
    <w:rsid w:val="0097123A"/>
    <w:rsid w:val="00971277"/>
    <w:rsid w:val="009713C8"/>
    <w:rsid w:val="009714F0"/>
    <w:rsid w:val="00971501"/>
    <w:rsid w:val="0097160D"/>
    <w:rsid w:val="00971647"/>
    <w:rsid w:val="00971677"/>
    <w:rsid w:val="0097167A"/>
    <w:rsid w:val="009716F9"/>
    <w:rsid w:val="00971750"/>
    <w:rsid w:val="009717EA"/>
    <w:rsid w:val="00971A46"/>
    <w:rsid w:val="00971A6C"/>
    <w:rsid w:val="00971AA7"/>
    <w:rsid w:val="00971B43"/>
    <w:rsid w:val="00971BB0"/>
    <w:rsid w:val="00971C28"/>
    <w:rsid w:val="00971DBC"/>
    <w:rsid w:val="00971F52"/>
    <w:rsid w:val="0097203A"/>
    <w:rsid w:val="009720ED"/>
    <w:rsid w:val="0097212F"/>
    <w:rsid w:val="00972150"/>
    <w:rsid w:val="00972418"/>
    <w:rsid w:val="009726E3"/>
    <w:rsid w:val="00972736"/>
    <w:rsid w:val="00972AC0"/>
    <w:rsid w:val="00972AF6"/>
    <w:rsid w:val="00972B53"/>
    <w:rsid w:val="00972BA6"/>
    <w:rsid w:val="00972CBD"/>
    <w:rsid w:val="00972EAB"/>
    <w:rsid w:val="00972EEC"/>
    <w:rsid w:val="00972F57"/>
    <w:rsid w:val="00972F5A"/>
    <w:rsid w:val="00973073"/>
    <w:rsid w:val="00973078"/>
    <w:rsid w:val="0097311A"/>
    <w:rsid w:val="00973660"/>
    <w:rsid w:val="0097385E"/>
    <w:rsid w:val="009738DB"/>
    <w:rsid w:val="00973909"/>
    <w:rsid w:val="00973AF3"/>
    <w:rsid w:val="00973D69"/>
    <w:rsid w:val="00973DB6"/>
    <w:rsid w:val="00973DD1"/>
    <w:rsid w:val="00973F52"/>
    <w:rsid w:val="00973F9E"/>
    <w:rsid w:val="00973FDA"/>
    <w:rsid w:val="00974085"/>
    <w:rsid w:val="00974147"/>
    <w:rsid w:val="0097414B"/>
    <w:rsid w:val="009743BA"/>
    <w:rsid w:val="009744FF"/>
    <w:rsid w:val="009745D0"/>
    <w:rsid w:val="009747E2"/>
    <w:rsid w:val="00974956"/>
    <w:rsid w:val="00974A8D"/>
    <w:rsid w:val="00974BC8"/>
    <w:rsid w:val="00974C3C"/>
    <w:rsid w:val="00974C65"/>
    <w:rsid w:val="00974C6E"/>
    <w:rsid w:val="00974D7E"/>
    <w:rsid w:val="00974D83"/>
    <w:rsid w:val="00974E02"/>
    <w:rsid w:val="00974F5E"/>
    <w:rsid w:val="00975007"/>
    <w:rsid w:val="00975065"/>
    <w:rsid w:val="00975079"/>
    <w:rsid w:val="009750A9"/>
    <w:rsid w:val="0097518D"/>
    <w:rsid w:val="009751EE"/>
    <w:rsid w:val="009751FF"/>
    <w:rsid w:val="0097525F"/>
    <w:rsid w:val="00975263"/>
    <w:rsid w:val="00975560"/>
    <w:rsid w:val="009755C2"/>
    <w:rsid w:val="00975643"/>
    <w:rsid w:val="00975723"/>
    <w:rsid w:val="0097582F"/>
    <w:rsid w:val="009759E9"/>
    <w:rsid w:val="00975A5E"/>
    <w:rsid w:val="00975D73"/>
    <w:rsid w:val="00975E1A"/>
    <w:rsid w:val="00975E41"/>
    <w:rsid w:val="00975FED"/>
    <w:rsid w:val="0097619D"/>
    <w:rsid w:val="009761FD"/>
    <w:rsid w:val="00976614"/>
    <w:rsid w:val="0097680E"/>
    <w:rsid w:val="00976948"/>
    <w:rsid w:val="00976A7A"/>
    <w:rsid w:val="00976B5E"/>
    <w:rsid w:val="00976C09"/>
    <w:rsid w:val="00976CFE"/>
    <w:rsid w:val="00976DDB"/>
    <w:rsid w:val="00976FEE"/>
    <w:rsid w:val="009770E9"/>
    <w:rsid w:val="009770FE"/>
    <w:rsid w:val="00977104"/>
    <w:rsid w:val="0097713D"/>
    <w:rsid w:val="00977200"/>
    <w:rsid w:val="00977226"/>
    <w:rsid w:val="009774BE"/>
    <w:rsid w:val="009774F3"/>
    <w:rsid w:val="00977775"/>
    <w:rsid w:val="00977943"/>
    <w:rsid w:val="009779A5"/>
    <w:rsid w:val="00977B7B"/>
    <w:rsid w:val="00977CB0"/>
    <w:rsid w:val="00977D98"/>
    <w:rsid w:val="00977EFB"/>
    <w:rsid w:val="00977F65"/>
    <w:rsid w:val="0098005C"/>
    <w:rsid w:val="009803CA"/>
    <w:rsid w:val="009803D1"/>
    <w:rsid w:val="00980427"/>
    <w:rsid w:val="009804F6"/>
    <w:rsid w:val="009806D8"/>
    <w:rsid w:val="0098087E"/>
    <w:rsid w:val="00980992"/>
    <w:rsid w:val="00980A69"/>
    <w:rsid w:val="00980BD9"/>
    <w:rsid w:val="00980DFD"/>
    <w:rsid w:val="00980EA2"/>
    <w:rsid w:val="00980F11"/>
    <w:rsid w:val="009811AD"/>
    <w:rsid w:val="0098125A"/>
    <w:rsid w:val="0098133F"/>
    <w:rsid w:val="00981480"/>
    <w:rsid w:val="009814E4"/>
    <w:rsid w:val="00981645"/>
    <w:rsid w:val="00981685"/>
    <w:rsid w:val="009816DE"/>
    <w:rsid w:val="00981729"/>
    <w:rsid w:val="0098183F"/>
    <w:rsid w:val="0098198E"/>
    <w:rsid w:val="00981995"/>
    <w:rsid w:val="00981B23"/>
    <w:rsid w:val="00981B62"/>
    <w:rsid w:val="00981B6F"/>
    <w:rsid w:val="00981DA5"/>
    <w:rsid w:val="00981DF3"/>
    <w:rsid w:val="00981E09"/>
    <w:rsid w:val="00981E1A"/>
    <w:rsid w:val="00981EEA"/>
    <w:rsid w:val="00981EFA"/>
    <w:rsid w:val="0098206F"/>
    <w:rsid w:val="00982076"/>
    <w:rsid w:val="009823AC"/>
    <w:rsid w:val="00982489"/>
    <w:rsid w:val="00982512"/>
    <w:rsid w:val="00982640"/>
    <w:rsid w:val="0098269C"/>
    <w:rsid w:val="00982A22"/>
    <w:rsid w:val="00982B5C"/>
    <w:rsid w:val="00982B7A"/>
    <w:rsid w:val="00982BCA"/>
    <w:rsid w:val="00982D52"/>
    <w:rsid w:val="00982E44"/>
    <w:rsid w:val="00982E50"/>
    <w:rsid w:val="00982EB1"/>
    <w:rsid w:val="00982F92"/>
    <w:rsid w:val="00982FDA"/>
    <w:rsid w:val="00983054"/>
    <w:rsid w:val="0098307D"/>
    <w:rsid w:val="00983178"/>
    <w:rsid w:val="009831E7"/>
    <w:rsid w:val="0098322B"/>
    <w:rsid w:val="00983401"/>
    <w:rsid w:val="00983455"/>
    <w:rsid w:val="00983556"/>
    <w:rsid w:val="00983561"/>
    <w:rsid w:val="009835EB"/>
    <w:rsid w:val="00983613"/>
    <w:rsid w:val="0098392D"/>
    <w:rsid w:val="00983930"/>
    <w:rsid w:val="00983985"/>
    <w:rsid w:val="00983AC4"/>
    <w:rsid w:val="00983BC8"/>
    <w:rsid w:val="00983BEE"/>
    <w:rsid w:val="00983D44"/>
    <w:rsid w:val="00983D88"/>
    <w:rsid w:val="00983D97"/>
    <w:rsid w:val="00983E10"/>
    <w:rsid w:val="00984095"/>
    <w:rsid w:val="009842C7"/>
    <w:rsid w:val="00984316"/>
    <w:rsid w:val="0098431A"/>
    <w:rsid w:val="00984339"/>
    <w:rsid w:val="009845AC"/>
    <w:rsid w:val="009845B5"/>
    <w:rsid w:val="00984657"/>
    <w:rsid w:val="009847AD"/>
    <w:rsid w:val="00984980"/>
    <w:rsid w:val="009849FA"/>
    <w:rsid w:val="00984A75"/>
    <w:rsid w:val="00984B2A"/>
    <w:rsid w:val="00984BF9"/>
    <w:rsid w:val="00984CA6"/>
    <w:rsid w:val="00984D2E"/>
    <w:rsid w:val="00984EB5"/>
    <w:rsid w:val="00984EC4"/>
    <w:rsid w:val="00984F27"/>
    <w:rsid w:val="009850FE"/>
    <w:rsid w:val="00985263"/>
    <w:rsid w:val="0098529A"/>
    <w:rsid w:val="00985503"/>
    <w:rsid w:val="009855D5"/>
    <w:rsid w:val="00985668"/>
    <w:rsid w:val="00985A22"/>
    <w:rsid w:val="00985A3F"/>
    <w:rsid w:val="00985AE8"/>
    <w:rsid w:val="00985B49"/>
    <w:rsid w:val="00985B4B"/>
    <w:rsid w:val="00985BFF"/>
    <w:rsid w:val="00985C35"/>
    <w:rsid w:val="00985D16"/>
    <w:rsid w:val="00985D30"/>
    <w:rsid w:val="00985F67"/>
    <w:rsid w:val="00985FAA"/>
    <w:rsid w:val="009860A9"/>
    <w:rsid w:val="009861C1"/>
    <w:rsid w:val="00986260"/>
    <w:rsid w:val="009862BC"/>
    <w:rsid w:val="0098637A"/>
    <w:rsid w:val="00986443"/>
    <w:rsid w:val="0098650F"/>
    <w:rsid w:val="0098653D"/>
    <w:rsid w:val="009865F1"/>
    <w:rsid w:val="00986792"/>
    <w:rsid w:val="00986875"/>
    <w:rsid w:val="0098692E"/>
    <w:rsid w:val="0098695B"/>
    <w:rsid w:val="00986A53"/>
    <w:rsid w:val="00986AA8"/>
    <w:rsid w:val="00986AFE"/>
    <w:rsid w:val="00986C77"/>
    <w:rsid w:val="00986DFC"/>
    <w:rsid w:val="00986E6D"/>
    <w:rsid w:val="00986EA3"/>
    <w:rsid w:val="00987073"/>
    <w:rsid w:val="0098710B"/>
    <w:rsid w:val="00987195"/>
    <w:rsid w:val="00987198"/>
    <w:rsid w:val="009871F7"/>
    <w:rsid w:val="009872D7"/>
    <w:rsid w:val="00987482"/>
    <w:rsid w:val="009874D2"/>
    <w:rsid w:val="00987577"/>
    <w:rsid w:val="009876DB"/>
    <w:rsid w:val="0098776A"/>
    <w:rsid w:val="0098777E"/>
    <w:rsid w:val="00987880"/>
    <w:rsid w:val="009878CF"/>
    <w:rsid w:val="00987934"/>
    <w:rsid w:val="009879FD"/>
    <w:rsid w:val="00987CB8"/>
    <w:rsid w:val="00987D70"/>
    <w:rsid w:val="00987D9C"/>
    <w:rsid w:val="00987E51"/>
    <w:rsid w:val="00987FCA"/>
    <w:rsid w:val="009900A8"/>
    <w:rsid w:val="00990181"/>
    <w:rsid w:val="009901DD"/>
    <w:rsid w:val="009902B4"/>
    <w:rsid w:val="009902C8"/>
    <w:rsid w:val="009903ED"/>
    <w:rsid w:val="00990463"/>
    <w:rsid w:val="00990536"/>
    <w:rsid w:val="0099075C"/>
    <w:rsid w:val="009907EA"/>
    <w:rsid w:val="00990A61"/>
    <w:rsid w:val="00990AB8"/>
    <w:rsid w:val="00990AEB"/>
    <w:rsid w:val="00990B27"/>
    <w:rsid w:val="00990CB9"/>
    <w:rsid w:val="00990D42"/>
    <w:rsid w:val="00990D90"/>
    <w:rsid w:val="00990DE3"/>
    <w:rsid w:val="00990E48"/>
    <w:rsid w:val="00990EAA"/>
    <w:rsid w:val="00990ED8"/>
    <w:rsid w:val="00990FCA"/>
    <w:rsid w:val="0099109B"/>
    <w:rsid w:val="00991192"/>
    <w:rsid w:val="009911CD"/>
    <w:rsid w:val="00991212"/>
    <w:rsid w:val="0099148C"/>
    <w:rsid w:val="00991581"/>
    <w:rsid w:val="009915B4"/>
    <w:rsid w:val="009916C4"/>
    <w:rsid w:val="00991821"/>
    <w:rsid w:val="0099191E"/>
    <w:rsid w:val="00991B3D"/>
    <w:rsid w:val="00991DE2"/>
    <w:rsid w:val="009921FA"/>
    <w:rsid w:val="00992341"/>
    <w:rsid w:val="00992390"/>
    <w:rsid w:val="0099241A"/>
    <w:rsid w:val="009925EF"/>
    <w:rsid w:val="00992663"/>
    <w:rsid w:val="00992681"/>
    <w:rsid w:val="009929F7"/>
    <w:rsid w:val="00992B52"/>
    <w:rsid w:val="00992DF9"/>
    <w:rsid w:val="00992E00"/>
    <w:rsid w:val="00992F06"/>
    <w:rsid w:val="00993169"/>
    <w:rsid w:val="00993519"/>
    <w:rsid w:val="009935B6"/>
    <w:rsid w:val="009935FF"/>
    <w:rsid w:val="009936EC"/>
    <w:rsid w:val="009937F3"/>
    <w:rsid w:val="00993807"/>
    <w:rsid w:val="00993842"/>
    <w:rsid w:val="0099385D"/>
    <w:rsid w:val="009938D2"/>
    <w:rsid w:val="009939FB"/>
    <w:rsid w:val="00993B62"/>
    <w:rsid w:val="00993C94"/>
    <w:rsid w:val="00993EBE"/>
    <w:rsid w:val="00993F61"/>
    <w:rsid w:val="00993FB3"/>
    <w:rsid w:val="00994290"/>
    <w:rsid w:val="00994303"/>
    <w:rsid w:val="0099452E"/>
    <w:rsid w:val="00994548"/>
    <w:rsid w:val="00994573"/>
    <w:rsid w:val="009948BF"/>
    <w:rsid w:val="009949D8"/>
    <w:rsid w:val="00994B9B"/>
    <w:rsid w:val="00994C7B"/>
    <w:rsid w:val="00994FDF"/>
    <w:rsid w:val="00995168"/>
    <w:rsid w:val="00995292"/>
    <w:rsid w:val="0099536B"/>
    <w:rsid w:val="009953B0"/>
    <w:rsid w:val="00995564"/>
    <w:rsid w:val="009955ED"/>
    <w:rsid w:val="00995640"/>
    <w:rsid w:val="00995651"/>
    <w:rsid w:val="009958FE"/>
    <w:rsid w:val="009959CB"/>
    <w:rsid w:val="009959D7"/>
    <w:rsid w:val="009959E2"/>
    <w:rsid w:val="00995AC9"/>
    <w:rsid w:val="00995B65"/>
    <w:rsid w:val="00995D4B"/>
    <w:rsid w:val="00995DAE"/>
    <w:rsid w:val="00995F32"/>
    <w:rsid w:val="00995F5A"/>
    <w:rsid w:val="0099602F"/>
    <w:rsid w:val="009960EE"/>
    <w:rsid w:val="00996175"/>
    <w:rsid w:val="0099619B"/>
    <w:rsid w:val="0099621A"/>
    <w:rsid w:val="0099628A"/>
    <w:rsid w:val="009963B5"/>
    <w:rsid w:val="009963DC"/>
    <w:rsid w:val="00996463"/>
    <w:rsid w:val="00996576"/>
    <w:rsid w:val="0099657C"/>
    <w:rsid w:val="009966D8"/>
    <w:rsid w:val="0099672E"/>
    <w:rsid w:val="009967CB"/>
    <w:rsid w:val="00996870"/>
    <w:rsid w:val="009968B6"/>
    <w:rsid w:val="00996A4E"/>
    <w:rsid w:val="00996E5A"/>
    <w:rsid w:val="00996EFD"/>
    <w:rsid w:val="00996FF0"/>
    <w:rsid w:val="00997194"/>
    <w:rsid w:val="009971BA"/>
    <w:rsid w:val="00997403"/>
    <w:rsid w:val="00997589"/>
    <w:rsid w:val="009975C1"/>
    <w:rsid w:val="009976B3"/>
    <w:rsid w:val="0099775E"/>
    <w:rsid w:val="00997770"/>
    <w:rsid w:val="009977BF"/>
    <w:rsid w:val="0099782C"/>
    <w:rsid w:val="0099783D"/>
    <w:rsid w:val="00997868"/>
    <w:rsid w:val="00997884"/>
    <w:rsid w:val="0099799D"/>
    <w:rsid w:val="00997CE0"/>
    <w:rsid w:val="00997CE2"/>
    <w:rsid w:val="00997DE7"/>
    <w:rsid w:val="00997ED6"/>
    <w:rsid w:val="009A002D"/>
    <w:rsid w:val="009A00AC"/>
    <w:rsid w:val="009A049D"/>
    <w:rsid w:val="009A04A0"/>
    <w:rsid w:val="009A0597"/>
    <w:rsid w:val="009A0600"/>
    <w:rsid w:val="009A08D5"/>
    <w:rsid w:val="009A098E"/>
    <w:rsid w:val="009A0A3F"/>
    <w:rsid w:val="009A0B7B"/>
    <w:rsid w:val="009A0BF3"/>
    <w:rsid w:val="009A0C24"/>
    <w:rsid w:val="009A0C2F"/>
    <w:rsid w:val="009A0CBE"/>
    <w:rsid w:val="009A0CF4"/>
    <w:rsid w:val="009A0D28"/>
    <w:rsid w:val="009A0DB3"/>
    <w:rsid w:val="009A0F21"/>
    <w:rsid w:val="009A1293"/>
    <w:rsid w:val="009A14F1"/>
    <w:rsid w:val="009A1513"/>
    <w:rsid w:val="009A1523"/>
    <w:rsid w:val="009A15B9"/>
    <w:rsid w:val="009A1666"/>
    <w:rsid w:val="009A1673"/>
    <w:rsid w:val="009A16EF"/>
    <w:rsid w:val="009A173A"/>
    <w:rsid w:val="009A18BF"/>
    <w:rsid w:val="009A1BE8"/>
    <w:rsid w:val="009A1D01"/>
    <w:rsid w:val="009A1DA2"/>
    <w:rsid w:val="009A1DB8"/>
    <w:rsid w:val="009A1E5A"/>
    <w:rsid w:val="009A1E9F"/>
    <w:rsid w:val="009A1EC0"/>
    <w:rsid w:val="009A1F68"/>
    <w:rsid w:val="009A2022"/>
    <w:rsid w:val="009A2159"/>
    <w:rsid w:val="009A21F1"/>
    <w:rsid w:val="009A22E3"/>
    <w:rsid w:val="009A2362"/>
    <w:rsid w:val="009A2465"/>
    <w:rsid w:val="009A24F1"/>
    <w:rsid w:val="009A24F5"/>
    <w:rsid w:val="009A268B"/>
    <w:rsid w:val="009A2943"/>
    <w:rsid w:val="009A2973"/>
    <w:rsid w:val="009A2A9B"/>
    <w:rsid w:val="009A2B5B"/>
    <w:rsid w:val="009A2BCC"/>
    <w:rsid w:val="009A2C13"/>
    <w:rsid w:val="009A2C3B"/>
    <w:rsid w:val="009A2C75"/>
    <w:rsid w:val="009A2CAB"/>
    <w:rsid w:val="009A2D1E"/>
    <w:rsid w:val="009A2D75"/>
    <w:rsid w:val="009A2E4C"/>
    <w:rsid w:val="009A2EF1"/>
    <w:rsid w:val="009A30D9"/>
    <w:rsid w:val="009A31C9"/>
    <w:rsid w:val="009A3224"/>
    <w:rsid w:val="009A3266"/>
    <w:rsid w:val="009A330E"/>
    <w:rsid w:val="009A33DA"/>
    <w:rsid w:val="009A347B"/>
    <w:rsid w:val="009A366E"/>
    <w:rsid w:val="009A36A5"/>
    <w:rsid w:val="009A36B2"/>
    <w:rsid w:val="009A36EB"/>
    <w:rsid w:val="009A3728"/>
    <w:rsid w:val="009A398C"/>
    <w:rsid w:val="009A3BD3"/>
    <w:rsid w:val="009A3C10"/>
    <w:rsid w:val="009A3C5C"/>
    <w:rsid w:val="009A3D52"/>
    <w:rsid w:val="009A3DB4"/>
    <w:rsid w:val="009A3E3B"/>
    <w:rsid w:val="009A3F33"/>
    <w:rsid w:val="009A3F46"/>
    <w:rsid w:val="009A3FE6"/>
    <w:rsid w:val="009A4080"/>
    <w:rsid w:val="009A40A5"/>
    <w:rsid w:val="009A40B0"/>
    <w:rsid w:val="009A40D1"/>
    <w:rsid w:val="009A413F"/>
    <w:rsid w:val="009A4282"/>
    <w:rsid w:val="009A4329"/>
    <w:rsid w:val="009A442D"/>
    <w:rsid w:val="009A450E"/>
    <w:rsid w:val="009A4530"/>
    <w:rsid w:val="009A475C"/>
    <w:rsid w:val="009A481F"/>
    <w:rsid w:val="009A4B01"/>
    <w:rsid w:val="009A4B2B"/>
    <w:rsid w:val="009A4C53"/>
    <w:rsid w:val="009A4C9D"/>
    <w:rsid w:val="009A4CF5"/>
    <w:rsid w:val="009A4D1A"/>
    <w:rsid w:val="009A4D3D"/>
    <w:rsid w:val="009A4DB4"/>
    <w:rsid w:val="009A4F87"/>
    <w:rsid w:val="009A4FFB"/>
    <w:rsid w:val="009A5017"/>
    <w:rsid w:val="009A506F"/>
    <w:rsid w:val="009A5076"/>
    <w:rsid w:val="009A51A0"/>
    <w:rsid w:val="009A5269"/>
    <w:rsid w:val="009A5375"/>
    <w:rsid w:val="009A53FE"/>
    <w:rsid w:val="009A5435"/>
    <w:rsid w:val="009A54A6"/>
    <w:rsid w:val="009A54E7"/>
    <w:rsid w:val="009A5615"/>
    <w:rsid w:val="009A5798"/>
    <w:rsid w:val="009A57AC"/>
    <w:rsid w:val="009A582B"/>
    <w:rsid w:val="009A5880"/>
    <w:rsid w:val="009A5942"/>
    <w:rsid w:val="009A5EA8"/>
    <w:rsid w:val="009A5ED0"/>
    <w:rsid w:val="009A5F32"/>
    <w:rsid w:val="009A6108"/>
    <w:rsid w:val="009A6134"/>
    <w:rsid w:val="009A6292"/>
    <w:rsid w:val="009A629D"/>
    <w:rsid w:val="009A62DB"/>
    <w:rsid w:val="009A632D"/>
    <w:rsid w:val="009A63A6"/>
    <w:rsid w:val="009A66D6"/>
    <w:rsid w:val="009A66F0"/>
    <w:rsid w:val="009A6716"/>
    <w:rsid w:val="009A6778"/>
    <w:rsid w:val="009A68AE"/>
    <w:rsid w:val="009A68FC"/>
    <w:rsid w:val="009A6A15"/>
    <w:rsid w:val="009A6A2E"/>
    <w:rsid w:val="009A6A75"/>
    <w:rsid w:val="009A6AD1"/>
    <w:rsid w:val="009A6BBB"/>
    <w:rsid w:val="009A6C61"/>
    <w:rsid w:val="009A6C64"/>
    <w:rsid w:val="009A6C65"/>
    <w:rsid w:val="009A6C8A"/>
    <w:rsid w:val="009A6CA0"/>
    <w:rsid w:val="009A6D47"/>
    <w:rsid w:val="009A6EFF"/>
    <w:rsid w:val="009A6F51"/>
    <w:rsid w:val="009A7058"/>
    <w:rsid w:val="009A728C"/>
    <w:rsid w:val="009A7612"/>
    <w:rsid w:val="009A7614"/>
    <w:rsid w:val="009A7670"/>
    <w:rsid w:val="009A7677"/>
    <w:rsid w:val="009A771A"/>
    <w:rsid w:val="009A7728"/>
    <w:rsid w:val="009A789F"/>
    <w:rsid w:val="009A78FB"/>
    <w:rsid w:val="009A7917"/>
    <w:rsid w:val="009A7A50"/>
    <w:rsid w:val="009A7B94"/>
    <w:rsid w:val="009A7C28"/>
    <w:rsid w:val="009A7CBA"/>
    <w:rsid w:val="009A7CDE"/>
    <w:rsid w:val="009A7D87"/>
    <w:rsid w:val="009A7DD4"/>
    <w:rsid w:val="009A7E76"/>
    <w:rsid w:val="009B002D"/>
    <w:rsid w:val="009B0095"/>
    <w:rsid w:val="009B039B"/>
    <w:rsid w:val="009B03AA"/>
    <w:rsid w:val="009B0412"/>
    <w:rsid w:val="009B06B0"/>
    <w:rsid w:val="009B0772"/>
    <w:rsid w:val="009B098C"/>
    <w:rsid w:val="009B0A43"/>
    <w:rsid w:val="009B0A72"/>
    <w:rsid w:val="009B0B7F"/>
    <w:rsid w:val="009B0D2C"/>
    <w:rsid w:val="009B0D56"/>
    <w:rsid w:val="009B0F32"/>
    <w:rsid w:val="009B0F57"/>
    <w:rsid w:val="009B1028"/>
    <w:rsid w:val="009B1235"/>
    <w:rsid w:val="009B1275"/>
    <w:rsid w:val="009B1380"/>
    <w:rsid w:val="009B14C8"/>
    <w:rsid w:val="009B1546"/>
    <w:rsid w:val="009B18A7"/>
    <w:rsid w:val="009B18AC"/>
    <w:rsid w:val="009B19A0"/>
    <w:rsid w:val="009B1AB9"/>
    <w:rsid w:val="009B1B61"/>
    <w:rsid w:val="009B1C4D"/>
    <w:rsid w:val="009B1CF5"/>
    <w:rsid w:val="009B1D85"/>
    <w:rsid w:val="009B1DC1"/>
    <w:rsid w:val="009B1EFF"/>
    <w:rsid w:val="009B1F6D"/>
    <w:rsid w:val="009B205F"/>
    <w:rsid w:val="009B2424"/>
    <w:rsid w:val="009B2437"/>
    <w:rsid w:val="009B257C"/>
    <w:rsid w:val="009B2756"/>
    <w:rsid w:val="009B281F"/>
    <w:rsid w:val="009B28D1"/>
    <w:rsid w:val="009B2903"/>
    <w:rsid w:val="009B2925"/>
    <w:rsid w:val="009B2985"/>
    <w:rsid w:val="009B29C0"/>
    <w:rsid w:val="009B2C98"/>
    <w:rsid w:val="009B2DB3"/>
    <w:rsid w:val="009B2E2D"/>
    <w:rsid w:val="009B2F29"/>
    <w:rsid w:val="009B2F84"/>
    <w:rsid w:val="009B2F9D"/>
    <w:rsid w:val="009B305E"/>
    <w:rsid w:val="009B3077"/>
    <w:rsid w:val="009B318C"/>
    <w:rsid w:val="009B32B5"/>
    <w:rsid w:val="009B334A"/>
    <w:rsid w:val="009B3350"/>
    <w:rsid w:val="009B3441"/>
    <w:rsid w:val="009B346B"/>
    <w:rsid w:val="009B34B6"/>
    <w:rsid w:val="009B35AD"/>
    <w:rsid w:val="009B3638"/>
    <w:rsid w:val="009B36FD"/>
    <w:rsid w:val="009B376A"/>
    <w:rsid w:val="009B39B3"/>
    <w:rsid w:val="009B3A5A"/>
    <w:rsid w:val="009B3AAB"/>
    <w:rsid w:val="009B3C4D"/>
    <w:rsid w:val="009B3CC3"/>
    <w:rsid w:val="009B3F1B"/>
    <w:rsid w:val="009B406B"/>
    <w:rsid w:val="009B422A"/>
    <w:rsid w:val="009B4407"/>
    <w:rsid w:val="009B442B"/>
    <w:rsid w:val="009B459C"/>
    <w:rsid w:val="009B45F9"/>
    <w:rsid w:val="009B46BA"/>
    <w:rsid w:val="009B490B"/>
    <w:rsid w:val="009B493F"/>
    <w:rsid w:val="009B4A5B"/>
    <w:rsid w:val="009B4C27"/>
    <w:rsid w:val="009B4CB9"/>
    <w:rsid w:val="009B4CC6"/>
    <w:rsid w:val="009B4FAC"/>
    <w:rsid w:val="009B5130"/>
    <w:rsid w:val="009B51AD"/>
    <w:rsid w:val="009B52D0"/>
    <w:rsid w:val="009B52D4"/>
    <w:rsid w:val="009B52E2"/>
    <w:rsid w:val="009B5709"/>
    <w:rsid w:val="009B578E"/>
    <w:rsid w:val="009B57A1"/>
    <w:rsid w:val="009B586E"/>
    <w:rsid w:val="009B5978"/>
    <w:rsid w:val="009B5979"/>
    <w:rsid w:val="009B5A4A"/>
    <w:rsid w:val="009B5B5C"/>
    <w:rsid w:val="009B5BC4"/>
    <w:rsid w:val="009B5BE6"/>
    <w:rsid w:val="009B5D42"/>
    <w:rsid w:val="009B5E43"/>
    <w:rsid w:val="009B5E79"/>
    <w:rsid w:val="009B5F32"/>
    <w:rsid w:val="009B6080"/>
    <w:rsid w:val="009B60FE"/>
    <w:rsid w:val="009B62F7"/>
    <w:rsid w:val="009B632F"/>
    <w:rsid w:val="009B63D5"/>
    <w:rsid w:val="009B6647"/>
    <w:rsid w:val="009B66A1"/>
    <w:rsid w:val="009B66BF"/>
    <w:rsid w:val="009B679F"/>
    <w:rsid w:val="009B6968"/>
    <w:rsid w:val="009B6B12"/>
    <w:rsid w:val="009B6B7D"/>
    <w:rsid w:val="009B6B8A"/>
    <w:rsid w:val="009B6BF9"/>
    <w:rsid w:val="009B6C83"/>
    <w:rsid w:val="009B6D07"/>
    <w:rsid w:val="009B6D7A"/>
    <w:rsid w:val="009B6DD4"/>
    <w:rsid w:val="009B729E"/>
    <w:rsid w:val="009B737D"/>
    <w:rsid w:val="009B73CC"/>
    <w:rsid w:val="009B756E"/>
    <w:rsid w:val="009B77B5"/>
    <w:rsid w:val="009B7816"/>
    <w:rsid w:val="009B7AC3"/>
    <w:rsid w:val="009B7B73"/>
    <w:rsid w:val="009B7B8C"/>
    <w:rsid w:val="009B7C1B"/>
    <w:rsid w:val="009B7C36"/>
    <w:rsid w:val="009B7F80"/>
    <w:rsid w:val="009B7F89"/>
    <w:rsid w:val="009C0002"/>
    <w:rsid w:val="009C0247"/>
    <w:rsid w:val="009C0290"/>
    <w:rsid w:val="009C02B4"/>
    <w:rsid w:val="009C0305"/>
    <w:rsid w:val="009C0354"/>
    <w:rsid w:val="009C04A5"/>
    <w:rsid w:val="009C04F3"/>
    <w:rsid w:val="009C050E"/>
    <w:rsid w:val="009C05AA"/>
    <w:rsid w:val="009C05C2"/>
    <w:rsid w:val="009C0765"/>
    <w:rsid w:val="009C077A"/>
    <w:rsid w:val="009C088B"/>
    <w:rsid w:val="009C08D5"/>
    <w:rsid w:val="009C090F"/>
    <w:rsid w:val="009C098D"/>
    <w:rsid w:val="009C098F"/>
    <w:rsid w:val="009C0CEA"/>
    <w:rsid w:val="009C0CFB"/>
    <w:rsid w:val="009C0D4F"/>
    <w:rsid w:val="009C0F0B"/>
    <w:rsid w:val="009C0F57"/>
    <w:rsid w:val="009C0F5C"/>
    <w:rsid w:val="009C10AB"/>
    <w:rsid w:val="009C1111"/>
    <w:rsid w:val="009C117C"/>
    <w:rsid w:val="009C15CA"/>
    <w:rsid w:val="009C1617"/>
    <w:rsid w:val="009C1657"/>
    <w:rsid w:val="009C16CA"/>
    <w:rsid w:val="009C1783"/>
    <w:rsid w:val="009C17BE"/>
    <w:rsid w:val="009C1913"/>
    <w:rsid w:val="009C193A"/>
    <w:rsid w:val="009C1ABE"/>
    <w:rsid w:val="009C1AE8"/>
    <w:rsid w:val="009C1D36"/>
    <w:rsid w:val="009C1FF1"/>
    <w:rsid w:val="009C202D"/>
    <w:rsid w:val="009C2176"/>
    <w:rsid w:val="009C21F5"/>
    <w:rsid w:val="009C2214"/>
    <w:rsid w:val="009C22EC"/>
    <w:rsid w:val="009C236E"/>
    <w:rsid w:val="009C23E0"/>
    <w:rsid w:val="009C2412"/>
    <w:rsid w:val="009C258E"/>
    <w:rsid w:val="009C2624"/>
    <w:rsid w:val="009C26CC"/>
    <w:rsid w:val="009C27BB"/>
    <w:rsid w:val="009C296B"/>
    <w:rsid w:val="009C2AEE"/>
    <w:rsid w:val="009C2CE4"/>
    <w:rsid w:val="009C2D29"/>
    <w:rsid w:val="009C2E84"/>
    <w:rsid w:val="009C3022"/>
    <w:rsid w:val="009C317C"/>
    <w:rsid w:val="009C31F3"/>
    <w:rsid w:val="009C3297"/>
    <w:rsid w:val="009C32D7"/>
    <w:rsid w:val="009C335D"/>
    <w:rsid w:val="009C34D0"/>
    <w:rsid w:val="009C3708"/>
    <w:rsid w:val="009C3812"/>
    <w:rsid w:val="009C391A"/>
    <w:rsid w:val="009C393D"/>
    <w:rsid w:val="009C3AA0"/>
    <w:rsid w:val="009C3C62"/>
    <w:rsid w:val="009C3CA8"/>
    <w:rsid w:val="009C3E08"/>
    <w:rsid w:val="009C3E5D"/>
    <w:rsid w:val="009C410C"/>
    <w:rsid w:val="009C454E"/>
    <w:rsid w:val="009C46A1"/>
    <w:rsid w:val="009C46FA"/>
    <w:rsid w:val="009C4881"/>
    <w:rsid w:val="009C48FF"/>
    <w:rsid w:val="009C4BBA"/>
    <w:rsid w:val="009C4C32"/>
    <w:rsid w:val="009C4DFD"/>
    <w:rsid w:val="009C4E43"/>
    <w:rsid w:val="009C4F31"/>
    <w:rsid w:val="009C4F39"/>
    <w:rsid w:val="009C4F55"/>
    <w:rsid w:val="009C536F"/>
    <w:rsid w:val="009C53C4"/>
    <w:rsid w:val="009C549C"/>
    <w:rsid w:val="009C557A"/>
    <w:rsid w:val="009C56B3"/>
    <w:rsid w:val="009C5778"/>
    <w:rsid w:val="009C57E0"/>
    <w:rsid w:val="009C5810"/>
    <w:rsid w:val="009C59A3"/>
    <w:rsid w:val="009C5A24"/>
    <w:rsid w:val="009C5BC7"/>
    <w:rsid w:val="009C5C1A"/>
    <w:rsid w:val="009C5C20"/>
    <w:rsid w:val="009C5C7E"/>
    <w:rsid w:val="009C5CFF"/>
    <w:rsid w:val="009C5EC7"/>
    <w:rsid w:val="009C5FD3"/>
    <w:rsid w:val="009C6037"/>
    <w:rsid w:val="009C607A"/>
    <w:rsid w:val="009C60A5"/>
    <w:rsid w:val="009C60B9"/>
    <w:rsid w:val="009C6133"/>
    <w:rsid w:val="009C6153"/>
    <w:rsid w:val="009C62EA"/>
    <w:rsid w:val="009C631C"/>
    <w:rsid w:val="009C6374"/>
    <w:rsid w:val="009C64E3"/>
    <w:rsid w:val="009C6577"/>
    <w:rsid w:val="009C657B"/>
    <w:rsid w:val="009C6911"/>
    <w:rsid w:val="009C698D"/>
    <w:rsid w:val="009C6A66"/>
    <w:rsid w:val="009C6A77"/>
    <w:rsid w:val="009C6AD1"/>
    <w:rsid w:val="009C6C8D"/>
    <w:rsid w:val="009C6CCB"/>
    <w:rsid w:val="009C6D44"/>
    <w:rsid w:val="009C6E1B"/>
    <w:rsid w:val="009C6EAE"/>
    <w:rsid w:val="009C6F0E"/>
    <w:rsid w:val="009C6F63"/>
    <w:rsid w:val="009C72C6"/>
    <w:rsid w:val="009C73ED"/>
    <w:rsid w:val="009C73FD"/>
    <w:rsid w:val="009C757E"/>
    <w:rsid w:val="009C768E"/>
    <w:rsid w:val="009C7753"/>
    <w:rsid w:val="009C78B4"/>
    <w:rsid w:val="009C795C"/>
    <w:rsid w:val="009C7B35"/>
    <w:rsid w:val="009C7D0E"/>
    <w:rsid w:val="009C7D1C"/>
    <w:rsid w:val="009C7D46"/>
    <w:rsid w:val="009C7D4D"/>
    <w:rsid w:val="009C7E13"/>
    <w:rsid w:val="009C7E40"/>
    <w:rsid w:val="009C7E77"/>
    <w:rsid w:val="009D0032"/>
    <w:rsid w:val="009D00C2"/>
    <w:rsid w:val="009D0115"/>
    <w:rsid w:val="009D0268"/>
    <w:rsid w:val="009D02BC"/>
    <w:rsid w:val="009D0427"/>
    <w:rsid w:val="009D0661"/>
    <w:rsid w:val="009D0710"/>
    <w:rsid w:val="009D07C6"/>
    <w:rsid w:val="009D07E3"/>
    <w:rsid w:val="009D0845"/>
    <w:rsid w:val="009D0A8A"/>
    <w:rsid w:val="009D0DAA"/>
    <w:rsid w:val="009D0F19"/>
    <w:rsid w:val="009D0F79"/>
    <w:rsid w:val="009D1116"/>
    <w:rsid w:val="009D11C1"/>
    <w:rsid w:val="009D125D"/>
    <w:rsid w:val="009D1472"/>
    <w:rsid w:val="009D151D"/>
    <w:rsid w:val="009D1668"/>
    <w:rsid w:val="009D181E"/>
    <w:rsid w:val="009D1847"/>
    <w:rsid w:val="009D18C6"/>
    <w:rsid w:val="009D193C"/>
    <w:rsid w:val="009D1AFB"/>
    <w:rsid w:val="009D1C57"/>
    <w:rsid w:val="009D1D89"/>
    <w:rsid w:val="009D1DED"/>
    <w:rsid w:val="009D2079"/>
    <w:rsid w:val="009D20CA"/>
    <w:rsid w:val="009D217A"/>
    <w:rsid w:val="009D2260"/>
    <w:rsid w:val="009D2346"/>
    <w:rsid w:val="009D2524"/>
    <w:rsid w:val="009D2548"/>
    <w:rsid w:val="009D259C"/>
    <w:rsid w:val="009D25E3"/>
    <w:rsid w:val="009D26A2"/>
    <w:rsid w:val="009D289B"/>
    <w:rsid w:val="009D28A1"/>
    <w:rsid w:val="009D295E"/>
    <w:rsid w:val="009D2996"/>
    <w:rsid w:val="009D2A1E"/>
    <w:rsid w:val="009D2A59"/>
    <w:rsid w:val="009D2DBA"/>
    <w:rsid w:val="009D2DF8"/>
    <w:rsid w:val="009D2DFA"/>
    <w:rsid w:val="009D2FE4"/>
    <w:rsid w:val="009D3024"/>
    <w:rsid w:val="009D3068"/>
    <w:rsid w:val="009D3115"/>
    <w:rsid w:val="009D3340"/>
    <w:rsid w:val="009D33C7"/>
    <w:rsid w:val="009D35F2"/>
    <w:rsid w:val="009D3615"/>
    <w:rsid w:val="009D3BC6"/>
    <w:rsid w:val="009D3C47"/>
    <w:rsid w:val="009D3EBC"/>
    <w:rsid w:val="009D3F67"/>
    <w:rsid w:val="009D41AD"/>
    <w:rsid w:val="009D42A2"/>
    <w:rsid w:val="009D42D9"/>
    <w:rsid w:val="009D4506"/>
    <w:rsid w:val="009D4571"/>
    <w:rsid w:val="009D45F2"/>
    <w:rsid w:val="009D466A"/>
    <w:rsid w:val="009D49BB"/>
    <w:rsid w:val="009D4A11"/>
    <w:rsid w:val="009D4B4E"/>
    <w:rsid w:val="009D4B81"/>
    <w:rsid w:val="009D4C07"/>
    <w:rsid w:val="009D4C15"/>
    <w:rsid w:val="009D4CCD"/>
    <w:rsid w:val="009D4D10"/>
    <w:rsid w:val="009D4DD2"/>
    <w:rsid w:val="009D4E57"/>
    <w:rsid w:val="009D50CC"/>
    <w:rsid w:val="009D5357"/>
    <w:rsid w:val="009D5467"/>
    <w:rsid w:val="009D54F4"/>
    <w:rsid w:val="009D55AF"/>
    <w:rsid w:val="009D55C9"/>
    <w:rsid w:val="009D56BC"/>
    <w:rsid w:val="009D56C1"/>
    <w:rsid w:val="009D5876"/>
    <w:rsid w:val="009D5B39"/>
    <w:rsid w:val="009D5C00"/>
    <w:rsid w:val="009D5C14"/>
    <w:rsid w:val="009D5CF2"/>
    <w:rsid w:val="009D5DAB"/>
    <w:rsid w:val="009D5FC7"/>
    <w:rsid w:val="009D6050"/>
    <w:rsid w:val="009D6183"/>
    <w:rsid w:val="009D63F2"/>
    <w:rsid w:val="009D641A"/>
    <w:rsid w:val="009D6640"/>
    <w:rsid w:val="009D6718"/>
    <w:rsid w:val="009D678D"/>
    <w:rsid w:val="009D6794"/>
    <w:rsid w:val="009D67F1"/>
    <w:rsid w:val="009D696B"/>
    <w:rsid w:val="009D698E"/>
    <w:rsid w:val="009D6A81"/>
    <w:rsid w:val="009D6B4E"/>
    <w:rsid w:val="009D6B53"/>
    <w:rsid w:val="009D6B76"/>
    <w:rsid w:val="009D6BBA"/>
    <w:rsid w:val="009D6E4B"/>
    <w:rsid w:val="009D70AA"/>
    <w:rsid w:val="009D70AE"/>
    <w:rsid w:val="009D73EE"/>
    <w:rsid w:val="009D742D"/>
    <w:rsid w:val="009D74BC"/>
    <w:rsid w:val="009D7670"/>
    <w:rsid w:val="009D775C"/>
    <w:rsid w:val="009D7766"/>
    <w:rsid w:val="009D77DE"/>
    <w:rsid w:val="009D7812"/>
    <w:rsid w:val="009D7877"/>
    <w:rsid w:val="009D78EC"/>
    <w:rsid w:val="009D790D"/>
    <w:rsid w:val="009D7957"/>
    <w:rsid w:val="009D7A05"/>
    <w:rsid w:val="009D7A88"/>
    <w:rsid w:val="009D7AF4"/>
    <w:rsid w:val="009D7B75"/>
    <w:rsid w:val="009D7C93"/>
    <w:rsid w:val="009D7D29"/>
    <w:rsid w:val="009D7ED3"/>
    <w:rsid w:val="009D7EF1"/>
    <w:rsid w:val="009D7F96"/>
    <w:rsid w:val="009E00C9"/>
    <w:rsid w:val="009E01A8"/>
    <w:rsid w:val="009E01B7"/>
    <w:rsid w:val="009E01E5"/>
    <w:rsid w:val="009E0228"/>
    <w:rsid w:val="009E0267"/>
    <w:rsid w:val="009E0272"/>
    <w:rsid w:val="009E052A"/>
    <w:rsid w:val="009E058D"/>
    <w:rsid w:val="009E06D3"/>
    <w:rsid w:val="009E0758"/>
    <w:rsid w:val="009E0870"/>
    <w:rsid w:val="009E0898"/>
    <w:rsid w:val="009E0A07"/>
    <w:rsid w:val="009E0BB5"/>
    <w:rsid w:val="009E0D5C"/>
    <w:rsid w:val="009E0D6E"/>
    <w:rsid w:val="009E0E45"/>
    <w:rsid w:val="009E1188"/>
    <w:rsid w:val="009E11B8"/>
    <w:rsid w:val="009E1258"/>
    <w:rsid w:val="009E12E0"/>
    <w:rsid w:val="009E1304"/>
    <w:rsid w:val="009E14A3"/>
    <w:rsid w:val="009E1585"/>
    <w:rsid w:val="009E1621"/>
    <w:rsid w:val="009E165F"/>
    <w:rsid w:val="009E1815"/>
    <w:rsid w:val="009E1A40"/>
    <w:rsid w:val="009E1CC5"/>
    <w:rsid w:val="009E1D06"/>
    <w:rsid w:val="009E1FCC"/>
    <w:rsid w:val="009E1FF2"/>
    <w:rsid w:val="009E202C"/>
    <w:rsid w:val="009E202D"/>
    <w:rsid w:val="009E20EA"/>
    <w:rsid w:val="009E216B"/>
    <w:rsid w:val="009E22F8"/>
    <w:rsid w:val="009E2815"/>
    <w:rsid w:val="009E28F1"/>
    <w:rsid w:val="009E298B"/>
    <w:rsid w:val="009E2B09"/>
    <w:rsid w:val="009E2B21"/>
    <w:rsid w:val="009E2BAC"/>
    <w:rsid w:val="009E2C88"/>
    <w:rsid w:val="009E2E0C"/>
    <w:rsid w:val="009E2F76"/>
    <w:rsid w:val="009E2FA9"/>
    <w:rsid w:val="009E3209"/>
    <w:rsid w:val="009E32E4"/>
    <w:rsid w:val="009E334D"/>
    <w:rsid w:val="009E33EE"/>
    <w:rsid w:val="009E3743"/>
    <w:rsid w:val="009E38A9"/>
    <w:rsid w:val="009E38D9"/>
    <w:rsid w:val="009E399F"/>
    <w:rsid w:val="009E39D3"/>
    <w:rsid w:val="009E39F6"/>
    <w:rsid w:val="009E3A96"/>
    <w:rsid w:val="009E3A9E"/>
    <w:rsid w:val="009E3B08"/>
    <w:rsid w:val="009E3C66"/>
    <w:rsid w:val="009E3DDF"/>
    <w:rsid w:val="009E40D2"/>
    <w:rsid w:val="009E41D6"/>
    <w:rsid w:val="009E4293"/>
    <w:rsid w:val="009E43B6"/>
    <w:rsid w:val="009E4573"/>
    <w:rsid w:val="009E45D3"/>
    <w:rsid w:val="009E4611"/>
    <w:rsid w:val="009E4734"/>
    <w:rsid w:val="009E4787"/>
    <w:rsid w:val="009E47A8"/>
    <w:rsid w:val="009E47AF"/>
    <w:rsid w:val="009E47CF"/>
    <w:rsid w:val="009E4C4B"/>
    <w:rsid w:val="009E4D20"/>
    <w:rsid w:val="009E4D92"/>
    <w:rsid w:val="009E50C3"/>
    <w:rsid w:val="009E50D0"/>
    <w:rsid w:val="009E5120"/>
    <w:rsid w:val="009E529E"/>
    <w:rsid w:val="009E52CC"/>
    <w:rsid w:val="009E52D1"/>
    <w:rsid w:val="009E531F"/>
    <w:rsid w:val="009E5355"/>
    <w:rsid w:val="009E53A4"/>
    <w:rsid w:val="009E56B4"/>
    <w:rsid w:val="009E5A10"/>
    <w:rsid w:val="009E5AC1"/>
    <w:rsid w:val="009E5CC0"/>
    <w:rsid w:val="009E5D5E"/>
    <w:rsid w:val="009E5D8A"/>
    <w:rsid w:val="009E5DC6"/>
    <w:rsid w:val="009E5E5B"/>
    <w:rsid w:val="009E5E5C"/>
    <w:rsid w:val="009E606A"/>
    <w:rsid w:val="009E6097"/>
    <w:rsid w:val="009E60E0"/>
    <w:rsid w:val="009E6363"/>
    <w:rsid w:val="009E63C7"/>
    <w:rsid w:val="009E63D3"/>
    <w:rsid w:val="009E6426"/>
    <w:rsid w:val="009E663B"/>
    <w:rsid w:val="009E6646"/>
    <w:rsid w:val="009E6756"/>
    <w:rsid w:val="009E689E"/>
    <w:rsid w:val="009E68EA"/>
    <w:rsid w:val="009E6971"/>
    <w:rsid w:val="009E69BD"/>
    <w:rsid w:val="009E6A08"/>
    <w:rsid w:val="009E6A91"/>
    <w:rsid w:val="009E6AC6"/>
    <w:rsid w:val="009E6ACE"/>
    <w:rsid w:val="009E6B45"/>
    <w:rsid w:val="009E6B8C"/>
    <w:rsid w:val="009E6BC5"/>
    <w:rsid w:val="009E6C88"/>
    <w:rsid w:val="009E6D09"/>
    <w:rsid w:val="009E6E07"/>
    <w:rsid w:val="009E6E18"/>
    <w:rsid w:val="009E6E8E"/>
    <w:rsid w:val="009E6EAA"/>
    <w:rsid w:val="009E6F79"/>
    <w:rsid w:val="009E6FB7"/>
    <w:rsid w:val="009E709E"/>
    <w:rsid w:val="009E7136"/>
    <w:rsid w:val="009E717E"/>
    <w:rsid w:val="009E7375"/>
    <w:rsid w:val="009E73A1"/>
    <w:rsid w:val="009E7451"/>
    <w:rsid w:val="009E7538"/>
    <w:rsid w:val="009E7684"/>
    <w:rsid w:val="009E76E9"/>
    <w:rsid w:val="009E7709"/>
    <w:rsid w:val="009E778A"/>
    <w:rsid w:val="009E78DB"/>
    <w:rsid w:val="009E7926"/>
    <w:rsid w:val="009E7ABA"/>
    <w:rsid w:val="009E7BA3"/>
    <w:rsid w:val="009E7D37"/>
    <w:rsid w:val="009E7DC3"/>
    <w:rsid w:val="009E7E4A"/>
    <w:rsid w:val="009F0028"/>
    <w:rsid w:val="009F003B"/>
    <w:rsid w:val="009F00BA"/>
    <w:rsid w:val="009F0200"/>
    <w:rsid w:val="009F031E"/>
    <w:rsid w:val="009F04C3"/>
    <w:rsid w:val="009F0569"/>
    <w:rsid w:val="009F064F"/>
    <w:rsid w:val="009F068A"/>
    <w:rsid w:val="009F06FF"/>
    <w:rsid w:val="009F07B3"/>
    <w:rsid w:val="009F08C4"/>
    <w:rsid w:val="009F09D3"/>
    <w:rsid w:val="009F0A96"/>
    <w:rsid w:val="009F0CF9"/>
    <w:rsid w:val="009F0E7A"/>
    <w:rsid w:val="009F0F2C"/>
    <w:rsid w:val="009F0F43"/>
    <w:rsid w:val="009F116C"/>
    <w:rsid w:val="009F118E"/>
    <w:rsid w:val="009F12A9"/>
    <w:rsid w:val="009F131A"/>
    <w:rsid w:val="009F134D"/>
    <w:rsid w:val="009F15B8"/>
    <w:rsid w:val="009F15F9"/>
    <w:rsid w:val="009F1658"/>
    <w:rsid w:val="009F1669"/>
    <w:rsid w:val="009F170D"/>
    <w:rsid w:val="009F1753"/>
    <w:rsid w:val="009F1754"/>
    <w:rsid w:val="009F1781"/>
    <w:rsid w:val="009F1802"/>
    <w:rsid w:val="009F187C"/>
    <w:rsid w:val="009F198F"/>
    <w:rsid w:val="009F1CBE"/>
    <w:rsid w:val="009F1D38"/>
    <w:rsid w:val="009F1E2A"/>
    <w:rsid w:val="009F1F4F"/>
    <w:rsid w:val="009F1F5A"/>
    <w:rsid w:val="009F1FBA"/>
    <w:rsid w:val="009F21BE"/>
    <w:rsid w:val="009F21D2"/>
    <w:rsid w:val="009F2232"/>
    <w:rsid w:val="009F2260"/>
    <w:rsid w:val="009F22A9"/>
    <w:rsid w:val="009F23B7"/>
    <w:rsid w:val="009F23D4"/>
    <w:rsid w:val="009F2755"/>
    <w:rsid w:val="009F29AA"/>
    <w:rsid w:val="009F2BC0"/>
    <w:rsid w:val="009F2C89"/>
    <w:rsid w:val="009F2D21"/>
    <w:rsid w:val="009F3104"/>
    <w:rsid w:val="009F32CB"/>
    <w:rsid w:val="009F32EC"/>
    <w:rsid w:val="009F338E"/>
    <w:rsid w:val="009F3403"/>
    <w:rsid w:val="009F3495"/>
    <w:rsid w:val="009F3511"/>
    <w:rsid w:val="009F3571"/>
    <w:rsid w:val="009F3634"/>
    <w:rsid w:val="009F3659"/>
    <w:rsid w:val="009F3662"/>
    <w:rsid w:val="009F3871"/>
    <w:rsid w:val="009F38E6"/>
    <w:rsid w:val="009F3A14"/>
    <w:rsid w:val="009F3D36"/>
    <w:rsid w:val="009F3DA3"/>
    <w:rsid w:val="009F3DD9"/>
    <w:rsid w:val="009F3F0B"/>
    <w:rsid w:val="009F3F50"/>
    <w:rsid w:val="009F4224"/>
    <w:rsid w:val="009F422C"/>
    <w:rsid w:val="009F44A3"/>
    <w:rsid w:val="009F44E2"/>
    <w:rsid w:val="009F45E5"/>
    <w:rsid w:val="009F4602"/>
    <w:rsid w:val="009F4633"/>
    <w:rsid w:val="009F4636"/>
    <w:rsid w:val="009F46BB"/>
    <w:rsid w:val="009F46DC"/>
    <w:rsid w:val="009F477B"/>
    <w:rsid w:val="009F4B73"/>
    <w:rsid w:val="009F4C59"/>
    <w:rsid w:val="009F4CAB"/>
    <w:rsid w:val="009F4D87"/>
    <w:rsid w:val="009F4DD5"/>
    <w:rsid w:val="009F5019"/>
    <w:rsid w:val="009F5063"/>
    <w:rsid w:val="009F5135"/>
    <w:rsid w:val="009F5631"/>
    <w:rsid w:val="009F5656"/>
    <w:rsid w:val="009F5AAA"/>
    <w:rsid w:val="009F5AE0"/>
    <w:rsid w:val="009F5BA6"/>
    <w:rsid w:val="009F5C3D"/>
    <w:rsid w:val="009F5C53"/>
    <w:rsid w:val="009F5C68"/>
    <w:rsid w:val="009F5EFE"/>
    <w:rsid w:val="009F5FC3"/>
    <w:rsid w:val="009F5FF2"/>
    <w:rsid w:val="009F60E2"/>
    <w:rsid w:val="009F628C"/>
    <w:rsid w:val="009F62FF"/>
    <w:rsid w:val="009F6625"/>
    <w:rsid w:val="009F6647"/>
    <w:rsid w:val="009F664A"/>
    <w:rsid w:val="009F6721"/>
    <w:rsid w:val="009F67EE"/>
    <w:rsid w:val="009F6A4E"/>
    <w:rsid w:val="009F6A73"/>
    <w:rsid w:val="009F6BFA"/>
    <w:rsid w:val="009F6C3E"/>
    <w:rsid w:val="009F6DCF"/>
    <w:rsid w:val="009F6F53"/>
    <w:rsid w:val="009F70D5"/>
    <w:rsid w:val="009F70DF"/>
    <w:rsid w:val="009F7131"/>
    <w:rsid w:val="009F715C"/>
    <w:rsid w:val="009F727B"/>
    <w:rsid w:val="009F7394"/>
    <w:rsid w:val="009F74B1"/>
    <w:rsid w:val="009F7567"/>
    <w:rsid w:val="009F7586"/>
    <w:rsid w:val="009F7609"/>
    <w:rsid w:val="009F789B"/>
    <w:rsid w:val="009F796E"/>
    <w:rsid w:val="009F798A"/>
    <w:rsid w:val="009F7A45"/>
    <w:rsid w:val="009F7ACC"/>
    <w:rsid w:val="009F7CCD"/>
    <w:rsid w:val="009F7DA1"/>
    <w:rsid w:val="009F7DDA"/>
    <w:rsid w:val="009F7F36"/>
    <w:rsid w:val="009F7F87"/>
    <w:rsid w:val="009F7F97"/>
    <w:rsid w:val="009F7F99"/>
    <w:rsid w:val="009F7FE5"/>
    <w:rsid w:val="00A00009"/>
    <w:rsid w:val="00A00070"/>
    <w:rsid w:val="00A00137"/>
    <w:rsid w:val="00A001D1"/>
    <w:rsid w:val="00A00281"/>
    <w:rsid w:val="00A00332"/>
    <w:rsid w:val="00A00373"/>
    <w:rsid w:val="00A00404"/>
    <w:rsid w:val="00A0041D"/>
    <w:rsid w:val="00A00672"/>
    <w:rsid w:val="00A00736"/>
    <w:rsid w:val="00A007DF"/>
    <w:rsid w:val="00A007E1"/>
    <w:rsid w:val="00A00A83"/>
    <w:rsid w:val="00A00B8C"/>
    <w:rsid w:val="00A00BE1"/>
    <w:rsid w:val="00A00DCC"/>
    <w:rsid w:val="00A00EE6"/>
    <w:rsid w:val="00A00F7F"/>
    <w:rsid w:val="00A01208"/>
    <w:rsid w:val="00A01227"/>
    <w:rsid w:val="00A01270"/>
    <w:rsid w:val="00A012A3"/>
    <w:rsid w:val="00A01545"/>
    <w:rsid w:val="00A0158A"/>
    <w:rsid w:val="00A0179B"/>
    <w:rsid w:val="00A017AE"/>
    <w:rsid w:val="00A01849"/>
    <w:rsid w:val="00A0187D"/>
    <w:rsid w:val="00A018F7"/>
    <w:rsid w:val="00A01A52"/>
    <w:rsid w:val="00A01CA3"/>
    <w:rsid w:val="00A01CAA"/>
    <w:rsid w:val="00A01F64"/>
    <w:rsid w:val="00A0222E"/>
    <w:rsid w:val="00A02254"/>
    <w:rsid w:val="00A022A1"/>
    <w:rsid w:val="00A0238C"/>
    <w:rsid w:val="00A0247C"/>
    <w:rsid w:val="00A024F3"/>
    <w:rsid w:val="00A0263E"/>
    <w:rsid w:val="00A02735"/>
    <w:rsid w:val="00A02839"/>
    <w:rsid w:val="00A02886"/>
    <w:rsid w:val="00A0288B"/>
    <w:rsid w:val="00A029D4"/>
    <w:rsid w:val="00A029E4"/>
    <w:rsid w:val="00A02A27"/>
    <w:rsid w:val="00A02AEE"/>
    <w:rsid w:val="00A02B72"/>
    <w:rsid w:val="00A02B85"/>
    <w:rsid w:val="00A02BEA"/>
    <w:rsid w:val="00A02D62"/>
    <w:rsid w:val="00A02D9B"/>
    <w:rsid w:val="00A02E6A"/>
    <w:rsid w:val="00A03022"/>
    <w:rsid w:val="00A0317B"/>
    <w:rsid w:val="00A035AA"/>
    <w:rsid w:val="00A03613"/>
    <w:rsid w:val="00A03746"/>
    <w:rsid w:val="00A03768"/>
    <w:rsid w:val="00A0377B"/>
    <w:rsid w:val="00A037C8"/>
    <w:rsid w:val="00A0380A"/>
    <w:rsid w:val="00A0381E"/>
    <w:rsid w:val="00A0386C"/>
    <w:rsid w:val="00A03928"/>
    <w:rsid w:val="00A03950"/>
    <w:rsid w:val="00A03BB6"/>
    <w:rsid w:val="00A03C58"/>
    <w:rsid w:val="00A03D6D"/>
    <w:rsid w:val="00A03EA8"/>
    <w:rsid w:val="00A03EAD"/>
    <w:rsid w:val="00A03F0E"/>
    <w:rsid w:val="00A03F93"/>
    <w:rsid w:val="00A04013"/>
    <w:rsid w:val="00A04039"/>
    <w:rsid w:val="00A0404A"/>
    <w:rsid w:val="00A040CA"/>
    <w:rsid w:val="00A0426F"/>
    <w:rsid w:val="00A04293"/>
    <w:rsid w:val="00A042CA"/>
    <w:rsid w:val="00A044BE"/>
    <w:rsid w:val="00A04550"/>
    <w:rsid w:val="00A04633"/>
    <w:rsid w:val="00A046CE"/>
    <w:rsid w:val="00A046F1"/>
    <w:rsid w:val="00A04784"/>
    <w:rsid w:val="00A0481B"/>
    <w:rsid w:val="00A048D4"/>
    <w:rsid w:val="00A049C2"/>
    <w:rsid w:val="00A04A73"/>
    <w:rsid w:val="00A04C50"/>
    <w:rsid w:val="00A04CB8"/>
    <w:rsid w:val="00A04E00"/>
    <w:rsid w:val="00A04EE3"/>
    <w:rsid w:val="00A04F82"/>
    <w:rsid w:val="00A04FB1"/>
    <w:rsid w:val="00A0505C"/>
    <w:rsid w:val="00A05332"/>
    <w:rsid w:val="00A055FF"/>
    <w:rsid w:val="00A05904"/>
    <w:rsid w:val="00A05A1B"/>
    <w:rsid w:val="00A05AC8"/>
    <w:rsid w:val="00A05AE7"/>
    <w:rsid w:val="00A05B13"/>
    <w:rsid w:val="00A05B79"/>
    <w:rsid w:val="00A05B8A"/>
    <w:rsid w:val="00A05BA6"/>
    <w:rsid w:val="00A05BAC"/>
    <w:rsid w:val="00A05BD5"/>
    <w:rsid w:val="00A05D3D"/>
    <w:rsid w:val="00A05ECC"/>
    <w:rsid w:val="00A05F44"/>
    <w:rsid w:val="00A060EC"/>
    <w:rsid w:val="00A061C7"/>
    <w:rsid w:val="00A06285"/>
    <w:rsid w:val="00A06445"/>
    <w:rsid w:val="00A06481"/>
    <w:rsid w:val="00A06514"/>
    <w:rsid w:val="00A0659B"/>
    <w:rsid w:val="00A065A5"/>
    <w:rsid w:val="00A06801"/>
    <w:rsid w:val="00A06910"/>
    <w:rsid w:val="00A06989"/>
    <w:rsid w:val="00A06A4C"/>
    <w:rsid w:val="00A06A99"/>
    <w:rsid w:val="00A06CAD"/>
    <w:rsid w:val="00A06E3D"/>
    <w:rsid w:val="00A06F84"/>
    <w:rsid w:val="00A06FBA"/>
    <w:rsid w:val="00A07005"/>
    <w:rsid w:val="00A07078"/>
    <w:rsid w:val="00A070A3"/>
    <w:rsid w:val="00A070F5"/>
    <w:rsid w:val="00A071F3"/>
    <w:rsid w:val="00A07297"/>
    <w:rsid w:val="00A0730A"/>
    <w:rsid w:val="00A07316"/>
    <w:rsid w:val="00A07500"/>
    <w:rsid w:val="00A07528"/>
    <w:rsid w:val="00A075FC"/>
    <w:rsid w:val="00A076ED"/>
    <w:rsid w:val="00A07819"/>
    <w:rsid w:val="00A07871"/>
    <w:rsid w:val="00A07979"/>
    <w:rsid w:val="00A07AB9"/>
    <w:rsid w:val="00A07C55"/>
    <w:rsid w:val="00A07DB0"/>
    <w:rsid w:val="00A07EC3"/>
    <w:rsid w:val="00A07F22"/>
    <w:rsid w:val="00A07F43"/>
    <w:rsid w:val="00A07F98"/>
    <w:rsid w:val="00A07FE1"/>
    <w:rsid w:val="00A07FEF"/>
    <w:rsid w:val="00A1003D"/>
    <w:rsid w:val="00A10193"/>
    <w:rsid w:val="00A10345"/>
    <w:rsid w:val="00A103E1"/>
    <w:rsid w:val="00A104D7"/>
    <w:rsid w:val="00A105BE"/>
    <w:rsid w:val="00A1064A"/>
    <w:rsid w:val="00A1065B"/>
    <w:rsid w:val="00A10740"/>
    <w:rsid w:val="00A10955"/>
    <w:rsid w:val="00A10A41"/>
    <w:rsid w:val="00A10AB3"/>
    <w:rsid w:val="00A10B85"/>
    <w:rsid w:val="00A10BB0"/>
    <w:rsid w:val="00A10D38"/>
    <w:rsid w:val="00A10DA8"/>
    <w:rsid w:val="00A10DD9"/>
    <w:rsid w:val="00A10E60"/>
    <w:rsid w:val="00A10E73"/>
    <w:rsid w:val="00A11089"/>
    <w:rsid w:val="00A110F6"/>
    <w:rsid w:val="00A110FD"/>
    <w:rsid w:val="00A1110C"/>
    <w:rsid w:val="00A11331"/>
    <w:rsid w:val="00A114C5"/>
    <w:rsid w:val="00A11624"/>
    <w:rsid w:val="00A11713"/>
    <w:rsid w:val="00A117A0"/>
    <w:rsid w:val="00A117BC"/>
    <w:rsid w:val="00A11876"/>
    <w:rsid w:val="00A11948"/>
    <w:rsid w:val="00A11AC0"/>
    <w:rsid w:val="00A11E47"/>
    <w:rsid w:val="00A11E9B"/>
    <w:rsid w:val="00A11FDD"/>
    <w:rsid w:val="00A12123"/>
    <w:rsid w:val="00A1213D"/>
    <w:rsid w:val="00A121A9"/>
    <w:rsid w:val="00A121C4"/>
    <w:rsid w:val="00A12426"/>
    <w:rsid w:val="00A12462"/>
    <w:rsid w:val="00A12517"/>
    <w:rsid w:val="00A12765"/>
    <w:rsid w:val="00A12ADB"/>
    <w:rsid w:val="00A12FE0"/>
    <w:rsid w:val="00A1311B"/>
    <w:rsid w:val="00A131D1"/>
    <w:rsid w:val="00A133FE"/>
    <w:rsid w:val="00A13410"/>
    <w:rsid w:val="00A1364F"/>
    <w:rsid w:val="00A136DC"/>
    <w:rsid w:val="00A1370D"/>
    <w:rsid w:val="00A1375F"/>
    <w:rsid w:val="00A138B4"/>
    <w:rsid w:val="00A13A7F"/>
    <w:rsid w:val="00A13AB5"/>
    <w:rsid w:val="00A13B14"/>
    <w:rsid w:val="00A13B7D"/>
    <w:rsid w:val="00A13C51"/>
    <w:rsid w:val="00A13DDD"/>
    <w:rsid w:val="00A13EC6"/>
    <w:rsid w:val="00A13FCB"/>
    <w:rsid w:val="00A14220"/>
    <w:rsid w:val="00A142A0"/>
    <w:rsid w:val="00A1439F"/>
    <w:rsid w:val="00A143D7"/>
    <w:rsid w:val="00A143D8"/>
    <w:rsid w:val="00A14420"/>
    <w:rsid w:val="00A14437"/>
    <w:rsid w:val="00A145DB"/>
    <w:rsid w:val="00A1473D"/>
    <w:rsid w:val="00A1478C"/>
    <w:rsid w:val="00A148B1"/>
    <w:rsid w:val="00A14901"/>
    <w:rsid w:val="00A14BD5"/>
    <w:rsid w:val="00A14D41"/>
    <w:rsid w:val="00A14D78"/>
    <w:rsid w:val="00A14D79"/>
    <w:rsid w:val="00A14DBD"/>
    <w:rsid w:val="00A14FBD"/>
    <w:rsid w:val="00A15017"/>
    <w:rsid w:val="00A151C6"/>
    <w:rsid w:val="00A152F6"/>
    <w:rsid w:val="00A15474"/>
    <w:rsid w:val="00A154B5"/>
    <w:rsid w:val="00A15546"/>
    <w:rsid w:val="00A155A3"/>
    <w:rsid w:val="00A15691"/>
    <w:rsid w:val="00A156A0"/>
    <w:rsid w:val="00A1580F"/>
    <w:rsid w:val="00A1592C"/>
    <w:rsid w:val="00A15961"/>
    <w:rsid w:val="00A159FB"/>
    <w:rsid w:val="00A15A7F"/>
    <w:rsid w:val="00A15B0B"/>
    <w:rsid w:val="00A15C44"/>
    <w:rsid w:val="00A15C49"/>
    <w:rsid w:val="00A15D96"/>
    <w:rsid w:val="00A15E95"/>
    <w:rsid w:val="00A15ECD"/>
    <w:rsid w:val="00A15F3A"/>
    <w:rsid w:val="00A160FE"/>
    <w:rsid w:val="00A16296"/>
    <w:rsid w:val="00A162EE"/>
    <w:rsid w:val="00A1633C"/>
    <w:rsid w:val="00A16345"/>
    <w:rsid w:val="00A165C2"/>
    <w:rsid w:val="00A1665D"/>
    <w:rsid w:val="00A167B8"/>
    <w:rsid w:val="00A168EC"/>
    <w:rsid w:val="00A16905"/>
    <w:rsid w:val="00A16939"/>
    <w:rsid w:val="00A1695E"/>
    <w:rsid w:val="00A16B55"/>
    <w:rsid w:val="00A16C20"/>
    <w:rsid w:val="00A16DA4"/>
    <w:rsid w:val="00A16DB9"/>
    <w:rsid w:val="00A16E9E"/>
    <w:rsid w:val="00A16FF2"/>
    <w:rsid w:val="00A17020"/>
    <w:rsid w:val="00A17027"/>
    <w:rsid w:val="00A170D7"/>
    <w:rsid w:val="00A171EA"/>
    <w:rsid w:val="00A17236"/>
    <w:rsid w:val="00A173A6"/>
    <w:rsid w:val="00A173A9"/>
    <w:rsid w:val="00A175E6"/>
    <w:rsid w:val="00A17957"/>
    <w:rsid w:val="00A17A1D"/>
    <w:rsid w:val="00A17C28"/>
    <w:rsid w:val="00A17D14"/>
    <w:rsid w:val="00A17DBE"/>
    <w:rsid w:val="00A17E34"/>
    <w:rsid w:val="00A17E54"/>
    <w:rsid w:val="00A17F09"/>
    <w:rsid w:val="00A17F46"/>
    <w:rsid w:val="00A1DC76"/>
    <w:rsid w:val="00A200BF"/>
    <w:rsid w:val="00A200E9"/>
    <w:rsid w:val="00A200EA"/>
    <w:rsid w:val="00A2014A"/>
    <w:rsid w:val="00A202A5"/>
    <w:rsid w:val="00A2040F"/>
    <w:rsid w:val="00A20432"/>
    <w:rsid w:val="00A20667"/>
    <w:rsid w:val="00A206CF"/>
    <w:rsid w:val="00A20810"/>
    <w:rsid w:val="00A208A4"/>
    <w:rsid w:val="00A20935"/>
    <w:rsid w:val="00A209CA"/>
    <w:rsid w:val="00A20AC9"/>
    <w:rsid w:val="00A20E82"/>
    <w:rsid w:val="00A20F1B"/>
    <w:rsid w:val="00A21033"/>
    <w:rsid w:val="00A21200"/>
    <w:rsid w:val="00A21395"/>
    <w:rsid w:val="00A214A8"/>
    <w:rsid w:val="00A215A8"/>
    <w:rsid w:val="00A217C5"/>
    <w:rsid w:val="00A217EB"/>
    <w:rsid w:val="00A2183A"/>
    <w:rsid w:val="00A21903"/>
    <w:rsid w:val="00A21957"/>
    <w:rsid w:val="00A219D9"/>
    <w:rsid w:val="00A21AFC"/>
    <w:rsid w:val="00A21B55"/>
    <w:rsid w:val="00A21BBC"/>
    <w:rsid w:val="00A21DB1"/>
    <w:rsid w:val="00A21E85"/>
    <w:rsid w:val="00A21F00"/>
    <w:rsid w:val="00A21F5F"/>
    <w:rsid w:val="00A21F61"/>
    <w:rsid w:val="00A22061"/>
    <w:rsid w:val="00A2209A"/>
    <w:rsid w:val="00A2241E"/>
    <w:rsid w:val="00A22427"/>
    <w:rsid w:val="00A2253E"/>
    <w:rsid w:val="00A225DC"/>
    <w:rsid w:val="00A225DE"/>
    <w:rsid w:val="00A22637"/>
    <w:rsid w:val="00A22654"/>
    <w:rsid w:val="00A2271D"/>
    <w:rsid w:val="00A227B2"/>
    <w:rsid w:val="00A22887"/>
    <w:rsid w:val="00A22A1D"/>
    <w:rsid w:val="00A22A40"/>
    <w:rsid w:val="00A22ACB"/>
    <w:rsid w:val="00A22CB9"/>
    <w:rsid w:val="00A22D1A"/>
    <w:rsid w:val="00A22D98"/>
    <w:rsid w:val="00A22D9E"/>
    <w:rsid w:val="00A22EA6"/>
    <w:rsid w:val="00A22FC2"/>
    <w:rsid w:val="00A22FE4"/>
    <w:rsid w:val="00A2323D"/>
    <w:rsid w:val="00A232D2"/>
    <w:rsid w:val="00A23450"/>
    <w:rsid w:val="00A23472"/>
    <w:rsid w:val="00A23593"/>
    <w:rsid w:val="00A236DC"/>
    <w:rsid w:val="00A2373D"/>
    <w:rsid w:val="00A2376A"/>
    <w:rsid w:val="00A237E7"/>
    <w:rsid w:val="00A23877"/>
    <w:rsid w:val="00A23B61"/>
    <w:rsid w:val="00A23B9A"/>
    <w:rsid w:val="00A23E2A"/>
    <w:rsid w:val="00A23E70"/>
    <w:rsid w:val="00A23F6B"/>
    <w:rsid w:val="00A23F93"/>
    <w:rsid w:val="00A241AD"/>
    <w:rsid w:val="00A2436E"/>
    <w:rsid w:val="00A2446D"/>
    <w:rsid w:val="00A245EE"/>
    <w:rsid w:val="00A24634"/>
    <w:rsid w:val="00A2474C"/>
    <w:rsid w:val="00A24864"/>
    <w:rsid w:val="00A2488E"/>
    <w:rsid w:val="00A24CE5"/>
    <w:rsid w:val="00A24FD1"/>
    <w:rsid w:val="00A2505D"/>
    <w:rsid w:val="00A250C6"/>
    <w:rsid w:val="00A250DE"/>
    <w:rsid w:val="00A250E3"/>
    <w:rsid w:val="00A25139"/>
    <w:rsid w:val="00A25218"/>
    <w:rsid w:val="00A2528C"/>
    <w:rsid w:val="00A252B1"/>
    <w:rsid w:val="00A254D8"/>
    <w:rsid w:val="00A2562A"/>
    <w:rsid w:val="00A25636"/>
    <w:rsid w:val="00A256A3"/>
    <w:rsid w:val="00A2571C"/>
    <w:rsid w:val="00A257DD"/>
    <w:rsid w:val="00A25828"/>
    <w:rsid w:val="00A25881"/>
    <w:rsid w:val="00A25A2F"/>
    <w:rsid w:val="00A25B71"/>
    <w:rsid w:val="00A25BA1"/>
    <w:rsid w:val="00A25C0B"/>
    <w:rsid w:val="00A25F63"/>
    <w:rsid w:val="00A25FAB"/>
    <w:rsid w:val="00A25FE7"/>
    <w:rsid w:val="00A2643F"/>
    <w:rsid w:val="00A264BC"/>
    <w:rsid w:val="00A26699"/>
    <w:rsid w:val="00A26838"/>
    <w:rsid w:val="00A269CE"/>
    <w:rsid w:val="00A26A9A"/>
    <w:rsid w:val="00A26B31"/>
    <w:rsid w:val="00A26BB1"/>
    <w:rsid w:val="00A26D3D"/>
    <w:rsid w:val="00A26D9F"/>
    <w:rsid w:val="00A26DE8"/>
    <w:rsid w:val="00A26E19"/>
    <w:rsid w:val="00A26F3C"/>
    <w:rsid w:val="00A27056"/>
    <w:rsid w:val="00A271AE"/>
    <w:rsid w:val="00A2732D"/>
    <w:rsid w:val="00A273E2"/>
    <w:rsid w:val="00A273E3"/>
    <w:rsid w:val="00A27420"/>
    <w:rsid w:val="00A27564"/>
    <w:rsid w:val="00A275BB"/>
    <w:rsid w:val="00A27789"/>
    <w:rsid w:val="00A278CE"/>
    <w:rsid w:val="00A27A65"/>
    <w:rsid w:val="00A27BFD"/>
    <w:rsid w:val="00A27C64"/>
    <w:rsid w:val="00A27C9D"/>
    <w:rsid w:val="00A27D5E"/>
    <w:rsid w:val="00A27EB4"/>
    <w:rsid w:val="00A27F61"/>
    <w:rsid w:val="00A30089"/>
    <w:rsid w:val="00A3012C"/>
    <w:rsid w:val="00A3013A"/>
    <w:rsid w:val="00A303E2"/>
    <w:rsid w:val="00A305CA"/>
    <w:rsid w:val="00A306CD"/>
    <w:rsid w:val="00A30729"/>
    <w:rsid w:val="00A3075E"/>
    <w:rsid w:val="00A3087F"/>
    <w:rsid w:val="00A3090A"/>
    <w:rsid w:val="00A30941"/>
    <w:rsid w:val="00A30943"/>
    <w:rsid w:val="00A309F6"/>
    <w:rsid w:val="00A30C32"/>
    <w:rsid w:val="00A30E69"/>
    <w:rsid w:val="00A30F5D"/>
    <w:rsid w:val="00A30F71"/>
    <w:rsid w:val="00A30F8B"/>
    <w:rsid w:val="00A30FB8"/>
    <w:rsid w:val="00A3109D"/>
    <w:rsid w:val="00A311B1"/>
    <w:rsid w:val="00A3132D"/>
    <w:rsid w:val="00A314FF"/>
    <w:rsid w:val="00A315E7"/>
    <w:rsid w:val="00A3166A"/>
    <w:rsid w:val="00A31826"/>
    <w:rsid w:val="00A31B84"/>
    <w:rsid w:val="00A31C82"/>
    <w:rsid w:val="00A31CE8"/>
    <w:rsid w:val="00A31D45"/>
    <w:rsid w:val="00A31D5E"/>
    <w:rsid w:val="00A31E3A"/>
    <w:rsid w:val="00A31FDD"/>
    <w:rsid w:val="00A31FE1"/>
    <w:rsid w:val="00A31FFA"/>
    <w:rsid w:val="00A324EA"/>
    <w:rsid w:val="00A325DD"/>
    <w:rsid w:val="00A32687"/>
    <w:rsid w:val="00A32690"/>
    <w:rsid w:val="00A327E6"/>
    <w:rsid w:val="00A32A27"/>
    <w:rsid w:val="00A32ADE"/>
    <w:rsid w:val="00A32BB5"/>
    <w:rsid w:val="00A32BD2"/>
    <w:rsid w:val="00A32C4B"/>
    <w:rsid w:val="00A32DD6"/>
    <w:rsid w:val="00A32DEE"/>
    <w:rsid w:val="00A32E28"/>
    <w:rsid w:val="00A32E32"/>
    <w:rsid w:val="00A32EAA"/>
    <w:rsid w:val="00A32F28"/>
    <w:rsid w:val="00A32F6B"/>
    <w:rsid w:val="00A32F93"/>
    <w:rsid w:val="00A32FA3"/>
    <w:rsid w:val="00A32FC7"/>
    <w:rsid w:val="00A33096"/>
    <w:rsid w:val="00A330C0"/>
    <w:rsid w:val="00A330EC"/>
    <w:rsid w:val="00A3328D"/>
    <w:rsid w:val="00A33290"/>
    <w:rsid w:val="00A332E9"/>
    <w:rsid w:val="00A332FF"/>
    <w:rsid w:val="00A33420"/>
    <w:rsid w:val="00A3352E"/>
    <w:rsid w:val="00A336A0"/>
    <w:rsid w:val="00A33C9A"/>
    <w:rsid w:val="00A33D37"/>
    <w:rsid w:val="00A33F55"/>
    <w:rsid w:val="00A34076"/>
    <w:rsid w:val="00A340CA"/>
    <w:rsid w:val="00A3411B"/>
    <w:rsid w:val="00A341C5"/>
    <w:rsid w:val="00A342C4"/>
    <w:rsid w:val="00A34534"/>
    <w:rsid w:val="00A34750"/>
    <w:rsid w:val="00A34782"/>
    <w:rsid w:val="00A3483A"/>
    <w:rsid w:val="00A34A7C"/>
    <w:rsid w:val="00A34AD5"/>
    <w:rsid w:val="00A34B9D"/>
    <w:rsid w:val="00A34C41"/>
    <w:rsid w:val="00A34CD1"/>
    <w:rsid w:val="00A34D6C"/>
    <w:rsid w:val="00A34E23"/>
    <w:rsid w:val="00A34E51"/>
    <w:rsid w:val="00A34E92"/>
    <w:rsid w:val="00A34F7D"/>
    <w:rsid w:val="00A34FDB"/>
    <w:rsid w:val="00A35001"/>
    <w:rsid w:val="00A3512D"/>
    <w:rsid w:val="00A3527E"/>
    <w:rsid w:val="00A35295"/>
    <w:rsid w:val="00A35480"/>
    <w:rsid w:val="00A35533"/>
    <w:rsid w:val="00A35622"/>
    <w:rsid w:val="00A3562E"/>
    <w:rsid w:val="00A35662"/>
    <w:rsid w:val="00A35673"/>
    <w:rsid w:val="00A35717"/>
    <w:rsid w:val="00A3588A"/>
    <w:rsid w:val="00A35927"/>
    <w:rsid w:val="00A35954"/>
    <w:rsid w:val="00A359CE"/>
    <w:rsid w:val="00A35A70"/>
    <w:rsid w:val="00A35AC1"/>
    <w:rsid w:val="00A35BDD"/>
    <w:rsid w:val="00A35C13"/>
    <w:rsid w:val="00A35CB5"/>
    <w:rsid w:val="00A35D78"/>
    <w:rsid w:val="00A35F14"/>
    <w:rsid w:val="00A35FC4"/>
    <w:rsid w:val="00A36112"/>
    <w:rsid w:val="00A361C4"/>
    <w:rsid w:val="00A36232"/>
    <w:rsid w:val="00A36315"/>
    <w:rsid w:val="00A363EE"/>
    <w:rsid w:val="00A363F2"/>
    <w:rsid w:val="00A36562"/>
    <w:rsid w:val="00A36586"/>
    <w:rsid w:val="00A3660F"/>
    <w:rsid w:val="00A3663F"/>
    <w:rsid w:val="00A367E2"/>
    <w:rsid w:val="00A367F1"/>
    <w:rsid w:val="00A36813"/>
    <w:rsid w:val="00A368A8"/>
    <w:rsid w:val="00A36E40"/>
    <w:rsid w:val="00A36FC9"/>
    <w:rsid w:val="00A37133"/>
    <w:rsid w:val="00A3733E"/>
    <w:rsid w:val="00A373A1"/>
    <w:rsid w:val="00A3740C"/>
    <w:rsid w:val="00A374B8"/>
    <w:rsid w:val="00A37600"/>
    <w:rsid w:val="00A3777E"/>
    <w:rsid w:val="00A3782D"/>
    <w:rsid w:val="00A378E9"/>
    <w:rsid w:val="00A37A2E"/>
    <w:rsid w:val="00A37A73"/>
    <w:rsid w:val="00A37C02"/>
    <w:rsid w:val="00A37E96"/>
    <w:rsid w:val="00A37EA3"/>
    <w:rsid w:val="00A37EC3"/>
    <w:rsid w:val="00A40020"/>
    <w:rsid w:val="00A4020A"/>
    <w:rsid w:val="00A40214"/>
    <w:rsid w:val="00A4042E"/>
    <w:rsid w:val="00A404D7"/>
    <w:rsid w:val="00A407FC"/>
    <w:rsid w:val="00A407FF"/>
    <w:rsid w:val="00A4082D"/>
    <w:rsid w:val="00A408BD"/>
    <w:rsid w:val="00A408F2"/>
    <w:rsid w:val="00A40ABB"/>
    <w:rsid w:val="00A40BA4"/>
    <w:rsid w:val="00A40C64"/>
    <w:rsid w:val="00A40C8A"/>
    <w:rsid w:val="00A40D59"/>
    <w:rsid w:val="00A40DC5"/>
    <w:rsid w:val="00A40EA4"/>
    <w:rsid w:val="00A40EAB"/>
    <w:rsid w:val="00A40F3E"/>
    <w:rsid w:val="00A40FA0"/>
    <w:rsid w:val="00A40FC3"/>
    <w:rsid w:val="00A40FDC"/>
    <w:rsid w:val="00A41107"/>
    <w:rsid w:val="00A41241"/>
    <w:rsid w:val="00A41309"/>
    <w:rsid w:val="00A41351"/>
    <w:rsid w:val="00A4141A"/>
    <w:rsid w:val="00A4156F"/>
    <w:rsid w:val="00A415CF"/>
    <w:rsid w:val="00A41753"/>
    <w:rsid w:val="00A4188E"/>
    <w:rsid w:val="00A4190B"/>
    <w:rsid w:val="00A4198A"/>
    <w:rsid w:val="00A41A0E"/>
    <w:rsid w:val="00A41B79"/>
    <w:rsid w:val="00A41BC6"/>
    <w:rsid w:val="00A41C4D"/>
    <w:rsid w:val="00A41D08"/>
    <w:rsid w:val="00A41F32"/>
    <w:rsid w:val="00A41F6A"/>
    <w:rsid w:val="00A42040"/>
    <w:rsid w:val="00A4204D"/>
    <w:rsid w:val="00A4211F"/>
    <w:rsid w:val="00A422DB"/>
    <w:rsid w:val="00A42366"/>
    <w:rsid w:val="00A423B9"/>
    <w:rsid w:val="00A423D7"/>
    <w:rsid w:val="00A423F5"/>
    <w:rsid w:val="00A42402"/>
    <w:rsid w:val="00A425BF"/>
    <w:rsid w:val="00A425C9"/>
    <w:rsid w:val="00A4295A"/>
    <w:rsid w:val="00A42980"/>
    <w:rsid w:val="00A42A2B"/>
    <w:rsid w:val="00A42B67"/>
    <w:rsid w:val="00A42BE6"/>
    <w:rsid w:val="00A42D19"/>
    <w:rsid w:val="00A42F2D"/>
    <w:rsid w:val="00A42F66"/>
    <w:rsid w:val="00A42FA1"/>
    <w:rsid w:val="00A42FFF"/>
    <w:rsid w:val="00A4304B"/>
    <w:rsid w:val="00A43064"/>
    <w:rsid w:val="00A431BC"/>
    <w:rsid w:val="00A432B7"/>
    <w:rsid w:val="00A432E0"/>
    <w:rsid w:val="00A433F6"/>
    <w:rsid w:val="00A43556"/>
    <w:rsid w:val="00A435B6"/>
    <w:rsid w:val="00A4362B"/>
    <w:rsid w:val="00A43717"/>
    <w:rsid w:val="00A43814"/>
    <w:rsid w:val="00A4386F"/>
    <w:rsid w:val="00A439EE"/>
    <w:rsid w:val="00A43A00"/>
    <w:rsid w:val="00A43AA7"/>
    <w:rsid w:val="00A43B89"/>
    <w:rsid w:val="00A43BD3"/>
    <w:rsid w:val="00A43D62"/>
    <w:rsid w:val="00A43D7F"/>
    <w:rsid w:val="00A43E20"/>
    <w:rsid w:val="00A43E4D"/>
    <w:rsid w:val="00A43FDF"/>
    <w:rsid w:val="00A44043"/>
    <w:rsid w:val="00A44158"/>
    <w:rsid w:val="00A4417A"/>
    <w:rsid w:val="00A44282"/>
    <w:rsid w:val="00A44321"/>
    <w:rsid w:val="00A44451"/>
    <w:rsid w:val="00A44501"/>
    <w:rsid w:val="00A4453C"/>
    <w:rsid w:val="00A44720"/>
    <w:rsid w:val="00A44805"/>
    <w:rsid w:val="00A44974"/>
    <w:rsid w:val="00A44BDE"/>
    <w:rsid w:val="00A44D2C"/>
    <w:rsid w:val="00A44D64"/>
    <w:rsid w:val="00A44DBB"/>
    <w:rsid w:val="00A45049"/>
    <w:rsid w:val="00A45079"/>
    <w:rsid w:val="00A45198"/>
    <w:rsid w:val="00A453A8"/>
    <w:rsid w:val="00A453C0"/>
    <w:rsid w:val="00A455D9"/>
    <w:rsid w:val="00A4582F"/>
    <w:rsid w:val="00A458C8"/>
    <w:rsid w:val="00A45923"/>
    <w:rsid w:val="00A4592D"/>
    <w:rsid w:val="00A459E1"/>
    <w:rsid w:val="00A45BB3"/>
    <w:rsid w:val="00A45BDF"/>
    <w:rsid w:val="00A45CCD"/>
    <w:rsid w:val="00A45D71"/>
    <w:rsid w:val="00A45D99"/>
    <w:rsid w:val="00A45DE4"/>
    <w:rsid w:val="00A45E20"/>
    <w:rsid w:val="00A45E8B"/>
    <w:rsid w:val="00A45E92"/>
    <w:rsid w:val="00A460F4"/>
    <w:rsid w:val="00A4611E"/>
    <w:rsid w:val="00A4612D"/>
    <w:rsid w:val="00A461D9"/>
    <w:rsid w:val="00A46205"/>
    <w:rsid w:val="00A46310"/>
    <w:rsid w:val="00A46552"/>
    <w:rsid w:val="00A466BF"/>
    <w:rsid w:val="00A469B3"/>
    <w:rsid w:val="00A469D5"/>
    <w:rsid w:val="00A46ABC"/>
    <w:rsid w:val="00A46ACD"/>
    <w:rsid w:val="00A46AEC"/>
    <w:rsid w:val="00A46C0D"/>
    <w:rsid w:val="00A46C65"/>
    <w:rsid w:val="00A46D7D"/>
    <w:rsid w:val="00A46DF7"/>
    <w:rsid w:val="00A46E6B"/>
    <w:rsid w:val="00A46FCA"/>
    <w:rsid w:val="00A471D1"/>
    <w:rsid w:val="00A47219"/>
    <w:rsid w:val="00A47346"/>
    <w:rsid w:val="00A47353"/>
    <w:rsid w:val="00A4737B"/>
    <w:rsid w:val="00A473BD"/>
    <w:rsid w:val="00A473FA"/>
    <w:rsid w:val="00A474CE"/>
    <w:rsid w:val="00A47603"/>
    <w:rsid w:val="00A47632"/>
    <w:rsid w:val="00A47790"/>
    <w:rsid w:val="00A47940"/>
    <w:rsid w:val="00A479EF"/>
    <w:rsid w:val="00A47B22"/>
    <w:rsid w:val="00A47C0D"/>
    <w:rsid w:val="00A47DF5"/>
    <w:rsid w:val="00A47E81"/>
    <w:rsid w:val="00A47E89"/>
    <w:rsid w:val="00A47E97"/>
    <w:rsid w:val="00A47FA5"/>
    <w:rsid w:val="00A50066"/>
    <w:rsid w:val="00A500B4"/>
    <w:rsid w:val="00A500CC"/>
    <w:rsid w:val="00A500EF"/>
    <w:rsid w:val="00A501E8"/>
    <w:rsid w:val="00A5022B"/>
    <w:rsid w:val="00A50323"/>
    <w:rsid w:val="00A50427"/>
    <w:rsid w:val="00A50545"/>
    <w:rsid w:val="00A5057D"/>
    <w:rsid w:val="00A50695"/>
    <w:rsid w:val="00A50814"/>
    <w:rsid w:val="00A50862"/>
    <w:rsid w:val="00A50863"/>
    <w:rsid w:val="00A50872"/>
    <w:rsid w:val="00A509B7"/>
    <w:rsid w:val="00A509D1"/>
    <w:rsid w:val="00A509DC"/>
    <w:rsid w:val="00A50ADC"/>
    <w:rsid w:val="00A50C12"/>
    <w:rsid w:val="00A50C2A"/>
    <w:rsid w:val="00A50E4A"/>
    <w:rsid w:val="00A50F41"/>
    <w:rsid w:val="00A51158"/>
    <w:rsid w:val="00A511B2"/>
    <w:rsid w:val="00A51300"/>
    <w:rsid w:val="00A513FF"/>
    <w:rsid w:val="00A51457"/>
    <w:rsid w:val="00A51490"/>
    <w:rsid w:val="00A51556"/>
    <w:rsid w:val="00A51558"/>
    <w:rsid w:val="00A5159A"/>
    <w:rsid w:val="00A515EE"/>
    <w:rsid w:val="00A51602"/>
    <w:rsid w:val="00A51655"/>
    <w:rsid w:val="00A51A09"/>
    <w:rsid w:val="00A51A98"/>
    <w:rsid w:val="00A51B36"/>
    <w:rsid w:val="00A51BCC"/>
    <w:rsid w:val="00A51BDF"/>
    <w:rsid w:val="00A51CD5"/>
    <w:rsid w:val="00A51E54"/>
    <w:rsid w:val="00A5201C"/>
    <w:rsid w:val="00A5235E"/>
    <w:rsid w:val="00A5237B"/>
    <w:rsid w:val="00A52388"/>
    <w:rsid w:val="00A524C8"/>
    <w:rsid w:val="00A52503"/>
    <w:rsid w:val="00A5298E"/>
    <w:rsid w:val="00A52A5A"/>
    <w:rsid w:val="00A52F75"/>
    <w:rsid w:val="00A53112"/>
    <w:rsid w:val="00A53235"/>
    <w:rsid w:val="00A5332B"/>
    <w:rsid w:val="00A53346"/>
    <w:rsid w:val="00A53498"/>
    <w:rsid w:val="00A534B1"/>
    <w:rsid w:val="00A534B5"/>
    <w:rsid w:val="00A534D0"/>
    <w:rsid w:val="00A534F9"/>
    <w:rsid w:val="00A5359E"/>
    <w:rsid w:val="00A535C1"/>
    <w:rsid w:val="00A53665"/>
    <w:rsid w:val="00A53686"/>
    <w:rsid w:val="00A536ED"/>
    <w:rsid w:val="00A5389B"/>
    <w:rsid w:val="00A539E6"/>
    <w:rsid w:val="00A53B79"/>
    <w:rsid w:val="00A53BF1"/>
    <w:rsid w:val="00A53C02"/>
    <w:rsid w:val="00A53C26"/>
    <w:rsid w:val="00A53C51"/>
    <w:rsid w:val="00A53CEC"/>
    <w:rsid w:val="00A54237"/>
    <w:rsid w:val="00A54388"/>
    <w:rsid w:val="00A54395"/>
    <w:rsid w:val="00A5439E"/>
    <w:rsid w:val="00A543AF"/>
    <w:rsid w:val="00A545AA"/>
    <w:rsid w:val="00A546B3"/>
    <w:rsid w:val="00A54792"/>
    <w:rsid w:val="00A54860"/>
    <w:rsid w:val="00A54936"/>
    <w:rsid w:val="00A549FA"/>
    <w:rsid w:val="00A54B02"/>
    <w:rsid w:val="00A54B36"/>
    <w:rsid w:val="00A54B6C"/>
    <w:rsid w:val="00A54BB8"/>
    <w:rsid w:val="00A54D7A"/>
    <w:rsid w:val="00A54E1C"/>
    <w:rsid w:val="00A54F33"/>
    <w:rsid w:val="00A55025"/>
    <w:rsid w:val="00A5505E"/>
    <w:rsid w:val="00A55062"/>
    <w:rsid w:val="00A550E1"/>
    <w:rsid w:val="00A55127"/>
    <w:rsid w:val="00A5524F"/>
    <w:rsid w:val="00A553AF"/>
    <w:rsid w:val="00A55477"/>
    <w:rsid w:val="00A55514"/>
    <w:rsid w:val="00A55572"/>
    <w:rsid w:val="00A555AA"/>
    <w:rsid w:val="00A55604"/>
    <w:rsid w:val="00A556C6"/>
    <w:rsid w:val="00A5575E"/>
    <w:rsid w:val="00A557E7"/>
    <w:rsid w:val="00A557E9"/>
    <w:rsid w:val="00A5587C"/>
    <w:rsid w:val="00A55A4F"/>
    <w:rsid w:val="00A55BF6"/>
    <w:rsid w:val="00A55C32"/>
    <w:rsid w:val="00A55D7C"/>
    <w:rsid w:val="00A560C3"/>
    <w:rsid w:val="00A5612E"/>
    <w:rsid w:val="00A56140"/>
    <w:rsid w:val="00A5639D"/>
    <w:rsid w:val="00A563D1"/>
    <w:rsid w:val="00A566ED"/>
    <w:rsid w:val="00A56741"/>
    <w:rsid w:val="00A5677D"/>
    <w:rsid w:val="00A567B0"/>
    <w:rsid w:val="00A56846"/>
    <w:rsid w:val="00A56901"/>
    <w:rsid w:val="00A56999"/>
    <w:rsid w:val="00A56AE0"/>
    <w:rsid w:val="00A56B53"/>
    <w:rsid w:val="00A56C6F"/>
    <w:rsid w:val="00A56D6A"/>
    <w:rsid w:val="00A56DC0"/>
    <w:rsid w:val="00A56E75"/>
    <w:rsid w:val="00A56FE1"/>
    <w:rsid w:val="00A57004"/>
    <w:rsid w:val="00A5708D"/>
    <w:rsid w:val="00A570CA"/>
    <w:rsid w:val="00A571B5"/>
    <w:rsid w:val="00A573F6"/>
    <w:rsid w:val="00A57431"/>
    <w:rsid w:val="00A575C0"/>
    <w:rsid w:val="00A575D9"/>
    <w:rsid w:val="00A57603"/>
    <w:rsid w:val="00A57749"/>
    <w:rsid w:val="00A57902"/>
    <w:rsid w:val="00A57AEB"/>
    <w:rsid w:val="00A57B13"/>
    <w:rsid w:val="00A57FE8"/>
    <w:rsid w:val="00A6004A"/>
    <w:rsid w:val="00A603CB"/>
    <w:rsid w:val="00A603EB"/>
    <w:rsid w:val="00A604FD"/>
    <w:rsid w:val="00A6051E"/>
    <w:rsid w:val="00A6058E"/>
    <w:rsid w:val="00A60604"/>
    <w:rsid w:val="00A606A2"/>
    <w:rsid w:val="00A60862"/>
    <w:rsid w:val="00A60989"/>
    <w:rsid w:val="00A60DDC"/>
    <w:rsid w:val="00A60E15"/>
    <w:rsid w:val="00A6100F"/>
    <w:rsid w:val="00A61062"/>
    <w:rsid w:val="00A61150"/>
    <w:rsid w:val="00A611E2"/>
    <w:rsid w:val="00A61264"/>
    <w:rsid w:val="00A612BC"/>
    <w:rsid w:val="00A61300"/>
    <w:rsid w:val="00A6133F"/>
    <w:rsid w:val="00A6134B"/>
    <w:rsid w:val="00A6137F"/>
    <w:rsid w:val="00A61425"/>
    <w:rsid w:val="00A6142C"/>
    <w:rsid w:val="00A6151B"/>
    <w:rsid w:val="00A615EA"/>
    <w:rsid w:val="00A617A2"/>
    <w:rsid w:val="00A61805"/>
    <w:rsid w:val="00A6186B"/>
    <w:rsid w:val="00A618EC"/>
    <w:rsid w:val="00A619C4"/>
    <w:rsid w:val="00A61BC5"/>
    <w:rsid w:val="00A61D55"/>
    <w:rsid w:val="00A61F4A"/>
    <w:rsid w:val="00A61F83"/>
    <w:rsid w:val="00A62096"/>
    <w:rsid w:val="00A62142"/>
    <w:rsid w:val="00A621D2"/>
    <w:rsid w:val="00A623B0"/>
    <w:rsid w:val="00A6245E"/>
    <w:rsid w:val="00A625D4"/>
    <w:rsid w:val="00A62799"/>
    <w:rsid w:val="00A62AEC"/>
    <w:rsid w:val="00A62BC9"/>
    <w:rsid w:val="00A62C82"/>
    <w:rsid w:val="00A63022"/>
    <w:rsid w:val="00A631A3"/>
    <w:rsid w:val="00A63250"/>
    <w:rsid w:val="00A63283"/>
    <w:rsid w:val="00A6330C"/>
    <w:rsid w:val="00A63443"/>
    <w:rsid w:val="00A6352D"/>
    <w:rsid w:val="00A63582"/>
    <w:rsid w:val="00A6365F"/>
    <w:rsid w:val="00A63750"/>
    <w:rsid w:val="00A6382D"/>
    <w:rsid w:val="00A638D0"/>
    <w:rsid w:val="00A638FA"/>
    <w:rsid w:val="00A63948"/>
    <w:rsid w:val="00A63B25"/>
    <w:rsid w:val="00A63B6E"/>
    <w:rsid w:val="00A63BAE"/>
    <w:rsid w:val="00A63CA2"/>
    <w:rsid w:val="00A63DF7"/>
    <w:rsid w:val="00A63E57"/>
    <w:rsid w:val="00A63EF9"/>
    <w:rsid w:val="00A63F7B"/>
    <w:rsid w:val="00A63FF2"/>
    <w:rsid w:val="00A63FFC"/>
    <w:rsid w:val="00A642FD"/>
    <w:rsid w:val="00A643CD"/>
    <w:rsid w:val="00A644F6"/>
    <w:rsid w:val="00A6452B"/>
    <w:rsid w:val="00A64624"/>
    <w:rsid w:val="00A6462A"/>
    <w:rsid w:val="00A6462B"/>
    <w:rsid w:val="00A6475C"/>
    <w:rsid w:val="00A64AF7"/>
    <w:rsid w:val="00A64BF4"/>
    <w:rsid w:val="00A64CF9"/>
    <w:rsid w:val="00A64E79"/>
    <w:rsid w:val="00A6520D"/>
    <w:rsid w:val="00A652B3"/>
    <w:rsid w:val="00A653A4"/>
    <w:rsid w:val="00A65447"/>
    <w:rsid w:val="00A6544E"/>
    <w:rsid w:val="00A6565E"/>
    <w:rsid w:val="00A656FF"/>
    <w:rsid w:val="00A65724"/>
    <w:rsid w:val="00A657B6"/>
    <w:rsid w:val="00A657F2"/>
    <w:rsid w:val="00A6587E"/>
    <w:rsid w:val="00A658A3"/>
    <w:rsid w:val="00A65A73"/>
    <w:rsid w:val="00A65A92"/>
    <w:rsid w:val="00A65D19"/>
    <w:rsid w:val="00A65F8D"/>
    <w:rsid w:val="00A65FB7"/>
    <w:rsid w:val="00A6608E"/>
    <w:rsid w:val="00A6608F"/>
    <w:rsid w:val="00A66224"/>
    <w:rsid w:val="00A66480"/>
    <w:rsid w:val="00A664E8"/>
    <w:rsid w:val="00A6657B"/>
    <w:rsid w:val="00A66791"/>
    <w:rsid w:val="00A66AC4"/>
    <w:rsid w:val="00A66BE9"/>
    <w:rsid w:val="00A66C9E"/>
    <w:rsid w:val="00A66EC4"/>
    <w:rsid w:val="00A66EE5"/>
    <w:rsid w:val="00A6732D"/>
    <w:rsid w:val="00A67506"/>
    <w:rsid w:val="00A6757E"/>
    <w:rsid w:val="00A67599"/>
    <w:rsid w:val="00A675BE"/>
    <w:rsid w:val="00A67804"/>
    <w:rsid w:val="00A6783B"/>
    <w:rsid w:val="00A67898"/>
    <w:rsid w:val="00A678B2"/>
    <w:rsid w:val="00A67C0D"/>
    <w:rsid w:val="00A67C63"/>
    <w:rsid w:val="00A67CDE"/>
    <w:rsid w:val="00A67DED"/>
    <w:rsid w:val="00A67EC3"/>
    <w:rsid w:val="00A67EE0"/>
    <w:rsid w:val="00A67F15"/>
    <w:rsid w:val="00A67F4C"/>
    <w:rsid w:val="00A67FF4"/>
    <w:rsid w:val="00A6CC2F"/>
    <w:rsid w:val="00A70026"/>
    <w:rsid w:val="00A70072"/>
    <w:rsid w:val="00A70349"/>
    <w:rsid w:val="00A70467"/>
    <w:rsid w:val="00A7056C"/>
    <w:rsid w:val="00A705D9"/>
    <w:rsid w:val="00A70717"/>
    <w:rsid w:val="00A70865"/>
    <w:rsid w:val="00A708A6"/>
    <w:rsid w:val="00A7092C"/>
    <w:rsid w:val="00A70946"/>
    <w:rsid w:val="00A70956"/>
    <w:rsid w:val="00A70AFE"/>
    <w:rsid w:val="00A70BDA"/>
    <w:rsid w:val="00A70E0A"/>
    <w:rsid w:val="00A70ECB"/>
    <w:rsid w:val="00A71265"/>
    <w:rsid w:val="00A71458"/>
    <w:rsid w:val="00A71492"/>
    <w:rsid w:val="00A7164B"/>
    <w:rsid w:val="00A71832"/>
    <w:rsid w:val="00A718E6"/>
    <w:rsid w:val="00A718EB"/>
    <w:rsid w:val="00A719BF"/>
    <w:rsid w:val="00A71A3A"/>
    <w:rsid w:val="00A71A48"/>
    <w:rsid w:val="00A71AD3"/>
    <w:rsid w:val="00A71B27"/>
    <w:rsid w:val="00A71CEC"/>
    <w:rsid w:val="00A71E09"/>
    <w:rsid w:val="00A71E7E"/>
    <w:rsid w:val="00A720FD"/>
    <w:rsid w:val="00A72125"/>
    <w:rsid w:val="00A72153"/>
    <w:rsid w:val="00A7240F"/>
    <w:rsid w:val="00A724C2"/>
    <w:rsid w:val="00A724C5"/>
    <w:rsid w:val="00A72530"/>
    <w:rsid w:val="00A7280A"/>
    <w:rsid w:val="00A7283F"/>
    <w:rsid w:val="00A7290C"/>
    <w:rsid w:val="00A7298B"/>
    <w:rsid w:val="00A729FD"/>
    <w:rsid w:val="00A72A37"/>
    <w:rsid w:val="00A72ABB"/>
    <w:rsid w:val="00A72C8C"/>
    <w:rsid w:val="00A72E15"/>
    <w:rsid w:val="00A72E40"/>
    <w:rsid w:val="00A72EC8"/>
    <w:rsid w:val="00A72FE2"/>
    <w:rsid w:val="00A731AB"/>
    <w:rsid w:val="00A731DA"/>
    <w:rsid w:val="00A73352"/>
    <w:rsid w:val="00A7339F"/>
    <w:rsid w:val="00A73458"/>
    <w:rsid w:val="00A73461"/>
    <w:rsid w:val="00A73465"/>
    <w:rsid w:val="00A7352D"/>
    <w:rsid w:val="00A73704"/>
    <w:rsid w:val="00A73945"/>
    <w:rsid w:val="00A739CC"/>
    <w:rsid w:val="00A73AE4"/>
    <w:rsid w:val="00A73C81"/>
    <w:rsid w:val="00A73CA7"/>
    <w:rsid w:val="00A73D55"/>
    <w:rsid w:val="00A73D9A"/>
    <w:rsid w:val="00A73E73"/>
    <w:rsid w:val="00A73EC1"/>
    <w:rsid w:val="00A74034"/>
    <w:rsid w:val="00A7413F"/>
    <w:rsid w:val="00A741EA"/>
    <w:rsid w:val="00A74239"/>
    <w:rsid w:val="00A74273"/>
    <w:rsid w:val="00A742BC"/>
    <w:rsid w:val="00A74341"/>
    <w:rsid w:val="00A74382"/>
    <w:rsid w:val="00A743E4"/>
    <w:rsid w:val="00A74538"/>
    <w:rsid w:val="00A745EE"/>
    <w:rsid w:val="00A7470E"/>
    <w:rsid w:val="00A74768"/>
    <w:rsid w:val="00A748AE"/>
    <w:rsid w:val="00A748C5"/>
    <w:rsid w:val="00A749DC"/>
    <w:rsid w:val="00A74A9F"/>
    <w:rsid w:val="00A74ACD"/>
    <w:rsid w:val="00A74DF7"/>
    <w:rsid w:val="00A74EB7"/>
    <w:rsid w:val="00A75076"/>
    <w:rsid w:val="00A7516A"/>
    <w:rsid w:val="00A7516B"/>
    <w:rsid w:val="00A752E6"/>
    <w:rsid w:val="00A755DB"/>
    <w:rsid w:val="00A756AF"/>
    <w:rsid w:val="00A7593D"/>
    <w:rsid w:val="00A759C8"/>
    <w:rsid w:val="00A75BB6"/>
    <w:rsid w:val="00A75C96"/>
    <w:rsid w:val="00A75CA8"/>
    <w:rsid w:val="00A75DC2"/>
    <w:rsid w:val="00A75DFC"/>
    <w:rsid w:val="00A75E20"/>
    <w:rsid w:val="00A75EAC"/>
    <w:rsid w:val="00A75EE1"/>
    <w:rsid w:val="00A75F22"/>
    <w:rsid w:val="00A75F62"/>
    <w:rsid w:val="00A75FB7"/>
    <w:rsid w:val="00A76030"/>
    <w:rsid w:val="00A760A6"/>
    <w:rsid w:val="00A76107"/>
    <w:rsid w:val="00A761E0"/>
    <w:rsid w:val="00A76201"/>
    <w:rsid w:val="00A76399"/>
    <w:rsid w:val="00A764BC"/>
    <w:rsid w:val="00A767A1"/>
    <w:rsid w:val="00A767F3"/>
    <w:rsid w:val="00A768EE"/>
    <w:rsid w:val="00A769AB"/>
    <w:rsid w:val="00A76A80"/>
    <w:rsid w:val="00A76AE1"/>
    <w:rsid w:val="00A76EA9"/>
    <w:rsid w:val="00A76F22"/>
    <w:rsid w:val="00A76F91"/>
    <w:rsid w:val="00A77008"/>
    <w:rsid w:val="00A77043"/>
    <w:rsid w:val="00A7711F"/>
    <w:rsid w:val="00A77220"/>
    <w:rsid w:val="00A77247"/>
    <w:rsid w:val="00A772B2"/>
    <w:rsid w:val="00A7742A"/>
    <w:rsid w:val="00A7742C"/>
    <w:rsid w:val="00A77530"/>
    <w:rsid w:val="00A7761A"/>
    <w:rsid w:val="00A77731"/>
    <w:rsid w:val="00A778D0"/>
    <w:rsid w:val="00A778E7"/>
    <w:rsid w:val="00A779E3"/>
    <w:rsid w:val="00A77AB8"/>
    <w:rsid w:val="00A77B0A"/>
    <w:rsid w:val="00A77C07"/>
    <w:rsid w:val="00A77C36"/>
    <w:rsid w:val="00A77C7E"/>
    <w:rsid w:val="00A77CE2"/>
    <w:rsid w:val="00A77D55"/>
    <w:rsid w:val="00A77E88"/>
    <w:rsid w:val="00A80001"/>
    <w:rsid w:val="00A80082"/>
    <w:rsid w:val="00A80110"/>
    <w:rsid w:val="00A80188"/>
    <w:rsid w:val="00A80275"/>
    <w:rsid w:val="00A803CC"/>
    <w:rsid w:val="00A805EE"/>
    <w:rsid w:val="00A806EE"/>
    <w:rsid w:val="00A80880"/>
    <w:rsid w:val="00A80884"/>
    <w:rsid w:val="00A80ACB"/>
    <w:rsid w:val="00A80B7A"/>
    <w:rsid w:val="00A80C27"/>
    <w:rsid w:val="00A80C92"/>
    <w:rsid w:val="00A80E2B"/>
    <w:rsid w:val="00A80E45"/>
    <w:rsid w:val="00A80F5F"/>
    <w:rsid w:val="00A81022"/>
    <w:rsid w:val="00A81072"/>
    <w:rsid w:val="00A81078"/>
    <w:rsid w:val="00A810F6"/>
    <w:rsid w:val="00A811C2"/>
    <w:rsid w:val="00A8136E"/>
    <w:rsid w:val="00A814F0"/>
    <w:rsid w:val="00A815A2"/>
    <w:rsid w:val="00A816BD"/>
    <w:rsid w:val="00A81724"/>
    <w:rsid w:val="00A817BF"/>
    <w:rsid w:val="00A818AC"/>
    <w:rsid w:val="00A818C8"/>
    <w:rsid w:val="00A819BE"/>
    <w:rsid w:val="00A81A3B"/>
    <w:rsid w:val="00A81A5B"/>
    <w:rsid w:val="00A81BB8"/>
    <w:rsid w:val="00A81BE8"/>
    <w:rsid w:val="00A81CBF"/>
    <w:rsid w:val="00A81D7B"/>
    <w:rsid w:val="00A81DB3"/>
    <w:rsid w:val="00A81DFA"/>
    <w:rsid w:val="00A81FAB"/>
    <w:rsid w:val="00A82040"/>
    <w:rsid w:val="00A821E6"/>
    <w:rsid w:val="00A821FF"/>
    <w:rsid w:val="00A82278"/>
    <w:rsid w:val="00A82297"/>
    <w:rsid w:val="00A82460"/>
    <w:rsid w:val="00A8257F"/>
    <w:rsid w:val="00A825FC"/>
    <w:rsid w:val="00A828EB"/>
    <w:rsid w:val="00A82A4C"/>
    <w:rsid w:val="00A82B16"/>
    <w:rsid w:val="00A82D05"/>
    <w:rsid w:val="00A82D75"/>
    <w:rsid w:val="00A82EA5"/>
    <w:rsid w:val="00A82FDC"/>
    <w:rsid w:val="00A8309E"/>
    <w:rsid w:val="00A831A0"/>
    <w:rsid w:val="00A831B1"/>
    <w:rsid w:val="00A831BD"/>
    <w:rsid w:val="00A8333F"/>
    <w:rsid w:val="00A83359"/>
    <w:rsid w:val="00A836F2"/>
    <w:rsid w:val="00A838A4"/>
    <w:rsid w:val="00A839E5"/>
    <w:rsid w:val="00A83A90"/>
    <w:rsid w:val="00A83AD1"/>
    <w:rsid w:val="00A83AF1"/>
    <w:rsid w:val="00A83B63"/>
    <w:rsid w:val="00A83D69"/>
    <w:rsid w:val="00A83DDB"/>
    <w:rsid w:val="00A83E18"/>
    <w:rsid w:val="00A83EBC"/>
    <w:rsid w:val="00A83F01"/>
    <w:rsid w:val="00A84000"/>
    <w:rsid w:val="00A84116"/>
    <w:rsid w:val="00A84179"/>
    <w:rsid w:val="00A84282"/>
    <w:rsid w:val="00A8434E"/>
    <w:rsid w:val="00A8435C"/>
    <w:rsid w:val="00A844D9"/>
    <w:rsid w:val="00A84508"/>
    <w:rsid w:val="00A8452C"/>
    <w:rsid w:val="00A845CA"/>
    <w:rsid w:val="00A84698"/>
    <w:rsid w:val="00A846E1"/>
    <w:rsid w:val="00A846FE"/>
    <w:rsid w:val="00A84805"/>
    <w:rsid w:val="00A84907"/>
    <w:rsid w:val="00A84A22"/>
    <w:rsid w:val="00A84A61"/>
    <w:rsid w:val="00A84B47"/>
    <w:rsid w:val="00A84D41"/>
    <w:rsid w:val="00A84DC4"/>
    <w:rsid w:val="00A84F29"/>
    <w:rsid w:val="00A8510C"/>
    <w:rsid w:val="00A85133"/>
    <w:rsid w:val="00A851A1"/>
    <w:rsid w:val="00A851B0"/>
    <w:rsid w:val="00A851C0"/>
    <w:rsid w:val="00A853CF"/>
    <w:rsid w:val="00A85412"/>
    <w:rsid w:val="00A855CC"/>
    <w:rsid w:val="00A85645"/>
    <w:rsid w:val="00A85681"/>
    <w:rsid w:val="00A85746"/>
    <w:rsid w:val="00A85779"/>
    <w:rsid w:val="00A858E8"/>
    <w:rsid w:val="00A85936"/>
    <w:rsid w:val="00A859CD"/>
    <w:rsid w:val="00A85A23"/>
    <w:rsid w:val="00A85A7D"/>
    <w:rsid w:val="00A85B11"/>
    <w:rsid w:val="00A85BD6"/>
    <w:rsid w:val="00A85E24"/>
    <w:rsid w:val="00A85F10"/>
    <w:rsid w:val="00A85FA1"/>
    <w:rsid w:val="00A86055"/>
    <w:rsid w:val="00A86174"/>
    <w:rsid w:val="00A8617F"/>
    <w:rsid w:val="00A861B5"/>
    <w:rsid w:val="00A862F8"/>
    <w:rsid w:val="00A86367"/>
    <w:rsid w:val="00A8637D"/>
    <w:rsid w:val="00A86401"/>
    <w:rsid w:val="00A865C8"/>
    <w:rsid w:val="00A866D6"/>
    <w:rsid w:val="00A86945"/>
    <w:rsid w:val="00A86951"/>
    <w:rsid w:val="00A86A47"/>
    <w:rsid w:val="00A86A68"/>
    <w:rsid w:val="00A86A97"/>
    <w:rsid w:val="00A86B87"/>
    <w:rsid w:val="00A86D49"/>
    <w:rsid w:val="00A86F31"/>
    <w:rsid w:val="00A8741E"/>
    <w:rsid w:val="00A87BDD"/>
    <w:rsid w:val="00A87DA0"/>
    <w:rsid w:val="00A87E69"/>
    <w:rsid w:val="00A9018E"/>
    <w:rsid w:val="00A903DE"/>
    <w:rsid w:val="00A903E4"/>
    <w:rsid w:val="00A904D1"/>
    <w:rsid w:val="00A9078F"/>
    <w:rsid w:val="00A907E7"/>
    <w:rsid w:val="00A9097B"/>
    <w:rsid w:val="00A90AF6"/>
    <w:rsid w:val="00A90B4D"/>
    <w:rsid w:val="00A90B9F"/>
    <w:rsid w:val="00A90E17"/>
    <w:rsid w:val="00A90F1B"/>
    <w:rsid w:val="00A90F4E"/>
    <w:rsid w:val="00A90FE6"/>
    <w:rsid w:val="00A9114D"/>
    <w:rsid w:val="00A911EA"/>
    <w:rsid w:val="00A91260"/>
    <w:rsid w:val="00A9127D"/>
    <w:rsid w:val="00A912B1"/>
    <w:rsid w:val="00A913D6"/>
    <w:rsid w:val="00A9143F"/>
    <w:rsid w:val="00A91498"/>
    <w:rsid w:val="00A914EF"/>
    <w:rsid w:val="00A91529"/>
    <w:rsid w:val="00A91625"/>
    <w:rsid w:val="00A9176B"/>
    <w:rsid w:val="00A9179E"/>
    <w:rsid w:val="00A91866"/>
    <w:rsid w:val="00A918C1"/>
    <w:rsid w:val="00A91933"/>
    <w:rsid w:val="00A91A38"/>
    <w:rsid w:val="00A91AB6"/>
    <w:rsid w:val="00A91C9D"/>
    <w:rsid w:val="00A91D15"/>
    <w:rsid w:val="00A91E13"/>
    <w:rsid w:val="00A91EAC"/>
    <w:rsid w:val="00A91EE8"/>
    <w:rsid w:val="00A91EF0"/>
    <w:rsid w:val="00A91F4C"/>
    <w:rsid w:val="00A91FA4"/>
    <w:rsid w:val="00A9200B"/>
    <w:rsid w:val="00A920FF"/>
    <w:rsid w:val="00A92396"/>
    <w:rsid w:val="00A92398"/>
    <w:rsid w:val="00A92421"/>
    <w:rsid w:val="00A92549"/>
    <w:rsid w:val="00A926C3"/>
    <w:rsid w:val="00A92764"/>
    <w:rsid w:val="00A92766"/>
    <w:rsid w:val="00A92A10"/>
    <w:rsid w:val="00A92BB5"/>
    <w:rsid w:val="00A92E09"/>
    <w:rsid w:val="00A92EFD"/>
    <w:rsid w:val="00A92F0F"/>
    <w:rsid w:val="00A92F89"/>
    <w:rsid w:val="00A93041"/>
    <w:rsid w:val="00A930BC"/>
    <w:rsid w:val="00A930F8"/>
    <w:rsid w:val="00A934F6"/>
    <w:rsid w:val="00A9350C"/>
    <w:rsid w:val="00A93601"/>
    <w:rsid w:val="00A93610"/>
    <w:rsid w:val="00A93733"/>
    <w:rsid w:val="00A9389F"/>
    <w:rsid w:val="00A93984"/>
    <w:rsid w:val="00A93992"/>
    <w:rsid w:val="00A939FE"/>
    <w:rsid w:val="00A93A78"/>
    <w:rsid w:val="00A93ADD"/>
    <w:rsid w:val="00A93DF5"/>
    <w:rsid w:val="00A93EC2"/>
    <w:rsid w:val="00A93F28"/>
    <w:rsid w:val="00A94042"/>
    <w:rsid w:val="00A9444E"/>
    <w:rsid w:val="00A94529"/>
    <w:rsid w:val="00A94692"/>
    <w:rsid w:val="00A94732"/>
    <w:rsid w:val="00A94738"/>
    <w:rsid w:val="00A94774"/>
    <w:rsid w:val="00A9479E"/>
    <w:rsid w:val="00A947A1"/>
    <w:rsid w:val="00A9487D"/>
    <w:rsid w:val="00A94A3B"/>
    <w:rsid w:val="00A94AEB"/>
    <w:rsid w:val="00A94B64"/>
    <w:rsid w:val="00A94B6B"/>
    <w:rsid w:val="00A94BF4"/>
    <w:rsid w:val="00A94D80"/>
    <w:rsid w:val="00A94DE4"/>
    <w:rsid w:val="00A950F0"/>
    <w:rsid w:val="00A951F7"/>
    <w:rsid w:val="00A952B4"/>
    <w:rsid w:val="00A952C1"/>
    <w:rsid w:val="00A9535C"/>
    <w:rsid w:val="00A95371"/>
    <w:rsid w:val="00A95509"/>
    <w:rsid w:val="00A95551"/>
    <w:rsid w:val="00A95657"/>
    <w:rsid w:val="00A95811"/>
    <w:rsid w:val="00A95992"/>
    <w:rsid w:val="00A95B54"/>
    <w:rsid w:val="00A95DDA"/>
    <w:rsid w:val="00A962E4"/>
    <w:rsid w:val="00A964B5"/>
    <w:rsid w:val="00A96611"/>
    <w:rsid w:val="00A96702"/>
    <w:rsid w:val="00A96707"/>
    <w:rsid w:val="00A9672C"/>
    <w:rsid w:val="00A9674D"/>
    <w:rsid w:val="00A967F0"/>
    <w:rsid w:val="00A9689C"/>
    <w:rsid w:val="00A96C4D"/>
    <w:rsid w:val="00A96CF7"/>
    <w:rsid w:val="00A96D43"/>
    <w:rsid w:val="00A96D81"/>
    <w:rsid w:val="00A96F05"/>
    <w:rsid w:val="00A96F3D"/>
    <w:rsid w:val="00A970B7"/>
    <w:rsid w:val="00A970D8"/>
    <w:rsid w:val="00A97124"/>
    <w:rsid w:val="00A9734D"/>
    <w:rsid w:val="00A97474"/>
    <w:rsid w:val="00A97582"/>
    <w:rsid w:val="00A9769D"/>
    <w:rsid w:val="00A976D5"/>
    <w:rsid w:val="00A9774E"/>
    <w:rsid w:val="00A9777D"/>
    <w:rsid w:val="00A977DE"/>
    <w:rsid w:val="00A9792C"/>
    <w:rsid w:val="00A979D7"/>
    <w:rsid w:val="00A97A3B"/>
    <w:rsid w:val="00A97A49"/>
    <w:rsid w:val="00A97A9B"/>
    <w:rsid w:val="00A97AC2"/>
    <w:rsid w:val="00A97AC9"/>
    <w:rsid w:val="00A97ADD"/>
    <w:rsid w:val="00A97B8F"/>
    <w:rsid w:val="00A97E9D"/>
    <w:rsid w:val="00A97EC2"/>
    <w:rsid w:val="00A97F54"/>
    <w:rsid w:val="00A999B7"/>
    <w:rsid w:val="00AA014D"/>
    <w:rsid w:val="00AA0166"/>
    <w:rsid w:val="00AA0168"/>
    <w:rsid w:val="00AA01AE"/>
    <w:rsid w:val="00AA01AF"/>
    <w:rsid w:val="00AA01FC"/>
    <w:rsid w:val="00AA0206"/>
    <w:rsid w:val="00AA0316"/>
    <w:rsid w:val="00AA0388"/>
    <w:rsid w:val="00AA03E2"/>
    <w:rsid w:val="00AA062A"/>
    <w:rsid w:val="00AA06D3"/>
    <w:rsid w:val="00AA07EB"/>
    <w:rsid w:val="00AA080E"/>
    <w:rsid w:val="00AA084E"/>
    <w:rsid w:val="00AA0A2D"/>
    <w:rsid w:val="00AA0C90"/>
    <w:rsid w:val="00AA0D36"/>
    <w:rsid w:val="00AA0E90"/>
    <w:rsid w:val="00AA0EBA"/>
    <w:rsid w:val="00AA1099"/>
    <w:rsid w:val="00AA1134"/>
    <w:rsid w:val="00AA1198"/>
    <w:rsid w:val="00AA119C"/>
    <w:rsid w:val="00AA126E"/>
    <w:rsid w:val="00AA12DB"/>
    <w:rsid w:val="00AA1310"/>
    <w:rsid w:val="00AA13B4"/>
    <w:rsid w:val="00AA14F5"/>
    <w:rsid w:val="00AA1542"/>
    <w:rsid w:val="00AA1708"/>
    <w:rsid w:val="00AA1793"/>
    <w:rsid w:val="00AA17B9"/>
    <w:rsid w:val="00AA188E"/>
    <w:rsid w:val="00AA19D1"/>
    <w:rsid w:val="00AA1A44"/>
    <w:rsid w:val="00AA1A62"/>
    <w:rsid w:val="00AA1A72"/>
    <w:rsid w:val="00AA1B06"/>
    <w:rsid w:val="00AA1BD5"/>
    <w:rsid w:val="00AA1D22"/>
    <w:rsid w:val="00AA1E3A"/>
    <w:rsid w:val="00AA1EC9"/>
    <w:rsid w:val="00AA1EF0"/>
    <w:rsid w:val="00AA2253"/>
    <w:rsid w:val="00AA2263"/>
    <w:rsid w:val="00AA2318"/>
    <w:rsid w:val="00AA2641"/>
    <w:rsid w:val="00AA27FC"/>
    <w:rsid w:val="00AA2812"/>
    <w:rsid w:val="00AA284C"/>
    <w:rsid w:val="00AA2881"/>
    <w:rsid w:val="00AA2C77"/>
    <w:rsid w:val="00AA30F8"/>
    <w:rsid w:val="00AA31D8"/>
    <w:rsid w:val="00AA345B"/>
    <w:rsid w:val="00AA3504"/>
    <w:rsid w:val="00AA3642"/>
    <w:rsid w:val="00AA3701"/>
    <w:rsid w:val="00AA3743"/>
    <w:rsid w:val="00AA3918"/>
    <w:rsid w:val="00AA3A5F"/>
    <w:rsid w:val="00AA3A8F"/>
    <w:rsid w:val="00AA3AF0"/>
    <w:rsid w:val="00AA3C86"/>
    <w:rsid w:val="00AA3D0C"/>
    <w:rsid w:val="00AA3E19"/>
    <w:rsid w:val="00AA3E26"/>
    <w:rsid w:val="00AA3EC8"/>
    <w:rsid w:val="00AA3FEB"/>
    <w:rsid w:val="00AA4027"/>
    <w:rsid w:val="00AA4086"/>
    <w:rsid w:val="00AA4175"/>
    <w:rsid w:val="00AA418A"/>
    <w:rsid w:val="00AA4495"/>
    <w:rsid w:val="00AA47D0"/>
    <w:rsid w:val="00AA4831"/>
    <w:rsid w:val="00AA48F5"/>
    <w:rsid w:val="00AA4926"/>
    <w:rsid w:val="00AA49F4"/>
    <w:rsid w:val="00AA4AA2"/>
    <w:rsid w:val="00AA4BAF"/>
    <w:rsid w:val="00AA4E3C"/>
    <w:rsid w:val="00AA4EF8"/>
    <w:rsid w:val="00AA4F2F"/>
    <w:rsid w:val="00AA5125"/>
    <w:rsid w:val="00AA51C1"/>
    <w:rsid w:val="00AA5225"/>
    <w:rsid w:val="00AA528C"/>
    <w:rsid w:val="00AA544F"/>
    <w:rsid w:val="00AA56CB"/>
    <w:rsid w:val="00AA5854"/>
    <w:rsid w:val="00AA5982"/>
    <w:rsid w:val="00AA5BA3"/>
    <w:rsid w:val="00AA5F7D"/>
    <w:rsid w:val="00AA6061"/>
    <w:rsid w:val="00AA6101"/>
    <w:rsid w:val="00AA61AE"/>
    <w:rsid w:val="00AA61E0"/>
    <w:rsid w:val="00AA627D"/>
    <w:rsid w:val="00AA6358"/>
    <w:rsid w:val="00AA636D"/>
    <w:rsid w:val="00AA64A1"/>
    <w:rsid w:val="00AA64CB"/>
    <w:rsid w:val="00AA65AE"/>
    <w:rsid w:val="00AA65C5"/>
    <w:rsid w:val="00AA65F3"/>
    <w:rsid w:val="00AA66A5"/>
    <w:rsid w:val="00AA66DC"/>
    <w:rsid w:val="00AA6736"/>
    <w:rsid w:val="00AA689B"/>
    <w:rsid w:val="00AA68D0"/>
    <w:rsid w:val="00AA692C"/>
    <w:rsid w:val="00AA694C"/>
    <w:rsid w:val="00AA695D"/>
    <w:rsid w:val="00AA69D9"/>
    <w:rsid w:val="00AA6ADB"/>
    <w:rsid w:val="00AA6B4D"/>
    <w:rsid w:val="00AA6BE3"/>
    <w:rsid w:val="00AA6DB9"/>
    <w:rsid w:val="00AA706D"/>
    <w:rsid w:val="00AA7092"/>
    <w:rsid w:val="00AA710D"/>
    <w:rsid w:val="00AA71D7"/>
    <w:rsid w:val="00AA7345"/>
    <w:rsid w:val="00AA751C"/>
    <w:rsid w:val="00AA768B"/>
    <w:rsid w:val="00AA76D9"/>
    <w:rsid w:val="00AA771E"/>
    <w:rsid w:val="00AA7780"/>
    <w:rsid w:val="00AA78CC"/>
    <w:rsid w:val="00AA7B05"/>
    <w:rsid w:val="00AA7C50"/>
    <w:rsid w:val="00AA7D25"/>
    <w:rsid w:val="00AA7D66"/>
    <w:rsid w:val="00AA7E4C"/>
    <w:rsid w:val="00AB00BE"/>
    <w:rsid w:val="00AB026C"/>
    <w:rsid w:val="00AB02BF"/>
    <w:rsid w:val="00AB0419"/>
    <w:rsid w:val="00AB04E9"/>
    <w:rsid w:val="00AB0530"/>
    <w:rsid w:val="00AB06F9"/>
    <w:rsid w:val="00AB0884"/>
    <w:rsid w:val="00AB0B49"/>
    <w:rsid w:val="00AB0BD0"/>
    <w:rsid w:val="00AB0E93"/>
    <w:rsid w:val="00AB101C"/>
    <w:rsid w:val="00AB1159"/>
    <w:rsid w:val="00AB11F4"/>
    <w:rsid w:val="00AB131F"/>
    <w:rsid w:val="00AB1421"/>
    <w:rsid w:val="00AB17B7"/>
    <w:rsid w:val="00AB183E"/>
    <w:rsid w:val="00AB192D"/>
    <w:rsid w:val="00AB193E"/>
    <w:rsid w:val="00AB194C"/>
    <w:rsid w:val="00AB195C"/>
    <w:rsid w:val="00AB1B0E"/>
    <w:rsid w:val="00AB1B17"/>
    <w:rsid w:val="00AB1B66"/>
    <w:rsid w:val="00AB1B77"/>
    <w:rsid w:val="00AB1BE4"/>
    <w:rsid w:val="00AB1C40"/>
    <w:rsid w:val="00AB1DB6"/>
    <w:rsid w:val="00AB1EB2"/>
    <w:rsid w:val="00AB1EC5"/>
    <w:rsid w:val="00AB1EC7"/>
    <w:rsid w:val="00AB1EE4"/>
    <w:rsid w:val="00AB1EFC"/>
    <w:rsid w:val="00AB1F11"/>
    <w:rsid w:val="00AB1F61"/>
    <w:rsid w:val="00AB1F66"/>
    <w:rsid w:val="00AB1F91"/>
    <w:rsid w:val="00AB2022"/>
    <w:rsid w:val="00AB2034"/>
    <w:rsid w:val="00AB203A"/>
    <w:rsid w:val="00AB20A8"/>
    <w:rsid w:val="00AB20C2"/>
    <w:rsid w:val="00AB220C"/>
    <w:rsid w:val="00AB2268"/>
    <w:rsid w:val="00AB22BE"/>
    <w:rsid w:val="00AB2345"/>
    <w:rsid w:val="00AB2378"/>
    <w:rsid w:val="00AB23E1"/>
    <w:rsid w:val="00AB24FF"/>
    <w:rsid w:val="00AB25BD"/>
    <w:rsid w:val="00AB2666"/>
    <w:rsid w:val="00AB2917"/>
    <w:rsid w:val="00AB293D"/>
    <w:rsid w:val="00AB2A82"/>
    <w:rsid w:val="00AB2B89"/>
    <w:rsid w:val="00AB2C10"/>
    <w:rsid w:val="00AB2E57"/>
    <w:rsid w:val="00AB2F4B"/>
    <w:rsid w:val="00AB311E"/>
    <w:rsid w:val="00AB31A2"/>
    <w:rsid w:val="00AB31A8"/>
    <w:rsid w:val="00AB3212"/>
    <w:rsid w:val="00AB346E"/>
    <w:rsid w:val="00AB34FB"/>
    <w:rsid w:val="00AB35A5"/>
    <w:rsid w:val="00AB3614"/>
    <w:rsid w:val="00AB3630"/>
    <w:rsid w:val="00AB3664"/>
    <w:rsid w:val="00AB3686"/>
    <w:rsid w:val="00AB36B2"/>
    <w:rsid w:val="00AB36D9"/>
    <w:rsid w:val="00AB3794"/>
    <w:rsid w:val="00AB392D"/>
    <w:rsid w:val="00AB3AE3"/>
    <w:rsid w:val="00AB3B33"/>
    <w:rsid w:val="00AB3BA9"/>
    <w:rsid w:val="00AB3C16"/>
    <w:rsid w:val="00AB3DE5"/>
    <w:rsid w:val="00AB3FA3"/>
    <w:rsid w:val="00AB402D"/>
    <w:rsid w:val="00AB40E6"/>
    <w:rsid w:val="00AB41D3"/>
    <w:rsid w:val="00AB41E7"/>
    <w:rsid w:val="00AB440C"/>
    <w:rsid w:val="00AB466A"/>
    <w:rsid w:val="00AB4735"/>
    <w:rsid w:val="00AB474A"/>
    <w:rsid w:val="00AB47D3"/>
    <w:rsid w:val="00AB4B7B"/>
    <w:rsid w:val="00AB4C6D"/>
    <w:rsid w:val="00AB4CA2"/>
    <w:rsid w:val="00AB4D0D"/>
    <w:rsid w:val="00AB4FA8"/>
    <w:rsid w:val="00AB4FDB"/>
    <w:rsid w:val="00AB509E"/>
    <w:rsid w:val="00AB51F2"/>
    <w:rsid w:val="00AB52AA"/>
    <w:rsid w:val="00AB5313"/>
    <w:rsid w:val="00AB544C"/>
    <w:rsid w:val="00AB5547"/>
    <w:rsid w:val="00AB554C"/>
    <w:rsid w:val="00AB5555"/>
    <w:rsid w:val="00AB55CF"/>
    <w:rsid w:val="00AB5653"/>
    <w:rsid w:val="00AB56AB"/>
    <w:rsid w:val="00AB56D6"/>
    <w:rsid w:val="00AB58ED"/>
    <w:rsid w:val="00AB5A6B"/>
    <w:rsid w:val="00AB5B80"/>
    <w:rsid w:val="00AB5B9E"/>
    <w:rsid w:val="00AB5C4F"/>
    <w:rsid w:val="00AB5D56"/>
    <w:rsid w:val="00AB5D5C"/>
    <w:rsid w:val="00AB5D98"/>
    <w:rsid w:val="00AB5E51"/>
    <w:rsid w:val="00AB5FFF"/>
    <w:rsid w:val="00AB6205"/>
    <w:rsid w:val="00AB6214"/>
    <w:rsid w:val="00AB622F"/>
    <w:rsid w:val="00AB63FB"/>
    <w:rsid w:val="00AB6451"/>
    <w:rsid w:val="00AB6469"/>
    <w:rsid w:val="00AB650A"/>
    <w:rsid w:val="00AB65A2"/>
    <w:rsid w:val="00AB65F1"/>
    <w:rsid w:val="00AB66D0"/>
    <w:rsid w:val="00AB69B7"/>
    <w:rsid w:val="00AB6C4D"/>
    <w:rsid w:val="00AB6CD9"/>
    <w:rsid w:val="00AB6CF6"/>
    <w:rsid w:val="00AB6E69"/>
    <w:rsid w:val="00AB6E9E"/>
    <w:rsid w:val="00AB6FE5"/>
    <w:rsid w:val="00AB7090"/>
    <w:rsid w:val="00AB7330"/>
    <w:rsid w:val="00AB7448"/>
    <w:rsid w:val="00AB755F"/>
    <w:rsid w:val="00AB7587"/>
    <w:rsid w:val="00AB768A"/>
    <w:rsid w:val="00AB7712"/>
    <w:rsid w:val="00AB77C4"/>
    <w:rsid w:val="00AB7814"/>
    <w:rsid w:val="00AB7881"/>
    <w:rsid w:val="00AB78DF"/>
    <w:rsid w:val="00AB7B67"/>
    <w:rsid w:val="00AB7E1B"/>
    <w:rsid w:val="00AB7E56"/>
    <w:rsid w:val="00AC0007"/>
    <w:rsid w:val="00AC0038"/>
    <w:rsid w:val="00AC004F"/>
    <w:rsid w:val="00AC02E8"/>
    <w:rsid w:val="00AC02EF"/>
    <w:rsid w:val="00AC039F"/>
    <w:rsid w:val="00AC03C5"/>
    <w:rsid w:val="00AC059E"/>
    <w:rsid w:val="00AC066D"/>
    <w:rsid w:val="00AC06DE"/>
    <w:rsid w:val="00AC0801"/>
    <w:rsid w:val="00AC090E"/>
    <w:rsid w:val="00AC09B0"/>
    <w:rsid w:val="00AC0BAF"/>
    <w:rsid w:val="00AC0C7A"/>
    <w:rsid w:val="00AC0DC0"/>
    <w:rsid w:val="00AC1007"/>
    <w:rsid w:val="00AC119B"/>
    <w:rsid w:val="00AC1287"/>
    <w:rsid w:val="00AC1296"/>
    <w:rsid w:val="00AC12E2"/>
    <w:rsid w:val="00AC1354"/>
    <w:rsid w:val="00AC13E1"/>
    <w:rsid w:val="00AC1406"/>
    <w:rsid w:val="00AC14D5"/>
    <w:rsid w:val="00AC1690"/>
    <w:rsid w:val="00AC1A13"/>
    <w:rsid w:val="00AC1BA0"/>
    <w:rsid w:val="00AC1CAF"/>
    <w:rsid w:val="00AC1E3B"/>
    <w:rsid w:val="00AC1E47"/>
    <w:rsid w:val="00AC1E88"/>
    <w:rsid w:val="00AC1F97"/>
    <w:rsid w:val="00AC1FAD"/>
    <w:rsid w:val="00AC20C3"/>
    <w:rsid w:val="00AC2215"/>
    <w:rsid w:val="00AC2324"/>
    <w:rsid w:val="00AC278E"/>
    <w:rsid w:val="00AC27BA"/>
    <w:rsid w:val="00AC2829"/>
    <w:rsid w:val="00AC2951"/>
    <w:rsid w:val="00AC2B03"/>
    <w:rsid w:val="00AC2C8E"/>
    <w:rsid w:val="00AC2D8A"/>
    <w:rsid w:val="00AC2DA7"/>
    <w:rsid w:val="00AC2DF5"/>
    <w:rsid w:val="00AC2E7B"/>
    <w:rsid w:val="00AC2EB1"/>
    <w:rsid w:val="00AC2F58"/>
    <w:rsid w:val="00AC3132"/>
    <w:rsid w:val="00AC321E"/>
    <w:rsid w:val="00AC3283"/>
    <w:rsid w:val="00AC3302"/>
    <w:rsid w:val="00AC3374"/>
    <w:rsid w:val="00AC3386"/>
    <w:rsid w:val="00AC3462"/>
    <w:rsid w:val="00AC3728"/>
    <w:rsid w:val="00AC3766"/>
    <w:rsid w:val="00AC3806"/>
    <w:rsid w:val="00AC3886"/>
    <w:rsid w:val="00AC3BB8"/>
    <w:rsid w:val="00AC3DCE"/>
    <w:rsid w:val="00AC3EF0"/>
    <w:rsid w:val="00AC402E"/>
    <w:rsid w:val="00AC413A"/>
    <w:rsid w:val="00AC41C9"/>
    <w:rsid w:val="00AC420B"/>
    <w:rsid w:val="00AC4365"/>
    <w:rsid w:val="00AC43ED"/>
    <w:rsid w:val="00AC4531"/>
    <w:rsid w:val="00AC4544"/>
    <w:rsid w:val="00AC4688"/>
    <w:rsid w:val="00AC4841"/>
    <w:rsid w:val="00AC488B"/>
    <w:rsid w:val="00AC4992"/>
    <w:rsid w:val="00AC49F2"/>
    <w:rsid w:val="00AC4C11"/>
    <w:rsid w:val="00AC4C22"/>
    <w:rsid w:val="00AC4D20"/>
    <w:rsid w:val="00AC4D93"/>
    <w:rsid w:val="00AC4F03"/>
    <w:rsid w:val="00AC5010"/>
    <w:rsid w:val="00AC5075"/>
    <w:rsid w:val="00AC508A"/>
    <w:rsid w:val="00AC50FD"/>
    <w:rsid w:val="00AC511D"/>
    <w:rsid w:val="00AC5233"/>
    <w:rsid w:val="00AC5236"/>
    <w:rsid w:val="00AC5392"/>
    <w:rsid w:val="00AC53E4"/>
    <w:rsid w:val="00AC53E6"/>
    <w:rsid w:val="00AC54B8"/>
    <w:rsid w:val="00AC553E"/>
    <w:rsid w:val="00AC55BB"/>
    <w:rsid w:val="00AC5719"/>
    <w:rsid w:val="00AC579F"/>
    <w:rsid w:val="00AC57F0"/>
    <w:rsid w:val="00AC5904"/>
    <w:rsid w:val="00AC59E6"/>
    <w:rsid w:val="00AC5A8A"/>
    <w:rsid w:val="00AC5C44"/>
    <w:rsid w:val="00AC5C66"/>
    <w:rsid w:val="00AC5C92"/>
    <w:rsid w:val="00AC5CE9"/>
    <w:rsid w:val="00AC5D09"/>
    <w:rsid w:val="00AC5D38"/>
    <w:rsid w:val="00AC5E1A"/>
    <w:rsid w:val="00AC5E45"/>
    <w:rsid w:val="00AC5F38"/>
    <w:rsid w:val="00AC62B3"/>
    <w:rsid w:val="00AC62DD"/>
    <w:rsid w:val="00AC63BA"/>
    <w:rsid w:val="00AC6420"/>
    <w:rsid w:val="00AC6514"/>
    <w:rsid w:val="00AC65AB"/>
    <w:rsid w:val="00AC680D"/>
    <w:rsid w:val="00AC6911"/>
    <w:rsid w:val="00AC698D"/>
    <w:rsid w:val="00AC69D4"/>
    <w:rsid w:val="00AC6A20"/>
    <w:rsid w:val="00AC6B46"/>
    <w:rsid w:val="00AC6E63"/>
    <w:rsid w:val="00AC6F85"/>
    <w:rsid w:val="00AC6FD8"/>
    <w:rsid w:val="00AC7000"/>
    <w:rsid w:val="00AC7103"/>
    <w:rsid w:val="00AC7194"/>
    <w:rsid w:val="00AC72AF"/>
    <w:rsid w:val="00AC73A0"/>
    <w:rsid w:val="00AC74AA"/>
    <w:rsid w:val="00AC7831"/>
    <w:rsid w:val="00AC78B0"/>
    <w:rsid w:val="00AC78E0"/>
    <w:rsid w:val="00AC7907"/>
    <w:rsid w:val="00AC7A66"/>
    <w:rsid w:val="00AC7AD3"/>
    <w:rsid w:val="00AC7B74"/>
    <w:rsid w:val="00AC7C06"/>
    <w:rsid w:val="00AC7C70"/>
    <w:rsid w:val="00AC7DA4"/>
    <w:rsid w:val="00AC7DAC"/>
    <w:rsid w:val="00AC7E23"/>
    <w:rsid w:val="00AC7E5A"/>
    <w:rsid w:val="00AC7F37"/>
    <w:rsid w:val="00AC7FC2"/>
    <w:rsid w:val="00AD007C"/>
    <w:rsid w:val="00AD008B"/>
    <w:rsid w:val="00AD0155"/>
    <w:rsid w:val="00AD02AF"/>
    <w:rsid w:val="00AD0327"/>
    <w:rsid w:val="00AD038C"/>
    <w:rsid w:val="00AD0477"/>
    <w:rsid w:val="00AD04BF"/>
    <w:rsid w:val="00AD065A"/>
    <w:rsid w:val="00AD070A"/>
    <w:rsid w:val="00AD08FB"/>
    <w:rsid w:val="00AD0A3D"/>
    <w:rsid w:val="00AD0C40"/>
    <w:rsid w:val="00AD0C56"/>
    <w:rsid w:val="00AD0CC4"/>
    <w:rsid w:val="00AD0CF4"/>
    <w:rsid w:val="00AD0DEF"/>
    <w:rsid w:val="00AD0E70"/>
    <w:rsid w:val="00AD0F96"/>
    <w:rsid w:val="00AD0FD2"/>
    <w:rsid w:val="00AD107E"/>
    <w:rsid w:val="00AD119D"/>
    <w:rsid w:val="00AD11FC"/>
    <w:rsid w:val="00AD13F4"/>
    <w:rsid w:val="00AD1453"/>
    <w:rsid w:val="00AD1511"/>
    <w:rsid w:val="00AD161D"/>
    <w:rsid w:val="00AD1650"/>
    <w:rsid w:val="00AD1678"/>
    <w:rsid w:val="00AD1688"/>
    <w:rsid w:val="00AD16C9"/>
    <w:rsid w:val="00AD170F"/>
    <w:rsid w:val="00AD1711"/>
    <w:rsid w:val="00AD1770"/>
    <w:rsid w:val="00AD177F"/>
    <w:rsid w:val="00AD182B"/>
    <w:rsid w:val="00AD1916"/>
    <w:rsid w:val="00AD1B83"/>
    <w:rsid w:val="00AD1C3B"/>
    <w:rsid w:val="00AD1D53"/>
    <w:rsid w:val="00AD1D86"/>
    <w:rsid w:val="00AD1DEC"/>
    <w:rsid w:val="00AD1F42"/>
    <w:rsid w:val="00AD1F4C"/>
    <w:rsid w:val="00AD1F7A"/>
    <w:rsid w:val="00AD1FC4"/>
    <w:rsid w:val="00AD2183"/>
    <w:rsid w:val="00AD21B3"/>
    <w:rsid w:val="00AD2206"/>
    <w:rsid w:val="00AD2386"/>
    <w:rsid w:val="00AD23D1"/>
    <w:rsid w:val="00AD26A6"/>
    <w:rsid w:val="00AD27CC"/>
    <w:rsid w:val="00AD2B79"/>
    <w:rsid w:val="00AD2BD7"/>
    <w:rsid w:val="00AD2C50"/>
    <w:rsid w:val="00AD2C86"/>
    <w:rsid w:val="00AD2CC6"/>
    <w:rsid w:val="00AD2E6C"/>
    <w:rsid w:val="00AD2FE3"/>
    <w:rsid w:val="00AD3018"/>
    <w:rsid w:val="00AD30A9"/>
    <w:rsid w:val="00AD30E5"/>
    <w:rsid w:val="00AD3113"/>
    <w:rsid w:val="00AD3191"/>
    <w:rsid w:val="00AD3414"/>
    <w:rsid w:val="00AD3509"/>
    <w:rsid w:val="00AD360C"/>
    <w:rsid w:val="00AD360F"/>
    <w:rsid w:val="00AD368B"/>
    <w:rsid w:val="00AD36DF"/>
    <w:rsid w:val="00AD370B"/>
    <w:rsid w:val="00AD3768"/>
    <w:rsid w:val="00AD39DA"/>
    <w:rsid w:val="00AD3A8F"/>
    <w:rsid w:val="00AD3B6C"/>
    <w:rsid w:val="00AD3C14"/>
    <w:rsid w:val="00AD3D3F"/>
    <w:rsid w:val="00AD3D69"/>
    <w:rsid w:val="00AD40C0"/>
    <w:rsid w:val="00AD4115"/>
    <w:rsid w:val="00AD414E"/>
    <w:rsid w:val="00AD418B"/>
    <w:rsid w:val="00AD4393"/>
    <w:rsid w:val="00AD43C5"/>
    <w:rsid w:val="00AD43DD"/>
    <w:rsid w:val="00AD4450"/>
    <w:rsid w:val="00AD44FB"/>
    <w:rsid w:val="00AD45CB"/>
    <w:rsid w:val="00AD473F"/>
    <w:rsid w:val="00AD4888"/>
    <w:rsid w:val="00AD48CA"/>
    <w:rsid w:val="00AD499B"/>
    <w:rsid w:val="00AD4A57"/>
    <w:rsid w:val="00AD4A90"/>
    <w:rsid w:val="00AD4B29"/>
    <w:rsid w:val="00AD4C4C"/>
    <w:rsid w:val="00AD4E27"/>
    <w:rsid w:val="00AD4EEB"/>
    <w:rsid w:val="00AD4EEE"/>
    <w:rsid w:val="00AD4F16"/>
    <w:rsid w:val="00AD5005"/>
    <w:rsid w:val="00AD5019"/>
    <w:rsid w:val="00AD503D"/>
    <w:rsid w:val="00AD5045"/>
    <w:rsid w:val="00AD5076"/>
    <w:rsid w:val="00AD5269"/>
    <w:rsid w:val="00AD5521"/>
    <w:rsid w:val="00AD5526"/>
    <w:rsid w:val="00AD5593"/>
    <w:rsid w:val="00AD57AD"/>
    <w:rsid w:val="00AD5860"/>
    <w:rsid w:val="00AD586F"/>
    <w:rsid w:val="00AD5A6B"/>
    <w:rsid w:val="00AD5B55"/>
    <w:rsid w:val="00AD5D0F"/>
    <w:rsid w:val="00AD5D2F"/>
    <w:rsid w:val="00AD5DBC"/>
    <w:rsid w:val="00AD5EF1"/>
    <w:rsid w:val="00AD5F08"/>
    <w:rsid w:val="00AD6037"/>
    <w:rsid w:val="00AD617F"/>
    <w:rsid w:val="00AD6442"/>
    <w:rsid w:val="00AD661A"/>
    <w:rsid w:val="00AD66A9"/>
    <w:rsid w:val="00AD66B9"/>
    <w:rsid w:val="00AD6729"/>
    <w:rsid w:val="00AD699E"/>
    <w:rsid w:val="00AD6A61"/>
    <w:rsid w:val="00AD6AD1"/>
    <w:rsid w:val="00AD6B2C"/>
    <w:rsid w:val="00AD6C2A"/>
    <w:rsid w:val="00AD6C49"/>
    <w:rsid w:val="00AD6D00"/>
    <w:rsid w:val="00AD6D4B"/>
    <w:rsid w:val="00AD6DAC"/>
    <w:rsid w:val="00AD6E95"/>
    <w:rsid w:val="00AD71EF"/>
    <w:rsid w:val="00AD720C"/>
    <w:rsid w:val="00AD73C7"/>
    <w:rsid w:val="00AD75BD"/>
    <w:rsid w:val="00AD768B"/>
    <w:rsid w:val="00AD775E"/>
    <w:rsid w:val="00AD7774"/>
    <w:rsid w:val="00AD7927"/>
    <w:rsid w:val="00AD7B48"/>
    <w:rsid w:val="00AD7BFC"/>
    <w:rsid w:val="00AD7D2A"/>
    <w:rsid w:val="00AD7DFD"/>
    <w:rsid w:val="00AD7FEF"/>
    <w:rsid w:val="00AE00B5"/>
    <w:rsid w:val="00AE0136"/>
    <w:rsid w:val="00AE01E0"/>
    <w:rsid w:val="00AE020A"/>
    <w:rsid w:val="00AE0546"/>
    <w:rsid w:val="00AE05E6"/>
    <w:rsid w:val="00AE060C"/>
    <w:rsid w:val="00AE0731"/>
    <w:rsid w:val="00AE0827"/>
    <w:rsid w:val="00AE0949"/>
    <w:rsid w:val="00AE0B40"/>
    <w:rsid w:val="00AE0BB4"/>
    <w:rsid w:val="00AE0CD1"/>
    <w:rsid w:val="00AE0CE1"/>
    <w:rsid w:val="00AE0F80"/>
    <w:rsid w:val="00AE0F83"/>
    <w:rsid w:val="00AE0F93"/>
    <w:rsid w:val="00AE119C"/>
    <w:rsid w:val="00AE11CF"/>
    <w:rsid w:val="00AE12AD"/>
    <w:rsid w:val="00AE13A0"/>
    <w:rsid w:val="00AE143C"/>
    <w:rsid w:val="00AE15DD"/>
    <w:rsid w:val="00AE15F3"/>
    <w:rsid w:val="00AE16E7"/>
    <w:rsid w:val="00AE1723"/>
    <w:rsid w:val="00AE174C"/>
    <w:rsid w:val="00AE17B0"/>
    <w:rsid w:val="00AE1949"/>
    <w:rsid w:val="00AE1989"/>
    <w:rsid w:val="00AE1C09"/>
    <w:rsid w:val="00AE1CA9"/>
    <w:rsid w:val="00AE1D26"/>
    <w:rsid w:val="00AE1D28"/>
    <w:rsid w:val="00AE1D51"/>
    <w:rsid w:val="00AE1E5C"/>
    <w:rsid w:val="00AE1EEF"/>
    <w:rsid w:val="00AE1F13"/>
    <w:rsid w:val="00AE20B4"/>
    <w:rsid w:val="00AE21E9"/>
    <w:rsid w:val="00AE23B6"/>
    <w:rsid w:val="00AE2423"/>
    <w:rsid w:val="00AE2535"/>
    <w:rsid w:val="00AE257E"/>
    <w:rsid w:val="00AE26B3"/>
    <w:rsid w:val="00AE26C5"/>
    <w:rsid w:val="00AE277A"/>
    <w:rsid w:val="00AE2B64"/>
    <w:rsid w:val="00AE2B96"/>
    <w:rsid w:val="00AE2D72"/>
    <w:rsid w:val="00AE2D85"/>
    <w:rsid w:val="00AE2E14"/>
    <w:rsid w:val="00AE2E1C"/>
    <w:rsid w:val="00AE2E39"/>
    <w:rsid w:val="00AE2EDC"/>
    <w:rsid w:val="00AE2F05"/>
    <w:rsid w:val="00AE2F55"/>
    <w:rsid w:val="00AE3033"/>
    <w:rsid w:val="00AE3035"/>
    <w:rsid w:val="00AE3164"/>
    <w:rsid w:val="00AE324D"/>
    <w:rsid w:val="00AE35E3"/>
    <w:rsid w:val="00AE3601"/>
    <w:rsid w:val="00AE3671"/>
    <w:rsid w:val="00AE375D"/>
    <w:rsid w:val="00AE399E"/>
    <w:rsid w:val="00AE3A67"/>
    <w:rsid w:val="00AE3BD7"/>
    <w:rsid w:val="00AE3D30"/>
    <w:rsid w:val="00AE3D7D"/>
    <w:rsid w:val="00AE3DFD"/>
    <w:rsid w:val="00AE3E46"/>
    <w:rsid w:val="00AE3EEB"/>
    <w:rsid w:val="00AE40F5"/>
    <w:rsid w:val="00AE412C"/>
    <w:rsid w:val="00AE4241"/>
    <w:rsid w:val="00AE4480"/>
    <w:rsid w:val="00AE44A9"/>
    <w:rsid w:val="00AE45D0"/>
    <w:rsid w:val="00AE4600"/>
    <w:rsid w:val="00AE4991"/>
    <w:rsid w:val="00AE4AA5"/>
    <w:rsid w:val="00AE4B25"/>
    <w:rsid w:val="00AE4B50"/>
    <w:rsid w:val="00AE4C09"/>
    <w:rsid w:val="00AE4C7F"/>
    <w:rsid w:val="00AE4CD2"/>
    <w:rsid w:val="00AE505B"/>
    <w:rsid w:val="00AE50DA"/>
    <w:rsid w:val="00AE50DC"/>
    <w:rsid w:val="00AE52C4"/>
    <w:rsid w:val="00AE5423"/>
    <w:rsid w:val="00AE54A2"/>
    <w:rsid w:val="00AE5595"/>
    <w:rsid w:val="00AE5725"/>
    <w:rsid w:val="00AE5777"/>
    <w:rsid w:val="00AE5781"/>
    <w:rsid w:val="00AE5826"/>
    <w:rsid w:val="00AE5880"/>
    <w:rsid w:val="00AE58D2"/>
    <w:rsid w:val="00AE58D5"/>
    <w:rsid w:val="00AE5918"/>
    <w:rsid w:val="00AE59C1"/>
    <w:rsid w:val="00AE5D8B"/>
    <w:rsid w:val="00AE5E08"/>
    <w:rsid w:val="00AE5F14"/>
    <w:rsid w:val="00AE5F95"/>
    <w:rsid w:val="00AE5FBF"/>
    <w:rsid w:val="00AE611A"/>
    <w:rsid w:val="00AE6181"/>
    <w:rsid w:val="00AE626A"/>
    <w:rsid w:val="00AE62AF"/>
    <w:rsid w:val="00AE6444"/>
    <w:rsid w:val="00AE6459"/>
    <w:rsid w:val="00AE6522"/>
    <w:rsid w:val="00AE6583"/>
    <w:rsid w:val="00AE65FB"/>
    <w:rsid w:val="00AE69C2"/>
    <w:rsid w:val="00AE6BCF"/>
    <w:rsid w:val="00AE6D46"/>
    <w:rsid w:val="00AE6DB6"/>
    <w:rsid w:val="00AE6EB2"/>
    <w:rsid w:val="00AE6ED9"/>
    <w:rsid w:val="00AE7035"/>
    <w:rsid w:val="00AE70D2"/>
    <w:rsid w:val="00AE715A"/>
    <w:rsid w:val="00AE734C"/>
    <w:rsid w:val="00AE7443"/>
    <w:rsid w:val="00AE7496"/>
    <w:rsid w:val="00AE7792"/>
    <w:rsid w:val="00AE78DE"/>
    <w:rsid w:val="00AE7971"/>
    <w:rsid w:val="00AE7B08"/>
    <w:rsid w:val="00AE7E09"/>
    <w:rsid w:val="00AE7FD8"/>
    <w:rsid w:val="00AF00E1"/>
    <w:rsid w:val="00AF0192"/>
    <w:rsid w:val="00AF01F4"/>
    <w:rsid w:val="00AF02E9"/>
    <w:rsid w:val="00AF02EE"/>
    <w:rsid w:val="00AF034F"/>
    <w:rsid w:val="00AF03E6"/>
    <w:rsid w:val="00AF048F"/>
    <w:rsid w:val="00AF04F4"/>
    <w:rsid w:val="00AF0652"/>
    <w:rsid w:val="00AF06A6"/>
    <w:rsid w:val="00AF06C7"/>
    <w:rsid w:val="00AF0781"/>
    <w:rsid w:val="00AF0828"/>
    <w:rsid w:val="00AF093D"/>
    <w:rsid w:val="00AF0B49"/>
    <w:rsid w:val="00AF0B59"/>
    <w:rsid w:val="00AF0BA0"/>
    <w:rsid w:val="00AF0BD2"/>
    <w:rsid w:val="00AF0D5F"/>
    <w:rsid w:val="00AF13F4"/>
    <w:rsid w:val="00AF1461"/>
    <w:rsid w:val="00AF190D"/>
    <w:rsid w:val="00AF19BE"/>
    <w:rsid w:val="00AF1A11"/>
    <w:rsid w:val="00AF1A30"/>
    <w:rsid w:val="00AF1A33"/>
    <w:rsid w:val="00AF1A86"/>
    <w:rsid w:val="00AF1AC7"/>
    <w:rsid w:val="00AF1BD6"/>
    <w:rsid w:val="00AF1C9C"/>
    <w:rsid w:val="00AF1D47"/>
    <w:rsid w:val="00AF1EAF"/>
    <w:rsid w:val="00AF2043"/>
    <w:rsid w:val="00AF2068"/>
    <w:rsid w:val="00AF2070"/>
    <w:rsid w:val="00AF22A3"/>
    <w:rsid w:val="00AF2344"/>
    <w:rsid w:val="00AF23C6"/>
    <w:rsid w:val="00AF24F3"/>
    <w:rsid w:val="00AF2646"/>
    <w:rsid w:val="00AF270A"/>
    <w:rsid w:val="00AF2793"/>
    <w:rsid w:val="00AF27F9"/>
    <w:rsid w:val="00AF2856"/>
    <w:rsid w:val="00AF2B26"/>
    <w:rsid w:val="00AF2D84"/>
    <w:rsid w:val="00AF2D9F"/>
    <w:rsid w:val="00AF2E1C"/>
    <w:rsid w:val="00AF302F"/>
    <w:rsid w:val="00AF30A0"/>
    <w:rsid w:val="00AF3103"/>
    <w:rsid w:val="00AF3164"/>
    <w:rsid w:val="00AF3222"/>
    <w:rsid w:val="00AF341C"/>
    <w:rsid w:val="00AF3724"/>
    <w:rsid w:val="00AF37AF"/>
    <w:rsid w:val="00AF37BC"/>
    <w:rsid w:val="00AF381C"/>
    <w:rsid w:val="00AF395F"/>
    <w:rsid w:val="00AF3DCB"/>
    <w:rsid w:val="00AF3E4F"/>
    <w:rsid w:val="00AF3E87"/>
    <w:rsid w:val="00AF40B5"/>
    <w:rsid w:val="00AF4110"/>
    <w:rsid w:val="00AF4117"/>
    <w:rsid w:val="00AF418E"/>
    <w:rsid w:val="00AF43DA"/>
    <w:rsid w:val="00AF44F5"/>
    <w:rsid w:val="00AF453C"/>
    <w:rsid w:val="00AF4641"/>
    <w:rsid w:val="00AF46F0"/>
    <w:rsid w:val="00AF47FB"/>
    <w:rsid w:val="00AF48BD"/>
    <w:rsid w:val="00AF4922"/>
    <w:rsid w:val="00AF493B"/>
    <w:rsid w:val="00AF4BEA"/>
    <w:rsid w:val="00AF4D50"/>
    <w:rsid w:val="00AF4D60"/>
    <w:rsid w:val="00AF4DED"/>
    <w:rsid w:val="00AF501D"/>
    <w:rsid w:val="00AF510F"/>
    <w:rsid w:val="00AF5197"/>
    <w:rsid w:val="00AF5296"/>
    <w:rsid w:val="00AF5531"/>
    <w:rsid w:val="00AF5679"/>
    <w:rsid w:val="00AF5899"/>
    <w:rsid w:val="00AF5922"/>
    <w:rsid w:val="00AF597C"/>
    <w:rsid w:val="00AF599A"/>
    <w:rsid w:val="00AF5A65"/>
    <w:rsid w:val="00AF5B06"/>
    <w:rsid w:val="00AF5BB5"/>
    <w:rsid w:val="00AF5BC1"/>
    <w:rsid w:val="00AF5C1A"/>
    <w:rsid w:val="00AF5EFF"/>
    <w:rsid w:val="00AF5FA9"/>
    <w:rsid w:val="00AF6034"/>
    <w:rsid w:val="00AF6057"/>
    <w:rsid w:val="00AF6125"/>
    <w:rsid w:val="00AF6464"/>
    <w:rsid w:val="00AF64E4"/>
    <w:rsid w:val="00AF65D1"/>
    <w:rsid w:val="00AF6852"/>
    <w:rsid w:val="00AF68AC"/>
    <w:rsid w:val="00AF691E"/>
    <w:rsid w:val="00AF6924"/>
    <w:rsid w:val="00AF6936"/>
    <w:rsid w:val="00AF6950"/>
    <w:rsid w:val="00AF69BE"/>
    <w:rsid w:val="00AF6A5E"/>
    <w:rsid w:val="00AF6FA1"/>
    <w:rsid w:val="00AF7011"/>
    <w:rsid w:val="00AF70A4"/>
    <w:rsid w:val="00AF7255"/>
    <w:rsid w:val="00AF72B2"/>
    <w:rsid w:val="00AF72BF"/>
    <w:rsid w:val="00AF72EF"/>
    <w:rsid w:val="00AF734F"/>
    <w:rsid w:val="00AF73CF"/>
    <w:rsid w:val="00AF749C"/>
    <w:rsid w:val="00AF76D2"/>
    <w:rsid w:val="00AF7886"/>
    <w:rsid w:val="00AF788F"/>
    <w:rsid w:val="00AF79F4"/>
    <w:rsid w:val="00AF7B21"/>
    <w:rsid w:val="00AF7BCE"/>
    <w:rsid w:val="00AF7C40"/>
    <w:rsid w:val="00AF7D8C"/>
    <w:rsid w:val="00AF7E08"/>
    <w:rsid w:val="00AF7EF7"/>
    <w:rsid w:val="00AF7FE6"/>
    <w:rsid w:val="00B002F3"/>
    <w:rsid w:val="00B005A5"/>
    <w:rsid w:val="00B0074B"/>
    <w:rsid w:val="00B00797"/>
    <w:rsid w:val="00B00798"/>
    <w:rsid w:val="00B00AFA"/>
    <w:rsid w:val="00B00D96"/>
    <w:rsid w:val="00B00DFE"/>
    <w:rsid w:val="00B00E0D"/>
    <w:rsid w:val="00B00E30"/>
    <w:rsid w:val="00B00EFA"/>
    <w:rsid w:val="00B00F27"/>
    <w:rsid w:val="00B00F75"/>
    <w:rsid w:val="00B00FB6"/>
    <w:rsid w:val="00B01025"/>
    <w:rsid w:val="00B01045"/>
    <w:rsid w:val="00B0104E"/>
    <w:rsid w:val="00B0118E"/>
    <w:rsid w:val="00B01447"/>
    <w:rsid w:val="00B014F8"/>
    <w:rsid w:val="00B01602"/>
    <w:rsid w:val="00B01646"/>
    <w:rsid w:val="00B01881"/>
    <w:rsid w:val="00B018FE"/>
    <w:rsid w:val="00B01927"/>
    <w:rsid w:val="00B019D6"/>
    <w:rsid w:val="00B019F3"/>
    <w:rsid w:val="00B01B88"/>
    <w:rsid w:val="00B01C43"/>
    <w:rsid w:val="00B01C4E"/>
    <w:rsid w:val="00B01DFB"/>
    <w:rsid w:val="00B01F15"/>
    <w:rsid w:val="00B01F2F"/>
    <w:rsid w:val="00B01F76"/>
    <w:rsid w:val="00B02043"/>
    <w:rsid w:val="00B02075"/>
    <w:rsid w:val="00B020DE"/>
    <w:rsid w:val="00B02114"/>
    <w:rsid w:val="00B021FA"/>
    <w:rsid w:val="00B0220F"/>
    <w:rsid w:val="00B022D2"/>
    <w:rsid w:val="00B02351"/>
    <w:rsid w:val="00B0246F"/>
    <w:rsid w:val="00B02600"/>
    <w:rsid w:val="00B026C4"/>
    <w:rsid w:val="00B02787"/>
    <w:rsid w:val="00B027CC"/>
    <w:rsid w:val="00B0283F"/>
    <w:rsid w:val="00B02854"/>
    <w:rsid w:val="00B0291B"/>
    <w:rsid w:val="00B02938"/>
    <w:rsid w:val="00B02A17"/>
    <w:rsid w:val="00B02E13"/>
    <w:rsid w:val="00B02E69"/>
    <w:rsid w:val="00B02EC5"/>
    <w:rsid w:val="00B0314A"/>
    <w:rsid w:val="00B03180"/>
    <w:rsid w:val="00B031B0"/>
    <w:rsid w:val="00B0326A"/>
    <w:rsid w:val="00B032E8"/>
    <w:rsid w:val="00B03357"/>
    <w:rsid w:val="00B036C3"/>
    <w:rsid w:val="00B037C6"/>
    <w:rsid w:val="00B03A1A"/>
    <w:rsid w:val="00B03B55"/>
    <w:rsid w:val="00B03B6A"/>
    <w:rsid w:val="00B03C67"/>
    <w:rsid w:val="00B03D74"/>
    <w:rsid w:val="00B03E4E"/>
    <w:rsid w:val="00B0415C"/>
    <w:rsid w:val="00B042AA"/>
    <w:rsid w:val="00B044B5"/>
    <w:rsid w:val="00B0453A"/>
    <w:rsid w:val="00B045D6"/>
    <w:rsid w:val="00B045E6"/>
    <w:rsid w:val="00B046B3"/>
    <w:rsid w:val="00B047D1"/>
    <w:rsid w:val="00B04828"/>
    <w:rsid w:val="00B0492F"/>
    <w:rsid w:val="00B04933"/>
    <w:rsid w:val="00B04991"/>
    <w:rsid w:val="00B04BA2"/>
    <w:rsid w:val="00B04CAD"/>
    <w:rsid w:val="00B04CD8"/>
    <w:rsid w:val="00B04EE8"/>
    <w:rsid w:val="00B04FAF"/>
    <w:rsid w:val="00B050FE"/>
    <w:rsid w:val="00B05162"/>
    <w:rsid w:val="00B0520B"/>
    <w:rsid w:val="00B0525F"/>
    <w:rsid w:val="00B0547D"/>
    <w:rsid w:val="00B0563A"/>
    <w:rsid w:val="00B05724"/>
    <w:rsid w:val="00B05729"/>
    <w:rsid w:val="00B05A03"/>
    <w:rsid w:val="00B05B70"/>
    <w:rsid w:val="00B05BFC"/>
    <w:rsid w:val="00B05DE8"/>
    <w:rsid w:val="00B05F1B"/>
    <w:rsid w:val="00B05FC3"/>
    <w:rsid w:val="00B061B5"/>
    <w:rsid w:val="00B065A9"/>
    <w:rsid w:val="00B0669C"/>
    <w:rsid w:val="00B066E0"/>
    <w:rsid w:val="00B068E5"/>
    <w:rsid w:val="00B0695E"/>
    <w:rsid w:val="00B069AF"/>
    <w:rsid w:val="00B06ADD"/>
    <w:rsid w:val="00B06D08"/>
    <w:rsid w:val="00B06D9D"/>
    <w:rsid w:val="00B06DA2"/>
    <w:rsid w:val="00B06DA5"/>
    <w:rsid w:val="00B06DD7"/>
    <w:rsid w:val="00B06E9C"/>
    <w:rsid w:val="00B06ECD"/>
    <w:rsid w:val="00B06EDD"/>
    <w:rsid w:val="00B06F52"/>
    <w:rsid w:val="00B06FFF"/>
    <w:rsid w:val="00B07075"/>
    <w:rsid w:val="00B072FD"/>
    <w:rsid w:val="00B07327"/>
    <w:rsid w:val="00B07377"/>
    <w:rsid w:val="00B07462"/>
    <w:rsid w:val="00B07583"/>
    <w:rsid w:val="00B0758D"/>
    <w:rsid w:val="00B075B6"/>
    <w:rsid w:val="00B0767F"/>
    <w:rsid w:val="00B07724"/>
    <w:rsid w:val="00B07809"/>
    <w:rsid w:val="00B078E4"/>
    <w:rsid w:val="00B0799D"/>
    <w:rsid w:val="00B07AB4"/>
    <w:rsid w:val="00B07D3D"/>
    <w:rsid w:val="00B07D5F"/>
    <w:rsid w:val="00B07E4D"/>
    <w:rsid w:val="00B07E86"/>
    <w:rsid w:val="00B07EAC"/>
    <w:rsid w:val="00B07EEB"/>
    <w:rsid w:val="00B07FBD"/>
    <w:rsid w:val="00B10077"/>
    <w:rsid w:val="00B102A6"/>
    <w:rsid w:val="00B1039F"/>
    <w:rsid w:val="00B1048D"/>
    <w:rsid w:val="00B104DA"/>
    <w:rsid w:val="00B104DC"/>
    <w:rsid w:val="00B10591"/>
    <w:rsid w:val="00B1062E"/>
    <w:rsid w:val="00B106E6"/>
    <w:rsid w:val="00B10783"/>
    <w:rsid w:val="00B107C6"/>
    <w:rsid w:val="00B109F3"/>
    <w:rsid w:val="00B10A10"/>
    <w:rsid w:val="00B10A58"/>
    <w:rsid w:val="00B10AF2"/>
    <w:rsid w:val="00B10B9E"/>
    <w:rsid w:val="00B10C22"/>
    <w:rsid w:val="00B10D81"/>
    <w:rsid w:val="00B110C8"/>
    <w:rsid w:val="00B112F0"/>
    <w:rsid w:val="00B11329"/>
    <w:rsid w:val="00B11374"/>
    <w:rsid w:val="00B113F8"/>
    <w:rsid w:val="00B11433"/>
    <w:rsid w:val="00B114AF"/>
    <w:rsid w:val="00B11551"/>
    <w:rsid w:val="00B1155A"/>
    <w:rsid w:val="00B115A7"/>
    <w:rsid w:val="00B11601"/>
    <w:rsid w:val="00B11675"/>
    <w:rsid w:val="00B1169D"/>
    <w:rsid w:val="00B116BE"/>
    <w:rsid w:val="00B117ED"/>
    <w:rsid w:val="00B1187B"/>
    <w:rsid w:val="00B11A35"/>
    <w:rsid w:val="00B11B19"/>
    <w:rsid w:val="00B11BCE"/>
    <w:rsid w:val="00B11BDD"/>
    <w:rsid w:val="00B11C49"/>
    <w:rsid w:val="00B11D42"/>
    <w:rsid w:val="00B11D8F"/>
    <w:rsid w:val="00B11DB9"/>
    <w:rsid w:val="00B11EC6"/>
    <w:rsid w:val="00B11F41"/>
    <w:rsid w:val="00B12057"/>
    <w:rsid w:val="00B1207B"/>
    <w:rsid w:val="00B12112"/>
    <w:rsid w:val="00B1216C"/>
    <w:rsid w:val="00B1218D"/>
    <w:rsid w:val="00B12338"/>
    <w:rsid w:val="00B12392"/>
    <w:rsid w:val="00B12448"/>
    <w:rsid w:val="00B124A5"/>
    <w:rsid w:val="00B12537"/>
    <w:rsid w:val="00B12616"/>
    <w:rsid w:val="00B12633"/>
    <w:rsid w:val="00B1264E"/>
    <w:rsid w:val="00B1267B"/>
    <w:rsid w:val="00B1286B"/>
    <w:rsid w:val="00B12AD3"/>
    <w:rsid w:val="00B12B8C"/>
    <w:rsid w:val="00B12BF2"/>
    <w:rsid w:val="00B12CAF"/>
    <w:rsid w:val="00B12E21"/>
    <w:rsid w:val="00B12FAF"/>
    <w:rsid w:val="00B1317D"/>
    <w:rsid w:val="00B13197"/>
    <w:rsid w:val="00B1320E"/>
    <w:rsid w:val="00B13297"/>
    <w:rsid w:val="00B1331A"/>
    <w:rsid w:val="00B13374"/>
    <w:rsid w:val="00B134D7"/>
    <w:rsid w:val="00B13508"/>
    <w:rsid w:val="00B1352A"/>
    <w:rsid w:val="00B13542"/>
    <w:rsid w:val="00B135B6"/>
    <w:rsid w:val="00B1360C"/>
    <w:rsid w:val="00B13759"/>
    <w:rsid w:val="00B13772"/>
    <w:rsid w:val="00B13AB1"/>
    <w:rsid w:val="00B13C50"/>
    <w:rsid w:val="00B13D88"/>
    <w:rsid w:val="00B1414C"/>
    <w:rsid w:val="00B141F1"/>
    <w:rsid w:val="00B14375"/>
    <w:rsid w:val="00B144FE"/>
    <w:rsid w:val="00B14593"/>
    <w:rsid w:val="00B145BE"/>
    <w:rsid w:val="00B146F1"/>
    <w:rsid w:val="00B147E3"/>
    <w:rsid w:val="00B149EF"/>
    <w:rsid w:val="00B149F3"/>
    <w:rsid w:val="00B14AA0"/>
    <w:rsid w:val="00B14B1B"/>
    <w:rsid w:val="00B14B6F"/>
    <w:rsid w:val="00B14C5F"/>
    <w:rsid w:val="00B14C8C"/>
    <w:rsid w:val="00B14CE4"/>
    <w:rsid w:val="00B14F3D"/>
    <w:rsid w:val="00B1516A"/>
    <w:rsid w:val="00B151C4"/>
    <w:rsid w:val="00B152F6"/>
    <w:rsid w:val="00B1535C"/>
    <w:rsid w:val="00B1540B"/>
    <w:rsid w:val="00B15420"/>
    <w:rsid w:val="00B1550C"/>
    <w:rsid w:val="00B15658"/>
    <w:rsid w:val="00B15743"/>
    <w:rsid w:val="00B15821"/>
    <w:rsid w:val="00B158CF"/>
    <w:rsid w:val="00B15B22"/>
    <w:rsid w:val="00B15CE5"/>
    <w:rsid w:val="00B15D5F"/>
    <w:rsid w:val="00B15D9E"/>
    <w:rsid w:val="00B15F80"/>
    <w:rsid w:val="00B16026"/>
    <w:rsid w:val="00B160D6"/>
    <w:rsid w:val="00B160F8"/>
    <w:rsid w:val="00B16212"/>
    <w:rsid w:val="00B16253"/>
    <w:rsid w:val="00B162ED"/>
    <w:rsid w:val="00B1633C"/>
    <w:rsid w:val="00B16376"/>
    <w:rsid w:val="00B1637D"/>
    <w:rsid w:val="00B163AD"/>
    <w:rsid w:val="00B1640B"/>
    <w:rsid w:val="00B1640F"/>
    <w:rsid w:val="00B16466"/>
    <w:rsid w:val="00B16685"/>
    <w:rsid w:val="00B16729"/>
    <w:rsid w:val="00B168A9"/>
    <w:rsid w:val="00B16966"/>
    <w:rsid w:val="00B1698C"/>
    <w:rsid w:val="00B16A56"/>
    <w:rsid w:val="00B16AA8"/>
    <w:rsid w:val="00B16B0E"/>
    <w:rsid w:val="00B16B9E"/>
    <w:rsid w:val="00B16C2F"/>
    <w:rsid w:val="00B16CDD"/>
    <w:rsid w:val="00B16CFF"/>
    <w:rsid w:val="00B16D88"/>
    <w:rsid w:val="00B16E1E"/>
    <w:rsid w:val="00B16EB3"/>
    <w:rsid w:val="00B17083"/>
    <w:rsid w:val="00B17090"/>
    <w:rsid w:val="00B170E0"/>
    <w:rsid w:val="00B170FE"/>
    <w:rsid w:val="00B1743B"/>
    <w:rsid w:val="00B17462"/>
    <w:rsid w:val="00B17576"/>
    <w:rsid w:val="00B17592"/>
    <w:rsid w:val="00B1766B"/>
    <w:rsid w:val="00B1784E"/>
    <w:rsid w:val="00B17873"/>
    <w:rsid w:val="00B178B1"/>
    <w:rsid w:val="00B17ABE"/>
    <w:rsid w:val="00B17AFB"/>
    <w:rsid w:val="00B17B6F"/>
    <w:rsid w:val="00B17BCA"/>
    <w:rsid w:val="00B17CD5"/>
    <w:rsid w:val="00B17DCD"/>
    <w:rsid w:val="00B2016C"/>
    <w:rsid w:val="00B20203"/>
    <w:rsid w:val="00B20225"/>
    <w:rsid w:val="00B20269"/>
    <w:rsid w:val="00B2028B"/>
    <w:rsid w:val="00B202AD"/>
    <w:rsid w:val="00B20318"/>
    <w:rsid w:val="00B204D2"/>
    <w:rsid w:val="00B204D4"/>
    <w:rsid w:val="00B20703"/>
    <w:rsid w:val="00B20711"/>
    <w:rsid w:val="00B20A01"/>
    <w:rsid w:val="00B20B64"/>
    <w:rsid w:val="00B20C32"/>
    <w:rsid w:val="00B20D65"/>
    <w:rsid w:val="00B20E01"/>
    <w:rsid w:val="00B20E1B"/>
    <w:rsid w:val="00B20ECA"/>
    <w:rsid w:val="00B20F2D"/>
    <w:rsid w:val="00B20FB3"/>
    <w:rsid w:val="00B20FB5"/>
    <w:rsid w:val="00B21015"/>
    <w:rsid w:val="00B2124F"/>
    <w:rsid w:val="00B21269"/>
    <w:rsid w:val="00B212C4"/>
    <w:rsid w:val="00B213DA"/>
    <w:rsid w:val="00B21400"/>
    <w:rsid w:val="00B21422"/>
    <w:rsid w:val="00B21473"/>
    <w:rsid w:val="00B21497"/>
    <w:rsid w:val="00B2174F"/>
    <w:rsid w:val="00B21799"/>
    <w:rsid w:val="00B217A5"/>
    <w:rsid w:val="00B218B3"/>
    <w:rsid w:val="00B21941"/>
    <w:rsid w:val="00B2194E"/>
    <w:rsid w:val="00B21A85"/>
    <w:rsid w:val="00B21A8C"/>
    <w:rsid w:val="00B21BC1"/>
    <w:rsid w:val="00B21C05"/>
    <w:rsid w:val="00B21C92"/>
    <w:rsid w:val="00B21D2E"/>
    <w:rsid w:val="00B21D46"/>
    <w:rsid w:val="00B21DE8"/>
    <w:rsid w:val="00B21F15"/>
    <w:rsid w:val="00B21F60"/>
    <w:rsid w:val="00B21FF4"/>
    <w:rsid w:val="00B2203E"/>
    <w:rsid w:val="00B22045"/>
    <w:rsid w:val="00B22367"/>
    <w:rsid w:val="00B22402"/>
    <w:rsid w:val="00B2241D"/>
    <w:rsid w:val="00B22495"/>
    <w:rsid w:val="00B22772"/>
    <w:rsid w:val="00B22833"/>
    <w:rsid w:val="00B2288E"/>
    <w:rsid w:val="00B2294D"/>
    <w:rsid w:val="00B229D9"/>
    <w:rsid w:val="00B22BB1"/>
    <w:rsid w:val="00B22D66"/>
    <w:rsid w:val="00B23029"/>
    <w:rsid w:val="00B23044"/>
    <w:rsid w:val="00B230F1"/>
    <w:rsid w:val="00B2347E"/>
    <w:rsid w:val="00B234EA"/>
    <w:rsid w:val="00B23570"/>
    <w:rsid w:val="00B23696"/>
    <w:rsid w:val="00B236CE"/>
    <w:rsid w:val="00B2377B"/>
    <w:rsid w:val="00B237A8"/>
    <w:rsid w:val="00B23A21"/>
    <w:rsid w:val="00B23A39"/>
    <w:rsid w:val="00B23E47"/>
    <w:rsid w:val="00B23F2E"/>
    <w:rsid w:val="00B23FAA"/>
    <w:rsid w:val="00B24004"/>
    <w:rsid w:val="00B2408B"/>
    <w:rsid w:val="00B242EC"/>
    <w:rsid w:val="00B242F9"/>
    <w:rsid w:val="00B24369"/>
    <w:rsid w:val="00B243C7"/>
    <w:rsid w:val="00B24409"/>
    <w:rsid w:val="00B2448F"/>
    <w:rsid w:val="00B24720"/>
    <w:rsid w:val="00B24875"/>
    <w:rsid w:val="00B24C15"/>
    <w:rsid w:val="00B24C41"/>
    <w:rsid w:val="00B24D8E"/>
    <w:rsid w:val="00B24E6F"/>
    <w:rsid w:val="00B25129"/>
    <w:rsid w:val="00B2519E"/>
    <w:rsid w:val="00B251BF"/>
    <w:rsid w:val="00B2525A"/>
    <w:rsid w:val="00B252C5"/>
    <w:rsid w:val="00B254E2"/>
    <w:rsid w:val="00B255EB"/>
    <w:rsid w:val="00B2562B"/>
    <w:rsid w:val="00B2565B"/>
    <w:rsid w:val="00B2591C"/>
    <w:rsid w:val="00B25A7A"/>
    <w:rsid w:val="00B25C47"/>
    <w:rsid w:val="00B25C54"/>
    <w:rsid w:val="00B25C63"/>
    <w:rsid w:val="00B25FD9"/>
    <w:rsid w:val="00B260E6"/>
    <w:rsid w:val="00B2611D"/>
    <w:rsid w:val="00B261C8"/>
    <w:rsid w:val="00B261CA"/>
    <w:rsid w:val="00B264B8"/>
    <w:rsid w:val="00B264EF"/>
    <w:rsid w:val="00B26638"/>
    <w:rsid w:val="00B266E8"/>
    <w:rsid w:val="00B26749"/>
    <w:rsid w:val="00B2685A"/>
    <w:rsid w:val="00B26964"/>
    <w:rsid w:val="00B269D3"/>
    <w:rsid w:val="00B269FD"/>
    <w:rsid w:val="00B26ADD"/>
    <w:rsid w:val="00B26C08"/>
    <w:rsid w:val="00B26C82"/>
    <w:rsid w:val="00B26E91"/>
    <w:rsid w:val="00B26F0C"/>
    <w:rsid w:val="00B27104"/>
    <w:rsid w:val="00B27133"/>
    <w:rsid w:val="00B271AE"/>
    <w:rsid w:val="00B27229"/>
    <w:rsid w:val="00B27256"/>
    <w:rsid w:val="00B272AE"/>
    <w:rsid w:val="00B27375"/>
    <w:rsid w:val="00B27422"/>
    <w:rsid w:val="00B27452"/>
    <w:rsid w:val="00B274B5"/>
    <w:rsid w:val="00B274E7"/>
    <w:rsid w:val="00B2751D"/>
    <w:rsid w:val="00B27526"/>
    <w:rsid w:val="00B27673"/>
    <w:rsid w:val="00B2781E"/>
    <w:rsid w:val="00B278BD"/>
    <w:rsid w:val="00B27A0B"/>
    <w:rsid w:val="00B27A6F"/>
    <w:rsid w:val="00B27B74"/>
    <w:rsid w:val="00B27C7A"/>
    <w:rsid w:val="00B27CFB"/>
    <w:rsid w:val="00B27E6E"/>
    <w:rsid w:val="00B300EE"/>
    <w:rsid w:val="00B30175"/>
    <w:rsid w:val="00B301B1"/>
    <w:rsid w:val="00B301CF"/>
    <w:rsid w:val="00B301EC"/>
    <w:rsid w:val="00B30240"/>
    <w:rsid w:val="00B302AB"/>
    <w:rsid w:val="00B302C5"/>
    <w:rsid w:val="00B30331"/>
    <w:rsid w:val="00B3038B"/>
    <w:rsid w:val="00B304DA"/>
    <w:rsid w:val="00B30562"/>
    <w:rsid w:val="00B30863"/>
    <w:rsid w:val="00B3086F"/>
    <w:rsid w:val="00B30AA2"/>
    <w:rsid w:val="00B30AC0"/>
    <w:rsid w:val="00B30FC1"/>
    <w:rsid w:val="00B3108E"/>
    <w:rsid w:val="00B3112D"/>
    <w:rsid w:val="00B31231"/>
    <w:rsid w:val="00B312CB"/>
    <w:rsid w:val="00B31561"/>
    <w:rsid w:val="00B3160D"/>
    <w:rsid w:val="00B317CE"/>
    <w:rsid w:val="00B317F3"/>
    <w:rsid w:val="00B31AB8"/>
    <w:rsid w:val="00B31D8B"/>
    <w:rsid w:val="00B31F2F"/>
    <w:rsid w:val="00B32530"/>
    <w:rsid w:val="00B32615"/>
    <w:rsid w:val="00B32721"/>
    <w:rsid w:val="00B3278D"/>
    <w:rsid w:val="00B3292D"/>
    <w:rsid w:val="00B32A26"/>
    <w:rsid w:val="00B32A48"/>
    <w:rsid w:val="00B32B0E"/>
    <w:rsid w:val="00B32B8F"/>
    <w:rsid w:val="00B32CA5"/>
    <w:rsid w:val="00B32CBB"/>
    <w:rsid w:val="00B32D88"/>
    <w:rsid w:val="00B32E70"/>
    <w:rsid w:val="00B32EFC"/>
    <w:rsid w:val="00B32F16"/>
    <w:rsid w:val="00B33001"/>
    <w:rsid w:val="00B33105"/>
    <w:rsid w:val="00B3310D"/>
    <w:rsid w:val="00B33128"/>
    <w:rsid w:val="00B33144"/>
    <w:rsid w:val="00B3324B"/>
    <w:rsid w:val="00B3326C"/>
    <w:rsid w:val="00B3339A"/>
    <w:rsid w:val="00B3363B"/>
    <w:rsid w:val="00B3372B"/>
    <w:rsid w:val="00B337AE"/>
    <w:rsid w:val="00B338B6"/>
    <w:rsid w:val="00B338CE"/>
    <w:rsid w:val="00B33A78"/>
    <w:rsid w:val="00B33D98"/>
    <w:rsid w:val="00B33F58"/>
    <w:rsid w:val="00B33FAB"/>
    <w:rsid w:val="00B33FAE"/>
    <w:rsid w:val="00B342A9"/>
    <w:rsid w:val="00B345B4"/>
    <w:rsid w:val="00B346F6"/>
    <w:rsid w:val="00B34748"/>
    <w:rsid w:val="00B34766"/>
    <w:rsid w:val="00B34867"/>
    <w:rsid w:val="00B34868"/>
    <w:rsid w:val="00B348CD"/>
    <w:rsid w:val="00B348E1"/>
    <w:rsid w:val="00B34910"/>
    <w:rsid w:val="00B34950"/>
    <w:rsid w:val="00B34A20"/>
    <w:rsid w:val="00B34B82"/>
    <w:rsid w:val="00B34BE7"/>
    <w:rsid w:val="00B34D7F"/>
    <w:rsid w:val="00B34ED6"/>
    <w:rsid w:val="00B34F7B"/>
    <w:rsid w:val="00B34FD8"/>
    <w:rsid w:val="00B3509E"/>
    <w:rsid w:val="00B350B0"/>
    <w:rsid w:val="00B352A0"/>
    <w:rsid w:val="00B3530E"/>
    <w:rsid w:val="00B35390"/>
    <w:rsid w:val="00B353EB"/>
    <w:rsid w:val="00B35460"/>
    <w:rsid w:val="00B3548B"/>
    <w:rsid w:val="00B35535"/>
    <w:rsid w:val="00B3573F"/>
    <w:rsid w:val="00B357E9"/>
    <w:rsid w:val="00B3595D"/>
    <w:rsid w:val="00B35A61"/>
    <w:rsid w:val="00B35B3C"/>
    <w:rsid w:val="00B35E7C"/>
    <w:rsid w:val="00B35E98"/>
    <w:rsid w:val="00B360A9"/>
    <w:rsid w:val="00B360DD"/>
    <w:rsid w:val="00B3612B"/>
    <w:rsid w:val="00B36225"/>
    <w:rsid w:val="00B36228"/>
    <w:rsid w:val="00B362B1"/>
    <w:rsid w:val="00B369A9"/>
    <w:rsid w:val="00B36B23"/>
    <w:rsid w:val="00B36C83"/>
    <w:rsid w:val="00B36CCB"/>
    <w:rsid w:val="00B36CCF"/>
    <w:rsid w:val="00B36D3B"/>
    <w:rsid w:val="00B36DB9"/>
    <w:rsid w:val="00B36F20"/>
    <w:rsid w:val="00B36F29"/>
    <w:rsid w:val="00B36F2D"/>
    <w:rsid w:val="00B36FCF"/>
    <w:rsid w:val="00B37151"/>
    <w:rsid w:val="00B373A2"/>
    <w:rsid w:val="00B373D4"/>
    <w:rsid w:val="00B37623"/>
    <w:rsid w:val="00B3784B"/>
    <w:rsid w:val="00B37860"/>
    <w:rsid w:val="00B378A1"/>
    <w:rsid w:val="00B378DE"/>
    <w:rsid w:val="00B37BF3"/>
    <w:rsid w:val="00B37C1B"/>
    <w:rsid w:val="00B37C1F"/>
    <w:rsid w:val="00B37C43"/>
    <w:rsid w:val="00B37F68"/>
    <w:rsid w:val="00B4002B"/>
    <w:rsid w:val="00B40263"/>
    <w:rsid w:val="00B402A0"/>
    <w:rsid w:val="00B402E8"/>
    <w:rsid w:val="00B40389"/>
    <w:rsid w:val="00B4039F"/>
    <w:rsid w:val="00B405F4"/>
    <w:rsid w:val="00B40759"/>
    <w:rsid w:val="00B40778"/>
    <w:rsid w:val="00B40902"/>
    <w:rsid w:val="00B4091B"/>
    <w:rsid w:val="00B40979"/>
    <w:rsid w:val="00B409AB"/>
    <w:rsid w:val="00B40A17"/>
    <w:rsid w:val="00B40A5E"/>
    <w:rsid w:val="00B40A9C"/>
    <w:rsid w:val="00B40AAC"/>
    <w:rsid w:val="00B40B2D"/>
    <w:rsid w:val="00B40C13"/>
    <w:rsid w:val="00B40C2F"/>
    <w:rsid w:val="00B40D4D"/>
    <w:rsid w:val="00B40DEB"/>
    <w:rsid w:val="00B40E10"/>
    <w:rsid w:val="00B40E66"/>
    <w:rsid w:val="00B41061"/>
    <w:rsid w:val="00B411FF"/>
    <w:rsid w:val="00B412DA"/>
    <w:rsid w:val="00B415D2"/>
    <w:rsid w:val="00B418AE"/>
    <w:rsid w:val="00B41A11"/>
    <w:rsid w:val="00B41A71"/>
    <w:rsid w:val="00B41D37"/>
    <w:rsid w:val="00B41EC6"/>
    <w:rsid w:val="00B41F51"/>
    <w:rsid w:val="00B41F54"/>
    <w:rsid w:val="00B41FAA"/>
    <w:rsid w:val="00B42057"/>
    <w:rsid w:val="00B420DF"/>
    <w:rsid w:val="00B42101"/>
    <w:rsid w:val="00B42161"/>
    <w:rsid w:val="00B42344"/>
    <w:rsid w:val="00B4265F"/>
    <w:rsid w:val="00B42726"/>
    <w:rsid w:val="00B428D2"/>
    <w:rsid w:val="00B428DE"/>
    <w:rsid w:val="00B429B1"/>
    <w:rsid w:val="00B429CE"/>
    <w:rsid w:val="00B429D1"/>
    <w:rsid w:val="00B42C4F"/>
    <w:rsid w:val="00B42CAA"/>
    <w:rsid w:val="00B42CE9"/>
    <w:rsid w:val="00B42DB6"/>
    <w:rsid w:val="00B42F65"/>
    <w:rsid w:val="00B43129"/>
    <w:rsid w:val="00B431DA"/>
    <w:rsid w:val="00B43245"/>
    <w:rsid w:val="00B4331A"/>
    <w:rsid w:val="00B43537"/>
    <w:rsid w:val="00B436A9"/>
    <w:rsid w:val="00B43717"/>
    <w:rsid w:val="00B4384A"/>
    <w:rsid w:val="00B438AD"/>
    <w:rsid w:val="00B4393F"/>
    <w:rsid w:val="00B43B44"/>
    <w:rsid w:val="00B43D1D"/>
    <w:rsid w:val="00B43D77"/>
    <w:rsid w:val="00B43DF3"/>
    <w:rsid w:val="00B43E31"/>
    <w:rsid w:val="00B43E50"/>
    <w:rsid w:val="00B43F09"/>
    <w:rsid w:val="00B43F54"/>
    <w:rsid w:val="00B44190"/>
    <w:rsid w:val="00B44225"/>
    <w:rsid w:val="00B442A0"/>
    <w:rsid w:val="00B442E8"/>
    <w:rsid w:val="00B443A6"/>
    <w:rsid w:val="00B445BA"/>
    <w:rsid w:val="00B44685"/>
    <w:rsid w:val="00B44691"/>
    <w:rsid w:val="00B4469C"/>
    <w:rsid w:val="00B446DA"/>
    <w:rsid w:val="00B44D5B"/>
    <w:rsid w:val="00B44DDC"/>
    <w:rsid w:val="00B44E03"/>
    <w:rsid w:val="00B44F9B"/>
    <w:rsid w:val="00B45019"/>
    <w:rsid w:val="00B45056"/>
    <w:rsid w:val="00B4509B"/>
    <w:rsid w:val="00B450AE"/>
    <w:rsid w:val="00B45239"/>
    <w:rsid w:val="00B453E7"/>
    <w:rsid w:val="00B45428"/>
    <w:rsid w:val="00B45453"/>
    <w:rsid w:val="00B455F9"/>
    <w:rsid w:val="00B45633"/>
    <w:rsid w:val="00B456C1"/>
    <w:rsid w:val="00B458A7"/>
    <w:rsid w:val="00B45922"/>
    <w:rsid w:val="00B459C7"/>
    <w:rsid w:val="00B45A0D"/>
    <w:rsid w:val="00B45B74"/>
    <w:rsid w:val="00B45C12"/>
    <w:rsid w:val="00B45DD8"/>
    <w:rsid w:val="00B45E3C"/>
    <w:rsid w:val="00B45ED7"/>
    <w:rsid w:val="00B4613E"/>
    <w:rsid w:val="00B46253"/>
    <w:rsid w:val="00B464D5"/>
    <w:rsid w:val="00B4663C"/>
    <w:rsid w:val="00B46644"/>
    <w:rsid w:val="00B46672"/>
    <w:rsid w:val="00B467C0"/>
    <w:rsid w:val="00B46A28"/>
    <w:rsid w:val="00B46CE1"/>
    <w:rsid w:val="00B46D66"/>
    <w:rsid w:val="00B46ECF"/>
    <w:rsid w:val="00B46F93"/>
    <w:rsid w:val="00B4708F"/>
    <w:rsid w:val="00B470CE"/>
    <w:rsid w:val="00B47290"/>
    <w:rsid w:val="00B473C2"/>
    <w:rsid w:val="00B473CD"/>
    <w:rsid w:val="00B47497"/>
    <w:rsid w:val="00B474A8"/>
    <w:rsid w:val="00B4757E"/>
    <w:rsid w:val="00B47583"/>
    <w:rsid w:val="00B4768F"/>
    <w:rsid w:val="00B47A50"/>
    <w:rsid w:val="00B47AB3"/>
    <w:rsid w:val="00B47BBE"/>
    <w:rsid w:val="00B47DD4"/>
    <w:rsid w:val="00B47E24"/>
    <w:rsid w:val="00B47EFF"/>
    <w:rsid w:val="00B47F15"/>
    <w:rsid w:val="00B47FDD"/>
    <w:rsid w:val="00B500B9"/>
    <w:rsid w:val="00B50181"/>
    <w:rsid w:val="00B5036B"/>
    <w:rsid w:val="00B503C7"/>
    <w:rsid w:val="00B503DA"/>
    <w:rsid w:val="00B50602"/>
    <w:rsid w:val="00B50638"/>
    <w:rsid w:val="00B50659"/>
    <w:rsid w:val="00B506A2"/>
    <w:rsid w:val="00B50837"/>
    <w:rsid w:val="00B50892"/>
    <w:rsid w:val="00B50967"/>
    <w:rsid w:val="00B50A0B"/>
    <w:rsid w:val="00B50CB3"/>
    <w:rsid w:val="00B50CCF"/>
    <w:rsid w:val="00B50DCC"/>
    <w:rsid w:val="00B50F20"/>
    <w:rsid w:val="00B50F9D"/>
    <w:rsid w:val="00B511F6"/>
    <w:rsid w:val="00B51217"/>
    <w:rsid w:val="00B512D8"/>
    <w:rsid w:val="00B5159A"/>
    <w:rsid w:val="00B517F0"/>
    <w:rsid w:val="00B51842"/>
    <w:rsid w:val="00B51880"/>
    <w:rsid w:val="00B518DD"/>
    <w:rsid w:val="00B51A68"/>
    <w:rsid w:val="00B51B9E"/>
    <w:rsid w:val="00B51CD1"/>
    <w:rsid w:val="00B51D7F"/>
    <w:rsid w:val="00B51E56"/>
    <w:rsid w:val="00B51F3F"/>
    <w:rsid w:val="00B51F48"/>
    <w:rsid w:val="00B51F6F"/>
    <w:rsid w:val="00B52047"/>
    <w:rsid w:val="00B52089"/>
    <w:rsid w:val="00B5231F"/>
    <w:rsid w:val="00B52456"/>
    <w:rsid w:val="00B52475"/>
    <w:rsid w:val="00B52502"/>
    <w:rsid w:val="00B52514"/>
    <w:rsid w:val="00B52795"/>
    <w:rsid w:val="00B52919"/>
    <w:rsid w:val="00B52972"/>
    <w:rsid w:val="00B52CEB"/>
    <w:rsid w:val="00B52D06"/>
    <w:rsid w:val="00B52D0D"/>
    <w:rsid w:val="00B52D55"/>
    <w:rsid w:val="00B52D81"/>
    <w:rsid w:val="00B52F34"/>
    <w:rsid w:val="00B52F38"/>
    <w:rsid w:val="00B52F69"/>
    <w:rsid w:val="00B52F8C"/>
    <w:rsid w:val="00B53147"/>
    <w:rsid w:val="00B53333"/>
    <w:rsid w:val="00B53466"/>
    <w:rsid w:val="00B534FD"/>
    <w:rsid w:val="00B5368D"/>
    <w:rsid w:val="00B536FB"/>
    <w:rsid w:val="00B538E2"/>
    <w:rsid w:val="00B5391B"/>
    <w:rsid w:val="00B53936"/>
    <w:rsid w:val="00B539A2"/>
    <w:rsid w:val="00B53B25"/>
    <w:rsid w:val="00B53B93"/>
    <w:rsid w:val="00B53BAC"/>
    <w:rsid w:val="00B53C97"/>
    <w:rsid w:val="00B53C9C"/>
    <w:rsid w:val="00B53FB6"/>
    <w:rsid w:val="00B53FD7"/>
    <w:rsid w:val="00B53FE0"/>
    <w:rsid w:val="00B540B9"/>
    <w:rsid w:val="00B540C9"/>
    <w:rsid w:val="00B5414D"/>
    <w:rsid w:val="00B54173"/>
    <w:rsid w:val="00B5420D"/>
    <w:rsid w:val="00B54218"/>
    <w:rsid w:val="00B5431A"/>
    <w:rsid w:val="00B54344"/>
    <w:rsid w:val="00B5439E"/>
    <w:rsid w:val="00B54438"/>
    <w:rsid w:val="00B546DA"/>
    <w:rsid w:val="00B5492E"/>
    <w:rsid w:val="00B54959"/>
    <w:rsid w:val="00B54A72"/>
    <w:rsid w:val="00B54A78"/>
    <w:rsid w:val="00B54A95"/>
    <w:rsid w:val="00B54AD6"/>
    <w:rsid w:val="00B54C47"/>
    <w:rsid w:val="00B54D12"/>
    <w:rsid w:val="00B54E53"/>
    <w:rsid w:val="00B54F0B"/>
    <w:rsid w:val="00B54F5D"/>
    <w:rsid w:val="00B54F79"/>
    <w:rsid w:val="00B54FB8"/>
    <w:rsid w:val="00B54FD8"/>
    <w:rsid w:val="00B54FFA"/>
    <w:rsid w:val="00B55061"/>
    <w:rsid w:val="00B55139"/>
    <w:rsid w:val="00B551B3"/>
    <w:rsid w:val="00B551C9"/>
    <w:rsid w:val="00B5537C"/>
    <w:rsid w:val="00B5586C"/>
    <w:rsid w:val="00B558CC"/>
    <w:rsid w:val="00B55953"/>
    <w:rsid w:val="00B559AE"/>
    <w:rsid w:val="00B55BDF"/>
    <w:rsid w:val="00B55C11"/>
    <w:rsid w:val="00B55C3B"/>
    <w:rsid w:val="00B55D3F"/>
    <w:rsid w:val="00B55FBA"/>
    <w:rsid w:val="00B56047"/>
    <w:rsid w:val="00B5620C"/>
    <w:rsid w:val="00B56439"/>
    <w:rsid w:val="00B56440"/>
    <w:rsid w:val="00B56596"/>
    <w:rsid w:val="00B56643"/>
    <w:rsid w:val="00B566E5"/>
    <w:rsid w:val="00B567AE"/>
    <w:rsid w:val="00B567BA"/>
    <w:rsid w:val="00B56AC5"/>
    <w:rsid w:val="00B56B8B"/>
    <w:rsid w:val="00B56B8F"/>
    <w:rsid w:val="00B56E2F"/>
    <w:rsid w:val="00B56E5F"/>
    <w:rsid w:val="00B56EF2"/>
    <w:rsid w:val="00B56F48"/>
    <w:rsid w:val="00B56F4E"/>
    <w:rsid w:val="00B56FBE"/>
    <w:rsid w:val="00B570F8"/>
    <w:rsid w:val="00B572D1"/>
    <w:rsid w:val="00B572DC"/>
    <w:rsid w:val="00B5738A"/>
    <w:rsid w:val="00B57445"/>
    <w:rsid w:val="00B57555"/>
    <w:rsid w:val="00B57662"/>
    <w:rsid w:val="00B576B1"/>
    <w:rsid w:val="00B5781C"/>
    <w:rsid w:val="00B57A2B"/>
    <w:rsid w:val="00B57A52"/>
    <w:rsid w:val="00B57A89"/>
    <w:rsid w:val="00B57AE8"/>
    <w:rsid w:val="00B57B8F"/>
    <w:rsid w:val="00B57B9D"/>
    <w:rsid w:val="00B57E9B"/>
    <w:rsid w:val="00B57F0B"/>
    <w:rsid w:val="00B57F35"/>
    <w:rsid w:val="00B6002A"/>
    <w:rsid w:val="00B60113"/>
    <w:rsid w:val="00B601A7"/>
    <w:rsid w:val="00B607BD"/>
    <w:rsid w:val="00B6089F"/>
    <w:rsid w:val="00B608BA"/>
    <w:rsid w:val="00B60A50"/>
    <w:rsid w:val="00B60B51"/>
    <w:rsid w:val="00B60D1F"/>
    <w:rsid w:val="00B61007"/>
    <w:rsid w:val="00B610CF"/>
    <w:rsid w:val="00B61344"/>
    <w:rsid w:val="00B61683"/>
    <w:rsid w:val="00B61687"/>
    <w:rsid w:val="00B61722"/>
    <w:rsid w:val="00B61935"/>
    <w:rsid w:val="00B61D55"/>
    <w:rsid w:val="00B61EA3"/>
    <w:rsid w:val="00B61FF2"/>
    <w:rsid w:val="00B620BB"/>
    <w:rsid w:val="00B620F3"/>
    <w:rsid w:val="00B6217A"/>
    <w:rsid w:val="00B62460"/>
    <w:rsid w:val="00B6267C"/>
    <w:rsid w:val="00B6269C"/>
    <w:rsid w:val="00B62788"/>
    <w:rsid w:val="00B627C6"/>
    <w:rsid w:val="00B627F5"/>
    <w:rsid w:val="00B628B9"/>
    <w:rsid w:val="00B628EF"/>
    <w:rsid w:val="00B6290E"/>
    <w:rsid w:val="00B629B2"/>
    <w:rsid w:val="00B629C0"/>
    <w:rsid w:val="00B629CC"/>
    <w:rsid w:val="00B629DD"/>
    <w:rsid w:val="00B62A23"/>
    <w:rsid w:val="00B62B57"/>
    <w:rsid w:val="00B62D42"/>
    <w:rsid w:val="00B62DAD"/>
    <w:rsid w:val="00B62DE2"/>
    <w:rsid w:val="00B62EC9"/>
    <w:rsid w:val="00B630BD"/>
    <w:rsid w:val="00B631E5"/>
    <w:rsid w:val="00B632A4"/>
    <w:rsid w:val="00B632D0"/>
    <w:rsid w:val="00B63319"/>
    <w:rsid w:val="00B63333"/>
    <w:rsid w:val="00B63357"/>
    <w:rsid w:val="00B636DB"/>
    <w:rsid w:val="00B636E8"/>
    <w:rsid w:val="00B6371F"/>
    <w:rsid w:val="00B6385C"/>
    <w:rsid w:val="00B638BF"/>
    <w:rsid w:val="00B638D4"/>
    <w:rsid w:val="00B639DD"/>
    <w:rsid w:val="00B63A82"/>
    <w:rsid w:val="00B63B13"/>
    <w:rsid w:val="00B63C22"/>
    <w:rsid w:val="00B63D2C"/>
    <w:rsid w:val="00B63D73"/>
    <w:rsid w:val="00B63D80"/>
    <w:rsid w:val="00B63D8F"/>
    <w:rsid w:val="00B63E50"/>
    <w:rsid w:val="00B63ECA"/>
    <w:rsid w:val="00B63EE8"/>
    <w:rsid w:val="00B6402D"/>
    <w:rsid w:val="00B6417C"/>
    <w:rsid w:val="00B64215"/>
    <w:rsid w:val="00B6423D"/>
    <w:rsid w:val="00B6426A"/>
    <w:rsid w:val="00B643CB"/>
    <w:rsid w:val="00B64458"/>
    <w:rsid w:val="00B64616"/>
    <w:rsid w:val="00B6489B"/>
    <w:rsid w:val="00B6498A"/>
    <w:rsid w:val="00B64A20"/>
    <w:rsid w:val="00B64AE6"/>
    <w:rsid w:val="00B64BC9"/>
    <w:rsid w:val="00B64E14"/>
    <w:rsid w:val="00B64EFB"/>
    <w:rsid w:val="00B64F52"/>
    <w:rsid w:val="00B64FFB"/>
    <w:rsid w:val="00B651DC"/>
    <w:rsid w:val="00B653CD"/>
    <w:rsid w:val="00B65400"/>
    <w:rsid w:val="00B65557"/>
    <w:rsid w:val="00B65608"/>
    <w:rsid w:val="00B6565B"/>
    <w:rsid w:val="00B65661"/>
    <w:rsid w:val="00B656ED"/>
    <w:rsid w:val="00B657EE"/>
    <w:rsid w:val="00B65A05"/>
    <w:rsid w:val="00B65A53"/>
    <w:rsid w:val="00B65B41"/>
    <w:rsid w:val="00B65B69"/>
    <w:rsid w:val="00B65CCA"/>
    <w:rsid w:val="00B65DA7"/>
    <w:rsid w:val="00B65F50"/>
    <w:rsid w:val="00B66059"/>
    <w:rsid w:val="00B6633A"/>
    <w:rsid w:val="00B66462"/>
    <w:rsid w:val="00B664E7"/>
    <w:rsid w:val="00B666A2"/>
    <w:rsid w:val="00B66774"/>
    <w:rsid w:val="00B668FC"/>
    <w:rsid w:val="00B6696C"/>
    <w:rsid w:val="00B66A46"/>
    <w:rsid w:val="00B66A70"/>
    <w:rsid w:val="00B66A84"/>
    <w:rsid w:val="00B66A86"/>
    <w:rsid w:val="00B66AC9"/>
    <w:rsid w:val="00B66B0B"/>
    <w:rsid w:val="00B66B8E"/>
    <w:rsid w:val="00B66B97"/>
    <w:rsid w:val="00B66DF1"/>
    <w:rsid w:val="00B67171"/>
    <w:rsid w:val="00B673DD"/>
    <w:rsid w:val="00B6745B"/>
    <w:rsid w:val="00B674CB"/>
    <w:rsid w:val="00B67548"/>
    <w:rsid w:val="00B67553"/>
    <w:rsid w:val="00B6760A"/>
    <w:rsid w:val="00B6771F"/>
    <w:rsid w:val="00B67823"/>
    <w:rsid w:val="00B67854"/>
    <w:rsid w:val="00B67887"/>
    <w:rsid w:val="00B67A2A"/>
    <w:rsid w:val="00B67AD2"/>
    <w:rsid w:val="00B67AD5"/>
    <w:rsid w:val="00B67B6A"/>
    <w:rsid w:val="00B67BFF"/>
    <w:rsid w:val="00B67CDD"/>
    <w:rsid w:val="00B67D2C"/>
    <w:rsid w:val="00B67FF3"/>
    <w:rsid w:val="00B70130"/>
    <w:rsid w:val="00B701EF"/>
    <w:rsid w:val="00B70231"/>
    <w:rsid w:val="00B70406"/>
    <w:rsid w:val="00B7043B"/>
    <w:rsid w:val="00B70461"/>
    <w:rsid w:val="00B704B2"/>
    <w:rsid w:val="00B70591"/>
    <w:rsid w:val="00B70708"/>
    <w:rsid w:val="00B70782"/>
    <w:rsid w:val="00B709F7"/>
    <w:rsid w:val="00B70A1C"/>
    <w:rsid w:val="00B70B7C"/>
    <w:rsid w:val="00B70BA7"/>
    <w:rsid w:val="00B70CF0"/>
    <w:rsid w:val="00B70D25"/>
    <w:rsid w:val="00B70D64"/>
    <w:rsid w:val="00B70E1C"/>
    <w:rsid w:val="00B70E8F"/>
    <w:rsid w:val="00B70FD3"/>
    <w:rsid w:val="00B71079"/>
    <w:rsid w:val="00B71172"/>
    <w:rsid w:val="00B71274"/>
    <w:rsid w:val="00B7142C"/>
    <w:rsid w:val="00B7149F"/>
    <w:rsid w:val="00B71578"/>
    <w:rsid w:val="00B71645"/>
    <w:rsid w:val="00B71736"/>
    <w:rsid w:val="00B7174F"/>
    <w:rsid w:val="00B717B1"/>
    <w:rsid w:val="00B718AE"/>
    <w:rsid w:val="00B71989"/>
    <w:rsid w:val="00B719BA"/>
    <w:rsid w:val="00B719ED"/>
    <w:rsid w:val="00B71AB4"/>
    <w:rsid w:val="00B71C3F"/>
    <w:rsid w:val="00B71D2B"/>
    <w:rsid w:val="00B71DBF"/>
    <w:rsid w:val="00B71DF0"/>
    <w:rsid w:val="00B71EEE"/>
    <w:rsid w:val="00B72075"/>
    <w:rsid w:val="00B720CE"/>
    <w:rsid w:val="00B720DD"/>
    <w:rsid w:val="00B72114"/>
    <w:rsid w:val="00B72418"/>
    <w:rsid w:val="00B7249C"/>
    <w:rsid w:val="00B7275C"/>
    <w:rsid w:val="00B727DC"/>
    <w:rsid w:val="00B7287F"/>
    <w:rsid w:val="00B72906"/>
    <w:rsid w:val="00B72947"/>
    <w:rsid w:val="00B72A00"/>
    <w:rsid w:val="00B72B23"/>
    <w:rsid w:val="00B72C89"/>
    <w:rsid w:val="00B72DBB"/>
    <w:rsid w:val="00B72EB1"/>
    <w:rsid w:val="00B73321"/>
    <w:rsid w:val="00B73507"/>
    <w:rsid w:val="00B735EC"/>
    <w:rsid w:val="00B736CD"/>
    <w:rsid w:val="00B736D0"/>
    <w:rsid w:val="00B73909"/>
    <w:rsid w:val="00B739A5"/>
    <w:rsid w:val="00B739BA"/>
    <w:rsid w:val="00B73A8D"/>
    <w:rsid w:val="00B73BED"/>
    <w:rsid w:val="00B73E1D"/>
    <w:rsid w:val="00B73E20"/>
    <w:rsid w:val="00B73E9F"/>
    <w:rsid w:val="00B73FF9"/>
    <w:rsid w:val="00B74012"/>
    <w:rsid w:val="00B7409C"/>
    <w:rsid w:val="00B740C7"/>
    <w:rsid w:val="00B7412E"/>
    <w:rsid w:val="00B74232"/>
    <w:rsid w:val="00B74280"/>
    <w:rsid w:val="00B743B6"/>
    <w:rsid w:val="00B7459D"/>
    <w:rsid w:val="00B74812"/>
    <w:rsid w:val="00B7492B"/>
    <w:rsid w:val="00B74A2B"/>
    <w:rsid w:val="00B75309"/>
    <w:rsid w:val="00B75474"/>
    <w:rsid w:val="00B754B0"/>
    <w:rsid w:val="00B754E4"/>
    <w:rsid w:val="00B7550B"/>
    <w:rsid w:val="00B755C4"/>
    <w:rsid w:val="00B75932"/>
    <w:rsid w:val="00B75976"/>
    <w:rsid w:val="00B759E3"/>
    <w:rsid w:val="00B75A68"/>
    <w:rsid w:val="00B75B2F"/>
    <w:rsid w:val="00B75CE7"/>
    <w:rsid w:val="00B75D5D"/>
    <w:rsid w:val="00B75D7E"/>
    <w:rsid w:val="00B76064"/>
    <w:rsid w:val="00B761AB"/>
    <w:rsid w:val="00B7622E"/>
    <w:rsid w:val="00B763CC"/>
    <w:rsid w:val="00B76432"/>
    <w:rsid w:val="00B764F6"/>
    <w:rsid w:val="00B7654F"/>
    <w:rsid w:val="00B76609"/>
    <w:rsid w:val="00B766B7"/>
    <w:rsid w:val="00B767BD"/>
    <w:rsid w:val="00B768B6"/>
    <w:rsid w:val="00B76D13"/>
    <w:rsid w:val="00B76F77"/>
    <w:rsid w:val="00B76FBB"/>
    <w:rsid w:val="00B77062"/>
    <w:rsid w:val="00B770CF"/>
    <w:rsid w:val="00B772DD"/>
    <w:rsid w:val="00B7734D"/>
    <w:rsid w:val="00B7742A"/>
    <w:rsid w:val="00B77595"/>
    <w:rsid w:val="00B7764C"/>
    <w:rsid w:val="00B77660"/>
    <w:rsid w:val="00B77A0E"/>
    <w:rsid w:val="00B77A2D"/>
    <w:rsid w:val="00B77AAA"/>
    <w:rsid w:val="00B77C48"/>
    <w:rsid w:val="00B77C92"/>
    <w:rsid w:val="00B77CDE"/>
    <w:rsid w:val="00B77DE9"/>
    <w:rsid w:val="00B77F03"/>
    <w:rsid w:val="00B77F6B"/>
    <w:rsid w:val="00B80093"/>
    <w:rsid w:val="00B80283"/>
    <w:rsid w:val="00B8028E"/>
    <w:rsid w:val="00B802C8"/>
    <w:rsid w:val="00B80466"/>
    <w:rsid w:val="00B80572"/>
    <w:rsid w:val="00B80615"/>
    <w:rsid w:val="00B80663"/>
    <w:rsid w:val="00B806D4"/>
    <w:rsid w:val="00B80752"/>
    <w:rsid w:val="00B8083D"/>
    <w:rsid w:val="00B8096F"/>
    <w:rsid w:val="00B80978"/>
    <w:rsid w:val="00B809BD"/>
    <w:rsid w:val="00B80A11"/>
    <w:rsid w:val="00B80A46"/>
    <w:rsid w:val="00B80A9B"/>
    <w:rsid w:val="00B80D5B"/>
    <w:rsid w:val="00B80D7B"/>
    <w:rsid w:val="00B80DA3"/>
    <w:rsid w:val="00B80EA7"/>
    <w:rsid w:val="00B80F11"/>
    <w:rsid w:val="00B81118"/>
    <w:rsid w:val="00B81207"/>
    <w:rsid w:val="00B8123D"/>
    <w:rsid w:val="00B8134B"/>
    <w:rsid w:val="00B81385"/>
    <w:rsid w:val="00B81424"/>
    <w:rsid w:val="00B81479"/>
    <w:rsid w:val="00B814A5"/>
    <w:rsid w:val="00B814E1"/>
    <w:rsid w:val="00B815D8"/>
    <w:rsid w:val="00B81645"/>
    <w:rsid w:val="00B8164D"/>
    <w:rsid w:val="00B816B1"/>
    <w:rsid w:val="00B816C8"/>
    <w:rsid w:val="00B81772"/>
    <w:rsid w:val="00B81915"/>
    <w:rsid w:val="00B81932"/>
    <w:rsid w:val="00B819F8"/>
    <w:rsid w:val="00B81A1C"/>
    <w:rsid w:val="00B81D21"/>
    <w:rsid w:val="00B81D95"/>
    <w:rsid w:val="00B81ED4"/>
    <w:rsid w:val="00B81F0A"/>
    <w:rsid w:val="00B81F6A"/>
    <w:rsid w:val="00B8209A"/>
    <w:rsid w:val="00B8218F"/>
    <w:rsid w:val="00B82274"/>
    <w:rsid w:val="00B82294"/>
    <w:rsid w:val="00B82297"/>
    <w:rsid w:val="00B8231E"/>
    <w:rsid w:val="00B82689"/>
    <w:rsid w:val="00B8276B"/>
    <w:rsid w:val="00B82803"/>
    <w:rsid w:val="00B8283A"/>
    <w:rsid w:val="00B82BA1"/>
    <w:rsid w:val="00B82D24"/>
    <w:rsid w:val="00B82D7A"/>
    <w:rsid w:val="00B82DC7"/>
    <w:rsid w:val="00B82E7E"/>
    <w:rsid w:val="00B82FCC"/>
    <w:rsid w:val="00B8300D"/>
    <w:rsid w:val="00B83377"/>
    <w:rsid w:val="00B83551"/>
    <w:rsid w:val="00B83589"/>
    <w:rsid w:val="00B8359E"/>
    <w:rsid w:val="00B835F3"/>
    <w:rsid w:val="00B835FE"/>
    <w:rsid w:val="00B8366D"/>
    <w:rsid w:val="00B836BE"/>
    <w:rsid w:val="00B836DB"/>
    <w:rsid w:val="00B83703"/>
    <w:rsid w:val="00B83739"/>
    <w:rsid w:val="00B83782"/>
    <w:rsid w:val="00B837BF"/>
    <w:rsid w:val="00B83880"/>
    <w:rsid w:val="00B838D3"/>
    <w:rsid w:val="00B838D6"/>
    <w:rsid w:val="00B83921"/>
    <w:rsid w:val="00B83972"/>
    <w:rsid w:val="00B83A36"/>
    <w:rsid w:val="00B83C58"/>
    <w:rsid w:val="00B83FB5"/>
    <w:rsid w:val="00B8405F"/>
    <w:rsid w:val="00B8408E"/>
    <w:rsid w:val="00B840EB"/>
    <w:rsid w:val="00B8430B"/>
    <w:rsid w:val="00B843C8"/>
    <w:rsid w:val="00B8450F"/>
    <w:rsid w:val="00B845A1"/>
    <w:rsid w:val="00B845CC"/>
    <w:rsid w:val="00B8472A"/>
    <w:rsid w:val="00B84746"/>
    <w:rsid w:val="00B8475B"/>
    <w:rsid w:val="00B8478F"/>
    <w:rsid w:val="00B848E4"/>
    <w:rsid w:val="00B84A28"/>
    <w:rsid w:val="00B84A42"/>
    <w:rsid w:val="00B84A53"/>
    <w:rsid w:val="00B84B1A"/>
    <w:rsid w:val="00B84CBE"/>
    <w:rsid w:val="00B84DD1"/>
    <w:rsid w:val="00B84E96"/>
    <w:rsid w:val="00B850AE"/>
    <w:rsid w:val="00B8512C"/>
    <w:rsid w:val="00B85288"/>
    <w:rsid w:val="00B85289"/>
    <w:rsid w:val="00B853E8"/>
    <w:rsid w:val="00B8556E"/>
    <w:rsid w:val="00B8565B"/>
    <w:rsid w:val="00B85663"/>
    <w:rsid w:val="00B85667"/>
    <w:rsid w:val="00B8576B"/>
    <w:rsid w:val="00B8576C"/>
    <w:rsid w:val="00B8582D"/>
    <w:rsid w:val="00B858DE"/>
    <w:rsid w:val="00B8592F"/>
    <w:rsid w:val="00B85995"/>
    <w:rsid w:val="00B85AB7"/>
    <w:rsid w:val="00B85CBC"/>
    <w:rsid w:val="00B85CFD"/>
    <w:rsid w:val="00B85E3C"/>
    <w:rsid w:val="00B85E47"/>
    <w:rsid w:val="00B85EA1"/>
    <w:rsid w:val="00B85EAD"/>
    <w:rsid w:val="00B85FB4"/>
    <w:rsid w:val="00B85FB6"/>
    <w:rsid w:val="00B861AF"/>
    <w:rsid w:val="00B861B2"/>
    <w:rsid w:val="00B8622B"/>
    <w:rsid w:val="00B86332"/>
    <w:rsid w:val="00B86734"/>
    <w:rsid w:val="00B867AA"/>
    <w:rsid w:val="00B867F3"/>
    <w:rsid w:val="00B86996"/>
    <w:rsid w:val="00B86BFC"/>
    <w:rsid w:val="00B86CB3"/>
    <w:rsid w:val="00B86D18"/>
    <w:rsid w:val="00B8705F"/>
    <w:rsid w:val="00B87079"/>
    <w:rsid w:val="00B87194"/>
    <w:rsid w:val="00B871BE"/>
    <w:rsid w:val="00B873C9"/>
    <w:rsid w:val="00B87599"/>
    <w:rsid w:val="00B876AD"/>
    <w:rsid w:val="00B876C3"/>
    <w:rsid w:val="00B876DD"/>
    <w:rsid w:val="00B8771A"/>
    <w:rsid w:val="00B87759"/>
    <w:rsid w:val="00B877D9"/>
    <w:rsid w:val="00B87810"/>
    <w:rsid w:val="00B878B5"/>
    <w:rsid w:val="00B8790E"/>
    <w:rsid w:val="00B87B0F"/>
    <w:rsid w:val="00B87B8E"/>
    <w:rsid w:val="00B87E38"/>
    <w:rsid w:val="00B87F70"/>
    <w:rsid w:val="00B900B4"/>
    <w:rsid w:val="00B9011A"/>
    <w:rsid w:val="00B901A4"/>
    <w:rsid w:val="00B90299"/>
    <w:rsid w:val="00B9036C"/>
    <w:rsid w:val="00B9064B"/>
    <w:rsid w:val="00B90760"/>
    <w:rsid w:val="00B90776"/>
    <w:rsid w:val="00B90810"/>
    <w:rsid w:val="00B908ED"/>
    <w:rsid w:val="00B908FE"/>
    <w:rsid w:val="00B90912"/>
    <w:rsid w:val="00B90BB9"/>
    <w:rsid w:val="00B90CB0"/>
    <w:rsid w:val="00B90CCD"/>
    <w:rsid w:val="00B90CD6"/>
    <w:rsid w:val="00B90D8A"/>
    <w:rsid w:val="00B90DC3"/>
    <w:rsid w:val="00B90E2A"/>
    <w:rsid w:val="00B90E9B"/>
    <w:rsid w:val="00B9104A"/>
    <w:rsid w:val="00B9106D"/>
    <w:rsid w:val="00B91260"/>
    <w:rsid w:val="00B91333"/>
    <w:rsid w:val="00B914B4"/>
    <w:rsid w:val="00B91594"/>
    <w:rsid w:val="00B915EC"/>
    <w:rsid w:val="00B9172F"/>
    <w:rsid w:val="00B91905"/>
    <w:rsid w:val="00B91961"/>
    <w:rsid w:val="00B91B09"/>
    <w:rsid w:val="00B91B10"/>
    <w:rsid w:val="00B91B9E"/>
    <w:rsid w:val="00B91CF4"/>
    <w:rsid w:val="00B91DDE"/>
    <w:rsid w:val="00B91E0D"/>
    <w:rsid w:val="00B91F16"/>
    <w:rsid w:val="00B91F7E"/>
    <w:rsid w:val="00B91FA1"/>
    <w:rsid w:val="00B921BE"/>
    <w:rsid w:val="00B923C9"/>
    <w:rsid w:val="00B924AA"/>
    <w:rsid w:val="00B9259B"/>
    <w:rsid w:val="00B926A5"/>
    <w:rsid w:val="00B9275F"/>
    <w:rsid w:val="00B927B0"/>
    <w:rsid w:val="00B92850"/>
    <w:rsid w:val="00B928D2"/>
    <w:rsid w:val="00B92B50"/>
    <w:rsid w:val="00B92E77"/>
    <w:rsid w:val="00B92F08"/>
    <w:rsid w:val="00B92FAA"/>
    <w:rsid w:val="00B92FE9"/>
    <w:rsid w:val="00B93020"/>
    <w:rsid w:val="00B93280"/>
    <w:rsid w:val="00B93479"/>
    <w:rsid w:val="00B93485"/>
    <w:rsid w:val="00B93558"/>
    <w:rsid w:val="00B9359D"/>
    <w:rsid w:val="00B938F3"/>
    <w:rsid w:val="00B93B17"/>
    <w:rsid w:val="00B93BA1"/>
    <w:rsid w:val="00B93C2E"/>
    <w:rsid w:val="00B93C90"/>
    <w:rsid w:val="00B93CB1"/>
    <w:rsid w:val="00B93DB2"/>
    <w:rsid w:val="00B93E1F"/>
    <w:rsid w:val="00B93F25"/>
    <w:rsid w:val="00B93F89"/>
    <w:rsid w:val="00B94043"/>
    <w:rsid w:val="00B945F6"/>
    <w:rsid w:val="00B94744"/>
    <w:rsid w:val="00B949AC"/>
    <w:rsid w:val="00B94A86"/>
    <w:rsid w:val="00B94B90"/>
    <w:rsid w:val="00B94C9C"/>
    <w:rsid w:val="00B94D2E"/>
    <w:rsid w:val="00B94D36"/>
    <w:rsid w:val="00B94EEA"/>
    <w:rsid w:val="00B94F2A"/>
    <w:rsid w:val="00B94FDB"/>
    <w:rsid w:val="00B94FEA"/>
    <w:rsid w:val="00B955A5"/>
    <w:rsid w:val="00B955AE"/>
    <w:rsid w:val="00B9588C"/>
    <w:rsid w:val="00B95969"/>
    <w:rsid w:val="00B95B5B"/>
    <w:rsid w:val="00B95C6F"/>
    <w:rsid w:val="00B95CD3"/>
    <w:rsid w:val="00B95D88"/>
    <w:rsid w:val="00B95E0A"/>
    <w:rsid w:val="00B95E19"/>
    <w:rsid w:val="00B95F17"/>
    <w:rsid w:val="00B960E5"/>
    <w:rsid w:val="00B9612E"/>
    <w:rsid w:val="00B96140"/>
    <w:rsid w:val="00B9622A"/>
    <w:rsid w:val="00B9623D"/>
    <w:rsid w:val="00B9658A"/>
    <w:rsid w:val="00B965A1"/>
    <w:rsid w:val="00B966D5"/>
    <w:rsid w:val="00B967DE"/>
    <w:rsid w:val="00B96AAE"/>
    <w:rsid w:val="00B96AE0"/>
    <w:rsid w:val="00B96B33"/>
    <w:rsid w:val="00B96B4A"/>
    <w:rsid w:val="00B96D04"/>
    <w:rsid w:val="00B96DB0"/>
    <w:rsid w:val="00B96E0C"/>
    <w:rsid w:val="00B96EA0"/>
    <w:rsid w:val="00B97031"/>
    <w:rsid w:val="00B970D8"/>
    <w:rsid w:val="00B9712D"/>
    <w:rsid w:val="00B971D5"/>
    <w:rsid w:val="00B9722A"/>
    <w:rsid w:val="00B97262"/>
    <w:rsid w:val="00B972F1"/>
    <w:rsid w:val="00B9745F"/>
    <w:rsid w:val="00B9754D"/>
    <w:rsid w:val="00B975AB"/>
    <w:rsid w:val="00B9770A"/>
    <w:rsid w:val="00B97768"/>
    <w:rsid w:val="00B97799"/>
    <w:rsid w:val="00B97807"/>
    <w:rsid w:val="00B978DD"/>
    <w:rsid w:val="00B97AC6"/>
    <w:rsid w:val="00B97BA6"/>
    <w:rsid w:val="00B97BDB"/>
    <w:rsid w:val="00B97BFA"/>
    <w:rsid w:val="00B97C5A"/>
    <w:rsid w:val="00B97D88"/>
    <w:rsid w:val="00B97DF4"/>
    <w:rsid w:val="00B97E55"/>
    <w:rsid w:val="00B97EBC"/>
    <w:rsid w:val="00B97F3E"/>
    <w:rsid w:val="00B97F9C"/>
    <w:rsid w:val="00B9F308"/>
    <w:rsid w:val="00BA009B"/>
    <w:rsid w:val="00BA00CA"/>
    <w:rsid w:val="00BA01DA"/>
    <w:rsid w:val="00BA022C"/>
    <w:rsid w:val="00BA03A4"/>
    <w:rsid w:val="00BA03C8"/>
    <w:rsid w:val="00BA04C0"/>
    <w:rsid w:val="00BA0503"/>
    <w:rsid w:val="00BA0562"/>
    <w:rsid w:val="00BA05B1"/>
    <w:rsid w:val="00BA06CC"/>
    <w:rsid w:val="00BA085C"/>
    <w:rsid w:val="00BA0A20"/>
    <w:rsid w:val="00BA0B38"/>
    <w:rsid w:val="00BA0B42"/>
    <w:rsid w:val="00BA0BAF"/>
    <w:rsid w:val="00BA0BE3"/>
    <w:rsid w:val="00BA0C65"/>
    <w:rsid w:val="00BA0C6E"/>
    <w:rsid w:val="00BA0DBE"/>
    <w:rsid w:val="00BA107D"/>
    <w:rsid w:val="00BA1246"/>
    <w:rsid w:val="00BA12EE"/>
    <w:rsid w:val="00BA1378"/>
    <w:rsid w:val="00BA144B"/>
    <w:rsid w:val="00BA1463"/>
    <w:rsid w:val="00BA14AB"/>
    <w:rsid w:val="00BA1552"/>
    <w:rsid w:val="00BA164E"/>
    <w:rsid w:val="00BA16E0"/>
    <w:rsid w:val="00BA1829"/>
    <w:rsid w:val="00BA1947"/>
    <w:rsid w:val="00BA19C7"/>
    <w:rsid w:val="00BA1A31"/>
    <w:rsid w:val="00BA1A67"/>
    <w:rsid w:val="00BA1BD9"/>
    <w:rsid w:val="00BA1CF0"/>
    <w:rsid w:val="00BA1DE2"/>
    <w:rsid w:val="00BA1DE8"/>
    <w:rsid w:val="00BA1FA1"/>
    <w:rsid w:val="00BA1FEB"/>
    <w:rsid w:val="00BA21E4"/>
    <w:rsid w:val="00BA238D"/>
    <w:rsid w:val="00BA2446"/>
    <w:rsid w:val="00BA2471"/>
    <w:rsid w:val="00BA247B"/>
    <w:rsid w:val="00BA251E"/>
    <w:rsid w:val="00BA254D"/>
    <w:rsid w:val="00BA25F1"/>
    <w:rsid w:val="00BA266A"/>
    <w:rsid w:val="00BA2703"/>
    <w:rsid w:val="00BA2743"/>
    <w:rsid w:val="00BA28DD"/>
    <w:rsid w:val="00BA2C9A"/>
    <w:rsid w:val="00BA2DB9"/>
    <w:rsid w:val="00BA2DE6"/>
    <w:rsid w:val="00BA2E91"/>
    <w:rsid w:val="00BA2F40"/>
    <w:rsid w:val="00BA2F84"/>
    <w:rsid w:val="00BA3020"/>
    <w:rsid w:val="00BA31E1"/>
    <w:rsid w:val="00BA3279"/>
    <w:rsid w:val="00BA32AC"/>
    <w:rsid w:val="00BA32EF"/>
    <w:rsid w:val="00BA33C8"/>
    <w:rsid w:val="00BA33EA"/>
    <w:rsid w:val="00BA34B8"/>
    <w:rsid w:val="00BA34F6"/>
    <w:rsid w:val="00BA3610"/>
    <w:rsid w:val="00BA36A1"/>
    <w:rsid w:val="00BA36F2"/>
    <w:rsid w:val="00BA3776"/>
    <w:rsid w:val="00BA37B5"/>
    <w:rsid w:val="00BA3868"/>
    <w:rsid w:val="00BA3911"/>
    <w:rsid w:val="00BA3B21"/>
    <w:rsid w:val="00BA3B22"/>
    <w:rsid w:val="00BA3BA9"/>
    <w:rsid w:val="00BA3CD8"/>
    <w:rsid w:val="00BA3E7F"/>
    <w:rsid w:val="00BA3EE0"/>
    <w:rsid w:val="00BA3EE4"/>
    <w:rsid w:val="00BA3FB0"/>
    <w:rsid w:val="00BA3FF7"/>
    <w:rsid w:val="00BA413C"/>
    <w:rsid w:val="00BA42B2"/>
    <w:rsid w:val="00BA4327"/>
    <w:rsid w:val="00BA432E"/>
    <w:rsid w:val="00BA445C"/>
    <w:rsid w:val="00BA446A"/>
    <w:rsid w:val="00BA455E"/>
    <w:rsid w:val="00BA45FB"/>
    <w:rsid w:val="00BA465A"/>
    <w:rsid w:val="00BA469B"/>
    <w:rsid w:val="00BA4829"/>
    <w:rsid w:val="00BA48E6"/>
    <w:rsid w:val="00BA495D"/>
    <w:rsid w:val="00BA49B4"/>
    <w:rsid w:val="00BA4B94"/>
    <w:rsid w:val="00BA4B97"/>
    <w:rsid w:val="00BA4BB2"/>
    <w:rsid w:val="00BA4E06"/>
    <w:rsid w:val="00BA4EC3"/>
    <w:rsid w:val="00BA4FC8"/>
    <w:rsid w:val="00BA4FE0"/>
    <w:rsid w:val="00BA4FF2"/>
    <w:rsid w:val="00BA5071"/>
    <w:rsid w:val="00BA511C"/>
    <w:rsid w:val="00BA5126"/>
    <w:rsid w:val="00BA51A9"/>
    <w:rsid w:val="00BA51C8"/>
    <w:rsid w:val="00BA51EC"/>
    <w:rsid w:val="00BA524E"/>
    <w:rsid w:val="00BA5330"/>
    <w:rsid w:val="00BA53A0"/>
    <w:rsid w:val="00BA5457"/>
    <w:rsid w:val="00BA553E"/>
    <w:rsid w:val="00BA561B"/>
    <w:rsid w:val="00BA561D"/>
    <w:rsid w:val="00BA5720"/>
    <w:rsid w:val="00BA5758"/>
    <w:rsid w:val="00BA57A9"/>
    <w:rsid w:val="00BA586C"/>
    <w:rsid w:val="00BA5892"/>
    <w:rsid w:val="00BA58EA"/>
    <w:rsid w:val="00BA59D6"/>
    <w:rsid w:val="00BA5AEE"/>
    <w:rsid w:val="00BA5B22"/>
    <w:rsid w:val="00BA5EA8"/>
    <w:rsid w:val="00BA5EC0"/>
    <w:rsid w:val="00BA5F1B"/>
    <w:rsid w:val="00BA5F61"/>
    <w:rsid w:val="00BA60AF"/>
    <w:rsid w:val="00BA60B3"/>
    <w:rsid w:val="00BA6133"/>
    <w:rsid w:val="00BA618A"/>
    <w:rsid w:val="00BA6198"/>
    <w:rsid w:val="00BA6218"/>
    <w:rsid w:val="00BA6305"/>
    <w:rsid w:val="00BA63CD"/>
    <w:rsid w:val="00BA63F6"/>
    <w:rsid w:val="00BA6530"/>
    <w:rsid w:val="00BA65AA"/>
    <w:rsid w:val="00BA676B"/>
    <w:rsid w:val="00BA67E0"/>
    <w:rsid w:val="00BA6863"/>
    <w:rsid w:val="00BA695D"/>
    <w:rsid w:val="00BA6966"/>
    <w:rsid w:val="00BA6981"/>
    <w:rsid w:val="00BA69CD"/>
    <w:rsid w:val="00BA6A12"/>
    <w:rsid w:val="00BA6E33"/>
    <w:rsid w:val="00BA6ECC"/>
    <w:rsid w:val="00BA6ED6"/>
    <w:rsid w:val="00BA6ED8"/>
    <w:rsid w:val="00BA6EE1"/>
    <w:rsid w:val="00BA6F56"/>
    <w:rsid w:val="00BA6F6E"/>
    <w:rsid w:val="00BA6FBF"/>
    <w:rsid w:val="00BA72D7"/>
    <w:rsid w:val="00BA7388"/>
    <w:rsid w:val="00BA73A6"/>
    <w:rsid w:val="00BA73C9"/>
    <w:rsid w:val="00BA7448"/>
    <w:rsid w:val="00BA74E9"/>
    <w:rsid w:val="00BA750F"/>
    <w:rsid w:val="00BA76D4"/>
    <w:rsid w:val="00BA76FE"/>
    <w:rsid w:val="00BA779D"/>
    <w:rsid w:val="00BA7ACD"/>
    <w:rsid w:val="00BA7E12"/>
    <w:rsid w:val="00BA7E98"/>
    <w:rsid w:val="00BB005D"/>
    <w:rsid w:val="00BB00C7"/>
    <w:rsid w:val="00BB0137"/>
    <w:rsid w:val="00BB0159"/>
    <w:rsid w:val="00BB0452"/>
    <w:rsid w:val="00BB048A"/>
    <w:rsid w:val="00BB05AD"/>
    <w:rsid w:val="00BB066B"/>
    <w:rsid w:val="00BB073A"/>
    <w:rsid w:val="00BB0880"/>
    <w:rsid w:val="00BB0B7C"/>
    <w:rsid w:val="00BB0BA3"/>
    <w:rsid w:val="00BB0C37"/>
    <w:rsid w:val="00BB0C8F"/>
    <w:rsid w:val="00BB0C93"/>
    <w:rsid w:val="00BB0CBB"/>
    <w:rsid w:val="00BB0D0A"/>
    <w:rsid w:val="00BB0D87"/>
    <w:rsid w:val="00BB0DFA"/>
    <w:rsid w:val="00BB0E3F"/>
    <w:rsid w:val="00BB0EFC"/>
    <w:rsid w:val="00BB0F56"/>
    <w:rsid w:val="00BB1092"/>
    <w:rsid w:val="00BB1131"/>
    <w:rsid w:val="00BB1198"/>
    <w:rsid w:val="00BB11A0"/>
    <w:rsid w:val="00BB12BE"/>
    <w:rsid w:val="00BB16E7"/>
    <w:rsid w:val="00BB177A"/>
    <w:rsid w:val="00BB17AD"/>
    <w:rsid w:val="00BB196F"/>
    <w:rsid w:val="00BB1A7B"/>
    <w:rsid w:val="00BB1AA5"/>
    <w:rsid w:val="00BB1B11"/>
    <w:rsid w:val="00BB1B2F"/>
    <w:rsid w:val="00BB1C97"/>
    <w:rsid w:val="00BB1FCE"/>
    <w:rsid w:val="00BB222C"/>
    <w:rsid w:val="00BB2391"/>
    <w:rsid w:val="00BB23BD"/>
    <w:rsid w:val="00BB2445"/>
    <w:rsid w:val="00BB24E1"/>
    <w:rsid w:val="00BB250A"/>
    <w:rsid w:val="00BB2525"/>
    <w:rsid w:val="00BB25AD"/>
    <w:rsid w:val="00BB276B"/>
    <w:rsid w:val="00BB27AC"/>
    <w:rsid w:val="00BB288D"/>
    <w:rsid w:val="00BB28DB"/>
    <w:rsid w:val="00BB2985"/>
    <w:rsid w:val="00BB2A1A"/>
    <w:rsid w:val="00BB2AD8"/>
    <w:rsid w:val="00BB2B3F"/>
    <w:rsid w:val="00BB2C31"/>
    <w:rsid w:val="00BB2FB4"/>
    <w:rsid w:val="00BB3081"/>
    <w:rsid w:val="00BB309A"/>
    <w:rsid w:val="00BB30D5"/>
    <w:rsid w:val="00BB30FA"/>
    <w:rsid w:val="00BB3102"/>
    <w:rsid w:val="00BB3240"/>
    <w:rsid w:val="00BB3309"/>
    <w:rsid w:val="00BB339F"/>
    <w:rsid w:val="00BB3531"/>
    <w:rsid w:val="00BB3580"/>
    <w:rsid w:val="00BB3596"/>
    <w:rsid w:val="00BB37B3"/>
    <w:rsid w:val="00BB3830"/>
    <w:rsid w:val="00BB3846"/>
    <w:rsid w:val="00BB3932"/>
    <w:rsid w:val="00BB39BA"/>
    <w:rsid w:val="00BB3AAC"/>
    <w:rsid w:val="00BB3C96"/>
    <w:rsid w:val="00BB3E2B"/>
    <w:rsid w:val="00BB3E7A"/>
    <w:rsid w:val="00BB40A8"/>
    <w:rsid w:val="00BB4197"/>
    <w:rsid w:val="00BB41B1"/>
    <w:rsid w:val="00BB429B"/>
    <w:rsid w:val="00BB42A8"/>
    <w:rsid w:val="00BB43DC"/>
    <w:rsid w:val="00BB43E9"/>
    <w:rsid w:val="00BB44B9"/>
    <w:rsid w:val="00BB45F5"/>
    <w:rsid w:val="00BB46D0"/>
    <w:rsid w:val="00BB47B4"/>
    <w:rsid w:val="00BB4887"/>
    <w:rsid w:val="00BB48F5"/>
    <w:rsid w:val="00BB4C41"/>
    <w:rsid w:val="00BB4C81"/>
    <w:rsid w:val="00BB4C83"/>
    <w:rsid w:val="00BB4C86"/>
    <w:rsid w:val="00BB4E5D"/>
    <w:rsid w:val="00BB4E79"/>
    <w:rsid w:val="00BB4EED"/>
    <w:rsid w:val="00BB4FF8"/>
    <w:rsid w:val="00BB50BE"/>
    <w:rsid w:val="00BB5206"/>
    <w:rsid w:val="00BB5253"/>
    <w:rsid w:val="00BB535B"/>
    <w:rsid w:val="00BB53C1"/>
    <w:rsid w:val="00BB542A"/>
    <w:rsid w:val="00BB5475"/>
    <w:rsid w:val="00BB54F8"/>
    <w:rsid w:val="00BB564C"/>
    <w:rsid w:val="00BB5736"/>
    <w:rsid w:val="00BB5755"/>
    <w:rsid w:val="00BB58C9"/>
    <w:rsid w:val="00BB5AAF"/>
    <w:rsid w:val="00BB5AFB"/>
    <w:rsid w:val="00BB5B44"/>
    <w:rsid w:val="00BB5B59"/>
    <w:rsid w:val="00BB5B5B"/>
    <w:rsid w:val="00BB5B5E"/>
    <w:rsid w:val="00BB5CB6"/>
    <w:rsid w:val="00BB5CF1"/>
    <w:rsid w:val="00BB5FA1"/>
    <w:rsid w:val="00BB5FAF"/>
    <w:rsid w:val="00BB61AD"/>
    <w:rsid w:val="00BB62BC"/>
    <w:rsid w:val="00BB63E5"/>
    <w:rsid w:val="00BB648B"/>
    <w:rsid w:val="00BB6497"/>
    <w:rsid w:val="00BB66D6"/>
    <w:rsid w:val="00BB6775"/>
    <w:rsid w:val="00BB67F8"/>
    <w:rsid w:val="00BB68C7"/>
    <w:rsid w:val="00BB69A5"/>
    <w:rsid w:val="00BB6A37"/>
    <w:rsid w:val="00BB6B06"/>
    <w:rsid w:val="00BB6B43"/>
    <w:rsid w:val="00BB6BE7"/>
    <w:rsid w:val="00BB6C0F"/>
    <w:rsid w:val="00BB6E38"/>
    <w:rsid w:val="00BB6F50"/>
    <w:rsid w:val="00BB727C"/>
    <w:rsid w:val="00BB735D"/>
    <w:rsid w:val="00BB73D5"/>
    <w:rsid w:val="00BB74E2"/>
    <w:rsid w:val="00BB762F"/>
    <w:rsid w:val="00BB7664"/>
    <w:rsid w:val="00BB774B"/>
    <w:rsid w:val="00BB77A8"/>
    <w:rsid w:val="00BB77DC"/>
    <w:rsid w:val="00BB7835"/>
    <w:rsid w:val="00BB7882"/>
    <w:rsid w:val="00BB7987"/>
    <w:rsid w:val="00BB79CA"/>
    <w:rsid w:val="00BB7BD8"/>
    <w:rsid w:val="00BB7C2F"/>
    <w:rsid w:val="00BB7CAF"/>
    <w:rsid w:val="00BB7E79"/>
    <w:rsid w:val="00BB7F3A"/>
    <w:rsid w:val="00BC0016"/>
    <w:rsid w:val="00BC004F"/>
    <w:rsid w:val="00BC0194"/>
    <w:rsid w:val="00BC02DE"/>
    <w:rsid w:val="00BC03FC"/>
    <w:rsid w:val="00BC0546"/>
    <w:rsid w:val="00BC05D0"/>
    <w:rsid w:val="00BC0652"/>
    <w:rsid w:val="00BC068E"/>
    <w:rsid w:val="00BC06AB"/>
    <w:rsid w:val="00BC0738"/>
    <w:rsid w:val="00BC07FA"/>
    <w:rsid w:val="00BC0947"/>
    <w:rsid w:val="00BC0AC8"/>
    <w:rsid w:val="00BC0BB5"/>
    <w:rsid w:val="00BC0BF9"/>
    <w:rsid w:val="00BC0C62"/>
    <w:rsid w:val="00BC0CB4"/>
    <w:rsid w:val="00BC0DDE"/>
    <w:rsid w:val="00BC0E30"/>
    <w:rsid w:val="00BC11A5"/>
    <w:rsid w:val="00BC11B3"/>
    <w:rsid w:val="00BC13CD"/>
    <w:rsid w:val="00BC14EF"/>
    <w:rsid w:val="00BC1502"/>
    <w:rsid w:val="00BC1763"/>
    <w:rsid w:val="00BC1819"/>
    <w:rsid w:val="00BC1852"/>
    <w:rsid w:val="00BC188C"/>
    <w:rsid w:val="00BC189B"/>
    <w:rsid w:val="00BC1A2A"/>
    <w:rsid w:val="00BC1A4F"/>
    <w:rsid w:val="00BC1B86"/>
    <w:rsid w:val="00BC1CDD"/>
    <w:rsid w:val="00BC1D4D"/>
    <w:rsid w:val="00BC1E5E"/>
    <w:rsid w:val="00BC204F"/>
    <w:rsid w:val="00BC20E4"/>
    <w:rsid w:val="00BC211E"/>
    <w:rsid w:val="00BC22A2"/>
    <w:rsid w:val="00BC236A"/>
    <w:rsid w:val="00BC248B"/>
    <w:rsid w:val="00BC24E0"/>
    <w:rsid w:val="00BC255B"/>
    <w:rsid w:val="00BC2561"/>
    <w:rsid w:val="00BC25FA"/>
    <w:rsid w:val="00BC26CB"/>
    <w:rsid w:val="00BC2717"/>
    <w:rsid w:val="00BC271D"/>
    <w:rsid w:val="00BC271F"/>
    <w:rsid w:val="00BC27C5"/>
    <w:rsid w:val="00BC27E3"/>
    <w:rsid w:val="00BC282C"/>
    <w:rsid w:val="00BC29B8"/>
    <w:rsid w:val="00BC2BD1"/>
    <w:rsid w:val="00BC2C8D"/>
    <w:rsid w:val="00BC2CD0"/>
    <w:rsid w:val="00BC2D25"/>
    <w:rsid w:val="00BC2DD6"/>
    <w:rsid w:val="00BC300F"/>
    <w:rsid w:val="00BC3053"/>
    <w:rsid w:val="00BC30A1"/>
    <w:rsid w:val="00BC32DD"/>
    <w:rsid w:val="00BC3379"/>
    <w:rsid w:val="00BC35CE"/>
    <w:rsid w:val="00BC3627"/>
    <w:rsid w:val="00BC380A"/>
    <w:rsid w:val="00BC38DC"/>
    <w:rsid w:val="00BC38E6"/>
    <w:rsid w:val="00BC392C"/>
    <w:rsid w:val="00BC39F2"/>
    <w:rsid w:val="00BC3B32"/>
    <w:rsid w:val="00BC3D32"/>
    <w:rsid w:val="00BC3DDE"/>
    <w:rsid w:val="00BC3E3F"/>
    <w:rsid w:val="00BC3F78"/>
    <w:rsid w:val="00BC4016"/>
    <w:rsid w:val="00BC421B"/>
    <w:rsid w:val="00BC43A0"/>
    <w:rsid w:val="00BC4446"/>
    <w:rsid w:val="00BC4503"/>
    <w:rsid w:val="00BC450E"/>
    <w:rsid w:val="00BC4697"/>
    <w:rsid w:val="00BC46F2"/>
    <w:rsid w:val="00BC4757"/>
    <w:rsid w:val="00BC48BD"/>
    <w:rsid w:val="00BC4982"/>
    <w:rsid w:val="00BC49B3"/>
    <w:rsid w:val="00BC49D3"/>
    <w:rsid w:val="00BC4B6E"/>
    <w:rsid w:val="00BC4B7E"/>
    <w:rsid w:val="00BC4BFB"/>
    <w:rsid w:val="00BC4C5B"/>
    <w:rsid w:val="00BC4C7D"/>
    <w:rsid w:val="00BC4D35"/>
    <w:rsid w:val="00BC4DFF"/>
    <w:rsid w:val="00BC4EE2"/>
    <w:rsid w:val="00BC4EF8"/>
    <w:rsid w:val="00BC50A0"/>
    <w:rsid w:val="00BC50FB"/>
    <w:rsid w:val="00BC5200"/>
    <w:rsid w:val="00BC5268"/>
    <w:rsid w:val="00BC547C"/>
    <w:rsid w:val="00BC55A7"/>
    <w:rsid w:val="00BC56E1"/>
    <w:rsid w:val="00BC56FF"/>
    <w:rsid w:val="00BC5721"/>
    <w:rsid w:val="00BC575F"/>
    <w:rsid w:val="00BC586F"/>
    <w:rsid w:val="00BC59D0"/>
    <w:rsid w:val="00BC5C1F"/>
    <w:rsid w:val="00BC5C80"/>
    <w:rsid w:val="00BC5CD6"/>
    <w:rsid w:val="00BC5D0B"/>
    <w:rsid w:val="00BC5D83"/>
    <w:rsid w:val="00BC5DA5"/>
    <w:rsid w:val="00BC5DB0"/>
    <w:rsid w:val="00BC5DF2"/>
    <w:rsid w:val="00BC5E55"/>
    <w:rsid w:val="00BC5FA6"/>
    <w:rsid w:val="00BC5FAB"/>
    <w:rsid w:val="00BC5FC1"/>
    <w:rsid w:val="00BC60BA"/>
    <w:rsid w:val="00BC60BC"/>
    <w:rsid w:val="00BC6290"/>
    <w:rsid w:val="00BC62EB"/>
    <w:rsid w:val="00BC6558"/>
    <w:rsid w:val="00BC66B0"/>
    <w:rsid w:val="00BC66B6"/>
    <w:rsid w:val="00BC69DB"/>
    <w:rsid w:val="00BC6A51"/>
    <w:rsid w:val="00BC6A76"/>
    <w:rsid w:val="00BC6AA5"/>
    <w:rsid w:val="00BC6B2C"/>
    <w:rsid w:val="00BC6B6B"/>
    <w:rsid w:val="00BC6DB2"/>
    <w:rsid w:val="00BC7088"/>
    <w:rsid w:val="00BC71D8"/>
    <w:rsid w:val="00BC7294"/>
    <w:rsid w:val="00BC72BD"/>
    <w:rsid w:val="00BC733B"/>
    <w:rsid w:val="00BC738E"/>
    <w:rsid w:val="00BC7439"/>
    <w:rsid w:val="00BC7561"/>
    <w:rsid w:val="00BC757F"/>
    <w:rsid w:val="00BC7799"/>
    <w:rsid w:val="00BC7949"/>
    <w:rsid w:val="00BC7951"/>
    <w:rsid w:val="00BC7ADB"/>
    <w:rsid w:val="00BD00FC"/>
    <w:rsid w:val="00BD011B"/>
    <w:rsid w:val="00BD0129"/>
    <w:rsid w:val="00BD0374"/>
    <w:rsid w:val="00BD03E7"/>
    <w:rsid w:val="00BD0498"/>
    <w:rsid w:val="00BD05F2"/>
    <w:rsid w:val="00BD06EB"/>
    <w:rsid w:val="00BD08F3"/>
    <w:rsid w:val="00BD094F"/>
    <w:rsid w:val="00BD0952"/>
    <w:rsid w:val="00BD0A2A"/>
    <w:rsid w:val="00BD0B69"/>
    <w:rsid w:val="00BD0B94"/>
    <w:rsid w:val="00BD0D46"/>
    <w:rsid w:val="00BD0D49"/>
    <w:rsid w:val="00BD0EEE"/>
    <w:rsid w:val="00BD1007"/>
    <w:rsid w:val="00BD1038"/>
    <w:rsid w:val="00BD10D9"/>
    <w:rsid w:val="00BD10DE"/>
    <w:rsid w:val="00BD12BB"/>
    <w:rsid w:val="00BD1303"/>
    <w:rsid w:val="00BD1390"/>
    <w:rsid w:val="00BD13C8"/>
    <w:rsid w:val="00BD13CA"/>
    <w:rsid w:val="00BD14D5"/>
    <w:rsid w:val="00BD1547"/>
    <w:rsid w:val="00BD1646"/>
    <w:rsid w:val="00BD164E"/>
    <w:rsid w:val="00BD16B4"/>
    <w:rsid w:val="00BD16F7"/>
    <w:rsid w:val="00BD176D"/>
    <w:rsid w:val="00BD1791"/>
    <w:rsid w:val="00BD1984"/>
    <w:rsid w:val="00BD1B3E"/>
    <w:rsid w:val="00BD1BE6"/>
    <w:rsid w:val="00BD1D67"/>
    <w:rsid w:val="00BD1DF1"/>
    <w:rsid w:val="00BD1E22"/>
    <w:rsid w:val="00BD1E4A"/>
    <w:rsid w:val="00BD1EA4"/>
    <w:rsid w:val="00BD1FCD"/>
    <w:rsid w:val="00BD22A9"/>
    <w:rsid w:val="00BD243B"/>
    <w:rsid w:val="00BD246B"/>
    <w:rsid w:val="00BD264F"/>
    <w:rsid w:val="00BD26A1"/>
    <w:rsid w:val="00BD26D7"/>
    <w:rsid w:val="00BD272D"/>
    <w:rsid w:val="00BD2C9E"/>
    <w:rsid w:val="00BD2D81"/>
    <w:rsid w:val="00BD2DC5"/>
    <w:rsid w:val="00BD304D"/>
    <w:rsid w:val="00BD30E8"/>
    <w:rsid w:val="00BD3130"/>
    <w:rsid w:val="00BD3168"/>
    <w:rsid w:val="00BD3551"/>
    <w:rsid w:val="00BD357B"/>
    <w:rsid w:val="00BD3872"/>
    <w:rsid w:val="00BD3896"/>
    <w:rsid w:val="00BD38E2"/>
    <w:rsid w:val="00BD3910"/>
    <w:rsid w:val="00BD39B8"/>
    <w:rsid w:val="00BD3A5C"/>
    <w:rsid w:val="00BD3A87"/>
    <w:rsid w:val="00BD3AB7"/>
    <w:rsid w:val="00BD3BCB"/>
    <w:rsid w:val="00BD3C28"/>
    <w:rsid w:val="00BD3DEC"/>
    <w:rsid w:val="00BD3E2E"/>
    <w:rsid w:val="00BD3E5A"/>
    <w:rsid w:val="00BD3E5E"/>
    <w:rsid w:val="00BD3EC9"/>
    <w:rsid w:val="00BD3F15"/>
    <w:rsid w:val="00BD3F3C"/>
    <w:rsid w:val="00BD404C"/>
    <w:rsid w:val="00BD40C3"/>
    <w:rsid w:val="00BD425E"/>
    <w:rsid w:val="00BD436A"/>
    <w:rsid w:val="00BD44B1"/>
    <w:rsid w:val="00BD45C0"/>
    <w:rsid w:val="00BD47B1"/>
    <w:rsid w:val="00BD4862"/>
    <w:rsid w:val="00BD48DE"/>
    <w:rsid w:val="00BD49FA"/>
    <w:rsid w:val="00BD4A17"/>
    <w:rsid w:val="00BD4A3E"/>
    <w:rsid w:val="00BD4A41"/>
    <w:rsid w:val="00BD4AED"/>
    <w:rsid w:val="00BD4B0C"/>
    <w:rsid w:val="00BD4BF3"/>
    <w:rsid w:val="00BD4CE4"/>
    <w:rsid w:val="00BD4DD1"/>
    <w:rsid w:val="00BD4F2D"/>
    <w:rsid w:val="00BD5075"/>
    <w:rsid w:val="00BD50FE"/>
    <w:rsid w:val="00BD511B"/>
    <w:rsid w:val="00BD5230"/>
    <w:rsid w:val="00BD52A8"/>
    <w:rsid w:val="00BD534D"/>
    <w:rsid w:val="00BD54D5"/>
    <w:rsid w:val="00BD5503"/>
    <w:rsid w:val="00BD553C"/>
    <w:rsid w:val="00BD55D2"/>
    <w:rsid w:val="00BD55E3"/>
    <w:rsid w:val="00BD564F"/>
    <w:rsid w:val="00BD5673"/>
    <w:rsid w:val="00BD56E0"/>
    <w:rsid w:val="00BD5734"/>
    <w:rsid w:val="00BD58B6"/>
    <w:rsid w:val="00BD58D9"/>
    <w:rsid w:val="00BD5B9C"/>
    <w:rsid w:val="00BD5BB2"/>
    <w:rsid w:val="00BD5CAB"/>
    <w:rsid w:val="00BD5CB2"/>
    <w:rsid w:val="00BD5D0F"/>
    <w:rsid w:val="00BD600D"/>
    <w:rsid w:val="00BD604D"/>
    <w:rsid w:val="00BD61E7"/>
    <w:rsid w:val="00BD622B"/>
    <w:rsid w:val="00BD6354"/>
    <w:rsid w:val="00BD6421"/>
    <w:rsid w:val="00BD647B"/>
    <w:rsid w:val="00BD64F3"/>
    <w:rsid w:val="00BD677A"/>
    <w:rsid w:val="00BD680F"/>
    <w:rsid w:val="00BD697B"/>
    <w:rsid w:val="00BD6A32"/>
    <w:rsid w:val="00BD6DB3"/>
    <w:rsid w:val="00BD6F8B"/>
    <w:rsid w:val="00BD711B"/>
    <w:rsid w:val="00BD7256"/>
    <w:rsid w:val="00BD72C4"/>
    <w:rsid w:val="00BD7392"/>
    <w:rsid w:val="00BD73BC"/>
    <w:rsid w:val="00BD73F9"/>
    <w:rsid w:val="00BD759E"/>
    <w:rsid w:val="00BD7754"/>
    <w:rsid w:val="00BD778F"/>
    <w:rsid w:val="00BD77F6"/>
    <w:rsid w:val="00BD7816"/>
    <w:rsid w:val="00BD7974"/>
    <w:rsid w:val="00BD79BA"/>
    <w:rsid w:val="00BD79D3"/>
    <w:rsid w:val="00BD7B0C"/>
    <w:rsid w:val="00BD7B3A"/>
    <w:rsid w:val="00BD7C52"/>
    <w:rsid w:val="00BD7D4F"/>
    <w:rsid w:val="00BD7D8C"/>
    <w:rsid w:val="00BD7DC4"/>
    <w:rsid w:val="00BD7E22"/>
    <w:rsid w:val="00BD7ED0"/>
    <w:rsid w:val="00BD7F7B"/>
    <w:rsid w:val="00BE0016"/>
    <w:rsid w:val="00BE00BA"/>
    <w:rsid w:val="00BE0100"/>
    <w:rsid w:val="00BE01F8"/>
    <w:rsid w:val="00BE025B"/>
    <w:rsid w:val="00BE0439"/>
    <w:rsid w:val="00BE0519"/>
    <w:rsid w:val="00BE053F"/>
    <w:rsid w:val="00BE0845"/>
    <w:rsid w:val="00BE086A"/>
    <w:rsid w:val="00BE08C6"/>
    <w:rsid w:val="00BE0934"/>
    <w:rsid w:val="00BE0952"/>
    <w:rsid w:val="00BE0A54"/>
    <w:rsid w:val="00BE0BC2"/>
    <w:rsid w:val="00BE0CBF"/>
    <w:rsid w:val="00BE0D4F"/>
    <w:rsid w:val="00BE0D73"/>
    <w:rsid w:val="00BE0EEF"/>
    <w:rsid w:val="00BE0FEF"/>
    <w:rsid w:val="00BE1066"/>
    <w:rsid w:val="00BE110C"/>
    <w:rsid w:val="00BE1362"/>
    <w:rsid w:val="00BE14D3"/>
    <w:rsid w:val="00BE150E"/>
    <w:rsid w:val="00BE1560"/>
    <w:rsid w:val="00BE158E"/>
    <w:rsid w:val="00BE15B8"/>
    <w:rsid w:val="00BE15C5"/>
    <w:rsid w:val="00BE16B6"/>
    <w:rsid w:val="00BE1748"/>
    <w:rsid w:val="00BE17FC"/>
    <w:rsid w:val="00BE1ADA"/>
    <w:rsid w:val="00BE1AFC"/>
    <w:rsid w:val="00BE1B83"/>
    <w:rsid w:val="00BE1E75"/>
    <w:rsid w:val="00BE1EB4"/>
    <w:rsid w:val="00BE1F75"/>
    <w:rsid w:val="00BE2094"/>
    <w:rsid w:val="00BE20BD"/>
    <w:rsid w:val="00BE218E"/>
    <w:rsid w:val="00BE21E1"/>
    <w:rsid w:val="00BE2361"/>
    <w:rsid w:val="00BE23EF"/>
    <w:rsid w:val="00BE24A4"/>
    <w:rsid w:val="00BE24EA"/>
    <w:rsid w:val="00BE25D7"/>
    <w:rsid w:val="00BE26DC"/>
    <w:rsid w:val="00BE26F9"/>
    <w:rsid w:val="00BE283D"/>
    <w:rsid w:val="00BE2921"/>
    <w:rsid w:val="00BE2A35"/>
    <w:rsid w:val="00BE2BEE"/>
    <w:rsid w:val="00BE2E30"/>
    <w:rsid w:val="00BE3027"/>
    <w:rsid w:val="00BE30D5"/>
    <w:rsid w:val="00BE3102"/>
    <w:rsid w:val="00BE31D3"/>
    <w:rsid w:val="00BE31E1"/>
    <w:rsid w:val="00BE324B"/>
    <w:rsid w:val="00BE3361"/>
    <w:rsid w:val="00BE33E6"/>
    <w:rsid w:val="00BE3409"/>
    <w:rsid w:val="00BE340C"/>
    <w:rsid w:val="00BE341A"/>
    <w:rsid w:val="00BE355D"/>
    <w:rsid w:val="00BE3585"/>
    <w:rsid w:val="00BE35FE"/>
    <w:rsid w:val="00BE38C5"/>
    <w:rsid w:val="00BE3AD2"/>
    <w:rsid w:val="00BE3B3A"/>
    <w:rsid w:val="00BE3B3F"/>
    <w:rsid w:val="00BE3C17"/>
    <w:rsid w:val="00BE3C39"/>
    <w:rsid w:val="00BE3CAA"/>
    <w:rsid w:val="00BE4103"/>
    <w:rsid w:val="00BE4498"/>
    <w:rsid w:val="00BE454D"/>
    <w:rsid w:val="00BE45B6"/>
    <w:rsid w:val="00BE462F"/>
    <w:rsid w:val="00BE475F"/>
    <w:rsid w:val="00BE49BB"/>
    <w:rsid w:val="00BE49C7"/>
    <w:rsid w:val="00BE4A20"/>
    <w:rsid w:val="00BE4B9E"/>
    <w:rsid w:val="00BE4BA3"/>
    <w:rsid w:val="00BE4BE7"/>
    <w:rsid w:val="00BE4BFA"/>
    <w:rsid w:val="00BE4C59"/>
    <w:rsid w:val="00BE4C6C"/>
    <w:rsid w:val="00BE4DF7"/>
    <w:rsid w:val="00BE50CC"/>
    <w:rsid w:val="00BE510D"/>
    <w:rsid w:val="00BE532A"/>
    <w:rsid w:val="00BE5335"/>
    <w:rsid w:val="00BE53CE"/>
    <w:rsid w:val="00BE554B"/>
    <w:rsid w:val="00BE5673"/>
    <w:rsid w:val="00BE594C"/>
    <w:rsid w:val="00BE5ADE"/>
    <w:rsid w:val="00BE5C01"/>
    <w:rsid w:val="00BE5C1E"/>
    <w:rsid w:val="00BE5CF9"/>
    <w:rsid w:val="00BE5FBF"/>
    <w:rsid w:val="00BE605A"/>
    <w:rsid w:val="00BE626E"/>
    <w:rsid w:val="00BE6395"/>
    <w:rsid w:val="00BE63BB"/>
    <w:rsid w:val="00BE6474"/>
    <w:rsid w:val="00BE656B"/>
    <w:rsid w:val="00BE65A9"/>
    <w:rsid w:val="00BE664C"/>
    <w:rsid w:val="00BE6688"/>
    <w:rsid w:val="00BE6772"/>
    <w:rsid w:val="00BE6777"/>
    <w:rsid w:val="00BE67FF"/>
    <w:rsid w:val="00BE6982"/>
    <w:rsid w:val="00BE6A71"/>
    <w:rsid w:val="00BE6B18"/>
    <w:rsid w:val="00BE6E9A"/>
    <w:rsid w:val="00BE6EE5"/>
    <w:rsid w:val="00BE6F5C"/>
    <w:rsid w:val="00BE7154"/>
    <w:rsid w:val="00BE717C"/>
    <w:rsid w:val="00BE71F5"/>
    <w:rsid w:val="00BE7324"/>
    <w:rsid w:val="00BE753E"/>
    <w:rsid w:val="00BE7690"/>
    <w:rsid w:val="00BE76DA"/>
    <w:rsid w:val="00BE7817"/>
    <w:rsid w:val="00BE7867"/>
    <w:rsid w:val="00BE78A9"/>
    <w:rsid w:val="00BE791C"/>
    <w:rsid w:val="00BE79D3"/>
    <w:rsid w:val="00BE7B08"/>
    <w:rsid w:val="00BE7B93"/>
    <w:rsid w:val="00BE7BF0"/>
    <w:rsid w:val="00BE7E8B"/>
    <w:rsid w:val="00BE7F82"/>
    <w:rsid w:val="00BE7F93"/>
    <w:rsid w:val="00BF004B"/>
    <w:rsid w:val="00BF0068"/>
    <w:rsid w:val="00BF00A3"/>
    <w:rsid w:val="00BF0269"/>
    <w:rsid w:val="00BF0333"/>
    <w:rsid w:val="00BF034C"/>
    <w:rsid w:val="00BF04AF"/>
    <w:rsid w:val="00BF04B6"/>
    <w:rsid w:val="00BF051D"/>
    <w:rsid w:val="00BF0570"/>
    <w:rsid w:val="00BF05B4"/>
    <w:rsid w:val="00BF08DB"/>
    <w:rsid w:val="00BF0932"/>
    <w:rsid w:val="00BF0958"/>
    <w:rsid w:val="00BF09C6"/>
    <w:rsid w:val="00BF0A90"/>
    <w:rsid w:val="00BF0B38"/>
    <w:rsid w:val="00BF0DA0"/>
    <w:rsid w:val="00BF0DA2"/>
    <w:rsid w:val="00BF0E36"/>
    <w:rsid w:val="00BF0F20"/>
    <w:rsid w:val="00BF1101"/>
    <w:rsid w:val="00BF11AB"/>
    <w:rsid w:val="00BF1280"/>
    <w:rsid w:val="00BF1319"/>
    <w:rsid w:val="00BF13CA"/>
    <w:rsid w:val="00BF14E3"/>
    <w:rsid w:val="00BF1568"/>
    <w:rsid w:val="00BF1665"/>
    <w:rsid w:val="00BF1682"/>
    <w:rsid w:val="00BF16ED"/>
    <w:rsid w:val="00BF1AEC"/>
    <w:rsid w:val="00BF1D1E"/>
    <w:rsid w:val="00BF1D68"/>
    <w:rsid w:val="00BF1DD6"/>
    <w:rsid w:val="00BF1F76"/>
    <w:rsid w:val="00BF2352"/>
    <w:rsid w:val="00BF23E5"/>
    <w:rsid w:val="00BF27C3"/>
    <w:rsid w:val="00BF28B7"/>
    <w:rsid w:val="00BF2ABE"/>
    <w:rsid w:val="00BF2B45"/>
    <w:rsid w:val="00BF2BF2"/>
    <w:rsid w:val="00BF2D2C"/>
    <w:rsid w:val="00BF2F76"/>
    <w:rsid w:val="00BF30FC"/>
    <w:rsid w:val="00BF31E5"/>
    <w:rsid w:val="00BF3367"/>
    <w:rsid w:val="00BF33A6"/>
    <w:rsid w:val="00BF34A3"/>
    <w:rsid w:val="00BF367C"/>
    <w:rsid w:val="00BF373B"/>
    <w:rsid w:val="00BF3757"/>
    <w:rsid w:val="00BF379D"/>
    <w:rsid w:val="00BF389B"/>
    <w:rsid w:val="00BF3967"/>
    <w:rsid w:val="00BF3A44"/>
    <w:rsid w:val="00BF3AE3"/>
    <w:rsid w:val="00BF3CE7"/>
    <w:rsid w:val="00BF3D77"/>
    <w:rsid w:val="00BF3DFE"/>
    <w:rsid w:val="00BF3E72"/>
    <w:rsid w:val="00BF3E74"/>
    <w:rsid w:val="00BF3FA5"/>
    <w:rsid w:val="00BF4041"/>
    <w:rsid w:val="00BF4138"/>
    <w:rsid w:val="00BF413E"/>
    <w:rsid w:val="00BF4142"/>
    <w:rsid w:val="00BF427C"/>
    <w:rsid w:val="00BF4477"/>
    <w:rsid w:val="00BF4499"/>
    <w:rsid w:val="00BF44D6"/>
    <w:rsid w:val="00BF45B4"/>
    <w:rsid w:val="00BF47BF"/>
    <w:rsid w:val="00BF497C"/>
    <w:rsid w:val="00BF49CA"/>
    <w:rsid w:val="00BF4A32"/>
    <w:rsid w:val="00BF4A6E"/>
    <w:rsid w:val="00BF4B0A"/>
    <w:rsid w:val="00BF4BA0"/>
    <w:rsid w:val="00BF4C63"/>
    <w:rsid w:val="00BF4D29"/>
    <w:rsid w:val="00BF4F6D"/>
    <w:rsid w:val="00BF508D"/>
    <w:rsid w:val="00BF51A4"/>
    <w:rsid w:val="00BF51C8"/>
    <w:rsid w:val="00BF5439"/>
    <w:rsid w:val="00BF5450"/>
    <w:rsid w:val="00BF5623"/>
    <w:rsid w:val="00BF5753"/>
    <w:rsid w:val="00BF5A14"/>
    <w:rsid w:val="00BF5A39"/>
    <w:rsid w:val="00BF5D6B"/>
    <w:rsid w:val="00BF5D71"/>
    <w:rsid w:val="00BF5DEB"/>
    <w:rsid w:val="00BF5FB3"/>
    <w:rsid w:val="00BF5FE3"/>
    <w:rsid w:val="00BF6000"/>
    <w:rsid w:val="00BF6079"/>
    <w:rsid w:val="00BF60BF"/>
    <w:rsid w:val="00BF617B"/>
    <w:rsid w:val="00BF6478"/>
    <w:rsid w:val="00BF6480"/>
    <w:rsid w:val="00BF656E"/>
    <w:rsid w:val="00BF6586"/>
    <w:rsid w:val="00BF671D"/>
    <w:rsid w:val="00BF677D"/>
    <w:rsid w:val="00BF67DC"/>
    <w:rsid w:val="00BF684F"/>
    <w:rsid w:val="00BF6A8F"/>
    <w:rsid w:val="00BF6B14"/>
    <w:rsid w:val="00BF6B71"/>
    <w:rsid w:val="00BF6C9A"/>
    <w:rsid w:val="00BF6DC0"/>
    <w:rsid w:val="00BF6E7C"/>
    <w:rsid w:val="00BF6EB5"/>
    <w:rsid w:val="00BF6EFA"/>
    <w:rsid w:val="00BF6FC4"/>
    <w:rsid w:val="00BF7172"/>
    <w:rsid w:val="00BF7285"/>
    <w:rsid w:val="00BF7287"/>
    <w:rsid w:val="00BF7300"/>
    <w:rsid w:val="00BF74F9"/>
    <w:rsid w:val="00BF7526"/>
    <w:rsid w:val="00BF753B"/>
    <w:rsid w:val="00BF792C"/>
    <w:rsid w:val="00BF79CF"/>
    <w:rsid w:val="00BF7AFB"/>
    <w:rsid w:val="00BF7B0E"/>
    <w:rsid w:val="00BF7D40"/>
    <w:rsid w:val="00C00000"/>
    <w:rsid w:val="00C0005F"/>
    <w:rsid w:val="00C0020D"/>
    <w:rsid w:val="00C00388"/>
    <w:rsid w:val="00C003F4"/>
    <w:rsid w:val="00C00429"/>
    <w:rsid w:val="00C00434"/>
    <w:rsid w:val="00C0043D"/>
    <w:rsid w:val="00C0046B"/>
    <w:rsid w:val="00C00495"/>
    <w:rsid w:val="00C00508"/>
    <w:rsid w:val="00C00622"/>
    <w:rsid w:val="00C0062C"/>
    <w:rsid w:val="00C00686"/>
    <w:rsid w:val="00C006A7"/>
    <w:rsid w:val="00C00A13"/>
    <w:rsid w:val="00C00B29"/>
    <w:rsid w:val="00C00B3A"/>
    <w:rsid w:val="00C00B82"/>
    <w:rsid w:val="00C00BFF"/>
    <w:rsid w:val="00C00C64"/>
    <w:rsid w:val="00C00DA8"/>
    <w:rsid w:val="00C00EB8"/>
    <w:rsid w:val="00C010B2"/>
    <w:rsid w:val="00C011BB"/>
    <w:rsid w:val="00C01288"/>
    <w:rsid w:val="00C01643"/>
    <w:rsid w:val="00C01644"/>
    <w:rsid w:val="00C0166E"/>
    <w:rsid w:val="00C016FF"/>
    <w:rsid w:val="00C019AF"/>
    <w:rsid w:val="00C019DD"/>
    <w:rsid w:val="00C01A84"/>
    <w:rsid w:val="00C01AF5"/>
    <w:rsid w:val="00C01B91"/>
    <w:rsid w:val="00C01C0B"/>
    <w:rsid w:val="00C01C22"/>
    <w:rsid w:val="00C01CE5"/>
    <w:rsid w:val="00C01D1D"/>
    <w:rsid w:val="00C01D6D"/>
    <w:rsid w:val="00C01E25"/>
    <w:rsid w:val="00C01E3D"/>
    <w:rsid w:val="00C01E51"/>
    <w:rsid w:val="00C01FD5"/>
    <w:rsid w:val="00C020DE"/>
    <w:rsid w:val="00C020E9"/>
    <w:rsid w:val="00C0229F"/>
    <w:rsid w:val="00C022A4"/>
    <w:rsid w:val="00C02446"/>
    <w:rsid w:val="00C0244E"/>
    <w:rsid w:val="00C0247D"/>
    <w:rsid w:val="00C02584"/>
    <w:rsid w:val="00C02696"/>
    <w:rsid w:val="00C026E2"/>
    <w:rsid w:val="00C027E3"/>
    <w:rsid w:val="00C0283C"/>
    <w:rsid w:val="00C02860"/>
    <w:rsid w:val="00C02863"/>
    <w:rsid w:val="00C02A02"/>
    <w:rsid w:val="00C02A15"/>
    <w:rsid w:val="00C02A32"/>
    <w:rsid w:val="00C02AB1"/>
    <w:rsid w:val="00C02B44"/>
    <w:rsid w:val="00C02C2F"/>
    <w:rsid w:val="00C02CF3"/>
    <w:rsid w:val="00C02D6F"/>
    <w:rsid w:val="00C02F44"/>
    <w:rsid w:val="00C02F88"/>
    <w:rsid w:val="00C02FF4"/>
    <w:rsid w:val="00C03049"/>
    <w:rsid w:val="00C03144"/>
    <w:rsid w:val="00C03157"/>
    <w:rsid w:val="00C0330A"/>
    <w:rsid w:val="00C0335D"/>
    <w:rsid w:val="00C034D9"/>
    <w:rsid w:val="00C0361D"/>
    <w:rsid w:val="00C037EA"/>
    <w:rsid w:val="00C0388B"/>
    <w:rsid w:val="00C0396D"/>
    <w:rsid w:val="00C03973"/>
    <w:rsid w:val="00C03E4F"/>
    <w:rsid w:val="00C03EE1"/>
    <w:rsid w:val="00C03EF7"/>
    <w:rsid w:val="00C04348"/>
    <w:rsid w:val="00C04538"/>
    <w:rsid w:val="00C047B5"/>
    <w:rsid w:val="00C0498B"/>
    <w:rsid w:val="00C049AC"/>
    <w:rsid w:val="00C04A27"/>
    <w:rsid w:val="00C04E8F"/>
    <w:rsid w:val="00C04E9C"/>
    <w:rsid w:val="00C04EBB"/>
    <w:rsid w:val="00C04EE3"/>
    <w:rsid w:val="00C04F40"/>
    <w:rsid w:val="00C05016"/>
    <w:rsid w:val="00C052C3"/>
    <w:rsid w:val="00C05436"/>
    <w:rsid w:val="00C054B3"/>
    <w:rsid w:val="00C055B4"/>
    <w:rsid w:val="00C055D9"/>
    <w:rsid w:val="00C057D3"/>
    <w:rsid w:val="00C05824"/>
    <w:rsid w:val="00C0591F"/>
    <w:rsid w:val="00C05BB6"/>
    <w:rsid w:val="00C05CC4"/>
    <w:rsid w:val="00C05DBA"/>
    <w:rsid w:val="00C05DE8"/>
    <w:rsid w:val="00C05E73"/>
    <w:rsid w:val="00C0604A"/>
    <w:rsid w:val="00C06063"/>
    <w:rsid w:val="00C06077"/>
    <w:rsid w:val="00C06167"/>
    <w:rsid w:val="00C062E3"/>
    <w:rsid w:val="00C0636D"/>
    <w:rsid w:val="00C063A3"/>
    <w:rsid w:val="00C063BF"/>
    <w:rsid w:val="00C063CB"/>
    <w:rsid w:val="00C06640"/>
    <w:rsid w:val="00C0677A"/>
    <w:rsid w:val="00C067AC"/>
    <w:rsid w:val="00C06858"/>
    <w:rsid w:val="00C06918"/>
    <w:rsid w:val="00C06929"/>
    <w:rsid w:val="00C0692C"/>
    <w:rsid w:val="00C06974"/>
    <w:rsid w:val="00C06982"/>
    <w:rsid w:val="00C06A06"/>
    <w:rsid w:val="00C06A14"/>
    <w:rsid w:val="00C06AE0"/>
    <w:rsid w:val="00C06AFB"/>
    <w:rsid w:val="00C06DE9"/>
    <w:rsid w:val="00C07012"/>
    <w:rsid w:val="00C07014"/>
    <w:rsid w:val="00C07029"/>
    <w:rsid w:val="00C071D4"/>
    <w:rsid w:val="00C07243"/>
    <w:rsid w:val="00C072D2"/>
    <w:rsid w:val="00C073F2"/>
    <w:rsid w:val="00C074C6"/>
    <w:rsid w:val="00C0752D"/>
    <w:rsid w:val="00C07616"/>
    <w:rsid w:val="00C0776A"/>
    <w:rsid w:val="00C0787C"/>
    <w:rsid w:val="00C07928"/>
    <w:rsid w:val="00C079A9"/>
    <w:rsid w:val="00C07A23"/>
    <w:rsid w:val="00C07B70"/>
    <w:rsid w:val="00C07BCE"/>
    <w:rsid w:val="00C07C69"/>
    <w:rsid w:val="00C07CB5"/>
    <w:rsid w:val="00C07F16"/>
    <w:rsid w:val="00C07F44"/>
    <w:rsid w:val="00C07FE8"/>
    <w:rsid w:val="00C10075"/>
    <w:rsid w:val="00C100F9"/>
    <w:rsid w:val="00C10127"/>
    <w:rsid w:val="00C10185"/>
    <w:rsid w:val="00C10259"/>
    <w:rsid w:val="00C10288"/>
    <w:rsid w:val="00C102A6"/>
    <w:rsid w:val="00C10356"/>
    <w:rsid w:val="00C10475"/>
    <w:rsid w:val="00C1062D"/>
    <w:rsid w:val="00C10771"/>
    <w:rsid w:val="00C10772"/>
    <w:rsid w:val="00C10791"/>
    <w:rsid w:val="00C1080B"/>
    <w:rsid w:val="00C1087A"/>
    <w:rsid w:val="00C10AD5"/>
    <w:rsid w:val="00C10BC2"/>
    <w:rsid w:val="00C10C20"/>
    <w:rsid w:val="00C10D2D"/>
    <w:rsid w:val="00C10D7D"/>
    <w:rsid w:val="00C10E69"/>
    <w:rsid w:val="00C10EB9"/>
    <w:rsid w:val="00C10FD4"/>
    <w:rsid w:val="00C1107A"/>
    <w:rsid w:val="00C1109A"/>
    <w:rsid w:val="00C11123"/>
    <w:rsid w:val="00C1119C"/>
    <w:rsid w:val="00C112FA"/>
    <w:rsid w:val="00C1134A"/>
    <w:rsid w:val="00C113F0"/>
    <w:rsid w:val="00C11442"/>
    <w:rsid w:val="00C11544"/>
    <w:rsid w:val="00C11640"/>
    <w:rsid w:val="00C11643"/>
    <w:rsid w:val="00C1187B"/>
    <w:rsid w:val="00C11993"/>
    <w:rsid w:val="00C11AFC"/>
    <w:rsid w:val="00C11B21"/>
    <w:rsid w:val="00C11D58"/>
    <w:rsid w:val="00C11D88"/>
    <w:rsid w:val="00C11E8A"/>
    <w:rsid w:val="00C12052"/>
    <w:rsid w:val="00C12076"/>
    <w:rsid w:val="00C120C2"/>
    <w:rsid w:val="00C1211A"/>
    <w:rsid w:val="00C1216E"/>
    <w:rsid w:val="00C122BC"/>
    <w:rsid w:val="00C1230A"/>
    <w:rsid w:val="00C12370"/>
    <w:rsid w:val="00C123F6"/>
    <w:rsid w:val="00C124B1"/>
    <w:rsid w:val="00C124E4"/>
    <w:rsid w:val="00C12555"/>
    <w:rsid w:val="00C12586"/>
    <w:rsid w:val="00C12808"/>
    <w:rsid w:val="00C128DA"/>
    <w:rsid w:val="00C1292E"/>
    <w:rsid w:val="00C1293E"/>
    <w:rsid w:val="00C12ADA"/>
    <w:rsid w:val="00C12BB6"/>
    <w:rsid w:val="00C12BC5"/>
    <w:rsid w:val="00C12CB6"/>
    <w:rsid w:val="00C12DFE"/>
    <w:rsid w:val="00C13024"/>
    <w:rsid w:val="00C131C7"/>
    <w:rsid w:val="00C131F2"/>
    <w:rsid w:val="00C1348F"/>
    <w:rsid w:val="00C13643"/>
    <w:rsid w:val="00C13780"/>
    <w:rsid w:val="00C13790"/>
    <w:rsid w:val="00C137E2"/>
    <w:rsid w:val="00C13813"/>
    <w:rsid w:val="00C13C24"/>
    <w:rsid w:val="00C13C69"/>
    <w:rsid w:val="00C13D0E"/>
    <w:rsid w:val="00C13D7D"/>
    <w:rsid w:val="00C13D8A"/>
    <w:rsid w:val="00C13F8F"/>
    <w:rsid w:val="00C140ED"/>
    <w:rsid w:val="00C14206"/>
    <w:rsid w:val="00C1428B"/>
    <w:rsid w:val="00C142B5"/>
    <w:rsid w:val="00C142E0"/>
    <w:rsid w:val="00C14312"/>
    <w:rsid w:val="00C143C3"/>
    <w:rsid w:val="00C1451F"/>
    <w:rsid w:val="00C1452A"/>
    <w:rsid w:val="00C14654"/>
    <w:rsid w:val="00C14753"/>
    <w:rsid w:val="00C14D7B"/>
    <w:rsid w:val="00C14E50"/>
    <w:rsid w:val="00C1501F"/>
    <w:rsid w:val="00C1504B"/>
    <w:rsid w:val="00C152C3"/>
    <w:rsid w:val="00C153BF"/>
    <w:rsid w:val="00C155DE"/>
    <w:rsid w:val="00C156AC"/>
    <w:rsid w:val="00C157A4"/>
    <w:rsid w:val="00C15851"/>
    <w:rsid w:val="00C15866"/>
    <w:rsid w:val="00C158DD"/>
    <w:rsid w:val="00C158E0"/>
    <w:rsid w:val="00C158ED"/>
    <w:rsid w:val="00C159E0"/>
    <w:rsid w:val="00C15DC1"/>
    <w:rsid w:val="00C15DF5"/>
    <w:rsid w:val="00C15F58"/>
    <w:rsid w:val="00C16044"/>
    <w:rsid w:val="00C1612B"/>
    <w:rsid w:val="00C161DE"/>
    <w:rsid w:val="00C161E6"/>
    <w:rsid w:val="00C16325"/>
    <w:rsid w:val="00C16344"/>
    <w:rsid w:val="00C16433"/>
    <w:rsid w:val="00C164CB"/>
    <w:rsid w:val="00C1660A"/>
    <w:rsid w:val="00C1669D"/>
    <w:rsid w:val="00C166E7"/>
    <w:rsid w:val="00C16773"/>
    <w:rsid w:val="00C1699A"/>
    <w:rsid w:val="00C16A43"/>
    <w:rsid w:val="00C16A74"/>
    <w:rsid w:val="00C16B32"/>
    <w:rsid w:val="00C16BE5"/>
    <w:rsid w:val="00C16F18"/>
    <w:rsid w:val="00C16FCA"/>
    <w:rsid w:val="00C16FDF"/>
    <w:rsid w:val="00C1701F"/>
    <w:rsid w:val="00C173BA"/>
    <w:rsid w:val="00C1750B"/>
    <w:rsid w:val="00C17510"/>
    <w:rsid w:val="00C17557"/>
    <w:rsid w:val="00C1765D"/>
    <w:rsid w:val="00C17724"/>
    <w:rsid w:val="00C1788A"/>
    <w:rsid w:val="00C178AF"/>
    <w:rsid w:val="00C1791B"/>
    <w:rsid w:val="00C17B3D"/>
    <w:rsid w:val="00C17B66"/>
    <w:rsid w:val="00C17BA0"/>
    <w:rsid w:val="00C17C97"/>
    <w:rsid w:val="00C17CA6"/>
    <w:rsid w:val="00C17CB6"/>
    <w:rsid w:val="00C17D10"/>
    <w:rsid w:val="00C17D3D"/>
    <w:rsid w:val="00C17F63"/>
    <w:rsid w:val="00C20080"/>
    <w:rsid w:val="00C2024B"/>
    <w:rsid w:val="00C20266"/>
    <w:rsid w:val="00C2028C"/>
    <w:rsid w:val="00C2060D"/>
    <w:rsid w:val="00C208EB"/>
    <w:rsid w:val="00C20958"/>
    <w:rsid w:val="00C20975"/>
    <w:rsid w:val="00C20A9F"/>
    <w:rsid w:val="00C20B2E"/>
    <w:rsid w:val="00C20F4C"/>
    <w:rsid w:val="00C20F5A"/>
    <w:rsid w:val="00C2106D"/>
    <w:rsid w:val="00C2127B"/>
    <w:rsid w:val="00C213B1"/>
    <w:rsid w:val="00C21709"/>
    <w:rsid w:val="00C217D9"/>
    <w:rsid w:val="00C21865"/>
    <w:rsid w:val="00C21892"/>
    <w:rsid w:val="00C21898"/>
    <w:rsid w:val="00C2189C"/>
    <w:rsid w:val="00C21B11"/>
    <w:rsid w:val="00C21BEA"/>
    <w:rsid w:val="00C21C60"/>
    <w:rsid w:val="00C21C77"/>
    <w:rsid w:val="00C21D23"/>
    <w:rsid w:val="00C21D5F"/>
    <w:rsid w:val="00C21DAD"/>
    <w:rsid w:val="00C21DCB"/>
    <w:rsid w:val="00C21F06"/>
    <w:rsid w:val="00C21F22"/>
    <w:rsid w:val="00C22012"/>
    <w:rsid w:val="00C220E7"/>
    <w:rsid w:val="00C221E4"/>
    <w:rsid w:val="00C22350"/>
    <w:rsid w:val="00C2239F"/>
    <w:rsid w:val="00C223B9"/>
    <w:rsid w:val="00C22575"/>
    <w:rsid w:val="00C22686"/>
    <w:rsid w:val="00C22816"/>
    <w:rsid w:val="00C22817"/>
    <w:rsid w:val="00C22A6F"/>
    <w:rsid w:val="00C22AB4"/>
    <w:rsid w:val="00C22B9A"/>
    <w:rsid w:val="00C22C68"/>
    <w:rsid w:val="00C22D10"/>
    <w:rsid w:val="00C22FC3"/>
    <w:rsid w:val="00C230F8"/>
    <w:rsid w:val="00C231BF"/>
    <w:rsid w:val="00C2342D"/>
    <w:rsid w:val="00C23613"/>
    <w:rsid w:val="00C2375F"/>
    <w:rsid w:val="00C23782"/>
    <w:rsid w:val="00C23813"/>
    <w:rsid w:val="00C2387D"/>
    <w:rsid w:val="00C23AC1"/>
    <w:rsid w:val="00C23BC6"/>
    <w:rsid w:val="00C23C63"/>
    <w:rsid w:val="00C23D34"/>
    <w:rsid w:val="00C23D70"/>
    <w:rsid w:val="00C2405A"/>
    <w:rsid w:val="00C2406B"/>
    <w:rsid w:val="00C24097"/>
    <w:rsid w:val="00C241F7"/>
    <w:rsid w:val="00C242EE"/>
    <w:rsid w:val="00C2436B"/>
    <w:rsid w:val="00C243DD"/>
    <w:rsid w:val="00C244BF"/>
    <w:rsid w:val="00C24514"/>
    <w:rsid w:val="00C2455F"/>
    <w:rsid w:val="00C24570"/>
    <w:rsid w:val="00C245F5"/>
    <w:rsid w:val="00C24759"/>
    <w:rsid w:val="00C248E6"/>
    <w:rsid w:val="00C248F5"/>
    <w:rsid w:val="00C248FC"/>
    <w:rsid w:val="00C24932"/>
    <w:rsid w:val="00C24A78"/>
    <w:rsid w:val="00C24C8C"/>
    <w:rsid w:val="00C24CD5"/>
    <w:rsid w:val="00C24D2D"/>
    <w:rsid w:val="00C24DD4"/>
    <w:rsid w:val="00C24E4A"/>
    <w:rsid w:val="00C24EDF"/>
    <w:rsid w:val="00C24F55"/>
    <w:rsid w:val="00C2509B"/>
    <w:rsid w:val="00C250F3"/>
    <w:rsid w:val="00C25131"/>
    <w:rsid w:val="00C25195"/>
    <w:rsid w:val="00C25389"/>
    <w:rsid w:val="00C253D2"/>
    <w:rsid w:val="00C2540E"/>
    <w:rsid w:val="00C25452"/>
    <w:rsid w:val="00C25541"/>
    <w:rsid w:val="00C256C5"/>
    <w:rsid w:val="00C2578E"/>
    <w:rsid w:val="00C258FE"/>
    <w:rsid w:val="00C25A91"/>
    <w:rsid w:val="00C25BB1"/>
    <w:rsid w:val="00C25D28"/>
    <w:rsid w:val="00C25D3C"/>
    <w:rsid w:val="00C25D85"/>
    <w:rsid w:val="00C25F2A"/>
    <w:rsid w:val="00C2606B"/>
    <w:rsid w:val="00C261E2"/>
    <w:rsid w:val="00C26224"/>
    <w:rsid w:val="00C2638E"/>
    <w:rsid w:val="00C263A4"/>
    <w:rsid w:val="00C2643E"/>
    <w:rsid w:val="00C26443"/>
    <w:rsid w:val="00C26497"/>
    <w:rsid w:val="00C26499"/>
    <w:rsid w:val="00C26636"/>
    <w:rsid w:val="00C26798"/>
    <w:rsid w:val="00C26B41"/>
    <w:rsid w:val="00C26BCC"/>
    <w:rsid w:val="00C26FF7"/>
    <w:rsid w:val="00C26FFE"/>
    <w:rsid w:val="00C2706C"/>
    <w:rsid w:val="00C2709D"/>
    <w:rsid w:val="00C274DA"/>
    <w:rsid w:val="00C274F2"/>
    <w:rsid w:val="00C274F9"/>
    <w:rsid w:val="00C27770"/>
    <w:rsid w:val="00C277B3"/>
    <w:rsid w:val="00C277C3"/>
    <w:rsid w:val="00C2782E"/>
    <w:rsid w:val="00C278D2"/>
    <w:rsid w:val="00C27992"/>
    <w:rsid w:val="00C27D00"/>
    <w:rsid w:val="00C27E20"/>
    <w:rsid w:val="00C3007E"/>
    <w:rsid w:val="00C30091"/>
    <w:rsid w:val="00C3013E"/>
    <w:rsid w:val="00C3014C"/>
    <w:rsid w:val="00C30156"/>
    <w:rsid w:val="00C301B7"/>
    <w:rsid w:val="00C301F8"/>
    <w:rsid w:val="00C3021F"/>
    <w:rsid w:val="00C302FE"/>
    <w:rsid w:val="00C3031C"/>
    <w:rsid w:val="00C30394"/>
    <w:rsid w:val="00C305D4"/>
    <w:rsid w:val="00C30841"/>
    <w:rsid w:val="00C30BD0"/>
    <w:rsid w:val="00C30C1B"/>
    <w:rsid w:val="00C30C5C"/>
    <w:rsid w:val="00C30DEE"/>
    <w:rsid w:val="00C30DFB"/>
    <w:rsid w:val="00C31018"/>
    <w:rsid w:val="00C3102A"/>
    <w:rsid w:val="00C31051"/>
    <w:rsid w:val="00C31054"/>
    <w:rsid w:val="00C310C9"/>
    <w:rsid w:val="00C31242"/>
    <w:rsid w:val="00C31454"/>
    <w:rsid w:val="00C315F1"/>
    <w:rsid w:val="00C315F2"/>
    <w:rsid w:val="00C31685"/>
    <w:rsid w:val="00C3179F"/>
    <w:rsid w:val="00C317C8"/>
    <w:rsid w:val="00C31A5C"/>
    <w:rsid w:val="00C31A76"/>
    <w:rsid w:val="00C31B36"/>
    <w:rsid w:val="00C31C75"/>
    <w:rsid w:val="00C31C77"/>
    <w:rsid w:val="00C31CC3"/>
    <w:rsid w:val="00C31EBA"/>
    <w:rsid w:val="00C31F23"/>
    <w:rsid w:val="00C31F58"/>
    <w:rsid w:val="00C3203D"/>
    <w:rsid w:val="00C32137"/>
    <w:rsid w:val="00C3215F"/>
    <w:rsid w:val="00C32187"/>
    <w:rsid w:val="00C321BD"/>
    <w:rsid w:val="00C32240"/>
    <w:rsid w:val="00C32258"/>
    <w:rsid w:val="00C32318"/>
    <w:rsid w:val="00C324CD"/>
    <w:rsid w:val="00C324F5"/>
    <w:rsid w:val="00C326F8"/>
    <w:rsid w:val="00C327BA"/>
    <w:rsid w:val="00C3290B"/>
    <w:rsid w:val="00C329C3"/>
    <w:rsid w:val="00C32C62"/>
    <w:rsid w:val="00C32DA7"/>
    <w:rsid w:val="00C32E66"/>
    <w:rsid w:val="00C32EF5"/>
    <w:rsid w:val="00C32F75"/>
    <w:rsid w:val="00C32F81"/>
    <w:rsid w:val="00C33028"/>
    <w:rsid w:val="00C3304E"/>
    <w:rsid w:val="00C33052"/>
    <w:rsid w:val="00C33064"/>
    <w:rsid w:val="00C33214"/>
    <w:rsid w:val="00C33217"/>
    <w:rsid w:val="00C3341F"/>
    <w:rsid w:val="00C33518"/>
    <w:rsid w:val="00C338F0"/>
    <w:rsid w:val="00C339ED"/>
    <w:rsid w:val="00C33AAF"/>
    <w:rsid w:val="00C33BA2"/>
    <w:rsid w:val="00C33C21"/>
    <w:rsid w:val="00C33CED"/>
    <w:rsid w:val="00C33D53"/>
    <w:rsid w:val="00C33DA2"/>
    <w:rsid w:val="00C33F34"/>
    <w:rsid w:val="00C3404B"/>
    <w:rsid w:val="00C34105"/>
    <w:rsid w:val="00C34145"/>
    <w:rsid w:val="00C34179"/>
    <w:rsid w:val="00C342E6"/>
    <w:rsid w:val="00C3438E"/>
    <w:rsid w:val="00C343A0"/>
    <w:rsid w:val="00C345BF"/>
    <w:rsid w:val="00C34759"/>
    <w:rsid w:val="00C34842"/>
    <w:rsid w:val="00C34A65"/>
    <w:rsid w:val="00C34AF5"/>
    <w:rsid w:val="00C34BB9"/>
    <w:rsid w:val="00C34BD8"/>
    <w:rsid w:val="00C34C7D"/>
    <w:rsid w:val="00C34E56"/>
    <w:rsid w:val="00C34EC3"/>
    <w:rsid w:val="00C34EF9"/>
    <w:rsid w:val="00C34FB8"/>
    <w:rsid w:val="00C35137"/>
    <w:rsid w:val="00C351F5"/>
    <w:rsid w:val="00C3526D"/>
    <w:rsid w:val="00C355BE"/>
    <w:rsid w:val="00C35658"/>
    <w:rsid w:val="00C35680"/>
    <w:rsid w:val="00C35899"/>
    <w:rsid w:val="00C3594E"/>
    <w:rsid w:val="00C359CA"/>
    <w:rsid w:val="00C359FC"/>
    <w:rsid w:val="00C35A99"/>
    <w:rsid w:val="00C35DB0"/>
    <w:rsid w:val="00C35F60"/>
    <w:rsid w:val="00C36020"/>
    <w:rsid w:val="00C3611F"/>
    <w:rsid w:val="00C36149"/>
    <w:rsid w:val="00C361DB"/>
    <w:rsid w:val="00C36244"/>
    <w:rsid w:val="00C362B9"/>
    <w:rsid w:val="00C362F2"/>
    <w:rsid w:val="00C363AC"/>
    <w:rsid w:val="00C363C7"/>
    <w:rsid w:val="00C363EC"/>
    <w:rsid w:val="00C36467"/>
    <w:rsid w:val="00C36517"/>
    <w:rsid w:val="00C365C1"/>
    <w:rsid w:val="00C36749"/>
    <w:rsid w:val="00C367A7"/>
    <w:rsid w:val="00C36989"/>
    <w:rsid w:val="00C36AC3"/>
    <w:rsid w:val="00C36CF2"/>
    <w:rsid w:val="00C36D9F"/>
    <w:rsid w:val="00C36DF5"/>
    <w:rsid w:val="00C36FD0"/>
    <w:rsid w:val="00C37082"/>
    <w:rsid w:val="00C371A6"/>
    <w:rsid w:val="00C373BC"/>
    <w:rsid w:val="00C3740F"/>
    <w:rsid w:val="00C37495"/>
    <w:rsid w:val="00C37619"/>
    <w:rsid w:val="00C376AD"/>
    <w:rsid w:val="00C37855"/>
    <w:rsid w:val="00C37A39"/>
    <w:rsid w:val="00C37AE1"/>
    <w:rsid w:val="00C37CCF"/>
    <w:rsid w:val="00C37DBF"/>
    <w:rsid w:val="00C37F8B"/>
    <w:rsid w:val="00C37F91"/>
    <w:rsid w:val="00C3B5B0"/>
    <w:rsid w:val="00C400F5"/>
    <w:rsid w:val="00C40538"/>
    <w:rsid w:val="00C405AB"/>
    <w:rsid w:val="00C40619"/>
    <w:rsid w:val="00C40736"/>
    <w:rsid w:val="00C40B34"/>
    <w:rsid w:val="00C40B4F"/>
    <w:rsid w:val="00C40B5F"/>
    <w:rsid w:val="00C40BD3"/>
    <w:rsid w:val="00C40BE5"/>
    <w:rsid w:val="00C40D59"/>
    <w:rsid w:val="00C40DCA"/>
    <w:rsid w:val="00C40EAF"/>
    <w:rsid w:val="00C40F38"/>
    <w:rsid w:val="00C41007"/>
    <w:rsid w:val="00C41092"/>
    <w:rsid w:val="00C410B5"/>
    <w:rsid w:val="00C410F1"/>
    <w:rsid w:val="00C411C5"/>
    <w:rsid w:val="00C411D1"/>
    <w:rsid w:val="00C4132A"/>
    <w:rsid w:val="00C4136A"/>
    <w:rsid w:val="00C41428"/>
    <w:rsid w:val="00C41A08"/>
    <w:rsid w:val="00C41A11"/>
    <w:rsid w:val="00C41AA9"/>
    <w:rsid w:val="00C41ABD"/>
    <w:rsid w:val="00C41BE9"/>
    <w:rsid w:val="00C41CF1"/>
    <w:rsid w:val="00C41D79"/>
    <w:rsid w:val="00C41D82"/>
    <w:rsid w:val="00C41E15"/>
    <w:rsid w:val="00C41E72"/>
    <w:rsid w:val="00C41EA2"/>
    <w:rsid w:val="00C41F84"/>
    <w:rsid w:val="00C4202D"/>
    <w:rsid w:val="00C42096"/>
    <w:rsid w:val="00C42381"/>
    <w:rsid w:val="00C423BE"/>
    <w:rsid w:val="00C42452"/>
    <w:rsid w:val="00C424AB"/>
    <w:rsid w:val="00C42901"/>
    <w:rsid w:val="00C42936"/>
    <w:rsid w:val="00C42A8E"/>
    <w:rsid w:val="00C42AD3"/>
    <w:rsid w:val="00C42D7E"/>
    <w:rsid w:val="00C42DED"/>
    <w:rsid w:val="00C42EA8"/>
    <w:rsid w:val="00C43119"/>
    <w:rsid w:val="00C432E3"/>
    <w:rsid w:val="00C43464"/>
    <w:rsid w:val="00C43AD7"/>
    <w:rsid w:val="00C43C83"/>
    <w:rsid w:val="00C43E14"/>
    <w:rsid w:val="00C43E22"/>
    <w:rsid w:val="00C43EB4"/>
    <w:rsid w:val="00C43FAE"/>
    <w:rsid w:val="00C44011"/>
    <w:rsid w:val="00C44017"/>
    <w:rsid w:val="00C440EC"/>
    <w:rsid w:val="00C44165"/>
    <w:rsid w:val="00C4434B"/>
    <w:rsid w:val="00C44550"/>
    <w:rsid w:val="00C44666"/>
    <w:rsid w:val="00C44CB8"/>
    <w:rsid w:val="00C44DD4"/>
    <w:rsid w:val="00C44E8D"/>
    <w:rsid w:val="00C44F9B"/>
    <w:rsid w:val="00C45131"/>
    <w:rsid w:val="00C4516F"/>
    <w:rsid w:val="00C45286"/>
    <w:rsid w:val="00C452DE"/>
    <w:rsid w:val="00C45353"/>
    <w:rsid w:val="00C454EB"/>
    <w:rsid w:val="00C4552F"/>
    <w:rsid w:val="00C4553A"/>
    <w:rsid w:val="00C455F3"/>
    <w:rsid w:val="00C4562A"/>
    <w:rsid w:val="00C45668"/>
    <w:rsid w:val="00C4576E"/>
    <w:rsid w:val="00C45814"/>
    <w:rsid w:val="00C45839"/>
    <w:rsid w:val="00C4584A"/>
    <w:rsid w:val="00C458AD"/>
    <w:rsid w:val="00C45991"/>
    <w:rsid w:val="00C45A19"/>
    <w:rsid w:val="00C45BF9"/>
    <w:rsid w:val="00C45C09"/>
    <w:rsid w:val="00C45C1C"/>
    <w:rsid w:val="00C45CA8"/>
    <w:rsid w:val="00C45EC9"/>
    <w:rsid w:val="00C45F5D"/>
    <w:rsid w:val="00C45F6A"/>
    <w:rsid w:val="00C45F9C"/>
    <w:rsid w:val="00C46173"/>
    <w:rsid w:val="00C461A8"/>
    <w:rsid w:val="00C46465"/>
    <w:rsid w:val="00C464D6"/>
    <w:rsid w:val="00C46538"/>
    <w:rsid w:val="00C46539"/>
    <w:rsid w:val="00C46543"/>
    <w:rsid w:val="00C46624"/>
    <w:rsid w:val="00C46667"/>
    <w:rsid w:val="00C466B0"/>
    <w:rsid w:val="00C466FA"/>
    <w:rsid w:val="00C468D6"/>
    <w:rsid w:val="00C469C5"/>
    <w:rsid w:val="00C46F3C"/>
    <w:rsid w:val="00C46F6A"/>
    <w:rsid w:val="00C46F8B"/>
    <w:rsid w:val="00C46F93"/>
    <w:rsid w:val="00C47179"/>
    <w:rsid w:val="00C471A0"/>
    <w:rsid w:val="00C471D3"/>
    <w:rsid w:val="00C47307"/>
    <w:rsid w:val="00C474D2"/>
    <w:rsid w:val="00C474D5"/>
    <w:rsid w:val="00C4765D"/>
    <w:rsid w:val="00C47668"/>
    <w:rsid w:val="00C47716"/>
    <w:rsid w:val="00C477F6"/>
    <w:rsid w:val="00C479A3"/>
    <w:rsid w:val="00C47F09"/>
    <w:rsid w:val="00C47F30"/>
    <w:rsid w:val="00C50019"/>
    <w:rsid w:val="00C5004D"/>
    <w:rsid w:val="00C5009D"/>
    <w:rsid w:val="00C501D8"/>
    <w:rsid w:val="00C50282"/>
    <w:rsid w:val="00C503E1"/>
    <w:rsid w:val="00C50465"/>
    <w:rsid w:val="00C5047D"/>
    <w:rsid w:val="00C506DE"/>
    <w:rsid w:val="00C50710"/>
    <w:rsid w:val="00C50717"/>
    <w:rsid w:val="00C5074D"/>
    <w:rsid w:val="00C50783"/>
    <w:rsid w:val="00C50805"/>
    <w:rsid w:val="00C50889"/>
    <w:rsid w:val="00C50A09"/>
    <w:rsid w:val="00C50A56"/>
    <w:rsid w:val="00C50A75"/>
    <w:rsid w:val="00C50BC4"/>
    <w:rsid w:val="00C50C03"/>
    <w:rsid w:val="00C50CA2"/>
    <w:rsid w:val="00C50D5B"/>
    <w:rsid w:val="00C50DE7"/>
    <w:rsid w:val="00C50F71"/>
    <w:rsid w:val="00C50FE5"/>
    <w:rsid w:val="00C51363"/>
    <w:rsid w:val="00C513E3"/>
    <w:rsid w:val="00C51450"/>
    <w:rsid w:val="00C514CD"/>
    <w:rsid w:val="00C514E0"/>
    <w:rsid w:val="00C514FB"/>
    <w:rsid w:val="00C51666"/>
    <w:rsid w:val="00C516BA"/>
    <w:rsid w:val="00C516C7"/>
    <w:rsid w:val="00C51921"/>
    <w:rsid w:val="00C51993"/>
    <w:rsid w:val="00C519E4"/>
    <w:rsid w:val="00C519F1"/>
    <w:rsid w:val="00C51AF4"/>
    <w:rsid w:val="00C51BC2"/>
    <w:rsid w:val="00C51E26"/>
    <w:rsid w:val="00C51E97"/>
    <w:rsid w:val="00C51F19"/>
    <w:rsid w:val="00C5207C"/>
    <w:rsid w:val="00C52405"/>
    <w:rsid w:val="00C52532"/>
    <w:rsid w:val="00C52684"/>
    <w:rsid w:val="00C5281B"/>
    <w:rsid w:val="00C529BF"/>
    <w:rsid w:val="00C529DB"/>
    <w:rsid w:val="00C52AE3"/>
    <w:rsid w:val="00C52D17"/>
    <w:rsid w:val="00C52D51"/>
    <w:rsid w:val="00C52D5C"/>
    <w:rsid w:val="00C52FD9"/>
    <w:rsid w:val="00C53243"/>
    <w:rsid w:val="00C53570"/>
    <w:rsid w:val="00C5365A"/>
    <w:rsid w:val="00C536C2"/>
    <w:rsid w:val="00C53900"/>
    <w:rsid w:val="00C539DB"/>
    <w:rsid w:val="00C539EA"/>
    <w:rsid w:val="00C53AD9"/>
    <w:rsid w:val="00C53B07"/>
    <w:rsid w:val="00C53D8E"/>
    <w:rsid w:val="00C53EF0"/>
    <w:rsid w:val="00C53F99"/>
    <w:rsid w:val="00C53FC0"/>
    <w:rsid w:val="00C53FD9"/>
    <w:rsid w:val="00C54278"/>
    <w:rsid w:val="00C54693"/>
    <w:rsid w:val="00C5474C"/>
    <w:rsid w:val="00C548D2"/>
    <w:rsid w:val="00C548F3"/>
    <w:rsid w:val="00C54961"/>
    <w:rsid w:val="00C54B0C"/>
    <w:rsid w:val="00C54BC0"/>
    <w:rsid w:val="00C54BFC"/>
    <w:rsid w:val="00C54CA7"/>
    <w:rsid w:val="00C54EC8"/>
    <w:rsid w:val="00C55122"/>
    <w:rsid w:val="00C55154"/>
    <w:rsid w:val="00C552F7"/>
    <w:rsid w:val="00C55327"/>
    <w:rsid w:val="00C55347"/>
    <w:rsid w:val="00C553A3"/>
    <w:rsid w:val="00C55412"/>
    <w:rsid w:val="00C555CB"/>
    <w:rsid w:val="00C5578F"/>
    <w:rsid w:val="00C55832"/>
    <w:rsid w:val="00C5590C"/>
    <w:rsid w:val="00C5592B"/>
    <w:rsid w:val="00C55A7C"/>
    <w:rsid w:val="00C55B68"/>
    <w:rsid w:val="00C55CFE"/>
    <w:rsid w:val="00C55D65"/>
    <w:rsid w:val="00C55D66"/>
    <w:rsid w:val="00C55DAB"/>
    <w:rsid w:val="00C55E8A"/>
    <w:rsid w:val="00C55F1E"/>
    <w:rsid w:val="00C55FAF"/>
    <w:rsid w:val="00C56031"/>
    <w:rsid w:val="00C560D1"/>
    <w:rsid w:val="00C5611B"/>
    <w:rsid w:val="00C5611F"/>
    <w:rsid w:val="00C563D5"/>
    <w:rsid w:val="00C564D7"/>
    <w:rsid w:val="00C5659A"/>
    <w:rsid w:val="00C565E1"/>
    <w:rsid w:val="00C56658"/>
    <w:rsid w:val="00C569A5"/>
    <w:rsid w:val="00C569FC"/>
    <w:rsid w:val="00C56A2D"/>
    <w:rsid w:val="00C56A64"/>
    <w:rsid w:val="00C56AC7"/>
    <w:rsid w:val="00C56B30"/>
    <w:rsid w:val="00C56BEC"/>
    <w:rsid w:val="00C56E4F"/>
    <w:rsid w:val="00C56E51"/>
    <w:rsid w:val="00C56E7D"/>
    <w:rsid w:val="00C56F15"/>
    <w:rsid w:val="00C56FB1"/>
    <w:rsid w:val="00C57137"/>
    <w:rsid w:val="00C573E5"/>
    <w:rsid w:val="00C5751D"/>
    <w:rsid w:val="00C57527"/>
    <w:rsid w:val="00C57643"/>
    <w:rsid w:val="00C5768F"/>
    <w:rsid w:val="00C576D5"/>
    <w:rsid w:val="00C57801"/>
    <w:rsid w:val="00C57958"/>
    <w:rsid w:val="00C57A70"/>
    <w:rsid w:val="00C57C86"/>
    <w:rsid w:val="00C57D37"/>
    <w:rsid w:val="00C57E4C"/>
    <w:rsid w:val="00C60027"/>
    <w:rsid w:val="00C60120"/>
    <w:rsid w:val="00C60223"/>
    <w:rsid w:val="00C602B7"/>
    <w:rsid w:val="00C60327"/>
    <w:rsid w:val="00C60393"/>
    <w:rsid w:val="00C6050D"/>
    <w:rsid w:val="00C606C7"/>
    <w:rsid w:val="00C606F9"/>
    <w:rsid w:val="00C6084E"/>
    <w:rsid w:val="00C60909"/>
    <w:rsid w:val="00C60913"/>
    <w:rsid w:val="00C6096A"/>
    <w:rsid w:val="00C60A21"/>
    <w:rsid w:val="00C60A5E"/>
    <w:rsid w:val="00C60DB1"/>
    <w:rsid w:val="00C60FB9"/>
    <w:rsid w:val="00C61071"/>
    <w:rsid w:val="00C61092"/>
    <w:rsid w:val="00C6115C"/>
    <w:rsid w:val="00C6121A"/>
    <w:rsid w:val="00C612BC"/>
    <w:rsid w:val="00C612F5"/>
    <w:rsid w:val="00C6138D"/>
    <w:rsid w:val="00C613E4"/>
    <w:rsid w:val="00C6141E"/>
    <w:rsid w:val="00C614DF"/>
    <w:rsid w:val="00C6154E"/>
    <w:rsid w:val="00C61606"/>
    <w:rsid w:val="00C61661"/>
    <w:rsid w:val="00C617F7"/>
    <w:rsid w:val="00C618FB"/>
    <w:rsid w:val="00C619DD"/>
    <w:rsid w:val="00C61B7D"/>
    <w:rsid w:val="00C61C72"/>
    <w:rsid w:val="00C61CA8"/>
    <w:rsid w:val="00C61CC7"/>
    <w:rsid w:val="00C61D41"/>
    <w:rsid w:val="00C61DF6"/>
    <w:rsid w:val="00C61EA9"/>
    <w:rsid w:val="00C620C0"/>
    <w:rsid w:val="00C6221B"/>
    <w:rsid w:val="00C62259"/>
    <w:rsid w:val="00C6234E"/>
    <w:rsid w:val="00C6245D"/>
    <w:rsid w:val="00C6246D"/>
    <w:rsid w:val="00C6249B"/>
    <w:rsid w:val="00C624F6"/>
    <w:rsid w:val="00C627C6"/>
    <w:rsid w:val="00C627D2"/>
    <w:rsid w:val="00C628EF"/>
    <w:rsid w:val="00C6292B"/>
    <w:rsid w:val="00C62957"/>
    <w:rsid w:val="00C62987"/>
    <w:rsid w:val="00C62AAF"/>
    <w:rsid w:val="00C62AC5"/>
    <w:rsid w:val="00C62AE0"/>
    <w:rsid w:val="00C62B1D"/>
    <w:rsid w:val="00C62BD5"/>
    <w:rsid w:val="00C62C98"/>
    <w:rsid w:val="00C62CB8"/>
    <w:rsid w:val="00C62D9C"/>
    <w:rsid w:val="00C62E8D"/>
    <w:rsid w:val="00C62E93"/>
    <w:rsid w:val="00C6304C"/>
    <w:rsid w:val="00C632B4"/>
    <w:rsid w:val="00C632DB"/>
    <w:rsid w:val="00C63353"/>
    <w:rsid w:val="00C63424"/>
    <w:rsid w:val="00C63524"/>
    <w:rsid w:val="00C63574"/>
    <w:rsid w:val="00C635C3"/>
    <w:rsid w:val="00C63904"/>
    <w:rsid w:val="00C63A68"/>
    <w:rsid w:val="00C63AC2"/>
    <w:rsid w:val="00C63B14"/>
    <w:rsid w:val="00C63C8E"/>
    <w:rsid w:val="00C63CDB"/>
    <w:rsid w:val="00C63F1E"/>
    <w:rsid w:val="00C63F91"/>
    <w:rsid w:val="00C63FAF"/>
    <w:rsid w:val="00C64018"/>
    <w:rsid w:val="00C643E6"/>
    <w:rsid w:val="00C64699"/>
    <w:rsid w:val="00C64724"/>
    <w:rsid w:val="00C6485E"/>
    <w:rsid w:val="00C648CB"/>
    <w:rsid w:val="00C64A02"/>
    <w:rsid w:val="00C64A05"/>
    <w:rsid w:val="00C64A95"/>
    <w:rsid w:val="00C64AB8"/>
    <w:rsid w:val="00C64AE3"/>
    <w:rsid w:val="00C64B8D"/>
    <w:rsid w:val="00C64C72"/>
    <w:rsid w:val="00C64CBB"/>
    <w:rsid w:val="00C64D2E"/>
    <w:rsid w:val="00C64D80"/>
    <w:rsid w:val="00C64EB6"/>
    <w:rsid w:val="00C64FD7"/>
    <w:rsid w:val="00C6513C"/>
    <w:rsid w:val="00C6529A"/>
    <w:rsid w:val="00C652B8"/>
    <w:rsid w:val="00C653BD"/>
    <w:rsid w:val="00C65415"/>
    <w:rsid w:val="00C6541E"/>
    <w:rsid w:val="00C654A8"/>
    <w:rsid w:val="00C65774"/>
    <w:rsid w:val="00C657F0"/>
    <w:rsid w:val="00C65839"/>
    <w:rsid w:val="00C659E3"/>
    <w:rsid w:val="00C65A68"/>
    <w:rsid w:val="00C65AD4"/>
    <w:rsid w:val="00C65BB7"/>
    <w:rsid w:val="00C65BD1"/>
    <w:rsid w:val="00C65D5F"/>
    <w:rsid w:val="00C65E52"/>
    <w:rsid w:val="00C65FA6"/>
    <w:rsid w:val="00C660C1"/>
    <w:rsid w:val="00C661BA"/>
    <w:rsid w:val="00C661F3"/>
    <w:rsid w:val="00C66229"/>
    <w:rsid w:val="00C6624E"/>
    <w:rsid w:val="00C6635A"/>
    <w:rsid w:val="00C6668B"/>
    <w:rsid w:val="00C66785"/>
    <w:rsid w:val="00C66877"/>
    <w:rsid w:val="00C66AC1"/>
    <w:rsid w:val="00C66B5A"/>
    <w:rsid w:val="00C66C0A"/>
    <w:rsid w:val="00C66D33"/>
    <w:rsid w:val="00C66DAD"/>
    <w:rsid w:val="00C66F71"/>
    <w:rsid w:val="00C670CC"/>
    <w:rsid w:val="00C67219"/>
    <w:rsid w:val="00C6733C"/>
    <w:rsid w:val="00C6746A"/>
    <w:rsid w:val="00C677A6"/>
    <w:rsid w:val="00C677B2"/>
    <w:rsid w:val="00C6781B"/>
    <w:rsid w:val="00C67962"/>
    <w:rsid w:val="00C67995"/>
    <w:rsid w:val="00C67B51"/>
    <w:rsid w:val="00C67CBC"/>
    <w:rsid w:val="00C67D02"/>
    <w:rsid w:val="00C67E0B"/>
    <w:rsid w:val="00C67F35"/>
    <w:rsid w:val="00C70040"/>
    <w:rsid w:val="00C70044"/>
    <w:rsid w:val="00C70123"/>
    <w:rsid w:val="00C701A4"/>
    <w:rsid w:val="00C70306"/>
    <w:rsid w:val="00C70315"/>
    <w:rsid w:val="00C703B5"/>
    <w:rsid w:val="00C703BB"/>
    <w:rsid w:val="00C704E2"/>
    <w:rsid w:val="00C7070A"/>
    <w:rsid w:val="00C708DA"/>
    <w:rsid w:val="00C70B96"/>
    <w:rsid w:val="00C70C0D"/>
    <w:rsid w:val="00C70C30"/>
    <w:rsid w:val="00C70D64"/>
    <w:rsid w:val="00C710C0"/>
    <w:rsid w:val="00C71289"/>
    <w:rsid w:val="00C7137D"/>
    <w:rsid w:val="00C714DC"/>
    <w:rsid w:val="00C714F5"/>
    <w:rsid w:val="00C71601"/>
    <w:rsid w:val="00C718CD"/>
    <w:rsid w:val="00C71C64"/>
    <w:rsid w:val="00C71C9E"/>
    <w:rsid w:val="00C71CD8"/>
    <w:rsid w:val="00C71D61"/>
    <w:rsid w:val="00C71E33"/>
    <w:rsid w:val="00C71EAE"/>
    <w:rsid w:val="00C71EF0"/>
    <w:rsid w:val="00C71F10"/>
    <w:rsid w:val="00C71FD2"/>
    <w:rsid w:val="00C7207B"/>
    <w:rsid w:val="00C72157"/>
    <w:rsid w:val="00C7219B"/>
    <w:rsid w:val="00C72283"/>
    <w:rsid w:val="00C722D2"/>
    <w:rsid w:val="00C722DB"/>
    <w:rsid w:val="00C72341"/>
    <w:rsid w:val="00C7239C"/>
    <w:rsid w:val="00C7247B"/>
    <w:rsid w:val="00C7262C"/>
    <w:rsid w:val="00C7272A"/>
    <w:rsid w:val="00C72798"/>
    <w:rsid w:val="00C727B1"/>
    <w:rsid w:val="00C727C7"/>
    <w:rsid w:val="00C727D8"/>
    <w:rsid w:val="00C72986"/>
    <w:rsid w:val="00C729F7"/>
    <w:rsid w:val="00C72A89"/>
    <w:rsid w:val="00C72B1F"/>
    <w:rsid w:val="00C72BD3"/>
    <w:rsid w:val="00C72BFD"/>
    <w:rsid w:val="00C72CE4"/>
    <w:rsid w:val="00C72D14"/>
    <w:rsid w:val="00C72D20"/>
    <w:rsid w:val="00C72DDB"/>
    <w:rsid w:val="00C72DF3"/>
    <w:rsid w:val="00C72E5D"/>
    <w:rsid w:val="00C72E61"/>
    <w:rsid w:val="00C72F99"/>
    <w:rsid w:val="00C73023"/>
    <w:rsid w:val="00C73050"/>
    <w:rsid w:val="00C73081"/>
    <w:rsid w:val="00C731F6"/>
    <w:rsid w:val="00C732AA"/>
    <w:rsid w:val="00C733CE"/>
    <w:rsid w:val="00C7345B"/>
    <w:rsid w:val="00C7345E"/>
    <w:rsid w:val="00C735D0"/>
    <w:rsid w:val="00C73716"/>
    <w:rsid w:val="00C73757"/>
    <w:rsid w:val="00C73DC1"/>
    <w:rsid w:val="00C73EA3"/>
    <w:rsid w:val="00C74016"/>
    <w:rsid w:val="00C7401F"/>
    <w:rsid w:val="00C740F3"/>
    <w:rsid w:val="00C74187"/>
    <w:rsid w:val="00C74191"/>
    <w:rsid w:val="00C741F6"/>
    <w:rsid w:val="00C74459"/>
    <w:rsid w:val="00C74479"/>
    <w:rsid w:val="00C745F9"/>
    <w:rsid w:val="00C746A6"/>
    <w:rsid w:val="00C74741"/>
    <w:rsid w:val="00C747FE"/>
    <w:rsid w:val="00C7481D"/>
    <w:rsid w:val="00C748FF"/>
    <w:rsid w:val="00C749A5"/>
    <w:rsid w:val="00C74A81"/>
    <w:rsid w:val="00C74AA5"/>
    <w:rsid w:val="00C74C37"/>
    <w:rsid w:val="00C74D61"/>
    <w:rsid w:val="00C74DA8"/>
    <w:rsid w:val="00C74F21"/>
    <w:rsid w:val="00C7507A"/>
    <w:rsid w:val="00C75089"/>
    <w:rsid w:val="00C75291"/>
    <w:rsid w:val="00C753F9"/>
    <w:rsid w:val="00C75496"/>
    <w:rsid w:val="00C7549E"/>
    <w:rsid w:val="00C75521"/>
    <w:rsid w:val="00C755A3"/>
    <w:rsid w:val="00C75664"/>
    <w:rsid w:val="00C7568A"/>
    <w:rsid w:val="00C756F9"/>
    <w:rsid w:val="00C7591A"/>
    <w:rsid w:val="00C75A06"/>
    <w:rsid w:val="00C75A68"/>
    <w:rsid w:val="00C75A7E"/>
    <w:rsid w:val="00C75AC2"/>
    <w:rsid w:val="00C75BB2"/>
    <w:rsid w:val="00C75D10"/>
    <w:rsid w:val="00C75DAD"/>
    <w:rsid w:val="00C75E3C"/>
    <w:rsid w:val="00C75F18"/>
    <w:rsid w:val="00C7609E"/>
    <w:rsid w:val="00C76107"/>
    <w:rsid w:val="00C761C6"/>
    <w:rsid w:val="00C76405"/>
    <w:rsid w:val="00C7683C"/>
    <w:rsid w:val="00C76A11"/>
    <w:rsid w:val="00C76A2E"/>
    <w:rsid w:val="00C76A76"/>
    <w:rsid w:val="00C76AB5"/>
    <w:rsid w:val="00C76AFE"/>
    <w:rsid w:val="00C76BE2"/>
    <w:rsid w:val="00C76CA1"/>
    <w:rsid w:val="00C76CEB"/>
    <w:rsid w:val="00C76F0E"/>
    <w:rsid w:val="00C76FB4"/>
    <w:rsid w:val="00C770DC"/>
    <w:rsid w:val="00C774F6"/>
    <w:rsid w:val="00C77506"/>
    <w:rsid w:val="00C7751A"/>
    <w:rsid w:val="00C77651"/>
    <w:rsid w:val="00C7765E"/>
    <w:rsid w:val="00C7769A"/>
    <w:rsid w:val="00C776FD"/>
    <w:rsid w:val="00C77821"/>
    <w:rsid w:val="00C7786D"/>
    <w:rsid w:val="00C778BE"/>
    <w:rsid w:val="00C779E0"/>
    <w:rsid w:val="00C77AE9"/>
    <w:rsid w:val="00C77B5D"/>
    <w:rsid w:val="00C77BAC"/>
    <w:rsid w:val="00C77C7C"/>
    <w:rsid w:val="00C77C9C"/>
    <w:rsid w:val="00C77DF1"/>
    <w:rsid w:val="00C77FA2"/>
    <w:rsid w:val="00C80074"/>
    <w:rsid w:val="00C80136"/>
    <w:rsid w:val="00C8033B"/>
    <w:rsid w:val="00C803A5"/>
    <w:rsid w:val="00C8044E"/>
    <w:rsid w:val="00C8056D"/>
    <w:rsid w:val="00C807A6"/>
    <w:rsid w:val="00C808BB"/>
    <w:rsid w:val="00C808E0"/>
    <w:rsid w:val="00C809FE"/>
    <w:rsid w:val="00C80AAD"/>
    <w:rsid w:val="00C80B96"/>
    <w:rsid w:val="00C80BB4"/>
    <w:rsid w:val="00C80CFF"/>
    <w:rsid w:val="00C80F6E"/>
    <w:rsid w:val="00C80F80"/>
    <w:rsid w:val="00C81087"/>
    <w:rsid w:val="00C81575"/>
    <w:rsid w:val="00C81588"/>
    <w:rsid w:val="00C81655"/>
    <w:rsid w:val="00C816E6"/>
    <w:rsid w:val="00C817CC"/>
    <w:rsid w:val="00C81AC4"/>
    <w:rsid w:val="00C81BA9"/>
    <w:rsid w:val="00C81BB4"/>
    <w:rsid w:val="00C81CE8"/>
    <w:rsid w:val="00C81E39"/>
    <w:rsid w:val="00C81F1D"/>
    <w:rsid w:val="00C81FC8"/>
    <w:rsid w:val="00C81FD5"/>
    <w:rsid w:val="00C8218C"/>
    <w:rsid w:val="00C8219B"/>
    <w:rsid w:val="00C821C5"/>
    <w:rsid w:val="00C823B6"/>
    <w:rsid w:val="00C8241C"/>
    <w:rsid w:val="00C82606"/>
    <w:rsid w:val="00C82658"/>
    <w:rsid w:val="00C8265C"/>
    <w:rsid w:val="00C826A2"/>
    <w:rsid w:val="00C8270B"/>
    <w:rsid w:val="00C82831"/>
    <w:rsid w:val="00C82902"/>
    <w:rsid w:val="00C82929"/>
    <w:rsid w:val="00C82957"/>
    <w:rsid w:val="00C82A91"/>
    <w:rsid w:val="00C82BC0"/>
    <w:rsid w:val="00C82E31"/>
    <w:rsid w:val="00C82E72"/>
    <w:rsid w:val="00C82F84"/>
    <w:rsid w:val="00C830B2"/>
    <w:rsid w:val="00C8315F"/>
    <w:rsid w:val="00C831D9"/>
    <w:rsid w:val="00C83283"/>
    <w:rsid w:val="00C8332B"/>
    <w:rsid w:val="00C83471"/>
    <w:rsid w:val="00C834D8"/>
    <w:rsid w:val="00C8352C"/>
    <w:rsid w:val="00C83585"/>
    <w:rsid w:val="00C83598"/>
    <w:rsid w:val="00C8370C"/>
    <w:rsid w:val="00C83822"/>
    <w:rsid w:val="00C83864"/>
    <w:rsid w:val="00C839A1"/>
    <w:rsid w:val="00C839DC"/>
    <w:rsid w:val="00C83B08"/>
    <w:rsid w:val="00C83BB0"/>
    <w:rsid w:val="00C83EC2"/>
    <w:rsid w:val="00C83EC3"/>
    <w:rsid w:val="00C83F60"/>
    <w:rsid w:val="00C83FF6"/>
    <w:rsid w:val="00C84092"/>
    <w:rsid w:val="00C840E8"/>
    <w:rsid w:val="00C841AD"/>
    <w:rsid w:val="00C84421"/>
    <w:rsid w:val="00C84469"/>
    <w:rsid w:val="00C844EE"/>
    <w:rsid w:val="00C844F9"/>
    <w:rsid w:val="00C8453C"/>
    <w:rsid w:val="00C847BF"/>
    <w:rsid w:val="00C847F2"/>
    <w:rsid w:val="00C848B6"/>
    <w:rsid w:val="00C8490E"/>
    <w:rsid w:val="00C84987"/>
    <w:rsid w:val="00C84A85"/>
    <w:rsid w:val="00C84DE7"/>
    <w:rsid w:val="00C84F34"/>
    <w:rsid w:val="00C85024"/>
    <w:rsid w:val="00C8517F"/>
    <w:rsid w:val="00C85253"/>
    <w:rsid w:val="00C85385"/>
    <w:rsid w:val="00C85426"/>
    <w:rsid w:val="00C8543B"/>
    <w:rsid w:val="00C8551D"/>
    <w:rsid w:val="00C85571"/>
    <w:rsid w:val="00C8572C"/>
    <w:rsid w:val="00C8579C"/>
    <w:rsid w:val="00C85868"/>
    <w:rsid w:val="00C859E0"/>
    <w:rsid w:val="00C85A2C"/>
    <w:rsid w:val="00C85C47"/>
    <w:rsid w:val="00C85C98"/>
    <w:rsid w:val="00C85CBB"/>
    <w:rsid w:val="00C85D50"/>
    <w:rsid w:val="00C85DB5"/>
    <w:rsid w:val="00C85DD0"/>
    <w:rsid w:val="00C86083"/>
    <w:rsid w:val="00C8613C"/>
    <w:rsid w:val="00C8625F"/>
    <w:rsid w:val="00C862B1"/>
    <w:rsid w:val="00C862BE"/>
    <w:rsid w:val="00C86329"/>
    <w:rsid w:val="00C8644B"/>
    <w:rsid w:val="00C8652D"/>
    <w:rsid w:val="00C865D4"/>
    <w:rsid w:val="00C866D4"/>
    <w:rsid w:val="00C868A2"/>
    <w:rsid w:val="00C868B7"/>
    <w:rsid w:val="00C868FC"/>
    <w:rsid w:val="00C86B0D"/>
    <w:rsid w:val="00C86C7F"/>
    <w:rsid w:val="00C86CB0"/>
    <w:rsid w:val="00C86E11"/>
    <w:rsid w:val="00C86ED6"/>
    <w:rsid w:val="00C86FD5"/>
    <w:rsid w:val="00C870F3"/>
    <w:rsid w:val="00C873B4"/>
    <w:rsid w:val="00C87520"/>
    <w:rsid w:val="00C8798E"/>
    <w:rsid w:val="00C879E0"/>
    <w:rsid w:val="00C87CBD"/>
    <w:rsid w:val="00C87E50"/>
    <w:rsid w:val="00C87E61"/>
    <w:rsid w:val="00C87FAB"/>
    <w:rsid w:val="00C904A1"/>
    <w:rsid w:val="00C9052D"/>
    <w:rsid w:val="00C90533"/>
    <w:rsid w:val="00C906A2"/>
    <w:rsid w:val="00C90758"/>
    <w:rsid w:val="00C9097D"/>
    <w:rsid w:val="00C909BB"/>
    <w:rsid w:val="00C90A56"/>
    <w:rsid w:val="00C90B89"/>
    <w:rsid w:val="00C90BAE"/>
    <w:rsid w:val="00C90C8F"/>
    <w:rsid w:val="00C90D2D"/>
    <w:rsid w:val="00C90D54"/>
    <w:rsid w:val="00C90E56"/>
    <w:rsid w:val="00C90EED"/>
    <w:rsid w:val="00C90F4C"/>
    <w:rsid w:val="00C90FF8"/>
    <w:rsid w:val="00C91059"/>
    <w:rsid w:val="00C9111E"/>
    <w:rsid w:val="00C91122"/>
    <w:rsid w:val="00C91245"/>
    <w:rsid w:val="00C91278"/>
    <w:rsid w:val="00C91350"/>
    <w:rsid w:val="00C913EF"/>
    <w:rsid w:val="00C91450"/>
    <w:rsid w:val="00C9146D"/>
    <w:rsid w:val="00C91475"/>
    <w:rsid w:val="00C917D2"/>
    <w:rsid w:val="00C918B3"/>
    <w:rsid w:val="00C91A82"/>
    <w:rsid w:val="00C91B2F"/>
    <w:rsid w:val="00C91C07"/>
    <w:rsid w:val="00C91D70"/>
    <w:rsid w:val="00C91F46"/>
    <w:rsid w:val="00C9201D"/>
    <w:rsid w:val="00C920CC"/>
    <w:rsid w:val="00C921B9"/>
    <w:rsid w:val="00C92268"/>
    <w:rsid w:val="00C923C8"/>
    <w:rsid w:val="00C925B1"/>
    <w:rsid w:val="00C925D3"/>
    <w:rsid w:val="00C926D4"/>
    <w:rsid w:val="00C92709"/>
    <w:rsid w:val="00C927C6"/>
    <w:rsid w:val="00C928FD"/>
    <w:rsid w:val="00C9299D"/>
    <w:rsid w:val="00C92D69"/>
    <w:rsid w:val="00C92E08"/>
    <w:rsid w:val="00C92EB6"/>
    <w:rsid w:val="00C93064"/>
    <w:rsid w:val="00C93072"/>
    <w:rsid w:val="00C931E8"/>
    <w:rsid w:val="00C9323C"/>
    <w:rsid w:val="00C93475"/>
    <w:rsid w:val="00C934C3"/>
    <w:rsid w:val="00C936F1"/>
    <w:rsid w:val="00C9396F"/>
    <w:rsid w:val="00C939BF"/>
    <w:rsid w:val="00C939C6"/>
    <w:rsid w:val="00C939DB"/>
    <w:rsid w:val="00C93B13"/>
    <w:rsid w:val="00C93BFD"/>
    <w:rsid w:val="00C93D47"/>
    <w:rsid w:val="00C93DD1"/>
    <w:rsid w:val="00C93F48"/>
    <w:rsid w:val="00C93F65"/>
    <w:rsid w:val="00C93F9A"/>
    <w:rsid w:val="00C94005"/>
    <w:rsid w:val="00C94040"/>
    <w:rsid w:val="00C941CD"/>
    <w:rsid w:val="00C9425E"/>
    <w:rsid w:val="00C94455"/>
    <w:rsid w:val="00C945DA"/>
    <w:rsid w:val="00C945E8"/>
    <w:rsid w:val="00C94703"/>
    <w:rsid w:val="00C94776"/>
    <w:rsid w:val="00C94781"/>
    <w:rsid w:val="00C948AF"/>
    <w:rsid w:val="00C94915"/>
    <w:rsid w:val="00C9492D"/>
    <w:rsid w:val="00C94982"/>
    <w:rsid w:val="00C94A36"/>
    <w:rsid w:val="00C94A9E"/>
    <w:rsid w:val="00C94ADA"/>
    <w:rsid w:val="00C94B04"/>
    <w:rsid w:val="00C94B76"/>
    <w:rsid w:val="00C94B80"/>
    <w:rsid w:val="00C94BA5"/>
    <w:rsid w:val="00C94BFE"/>
    <w:rsid w:val="00C94C1A"/>
    <w:rsid w:val="00C94C86"/>
    <w:rsid w:val="00C94D5A"/>
    <w:rsid w:val="00C94D75"/>
    <w:rsid w:val="00C94E1E"/>
    <w:rsid w:val="00C94E26"/>
    <w:rsid w:val="00C94F64"/>
    <w:rsid w:val="00C94FA7"/>
    <w:rsid w:val="00C9501F"/>
    <w:rsid w:val="00C9502A"/>
    <w:rsid w:val="00C950FA"/>
    <w:rsid w:val="00C951AF"/>
    <w:rsid w:val="00C95230"/>
    <w:rsid w:val="00C95238"/>
    <w:rsid w:val="00C9530D"/>
    <w:rsid w:val="00C955A9"/>
    <w:rsid w:val="00C958DD"/>
    <w:rsid w:val="00C95B06"/>
    <w:rsid w:val="00C95C7A"/>
    <w:rsid w:val="00C95CA8"/>
    <w:rsid w:val="00C95CBE"/>
    <w:rsid w:val="00C95D40"/>
    <w:rsid w:val="00C95D77"/>
    <w:rsid w:val="00C95EA0"/>
    <w:rsid w:val="00C95EFC"/>
    <w:rsid w:val="00C95F70"/>
    <w:rsid w:val="00C960A0"/>
    <w:rsid w:val="00C962E6"/>
    <w:rsid w:val="00C962E9"/>
    <w:rsid w:val="00C964F4"/>
    <w:rsid w:val="00C96509"/>
    <w:rsid w:val="00C96620"/>
    <w:rsid w:val="00C96678"/>
    <w:rsid w:val="00C9668A"/>
    <w:rsid w:val="00C968A3"/>
    <w:rsid w:val="00C96A34"/>
    <w:rsid w:val="00C96AB4"/>
    <w:rsid w:val="00C96BEB"/>
    <w:rsid w:val="00C96C5E"/>
    <w:rsid w:val="00C96CD9"/>
    <w:rsid w:val="00C96D1A"/>
    <w:rsid w:val="00C96D25"/>
    <w:rsid w:val="00C96D48"/>
    <w:rsid w:val="00C96D5B"/>
    <w:rsid w:val="00C96DA6"/>
    <w:rsid w:val="00C96E13"/>
    <w:rsid w:val="00C96E93"/>
    <w:rsid w:val="00C97001"/>
    <w:rsid w:val="00C970A1"/>
    <w:rsid w:val="00C970C5"/>
    <w:rsid w:val="00C97286"/>
    <w:rsid w:val="00C973CD"/>
    <w:rsid w:val="00C974F1"/>
    <w:rsid w:val="00C97601"/>
    <w:rsid w:val="00C976D3"/>
    <w:rsid w:val="00C97894"/>
    <w:rsid w:val="00C97939"/>
    <w:rsid w:val="00C9793D"/>
    <w:rsid w:val="00C9795D"/>
    <w:rsid w:val="00C979F5"/>
    <w:rsid w:val="00C97A37"/>
    <w:rsid w:val="00C97A97"/>
    <w:rsid w:val="00C97BFC"/>
    <w:rsid w:val="00C97D77"/>
    <w:rsid w:val="00C97DAA"/>
    <w:rsid w:val="00C985C3"/>
    <w:rsid w:val="00C9C249"/>
    <w:rsid w:val="00CA01DD"/>
    <w:rsid w:val="00CA0341"/>
    <w:rsid w:val="00CA03A5"/>
    <w:rsid w:val="00CA0413"/>
    <w:rsid w:val="00CA0434"/>
    <w:rsid w:val="00CA04D4"/>
    <w:rsid w:val="00CA0640"/>
    <w:rsid w:val="00CA069E"/>
    <w:rsid w:val="00CA06A8"/>
    <w:rsid w:val="00CA07AF"/>
    <w:rsid w:val="00CA07D5"/>
    <w:rsid w:val="00CA0840"/>
    <w:rsid w:val="00CA099E"/>
    <w:rsid w:val="00CA0AE4"/>
    <w:rsid w:val="00CA0B3F"/>
    <w:rsid w:val="00CA0BFC"/>
    <w:rsid w:val="00CA0C5F"/>
    <w:rsid w:val="00CA0E3E"/>
    <w:rsid w:val="00CA0F38"/>
    <w:rsid w:val="00CA10A6"/>
    <w:rsid w:val="00CA11AE"/>
    <w:rsid w:val="00CA1221"/>
    <w:rsid w:val="00CA14B1"/>
    <w:rsid w:val="00CA16D4"/>
    <w:rsid w:val="00CA16F5"/>
    <w:rsid w:val="00CA1728"/>
    <w:rsid w:val="00CA178A"/>
    <w:rsid w:val="00CA17D6"/>
    <w:rsid w:val="00CA1894"/>
    <w:rsid w:val="00CA1A9F"/>
    <w:rsid w:val="00CA1B58"/>
    <w:rsid w:val="00CA1BB4"/>
    <w:rsid w:val="00CA1BBA"/>
    <w:rsid w:val="00CA1CA9"/>
    <w:rsid w:val="00CA1CCA"/>
    <w:rsid w:val="00CA1DD8"/>
    <w:rsid w:val="00CA1EF7"/>
    <w:rsid w:val="00CA1FF0"/>
    <w:rsid w:val="00CA205C"/>
    <w:rsid w:val="00CA20E6"/>
    <w:rsid w:val="00CA22FC"/>
    <w:rsid w:val="00CA2314"/>
    <w:rsid w:val="00CA242B"/>
    <w:rsid w:val="00CA249F"/>
    <w:rsid w:val="00CA24ED"/>
    <w:rsid w:val="00CA24FB"/>
    <w:rsid w:val="00CA26A7"/>
    <w:rsid w:val="00CA26F2"/>
    <w:rsid w:val="00CA2762"/>
    <w:rsid w:val="00CA29B9"/>
    <w:rsid w:val="00CA2A53"/>
    <w:rsid w:val="00CA2BB4"/>
    <w:rsid w:val="00CA2C42"/>
    <w:rsid w:val="00CA2C86"/>
    <w:rsid w:val="00CA2D40"/>
    <w:rsid w:val="00CA2FFB"/>
    <w:rsid w:val="00CA309C"/>
    <w:rsid w:val="00CA323E"/>
    <w:rsid w:val="00CA32DB"/>
    <w:rsid w:val="00CA34AB"/>
    <w:rsid w:val="00CA35CD"/>
    <w:rsid w:val="00CA35DB"/>
    <w:rsid w:val="00CA3606"/>
    <w:rsid w:val="00CA36A0"/>
    <w:rsid w:val="00CA36F8"/>
    <w:rsid w:val="00CA38FE"/>
    <w:rsid w:val="00CA395E"/>
    <w:rsid w:val="00CA39D9"/>
    <w:rsid w:val="00CA3CCE"/>
    <w:rsid w:val="00CA3F51"/>
    <w:rsid w:val="00CA3FD2"/>
    <w:rsid w:val="00CA3FD5"/>
    <w:rsid w:val="00CA416E"/>
    <w:rsid w:val="00CA4216"/>
    <w:rsid w:val="00CA427B"/>
    <w:rsid w:val="00CA43C1"/>
    <w:rsid w:val="00CA480D"/>
    <w:rsid w:val="00CA4826"/>
    <w:rsid w:val="00CA4999"/>
    <w:rsid w:val="00CA49DE"/>
    <w:rsid w:val="00CA4B0E"/>
    <w:rsid w:val="00CA4CDC"/>
    <w:rsid w:val="00CA4D55"/>
    <w:rsid w:val="00CA4EE3"/>
    <w:rsid w:val="00CA50E7"/>
    <w:rsid w:val="00CA52FF"/>
    <w:rsid w:val="00CA5449"/>
    <w:rsid w:val="00CA5466"/>
    <w:rsid w:val="00CA57D9"/>
    <w:rsid w:val="00CA57F5"/>
    <w:rsid w:val="00CA5811"/>
    <w:rsid w:val="00CA58EC"/>
    <w:rsid w:val="00CA598F"/>
    <w:rsid w:val="00CA5AF1"/>
    <w:rsid w:val="00CA5D1F"/>
    <w:rsid w:val="00CA5D9E"/>
    <w:rsid w:val="00CA5EDD"/>
    <w:rsid w:val="00CA61B7"/>
    <w:rsid w:val="00CA61C0"/>
    <w:rsid w:val="00CA63C0"/>
    <w:rsid w:val="00CA6726"/>
    <w:rsid w:val="00CA67A3"/>
    <w:rsid w:val="00CA69C3"/>
    <w:rsid w:val="00CA6AF4"/>
    <w:rsid w:val="00CA6B71"/>
    <w:rsid w:val="00CA6C2D"/>
    <w:rsid w:val="00CA6C66"/>
    <w:rsid w:val="00CA6CB1"/>
    <w:rsid w:val="00CA6D14"/>
    <w:rsid w:val="00CA6D52"/>
    <w:rsid w:val="00CA6D83"/>
    <w:rsid w:val="00CA6E00"/>
    <w:rsid w:val="00CA6E56"/>
    <w:rsid w:val="00CA6F3E"/>
    <w:rsid w:val="00CA7265"/>
    <w:rsid w:val="00CA7269"/>
    <w:rsid w:val="00CA7341"/>
    <w:rsid w:val="00CA73F6"/>
    <w:rsid w:val="00CA7631"/>
    <w:rsid w:val="00CA77BA"/>
    <w:rsid w:val="00CA78E3"/>
    <w:rsid w:val="00CA793A"/>
    <w:rsid w:val="00CA79BD"/>
    <w:rsid w:val="00CA7AC7"/>
    <w:rsid w:val="00CA7BD4"/>
    <w:rsid w:val="00CA7C81"/>
    <w:rsid w:val="00CA7C9C"/>
    <w:rsid w:val="00CA7D92"/>
    <w:rsid w:val="00CA7D9E"/>
    <w:rsid w:val="00CA7DF2"/>
    <w:rsid w:val="00CA7F8D"/>
    <w:rsid w:val="00CB033D"/>
    <w:rsid w:val="00CB039C"/>
    <w:rsid w:val="00CB043E"/>
    <w:rsid w:val="00CB05F3"/>
    <w:rsid w:val="00CB06F3"/>
    <w:rsid w:val="00CB07DF"/>
    <w:rsid w:val="00CB095D"/>
    <w:rsid w:val="00CB0B61"/>
    <w:rsid w:val="00CB0BD6"/>
    <w:rsid w:val="00CB0EAE"/>
    <w:rsid w:val="00CB1113"/>
    <w:rsid w:val="00CB119B"/>
    <w:rsid w:val="00CB1200"/>
    <w:rsid w:val="00CB1236"/>
    <w:rsid w:val="00CB129E"/>
    <w:rsid w:val="00CB12CC"/>
    <w:rsid w:val="00CB12DA"/>
    <w:rsid w:val="00CB1306"/>
    <w:rsid w:val="00CB13BA"/>
    <w:rsid w:val="00CB1459"/>
    <w:rsid w:val="00CB14B2"/>
    <w:rsid w:val="00CB14CE"/>
    <w:rsid w:val="00CB15F4"/>
    <w:rsid w:val="00CB1767"/>
    <w:rsid w:val="00CB19DC"/>
    <w:rsid w:val="00CB19E8"/>
    <w:rsid w:val="00CB1A88"/>
    <w:rsid w:val="00CB1A8D"/>
    <w:rsid w:val="00CB1AAC"/>
    <w:rsid w:val="00CB1ADD"/>
    <w:rsid w:val="00CB1B76"/>
    <w:rsid w:val="00CB1C08"/>
    <w:rsid w:val="00CB1CE0"/>
    <w:rsid w:val="00CB1CEB"/>
    <w:rsid w:val="00CB1FC2"/>
    <w:rsid w:val="00CB214A"/>
    <w:rsid w:val="00CB22E7"/>
    <w:rsid w:val="00CB248C"/>
    <w:rsid w:val="00CB2532"/>
    <w:rsid w:val="00CB25FE"/>
    <w:rsid w:val="00CB2612"/>
    <w:rsid w:val="00CB2613"/>
    <w:rsid w:val="00CB2647"/>
    <w:rsid w:val="00CB276B"/>
    <w:rsid w:val="00CB2967"/>
    <w:rsid w:val="00CB2A4C"/>
    <w:rsid w:val="00CB2AE2"/>
    <w:rsid w:val="00CB2AF8"/>
    <w:rsid w:val="00CB2B5B"/>
    <w:rsid w:val="00CB2B5F"/>
    <w:rsid w:val="00CB2BF3"/>
    <w:rsid w:val="00CB2BF7"/>
    <w:rsid w:val="00CB2C5D"/>
    <w:rsid w:val="00CB2C8D"/>
    <w:rsid w:val="00CB2D34"/>
    <w:rsid w:val="00CB2EA2"/>
    <w:rsid w:val="00CB3293"/>
    <w:rsid w:val="00CB354D"/>
    <w:rsid w:val="00CB359A"/>
    <w:rsid w:val="00CB35F7"/>
    <w:rsid w:val="00CB3726"/>
    <w:rsid w:val="00CB3788"/>
    <w:rsid w:val="00CB37AB"/>
    <w:rsid w:val="00CB38DC"/>
    <w:rsid w:val="00CB3A15"/>
    <w:rsid w:val="00CB3A99"/>
    <w:rsid w:val="00CB3ACE"/>
    <w:rsid w:val="00CB3BD4"/>
    <w:rsid w:val="00CB3C00"/>
    <w:rsid w:val="00CB3C42"/>
    <w:rsid w:val="00CB3C78"/>
    <w:rsid w:val="00CB3CE5"/>
    <w:rsid w:val="00CB3EEB"/>
    <w:rsid w:val="00CB3F07"/>
    <w:rsid w:val="00CB3FFF"/>
    <w:rsid w:val="00CB402E"/>
    <w:rsid w:val="00CB4044"/>
    <w:rsid w:val="00CB40DA"/>
    <w:rsid w:val="00CB410F"/>
    <w:rsid w:val="00CB4282"/>
    <w:rsid w:val="00CB4285"/>
    <w:rsid w:val="00CB42C1"/>
    <w:rsid w:val="00CB42D3"/>
    <w:rsid w:val="00CB42D9"/>
    <w:rsid w:val="00CB4409"/>
    <w:rsid w:val="00CB4421"/>
    <w:rsid w:val="00CB44BE"/>
    <w:rsid w:val="00CB44E4"/>
    <w:rsid w:val="00CB44FA"/>
    <w:rsid w:val="00CB45E9"/>
    <w:rsid w:val="00CB4601"/>
    <w:rsid w:val="00CB46BC"/>
    <w:rsid w:val="00CB4730"/>
    <w:rsid w:val="00CB47BD"/>
    <w:rsid w:val="00CB48BC"/>
    <w:rsid w:val="00CB4919"/>
    <w:rsid w:val="00CB4C56"/>
    <w:rsid w:val="00CB4D2D"/>
    <w:rsid w:val="00CB4D33"/>
    <w:rsid w:val="00CB4EA6"/>
    <w:rsid w:val="00CB51EC"/>
    <w:rsid w:val="00CB5249"/>
    <w:rsid w:val="00CB52F3"/>
    <w:rsid w:val="00CB5415"/>
    <w:rsid w:val="00CB544B"/>
    <w:rsid w:val="00CB5468"/>
    <w:rsid w:val="00CB55BF"/>
    <w:rsid w:val="00CB5740"/>
    <w:rsid w:val="00CB58D5"/>
    <w:rsid w:val="00CB595F"/>
    <w:rsid w:val="00CB59AD"/>
    <w:rsid w:val="00CB5A82"/>
    <w:rsid w:val="00CB5AA7"/>
    <w:rsid w:val="00CB5B3D"/>
    <w:rsid w:val="00CB5C19"/>
    <w:rsid w:val="00CB5E55"/>
    <w:rsid w:val="00CB60AA"/>
    <w:rsid w:val="00CB60B7"/>
    <w:rsid w:val="00CB618C"/>
    <w:rsid w:val="00CB62AE"/>
    <w:rsid w:val="00CB63E1"/>
    <w:rsid w:val="00CB640F"/>
    <w:rsid w:val="00CB641F"/>
    <w:rsid w:val="00CB643F"/>
    <w:rsid w:val="00CB6481"/>
    <w:rsid w:val="00CB648B"/>
    <w:rsid w:val="00CB64F8"/>
    <w:rsid w:val="00CB66AF"/>
    <w:rsid w:val="00CB67C1"/>
    <w:rsid w:val="00CB68CF"/>
    <w:rsid w:val="00CB6AA6"/>
    <w:rsid w:val="00CB6ACC"/>
    <w:rsid w:val="00CB6B49"/>
    <w:rsid w:val="00CB6C27"/>
    <w:rsid w:val="00CB6C86"/>
    <w:rsid w:val="00CB6CD8"/>
    <w:rsid w:val="00CB6E51"/>
    <w:rsid w:val="00CB6FFD"/>
    <w:rsid w:val="00CB71BB"/>
    <w:rsid w:val="00CB7239"/>
    <w:rsid w:val="00CB7303"/>
    <w:rsid w:val="00CB7361"/>
    <w:rsid w:val="00CB7397"/>
    <w:rsid w:val="00CB7437"/>
    <w:rsid w:val="00CB746B"/>
    <w:rsid w:val="00CB7509"/>
    <w:rsid w:val="00CB7560"/>
    <w:rsid w:val="00CB75D2"/>
    <w:rsid w:val="00CB7601"/>
    <w:rsid w:val="00CB7658"/>
    <w:rsid w:val="00CB76CD"/>
    <w:rsid w:val="00CB76F5"/>
    <w:rsid w:val="00CB7719"/>
    <w:rsid w:val="00CB77B2"/>
    <w:rsid w:val="00CB7907"/>
    <w:rsid w:val="00CB790A"/>
    <w:rsid w:val="00CB795D"/>
    <w:rsid w:val="00CB7A38"/>
    <w:rsid w:val="00CB7A84"/>
    <w:rsid w:val="00CB7D1D"/>
    <w:rsid w:val="00CB7DB2"/>
    <w:rsid w:val="00CB7F35"/>
    <w:rsid w:val="00CB7F95"/>
    <w:rsid w:val="00CB8EFF"/>
    <w:rsid w:val="00CC001F"/>
    <w:rsid w:val="00CC0293"/>
    <w:rsid w:val="00CC02C6"/>
    <w:rsid w:val="00CC033C"/>
    <w:rsid w:val="00CC041C"/>
    <w:rsid w:val="00CC0508"/>
    <w:rsid w:val="00CC0511"/>
    <w:rsid w:val="00CC06EF"/>
    <w:rsid w:val="00CC088D"/>
    <w:rsid w:val="00CC0901"/>
    <w:rsid w:val="00CC0AA5"/>
    <w:rsid w:val="00CC0B3A"/>
    <w:rsid w:val="00CC0EB1"/>
    <w:rsid w:val="00CC0F5B"/>
    <w:rsid w:val="00CC0F8A"/>
    <w:rsid w:val="00CC10BD"/>
    <w:rsid w:val="00CC13B8"/>
    <w:rsid w:val="00CC1442"/>
    <w:rsid w:val="00CC1509"/>
    <w:rsid w:val="00CC1553"/>
    <w:rsid w:val="00CC1561"/>
    <w:rsid w:val="00CC1A9B"/>
    <w:rsid w:val="00CC1B90"/>
    <w:rsid w:val="00CC1D7C"/>
    <w:rsid w:val="00CC1DB2"/>
    <w:rsid w:val="00CC1EE8"/>
    <w:rsid w:val="00CC1F16"/>
    <w:rsid w:val="00CC1F89"/>
    <w:rsid w:val="00CC2030"/>
    <w:rsid w:val="00CC2229"/>
    <w:rsid w:val="00CC2564"/>
    <w:rsid w:val="00CC2579"/>
    <w:rsid w:val="00CC25ED"/>
    <w:rsid w:val="00CC2600"/>
    <w:rsid w:val="00CC263C"/>
    <w:rsid w:val="00CC29E9"/>
    <w:rsid w:val="00CC2A2C"/>
    <w:rsid w:val="00CC2AE0"/>
    <w:rsid w:val="00CC2B51"/>
    <w:rsid w:val="00CC2B53"/>
    <w:rsid w:val="00CC2C4C"/>
    <w:rsid w:val="00CC2C6A"/>
    <w:rsid w:val="00CC2D24"/>
    <w:rsid w:val="00CC2EFC"/>
    <w:rsid w:val="00CC301A"/>
    <w:rsid w:val="00CC3174"/>
    <w:rsid w:val="00CC32D2"/>
    <w:rsid w:val="00CC3323"/>
    <w:rsid w:val="00CC3532"/>
    <w:rsid w:val="00CC3591"/>
    <w:rsid w:val="00CC3696"/>
    <w:rsid w:val="00CC374E"/>
    <w:rsid w:val="00CC37ED"/>
    <w:rsid w:val="00CC3964"/>
    <w:rsid w:val="00CC3AAC"/>
    <w:rsid w:val="00CC3B72"/>
    <w:rsid w:val="00CC3B80"/>
    <w:rsid w:val="00CC3BA3"/>
    <w:rsid w:val="00CC3C0C"/>
    <w:rsid w:val="00CC3C8D"/>
    <w:rsid w:val="00CC3D17"/>
    <w:rsid w:val="00CC3D43"/>
    <w:rsid w:val="00CC3DA7"/>
    <w:rsid w:val="00CC3DD2"/>
    <w:rsid w:val="00CC3E08"/>
    <w:rsid w:val="00CC3E4E"/>
    <w:rsid w:val="00CC4025"/>
    <w:rsid w:val="00CC409F"/>
    <w:rsid w:val="00CC40EB"/>
    <w:rsid w:val="00CC40EF"/>
    <w:rsid w:val="00CC412C"/>
    <w:rsid w:val="00CC4130"/>
    <w:rsid w:val="00CC4286"/>
    <w:rsid w:val="00CC42EB"/>
    <w:rsid w:val="00CC436E"/>
    <w:rsid w:val="00CC4449"/>
    <w:rsid w:val="00CC4480"/>
    <w:rsid w:val="00CC4722"/>
    <w:rsid w:val="00CC4737"/>
    <w:rsid w:val="00CC47BE"/>
    <w:rsid w:val="00CC4840"/>
    <w:rsid w:val="00CC49E7"/>
    <w:rsid w:val="00CC4A57"/>
    <w:rsid w:val="00CC4AF3"/>
    <w:rsid w:val="00CC4B01"/>
    <w:rsid w:val="00CC4B65"/>
    <w:rsid w:val="00CC4BD1"/>
    <w:rsid w:val="00CC4C19"/>
    <w:rsid w:val="00CC4C3C"/>
    <w:rsid w:val="00CC4C7F"/>
    <w:rsid w:val="00CC4EAF"/>
    <w:rsid w:val="00CC5050"/>
    <w:rsid w:val="00CC50F4"/>
    <w:rsid w:val="00CC5226"/>
    <w:rsid w:val="00CC5278"/>
    <w:rsid w:val="00CC5291"/>
    <w:rsid w:val="00CC52D1"/>
    <w:rsid w:val="00CC53B6"/>
    <w:rsid w:val="00CC53EC"/>
    <w:rsid w:val="00CC54B1"/>
    <w:rsid w:val="00CC54BC"/>
    <w:rsid w:val="00CC550B"/>
    <w:rsid w:val="00CC5546"/>
    <w:rsid w:val="00CC564D"/>
    <w:rsid w:val="00CC573B"/>
    <w:rsid w:val="00CC574B"/>
    <w:rsid w:val="00CC5861"/>
    <w:rsid w:val="00CC5B3A"/>
    <w:rsid w:val="00CC5B94"/>
    <w:rsid w:val="00CC5B9F"/>
    <w:rsid w:val="00CC5BAF"/>
    <w:rsid w:val="00CC5BCE"/>
    <w:rsid w:val="00CC5BFD"/>
    <w:rsid w:val="00CC5C55"/>
    <w:rsid w:val="00CC5CCB"/>
    <w:rsid w:val="00CC5CCF"/>
    <w:rsid w:val="00CC5CEF"/>
    <w:rsid w:val="00CC5D21"/>
    <w:rsid w:val="00CC5FF7"/>
    <w:rsid w:val="00CC6239"/>
    <w:rsid w:val="00CC623F"/>
    <w:rsid w:val="00CC62E7"/>
    <w:rsid w:val="00CC6326"/>
    <w:rsid w:val="00CC636C"/>
    <w:rsid w:val="00CC6384"/>
    <w:rsid w:val="00CC639E"/>
    <w:rsid w:val="00CC65C4"/>
    <w:rsid w:val="00CC6803"/>
    <w:rsid w:val="00CC6868"/>
    <w:rsid w:val="00CC689C"/>
    <w:rsid w:val="00CC69A7"/>
    <w:rsid w:val="00CC6A61"/>
    <w:rsid w:val="00CC6B3B"/>
    <w:rsid w:val="00CC6D87"/>
    <w:rsid w:val="00CC6DA9"/>
    <w:rsid w:val="00CC6E9F"/>
    <w:rsid w:val="00CC6ED7"/>
    <w:rsid w:val="00CC6F32"/>
    <w:rsid w:val="00CC70DD"/>
    <w:rsid w:val="00CC7204"/>
    <w:rsid w:val="00CC72A7"/>
    <w:rsid w:val="00CC72AA"/>
    <w:rsid w:val="00CC72DF"/>
    <w:rsid w:val="00CC74CD"/>
    <w:rsid w:val="00CC765E"/>
    <w:rsid w:val="00CC76CC"/>
    <w:rsid w:val="00CC77F9"/>
    <w:rsid w:val="00CC781F"/>
    <w:rsid w:val="00CC7882"/>
    <w:rsid w:val="00CC7904"/>
    <w:rsid w:val="00CC7ABA"/>
    <w:rsid w:val="00CC7AE3"/>
    <w:rsid w:val="00CC7C16"/>
    <w:rsid w:val="00CC7C4F"/>
    <w:rsid w:val="00CC7C5F"/>
    <w:rsid w:val="00CC7CD8"/>
    <w:rsid w:val="00CC7ED0"/>
    <w:rsid w:val="00CD0032"/>
    <w:rsid w:val="00CD0039"/>
    <w:rsid w:val="00CD0128"/>
    <w:rsid w:val="00CD036A"/>
    <w:rsid w:val="00CD0372"/>
    <w:rsid w:val="00CD03CF"/>
    <w:rsid w:val="00CD03DD"/>
    <w:rsid w:val="00CD0411"/>
    <w:rsid w:val="00CD046F"/>
    <w:rsid w:val="00CD056C"/>
    <w:rsid w:val="00CD0579"/>
    <w:rsid w:val="00CD0665"/>
    <w:rsid w:val="00CD088D"/>
    <w:rsid w:val="00CD0A01"/>
    <w:rsid w:val="00CD0A80"/>
    <w:rsid w:val="00CD0B5D"/>
    <w:rsid w:val="00CD0C01"/>
    <w:rsid w:val="00CD0C5D"/>
    <w:rsid w:val="00CD0E4E"/>
    <w:rsid w:val="00CD0E8B"/>
    <w:rsid w:val="00CD1102"/>
    <w:rsid w:val="00CD110A"/>
    <w:rsid w:val="00CD11AF"/>
    <w:rsid w:val="00CD11D2"/>
    <w:rsid w:val="00CD128A"/>
    <w:rsid w:val="00CD12D7"/>
    <w:rsid w:val="00CD1471"/>
    <w:rsid w:val="00CD1557"/>
    <w:rsid w:val="00CD15EF"/>
    <w:rsid w:val="00CD1816"/>
    <w:rsid w:val="00CD1909"/>
    <w:rsid w:val="00CD192E"/>
    <w:rsid w:val="00CD1952"/>
    <w:rsid w:val="00CD1986"/>
    <w:rsid w:val="00CD1988"/>
    <w:rsid w:val="00CD19DD"/>
    <w:rsid w:val="00CD1AA7"/>
    <w:rsid w:val="00CD1B5D"/>
    <w:rsid w:val="00CD1D05"/>
    <w:rsid w:val="00CD1D94"/>
    <w:rsid w:val="00CD216F"/>
    <w:rsid w:val="00CD2191"/>
    <w:rsid w:val="00CD21BC"/>
    <w:rsid w:val="00CD2244"/>
    <w:rsid w:val="00CD2260"/>
    <w:rsid w:val="00CD259A"/>
    <w:rsid w:val="00CD27AD"/>
    <w:rsid w:val="00CD2A98"/>
    <w:rsid w:val="00CD2AF2"/>
    <w:rsid w:val="00CD2B7C"/>
    <w:rsid w:val="00CD2C17"/>
    <w:rsid w:val="00CD2EDF"/>
    <w:rsid w:val="00CD2FB1"/>
    <w:rsid w:val="00CD2FCB"/>
    <w:rsid w:val="00CD302B"/>
    <w:rsid w:val="00CD3256"/>
    <w:rsid w:val="00CD3377"/>
    <w:rsid w:val="00CD3434"/>
    <w:rsid w:val="00CD3653"/>
    <w:rsid w:val="00CD368C"/>
    <w:rsid w:val="00CD36EB"/>
    <w:rsid w:val="00CD370B"/>
    <w:rsid w:val="00CD3711"/>
    <w:rsid w:val="00CD3790"/>
    <w:rsid w:val="00CD3AC8"/>
    <w:rsid w:val="00CD3B59"/>
    <w:rsid w:val="00CD3D0D"/>
    <w:rsid w:val="00CD3D79"/>
    <w:rsid w:val="00CD3E66"/>
    <w:rsid w:val="00CD3FAE"/>
    <w:rsid w:val="00CD41F0"/>
    <w:rsid w:val="00CD42BC"/>
    <w:rsid w:val="00CD4372"/>
    <w:rsid w:val="00CD44AB"/>
    <w:rsid w:val="00CD466D"/>
    <w:rsid w:val="00CD4717"/>
    <w:rsid w:val="00CD4929"/>
    <w:rsid w:val="00CD4A59"/>
    <w:rsid w:val="00CD4A8B"/>
    <w:rsid w:val="00CD4AF0"/>
    <w:rsid w:val="00CD4CAB"/>
    <w:rsid w:val="00CD4FEC"/>
    <w:rsid w:val="00CD5079"/>
    <w:rsid w:val="00CD5105"/>
    <w:rsid w:val="00CD5117"/>
    <w:rsid w:val="00CD5271"/>
    <w:rsid w:val="00CD5478"/>
    <w:rsid w:val="00CD54A3"/>
    <w:rsid w:val="00CD557A"/>
    <w:rsid w:val="00CD563D"/>
    <w:rsid w:val="00CD5660"/>
    <w:rsid w:val="00CD5661"/>
    <w:rsid w:val="00CD5713"/>
    <w:rsid w:val="00CD5759"/>
    <w:rsid w:val="00CD5819"/>
    <w:rsid w:val="00CD5907"/>
    <w:rsid w:val="00CD5B3E"/>
    <w:rsid w:val="00CD5B6B"/>
    <w:rsid w:val="00CD5C0E"/>
    <w:rsid w:val="00CD5C21"/>
    <w:rsid w:val="00CD5C54"/>
    <w:rsid w:val="00CD5CC3"/>
    <w:rsid w:val="00CD5CE9"/>
    <w:rsid w:val="00CD5E09"/>
    <w:rsid w:val="00CD5F09"/>
    <w:rsid w:val="00CD6003"/>
    <w:rsid w:val="00CD608D"/>
    <w:rsid w:val="00CD61B5"/>
    <w:rsid w:val="00CD6483"/>
    <w:rsid w:val="00CD64B5"/>
    <w:rsid w:val="00CD65AA"/>
    <w:rsid w:val="00CD6631"/>
    <w:rsid w:val="00CD670E"/>
    <w:rsid w:val="00CD6736"/>
    <w:rsid w:val="00CD6772"/>
    <w:rsid w:val="00CD6966"/>
    <w:rsid w:val="00CD6A88"/>
    <w:rsid w:val="00CD6C2D"/>
    <w:rsid w:val="00CD6C38"/>
    <w:rsid w:val="00CD6C58"/>
    <w:rsid w:val="00CD6E67"/>
    <w:rsid w:val="00CD6F98"/>
    <w:rsid w:val="00CD700B"/>
    <w:rsid w:val="00CD720B"/>
    <w:rsid w:val="00CD73EC"/>
    <w:rsid w:val="00CD7416"/>
    <w:rsid w:val="00CD7437"/>
    <w:rsid w:val="00CD75EF"/>
    <w:rsid w:val="00CD7693"/>
    <w:rsid w:val="00CD7721"/>
    <w:rsid w:val="00CD7736"/>
    <w:rsid w:val="00CD778D"/>
    <w:rsid w:val="00CD77AE"/>
    <w:rsid w:val="00CD7836"/>
    <w:rsid w:val="00CD78C7"/>
    <w:rsid w:val="00CD78F7"/>
    <w:rsid w:val="00CD7A76"/>
    <w:rsid w:val="00CD7AB5"/>
    <w:rsid w:val="00CD7B44"/>
    <w:rsid w:val="00CD7CE8"/>
    <w:rsid w:val="00CD7D01"/>
    <w:rsid w:val="00CD7D47"/>
    <w:rsid w:val="00CD7E75"/>
    <w:rsid w:val="00CE001E"/>
    <w:rsid w:val="00CE01E0"/>
    <w:rsid w:val="00CE0261"/>
    <w:rsid w:val="00CE0527"/>
    <w:rsid w:val="00CE0540"/>
    <w:rsid w:val="00CE054F"/>
    <w:rsid w:val="00CE05CA"/>
    <w:rsid w:val="00CE0615"/>
    <w:rsid w:val="00CE0771"/>
    <w:rsid w:val="00CE087E"/>
    <w:rsid w:val="00CE08A1"/>
    <w:rsid w:val="00CE0A7C"/>
    <w:rsid w:val="00CE0ADF"/>
    <w:rsid w:val="00CE0B66"/>
    <w:rsid w:val="00CE0C27"/>
    <w:rsid w:val="00CE0CC1"/>
    <w:rsid w:val="00CE0FFB"/>
    <w:rsid w:val="00CE1095"/>
    <w:rsid w:val="00CE11BD"/>
    <w:rsid w:val="00CE11F7"/>
    <w:rsid w:val="00CE1458"/>
    <w:rsid w:val="00CE146A"/>
    <w:rsid w:val="00CE15E2"/>
    <w:rsid w:val="00CE15F0"/>
    <w:rsid w:val="00CE174C"/>
    <w:rsid w:val="00CE1861"/>
    <w:rsid w:val="00CE18E9"/>
    <w:rsid w:val="00CE1B2F"/>
    <w:rsid w:val="00CE1E46"/>
    <w:rsid w:val="00CE1E90"/>
    <w:rsid w:val="00CE20D1"/>
    <w:rsid w:val="00CE2183"/>
    <w:rsid w:val="00CE226A"/>
    <w:rsid w:val="00CE2412"/>
    <w:rsid w:val="00CE245C"/>
    <w:rsid w:val="00CE2473"/>
    <w:rsid w:val="00CE29E4"/>
    <w:rsid w:val="00CE2E9E"/>
    <w:rsid w:val="00CE2F63"/>
    <w:rsid w:val="00CE300F"/>
    <w:rsid w:val="00CE30B2"/>
    <w:rsid w:val="00CE3184"/>
    <w:rsid w:val="00CE330F"/>
    <w:rsid w:val="00CE346E"/>
    <w:rsid w:val="00CE352C"/>
    <w:rsid w:val="00CE3578"/>
    <w:rsid w:val="00CE3609"/>
    <w:rsid w:val="00CE363E"/>
    <w:rsid w:val="00CE380F"/>
    <w:rsid w:val="00CE3BAE"/>
    <w:rsid w:val="00CE3C12"/>
    <w:rsid w:val="00CE3C2F"/>
    <w:rsid w:val="00CE3D6D"/>
    <w:rsid w:val="00CE3DCE"/>
    <w:rsid w:val="00CE3E37"/>
    <w:rsid w:val="00CE3E6A"/>
    <w:rsid w:val="00CE3FA6"/>
    <w:rsid w:val="00CE40F0"/>
    <w:rsid w:val="00CE4147"/>
    <w:rsid w:val="00CE416B"/>
    <w:rsid w:val="00CE4319"/>
    <w:rsid w:val="00CE433F"/>
    <w:rsid w:val="00CE43E4"/>
    <w:rsid w:val="00CE4463"/>
    <w:rsid w:val="00CE4491"/>
    <w:rsid w:val="00CE44AE"/>
    <w:rsid w:val="00CE451B"/>
    <w:rsid w:val="00CE4588"/>
    <w:rsid w:val="00CE46E9"/>
    <w:rsid w:val="00CE4769"/>
    <w:rsid w:val="00CE48BB"/>
    <w:rsid w:val="00CE49DE"/>
    <w:rsid w:val="00CE4B88"/>
    <w:rsid w:val="00CE4FC6"/>
    <w:rsid w:val="00CE50C5"/>
    <w:rsid w:val="00CE5156"/>
    <w:rsid w:val="00CE51E9"/>
    <w:rsid w:val="00CE5332"/>
    <w:rsid w:val="00CE542D"/>
    <w:rsid w:val="00CE54F4"/>
    <w:rsid w:val="00CE5612"/>
    <w:rsid w:val="00CE5851"/>
    <w:rsid w:val="00CE58C2"/>
    <w:rsid w:val="00CE58D6"/>
    <w:rsid w:val="00CE5910"/>
    <w:rsid w:val="00CE59CA"/>
    <w:rsid w:val="00CE5C10"/>
    <w:rsid w:val="00CE5C54"/>
    <w:rsid w:val="00CE5C5C"/>
    <w:rsid w:val="00CE5C80"/>
    <w:rsid w:val="00CE5CDA"/>
    <w:rsid w:val="00CE61B7"/>
    <w:rsid w:val="00CE61D7"/>
    <w:rsid w:val="00CE6252"/>
    <w:rsid w:val="00CE62A8"/>
    <w:rsid w:val="00CE62FA"/>
    <w:rsid w:val="00CE635E"/>
    <w:rsid w:val="00CE6455"/>
    <w:rsid w:val="00CE6655"/>
    <w:rsid w:val="00CE6657"/>
    <w:rsid w:val="00CE66FD"/>
    <w:rsid w:val="00CE682A"/>
    <w:rsid w:val="00CE6931"/>
    <w:rsid w:val="00CE6973"/>
    <w:rsid w:val="00CE6AE1"/>
    <w:rsid w:val="00CE6C1A"/>
    <w:rsid w:val="00CE6C28"/>
    <w:rsid w:val="00CE6D04"/>
    <w:rsid w:val="00CE6F94"/>
    <w:rsid w:val="00CE717F"/>
    <w:rsid w:val="00CE71AF"/>
    <w:rsid w:val="00CE72D8"/>
    <w:rsid w:val="00CE73AC"/>
    <w:rsid w:val="00CE7491"/>
    <w:rsid w:val="00CE74A8"/>
    <w:rsid w:val="00CE74EC"/>
    <w:rsid w:val="00CE7517"/>
    <w:rsid w:val="00CE7539"/>
    <w:rsid w:val="00CE7838"/>
    <w:rsid w:val="00CE7870"/>
    <w:rsid w:val="00CE78C9"/>
    <w:rsid w:val="00CE7A77"/>
    <w:rsid w:val="00CE7BA1"/>
    <w:rsid w:val="00CE7C52"/>
    <w:rsid w:val="00CE7DA1"/>
    <w:rsid w:val="00CE7E06"/>
    <w:rsid w:val="00CE7E3F"/>
    <w:rsid w:val="00CE7FBD"/>
    <w:rsid w:val="00CE7FBF"/>
    <w:rsid w:val="00CE7FE0"/>
    <w:rsid w:val="00CEF63D"/>
    <w:rsid w:val="00CF00A4"/>
    <w:rsid w:val="00CF021D"/>
    <w:rsid w:val="00CF0287"/>
    <w:rsid w:val="00CF02E7"/>
    <w:rsid w:val="00CF02ED"/>
    <w:rsid w:val="00CF031F"/>
    <w:rsid w:val="00CF0395"/>
    <w:rsid w:val="00CF05C9"/>
    <w:rsid w:val="00CF05EE"/>
    <w:rsid w:val="00CF0648"/>
    <w:rsid w:val="00CF06B0"/>
    <w:rsid w:val="00CF06F1"/>
    <w:rsid w:val="00CF077F"/>
    <w:rsid w:val="00CF0A3F"/>
    <w:rsid w:val="00CF0A52"/>
    <w:rsid w:val="00CF0AE8"/>
    <w:rsid w:val="00CF0C54"/>
    <w:rsid w:val="00CF0D14"/>
    <w:rsid w:val="00CF0E3D"/>
    <w:rsid w:val="00CF0EC3"/>
    <w:rsid w:val="00CF0F20"/>
    <w:rsid w:val="00CF1074"/>
    <w:rsid w:val="00CF11CC"/>
    <w:rsid w:val="00CF1373"/>
    <w:rsid w:val="00CF161F"/>
    <w:rsid w:val="00CF16A5"/>
    <w:rsid w:val="00CF177B"/>
    <w:rsid w:val="00CF17C7"/>
    <w:rsid w:val="00CF17FB"/>
    <w:rsid w:val="00CF189E"/>
    <w:rsid w:val="00CF18A6"/>
    <w:rsid w:val="00CF19C4"/>
    <w:rsid w:val="00CF19EB"/>
    <w:rsid w:val="00CF1BF0"/>
    <w:rsid w:val="00CF1D31"/>
    <w:rsid w:val="00CF1E75"/>
    <w:rsid w:val="00CF1F9D"/>
    <w:rsid w:val="00CF1F9E"/>
    <w:rsid w:val="00CF1FA1"/>
    <w:rsid w:val="00CF20B7"/>
    <w:rsid w:val="00CF20BC"/>
    <w:rsid w:val="00CF20CC"/>
    <w:rsid w:val="00CF20D5"/>
    <w:rsid w:val="00CF20D7"/>
    <w:rsid w:val="00CF22C6"/>
    <w:rsid w:val="00CF23C9"/>
    <w:rsid w:val="00CF23F4"/>
    <w:rsid w:val="00CF2505"/>
    <w:rsid w:val="00CF2529"/>
    <w:rsid w:val="00CF25D0"/>
    <w:rsid w:val="00CF25FF"/>
    <w:rsid w:val="00CF26F8"/>
    <w:rsid w:val="00CF29B0"/>
    <w:rsid w:val="00CF2A4B"/>
    <w:rsid w:val="00CF2C0C"/>
    <w:rsid w:val="00CF2D4E"/>
    <w:rsid w:val="00CF2EAE"/>
    <w:rsid w:val="00CF2F48"/>
    <w:rsid w:val="00CF302E"/>
    <w:rsid w:val="00CF3066"/>
    <w:rsid w:val="00CF30ED"/>
    <w:rsid w:val="00CF3171"/>
    <w:rsid w:val="00CF31FD"/>
    <w:rsid w:val="00CF3242"/>
    <w:rsid w:val="00CF325D"/>
    <w:rsid w:val="00CF32EF"/>
    <w:rsid w:val="00CF337C"/>
    <w:rsid w:val="00CF34FB"/>
    <w:rsid w:val="00CF3575"/>
    <w:rsid w:val="00CF35DC"/>
    <w:rsid w:val="00CF383B"/>
    <w:rsid w:val="00CF3894"/>
    <w:rsid w:val="00CF391D"/>
    <w:rsid w:val="00CF39C7"/>
    <w:rsid w:val="00CF3A0C"/>
    <w:rsid w:val="00CF3A1D"/>
    <w:rsid w:val="00CF3B25"/>
    <w:rsid w:val="00CF3BA7"/>
    <w:rsid w:val="00CF3C1D"/>
    <w:rsid w:val="00CF3C51"/>
    <w:rsid w:val="00CF4008"/>
    <w:rsid w:val="00CF4022"/>
    <w:rsid w:val="00CF4035"/>
    <w:rsid w:val="00CF40AA"/>
    <w:rsid w:val="00CF40B6"/>
    <w:rsid w:val="00CF40EE"/>
    <w:rsid w:val="00CF42CA"/>
    <w:rsid w:val="00CF4482"/>
    <w:rsid w:val="00CF44A1"/>
    <w:rsid w:val="00CF44D1"/>
    <w:rsid w:val="00CF454B"/>
    <w:rsid w:val="00CF45D1"/>
    <w:rsid w:val="00CF4672"/>
    <w:rsid w:val="00CF4694"/>
    <w:rsid w:val="00CF476F"/>
    <w:rsid w:val="00CF47D2"/>
    <w:rsid w:val="00CF482D"/>
    <w:rsid w:val="00CF4B15"/>
    <w:rsid w:val="00CF4C58"/>
    <w:rsid w:val="00CF4F42"/>
    <w:rsid w:val="00CF5049"/>
    <w:rsid w:val="00CF51F1"/>
    <w:rsid w:val="00CF5418"/>
    <w:rsid w:val="00CF5429"/>
    <w:rsid w:val="00CF542D"/>
    <w:rsid w:val="00CF54DA"/>
    <w:rsid w:val="00CF5547"/>
    <w:rsid w:val="00CF5590"/>
    <w:rsid w:val="00CF5643"/>
    <w:rsid w:val="00CF571F"/>
    <w:rsid w:val="00CF589F"/>
    <w:rsid w:val="00CF5A31"/>
    <w:rsid w:val="00CF5B5F"/>
    <w:rsid w:val="00CF5BC8"/>
    <w:rsid w:val="00CF5C52"/>
    <w:rsid w:val="00CF5E09"/>
    <w:rsid w:val="00CF5EBE"/>
    <w:rsid w:val="00CF6001"/>
    <w:rsid w:val="00CF6010"/>
    <w:rsid w:val="00CF60D4"/>
    <w:rsid w:val="00CF617A"/>
    <w:rsid w:val="00CF6303"/>
    <w:rsid w:val="00CF6407"/>
    <w:rsid w:val="00CF6465"/>
    <w:rsid w:val="00CF6646"/>
    <w:rsid w:val="00CF6802"/>
    <w:rsid w:val="00CF6881"/>
    <w:rsid w:val="00CF6885"/>
    <w:rsid w:val="00CF69D9"/>
    <w:rsid w:val="00CF6AC1"/>
    <w:rsid w:val="00CF6B7E"/>
    <w:rsid w:val="00CF6C02"/>
    <w:rsid w:val="00CF6D07"/>
    <w:rsid w:val="00CF6D1A"/>
    <w:rsid w:val="00CF6DEF"/>
    <w:rsid w:val="00CF710F"/>
    <w:rsid w:val="00CF7199"/>
    <w:rsid w:val="00CF7209"/>
    <w:rsid w:val="00CF7286"/>
    <w:rsid w:val="00CF73EF"/>
    <w:rsid w:val="00CF74F4"/>
    <w:rsid w:val="00CF752F"/>
    <w:rsid w:val="00CF75CD"/>
    <w:rsid w:val="00CF75FA"/>
    <w:rsid w:val="00CF7643"/>
    <w:rsid w:val="00CF770D"/>
    <w:rsid w:val="00CF78BA"/>
    <w:rsid w:val="00CF79F9"/>
    <w:rsid w:val="00CF7A8A"/>
    <w:rsid w:val="00CF7B7C"/>
    <w:rsid w:val="00CF7C39"/>
    <w:rsid w:val="00CF7D1C"/>
    <w:rsid w:val="00CF7E93"/>
    <w:rsid w:val="00D00088"/>
    <w:rsid w:val="00D00143"/>
    <w:rsid w:val="00D00245"/>
    <w:rsid w:val="00D00246"/>
    <w:rsid w:val="00D005B9"/>
    <w:rsid w:val="00D005E6"/>
    <w:rsid w:val="00D005F6"/>
    <w:rsid w:val="00D00629"/>
    <w:rsid w:val="00D0066B"/>
    <w:rsid w:val="00D00716"/>
    <w:rsid w:val="00D0073D"/>
    <w:rsid w:val="00D0078E"/>
    <w:rsid w:val="00D007AD"/>
    <w:rsid w:val="00D00A0F"/>
    <w:rsid w:val="00D00AF0"/>
    <w:rsid w:val="00D00BC1"/>
    <w:rsid w:val="00D00BC4"/>
    <w:rsid w:val="00D00BF7"/>
    <w:rsid w:val="00D00C1F"/>
    <w:rsid w:val="00D00C60"/>
    <w:rsid w:val="00D00F1A"/>
    <w:rsid w:val="00D010BC"/>
    <w:rsid w:val="00D0117C"/>
    <w:rsid w:val="00D011D4"/>
    <w:rsid w:val="00D012A5"/>
    <w:rsid w:val="00D012C9"/>
    <w:rsid w:val="00D01333"/>
    <w:rsid w:val="00D013DF"/>
    <w:rsid w:val="00D01462"/>
    <w:rsid w:val="00D0153D"/>
    <w:rsid w:val="00D01544"/>
    <w:rsid w:val="00D01709"/>
    <w:rsid w:val="00D017E0"/>
    <w:rsid w:val="00D01A01"/>
    <w:rsid w:val="00D01A35"/>
    <w:rsid w:val="00D01ADC"/>
    <w:rsid w:val="00D01CBC"/>
    <w:rsid w:val="00D01D11"/>
    <w:rsid w:val="00D01DF8"/>
    <w:rsid w:val="00D01E43"/>
    <w:rsid w:val="00D01F36"/>
    <w:rsid w:val="00D02057"/>
    <w:rsid w:val="00D020E0"/>
    <w:rsid w:val="00D020E4"/>
    <w:rsid w:val="00D021BB"/>
    <w:rsid w:val="00D021F0"/>
    <w:rsid w:val="00D02300"/>
    <w:rsid w:val="00D02482"/>
    <w:rsid w:val="00D024BA"/>
    <w:rsid w:val="00D025DA"/>
    <w:rsid w:val="00D02642"/>
    <w:rsid w:val="00D0264E"/>
    <w:rsid w:val="00D027AE"/>
    <w:rsid w:val="00D027B4"/>
    <w:rsid w:val="00D02834"/>
    <w:rsid w:val="00D028FF"/>
    <w:rsid w:val="00D02A12"/>
    <w:rsid w:val="00D02A34"/>
    <w:rsid w:val="00D02A94"/>
    <w:rsid w:val="00D02AE7"/>
    <w:rsid w:val="00D02CB2"/>
    <w:rsid w:val="00D02CC0"/>
    <w:rsid w:val="00D02F0F"/>
    <w:rsid w:val="00D0303C"/>
    <w:rsid w:val="00D03069"/>
    <w:rsid w:val="00D031AD"/>
    <w:rsid w:val="00D031BC"/>
    <w:rsid w:val="00D034C4"/>
    <w:rsid w:val="00D0350E"/>
    <w:rsid w:val="00D03556"/>
    <w:rsid w:val="00D03569"/>
    <w:rsid w:val="00D035C1"/>
    <w:rsid w:val="00D03804"/>
    <w:rsid w:val="00D03843"/>
    <w:rsid w:val="00D039E6"/>
    <w:rsid w:val="00D03B0C"/>
    <w:rsid w:val="00D03B32"/>
    <w:rsid w:val="00D03BF3"/>
    <w:rsid w:val="00D03CCF"/>
    <w:rsid w:val="00D03FB6"/>
    <w:rsid w:val="00D04062"/>
    <w:rsid w:val="00D043C9"/>
    <w:rsid w:val="00D044E8"/>
    <w:rsid w:val="00D044F7"/>
    <w:rsid w:val="00D04688"/>
    <w:rsid w:val="00D046DA"/>
    <w:rsid w:val="00D0479A"/>
    <w:rsid w:val="00D04AA9"/>
    <w:rsid w:val="00D04AEF"/>
    <w:rsid w:val="00D04C9E"/>
    <w:rsid w:val="00D04CA1"/>
    <w:rsid w:val="00D04D87"/>
    <w:rsid w:val="00D04E7F"/>
    <w:rsid w:val="00D04EAB"/>
    <w:rsid w:val="00D04F70"/>
    <w:rsid w:val="00D05068"/>
    <w:rsid w:val="00D050D3"/>
    <w:rsid w:val="00D0517A"/>
    <w:rsid w:val="00D0524C"/>
    <w:rsid w:val="00D05301"/>
    <w:rsid w:val="00D05433"/>
    <w:rsid w:val="00D055FC"/>
    <w:rsid w:val="00D05648"/>
    <w:rsid w:val="00D0567C"/>
    <w:rsid w:val="00D056CB"/>
    <w:rsid w:val="00D0572F"/>
    <w:rsid w:val="00D0579F"/>
    <w:rsid w:val="00D057D1"/>
    <w:rsid w:val="00D058B6"/>
    <w:rsid w:val="00D058CD"/>
    <w:rsid w:val="00D059D8"/>
    <w:rsid w:val="00D05A66"/>
    <w:rsid w:val="00D05A9A"/>
    <w:rsid w:val="00D05CA4"/>
    <w:rsid w:val="00D05CFD"/>
    <w:rsid w:val="00D05D64"/>
    <w:rsid w:val="00D05DCC"/>
    <w:rsid w:val="00D05E8B"/>
    <w:rsid w:val="00D05FA6"/>
    <w:rsid w:val="00D06040"/>
    <w:rsid w:val="00D0605F"/>
    <w:rsid w:val="00D06134"/>
    <w:rsid w:val="00D061D8"/>
    <w:rsid w:val="00D0623D"/>
    <w:rsid w:val="00D0626E"/>
    <w:rsid w:val="00D062C2"/>
    <w:rsid w:val="00D063CE"/>
    <w:rsid w:val="00D064A6"/>
    <w:rsid w:val="00D065F0"/>
    <w:rsid w:val="00D066B6"/>
    <w:rsid w:val="00D0671F"/>
    <w:rsid w:val="00D06CD2"/>
    <w:rsid w:val="00D06E33"/>
    <w:rsid w:val="00D06EFB"/>
    <w:rsid w:val="00D0701A"/>
    <w:rsid w:val="00D07075"/>
    <w:rsid w:val="00D070AA"/>
    <w:rsid w:val="00D07226"/>
    <w:rsid w:val="00D075BE"/>
    <w:rsid w:val="00D0762F"/>
    <w:rsid w:val="00D07833"/>
    <w:rsid w:val="00D07877"/>
    <w:rsid w:val="00D078B8"/>
    <w:rsid w:val="00D07902"/>
    <w:rsid w:val="00D079CF"/>
    <w:rsid w:val="00D07A50"/>
    <w:rsid w:val="00D07A71"/>
    <w:rsid w:val="00D07A7B"/>
    <w:rsid w:val="00D07B5D"/>
    <w:rsid w:val="00D07CA8"/>
    <w:rsid w:val="00D07D42"/>
    <w:rsid w:val="00D07D9D"/>
    <w:rsid w:val="00D07DC9"/>
    <w:rsid w:val="00D07E0C"/>
    <w:rsid w:val="00D07E52"/>
    <w:rsid w:val="00D07F85"/>
    <w:rsid w:val="00D100B7"/>
    <w:rsid w:val="00D100C3"/>
    <w:rsid w:val="00D10204"/>
    <w:rsid w:val="00D10290"/>
    <w:rsid w:val="00D103A1"/>
    <w:rsid w:val="00D1058D"/>
    <w:rsid w:val="00D1072A"/>
    <w:rsid w:val="00D10982"/>
    <w:rsid w:val="00D10A77"/>
    <w:rsid w:val="00D10E1B"/>
    <w:rsid w:val="00D10E64"/>
    <w:rsid w:val="00D11111"/>
    <w:rsid w:val="00D11208"/>
    <w:rsid w:val="00D1131E"/>
    <w:rsid w:val="00D11450"/>
    <w:rsid w:val="00D114C5"/>
    <w:rsid w:val="00D11530"/>
    <w:rsid w:val="00D11593"/>
    <w:rsid w:val="00D116B6"/>
    <w:rsid w:val="00D11C7D"/>
    <w:rsid w:val="00D11DDA"/>
    <w:rsid w:val="00D11DF0"/>
    <w:rsid w:val="00D11F4F"/>
    <w:rsid w:val="00D11FAE"/>
    <w:rsid w:val="00D120AC"/>
    <w:rsid w:val="00D1216B"/>
    <w:rsid w:val="00D121D0"/>
    <w:rsid w:val="00D12686"/>
    <w:rsid w:val="00D126D1"/>
    <w:rsid w:val="00D127AB"/>
    <w:rsid w:val="00D129ED"/>
    <w:rsid w:val="00D12C76"/>
    <w:rsid w:val="00D12D02"/>
    <w:rsid w:val="00D12F50"/>
    <w:rsid w:val="00D12F52"/>
    <w:rsid w:val="00D13008"/>
    <w:rsid w:val="00D1300B"/>
    <w:rsid w:val="00D13097"/>
    <w:rsid w:val="00D132F0"/>
    <w:rsid w:val="00D13309"/>
    <w:rsid w:val="00D133A6"/>
    <w:rsid w:val="00D1365E"/>
    <w:rsid w:val="00D13781"/>
    <w:rsid w:val="00D137B9"/>
    <w:rsid w:val="00D137EC"/>
    <w:rsid w:val="00D13813"/>
    <w:rsid w:val="00D13892"/>
    <w:rsid w:val="00D138F5"/>
    <w:rsid w:val="00D1391D"/>
    <w:rsid w:val="00D1394B"/>
    <w:rsid w:val="00D13A1D"/>
    <w:rsid w:val="00D13AA0"/>
    <w:rsid w:val="00D13CB2"/>
    <w:rsid w:val="00D13E9A"/>
    <w:rsid w:val="00D13EFF"/>
    <w:rsid w:val="00D13FB4"/>
    <w:rsid w:val="00D14010"/>
    <w:rsid w:val="00D14095"/>
    <w:rsid w:val="00D1426A"/>
    <w:rsid w:val="00D1448F"/>
    <w:rsid w:val="00D144B2"/>
    <w:rsid w:val="00D147DA"/>
    <w:rsid w:val="00D1486A"/>
    <w:rsid w:val="00D14895"/>
    <w:rsid w:val="00D14A2C"/>
    <w:rsid w:val="00D14A2F"/>
    <w:rsid w:val="00D14BDD"/>
    <w:rsid w:val="00D14BDE"/>
    <w:rsid w:val="00D14C50"/>
    <w:rsid w:val="00D14CAF"/>
    <w:rsid w:val="00D14DB6"/>
    <w:rsid w:val="00D14DF9"/>
    <w:rsid w:val="00D14E41"/>
    <w:rsid w:val="00D14E69"/>
    <w:rsid w:val="00D14F52"/>
    <w:rsid w:val="00D14FAF"/>
    <w:rsid w:val="00D15046"/>
    <w:rsid w:val="00D15047"/>
    <w:rsid w:val="00D1523E"/>
    <w:rsid w:val="00D15278"/>
    <w:rsid w:val="00D153CC"/>
    <w:rsid w:val="00D1542E"/>
    <w:rsid w:val="00D154A9"/>
    <w:rsid w:val="00D1565A"/>
    <w:rsid w:val="00D156C2"/>
    <w:rsid w:val="00D158C5"/>
    <w:rsid w:val="00D15962"/>
    <w:rsid w:val="00D1596D"/>
    <w:rsid w:val="00D1598C"/>
    <w:rsid w:val="00D159FC"/>
    <w:rsid w:val="00D15A26"/>
    <w:rsid w:val="00D15A90"/>
    <w:rsid w:val="00D15AA7"/>
    <w:rsid w:val="00D15ABC"/>
    <w:rsid w:val="00D15B1E"/>
    <w:rsid w:val="00D15B6F"/>
    <w:rsid w:val="00D15B95"/>
    <w:rsid w:val="00D15CBB"/>
    <w:rsid w:val="00D15CF1"/>
    <w:rsid w:val="00D15D33"/>
    <w:rsid w:val="00D15DA5"/>
    <w:rsid w:val="00D15DA7"/>
    <w:rsid w:val="00D15E32"/>
    <w:rsid w:val="00D15E87"/>
    <w:rsid w:val="00D15EE3"/>
    <w:rsid w:val="00D15F3C"/>
    <w:rsid w:val="00D15F68"/>
    <w:rsid w:val="00D15FA0"/>
    <w:rsid w:val="00D160D9"/>
    <w:rsid w:val="00D160E6"/>
    <w:rsid w:val="00D16137"/>
    <w:rsid w:val="00D161BD"/>
    <w:rsid w:val="00D16209"/>
    <w:rsid w:val="00D16281"/>
    <w:rsid w:val="00D16334"/>
    <w:rsid w:val="00D16389"/>
    <w:rsid w:val="00D16396"/>
    <w:rsid w:val="00D163A2"/>
    <w:rsid w:val="00D16437"/>
    <w:rsid w:val="00D1649E"/>
    <w:rsid w:val="00D16511"/>
    <w:rsid w:val="00D1655D"/>
    <w:rsid w:val="00D16576"/>
    <w:rsid w:val="00D166C8"/>
    <w:rsid w:val="00D166C9"/>
    <w:rsid w:val="00D16CFD"/>
    <w:rsid w:val="00D16DD6"/>
    <w:rsid w:val="00D16DD9"/>
    <w:rsid w:val="00D16EB6"/>
    <w:rsid w:val="00D16FAB"/>
    <w:rsid w:val="00D1717E"/>
    <w:rsid w:val="00D1724B"/>
    <w:rsid w:val="00D17298"/>
    <w:rsid w:val="00D1729B"/>
    <w:rsid w:val="00D172FB"/>
    <w:rsid w:val="00D17486"/>
    <w:rsid w:val="00D174C6"/>
    <w:rsid w:val="00D1764E"/>
    <w:rsid w:val="00D17768"/>
    <w:rsid w:val="00D17872"/>
    <w:rsid w:val="00D17922"/>
    <w:rsid w:val="00D1798B"/>
    <w:rsid w:val="00D17A53"/>
    <w:rsid w:val="00D17B8A"/>
    <w:rsid w:val="00D17CCE"/>
    <w:rsid w:val="00D17CF2"/>
    <w:rsid w:val="00D17D27"/>
    <w:rsid w:val="00D17F65"/>
    <w:rsid w:val="00D20217"/>
    <w:rsid w:val="00D20275"/>
    <w:rsid w:val="00D2038D"/>
    <w:rsid w:val="00D20436"/>
    <w:rsid w:val="00D205EC"/>
    <w:rsid w:val="00D20629"/>
    <w:rsid w:val="00D208FF"/>
    <w:rsid w:val="00D20916"/>
    <w:rsid w:val="00D20A4F"/>
    <w:rsid w:val="00D20A5B"/>
    <w:rsid w:val="00D20B17"/>
    <w:rsid w:val="00D20B66"/>
    <w:rsid w:val="00D20BA7"/>
    <w:rsid w:val="00D20C74"/>
    <w:rsid w:val="00D20D4B"/>
    <w:rsid w:val="00D20F76"/>
    <w:rsid w:val="00D20FB9"/>
    <w:rsid w:val="00D20FD1"/>
    <w:rsid w:val="00D2110B"/>
    <w:rsid w:val="00D211C8"/>
    <w:rsid w:val="00D212C3"/>
    <w:rsid w:val="00D213EE"/>
    <w:rsid w:val="00D21455"/>
    <w:rsid w:val="00D2145C"/>
    <w:rsid w:val="00D21478"/>
    <w:rsid w:val="00D21499"/>
    <w:rsid w:val="00D21525"/>
    <w:rsid w:val="00D215B0"/>
    <w:rsid w:val="00D21610"/>
    <w:rsid w:val="00D21716"/>
    <w:rsid w:val="00D21746"/>
    <w:rsid w:val="00D21892"/>
    <w:rsid w:val="00D218C5"/>
    <w:rsid w:val="00D21938"/>
    <w:rsid w:val="00D219C4"/>
    <w:rsid w:val="00D21A04"/>
    <w:rsid w:val="00D21CCB"/>
    <w:rsid w:val="00D21CCE"/>
    <w:rsid w:val="00D21D04"/>
    <w:rsid w:val="00D21E57"/>
    <w:rsid w:val="00D21EEB"/>
    <w:rsid w:val="00D21F02"/>
    <w:rsid w:val="00D21F10"/>
    <w:rsid w:val="00D21F71"/>
    <w:rsid w:val="00D21F72"/>
    <w:rsid w:val="00D21FEE"/>
    <w:rsid w:val="00D220D4"/>
    <w:rsid w:val="00D221E0"/>
    <w:rsid w:val="00D221EC"/>
    <w:rsid w:val="00D2229C"/>
    <w:rsid w:val="00D222AC"/>
    <w:rsid w:val="00D222B0"/>
    <w:rsid w:val="00D22365"/>
    <w:rsid w:val="00D22457"/>
    <w:rsid w:val="00D224B2"/>
    <w:rsid w:val="00D22541"/>
    <w:rsid w:val="00D22673"/>
    <w:rsid w:val="00D22695"/>
    <w:rsid w:val="00D2269D"/>
    <w:rsid w:val="00D22765"/>
    <w:rsid w:val="00D22895"/>
    <w:rsid w:val="00D22A4A"/>
    <w:rsid w:val="00D22BDC"/>
    <w:rsid w:val="00D22CF3"/>
    <w:rsid w:val="00D22D84"/>
    <w:rsid w:val="00D22F70"/>
    <w:rsid w:val="00D22F7F"/>
    <w:rsid w:val="00D22FCE"/>
    <w:rsid w:val="00D23023"/>
    <w:rsid w:val="00D2312F"/>
    <w:rsid w:val="00D231D8"/>
    <w:rsid w:val="00D23224"/>
    <w:rsid w:val="00D2325B"/>
    <w:rsid w:val="00D232CA"/>
    <w:rsid w:val="00D23355"/>
    <w:rsid w:val="00D23362"/>
    <w:rsid w:val="00D2352F"/>
    <w:rsid w:val="00D23565"/>
    <w:rsid w:val="00D23674"/>
    <w:rsid w:val="00D23696"/>
    <w:rsid w:val="00D23724"/>
    <w:rsid w:val="00D2372A"/>
    <w:rsid w:val="00D23787"/>
    <w:rsid w:val="00D2385F"/>
    <w:rsid w:val="00D2398E"/>
    <w:rsid w:val="00D23A3F"/>
    <w:rsid w:val="00D23A80"/>
    <w:rsid w:val="00D23C30"/>
    <w:rsid w:val="00D23C9C"/>
    <w:rsid w:val="00D23E7B"/>
    <w:rsid w:val="00D2404B"/>
    <w:rsid w:val="00D24242"/>
    <w:rsid w:val="00D24676"/>
    <w:rsid w:val="00D2472E"/>
    <w:rsid w:val="00D24826"/>
    <w:rsid w:val="00D248FA"/>
    <w:rsid w:val="00D24961"/>
    <w:rsid w:val="00D2496D"/>
    <w:rsid w:val="00D24A18"/>
    <w:rsid w:val="00D24A93"/>
    <w:rsid w:val="00D24AD0"/>
    <w:rsid w:val="00D24ADF"/>
    <w:rsid w:val="00D24B55"/>
    <w:rsid w:val="00D24FD5"/>
    <w:rsid w:val="00D25018"/>
    <w:rsid w:val="00D2509C"/>
    <w:rsid w:val="00D25158"/>
    <w:rsid w:val="00D25177"/>
    <w:rsid w:val="00D2536C"/>
    <w:rsid w:val="00D254AF"/>
    <w:rsid w:val="00D255C6"/>
    <w:rsid w:val="00D25664"/>
    <w:rsid w:val="00D2578F"/>
    <w:rsid w:val="00D2584D"/>
    <w:rsid w:val="00D25879"/>
    <w:rsid w:val="00D25ACE"/>
    <w:rsid w:val="00D25BFB"/>
    <w:rsid w:val="00D25C17"/>
    <w:rsid w:val="00D25C92"/>
    <w:rsid w:val="00D25CA7"/>
    <w:rsid w:val="00D25D4B"/>
    <w:rsid w:val="00D2601D"/>
    <w:rsid w:val="00D26033"/>
    <w:rsid w:val="00D26052"/>
    <w:rsid w:val="00D26085"/>
    <w:rsid w:val="00D260B1"/>
    <w:rsid w:val="00D260D0"/>
    <w:rsid w:val="00D2624C"/>
    <w:rsid w:val="00D26320"/>
    <w:rsid w:val="00D26543"/>
    <w:rsid w:val="00D2667A"/>
    <w:rsid w:val="00D266C4"/>
    <w:rsid w:val="00D268C1"/>
    <w:rsid w:val="00D268C6"/>
    <w:rsid w:val="00D269A2"/>
    <w:rsid w:val="00D26AD2"/>
    <w:rsid w:val="00D26AF0"/>
    <w:rsid w:val="00D26B20"/>
    <w:rsid w:val="00D26B39"/>
    <w:rsid w:val="00D26C18"/>
    <w:rsid w:val="00D26CEC"/>
    <w:rsid w:val="00D26D10"/>
    <w:rsid w:val="00D2711A"/>
    <w:rsid w:val="00D27252"/>
    <w:rsid w:val="00D272F1"/>
    <w:rsid w:val="00D27339"/>
    <w:rsid w:val="00D2751D"/>
    <w:rsid w:val="00D27562"/>
    <w:rsid w:val="00D2756B"/>
    <w:rsid w:val="00D27726"/>
    <w:rsid w:val="00D277AB"/>
    <w:rsid w:val="00D27ACC"/>
    <w:rsid w:val="00D27CCF"/>
    <w:rsid w:val="00D27D63"/>
    <w:rsid w:val="00D27DD7"/>
    <w:rsid w:val="00D27E95"/>
    <w:rsid w:val="00D300EC"/>
    <w:rsid w:val="00D301CB"/>
    <w:rsid w:val="00D301FF"/>
    <w:rsid w:val="00D30214"/>
    <w:rsid w:val="00D302F9"/>
    <w:rsid w:val="00D3057D"/>
    <w:rsid w:val="00D3066F"/>
    <w:rsid w:val="00D30690"/>
    <w:rsid w:val="00D3071D"/>
    <w:rsid w:val="00D3076D"/>
    <w:rsid w:val="00D30A4C"/>
    <w:rsid w:val="00D30B99"/>
    <w:rsid w:val="00D30B9A"/>
    <w:rsid w:val="00D30C91"/>
    <w:rsid w:val="00D30E1A"/>
    <w:rsid w:val="00D30EE2"/>
    <w:rsid w:val="00D3113A"/>
    <w:rsid w:val="00D31154"/>
    <w:rsid w:val="00D314A0"/>
    <w:rsid w:val="00D314C1"/>
    <w:rsid w:val="00D315DD"/>
    <w:rsid w:val="00D31922"/>
    <w:rsid w:val="00D31940"/>
    <w:rsid w:val="00D31B45"/>
    <w:rsid w:val="00D31DE2"/>
    <w:rsid w:val="00D31DEA"/>
    <w:rsid w:val="00D31F12"/>
    <w:rsid w:val="00D31FA8"/>
    <w:rsid w:val="00D32213"/>
    <w:rsid w:val="00D322B0"/>
    <w:rsid w:val="00D322DF"/>
    <w:rsid w:val="00D323FF"/>
    <w:rsid w:val="00D32419"/>
    <w:rsid w:val="00D32579"/>
    <w:rsid w:val="00D32580"/>
    <w:rsid w:val="00D326ED"/>
    <w:rsid w:val="00D32717"/>
    <w:rsid w:val="00D32726"/>
    <w:rsid w:val="00D32750"/>
    <w:rsid w:val="00D32867"/>
    <w:rsid w:val="00D3288A"/>
    <w:rsid w:val="00D328CA"/>
    <w:rsid w:val="00D328EF"/>
    <w:rsid w:val="00D3290A"/>
    <w:rsid w:val="00D32C62"/>
    <w:rsid w:val="00D32E53"/>
    <w:rsid w:val="00D32EC6"/>
    <w:rsid w:val="00D32EE0"/>
    <w:rsid w:val="00D332F6"/>
    <w:rsid w:val="00D335AA"/>
    <w:rsid w:val="00D336F3"/>
    <w:rsid w:val="00D33771"/>
    <w:rsid w:val="00D337C4"/>
    <w:rsid w:val="00D337E3"/>
    <w:rsid w:val="00D33801"/>
    <w:rsid w:val="00D338B4"/>
    <w:rsid w:val="00D33952"/>
    <w:rsid w:val="00D33A45"/>
    <w:rsid w:val="00D33AFC"/>
    <w:rsid w:val="00D33B7C"/>
    <w:rsid w:val="00D33B9B"/>
    <w:rsid w:val="00D33C26"/>
    <w:rsid w:val="00D33CD7"/>
    <w:rsid w:val="00D34107"/>
    <w:rsid w:val="00D34114"/>
    <w:rsid w:val="00D34140"/>
    <w:rsid w:val="00D342F7"/>
    <w:rsid w:val="00D3431A"/>
    <w:rsid w:val="00D3436B"/>
    <w:rsid w:val="00D34390"/>
    <w:rsid w:val="00D34419"/>
    <w:rsid w:val="00D34420"/>
    <w:rsid w:val="00D3454C"/>
    <w:rsid w:val="00D346C1"/>
    <w:rsid w:val="00D34813"/>
    <w:rsid w:val="00D3482C"/>
    <w:rsid w:val="00D34917"/>
    <w:rsid w:val="00D349BE"/>
    <w:rsid w:val="00D349F7"/>
    <w:rsid w:val="00D34A04"/>
    <w:rsid w:val="00D34B2B"/>
    <w:rsid w:val="00D34B41"/>
    <w:rsid w:val="00D34B9B"/>
    <w:rsid w:val="00D34BBB"/>
    <w:rsid w:val="00D34F14"/>
    <w:rsid w:val="00D351BC"/>
    <w:rsid w:val="00D3527E"/>
    <w:rsid w:val="00D3535B"/>
    <w:rsid w:val="00D354C7"/>
    <w:rsid w:val="00D35591"/>
    <w:rsid w:val="00D35722"/>
    <w:rsid w:val="00D35802"/>
    <w:rsid w:val="00D35830"/>
    <w:rsid w:val="00D35857"/>
    <w:rsid w:val="00D359F2"/>
    <w:rsid w:val="00D35AED"/>
    <w:rsid w:val="00D35B79"/>
    <w:rsid w:val="00D35DF9"/>
    <w:rsid w:val="00D35E55"/>
    <w:rsid w:val="00D35F3F"/>
    <w:rsid w:val="00D35FF4"/>
    <w:rsid w:val="00D3600E"/>
    <w:rsid w:val="00D36038"/>
    <w:rsid w:val="00D3605D"/>
    <w:rsid w:val="00D360F6"/>
    <w:rsid w:val="00D36163"/>
    <w:rsid w:val="00D3647D"/>
    <w:rsid w:val="00D3650E"/>
    <w:rsid w:val="00D3653B"/>
    <w:rsid w:val="00D365D3"/>
    <w:rsid w:val="00D366B4"/>
    <w:rsid w:val="00D366D4"/>
    <w:rsid w:val="00D366E1"/>
    <w:rsid w:val="00D3678C"/>
    <w:rsid w:val="00D367E6"/>
    <w:rsid w:val="00D3686A"/>
    <w:rsid w:val="00D3692E"/>
    <w:rsid w:val="00D3698A"/>
    <w:rsid w:val="00D3699E"/>
    <w:rsid w:val="00D36B36"/>
    <w:rsid w:val="00D36CF9"/>
    <w:rsid w:val="00D36CFD"/>
    <w:rsid w:val="00D36DDD"/>
    <w:rsid w:val="00D36F2F"/>
    <w:rsid w:val="00D3718D"/>
    <w:rsid w:val="00D371B0"/>
    <w:rsid w:val="00D37203"/>
    <w:rsid w:val="00D37312"/>
    <w:rsid w:val="00D37327"/>
    <w:rsid w:val="00D375AB"/>
    <w:rsid w:val="00D379AC"/>
    <w:rsid w:val="00D37A44"/>
    <w:rsid w:val="00D37B58"/>
    <w:rsid w:val="00D37DED"/>
    <w:rsid w:val="00D37FA1"/>
    <w:rsid w:val="00D4012B"/>
    <w:rsid w:val="00D4014A"/>
    <w:rsid w:val="00D4021E"/>
    <w:rsid w:val="00D404D6"/>
    <w:rsid w:val="00D406A7"/>
    <w:rsid w:val="00D40794"/>
    <w:rsid w:val="00D407B8"/>
    <w:rsid w:val="00D4084B"/>
    <w:rsid w:val="00D40A11"/>
    <w:rsid w:val="00D40A3A"/>
    <w:rsid w:val="00D40B40"/>
    <w:rsid w:val="00D40B41"/>
    <w:rsid w:val="00D40B5A"/>
    <w:rsid w:val="00D40D1F"/>
    <w:rsid w:val="00D40D33"/>
    <w:rsid w:val="00D40DB0"/>
    <w:rsid w:val="00D40F97"/>
    <w:rsid w:val="00D40FBA"/>
    <w:rsid w:val="00D40FF0"/>
    <w:rsid w:val="00D4119B"/>
    <w:rsid w:val="00D41220"/>
    <w:rsid w:val="00D4142A"/>
    <w:rsid w:val="00D4148B"/>
    <w:rsid w:val="00D41512"/>
    <w:rsid w:val="00D41611"/>
    <w:rsid w:val="00D41631"/>
    <w:rsid w:val="00D41732"/>
    <w:rsid w:val="00D4178D"/>
    <w:rsid w:val="00D417AD"/>
    <w:rsid w:val="00D417BF"/>
    <w:rsid w:val="00D4197D"/>
    <w:rsid w:val="00D41B2A"/>
    <w:rsid w:val="00D41DD3"/>
    <w:rsid w:val="00D41E7E"/>
    <w:rsid w:val="00D41E84"/>
    <w:rsid w:val="00D41F15"/>
    <w:rsid w:val="00D420FE"/>
    <w:rsid w:val="00D421B3"/>
    <w:rsid w:val="00D42203"/>
    <w:rsid w:val="00D42553"/>
    <w:rsid w:val="00D42555"/>
    <w:rsid w:val="00D425D9"/>
    <w:rsid w:val="00D4264B"/>
    <w:rsid w:val="00D42745"/>
    <w:rsid w:val="00D42844"/>
    <w:rsid w:val="00D42A8F"/>
    <w:rsid w:val="00D42AA8"/>
    <w:rsid w:val="00D42AD0"/>
    <w:rsid w:val="00D42C3D"/>
    <w:rsid w:val="00D42C64"/>
    <w:rsid w:val="00D42C7C"/>
    <w:rsid w:val="00D42CCC"/>
    <w:rsid w:val="00D42DCA"/>
    <w:rsid w:val="00D42F9B"/>
    <w:rsid w:val="00D42FAA"/>
    <w:rsid w:val="00D42FBB"/>
    <w:rsid w:val="00D4339F"/>
    <w:rsid w:val="00D433E7"/>
    <w:rsid w:val="00D43596"/>
    <w:rsid w:val="00D436AE"/>
    <w:rsid w:val="00D437D2"/>
    <w:rsid w:val="00D43940"/>
    <w:rsid w:val="00D43ADF"/>
    <w:rsid w:val="00D43C42"/>
    <w:rsid w:val="00D43C5B"/>
    <w:rsid w:val="00D43CB6"/>
    <w:rsid w:val="00D43CC5"/>
    <w:rsid w:val="00D43D4C"/>
    <w:rsid w:val="00D43E1E"/>
    <w:rsid w:val="00D43F3F"/>
    <w:rsid w:val="00D43FED"/>
    <w:rsid w:val="00D44081"/>
    <w:rsid w:val="00D44170"/>
    <w:rsid w:val="00D44216"/>
    <w:rsid w:val="00D44281"/>
    <w:rsid w:val="00D4428C"/>
    <w:rsid w:val="00D4431D"/>
    <w:rsid w:val="00D44421"/>
    <w:rsid w:val="00D44446"/>
    <w:rsid w:val="00D4454F"/>
    <w:rsid w:val="00D44640"/>
    <w:rsid w:val="00D446E6"/>
    <w:rsid w:val="00D44803"/>
    <w:rsid w:val="00D4487C"/>
    <w:rsid w:val="00D4495D"/>
    <w:rsid w:val="00D44A84"/>
    <w:rsid w:val="00D44B32"/>
    <w:rsid w:val="00D44EEE"/>
    <w:rsid w:val="00D45176"/>
    <w:rsid w:val="00D4520A"/>
    <w:rsid w:val="00D45378"/>
    <w:rsid w:val="00D4537E"/>
    <w:rsid w:val="00D453DE"/>
    <w:rsid w:val="00D454E8"/>
    <w:rsid w:val="00D456C4"/>
    <w:rsid w:val="00D456F5"/>
    <w:rsid w:val="00D457A5"/>
    <w:rsid w:val="00D457AA"/>
    <w:rsid w:val="00D45890"/>
    <w:rsid w:val="00D45B01"/>
    <w:rsid w:val="00D45CAF"/>
    <w:rsid w:val="00D45D93"/>
    <w:rsid w:val="00D45E13"/>
    <w:rsid w:val="00D45FDF"/>
    <w:rsid w:val="00D46020"/>
    <w:rsid w:val="00D4606E"/>
    <w:rsid w:val="00D460A2"/>
    <w:rsid w:val="00D460B0"/>
    <w:rsid w:val="00D46212"/>
    <w:rsid w:val="00D4628A"/>
    <w:rsid w:val="00D463AC"/>
    <w:rsid w:val="00D46405"/>
    <w:rsid w:val="00D46454"/>
    <w:rsid w:val="00D46574"/>
    <w:rsid w:val="00D465F4"/>
    <w:rsid w:val="00D4663E"/>
    <w:rsid w:val="00D466DB"/>
    <w:rsid w:val="00D46725"/>
    <w:rsid w:val="00D467D3"/>
    <w:rsid w:val="00D46801"/>
    <w:rsid w:val="00D4684F"/>
    <w:rsid w:val="00D468F9"/>
    <w:rsid w:val="00D469AD"/>
    <w:rsid w:val="00D46C1E"/>
    <w:rsid w:val="00D46C77"/>
    <w:rsid w:val="00D46CC8"/>
    <w:rsid w:val="00D46EAB"/>
    <w:rsid w:val="00D46F29"/>
    <w:rsid w:val="00D46F63"/>
    <w:rsid w:val="00D47021"/>
    <w:rsid w:val="00D47079"/>
    <w:rsid w:val="00D4718C"/>
    <w:rsid w:val="00D47197"/>
    <w:rsid w:val="00D472C9"/>
    <w:rsid w:val="00D47479"/>
    <w:rsid w:val="00D474E4"/>
    <w:rsid w:val="00D47501"/>
    <w:rsid w:val="00D47530"/>
    <w:rsid w:val="00D475D6"/>
    <w:rsid w:val="00D47646"/>
    <w:rsid w:val="00D476A6"/>
    <w:rsid w:val="00D47789"/>
    <w:rsid w:val="00D47804"/>
    <w:rsid w:val="00D479EC"/>
    <w:rsid w:val="00D47CB8"/>
    <w:rsid w:val="00D47CCB"/>
    <w:rsid w:val="00D47D45"/>
    <w:rsid w:val="00D47D9E"/>
    <w:rsid w:val="00D47F36"/>
    <w:rsid w:val="00D4E9AA"/>
    <w:rsid w:val="00D500A3"/>
    <w:rsid w:val="00D502D3"/>
    <w:rsid w:val="00D502DD"/>
    <w:rsid w:val="00D502EE"/>
    <w:rsid w:val="00D5070F"/>
    <w:rsid w:val="00D507AA"/>
    <w:rsid w:val="00D507CB"/>
    <w:rsid w:val="00D508E0"/>
    <w:rsid w:val="00D508FE"/>
    <w:rsid w:val="00D50911"/>
    <w:rsid w:val="00D50B20"/>
    <w:rsid w:val="00D50B3B"/>
    <w:rsid w:val="00D50BF7"/>
    <w:rsid w:val="00D50BF9"/>
    <w:rsid w:val="00D50C49"/>
    <w:rsid w:val="00D50C63"/>
    <w:rsid w:val="00D50C6C"/>
    <w:rsid w:val="00D51036"/>
    <w:rsid w:val="00D51082"/>
    <w:rsid w:val="00D51150"/>
    <w:rsid w:val="00D51162"/>
    <w:rsid w:val="00D5117F"/>
    <w:rsid w:val="00D511A7"/>
    <w:rsid w:val="00D511AE"/>
    <w:rsid w:val="00D511CB"/>
    <w:rsid w:val="00D51352"/>
    <w:rsid w:val="00D51466"/>
    <w:rsid w:val="00D5152E"/>
    <w:rsid w:val="00D51564"/>
    <w:rsid w:val="00D515FD"/>
    <w:rsid w:val="00D5171C"/>
    <w:rsid w:val="00D5172D"/>
    <w:rsid w:val="00D5176E"/>
    <w:rsid w:val="00D51825"/>
    <w:rsid w:val="00D51ACF"/>
    <w:rsid w:val="00D51B33"/>
    <w:rsid w:val="00D51BA2"/>
    <w:rsid w:val="00D51C7A"/>
    <w:rsid w:val="00D51CAB"/>
    <w:rsid w:val="00D51F17"/>
    <w:rsid w:val="00D521FE"/>
    <w:rsid w:val="00D522D2"/>
    <w:rsid w:val="00D5235C"/>
    <w:rsid w:val="00D524CB"/>
    <w:rsid w:val="00D52613"/>
    <w:rsid w:val="00D5266C"/>
    <w:rsid w:val="00D5267C"/>
    <w:rsid w:val="00D526AF"/>
    <w:rsid w:val="00D5278C"/>
    <w:rsid w:val="00D527E3"/>
    <w:rsid w:val="00D52871"/>
    <w:rsid w:val="00D5288A"/>
    <w:rsid w:val="00D52939"/>
    <w:rsid w:val="00D52978"/>
    <w:rsid w:val="00D52997"/>
    <w:rsid w:val="00D529D9"/>
    <w:rsid w:val="00D52C8E"/>
    <w:rsid w:val="00D52C9E"/>
    <w:rsid w:val="00D5316F"/>
    <w:rsid w:val="00D53482"/>
    <w:rsid w:val="00D535A1"/>
    <w:rsid w:val="00D53772"/>
    <w:rsid w:val="00D5380B"/>
    <w:rsid w:val="00D538A3"/>
    <w:rsid w:val="00D53941"/>
    <w:rsid w:val="00D53AC7"/>
    <w:rsid w:val="00D53AE5"/>
    <w:rsid w:val="00D53B39"/>
    <w:rsid w:val="00D53C9F"/>
    <w:rsid w:val="00D53D4A"/>
    <w:rsid w:val="00D53E03"/>
    <w:rsid w:val="00D53F41"/>
    <w:rsid w:val="00D54308"/>
    <w:rsid w:val="00D5434B"/>
    <w:rsid w:val="00D54410"/>
    <w:rsid w:val="00D54461"/>
    <w:rsid w:val="00D544A7"/>
    <w:rsid w:val="00D5451B"/>
    <w:rsid w:val="00D5461E"/>
    <w:rsid w:val="00D547C4"/>
    <w:rsid w:val="00D547CD"/>
    <w:rsid w:val="00D547D7"/>
    <w:rsid w:val="00D5488F"/>
    <w:rsid w:val="00D54A24"/>
    <w:rsid w:val="00D54AC9"/>
    <w:rsid w:val="00D54CAD"/>
    <w:rsid w:val="00D54D09"/>
    <w:rsid w:val="00D54D79"/>
    <w:rsid w:val="00D54E5B"/>
    <w:rsid w:val="00D54E7E"/>
    <w:rsid w:val="00D55059"/>
    <w:rsid w:val="00D550BA"/>
    <w:rsid w:val="00D550E8"/>
    <w:rsid w:val="00D550F3"/>
    <w:rsid w:val="00D55392"/>
    <w:rsid w:val="00D55426"/>
    <w:rsid w:val="00D55483"/>
    <w:rsid w:val="00D5552A"/>
    <w:rsid w:val="00D55572"/>
    <w:rsid w:val="00D556F1"/>
    <w:rsid w:val="00D557D6"/>
    <w:rsid w:val="00D55C65"/>
    <w:rsid w:val="00D55D6E"/>
    <w:rsid w:val="00D55EA7"/>
    <w:rsid w:val="00D55EDB"/>
    <w:rsid w:val="00D56122"/>
    <w:rsid w:val="00D56233"/>
    <w:rsid w:val="00D56341"/>
    <w:rsid w:val="00D56504"/>
    <w:rsid w:val="00D5660C"/>
    <w:rsid w:val="00D566A9"/>
    <w:rsid w:val="00D56AD4"/>
    <w:rsid w:val="00D56AF5"/>
    <w:rsid w:val="00D56E83"/>
    <w:rsid w:val="00D56EE8"/>
    <w:rsid w:val="00D56F1D"/>
    <w:rsid w:val="00D56F75"/>
    <w:rsid w:val="00D57145"/>
    <w:rsid w:val="00D5725D"/>
    <w:rsid w:val="00D5737F"/>
    <w:rsid w:val="00D57484"/>
    <w:rsid w:val="00D5754E"/>
    <w:rsid w:val="00D5757F"/>
    <w:rsid w:val="00D575AE"/>
    <w:rsid w:val="00D576D7"/>
    <w:rsid w:val="00D577E1"/>
    <w:rsid w:val="00D57A20"/>
    <w:rsid w:val="00D57B22"/>
    <w:rsid w:val="00D57BFA"/>
    <w:rsid w:val="00D57E0A"/>
    <w:rsid w:val="00D57EF8"/>
    <w:rsid w:val="00D6002B"/>
    <w:rsid w:val="00D60250"/>
    <w:rsid w:val="00D602BD"/>
    <w:rsid w:val="00D603EE"/>
    <w:rsid w:val="00D60445"/>
    <w:rsid w:val="00D604FD"/>
    <w:rsid w:val="00D60598"/>
    <w:rsid w:val="00D60709"/>
    <w:rsid w:val="00D60719"/>
    <w:rsid w:val="00D6080E"/>
    <w:rsid w:val="00D60890"/>
    <w:rsid w:val="00D609CD"/>
    <w:rsid w:val="00D60B05"/>
    <w:rsid w:val="00D60BD0"/>
    <w:rsid w:val="00D60C3A"/>
    <w:rsid w:val="00D60C7C"/>
    <w:rsid w:val="00D60DC4"/>
    <w:rsid w:val="00D60E46"/>
    <w:rsid w:val="00D60E87"/>
    <w:rsid w:val="00D61070"/>
    <w:rsid w:val="00D611E3"/>
    <w:rsid w:val="00D612B9"/>
    <w:rsid w:val="00D612C8"/>
    <w:rsid w:val="00D613D8"/>
    <w:rsid w:val="00D6153D"/>
    <w:rsid w:val="00D61552"/>
    <w:rsid w:val="00D615D1"/>
    <w:rsid w:val="00D615FE"/>
    <w:rsid w:val="00D6178C"/>
    <w:rsid w:val="00D6184C"/>
    <w:rsid w:val="00D61969"/>
    <w:rsid w:val="00D61974"/>
    <w:rsid w:val="00D61B51"/>
    <w:rsid w:val="00D61B62"/>
    <w:rsid w:val="00D61C7C"/>
    <w:rsid w:val="00D61CF1"/>
    <w:rsid w:val="00D61EC0"/>
    <w:rsid w:val="00D61F92"/>
    <w:rsid w:val="00D620C9"/>
    <w:rsid w:val="00D620FC"/>
    <w:rsid w:val="00D62110"/>
    <w:rsid w:val="00D6213E"/>
    <w:rsid w:val="00D621A1"/>
    <w:rsid w:val="00D62249"/>
    <w:rsid w:val="00D6228E"/>
    <w:rsid w:val="00D6244E"/>
    <w:rsid w:val="00D62468"/>
    <w:rsid w:val="00D624BE"/>
    <w:rsid w:val="00D62620"/>
    <w:rsid w:val="00D62660"/>
    <w:rsid w:val="00D62785"/>
    <w:rsid w:val="00D6281A"/>
    <w:rsid w:val="00D62A33"/>
    <w:rsid w:val="00D62AEE"/>
    <w:rsid w:val="00D62B96"/>
    <w:rsid w:val="00D62C1E"/>
    <w:rsid w:val="00D62C40"/>
    <w:rsid w:val="00D62CBA"/>
    <w:rsid w:val="00D62CC8"/>
    <w:rsid w:val="00D62CCF"/>
    <w:rsid w:val="00D62D94"/>
    <w:rsid w:val="00D62DF0"/>
    <w:rsid w:val="00D62E82"/>
    <w:rsid w:val="00D62E9C"/>
    <w:rsid w:val="00D62FDA"/>
    <w:rsid w:val="00D6300C"/>
    <w:rsid w:val="00D63090"/>
    <w:rsid w:val="00D63175"/>
    <w:rsid w:val="00D63275"/>
    <w:rsid w:val="00D63413"/>
    <w:rsid w:val="00D635F8"/>
    <w:rsid w:val="00D635FB"/>
    <w:rsid w:val="00D63612"/>
    <w:rsid w:val="00D636D1"/>
    <w:rsid w:val="00D6378E"/>
    <w:rsid w:val="00D638F1"/>
    <w:rsid w:val="00D63984"/>
    <w:rsid w:val="00D6399B"/>
    <w:rsid w:val="00D639C2"/>
    <w:rsid w:val="00D63A94"/>
    <w:rsid w:val="00D63B8A"/>
    <w:rsid w:val="00D63BE9"/>
    <w:rsid w:val="00D63DAD"/>
    <w:rsid w:val="00D63DED"/>
    <w:rsid w:val="00D6404C"/>
    <w:rsid w:val="00D640FC"/>
    <w:rsid w:val="00D64111"/>
    <w:rsid w:val="00D642AC"/>
    <w:rsid w:val="00D642E2"/>
    <w:rsid w:val="00D64428"/>
    <w:rsid w:val="00D644BC"/>
    <w:rsid w:val="00D64593"/>
    <w:rsid w:val="00D645DB"/>
    <w:rsid w:val="00D647D2"/>
    <w:rsid w:val="00D6492C"/>
    <w:rsid w:val="00D649A7"/>
    <w:rsid w:val="00D649D3"/>
    <w:rsid w:val="00D64A56"/>
    <w:rsid w:val="00D64B2B"/>
    <w:rsid w:val="00D64B62"/>
    <w:rsid w:val="00D64BDE"/>
    <w:rsid w:val="00D64C7E"/>
    <w:rsid w:val="00D64D15"/>
    <w:rsid w:val="00D64D27"/>
    <w:rsid w:val="00D64D4C"/>
    <w:rsid w:val="00D64EFB"/>
    <w:rsid w:val="00D64F9C"/>
    <w:rsid w:val="00D6503F"/>
    <w:rsid w:val="00D65066"/>
    <w:rsid w:val="00D653F8"/>
    <w:rsid w:val="00D65497"/>
    <w:rsid w:val="00D654A4"/>
    <w:rsid w:val="00D6550D"/>
    <w:rsid w:val="00D6565B"/>
    <w:rsid w:val="00D6568E"/>
    <w:rsid w:val="00D6592B"/>
    <w:rsid w:val="00D659A8"/>
    <w:rsid w:val="00D65B55"/>
    <w:rsid w:val="00D65B65"/>
    <w:rsid w:val="00D65D6B"/>
    <w:rsid w:val="00D65DC3"/>
    <w:rsid w:val="00D65DD3"/>
    <w:rsid w:val="00D65E15"/>
    <w:rsid w:val="00D65E7C"/>
    <w:rsid w:val="00D65E9A"/>
    <w:rsid w:val="00D65EF9"/>
    <w:rsid w:val="00D66035"/>
    <w:rsid w:val="00D660B0"/>
    <w:rsid w:val="00D660E0"/>
    <w:rsid w:val="00D6610B"/>
    <w:rsid w:val="00D661CD"/>
    <w:rsid w:val="00D66258"/>
    <w:rsid w:val="00D662E7"/>
    <w:rsid w:val="00D66309"/>
    <w:rsid w:val="00D66357"/>
    <w:rsid w:val="00D663F3"/>
    <w:rsid w:val="00D66532"/>
    <w:rsid w:val="00D665EE"/>
    <w:rsid w:val="00D6666E"/>
    <w:rsid w:val="00D66798"/>
    <w:rsid w:val="00D66853"/>
    <w:rsid w:val="00D66908"/>
    <w:rsid w:val="00D66920"/>
    <w:rsid w:val="00D66A55"/>
    <w:rsid w:val="00D66B14"/>
    <w:rsid w:val="00D66C1D"/>
    <w:rsid w:val="00D66E61"/>
    <w:rsid w:val="00D6700A"/>
    <w:rsid w:val="00D6718E"/>
    <w:rsid w:val="00D671A5"/>
    <w:rsid w:val="00D671F6"/>
    <w:rsid w:val="00D67428"/>
    <w:rsid w:val="00D6743C"/>
    <w:rsid w:val="00D6763D"/>
    <w:rsid w:val="00D6766D"/>
    <w:rsid w:val="00D676B8"/>
    <w:rsid w:val="00D678D7"/>
    <w:rsid w:val="00D67A2E"/>
    <w:rsid w:val="00D67A8F"/>
    <w:rsid w:val="00D67AC4"/>
    <w:rsid w:val="00D67B02"/>
    <w:rsid w:val="00D67B4A"/>
    <w:rsid w:val="00D67C09"/>
    <w:rsid w:val="00D67D03"/>
    <w:rsid w:val="00D67DD0"/>
    <w:rsid w:val="00D70229"/>
    <w:rsid w:val="00D7033E"/>
    <w:rsid w:val="00D70356"/>
    <w:rsid w:val="00D7035F"/>
    <w:rsid w:val="00D7036B"/>
    <w:rsid w:val="00D705EB"/>
    <w:rsid w:val="00D7088D"/>
    <w:rsid w:val="00D709A1"/>
    <w:rsid w:val="00D70B63"/>
    <w:rsid w:val="00D70BA5"/>
    <w:rsid w:val="00D70C6B"/>
    <w:rsid w:val="00D70D4A"/>
    <w:rsid w:val="00D70D78"/>
    <w:rsid w:val="00D70DDD"/>
    <w:rsid w:val="00D710A1"/>
    <w:rsid w:val="00D7114B"/>
    <w:rsid w:val="00D711C6"/>
    <w:rsid w:val="00D711D2"/>
    <w:rsid w:val="00D711E8"/>
    <w:rsid w:val="00D71234"/>
    <w:rsid w:val="00D7135E"/>
    <w:rsid w:val="00D714FB"/>
    <w:rsid w:val="00D7163E"/>
    <w:rsid w:val="00D71726"/>
    <w:rsid w:val="00D7173B"/>
    <w:rsid w:val="00D717D4"/>
    <w:rsid w:val="00D71836"/>
    <w:rsid w:val="00D71837"/>
    <w:rsid w:val="00D71963"/>
    <w:rsid w:val="00D71974"/>
    <w:rsid w:val="00D71B8A"/>
    <w:rsid w:val="00D71C7D"/>
    <w:rsid w:val="00D71CC8"/>
    <w:rsid w:val="00D71D5E"/>
    <w:rsid w:val="00D71E50"/>
    <w:rsid w:val="00D71E69"/>
    <w:rsid w:val="00D7206E"/>
    <w:rsid w:val="00D7214A"/>
    <w:rsid w:val="00D722B1"/>
    <w:rsid w:val="00D723B2"/>
    <w:rsid w:val="00D723FD"/>
    <w:rsid w:val="00D7248F"/>
    <w:rsid w:val="00D724AF"/>
    <w:rsid w:val="00D7258D"/>
    <w:rsid w:val="00D725F1"/>
    <w:rsid w:val="00D7261C"/>
    <w:rsid w:val="00D7267E"/>
    <w:rsid w:val="00D726A5"/>
    <w:rsid w:val="00D72744"/>
    <w:rsid w:val="00D7288C"/>
    <w:rsid w:val="00D7289A"/>
    <w:rsid w:val="00D728F8"/>
    <w:rsid w:val="00D728FD"/>
    <w:rsid w:val="00D72932"/>
    <w:rsid w:val="00D72A03"/>
    <w:rsid w:val="00D72A61"/>
    <w:rsid w:val="00D72AB3"/>
    <w:rsid w:val="00D72B0B"/>
    <w:rsid w:val="00D72B18"/>
    <w:rsid w:val="00D72B51"/>
    <w:rsid w:val="00D72B6A"/>
    <w:rsid w:val="00D72B97"/>
    <w:rsid w:val="00D72BD7"/>
    <w:rsid w:val="00D72E1A"/>
    <w:rsid w:val="00D72E60"/>
    <w:rsid w:val="00D72F8F"/>
    <w:rsid w:val="00D72FD7"/>
    <w:rsid w:val="00D73021"/>
    <w:rsid w:val="00D73107"/>
    <w:rsid w:val="00D73366"/>
    <w:rsid w:val="00D73502"/>
    <w:rsid w:val="00D7355B"/>
    <w:rsid w:val="00D73686"/>
    <w:rsid w:val="00D736DA"/>
    <w:rsid w:val="00D736EA"/>
    <w:rsid w:val="00D737DC"/>
    <w:rsid w:val="00D737DD"/>
    <w:rsid w:val="00D7382A"/>
    <w:rsid w:val="00D73924"/>
    <w:rsid w:val="00D739F2"/>
    <w:rsid w:val="00D73BC3"/>
    <w:rsid w:val="00D73CA5"/>
    <w:rsid w:val="00D73CBF"/>
    <w:rsid w:val="00D73E4B"/>
    <w:rsid w:val="00D73EEB"/>
    <w:rsid w:val="00D73F76"/>
    <w:rsid w:val="00D74014"/>
    <w:rsid w:val="00D740C7"/>
    <w:rsid w:val="00D740E7"/>
    <w:rsid w:val="00D74115"/>
    <w:rsid w:val="00D741D0"/>
    <w:rsid w:val="00D7425A"/>
    <w:rsid w:val="00D742C8"/>
    <w:rsid w:val="00D742E5"/>
    <w:rsid w:val="00D7432D"/>
    <w:rsid w:val="00D743FE"/>
    <w:rsid w:val="00D7456C"/>
    <w:rsid w:val="00D74583"/>
    <w:rsid w:val="00D745D6"/>
    <w:rsid w:val="00D74605"/>
    <w:rsid w:val="00D746DC"/>
    <w:rsid w:val="00D746DE"/>
    <w:rsid w:val="00D747F6"/>
    <w:rsid w:val="00D74A0E"/>
    <w:rsid w:val="00D74A3F"/>
    <w:rsid w:val="00D74A76"/>
    <w:rsid w:val="00D74AB2"/>
    <w:rsid w:val="00D74AC0"/>
    <w:rsid w:val="00D74B3A"/>
    <w:rsid w:val="00D74B5C"/>
    <w:rsid w:val="00D74B7D"/>
    <w:rsid w:val="00D74B82"/>
    <w:rsid w:val="00D74CCE"/>
    <w:rsid w:val="00D74E9B"/>
    <w:rsid w:val="00D74EA8"/>
    <w:rsid w:val="00D74EE9"/>
    <w:rsid w:val="00D74FD4"/>
    <w:rsid w:val="00D75043"/>
    <w:rsid w:val="00D7510E"/>
    <w:rsid w:val="00D75123"/>
    <w:rsid w:val="00D75187"/>
    <w:rsid w:val="00D751A2"/>
    <w:rsid w:val="00D753DA"/>
    <w:rsid w:val="00D7543C"/>
    <w:rsid w:val="00D75513"/>
    <w:rsid w:val="00D7557C"/>
    <w:rsid w:val="00D755C8"/>
    <w:rsid w:val="00D75671"/>
    <w:rsid w:val="00D756E6"/>
    <w:rsid w:val="00D757C7"/>
    <w:rsid w:val="00D75916"/>
    <w:rsid w:val="00D75D5C"/>
    <w:rsid w:val="00D75D65"/>
    <w:rsid w:val="00D7601B"/>
    <w:rsid w:val="00D76044"/>
    <w:rsid w:val="00D7627A"/>
    <w:rsid w:val="00D76399"/>
    <w:rsid w:val="00D763A4"/>
    <w:rsid w:val="00D763CC"/>
    <w:rsid w:val="00D763DF"/>
    <w:rsid w:val="00D76594"/>
    <w:rsid w:val="00D767D2"/>
    <w:rsid w:val="00D76921"/>
    <w:rsid w:val="00D769A2"/>
    <w:rsid w:val="00D76A0A"/>
    <w:rsid w:val="00D76B0C"/>
    <w:rsid w:val="00D76BCD"/>
    <w:rsid w:val="00D76DEA"/>
    <w:rsid w:val="00D76FF4"/>
    <w:rsid w:val="00D7703D"/>
    <w:rsid w:val="00D7728F"/>
    <w:rsid w:val="00D772FA"/>
    <w:rsid w:val="00D77542"/>
    <w:rsid w:val="00D776D5"/>
    <w:rsid w:val="00D77711"/>
    <w:rsid w:val="00D7777F"/>
    <w:rsid w:val="00D777F6"/>
    <w:rsid w:val="00D7782D"/>
    <w:rsid w:val="00D7783B"/>
    <w:rsid w:val="00D779A5"/>
    <w:rsid w:val="00D77AA1"/>
    <w:rsid w:val="00D77C68"/>
    <w:rsid w:val="00D77E2F"/>
    <w:rsid w:val="00D8019E"/>
    <w:rsid w:val="00D803C6"/>
    <w:rsid w:val="00D80402"/>
    <w:rsid w:val="00D8041B"/>
    <w:rsid w:val="00D8059A"/>
    <w:rsid w:val="00D8064A"/>
    <w:rsid w:val="00D8067E"/>
    <w:rsid w:val="00D806AC"/>
    <w:rsid w:val="00D806DA"/>
    <w:rsid w:val="00D806E5"/>
    <w:rsid w:val="00D80796"/>
    <w:rsid w:val="00D808AA"/>
    <w:rsid w:val="00D8094D"/>
    <w:rsid w:val="00D80979"/>
    <w:rsid w:val="00D80A34"/>
    <w:rsid w:val="00D80AD7"/>
    <w:rsid w:val="00D80B08"/>
    <w:rsid w:val="00D80C79"/>
    <w:rsid w:val="00D80E2D"/>
    <w:rsid w:val="00D80EAA"/>
    <w:rsid w:val="00D80EC7"/>
    <w:rsid w:val="00D81133"/>
    <w:rsid w:val="00D8113E"/>
    <w:rsid w:val="00D811EF"/>
    <w:rsid w:val="00D81292"/>
    <w:rsid w:val="00D813AA"/>
    <w:rsid w:val="00D81516"/>
    <w:rsid w:val="00D81773"/>
    <w:rsid w:val="00D81797"/>
    <w:rsid w:val="00D81881"/>
    <w:rsid w:val="00D81A4D"/>
    <w:rsid w:val="00D81B70"/>
    <w:rsid w:val="00D81B72"/>
    <w:rsid w:val="00D81C11"/>
    <w:rsid w:val="00D81CA8"/>
    <w:rsid w:val="00D81D35"/>
    <w:rsid w:val="00D81DBF"/>
    <w:rsid w:val="00D81E12"/>
    <w:rsid w:val="00D81E1D"/>
    <w:rsid w:val="00D8209D"/>
    <w:rsid w:val="00D820CA"/>
    <w:rsid w:val="00D8218F"/>
    <w:rsid w:val="00D8222E"/>
    <w:rsid w:val="00D82295"/>
    <w:rsid w:val="00D824F9"/>
    <w:rsid w:val="00D8256C"/>
    <w:rsid w:val="00D826F4"/>
    <w:rsid w:val="00D82713"/>
    <w:rsid w:val="00D828A9"/>
    <w:rsid w:val="00D8290F"/>
    <w:rsid w:val="00D82B03"/>
    <w:rsid w:val="00D82B5D"/>
    <w:rsid w:val="00D82BCD"/>
    <w:rsid w:val="00D82BD0"/>
    <w:rsid w:val="00D82DAD"/>
    <w:rsid w:val="00D82DD3"/>
    <w:rsid w:val="00D82FAC"/>
    <w:rsid w:val="00D82FC3"/>
    <w:rsid w:val="00D830C8"/>
    <w:rsid w:val="00D8314A"/>
    <w:rsid w:val="00D8316F"/>
    <w:rsid w:val="00D831B3"/>
    <w:rsid w:val="00D8338F"/>
    <w:rsid w:val="00D83411"/>
    <w:rsid w:val="00D834CA"/>
    <w:rsid w:val="00D8352F"/>
    <w:rsid w:val="00D83538"/>
    <w:rsid w:val="00D8356D"/>
    <w:rsid w:val="00D83671"/>
    <w:rsid w:val="00D83672"/>
    <w:rsid w:val="00D836F8"/>
    <w:rsid w:val="00D83879"/>
    <w:rsid w:val="00D838BE"/>
    <w:rsid w:val="00D838FB"/>
    <w:rsid w:val="00D83A4C"/>
    <w:rsid w:val="00D83B26"/>
    <w:rsid w:val="00D83D21"/>
    <w:rsid w:val="00D83E57"/>
    <w:rsid w:val="00D83FC0"/>
    <w:rsid w:val="00D8419A"/>
    <w:rsid w:val="00D8422B"/>
    <w:rsid w:val="00D84235"/>
    <w:rsid w:val="00D8442E"/>
    <w:rsid w:val="00D84557"/>
    <w:rsid w:val="00D845AA"/>
    <w:rsid w:val="00D847BE"/>
    <w:rsid w:val="00D8489D"/>
    <w:rsid w:val="00D84905"/>
    <w:rsid w:val="00D84906"/>
    <w:rsid w:val="00D84AF0"/>
    <w:rsid w:val="00D84C61"/>
    <w:rsid w:val="00D84D80"/>
    <w:rsid w:val="00D84F98"/>
    <w:rsid w:val="00D84FD0"/>
    <w:rsid w:val="00D85221"/>
    <w:rsid w:val="00D8522E"/>
    <w:rsid w:val="00D85298"/>
    <w:rsid w:val="00D85333"/>
    <w:rsid w:val="00D8536B"/>
    <w:rsid w:val="00D8538A"/>
    <w:rsid w:val="00D8547E"/>
    <w:rsid w:val="00D85490"/>
    <w:rsid w:val="00D855B0"/>
    <w:rsid w:val="00D8563D"/>
    <w:rsid w:val="00D85755"/>
    <w:rsid w:val="00D857B6"/>
    <w:rsid w:val="00D857E3"/>
    <w:rsid w:val="00D85859"/>
    <w:rsid w:val="00D858B4"/>
    <w:rsid w:val="00D85921"/>
    <w:rsid w:val="00D859E4"/>
    <w:rsid w:val="00D85A13"/>
    <w:rsid w:val="00D85A64"/>
    <w:rsid w:val="00D85E12"/>
    <w:rsid w:val="00D86096"/>
    <w:rsid w:val="00D86115"/>
    <w:rsid w:val="00D8611B"/>
    <w:rsid w:val="00D86141"/>
    <w:rsid w:val="00D86150"/>
    <w:rsid w:val="00D861BD"/>
    <w:rsid w:val="00D861FB"/>
    <w:rsid w:val="00D8627B"/>
    <w:rsid w:val="00D8634F"/>
    <w:rsid w:val="00D864F4"/>
    <w:rsid w:val="00D864FB"/>
    <w:rsid w:val="00D8657D"/>
    <w:rsid w:val="00D8661E"/>
    <w:rsid w:val="00D8662B"/>
    <w:rsid w:val="00D86631"/>
    <w:rsid w:val="00D866BF"/>
    <w:rsid w:val="00D86737"/>
    <w:rsid w:val="00D8687C"/>
    <w:rsid w:val="00D86937"/>
    <w:rsid w:val="00D86963"/>
    <w:rsid w:val="00D86ADA"/>
    <w:rsid w:val="00D86B07"/>
    <w:rsid w:val="00D86BA5"/>
    <w:rsid w:val="00D86BF8"/>
    <w:rsid w:val="00D86C9E"/>
    <w:rsid w:val="00D86DDF"/>
    <w:rsid w:val="00D86E6D"/>
    <w:rsid w:val="00D86EB8"/>
    <w:rsid w:val="00D86F68"/>
    <w:rsid w:val="00D86FB5"/>
    <w:rsid w:val="00D8702D"/>
    <w:rsid w:val="00D87097"/>
    <w:rsid w:val="00D87193"/>
    <w:rsid w:val="00D87241"/>
    <w:rsid w:val="00D87294"/>
    <w:rsid w:val="00D872CA"/>
    <w:rsid w:val="00D87357"/>
    <w:rsid w:val="00D873A8"/>
    <w:rsid w:val="00D8753A"/>
    <w:rsid w:val="00D875B8"/>
    <w:rsid w:val="00D875C2"/>
    <w:rsid w:val="00D87635"/>
    <w:rsid w:val="00D87639"/>
    <w:rsid w:val="00D8765C"/>
    <w:rsid w:val="00D876C5"/>
    <w:rsid w:val="00D87822"/>
    <w:rsid w:val="00D87845"/>
    <w:rsid w:val="00D87B09"/>
    <w:rsid w:val="00D87B0F"/>
    <w:rsid w:val="00D87B12"/>
    <w:rsid w:val="00D87B84"/>
    <w:rsid w:val="00D87BCE"/>
    <w:rsid w:val="00D87BF4"/>
    <w:rsid w:val="00D87CC1"/>
    <w:rsid w:val="00D87D32"/>
    <w:rsid w:val="00D87EAC"/>
    <w:rsid w:val="00D87F7A"/>
    <w:rsid w:val="00D87FA2"/>
    <w:rsid w:val="00D8E78F"/>
    <w:rsid w:val="00D900CF"/>
    <w:rsid w:val="00D901D6"/>
    <w:rsid w:val="00D90262"/>
    <w:rsid w:val="00D902CB"/>
    <w:rsid w:val="00D903A2"/>
    <w:rsid w:val="00D90753"/>
    <w:rsid w:val="00D908D0"/>
    <w:rsid w:val="00D90A7C"/>
    <w:rsid w:val="00D90A83"/>
    <w:rsid w:val="00D90C3C"/>
    <w:rsid w:val="00D90CE2"/>
    <w:rsid w:val="00D90E9C"/>
    <w:rsid w:val="00D90EBB"/>
    <w:rsid w:val="00D90F1C"/>
    <w:rsid w:val="00D91173"/>
    <w:rsid w:val="00D9121D"/>
    <w:rsid w:val="00D913D3"/>
    <w:rsid w:val="00D913E5"/>
    <w:rsid w:val="00D9142A"/>
    <w:rsid w:val="00D91575"/>
    <w:rsid w:val="00D918C2"/>
    <w:rsid w:val="00D91A72"/>
    <w:rsid w:val="00D91BA5"/>
    <w:rsid w:val="00D91BC0"/>
    <w:rsid w:val="00D91CC1"/>
    <w:rsid w:val="00D91CE5"/>
    <w:rsid w:val="00D91D5C"/>
    <w:rsid w:val="00D91D6B"/>
    <w:rsid w:val="00D91E0E"/>
    <w:rsid w:val="00D91FDA"/>
    <w:rsid w:val="00D9214C"/>
    <w:rsid w:val="00D9218A"/>
    <w:rsid w:val="00D92374"/>
    <w:rsid w:val="00D9241E"/>
    <w:rsid w:val="00D92457"/>
    <w:rsid w:val="00D92CA2"/>
    <w:rsid w:val="00D92DD7"/>
    <w:rsid w:val="00D92EBB"/>
    <w:rsid w:val="00D92EE3"/>
    <w:rsid w:val="00D92EFB"/>
    <w:rsid w:val="00D92F15"/>
    <w:rsid w:val="00D92F4F"/>
    <w:rsid w:val="00D92F62"/>
    <w:rsid w:val="00D92F6A"/>
    <w:rsid w:val="00D92FB8"/>
    <w:rsid w:val="00D930A1"/>
    <w:rsid w:val="00D9331E"/>
    <w:rsid w:val="00D933D6"/>
    <w:rsid w:val="00D9341E"/>
    <w:rsid w:val="00D935C9"/>
    <w:rsid w:val="00D93618"/>
    <w:rsid w:val="00D9368F"/>
    <w:rsid w:val="00D9372B"/>
    <w:rsid w:val="00D93839"/>
    <w:rsid w:val="00D93A4A"/>
    <w:rsid w:val="00D93BF4"/>
    <w:rsid w:val="00D93D4F"/>
    <w:rsid w:val="00D93E87"/>
    <w:rsid w:val="00D93E99"/>
    <w:rsid w:val="00D93FA2"/>
    <w:rsid w:val="00D940CD"/>
    <w:rsid w:val="00D943D2"/>
    <w:rsid w:val="00D94437"/>
    <w:rsid w:val="00D944EC"/>
    <w:rsid w:val="00D944F8"/>
    <w:rsid w:val="00D945C2"/>
    <w:rsid w:val="00D945CA"/>
    <w:rsid w:val="00D94629"/>
    <w:rsid w:val="00D946BF"/>
    <w:rsid w:val="00D946F8"/>
    <w:rsid w:val="00D94724"/>
    <w:rsid w:val="00D947BE"/>
    <w:rsid w:val="00D947E4"/>
    <w:rsid w:val="00D9491D"/>
    <w:rsid w:val="00D9492D"/>
    <w:rsid w:val="00D9493E"/>
    <w:rsid w:val="00D949F8"/>
    <w:rsid w:val="00D949FF"/>
    <w:rsid w:val="00D94A37"/>
    <w:rsid w:val="00D94B03"/>
    <w:rsid w:val="00D94B96"/>
    <w:rsid w:val="00D94BF1"/>
    <w:rsid w:val="00D94E2F"/>
    <w:rsid w:val="00D94F5A"/>
    <w:rsid w:val="00D94F72"/>
    <w:rsid w:val="00D94F85"/>
    <w:rsid w:val="00D94FAE"/>
    <w:rsid w:val="00D94FF8"/>
    <w:rsid w:val="00D950EC"/>
    <w:rsid w:val="00D95215"/>
    <w:rsid w:val="00D9544D"/>
    <w:rsid w:val="00D955A6"/>
    <w:rsid w:val="00D955CE"/>
    <w:rsid w:val="00D9560D"/>
    <w:rsid w:val="00D95634"/>
    <w:rsid w:val="00D956D2"/>
    <w:rsid w:val="00D95700"/>
    <w:rsid w:val="00D95861"/>
    <w:rsid w:val="00D958CC"/>
    <w:rsid w:val="00D9590D"/>
    <w:rsid w:val="00D95910"/>
    <w:rsid w:val="00D959E5"/>
    <w:rsid w:val="00D95A11"/>
    <w:rsid w:val="00D95A9D"/>
    <w:rsid w:val="00D95C18"/>
    <w:rsid w:val="00D95C49"/>
    <w:rsid w:val="00D95C9C"/>
    <w:rsid w:val="00D95CB4"/>
    <w:rsid w:val="00D95E8B"/>
    <w:rsid w:val="00D96088"/>
    <w:rsid w:val="00D961E4"/>
    <w:rsid w:val="00D9632F"/>
    <w:rsid w:val="00D963B1"/>
    <w:rsid w:val="00D965DE"/>
    <w:rsid w:val="00D96644"/>
    <w:rsid w:val="00D96769"/>
    <w:rsid w:val="00D96890"/>
    <w:rsid w:val="00D96893"/>
    <w:rsid w:val="00D968D5"/>
    <w:rsid w:val="00D9695F"/>
    <w:rsid w:val="00D969F8"/>
    <w:rsid w:val="00D96A0D"/>
    <w:rsid w:val="00D96ABB"/>
    <w:rsid w:val="00D96EF7"/>
    <w:rsid w:val="00D96F2F"/>
    <w:rsid w:val="00D96FF2"/>
    <w:rsid w:val="00D97043"/>
    <w:rsid w:val="00D971A1"/>
    <w:rsid w:val="00D971D9"/>
    <w:rsid w:val="00D9725F"/>
    <w:rsid w:val="00D972A7"/>
    <w:rsid w:val="00D973A3"/>
    <w:rsid w:val="00D974AE"/>
    <w:rsid w:val="00D9763F"/>
    <w:rsid w:val="00D976BA"/>
    <w:rsid w:val="00D976FF"/>
    <w:rsid w:val="00D97725"/>
    <w:rsid w:val="00D977DA"/>
    <w:rsid w:val="00D978F9"/>
    <w:rsid w:val="00D979C5"/>
    <w:rsid w:val="00D97B27"/>
    <w:rsid w:val="00D97BC1"/>
    <w:rsid w:val="00D97FAB"/>
    <w:rsid w:val="00DA00B1"/>
    <w:rsid w:val="00DA0156"/>
    <w:rsid w:val="00DA0255"/>
    <w:rsid w:val="00DA029F"/>
    <w:rsid w:val="00DA02D4"/>
    <w:rsid w:val="00DA02F5"/>
    <w:rsid w:val="00DA0392"/>
    <w:rsid w:val="00DA07DE"/>
    <w:rsid w:val="00DA07E7"/>
    <w:rsid w:val="00DA0851"/>
    <w:rsid w:val="00DA09B6"/>
    <w:rsid w:val="00DA0AC5"/>
    <w:rsid w:val="00DA0B08"/>
    <w:rsid w:val="00DA0CA0"/>
    <w:rsid w:val="00DA0CCE"/>
    <w:rsid w:val="00DA0D68"/>
    <w:rsid w:val="00DA0DD0"/>
    <w:rsid w:val="00DA0EF5"/>
    <w:rsid w:val="00DA0FE0"/>
    <w:rsid w:val="00DA1112"/>
    <w:rsid w:val="00DA118B"/>
    <w:rsid w:val="00DA12C0"/>
    <w:rsid w:val="00DA1387"/>
    <w:rsid w:val="00DA13AC"/>
    <w:rsid w:val="00DA1682"/>
    <w:rsid w:val="00DA17F8"/>
    <w:rsid w:val="00DA1819"/>
    <w:rsid w:val="00DA1829"/>
    <w:rsid w:val="00DA1906"/>
    <w:rsid w:val="00DA199D"/>
    <w:rsid w:val="00DA1BEE"/>
    <w:rsid w:val="00DA1E4C"/>
    <w:rsid w:val="00DA1F0A"/>
    <w:rsid w:val="00DA205A"/>
    <w:rsid w:val="00DA24D9"/>
    <w:rsid w:val="00DA2501"/>
    <w:rsid w:val="00DA25C9"/>
    <w:rsid w:val="00DA26CE"/>
    <w:rsid w:val="00DA2709"/>
    <w:rsid w:val="00DA2838"/>
    <w:rsid w:val="00DA2A52"/>
    <w:rsid w:val="00DA2AF1"/>
    <w:rsid w:val="00DA2C0A"/>
    <w:rsid w:val="00DA2D90"/>
    <w:rsid w:val="00DA2DC7"/>
    <w:rsid w:val="00DA2DDD"/>
    <w:rsid w:val="00DA2E1F"/>
    <w:rsid w:val="00DA327B"/>
    <w:rsid w:val="00DA3296"/>
    <w:rsid w:val="00DA32D9"/>
    <w:rsid w:val="00DA3327"/>
    <w:rsid w:val="00DA3474"/>
    <w:rsid w:val="00DA347F"/>
    <w:rsid w:val="00DA356A"/>
    <w:rsid w:val="00DA35C0"/>
    <w:rsid w:val="00DA36AB"/>
    <w:rsid w:val="00DA36B3"/>
    <w:rsid w:val="00DA3756"/>
    <w:rsid w:val="00DA3783"/>
    <w:rsid w:val="00DA38E3"/>
    <w:rsid w:val="00DA3A41"/>
    <w:rsid w:val="00DA3D2B"/>
    <w:rsid w:val="00DA3D97"/>
    <w:rsid w:val="00DA3DBF"/>
    <w:rsid w:val="00DA3E86"/>
    <w:rsid w:val="00DA3E90"/>
    <w:rsid w:val="00DA3F13"/>
    <w:rsid w:val="00DA41EF"/>
    <w:rsid w:val="00DA44EB"/>
    <w:rsid w:val="00DA4549"/>
    <w:rsid w:val="00DA467E"/>
    <w:rsid w:val="00DA4814"/>
    <w:rsid w:val="00DA4859"/>
    <w:rsid w:val="00DA4918"/>
    <w:rsid w:val="00DA49E0"/>
    <w:rsid w:val="00DA4A24"/>
    <w:rsid w:val="00DA4ADE"/>
    <w:rsid w:val="00DA4B46"/>
    <w:rsid w:val="00DA4BD4"/>
    <w:rsid w:val="00DA4C1C"/>
    <w:rsid w:val="00DA4D25"/>
    <w:rsid w:val="00DA4E38"/>
    <w:rsid w:val="00DA500D"/>
    <w:rsid w:val="00DA5143"/>
    <w:rsid w:val="00DA5498"/>
    <w:rsid w:val="00DA55A7"/>
    <w:rsid w:val="00DA5671"/>
    <w:rsid w:val="00DA5935"/>
    <w:rsid w:val="00DA59DD"/>
    <w:rsid w:val="00DA5C0D"/>
    <w:rsid w:val="00DA5D4C"/>
    <w:rsid w:val="00DA5E9F"/>
    <w:rsid w:val="00DA6076"/>
    <w:rsid w:val="00DA60AC"/>
    <w:rsid w:val="00DA6143"/>
    <w:rsid w:val="00DA623C"/>
    <w:rsid w:val="00DA6287"/>
    <w:rsid w:val="00DA63F5"/>
    <w:rsid w:val="00DA6406"/>
    <w:rsid w:val="00DA645F"/>
    <w:rsid w:val="00DA64EC"/>
    <w:rsid w:val="00DA6501"/>
    <w:rsid w:val="00DA655A"/>
    <w:rsid w:val="00DA6842"/>
    <w:rsid w:val="00DA68D1"/>
    <w:rsid w:val="00DA68FC"/>
    <w:rsid w:val="00DA69F4"/>
    <w:rsid w:val="00DA6AC4"/>
    <w:rsid w:val="00DA6B95"/>
    <w:rsid w:val="00DA6CB1"/>
    <w:rsid w:val="00DA6D55"/>
    <w:rsid w:val="00DA6D6A"/>
    <w:rsid w:val="00DA6D87"/>
    <w:rsid w:val="00DA7059"/>
    <w:rsid w:val="00DA72A2"/>
    <w:rsid w:val="00DA732A"/>
    <w:rsid w:val="00DA74B2"/>
    <w:rsid w:val="00DA74C5"/>
    <w:rsid w:val="00DA75A9"/>
    <w:rsid w:val="00DA772A"/>
    <w:rsid w:val="00DA787F"/>
    <w:rsid w:val="00DA7888"/>
    <w:rsid w:val="00DA78D9"/>
    <w:rsid w:val="00DA78FB"/>
    <w:rsid w:val="00DA79E3"/>
    <w:rsid w:val="00DA7A19"/>
    <w:rsid w:val="00DA7A93"/>
    <w:rsid w:val="00DA7AA3"/>
    <w:rsid w:val="00DA7B43"/>
    <w:rsid w:val="00DA7BB4"/>
    <w:rsid w:val="00DA7DD2"/>
    <w:rsid w:val="00DA7DF3"/>
    <w:rsid w:val="00DA7E57"/>
    <w:rsid w:val="00DA7E81"/>
    <w:rsid w:val="00DA7E96"/>
    <w:rsid w:val="00DA7EEB"/>
    <w:rsid w:val="00DA7F0F"/>
    <w:rsid w:val="00DA7F19"/>
    <w:rsid w:val="00DA7FF0"/>
    <w:rsid w:val="00DB003D"/>
    <w:rsid w:val="00DB0087"/>
    <w:rsid w:val="00DB00A0"/>
    <w:rsid w:val="00DB00AD"/>
    <w:rsid w:val="00DB025B"/>
    <w:rsid w:val="00DB0474"/>
    <w:rsid w:val="00DB04E2"/>
    <w:rsid w:val="00DB0511"/>
    <w:rsid w:val="00DB0687"/>
    <w:rsid w:val="00DB06DF"/>
    <w:rsid w:val="00DB07FF"/>
    <w:rsid w:val="00DB0861"/>
    <w:rsid w:val="00DB096F"/>
    <w:rsid w:val="00DB09CF"/>
    <w:rsid w:val="00DB0A31"/>
    <w:rsid w:val="00DB0A4C"/>
    <w:rsid w:val="00DB0AA8"/>
    <w:rsid w:val="00DB0B2C"/>
    <w:rsid w:val="00DB0B3C"/>
    <w:rsid w:val="00DB0BB2"/>
    <w:rsid w:val="00DB0C8D"/>
    <w:rsid w:val="00DB0D73"/>
    <w:rsid w:val="00DB0DBC"/>
    <w:rsid w:val="00DB11AB"/>
    <w:rsid w:val="00DB12C2"/>
    <w:rsid w:val="00DB1407"/>
    <w:rsid w:val="00DB155A"/>
    <w:rsid w:val="00DB1626"/>
    <w:rsid w:val="00DB16AE"/>
    <w:rsid w:val="00DB171C"/>
    <w:rsid w:val="00DB1772"/>
    <w:rsid w:val="00DB19AD"/>
    <w:rsid w:val="00DB1A72"/>
    <w:rsid w:val="00DB1ADE"/>
    <w:rsid w:val="00DB1D88"/>
    <w:rsid w:val="00DB1E4E"/>
    <w:rsid w:val="00DB200C"/>
    <w:rsid w:val="00DB20A2"/>
    <w:rsid w:val="00DB20CB"/>
    <w:rsid w:val="00DB2253"/>
    <w:rsid w:val="00DB2310"/>
    <w:rsid w:val="00DB23FB"/>
    <w:rsid w:val="00DB24BE"/>
    <w:rsid w:val="00DB250B"/>
    <w:rsid w:val="00DB25E5"/>
    <w:rsid w:val="00DB27CE"/>
    <w:rsid w:val="00DB2860"/>
    <w:rsid w:val="00DB2943"/>
    <w:rsid w:val="00DB2ABF"/>
    <w:rsid w:val="00DB2AE5"/>
    <w:rsid w:val="00DB2EC9"/>
    <w:rsid w:val="00DB2FFF"/>
    <w:rsid w:val="00DB30FF"/>
    <w:rsid w:val="00DB3342"/>
    <w:rsid w:val="00DB337A"/>
    <w:rsid w:val="00DB3407"/>
    <w:rsid w:val="00DB341F"/>
    <w:rsid w:val="00DB3569"/>
    <w:rsid w:val="00DB366F"/>
    <w:rsid w:val="00DB36FD"/>
    <w:rsid w:val="00DB3778"/>
    <w:rsid w:val="00DB381C"/>
    <w:rsid w:val="00DB3997"/>
    <w:rsid w:val="00DB39E8"/>
    <w:rsid w:val="00DB3A8D"/>
    <w:rsid w:val="00DB3BB5"/>
    <w:rsid w:val="00DB3C28"/>
    <w:rsid w:val="00DB3C50"/>
    <w:rsid w:val="00DB3C81"/>
    <w:rsid w:val="00DB3D1A"/>
    <w:rsid w:val="00DB3DAE"/>
    <w:rsid w:val="00DB3E48"/>
    <w:rsid w:val="00DB3FCA"/>
    <w:rsid w:val="00DB40AB"/>
    <w:rsid w:val="00DB4123"/>
    <w:rsid w:val="00DB4295"/>
    <w:rsid w:val="00DB459F"/>
    <w:rsid w:val="00DB4644"/>
    <w:rsid w:val="00DB4778"/>
    <w:rsid w:val="00DB48F2"/>
    <w:rsid w:val="00DB49DD"/>
    <w:rsid w:val="00DB4ADA"/>
    <w:rsid w:val="00DB4C6C"/>
    <w:rsid w:val="00DB4C7B"/>
    <w:rsid w:val="00DB4D85"/>
    <w:rsid w:val="00DB4E45"/>
    <w:rsid w:val="00DB5286"/>
    <w:rsid w:val="00DB5293"/>
    <w:rsid w:val="00DB53F8"/>
    <w:rsid w:val="00DB5447"/>
    <w:rsid w:val="00DB544B"/>
    <w:rsid w:val="00DB5455"/>
    <w:rsid w:val="00DB545B"/>
    <w:rsid w:val="00DB55D0"/>
    <w:rsid w:val="00DB5745"/>
    <w:rsid w:val="00DB578D"/>
    <w:rsid w:val="00DB57DA"/>
    <w:rsid w:val="00DB5840"/>
    <w:rsid w:val="00DB58AF"/>
    <w:rsid w:val="00DB59AC"/>
    <w:rsid w:val="00DB5C84"/>
    <w:rsid w:val="00DB5D49"/>
    <w:rsid w:val="00DB5D66"/>
    <w:rsid w:val="00DB5EA2"/>
    <w:rsid w:val="00DB5ECD"/>
    <w:rsid w:val="00DB5FCA"/>
    <w:rsid w:val="00DB60F9"/>
    <w:rsid w:val="00DB61A3"/>
    <w:rsid w:val="00DB6351"/>
    <w:rsid w:val="00DB65BC"/>
    <w:rsid w:val="00DB664E"/>
    <w:rsid w:val="00DB66E9"/>
    <w:rsid w:val="00DB6737"/>
    <w:rsid w:val="00DB68F7"/>
    <w:rsid w:val="00DB692A"/>
    <w:rsid w:val="00DB692C"/>
    <w:rsid w:val="00DB69A6"/>
    <w:rsid w:val="00DB69AC"/>
    <w:rsid w:val="00DB6A14"/>
    <w:rsid w:val="00DB6AA8"/>
    <w:rsid w:val="00DB6B60"/>
    <w:rsid w:val="00DB6BBA"/>
    <w:rsid w:val="00DB6BC9"/>
    <w:rsid w:val="00DB6CD1"/>
    <w:rsid w:val="00DB6D7D"/>
    <w:rsid w:val="00DB6E0E"/>
    <w:rsid w:val="00DB6E1F"/>
    <w:rsid w:val="00DB6E5F"/>
    <w:rsid w:val="00DB6F13"/>
    <w:rsid w:val="00DB71E6"/>
    <w:rsid w:val="00DB7274"/>
    <w:rsid w:val="00DB7319"/>
    <w:rsid w:val="00DB7725"/>
    <w:rsid w:val="00DB78A6"/>
    <w:rsid w:val="00DB795C"/>
    <w:rsid w:val="00DB7A47"/>
    <w:rsid w:val="00DB7A95"/>
    <w:rsid w:val="00DB7A9C"/>
    <w:rsid w:val="00DB7D03"/>
    <w:rsid w:val="00DB7D91"/>
    <w:rsid w:val="00DB7DF4"/>
    <w:rsid w:val="00DB7F4A"/>
    <w:rsid w:val="00DB7F4C"/>
    <w:rsid w:val="00DB7FBF"/>
    <w:rsid w:val="00DC004F"/>
    <w:rsid w:val="00DC00CF"/>
    <w:rsid w:val="00DC0136"/>
    <w:rsid w:val="00DC037D"/>
    <w:rsid w:val="00DC03EF"/>
    <w:rsid w:val="00DC03FA"/>
    <w:rsid w:val="00DC04CC"/>
    <w:rsid w:val="00DC04F7"/>
    <w:rsid w:val="00DC0582"/>
    <w:rsid w:val="00DC05F2"/>
    <w:rsid w:val="00DC0672"/>
    <w:rsid w:val="00DC076A"/>
    <w:rsid w:val="00DC078B"/>
    <w:rsid w:val="00DC08B4"/>
    <w:rsid w:val="00DC0A77"/>
    <w:rsid w:val="00DC0BD5"/>
    <w:rsid w:val="00DC104D"/>
    <w:rsid w:val="00DC10D2"/>
    <w:rsid w:val="00DC1259"/>
    <w:rsid w:val="00DC1263"/>
    <w:rsid w:val="00DC12E3"/>
    <w:rsid w:val="00DC1588"/>
    <w:rsid w:val="00DC159B"/>
    <w:rsid w:val="00DC1641"/>
    <w:rsid w:val="00DC168C"/>
    <w:rsid w:val="00DC16D1"/>
    <w:rsid w:val="00DC190E"/>
    <w:rsid w:val="00DC1B3C"/>
    <w:rsid w:val="00DC1BC0"/>
    <w:rsid w:val="00DC1DBD"/>
    <w:rsid w:val="00DC1E33"/>
    <w:rsid w:val="00DC1F38"/>
    <w:rsid w:val="00DC201C"/>
    <w:rsid w:val="00DC2132"/>
    <w:rsid w:val="00DC216D"/>
    <w:rsid w:val="00DC21D8"/>
    <w:rsid w:val="00DC2280"/>
    <w:rsid w:val="00DC2364"/>
    <w:rsid w:val="00DC24E3"/>
    <w:rsid w:val="00DC2528"/>
    <w:rsid w:val="00DC2680"/>
    <w:rsid w:val="00DC2699"/>
    <w:rsid w:val="00DC26FF"/>
    <w:rsid w:val="00DC2715"/>
    <w:rsid w:val="00DC27F3"/>
    <w:rsid w:val="00DC2856"/>
    <w:rsid w:val="00DC293C"/>
    <w:rsid w:val="00DC2979"/>
    <w:rsid w:val="00DC2B0C"/>
    <w:rsid w:val="00DC2BB7"/>
    <w:rsid w:val="00DC2D92"/>
    <w:rsid w:val="00DC2DDD"/>
    <w:rsid w:val="00DC31BA"/>
    <w:rsid w:val="00DC32DA"/>
    <w:rsid w:val="00DC342B"/>
    <w:rsid w:val="00DC35B7"/>
    <w:rsid w:val="00DC386A"/>
    <w:rsid w:val="00DC3A9B"/>
    <w:rsid w:val="00DC3AFB"/>
    <w:rsid w:val="00DC3B51"/>
    <w:rsid w:val="00DC3B6E"/>
    <w:rsid w:val="00DC3BB2"/>
    <w:rsid w:val="00DC3C1A"/>
    <w:rsid w:val="00DC3CA7"/>
    <w:rsid w:val="00DC3CDB"/>
    <w:rsid w:val="00DC3D18"/>
    <w:rsid w:val="00DC3DCC"/>
    <w:rsid w:val="00DC3DE2"/>
    <w:rsid w:val="00DC3FA9"/>
    <w:rsid w:val="00DC407D"/>
    <w:rsid w:val="00DC41BD"/>
    <w:rsid w:val="00DC44D2"/>
    <w:rsid w:val="00DC46DE"/>
    <w:rsid w:val="00DC47E5"/>
    <w:rsid w:val="00DC482C"/>
    <w:rsid w:val="00DC48B5"/>
    <w:rsid w:val="00DC4933"/>
    <w:rsid w:val="00DC495B"/>
    <w:rsid w:val="00DC49D6"/>
    <w:rsid w:val="00DC49F3"/>
    <w:rsid w:val="00DC4CFB"/>
    <w:rsid w:val="00DC4DB0"/>
    <w:rsid w:val="00DC4E24"/>
    <w:rsid w:val="00DC4E90"/>
    <w:rsid w:val="00DC4E9A"/>
    <w:rsid w:val="00DC4F94"/>
    <w:rsid w:val="00DC512D"/>
    <w:rsid w:val="00DC51DB"/>
    <w:rsid w:val="00DC55D7"/>
    <w:rsid w:val="00DC59C9"/>
    <w:rsid w:val="00DC5A5C"/>
    <w:rsid w:val="00DC5A8E"/>
    <w:rsid w:val="00DC5C49"/>
    <w:rsid w:val="00DC5C4F"/>
    <w:rsid w:val="00DC5D3E"/>
    <w:rsid w:val="00DC5D46"/>
    <w:rsid w:val="00DC5DAE"/>
    <w:rsid w:val="00DC5E16"/>
    <w:rsid w:val="00DC5F1D"/>
    <w:rsid w:val="00DC5F70"/>
    <w:rsid w:val="00DC5FBD"/>
    <w:rsid w:val="00DC6017"/>
    <w:rsid w:val="00DC60F0"/>
    <w:rsid w:val="00DC6207"/>
    <w:rsid w:val="00DC6229"/>
    <w:rsid w:val="00DC6292"/>
    <w:rsid w:val="00DC629E"/>
    <w:rsid w:val="00DC62CD"/>
    <w:rsid w:val="00DC63F4"/>
    <w:rsid w:val="00DC652C"/>
    <w:rsid w:val="00DC65E9"/>
    <w:rsid w:val="00DC6654"/>
    <w:rsid w:val="00DC69C4"/>
    <w:rsid w:val="00DC6A87"/>
    <w:rsid w:val="00DC6AA8"/>
    <w:rsid w:val="00DC6AB7"/>
    <w:rsid w:val="00DC6B4D"/>
    <w:rsid w:val="00DC6C74"/>
    <w:rsid w:val="00DC6D1E"/>
    <w:rsid w:val="00DC6D31"/>
    <w:rsid w:val="00DC6E5C"/>
    <w:rsid w:val="00DC6F6D"/>
    <w:rsid w:val="00DC7008"/>
    <w:rsid w:val="00DC709D"/>
    <w:rsid w:val="00DC71C2"/>
    <w:rsid w:val="00DC729B"/>
    <w:rsid w:val="00DC736A"/>
    <w:rsid w:val="00DC7381"/>
    <w:rsid w:val="00DC74B5"/>
    <w:rsid w:val="00DC74FA"/>
    <w:rsid w:val="00DC754E"/>
    <w:rsid w:val="00DC769C"/>
    <w:rsid w:val="00DC776D"/>
    <w:rsid w:val="00DC7879"/>
    <w:rsid w:val="00DC78B4"/>
    <w:rsid w:val="00DC7E3F"/>
    <w:rsid w:val="00DC7F29"/>
    <w:rsid w:val="00DC7F47"/>
    <w:rsid w:val="00DC9798"/>
    <w:rsid w:val="00DD0015"/>
    <w:rsid w:val="00DD013B"/>
    <w:rsid w:val="00DD01E6"/>
    <w:rsid w:val="00DD029C"/>
    <w:rsid w:val="00DD041F"/>
    <w:rsid w:val="00DD068D"/>
    <w:rsid w:val="00DD07B0"/>
    <w:rsid w:val="00DD093A"/>
    <w:rsid w:val="00DD093F"/>
    <w:rsid w:val="00DD097E"/>
    <w:rsid w:val="00DD0AA3"/>
    <w:rsid w:val="00DD0BE3"/>
    <w:rsid w:val="00DD0C9D"/>
    <w:rsid w:val="00DD0CDF"/>
    <w:rsid w:val="00DD0D46"/>
    <w:rsid w:val="00DD0DEF"/>
    <w:rsid w:val="00DD0EBF"/>
    <w:rsid w:val="00DD0EF4"/>
    <w:rsid w:val="00DD1375"/>
    <w:rsid w:val="00DD13E2"/>
    <w:rsid w:val="00DD13EF"/>
    <w:rsid w:val="00DD1477"/>
    <w:rsid w:val="00DD1567"/>
    <w:rsid w:val="00DD156A"/>
    <w:rsid w:val="00DD1582"/>
    <w:rsid w:val="00DD185A"/>
    <w:rsid w:val="00DD18BA"/>
    <w:rsid w:val="00DD1919"/>
    <w:rsid w:val="00DD19F1"/>
    <w:rsid w:val="00DD1A01"/>
    <w:rsid w:val="00DD1AD8"/>
    <w:rsid w:val="00DD1B20"/>
    <w:rsid w:val="00DD1B26"/>
    <w:rsid w:val="00DD1C9F"/>
    <w:rsid w:val="00DD1D58"/>
    <w:rsid w:val="00DD1D5E"/>
    <w:rsid w:val="00DD2044"/>
    <w:rsid w:val="00DD2048"/>
    <w:rsid w:val="00DD2095"/>
    <w:rsid w:val="00DD2354"/>
    <w:rsid w:val="00DD27AC"/>
    <w:rsid w:val="00DD2915"/>
    <w:rsid w:val="00DD29BF"/>
    <w:rsid w:val="00DD2A29"/>
    <w:rsid w:val="00DD2BA4"/>
    <w:rsid w:val="00DD2BEC"/>
    <w:rsid w:val="00DD2CC1"/>
    <w:rsid w:val="00DD2D40"/>
    <w:rsid w:val="00DD2E6A"/>
    <w:rsid w:val="00DD2F3E"/>
    <w:rsid w:val="00DD30C8"/>
    <w:rsid w:val="00DD30CB"/>
    <w:rsid w:val="00DD3192"/>
    <w:rsid w:val="00DD34B1"/>
    <w:rsid w:val="00DD3684"/>
    <w:rsid w:val="00DD3769"/>
    <w:rsid w:val="00DD37C8"/>
    <w:rsid w:val="00DD37FD"/>
    <w:rsid w:val="00DD3814"/>
    <w:rsid w:val="00DD3834"/>
    <w:rsid w:val="00DD3A37"/>
    <w:rsid w:val="00DD3ACF"/>
    <w:rsid w:val="00DD3BC9"/>
    <w:rsid w:val="00DD3BEE"/>
    <w:rsid w:val="00DD3CEE"/>
    <w:rsid w:val="00DD3DBE"/>
    <w:rsid w:val="00DD3FDA"/>
    <w:rsid w:val="00DD4101"/>
    <w:rsid w:val="00DD412C"/>
    <w:rsid w:val="00DD4134"/>
    <w:rsid w:val="00DD4295"/>
    <w:rsid w:val="00DD42AA"/>
    <w:rsid w:val="00DD42C7"/>
    <w:rsid w:val="00DD432D"/>
    <w:rsid w:val="00DD438F"/>
    <w:rsid w:val="00DD43D3"/>
    <w:rsid w:val="00DD4528"/>
    <w:rsid w:val="00DD4582"/>
    <w:rsid w:val="00DD4761"/>
    <w:rsid w:val="00DD48D1"/>
    <w:rsid w:val="00DD499A"/>
    <w:rsid w:val="00DD49F0"/>
    <w:rsid w:val="00DD4A8F"/>
    <w:rsid w:val="00DD4ABB"/>
    <w:rsid w:val="00DD4B1E"/>
    <w:rsid w:val="00DD4CC2"/>
    <w:rsid w:val="00DD4DAE"/>
    <w:rsid w:val="00DD4F56"/>
    <w:rsid w:val="00DD4F63"/>
    <w:rsid w:val="00DD51F1"/>
    <w:rsid w:val="00DD536F"/>
    <w:rsid w:val="00DD5390"/>
    <w:rsid w:val="00DD53FF"/>
    <w:rsid w:val="00DD5505"/>
    <w:rsid w:val="00DD5585"/>
    <w:rsid w:val="00DD55C1"/>
    <w:rsid w:val="00DD56A8"/>
    <w:rsid w:val="00DD57B2"/>
    <w:rsid w:val="00DD58AD"/>
    <w:rsid w:val="00DD5A18"/>
    <w:rsid w:val="00DD5A5F"/>
    <w:rsid w:val="00DD5B37"/>
    <w:rsid w:val="00DD5B8C"/>
    <w:rsid w:val="00DD5C6F"/>
    <w:rsid w:val="00DD5C74"/>
    <w:rsid w:val="00DD5CB4"/>
    <w:rsid w:val="00DD5D59"/>
    <w:rsid w:val="00DD5DA2"/>
    <w:rsid w:val="00DD5EA5"/>
    <w:rsid w:val="00DD6063"/>
    <w:rsid w:val="00DD63DE"/>
    <w:rsid w:val="00DD64EA"/>
    <w:rsid w:val="00DD65C4"/>
    <w:rsid w:val="00DD6679"/>
    <w:rsid w:val="00DD66A0"/>
    <w:rsid w:val="00DD6814"/>
    <w:rsid w:val="00DD6856"/>
    <w:rsid w:val="00DD68EF"/>
    <w:rsid w:val="00DD6A24"/>
    <w:rsid w:val="00DD6A26"/>
    <w:rsid w:val="00DD6B89"/>
    <w:rsid w:val="00DD6D4C"/>
    <w:rsid w:val="00DD6FF6"/>
    <w:rsid w:val="00DD70BB"/>
    <w:rsid w:val="00DD7156"/>
    <w:rsid w:val="00DD71DF"/>
    <w:rsid w:val="00DD742E"/>
    <w:rsid w:val="00DD746F"/>
    <w:rsid w:val="00DD74A0"/>
    <w:rsid w:val="00DD76D7"/>
    <w:rsid w:val="00DD7757"/>
    <w:rsid w:val="00DD7778"/>
    <w:rsid w:val="00DD7798"/>
    <w:rsid w:val="00DD7840"/>
    <w:rsid w:val="00DD7859"/>
    <w:rsid w:val="00DD78AD"/>
    <w:rsid w:val="00DD79D1"/>
    <w:rsid w:val="00DD7AF2"/>
    <w:rsid w:val="00DD7B70"/>
    <w:rsid w:val="00DD7C1F"/>
    <w:rsid w:val="00DD7D70"/>
    <w:rsid w:val="00DD7D7A"/>
    <w:rsid w:val="00DD7EEA"/>
    <w:rsid w:val="00DE012F"/>
    <w:rsid w:val="00DE02DD"/>
    <w:rsid w:val="00DE034E"/>
    <w:rsid w:val="00DE03A7"/>
    <w:rsid w:val="00DE0468"/>
    <w:rsid w:val="00DE04A4"/>
    <w:rsid w:val="00DE04FE"/>
    <w:rsid w:val="00DE0547"/>
    <w:rsid w:val="00DE054A"/>
    <w:rsid w:val="00DE05F3"/>
    <w:rsid w:val="00DE076F"/>
    <w:rsid w:val="00DE07ED"/>
    <w:rsid w:val="00DE091C"/>
    <w:rsid w:val="00DE0947"/>
    <w:rsid w:val="00DE0A1F"/>
    <w:rsid w:val="00DE0BF5"/>
    <w:rsid w:val="00DE0CF9"/>
    <w:rsid w:val="00DE0E20"/>
    <w:rsid w:val="00DE0E54"/>
    <w:rsid w:val="00DE0F93"/>
    <w:rsid w:val="00DE0FFE"/>
    <w:rsid w:val="00DE1111"/>
    <w:rsid w:val="00DE11CD"/>
    <w:rsid w:val="00DE124A"/>
    <w:rsid w:val="00DE1354"/>
    <w:rsid w:val="00DE138A"/>
    <w:rsid w:val="00DE1412"/>
    <w:rsid w:val="00DE146C"/>
    <w:rsid w:val="00DE1537"/>
    <w:rsid w:val="00DE15C3"/>
    <w:rsid w:val="00DE163D"/>
    <w:rsid w:val="00DE16FE"/>
    <w:rsid w:val="00DE1718"/>
    <w:rsid w:val="00DE18E3"/>
    <w:rsid w:val="00DE195B"/>
    <w:rsid w:val="00DE19E8"/>
    <w:rsid w:val="00DE1AC8"/>
    <w:rsid w:val="00DE1B2B"/>
    <w:rsid w:val="00DE1B7A"/>
    <w:rsid w:val="00DE1C1C"/>
    <w:rsid w:val="00DE1D91"/>
    <w:rsid w:val="00DE1DB7"/>
    <w:rsid w:val="00DE1F04"/>
    <w:rsid w:val="00DE2103"/>
    <w:rsid w:val="00DE222A"/>
    <w:rsid w:val="00DE2436"/>
    <w:rsid w:val="00DE2483"/>
    <w:rsid w:val="00DE2608"/>
    <w:rsid w:val="00DE26B7"/>
    <w:rsid w:val="00DE280F"/>
    <w:rsid w:val="00DE2891"/>
    <w:rsid w:val="00DE28C1"/>
    <w:rsid w:val="00DE2BE3"/>
    <w:rsid w:val="00DE2DAB"/>
    <w:rsid w:val="00DE2E61"/>
    <w:rsid w:val="00DE310F"/>
    <w:rsid w:val="00DE31D9"/>
    <w:rsid w:val="00DE38CD"/>
    <w:rsid w:val="00DE3A5A"/>
    <w:rsid w:val="00DE3B5C"/>
    <w:rsid w:val="00DE3C49"/>
    <w:rsid w:val="00DE3C73"/>
    <w:rsid w:val="00DE3D4F"/>
    <w:rsid w:val="00DE3D7F"/>
    <w:rsid w:val="00DE3D9C"/>
    <w:rsid w:val="00DE3DAE"/>
    <w:rsid w:val="00DE3EED"/>
    <w:rsid w:val="00DE3F37"/>
    <w:rsid w:val="00DE3FA7"/>
    <w:rsid w:val="00DE426D"/>
    <w:rsid w:val="00DE42D1"/>
    <w:rsid w:val="00DE4437"/>
    <w:rsid w:val="00DE444C"/>
    <w:rsid w:val="00DE44D4"/>
    <w:rsid w:val="00DE46EC"/>
    <w:rsid w:val="00DE4790"/>
    <w:rsid w:val="00DE4855"/>
    <w:rsid w:val="00DE4971"/>
    <w:rsid w:val="00DE4A11"/>
    <w:rsid w:val="00DE4B46"/>
    <w:rsid w:val="00DE4B74"/>
    <w:rsid w:val="00DE4BD4"/>
    <w:rsid w:val="00DE4C51"/>
    <w:rsid w:val="00DE4D21"/>
    <w:rsid w:val="00DE4D88"/>
    <w:rsid w:val="00DE4DC5"/>
    <w:rsid w:val="00DE4F39"/>
    <w:rsid w:val="00DE5048"/>
    <w:rsid w:val="00DE5227"/>
    <w:rsid w:val="00DE54D6"/>
    <w:rsid w:val="00DE5569"/>
    <w:rsid w:val="00DE56FE"/>
    <w:rsid w:val="00DE571E"/>
    <w:rsid w:val="00DE574D"/>
    <w:rsid w:val="00DE578D"/>
    <w:rsid w:val="00DE5858"/>
    <w:rsid w:val="00DE5876"/>
    <w:rsid w:val="00DE58CA"/>
    <w:rsid w:val="00DE5A1A"/>
    <w:rsid w:val="00DE5A1C"/>
    <w:rsid w:val="00DE5A4C"/>
    <w:rsid w:val="00DE5AAF"/>
    <w:rsid w:val="00DE5B70"/>
    <w:rsid w:val="00DE5C61"/>
    <w:rsid w:val="00DE5D1C"/>
    <w:rsid w:val="00DE5D39"/>
    <w:rsid w:val="00DE5D40"/>
    <w:rsid w:val="00DE5D79"/>
    <w:rsid w:val="00DE5E4C"/>
    <w:rsid w:val="00DE6224"/>
    <w:rsid w:val="00DE624C"/>
    <w:rsid w:val="00DE6272"/>
    <w:rsid w:val="00DE628B"/>
    <w:rsid w:val="00DE637E"/>
    <w:rsid w:val="00DE64BC"/>
    <w:rsid w:val="00DE664F"/>
    <w:rsid w:val="00DE668C"/>
    <w:rsid w:val="00DE6790"/>
    <w:rsid w:val="00DE6C0A"/>
    <w:rsid w:val="00DE6CC5"/>
    <w:rsid w:val="00DE6CC7"/>
    <w:rsid w:val="00DE6DD2"/>
    <w:rsid w:val="00DE7261"/>
    <w:rsid w:val="00DE7297"/>
    <w:rsid w:val="00DE72B0"/>
    <w:rsid w:val="00DE7323"/>
    <w:rsid w:val="00DE7334"/>
    <w:rsid w:val="00DE73B1"/>
    <w:rsid w:val="00DE7565"/>
    <w:rsid w:val="00DE75AE"/>
    <w:rsid w:val="00DE7760"/>
    <w:rsid w:val="00DE7AFE"/>
    <w:rsid w:val="00DE7C39"/>
    <w:rsid w:val="00DE7CB1"/>
    <w:rsid w:val="00DE7D0E"/>
    <w:rsid w:val="00DE7D8D"/>
    <w:rsid w:val="00DE7DC2"/>
    <w:rsid w:val="00DE7F34"/>
    <w:rsid w:val="00DF029C"/>
    <w:rsid w:val="00DF051D"/>
    <w:rsid w:val="00DF0A76"/>
    <w:rsid w:val="00DF0B2E"/>
    <w:rsid w:val="00DF0C6F"/>
    <w:rsid w:val="00DF0CE3"/>
    <w:rsid w:val="00DF0D94"/>
    <w:rsid w:val="00DF0EFC"/>
    <w:rsid w:val="00DF1122"/>
    <w:rsid w:val="00DF119E"/>
    <w:rsid w:val="00DF12DC"/>
    <w:rsid w:val="00DF138E"/>
    <w:rsid w:val="00DF1528"/>
    <w:rsid w:val="00DF154D"/>
    <w:rsid w:val="00DF1590"/>
    <w:rsid w:val="00DF1592"/>
    <w:rsid w:val="00DF164F"/>
    <w:rsid w:val="00DF173C"/>
    <w:rsid w:val="00DF177E"/>
    <w:rsid w:val="00DF181B"/>
    <w:rsid w:val="00DF1A05"/>
    <w:rsid w:val="00DF1B1A"/>
    <w:rsid w:val="00DF1BA4"/>
    <w:rsid w:val="00DF1C94"/>
    <w:rsid w:val="00DF1CBE"/>
    <w:rsid w:val="00DF1DF3"/>
    <w:rsid w:val="00DF1E53"/>
    <w:rsid w:val="00DF1EE6"/>
    <w:rsid w:val="00DF1F3E"/>
    <w:rsid w:val="00DF1F53"/>
    <w:rsid w:val="00DF1F7B"/>
    <w:rsid w:val="00DF20D7"/>
    <w:rsid w:val="00DF2107"/>
    <w:rsid w:val="00DF21D0"/>
    <w:rsid w:val="00DF21DA"/>
    <w:rsid w:val="00DF2214"/>
    <w:rsid w:val="00DF2419"/>
    <w:rsid w:val="00DF2549"/>
    <w:rsid w:val="00DF25C0"/>
    <w:rsid w:val="00DF276F"/>
    <w:rsid w:val="00DF287C"/>
    <w:rsid w:val="00DF2958"/>
    <w:rsid w:val="00DF2A4E"/>
    <w:rsid w:val="00DF2A6F"/>
    <w:rsid w:val="00DF2ED2"/>
    <w:rsid w:val="00DF2F0A"/>
    <w:rsid w:val="00DF311D"/>
    <w:rsid w:val="00DF31EF"/>
    <w:rsid w:val="00DF329B"/>
    <w:rsid w:val="00DF3393"/>
    <w:rsid w:val="00DF3451"/>
    <w:rsid w:val="00DF360F"/>
    <w:rsid w:val="00DF3799"/>
    <w:rsid w:val="00DF3803"/>
    <w:rsid w:val="00DF392E"/>
    <w:rsid w:val="00DF3A29"/>
    <w:rsid w:val="00DF3C1B"/>
    <w:rsid w:val="00DF3C26"/>
    <w:rsid w:val="00DF3C55"/>
    <w:rsid w:val="00DF3D26"/>
    <w:rsid w:val="00DF3D7F"/>
    <w:rsid w:val="00DF3ED6"/>
    <w:rsid w:val="00DF40C9"/>
    <w:rsid w:val="00DF417D"/>
    <w:rsid w:val="00DF4219"/>
    <w:rsid w:val="00DF42C3"/>
    <w:rsid w:val="00DF4314"/>
    <w:rsid w:val="00DF433F"/>
    <w:rsid w:val="00DF45EE"/>
    <w:rsid w:val="00DF4704"/>
    <w:rsid w:val="00DF47FA"/>
    <w:rsid w:val="00DF4841"/>
    <w:rsid w:val="00DF4D38"/>
    <w:rsid w:val="00DF4D9B"/>
    <w:rsid w:val="00DF4DA7"/>
    <w:rsid w:val="00DF4DDF"/>
    <w:rsid w:val="00DF4FA4"/>
    <w:rsid w:val="00DF519B"/>
    <w:rsid w:val="00DF52CA"/>
    <w:rsid w:val="00DF550B"/>
    <w:rsid w:val="00DF55ED"/>
    <w:rsid w:val="00DF5877"/>
    <w:rsid w:val="00DF58A0"/>
    <w:rsid w:val="00DF5937"/>
    <w:rsid w:val="00DF5985"/>
    <w:rsid w:val="00DF5B32"/>
    <w:rsid w:val="00DF5E3E"/>
    <w:rsid w:val="00DF61CE"/>
    <w:rsid w:val="00DF629D"/>
    <w:rsid w:val="00DF62F6"/>
    <w:rsid w:val="00DF67AC"/>
    <w:rsid w:val="00DF68D0"/>
    <w:rsid w:val="00DF68D2"/>
    <w:rsid w:val="00DF68D3"/>
    <w:rsid w:val="00DF68F3"/>
    <w:rsid w:val="00DF68FB"/>
    <w:rsid w:val="00DF6A45"/>
    <w:rsid w:val="00DF6A98"/>
    <w:rsid w:val="00DF6B28"/>
    <w:rsid w:val="00DF6D7E"/>
    <w:rsid w:val="00DF6E94"/>
    <w:rsid w:val="00DF6FEE"/>
    <w:rsid w:val="00DF7052"/>
    <w:rsid w:val="00DF7168"/>
    <w:rsid w:val="00DF7173"/>
    <w:rsid w:val="00DF7246"/>
    <w:rsid w:val="00DF747A"/>
    <w:rsid w:val="00DF75F1"/>
    <w:rsid w:val="00DF782C"/>
    <w:rsid w:val="00DF7876"/>
    <w:rsid w:val="00DF79BE"/>
    <w:rsid w:val="00DF7B06"/>
    <w:rsid w:val="00DF7B0C"/>
    <w:rsid w:val="00DF7BA2"/>
    <w:rsid w:val="00DF7D01"/>
    <w:rsid w:val="00DF7D08"/>
    <w:rsid w:val="00DF7D35"/>
    <w:rsid w:val="00DF7E3A"/>
    <w:rsid w:val="00DF7E43"/>
    <w:rsid w:val="00DF7EA1"/>
    <w:rsid w:val="00DF7EAE"/>
    <w:rsid w:val="00DF7EF1"/>
    <w:rsid w:val="00DF7FC2"/>
    <w:rsid w:val="00E001AE"/>
    <w:rsid w:val="00E0021B"/>
    <w:rsid w:val="00E00416"/>
    <w:rsid w:val="00E00571"/>
    <w:rsid w:val="00E00677"/>
    <w:rsid w:val="00E0075A"/>
    <w:rsid w:val="00E00762"/>
    <w:rsid w:val="00E007D2"/>
    <w:rsid w:val="00E0095A"/>
    <w:rsid w:val="00E00D57"/>
    <w:rsid w:val="00E00E09"/>
    <w:rsid w:val="00E00EA8"/>
    <w:rsid w:val="00E010C3"/>
    <w:rsid w:val="00E01197"/>
    <w:rsid w:val="00E011D3"/>
    <w:rsid w:val="00E012B3"/>
    <w:rsid w:val="00E01354"/>
    <w:rsid w:val="00E0138A"/>
    <w:rsid w:val="00E013B1"/>
    <w:rsid w:val="00E01410"/>
    <w:rsid w:val="00E01521"/>
    <w:rsid w:val="00E0162C"/>
    <w:rsid w:val="00E01635"/>
    <w:rsid w:val="00E0165D"/>
    <w:rsid w:val="00E0171C"/>
    <w:rsid w:val="00E0176E"/>
    <w:rsid w:val="00E01788"/>
    <w:rsid w:val="00E017F1"/>
    <w:rsid w:val="00E0184F"/>
    <w:rsid w:val="00E01B0F"/>
    <w:rsid w:val="00E01E1C"/>
    <w:rsid w:val="00E01ED7"/>
    <w:rsid w:val="00E01F8A"/>
    <w:rsid w:val="00E01FBF"/>
    <w:rsid w:val="00E01FCC"/>
    <w:rsid w:val="00E0255D"/>
    <w:rsid w:val="00E0274E"/>
    <w:rsid w:val="00E02919"/>
    <w:rsid w:val="00E02ACD"/>
    <w:rsid w:val="00E02B16"/>
    <w:rsid w:val="00E02C74"/>
    <w:rsid w:val="00E02C9C"/>
    <w:rsid w:val="00E02CB9"/>
    <w:rsid w:val="00E02F46"/>
    <w:rsid w:val="00E0304E"/>
    <w:rsid w:val="00E030C5"/>
    <w:rsid w:val="00E03199"/>
    <w:rsid w:val="00E032CA"/>
    <w:rsid w:val="00E03304"/>
    <w:rsid w:val="00E0335D"/>
    <w:rsid w:val="00E0338B"/>
    <w:rsid w:val="00E034B0"/>
    <w:rsid w:val="00E03634"/>
    <w:rsid w:val="00E03676"/>
    <w:rsid w:val="00E036E2"/>
    <w:rsid w:val="00E03732"/>
    <w:rsid w:val="00E038C7"/>
    <w:rsid w:val="00E038DC"/>
    <w:rsid w:val="00E038E1"/>
    <w:rsid w:val="00E0398F"/>
    <w:rsid w:val="00E039C8"/>
    <w:rsid w:val="00E03C13"/>
    <w:rsid w:val="00E03E80"/>
    <w:rsid w:val="00E04072"/>
    <w:rsid w:val="00E042BE"/>
    <w:rsid w:val="00E0447C"/>
    <w:rsid w:val="00E046E7"/>
    <w:rsid w:val="00E04723"/>
    <w:rsid w:val="00E0498A"/>
    <w:rsid w:val="00E04ABE"/>
    <w:rsid w:val="00E04B37"/>
    <w:rsid w:val="00E04C5D"/>
    <w:rsid w:val="00E04C67"/>
    <w:rsid w:val="00E04CE5"/>
    <w:rsid w:val="00E04E35"/>
    <w:rsid w:val="00E050BF"/>
    <w:rsid w:val="00E051AD"/>
    <w:rsid w:val="00E05216"/>
    <w:rsid w:val="00E056E6"/>
    <w:rsid w:val="00E05725"/>
    <w:rsid w:val="00E057C7"/>
    <w:rsid w:val="00E05823"/>
    <w:rsid w:val="00E05996"/>
    <w:rsid w:val="00E05B6E"/>
    <w:rsid w:val="00E05BDB"/>
    <w:rsid w:val="00E05C70"/>
    <w:rsid w:val="00E05F83"/>
    <w:rsid w:val="00E05FA2"/>
    <w:rsid w:val="00E05FC9"/>
    <w:rsid w:val="00E0600A"/>
    <w:rsid w:val="00E0609E"/>
    <w:rsid w:val="00E061E0"/>
    <w:rsid w:val="00E06415"/>
    <w:rsid w:val="00E06483"/>
    <w:rsid w:val="00E066BF"/>
    <w:rsid w:val="00E067B8"/>
    <w:rsid w:val="00E067C5"/>
    <w:rsid w:val="00E067F7"/>
    <w:rsid w:val="00E06910"/>
    <w:rsid w:val="00E06A6B"/>
    <w:rsid w:val="00E06B8F"/>
    <w:rsid w:val="00E06BA5"/>
    <w:rsid w:val="00E06D2C"/>
    <w:rsid w:val="00E06D5E"/>
    <w:rsid w:val="00E06E09"/>
    <w:rsid w:val="00E06ECD"/>
    <w:rsid w:val="00E0706D"/>
    <w:rsid w:val="00E07287"/>
    <w:rsid w:val="00E07332"/>
    <w:rsid w:val="00E07384"/>
    <w:rsid w:val="00E0738D"/>
    <w:rsid w:val="00E0743A"/>
    <w:rsid w:val="00E074E7"/>
    <w:rsid w:val="00E07528"/>
    <w:rsid w:val="00E0785C"/>
    <w:rsid w:val="00E07941"/>
    <w:rsid w:val="00E0795B"/>
    <w:rsid w:val="00E07A86"/>
    <w:rsid w:val="00E07B34"/>
    <w:rsid w:val="00E07BAF"/>
    <w:rsid w:val="00E07BC3"/>
    <w:rsid w:val="00E07C41"/>
    <w:rsid w:val="00E07C46"/>
    <w:rsid w:val="00E07CDA"/>
    <w:rsid w:val="00E07D40"/>
    <w:rsid w:val="00E07D47"/>
    <w:rsid w:val="00E07E53"/>
    <w:rsid w:val="00E07EDF"/>
    <w:rsid w:val="00E101A1"/>
    <w:rsid w:val="00E10319"/>
    <w:rsid w:val="00E10444"/>
    <w:rsid w:val="00E10580"/>
    <w:rsid w:val="00E10709"/>
    <w:rsid w:val="00E10806"/>
    <w:rsid w:val="00E10AFD"/>
    <w:rsid w:val="00E10B71"/>
    <w:rsid w:val="00E10C42"/>
    <w:rsid w:val="00E10C96"/>
    <w:rsid w:val="00E10CBE"/>
    <w:rsid w:val="00E10DF9"/>
    <w:rsid w:val="00E10EE9"/>
    <w:rsid w:val="00E11027"/>
    <w:rsid w:val="00E11204"/>
    <w:rsid w:val="00E1120C"/>
    <w:rsid w:val="00E11353"/>
    <w:rsid w:val="00E11358"/>
    <w:rsid w:val="00E1141B"/>
    <w:rsid w:val="00E1150D"/>
    <w:rsid w:val="00E1156F"/>
    <w:rsid w:val="00E115A0"/>
    <w:rsid w:val="00E116E9"/>
    <w:rsid w:val="00E11721"/>
    <w:rsid w:val="00E11A71"/>
    <w:rsid w:val="00E11A80"/>
    <w:rsid w:val="00E11DA8"/>
    <w:rsid w:val="00E11DC2"/>
    <w:rsid w:val="00E1207B"/>
    <w:rsid w:val="00E12083"/>
    <w:rsid w:val="00E121D4"/>
    <w:rsid w:val="00E122AD"/>
    <w:rsid w:val="00E122DA"/>
    <w:rsid w:val="00E12440"/>
    <w:rsid w:val="00E124DF"/>
    <w:rsid w:val="00E124E1"/>
    <w:rsid w:val="00E125A6"/>
    <w:rsid w:val="00E12707"/>
    <w:rsid w:val="00E1295A"/>
    <w:rsid w:val="00E129F8"/>
    <w:rsid w:val="00E12B25"/>
    <w:rsid w:val="00E12C89"/>
    <w:rsid w:val="00E12E12"/>
    <w:rsid w:val="00E12EF4"/>
    <w:rsid w:val="00E12F9D"/>
    <w:rsid w:val="00E13025"/>
    <w:rsid w:val="00E13047"/>
    <w:rsid w:val="00E1305F"/>
    <w:rsid w:val="00E130E5"/>
    <w:rsid w:val="00E130EB"/>
    <w:rsid w:val="00E13141"/>
    <w:rsid w:val="00E13159"/>
    <w:rsid w:val="00E134FB"/>
    <w:rsid w:val="00E135A9"/>
    <w:rsid w:val="00E135AC"/>
    <w:rsid w:val="00E138D5"/>
    <w:rsid w:val="00E1392B"/>
    <w:rsid w:val="00E13AE5"/>
    <w:rsid w:val="00E13B3E"/>
    <w:rsid w:val="00E13D4F"/>
    <w:rsid w:val="00E13D9F"/>
    <w:rsid w:val="00E13DDE"/>
    <w:rsid w:val="00E13FB8"/>
    <w:rsid w:val="00E140C5"/>
    <w:rsid w:val="00E14103"/>
    <w:rsid w:val="00E14123"/>
    <w:rsid w:val="00E1422E"/>
    <w:rsid w:val="00E14291"/>
    <w:rsid w:val="00E143CB"/>
    <w:rsid w:val="00E14498"/>
    <w:rsid w:val="00E145C5"/>
    <w:rsid w:val="00E1469E"/>
    <w:rsid w:val="00E146F3"/>
    <w:rsid w:val="00E147DC"/>
    <w:rsid w:val="00E14829"/>
    <w:rsid w:val="00E14853"/>
    <w:rsid w:val="00E14C98"/>
    <w:rsid w:val="00E14D47"/>
    <w:rsid w:val="00E14D8D"/>
    <w:rsid w:val="00E14FBB"/>
    <w:rsid w:val="00E150D4"/>
    <w:rsid w:val="00E152B8"/>
    <w:rsid w:val="00E15309"/>
    <w:rsid w:val="00E15314"/>
    <w:rsid w:val="00E1542F"/>
    <w:rsid w:val="00E154E7"/>
    <w:rsid w:val="00E1559F"/>
    <w:rsid w:val="00E15762"/>
    <w:rsid w:val="00E158DE"/>
    <w:rsid w:val="00E15901"/>
    <w:rsid w:val="00E15931"/>
    <w:rsid w:val="00E15AA4"/>
    <w:rsid w:val="00E15B07"/>
    <w:rsid w:val="00E15B30"/>
    <w:rsid w:val="00E15BB7"/>
    <w:rsid w:val="00E15BEE"/>
    <w:rsid w:val="00E15C4F"/>
    <w:rsid w:val="00E15CBF"/>
    <w:rsid w:val="00E15D31"/>
    <w:rsid w:val="00E15E2C"/>
    <w:rsid w:val="00E15F4E"/>
    <w:rsid w:val="00E16101"/>
    <w:rsid w:val="00E161D4"/>
    <w:rsid w:val="00E16208"/>
    <w:rsid w:val="00E1627E"/>
    <w:rsid w:val="00E1634D"/>
    <w:rsid w:val="00E163C8"/>
    <w:rsid w:val="00E16446"/>
    <w:rsid w:val="00E1650D"/>
    <w:rsid w:val="00E16613"/>
    <w:rsid w:val="00E167B7"/>
    <w:rsid w:val="00E167E0"/>
    <w:rsid w:val="00E16A1D"/>
    <w:rsid w:val="00E16B58"/>
    <w:rsid w:val="00E16B7B"/>
    <w:rsid w:val="00E16C0F"/>
    <w:rsid w:val="00E16C87"/>
    <w:rsid w:val="00E16CC0"/>
    <w:rsid w:val="00E16DAD"/>
    <w:rsid w:val="00E17030"/>
    <w:rsid w:val="00E1709C"/>
    <w:rsid w:val="00E1710F"/>
    <w:rsid w:val="00E17290"/>
    <w:rsid w:val="00E172A8"/>
    <w:rsid w:val="00E17316"/>
    <w:rsid w:val="00E173AC"/>
    <w:rsid w:val="00E173FC"/>
    <w:rsid w:val="00E17963"/>
    <w:rsid w:val="00E1796E"/>
    <w:rsid w:val="00E179BA"/>
    <w:rsid w:val="00E179E8"/>
    <w:rsid w:val="00E17A6B"/>
    <w:rsid w:val="00E17A6C"/>
    <w:rsid w:val="00E17BF8"/>
    <w:rsid w:val="00E17DE8"/>
    <w:rsid w:val="00E17EF3"/>
    <w:rsid w:val="00E200DA"/>
    <w:rsid w:val="00E20231"/>
    <w:rsid w:val="00E202FA"/>
    <w:rsid w:val="00E20335"/>
    <w:rsid w:val="00E2041F"/>
    <w:rsid w:val="00E204D4"/>
    <w:rsid w:val="00E20699"/>
    <w:rsid w:val="00E206AA"/>
    <w:rsid w:val="00E2094E"/>
    <w:rsid w:val="00E2097B"/>
    <w:rsid w:val="00E209C8"/>
    <w:rsid w:val="00E20A86"/>
    <w:rsid w:val="00E20AF7"/>
    <w:rsid w:val="00E20DFF"/>
    <w:rsid w:val="00E20E3A"/>
    <w:rsid w:val="00E20E41"/>
    <w:rsid w:val="00E20E82"/>
    <w:rsid w:val="00E21150"/>
    <w:rsid w:val="00E211F4"/>
    <w:rsid w:val="00E21325"/>
    <w:rsid w:val="00E21683"/>
    <w:rsid w:val="00E216A2"/>
    <w:rsid w:val="00E2174B"/>
    <w:rsid w:val="00E2177E"/>
    <w:rsid w:val="00E218C0"/>
    <w:rsid w:val="00E21AAB"/>
    <w:rsid w:val="00E21C76"/>
    <w:rsid w:val="00E21CCC"/>
    <w:rsid w:val="00E21D44"/>
    <w:rsid w:val="00E21E80"/>
    <w:rsid w:val="00E21FB8"/>
    <w:rsid w:val="00E22252"/>
    <w:rsid w:val="00E2236F"/>
    <w:rsid w:val="00E22381"/>
    <w:rsid w:val="00E223A0"/>
    <w:rsid w:val="00E22446"/>
    <w:rsid w:val="00E227F0"/>
    <w:rsid w:val="00E229D3"/>
    <w:rsid w:val="00E22A26"/>
    <w:rsid w:val="00E22B18"/>
    <w:rsid w:val="00E22B73"/>
    <w:rsid w:val="00E22D36"/>
    <w:rsid w:val="00E22F07"/>
    <w:rsid w:val="00E2306F"/>
    <w:rsid w:val="00E230B1"/>
    <w:rsid w:val="00E2317E"/>
    <w:rsid w:val="00E2318C"/>
    <w:rsid w:val="00E231A3"/>
    <w:rsid w:val="00E23336"/>
    <w:rsid w:val="00E2355F"/>
    <w:rsid w:val="00E2363F"/>
    <w:rsid w:val="00E236D1"/>
    <w:rsid w:val="00E23726"/>
    <w:rsid w:val="00E2379A"/>
    <w:rsid w:val="00E237A7"/>
    <w:rsid w:val="00E2382C"/>
    <w:rsid w:val="00E238AF"/>
    <w:rsid w:val="00E238E0"/>
    <w:rsid w:val="00E23929"/>
    <w:rsid w:val="00E23A10"/>
    <w:rsid w:val="00E23A1D"/>
    <w:rsid w:val="00E23B6B"/>
    <w:rsid w:val="00E23D2C"/>
    <w:rsid w:val="00E23D68"/>
    <w:rsid w:val="00E23E92"/>
    <w:rsid w:val="00E23F1B"/>
    <w:rsid w:val="00E24099"/>
    <w:rsid w:val="00E240DC"/>
    <w:rsid w:val="00E24101"/>
    <w:rsid w:val="00E24203"/>
    <w:rsid w:val="00E24251"/>
    <w:rsid w:val="00E2443B"/>
    <w:rsid w:val="00E244B3"/>
    <w:rsid w:val="00E2457B"/>
    <w:rsid w:val="00E24584"/>
    <w:rsid w:val="00E24592"/>
    <w:rsid w:val="00E2464D"/>
    <w:rsid w:val="00E246C1"/>
    <w:rsid w:val="00E2483C"/>
    <w:rsid w:val="00E2483E"/>
    <w:rsid w:val="00E248EC"/>
    <w:rsid w:val="00E248F2"/>
    <w:rsid w:val="00E24AE6"/>
    <w:rsid w:val="00E24B29"/>
    <w:rsid w:val="00E24DD3"/>
    <w:rsid w:val="00E24DED"/>
    <w:rsid w:val="00E24E7B"/>
    <w:rsid w:val="00E24E95"/>
    <w:rsid w:val="00E24FB2"/>
    <w:rsid w:val="00E25163"/>
    <w:rsid w:val="00E2550F"/>
    <w:rsid w:val="00E25603"/>
    <w:rsid w:val="00E25776"/>
    <w:rsid w:val="00E25783"/>
    <w:rsid w:val="00E2585E"/>
    <w:rsid w:val="00E25876"/>
    <w:rsid w:val="00E258E5"/>
    <w:rsid w:val="00E25909"/>
    <w:rsid w:val="00E25B2C"/>
    <w:rsid w:val="00E25C91"/>
    <w:rsid w:val="00E25CCA"/>
    <w:rsid w:val="00E25D0F"/>
    <w:rsid w:val="00E25D3A"/>
    <w:rsid w:val="00E25D98"/>
    <w:rsid w:val="00E25E8A"/>
    <w:rsid w:val="00E25F66"/>
    <w:rsid w:val="00E26235"/>
    <w:rsid w:val="00E2637A"/>
    <w:rsid w:val="00E263C5"/>
    <w:rsid w:val="00E263D7"/>
    <w:rsid w:val="00E26420"/>
    <w:rsid w:val="00E2655E"/>
    <w:rsid w:val="00E26592"/>
    <w:rsid w:val="00E265AD"/>
    <w:rsid w:val="00E265FB"/>
    <w:rsid w:val="00E26662"/>
    <w:rsid w:val="00E2673B"/>
    <w:rsid w:val="00E2680D"/>
    <w:rsid w:val="00E268BA"/>
    <w:rsid w:val="00E2698E"/>
    <w:rsid w:val="00E26A2D"/>
    <w:rsid w:val="00E26A74"/>
    <w:rsid w:val="00E26A9A"/>
    <w:rsid w:val="00E26BC6"/>
    <w:rsid w:val="00E26C6E"/>
    <w:rsid w:val="00E26CC3"/>
    <w:rsid w:val="00E26E34"/>
    <w:rsid w:val="00E2709A"/>
    <w:rsid w:val="00E270B3"/>
    <w:rsid w:val="00E2716C"/>
    <w:rsid w:val="00E271AE"/>
    <w:rsid w:val="00E27214"/>
    <w:rsid w:val="00E27410"/>
    <w:rsid w:val="00E274D5"/>
    <w:rsid w:val="00E2758C"/>
    <w:rsid w:val="00E276CA"/>
    <w:rsid w:val="00E27990"/>
    <w:rsid w:val="00E27A1A"/>
    <w:rsid w:val="00E27B9A"/>
    <w:rsid w:val="00E27BD5"/>
    <w:rsid w:val="00E27BF7"/>
    <w:rsid w:val="00E27C33"/>
    <w:rsid w:val="00E27CBA"/>
    <w:rsid w:val="00E300AA"/>
    <w:rsid w:val="00E300F7"/>
    <w:rsid w:val="00E304C9"/>
    <w:rsid w:val="00E3058A"/>
    <w:rsid w:val="00E3064F"/>
    <w:rsid w:val="00E30689"/>
    <w:rsid w:val="00E306CE"/>
    <w:rsid w:val="00E3081E"/>
    <w:rsid w:val="00E30830"/>
    <w:rsid w:val="00E309A0"/>
    <w:rsid w:val="00E30A03"/>
    <w:rsid w:val="00E30A48"/>
    <w:rsid w:val="00E30A49"/>
    <w:rsid w:val="00E30AD0"/>
    <w:rsid w:val="00E30B12"/>
    <w:rsid w:val="00E30D6D"/>
    <w:rsid w:val="00E30E1E"/>
    <w:rsid w:val="00E30EAC"/>
    <w:rsid w:val="00E30FBB"/>
    <w:rsid w:val="00E31016"/>
    <w:rsid w:val="00E31168"/>
    <w:rsid w:val="00E3121E"/>
    <w:rsid w:val="00E3128C"/>
    <w:rsid w:val="00E313B5"/>
    <w:rsid w:val="00E3158A"/>
    <w:rsid w:val="00E315F2"/>
    <w:rsid w:val="00E31635"/>
    <w:rsid w:val="00E316D2"/>
    <w:rsid w:val="00E31A01"/>
    <w:rsid w:val="00E31B0A"/>
    <w:rsid w:val="00E31B90"/>
    <w:rsid w:val="00E31C55"/>
    <w:rsid w:val="00E31C56"/>
    <w:rsid w:val="00E31E70"/>
    <w:rsid w:val="00E31E9F"/>
    <w:rsid w:val="00E31F6E"/>
    <w:rsid w:val="00E320AB"/>
    <w:rsid w:val="00E3216A"/>
    <w:rsid w:val="00E32318"/>
    <w:rsid w:val="00E32338"/>
    <w:rsid w:val="00E3240B"/>
    <w:rsid w:val="00E3244E"/>
    <w:rsid w:val="00E32528"/>
    <w:rsid w:val="00E3257E"/>
    <w:rsid w:val="00E32623"/>
    <w:rsid w:val="00E32706"/>
    <w:rsid w:val="00E3277C"/>
    <w:rsid w:val="00E32964"/>
    <w:rsid w:val="00E32C9D"/>
    <w:rsid w:val="00E32D2C"/>
    <w:rsid w:val="00E32DEF"/>
    <w:rsid w:val="00E32ECD"/>
    <w:rsid w:val="00E32F4E"/>
    <w:rsid w:val="00E32FDE"/>
    <w:rsid w:val="00E3326E"/>
    <w:rsid w:val="00E3342C"/>
    <w:rsid w:val="00E3362E"/>
    <w:rsid w:val="00E33715"/>
    <w:rsid w:val="00E3386F"/>
    <w:rsid w:val="00E33A9D"/>
    <w:rsid w:val="00E33BE5"/>
    <w:rsid w:val="00E33C6D"/>
    <w:rsid w:val="00E33DED"/>
    <w:rsid w:val="00E34008"/>
    <w:rsid w:val="00E34081"/>
    <w:rsid w:val="00E340BA"/>
    <w:rsid w:val="00E340FC"/>
    <w:rsid w:val="00E34205"/>
    <w:rsid w:val="00E34309"/>
    <w:rsid w:val="00E3434D"/>
    <w:rsid w:val="00E3435C"/>
    <w:rsid w:val="00E34495"/>
    <w:rsid w:val="00E34561"/>
    <w:rsid w:val="00E345FF"/>
    <w:rsid w:val="00E34629"/>
    <w:rsid w:val="00E347A2"/>
    <w:rsid w:val="00E34855"/>
    <w:rsid w:val="00E348E6"/>
    <w:rsid w:val="00E3491F"/>
    <w:rsid w:val="00E34953"/>
    <w:rsid w:val="00E34A43"/>
    <w:rsid w:val="00E34B70"/>
    <w:rsid w:val="00E34C22"/>
    <w:rsid w:val="00E34C79"/>
    <w:rsid w:val="00E34EA5"/>
    <w:rsid w:val="00E3510A"/>
    <w:rsid w:val="00E3517B"/>
    <w:rsid w:val="00E351FD"/>
    <w:rsid w:val="00E352DB"/>
    <w:rsid w:val="00E353D2"/>
    <w:rsid w:val="00E353F9"/>
    <w:rsid w:val="00E3568A"/>
    <w:rsid w:val="00E356F2"/>
    <w:rsid w:val="00E357AE"/>
    <w:rsid w:val="00E358B2"/>
    <w:rsid w:val="00E3593E"/>
    <w:rsid w:val="00E35A22"/>
    <w:rsid w:val="00E35B03"/>
    <w:rsid w:val="00E35BF9"/>
    <w:rsid w:val="00E35CD2"/>
    <w:rsid w:val="00E35CF2"/>
    <w:rsid w:val="00E35D9F"/>
    <w:rsid w:val="00E36079"/>
    <w:rsid w:val="00E360FF"/>
    <w:rsid w:val="00E362F9"/>
    <w:rsid w:val="00E36519"/>
    <w:rsid w:val="00E36642"/>
    <w:rsid w:val="00E3666D"/>
    <w:rsid w:val="00E36964"/>
    <w:rsid w:val="00E36A0F"/>
    <w:rsid w:val="00E36A82"/>
    <w:rsid w:val="00E36AC3"/>
    <w:rsid w:val="00E36BBC"/>
    <w:rsid w:val="00E36C30"/>
    <w:rsid w:val="00E36EDF"/>
    <w:rsid w:val="00E36F04"/>
    <w:rsid w:val="00E37030"/>
    <w:rsid w:val="00E372A7"/>
    <w:rsid w:val="00E37387"/>
    <w:rsid w:val="00E37506"/>
    <w:rsid w:val="00E375B3"/>
    <w:rsid w:val="00E37614"/>
    <w:rsid w:val="00E377C0"/>
    <w:rsid w:val="00E37819"/>
    <w:rsid w:val="00E37829"/>
    <w:rsid w:val="00E3785A"/>
    <w:rsid w:val="00E379D0"/>
    <w:rsid w:val="00E37AE3"/>
    <w:rsid w:val="00E37BE9"/>
    <w:rsid w:val="00E37DA9"/>
    <w:rsid w:val="00E3D64E"/>
    <w:rsid w:val="00E40013"/>
    <w:rsid w:val="00E40169"/>
    <w:rsid w:val="00E40406"/>
    <w:rsid w:val="00E404B7"/>
    <w:rsid w:val="00E40671"/>
    <w:rsid w:val="00E406B8"/>
    <w:rsid w:val="00E406CC"/>
    <w:rsid w:val="00E40744"/>
    <w:rsid w:val="00E4077E"/>
    <w:rsid w:val="00E40787"/>
    <w:rsid w:val="00E408B5"/>
    <w:rsid w:val="00E40980"/>
    <w:rsid w:val="00E40A09"/>
    <w:rsid w:val="00E40B2B"/>
    <w:rsid w:val="00E40BCB"/>
    <w:rsid w:val="00E40BE9"/>
    <w:rsid w:val="00E40C5A"/>
    <w:rsid w:val="00E40EF3"/>
    <w:rsid w:val="00E41020"/>
    <w:rsid w:val="00E4133A"/>
    <w:rsid w:val="00E41421"/>
    <w:rsid w:val="00E4158C"/>
    <w:rsid w:val="00E416AB"/>
    <w:rsid w:val="00E417A6"/>
    <w:rsid w:val="00E4193C"/>
    <w:rsid w:val="00E419C0"/>
    <w:rsid w:val="00E419D3"/>
    <w:rsid w:val="00E41A32"/>
    <w:rsid w:val="00E41BAC"/>
    <w:rsid w:val="00E41BD4"/>
    <w:rsid w:val="00E41BE7"/>
    <w:rsid w:val="00E41C45"/>
    <w:rsid w:val="00E41EC3"/>
    <w:rsid w:val="00E41F2F"/>
    <w:rsid w:val="00E42005"/>
    <w:rsid w:val="00E4225E"/>
    <w:rsid w:val="00E4228A"/>
    <w:rsid w:val="00E42329"/>
    <w:rsid w:val="00E42392"/>
    <w:rsid w:val="00E423CA"/>
    <w:rsid w:val="00E4241A"/>
    <w:rsid w:val="00E4248E"/>
    <w:rsid w:val="00E424B4"/>
    <w:rsid w:val="00E42560"/>
    <w:rsid w:val="00E4260D"/>
    <w:rsid w:val="00E42665"/>
    <w:rsid w:val="00E426A5"/>
    <w:rsid w:val="00E427D5"/>
    <w:rsid w:val="00E428ED"/>
    <w:rsid w:val="00E42958"/>
    <w:rsid w:val="00E42BA6"/>
    <w:rsid w:val="00E42BD8"/>
    <w:rsid w:val="00E42C78"/>
    <w:rsid w:val="00E42C7C"/>
    <w:rsid w:val="00E42C97"/>
    <w:rsid w:val="00E42D03"/>
    <w:rsid w:val="00E42F29"/>
    <w:rsid w:val="00E43058"/>
    <w:rsid w:val="00E4318D"/>
    <w:rsid w:val="00E43322"/>
    <w:rsid w:val="00E43325"/>
    <w:rsid w:val="00E4332D"/>
    <w:rsid w:val="00E43330"/>
    <w:rsid w:val="00E43500"/>
    <w:rsid w:val="00E43616"/>
    <w:rsid w:val="00E43A1D"/>
    <w:rsid w:val="00E43CD2"/>
    <w:rsid w:val="00E43CD6"/>
    <w:rsid w:val="00E43D11"/>
    <w:rsid w:val="00E43DC8"/>
    <w:rsid w:val="00E43EAE"/>
    <w:rsid w:val="00E43F9B"/>
    <w:rsid w:val="00E43FE5"/>
    <w:rsid w:val="00E440B8"/>
    <w:rsid w:val="00E440DB"/>
    <w:rsid w:val="00E44118"/>
    <w:rsid w:val="00E44182"/>
    <w:rsid w:val="00E441A1"/>
    <w:rsid w:val="00E4422A"/>
    <w:rsid w:val="00E44277"/>
    <w:rsid w:val="00E442FA"/>
    <w:rsid w:val="00E44336"/>
    <w:rsid w:val="00E4433B"/>
    <w:rsid w:val="00E44388"/>
    <w:rsid w:val="00E4465A"/>
    <w:rsid w:val="00E44781"/>
    <w:rsid w:val="00E449C6"/>
    <w:rsid w:val="00E449D4"/>
    <w:rsid w:val="00E44C92"/>
    <w:rsid w:val="00E44D54"/>
    <w:rsid w:val="00E44DC4"/>
    <w:rsid w:val="00E44DEF"/>
    <w:rsid w:val="00E44EC1"/>
    <w:rsid w:val="00E45063"/>
    <w:rsid w:val="00E4508F"/>
    <w:rsid w:val="00E450DB"/>
    <w:rsid w:val="00E4526C"/>
    <w:rsid w:val="00E4531F"/>
    <w:rsid w:val="00E45490"/>
    <w:rsid w:val="00E454DE"/>
    <w:rsid w:val="00E45556"/>
    <w:rsid w:val="00E4557D"/>
    <w:rsid w:val="00E455EE"/>
    <w:rsid w:val="00E456A9"/>
    <w:rsid w:val="00E45779"/>
    <w:rsid w:val="00E45ACF"/>
    <w:rsid w:val="00E45AF9"/>
    <w:rsid w:val="00E45B0F"/>
    <w:rsid w:val="00E45C6C"/>
    <w:rsid w:val="00E45C79"/>
    <w:rsid w:val="00E45D75"/>
    <w:rsid w:val="00E45E4C"/>
    <w:rsid w:val="00E45ED2"/>
    <w:rsid w:val="00E460B5"/>
    <w:rsid w:val="00E46184"/>
    <w:rsid w:val="00E46200"/>
    <w:rsid w:val="00E462E1"/>
    <w:rsid w:val="00E46449"/>
    <w:rsid w:val="00E464A7"/>
    <w:rsid w:val="00E4657C"/>
    <w:rsid w:val="00E46636"/>
    <w:rsid w:val="00E466BE"/>
    <w:rsid w:val="00E4675F"/>
    <w:rsid w:val="00E4684E"/>
    <w:rsid w:val="00E46A76"/>
    <w:rsid w:val="00E46B3B"/>
    <w:rsid w:val="00E46B69"/>
    <w:rsid w:val="00E46BE2"/>
    <w:rsid w:val="00E46CF3"/>
    <w:rsid w:val="00E46E6A"/>
    <w:rsid w:val="00E47071"/>
    <w:rsid w:val="00E47098"/>
    <w:rsid w:val="00E47177"/>
    <w:rsid w:val="00E4720B"/>
    <w:rsid w:val="00E47460"/>
    <w:rsid w:val="00E474D0"/>
    <w:rsid w:val="00E4751D"/>
    <w:rsid w:val="00E475BB"/>
    <w:rsid w:val="00E475ED"/>
    <w:rsid w:val="00E476B2"/>
    <w:rsid w:val="00E4785E"/>
    <w:rsid w:val="00E478AA"/>
    <w:rsid w:val="00E478F8"/>
    <w:rsid w:val="00E479C0"/>
    <w:rsid w:val="00E47A32"/>
    <w:rsid w:val="00E47B6E"/>
    <w:rsid w:val="00E47D45"/>
    <w:rsid w:val="00E47E2D"/>
    <w:rsid w:val="00E47FC1"/>
    <w:rsid w:val="00E500C1"/>
    <w:rsid w:val="00E500C2"/>
    <w:rsid w:val="00E50236"/>
    <w:rsid w:val="00E50356"/>
    <w:rsid w:val="00E5039C"/>
    <w:rsid w:val="00E504C7"/>
    <w:rsid w:val="00E504F3"/>
    <w:rsid w:val="00E50544"/>
    <w:rsid w:val="00E5054D"/>
    <w:rsid w:val="00E50565"/>
    <w:rsid w:val="00E50643"/>
    <w:rsid w:val="00E50799"/>
    <w:rsid w:val="00E5089A"/>
    <w:rsid w:val="00E50A67"/>
    <w:rsid w:val="00E50BC9"/>
    <w:rsid w:val="00E50C29"/>
    <w:rsid w:val="00E50DA3"/>
    <w:rsid w:val="00E50E61"/>
    <w:rsid w:val="00E50F13"/>
    <w:rsid w:val="00E50FA5"/>
    <w:rsid w:val="00E5114A"/>
    <w:rsid w:val="00E5118C"/>
    <w:rsid w:val="00E5129F"/>
    <w:rsid w:val="00E512B7"/>
    <w:rsid w:val="00E51459"/>
    <w:rsid w:val="00E514C0"/>
    <w:rsid w:val="00E514FC"/>
    <w:rsid w:val="00E515BA"/>
    <w:rsid w:val="00E518F1"/>
    <w:rsid w:val="00E5199E"/>
    <w:rsid w:val="00E51B26"/>
    <w:rsid w:val="00E51D60"/>
    <w:rsid w:val="00E51D75"/>
    <w:rsid w:val="00E51F46"/>
    <w:rsid w:val="00E52119"/>
    <w:rsid w:val="00E523AD"/>
    <w:rsid w:val="00E52403"/>
    <w:rsid w:val="00E52546"/>
    <w:rsid w:val="00E52570"/>
    <w:rsid w:val="00E525B7"/>
    <w:rsid w:val="00E52692"/>
    <w:rsid w:val="00E527D8"/>
    <w:rsid w:val="00E52967"/>
    <w:rsid w:val="00E530B6"/>
    <w:rsid w:val="00E530DC"/>
    <w:rsid w:val="00E53111"/>
    <w:rsid w:val="00E53152"/>
    <w:rsid w:val="00E532C6"/>
    <w:rsid w:val="00E532EA"/>
    <w:rsid w:val="00E53309"/>
    <w:rsid w:val="00E5333B"/>
    <w:rsid w:val="00E533EF"/>
    <w:rsid w:val="00E533FE"/>
    <w:rsid w:val="00E53440"/>
    <w:rsid w:val="00E5349D"/>
    <w:rsid w:val="00E534A8"/>
    <w:rsid w:val="00E5360A"/>
    <w:rsid w:val="00E53760"/>
    <w:rsid w:val="00E53783"/>
    <w:rsid w:val="00E537A8"/>
    <w:rsid w:val="00E53B35"/>
    <w:rsid w:val="00E53B6B"/>
    <w:rsid w:val="00E53B83"/>
    <w:rsid w:val="00E53BB2"/>
    <w:rsid w:val="00E53C21"/>
    <w:rsid w:val="00E53DB2"/>
    <w:rsid w:val="00E53DB4"/>
    <w:rsid w:val="00E53DC6"/>
    <w:rsid w:val="00E53E8B"/>
    <w:rsid w:val="00E53EAB"/>
    <w:rsid w:val="00E53EC7"/>
    <w:rsid w:val="00E5422B"/>
    <w:rsid w:val="00E5422F"/>
    <w:rsid w:val="00E54238"/>
    <w:rsid w:val="00E54251"/>
    <w:rsid w:val="00E54365"/>
    <w:rsid w:val="00E543E7"/>
    <w:rsid w:val="00E54414"/>
    <w:rsid w:val="00E545A4"/>
    <w:rsid w:val="00E5473B"/>
    <w:rsid w:val="00E5483F"/>
    <w:rsid w:val="00E54A3A"/>
    <w:rsid w:val="00E54B21"/>
    <w:rsid w:val="00E54C79"/>
    <w:rsid w:val="00E54CD4"/>
    <w:rsid w:val="00E54D00"/>
    <w:rsid w:val="00E54DA3"/>
    <w:rsid w:val="00E54DED"/>
    <w:rsid w:val="00E54EC4"/>
    <w:rsid w:val="00E54F1C"/>
    <w:rsid w:val="00E5501A"/>
    <w:rsid w:val="00E5502E"/>
    <w:rsid w:val="00E5504E"/>
    <w:rsid w:val="00E550B3"/>
    <w:rsid w:val="00E550CF"/>
    <w:rsid w:val="00E55165"/>
    <w:rsid w:val="00E55292"/>
    <w:rsid w:val="00E553FA"/>
    <w:rsid w:val="00E556D3"/>
    <w:rsid w:val="00E55782"/>
    <w:rsid w:val="00E55865"/>
    <w:rsid w:val="00E55876"/>
    <w:rsid w:val="00E5587C"/>
    <w:rsid w:val="00E55B92"/>
    <w:rsid w:val="00E55C86"/>
    <w:rsid w:val="00E56014"/>
    <w:rsid w:val="00E560AB"/>
    <w:rsid w:val="00E5610F"/>
    <w:rsid w:val="00E5613D"/>
    <w:rsid w:val="00E56147"/>
    <w:rsid w:val="00E5634F"/>
    <w:rsid w:val="00E56519"/>
    <w:rsid w:val="00E56654"/>
    <w:rsid w:val="00E5682D"/>
    <w:rsid w:val="00E56B30"/>
    <w:rsid w:val="00E56C69"/>
    <w:rsid w:val="00E56D31"/>
    <w:rsid w:val="00E56E73"/>
    <w:rsid w:val="00E57020"/>
    <w:rsid w:val="00E570E7"/>
    <w:rsid w:val="00E5715E"/>
    <w:rsid w:val="00E57165"/>
    <w:rsid w:val="00E57342"/>
    <w:rsid w:val="00E57362"/>
    <w:rsid w:val="00E5739D"/>
    <w:rsid w:val="00E573ED"/>
    <w:rsid w:val="00E574E1"/>
    <w:rsid w:val="00E5751A"/>
    <w:rsid w:val="00E575B8"/>
    <w:rsid w:val="00E5762D"/>
    <w:rsid w:val="00E5762F"/>
    <w:rsid w:val="00E57718"/>
    <w:rsid w:val="00E5781F"/>
    <w:rsid w:val="00E57877"/>
    <w:rsid w:val="00E578E8"/>
    <w:rsid w:val="00E57A7B"/>
    <w:rsid w:val="00E57A8C"/>
    <w:rsid w:val="00E57A94"/>
    <w:rsid w:val="00E57ABB"/>
    <w:rsid w:val="00E57B3B"/>
    <w:rsid w:val="00E57B94"/>
    <w:rsid w:val="00E57C54"/>
    <w:rsid w:val="00E57D87"/>
    <w:rsid w:val="00E57D9B"/>
    <w:rsid w:val="00E57E12"/>
    <w:rsid w:val="00E57F26"/>
    <w:rsid w:val="00E600DA"/>
    <w:rsid w:val="00E6010F"/>
    <w:rsid w:val="00E6019D"/>
    <w:rsid w:val="00E601CE"/>
    <w:rsid w:val="00E602E1"/>
    <w:rsid w:val="00E603AA"/>
    <w:rsid w:val="00E603B4"/>
    <w:rsid w:val="00E603CA"/>
    <w:rsid w:val="00E6049E"/>
    <w:rsid w:val="00E6051C"/>
    <w:rsid w:val="00E60540"/>
    <w:rsid w:val="00E60551"/>
    <w:rsid w:val="00E60564"/>
    <w:rsid w:val="00E607B8"/>
    <w:rsid w:val="00E607D5"/>
    <w:rsid w:val="00E60982"/>
    <w:rsid w:val="00E60A3C"/>
    <w:rsid w:val="00E60B1D"/>
    <w:rsid w:val="00E60C48"/>
    <w:rsid w:val="00E60C7D"/>
    <w:rsid w:val="00E60C93"/>
    <w:rsid w:val="00E60D1C"/>
    <w:rsid w:val="00E60D79"/>
    <w:rsid w:val="00E60F49"/>
    <w:rsid w:val="00E60F51"/>
    <w:rsid w:val="00E61043"/>
    <w:rsid w:val="00E6116C"/>
    <w:rsid w:val="00E6117B"/>
    <w:rsid w:val="00E612D3"/>
    <w:rsid w:val="00E61510"/>
    <w:rsid w:val="00E615A3"/>
    <w:rsid w:val="00E6165A"/>
    <w:rsid w:val="00E616F0"/>
    <w:rsid w:val="00E61703"/>
    <w:rsid w:val="00E617E8"/>
    <w:rsid w:val="00E6183A"/>
    <w:rsid w:val="00E61856"/>
    <w:rsid w:val="00E61874"/>
    <w:rsid w:val="00E619A2"/>
    <w:rsid w:val="00E619BB"/>
    <w:rsid w:val="00E619F3"/>
    <w:rsid w:val="00E61A78"/>
    <w:rsid w:val="00E61ABE"/>
    <w:rsid w:val="00E61C97"/>
    <w:rsid w:val="00E61EE1"/>
    <w:rsid w:val="00E61F1A"/>
    <w:rsid w:val="00E61F53"/>
    <w:rsid w:val="00E6205A"/>
    <w:rsid w:val="00E620B6"/>
    <w:rsid w:val="00E6216D"/>
    <w:rsid w:val="00E621DD"/>
    <w:rsid w:val="00E621E2"/>
    <w:rsid w:val="00E6241B"/>
    <w:rsid w:val="00E624D2"/>
    <w:rsid w:val="00E624EB"/>
    <w:rsid w:val="00E625B0"/>
    <w:rsid w:val="00E62600"/>
    <w:rsid w:val="00E62657"/>
    <w:rsid w:val="00E629C8"/>
    <w:rsid w:val="00E62AFF"/>
    <w:rsid w:val="00E62B4F"/>
    <w:rsid w:val="00E62D9B"/>
    <w:rsid w:val="00E62E15"/>
    <w:rsid w:val="00E62F4A"/>
    <w:rsid w:val="00E62FDD"/>
    <w:rsid w:val="00E630E4"/>
    <w:rsid w:val="00E632FA"/>
    <w:rsid w:val="00E63352"/>
    <w:rsid w:val="00E6336B"/>
    <w:rsid w:val="00E6344F"/>
    <w:rsid w:val="00E63464"/>
    <w:rsid w:val="00E635B6"/>
    <w:rsid w:val="00E63763"/>
    <w:rsid w:val="00E6377D"/>
    <w:rsid w:val="00E63999"/>
    <w:rsid w:val="00E63AA7"/>
    <w:rsid w:val="00E63AA9"/>
    <w:rsid w:val="00E63BA0"/>
    <w:rsid w:val="00E63D7E"/>
    <w:rsid w:val="00E63E00"/>
    <w:rsid w:val="00E63F6B"/>
    <w:rsid w:val="00E63FF2"/>
    <w:rsid w:val="00E6400A"/>
    <w:rsid w:val="00E642C2"/>
    <w:rsid w:val="00E64341"/>
    <w:rsid w:val="00E64533"/>
    <w:rsid w:val="00E64558"/>
    <w:rsid w:val="00E6457D"/>
    <w:rsid w:val="00E645A8"/>
    <w:rsid w:val="00E647FE"/>
    <w:rsid w:val="00E649D8"/>
    <w:rsid w:val="00E64A83"/>
    <w:rsid w:val="00E64C64"/>
    <w:rsid w:val="00E64D9C"/>
    <w:rsid w:val="00E64DD5"/>
    <w:rsid w:val="00E64E0A"/>
    <w:rsid w:val="00E6514A"/>
    <w:rsid w:val="00E65150"/>
    <w:rsid w:val="00E653E7"/>
    <w:rsid w:val="00E65708"/>
    <w:rsid w:val="00E657A6"/>
    <w:rsid w:val="00E65A45"/>
    <w:rsid w:val="00E65D18"/>
    <w:rsid w:val="00E65D4A"/>
    <w:rsid w:val="00E65DAE"/>
    <w:rsid w:val="00E6601F"/>
    <w:rsid w:val="00E66075"/>
    <w:rsid w:val="00E660FF"/>
    <w:rsid w:val="00E66105"/>
    <w:rsid w:val="00E66157"/>
    <w:rsid w:val="00E6625B"/>
    <w:rsid w:val="00E6632B"/>
    <w:rsid w:val="00E663BE"/>
    <w:rsid w:val="00E6640C"/>
    <w:rsid w:val="00E66434"/>
    <w:rsid w:val="00E665E6"/>
    <w:rsid w:val="00E66613"/>
    <w:rsid w:val="00E667F4"/>
    <w:rsid w:val="00E66978"/>
    <w:rsid w:val="00E66B57"/>
    <w:rsid w:val="00E66D17"/>
    <w:rsid w:val="00E66EC4"/>
    <w:rsid w:val="00E66EC9"/>
    <w:rsid w:val="00E66EF5"/>
    <w:rsid w:val="00E67258"/>
    <w:rsid w:val="00E67261"/>
    <w:rsid w:val="00E67292"/>
    <w:rsid w:val="00E672DA"/>
    <w:rsid w:val="00E673A1"/>
    <w:rsid w:val="00E67433"/>
    <w:rsid w:val="00E674AC"/>
    <w:rsid w:val="00E67562"/>
    <w:rsid w:val="00E675B3"/>
    <w:rsid w:val="00E67659"/>
    <w:rsid w:val="00E67AB7"/>
    <w:rsid w:val="00E67AFE"/>
    <w:rsid w:val="00E67B13"/>
    <w:rsid w:val="00E67B72"/>
    <w:rsid w:val="00E67D2D"/>
    <w:rsid w:val="00E67E9B"/>
    <w:rsid w:val="00E67F45"/>
    <w:rsid w:val="00E701EF"/>
    <w:rsid w:val="00E70322"/>
    <w:rsid w:val="00E70348"/>
    <w:rsid w:val="00E7036F"/>
    <w:rsid w:val="00E703BF"/>
    <w:rsid w:val="00E704F8"/>
    <w:rsid w:val="00E70569"/>
    <w:rsid w:val="00E7076D"/>
    <w:rsid w:val="00E7078E"/>
    <w:rsid w:val="00E70794"/>
    <w:rsid w:val="00E708DD"/>
    <w:rsid w:val="00E70AF7"/>
    <w:rsid w:val="00E70B2C"/>
    <w:rsid w:val="00E70CB3"/>
    <w:rsid w:val="00E70CD2"/>
    <w:rsid w:val="00E70CF1"/>
    <w:rsid w:val="00E70E3B"/>
    <w:rsid w:val="00E70EBC"/>
    <w:rsid w:val="00E70F4C"/>
    <w:rsid w:val="00E7101E"/>
    <w:rsid w:val="00E71074"/>
    <w:rsid w:val="00E711D6"/>
    <w:rsid w:val="00E712A3"/>
    <w:rsid w:val="00E713D0"/>
    <w:rsid w:val="00E71459"/>
    <w:rsid w:val="00E718A9"/>
    <w:rsid w:val="00E718EF"/>
    <w:rsid w:val="00E71B27"/>
    <w:rsid w:val="00E71B4A"/>
    <w:rsid w:val="00E71D8F"/>
    <w:rsid w:val="00E71D92"/>
    <w:rsid w:val="00E71F9D"/>
    <w:rsid w:val="00E71FF1"/>
    <w:rsid w:val="00E72076"/>
    <w:rsid w:val="00E7211D"/>
    <w:rsid w:val="00E721C5"/>
    <w:rsid w:val="00E72240"/>
    <w:rsid w:val="00E72267"/>
    <w:rsid w:val="00E72374"/>
    <w:rsid w:val="00E72452"/>
    <w:rsid w:val="00E7250B"/>
    <w:rsid w:val="00E726BE"/>
    <w:rsid w:val="00E72725"/>
    <w:rsid w:val="00E727BB"/>
    <w:rsid w:val="00E72871"/>
    <w:rsid w:val="00E72BCD"/>
    <w:rsid w:val="00E72DC4"/>
    <w:rsid w:val="00E72ED8"/>
    <w:rsid w:val="00E72EDC"/>
    <w:rsid w:val="00E72EEB"/>
    <w:rsid w:val="00E730B0"/>
    <w:rsid w:val="00E7311B"/>
    <w:rsid w:val="00E73129"/>
    <w:rsid w:val="00E73136"/>
    <w:rsid w:val="00E732A7"/>
    <w:rsid w:val="00E732E4"/>
    <w:rsid w:val="00E7345D"/>
    <w:rsid w:val="00E7361C"/>
    <w:rsid w:val="00E736A9"/>
    <w:rsid w:val="00E73918"/>
    <w:rsid w:val="00E73AA7"/>
    <w:rsid w:val="00E73AE0"/>
    <w:rsid w:val="00E73B4A"/>
    <w:rsid w:val="00E73B76"/>
    <w:rsid w:val="00E73CB7"/>
    <w:rsid w:val="00E73DB4"/>
    <w:rsid w:val="00E73F21"/>
    <w:rsid w:val="00E73F90"/>
    <w:rsid w:val="00E73F97"/>
    <w:rsid w:val="00E74129"/>
    <w:rsid w:val="00E7417E"/>
    <w:rsid w:val="00E74237"/>
    <w:rsid w:val="00E742A9"/>
    <w:rsid w:val="00E74342"/>
    <w:rsid w:val="00E74375"/>
    <w:rsid w:val="00E74450"/>
    <w:rsid w:val="00E744BB"/>
    <w:rsid w:val="00E74707"/>
    <w:rsid w:val="00E74761"/>
    <w:rsid w:val="00E74832"/>
    <w:rsid w:val="00E7492F"/>
    <w:rsid w:val="00E7493A"/>
    <w:rsid w:val="00E74963"/>
    <w:rsid w:val="00E749A7"/>
    <w:rsid w:val="00E74BD1"/>
    <w:rsid w:val="00E74CDE"/>
    <w:rsid w:val="00E74F81"/>
    <w:rsid w:val="00E74F89"/>
    <w:rsid w:val="00E74F96"/>
    <w:rsid w:val="00E74FDC"/>
    <w:rsid w:val="00E751D2"/>
    <w:rsid w:val="00E7526B"/>
    <w:rsid w:val="00E754A1"/>
    <w:rsid w:val="00E756A3"/>
    <w:rsid w:val="00E756BD"/>
    <w:rsid w:val="00E75739"/>
    <w:rsid w:val="00E7575F"/>
    <w:rsid w:val="00E75784"/>
    <w:rsid w:val="00E75868"/>
    <w:rsid w:val="00E7588C"/>
    <w:rsid w:val="00E759DD"/>
    <w:rsid w:val="00E75A06"/>
    <w:rsid w:val="00E75A3F"/>
    <w:rsid w:val="00E75B3E"/>
    <w:rsid w:val="00E75B48"/>
    <w:rsid w:val="00E75D47"/>
    <w:rsid w:val="00E75E7B"/>
    <w:rsid w:val="00E75FDF"/>
    <w:rsid w:val="00E76111"/>
    <w:rsid w:val="00E76113"/>
    <w:rsid w:val="00E76122"/>
    <w:rsid w:val="00E76140"/>
    <w:rsid w:val="00E761B3"/>
    <w:rsid w:val="00E762B4"/>
    <w:rsid w:val="00E764FB"/>
    <w:rsid w:val="00E76535"/>
    <w:rsid w:val="00E7656B"/>
    <w:rsid w:val="00E76690"/>
    <w:rsid w:val="00E766CF"/>
    <w:rsid w:val="00E7670A"/>
    <w:rsid w:val="00E76727"/>
    <w:rsid w:val="00E76943"/>
    <w:rsid w:val="00E76A5E"/>
    <w:rsid w:val="00E76A98"/>
    <w:rsid w:val="00E76C2B"/>
    <w:rsid w:val="00E76D38"/>
    <w:rsid w:val="00E76D7B"/>
    <w:rsid w:val="00E76DE5"/>
    <w:rsid w:val="00E76DED"/>
    <w:rsid w:val="00E76E41"/>
    <w:rsid w:val="00E76EFF"/>
    <w:rsid w:val="00E770D7"/>
    <w:rsid w:val="00E770F3"/>
    <w:rsid w:val="00E77101"/>
    <w:rsid w:val="00E772A4"/>
    <w:rsid w:val="00E772BB"/>
    <w:rsid w:val="00E7737A"/>
    <w:rsid w:val="00E773B1"/>
    <w:rsid w:val="00E77496"/>
    <w:rsid w:val="00E77547"/>
    <w:rsid w:val="00E775B3"/>
    <w:rsid w:val="00E776CF"/>
    <w:rsid w:val="00E778AE"/>
    <w:rsid w:val="00E77950"/>
    <w:rsid w:val="00E77AEF"/>
    <w:rsid w:val="00E77B40"/>
    <w:rsid w:val="00E77DF5"/>
    <w:rsid w:val="00E77F3F"/>
    <w:rsid w:val="00E80411"/>
    <w:rsid w:val="00E80AE7"/>
    <w:rsid w:val="00E80BF9"/>
    <w:rsid w:val="00E80DA6"/>
    <w:rsid w:val="00E80ED5"/>
    <w:rsid w:val="00E81045"/>
    <w:rsid w:val="00E81105"/>
    <w:rsid w:val="00E81173"/>
    <w:rsid w:val="00E8139C"/>
    <w:rsid w:val="00E813EE"/>
    <w:rsid w:val="00E81460"/>
    <w:rsid w:val="00E8148F"/>
    <w:rsid w:val="00E81643"/>
    <w:rsid w:val="00E81846"/>
    <w:rsid w:val="00E81882"/>
    <w:rsid w:val="00E819B3"/>
    <w:rsid w:val="00E819D2"/>
    <w:rsid w:val="00E81A49"/>
    <w:rsid w:val="00E81C03"/>
    <w:rsid w:val="00E81E83"/>
    <w:rsid w:val="00E81EF3"/>
    <w:rsid w:val="00E81FB6"/>
    <w:rsid w:val="00E8202E"/>
    <w:rsid w:val="00E8217F"/>
    <w:rsid w:val="00E82277"/>
    <w:rsid w:val="00E82538"/>
    <w:rsid w:val="00E826A6"/>
    <w:rsid w:val="00E826AB"/>
    <w:rsid w:val="00E8279C"/>
    <w:rsid w:val="00E827FF"/>
    <w:rsid w:val="00E8280C"/>
    <w:rsid w:val="00E8281E"/>
    <w:rsid w:val="00E82822"/>
    <w:rsid w:val="00E82824"/>
    <w:rsid w:val="00E8299A"/>
    <w:rsid w:val="00E82A0B"/>
    <w:rsid w:val="00E82A3F"/>
    <w:rsid w:val="00E82CB0"/>
    <w:rsid w:val="00E82E20"/>
    <w:rsid w:val="00E82E64"/>
    <w:rsid w:val="00E82ED9"/>
    <w:rsid w:val="00E82F7F"/>
    <w:rsid w:val="00E82FC7"/>
    <w:rsid w:val="00E8313A"/>
    <w:rsid w:val="00E831A4"/>
    <w:rsid w:val="00E8320B"/>
    <w:rsid w:val="00E83272"/>
    <w:rsid w:val="00E83353"/>
    <w:rsid w:val="00E83412"/>
    <w:rsid w:val="00E834C6"/>
    <w:rsid w:val="00E834DF"/>
    <w:rsid w:val="00E83513"/>
    <w:rsid w:val="00E83651"/>
    <w:rsid w:val="00E836F6"/>
    <w:rsid w:val="00E83864"/>
    <w:rsid w:val="00E83975"/>
    <w:rsid w:val="00E839AB"/>
    <w:rsid w:val="00E83A25"/>
    <w:rsid w:val="00E83A3F"/>
    <w:rsid w:val="00E83C05"/>
    <w:rsid w:val="00E83C15"/>
    <w:rsid w:val="00E83D1B"/>
    <w:rsid w:val="00E840CA"/>
    <w:rsid w:val="00E84286"/>
    <w:rsid w:val="00E84437"/>
    <w:rsid w:val="00E844AA"/>
    <w:rsid w:val="00E8455B"/>
    <w:rsid w:val="00E846A7"/>
    <w:rsid w:val="00E8471E"/>
    <w:rsid w:val="00E84736"/>
    <w:rsid w:val="00E8490A"/>
    <w:rsid w:val="00E84A61"/>
    <w:rsid w:val="00E84AF9"/>
    <w:rsid w:val="00E84B00"/>
    <w:rsid w:val="00E84B64"/>
    <w:rsid w:val="00E84C05"/>
    <w:rsid w:val="00E84D00"/>
    <w:rsid w:val="00E84E73"/>
    <w:rsid w:val="00E84F5B"/>
    <w:rsid w:val="00E85012"/>
    <w:rsid w:val="00E8509F"/>
    <w:rsid w:val="00E8517F"/>
    <w:rsid w:val="00E85206"/>
    <w:rsid w:val="00E85286"/>
    <w:rsid w:val="00E8529F"/>
    <w:rsid w:val="00E853BF"/>
    <w:rsid w:val="00E85598"/>
    <w:rsid w:val="00E85AAA"/>
    <w:rsid w:val="00E85AD8"/>
    <w:rsid w:val="00E85B30"/>
    <w:rsid w:val="00E85B3F"/>
    <w:rsid w:val="00E85B43"/>
    <w:rsid w:val="00E85C62"/>
    <w:rsid w:val="00E85E28"/>
    <w:rsid w:val="00E85F5D"/>
    <w:rsid w:val="00E85F89"/>
    <w:rsid w:val="00E86318"/>
    <w:rsid w:val="00E86326"/>
    <w:rsid w:val="00E863BE"/>
    <w:rsid w:val="00E86481"/>
    <w:rsid w:val="00E864D4"/>
    <w:rsid w:val="00E865EA"/>
    <w:rsid w:val="00E86693"/>
    <w:rsid w:val="00E866C3"/>
    <w:rsid w:val="00E86799"/>
    <w:rsid w:val="00E86874"/>
    <w:rsid w:val="00E8690D"/>
    <w:rsid w:val="00E86A75"/>
    <w:rsid w:val="00E86AEB"/>
    <w:rsid w:val="00E86C2D"/>
    <w:rsid w:val="00E86E09"/>
    <w:rsid w:val="00E86E3E"/>
    <w:rsid w:val="00E86E40"/>
    <w:rsid w:val="00E87305"/>
    <w:rsid w:val="00E8745D"/>
    <w:rsid w:val="00E874AD"/>
    <w:rsid w:val="00E874F6"/>
    <w:rsid w:val="00E8759C"/>
    <w:rsid w:val="00E8776F"/>
    <w:rsid w:val="00E87A4B"/>
    <w:rsid w:val="00E87BEC"/>
    <w:rsid w:val="00E87D42"/>
    <w:rsid w:val="00E87DE2"/>
    <w:rsid w:val="00E87E11"/>
    <w:rsid w:val="00E87E26"/>
    <w:rsid w:val="00E87F1B"/>
    <w:rsid w:val="00E90105"/>
    <w:rsid w:val="00E9013F"/>
    <w:rsid w:val="00E9017D"/>
    <w:rsid w:val="00E90203"/>
    <w:rsid w:val="00E902EF"/>
    <w:rsid w:val="00E90330"/>
    <w:rsid w:val="00E906BE"/>
    <w:rsid w:val="00E906CE"/>
    <w:rsid w:val="00E90749"/>
    <w:rsid w:val="00E9077C"/>
    <w:rsid w:val="00E9089A"/>
    <w:rsid w:val="00E90DAA"/>
    <w:rsid w:val="00E90DB2"/>
    <w:rsid w:val="00E90EFE"/>
    <w:rsid w:val="00E9124C"/>
    <w:rsid w:val="00E91255"/>
    <w:rsid w:val="00E912AD"/>
    <w:rsid w:val="00E914C2"/>
    <w:rsid w:val="00E9183E"/>
    <w:rsid w:val="00E91A46"/>
    <w:rsid w:val="00E91BA8"/>
    <w:rsid w:val="00E91BFC"/>
    <w:rsid w:val="00E91C26"/>
    <w:rsid w:val="00E91CAC"/>
    <w:rsid w:val="00E91D5F"/>
    <w:rsid w:val="00E91ECA"/>
    <w:rsid w:val="00E92080"/>
    <w:rsid w:val="00E920A0"/>
    <w:rsid w:val="00E920AB"/>
    <w:rsid w:val="00E920EB"/>
    <w:rsid w:val="00E92233"/>
    <w:rsid w:val="00E9238D"/>
    <w:rsid w:val="00E92434"/>
    <w:rsid w:val="00E924D5"/>
    <w:rsid w:val="00E924D9"/>
    <w:rsid w:val="00E92722"/>
    <w:rsid w:val="00E92856"/>
    <w:rsid w:val="00E92934"/>
    <w:rsid w:val="00E92A60"/>
    <w:rsid w:val="00E92AB5"/>
    <w:rsid w:val="00E92AC2"/>
    <w:rsid w:val="00E92D1F"/>
    <w:rsid w:val="00E92D86"/>
    <w:rsid w:val="00E93265"/>
    <w:rsid w:val="00E93298"/>
    <w:rsid w:val="00E933DE"/>
    <w:rsid w:val="00E934CB"/>
    <w:rsid w:val="00E9370E"/>
    <w:rsid w:val="00E937F6"/>
    <w:rsid w:val="00E93840"/>
    <w:rsid w:val="00E93902"/>
    <w:rsid w:val="00E93B17"/>
    <w:rsid w:val="00E93B61"/>
    <w:rsid w:val="00E93BB6"/>
    <w:rsid w:val="00E93BD3"/>
    <w:rsid w:val="00E93D08"/>
    <w:rsid w:val="00E94036"/>
    <w:rsid w:val="00E94081"/>
    <w:rsid w:val="00E941E6"/>
    <w:rsid w:val="00E94404"/>
    <w:rsid w:val="00E94414"/>
    <w:rsid w:val="00E94541"/>
    <w:rsid w:val="00E9455C"/>
    <w:rsid w:val="00E9456A"/>
    <w:rsid w:val="00E945AC"/>
    <w:rsid w:val="00E94905"/>
    <w:rsid w:val="00E94975"/>
    <w:rsid w:val="00E94BC5"/>
    <w:rsid w:val="00E94CBF"/>
    <w:rsid w:val="00E94DCF"/>
    <w:rsid w:val="00E94FF6"/>
    <w:rsid w:val="00E952B0"/>
    <w:rsid w:val="00E952E2"/>
    <w:rsid w:val="00E953FD"/>
    <w:rsid w:val="00E955D2"/>
    <w:rsid w:val="00E956C3"/>
    <w:rsid w:val="00E957EC"/>
    <w:rsid w:val="00E95914"/>
    <w:rsid w:val="00E95948"/>
    <w:rsid w:val="00E959AA"/>
    <w:rsid w:val="00E95B03"/>
    <w:rsid w:val="00E95E0C"/>
    <w:rsid w:val="00E95E2D"/>
    <w:rsid w:val="00E95E45"/>
    <w:rsid w:val="00E95E5D"/>
    <w:rsid w:val="00E95E68"/>
    <w:rsid w:val="00E96005"/>
    <w:rsid w:val="00E96048"/>
    <w:rsid w:val="00E9610F"/>
    <w:rsid w:val="00E96222"/>
    <w:rsid w:val="00E9634A"/>
    <w:rsid w:val="00E963F4"/>
    <w:rsid w:val="00E964D5"/>
    <w:rsid w:val="00E965F0"/>
    <w:rsid w:val="00E9660A"/>
    <w:rsid w:val="00E966B7"/>
    <w:rsid w:val="00E967FC"/>
    <w:rsid w:val="00E969D2"/>
    <w:rsid w:val="00E96A40"/>
    <w:rsid w:val="00E96A85"/>
    <w:rsid w:val="00E96C57"/>
    <w:rsid w:val="00E96CA6"/>
    <w:rsid w:val="00E96CAB"/>
    <w:rsid w:val="00E96E84"/>
    <w:rsid w:val="00E96FC1"/>
    <w:rsid w:val="00E96FC9"/>
    <w:rsid w:val="00E96FFF"/>
    <w:rsid w:val="00E97072"/>
    <w:rsid w:val="00E971EA"/>
    <w:rsid w:val="00E971F0"/>
    <w:rsid w:val="00E97812"/>
    <w:rsid w:val="00E978C0"/>
    <w:rsid w:val="00E97970"/>
    <w:rsid w:val="00E97A36"/>
    <w:rsid w:val="00E97ABE"/>
    <w:rsid w:val="00E97CEA"/>
    <w:rsid w:val="00E97EF9"/>
    <w:rsid w:val="00E97F68"/>
    <w:rsid w:val="00EA0080"/>
    <w:rsid w:val="00EA0153"/>
    <w:rsid w:val="00EA017E"/>
    <w:rsid w:val="00EA01DE"/>
    <w:rsid w:val="00EA0204"/>
    <w:rsid w:val="00EA036D"/>
    <w:rsid w:val="00EA0668"/>
    <w:rsid w:val="00EA0831"/>
    <w:rsid w:val="00EA084D"/>
    <w:rsid w:val="00EA0852"/>
    <w:rsid w:val="00EA0C98"/>
    <w:rsid w:val="00EA0D90"/>
    <w:rsid w:val="00EA106E"/>
    <w:rsid w:val="00EA10F9"/>
    <w:rsid w:val="00EA125E"/>
    <w:rsid w:val="00EA1278"/>
    <w:rsid w:val="00EA13EC"/>
    <w:rsid w:val="00EA14AB"/>
    <w:rsid w:val="00EA1759"/>
    <w:rsid w:val="00EA176A"/>
    <w:rsid w:val="00EA184C"/>
    <w:rsid w:val="00EA1A6B"/>
    <w:rsid w:val="00EA1B57"/>
    <w:rsid w:val="00EA1C4E"/>
    <w:rsid w:val="00EA1CDB"/>
    <w:rsid w:val="00EA1D72"/>
    <w:rsid w:val="00EA1DFC"/>
    <w:rsid w:val="00EA1E86"/>
    <w:rsid w:val="00EA21CE"/>
    <w:rsid w:val="00EA23E2"/>
    <w:rsid w:val="00EA2495"/>
    <w:rsid w:val="00EA26C6"/>
    <w:rsid w:val="00EA2716"/>
    <w:rsid w:val="00EA2939"/>
    <w:rsid w:val="00EA2A5B"/>
    <w:rsid w:val="00EA2AE2"/>
    <w:rsid w:val="00EA2C6D"/>
    <w:rsid w:val="00EA2C86"/>
    <w:rsid w:val="00EA2D50"/>
    <w:rsid w:val="00EA2DA3"/>
    <w:rsid w:val="00EA2E41"/>
    <w:rsid w:val="00EA2F8C"/>
    <w:rsid w:val="00EA322F"/>
    <w:rsid w:val="00EA324B"/>
    <w:rsid w:val="00EA32DB"/>
    <w:rsid w:val="00EA357D"/>
    <w:rsid w:val="00EA358D"/>
    <w:rsid w:val="00EA3634"/>
    <w:rsid w:val="00EA37FD"/>
    <w:rsid w:val="00EA3890"/>
    <w:rsid w:val="00EA3935"/>
    <w:rsid w:val="00EA3B8A"/>
    <w:rsid w:val="00EA3B9B"/>
    <w:rsid w:val="00EA3C91"/>
    <w:rsid w:val="00EA3DAF"/>
    <w:rsid w:val="00EA405F"/>
    <w:rsid w:val="00EA4070"/>
    <w:rsid w:val="00EA4175"/>
    <w:rsid w:val="00EA4245"/>
    <w:rsid w:val="00EA42A9"/>
    <w:rsid w:val="00EA4444"/>
    <w:rsid w:val="00EA4627"/>
    <w:rsid w:val="00EA4665"/>
    <w:rsid w:val="00EA46A7"/>
    <w:rsid w:val="00EA4732"/>
    <w:rsid w:val="00EA4735"/>
    <w:rsid w:val="00EA48E3"/>
    <w:rsid w:val="00EA4A49"/>
    <w:rsid w:val="00EA4B18"/>
    <w:rsid w:val="00EA4BD2"/>
    <w:rsid w:val="00EA4C16"/>
    <w:rsid w:val="00EA4CB6"/>
    <w:rsid w:val="00EA4FBF"/>
    <w:rsid w:val="00EA4FC7"/>
    <w:rsid w:val="00EA4FC8"/>
    <w:rsid w:val="00EA5087"/>
    <w:rsid w:val="00EA5132"/>
    <w:rsid w:val="00EA5351"/>
    <w:rsid w:val="00EA5356"/>
    <w:rsid w:val="00EA53A3"/>
    <w:rsid w:val="00EA53E1"/>
    <w:rsid w:val="00EA5525"/>
    <w:rsid w:val="00EA55AF"/>
    <w:rsid w:val="00EA5701"/>
    <w:rsid w:val="00EA57A3"/>
    <w:rsid w:val="00EA57B7"/>
    <w:rsid w:val="00EA57E9"/>
    <w:rsid w:val="00EA582E"/>
    <w:rsid w:val="00EA59CF"/>
    <w:rsid w:val="00EA5A31"/>
    <w:rsid w:val="00EA5A5D"/>
    <w:rsid w:val="00EA5AEC"/>
    <w:rsid w:val="00EA5B07"/>
    <w:rsid w:val="00EA5C7A"/>
    <w:rsid w:val="00EA5CF9"/>
    <w:rsid w:val="00EA5DA7"/>
    <w:rsid w:val="00EA5DF7"/>
    <w:rsid w:val="00EA5E7B"/>
    <w:rsid w:val="00EA5F9B"/>
    <w:rsid w:val="00EA6377"/>
    <w:rsid w:val="00EA63CC"/>
    <w:rsid w:val="00EA6424"/>
    <w:rsid w:val="00EA64CE"/>
    <w:rsid w:val="00EA6506"/>
    <w:rsid w:val="00EA6578"/>
    <w:rsid w:val="00EA6642"/>
    <w:rsid w:val="00EA6831"/>
    <w:rsid w:val="00EA683C"/>
    <w:rsid w:val="00EA6CED"/>
    <w:rsid w:val="00EA6F77"/>
    <w:rsid w:val="00EA7038"/>
    <w:rsid w:val="00EA7041"/>
    <w:rsid w:val="00EA7173"/>
    <w:rsid w:val="00EA71A2"/>
    <w:rsid w:val="00EA72F0"/>
    <w:rsid w:val="00EA74A6"/>
    <w:rsid w:val="00EA7641"/>
    <w:rsid w:val="00EA7A13"/>
    <w:rsid w:val="00EA7B9E"/>
    <w:rsid w:val="00EA7C51"/>
    <w:rsid w:val="00EA7C77"/>
    <w:rsid w:val="00EA7CE9"/>
    <w:rsid w:val="00EA7E46"/>
    <w:rsid w:val="00EA7E55"/>
    <w:rsid w:val="00EB003C"/>
    <w:rsid w:val="00EB004F"/>
    <w:rsid w:val="00EB00F3"/>
    <w:rsid w:val="00EB0124"/>
    <w:rsid w:val="00EB01BB"/>
    <w:rsid w:val="00EB02BC"/>
    <w:rsid w:val="00EB0385"/>
    <w:rsid w:val="00EB0445"/>
    <w:rsid w:val="00EB054C"/>
    <w:rsid w:val="00EB06AA"/>
    <w:rsid w:val="00EB06BE"/>
    <w:rsid w:val="00EB07C2"/>
    <w:rsid w:val="00EB07F6"/>
    <w:rsid w:val="00EB089A"/>
    <w:rsid w:val="00EB08A0"/>
    <w:rsid w:val="00EB096B"/>
    <w:rsid w:val="00EB09E1"/>
    <w:rsid w:val="00EB0AE9"/>
    <w:rsid w:val="00EB0B2F"/>
    <w:rsid w:val="00EB0C81"/>
    <w:rsid w:val="00EB0DF3"/>
    <w:rsid w:val="00EB0E64"/>
    <w:rsid w:val="00EB0F20"/>
    <w:rsid w:val="00EB0F35"/>
    <w:rsid w:val="00EB0F47"/>
    <w:rsid w:val="00EB0F6A"/>
    <w:rsid w:val="00EB101C"/>
    <w:rsid w:val="00EB10FF"/>
    <w:rsid w:val="00EB12A4"/>
    <w:rsid w:val="00EB12B1"/>
    <w:rsid w:val="00EB12D2"/>
    <w:rsid w:val="00EB143A"/>
    <w:rsid w:val="00EB159D"/>
    <w:rsid w:val="00EB1664"/>
    <w:rsid w:val="00EB16AC"/>
    <w:rsid w:val="00EB16B0"/>
    <w:rsid w:val="00EB1779"/>
    <w:rsid w:val="00EB177A"/>
    <w:rsid w:val="00EB18FD"/>
    <w:rsid w:val="00EB1AEB"/>
    <w:rsid w:val="00EB1C35"/>
    <w:rsid w:val="00EB203D"/>
    <w:rsid w:val="00EB2190"/>
    <w:rsid w:val="00EB22AB"/>
    <w:rsid w:val="00EB24CB"/>
    <w:rsid w:val="00EB24E2"/>
    <w:rsid w:val="00EB251C"/>
    <w:rsid w:val="00EB2A5A"/>
    <w:rsid w:val="00EB2ABB"/>
    <w:rsid w:val="00EB2AE3"/>
    <w:rsid w:val="00EB2B0A"/>
    <w:rsid w:val="00EB2B0D"/>
    <w:rsid w:val="00EB2B7F"/>
    <w:rsid w:val="00EB2C20"/>
    <w:rsid w:val="00EB2C45"/>
    <w:rsid w:val="00EB2CD0"/>
    <w:rsid w:val="00EB2DD2"/>
    <w:rsid w:val="00EB2EA9"/>
    <w:rsid w:val="00EB2F8C"/>
    <w:rsid w:val="00EB3052"/>
    <w:rsid w:val="00EB31BF"/>
    <w:rsid w:val="00EB3313"/>
    <w:rsid w:val="00EB33AD"/>
    <w:rsid w:val="00EB3416"/>
    <w:rsid w:val="00EB34BB"/>
    <w:rsid w:val="00EB3521"/>
    <w:rsid w:val="00EB3645"/>
    <w:rsid w:val="00EB364F"/>
    <w:rsid w:val="00EB368F"/>
    <w:rsid w:val="00EB3757"/>
    <w:rsid w:val="00EB378F"/>
    <w:rsid w:val="00EB3DBF"/>
    <w:rsid w:val="00EB4062"/>
    <w:rsid w:val="00EB425D"/>
    <w:rsid w:val="00EB42EB"/>
    <w:rsid w:val="00EB4369"/>
    <w:rsid w:val="00EB43FC"/>
    <w:rsid w:val="00EB4407"/>
    <w:rsid w:val="00EB469D"/>
    <w:rsid w:val="00EB483D"/>
    <w:rsid w:val="00EB487E"/>
    <w:rsid w:val="00EB4973"/>
    <w:rsid w:val="00EB49B6"/>
    <w:rsid w:val="00EB49E7"/>
    <w:rsid w:val="00EB4A68"/>
    <w:rsid w:val="00EB4AF5"/>
    <w:rsid w:val="00EB4B22"/>
    <w:rsid w:val="00EB4B27"/>
    <w:rsid w:val="00EB4B6D"/>
    <w:rsid w:val="00EB4CA4"/>
    <w:rsid w:val="00EB4D09"/>
    <w:rsid w:val="00EB4ECF"/>
    <w:rsid w:val="00EB5048"/>
    <w:rsid w:val="00EB5093"/>
    <w:rsid w:val="00EB522D"/>
    <w:rsid w:val="00EB52DF"/>
    <w:rsid w:val="00EB5327"/>
    <w:rsid w:val="00EB547A"/>
    <w:rsid w:val="00EB551F"/>
    <w:rsid w:val="00EB555C"/>
    <w:rsid w:val="00EB557B"/>
    <w:rsid w:val="00EB5683"/>
    <w:rsid w:val="00EB5702"/>
    <w:rsid w:val="00EB5726"/>
    <w:rsid w:val="00EB59A2"/>
    <w:rsid w:val="00EB5AE8"/>
    <w:rsid w:val="00EB5E54"/>
    <w:rsid w:val="00EB5EBD"/>
    <w:rsid w:val="00EB6053"/>
    <w:rsid w:val="00EB6131"/>
    <w:rsid w:val="00EB6440"/>
    <w:rsid w:val="00EB646A"/>
    <w:rsid w:val="00EB651D"/>
    <w:rsid w:val="00EB65A5"/>
    <w:rsid w:val="00EB65C7"/>
    <w:rsid w:val="00EB65DF"/>
    <w:rsid w:val="00EB66EA"/>
    <w:rsid w:val="00EB675E"/>
    <w:rsid w:val="00EB692A"/>
    <w:rsid w:val="00EB6A59"/>
    <w:rsid w:val="00EB6B13"/>
    <w:rsid w:val="00EB6B44"/>
    <w:rsid w:val="00EB6D3F"/>
    <w:rsid w:val="00EB6F44"/>
    <w:rsid w:val="00EB6FEE"/>
    <w:rsid w:val="00EB71E7"/>
    <w:rsid w:val="00EB72BA"/>
    <w:rsid w:val="00EB739D"/>
    <w:rsid w:val="00EB7419"/>
    <w:rsid w:val="00EB7531"/>
    <w:rsid w:val="00EB75E9"/>
    <w:rsid w:val="00EB75FC"/>
    <w:rsid w:val="00EB7731"/>
    <w:rsid w:val="00EB7853"/>
    <w:rsid w:val="00EB78A3"/>
    <w:rsid w:val="00EB7A4F"/>
    <w:rsid w:val="00EB7AEE"/>
    <w:rsid w:val="00EB7BCE"/>
    <w:rsid w:val="00EB7C89"/>
    <w:rsid w:val="00EB7D30"/>
    <w:rsid w:val="00EB7EFF"/>
    <w:rsid w:val="00EC012A"/>
    <w:rsid w:val="00EC01A2"/>
    <w:rsid w:val="00EC01A6"/>
    <w:rsid w:val="00EC01D8"/>
    <w:rsid w:val="00EC01DB"/>
    <w:rsid w:val="00EC0211"/>
    <w:rsid w:val="00EC0290"/>
    <w:rsid w:val="00EC0296"/>
    <w:rsid w:val="00EC02C3"/>
    <w:rsid w:val="00EC0420"/>
    <w:rsid w:val="00EC0527"/>
    <w:rsid w:val="00EC0597"/>
    <w:rsid w:val="00EC0726"/>
    <w:rsid w:val="00EC07D8"/>
    <w:rsid w:val="00EC0801"/>
    <w:rsid w:val="00EC09A3"/>
    <w:rsid w:val="00EC09E7"/>
    <w:rsid w:val="00EC0A1C"/>
    <w:rsid w:val="00EC0C64"/>
    <w:rsid w:val="00EC0D1E"/>
    <w:rsid w:val="00EC0E1C"/>
    <w:rsid w:val="00EC0E7E"/>
    <w:rsid w:val="00EC0EDE"/>
    <w:rsid w:val="00EC0EFF"/>
    <w:rsid w:val="00EC10C1"/>
    <w:rsid w:val="00EC1101"/>
    <w:rsid w:val="00EC121C"/>
    <w:rsid w:val="00EC1322"/>
    <w:rsid w:val="00EC1415"/>
    <w:rsid w:val="00EC16D8"/>
    <w:rsid w:val="00EC16FE"/>
    <w:rsid w:val="00EC171C"/>
    <w:rsid w:val="00EC1887"/>
    <w:rsid w:val="00EC19F2"/>
    <w:rsid w:val="00EC1A5F"/>
    <w:rsid w:val="00EC1AC2"/>
    <w:rsid w:val="00EC1B40"/>
    <w:rsid w:val="00EC1B91"/>
    <w:rsid w:val="00EC1BC0"/>
    <w:rsid w:val="00EC1CA1"/>
    <w:rsid w:val="00EC1CD7"/>
    <w:rsid w:val="00EC1DD0"/>
    <w:rsid w:val="00EC1DFA"/>
    <w:rsid w:val="00EC1EC0"/>
    <w:rsid w:val="00EC1FB1"/>
    <w:rsid w:val="00EC20C9"/>
    <w:rsid w:val="00EC232A"/>
    <w:rsid w:val="00EC2433"/>
    <w:rsid w:val="00EC2593"/>
    <w:rsid w:val="00EC2611"/>
    <w:rsid w:val="00EC288E"/>
    <w:rsid w:val="00EC2930"/>
    <w:rsid w:val="00EC293D"/>
    <w:rsid w:val="00EC29A6"/>
    <w:rsid w:val="00EC2BE5"/>
    <w:rsid w:val="00EC2EBC"/>
    <w:rsid w:val="00EC2ECD"/>
    <w:rsid w:val="00EC2F6F"/>
    <w:rsid w:val="00EC307C"/>
    <w:rsid w:val="00EC3214"/>
    <w:rsid w:val="00EC3280"/>
    <w:rsid w:val="00EC32F5"/>
    <w:rsid w:val="00EC3627"/>
    <w:rsid w:val="00EC376C"/>
    <w:rsid w:val="00EC3AAF"/>
    <w:rsid w:val="00EC3DED"/>
    <w:rsid w:val="00EC3E76"/>
    <w:rsid w:val="00EC3EE2"/>
    <w:rsid w:val="00EC3F7C"/>
    <w:rsid w:val="00EC4036"/>
    <w:rsid w:val="00EC4128"/>
    <w:rsid w:val="00EC4211"/>
    <w:rsid w:val="00EC4261"/>
    <w:rsid w:val="00EC42F6"/>
    <w:rsid w:val="00EC437A"/>
    <w:rsid w:val="00EC43E6"/>
    <w:rsid w:val="00EC44F1"/>
    <w:rsid w:val="00EC4564"/>
    <w:rsid w:val="00EC4585"/>
    <w:rsid w:val="00EC4611"/>
    <w:rsid w:val="00EC4673"/>
    <w:rsid w:val="00EC47E0"/>
    <w:rsid w:val="00EC4A38"/>
    <w:rsid w:val="00EC4B31"/>
    <w:rsid w:val="00EC4F0E"/>
    <w:rsid w:val="00EC4F77"/>
    <w:rsid w:val="00EC51CC"/>
    <w:rsid w:val="00EC5201"/>
    <w:rsid w:val="00EC5314"/>
    <w:rsid w:val="00EC53F6"/>
    <w:rsid w:val="00EC56E1"/>
    <w:rsid w:val="00EC572D"/>
    <w:rsid w:val="00EC5858"/>
    <w:rsid w:val="00EC58D9"/>
    <w:rsid w:val="00EC5969"/>
    <w:rsid w:val="00EC5AE2"/>
    <w:rsid w:val="00EC5B64"/>
    <w:rsid w:val="00EC5BAB"/>
    <w:rsid w:val="00EC5C17"/>
    <w:rsid w:val="00EC5C69"/>
    <w:rsid w:val="00EC5C70"/>
    <w:rsid w:val="00EC5D20"/>
    <w:rsid w:val="00EC5E07"/>
    <w:rsid w:val="00EC5E38"/>
    <w:rsid w:val="00EC5EBE"/>
    <w:rsid w:val="00EC5F3D"/>
    <w:rsid w:val="00EC61F8"/>
    <w:rsid w:val="00EC6200"/>
    <w:rsid w:val="00EC62D2"/>
    <w:rsid w:val="00EC631C"/>
    <w:rsid w:val="00EC63A0"/>
    <w:rsid w:val="00EC6430"/>
    <w:rsid w:val="00EC667A"/>
    <w:rsid w:val="00EC67A4"/>
    <w:rsid w:val="00EC6834"/>
    <w:rsid w:val="00EC6920"/>
    <w:rsid w:val="00EC69BA"/>
    <w:rsid w:val="00EC6A78"/>
    <w:rsid w:val="00EC6B30"/>
    <w:rsid w:val="00EC6B96"/>
    <w:rsid w:val="00EC6CEC"/>
    <w:rsid w:val="00EC6CF5"/>
    <w:rsid w:val="00EC6CF8"/>
    <w:rsid w:val="00EC6DC0"/>
    <w:rsid w:val="00EC6F05"/>
    <w:rsid w:val="00EC70F7"/>
    <w:rsid w:val="00EC71C2"/>
    <w:rsid w:val="00EC7221"/>
    <w:rsid w:val="00EC722E"/>
    <w:rsid w:val="00EC728D"/>
    <w:rsid w:val="00EC72A3"/>
    <w:rsid w:val="00EC73A4"/>
    <w:rsid w:val="00EC73F0"/>
    <w:rsid w:val="00EC7411"/>
    <w:rsid w:val="00EC74A9"/>
    <w:rsid w:val="00EC7562"/>
    <w:rsid w:val="00EC75F2"/>
    <w:rsid w:val="00EC7707"/>
    <w:rsid w:val="00EC7709"/>
    <w:rsid w:val="00EC7906"/>
    <w:rsid w:val="00EC79BF"/>
    <w:rsid w:val="00EC7BB5"/>
    <w:rsid w:val="00EC7DB9"/>
    <w:rsid w:val="00EC7F6B"/>
    <w:rsid w:val="00ED027F"/>
    <w:rsid w:val="00ED035F"/>
    <w:rsid w:val="00ED05AF"/>
    <w:rsid w:val="00ED06D4"/>
    <w:rsid w:val="00ED0715"/>
    <w:rsid w:val="00ED071A"/>
    <w:rsid w:val="00ED085C"/>
    <w:rsid w:val="00ED0898"/>
    <w:rsid w:val="00ED08B4"/>
    <w:rsid w:val="00ED08CA"/>
    <w:rsid w:val="00ED08F6"/>
    <w:rsid w:val="00ED0A15"/>
    <w:rsid w:val="00ED0F5A"/>
    <w:rsid w:val="00ED1025"/>
    <w:rsid w:val="00ED14AF"/>
    <w:rsid w:val="00ED1568"/>
    <w:rsid w:val="00ED15D2"/>
    <w:rsid w:val="00ED1661"/>
    <w:rsid w:val="00ED1728"/>
    <w:rsid w:val="00ED17C8"/>
    <w:rsid w:val="00ED189D"/>
    <w:rsid w:val="00ED18A1"/>
    <w:rsid w:val="00ED18A7"/>
    <w:rsid w:val="00ED192C"/>
    <w:rsid w:val="00ED19B1"/>
    <w:rsid w:val="00ED1AF0"/>
    <w:rsid w:val="00ED1AFA"/>
    <w:rsid w:val="00ED1C82"/>
    <w:rsid w:val="00ED1CF4"/>
    <w:rsid w:val="00ED215A"/>
    <w:rsid w:val="00ED216E"/>
    <w:rsid w:val="00ED2364"/>
    <w:rsid w:val="00ED2419"/>
    <w:rsid w:val="00ED24B5"/>
    <w:rsid w:val="00ED2511"/>
    <w:rsid w:val="00ED2609"/>
    <w:rsid w:val="00ED27DA"/>
    <w:rsid w:val="00ED2823"/>
    <w:rsid w:val="00ED2AD9"/>
    <w:rsid w:val="00ED2B41"/>
    <w:rsid w:val="00ED2CF6"/>
    <w:rsid w:val="00ED2D2C"/>
    <w:rsid w:val="00ED2D9C"/>
    <w:rsid w:val="00ED2E0C"/>
    <w:rsid w:val="00ED2E1B"/>
    <w:rsid w:val="00ED2F57"/>
    <w:rsid w:val="00ED31DD"/>
    <w:rsid w:val="00ED341D"/>
    <w:rsid w:val="00ED3448"/>
    <w:rsid w:val="00ED3492"/>
    <w:rsid w:val="00ED34C4"/>
    <w:rsid w:val="00ED35BD"/>
    <w:rsid w:val="00ED35DF"/>
    <w:rsid w:val="00ED3679"/>
    <w:rsid w:val="00ED3780"/>
    <w:rsid w:val="00ED3799"/>
    <w:rsid w:val="00ED386D"/>
    <w:rsid w:val="00ED389C"/>
    <w:rsid w:val="00ED38E6"/>
    <w:rsid w:val="00ED3931"/>
    <w:rsid w:val="00ED393E"/>
    <w:rsid w:val="00ED39EA"/>
    <w:rsid w:val="00ED3A9F"/>
    <w:rsid w:val="00ED3B3C"/>
    <w:rsid w:val="00ED3BB7"/>
    <w:rsid w:val="00ED3CC7"/>
    <w:rsid w:val="00ED3DC4"/>
    <w:rsid w:val="00ED4144"/>
    <w:rsid w:val="00ED41C0"/>
    <w:rsid w:val="00ED42B5"/>
    <w:rsid w:val="00ED4318"/>
    <w:rsid w:val="00ED436E"/>
    <w:rsid w:val="00ED4434"/>
    <w:rsid w:val="00ED44BC"/>
    <w:rsid w:val="00ED45B7"/>
    <w:rsid w:val="00ED4635"/>
    <w:rsid w:val="00ED47DB"/>
    <w:rsid w:val="00ED4853"/>
    <w:rsid w:val="00ED4910"/>
    <w:rsid w:val="00ED49EC"/>
    <w:rsid w:val="00ED4B9B"/>
    <w:rsid w:val="00ED4C65"/>
    <w:rsid w:val="00ED5135"/>
    <w:rsid w:val="00ED51DC"/>
    <w:rsid w:val="00ED51E7"/>
    <w:rsid w:val="00ED53B5"/>
    <w:rsid w:val="00ED53C0"/>
    <w:rsid w:val="00ED561B"/>
    <w:rsid w:val="00ED561C"/>
    <w:rsid w:val="00ED56C8"/>
    <w:rsid w:val="00ED5702"/>
    <w:rsid w:val="00ED5730"/>
    <w:rsid w:val="00ED574A"/>
    <w:rsid w:val="00ED595B"/>
    <w:rsid w:val="00ED59B0"/>
    <w:rsid w:val="00ED59C0"/>
    <w:rsid w:val="00ED5AB6"/>
    <w:rsid w:val="00ED5AF0"/>
    <w:rsid w:val="00ED5B57"/>
    <w:rsid w:val="00ED5B5D"/>
    <w:rsid w:val="00ED5BBF"/>
    <w:rsid w:val="00ED5DEF"/>
    <w:rsid w:val="00ED5E55"/>
    <w:rsid w:val="00ED5E8E"/>
    <w:rsid w:val="00ED6051"/>
    <w:rsid w:val="00ED6072"/>
    <w:rsid w:val="00ED609F"/>
    <w:rsid w:val="00ED60D0"/>
    <w:rsid w:val="00ED620C"/>
    <w:rsid w:val="00ED622B"/>
    <w:rsid w:val="00ED62C0"/>
    <w:rsid w:val="00ED6316"/>
    <w:rsid w:val="00ED64E9"/>
    <w:rsid w:val="00ED6587"/>
    <w:rsid w:val="00ED65EF"/>
    <w:rsid w:val="00ED6825"/>
    <w:rsid w:val="00ED6973"/>
    <w:rsid w:val="00ED6A11"/>
    <w:rsid w:val="00ED6AEA"/>
    <w:rsid w:val="00ED6BC0"/>
    <w:rsid w:val="00ED6BFF"/>
    <w:rsid w:val="00ED6C12"/>
    <w:rsid w:val="00ED6E03"/>
    <w:rsid w:val="00ED6F7C"/>
    <w:rsid w:val="00ED70E8"/>
    <w:rsid w:val="00ED71D0"/>
    <w:rsid w:val="00ED72F3"/>
    <w:rsid w:val="00ED731E"/>
    <w:rsid w:val="00ED73F0"/>
    <w:rsid w:val="00ED744E"/>
    <w:rsid w:val="00ED757B"/>
    <w:rsid w:val="00ED76BD"/>
    <w:rsid w:val="00ED77DC"/>
    <w:rsid w:val="00ED783D"/>
    <w:rsid w:val="00ED794A"/>
    <w:rsid w:val="00ED7A77"/>
    <w:rsid w:val="00ED7AAE"/>
    <w:rsid w:val="00ED7B57"/>
    <w:rsid w:val="00ED7BFD"/>
    <w:rsid w:val="00ED7C76"/>
    <w:rsid w:val="00ED7D90"/>
    <w:rsid w:val="00ED7EFF"/>
    <w:rsid w:val="00EE03FE"/>
    <w:rsid w:val="00EE051A"/>
    <w:rsid w:val="00EE05F5"/>
    <w:rsid w:val="00EE0645"/>
    <w:rsid w:val="00EE06C2"/>
    <w:rsid w:val="00EE0711"/>
    <w:rsid w:val="00EE07E2"/>
    <w:rsid w:val="00EE0818"/>
    <w:rsid w:val="00EE0838"/>
    <w:rsid w:val="00EE084A"/>
    <w:rsid w:val="00EE08FD"/>
    <w:rsid w:val="00EE0B0F"/>
    <w:rsid w:val="00EE0B68"/>
    <w:rsid w:val="00EE0C3D"/>
    <w:rsid w:val="00EE0CCF"/>
    <w:rsid w:val="00EE0D3A"/>
    <w:rsid w:val="00EE0E72"/>
    <w:rsid w:val="00EE0E8A"/>
    <w:rsid w:val="00EE0E9E"/>
    <w:rsid w:val="00EE1105"/>
    <w:rsid w:val="00EE11EE"/>
    <w:rsid w:val="00EE1272"/>
    <w:rsid w:val="00EE1447"/>
    <w:rsid w:val="00EE1497"/>
    <w:rsid w:val="00EE1573"/>
    <w:rsid w:val="00EE15EC"/>
    <w:rsid w:val="00EE1663"/>
    <w:rsid w:val="00EE1671"/>
    <w:rsid w:val="00EE169B"/>
    <w:rsid w:val="00EE17AB"/>
    <w:rsid w:val="00EE183B"/>
    <w:rsid w:val="00EE1C0A"/>
    <w:rsid w:val="00EE1C1D"/>
    <w:rsid w:val="00EE1CD0"/>
    <w:rsid w:val="00EE1CD8"/>
    <w:rsid w:val="00EE1DA7"/>
    <w:rsid w:val="00EE1F20"/>
    <w:rsid w:val="00EE20B0"/>
    <w:rsid w:val="00EE20B8"/>
    <w:rsid w:val="00EE2173"/>
    <w:rsid w:val="00EE220B"/>
    <w:rsid w:val="00EE22A1"/>
    <w:rsid w:val="00EE23A1"/>
    <w:rsid w:val="00EE252A"/>
    <w:rsid w:val="00EE2676"/>
    <w:rsid w:val="00EE26B2"/>
    <w:rsid w:val="00EE26C9"/>
    <w:rsid w:val="00EE2794"/>
    <w:rsid w:val="00EE286C"/>
    <w:rsid w:val="00EE2895"/>
    <w:rsid w:val="00EE2900"/>
    <w:rsid w:val="00EE29FF"/>
    <w:rsid w:val="00EE2B8B"/>
    <w:rsid w:val="00EE2BC1"/>
    <w:rsid w:val="00EE2BF5"/>
    <w:rsid w:val="00EE2DD4"/>
    <w:rsid w:val="00EE2E3D"/>
    <w:rsid w:val="00EE2E50"/>
    <w:rsid w:val="00EE2E94"/>
    <w:rsid w:val="00EE2EEE"/>
    <w:rsid w:val="00EE3022"/>
    <w:rsid w:val="00EE3071"/>
    <w:rsid w:val="00EE31D6"/>
    <w:rsid w:val="00EE31FA"/>
    <w:rsid w:val="00EE3280"/>
    <w:rsid w:val="00EE3484"/>
    <w:rsid w:val="00EE35C4"/>
    <w:rsid w:val="00EE3A61"/>
    <w:rsid w:val="00EE3B39"/>
    <w:rsid w:val="00EE3B6C"/>
    <w:rsid w:val="00EE3DA5"/>
    <w:rsid w:val="00EE3DEC"/>
    <w:rsid w:val="00EE3EB1"/>
    <w:rsid w:val="00EE3FF9"/>
    <w:rsid w:val="00EE4237"/>
    <w:rsid w:val="00EE4271"/>
    <w:rsid w:val="00EE43F8"/>
    <w:rsid w:val="00EE4414"/>
    <w:rsid w:val="00EE44BB"/>
    <w:rsid w:val="00EE4533"/>
    <w:rsid w:val="00EE4561"/>
    <w:rsid w:val="00EE46A5"/>
    <w:rsid w:val="00EE46C2"/>
    <w:rsid w:val="00EE495A"/>
    <w:rsid w:val="00EE496D"/>
    <w:rsid w:val="00EE4A36"/>
    <w:rsid w:val="00EE4A86"/>
    <w:rsid w:val="00EE4AA2"/>
    <w:rsid w:val="00EE4DE3"/>
    <w:rsid w:val="00EE4E0B"/>
    <w:rsid w:val="00EE4F40"/>
    <w:rsid w:val="00EE4FFE"/>
    <w:rsid w:val="00EE51FA"/>
    <w:rsid w:val="00EE521C"/>
    <w:rsid w:val="00EE5240"/>
    <w:rsid w:val="00EE52E6"/>
    <w:rsid w:val="00EE5358"/>
    <w:rsid w:val="00EE548E"/>
    <w:rsid w:val="00EE5574"/>
    <w:rsid w:val="00EE5587"/>
    <w:rsid w:val="00EE567A"/>
    <w:rsid w:val="00EE571A"/>
    <w:rsid w:val="00EE5818"/>
    <w:rsid w:val="00EE5A21"/>
    <w:rsid w:val="00EE5A82"/>
    <w:rsid w:val="00EE5BA3"/>
    <w:rsid w:val="00EE5E8B"/>
    <w:rsid w:val="00EE5F05"/>
    <w:rsid w:val="00EE6142"/>
    <w:rsid w:val="00EE6158"/>
    <w:rsid w:val="00EE630E"/>
    <w:rsid w:val="00EE6436"/>
    <w:rsid w:val="00EE6486"/>
    <w:rsid w:val="00EE65C8"/>
    <w:rsid w:val="00EE6643"/>
    <w:rsid w:val="00EE669C"/>
    <w:rsid w:val="00EE66B6"/>
    <w:rsid w:val="00EE67AA"/>
    <w:rsid w:val="00EE6D7C"/>
    <w:rsid w:val="00EE704E"/>
    <w:rsid w:val="00EE7171"/>
    <w:rsid w:val="00EE71B3"/>
    <w:rsid w:val="00EE71C1"/>
    <w:rsid w:val="00EE71D7"/>
    <w:rsid w:val="00EE74B1"/>
    <w:rsid w:val="00EE77B1"/>
    <w:rsid w:val="00EE7A1E"/>
    <w:rsid w:val="00EE7A84"/>
    <w:rsid w:val="00EE7A87"/>
    <w:rsid w:val="00EE7AC1"/>
    <w:rsid w:val="00EE7B5B"/>
    <w:rsid w:val="00EE7C43"/>
    <w:rsid w:val="00EE7E4A"/>
    <w:rsid w:val="00EE7F15"/>
    <w:rsid w:val="00EE8D9D"/>
    <w:rsid w:val="00EF0046"/>
    <w:rsid w:val="00EF0191"/>
    <w:rsid w:val="00EF01A5"/>
    <w:rsid w:val="00EF0227"/>
    <w:rsid w:val="00EF0247"/>
    <w:rsid w:val="00EF0266"/>
    <w:rsid w:val="00EF0267"/>
    <w:rsid w:val="00EF0441"/>
    <w:rsid w:val="00EF0459"/>
    <w:rsid w:val="00EF06A8"/>
    <w:rsid w:val="00EF06FA"/>
    <w:rsid w:val="00EF082B"/>
    <w:rsid w:val="00EF08C1"/>
    <w:rsid w:val="00EF09EB"/>
    <w:rsid w:val="00EF0A46"/>
    <w:rsid w:val="00EF0AC5"/>
    <w:rsid w:val="00EF0BEE"/>
    <w:rsid w:val="00EF0D6A"/>
    <w:rsid w:val="00EF0F68"/>
    <w:rsid w:val="00EF0F99"/>
    <w:rsid w:val="00EF1124"/>
    <w:rsid w:val="00EF1155"/>
    <w:rsid w:val="00EF115A"/>
    <w:rsid w:val="00EF1226"/>
    <w:rsid w:val="00EF1263"/>
    <w:rsid w:val="00EF13B4"/>
    <w:rsid w:val="00EF146C"/>
    <w:rsid w:val="00EF1546"/>
    <w:rsid w:val="00EF154D"/>
    <w:rsid w:val="00EF1596"/>
    <w:rsid w:val="00EF175E"/>
    <w:rsid w:val="00EF1794"/>
    <w:rsid w:val="00EF18DF"/>
    <w:rsid w:val="00EF1A60"/>
    <w:rsid w:val="00EF1AAB"/>
    <w:rsid w:val="00EF1B85"/>
    <w:rsid w:val="00EF1C0F"/>
    <w:rsid w:val="00EF1E8E"/>
    <w:rsid w:val="00EF1ED7"/>
    <w:rsid w:val="00EF1FDA"/>
    <w:rsid w:val="00EF2016"/>
    <w:rsid w:val="00EF2091"/>
    <w:rsid w:val="00EF20BD"/>
    <w:rsid w:val="00EF20FF"/>
    <w:rsid w:val="00EF21C3"/>
    <w:rsid w:val="00EF23DB"/>
    <w:rsid w:val="00EF2477"/>
    <w:rsid w:val="00EF2505"/>
    <w:rsid w:val="00EF2543"/>
    <w:rsid w:val="00EF260E"/>
    <w:rsid w:val="00EF274E"/>
    <w:rsid w:val="00EF2752"/>
    <w:rsid w:val="00EF28D3"/>
    <w:rsid w:val="00EF28F6"/>
    <w:rsid w:val="00EF291A"/>
    <w:rsid w:val="00EF2A31"/>
    <w:rsid w:val="00EF2CE3"/>
    <w:rsid w:val="00EF2CF1"/>
    <w:rsid w:val="00EF2D43"/>
    <w:rsid w:val="00EF2F9E"/>
    <w:rsid w:val="00EF3089"/>
    <w:rsid w:val="00EF314D"/>
    <w:rsid w:val="00EF317C"/>
    <w:rsid w:val="00EF326C"/>
    <w:rsid w:val="00EF3340"/>
    <w:rsid w:val="00EF3467"/>
    <w:rsid w:val="00EF34CA"/>
    <w:rsid w:val="00EF3581"/>
    <w:rsid w:val="00EF35DC"/>
    <w:rsid w:val="00EF35E6"/>
    <w:rsid w:val="00EF36B7"/>
    <w:rsid w:val="00EF371A"/>
    <w:rsid w:val="00EF394B"/>
    <w:rsid w:val="00EF39C8"/>
    <w:rsid w:val="00EF3B99"/>
    <w:rsid w:val="00EF3B9D"/>
    <w:rsid w:val="00EF3D9F"/>
    <w:rsid w:val="00EF3E41"/>
    <w:rsid w:val="00EF3E9F"/>
    <w:rsid w:val="00EF3EFF"/>
    <w:rsid w:val="00EF3F7D"/>
    <w:rsid w:val="00EF3F8C"/>
    <w:rsid w:val="00EF4024"/>
    <w:rsid w:val="00EF4079"/>
    <w:rsid w:val="00EF4129"/>
    <w:rsid w:val="00EF41E4"/>
    <w:rsid w:val="00EF42BE"/>
    <w:rsid w:val="00EF4449"/>
    <w:rsid w:val="00EF467D"/>
    <w:rsid w:val="00EF46B2"/>
    <w:rsid w:val="00EF46C8"/>
    <w:rsid w:val="00EF475D"/>
    <w:rsid w:val="00EF4874"/>
    <w:rsid w:val="00EF4877"/>
    <w:rsid w:val="00EF4A57"/>
    <w:rsid w:val="00EF4B11"/>
    <w:rsid w:val="00EF4B4B"/>
    <w:rsid w:val="00EF4B7D"/>
    <w:rsid w:val="00EF4C2D"/>
    <w:rsid w:val="00EF4C91"/>
    <w:rsid w:val="00EF4D4A"/>
    <w:rsid w:val="00EF4FFA"/>
    <w:rsid w:val="00EF5063"/>
    <w:rsid w:val="00EF51C0"/>
    <w:rsid w:val="00EF53D5"/>
    <w:rsid w:val="00EF543E"/>
    <w:rsid w:val="00EF55F6"/>
    <w:rsid w:val="00EF5760"/>
    <w:rsid w:val="00EF5AAC"/>
    <w:rsid w:val="00EF5B3F"/>
    <w:rsid w:val="00EF5CC0"/>
    <w:rsid w:val="00EF5D27"/>
    <w:rsid w:val="00EF5E01"/>
    <w:rsid w:val="00EF5E11"/>
    <w:rsid w:val="00EF5F73"/>
    <w:rsid w:val="00EF6022"/>
    <w:rsid w:val="00EF6540"/>
    <w:rsid w:val="00EF6612"/>
    <w:rsid w:val="00EF664D"/>
    <w:rsid w:val="00EF667A"/>
    <w:rsid w:val="00EF66AD"/>
    <w:rsid w:val="00EF66EA"/>
    <w:rsid w:val="00EF6713"/>
    <w:rsid w:val="00EF687D"/>
    <w:rsid w:val="00EF69EE"/>
    <w:rsid w:val="00EF6AA9"/>
    <w:rsid w:val="00EF6CC6"/>
    <w:rsid w:val="00EF6D87"/>
    <w:rsid w:val="00EF6E00"/>
    <w:rsid w:val="00EF6E10"/>
    <w:rsid w:val="00EF6EA6"/>
    <w:rsid w:val="00EF6FE6"/>
    <w:rsid w:val="00EF70E4"/>
    <w:rsid w:val="00EF721F"/>
    <w:rsid w:val="00EF7274"/>
    <w:rsid w:val="00EF766B"/>
    <w:rsid w:val="00EF7861"/>
    <w:rsid w:val="00EF788C"/>
    <w:rsid w:val="00EF7CE2"/>
    <w:rsid w:val="00EF7EDC"/>
    <w:rsid w:val="00F000F6"/>
    <w:rsid w:val="00F001A2"/>
    <w:rsid w:val="00F00480"/>
    <w:rsid w:val="00F00819"/>
    <w:rsid w:val="00F00A52"/>
    <w:rsid w:val="00F00BA6"/>
    <w:rsid w:val="00F00C6B"/>
    <w:rsid w:val="00F00D53"/>
    <w:rsid w:val="00F00DE0"/>
    <w:rsid w:val="00F00DF2"/>
    <w:rsid w:val="00F00F67"/>
    <w:rsid w:val="00F00F88"/>
    <w:rsid w:val="00F00FC8"/>
    <w:rsid w:val="00F01035"/>
    <w:rsid w:val="00F01287"/>
    <w:rsid w:val="00F013FB"/>
    <w:rsid w:val="00F01401"/>
    <w:rsid w:val="00F01465"/>
    <w:rsid w:val="00F0146D"/>
    <w:rsid w:val="00F014E3"/>
    <w:rsid w:val="00F01564"/>
    <w:rsid w:val="00F0167A"/>
    <w:rsid w:val="00F01687"/>
    <w:rsid w:val="00F017BE"/>
    <w:rsid w:val="00F018CC"/>
    <w:rsid w:val="00F018ED"/>
    <w:rsid w:val="00F019CA"/>
    <w:rsid w:val="00F01AE7"/>
    <w:rsid w:val="00F01C13"/>
    <w:rsid w:val="00F01CD4"/>
    <w:rsid w:val="00F01E99"/>
    <w:rsid w:val="00F01ECD"/>
    <w:rsid w:val="00F01FC1"/>
    <w:rsid w:val="00F02075"/>
    <w:rsid w:val="00F0226C"/>
    <w:rsid w:val="00F02311"/>
    <w:rsid w:val="00F02388"/>
    <w:rsid w:val="00F023C5"/>
    <w:rsid w:val="00F023EA"/>
    <w:rsid w:val="00F024C0"/>
    <w:rsid w:val="00F024EC"/>
    <w:rsid w:val="00F024F6"/>
    <w:rsid w:val="00F02579"/>
    <w:rsid w:val="00F0269A"/>
    <w:rsid w:val="00F026C9"/>
    <w:rsid w:val="00F0282C"/>
    <w:rsid w:val="00F029A9"/>
    <w:rsid w:val="00F02A3C"/>
    <w:rsid w:val="00F02BC3"/>
    <w:rsid w:val="00F02BF9"/>
    <w:rsid w:val="00F02D89"/>
    <w:rsid w:val="00F02E1A"/>
    <w:rsid w:val="00F02E27"/>
    <w:rsid w:val="00F02EA0"/>
    <w:rsid w:val="00F02FBC"/>
    <w:rsid w:val="00F031CF"/>
    <w:rsid w:val="00F03346"/>
    <w:rsid w:val="00F033A4"/>
    <w:rsid w:val="00F0348F"/>
    <w:rsid w:val="00F0351A"/>
    <w:rsid w:val="00F03522"/>
    <w:rsid w:val="00F03631"/>
    <w:rsid w:val="00F036A8"/>
    <w:rsid w:val="00F03814"/>
    <w:rsid w:val="00F03889"/>
    <w:rsid w:val="00F03978"/>
    <w:rsid w:val="00F0397F"/>
    <w:rsid w:val="00F039D0"/>
    <w:rsid w:val="00F03B27"/>
    <w:rsid w:val="00F03B58"/>
    <w:rsid w:val="00F03D68"/>
    <w:rsid w:val="00F03DBE"/>
    <w:rsid w:val="00F03FA8"/>
    <w:rsid w:val="00F04015"/>
    <w:rsid w:val="00F043A5"/>
    <w:rsid w:val="00F0449F"/>
    <w:rsid w:val="00F046D2"/>
    <w:rsid w:val="00F046D7"/>
    <w:rsid w:val="00F047E2"/>
    <w:rsid w:val="00F047F7"/>
    <w:rsid w:val="00F04A04"/>
    <w:rsid w:val="00F04C2E"/>
    <w:rsid w:val="00F04CA7"/>
    <w:rsid w:val="00F04D05"/>
    <w:rsid w:val="00F04D06"/>
    <w:rsid w:val="00F04D65"/>
    <w:rsid w:val="00F04EDD"/>
    <w:rsid w:val="00F04FD0"/>
    <w:rsid w:val="00F05051"/>
    <w:rsid w:val="00F051BC"/>
    <w:rsid w:val="00F055FB"/>
    <w:rsid w:val="00F05749"/>
    <w:rsid w:val="00F05883"/>
    <w:rsid w:val="00F058FD"/>
    <w:rsid w:val="00F059B5"/>
    <w:rsid w:val="00F05A01"/>
    <w:rsid w:val="00F05A58"/>
    <w:rsid w:val="00F05BF6"/>
    <w:rsid w:val="00F05C31"/>
    <w:rsid w:val="00F05C4F"/>
    <w:rsid w:val="00F05CA1"/>
    <w:rsid w:val="00F05CD4"/>
    <w:rsid w:val="00F05DE3"/>
    <w:rsid w:val="00F05EE8"/>
    <w:rsid w:val="00F06282"/>
    <w:rsid w:val="00F063D4"/>
    <w:rsid w:val="00F0644D"/>
    <w:rsid w:val="00F06542"/>
    <w:rsid w:val="00F06688"/>
    <w:rsid w:val="00F06722"/>
    <w:rsid w:val="00F06772"/>
    <w:rsid w:val="00F06818"/>
    <w:rsid w:val="00F06902"/>
    <w:rsid w:val="00F06935"/>
    <w:rsid w:val="00F069EA"/>
    <w:rsid w:val="00F069ED"/>
    <w:rsid w:val="00F06A33"/>
    <w:rsid w:val="00F06A39"/>
    <w:rsid w:val="00F06B61"/>
    <w:rsid w:val="00F06DEF"/>
    <w:rsid w:val="00F07104"/>
    <w:rsid w:val="00F071AE"/>
    <w:rsid w:val="00F0725F"/>
    <w:rsid w:val="00F07330"/>
    <w:rsid w:val="00F0733F"/>
    <w:rsid w:val="00F07384"/>
    <w:rsid w:val="00F073A8"/>
    <w:rsid w:val="00F07509"/>
    <w:rsid w:val="00F0758F"/>
    <w:rsid w:val="00F07653"/>
    <w:rsid w:val="00F0768C"/>
    <w:rsid w:val="00F07790"/>
    <w:rsid w:val="00F07838"/>
    <w:rsid w:val="00F079BA"/>
    <w:rsid w:val="00F07BC2"/>
    <w:rsid w:val="00F07FF1"/>
    <w:rsid w:val="00F10004"/>
    <w:rsid w:val="00F1010D"/>
    <w:rsid w:val="00F10156"/>
    <w:rsid w:val="00F10258"/>
    <w:rsid w:val="00F102B3"/>
    <w:rsid w:val="00F105D9"/>
    <w:rsid w:val="00F10778"/>
    <w:rsid w:val="00F109C5"/>
    <w:rsid w:val="00F109D5"/>
    <w:rsid w:val="00F109D9"/>
    <w:rsid w:val="00F10A5B"/>
    <w:rsid w:val="00F10ABA"/>
    <w:rsid w:val="00F10E9B"/>
    <w:rsid w:val="00F10EB4"/>
    <w:rsid w:val="00F10EED"/>
    <w:rsid w:val="00F10F0D"/>
    <w:rsid w:val="00F10F65"/>
    <w:rsid w:val="00F110BA"/>
    <w:rsid w:val="00F11183"/>
    <w:rsid w:val="00F112B7"/>
    <w:rsid w:val="00F11300"/>
    <w:rsid w:val="00F116FE"/>
    <w:rsid w:val="00F11700"/>
    <w:rsid w:val="00F11733"/>
    <w:rsid w:val="00F117C4"/>
    <w:rsid w:val="00F117DE"/>
    <w:rsid w:val="00F118B1"/>
    <w:rsid w:val="00F118D0"/>
    <w:rsid w:val="00F11945"/>
    <w:rsid w:val="00F11A85"/>
    <w:rsid w:val="00F11B68"/>
    <w:rsid w:val="00F11D24"/>
    <w:rsid w:val="00F11DC1"/>
    <w:rsid w:val="00F11FC6"/>
    <w:rsid w:val="00F12079"/>
    <w:rsid w:val="00F120B6"/>
    <w:rsid w:val="00F121EF"/>
    <w:rsid w:val="00F123D4"/>
    <w:rsid w:val="00F123EA"/>
    <w:rsid w:val="00F124E5"/>
    <w:rsid w:val="00F1261B"/>
    <w:rsid w:val="00F12638"/>
    <w:rsid w:val="00F126A8"/>
    <w:rsid w:val="00F1278A"/>
    <w:rsid w:val="00F127C8"/>
    <w:rsid w:val="00F127DB"/>
    <w:rsid w:val="00F128C3"/>
    <w:rsid w:val="00F12B03"/>
    <w:rsid w:val="00F12BBA"/>
    <w:rsid w:val="00F12BF0"/>
    <w:rsid w:val="00F12CB6"/>
    <w:rsid w:val="00F12F59"/>
    <w:rsid w:val="00F12FCE"/>
    <w:rsid w:val="00F1303C"/>
    <w:rsid w:val="00F130F5"/>
    <w:rsid w:val="00F130F9"/>
    <w:rsid w:val="00F1310E"/>
    <w:rsid w:val="00F13179"/>
    <w:rsid w:val="00F131DA"/>
    <w:rsid w:val="00F1326D"/>
    <w:rsid w:val="00F13293"/>
    <w:rsid w:val="00F1349D"/>
    <w:rsid w:val="00F139D2"/>
    <w:rsid w:val="00F13A4A"/>
    <w:rsid w:val="00F13BEE"/>
    <w:rsid w:val="00F13C29"/>
    <w:rsid w:val="00F13C7B"/>
    <w:rsid w:val="00F13CFC"/>
    <w:rsid w:val="00F13D18"/>
    <w:rsid w:val="00F13F41"/>
    <w:rsid w:val="00F143AC"/>
    <w:rsid w:val="00F144C1"/>
    <w:rsid w:val="00F14560"/>
    <w:rsid w:val="00F14580"/>
    <w:rsid w:val="00F1467C"/>
    <w:rsid w:val="00F14725"/>
    <w:rsid w:val="00F147D9"/>
    <w:rsid w:val="00F14896"/>
    <w:rsid w:val="00F148E1"/>
    <w:rsid w:val="00F1497C"/>
    <w:rsid w:val="00F149DF"/>
    <w:rsid w:val="00F14AB9"/>
    <w:rsid w:val="00F14B99"/>
    <w:rsid w:val="00F14C33"/>
    <w:rsid w:val="00F14CE0"/>
    <w:rsid w:val="00F14D1C"/>
    <w:rsid w:val="00F14D4D"/>
    <w:rsid w:val="00F14E32"/>
    <w:rsid w:val="00F14F24"/>
    <w:rsid w:val="00F14F59"/>
    <w:rsid w:val="00F14FBD"/>
    <w:rsid w:val="00F150EC"/>
    <w:rsid w:val="00F152C5"/>
    <w:rsid w:val="00F152D8"/>
    <w:rsid w:val="00F1533E"/>
    <w:rsid w:val="00F155C3"/>
    <w:rsid w:val="00F156CD"/>
    <w:rsid w:val="00F15767"/>
    <w:rsid w:val="00F15823"/>
    <w:rsid w:val="00F15A33"/>
    <w:rsid w:val="00F15A6D"/>
    <w:rsid w:val="00F15B9D"/>
    <w:rsid w:val="00F15BBF"/>
    <w:rsid w:val="00F15C4C"/>
    <w:rsid w:val="00F15C64"/>
    <w:rsid w:val="00F15C67"/>
    <w:rsid w:val="00F15D9D"/>
    <w:rsid w:val="00F15DF1"/>
    <w:rsid w:val="00F15F0C"/>
    <w:rsid w:val="00F15F1D"/>
    <w:rsid w:val="00F15F55"/>
    <w:rsid w:val="00F15FC9"/>
    <w:rsid w:val="00F161D0"/>
    <w:rsid w:val="00F163B9"/>
    <w:rsid w:val="00F16427"/>
    <w:rsid w:val="00F1649C"/>
    <w:rsid w:val="00F164F9"/>
    <w:rsid w:val="00F1656A"/>
    <w:rsid w:val="00F16704"/>
    <w:rsid w:val="00F169B9"/>
    <w:rsid w:val="00F169F3"/>
    <w:rsid w:val="00F16A78"/>
    <w:rsid w:val="00F16A8D"/>
    <w:rsid w:val="00F16AED"/>
    <w:rsid w:val="00F16B1C"/>
    <w:rsid w:val="00F16B6B"/>
    <w:rsid w:val="00F16BDB"/>
    <w:rsid w:val="00F16E73"/>
    <w:rsid w:val="00F16E8A"/>
    <w:rsid w:val="00F16ED5"/>
    <w:rsid w:val="00F16F1E"/>
    <w:rsid w:val="00F16F33"/>
    <w:rsid w:val="00F16F42"/>
    <w:rsid w:val="00F16FAE"/>
    <w:rsid w:val="00F170AE"/>
    <w:rsid w:val="00F1718D"/>
    <w:rsid w:val="00F171B0"/>
    <w:rsid w:val="00F171DB"/>
    <w:rsid w:val="00F171FD"/>
    <w:rsid w:val="00F1729C"/>
    <w:rsid w:val="00F17517"/>
    <w:rsid w:val="00F1751B"/>
    <w:rsid w:val="00F1752F"/>
    <w:rsid w:val="00F17659"/>
    <w:rsid w:val="00F17777"/>
    <w:rsid w:val="00F177C6"/>
    <w:rsid w:val="00F179B2"/>
    <w:rsid w:val="00F17BAC"/>
    <w:rsid w:val="00F17BEC"/>
    <w:rsid w:val="00F17C6F"/>
    <w:rsid w:val="00F17EF0"/>
    <w:rsid w:val="00F17FB4"/>
    <w:rsid w:val="00F17FE3"/>
    <w:rsid w:val="00F200C1"/>
    <w:rsid w:val="00F20210"/>
    <w:rsid w:val="00F2031E"/>
    <w:rsid w:val="00F20374"/>
    <w:rsid w:val="00F203D5"/>
    <w:rsid w:val="00F20479"/>
    <w:rsid w:val="00F205CA"/>
    <w:rsid w:val="00F205E7"/>
    <w:rsid w:val="00F20614"/>
    <w:rsid w:val="00F209B9"/>
    <w:rsid w:val="00F20B5F"/>
    <w:rsid w:val="00F20E14"/>
    <w:rsid w:val="00F20EBD"/>
    <w:rsid w:val="00F20F84"/>
    <w:rsid w:val="00F20FCC"/>
    <w:rsid w:val="00F21006"/>
    <w:rsid w:val="00F2113F"/>
    <w:rsid w:val="00F2120B"/>
    <w:rsid w:val="00F21260"/>
    <w:rsid w:val="00F21389"/>
    <w:rsid w:val="00F21454"/>
    <w:rsid w:val="00F21580"/>
    <w:rsid w:val="00F21736"/>
    <w:rsid w:val="00F217AC"/>
    <w:rsid w:val="00F21852"/>
    <w:rsid w:val="00F21884"/>
    <w:rsid w:val="00F218B5"/>
    <w:rsid w:val="00F218BC"/>
    <w:rsid w:val="00F218DD"/>
    <w:rsid w:val="00F21921"/>
    <w:rsid w:val="00F2192C"/>
    <w:rsid w:val="00F21995"/>
    <w:rsid w:val="00F21A9C"/>
    <w:rsid w:val="00F21B8F"/>
    <w:rsid w:val="00F21ED2"/>
    <w:rsid w:val="00F21EEE"/>
    <w:rsid w:val="00F21F74"/>
    <w:rsid w:val="00F22070"/>
    <w:rsid w:val="00F220B9"/>
    <w:rsid w:val="00F2219C"/>
    <w:rsid w:val="00F22240"/>
    <w:rsid w:val="00F2234A"/>
    <w:rsid w:val="00F2239F"/>
    <w:rsid w:val="00F2253A"/>
    <w:rsid w:val="00F22550"/>
    <w:rsid w:val="00F2261C"/>
    <w:rsid w:val="00F227F9"/>
    <w:rsid w:val="00F2293A"/>
    <w:rsid w:val="00F22B4B"/>
    <w:rsid w:val="00F22B4D"/>
    <w:rsid w:val="00F22C6C"/>
    <w:rsid w:val="00F22CD4"/>
    <w:rsid w:val="00F22E0B"/>
    <w:rsid w:val="00F22EC5"/>
    <w:rsid w:val="00F2315D"/>
    <w:rsid w:val="00F2318C"/>
    <w:rsid w:val="00F23211"/>
    <w:rsid w:val="00F232CD"/>
    <w:rsid w:val="00F233AD"/>
    <w:rsid w:val="00F2344D"/>
    <w:rsid w:val="00F23508"/>
    <w:rsid w:val="00F23795"/>
    <w:rsid w:val="00F237C3"/>
    <w:rsid w:val="00F237E6"/>
    <w:rsid w:val="00F239AE"/>
    <w:rsid w:val="00F23A93"/>
    <w:rsid w:val="00F23CEA"/>
    <w:rsid w:val="00F23D6E"/>
    <w:rsid w:val="00F23E2C"/>
    <w:rsid w:val="00F23EB2"/>
    <w:rsid w:val="00F23ED1"/>
    <w:rsid w:val="00F23EF4"/>
    <w:rsid w:val="00F23EFE"/>
    <w:rsid w:val="00F23F64"/>
    <w:rsid w:val="00F2402F"/>
    <w:rsid w:val="00F2423C"/>
    <w:rsid w:val="00F242F7"/>
    <w:rsid w:val="00F2433E"/>
    <w:rsid w:val="00F24586"/>
    <w:rsid w:val="00F246D4"/>
    <w:rsid w:val="00F248B6"/>
    <w:rsid w:val="00F24A91"/>
    <w:rsid w:val="00F24B1C"/>
    <w:rsid w:val="00F24B7F"/>
    <w:rsid w:val="00F24BC5"/>
    <w:rsid w:val="00F24BEC"/>
    <w:rsid w:val="00F24CD5"/>
    <w:rsid w:val="00F24D73"/>
    <w:rsid w:val="00F24E3D"/>
    <w:rsid w:val="00F24F21"/>
    <w:rsid w:val="00F24FC8"/>
    <w:rsid w:val="00F2503C"/>
    <w:rsid w:val="00F25139"/>
    <w:rsid w:val="00F2519F"/>
    <w:rsid w:val="00F25251"/>
    <w:rsid w:val="00F25263"/>
    <w:rsid w:val="00F2556D"/>
    <w:rsid w:val="00F255D6"/>
    <w:rsid w:val="00F25608"/>
    <w:rsid w:val="00F25627"/>
    <w:rsid w:val="00F2572C"/>
    <w:rsid w:val="00F257FF"/>
    <w:rsid w:val="00F2588D"/>
    <w:rsid w:val="00F2590B"/>
    <w:rsid w:val="00F25A7B"/>
    <w:rsid w:val="00F25B2B"/>
    <w:rsid w:val="00F25B44"/>
    <w:rsid w:val="00F25B65"/>
    <w:rsid w:val="00F25BE4"/>
    <w:rsid w:val="00F25C4B"/>
    <w:rsid w:val="00F25E69"/>
    <w:rsid w:val="00F25F15"/>
    <w:rsid w:val="00F25F7F"/>
    <w:rsid w:val="00F2607D"/>
    <w:rsid w:val="00F261F6"/>
    <w:rsid w:val="00F262F8"/>
    <w:rsid w:val="00F26346"/>
    <w:rsid w:val="00F264D1"/>
    <w:rsid w:val="00F264E8"/>
    <w:rsid w:val="00F2653E"/>
    <w:rsid w:val="00F26554"/>
    <w:rsid w:val="00F265B2"/>
    <w:rsid w:val="00F267F9"/>
    <w:rsid w:val="00F2697C"/>
    <w:rsid w:val="00F2699C"/>
    <w:rsid w:val="00F26A10"/>
    <w:rsid w:val="00F26B66"/>
    <w:rsid w:val="00F26B97"/>
    <w:rsid w:val="00F26CE8"/>
    <w:rsid w:val="00F26DA5"/>
    <w:rsid w:val="00F26F5F"/>
    <w:rsid w:val="00F27017"/>
    <w:rsid w:val="00F273AC"/>
    <w:rsid w:val="00F273F7"/>
    <w:rsid w:val="00F274C1"/>
    <w:rsid w:val="00F2772A"/>
    <w:rsid w:val="00F27749"/>
    <w:rsid w:val="00F2788C"/>
    <w:rsid w:val="00F27A3E"/>
    <w:rsid w:val="00F27AC6"/>
    <w:rsid w:val="00F27BED"/>
    <w:rsid w:val="00F27CE5"/>
    <w:rsid w:val="00F27D46"/>
    <w:rsid w:val="00F30012"/>
    <w:rsid w:val="00F30019"/>
    <w:rsid w:val="00F30027"/>
    <w:rsid w:val="00F3011E"/>
    <w:rsid w:val="00F3012C"/>
    <w:rsid w:val="00F30137"/>
    <w:rsid w:val="00F301D3"/>
    <w:rsid w:val="00F301DE"/>
    <w:rsid w:val="00F3038C"/>
    <w:rsid w:val="00F30422"/>
    <w:rsid w:val="00F3053D"/>
    <w:rsid w:val="00F30605"/>
    <w:rsid w:val="00F30770"/>
    <w:rsid w:val="00F30A0B"/>
    <w:rsid w:val="00F30CA0"/>
    <w:rsid w:val="00F30DA4"/>
    <w:rsid w:val="00F30E64"/>
    <w:rsid w:val="00F30F70"/>
    <w:rsid w:val="00F3100C"/>
    <w:rsid w:val="00F3104E"/>
    <w:rsid w:val="00F3109A"/>
    <w:rsid w:val="00F31144"/>
    <w:rsid w:val="00F312EF"/>
    <w:rsid w:val="00F3130E"/>
    <w:rsid w:val="00F313A6"/>
    <w:rsid w:val="00F3142B"/>
    <w:rsid w:val="00F3143F"/>
    <w:rsid w:val="00F3154A"/>
    <w:rsid w:val="00F3162A"/>
    <w:rsid w:val="00F316C7"/>
    <w:rsid w:val="00F31760"/>
    <w:rsid w:val="00F31837"/>
    <w:rsid w:val="00F3190B"/>
    <w:rsid w:val="00F319AF"/>
    <w:rsid w:val="00F31C3F"/>
    <w:rsid w:val="00F31F35"/>
    <w:rsid w:val="00F31F87"/>
    <w:rsid w:val="00F3213F"/>
    <w:rsid w:val="00F32169"/>
    <w:rsid w:val="00F32176"/>
    <w:rsid w:val="00F323E7"/>
    <w:rsid w:val="00F324C5"/>
    <w:rsid w:val="00F3259B"/>
    <w:rsid w:val="00F32A35"/>
    <w:rsid w:val="00F32CF0"/>
    <w:rsid w:val="00F32EA7"/>
    <w:rsid w:val="00F33046"/>
    <w:rsid w:val="00F33225"/>
    <w:rsid w:val="00F332FF"/>
    <w:rsid w:val="00F33474"/>
    <w:rsid w:val="00F33592"/>
    <w:rsid w:val="00F335D6"/>
    <w:rsid w:val="00F335E9"/>
    <w:rsid w:val="00F3360C"/>
    <w:rsid w:val="00F33640"/>
    <w:rsid w:val="00F336A0"/>
    <w:rsid w:val="00F337A2"/>
    <w:rsid w:val="00F33832"/>
    <w:rsid w:val="00F338D4"/>
    <w:rsid w:val="00F33974"/>
    <w:rsid w:val="00F3398F"/>
    <w:rsid w:val="00F339F2"/>
    <w:rsid w:val="00F33A64"/>
    <w:rsid w:val="00F33B92"/>
    <w:rsid w:val="00F33CBB"/>
    <w:rsid w:val="00F33CC2"/>
    <w:rsid w:val="00F33E87"/>
    <w:rsid w:val="00F33EC7"/>
    <w:rsid w:val="00F33F42"/>
    <w:rsid w:val="00F33F94"/>
    <w:rsid w:val="00F33FD7"/>
    <w:rsid w:val="00F3405F"/>
    <w:rsid w:val="00F340FF"/>
    <w:rsid w:val="00F3416C"/>
    <w:rsid w:val="00F341CF"/>
    <w:rsid w:val="00F3427A"/>
    <w:rsid w:val="00F3432A"/>
    <w:rsid w:val="00F34544"/>
    <w:rsid w:val="00F34550"/>
    <w:rsid w:val="00F345D9"/>
    <w:rsid w:val="00F34628"/>
    <w:rsid w:val="00F346A6"/>
    <w:rsid w:val="00F34712"/>
    <w:rsid w:val="00F34975"/>
    <w:rsid w:val="00F349DD"/>
    <w:rsid w:val="00F34B63"/>
    <w:rsid w:val="00F34B65"/>
    <w:rsid w:val="00F34BEB"/>
    <w:rsid w:val="00F34C99"/>
    <w:rsid w:val="00F34CF1"/>
    <w:rsid w:val="00F34D5C"/>
    <w:rsid w:val="00F34F51"/>
    <w:rsid w:val="00F350A9"/>
    <w:rsid w:val="00F350DF"/>
    <w:rsid w:val="00F35152"/>
    <w:rsid w:val="00F35199"/>
    <w:rsid w:val="00F354CE"/>
    <w:rsid w:val="00F354DB"/>
    <w:rsid w:val="00F354EE"/>
    <w:rsid w:val="00F355B3"/>
    <w:rsid w:val="00F355EC"/>
    <w:rsid w:val="00F356AF"/>
    <w:rsid w:val="00F356D7"/>
    <w:rsid w:val="00F35945"/>
    <w:rsid w:val="00F359DB"/>
    <w:rsid w:val="00F35A83"/>
    <w:rsid w:val="00F35B5A"/>
    <w:rsid w:val="00F35CEC"/>
    <w:rsid w:val="00F35FE1"/>
    <w:rsid w:val="00F36050"/>
    <w:rsid w:val="00F3614E"/>
    <w:rsid w:val="00F361ED"/>
    <w:rsid w:val="00F3626A"/>
    <w:rsid w:val="00F363B2"/>
    <w:rsid w:val="00F364CF"/>
    <w:rsid w:val="00F36844"/>
    <w:rsid w:val="00F3698B"/>
    <w:rsid w:val="00F36A79"/>
    <w:rsid w:val="00F36A97"/>
    <w:rsid w:val="00F36C2A"/>
    <w:rsid w:val="00F36DC6"/>
    <w:rsid w:val="00F36E19"/>
    <w:rsid w:val="00F36E6B"/>
    <w:rsid w:val="00F36F81"/>
    <w:rsid w:val="00F36FB1"/>
    <w:rsid w:val="00F3717F"/>
    <w:rsid w:val="00F371E6"/>
    <w:rsid w:val="00F3730E"/>
    <w:rsid w:val="00F373D2"/>
    <w:rsid w:val="00F373ED"/>
    <w:rsid w:val="00F3754B"/>
    <w:rsid w:val="00F37619"/>
    <w:rsid w:val="00F37680"/>
    <w:rsid w:val="00F376B9"/>
    <w:rsid w:val="00F37934"/>
    <w:rsid w:val="00F379B1"/>
    <w:rsid w:val="00F379EA"/>
    <w:rsid w:val="00F37A36"/>
    <w:rsid w:val="00F37A57"/>
    <w:rsid w:val="00F37B11"/>
    <w:rsid w:val="00F37B67"/>
    <w:rsid w:val="00F37CFD"/>
    <w:rsid w:val="00F37D47"/>
    <w:rsid w:val="00F37DDB"/>
    <w:rsid w:val="00F37E4D"/>
    <w:rsid w:val="00F37F66"/>
    <w:rsid w:val="00F4009C"/>
    <w:rsid w:val="00F401F2"/>
    <w:rsid w:val="00F40493"/>
    <w:rsid w:val="00F404B4"/>
    <w:rsid w:val="00F4067E"/>
    <w:rsid w:val="00F406E6"/>
    <w:rsid w:val="00F40745"/>
    <w:rsid w:val="00F408A2"/>
    <w:rsid w:val="00F40956"/>
    <w:rsid w:val="00F40981"/>
    <w:rsid w:val="00F40B29"/>
    <w:rsid w:val="00F40B33"/>
    <w:rsid w:val="00F40C7B"/>
    <w:rsid w:val="00F40D20"/>
    <w:rsid w:val="00F40E1B"/>
    <w:rsid w:val="00F40ED2"/>
    <w:rsid w:val="00F40EF7"/>
    <w:rsid w:val="00F40EFC"/>
    <w:rsid w:val="00F4111E"/>
    <w:rsid w:val="00F41480"/>
    <w:rsid w:val="00F41490"/>
    <w:rsid w:val="00F41523"/>
    <w:rsid w:val="00F41591"/>
    <w:rsid w:val="00F415DA"/>
    <w:rsid w:val="00F4166E"/>
    <w:rsid w:val="00F41753"/>
    <w:rsid w:val="00F41B4A"/>
    <w:rsid w:val="00F41BE3"/>
    <w:rsid w:val="00F41C1B"/>
    <w:rsid w:val="00F41C76"/>
    <w:rsid w:val="00F41CF7"/>
    <w:rsid w:val="00F41D5C"/>
    <w:rsid w:val="00F41F6C"/>
    <w:rsid w:val="00F41FEB"/>
    <w:rsid w:val="00F4203B"/>
    <w:rsid w:val="00F420FD"/>
    <w:rsid w:val="00F4222D"/>
    <w:rsid w:val="00F42310"/>
    <w:rsid w:val="00F42365"/>
    <w:rsid w:val="00F42385"/>
    <w:rsid w:val="00F42475"/>
    <w:rsid w:val="00F425D3"/>
    <w:rsid w:val="00F4273D"/>
    <w:rsid w:val="00F427B5"/>
    <w:rsid w:val="00F42805"/>
    <w:rsid w:val="00F42880"/>
    <w:rsid w:val="00F428D5"/>
    <w:rsid w:val="00F42BC2"/>
    <w:rsid w:val="00F42C94"/>
    <w:rsid w:val="00F42CA9"/>
    <w:rsid w:val="00F42D66"/>
    <w:rsid w:val="00F42D8A"/>
    <w:rsid w:val="00F42DF0"/>
    <w:rsid w:val="00F430DD"/>
    <w:rsid w:val="00F43256"/>
    <w:rsid w:val="00F432CD"/>
    <w:rsid w:val="00F43357"/>
    <w:rsid w:val="00F433F3"/>
    <w:rsid w:val="00F43436"/>
    <w:rsid w:val="00F43451"/>
    <w:rsid w:val="00F43770"/>
    <w:rsid w:val="00F43772"/>
    <w:rsid w:val="00F43829"/>
    <w:rsid w:val="00F438CE"/>
    <w:rsid w:val="00F439B7"/>
    <w:rsid w:val="00F43A08"/>
    <w:rsid w:val="00F43B4D"/>
    <w:rsid w:val="00F43BA4"/>
    <w:rsid w:val="00F43E8C"/>
    <w:rsid w:val="00F43EC3"/>
    <w:rsid w:val="00F44064"/>
    <w:rsid w:val="00F4407B"/>
    <w:rsid w:val="00F4413D"/>
    <w:rsid w:val="00F4415E"/>
    <w:rsid w:val="00F44296"/>
    <w:rsid w:val="00F442C7"/>
    <w:rsid w:val="00F44392"/>
    <w:rsid w:val="00F4442F"/>
    <w:rsid w:val="00F4460B"/>
    <w:rsid w:val="00F44798"/>
    <w:rsid w:val="00F4479A"/>
    <w:rsid w:val="00F449D0"/>
    <w:rsid w:val="00F44A5E"/>
    <w:rsid w:val="00F44AEA"/>
    <w:rsid w:val="00F44C59"/>
    <w:rsid w:val="00F44E92"/>
    <w:rsid w:val="00F44F0B"/>
    <w:rsid w:val="00F44FB3"/>
    <w:rsid w:val="00F45072"/>
    <w:rsid w:val="00F45100"/>
    <w:rsid w:val="00F4521D"/>
    <w:rsid w:val="00F45236"/>
    <w:rsid w:val="00F4536F"/>
    <w:rsid w:val="00F454CC"/>
    <w:rsid w:val="00F456D3"/>
    <w:rsid w:val="00F4595C"/>
    <w:rsid w:val="00F459FF"/>
    <w:rsid w:val="00F45AFE"/>
    <w:rsid w:val="00F45C39"/>
    <w:rsid w:val="00F45C63"/>
    <w:rsid w:val="00F45CCB"/>
    <w:rsid w:val="00F45CFD"/>
    <w:rsid w:val="00F45D08"/>
    <w:rsid w:val="00F45D1C"/>
    <w:rsid w:val="00F45ED7"/>
    <w:rsid w:val="00F45F22"/>
    <w:rsid w:val="00F45FAA"/>
    <w:rsid w:val="00F46186"/>
    <w:rsid w:val="00F461A7"/>
    <w:rsid w:val="00F4636A"/>
    <w:rsid w:val="00F46394"/>
    <w:rsid w:val="00F463AD"/>
    <w:rsid w:val="00F466A9"/>
    <w:rsid w:val="00F468A6"/>
    <w:rsid w:val="00F468D3"/>
    <w:rsid w:val="00F468E2"/>
    <w:rsid w:val="00F469A1"/>
    <w:rsid w:val="00F46A67"/>
    <w:rsid w:val="00F46BC1"/>
    <w:rsid w:val="00F46BED"/>
    <w:rsid w:val="00F46F03"/>
    <w:rsid w:val="00F46F86"/>
    <w:rsid w:val="00F470E5"/>
    <w:rsid w:val="00F471A1"/>
    <w:rsid w:val="00F471C6"/>
    <w:rsid w:val="00F4733D"/>
    <w:rsid w:val="00F475BB"/>
    <w:rsid w:val="00F47600"/>
    <w:rsid w:val="00F4764C"/>
    <w:rsid w:val="00F478F6"/>
    <w:rsid w:val="00F47A8B"/>
    <w:rsid w:val="00F47ACA"/>
    <w:rsid w:val="00F47B14"/>
    <w:rsid w:val="00F47B49"/>
    <w:rsid w:val="00F47B70"/>
    <w:rsid w:val="00F47BAC"/>
    <w:rsid w:val="00F47C6E"/>
    <w:rsid w:val="00F47C89"/>
    <w:rsid w:val="00F47CCB"/>
    <w:rsid w:val="00F47D80"/>
    <w:rsid w:val="00F47DDA"/>
    <w:rsid w:val="00F4F4A8"/>
    <w:rsid w:val="00F500BB"/>
    <w:rsid w:val="00F501E9"/>
    <w:rsid w:val="00F5038C"/>
    <w:rsid w:val="00F50494"/>
    <w:rsid w:val="00F505E0"/>
    <w:rsid w:val="00F505E7"/>
    <w:rsid w:val="00F50626"/>
    <w:rsid w:val="00F50756"/>
    <w:rsid w:val="00F508D0"/>
    <w:rsid w:val="00F50946"/>
    <w:rsid w:val="00F50A7A"/>
    <w:rsid w:val="00F50BBF"/>
    <w:rsid w:val="00F50BFC"/>
    <w:rsid w:val="00F50E1A"/>
    <w:rsid w:val="00F50FE3"/>
    <w:rsid w:val="00F51016"/>
    <w:rsid w:val="00F51037"/>
    <w:rsid w:val="00F5109A"/>
    <w:rsid w:val="00F51328"/>
    <w:rsid w:val="00F515D7"/>
    <w:rsid w:val="00F51879"/>
    <w:rsid w:val="00F51A5C"/>
    <w:rsid w:val="00F51B11"/>
    <w:rsid w:val="00F51B5B"/>
    <w:rsid w:val="00F51BD8"/>
    <w:rsid w:val="00F51CDD"/>
    <w:rsid w:val="00F51CF8"/>
    <w:rsid w:val="00F51D03"/>
    <w:rsid w:val="00F51D57"/>
    <w:rsid w:val="00F51DBB"/>
    <w:rsid w:val="00F52017"/>
    <w:rsid w:val="00F520F4"/>
    <w:rsid w:val="00F522F7"/>
    <w:rsid w:val="00F52385"/>
    <w:rsid w:val="00F5259F"/>
    <w:rsid w:val="00F525BB"/>
    <w:rsid w:val="00F52617"/>
    <w:rsid w:val="00F529AA"/>
    <w:rsid w:val="00F52A0D"/>
    <w:rsid w:val="00F52EF2"/>
    <w:rsid w:val="00F52F52"/>
    <w:rsid w:val="00F5302E"/>
    <w:rsid w:val="00F5314C"/>
    <w:rsid w:val="00F531F9"/>
    <w:rsid w:val="00F53234"/>
    <w:rsid w:val="00F5334F"/>
    <w:rsid w:val="00F53466"/>
    <w:rsid w:val="00F534F7"/>
    <w:rsid w:val="00F53523"/>
    <w:rsid w:val="00F53564"/>
    <w:rsid w:val="00F53605"/>
    <w:rsid w:val="00F536B2"/>
    <w:rsid w:val="00F537AC"/>
    <w:rsid w:val="00F5385A"/>
    <w:rsid w:val="00F538E2"/>
    <w:rsid w:val="00F53AD1"/>
    <w:rsid w:val="00F53AF4"/>
    <w:rsid w:val="00F53B12"/>
    <w:rsid w:val="00F53B3C"/>
    <w:rsid w:val="00F53BAF"/>
    <w:rsid w:val="00F53FA8"/>
    <w:rsid w:val="00F5409A"/>
    <w:rsid w:val="00F540AA"/>
    <w:rsid w:val="00F5417A"/>
    <w:rsid w:val="00F541B5"/>
    <w:rsid w:val="00F5421F"/>
    <w:rsid w:val="00F54233"/>
    <w:rsid w:val="00F542F1"/>
    <w:rsid w:val="00F544F8"/>
    <w:rsid w:val="00F54515"/>
    <w:rsid w:val="00F5456D"/>
    <w:rsid w:val="00F5470B"/>
    <w:rsid w:val="00F5483C"/>
    <w:rsid w:val="00F54917"/>
    <w:rsid w:val="00F549F4"/>
    <w:rsid w:val="00F54AC9"/>
    <w:rsid w:val="00F54AFB"/>
    <w:rsid w:val="00F54BC4"/>
    <w:rsid w:val="00F54D64"/>
    <w:rsid w:val="00F54E2B"/>
    <w:rsid w:val="00F54E6B"/>
    <w:rsid w:val="00F54F94"/>
    <w:rsid w:val="00F54FA7"/>
    <w:rsid w:val="00F55037"/>
    <w:rsid w:val="00F550D1"/>
    <w:rsid w:val="00F5521F"/>
    <w:rsid w:val="00F555B2"/>
    <w:rsid w:val="00F555FE"/>
    <w:rsid w:val="00F55602"/>
    <w:rsid w:val="00F5562F"/>
    <w:rsid w:val="00F556C4"/>
    <w:rsid w:val="00F5571A"/>
    <w:rsid w:val="00F55799"/>
    <w:rsid w:val="00F558AA"/>
    <w:rsid w:val="00F55A39"/>
    <w:rsid w:val="00F55A9C"/>
    <w:rsid w:val="00F55CC3"/>
    <w:rsid w:val="00F55D66"/>
    <w:rsid w:val="00F55DD7"/>
    <w:rsid w:val="00F55DDC"/>
    <w:rsid w:val="00F55F8C"/>
    <w:rsid w:val="00F56038"/>
    <w:rsid w:val="00F560F0"/>
    <w:rsid w:val="00F56100"/>
    <w:rsid w:val="00F56184"/>
    <w:rsid w:val="00F561B3"/>
    <w:rsid w:val="00F5622E"/>
    <w:rsid w:val="00F56248"/>
    <w:rsid w:val="00F562E5"/>
    <w:rsid w:val="00F5632E"/>
    <w:rsid w:val="00F56358"/>
    <w:rsid w:val="00F5638D"/>
    <w:rsid w:val="00F56697"/>
    <w:rsid w:val="00F566B0"/>
    <w:rsid w:val="00F566DA"/>
    <w:rsid w:val="00F566EB"/>
    <w:rsid w:val="00F566F2"/>
    <w:rsid w:val="00F56738"/>
    <w:rsid w:val="00F568D6"/>
    <w:rsid w:val="00F56903"/>
    <w:rsid w:val="00F56946"/>
    <w:rsid w:val="00F56A5F"/>
    <w:rsid w:val="00F56B35"/>
    <w:rsid w:val="00F56BCC"/>
    <w:rsid w:val="00F56E1C"/>
    <w:rsid w:val="00F56F60"/>
    <w:rsid w:val="00F5710D"/>
    <w:rsid w:val="00F571B4"/>
    <w:rsid w:val="00F57379"/>
    <w:rsid w:val="00F5737A"/>
    <w:rsid w:val="00F5741C"/>
    <w:rsid w:val="00F57623"/>
    <w:rsid w:val="00F57680"/>
    <w:rsid w:val="00F576EA"/>
    <w:rsid w:val="00F57798"/>
    <w:rsid w:val="00F577A1"/>
    <w:rsid w:val="00F577EF"/>
    <w:rsid w:val="00F578E2"/>
    <w:rsid w:val="00F57955"/>
    <w:rsid w:val="00F5799C"/>
    <w:rsid w:val="00F579BD"/>
    <w:rsid w:val="00F57A36"/>
    <w:rsid w:val="00F57A59"/>
    <w:rsid w:val="00F57A7C"/>
    <w:rsid w:val="00F57A92"/>
    <w:rsid w:val="00F57AC8"/>
    <w:rsid w:val="00F57C65"/>
    <w:rsid w:val="00F57D1D"/>
    <w:rsid w:val="00F57D81"/>
    <w:rsid w:val="00F57DF1"/>
    <w:rsid w:val="00F57F95"/>
    <w:rsid w:val="00F57FF2"/>
    <w:rsid w:val="00F60025"/>
    <w:rsid w:val="00F601C8"/>
    <w:rsid w:val="00F603C0"/>
    <w:rsid w:val="00F60448"/>
    <w:rsid w:val="00F60459"/>
    <w:rsid w:val="00F60556"/>
    <w:rsid w:val="00F605AF"/>
    <w:rsid w:val="00F6069B"/>
    <w:rsid w:val="00F606C9"/>
    <w:rsid w:val="00F609FF"/>
    <w:rsid w:val="00F60A96"/>
    <w:rsid w:val="00F60AB2"/>
    <w:rsid w:val="00F60BBC"/>
    <w:rsid w:val="00F60BC4"/>
    <w:rsid w:val="00F60D89"/>
    <w:rsid w:val="00F60D8F"/>
    <w:rsid w:val="00F60FB0"/>
    <w:rsid w:val="00F60FCD"/>
    <w:rsid w:val="00F61152"/>
    <w:rsid w:val="00F6115D"/>
    <w:rsid w:val="00F611B5"/>
    <w:rsid w:val="00F6122F"/>
    <w:rsid w:val="00F613B4"/>
    <w:rsid w:val="00F61475"/>
    <w:rsid w:val="00F615CE"/>
    <w:rsid w:val="00F61662"/>
    <w:rsid w:val="00F61A35"/>
    <w:rsid w:val="00F61AC1"/>
    <w:rsid w:val="00F61DA5"/>
    <w:rsid w:val="00F61F83"/>
    <w:rsid w:val="00F61FAC"/>
    <w:rsid w:val="00F61FD7"/>
    <w:rsid w:val="00F62112"/>
    <w:rsid w:val="00F6215B"/>
    <w:rsid w:val="00F622A7"/>
    <w:rsid w:val="00F623F3"/>
    <w:rsid w:val="00F62446"/>
    <w:rsid w:val="00F6253E"/>
    <w:rsid w:val="00F62621"/>
    <w:rsid w:val="00F626C1"/>
    <w:rsid w:val="00F6289B"/>
    <w:rsid w:val="00F629BF"/>
    <w:rsid w:val="00F62B91"/>
    <w:rsid w:val="00F62CAF"/>
    <w:rsid w:val="00F62DDC"/>
    <w:rsid w:val="00F62E39"/>
    <w:rsid w:val="00F62EC2"/>
    <w:rsid w:val="00F631AF"/>
    <w:rsid w:val="00F6322F"/>
    <w:rsid w:val="00F63244"/>
    <w:rsid w:val="00F632B1"/>
    <w:rsid w:val="00F634AD"/>
    <w:rsid w:val="00F6350B"/>
    <w:rsid w:val="00F63689"/>
    <w:rsid w:val="00F63772"/>
    <w:rsid w:val="00F63876"/>
    <w:rsid w:val="00F6396D"/>
    <w:rsid w:val="00F63AD2"/>
    <w:rsid w:val="00F63B8E"/>
    <w:rsid w:val="00F63C37"/>
    <w:rsid w:val="00F63F81"/>
    <w:rsid w:val="00F64072"/>
    <w:rsid w:val="00F640F7"/>
    <w:rsid w:val="00F64132"/>
    <w:rsid w:val="00F641BE"/>
    <w:rsid w:val="00F64515"/>
    <w:rsid w:val="00F64527"/>
    <w:rsid w:val="00F6477F"/>
    <w:rsid w:val="00F64849"/>
    <w:rsid w:val="00F64904"/>
    <w:rsid w:val="00F6498C"/>
    <w:rsid w:val="00F6499D"/>
    <w:rsid w:val="00F64AD1"/>
    <w:rsid w:val="00F64AD2"/>
    <w:rsid w:val="00F64AFA"/>
    <w:rsid w:val="00F64BF4"/>
    <w:rsid w:val="00F64C20"/>
    <w:rsid w:val="00F64CCB"/>
    <w:rsid w:val="00F64CEA"/>
    <w:rsid w:val="00F64D02"/>
    <w:rsid w:val="00F64F3D"/>
    <w:rsid w:val="00F64FA0"/>
    <w:rsid w:val="00F6513E"/>
    <w:rsid w:val="00F651BA"/>
    <w:rsid w:val="00F6526D"/>
    <w:rsid w:val="00F653A6"/>
    <w:rsid w:val="00F65446"/>
    <w:rsid w:val="00F65487"/>
    <w:rsid w:val="00F654A4"/>
    <w:rsid w:val="00F655A9"/>
    <w:rsid w:val="00F655AA"/>
    <w:rsid w:val="00F655B9"/>
    <w:rsid w:val="00F656FF"/>
    <w:rsid w:val="00F658F1"/>
    <w:rsid w:val="00F65914"/>
    <w:rsid w:val="00F65A66"/>
    <w:rsid w:val="00F65DD9"/>
    <w:rsid w:val="00F65E3B"/>
    <w:rsid w:val="00F65E7A"/>
    <w:rsid w:val="00F65F39"/>
    <w:rsid w:val="00F65FE4"/>
    <w:rsid w:val="00F660A0"/>
    <w:rsid w:val="00F660EC"/>
    <w:rsid w:val="00F6611D"/>
    <w:rsid w:val="00F6626F"/>
    <w:rsid w:val="00F6632F"/>
    <w:rsid w:val="00F6641E"/>
    <w:rsid w:val="00F66573"/>
    <w:rsid w:val="00F66595"/>
    <w:rsid w:val="00F6680A"/>
    <w:rsid w:val="00F66831"/>
    <w:rsid w:val="00F66B40"/>
    <w:rsid w:val="00F66BAA"/>
    <w:rsid w:val="00F66BBB"/>
    <w:rsid w:val="00F66E0D"/>
    <w:rsid w:val="00F66E53"/>
    <w:rsid w:val="00F66F31"/>
    <w:rsid w:val="00F66FC0"/>
    <w:rsid w:val="00F67090"/>
    <w:rsid w:val="00F670CD"/>
    <w:rsid w:val="00F6733E"/>
    <w:rsid w:val="00F6735D"/>
    <w:rsid w:val="00F674EF"/>
    <w:rsid w:val="00F67559"/>
    <w:rsid w:val="00F6763D"/>
    <w:rsid w:val="00F67669"/>
    <w:rsid w:val="00F67872"/>
    <w:rsid w:val="00F679C7"/>
    <w:rsid w:val="00F679E9"/>
    <w:rsid w:val="00F67B19"/>
    <w:rsid w:val="00F67B5A"/>
    <w:rsid w:val="00F67C01"/>
    <w:rsid w:val="00F67D55"/>
    <w:rsid w:val="00F67DD7"/>
    <w:rsid w:val="00F67FCA"/>
    <w:rsid w:val="00F70048"/>
    <w:rsid w:val="00F70160"/>
    <w:rsid w:val="00F70199"/>
    <w:rsid w:val="00F7019C"/>
    <w:rsid w:val="00F70326"/>
    <w:rsid w:val="00F70560"/>
    <w:rsid w:val="00F7059C"/>
    <w:rsid w:val="00F70684"/>
    <w:rsid w:val="00F7069C"/>
    <w:rsid w:val="00F70747"/>
    <w:rsid w:val="00F70765"/>
    <w:rsid w:val="00F707C7"/>
    <w:rsid w:val="00F70864"/>
    <w:rsid w:val="00F709D8"/>
    <w:rsid w:val="00F70A25"/>
    <w:rsid w:val="00F70A34"/>
    <w:rsid w:val="00F70C5E"/>
    <w:rsid w:val="00F70CAE"/>
    <w:rsid w:val="00F70CD9"/>
    <w:rsid w:val="00F70CEC"/>
    <w:rsid w:val="00F70CFC"/>
    <w:rsid w:val="00F71029"/>
    <w:rsid w:val="00F71114"/>
    <w:rsid w:val="00F71744"/>
    <w:rsid w:val="00F718FC"/>
    <w:rsid w:val="00F719BE"/>
    <w:rsid w:val="00F71A47"/>
    <w:rsid w:val="00F71A53"/>
    <w:rsid w:val="00F71A72"/>
    <w:rsid w:val="00F71A8F"/>
    <w:rsid w:val="00F71AA5"/>
    <w:rsid w:val="00F71C58"/>
    <w:rsid w:val="00F71DAA"/>
    <w:rsid w:val="00F71DD6"/>
    <w:rsid w:val="00F71E07"/>
    <w:rsid w:val="00F71E72"/>
    <w:rsid w:val="00F72047"/>
    <w:rsid w:val="00F720B0"/>
    <w:rsid w:val="00F721B0"/>
    <w:rsid w:val="00F721C7"/>
    <w:rsid w:val="00F722A2"/>
    <w:rsid w:val="00F722B8"/>
    <w:rsid w:val="00F72342"/>
    <w:rsid w:val="00F723A2"/>
    <w:rsid w:val="00F723EF"/>
    <w:rsid w:val="00F7246D"/>
    <w:rsid w:val="00F7256A"/>
    <w:rsid w:val="00F7274F"/>
    <w:rsid w:val="00F72827"/>
    <w:rsid w:val="00F72A2E"/>
    <w:rsid w:val="00F72B06"/>
    <w:rsid w:val="00F72B3F"/>
    <w:rsid w:val="00F72B4F"/>
    <w:rsid w:val="00F72CE7"/>
    <w:rsid w:val="00F72DBC"/>
    <w:rsid w:val="00F7305B"/>
    <w:rsid w:val="00F73063"/>
    <w:rsid w:val="00F731F6"/>
    <w:rsid w:val="00F73278"/>
    <w:rsid w:val="00F732CF"/>
    <w:rsid w:val="00F73425"/>
    <w:rsid w:val="00F735A0"/>
    <w:rsid w:val="00F7367D"/>
    <w:rsid w:val="00F7367E"/>
    <w:rsid w:val="00F73732"/>
    <w:rsid w:val="00F737C1"/>
    <w:rsid w:val="00F737CC"/>
    <w:rsid w:val="00F738B6"/>
    <w:rsid w:val="00F73947"/>
    <w:rsid w:val="00F73A08"/>
    <w:rsid w:val="00F73A91"/>
    <w:rsid w:val="00F73CF6"/>
    <w:rsid w:val="00F73E63"/>
    <w:rsid w:val="00F73EA0"/>
    <w:rsid w:val="00F73F0B"/>
    <w:rsid w:val="00F73FA4"/>
    <w:rsid w:val="00F73FB7"/>
    <w:rsid w:val="00F74041"/>
    <w:rsid w:val="00F740F0"/>
    <w:rsid w:val="00F743C3"/>
    <w:rsid w:val="00F74413"/>
    <w:rsid w:val="00F744BE"/>
    <w:rsid w:val="00F74553"/>
    <w:rsid w:val="00F74635"/>
    <w:rsid w:val="00F74730"/>
    <w:rsid w:val="00F74A14"/>
    <w:rsid w:val="00F74AE6"/>
    <w:rsid w:val="00F74B74"/>
    <w:rsid w:val="00F74B75"/>
    <w:rsid w:val="00F74C38"/>
    <w:rsid w:val="00F74C98"/>
    <w:rsid w:val="00F74EB3"/>
    <w:rsid w:val="00F7505B"/>
    <w:rsid w:val="00F750EB"/>
    <w:rsid w:val="00F75101"/>
    <w:rsid w:val="00F7522A"/>
    <w:rsid w:val="00F75275"/>
    <w:rsid w:val="00F75323"/>
    <w:rsid w:val="00F75378"/>
    <w:rsid w:val="00F753A5"/>
    <w:rsid w:val="00F754A2"/>
    <w:rsid w:val="00F7558F"/>
    <w:rsid w:val="00F75590"/>
    <w:rsid w:val="00F75714"/>
    <w:rsid w:val="00F757AF"/>
    <w:rsid w:val="00F757D6"/>
    <w:rsid w:val="00F758CC"/>
    <w:rsid w:val="00F75937"/>
    <w:rsid w:val="00F75958"/>
    <w:rsid w:val="00F759D2"/>
    <w:rsid w:val="00F759F7"/>
    <w:rsid w:val="00F75AD0"/>
    <w:rsid w:val="00F75AE0"/>
    <w:rsid w:val="00F75B99"/>
    <w:rsid w:val="00F75DBA"/>
    <w:rsid w:val="00F75E09"/>
    <w:rsid w:val="00F75E73"/>
    <w:rsid w:val="00F75EA7"/>
    <w:rsid w:val="00F76302"/>
    <w:rsid w:val="00F7644E"/>
    <w:rsid w:val="00F7662A"/>
    <w:rsid w:val="00F7677F"/>
    <w:rsid w:val="00F76AF0"/>
    <w:rsid w:val="00F76C5A"/>
    <w:rsid w:val="00F76E24"/>
    <w:rsid w:val="00F76ECF"/>
    <w:rsid w:val="00F76EE5"/>
    <w:rsid w:val="00F76FD0"/>
    <w:rsid w:val="00F770C1"/>
    <w:rsid w:val="00F77153"/>
    <w:rsid w:val="00F772FA"/>
    <w:rsid w:val="00F774CE"/>
    <w:rsid w:val="00F778AA"/>
    <w:rsid w:val="00F778B7"/>
    <w:rsid w:val="00F77AA3"/>
    <w:rsid w:val="00F77AF2"/>
    <w:rsid w:val="00F77B2F"/>
    <w:rsid w:val="00F77B35"/>
    <w:rsid w:val="00F77CBF"/>
    <w:rsid w:val="00F77E0B"/>
    <w:rsid w:val="00F77E17"/>
    <w:rsid w:val="00F77E3F"/>
    <w:rsid w:val="00F77E60"/>
    <w:rsid w:val="00F77E92"/>
    <w:rsid w:val="00F77EE2"/>
    <w:rsid w:val="00F8017F"/>
    <w:rsid w:val="00F80207"/>
    <w:rsid w:val="00F80370"/>
    <w:rsid w:val="00F80375"/>
    <w:rsid w:val="00F803D1"/>
    <w:rsid w:val="00F80444"/>
    <w:rsid w:val="00F80485"/>
    <w:rsid w:val="00F805BF"/>
    <w:rsid w:val="00F8093D"/>
    <w:rsid w:val="00F80AE3"/>
    <w:rsid w:val="00F80CA4"/>
    <w:rsid w:val="00F80CDF"/>
    <w:rsid w:val="00F80CFF"/>
    <w:rsid w:val="00F80E37"/>
    <w:rsid w:val="00F810BA"/>
    <w:rsid w:val="00F81158"/>
    <w:rsid w:val="00F811D7"/>
    <w:rsid w:val="00F812AD"/>
    <w:rsid w:val="00F812C0"/>
    <w:rsid w:val="00F812EF"/>
    <w:rsid w:val="00F81498"/>
    <w:rsid w:val="00F81771"/>
    <w:rsid w:val="00F817B2"/>
    <w:rsid w:val="00F81991"/>
    <w:rsid w:val="00F819D7"/>
    <w:rsid w:val="00F81B16"/>
    <w:rsid w:val="00F81D7D"/>
    <w:rsid w:val="00F81E7B"/>
    <w:rsid w:val="00F81E8E"/>
    <w:rsid w:val="00F820E2"/>
    <w:rsid w:val="00F82200"/>
    <w:rsid w:val="00F8225C"/>
    <w:rsid w:val="00F8226B"/>
    <w:rsid w:val="00F82290"/>
    <w:rsid w:val="00F822AE"/>
    <w:rsid w:val="00F82368"/>
    <w:rsid w:val="00F82578"/>
    <w:rsid w:val="00F828EB"/>
    <w:rsid w:val="00F82A1F"/>
    <w:rsid w:val="00F82A20"/>
    <w:rsid w:val="00F82B21"/>
    <w:rsid w:val="00F82B4B"/>
    <w:rsid w:val="00F82B4E"/>
    <w:rsid w:val="00F82B8D"/>
    <w:rsid w:val="00F82B9A"/>
    <w:rsid w:val="00F82BAB"/>
    <w:rsid w:val="00F82C88"/>
    <w:rsid w:val="00F83029"/>
    <w:rsid w:val="00F8306F"/>
    <w:rsid w:val="00F8318C"/>
    <w:rsid w:val="00F832E9"/>
    <w:rsid w:val="00F83347"/>
    <w:rsid w:val="00F83485"/>
    <w:rsid w:val="00F8351B"/>
    <w:rsid w:val="00F83645"/>
    <w:rsid w:val="00F83828"/>
    <w:rsid w:val="00F8391C"/>
    <w:rsid w:val="00F83A18"/>
    <w:rsid w:val="00F83C14"/>
    <w:rsid w:val="00F83CD1"/>
    <w:rsid w:val="00F83D44"/>
    <w:rsid w:val="00F83E70"/>
    <w:rsid w:val="00F83EBE"/>
    <w:rsid w:val="00F83EF6"/>
    <w:rsid w:val="00F83FAD"/>
    <w:rsid w:val="00F84141"/>
    <w:rsid w:val="00F84186"/>
    <w:rsid w:val="00F84280"/>
    <w:rsid w:val="00F84352"/>
    <w:rsid w:val="00F843EE"/>
    <w:rsid w:val="00F843F1"/>
    <w:rsid w:val="00F847B5"/>
    <w:rsid w:val="00F847CA"/>
    <w:rsid w:val="00F84929"/>
    <w:rsid w:val="00F84950"/>
    <w:rsid w:val="00F84BD0"/>
    <w:rsid w:val="00F84D17"/>
    <w:rsid w:val="00F84D20"/>
    <w:rsid w:val="00F84D25"/>
    <w:rsid w:val="00F84DB5"/>
    <w:rsid w:val="00F84DCC"/>
    <w:rsid w:val="00F84DFF"/>
    <w:rsid w:val="00F84E1A"/>
    <w:rsid w:val="00F84E30"/>
    <w:rsid w:val="00F84E4B"/>
    <w:rsid w:val="00F84F08"/>
    <w:rsid w:val="00F84F62"/>
    <w:rsid w:val="00F84F68"/>
    <w:rsid w:val="00F85129"/>
    <w:rsid w:val="00F85146"/>
    <w:rsid w:val="00F851C1"/>
    <w:rsid w:val="00F8529D"/>
    <w:rsid w:val="00F855B9"/>
    <w:rsid w:val="00F855E3"/>
    <w:rsid w:val="00F85617"/>
    <w:rsid w:val="00F8578A"/>
    <w:rsid w:val="00F858D2"/>
    <w:rsid w:val="00F859A4"/>
    <w:rsid w:val="00F85A07"/>
    <w:rsid w:val="00F85B03"/>
    <w:rsid w:val="00F85C1A"/>
    <w:rsid w:val="00F85CF2"/>
    <w:rsid w:val="00F85E38"/>
    <w:rsid w:val="00F85E83"/>
    <w:rsid w:val="00F85F96"/>
    <w:rsid w:val="00F8619E"/>
    <w:rsid w:val="00F8634F"/>
    <w:rsid w:val="00F86404"/>
    <w:rsid w:val="00F864D0"/>
    <w:rsid w:val="00F86622"/>
    <w:rsid w:val="00F86727"/>
    <w:rsid w:val="00F867CA"/>
    <w:rsid w:val="00F86901"/>
    <w:rsid w:val="00F86BF9"/>
    <w:rsid w:val="00F86BFE"/>
    <w:rsid w:val="00F86D82"/>
    <w:rsid w:val="00F86EE1"/>
    <w:rsid w:val="00F86EE2"/>
    <w:rsid w:val="00F86F3F"/>
    <w:rsid w:val="00F870B6"/>
    <w:rsid w:val="00F870F9"/>
    <w:rsid w:val="00F871AF"/>
    <w:rsid w:val="00F871F0"/>
    <w:rsid w:val="00F8727B"/>
    <w:rsid w:val="00F872A9"/>
    <w:rsid w:val="00F87388"/>
    <w:rsid w:val="00F87436"/>
    <w:rsid w:val="00F874DF"/>
    <w:rsid w:val="00F8763D"/>
    <w:rsid w:val="00F876EC"/>
    <w:rsid w:val="00F877A9"/>
    <w:rsid w:val="00F879D1"/>
    <w:rsid w:val="00F87B2E"/>
    <w:rsid w:val="00F87D25"/>
    <w:rsid w:val="00F87D8B"/>
    <w:rsid w:val="00F87DDD"/>
    <w:rsid w:val="00F87EF7"/>
    <w:rsid w:val="00F87F89"/>
    <w:rsid w:val="00F90008"/>
    <w:rsid w:val="00F9019F"/>
    <w:rsid w:val="00F90252"/>
    <w:rsid w:val="00F90279"/>
    <w:rsid w:val="00F90407"/>
    <w:rsid w:val="00F9041C"/>
    <w:rsid w:val="00F904B5"/>
    <w:rsid w:val="00F90541"/>
    <w:rsid w:val="00F90592"/>
    <w:rsid w:val="00F90841"/>
    <w:rsid w:val="00F908DD"/>
    <w:rsid w:val="00F90998"/>
    <w:rsid w:val="00F909A1"/>
    <w:rsid w:val="00F90C58"/>
    <w:rsid w:val="00F90C9B"/>
    <w:rsid w:val="00F90CA0"/>
    <w:rsid w:val="00F90EEF"/>
    <w:rsid w:val="00F913E8"/>
    <w:rsid w:val="00F91570"/>
    <w:rsid w:val="00F915EE"/>
    <w:rsid w:val="00F916EA"/>
    <w:rsid w:val="00F9177F"/>
    <w:rsid w:val="00F91867"/>
    <w:rsid w:val="00F9188D"/>
    <w:rsid w:val="00F9195A"/>
    <w:rsid w:val="00F919D4"/>
    <w:rsid w:val="00F91ABA"/>
    <w:rsid w:val="00F91AE6"/>
    <w:rsid w:val="00F91AFE"/>
    <w:rsid w:val="00F91D34"/>
    <w:rsid w:val="00F91D78"/>
    <w:rsid w:val="00F91D84"/>
    <w:rsid w:val="00F91F6F"/>
    <w:rsid w:val="00F920E7"/>
    <w:rsid w:val="00F920FB"/>
    <w:rsid w:val="00F9211A"/>
    <w:rsid w:val="00F921F9"/>
    <w:rsid w:val="00F92241"/>
    <w:rsid w:val="00F922FC"/>
    <w:rsid w:val="00F92355"/>
    <w:rsid w:val="00F92483"/>
    <w:rsid w:val="00F924FF"/>
    <w:rsid w:val="00F92575"/>
    <w:rsid w:val="00F92739"/>
    <w:rsid w:val="00F9275C"/>
    <w:rsid w:val="00F92A82"/>
    <w:rsid w:val="00F92AA8"/>
    <w:rsid w:val="00F92BAD"/>
    <w:rsid w:val="00F92C13"/>
    <w:rsid w:val="00F92C49"/>
    <w:rsid w:val="00F92EAE"/>
    <w:rsid w:val="00F92F4A"/>
    <w:rsid w:val="00F92FD6"/>
    <w:rsid w:val="00F932E1"/>
    <w:rsid w:val="00F93344"/>
    <w:rsid w:val="00F93622"/>
    <w:rsid w:val="00F939F6"/>
    <w:rsid w:val="00F93AB4"/>
    <w:rsid w:val="00F93B35"/>
    <w:rsid w:val="00F93B9C"/>
    <w:rsid w:val="00F93BF6"/>
    <w:rsid w:val="00F93CB5"/>
    <w:rsid w:val="00F93CE7"/>
    <w:rsid w:val="00F93DAD"/>
    <w:rsid w:val="00F93E0C"/>
    <w:rsid w:val="00F93E54"/>
    <w:rsid w:val="00F93E80"/>
    <w:rsid w:val="00F93ECF"/>
    <w:rsid w:val="00F93EE0"/>
    <w:rsid w:val="00F93F10"/>
    <w:rsid w:val="00F93FC4"/>
    <w:rsid w:val="00F9414F"/>
    <w:rsid w:val="00F942A9"/>
    <w:rsid w:val="00F94317"/>
    <w:rsid w:val="00F944E3"/>
    <w:rsid w:val="00F9458E"/>
    <w:rsid w:val="00F94672"/>
    <w:rsid w:val="00F94687"/>
    <w:rsid w:val="00F94759"/>
    <w:rsid w:val="00F948A7"/>
    <w:rsid w:val="00F948B9"/>
    <w:rsid w:val="00F9494A"/>
    <w:rsid w:val="00F94A2E"/>
    <w:rsid w:val="00F94A49"/>
    <w:rsid w:val="00F94CEA"/>
    <w:rsid w:val="00F94D06"/>
    <w:rsid w:val="00F94D15"/>
    <w:rsid w:val="00F94E91"/>
    <w:rsid w:val="00F94F53"/>
    <w:rsid w:val="00F94FBE"/>
    <w:rsid w:val="00F94FCA"/>
    <w:rsid w:val="00F95027"/>
    <w:rsid w:val="00F951D5"/>
    <w:rsid w:val="00F9530C"/>
    <w:rsid w:val="00F953BD"/>
    <w:rsid w:val="00F95534"/>
    <w:rsid w:val="00F955E1"/>
    <w:rsid w:val="00F95734"/>
    <w:rsid w:val="00F9574E"/>
    <w:rsid w:val="00F95982"/>
    <w:rsid w:val="00F95B15"/>
    <w:rsid w:val="00F95C51"/>
    <w:rsid w:val="00F95D6B"/>
    <w:rsid w:val="00F95E6A"/>
    <w:rsid w:val="00F95F9D"/>
    <w:rsid w:val="00F95FE1"/>
    <w:rsid w:val="00F961F6"/>
    <w:rsid w:val="00F963BF"/>
    <w:rsid w:val="00F9645C"/>
    <w:rsid w:val="00F964AB"/>
    <w:rsid w:val="00F96567"/>
    <w:rsid w:val="00F966CB"/>
    <w:rsid w:val="00F9677A"/>
    <w:rsid w:val="00F968B9"/>
    <w:rsid w:val="00F9690E"/>
    <w:rsid w:val="00F9693E"/>
    <w:rsid w:val="00F96A2E"/>
    <w:rsid w:val="00F96B52"/>
    <w:rsid w:val="00F96C91"/>
    <w:rsid w:val="00F96D0A"/>
    <w:rsid w:val="00F96DB8"/>
    <w:rsid w:val="00F96E57"/>
    <w:rsid w:val="00F96E6D"/>
    <w:rsid w:val="00F96ECB"/>
    <w:rsid w:val="00F96FDB"/>
    <w:rsid w:val="00F97032"/>
    <w:rsid w:val="00F97079"/>
    <w:rsid w:val="00F9709B"/>
    <w:rsid w:val="00F970E1"/>
    <w:rsid w:val="00F970F8"/>
    <w:rsid w:val="00F97127"/>
    <w:rsid w:val="00F97175"/>
    <w:rsid w:val="00F972CD"/>
    <w:rsid w:val="00F974CF"/>
    <w:rsid w:val="00F975FE"/>
    <w:rsid w:val="00F9774A"/>
    <w:rsid w:val="00F97819"/>
    <w:rsid w:val="00F978A9"/>
    <w:rsid w:val="00F979D9"/>
    <w:rsid w:val="00F97DC8"/>
    <w:rsid w:val="00F97E4F"/>
    <w:rsid w:val="00F97EA2"/>
    <w:rsid w:val="00FA000C"/>
    <w:rsid w:val="00FA0058"/>
    <w:rsid w:val="00FA00C9"/>
    <w:rsid w:val="00FA0262"/>
    <w:rsid w:val="00FA0271"/>
    <w:rsid w:val="00FA0320"/>
    <w:rsid w:val="00FA04C7"/>
    <w:rsid w:val="00FA054C"/>
    <w:rsid w:val="00FA0595"/>
    <w:rsid w:val="00FA073A"/>
    <w:rsid w:val="00FA0861"/>
    <w:rsid w:val="00FA08F8"/>
    <w:rsid w:val="00FA0916"/>
    <w:rsid w:val="00FA0982"/>
    <w:rsid w:val="00FA09FD"/>
    <w:rsid w:val="00FA0A1E"/>
    <w:rsid w:val="00FA0C1A"/>
    <w:rsid w:val="00FA0C58"/>
    <w:rsid w:val="00FA0CEF"/>
    <w:rsid w:val="00FA0D0B"/>
    <w:rsid w:val="00FA0D34"/>
    <w:rsid w:val="00FA0E15"/>
    <w:rsid w:val="00FA0E26"/>
    <w:rsid w:val="00FA0F67"/>
    <w:rsid w:val="00FA1038"/>
    <w:rsid w:val="00FA10CF"/>
    <w:rsid w:val="00FA11DD"/>
    <w:rsid w:val="00FA1313"/>
    <w:rsid w:val="00FA1348"/>
    <w:rsid w:val="00FA1541"/>
    <w:rsid w:val="00FA1578"/>
    <w:rsid w:val="00FA15C7"/>
    <w:rsid w:val="00FA1659"/>
    <w:rsid w:val="00FA168F"/>
    <w:rsid w:val="00FA17B0"/>
    <w:rsid w:val="00FA17EE"/>
    <w:rsid w:val="00FA1A19"/>
    <w:rsid w:val="00FA1ACB"/>
    <w:rsid w:val="00FA1B7B"/>
    <w:rsid w:val="00FA1DB7"/>
    <w:rsid w:val="00FA1E06"/>
    <w:rsid w:val="00FA2076"/>
    <w:rsid w:val="00FA21E8"/>
    <w:rsid w:val="00FA230D"/>
    <w:rsid w:val="00FA23B5"/>
    <w:rsid w:val="00FA2422"/>
    <w:rsid w:val="00FA24D0"/>
    <w:rsid w:val="00FA2519"/>
    <w:rsid w:val="00FA255F"/>
    <w:rsid w:val="00FA256D"/>
    <w:rsid w:val="00FA264B"/>
    <w:rsid w:val="00FA26F7"/>
    <w:rsid w:val="00FA2788"/>
    <w:rsid w:val="00FA2822"/>
    <w:rsid w:val="00FA287D"/>
    <w:rsid w:val="00FA28F2"/>
    <w:rsid w:val="00FA29B0"/>
    <w:rsid w:val="00FA29C9"/>
    <w:rsid w:val="00FA2A21"/>
    <w:rsid w:val="00FA2AE5"/>
    <w:rsid w:val="00FA2E4C"/>
    <w:rsid w:val="00FA2EDA"/>
    <w:rsid w:val="00FA2FB7"/>
    <w:rsid w:val="00FA2FE3"/>
    <w:rsid w:val="00FA3092"/>
    <w:rsid w:val="00FA3093"/>
    <w:rsid w:val="00FA30AE"/>
    <w:rsid w:val="00FA3167"/>
    <w:rsid w:val="00FA3280"/>
    <w:rsid w:val="00FA3386"/>
    <w:rsid w:val="00FA355C"/>
    <w:rsid w:val="00FA365C"/>
    <w:rsid w:val="00FA367B"/>
    <w:rsid w:val="00FA39FA"/>
    <w:rsid w:val="00FA3AF0"/>
    <w:rsid w:val="00FA3B97"/>
    <w:rsid w:val="00FA3C94"/>
    <w:rsid w:val="00FA3CB9"/>
    <w:rsid w:val="00FA3CCA"/>
    <w:rsid w:val="00FA3E44"/>
    <w:rsid w:val="00FA3F3F"/>
    <w:rsid w:val="00FA4108"/>
    <w:rsid w:val="00FA415E"/>
    <w:rsid w:val="00FA42C0"/>
    <w:rsid w:val="00FA432B"/>
    <w:rsid w:val="00FA44C9"/>
    <w:rsid w:val="00FA4571"/>
    <w:rsid w:val="00FA4621"/>
    <w:rsid w:val="00FA4A06"/>
    <w:rsid w:val="00FA4CEA"/>
    <w:rsid w:val="00FA4E50"/>
    <w:rsid w:val="00FA4F5B"/>
    <w:rsid w:val="00FA4FA3"/>
    <w:rsid w:val="00FA4FEF"/>
    <w:rsid w:val="00FA5215"/>
    <w:rsid w:val="00FA52AB"/>
    <w:rsid w:val="00FA5332"/>
    <w:rsid w:val="00FA53E6"/>
    <w:rsid w:val="00FA5593"/>
    <w:rsid w:val="00FA55CA"/>
    <w:rsid w:val="00FA567D"/>
    <w:rsid w:val="00FA57DF"/>
    <w:rsid w:val="00FA5827"/>
    <w:rsid w:val="00FA5843"/>
    <w:rsid w:val="00FA586A"/>
    <w:rsid w:val="00FA5AFC"/>
    <w:rsid w:val="00FA5B4E"/>
    <w:rsid w:val="00FA5D5C"/>
    <w:rsid w:val="00FA5E82"/>
    <w:rsid w:val="00FA5EC3"/>
    <w:rsid w:val="00FA5EC9"/>
    <w:rsid w:val="00FA5F7D"/>
    <w:rsid w:val="00FA5FAE"/>
    <w:rsid w:val="00FA5FFA"/>
    <w:rsid w:val="00FA6088"/>
    <w:rsid w:val="00FA6114"/>
    <w:rsid w:val="00FA61AD"/>
    <w:rsid w:val="00FA653F"/>
    <w:rsid w:val="00FA660E"/>
    <w:rsid w:val="00FA6639"/>
    <w:rsid w:val="00FA6651"/>
    <w:rsid w:val="00FA66A5"/>
    <w:rsid w:val="00FA66C2"/>
    <w:rsid w:val="00FA6728"/>
    <w:rsid w:val="00FA67A0"/>
    <w:rsid w:val="00FA67A2"/>
    <w:rsid w:val="00FA6871"/>
    <w:rsid w:val="00FA687E"/>
    <w:rsid w:val="00FA6880"/>
    <w:rsid w:val="00FA6A11"/>
    <w:rsid w:val="00FA6A25"/>
    <w:rsid w:val="00FA6ACD"/>
    <w:rsid w:val="00FA6B3D"/>
    <w:rsid w:val="00FA6B5E"/>
    <w:rsid w:val="00FA6BED"/>
    <w:rsid w:val="00FA6C1E"/>
    <w:rsid w:val="00FA6D0D"/>
    <w:rsid w:val="00FA6D94"/>
    <w:rsid w:val="00FA700C"/>
    <w:rsid w:val="00FA706B"/>
    <w:rsid w:val="00FA709A"/>
    <w:rsid w:val="00FA7190"/>
    <w:rsid w:val="00FA71C4"/>
    <w:rsid w:val="00FA71E7"/>
    <w:rsid w:val="00FA7294"/>
    <w:rsid w:val="00FA74E9"/>
    <w:rsid w:val="00FA7597"/>
    <w:rsid w:val="00FA7A30"/>
    <w:rsid w:val="00FA7AE3"/>
    <w:rsid w:val="00FA7B0F"/>
    <w:rsid w:val="00FA7C6F"/>
    <w:rsid w:val="00FA7CE7"/>
    <w:rsid w:val="00FA7D97"/>
    <w:rsid w:val="00FA7DE7"/>
    <w:rsid w:val="00FA7E9E"/>
    <w:rsid w:val="00FA7F7E"/>
    <w:rsid w:val="00FA7FD0"/>
    <w:rsid w:val="00FAFE5A"/>
    <w:rsid w:val="00FB0029"/>
    <w:rsid w:val="00FB00A1"/>
    <w:rsid w:val="00FB00F8"/>
    <w:rsid w:val="00FB02B3"/>
    <w:rsid w:val="00FB0347"/>
    <w:rsid w:val="00FB034C"/>
    <w:rsid w:val="00FB035F"/>
    <w:rsid w:val="00FB0437"/>
    <w:rsid w:val="00FB04E1"/>
    <w:rsid w:val="00FB0524"/>
    <w:rsid w:val="00FB05F5"/>
    <w:rsid w:val="00FB064B"/>
    <w:rsid w:val="00FB0703"/>
    <w:rsid w:val="00FB0962"/>
    <w:rsid w:val="00FB0AEB"/>
    <w:rsid w:val="00FB0C7E"/>
    <w:rsid w:val="00FB0D73"/>
    <w:rsid w:val="00FB0E00"/>
    <w:rsid w:val="00FB0F3F"/>
    <w:rsid w:val="00FB10FE"/>
    <w:rsid w:val="00FB12A2"/>
    <w:rsid w:val="00FB1308"/>
    <w:rsid w:val="00FB145C"/>
    <w:rsid w:val="00FB161C"/>
    <w:rsid w:val="00FB1682"/>
    <w:rsid w:val="00FB1761"/>
    <w:rsid w:val="00FB1812"/>
    <w:rsid w:val="00FB1B1B"/>
    <w:rsid w:val="00FB1B40"/>
    <w:rsid w:val="00FB1B68"/>
    <w:rsid w:val="00FB1D07"/>
    <w:rsid w:val="00FB1D12"/>
    <w:rsid w:val="00FB1DA2"/>
    <w:rsid w:val="00FB1F53"/>
    <w:rsid w:val="00FB20C6"/>
    <w:rsid w:val="00FB213D"/>
    <w:rsid w:val="00FB265B"/>
    <w:rsid w:val="00FB2915"/>
    <w:rsid w:val="00FB291D"/>
    <w:rsid w:val="00FB29A6"/>
    <w:rsid w:val="00FB2B04"/>
    <w:rsid w:val="00FB2DD0"/>
    <w:rsid w:val="00FB2DEB"/>
    <w:rsid w:val="00FB2F4E"/>
    <w:rsid w:val="00FB3132"/>
    <w:rsid w:val="00FB31AD"/>
    <w:rsid w:val="00FB3378"/>
    <w:rsid w:val="00FB33D5"/>
    <w:rsid w:val="00FB343F"/>
    <w:rsid w:val="00FB3606"/>
    <w:rsid w:val="00FB3610"/>
    <w:rsid w:val="00FB3691"/>
    <w:rsid w:val="00FB3876"/>
    <w:rsid w:val="00FB3A28"/>
    <w:rsid w:val="00FB3A4C"/>
    <w:rsid w:val="00FB3C2A"/>
    <w:rsid w:val="00FB3F0E"/>
    <w:rsid w:val="00FB3F3D"/>
    <w:rsid w:val="00FB40F7"/>
    <w:rsid w:val="00FB4271"/>
    <w:rsid w:val="00FB42C0"/>
    <w:rsid w:val="00FB440A"/>
    <w:rsid w:val="00FB44C9"/>
    <w:rsid w:val="00FB47A1"/>
    <w:rsid w:val="00FB480D"/>
    <w:rsid w:val="00FB484D"/>
    <w:rsid w:val="00FB498E"/>
    <w:rsid w:val="00FB4B3F"/>
    <w:rsid w:val="00FB4B45"/>
    <w:rsid w:val="00FB4C0C"/>
    <w:rsid w:val="00FB4C26"/>
    <w:rsid w:val="00FB4C33"/>
    <w:rsid w:val="00FB4D23"/>
    <w:rsid w:val="00FB4DC0"/>
    <w:rsid w:val="00FB4DC1"/>
    <w:rsid w:val="00FB4E32"/>
    <w:rsid w:val="00FB4EF8"/>
    <w:rsid w:val="00FB4EFE"/>
    <w:rsid w:val="00FB4F4D"/>
    <w:rsid w:val="00FB4F85"/>
    <w:rsid w:val="00FB5216"/>
    <w:rsid w:val="00FB527C"/>
    <w:rsid w:val="00FB53FE"/>
    <w:rsid w:val="00FB5423"/>
    <w:rsid w:val="00FB5480"/>
    <w:rsid w:val="00FB5580"/>
    <w:rsid w:val="00FB5628"/>
    <w:rsid w:val="00FB5691"/>
    <w:rsid w:val="00FB56A7"/>
    <w:rsid w:val="00FB56EE"/>
    <w:rsid w:val="00FB571C"/>
    <w:rsid w:val="00FB5727"/>
    <w:rsid w:val="00FB575A"/>
    <w:rsid w:val="00FB57ED"/>
    <w:rsid w:val="00FB588A"/>
    <w:rsid w:val="00FB5A94"/>
    <w:rsid w:val="00FB5B82"/>
    <w:rsid w:val="00FB5C6C"/>
    <w:rsid w:val="00FB5D4C"/>
    <w:rsid w:val="00FB5D81"/>
    <w:rsid w:val="00FB5EE0"/>
    <w:rsid w:val="00FB602D"/>
    <w:rsid w:val="00FB608A"/>
    <w:rsid w:val="00FB608E"/>
    <w:rsid w:val="00FB6168"/>
    <w:rsid w:val="00FB623C"/>
    <w:rsid w:val="00FB6319"/>
    <w:rsid w:val="00FB6423"/>
    <w:rsid w:val="00FB642C"/>
    <w:rsid w:val="00FB6463"/>
    <w:rsid w:val="00FB6531"/>
    <w:rsid w:val="00FB6637"/>
    <w:rsid w:val="00FB665C"/>
    <w:rsid w:val="00FB6684"/>
    <w:rsid w:val="00FB697C"/>
    <w:rsid w:val="00FB699E"/>
    <w:rsid w:val="00FB69F9"/>
    <w:rsid w:val="00FB6C0D"/>
    <w:rsid w:val="00FB6D77"/>
    <w:rsid w:val="00FB6EC4"/>
    <w:rsid w:val="00FB7014"/>
    <w:rsid w:val="00FB701C"/>
    <w:rsid w:val="00FB7053"/>
    <w:rsid w:val="00FB7104"/>
    <w:rsid w:val="00FB7199"/>
    <w:rsid w:val="00FB71BF"/>
    <w:rsid w:val="00FB733E"/>
    <w:rsid w:val="00FB7357"/>
    <w:rsid w:val="00FB74C4"/>
    <w:rsid w:val="00FB769A"/>
    <w:rsid w:val="00FB771C"/>
    <w:rsid w:val="00FB7752"/>
    <w:rsid w:val="00FB77FC"/>
    <w:rsid w:val="00FB7842"/>
    <w:rsid w:val="00FB795F"/>
    <w:rsid w:val="00FB7AAA"/>
    <w:rsid w:val="00FB7B1E"/>
    <w:rsid w:val="00FB7DCB"/>
    <w:rsid w:val="00FC0034"/>
    <w:rsid w:val="00FC014D"/>
    <w:rsid w:val="00FC021A"/>
    <w:rsid w:val="00FC02B1"/>
    <w:rsid w:val="00FC02D9"/>
    <w:rsid w:val="00FC0437"/>
    <w:rsid w:val="00FC0753"/>
    <w:rsid w:val="00FC0789"/>
    <w:rsid w:val="00FC07BA"/>
    <w:rsid w:val="00FC0B05"/>
    <w:rsid w:val="00FC0B0D"/>
    <w:rsid w:val="00FC0C9C"/>
    <w:rsid w:val="00FC0EDE"/>
    <w:rsid w:val="00FC0F8A"/>
    <w:rsid w:val="00FC12FD"/>
    <w:rsid w:val="00FC139B"/>
    <w:rsid w:val="00FC1473"/>
    <w:rsid w:val="00FC14AD"/>
    <w:rsid w:val="00FC14BC"/>
    <w:rsid w:val="00FC1570"/>
    <w:rsid w:val="00FC1710"/>
    <w:rsid w:val="00FC17D7"/>
    <w:rsid w:val="00FC1894"/>
    <w:rsid w:val="00FC18CE"/>
    <w:rsid w:val="00FC1ABB"/>
    <w:rsid w:val="00FC1B07"/>
    <w:rsid w:val="00FC1C90"/>
    <w:rsid w:val="00FC1C92"/>
    <w:rsid w:val="00FC1DB0"/>
    <w:rsid w:val="00FC1E0A"/>
    <w:rsid w:val="00FC1E82"/>
    <w:rsid w:val="00FC1ECF"/>
    <w:rsid w:val="00FC1FF0"/>
    <w:rsid w:val="00FC2103"/>
    <w:rsid w:val="00FC21D2"/>
    <w:rsid w:val="00FC23FE"/>
    <w:rsid w:val="00FC2514"/>
    <w:rsid w:val="00FC2531"/>
    <w:rsid w:val="00FC263B"/>
    <w:rsid w:val="00FC27E6"/>
    <w:rsid w:val="00FC28DC"/>
    <w:rsid w:val="00FC28FE"/>
    <w:rsid w:val="00FC292B"/>
    <w:rsid w:val="00FC29BF"/>
    <w:rsid w:val="00FC2A26"/>
    <w:rsid w:val="00FC2B45"/>
    <w:rsid w:val="00FC2BEB"/>
    <w:rsid w:val="00FC2C52"/>
    <w:rsid w:val="00FC2C70"/>
    <w:rsid w:val="00FC2C95"/>
    <w:rsid w:val="00FC2CD4"/>
    <w:rsid w:val="00FC2E0E"/>
    <w:rsid w:val="00FC2E2B"/>
    <w:rsid w:val="00FC2EB8"/>
    <w:rsid w:val="00FC2F0D"/>
    <w:rsid w:val="00FC2F82"/>
    <w:rsid w:val="00FC310E"/>
    <w:rsid w:val="00FC320C"/>
    <w:rsid w:val="00FC3214"/>
    <w:rsid w:val="00FC328E"/>
    <w:rsid w:val="00FC3643"/>
    <w:rsid w:val="00FC3685"/>
    <w:rsid w:val="00FC37BF"/>
    <w:rsid w:val="00FC3A5C"/>
    <w:rsid w:val="00FC3B9F"/>
    <w:rsid w:val="00FC3BA8"/>
    <w:rsid w:val="00FC3C2F"/>
    <w:rsid w:val="00FC3CAA"/>
    <w:rsid w:val="00FC3D75"/>
    <w:rsid w:val="00FC3F0E"/>
    <w:rsid w:val="00FC4227"/>
    <w:rsid w:val="00FC447A"/>
    <w:rsid w:val="00FC44BA"/>
    <w:rsid w:val="00FC44E9"/>
    <w:rsid w:val="00FC461F"/>
    <w:rsid w:val="00FC46B2"/>
    <w:rsid w:val="00FC4762"/>
    <w:rsid w:val="00FC4826"/>
    <w:rsid w:val="00FC4A13"/>
    <w:rsid w:val="00FC4A22"/>
    <w:rsid w:val="00FC4ADB"/>
    <w:rsid w:val="00FC4B2A"/>
    <w:rsid w:val="00FC4B4C"/>
    <w:rsid w:val="00FC4BB9"/>
    <w:rsid w:val="00FC4E92"/>
    <w:rsid w:val="00FC4F10"/>
    <w:rsid w:val="00FC534A"/>
    <w:rsid w:val="00FC5507"/>
    <w:rsid w:val="00FC5679"/>
    <w:rsid w:val="00FC570D"/>
    <w:rsid w:val="00FC5803"/>
    <w:rsid w:val="00FC59C0"/>
    <w:rsid w:val="00FC5B86"/>
    <w:rsid w:val="00FC5B8B"/>
    <w:rsid w:val="00FC5D86"/>
    <w:rsid w:val="00FC5E93"/>
    <w:rsid w:val="00FC5EA4"/>
    <w:rsid w:val="00FC5F0D"/>
    <w:rsid w:val="00FC62C5"/>
    <w:rsid w:val="00FC6333"/>
    <w:rsid w:val="00FC648D"/>
    <w:rsid w:val="00FC699F"/>
    <w:rsid w:val="00FC6A8C"/>
    <w:rsid w:val="00FC6BCF"/>
    <w:rsid w:val="00FC6C2A"/>
    <w:rsid w:val="00FC6CB8"/>
    <w:rsid w:val="00FC6D3A"/>
    <w:rsid w:val="00FC6D7C"/>
    <w:rsid w:val="00FC6D99"/>
    <w:rsid w:val="00FC6DDD"/>
    <w:rsid w:val="00FC6F09"/>
    <w:rsid w:val="00FC6F40"/>
    <w:rsid w:val="00FC70CA"/>
    <w:rsid w:val="00FC725F"/>
    <w:rsid w:val="00FC743D"/>
    <w:rsid w:val="00FC7523"/>
    <w:rsid w:val="00FC754E"/>
    <w:rsid w:val="00FC7572"/>
    <w:rsid w:val="00FC77CE"/>
    <w:rsid w:val="00FC78D9"/>
    <w:rsid w:val="00FC7908"/>
    <w:rsid w:val="00FC7959"/>
    <w:rsid w:val="00FC7D3C"/>
    <w:rsid w:val="00FC7F3E"/>
    <w:rsid w:val="00FC7F41"/>
    <w:rsid w:val="00FD002A"/>
    <w:rsid w:val="00FD0202"/>
    <w:rsid w:val="00FD0478"/>
    <w:rsid w:val="00FD0570"/>
    <w:rsid w:val="00FD0584"/>
    <w:rsid w:val="00FD063D"/>
    <w:rsid w:val="00FD0678"/>
    <w:rsid w:val="00FD07CB"/>
    <w:rsid w:val="00FD0962"/>
    <w:rsid w:val="00FD0963"/>
    <w:rsid w:val="00FD0B8A"/>
    <w:rsid w:val="00FD0BBC"/>
    <w:rsid w:val="00FD0CB0"/>
    <w:rsid w:val="00FD0D5F"/>
    <w:rsid w:val="00FD0DC2"/>
    <w:rsid w:val="00FD0E81"/>
    <w:rsid w:val="00FD1026"/>
    <w:rsid w:val="00FD102B"/>
    <w:rsid w:val="00FD1050"/>
    <w:rsid w:val="00FD1337"/>
    <w:rsid w:val="00FD14A4"/>
    <w:rsid w:val="00FD1578"/>
    <w:rsid w:val="00FD1590"/>
    <w:rsid w:val="00FD1613"/>
    <w:rsid w:val="00FD1713"/>
    <w:rsid w:val="00FD1944"/>
    <w:rsid w:val="00FD1A10"/>
    <w:rsid w:val="00FD1F12"/>
    <w:rsid w:val="00FD1FE1"/>
    <w:rsid w:val="00FD208A"/>
    <w:rsid w:val="00FD2172"/>
    <w:rsid w:val="00FD2264"/>
    <w:rsid w:val="00FD22A2"/>
    <w:rsid w:val="00FD231F"/>
    <w:rsid w:val="00FD2702"/>
    <w:rsid w:val="00FD27D6"/>
    <w:rsid w:val="00FD282D"/>
    <w:rsid w:val="00FD2A42"/>
    <w:rsid w:val="00FD2ABE"/>
    <w:rsid w:val="00FD2D1C"/>
    <w:rsid w:val="00FD2E69"/>
    <w:rsid w:val="00FD2E6F"/>
    <w:rsid w:val="00FD2FE1"/>
    <w:rsid w:val="00FD313F"/>
    <w:rsid w:val="00FD338A"/>
    <w:rsid w:val="00FD394A"/>
    <w:rsid w:val="00FD39FE"/>
    <w:rsid w:val="00FD3B02"/>
    <w:rsid w:val="00FD3BF8"/>
    <w:rsid w:val="00FD3CB8"/>
    <w:rsid w:val="00FD3CC6"/>
    <w:rsid w:val="00FD3E53"/>
    <w:rsid w:val="00FD3F9F"/>
    <w:rsid w:val="00FD4022"/>
    <w:rsid w:val="00FD428D"/>
    <w:rsid w:val="00FD43E6"/>
    <w:rsid w:val="00FD44D4"/>
    <w:rsid w:val="00FD4507"/>
    <w:rsid w:val="00FD4560"/>
    <w:rsid w:val="00FD4604"/>
    <w:rsid w:val="00FD4BA5"/>
    <w:rsid w:val="00FD4BF6"/>
    <w:rsid w:val="00FD5316"/>
    <w:rsid w:val="00FD541C"/>
    <w:rsid w:val="00FD547D"/>
    <w:rsid w:val="00FD549B"/>
    <w:rsid w:val="00FD5581"/>
    <w:rsid w:val="00FD5596"/>
    <w:rsid w:val="00FD57AE"/>
    <w:rsid w:val="00FD5869"/>
    <w:rsid w:val="00FD5938"/>
    <w:rsid w:val="00FD5B1D"/>
    <w:rsid w:val="00FD5E14"/>
    <w:rsid w:val="00FD5E57"/>
    <w:rsid w:val="00FD5FED"/>
    <w:rsid w:val="00FD6077"/>
    <w:rsid w:val="00FD61C5"/>
    <w:rsid w:val="00FD61E2"/>
    <w:rsid w:val="00FD639C"/>
    <w:rsid w:val="00FD6465"/>
    <w:rsid w:val="00FD64B6"/>
    <w:rsid w:val="00FD66BD"/>
    <w:rsid w:val="00FD6817"/>
    <w:rsid w:val="00FD6830"/>
    <w:rsid w:val="00FD6966"/>
    <w:rsid w:val="00FD6A1E"/>
    <w:rsid w:val="00FD6B88"/>
    <w:rsid w:val="00FD6DA9"/>
    <w:rsid w:val="00FD6F4C"/>
    <w:rsid w:val="00FD6FE6"/>
    <w:rsid w:val="00FD7146"/>
    <w:rsid w:val="00FD7154"/>
    <w:rsid w:val="00FD731B"/>
    <w:rsid w:val="00FD7470"/>
    <w:rsid w:val="00FD74EA"/>
    <w:rsid w:val="00FD76C5"/>
    <w:rsid w:val="00FD777B"/>
    <w:rsid w:val="00FD77C7"/>
    <w:rsid w:val="00FD79B0"/>
    <w:rsid w:val="00FD7C44"/>
    <w:rsid w:val="00FD7CE8"/>
    <w:rsid w:val="00FD7D50"/>
    <w:rsid w:val="00FD7E85"/>
    <w:rsid w:val="00FD7F88"/>
    <w:rsid w:val="00FD7FCD"/>
    <w:rsid w:val="00FE009B"/>
    <w:rsid w:val="00FE00B1"/>
    <w:rsid w:val="00FE00CC"/>
    <w:rsid w:val="00FE00D2"/>
    <w:rsid w:val="00FE0131"/>
    <w:rsid w:val="00FE024A"/>
    <w:rsid w:val="00FE02EC"/>
    <w:rsid w:val="00FE045F"/>
    <w:rsid w:val="00FE05D2"/>
    <w:rsid w:val="00FE0708"/>
    <w:rsid w:val="00FE070C"/>
    <w:rsid w:val="00FE0784"/>
    <w:rsid w:val="00FE08C2"/>
    <w:rsid w:val="00FE08C8"/>
    <w:rsid w:val="00FE092D"/>
    <w:rsid w:val="00FE09A9"/>
    <w:rsid w:val="00FE09AC"/>
    <w:rsid w:val="00FE09B2"/>
    <w:rsid w:val="00FE0A41"/>
    <w:rsid w:val="00FE0AA7"/>
    <w:rsid w:val="00FE0B61"/>
    <w:rsid w:val="00FE0C44"/>
    <w:rsid w:val="00FE1013"/>
    <w:rsid w:val="00FE12B4"/>
    <w:rsid w:val="00FE130B"/>
    <w:rsid w:val="00FE14D5"/>
    <w:rsid w:val="00FE1531"/>
    <w:rsid w:val="00FE162D"/>
    <w:rsid w:val="00FE1668"/>
    <w:rsid w:val="00FE1759"/>
    <w:rsid w:val="00FE1773"/>
    <w:rsid w:val="00FE1850"/>
    <w:rsid w:val="00FE186E"/>
    <w:rsid w:val="00FE1976"/>
    <w:rsid w:val="00FE1A06"/>
    <w:rsid w:val="00FE1A1A"/>
    <w:rsid w:val="00FE1AA2"/>
    <w:rsid w:val="00FE1BB1"/>
    <w:rsid w:val="00FE1CFB"/>
    <w:rsid w:val="00FE1D8B"/>
    <w:rsid w:val="00FE1D95"/>
    <w:rsid w:val="00FE1E67"/>
    <w:rsid w:val="00FE1ED9"/>
    <w:rsid w:val="00FE1F52"/>
    <w:rsid w:val="00FE2077"/>
    <w:rsid w:val="00FE21CA"/>
    <w:rsid w:val="00FE22A0"/>
    <w:rsid w:val="00FE22C2"/>
    <w:rsid w:val="00FE2356"/>
    <w:rsid w:val="00FE236C"/>
    <w:rsid w:val="00FE24B1"/>
    <w:rsid w:val="00FE24EF"/>
    <w:rsid w:val="00FE2575"/>
    <w:rsid w:val="00FE2577"/>
    <w:rsid w:val="00FE27A7"/>
    <w:rsid w:val="00FE27B0"/>
    <w:rsid w:val="00FE286B"/>
    <w:rsid w:val="00FE29ED"/>
    <w:rsid w:val="00FE2A5F"/>
    <w:rsid w:val="00FE2A9D"/>
    <w:rsid w:val="00FE2B60"/>
    <w:rsid w:val="00FE2B93"/>
    <w:rsid w:val="00FE2BE8"/>
    <w:rsid w:val="00FE2C12"/>
    <w:rsid w:val="00FE2C19"/>
    <w:rsid w:val="00FE2EEB"/>
    <w:rsid w:val="00FE3004"/>
    <w:rsid w:val="00FE30A4"/>
    <w:rsid w:val="00FE30CA"/>
    <w:rsid w:val="00FE31AD"/>
    <w:rsid w:val="00FE31B3"/>
    <w:rsid w:val="00FE3259"/>
    <w:rsid w:val="00FE3298"/>
    <w:rsid w:val="00FE34B5"/>
    <w:rsid w:val="00FE359D"/>
    <w:rsid w:val="00FE35D5"/>
    <w:rsid w:val="00FE3660"/>
    <w:rsid w:val="00FE3796"/>
    <w:rsid w:val="00FE3797"/>
    <w:rsid w:val="00FE38EC"/>
    <w:rsid w:val="00FE3925"/>
    <w:rsid w:val="00FE3A0B"/>
    <w:rsid w:val="00FE3B55"/>
    <w:rsid w:val="00FE3B5A"/>
    <w:rsid w:val="00FE3B8A"/>
    <w:rsid w:val="00FE3E3B"/>
    <w:rsid w:val="00FE3F7A"/>
    <w:rsid w:val="00FE3FED"/>
    <w:rsid w:val="00FE40E7"/>
    <w:rsid w:val="00FE41A3"/>
    <w:rsid w:val="00FE4214"/>
    <w:rsid w:val="00FE422B"/>
    <w:rsid w:val="00FE430D"/>
    <w:rsid w:val="00FE439E"/>
    <w:rsid w:val="00FE43EF"/>
    <w:rsid w:val="00FE452F"/>
    <w:rsid w:val="00FE48F7"/>
    <w:rsid w:val="00FE4929"/>
    <w:rsid w:val="00FE49A3"/>
    <w:rsid w:val="00FE49F9"/>
    <w:rsid w:val="00FE4A04"/>
    <w:rsid w:val="00FE4B29"/>
    <w:rsid w:val="00FE4B6D"/>
    <w:rsid w:val="00FE4BE7"/>
    <w:rsid w:val="00FE4CC0"/>
    <w:rsid w:val="00FE4DA9"/>
    <w:rsid w:val="00FE4DAA"/>
    <w:rsid w:val="00FE4DCB"/>
    <w:rsid w:val="00FE4DD5"/>
    <w:rsid w:val="00FE4E08"/>
    <w:rsid w:val="00FE4E55"/>
    <w:rsid w:val="00FE4F81"/>
    <w:rsid w:val="00FE4F8D"/>
    <w:rsid w:val="00FE4FFF"/>
    <w:rsid w:val="00FE50B8"/>
    <w:rsid w:val="00FE5171"/>
    <w:rsid w:val="00FE5261"/>
    <w:rsid w:val="00FE54B2"/>
    <w:rsid w:val="00FE5575"/>
    <w:rsid w:val="00FE5686"/>
    <w:rsid w:val="00FE57C9"/>
    <w:rsid w:val="00FE57E5"/>
    <w:rsid w:val="00FE5848"/>
    <w:rsid w:val="00FE58C5"/>
    <w:rsid w:val="00FE58EF"/>
    <w:rsid w:val="00FE593C"/>
    <w:rsid w:val="00FE5AE1"/>
    <w:rsid w:val="00FE5BFC"/>
    <w:rsid w:val="00FE5C4A"/>
    <w:rsid w:val="00FE5EC9"/>
    <w:rsid w:val="00FE5F00"/>
    <w:rsid w:val="00FE60D6"/>
    <w:rsid w:val="00FE6167"/>
    <w:rsid w:val="00FE62C2"/>
    <w:rsid w:val="00FE6410"/>
    <w:rsid w:val="00FE64A6"/>
    <w:rsid w:val="00FE6644"/>
    <w:rsid w:val="00FE670E"/>
    <w:rsid w:val="00FE681A"/>
    <w:rsid w:val="00FE688C"/>
    <w:rsid w:val="00FE6973"/>
    <w:rsid w:val="00FE699F"/>
    <w:rsid w:val="00FE6A21"/>
    <w:rsid w:val="00FE6A8B"/>
    <w:rsid w:val="00FE6B71"/>
    <w:rsid w:val="00FE6C20"/>
    <w:rsid w:val="00FE6E98"/>
    <w:rsid w:val="00FE6EE5"/>
    <w:rsid w:val="00FE6F25"/>
    <w:rsid w:val="00FE6F73"/>
    <w:rsid w:val="00FE6FA1"/>
    <w:rsid w:val="00FE6FCD"/>
    <w:rsid w:val="00FE700B"/>
    <w:rsid w:val="00FE7237"/>
    <w:rsid w:val="00FE72C1"/>
    <w:rsid w:val="00FE758F"/>
    <w:rsid w:val="00FE75BF"/>
    <w:rsid w:val="00FE75C2"/>
    <w:rsid w:val="00FE75DF"/>
    <w:rsid w:val="00FE75E0"/>
    <w:rsid w:val="00FE7630"/>
    <w:rsid w:val="00FE76FA"/>
    <w:rsid w:val="00FE77C3"/>
    <w:rsid w:val="00FE789F"/>
    <w:rsid w:val="00FE78AB"/>
    <w:rsid w:val="00FE78DE"/>
    <w:rsid w:val="00FE7931"/>
    <w:rsid w:val="00FE7A18"/>
    <w:rsid w:val="00FE7A94"/>
    <w:rsid w:val="00FE7B68"/>
    <w:rsid w:val="00FE7C1C"/>
    <w:rsid w:val="00FE7CAF"/>
    <w:rsid w:val="00FE7E4D"/>
    <w:rsid w:val="00FF0075"/>
    <w:rsid w:val="00FF0246"/>
    <w:rsid w:val="00FF026D"/>
    <w:rsid w:val="00FF0364"/>
    <w:rsid w:val="00FF04B9"/>
    <w:rsid w:val="00FF0516"/>
    <w:rsid w:val="00FF05F2"/>
    <w:rsid w:val="00FF07DB"/>
    <w:rsid w:val="00FF0AC4"/>
    <w:rsid w:val="00FF0B2C"/>
    <w:rsid w:val="00FF0B79"/>
    <w:rsid w:val="00FF0C33"/>
    <w:rsid w:val="00FF0C76"/>
    <w:rsid w:val="00FF0D55"/>
    <w:rsid w:val="00FF10A8"/>
    <w:rsid w:val="00FF1221"/>
    <w:rsid w:val="00FF12A3"/>
    <w:rsid w:val="00FF12ED"/>
    <w:rsid w:val="00FF131A"/>
    <w:rsid w:val="00FF15E4"/>
    <w:rsid w:val="00FF1775"/>
    <w:rsid w:val="00FF1918"/>
    <w:rsid w:val="00FF19B2"/>
    <w:rsid w:val="00FF1E7A"/>
    <w:rsid w:val="00FF1EA7"/>
    <w:rsid w:val="00FF1F5A"/>
    <w:rsid w:val="00FF1FFA"/>
    <w:rsid w:val="00FF208B"/>
    <w:rsid w:val="00FF24CE"/>
    <w:rsid w:val="00FF287C"/>
    <w:rsid w:val="00FF2B4A"/>
    <w:rsid w:val="00FF2C16"/>
    <w:rsid w:val="00FF2CC8"/>
    <w:rsid w:val="00FF2D72"/>
    <w:rsid w:val="00FF2D89"/>
    <w:rsid w:val="00FF2D92"/>
    <w:rsid w:val="00FF2DE7"/>
    <w:rsid w:val="00FF2E64"/>
    <w:rsid w:val="00FF2E8F"/>
    <w:rsid w:val="00FF2E9B"/>
    <w:rsid w:val="00FF2ED2"/>
    <w:rsid w:val="00FF314B"/>
    <w:rsid w:val="00FF33F1"/>
    <w:rsid w:val="00FF3407"/>
    <w:rsid w:val="00FF3431"/>
    <w:rsid w:val="00FF3581"/>
    <w:rsid w:val="00FF36CD"/>
    <w:rsid w:val="00FF375C"/>
    <w:rsid w:val="00FF3844"/>
    <w:rsid w:val="00FF390B"/>
    <w:rsid w:val="00FF3968"/>
    <w:rsid w:val="00FF3B18"/>
    <w:rsid w:val="00FF3B41"/>
    <w:rsid w:val="00FF3CDF"/>
    <w:rsid w:val="00FF3CFD"/>
    <w:rsid w:val="00FF3D44"/>
    <w:rsid w:val="00FF3D4E"/>
    <w:rsid w:val="00FF3F46"/>
    <w:rsid w:val="00FF4201"/>
    <w:rsid w:val="00FF422D"/>
    <w:rsid w:val="00FF423C"/>
    <w:rsid w:val="00FF4271"/>
    <w:rsid w:val="00FF454D"/>
    <w:rsid w:val="00FF45BC"/>
    <w:rsid w:val="00FF47CF"/>
    <w:rsid w:val="00FF4996"/>
    <w:rsid w:val="00FF49BF"/>
    <w:rsid w:val="00FF4AA2"/>
    <w:rsid w:val="00FF4C1C"/>
    <w:rsid w:val="00FF4CF8"/>
    <w:rsid w:val="00FF4DCB"/>
    <w:rsid w:val="00FF4F1A"/>
    <w:rsid w:val="00FF4F62"/>
    <w:rsid w:val="00FF4FE9"/>
    <w:rsid w:val="00FF5093"/>
    <w:rsid w:val="00FF50E7"/>
    <w:rsid w:val="00FF50ED"/>
    <w:rsid w:val="00FF52AC"/>
    <w:rsid w:val="00FF5397"/>
    <w:rsid w:val="00FF546C"/>
    <w:rsid w:val="00FF549B"/>
    <w:rsid w:val="00FF54DA"/>
    <w:rsid w:val="00FF5771"/>
    <w:rsid w:val="00FF5860"/>
    <w:rsid w:val="00FF5954"/>
    <w:rsid w:val="00FF5A6C"/>
    <w:rsid w:val="00FF5B81"/>
    <w:rsid w:val="00FF5C71"/>
    <w:rsid w:val="00FF5EB0"/>
    <w:rsid w:val="00FF5F65"/>
    <w:rsid w:val="00FF5F6B"/>
    <w:rsid w:val="00FF5FA8"/>
    <w:rsid w:val="00FF6002"/>
    <w:rsid w:val="00FF6108"/>
    <w:rsid w:val="00FF63BB"/>
    <w:rsid w:val="00FF6481"/>
    <w:rsid w:val="00FF6490"/>
    <w:rsid w:val="00FF6519"/>
    <w:rsid w:val="00FF6534"/>
    <w:rsid w:val="00FF6762"/>
    <w:rsid w:val="00FF678F"/>
    <w:rsid w:val="00FF698D"/>
    <w:rsid w:val="00FF6DF7"/>
    <w:rsid w:val="00FF6E77"/>
    <w:rsid w:val="00FF6E9A"/>
    <w:rsid w:val="00FF7052"/>
    <w:rsid w:val="00FF7119"/>
    <w:rsid w:val="00FF7182"/>
    <w:rsid w:val="00FF71BB"/>
    <w:rsid w:val="00FF71FC"/>
    <w:rsid w:val="00FF7254"/>
    <w:rsid w:val="00FF728C"/>
    <w:rsid w:val="00FF739C"/>
    <w:rsid w:val="00FF7484"/>
    <w:rsid w:val="00FF74EC"/>
    <w:rsid w:val="00FF7517"/>
    <w:rsid w:val="00FF773F"/>
    <w:rsid w:val="00FF7851"/>
    <w:rsid w:val="00FF7963"/>
    <w:rsid w:val="00FF7B07"/>
    <w:rsid w:val="00FF7B14"/>
    <w:rsid w:val="00FF7B53"/>
    <w:rsid w:val="00FF7C4A"/>
    <w:rsid w:val="00FF7CBB"/>
    <w:rsid w:val="00FF7CBE"/>
    <w:rsid w:val="00FF7F61"/>
    <w:rsid w:val="00FF7F75"/>
    <w:rsid w:val="00FF7FE4"/>
    <w:rsid w:val="0100CC54"/>
    <w:rsid w:val="01019A8F"/>
    <w:rsid w:val="0102D77A"/>
    <w:rsid w:val="01049995"/>
    <w:rsid w:val="0104D27C"/>
    <w:rsid w:val="0105FE48"/>
    <w:rsid w:val="010E493F"/>
    <w:rsid w:val="01109577"/>
    <w:rsid w:val="01114FE8"/>
    <w:rsid w:val="01120413"/>
    <w:rsid w:val="01145D02"/>
    <w:rsid w:val="0115F904"/>
    <w:rsid w:val="01170641"/>
    <w:rsid w:val="01177F72"/>
    <w:rsid w:val="0117A77E"/>
    <w:rsid w:val="0118A111"/>
    <w:rsid w:val="011B13C5"/>
    <w:rsid w:val="011B42FC"/>
    <w:rsid w:val="011B51AB"/>
    <w:rsid w:val="011DD805"/>
    <w:rsid w:val="011E15FD"/>
    <w:rsid w:val="01218727"/>
    <w:rsid w:val="0121E43E"/>
    <w:rsid w:val="01224103"/>
    <w:rsid w:val="0122D30E"/>
    <w:rsid w:val="01253D65"/>
    <w:rsid w:val="0128D0BF"/>
    <w:rsid w:val="01291604"/>
    <w:rsid w:val="01297C48"/>
    <w:rsid w:val="012EC6E9"/>
    <w:rsid w:val="01315DD1"/>
    <w:rsid w:val="013396A7"/>
    <w:rsid w:val="0133A63F"/>
    <w:rsid w:val="01347BCF"/>
    <w:rsid w:val="0135C263"/>
    <w:rsid w:val="013758C3"/>
    <w:rsid w:val="013AC6A1"/>
    <w:rsid w:val="013C8270"/>
    <w:rsid w:val="013E1454"/>
    <w:rsid w:val="013F7884"/>
    <w:rsid w:val="01400EE0"/>
    <w:rsid w:val="01420AB4"/>
    <w:rsid w:val="0142FA9D"/>
    <w:rsid w:val="014653FC"/>
    <w:rsid w:val="0147E407"/>
    <w:rsid w:val="014B9B9C"/>
    <w:rsid w:val="014C4394"/>
    <w:rsid w:val="014C7364"/>
    <w:rsid w:val="014E7CE9"/>
    <w:rsid w:val="014FD0D8"/>
    <w:rsid w:val="015099DC"/>
    <w:rsid w:val="0151E070"/>
    <w:rsid w:val="01524ADC"/>
    <w:rsid w:val="0154ABD2"/>
    <w:rsid w:val="015669F1"/>
    <w:rsid w:val="01568546"/>
    <w:rsid w:val="01578B04"/>
    <w:rsid w:val="0157D129"/>
    <w:rsid w:val="01599271"/>
    <w:rsid w:val="015DA040"/>
    <w:rsid w:val="015DDE35"/>
    <w:rsid w:val="015F662E"/>
    <w:rsid w:val="01627F44"/>
    <w:rsid w:val="0162898D"/>
    <w:rsid w:val="0164147B"/>
    <w:rsid w:val="01648255"/>
    <w:rsid w:val="016823DD"/>
    <w:rsid w:val="016A1D50"/>
    <w:rsid w:val="016AD860"/>
    <w:rsid w:val="016DA1A5"/>
    <w:rsid w:val="016E5816"/>
    <w:rsid w:val="016E7C9F"/>
    <w:rsid w:val="016F0A5A"/>
    <w:rsid w:val="01709C32"/>
    <w:rsid w:val="0173A8A8"/>
    <w:rsid w:val="0173E941"/>
    <w:rsid w:val="0174579C"/>
    <w:rsid w:val="01760433"/>
    <w:rsid w:val="0176388E"/>
    <w:rsid w:val="017AA0CA"/>
    <w:rsid w:val="017B2980"/>
    <w:rsid w:val="017BF35E"/>
    <w:rsid w:val="0183DEAC"/>
    <w:rsid w:val="018633F7"/>
    <w:rsid w:val="0186BBA0"/>
    <w:rsid w:val="018BC40D"/>
    <w:rsid w:val="0190A2BE"/>
    <w:rsid w:val="01940135"/>
    <w:rsid w:val="0196413E"/>
    <w:rsid w:val="01973206"/>
    <w:rsid w:val="019787A6"/>
    <w:rsid w:val="019A3686"/>
    <w:rsid w:val="019A530F"/>
    <w:rsid w:val="019AADD8"/>
    <w:rsid w:val="019BF2CE"/>
    <w:rsid w:val="019D73DE"/>
    <w:rsid w:val="019EC7E1"/>
    <w:rsid w:val="019FD6BD"/>
    <w:rsid w:val="01A1579E"/>
    <w:rsid w:val="01A195C9"/>
    <w:rsid w:val="01A1DF45"/>
    <w:rsid w:val="01A2ABFF"/>
    <w:rsid w:val="01A5C5E8"/>
    <w:rsid w:val="01A69DC9"/>
    <w:rsid w:val="01A708F4"/>
    <w:rsid w:val="01A711BA"/>
    <w:rsid w:val="01A872AA"/>
    <w:rsid w:val="01AB4359"/>
    <w:rsid w:val="01AB91B7"/>
    <w:rsid w:val="01AF5EAA"/>
    <w:rsid w:val="01B0BB3E"/>
    <w:rsid w:val="01B23F13"/>
    <w:rsid w:val="01B2D410"/>
    <w:rsid w:val="01B2D5F9"/>
    <w:rsid w:val="01B398BC"/>
    <w:rsid w:val="01B57368"/>
    <w:rsid w:val="01B7463A"/>
    <w:rsid w:val="01BA0DDF"/>
    <w:rsid w:val="01BA15B8"/>
    <w:rsid w:val="01BA3250"/>
    <w:rsid w:val="01BD7A1D"/>
    <w:rsid w:val="01BDE52A"/>
    <w:rsid w:val="01BF38DE"/>
    <w:rsid w:val="01C0030A"/>
    <w:rsid w:val="01C90B03"/>
    <w:rsid w:val="01C98F2E"/>
    <w:rsid w:val="01CA0BE2"/>
    <w:rsid w:val="01CCAC4F"/>
    <w:rsid w:val="01CD6641"/>
    <w:rsid w:val="01CE30C6"/>
    <w:rsid w:val="01D1D11E"/>
    <w:rsid w:val="01D29F87"/>
    <w:rsid w:val="01D2C901"/>
    <w:rsid w:val="01D3F5D4"/>
    <w:rsid w:val="01D58288"/>
    <w:rsid w:val="01D5928D"/>
    <w:rsid w:val="01D9B828"/>
    <w:rsid w:val="01DAAFC9"/>
    <w:rsid w:val="01DB0F26"/>
    <w:rsid w:val="01DB1DFC"/>
    <w:rsid w:val="01DD8018"/>
    <w:rsid w:val="01E0CD33"/>
    <w:rsid w:val="01E33AB7"/>
    <w:rsid w:val="01E4C97A"/>
    <w:rsid w:val="01E59618"/>
    <w:rsid w:val="01E668B8"/>
    <w:rsid w:val="01E86DAC"/>
    <w:rsid w:val="01E880B8"/>
    <w:rsid w:val="01E9DD57"/>
    <w:rsid w:val="01EA6611"/>
    <w:rsid w:val="01EE2745"/>
    <w:rsid w:val="01EE27C7"/>
    <w:rsid w:val="01F13C11"/>
    <w:rsid w:val="01F1969D"/>
    <w:rsid w:val="01F1FCC2"/>
    <w:rsid w:val="01F2A6F6"/>
    <w:rsid w:val="01F3E110"/>
    <w:rsid w:val="01F3F3FF"/>
    <w:rsid w:val="01F45144"/>
    <w:rsid w:val="01F5BE87"/>
    <w:rsid w:val="01F710D0"/>
    <w:rsid w:val="01FC3C93"/>
    <w:rsid w:val="01FCB0C8"/>
    <w:rsid w:val="01FE839D"/>
    <w:rsid w:val="02005949"/>
    <w:rsid w:val="02009DA4"/>
    <w:rsid w:val="02019B7B"/>
    <w:rsid w:val="02027C26"/>
    <w:rsid w:val="0202951C"/>
    <w:rsid w:val="0203BF97"/>
    <w:rsid w:val="02054BD4"/>
    <w:rsid w:val="020573F4"/>
    <w:rsid w:val="020602D6"/>
    <w:rsid w:val="020AE2BE"/>
    <w:rsid w:val="020BA5AA"/>
    <w:rsid w:val="020BEBCD"/>
    <w:rsid w:val="020CB807"/>
    <w:rsid w:val="020DB165"/>
    <w:rsid w:val="0211FA42"/>
    <w:rsid w:val="02132624"/>
    <w:rsid w:val="02133868"/>
    <w:rsid w:val="0213582C"/>
    <w:rsid w:val="02137D27"/>
    <w:rsid w:val="0213AB96"/>
    <w:rsid w:val="0213AF0E"/>
    <w:rsid w:val="0214A89C"/>
    <w:rsid w:val="02159B60"/>
    <w:rsid w:val="0215BEC8"/>
    <w:rsid w:val="021902CF"/>
    <w:rsid w:val="021B38C5"/>
    <w:rsid w:val="021EBDF1"/>
    <w:rsid w:val="021FC17A"/>
    <w:rsid w:val="022126B0"/>
    <w:rsid w:val="0221A091"/>
    <w:rsid w:val="0222E4A2"/>
    <w:rsid w:val="02240610"/>
    <w:rsid w:val="0224504C"/>
    <w:rsid w:val="022800A0"/>
    <w:rsid w:val="0228B264"/>
    <w:rsid w:val="022A2F56"/>
    <w:rsid w:val="022ABB69"/>
    <w:rsid w:val="022C39CC"/>
    <w:rsid w:val="022CFBB8"/>
    <w:rsid w:val="022E30C0"/>
    <w:rsid w:val="022F0EAD"/>
    <w:rsid w:val="0231483E"/>
    <w:rsid w:val="0231FAB4"/>
    <w:rsid w:val="0234A86F"/>
    <w:rsid w:val="0234DAB2"/>
    <w:rsid w:val="0234E484"/>
    <w:rsid w:val="0235E277"/>
    <w:rsid w:val="0237179D"/>
    <w:rsid w:val="02387C67"/>
    <w:rsid w:val="02390445"/>
    <w:rsid w:val="023915F4"/>
    <w:rsid w:val="023C5509"/>
    <w:rsid w:val="023DA417"/>
    <w:rsid w:val="023E7C77"/>
    <w:rsid w:val="02411B7E"/>
    <w:rsid w:val="0241C9CE"/>
    <w:rsid w:val="0243F35E"/>
    <w:rsid w:val="02466AF3"/>
    <w:rsid w:val="0247642C"/>
    <w:rsid w:val="024A7AAB"/>
    <w:rsid w:val="024AECF8"/>
    <w:rsid w:val="024DD7B9"/>
    <w:rsid w:val="024F75DA"/>
    <w:rsid w:val="02502CEF"/>
    <w:rsid w:val="025063EF"/>
    <w:rsid w:val="02516F18"/>
    <w:rsid w:val="0253538B"/>
    <w:rsid w:val="02561232"/>
    <w:rsid w:val="0256129A"/>
    <w:rsid w:val="02573C8C"/>
    <w:rsid w:val="025B011E"/>
    <w:rsid w:val="025B649E"/>
    <w:rsid w:val="025C9FA7"/>
    <w:rsid w:val="025D8FE3"/>
    <w:rsid w:val="025FF47A"/>
    <w:rsid w:val="026035FA"/>
    <w:rsid w:val="0261633A"/>
    <w:rsid w:val="0261C296"/>
    <w:rsid w:val="02628833"/>
    <w:rsid w:val="02652140"/>
    <w:rsid w:val="026693EC"/>
    <w:rsid w:val="02676E89"/>
    <w:rsid w:val="0267B354"/>
    <w:rsid w:val="0267DB4E"/>
    <w:rsid w:val="02688B98"/>
    <w:rsid w:val="026B1DA7"/>
    <w:rsid w:val="026D91DB"/>
    <w:rsid w:val="0270994E"/>
    <w:rsid w:val="0271AA69"/>
    <w:rsid w:val="0272227D"/>
    <w:rsid w:val="02763165"/>
    <w:rsid w:val="02776C8C"/>
    <w:rsid w:val="027A8990"/>
    <w:rsid w:val="027BCA3B"/>
    <w:rsid w:val="027CAAF8"/>
    <w:rsid w:val="027DC76E"/>
    <w:rsid w:val="027E663C"/>
    <w:rsid w:val="027E8BEA"/>
    <w:rsid w:val="027EB9D4"/>
    <w:rsid w:val="0280F4AE"/>
    <w:rsid w:val="028128D2"/>
    <w:rsid w:val="02830E63"/>
    <w:rsid w:val="02837471"/>
    <w:rsid w:val="0283A238"/>
    <w:rsid w:val="02848900"/>
    <w:rsid w:val="028495AC"/>
    <w:rsid w:val="0285B4D2"/>
    <w:rsid w:val="02878AB3"/>
    <w:rsid w:val="028F32BE"/>
    <w:rsid w:val="0292DD2A"/>
    <w:rsid w:val="02932388"/>
    <w:rsid w:val="0293629E"/>
    <w:rsid w:val="02944C29"/>
    <w:rsid w:val="02945AA4"/>
    <w:rsid w:val="0295A176"/>
    <w:rsid w:val="0295FC84"/>
    <w:rsid w:val="029848CE"/>
    <w:rsid w:val="0299BA0A"/>
    <w:rsid w:val="029BC484"/>
    <w:rsid w:val="029C06AD"/>
    <w:rsid w:val="029CC370"/>
    <w:rsid w:val="029CE181"/>
    <w:rsid w:val="029E445E"/>
    <w:rsid w:val="02A3D254"/>
    <w:rsid w:val="02A43384"/>
    <w:rsid w:val="02A48947"/>
    <w:rsid w:val="02AA1A17"/>
    <w:rsid w:val="02AB4A59"/>
    <w:rsid w:val="02AB4B0C"/>
    <w:rsid w:val="02AB9419"/>
    <w:rsid w:val="02AC9197"/>
    <w:rsid w:val="02ACD450"/>
    <w:rsid w:val="02AD48E9"/>
    <w:rsid w:val="02B05840"/>
    <w:rsid w:val="02B0D52D"/>
    <w:rsid w:val="02B1FC6F"/>
    <w:rsid w:val="02B2148B"/>
    <w:rsid w:val="02B4A9B7"/>
    <w:rsid w:val="02B61F9F"/>
    <w:rsid w:val="02B659CC"/>
    <w:rsid w:val="02B6C0B0"/>
    <w:rsid w:val="02B74F10"/>
    <w:rsid w:val="02B8B4C9"/>
    <w:rsid w:val="02B99AAE"/>
    <w:rsid w:val="02BA3B1D"/>
    <w:rsid w:val="02BCEB3D"/>
    <w:rsid w:val="02BE64CF"/>
    <w:rsid w:val="02C207FE"/>
    <w:rsid w:val="02C2E6DD"/>
    <w:rsid w:val="02C53A4C"/>
    <w:rsid w:val="02C547AC"/>
    <w:rsid w:val="02C55C3D"/>
    <w:rsid w:val="02C94F3B"/>
    <w:rsid w:val="02CAC4DF"/>
    <w:rsid w:val="02CE71A6"/>
    <w:rsid w:val="02CEA841"/>
    <w:rsid w:val="02D5DD11"/>
    <w:rsid w:val="02D9ED3C"/>
    <w:rsid w:val="02DB98BF"/>
    <w:rsid w:val="02DBA84C"/>
    <w:rsid w:val="02DBE399"/>
    <w:rsid w:val="02DC7D58"/>
    <w:rsid w:val="02DE4C7D"/>
    <w:rsid w:val="02DEADE5"/>
    <w:rsid w:val="02DF3381"/>
    <w:rsid w:val="02DFD27E"/>
    <w:rsid w:val="02E1EBB0"/>
    <w:rsid w:val="02E5A013"/>
    <w:rsid w:val="02E65C27"/>
    <w:rsid w:val="02E85BB2"/>
    <w:rsid w:val="02E87F29"/>
    <w:rsid w:val="02EAA22B"/>
    <w:rsid w:val="02EBDC94"/>
    <w:rsid w:val="02ECBAA1"/>
    <w:rsid w:val="02EE2904"/>
    <w:rsid w:val="02EF712D"/>
    <w:rsid w:val="02F1D766"/>
    <w:rsid w:val="02F49C8D"/>
    <w:rsid w:val="02F4DF39"/>
    <w:rsid w:val="02F4FB04"/>
    <w:rsid w:val="02F56B55"/>
    <w:rsid w:val="02F631CF"/>
    <w:rsid w:val="02F8EF85"/>
    <w:rsid w:val="02FBA8BE"/>
    <w:rsid w:val="02FFA1B3"/>
    <w:rsid w:val="030024AA"/>
    <w:rsid w:val="030535EB"/>
    <w:rsid w:val="03085D3F"/>
    <w:rsid w:val="03095D7B"/>
    <w:rsid w:val="030A6C52"/>
    <w:rsid w:val="030F5F2D"/>
    <w:rsid w:val="030F8AB5"/>
    <w:rsid w:val="03151873"/>
    <w:rsid w:val="0319CC9E"/>
    <w:rsid w:val="031BE3D1"/>
    <w:rsid w:val="031E0455"/>
    <w:rsid w:val="031E521F"/>
    <w:rsid w:val="031F4347"/>
    <w:rsid w:val="031FA799"/>
    <w:rsid w:val="0320669C"/>
    <w:rsid w:val="03214A72"/>
    <w:rsid w:val="0321A3BD"/>
    <w:rsid w:val="0321A7AC"/>
    <w:rsid w:val="032409AA"/>
    <w:rsid w:val="0324FAAF"/>
    <w:rsid w:val="03271913"/>
    <w:rsid w:val="03275B1A"/>
    <w:rsid w:val="032A8EA0"/>
    <w:rsid w:val="032F5FD8"/>
    <w:rsid w:val="0330B846"/>
    <w:rsid w:val="0331423E"/>
    <w:rsid w:val="033152CA"/>
    <w:rsid w:val="03317223"/>
    <w:rsid w:val="0332BBBD"/>
    <w:rsid w:val="0333CD64"/>
    <w:rsid w:val="0333E557"/>
    <w:rsid w:val="03342BE0"/>
    <w:rsid w:val="03346587"/>
    <w:rsid w:val="03347B50"/>
    <w:rsid w:val="03372D1C"/>
    <w:rsid w:val="03375760"/>
    <w:rsid w:val="03378347"/>
    <w:rsid w:val="0338385E"/>
    <w:rsid w:val="0338B885"/>
    <w:rsid w:val="0339024E"/>
    <w:rsid w:val="033CA1EA"/>
    <w:rsid w:val="03433DE1"/>
    <w:rsid w:val="034417DD"/>
    <w:rsid w:val="0346ECCA"/>
    <w:rsid w:val="0347445B"/>
    <w:rsid w:val="0349B1A5"/>
    <w:rsid w:val="034A102C"/>
    <w:rsid w:val="034CEAE2"/>
    <w:rsid w:val="034F6CA9"/>
    <w:rsid w:val="03502F6B"/>
    <w:rsid w:val="0354EB50"/>
    <w:rsid w:val="035576D2"/>
    <w:rsid w:val="0355F6DE"/>
    <w:rsid w:val="03593AE6"/>
    <w:rsid w:val="035AAB3F"/>
    <w:rsid w:val="035CDCBC"/>
    <w:rsid w:val="035E9367"/>
    <w:rsid w:val="035F0BE5"/>
    <w:rsid w:val="035F0DA4"/>
    <w:rsid w:val="035FD8A4"/>
    <w:rsid w:val="0361CA4E"/>
    <w:rsid w:val="0364C390"/>
    <w:rsid w:val="0364F96A"/>
    <w:rsid w:val="03653256"/>
    <w:rsid w:val="03657A9D"/>
    <w:rsid w:val="036A33C6"/>
    <w:rsid w:val="036C82AB"/>
    <w:rsid w:val="036D4017"/>
    <w:rsid w:val="0370181F"/>
    <w:rsid w:val="037166F1"/>
    <w:rsid w:val="037388B6"/>
    <w:rsid w:val="0374CF81"/>
    <w:rsid w:val="0376A157"/>
    <w:rsid w:val="037955B6"/>
    <w:rsid w:val="037CD04B"/>
    <w:rsid w:val="037F9526"/>
    <w:rsid w:val="03812764"/>
    <w:rsid w:val="03829350"/>
    <w:rsid w:val="03835EAF"/>
    <w:rsid w:val="03848A1B"/>
    <w:rsid w:val="0384E957"/>
    <w:rsid w:val="038620E8"/>
    <w:rsid w:val="03872B5B"/>
    <w:rsid w:val="0388CE96"/>
    <w:rsid w:val="0388EADD"/>
    <w:rsid w:val="0389E82A"/>
    <w:rsid w:val="038B8FF8"/>
    <w:rsid w:val="038CA8B9"/>
    <w:rsid w:val="038EA6A5"/>
    <w:rsid w:val="038ED962"/>
    <w:rsid w:val="038F697C"/>
    <w:rsid w:val="038FFCC0"/>
    <w:rsid w:val="03927360"/>
    <w:rsid w:val="0393D986"/>
    <w:rsid w:val="039512CE"/>
    <w:rsid w:val="03963175"/>
    <w:rsid w:val="0397B27E"/>
    <w:rsid w:val="0397EDB0"/>
    <w:rsid w:val="03984141"/>
    <w:rsid w:val="039A6DF4"/>
    <w:rsid w:val="039B1BAA"/>
    <w:rsid w:val="039BDE5E"/>
    <w:rsid w:val="039C098F"/>
    <w:rsid w:val="039E492D"/>
    <w:rsid w:val="03A1A397"/>
    <w:rsid w:val="03A373EA"/>
    <w:rsid w:val="03A3C1FC"/>
    <w:rsid w:val="03A4A1CA"/>
    <w:rsid w:val="03A4A435"/>
    <w:rsid w:val="03A63237"/>
    <w:rsid w:val="03A8E2A5"/>
    <w:rsid w:val="03A9BA7B"/>
    <w:rsid w:val="03AA0EE3"/>
    <w:rsid w:val="03AA7FA0"/>
    <w:rsid w:val="03AB29A2"/>
    <w:rsid w:val="03AC31E7"/>
    <w:rsid w:val="03AC735F"/>
    <w:rsid w:val="03AD8DBA"/>
    <w:rsid w:val="03AE81EA"/>
    <w:rsid w:val="03B01083"/>
    <w:rsid w:val="03B0F464"/>
    <w:rsid w:val="03B12015"/>
    <w:rsid w:val="03B129C2"/>
    <w:rsid w:val="03B1AEBD"/>
    <w:rsid w:val="03B1C262"/>
    <w:rsid w:val="03B3B0E3"/>
    <w:rsid w:val="03BA0D09"/>
    <w:rsid w:val="03BACB1C"/>
    <w:rsid w:val="03BBD260"/>
    <w:rsid w:val="03BF43D7"/>
    <w:rsid w:val="03C0C13D"/>
    <w:rsid w:val="03C11BF3"/>
    <w:rsid w:val="03C18032"/>
    <w:rsid w:val="03C2634B"/>
    <w:rsid w:val="03C266F9"/>
    <w:rsid w:val="03C2FFDC"/>
    <w:rsid w:val="03C3C70E"/>
    <w:rsid w:val="03C71E46"/>
    <w:rsid w:val="03C93F7D"/>
    <w:rsid w:val="03CA2BAE"/>
    <w:rsid w:val="03CACDC5"/>
    <w:rsid w:val="03CD5A8D"/>
    <w:rsid w:val="03CF2B96"/>
    <w:rsid w:val="03D38578"/>
    <w:rsid w:val="03D77034"/>
    <w:rsid w:val="03D787D3"/>
    <w:rsid w:val="03D7AAFB"/>
    <w:rsid w:val="03D85A04"/>
    <w:rsid w:val="03D9EC3A"/>
    <w:rsid w:val="03DC0939"/>
    <w:rsid w:val="03DD3FD9"/>
    <w:rsid w:val="03DD4ACD"/>
    <w:rsid w:val="03DE60A3"/>
    <w:rsid w:val="03DE6820"/>
    <w:rsid w:val="03DEEDF3"/>
    <w:rsid w:val="03DF4550"/>
    <w:rsid w:val="03E0C09F"/>
    <w:rsid w:val="03E12805"/>
    <w:rsid w:val="03E1C66A"/>
    <w:rsid w:val="03E210FD"/>
    <w:rsid w:val="03E2FD52"/>
    <w:rsid w:val="03E323E1"/>
    <w:rsid w:val="03EB6D1E"/>
    <w:rsid w:val="03EBFFEF"/>
    <w:rsid w:val="03EC0BA4"/>
    <w:rsid w:val="03F14E15"/>
    <w:rsid w:val="03F1ECAB"/>
    <w:rsid w:val="03F2C662"/>
    <w:rsid w:val="03F35621"/>
    <w:rsid w:val="03F38DF3"/>
    <w:rsid w:val="03F3C392"/>
    <w:rsid w:val="03F46091"/>
    <w:rsid w:val="03F67E9C"/>
    <w:rsid w:val="03F840F5"/>
    <w:rsid w:val="03F8B0F6"/>
    <w:rsid w:val="03F94B31"/>
    <w:rsid w:val="03FB2DE7"/>
    <w:rsid w:val="03FC73F3"/>
    <w:rsid w:val="0400484A"/>
    <w:rsid w:val="0401CFE4"/>
    <w:rsid w:val="040380E8"/>
    <w:rsid w:val="04052B94"/>
    <w:rsid w:val="04094C91"/>
    <w:rsid w:val="0409540D"/>
    <w:rsid w:val="040ADC96"/>
    <w:rsid w:val="040EED39"/>
    <w:rsid w:val="040FC2A7"/>
    <w:rsid w:val="04119486"/>
    <w:rsid w:val="04130161"/>
    <w:rsid w:val="04150364"/>
    <w:rsid w:val="04150378"/>
    <w:rsid w:val="0415D3AB"/>
    <w:rsid w:val="041921C2"/>
    <w:rsid w:val="041BC796"/>
    <w:rsid w:val="041E6328"/>
    <w:rsid w:val="041FC5C2"/>
    <w:rsid w:val="041FD6F9"/>
    <w:rsid w:val="04228928"/>
    <w:rsid w:val="04257B0C"/>
    <w:rsid w:val="04261863"/>
    <w:rsid w:val="042C975F"/>
    <w:rsid w:val="0431C68A"/>
    <w:rsid w:val="043268AE"/>
    <w:rsid w:val="04345478"/>
    <w:rsid w:val="04349235"/>
    <w:rsid w:val="0435BFC3"/>
    <w:rsid w:val="043613C7"/>
    <w:rsid w:val="0436766B"/>
    <w:rsid w:val="0437CD1F"/>
    <w:rsid w:val="0438D84A"/>
    <w:rsid w:val="043D1D3E"/>
    <w:rsid w:val="043DD8F5"/>
    <w:rsid w:val="0440616A"/>
    <w:rsid w:val="04415D97"/>
    <w:rsid w:val="0444B0AD"/>
    <w:rsid w:val="04469D93"/>
    <w:rsid w:val="04471CD2"/>
    <w:rsid w:val="04484A73"/>
    <w:rsid w:val="04487DBC"/>
    <w:rsid w:val="0449607C"/>
    <w:rsid w:val="044A78D0"/>
    <w:rsid w:val="044CF847"/>
    <w:rsid w:val="044DB605"/>
    <w:rsid w:val="044FB8B0"/>
    <w:rsid w:val="045020D1"/>
    <w:rsid w:val="0454E887"/>
    <w:rsid w:val="0455DABC"/>
    <w:rsid w:val="0458D7B8"/>
    <w:rsid w:val="04591B29"/>
    <w:rsid w:val="045AD061"/>
    <w:rsid w:val="045B1021"/>
    <w:rsid w:val="045E084B"/>
    <w:rsid w:val="045EA3C2"/>
    <w:rsid w:val="046104A0"/>
    <w:rsid w:val="04620465"/>
    <w:rsid w:val="046271D4"/>
    <w:rsid w:val="0463C014"/>
    <w:rsid w:val="0464DEAA"/>
    <w:rsid w:val="04680707"/>
    <w:rsid w:val="04694223"/>
    <w:rsid w:val="046E22DA"/>
    <w:rsid w:val="046E3BA4"/>
    <w:rsid w:val="046FCBC7"/>
    <w:rsid w:val="047198CD"/>
    <w:rsid w:val="04759346"/>
    <w:rsid w:val="04765323"/>
    <w:rsid w:val="04775240"/>
    <w:rsid w:val="0477F777"/>
    <w:rsid w:val="047A605C"/>
    <w:rsid w:val="047C2D8B"/>
    <w:rsid w:val="047CD074"/>
    <w:rsid w:val="047E810C"/>
    <w:rsid w:val="047F064F"/>
    <w:rsid w:val="04800F68"/>
    <w:rsid w:val="04814A2F"/>
    <w:rsid w:val="0482902E"/>
    <w:rsid w:val="0483E3EC"/>
    <w:rsid w:val="048489D8"/>
    <w:rsid w:val="0487CA47"/>
    <w:rsid w:val="048A1795"/>
    <w:rsid w:val="048A94EF"/>
    <w:rsid w:val="048DE982"/>
    <w:rsid w:val="0490B2F3"/>
    <w:rsid w:val="0491907A"/>
    <w:rsid w:val="04937E6B"/>
    <w:rsid w:val="049452BE"/>
    <w:rsid w:val="0495C67D"/>
    <w:rsid w:val="0495F221"/>
    <w:rsid w:val="04964CE2"/>
    <w:rsid w:val="04966424"/>
    <w:rsid w:val="0496D7AC"/>
    <w:rsid w:val="04980CEE"/>
    <w:rsid w:val="04982653"/>
    <w:rsid w:val="049C0E83"/>
    <w:rsid w:val="049CEAD7"/>
    <w:rsid w:val="049E2EF3"/>
    <w:rsid w:val="049F0FAB"/>
    <w:rsid w:val="049F9F19"/>
    <w:rsid w:val="049FD196"/>
    <w:rsid w:val="049FEF31"/>
    <w:rsid w:val="04A2EB43"/>
    <w:rsid w:val="04A3243E"/>
    <w:rsid w:val="04A38B85"/>
    <w:rsid w:val="04A452E1"/>
    <w:rsid w:val="04A4D00F"/>
    <w:rsid w:val="04A69327"/>
    <w:rsid w:val="04A6A7BF"/>
    <w:rsid w:val="04A6D558"/>
    <w:rsid w:val="04AA3DEE"/>
    <w:rsid w:val="04AB86CF"/>
    <w:rsid w:val="04AC3D9A"/>
    <w:rsid w:val="04ACA245"/>
    <w:rsid w:val="04ADCB9A"/>
    <w:rsid w:val="04ADD8A3"/>
    <w:rsid w:val="04AEB676"/>
    <w:rsid w:val="04B06D83"/>
    <w:rsid w:val="04B0B10D"/>
    <w:rsid w:val="04B3AB67"/>
    <w:rsid w:val="04B6039B"/>
    <w:rsid w:val="04B7A165"/>
    <w:rsid w:val="04BC9A58"/>
    <w:rsid w:val="04BD517D"/>
    <w:rsid w:val="04BE10CA"/>
    <w:rsid w:val="04C0B1A4"/>
    <w:rsid w:val="04C45254"/>
    <w:rsid w:val="04C4F0B2"/>
    <w:rsid w:val="04C55B15"/>
    <w:rsid w:val="04C67D59"/>
    <w:rsid w:val="04C746AD"/>
    <w:rsid w:val="04C7AE5D"/>
    <w:rsid w:val="04C871B1"/>
    <w:rsid w:val="04C8FF28"/>
    <w:rsid w:val="04CA38CD"/>
    <w:rsid w:val="04CA9D82"/>
    <w:rsid w:val="04CB740D"/>
    <w:rsid w:val="04CCA1FD"/>
    <w:rsid w:val="04CD61F6"/>
    <w:rsid w:val="04CDA3C7"/>
    <w:rsid w:val="04D02ED9"/>
    <w:rsid w:val="04D1AB3C"/>
    <w:rsid w:val="04D1B654"/>
    <w:rsid w:val="04D2C864"/>
    <w:rsid w:val="04D3CD55"/>
    <w:rsid w:val="04D4EEFE"/>
    <w:rsid w:val="04D55AEC"/>
    <w:rsid w:val="04D5B6DD"/>
    <w:rsid w:val="04D5CEBA"/>
    <w:rsid w:val="04D6D601"/>
    <w:rsid w:val="04D786FE"/>
    <w:rsid w:val="04D78D5C"/>
    <w:rsid w:val="04D8091D"/>
    <w:rsid w:val="04D8E129"/>
    <w:rsid w:val="04DF59E2"/>
    <w:rsid w:val="04E1770E"/>
    <w:rsid w:val="04E17975"/>
    <w:rsid w:val="04E5E42B"/>
    <w:rsid w:val="04E6A93A"/>
    <w:rsid w:val="04E8B356"/>
    <w:rsid w:val="04E9AAC2"/>
    <w:rsid w:val="04EA2328"/>
    <w:rsid w:val="04ED8618"/>
    <w:rsid w:val="04ED9283"/>
    <w:rsid w:val="04EE57A9"/>
    <w:rsid w:val="04EE98A2"/>
    <w:rsid w:val="04EEB370"/>
    <w:rsid w:val="04EEDA76"/>
    <w:rsid w:val="04EF6C54"/>
    <w:rsid w:val="04F0495F"/>
    <w:rsid w:val="04F0C89F"/>
    <w:rsid w:val="04F194C8"/>
    <w:rsid w:val="04F934A6"/>
    <w:rsid w:val="04FA63F0"/>
    <w:rsid w:val="04FA6F23"/>
    <w:rsid w:val="04FDD941"/>
    <w:rsid w:val="04FDEF7B"/>
    <w:rsid w:val="0506F77A"/>
    <w:rsid w:val="050A243C"/>
    <w:rsid w:val="050B46E9"/>
    <w:rsid w:val="050E3DEA"/>
    <w:rsid w:val="05116DB4"/>
    <w:rsid w:val="051265FC"/>
    <w:rsid w:val="0512F477"/>
    <w:rsid w:val="0512F90A"/>
    <w:rsid w:val="05130DF4"/>
    <w:rsid w:val="05154E55"/>
    <w:rsid w:val="0518B4E3"/>
    <w:rsid w:val="05199C22"/>
    <w:rsid w:val="0519EF89"/>
    <w:rsid w:val="0519F460"/>
    <w:rsid w:val="051B267B"/>
    <w:rsid w:val="051D9DA7"/>
    <w:rsid w:val="051DCB2E"/>
    <w:rsid w:val="0520B834"/>
    <w:rsid w:val="0522F97A"/>
    <w:rsid w:val="0523B678"/>
    <w:rsid w:val="0524439C"/>
    <w:rsid w:val="05253358"/>
    <w:rsid w:val="05271B45"/>
    <w:rsid w:val="052A0176"/>
    <w:rsid w:val="052B47B6"/>
    <w:rsid w:val="052C27CE"/>
    <w:rsid w:val="052EA70F"/>
    <w:rsid w:val="052F2310"/>
    <w:rsid w:val="052F6DA3"/>
    <w:rsid w:val="052FE040"/>
    <w:rsid w:val="05300857"/>
    <w:rsid w:val="053176F3"/>
    <w:rsid w:val="0531C3AA"/>
    <w:rsid w:val="0532836E"/>
    <w:rsid w:val="0537BCBA"/>
    <w:rsid w:val="0538C65E"/>
    <w:rsid w:val="0539B625"/>
    <w:rsid w:val="053A3262"/>
    <w:rsid w:val="053D4E2B"/>
    <w:rsid w:val="053E4FDF"/>
    <w:rsid w:val="053E963D"/>
    <w:rsid w:val="0543E1F5"/>
    <w:rsid w:val="0544B484"/>
    <w:rsid w:val="0544D523"/>
    <w:rsid w:val="054673E1"/>
    <w:rsid w:val="0548175A"/>
    <w:rsid w:val="0548E956"/>
    <w:rsid w:val="0549668E"/>
    <w:rsid w:val="054B32EE"/>
    <w:rsid w:val="054B72DB"/>
    <w:rsid w:val="054D37A8"/>
    <w:rsid w:val="054E9280"/>
    <w:rsid w:val="054FBB40"/>
    <w:rsid w:val="05506A2D"/>
    <w:rsid w:val="0550AEAC"/>
    <w:rsid w:val="055181BB"/>
    <w:rsid w:val="055314A0"/>
    <w:rsid w:val="0554F1EA"/>
    <w:rsid w:val="0556DE58"/>
    <w:rsid w:val="05587993"/>
    <w:rsid w:val="055A989A"/>
    <w:rsid w:val="055B0AB5"/>
    <w:rsid w:val="055CAF45"/>
    <w:rsid w:val="056048B2"/>
    <w:rsid w:val="0561D4B1"/>
    <w:rsid w:val="0562225D"/>
    <w:rsid w:val="05632050"/>
    <w:rsid w:val="05642D65"/>
    <w:rsid w:val="0566D76F"/>
    <w:rsid w:val="0566DD04"/>
    <w:rsid w:val="056961C1"/>
    <w:rsid w:val="056B9DFE"/>
    <w:rsid w:val="056C3C4A"/>
    <w:rsid w:val="056C3DAB"/>
    <w:rsid w:val="056CCC42"/>
    <w:rsid w:val="056E9618"/>
    <w:rsid w:val="0570DE95"/>
    <w:rsid w:val="05763E69"/>
    <w:rsid w:val="05769285"/>
    <w:rsid w:val="05772337"/>
    <w:rsid w:val="057BA2B3"/>
    <w:rsid w:val="058062CC"/>
    <w:rsid w:val="0583DA39"/>
    <w:rsid w:val="0586FFC2"/>
    <w:rsid w:val="0587E2DA"/>
    <w:rsid w:val="0589AF11"/>
    <w:rsid w:val="058B16CD"/>
    <w:rsid w:val="058EC595"/>
    <w:rsid w:val="058EFC6D"/>
    <w:rsid w:val="058F41BD"/>
    <w:rsid w:val="05933E53"/>
    <w:rsid w:val="05995CB4"/>
    <w:rsid w:val="059AB4CF"/>
    <w:rsid w:val="059B7D9D"/>
    <w:rsid w:val="059B96EA"/>
    <w:rsid w:val="059BCFF9"/>
    <w:rsid w:val="059C1C74"/>
    <w:rsid w:val="059E4571"/>
    <w:rsid w:val="059E9E32"/>
    <w:rsid w:val="059FB9C1"/>
    <w:rsid w:val="05A19692"/>
    <w:rsid w:val="05A46CD9"/>
    <w:rsid w:val="05A47A1A"/>
    <w:rsid w:val="05A9A91C"/>
    <w:rsid w:val="05AA1CC4"/>
    <w:rsid w:val="05AB8627"/>
    <w:rsid w:val="05AD4F69"/>
    <w:rsid w:val="05B094CB"/>
    <w:rsid w:val="05B0CFE6"/>
    <w:rsid w:val="05B29BC0"/>
    <w:rsid w:val="05B737AE"/>
    <w:rsid w:val="05B8145C"/>
    <w:rsid w:val="05B9D154"/>
    <w:rsid w:val="05BB3F78"/>
    <w:rsid w:val="05BB63E8"/>
    <w:rsid w:val="05BFCBF9"/>
    <w:rsid w:val="05C499CE"/>
    <w:rsid w:val="05CAD48C"/>
    <w:rsid w:val="05CE2EE3"/>
    <w:rsid w:val="05CE67D5"/>
    <w:rsid w:val="05D0042F"/>
    <w:rsid w:val="05D09B9C"/>
    <w:rsid w:val="05D21E7A"/>
    <w:rsid w:val="05D25890"/>
    <w:rsid w:val="05D33F3E"/>
    <w:rsid w:val="05D566EA"/>
    <w:rsid w:val="05D58C5F"/>
    <w:rsid w:val="05D694F4"/>
    <w:rsid w:val="05DA62E3"/>
    <w:rsid w:val="05DAF999"/>
    <w:rsid w:val="05DB5075"/>
    <w:rsid w:val="05E69205"/>
    <w:rsid w:val="05E76B17"/>
    <w:rsid w:val="05E7B9C9"/>
    <w:rsid w:val="05EB01B5"/>
    <w:rsid w:val="05ED1C6A"/>
    <w:rsid w:val="05ED6545"/>
    <w:rsid w:val="05EED640"/>
    <w:rsid w:val="05EEE2A3"/>
    <w:rsid w:val="05F53F48"/>
    <w:rsid w:val="05F5A447"/>
    <w:rsid w:val="05F6CCA3"/>
    <w:rsid w:val="05F77FCE"/>
    <w:rsid w:val="05F8BC15"/>
    <w:rsid w:val="05FA307A"/>
    <w:rsid w:val="05FBA7F4"/>
    <w:rsid w:val="05FC882A"/>
    <w:rsid w:val="05FD1149"/>
    <w:rsid w:val="05FE2BE1"/>
    <w:rsid w:val="05FE9044"/>
    <w:rsid w:val="05FEF9B9"/>
    <w:rsid w:val="05FF492D"/>
    <w:rsid w:val="05FFD1E6"/>
    <w:rsid w:val="0603191D"/>
    <w:rsid w:val="0603EA35"/>
    <w:rsid w:val="0604B0AD"/>
    <w:rsid w:val="06071B9F"/>
    <w:rsid w:val="0607A7D7"/>
    <w:rsid w:val="06085247"/>
    <w:rsid w:val="0608A77F"/>
    <w:rsid w:val="060C23DF"/>
    <w:rsid w:val="0612002D"/>
    <w:rsid w:val="0613EF19"/>
    <w:rsid w:val="061A1F4B"/>
    <w:rsid w:val="061C2E20"/>
    <w:rsid w:val="061C5E70"/>
    <w:rsid w:val="061CAE34"/>
    <w:rsid w:val="061CD3B1"/>
    <w:rsid w:val="061CF9C0"/>
    <w:rsid w:val="061D99BF"/>
    <w:rsid w:val="062098FD"/>
    <w:rsid w:val="0620A11D"/>
    <w:rsid w:val="0623C354"/>
    <w:rsid w:val="06244E8F"/>
    <w:rsid w:val="0626754D"/>
    <w:rsid w:val="06267F14"/>
    <w:rsid w:val="06278058"/>
    <w:rsid w:val="06296A41"/>
    <w:rsid w:val="062C4F5F"/>
    <w:rsid w:val="062E39DD"/>
    <w:rsid w:val="062E7A47"/>
    <w:rsid w:val="062EC067"/>
    <w:rsid w:val="062ECF8B"/>
    <w:rsid w:val="0631273C"/>
    <w:rsid w:val="063162B7"/>
    <w:rsid w:val="0631C076"/>
    <w:rsid w:val="0632F755"/>
    <w:rsid w:val="06352903"/>
    <w:rsid w:val="0635B18F"/>
    <w:rsid w:val="0636B510"/>
    <w:rsid w:val="063855B7"/>
    <w:rsid w:val="063BD5FA"/>
    <w:rsid w:val="063FA65B"/>
    <w:rsid w:val="06445958"/>
    <w:rsid w:val="0644A52A"/>
    <w:rsid w:val="06466F4F"/>
    <w:rsid w:val="0646DD41"/>
    <w:rsid w:val="06476DE3"/>
    <w:rsid w:val="0647A8AC"/>
    <w:rsid w:val="0648045A"/>
    <w:rsid w:val="0648773A"/>
    <w:rsid w:val="064AFB1C"/>
    <w:rsid w:val="064CCB98"/>
    <w:rsid w:val="0653A753"/>
    <w:rsid w:val="0657523E"/>
    <w:rsid w:val="065806AA"/>
    <w:rsid w:val="065AD324"/>
    <w:rsid w:val="065D198D"/>
    <w:rsid w:val="065D9C87"/>
    <w:rsid w:val="065F619E"/>
    <w:rsid w:val="065FBC5C"/>
    <w:rsid w:val="06602419"/>
    <w:rsid w:val="06610BC3"/>
    <w:rsid w:val="0662B6E4"/>
    <w:rsid w:val="0663AA7B"/>
    <w:rsid w:val="0664211F"/>
    <w:rsid w:val="0664B0A9"/>
    <w:rsid w:val="066A8FC6"/>
    <w:rsid w:val="066C2630"/>
    <w:rsid w:val="066EB4ED"/>
    <w:rsid w:val="066FE46B"/>
    <w:rsid w:val="06762E97"/>
    <w:rsid w:val="06772B8C"/>
    <w:rsid w:val="067908E8"/>
    <w:rsid w:val="06797BB4"/>
    <w:rsid w:val="067EE6D1"/>
    <w:rsid w:val="067F3D48"/>
    <w:rsid w:val="06807559"/>
    <w:rsid w:val="06842298"/>
    <w:rsid w:val="06843BF5"/>
    <w:rsid w:val="0684579B"/>
    <w:rsid w:val="0685935C"/>
    <w:rsid w:val="0685D1C1"/>
    <w:rsid w:val="0689D1C9"/>
    <w:rsid w:val="068C5BD3"/>
    <w:rsid w:val="068CFC17"/>
    <w:rsid w:val="068E5BD2"/>
    <w:rsid w:val="068F7CEC"/>
    <w:rsid w:val="069045F3"/>
    <w:rsid w:val="06907E9D"/>
    <w:rsid w:val="06914AA7"/>
    <w:rsid w:val="0691594C"/>
    <w:rsid w:val="069267C7"/>
    <w:rsid w:val="06938EA0"/>
    <w:rsid w:val="06942CF7"/>
    <w:rsid w:val="06946C15"/>
    <w:rsid w:val="0694B3D2"/>
    <w:rsid w:val="0694F28F"/>
    <w:rsid w:val="0695672C"/>
    <w:rsid w:val="0695CCD3"/>
    <w:rsid w:val="06973C82"/>
    <w:rsid w:val="069795FD"/>
    <w:rsid w:val="0699247D"/>
    <w:rsid w:val="069BDBDC"/>
    <w:rsid w:val="069D8829"/>
    <w:rsid w:val="069EF677"/>
    <w:rsid w:val="069FBEF4"/>
    <w:rsid w:val="069FCFAB"/>
    <w:rsid w:val="06A00718"/>
    <w:rsid w:val="06A1A1B0"/>
    <w:rsid w:val="06A3DF49"/>
    <w:rsid w:val="06A53F81"/>
    <w:rsid w:val="06A8E593"/>
    <w:rsid w:val="06ABB62D"/>
    <w:rsid w:val="06ABDBE5"/>
    <w:rsid w:val="06ACD834"/>
    <w:rsid w:val="06ACE3FE"/>
    <w:rsid w:val="06AD36B4"/>
    <w:rsid w:val="06AD7CC4"/>
    <w:rsid w:val="06AD98EB"/>
    <w:rsid w:val="06B0792D"/>
    <w:rsid w:val="06B09870"/>
    <w:rsid w:val="06B56EB9"/>
    <w:rsid w:val="06BB89E8"/>
    <w:rsid w:val="06BBEBC4"/>
    <w:rsid w:val="06BC1B76"/>
    <w:rsid w:val="06BCD25C"/>
    <w:rsid w:val="06BDBC3F"/>
    <w:rsid w:val="06BE4FF4"/>
    <w:rsid w:val="06C0265C"/>
    <w:rsid w:val="06C0B1C9"/>
    <w:rsid w:val="06C42598"/>
    <w:rsid w:val="06C4322A"/>
    <w:rsid w:val="06C5D28C"/>
    <w:rsid w:val="06C7C1FF"/>
    <w:rsid w:val="06C9EB17"/>
    <w:rsid w:val="06CA43E2"/>
    <w:rsid w:val="06CAD808"/>
    <w:rsid w:val="06CB872E"/>
    <w:rsid w:val="06CD6538"/>
    <w:rsid w:val="06CEE930"/>
    <w:rsid w:val="06D33FF7"/>
    <w:rsid w:val="06D53734"/>
    <w:rsid w:val="06D77961"/>
    <w:rsid w:val="06D985AF"/>
    <w:rsid w:val="06DADDA4"/>
    <w:rsid w:val="06DB46C8"/>
    <w:rsid w:val="06DB4E3E"/>
    <w:rsid w:val="06DB9F3B"/>
    <w:rsid w:val="06DBD665"/>
    <w:rsid w:val="06DC2FD0"/>
    <w:rsid w:val="06DC4861"/>
    <w:rsid w:val="06DCA01A"/>
    <w:rsid w:val="06DD7F89"/>
    <w:rsid w:val="06DDC975"/>
    <w:rsid w:val="06DE4D7C"/>
    <w:rsid w:val="06DF80DB"/>
    <w:rsid w:val="06DFC118"/>
    <w:rsid w:val="06E0B303"/>
    <w:rsid w:val="06E352B4"/>
    <w:rsid w:val="06E3DF2C"/>
    <w:rsid w:val="06E43248"/>
    <w:rsid w:val="06E44FB9"/>
    <w:rsid w:val="06E48664"/>
    <w:rsid w:val="06E6310C"/>
    <w:rsid w:val="06E69AC7"/>
    <w:rsid w:val="06E90CE2"/>
    <w:rsid w:val="06EA7F77"/>
    <w:rsid w:val="06EAFB1A"/>
    <w:rsid w:val="06F04223"/>
    <w:rsid w:val="06F23853"/>
    <w:rsid w:val="06F3FD7F"/>
    <w:rsid w:val="06F45D0D"/>
    <w:rsid w:val="06F466D5"/>
    <w:rsid w:val="06F77A53"/>
    <w:rsid w:val="06FBCC3F"/>
    <w:rsid w:val="06FBEE04"/>
    <w:rsid w:val="06FBFECC"/>
    <w:rsid w:val="06FCC4FF"/>
    <w:rsid w:val="06FDC6E5"/>
    <w:rsid w:val="070072BA"/>
    <w:rsid w:val="0702FDAB"/>
    <w:rsid w:val="07033832"/>
    <w:rsid w:val="07039EDF"/>
    <w:rsid w:val="070402F4"/>
    <w:rsid w:val="0705041D"/>
    <w:rsid w:val="0705F0D9"/>
    <w:rsid w:val="0706CC9A"/>
    <w:rsid w:val="070B3986"/>
    <w:rsid w:val="070CDB31"/>
    <w:rsid w:val="070CE4B4"/>
    <w:rsid w:val="070DB703"/>
    <w:rsid w:val="070F8075"/>
    <w:rsid w:val="07144031"/>
    <w:rsid w:val="071554E3"/>
    <w:rsid w:val="07157A78"/>
    <w:rsid w:val="07157F5F"/>
    <w:rsid w:val="071590E0"/>
    <w:rsid w:val="071671B6"/>
    <w:rsid w:val="07171F44"/>
    <w:rsid w:val="07187545"/>
    <w:rsid w:val="0718C14D"/>
    <w:rsid w:val="071CDCDD"/>
    <w:rsid w:val="071E587C"/>
    <w:rsid w:val="071F3AF9"/>
    <w:rsid w:val="07228C90"/>
    <w:rsid w:val="0726FC00"/>
    <w:rsid w:val="072A3588"/>
    <w:rsid w:val="072A7A53"/>
    <w:rsid w:val="072BDACC"/>
    <w:rsid w:val="072C8F3B"/>
    <w:rsid w:val="072DEA97"/>
    <w:rsid w:val="0733EBAF"/>
    <w:rsid w:val="07349F64"/>
    <w:rsid w:val="07356229"/>
    <w:rsid w:val="07357A9F"/>
    <w:rsid w:val="0736B8D4"/>
    <w:rsid w:val="0738397B"/>
    <w:rsid w:val="07397507"/>
    <w:rsid w:val="0739EDE5"/>
    <w:rsid w:val="073BFF90"/>
    <w:rsid w:val="073C0F88"/>
    <w:rsid w:val="073C7718"/>
    <w:rsid w:val="073CBEDD"/>
    <w:rsid w:val="073D49A3"/>
    <w:rsid w:val="073D7573"/>
    <w:rsid w:val="073D88A9"/>
    <w:rsid w:val="073F309E"/>
    <w:rsid w:val="073F4975"/>
    <w:rsid w:val="07402EBC"/>
    <w:rsid w:val="0743F5C0"/>
    <w:rsid w:val="074878C7"/>
    <w:rsid w:val="074AC47F"/>
    <w:rsid w:val="074CD490"/>
    <w:rsid w:val="074E6A06"/>
    <w:rsid w:val="074ECE0D"/>
    <w:rsid w:val="074EF0F8"/>
    <w:rsid w:val="0751A207"/>
    <w:rsid w:val="0754D450"/>
    <w:rsid w:val="07592E29"/>
    <w:rsid w:val="07594218"/>
    <w:rsid w:val="07595B76"/>
    <w:rsid w:val="07599819"/>
    <w:rsid w:val="0759B9D2"/>
    <w:rsid w:val="075AB010"/>
    <w:rsid w:val="076153E5"/>
    <w:rsid w:val="07625D92"/>
    <w:rsid w:val="0766444B"/>
    <w:rsid w:val="07670059"/>
    <w:rsid w:val="07681711"/>
    <w:rsid w:val="07682F55"/>
    <w:rsid w:val="0769918F"/>
    <w:rsid w:val="076DB011"/>
    <w:rsid w:val="07704F1C"/>
    <w:rsid w:val="0770EC0E"/>
    <w:rsid w:val="0772ACE8"/>
    <w:rsid w:val="0772C852"/>
    <w:rsid w:val="077378ED"/>
    <w:rsid w:val="07761490"/>
    <w:rsid w:val="07767C15"/>
    <w:rsid w:val="0776E82B"/>
    <w:rsid w:val="07771BB5"/>
    <w:rsid w:val="0778D2A9"/>
    <w:rsid w:val="0779B783"/>
    <w:rsid w:val="077A1399"/>
    <w:rsid w:val="077BC016"/>
    <w:rsid w:val="077E8B28"/>
    <w:rsid w:val="07830B30"/>
    <w:rsid w:val="0784050B"/>
    <w:rsid w:val="078643DF"/>
    <w:rsid w:val="078695C4"/>
    <w:rsid w:val="078719D1"/>
    <w:rsid w:val="078777D0"/>
    <w:rsid w:val="078A18F7"/>
    <w:rsid w:val="078B011E"/>
    <w:rsid w:val="078CE6D1"/>
    <w:rsid w:val="078D1788"/>
    <w:rsid w:val="078DB9D4"/>
    <w:rsid w:val="07902CF0"/>
    <w:rsid w:val="07924CE7"/>
    <w:rsid w:val="07945CFD"/>
    <w:rsid w:val="07950495"/>
    <w:rsid w:val="0795F33E"/>
    <w:rsid w:val="079ADA65"/>
    <w:rsid w:val="079C5424"/>
    <w:rsid w:val="079CE3DE"/>
    <w:rsid w:val="079D6184"/>
    <w:rsid w:val="079E83B9"/>
    <w:rsid w:val="079F5501"/>
    <w:rsid w:val="07A142BD"/>
    <w:rsid w:val="07A15642"/>
    <w:rsid w:val="07A23A74"/>
    <w:rsid w:val="07A27D7D"/>
    <w:rsid w:val="07A2B0E7"/>
    <w:rsid w:val="07A6CFA3"/>
    <w:rsid w:val="07A88CB7"/>
    <w:rsid w:val="07AA64DC"/>
    <w:rsid w:val="07AC321A"/>
    <w:rsid w:val="07ACFA17"/>
    <w:rsid w:val="07ADE757"/>
    <w:rsid w:val="07AF4FFD"/>
    <w:rsid w:val="07AFF4A0"/>
    <w:rsid w:val="07B33420"/>
    <w:rsid w:val="07B7E901"/>
    <w:rsid w:val="07B8531A"/>
    <w:rsid w:val="07BA4D1B"/>
    <w:rsid w:val="07BC1563"/>
    <w:rsid w:val="07C185C1"/>
    <w:rsid w:val="07C28BF6"/>
    <w:rsid w:val="07C50313"/>
    <w:rsid w:val="07C64005"/>
    <w:rsid w:val="07C64E12"/>
    <w:rsid w:val="07C8911F"/>
    <w:rsid w:val="07C8E1FB"/>
    <w:rsid w:val="07CB1FB1"/>
    <w:rsid w:val="07CB429F"/>
    <w:rsid w:val="07CEB1A5"/>
    <w:rsid w:val="07CF63FA"/>
    <w:rsid w:val="07D1661A"/>
    <w:rsid w:val="07D1ADDD"/>
    <w:rsid w:val="07D1EA59"/>
    <w:rsid w:val="07D8D338"/>
    <w:rsid w:val="07D9BEDF"/>
    <w:rsid w:val="07DA59B7"/>
    <w:rsid w:val="07DA7105"/>
    <w:rsid w:val="07DC019C"/>
    <w:rsid w:val="07DED3FE"/>
    <w:rsid w:val="07DF1D89"/>
    <w:rsid w:val="07E1D14E"/>
    <w:rsid w:val="07E45F0D"/>
    <w:rsid w:val="07E6BBB2"/>
    <w:rsid w:val="07EB2CF4"/>
    <w:rsid w:val="07EC724C"/>
    <w:rsid w:val="07F04E94"/>
    <w:rsid w:val="07F05612"/>
    <w:rsid w:val="07F0BEAA"/>
    <w:rsid w:val="07F58835"/>
    <w:rsid w:val="07F774E8"/>
    <w:rsid w:val="07FA5AB1"/>
    <w:rsid w:val="07FAFCF6"/>
    <w:rsid w:val="07FBE389"/>
    <w:rsid w:val="07FE323F"/>
    <w:rsid w:val="07FF0558"/>
    <w:rsid w:val="07FFD82D"/>
    <w:rsid w:val="0802E31D"/>
    <w:rsid w:val="0807599C"/>
    <w:rsid w:val="0808DF82"/>
    <w:rsid w:val="080A3B61"/>
    <w:rsid w:val="080E6041"/>
    <w:rsid w:val="081020C7"/>
    <w:rsid w:val="0812BAC4"/>
    <w:rsid w:val="0813CAF8"/>
    <w:rsid w:val="0813F72D"/>
    <w:rsid w:val="0814920E"/>
    <w:rsid w:val="0814FEE8"/>
    <w:rsid w:val="08160645"/>
    <w:rsid w:val="081934AE"/>
    <w:rsid w:val="0819A64E"/>
    <w:rsid w:val="081AE940"/>
    <w:rsid w:val="081DE67E"/>
    <w:rsid w:val="081E101C"/>
    <w:rsid w:val="081F01D5"/>
    <w:rsid w:val="081F1518"/>
    <w:rsid w:val="081FF094"/>
    <w:rsid w:val="0820BF60"/>
    <w:rsid w:val="0820E719"/>
    <w:rsid w:val="082169E9"/>
    <w:rsid w:val="0823CBD7"/>
    <w:rsid w:val="08251FAE"/>
    <w:rsid w:val="082A477F"/>
    <w:rsid w:val="082B22AD"/>
    <w:rsid w:val="082C5BAB"/>
    <w:rsid w:val="082D3EA6"/>
    <w:rsid w:val="082DD157"/>
    <w:rsid w:val="082F1691"/>
    <w:rsid w:val="08305AFD"/>
    <w:rsid w:val="083087DF"/>
    <w:rsid w:val="0833BE09"/>
    <w:rsid w:val="0834001B"/>
    <w:rsid w:val="08346F47"/>
    <w:rsid w:val="08364C1C"/>
    <w:rsid w:val="08367F2B"/>
    <w:rsid w:val="083A9B3A"/>
    <w:rsid w:val="083CB049"/>
    <w:rsid w:val="083D8FBC"/>
    <w:rsid w:val="083EAC37"/>
    <w:rsid w:val="083F8A03"/>
    <w:rsid w:val="08405FF7"/>
    <w:rsid w:val="0841ABE7"/>
    <w:rsid w:val="08434CBA"/>
    <w:rsid w:val="08437846"/>
    <w:rsid w:val="08442C85"/>
    <w:rsid w:val="0844A7BD"/>
    <w:rsid w:val="08459CED"/>
    <w:rsid w:val="08460EAF"/>
    <w:rsid w:val="08478758"/>
    <w:rsid w:val="08499B05"/>
    <w:rsid w:val="0849FDED"/>
    <w:rsid w:val="084B65C4"/>
    <w:rsid w:val="084C5F82"/>
    <w:rsid w:val="084CF0E3"/>
    <w:rsid w:val="084EB1A9"/>
    <w:rsid w:val="08500C41"/>
    <w:rsid w:val="085164AE"/>
    <w:rsid w:val="0851EF27"/>
    <w:rsid w:val="0852C6DF"/>
    <w:rsid w:val="0853136D"/>
    <w:rsid w:val="085DA87A"/>
    <w:rsid w:val="0863D145"/>
    <w:rsid w:val="0866310A"/>
    <w:rsid w:val="0867C6E1"/>
    <w:rsid w:val="086801E0"/>
    <w:rsid w:val="08681C5B"/>
    <w:rsid w:val="086BE1A2"/>
    <w:rsid w:val="087291DA"/>
    <w:rsid w:val="0875B8FE"/>
    <w:rsid w:val="08761678"/>
    <w:rsid w:val="08784A57"/>
    <w:rsid w:val="0878CA87"/>
    <w:rsid w:val="087C05F7"/>
    <w:rsid w:val="087C8988"/>
    <w:rsid w:val="087EDF1D"/>
    <w:rsid w:val="087F4D23"/>
    <w:rsid w:val="0880BA01"/>
    <w:rsid w:val="0880F4CB"/>
    <w:rsid w:val="08832DAF"/>
    <w:rsid w:val="08836BF8"/>
    <w:rsid w:val="0883BEAC"/>
    <w:rsid w:val="0884C4F6"/>
    <w:rsid w:val="0886292D"/>
    <w:rsid w:val="088694A4"/>
    <w:rsid w:val="088705DB"/>
    <w:rsid w:val="088B5FAB"/>
    <w:rsid w:val="088B6ED6"/>
    <w:rsid w:val="089055CD"/>
    <w:rsid w:val="089085E3"/>
    <w:rsid w:val="0890C274"/>
    <w:rsid w:val="08923646"/>
    <w:rsid w:val="089348D1"/>
    <w:rsid w:val="08938A18"/>
    <w:rsid w:val="0894D08C"/>
    <w:rsid w:val="089651D0"/>
    <w:rsid w:val="089903BB"/>
    <w:rsid w:val="089A8B57"/>
    <w:rsid w:val="089B0F94"/>
    <w:rsid w:val="089C6D5C"/>
    <w:rsid w:val="089CD157"/>
    <w:rsid w:val="089E0C22"/>
    <w:rsid w:val="089EB056"/>
    <w:rsid w:val="089EB8C7"/>
    <w:rsid w:val="08A0723F"/>
    <w:rsid w:val="08A56CDB"/>
    <w:rsid w:val="08A65DC8"/>
    <w:rsid w:val="08A71522"/>
    <w:rsid w:val="08A78B2A"/>
    <w:rsid w:val="08A7C44C"/>
    <w:rsid w:val="08AF5B3A"/>
    <w:rsid w:val="08B20C92"/>
    <w:rsid w:val="08B2CA11"/>
    <w:rsid w:val="08B2D5A8"/>
    <w:rsid w:val="08B5E0BE"/>
    <w:rsid w:val="08B9B490"/>
    <w:rsid w:val="08BA16DA"/>
    <w:rsid w:val="08BF6848"/>
    <w:rsid w:val="08C015F8"/>
    <w:rsid w:val="08C14515"/>
    <w:rsid w:val="08C447EE"/>
    <w:rsid w:val="08C9B4E0"/>
    <w:rsid w:val="08CAD772"/>
    <w:rsid w:val="08CAE711"/>
    <w:rsid w:val="08CB60B5"/>
    <w:rsid w:val="08CCF4E3"/>
    <w:rsid w:val="08CD26A3"/>
    <w:rsid w:val="08CDB01C"/>
    <w:rsid w:val="08CF0227"/>
    <w:rsid w:val="08CFC835"/>
    <w:rsid w:val="08D18DDF"/>
    <w:rsid w:val="08D22A7B"/>
    <w:rsid w:val="08D22DFB"/>
    <w:rsid w:val="08D2A898"/>
    <w:rsid w:val="08D4490F"/>
    <w:rsid w:val="08D6BE04"/>
    <w:rsid w:val="08D7DF67"/>
    <w:rsid w:val="08D8721E"/>
    <w:rsid w:val="08DB2EF2"/>
    <w:rsid w:val="08E1FA02"/>
    <w:rsid w:val="08E24AE9"/>
    <w:rsid w:val="08E32C24"/>
    <w:rsid w:val="08E3E082"/>
    <w:rsid w:val="08E7679F"/>
    <w:rsid w:val="08E76C4C"/>
    <w:rsid w:val="08EB4E82"/>
    <w:rsid w:val="08EBCF38"/>
    <w:rsid w:val="08EEBAFB"/>
    <w:rsid w:val="08F14754"/>
    <w:rsid w:val="08F61199"/>
    <w:rsid w:val="08F7E3B2"/>
    <w:rsid w:val="08F80009"/>
    <w:rsid w:val="08F80726"/>
    <w:rsid w:val="08FBF3A6"/>
    <w:rsid w:val="08FC33E6"/>
    <w:rsid w:val="09017D44"/>
    <w:rsid w:val="09045445"/>
    <w:rsid w:val="09059075"/>
    <w:rsid w:val="09073036"/>
    <w:rsid w:val="0908D4FB"/>
    <w:rsid w:val="09092F1B"/>
    <w:rsid w:val="0909458D"/>
    <w:rsid w:val="090F716E"/>
    <w:rsid w:val="091014CB"/>
    <w:rsid w:val="0911D0FD"/>
    <w:rsid w:val="09147A48"/>
    <w:rsid w:val="091485AD"/>
    <w:rsid w:val="0914D2F2"/>
    <w:rsid w:val="091562D4"/>
    <w:rsid w:val="09164CCF"/>
    <w:rsid w:val="0916703F"/>
    <w:rsid w:val="09169FC8"/>
    <w:rsid w:val="091E8386"/>
    <w:rsid w:val="0920C113"/>
    <w:rsid w:val="09212EBA"/>
    <w:rsid w:val="0923CBCD"/>
    <w:rsid w:val="0926FD3D"/>
    <w:rsid w:val="09272C78"/>
    <w:rsid w:val="09280471"/>
    <w:rsid w:val="092A1CDE"/>
    <w:rsid w:val="092A9512"/>
    <w:rsid w:val="092BC8C3"/>
    <w:rsid w:val="0930C54A"/>
    <w:rsid w:val="09313321"/>
    <w:rsid w:val="09314712"/>
    <w:rsid w:val="09335B8B"/>
    <w:rsid w:val="09342839"/>
    <w:rsid w:val="0934D99F"/>
    <w:rsid w:val="0935CD8A"/>
    <w:rsid w:val="093941CC"/>
    <w:rsid w:val="093B2869"/>
    <w:rsid w:val="093CBA48"/>
    <w:rsid w:val="093D7CD2"/>
    <w:rsid w:val="093DBFB7"/>
    <w:rsid w:val="093E8B63"/>
    <w:rsid w:val="093EF0A8"/>
    <w:rsid w:val="093F13A6"/>
    <w:rsid w:val="0940513C"/>
    <w:rsid w:val="0940B60B"/>
    <w:rsid w:val="094109EB"/>
    <w:rsid w:val="09414EE1"/>
    <w:rsid w:val="09415E9D"/>
    <w:rsid w:val="0941BD97"/>
    <w:rsid w:val="09425113"/>
    <w:rsid w:val="0948446A"/>
    <w:rsid w:val="0948789F"/>
    <w:rsid w:val="094CB4B9"/>
    <w:rsid w:val="094D3AE4"/>
    <w:rsid w:val="094D9FBC"/>
    <w:rsid w:val="09522331"/>
    <w:rsid w:val="09527451"/>
    <w:rsid w:val="0952D1D6"/>
    <w:rsid w:val="09556B9A"/>
    <w:rsid w:val="0955AB0C"/>
    <w:rsid w:val="0956668D"/>
    <w:rsid w:val="095846DF"/>
    <w:rsid w:val="095A238E"/>
    <w:rsid w:val="095D5E72"/>
    <w:rsid w:val="095E6B68"/>
    <w:rsid w:val="09621A17"/>
    <w:rsid w:val="0963FCA5"/>
    <w:rsid w:val="0964C465"/>
    <w:rsid w:val="0964EA50"/>
    <w:rsid w:val="0966C015"/>
    <w:rsid w:val="0967926C"/>
    <w:rsid w:val="09695FC4"/>
    <w:rsid w:val="0969C00C"/>
    <w:rsid w:val="096D5B37"/>
    <w:rsid w:val="096E3C01"/>
    <w:rsid w:val="096E458B"/>
    <w:rsid w:val="09726991"/>
    <w:rsid w:val="0973C42F"/>
    <w:rsid w:val="097408FC"/>
    <w:rsid w:val="09772423"/>
    <w:rsid w:val="09778CF8"/>
    <w:rsid w:val="097AE03F"/>
    <w:rsid w:val="097B83AE"/>
    <w:rsid w:val="097B88EF"/>
    <w:rsid w:val="097BA6B1"/>
    <w:rsid w:val="097BAF28"/>
    <w:rsid w:val="097C9961"/>
    <w:rsid w:val="09807066"/>
    <w:rsid w:val="09822855"/>
    <w:rsid w:val="09823436"/>
    <w:rsid w:val="09826B76"/>
    <w:rsid w:val="09847795"/>
    <w:rsid w:val="0985E90E"/>
    <w:rsid w:val="0985F2A1"/>
    <w:rsid w:val="098772CB"/>
    <w:rsid w:val="098A4E92"/>
    <w:rsid w:val="098CA571"/>
    <w:rsid w:val="098CB99B"/>
    <w:rsid w:val="098EEDF4"/>
    <w:rsid w:val="09936D33"/>
    <w:rsid w:val="09967B4C"/>
    <w:rsid w:val="099807DD"/>
    <w:rsid w:val="099A5355"/>
    <w:rsid w:val="099D861E"/>
    <w:rsid w:val="099E5A86"/>
    <w:rsid w:val="099E66B8"/>
    <w:rsid w:val="099E97A6"/>
    <w:rsid w:val="099EBB10"/>
    <w:rsid w:val="099F7989"/>
    <w:rsid w:val="09A56BCC"/>
    <w:rsid w:val="09A60695"/>
    <w:rsid w:val="09A6DC3C"/>
    <w:rsid w:val="09A7647E"/>
    <w:rsid w:val="09A87397"/>
    <w:rsid w:val="09A87E47"/>
    <w:rsid w:val="09AA04C6"/>
    <w:rsid w:val="09ADD2EE"/>
    <w:rsid w:val="09AF5394"/>
    <w:rsid w:val="09AF8B00"/>
    <w:rsid w:val="09B2918B"/>
    <w:rsid w:val="09B2E5AD"/>
    <w:rsid w:val="09B46DFD"/>
    <w:rsid w:val="09B6383E"/>
    <w:rsid w:val="09B88D30"/>
    <w:rsid w:val="09B895A9"/>
    <w:rsid w:val="09BA9315"/>
    <w:rsid w:val="09BCD6AF"/>
    <w:rsid w:val="09BFDFBC"/>
    <w:rsid w:val="09C1E307"/>
    <w:rsid w:val="09C48A08"/>
    <w:rsid w:val="09CB403F"/>
    <w:rsid w:val="09CB9F67"/>
    <w:rsid w:val="09CDB20C"/>
    <w:rsid w:val="09CE40DB"/>
    <w:rsid w:val="09CF886A"/>
    <w:rsid w:val="09CFA7A8"/>
    <w:rsid w:val="09D4CA33"/>
    <w:rsid w:val="09D4CAAA"/>
    <w:rsid w:val="09D8CD84"/>
    <w:rsid w:val="09D9978F"/>
    <w:rsid w:val="09DC2C4F"/>
    <w:rsid w:val="09E1B932"/>
    <w:rsid w:val="09E36355"/>
    <w:rsid w:val="09E3BF85"/>
    <w:rsid w:val="09E4459F"/>
    <w:rsid w:val="09E4CBD3"/>
    <w:rsid w:val="09E5B447"/>
    <w:rsid w:val="09E5E715"/>
    <w:rsid w:val="09E679F5"/>
    <w:rsid w:val="09E6D921"/>
    <w:rsid w:val="09E75CFD"/>
    <w:rsid w:val="09E772DA"/>
    <w:rsid w:val="09E9AA61"/>
    <w:rsid w:val="09E9FC94"/>
    <w:rsid w:val="09EA8F5A"/>
    <w:rsid w:val="09EC03D8"/>
    <w:rsid w:val="09ED1ACB"/>
    <w:rsid w:val="09ED21AC"/>
    <w:rsid w:val="09ED356C"/>
    <w:rsid w:val="09EE1304"/>
    <w:rsid w:val="09EED34D"/>
    <w:rsid w:val="09F0540E"/>
    <w:rsid w:val="09F23E4F"/>
    <w:rsid w:val="09F26C1E"/>
    <w:rsid w:val="09F3E67E"/>
    <w:rsid w:val="09F55BB1"/>
    <w:rsid w:val="09F62A8E"/>
    <w:rsid w:val="09FAE633"/>
    <w:rsid w:val="09FBD54A"/>
    <w:rsid w:val="09FCB9BD"/>
    <w:rsid w:val="09FCBA80"/>
    <w:rsid w:val="09FE4C93"/>
    <w:rsid w:val="09FE97D0"/>
    <w:rsid w:val="09FFFB80"/>
    <w:rsid w:val="0A0213D4"/>
    <w:rsid w:val="0A023D87"/>
    <w:rsid w:val="0A038251"/>
    <w:rsid w:val="0A069FB6"/>
    <w:rsid w:val="0A070311"/>
    <w:rsid w:val="0A080D9C"/>
    <w:rsid w:val="0A0A6F86"/>
    <w:rsid w:val="0A0BC1C4"/>
    <w:rsid w:val="0A0BFBFA"/>
    <w:rsid w:val="0A0DBB03"/>
    <w:rsid w:val="0A10A544"/>
    <w:rsid w:val="0A127F66"/>
    <w:rsid w:val="0A152E92"/>
    <w:rsid w:val="0A1872AD"/>
    <w:rsid w:val="0A190178"/>
    <w:rsid w:val="0A1A150C"/>
    <w:rsid w:val="0A1A1EEC"/>
    <w:rsid w:val="0A1AA32C"/>
    <w:rsid w:val="0A1B542A"/>
    <w:rsid w:val="0A1F481B"/>
    <w:rsid w:val="0A20BAE9"/>
    <w:rsid w:val="0A236AB5"/>
    <w:rsid w:val="0A23D3D4"/>
    <w:rsid w:val="0A265E1C"/>
    <w:rsid w:val="0A2758A6"/>
    <w:rsid w:val="0A284977"/>
    <w:rsid w:val="0A2B7FDE"/>
    <w:rsid w:val="0A2CCAA7"/>
    <w:rsid w:val="0A2CD00B"/>
    <w:rsid w:val="0A2E9C8E"/>
    <w:rsid w:val="0A2FB2F3"/>
    <w:rsid w:val="0A2FE297"/>
    <w:rsid w:val="0A331E87"/>
    <w:rsid w:val="0A343ECF"/>
    <w:rsid w:val="0A357F05"/>
    <w:rsid w:val="0A37056D"/>
    <w:rsid w:val="0A372D20"/>
    <w:rsid w:val="0A37920A"/>
    <w:rsid w:val="0A37EA88"/>
    <w:rsid w:val="0A38773C"/>
    <w:rsid w:val="0A3986FC"/>
    <w:rsid w:val="0A39C073"/>
    <w:rsid w:val="0A3CCFD4"/>
    <w:rsid w:val="0A3D91B1"/>
    <w:rsid w:val="0A3FF196"/>
    <w:rsid w:val="0A408F86"/>
    <w:rsid w:val="0A44158D"/>
    <w:rsid w:val="0A4459B5"/>
    <w:rsid w:val="0A455E6D"/>
    <w:rsid w:val="0A456A2C"/>
    <w:rsid w:val="0A4685D4"/>
    <w:rsid w:val="0A479D04"/>
    <w:rsid w:val="0A499A20"/>
    <w:rsid w:val="0A49CFEE"/>
    <w:rsid w:val="0A49F5AD"/>
    <w:rsid w:val="0A4A73B8"/>
    <w:rsid w:val="0A4B9DB4"/>
    <w:rsid w:val="0A4CF03D"/>
    <w:rsid w:val="0A4CFC77"/>
    <w:rsid w:val="0A4F8E72"/>
    <w:rsid w:val="0A500FFE"/>
    <w:rsid w:val="0A50B602"/>
    <w:rsid w:val="0A50CFDE"/>
    <w:rsid w:val="0A545A9A"/>
    <w:rsid w:val="0A590247"/>
    <w:rsid w:val="0A591EC7"/>
    <w:rsid w:val="0A596F5F"/>
    <w:rsid w:val="0A5D7ACC"/>
    <w:rsid w:val="0A5DD301"/>
    <w:rsid w:val="0A5EDDDD"/>
    <w:rsid w:val="0A5F492D"/>
    <w:rsid w:val="0A5FD961"/>
    <w:rsid w:val="0A604184"/>
    <w:rsid w:val="0A61062B"/>
    <w:rsid w:val="0A6153AC"/>
    <w:rsid w:val="0A61B861"/>
    <w:rsid w:val="0A6232DF"/>
    <w:rsid w:val="0A623A06"/>
    <w:rsid w:val="0A631BFE"/>
    <w:rsid w:val="0A65C8DE"/>
    <w:rsid w:val="0A661D76"/>
    <w:rsid w:val="0A668D3B"/>
    <w:rsid w:val="0A676121"/>
    <w:rsid w:val="0A69287B"/>
    <w:rsid w:val="0A6953C4"/>
    <w:rsid w:val="0A6A7AFA"/>
    <w:rsid w:val="0A6DA04B"/>
    <w:rsid w:val="0A7079C5"/>
    <w:rsid w:val="0A718774"/>
    <w:rsid w:val="0A740F66"/>
    <w:rsid w:val="0A7B3789"/>
    <w:rsid w:val="0A7F86CD"/>
    <w:rsid w:val="0A80AEC1"/>
    <w:rsid w:val="0A80B0E8"/>
    <w:rsid w:val="0A8110E6"/>
    <w:rsid w:val="0A81874A"/>
    <w:rsid w:val="0A83080E"/>
    <w:rsid w:val="0A84141B"/>
    <w:rsid w:val="0A85654A"/>
    <w:rsid w:val="0A859819"/>
    <w:rsid w:val="0A864230"/>
    <w:rsid w:val="0A866631"/>
    <w:rsid w:val="0A8D127A"/>
    <w:rsid w:val="0A8DE3FA"/>
    <w:rsid w:val="0A8E9CD3"/>
    <w:rsid w:val="0A8EBA87"/>
    <w:rsid w:val="0A8FBC05"/>
    <w:rsid w:val="0A903A6F"/>
    <w:rsid w:val="0A91EFE7"/>
    <w:rsid w:val="0A9211F8"/>
    <w:rsid w:val="0A93D28C"/>
    <w:rsid w:val="0A9545A6"/>
    <w:rsid w:val="0A956DFD"/>
    <w:rsid w:val="0A957D57"/>
    <w:rsid w:val="0A95B90A"/>
    <w:rsid w:val="0A965581"/>
    <w:rsid w:val="0A965A16"/>
    <w:rsid w:val="0A966DB8"/>
    <w:rsid w:val="0A98360D"/>
    <w:rsid w:val="0A9C9DA9"/>
    <w:rsid w:val="0A9D1AA7"/>
    <w:rsid w:val="0A9ECBE9"/>
    <w:rsid w:val="0AA08799"/>
    <w:rsid w:val="0AA453E4"/>
    <w:rsid w:val="0AA46685"/>
    <w:rsid w:val="0AA5419E"/>
    <w:rsid w:val="0AA667DE"/>
    <w:rsid w:val="0AA6F531"/>
    <w:rsid w:val="0AAC5246"/>
    <w:rsid w:val="0AAC7ED1"/>
    <w:rsid w:val="0AAC8CC9"/>
    <w:rsid w:val="0AACD2BD"/>
    <w:rsid w:val="0AB16D81"/>
    <w:rsid w:val="0AB63DE6"/>
    <w:rsid w:val="0AB824C0"/>
    <w:rsid w:val="0ABA2239"/>
    <w:rsid w:val="0ABAB0A5"/>
    <w:rsid w:val="0ABB02BA"/>
    <w:rsid w:val="0AC3156E"/>
    <w:rsid w:val="0AC40601"/>
    <w:rsid w:val="0AC5C9F4"/>
    <w:rsid w:val="0AC69C9C"/>
    <w:rsid w:val="0AC78AC9"/>
    <w:rsid w:val="0AC9A504"/>
    <w:rsid w:val="0ACA7F85"/>
    <w:rsid w:val="0ACC66EB"/>
    <w:rsid w:val="0ACE965B"/>
    <w:rsid w:val="0ACEDAFF"/>
    <w:rsid w:val="0ACEDBB8"/>
    <w:rsid w:val="0ACEFBCA"/>
    <w:rsid w:val="0AD2C09F"/>
    <w:rsid w:val="0AD416F0"/>
    <w:rsid w:val="0ADA0EFD"/>
    <w:rsid w:val="0ADB823A"/>
    <w:rsid w:val="0ADBAE5E"/>
    <w:rsid w:val="0ADF72D7"/>
    <w:rsid w:val="0AE0E8E6"/>
    <w:rsid w:val="0AE1C5DC"/>
    <w:rsid w:val="0AE25CB9"/>
    <w:rsid w:val="0AE28139"/>
    <w:rsid w:val="0AE3A830"/>
    <w:rsid w:val="0AE45375"/>
    <w:rsid w:val="0AE83B36"/>
    <w:rsid w:val="0AE8A1B1"/>
    <w:rsid w:val="0AE8A7D6"/>
    <w:rsid w:val="0AE997C9"/>
    <w:rsid w:val="0AE9D33A"/>
    <w:rsid w:val="0AEB1273"/>
    <w:rsid w:val="0AEB8C35"/>
    <w:rsid w:val="0AEC47AE"/>
    <w:rsid w:val="0AED9E87"/>
    <w:rsid w:val="0AF376CE"/>
    <w:rsid w:val="0AF512C8"/>
    <w:rsid w:val="0AF8FC6D"/>
    <w:rsid w:val="0AFE8B8C"/>
    <w:rsid w:val="0AFEDED2"/>
    <w:rsid w:val="0B02F18A"/>
    <w:rsid w:val="0B044DCD"/>
    <w:rsid w:val="0B04C627"/>
    <w:rsid w:val="0B067C94"/>
    <w:rsid w:val="0B093FB8"/>
    <w:rsid w:val="0B09CC41"/>
    <w:rsid w:val="0B0AB44B"/>
    <w:rsid w:val="0B0B4070"/>
    <w:rsid w:val="0B0B7A82"/>
    <w:rsid w:val="0B0D8C5F"/>
    <w:rsid w:val="0B100200"/>
    <w:rsid w:val="0B11385D"/>
    <w:rsid w:val="0B123435"/>
    <w:rsid w:val="0B138539"/>
    <w:rsid w:val="0B15200D"/>
    <w:rsid w:val="0B15B7F1"/>
    <w:rsid w:val="0B174A24"/>
    <w:rsid w:val="0B178544"/>
    <w:rsid w:val="0B17B92E"/>
    <w:rsid w:val="0B1A2794"/>
    <w:rsid w:val="0B1A6014"/>
    <w:rsid w:val="0B1B348A"/>
    <w:rsid w:val="0B1C3B84"/>
    <w:rsid w:val="0B1D41C9"/>
    <w:rsid w:val="0B1F43DD"/>
    <w:rsid w:val="0B204453"/>
    <w:rsid w:val="0B229355"/>
    <w:rsid w:val="0B232705"/>
    <w:rsid w:val="0B255A88"/>
    <w:rsid w:val="0B287BFA"/>
    <w:rsid w:val="0B29D72C"/>
    <w:rsid w:val="0B2BF793"/>
    <w:rsid w:val="0B2C6B4A"/>
    <w:rsid w:val="0B2C8E20"/>
    <w:rsid w:val="0B2CA819"/>
    <w:rsid w:val="0B2CD512"/>
    <w:rsid w:val="0B2E3290"/>
    <w:rsid w:val="0B2FEF0A"/>
    <w:rsid w:val="0B300EC0"/>
    <w:rsid w:val="0B30C0E6"/>
    <w:rsid w:val="0B357244"/>
    <w:rsid w:val="0B37F23B"/>
    <w:rsid w:val="0B3C4330"/>
    <w:rsid w:val="0B3DEAF9"/>
    <w:rsid w:val="0B41B419"/>
    <w:rsid w:val="0B420FED"/>
    <w:rsid w:val="0B43167B"/>
    <w:rsid w:val="0B435F92"/>
    <w:rsid w:val="0B451A72"/>
    <w:rsid w:val="0B45271A"/>
    <w:rsid w:val="0B473985"/>
    <w:rsid w:val="0B4A252A"/>
    <w:rsid w:val="0B4A56ED"/>
    <w:rsid w:val="0B4C1C32"/>
    <w:rsid w:val="0B4C9A70"/>
    <w:rsid w:val="0B5210A6"/>
    <w:rsid w:val="0B52412B"/>
    <w:rsid w:val="0B525CB8"/>
    <w:rsid w:val="0B574135"/>
    <w:rsid w:val="0B57A880"/>
    <w:rsid w:val="0B588B67"/>
    <w:rsid w:val="0B5AF11F"/>
    <w:rsid w:val="0B5C08D9"/>
    <w:rsid w:val="0B5D6439"/>
    <w:rsid w:val="0B5E64C6"/>
    <w:rsid w:val="0B5E6740"/>
    <w:rsid w:val="0B61C395"/>
    <w:rsid w:val="0B61C824"/>
    <w:rsid w:val="0B6412BD"/>
    <w:rsid w:val="0B64E49E"/>
    <w:rsid w:val="0B688FD4"/>
    <w:rsid w:val="0B694080"/>
    <w:rsid w:val="0B6B2C40"/>
    <w:rsid w:val="0B6BCAFA"/>
    <w:rsid w:val="0B6DD028"/>
    <w:rsid w:val="0B6ED24A"/>
    <w:rsid w:val="0B704E74"/>
    <w:rsid w:val="0B712F60"/>
    <w:rsid w:val="0B7179E6"/>
    <w:rsid w:val="0B73BC92"/>
    <w:rsid w:val="0B73D7CC"/>
    <w:rsid w:val="0B757691"/>
    <w:rsid w:val="0B76332E"/>
    <w:rsid w:val="0B76B22D"/>
    <w:rsid w:val="0B778AEA"/>
    <w:rsid w:val="0B77D35E"/>
    <w:rsid w:val="0B7820F3"/>
    <w:rsid w:val="0B790A10"/>
    <w:rsid w:val="0B7976A4"/>
    <w:rsid w:val="0B7A8462"/>
    <w:rsid w:val="0B7A8515"/>
    <w:rsid w:val="0B7CEBBA"/>
    <w:rsid w:val="0B7DC471"/>
    <w:rsid w:val="0B7EC86E"/>
    <w:rsid w:val="0B7FBCF4"/>
    <w:rsid w:val="0B829E70"/>
    <w:rsid w:val="0B855A46"/>
    <w:rsid w:val="0B870FC9"/>
    <w:rsid w:val="0B8890B0"/>
    <w:rsid w:val="0B89E8DD"/>
    <w:rsid w:val="0B8A51E3"/>
    <w:rsid w:val="0B8C7B00"/>
    <w:rsid w:val="0B8DFC6B"/>
    <w:rsid w:val="0B8E6CE8"/>
    <w:rsid w:val="0B8F945E"/>
    <w:rsid w:val="0B901CF6"/>
    <w:rsid w:val="0B916A20"/>
    <w:rsid w:val="0B91A574"/>
    <w:rsid w:val="0B91DECF"/>
    <w:rsid w:val="0B92328E"/>
    <w:rsid w:val="0B94D218"/>
    <w:rsid w:val="0B94F0AB"/>
    <w:rsid w:val="0B96FFDE"/>
    <w:rsid w:val="0B991993"/>
    <w:rsid w:val="0B9B80F0"/>
    <w:rsid w:val="0B9BEDAE"/>
    <w:rsid w:val="0B9CE0FB"/>
    <w:rsid w:val="0B9D8A6E"/>
    <w:rsid w:val="0B9DB39D"/>
    <w:rsid w:val="0BA05395"/>
    <w:rsid w:val="0BA06E4F"/>
    <w:rsid w:val="0BA0EF4B"/>
    <w:rsid w:val="0BA14995"/>
    <w:rsid w:val="0BA20A65"/>
    <w:rsid w:val="0BA2403F"/>
    <w:rsid w:val="0BA25ACB"/>
    <w:rsid w:val="0BA36BFD"/>
    <w:rsid w:val="0BA36DBF"/>
    <w:rsid w:val="0BA54926"/>
    <w:rsid w:val="0BA80121"/>
    <w:rsid w:val="0BA86738"/>
    <w:rsid w:val="0BA8C75A"/>
    <w:rsid w:val="0BAA4CA5"/>
    <w:rsid w:val="0BAC7160"/>
    <w:rsid w:val="0BB07376"/>
    <w:rsid w:val="0BB1B948"/>
    <w:rsid w:val="0BB37C85"/>
    <w:rsid w:val="0BB459A9"/>
    <w:rsid w:val="0BB5D86A"/>
    <w:rsid w:val="0BB90DCA"/>
    <w:rsid w:val="0BBC5F30"/>
    <w:rsid w:val="0BC0E6C4"/>
    <w:rsid w:val="0BC35EB0"/>
    <w:rsid w:val="0BC4E368"/>
    <w:rsid w:val="0BC559A1"/>
    <w:rsid w:val="0BC6DBDA"/>
    <w:rsid w:val="0BC7F747"/>
    <w:rsid w:val="0BCA0568"/>
    <w:rsid w:val="0BCCAE8F"/>
    <w:rsid w:val="0BCF1CAC"/>
    <w:rsid w:val="0BD219AF"/>
    <w:rsid w:val="0BD275C0"/>
    <w:rsid w:val="0BD606CE"/>
    <w:rsid w:val="0BD6EEEF"/>
    <w:rsid w:val="0BDA0C3B"/>
    <w:rsid w:val="0BDBB850"/>
    <w:rsid w:val="0BDE5052"/>
    <w:rsid w:val="0BDF4596"/>
    <w:rsid w:val="0BE0388C"/>
    <w:rsid w:val="0BE03900"/>
    <w:rsid w:val="0BE05BFA"/>
    <w:rsid w:val="0BE0E7D9"/>
    <w:rsid w:val="0BE1CBD8"/>
    <w:rsid w:val="0BE3D4B4"/>
    <w:rsid w:val="0BE539E3"/>
    <w:rsid w:val="0BE65B5E"/>
    <w:rsid w:val="0BE93DBD"/>
    <w:rsid w:val="0BEBC2DF"/>
    <w:rsid w:val="0BED18AF"/>
    <w:rsid w:val="0BF169E5"/>
    <w:rsid w:val="0BF1B306"/>
    <w:rsid w:val="0BF53181"/>
    <w:rsid w:val="0BF5EE87"/>
    <w:rsid w:val="0BF6DAEC"/>
    <w:rsid w:val="0BF8808A"/>
    <w:rsid w:val="0BFBF3E4"/>
    <w:rsid w:val="0BFD4C2B"/>
    <w:rsid w:val="0BFDBE42"/>
    <w:rsid w:val="0BFE639C"/>
    <w:rsid w:val="0C023F1D"/>
    <w:rsid w:val="0C05EB71"/>
    <w:rsid w:val="0C05F9A8"/>
    <w:rsid w:val="0C07B8AF"/>
    <w:rsid w:val="0C089788"/>
    <w:rsid w:val="0C0B286C"/>
    <w:rsid w:val="0C0CCD47"/>
    <w:rsid w:val="0C0D5C8A"/>
    <w:rsid w:val="0C0D5F01"/>
    <w:rsid w:val="0C0D6F1D"/>
    <w:rsid w:val="0C114D1E"/>
    <w:rsid w:val="0C12A6A8"/>
    <w:rsid w:val="0C13DE5D"/>
    <w:rsid w:val="0C14F723"/>
    <w:rsid w:val="0C154C1B"/>
    <w:rsid w:val="0C15EB8D"/>
    <w:rsid w:val="0C16040E"/>
    <w:rsid w:val="0C17C782"/>
    <w:rsid w:val="0C1BE0BA"/>
    <w:rsid w:val="0C1C6FA3"/>
    <w:rsid w:val="0C1C7D52"/>
    <w:rsid w:val="0C1F966A"/>
    <w:rsid w:val="0C2078BD"/>
    <w:rsid w:val="0C21BDB8"/>
    <w:rsid w:val="0C22F18C"/>
    <w:rsid w:val="0C241A3A"/>
    <w:rsid w:val="0C25F08A"/>
    <w:rsid w:val="0C273FD1"/>
    <w:rsid w:val="0C285447"/>
    <w:rsid w:val="0C2A9B86"/>
    <w:rsid w:val="0C2A9FE9"/>
    <w:rsid w:val="0C2BAA16"/>
    <w:rsid w:val="0C2C01D1"/>
    <w:rsid w:val="0C2D086D"/>
    <w:rsid w:val="0C311FC0"/>
    <w:rsid w:val="0C31BF80"/>
    <w:rsid w:val="0C322702"/>
    <w:rsid w:val="0C327B2A"/>
    <w:rsid w:val="0C339381"/>
    <w:rsid w:val="0C36EFF9"/>
    <w:rsid w:val="0C37C09A"/>
    <w:rsid w:val="0C39E047"/>
    <w:rsid w:val="0C3AD96C"/>
    <w:rsid w:val="0C3E4751"/>
    <w:rsid w:val="0C3EE2A2"/>
    <w:rsid w:val="0C425F5E"/>
    <w:rsid w:val="0C46FE09"/>
    <w:rsid w:val="0C48A00E"/>
    <w:rsid w:val="0C4AB7D8"/>
    <w:rsid w:val="0C4AC8E4"/>
    <w:rsid w:val="0C4B87FD"/>
    <w:rsid w:val="0C4BADC7"/>
    <w:rsid w:val="0C4BD9F1"/>
    <w:rsid w:val="0C4BED16"/>
    <w:rsid w:val="0C4BF023"/>
    <w:rsid w:val="0C4CB3E2"/>
    <w:rsid w:val="0C50838A"/>
    <w:rsid w:val="0C53D370"/>
    <w:rsid w:val="0C57746F"/>
    <w:rsid w:val="0C5A9888"/>
    <w:rsid w:val="0C5BB2BE"/>
    <w:rsid w:val="0C5C4EE5"/>
    <w:rsid w:val="0C5C72D9"/>
    <w:rsid w:val="0C5EF8A5"/>
    <w:rsid w:val="0C6019B0"/>
    <w:rsid w:val="0C60AFB2"/>
    <w:rsid w:val="0C61C5A2"/>
    <w:rsid w:val="0C61DE1F"/>
    <w:rsid w:val="0C622D75"/>
    <w:rsid w:val="0C638B1D"/>
    <w:rsid w:val="0C645E1F"/>
    <w:rsid w:val="0C65402B"/>
    <w:rsid w:val="0C691589"/>
    <w:rsid w:val="0C6AD2C4"/>
    <w:rsid w:val="0C6B54DD"/>
    <w:rsid w:val="0C6CF414"/>
    <w:rsid w:val="0C6D146D"/>
    <w:rsid w:val="0C73C45D"/>
    <w:rsid w:val="0C7494FE"/>
    <w:rsid w:val="0C7790D2"/>
    <w:rsid w:val="0C7DDFDB"/>
    <w:rsid w:val="0C7EEB79"/>
    <w:rsid w:val="0C805375"/>
    <w:rsid w:val="0C8116A8"/>
    <w:rsid w:val="0C8274BC"/>
    <w:rsid w:val="0C831C88"/>
    <w:rsid w:val="0C833A03"/>
    <w:rsid w:val="0C849B8B"/>
    <w:rsid w:val="0C85099D"/>
    <w:rsid w:val="0C8600B1"/>
    <w:rsid w:val="0C86A4F6"/>
    <w:rsid w:val="0C8A8776"/>
    <w:rsid w:val="0C8FDB74"/>
    <w:rsid w:val="0C9156AF"/>
    <w:rsid w:val="0C9884BF"/>
    <w:rsid w:val="0C98D6AD"/>
    <w:rsid w:val="0C9A9DF1"/>
    <w:rsid w:val="0C9AF3C4"/>
    <w:rsid w:val="0C9B0A46"/>
    <w:rsid w:val="0C9B497E"/>
    <w:rsid w:val="0C9C7152"/>
    <w:rsid w:val="0CA035AB"/>
    <w:rsid w:val="0CA13B39"/>
    <w:rsid w:val="0CA3CD1D"/>
    <w:rsid w:val="0CA4E85F"/>
    <w:rsid w:val="0CA79C19"/>
    <w:rsid w:val="0CABE3E1"/>
    <w:rsid w:val="0CAC13F1"/>
    <w:rsid w:val="0CAD1626"/>
    <w:rsid w:val="0CAD60AB"/>
    <w:rsid w:val="0CAE5700"/>
    <w:rsid w:val="0CAFEB2B"/>
    <w:rsid w:val="0CAFF99D"/>
    <w:rsid w:val="0CB2AD6B"/>
    <w:rsid w:val="0CB2FE31"/>
    <w:rsid w:val="0CB4A2A3"/>
    <w:rsid w:val="0CB5A641"/>
    <w:rsid w:val="0CB61462"/>
    <w:rsid w:val="0CB6B54F"/>
    <w:rsid w:val="0CB6FAA7"/>
    <w:rsid w:val="0CB989F7"/>
    <w:rsid w:val="0CBA1402"/>
    <w:rsid w:val="0CBEBAB6"/>
    <w:rsid w:val="0CBF25E2"/>
    <w:rsid w:val="0CC036F6"/>
    <w:rsid w:val="0CC111E1"/>
    <w:rsid w:val="0CC44C38"/>
    <w:rsid w:val="0CC5D1F0"/>
    <w:rsid w:val="0CC6407C"/>
    <w:rsid w:val="0CC73D3E"/>
    <w:rsid w:val="0CC9553C"/>
    <w:rsid w:val="0CCA8A11"/>
    <w:rsid w:val="0CCAEB65"/>
    <w:rsid w:val="0CCB7CB4"/>
    <w:rsid w:val="0CCE77ED"/>
    <w:rsid w:val="0CCEDAFD"/>
    <w:rsid w:val="0CD161DB"/>
    <w:rsid w:val="0CD8FE85"/>
    <w:rsid w:val="0CDB13B3"/>
    <w:rsid w:val="0CDB1937"/>
    <w:rsid w:val="0CDB4A39"/>
    <w:rsid w:val="0CDC7936"/>
    <w:rsid w:val="0CDF2A90"/>
    <w:rsid w:val="0CDF99D2"/>
    <w:rsid w:val="0CE0E32C"/>
    <w:rsid w:val="0CE48017"/>
    <w:rsid w:val="0CE49DB3"/>
    <w:rsid w:val="0CE5AA78"/>
    <w:rsid w:val="0CE746DE"/>
    <w:rsid w:val="0CE8861E"/>
    <w:rsid w:val="0CE89EF5"/>
    <w:rsid w:val="0CEA1ED0"/>
    <w:rsid w:val="0CEC8AED"/>
    <w:rsid w:val="0CEDF29F"/>
    <w:rsid w:val="0CF00808"/>
    <w:rsid w:val="0CF11F45"/>
    <w:rsid w:val="0CF13398"/>
    <w:rsid w:val="0CF2B229"/>
    <w:rsid w:val="0CF5740E"/>
    <w:rsid w:val="0CF5F1ED"/>
    <w:rsid w:val="0CF6D221"/>
    <w:rsid w:val="0CFBF8B7"/>
    <w:rsid w:val="0CFC7F7F"/>
    <w:rsid w:val="0CFCE163"/>
    <w:rsid w:val="0CFDD5A2"/>
    <w:rsid w:val="0CFE6DA3"/>
    <w:rsid w:val="0D034C5E"/>
    <w:rsid w:val="0D043AD0"/>
    <w:rsid w:val="0D049FFA"/>
    <w:rsid w:val="0D04BADD"/>
    <w:rsid w:val="0D063895"/>
    <w:rsid w:val="0D106EF7"/>
    <w:rsid w:val="0D12D484"/>
    <w:rsid w:val="0D146A48"/>
    <w:rsid w:val="0D148F15"/>
    <w:rsid w:val="0D14A737"/>
    <w:rsid w:val="0D15549A"/>
    <w:rsid w:val="0D1A6B68"/>
    <w:rsid w:val="0D1B8127"/>
    <w:rsid w:val="0D1D2A71"/>
    <w:rsid w:val="0D1D83A3"/>
    <w:rsid w:val="0D1E41B8"/>
    <w:rsid w:val="0D202B1E"/>
    <w:rsid w:val="0D20EB69"/>
    <w:rsid w:val="0D22BF77"/>
    <w:rsid w:val="0D237759"/>
    <w:rsid w:val="0D24067A"/>
    <w:rsid w:val="0D28F2D0"/>
    <w:rsid w:val="0D298E26"/>
    <w:rsid w:val="0D2AE047"/>
    <w:rsid w:val="0D2B5E58"/>
    <w:rsid w:val="0D2C1C9C"/>
    <w:rsid w:val="0D2CABAD"/>
    <w:rsid w:val="0D2EF32A"/>
    <w:rsid w:val="0D2FFABF"/>
    <w:rsid w:val="0D3262E9"/>
    <w:rsid w:val="0D33DCB3"/>
    <w:rsid w:val="0D343F5F"/>
    <w:rsid w:val="0D35C479"/>
    <w:rsid w:val="0D383744"/>
    <w:rsid w:val="0D41FBEA"/>
    <w:rsid w:val="0D43DFA8"/>
    <w:rsid w:val="0D443924"/>
    <w:rsid w:val="0D467E97"/>
    <w:rsid w:val="0D4AEBE6"/>
    <w:rsid w:val="0D4BB563"/>
    <w:rsid w:val="0D4C5027"/>
    <w:rsid w:val="0D4EC76A"/>
    <w:rsid w:val="0D4F2C2D"/>
    <w:rsid w:val="0D507021"/>
    <w:rsid w:val="0D50E2E0"/>
    <w:rsid w:val="0D510A96"/>
    <w:rsid w:val="0D517014"/>
    <w:rsid w:val="0D51FD8C"/>
    <w:rsid w:val="0D553793"/>
    <w:rsid w:val="0D55903A"/>
    <w:rsid w:val="0D566D53"/>
    <w:rsid w:val="0D5837D8"/>
    <w:rsid w:val="0D595788"/>
    <w:rsid w:val="0D5B42C1"/>
    <w:rsid w:val="0D5E952B"/>
    <w:rsid w:val="0D60488B"/>
    <w:rsid w:val="0D618577"/>
    <w:rsid w:val="0D61C036"/>
    <w:rsid w:val="0D649AB0"/>
    <w:rsid w:val="0D6746BB"/>
    <w:rsid w:val="0D69E67E"/>
    <w:rsid w:val="0D6CF183"/>
    <w:rsid w:val="0D6DE3E9"/>
    <w:rsid w:val="0D6E0C20"/>
    <w:rsid w:val="0D7013B4"/>
    <w:rsid w:val="0D7188D2"/>
    <w:rsid w:val="0D71B4A3"/>
    <w:rsid w:val="0D732AA9"/>
    <w:rsid w:val="0D74307F"/>
    <w:rsid w:val="0D770AB5"/>
    <w:rsid w:val="0D7A2C31"/>
    <w:rsid w:val="0D7A92A0"/>
    <w:rsid w:val="0D7CD3FC"/>
    <w:rsid w:val="0D7E2E4A"/>
    <w:rsid w:val="0D7FE2DF"/>
    <w:rsid w:val="0D803650"/>
    <w:rsid w:val="0D81EB39"/>
    <w:rsid w:val="0D826F67"/>
    <w:rsid w:val="0D854CE3"/>
    <w:rsid w:val="0D8D10DA"/>
    <w:rsid w:val="0D8D9CEC"/>
    <w:rsid w:val="0D8DB6ED"/>
    <w:rsid w:val="0D8F365B"/>
    <w:rsid w:val="0D91472A"/>
    <w:rsid w:val="0D914B9B"/>
    <w:rsid w:val="0D917F4A"/>
    <w:rsid w:val="0D92AC12"/>
    <w:rsid w:val="0D93480A"/>
    <w:rsid w:val="0D98EAE8"/>
    <w:rsid w:val="0D9976A8"/>
    <w:rsid w:val="0D9A6734"/>
    <w:rsid w:val="0D9CDB5D"/>
    <w:rsid w:val="0D9CF147"/>
    <w:rsid w:val="0D9FDDE4"/>
    <w:rsid w:val="0DA03BC1"/>
    <w:rsid w:val="0DA0F390"/>
    <w:rsid w:val="0DA33E96"/>
    <w:rsid w:val="0DA4A5CA"/>
    <w:rsid w:val="0DA53AD9"/>
    <w:rsid w:val="0DA7615D"/>
    <w:rsid w:val="0DA79B9A"/>
    <w:rsid w:val="0DAB3135"/>
    <w:rsid w:val="0DAC7BAA"/>
    <w:rsid w:val="0DADB06B"/>
    <w:rsid w:val="0DB1C200"/>
    <w:rsid w:val="0DB2BE64"/>
    <w:rsid w:val="0DB3F0B7"/>
    <w:rsid w:val="0DB6F16E"/>
    <w:rsid w:val="0DB722A4"/>
    <w:rsid w:val="0DB83D9F"/>
    <w:rsid w:val="0DB8FF08"/>
    <w:rsid w:val="0DB949AD"/>
    <w:rsid w:val="0DB9E1D4"/>
    <w:rsid w:val="0DBC1074"/>
    <w:rsid w:val="0DBC40EE"/>
    <w:rsid w:val="0DBDA0E3"/>
    <w:rsid w:val="0DBDF23A"/>
    <w:rsid w:val="0DBE4E88"/>
    <w:rsid w:val="0DBF021B"/>
    <w:rsid w:val="0DBF74CD"/>
    <w:rsid w:val="0DC10D9E"/>
    <w:rsid w:val="0DC1E198"/>
    <w:rsid w:val="0DC47575"/>
    <w:rsid w:val="0DC5BBF6"/>
    <w:rsid w:val="0DC64F03"/>
    <w:rsid w:val="0DC68353"/>
    <w:rsid w:val="0DC8D6F9"/>
    <w:rsid w:val="0DCD5E5C"/>
    <w:rsid w:val="0DCD883C"/>
    <w:rsid w:val="0DCEE0C1"/>
    <w:rsid w:val="0DD0411E"/>
    <w:rsid w:val="0DD4FFB3"/>
    <w:rsid w:val="0DD6977B"/>
    <w:rsid w:val="0DD765FB"/>
    <w:rsid w:val="0DDCC6AC"/>
    <w:rsid w:val="0DDDB381"/>
    <w:rsid w:val="0DE51631"/>
    <w:rsid w:val="0DE5CEB6"/>
    <w:rsid w:val="0DE62585"/>
    <w:rsid w:val="0DE787D7"/>
    <w:rsid w:val="0DE7F28A"/>
    <w:rsid w:val="0DEC03C0"/>
    <w:rsid w:val="0DEC1FA6"/>
    <w:rsid w:val="0DEE3AB5"/>
    <w:rsid w:val="0DEE6F3A"/>
    <w:rsid w:val="0DEF2EC1"/>
    <w:rsid w:val="0DEF7D4F"/>
    <w:rsid w:val="0DF032A9"/>
    <w:rsid w:val="0DF10146"/>
    <w:rsid w:val="0DF2790F"/>
    <w:rsid w:val="0DF28D27"/>
    <w:rsid w:val="0DF2B615"/>
    <w:rsid w:val="0DF45DB4"/>
    <w:rsid w:val="0DF4C8C1"/>
    <w:rsid w:val="0DF4F9CC"/>
    <w:rsid w:val="0DF61CF3"/>
    <w:rsid w:val="0DF6FD62"/>
    <w:rsid w:val="0DF7E0F3"/>
    <w:rsid w:val="0DF8B113"/>
    <w:rsid w:val="0DF8F7D7"/>
    <w:rsid w:val="0DF981AA"/>
    <w:rsid w:val="0DF9E352"/>
    <w:rsid w:val="0DFBCDDC"/>
    <w:rsid w:val="0DFC8F70"/>
    <w:rsid w:val="0DFF6D84"/>
    <w:rsid w:val="0E023925"/>
    <w:rsid w:val="0E029849"/>
    <w:rsid w:val="0E04033F"/>
    <w:rsid w:val="0E05A94B"/>
    <w:rsid w:val="0E06C062"/>
    <w:rsid w:val="0E08574F"/>
    <w:rsid w:val="0E085A2F"/>
    <w:rsid w:val="0E088D0A"/>
    <w:rsid w:val="0E09D464"/>
    <w:rsid w:val="0E0EE686"/>
    <w:rsid w:val="0E0F3732"/>
    <w:rsid w:val="0E1372B3"/>
    <w:rsid w:val="0E138315"/>
    <w:rsid w:val="0E1797F8"/>
    <w:rsid w:val="0E190C53"/>
    <w:rsid w:val="0E1A5131"/>
    <w:rsid w:val="0E1CFC84"/>
    <w:rsid w:val="0E1D2E7E"/>
    <w:rsid w:val="0E20AE19"/>
    <w:rsid w:val="0E20D505"/>
    <w:rsid w:val="0E23D3AF"/>
    <w:rsid w:val="0E27009E"/>
    <w:rsid w:val="0E2827B8"/>
    <w:rsid w:val="0E28E8C4"/>
    <w:rsid w:val="0E29D739"/>
    <w:rsid w:val="0E2A4736"/>
    <w:rsid w:val="0E2BA10C"/>
    <w:rsid w:val="0E2DC162"/>
    <w:rsid w:val="0E2E2CDA"/>
    <w:rsid w:val="0E2E626A"/>
    <w:rsid w:val="0E313943"/>
    <w:rsid w:val="0E313CCC"/>
    <w:rsid w:val="0E3223F7"/>
    <w:rsid w:val="0E335D26"/>
    <w:rsid w:val="0E34FAB0"/>
    <w:rsid w:val="0E34FBF8"/>
    <w:rsid w:val="0E355AEC"/>
    <w:rsid w:val="0E367D33"/>
    <w:rsid w:val="0E36A8FA"/>
    <w:rsid w:val="0E37DA2D"/>
    <w:rsid w:val="0E387A50"/>
    <w:rsid w:val="0E38CDEE"/>
    <w:rsid w:val="0E394193"/>
    <w:rsid w:val="0E3DD00E"/>
    <w:rsid w:val="0E405FE3"/>
    <w:rsid w:val="0E409F0D"/>
    <w:rsid w:val="0E42ABD3"/>
    <w:rsid w:val="0E4323CD"/>
    <w:rsid w:val="0E4380DF"/>
    <w:rsid w:val="0E47F5B7"/>
    <w:rsid w:val="0E48815E"/>
    <w:rsid w:val="0E48BA9E"/>
    <w:rsid w:val="0E4D098A"/>
    <w:rsid w:val="0E4EB27D"/>
    <w:rsid w:val="0E4FF6E5"/>
    <w:rsid w:val="0E50469F"/>
    <w:rsid w:val="0E567B17"/>
    <w:rsid w:val="0E56CA3C"/>
    <w:rsid w:val="0E58A01D"/>
    <w:rsid w:val="0E5A2102"/>
    <w:rsid w:val="0E5BA22A"/>
    <w:rsid w:val="0E5C35C0"/>
    <w:rsid w:val="0E5CAD2B"/>
    <w:rsid w:val="0E5D8E30"/>
    <w:rsid w:val="0E5EBC48"/>
    <w:rsid w:val="0E5FCBFB"/>
    <w:rsid w:val="0E659B29"/>
    <w:rsid w:val="0E6B0F51"/>
    <w:rsid w:val="0E6EA723"/>
    <w:rsid w:val="0E6F933E"/>
    <w:rsid w:val="0E70B276"/>
    <w:rsid w:val="0E70E05A"/>
    <w:rsid w:val="0E743D42"/>
    <w:rsid w:val="0E74C9A9"/>
    <w:rsid w:val="0E77121C"/>
    <w:rsid w:val="0E77AA59"/>
    <w:rsid w:val="0E786D15"/>
    <w:rsid w:val="0E792B82"/>
    <w:rsid w:val="0E7AFEEF"/>
    <w:rsid w:val="0E7B9AAE"/>
    <w:rsid w:val="0E7D62B0"/>
    <w:rsid w:val="0E7DA927"/>
    <w:rsid w:val="0E7E4430"/>
    <w:rsid w:val="0E807CB3"/>
    <w:rsid w:val="0E80EF51"/>
    <w:rsid w:val="0E82AA9F"/>
    <w:rsid w:val="0E86AD8C"/>
    <w:rsid w:val="0E8B27D8"/>
    <w:rsid w:val="0E8B7C67"/>
    <w:rsid w:val="0E8CFB7A"/>
    <w:rsid w:val="0E9674DA"/>
    <w:rsid w:val="0E980EFC"/>
    <w:rsid w:val="0E9BF703"/>
    <w:rsid w:val="0E9C0B8A"/>
    <w:rsid w:val="0E9F797F"/>
    <w:rsid w:val="0E9FFF99"/>
    <w:rsid w:val="0EA16AF0"/>
    <w:rsid w:val="0EA173C8"/>
    <w:rsid w:val="0EA33A66"/>
    <w:rsid w:val="0EA6AE02"/>
    <w:rsid w:val="0EA74DBA"/>
    <w:rsid w:val="0EA79EDB"/>
    <w:rsid w:val="0EA824C4"/>
    <w:rsid w:val="0EA97279"/>
    <w:rsid w:val="0EAAEC74"/>
    <w:rsid w:val="0EAB06D1"/>
    <w:rsid w:val="0EAB6690"/>
    <w:rsid w:val="0EAB8523"/>
    <w:rsid w:val="0EAC641E"/>
    <w:rsid w:val="0EAF9A12"/>
    <w:rsid w:val="0EB107B7"/>
    <w:rsid w:val="0EB5A28C"/>
    <w:rsid w:val="0EB65551"/>
    <w:rsid w:val="0EB80790"/>
    <w:rsid w:val="0EB84697"/>
    <w:rsid w:val="0EBA7FD6"/>
    <w:rsid w:val="0EBBD14E"/>
    <w:rsid w:val="0EBD82B4"/>
    <w:rsid w:val="0EBE8263"/>
    <w:rsid w:val="0EC022D5"/>
    <w:rsid w:val="0EC156A8"/>
    <w:rsid w:val="0EC6190D"/>
    <w:rsid w:val="0EC89B1A"/>
    <w:rsid w:val="0EC92274"/>
    <w:rsid w:val="0ECE17F0"/>
    <w:rsid w:val="0ECE918A"/>
    <w:rsid w:val="0ECEB88F"/>
    <w:rsid w:val="0ED071C8"/>
    <w:rsid w:val="0ED1014E"/>
    <w:rsid w:val="0ED12989"/>
    <w:rsid w:val="0ED78A5E"/>
    <w:rsid w:val="0EDA0E70"/>
    <w:rsid w:val="0EDCEDC9"/>
    <w:rsid w:val="0EE1D920"/>
    <w:rsid w:val="0EE249C8"/>
    <w:rsid w:val="0EE7B08F"/>
    <w:rsid w:val="0EEA828A"/>
    <w:rsid w:val="0EEA891F"/>
    <w:rsid w:val="0EEBDA10"/>
    <w:rsid w:val="0EEC4B8A"/>
    <w:rsid w:val="0EECCF35"/>
    <w:rsid w:val="0EEF4ECC"/>
    <w:rsid w:val="0EF390D3"/>
    <w:rsid w:val="0EFAFBDD"/>
    <w:rsid w:val="0EFBED4F"/>
    <w:rsid w:val="0EFC1010"/>
    <w:rsid w:val="0EFC7E6C"/>
    <w:rsid w:val="0EFD7D58"/>
    <w:rsid w:val="0EFF1195"/>
    <w:rsid w:val="0F00A78D"/>
    <w:rsid w:val="0F0343AF"/>
    <w:rsid w:val="0F04D96A"/>
    <w:rsid w:val="0F079313"/>
    <w:rsid w:val="0F08315E"/>
    <w:rsid w:val="0F0BE60B"/>
    <w:rsid w:val="0F0C1322"/>
    <w:rsid w:val="0F0CBB42"/>
    <w:rsid w:val="0F0D6616"/>
    <w:rsid w:val="0F0DA100"/>
    <w:rsid w:val="0F0E6C5E"/>
    <w:rsid w:val="0F13194C"/>
    <w:rsid w:val="0F13CAA8"/>
    <w:rsid w:val="0F14D5B7"/>
    <w:rsid w:val="0F155D8A"/>
    <w:rsid w:val="0F157F5A"/>
    <w:rsid w:val="0F1A58FB"/>
    <w:rsid w:val="0F1ABFC8"/>
    <w:rsid w:val="0F1B012F"/>
    <w:rsid w:val="0F1C3E4B"/>
    <w:rsid w:val="0F1C55B0"/>
    <w:rsid w:val="0F1D5371"/>
    <w:rsid w:val="0F1DD8FF"/>
    <w:rsid w:val="0F1E6093"/>
    <w:rsid w:val="0F1F1844"/>
    <w:rsid w:val="0F1F8A64"/>
    <w:rsid w:val="0F20358E"/>
    <w:rsid w:val="0F215E4C"/>
    <w:rsid w:val="0F22B679"/>
    <w:rsid w:val="0F241AB5"/>
    <w:rsid w:val="0F2D4C05"/>
    <w:rsid w:val="0F302AA6"/>
    <w:rsid w:val="0F3173C2"/>
    <w:rsid w:val="0F3275AA"/>
    <w:rsid w:val="0F329C96"/>
    <w:rsid w:val="0F33234B"/>
    <w:rsid w:val="0F345783"/>
    <w:rsid w:val="0F35308F"/>
    <w:rsid w:val="0F35C898"/>
    <w:rsid w:val="0F378B8E"/>
    <w:rsid w:val="0F37BE77"/>
    <w:rsid w:val="0F3AA4C5"/>
    <w:rsid w:val="0F3AE34D"/>
    <w:rsid w:val="0F3CD0F8"/>
    <w:rsid w:val="0F3DC55B"/>
    <w:rsid w:val="0F3E776D"/>
    <w:rsid w:val="0F3ED54F"/>
    <w:rsid w:val="0F3F519E"/>
    <w:rsid w:val="0F40ABE7"/>
    <w:rsid w:val="0F436F00"/>
    <w:rsid w:val="0F4580CD"/>
    <w:rsid w:val="0F458FC9"/>
    <w:rsid w:val="0F45A0EF"/>
    <w:rsid w:val="0F48E33E"/>
    <w:rsid w:val="0F49908D"/>
    <w:rsid w:val="0F4A14D4"/>
    <w:rsid w:val="0F4A3499"/>
    <w:rsid w:val="0F4B397B"/>
    <w:rsid w:val="0F4B460E"/>
    <w:rsid w:val="0F4C9408"/>
    <w:rsid w:val="0F4CAE36"/>
    <w:rsid w:val="0F4CF34D"/>
    <w:rsid w:val="0F4D18C8"/>
    <w:rsid w:val="0F4F54C2"/>
    <w:rsid w:val="0F4F7E0B"/>
    <w:rsid w:val="0F4FF585"/>
    <w:rsid w:val="0F50374C"/>
    <w:rsid w:val="0F5143DE"/>
    <w:rsid w:val="0F51CC79"/>
    <w:rsid w:val="0F522DB6"/>
    <w:rsid w:val="0F523F8D"/>
    <w:rsid w:val="0F550B1F"/>
    <w:rsid w:val="0F56A496"/>
    <w:rsid w:val="0F592E4D"/>
    <w:rsid w:val="0F59DBDE"/>
    <w:rsid w:val="0F5BB567"/>
    <w:rsid w:val="0F5D0E1A"/>
    <w:rsid w:val="0F5D44A3"/>
    <w:rsid w:val="0F5E02E0"/>
    <w:rsid w:val="0F5F8FF0"/>
    <w:rsid w:val="0F603AB8"/>
    <w:rsid w:val="0F61496E"/>
    <w:rsid w:val="0F6230E0"/>
    <w:rsid w:val="0F63482A"/>
    <w:rsid w:val="0F63D6CE"/>
    <w:rsid w:val="0F64CC44"/>
    <w:rsid w:val="0F6F53BD"/>
    <w:rsid w:val="0F7040C5"/>
    <w:rsid w:val="0F753F24"/>
    <w:rsid w:val="0F770A91"/>
    <w:rsid w:val="0F787BA7"/>
    <w:rsid w:val="0F795A1B"/>
    <w:rsid w:val="0F7975D8"/>
    <w:rsid w:val="0F7A0C6F"/>
    <w:rsid w:val="0F7D651B"/>
    <w:rsid w:val="0F84FA1F"/>
    <w:rsid w:val="0F860BBB"/>
    <w:rsid w:val="0F877899"/>
    <w:rsid w:val="0F898C34"/>
    <w:rsid w:val="0F90C0E4"/>
    <w:rsid w:val="0F91A1EE"/>
    <w:rsid w:val="0F929B5D"/>
    <w:rsid w:val="0F93020D"/>
    <w:rsid w:val="0F930E8C"/>
    <w:rsid w:val="0F94DA93"/>
    <w:rsid w:val="0F99D965"/>
    <w:rsid w:val="0FA1766C"/>
    <w:rsid w:val="0FA2029F"/>
    <w:rsid w:val="0FA83998"/>
    <w:rsid w:val="0FABAD59"/>
    <w:rsid w:val="0FAD44AD"/>
    <w:rsid w:val="0FAEAF8B"/>
    <w:rsid w:val="0FB04A0E"/>
    <w:rsid w:val="0FB15DFC"/>
    <w:rsid w:val="0FB1EDC0"/>
    <w:rsid w:val="0FB36BCF"/>
    <w:rsid w:val="0FB6C7AD"/>
    <w:rsid w:val="0FB7C531"/>
    <w:rsid w:val="0FB7E1A0"/>
    <w:rsid w:val="0FB7E20E"/>
    <w:rsid w:val="0FBB0B92"/>
    <w:rsid w:val="0FBF4122"/>
    <w:rsid w:val="0FC3442E"/>
    <w:rsid w:val="0FC34717"/>
    <w:rsid w:val="0FC431A5"/>
    <w:rsid w:val="0FC486FD"/>
    <w:rsid w:val="0FCCEBA3"/>
    <w:rsid w:val="0FCE1A7A"/>
    <w:rsid w:val="0FD262F9"/>
    <w:rsid w:val="0FD3F967"/>
    <w:rsid w:val="0FDBC37A"/>
    <w:rsid w:val="0FDD59E7"/>
    <w:rsid w:val="0FDF38E0"/>
    <w:rsid w:val="0FDF5457"/>
    <w:rsid w:val="0FE01B61"/>
    <w:rsid w:val="0FE1D6BF"/>
    <w:rsid w:val="0FE2E997"/>
    <w:rsid w:val="0FE53B07"/>
    <w:rsid w:val="0FE5B1A6"/>
    <w:rsid w:val="0FE6A1BA"/>
    <w:rsid w:val="0FEA93F4"/>
    <w:rsid w:val="0FED8E47"/>
    <w:rsid w:val="0FEE0C8B"/>
    <w:rsid w:val="0FEFA8EE"/>
    <w:rsid w:val="0FF43205"/>
    <w:rsid w:val="0FF4AF09"/>
    <w:rsid w:val="0FF7C7B8"/>
    <w:rsid w:val="0FF82470"/>
    <w:rsid w:val="0FF9B189"/>
    <w:rsid w:val="0FFA67EB"/>
    <w:rsid w:val="0FFB040B"/>
    <w:rsid w:val="0FFBF5CD"/>
    <w:rsid w:val="0FFC2206"/>
    <w:rsid w:val="0FFE66A9"/>
    <w:rsid w:val="0FFE69C5"/>
    <w:rsid w:val="10000874"/>
    <w:rsid w:val="1002E429"/>
    <w:rsid w:val="1002EA2B"/>
    <w:rsid w:val="1005D4D6"/>
    <w:rsid w:val="10094F83"/>
    <w:rsid w:val="100AA40C"/>
    <w:rsid w:val="100B2698"/>
    <w:rsid w:val="100CA433"/>
    <w:rsid w:val="100E9909"/>
    <w:rsid w:val="100EA29C"/>
    <w:rsid w:val="100F4504"/>
    <w:rsid w:val="1010B119"/>
    <w:rsid w:val="1010E81A"/>
    <w:rsid w:val="1011D2CB"/>
    <w:rsid w:val="1012276A"/>
    <w:rsid w:val="10125DA5"/>
    <w:rsid w:val="101460B8"/>
    <w:rsid w:val="1015228B"/>
    <w:rsid w:val="101638A1"/>
    <w:rsid w:val="101643CF"/>
    <w:rsid w:val="1019E8E4"/>
    <w:rsid w:val="101B62CD"/>
    <w:rsid w:val="101CC12E"/>
    <w:rsid w:val="101DFBF5"/>
    <w:rsid w:val="101E389A"/>
    <w:rsid w:val="101E4290"/>
    <w:rsid w:val="101EB9B0"/>
    <w:rsid w:val="1025E942"/>
    <w:rsid w:val="1027034B"/>
    <w:rsid w:val="1027100D"/>
    <w:rsid w:val="1029C00C"/>
    <w:rsid w:val="102A7040"/>
    <w:rsid w:val="102AA103"/>
    <w:rsid w:val="102AAF83"/>
    <w:rsid w:val="102B455D"/>
    <w:rsid w:val="102B7BBC"/>
    <w:rsid w:val="102B94E6"/>
    <w:rsid w:val="102D7FA0"/>
    <w:rsid w:val="102E1197"/>
    <w:rsid w:val="102EB0F6"/>
    <w:rsid w:val="10307AB7"/>
    <w:rsid w:val="1030A31D"/>
    <w:rsid w:val="1033D9A8"/>
    <w:rsid w:val="10340E8E"/>
    <w:rsid w:val="10344E88"/>
    <w:rsid w:val="1036276F"/>
    <w:rsid w:val="103A2DDD"/>
    <w:rsid w:val="103AFA7E"/>
    <w:rsid w:val="103BAED6"/>
    <w:rsid w:val="103C1E9B"/>
    <w:rsid w:val="103E9BE8"/>
    <w:rsid w:val="103F47A4"/>
    <w:rsid w:val="103F49D8"/>
    <w:rsid w:val="10402404"/>
    <w:rsid w:val="104079D7"/>
    <w:rsid w:val="10429205"/>
    <w:rsid w:val="1048408F"/>
    <w:rsid w:val="1048DE47"/>
    <w:rsid w:val="104AA5A4"/>
    <w:rsid w:val="104B222C"/>
    <w:rsid w:val="104B38F3"/>
    <w:rsid w:val="104F9054"/>
    <w:rsid w:val="104FA760"/>
    <w:rsid w:val="104FE35F"/>
    <w:rsid w:val="105019D7"/>
    <w:rsid w:val="105236DD"/>
    <w:rsid w:val="10568554"/>
    <w:rsid w:val="105793E4"/>
    <w:rsid w:val="105DBA1A"/>
    <w:rsid w:val="105E60F6"/>
    <w:rsid w:val="10613860"/>
    <w:rsid w:val="106146B9"/>
    <w:rsid w:val="1069E0E9"/>
    <w:rsid w:val="106DA661"/>
    <w:rsid w:val="107306B5"/>
    <w:rsid w:val="10745303"/>
    <w:rsid w:val="1075456C"/>
    <w:rsid w:val="1075EBB7"/>
    <w:rsid w:val="10765B78"/>
    <w:rsid w:val="107E4529"/>
    <w:rsid w:val="107F9DB8"/>
    <w:rsid w:val="10806888"/>
    <w:rsid w:val="1081A8B6"/>
    <w:rsid w:val="108987FD"/>
    <w:rsid w:val="1089C6B0"/>
    <w:rsid w:val="108A9D12"/>
    <w:rsid w:val="108AFCF6"/>
    <w:rsid w:val="108B40A5"/>
    <w:rsid w:val="108E01EF"/>
    <w:rsid w:val="108F1517"/>
    <w:rsid w:val="1090767F"/>
    <w:rsid w:val="1092F0EC"/>
    <w:rsid w:val="1094E30F"/>
    <w:rsid w:val="1095B760"/>
    <w:rsid w:val="10962576"/>
    <w:rsid w:val="109A86DE"/>
    <w:rsid w:val="10A4101C"/>
    <w:rsid w:val="10A48399"/>
    <w:rsid w:val="10A4ACC8"/>
    <w:rsid w:val="10A6F9A8"/>
    <w:rsid w:val="10A7569E"/>
    <w:rsid w:val="10A79C07"/>
    <w:rsid w:val="10A7D368"/>
    <w:rsid w:val="10A8CDFE"/>
    <w:rsid w:val="10A94E97"/>
    <w:rsid w:val="10AAEA63"/>
    <w:rsid w:val="10AC95FC"/>
    <w:rsid w:val="10B03C06"/>
    <w:rsid w:val="10B07079"/>
    <w:rsid w:val="10B0ACBE"/>
    <w:rsid w:val="10B2D120"/>
    <w:rsid w:val="10B34F9A"/>
    <w:rsid w:val="10B53FC8"/>
    <w:rsid w:val="10B88AA2"/>
    <w:rsid w:val="10BB6A06"/>
    <w:rsid w:val="10BEB101"/>
    <w:rsid w:val="10BF197C"/>
    <w:rsid w:val="10BF42C5"/>
    <w:rsid w:val="10C13A66"/>
    <w:rsid w:val="10C13E08"/>
    <w:rsid w:val="10C346B8"/>
    <w:rsid w:val="10C40816"/>
    <w:rsid w:val="10C41A56"/>
    <w:rsid w:val="10C42112"/>
    <w:rsid w:val="10C4B19F"/>
    <w:rsid w:val="10C63382"/>
    <w:rsid w:val="10C8A667"/>
    <w:rsid w:val="10C97CB0"/>
    <w:rsid w:val="10CA4C5C"/>
    <w:rsid w:val="10CA7C1F"/>
    <w:rsid w:val="10CB0C70"/>
    <w:rsid w:val="10CB181E"/>
    <w:rsid w:val="10CC637A"/>
    <w:rsid w:val="10CD4016"/>
    <w:rsid w:val="10CDFDE5"/>
    <w:rsid w:val="10D161D5"/>
    <w:rsid w:val="10D1A521"/>
    <w:rsid w:val="10D4A344"/>
    <w:rsid w:val="10D5D7D0"/>
    <w:rsid w:val="10D8DA48"/>
    <w:rsid w:val="10DBF36C"/>
    <w:rsid w:val="10E07D7C"/>
    <w:rsid w:val="10E0812D"/>
    <w:rsid w:val="10E0A31D"/>
    <w:rsid w:val="10E0C4BF"/>
    <w:rsid w:val="10E0F286"/>
    <w:rsid w:val="10E16BE3"/>
    <w:rsid w:val="10E511A6"/>
    <w:rsid w:val="10E5E898"/>
    <w:rsid w:val="10E73619"/>
    <w:rsid w:val="10E7FEFE"/>
    <w:rsid w:val="10E8C32E"/>
    <w:rsid w:val="10EAAC91"/>
    <w:rsid w:val="10EB7FD2"/>
    <w:rsid w:val="10EB9679"/>
    <w:rsid w:val="10EC3860"/>
    <w:rsid w:val="10ED4160"/>
    <w:rsid w:val="10ED92ED"/>
    <w:rsid w:val="10EECE16"/>
    <w:rsid w:val="10F3827E"/>
    <w:rsid w:val="10F44BD9"/>
    <w:rsid w:val="10F4728A"/>
    <w:rsid w:val="10F5480B"/>
    <w:rsid w:val="10F7C0AA"/>
    <w:rsid w:val="10FEF14B"/>
    <w:rsid w:val="1100C50C"/>
    <w:rsid w:val="110E87B9"/>
    <w:rsid w:val="111298CE"/>
    <w:rsid w:val="1115086F"/>
    <w:rsid w:val="111764CC"/>
    <w:rsid w:val="1117AA22"/>
    <w:rsid w:val="111AC022"/>
    <w:rsid w:val="111D7EEA"/>
    <w:rsid w:val="111EF39C"/>
    <w:rsid w:val="11208F2C"/>
    <w:rsid w:val="1121FAAB"/>
    <w:rsid w:val="112582B4"/>
    <w:rsid w:val="11274B18"/>
    <w:rsid w:val="112A15B0"/>
    <w:rsid w:val="112C9276"/>
    <w:rsid w:val="112DA8A8"/>
    <w:rsid w:val="112E08E8"/>
    <w:rsid w:val="11309350"/>
    <w:rsid w:val="11326AE0"/>
    <w:rsid w:val="113271A8"/>
    <w:rsid w:val="1136FC35"/>
    <w:rsid w:val="113705C2"/>
    <w:rsid w:val="113BBCB1"/>
    <w:rsid w:val="113D7553"/>
    <w:rsid w:val="113F0FE2"/>
    <w:rsid w:val="11414395"/>
    <w:rsid w:val="11450E22"/>
    <w:rsid w:val="11451544"/>
    <w:rsid w:val="1145612E"/>
    <w:rsid w:val="114615C6"/>
    <w:rsid w:val="11480B08"/>
    <w:rsid w:val="11480C15"/>
    <w:rsid w:val="1148E4B9"/>
    <w:rsid w:val="1149B2B2"/>
    <w:rsid w:val="114A1005"/>
    <w:rsid w:val="114BA527"/>
    <w:rsid w:val="114F655F"/>
    <w:rsid w:val="115067B2"/>
    <w:rsid w:val="11529459"/>
    <w:rsid w:val="115335F6"/>
    <w:rsid w:val="1155A568"/>
    <w:rsid w:val="115A3E1B"/>
    <w:rsid w:val="115D0EBA"/>
    <w:rsid w:val="115D50A0"/>
    <w:rsid w:val="115E4D0F"/>
    <w:rsid w:val="115E5ED4"/>
    <w:rsid w:val="11610700"/>
    <w:rsid w:val="116219B2"/>
    <w:rsid w:val="116220BE"/>
    <w:rsid w:val="1164513F"/>
    <w:rsid w:val="11666B4A"/>
    <w:rsid w:val="1167F7F9"/>
    <w:rsid w:val="11688BAE"/>
    <w:rsid w:val="1168D9AE"/>
    <w:rsid w:val="11698D8D"/>
    <w:rsid w:val="116BE6C6"/>
    <w:rsid w:val="116D043C"/>
    <w:rsid w:val="11707634"/>
    <w:rsid w:val="1171105A"/>
    <w:rsid w:val="117240B2"/>
    <w:rsid w:val="1172A60A"/>
    <w:rsid w:val="11763B9E"/>
    <w:rsid w:val="11766945"/>
    <w:rsid w:val="11772B2D"/>
    <w:rsid w:val="117BDA92"/>
    <w:rsid w:val="117C3620"/>
    <w:rsid w:val="117D4D61"/>
    <w:rsid w:val="117E22EB"/>
    <w:rsid w:val="117F41E3"/>
    <w:rsid w:val="11801066"/>
    <w:rsid w:val="118080E8"/>
    <w:rsid w:val="11830B8D"/>
    <w:rsid w:val="1185E9E3"/>
    <w:rsid w:val="11881D8F"/>
    <w:rsid w:val="1188DDF1"/>
    <w:rsid w:val="118B06C5"/>
    <w:rsid w:val="118BC44B"/>
    <w:rsid w:val="118D647A"/>
    <w:rsid w:val="11906A83"/>
    <w:rsid w:val="1190973E"/>
    <w:rsid w:val="1192D00B"/>
    <w:rsid w:val="1193259C"/>
    <w:rsid w:val="119A4823"/>
    <w:rsid w:val="119B0BE0"/>
    <w:rsid w:val="119B515F"/>
    <w:rsid w:val="119D9143"/>
    <w:rsid w:val="11A04708"/>
    <w:rsid w:val="11A4EDAC"/>
    <w:rsid w:val="11A61863"/>
    <w:rsid w:val="11A73158"/>
    <w:rsid w:val="11A7C0A1"/>
    <w:rsid w:val="11A8BFC7"/>
    <w:rsid w:val="11AA2731"/>
    <w:rsid w:val="11ABA573"/>
    <w:rsid w:val="11AD2044"/>
    <w:rsid w:val="11B0E2FB"/>
    <w:rsid w:val="11B24A93"/>
    <w:rsid w:val="11B2E8D5"/>
    <w:rsid w:val="11B2F045"/>
    <w:rsid w:val="11B7FBF0"/>
    <w:rsid w:val="11B82805"/>
    <w:rsid w:val="11B8D7E0"/>
    <w:rsid w:val="11BBB472"/>
    <w:rsid w:val="11BBE5CB"/>
    <w:rsid w:val="11BC9D51"/>
    <w:rsid w:val="11BD6EB3"/>
    <w:rsid w:val="11C004A7"/>
    <w:rsid w:val="11C051D4"/>
    <w:rsid w:val="11C1F201"/>
    <w:rsid w:val="11C21A81"/>
    <w:rsid w:val="11C2B131"/>
    <w:rsid w:val="11C39EAE"/>
    <w:rsid w:val="11C420B1"/>
    <w:rsid w:val="11C51913"/>
    <w:rsid w:val="11C64294"/>
    <w:rsid w:val="11CBF6B7"/>
    <w:rsid w:val="11CE6839"/>
    <w:rsid w:val="11D2748D"/>
    <w:rsid w:val="11D4634A"/>
    <w:rsid w:val="11D51EFA"/>
    <w:rsid w:val="11D8A28B"/>
    <w:rsid w:val="11DA0D8B"/>
    <w:rsid w:val="11DAE48D"/>
    <w:rsid w:val="11DB3DEB"/>
    <w:rsid w:val="11DC47B7"/>
    <w:rsid w:val="11DFA612"/>
    <w:rsid w:val="11E0FAB2"/>
    <w:rsid w:val="11E22091"/>
    <w:rsid w:val="11E2E11B"/>
    <w:rsid w:val="11E550C0"/>
    <w:rsid w:val="11E5BF80"/>
    <w:rsid w:val="11E61B62"/>
    <w:rsid w:val="11E63F62"/>
    <w:rsid w:val="11E65894"/>
    <w:rsid w:val="11E7B1AC"/>
    <w:rsid w:val="11E81768"/>
    <w:rsid w:val="11EB641F"/>
    <w:rsid w:val="11EBAF7A"/>
    <w:rsid w:val="11EC3B18"/>
    <w:rsid w:val="11ED554C"/>
    <w:rsid w:val="11EE90EC"/>
    <w:rsid w:val="11F08B5D"/>
    <w:rsid w:val="11F2D7C8"/>
    <w:rsid w:val="11F4C1DE"/>
    <w:rsid w:val="11F63D9F"/>
    <w:rsid w:val="11F99A3C"/>
    <w:rsid w:val="11F9AEA2"/>
    <w:rsid w:val="11FB0310"/>
    <w:rsid w:val="11FB82FB"/>
    <w:rsid w:val="11FF995A"/>
    <w:rsid w:val="11FFF998"/>
    <w:rsid w:val="12001965"/>
    <w:rsid w:val="12022CF9"/>
    <w:rsid w:val="12025AB4"/>
    <w:rsid w:val="12032255"/>
    <w:rsid w:val="1204FD67"/>
    <w:rsid w:val="12050F48"/>
    <w:rsid w:val="12091675"/>
    <w:rsid w:val="1209C63B"/>
    <w:rsid w:val="120A0629"/>
    <w:rsid w:val="120BBD16"/>
    <w:rsid w:val="120D67A6"/>
    <w:rsid w:val="1210B69A"/>
    <w:rsid w:val="1212F396"/>
    <w:rsid w:val="1213FB09"/>
    <w:rsid w:val="12145C1D"/>
    <w:rsid w:val="12153EF4"/>
    <w:rsid w:val="1216CF47"/>
    <w:rsid w:val="1216D107"/>
    <w:rsid w:val="12179A38"/>
    <w:rsid w:val="121C6356"/>
    <w:rsid w:val="121E7BB7"/>
    <w:rsid w:val="122283AA"/>
    <w:rsid w:val="12228E7B"/>
    <w:rsid w:val="122359BE"/>
    <w:rsid w:val="12238573"/>
    <w:rsid w:val="12255153"/>
    <w:rsid w:val="12273F75"/>
    <w:rsid w:val="122960D5"/>
    <w:rsid w:val="1229CC2B"/>
    <w:rsid w:val="122C4D06"/>
    <w:rsid w:val="122F5B0A"/>
    <w:rsid w:val="123395F5"/>
    <w:rsid w:val="1233B249"/>
    <w:rsid w:val="1236D018"/>
    <w:rsid w:val="123A3BA1"/>
    <w:rsid w:val="123A907B"/>
    <w:rsid w:val="123B099E"/>
    <w:rsid w:val="123C9FE1"/>
    <w:rsid w:val="123DC204"/>
    <w:rsid w:val="123E1683"/>
    <w:rsid w:val="123F91FA"/>
    <w:rsid w:val="124080C7"/>
    <w:rsid w:val="12420520"/>
    <w:rsid w:val="1244FB90"/>
    <w:rsid w:val="1245E223"/>
    <w:rsid w:val="124716C9"/>
    <w:rsid w:val="12494401"/>
    <w:rsid w:val="124EC6FA"/>
    <w:rsid w:val="1254BBCE"/>
    <w:rsid w:val="125739EB"/>
    <w:rsid w:val="12578064"/>
    <w:rsid w:val="1257DBA0"/>
    <w:rsid w:val="1259C3B4"/>
    <w:rsid w:val="125AE875"/>
    <w:rsid w:val="125BA19A"/>
    <w:rsid w:val="125F273B"/>
    <w:rsid w:val="125F8DEE"/>
    <w:rsid w:val="125FBB56"/>
    <w:rsid w:val="12608CF0"/>
    <w:rsid w:val="1262BC96"/>
    <w:rsid w:val="1263642C"/>
    <w:rsid w:val="12669EB9"/>
    <w:rsid w:val="126A00EE"/>
    <w:rsid w:val="126F32DB"/>
    <w:rsid w:val="12723F4B"/>
    <w:rsid w:val="12738BE1"/>
    <w:rsid w:val="12744141"/>
    <w:rsid w:val="1274989A"/>
    <w:rsid w:val="127837B1"/>
    <w:rsid w:val="127A0807"/>
    <w:rsid w:val="127A0946"/>
    <w:rsid w:val="127E3483"/>
    <w:rsid w:val="127E7EA2"/>
    <w:rsid w:val="127F3175"/>
    <w:rsid w:val="12820C49"/>
    <w:rsid w:val="12824539"/>
    <w:rsid w:val="1284F62A"/>
    <w:rsid w:val="12892290"/>
    <w:rsid w:val="128A7207"/>
    <w:rsid w:val="128AEC61"/>
    <w:rsid w:val="128C7BF7"/>
    <w:rsid w:val="128CF33C"/>
    <w:rsid w:val="128D2192"/>
    <w:rsid w:val="128F11E1"/>
    <w:rsid w:val="1290F164"/>
    <w:rsid w:val="12917231"/>
    <w:rsid w:val="12923F3C"/>
    <w:rsid w:val="1292BC80"/>
    <w:rsid w:val="12932EF7"/>
    <w:rsid w:val="12955280"/>
    <w:rsid w:val="1296F1A2"/>
    <w:rsid w:val="1298935A"/>
    <w:rsid w:val="12993AC1"/>
    <w:rsid w:val="129A6616"/>
    <w:rsid w:val="129C84E2"/>
    <w:rsid w:val="12A15A0D"/>
    <w:rsid w:val="12A3CAEA"/>
    <w:rsid w:val="12A6694E"/>
    <w:rsid w:val="12A86F05"/>
    <w:rsid w:val="12A8AFA6"/>
    <w:rsid w:val="12A9F88B"/>
    <w:rsid w:val="12AE265E"/>
    <w:rsid w:val="12AE5345"/>
    <w:rsid w:val="12AFEF70"/>
    <w:rsid w:val="12B02890"/>
    <w:rsid w:val="12B2C420"/>
    <w:rsid w:val="12B345C2"/>
    <w:rsid w:val="12B37173"/>
    <w:rsid w:val="12B3F537"/>
    <w:rsid w:val="12B4BF7D"/>
    <w:rsid w:val="12B50596"/>
    <w:rsid w:val="12B5EAAD"/>
    <w:rsid w:val="12B6E1E9"/>
    <w:rsid w:val="12B71697"/>
    <w:rsid w:val="12B74473"/>
    <w:rsid w:val="12B7FEC4"/>
    <w:rsid w:val="12B97348"/>
    <w:rsid w:val="12BAC6F0"/>
    <w:rsid w:val="12BBB993"/>
    <w:rsid w:val="12BBD7BD"/>
    <w:rsid w:val="12BD332F"/>
    <w:rsid w:val="12BE6444"/>
    <w:rsid w:val="12BECC0C"/>
    <w:rsid w:val="12C4407B"/>
    <w:rsid w:val="12C4B6AC"/>
    <w:rsid w:val="12C64883"/>
    <w:rsid w:val="12C69227"/>
    <w:rsid w:val="12C8D111"/>
    <w:rsid w:val="12CD2BF3"/>
    <w:rsid w:val="12CDBA11"/>
    <w:rsid w:val="12CF1AEE"/>
    <w:rsid w:val="12CF26CC"/>
    <w:rsid w:val="12D0B32C"/>
    <w:rsid w:val="12D21E62"/>
    <w:rsid w:val="12D32208"/>
    <w:rsid w:val="12D39492"/>
    <w:rsid w:val="12D3F396"/>
    <w:rsid w:val="12D6BD49"/>
    <w:rsid w:val="12D80BC8"/>
    <w:rsid w:val="12DAB61E"/>
    <w:rsid w:val="12DB10B7"/>
    <w:rsid w:val="12DCB76F"/>
    <w:rsid w:val="12DDBE70"/>
    <w:rsid w:val="12DEB139"/>
    <w:rsid w:val="12DED30E"/>
    <w:rsid w:val="12DF3BDA"/>
    <w:rsid w:val="12E40BE9"/>
    <w:rsid w:val="12E4A4A6"/>
    <w:rsid w:val="12E5FCBB"/>
    <w:rsid w:val="12E6D79B"/>
    <w:rsid w:val="12E8C334"/>
    <w:rsid w:val="12EA33D5"/>
    <w:rsid w:val="12EA9DD7"/>
    <w:rsid w:val="12ED0A5E"/>
    <w:rsid w:val="12F5F195"/>
    <w:rsid w:val="12F5FA50"/>
    <w:rsid w:val="12F630F4"/>
    <w:rsid w:val="12F72F9F"/>
    <w:rsid w:val="12F82D90"/>
    <w:rsid w:val="12F9E1B6"/>
    <w:rsid w:val="12FA3E3F"/>
    <w:rsid w:val="12FAEFAE"/>
    <w:rsid w:val="12FC0469"/>
    <w:rsid w:val="12FCED83"/>
    <w:rsid w:val="12FE0A1B"/>
    <w:rsid w:val="12FEDB9F"/>
    <w:rsid w:val="12FF0A87"/>
    <w:rsid w:val="13029C08"/>
    <w:rsid w:val="13031FD7"/>
    <w:rsid w:val="130392A0"/>
    <w:rsid w:val="1303D3EB"/>
    <w:rsid w:val="130461EC"/>
    <w:rsid w:val="1305B6CF"/>
    <w:rsid w:val="13090824"/>
    <w:rsid w:val="130AC000"/>
    <w:rsid w:val="130AD2CE"/>
    <w:rsid w:val="130B0E57"/>
    <w:rsid w:val="130B5E66"/>
    <w:rsid w:val="130DDA78"/>
    <w:rsid w:val="130E284E"/>
    <w:rsid w:val="1311714D"/>
    <w:rsid w:val="13123B5B"/>
    <w:rsid w:val="1312FC31"/>
    <w:rsid w:val="13152E8B"/>
    <w:rsid w:val="13185F4D"/>
    <w:rsid w:val="13191178"/>
    <w:rsid w:val="131AC748"/>
    <w:rsid w:val="131B67F1"/>
    <w:rsid w:val="131C5397"/>
    <w:rsid w:val="131D132F"/>
    <w:rsid w:val="131EB8D0"/>
    <w:rsid w:val="1320502D"/>
    <w:rsid w:val="1322B120"/>
    <w:rsid w:val="13251BB5"/>
    <w:rsid w:val="13252A6C"/>
    <w:rsid w:val="1326E704"/>
    <w:rsid w:val="132AEAC5"/>
    <w:rsid w:val="132CDB75"/>
    <w:rsid w:val="132EC1DF"/>
    <w:rsid w:val="132F50AF"/>
    <w:rsid w:val="132FDAEB"/>
    <w:rsid w:val="13316523"/>
    <w:rsid w:val="1332C1B8"/>
    <w:rsid w:val="1335AC90"/>
    <w:rsid w:val="1339BAE4"/>
    <w:rsid w:val="133A9F18"/>
    <w:rsid w:val="133EE533"/>
    <w:rsid w:val="13401994"/>
    <w:rsid w:val="1342B7D7"/>
    <w:rsid w:val="1344B7ED"/>
    <w:rsid w:val="134A96DE"/>
    <w:rsid w:val="134C4719"/>
    <w:rsid w:val="134DE22D"/>
    <w:rsid w:val="134E1F63"/>
    <w:rsid w:val="134E3D87"/>
    <w:rsid w:val="13513825"/>
    <w:rsid w:val="1354846A"/>
    <w:rsid w:val="1356918D"/>
    <w:rsid w:val="13569E47"/>
    <w:rsid w:val="1356C9CD"/>
    <w:rsid w:val="135891E3"/>
    <w:rsid w:val="135A47D9"/>
    <w:rsid w:val="135A78F2"/>
    <w:rsid w:val="135C18A1"/>
    <w:rsid w:val="135C76F1"/>
    <w:rsid w:val="135CBB91"/>
    <w:rsid w:val="135DEB95"/>
    <w:rsid w:val="1360A6E3"/>
    <w:rsid w:val="13619099"/>
    <w:rsid w:val="1362CFA9"/>
    <w:rsid w:val="1362F96C"/>
    <w:rsid w:val="1363AB79"/>
    <w:rsid w:val="13650EB9"/>
    <w:rsid w:val="1368027B"/>
    <w:rsid w:val="1369D18A"/>
    <w:rsid w:val="136B5C75"/>
    <w:rsid w:val="136BB001"/>
    <w:rsid w:val="136D7B41"/>
    <w:rsid w:val="137218AA"/>
    <w:rsid w:val="13731CD9"/>
    <w:rsid w:val="13732A55"/>
    <w:rsid w:val="13748C0A"/>
    <w:rsid w:val="13751590"/>
    <w:rsid w:val="137547D7"/>
    <w:rsid w:val="137B02D3"/>
    <w:rsid w:val="137B0D24"/>
    <w:rsid w:val="137BF9F0"/>
    <w:rsid w:val="137C08CA"/>
    <w:rsid w:val="137CC9DA"/>
    <w:rsid w:val="137E56B3"/>
    <w:rsid w:val="137EFD89"/>
    <w:rsid w:val="13809518"/>
    <w:rsid w:val="13826F47"/>
    <w:rsid w:val="138363FF"/>
    <w:rsid w:val="1383C26D"/>
    <w:rsid w:val="138440BA"/>
    <w:rsid w:val="1385C699"/>
    <w:rsid w:val="138643D3"/>
    <w:rsid w:val="1386E85A"/>
    <w:rsid w:val="138B6F7D"/>
    <w:rsid w:val="138D40FB"/>
    <w:rsid w:val="138F9AC2"/>
    <w:rsid w:val="13929321"/>
    <w:rsid w:val="13930EAD"/>
    <w:rsid w:val="1393D7CC"/>
    <w:rsid w:val="1394B025"/>
    <w:rsid w:val="1398E7EC"/>
    <w:rsid w:val="139A69CF"/>
    <w:rsid w:val="139B0571"/>
    <w:rsid w:val="139DBB69"/>
    <w:rsid w:val="139FC5C8"/>
    <w:rsid w:val="13A1F024"/>
    <w:rsid w:val="13A69312"/>
    <w:rsid w:val="13A6FCAC"/>
    <w:rsid w:val="13A81A04"/>
    <w:rsid w:val="13A8F034"/>
    <w:rsid w:val="13AB029D"/>
    <w:rsid w:val="13AB89EF"/>
    <w:rsid w:val="13ABE099"/>
    <w:rsid w:val="13AE1BC9"/>
    <w:rsid w:val="13AEB8D8"/>
    <w:rsid w:val="13AF3A0A"/>
    <w:rsid w:val="13B34373"/>
    <w:rsid w:val="13B3D1FB"/>
    <w:rsid w:val="13BA8B08"/>
    <w:rsid w:val="13BF417B"/>
    <w:rsid w:val="13C268C0"/>
    <w:rsid w:val="13C3D51E"/>
    <w:rsid w:val="13C597EE"/>
    <w:rsid w:val="13C7D1B4"/>
    <w:rsid w:val="13C80FD5"/>
    <w:rsid w:val="13C82819"/>
    <w:rsid w:val="13C83D7A"/>
    <w:rsid w:val="13CC40E3"/>
    <w:rsid w:val="13CDFA7E"/>
    <w:rsid w:val="13D12219"/>
    <w:rsid w:val="13D1F620"/>
    <w:rsid w:val="13D3EFA4"/>
    <w:rsid w:val="13D49764"/>
    <w:rsid w:val="13D6FF0C"/>
    <w:rsid w:val="13D70C5F"/>
    <w:rsid w:val="13D898E1"/>
    <w:rsid w:val="13D8C198"/>
    <w:rsid w:val="13DC838D"/>
    <w:rsid w:val="13DDACD7"/>
    <w:rsid w:val="13DFB246"/>
    <w:rsid w:val="13E00025"/>
    <w:rsid w:val="13E05B8E"/>
    <w:rsid w:val="13E06D8C"/>
    <w:rsid w:val="13E33648"/>
    <w:rsid w:val="13E420CC"/>
    <w:rsid w:val="13E47FD0"/>
    <w:rsid w:val="13E906AB"/>
    <w:rsid w:val="13EB9184"/>
    <w:rsid w:val="13EB963C"/>
    <w:rsid w:val="13EC9892"/>
    <w:rsid w:val="13ECDAD5"/>
    <w:rsid w:val="13F08205"/>
    <w:rsid w:val="13F1FE2C"/>
    <w:rsid w:val="13F361F7"/>
    <w:rsid w:val="13F3D12F"/>
    <w:rsid w:val="13F67BFA"/>
    <w:rsid w:val="13F83638"/>
    <w:rsid w:val="13F846B2"/>
    <w:rsid w:val="13F95E1E"/>
    <w:rsid w:val="13FE2BDA"/>
    <w:rsid w:val="13FEB17A"/>
    <w:rsid w:val="13FF17FD"/>
    <w:rsid w:val="140093CF"/>
    <w:rsid w:val="140126E4"/>
    <w:rsid w:val="14018AB2"/>
    <w:rsid w:val="1406571F"/>
    <w:rsid w:val="14086078"/>
    <w:rsid w:val="14089305"/>
    <w:rsid w:val="140B8255"/>
    <w:rsid w:val="140BE27B"/>
    <w:rsid w:val="140C3D90"/>
    <w:rsid w:val="140D9AB1"/>
    <w:rsid w:val="140E8424"/>
    <w:rsid w:val="14124581"/>
    <w:rsid w:val="1413B13D"/>
    <w:rsid w:val="1414B4DC"/>
    <w:rsid w:val="141706DB"/>
    <w:rsid w:val="14175CC6"/>
    <w:rsid w:val="141DFEEA"/>
    <w:rsid w:val="141F5A10"/>
    <w:rsid w:val="14206AD0"/>
    <w:rsid w:val="14209992"/>
    <w:rsid w:val="142218BA"/>
    <w:rsid w:val="1425CF4D"/>
    <w:rsid w:val="14284B82"/>
    <w:rsid w:val="142C11B4"/>
    <w:rsid w:val="142C5553"/>
    <w:rsid w:val="142CC843"/>
    <w:rsid w:val="142D32CD"/>
    <w:rsid w:val="142D7742"/>
    <w:rsid w:val="142DD31E"/>
    <w:rsid w:val="142F0D27"/>
    <w:rsid w:val="142FAE38"/>
    <w:rsid w:val="14310B0F"/>
    <w:rsid w:val="14315268"/>
    <w:rsid w:val="1431962A"/>
    <w:rsid w:val="14323C01"/>
    <w:rsid w:val="1432686A"/>
    <w:rsid w:val="1434F9D3"/>
    <w:rsid w:val="143740DC"/>
    <w:rsid w:val="14439386"/>
    <w:rsid w:val="14450CED"/>
    <w:rsid w:val="1447BF40"/>
    <w:rsid w:val="1449D793"/>
    <w:rsid w:val="144ABD5B"/>
    <w:rsid w:val="144AE8E8"/>
    <w:rsid w:val="144C369D"/>
    <w:rsid w:val="144CEEB6"/>
    <w:rsid w:val="144D5EF4"/>
    <w:rsid w:val="144F0C82"/>
    <w:rsid w:val="14533297"/>
    <w:rsid w:val="14542962"/>
    <w:rsid w:val="14585410"/>
    <w:rsid w:val="1458D113"/>
    <w:rsid w:val="1459424E"/>
    <w:rsid w:val="1459A2D4"/>
    <w:rsid w:val="145AC136"/>
    <w:rsid w:val="145BF2D6"/>
    <w:rsid w:val="145CFF59"/>
    <w:rsid w:val="145D9184"/>
    <w:rsid w:val="14615683"/>
    <w:rsid w:val="1462CD29"/>
    <w:rsid w:val="14668257"/>
    <w:rsid w:val="1466C415"/>
    <w:rsid w:val="14690541"/>
    <w:rsid w:val="146CA07F"/>
    <w:rsid w:val="146D0955"/>
    <w:rsid w:val="146D71D6"/>
    <w:rsid w:val="146DC3D7"/>
    <w:rsid w:val="146E6C2B"/>
    <w:rsid w:val="1470EE3A"/>
    <w:rsid w:val="14713288"/>
    <w:rsid w:val="1471E7E0"/>
    <w:rsid w:val="1472AE3A"/>
    <w:rsid w:val="147A5F69"/>
    <w:rsid w:val="147E0BF8"/>
    <w:rsid w:val="147FF4F4"/>
    <w:rsid w:val="14823D83"/>
    <w:rsid w:val="14824987"/>
    <w:rsid w:val="1482EFBA"/>
    <w:rsid w:val="14836E43"/>
    <w:rsid w:val="1483FBC6"/>
    <w:rsid w:val="14859935"/>
    <w:rsid w:val="148602F9"/>
    <w:rsid w:val="14863861"/>
    <w:rsid w:val="1486B048"/>
    <w:rsid w:val="1486FBDB"/>
    <w:rsid w:val="14877DBB"/>
    <w:rsid w:val="1487C374"/>
    <w:rsid w:val="14883A32"/>
    <w:rsid w:val="14883E60"/>
    <w:rsid w:val="148E3FF2"/>
    <w:rsid w:val="148E5B34"/>
    <w:rsid w:val="148F01A2"/>
    <w:rsid w:val="14919876"/>
    <w:rsid w:val="14945B87"/>
    <w:rsid w:val="1496066A"/>
    <w:rsid w:val="1497693B"/>
    <w:rsid w:val="1497EB4B"/>
    <w:rsid w:val="149A9131"/>
    <w:rsid w:val="149EA4FC"/>
    <w:rsid w:val="149FDD75"/>
    <w:rsid w:val="14A0B5D9"/>
    <w:rsid w:val="14A18A71"/>
    <w:rsid w:val="14A1D594"/>
    <w:rsid w:val="14A61F32"/>
    <w:rsid w:val="14A7EDE4"/>
    <w:rsid w:val="14ABEC2C"/>
    <w:rsid w:val="14AE1352"/>
    <w:rsid w:val="14AF42AD"/>
    <w:rsid w:val="14B0ACF0"/>
    <w:rsid w:val="14B47637"/>
    <w:rsid w:val="14B5A383"/>
    <w:rsid w:val="14B659C2"/>
    <w:rsid w:val="14B6AE35"/>
    <w:rsid w:val="14B87BF2"/>
    <w:rsid w:val="14B8927E"/>
    <w:rsid w:val="14BA7C9A"/>
    <w:rsid w:val="14BC1AEE"/>
    <w:rsid w:val="14BD316E"/>
    <w:rsid w:val="14BF83A2"/>
    <w:rsid w:val="14C01585"/>
    <w:rsid w:val="14C061D6"/>
    <w:rsid w:val="14C1D997"/>
    <w:rsid w:val="14C4A232"/>
    <w:rsid w:val="14CA6236"/>
    <w:rsid w:val="14CB39AD"/>
    <w:rsid w:val="14CC00B3"/>
    <w:rsid w:val="14CC9798"/>
    <w:rsid w:val="14CCC1BA"/>
    <w:rsid w:val="14CD5F07"/>
    <w:rsid w:val="14CEB93E"/>
    <w:rsid w:val="14CF908E"/>
    <w:rsid w:val="14D2623D"/>
    <w:rsid w:val="14D6BE2F"/>
    <w:rsid w:val="14D75731"/>
    <w:rsid w:val="14D84F0A"/>
    <w:rsid w:val="14D917B2"/>
    <w:rsid w:val="14D9B72B"/>
    <w:rsid w:val="14D9D148"/>
    <w:rsid w:val="14DAEBB3"/>
    <w:rsid w:val="14DB4940"/>
    <w:rsid w:val="14DB85D2"/>
    <w:rsid w:val="14DD2761"/>
    <w:rsid w:val="14E1A794"/>
    <w:rsid w:val="14E51AFA"/>
    <w:rsid w:val="14E7696E"/>
    <w:rsid w:val="14E870D0"/>
    <w:rsid w:val="14ECCBA8"/>
    <w:rsid w:val="14F30FC8"/>
    <w:rsid w:val="14F49C77"/>
    <w:rsid w:val="14F7E280"/>
    <w:rsid w:val="14F85BDD"/>
    <w:rsid w:val="14F99BF9"/>
    <w:rsid w:val="14FA8511"/>
    <w:rsid w:val="14FAAF34"/>
    <w:rsid w:val="14FBE207"/>
    <w:rsid w:val="14FCB256"/>
    <w:rsid w:val="14FD805E"/>
    <w:rsid w:val="14FE24B4"/>
    <w:rsid w:val="1500B4A5"/>
    <w:rsid w:val="15011EE1"/>
    <w:rsid w:val="15023357"/>
    <w:rsid w:val="150247BA"/>
    <w:rsid w:val="150439A0"/>
    <w:rsid w:val="15053FD2"/>
    <w:rsid w:val="1508CB05"/>
    <w:rsid w:val="150B0787"/>
    <w:rsid w:val="150B3927"/>
    <w:rsid w:val="150B9CDA"/>
    <w:rsid w:val="150BE351"/>
    <w:rsid w:val="150C30DF"/>
    <w:rsid w:val="150C89C2"/>
    <w:rsid w:val="150E0456"/>
    <w:rsid w:val="150E65BE"/>
    <w:rsid w:val="150F2C19"/>
    <w:rsid w:val="150F479A"/>
    <w:rsid w:val="15101C13"/>
    <w:rsid w:val="15148A0D"/>
    <w:rsid w:val="1515359C"/>
    <w:rsid w:val="1515CD51"/>
    <w:rsid w:val="151DBB7F"/>
    <w:rsid w:val="15206171"/>
    <w:rsid w:val="1523821B"/>
    <w:rsid w:val="152399F6"/>
    <w:rsid w:val="152814BA"/>
    <w:rsid w:val="15283BF5"/>
    <w:rsid w:val="1529975B"/>
    <w:rsid w:val="1529FF9F"/>
    <w:rsid w:val="152B8B38"/>
    <w:rsid w:val="152CF9AD"/>
    <w:rsid w:val="152D857F"/>
    <w:rsid w:val="152F425A"/>
    <w:rsid w:val="15301DD0"/>
    <w:rsid w:val="1530B59F"/>
    <w:rsid w:val="1530DFAF"/>
    <w:rsid w:val="15318B00"/>
    <w:rsid w:val="15331103"/>
    <w:rsid w:val="1534DABF"/>
    <w:rsid w:val="15371E53"/>
    <w:rsid w:val="153760B3"/>
    <w:rsid w:val="1539F3A0"/>
    <w:rsid w:val="153B6C80"/>
    <w:rsid w:val="153C07FF"/>
    <w:rsid w:val="153C5A43"/>
    <w:rsid w:val="153D378A"/>
    <w:rsid w:val="1540C2BE"/>
    <w:rsid w:val="1542DF47"/>
    <w:rsid w:val="15450C5B"/>
    <w:rsid w:val="15456765"/>
    <w:rsid w:val="1549C4F0"/>
    <w:rsid w:val="154C2481"/>
    <w:rsid w:val="154C3369"/>
    <w:rsid w:val="154F7F5A"/>
    <w:rsid w:val="1558F8AC"/>
    <w:rsid w:val="15598E25"/>
    <w:rsid w:val="155A922C"/>
    <w:rsid w:val="155CDEB9"/>
    <w:rsid w:val="155E3A5B"/>
    <w:rsid w:val="155EADAB"/>
    <w:rsid w:val="15612D08"/>
    <w:rsid w:val="15675799"/>
    <w:rsid w:val="1567BFC4"/>
    <w:rsid w:val="1568399A"/>
    <w:rsid w:val="156BC803"/>
    <w:rsid w:val="156C4FEA"/>
    <w:rsid w:val="15716735"/>
    <w:rsid w:val="15726525"/>
    <w:rsid w:val="1573617A"/>
    <w:rsid w:val="15755AAA"/>
    <w:rsid w:val="1576160E"/>
    <w:rsid w:val="1576FC94"/>
    <w:rsid w:val="15778E0E"/>
    <w:rsid w:val="157AC62F"/>
    <w:rsid w:val="157BF07A"/>
    <w:rsid w:val="157CB1D2"/>
    <w:rsid w:val="157D06B5"/>
    <w:rsid w:val="157EC29A"/>
    <w:rsid w:val="15806004"/>
    <w:rsid w:val="1585595C"/>
    <w:rsid w:val="1585CF06"/>
    <w:rsid w:val="1585DA8D"/>
    <w:rsid w:val="1586040D"/>
    <w:rsid w:val="1588B21C"/>
    <w:rsid w:val="1589DB2B"/>
    <w:rsid w:val="1589F2B8"/>
    <w:rsid w:val="158B0357"/>
    <w:rsid w:val="158B6191"/>
    <w:rsid w:val="158C1BC5"/>
    <w:rsid w:val="158CBA81"/>
    <w:rsid w:val="158D3EA3"/>
    <w:rsid w:val="158ECDBE"/>
    <w:rsid w:val="1591078E"/>
    <w:rsid w:val="1591BDBB"/>
    <w:rsid w:val="1591D5E2"/>
    <w:rsid w:val="15926A36"/>
    <w:rsid w:val="1596E6A6"/>
    <w:rsid w:val="1599A2D9"/>
    <w:rsid w:val="15A1082C"/>
    <w:rsid w:val="15A32B91"/>
    <w:rsid w:val="15A3583E"/>
    <w:rsid w:val="15A40F16"/>
    <w:rsid w:val="15A63F3B"/>
    <w:rsid w:val="15A82155"/>
    <w:rsid w:val="15A90D77"/>
    <w:rsid w:val="15ABF538"/>
    <w:rsid w:val="15ADED1D"/>
    <w:rsid w:val="15AE4B97"/>
    <w:rsid w:val="15AE669A"/>
    <w:rsid w:val="15AF9DF7"/>
    <w:rsid w:val="15B062C6"/>
    <w:rsid w:val="15B1E651"/>
    <w:rsid w:val="15B30876"/>
    <w:rsid w:val="15B30FB0"/>
    <w:rsid w:val="15B3B231"/>
    <w:rsid w:val="15B3D27C"/>
    <w:rsid w:val="15B4EC9E"/>
    <w:rsid w:val="15B59713"/>
    <w:rsid w:val="15B6348F"/>
    <w:rsid w:val="15B96514"/>
    <w:rsid w:val="15BBE8B7"/>
    <w:rsid w:val="15C402E9"/>
    <w:rsid w:val="15C4C242"/>
    <w:rsid w:val="15C7740E"/>
    <w:rsid w:val="15C79D38"/>
    <w:rsid w:val="15D1C609"/>
    <w:rsid w:val="15D262FA"/>
    <w:rsid w:val="15D32C33"/>
    <w:rsid w:val="15D35A0D"/>
    <w:rsid w:val="15D39222"/>
    <w:rsid w:val="15D6C4CE"/>
    <w:rsid w:val="15D7DDEC"/>
    <w:rsid w:val="15D8E4A4"/>
    <w:rsid w:val="15DA31F7"/>
    <w:rsid w:val="15DAAB34"/>
    <w:rsid w:val="15DADA6A"/>
    <w:rsid w:val="15DD8C9B"/>
    <w:rsid w:val="15E303E8"/>
    <w:rsid w:val="15E37436"/>
    <w:rsid w:val="15E413EE"/>
    <w:rsid w:val="15E4CC68"/>
    <w:rsid w:val="15E5D43C"/>
    <w:rsid w:val="15E5D811"/>
    <w:rsid w:val="15E8AF44"/>
    <w:rsid w:val="15E9A7A8"/>
    <w:rsid w:val="15EAF1E0"/>
    <w:rsid w:val="15ECE15B"/>
    <w:rsid w:val="15F25930"/>
    <w:rsid w:val="15F522C5"/>
    <w:rsid w:val="15F629F3"/>
    <w:rsid w:val="15F62F73"/>
    <w:rsid w:val="15F841D4"/>
    <w:rsid w:val="15F86574"/>
    <w:rsid w:val="15F8CE22"/>
    <w:rsid w:val="15F9E4C4"/>
    <w:rsid w:val="15FBD445"/>
    <w:rsid w:val="15FCE4D8"/>
    <w:rsid w:val="15FD047F"/>
    <w:rsid w:val="15FE1F7C"/>
    <w:rsid w:val="15FF28C5"/>
    <w:rsid w:val="15FF4746"/>
    <w:rsid w:val="15FFEB52"/>
    <w:rsid w:val="1602113F"/>
    <w:rsid w:val="160243F2"/>
    <w:rsid w:val="1602BF03"/>
    <w:rsid w:val="16032127"/>
    <w:rsid w:val="1603D0B7"/>
    <w:rsid w:val="1606009E"/>
    <w:rsid w:val="1606D52A"/>
    <w:rsid w:val="16073BBB"/>
    <w:rsid w:val="1608742A"/>
    <w:rsid w:val="16092BCA"/>
    <w:rsid w:val="1609D411"/>
    <w:rsid w:val="160CEA1C"/>
    <w:rsid w:val="160E20C1"/>
    <w:rsid w:val="160F94EE"/>
    <w:rsid w:val="1611C20C"/>
    <w:rsid w:val="16152C11"/>
    <w:rsid w:val="16197765"/>
    <w:rsid w:val="161ABA22"/>
    <w:rsid w:val="161DE313"/>
    <w:rsid w:val="161F0386"/>
    <w:rsid w:val="161FE2AB"/>
    <w:rsid w:val="16209B04"/>
    <w:rsid w:val="1621FCC0"/>
    <w:rsid w:val="1622309D"/>
    <w:rsid w:val="1622ED60"/>
    <w:rsid w:val="162334AA"/>
    <w:rsid w:val="162358A1"/>
    <w:rsid w:val="1624E9D4"/>
    <w:rsid w:val="16259732"/>
    <w:rsid w:val="1625A24D"/>
    <w:rsid w:val="16260E3D"/>
    <w:rsid w:val="16269466"/>
    <w:rsid w:val="162703C8"/>
    <w:rsid w:val="1627C649"/>
    <w:rsid w:val="1627F7D9"/>
    <w:rsid w:val="1628D353"/>
    <w:rsid w:val="162BAF6E"/>
    <w:rsid w:val="162C6EDF"/>
    <w:rsid w:val="162CBCAE"/>
    <w:rsid w:val="162D6E85"/>
    <w:rsid w:val="162D8489"/>
    <w:rsid w:val="16314502"/>
    <w:rsid w:val="16319CB9"/>
    <w:rsid w:val="163452B8"/>
    <w:rsid w:val="1638FF28"/>
    <w:rsid w:val="1639E74B"/>
    <w:rsid w:val="163A164F"/>
    <w:rsid w:val="1643282E"/>
    <w:rsid w:val="164817CA"/>
    <w:rsid w:val="164842C5"/>
    <w:rsid w:val="164C0D7D"/>
    <w:rsid w:val="164D2646"/>
    <w:rsid w:val="164EA855"/>
    <w:rsid w:val="1650A9ED"/>
    <w:rsid w:val="1651FFAF"/>
    <w:rsid w:val="165213C9"/>
    <w:rsid w:val="16528DF2"/>
    <w:rsid w:val="1655B2D9"/>
    <w:rsid w:val="16565A22"/>
    <w:rsid w:val="1658FB02"/>
    <w:rsid w:val="1659F820"/>
    <w:rsid w:val="165AEE03"/>
    <w:rsid w:val="165C190D"/>
    <w:rsid w:val="165DD775"/>
    <w:rsid w:val="165F2AAF"/>
    <w:rsid w:val="165F8F18"/>
    <w:rsid w:val="1660CC45"/>
    <w:rsid w:val="16611DF5"/>
    <w:rsid w:val="166445A9"/>
    <w:rsid w:val="16644905"/>
    <w:rsid w:val="166462B2"/>
    <w:rsid w:val="1664E33C"/>
    <w:rsid w:val="16650567"/>
    <w:rsid w:val="1665C485"/>
    <w:rsid w:val="1668AC02"/>
    <w:rsid w:val="16698E13"/>
    <w:rsid w:val="166B3AED"/>
    <w:rsid w:val="166B54C2"/>
    <w:rsid w:val="166C5977"/>
    <w:rsid w:val="166DB1E4"/>
    <w:rsid w:val="166F1590"/>
    <w:rsid w:val="16728CA4"/>
    <w:rsid w:val="16769093"/>
    <w:rsid w:val="167725CD"/>
    <w:rsid w:val="16774905"/>
    <w:rsid w:val="16774DF1"/>
    <w:rsid w:val="167A64F2"/>
    <w:rsid w:val="167C896E"/>
    <w:rsid w:val="167CA775"/>
    <w:rsid w:val="1680A5C8"/>
    <w:rsid w:val="1681369A"/>
    <w:rsid w:val="16815B42"/>
    <w:rsid w:val="168356D4"/>
    <w:rsid w:val="16849988"/>
    <w:rsid w:val="16887AD3"/>
    <w:rsid w:val="168C4E1F"/>
    <w:rsid w:val="168CBFA2"/>
    <w:rsid w:val="168CEC90"/>
    <w:rsid w:val="16904C49"/>
    <w:rsid w:val="1693A19C"/>
    <w:rsid w:val="169436C9"/>
    <w:rsid w:val="1694B6C0"/>
    <w:rsid w:val="1694FFC4"/>
    <w:rsid w:val="1696B49F"/>
    <w:rsid w:val="169E3574"/>
    <w:rsid w:val="169E73EB"/>
    <w:rsid w:val="169FA503"/>
    <w:rsid w:val="16A088F2"/>
    <w:rsid w:val="16A0C94A"/>
    <w:rsid w:val="16A0DFE1"/>
    <w:rsid w:val="16A240B5"/>
    <w:rsid w:val="16A735CB"/>
    <w:rsid w:val="16A7938D"/>
    <w:rsid w:val="16A9ADCB"/>
    <w:rsid w:val="16ACBFE9"/>
    <w:rsid w:val="16AD5F89"/>
    <w:rsid w:val="16AD8C92"/>
    <w:rsid w:val="16ADF816"/>
    <w:rsid w:val="16AE24B1"/>
    <w:rsid w:val="16B0A7BA"/>
    <w:rsid w:val="16B0FAAA"/>
    <w:rsid w:val="16B16657"/>
    <w:rsid w:val="16B2647C"/>
    <w:rsid w:val="16B581DB"/>
    <w:rsid w:val="16B6B222"/>
    <w:rsid w:val="16B9C81F"/>
    <w:rsid w:val="16BA63FC"/>
    <w:rsid w:val="16BA68FD"/>
    <w:rsid w:val="16BB8571"/>
    <w:rsid w:val="16BC77F0"/>
    <w:rsid w:val="16BD3184"/>
    <w:rsid w:val="16BD3CB3"/>
    <w:rsid w:val="16C04EEC"/>
    <w:rsid w:val="16C12E12"/>
    <w:rsid w:val="16C4E909"/>
    <w:rsid w:val="16C51E97"/>
    <w:rsid w:val="16C567C5"/>
    <w:rsid w:val="16C7AFD2"/>
    <w:rsid w:val="16CA696E"/>
    <w:rsid w:val="16CD4FFF"/>
    <w:rsid w:val="16CE3A49"/>
    <w:rsid w:val="16CF9A77"/>
    <w:rsid w:val="16D0CB54"/>
    <w:rsid w:val="16D2179E"/>
    <w:rsid w:val="16D34389"/>
    <w:rsid w:val="16D40553"/>
    <w:rsid w:val="16D4A687"/>
    <w:rsid w:val="16D59484"/>
    <w:rsid w:val="16D6BACD"/>
    <w:rsid w:val="16D6D330"/>
    <w:rsid w:val="16D6F663"/>
    <w:rsid w:val="16DA4454"/>
    <w:rsid w:val="16DB3DDA"/>
    <w:rsid w:val="16DC35CD"/>
    <w:rsid w:val="16DC3987"/>
    <w:rsid w:val="16DDCEAD"/>
    <w:rsid w:val="16DE0F09"/>
    <w:rsid w:val="16DE17F4"/>
    <w:rsid w:val="16E18EBF"/>
    <w:rsid w:val="16E20BEF"/>
    <w:rsid w:val="16E275D0"/>
    <w:rsid w:val="16E27E0F"/>
    <w:rsid w:val="16E4071B"/>
    <w:rsid w:val="16E4E5F4"/>
    <w:rsid w:val="16E5CA99"/>
    <w:rsid w:val="16E62007"/>
    <w:rsid w:val="16E671BC"/>
    <w:rsid w:val="16E7DD34"/>
    <w:rsid w:val="16E86A87"/>
    <w:rsid w:val="16EAE6ED"/>
    <w:rsid w:val="16EC1192"/>
    <w:rsid w:val="16EC9732"/>
    <w:rsid w:val="16EDA4FD"/>
    <w:rsid w:val="16EEE0AC"/>
    <w:rsid w:val="16F0F8F0"/>
    <w:rsid w:val="16F44C98"/>
    <w:rsid w:val="16F45BD8"/>
    <w:rsid w:val="16F71219"/>
    <w:rsid w:val="16F76AB9"/>
    <w:rsid w:val="16F8C466"/>
    <w:rsid w:val="16FB006B"/>
    <w:rsid w:val="16FE02DF"/>
    <w:rsid w:val="16FFEA99"/>
    <w:rsid w:val="1700C58D"/>
    <w:rsid w:val="1700D0A2"/>
    <w:rsid w:val="17026330"/>
    <w:rsid w:val="1704C947"/>
    <w:rsid w:val="17054217"/>
    <w:rsid w:val="17091866"/>
    <w:rsid w:val="170A5CDF"/>
    <w:rsid w:val="170C37C1"/>
    <w:rsid w:val="170C7714"/>
    <w:rsid w:val="170C855C"/>
    <w:rsid w:val="170DF5BA"/>
    <w:rsid w:val="170EB9A7"/>
    <w:rsid w:val="170F34B1"/>
    <w:rsid w:val="17159BD1"/>
    <w:rsid w:val="1717FE11"/>
    <w:rsid w:val="17183D25"/>
    <w:rsid w:val="1718FB2A"/>
    <w:rsid w:val="171DB006"/>
    <w:rsid w:val="1720E5D4"/>
    <w:rsid w:val="17230F8A"/>
    <w:rsid w:val="172372D0"/>
    <w:rsid w:val="1723D824"/>
    <w:rsid w:val="17262208"/>
    <w:rsid w:val="1726F5E3"/>
    <w:rsid w:val="172773FF"/>
    <w:rsid w:val="172AC94B"/>
    <w:rsid w:val="172C61C6"/>
    <w:rsid w:val="172EBC41"/>
    <w:rsid w:val="172F4FF3"/>
    <w:rsid w:val="1733DA1E"/>
    <w:rsid w:val="173430AA"/>
    <w:rsid w:val="1734BD02"/>
    <w:rsid w:val="1734CB65"/>
    <w:rsid w:val="17358678"/>
    <w:rsid w:val="1735DFD1"/>
    <w:rsid w:val="173776B2"/>
    <w:rsid w:val="173810A7"/>
    <w:rsid w:val="173867F4"/>
    <w:rsid w:val="173B26F1"/>
    <w:rsid w:val="173B8BD2"/>
    <w:rsid w:val="173D1F4E"/>
    <w:rsid w:val="173FD4BA"/>
    <w:rsid w:val="174300C8"/>
    <w:rsid w:val="17434D59"/>
    <w:rsid w:val="1743F14E"/>
    <w:rsid w:val="1745A914"/>
    <w:rsid w:val="17467D19"/>
    <w:rsid w:val="174957A4"/>
    <w:rsid w:val="174BCA1E"/>
    <w:rsid w:val="174CCE1C"/>
    <w:rsid w:val="174E0366"/>
    <w:rsid w:val="174E8958"/>
    <w:rsid w:val="174EA4A5"/>
    <w:rsid w:val="174EC14F"/>
    <w:rsid w:val="174EC5B7"/>
    <w:rsid w:val="1750AAB2"/>
    <w:rsid w:val="1755DA4B"/>
    <w:rsid w:val="175989FD"/>
    <w:rsid w:val="1759A7DE"/>
    <w:rsid w:val="1759E90C"/>
    <w:rsid w:val="1759FF7A"/>
    <w:rsid w:val="175BE376"/>
    <w:rsid w:val="175DA94E"/>
    <w:rsid w:val="175E5C91"/>
    <w:rsid w:val="175F6292"/>
    <w:rsid w:val="175F94E5"/>
    <w:rsid w:val="176076F9"/>
    <w:rsid w:val="1760E56C"/>
    <w:rsid w:val="1761E6F4"/>
    <w:rsid w:val="17621757"/>
    <w:rsid w:val="17628957"/>
    <w:rsid w:val="1763C9F4"/>
    <w:rsid w:val="17644D49"/>
    <w:rsid w:val="17658CC0"/>
    <w:rsid w:val="17660485"/>
    <w:rsid w:val="1766EA58"/>
    <w:rsid w:val="176804D6"/>
    <w:rsid w:val="1769D140"/>
    <w:rsid w:val="176A795B"/>
    <w:rsid w:val="176FE382"/>
    <w:rsid w:val="1770654B"/>
    <w:rsid w:val="1773F741"/>
    <w:rsid w:val="1777010B"/>
    <w:rsid w:val="17795155"/>
    <w:rsid w:val="177B293D"/>
    <w:rsid w:val="177C5553"/>
    <w:rsid w:val="177CD998"/>
    <w:rsid w:val="177CE562"/>
    <w:rsid w:val="177E32BD"/>
    <w:rsid w:val="1782AF4C"/>
    <w:rsid w:val="17831FE7"/>
    <w:rsid w:val="1784CADB"/>
    <w:rsid w:val="17865390"/>
    <w:rsid w:val="1786B133"/>
    <w:rsid w:val="1786B8EB"/>
    <w:rsid w:val="17878962"/>
    <w:rsid w:val="178A42D9"/>
    <w:rsid w:val="178AAF4A"/>
    <w:rsid w:val="178D76D5"/>
    <w:rsid w:val="178EA1FF"/>
    <w:rsid w:val="178F1F37"/>
    <w:rsid w:val="179319D1"/>
    <w:rsid w:val="1793E5CC"/>
    <w:rsid w:val="1796738F"/>
    <w:rsid w:val="1798713B"/>
    <w:rsid w:val="179AF464"/>
    <w:rsid w:val="179B1686"/>
    <w:rsid w:val="179B5B7D"/>
    <w:rsid w:val="17A241B3"/>
    <w:rsid w:val="17A27C7A"/>
    <w:rsid w:val="17A41F85"/>
    <w:rsid w:val="17A6D143"/>
    <w:rsid w:val="17A6E98D"/>
    <w:rsid w:val="17A806FD"/>
    <w:rsid w:val="17A90402"/>
    <w:rsid w:val="17A90ADC"/>
    <w:rsid w:val="17A90E1A"/>
    <w:rsid w:val="17AD0A29"/>
    <w:rsid w:val="17AD701D"/>
    <w:rsid w:val="17ADA3BA"/>
    <w:rsid w:val="17B09C28"/>
    <w:rsid w:val="17B0D12A"/>
    <w:rsid w:val="17B1046F"/>
    <w:rsid w:val="17B1500F"/>
    <w:rsid w:val="17B1727A"/>
    <w:rsid w:val="17B213DE"/>
    <w:rsid w:val="17B26E21"/>
    <w:rsid w:val="17B47C6E"/>
    <w:rsid w:val="17B8F9E7"/>
    <w:rsid w:val="17B91115"/>
    <w:rsid w:val="17BDF3E9"/>
    <w:rsid w:val="17BE55CC"/>
    <w:rsid w:val="17BEFC45"/>
    <w:rsid w:val="17C05B4D"/>
    <w:rsid w:val="17C15996"/>
    <w:rsid w:val="17C1FA04"/>
    <w:rsid w:val="17C28EF8"/>
    <w:rsid w:val="17C3ADF8"/>
    <w:rsid w:val="17C3E9BB"/>
    <w:rsid w:val="17C43852"/>
    <w:rsid w:val="17C66C8B"/>
    <w:rsid w:val="17C70A84"/>
    <w:rsid w:val="17C7378C"/>
    <w:rsid w:val="17C77379"/>
    <w:rsid w:val="17C8470A"/>
    <w:rsid w:val="17CAD12B"/>
    <w:rsid w:val="17CBE264"/>
    <w:rsid w:val="17CC2752"/>
    <w:rsid w:val="17CD59ED"/>
    <w:rsid w:val="17CE3AB4"/>
    <w:rsid w:val="17CE534C"/>
    <w:rsid w:val="17D0CAB8"/>
    <w:rsid w:val="17D2A1C4"/>
    <w:rsid w:val="17D4E7FF"/>
    <w:rsid w:val="17D57ED6"/>
    <w:rsid w:val="17D5CE3E"/>
    <w:rsid w:val="17D69354"/>
    <w:rsid w:val="17D6C916"/>
    <w:rsid w:val="17D76F48"/>
    <w:rsid w:val="17D8F17E"/>
    <w:rsid w:val="17DA3A47"/>
    <w:rsid w:val="17DC6EB8"/>
    <w:rsid w:val="17DD08B2"/>
    <w:rsid w:val="17DD2E94"/>
    <w:rsid w:val="17DF6AEC"/>
    <w:rsid w:val="17E3F020"/>
    <w:rsid w:val="17E5EC7A"/>
    <w:rsid w:val="17E69CEC"/>
    <w:rsid w:val="17E8DD73"/>
    <w:rsid w:val="17EA3104"/>
    <w:rsid w:val="17EA341A"/>
    <w:rsid w:val="17EAA6F1"/>
    <w:rsid w:val="17EE791F"/>
    <w:rsid w:val="17EF8C40"/>
    <w:rsid w:val="17F123B2"/>
    <w:rsid w:val="17F41A0B"/>
    <w:rsid w:val="17F7C998"/>
    <w:rsid w:val="17F7CF9F"/>
    <w:rsid w:val="17F80795"/>
    <w:rsid w:val="17F820F4"/>
    <w:rsid w:val="17F829E2"/>
    <w:rsid w:val="17F8C64B"/>
    <w:rsid w:val="17FB0A00"/>
    <w:rsid w:val="17FC1A02"/>
    <w:rsid w:val="17FFD299"/>
    <w:rsid w:val="18018F15"/>
    <w:rsid w:val="180727BD"/>
    <w:rsid w:val="180735EC"/>
    <w:rsid w:val="1808E53D"/>
    <w:rsid w:val="180AF43C"/>
    <w:rsid w:val="180BB9FA"/>
    <w:rsid w:val="180BCA05"/>
    <w:rsid w:val="180E1817"/>
    <w:rsid w:val="180FA3B2"/>
    <w:rsid w:val="1813F7F5"/>
    <w:rsid w:val="1815575B"/>
    <w:rsid w:val="1818293B"/>
    <w:rsid w:val="181972F1"/>
    <w:rsid w:val="181DB3AB"/>
    <w:rsid w:val="181DC258"/>
    <w:rsid w:val="181DCCF6"/>
    <w:rsid w:val="181E47E9"/>
    <w:rsid w:val="181F1465"/>
    <w:rsid w:val="1820CB97"/>
    <w:rsid w:val="18216D24"/>
    <w:rsid w:val="1824BD9C"/>
    <w:rsid w:val="1824C8B0"/>
    <w:rsid w:val="1824D68F"/>
    <w:rsid w:val="1824E8ED"/>
    <w:rsid w:val="18251E91"/>
    <w:rsid w:val="182E5717"/>
    <w:rsid w:val="182EBBFF"/>
    <w:rsid w:val="182FB149"/>
    <w:rsid w:val="1830E2D4"/>
    <w:rsid w:val="183138C2"/>
    <w:rsid w:val="183157BC"/>
    <w:rsid w:val="18317D70"/>
    <w:rsid w:val="1832742D"/>
    <w:rsid w:val="18353B54"/>
    <w:rsid w:val="183D16D1"/>
    <w:rsid w:val="183D34CD"/>
    <w:rsid w:val="1841DA46"/>
    <w:rsid w:val="1843ABD1"/>
    <w:rsid w:val="18443922"/>
    <w:rsid w:val="1844CB04"/>
    <w:rsid w:val="18460A18"/>
    <w:rsid w:val="184729E2"/>
    <w:rsid w:val="184799A6"/>
    <w:rsid w:val="184D6241"/>
    <w:rsid w:val="184EDCB4"/>
    <w:rsid w:val="18507A51"/>
    <w:rsid w:val="1850882F"/>
    <w:rsid w:val="185126BC"/>
    <w:rsid w:val="185549AA"/>
    <w:rsid w:val="1856103F"/>
    <w:rsid w:val="1857B47B"/>
    <w:rsid w:val="185A3E85"/>
    <w:rsid w:val="18649A52"/>
    <w:rsid w:val="18653D40"/>
    <w:rsid w:val="186599F8"/>
    <w:rsid w:val="1865A640"/>
    <w:rsid w:val="18662167"/>
    <w:rsid w:val="186B6A68"/>
    <w:rsid w:val="186BBA28"/>
    <w:rsid w:val="186BE0AF"/>
    <w:rsid w:val="186C150D"/>
    <w:rsid w:val="186FC055"/>
    <w:rsid w:val="1870E897"/>
    <w:rsid w:val="18751FBF"/>
    <w:rsid w:val="1875B45B"/>
    <w:rsid w:val="18773111"/>
    <w:rsid w:val="187880F1"/>
    <w:rsid w:val="1879A1FB"/>
    <w:rsid w:val="187AF721"/>
    <w:rsid w:val="187C5548"/>
    <w:rsid w:val="187D2B5A"/>
    <w:rsid w:val="187F4B69"/>
    <w:rsid w:val="18826A29"/>
    <w:rsid w:val="1883B3B0"/>
    <w:rsid w:val="1884C528"/>
    <w:rsid w:val="1886A46B"/>
    <w:rsid w:val="18880AF8"/>
    <w:rsid w:val="1888225F"/>
    <w:rsid w:val="1888B07A"/>
    <w:rsid w:val="1888D14E"/>
    <w:rsid w:val="18893386"/>
    <w:rsid w:val="1889846B"/>
    <w:rsid w:val="188B5712"/>
    <w:rsid w:val="188BB33C"/>
    <w:rsid w:val="188D9F95"/>
    <w:rsid w:val="188E08AB"/>
    <w:rsid w:val="1891D9F0"/>
    <w:rsid w:val="189314A4"/>
    <w:rsid w:val="18938EA2"/>
    <w:rsid w:val="1896CDB5"/>
    <w:rsid w:val="1898D11F"/>
    <w:rsid w:val="1899E994"/>
    <w:rsid w:val="189B1CDF"/>
    <w:rsid w:val="189C3A98"/>
    <w:rsid w:val="18A0494D"/>
    <w:rsid w:val="18A0E7D8"/>
    <w:rsid w:val="18A53C07"/>
    <w:rsid w:val="18A5EDDA"/>
    <w:rsid w:val="18A84435"/>
    <w:rsid w:val="18A930A8"/>
    <w:rsid w:val="18AAA26B"/>
    <w:rsid w:val="18AF6F4F"/>
    <w:rsid w:val="18AFD597"/>
    <w:rsid w:val="18B03032"/>
    <w:rsid w:val="18B223B8"/>
    <w:rsid w:val="18B2C8A3"/>
    <w:rsid w:val="18B45CA6"/>
    <w:rsid w:val="18B4A362"/>
    <w:rsid w:val="18B601B0"/>
    <w:rsid w:val="18B7DE61"/>
    <w:rsid w:val="18B9455A"/>
    <w:rsid w:val="18BA7B6B"/>
    <w:rsid w:val="18BF1541"/>
    <w:rsid w:val="18BF26B2"/>
    <w:rsid w:val="18C1B15A"/>
    <w:rsid w:val="18C1ED80"/>
    <w:rsid w:val="18C3DA80"/>
    <w:rsid w:val="18C3FEC2"/>
    <w:rsid w:val="18C94776"/>
    <w:rsid w:val="18CA044D"/>
    <w:rsid w:val="18CA3166"/>
    <w:rsid w:val="18CAA6F6"/>
    <w:rsid w:val="18CAD5AC"/>
    <w:rsid w:val="18CC0DAA"/>
    <w:rsid w:val="18D28BE5"/>
    <w:rsid w:val="18D3E004"/>
    <w:rsid w:val="18D597B1"/>
    <w:rsid w:val="18D5CCDA"/>
    <w:rsid w:val="18D66513"/>
    <w:rsid w:val="18D6A199"/>
    <w:rsid w:val="18D6B406"/>
    <w:rsid w:val="18D81F4D"/>
    <w:rsid w:val="18D82932"/>
    <w:rsid w:val="18D90C78"/>
    <w:rsid w:val="18D9FDB1"/>
    <w:rsid w:val="18DAF47E"/>
    <w:rsid w:val="18DBBE15"/>
    <w:rsid w:val="18DCA362"/>
    <w:rsid w:val="18DE1F6C"/>
    <w:rsid w:val="18DEA146"/>
    <w:rsid w:val="18E02D6D"/>
    <w:rsid w:val="18E0B6EC"/>
    <w:rsid w:val="18E1E7C7"/>
    <w:rsid w:val="18E20270"/>
    <w:rsid w:val="18E500C2"/>
    <w:rsid w:val="18E5BBB3"/>
    <w:rsid w:val="18ED8E05"/>
    <w:rsid w:val="18EF96FE"/>
    <w:rsid w:val="18EFB7AF"/>
    <w:rsid w:val="18EFBC66"/>
    <w:rsid w:val="18F03ED3"/>
    <w:rsid w:val="18F1AB18"/>
    <w:rsid w:val="18F25260"/>
    <w:rsid w:val="18F27DCD"/>
    <w:rsid w:val="18F2F29E"/>
    <w:rsid w:val="18F3D613"/>
    <w:rsid w:val="18F5D1DA"/>
    <w:rsid w:val="18F86982"/>
    <w:rsid w:val="18FEA1D0"/>
    <w:rsid w:val="18FFE0C6"/>
    <w:rsid w:val="190158A1"/>
    <w:rsid w:val="19022074"/>
    <w:rsid w:val="1903CF15"/>
    <w:rsid w:val="19047ED5"/>
    <w:rsid w:val="1907865A"/>
    <w:rsid w:val="190A3C3D"/>
    <w:rsid w:val="190A52BA"/>
    <w:rsid w:val="190CB777"/>
    <w:rsid w:val="190FB8C9"/>
    <w:rsid w:val="1910EBAF"/>
    <w:rsid w:val="191146F0"/>
    <w:rsid w:val="19127340"/>
    <w:rsid w:val="19131308"/>
    <w:rsid w:val="191348C9"/>
    <w:rsid w:val="191529BD"/>
    <w:rsid w:val="19167319"/>
    <w:rsid w:val="1917CC9A"/>
    <w:rsid w:val="19187FC6"/>
    <w:rsid w:val="191928CB"/>
    <w:rsid w:val="1919FE29"/>
    <w:rsid w:val="191A2E10"/>
    <w:rsid w:val="191EB64C"/>
    <w:rsid w:val="191EFA4B"/>
    <w:rsid w:val="1920A6BF"/>
    <w:rsid w:val="1920D2A0"/>
    <w:rsid w:val="19211222"/>
    <w:rsid w:val="1921360F"/>
    <w:rsid w:val="19214309"/>
    <w:rsid w:val="192445AF"/>
    <w:rsid w:val="192550C7"/>
    <w:rsid w:val="1925A2AD"/>
    <w:rsid w:val="19270DE3"/>
    <w:rsid w:val="192B13DC"/>
    <w:rsid w:val="192C180A"/>
    <w:rsid w:val="192C3F54"/>
    <w:rsid w:val="192DFB91"/>
    <w:rsid w:val="192E2B6F"/>
    <w:rsid w:val="192E600C"/>
    <w:rsid w:val="1931CB47"/>
    <w:rsid w:val="19348216"/>
    <w:rsid w:val="193523A0"/>
    <w:rsid w:val="19355006"/>
    <w:rsid w:val="193A0D62"/>
    <w:rsid w:val="193CA219"/>
    <w:rsid w:val="193D2A92"/>
    <w:rsid w:val="193D4FE3"/>
    <w:rsid w:val="193DCBD8"/>
    <w:rsid w:val="19402143"/>
    <w:rsid w:val="1943E213"/>
    <w:rsid w:val="19442FF3"/>
    <w:rsid w:val="19454496"/>
    <w:rsid w:val="19486847"/>
    <w:rsid w:val="194A8327"/>
    <w:rsid w:val="194AD6AF"/>
    <w:rsid w:val="194B53B5"/>
    <w:rsid w:val="194B9725"/>
    <w:rsid w:val="194CE930"/>
    <w:rsid w:val="194E74C2"/>
    <w:rsid w:val="194E8E2F"/>
    <w:rsid w:val="19504F7E"/>
    <w:rsid w:val="1950A9AF"/>
    <w:rsid w:val="1950B1E7"/>
    <w:rsid w:val="1951B66F"/>
    <w:rsid w:val="1951BAB6"/>
    <w:rsid w:val="19542669"/>
    <w:rsid w:val="19546ACA"/>
    <w:rsid w:val="1955020E"/>
    <w:rsid w:val="19571698"/>
    <w:rsid w:val="195918EF"/>
    <w:rsid w:val="195D084E"/>
    <w:rsid w:val="195EDCBE"/>
    <w:rsid w:val="195F833D"/>
    <w:rsid w:val="1963CF9B"/>
    <w:rsid w:val="1963F2D6"/>
    <w:rsid w:val="196B714C"/>
    <w:rsid w:val="196D19BA"/>
    <w:rsid w:val="196ECDB9"/>
    <w:rsid w:val="196F2FF7"/>
    <w:rsid w:val="19702B12"/>
    <w:rsid w:val="19743EEA"/>
    <w:rsid w:val="19796BCF"/>
    <w:rsid w:val="1979A1AD"/>
    <w:rsid w:val="197BF25C"/>
    <w:rsid w:val="197C2C03"/>
    <w:rsid w:val="197DCB76"/>
    <w:rsid w:val="197E9646"/>
    <w:rsid w:val="197F8E02"/>
    <w:rsid w:val="19805878"/>
    <w:rsid w:val="19818934"/>
    <w:rsid w:val="1983614F"/>
    <w:rsid w:val="19848A8F"/>
    <w:rsid w:val="19853B0A"/>
    <w:rsid w:val="1985E5DC"/>
    <w:rsid w:val="198756E8"/>
    <w:rsid w:val="19891C56"/>
    <w:rsid w:val="1989C705"/>
    <w:rsid w:val="198FC697"/>
    <w:rsid w:val="1990C1F7"/>
    <w:rsid w:val="1997E49D"/>
    <w:rsid w:val="19989A7C"/>
    <w:rsid w:val="19998EFD"/>
    <w:rsid w:val="199FAAFB"/>
    <w:rsid w:val="19A10016"/>
    <w:rsid w:val="19A13CDE"/>
    <w:rsid w:val="19A2DA87"/>
    <w:rsid w:val="19A3DD07"/>
    <w:rsid w:val="19A4D57B"/>
    <w:rsid w:val="19A837C0"/>
    <w:rsid w:val="19A8E052"/>
    <w:rsid w:val="19A93F97"/>
    <w:rsid w:val="19A96716"/>
    <w:rsid w:val="19AA309C"/>
    <w:rsid w:val="19AB640C"/>
    <w:rsid w:val="19AB88BE"/>
    <w:rsid w:val="19B5072C"/>
    <w:rsid w:val="19B77687"/>
    <w:rsid w:val="19B88EFC"/>
    <w:rsid w:val="19BD10F3"/>
    <w:rsid w:val="19BE53B6"/>
    <w:rsid w:val="19BE8105"/>
    <w:rsid w:val="19C04E42"/>
    <w:rsid w:val="19C33A4D"/>
    <w:rsid w:val="19C5577D"/>
    <w:rsid w:val="19C55C92"/>
    <w:rsid w:val="19C62F26"/>
    <w:rsid w:val="19C7334D"/>
    <w:rsid w:val="19C88E97"/>
    <w:rsid w:val="19C89219"/>
    <w:rsid w:val="19C9FF10"/>
    <w:rsid w:val="19CAECC1"/>
    <w:rsid w:val="19CCF6BE"/>
    <w:rsid w:val="19CDB7E7"/>
    <w:rsid w:val="19CE8F38"/>
    <w:rsid w:val="19D2C12A"/>
    <w:rsid w:val="19D34EE1"/>
    <w:rsid w:val="19D39D6C"/>
    <w:rsid w:val="19D607B7"/>
    <w:rsid w:val="19D6CD8B"/>
    <w:rsid w:val="19D787B2"/>
    <w:rsid w:val="19D7F9B0"/>
    <w:rsid w:val="19DB865C"/>
    <w:rsid w:val="19DD4B6C"/>
    <w:rsid w:val="19E2C590"/>
    <w:rsid w:val="19E3149F"/>
    <w:rsid w:val="19E3A9A9"/>
    <w:rsid w:val="19E59457"/>
    <w:rsid w:val="19E5AEF3"/>
    <w:rsid w:val="19E60948"/>
    <w:rsid w:val="19E8072F"/>
    <w:rsid w:val="19E9A37F"/>
    <w:rsid w:val="19EA73D4"/>
    <w:rsid w:val="19EBCB8C"/>
    <w:rsid w:val="19EBE216"/>
    <w:rsid w:val="19ED08DD"/>
    <w:rsid w:val="19ED1902"/>
    <w:rsid w:val="19EDF550"/>
    <w:rsid w:val="19F04E8E"/>
    <w:rsid w:val="19F08137"/>
    <w:rsid w:val="19F1CC2C"/>
    <w:rsid w:val="19F2DB4F"/>
    <w:rsid w:val="19F6E294"/>
    <w:rsid w:val="19F9641F"/>
    <w:rsid w:val="19FBC58B"/>
    <w:rsid w:val="19FEC87C"/>
    <w:rsid w:val="19FF06AF"/>
    <w:rsid w:val="19FFA4A8"/>
    <w:rsid w:val="1A005DA9"/>
    <w:rsid w:val="1A04DA01"/>
    <w:rsid w:val="1A054D08"/>
    <w:rsid w:val="1A08133E"/>
    <w:rsid w:val="1A08D44E"/>
    <w:rsid w:val="1A08EEFF"/>
    <w:rsid w:val="1A0B4027"/>
    <w:rsid w:val="1A0D6C3C"/>
    <w:rsid w:val="1A123552"/>
    <w:rsid w:val="1A14612B"/>
    <w:rsid w:val="1A15B867"/>
    <w:rsid w:val="1A176528"/>
    <w:rsid w:val="1A195FEC"/>
    <w:rsid w:val="1A1E02B9"/>
    <w:rsid w:val="1A1E255F"/>
    <w:rsid w:val="1A1E9209"/>
    <w:rsid w:val="1A1F4724"/>
    <w:rsid w:val="1A22A4DD"/>
    <w:rsid w:val="1A22CBAF"/>
    <w:rsid w:val="1A2571F8"/>
    <w:rsid w:val="1A28353B"/>
    <w:rsid w:val="1A29131C"/>
    <w:rsid w:val="1A2A78D9"/>
    <w:rsid w:val="1A2AA11B"/>
    <w:rsid w:val="1A2B8E54"/>
    <w:rsid w:val="1A2BC46C"/>
    <w:rsid w:val="1A2BC825"/>
    <w:rsid w:val="1A2D3106"/>
    <w:rsid w:val="1A32110C"/>
    <w:rsid w:val="1A328A3B"/>
    <w:rsid w:val="1A358948"/>
    <w:rsid w:val="1A382A3A"/>
    <w:rsid w:val="1A383D42"/>
    <w:rsid w:val="1A3DA9C9"/>
    <w:rsid w:val="1A3E60FA"/>
    <w:rsid w:val="1A40B7E7"/>
    <w:rsid w:val="1A42490F"/>
    <w:rsid w:val="1A47F95C"/>
    <w:rsid w:val="1A487F2D"/>
    <w:rsid w:val="1A495CC5"/>
    <w:rsid w:val="1A4BF918"/>
    <w:rsid w:val="1A4C4A7E"/>
    <w:rsid w:val="1A4D3E53"/>
    <w:rsid w:val="1A4DC6D7"/>
    <w:rsid w:val="1A4E7F99"/>
    <w:rsid w:val="1A53462B"/>
    <w:rsid w:val="1A558CF9"/>
    <w:rsid w:val="1A577AB9"/>
    <w:rsid w:val="1A593989"/>
    <w:rsid w:val="1A5A71ED"/>
    <w:rsid w:val="1A5E4871"/>
    <w:rsid w:val="1A5F4CAF"/>
    <w:rsid w:val="1A5FA583"/>
    <w:rsid w:val="1A611268"/>
    <w:rsid w:val="1A623BF1"/>
    <w:rsid w:val="1A62B49F"/>
    <w:rsid w:val="1A650D5D"/>
    <w:rsid w:val="1A65C5D2"/>
    <w:rsid w:val="1A674141"/>
    <w:rsid w:val="1A68B723"/>
    <w:rsid w:val="1A6B8231"/>
    <w:rsid w:val="1A6B95F8"/>
    <w:rsid w:val="1A6F678F"/>
    <w:rsid w:val="1A6F7608"/>
    <w:rsid w:val="1A6FFBB1"/>
    <w:rsid w:val="1A70ECF6"/>
    <w:rsid w:val="1A71B4FB"/>
    <w:rsid w:val="1A733EF9"/>
    <w:rsid w:val="1A740575"/>
    <w:rsid w:val="1A75C7BB"/>
    <w:rsid w:val="1A777656"/>
    <w:rsid w:val="1A778808"/>
    <w:rsid w:val="1A791BEA"/>
    <w:rsid w:val="1A7D23A5"/>
    <w:rsid w:val="1A7D3CF7"/>
    <w:rsid w:val="1A7DAD4A"/>
    <w:rsid w:val="1A7E2930"/>
    <w:rsid w:val="1A7E9677"/>
    <w:rsid w:val="1A82DF97"/>
    <w:rsid w:val="1A84094A"/>
    <w:rsid w:val="1A86B39E"/>
    <w:rsid w:val="1A872C2F"/>
    <w:rsid w:val="1A87CDF4"/>
    <w:rsid w:val="1A8D9020"/>
    <w:rsid w:val="1A8E0ACA"/>
    <w:rsid w:val="1A8E9AF7"/>
    <w:rsid w:val="1A8F9D0D"/>
    <w:rsid w:val="1A918B60"/>
    <w:rsid w:val="1A924656"/>
    <w:rsid w:val="1A9272D3"/>
    <w:rsid w:val="1A9502FA"/>
    <w:rsid w:val="1A9B745E"/>
    <w:rsid w:val="1A9C537A"/>
    <w:rsid w:val="1A9F7643"/>
    <w:rsid w:val="1AA46C82"/>
    <w:rsid w:val="1AA70A09"/>
    <w:rsid w:val="1AA79E3A"/>
    <w:rsid w:val="1AA87B01"/>
    <w:rsid w:val="1AA8A432"/>
    <w:rsid w:val="1AA984C6"/>
    <w:rsid w:val="1AA9FB59"/>
    <w:rsid w:val="1AABBF2B"/>
    <w:rsid w:val="1AACCF2B"/>
    <w:rsid w:val="1AAD1076"/>
    <w:rsid w:val="1AADAC97"/>
    <w:rsid w:val="1AADF125"/>
    <w:rsid w:val="1AAF9161"/>
    <w:rsid w:val="1AB1433E"/>
    <w:rsid w:val="1AB34BB4"/>
    <w:rsid w:val="1AB3ED39"/>
    <w:rsid w:val="1AB43213"/>
    <w:rsid w:val="1AB5E2F2"/>
    <w:rsid w:val="1AB6538E"/>
    <w:rsid w:val="1AB78FDA"/>
    <w:rsid w:val="1AB9DF7C"/>
    <w:rsid w:val="1ABDB5D2"/>
    <w:rsid w:val="1AC1FF55"/>
    <w:rsid w:val="1AC43A2A"/>
    <w:rsid w:val="1AC5CF55"/>
    <w:rsid w:val="1AC5F5F3"/>
    <w:rsid w:val="1AC60DC2"/>
    <w:rsid w:val="1AC904EA"/>
    <w:rsid w:val="1ACA6F8F"/>
    <w:rsid w:val="1ACBC2CA"/>
    <w:rsid w:val="1ACBCDA3"/>
    <w:rsid w:val="1ACE6CCE"/>
    <w:rsid w:val="1AD1480C"/>
    <w:rsid w:val="1AD41AEE"/>
    <w:rsid w:val="1AD4CF73"/>
    <w:rsid w:val="1AD57373"/>
    <w:rsid w:val="1AD919D0"/>
    <w:rsid w:val="1AD9A587"/>
    <w:rsid w:val="1ADF5AC1"/>
    <w:rsid w:val="1AE2F696"/>
    <w:rsid w:val="1AE3F49D"/>
    <w:rsid w:val="1AE60B1B"/>
    <w:rsid w:val="1AE63351"/>
    <w:rsid w:val="1AE70062"/>
    <w:rsid w:val="1AEBBAA7"/>
    <w:rsid w:val="1AEE3C3E"/>
    <w:rsid w:val="1AEF506D"/>
    <w:rsid w:val="1AEFC37E"/>
    <w:rsid w:val="1AEFFA53"/>
    <w:rsid w:val="1AF15047"/>
    <w:rsid w:val="1AF2521E"/>
    <w:rsid w:val="1AF31580"/>
    <w:rsid w:val="1AF3CAC7"/>
    <w:rsid w:val="1AF3F5E1"/>
    <w:rsid w:val="1AFA6CE6"/>
    <w:rsid w:val="1AFB336E"/>
    <w:rsid w:val="1AFCC8BB"/>
    <w:rsid w:val="1AFE1532"/>
    <w:rsid w:val="1AFED2E1"/>
    <w:rsid w:val="1AFF0BC1"/>
    <w:rsid w:val="1B00E34F"/>
    <w:rsid w:val="1B04E4E0"/>
    <w:rsid w:val="1B059CD2"/>
    <w:rsid w:val="1B06C2D0"/>
    <w:rsid w:val="1B06EA83"/>
    <w:rsid w:val="1B08CBF3"/>
    <w:rsid w:val="1B0E4B7D"/>
    <w:rsid w:val="1B1064B1"/>
    <w:rsid w:val="1B11C54C"/>
    <w:rsid w:val="1B1307E9"/>
    <w:rsid w:val="1B1515D5"/>
    <w:rsid w:val="1B156F08"/>
    <w:rsid w:val="1B157BBE"/>
    <w:rsid w:val="1B15E5E0"/>
    <w:rsid w:val="1B190E52"/>
    <w:rsid w:val="1B19AA63"/>
    <w:rsid w:val="1B1C73E1"/>
    <w:rsid w:val="1B1C7442"/>
    <w:rsid w:val="1B21CD6C"/>
    <w:rsid w:val="1B21DB54"/>
    <w:rsid w:val="1B26416B"/>
    <w:rsid w:val="1B268623"/>
    <w:rsid w:val="1B277B89"/>
    <w:rsid w:val="1B2B230A"/>
    <w:rsid w:val="1B2D1875"/>
    <w:rsid w:val="1B2F0BB1"/>
    <w:rsid w:val="1B2FA53F"/>
    <w:rsid w:val="1B300F48"/>
    <w:rsid w:val="1B322E22"/>
    <w:rsid w:val="1B357B72"/>
    <w:rsid w:val="1B3AC51C"/>
    <w:rsid w:val="1B3D123F"/>
    <w:rsid w:val="1B3DE532"/>
    <w:rsid w:val="1B3EE397"/>
    <w:rsid w:val="1B3F1534"/>
    <w:rsid w:val="1B3F3B7C"/>
    <w:rsid w:val="1B3FF224"/>
    <w:rsid w:val="1B425675"/>
    <w:rsid w:val="1B440CE4"/>
    <w:rsid w:val="1B48576B"/>
    <w:rsid w:val="1B4CD9AA"/>
    <w:rsid w:val="1B4DBBFA"/>
    <w:rsid w:val="1B4E82B0"/>
    <w:rsid w:val="1B500DAA"/>
    <w:rsid w:val="1B505ACB"/>
    <w:rsid w:val="1B506A94"/>
    <w:rsid w:val="1B50B756"/>
    <w:rsid w:val="1B50C88B"/>
    <w:rsid w:val="1B519B92"/>
    <w:rsid w:val="1B546511"/>
    <w:rsid w:val="1B54EF0B"/>
    <w:rsid w:val="1B56AB7B"/>
    <w:rsid w:val="1B597180"/>
    <w:rsid w:val="1B59CA21"/>
    <w:rsid w:val="1B59EB61"/>
    <w:rsid w:val="1B5AA72F"/>
    <w:rsid w:val="1B5AE354"/>
    <w:rsid w:val="1B5E1C15"/>
    <w:rsid w:val="1B5F8441"/>
    <w:rsid w:val="1B601BD3"/>
    <w:rsid w:val="1B604CB7"/>
    <w:rsid w:val="1B60AA29"/>
    <w:rsid w:val="1B60B2DB"/>
    <w:rsid w:val="1B61E14D"/>
    <w:rsid w:val="1B6467FB"/>
    <w:rsid w:val="1B65D2F7"/>
    <w:rsid w:val="1B679BCE"/>
    <w:rsid w:val="1B6A0072"/>
    <w:rsid w:val="1B6B38AE"/>
    <w:rsid w:val="1B6C4814"/>
    <w:rsid w:val="1B6D967F"/>
    <w:rsid w:val="1B6DA4EA"/>
    <w:rsid w:val="1B6DFB0D"/>
    <w:rsid w:val="1B6EDD50"/>
    <w:rsid w:val="1B6F218F"/>
    <w:rsid w:val="1B702EC3"/>
    <w:rsid w:val="1B70ACC1"/>
    <w:rsid w:val="1B730629"/>
    <w:rsid w:val="1B73E5C7"/>
    <w:rsid w:val="1B754DD4"/>
    <w:rsid w:val="1B756432"/>
    <w:rsid w:val="1B76BFC4"/>
    <w:rsid w:val="1B7A8EE1"/>
    <w:rsid w:val="1B7D7B23"/>
    <w:rsid w:val="1B80772E"/>
    <w:rsid w:val="1B80D724"/>
    <w:rsid w:val="1B814A90"/>
    <w:rsid w:val="1B833373"/>
    <w:rsid w:val="1B83796C"/>
    <w:rsid w:val="1B84D39E"/>
    <w:rsid w:val="1B8AD616"/>
    <w:rsid w:val="1B8D3084"/>
    <w:rsid w:val="1B8E6397"/>
    <w:rsid w:val="1B8EF44F"/>
    <w:rsid w:val="1B93AE7A"/>
    <w:rsid w:val="1B964A80"/>
    <w:rsid w:val="1B96F814"/>
    <w:rsid w:val="1B9C4625"/>
    <w:rsid w:val="1B9CD25E"/>
    <w:rsid w:val="1B9E8B43"/>
    <w:rsid w:val="1BA1A14B"/>
    <w:rsid w:val="1BA35D9A"/>
    <w:rsid w:val="1BA67FA4"/>
    <w:rsid w:val="1BA8E538"/>
    <w:rsid w:val="1BA97662"/>
    <w:rsid w:val="1BAAC277"/>
    <w:rsid w:val="1BAF1CFE"/>
    <w:rsid w:val="1BAF64D2"/>
    <w:rsid w:val="1BAF8BEB"/>
    <w:rsid w:val="1BB3D2B5"/>
    <w:rsid w:val="1BB41A35"/>
    <w:rsid w:val="1BB6F150"/>
    <w:rsid w:val="1BBA754A"/>
    <w:rsid w:val="1BBB37DF"/>
    <w:rsid w:val="1BC04547"/>
    <w:rsid w:val="1BC20CC8"/>
    <w:rsid w:val="1BC6101C"/>
    <w:rsid w:val="1BC83FA0"/>
    <w:rsid w:val="1BC85946"/>
    <w:rsid w:val="1BCAB30F"/>
    <w:rsid w:val="1BCCB6D6"/>
    <w:rsid w:val="1BCDB462"/>
    <w:rsid w:val="1BCDD0F7"/>
    <w:rsid w:val="1BCE6F1B"/>
    <w:rsid w:val="1BD053BF"/>
    <w:rsid w:val="1BD357CD"/>
    <w:rsid w:val="1BD36E81"/>
    <w:rsid w:val="1BD53640"/>
    <w:rsid w:val="1BD6D098"/>
    <w:rsid w:val="1BD8164C"/>
    <w:rsid w:val="1BD98721"/>
    <w:rsid w:val="1BD9DBD5"/>
    <w:rsid w:val="1BDB3656"/>
    <w:rsid w:val="1BDDF990"/>
    <w:rsid w:val="1BE01DF9"/>
    <w:rsid w:val="1BE06F0A"/>
    <w:rsid w:val="1BE14535"/>
    <w:rsid w:val="1BE1C55A"/>
    <w:rsid w:val="1BE8D71F"/>
    <w:rsid w:val="1BEA2F9A"/>
    <w:rsid w:val="1BEA5B05"/>
    <w:rsid w:val="1BEACEA7"/>
    <w:rsid w:val="1BECF874"/>
    <w:rsid w:val="1BF2C370"/>
    <w:rsid w:val="1BF5BE55"/>
    <w:rsid w:val="1BF640DF"/>
    <w:rsid w:val="1BF77372"/>
    <w:rsid w:val="1BF92A06"/>
    <w:rsid w:val="1BFD6ABD"/>
    <w:rsid w:val="1BFE654A"/>
    <w:rsid w:val="1C01232C"/>
    <w:rsid w:val="1C01F1C4"/>
    <w:rsid w:val="1C03302C"/>
    <w:rsid w:val="1C037F5F"/>
    <w:rsid w:val="1C055B4F"/>
    <w:rsid w:val="1C05EA29"/>
    <w:rsid w:val="1C08D841"/>
    <w:rsid w:val="1C08E457"/>
    <w:rsid w:val="1C0DAA97"/>
    <w:rsid w:val="1C0EA17A"/>
    <w:rsid w:val="1C13A0E7"/>
    <w:rsid w:val="1C13A136"/>
    <w:rsid w:val="1C13C2BC"/>
    <w:rsid w:val="1C162E1B"/>
    <w:rsid w:val="1C165918"/>
    <w:rsid w:val="1C1AB1C7"/>
    <w:rsid w:val="1C1AE63D"/>
    <w:rsid w:val="1C1B0852"/>
    <w:rsid w:val="1C1BA16A"/>
    <w:rsid w:val="1C1D3528"/>
    <w:rsid w:val="1C1DB246"/>
    <w:rsid w:val="1C1DCED5"/>
    <w:rsid w:val="1C20217E"/>
    <w:rsid w:val="1C2063F3"/>
    <w:rsid w:val="1C217AB4"/>
    <w:rsid w:val="1C22C01D"/>
    <w:rsid w:val="1C2367D2"/>
    <w:rsid w:val="1C23DA6D"/>
    <w:rsid w:val="1C247DC1"/>
    <w:rsid w:val="1C264608"/>
    <w:rsid w:val="1C2ACA40"/>
    <w:rsid w:val="1C2B094E"/>
    <w:rsid w:val="1C2B43C8"/>
    <w:rsid w:val="1C2C77FF"/>
    <w:rsid w:val="1C2F3030"/>
    <w:rsid w:val="1C310FF6"/>
    <w:rsid w:val="1C316CF7"/>
    <w:rsid w:val="1C36C33F"/>
    <w:rsid w:val="1C3903CB"/>
    <w:rsid w:val="1C39C283"/>
    <w:rsid w:val="1C3F0D19"/>
    <w:rsid w:val="1C3F9325"/>
    <w:rsid w:val="1C403D67"/>
    <w:rsid w:val="1C40FB9E"/>
    <w:rsid w:val="1C4159CE"/>
    <w:rsid w:val="1C41BB0C"/>
    <w:rsid w:val="1C427BB3"/>
    <w:rsid w:val="1C428FE4"/>
    <w:rsid w:val="1C45DF32"/>
    <w:rsid w:val="1C46B18F"/>
    <w:rsid w:val="1C4A58D4"/>
    <w:rsid w:val="1C4A6926"/>
    <w:rsid w:val="1C4B2C60"/>
    <w:rsid w:val="1C4C0B53"/>
    <w:rsid w:val="1C4D5F70"/>
    <w:rsid w:val="1C4E5183"/>
    <w:rsid w:val="1C4F79C3"/>
    <w:rsid w:val="1C4FC3EB"/>
    <w:rsid w:val="1C503C02"/>
    <w:rsid w:val="1C50EEBC"/>
    <w:rsid w:val="1C51D57A"/>
    <w:rsid w:val="1C52C908"/>
    <w:rsid w:val="1C5933EC"/>
    <w:rsid w:val="1C5AC32E"/>
    <w:rsid w:val="1C5B480E"/>
    <w:rsid w:val="1C5D1CA9"/>
    <w:rsid w:val="1C5D6262"/>
    <w:rsid w:val="1C5E233F"/>
    <w:rsid w:val="1C61298A"/>
    <w:rsid w:val="1C661175"/>
    <w:rsid w:val="1C676E32"/>
    <w:rsid w:val="1C69DD4F"/>
    <w:rsid w:val="1C6B1526"/>
    <w:rsid w:val="1C6D6B59"/>
    <w:rsid w:val="1C6DB532"/>
    <w:rsid w:val="1C6DEAB8"/>
    <w:rsid w:val="1C6F792D"/>
    <w:rsid w:val="1C7030DD"/>
    <w:rsid w:val="1C71058F"/>
    <w:rsid w:val="1C741638"/>
    <w:rsid w:val="1C749560"/>
    <w:rsid w:val="1C7AC843"/>
    <w:rsid w:val="1C7C1EC0"/>
    <w:rsid w:val="1C7CA1D5"/>
    <w:rsid w:val="1C7CE3A8"/>
    <w:rsid w:val="1C7D4014"/>
    <w:rsid w:val="1C7DCFB7"/>
    <w:rsid w:val="1C7E9673"/>
    <w:rsid w:val="1C8182F1"/>
    <w:rsid w:val="1C81DA10"/>
    <w:rsid w:val="1C846E27"/>
    <w:rsid w:val="1C875B38"/>
    <w:rsid w:val="1C8ABC4F"/>
    <w:rsid w:val="1C8B2044"/>
    <w:rsid w:val="1C8B5027"/>
    <w:rsid w:val="1C8C1BED"/>
    <w:rsid w:val="1C8ECFFE"/>
    <w:rsid w:val="1C8F1E1B"/>
    <w:rsid w:val="1C8F79ED"/>
    <w:rsid w:val="1C91D6CF"/>
    <w:rsid w:val="1C926AE0"/>
    <w:rsid w:val="1C96290B"/>
    <w:rsid w:val="1C9DA789"/>
    <w:rsid w:val="1CA0C4D8"/>
    <w:rsid w:val="1CA5B307"/>
    <w:rsid w:val="1CA89162"/>
    <w:rsid w:val="1CAB6C2B"/>
    <w:rsid w:val="1CACCF64"/>
    <w:rsid w:val="1CB4CCCE"/>
    <w:rsid w:val="1CB71AF3"/>
    <w:rsid w:val="1CBAD3ED"/>
    <w:rsid w:val="1CBE1922"/>
    <w:rsid w:val="1CBECDB8"/>
    <w:rsid w:val="1CC0EF28"/>
    <w:rsid w:val="1CC5E03F"/>
    <w:rsid w:val="1CC628DF"/>
    <w:rsid w:val="1CC8EBFB"/>
    <w:rsid w:val="1CC9020D"/>
    <w:rsid w:val="1CCA5FFE"/>
    <w:rsid w:val="1CCBFD00"/>
    <w:rsid w:val="1CCBFEA2"/>
    <w:rsid w:val="1CCFE2DE"/>
    <w:rsid w:val="1CD390F5"/>
    <w:rsid w:val="1CD53A68"/>
    <w:rsid w:val="1CD682C6"/>
    <w:rsid w:val="1CD93EF0"/>
    <w:rsid w:val="1CDB063B"/>
    <w:rsid w:val="1CDB2168"/>
    <w:rsid w:val="1CDC2955"/>
    <w:rsid w:val="1CDF1BB5"/>
    <w:rsid w:val="1CE02AAA"/>
    <w:rsid w:val="1CE04C24"/>
    <w:rsid w:val="1CE2213C"/>
    <w:rsid w:val="1CE2A273"/>
    <w:rsid w:val="1CE36CD7"/>
    <w:rsid w:val="1CE6E0B3"/>
    <w:rsid w:val="1CE761D3"/>
    <w:rsid w:val="1CE7CF08"/>
    <w:rsid w:val="1CF1E5FE"/>
    <w:rsid w:val="1CF2C761"/>
    <w:rsid w:val="1CF3EE02"/>
    <w:rsid w:val="1CF7F787"/>
    <w:rsid w:val="1CFC8211"/>
    <w:rsid w:val="1CFCE866"/>
    <w:rsid w:val="1CFE2B2B"/>
    <w:rsid w:val="1CFEF9ED"/>
    <w:rsid w:val="1CFFB17F"/>
    <w:rsid w:val="1D01BCB0"/>
    <w:rsid w:val="1D024E9F"/>
    <w:rsid w:val="1D026CC9"/>
    <w:rsid w:val="1D0591F2"/>
    <w:rsid w:val="1D0995CD"/>
    <w:rsid w:val="1D0B19DC"/>
    <w:rsid w:val="1D0BDA09"/>
    <w:rsid w:val="1D0C5D32"/>
    <w:rsid w:val="1D0E5891"/>
    <w:rsid w:val="1D0E776B"/>
    <w:rsid w:val="1D12F36E"/>
    <w:rsid w:val="1D135EA3"/>
    <w:rsid w:val="1D160E0E"/>
    <w:rsid w:val="1D165B8C"/>
    <w:rsid w:val="1D19272A"/>
    <w:rsid w:val="1D1C24F7"/>
    <w:rsid w:val="1D1E69E5"/>
    <w:rsid w:val="1D206C27"/>
    <w:rsid w:val="1D24008E"/>
    <w:rsid w:val="1D24B3AE"/>
    <w:rsid w:val="1D27DAC1"/>
    <w:rsid w:val="1D2B3E65"/>
    <w:rsid w:val="1D2C01F5"/>
    <w:rsid w:val="1D2D60BA"/>
    <w:rsid w:val="1D30C78D"/>
    <w:rsid w:val="1D311544"/>
    <w:rsid w:val="1D31C75C"/>
    <w:rsid w:val="1D351F45"/>
    <w:rsid w:val="1D358538"/>
    <w:rsid w:val="1D3749D9"/>
    <w:rsid w:val="1D379D58"/>
    <w:rsid w:val="1D3AAC5C"/>
    <w:rsid w:val="1D3B1F9D"/>
    <w:rsid w:val="1D3D0EA8"/>
    <w:rsid w:val="1D4057C8"/>
    <w:rsid w:val="1D41D29F"/>
    <w:rsid w:val="1D43B049"/>
    <w:rsid w:val="1D446EBF"/>
    <w:rsid w:val="1D461D18"/>
    <w:rsid w:val="1D4754DC"/>
    <w:rsid w:val="1D483187"/>
    <w:rsid w:val="1D491E19"/>
    <w:rsid w:val="1D4A219E"/>
    <w:rsid w:val="1D4DCF21"/>
    <w:rsid w:val="1D520D3D"/>
    <w:rsid w:val="1D52E2AA"/>
    <w:rsid w:val="1D536E0C"/>
    <w:rsid w:val="1D5652AD"/>
    <w:rsid w:val="1D56B7FA"/>
    <w:rsid w:val="1D581AA4"/>
    <w:rsid w:val="1D58A720"/>
    <w:rsid w:val="1D593EAE"/>
    <w:rsid w:val="1D5D0BC7"/>
    <w:rsid w:val="1D5E1EB7"/>
    <w:rsid w:val="1D5E4D35"/>
    <w:rsid w:val="1D5FE5D9"/>
    <w:rsid w:val="1D6052AC"/>
    <w:rsid w:val="1D60A71E"/>
    <w:rsid w:val="1D61141E"/>
    <w:rsid w:val="1D637E96"/>
    <w:rsid w:val="1D64DCA4"/>
    <w:rsid w:val="1D6738CC"/>
    <w:rsid w:val="1D67AB9A"/>
    <w:rsid w:val="1D688CF0"/>
    <w:rsid w:val="1D6A3CA6"/>
    <w:rsid w:val="1D6A5DD4"/>
    <w:rsid w:val="1D6AC160"/>
    <w:rsid w:val="1D6DB8F7"/>
    <w:rsid w:val="1D6FDAF4"/>
    <w:rsid w:val="1D701252"/>
    <w:rsid w:val="1D708AE2"/>
    <w:rsid w:val="1D71E881"/>
    <w:rsid w:val="1D72B7A7"/>
    <w:rsid w:val="1D72BE30"/>
    <w:rsid w:val="1D773555"/>
    <w:rsid w:val="1D7A6B6A"/>
    <w:rsid w:val="1D7BEB2D"/>
    <w:rsid w:val="1D7CDF4A"/>
    <w:rsid w:val="1D7D33B1"/>
    <w:rsid w:val="1D7F7C63"/>
    <w:rsid w:val="1D809382"/>
    <w:rsid w:val="1D80BC4B"/>
    <w:rsid w:val="1D82C216"/>
    <w:rsid w:val="1D85165E"/>
    <w:rsid w:val="1D852D70"/>
    <w:rsid w:val="1D853D75"/>
    <w:rsid w:val="1D86B010"/>
    <w:rsid w:val="1D872B4C"/>
    <w:rsid w:val="1D898D3A"/>
    <w:rsid w:val="1D8BB10C"/>
    <w:rsid w:val="1D8F5F15"/>
    <w:rsid w:val="1D8FACAB"/>
    <w:rsid w:val="1D918BA9"/>
    <w:rsid w:val="1D9211FE"/>
    <w:rsid w:val="1D922EF4"/>
    <w:rsid w:val="1D931112"/>
    <w:rsid w:val="1D93C16B"/>
    <w:rsid w:val="1D9510E4"/>
    <w:rsid w:val="1D986F6C"/>
    <w:rsid w:val="1D990091"/>
    <w:rsid w:val="1D9AB487"/>
    <w:rsid w:val="1D9BC61E"/>
    <w:rsid w:val="1D9BFFDD"/>
    <w:rsid w:val="1D9CCA00"/>
    <w:rsid w:val="1DA0CCD0"/>
    <w:rsid w:val="1DA10D7D"/>
    <w:rsid w:val="1DA1150A"/>
    <w:rsid w:val="1DA224EA"/>
    <w:rsid w:val="1DA5955D"/>
    <w:rsid w:val="1DA69E0D"/>
    <w:rsid w:val="1DA6B530"/>
    <w:rsid w:val="1DABEC4D"/>
    <w:rsid w:val="1DAD9BEE"/>
    <w:rsid w:val="1DB0845D"/>
    <w:rsid w:val="1DB0F841"/>
    <w:rsid w:val="1DB59952"/>
    <w:rsid w:val="1DB6EF8C"/>
    <w:rsid w:val="1DB8EFFD"/>
    <w:rsid w:val="1DBC920A"/>
    <w:rsid w:val="1DC03E07"/>
    <w:rsid w:val="1DC1AB77"/>
    <w:rsid w:val="1DC1D419"/>
    <w:rsid w:val="1DC29BAA"/>
    <w:rsid w:val="1DC3EB1B"/>
    <w:rsid w:val="1DC68AD5"/>
    <w:rsid w:val="1DC824A8"/>
    <w:rsid w:val="1DC92B16"/>
    <w:rsid w:val="1DD3B1BC"/>
    <w:rsid w:val="1DDC1386"/>
    <w:rsid w:val="1DDD4085"/>
    <w:rsid w:val="1DDD9753"/>
    <w:rsid w:val="1DE26C87"/>
    <w:rsid w:val="1DE34CF1"/>
    <w:rsid w:val="1DE54092"/>
    <w:rsid w:val="1DE990DA"/>
    <w:rsid w:val="1DEB04FC"/>
    <w:rsid w:val="1DEC0DF9"/>
    <w:rsid w:val="1DEDBC0F"/>
    <w:rsid w:val="1DEE1DAD"/>
    <w:rsid w:val="1DEFDA6A"/>
    <w:rsid w:val="1DEFF27C"/>
    <w:rsid w:val="1DF19E8A"/>
    <w:rsid w:val="1DF2C393"/>
    <w:rsid w:val="1DF2E414"/>
    <w:rsid w:val="1DF34454"/>
    <w:rsid w:val="1DF34867"/>
    <w:rsid w:val="1DF418DB"/>
    <w:rsid w:val="1DF65BA1"/>
    <w:rsid w:val="1DF85574"/>
    <w:rsid w:val="1DFA029B"/>
    <w:rsid w:val="1DFC8066"/>
    <w:rsid w:val="1DFDA4EF"/>
    <w:rsid w:val="1DFDE4C6"/>
    <w:rsid w:val="1DFF3335"/>
    <w:rsid w:val="1E005780"/>
    <w:rsid w:val="1E009542"/>
    <w:rsid w:val="1E01E9CC"/>
    <w:rsid w:val="1E03580C"/>
    <w:rsid w:val="1E06BAC7"/>
    <w:rsid w:val="1E0914B2"/>
    <w:rsid w:val="1E0EA666"/>
    <w:rsid w:val="1E10E359"/>
    <w:rsid w:val="1E110EF0"/>
    <w:rsid w:val="1E11F65C"/>
    <w:rsid w:val="1E12B747"/>
    <w:rsid w:val="1E1660C9"/>
    <w:rsid w:val="1E19F87D"/>
    <w:rsid w:val="1E1B23D6"/>
    <w:rsid w:val="1E1E0A60"/>
    <w:rsid w:val="1E20059D"/>
    <w:rsid w:val="1E2085A5"/>
    <w:rsid w:val="1E2332C4"/>
    <w:rsid w:val="1E2681B6"/>
    <w:rsid w:val="1E270D1D"/>
    <w:rsid w:val="1E27128E"/>
    <w:rsid w:val="1E27A2A3"/>
    <w:rsid w:val="1E28382F"/>
    <w:rsid w:val="1E28E8DC"/>
    <w:rsid w:val="1E2B10AE"/>
    <w:rsid w:val="1E2B3344"/>
    <w:rsid w:val="1E2C69B2"/>
    <w:rsid w:val="1E2E6073"/>
    <w:rsid w:val="1E348CEC"/>
    <w:rsid w:val="1E35B53B"/>
    <w:rsid w:val="1E3A62DF"/>
    <w:rsid w:val="1E3D33D3"/>
    <w:rsid w:val="1E4025D5"/>
    <w:rsid w:val="1E402BFF"/>
    <w:rsid w:val="1E4681CE"/>
    <w:rsid w:val="1E46ABD5"/>
    <w:rsid w:val="1E474DAE"/>
    <w:rsid w:val="1E4812D9"/>
    <w:rsid w:val="1E482134"/>
    <w:rsid w:val="1E48E4C0"/>
    <w:rsid w:val="1E493FE3"/>
    <w:rsid w:val="1E49B694"/>
    <w:rsid w:val="1E49D9EE"/>
    <w:rsid w:val="1E4B7F5A"/>
    <w:rsid w:val="1E4BA7B3"/>
    <w:rsid w:val="1E4D0447"/>
    <w:rsid w:val="1E4D702B"/>
    <w:rsid w:val="1E517A2E"/>
    <w:rsid w:val="1E52E493"/>
    <w:rsid w:val="1E533B87"/>
    <w:rsid w:val="1E53D2BF"/>
    <w:rsid w:val="1E5445FD"/>
    <w:rsid w:val="1E5540D9"/>
    <w:rsid w:val="1E55BF8E"/>
    <w:rsid w:val="1E56D24B"/>
    <w:rsid w:val="1E5D76D1"/>
    <w:rsid w:val="1E5FACD3"/>
    <w:rsid w:val="1E60AEE6"/>
    <w:rsid w:val="1E61CAA0"/>
    <w:rsid w:val="1E624A66"/>
    <w:rsid w:val="1E63CE18"/>
    <w:rsid w:val="1E648EFC"/>
    <w:rsid w:val="1E64D798"/>
    <w:rsid w:val="1E662659"/>
    <w:rsid w:val="1E68F152"/>
    <w:rsid w:val="1E6C4194"/>
    <w:rsid w:val="1E6D1B86"/>
    <w:rsid w:val="1E6DB894"/>
    <w:rsid w:val="1E70573D"/>
    <w:rsid w:val="1E72CA12"/>
    <w:rsid w:val="1E737034"/>
    <w:rsid w:val="1E7429AF"/>
    <w:rsid w:val="1E74F464"/>
    <w:rsid w:val="1E75732D"/>
    <w:rsid w:val="1E7B6AF8"/>
    <w:rsid w:val="1E7BA148"/>
    <w:rsid w:val="1E7D5241"/>
    <w:rsid w:val="1E7EBD05"/>
    <w:rsid w:val="1E7F4994"/>
    <w:rsid w:val="1E7F5643"/>
    <w:rsid w:val="1E825DD6"/>
    <w:rsid w:val="1E8357DD"/>
    <w:rsid w:val="1E865D22"/>
    <w:rsid w:val="1E86F423"/>
    <w:rsid w:val="1E886AFB"/>
    <w:rsid w:val="1E89A494"/>
    <w:rsid w:val="1E89AEA3"/>
    <w:rsid w:val="1E89F55F"/>
    <w:rsid w:val="1E8A5535"/>
    <w:rsid w:val="1E8C969E"/>
    <w:rsid w:val="1E8EAA04"/>
    <w:rsid w:val="1E90FF88"/>
    <w:rsid w:val="1E938412"/>
    <w:rsid w:val="1E946D41"/>
    <w:rsid w:val="1E95DCF8"/>
    <w:rsid w:val="1E96592E"/>
    <w:rsid w:val="1E96C44E"/>
    <w:rsid w:val="1E97E53F"/>
    <w:rsid w:val="1E98D403"/>
    <w:rsid w:val="1E995940"/>
    <w:rsid w:val="1E99D24F"/>
    <w:rsid w:val="1E9B4D78"/>
    <w:rsid w:val="1E9EE759"/>
    <w:rsid w:val="1EA15094"/>
    <w:rsid w:val="1EA6413A"/>
    <w:rsid w:val="1EA79EF0"/>
    <w:rsid w:val="1EA81153"/>
    <w:rsid w:val="1EA96150"/>
    <w:rsid w:val="1EA9E8D7"/>
    <w:rsid w:val="1EAABF5D"/>
    <w:rsid w:val="1EABC367"/>
    <w:rsid w:val="1EAEEF34"/>
    <w:rsid w:val="1EB06985"/>
    <w:rsid w:val="1EBA78AF"/>
    <w:rsid w:val="1EBB24B5"/>
    <w:rsid w:val="1EBBD7E2"/>
    <w:rsid w:val="1EBCC468"/>
    <w:rsid w:val="1EC009AE"/>
    <w:rsid w:val="1EC6D8EA"/>
    <w:rsid w:val="1EC80515"/>
    <w:rsid w:val="1ECAB976"/>
    <w:rsid w:val="1ECC1914"/>
    <w:rsid w:val="1ECF5F07"/>
    <w:rsid w:val="1ED035B5"/>
    <w:rsid w:val="1ED38FEE"/>
    <w:rsid w:val="1ED6423C"/>
    <w:rsid w:val="1ED77B8B"/>
    <w:rsid w:val="1ED96A6C"/>
    <w:rsid w:val="1EDA68C8"/>
    <w:rsid w:val="1EDAF19A"/>
    <w:rsid w:val="1EE0C294"/>
    <w:rsid w:val="1EE108F3"/>
    <w:rsid w:val="1EE156CC"/>
    <w:rsid w:val="1EE2B818"/>
    <w:rsid w:val="1EE2DA08"/>
    <w:rsid w:val="1EE2E3C1"/>
    <w:rsid w:val="1EE44E05"/>
    <w:rsid w:val="1EE4B494"/>
    <w:rsid w:val="1EE79296"/>
    <w:rsid w:val="1EEA699C"/>
    <w:rsid w:val="1EEDD08E"/>
    <w:rsid w:val="1EF0109E"/>
    <w:rsid w:val="1EF2060F"/>
    <w:rsid w:val="1EF23454"/>
    <w:rsid w:val="1EF3A9BB"/>
    <w:rsid w:val="1EF5AD46"/>
    <w:rsid w:val="1EF710AB"/>
    <w:rsid w:val="1EF7F627"/>
    <w:rsid w:val="1EF9C487"/>
    <w:rsid w:val="1EFA0E6E"/>
    <w:rsid w:val="1EFA60F8"/>
    <w:rsid w:val="1EFBD2CC"/>
    <w:rsid w:val="1EFEB89D"/>
    <w:rsid w:val="1EFF0CBE"/>
    <w:rsid w:val="1F000C1B"/>
    <w:rsid w:val="1F01BB6F"/>
    <w:rsid w:val="1F043840"/>
    <w:rsid w:val="1F044F63"/>
    <w:rsid w:val="1F0D3A2E"/>
    <w:rsid w:val="1F0D57EC"/>
    <w:rsid w:val="1F10B121"/>
    <w:rsid w:val="1F11BB73"/>
    <w:rsid w:val="1F138086"/>
    <w:rsid w:val="1F13E3B3"/>
    <w:rsid w:val="1F14002A"/>
    <w:rsid w:val="1F14D4A0"/>
    <w:rsid w:val="1F1553C1"/>
    <w:rsid w:val="1F170F7B"/>
    <w:rsid w:val="1F17FF61"/>
    <w:rsid w:val="1F1844BE"/>
    <w:rsid w:val="1F18D98E"/>
    <w:rsid w:val="1F18EE38"/>
    <w:rsid w:val="1F19D18C"/>
    <w:rsid w:val="1F1E92A3"/>
    <w:rsid w:val="1F22213A"/>
    <w:rsid w:val="1F22BD23"/>
    <w:rsid w:val="1F22CEC5"/>
    <w:rsid w:val="1F240072"/>
    <w:rsid w:val="1F24A1D1"/>
    <w:rsid w:val="1F257FCD"/>
    <w:rsid w:val="1F27D898"/>
    <w:rsid w:val="1F289D36"/>
    <w:rsid w:val="1F2A3ACE"/>
    <w:rsid w:val="1F2A8F8F"/>
    <w:rsid w:val="1F2AAB44"/>
    <w:rsid w:val="1F2B9769"/>
    <w:rsid w:val="1F2DA7B9"/>
    <w:rsid w:val="1F2F5214"/>
    <w:rsid w:val="1F319260"/>
    <w:rsid w:val="1F31DC90"/>
    <w:rsid w:val="1F31FC3B"/>
    <w:rsid w:val="1F32B26C"/>
    <w:rsid w:val="1F3468AD"/>
    <w:rsid w:val="1F34A2BF"/>
    <w:rsid w:val="1F374EA5"/>
    <w:rsid w:val="1F391E8F"/>
    <w:rsid w:val="1F3BE4A2"/>
    <w:rsid w:val="1F3C0158"/>
    <w:rsid w:val="1F3D5D08"/>
    <w:rsid w:val="1F3F3B2D"/>
    <w:rsid w:val="1F409EC2"/>
    <w:rsid w:val="1F419613"/>
    <w:rsid w:val="1F48E8B6"/>
    <w:rsid w:val="1F49A133"/>
    <w:rsid w:val="1F4A64B9"/>
    <w:rsid w:val="1F4D35D7"/>
    <w:rsid w:val="1F4DBC72"/>
    <w:rsid w:val="1F4E9E65"/>
    <w:rsid w:val="1F4ED065"/>
    <w:rsid w:val="1F503551"/>
    <w:rsid w:val="1F55F58A"/>
    <w:rsid w:val="1F57B635"/>
    <w:rsid w:val="1F585002"/>
    <w:rsid w:val="1F59F228"/>
    <w:rsid w:val="1F5AA731"/>
    <w:rsid w:val="1F5AAA29"/>
    <w:rsid w:val="1F5B937E"/>
    <w:rsid w:val="1F5D59E0"/>
    <w:rsid w:val="1F608D98"/>
    <w:rsid w:val="1F6309CC"/>
    <w:rsid w:val="1F645931"/>
    <w:rsid w:val="1F6735A4"/>
    <w:rsid w:val="1F685CD9"/>
    <w:rsid w:val="1F6873A5"/>
    <w:rsid w:val="1F69E4E7"/>
    <w:rsid w:val="1F6BDE9E"/>
    <w:rsid w:val="1F6BE3F6"/>
    <w:rsid w:val="1F6DA651"/>
    <w:rsid w:val="1F6EC094"/>
    <w:rsid w:val="1F7022AC"/>
    <w:rsid w:val="1F705C89"/>
    <w:rsid w:val="1F70ACE2"/>
    <w:rsid w:val="1F731B37"/>
    <w:rsid w:val="1F73BE55"/>
    <w:rsid w:val="1F771877"/>
    <w:rsid w:val="1F790429"/>
    <w:rsid w:val="1F7C7E52"/>
    <w:rsid w:val="1F7C9B1C"/>
    <w:rsid w:val="1F7D05BB"/>
    <w:rsid w:val="1F7DD887"/>
    <w:rsid w:val="1F7DF759"/>
    <w:rsid w:val="1F7FF467"/>
    <w:rsid w:val="1F803A45"/>
    <w:rsid w:val="1F82BD3B"/>
    <w:rsid w:val="1F83B173"/>
    <w:rsid w:val="1F84ADC1"/>
    <w:rsid w:val="1F856839"/>
    <w:rsid w:val="1F85D147"/>
    <w:rsid w:val="1F8668BD"/>
    <w:rsid w:val="1F86FB67"/>
    <w:rsid w:val="1F88B8A7"/>
    <w:rsid w:val="1F893AF9"/>
    <w:rsid w:val="1F8A4548"/>
    <w:rsid w:val="1F8BB388"/>
    <w:rsid w:val="1F8BEC3E"/>
    <w:rsid w:val="1F8E221F"/>
    <w:rsid w:val="1F8E6839"/>
    <w:rsid w:val="1F90FD42"/>
    <w:rsid w:val="1F927C43"/>
    <w:rsid w:val="1F955BF2"/>
    <w:rsid w:val="1F959557"/>
    <w:rsid w:val="1F96F191"/>
    <w:rsid w:val="1F97B447"/>
    <w:rsid w:val="1F98AA43"/>
    <w:rsid w:val="1F9926B0"/>
    <w:rsid w:val="1F9C9278"/>
    <w:rsid w:val="1F9CC37A"/>
    <w:rsid w:val="1F9E1E68"/>
    <w:rsid w:val="1FA11DE6"/>
    <w:rsid w:val="1FA356EF"/>
    <w:rsid w:val="1FA403D7"/>
    <w:rsid w:val="1FA444AE"/>
    <w:rsid w:val="1FA6F1DE"/>
    <w:rsid w:val="1FA864B3"/>
    <w:rsid w:val="1FA97203"/>
    <w:rsid w:val="1FAC33AB"/>
    <w:rsid w:val="1FAC9E3B"/>
    <w:rsid w:val="1FB091D6"/>
    <w:rsid w:val="1FB0EF14"/>
    <w:rsid w:val="1FB12E4D"/>
    <w:rsid w:val="1FB156D1"/>
    <w:rsid w:val="1FB1FBA5"/>
    <w:rsid w:val="1FB30726"/>
    <w:rsid w:val="1FB32A18"/>
    <w:rsid w:val="1FB52B02"/>
    <w:rsid w:val="1FB7625E"/>
    <w:rsid w:val="1FB9EB57"/>
    <w:rsid w:val="1FBBA01A"/>
    <w:rsid w:val="1FBBE43E"/>
    <w:rsid w:val="1FC2CB5B"/>
    <w:rsid w:val="1FC2FFE0"/>
    <w:rsid w:val="1FC9C469"/>
    <w:rsid w:val="1FCE4924"/>
    <w:rsid w:val="1FD1C447"/>
    <w:rsid w:val="1FD25B9B"/>
    <w:rsid w:val="1FD28534"/>
    <w:rsid w:val="1FD2CB74"/>
    <w:rsid w:val="1FD436B6"/>
    <w:rsid w:val="1FD4B2EC"/>
    <w:rsid w:val="1FD5AB03"/>
    <w:rsid w:val="1FDC309A"/>
    <w:rsid w:val="1FDD5FBA"/>
    <w:rsid w:val="1FDDED01"/>
    <w:rsid w:val="1FE31F0B"/>
    <w:rsid w:val="1FE712A6"/>
    <w:rsid w:val="1FE7C7C4"/>
    <w:rsid w:val="1FE82376"/>
    <w:rsid w:val="1FE9C633"/>
    <w:rsid w:val="1FEB0F96"/>
    <w:rsid w:val="1FEB93BF"/>
    <w:rsid w:val="1FF0CC90"/>
    <w:rsid w:val="1FF11F35"/>
    <w:rsid w:val="1FF28610"/>
    <w:rsid w:val="1FF3A0ED"/>
    <w:rsid w:val="1FF59EE4"/>
    <w:rsid w:val="1FF60AE8"/>
    <w:rsid w:val="1FF84BFC"/>
    <w:rsid w:val="1FF95627"/>
    <w:rsid w:val="1FF96ECE"/>
    <w:rsid w:val="1FFB8AF3"/>
    <w:rsid w:val="1FFDE3B9"/>
    <w:rsid w:val="1FFE51C0"/>
    <w:rsid w:val="20056535"/>
    <w:rsid w:val="20068307"/>
    <w:rsid w:val="200710B3"/>
    <w:rsid w:val="2007F2DE"/>
    <w:rsid w:val="20087401"/>
    <w:rsid w:val="2009349C"/>
    <w:rsid w:val="200AE2ED"/>
    <w:rsid w:val="200CAC0F"/>
    <w:rsid w:val="200DA21B"/>
    <w:rsid w:val="200EC5B9"/>
    <w:rsid w:val="2010D1FA"/>
    <w:rsid w:val="2011ECBB"/>
    <w:rsid w:val="2012106B"/>
    <w:rsid w:val="20133913"/>
    <w:rsid w:val="2015A430"/>
    <w:rsid w:val="201659E1"/>
    <w:rsid w:val="201ACFDB"/>
    <w:rsid w:val="201B7738"/>
    <w:rsid w:val="201D00D8"/>
    <w:rsid w:val="201F04B1"/>
    <w:rsid w:val="20203355"/>
    <w:rsid w:val="2021F113"/>
    <w:rsid w:val="20233B28"/>
    <w:rsid w:val="2023A3B2"/>
    <w:rsid w:val="20247859"/>
    <w:rsid w:val="2024E3F7"/>
    <w:rsid w:val="20260997"/>
    <w:rsid w:val="202B283F"/>
    <w:rsid w:val="202C3A4B"/>
    <w:rsid w:val="202F211C"/>
    <w:rsid w:val="202F7683"/>
    <w:rsid w:val="2032277E"/>
    <w:rsid w:val="2034162F"/>
    <w:rsid w:val="2034EFAF"/>
    <w:rsid w:val="2035A7B2"/>
    <w:rsid w:val="20364F76"/>
    <w:rsid w:val="20375FA6"/>
    <w:rsid w:val="2037EB16"/>
    <w:rsid w:val="2039E3E4"/>
    <w:rsid w:val="203ABB16"/>
    <w:rsid w:val="203BB8C5"/>
    <w:rsid w:val="203C932E"/>
    <w:rsid w:val="203E78AA"/>
    <w:rsid w:val="20442731"/>
    <w:rsid w:val="20450DED"/>
    <w:rsid w:val="20475B3E"/>
    <w:rsid w:val="20476628"/>
    <w:rsid w:val="204A6638"/>
    <w:rsid w:val="204B9194"/>
    <w:rsid w:val="204DA871"/>
    <w:rsid w:val="2051CD19"/>
    <w:rsid w:val="2052AF24"/>
    <w:rsid w:val="20543236"/>
    <w:rsid w:val="20543CC3"/>
    <w:rsid w:val="205485D5"/>
    <w:rsid w:val="205487E7"/>
    <w:rsid w:val="2056A50D"/>
    <w:rsid w:val="2056BD98"/>
    <w:rsid w:val="205755A1"/>
    <w:rsid w:val="20580CA2"/>
    <w:rsid w:val="2059242C"/>
    <w:rsid w:val="205C1169"/>
    <w:rsid w:val="205E49B8"/>
    <w:rsid w:val="206056C4"/>
    <w:rsid w:val="2063968A"/>
    <w:rsid w:val="206469CB"/>
    <w:rsid w:val="2067BE2C"/>
    <w:rsid w:val="206900AB"/>
    <w:rsid w:val="20698C54"/>
    <w:rsid w:val="20699097"/>
    <w:rsid w:val="2069EB5A"/>
    <w:rsid w:val="206BC895"/>
    <w:rsid w:val="206C7820"/>
    <w:rsid w:val="206F8853"/>
    <w:rsid w:val="207082FE"/>
    <w:rsid w:val="2072CF9E"/>
    <w:rsid w:val="2072E23E"/>
    <w:rsid w:val="20732D3A"/>
    <w:rsid w:val="20745B5A"/>
    <w:rsid w:val="207579B0"/>
    <w:rsid w:val="2076A4C2"/>
    <w:rsid w:val="20771B0E"/>
    <w:rsid w:val="207BC708"/>
    <w:rsid w:val="207D265E"/>
    <w:rsid w:val="2081302C"/>
    <w:rsid w:val="2081AEFB"/>
    <w:rsid w:val="20861844"/>
    <w:rsid w:val="2088EFF9"/>
    <w:rsid w:val="2089E9A1"/>
    <w:rsid w:val="208AFDCD"/>
    <w:rsid w:val="208EC48B"/>
    <w:rsid w:val="208F1375"/>
    <w:rsid w:val="208F7EB8"/>
    <w:rsid w:val="20914E02"/>
    <w:rsid w:val="209218FB"/>
    <w:rsid w:val="2096B86F"/>
    <w:rsid w:val="2098E48E"/>
    <w:rsid w:val="2099D13E"/>
    <w:rsid w:val="209AF9B5"/>
    <w:rsid w:val="209D7D08"/>
    <w:rsid w:val="209D8BFD"/>
    <w:rsid w:val="209F2B3B"/>
    <w:rsid w:val="20A64252"/>
    <w:rsid w:val="20A7886E"/>
    <w:rsid w:val="20A933E4"/>
    <w:rsid w:val="20A96281"/>
    <w:rsid w:val="20AB2D0A"/>
    <w:rsid w:val="20AC2933"/>
    <w:rsid w:val="20AE3FD1"/>
    <w:rsid w:val="20AFF74D"/>
    <w:rsid w:val="20B08758"/>
    <w:rsid w:val="20B2BA68"/>
    <w:rsid w:val="20B457D5"/>
    <w:rsid w:val="20B54F61"/>
    <w:rsid w:val="20B69DAB"/>
    <w:rsid w:val="20B6A025"/>
    <w:rsid w:val="20B7A0C2"/>
    <w:rsid w:val="20B8A734"/>
    <w:rsid w:val="20BA429D"/>
    <w:rsid w:val="20BB064D"/>
    <w:rsid w:val="20BB481E"/>
    <w:rsid w:val="20BB53C7"/>
    <w:rsid w:val="20BFD37D"/>
    <w:rsid w:val="20C00CCF"/>
    <w:rsid w:val="20C285A8"/>
    <w:rsid w:val="20C290B9"/>
    <w:rsid w:val="20C37D7D"/>
    <w:rsid w:val="20C4A68E"/>
    <w:rsid w:val="20CAFF75"/>
    <w:rsid w:val="20CB6AB8"/>
    <w:rsid w:val="20CCF7AD"/>
    <w:rsid w:val="20CD736D"/>
    <w:rsid w:val="20CE35A0"/>
    <w:rsid w:val="20CE9F6F"/>
    <w:rsid w:val="20CF1512"/>
    <w:rsid w:val="20D0CF07"/>
    <w:rsid w:val="20D0EAD0"/>
    <w:rsid w:val="20D1C690"/>
    <w:rsid w:val="20D43D78"/>
    <w:rsid w:val="20D4EF23"/>
    <w:rsid w:val="20D817D3"/>
    <w:rsid w:val="20D8C6B7"/>
    <w:rsid w:val="20D8CBA4"/>
    <w:rsid w:val="20DE6BF8"/>
    <w:rsid w:val="20E20BBA"/>
    <w:rsid w:val="20E2CAFA"/>
    <w:rsid w:val="20E2F78E"/>
    <w:rsid w:val="20E31DEA"/>
    <w:rsid w:val="20E334E3"/>
    <w:rsid w:val="20E42A79"/>
    <w:rsid w:val="20E5DC0C"/>
    <w:rsid w:val="20E68DA5"/>
    <w:rsid w:val="20EACB42"/>
    <w:rsid w:val="20ED560F"/>
    <w:rsid w:val="20ED9B45"/>
    <w:rsid w:val="20F06C28"/>
    <w:rsid w:val="20F09264"/>
    <w:rsid w:val="20F0AE71"/>
    <w:rsid w:val="20F1CADF"/>
    <w:rsid w:val="20F2E9CE"/>
    <w:rsid w:val="20F4DB3E"/>
    <w:rsid w:val="20F4E6FC"/>
    <w:rsid w:val="20F52C2A"/>
    <w:rsid w:val="20F66FCC"/>
    <w:rsid w:val="20F8C629"/>
    <w:rsid w:val="20F91F27"/>
    <w:rsid w:val="20FCB233"/>
    <w:rsid w:val="20FCDDD6"/>
    <w:rsid w:val="20FCF165"/>
    <w:rsid w:val="20FDA1E0"/>
    <w:rsid w:val="2100D36C"/>
    <w:rsid w:val="21018B95"/>
    <w:rsid w:val="2101AD08"/>
    <w:rsid w:val="2101DE38"/>
    <w:rsid w:val="210C94E5"/>
    <w:rsid w:val="210CFF52"/>
    <w:rsid w:val="210D0F20"/>
    <w:rsid w:val="210D4276"/>
    <w:rsid w:val="21117F2E"/>
    <w:rsid w:val="211365CB"/>
    <w:rsid w:val="2114B03A"/>
    <w:rsid w:val="2117001E"/>
    <w:rsid w:val="2117A64B"/>
    <w:rsid w:val="21180C24"/>
    <w:rsid w:val="2119066F"/>
    <w:rsid w:val="211A9DDC"/>
    <w:rsid w:val="211D0D08"/>
    <w:rsid w:val="211DDDD7"/>
    <w:rsid w:val="211F9521"/>
    <w:rsid w:val="21202FAB"/>
    <w:rsid w:val="2120C038"/>
    <w:rsid w:val="2122063A"/>
    <w:rsid w:val="2124D5FA"/>
    <w:rsid w:val="2124DCB0"/>
    <w:rsid w:val="2125F5AE"/>
    <w:rsid w:val="212D2607"/>
    <w:rsid w:val="212E0288"/>
    <w:rsid w:val="21318852"/>
    <w:rsid w:val="2136238E"/>
    <w:rsid w:val="213BF939"/>
    <w:rsid w:val="213C1484"/>
    <w:rsid w:val="213CA918"/>
    <w:rsid w:val="2141E639"/>
    <w:rsid w:val="2143BDA2"/>
    <w:rsid w:val="2144576A"/>
    <w:rsid w:val="2146FD7B"/>
    <w:rsid w:val="2147534E"/>
    <w:rsid w:val="2148954A"/>
    <w:rsid w:val="214A6662"/>
    <w:rsid w:val="214C1434"/>
    <w:rsid w:val="214CBF12"/>
    <w:rsid w:val="214FF87F"/>
    <w:rsid w:val="2151381E"/>
    <w:rsid w:val="2154C5B0"/>
    <w:rsid w:val="2156C71F"/>
    <w:rsid w:val="2157F71F"/>
    <w:rsid w:val="215A7202"/>
    <w:rsid w:val="215B7F0A"/>
    <w:rsid w:val="215B81DA"/>
    <w:rsid w:val="215F24AD"/>
    <w:rsid w:val="21603569"/>
    <w:rsid w:val="21617FA9"/>
    <w:rsid w:val="2162B9E5"/>
    <w:rsid w:val="216731DC"/>
    <w:rsid w:val="2168C86A"/>
    <w:rsid w:val="216900B7"/>
    <w:rsid w:val="2169D0E0"/>
    <w:rsid w:val="216A839F"/>
    <w:rsid w:val="216AFF9D"/>
    <w:rsid w:val="216B1177"/>
    <w:rsid w:val="216B8A75"/>
    <w:rsid w:val="216DB51E"/>
    <w:rsid w:val="216DFC0A"/>
    <w:rsid w:val="216E38C7"/>
    <w:rsid w:val="216FD8DA"/>
    <w:rsid w:val="216FFDC7"/>
    <w:rsid w:val="2172F376"/>
    <w:rsid w:val="2176A656"/>
    <w:rsid w:val="2176CEB9"/>
    <w:rsid w:val="21775384"/>
    <w:rsid w:val="21783B0F"/>
    <w:rsid w:val="217B2C4F"/>
    <w:rsid w:val="217CB9A0"/>
    <w:rsid w:val="217FD09F"/>
    <w:rsid w:val="2180BDCF"/>
    <w:rsid w:val="21811710"/>
    <w:rsid w:val="218203BA"/>
    <w:rsid w:val="21829A20"/>
    <w:rsid w:val="2182FC80"/>
    <w:rsid w:val="2183D373"/>
    <w:rsid w:val="21854A2E"/>
    <w:rsid w:val="2185DCCC"/>
    <w:rsid w:val="21864542"/>
    <w:rsid w:val="2186D6A6"/>
    <w:rsid w:val="218766A2"/>
    <w:rsid w:val="218AEF66"/>
    <w:rsid w:val="218F8235"/>
    <w:rsid w:val="218FA0F7"/>
    <w:rsid w:val="21925C28"/>
    <w:rsid w:val="2192B75E"/>
    <w:rsid w:val="2192F7AB"/>
    <w:rsid w:val="2193FBF8"/>
    <w:rsid w:val="21940391"/>
    <w:rsid w:val="21967586"/>
    <w:rsid w:val="2197C7A9"/>
    <w:rsid w:val="2199A447"/>
    <w:rsid w:val="2199A8DF"/>
    <w:rsid w:val="219A014A"/>
    <w:rsid w:val="219A9384"/>
    <w:rsid w:val="219B6BC2"/>
    <w:rsid w:val="219C5B6A"/>
    <w:rsid w:val="219D3560"/>
    <w:rsid w:val="219DBE22"/>
    <w:rsid w:val="219E2F76"/>
    <w:rsid w:val="21A14497"/>
    <w:rsid w:val="21A14E8C"/>
    <w:rsid w:val="21A37297"/>
    <w:rsid w:val="21A3CE62"/>
    <w:rsid w:val="21A444B1"/>
    <w:rsid w:val="21A49A96"/>
    <w:rsid w:val="21A764DA"/>
    <w:rsid w:val="21A9209F"/>
    <w:rsid w:val="21AA7CC8"/>
    <w:rsid w:val="21AA84E3"/>
    <w:rsid w:val="21ABACFA"/>
    <w:rsid w:val="21ACCD17"/>
    <w:rsid w:val="21AF3D09"/>
    <w:rsid w:val="21AFF4F5"/>
    <w:rsid w:val="21B3834A"/>
    <w:rsid w:val="21BBEA46"/>
    <w:rsid w:val="21C2F08D"/>
    <w:rsid w:val="21C61F10"/>
    <w:rsid w:val="21C70B16"/>
    <w:rsid w:val="21C7C41D"/>
    <w:rsid w:val="21C92DD6"/>
    <w:rsid w:val="21C9E88E"/>
    <w:rsid w:val="21CC7BBB"/>
    <w:rsid w:val="21CF7702"/>
    <w:rsid w:val="21CFE1BD"/>
    <w:rsid w:val="21CFEBCF"/>
    <w:rsid w:val="21D0A078"/>
    <w:rsid w:val="21D3B08C"/>
    <w:rsid w:val="21D4B962"/>
    <w:rsid w:val="21D72DA9"/>
    <w:rsid w:val="21D7F0D6"/>
    <w:rsid w:val="21D811CD"/>
    <w:rsid w:val="21D8B7AB"/>
    <w:rsid w:val="21DA92E6"/>
    <w:rsid w:val="21DBB4F4"/>
    <w:rsid w:val="21DCD45B"/>
    <w:rsid w:val="21DD2B37"/>
    <w:rsid w:val="21DE4635"/>
    <w:rsid w:val="21DE609B"/>
    <w:rsid w:val="21E242EC"/>
    <w:rsid w:val="21E6902F"/>
    <w:rsid w:val="21E75C51"/>
    <w:rsid w:val="21E9185B"/>
    <w:rsid w:val="21E9750E"/>
    <w:rsid w:val="21EC892A"/>
    <w:rsid w:val="21ECD458"/>
    <w:rsid w:val="21F037E2"/>
    <w:rsid w:val="21F07B8F"/>
    <w:rsid w:val="21F1D1BA"/>
    <w:rsid w:val="21F28017"/>
    <w:rsid w:val="21F5A53A"/>
    <w:rsid w:val="21F7AE37"/>
    <w:rsid w:val="21FAF2A8"/>
    <w:rsid w:val="21FB4379"/>
    <w:rsid w:val="21FF804B"/>
    <w:rsid w:val="22002EC0"/>
    <w:rsid w:val="22025817"/>
    <w:rsid w:val="2202A35F"/>
    <w:rsid w:val="22042B8A"/>
    <w:rsid w:val="2205B469"/>
    <w:rsid w:val="2205CF8E"/>
    <w:rsid w:val="2206DF39"/>
    <w:rsid w:val="22097795"/>
    <w:rsid w:val="220C9163"/>
    <w:rsid w:val="220E02A4"/>
    <w:rsid w:val="220EAD01"/>
    <w:rsid w:val="2210221B"/>
    <w:rsid w:val="2210E0D2"/>
    <w:rsid w:val="221375B4"/>
    <w:rsid w:val="221664CC"/>
    <w:rsid w:val="2218E10C"/>
    <w:rsid w:val="2219C9AD"/>
    <w:rsid w:val="221E59A2"/>
    <w:rsid w:val="2220C38E"/>
    <w:rsid w:val="2222580B"/>
    <w:rsid w:val="2222B8BD"/>
    <w:rsid w:val="2223E3C4"/>
    <w:rsid w:val="22244839"/>
    <w:rsid w:val="22247685"/>
    <w:rsid w:val="2224C901"/>
    <w:rsid w:val="22283D31"/>
    <w:rsid w:val="222B87EC"/>
    <w:rsid w:val="222E1649"/>
    <w:rsid w:val="222E4CFC"/>
    <w:rsid w:val="222F5A03"/>
    <w:rsid w:val="2230C292"/>
    <w:rsid w:val="22319AEF"/>
    <w:rsid w:val="2232BB0B"/>
    <w:rsid w:val="2239A974"/>
    <w:rsid w:val="223B314B"/>
    <w:rsid w:val="223BF054"/>
    <w:rsid w:val="223C243A"/>
    <w:rsid w:val="223C4B55"/>
    <w:rsid w:val="223D9F5F"/>
    <w:rsid w:val="223E5CF8"/>
    <w:rsid w:val="223F816A"/>
    <w:rsid w:val="223F9B02"/>
    <w:rsid w:val="2243CE70"/>
    <w:rsid w:val="2249A987"/>
    <w:rsid w:val="224A7338"/>
    <w:rsid w:val="224C0A62"/>
    <w:rsid w:val="224C4195"/>
    <w:rsid w:val="224D5065"/>
    <w:rsid w:val="224E0056"/>
    <w:rsid w:val="224EF0FF"/>
    <w:rsid w:val="224FAE91"/>
    <w:rsid w:val="22522C5A"/>
    <w:rsid w:val="22548414"/>
    <w:rsid w:val="2255264E"/>
    <w:rsid w:val="2257EBCD"/>
    <w:rsid w:val="225A511E"/>
    <w:rsid w:val="225B963D"/>
    <w:rsid w:val="225BE4FD"/>
    <w:rsid w:val="225C4D14"/>
    <w:rsid w:val="225D1B14"/>
    <w:rsid w:val="226196D5"/>
    <w:rsid w:val="22634071"/>
    <w:rsid w:val="22640F7B"/>
    <w:rsid w:val="22664777"/>
    <w:rsid w:val="226D699A"/>
    <w:rsid w:val="226E7F19"/>
    <w:rsid w:val="226F1E5B"/>
    <w:rsid w:val="226F76EE"/>
    <w:rsid w:val="226FC29A"/>
    <w:rsid w:val="22721F30"/>
    <w:rsid w:val="227250E8"/>
    <w:rsid w:val="2272C423"/>
    <w:rsid w:val="227846FF"/>
    <w:rsid w:val="22789C2B"/>
    <w:rsid w:val="2278A761"/>
    <w:rsid w:val="227908CB"/>
    <w:rsid w:val="227A5E9C"/>
    <w:rsid w:val="227D1848"/>
    <w:rsid w:val="227D42B4"/>
    <w:rsid w:val="227EB1DC"/>
    <w:rsid w:val="228255ED"/>
    <w:rsid w:val="2282F6CF"/>
    <w:rsid w:val="2282FCBF"/>
    <w:rsid w:val="2283A4C7"/>
    <w:rsid w:val="2287EF33"/>
    <w:rsid w:val="22890DF2"/>
    <w:rsid w:val="22896102"/>
    <w:rsid w:val="228A324D"/>
    <w:rsid w:val="228F1544"/>
    <w:rsid w:val="229544D4"/>
    <w:rsid w:val="22957512"/>
    <w:rsid w:val="22968921"/>
    <w:rsid w:val="229693FE"/>
    <w:rsid w:val="2297643A"/>
    <w:rsid w:val="229A6682"/>
    <w:rsid w:val="229AF264"/>
    <w:rsid w:val="229B9FAF"/>
    <w:rsid w:val="229BD92D"/>
    <w:rsid w:val="229CFA5B"/>
    <w:rsid w:val="229D15DC"/>
    <w:rsid w:val="229DD53F"/>
    <w:rsid w:val="229ECB03"/>
    <w:rsid w:val="229F23B3"/>
    <w:rsid w:val="22AAAAF7"/>
    <w:rsid w:val="22AB669B"/>
    <w:rsid w:val="22AC18E4"/>
    <w:rsid w:val="22B1B851"/>
    <w:rsid w:val="22B28415"/>
    <w:rsid w:val="22B2BF75"/>
    <w:rsid w:val="22B2F842"/>
    <w:rsid w:val="22B3D432"/>
    <w:rsid w:val="22B93FC9"/>
    <w:rsid w:val="22BB0E89"/>
    <w:rsid w:val="22BE9BE6"/>
    <w:rsid w:val="22BF68B0"/>
    <w:rsid w:val="22BF764F"/>
    <w:rsid w:val="22C019D7"/>
    <w:rsid w:val="22C083D4"/>
    <w:rsid w:val="22C16485"/>
    <w:rsid w:val="22C348EF"/>
    <w:rsid w:val="22C4057E"/>
    <w:rsid w:val="22C4E5E9"/>
    <w:rsid w:val="22C6087D"/>
    <w:rsid w:val="22C73EE8"/>
    <w:rsid w:val="22C7E0F2"/>
    <w:rsid w:val="22C9FFE7"/>
    <w:rsid w:val="22CABC8F"/>
    <w:rsid w:val="22CD9AB6"/>
    <w:rsid w:val="22CE3F5A"/>
    <w:rsid w:val="22CFFE5E"/>
    <w:rsid w:val="22D04C3B"/>
    <w:rsid w:val="22D25B84"/>
    <w:rsid w:val="22D2A117"/>
    <w:rsid w:val="22D2EA72"/>
    <w:rsid w:val="22D340C5"/>
    <w:rsid w:val="22D527D8"/>
    <w:rsid w:val="22D6540E"/>
    <w:rsid w:val="22D7950B"/>
    <w:rsid w:val="22D82489"/>
    <w:rsid w:val="22DA83FD"/>
    <w:rsid w:val="22DCC186"/>
    <w:rsid w:val="22DD66C2"/>
    <w:rsid w:val="22DD6893"/>
    <w:rsid w:val="22DF0989"/>
    <w:rsid w:val="22E10813"/>
    <w:rsid w:val="22E21C0E"/>
    <w:rsid w:val="22E2E1BE"/>
    <w:rsid w:val="22E8AABA"/>
    <w:rsid w:val="22E9E1E5"/>
    <w:rsid w:val="22EA3681"/>
    <w:rsid w:val="22EE2C23"/>
    <w:rsid w:val="22EE8091"/>
    <w:rsid w:val="22EFBBF3"/>
    <w:rsid w:val="22F052B6"/>
    <w:rsid w:val="22F1D990"/>
    <w:rsid w:val="22F585FC"/>
    <w:rsid w:val="22F65571"/>
    <w:rsid w:val="22F7C992"/>
    <w:rsid w:val="22F846A9"/>
    <w:rsid w:val="22FB0417"/>
    <w:rsid w:val="22FBF0D6"/>
    <w:rsid w:val="230082AE"/>
    <w:rsid w:val="2300BFC3"/>
    <w:rsid w:val="230221C6"/>
    <w:rsid w:val="2304D5A0"/>
    <w:rsid w:val="23080868"/>
    <w:rsid w:val="230A4FAB"/>
    <w:rsid w:val="230B825F"/>
    <w:rsid w:val="230C8C76"/>
    <w:rsid w:val="230CC474"/>
    <w:rsid w:val="230EF8B3"/>
    <w:rsid w:val="2311A058"/>
    <w:rsid w:val="23123292"/>
    <w:rsid w:val="23134953"/>
    <w:rsid w:val="23151DB5"/>
    <w:rsid w:val="23163B78"/>
    <w:rsid w:val="23169E90"/>
    <w:rsid w:val="231A1AA9"/>
    <w:rsid w:val="231A8DCF"/>
    <w:rsid w:val="231C0653"/>
    <w:rsid w:val="232055AA"/>
    <w:rsid w:val="2323C1AC"/>
    <w:rsid w:val="232453CD"/>
    <w:rsid w:val="23260BDD"/>
    <w:rsid w:val="2326B7C9"/>
    <w:rsid w:val="23270C6B"/>
    <w:rsid w:val="23272390"/>
    <w:rsid w:val="2327C63C"/>
    <w:rsid w:val="232A189F"/>
    <w:rsid w:val="232D08E1"/>
    <w:rsid w:val="2332BE2B"/>
    <w:rsid w:val="2333A076"/>
    <w:rsid w:val="23374017"/>
    <w:rsid w:val="23384A45"/>
    <w:rsid w:val="23387E5D"/>
    <w:rsid w:val="2339334E"/>
    <w:rsid w:val="233B547D"/>
    <w:rsid w:val="233D9E32"/>
    <w:rsid w:val="233E06A1"/>
    <w:rsid w:val="233F7891"/>
    <w:rsid w:val="23423FDE"/>
    <w:rsid w:val="2348A0F8"/>
    <w:rsid w:val="234AAA05"/>
    <w:rsid w:val="234C9E82"/>
    <w:rsid w:val="234ED60B"/>
    <w:rsid w:val="234EE0E7"/>
    <w:rsid w:val="234F96E5"/>
    <w:rsid w:val="2350E578"/>
    <w:rsid w:val="23516AE6"/>
    <w:rsid w:val="23529413"/>
    <w:rsid w:val="23534215"/>
    <w:rsid w:val="2355D905"/>
    <w:rsid w:val="2357C190"/>
    <w:rsid w:val="2358401E"/>
    <w:rsid w:val="2359457B"/>
    <w:rsid w:val="2359CC84"/>
    <w:rsid w:val="2359D318"/>
    <w:rsid w:val="235B72D5"/>
    <w:rsid w:val="235BF2A6"/>
    <w:rsid w:val="235C44CA"/>
    <w:rsid w:val="235DDB8B"/>
    <w:rsid w:val="235E52C4"/>
    <w:rsid w:val="235F3A35"/>
    <w:rsid w:val="23613609"/>
    <w:rsid w:val="23615B45"/>
    <w:rsid w:val="23619303"/>
    <w:rsid w:val="23620C05"/>
    <w:rsid w:val="2364952E"/>
    <w:rsid w:val="23659E18"/>
    <w:rsid w:val="2366E9B7"/>
    <w:rsid w:val="23677583"/>
    <w:rsid w:val="23680A12"/>
    <w:rsid w:val="23685D7A"/>
    <w:rsid w:val="23689F6B"/>
    <w:rsid w:val="2368DA20"/>
    <w:rsid w:val="236AF0DE"/>
    <w:rsid w:val="236CEB62"/>
    <w:rsid w:val="236FEFD8"/>
    <w:rsid w:val="2373921C"/>
    <w:rsid w:val="2374986B"/>
    <w:rsid w:val="2376BA61"/>
    <w:rsid w:val="237820F7"/>
    <w:rsid w:val="23792499"/>
    <w:rsid w:val="237A9F13"/>
    <w:rsid w:val="237C33C1"/>
    <w:rsid w:val="237EC2D4"/>
    <w:rsid w:val="2380C218"/>
    <w:rsid w:val="23826AD8"/>
    <w:rsid w:val="23830DCE"/>
    <w:rsid w:val="2385B884"/>
    <w:rsid w:val="238660A7"/>
    <w:rsid w:val="238A0C69"/>
    <w:rsid w:val="238A9219"/>
    <w:rsid w:val="238AE2DE"/>
    <w:rsid w:val="238CF4AD"/>
    <w:rsid w:val="238D055C"/>
    <w:rsid w:val="238D30C1"/>
    <w:rsid w:val="23911D64"/>
    <w:rsid w:val="239245BF"/>
    <w:rsid w:val="2393F5DE"/>
    <w:rsid w:val="2396209A"/>
    <w:rsid w:val="23972E91"/>
    <w:rsid w:val="239756C2"/>
    <w:rsid w:val="2398C4A4"/>
    <w:rsid w:val="23995863"/>
    <w:rsid w:val="2399C873"/>
    <w:rsid w:val="239A8483"/>
    <w:rsid w:val="239CDC38"/>
    <w:rsid w:val="23A09C9E"/>
    <w:rsid w:val="23A17D16"/>
    <w:rsid w:val="23A229EC"/>
    <w:rsid w:val="23A5549F"/>
    <w:rsid w:val="23A6B13C"/>
    <w:rsid w:val="23A7D3F1"/>
    <w:rsid w:val="23A957A1"/>
    <w:rsid w:val="23A96374"/>
    <w:rsid w:val="23A9885B"/>
    <w:rsid w:val="23AC0482"/>
    <w:rsid w:val="23ACEC36"/>
    <w:rsid w:val="23AD682E"/>
    <w:rsid w:val="23B52AB2"/>
    <w:rsid w:val="23B5DAE1"/>
    <w:rsid w:val="23B9B387"/>
    <w:rsid w:val="23B9F8C5"/>
    <w:rsid w:val="23BAAD8D"/>
    <w:rsid w:val="23BB377B"/>
    <w:rsid w:val="23BC1D91"/>
    <w:rsid w:val="23C02FBD"/>
    <w:rsid w:val="23C090FE"/>
    <w:rsid w:val="23C16418"/>
    <w:rsid w:val="23C4FCA1"/>
    <w:rsid w:val="23C51BBC"/>
    <w:rsid w:val="23C6D197"/>
    <w:rsid w:val="23CA5860"/>
    <w:rsid w:val="23CA6520"/>
    <w:rsid w:val="23CF53F3"/>
    <w:rsid w:val="23D07BF1"/>
    <w:rsid w:val="23D13492"/>
    <w:rsid w:val="23D3A88D"/>
    <w:rsid w:val="23D4C770"/>
    <w:rsid w:val="23D6195D"/>
    <w:rsid w:val="23D89CFC"/>
    <w:rsid w:val="23D93B80"/>
    <w:rsid w:val="23D966A0"/>
    <w:rsid w:val="23DBD90D"/>
    <w:rsid w:val="23DEDCB4"/>
    <w:rsid w:val="23DF4BE4"/>
    <w:rsid w:val="23E166FB"/>
    <w:rsid w:val="23E1D706"/>
    <w:rsid w:val="23E2518E"/>
    <w:rsid w:val="23E2646C"/>
    <w:rsid w:val="23E584FF"/>
    <w:rsid w:val="23E6769D"/>
    <w:rsid w:val="23E6D1B8"/>
    <w:rsid w:val="23E879E2"/>
    <w:rsid w:val="23EC2771"/>
    <w:rsid w:val="23EC6D6F"/>
    <w:rsid w:val="23ED1B17"/>
    <w:rsid w:val="23EE17E4"/>
    <w:rsid w:val="23EE39DA"/>
    <w:rsid w:val="23F1648D"/>
    <w:rsid w:val="23F3CFCE"/>
    <w:rsid w:val="23F44F06"/>
    <w:rsid w:val="23F5F272"/>
    <w:rsid w:val="23F625D8"/>
    <w:rsid w:val="23F67348"/>
    <w:rsid w:val="23F80B08"/>
    <w:rsid w:val="23FB6324"/>
    <w:rsid w:val="2400ADFE"/>
    <w:rsid w:val="2403FA44"/>
    <w:rsid w:val="2405DB43"/>
    <w:rsid w:val="24060769"/>
    <w:rsid w:val="24078BA1"/>
    <w:rsid w:val="24096FC6"/>
    <w:rsid w:val="24098CD0"/>
    <w:rsid w:val="2409D9BB"/>
    <w:rsid w:val="240C05E1"/>
    <w:rsid w:val="240CD6EA"/>
    <w:rsid w:val="240DB79A"/>
    <w:rsid w:val="240F8CD4"/>
    <w:rsid w:val="240FA3AC"/>
    <w:rsid w:val="240FC6B4"/>
    <w:rsid w:val="240FF395"/>
    <w:rsid w:val="24102A3F"/>
    <w:rsid w:val="241044CA"/>
    <w:rsid w:val="2412E102"/>
    <w:rsid w:val="2412EE06"/>
    <w:rsid w:val="24161FB0"/>
    <w:rsid w:val="2417FCFC"/>
    <w:rsid w:val="2418560A"/>
    <w:rsid w:val="241A3D2E"/>
    <w:rsid w:val="241AF28A"/>
    <w:rsid w:val="241BD3D2"/>
    <w:rsid w:val="241C9B85"/>
    <w:rsid w:val="241FE89B"/>
    <w:rsid w:val="2421E2CA"/>
    <w:rsid w:val="2422F3FD"/>
    <w:rsid w:val="242525F4"/>
    <w:rsid w:val="24261523"/>
    <w:rsid w:val="24285032"/>
    <w:rsid w:val="242C4796"/>
    <w:rsid w:val="242E33C8"/>
    <w:rsid w:val="24304A7F"/>
    <w:rsid w:val="243098E4"/>
    <w:rsid w:val="24315A5A"/>
    <w:rsid w:val="2431BA6B"/>
    <w:rsid w:val="2433A702"/>
    <w:rsid w:val="2433B3F5"/>
    <w:rsid w:val="24346F2F"/>
    <w:rsid w:val="2435DF1B"/>
    <w:rsid w:val="2436D108"/>
    <w:rsid w:val="2437B700"/>
    <w:rsid w:val="24387E56"/>
    <w:rsid w:val="243AF5A3"/>
    <w:rsid w:val="243B753A"/>
    <w:rsid w:val="243BC0E9"/>
    <w:rsid w:val="243C18B5"/>
    <w:rsid w:val="243CF684"/>
    <w:rsid w:val="243DD973"/>
    <w:rsid w:val="243E0027"/>
    <w:rsid w:val="243EC9A2"/>
    <w:rsid w:val="2442018E"/>
    <w:rsid w:val="244278E2"/>
    <w:rsid w:val="2445B241"/>
    <w:rsid w:val="2445B690"/>
    <w:rsid w:val="244A43D4"/>
    <w:rsid w:val="244D4CFA"/>
    <w:rsid w:val="244FAF8E"/>
    <w:rsid w:val="245233E9"/>
    <w:rsid w:val="2456A87D"/>
    <w:rsid w:val="2457B7B1"/>
    <w:rsid w:val="2457EA3F"/>
    <w:rsid w:val="24599F6A"/>
    <w:rsid w:val="2459B34A"/>
    <w:rsid w:val="2459C4CD"/>
    <w:rsid w:val="245AA294"/>
    <w:rsid w:val="245C7224"/>
    <w:rsid w:val="245F4517"/>
    <w:rsid w:val="2462D9E3"/>
    <w:rsid w:val="2462E065"/>
    <w:rsid w:val="24631A1B"/>
    <w:rsid w:val="2464544A"/>
    <w:rsid w:val="24657B58"/>
    <w:rsid w:val="24678B82"/>
    <w:rsid w:val="24692B83"/>
    <w:rsid w:val="24697779"/>
    <w:rsid w:val="246AF27B"/>
    <w:rsid w:val="246B70BC"/>
    <w:rsid w:val="246BBE7A"/>
    <w:rsid w:val="247066E0"/>
    <w:rsid w:val="2472193C"/>
    <w:rsid w:val="24736320"/>
    <w:rsid w:val="24743431"/>
    <w:rsid w:val="2474C972"/>
    <w:rsid w:val="24774D1E"/>
    <w:rsid w:val="2478951D"/>
    <w:rsid w:val="247CA8F6"/>
    <w:rsid w:val="247EFC07"/>
    <w:rsid w:val="248026D0"/>
    <w:rsid w:val="24807658"/>
    <w:rsid w:val="24807CF8"/>
    <w:rsid w:val="2488A6AE"/>
    <w:rsid w:val="24891BAE"/>
    <w:rsid w:val="248958C5"/>
    <w:rsid w:val="248AF158"/>
    <w:rsid w:val="248D7DE9"/>
    <w:rsid w:val="248E0444"/>
    <w:rsid w:val="248E4DD0"/>
    <w:rsid w:val="248EEC9A"/>
    <w:rsid w:val="2490B139"/>
    <w:rsid w:val="24929680"/>
    <w:rsid w:val="24950ECF"/>
    <w:rsid w:val="2497C521"/>
    <w:rsid w:val="2499D42D"/>
    <w:rsid w:val="249CD28D"/>
    <w:rsid w:val="249D2951"/>
    <w:rsid w:val="249D72E2"/>
    <w:rsid w:val="249FE842"/>
    <w:rsid w:val="24A0ADFD"/>
    <w:rsid w:val="24A1535F"/>
    <w:rsid w:val="24A42E55"/>
    <w:rsid w:val="24AC5FC7"/>
    <w:rsid w:val="24AF5186"/>
    <w:rsid w:val="24B0CC65"/>
    <w:rsid w:val="24B1D123"/>
    <w:rsid w:val="24B22BB0"/>
    <w:rsid w:val="24B60283"/>
    <w:rsid w:val="24B73285"/>
    <w:rsid w:val="24BA5530"/>
    <w:rsid w:val="24BA7CDB"/>
    <w:rsid w:val="24BBAD60"/>
    <w:rsid w:val="24BC46B0"/>
    <w:rsid w:val="24BDB944"/>
    <w:rsid w:val="24C091B8"/>
    <w:rsid w:val="24C12BFC"/>
    <w:rsid w:val="24C2AB30"/>
    <w:rsid w:val="24C57CE9"/>
    <w:rsid w:val="24C6636B"/>
    <w:rsid w:val="24C7A46B"/>
    <w:rsid w:val="24C85862"/>
    <w:rsid w:val="24C89098"/>
    <w:rsid w:val="24C8F20D"/>
    <w:rsid w:val="24CA88B8"/>
    <w:rsid w:val="24CEB011"/>
    <w:rsid w:val="24CF29D4"/>
    <w:rsid w:val="24CF426C"/>
    <w:rsid w:val="24CFFE12"/>
    <w:rsid w:val="24D1B2D3"/>
    <w:rsid w:val="24D411E8"/>
    <w:rsid w:val="24D4E78B"/>
    <w:rsid w:val="24D52F3E"/>
    <w:rsid w:val="24D670E2"/>
    <w:rsid w:val="24D84B6D"/>
    <w:rsid w:val="24D8B0B9"/>
    <w:rsid w:val="24D8B17C"/>
    <w:rsid w:val="24DB6406"/>
    <w:rsid w:val="24DC78FD"/>
    <w:rsid w:val="24DD1043"/>
    <w:rsid w:val="24DD5399"/>
    <w:rsid w:val="24DF0F39"/>
    <w:rsid w:val="24DFE5D7"/>
    <w:rsid w:val="24E1B80D"/>
    <w:rsid w:val="24E468B5"/>
    <w:rsid w:val="24E7F431"/>
    <w:rsid w:val="24EA2BE3"/>
    <w:rsid w:val="24EFDC7D"/>
    <w:rsid w:val="24F1CCE5"/>
    <w:rsid w:val="24F2A447"/>
    <w:rsid w:val="24F3A34B"/>
    <w:rsid w:val="24F5AB5E"/>
    <w:rsid w:val="24F67D5A"/>
    <w:rsid w:val="24F984FA"/>
    <w:rsid w:val="24FB19C1"/>
    <w:rsid w:val="25002837"/>
    <w:rsid w:val="250134CA"/>
    <w:rsid w:val="2501AE66"/>
    <w:rsid w:val="2503657B"/>
    <w:rsid w:val="25048A60"/>
    <w:rsid w:val="2504C515"/>
    <w:rsid w:val="25066941"/>
    <w:rsid w:val="2506B8D1"/>
    <w:rsid w:val="2507C735"/>
    <w:rsid w:val="25083488"/>
    <w:rsid w:val="250A024C"/>
    <w:rsid w:val="250AA604"/>
    <w:rsid w:val="250DCCCA"/>
    <w:rsid w:val="250F0E03"/>
    <w:rsid w:val="250F64F7"/>
    <w:rsid w:val="25102690"/>
    <w:rsid w:val="2510B77B"/>
    <w:rsid w:val="25123B9D"/>
    <w:rsid w:val="2512C61F"/>
    <w:rsid w:val="251491E4"/>
    <w:rsid w:val="25192F8F"/>
    <w:rsid w:val="251BE9BD"/>
    <w:rsid w:val="251DBB69"/>
    <w:rsid w:val="251E07B8"/>
    <w:rsid w:val="2520EDB7"/>
    <w:rsid w:val="252242C0"/>
    <w:rsid w:val="2523F54E"/>
    <w:rsid w:val="2524E37D"/>
    <w:rsid w:val="252561D9"/>
    <w:rsid w:val="2526D223"/>
    <w:rsid w:val="25271447"/>
    <w:rsid w:val="2527FCF5"/>
    <w:rsid w:val="252AC163"/>
    <w:rsid w:val="252C8EB8"/>
    <w:rsid w:val="252CDE92"/>
    <w:rsid w:val="252D82B8"/>
    <w:rsid w:val="252FFBF1"/>
    <w:rsid w:val="25332A75"/>
    <w:rsid w:val="2533CBA7"/>
    <w:rsid w:val="25351CE6"/>
    <w:rsid w:val="2535A566"/>
    <w:rsid w:val="2535B5CC"/>
    <w:rsid w:val="2536A737"/>
    <w:rsid w:val="2536B723"/>
    <w:rsid w:val="2537FBB4"/>
    <w:rsid w:val="2537FE12"/>
    <w:rsid w:val="253B3564"/>
    <w:rsid w:val="253C1CAF"/>
    <w:rsid w:val="253C3C1F"/>
    <w:rsid w:val="253E19AE"/>
    <w:rsid w:val="253F6876"/>
    <w:rsid w:val="253FEA21"/>
    <w:rsid w:val="25438252"/>
    <w:rsid w:val="2543A9DE"/>
    <w:rsid w:val="254492D0"/>
    <w:rsid w:val="2544D8FF"/>
    <w:rsid w:val="2545DFE9"/>
    <w:rsid w:val="254EA9C4"/>
    <w:rsid w:val="254F725B"/>
    <w:rsid w:val="254FBD1C"/>
    <w:rsid w:val="254FC133"/>
    <w:rsid w:val="25506964"/>
    <w:rsid w:val="25515875"/>
    <w:rsid w:val="25519205"/>
    <w:rsid w:val="255236EB"/>
    <w:rsid w:val="25525A4C"/>
    <w:rsid w:val="2553854B"/>
    <w:rsid w:val="25539A47"/>
    <w:rsid w:val="25546207"/>
    <w:rsid w:val="25547B19"/>
    <w:rsid w:val="2554B306"/>
    <w:rsid w:val="2556C5C7"/>
    <w:rsid w:val="2556FB88"/>
    <w:rsid w:val="255BBA55"/>
    <w:rsid w:val="255CE414"/>
    <w:rsid w:val="255D0AAB"/>
    <w:rsid w:val="255E056A"/>
    <w:rsid w:val="256038F0"/>
    <w:rsid w:val="2560B6C7"/>
    <w:rsid w:val="25630DEA"/>
    <w:rsid w:val="2565A5E6"/>
    <w:rsid w:val="2565A8E4"/>
    <w:rsid w:val="2566B2D2"/>
    <w:rsid w:val="2566DD64"/>
    <w:rsid w:val="2567739F"/>
    <w:rsid w:val="25694D60"/>
    <w:rsid w:val="256BAA54"/>
    <w:rsid w:val="256BDFFE"/>
    <w:rsid w:val="256CD8C0"/>
    <w:rsid w:val="256EA5E7"/>
    <w:rsid w:val="256F982C"/>
    <w:rsid w:val="2572A225"/>
    <w:rsid w:val="25734E9B"/>
    <w:rsid w:val="257422BF"/>
    <w:rsid w:val="257436EA"/>
    <w:rsid w:val="257459A3"/>
    <w:rsid w:val="25767559"/>
    <w:rsid w:val="25769DB8"/>
    <w:rsid w:val="257A2FDA"/>
    <w:rsid w:val="257C2F2C"/>
    <w:rsid w:val="257E458E"/>
    <w:rsid w:val="257F32C2"/>
    <w:rsid w:val="257F4FFC"/>
    <w:rsid w:val="2581A1E5"/>
    <w:rsid w:val="2584B496"/>
    <w:rsid w:val="2587CA2B"/>
    <w:rsid w:val="25890C66"/>
    <w:rsid w:val="258A6871"/>
    <w:rsid w:val="258B9757"/>
    <w:rsid w:val="258CB972"/>
    <w:rsid w:val="258EAF28"/>
    <w:rsid w:val="258EB7CA"/>
    <w:rsid w:val="258F8D4F"/>
    <w:rsid w:val="2593BF06"/>
    <w:rsid w:val="25945278"/>
    <w:rsid w:val="2595CA61"/>
    <w:rsid w:val="2597E35D"/>
    <w:rsid w:val="25986A06"/>
    <w:rsid w:val="2599323C"/>
    <w:rsid w:val="259A8907"/>
    <w:rsid w:val="259AC50E"/>
    <w:rsid w:val="259CDE5D"/>
    <w:rsid w:val="259D3123"/>
    <w:rsid w:val="259E0DC6"/>
    <w:rsid w:val="25A02107"/>
    <w:rsid w:val="25A076C2"/>
    <w:rsid w:val="25A30FD3"/>
    <w:rsid w:val="25A60854"/>
    <w:rsid w:val="25A66D7C"/>
    <w:rsid w:val="25A7EBEE"/>
    <w:rsid w:val="25A941A1"/>
    <w:rsid w:val="25AB0CBC"/>
    <w:rsid w:val="25ABB820"/>
    <w:rsid w:val="25AED4C8"/>
    <w:rsid w:val="25AFCED5"/>
    <w:rsid w:val="25B031E0"/>
    <w:rsid w:val="25B0D2D1"/>
    <w:rsid w:val="25B75710"/>
    <w:rsid w:val="25B7EB00"/>
    <w:rsid w:val="25B8175A"/>
    <w:rsid w:val="25B8FE74"/>
    <w:rsid w:val="25B90BDF"/>
    <w:rsid w:val="25BA53C0"/>
    <w:rsid w:val="25BB7723"/>
    <w:rsid w:val="25BBAEEF"/>
    <w:rsid w:val="25BD2C60"/>
    <w:rsid w:val="25C09C06"/>
    <w:rsid w:val="25C09D52"/>
    <w:rsid w:val="25C179F4"/>
    <w:rsid w:val="25C1D4A1"/>
    <w:rsid w:val="25C2A07F"/>
    <w:rsid w:val="25C43935"/>
    <w:rsid w:val="25C5D60B"/>
    <w:rsid w:val="25C77D31"/>
    <w:rsid w:val="25C84BB0"/>
    <w:rsid w:val="25C9A96A"/>
    <w:rsid w:val="25CA0CB6"/>
    <w:rsid w:val="25CC10A7"/>
    <w:rsid w:val="25CDDCBA"/>
    <w:rsid w:val="25CE0C40"/>
    <w:rsid w:val="25D9594B"/>
    <w:rsid w:val="25DAF733"/>
    <w:rsid w:val="25DB5A82"/>
    <w:rsid w:val="25DBA51A"/>
    <w:rsid w:val="25DE7C74"/>
    <w:rsid w:val="25DEB4D3"/>
    <w:rsid w:val="25E1F911"/>
    <w:rsid w:val="25E29B39"/>
    <w:rsid w:val="25E2B5DF"/>
    <w:rsid w:val="25E5D19C"/>
    <w:rsid w:val="25E62AAC"/>
    <w:rsid w:val="25ED5ACE"/>
    <w:rsid w:val="25EFC3B1"/>
    <w:rsid w:val="25F12CD1"/>
    <w:rsid w:val="25F2C974"/>
    <w:rsid w:val="25F43B48"/>
    <w:rsid w:val="25F61A50"/>
    <w:rsid w:val="25F6331F"/>
    <w:rsid w:val="25FF79B9"/>
    <w:rsid w:val="2601EE2A"/>
    <w:rsid w:val="260264F8"/>
    <w:rsid w:val="2602EE66"/>
    <w:rsid w:val="2603F89F"/>
    <w:rsid w:val="260469B0"/>
    <w:rsid w:val="260E73BA"/>
    <w:rsid w:val="260EA9A1"/>
    <w:rsid w:val="260FA953"/>
    <w:rsid w:val="260FCF1C"/>
    <w:rsid w:val="260FF2D3"/>
    <w:rsid w:val="26105297"/>
    <w:rsid w:val="26110427"/>
    <w:rsid w:val="26139A86"/>
    <w:rsid w:val="26156AC6"/>
    <w:rsid w:val="261B7760"/>
    <w:rsid w:val="261CB44F"/>
    <w:rsid w:val="261DF9CA"/>
    <w:rsid w:val="261F042E"/>
    <w:rsid w:val="261F45C2"/>
    <w:rsid w:val="26251B03"/>
    <w:rsid w:val="2625DDB0"/>
    <w:rsid w:val="2627AE3E"/>
    <w:rsid w:val="262974E5"/>
    <w:rsid w:val="262AC225"/>
    <w:rsid w:val="262B6AB5"/>
    <w:rsid w:val="262FC646"/>
    <w:rsid w:val="26310556"/>
    <w:rsid w:val="263118C7"/>
    <w:rsid w:val="26311D02"/>
    <w:rsid w:val="2631218C"/>
    <w:rsid w:val="2632A4A2"/>
    <w:rsid w:val="2635751F"/>
    <w:rsid w:val="2635DF53"/>
    <w:rsid w:val="2637CC65"/>
    <w:rsid w:val="263B8C33"/>
    <w:rsid w:val="263BDE27"/>
    <w:rsid w:val="263CD588"/>
    <w:rsid w:val="263FFF21"/>
    <w:rsid w:val="26459C6A"/>
    <w:rsid w:val="2645FDDA"/>
    <w:rsid w:val="2646FBAD"/>
    <w:rsid w:val="264B4049"/>
    <w:rsid w:val="264C3449"/>
    <w:rsid w:val="264DC32A"/>
    <w:rsid w:val="264EBEC2"/>
    <w:rsid w:val="264FDE39"/>
    <w:rsid w:val="265061E8"/>
    <w:rsid w:val="265A9C2B"/>
    <w:rsid w:val="265AC8B7"/>
    <w:rsid w:val="265AD27A"/>
    <w:rsid w:val="265DE8B8"/>
    <w:rsid w:val="265E6954"/>
    <w:rsid w:val="265E9A8E"/>
    <w:rsid w:val="2663510A"/>
    <w:rsid w:val="2663B4DA"/>
    <w:rsid w:val="26644491"/>
    <w:rsid w:val="26646540"/>
    <w:rsid w:val="26659496"/>
    <w:rsid w:val="2665B487"/>
    <w:rsid w:val="2665E2D7"/>
    <w:rsid w:val="2666F8A1"/>
    <w:rsid w:val="2667324B"/>
    <w:rsid w:val="26690C68"/>
    <w:rsid w:val="2669187B"/>
    <w:rsid w:val="266A3C78"/>
    <w:rsid w:val="266D6C4D"/>
    <w:rsid w:val="267151E4"/>
    <w:rsid w:val="26726AE7"/>
    <w:rsid w:val="26733E71"/>
    <w:rsid w:val="26738AB4"/>
    <w:rsid w:val="26766EAA"/>
    <w:rsid w:val="2676A40C"/>
    <w:rsid w:val="26772DB4"/>
    <w:rsid w:val="2678B9CD"/>
    <w:rsid w:val="267A3239"/>
    <w:rsid w:val="267BF11A"/>
    <w:rsid w:val="267CB414"/>
    <w:rsid w:val="267EC6CD"/>
    <w:rsid w:val="267EEBFA"/>
    <w:rsid w:val="2680327C"/>
    <w:rsid w:val="2681ED37"/>
    <w:rsid w:val="268222B7"/>
    <w:rsid w:val="2682B802"/>
    <w:rsid w:val="2684C9FC"/>
    <w:rsid w:val="26862591"/>
    <w:rsid w:val="2687F6FE"/>
    <w:rsid w:val="268854F0"/>
    <w:rsid w:val="26889E6A"/>
    <w:rsid w:val="268A5E38"/>
    <w:rsid w:val="268AE812"/>
    <w:rsid w:val="268BDA08"/>
    <w:rsid w:val="268BF813"/>
    <w:rsid w:val="268DE2F5"/>
    <w:rsid w:val="2690E81A"/>
    <w:rsid w:val="269560A2"/>
    <w:rsid w:val="26958F3E"/>
    <w:rsid w:val="2696EACC"/>
    <w:rsid w:val="26978300"/>
    <w:rsid w:val="2698C0A3"/>
    <w:rsid w:val="2699D5B3"/>
    <w:rsid w:val="269DEE58"/>
    <w:rsid w:val="269EB7DA"/>
    <w:rsid w:val="26A1E08F"/>
    <w:rsid w:val="26A2D8D1"/>
    <w:rsid w:val="26A312E7"/>
    <w:rsid w:val="26A33D62"/>
    <w:rsid w:val="26A3D000"/>
    <w:rsid w:val="26A3E1C3"/>
    <w:rsid w:val="26A4CC77"/>
    <w:rsid w:val="26A5F5A1"/>
    <w:rsid w:val="26A6B0C4"/>
    <w:rsid w:val="26AAB7CB"/>
    <w:rsid w:val="26AB029E"/>
    <w:rsid w:val="26AB1D6E"/>
    <w:rsid w:val="26AE12F4"/>
    <w:rsid w:val="26AF65F5"/>
    <w:rsid w:val="26B02FFE"/>
    <w:rsid w:val="26B085F8"/>
    <w:rsid w:val="26B20D7E"/>
    <w:rsid w:val="26B21A67"/>
    <w:rsid w:val="26B456C9"/>
    <w:rsid w:val="26B469BC"/>
    <w:rsid w:val="26B48300"/>
    <w:rsid w:val="26B7E250"/>
    <w:rsid w:val="26BDEDC0"/>
    <w:rsid w:val="26BFF399"/>
    <w:rsid w:val="26C0740D"/>
    <w:rsid w:val="26C33CB6"/>
    <w:rsid w:val="26C42FCC"/>
    <w:rsid w:val="26C65431"/>
    <w:rsid w:val="26C7578F"/>
    <w:rsid w:val="26C7ED99"/>
    <w:rsid w:val="26C7FCF5"/>
    <w:rsid w:val="26CDD5F6"/>
    <w:rsid w:val="26CF45A4"/>
    <w:rsid w:val="26D21468"/>
    <w:rsid w:val="26D23FEB"/>
    <w:rsid w:val="26D3C7C5"/>
    <w:rsid w:val="26D53209"/>
    <w:rsid w:val="26D54ADB"/>
    <w:rsid w:val="26D81743"/>
    <w:rsid w:val="26DA0351"/>
    <w:rsid w:val="26DB03DB"/>
    <w:rsid w:val="26DC2E13"/>
    <w:rsid w:val="26E11554"/>
    <w:rsid w:val="26E28853"/>
    <w:rsid w:val="26E3A31A"/>
    <w:rsid w:val="26E822D1"/>
    <w:rsid w:val="26EC3363"/>
    <w:rsid w:val="26ECA8C7"/>
    <w:rsid w:val="26EDC3D2"/>
    <w:rsid w:val="26EE4928"/>
    <w:rsid w:val="26EFF950"/>
    <w:rsid w:val="26F04FD4"/>
    <w:rsid w:val="26F0FB5C"/>
    <w:rsid w:val="26F130B4"/>
    <w:rsid w:val="26F264D9"/>
    <w:rsid w:val="26F28AA7"/>
    <w:rsid w:val="26F30E94"/>
    <w:rsid w:val="26F3887D"/>
    <w:rsid w:val="26F3F43C"/>
    <w:rsid w:val="26F5B039"/>
    <w:rsid w:val="26F789F3"/>
    <w:rsid w:val="26FF13ED"/>
    <w:rsid w:val="26FF186B"/>
    <w:rsid w:val="26FF27CC"/>
    <w:rsid w:val="26FF6660"/>
    <w:rsid w:val="26FFCD63"/>
    <w:rsid w:val="2700BD00"/>
    <w:rsid w:val="2700D4C8"/>
    <w:rsid w:val="2702021C"/>
    <w:rsid w:val="27036CF3"/>
    <w:rsid w:val="270416D4"/>
    <w:rsid w:val="2706D0F0"/>
    <w:rsid w:val="2707A9AF"/>
    <w:rsid w:val="27099679"/>
    <w:rsid w:val="270C1131"/>
    <w:rsid w:val="270CC8EA"/>
    <w:rsid w:val="270D69F4"/>
    <w:rsid w:val="270D84F7"/>
    <w:rsid w:val="270D9111"/>
    <w:rsid w:val="270E1430"/>
    <w:rsid w:val="2711F28D"/>
    <w:rsid w:val="2712AECE"/>
    <w:rsid w:val="2712ED2D"/>
    <w:rsid w:val="2713D112"/>
    <w:rsid w:val="2713FD0D"/>
    <w:rsid w:val="2719B4E0"/>
    <w:rsid w:val="272004C8"/>
    <w:rsid w:val="27205EBE"/>
    <w:rsid w:val="27220B19"/>
    <w:rsid w:val="2727CC5C"/>
    <w:rsid w:val="2728138F"/>
    <w:rsid w:val="272ED14B"/>
    <w:rsid w:val="273149A3"/>
    <w:rsid w:val="2733E164"/>
    <w:rsid w:val="273536EB"/>
    <w:rsid w:val="2735B34B"/>
    <w:rsid w:val="27360214"/>
    <w:rsid w:val="273A2336"/>
    <w:rsid w:val="274013A4"/>
    <w:rsid w:val="27402203"/>
    <w:rsid w:val="2741F465"/>
    <w:rsid w:val="2746673B"/>
    <w:rsid w:val="274818F3"/>
    <w:rsid w:val="274A3754"/>
    <w:rsid w:val="274AC14E"/>
    <w:rsid w:val="274BCC9C"/>
    <w:rsid w:val="274D14DF"/>
    <w:rsid w:val="274FAF17"/>
    <w:rsid w:val="27517C4C"/>
    <w:rsid w:val="27534ACD"/>
    <w:rsid w:val="2753E10E"/>
    <w:rsid w:val="27555E8E"/>
    <w:rsid w:val="27577748"/>
    <w:rsid w:val="27586D2F"/>
    <w:rsid w:val="27589AFF"/>
    <w:rsid w:val="2759F3F2"/>
    <w:rsid w:val="275EE954"/>
    <w:rsid w:val="2765E63C"/>
    <w:rsid w:val="27671B99"/>
    <w:rsid w:val="276867F7"/>
    <w:rsid w:val="2769163E"/>
    <w:rsid w:val="276B845C"/>
    <w:rsid w:val="276CC314"/>
    <w:rsid w:val="276D31BD"/>
    <w:rsid w:val="276D8EF4"/>
    <w:rsid w:val="276FB2E2"/>
    <w:rsid w:val="276FD309"/>
    <w:rsid w:val="2771077B"/>
    <w:rsid w:val="277280FD"/>
    <w:rsid w:val="27736952"/>
    <w:rsid w:val="2773906D"/>
    <w:rsid w:val="277792EB"/>
    <w:rsid w:val="27785199"/>
    <w:rsid w:val="27787D79"/>
    <w:rsid w:val="2778D362"/>
    <w:rsid w:val="277D7B00"/>
    <w:rsid w:val="277DBCD8"/>
    <w:rsid w:val="277DEE78"/>
    <w:rsid w:val="277DF0E5"/>
    <w:rsid w:val="277E9382"/>
    <w:rsid w:val="2781A42D"/>
    <w:rsid w:val="2782B669"/>
    <w:rsid w:val="2783AE62"/>
    <w:rsid w:val="2784399D"/>
    <w:rsid w:val="27845A7E"/>
    <w:rsid w:val="2786D2B6"/>
    <w:rsid w:val="27870178"/>
    <w:rsid w:val="278B4979"/>
    <w:rsid w:val="278D576A"/>
    <w:rsid w:val="278DD8EA"/>
    <w:rsid w:val="278DFCF8"/>
    <w:rsid w:val="27901B1F"/>
    <w:rsid w:val="2790209E"/>
    <w:rsid w:val="2791BD85"/>
    <w:rsid w:val="27947690"/>
    <w:rsid w:val="2797929F"/>
    <w:rsid w:val="279AFBC3"/>
    <w:rsid w:val="279F3F2D"/>
    <w:rsid w:val="27A1780F"/>
    <w:rsid w:val="27A27A14"/>
    <w:rsid w:val="27A29351"/>
    <w:rsid w:val="27AB4496"/>
    <w:rsid w:val="27AEE4B2"/>
    <w:rsid w:val="27B71AD0"/>
    <w:rsid w:val="27B71DC1"/>
    <w:rsid w:val="27B9DE0B"/>
    <w:rsid w:val="27BB3EA8"/>
    <w:rsid w:val="27BC127E"/>
    <w:rsid w:val="27BCC8C4"/>
    <w:rsid w:val="27C0861E"/>
    <w:rsid w:val="27C20B77"/>
    <w:rsid w:val="27C22E94"/>
    <w:rsid w:val="27C3ACC7"/>
    <w:rsid w:val="27C4033E"/>
    <w:rsid w:val="27C625F3"/>
    <w:rsid w:val="27C9F5AA"/>
    <w:rsid w:val="27CA31D3"/>
    <w:rsid w:val="27CC0201"/>
    <w:rsid w:val="27CD6B7F"/>
    <w:rsid w:val="27CD8BA9"/>
    <w:rsid w:val="27CECD82"/>
    <w:rsid w:val="27CF782E"/>
    <w:rsid w:val="27D1FE69"/>
    <w:rsid w:val="27D229EB"/>
    <w:rsid w:val="27D544E8"/>
    <w:rsid w:val="27D78DBB"/>
    <w:rsid w:val="27D9B185"/>
    <w:rsid w:val="27D9F757"/>
    <w:rsid w:val="27D9FF61"/>
    <w:rsid w:val="27DA1157"/>
    <w:rsid w:val="27DD8627"/>
    <w:rsid w:val="27DE62F8"/>
    <w:rsid w:val="27DFA735"/>
    <w:rsid w:val="27DFAD32"/>
    <w:rsid w:val="27E3E2BA"/>
    <w:rsid w:val="27E4774C"/>
    <w:rsid w:val="27E49D55"/>
    <w:rsid w:val="27E532BF"/>
    <w:rsid w:val="27E69282"/>
    <w:rsid w:val="27E6E695"/>
    <w:rsid w:val="27E76AF7"/>
    <w:rsid w:val="27E8518F"/>
    <w:rsid w:val="27E8C3EF"/>
    <w:rsid w:val="27E91567"/>
    <w:rsid w:val="27EC318A"/>
    <w:rsid w:val="27EC44CB"/>
    <w:rsid w:val="27EC98BD"/>
    <w:rsid w:val="27F00969"/>
    <w:rsid w:val="27F11429"/>
    <w:rsid w:val="27F24AD8"/>
    <w:rsid w:val="27F473F2"/>
    <w:rsid w:val="27F4D8AD"/>
    <w:rsid w:val="27F6A2E5"/>
    <w:rsid w:val="27F70FC2"/>
    <w:rsid w:val="27F9369E"/>
    <w:rsid w:val="27FDDDA5"/>
    <w:rsid w:val="27FFD5C6"/>
    <w:rsid w:val="28027D10"/>
    <w:rsid w:val="2802E1AC"/>
    <w:rsid w:val="28031E00"/>
    <w:rsid w:val="2804C470"/>
    <w:rsid w:val="28079FF4"/>
    <w:rsid w:val="280A82DF"/>
    <w:rsid w:val="280B9376"/>
    <w:rsid w:val="280DA6BE"/>
    <w:rsid w:val="280E2DE5"/>
    <w:rsid w:val="280E730C"/>
    <w:rsid w:val="28131E5F"/>
    <w:rsid w:val="2813A309"/>
    <w:rsid w:val="28167BB3"/>
    <w:rsid w:val="2816F802"/>
    <w:rsid w:val="28185B39"/>
    <w:rsid w:val="281A5487"/>
    <w:rsid w:val="281D6665"/>
    <w:rsid w:val="281E289A"/>
    <w:rsid w:val="281FCA66"/>
    <w:rsid w:val="28204CF0"/>
    <w:rsid w:val="28209DBF"/>
    <w:rsid w:val="2820AE20"/>
    <w:rsid w:val="28235699"/>
    <w:rsid w:val="28286BFC"/>
    <w:rsid w:val="282F6BE4"/>
    <w:rsid w:val="2830CA30"/>
    <w:rsid w:val="2833EB81"/>
    <w:rsid w:val="283779B7"/>
    <w:rsid w:val="28393516"/>
    <w:rsid w:val="283A60C7"/>
    <w:rsid w:val="283B01AA"/>
    <w:rsid w:val="283B7E8E"/>
    <w:rsid w:val="283BFD98"/>
    <w:rsid w:val="283CAB25"/>
    <w:rsid w:val="283CC1F8"/>
    <w:rsid w:val="283D513B"/>
    <w:rsid w:val="283ED937"/>
    <w:rsid w:val="28403135"/>
    <w:rsid w:val="2845061F"/>
    <w:rsid w:val="28470CEF"/>
    <w:rsid w:val="28485762"/>
    <w:rsid w:val="28486F76"/>
    <w:rsid w:val="284990B3"/>
    <w:rsid w:val="284C4D0F"/>
    <w:rsid w:val="284D94AB"/>
    <w:rsid w:val="284E8421"/>
    <w:rsid w:val="284F56B2"/>
    <w:rsid w:val="2850C6E4"/>
    <w:rsid w:val="28513C72"/>
    <w:rsid w:val="2853C588"/>
    <w:rsid w:val="2858D508"/>
    <w:rsid w:val="285917BC"/>
    <w:rsid w:val="285C002D"/>
    <w:rsid w:val="2861C843"/>
    <w:rsid w:val="2864F030"/>
    <w:rsid w:val="28651CCE"/>
    <w:rsid w:val="2869E431"/>
    <w:rsid w:val="286AC7FF"/>
    <w:rsid w:val="286B2BDD"/>
    <w:rsid w:val="286B85EB"/>
    <w:rsid w:val="286BF8F5"/>
    <w:rsid w:val="286D328E"/>
    <w:rsid w:val="286F2D6C"/>
    <w:rsid w:val="28706653"/>
    <w:rsid w:val="287257B7"/>
    <w:rsid w:val="2873FFC3"/>
    <w:rsid w:val="28771C55"/>
    <w:rsid w:val="2877CE98"/>
    <w:rsid w:val="2878CF11"/>
    <w:rsid w:val="287E2F43"/>
    <w:rsid w:val="287E4CB0"/>
    <w:rsid w:val="28837DC9"/>
    <w:rsid w:val="288718E5"/>
    <w:rsid w:val="288766D3"/>
    <w:rsid w:val="28889617"/>
    <w:rsid w:val="288CF56B"/>
    <w:rsid w:val="288DCCAA"/>
    <w:rsid w:val="288DFDA0"/>
    <w:rsid w:val="2892B795"/>
    <w:rsid w:val="28963F3E"/>
    <w:rsid w:val="2898D5AC"/>
    <w:rsid w:val="28994A69"/>
    <w:rsid w:val="289C3E00"/>
    <w:rsid w:val="28A188BC"/>
    <w:rsid w:val="28A29D60"/>
    <w:rsid w:val="28A33F46"/>
    <w:rsid w:val="28A47973"/>
    <w:rsid w:val="28A49971"/>
    <w:rsid w:val="28A75C99"/>
    <w:rsid w:val="28A7B446"/>
    <w:rsid w:val="28ABEEFD"/>
    <w:rsid w:val="28AD4C8A"/>
    <w:rsid w:val="28AF8BA6"/>
    <w:rsid w:val="28B04D84"/>
    <w:rsid w:val="28B83513"/>
    <w:rsid w:val="28B9274B"/>
    <w:rsid w:val="28BA8845"/>
    <w:rsid w:val="28BAF192"/>
    <w:rsid w:val="28BE6B69"/>
    <w:rsid w:val="28BF82A9"/>
    <w:rsid w:val="28BFD43C"/>
    <w:rsid w:val="28C06588"/>
    <w:rsid w:val="28C33D22"/>
    <w:rsid w:val="28C4E43D"/>
    <w:rsid w:val="28C77BFA"/>
    <w:rsid w:val="28C7D618"/>
    <w:rsid w:val="28C7FA15"/>
    <w:rsid w:val="28CA5CB0"/>
    <w:rsid w:val="28CC27DE"/>
    <w:rsid w:val="28CCF781"/>
    <w:rsid w:val="28CD2CC0"/>
    <w:rsid w:val="28CE3BE7"/>
    <w:rsid w:val="28CE40B5"/>
    <w:rsid w:val="28CF4363"/>
    <w:rsid w:val="28D010E9"/>
    <w:rsid w:val="28D71E57"/>
    <w:rsid w:val="28D9B039"/>
    <w:rsid w:val="28DBEBE6"/>
    <w:rsid w:val="28DDBA4E"/>
    <w:rsid w:val="28DE0339"/>
    <w:rsid w:val="28DE6CD6"/>
    <w:rsid w:val="28DFCE9A"/>
    <w:rsid w:val="28E001FA"/>
    <w:rsid w:val="28E2A48A"/>
    <w:rsid w:val="28E3D22D"/>
    <w:rsid w:val="28E7B2E8"/>
    <w:rsid w:val="28EA4C10"/>
    <w:rsid w:val="28EAB0F9"/>
    <w:rsid w:val="28ECBC4E"/>
    <w:rsid w:val="28EE84E4"/>
    <w:rsid w:val="28EEEA71"/>
    <w:rsid w:val="28F0A0CE"/>
    <w:rsid w:val="28F70857"/>
    <w:rsid w:val="28F780AE"/>
    <w:rsid w:val="28F8E962"/>
    <w:rsid w:val="28FA464A"/>
    <w:rsid w:val="28FAA25E"/>
    <w:rsid w:val="28FAE0E7"/>
    <w:rsid w:val="28FB7C50"/>
    <w:rsid w:val="28FE74DB"/>
    <w:rsid w:val="2902505C"/>
    <w:rsid w:val="29040AC7"/>
    <w:rsid w:val="2904B12C"/>
    <w:rsid w:val="29055C14"/>
    <w:rsid w:val="29058322"/>
    <w:rsid w:val="290831A5"/>
    <w:rsid w:val="2909E1A6"/>
    <w:rsid w:val="290AB125"/>
    <w:rsid w:val="290D4576"/>
    <w:rsid w:val="290ECD0E"/>
    <w:rsid w:val="2910754A"/>
    <w:rsid w:val="291180BF"/>
    <w:rsid w:val="29119309"/>
    <w:rsid w:val="2911AA4B"/>
    <w:rsid w:val="2914284C"/>
    <w:rsid w:val="2914386B"/>
    <w:rsid w:val="291674DA"/>
    <w:rsid w:val="29196342"/>
    <w:rsid w:val="291A52E8"/>
    <w:rsid w:val="291B3591"/>
    <w:rsid w:val="291BF033"/>
    <w:rsid w:val="291C27C3"/>
    <w:rsid w:val="291C55B3"/>
    <w:rsid w:val="291D48CE"/>
    <w:rsid w:val="29209396"/>
    <w:rsid w:val="2921B364"/>
    <w:rsid w:val="29234001"/>
    <w:rsid w:val="2923CF93"/>
    <w:rsid w:val="29241F01"/>
    <w:rsid w:val="292732DF"/>
    <w:rsid w:val="292F0C2E"/>
    <w:rsid w:val="29332861"/>
    <w:rsid w:val="29336F51"/>
    <w:rsid w:val="29364F62"/>
    <w:rsid w:val="2938CC3A"/>
    <w:rsid w:val="293907A1"/>
    <w:rsid w:val="293B262E"/>
    <w:rsid w:val="293DC140"/>
    <w:rsid w:val="293F9AA8"/>
    <w:rsid w:val="29407A30"/>
    <w:rsid w:val="29407C85"/>
    <w:rsid w:val="2941202D"/>
    <w:rsid w:val="294132A0"/>
    <w:rsid w:val="2943F006"/>
    <w:rsid w:val="2946D986"/>
    <w:rsid w:val="294A5544"/>
    <w:rsid w:val="294CDA8C"/>
    <w:rsid w:val="294E97A7"/>
    <w:rsid w:val="294F1CB3"/>
    <w:rsid w:val="294F46E2"/>
    <w:rsid w:val="29500239"/>
    <w:rsid w:val="295042E3"/>
    <w:rsid w:val="2950D415"/>
    <w:rsid w:val="29520336"/>
    <w:rsid w:val="2958EAFE"/>
    <w:rsid w:val="295A385C"/>
    <w:rsid w:val="295A7DEB"/>
    <w:rsid w:val="295D6FB8"/>
    <w:rsid w:val="295E82C7"/>
    <w:rsid w:val="29602DED"/>
    <w:rsid w:val="2960D30F"/>
    <w:rsid w:val="2961D3BF"/>
    <w:rsid w:val="29620AA3"/>
    <w:rsid w:val="29636B2D"/>
    <w:rsid w:val="2963F1C3"/>
    <w:rsid w:val="2963F6CE"/>
    <w:rsid w:val="296475A0"/>
    <w:rsid w:val="2964D6D2"/>
    <w:rsid w:val="2964F186"/>
    <w:rsid w:val="29654ED1"/>
    <w:rsid w:val="2966364B"/>
    <w:rsid w:val="296643F7"/>
    <w:rsid w:val="29677282"/>
    <w:rsid w:val="2967BC14"/>
    <w:rsid w:val="296822A3"/>
    <w:rsid w:val="2968C6D0"/>
    <w:rsid w:val="296A1708"/>
    <w:rsid w:val="296A1A2B"/>
    <w:rsid w:val="296D4620"/>
    <w:rsid w:val="296E6E61"/>
    <w:rsid w:val="296FCD58"/>
    <w:rsid w:val="29705E4D"/>
    <w:rsid w:val="29718673"/>
    <w:rsid w:val="2972A3C6"/>
    <w:rsid w:val="297489B6"/>
    <w:rsid w:val="29749940"/>
    <w:rsid w:val="2977A5A7"/>
    <w:rsid w:val="29793C1A"/>
    <w:rsid w:val="297A14B2"/>
    <w:rsid w:val="297B4695"/>
    <w:rsid w:val="297E36CB"/>
    <w:rsid w:val="297F8A4B"/>
    <w:rsid w:val="29807236"/>
    <w:rsid w:val="298157E9"/>
    <w:rsid w:val="29838D11"/>
    <w:rsid w:val="29846184"/>
    <w:rsid w:val="29848D0F"/>
    <w:rsid w:val="2984A9D5"/>
    <w:rsid w:val="2987FC2B"/>
    <w:rsid w:val="29892A56"/>
    <w:rsid w:val="298950F5"/>
    <w:rsid w:val="298A7D97"/>
    <w:rsid w:val="298B629B"/>
    <w:rsid w:val="298D5DE9"/>
    <w:rsid w:val="298D890D"/>
    <w:rsid w:val="298F2683"/>
    <w:rsid w:val="298F327B"/>
    <w:rsid w:val="2990C2E5"/>
    <w:rsid w:val="29930171"/>
    <w:rsid w:val="29953A9C"/>
    <w:rsid w:val="29977397"/>
    <w:rsid w:val="29995EAF"/>
    <w:rsid w:val="299A7CF3"/>
    <w:rsid w:val="299A8FAD"/>
    <w:rsid w:val="299AAED1"/>
    <w:rsid w:val="299E6A36"/>
    <w:rsid w:val="299FDB33"/>
    <w:rsid w:val="29A0B62C"/>
    <w:rsid w:val="29A0CA4C"/>
    <w:rsid w:val="29A20925"/>
    <w:rsid w:val="29A393B5"/>
    <w:rsid w:val="29A41EE3"/>
    <w:rsid w:val="29A66F04"/>
    <w:rsid w:val="29A72B0F"/>
    <w:rsid w:val="29A8404D"/>
    <w:rsid w:val="29A8EE73"/>
    <w:rsid w:val="29AA7CB9"/>
    <w:rsid w:val="29B202B8"/>
    <w:rsid w:val="29B22325"/>
    <w:rsid w:val="29B73DBB"/>
    <w:rsid w:val="29B8A03B"/>
    <w:rsid w:val="29B90A24"/>
    <w:rsid w:val="29B9209F"/>
    <w:rsid w:val="29B9C9D6"/>
    <w:rsid w:val="29BEB7C1"/>
    <w:rsid w:val="29C00AC3"/>
    <w:rsid w:val="29C0A25C"/>
    <w:rsid w:val="29C10CD3"/>
    <w:rsid w:val="29C2839A"/>
    <w:rsid w:val="29C6479B"/>
    <w:rsid w:val="29C73370"/>
    <w:rsid w:val="29C74F08"/>
    <w:rsid w:val="29C9A383"/>
    <w:rsid w:val="29CA127F"/>
    <w:rsid w:val="29CA9F08"/>
    <w:rsid w:val="29CBAC35"/>
    <w:rsid w:val="29CC2F26"/>
    <w:rsid w:val="29CE4894"/>
    <w:rsid w:val="29CF1FA2"/>
    <w:rsid w:val="29D042EA"/>
    <w:rsid w:val="29D302F3"/>
    <w:rsid w:val="29D3DDC8"/>
    <w:rsid w:val="29D4F2AC"/>
    <w:rsid w:val="29D6B7D6"/>
    <w:rsid w:val="29DB9840"/>
    <w:rsid w:val="29E07473"/>
    <w:rsid w:val="29E73A31"/>
    <w:rsid w:val="29E775CB"/>
    <w:rsid w:val="29E98E62"/>
    <w:rsid w:val="29EA712A"/>
    <w:rsid w:val="29EAE53A"/>
    <w:rsid w:val="29EAEE27"/>
    <w:rsid w:val="29EC77B3"/>
    <w:rsid w:val="29EDC95C"/>
    <w:rsid w:val="29EEA015"/>
    <w:rsid w:val="29F21C55"/>
    <w:rsid w:val="29F2B6EB"/>
    <w:rsid w:val="29F751C0"/>
    <w:rsid w:val="29F7C7D4"/>
    <w:rsid w:val="29FCE799"/>
    <w:rsid w:val="29FDB868"/>
    <w:rsid w:val="29FE0D1F"/>
    <w:rsid w:val="29FFAE47"/>
    <w:rsid w:val="2A010BC3"/>
    <w:rsid w:val="2A02E482"/>
    <w:rsid w:val="2A054FFE"/>
    <w:rsid w:val="2A063AAA"/>
    <w:rsid w:val="2A082E2A"/>
    <w:rsid w:val="2A08859C"/>
    <w:rsid w:val="2A0B1DC4"/>
    <w:rsid w:val="2A0F41A7"/>
    <w:rsid w:val="2A10D8B4"/>
    <w:rsid w:val="2A10E22D"/>
    <w:rsid w:val="2A137CF7"/>
    <w:rsid w:val="2A1883AC"/>
    <w:rsid w:val="2A18E6F9"/>
    <w:rsid w:val="2A1A0891"/>
    <w:rsid w:val="2A1C2302"/>
    <w:rsid w:val="2A1EB27B"/>
    <w:rsid w:val="2A1EFA83"/>
    <w:rsid w:val="2A21C74E"/>
    <w:rsid w:val="2A21D83D"/>
    <w:rsid w:val="2A26A00D"/>
    <w:rsid w:val="2A27C6C0"/>
    <w:rsid w:val="2A2F138D"/>
    <w:rsid w:val="2A310993"/>
    <w:rsid w:val="2A348C0B"/>
    <w:rsid w:val="2A35678B"/>
    <w:rsid w:val="2A385589"/>
    <w:rsid w:val="2A3BE848"/>
    <w:rsid w:val="2A3C4ED3"/>
    <w:rsid w:val="2A3CE738"/>
    <w:rsid w:val="2A3E05FB"/>
    <w:rsid w:val="2A3E172A"/>
    <w:rsid w:val="2A3E8687"/>
    <w:rsid w:val="2A40FB75"/>
    <w:rsid w:val="2A4146F0"/>
    <w:rsid w:val="2A418F35"/>
    <w:rsid w:val="2A42B89C"/>
    <w:rsid w:val="2A4321A6"/>
    <w:rsid w:val="2A4625FF"/>
    <w:rsid w:val="2A4795F9"/>
    <w:rsid w:val="2A481357"/>
    <w:rsid w:val="2A4F34A6"/>
    <w:rsid w:val="2A51D0C8"/>
    <w:rsid w:val="2A570763"/>
    <w:rsid w:val="2A5823AB"/>
    <w:rsid w:val="2A592C80"/>
    <w:rsid w:val="2A5A2909"/>
    <w:rsid w:val="2A5B01FA"/>
    <w:rsid w:val="2A5DE088"/>
    <w:rsid w:val="2A5EB422"/>
    <w:rsid w:val="2A5F8B43"/>
    <w:rsid w:val="2A63DC09"/>
    <w:rsid w:val="2A665019"/>
    <w:rsid w:val="2A6749CD"/>
    <w:rsid w:val="2A68BF96"/>
    <w:rsid w:val="2A68DF8A"/>
    <w:rsid w:val="2A69ED0B"/>
    <w:rsid w:val="2A6B6609"/>
    <w:rsid w:val="2A6BB798"/>
    <w:rsid w:val="2A6DA681"/>
    <w:rsid w:val="2A6DDA6E"/>
    <w:rsid w:val="2A6E586E"/>
    <w:rsid w:val="2A6F93D3"/>
    <w:rsid w:val="2A700BCB"/>
    <w:rsid w:val="2A701BF9"/>
    <w:rsid w:val="2A7229DC"/>
    <w:rsid w:val="2A7267F2"/>
    <w:rsid w:val="2A727D2D"/>
    <w:rsid w:val="2A76911E"/>
    <w:rsid w:val="2A784761"/>
    <w:rsid w:val="2A78B60F"/>
    <w:rsid w:val="2A794AE2"/>
    <w:rsid w:val="2A7AD2B1"/>
    <w:rsid w:val="2A7CD5E3"/>
    <w:rsid w:val="2A8453DB"/>
    <w:rsid w:val="2A8656AA"/>
    <w:rsid w:val="2A8797E5"/>
    <w:rsid w:val="2A87DACE"/>
    <w:rsid w:val="2A8B6EB4"/>
    <w:rsid w:val="2A8BA751"/>
    <w:rsid w:val="2A8C0660"/>
    <w:rsid w:val="2A8E47B8"/>
    <w:rsid w:val="2A8FAF19"/>
    <w:rsid w:val="2A8FC6AA"/>
    <w:rsid w:val="2A8FE1A3"/>
    <w:rsid w:val="2A92C5A3"/>
    <w:rsid w:val="2A939144"/>
    <w:rsid w:val="2A97A986"/>
    <w:rsid w:val="2A98F637"/>
    <w:rsid w:val="2A99C543"/>
    <w:rsid w:val="2A99F039"/>
    <w:rsid w:val="2A9A37CC"/>
    <w:rsid w:val="2A9B994A"/>
    <w:rsid w:val="2A9BA60F"/>
    <w:rsid w:val="2A9CAA3E"/>
    <w:rsid w:val="2A9F3E47"/>
    <w:rsid w:val="2AA17F2C"/>
    <w:rsid w:val="2AA46C8D"/>
    <w:rsid w:val="2AA548AE"/>
    <w:rsid w:val="2AA58B74"/>
    <w:rsid w:val="2AA68107"/>
    <w:rsid w:val="2AAABAF0"/>
    <w:rsid w:val="2AAB26CD"/>
    <w:rsid w:val="2AAC40D2"/>
    <w:rsid w:val="2AAC665A"/>
    <w:rsid w:val="2AADBCC0"/>
    <w:rsid w:val="2AAF0853"/>
    <w:rsid w:val="2AAF74C1"/>
    <w:rsid w:val="2AB46438"/>
    <w:rsid w:val="2AB9877F"/>
    <w:rsid w:val="2ABDE2C6"/>
    <w:rsid w:val="2ABE0EB2"/>
    <w:rsid w:val="2ABE10A0"/>
    <w:rsid w:val="2AC0DF53"/>
    <w:rsid w:val="2AC104C4"/>
    <w:rsid w:val="2AC1E3F6"/>
    <w:rsid w:val="2AC273D5"/>
    <w:rsid w:val="2AC46BA4"/>
    <w:rsid w:val="2AC53EB3"/>
    <w:rsid w:val="2AC73045"/>
    <w:rsid w:val="2AC84B45"/>
    <w:rsid w:val="2AC92FDB"/>
    <w:rsid w:val="2ACD5C5E"/>
    <w:rsid w:val="2AD4193C"/>
    <w:rsid w:val="2AD4FF10"/>
    <w:rsid w:val="2AD523BB"/>
    <w:rsid w:val="2AD81A7F"/>
    <w:rsid w:val="2AD8DFA4"/>
    <w:rsid w:val="2ADA10A1"/>
    <w:rsid w:val="2ADA19EB"/>
    <w:rsid w:val="2ADCB553"/>
    <w:rsid w:val="2ADD342E"/>
    <w:rsid w:val="2ADD5050"/>
    <w:rsid w:val="2ADFB7C2"/>
    <w:rsid w:val="2AE06231"/>
    <w:rsid w:val="2AE077CD"/>
    <w:rsid w:val="2AE1CEDF"/>
    <w:rsid w:val="2AE4621C"/>
    <w:rsid w:val="2AE4C1C1"/>
    <w:rsid w:val="2AE97C32"/>
    <w:rsid w:val="2AEA9FC8"/>
    <w:rsid w:val="2AEB2F72"/>
    <w:rsid w:val="2AEDD621"/>
    <w:rsid w:val="2AEE18B9"/>
    <w:rsid w:val="2AEE63E9"/>
    <w:rsid w:val="2AEF0C4F"/>
    <w:rsid w:val="2AF002C4"/>
    <w:rsid w:val="2AF09C84"/>
    <w:rsid w:val="2AF1D532"/>
    <w:rsid w:val="2AF21272"/>
    <w:rsid w:val="2AF67756"/>
    <w:rsid w:val="2AF95B51"/>
    <w:rsid w:val="2AFC568B"/>
    <w:rsid w:val="2AFC8B75"/>
    <w:rsid w:val="2AFDCEC0"/>
    <w:rsid w:val="2AFE04ED"/>
    <w:rsid w:val="2AFE781E"/>
    <w:rsid w:val="2B02C77B"/>
    <w:rsid w:val="2B04B44E"/>
    <w:rsid w:val="2B06C143"/>
    <w:rsid w:val="2B07A09F"/>
    <w:rsid w:val="2B07F22F"/>
    <w:rsid w:val="2B097BEE"/>
    <w:rsid w:val="2B0A1E8F"/>
    <w:rsid w:val="2B11B496"/>
    <w:rsid w:val="2B1476FE"/>
    <w:rsid w:val="2B14CB91"/>
    <w:rsid w:val="2B158ABB"/>
    <w:rsid w:val="2B17803D"/>
    <w:rsid w:val="2B17C65A"/>
    <w:rsid w:val="2B1860B7"/>
    <w:rsid w:val="2B18FD76"/>
    <w:rsid w:val="2B19D5BD"/>
    <w:rsid w:val="2B1A128E"/>
    <w:rsid w:val="2B1A2CAB"/>
    <w:rsid w:val="2B1AE2C3"/>
    <w:rsid w:val="2B1BBE05"/>
    <w:rsid w:val="2B1BDEAA"/>
    <w:rsid w:val="2B1CDD8E"/>
    <w:rsid w:val="2B1FBE59"/>
    <w:rsid w:val="2B2035A5"/>
    <w:rsid w:val="2B206E97"/>
    <w:rsid w:val="2B21738B"/>
    <w:rsid w:val="2B22D07C"/>
    <w:rsid w:val="2B24B210"/>
    <w:rsid w:val="2B257B9F"/>
    <w:rsid w:val="2B28DE9E"/>
    <w:rsid w:val="2B292622"/>
    <w:rsid w:val="2B29C691"/>
    <w:rsid w:val="2B2BAFD4"/>
    <w:rsid w:val="2B2CDD18"/>
    <w:rsid w:val="2B2E490E"/>
    <w:rsid w:val="2B315CAF"/>
    <w:rsid w:val="2B327103"/>
    <w:rsid w:val="2B34E08C"/>
    <w:rsid w:val="2B3A5BCB"/>
    <w:rsid w:val="2B3E8CAF"/>
    <w:rsid w:val="2B4167AF"/>
    <w:rsid w:val="2B420CB4"/>
    <w:rsid w:val="2B487024"/>
    <w:rsid w:val="2B49EB42"/>
    <w:rsid w:val="2B4AC40E"/>
    <w:rsid w:val="2B4FE5AD"/>
    <w:rsid w:val="2B550B49"/>
    <w:rsid w:val="2B559379"/>
    <w:rsid w:val="2B594698"/>
    <w:rsid w:val="2B596A3F"/>
    <w:rsid w:val="2B5DC7C8"/>
    <w:rsid w:val="2B6303B6"/>
    <w:rsid w:val="2B63445A"/>
    <w:rsid w:val="2B69E14E"/>
    <w:rsid w:val="2B6E7677"/>
    <w:rsid w:val="2B7049B5"/>
    <w:rsid w:val="2B711087"/>
    <w:rsid w:val="2B7360FB"/>
    <w:rsid w:val="2B75A9EE"/>
    <w:rsid w:val="2B7A557E"/>
    <w:rsid w:val="2B7E80FA"/>
    <w:rsid w:val="2B81BD0C"/>
    <w:rsid w:val="2B871789"/>
    <w:rsid w:val="2B8A17DD"/>
    <w:rsid w:val="2B8C2FDE"/>
    <w:rsid w:val="2B8F5B13"/>
    <w:rsid w:val="2B917C9D"/>
    <w:rsid w:val="2B948B16"/>
    <w:rsid w:val="2B94C828"/>
    <w:rsid w:val="2B964F03"/>
    <w:rsid w:val="2B96DE2F"/>
    <w:rsid w:val="2B973404"/>
    <w:rsid w:val="2B992D68"/>
    <w:rsid w:val="2B9A17EA"/>
    <w:rsid w:val="2B9AE0F3"/>
    <w:rsid w:val="2B9C7676"/>
    <w:rsid w:val="2BA31208"/>
    <w:rsid w:val="2BA54343"/>
    <w:rsid w:val="2BA59000"/>
    <w:rsid w:val="2BA59501"/>
    <w:rsid w:val="2BA760C3"/>
    <w:rsid w:val="2BA81423"/>
    <w:rsid w:val="2BAAD69F"/>
    <w:rsid w:val="2BAEFF69"/>
    <w:rsid w:val="2BB0FDFC"/>
    <w:rsid w:val="2BB13A0F"/>
    <w:rsid w:val="2BB263DB"/>
    <w:rsid w:val="2BB4A183"/>
    <w:rsid w:val="2BB4A1AE"/>
    <w:rsid w:val="2BB4D9D5"/>
    <w:rsid w:val="2BB5F1E4"/>
    <w:rsid w:val="2BB940EB"/>
    <w:rsid w:val="2BBF6780"/>
    <w:rsid w:val="2BBFFD53"/>
    <w:rsid w:val="2BC31DF8"/>
    <w:rsid w:val="2BC45331"/>
    <w:rsid w:val="2BC5F1A9"/>
    <w:rsid w:val="2BC6D561"/>
    <w:rsid w:val="2BCA2853"/>
    <w:rsid w:val="2BCB7626"/>
    <w:rsid w:val="2BCC690F"/>
    <w:rsid w:val="2BCEA320"/>
    <w:rsid w:val="2BCF5DA8"/>
    <w:rsid w:val="2BD0315D"/>
    <w:rsid w:val="2BD1820D"/>
    <w:rsid w:val="2BD1D82E"/>
    <w:rsid w:val="2BD1FA4A"/>
    <w:rsid w:val="2BD2B7FE"/>
    <w:rsid w:val="2BD659FF"/>
    <w:rsid w:val="2BD65F39"/>
    <w:rsid w:val="2BD79E52"/>
    <w:rsid w:val="2BD88B16"/>
    <w:rsid w:val="2BD8B197"/>
    <w:rsid w:val="2BD91B13"/>
    <w:rsid w:val="2BD9D99A"/>
    <w:rsid w:val="2BDA61E5"/>
    <w:rsid w:val="2BDA6A2C"/>
    <w:rsid w:val="2BDBBC16"/>
    <w:rsid w:val="2BDC4AD3"/>
    <w:rsid w:val="2BDC991B"/>
    <w:rsid w:val="2BDD828A"/>
    <w:rsid w:val="2BDF8D12"/>
    <w:rsid w:val="2BE10E65"/>
    <w:rsid w:val="2BE321CC"/>
    <w:rsid w:val="2BE5529A"/>
    <w:rsid w:val="2BE9091C"/>
    <w:rsid w:val="2BE97B2E"/>
    <w:rsid w:val="2BEBB9EC"/>
    <w:rsid w:val="2BF285DF"/>
    <w:rsid w:val="2BF39BA1"/>
    <w:rsid w:val="2BFAFA73"/>
    <w:rsid w:val="2BFCE96C"/>
    <w:rsid w:val="2BFD91C6"/>
    <w:rsid w:val="2BFDDF5C"/>
    <w:rsid w:val="2BFF5B1D"/>
    <w:rsid w:val="2C008A67"/>
    <w:rsid w:val="2C00EB08"/>
    <w:rsid w:val="2C042B66"/>
    <w:rsid w:val="2C05AEAF"/>
    <w:rsid w:val="2C0B4802"/>
    <w:rsid w:val="2C0FDAA8"/>
    <w:rsid w:val="2C105042"/>
    <w:rsid w:val="2C116F29"/>
    <w:rsid w:val="2C14D3D1"/>
    <w:rsid w:val="2C158520"/>
    <w:rsid w:val="2C15A4A5"/>
    <w:rsid w:val="2C17E947"/>
    <w:rsid w:val="2C1808A6"/>
    <w:rsid w:val="2C18DCB9"/>
    <w:rsid w:val="2C197E2B"/>
    <w:rsid w:val="2C1A582C"/>
    <w:rsid w:val="2C1D80D6"/>
    <w:rsid w:val="2C2242CE"/>
    <w:rsid w:val="2C22BFB7"/>
    <w:rsid w:val="2C232793"/>
    <w:rsid w:val="2C233018"/>
    <w:rsid w:val="2C2D9B13"/>
    <w:rsid w:val="2C2E4413"/>
    <w:rsid w:val="2C2F2F8C"/>
    <w:rsid w:val="2C2F86DF"/>
    <w:rsid w:val="2C316EAF"/>
    <w:rsid w:val="2C323D53"/>
    <w:rsid w:val="2C37862D"/>
    <w:rsid w:val="2C386C6D"/>
    <w:rsid w:val="2C3BD7AC"/>
    <w:rsid w:val="2C3BFC05"/>
    <w:rsid w:val="2C3C8076"/>
    <w:rsid w:val="2C3CA7BA"/>
    <w:rsid w:val="2C3F13B9"/>
    <w:rsid w:val="2C400BC6"/>
    <w:rsid w:val="2C405BC7"/>
    <w:rsid w:val="2C41B843"/>
    <w:rsid w:val="2C41EAE4"/>
    <w:rsid w:val="2C4343B3"/>
    <w:rsid w:val="2C434CDB"/>
    <w:rsid w:val="2C451C2F"/>
    <w:rsid w:val="2C4AA5C8"/>
    <w:rsid w:val="2C4AC0F5"/>
    <w:rsid w:val="2C4C5B1E"/>
    <w:rsid w:val="2C4DC17F"/>
    <w:rsid w:val="2C4E0FE5"/>
    <w:rsid w:val="2C4F7ABB"/>
    <w:rsid w:val="2C4FB91B"/>
    <w:rsid w:val="2C519034"/>
    <w:rsid w:val="2C532C8F"/>
    <w:rsid w:val="2C56102C"/>
    <w:rsid w:val="2C5A3580"/>
    <w:rsid w:val="2C5F7806"/>
    <w:rsid w:val="2C5FC5E5"/>
    <w:rsid w:val="2C6063FB"/>
    <w:rsid w:val="2C60BA1D"/>
    <w:rsid w:val="2C60D973"/>
    <w:rsid w:val="2C629EE6"/>
    <w:rsid w:val="2C63DC78"/>
    <w:rsid w:val="2C643852"/>
    <w:rsid w:val="2C6D3CDE"/>
    <w:rsid w:val="2C71DDA6"/>
    <w:rsid w:val="2C71EC7B"/>
    <w:rsid w:val="2C72B683"/>
    <w:rsid w:val="2C73317C"/>
    <w:rsid w:val="2C7A692A"/>
    <w:rsid w:val="2C7BAA11"/>
    <w:rsid w:val="2C7C5F8A"/>
    <w:rsid w:val="2C7EB47F"/>
    <w:rsid w:val="2C7FE01B"/>
    <w:rsid w:val="2C8251B2"/>
    <w:rsid w:val="2C839D71"/>
    <w:rsid w:val="2C8632E3"/>
    <w:rsid w:val="2C8780DB"/>
    <w:rsid w:val="2C884192"/>
    <w:rsid w:val="2C8BF911"/>
    <w:rsid w:val="2C8C6B61"/>
    <w:rsid w:val="2C8CCDEC"/>
    <w:rsid w:val="2C8D1DE2"/>
    <w:rsid w:val="2C8DCBB9"/>
    <w:rsid w:val="2C8E67B8"/>
    <w:rsid w:val="2C8E84AE"/>
    <w:rsid w:val="2C8F2B2D"/>
    <w:rsid w:val="2C904604"/>
    <w:rsid w:val="2C938910"/>
    <w:rsid w:val="2C95473B"/>
    <w:rsid w:val="2C9690C2"/>
    <w:rsid w:val="2C96B16F"/>
    <w:rsid w:val="2C96BD53"/>
    <w:rsid w:val="2C987555"/>
    <w:rsid w:val="2C989441"/>
    <w:rsid w:val="2C9A2272"/>
    <w:rsid w:val="2C9D5B42"/>
    <w:rsid w:val="2C9D8C63"/>
    <w:rsid w:val="2C9F066A"/>
    <w:rsid w:val="2CA1BB21"/>
    <w:rsid w:val="2CA1F7F1"/>
    <w:rsid w:val="2CA69385"/>
    <w:rsid w:val="2CA766F4"/>
    <w:rsid w:val="2CA83201"/>
    <w:rsid w:val="2CAFBB85"/>
    <w:rsid w:val="2CAFF1B9"/>
    <w:rsid w:val="2CB12580"/>
    <w:rsid w:val="2CB24178"/>
    <w:rsid w:val="2CB55DCC"/>
    <w:rsid w:val="2CB600D3"/>
    <w:rsid w:val="2CB73B44"/>
    <w:rsid w:val="2CBB4B63"/>
    <w:rsid w:val="2CBED015"/>
    <w:rsid w:val="2CC240C8"/>
    <w:rsid w:val="2CC2EEC8"/>
    <w:rsid w:val="2CC4B2C6"/>
    <w:rsid w:val="2CC4C19E"/>
    <w:rsid w:val="2CC6029B"/>
    <w:rsid w:val="2CC91B93"/>
    <w:rsid w:val="2CCAEE90"/>
    <w:rsid w:val="2CCEAB16"/>
    <w:rsid w:val="2CD08B96"/>
    <w:rsid w:val="2CD15845"/>
    <w:rsid w:val="2CD27531"/>
    <w:rsid w:val="2CD3462E"/>
    <w:rsid w:val="2CD45AD7"/>
    <w:rsid w:val="2CD540C2"/>
    <w:rsid w:val="2CD7343D"/>
    <w:rsid w:val="2CD734B0"/>
    <w:rsid w:val="2CDD1374"/>
    <w:rsid w:val="2CDDA9D9"/>
    <w:rsid w:val="2CDEC319"/>
    <w:rsid w:val="2CE09B64"/>
    <w:rsid w:val="2CE1E3E4"/>
    <w:rsid w:val="2CE28692"/>
    <w:rsid w:val="2CE6CA18"/>
    <w:rsid w:val="2CEA051A"/>
    <w:rsid w:val="2CF0F2CC"/>
    <w:rsid w:val="2CF27E44"/>
    <w:rsid w:val="2CF2959C"/>
    <w:rsid w:val="2CF3BDFC"/>
    <w:rsid w:val="2CF3C704"/>
    <w:rsid w:val="2CF4D6BD"/>
    <w:rsid w:val="2CF8120E"/>
    <w:rsid w:val="2CF90650"/>
    <w:rsid w:val="2CFA0D8F"/>
    <w:rsid w:val="2CFB0B89"/>
    <w:rsid w:val="2CFB4E91"/>
    <w:rsid w:val="2CFFA3BF"/>
    <w:rsid w:val="2D027D21"/>
    <w:rsid w:val="2D031F14"/>
    <w:rsid w:val="2D04E697"/>
    <w:rsid w:val="2D065AB3"/>
    <w:rsid w:val="2D07C1CC"/>
    <w:rsid w:val="2D0C3775"/>
    <w:rsid w:val="2D0E1173"/>
    <w:rsid w:val="2D0FA2BE"/>
    <w:rsid w:val="2D121E96"/>
    <w:rsid w:val="2D139065"/>
    <w:rsid w:val="2D152069"/>
    <w:rsid w:val="2D17E175"/>
    <w:rsid w:val="2D18D337"/>
    <w:rsid w:val="2D19EF3C"/>
    <w:rsid w:val="2D19F7C1"/>
    <w:rsid w:val="2D1A4BC6"/>
    <w:rsid w:val="2D1C66E2"/>
    <w:rsid w:val="2D1E4A1B"/>
    <w:rsid w:val="2D1E9D71"/>
    <w:rsid w:val="2D2017ED"/>
    <w:rsid w:val="2D2115F6"/>
    <w:rsid w:val="2D2229C8"/>
    <w:rsid w:val="2D2579C5"/>
    <w:rsid w:val="2D268064"/>
    <w:rsid w:val="2D273E5F"/>
    <w:rsid w:val="2D29044C"/>
    <w:rsid w:val="2D2AC0F4"/>
    <w:rsid w:val="2D2CEDE2"/>
    <w:rsid w:val="2D2F705A"/>
    <w:rsid w:val="2D30CD71"/>
    <w:rsid w:val="2D33A77A"/>
    <w:rsid w:val="2D357751"/>
    <w:rsid w:val="2D374590"/>
    <w:rsid w:val="2D385583"/>
    <w:rsid w:val="2D40D68A"/>
    <w:rsid w:val="2D422141"/>
    <w:rsid w:val="2D43BE65"/>
    <w:rsid w:val="2D445B9F"/>
    <w:rsid w:val="2D46F211"/>
    <w:rsid w:val="2D48EA58"/>
    <w:rsid w:val="2D4966BF"/>
    <w:rsid w:val="2D49824B"/>
    <w:rsid w:val="2D4E77F1"/>
    <w:rsid w:val="2D50DBE1"/>
    <w:rsid w:val="2D514F74"/>
    <w:rsid w:val="2D525DF4"/>
    <w:rsid w:val="2D53B3E6"/>
    <w:rsid w:val="2D54C772"/>
    <w:rsid w:val="2D556A95"/>
    <w:rsid w:val="2D572119"/>
    <w:rsid w:val="2D59293F"/>
    <w:rsid w:val="2D5B34A9"/>
    <w:rsid w:val="2D5EC8D4"/>
    <w:rsid w:val="2D5F3C3E"/>
    <w:rsid w:val="2D6496CF"/>
    <w:rsid w:val="2D65D926"/>
    <w:rsid w:val="2D672D5B"/>
    <w:rsid w:val="2D68934D"/>
    <w:rsid w:val="2D68BC0A"/>
    <w:rsid w:val="2D69C5F9"/>
    <w:rsid w:val="2D69D680"/>
    <w:rsid w:val="2D6A5A9F"/>
    <w:rsid w:val="2D6A9D17"/>
    <w:rsid w:val="2D70289C"/>
    <w:rsid w:val="2D705F0B"/>
    <w:rsid w:val="2D71C3F9"/>
    <w:rsid w:val="2D72EAAC"/>
    <w:rsid w:val="2D75439E"/>
    <w:rsid w:val="2D75A54B"/>
    <w:rsid w:val="2D76C19E"/>
    <w:rsid w:val="2D777402"/>
    <w:rsid w:val="2D783BA8"/>
    <w:rsid w:val="2D7971BB"/>
    <w:rsid w:val="2D79D950"/>
    <w:rsid w:val="2D7A3DD8"/>
    <w:rsid w:val="2D7C3D30"/>
    <w:rsid w:val="2D7DA3EF"/>
    <w:rsid w:val="2D7E8162"/>
    <w:rsid w:val="2D801834"/>
    <w:rsid w:val="2D8225A5"/>
    <w:rsid w:val="2D825414"/>
    <w:rsid w:val="2D840820"/>
    <w:rsid w:val="2D84FA6A"/>
    <w:rsid w:val="2D860D36"/>
    <w:rsid w:val="2D8B8CE4"/>
    <w:rsid w:val="2D8EAE12"/>
    <w:rsid w:val="2D8EC03E"/>
    <w:rsid w:val="2D923AE6"/>
    <w:rsid w:val="2D9338ED"/>
    <w:rsid w:val="2D9375FF"/>
    <w:rsid w:val="2D9421F8"/>
    <w:rsid w:val="2D95210D"/>
    <w:rsid w:val="2D95758C"/>
    <w:rsid w:val="2D96B6DF"/>
    <w:rsid w:val="2D96D7FC"/>
    <w:rsid w:val="2D989C7B"/>
    <w:rsid w:val="2D9BDAE4"/>
    <w:rsid w:val="2D9C3426"/>
    <w:rsid w:val="2D9D0B90"/>
    <w:rsid w:val="2D9D8107"/>
    <w:rsid w:val="2D9DA178"/>
    <w:rsid w:val="2D9F5F13"/>
    <w:rsid w:val="2DA1498F"/>
    <w:rsid w:val="2DA23267"/>
    <w:rsid w:val="2DA347BF"/>
    <w:rsid w:val="2DA3E90B"/>
    <w:rsid w:val="2DA550A6"/>
    <w:rsid w:val="2DA5DFC7"/>
    <w:rsid w:val="2DA648D8"/>
    <w:rsid w:val="2DA6AAE2"/>
    <w:rsid w:val="2DA84EF2"/>
    <w:rsid w:val="2DA9C794"/>
    <w:rsid w:val="2DADC51E"/>
    <w:rsid w:val="2DB0ADFB"/>
    <w:rsid w:val="2DB17ECC"/>
    <w:rsid w:val="2DB1DD73"/>
    <w:rsid w:val="2DB2ADB4"/>
    <w:rsid w:val="2DB61475"/>
    <w:rsid w:val="2DB7D6E0"/>
    <w:rsid w:val="2DB8A6C0"/>
    <w:rsid w:val="2DB8CFE8"/>
    <w:rsid w:val="2DBA9E71"/>
    <w:rsid w:val="2DBAD6BB"/>
    <w:rsid w:val="2DBBC799"/>
    <w:rsid w:val="2DBD7AA7"/>
    <w:rsid w:val="2DC05E13"/>
    <w:rsid w:val="2DC118E9"/>
    <w:rsid w:val="2DC1678D"/>
    <w:rsid w:val="2DCADE10"/>
    <w:rsid w:val="2DCCAB07"/>
    <w:rsid w:val="2DCEAC8E"/>
    <w:rsid w:val="2DD272B8"/>
    <w:rsid w:val="2DD2F9E9"/>
    <w:rsid w:val="2DD35F1F"/>
    <w:rsid w:val="2DD52721"/>
    <w:rsid w:val="2DD5940E"/>
    <w:rsid w:val="2DD66F1A"/>
    <w:rsid w:val="2DD67AF8"/>
    <w:rsid w:val="2DD9EEBD"/>
    <w:rsid w:val="2DDB84A2"/>
    <w:rsid w:val="2DDC8772"/>
    <w:rsid w:val="2DDD396E"/>
    <w:rsid w:val="2DE135BA"/>
    <w:rsid w:val="2DE176B7"/>
    <w:rsid w:val="2DE38D6E"/>
    <w:rsid w:val="2DE7252C"/>
    <w:rsid w:val="2DE79888"/>
    <w:rsid w:val="2DE8B3C9"/>
    <w:rsid w:val="2DE9DD78"/>
    <w:rsid w:val="2DEA5237"/>
    <w:rsid w:val="2DEABF7B"/>
    <w:rsid w:val="2DEB2DCA"/>
    <w:rsid w:val="2DEBB318"/>
    <w:rsid w:val="2DF012FD"/>
    <w:rsid w:val="2DF0F094"/>
    <w:rsid w:val="2DF2819E"/>
    <w:rsid w:val="2DF3742C"/>
    <w:rsid w:val="2DF4670A"/>
    <w:rsid w:val="2DF708C2"/>
    <w:rsid w:val="2DF897E8"/>
    <w:rsid w:val="2DF91AB9"/>
    <w:rsid w:val="2DFBE831"/>
    <w:rsid w:val="2DFE59F4"/>
    <w:rsid w:val="2DFF719B"/>
    <w:rsid w:val="2E0B96D0"/>
    <w:rsid w:val="2E0FDD72"/>
    <w:rsid w:val="2E1059A2"/>
    <w:rsid w:val="2E1203AD"/>
    <w:rsid w:val="2E120B1D"/>
    <w:rsid w:val="2E131621"/>
    <w:rsid w:val="2E13E293"/>
    <w:rsid w:val="2E144586"/>
    <w:rsid w:val="2E14AB14"/>
    <w:rsid w:val="2E16BF44"/>
    <w:rsid w:val="2E1A6A6E"/>
    <w:rsid w:val="2E1AC3B1"/>
    <w:rsid w:val="2E1AF142"/>
    <w:rsid w:val="2E1BF1DF"/>
    <w:rsid w:val="2E1C23BA"/>
    <w:rsid w:val="2E1CF20D"/>
    <w:rsid w:val="2E1DF25D"/>
    <w:rsid w:val="2E1F0D05"/>
    <w:rsid w:val="2E205C2F"/>
    <w:rsid w:val="2E208D27"/>
    <w:rsid w:val="2E212C12"/>
    <w:rsid w:val="2E21F73A"/>
    <w:rsid w:val="2E2381B0"/>
    <w:rsid w:val="2E23B2B5"/>
    <w:rsid w:val="2E277E4F"/>
    <w:rsid w:val="2E2BA1B9"/>
    <w:rsid w:val="2E2BA607"/>
    <w:rsid w:val="2E2DFB76"/>
    <w:rsid w:val="2E2E0765"/>
    <w:rsid w:val="2E2EC9DD"/>
    <w:rsid w:val="2E2F77EA"/>
    <w:rsid w:val="2E307ACF"/>
    <w:rsid w:val="2E30C11E"/>
    <w:rsid w:val="2E327430"/>
    <w:rsid w:val="2E337DAD"/>
    <w:rsid w:val="2E37059C"/>
    <w:rsid w:val="2E37F553"/>
    <w:rsid w:val="2E3B2DAF"/>
    <w:rsid w:val="2E3C3FA0"/>
    <w:rsid w:val="2E3C42ED"/>
    <w:rsid w:val="2E3DC42B"/>
    <w:rsid w:val="2E3F1C2E"/>
    <w:rsid w:val="2E407350"/>
    <w:rsid w:val="2E415FD3"/>
    <w:rsid w:val="2E416435"/>
    <w:rsid w:val="2E4222AE"/>
    <w:rsid w:val="2E463608"/>
    <w:rsid w:val="2E489E08"/>
    <w:rsid w:val="2E49863E"/>
    <w:rsid w:val="2E4AC5EA"/>
    <w:rsid w:val="2E4E8884"/>
    <w:rsid w:val="2E51B031"/>
    <w:rsid w:val="2E51B9E4"/>
    <w:rsid w:val="2E5363EF"/>
    <w:rsid w:val="2E54B269"/>
    <w:rsid w:val="2E55A18F"/>
    <w:rsid w:val="2E574676"/>
    <w:rsid w:val="2E576EA1"/>
    <w:rsid w:val="2E57D82C"/>
    <w:rsid w:val="2E5824FE"/>
    <w:rsid w:val="2E5889C0"/>
    <w:rsid w:val="2E59CFF5"/>
    <w:rsid w:val="2E5B36D4"/>
    <w:rsid w:val="2E5B88FB"/>
    <w:rsid w:val="2E5D4EFF"/>
    <w:rsid w:val="2E638F77"/>
    <w:rsid w:val="2E639E26"/>
    <w:rsid w:val="2E679FEB"/>
    <w:rsid w:val="2E6804B8"/>
    <w:rsid w:val="2E6ABBB5"/>
    <w:rsid w:val="2E6C383E"/>
    <w:rsid w:val="2E6D2893"/>
    <w:rsid w:val="2E6E65F5"/>
    <w:rsid w:val="2E757DAA"/>
    <w:rsid w:val="2E783987"/>
    <w:rsid w:val="2E783DFA"/>
    <w:rsid w:val="2E7A0A8E"/>
    <w:rsid w:val="2E7BE4C0"/>
    <w:rsid w:val="2E7CD343"/>
    <w:rsid w:val="2E81F68F"/>
    <w:rsid w:val="2E86698E"/>
    <w:rsid w:val="2E8BFBE0"/>
    <w:rsid w:val="2E8DF8D9"/>
    <w:rsid w:val="2E8EEEB2"/>
    <w:rsid w:val="2E8F3A57"/>
    <w:rsid w:val="2E8F46CA"/>
    <w:rsid w:val="2E90E7A7"/>
    <w:rsid w:val="2E910EA9"/>
    <w:rsid w:val="2E915D7D"/>
    <w:rsid w:val="2E9461DC"/>
    <w:rsid w:val="2E95C1C1"/>
    <w:rsid w:val="2E977A6F"/>
    <w:rsid w:val="2E99D417"/>
    <w:rsid w:val="2E9B9146"/>
    <w:rsid w:val="2E9BEFC8"/>
    <w:rsid w:val="2E9CAFD3"/>
    <w:rsid w:val="2E9D015B"/>
    <w:rsid w:val="2E9DF83E"/>
    <w:rsid w:val="2EA096D8"/>
    <w:rsid w:val="2EA129EB"/>
    <w:rsid w:val="2EA137E9"/>
    <w:rsid w:val="2EA874E8"/>
    <w:rsid w:val="2EAB9585"/>
    <w:rsid w:val="2EABD141"/>
    <w:rsid w:val="2EADBA21"/>
    <w:rsid w:val="2EAE5012"/>
    <w:rsid w:val="2EB147D9"/>
    <w:rsid w:val="2EB1C594"/>
    <w:rsid w:val="2EB1D882"/>
    <w:rsid w:val="2EB461D6"/>
    <w:rsid w:val="2EB4F5C9"/>
    <w:rsid w:val="2EB72CB3"/>
    <w:rsid w:val="2EB7B590"/>
    <w:rsid w:val="2EB97939"/>
    <w:rsid w:val="2EBA6881"/>
    <w:rsid w:val="2EBD636F"/>
    <w:rsid w:val="2EBDB6A1"/>
    <w:rsid w:val="2EBE5FF7"/>
    <w:rsid w:val="2EC27057"/>
    <w:rsid w:val="2EC36935"/>
    <w:rsid w:val="2EC3840A"/>
    <w:rsid w:val="2EC4521E"/>
    <w:rsid w:val="2EC4AA5C"/>
    <w:rsid w:val="2EC5684D"/>
    <w:rsid w:val="2EC648A3"/>
    <w:rsid w:val="2EC7E516"/>
    <w:rsid w:val="2ECF75DD"/>
    <w:rsid w:val="2ED053E3"/>
    <w:rsid w:val="2ED106D3"/>
    <w:rsid w:val="2ED1BEC9"/>
    <w:rsid w:val="2ED21BA7"/>
    <w:rsid w:val="2ED5DAEC"/>
    <w:rsid w:val="2ED81F99"/>
    <w:rsid w:val="2EDB23F7"/>
    <w:rsid w:val="2EDBD44C"/>
    <w:rsid w:val="2EDD3A4E"/>
    <w:rsid w:val="2EE0A578"/>
    <w:rsid w:val="2EE0BE52"/>
    <w:rsid w:val="2EE239A8"/>
    <w:rsid w:val="2EE2ABD6"/>
    <w:rsid w:val="2EE69218"/>
    <w:rsid w:val="2EE7B358"/>
    <w:rsid w:val="2EED496F"/>
    <w:rsid w:val="2EEF16E5"/>
    <w:rsid w:val="2EF3F83E"/>
    <w:rsid w:val="2EF5CF71"/>
    <w:rsid w:val="2EF64902"/>
    <w:rsid w:val="2EF70118"/>
    <w:rsid w:val="2EFAE6D8"/>
    <w:rsid w:val="2EFCB07F"/>
    <w:rsid w:val="2F05F8B2"/>
    <w:rsid w:val="2F066540"/>
    <w:rsid w:val="2F092C0C"/>
    <w:rsid w:val="2F09C2EB"/>
    <w:rsid w:val="2F0A68E9"/>
    <w:rsid w:val="2F0B0EA0"/>
    <w:rsid w:val="2F0E10B6"/>
    <w:rsid w:val="2F100D55"/>
    <w:rsid w:val="2F10DE74"/>
    <w:rsid w:val="2F1277F6"/>
    <w:rsid w:val="2F12A0B9"/>
    <w:rsid w:val="2F13F87F"/>
    <w:rsid w:val="2F143A8F"/>
    <w:rsid w:val="2F153184"/>
    <w:rsid w:val="2F15CAAA"/>
    <w:rsid w:val="2F166816"/>
    <w:rsid w:val="2F1B81CD"/>
    <w:rsid w:val="2F1E36B6"/>
    <w:rsid w:val="2F1EBE71"/>
    <w:rsid w:val="2F207B52"/>
    <w:rsid w:val="2F22250C"/>
    <w:rsid w:val="2F23C315"/>
    <w:rsid w:val="2F23FF88"/>
    <w:rsid w:val="2F282B82"/>
    <w:rsid w:val="2F2AA00F"/>
    <w:rsid w:val="2F2D783B"/>
    <w:rsid w:val="2F2E5223"/>
    <w:rsid w:val="2F301455"/>
    <w:rsid w:val="2F31277A"/>
    <w:rsid w:val="2F330A10"/>
    <w:rsid w:val="2F372C11"/>
    <w:rsid w:val="2F3769CD"/>
    <w:rsid w:val="2F3845D2"/>
    <w:rsid w:val="2F390F5E"/>
    <w:rsid w:val="2F3943F2"/>
    <w:rsid w:val="2F3A6C97"/>
    <w:rsid w:val="2F3AEAED"/>
    <w:rsid w:val="2F3B41AF"/>
    <w:rsid w:val="2F3BB20D"/>
    <w:rsid w:val="2F3C65E5"/>
    <w:rsid w:val="2F427DB3"/>
    <w:rsid w:val="2F42A0D2"/>
    <w:rsid w:val="2F44216B"/>
    <w:rsid w:val="2F4673AF"/>
    <w:rsid w:val="2F46A1B2"/>
    <w:rsid w:val="2F474F57"/>
    <w:rsid w:val="2F479BAF"/>
    <w:rsid w:val="2F4902D8"/>
    <w:rsid w:val="2F49963C"/>
    <w:rsid w:val="2F4E011A"/>
    <w:rsid w:val="2F4E28E5"/>
    <w:rsid w:val="2F4EBF0D"/>
    <w:rsid w:val="2F4FD7BA"/>
    <w:rsid w:val="2F4FE9D0"/>
    <w:rsid w:val="2F5008E1"/>
    <w:rsid w:val="2F53F90A"/>
    <w:rsid w:val="2F58652F"/>
    <w:rsid w:val="2F594B58"/>
    <w:rsid w:val="2F5A30C0"/>
    <w:rsid w:val="2F5D1631"/>
    <w:rsid w:val="2F5DA845"/>
    <w:rsid w:val="2F6086C1"/>
    <w:rsid w:val="2F60DE9C"/>
    <w:rsid w:val="2F6204D0"/>
    <w:rsid w:val="2F631E38"/>
    <w:rsid w:val="2F64A25E"/>
    <w:rsid w:val="2F68EF96"/>
    <w:rsid w:val="2F68F746"/>
    <w:rsid w:val="2F705BCC"/>
    <w:rsid w:val="2F712AF7"/>
    <w:rsid w:val="2F73536E"/>
    <w:rsid w:val="2F7396C8"/>
    <w:rsid w:val="2F763AD3"/>
    <w:rsid w:val="2F769AEB"/>
    <w:rsid w:val="2F797CC8"/>
    <w:rsid w:val="2F7CFDBD"/>
    <w:rsid w:val="2F7D646F"/>
    <w:rsid w:val="2F842A1A"/>
    <w:rsid w:val="2F85C432"/>
    <w:rsid w:val="2F864892"/>
    <w:rsid w:val="2F871332"/>
    <w:rsid w:val="2F88496F"/>
    <w:rsid w:val="2F892FD1"/>
    <w:rsid w:val="2F8D4F19"/>
    <w:rsid w:val="2F8D5FFC"/>
    <w:rsid w:val="2F90980F"/>
    <w:rsid w:val="2F9590C9"/>
    <w:rsid w:val="2F959D0A"/>
    <w:rsid w:val="2F95ECC6"/>
    <w:rsid w:val="2F961C37"/>
    <w:rsid w:val="2F97F307"/>
    <w:rsid w:val="2F99B873"/>
    <w:rsid w:val="2F99BA24"/>
    <w:rsid w:val="2F9C54E2"/>
    <w:rsid w:val="2F9EB46C"/>
    <w:rsid w:val="2FA20732"/>
    <w:rsid w:val="2FA225E3"/>
    <w:rsid w:val="2FA40253"/>
    <w:rsid w:val="2FA63E28"/>
    <w:rsid w:val="2FA64F31"/>
    <w:rsid w:val="2FA69AF9"/>
    <w:rsid w:val="2FA8B3DC"/>
    <w:rsid w:val="2FA9A93D"/>
    <w:rsid w:val="2FAA64E6"/>
    <w:rsid w:val="2FAD40DF"/>
    <w:rsid w:val="2FAD54B3"/>
    <w:rsid w:val="2FAF458B"/>
    <w:rsid w:val="2FAF5945"/>
    <w:rsid w:val="2FB09136"/>
    <w:rsid w:val="2FB143D0"/>
    <w:rsid w:val="2FB2F798"/>
    <w:rsid w:val="2FB3FAD6"/>
    <w:rsid w:val="2FB4D343"/>
    <w:rsid w:val="2FB7EC92"/>
    <w:rsid w:val="2FB913C8"/>
    <w:rsid w:val="2FB97DAF"/>
    <w:rsid w:val="2FBA1888"/>
    <w:rsid w:val="2FBB2DD3"/>
    <w:rsid w:val="2FBF074D"/>
    <w:rsid w:val="2FC00410"/>
    <w:rsid w:val="2FC0D512"/>
    <w:rsid w:val="2FC27F23"/>
    <w:rsid w:val="2FC3A648"/>
    <w:rsid w:val="2FC6535C"/>
    <w:rsid w:val="2FC751FB"/>
    <w:rsid w:val="2FC7A0F9"/>
    <w:rsid w:val="2FC88942"/>
    <w:rsid w:val="2FCA740B"/>
    <w:rsid w:val="2FCB0C20"/>
    <w:rsid w:val="2FCD8520"/>
    <w:rsid w:val="2FCF1E44"/>
    <w:rsid w:val="2FD03DE1"/>
    <w:rsid w:val="2FD0AB63"/>
    <w:rsid w:val="2FD3876E"/>
    <w:rsid w:val="2FD3E6BF"/>
    <w:rsid w:val="2FD5753A"/>
    <w:rsid w:val="2FD8E090"/>
    <w:rsid w:val="2FD9B0D6"/>
    <w:rsid w:val="2FDB0410"/>
    <w:rsid w:val="2FDD0A88"/>
    <w:rsid w:val="2FDD2028"/>
    <w:rsid w:val="2FE2127D"/>
    <w:rsid w:val="2FE3C5F9"/>
    <w:rsid w:val="2FE6E7D3"/>
    <w:rsid w:val="2FE81419"/>
    <w:rsid w:val="2FEA4A92"/>
    <w:rsid w:val="2FEE253F"/>
    <w:rsid w:val="2FF05C75"/>
    <w:rsid w:val="2FF12378"/>
    <w:rsid w:val="2FF614C0"/>
    <w:rsid w:val="2FFA1B80"/>
    <w:rsid w:val="2FFA9778"/>
    <w:rsid w:val="2FFB6781"/>
    <w:rsid w:val="2FFB9B51"/>
    <w:rsid w:val="2FFC46CD"/>
    <w:rsid w:val="2FFD5C88"/>
    <w:rsid w:val="2FFDA9F7"/>
    <w:rsid w:val="2FFE7CAD"/>
    <w:rsid w:val="2FFF464F"/>
    <w:rsid w:val="3003EFB4"/>
    <w:rsid w:val="3003FFF1"/>
    <w:rsid w:val="30046ECF"/>
    <w:rsid w:val="300496C0"/>
    <w:rsid w:val="3004A7FB"/>
    <w:rsid w:val="3005466D"/>
    <w:rsid w:val="3007728C"/>
    <w:rsid w:val="3008792D"/>
    <w:rsid w:val="3008CDC4"/>
    <w:rsid w:val="300A7648"/>
    <w:rsid w:val="300ADE88"/>
    <w:rsid w:val="300AF542"/>
    <w:rsid w:val="300B30C6"/>
    <w:rsid w:val="300BA3DE"/>
    <w:rsid w:val="300C3752"/>
    <w:rsid w:val="300C91F4"/>
    <w:rsid w:val="300CF7EB"/>
    <w:rsid w:val="300EE558"/>
    <w:rsid w:val="300F5F75"/>
    <w:rsid w:val="30101F9B"/>
    <w:rsid w:val="3017D8C7"/>
    <w:rsid w:val="301B3700"/>
    <w:rsid w:val="301E89EF"/>
    <w:rsid w:val="30216F93"/>
    <w:rsid w:val="3021AE8F"/>
    <w:rsid w:val="30243E53"/>
    <w:rsid w:val="302585E8"/>
    <w:rsid w:val="3026A1E4"/>
    <w:rsid w:val="3027CFB6"/>
    <w:rsid w:val="3028B0E5"/>
    <w:rsid w:val="302A42C8"/>
    <w:rsid w:val="302B0E68"/>
    <w:rsid w:val="302CAEC8"/>
    <w:rsid w:val="302CBE32"/>
    <w:rsid w:val="302E3661"/>
    <w:rsid w:val="302F6DF8"/>
    <w:rsid w:val="3030168A"/>
    <w:rsid w:val="30311148"/>
    <w:rsid w:val="3031434B"/>
    <w:rsid w:val="30330FEF"/>
    <w:rsid w:val="303568AF"/>
    <w:rsid w:val="30397D5E"/>
    <w:rsid w:val="303CCF68"/>
    <w:rsid w:val="303D247D"/>
    <w:rsid w:val="303D8BA5"/>
    <w:rsid w:val="303DCFF8"/>
    <w:rsid w:val="303E3D07"/>
    <w:rsid w:val="303FCAF1"/>
    <w:rsid w:val="3040F9A5"/>
    <w:rsid w:val="3042C0F2"/>
    <w:rsid w:val="3042CA4C"/>
    <w:rsid w:val="30434A66"/>
    <w:rsid w:val="30435558"/>
    <w:rsid w:val="304475B6"/>
    <w:rsid w:val="304925BE"/>
    <w:rsid w:val="30495B9F"/>
    <w:rsid w:val="304A4D3C"/>
    <w:rsid w:val="304AAC2C"/>
    <w:rsid w:val="304DACA5"/>
    <w:rsid w:val="30504CB8"/>
    <w:rsid w:val="30519C6C"/>
    <w:rsid w:val="30555C07"/>
    <w:rsid w:val="3055C9D9"/>
    <w:rsid w:val="30563455"/>
    <w:rsid w:val="3056950A"/>
    <w:rsid w:val="3057FDA4"/>
    <w:rsid w:val="305A06D3"/>
    <w:rsid w:val="305AE814"/>
    <w:rsid w:val="305DBDC9"/>
    <w:rsid w:val="305DF310"/>
    <w:rsid w:val="305EA0CC"/>
    <w:rsid w:val="3061C3B8"/>
    <w:rsid w:val="30631E30"/>
    <w:rsid w:val="306343DF"/>
    <w:rsid w:val="306532BA"/>
    <w:rsid w:val="3065DA31"/>
    <w:rsid w:val="3067D581"/>
    <w:rsid w:val="3069B527"/>
    <w:rsid w:val="306EFA89"/>
    <w:rsid w:val="3070537F"/>
    <w:rsid w:val="3077D63A"/>
    <w:rsid w:val="307C945C"/>
    <w:rsid w:val="307CC6EE"/>
    <w:rsid w:val="307D3AA6"/>
    <w:rsid w:val="307D564F"/>
    <w:rsid w:val="307FE6C6"/>
    <w:rsid w:val="3080D3DF"/>
    <w:rsid w:val="3080F2F5"/>
    <w:rsid w:val="30810878"/>
    <w:rsid w:val="30811363"/>
    <w:rsid w:val="30816067"/>
    <w:rsid w:val="30820474"/>
    <w:rsid w:val="30834CD1"/>
    <w:rsid w:val="3087840F"/>
    <w:rsid w:val="3089E06B"/>
    <w:rsid w:val="308B51EC"/>
    <w:rsid w:val="308F0954"/>
    <w:rsid w:val="30904EC2"/>
    <w:rsid w:val="30909A77"/>
    <w:rsid w:val="309BDBC1"/>
    <w:rsid w:val="309C622B"/>
    <w:rsid w:val="309DB1EB"/>
    <w:rsid w:val="309E59F7"/>
    <w:rsid w:val="309EE05C"/>
    <w:rsid w:val="309F64C7"/>
    <w:rsid w:val="309FA44A"/>
    <w:rsid w:val="30A12086"/>
    <w:rsid w:val="30A31438"/>
    <w:rsid w:val="30A31C93"/>
    <w:rsid w:val="30A45621"/>
    <w:rsid w:val="30A57C4B"/>
    <w:rsid w:val="30A57E39"/>
    <w:rsid w:val="30A59452"/>
    <w:rsid w:val="30A81547"/>
    <w:rsid w:val="30A8D6EF"/>
    <w:rsid w:val="30AB5219"/>
    <w:rsid w:val="30AB799D"/>
    <w:rsid w:val="30AC7C2A"/>
    <w:rsid w:val="30AD1FB9"/>
    <w:rsid w:val="30B333FC"/>
    <w:rsid w:val="30B3D69E"/>
    <w:rsid w:val="30B4EAEE"/>
    <w:rsid w:val="30B53E62"/>
    <w:rsid w:val="30B96B03"/>
    <w:rsid w:val="30BA42FF"/>
    <w:rsid w:val="30BA4467"/>
    <w:rsid w:val="30BAEA94"/>
    <w:rsid w:val="30BE48EF"/>
    <w:rsid w:val="30BF4847"/>
    <w:rsid w:val="30BFA58B"/>
    <w:rsid w:val="30BFF888"/>
    <w:rsid w:val="30C0A143"/>
    <w:rsid w:val="30C171DB"/>
    <w:rsid w:val="30C1D2C8"/>
    <w:rsid w:val="30C266D2"/>
    <w:rsid w:val="30C5E25F"/>
    <w:rsid w:val="30C68244"/>
    <w:rsid w:val="30C9D972"/>
    <w:rsid w:val="30CA055C"/>
    <w:rsid w:val="30CBB045"/>
    <w:rsid w:val="30D0BF0C"/>
    <w:rsid w:val="30D3C958"/>
    <w:rsid w:val="30D41243"/>
    <w:rsid w:val="30D4487D"/>
    <w:rsid w:val="30D516B0"/>
    <w:rsid w:val="30D6001A"/>
    <w:rsid w:val="30D989B4"/>
    <w:rsid w:val="30DB0199"/>
    <w:rsid w:val="30DD7433"/>
    <w:rsid w:val="30DEC010"/>
    <w:rsid w:val="30E4D342"/>
    <w:rsid w:val="30E8A887"/>
    <w:rsid w:val="30EE8B29"/>
    <w:rsid w:val="30EF6EFB"/>
    <w:rsid w:val="30F0B5AD"/>
    <w:rsid w:val="30F58E8F"/>
    <w:rsid w:val="30F5D8AC"/>
    <w:rsid w:val="30FC0C7F"/>
    <w:rsid w:val="31076AF5"/>
    <w:rsid w:val="3109D165"/>
    <w:rsid w:val="310C9F38"/>
    <w:rsid w:val="310DB07C"/>
    <w:rsid w:val="310EB42F"/>
    <w:rsid w:val="310EB603"/>
    <w:rsid w:val="3110B268"/>
    <w:rsid w:val="3110E168"/>
    <w:rsid w:val="31114B98"/>
    <w:rsid w:val="31125F51"/>
    <w:rsid w:val="311292EC"/>
    <w:rsid w:val="3112C38B"/>
    <w:rsid w:val="3113C1A3"/>
    <w:rsid w:val="3113EC0C"/>
    <w:rsid w:val="311525AB"/>
    <w:rsid w:val="31167EB6"/>
    <w:rsid w:val="31168624"/>
    <w:rsid w:val="3116F8CF"/>
    <w:rsid w:val="311741EB"/>
    <w:rsid w:val="311921CA"/>
    <w:rsid w:val="311D2782"/>
    <w:rsid w:val="311E03D1"/>
    <w:rsid w:val="3122156A"/>
    <w:rsid w:val="31222057"/>
    <w:rsid w:val="31226B86"/>
    <w:rsid w:val="31276EE9"/>
    <w:rsid w:val="31278774"/>
    <w:rsid w:val="3129742E"/>
    <w:rsid w:val="312B99D3"/>
    <w:rsid w:val="312BF368"/>
    <w:rsid w:val="312DE5F7"/>
    <w:rsid w:val="312EC3A9"/>
    <w:rsid w:val="312F23CB"/>
    <w:rsid w:val="31308E2E"/>
    <w:rsid w:val="3132D68F"/>
    <w:rsid w:val="3135A99C"/>
    <w:rsid w:val="31360BC9"/>
    <w:rsid w:val="3136E1BF"/>
    <w:rsid w:val="3139108C"/>
    <w:rsid w:val="3139F8BB"/>
    <w:rsid w:val="313A7F4E"/>
    <w:rsid w:val="313A9F58"/>
    <w:rsid w:val="313C9E55"/>
    <w:rsid w:val="313FB441"/>
    <w:rsid w:val="313FF683"/>
    <w:rsid w:val="31424202"/>
    <w:rsid w:val="314458E3"/>
    <w:rsid w:val="31456F27"/>
    <w:rsid w:val="3148832C"/>
    <w:rsid w:val="314890A5"/>
    <w:rsid w:val="3148B09F"/>
    <w:rsid w:val="314C6628"/>
    <w:rsid w:val="314DC854"/>
    <w:rsid w:val="314EB952"/>
    <w:rsid w:val="314EE9F5"/>
    <w:rsid w:val="314F984D"/>
    <w:rsid w:val="31527448"/>
    <w:rsid w:val="3152DD30"/>
    <w:rsid w:val="31534B2D"/>
    <w:rsid w:val="3157BFCA"/>
    <w:rsid w:val="31595F50"/>
    <w:rsid w:val="3159E421"/>
    <w:rsid w:val="315B83C3"/>
    <w:rsid w:val="315CF549"/>
    <w:rsid w:val="315D989A"/>
    <w:rsid w:val="315DCC1E"/>
    <w:rsid w:val="315EC0A0"/>
    <w:rsid w:val="3161BA48"/>
    <w:rsid w:val="3163CE82"/>
    <w:rsid w:val="31651A74"/>
    <w:rsid w:val="31653229"/>
    <w:rsid w:val="31664034"/>
    <w:rsid w:val="31675E61"/>
    <w:rsid w:val="3168AC6E"/>
    <w:rsid w:val="31698DFF"/>
    <w:rsid w:val="316D2B5C"/>
    <w:rsid w:val="3179004E"/>
    <w:rsid w:val="3179B622"/>
    <w:rsid w:val="317A66D6"/>
    <w:rsid w:val="317ACADE"/>
    <w:rsid w:val="317C9036"/>
    <w:rsid w:val="317F9529"/>
    <w:rsid w:val="317F9F69"/>
    <w:rsid w:val="31823579"/>
    <w:rsid w:val="3183CC16"/>
    <w:rsid w:val="31849249"/>
    <w:rsid w:val="31885583"/>
    <w:rsid w:val="3188ED36"/>
    <w:rsid w:val="318DD17C"/>
    <w:rsid w:val="319191B1"/>
    <w:rsid w:val="31969BC8"/>
    <w:rsid w:val="31977541"/>
    <w:rsid w:val="3199AD60"/>
    <w:rsid w:val="319D75DC"/>
    <w:rsid w:val="319E42CA"/>
    <w:rsid w:val="31A05C36"/>
    <w:rsid w:val="31A68AA1"/>
    <w:rsid w:val="31A8287B"/>
    <w:rsid w:val="31A82E6E"/>
    <w:rsid w:val="31A84155"/>
    <w:rsid w:val="31A8732E"/>
    <w:rsid w:val="31A912B8"/>
    <w:rsid w:val="31A9429F"/>
    <w:rsid w:val="31AC91A8"/>
    <w:rsid w:val="31AE00F4"/>
    <w:rsid w:val="31AFE0BF"/>
    <w:rsid w:val="31B007BC"/>
    <w:rsid w:val="31B03A4D"/>
    <w:rsid w:val="31B25720"/>
    <w:rsid w:val="31B35874"/>
    <w:rsid w:val="31B526C5"/>
    <w:rsid w:val="31B8C7AD"/>
    <w:rsid w:val="31BB29A9"/>
    <w:rsid w:val="31BBD340"/>
    <w:rsid w:val="31BDEEE4"/>
    <w:rsid w:val="31BE859D"/>
    <w:rsid w:val="31BF6CC5"/>
    <w:rsid w:val="31C0C03A"/>
    <w:rsid w:val="31C6289F"/>
    <w:rsid w:val="31C820C7"/>
    <w:rsid w:val="31C8C5A4"/>
    <w:rsid w:val="31CC9693"/>
    <w:rsid w:val="31CCF3CC"/>
    <w:rsid w:val="31CE14C7"/>
    <w:rsid w:val="31CE9B3E"/>
    <w:rsid w:val="31CF3867"/>
    <w:rsid w:val="31CFA951"/>
    <w:rsid w:val="31D00E2F"/>
    <w:rsid w:val="31D3E5C8"/>
    <w:rsid w:val="31D42138"/>
    <w:rsid w:val="31D576D1"/>
    <w:rsid w:val="31D7E7E5"/>
    <w:rsid w:val="31E38487"/>
    <w:rsid w:val="31E734A8"/>
    <w:rsid w:val="31E91263"/>
    <w:rsid w:val="31E977F7"/>
    <w:rsid w:val="31E9D663"/>
    <w:rsid w:val="31EBFB88"/>
    <w:rsid w:val="31EC6290"/>
    <w:rsid w:val="31EC7CA1"/>
    <w:rsid w:val="31EEB6DA"/>
    <w:rsid w:val="31EEF8EA"/>
    <w:rsid w:val="31F0589C"/>
    <w:rsid w:val="31F3130E"/>
    <w:rsid w:val="31F3220F"/>
    <w:rsid w:val="31F525EC"/>
    <w:rsid w:val="31F6D369"/>
    <w:rsid w:val="31FB240A"/>
    <w:rsid w:val="31FB2AFE"/>
    <w:rsid w:val="31FDF311"/>
    <w:rsid w:val="31FE6971"/>
    <w:rsid w:val="31FEC92C"/>
    <w:rsid w:val="3203513A"/>
    <w:rsid w:val="32035DD8"/>
    <w:rsid w:val="32040BF2"/>
    <w:rsid w:val="32065FF5"/>
    <w:rsid w:val="32096398"/>
    <w:rsid w:val="320D37C5"/>
    <w:rsid w:val="320D37D1"/>
    <w:rsid w:val="320DF56B"/>
    <w:rsid w:val="320EA02A"/>
    <w:rsid w:val="3210BD67"/>
    <w:rsid w:val="32119814"/>
    <w:rsid w:val="32128205"/>
    <w:rsid w:val="3213B9C2"/>
    <w:rsid w:val="321B0AE3"/>
    <w:rsid w:val="321E3B4E"/>
    <w:rsid w:val="321E8310"/>
    <w:rsid w:val="321F5F73"/>
    <w:rsid w:val="3220A575"/>
    <w:rsid w:val="32221987"/>
    <w:rsid w:val="3228B9B2"/>
    <w:rsid w:val="322D63E2"/>
    <w:rsid w:val="322D8A37"/>
    <w:rsid w:val="322E2E10"/>
    <w:rsid w:val="322E83A4"/>
    <w:rsid w:val="32302FCE"/>
    <w:rsid w:val="32305D7C"/>
    <w:rsid w:val="3235D98F"/>
    <w:rsid w:val="32372C3F"/>
    <w:rsid w:val="32374D0F"/>
    <w:rsid w:val="3238EC58"/>
    <w:rsid w:val="3239A15B"/>
    <w:rsid w:val="323A2BE6"/>
    <w:rsid w:val="323DA26A"/>
    <w:rsid w:val="323FA545"/>
    <w:rsid w:val="3244F64A"/>
    <w:rsid w:val="3247389E"/>
    <w:rsid w:val="324914B3"/>
    <w:rsid w:val="324A2479"/>
    <w:rsid w:val="324BBEE4"/>
    <w:rsid w:val="324C4246"/>
    <w:rsid w:val="3252489C"/>
    <w:rsid w:val="3252BB04"/>
    <w:rsid w:val="3252BB37"/>
    <w:rsid w:val="325389F0"/>
    <w:rsid w:val="3253BE98"/>
    <w:rsid w:val="32544EEB"/>
    <w:rsid w:val="3255E705"/>
    <w:rsid w:val="32574076"/>
    <w:rsid w:val="32588937"/>
    <w:rsid w:val="325B68B5"/>
    <w:rsid w:val="325C9EC6"/>
    <w:rsid w:val="325F059F"/>
    <w:rsid w:val="325F6101"/>
    <w:rsid w:val="32604C68"/>
    <w:rsid w:val="32611086"/>
    <w:rsid w:val="32619E59"/>
    <w:rsid w:val="326357C4"/>
    <w:rsid w:val="3263B295"/>
    <w:rsid w:val="3264D088"/>
    <w:rsid w:val="32682EB3"/>
    <w:rsid w:val="32689D6E"/>
    <w:rsid w:val="326BF9A8"/>
    <w:rsid w:val="327383F8"/>
    <w:rsid w:val="32760E2F"/>
    <w:rsid w:val="32780B1C"/>
    <w:rsid w:val="327A0F16"/>
    <w:rsid w:val="327A1335"/>
    <w:rsid w:val="327A6CCD"/>
    <w:rsid w:val="327B3C99"/>
    <w:rsid w:val="32846D33"/>
    <w:rsid w:val="32847F52"/>
    <w:rsid w:val="3285364E"/>
    <w:rsid w:val="32863452"/>
    <w:rsid w:val="328640E0"/>
    <w:rsid w:val="3287A204"/>
    <w:rsid w:val="32896E6E"/>
    <w:rsid w:val="328B4128"/>
    <w:rsid w:val="328BFD3A"/>
    <w:rsid w:val="328EC2F7"/>
    <w:rsid w:val="328FF79A"/>
    <w:rsid w:val="3294563D"/>
    <w:rsid w:val="329521AA"/>
    <w:rsid w:val="3295904F"/>
    <w:rsid w:val="32979A98"/>
    <w:rsid w:val="3298115E"/>
    <w:rsid w:val="329F51F3"/>
    <w:rsid w:val="329F65CD"/>
    <w:rsid w:val="32A72752"/>
    <w:rsid w:val="32A7B370"/>
    <w:rsid w:val="32AA339E"/>
    <w:rsid w:val="32ABBFE9"/>
    <w:rsid w:val="32ABD168"/>
    <w:rsid w:val="32ADBFC6"/>
    <w:rsid w:val="32ADDEE7"/>
    <w:rsid w:val="32AF0AFE"/>
    <w:rsid w:val="32AF29A1"/>
    <w:rsid w:val="32AFBF2E"/>
    <w:rsid w:val="32B32B7B"/>
    <w:rsid w:val="32B36BA4"/>
    <w:rsid w:val="32B751E6"/>
    <w:rsid w:val="32B8CED4"/>
    <w:rsid w:val="32B94953"/>
    <w:rsid w:val="32BA2D16"/>
    <w:rsid w:val="32BAFCFB"/>
    <w:rsid w:val="32BB81D3"/>
    <w:rsid w:val="32BE94E0"/>
    <w:rsid w:val="32BEDA7B"/>
    <w:rsid w:val="32C20E91"/>
    <w:rsid w:val="32C24D5C"/>
    <w:rsid w:val="32C28E90"/>
    <w:rsid w:val="32C2CC2A"/>
    <w:rsid w:val="32C4E858"/>
    <w:rsid w:val="32C6E4D5"/>
    <w:rsid w:val="32C6E6E4"/>
    <w:rsid w:val="32CAC3A3"/>
    <w:rsid w:val="32CC12A8"/>
    <w:rsid w:val="32CC477A"/>
    <w:rsid w:val="32CD8F46"/>
    <w:rsid w:val="32CDD912"/>
    <w:rsid w:val="32CEC64F"/>
    <w:rsid w:val="32D0291F"/>
    <w:rsid w:val="32D06784"/>
    <w:rsid w:val="32D0C499"/>
    <w:rsid w:val="32D54FE5"/>
    <w:rsid w:val="32D72AA8"/>
    <w:rsid w:val="32DB6DD0"/>
    <w:rsid w:val="32DDE450"/>
    <w:rsid w:val="32DED9A9"/>
    <w:rsid w:val="32DFA6EF"/>
    <w:rsid w:val="32E040D0"/>
    <w:rsid w:val="32E111D8"/>
    <w:rsid w:val="32E3558C"/>
    <w:rsid w:val="32E58357"/>
    <w:rsid w:val="32E845CB"/>
    <w:rsid w:val="32E871CC"/>
    <w:rsid w:val="32EC6988"/>
    <w:rsid w:val="32ECBA20"/>
    <w:rsid w:val="32EDF341"/>
    <w:rsid w:val="32F12828"/>
    <w:rsid w:val="32F1594F"/>
    <w:rsid w:val="32F26268"/>
    <w:rsid w:val="32F29EA1"/>
    <w:rsid w:val="32F2CA79"/>
    <w:rsid w:val="32F37B74"/>
    <w:rsid w:val="32F43D17"/>
    <w:rsid w:val="32F442CC"/>
    <w:rsid w:val="32F5172D"/>
    <w:rsid w:val="32F6987A"/>
    <w:rsid w:val="32F90D31"/>
    <w:rsid w:val="32FB630D"/>
    <w:rsid w:val="32FB835B"/>
    <w:rsid w:val="32FBEE31"/>
    <w:rsid w:val="32FCC681"/>
    <w:rsid w:val="32FD63CE"/>
    <w:rsid w:val="3300907E"/>
    <w:rsid w:val="3300B886"/>
    <w:rsid w:val="33027DDF"/>
    <w:rsid w:val="3303F6F3"/>
    <w:rsid w:val="33065ACD"/>
    <w:rsid w:val="330972F9"/>
    <w:rsid w:val="330C6EC3"/>
    <w:rsid w:val="330D8E23"/>
    <w:rsid w:val="330F1F74"/>
    <w:rsid w:val="330F5226"/>
    <w:rsid w:val="331360A9"/>
    <w:rsid w:val="33154D78"/>
    <w:rsid w:val="3315C3BF"/>
    <w:rsid w:val="33168DA7"/>
    <w:rsid w:val="331A2AAD"/>
    <w:rsid w:val="331F94C1"/>
    <w:rsid w:val="33205849"/>
    <w:rsid w:val="3321F485"/>
    <w:rsid w:val="33224177"/>
    <w:rsid w:val="332283BF"/>
    <w:rsid w:val="3323BB45"/>
    <w:rsid w:val="33297D38"/>
    <w:rsid w:val="332B82D1"/>
    <w:rsid w:val="332C4E87"/>
    <w:rsid w:val="332CEEDF"/>
    <w:rsid w:val="332FECFB"/>
    <w:rsid w:val="333193F8"/>
    <w:rsid w:val="333483D7"/>
    <w:rsid w:val="333570CA"/>
    <w:rsid w:val="333948BB"/>
    <w:rsid w:val="33395507"/>
    <w:rsid w:val="333B5BC2"/>
    <w:rsid w:val="333F3E20"/>
    <w:rsid w:val="3341016F"/>
    <w:rsid w:val="334164D9"/>
    <w:rsid w:val="3341F620"/>
    <w:rsid w:val="33421786"/>
    <w:rsid w:val="334416BB"/>
    <w:rsid w:val="33446C16"/>
    <w:rsid w:val="3345037B"/>
    <w:rsid w:val="3345862D"/>
    <w:rsid w:val="33476BE2"/>
    <w:rsid w:val="3347CB34"/>
    <w:rsid w:val="3349792C"/>
    <w:rsid w:val="334A5AAA"/>
    <w:rsid w:val="334CEED5"/>
    <w:rsid w:val="334D72D8"/>
    <w:rsid w:val="334FA8A6"/>
    <w:rsid w:val="335013AE"/>
    <w:rsid w:val="3350E11C"/>
    <w:rsid w:val="3351FF42"/>
    <w:rsid w:val="3354FC21"/>
    <w:rsid w:val="33561B1D"/>
    <w:rsid w:val="33574392"/>
    <w:rsid w:val="335AAAB0"/>
    <w:rsid w:val="335B1A61"/>
    <w:rsid w:val="335B377E"/>
    <w:rsid w:val="335D9BD9"/>
    <w:rsid w:val="3362403D"/>
    <w:rsid w:val="3365342F"/>
    <w:rsid w:val="33690D46"/>
    <w:rsid w:val="336A5445"/>
    <w:rsid w:val="336A99ED"/>
    <w:rsid w:val="336AF74B"/>
    <w:rsid w:val="336CD5EE"/>
    <w:rsid w:val="336D9E9C"/>
    <w:rsid w:val="336DE152"/>
    <w:rsid w:val="336EB214"/>
    <w:rsid w:val="336EF274"/>
    <w:rsid w:val="33704348"/>
    <w:rsid w:val="33744418"/>
    <w:rsid w:val="337475DB"/>
    <w:rsid w:val="33749F47"/>
    <w:rsid w:val="3377C360"/>
    <w:rsid w:val="337812DA"/>
    <w:rsid w:val="337A6A35"/>
    <w:rsid w:val="337BE29A"/>
    <w:rsid w:val="337C2240"/>
    <w:rsid w:val="337E1E75"/>
    <w:rsid w:val="337E92C6"/>
    <w:rsid w:val="337EF05B"/>
    <w:rsid w:val="33823969"/>
    <w:rsid w:val="3386EDCB"/>
    <w:rsid w:val="33873923"/>
    <w:rsid w:val="33879C21"/>
    <w:rsid w:val="338878A0"/>
    <w:rsid w:val="338A744F"/>
    <w:rsid w:val="338AF2BA"/>
    <w:rsid w:val="338CC4DC"/>
    <w:rsid w:val="338FCB13"/>
    <w:rsid w:val="339035A7"/>
    <w:rsid w:val="33903F02"/>
    <w:rsid w:val="33931F0C"/>
    <w:rsid w:val="33958DD3"/>
    <w:rsid w:val="3395CA66"/>
    <w:rsid w:val="3396E7B1"/>
    <w:rsid w:val="3398707D"/>
    <w:rsid w:val="339DDD08"/>
    <w:rsid w:val="339EAAD0"/>
    <w:rsid w:val="339F1DEE"/>
    <w:rsid w:val="339F544C"/>
    <w:rsid w:val="33A02645"/>
    <w:rsid w:val="33A137D6"/>
    <w:rsid w:val="33A61C90"/>
    <w:rsid w:val="33A6793A"/>
    <w:rsid w:val="33A6B4D2"/>
    <w:rsid w:val="33A955F2"/>
    <w:rsid w:val="33AA2E6F"/>
    <w:rsid w:val="33ABD362"/>
    <w:rsid w:val="33AD20D3"/>
    <w:rsid w:val="33AEE75A"/>
    <w:rsid w:val="33B212D6"/>
    <w:rsid w:val="33B3393F"/>
    <w:rsid w:val="33B3C548"/>
    <w:rsid w:val="33B4BF8A"/>
    <w:rsid w:val="33B58125"/>
    <w:rsid w:val="33B692ED"/>
    <w:rsid w:val="33B6C6C8"/>
    <w:rsid w:val="33B8B06F"/>
    <w:rsid w:val="33B90E2E"/>
    <w:rsid w:val="33B93DBB"/>
    <w:rsid w:val="33B95B6D"/>
    <w:rsid w:val="33BA5881"/>
    <w:rsid w:val="33BAFC73"/>
    <w:rsid w:val="33BD1A49"/>
    <w:rsid w:val="33BDFA89"/>
    <w:rsid w:val="33C0987C"/>
    <w:rsid w:val="33C0C9B1"/>
    <w:rsid w:val="33C1A8F6"/>
    <w:rsid w:val="33C27B92"/>
    <w:rsid w:val="33C3F0E2"/>
    <w:rsid w:val="33C3F648"/>
    <w:rsid w:val="33C3FF9C"/>
    <w:rsid w:val="33C62326"/>
    <w:rsid w:val="33C8F2E6"/>
    <w:rsid w:val="33CDA12B"/>
    <w:rsid w:val="33CE3077"/>
    <w:rsid w:val="33CF0CB0"/>
    <w:rsid w:val="33CFED33"/>
    <w:rsid w:val="33D3AE8E"/>
    <w:rsid w:val="33D3DE57"/>
    <w:rsid w:val="33D79C1E"/>
    <w:rsid w:val="33DA2EAE"/>
    <w:rsid w:val="33DD9018"/>
    <w:rsid w:val="33E0EB8D"/>
    <w:rsid w:val="33E157CD"/>
    <w:rsid w:val="33E3F3BA"/>
    <w:rsid w:val="33E6DDDA"/>
    <w:rsid w:val="33E9D9E0"/>
    <w:rsid w:val="33EA7C99"/>
    <w:rsid w:val="33EB10E0"/>
    <w:rsid w:val="33EC267E"/>
    <w:rsid w:val="33EC72DC"/>
    <w:rsid w:val="33EC9AAB"/>
    <w:rsid w:val="33ECEE70"/>
    <w:rsid w:val="33EDB0FE"/>
    <w:rsid w:val="33EE63FE"/>
    <w:rsid w:val="33EE7C44"/>
    <w:rsid w:val="33EF9BDA"/>
    <w:rsid w:val="33EFA872"/>
    <w:rsid w:val="33EFAC1C"/>
    <w:rsid w:val="33F18D1F"/>
    <w:rsid w:val="33F273AE"/>
    <w:rsid w:val="33F5FB5B"/>
    <w:rsid w:val="33F83BC4"/>
    <w:rsid w:val="33F88197"/>
    <w:rsid w:val="33F88AE9"/>
    <w:rsid w:val="33FA64D1"/>
    <w:rsid w:val="33FCAE07"/>
    <w:rsid w:val="33FDA61A"/>
    <w:rsid w:val="33FDBEC1"/>
    <w:rsid w:val="33FDD67B"/>
    <w:rsid w:val="34004BD3"/>
    <w:rsid w:val="3400E3A3"/>
    <w:rsid w:val="34023CCA"/>
    <w:rsid w:val="340A63A1"/>
    <w:rsid w:val="340AB6F5"/>
    <w:rsid w:val="340BDED5"/>
    <w:rsid w:val="340DE9F1"/>
    <w:rsid w:val="340E9918"/>
    <w:rsid w:val="341161D8"/>
    <w:rsid w:val="34136A06"/>
    <w:rsid w:val="3414E275"/>
    <w:rsid w:val="34168E28"/>
    <w:rsid w:val="34178B03"/>
    <w:rsid w:val="34198632"/>
    <w:rsid w:val="341ABA05"/>
    <w:rsid w:val="341B6D45"/>
    <w:rsid w:val="341C66A1"/>
    <w:rsid w:val="341CA5CD"/>
    <w:rsid w:val="341EA3F4"/>
    <w:rsid w:val="342001E4"/>
    <w:rsid w:val="342180A5"/>
    <w:rsid w:val="34222B80"/>
    <w:rsid w:val="34233BB6"/>
    <w:rsid w:val="34234DAB"/>
    <w:rsid w:val="342554CC"/>
    <w:rsid w:val="3425793E"/>
    <w:rsid w:val="342635C1"/>
    <w:rsid w:val="3426AAA2"/>
    <w:rsid w:val="34296CC7"/>
    <w:rsid w:val="3429E36B"/>
    <w:rsid w:val="342B3E80"/>
    <w:rsid w:val="342C6C42"/>
    <w:rsid w:val="342F3509"/>
    <w:rsid w:val="3431BFA5"/>
    <w:rsid w:val="3431C7BC"/>
    <w:rsid w:val="343337B2"/>
    <w:rsid w:val="3434116B"/>
    <w:rsid w:val="34359F09"/>
    <w:rsid w:val="34396A76"/>
    <w:rsid w:val="3439A744"/>
    <w:rsid w:val="343DC6E7"/>
    <w:rsid w:val="34403021"/>
    <w:rsid w:val="3440AD7B"/>
    <w:rsid w:val="3440D26B"/>
    <w:rsid w:val="344210DF"/>
    <w:rsid w:val="344588C6"/>
    <w:rsid w:val="3447A0D3"/>
    <w:rsid w:val="344B4EB2"/>
    <w:rsid w:val="344BC043"/>
    <w:rsid w:val="344CAAEE"/>
    <w:rsid w:val="344CF4E0"/>
    <w:rsid w:val="344D36A7"/>
    <w:rsid w:val="344E2A27"/>
    <w:rsid w:val="34529466"/>
    <w:rsid w:val="345297AA"/>
    <w:rsid w:val="3452BDFF"/>
    <w:rsid w:val="34545031"/>
    <w:rsid w:val="34550F51"/>
    <w:rsid w:val="34566A78"/>
    <w:rsid w:val="345855A6"/>
    <w:rsid w:val="345A65B3"/>
    <w:rsid w:val="345DD280"/>
    <w:rsid w:val="34606121"/>
    <w:rsid w:val="3460D0E3"/>
    <w:rsid w:val="3461307A"/>
    <w:rsid w:val="3464378B"/>
    <w:rsid w:val="34645F69"/>
    <w:rsid w:val="34649F0C"/>
    <w:rsid w:val="3466DF8A"/>
    <w:rsid w:val="346776B6"/>
    <w:rsid w:val="3468126D"/>
    <w:rsid w:val="3468B882"/>
    <w:rsid w:val="3468B9B1"/>
    <w:rsid w:val="346AC042"/>
    <w:rsid w:val="346B3302"/>
    <w:rsid w:val="346B3F06"/>
    <w:rsid w:val="346CE6D2"/>
    <w:rsid w:val="346D3CB0"/>
    <w:rsid w:val="346DD31B"/>
    <w:rsid w:val="34706FDC"/>
    <w:rsid w:val="347088FC"/>
    <w:rsid w:val="34713C8E"/>
    <w:rsid w:val="3471D815"/>
    <w:rsid w:val="3473B17D"/>
    <w:rsid w:val="347A2A3E"/>
    <w:rsid w:val="347AAD63"/>
    <w:rsid w:val="347AE66F"/>
    <w:rsid w:val="347B37A5"/>
    <w:rsid w:val="347B5636"/>
    <w:rsid w:val="347BA438"/>
    <w:rsid w:val="347C893F"/>
    <w:rsid w:val="347EB0F7"/>
    <w:rsid w:val="347F173E"/>
    <w:rsid w:val="3484FD2F"/>
    <w:rsid w:val="348576C4"/>
    <w:rsid w:val="34878070"/>
    <w:rsid w:val="348DDB8D"/>
    <w:rsid w:val="3494618E"/>
    <w:rsid w:val="3494ADE8"/>
    <w:rsid w:val="3494F2A3"/>
    <w:rsid w:val="3496BDD4"/>
    <w:rsid w:val="349A488C"/>
    <w:rsid w:val="349B84DD"/>
    <w:rsid w:val="349B9B26"/>
    <w:rsid w:val="349E3561"/>
    <w:rsid w:val="349F2FDB"/>
    <w:rsid w:val="34A1B5DB"/>
    <w:rsid w:val="34A2D012"/>
    <w:rsid w:val="34A2E4B5"/>
    <w:rsid w:val="34A3130F"/>
    <w:rsid w:val="34A3D2BB"/>
    <w:rsid w:val="34A3DE19"/>
    <w:rsid w:val="34A55747"/>
    <w:rsid w:val="34A78BB9"/>
    <w:rsid w:val="34A7DB01"/>
    <w:rsid w:val="34A7EAA0"/>
    <w:rsid w:val="34A7EDD5"/>
    <w:rsid w:val="34A83540"/>
    <w:rsid w:val="34AC72DA"/>
    <w:rsid w:val="34AF937C"/>
    <w:rsid w:val="34AFCD5B"/>
    <w:rsid w:val="34B3BE0F"/>
    <w:rsid w:val="34B5D265"/>
    <w:rsid w:val="34B630E8"/>
    <w:rsid w:val="34B97713"/>
    <w:rsid w:val="34BB244C"/>
    <w:rsid w:val="34BB29DB"/>
    <w:rsid w:val="34BB930F"/>
    <w:rsid w:val="34BEF47E"/>
    <w:rsid w:val="34C0B8DE"/>
    <w:rsid w:val="34C243CB"/>
    <w:rsid w:val="34C3F10D"/>
    <w:rsid w:val="34C60122"/>
    <w:rsid w:val="34C68972"/>
    <w:rsid w:val="34C6AF3F"/>
    <w:rsid w:val="34C95422"/>
    <w:rsid w:val="34CDAC45"/>
    <w:rsid w:val="34CDC827"/>
    <w:rsid w:val="34CFA6D9"/>
    <w:rsid w:val="34D077C5"/>
    <w:rsid w:val="34D112FC"/>
    <w:rsid w:val="34D1530D"/>
    <w:rsid w:val="34D2AF11"/>
    <w:rsid w:val="34D310C7"/>
    <w:rsid w:val="34D4F872"/>
    <w:rsid w:val="34D7248A"/>
    <w:rsid w:val="34D7B60F"/>
    <w:rsid w:val="34D7CF41"/>
    <w:rsid w:val="34D898E3"/>
    <w:rsid w:val="34D985BB"/>
    <w:rsid w:val="34DBAE59"/>
    <w:rsid w:val="34E043DA"/>
    <w:rsid w:val="34E1DA25"/>
    <w:rsid w:val="34E26607"/>
    <w:rsid w:val="34E26CD4"/>
    <w:rsid w:val="34E4BA7A"/>
    <w:rsid w:val="34E5BE91"/>
    <w:rsid w:val="34E63A37"/>
    <w:rsid w:val="34E79D10"/>
    <w:rsid w:val="34E83A73"/>
    <w:rsid w:val="34E84717"/>
    <w:rsid w:val="34E8D9EB"/>
    <w:rsid w:val="34EA3B04"/>
    <w:rsid w:val="34EABAE3"/>
    <w:rsid w:val="34EB23F9"/>
    <w:rsid w:val="34ECBE08"/>
    <w:rsid w:val="34ED4C7C"/>
    <w:rsid w:val="34EF7699"/>
    <w:rsid w:val="34F0645A"/>
    <w:rsid w:val="34F14875"/>
    <w:rsid w:val="34F5FC62"/>
    <w:rsid w:val="34F81AD3"/>
    <w:rsid w:val="34F96E5B"/>
    <w:rsid w:val="34FE973B"/>
    <w:rsid w:val="34FEFE6F"/>
    <w:rsid w:val="34FF51C4"/>
    <w:rsid w:val="350072F0"/>
    <w:rsid w:val="3500D576"/>
    <w:rsid w:val="3502DB9E"/>
    <w:rsid w:val="350439A4"/>
    <w:rsid w:val="35062F6B"/>
    <w:rsid w:val="350841C6"/>
    <w:rsid w:val="350AD619"/>
    <w:rsid w:val="350DCA6C"/>
    <w:rsid w:val="350EEC08"/>
    <w:rsid w:val="35113E88"/>
    <w:rsid w:val="35114757"/>
    <w:rsid w:val="3511D441"/>
    <w:rsid w:val="35174158"/>
    <w:rsid w:val="3517D5BC"/>
    <w:rsid w:val="35181BBA"/>
    <w:rsid w:val="351A0CCE"/>
    <w:rsid w:val="351B297E"/>
    <w:rsid w:val="351D2903"/>
    <w:rsid w:val="351F5B68"/>
    <w:rsid w:val="351F6610"/>
    <w:rsid w:val="351F8594"/>
    <w:rsid w:val="35299B8A"/>
    <w:rsid w:val="3529EC89"/>
    <w:rsid w:val="352C84EC"/>
    <w:rsid w:val="35300E0C"/>
    <w:rsid w:val="353082E6"/>
    <w:rsid w:val="353307CA"/>
    <w:rsid w:val="35357853"/>
    <w:rsid w:val="3535C04E"/>
    <w:rsid w:val="35380178"/>
    <w:rsid w:val="353A47AF"/>
    <w:rsid w:val="353B4D12"/>
    <w:rsid w:val="353F7C0A"/>
    <w:rsid w:val="35400D9A"/>
    <w:rsid w:val="35404911"/>
    <w:rsid w:val="3542F765"/>
    <w:rsid w:val="35464208"/>
    <w:rsid w:val="35479CAE"/>
    <w:rsid w:val="35485CF6"/>
    <w:rsid w:val="354955C1"/>
    <w:rsid w:val="3549C13A"/>
    <w:rsid w:val="3549E7D5"/>
    <w:rsid w:val="354B27D0"/>
    <w:rsid w:val="354D23B5"/>
    <w:rsid w:val="354DC7CE"/>
    <w:rsid w:val="354E02C5"/>
    <w:rsid w:val="3550DE31"/>
    <w:rsid w:val="35521167"/>
    <w:rsid w:val="3553526C"/>
    <w:rsid w:val="3556120F"/>
    <w:rsid w:val="355946B7"/>
    <w:rsid w:val="3559E868"/>
    <w:rsid w:val="355A55DD"/>
    <w:rsid w:val="355D418A"/>
    <w:rsid w:val="35613672"/>
    <w:rsid w:val="356154A9"/>
    <w:rsid w:val="3562305A"/>
    <w:rsid w:val="356287B4"/>
    <w:rsid w:val="3562E89B"/>
    <w:rsid w:val="35632B23"/>
    <w:rsid w:val="35635302"/>
    <w:rsid w:val="35645E88"/>
    <w:rsid w:val="356513A0"/>
    <w:rsid w:val="35658036"/>
    <w:rsid w:val="3565E692"/>
    <w:rsid w:val="356719B3"/>
    <w:rsid w:val="356794A5"/>
    <w:rsid w:val="3567E42B"/>
    <w:rsid w:val="35686133"/>
    <w:rsid w:val="356A4711"/>
    <w:rsid w:val="356C7747"/>
    <w:rsid w:val="3572E474"/>
    <w:rsid w:val="357797A7"/>
    <w:rsid w:val="3577C49D"/>
    <w:rsid w:val="35786196"/>
    <w:rsid w:val="357B1E5B"/>
    <w:rsid w:val="357E2D7C"/>
    <w:rsid w:val="357F940F"/>
    <w:rsid w:val="357FF3DD"/>
    <w:rsid w:val="35803CF9"/>
    <w:rsid w:val="35806B36"/>
    <w:rsid w:val="35820E59"/>
    <w:rsid w:val="3582C17C"/>
    <w:rsid w:val="35839324"/>
    <w:rsid w:val="35860BBE"/>
    <w:rsid w:val="35875AE2"/>
    <w:rsid w:val="3588D78D"/>
    <w:rsid w:val="358AE648"/>
    <w:rsid w:val="358C1580"/>
    <w:rsid w:val="358D7A94"/>
    <w:rsid w:val="358E2438"/>
    <w:rsid w:val="3590ED37"/>
    <w:rsid w:val="35914D48"/>
    <w:rsid w:val="35916D12"/>
    <w:rsid w:val="3591EAD5"/>
    <w:rsid w:val="3593144E"/>
    <w:rsid w:val="35974D16"/>
    <w:rsid w:val="359815C8"/>
    <w:rsid w:val="359EE6D1"/>
    <w:rsid w:val="35A085D4"/>
    <w:rsid w:val="35A28998"/>
    <w:rsid w:val="35A470A8"/>
    <w:rsid w:val="35A473AB"/>
    <w:rsid w:val="35A6FD84"/>
    <w:rsid w:val="35A7C1FA"/>
    <w:rsid w:val="35A86E98"/>
    <w:rsid w:val="35A91EB7"/>
    <w:rsid w:val="35ABF2CB"/>
    <w:rsid w:val="35AC1D98"/>
    <w:rsid w:val="35AD1A4F"/>
    <w:rsid w:val="35AE9A9F"/>
    <w:rsid w:val="35AEA897"/>
    <w:rsid w:val="35AEF123"/>
    <w:rsid w:val="35AF9AF5"/>
    <w:rsid w:val="35B128BD"/>
    <w:rsid w:val="35B1C2CB"/>
    <w:rsid w:val="35B40DD0"/>
    <w:rsid w:val="35B8ADD7"/>
    <w:rsid w:val="35B8F140"/>
    <w:rsid w:val="35B91021"/>
    <w:rsid w:val="35BE6DB9"/>
    <w:rsid w:val="35BFE808"/>
    <w:rsid w:val="35C1BB25"/>
    <w:rsid w:val="35C1E5C9"/>
    <w:rsid w:val="35C467C4"/>
    <w:rsid w:val="35C5009B"/>
    <w:rsid w:val="35C5DE01"/>
    <w:rsid w:val="35C864F3"/>
    <w:rsid w:val="35CD46F0"/>
    <w:rsid w:val="35CF8C64"/>
    <w:rsid w:val="35D47B70"/>
    <w:rsid w:val="35D558FE"/>
    <w:rsid w:val="35D9707C"/>
    <w:rsid w:val="35D9A087"/>
    <w:rsid w:val="35DBDAF2"/>
    <w:rsid w:val="35DC6432"/>
    <w:rsid w:val="35DD5BD9"/>
    <w:rsid w:val="35DE0D8C"/>
    <w:rsid w:val="35E542FC"/>
    <w:rsid w:val="35E5A6F0"/>
    <w:rsid w:val="35E76DBE"/>
    <w:rsid w:val="35E7D0E1"/>
    <w:rsid w:val="35E94BB1"/>
    <w:rsid w:val="35EB4AB7"/>
    <w:rsid w:val="35EBD225"/>
    <w:rsid w:val="35EC95F4"/>
    <w:rsid w:val="35EE74FD"/>
    <w:rsid w:val="35EEA261"/>
    <w:rsid w:val="35EF25C7"/>
    <w:rsid w:val="35FA9E90"/>
    <w:rsid w:val="35FB0CF5"/>
    <w:rsid w:val="35FDD2D7"/>
    <w:rsid w:val="35FE0CFE"/>
    <w:rsid w:val="35FED7CA"/>
    <w:rsid w:val="35FFAE60"/>
    <w:rsid w:val="35FFF2F7"/>
    <w:rsid w:val="36007C06"/>
    <w:rsid w:val="3603B180"/>
    <w:rsid w:val="3604C799"/>
    <w:rsid w:val="36067529"/>
    <w:rsid w:val="3607F86D"/>
    <w:rsid w:val="3608825D"/>
    <w:rsid w:val="360B5C51"/>
    <w:rsid w:val="360C60C5"/>
    <w:rsid w:val="360C61A7"/>
    <w:rsid w:val="360D8CF7"/>
    <w:rsid w:val="360DB2A7"/>
    <w:rsid w:val="360EE746"/>
    <w:rsid w:val="3610D5F0"/>
    <w:rsid w:val="3611226A"/>
    <w:rsid w:val="361322D8"/>
    <w:rsid w:val="3613D401"/>
    <w:rsid w:val="36147C5B"/>
    <w:rsid w:val="3617F795"/>
    <w:rsid w:val="3618623B"/>
    <w:rsid w:val="361C93F7"/>
    <w:rsid w:val="361DD0E9"/>
    <w:rsid w:val="361E2241"/>
    <w:rsid w:val="361E27DD"/>
    <w:rsid w:val="361F113C"/>
    <w:rsid w:val="3621F1AF"/>
    <w:rsid w:val="362203A9"/>
    <w:rsid w:val="36220499"/>
    <w:rsid w:val="3622D58E"/>
    <w:rsid w:val="362369E2"/>
    <w:rsid w:val="3625AA2B"/>
    <w:rsid w:val="362783AE"/>
    <w:rsid w:val="362AC9DB"/>
    <w:rsid w:val="362CD3F5"/>
    <w:rsid w:val="362D213E"/>
    <w:rsid w:val="3631A43C"/>
    <w:rsid w:val="3631E82B"/>
    <w:rsid w:val="3631F3F3"/>
    <w:rsid w:val="3633B671"/>
    <w:rsid w:val="3633E6B3"/>
    <w:rsid w:val="3634B4D3"/>
    <w:rsid w:val="36371E4E"/>
    <w:rsid w:val="36380E1E"/>
    <w:rsid w:val="36394A9D"/>
    <w:rsid w:val="36397D6F"/>
    <w:rsid w:val="363A92AE"/>
    <w:rsid w:val="363E7B89"/>
    <w:rsid w:val="363EA6F5"/>
    <w:rsid w:val="363F7518"/>
    <w:rsid w:val="36403D43"/>
    <w:rsid w:val="3640FAD1"/>
    <w:rsid w:val="364708E7"/>
    <w:rsid w:val="3647AB8D"/>
    <w:rsid w:val="3648BC6C"/>
    <w:rsid w:val="364C97A2"/>
    <w:rsid w:val="364F7188"/>
    <w:rsid w:val="364F7BC3"/>
    <w:rsid w:val="36525202"/>
    <w:rsid w:val="3656DB3B"/>
    <w:rsid w:val="3656EFA5"/>
    <w:rsid w:val="365771AB"/>
    <w:rsid w:val="3657C462"/>
    <w:rsid w:val="3657C871"/>
    <w:rsid w:val="3657F7FD"/>
    <w:rsid w:val="365970F8"/>
    <w:rsid w:val="365BE693"/>
    <w:rsid w:val="365C5279"/>
    <w:rsid w:val="365C9960"/>
    <w:rsid w:val="365CAEC6"/>
    <w:rsid w:val="365E00BA"/>
    <w:rsid w:val="365F788C"/>
    <w:rsid w:val="36600F07"/>
    <w:rsid w:val="3661ACE6"/>
    <w:rsid w:val="36628B55"/>
    <w:rsid w:val="3666D223"/>
    <w:rsid w:val="366A7D98"/>
    <w:rsid w:val="366D4033"/>
    <w:rsid w:val="3670DB96"/>
    <w:rsid w:val="3673015D"/>
    <w:rsid w:val="36731D63"/>
    <w:rsid w:val="36748608"/>
    <w:rsid w:val="3676A53A"/>
    <w:rsid w:val="3678DDEB"/>
    <w:rsid w:val="36795D43"/>
    <w:rsid w:val="367B01C0"/>
    <w:rsid w:val="367CC7E0"/>
    <w:rsid w:val="367E88DC"/>
    <w:rsid w:val="3681DCD1"/>
    <w:rsid w:val="3685AEBD"/>
    <w:rsid w:val="3685CE46"/>
    <w:rsid w:val="3685E2B6"/>
    <w:rsid w:val="368D0ADC"/>
    <w:rsid w:val="368D91C6"/>
    <w:rsid w:val="368DC454"/>
    <w:rsid w:val="3690938F"/>
    <w:rsid w:val="3690ACBA"/>
    <w:rsid w:val="36961A7C"/>
    <w:rsid w:val="369673D2"/>
    <w:rsid w:val="369A4B19"/>
    <w:rsid w:val="369C5F72"/>
    <w:rsid w:val="369F03F2"/>
    <w:rsid w:val="36A06D90"/>
    <w:rsid w:val="36A11003"/>
    <w:rsid w:val="36A3E2FB"/>
    <w:rsid w:val="36A4F27B"/>
    <w:rsid w:val="36A6227C"/>
    <w:rsid w:val="36A76E80"/>
    <w:rsid w:val="36A83996"/>
    <w:rsid w:val="36AAFBD7"/>
    <w:rsid w:val="36ABFC07"/>
    <w:rsid w:val="36ADE6F3"/>
    <w:rsid w:val="36B0A75B"/>
    <w:rsid w:val="36B32FCD"/>
    <w:rsid w:val="36B6D849"/>
    <w:rsid w:val="36BA15B4"/>
    <w:rsid w:val="36BCA009"/>
    <w:rsid w:val="36BEE3F3"/>
    <w:rsid w:val="36C1301A"/>
    <w:rsid w:val="36C24FF8"/>
    <w:rsid w:val="36C36061"/>
    <w:rsid w:val="36C3FA52"/>
    <w:rsid w:val="36C400A1"/>
    <w:rsid w:val="36C4E6EC"/>
    <w:rsid w:val="36C6D7E1"/>
    <w:rsid w:val="36C7C7F5"/>
    <w:rsid w:val="36C80531"/>
    <w:rsid w:val="36C99C6B"/>
    <w:rsid w:val="36CCF780"/>
    <w:rsid w:val="36CD9351"/>
    <w:rsid w:val="36CE6228"/>
    <w:rsid w:val="36D0309D"/>
    <w:rsid w:val="36D183DC"/>
    <w:rsid w:val="36D3AF75"/>
    <w:rsid w:val="36D43A05"/>
    <w:rsid w:val="36D4D65C"/>
    <w:rsid w:val="36D8B51A"/>
    <w:rsid w:val="36DAD36B"/>
    <w:rsid w:val="36DB5BD3"/>
    <w:rsid w:val="36DE4DD2"/>
    <w:rsid w:val="36E05D85"/>
    <w:rsid w:val="36E40986"/>
    <w:rsid w:val="36E79331"/>
    <w:rsid w:val="36E9F019"/>
    <w:rsid w:val="36EA2BEA"/>
    <w:rsid w:val="36EEF4B5"/>
    <w:rsid w:val="36F327B7"/>
    <w:rsid w:val="36F442E6"/>
    <w:rsid w:val="36F5D01A"/>
    <w:rsid w:val="36F6E373"/>
    <w:rsid w:val="36F70CAE"/>
    <w:rsid w:val="36F89719"/>
    <w:rsid w:val="36F8A15D"/>
    <w:rsid w:val="36FA6A54"/>
    <w:rsid w:val="36FB706F"/>
    <w:rsid w:val="36FC387C"/>
    <w:rsid w:val="36FFDE88"/>
    <w:rsid w:val="370050CA"/>
    <w:rsid w:val="37031035"/>
    <w:rsid w:val="3705AF79"/>
    <w:rsid w:val="37064C6A"/>
    <w:rsid w:val="37093DFF"/>
    <w:rsid w:val="3709BF83"/>
    <w:rsid w:val="370AED9F"/>
    <w:rsid w:val="370D1398"/>
    <w:rsid w:val="370DE96C"/>
    <w:rsid w:val="370F4BFA"/>
    <w:rsid w:val="371079CD"/>
    <w:rsid w:val="37133AEC"/>
    <w:rsid w:val="3713A92F"/>
    <w:rsid w:val="37151612"/>
    <w:rsid w:val="371B66EF"/>
    <w:rsid w:val="371D7C52"/>
    <w:rsid w:val="371E2F3C"/>
    <w:rsid w:val="371E9A84"/>
    <w:rsid w:val="371ECF1F"/>
    <w:rsid w:val="371F542D"/>
    <w:rsid w:val="371FC9D0"/>
    <w:rsid w:val="3720073C"/>
    <w:rsid w:val="3720719A"/>
    <w:rsid w:val="3721AA63"/>
    <w:rsid w:val="3724CB6C"/>
    <w:rsid w:val="3727A704"/>
    <w:rsid w:val="37286B4A"/>
    <w:rsid w:val="372BC391"/>
    <w:rsid w:val="372E0377"/>
    <w:rsid w:val="372EE65E"/>
    <w:rsid w:val="373224CD"/>
    <w:rsid w:val="3733047F"/>
    <w:rsid w:val="3734C67C"/>
    <w:rsid w:val="373593B7"/>
    <w:rsid w:val="3736BF5C"/>
    <w:rsid w:val="373851B0"/>
    <w:rsid w:val="3739B298"/>
    <w:rsid w:val="373B2F40"/>
    <w:rsid w:val="373BDF37"/>
    <w:rsid w:val="373F7019"/>
    <w:rsid w:val="3740D4E7"/>
    <w:rsid w:val="37446B49"/>
    <w:rsid w:val="3744F1A2"/>
    <w:rsid w:val="374519CD"/>
    <w:rsid w:val="374645E1"/>
    <w:rsid w:val="37468A70"/>
    <w:rsid w:val="37473709"/>
    <w:rsid w:val="3748860C"/>
    <w:rsid w:val="3748B16C"/>
    <w:rsid w:val="37493925"/>
    <w:rsid w:val="374C937D"/>
    <w:rsid w:val="374DBBA2"/>
    <w:rsid w:val="374F2795"/>
    <w:rsid w:val="37508BB1"/>
    <w:rsid w:val="3751F1D6"/>
    <w:rsid w:val="3752C9C1"/>
    <w:rsid w:val="3753F555"/>
    <w:rsid w:val="3756CAA1"/>
    <w:rsid w:val="375786E6"/>
    <w:rsid w:val="37579E33"/>
    <w:rsid w:val="375914AF"/>
    <w:rsid w:val="375CF16A"/>
    <w:rsid w:val="375F1B48"/>
    <w:rsid w:val="37636488"/>
    <w:rsid w:val="3763E637"/>
    <w:rsid w:val="376706F2"/>
    <w:rsid w:val="37677F63"/>
    <w:rsid w:val="3767A9B7"/>
    <w:rsid w:val="3767BC44"/>
    <w:rsid w:val="376BC653"/>
    <w:rsid w:val="376E16DA"/>
    <w:rsid w:val="37706611"/>
    <w:rsid w:val="377139D2"/>
    <w:rsid w:val="37732A30"/>
    <w:rsid w:val="37738515"/>
    <w:rsid w:val="37743A23"/>
    <w:rsid w:val="37765338"/>
    <w:rsid w:val="37774F4E"/>
    <w:rsid w:val="37781152"/>
    <w:rsid w:val="3778AB48"/>
    <w:rsid w:val="377A3BD0"/>
    <w:rsid w:val="377B1AA8"/>
    <w:rsid w:val="377BCC0D"/>
    <w:rsid w:val="377CC1D2"/>
    <w:rsid w:val="377D5A38"/>
    <w:rsid w:val="377DC031"/>
    <w:rsid w:val="377DFA53"/>
    <w:rsid w:val="3780AA3D"/>
    <w:rsid w:val="3784A1C4"/>
    <w:rsid w:val="3785F0EF"/>
    <w:rsid w:val="37863775"/>
    <w:rsid w:val="378B2032"/>
    <w:rsid w:val="378B73D7"/>
    <w:rsid w:val="378C7866"/>
    <w:rsid w:val="378D12B5"/>
    <w:rsid w:val="378E953A"/>
    <w:rsid w:val="3790C513"/>
    <w:rsid w:val="379405DB"/>
    <w:rsid w:val="37949198"/>
    <w:rsid w:val="3794B393"/>
    <w:rsid w:val="3796AD26"/>
    <w:rsid w:val="3797FE02"/>
    <w:rsid w:val="379854DA"/>
    <w:rsid w:val="3799A84B"/>
    <w:rsid w:val="3799CFD7"/>
    <w:rsid w:val="379B1AD7"/>
    <w:rsid w:val="379CA207"/>
    <w:rsid w:val="379D408D"/>
    <w:rsid w:val="379D7245"/>
    <w:rsid w:val="37A130EB"/>
    <w:rsid w:val="37A29625"/>
    <w:rsid w:val="37A2E4BC"/>
    <w:rsid w:val="37A43440"/>
    <w:rsid w:val="37A487A8"/>
    <w:rsid w:val="37A51F17"/>
    <w:rsid w:val="37A59D16"/>
    <w:rsid w:val="37A601E9"/>
    <w:rsid w:val="37A607AB"/>
    <w:rsid w:val="37A62740"/>
    <w:rsid w:val="37A8A77B"/>
    <w:rsid w:val="37A98AAF"/>
    <w:rsid w:val="37A990EA"/>
    <w:rsid w:val="37A9E145"/>
    <w:rsid w:val="37AB198F"/>
    <w:rsid w:val="37AFA656"/>
    <w:rsid w:val="37B08E42"/>
    <w:rsid w:val="37B1F317"/>
    <w:rsid w:val="37B22F1C"/>
    <w:rsid w:val="37B2CDC5"/>
    <w:rsid w:val="37B6CEB2"/>
    <w:rsid w:val="37B81D87"/>
    <w:rsid w:val="37B8309B"/>
    <w:rsid w:val="37B9B40D"/>
    <w:rsid w:val="37BC5400"/>
    <w:rsid w:val="37BE3BDC"/>
    <w:rsid w:val="37BE82BD"/>
    <w:rsid w:val="37BF55D2"/>
    <w:rsid w:val="37C02BBF"/>
    <w:rsid w:val="37C02C17"/>
    <w:rsid w:val="37C3ED64"/>
    <w:rsid w:val="37C433D6"/>
    <w:rsid w:val="37C5D7CD"/>
    <w:rsid w:val="37C6F6E9"/>
    <w:rsid w:val="37C87D77"/>
    <w:rsid w:val="37C8C0F9"/>
    <w:rsid w:val="37C9C7DA"/>
    <w:rsid w:val="37C9F7BE"/>
    <w:rsid w:val="37CAB51C"/>
    <w:rsid w:val="37CABC32"/>
    <w:rsid w:val="37CDB675"/>
    <w:rsid w:val="37CDE4EB"/>
    <w:rsid w:val="37CE283B"/>
    <w:rsid w:val="37CFACE9"/>
    <w:rsid w:val="37D1E205"/>
    <w:rsid w:val="37D2BFBB"/>
    <w:rsid w:val="37D352D1"/>
    <w:rsid w:val="37D4CA9E"/>
    <w:rsid w:val="37D4FD44"/>
    <w:rsid w:val="37D6415A"/>
    <w:rsid w:val="37D68263"/>
    <w:rsid w:val="37D740C7"/>
    <w:rsid w:val="37D82A00"/>
    <w:rsid w:val="37DB8F94"/>
    <w:rsid w:val="37DDD3F2"/>
    <w:rsid w:val="37DE5973"/>
    <w:rsid w:val="37E1A5A3"/>
    <w:rsid w:val="37E2F3BA"/>
    <w:rsid w:val="37E4A702"/>
    <w:rsid w:val="37E4D593"/>
    <w:rsid w:val="37E957EC"/>
    <w:rsid w:val="37EA19B1"/>
    <w:rsid w:val="37EA53D8"/>
    <w:rsid w:val="37EE86C2"/>
    <w:rsid w:val="37EFEE50"/>
    <w:rsid w:val="37F0B457"/>
    <w:rsid w:val="37F95A1E"/>
    <w:rsid w:val="37FBCAE1"/>
    <w:rsid w:val="37FC1138"/>
    <w:rsid w:val="37FE699B"/>
    <w:rsid w:val="37FEE408"/>
    <w:rsid w:val="38003DD9"/>
    <w:rsid w:val="3800A6F1"/>
    <w:rsid w:val="38036F92"/>
    <w:rsid w:val="38088F6B"/>
    <w:rsid w:val="3809F84F"/>
    <w:rsid w:val="380E80BE"/>
    <w:rsid w:val="3811BEAE"/>
    <w:rsid w:val="38150D26"/>
    <w:rsid w:val="38187E9D"/>
    <w:rsid w:val="381A29DF"/>
    <w:rsid w:val="381ACF16"/>
    <w:rsid w:val="381F8275"/>
    <w:rsid w:val="38208BBD"/>
    <w:rsid w:val="38225BC5"/>
    <w:rsid w:val="3824019E"/>
    <w:rsid w:val="38247ACD"/>
    <w:rsid w:val="382597A5"/>
    <w:rsid w:val="3825F4F0"/>
    <w:rsid w:val="38264662"/>
    <w:rsid w:val="38278CD7"/>
    <w:rsid w:val="38296364"/>
    <w:rsid w:val="382A4164"/>
    <w:rsid w:val="382A6816"/>
    <w:rsid w:val="382AC2F6"/>
    <w:rsid w:val="382C91D5"/>
    <w:rsid w:val="382CD2FC"/>
    <w:rsid w:val="382D7C74"/>
    <w:rsid w:val="38306DE5"/>
    <w:rsid w:val="3834D285"/>
    <w:rsid w:val="38364673"/>
    <w:rsid w:val="383AA7A6"/>
    <w:rsid w:val="383AD760"/>
    <w:rsid w:val="383BEB94"/>
    <w:rsid w:val="383E8A93"/>
    <w:rsid w:val="383E9C1E"/>
    <w:rsid w:val="383F32BB"/>
    <w:rsid w:val="38406C18"/>
    <w:rsid w:val="3841D792"/>
    <w:rsid w:val="38437D6B"/>
    <w:rsid w:val="38447A83"/>
    <w:rsid w:val="384C9B07"/>
    <w:rsid w:val="38514606"/>
    <w:rsid w:val="385318E3"/>
    <w:rsid w:val="3853D504"/>
    <w:rsid w:val="3854C180"/>
    <w:rsid w:val="385725A2"/>
    <w:rsid w:val="3857375C"/>
    <w:rsid w:val="38578C03"/>
    <w:rsid w:val="3857A623"/>
    <w:rsid w:val="38594B23"/>
    <w:rsid w:val="385A3A43"/>
    <w:rsid w:val="385A522F"/>
    <w:rsid w:val="385D9132"/>
    <w:rsid w:val="385E9F9E"/>
    <w:rsid w:val="385F5A56"/>
    <w:rsid w:val="38608FDD"/>
    <w:rsid w:val="386292C3"/>
    <w:rsid w:val="3865DC84"/>
    <w:rsid w:val="386693C7"/>
    <w:rsid w:val="3867351E"/>
    <w:rsid w:val="3867FE0E"/>
    <w:rsid w:val="3869DFAE"/>
    <w:rsid w:val="386AB18F"/>
    <w:rsid w:val="386ACFBC"/>
    <w:rsid w:val="386BA7D3"/>
    <w:rsid w:val="386CEF3F"/>
    <w:rsid w:val="386E011B"/>
    <w:rsid w:val="3872EF0E"/>
    <w:rsid w:val="3875E182"/>
    <w:rsid w:val="3876950B"/>
    <w:rsid w:val="3877753A"/>
    <w:rsid w:val="3877BF74"/>
    <w:rsid w:val="387814D9"/>
    <w:rsid w:val="387E159E"/>
    <w:rsid w:val="388092F5"/>
    <w:rsid w:val="3880AB58"/>
    <w:rsid w:val="3885D264"/>
    <w:rsid w:val="3886D1D9"/>
    <w:rsid w:val="38885656"/>
    <w:rsid w:val="38892930"/>
    <w:rsid w:val="3889A0AA"/>
    <w:rsid w:val="388AF36A"/>
    <w:rsid w:val="388D3533"/>
    <w:rsid w:val="38905922"/>
    <w:rsid w:val="38905B9E"/>
    <w:rsid w:val="38920943"/>
    <w:rsid w:val="3893DBEC"/>
    <w:rsid w:val="389485F4"/>
    <w:rsid w:val="3894BCBD"/>
    <w:rsid w:val="38966D1C"/>
    <w:rsid w:val="389F86F8"/>
    <w:rsid w:val="389F8D75"/>
    <w:rsid w:val="389FC148"/>
    <w:rsid w:val="38A0BCFE"/>
    <w:rsid w:val="38A171BA"/>
    <w:rsid w:val="38A2053B"/>
    <w:rsid w:val="38A2B52D"/>
    <w:rsid w:val="38A48018"/>
    <w:rsid w:val="38A9D124"/>
    <w:rsid w:val="38AA7E40"/>
    <w:rsid w:val="38AAF9B2"/>
    <w:rsid w:val="38AC1A16"/>
    <w:rsid w:val="38AC1E35"/>
    <w:rsid w:val="38AD6EED"/>
    <w:rsid w:val="38AFAEA6"/>
    <w:rsid w:val="38B1759C"/>
    <w:rsid w:val="38B1D83C"/>
    <w:rsid w:val="38B40E01"/>
    <w:rsid w:val="38B5BE62"/>
    <w:rsid w:val="38B63385"/>
    <w:rsid w:val="38B67691"/>
    <w:rsid w:val="38B715D1"/>
    <w:rsid w:val="38B73A65"/>
    <w:rsid w:val="38B9A3BA"/>
    <w:rsid w:val="38BA09C3"/>
    <w:rsid w:val="38BA51B5"/>
    <w:rsid w:val="38BAA895"/>
    <w:rsid w:val="38BC44DA"/>
    <w:rsid w:val="38BC7429"/>
    <w:rsid w:val="38BD453B"/>
    <w:rsid w:val="38BE3E83"/>
    <w:rsid w:val="38BE8228"/>
    <w:rsid w:val="38BF3C1B"/>
    <w:rsid w:val="38C027AE"/>
    <w:rsid w:val="38C1B50E"/>
    <w:rsid w:val="38C288EB"/>
    <w:rsid w:val="38C4CCD8"/>
    <w:rsid w:val="38C64E65"/>
    <w:rsid w:val="38C6902F"/>
    <w:rsid w:val="38C7AF0A"/>
    <w:rsid w:val="38CA9399"/>
    <w:rsid w:val="38CB31CF"/>
    <w:rsid w:val="38CED266"/>
    <w:rsid w:val="38D223FC"/>
    <w:rsid w:val="38D3228B"/>
    <w:rsid w:val="38D7D794"/>
    <w:rsid w:val="38D9288F"/>
    <w:rsid w:val="38DBBDD2"/>
    <w:rsid w:val="38E115CA"/>
    <w:rsid w:val="38E19406"/>
    <w:rsid w:val="38E288BA"/>
    <w:rsid w:val="38E48CF3"/>
    <w:rsid w:val="38E80ABA"/>
    <w:rsid w:val="38E8300C"/>
    <w:rsid w:val="38E89537"/>
    <w:rsid w:val="38EA9B20"/>
    <w:rsid w:val="38EAF4D0"/>
    <w:rsid w:val="38ECE581"/>
    <w:rsid w:val="38EE602E"/>
    <w:rsid w:val="38EF5D2B"/>
    <w:rsid w:val="38EF71B7"/>
    <w:rsid w:val="38F3341C"/>
    <w:rsid w:val="38F3A4BB"/>
    <w:rsid w:val="38F5502F"/>
    <w:rsid w:val="38F5CA05"/>
    <w:rsid w:val="38F74DD0"/>
    <w:rsid w:val="38F82D69"/>
    <w:rsid w:val="38F8A155"/>
    <w:rsid w:val="38FA145A"/>
    <w:rsid w:val="38FB362C"/>
    <w:rsid w:val="38FEB9D1"/>
    <w:rsid w:val="3900B003"/>
    <w:rsid w:val="39029516"/>
    <w:rsid w:val="3903A459"/>
    <w:rsid w:val="3904C77F"/>
    <w:rsid w:val="39058DB7"/>
    <w:rsid w:val="3906EAD5"/>
    <w:rsid w:val="3907400C"/>
    <w:rsid w:val="390ABB25"/>
    <w:rsid w:val="390C2B01"/>
    <w:rsid w:val="390C5AB4"/>
    <w:rsid w:val="390CC251"/>
    <w:rsid w:val="390D36EF"/>
    <w:rsid w:val="390D44C8"/>
    <w:rsid w:val="390E7BF5"/>
    <w:rsid w:val="390FD2F1"/>
    <w:rsid w:val="39140541"/>
    <w:rsid w:val="3914725C"/>
    <w:rsid w:val="391651A4"/>
    <w:rsid w:val="39185A9A"/>
    <w:rsid w:val="3919A7A9"/>
    <w:rsid w:val="391BBF80"/>
    <w:rsid w:val="391CD3D9"/>
    <w:rsid w:val="391E81F9"/>
    <w:rsid w:val="391EA4CF"/>
    <w:rsid w:val="391EC6A2"/>
    <w:rsid w:val="391F91CF"/>
    <w:rsid w:val="39210717"/>
    <w:rsid w:val="39212960"/>
    <w:rsid w:val="3924C1B6"/>
    <w:rsid w:val="3925B962"/>
    <w:rsid w:val="3926F3D6"/>
    <w:rsid w:val="392799B8"/>
    <w:rsid w:val="39292746"/>
    <w:rsid w:val="392A4D54"/>
    <w:rsid w:val="392A9CF3"/>
    <w:rsid w:val="392B51A0"/>
    <w:rsid w:val="392E7808"/>
    <w:rsid w:val="3930499A"/>
    <w:rsid w:val="39308440"/>
    <w:rsid w:val="3934250F"/>
    <w:rsid w:val="3934AAD9"/>
    <w:rsid w:val="3938037A"/>
    <w:rsid w:val="393B99A5"/>
    <w:rsid w:val="393BF15D"/>
    <w:rsid w:val="393D825E"/>
    <w:rsid w:val="3941058A"/>
    <w:rsid w:val="394891E4"/>
    <w:rsid w:val="3948DBE7"/>
    <w:rsid w:val="39492E1C"/>
    <w:rsid w:val="3949B8F1"/>
    <w:rsid w:val="394A2306"/>
    <w:rsid w:val="394AADF1"/>
    <w:rsid w:val="394AEDA1"/>
    <w:rsid w:val="394C9034"/>
    <w:rsid w:val="3950773A"/>
    <w:rsid w:val="39524FE0"/>
    <w:rsid w:val="395324E9"/>
    <w:rsid w:val="3954B0A1"/>
    <w:rsid w:val="39574012"/>
    <w:rsid w:val="3959C9FC"/>
    <w:rsid w:val="395B2F9F"/>
    <w:rsid w:val="395B772B"/>
    <w:rsid w:val="395FDA33"/>
    <w:rsid w:val="39607193"/>
    <w:rsid w:val="396255B8"/>
    <w:rsid w:val="3963D4AC"/>
    <w:rsid w:val="39641F2B"/>
    <w:rsid w:val="396528AB"/>
    <w:rsid w:val="3965F263"/>
    <w:rsid w:val="396B0EC4"/>
    <w:rsid w:val="396CCF8A"/>
    <w:rsid w:val="396DF499"/>
    <w:rsid w:val="396FED73"/>
    <w:rsid w:val="3971758D"/>
    <w:rsid w:val="3971C058"/>
    <w:rsid w:val="3972102A"/>
    <w:rsid w:val="39729C8C"/>
    <w:rsid w:val="3973F135"/>
    <w:rsid w:val="39743C94"/>
    <w:rsid w:val="3974C70A"/>
    <w:rsid w:val="39763E18"/>
    <w:rsid w:val="3976AE3E"/>
    <w:rsid w:val="39786C78"/>
    <w:rsid w:val="3978CB0B"/>
    <w:rsid w:val="397E580F"/>
    <w:rsid w:val="397F993C"/>
    <w:rsid w:val="3981186A"/>
    <w:rsid w:val="39823BDD"/>
    <w:rsid w:val="39837090"/>
    <w:rsid w:val="398374E8"/>
    <w:rsid w:val="39846059"/>
    <w:rsid w:val="39873B44"/>
    <w:rsid w:val="398A44EE"/>
    <w:rsid w:val="399064C2"/>
    <w:rsid w:val="3991496D"/>
    <w:rsid w:val="399413C5"/>
    <w:rsid w:val="39944763"/>
    <w:rsid w:val="399B0BCB"/>
    <w:rsid w:val="399DE3C7"/>
    <w:rsid w:val="399DE964"/>
    <w:rsid w:val="399DFEC9"/>
    <w:rsid w:val="399E3A30"/>
    <w:rsid w:val="39A04C5C"/>
    <w:rsid w:val="39A052A7"/>
    <w:rsid w:val="39A11014"/>
    <w:rsid w:val="39A20F9A"/>
    <w:rsid w:val="39A2F7E4"/>
    <w:rsid w:val="39A336CD"/>
    <w:rsid w:val="39A4C75E"/>
    <w:rsid w:val="39A5946F"/>
    <w:rsid w:val="39AA12ED"/>
    <w:rsid w:val="39AC40A4"/>
    <w:rsid w:val="39B155D5"/>
    <w:rsid w:val="39B25B07"/>
    <w:rsid w:val="39B4D4E8"/>
    <w:rsid w:val="39B991A6"/>
    <w:rsid w:val="39BA4C80"/>
    <w:rsid w:val="39BB3718"/>
    <w:rsid w:val="39BB4CC1"/>
    <w:rsid w:val="39BE8122"/>
    <w:rsid w:val="39BEACDE"/>
    <w:rsid w:val="39BF370C"/>
    <w:rsid w:val="39BFF1F6"/>
    <w:rsid w:val="39C52E19"/>
    <w:rsid w:val="39C6E13A"/>
    <w:rsid w:val="39CD20DB"/>
    <w:rsid w:val="39CE300F"/>
    <w:rsid w:val="39CF0CBE"/>
    <w:rsid w:val="39D26721"/>
    <w:rsid w:val="39D8670C"/>
    <w:rsid w:val="39D8E233"/>
    <w:rsid w:val="39DBA782"/>
    <w:rsid w:val="39DCEA4E"/>
    <w:rsid w:val="39DE0BB6"/>
    <w:rsid w:val="39DFBB32"/>
    <w:rsid w:val="39E190EA"/>
    <w:rsid w:val="39E29006"/>
    <w:rsid w:val="39E3BBC4"/>
    <w:rsid w:val="39E7179A"/>
    <w:rsid w:val="39ED948C"/>
    <w:rsid w:val="39F32179"/>
    <w:rsid w:val="39F5AE13"/>
    <w:rsid w:val="39F71B35"/>
    <w:rsid w:val="39F7680C"/>
    <w:rsid w:val="39F898EE"/>
    <w:rsid w:val="39F99784"/>
    <w:rsid w:val="39FA2EE9"/>
    <w:rsid w:val="39FA9F6D"/>
    <w:rsid w:val="39FC7CAF"/>
    <w:rsid w:val="39FE4A74"/>
    <w:rsid w:val="39FF819E"/>
    <w:rsid w:val="39FF96E2"/>
    <w:rsid w:val="3A00E783"/>
    <w:rsid w:val="3A00FF6E"/>
    <w:rsid w:val="3A0201BE"/>
    <w:rsid w:val="3A028FBA"/>
    <w:rsid w:val="3A02E8EE"/>
    <w:rsid w:val="3A043307"/>
    <w:rsid w:val="3A060207"/>
    <w:rsid w:val="3A086884"/>
    <w:rsid w:val="3A0B7B07"/>
    <w:rsid w:val="3A0DB051"/>
    <w:rsid w:val="3A102BC8"/>
    <w:rsid w:val="3A12130D"/>
    <w:rsid w:val="3A1229B6"/>
    <w:rsid w:val="3A123E5D"/>
    <w:rsid w:val="3A1263F7"/>
    <w:rsid w:val="3A1265F2"/>
    <w:rsid w:val="3A144538"/>
    <w:rsid w:val="3A14B94F"/>
    <w:rsid w:val="3A15125D"/>
    <w:rsid w:val="3A178EDB"/>
    <w:rsid w:val="3A1ACADA"/>
    <w:rsid w:val="3A1BC9D6"/>
    <w:rsid w:val="3A1E1FD6"/>
    <w:rsid w:val="3A1E9B7D"/>
    <w:rsid w:val="3A1F311D"/>
    <w:rsid w:val="3A20A446"/>
    <w:rsid w:val="3A243A26"/>
    <w:rsid w:val="3A24DCCF"/>
    <w:rsid w:val="3A250398"/>
    <w:rsid w:val="3A25B33A"/>
    <w:rsid w:val="3A270570"/>
    <w:rsid w:val="3A272991"/>
    <w:rsid w:val="3A2887C0"/>
    <w:rsid w:val="3A2A08CC"/>
    <w:rsid w:val="3A2AE0E4"/>
    <w:rsid w:val="3A2E9DDA"/>
    <w:rsid w:val="3A2ECFDB"/>
    <w:rsid w:val="3A2FD6AE"/>
    <w:rsid w:val="3A308CAD"/>
    <w:rsid w:val="3A35E0BD"/>
    <w:rsid w:val="3A3A2350"/>
    <w:rsid w:val="3A3A7C19"/>
    <w:rsid w:val="3A3CF924"/>
    <w:rsid w:val="3A3CFE1A"/>
    <w:rsid w:val="3A4093C7"/>
    <w:rsid w:val="3A41ED77"/>
    <w:rsid w:val="3A421850"/>
    <w:rsid w:val="3A44491C"/>
    <w:rsid w:val="3A44D516"/>
    <w:rsid w:val="3A44D628"/>
    <w:rsid w:val="3A44D751"/>
    <w:rsid w:val="3A452B5E"/>
    <w:rsid w:val="3A49CCE9"/>
    <w:rsid w:val="3A4A444B"/>
    <w:rsid w:val="3A4C11FD"/>
    <w:rsid w:val="3A4C3C21"/>
    <w:rsid w:val="3A4CA289"/>
    <w:rsid w:val="3A4FC60E"/>
    <w:rsid w:val="3A50E31F"/>
    <w:rsid w:val="3A51CFD1"/>
    <w:rsid w:val="3A530644"/>
    <w:rsid w:val="3A547C42"/>
    <w:rsid w:val="3A55D05C"/>
    <w:rsid w:val="3A55FD15"/>
    <w:rsid w:val="3A56B714"/>
    <w:rsid w:val="3A56F87D"/>
    <w:rsid w:val="3A589F40"/>
    <w:rsid w:val="3A58C267"/>
    <w:rsid w:val="3A59F0C0"/>
    <w:rsid w:val="3A5A52F3"/>
    <w:rsid w:val="3A5C4514"/>
    <w:rsid w:val="3A5DE156"/>
    <w:rsid w:val="3A5E5DA1"/>
    <w:rsid w:val="3A642237"/>
    <w:rsid w:val="3A664793"/>
    <w:rsid w:val="3A669AB8"/>
    <w:rsid w:val="3A69C75A"/>
    <w:rsid w:val="3A6B435C"/>
    <w:rsid w:val="3A6BAD91"/>
    <w:rsid w:val="3A6C4C22"/>
    <w:rsid w:val="3A6E5301"/>
    <w:rsid w:val="3A6E9311"/>
    <w:rsid w:val="3A7014FF"/>
    <w:rsid w:val="3A703709"/>
    <w:rsid w:val="3A71F20A"/>
    <w:rsid w:val="3A722ED6"/>
    <w:rsid w:val="3A74B72B"/>
    <w:rsid w:val="3A74F947"/>
    <w:rsid w:val="3A7712CC"/>
    <w:rsid w:val="3A78C7DC"/>
    <w:rsid w:val="3A7B5DAD"/>
    <w:rsid w:val="3A7C49F7"/>
    <w:rsid w:val="3A7D809E"/>
    <w:rsid w:val="3A7DDEB1"/>
    <w:rsid w:val="3A7E2E99"/>
    <w:rsid w:val="3A83327E"/>
    <w:rsid w:val="3A845D2B"/>
    <w:rsid w:val="3A84CDF8"/>
    <w:rsid w:val="3A87921A"/>
    <w:rsid w:val="3A87BD91"/>
    <w:rsid w:val="3A8DDC91"/>
    <w:rsid w:val="3A8F9317"/>
    <w:rsid w:val="3A9303AB"/>
    <w:rsid w:val="3A9832DA"/>
    <w:rsid w:val="3A98AEA6"/>
    <w:rsid w:val="3A99217B"/>
    <w:rsid w:val="3A9941F7"/>
    <w:rsid w:val="3A99E624"/>
    <w:rsid w:val="3A9AFCC7"/>
    <w:rsid w:val="3AA49B0A"/>
    <w:rsid w:val="3AA54829"/>
    <w:rsid w:val="3AA5E1E5"/>
    <w:rsid w:val="3AA84B87"/>
    <w:rsid w:val="3AA862EC"/>
    <w:rsid w:val="3AAA04EE"/>
    <w:rsid w:val="3AAA560F"/>
    <w:rsid w:val="3AB003E0"/>
    <w:rsid w:val="3AB06BBD"/>
    <w:rsid w:val="3AB18D45"/>
    <w:rsid w:val="3AB3EDA9"/>
    <w:rsid w:val="3AB459A1"/>
    <w:rsid w:val="3AB79728"/>
    <w:rsid w:val="3AB8CB86"/>
    <w:rsid w:val="3ABC4A4D"/>
    <w:rsid w:val="3AC340CA"/>
    <w:rsid w:val="3AC5CD2D"/>
    <w:rsid w:val="3AC72195"/>
    <w:rsid w:val="3AC91EE0"/>
    <w:rsid w:val="3ACAD018"/>
    <w:rsid w:val="3ACC80F8"/>
    <w:rsid w:val="3ACE6D7B"/>
    <w:rsid w:val="3AD1087F"/>
    <w:rsid w:val="3AD49B5A"/>
    <w:rsid w:val="3AD61055"/>
    <w:rsid w:val="3AD7841F"/>
    <w:rsid w:val="3ADA4EC6"/>
    <w:rsid w:val="3ADA7B67"/>
    <w:rsid w:val="3ADAA91D"/>
    <w:rsid w:val="3ADC82A0"/>
    <w:rsid w:val="3ADFAB0B"/>
    <w:rsid w:val="3AE08101"/>
    <w:rsid w:val="3AE199A5"/>
    <w:rsid w:val="3AE1BD95"/>
    <w:rsid w:val="3AE237CA"/>
    <w:rsid w:val="3AE350CD"/>
    <w:rsid w:val="3AE6269A"/>
    <w:rsid w:val="3AEE3237"/>
    <w:rsid w:val="3AEF3071"/>
    <w:rsid w:val="3AEF3818"/>
    <w:rsid w:val="3AEF5D63"/>
    <w:rsid w:val="3AEFA19E"/>
    <w:rsid w:val="3AEFAF4C"/>
    <w:rsid w:val="3AF08008"/>
    <w:rsid w:val="3AF646BB"/>
    <w:rsid w:val="3AF708C3"/>
    <w:rsid w:val="3AF7140C"/>
    <w:rsid w:val="3AF74D69"/>
    <w:rsid w:val="3AF881A3"/>
    <w:rsid w:val="3AFA5172"/>
    <w:rsid w:val="3AFB62BB"/>
    <w:rsid w:val="3AFC5135"/>
    <w:rsid w:val="3AFCA0A3"/>
    <w:rsid w:val="3AFFBD8C"/>
    <w:rsid w:val="3B01D01C"/>
    <w:rsid w:val="3B094A3B"/>
    <w:rsid w:val="3B09B020"/>
    <w:rsid w:val="3B09BF9B"/>
    <w:rsid w:val="3B0A40F4"/>
    <w:rsid w:val="3B0B1CC8"/>
    <w:rsid w:val="3B0B898B"/>
    <w:rsid w:val="3B0C9CDB"/>
    <w:rsid w:val="3B0CE8F1"/>
    <w:rsid w:val="3B0CEECD"/>
    <w:rsid w:val="3B0D82D0"/>
    <w:rsid w:val="3B0E8D0D"/>
    <w:rsid w:val="3B10A7EA"/>
    <w:rsid w:val="3B117C3A"/>
    <w:rsid w:val="3B142EA1"/>
    <w:rsid w:val="3B146E7F"/>
    <w:rsid w:val="3B15D792"/>
    <w:rsid w:val="3B161EA6"/>
    <w:rsid w:val="3B1646B9"/>
    <w:rsid w:val="3B1730EE"/>
    <w:rsid w:val="3B17A192"/>
    <w:rsid w:val="3B1A15C7"/>
    <w:rsid w:val="3B1AA3D4"/>
    <w:rsid w:val="3B1E8440"/>
    <w:rsid w:val="3B20A13B"/>
    <w:rsid w:val="3B22E8D5"/>
    <w:rsid w:val="3B23AE0B"/>
    <w:rsid w:val="3B26ABFF"/>
    <w:rsid w:val="3B2D59EC"/>
    <w:rsid w:val="3B2E19F2"/>
    <w:rsid w:val="3B30D30D"/>
    <w:rsid w:val="3B31777E"/>
    <w:rsid w:val="3B3200D7"/>
    <w:rsid w:val="3B3720D7"/>
    <w:rsid w:val="3B3BBC8B"/>
    <w:rsid w:val="3B3C290F"/>
    <w:rsid w:val="3B3C6AA0"/>
    <w:rsid w:val="3B3C9069"/>
    <w:rsid w:val="3B3F61EB"/>
    <w:rsid w:val="3B4002F6"/>
    <w:rsid w:val="3B403668"/>
    <w:rsid w:val="3B41BE90"/>
    <w:rsid w:val="3B443408"/>
    <w:rsid w:val="3B45033B"/>
    <w:rsid w:val="3B4551A6"/>
    <w:rsid w:val="3B47E9D2"/>
    <w:rsid w:val="3B49146A"/>
    <w:rsid w:val="3B4ADB39"/>
    <w:rsid w:val="3B4D84D5"/>
    <w:rsid w:val="3B4E41EE"/>
    <w:rsid w:val="3B4EC57B"/>
    <w:rsid w:val="3B4EDDD5"/>
    <w:rsid w:val="3B52E42E"/>
    <w:rsid w:val="3B53CC10"/>
    <w:rsid w:val="3B545589"/>
    <w:rsid w:val="3B55A466"/>
    <w:rsid w:val="3B55B56A"/>
    <w:rsid w:val="3B58D269"/>
    <w:rsid w:val="3B5C7778"/>
    <w:rsid w:val="3B5CAD0B"/>
    <w:rsid w:val="3B5DEA35"/>
    <w:rsid w:val="3B5ED58C"/>
    <w:rsid w:val="3B5F3F87"/>
    <w:rsid w:val="3B654ACF"/>
    <w:rsid w:val="3B6630FE"/>
    <w:rsid w:val="3B66BEB0"/>
    <w:rsid w:val="3B685E2E"/>
    <w:rsid w:val="3B68BD41"/>
    <w:rsid w:val="3B691808"/>
    <w:rsid w:val="3B6B14A1"/>
    <w:rsid w:val="3B6D3117"/>
    <w:rsid w:val="3B6DEB43"/>
    <w:rsid w:val="3B707F7F"/>
    <w:rsid w:val="3B71A603"/>
    <w:rsid w:val="3B71B509"/>
    <w:rsid w:val="3B71F8C0"/>
    <w:rsid w:val="3B7434D9"/>
    <w:rsid w:val="3B75216D"/>
    <w:rsid w:val="3B752964"/>
    <w:rsid w:val="3B770540"/>
    <w:rsid w:val="3B784E67"/>
    <w:rsid w:val="3B789B37"/>
    <w:rsid w:val="3B7C01AB"/>
    <w:rsid w:val="3B7E8B34"/>
    <w:rsid w:val="3B7ECF98"/>
    <w:rsid w:val="3B7F1332"/>
    <w:rsid w:val="3B7F956C"/>
    <w:rsid w:val="3B7FA09E"/>
    <w:rsid w:val="3B807A1C"/>
    <w:rsid w:val="3B83F629"/>
    <w:rsid w:val="3B883A46"/>
    <w:rsid w:val="3B8A96BF"/>
    <w:rsid w:val="3B8D971E"/>
    <w:rsid w:val="3B8F0520"/>
    <w:rsid w:val="3B90B1A5"/>
    <w:rsid w:val="3B92088B"/>
    <w:rsid w:val="3B9312D3"/>
    <w:rsid w:val="3B9733B7"/>
    <w:rsid w:val="3B983020"/>
    <w:rsid w:val="3B9897BD"/>
    <w:rsid w:val="3B9A6FC2"/>
    <w:rsid w:val="3B9B24BF"/>
    <w:rsid w:val="3B9C4E75"/>
    <w:rsid w:val="3B9C59F4"/>
    <w:rsid w:val="3B9FC37A"/>
    <w:rsid w:val="3B9FC5EB"/>
    <w:rsid w:val="3BA09A24"/>
    <w:rsid w:val="3BA379CE"/>
    <w:rsid w:val="3BA379E5"/>
    <w:rsid w:val="3BA3B9EE"/>
    <w:rsid w:val="3BA3DA21"/>
    <w:rsid w:val="3BA69C31"/>
    <w:rsid w:val="3BA9E368"/>
    <w:rsid w:val="3BAB3359"/>
    <w:rsid w:val="3BAB92C6"/>
    <w:rsid w:val="3BB02787"/>
    <w:rsid w:val="3BB082A9"/>
    <w:rsid w:val="3BB3CC2A"/>
    <w:rsid w:val="3BB7FC09"/>
    <w:rsid w:val="3BB8321D"/>
    <w:rsid w:val="3BBA0E65"/>
    <w:rsid w:val="3BBAB087"/>
    <w:rsid w:val="3BBB934D"/>
    <w:rsid w:val="3BBC3447"/>
    <w:rsid w:val="3BBDDD62"/>
    <w:rsid w:val="3BC427B6"/>
    <w:rsid w:val="3BC77A26"/>
    <w:rsid w:val="3BC885A4"/>
    <w:rsid w:val="3BCA5882"/>
    <w:rsid w:val="3BCA8536"/>
    <w:rsid w:val="3BCC5E1A"/>
    <w:rsid w:val="3BD0E534"/>
    <w:rsid w:val="3BD0FFA5"/>
    <w:rsid w:val="3BD3B907"/>
    <w:rsid w:val="3BD4D5B9"/>
    <w:rsid w:val="3BD51E53"/>
    <w:rsid w:val="3BD7E22B"/>
    <w:rsid w:val="3BD8D44A"/>
    <w:rsid w:val="3BD9F32E"/>
    <w:rsid w:val="3BDAA476"/>
    <w:rsid w:val="3BDB7BAC"/>
    <w:rsid w:val="3BDBB4C5"/>
    <w:rsid w:val="3BDCAF54"/>
    <w:rsid w:val="3BDE4D83"/>
    <w:rsid w:val="3BE02A25"/>
    <w:rsid w:val="3BE17989"/>
    <w:rsid w:val="3BE29BD4"/>
    <w:rsid w:val="3BE37D54"/>
    <w:rsid w:val="3BE78075"/>
    <w:rsid w:val="3BE78AB1"/>
    <w:rsid w:val="3BEA4F67"/>
    <w:rsid w:val="3BEB6587"/>
    <w:rsid w:val="3BEBF39C"/>
    <w:rsid w:val="3BF2F078"/>
    <w:rsid w:val="3BF88AE7"/>
    <w:rsid w:val="3BFA7D24"/>
    <w:rsid w:val="3BFC0766"/>
    <w:rsid w:val="3BFEE772"/>
    <w:rsid w:val="3BFFF9F3"/>
    <w:rsid w:val="3C00E15D"/>
    <w:rsid w:val="3C025ADC"/>
    <w:rsid w:val="3C0265A0"/>
    <w:rsid w:val="3C0339F4"/>
    <w:rsid w:val="3C04A9E4"/>
    <w:rsid w:val="3C06DE7D"/>
    <w:rsid w:val="3C073730"/>
    <w:rsid w:val="3C089E43"/>
    <w:rsid w:val="3C08AE42"/>
    <w:rsid w:val="3C08CE53"/>
    <w:rsid w:val="3C08D252"/>
    <w:rsid w:val="3C0903C0"/>
    <w:rsid w:val="3C09C584"/>
    <w:rsid w:val="3C09D266"/>
    <w:rsid w:val="3C0D0E94"/>
    <w:rsid w:val="3C0EE0F7"/>
    <w:rsid w:val="3C108CBD"/>
    <w:rsid w:val="3C10DFA3"/>
    <w:rsid w:val="3C157B06"/>
    <w:rsid w:val="3C163BD6"/>
    <w:rsid w:val="3C166577"/>
    <w:rsid w:val="3C1C735E"/>
    <w:rsid w:val="3C1D1C8B"/>
    <w:rsid w:val="3C1D293F"/>
    <w:rsid w:val="3C20010A"/>
    <w:rsid w:val="3C216E38"/>
    <w:rsid w:val="3C24BE4E"/>
    <w:rsid w:val="3C251BC5"/>
    <w:rsid w:val="3C25C53C"/>
    <w:rsid w:val="3C283FBC"/>
    <w:rsid w:val="3C2EB005"/>
    <w:rsid w:val="3C3027EF"/>
    <w:rsid w:val="3C3056B1"/>
    <w:rsid w:val="3C3105A2"/>
    <w:rsid w:val="3C32D4E0"/>
    <w:rsid w:val="3C349DEF"/>
    <w:rsid w:val="3C3506BC"/>
    <w:rsid w:val="3C353DA7"/>
    <w:rsid w:val="3C355663"/>
    <w:rsid w:val="3C35645F"/>
    <w:rsid w:val="3C3765FB"/>
    <w:rsid w:val="3C39273C"/>
    <w:rsid w:val="3C3A4412"/>
    <w:rsid w:val="3C3CFD2D"/>
    <w:rsid w:val="3C3D5DC2"/>
    <w:rsid w:val="3C3F51AB"/>
    <w:rsid w:val="3C3FBBDB"/>
    <w:rsid w:val="3C406676"/>
    <w:rsid w:val="3C40F2D7"/>
    <w:rsid w:val="3C453D2B"/>
    <w:rsid w:val="3C473E6A"/>
    <w:rsid w:val="3C47986A"/>
    <w:rsid w:val="3C485E0F"/>
    <w:rsid w:val="3C498B20"/>
    <w:rsid w:val="3C4BAF7A"/>
    <w:rsid w:val="3C4BCB99"/>
    <w:rsid w:val="3C4C25D7"/>
    <w:rsid w:val="3C4C2CDC"/>
    <w:rsid w:val="3C4CD319"/>
    <w:rsid w:val="3C4CD55D"/>
    <w:rsid w:val="3C4CE65E"/>
    <w:rsid w:val="3C4DCB9D"/>
    <w:rsid w:val="3C4E70F6"/>
    <w:rsid w:val="3C4EC8FB"/>
    <w:rsid w:val="3C500738"/>
    <w:rsid w:val="3C505C04"/>
    <w:rsid w:val="3C53AE17"/>
    <w:rsid w:val="3C545524"/>
    <w:rsid w:val="3C54D703"/>
    <w:rsid w:val="3C55C859"/>
    <w:rsid w:val="3C575E1A"/>
    <w:rsid w:val="3C578A83"/>
    <w:rsid w:val="3C58E553"/>
    <w:rsid w:val="3C5E35ED"/>
    <w:rsid w:val="3C607654"/>
    <w:rsid w:val="3C60D96A"/>
    <w:rsid w:val="3C6250C9"/>
    <w:rsid w:val="3C6558C1"/>
    <w:rsid w:val="3C666924"/>
    <w:rsid w:val="3C67ED66"/>
    <w:rsid w:val="3C6A8B87"/>
    <w:rsid w:val="3C6C6DBA"/>
    <w:rsid w:val="3C6CC9D5"/>
    <w:rsid w:val="3C6DF0B1"/>
    <w:rsid w:val="3C6E25C5"/>
    <w:rsid w:val="3C6E545D"/>
    <w:rsid w:val="3C6F71EE"/>
    <w:rsid w:val="3C702A09"/>
    <w:rsid w:val="3C70ED46"/>
    <w:rsid w:val="3C79DAF4"/>
    <w:rsid w:val="3C7D310F"/>
    <w:rsid w:val="3C7E955E"/>
    <w:rsid w:val="3C7FF023"/>
    <w:rsid w:val="3C802528"/>
    <w:rsid w:val="3C806731"/>
    <w:rsid w:val="3C8181C6"/>
    <w:rsid w:val="3C837D94"/>
    <w:rsid w:val="3C846C39"/>
    <w:rsid w:val="3C85946F"/>
    <w:rsid w:val="3C85D72B"/>
    <w:rsid w:val="3C8698CB"/>
    <w:rsid w:val="3C89E0CD"/>
    <w:rsid w:val="3C8CA7F7"/>
    <w:rsid w:val="3C8CFA6E"/>
    <w:rsid w:val="3C912A7A"/>
    <w:rsid w:val="3C91344F"/>
    <w:rsid w:val="3C938FB3"/>
    <w:rsid w:val="3C9498A2"/>
    <w:rsid w:val="3C94A4EB"/>
    <w:rsid w:val="3C9664F8"/>
    <w:rsid w:val="3C970267"/>
    <w:rsid w:val="3C977D5F"/>
    <w:rsid w:val="3C98A345"/>
    <w:rsid w:val="3C98C6B6"/>
    <w:rsid w:val="3C9A730E"/>
    <w:rsid w:val="3C9C4FC5"/>
    <w:rsid w:val="3C9D54E5"/>
    <w:rsid w:val="3C9E16E0"/>
    <w:rsid w:val="3C9F9A05"/>
    <w:rsid w:val="3CA2D9FC"/>
    <w:rsid w:val="3CA631A4"/>
    <w:rsid w:val="3CA6A303"/>
    <w:rsid w:val="3CA7477A"/>
    <w:rsid w:val="3CA8D782"/>
    <w:rsid w:val="3CA90DD4"/>
    <w:rsid w:val="3CA97093"/>
    <w:rsid w:val="3CAA0E66"/>
    <w:rsid w:val="3CAA9AC1"/>
    <w:rsid w:val="3CAAA386"/>
    <w:rsid w:val="3CAC38D6"/>
    <w:rsid w:val="3CAC9C6B"/>
    <w:rsid w:val="3CAD067F"/>
    <w:rsid w:val="3CAECDCF"/>
    <w:rsid w:val="3CB03172"/>
    <w:rsid w:val="3CB1B826"/>
    <w:rsid w:val="3CB3A55D"/>
    <w:rsid w:val="3CB46DC2"/>
    <w:rsid w:val="3CB60A08"/>
    <w:rsid w:val="3CB6DF9B"/>
    <w:rsid w:val="3CB75535"/>
    <w:rsid w:val="3CB907F2"/>
    <w:rsid w:val="3CB94143"/>
    <w:rsid w:val="3CBA76F2"/>
    <w:rsid w:val="3CBA9D8C"/>
    <w:rsid w:val="3CBC5D62"/>
    <w:rsid w:val="3CBD11FD"/>
    <w:rsid w:val="3CBF0D6D"/>
    <w:rsid w:val="3CBF0D76"/>
    <w:rsid w:val="3CC051F6"/>
    <w:rsid w:val="3CC2411E"/>
    <w:rsid w:val="3CC2DD9E"/>
    <w:rsid w:val="3CC344E9"/>
    <w:rsid w:val="3CC3D2DD"/>
    <w:rsid w:val="3CC65584"/>
    <w:rsid w:val="3CC6E803"/>
    <w:rsid w:val="3CC720E0"/>
    <w:rsid w:val="3CC8A924"/>
    <w:rsid w:val="3CC8B5FB"/>
    <w:rsid w:val="3CC96A37"/>
    <w:rsid w:val="3CC9C7AE"/>
    <w:rsid w:val="3CCAE293"/>
    <w:rsid w:val="3CCAE819"/>
    <w:rsid w:val="3CCAF68E"/>
    <w:rsid w:val="3CCBD6C4"/>
    <w:rsid w:val="3CCF8455"/>
    <w:rsid w:val="3CCFDB3D"/>
    <w:rsid w:val="3CD05929"/>
    <w:rsid w:val="3CD1894D"/>
    <w:rsid w:val="3CD48E6B"/>
    <w:rsid w:val="3CD59B91"/>
    <w:rsid w:val="3CD5B658"/>
    <w:rsid w:val="3CD71DDA"/>
    <w:rsid w:val="3CD83016"/>
    <w:rsid w:val="3CD93FB8"/>
    <w:rsid w:val="3CD9B1C7"/>
    <w:rsid w:val="3CDB300C"/>
    <w:rsid w:val="3CDD3D8B"/>
    <w:rsid w:val="3CE72521"/>
    <w:rsid w:val="3CE7BE71"/>
    <w:rsid w:val="3CE7D66D"/>
    <w:rsid w:val="3CE93534"/>
    <w:rsid w:val="3CED61E9"/>
    <w:rsid w:val="3CEDF2A7"/>
    <w:rsid w:val="3CF11AF0"/>
    <w:rsid w:val="3CF2B764"/>
    <w:rsid w:val="3CF33FA7"/>
    <w:rsid w:val="3CF5231E"/>
    <w:rsid w:val="3CF662EA"/>
    <w:rsid w:val="3CF6AD06"/>
    <w:rsid w:val="3CF76465"/>
    <w:rsid w:val="3CF8F2B6"/>
    <w:rsid w:val="3CF98F97"/>
    <w:rsid w:val="3CFB4A96"/>
    <w:rsid w:val="3CFB66B8"/>
    <w:rsid w:val="3D028E2C"/>
    <w:rsid w:val="3D03DCC1"/>
    <w:rsid w:val="3D03E87D"/>
    <w:rsid w:val="3D04EA50"/>
    <w:rsid w:val="3D05DB85"/>
    <w:rsid w:val="3D0A2A36"/>
    <w:rsid w:val="3D0A6381"/>
    <w:rsid w:val="3D0A8DD5"/>
    <w:rsid w:val="3D0B2220"/>
    <w:rsid w:val="3D0FC913"/>
    <w:rsid w:val="3D13A749"/>
    <w:rsid w:val="3D140139"/>
    <w:rsid w:val="3D15EB55"/>
    <w:rsid w:val="3D170C33"/>
    <w:rsid w:val="3D17FB94"/>
    <w:rsid w:val="3D181640"/>
    <w:rsid w:val="3D181C73"/>
    <w:rsid w:val="3D1DB99B"/>
    <w:rsid w:val="3D215CEA"/>
    <w:rsid w:val="3D2160FE"/>
    <w:rsid w:val="3D23F061"/>
    <w:rsid w:val="3D2738FE"/>
    <w:rsid w:val="3D2889E0"/>
    <w:rsid w:val="3D2B2CB6"/>
    <w:rsid w:val="3D2D4775"/>
    <w:rsid w:val="3D30E844"/>
    <w:rsid w:val="3D321559"/>
    <w:rsid w:val="3D3399EF"/>
    <w:rsid w:val="3D355CDC"/>
    <w:rsid w:val="3D363CF0"/>
    <w:rsid w:val="3D3699DA"/>
    <w:rsid w:val="3D375CBB"/>
    <w:rsid w:val="3D388BD8"/>
    <w:rsid w:val="3D3A4D3E"/>
    <w:rsid w:val="3D3CF621"/>
    <w:rsid w:val="3D426020"/>
    <w:rsid w:val="3D426D1A"/>
    <w:rsid w:val="3D42DC94"/>
    <w:rsid w:val="3D434F6C"/>
    <w:rsid w:val="3D447474"/>
    <w:rsid w:val="3D455AD3"/>
    <w:rsid w:val="3D470FBC"/>
    <w:rsid w:val="3D48DD18"/>
    <w:rsid w:val="3D4B4DCD"/>
    <w:rsid w:val="3D4E1AFC"/>
    <w:rsid w:val="3D4FDE70"/>
    <w:rsid w:val="3D516765"/>
    <w:rsid w:val="3D534D89"/>
    <w:rsid w:val="3D55E1BC"/>
    <w:rsid w:val="3D58EB42"/>
    <w:rsid w:val="3D5DF556"/>
    <w:rsid w:val="3D619BAF"/>
    <w:rsid w:val="3D623B69"/>
    <w:rsid w:val="3D6257A3"/>
    <w:rsid w:val="3D64088D"/>
    <w:rsid w:val="3D64AAC9"/>
    <w:rsid w:val="3D656B08"/>
    <w:rsid w:val="3D656C4E"/>
    <w:rsid w:val="3D66652B"/>
    <w:rsid w:val="3D67966A"/>
    <w:rsid w:val="3D694A83"/>
    <w:rsid w:val="3D6B5AA7"/>
    <w:rsid w:val="3D6BB391"/>
    <w:rsid w:val="3D6CE5A7"/>
    <w:rsid w:val="3D6F393C"/>
    <w:rsid w:val="3D6F7087"/>
    <w:rsid w:val="3D7270B4"/>
    <w:rsid w:val="3D7293C0"/>
    <w:rsid w:val="3D740E3E"/>
    <w:rsid w:val="3D749C0F"/>
    <w:rsid w:val="3D74C2C5"/>
    <w:rsid w:val="3D77F868"/>
    <w:rsid w:val="3D79463F"/>
    <w:rsid w:val="3D7C7543"/>
    <w:rsid w:val="3D7F8F9F"/>
    <w:rsid w:val="3D8089FB"/>
    <w:rsid w:val="3D816200"/>
    <w:rsid w:val="3D81FD23"/>
    <w:rsid w:val="3D833953"/>
    <w:rsid w:val="3D85D744"/>
    <w:rsid w:val="3D88B9D7"/>
    <w:rsid w:val="3D8A9CF6"/>
    <w:rsid w:val="3D8AFE41"/>
    <w:rsid w:val="3D8B0749"/>
    <w:rsid w:val="3D8B83EA"/>
    <w:rsid w:val="3D8D447D"/>
    <w:rsid w:val="3D8F56E0"/>
    <w:rsid w:val="3D8F7BF4"/>
    <w:rsid w:val="3D915478"/>
    <w:rsid w:val="3D91E75A"/>
    <w:rsid w:val="3D925D89"/>
    <w:rsid w:val="3D93E688"/>
    <w:rsid w:val="3D978A0F"/>
    <w:rsid w:val="3D97A4B3"/>
    <w:rsid w:val="3D994DBA"/>
    <w:rsid w:val="3D9E0401"/>
    <w:rsid w:val="3D9ED0AA"/>
    <w:rsid w:val="3DA14CDC"/>
    <w:rsid w:val="3DA19B1F"/>
    <w:rsid w:val="3DA2ECB1"/>
    <w:rsid w:val="3DA7FD01"/>
    <w:rsid w:val="3DA9369D"/>
    <w:rsid w:val="3DAA5AEC"/>
    <w:rsid w:val="3DAB8796"/>
    <w:rsid w:val="3DADA369"/>
    <w:rsid w:val="3DAEE89E"/>
    <w:rsid w:val="3DAF0AE4"/>
    <w:rsid w:val="3DAF8891"/>
    <w:rsid w:val="3DB1EB81"/>
    <w:rsid w:val="3DB34F76"/>
    <w:rsid w:val="3DB40A5B"/>
    <w:rsid w:val="3DB493D5"/>
    <w:rsid w:val="3DB76A4F"/>
    <w:rsid w:val="3DB78A93"/>
    <w:rsid w:val="3DBE79F2"/>
    <w:rsid w:val="3DC07C7B"/>
    <w:rsid w:val="3DC19A94"/>
    <w:rsid w:val="3DC21E5F"/>
    <w:rsid w:val="3DC530EA"/>
    <w:rsid w:val="3DC531D6"/>
    <w:rsid w:val="3DC67BE7"/>
    <w:rsid w:val="3DC7662F"/>
    <w:rsid w:val="3DC842CB"/>
    <w:rsid w:val="3DCD354A"/>
    <w:rsid w:val="3DCF6F0A"/>
    <w:rsid w:val="3DCFC842"/>
    <w:rsid w:val="3DD14393"/>
    <w:rsid w:val="3DD1B977"/>
    <w:rsid w:val="3DD5E9ED"/>
    <w:rsid w:val="3DD626A3"/>
    <w:rsid w:val="3DD691C6"/>
    <w:rsid w:val="3DD75072"/>
    <w:rsid w:val="3DD77CA5"/>
    <w:rsid w:val="3DDAC310"/>
    <w:rsid w:val="3DDB7F4C"/>
    <w:rsid w:val="3DDBFBB9"/>
    <w:rsid w:val="3DDC63B5"/>
    <w:rsid w:val="3DDDA309"/>
    <w:rsid w:val="3DDDBEB4"/>
    <w:rsid w:val="3DDE09A3"/>
    <w:rsid w:val="3DDF5150"/>
    <w:rsid w:val="3DE051E5"/>
    <w:rsid w:val="3DE1363D"/>
    <w:rsid w:val="3DE522A9"/>
    <w:rsid w:val="3DE62F01"/>
    <w:rsid w:val="3DE65CA5"/>
    <w:rsid w:val="3DE686F0"/>
    <w:rsid w:val="3DEA169E"/>
    <w:rsid w:val="3DEBD985"/>
    <w:rsid w:val="3DED360E"/>
    <w:rsid w:val="3DF05F91"/>
    <w:rsid w:val="3DF1747B"/>
    <w:rsid w:val="3DF20567"/>
    <w:rsid w:val="3DF3729D"/>
    <w:rsid w:val="3DF3EABB"/>
    <w:rsid w:val="3DF4E349"/>
    <w:rsid w:val="3DF58E36"/>
    <w:rsid w:val="3DF87792"/>
    <w:rsid w:val="3DFBED01"/>
    <w:rsid w:val="3DFEAF66"/>
    <w:rsid w:val="3E00A443"/>
    <w:rsid w:val="3E01B698"/>
    <w:rsid w:val="3E026C37"/>
    <w:rsid w:val="3E0370B6"/>
    <w:rsid w:val="3E03A712"/>
    <w:rsid w:val="3E05F4B1"/>
    <w:rsid w:val="3E0B51F6"/>
    <w:rsid w:val="3E0C0F99"/>
    <w:rsid w:val="3E0F0117"/>
    <w:rsid w:val="3E144CA1"/>
    <w:rsid w:val="3E144E7A"/>
    <w:rsid w:val="3E152CBE"/>
    <w:rsid w:val="3E16288C"/>
    <w:rsid w:val="3E1A2479"/>
    <w:rsid w:val="3E1CAD8F"/>
    <w:rsid w:val="3E1E06D9"/>
    <w:rsid w:val="3E1ECF17"/>
    <w:rsid w:val="3E1F6F1F"/>
    <w:rsid w:val="3E20B757"/>
    <w:rsid w:val="3E23C51D"/>
    <w:rsid w:val="3E2456E0"/>
    <w:rsid w:val="3E27A5B3"/>
    <w:rsid w:val="3E2AA9DD"/>
    <w:rsid w:val="3E2E026C"/>
    <w:rsid w:val="3E2E3E30"/>
    <w:rsid w:val="3E2F29BA"/>
    <w:rsid w:val="3E300930"/>
    <w:rsid w:val="3E316D52"/>
    <w:rsid w:val="3E334865"/>
    <w:rsid w:val="3E340F91"/>
    <w:rsid w:val="3E3B2BA7"/>
    <w:rsid w:val="3E3CC7E9"/>
    <w:rsid w:val="3E40DAB0"/>
    <w:rsid w:val="3E46152C"/>
    <w:rsid w:val="3E4ABDB7"/>
    <w:rsid w:val="3E4C342F"/>
    <w:rsid w:val="3E503D12"/>
    <w:rsid w:val="3E50B0F8"/>
    <w:rsid w:val="3E51AA85"/>
    <w:rsid w:val="3E53A061"/>
    <w:rsid w:val="3E554FFD"/>
    <w:rsid w:val="3E55EB62"/>
    <w:rsid w:val="3E5AF85C"/>
    <w:rsid w:val="3E5BC505"/>
    <w:rsid w:val="3E5F63DE"/>
    <w:rsid w:val="3E641D4E"/>
    <w:rsid w:val="3E645884"/>
    <w:rsid w:val="3E647251"/>
    <w:rsid w:val="3E66CEE9"/>
    <w:rsid w:val="3E696C52"/>
    <w:rsid w:val="3E6B3E59"/>
    <w:rsid w:val="3E6B6E6D"/>
    <w:rsid w:val="3E6BEC50"/>
    <w:rsid w:val="3E6C8B7E"/>
    <w:rsid w:val="3E6ECD47"/>
    <w:rsid w:val="3E73D532"/>
    <w:rsid w:val="3E741C74"/>
    <w:rsid w:val="3E75E2F2"/>
    <w:rsid w:val="3E768269"/>
    <w:rsid w:val="3E79B469"/>
    <w:rsid w:val="3E7B8810"/>
    <w:rsid w:val="3E7CFB14"/>
    <w:rsid w:val="3E7D0635"/>
    <w:rsid w:val="3E7E51B1"/>
    <w:rsid w:val="3E7FFC79"/>
    <w:rsid w:val="3E807A07"/>
    <w:rsid w:val="3E80D57E"/>
    <w:rsid w:val="3E81BEE8"/>
    <w:rsid w:val="3E83B0D5"/>
    <w:rsid w:val="3E84681C"/>
    <w:rsid w:val="3E87F1E6"/>
    <w:rsid w:val="3E883960"/>
    <w:rsid w:val="3E89D7A6"/>
    <w:rsid w:val="3E8A1DDF"/>
    <w:rsid w:val="3E8B866E"/>
    <w:rsid w:val="3E8BB11E"/>
    <w:rsid w:val="3E8DDC0E"/>
    <w:rsid w:val="3E8E2D23"/>
    <w:rsid w:val="3E8E41D4"/>
    <w:rsid w:val="3E8E7A66"/>
    <w:rsid w:val="3E9034C2"/>
    <w:rsid w:val="3E930966"/>
    <w:rsid w:val="3E94FCD7"/>
    <w:rsid w:val="3E965155"/>
    <w:rsid w:val="3E99DAC5"/>
    <w:rsid w:val="3E9A820F"/>
    <w:rsid w:val="3E9A856D"/>
    <w:rsid w:val="3E9B1800"/>
    <w:rsid w:val="3E9B4B1B"/>
    <w:rsid w:val="3E9DC1F0"/>
    <w:rsid w:val="3EA060C4"/>
    <w:rsid w:val="3EA0A1D4"/>
    <w:rsid w:val="3EA17FE6"/>
    <w:rsid w:val="3EA3ED4B"/>
    <w:rsid w:val="3EA3FAFD"/>
    <w:rsid w:val="3EA87B2A"/>
    <w:rsid w:val="3EAA3FF1"/>
    <w:rsid w:val="3EADEE4B"/>
    <w:rsid w:val="3EB6FB84"/>
    <w:rsid w:val="3EB9FEAD"/>
    <w:rsid w:val="3EBA5AFD"/>
    <w:rsid w:val="3EBA7978"/>
    <w:rsid w:val="3EBAE221"/>
    <w:rsid w:val="3EBB2142"/>
    <w:rsid w:val="3EBC4279"/>
    <w:rsid w:val="3EBDE934"/>
    <w:rsid w:val="3EBFD3C0"/>
    <w:rsid w:val="3EC023DE"/>
    <w:rsid w:val="3EC075A7"/>
    <w:rsid w:val="3EC19D2D"/>
    <w:rsid w:val="3EC51C54"/>
    <w:rsid w:val="3EC87096"/>
    <w:rsid w:val="3EC8AC3C"/>
    <w:rsid w:val="3ECC56C8"/>
    <w:rsid w:val="3ED484BB"/>
    <w:rsid w:val="3ED63257"/>
    <w:rsid w:val="3ED70710"/>
    <w:rsid w:val="3ED8DBAE"/>
    <w:rsid w:val="3EDC4D39"/>
    <w:rsid w:val="3EDE6CD3"/>
    <w:rsid w:val="3EDEAB4F"/>
    <w:rsid w:val="3EE004A4"/>
    <w:rsid w:val="3EE31A8E"/>
    <w:rsid w:val="3EE4E260"/>
    <w:rsid w:val="3EEA5993"/>
    <w:rsid w:val="3EEDFF65"/>
    <w:rsid w:val="3EEF50C0"/>
    <w:rsid w:val="3EEFAE8B"/>
    <w:rsid w:val="3EF05C7F"/>
    <w:rsid w:val="3EF07EC0"/>
    <w:rsid w:val="3EF1F243"/>
    <w:rsid w:val="3EF5B7A8"/>
    <w:rsid w:val="3EF600CB"/>
    <w:rsid w:val="3EFB5C57"/>
    <w:rsid w:val="3EFB5EDD"/>
    <w:rsid w:val="3F00963F"/>
    <w:rsid w:val="3F040DF5"/>
    <w:rsid w:val="3F0435BA"/>
    <w:rsid w:val="3F070783"/>
    <w:rsid w:val="3F07F192"/>
    <w:rsid w:val="3F0BADA6"/>
    <w:rsid w:val="3F0BF1DC"/>
    <w:rsid w:val="3F0BF365"/>
    <w:rsid w:val="3F0BFB56"/>
    <w:rsid w:val="3F0CB0E5"/>
    <w:rsid w:val="3F0CF57C"/>
    <w:rsid w:val="3F0F5A0F"/>
    <w:rsid w:val="3F0F726A"/>
    <w:rsid w:val="3F10DFCC"/>
    <w:rsid w:val="3F154D89"/>
    <w:rsid w:val="3F156059"/>
    <w:rsid w:val="3F1595DE"/>
    <w:rsid w:val="3F17413D"/>
    <w:rsid w:val="3F174FF3"/>
    <w:rsid w:val="3F1764C2"/>
    <w:rsid w:val="3F18DA48"/>
    <w:rsid w:val="3F19184E"/>
    <w:rsid w:val="3F19C6D3"/>
    <w:rsid w:val="3F1A6A57"/>
    <w:rsid w:val="3F1A97B6"/>
    <w:rsid w:val="3F1E2F75"/>
    <w:rsid w:val="3F1EAACA"/>
    <w:rsid w:val="3F209206"/>
    <w:rsid w:val="3F20EFD6"/>
    <w:rsid w:val="3F21530D"/>
    <w:rsid w:val="3F21731B"/>
    <w:rsid w:val="3F2263FC"/>
    <w:rsid w:val="3F24A5BF"/>
    <w:rsid w:val="3F277F26"/>
    <w:rsid w:val="3F28B0AA"/>
    <w:rsid w:val="3F2912A9"/>
    <w:rsid w:val="3F2940B3"/>
    <w:rsid w:val="3F2E3A5F"/>
    <w:rsid w:val="3F31032A"/>
    <w:rsid w:val="3F318CB5"/>
    <w:rsid w:val="3F31DF0D"/>
    <w:rsid w:val="3F37CC10"/>
    <w:rsid w:val="3F38934A"/>
    <w:rsid w:val="3F38FCDB"/>
    <w:rsid w:val="3F3AC4F8"/>
    <w:rsid w:val="3F3BF1C7"/>
    <w:rsid w:val="3F3D1B35"/>
    <w:rsid w:val="3F3D3787"/>
    <w:rsid w:val="3F44B4D0"/>
    <w:rsid w:val="3F465457"/>
    <w:rsid w:val="3F471B03"/>
    <w:rsid w:val="3F47AF4E"/>
    <w:rsid w:val="3F4EB763"/>
    <w:rsid w:val="3F5068B5"/>
    <w:rsid w:val="3F51B198"/>
    <w:rsid w:val="3F52A906"/>
    <w:rsid w:val="3F532057"/>
    <w:rsid w:val="3F547B8B"/>
    <w:rsid w:val="3F55FAA8"/>
    <w:rsid w:val="3F57DC8E"/>
    <w:rsid w:val="3F5C6E81"/>
    <w:rsid w:val="3F5CBCF2"/>
    <w:rsid w:val="3F5F6C50"/>
    <w:rsid w:val="3F611A70"/>
    <w:rsid w:val="3F63E24E"/>
    <w:rsid w:val="3F699B30"/>
    <w:rsid w:val="3F69C72B"/>
    <w:rsid w:val="3F6B01F1"/>
    <w:rsid w:val="3F6E204D"/>
    <w:rsid w:val="3F70CE2F"/>
    <w:rsid w:val="3F734F45"/>
    <w:rsid w:val="3F74CA92"/>
    <w:rsid w:val="3F74E902"/>
    <w:rsid w:val="3F7599BE"/>
    <w:rsid w:val="3F77042A"/>
    <w:rsid w:val="3F783115"/>
    <w:rsid w:val="3F79A8AD"/>
    <w:rsid w:val="3F7F7223"/>
    <w:rsid w:val="3F81C5F0"/>
    <w:rsid w:val="3F857CB5"/>
    <w:rsid w:val="3F864D6C"/>
    <w:rsid w:val="3F8AFCE0"/>
    <w:rsid w:val="3F8CDA3A"/>
    <w:rsid w:val="3F8DAD29"/>
    <w:rsid w:val="3F9172DE"/>
    <w:rsid w:val="3F94297D"/>
    <w:rsid w:val="3F94AD88"/>
    <w:rsid w:val="3F95D98D"/>
    <w:rsid w:val="3F9731C8"/>
    <w:rsid w:val="3F989167"/>
    <w:rsid w:val="3F994BB1"/>
    <w:rsid w:val="3F9AC332"/>
    <w:rsid w:val="3F9B6710"/>
    <w:rsid w:val="3F9D6B68"/>
    <w:rsid w:val="3F9F169C"/>
    <w:rsid w:val="3F9F23A8"/>
    <w:rsid w:val="3FA13D16"/>
    <w:rsid w:val="3FA44CF3"/>
    <w:rsid w:val="3FA6B0FD"/>
    <w:rsid w:val="3FA6B17D"/>
    <w:rsid w:val="3FAB614F"/>
    <w:rsid w:val="3FABB537"/>
    <w:rsid w:val="3FABBEA5"/>
    <w:rsid w:val="3FABE117"/>
    <w:rsid w:val="3FADFC30"/>
    <w:rsid w:val="3FB00647"/>
    <w:rsid w:val="3FB2A951"/>
    <w:rsid w:val="3FB65C40"/>
    <w:rsid w:val="3FB67DB3"/>
    <w:rsid w:val="3FB6B874"/>
    <w:rsid w:val="3FB88C00"/>
    <w:rsid w:val="3FBA7D0C"/>
    <w:rsid w:val="3FBA973B"/>
    <w:rsid w:val="3FBB54ED"/>
    <w:rsid w:val="3FBD8323"/>
    <w:rsid w:val="3FBDB818"/>
    <w:rsid w:val="3FBE0D19"/>
    <w:rsid w:val="3FC02ED1"/>
    <w:rsid w:val="3FC356FF"/>
    <w:rsid w:val="3FC413E9"/>
    <w:rsid w:val="3FC72D2B"/>
    <w:rsid w:val="3FCAE33E"/>
    <w:rsid w:val="3FCDB47A"/>
    <w:rsid w:val="3FCEB238"/>
    <w:rsid w:val="3FCF5D28"/>
    <w:rsid w:val="3FD0A709"/>
    <w:rsid w:val="3FD15098"/>
    <w:rsid w:val="3FD1DCC9"/>
    <w:rsid w:val="3FD208E0"/>
    <w:rsid w:val="3FD599D8"/>
    <w:rsid w:val="3FD63519"/>
    <w:rsid w:val="3FD6D22A"/>
    <w:rsid w:val="3FD7686A"/>
    <w:rsid w:val="3FD787C0"/>
    <w:rsid w:val="3FD7EFAA"/>
    <w:rsid w:val="3FDAAFF7"/>
    <w:rsid w:val="3FDB58F1"/>
    <w:rsid w:val="3FDBB18D"/>
    <w:rsid w:val="3FDCD1DD"/>
    <w:rsid w:val="3FDD1A4E"/>
    <w:rsid w:val="3FDD59CD"/>
    <w:rsid w:val="3FDD5B85"/>
    <w:rsid w:val="3FDDA90F"/>
    <w:rsid w:val="3FDE015A"/>
    <w:rsid w:val="3FE256FD"/>
    <w:rsid w:val="3FE7B3B1"/>
    <w:rsid w:val="3FEB75A7"/>
    <w:rsid w:val="3FEB9F9D"/>
    <w:rsid w:val="3FECAA82"/>
    <w:rsid w:val="3FECABCA"/>
    <w:rsid w:val="3FED9FB4"/>
    <w:rsid w:val="3FEE4693"/>
    <w:rsid w:val="3FEE7C96"/>
    <w:rsid w:val="3FEEFDF9"/>
    <w:rsid w:val="3FEFD930"/>
    <w:rsid w:val="3FF251AE"/>
    <w:rsid w:val="3FF376C7"/>
    <w:rsid w:val="3FF4E1D0"/>
    <w:rsid w:val="3FF6DF0F"/>
    <w:rsid w:val="3FF7CE0E"/>
    <w:rsid w:val="3FF9DE78"/>
    <w:rsid w:val="3FFA5DD8"/>
    <w:rsid w:val="3FFB711E"/>
    <w:rsid w:val="3FFBF736"/>
    <w:rsid w:val="3FFBFB67"/>
    <w:rsid w:val="3FFEEA96"/>
    <w:rsid w:val="40005618"/>
    <w:rsid w:val="40010AE1"/>
    <w:rsid w:val="40017285"/>
    <w:rsid w:val="40045712"/>
    <w:rsid w:val="40045C47"/>
    <w:rsid w:val="4004973E"/>
    <w:rsid w:val="4004B92D"/>
    <w:rsid w:val="4009B320"/>
    <w:rsid w:val="400C93C5"/>
    <w:rsid w:val="400F87E4"/>
    <w:rsid w:val="400FD0A6"/>
    <w:rsid w:val="400FF261"/>
    <w:rsid w:val="40106478"/>
    <w:rsid w:val="4011BC21"/>
    <w:rsid w:val="40141BD9"/>
    <w:rsid w:val="4014D403"/>
    <w:rsid w:val="40167819"/>
    <w:rsid w:val="40174B16"/>
    <w:rsid w:val="401D4AB7"/>
    <w:rsid w:val="401D4C28"/>
    <w:rsid w:val="40253287"/>
    <w:rsid w:val="4025F0E5"/>
    <w:rsid w:val="4028A2DF"/>
    <w:rsid w:val="4029543A"/>
    <w:rsid w:val="402A7943"/>
    <w:rsid w:val="402ACBBA"/>
    <w:rsid w:val="402B2095"/>
    <w:rsid w:val="402B761C"/>
    <w:rsid w:val="4032A1C6"/>
    <w:rsid w:val="4033BD4D"/>
    <w:rsid w:val="4034F8C1"/>
    <w:rsid w:val="403645E1"/>
    <w:rsid w:val="4036EC5A"/>
    <w:rsid w:val="403870E9"/>
    <w:rsid w:val="403A0829"/>
    <w:rsid w:val="403BFFF6"/>
    <w:rsid w:val="403C1894"/>
    <w:rsid w:val="403EF241"/>
    <w:rsid w:val="40402A79"/>
    <w:rsid w:val="40416EB0"/>
    <w:rsid w:val="4045C38F"/>
    <w:rsid w:val="4045DFE8"/>
    <w:rsid w:val="4045EADA"/>
    <w:rsid w:val="40480410"/>
    <w:rsid w:val="4048F7EB"/>
    <w:rsid w:val="404A5A97"/>
    <w:rsid w:val="404CEEA7"/>
    <w:rsid w:val="404D2C45"/>
    <w:rsid w:val="404D7A15"/>
    <w:rsid w:val="404DC5A6"/>
    <w:rsid w:val="404F909C"/>
    <w:rsid w:val="4050FAD3"/>
    <w:rsid w:val="40521213"/>
    <w:rsid w:val="4052E916"/>
    <w:rsid w:val="405352AF"/>
    <w:rsid w:val="40571765"/>
    <w:rsid w:val="405D2CBE"/>
    <w:rsid w:val="405DDEDF"/>
    <w:rsid w:val="40600A8F"/>
    <w:rsid w:val="4060381C"/>
    <w:rsid w:val="406239F3"/>
    <w:rsid w:val="4062C009"/>
    <w:rsid w:val="4062EB5E"/>
    <w:rsid w:val="40640A49"/>
    <w:rsid w:val="40647D2A"/>
    <w:rsid w:val="4065C247"/>
    <w:rsid w:val="40670B50"/>
    <w:rsid w:val="40686898"/>
    <w:rsid w:val="406A2235"/>
    <w:rsid w:val="406E634F"/>
    <w:rsid w:val="40703842"/>
    <w:rsid w:val="40722B9C"/>
    <w:rsid w:val="4075164B"/>
    <w:rsid w:val="4075D8B0"/>
    <w:rsid w:val="40779BBB"/>
    <w:rsid w:val="407CDDB2"/>
    <w:rsid w:val="4080B1E5"/>
    <w:rsid w:val="40838DC7"/>
    <w:rsid w:val="4083BC74"/>
    <w:rsid w:val="40852B29"/>
    <w:rsid w:val="4088CA5A"/>
    <w:rsid w:val="408AB593"/>
    <w:rsid w:val="408F417C"/>
    <w:rsid w:val="40900672"/>
    <w:rsid w:val="4091F37D"/>
    <w:rsid w:val="40982167"/>
    <w:rsid w:val="409829FE"/>
    <w:rsid w:val="40991048"/>
    <w:rsid w:val="409B9122"/>
    <w:rsid w:val="409D98D3"/>
    <w:rsid w:val="409DDF70"/>
    <w:rsid w:val="409F017A"/>
    <w:rsid w:val="409F3C88"/>
    <w:rsid w:val="40A07475"/>
    <w:rsid w:val="40A13B9D"/>
    <w:rsid w:val="40A25D51"/>
    <w:rsid w:val="40A26BED"/>
    <w:rsid w:val="40A2E100"/>
    <w:rsid w:val="40A3452E"/>
    <w:rsid w:val="40A377DE"/>
    <w:rsid w:val="40A9C93F"/>
    <w:rsid w:val="40A9E5AA"/>
    <w:rsid w:val="40B194B7"/>
    <w:rsid w:val="40B1D58A"/>
    <w:rsid w:val="40B36EF3"/>
    <w:rsid w:val="40B4C4B9"/>
    <w:rsid w:val="40B55B63"/>
    <w:rsid w:val="40B65BB0"/>
    <w:rsid w:val="40B9BB1D"/>
    <w:rsid w:val="40BE21EC"/>
    <w:rsid w:val="40BEFBBB"/>
    <w:rsid w:val="40BF40C5"/>
    <w:rsid w:val="40C12297"/>
    <w:rsid w:val="40C33745"/>
    <w:rsid w:val="40C7F529"/>
    <w:rsid w:val="40C8FB10"/>
    <w:rsid w:val="40C997FF"/>
    <w:rsid w:val="40CAB909"/>
    <w:rsid w:val="40CB687E"/>
    <w:rsid w:val="40CED918"/>
    <w:rsid w:val="40CF1F4B"/>
    <w:rsid w:val="40D18D69"/>
    <w:rsid w:val="40D246D5"/>
    <w:rsid w:val="40D27CF1"/>
    <w:rsid w:val="40D2DFC7"/>
    <w:rsid w:val="40D328F2"/>
    <w:rsid w:val="40D3EFB4"/>
    <w:rsid w:val="40D6306F"/>
    <w:rsid w:val="40D6E2F5"/>
    <w:rsid w:val="40D76F9A"/>
    <w:rsid w:val="40DABC2F"/>
    <w:rsid w:val="40DC4C28"/>
    <w:rsid w:val="40DD775E"/>
    <w:rsid w:val="40E31BFF"/>
    <w:rsid w:val="40E45F86"/>
    <w:rsid w:val="40E54C53"/>
    <w:rsid w:val="40E5B0CE"/>
    <w:rsid w:val="40E5F06F"/>
    <w:rsid w:val="40E70F22"/>
    <w:rsid w:val="40E80E3D"/>
    <w:rsid w:val="40E8118F"/>
    <w:rsid w:val="40E890CE"/>
    <w:rsid w:val="40E98B57"/>
    <w:rsid w:val="40EB10C5"/>
    <w:rsid w:val="40EBBF1F"/>
    <w:rsid w:val="40ED5D2D"/>
    <w:rsid w:val="40EF1956"/>
    <w:rsid w:val="40EFA264"/>
    <w:rsid w:val="40EFDA73"/>
    <w:rsid w:val="40F1B04E"/>
    <w:rsid w:val="40F25B92"/>
    <w:rsid w:val="40F523DC"/>
    <w:rsid w:val="40F5D2E0"/>
    <w:rsid w:val="40F60B9A"/>
    <w:rsid w:val="40F62714"/>
    <w:rsid w:val="40FAB610"/>
    <w:rsid w:val="40FB3FE6"/>
    <w:rsid w:val="40FBD3A7"/>
    <w:rsid w:val="40FC48FB"/>
    <w:rsid w:val="40FD92C3"/>
    <w:rsid w:val="40FD9334"/>
    <w:rsid w:val="41003BAD"/>
    <w:rsid w:val="4100D639"/>
    <w:rsid w:val="4100E66C"/>
    <w:rsid w:val="410193B4"/>
    <w:rsid w:val="410255C0"/>
    <w:rsid w:val="4102C045"/>
    <w:rsid w:val="4102C0B5"/>
    <w:rsid w:val="4102CB8F"/>
    <w:rsid w:val="41031A31"/>
    <w:rsid w:val="4104154C"/>
    <w:rsid w:val="4104E7FC"/>
    <w:rsid w:val="4107EC01"/>
    <w:rsid w:val="4109C317"/>
    <w:rsid w:val="410D8979"/>
    <w:rsid w:val="41102BB9"/>
    <w:rsid w:val="411506BF"/>
    <w:rsid w:val="41154CE4"/>
    <w:rsid w:val="4115D6E2"/>
    <w:rsid w:val="4116CD5D"/>
    <w:rsid w:val="411998D2"/>
    <w:rsid w:val="411BA953"/>
    <w:rsid w:val="411C49E4"/>
    <w:rsid w:val="411C626B"/>
    <w:rsid w:val="411E27EA"/>
    <w:rsid w:val="411EF50F"/>
    <w:rsid w:val="412041B9"/>
    <w:rsid w:val="412067E4"/>
    <w:rsid w:val="412147E3"/>
    <w:rsid w:val="41223A2D"/>
    <w:rsid w:val="4122CF7B"/>
    <w:rsid w:val="4123B8B8"/>
    <w:rsid w:val="4125B051"/>
    <w:rsid w:val="41272C01"/>
    <w:rsid w:val="41276BC7"/>
    <w:rsid w:val="41278B67"/>
    <w:rsid w:val="4129576B"/>
    <w:rsid w:val="412B2260"/>
    <w:rsid w:val="412C9257"/>
    <w:rsid w:val="412CA166"/>
    <w:rsid w:val="41305D00"/>
    <w:rsid w:val="41313741"/>
    <w:rsid w:val="4132BCFF"/>
    <w:rsid w:val="41356A1A"/>
    <w:rsid w:val="41380893"/>
    <w:rsid w:val="4139261C"/>
    <w:rsid w:val="413EC7ED"/>
    <w:rsid w:val="414176D1"/>
    <w:rsid w:val="41422DE9"/>
    <w:rsid w:val="4144758F"/>
    <w:rsid w:val="4144A320"/>
    <w:rsid w:val="41453265"/>
    <w:rsid w:val="4148460B"/>
    <w:rsid w:val="4148C687"/>
    <w:rsid w:val="4148FB19"/>
    <w:rsid w:val="414D3C75"/>
    <w:rsid w:val="414F9FB5"/>
    <w:rsid w:val="41505305"/>
    <w:rsid w:val="41534C4A"/>
    <w:rsid w:val="41534E81"/>
    <w:rsid w:val="41537E6B"/>
    <w:rsid w:val="4155474A"/>
    <w:rsid w:val="4156A26A"/>
    <w:rsid w:val="4157EF6C"/>
    <w:rsid w:val="415A64F8"/>
    <w:rsid w:val="415D86EC"/>
    <w:rsid w:val="415E5830"/>
    <w:rsid w:val="41605786"/>
    <w:rsid w:val="4162EB48"/>
    <w:rsid w:val="4164B5CC"/>
    <w:rsid w:val="416743DC"/>
    <w:rsid w:val="4167F3E5"/>
    <w:rsid w:val="41686ADC"/>
    <w:rsid w:val="416924F4"/>
    <w:rsid w:val="416B38EC"/>
    <w:rsid w:val="416E6EAA"/>
    <w:rsid w:val="416F9493"/>
    <w:rsid w:val="41702865"/>
    <w:rsid w:val="4171613E"/>
    <w:rsid w:val="4171C1DD"/>
    <w:rsid w:val="4172A555"/>
    <w:rsid w:val="41762CC0"/>
    <w:rsid w:val="4177EC08"/>
    <w:rsid w:val="41786D89"/>
    <w:rsid w:val="41788CD7"/>
    <w:rsid w:val="4178FF97"/>
    <w:rsid w:val="417986D5"/>
    <w:rsid w:val="417999C9"/>
    <w:rsid w:val="4179F9F6"/>
    <w:rsid w:val="417AE167"/>
    <w:rsid w:val="417B1964"/>
    <w:rsid w:val="417B6148"/>
    <w:rsid w:val="417C4AEC"/>
    <w:rsid w:val="417C4B32"/>
    <w:rsid w:val="417CA091"/>
    <w:rsid w:val="417CC313"/>
    <w:rsid w:val="417E4677"/>
    <w:rsid w:val="417F1BC8"/>
    <w:rsid w:val="4181EB2B"/>
    <w:rsid w:val="41877D00"/>
    <w:rsid w:val="41898B38"/>
    <w:rsid w:val="418BB2E6"/>
    <w:rsid w:val="418D3283"/>
    <w:rsid w:val="418E417A"/>
    <w:rsid w:val="4190EAAC"/>
    <w:rsid w:val="4191676A"/>
    <w:rsid w:val="41931A47"/>
    <w:rsid w:val="4193464E"/>
    <w:rsid w:val="4195814F"/>
    <w:rsid w:val="41961341"/>
    <w:rsid w:val="4197A720"/>
    <w:rsid w:val="41987473"/>
    <w:rsid w:val="419933DF"/>
    <w:rsid w:val="419BEC23"/>
    <w:rsid w:val="419C86EF"/>
    <w:rsid w:val="419E6554"/>
    <w:rsid w:val="419F0045"/>
    <w:rsid w:val="419FF55A"/>
    <w:rsid w:val="41A1894F"/>
    <w:rsid w:val="41A289C5"/>
    <w:rsid w:val="41A40F00"/>
    <w:rsid w:val="41A49CFE"/>
    <w:rsid w:val="41A7FA48"/>
    <w:rsid w:val="41AA7F48"/>
    <w:rsid w:val="41ACA031"/>
    <w:rsid w:val="41ADA123"/>
    <w:rsid w:val="41AFE734"/>
    <w:rsid w:val="41B20F7C"/>
    <w:rsid w:val="41B28C9A"/>
    <w:rsid w:val="41B30A1C"/>
    <w:rsid w:val="41B3F8C2"/>
    <w:rsid w:val="41B5D220"/>
    <w:rsid w:val="41B636AD"/>
    <w:rsid w:val="41B644B1"/>
    <w:rsid w:val="41B83315"/>
    <w:rsid w:val="41B92F49"/>
    <w:rsid w:val="41BA0C03"/>
    <w:rsid w:val="41BF0995"/>
    <w:rsid w:val="41C03DB0"/>
    <w:rsid w:val="41C36592"/>
    <w:rsid w:val="41C45931"/>
    <w:rsid w:val="41C4F1C3"/>
    <w:rsid w:val="41C549C4"/>
    <w:rsid w:val="41C6F898"/>
    <w:rsid w:val="41C8B7D8"/>
    <w:rsid w:val="41C8CE11"/>
    <w:rsid w:val="41CBDF06"/>
    <w:rsid w:val="41CC1F35"/>
    <w:rsid w:val="41CD7E3A"/>
    <w:rsid w:val="41CE2389"/>
    <w:rsid w:val="41D0BACF"/>
    <w:rsid w:val="41D18DD9"/>
    <w:rsid w:val="41D253DF"/>
    <w:rsid w:val="41D28FC7"/>
    <w:rsid w:val="41D2A3E3"/>
    <w:rsid w:val="41D2FF7C"/>
    <w:rsid w:val="41D41CE1"/>
    <w:rsid w:val="41D4939E"/>
    <w:rsid w:val="41D6EC6C"/>
    <w:rsid w:val="41D8F92C"/>
    <w:rsid w:val="41D9384E"/>
    <w:rsid w:val="41D96C5D"/>
    <w:rsid w:val="41D9F8CE"/>
    <w:rsid w:val="41DAB1EE"/>
    <w:rsid w:val="41DBEA42"/>
    <w:rsid w:val="41DD6581"/>
    <w:rsid w:val="41E121AB"/>
    <w:rsid w:val="41E16CD2"/>
    <w:rsid w:val="41E56B65"/>
    <w:rsid w:val="41E70A10"/>
    <w:rsid w:val="41E71E08"/>
    <w:rsid w:val="41EAE8DF"/>
    <w:rsid w:val="41EEED07"/>
    <w:rsid w:val="41F53488"/>
    <w:rsid w:val="41F6D322"/>
    <w:rsid w:val="41F7FC83"/>
    <w:rsid w:val="41F822D1"/>
    <w:rsid w:val="41FA7F55"/>
    <w:rsid w:val="41FB0192"/>
    <w:rsid w:val="41FB65C0"/>
    <w:rsid w:val="41FE0373"/>
    <w:rsid w:val="41FE43CA"/>
    <w:rsid w:val="41FEDB3F"/>
    <w:rsid w:val="4200B2E4"/>
    <w:rsid w:val="42022DCB"/>
    <w:rsid w:val="420254F8"/>
    <w:rsid w:val="4206C1BF"/>
    <w:rsid w:val="42091D74"/>
    <w:rsid w:val="4209D444"/>
    <w:rsid w:val="420AA54A"/>
    <w:rsid w:val="420DCB6C"/>
    <w:rsid w:val="420F832F"/>
    <w:rsid w:val="42132D0C"/>
    <w:rsid w:val="42146DA9"/>
    <w:rsid w:val="4214AF39"/>
    <w:rsid w:val="4214BA40"/>
    <w:rsid w:val="42179285"/>
    <w:rsid w:val="42182A3C"/>
    <w:rsid w:val="421AAB57"/>
    <w:rsid w:val="421F2C0E"/>
    <w:rsid w:val="421F68DE"/>
    <w:rsid w:val="42209F46"/>
    <w:rsid w:val="42219BF5"/>
    <w:rsid w:val="4221B4E5"/>
    <w:rsid w:val="42226719"/>
    <w:rsid w:val="4223F53B"/>
    <w:rsid w:val="4225D1BF"/>
    <w:rsid w:val="4226C4D8"/>
    <w:rsid w:val="4227DA55"/>
    <w:rsid w:val="42292EB4"/>
    <w:rsid w:val="4229D9E0"/>
    <w:rsid w:val="422A4A51"/>
    <w:rsid w:val="422BE5A6"/>
    <w:rsid w:val="422D8DE1"/>
    <w:rsid w:val="422F01D4"/>
    <w:rsid w:val="423131E2"/>
    <w:rsid w:val="42321B36"/>
    <w:rsid w:val="42336D5B"/>
    <w:rsid w:val="4233918B"/>
    <w:rsid w:val="42355127"/>
    <w:rsid w:val="4236B815"/>
    <w:rsid w:val="4237A083"/>
    <w:rsid w:val="4237B7B4"/>
    <w:rsid w:val="42398A38"/>
    <w:rsid w:val="4239CEBB"/>
    <w:rsid w:val="423A170E"/>
    <w:rsid w:val="423B8141"/>
    <w:rsid w:val="423D2C54"/>
    <w:rsid w:val="4241B3E0"/>
    <w:rsid w:val="4242B135"/>
    <w:rsid w:val="424352D3"/>
    <w:rsid w:val="42438BF3"/>
    <w:rsid w:val="4244A00D"/>
    <w:rsid w:val="4245F1AC"/>
    <w:rsid w:val="42461793"/>
    <w:rsid w:val="4246E9FB"/>
    <w:rsid w:val="4247E2F0"/>
    <w:rsid w:val="4248BE1A"/>
    <w:rsid w:val="4249B3C0"/>
    <w:rsid w:val="424A157A"/>
    <w:rsid w:val="424AEFAA"/>
    <w:rsid w:val="424BFFB6"/>
    <w:rsid w:val="424D0266"/>
    <w:rsid w:val="424DCBDB"/>
    <w:rsid w:val="425006E9"/>
    <w:rsid w:val="4254743C"/>
    <w:rsid w:val="425522E0"/>
    <w:rsid w:val="42589D78"/>
    <w:rsid w:val="425C6C76"/>
    <w:rsid w:val="42643BD8"/>
    <w:rsid w:val="426499D2"/>
    <w:rsid w:val="42650DC0"/>
    <w:rsid w:val="42652579"/>
    <w:rsid w:val="42660BC6"/>
    <w:rsid w:val="4266BAF5"/>
    <w:rsid w:val="4267BB55"/>
    <w:rsid w:val="426882E4"/>
    <w:rsid w:val="42696792"/>
    <w:rsid w:val="42699CB4"/>
    <w:rsid w:val="426A11C5"/>
    <w:rsid w:val="426A89A2"/>
    <w:rsid w:val="426F712E"/>
    <w:rsid w:val="426FF7D3"/>
    <w:rsid w:val="4270737E"/>
    <w:rsid w:val="427268B0"/>
    <w:rsid w:val="42741D00"/>
    <w:rsid w:val="427473CA"/>
    <w:rsid w:val="42763B3C"/>
    <w:rsid w:val="4278DDAB"/>
    <w:rsid w:val="42790B6A"/>
    <w:rsid w:val="42796A89"/>
    <w:rsid w:val="4279E6A1"/>
    <w:rsid w:val="427E9839"/>
    <w:rsid w:val="427F10CD"/>
    <w:rsid w:val="428171E5"/>
    <w:rsid w:val="4282F5B6"/>
    <w:rsid w:val="4283B14B"/>
    <w:rsid w:val="42856228"/>
    <w:rsid w:val="428629CE"/>
    <w:rsid w:val="4289A2E0"/>
    <w:rsid w:val="428C5CE5"/>
    <w:rsid w:val="428C62A6"/>
    <w:rsid w:val="428EEF06"/>
    <w:rsid w:val="428F1045"/>
    <w:rsid w:val="428F498B"/>
    <w:rsid w:val="429020FD"/>
    <w:rsid w:val="4290670F"/>
    <w:rsid w:val="42909095"/>
    <w:rsid w:val="42919164"/>
    <w:rsid w:val="42966C6A"/>
    <w:rsid w:val="429A3957"/>
    <w:rsid w:val="429C2B0B"/>
    <w:rsid w:val="429E0BB5"/>
    <w:rsid w:val="429E2B86"/>
    <w:rsid w:val="429EC89E"/>
    <w:rsid w:val="42A4878D"/>
    <w:rsid w:val="42A4F22D"/>
    <w:rsid w:val="42A594CF"/>
    <w:rsid w:val="42A6E359"/>
    <w:rsid w:val="42A7D6A4"/>
    <w:rsid w:val="42A86F13"/>
    <w:rsid w:val="42A8F613"/>
    <w:rsid w:val="42A9F90E"/>
    <w:rsid w:val="42AEE38D"/>
    <w:rsid w:val="42B1815B"/>
    <w:rsid w:val="42B29446"/>
    <w:rsid w:val="42B3C73D"/>
    <w:rsid w:val="42B4F34E"/>
    <w:rsid w:val="42B541E6"/>
    <w:rsid w:val="42B5BB84"/>
    <w:rsid w:val="42B6A4E8"/>
    <w:rsid w:val="42B708CB"/>
    <w:rsid w:val="42B734D3"/>
    <w:rsid w:val="42B7A2E2"/>
    <w:rsid w:val="42B7DFF2"/>
    <w:rsid w:val="42BA9DDD"/>
    <w:rsid w:val="42BB3C08"/>
    <w:rsid w:val="42BC8F67"/>
    <w:rsid w:val="42BCAE48"/>
    <w:rsid w:val="42C223CB"/>
    <w:rsid w:val="42C40A7D"/>
    <w:rsid w:val="42C43377"/>
    <w:rsid w:val="42C61E7B"/>
    <w:rsid w:val="42C84EA8"/>
    <w:rsid w:val="42CAF9C0"/>
    <w:rsid w:val="42CF4CFA"/>
    <w:rsid w:val="42D37EB5"/>
    <w:rsid w:val="42D43B9B"/>
    <w:rsid w:val="42D4E776"/>
    <w:rsid w:val="42D6C730"/>
    <w:rsid w:val="42D7B968"/>
    <w:rsid w:val="42D814B8"/>
    <w:rsid w:val="42D82E8C"/>
    <w:rsid w:val="42D89B1E"/>
    <w:rsid w:val="42DAD8CB"/>
    <w:rsid w:val="42DB69E1"/>
    <w:rsid w:val="42DC5E7C"/>
    <w:rsid w:val="42DE01AA"/>
    <w:rsid w:val="42DFC66E"/>
    <w:rsid w:val="42E0BAF1"/>
    <w:rsid w:val="42E22E1E"/>
    <w:rsid w:val="42E428DB"/>
    <w:rsid w:val="42E4B891"/>
    <w:rsid w:val="42E60060"/>
    <w:rsid w:val="42E7441F"/>
    <w:rsid w:val="42E753EF"/>
    <w:rsid w:val="42E8A1C0"/>
    <w:rsid w:val="42E8C6F1"/>
    <w:rsid w:val="42EC5046"/>
    <w:rsid w:val="42EEEFE7"/>
    <w:rsid w:val="42EF6447"/>
    <w:rsid w:val="42F0DE23"/>
    <w:rsid w:val="42F2EE8E"/>
    <w:rsid w:val="42F38388"/>
    <w:rsid w:val="42F4B733"/>
    <w:rsid w:val="42F7F28A"/>
    <w:rsid w:val="42F8A562"/>
    <w:rsid w:val="42FA2647"/>
    <w:rsid w:val="42FD31C7"/>
    <w:rsid w:val="4302FC27"/>
    <w:rsid w:val="4303CE4E"/>
    <w:rsid w:val="43057C03"/>
    <w:rsid w:val="43069F99"/>
    <w:rsid w:val="4308EC01"/>
    <w:rsid w:val="430A460A"/>
    <w:rsid w:val="430BC962"/>
    <w:rsid w:val="430E8BA5"/>
    <w:rsid w:val="431050DD"/>
    <w:rsid w:val="4310B760"/>
    <w:rsid w:val="43117BA8"/>
    <w:rsid w:val="4313999D"/>
    <w:rsid w:val="4314FD02"/>
    <w:rsid w:val="43156AEB"/>
    <w:rsid w:val="43162A59"/>
    <w:rsid w:val="43174F6C"/>
    <w:rsid w:val="4318FAA5"/>
    <w:rsid w:val="43194C0E"/>
    <w:rsid w:val="431A9F60"/>
    <w:rsid w:val="431E35F9"/>
    <w:rsid w:val="431F656B"/>
    <w:rsid w:val="432016CF"/>
    <w:rsid w:val="4321A1A3"/>
    <w:rsid w:val="43243453"/>
    <w:rsid w:val="432524AE"/>
    <w:rsid w:val="4325A0DD"/>
    <w:rsid w:val="4326F746"/>
    <w:rsid w:val="432BB528"/>
    <w:rsid w:val="432F6605"/>
    <w:rsid w:val="4333DD80"/>
    <w:rsid w:val="4336ABF2"/>
    <w:rsid w:val="4336E3B2"/>
    <w:rsid w:val="4338C41D"/>
    <w:rsid w:val="433C6AC8"/>
    <w:rsid w:val="433DA035"/>
    <w:rsid w:val="433E7017"/>
    <w:rsid w:val="4343AAA4"/>
    <w:rsid w:val="434494A1"/>
    <w:rsid w:val="4344D38A"/>
    <w:rsid w:val="43469BEC"/>
    <w:rsid w:val="434769AB"/>
    <w:rsid w:val="4347D030"/>
    <w:rsid w:val="4348D920"/>
    <w:rsid w:val="434C77D0"/>
    <w:rsid w:val="43501B7C"/>
    <w:rsid w:val="43512D27"/>
    <w:rsid w:val="43524021"/>
    <w:rsid w:val="43526AA8"/>
    <w:rsid w:val="4354C147"/>
    <w:rsid w:val="4354F9AA"/>
    <w:rsid w:val="4356273F"/>
    <w:rsid w:val="43587C07"/>
    <w:rsid w:val="4359360C"/>
    <w:rsid w:val="435D4D90"/>
    <w:rsid w:val="435DE592"/>
    <w:rsid w:val="435FD300"/>
    <w:rsid w:val="4361B843"/>
    <w:rsid w:val="43621CDB"/>
    <w:rsid w:val="43637BD5"/>
    <w:rsid w:val="43648F69"/>
    <w:rsid w:val="4366D1CB"/>
    <w:rsid w:val="43689C13"/>
    <w:rsid w:val="4368BF6D"/>
    <w:rsid w:val="436B34ED"/>
    <w:rsid w:val="436B8C27"/>
    <w:rsid w:val="436DF9D9"/>
    <w:rsid w:val="43702788"/>
    <w:rsid w:val="4371D4D1"/>
    <w:rsid w:val="4372F6BF"/>
    <w:rsid w:val="43736133"/>
    <w:rsid w:val="43783247"/>
    <w:rsid w:val="43788FD4"/>
    <w:rsid w:val="43792EB6"/>
    <w:rsid w:val="437FF239"/>
    <w:rsid w:val="43808F74"/>
    <w:rsid w:val="43809F03"/>
    <w:rsid w:val="4382BC25"/>
    <w:rsid w:val="438333F3"/>
    <w:rsid w:val="43859828"/>
    <w:rsid w:val="43860CEE"/>
    <w:rsid w:val="43864E58"/>
    <w:rsid w:val="4386589F"/>
    <w:rsid w:val="43872807"/>
    <w:rsid w:val="4388D196"/>
    <w:rsid w:val="438A6A3D"/>
    <w:rsid w:val="438B7DF0"/>
    <w:rsid w:val="438CF397"/>
    <w:rsid w:val="438F8130"/>
    <w:rsid w:val="43922363"/>
    <w:rsid w:val="4393C343"/>
    <w:rsid w:val="4395A815"/>
    <w:rsid w:val="43974868"/>
    <w:rsid w:val="439796F5"/>
    <w:rsid w:val="4398C923"/>
    <w:rsid w:val="439D4411"/>
    <w:rsid w:val="439D5774"/>
    <w:rsid w:val="439E6CB9"/>
    <w:rsid w:val="439F04B2"/>
    <w:rsid w:val="439FF248"/>
    <w:rsid w:val="43A266A3"/>
    <w:rsid w:val="43A45460"/>
    <w:rsid w:val="43A5616E"/>
    <w:rsid w:val="43A751AB"/>
    <w:rsid w:val="43A82DF6"/>
    <w:rsid w:val="43A90CB7"/>
    <w:rsid w:val="43AA1183"/>
    <w:rsid w:val="43AC9751"/>
    <w:rsid w:val="43B2A701"/>
    <w:rsid w:val="43B5873A"/>
    <w:rsid w:val="43B7653C"/>
    <w:rsid w:val="43BB3445"/>
    <w:rsid w:val="43BCBCBB"/>
    <w:rsid w:val="43BD3DC2"/>
    <w:rsid w:val="43BD6C41"/>
    <w:rsid w:val="43BEAE7F"/>
    <w:rsid w:val="43BF7328"/>
    <w:rsid w:val="43C08783"/>
    <w:rsid w:val="43C500D1"/>
    <w:rsid w:val="43C55960"/>
    <w:rsid w:val="43C56651"/>
    <w:rsid w:val="43C5C1E7"/>
    <w:rsid w:val="43C9408F"/>
    <w:rsid w:val="43CAA4D8"/>
    <w:rsid w:val="43CACECF"/>
    <w:rsid w:val="43CAD0D3"/>
    <w:rsid w:val="43CBDF7F"/>
    <w:rsid w:val="43CD4CE4"/>
    <w:rsid w:val="43CF67C3"/>
    <w:rsid w:val="43CFD2EF"/>
    <w:rsid w:val="43D12F73"/>
    <w:rsid w:val="43D14744"/>
    <w:rsid w:val="43D2E0D8"/>
    <w:rsid w:val="43D58230"/>
    <w:rsid w:val="43D6F22B"/>
    <w:rsid w:val="43D7E2FB"/>
    <w:rsid w:val="43D9B272"/>
    <w:rsid w:val="43DB6237"/>
    <w:rsid w:val="43DBAEE9"/>
    <w:rsid w:val="43DCCAB8"/>
    <w:rsid w:val="43DF6CAA"/>
    <w:rsid w:val="43E0215E"/>
    <w:rsid w:val="43E04E67"/>
    <w:rsid w:val="43E398FB"/>
    <w:rsid w:val="43E5A9D4"/>
    <w:rsid w:val="43E6C2B3"/>
    <w:rsid w:val="43E6D66C"/>
    <w:rsid w:val="43E76CA0"/>
    <w:rsid w:val="43E96E67"/>
    <w:rsid w:val="43E9D620"/>
    <w:rsid w:val="43EE98FC"/>
    <w:rsid w:val="43EFE5E6"/>
    <w:rsid w:val="43F41CE9"/>
    <w:rsid w:val="43F4C794"/>
    <w:rsid w:val="43F5D31D"/>
    <w:rsid w:val="43F76DD1"/>
    <w:rsid w:val="43F77BFA"/>
    <w:rsid w:val="43FB1DFC"/>
    <w:rsid w:val="43FBAC20"/>
    <w:rsid w:val="43FFD16D"/>
    <w:rsid w:val="44013E0C"/>
    <w:rsid w:val="44030887"/>
    <w:rsid w:val="44032C90"/>
    <w:rsid w:val="4404507F"/>
    <w:rsid w:val="4405230B"/>
    <w:rsid w:val="440647D9"/>
    <w:rsid w:val="440652BA"/>
    <w:rsid w:val="44083950"/>
    <w:rsid w:val="440DDB1A"/>
    <w:rsid w:val="440EAC2B"/>
    <w:rsid w:val="440ECE92"/>
    <w:rsid w:val="440F2A0D"/>
    <w:rsid w:val="44116C4A"/>
    <w:rsid w:val="4412D3AE"/>
    <w:rsid w:val="44134785"/>
    <w:rsid w:val="44179CB8"/>
    <w:rsid w:val="441A0611"/>
    <w:rsid w:val="441A15A0"/>
    <w:rsid w:val="441BE534"/>
    <w:rsid w:val="441D867C"/>
    <w:rsid w:val="441E4B36"/>
    <w:rsid w:val="441FC26A"/>
    <w:rsid w:val="441FF0B0"/>
    <w:rsid w:val="442400A3"/>
    <w:rsid w:val="4426E4CE"/>
    <w:rsid w:val="44290F7E"/>
    <w:rsid w:val="4429A5D9"/>
    <w:rsid w:val="4429DBFA"/>
    <w:rsid w:val="442A4AD3"/>
    <w:rsid w:val="442D9004"/>
    <w:rsid w:val="44318220"/>
    <w:rsid w:val="443289E5"/>
    <w:rsid w:val="44336DFA"/>
    <w:rsid w:val="4433B3CA"/>
    <w:rsid w:val="4433ED54"/>
    <w:rsid w:val="443476EF"/>
    <w:rsid w:val="44365917"/>
    <w:rsid w:val="4436FF81"/>
    <w:rsid w:val="443969CE"/>
    <w:rsid w:val="4439DED6"/>
    <w:rsid w:val="4439FE6C"/>
    <w:rsid w:val="443BF776"/>
    <w:rsid w:val="443C241A"/>
    <w:rsid w:val="443EA5F5"/>
    <w:rsid w:val="44403558"/>
    <w:rsid w:val="4440CCB4"/>
    <w:rsid w:val="4441F4ED"/>
    <w:rsid w:val="44420DF3"/>
    <w:rsid w:val="4442B255"/>
    <w:rsid w:val="4442C00F"/>
    <w:rsid w:val="44432D57"/>
    <w:rsid w:val="4444FC5D"/>
    <w:rsid w:val="444619A6"/>
    <w:rsid w:val="44483AAB"/>
    <w:rsid w:val="44495C8E"/>
    <w:rsid w:val="444AF3E3"/>
    <w:rsid w:val="444B9908"/>
    <w:rsid w:val="444BF6CA"/>
    <w:rsid w:val="444C2849"/>
    <w:rsid w:val="444CF3AB"/>
    <w:rsid w:val="444DABF0"/>
    <w:rsid w:val="444F4300"/>
    <w:rsid w:val="4452D4FA"/>
    <w:rsid w:val="4454BD9B"/>
    <w:rsid w:val="4459F95E"/>
    <w:rsid w:val="445B4E50"/>
    <w:rsid w:val="445D8E0F"/>
    <w:rsid w:val="44614263"/>
    <w:rsid w:val="446201F3"/>
    <w:rsid w:val="4463D5D4"/>
    <w:rsid w:val="446465F0"/>
    <w:rsid w:val="4464983A"/>
    <w:rsid w:val="4465B3DB"/>
    <w:rsid w:val="4466D4A2"/>
    <w:rsid w:val="4467BFD0"/>
    <w:rsid w:val="446ACDF5"/>
    <w:rsid w:val="446B4E98"/>
    <w:rsid w:val="44752C81"/>
    <w:rsid w:val="44763DAE"/>
    <w:rsid w:val="447654C9"/>
    <w:rsid w:val="44795A09"/>
    <w:rsid w:val="447B9235"/>
    <w:rsid w:val="447D172B"/>
    <w:rsid w:val="447E78E7"/>
    <w:rsid w:val="44827D70"/>
    <w:rsid w:val="4484BAC7"/>
    <w:rsid w:val="4485736D"/>
    <w:rsid w:val="4486182E"/>
    <w:rsid w:val="448B66CD"/>
    <w:rsid w:val="448BD810"/>
    <w:rsid w:val="448D29F2"/>
    <w:rsid w:val="448D681F"/>
    <w:rsid w:val="448D6F8D"/>
    <w:rsid w:val="448E2D60"/>
    <w:rsid w:val="4490476C"/>
    <w:rsid w:val="44908814"/>
    <w:rsid w:val="4493962B"/>
    <w:rsid w:val="4494C55E"/>
    <w:rsid w:val="4498732E"/>
    <w:rsid w:val="4499DC34"/>
    <w:rsid w:val="449ABF10"/>
    <w:rsid w:val="449B60F5"/>
    <w:rsid w:val="449BDB96"/>
    <w:rsid w:val="449D0A54"/>
    <w:rsid w:val="44A1B157"/>
    <w:rsid w:val="44A2704C"/>
    <w:rsid w:val="44A2FED3"/>
    <w:rsid w:val="44A34AA7"/>
    <w:rsid w:val="44A55A07"/>
    <w:rsid w:val="44A5958B"/>
    <w:rsid w:val="44A9CA21"/>
    <w:rsid w:val="44ABD252"/>
    <w:rsid w:val="44AC132D"/>
    <w:rsid w:val="44AF0A19"/>
    <w:rsid w:val="44B04676"/>
    <w:rsid w:val="44B4FD1A"/>
    <w:rsid w:val="44B84763"/>
    <w:rsid w:val="44BA9BC2"/>
    <w:rsid w:val="44BBBE2D"/>
    <w:rsid w:val="44BC8384"/>
    <w:rsid w:val="44BEFAA8"/>
    <w:rsid w:val="44C08960"/>
    <w:rsid w:val="44C15801"/>
    <w:rsid w:val="44C195B7"/>
    <w:rsid w:val="44C2D914"/>
    <w:rsid w:val="44C32723"/>
    <w:rsid w:val="44C8316C"/>
    <w:rsid w:val="44C90552"/>
    <w:rsid w:val="44CCA9B9"/>
    <w:rsid w:val="44CE2DE4"/>
    <w:rsid w:val="44D0878C"/>
    <w:rsid w:val="44D132AB"/>
    <w:rsid w:val="44D26F29"/>
    <w:rsid w:val="44D3B49A"/>
    <w:rsid w:val="44D80F51"/>
    <w:rsid w:val="44D82A52"/>
    <w:rsid w:val="44D8D66D"/>
    <w:rsid w:val="44DA0C02"/>
    <w:rsid w:val="44DA5025"/>
    <w:rsid w:val="44DC2AD2"/>
    <w:rsid w:val="44DC36E1"/>
    <w:rsid w:val="44DDF915"/>
    <w:rsid w:val="44DF75DB"/>
    <w:rsid w:val="44E1444F"/>
    <w:rsid w:val="44E46BC8"/>
    <w:rsid w:val="44E4B243"/>
    <w:rsid w:val="44E6F4EB"/>
    <w:rsid w:val="44EE6CCC"/>
    <w:rsid w:val="44EEC059"/>
    <w:rsid w:val="44F1E97E"/>
    <w:rsid w:val="44F2476B"/>
    <w:rsid w:val="44F3726F"/>
    <w:rsid w:val="44F4B12F"/>
    <w:rsid w:val="44F57864"/>
    <w:rsid w:val="44F5957B"/>
    <w:rsid w:val="44F77CAC"/>
    <w:rsid w:val="44FA1FFA"/>
    <w:rsid w:val="44FB829B"/>
    <w:rsid w:val="44FC677F"/>
    <w:rsid w:val="44FF821A"/>
    <w:rsid w:val="4503556F"/>
    <w:rsid w:val="45064D64"/>
    <w:rsid w:val="4506CC9C"/>
    <w:rsid w:val="4509392C"/>
    <w:rsid w:val="4509690D"/>
    <w:rsid w:val="450B0D1C"/>
    <w:rsid w:val="450C4410"/>
    <w:rsid w:val="450CDFFC"/>
    <w:rsid w:val="450D38AF"/>
    <w:rsid w:val="4510B5B4"/>
    <w:rsid w:val="4511C582"/>
    <w:rsid w:val="4511DDDD"/>
    <w:rsid w:val="45125FCC"/>
    <w:rsid w:val="4513CD3D"/>
    <w:rsid w:val="4518616B"/>
    <w:rsid w:val="4518D29D"/>
    <w:rsid w:val="45195D2D"/>
    <w:rsid w:val="4519EDAB"/>
    <w:rsid w:val="451CD329"/>
    <w:rsid w:val="451F6FE2"/>
    <w:rsid w:val="4523661A"/>
    <w:rsid w:val="45249D87"/>
    <w:rsid w:val="45263913"/>
    <w:rsid w:val="4527AA61"/>
    <w:rsid w:val="4528DCA0"/>
    <w:rsid w:val="4529EFAB"/>
    <w:rsid w:val="452D6C7A"/>
    <w:rsid w:val="45308B04"/>
    <w:rsid w:val="4530AE02"/>
    <w:rsid w:val="4530B084"/>
    <w:rsid w:val="4532498B"/>
    <w:rsid w:val="45333F3C"/>
    <w:rsid w:val="45334341"/>
    <w:rsid w:val="4533C160"/>
    <w:rsid w:val="45399A13"/>
    <w:rsid w:val="453B0014"/>
    <w:rsid w:val="453DD825"/>
    <w:rsid w:val="453EF70B"/>
    <w:rsid w:val="453F761D"/>
    <w:rsid w:val="45441EDC"/>
    <w:rsid w:val="454689B4"/>
    <w:rsid w:val="4546C021"/>
    <w:rsid w:val="454751CB"/>
    <w:rsid w:val="45477CA9"/>
    <w:rsid w:val="4547B571"/>
    <w:rsid w:val="4549764D"/>
    <w:rsid w:val="454B6E2E"/>
    <w:rsid w:val="454F0CA4"/>
    <w:rsid w:val="454FD325"/>
    <w:rsid w:val="455243DB"/>
    <w:rsid w:val="4554B037"/>
    <w:rsid w:val="4554C6F2"/>
    <w:rsid w:val="455749AF"/>
    <w:rsid w:val="45585894"/>
    <w:rsid w:val="455A3198"/>
    <w:rsid w:val="455B37F1"/>
    <w:rsid w:val="455EC6FD"/>
    <w:rsid w:val="455FF850"/>
    <w:rsid w:val="4560A86D"/>
    <w:rsid w:val="4560EA48"/>
    <w:rsid w:val="456103DA"/>
    <w:rsid w:val="4561906C"/>
    <w:rsid w:val="4564D78E"/>
    <w:rsid w:val="4565C630"/>
    <w:rsid w:val="4566C29E"/>
    <w:rsid w:val="456A8BC1"/>
    <w:rsid w:val="456BB8D5"/>
    <w:rsid w:val="456BE612"/>
    <w:rsid w:val="456C2D2F"/>
    <w:rsid w:val="456D2BE2"/>
    <w:rsid w:val="456DDC55"/>
    <w:rsid w:val="456E571C"/>
    <w:rsid w:val="456EC2A3"/>
    <w:rsid w:val="456F6C11"/>
    <w:rsid w:val="456F7D22"/>
    <w:rsid w:val="457122CD"/>
    <w:rsid w:val="45765122"/>
    <w:rsid w:val="45785A74"/>
    <w:rsid w:val="457A81A4"/>
    <w:rsid w:val="457E047B"/>
    <w:rsid w:val="457EA463"/>
    <w:rsid w:val="4585D3C0"/>
    <w:rsid w:val="458799EA"/>
    <w:rsid w:val="4588B780"/>
    <w:rsid w:val="458A315E"/>
    <w:rsid w:val="458AD3CF"/>
    <w:rsid w:val="458DD1B2"/>
    <w:rsid w:val="458E62FA"/>
    <w:rsid w:val="458E8B10"/>
    <w:rsid w:val="458F4693"/>
    <w:rsid w:val="459705B4"/>
    <w:rsid w:val="45976281"/>
    <w:rsid w:val="459830AF"/>
    <w:rsid w:val="459A0426"/>
    <w:rsid w:val="459CBEE1"/>
    <w:rsid w:val="459D20AB"/>
    <w:rsid w:val="459DF1FD"/>
    <w:rsid w:val="45A1DB85"/>
    <w:rsid w:val="45A27D20"/>
    <w:rsid w:val="45A28CB0"/>
    <w:rsid w:val="45A46B05"/>
    <w:rsid w:val="45AAC7D8"/>
    <w:rsid w:val="45AAEFA6"/>
    <w:rsid w:val="45AEE0C6"/>
    <w:rsid w:val="45AFD5E9"/>
    <w:rsid w:val="45B056CD"/>
    <w:rsid w:val="45B16CDF"/>
    <w:rsid w:val="45B222B6"/>
    <w:rsid w:val="45B26B36"/>
    <w:rsid w:val="45B27C3A"/>
    <w:rsid w:val="45B43EA0"/>
    <w:rsid w:val="45B5194E"/>
    <w:rsid w:val="45B61B64"/>
    <w:rsid w:val="45B7A409"/>
    <w:rsid w:val="45B7B49A"/>
    <w:rsid w:val="45B8930B"/>
    <w:rsid w:val="45BD4F07"/>
    <w:rsid w:val="45BDEA0D"/>
    <w:rsid w:val="45BDFD69"/>
    <w:rsid w:val="45C0988B"/>
    <w:rsid w:val="45C0E544"/>
    <w:rsid w:val="45C37A29"/>
    <w:rsid w:val="45C5D2E5"/>
    <w:rsid w:val="45C71BAC"/>
    <w:rsid w:val="45CA24D1"/>
    <w:rsid w:val="45CD6038"/>
    <w:rsid w:val="45CDEF61"/>
    <w:rsid w:val="45CF2E45"/>
    <w:rsid w:val="45CF407E"/>
    <w:rsid w:val="45D0DAA4"/>
    <w:rsid w:val="45D56088"/>
    <w:rsid w:val="45D565D9"/>
    <w:rsid w:val="45D5F80D"/>
    <w:rsid w:val="45D633EC"/>
    <w:rsid w:val="45D71E73"/>
    <w:rsid w:val="45D78053"/>
    <w:rsid w:val="45D7FD79"/>
    <w:rsid w:val="45D8DD1B"/>
    <w:rsid w:val="45D91145"/>
    <w:rsid w:val="45DAC3B5"/>
    <w:rsid w:val="45E17D9D"/>
    <w:rsid w:val="45E2EBDA"/>
    <w:rsid w:val="45E347A6"/>
    <w:rsid w:val="45E383E2"/>
    <w:rsid w:val="45E3B1C0"/>
    <w:rsid w:val="45E3DED0"/>
    <w:rsid w:val="45E8973A"/>
    <w:rsid w:val="45ED1B09"/>
    <w:rsid w:val="45ED5FB8"/>
    <w:rsid w:val="45EDA280"/>
    <w:rsid w:val="45EDCF15"/>
    <w:rsid w:val="45EE2460"/>
    <w:rsid w:val="45EF13BE"/>
    <w:rsid w:val="45F064F2"/>
    <w:rsid w:val="45F13341"/>
    <w:rsid w:val="45F214C9"/>
    <w:rsid w:val="45F30DBF"/>
    <w:rsid w:val="45FB201E"/>
    <w:rsid w:val="45FBB939"/>
    <w:rsid w:val="45FC7F4E"/>
    <w:rsid w:val="45FE21F9"/>
    <w:rsid w:val="45FED38E"/>
    <w:rsid w:val="45FF8431"/>
    <w:rsid w:val="45FFE25A"/>
    <w:rsid w:val="4603F1E2"/>
    <w:rsid w:val="4604A3AE"/>
    <w:rsid w:val="4606EE0F"/>
    <w:rsid w:val="46078485"/>
    <w:rsid w:val="4607DB6C"/>
    <w:rsid w:val="460842C5"/>
    <w:rsid w:val="460B6509"/>
    <w:rsid w:val="460BE6EC"/>
    <w:rsid w:val="460C0CFA"/>
    <w:rsid w:val="460CD7EA"/>
    <w:rsid w:val="460D01CB"/>
    <w:rsid w:val="460F2D74"/>
    <w:rsid w:val="4611511C"/>
    <w:rsid w:val="4611D615"/>
    <w:rsid w:val="4613667C"/>
    <w:rsid w:val="461AAB3D"/>
    <w:rsid w:val="461BB71A"/>
    <w:rsid w:val="461C70C0"/>
    <w:rsid w:val="461D8644"/>
    <w:rsid w:val="461E17B6"/>
    <w:rsid w:val="46209616"/>
    <w:rsid w:val="4621F932"/>
    <w:rsid w:val="46259019"/>
    <w:rsid w:val="4625D1F8"/>
    <w:rsid w:val="4628C1FC"/>
    <w:rsid w:val="4628F9DB"/>
    <w:rsid w:val="4629F0F3"/>
    <w:rsid w:val="462CD271"/>
    <w:rsid w:val="462DB490"/>
    <w:rsid w:val="46314547"/>
    <w:rsid w:val="463162B1"/>
    <w:rsid w:val="46319123"/>
    <w:rsid w:val="4634667A"/>
    <w:rsid w:val="46348FAC"/>
    <w:rsid w:val="4636357C"/>
    <w:rsid w:val="4638BD34"/>
    <w:rsid w:val="4639E86D"/>
    <w:rsid w:val="4639F999"/>
    <w:rsid w:val="463CD322"/>
    <w:rsid w:val="463E619B"/>
    <w:rsid w:val="46434243"/>
    <w:rsid w:val="46438EDE"/>
    <w:rsid w:val="46452920"/>
    <w:rsid w:val="4645A567"/>
    <w:rsid w:val="464773F9"/>
    <w:rsid w:val="46497494"/>
    <w:rsid w:val="4651C928"/>
    <w:rsid w:val="46525242"/>
    <w:rsid w:val="465341FE"/>
    <w:rsid w:val="4653DF3F"/>
    <w:rsid w:val="46587405"/>
    <w:rsid w:val="465B0D12"/>
    <w:rsid w:val="465C0FA2"/>
    <w:rsid w:val="465CA2EF"/>
    <w:rsid w:val="465D0FEC"/>
    <w:rsid w:val="46665B38"/>
    <w:rsid w:val="4668453A"/>
    <w:rsid w:val="4668E1A9"/>
    <w:rsid w:val="466A0B3D"/>
    <w:rsid w:val="466AE3C3"/>
    <w:rsid w:val="466C65E2"/>
    <w:rsid w:val="466D29EF"/>
    <w:rsid w:val="4670DD92"/>
    <w:rsid w:val="467266B7"/>
    <w:rsid w:val="46733E4D"/>
    <w:rsid w:val="46738EF8"/>
    <w:rsid w:val="4673CAF8"/>
    <w:rsid w:val="46742A6A"/>
    <w:rsid w:val="4675A206"/>
    <w:rsid w:val="46763A09"/>
    <w:rsid w:val="467674CC"/>
    <w:rsid w:val="4676EC7F"/>
    <w:rsid w:val="4679DB4E"/>
    <w:rsid w:val="467AD467"/>
    <w:rsid w:val="467C0A9C"/>
    <w:rsid w:val="467E07C7"/>
    <w:rsid w:val="467E6FDE"/>
    <w:rsid w:val="467F1368"/>
    <w:rsid w:val="4682C23F"/>
    <w:rsid w:val="4683D4C4"/>
    <w:rsid w:val="46878677"/>
    <w:rsid w:val="46893453"/>
    <w:rsid w:val="4689BA88"/>
    <w:rsid w:val="468E589D"/>
    <w:rsid w:val="469109CA"/>
    <w:rsid w:val="4692D0CC"/>
    <w:rsid w:val="4696186C"/>
    <w:rsid w:val="469763C2"/>
    <w:rsid w:val="46989F51"/>
    <w:rsid w:val="469B19CB"/>
    <w:rsid w:val="469D74CF"/>
    <w:rsid w:val="469EEBB9"/>
    <w:rsid w:val="469FBE03"/>
    <w:rsid w:val="469FED87"/>
    <w:rsid w:val="46A2AFD8"/>
    <w:rsid w:val="46A5F35D"/>
    <w:rsid w:val="46A7C3F8"/>
    <w:rsid w:val="46AAC605"/>
    <w:rsid w:val="46AC9562"/>
    <w:rsid w:val="46ACB504"/>
    <w:rsid w:val="46ACBE55"/>
    <w:rsid w:val="46ADAF17"/>
    <w:rsid w:val="46AFB333"/>
    <w:rsid w:val="46B1D972"/>
    <w:rsid w:val="46B5D021"/>
    <w:rsid w:val="46B70C06"/>
    <w:rsid w:val="46B75971"/>
    <w:rsid w:val="46B7E7FA"/>
    <w:rsid w:val="46BAA3E2"/>
    <w:rsid w:val="46BBBCAC"/>
    <w:rsid w:val="46BCE0B8"/>
    <w:rsid w:val="46BEA437"/>
    <w:rsid w:val="46BF9BAB"/>
    <w:rsid w:val="46C0F5E9"/>
    <w:rsid w:val="46C1729F"/>
    <w:rsid w:val="46C1808C"/>
    <w:rsid w:val="46C2416C"/>
    <w:rsid w:val="46C3A96F"/>
    <w:rsid w:val="46C3FB30"/>
    <w:rsid w:val="46C4F25F"/>
    <w:rsid w:val="46CBECAC"/>
    <w:rsid w:val="46D1D97A"/>
    <w:rsid w:val="46D4AD48"/>
    <w:rsid w:val="46D4FC80"/>
    <w:rsid w:val="46D75D15"/>
    <w:rsid w:val="46D7CB6F"/>
    <w:rsid w:val="46D8DFF1"/>
    <w:rsid w:val="46DA5111"/>
    <w:rsid w:val="46DA86EE"/>
    <w:rsid w:val="46DDC0C5"/>
    <w:rsid w:val="46DF3C69"/>
    <w:rsid w:val="46E08D42"/>
    <w:rsid w:val="46E09FAF"/>
    <w:rsid w:val="46E117D6"/>
    <w:rsid w:val="46E1BD87"/>
    <w:rsid w:val="46E255B1"/>
    <w:rsid w:val="46E2F936"/>
    <w:rsid w:val="46E48FC1"/>
    <w:rsid w:val="46E6DDE1"/>
    <w:rsid w:val="46E7542A"/>
    <w:rsid w:val="46E9166C"/>
    <w:rsid w:val="46EA1DA9"/>
    <w:rsid w:val="46EEDB37"/>
    <w:rsid w:val="46EF50D1"/>
    <w:rsid w:val="46EF956D"/>
    <w:rsid w:val="46F0610B"/>
    <w:rsid w:val="46F13FE7"/>
    <w:rsid w:val="46F3A89B"/>
    <w:rsid w:val="46F549C2"/>
    <w:rsid w:val="46F54DCD"/>
    <w:rsid w:val="46F5DFDD"/>
    <w:rsid w:val="46F62750"/>
    <w:rsid w:val="46F99B6B"/>
    <w:rsid w:val="46FA779C"/>
    <w:rsid w:val="46FCB401"/>
    <w:rsid w:val="46FD7D7A"/>
    <w:rsid w:val="47008D37"/>
    <w:rsid w:val="47012EB4"/>
    <w:rsid w:val="470142C0"/>
    <w:rsid w:val="4702B7CD"/>
    <w:rsid w:val="47033E49"/>
    <w:rsid w:val="47034BD1"/>
    <w:rsid w:val="470808DD"/>
    <w:rsid w:val="47081AFE"/>
    <w:rsid w:val="4708EF4C"/>
    <w:rsid w:val="4709CCC6"/>
    <w:rsid w:val="470C7EDE"/>
    <w:rsid w:val="471272D4"/>
    <w:rsid w:val="471545D1"/>
    <w:rsid w:val="47159C63"/>
    <w:rsid w:val="47182712"/>
    <w:rsid w:val="47190679"/>
    <w:rsid w:val="471A0FA7"/>
    <w:rsid w:val="471C61FF"/>
    <w:rsid w:val="471D6A1C"/>
    <w:rsid w:val="471E6BA7"/>
    <w:rsid w:val="4722CA11"/>
    <w:rsid w:val="472487B1"/>
    <w:rsid w:val="47249AC6"/>
    <w:rsid w:val="472912A3"/>
    <w:rsid w:val="4729EA14"/>
    <w:rsid w:val="472BC5BD"/>
    <w:rsid w:val="472C08F6"/>
    <w:rsid w:val="472C13BC"/>
    <w:rsid w:val="472C9CD7"/>
    <w:rsid w:val="472D879E"/>
    <w:rsid w:val="472EE99F"/>
    <w:rsid w:val="472F2341"/>
    <w:rsid w:val="47302779"/>
    <w:rsid w:val="47306266"/>
    <w:rsid w:val="4732EF7E"/>
    <w:rsid w:val="47345F81"/>
    <w:rsid w:val="4734DD88"/>
    <w:rsid w:val="4737112F"/>
    <w:rsid w:val="473A01C4"/>
    <w:rsid w:val="473AB2FB"/>
    <w:rsid w:val="473B385C"/>
    <w:rsid w:val="473B6FD2"/>
    <w:rsid w:val="473D78A3"/>
    <w:rsid w:val="473DEA4D"/>
    <w:rsid w:val="473E2AF3"/>
    <w:rsid w:val="47419F74"/>
    <w:rsid w:val="47420518"/>
    <w:rsid w:val="4742A62D"/>
    <w:rsid w:val="474395B9"/>
    <w:rsid w:val="474A9DFC"/>
    <w:rsid w:val="474AF7FD"/>
    <w:rsid w:val="474DD83B"/>
    <w:rsid w:val="474E6570"/>
    <w:rsid w:val="474F9819"/>
    <w:rsid w:val="4750FCB8"/>
    <w:rsid w:val="4753D232"/>
    <w:rsid w:val="475630DE"/>
    <w:rsid w:val="4757518A"/>
    <w:rsid w:val="475A39C5"/>
    <w:rsid w:val="475B3B38"/>
    <w:rsid w:val="475B637B"/>
    <w:rsid w:val="475BE09B"/>
    <w:rsid w:val="475D6FB7"/>
    <w:rsid w:val="475E9315"/>
    <w:rsid w:val="4760C225"/>
    <w:rsid w:val="4765E624"/>
    <w:rsid w:val="47669BC9"/>
    <w:rsid w:val="4767D447"/>
    <w:rsid w:val="4768F697"/>
    <w:rsid w:val="47694BEA"/>
    <w:rsid w:val="476AD59F"/>
    <w:rsid w:val="476E05DB"/>
    <w:rsid w:val="476EF50E"/>
    <w:rsid w:val="477220E6"/>
    <w:rsid w:val="4772CBE7"/>
    <w:rsid w:val="4772FDCF"/>
    <w:rsid w:val="4773401B"/>
    <w:rsid w:val="47784611"/>
    <w:rsid w:val="477B286F"/>
    <w:rsid w:val="477B5BC7"/>
    <w:rsid w:val="477C5F55"/>
    <w:rsid w:val="477EA6C7"/>
    <w:rsid w:val="477F8992"/>
    <w:rsid w:val="4782CF59"/>
    <w:rsid w:val="4785E9C5"/>
    <w:rsid w:val="478758A5"/>
    <w:rsid w:val="47885CE6"/>
    <w:rsid w:val="47899A9C"/>
    <w:rsid w:val="479112AE"/>
    <w:rsid w:val="479379AF"/>
    <w:rsid w:val="479678EC"/>
    <w:rsid w:val="4798A061"/>
    <w:rsid w:val="4798C576"/>
    <w:rsid w:val="479B312F"/>
    <w:rsid w:val="479B9CE3"/>
    <w:rsid w:val="47A45D18"/>
    <w:rsid w:val="47A474AC"/>
    <w:rsid w:val="47A5A7AE"/>
    <w:rsid w:val="47A5BE2E"/>
    <w:rsid w:val="47A61F21"/>
    <w:rsid w:val="47A85BE6"/>
    <w:rsid w:val="47AA0BD5"/>
    <w:rsid w:val="47AA1649"/>
    <w:rsid w:val="47AB748F"/>
    <w:rsid w:val="47ADDE00"/>
    <w:rsid w:val="47AFBD40"/>
    <w:rsid w:val="47B1E894"/>
    <w:rsid w:val="47B36C57"/>
    <w:rsid w:val="47B3AE8C"/>
    <w:rsid w:val="47B44D3B"/>
    <w:rsid w:val="47B5B1B7"/>
    <w:rsid w:val="47B66C2D"/>
    <w:rsid w:val="47B8BBAC"/>
    <w:rsid w:val="47B8D985"/>
    <w:rsid w:val="47B8F689"/>
    <w:rsid w:val="47B9EFA6"/>
    <w:rsid w:val="47BAF903"/>
    <w:rsid w:val="47BD053B"/>
    <w:rsid w:val="47BD892A"/>
    <w:rsid w:val="47BEF8A7"/>
    <w:rsid w:val="47C3E976"/>
    <w:rsid w:val="47C940EA"/>
    <w:rsid w:val="47CBC19E"/>
    <w:rsid w:val="47CD646F"/>
    <w:rsid w:val="47D12442"/>
    <w:rsid w:val="47D35600"/>
    <w:rsid w:val="47D401A5"/>
    <w:rsid w:val="47D53C15"/>
    <w:rsid w:val="47D67231"/>
    <w:rsid w:val="47D72367"/>
    <w:rsid w:val="47D76590"/>
    <w:rsid w:val="47D76891"/>
    <w:rsid w:val="47D89297"/>
    <w:rsid w:val="47DA0089"/>
    <w:rsid w:val="47DDBB5B"/>
    <w:rsid w:val="47E2B079"/>
    <w:rsid w:val="47E312F9"/>
    <w:rsid w:val="47E4AC0D"/>
    <w:rsid w:val="47E4BFAC"/>
    <w:rsid w:val="47E6B626"/>
    <w:rsid w:val="47E6D20F"/>
    <w:rsid w:val="47E9B95C"/>
    <w:rsid w:val="47E9CBC6"/>
    <w:rsid w:val="47EA1FEC"/>
    <w:rsid w:val="47EB9172"/>
    <w:rsid w:val="47EC5208"/>
    <w:rsid w:val="47ECD704"/>
    <w:rsid w:val="47EE09FF"/>
    <w:rsid w:val="47EE74CB"/>
    <w:rsid w:val="47EE833A"/>
    <w:rsid w:val="47EF9116"/>
    <w:rsid w:val="47F0FE6A"/>
    <w:rsid w:val="47F14F98"/>
    <w:rsid w:val="47F1C7F5"/>
    <w:rsid w:val="47F20642"/>
    <w:rsid w:val="47F778F6"/>
    <w:rsid w:val="47F8D7BE"/>
    <w:rsid w:val="47F8E6FE"/>
    <w:rsid w:val="47FEEB09"/>
    <w:rsid w:val="4801A81D"/>
    <w:rsid w:val="4809426E"/>
    <w:rsid w:val="4809A4D9"/>
    <w:rsid w:val="480EF2EE"/>
    <w:rsid w:val="4812DB69"/>
    <w:rsid w:val="48146BEA"/>
    <w:rsid w:val="48166867"/>
    <w:rsid w:val="4816AB84"/>
    <w:rsid w:val="481A63D1"/>
    <w:rsid w:val="481ADC76"/>
    <w:rsid w:val="481D2580"/>
    <w:rsid w:val="481F4770"/>
    <w:rsid w:val="48210FDC"/>
    <w:rsid w:val="4822B2CE"/>
    <w:rsid w:val="4823828A"/>
    <w:rsid w:val="4823E2FB"/>
    <w:rsid w:val="48243D4C"/>
    <w:rsid w:val="48280DA0"/>
    <w:rsid w:val="48295C3F"/>
    <w:rsid w:val="482AB3AD"/>
    <w:rsid w:val="482C2EB7"/>
    <w:rsid w:val="482D02CB"/>
    <w:rsid w:val="482EFED4"/>
    <w:rsid w:val="4833CD94"/>
    <w:rsid w:val="48355F5F"/>
    <w:rsid w:val="48362CC6"/>
    <w:rsid w:val="48364648"/>
    <w:rsid w:val="48377086"/>
    <w:rsid w:val="483817B4"/>
    <w:rsid w:val="4838281F"/>
    <w:rsid w:val="483970BE"/>
    <w:rsid w:val="4839D55F"/>
    <w:rsid w:val="483A0262"/>
    <w:rsid w:val="483B2BE0"/>
    <w:rsid w:val="483D2B7E"/>
    <w:rsid w:val="483DDB38"/>
    <w:rsid w:val="484358BD"/>
    <w:rsid w:val="4843EBDC"/>
    <w:rsid w:val="48441841"/>
    <w:rsid w:val="4845B528"/>
    <w:rsid w:val="4845C8AC"/>
    <w:rsid w:val="48460B28"/>
    <w:rsid w:val="484687BC"/>
    <w:rsid w:val="484CDEB6"/>
    <w:rsid w:val="484EC3C3"/>
    <w:rsid w:val="48558E59"/>
    <w:rsid w:val="485BCE2E"/>
    <w:rsid w:val="485C880F"/>
    <w:rsid w:val="485D240B"/>
    <w:rsid w:val="4860B133"/>
    <w:rsid w:val="48629843"/>
    <w:rsid w:val="48634776"/>
    <w:rsid w:val="48636AEC"/>
    <w:rsid w:val="4863E278"/>
    <w:rsid w:val="48689959"/>
    <w:rsid w:val="48695103"/>
    <w:rsid w:val="486BD683"/>
    <w:rsid w:val="486F1AEB"/>
    <w:rsid w:val="48718A99"/>
    <w:rsid w:val="48759585"/>
    <w:rsid w:val="4875F282"/>
    <w:rsid w:val="487D0DEA"/>
    <w:rsid w:val="48823040"/>
    <w:rsid w:val="48840544"/>
    <w:rsid w:val="48859C5C"/>
    <w:rsid w:val="4887752C"/>
    <w:rsid w:val="48878DCE"/>
    <w:rsid w:val="4889D2F7"/>
    <w:rsid w:val="488AD134"/>
    <w:rsid w:val="488BD6EA"/>
    <w:rsid w:val="488C019D"/>
    <w:rsid w:val="488E72E6"/>
    <w:rsid w:val="488EF916"/>
    <w:rsid w:val="488F864B"/>
    <w:rsid w:val="4890865E"/>
    <w:rsid w:val="489091A8"/>
    <w:rsid w:val="4891F33D"/>
    <w:rsid w:val="489316CB"/>
    <w:rsid w:val="48932A66"/>
    <w:rsid w:val="4894503E"/>
    <w:rsid w:val="48977168"/>
    <w:rsid w:val="4897FEEA"/>
    <w:rsid w:val="4898297A"/>
    <w:rsid w:val="4898437D"/>
    <w:rsid w:val="4898CE71"/>
    <w:rsid w:val="489A028F"/>
    <w:rsid w:val="489BDC15"/>
    <w:rsid w:val="489C6BED"/>
    <w:rsid w:val="489CEB59"/>
    <w:rsid w:val="489F0439"/>
    <w:rsid w:val="48A1F512"/>
    <w:rsid w:val="48A2C63C"/>
    <w:rsid w:val="48A3A33F"/>
    <w:rsid w:val="48A4967E"/>
    <w:rsid w:val="48A5C3CD"/>
    <w:rsid w:val="48AA4DD1"/>
    <w:rsid w:val="48AAB3D2"/>
    <w:rsid w:val="48AABB12"/>
    <w:rsid w:val="48AABD2D"/>
    <w:rsid w:val="48AACA07"/>
    <w:rsid w:val="48AFD127"/>
    <w:rsid w:val="48B1A156"/>
    <w:rsid w:val="48B1B577"/>
    <w:rsid w:val="48B20141"/>
    <w:rsid w:val="48B5CEF4"/>
    <w:rsid w:val="48B807C7"/>
    <w:rsid w:val="48B8B703"/>
    <w:rsid w:val="48BB33F2"/>
    <w:rsid w:val="48BCA437"/>
    <w:rsid w:val="48BCF45B"/>
    <w:rsid w:val="48BD1610"/>
    <w:rsid w:val="48BEA7AD"/>
    <w:rsid w:val="48C15408"/>
    <w:rsid w:val="48C16BA6"/>
    <w:rsid w:val="48C536B0"/>
    <w:rsid w:val="48C83701"/>
    <w:rsid w:val="48C8A32B"/>
    <w:rsid w:val="48C8D155"/>
    <w:rsid w:val="48C94116"/>
    <w:rsid w:val="48CC1DFF"/>
    <w:rsid w:val="48CC4AB5"/>
    <w:rsid w:val="48CD0366"/>
    <w:rsid w:val="48CD10A0"/>
    <w:rsid w:val="48D25389"/>
    <w:rsid w:val="48D25F0D"/>
    <w:rsid w:val="48D2C0D4"/>
    <w:rsid w:val="48D2FF53"/>
    <w:rsid w:val="48D42B26"/>
    <w:rsid w:val="48D7A881"/>
    <w:rsid w:val="48D8664C"/>
    <w:rsid w:val="48DB7429"/>
    <w:rsid w:val="48DD5B67"/>
    <w:rsid w:val="48E3180E"/>
    <w:rsid w:val="48E3552C"/>
    <w:rsid w:val="48E3D853"/>
    <w:rsid w:val="48E640E3"/>
    <w:rsid w:val="48E6CCD2"/>
    <w:rsid w:val="48E9AC1B"/>
    <w:rsid w:val="48EA8D09"/>
    <w:rsid w:val="48EB56D3"/>
    <w:rsid w:val="48EC0C61"/>
    <w:rsid w:val="48F1D9D6"/>
    <w:rsid w:val="48F6EA19"/>
    <w:rsid w:val="48F79154"/>
    <w:rsid w:val="48F81DF7"/>
    <w:rsid w:val="48F8C7B3"/>
    <w:rsid w:val="48FAB02A"/>
    <w:rsid w:val="48FB66FD"/>
    <w:rsid w:val="48FE788A"/>
    <w:rsid w:val="4902311D"/>
    <w:rsid w:val="49046140"/>
    <w:rsid w:val="4904B3A0"/>
    <w:rsid w:val="4906DF01"/>
    <w:rsid w:val="49079588"/>
    <w:rsid w:val="4908141C"/>
    <w:rsid w:val="490AF89A"/>
    <w:rsid w:val="490C7DDB"/>
    <w:rsid w:val="490D4097"/>
    <w:rsid w:val="490E6B44"/>
    <w:rsid w:val="490FAB3D"/>
    <w:rsid w:val="4911E955"/>
    <w:rsid w:val="4912AC6D"/>
    <w:rsid w:val="4912FF53"/>
    <w:rsid w:val="49158D3F"/>
    <w:rsid w:val="49195A4C"/>
    <w:rsid w:val="4919CB64"/>
    <w:rsid w:val="491AB5FD"/>
    <w:rsid w:val="491B5EB9"/>
    <w:rsid w:val="491BAC30"/>
    <w:rsid w:val="491C8370"/>
    <w:rsid w:val="491E9FDB"/>
    <w:rsid w:val="491FCA20"/>
    <w:rsid w:val="491FE12F"/>
    <w:rsid w:val="4920A3E5"/>
    <w:rsid w:val="4920C72A"/>
    <w:rsid w:val="4922E79F"/>
    <w:rsid w:val="49235057"/>
    <w:rsid w:val="49242BAA"/>
    <w:rsid w:val="492474AF"/>
    <w:rsid w:val="492599B1"/>
    <w:rsid w:val="4929ADAB"/>
    <w:rsid w:val="492A9C58"/>
    <w:rsid w:val="492B3064"/>
    <w:rsid w:val="492CB35A"/>
    <w:rsid w:val="492E75AD"/>
    <w:rsid w:val="4930CB40"/>
    <w:rsid w:val="4932F456"/>
    <w:rsid w:val="49336AA5"/>
    <w:rsid w:val="493594D2"/>
    <w:rsid w:val="4936AB0C"/>
    <w:rsid w:val="493753A4"/>
    <w:rsid w:val="49383382"/>
    <w:rsid w:val="49384E1E"/>
    <w:rsid w:val="49388070"/>
    <w:rsid w:val="4938A3E2"/>
    <w:rsid w:val="493C2D73"/>
    <w:rsid w:val="493C8B6F"/>
    <w:rsid w:val="493EEEBF"/>
    <w:rsid w:val="4945350F"/>
    <w:rsid w:val="4945876F"/>
    <w:rsid w:val="494602B9"/>
    <w:rsid w:val="49462988"/>
    <w:rsid w:val="4948401B"/>
    <w:rsid w:val="494A02A0"/>
    <w:rsid w:val="494BAE5B"/>
    <w:rsid w:val="494D124C"/>
    <w:rsid w:val="494D4C41"/>
    <w:rsid w:val="49511131"/>
    <w:rsid w:val="495300F5"/>
    <w:rsid w:val="4955C393"/>
    <w:rsid w:val="495832B4"/>
    <w:rsid w:val="49589264"/>
    <w:rsid w:val="495A98A4"/>
    <w:rsid w:val="495C7F20"/>
    <w:rsid w:val="495CB241"/>
    <w:rsid w:val="495D46AA"/>
    <w:rsid w:val="495D5C29"/>
    <w:rsid w:val="495EEB6B"/>
    <w:rsid w:val="4960A03E"/>
    <w:rsid w:val="49644E8B"/>
    <w:rsid w:val="4965AB8C"/>
    <w:rsid w:val="496643C9"/>
    <w:rsid w:val="49683DA6"/>
    <w:rsid w:val="4968BE14"/>
    <w:rsid w:val="49698CC1"/>
    <w:rsid w:val="496BE04F"/>
    <w:rsid w:val="496C3F00"/>
    <w:rsid w:val="496D417D"/>
    <w:rsid w:val="496D7F51"/>
    <w:rsid w:val="496D9F3A"/>
    <w:rsid w:val="496E179B"/>
    <w:rsid w:val="496E77D8"/>
    <w:rsid w:val="4973F8C7"/>
    <w:rsid w:val="4974B8ED"/>
    <w:rsid w:val="4974EC54"/>
    <w:rsid w:val="49752957"/>
    <w:rsid w:val="49758578"/>
    <w:rsid w:val="4976DB5E"/>
    <w:rsid w:val="49795D09"/>
    <w:rsid w:val="49799E20"/>
    <w:rsid w:val="4981D6DE"/>
    <w:rsid w:val="4981FE2D"/>
    <w:rsid w:val="49832A66"/>
    <w:rsid w:val="4983F44C"/>
    <w:rsid w:val="498543F6"/>
    <w:rsid w:val="4986AD66"/>
    <w:rsid w:val="498A40CC"/>
    <w:rsid w:val="498FCBA3"/>
    <w:rsid w:val="49905D8E"/>
    <w:rsid w:val="49915CE3"/>
    <w:rsid w:val="4992C714"/>
    <w:rsid w:val="4992D1A5"/>
    <w:rsid w:val="4992F8D6"/>
    <w:rsid w:val="499385A0"/>
    <w:rsid w:val="4994CD6C"/>
    <w:rsid w:val="4995F862"/>
    <w:rsid w:val="49979FB5"/>
    <w:rsid w:val="49996D4B"/>
    <w:rsid w:val="499B0E9B"/>
    <w:rsid w:val="499BC880"/>
    <w:rsid w:val="499DA11C"/>
    <w:rsid w:val="499DD7C5"/>
    <w:rsid w:val="499DE194"/>
    <w:rsid w:val="499E3CCF"/>
    <w:rsid w:val="49A13627"/>
    <w:rsid w:val="49A3AB75"/>
    <w:rsid w:val="49A8B232"/>
    <w:rsid w:val="49AA15BA"/>
    <w:rsid w:val="49AC4CC2"/>
    <w:rsid w:val="49AD7437"/>
    <w:rsid w:val="49AD7C73"/>
    <w:rsid w:val="49AD84D1"/>
    <w:rsid w:val="49B152DA"/>
    <w:rsid w:val="49B1A2F4"/>
    <w:rsid w:val="49B218E8"/>
    <w:rsid w:val="49B2F52B"/>
    <w:rsid w:val="49B30DAB"/>
    <w:rsid w:val="49B3CA53"/>
    <w:rsid w:val="49B5744C"/>
    <w:rsid w:val="49B60A77"/>
    <w:rsid w:val="49B99DFF"/>
    <w:rsid w:val="49BA35D7"/>
    <w:rsid w:val="49BA79FB"/>
    <w:rsid w:val="49BD7849"/>
    <w:rsid w:val="49BE23A8"/>
    <w:rsid w:val="49BE461A"/>
    <w:rsid w:val="49BEF84D"/>
    <w:rsid w:val="49C256A1"/>
    <w:rsid w:val="49C41C40"/>
    <w:rsid w:val="49C7FF3B"/>
    <w:rsid w:val="49C9A148"/>
    <w:rsid w:val="49CC3429"/>
    <w:rsid w:val="49CEA860"/>
    <w:rsid w:val="49CF459D"/>
    <w:rsid w:val="49D06637"/>
    <w:rsid w:val="49D16840"/>
    <w:rsid w:val="49D6BDEA"/>
    <w:rsid w:val="49D740E6"/>
    <w:rsid w:val="49D82FC8"/>
    <w:rsid w:val="49D904F9"/>
    <w:rsid w:val="49DE9C1A"/>
    <w:rsid w:val="49E444D7"/>
    <w:rsid w:val="49E4EB1A"/>
    <w:rsid w:val="49E53D36"/>
    <w:rsid w:val="49E54313"/>
    <w:rsid w:val="49E6788A"/>
    <w:rsid w:val="49E7222E"/>
    <w:rsid w:val="49E75C20"/>
    <w:rsid w:val="49EA1D03"/>
    <w:rsid w:val="49EB3459"/>
    <w:rsid w:val="49F2E57B"/>
    <w:rsid w:val="49F48A92"/>
    <w:rsid w:val="49F567B0"/>
    <w:rsid w:val="49F6CC14"/>
    <w:rsid w:val="49F7405F"/>
    <w:rsid w:val="49F78F9C"/>
    <w:rsid w:val="49F8E0EB"/>
    <w:rsid w:val="49FB7D57"/>
    <w:rsid w:val="49FCDC5C"/>
    <w:rsid w:val="49FD9B8E"/>
    <w:rsid w:val="49FEF686"/>
    <w:rsid w:val="4A00DF2C"/>
    <w:rsid w:val="4A03177A"/>
    <w:rsid w:val="4A06D36F"/>
    <w:rsid w:val="4A081287"/>
    <w:rsid w:val="4A081CA9"/>
    <w:rsid w:val="4A0AAF6D"/>
    <w:rsid w:val="4A0B88AC"/>
    <w:rsid w:val="4A0CB7E4"/>
    <w:rsid w:val="4A0EA6C2"/>
    <w:rsid w:val="4A0ECADE"/>
    <w:rsid w:val="4A0F1125"/>
    <w:rsid w:val="4A103ECC"/>
    <w:rsid w:val="4A127069"/>
    <w:rsid w:val="4A18C339"/>
    <w:rsid w:val="4A18E31B"/>
    <w:rsid w:val="4A19494F"/>
    <w:rsid w:val="4A1CE8D8"/>
    <w:rsid w:val="4A24EA9F"/>
    <w:rsid w:val="4A257B6C"/>
    <w:rsid w:val="4A259A75"/>
    <w:rsid w:val="4A2B9EE5"/>
    <w:rsid w:val="4A2BB6F2"/>
    <w:rsid w:val="4A2BE55F"/>
    <w:rsid w:val="4A2C3498"/>
    <w:rsid w:val="4A30F46D"/>
    <w:rsid w:val="4A31C2D2"/>
    <w:rsid w:val="4A337F55"/>
    <w:rsid w:val="4A3877D1"/>
    <w:rsid w:val="4A38DA0B"/>
    <w:rsid w:val="4A39A114"/>
    <w:rsid w:val="4A3A9007"/>
    <w:rsid w:val="4A3C038B"/>
    <w:rsid w:val="4A3CF91C"/>
    <w:rsid w:val="4A3D7C67"/>
    <w:rsid w:val="4A3E35A9"/>
    <w:rsid w:val="4A3F83D5"/>
    <w:rsid w:val="4A420D4D"/>
    <w:rsid w:val="4A4631FB"/>
    <w:rsid w:val="4A4A2E26"/>
    <w:rsid w:val="4A4A9DE2"/>
    <w:rsid w:val="4A4AE8C4"/>
    <w:rsid w:val="4A4AFDD3"/>
    <w:rsid w:val="4A4B2D4C"/>
    <w:rsid w:val="4A4C2EE2"/>
    <w:rsid w:val="4A4D1AB6"/>
    <w:rsid w:val="4A4D3D57"/>
    <w:rsid w:val="4A4F347F"/>
    <w:rsid w:val="4A52EA28"/>
    <w:rsid w:val="4A54B463"/>
    <w:rsid w:val="4A56881C"/>
    <w:rsid w:val="4A57ABAC"/>
    <w:rsid w:val="4A5B2F0E"/>
    <w:rsid w:val="4A5C3319"/>
    <w:rsid w:val="4A5D3BB0"/>
    <w:rsid w:val="4A5EA7FA"/>
    <w:rsid w:val="4A61F64B"/>
    <w:rsid w:val="4A6512E3"/>
    <w:rsid w:val="4A664C29"/>
    <w:rsid w:val="4A695B3B"/>
    <w:rsid w:val="4A6AA1AD"/>
    <w:rsid w:val="4A6E6C97"/>
    <w:rsid w:val="4A6F7810"/>
    <w:rsid w:val="4A7120E4"/>
    <w:rsid w:val="4A71EDDE"/>
    <w:rsid w:val="4A7254C4"/>
    <w:rsid w:val="4A75024D"/>
    <w:rsid w:val="4A761F88"/>
    <w:rsid w:val="4A773284"/>
    <w:rsid w:val="4A7AC852"/>
    <w:rsid w:val="4A7AF53B"/>
    <w:rsid w:val="4A7C391E"/>
    <w:rsid w:val="4A7EE881"/>
    <w:rsid w:val="4A800A7E"/>
    <w:rsid w:val="4A8065BC"/>
    <w:rsid w:val="4A849152"/>
    <w:rsid w:val="4A884FCA"/>
    <w:rsid w:val="4A89BFC3"/>
    <w:rsid w:val="4A8A216F"/>
    <w:rsid w:val="4A8C5D89"/>
    <w:rsid w:val="4A8C9A32"/>
    <w:rsid w:val="4A8FBC59"/>
    <w:rsid w:val="4A901B07"/>
    <w:rsid w:val="4A907BC4"/>
    <w:rsid w:val="4A95ED5F"/>
    <w:rsid w:val="4A9656DD"/>
    <w:rsid w:val="4A9782F2"/>
    <w:rsid w:val="4A9896FB"/>
    <w:rsid w:val="4A98A9B4"/>
    <w:rsid w:val="4A9A310E"/>
    <w:rsid w:val="4A9A732E"/>
    <w:rsid w:val="4A9C1A3F"/>
    <w:rsid w:val="4A9C6F04"/>
    <w:rsid w:val="4AA19000"/>
    <w:rsid w:val="4AA205FB"/>
    <w:rsid w:val="4AA26721"/>
    <w:rsid w:val="4AA60E71"/>
    <w:rsid w:val="4AA79546"/>
    <w:rsid w:val="4AA7F729"/>
    <w:rsid w:val="4AA9B536"/>
    <w:rsid w:val="4AAADA26"/>
    <w:rsid w:val="4AAD10D7"/>
    <w:rsid w:val="4AAD5ACE"/>
    <w:rsid w:val="4AAF6F4C"/>
    <w:rsid w:val="4AB2646F"/>
    <w:rsid w:val="4AB282C3"/>
    <w:rsid w:val="4AB28C6A"/>
    <w:rsid w:val="4AB58214"/>
    <w:rsid w:val="4AB61D43"/>
    <w:rsid w:val="4AB6E10C"/>
    <w:rsid w:val="4AB7BF20"/>
    <w:rsid w:val="4ABEC6FB"/>
    <w:rsid w:val="4AC75783"/>
    <w:rsid w:val="4AC9CB05"/>
    <w:rsid w:val="4ACB0F43"/>
    <w:rsid w:val="4AD09B25"/>
    <w:rsid w:val="4AD255D4"/>
    <w:rsid w:val="4AD2AF6D"/>
    <w:rsid w:val="4AD69BA0"/>
    <w:rsid w:val="4AD6D87C"/>
    <w:rsid w:val="4ADD84D5"/>
    <w:rsid w:val="4ADFB042"/>
    <w:rsid w:val="4AE0C021"/>
    <w:rsid w:val="4AE6729B"/>
    <w:rsid w:val="4AE6A3D7"/>
    <w:rsid w:val="4AE897C6"/>
    <w:rsid w:val="4AE9398F"/>
    <w:rsid w:val="4AE9A1C0"/>
    <w:rsid w:val="4AEA74A4"/>
    <w:rsid w:val="4AEC6D30"/>
    <w:rsid w:val="4AECE3D8"/>
    <w:rsid w:val="4AEE1355"/>
    <w:rsid w:val="4AF0689F"/>
    <w:rsid w:val="4AF2E6E4"/>
    <w:rsid w:val="4AF2F748"/>
    <w:rsid w:val="4AF4EA5A"/>
    <w:rsid w:val="4AF5B0E8"/>
    <w:rsid w:val="4AF5B3F1"/>
    <w:rsid w:val="4AF6A48C"/>
    <w:rsid w:val="4AF9E232"/>
    <w:rsid w:val="4AFB1BDE"/>
    <w:rsid w:val="4AFF00D5"/>
    <w:rsid w:val="4B00153F"/>
    <w:rsid w:val="4B002105"/>
    <w:rsid w:val="4B0071F2"/>
    <w:rsid w:val="4B02EABB"/>
    <w:rsid w:val="4B06D1C1"/>
    <w:rsid w:val="4B085771"/>
    <w:rsid w:val="4B08C5CF"/>
    <w:rsid w:val="4B0C0E67"/>
    <w:rsid w:val="4B0DB02A"/>
    <w:rsid w:val="4B0F6CC0"/>
    <w:rsid w:val="4B12EBEC"/>
    <w:rsid w:val="4B1934E9"/>
    <w:rsid w:val="4B1AE152"/>
    <w:rsid w:val="4B1B184F"/>
    <w:rsid w:val="4B1B6515"/>
    <w:rsid w:val="4B1C88AE"/>
    <w:rsid w:val="4B1E7D9A"/>
    <w:rsid w:val="4B21013E"/>
    <w:rsid w:val="4B230948"/>
    <w:rsid w:val="4B2674EC"/>
    <w:rsid w:val="4B275254"/>
    <w:rsid w:val="4B280700"/>
    <w:rsid w:val="4B281DE0"/>
    <w:rsid w:val="4B290688"/>
    <w:rsid w:val="4B295824"/>
    <w:rsid w:val="4B2DA69D"/>
    <w:rsid w:val="4B2E2A0E"/>
    <w:rsid w:val="4B2F2C7F"/>
    <w:rsid w:val="4B306491"/>
    <w:rsid w:val="4B33BC62"/>
    <w:rsid w:val="4B367D79"/>
    <w:rsid w:val="4B39803A"/>
    <w:rsid w:val="4B3A41A5"/>
    <w:rsid w:val="4B3DD72F"/>
    <w:rsid w:val="4B3E978D"/>
    <w:rsid w:val="4B41711C"/>
    <w:rsid w:val="4B43B24D"/>
    <w:rsid w:val="4B43EFB0"/>
    <w:rsid w:val="4B444D69"/>
    <w:rsid w:val="4B4508AC"/>
    <w:rsid w:val="4B45157F"/>
    <w:rsid w:val="4B4587F7"/>
    <w:rsid w:val="4B46C2DC"/>
    <w:rsid w:val="4B47D17B"/>
    <w:rsid w:val="4B493246"/>
    <w:rsid w:val="4B4A5FF6"/>
    <w:rsid w:val="4B4A8FEE"/>
    <w:rsid w:val="4B4AE5AB"/>
    <w:rsid w:val="4B4B05E9"/>
    <w:rsid w:val="4B4D0FCE"/>
    <w:rsid w:val="4B504500"/>
    <w:rsid w:val="4B51B81F"/>
    <w:rsid w:val="4B51BE66"/>
    <w:rsid w:val="4B5332E0"/>
    <w:rsid w:val="4B53BA36"/>
    <w:rsid w:val="4B5663A1"/>
    <w:rsid w:val="4B570CDF"/>
    <w:rsid w:val="4B574736"/>
    <w:rsid w:val="4B576962"/>
    <w:rsid w:val="4B57FB3C"/>
    <w:rsid w:val="4B5908BF"/>
    <w:rsid w:val="4B59BC7B"/>
    <w:rsid w:val="4B5C967A"/>
    <w:rsid w:val="4B5DE89F"/>
    <w:rsid w:val="4B5E7359"/>
    <w:rsid w:val="4B622A5C"/>
    <w:rsid w:val="4B62AB45"/>
    <w:rsid w:val="4B6574FB"/>
    <w:rsid w:val="4B65EBBA"/>
    <w:rsid w:val="4B674DC5"/>
    <w:rsid w:val="4B69CFAE"/>
    <w:rsid w:val="4B6B2645"/>
    <w:rsid w:val="4B6BA9B3"/>
    <w:rsid w:val="4B6D530A"/>
    <w:rsid w:val="4B6E7498"/>
    <w:rsid w:val="4B6F737C"/>
    <w:rsid w:val="4B6FFC76"/>
    <w:rsid w:val="4B7079D0"/>
    <w:rsid w:val="4B715C02"/>
    <w:rsid w:val="4B72AA42"/>
    <w:rsid w:val="4B7389DB"/>
    <w:rsid w:val="4B746A9E"/>
    <w:rsid w:val="4B762FEE"/>
    <w:rsid w:val="4B782EE6"/>
    <w:rsid w:val="4B79ADBE"/>
    <w:rsid w:val="4B7A0CF6"/>
    <w:rsid w:val="4B7C57F8"/>
    <w:rsid w:val="4B7CE63B"/>
    <w:rsid w:val="4B7D56EA"/>
    <w:rsid w:val="4B7F8AEC"/>
    <w:rsid w:val="4B7FE645"/>
    <w:rsid w:val="4B84D79E"/>
    <w:rsid w:val="4B87D039"/>
    <w:rsid w:val="4B898D20"/>
    <w:rsid w:val="4B89C898"/>
    <w:rsid w:val="4B8A020A"/>
    <w:rsid w:val="4B8A64BB"/>
    <w:rsid w:val="4B8C456B"/>
    <w:rsid w:val="4B8C9796"/>
    <w:rsid w:val="4B8F2CA5"/>
    <w:rsid w:val="4B900141"/>
    <w:rsid w:val="4B90A9C0"/>
    <w:rsid w:val="4B90B9A5"/>
    <w:rsid w:val="4B926A47"/>
    <w:rsid w:val="4B975BE7"/>
    <w:rsid w:val="4B9780CC"/>
    <w:rsid w:val="4B9908CB"/>
    <w:rsid w:val="4B99AA5A"/>
    <w:rsid w:val="4B9A01A6"/>
    <w:rsid w:val="4B9E3B3B"/>
    <w:rsid w:val="4B9FE95D"/>
    <w:rsid w:val="4BA2A87C"/>
    <w:rsid w:val="4BA4425E"/>
    <w:rsid w:val="4BA52775"/>
    <w:rsid w:val="4BA5C7DD"/>
    <w:rsid w:val="4BA7FE5F"/>
    <w:rsid w:val="4BAD6662"/>
    <w:rsid w:val="4BAF484E"/>
    <w:rsid w:val="4BAF5BD1"/>
    <w:rsid w:val="4BAF8E63"/>
    <w:rsid w:val="4BB0434F"/>
    <w:rsid w:val="4BB0D549"/>
    <w:rsid w:val="4BB45855"/>
    <w:rsid w:val="4BB79742"/>
    <w:rsid w:val="4BB7BABA"/>
    <w:rsid w:val="4BB95752"/>
    <w:rsid w:val="4BBC7833"/>
    <w:rsid w:val="4BBDB6E7"/>
    <w:rsid w:val="4BBE680A"/>
    <w:rsid w:val="4BBEDB73"/>
    <w:rsid w:val="4BBF7A80"/>
    <w:rsid w:val="4BC38D4F"/>
    <w:rsid w:val="4BC47011"/>
    <w:rsid w:val="4BC95CDB"/>
    <w:rsid w:val="4BCB5F4E"/>
    <w:rsid w:val="4BD00831"/>
    <w:rsid w:val="4BD225A1"/>
    <w:rsid w:val="4BD3D669"/>
    <w:rsid w:val="4BDA220D"/>
    <w:rsid w:val="4BDB84E0"/>
    <w:rsid w:val="4BDC082C"/>
    <w:rsid w:val="4BDE4A57"/>
    <w:rsid w:val="4BDE80B6"/>
    <w:rsid w:val="4BE05ABF"/>
    <w:rsid w:val="4BE0F85C"/>
    <w:rsid w:val="4BE22F45"/>
    <w:rsid w:val="4BE24304"/>
    <w:rsid w:val="4BE2D74C"/>
    <w:rsid w:val="4BE6948D"/>
    <w:rsid w:val="4BE7CFA1"/>
    <w:rsid w:val="4BE91834"/>
    <w:rsid w:val="4BE93A3B"/>
    <w:rsid w:val="4BE971DA"/>
    <w:rsid w:val="4BE985AF"/>
    <w:rsid w:val="4BEA6A77"/>
    <w:rsid w:val="4BEA995C"/>
    <w:rsid w:val="4BEB8B30"/>
    <w:rsid w:val="4BEBD379"/>
    <w:rsid w:val="4BEEF176"/>
    <w:rsid w:val="4BEF2962"/>
    <w:rsid w:val="4BEF397F"/>
    <w:rsid w:val="4BF0C1DF"/>
    <w:rsid w:val="4BF5DC31"/>
    <w:rsid w:val="4BF9F371"/>
    <w:rsid w:val="4BFAE07A"/>
    <w:rsid w:val="4BFB269E"/>
    <w:rsid w:val="4BFE42A5"/>
    <w:rsid w:val="4BFF81E7"/>
    <w:rsid w:val="4C00A705"/>
    <w:rsid w:val="4C00AAC0"/>
    <w:rsid w:val="4C02BD92"/>
    <w:rsid w:val="4C048FC6"/>
    <w:rsid w:val="4C0542E2"/>
    <w:rsid w:val="4C085316"/>
    <w:rsid w:val="4C0B6A35"/>
    <w:rsid w:val="4C0DF15E"/>
    <w:rsid w:val="4C0E44C8"/>
    <w:rsid w:val="4C113FD0"/>
    <w:rsid w:val="4C11B02F"/>
    <w:rsid w:val="4C11FEC5"/>
    <w:rsid w:val="4C122367"/>
    <w:rsid w:val="4C168A2E"/>
    <w:rsid w:val="4C175369"/>
    <w:rsid w:val="4C1963E7"/>
    <w:rsid w:val="4C1E7146"/>
    <w:rsid w:val="4C21C17B"/>
    <w:rsid w:val="4C23E2FA"/>
    <w:rsid w:val="4C2A469B"/>
    <w:rsid w:val="4C2AC0D4"/>
    <w:rsid w:val="4C2C6E33"/>
    <w:rsid w:val="4C2D8874"/>
    <w:rsid w:val="4C2E2E34"/>
    <w:rsid w:val="4C2E9160"/>
    <w:rsid w:val="4C2EA058"/>
    <w:rsid w:val="4C2F222D"/>
    <w:rsid w:val="4C302C47"/>
    <w:rsid w:val="4C307DA1"/>
    <w:rsid w:val="4C328457"/>
    <w:rsid w:val="4C356C10"/>
    <w:rsid w:val="4C36D773"/>
    <w:rsid w:val="4C3E39FF"/>
    <w:rsid w:val="4C410E33"/>
    <w:rsid w:val="4C422596"/>
    <w:rsid w:val="4C435103"/>
    <w:rsid w:val="4C44D8DD"/>
    <w:rsid w:val="4C451359"/>
    <w:rsid w:val="4C451404"/>
    <w:rsid w:val="4C475478"/>
    <w:rsid w:val="4C478D3A"/>
    <w:rsid w:val="4C49980C"/>
    <w:rsid w:val="4C4D48FA"/>
    <w:rsid w:val="4C4EFE22"/>
    <w:rsid w:val="4C4F0051"/>
    <w:rsid w:val="4C522F75"/>
    <w:rsid w:val="4C535E8F"/>
    <w:rsid w:val="4C54142F"/>
    <w:rsid w:val="4C547EA3"/>
    <w:rsid w:val="4C54AFCA"/>
    <w:rsid w:val="4C555C6C"/>
    <w:rsid w:val="4C5659C1"/>
    <w:rsid w:val="4C5AAF78"/>
    <w:rsid w:val="4C5B86EF"/>
    <w:rsid w:val="4C5C750C"/>
    <w:rsid w:val="4C5C9CD1"/>
    <w:rsid w:val="4C5DD7CF"/>
    <w:rsid w:val="4C5F428D"/>
    <w:rsid w:val="4C6238B9"/>
    <w:rsid w:val="4C65A9C8"/>
    <w:rsid w:val="4C663BB5"/>
    <w:rsid w:val="4C665DA8"/>
    <w:rsid w:val="4C6764CA"/>
    <w:rsid w:val="4C67A101"/>
    <w:rsid w:val="4C67B44E"/>
    <w:rsid w:val="4C67FED0"/>
    <w:rsid w:val="4C699FDC"/>
    <w:rsid w:val="4C69ACEB"/>
    <w:rsid w:val="4C6A8E7C"/>
    <w:rsid w:val="4C6B6CD6"/>
    <w:rsid w:val="4C6D7E78"/>
    <w:rsid w:val="4C6F22D2"/>
    <w:rsid w:val="4C6F4BEE"/>
    <w:rsid w:val="4C6FB0A4"/>
    <w:rsid w:val="4C7075DC"/>
    <w:rsid w:val="4C70AFA5"/>
    <w:rsid w:val="4C7187A0"/>
    <w:rsid w:val="4C72E605"/>
    <w:rsid w:val="4C738941"/>
    <w:rsid w:val="4C73994E"/>
    <w:rsid w:val="4C776F16"/>
    <w:rsid w:val="4C77DEC3"/>
    <w:rsid w:val="4C7816FD"/>
    <w:rsid w:val="4C7A9005"/>
    <w:rsid w:val="4C7AF70A"/>
    <w:rsid w:val="4C7D47E9"/>
    <w:rsid w:val="4C7D4986"/>
    <w:rsid w:val="4C7D49A6"/>
    <w:rsid w:val="4C7D9448"/>
    <w:rsid w:val="4C7E572C"/>
    <w:rsid w:val="4C7E9B9C"/>
    <w:rsid w:val="4C80035B"/>
    <w:rsid w:val="4C83B962"/>
    <w:rsid w:val="4C8796F2"/>
    <w:rsid w:val="4C87D44D"/>
    <w:rsid w:val="4C8B381D"/>
    <w:rsid w:val="4C8B535D"/>
    <w:rsid w:val="4C8D5F7F"/>
    <w:rsid w:val="4C8D9A87"/>
    <w:rsid w:val="4C8E52DB"/>
    <w:rsid w:val="4C8E5D3D"/>
    <w:rsid w:val="4C8EC071"/>
    <w:rsid w:val="4C90960B"/>
    <w:rsid w:val="4C92E823"/>
    <w:rsid w:val="4C9740F0"/>
    <w:rsid w:val="4C9A4644"/>
    <w:rsid w:val="4C9B2B1E"/>
    <w:rsid w:val="4C9BBEF5"/>
    <w:rsid w:val="4C9C043A"/>
    <w:rsid w:val="4C9D88BF"/>
    <w:rsid w:val="4CA05F4A"/>
    <w:rsid w:val="4CA13B55"/>
    <w:rsid w:val="4CA1C83A"/>
    <w:rsid w:val="4CA3A876"/>
    <w:rsid w:val="4CA4561A"/>
    <w:rsid w:val="4CA75E82"/>
    <w:rsid w:val="4CA7CA1F"/>
    <w:rsid w:val="4CACB04A"/>
    <w:rsid w:val="4CAEBC1C"/>
    <w:rsid w:val="4CB40A6D"/>
    <w:rsid w:val="4CB77102"/>
    <w:rsid w:val="4CBC18B5"/>
    <w:rsid w:val="4CBD87D6"/>
    <w:rsid w:val="4CBE2FC6"/>
    <w:rsid w:val="4CC1F539"/>
    <w:rsid w:val="4CC87E50"/>
    <w:rsid w:val="4CCB8BA3"/>
    <w:rsid w:val="4CCEF1CE"/>
    <w:rsid w:val="4CCF2382"/>
    <w:rsid w:val="4CCF4B1E"/>
    <w:rsid w:val="4CD12AED"/>
    <w:rsid w:val="4CD444FF"/>
    <w:rsid w:val="4CD53F01"/>
    <w:rsid w:val="4CD73893"/>
    <w:rsid w:val="4CD7EFC7"/>
    <w:rsid w:val="4CD9112A"/>
    <w:rsid w:val="4CD98542"/>
    <w:rsid w:val="4CDA298D"/>
    <w:rsid w:val="4CDA6BF9"/>
    <w:rsid w:val="4CDDD4B8"/>
    <w:rsid w:val="4CE09F47"/>
    <w:rsid w:val="4CE21A9A"/>
    <w:rsid w:val="4CE49006"/>
    <w:rsid w:val="4CE5EEAF"/>
    <w:rsid w:val="4CE9A1DA"/>
    <w:rsid w:val="4CEA4C3D"/>
    <w:rsid w:val="4CEE88F4"/>
    <w:rsid w:val="4CEF4FC4"/>
    <w:rsid w:val="4CEFBC7E"/>
    <w:rsid w:val="4CF234B4"/>
    <w:rsid w:val="4CF296CB"/>
    <w:rsid w:val="4CF2A44D"/>
    <w:rsid w:val="4CF3B917"/>
    <w:rsid w:val="4CF5ACC3"/>
    <w:rsid w:val="4CF673C1"/>
    <w:rsid w:val="4CF6AA83"/>
    <w:rsid w:val="4CF6FD22"/>
    <w:rsid w:val="4CF716AA"/>
    <w:rsid w:val="4CF8305F"/>
    <w:rsid w:val="4CFAD582"/>
    <w:rsid w:val="4CFD2D62"/>
    <w:rsid w:val="4CFF2DE7"/>
    <w:rsid w:val="4CFF6437"/>
    <w:rsid w:val="4D0024A1"/>
    <w:rsid w:val="4D010A50"/>
    <w:rsid w:val="4D03FE82"/>
    <w:rsid w:val="4D0492BA"/>
    <w:rsid w:val="4D0CC38A"/>
    <w:rsid w:val="4D0E3287"/>
    <w:rsid w:val="4D11E4C8"/>
    <w:rsid w:val="4D123BE6"/>
    <w:rsid w:val="4D143CCF"/>
    <w:rsid w:val="4D168516"/>
    <w:rsid w:val="4D19CDC5"/>
    <w:rsid w:val="4D1C012A"/>
    <w:rsid w:val="4D1D1084"/>
    <w:rsid w:val="4D1D4040"/>
    <w:rsid w:val="4D1F5864"/>
    <w:rsid w:val="4D22B4D9"/>
    <w:rsid w:val="4D232FBA"/>
    <w:rsid w:val="4D245D27"/>
    <w:rsid w:val="4D271F32"/>
    <w:rsid w:val="4D27DFF9"/>
    <w:rsid w:val="4D297431"/>
    <w:rsid w:val="4D2C04E9"/>
    <w:rsid w:val="4D2CA0FA"/>
    <w:rsid w:val="4D2E6DA2"/>
    <w:rsid w:val="4D31A2FB"/>
    <w:rsid w:val="4D31B932"/>
    <w:rsid w:val="4D321E8B"/>
    <w:rsid w:val="4D336B1A"/>
    <w:rsid w:val="4D339750"/>
    <w:rsid w:val="4D34A1FE"/>
    <w:rsid w:val="4D386B7A"/>
    <w:rsid w:val="4D3AA861"/>
    <w:rsid w:val="4D3EDECF"/>
    <w:rsid w:val="4D3F2D30"/>
    <w:rsid w:val="4D424CF2"/>
    <w:rsid w:val="4D4289E3"/>
    <w:rsid w:val="4D480C3B"/>
    <w:rsid w:val="4D48C6E8"/>
    <w:rsid w:val="4D4C5113"/>
    <w:rsid w:val="4D4C656D"/>
    <w:rsid w:val="4D4CB1C0"/>
    <w:rsid w:val="4D501DEF"/>
    <w:rsid w:val="4D501E47"/>
    <w:rsid w:val="4D53C375"/>
    <w:rsid w:val="4D542274"/>
    <w:rsid w:val="4D545126"/>
    <w:rsid w:val="4D579ADE"/>
    <w:rsid w:val="4D59835B"/>
    <w:rsid w:val="4D5B322A"/>
    <w:rsid w:val="4D606630"/>
    <w:rsid w:val="4D653D1A"/>
    <w:rsid w:val="4D6637F5"/>
    <w:rsid w:val="4D66BA0B"/>
    <w:rsid w:val="4D66EB6B"/>
    <w:rsid w:val="4D68AA07"/>
    <w:rsid w:val="4D6B6B2A"/>
    <w:rsid w:val="4D6B6CA3"/>
    <w:rsid w:val="4D6E1C20"/>
    <w:rsid w:val="4D6EA0F8"/>
    <w:rsid w:val="4D72EE49"/>
    <w:rsid w:val="4D74BBA6"/>
    <w:rsid w:val="4D755240"/>
    <w:rsid w:val="4D77E7F2"/>
    <w:rsid w:val="4D783A44"/>
    <w:rsid w:val="4D7CAC2D"/>
    <w:rsid w:val="4D7CE856"/>
    <w:rsid w:val="4D7D1946"/>
    <w:rsid w:val="4D7E137D"/>
    <w:rsid w:val="4D7E7BBF"/>
    <w:rsid w:val="4D807779"/>
    <w:rsid w:val="4D80B590"/>
    <w:rsid w:val="4D871EF4"/>
    <w:rsid w:val="4D893EF3"/>
    <w:rsid w:val="4D8953AE"/>
    <w:rsid w:val="4D8953FC"/>
    <w:rsid w:val="4D8A3A24"/>
    <w:rsid w:val="4D8AEC45"/>
    <w:rsid w:val="4D8FE56F"/>
    <w:rsid w:val="4D9210AF"/>
    <w:rsid w:val="4D9262B2"/>
    <w:rsid w:val="4D936B34"/>
    <w:rsid w:val="4D94936B"/>
    <w:rsid w:val="4D964766"/>
    <w:rsid w:val="4D9697EC"/>
    <w:rsid w:val="4D9728E2"/>
    <w:rsid w:val="4D984E45"/>
    <w:rsid w:val="4D9A3C33"/>
    <w:rsid w:val="4D9EA4AF"/>
    <w:rsid w:val="4D9F9BA9"/>
    <w:rsid w:val="4D9FBA45"/>
    <w:rsid w:val="4DA5D1A5"/>
    <w:rsid w:val="4DA645C9"/>
    <w:rsid w:val="4DA6D260"/>
    <w:rsid w:val="4DA6FE5B"/>
    <w:rsid w:val="4DA758D0"/>
    <w:rsid w:val="4DA9DFAB"/>
    <w:rsid w:val="4DAEB1B7"/>
    <w:rsid w:val="4DAF5B4F"/>
    <w:rsid w:val="4DAF8956"/>
    <w:rsid w:val="4DB09D6D"/>
    <w:rsid w:val="4DB0B5D2"/>
    <w:rsid w:val="4DB3D32A"/>
    <w:rsid w:val="4DB41288"/>
    <w:rsid w:val="4DB41D24"/>
    <w:rsid w:val="4DB4C925"/>
    <w:rsid w:val="4DB4D68A"/>
    <w:rsid w:val="4DB638BE"/>
    <w:rsid w:val="4DB88DB3"/>
    <w:rsid w:val="4DB9B89E"/>
    <w:rsid w:val="4DBC3969"/>
    <w:rsid w:val="4DBF90DE"/>
    <w:rsid w:val="4DC23100"/>
    <w:rsid w:val="4DC2E01A"/>
    <w:rsid w:val="4DC4BBAC"/>
    <w:rsid w:val="4DC4C21D"/>
    <w:rsid w:val="4DC525FD"/>
    <w:rsid w:val="4DC59AE0"/>
    <w:rsid w:val="4DC5A85C"/>
    <w:rsid w:val="4DC6A2B7"/>
    <w:rsid w:val="4DC7F7C3"/>
    <w:rsid w:val="4DC8C67C"/>
    <w:rsid w:val="4DC96513"/>
    <w:rsid w:val="4DC9C2BE"/>
    <w:rsid w:val="4DCA5009"/>
    <w:rsid w:val="4DCEB4A2"/>
    <w:rsid w:val="4DD0E773"/>
    <w:rsid w:val="4DD29162"/>
    <w:rsid w:val="4DD42A4B"/>
    <w:rsid w:val="4DD47801"/>
    <w:rsid w:val="4DD4D626"/>
    <w:rsid w:val="4DD599DB"/>
    <w:rsid w:val="4DD5BD90"/>
    <w:rsid w:val="4DD725C9"/>
    <w:rsid w:val="4DD7EEB1"/>
    <w:rsid w:val="4DDD51F1"/>
    <w:rsid w:val="4DDDE4A9"/>
    <w:rsid w:val="4DDFFFF3"/>
    <w:rsid w:val="4DE05DE6"/>
    <w:rsid w:val="4DE674E7"/>
    <w:rsid w:val="4DE8CECD"/>
    <w:rsid w:val="4DE94929"/>
    <w:rsid w:val="4DEB2565"/>
    <w:rsid w:val="4DEB2699"/>
    <w:rsid w:val="4DEC9013"/>
    <w:rsid w:val="4DEE5299"/>
    <w:rsid w:val="4DEF8C85"/>
    <w:rsid w:val="4DEFECF2"/>
    <w:rsid w:val="4DF07267"/>
    <w:rsid w:val="4DF268B3"/>
    <w:rsid w:val="4DF3C9DE"/>
    <w:rsid w:val="4DF64380"/>
    <w:rsid w:val="4DF7BD48"/>
    <w:rsid w:val="4DF7E0C9"/>
    <w:rsid w:val="4DF90F87"/>
    <w:rsid w:val="4DF91606"/>
    <w:rsid w:val="4DF96842"/>
    <w:rsid w:val="4DFA4A25"/>
    <w:rsid w:val="4DFCE9DC"/>
    <w:rsid w:val="4DFE27FD"/>
    <w:rsid w:val="4DFEC746"/>
    <w:rsid w:val="4DFFF7D8"/>
    <w:rsid w:val="4E01A918"/>
    <w:rsid w:val="4E025FE2"/>
    <w:rsid w:val="4E04DCCE"/>
    <w:rsid w:val="4E0610F9"/>
    <w:rsid w:val="4E066872"/>
    <w:rsid w:val="4E0966A3"/>
    <w:rsid w:val="4E0AD1E2"/>
    <w:rsid w:val="4E0AE640"/>
    <w:rsid w:val="4E0ED29C"/>
    <w:rsid w:val="4E159D49"/>
    <w:rsid w:val="4E182B82"/>
    <w:rsid w:val="4E1C790D"/>
    <w:rsid w:val="4E1D6008"/>
    <w:rsid w:val="4E1F437B"/>
    <w:rsid w:val="4E2274DC"/>
    <w:rsid w:val="4E244B1D"/>
    <w:rsid w:val="4E25BCD0"/>
    <w:rsid w:val="4E25FB59"/>
    <w:rsid w:val="4E29B185"/>
    <w:rsid w:val="4E2A0616"/>
    <w:rsid w:val="4E2BF9EE"/>
    <w:rsid w:val="4E2D40A5"/>
    <w:rsid w:val="4E2EC0B6"/>
    <w:rsid w:val="4E2FC6D0"/>
    <w:rsid w:val="4E374CB4"/>
    <w:rsid w:val="4E37936D"/>
    <w:rsid w:val="4E37C761"/>
    <w:rsid w:val="4E3A2E60"/>
    <w:rsid w:val="4E3ADC0F"/>
    <w:rsid w:val="4E3BE9F5"/>
    <w:rsid w:val="4E3F57EE"/>
    <w:rsid w:val="4E40119D"/>
    <w:rsid w:val="4E41A487"/>
    <w:rsid w:val="4E4267AC"/>
    <w:rsid w:val="4E43E464"/>
    <w:rsid w:val="4E482F78"/>
    <w:rsid w:val="4E489790"/>
    <w:rsid w:val="4E48ACC4"/>
    <w:rsid w:val="4E4CF676"/>
    <w:rsid w:val="4E550F07"/>
    <w:rsid w:val="4E56CBA0"/>
    <w:rsid w:val="4E5A641C"/>
    <w:rsid w:val="4E5B9887"/>
    <w:rsid w:val="4E5CA857"/>
    <w:rsid w:val="4E5DED2D"/>
    <w:rsid w:val="4E5E23A9"/>
    <w:rsid w:val="4E5F78B5"/>
    <w:rsid w:val="4E5FB882"/>
    <w:rsid w:val="4E632B1F"/>
    <w:rsid w:val="4E63EAA2"/>
    <w:rsid w:val="4E64A607"/>
    <w:rsid w:val="4E64F7B7"/>
    <w:rsid w:val="4E65AC79"/>
    <w:rsid w:val="4E67B391"/>
    <w:rsid w:val="4E6802D9"/>
    <w:rsid w:val="4E6AC7C5"/>
    <w:rsid w:val="4E6AFC02"/>
    <w:rsid w:val="4E6B1C7E"/>
    <w:rsid w:val="4E6EA30F"/>
    <w:rsid w:val="4E6F42C4"/>
    <w:rsid w:val="4E709107"/>
    <w:rsid w:val="4E74FEF0"/>
    <w:rsid w:val="4E763BB7"/>
    <w:rsid w:val="4E779DA6"/>
    <w:rsid w:val="4E78721E"/>
    <w:rsid w:val="4E78F3DE"/>
    <w:rsid w:val="4E7BB824"/>
    <w:rsid w:val="4E7BF5E2"/>
    <w:rsid w:val="4E7C6AEF"/>
    <w:rsid w:val="4E7CA952"/>
    <w:rsid w:val="4E7E7073"/>
    <w:rsid w:val="4E7FA59A"/>
    <w:rsid w:val="4E806389"/>
    <w:rsid w:val="4E826324"/>
    <w:rsid w:val="4E8B0FFE"/>
    <w:rsid w:val="4E8BF2F3"/>
    <w:rsid w:val="4E8E9389"/>
    <w:rsid w:val="4E8F1A4B"/>
    <w:rsid w:val="4E9093FC"/>
    <w:rsid w:val="4E928EDA"/>
    <w:rsid w:val="4E941C13"/>
    <w:rsid w:val="4E94D6F6"/>
    <w:rsid w:val="4E953E58"/>
    <w:rsid w:val="4E97A9A0"/>
    <w:rsid w:val="4E984279"/>
    <w:rsid w:val="4E9A8CC3"/>
    <w:rsid w:val="4E9A96F5"/>
    <w:rsid w:val="4E9B51E3"/>
    <w:rsid w:val="4E9B75C8"/>
    <w:rsid w:val="4E9D1F45"/>
    <w:rsid w:val="4E9D88B0"/>
    <w:rsid w:val="4E9E629C"/>
    <w:rsid w:val="4E9E7C04"/>
    <w:rsid w:val="4E9F2B8F"/>
    <w:rsid w:val="4E9F8F5E"/>
    <w:rsid w:val="4E9FE7FB"/>
    <w:rsid w:val="4EA452B2"/>
    <w:rsid w:val="4EA88C35"/>
    <w:rsid w:val="4EA8BB47"/>
    <w:rsid w:val="4EA93C4C"/>
    <w:rsid w:val="4EA9A7D4"/>
    <w:rsid w:val="4EA9B793"/>
    <w:rsid w:val="4EAB4805"/>
    <w:rsid w:val="4EAC8EA9"/>
    <w:rsid w:val="4EAD1E78"/>
    <w:rsid w:val="4EB2F16B"/>
    <w:rsid w:val="4EB51196"/>
    <w:rsid w:val="4EB52B9A"/>
    <w:rsid w:val="4EB95025"/>
    <w:rsid w:val="4EBCF955"/>
    <w:rsid w:val="4EBD04FB"/>
    <w:rsid w:val="4EBD3100"/>
    <w:rsid w:val="4EBE80D4"/>
    <w:rsid w:val="4EBEC847"/>
    <w:rsid w:val="4EBF7B9D"/>
    <w:rsid w:val="4EBFF7C2"/>
    <w:rsid w:val="4EC05988"/>
    <w:rsid w:val="4EC36960"/>
    <w:rsid w:val="4EC41985"/>
    <w:rsid w:val="4EC5A03D"/>
    <w:rsid w:val="4EC62500"/>
    <w:rsid w:val="4EC74CE2"/>
    <w:rsid w:val="4ECA6959"/>
    <w:rsid w:val="4ECAADAE"/>
    <w:rsid w:val="4ECB0D5A"/>
    <w:rsid w:val="4ECC2290"/>
    <w:rsid w:val="4ECDF0EC"/>
    <w:rsid w:val="4ECF29CC"/>
    <w:rsid w:val="4ED05A1D"/>
    <w:rsid w:val="4ED1B153"/>
    <w:rsid w:val="4ED71AEA"/>
    <w:rsid w:val="4ED97CEF"/>
    <w:rsid w:val="4ED9D2B3"/>
    <w:rsid w:val="4EDE92FF"/>
    <w:rsid w:val="4EE019AD"/>
    <w:rsid w:val="4EE04608"/>
    <w:rsid w:val="4EE0E1AB"/>
    <w:rsid w:val="4EE2BE67"/>
    <w:rsid w:val="4EE3AB4E"/>
    <w:rsid w:val="4EE5DAB2"/>
    <w:rsid w:val="4EE74449"/>
    <w:rsid w:val="4EE81EA6"/>
    <w:rsid w:val="4EEC40F5"/>
    <w:rsid w:val="4EEC98B9"/>
    <w:rsid w:val="4EEDF1F2"/>
    <w:rsid w:val="4EEF1F1E"/>
    <w:rsid w:val="4EEF8E86"/>
    <w:rsid w:val="4EF08960"/>
    <w:rsid w:val="4EF118B4"/>
    <w:rsid w:val="4EF23770"/>
    <w:rsid w:val="4EF26A9E"/>
    <w:rsid w:val="4EF54BAF"/>
    <w:rsid w:val="4EF84ACC"/>
    <w:rsid w:val="4EF95ADC"/>
    <w:rsid w:val="4EFB3F68"/>
    <w:rsid w:val="4F02B84D"/>
    <w:rsid w:val="4F02DD8F"/>
    <w:rsid w:val="4F03541A"/>
    <w:rsid w:val="4F0422B7"/>
    <w:rsid w:val="4F04CA42"/>
    <w:rsid w:val="4F052149"/>
    <w:rsid w:val="4F05403B"/>
    <w:rsid w:val="4F0A0A7A"/>
    <w:rsid w:val="4F0B5098"/>
    <w:rsid w:val="4F0EF7BB"/>
    <w:rsid w:val="4F0F9A93"/>
    <w:rsid w:val="4F13DF54"/>
    <w:rsid w:val="4F147F76"/>
    <w:rsid w:val="4F14BA91"/>
    <w:rsid w:val="4F14F452"/>
    <w:rsid w:val="4F150C0A"/>
    <w:rsid w:val="4F156803"/>
    <w:rsid w:val="4F19958E"/>
    <w:rsid w:val="4F19F747"/>
    <w:rsid w:val="4F1A0B01"/>
    <w:rsid w:val="4F1E63BB"/>
    <w:rsid w:val="4F227CAE"/>
    <w:rsid w:val="4F23BC2D"/>
    <w:rsid w:val="4F26A5F1"/>
    <w:rsid w:val="4F297C31"/>
    <w:rsid w:val="4F2B1223"/>
    <w:rsid w:val="4F2B989E"/>
    <w:rsid w:val="4F301E43"/>
    <w:rsid w:val="4F31F698"/>
    <w:rsid w:val="4F33A7D6"/>
    <w:rsid w:val="4F33C7F7"/>
    <w:rsid w:val="4F36961C"/>
    <w:rsid w:val="4F376CB5"/>
    <w:rsid w:val="4F37A719"/>
    <w:rsid w:val="4F37C4A1"/>
    <w:rsid w:val="4F3885AA"/>
    <w:rsid w:val="4F3AE104"/>
    <w:rsid w:val="4F3BF9CD"/>
    <w:rsid w:val="4F3C9E16"/>
    <w:rsid w:val="4F3F2987"/>
    <w:rsid w:val="4F430385"/>
    <w:rsid w:val="4F43E479"/>
    <w:rsid w:val="4F446636"/>
    <w:rsid w:val="4F462CA6"/>
    <w:rsid w:val="4F46EB45"/>
    <w:rsid w:val="4F48A7F6"/>
    <w:rsid w:val="4F49E8F1"/>
    <w:rsid w:val="4F4BB0E6"/>
    <w:rsid w:val="4F50B3A6"/>
    <w:rsid w:val="4F522CB9"/>
    <w:rsid w:val="4F52B75A"/>
    <w:rsid w:val="4F52CB3C"/>
    <w:rsid w:val="4F54C7B7"/>
    <w:rsid w:val="4F54DFFD"/>
    <w:rsid w:val="4F567CB0"/>
    <w:rsid w:val="4F57C8E7"/>
    <w:rsid w:val="4F58EF98"/>
    <w:rsid w:val="4F5943EA"/>
    <w:rsid w:val="4F59C423"/>
    <w:rsid w:val="4F5A3F0D"/>
    <w:rsid w:val="4F5F4352"/>
    <w:rsid w:val="4F5FDC4B"/>
    <w:rsid w:val="4F62F10A"/>
    <w:rsid w:val="4F630AA6"/>
    <w:rsid w:val="4F6351D8"/>
    <w:rsid w:val="4F643142"/>
    <w:rsid w:val="4F652199"/>
    <w:rsid w:val="4F67EDC4"/>
    <w:rsid w:val="4F69EB38"/>
    <w:rsid w:val="4F6B32AD"/>
    <w:rsid w:val="4F6D8108"/>
    <w:rsid w:val="4F6F0924"/>
    <w:rsid w:val="4F6FBE37"/>
    <w:rsid w:val="4F6FC249"/>
    <w:rsid w:val="4F6FC5B3"/>
    <w:rsid w:val="4F717699"/>
    <w:rsid w:val="4F73DFBF"/>
    <w:rsid w:val="4F742770"/>
    <w:rsid w:val="4F753908"/>
    <w:rsid w:val="4F762D0B"/>
    <w:rsid w:val="4F7686D2"/>
    <w:rsid w:val="4F79D15A"/>
    <w:rsid w:val="4F7D8A45"/>
    <w:rsid w:val="4F7ECE0F"/>
    <w:rsid w:val="4F808B4C"/>
    <w:rsid w:val="4F8139E1"/>
    <w:rsid w:val="4F8212C4"/>
    <w:rsid w:val="4F828C1E"/>
    <w:rsid w:val="4F829EAE"/>
    <w:rsid w:val="4F859B5A"/>
    <w:rsid w:val="4F8FD4DD"/>
    <w:rsid w:val="4F8FE69F"/>
    <w:rsid w:val="4F8FED20"/>
    <w:rsid w:val="4F908296"/>
    <w:rsid w:val="4F915373"/>
    <w:rsid w:val="4F95916A"/>
    <w:rsid w:val="4F962416"/>
    <w:rsid w:val="4F996CE7"/>
    <w:rsid w:val="4F99802B"/>
    <w:rsid w:val="4F99F46E"/>
    <w:rsid w:val="4F9B23FE"/>
    <w:rsid w:val="4F9BBC7F"/>
    <w:rsid w:val="4F9D4B34"/>
    <w:rsid w:val="4F9E0211"/>
    <w:rsid w:val="4FA0317D"/>
    <w:rsid w:val="4FA15D3E"/>
    <w:rsid w:val="4FA33525"/>
    <w:rsid w:val="4FA355E5"/>
    <w:rsid w:val="4FA67CED"/>
    <w:rsid w:val="4FA75211"/>
    <w:rsid w:val="4FA781B8"/>
    <w:rsid w:val="4FA9BD4C"/>
    <w:rsid w:val="4FA9D120"/>
    <w:rsid w:val="4FABDA5B"/>
    <w:rsid w:val="4FACF949"/>
    <w:rsid w:val="4FAEE73A"/>
    <w:rsid w:val="4FB00AC9"/>
    <w:rsid w:val="4FB1BB11"/>
    <w:rsid w:val="4FB36FF9"/>
    <w:rsid w:val="4FB41BF1"/>
    <w:rsid w:val="4FB42F06"/>
    <w:rsid w:val="4FB45E3A"/>
    <w:rsid w:val="4FB5A72A"/>
    <w:rsid w:val="4FB5C6C9"/>
    <w:rsid w:val="4FB61847"/>
    <w:rsid w:val="4FB64A8D"/>
    <w:rsid w:val="4FB6B35A"/>
    <w:rsid w:val="4FB90CE0"/>
    <w:rsid w:val="4FBBE0A2"/>
    <w:rsid w:val="4FBE52CA"/>
    <w:rsid w:val="4FBEA09B"/>
    <w:rsid w:val="4FBFDD07"/>
    <w:rsid w:val="4FC03F20"/>
    <w:rsid w:val="4FC3D478"/>
    <w:rsid w:val="4FC43C8A"/>
    <w:rsid w:val="4FC5D00A"/>
    <w:rsid w:val="4FC607D0"/>
    <w:rsid w:val="4FC64DE6"/>
    <w:rsid w:val="4FC830C0"/>
    <w:rsid w:val="4FCCB079"/>
    <w:rsid w:val="4FCD4E39"/>
    <w:rsid w:val="4FCE383B"/>
    <w:rsid w:val="4FCE3BC5"/>
    <w:rsid w:val="4FCE6CAF"/>
    <w:rsid w:val="4FCFD805"/>
    <w:rsid w:val="4FD1A5DC"/>
    <w:rsid w:val="4FD2D84D"/>
    <w:rsid w:val="4FD3986E"/>
    <w:rsid w:val="4FD560B0"/>
    <w:rsid w:val="4FD6F748"/>
    <w:rsid w:val="4FD8942C"/>
    <w:rsid w:val="4FD9DCA3"/>
    <w:rsid w:val="4FDA1E60"/>
    <w:rsid w:val="4FDDC480"/>
    <w:rsid w:val="4FE02317"/>
    <w:rsid w:val="4FE39213"/>
    <w:rsid w:val="4FE39385"/>
    <w:rsid w:val="4FE5B2D8"/>
    <w:rsid w:val="4FE64D75"/>
    <w:rsid w:val="4FE7B64E"/>
    <w:rsid w:val="4FEAB4AF"/>
    <w:rsid w:val="4FEC29D0"/>
    <w:rsid w:val="4FED3D4F"/>
    <w:rsid w:val="4FEDBA27"/>
    <w:rsid w:val="4FEE82D5"/>
    <w:rsid w:val="4FEEC44B"/>
    <w:rsid w:val="4FF091FD"/>
    <w:rsid w:val="4FF0AC3D"/>
    <w:rsid w:val="4FF11675"/>
    <w:rsid w:val="4FF29E4C"/>
    <w:rsid w:val="4FF483C6"/>
    <w:rsid w:val="4FF4C388"/>
    <w:rsid w:val="4FF5BDB0"/>
    <w:rsid w:val="4FF5FB12"/>
    <w:rsid w:val="4FF863D2"/>
    <w:rsid w:val="4FF94A4E"/>
    <w:rsid w:val="4FFAD02B"/>
    <w:rsid w:val="4FFBA218"/>
    <w:rsid w:val="4FFE9A91"/>
    <w:rsid w:val="5001E495"/>
    <w:rsid w:val="50024536"/>
    <w:rsid w:val="5005FC20"/>
    <w:rsid w:val="50074020"/>
    <w:rsid w:val="50079046"/>
    <w:rsid w:val="50083491"/>
    <w:rsid w:val="5009B607"/>
    <w:rsid w:val="5009F8EE"/>
    <w:rsid w:val="500A739E"/>
    <w:rsid w:val="500AA043"/>
    <w:rsid w:val="500B7246"/>
    <w:rsid w:val="500B78F8"/>
    <w:rsid w:val="500C883D"/>
    <w:rsid w:val="500D972D"/>
    <w:rsid w:val="501088A8"/>
    <w:rsid w:val="50114B58"/>
    <w:rsid w:val="5011A953"/>
    <w:rsid w:val="5011D3CF"/>
    <w:rsid w:val="5013C6BF"/>
    <w:rsid w:val="50155E1D"/>
    <w:rsid w:val="5015F3B7"/>
    <w:rsid w:val="50179A2C"/>
    <w:rsid w:val="50179A4E"/>
    <w:rsid w:val="501D12E9"/>
    <w:rsid w:val="5021EDB3"/>
    <w:rsid w:val="50245E6E"/>
    <w:rsid w:val="502A75FB"/>
    <w:rsid w:val="502AC2DB"/>
    <w:rsid w:val="502BA65A"/>
    <w:rsid w:val="502C14CB"/>
    <w:rsid w:val="502FB8F8"/>
    <w:rsid w:val="5030545F"/>
    <w:rsid w:val="5031AEC7"/>
    <w:rsid w:val="5034D9C8"/>
    <w:rsid w:val="50379F27"/>
    <w:rsid w:val="5037D92B"/>
    <w:rsid w:val="503D0BD0"/>
    <w:rsid w:val="503E9A8D"/>
    <w:rsid w:val="5041DD27"/>
    <w:rsid w:val="50435387"/>
    <w:rsid w:val="5044980F"/>
    <w:rsid w:val="5044F911"/>
    <w:rsid w:val="50458623"/>
    <w:rsid w:val="5047DFD9"/>
    <w:rsid w:val="504ACA28"/>
    <w:rsid w:val="504B2114"/>
    <w:rsid w:val="504DDB69"/>
    <w:rsid w:val="504FF111"/>
    <w:rsid w:val="50542F50"/>
    <w:rsid w:val="50562091"/>
    <w:rsid w:val="505820E3"/>
    <w:rsid w:val="5058861C"/>
    <w:rsid w:val="5058F6FB"/>
    <w:rsid w:val="50592A2C"/>
    <w:rsid w:val="505CAA31"/>
    <w:rsid w:val="505F41C1"/>
    <w:rsid w:val="5061B174"/>
    <w:rsid w:val="50620A27"/>
    <w:rsid w:val="5064E265"/>
    <w:rsid w:val="50679D88"/>
    <w:rsid w:val="50693D16"/>
    <w:rsid w:val="5069817E"/>
    <w:rsid w:val="506A1D86"/>
    <w:rsid w:val="506DC403"/>
    <w:rsid w:val="506DDF3D"/>
    <w:rsid w:val="506DF259"/>
    <w:rsid w:val="506E010C"/>
    <w:rsid w:val="506F2C5F"/>
    <w:rsid w:val="50700B1C"/>
    <w:rsid w:val="50729C01"/>
    <w:rsid w:val="5073AD02"/>
    <w:rsid w:val="5074B1A9"/>
    <w:rsid w:val="5077C16B"/>
    <w:rsid w:val="5078D734"/>
    <w:rsid w:val="5078DA6D"/>
    <w:rsid w:val="5079A0B2"/>
    <w:rsid w:val="507BB67A"/>
    <w:rsid w:val="50801734"/>
    <w:rsid w:val="5082774F"/>
    <w:rsid w:val="508294C4"/>
    <w:rsid w:val="5084CB06"/>
    <w:rsid w:val="508B5750"/>
    <w:rsid w:val="50919E5A"/>
    <w:rsid w:val="509350D1"/>
    <w:rsid w:val="5093DDAD"/>
    <w:rsid w:val="50972405"/>
    <w:rsid w:val="5097795D"/>
    <w:rsid w:val="5097C262"/>
    <w:rsid w:val="50993D93"/>
    <w:rsid w:val="50997A39"/>
    <w:rsid w:val="509ABEFF"/>
    <w:rsid w:val="509DF34D"/>
    <w:rsid w:val="509F4218"/>
    <w:rsid w:val="50A3446B"/>
    <w:rsid w:val="50A4CD60"/>
    <w:rsid w:val="50A5B76F"/>
    <w:rsid w:val="50A5FD6D"/>
    <w:rsid w:val="50A6A0E7"/>
    <w:rsid w:val="50A6B6AB"/>
    <w:rsid w:val="50A6C9C2"/>
    <w:rsid w:val="50A82A2F"/>
    <w:rsid w:val="50AABA3D"/>
    <w:rsid w:val="50AC848A"/>
    <w:rsid w:val="50AD4AD4"/>
    <w:rsid w:val="50AF85B3"/>
    <w:rsid w:val="50B1F62B"/>
    <w:rsid w:val="50B29C31"/>
    <w:rsid w:val="50B2EF23"/>
    <w:rsid w:val="50B308FF"/>
    <w:rsid w:val="50B8BB6D"/>
    <w:rsid w:val="50B9682B"/>
    <w:rsid w:val="50BB1344"/>
    <w:rsid w:val="50BB2335"/>
    <w:rsid w:val="50BBA6CA"/>
    <w:rsid w:val="50BF1585"/>
    <w:rsid w:val="50C23E01"/>
    <w:rsid w:val="50C2F2C0"/>
    <w:rsid w:val="50C41D88"/>
    <w:rsid w:val="50C658A0"/>
    <w:rsid w:val="50C77389"/>
    <w:rsid w:val="50CD8EB6"/>
    <w:rsid w:val="50CF4510"/>
    <w:rsid w:val="50CF5500"/>
    <w:rsid w:val="50CF8D79"/>
    <w:rsid w:val="50D05254"/>
    <w:rsid w:val="50D1A638"/>
    <w:rsid w:val="50D32875"/>
    <w:rsid w:val="50D8F913"/>
    <w:rsid w:val="50D93910"/>
    <w:rsid w:val="50D9A7C7"/>
    <w:rsid w:val="50DA079A"/>
    <w:rsid w:val="50DA1353"/>
    <w:rsid w:val="50DC7242"/>
    <w:rsid w:val="50DD01BB"/>
    <w:rsid w:val="50DE16DE"/>
    <w:rsid w:val="50E0369D"/>
    <w:rsid w:val="50E0B63D"/>
    <w:rsid w:val="50E18A4E"/>
    <w:rsid w:val="50E79D4A"/>
    <w:rsid w:val="50EA0D63"/>
    <w:rsid w:val="50EA51C9"/>
    <w:rsid w:val="50EAC4C9"/>
    <w:rsid w:val="50EAE09D"/>
    <w:rsid w:val="50EB4379"/>
    <w:rsid w:val="50F078D6"/>
    <w:rsid w:val="50F0E37C"/>
    <w:rsid w:val="50F35518"/>
    <w:rsid w:val="50F53250"/>
    <w:rsid w:val="50FC16EB"/>
    <w:rsid w:val="50FD2DD3"/>
    <w:rsid w:val="50FE7EEE"/>
    <w:rsid w:val="50FEAC3C"/>
    <w:rsid w:val="5101EE14"/>
    <w:rsid w:val="5103139A"/>
    <w:rsid w:val="51057428"/>
    <w:rsid w:val="510BFDB8"/>
    <w:rsid w:val="51107121"/>
    <w:rsid w:val="5110BE7C"/>
    <w:rsid w:val="51120DBC"/>
    <w:rsid w:val="5113636F"/>
    <w:rsid w:val="511389F9"/>
    <w:rsid w:val="5116FCDA"/>
    <w:rsid w:val="5119B0EF"/>
    <w:rsid w:val="511CFBA5"/>
    <w:rsid w:val="511E0E2E"/>
    <w:rsid w:val="511EA3BC"/>
    <w:rsid w:val="511F84A3"/>
    <w:rsid w:val="51201CEE"/>
    <w:rsid w:val="51205DE1"/>
    <w:rsid w:val="51207606"/>
    <w:rsid w:val="5120D1A6"/>
    <w:rsid w:val="5120D41A"/>
    <w:rsid w:val="5120E4E9"/>
    <w:rsid w:val="51213F22"/>
    <w:rsid w:val="51215684"/>
    <w:rsid w:val="5123FBB4"/>
    <w:rsid w:val="51246A80"/>
    <w:rsid w:val="51247E7E"/>
    <w:rsid w:val="51264F76"/>
    <w:rsid w:val="5126D3DF"/>
    <w:rsid w:val="5128D79B"/>
    <w:rsid w:val="512A3A2C"/>
    <w:rsid w:val="512A964E"/>
    <w:rsid w:val="512B2C89"/>
    <w:rsid w:val="512D9B2E"/>
    <w:rsid w:val="512DA017"/>
    <w:rsid w:val="512E79B2"/>
    <w:rsid w:val="51307329"/>
    <w:rsid w:val="5130C646"/>
    <w:rsid w:val="51339839"/>
    <w:rsid w:val="51344A12"/>
    <w:rsid w:val="5136A299"/>
    <w:rsid w:val="5136CAA3"/>
    <w:rsid w:val="513745FB"/>
    <w:rsid w:val="51399F61"/>
    <w:rsid w:val="513CD2E8"/>
    <w:rsid w:val="513D6D42"/>
    <w:rsid w:val="513E9F3A"/>
    <w:rsid w:val="51405827"/>
    <w:rsid w:val="51409AAA"/>
    <w:rsid w:val="51418F2D"/>
    <w:rsid w:val="5141DA58"/>
    <w:rsid w:val="514929C9"/>
    <w:rsid w:val="514A258C"/>
    <w:rsid w:val="514B7CE4"/>
    <w:rsid w:val="514B9EEB"/>
    <w:rsid w:val="514CAF2C"/>
    <w:rsid w:val="514E10AB"/>
    <w:rsid w:val="514ED4ED"/>
    <w:rsid w:val="514F2A76"/>
    <w:rsid w:val="514F891D"/>
    <w:rsid w:val="514FE1A9"/>
    <w:rsid w:val="51515F8E"/>
    <w:rsid w:val="515736C8"/>
    <w:rsid w:val="51599F0B"/>
    <w:rsid w:val="5159E076"/>
    <w:rsid w:val="515A373A"/>
    <w:rsid w:val="515B4888"/>
    <w:rsid w:val="515B650C"/>
    <w:rsid w:val="515DC9DA"/>
    <w:rsid w:val="515FBB46"/>
    <w:rsid w:val="51602E6A"/>
    <w:rsid w:val="51648291"/>
    <w:rsid w:val="51660D95"/>
    <w:rsid w:val="51684D5A"/>
    <w:rsid w:val="516880C7"/>
    <w:rsid w:val="516A2043"/>
    <w:rsid w:val="516A70C3"/>
    <w:rsid w:val="516E0991"/>
    <w:rsid w:val="516E5F23"/>
    <w:rsid w:val="516F3F37"/>
    <w:rsid w:val="51756BDE"/>
    <w:rsid w:val="51773A71"/>
    <w:rsid w:val="5177E107"/>
    <w:rsid w:val="5178B1BF"/>
    <w:rsid w:val="5178C060"/>
    <w:rsid w:val="517B5263"/>
    <w:rsid w:val="517C0A7D"/>
    <w:rsid w:val="517CABFD"/>
    <w:rsid w:val="51836940"/>
    <w:rsid w:val="5183D2D9"/>
    <w:rsid w:val="51843820"/>
    <w:rsid w:val="5184DB6B"/>
    <w:rsid w:val="5184F992"/>
    <w:rsid w:val="5187AAB3"/>
    <w:rsid w:val="518892E5"/>
    <w:rsid w:val="518A27C2"/>
    <w:rsid w:val="518B452D"/>
    <w:rsid w:val="518C92BE"/>
    <w:rsid w:val="518E408C"/>
    <w:rsid w:val="5191F408"/>
    <w:rsid w:val="51923A59"/>
    <w:rsid w:val="519329E1"/>
    <w:rsid w:val="519764F7"/>
    <w:rsid w:val="5199E6FC"/>
    <w:rsid w:val="519A50F7"/>
    <w:rsid w:val="519B421E"/>
    <w:rsid w:val="519B923E"/>
    <w:rsid w:val="519E7D99"/>
    <w:rsid w:val="519EC331"/>
    <w:rsid w:val="51A1512D"/>
    <w:rsid w:val="51A1E864"/>
    <w:rsid w:val="51A54D54"/>
    <w:rsid w:val="51A55AF6"/>
    <w:rsid w:val="51A6431E"/>
    <w:rsid w:val="51A8CF4D"/>
    <w:rsid w:val="51A95F66"/>
    <w:rsid w:val="51ABCC81"/>
    <w:rsid w:val="51ABE4B6"/>
    <w:rsid w:val="51AC0C72"/>
    <w:rsid w:val="51AC6FAE"/>
    <w:rsid w:val="51ACA837"/>
    <w:rsid w:val="51AD08A1"/>
    <w:rsid w:val="51AD69CF"/>
    <w:rsid w:val="51AD7270"/>
    <w:rsid w:val="51ADBD42"/>
    <w:rsid w:val="51B29259"/>
    <w:rsid w:val="51B377C0"/>
    <w:rsid w:val="51B4532B"/>
    <w:rsid w:val="51B5CD63"/>
    <w:rsid w:val="51B9B7A3"/>
    <w:rsid w:val="51BC1322"/>
    <w:rsid w:val="51BC3FD6"/>
    <w:rsid w:val="51BE7E63"/>
    <w:rsid w:val="51BE8503"/>
    <w:rsid w:val="51C06F6C"/>
    <w:rsid w:val="51C123A5"/>
    <w:rsid w:val="51C1C663"/>
    <w:rsid w:val="51C41579"/>
    <w:rsid w:val="51C43E24"/>
    <w:rsid w:val="51C71D05"/>
    <w:rsid w:val="51CADCF1"/>
    <w:rsid w:val="51CCF2A4"/>
    <w:rsid w:val="51CE353B"/>
    <w:rsid w:val="51D01FDD"/>
    <w:rsid w:val="51D3F5C4"/>
    <w:rsid w:val="51D76941"/>
    <w:rsid w:val="51D7A248"/>
    <w:rsid w:val="51D85A75"/>
    <w:rsid w:val="51D878B5"/>
    <w:rsid w:val="51D8CC46"/>
    <w:rsid w:val="51DA6CA7"/>
    <w:rsid w:val="51DAC112"/>
    <w:rsid w:val="51DADF3C"/>
    <w:rsid w:val="51DAEA0C"/>
    <w:rsid w:val="51DD38BB"/>
    <w:rsid w:val="51DD5E04"/>
    <w:rsid w:val="51DD955F"/>
    <w:rsid w:val="51DE3E4B"/>
    <w:rsid w:val="51E08B56"/>
    <w:rsid w:val="51E0E598"/>
    <w:rsid w:val="51E21C78"/>
    <w:rsid w:val="51E2812D"/>
    <w:rsid w:val="51E55A65"/>
    <w:rsid w:val="51E7165C"/>
    <w:rsid w:val="51E8AD16"/>
    <w:rsid w:val="51E9A648"/>
    <w:rsid w:val="51E9F76C"/>
    <w:rsid w:val="51EB350E"/>
    <w:rsid w:val="51EBBF94"/>
    <w:rsid w:val="51F37F48"/>
    <w:rsid w:val="51F5B82D"/>
    <w:rsid w:val="51F5CBDF"/>
    <w:rsid w:val="51F69D99"/>
    <w:rsid w:val="51F93621"/>
    <w:rsid w:val="51FB9BEF"/>
    <w:rsid w:val="51FC665F"/>
    <w:rsid w:val="51FF26DC"/>
    <w:rsid w:val="52013744"/>
    <w:rsid w:val="5203259B"/>
    <w:rsid w:val="5205E257"/>
    <w:rsid w:val="52078B95"/>
    <w:rsid w:val="52082802"/>
    <w:rsid w:val="52089AC7"/>
    <w:rsid w:val="5208EA13"/>
    <w:rsid w:val="520CA202"/>
    <w:rsid w:val="52108732"/>
    <w:rsid w:val="52127FA1"/>
    <w:rsid w:val="5212930F"/>
    <w:rsid w:val="52162A77"/>
    <w:rsid w:val="5216CF2D"/>
    <w:rsid w:val="521739F9"/>
    <w:rsid w:val="521DA2A1"/>
    <w:rsid w:val="5222D933"/>
    <w:rsid w:val="522416FA"/>
    <w:rsid w:val="5224500D"/>
    <w:rsid w:val="52246F57"/>
    <w:rsid w:val="52256BD0"/>
    <w:rsid w:val="5225721C"/>
    <w:rsid w:val="522681CE"/>
    <w:rsid w:val="522930CB"/>
    <w:rsid w:val="522C9EC2"/>
    <w:rsid w:val="522FFF49"/>
    <w:rsid w:val="5230B565"/>
    <w:rsid w:val="5233B31B"/>
    <w:rsid w:val="5234EB80"/>
    <w:rsid w:val="5236304F"/>
    <w:rsid w:val="523A62ED"/>
    <w:rsid w:val="523CBB41"/>
    <w:rsid w:val="523DC559"/>
    <w:rsid w:val="523EA0AA"/>
    <w:rsid w:val="523EB738"/>
    <w:rsid w:val="523EC5A5"/>
    <w:rsid w:val="523F6D3C"/>
    <w:rsid w:val="524098C6"/>
    <w:rsid w:val="5241ADC2"/>
    <w:rsid w:val="52425BBC"/>
    <w:rsid w:val="52434A5B"/>
    <w:rsid w:val="5243BD22"/>
    <w:rsid w:val="524414C1"/>
    <w:rsid w:val="524617B9"/>
    <w:rsid w:val="5248E5D5"/>
    <w:rsid w:val="52497148"/>
    <w:rsid w:val="524C5A78"/>
    <w:rsid w:val="524D9415"/>
    <w:rsid w:val="524F9762"/>
    <w:rsid w:val="524FC7F0"/>
    <w:rsid w:val="5250ACB8"/>
    <w:rsid w:val="5251227C"/>
    <w:rsid w:val="525187C9"/>
    <w:rsid w:val="52527AF4"/>
    <w:rsid w:val="52533D1C"/>
    <w:rsid w:val="52545E90"/>
    <w:rsid w:val="52550C6B"/>
    <w:rsid w:val="52568E96"/>
    <w:rsid w:val="52583BE5"/>
    <w:rsid w:val="5258899E"/>
    <w:rsid w:val="525D72F7"/>
    <w:rsid w:val="525F6238"/>
    <w:rsid w:val="52611851"/>
    <w:rsid w:val="526149D9"/>
    <w:rsid w:val="5267E33C"/>
    <w:rsid w:val="5269AB4B"/>
    <w:rsid w:val="52705584"/>
    <w:rsid w:val="5270FCED"/>
    <w:rsid w:val="527242BF"/>
    <w:rsid w:val="5272CD11"/>
    <w:rsid w:val="5273A3D6"/>
    <w:rsid w:val="52743980"/>
    <w:rsid w:val="5274F695"/>
    <w:rsid w:val="52797DC8"/>
    <w:rsid w:val="527B250D"/>
    <w:rsid w:val="527E25E7"/>
    <w:rsid w:val="527EEC5B"/>
    <w:rsid w:val="528111A9"/>
    <w:rsid w:val="52817B59"/>
    <w:rsid w:val="5282F23D"/>
    <w:rsid w:val="52843D25"/>
    <w:rsid w:val="52851402"/>
    <w:rsid w:val="5287745A"/>
    <w:rsid w:val="52878472"/>
    <w:rsid w:val="5287D189"/>
    <w:rsid w:val="528880B3"/>
    <w:rsid w:val="528E36A5"/>
    <w:rsid w:val="528E6D08"/>
    <w:rsid w:val="528E859C"/>
    <w:rsid w:val="528E8EDE"/>
    <w:rsid w:val="52903073"/>
    <w:rsid w:val="5290F0E1"/>
    <w:rsid w:val="5291CEB7"/>
    <w:rsid w:val="52922672"/>
    <w:rsid w:val="5292613D"/>
    <w:rsid w:val="5292ED10"/>
    <w:rsid w:val="5294BF32"/>
    <w:rsid w:val="5295C5D4"/>
    <w:rsid w:val="52963BF0"/>
    <w:rsid w:val="529B33DB"/>
    <w:rsid w:val="529D390F"/>
    <w:rsid w:val="529DE4A9"/>
    <w:rsid w:val="529ED604"/>
    <w:rsid w:val="529F399B"/>
    <w:rsid w:val="529FA237"/>
    <w:rsid w:val="52A00519"/>
    <w:rsid w:val="52A3A707"/>
    <w:rsid w:val="52A7CBF8"/>
    <w:rsid w:val="52A897F3"/>
    <w:rsid w:val="52A95A87"/>
    <w:rsid w:val="52AA1BD6"/>
    <w:rsid w:val="52AD15FA"/>
    <w:rsid w:val="52AEBEB6"/>
    <w:rsid w:val="52B2DFCC"/>
    <w:rsid w:val="52B65646"/>
    <w:rsid w:val="52B747B4"/>
    <w:rsid w:val="52B883E9"/>
    <w:rsid w:val="52B9A2C7"/>
    <w:rsid w:val="52BAD99D"/>
    <w:rsid w:val="52BC5C73"/>
    <w:rsid w:val="52C18DD1"/>
    <w:rsid w:val="52C2B2DF"/>
    <w:rsid w:val="52C36D9B"/>
    <w:rsid w:val="52C37FAA"/>
    <w:rsid w:val="52C39473"/>
    <w:rsid w:val="52C805FE"/>
    <w:rsid w:val="52C84A53"/>
    <w:rsid w:val="52C9D3F9"/>
    <w:rsid w:val="52CA737C"/>
    <w:rsid w:val="52CC96EA"/>
    <w:rsid w:val="52CD6A78"/>
    <w:rsid w:val="52CE7FA0"/>
    <w:rsid w:val="52D58B84"/>
    <w:rsid w:val="52D63BF5"/>
    <w:rsid w:val="52DA734D"/>
    <w:rsid w:val="52DC8DA4"/>
    <w:rsid w:val="52DDB88A"/>
    <w:rsid w:val="52DDBB7D"/>
    <w:rsid w:val="52E2B105"/>
    <w:rsid w:val="52E3C495"/>
    <w:rsid w:val="52E4B661"/>
    <w:rsid w:val="52E5F55C"/>
    <w:rsid w:val="52E64F9E"/>
    <w:rsid w:val="52E7A737"/>
    <w:rsid w:val="52E83070"/>
    <w:rsid w:val="52E9BEFE"/>
    <w:rsid w:val="52EB2F1B"/>
    <w:rsid w:val="52EB861D"/>
    <w:rsid w:val="52EBCA94"/>
    <w:rsid w:val="52EC1D2B"/>
    <w:rsid w:val="52EC2CD9"/>
    <w:rsid w:val="52ECE28E"/>
    <w:rsid w:val="52F3A84D"/>
    <w:rsid w:val="52F3C4CE"/>
    <w:rsid w:val="52F454B6"/>
    <w:rsid w:val="52F504AD"/>
    <w:rsid w:val="52F57DF7"/>
    <w:rsid w:val="52FA2686"/>
    <w:rsid w:val="52FA4D77"/>
    <w:rsid w:val="52FB5D3E"/>
    <w:rsid w:val="52FD9557"/>
    <w:rsid w:val="52FE0546"/>
    <w:rsid w:val="53020668"/>
    <w:rsid w:val="530237B9"/>
    <w:rsid w:val="5302A0FE"/>
    <w:rsid w:val="53039521"/>
    <w:rsid w:val="5304763B"/>
    <w:rsid w:val="53047895"/>
    <w:rsid w:val="53052E1A"/>
    <w:rsid w:val="53088A5B"/>
    <w:rsid w:val="530A4222"/>
    <w:rsid w:val="530B7BA6"/>
    <w:rsid w:val="530BA31E"/>
    <w:rsid w:val="530D9B53"/>
    <w:rsid w:val="53115295"/>
    <w:rsid w:val="5315D266"/>
    <w:rsid w:val="531711B5"/>
    <w:rsid w:val="5318B099"/>
    <w:rsid w:val="5318E582"/>
    <w:rsid w:val="53197A2F"/>
    <w:rsid w:val="531A2E9D"/>
    <w:rsid w:val="531AEFB7"/>
    <w:rsid w:val="531BAF2F"/>
    <w:rsid w:val="531BD791"/>
    <w:rsid w:val="531BE933"/>
    <w:rsid w:val="531C2CAE"/>
    <w:rsid w:val="531D6571"/>
    <w:rsid w:val="531D77A4"/>
    <w:rsid w:val="531DCBBD"/>
    <w:rsid w:val="5320D21D"/>
    <w:rsid w:val="53213C78"/>
    <w:rsid w:val="53221D7F"/>
    <w:rsid w:val="532BDB75"/>
    <w:rsid w:val="532BF0F5"/>
    <w:rsid w:val="532D159D"/>
    <w:rsid w:val="532D9F3D"/>
    <w:rsid w:val="532E6340"/>
    <w:rsid w:val="5330F343"/>
    <w:rsid w:val="5333CF28"/>
    <w:rsid w:val="53349D53"/>
    <w:rsid w:val="5334E1E8"/>
    <w:rsid w:val="5334F030"/>
    <w:rsid w:val="53359126"/>
    <w:rsid w:val="5339D39C"/>
    <w:rsid w:val="5339D55F"/>
    <w:rsid w:val="533AF9AA"/>
    <w:rsid w:val="533BD3F8"/>
    <w:rsid w:val="533C53FF"/>
    <w:rsid w:val="533CF0F7"/>
    <w:rsid w:val="533D41B7"/>
    <w:rsid w:val="533F9C90"/>
    <w:rsid w:val="53410F4E"/>
    <w:rsid w:val="534251C1"/>
    <w:rsid w:val="53448A21"/>
    <w:rsid w:val="5344FE80"/>
    <w:rsid w:val="53456FBD"/>
    <w:rsid w:val="5348C131"/>
    <w:rsid w:val="53496117"/>
    <w:rsid w:val="5349738E"/>
    <w:rsid w:val="534A3282"/>
    <w:rsid w:val="534AB4BC"/>
    <w:rsid w:val="534BC75C"/>
    <w:rsid w:val="534C4EED"/>
    <w:rsid w:val="534D9A35"/>
    <w:rsid w:val="534E75B5"/>
    <w:rsid w:val="534F1DD3"/>
    <w:rsid w:val="534F4E4B"/>
    <w:rsid w:val="53509CEA"/>
    <w:rsid w:val="5351F906"/>
    <w:rsid w:val="535344E7"/>
    <w:rsid w:val="5353680F"/>
    <w:rsid w:val="53549D2F"/>
    <w:rsid w:val="53551D8A"/>
    <w:rsid w:val="5356EA55"/>
    <w:rsid w:val="535C874F"/>
    <w:rsid w:val="535E17B0"/>
    <w:rsid w:val="5360217D"/>
    <w:rsid w:val="53607CED"/>
    <w:rsid w:val="5360FFC3"/>
    <w:rsid w:val="5367828A"/>
    <w:rsid w:val="536790AD"/>
    <w:rsid w:val="536837AF"/>
    <w:rsid w:val="536B1A62"/>
    <w:rsid w:val="536E3659"/>
    <w:rsid w:val="536E65E5"/>
    <w:rsid w:val="5370F193"/>
    <w:rsid w:val="537394D8"/>
    <w:rsid w:val="5373B951"/>
    <w:rsid w:val="53764223"/>
    <w:rsid w:val="53798A17"/>
    <w:rsid w:val="537A8706"/>
    <w:rsid w:val="537AB96E"/>
    <w:rsid w:val="537B9AB8"/>
    <w:rsid w:val="537D03FE"/>
    <w:rsid w:val="537D5114"/>
    <w:rsid w:val="537E67AE"/>
    <w:rsid w:val="537FF530"/>
    <w:rsid w:val="538047D4"/>
    <w:rsid w:val="53829001"/>
    <w:rsid w:val="5384B0FF"/>
    <w:rsid w:val="53872951"/>
    <w:rsid w:val="538B7483"/>
    <w:rsid w:val="538DC29B"/>
    <w:rsid w:val="539088BC"/>
    <w:rsid w:val="53930F72"/>
    <w:rsid w:val="5394A1FB"/>
    <w:rsid w:val="5395CC89"/>
    <w:rsid w:val="539635C4"/>
    <w:rsid w:val="5397CEAB"/>
    <w:rsid w:val="5398296B"/>
    <w:rsid w:val="5398B664"/>
    <w:rsid w:val="5399B5D4"/>
    <w:rsid w:val="539A2289"/>
    <w:rsid w:val="539BDB86"/>
    <w:rsid w:val="539BF559"/>
    <w:rsid w:val="539D9BD5"/>
    <w:rsid w:val="53A08B10"/>
    <w:rsid w:val="53A1472E"/>
    <w:rsid w:val="53A3EF75"/>
    <w:rsid w:val="53A40541"/>
    <w:rsid w:val="53A40F13"/>
    <w:rsid w:val="53A4DE3B"/>
    <w:rsid w:val="53A55EFC"/>
    <w:rsid w:val="53A62867"/>
    <w:rsid w:val="53AD5373"/>
    <w:rsid w:val="53B022F9"/>
    <w:rsid w:val="53B1FD12"/>
    <w:rsid w:val="53B215F2"/>
    <w:rsid w:val="53B8ACAC"/>
    <w:rsid w:val="53BBE420"/>
    <w:rsid w:val="53BC55DF"/>
    <w:rsid w:val="53BDF7BB"/>
    <w:rsid w:val="53BDFD35"/>
    <w:rsid w:val="53C1020F"/>
    <w:rsid w:val="53C4AA24"/>
    <w:rsid w:val="53C86781"/>
    <w:rsid w:val="53C8FDCD"/>
    <w:rsid w:val="53CB8EAD"/>
    <w:rsid w:val="53CBD4D9"/>
    <w:rsid w:val="53CCA6FC"/>
    <w:rsid w:val="53CCBDE6"/>
    <w:rsid w:val="53CCFEE1"/>
    <w:rsid w:val="53D0E6EE"/>
    <w:rsid w:val="53D199F2"/>
    <w:rsid w:val="53D1A756"/>
    <w:rsid w:val="53D2649F"/>
    <w:rsid w:val="53D32527"/>
    <w:rsid w:val="53D342B2"/>
    <w:rsid w:val="53D62E7A"/>
    <w:rsid w:val="53DAACB6"/>
    <w:rsid w:val="53DBB3A3"/>
    <w:rsid w:val="53E13B13"/>
    <w:rsid w:val="53E1E008"/>
    <w:rsid w:val="53E49ACC"/>
    <w:rsid w:val="53E9330A"/>
    <w:rsid w:val="53EA8182"/>
    <w:rsid w:val="53ED09EA"/>
    <w:rsid w:val="53EDBF5F"/>
    <w:rsid w:val="53EF8444"/>
    <w:rsid w:val="53F3DE64"/>
    <w:rsid w:val="53F3F30F"/>
    <w:rsid w:val="53F411EF"/>
    <w:rsid w:val="53F5881C"/>
    <w:rsid w:val="53F6E5E5"/>
    <w:rsid w:val="53F70605"/>
    <w:rsid w:val="53F94054"/>
    <w:rsid w:val="53FA0942"/>
    <w:rsid w:val="53FAFB4C"/>
    <w:rsid w:val="53FE6760"/>
    <w:rsid w:val="53FEF7F1"/>
    <w:rsid w:val="54001222"/>
    <w:rsid w:val="54010ED9"/>
    <w:rsid w:val="5401708E"/>
    <w:rsid w:val="54035822"/>
    <w:rsid w:val="54063C94"/>
    <w:rsid w:val="5406F004"/>
    <w:rsid w:val="5407F3F6"/>
    <w:rsid w:val="5409D67E"/>
    <w:rsid w:val="540ACB83"/>
    <w:rsid w:val="540C0D9B"/>
    <w:rsid w:val="540C46DA"/>
    <w:rsid w:val="540C6749"/>
    <w:rsid w:val="540E8B32"/>
    <w:rsid w:val="540F17DB"/>
    <w:rsid w:val="541093CD"/>
    <w:rsid w:val="541292C6"/>
    <w:rsid w:val="54135DBD"/>
    <w:rsid w:val="541383D7"/>
    <w:rsid w:val="5414B1BC"/>
    <w:rsid w:val="5415F128"/>
    <w:rsid w:val="5416C3CF"/>
    <w:rsid w:val="5416ED26"/>
    <w:rsid w:val="5417C25F"/>
    <w:rsid w:val="541AE321"/>
    <w:rsid w:val="541B5680"/>
    <w:rsid w:val="541BEF24"/>
    <w:rsid w:val="541CABEA"/>
    <w:rsid w:val="541E9F7F"/>
    <w:rsid w:val="5420A5EF"/>
    <w:rsid w:val="5422C60F"/>
    <w:rsid w:val="5423CB69"/>
    <w:rsid w:val="54243BD5"/>
    <w:rsid w:val="54250A1C"/>
    <w:rsid w:val="5425E845"/>
    <w:rsid w:val="542663BA"/>
    <w:rsid w:val="54267396"/>
    <w:rsid w:val="54267D90"/>
    <w:rsid w:val="54277E95"/>
    <w:rsid w:val="5428E072"/>
    <w:rsid w:val="542988E1"/>
    <w:rsid w:val="542B9DAF"/>
    <w:rsid w:val="542D3861"/>
    <w:rsid w:val="542E64AF"/>
    <w:rsid w:val="5430981A"/>
    <w:rsid w:val="54310402"/>
    <w:rsid w:val="5431C420"/>
    <w:rsid w:val="5431E8FD"/>
    <w:rsid w:val="5432289C"/>
    <w:rsid w:val="5433B8AF"/>
    <w:rsid w:val="543494B2"/>
    <w:rsid w:val="5439154D"/>
    <w:rsid w:val="543B4343"/>
    <w:rsid w:val="543DC48C"/>
    <w:rsid w:val="543E27F0"/>
    <w:rsid w:val="543EA8ED"/>
    <w:rsid w:val="543EBD2E"/>
    <w:rsid w:val="543F1A33"/>
    <w:rsid w:val="543FD843"/>
    <w:rsid w:val="5440CEB4"/>
    <w:rsid w:val="54412B6E"/>
    <w:rsid w:val="544237E4"/>
    <w:rsid w:val="544970F1"/>
    <w:rsid w:val="544AD5BB"/>
    <w:rsid w:val="544B10D2"/>
    <w:rsid w:val="544BDF7B"/>
    <w:rsid w:val="544C1E37"/>
    <w:rsid w:val="544F4B74"/>
    <w:rsid w:val="544FD867"/>
    <w:rsid w:val="544FE341"/>
    <w:rsid w:val="5451C642"/>
    <w:rsid w:val="5454455F"/>
    <w:rsid w:val="54552B69"/>
    <w:rsid w:val="5455A2A1"/>
    <w:rsid w:val="5456B54E"/>
    <w:rsid w:val="54574A4B"/>
    <w:rsid w:val="54599846"/>
    <w:rsid w:val="545A483D"/>
    <w:rsid w:val="545DFDC6"/>
    <w:rsid w:val="545F44AB"/>
    <w:rsid w:val="546224E6"/>
    <w:rsid w:val="5463DDE2"/>
    <w:rsid w:val="5465AC98"/>
    <w:rsid w:val="5465B624"/>
    <w:rsid w:val="5465EB44"/>
    <w:rsid w:val="5465F9F5"/>
    <w:rsid w:val="54669A3F"/>
    <w:rsid w:val="54690380"/>
    <w:rsid w:val="546A65E4"/>
    <w:rsid w:val="546B88D8"/>
    <w:rsid w:val="546BF849"/>
    <w:rsid w:val="546E2F26"/>
    <w:rsid w:val="546E30CF"/>
    <w:rsid w:val="546EDB7B"/>
    <w:rsid w:val="546F4273"/>
    <w:rsid w:val="5474D12D"/>
    <w:rsid w:val="5474F4EC"/>
    <w:rsid w:val="54756174"/>
    <w:rsid w:val="5477B2D4"/>
    <w:rsid w:val="5478F9B7"/>
    <w:rsid w:val="547AA277"/>
    <w:rsid w:val="547E8EFD"/>
    <w:rsid w:val="547F6471"/>
    <w:rsid w:val="54811835"/>
    <w:rsid w:val="54819A95"/>
    <w:rsid w:val="5481B93B"/>
    <w:rsid w:val="54855CF4"/>
    <w:rsid w:val="5485A0BA"/>
    <w:rsid w:val="548C0070"/>
    <w:rsid w:val="548DA006"/>
    <w:rsid w:val="548E98F2"/>
    <w:rsid w:val="548EC154"/>
    <w:rsid w:val="548EEB07"/>
    <w:rsid w:val="54903CE5"/>
    <w:rsid w:val="54904C0F"/>
    <w:rsid w:val="5491A29A"/>
    <w:rsid w:val="549215BD"/>
    <w:rsid w:val="5492E68B"/>
    <w:rsid w:val="5493C5AE"/>
    <w:rsid w:val="5494C5DC"/>
    <w:rsid w:val="54965FDC"/>
    <w:rsid w:val="5497904C"/>
    <w:rsid w:val="5497A274"/>
    <w:rsid w:val="5497D6F1"/>
    <w:rsid w:val="5499CBF4"/>
    <w:rsid w:val="549A088A"/>
    <w:rsid w:val="549A67E4"/>
    <w:rsid w:val="549AAB5E"/>
    <w:rsid w:val="549CD2DA"/>
    <w:rsid w:val="549D005A"/>
    <w:rsid w:val="549F2554"/>
    <w:rsid w:val="54A345EE"/>
    <w:rsid w:val="54A5576E"/>
    <w:rsid w:val="54AA04D4"/>
    <w:rsid w:val="54AB7188"/>
    <w:rsid w:val="54ACB552"/>
    <w:rsid w:val="54AE7C37"/>
    <w:rsid w:val="54B05B90"/>
    <w:rsid w:val="54B08000"/>
    <w:rsid w:val="54B0E9BA"/>
    <w:rsid w:val="54B2C765"/>
    <w:rsid w:val="54B416CD"/>
    <w:rsid w:val="54B566BB"/>
    <w:rsid w:val="54B7F867"/>
    <w:rsid w:val="54B974EE"/>
    <w:rsid w:val="54BA9884"/>
    <w:rsid w:val="54BB3D99"/>
    <w:rsid w:val="54BB5C12"/>
    <w:rsid w:val="54C00700"/>
    <w:rsid w:val="54C06C08"/>
    <w:rsid w:val="54C235F8"/>
    <w:rsid w:val="54C2EE71"/>
    <w:rsid w:val="54C643FA"/>
    <w:rsid w:val="54C81E84"/>
    <w:rsid w:val="54C89E44"/>
    <w:rsid w:val="54C9FD41"/>
    <w:rsid w:val="54CD3AE5"/>
    <w:rsid w:val="54CE43CE"/>
    <w:rsid w:val="54CF8180"/>
    <w:rsid w:val="54D0D99B"/>
    <w:rsid w:val="54D10BA0"/>
    <w:rsid w:val="54D2C8E3"/>
    <w:rsid w:val="54D4E227"/>
    <w:rsid w:val="54D547DB"/>
    <w:rsid w:val="54D5F75C"/>
    <w:rsid w:val="54D76162"/>
    <w:rsid w:val="54D944E8"/>
    <w:rsid w:val="54DC2FEE"/>
    <w:rsid w:val="54DCAE46"/>
    <w:rsid w:val="54DE4E4F"/>
    <w:rsid w:val="54E0CE99"/>
    <w:rsid w:val="54E0DE9C"/>
    <w:rsid w:val="54E13611"/>
    <w:rsid w:val="54E308EB"/>
    <w:rsid w:val="54E4CA02"/>
    <w:rsid w:val="54E83A1F"/>
    <w:rsid w:val="54E95B22"/>
    <w:rsid w:val="54E95ECB"/>
    <w:rsid w:val="54ED0DC1"/>
    <w:rsid w:val="54ED7D00"/>
    <w:rsid w:val="54EDF146"/>
    <w:rsid w:val="54EF7785"/>
    <w:rsid w:val="54F06A0E"/>
    <w:rsid w:val="54F15895"/>
    <w:rsid w:val="54F1F919"/>
    <w:rsid w:val="54F2DF04"/>
    <w:rsid w:val="54F31087"/>
    <w:rsid w:val="54F80891"/>
    <w:rsid w:val="54F868E0"/>
    <w:rsid w:val="54F8AD41"/>
    <w:rsid w:val="54F9507C"/>
    <w:rsid w:val="54F9D1B5"/>
    <w:rsid w:val="54FAEA5A"/>
    <w:rsid w:val="54FD60FF"/>
    <w:rsid w:val="54FE79D8"/>
    <w:rsid w:val="54FFA015"/>
    <w:rsid w:val="55011DDD"/>
    <w:rsid w:val="5501E21B"/>
    <w:rsid w:val="5502321C"/>
    <w:rsid w:val="55050313"/>
    <w:rsid w:val="55059EB9"/>
    <w:rsid w:val="550977D8"/>
    <w:rsid w:val="550A82D6"/>
    <w:rsid w:val="550B9F61"/>
    <w:rsid w:val="550D908E"/>
    <w:rsid w:val="550F8365"/>
    <w:rsid w:val="551267A2"/>
    <w:rsid w:val="5515A032"/>
    <w:rsid w:val="5515DD1A"/>
    <w:rsid w:val="5517E640"/>
    <w:rsid w:val="551865A3"/>
    <w:rsid w:val="55199594"/>
    <w:rsid w:val="5519A6A1"/>
    <w:rsid w:val="551B4048"/>
    <w:rsid w:val="551B9557"/>
    <w:rsid w:val="551CE82E"/>
    <w:rsid w:val="551F42BA"/>
    <w:rsid w:val="551FB14C"/>
    <w:rsid w:val="5520A16D"/>
    <w:rsid w:val="5520C865"/>
    <w:rsid w:val="5526E099"/>
    <w:rsid w:val="552715DE"/>
    <w:rsid w:val="552943B0"/>
    <w:rsid w:val="5529E05D"/>
    <w:rsid w:val="552ADD09"/>
    <w:rsid w:val="552B0F6A"/>
    <w:rsid w:val="552B11E7"/>
    <w:rsid w:val="552BE144"/>
    <w:rsid w:val="552C2B04"/>
    <w:rsid w:val="552C747C"/>
    <w:rsid w:val="552DE937"/>
    <w:rsid w:val="55322B25"/>
    <w:rsid w:val="55329E1B"/>
    <w:rsid w:val="5532D0DB"/>
    <w:rsid w:val="5533255F"/>
    <w:rsid w:val="5533BC3F"/>
    <w:rsid w:val="55371803"/>
    <w:rsid w:val="553A99DE"/>
    <w:rsid w:val="553E47B0"/>
    <w:rsid w:val="553E8EBE"/>
    <w:rsid w:val="553F4890"/>
    <w:rsid w:val="55431ACE"/>
    <w:rsid w:val="55444E70"/>
    <w:rsid w:val="5546DEED"/>
    <w:rsid w:val="554F1A94"/>
    <w:rsid w:val="554FE968"/>
    <w:rsid w:val="5551B7AB"/>
    <w:rsid w:val="5553A1F3"/>
    <w:rsid w:val="5553D3B9"/>
    <w:rsid w:val="55554368"/>
    <w:rsid w:val="55575DF5"/>
    <w:rsid w:val="5558756E"/>
    <w:rsid w:val="55588D6D"/>
    <w:rsid w:val="5559BD36"/>
    <w:rsid w:val="555BE1B6"/>
    <w:rsid w:val="555C001C"/>
    <w:rsid w:val="555EF672"/>
    <w:rsid w:val="555F0E65"/>
    <w:rsid w:val="555FCBC1"/>
    <w:rsid w:val="55606343"/>
    <w:rsid w:val="5561F1E5"/>
    <w:rsid w:val="5562C034"/>
    <w:rsid w:val="55669E90"/>
    <w:rsid w:val="55686474"/>
    <w:rsid w:val="5568FA44"/>
    <w:rsid w:val="556AE219"/>
    <w:rsid w:val="556D1EF6"/>
    <w:rsid w:val="556E7961"/>
    <w:rsid w:val="556FB837"/>
    <w:rsid w:val="5571AF3E"/>
    <w:rsid w:val="5572F87E"/>
    <w:rsid w:val="55751415"/>
    <w:rsid w:val="55753BEF"/>
    <w:rsid w:val="5575F584"/>
    <w:rsid w:val="5578F3F1"/>
    <w:rsid w:val="557A6779"/>
    <w:rsid w:val="557B5335"/>
    <w:rsid w:val="557D549B"/>
    <w:rsid w:val="557DCEC4"/>
    <w:rsid w:val="55809DB3"/>
    <w:rsid w:val="55826827"/>
    <w:rsid w:val="55843CA7"/>
    <w:rsid w:val="5585A585"/>
    <w:rsid w:val="5586F6CC"/>
    <w:rsid w:val="5586FEB7"/>
    <w:rsid w:val="55870A1A"/>
    <w:rsid w:val="55893D86"/>
    <w:rsid w:val="558A2AA2"/>
    <w:rsid w:val="558CE747"/>
    <w:rsid w:val="558DDBCA"/>
    <w:rsid w:val="55928195"/>
    <w:rsid w:val="5596D6D7"/>
    <w:rsid w:val="559E780D"/>
    <w:rsid w:val="559E8D61"/>
    <w:rsid w:val="559EF721"/>
    <w:rsid w:val="559F2B26"/>
    <w:rsid w:val="55A02F12"/>
    <w:rsid w:val="55A06B6B"/>
    <w:rsid w:val="55A22D34"/>
    <w:rsid w:val="55A3BB91"/>
    <w:rsid w:val="55A42A40"/>
    <w:rsid w:val="55A438BE"/>
    <w:rsid w:val="55A9042A"/>
    <w:rsid w:val="55AD52DE"/>
    <w:rsid w:val="55AFF2F2"/>
    <w:rsid w:val="55B04A9D"/>
    <w:rsid w:val="55B4CC65"/>
    <w:rsid w:val="55B5489A"/>
    <w:rsid w:val="55B66D44"/>
    <w:rsid w:val="55B6B8D0"/>
    <w:rsid w:val="55B7B1C0"/>
    <w:rsid w:val="55B85714"/>
    <w:rsid w:val="55BCB0F0"/>
    <w:rsid w:val="55BE0384"/>
    <w:rsid w:val="55BF26CB"/>
    <w:rsid w:val="55C0D3AB"/>
    <w:rsid w:val="55C2620B"/>
    <w:rsid w:val="55C42726"/>
    <w:rsid w:val="55C82312"/>
    <w:rsid w:val="55C82596"/>
    <w:rsid w:val="55C9339D"/>
    <w:rsid w:val="55C959EB"/>
    <w:rsid w:val="55CACCA8"/>
    <w:rsid w:val="55CC8CBF"/>
    <w:rsid w:val="55CDDE5A"/>
    <w:rsid w:val="55CEED24"/>
    <w:rsid w:val="55D56554"/>
    <w:rsid w:val="55D56A17"/>
    <w:rsid w:val="55D742CA"/>
    <w:rsid w:val="55D7AB87"/>
    <w:rsid w:val="55D9CC54"/>
    <w:rsid w:val="55D9F98D"/>
    <w:rsid w:val="55DB0910"/>
    <w:rsid w:val="55DC68A8"/>
    <w:rsid w:val="55DDAB9A"/>
    <w:rsid w:val="55DF1C2E"/>
    <w:rsid w:val="55E1D185"/>
    <w:rsid w:val="55E5C67F"/>
    <w:rsid w:val="55E807F5"/>
    <w:rsid w:val="55E91C00"/>
    <w:rsid w:val="55E995A7"/>
    <w:rsid w:val="55EAB6D8"/>
    <w:rsid w:val="55EBF9D6"/>
    <w:rsid w:val="55ED1122"/>
    <w:rsid w:val="55ED9A38"/>
    <w:rsid w:val="55EF973F"/>
    <w:rsid w:val="55F0AB35"/>
    <w:rsid w:val="55F0C824"/>
    <w:rsid w:val="55F21507"/>
    <w:rsid w:val="55F3640A"/>
    <w:rsid w:val="55F48B33"/>
    <w:rsid w:val="55F4B8B3"/>
    <w:rsid w:val="55F503B3"/>
    <w:rsid w:val="55F73232"/>
    <w:rsid w:val="55F785AA"/>
    <w:rsid w:val="55FC4302"/>
    <w:rsid w:val="55FCBB1D"/>
    <w:rsid w:val="55FFF298"/>
    <w:rsid w:val="5600B011"/>
    <w:rsid w:val="5602E608"/>
    <w:rsid w:val="56039A82"/>
    <w:rsid w:val="56080FF5"/>
    <w:rsid w:val="56088E7D"/>
    <w:rsid w:val="5609F8B6"/>
    <w:rsid w:val="560A1BDF"/>
    <w:rsid w:val="560C5947"/>
    <w:rsid w:val="560DFAB6"/>
    <w:rsid w:val="56104BDC"/>
    <w:rsid w:val="5617B16D"/>
    <w:rsid w:val="5617E99D"/>
    <w:rsid w:val="561AC208"/>
    <w:rsid w:val="561B0D5F"/>
    <w:rsid w:val="561C044B"/>
    <w:rsid w:val="561CA6F2"/>
    <w:rsid w:val="56219F9D"/>
    <w:rsid w:val="562344BB"/>
    <w:rsid w:val="56268D28"/>
    <w:rsid w:val="562C0C73"/>
    <w:rsid w:val="562FF177"/>
    <w:rsid w:val="56305CCB"/>
    <w:rsid w:val="56313DDA"/>
    <w:rsid w:val="563380BE"/>
    <w:rsid w:val="5633AC9D"/>
    <w:rsid w:val="5633E546"/>
    <w:rsid w:val="5635F1FA"/>
    <w:rsid w:val="56374C4E"/>
    <w:rsid w:val="5638F69A"/>
    <w:rsid w:val="563B524C"/>
    <w:rsid w:val="563C527A"/>
    <w:rsid w:val="563D5E52"/>
    <w:rsid w:val="563FBD9E"/>
    <w:rsid w:val="56407AC8"/>
    <w:rsid w:val="56408E74"/>
    <w:rsid w:val="5640DC92"/>
    <w:rsid w:val="56427925"/>
    <w:rsid w:val="5643E4C5"/>
    <w:rsid w:val="56452DEE"/>
    <w:rsid w:val="5647C9A2"/>
    <w:rsid w:val="56491737"/>
    <w:rsid w:val="5649C12F"/>
    <w:rsid w:val="564A4347"/>
    <w:rsid w:val="564B7B5A"/>
    <w:rsid w:val="564F8B0E"/>
    <w:rsid w:val="5650E3D4"/>
    <w:rsid w:val="56523D10"/>
    <w:rsid w:val="5653F456"/>
    <w:rsid w:val="56573A0F"/>
    <w:rsid w:val="565A4A4A"/>
    <w:rsid w:val="5662CB8C"/>
    <w:rsid w:val="5662DDBB"/>
    <w:rsid w:val="56642067"/>
    <w:rsid w:val="56652F5D"/>
    <w:rsid w:val="566591CD"/>
    <w:rsid w:val="5665B868"/>
    <w:rsid w:val="5668E865"/>
    <w:rsid w:val="566B9C3C"/>
    <w:rsid w:val="566D3E5B"/>
    <w:rsid w:val="566F1F01"/>
    <w:rsid w:val="56722AD0"/>
    <w:rsid w:val="5674B28E"/>
    <w:rsid w:val="5675C001"/>
    <w:rsid w:val="56762AB2"/>
    <w:rsid w:val="567726D3"/>
    <w:rsid w:val="5677A2D2"/>
    <w:rsid w:val="5677B28E"/>
    <w:rsid w:val="5678DAD7"/>
    <w:rsid w:val="567C61EA"/>
    <w:rsid w:val="567D20BA"/>
    <w:rsid w:val="56809BBD"/>
    <w:rsid w:val="5681AED7"/>
    <w:rsid w:val="568521DA"/>
    <w:rsid w:val="56855D9A"/>
    <w:rsid w:val="5686895F"/>
    <w:rsid w:val="568A5219"/>
    <w:rsid w:val="568A5995"/>
    <w:rsid w:val="568B212A"/>
    <w:rsid w:val="568DDD78"/>
    <w:rsid w:val="5690B4F5"/>
    <w:rsid w:val="56925A3D"/>
    <w:rsid w:val="56939932"/>
    <w:rsid w:val="56939C01"/>
    <w:rsid w:val="5693D1C4"/>
    <w:rsid w:val="56986D7B"/>
    <w:rsid w:val="5699A38A"/>
    <w:rsid w:val="5699F363"/>
    <w:rsid w:val="569BE456"/>
    <w:rsid w:val="569D116D"/>
    <w:rsid w:val="569DE670"/>
    <w:rsid w:val="56A27EC2"/>
    <w:rsid w:val="56A4E047"/>
    <w:rsid w:val="56A6FAAB"/>
    <w:rsid w:val="56A73A7B"/>
    <w:rsid w:val="56A747F3"/>
    <w:rsid w:val="56A7E2F5"/>
    <w:rsid w:val="56A87EC8"/>
    <w:rsid w:val="56A8AE6D"/>
    <w:rsid w:val="56AA24CA"/>
    <w:rsid w:val="56AC62FE"/>
    <w:rsid w:val="56AF0E33"/>
    <w:rsid w:val="56B09709"/>
    <w:rsid w:val="56B29FCF"/>
    <w:rsid w:val="56B3F33B"/>
    <w:rsid w:val="56B3F874"/>
    <w:rsid w:val="56B6B5BB"/>
    <w:rsid w:val="56BD5721"/>
    <w:rsid w:val="56BEC8C5"/>
    <w:rsid w:val="56C2162A"/>
    <w:rsid w:val="56C24D1C"/>
    <w:rsid w:val="56C628D1"/>
    <w:rsid w:val="56C9A1A4"/>
    <w:rsid w:val="56C9D049"/>
    <w:rsid w:val="56CA7F17"/>
    <w:rsid w:val="56CF391B"/>
    <w:rsid w:val="56CF8B11"/>
    <w:rsid w:val="56CFE809"/>
    <w:rsid w:val="56D1E870"/>
    <w:rsid w:val="56D31C65"/>
    <w:rsid w:val="56D5BCA2"/>
    <w:rsid w:val="56DB85FF"/>
    <w:rsid w:val="56DD9CBA"/>
    <w:rsid w:val="56DE6B14"/>
    <w:rsid w:val="56DEE924"/>
    <w:rsid w:val="56DF7661"/>
    <w:rsid w:val="56DF995D"/>
    <w:rsid w:val="56E027C6"/>
    <w:rsid w:val="56E21EF1"/>
    <w:rsid w:val="56E32831"/>
    <w:rsid w:val="56E34F7C"/>
    <w:rsid w:val="56E59A7A"/>
    <w:rsid w:val="56E6F429"/>
    <w:rsid w:val="56E754BF"/>
    <w:rsid w:val="56E7DD6B"/>
    <w:rsid w:val="56E9887F"/>
    <w:rsid w:val="56E9D626"/>
    <w:rsid w:val="56EA9548"/>
    <w:rsid w:val="56F2145D"/>
    <w:rsid w:val="56F70A65"/>
    <w:rsid w:val="56F91467"/>
    <w:rsid w:val="56F91F62"/>
    <w:rsid w:val="56F93B6E"/>
    <w:rsid w:val="56F9CDEF"/>
    <w:rsid w:val="56FBE126"/>
    <w:rsid w:val="56FC6F7E"/>
    <w:rsid w:val="56FC9C8E"/>
    <w:rsid w:val="56FCB3D5"/>
    <w:rsid w:val="56FCE90B"/>
    <w:rsid w:val="56FD381E"/>
    <w:rsid w:val="56FF1162"/>
    <w:rsid w:val="56FF3491"/>
    <w:rsid w:val="56FF4E89"/>
    <w:rsid w:val="57028439"/>
    <w:rsid w:val="5703FBD8"/>
    <w:rsid w:val="5709446E"/>
    <w:rsid w:val="5709ADA4"/>
    <w:rsid w:val="570BE5AF"/>
    <w:rsid w:val="570C56CA"/>
    <w:rsid w:val="570E85E6"/>
    <w:rsid w:val="570F5883"/>
    <w:rsid w:val="570FCCB8"/>
    <w:rsid w:val="5711FAFC"/>
    <w:rsid w:val="57136CE3"/>
    <w:rsid w:val="571451E9"/>
    <w:rsid w:val="57149835"/>
    <w:rsid w:val="571608B5"/>
    <w:rsid w:val="5716B6D3"/>
    <w:rsid w:val="5718BDC8"/>
    <w:rsid w:val="571A2420"/>
    <w:rsid w:val="571BDDA6"/>
    <w:rsid w:val="571F0302"/>
    <w:rsid w:val="571FCAD8"/>
    <w:rsid w:val="571FECFB"/>
    <w:rsid w:val="5720A218"/>
    <w:rsid w:val="57238F7E"/>
    <w:rsid w:val="5727F8EF"/>
    <w:rsid w:val="5728F5BC"/>
    <w:rsid w:val="572E85C8"/>
    <w:rsid w:val="57305193"/>
    <w:rsid w:val="5731882D"/>
    <w:rsid w:val="5733916D"/>
    <w:rsid w:val="5733E0DB"/>
    <w:rsid w:val="5738ADB1"/>
    <w:rsid w:val="57391040"/>
    <w:rsid w:val="57398D54"/>
    <w:rsid w:val="573BEA06"/>
    <w:rsid w:val="573D89E7"/>
    <w:rsid w:val="57405A72"/>
    <w:rsid w:val="5740B223"/>
    <w:rsid w:val="5740BD74"/>
    <w:rsid w:val="5741979A"/>
    <w:rsid w:val="57467A8A"/>
    <w:rsid w:val="57495999"/>
    <w:rsid w:val="5749C43E"/>
    <w:rsid w:val="574B10AE"/>
    <w:rsid w:val="574CDFA9"/>
    <w:rsid w:val="574E03BA"/>
    <w:rsid w:val="574E55DB"/>
    <w:rsid w:val="574FF39C"/>
    <w:rsid w:val="5751F8EC"/>
    <w:rsid w:val="57524FBC"/>
    <w:rsid w:val="5754545A"/>
    <w:rsid w:val="575467C8"/>
    <w:rsid w:val="5755CE27"/>
    <w:rsid w:val="5756DAE6"/>
    <w:rsid w:val="5758FA14"/>
    <w:rsid w:val="575B4144"/>
    <w:rsid w:val="575E6DCD"/>
    <w:rsid w:val="5760E8C7"/>
    <w:rsid w:val="57647A8F"/>
    <w:rsid w:val="5765A98A"/>
    <w:rsid w:val="5765C7BE"/>
    <w:rsid w:val="5767A25A"/>
    <w:rsid w:val="5768EFD3"/>
    <w:rsid w:val="576C57A3"/>
    <w:rsid w:val="576F4156"/>
    <w:rsid w:val="577180D6"/>
    <w:rsid w:val="57719DE0"/>
    <w:rsid w:val="5772368D"/>
    <w:rsid w:val="57726455"/>
    <w:rsid w:val="5773D90B"/>
    <w:rsid w:val="57750992"/>
    <w:rsid w:val="57760A8F"/>
    <w:rsid w:val="577A0AF2"/>
    <w:rsid w:val="577B8307"/>
    <w:rsid w:val="577BB538"/>
    <w:rsid w:val="577E72B2"/>
    <w:rsid w:val="5780C592"/>
    <w:rsid w:val="5781515A"/>
    <w:rsid w:val="5782ED44"/>
    <w:rsid w:val="57862E01"/>
    <w:rsid w:val="5787BE69"/>
    <w:rsid w:val="578AB747"/>
    <w:rsid w:val="578C4508"/>
    <w:rsid w:val="57915706"/>
    <w:rsid w:val="5799A187"/>
    <w:rsid w:val="579C9F0C"/>
    <w:rsid w:val="579CE0FE"/>
    <w:rsid w:val="579D2B51"/>
    <w:rsid w:val="579E0BF2"/>
    <w:rsid w:val="579E6D0C"/>
    <w:rsid w:val="57A0249D"/>
    <w:rsid w:val="57A352F0"/>
    <w:rsid w:val="57A56D50"/>
    <w:rsid w:val="57A7E3B7"/>
    <w:rsid w:val="57A85477"/>
    <w:rsid w:val="57A86BAD"/>
    <w:rsid w:val="57AA66EA"/>
    <w:rsid w:val="57ABA69A"/>
    <w:rsid w:val="57B506AE"/>
    <w:rsid w:val="57B78E3C"/>
    <w:rsid w:val="57B849A9"/>
    <w:rsid w:val="57B89D82"/>
    <w:rsid w:val="57B8EF8C"/>
    <w:rsid w:val="57B9CFA6"/>
    <w:rsid w:val="57BD42E2"/>
    <w:rsid w:val="57BD9B2E"/>
    <w:rsid w:val="57BE0615"/>
    <w:rsid w:val="57C37CBE"/>
    <w:rsid w:val="57C387C8"/>
    <w:rsid w:val="57C3C78E"/>
    <w:rsid w:val="57C500E3"/>
    <w:rsid w:val="57C5F387"/>
    <w:rsid w:val="57C74233"/>
    <w:rsid w:val="57C7C323"/>
    <w:rsid w:val="57C7D8A3"/>
    <w:rsid w:val="57CB2D08"/>
    <w:rsid w:val="57CEBC0B"/>
    <w:rsid w:val="57CEE8D8"/>
    <w:rsid w:val="57CF3CFC"/>
    <w:rsid w:val="57D07E1F"/>
    <w:rsid w:val="57D4ED7E"/>
    <w:rsid w:val="57D5A96B"/>
    <w:rsid w:val="57D97826"/>
    <w:rsid w:val="57DA4758"/>
    <w:rsid w:val="57DCF6BF"/>
    <w:rsid w:val="57DE5D46"/>
    <w:rsid w:val="57E0C7EB"/>
    <w:rsid w:val="57E1FBC0"/>
    <w:rsid w:val="57E24F02"/>
    <w:rsid w:val="57E3450C"/>
    <w:rsid w:val="57E3560A"/>
    <w:rsid w:val="57E62014"/>
    <w:rsid w:val="57E6EB3A"/>
    <w:rsid w:val="57E82C25"/>
    <w:rsid w:val="57E899E5"/>
    <w:rsid w:val="57E927F3"/>
    <w:rsid w:val="57EACEAF"/>
    <w:rsid w:val="57EB72C6"/>
    <w:rsid w:val="57EC03D9"/>
    <w:rsid w:val="57ECD467"/>
    <w:rsid w:val="57EF12C6"/>
    <w:rsid w:val="57EF9C41"/>
    <w:rsid w:val="57F0BD56"/>
    <w:rsid w:val="57F399BC"/>
    <w:rsid w:val="57F43279"/>
    <w:rsid w:val="57F45296"/>
    <w:rsid w:val="57F50446"/>
    <w:rsid w:val="57F721B0"/>
    <w:rsid w:val="57FAAC61"/>
    <w:rsid w:val="5800961F"/>
    <w:rsid w:val="5802F51C"/>
    <w:rsid w:val="5803EA4A"/>
    <w:rsid w:val="580739AF"/>
    <w:rsid w:val="5807A859"/>
    <w:rsid w:val="58086538"/>
    <w:rsid w:val="5809B383"/>
    <w:rsid w:val="580BBF69"/>
    <w:rsid w:val="5811DC8B"/>
    <w:rsid w:val="58122969"/>
    <w:rsid w:val="5814323E"/>
    <w:rsid w:val="58161944"/>
    <w:rsid w:val="581C1F46"/>
    <w:rsid w:val="581CC36E"/>
    <w:rsid w:val="581D4155"/>
    <w:rsid w:val="581D7456"/>
    <w:rsid w:val="581E7465"/>
    <w:rsid w:val="581F7ED4"/>
    <w:rsid w:val="581FF8D4"/>
    <w:rsid w:val="5820BBAA"/>
    <w:rsid w:val="58225BA9"/>
    <w:rsid w:val="5822AB47"/>
    <w:rsid w:val="5822EF1D"/>
    <w:rsid w:val="58246F75"/>
    <w:rsid w:val="582605EF"/>
    <w:rsid w:val="5826B127"/>
    <w:rsid w:val="582835E1"/>
    <w:rsid w:val="58289981"/>
    <w:rsid w:val="582A0646"/>
    <w:rsid w:val="582B6F32"/>
    <w:rsid w:val="582DCE06"/>
    <w:rsid w:val="582DCF19"/>
    <w:rsid w:val="58303626"/>
    <w:rsid w:val="5830401E"/>
    <w:rsid w:val="58310C43"/>
    <w:rsid w:val="58329A49"/>
    <w:rsid w:val="58336730"/>
    <w:rsid w:val="5835A18C"/>
    <w:rsid w:val="583D18CC"/>
    <w:rsid w:val="583D4F1B"/>
    <w:rsid w:val="583EE277"/>
    <w:rsid w:val="584065F2"/>
    <w:rsid w:val="5841A064"/>
    <w:rsid w:val="58423E62"/>
    <w:rsid w:val="58434DD6"/>
    <w:rsid w:val="58453014"/>
    <w:rsid w:val="58455CEA"/>
    <w:rsid w:val="5846415C"/>
    <w:rsid w:val="58486E0A"/>
    <w:rsid w:val="5849D03B"/>
    <w:rsid w:val="5849D5F2"/>
    <w:rsid w:val="584C2E13"/>
    <w:rsid w:val="584C5CB5"/>
    <w:rsid w:val="584D947A"/>
    <w:rsid w:val="584E615F"/>
    <w:rsid w:val="584ECDCB"/>
    <w:rsid w:val="58546892"/>
    <w:rsid w:val="585721A5"/>
    <w:rsid w:val="58593467"/>
    <w:rsid w:val="585A9D8F"/>
    <w:rsid w:val="585AA212"/>
    <w:rsid w:val="586138D6"/>
    <w:rsid w:val="5861DDD5"/>
    <w:rsid w:val="5862ECE0"/>
    <w:rsid w:val="58637252"/>
    <w:rsid w:val="5867C2F2"/>
    <w:rsid w:val="5868D0E7"/>
    <w:rsid w:val="5869A89F"/>
    <w:rsid w:val="586A65E9"/>
    <w:rsid w:val="586C318F"/>
    <w:rsid w:val="586C58C9"/>
    <w:rsid w:val="586CE83E"/>
    <w:rsid w:val="586DDCCA"/>
    <w:rsid w:val="586F3551"/>
    <w:rsid w:val="586FBB06"/>
    <w:rsid w:val="58704902"/>
    <w:rsid w:val="5870DD98"/>
    <w:rsid w:val="5871EB9A"/>
    <w:rsid w:val="587A20E2"/>
    <w:rsid w:val="587BE15B"/>
    <w:rsid w:val="587EAD10"/>
    <w:rsid w:val="587EEC85"/>
    <w:rsid w:val="587F867E"/>
    <w:rsid w:val="58804A4B"/>
    <w:rsid w:val="58817548"/>
    <w:rsid w:val="58828859"/>
    <w:rsid w:val="5882CA18"/>
    <w:rsid w:val="58835668"/>
    <w:rsid w:val="58835AFD"/>
    <w:rsid w:val="58848403"/>
    <w:rsid w:val="58871DE4"/>
    <w:rsid w:val="5887213D"/>
    <w:rsid w:val="58886BA7"/>
    <w:rsid w:val="5888D518"/>
    <w:rsid w:val="58908512"/>
    <w:rsid w:val="589247CB"/>
    <w:rsid w:val="58930402"/>
    <w:rsid w:val="58944D35"/>
    <w:rsid w:val="5894DE9A"/>
    <w:rsid w:val="58951D21"/>
    <w:rsid w:val="589797B5"/>
    <w:rsid w:val="589A78EA"/>
    <w:rsid w:val="589C91D1"/>
    <w:rsid w:val="589F8335"/>
    <w:rsid w:val="589FFA5D"/>
    <w:rsid w:val="58A00D45"/>
    <w:rsid w:val="58A0D0FE"/>
    <w:rsid w:val="58A2F7F7"/>
    <w:rsid w:val="58A4CB0B"/>
    <w:rsid w:val="58A55809"/>
    <w:rsid w:val="58A7A437"/>
    <w:rsid w:val="58A9F29C"/>
    <w:rsid w:val="58AD0BE9"/>
    <w:rsid w:val="58AD5176"/>
    <w:rsid w:val="58AF009C"/>
    <w:rsid w:val="58AFDF7C"/>
    <w:rsid w:val="58B4062A"/>
    <w:rsid w:val="58B4C29A"/>
    <w:rsid w:val="58B51FA6"/>
    <w:rsid w:val="58B58B9B"/>
    <w:rsid w:val="58B67055"/>
    <w:rsid w:val="58B8BB66"/>
    <w:rsid w:val="58BA0E9D"/>
    <w:rsid w:val="58BBA3A7"/>
    <w:rsid w:val="58BC260B"/>
    <w:rsid w:val="58BF1B87"/>
    <w:rsid w:val="58BF8528"/>
    <w:rsid w:val="58BFA220"/>
    <w:rsid w:val="58C0F396"/>
    <w:rsid w:val="58C38A28"/>
    <w:rsid w:val="58C425EC"/>
    <w:rsid w:val="58C51007"/>
    <w:rsid w:val="58C73D5A"/>
    <w:rsid w:val="58C8F830"/>
    <w:rsid w:val="58CAFBF3"/>
    <w:rsid w:val="58CB75CB"/>
    <w:rsid w:val="58CBF518"/>
    <w:rsid w:val="58CD9BDA"/>
    <w:rsid w:val="58CE6B0A"/>
    <w:rsid w:val="58D041C0"/>
    <w:rsid w:val="58D3F9FF"/>
    <w:rsid w:val="58D41F7A"/>
    <w:rsid w:val="58D5971B"/>
    <w:rsid w:val="58D62F6E"/>
    <w:rsid w:val="58D6EBE0"/>
    <w:rsid w:val="58D93E02"/>
    <w:rsid w:val="58DCD844"/>
    <w:rsid w:val="58DDB130"/>
    <w:rsid w:val="58DECDB1"/>
    <w:rsid w:val="58DF44F3"/>
    <w:rsid w:val="58E07AD4"/>
    <w:rsid w:val="58E2FA43"/>
    <w:rsid w:val="58E60771"/>
    <w:rsid w:val="58EC008E"/>
    <w:rsid w:val="58F0F9D6"/>
    <w:rsid w:val="58F2B636"/>
    <w:rsid w:val="58F411FC"/>
    <w:rsid w:val="58F85292"/>
    <w:rsid w:val="58F90393"/>
    <w:rsid w:val="58F91DE6"/>
    <w:rsid w:val="58F9B09A"/>
    <w:rsid w:val="58FA3338"/>
    <w:rsid w:val="58FBDE8B"/>
    <w:rsid w:val="58FC38F5"/>
    <w:rsid w:val="58FCA21C"/>
    <w:rsid w:val="58FE58EB"/>
    <w:rsid w:val="58FFB8A0"/>
    <w:rsid w:val="58FFFF6B"/>
    <w:rsid w:val="5902AC16"/>
    <w:rsid w:val="590340CD"/>
    <w:rsid w:val="59040BCC"/>
    <w:rsid w:val="59044CE1"/>
    <w:rsid w:val="5906A74C"/>
    <w:rsid w:val="5906B32A"/>
    <w:rsid w:val="59079437"/>
    <w:rsid w:val="5907EAF2"/>
    <w:rsid w:val="590B99E3"/>
    <w:rsid w:val="590CD735"/>
    <w:rsid w:val="590D5ED6"/>
    <w:rsid w:val="590F8D72"/>
    <w:rsid w:val="5911DB95"/>
    <w:rsid w:val="59152972"/>
    <w:rsid w:val="59154C96"/>
    <w:rsid w:val="59179F97"/>
    <w:rsid w:val="59194229"/>
    <w:rsid w:val="59197298"/>
    <w:rsid w:val="59198834"/>
    <w:rsid w:val="591DEA9E"/>
    <w:rsid w:val="591EACDD"/>
    <w:rsid w:val="591F4BFC"/>
    <w:rsid w:val="59215148"/>
    <w:rsid w:val="5922E88E"/>
    <w:rsid w:val="59238AD4"/>
    <w:rsid w:val="5923E89C"/>
    <w:rsid w:val="5925C985"/>
    <w:rsid w:val="5927410E"/>
    <w:rsid w:val="5927EDDA"/>
    <w:rsid w:val="592C9D94"/>
    <w:rsid w:val="592E2144"/>
    <w:rsid w:val="592FE5B6"/>
    <w:rsid w:val="59302884"/>
    <w:rsid w:val="59329029"/>
    <w:rsid w:val="59331CB4"/>
    <w:rsid w:val="5933398C"/>
    <w:rsid w:val="59343063"/>
    <w:rsid w:val="5934ACB9"/>
    <w:rsid w:val="59350580"/>
    <w:rsid w:val="593A6EF5"/>
    <w:rsid w:val="593ABD82"/>
    <w:rsid w:val="593B4DE9"/>
    <w:rsid w:val="594084B0"/>
    <w:rsid w:val="5941BBAB"/>
    <w:rsid w:val="5945E667"/>
    <w:rsid w:val="5946BD1D"/>
    <w:rsid w:val="59487E82"/>
    <w:rsid w:val="594917AB"/>
    <w:rsid w:val="59496BF8"/>
    <w:rsid w:val="594984DE"/>
    <w:rsid w:val="5950CF1C"/>
    <w:rsid w:val="5952740B"/>
    <w:rsid w:val="5952A9BD"/>
    <w:rsid w:val="59538EE3"/>
    <w:rsid w:val="5953CE2B"/>
    <w:rsid w:val="59542553"/>
    <w:rsid w:val="59543E90"/>
    <w:rsid w:val="5954B0FB"/>
    <w:rsid w:val="595520B4"/>
    <w:rsid w:val="5955ADC7"/>
    <w:rsid w:val="5955F76C"/>
    <w:rsid w:val="59561863"/>
    <w:rsid w:val="5957B38C"/>
    <w:rsid w:val="59597350"/>
    <w:rsid w:val="595BFF93"/>
    <w:rsid w:val="595C7D40"/>
    <w:rsid w:val="595CB91E"/>
    <w:rsid w:val="595CD37D"/>
    <w:rsid w:val="595D1409"/>
    <w:rsid w:val="595E3C46"/>
    <w:rsid w:val="5964A372"/>
    <w:rsid w:val="5965AB32"/>
    <w:rsid w:val="5966A042"/>
    <w:rsid w:val="5969B642"/>
    <w:rsid w:val="596B1FDB"/>
    <w:rsid w:val="596D4DF8"/>
    <w:rsid w:val="596EB792"/>
    <w:rsid w:val="5971DF45"/>
    <w:rsid w:val="59735766"/>
    <w:rsid w:val="5975EB40"/>
    <w:rsid w:val="5975F91A"/>
    <w:rsid w:val="59763509"/>
    <w:rsid w:val="5976593B"/>
    <w:rsid w:val="59767AFD"/>
    <w:rsid w:val="5978595E"/>
    <w:rsid w:val="5978752A"/>
    <w:rsid w:val="59789178"/>
    <w:rsid w:val="5978FE70"/>
    <w:rsid w:val="5979C987"/>
    <w:rsid w:val="597AF3F0"/>
    <w:rsid w:val="597B36E8"/>
    <w:rsid w:val="597CBEE1"/>
    <w:rsid w:val="597DBB97"/>
    <w:rsid w:val="597E6630"/>
    <w:rsid w:val="5981BFBB"/>
    <w:rsid w:val="5981DF9E"/>
    <w:rsid w:val="59820E3E"/>
    <w:rsid w:val="5982E1D4"/>
    <w:rsid w:val="5982EBCB"/>
    <w:rsid w:val="5982F8B4"/>
    <w:rsid w:val="5983A802"/>
    <w:rsid w:val="598504E6"/>
    <w:rsid w:val="5985C722"/>
    <w:rsid w:val="59886095"/>
    <w:rsid w:val="598AC405"/>
    <w:rsid w:val="598AEBF6"/>
    <w:rsid w:val="598BB92C"/>
    <w:rsid w:val="599018B5"/>
    <w:rsid w:val="5991A7F1"/>
    <w:rsid w:val="59920E43"/>
    <w:rsid w:val="599233BB"/>
    <w:rsid w:val="59941F70"/>
    <w:rsid w:val="59963D1F"/>
    <w:rsid w:val="5996868C"/>
    <w:rsid w:val="599884C2"/>
    <w:rsid w:val="59989217"/>
    <w:rsid w:val="5999398E"/>
    <w:rsid w:val="599C195A"/>
    <w:rsid w:val="599DB724"/>
    <w:rsid w:val="599F3BDD"/>
    <w:rsid w:val="59A0D545"/>
    <w:rsid w:val="59A24501"/>
    <w:rsid w:val="59A2EE6F"/>
    <w:rsid w:val="59A3472C"/>
    <w:rsid w:val="59A9044B"/>
    <w:rsid w:val="59AADEF5"/>
    <w:rsid w:val="59AF5675"/>
    <w:rsid w:val="59AF5A7B"/>
    <w:rsid w:val="59B55197"/>
    <w:rsid w:val="59BE11CE"/>
    <w:rsid w:val="59BF39F2"/>
    <w:rsid w:val="59BF8B2E"/>
    <w:rsid w:val="59C4966E"/>
    <w:rsid w:val="59C557D1"/>
    <w:rsid w:val="59C5BEE1"/>
    <w:rsid w:val="59C66C71"/>
    <w:rsid w:val="59C7F220"/>
    <w:rsid w:val="59C90664"/>
    <w:rsid w:val="59CCC4E7"/>
    <w:rsid w:val="59CCCFB0"/>
    <w:rsid w:val="59D0B5B4"/>
    <w:rsid w:val="59D1E55E"/>
    <w:rsid w:val="59D7F7BA"/>
    <w:rsid w:val="59D8D96F"/>
    <w:rsid w:val="59DCE8D9"/>
    <w:rsid w:val="59DDA913"/>
    <w:rsid w:val="59DF2B30"/>
    <w:rsid w:val="59DFCFE2"/>
    <w:rsid w:val="59E3AF62"/>
    <w:rsid w:val="59E568D0"/>
    <w:rsid w:val="59E74B3C"/>
    <w:rsid w:val="59E7A9AE"/>
    <w:rsid w:val="59EAAA23"/>
    <w:rsid w:val="59EBB318"/>
    <w:rsid w:val="59ECF664"/>
    <w:rsid w:val="59ED801D"/>
    <w:rsid w:val="59F28CF8"/>
    <w:rsid w:val="59F72EE2"/>
    <w:rsid w:val="59F9CEBC"/>
    <w:rsid w:val="59FA78A5"/>
    <w:rsid w:val="59FC32CC"/>
    <w:rsid w:val="59FFF183"/>
    <w:rsid w:val="5A00235F"/>
    <w:rsid w:val="5A010B4C"/>
    <w:rsid w:val="5A03A406"/>
    <w:rsid w:val="5A04E284"/>
    <w:rsid w:val="5A05A7A3"/>
    <w:rsid w:val="5A076CB3"/>
    <w:rsid w:val="5A0C95E5"/>
    <w:rsid w:val="5A0CD71E"/>
    <w:rsid w:val="5A0E8B40"/>
    <w:rsid w:val="5A12FCEC"/>
    <w:rsid w:val="5A165840"/>
    <w:rsid w:val="5A16ABF8"/>
    <w:rsid w:val="5A16E5AE"/>
    <w:rsid w:val="5A17AB70"/>
    <w:rsid w:val="5A1ADB93"/>
    <w:rsid w:val="5A1BC0F8"/>
    <w:rsid w:val="5A1C3EAA"/>
    <w:rsid w:val="5A216DAC"/>
    <w:rsid w:val="5A23FD87"/>
    <w:rsid w:val="5A25F020"/>
    <w:rsid w:val="5A274B7B"/>
    <w:rsid w:val="5A27DD87"/>
    <w:rsid w:val="5A29A511"/>
    <w:rsid w:val="5A2A2996"/>
    <w:rsid w:val="5A2AA7EB"/>
    <w:rsid w:val="5A2EABBA"/>
    <w:rsid w:val="5A2F9579"/>
    <w:rsid w:val="5A2FB140"/>
    <w:rsid w:val="5A2FDB9A"/>
    <w:rsid w:val="5A33411A"/>
    <w:rsid w:val="5A34367C"/>
    <w:rsid w:val="5A363E97"/>
    <w:rsid w:val="5A36C943"/>
    <w:rsid w:val="5A36D4AD"/>
    <w:rsid w:val="5A38170F"/>
    <w:rsid w:val="5A39543D"/>
    <w:rsid w:val="5A3A5C6D"/>
    <w:rsid w:val="5A3CA8FA"/>
    <w:rsid w:val="5A3E8924"/>
    <w:rsid w:val="5A3F40E6"/>
    <w:rsid w:val="5A40A9DC"/>
    <w:rsid w:val="5A40C9BF"/>
    <w:rsid w:val="5A41749C"/>
    <w:rsid w:val="5A420A39"/>
    <w:rsid w:val="5A457257"/>
    <w:rsid w:val="5A46B743"/>
    <w:rsid w:val="5A471BEE"/>
    <w:rsid w:val="5A490E08"/>
    <w:rsid w:val="5A4A88A6"/>
    <w:rsid w:val="5A4B181B"/>
    <w:rsid w:val="5A4D9C0D"/>
    <w:rsid w:val="5A54AA37"/>
    <w:rsid w:val="5A569D87"/>
    <w:rsid w:val="5A57BE6C"/>
    <w:rsid w:val="5A58FDBD"/>
    <w:rsid w:val="5A59029E"/>
    <w:rsid w:val="5A5AFCAC"/>
    <w:rsid w:val="5A5B6779"/>
    <w:rsid w:val="5A5CF51F"/>
    <w:rsid w:val="5A61CAC7"/>
    <w:rsid w:val="5A623046"/>
    <w:rsid w:val="5A6326AF"/>
    <w:rsid w:val="5A65A169"/>
    <w:rsid w:val="5A680DD2"/>
    <w:rsid w:val="5A6878FF"/>
    <w:rsid w:val="5A6A7AA9"/>
    <w:rsid w:val="5A6C5FEA"/>
    <w:rsid w:val="5A6DB385"/>
    <w:rsid w:val="5A6DEBC4"/>
    <w:rsid w:val="5A6E9FE0"/>
    <w:rsid w:val="5A6EFF66"/>
    <w:rsid w:val="5A752CF8"/>
    <w:rsid w:val="5A760C1C"/>
    <w:rsid w:val="5A76AF76"/>
    <w:rsid w:val="5A77FC89"/>
    <w:rsid w:val="5A798BF3"/>
    <w:rsid w:val="5A81762E"/>
    <w:rsid w:val="5A81ED67"/>
    <w:rsid w:val="5A8AEBF3"/>
    <w:rsid w:val="5A8B4C13"/>
    <w:rsid w:val="5A8D27DD"/>
    <w:rsid w:val="5A8D75B7"/>
    <w:rsid w:val="5A8E206E"/>
    <w:rsid w:val="5A8F1531"/>
    <w:rsid w:val="5A9406EA"/>
    <w:rsid w:val="5A954752"/>
    <w:rsid w:val="5A954924"/>
    <w:rsid w:val="5A956777"/>
    <w:rsid w:val="5A9578E2"/>
    <w:rsid w:val="5A95E52D"/>
    <w:rsid w:val="5A96042D"/>
    <w:rsid w:val="5A96B3F8"/>
    <w:rsid w:val="5A96D5E0"/>
    <w:rsid w:val="5A993993"/>
    <w:rsid w:val="5A994218"/>
    <w:rsid w:val="5A99CD76"/>
    <w:rsid w:val="5A9CA109"/>
    <w:rsid w:val="5A9D554B"/>
    <w:rsid w:val="5A9E0BAD"/>
    <w:rsid w:val="5A9E5B1D"/>
    <w:rsid w:val="5AA1139F"/>
    <w:rsid w:val="5AA1B4DC"/>
    <w:rsid w:val="5AA37C78"/>
    <w:rsid w:val="5AA67932"/>
    <w:rsid w:val="5AA7BABD"/>
    <w:rsid w:val="5AAA0E4A"/>
    <w:rsid w:val="5AAC03DF"/>
    <w:rsid w:val="5AAC853C"/>
    <w:rsid w:val="5AAFA5C9"/>
    <w:rsid w:val="5AB23D1A"/>
    <w:rsid w:val="5AB496F0"/>
    <w:rsid w:val="5AB63D87"/>
    <w:rsid w:val="5AB65629"/>
    <w:rsid w:val="5AB74342"/>
    <w:rsid w:val="5AB93115"/>
    <w:rsid w:val="5ABB5E21"/>
    <w:rsid w:val="5ABC73B5"/>
    <w:rsid w:val="5ABE7B3C"/>
    <w:rsid w:val="5ABECB24"/>
    <w:rsid w:val="5ABF6707"/>
    <w:rsid w:val="5AC154B1"/>
    <w:rsid w:val="5AC219DB"/>
    <w:rsid w:val="5AC2B9B0"/>
    <w:rsid w:val="5AC4C171"/>
    <w:rsid w:val="5AC4FAFB"/>
    <w:rsid w:val="5AC6A9D3"/>
    <w:rsid w:val="5AC6C936"/>
    <w:rsid w:val="5AC85341"/>
    <w:rsid w:val="5AC911A9"/>
    <w:rsid w:val="5ACD846C"/>
    <w:rsid w:val="5ACF2626"/>
    <w:rsid w:val="5ACFEEE7"/>
    <w:rsid w:val="5AD43A67"/>
    <w:rsid w:val="5AD4C8B1"/>
    <w:rsid w:val="5AD513BC"/>
    <w:rsid w:val="5AD61D36"/>
    <w:rsid w:val="5AD6E2F6"/>
    <w:rsid w:val="5AD8EC21"/>
    <w:rsid w:val="5AD9EC25"/>
    <w:rsid w:val="5ADDE283"/>
    <w:rsid w:val="5ADE0B67"/>
    <w:rsid w:val="5ADFD7EA"/>
    <w:rsid w:val="5ADFED27"/>
    <w:rsid w:val="5AE24E44"/>
    <w:rsid w:val="5AE48621"/>
    <w:rsid w:val="5AE51355"/>
    <w:rsid w:val="5AE5215E"/>
    <w:rsid w:val="5AE71F77"/>
    <w:rsid w:val="5AEABAA4"/>
    <w:rsid w:val="5AEB24EE"/>
    <w:rsid w:val="5AEB9D2B"/>
    <w:rsid w:val="5AECF3C9"/>
    <w:rsid w:val="5AEDA732"/>
    <w:rsid w:val="5AEEB6E4"/>
    <w:rsid w:val="5AF207BB"/>
    <w:rsid w:val="5AF3B4D8"/>
    <w:rsid w:val="5AF3C53E"/>
    <w:rsid w:val="5AF64F3C"/>
    <w:rsid w:val="5AF818CC"/>
    <w:rsid w:val="5AFE772C"/>
    <w:rsid w:val="5AFEBA51"/>
    <w:rsid w:val="5AFF9CBD"/>
    <w:rsid w:val="5B0013ED"/>
    <w:rsid w:val="5B01F1F9"/>
    <w:rsid w:val="5B0413A2"/>
    <w:rsid w:val="5B051380"/>
    <w:rsid w:val="5B0566A1"/>
    <w:rsid w:val="5B05E501"/>
    <w:rsid w:val="5B05FC22"/>
    <w:rsid w:val="5B077DFF"/>
    <w:rsid w:val="5B0DB44D"/>
    <w:rsid w:val="5B107FE2"/>
    <w:rsid w:val="5B13C78B"/>
    <w:rsid w:val="5B166910"/>
    <w:rsid w:val="5B16F8F1"/>
    <w:rsid w:val="5B17DCB6"/>
    <w:rsid w:val="5B19FFBC"/>
    <w:rsid w:val="5B1C67A1"/>
    <w:rsid w:val="5B1CC40F"/>
    <w:rsid w:val="5B20A289"/>
    <w:rsid w:val="5B21138C"/>
    <w:rsid w:val="5B22F934"/>
    <w:rsid w:val="5B23F940"/>
    <w:rsid w:val="5B240D7C"/>
    <w:rsid w:val="5B242E7A"/>
    <w:rsid w:val="5B29988F"/>
    <w:rsid w:val="5B2AFBAA"/>
    <w:rsid w:val="5B2CB668"/>
    <w:rsid w:val="5B2E68D7"/>
    <w:rsid w:val="5B2E88FC"/>
    <w:rsid w:val="5B2EB4B0"/>
    <w:rsid w:val="5B3071F1"/>
    <w:rsid w:val="5B327EAE"/>
    <w:rsid w:val="5B3355CE"/>
    <w:rsid w:val="5B33E13E"/>
    <w:rsid w:val="5B34EF4E"/>
    <w:rsid w:val="5B378E53"/>
    <w:rsid w:val="5B3AE37C"/>
    <w:rsid w:val="5B3C3AFA"/>
    <w:rsid w:val="5B3D0CB5"/>
    <w:rsid w:val="5B40823F"/>
    <w:rsid w:val="5B42EB28"/>
    <w:rsid w:val="5B44237D"/>
    <w:rsid w:val="5B45D0B2"/>
    <w:rsid w:val="5B473A66"/>
    <w:rsid w:val="5B47A3EA"/>
    <w:rsid w:val="5B4894BD"/>
    <w:rsid w:val="5B4B2432"/>
    <w:rsid w:val="5B4B7CBD"/>
    <w:rsid w:val="5B4C08E9"/>
    <w:rsid w:val="5B4DF466"/>
    <w:rsid w:val="5B4F014C"/>
    <w:rsid w:val="5B4F29F4"/>
    <w:rsid w:val="5B50ACC4"/>
    <w:rsid w:val="5B50B505"/>
    <w:rsid w:val="5B511CED"/>
    <w:rsid w:val="5B51A37B"/>
    <w:rsid w:val="5B51C4B2"/>
    <w:rsid w:val="5B5385B0"/>
    <w:rsid w:val="5B54B85D"/>
    <w:rsid w:val="5B54ED46"/>
    <w:rsid w:val="5B5716A5"/>
    <w:rsid w:val="5B5B3D0D"/>
    <w:rsid w:val="5B5C8CA5"/>
    <w:rsid w:val="5B612588"/>
    <w:rsid w:val="5B61D28A"/>
    <w:rsid w:val="5B65AC49"/>
    <w:rsid w:val="5B6B567B"/>
    <w:rsid w:val="5B6C1FB6"/>
    <w:rsid w:val="5B71A319"/>
    <w:rsid w:val="5B71AAC1"/>
    <w:rsid w:val="5B72A782"/>
    <w:rsid w:val="5B73B69B"/>
    <w:rsid w:val="5B75BDB0"/>
    <w:rsid w:val="5B7600D8"/>
    <w:rsid w:val="5B765735"/>
    <w:rsid w:val="5B769C3B"/>
    <w:rsid w:val="5B77EB81"/>
    <w:rsid w:val="5B782A04"/>
    <w:rsid w:val="5B7EBC67"/>
    <w:rsid w:val="5B7EFFC6"/>
    <w:rsid w:val="5B818ECF"/>
    <w:rsid w:val="5B828FA4"/>
    <w:rsid w:val="5B83421F"/>
    <w:rsid w:val="5B837FC0"/>
    <w:rsid w:val="5B8383C9"/>
    <w:rsid w:val="5B83C5C5"/>
    <w:rsid w:val="5B8A8008"/>
    <w:rsid w:val="5B8AAF62"/>
    <w:rsid w:val="5B8C01C0"/>
    <w:rsid w:val="5B8D510B"/>
    <w:rsid w:val="5B8D994A"/>
    <w:rsid w:val="5B8EECEF"/>
    <w:rsid w:val="5B90C7FA"/>
    <w:rsid w:val="5B926B00"/>
    <w:rsid w:val="5B9371D0"/>
    <w:rsid w:val="5B94A1FD"/>
    <w:rsid w:val="5B95F0A1"/>
    <w:rsid w:val="5B9C76CF"/>
    <w:rsid w:val="5B9D8EBF"/>
    <w:rsid w:val="5BA0A572"/>
    <w:rsid w:val="5BA2A9C4"/>
    <w:rsid w:val="5BA4BB95"/>
    <w:rsid w:val="5BAA888B"/>
    <w:rsid w:val="5BAB1CAD"/>
    <w:rsid w:val="5BAEDCCB"/>
    <w:rsid w:val="5BAF2C32"/>
    <w:rsid w:val="5BAF310C"/>
    <w:rsid w:val="5BB0F065"/>
    <w:rsid w:val="5BB196EB"/>
    <w:rsid w:val="5BB234CC"/>
    <w:rsid w:val="5BB3EA68"/>
    <w:rsid w:val="5BB4DF88"/>
    <w:rsid w:val="5BB5BEC9"/>
    <w:rsid w:val="5BB7E7D9"/>
    <w:rsid w:val="5BBE40B9"/>
    <w:rsid w:val="5BBF143F"/>
    <w:rsid w:val="5BC1EFEE"/>
    <w:rsid w:val="5BC60609"/>
    <w:rsid w:val="5BC61FF6"/>
    <w:rsid w:val="5BCB5EEC"/>
    <w:rsid w:val="5BCBE11F"/>
    <w:rsid w:val="5BCDBDD4"/>
    <w:rsid w:val="5BD5082E"/>
    <w:rsid w:val="5BD568CA"/>
    <w:rsid w:val="5BD5B9D1"/>
    <w:rsid w:val="5BD658D4"/>
    <w:rsid w:val="5BDB89BB"/>
    <w:rsid w:val="5BDB8AA1"/>
    <w:rsid w:val="5BDBBD8F"/>
    <w:rsid w:val="5BDC9224"/>
    <w:rsid w:val="5BDD10D8"/>
    <w:rsid w:val="5BDDE3D5"/>
    <w:rsid w:val="5BDF60AC"/>
    <w:rsid w:val="5BE25EA3"/>
    <w:rsid w:val="5BE57836"/>
    <w:rsid w:val="5BE57851"/>
    <w:rsid w:val="5BE68053"/>
    <w:rsid w:val="5BE70B2E"/>
    <w:rsid w:val="5BE861A1"/>
    <w:rsid w:val="5BE93948"/>
    <w:rsid w:val="5BEC0F7A"/>
    <w:rsid w:val="5BEC69CA"/>
    <w:rsid w:val="5BF062B0"/>
    <w:rsid w:val="5BF09050"/>
    <w:rsid w:val="5BF40E95"/>
    <w:rsid w:val="5BF4A26A"/>
    <w:rsid w:val="5BF74F15"/>
    <w:rsid w:val="5BF78E4A"/>
    <w:rsid w:val="5BF94440"/>
    <w:rsid w:val="5BFDE88F"/>
    <w:rsid w:val="5BFE123B"/>
    <w:rsid w:val="5C00D9B2"/>
    <w:rsid w:val="5C01FFAB"/>
    <w:rsid w:val="5C0224B8"/>
    <w:rsid w:val="5C0259DA"/>
    <w:rsid w:val="5C037EE8"/>
    <w:rsid w:val="5C07CCBE"/>
    <w:rsid w:val="5C087657"/>
    <w:rsid w:val="5C08DBDC"/>
    <w:rsid w:val="5C0A692C"/>
    <w:rsid w:val="5C0AA78F"/>
    <w:rsid w:val="5C1606BE"/>
    <w:rsid w:val="5C166FCB"/>
    <w:rsid w:val="5C18C882"/>
    <w:rsid w:val="5C1CF53B"/>
    <w:rsid w:val="5C1EBF2B"/>
    <w:rsid w:val="5C1F1EE6"/>
    <w:rsid w:val="5C20AD35"/>
    <w:rsid w:val="5C20CD1D"/>
    <w:rsid w:val="5C20EE3F"/>
    <w:rsid w:val="5C23E7F2"/>
    <w:rsid w:val="5C263D6E"/>
    <w:rsid w:val="5C296C84"/>
    <w:rsid w:val="5C2C5C68"/>
    <w:rsid w:val="5C2DC42A"/>
    <w:rsid w:val="5C2FDD8B"/>
    <w:rsid w:val="5C301FE8"/>
    <w:rsid w:val="5C32713D"/>
    <w:rsid w:val="5C34F538"/>
    <w:rsid w:val="5C369E31"/>
    <w:rsid w:val="5C3A0A42"/>
    <w:rsid w:val="5C3AB09B"/>
    <w:rsid w:val="5C3ABF05"/>
    <w:rsid w:val="5C3BF67E"/>
    <w:rsid w:val="5C3BF79E"/>
    <w:rsid w:val="5C3C21AE"/>
    <w:rsid w:val="5C3C28C7"/>
    <w:rsid w:val="5C3D2DCE"/>
    <w:rsid w:val="5C3EC031"/>
    <w:rsid w:val="5C3FC61C"/>
    <w:rsid w:val="5C3FCCD5"/>
    <w:rsid w:val="5C44C562"/>
    <w:rsid w:val="5C465890"/>
    <w:rsid w:val="5C46C7D8"/>
    <w:rsid w:val="5C4985E7"/>
    <w:rsid w:val="5C4C2FE5"/>
    <w:rsid w:val="5C4C99F3"/>
    <w:rsid w:val="5C4DB290"/>
    <w:rsid w:val="5C4FE8ED"/>
    <w:rsid w:val="5C5047C2"/>
    <w:rsid w:val="5C514C49"/>
    <w:rsid w:val="5C5184F6"/>
    <w:rsid w:val="5C52DE3C"/>
    <w:rsid w:val="5C54C608"/>
    <w:rsid w:val="5C5570FA"/>
    <w:rsid w:val="5C57BD8C"/>
    <w:rsid w:val="5C57EBC0"/>
    <w:rsid w:val="5C58D7F3"/>
    <w:rsid w:val="5C5A6185"/>
    <w:rsid w:val="5C5A78F2"/>
    <w:rsid w:val="5C5A8038"/>
    <w:rsid w:val="5C5B286B"/>
    <w:rsid w:val="5C5B37FD"/>
    <w:rsid w:val="5C5E5799"/>
    <w:rsid w:val="5C5EF367"/>
    <w:rsid w:val="5C5F7D10"/>
    <w:rsid w:val="5C619B96"/>
    <w:rsid w:val="5C624733"/>
    <w:rsid w:val="5C62AFC6"/>
    <w:rsid w:val="5C62F9B6"/>
    <w:rsid w:val="5C6326EC"/>
    <w:rsid w:val="5C64C5A8"/>
    <w:rsid w:val="5C64E4D5"/>
    <w:rsid w:val="5C6784D3"/>
    <w:rsid w:val="5C678B9C"/>
    <w:rsid w:val="5C69772D"/>
    <w:rsid w:val="5C6A706E"/>
    <w:rsid w:val="5C6C4E1C"/>
    <w:rsid w:val="5C6CC021"/>
    <w:rsid w:val="5C6DAA40"/>
    <w:rsid w:val="5C6DC677"/>
    <w:rsid w:val="5C6F1CD2"/>
    <w:rsid w:val="5C6FE03A"/>
    <w:rsid w:val="5C7444F0"/>
    <w:rsid w:val="5C749F31"/>
    <w:rsid w:val="5C76C10C"/>
    <w:rsid w:val="5C7709F4"/>
    <w:rsid w:val="5C786FA7"/>
    <w:rsid w:val="5C78AD48"/>
    <w:rsid w:val="5C78BD7D"/>
    <w:rsid w:val="5C7907AE"/>
    <w:rsid w:val="5C7CE637"/>
    <w:rsid w:val="5C7E9E55"/>
    <w:rsid w:val="5C85D751"/>
    <w:rsid w:val="5C866C9C"/>
    <w:rsid w:val="5C86C0EA"/>
    <w:rsid w:val="5C86C691"/>
    <w:rsid w:val="5C87882D"/>
    <w:rsid w:val="5C892287"/>
    <w:rsid w:val="5C8A2362"/>
    <w:rsid w:val="5C8ACFAE"/>
    <w:rsid w:val="5C8AE5A2"/>
    <w:rsid w:val="5C8B5A03"/>
    <w:rsid w:val="5C8CE034"/>
    <w:rsid w:val="5C8D1FFE"/>
    <w:rsid w:val="5C9094A8"/>
    <w:rsid w:val="5C938D4D"/>
    <w:rsid w:val="5C942A9D"/>
    <w:rsid w:val="5C972A4B"/>
    <w:rsid w:val="5C9A4272"/>
    <w:rsid w:val="5C9A712F"/>
    <w:rsid w:val="5C9C43F5"/>
    <w:rsid w:val="5C9E8375"/>
    <w:rsid w:val="5CA15DF7"/>
    <w:rsid w:val="5CA39F2E"/>
    <w:rsid w:val="5CA3E9A9"/>
    <w:rsid w:val="5CA3F342"/>
    <w:rsid w:val="5CA4F9C8"/>
    <w:rsid w:val="5CA54F33"/>
    <w:rsid w:val="5CA5A1C4"/>
    <w:rsid w:val="5CA635B5"/>
    <w:rsid w:val="5CA8882C"/>
    <w:rsid w:val="5CAA7F6C"/>
    <w:rsid w:val="5CAD063E"/>
    <w:rsid w:val="5CAD0D12"/>
    <w:rsid w:val="5CAD5C6A"/>
    <w:rsid w:val="5CAEF51D"/>
    <w:rsid w:val="5CB1F889"/>
    <w:rsid w:val="5CB22C9F"/>
    <w:rsid w:val="5CB302FC"/>
    <w:rsid w:val="5CB357C9"/>
    <w:rsid w:val="5CB37B82"/>
    <w:rsid w:val="5CB5F81B"/>
    <w:rsid w:val="5CBB3581"/>
    <w:rsid w:val="5CBF3438"/>
    <w:rsid w:val="5CC104F9"/>
    <w:rsid w:val="5CC49D1E"/>
    <w:rsid w:val="5CC68748"/>
    <w:rsid w:val="5CC6BDB8"/>
    <w:rsid w:val="5CC99745"/>
    <w:rsid w:val="5CCF1665"/>
    <w:rsid w:val="5CCFDEA0"/>
    <w:rsid w:val="5CD04CCB"/>
    <w:rsid w:val="5CD5AB61"/>
    <w:rsid w:val="5CD8643A"/>
    <w:rsid w:val="5CDBB34F"/>
    <w:rsid w:val="5CDC26A1"/>
    <w:rsid w:val="5CDED9FF"/>
    <w:rsid w:val="5CDFE24D"/>
    <w:rsid w:val="5CDFFE57"/>
    <w:rsid w:val="5CE1AFC7"/>
    <w:rsid w:val="5CE6ED69"/>
    <w:rsid w:val="5CE73C33"/>
    <w:rsid w:val="5CEDE449"/>
    <w:rsid w:val="5CEEA315"/>
    <w:rsid w:val="5CF147C7"/>
    <w:rsid w:val="5CF7ADCE"/>
    <w:rsid w:val="5CF8AFA4"/>
    <w:rsid w:val="5CF989D9"/>
    <w:rsid w:val="5CFA4C25"/>
    <w:rsid w:val="5CFADCF0"/>
    <w:rsid w:val="5CFFF217"/>
    <w:rsid w:val="5D02AE47"/>
    <w:rsid w:val="5D04A1BC"/>
    <w:rsid w:val="5D04AD70"/>
    <w:rsid w:val="5D04CF04"/>
    <w:rsid w:val="5D06F419"/>
    <w:rsid w:val="5D07386D"/>
    <w:rsid w:val="5D07CB98"/>
    <w:rsid w:val="5D0C6011"/>
    <w:rsid w:val="5D0E2327"/>
    <w:rsid w:val="5D0E85B4"/>
    <w:rsid w:val="5D0F30CE"/>
    <w:rsid w:val="5D1007AF"/>
    <w:rsid w:val="5D102399"/>
    <w:rsid w:val="5D111D9B"/>
    <w:rsid w:val="5D138F32"/>
    <w:rsid w:val="5D171305"/>
    <w:rsid w:val="5D182D87"/>
    <w:rsid w:val="5D1DE6BD"/>
    <w:rsid w:val="5D212F9B"/>
    <w:rsid w:val="5D2416BC"/>
    <w:rsid w:val="5D284968"/>
    <w:rsid w:val="5D290CD9"/>
    <w:rsid w:val="5D2A6BE1"/>
    <w:rsid w:val="5D2C296E"/>
    <w:rsid w:val="5D2C693E"/>
    <w:rsid w:val="5D2FA411"/>
    <w:rsid w:val="5D319813"/>
    <w:rsid w:val="5D3696AB"/>
    <w:rsid w:val="5D3A6EF7"/>
    <w:rsid w:val="5D3C54F7"/>
    <w:rsid w:val="5D3E17B6"/>
    <w:rsid w:val="5D3E4704"/>
    <w:rsid w:val="5D41E3A5"/>
    <w:rsid w:val="5D4228B5"/>
    <w:rsid w:val="5D42A1AA"/>
    <w:rsid w:val="5D49F3E3"/>
    <w:rsid w:val="5D4ACDB4"/>
    <w:rsid w:val="5D4B610B"/>
    <w:rsid w:val="5D4D2FFC"/>
    <w:rsid w:val="5D4E5634"/>
    <w:rsid w:val="5D4EBADE"/>
    <w:rsid w:val="5D4EC1AE"/>
    <w:rsid w:val="5D511430"/>
    <w:rsid w:val="5D5160D7"/>
    <w:rsid w:val="5D586A35"/>
    <w:rsid w:val="5D5C3D5A"/>
    <w:rsid w:val="5D5EA242"/>
    <w:rsid w:val="5D5FB001"/>
    <w:rsid w:val="5D62B02D"/>
    <w:rsid w:val="5D62C2BA"/>
    <w:rsid w:val="5D633245"/>
    <w:rsid w:val="5D645248"/>
    <w:rsid w:val="5D66A83E"/>
    <w:rsid w:val="5D69AFD9"/>
    <w:rsid w:val="5D7355C8"/>
    <w:rsid w:val="5D741D52"/>
    <w:rsid w:val="5D74233B"/>
    <w:rsid w:val="5D750268"/>
    <w:rsid w:val="5D76156B"/>
    <w:rsid w:val="5D76F475"/>
    <w:rsid w:val="5D782A8E"/>
    <w:rsid w:val="5D7C7AFC"/>
    <w:rsid w:val="5D7CDB60"/>
    <w:rsid w:val="5D7D2AF6"/>
    <w:rsid w:val="5D823D97"/>
    <w:rsid w:val="5D84878D"/>
    <w:rsid w:val="5D85E715"/>
    <w:rsid w:val="5D86A0FC"/>
    <w:rsid w:val="5D86B38B"/>
    <w:rsid w:val="5D8865DF"/>
    <w:rsid w:val="5D88DF84"/>
    <w:rsid w:val="5D8B3341"/>
    <w:rsid w:val="5D8B4D2D"/>
    <w:rsid w:val="5D8B644E"/>
    <w:rsid w:val="5D8C793B"/>
    <w:rsid w:val="5D8CD1B1"/>
    <w:rsid w:val="5D8F66D2"/>
    <w:rsid w:val="5D931409"/>
    <w:rsid w:val="5D94AFDB"/>
    <w:rsid w:val="5D96B945"/>
    <w:rsid w:val="5D9921A4"/>
    <w:rsid w:val="5D995A3F"/>
    <w:rsid w:val="5D9B5B2B"/>
    <w:rsid w:val="5D9BE56D"/>
    <w:rsid w:val="5D9C3193"/>
    <w:rsid w:val="5D9D8445"/>
    <w:rsid w:val="5D9F1211"/>
    <w:rsid w:val="5DA029BE"/>
    <w:rsid w:val="5DA19D8D"/>
    <w:rsid w:val="5DA39E2E"/>
    <w:rsid w:val="5DA534DA"/>
    <w:rsid w:val="5DA55089"/>
    <w:rsid w:val="5DA68170"/>
    <w:rsid w:val="5DA71301"/>
    <w:rsid w:val="5DA73729"/>
    <w:rsid w:val="5DA7C41B"/>
    <w:rsid w:val="5DA80177"/>
    <w:rsid w:val="5DA89DFC"/>
    <w:rsid w:val="5DA8A93B"/>
    <w:rsid w:val="5DA90684"/>
    <w:rsid w:val="5DAC6EE5"/>
    <w:rsid w:val="5DAC7117"/>
    <w:rsid w:val="5DB062E3"/>
    <w:rsid w:val="5DB13635"/>
    <w:rsid w:val="5DB2C01A"/>
    <w:rsid w:val="5DB3B471"/>
    <w:rsid w:val="5DB4A73F"/>
    <w:rsid w:val="5DB61245"/>
    <w:rsid w:val="5DB64CE9"/>
    <w:rsid w:val="5DB6967B"/>
    <w:rsid w:val="5DB6D6E1"/>
    <w:rsid w:val="5DB7C274"/>
    <w:rsid w:val="5DBA1977"/>
    <w:rsid w:val="5DBFC0B0"/>
    <w:rsid w:val="5DC1A92F"/>
    <w:rsid w:val="5DC267A9"/>
    <w:rsid w:val="5DC34EB5"/>
    <w:rsid w:val="5DC379FE"/>
    <w:rsid w:val="5DC49561"/>
    <w:rsid w:val="5DC5F745"/>
    <w:rsid w:val="5DC87117"/>
    <w:rsid w:val="5DCADC6C"/>
    <w:rsid w:val="5DCBA484"/>
    <w:rsid w:val="5DCCD699"/>
    <w:rsid w:val="5DCDDA04"/>
    <w:rsid w:val="5DD3DB10"/>
    <w:rsid w:val="5DD5958E"/>
    <w:rsid w:val="5DD6DCF8"/>
    <w:rsid w:val="5DDB3961"/>
    <w:rsid w:val="5DDD20A1"/>
    <w:rsid w:val="5DDDD347"/>
    <w:rsid w:val="5DDE1EB5"/>
    <w:rsid w:val="5DDEC845"/>
    <w:rsid w:val="5DE03852"/>
    <w:rsid w:val="5DE11DFE"/>
    <w:rsid w:val="5DE17B36"/>
    <w:rsid w:val="5DE26058"/>
    <w:rsid w:val="5DE45C13"/>
    <w:rsid w:val="5DE70FD0"/>
    <w:rsid w:val="5DE97BDB"/>
    <w:rsid w:val="5DEE33EE"/>
    <w:rsid w:val="5DF306D9"/>
    <w:rsid w:val="5DF6110B"/>
    <w:rsid w:val="5DFA83FF"/>
    <w:rsid w:val="5DFAE2A5"/>
    <w:rsid w:val="5DFBC931"/>
    <w:rsid w:val="5DFD30B7"/>
    <w:rsid w:val="5DFDB292"/>
    <w:rsid w:val="5DFE944C"/>
    <w:rsid w:val="5E0096FF"/>
    <w:rsid w:val="5E01E02A"/>
    <w:rsid w:val="5E02D30A"/>
    <w:rsid w:val="5E060A6D"/>
    <w:rsid w:val="5E072896"/>
    <w:rsid w:val="5E0A6668"/>
    <w:rsid w:val="5E0F9E46"/>
    <w:rsid w:val="5E13CDAA"/>
    <w:rsid w:val="5E14D4D4"/>
    <w:rsid w:val="5E14EDB0"/>
    <w:rsid w:val="5E166385"/>
    <w:rsid w:val="5E1694BB"/>
    <w:rsid w:val="5E1AEED0"/>
    <w:rsid w:val="5E1C5922"/>
    <w:rsid w:val="5E1F9395"/>
    <w:rsid w:val="5E205A0F"/>
    <w:rsid w:val="5E2261AE"/>
    <w:rsid w:val="5E235D56"/>
    <w:rsid w:val="5E25A5F3"/>
    <w:rsid w:val="5E25A689"/>
    <w:rsid w:val="5E25F416"/>
    <w:rsid w:val="5E26D0B9"/>
    <w:rsid w:val="5E270910"/>
    <w:rsid w:val="5E29FC08"/>
    <w:rsid w:val="5E2B953B"/>
    <w:rsid w:val="5E2C386D"/>
    <w:rsid w:val="5E2D7DDB"/>
    <w:rsid w:val="5E2DF7E9"/>
    <w:rsid w:val="5E2E61D3"/>
    <w:rsid w:val="5E2EB23D"/>
    <w:rsid w:val="5E2EDD51"/>
    <w:rsid w:val="5E300F6B"/>
    <w:rsid w:val="5E363DD3"/>
    <w:rsid w:val="5E363E13"/>
    <w:rsid w:val="5E3667EA"/>
    <w:rsid w:val="5E3977D5"/>
    <w:rsid w:val="5E3D02BE"/>
    <w:rsid w:val="5E3DADE3"/>
    <w:rsid w:val="5E3E4C6D"/>
    <w:rsid w:val="5E3EA305"/>
    <w:rsid w:val="5E41B797"/>
    <w:rsid w:val="5E41E07A"/>
    <w:rsid w:val="5E46EBA8"/>
    <w:rsid w:val="5E46F862"/>
    <w:rsid w:val="5E484BB6"/>
    <w:rsid w:val="5E493226"/>
    <w:rsid w:val="5E4B4EE0"/>
    <w:rsid w:val="5E4BAB52"/>
    <w:rsid w:val="5E4BE9AC"/>
    <w:rsid w:val="5E4C4105"/>
    <w:rsid w:val="5E52EBD8"/>
    <w:rsid w:val="5E56AEC1"/>
    <w:rsid w:val="5E5AB522"/>
    <w:rsid w:val="5E5B3E9C"/>
    <w:rsid w:val="5E5CC3D4"/>
    <w:rsid w:val="5E5EADC0"/>
    <w:rsid w:val="5E5ECFE9"/>
    <w:rsid w:val="5E61CD9B"/>
    <w:rsid w:val="5E632815"/>
    <w:rsid w:val="5E636A47"/>
    <w:rsid w:val="5E667823"/>
    <w:rsid w:val="5E66ACF7"/>
    <w:rsid w:val="5E66CF2D"/>
    <w:rsid w:val="5E6BB3FB"/>
    <w:rsid w:val="5E6F9F7E"/>
    <w:rsid w:val="5E72530E"/>
    <w:rsid w:val="5E763CC8"/>
    <w:rsid w:val="5E77B23B"/>
    <w:rsid w:val="5E7840EC"/>
    <w:rsid w:val="5E7A4638"/>
    <w:rsid w:val="5E7C248D"/>
    <w:rsid w:val="5E7C73E3"/>
    <w:rsid w:val="5E7D996B"/>
    <w:rsid w:val="5E7F4DC2"/>
    <w:rsid w:val="5E805730"/>
    <w:rsid w:val="5E8077F2"/>
    <w:rsid w:val="5E85EC36"/>
    <w:rsid w:val="5E89605B"/>
    <w:rsid w:val="5E89BEFC"/>
    <w:rsid w:val="5E8A761B"/>
    <w:rsid w:val="5E8C32BF"/>
    <w:rsid w:val="5E8EADFC"/>
    <w:rsid w:val="5E919855"/>
    <w:rsid w:val="5E95EC14"/>
    <w:rsid w:val="5E985AC0"/>
    <w:rsid w:val="5E9B9938"/>
    <w:rsid w:val="5E9BA4D3"/>
    <w:rsid w:val="5E9CD162"/>
    <w:rsid w:val="5E9DC011"/>
    <w:rsid w:val="5EA0000A"/>
    <w:rsid w:val="5EA16619"/>
    <w:rsid w:val="5EA21A9F"/>
    <w:rsid w:val="5EA2256B"/>
    <w:rsid w:val="5EA2FFED"/>
    <w:rsid w:val="5EA49F1E"/>
    <w:rsid w:val="5EA88161"/>
    <w:rsid w:val="5EA94360"/>
    <w:rsid w:val="5EAA62C6"/>
    <w:rsid w:val="5EABB796"/>
    <w:rsid w:val="5EADF066"/>
    <w:rsid w:val="5EAECC66"/>
    <w:rsid w:val="5EB05C99"/>
    <w:rsid w:val="5EB1A27B"/>
    <w:rsid w:val="5EB243E8"/>
    <w:rsid w:val="5EB399EA"/>
    <w:rsid w:val="5EB43C2C"/>
    <w:rsid w:val="5EB5F20E"/>
    <w:rsid w:val="5EB5FEF9"/>
    <w:rsid w:val="5EB61F5F"/>
    <w:rsid w:val="5EB874B9"/>
    <w:rsid w:val="5EB8A68D"/>
    <w:rsid w:val="5EB9BC55"/>
    <w:rsid w:val="5EBB6D60"/>
    <w:rsid w:val="5EBB781B"/>
    <w:rsid w:val="5EBB9914"/>
    <w:rsid w:val="5EBDFA15"/>
    <w:rsid w:val="5EBEBD37"/>
    <w:rsid w:val="5EBF5956"/>
    <w:rsid w:val="5EC0F2D0"/>
    <w:rsid w:val="5EC21667"/>
    <w:rsid w:val="5EC420FC"/>
    <w:rsid w:val="5EC53E7E"/>
    <w:rsid w:val="5EC75498"/>
    <w:rsid w:val="5EC7A501"/>
    <w:rsid w:val="5EC8789B"/>
    <w:rsid w:val="5ECA0197"/>
    <w:rsid w:val="5ECCB38D"/>
    <w:rsid w:val="5ECCF320"/>
    <w:rsid w:val="5ECF6AF7"/>
    <w:rsid w:val="5ECFCD8C"/>
    <w:rsid w:val="5ED03CEB"/>
    <w:rsid w:val="5ED10212"/>
    <w:rsid w:val="5ED29359"/>
    <w:rsid w:val="5ED3170A"/>
    <w:rsid w:val="5ED31D5E"/>
    <w:rsid w:val="5ED330C6"/>
    <w:rsid w:val="5ED5FE55"/>
    <w:rsid w:val="5ED82B92"/>
    <w:rsid w:val="5ED8396E"/>
    <w:rsid w:val="5ED96A3E"/>
    <w:rsid w:val="5ED97251"/>
    <w:rsid w:val="5EDA26EF"/>
    <w:rsid w:val="5EDAE0A5"/>
    <w:rsid w:val="5EDC07D2"/>
    <w:rsid w:val="5EDC6024"/>
    <w:rsid w:val="5EDCE28D"/>
    <w:rsid w:val="5EDD1750"/>
    <w:rsid w:val="5EDE5462"/>
    <w:rsid w:val="5EDFA390"/>
    <w:rsid w:val="5EE33B5B"/>
    <w:rsid w:val="5EE360A5"/>
    <w:rsid w:val="5EE56E0F"/>
    <w:rsid w:val="5EE909D8"/>
    <w:rsid w:val="5EE94967"/>
    <w:rsid w:val="5EEE2902"/>
    <w:rsid w:val="5EEEFA2F"/>
    <w:rsid w:val="5EF1D29B"/>
    <w:rsid w:val="5EF21C3F"/>
    <w:rsid w:val="5EF2E73E"/>
    <w:rsid w:val="5EF30DDE"/>
    <w:rsid w:val="5EF41675"/>
    <w:rsid w:val="5EF5988C"/>
    <w:rsid w:val="5EF5CA33"/>
    <w:rsid w:val="5EF83103"/>
    <w:rsid w:val="5EF8EE38"/>
    <w:rsid w:val="5EFA4161"/>
    <w:rsid w:val="5EFBB47C"/>
    <w:rsid w:val="5EFBC5A8"/>
    <w:rsid w:val="5EFC816B"/>
    <w:rsid w:val="5EFCA825"/>
    <w:rsid w:val="5EFE9A47"/>
    <w:rsid w:val="5EFF0513"/>
    <w:rsid w:val="5EFF3B46"/>
    <w:rsid w:val="5F03279C"/>
    <w:rsid w:val="5F0386FB"/>
    <w:rsid w:val="5F07B439"/>
    <w:rsid w:val="5F08482F"/>
    <w:rsid w:val="5F08517E"/>
    <w:rsid w:val="5F08DFAA"/>
    <w:rsid w:val="5F0AB22D"/>
    <w:rsid w:val="5F0AB3A2"/>
    <w:rsid w:val="5F0C06ED"/>
    <w:rsid w:val="5F0EAE19"/>
    <w:rsid w:val="5F0F20BF"/>
    <w:rsid w:val="5F0F4876"/>
    <w:rsid w:val="5F143A13"/>
    <w:rsid w:val="5F148465"/>
    <w:rsid w:val="5F15F6FA"/>
    <w:rsid w:val="5F17FAF1"/>
    <w:rsid w:val="5F18DD0E"/>
    <w:rsid w:val="5F190880"/>
    <w:rsid w:val="5F214991"/>
    <w:rsid w:val="5F239645"/>
    <w:rsid w:val="5F23BEE5"/>
    <w:rsid w:val="5F250758"/>
    <w:rsid w:val="5F261BDF"/>
    <w:rsid w:val="5F274EA7"/>
    <w:rsid w:val="5F27CCBE"/>
    <w:rsid w:val="5F290F1F"/>
    <w:rsid w:val="5F2B58AB"/>
    <w:rsid w:val="5F2B6F35"/>
    <w:rsid w:val="5F2D4074"/>
    <w:rsid w:val="5F2EB372"/>
    <w:rsid w:val="5F2F2A6E"/>
    <w:rsid w:val="5F2F36B0"/>
    <w:rsid w:val="5F361C3F"/>
    <w:rsid w:val="5F37F73F"/>
    <w:rsid w:val="5F38D2F0"/>
    <w:rsid w:val="5F3964C1"/>
    <w:rsid w:val="5F3B2085"/>
    <w:rsid w:val="5F3C5B53"/>
    <w:rsid w:val="5F3C92C1"/>
    <w:rsid w:val="5F3CB8D8"/>
    <w:rsid w:val="5F3CF1CA"/>
    <w:rsid w:val="5F411E61"/>
    <w:rsid w:val="5F414713"/>
    <w:rsid w:val="5F423F31"/>
    <w:rsid w:val="5F449C7A"/>
    <w:rsid w:val="5F44C78F"/>
    <w:rsid w:val="5F46D074"/>
    <w:rsid w:val="5F485652"/>
    <w:rsid w:val="5F48F3F3"/>
    <w:rsid w:val="5F497401"/>
    <w:rsid w:val="5F4AE752"/>
    <w:rsid w:val="5F4B1695"/>
    <w:rsid w:val="5F4BF7D9"/>
    <w:rsid w:val="5F4CD442"/>
    <w:rsid w:val="5F4D9C09"/>
    <w:rsid w:val="5F5293C9"/>
    <w:rsid w:val="5F52B068"/>
    <w:rsid w:val="5F53375C"/>
    <w:rsid w:val="5F55A9BF"/>
    <w:rsid w:val="5F564B06"/>
    <w:rsid w:val="5F568CBC"/>
    <w:rsid w:val="5F597AC6"/>
    <w:rsid w:val="5F5DD870"/>
    <w:rsid w:val="5F5E7469"/>
    <w:rsid w:val="5F5FB3A6"/>
    <w:rsid w:val="5F621C32"/>
    <w:rsid w:val="5F624EDD"/>
    <w:rsid w:val="5F641C4D"/>
    <w:rsid w:val="5F6712F7"/>
    <w:rsid w:val="5F672516"/>
    <w:rsid w:val="5F67A01D"/>
    <w:rsid w:val="5F68049F"/>
    <w:rsid w:val="5F696271"/>
    <w:rsid w:val="5F696470"/>
    <w:rsid w:val="5F6B2954"/>
    <w:rsid w:val="5F6C5C3B"/>
    <w:rsid w:val="5F6D8239"/>
    <w:rsid w:val="5F6DA7E6"/>
    <w:rsid w:val="5F6E0018"/>
    <w:rsid w:val="5F7010B9"/>
    <w:rsid w:val="5F7197D4"/>
    <w:rsid w:val="5F72133C"/>
    <w:rsid w:val="5F734F19"/>
    <w:rsid w:val="5F747EFD"/>
    <w:rsid w:val="5F771E11"/>
    <w:rsid w:val="5F78F7F2"/>
    <w:rsid w:val="5F7F0D46"/>
    <w:rsid w:val="5F80B7C7"/>
    <w:rsid w:val="5F82E941"/>
    <w:rsid w:val="5F89634A"/>
    <w:rsid w:val="5F8F2AFB"/>
    <w:rsid w:val="5F910E65"/>
    <w:rsid w:val="5F919A50"/>
    <w:rsid w:val="5F929D16"/>
    <w:rsid w:val="5F93CE93"/>
    <w:rsid w:val="5F978536"/>
    <w:rsid w:val="5F997EF6"/>
    <w:rsid w:val="5F9B087D"/>
    <w:rsid w:val="5F9C101B"/>
    <w:rsid w:val="5FA17B6E"/>
    <w:rsid w:val="5FA2B76A"/>
    <w:rsid w:val="5FA35052"/>
    <w:rsid w:val="5FA42E2B"/>
    <w:rsid w:val="5FA51F80"/>
    <w:rsid w:val="5FA56285"/>
    <w:rsid w:val="5FA9769C"/>
    <w:rsid w:val="5FABC3D7"/>
    <w:rsid w:val="5FADD1CC"/>
    <w:rsid w:val="5FAE0F04"/>
    <w:rsid w:val="5FB77719"/>
    <w:rsid w:val="5FB7A3BC"/>
    <w:rsid w:val="5FB988D9"/>
    <w:rsid w:val="5FC08CC8"/>
    <w:rsid w:val="5FC33641"/>
    <w:rsid w:val="5FC3CBCF"/>
    <w:rsid w:val="5FC56FD0"/>
    <w:rsid w:val="5FC70644"/>
    <w:rsid w:val="5FC7F529"/>
    <w:rsid w:val="5FCB08FF"/>
    <w:rsid w:val="5FCCCB76"/>
    <w:rsid w:val="5FCCCE09"/>
    <w:rsid w:val="5FCCD375"/>
    <w:rsid w:val="5FCF0BFE"/>
    <w:rsid w:val="5FCF5315"/>
    <w:rsid w:val="5FD04349"/>
    <w:rsid w:val="5FD1C1FC"/>
    <w:rsid w:val="5FD2DCE0"/>
    <w:rsid w:val="5FD46F56"/>
    <w:rsid w:val="5FD56B18"/>
    <w:rsid w:val="5FD8C3DB"/>
    <w:rsid w:val="5FD9A258"/>
    <w:rsid w:val="5FDAAD7B"/>
    <w:rsid w:val="5FDB74D7"/>
    <w:rsid w:val="5FE0B7CB"/>
    <w:rsid w:val="5FE11F20"/>
    <w:rsid w:val="5FE16CC6"/>
    <w:rsid w:val="5FE2F674"/>
    <w:rsid w:val="5FE34E9E"/>
    <w:rsid w:val="5FE68F5F"/>
    <w:rsid w:val="5FE9C94E"/>
    <w:rsid w:val="5FEA9A90"/>
    <w:rsid w:val="5FEE891C"/>
    <w:rsid w:val="5FF071C8"/>
    <w:rsid w:val="5FF214F2"/>
    <w:rsid w:val="5FF2B5C8"/>
    <w:rsid w:val="5FF5B438"/>
    <w:rsid w:val="5FF5C474"/>
    <w:rsid w:val="5FF630B3"/>
    <w:rsid w:val="5FFCA1BE"/>
    <w:rsid w:val="5FFCC5B5"/>
    <w:rsid w:val="5FFE8EC9"/>
    <w:rsid w:val="5FFF04FC"/>
    <w:rsid w:val="5FFFE324"/>
    <w:rsid w:val="6001FDF8"/>
    <w:rsid w:val="60023610"/>
    <w:rsid w:val="600283CD"/>
    <w:rsid w:val="6004236A"/>
    <w:rsid w:val="60061818"/>
    <w:rsid w:val="6006E18F"/>
    <w:rsid w:val="6007512A"/>
    <w:rsid w:val="6007A1CB"/>
    <w:rsid w:val="60090021"/>
    <w:rsid w:val="600B1501"/>
    <w:rsid w:val="600DA253"/>
    <w:rsid w:val="600E2AFA"/>
    <w:rsid w:val="600E6C3B"/>
    <w:rsid w:val="600EF2C7"/>
    <w:rsid w:val="600F1854"/>
    <w:rsid w:val="60109F8D"/>
    <w:rsid w:val="6011C8F5"/>
    <w:rsid w:val="6011D9BE"/>
    <w:rsid w:val="6011FEEC"/>
    <w:rsid w:val="60140585"/>
    <w:rsid w:val="601499E9"/>
    <w:rsid w:val="60199EF8"/>
    <w:rsid w:val="601B6A23"/>
    <w:rsid w:val="601E64BD"/>
    <w:rsid w:val="60227318"/>
    <w:rsid w:val="602421E9"/>
    <w:rsid w:val="6026CF80"/>
    <w:rsid w:val="602D56C6"/>
    <w:rsid w:val="602EA918"/>
    <w:rsid w:val="602F5238"/>
    <w:rsid w:val="602F9614"/>
    <w:rsid w:val="60329539"/>
    <w:rsid w:val="60342F0D"/>
    <w:rsid w:val="60372822"/>
    <w:rsid w:val="603A5413"/>
    <w:rsid w:val="603B4B82"/>
    <w:rsid w:val="603C2716"/>
    <w:rsid w:val="603C574E"/>
    <w:rsid w:val="603DCF79"/>
    <w:rsid w:val="603E4C63"/>
    <w:rsid w:val="604009F0"/>
    <w:rsid w:val="6040EF17"/>
    <w:rsid w:val="6042A5C4"/>
    <w:rsid w:val="6042C249"/>
    <w:rsid w:val="6043C3D0"/>
    <w:rsid w:val="60446774"/>
    <w:rsid w:val="60455CC6"/>
    <w:rsid w:val="6047B57E"/>
    <w:rsid w:val="6049A38C"/>
    <w:rsid w:val="6049AD65"/>
    <w:rsid w:val="604BC1B4"/>
    <w:rsid w:val="604DC455"/>
    <w:rsid w:val="604EF6ED"/>
    <w:rsid w:val="60519A14"/>
    <w:rsid w:val="60524F6B"/>
    <w:rsid w:val="60556928"/>
    <w:rsid w:val="605AB0C6"/>
    <w:rsid w:val="605AB42F"/>
    <w:rsid w:val="605D810C"/>
    <w:rsid w:val="605E98B5"/>
    <w:rsid w:val="6060E179"/>
    <w:rsid w:val="6061BE3A"/>
    <w:rsid w:val="606434F4"/>
    <w:rsid w:val="60657EE6"/>
    <w:rsid w:val="60660EF5"/>
    <w:rsid w:val="60667B6F"/>
    <w:rsid w:val="60671442"/>
    <w:rsid w:val="6068B0D8"/>
    <w:rsid w:val="606B2B90"/>
    <w:rsid w:val="606B8F47"/>
    <w:rsid w:val="606C2A17"/>
    <w:rsid w:val="606F4FA3"/>
    <w:rsid w:val="606FB0CC"/>
    <w:rsid w:val="6072046F"/>
    <w:rsid w:val="60722099"/>
    <w:rsid w:val="60726519"/>
    <w:rsid w:val="6072A44F"/>
    <w:rsid w:val="60774530"/>
    <w:rsid w:val="607B2720"/>
    <w:rsid w:val="607B7E55"/>
    <w:rsid w:val="607BA9AF"/>
    <w:rsid w:val="607D31AC"/>
    <w:rsid w:val="607D6E2D"/>
    <w:rsid w:val="607E624E"/>
    <w:rsid w:val="60816A61"/>
    <w:rsid w:val="60831E79"/>
    <w:rsid w:val="608517F8"/>
    <w:rsid w:val="6088259A"/>
    <w:rsid w:val="608B4AA9"/>
    <w:rsid w:val="608C7A50"/>
    <w:rsid w:val="608DF296"/>
    <w:rsid w:val="608E4252"/>
    <w:rsid w:val="608F05C4"/>
    <w:rsid w:val="608F2A1D"/>
    <w:rsid w:val="6092D28B"/>
    <w:rsid w:val="6092D40C"/>
    <w:rsid w:val="60941062"/>
    <w:rsid w:val="6094237B"/>
    <w:rsid w:val="60962EC4"/>
    <w:rsid w:val="609734F5"/>
    <w:rsid w:val="609AE732"/>
    <w:rsid w:val="609C3868"/>
    <w:rsid w:val="609CDA5A"/>
    <w:rsid w:val="609F2106"/>
    <w:rsid w:val="60A221F0"/>
    <w:rsid w:val="60A5C8B2"/>
    <w:rsid w:val="60A8203C"/>
    <w:rsid w:val="60A97FC7"/>
    <w:rsid w:val="60ABD3F9"/>
    <w:rsid w:val="60ACC049"/>
    <w:rsid w:val="60B4628C"/>
    <w:rsid w:val="60B4ECCB"/>
    <w:rsid w:val="60B586A1"/>
    <w:rsid w:val="60B670D8"/>
    <w:rsid w:val="60B6FC71"/>
    <w:rsid w:val="60B754B4"/>
    <w:rsid w:val="60B8CFEA"/>
    <w:rsid w:val="60BA0456"/>
    <w:rsid w:val="60BC9B78"/>
    <w:rsid w:val="60BE29E7"/>
    <w:rsid w:val="60C1B513"/>
    <w:rsid w:val="60C1EABD"/>
    <w:rsid w:val="60C56700"/>
    <w:rsid w:val="60C61F84"/>
    <w:rsid w:val="60C716CB"/>
    <w:rsid w:val="60C9352A"/>
    <w:rsid w:val="60C9A9FF"/>
    <w:rsid w:val="60CB832A"/>
    <w:rsid w:val="60CE4383"/>
    <w:rsid w:val="60D21A10"/>
    <w:rsid w:val="60D30CDE"/>
    <w:rsid w:val="60D3D557"/>
    <w:rsid w:val="60D4DA87"/>
    <w:rsid w:val="60D65A9A"/>
    <w:rsid w:val="60D6D701"/>
    <w:rsid w:val="60D9F729"/>
    <w:rsid w:val="60DBFDA5"/>
    <w:rsid w:val="60DC066A"/>
    <w:rsid w:val="60DC8275"/>
    <w:rsid w:val="60DCC228"/>
    <w:rsid w:val="60DCDBE6"/>
    <w:rsid w:val="60DE0667"/>
    <w:rsid w:val="60E466DE"/>
    <w:rsid w:val="60E513DA"/>
    <w:rsid w:val="60E518E4"/>
    <w:rsid w:val="60E7A4BE"/>
    <w:rsid w:val="60E7DD04"/>
    <w:rsid w:val="60EAEC4D"/>
    <w:rsid w:val="60EC896E"/>
    <w:rsid w:val="60EF688D"/>
    <w:rsid w:val="60F22A74"/>
    <w:rsid w:val="60F2CE68"/>
    <w:rsid w:val="60F2EBF3"/>
    <w:rsid w:val="60F4768B"/>
    <w:rsid w:val="60F4DA69"/>
    <w:rsid w:val="60F58549"/>
    <w:rsid w:val="60F6FFE7"/>
    <w:rsid w:val="60F7290A"/>
    <w:rsid w:val="60F93CB6"/>
    <w:rsid w:val="60FC372D"/>
    <w:rsid w:val="6100B3CA"/>
    <w:rsid w:val="610375A0"/>
    <w:rsid w:val="61049FDC"/>
    <w:rsid w:val="6107BE6C"/>
    <w:rsid w:val="6107CFDE"/>
    <w:rsid w:val="6109B6F3"/>
    <w:rsid w:val="610A71FE"/>
    <w:rsid w:val="610BAFC2"/>
    <w:rsid w:val="610F7FE2"/>
    <w:rsid w:val="610F83E8"/>
    <w:rsid w:val="61113606"/>
    <w:rsid w:val="6111F20E"/>
    <w:rsid w:val="61125FB3"/>
    <w:rsid w:val="61155967"/>
    <w:rsid w:val="61159C69"/>
    <w:rsid w:val="6118CED2"/>
    <w:rsid w:val="61195F36"/>
    <w:rsid w:val="611AF142"/>
    <w:rsid w:val="611BDD53"/>
    <w:rsid w:val="611BFAC8"/>
    <w:rsid w:val="611C6D84"/>
    <w:rsid w:val="611C7B45"/>
    <w:rsid w:val="611D4290"/>
    <w:rsid w:val="611E068D"/>
    <w:rsid w:val="611FB5D8"/>
    <w:rsid w:val="612033D8"/>
    <w:rsid w:val="6123E5D2"/>
    <w:rsid w:val="6124800B"/>
    <w:rsid w:val="61250134"/>
    <w:rsid w:val="61251BA3"/>
    <w:rsid w:val="6127621C"/>
    <w:rsid w:val="6128931E"/>
    <w:rsid w:val="61294A7F"/>
    <w:rsid w:val="612A4ADD"/>
    <w:rsid w:val="612A97BA"/>
    <w:rsid w:val="612D3C42"/>
    <w:rsid w:val="612D80DF"/>
    <w:rsid w:val="612DDE2C"/>
    <w:rsid w:val="61304CB7"/>
    <w:rsid w:val="61326814"/>
    <w:rsid w:val="61355E74"/>
    <w:rsid w:val="6135F2EC"/>
    <w:rsid w:val="6137CB46"/>
    <w:rsid w:val="613DF7C4"/>
    <w:rsid w:val="613E0E0F"/>
    <w:rsid w:val="613E1F58"/>
    <w:rsid w:val="6141C1CA"/>
    <w:rsid w:val="6142C6FB"/>
    <w:rsid w:val="6142E9C1"/>
    <w:rsid w:val="6142F7BD"/>
    <w:rsid w:val="61447D4B"/>
    <w:rsid w:val="614507FA"/>
    <w:rsid w:val="6145901F"/>
    <w:rsid w:val="6149E1ED"/>
    <w:rsid w:val="614A7AD9"/>
    <w:rsid w:val="614D6704"/>
    <w:rsid w:val="6150376B"/>
    <w:rsid w:val="6151D982"/>
    <w:rsid w:val="6152A482"/>
    <w:rsid w:val="6155B4D8"/>
    <w:rsid w:val="615655AD"/>
    <w:rsid w:val="615DB276"/>
    <w:rsid w:val="615F7CB0"/>
    <w:rsid w:val="61655342"/>
    <w:rsid w:val="6166D08B"/>
    <w:rsid w:val="61673EDE"/>
    <w:rsid w:val="61697813"/>
    <w:rsid w:val="616C5A19"/>
    <w:rsid w:val="616E0F4E"/>
    <w:rsid w:val="61702A6F"/>
    <w:rsid w:val="6175FBE4"/>
    <w:rsid w:val="617B48F8"/>
    <w:rsid w:val="617B7282"/>
    <w:rsid w:val="617BDF54"/>
    <w:rsid w:val="617D1771"/>
    <w:rsid w:val="617DA936"/>
    <w:rsid w:val="61828637"/>
    <w:rsid w:val="61839FDB"/>
    <w:rsid w:val="6183B8B7"/>
    <w:rsid w:val="61848791"/>
    <w:rsid w:val="6188DDD3"/>
    <w:rsid w:val="6188E606"/>
    <w:rsid w:val="6188EFEB"/>
    <w:rsid w:val="6189874E"/>
    <w:rsid w:val="6189E942"/>
    <w:rsid w:val="6191769A"/>
    <w:rsid w:val="6191A4DA"/>
    <w:rsid w:val="6192A6FD"/>
    <w:rsid w:val="6193AE1D"/>
    <w:rsid w:val="6194C49A"/>
    <w:rsid w:val="6194CD6A"/>
    <w:rsid w:val="6195A1E2"/>
    <w:rsid w:val="6195A56F"/>
    <w:rsid w:val="6197117B"/>
    <w:rsid w:val="61989BC5"/>
    <w:rsid w:val="619AA24E"/>
    <w:rsid w:val="619ACB24"/>
    <w:rsid w:val="619B2C23"/>
    <w:rsid w:val="619BFAB9"/>
    <w:rsid w:val="619C6CCB"/>
    <w:rsid w:val="619D6CDD"/>
    <w:rsid w:val="619E6D62"/>
    <w:rsid w:val="619EBEF6"/>
    <w:rsid w:val="61A01BE4"/>
    <w:rsid w:val="61A28259"/>
    <w:rsid w:val="61A2F868"/>
    <w:rsid w:val="61A33328"/>
    <w:rsid w:val="61A8539B"/>
    <w:rsid w:val="61A9A7AE"/>
    <w:rsid w:val="61AA8D97"/>
    <w:rsid w:val="61B20A77"/>
    <w:rsid w:val="61B4C879"/>
    <w:rsid w:val="61B550A9"/>
    <w:rsid w:val="61B876E8"/>
    <w:rsid w:val="61B93C68"/>
    <w:rsid w:val="61BBB24A"/>
    <w:rsid w:val="61BDCC7F"/>
    <w:rsid w:val="61BFE95B"/>
    <w:rsid w:val="61C0A0D5"/>
    <w:rsid w:val="61C0CC3F"/>
    <w:rsid w:val="61C28710"/>
    <w:rsid w:val="61C37E5A"/>
    <w:rsid w:val="61C7B36F"/>
    <w:rsid w:val="61C9CB97"/>
    <w:rsid w:val="61CD5EFF"/>
    <w:rsid w:val="61D01CFC"/>
    <w:rsid w:val="61D14CD0"/>
    <w:rsid w:val="61D1912D"/>
    <w:rsid w:val="61D2B780"/>
    <w:rsid w:val="61D5DE30"/>
    <w:rsid w:val="61D5FB79"/>
    <w:rsid w:val="61D63578"/>
    <w:rsid w:val="61D8C6E3"/>
    <w:rsid w:val="61DA1BFF"/>
    <w:rsid w:val="61DA705B"/>
    <w:rsid w:val="61DD3747"/>
    <w:rsid w:val="61DFE726"/>
    <w:rsid w:val="61E19EA4"/>
    <w:rsid w:val="61E31173"/>
    <w:rsid w:val="61E38718"/>
    <w:rsid w:val="61E39EC2"/>
    <w:rsid w:val="61E60F19"/>
    <w:rsid w:val="61E6C98D"/>
    <w:rsid w:val="61E8AC2A"/>
    <w:rsid w:val="61E8B328"/>
    <w:rsid w:val="61EACBF7"/>
    <w:rsid w:val="61EFDEC5"/>
    <w:rsid w:val="61F138C9"/>
    <w:rsid w:val="61F1E43D"/>
    <w:rsid w:val="61F31B4B"/>
    <w:rsid w:val="61F4AB79"/>
    <w:rsid w:val="61F5BA51"/>
    <w:rsid w:val="61F7FE2A"/>
    <w:rsid w:val="61F9A552"/>
    <w:rsid w:val="61FB1D02"/>
    <w:rsid w:val="61FEF1CC"/>
    <w:rsid w:val="61FF1146"/>
    <w:rsid w:val="61FFBC1F"/>
    <w:rsid w:val="620354DD"/>
    <w:rsid w:val="6203DAD3"/>
    <w:rsid w:val="62044683"/>
    <w:rsid w:val="6204EE04"/>
    <w:rsid w:val="62059060"/>
    <w:rsid w:val="6205E967"/>
    <w:rsid w:val="620757A8"/>
    <w:rsid w:val="6208A9EE"/>
    <w:rsid w:val="620C39E7"/>
    <w:rsid w:val="620C5E6E"/>
    <w:rsid w:val="620D2647"/>
    <w:rsid w:val="620DD2FA"/>
    <w:rsid w:val="621009B4"/>
    <w:rsid w:val="62112404"/>
    <w:rsid w:val="6212383E"/>
    <w:rsid w:val="6213E6ED"/>
    <w:rsid w:val="62144773"/>
    <w:rsid w:val="62185113"/>
    <w:rsid w:val="6219EE2A"/>
    <w:rsid w:val="621DD9E1"/>
    <w:rsid w:val="621EA6AE"/>
    <w:rsid w:val="6220CD2F"/>
    <w:rsid w:val="622177A0"/>
    <w:rsid w:val="622314C7"/>
    <w:rsid w:val="6223E02D"/>
    <w:rsid w:val="62243CF2"/>
    <w:rsid w:val="6225439B"/>
    <w:rsid w:val="62288B2E"/>
    <w:rsid w:val="622B7D98"/>
    <w:rsid w:val="6232CAE3"/>
    <w:rsid w:val="6235DD76"/>
    <w:rsid w:val="62392763"/>
    <w:rsid w:val="623CA4B0"/>
    <w:rsid w:val="623E4D12"/>
    <w:rsid w:val="623F6E0D"/>
    <w:rsid w:val="624800E1"/>
    <w:rsid w:val="624881E0"/>
    <w:rsid w:val="624954A5"/>
    <w:rsid w:val="6249A8D3"/>
    <w:rsid w:val="6249B3AA"/>
    <w:rsid w:val="6249FE3A"/>
    <w:rsid w:val="624B0E53"/>
    <w:rsid w:val="624D7AC2"/>
    <w:rsid w:val="62527078"/>
    <w:rsid w:val="6252DCCB"/>
    <w:rsid w:val="6252E6E3"/>
    <w:rsid w:val="62532B0C"/>
    <w:rsid w:val="62562A30"/>
    <w:rsid w:val="625677F1"/>
    <w:rsid w:val="625758F7"/>
    <w:rsid w:val="6259F168"/>
    <w:rsid w:val="625A1C82"/>
    <w:rsid w:val="625C22F5"/>
    <w:rsid w:val="625DAE53"/>
    <w:rsid w:val="625E3684"/>
    <w:rsid w:val="625FE5E9"/>
    <w:rsid w:val="626013F7"/>
    <w:rsid w:val="626096B8"/>
    <w:rsid w:val="62609D78"/>
    <w:rsid w:val="62657929"/>
    <w:rsid w:val="6266A5C7"/>
    <w:rsid w:val="62695E81"/>
    <w:rsid w:val="626CE180"/>
    <w:rsid w:val="626F536F"/>
    <w:rsid w:val="626FC01E"/>
    <w:rsid w:val="62757CD5"/>
    <w:rsid w:val="6275F3DD"/>
    <w:rsid w:val="627679C3"/>
    <w:rsid w:val="6276D689"/>
    <w:rsid w:val="6277BF36"/>
    <w:rsid w:val="62794B39"/>
    <w:rsid w:val="627A7C92"/>
    <w:rsid w:val="62827F07"/>
    <w:rsid w:val="62833D2E"/>
    <w:rsid w:val="62843831"/>
    <w:rsid w:val="62860D1D"/>
    <w:rsid w:val="628610D9"/>
    <w:rsid w:val="62862B6E"/>
    <w:rsid w:val="62876AE0"/>
    <w:rsid w:val="628A7038"/>
    <w:rsid w:val="628C971D"/>
    <w:rsid w:val="62903ADA"/>
    <w:rsid w:val="6294C274"/>
    <w:rsid w:val="62974862"/>
    <w:rsid w:val="629754A6"/>
    <w:rsid w:val="62986EBE"/>
    <w:rsid w:val="6298F7D8"/>
    <w:rsid w:val="629E4D08"/>
    <w:rsid w:val="629F16EF"/>
    <w:rsid w:val="62A273DB"/>
    <w:rsid w:val="62A58BD5"/>
    <w:rsid w:val="62A60A91"/>
    <w:rsid w:val="62A66E67"/>
    <w:rsid w:val="62A80BEC"/>
    <w:rsid w:val="62A82AC3"/>
    <w:rsid w:val="62AFBA63"/>
    <w:rsid w:val="62B0A8DE"/>
    <w:rsid w:val="62B38A32"/>
    <w:rsid w:val="62B437DA"/>
    <w:rsid w:val="62B71264"/>
    <w:rsid w:val="62B8706D"/>
    <w:rsid w:val="62B8AEF4"/>
    <w:rsid w:val="62BCBF93"/>
    <w:rsid w:val="62BDF4D9"/>
    <w:rsid w:val="62BFE524"/>
    <w:rsid w:val="62C06A59"/>
    <w:rsid w:val="62C4187C"/>
    <w:rsid w:val="62C57B62"/>
    <w:rsid w:val="62C5DB34"/>
    <w:rsid w:val="62C6C4AE"/>
    <w:rsid w:val="62C70A22"/>
    <w:rsid w:val="62C77F67"/>
    <w:rsid w:val="62C85DF7"/>
    <w:rsid w:val="62CA5F25"/>
    <w:rsid w:val="62CAB758"/>
    <w:rsid w:val="62CF256A"/>
    <w:rsid w:val="62D0CAB2"/>
    <w:rsid w:val="62D204CA"/>
    <w:rsid w:val="62D5B5C7"/>
    <w:rsid w:val="62D6D597"/>
    <w:rsid w:val="62DA2659"/>
    <w:rsid w:val="62DA6137"/>
    <w:rsid w:val="62DF19F6"/>
    <w:rsid w:val="62E29D66"/>
    <w:rsid w:val="62E2BE35"/>
    <w:rsid w:val="62E3C530"/>
    <w:rsid w:val="62E5ECF1"/>
    <w:rsid w:val="62E867A4"/>
    <w:rsid w:val="62E9422B"/>
    <w:rsid w:val="62F0A280"/>
    <w:rsid w:val="62F39B34"/>
    <w:rsid w:val="62F629F2"/>
    <w:rsid w:val="62F8B8CE"/>
    <w:rsid w:val="62F95AC0"/>
    <w:rsid w:val="62FD450D"/>
    <w:rsid w:val="62FE5846"/>
    <w:rsid w:val="62FFBE1B"/>
    <w:rsid w:val="6301C832"/>
    <w:rsid w:val="6302DB4B"/>
    <w:rsid w:val="6302E47A"/>
    <w:rsid w:val="6303E051"/>
    <w:rsid w:val="6305984B"/>
    <w:rsid w:val="63061E95"/>
    <w:rsid w:val="63063C5C"/>
    <w:rsid w:val="63065350"/>
    <w:rsid w:val="63075842"/>
    <w:rsid w:val="63086D51"/>
    <w:rsid w:val="63112C8C"/>
    <w:rsid w:val="6317BF53"/>
    <w:rsid w:val="63184F66"/>
    <w:rsid w:val="63189DDD"/>
    <w:rsid w:val="631936F9"/>
    <w:rsid w:val="631A73B3"/>
    <w:rsid w:val="631DAA34"/>
    <w:rsid w:val="63205AA3"/>
    <w:rsid w:val="63232E45"/>
    <w:rsid w:val="6323B093"/>
    <w:rsid w:val="632552D6"/>
    <w:rsid w:val="6329E249"/>
    <w:rsid w:val="632A1164"/>
    <w:rsid w:val="632A57A9"/>
    <w:rsid w:val="632B5EC2"/>
    <w:rsid w:val="632CB2D4"/>
    <w:rsid w:val="632F9BD8"/>
    <w:rsid w:val="6330F842"/>
    <w:rsid w:val="63323E45"/>
    <w:rsid w:val="63330681"/>
    <w:rsid w:val="63343082"/>
    <w:rsid w:val="6334DF23"/>
    <w:rsid w:val="633656CC"/>
    <w:rsid w:val="6337A0D7"/>
    <w:rsid w:val="6339DC49"/>
    <w:rsid w:val="633AF2D8"/>
    <w:rsid w:val="633AF704"/>
    <w:rsid w:val="633D3E2C"/>
    <w:rsid w:val="633E6103"/>
    <w:rsid w:val="63446DF0"/>
    <w:rsid w:val="63451977"/>
    <w:rsid w:val="6345A1C2"/>
    <w:rsid w:val="634667F8"/>
    <w:rsid w:val="63476313"/>
    <w:rsid w:val="6347976A"/>
    <w:rsid w:val="63492F79"/>
    <w:rsid w:val="6349F9D2"/>
    <w:rsid w:val="634A6C7B"/>
    <w:rsid w:val="634BB118"/>
    <w:rsid w:val="634D03BD"/>
    <w:rsid w:val="634EB006"/>
    <w:rsid w:val="634FBA96"/>
    <w:rsid w:val="6352DF18"/>
    <w:rsid w:val="63532D63"/>
    <w:rsid w:val="635AB8FE"/>
    <w:rsid w:val="635C6C99"/>
    <w:rsid w:val="635E4EC7"/>
    <w:rsid w:val="635E9E80"/>
    <w:rsid w:val="635FC94B"/>
    <w:rsid w:val="63623A27"/>
    <w:rsid w:val="636269A8"/>
    <w:rsid w:val="6364780F"/>
    <w:rsid w:val="6364D3D7"/>
    <w:rsid w:val="63656EC4"/>
    <w:rsid w:val="6365B423"/>
    <w:rsid w:val="63684343"/>
    <w:rsid w:val="636A33B6"/>
    <w:rsid w:val="636B7ED1"/>
    <w:rsid w:val="636EB43A"/>
    <w:rsid w:val="636F4555"/>
    <w:rsid w:val="63793B76"/>
    <w:rsid w:val="637AF7DC"/>
    <w:rsid w:val="637BCF1A"/>
    <w:rsid w:val="637C5270"/>
    <w:rsid w:val="637EDE51"/>
    <w:rsid w:val="638049C3"/>
    <w:rsid w:val="6380EDED"/>
    <w:rsid w:val="6383522C"/>
    <w:rsid w:val="63844FCA"/>
    <w:rsid w:val="638495D5"/>
    <w:rsid w:val="638791F2"/>
    <w:rsid w:val="6388A9E2"/>
    <w:rsid w:val="638978E6"/>
    <w:rsid w:val="6389F74A"/>
    <w:rsid w:val="638A505E"/>
    <w:rsid w:val="638A7494"/>
    <w:rsid w:val="638B0FE9"/>
    <w:rsid w:val="638E323D"/>
    <w:rsid w:val="639035C8"/>
    <w:rsid w:val="63907B98"/>
    <w:rsid w:val="6391AAA8"/>
    <w:rsid w:val="63925ED3"/>
    <w:rsid w:val="63932457"/>
    <w:rsid w:val="6393CEE0"/>
    <w:rsid w:val="6394353B"/>
    <w:rsid w:val="6394B298"/>
    <w:rsid w:val="63A064B3"/>
    <w:rsid w:val="63A06FD0"/>
    <w:rsid w:val="63A0B9CA"/>
    <w:rsid w:val="63A3D7A3"/>
    <w:rsid w:val="63A3E166"/>
    <w:rsid w:val="63A3ED99"/>
    <w:rsid w:val="63A7E541"/>
    <w:rsid w:val="63A819D9"/>
    <w:rsid w:val="63A82106"/>
    <w:rsid w:val="63AA4ED7"/>
    <w:rsid w:val="63AAE6F6"/>
    <w:rsid w:val="63AB5EE6"/>
    <w:rsid w:val="63ABC34D"/>
    <w:rsid w:val="63AC4F46"/>
    <w:rsid w:val="63AC57D3"/>
    <w:rsid w:val="63ACBE6F"/>
    <w:rsid w:val="63ACE054"/>
    <w:rsid w:val="63B0E599"/>
    <w:rsid w:val="63B34C6A"/>
    <w:rsid w:val="63B412B6"/>
    <w:rsid w:val="63B49BB0"/>
    <w:rsid w:val="63B872A8"/>
    <w:rsid w:val="63B91338"/>
    <w:rsid w:val="63BA0F84"/>
    <w:rsid w:val="63BC4101"/>
    <w:rsid w:val="63BD22FC"/>
    <w:rsid w:val="63BFDB56"/>
    <w:rsid w:val="63C0560D"/>
    <w:rsid w:val="63C148C0"/>
    <w:rsid w:val="63C248C0"/>
    <w:rsid w:val="63C28EE3"/>
    <w:rsid w:val="63C2ABB5"/>
    <w:rsid w:val="63C2AEB9"/>
    <w:rsid w:val="63C3AF3F"/>
    <w:rsid w:val="63C673BC"/>
    <w:rsid w:val="63C7E9AA"/>
    <w:rsid w:val="63CA6E84"/>
    <w:rsid w:val="63CB1E4E"/>
    <w:rsid w:val="63CB4567"/>
    <w:rsid w:val="63D05909"/>
    <w:rsid w:val="63D425E0"/>
    <w:rsid w:val="63D4C151"/>
    <w:rsid w:val="63D5E44A"/>
    <w:rsid w:val="63D9B9DF"/>
    <w:rsid w:val="63DB34E1"/>
    <w:rsid w:val="63DD29C4"/>
    <w:rsid w:val="63E1219B"/>
    <w:rsid w:val="63E2FE0C"/>
    <w:rsid w:val="63E398B3"/>
    <w:rsid w:val="63E54A1B"/>
    <w:rsid w:val="63E5BFF5"/>
    <w:rsid w:val="63E665A3"/>
    <w:rsid w:val="63E729FB"/>
    <w:rsid w:val="63E99E5F"/>
    <w:rsid w:val="63E9D868"/>
    <w:rsid w:val="63EADCCA"/>
    <w:rsid w:val="63EBE596"/>
    <w:rsid w:val="63F23062"/>
    <w:rsid w:val="63F32C8E"/>
    <w:rsid w:val="63F443BB"/>
    <w:rsid w:val="63F4B8FE"/>
    <w:rsid w:val="63F512CA"/>
    <w:rsid w:val="63F5D5EE"/>
    <w:rsid w:val="63F842C1"/>
    <w:rsid w:val="63F85D98"/>
    <w:rsid w:val="63FAE3B2"/>
    <w:rsid w:val="63FB5B73"/>
    <w:rsid w:val="64015503"/>
    <w:rsid w:val="640194CE"/>
    <w:rsid w:val="6402F5AB"/>
    <w:rsid w:val="6402FAA8"/>
    <w:rsid w:val="64042FCA"/>
    <w:rsid w:val="640589E5"/>
    <w:rsid w:val="6406EC62"/>
    <w:rsid w:val="640875CE"/>
    <w:rsid w:val="64094496"/>
    <w:rsid w:val="6409875A"/>
    <w:rsid w:val="640C3CFC"/>
    <w:rsid w:val="640F026D"/>
    <w:rsid w:val="640F9CB1"/>
    <w:rsid w:val="6410B3A7"/>
    <w:rsid w:val="6412F501"/>
    <w:rsid w:val="64131125"/>
    <w:rsid w:val="64137993"/>
    <w:rsid w:val="64177E23"/>
    <w:rsid w:val="641802C2"/>
    <w:rsid w:val="641A11E9"/>
    <w:rsid w:val="641ADC53"/>
    <w:rsid w:val="641DA77D"/>
    <w:rsid w:val="6420EC43"/>
    <w:rsid w:val="64224072"/>
    <w:rsid w:val="64227678"/>
    <w:rsid w:val="6423EA84"/>
    <w:rsid w:val="6426E694"/>
    <w:rsid w:val="6427C427"/>
    <w:rsid w:val="642A1276"/>
    <w:rsid w:val="642A6D38"/>
    <w:rsid w:val="642C0FCC"/>
    <w:rsid w:val="642C6173"/>
    <w:rsid w:val="642CD4DA"/>
    <w:rsid w:val="643138CF"/>
    <w:rsid w:val="643177C2"/>
    <w:rsid w:val="64319808"/>
    <w:rsid w:val="643257BB"/>
    <w:rsid w:val="64334227"/>
    <w:rsid w:val="6434FC61"/>
    <w:rsid w:val="64366914"/>
    <w:rsid w:val="6436B5AA"/>
    <w:rsid w:val="643782AA"/>
    <w:rsid w:val="6438BB34"/>
    <w:rsid w:val="643A57AE"/>
    <w:rsid w:val="643AAD48"/>
    <w:rsid w:val="643B2007"/>
    <w:rsid w:val="643C70BC"/>
    <w:rsid w:val="643C9A27"/>
    <w:rsid w:val="644223FD"/>
    <w:rsid w:val="6442500B"/>
    <w:rsid w:val="6442B941"/>
    <w:rsid w:val="64430926"/>
    <w:rsid w:val="6443BBC3"/>
    <w:rsid w:val="6445B5AE"/>
    <w:rsid w:val="64460E8E"/>
    <w:rsid w:val="644A7947"/>
    <w:rsid w:val="644A8CFF"/>
    <w:rsid w:val="644AF008"/>
    <w:rsid w:val="644BDFCC"/>
    <w:rsid w:val="644DF032"/>
    <w:rsid w:val="644F8B2E"/>
    <w:rsid w:val="645098D8"/>
    <w:rsid w:val="645152B3"/>
    <w:rsid w:val="64516C4C"/>
    <w:rsid w:val="645261E7"/>
    <w:rsid w:val="645829BC"/>
    <w:rsid w:val="6459F1FD"/>
    <w:rsid w:val="645D1AFF"/>
    <w:rsid w:val="645D7561"/>
    <w:rsid w:val="6461AE1A"/>
    <w:rsid w:val="64633865"/>
    <w:rsid w:val="6464296B"/>
    <w:rsid w:val="646556E5"/>
    <w:rsid w:val="6465FA7C"/>
    <w:rsid w:val="64671BDA"/>
    <w:rsid w:val="646784AD"/>
    <w:rsid w:val="646BA316"/>
    <w:rsid w:val="646C2BD7"/>
    <w:rsid w:val="646CEC46"/>
    <w:rsid w:val="646D70B4"/>
    <w:rsid w:val="646E8A64"/>
    <w:rsid w:val="647273E3"/>
    <w:rsid w:val="64790861"/>
    <w:rsid w:val="647C8EF7"/>
    <w:rsid w:val="647E2B4E"/>
    <w:rsid w:val="647EDF42"/>
    <w:rsid w:val="64803310"/>
    <w:rsid w:val="648374B9"/>
    <w:rsid w:val="64856894"/>
    <w:rsid w:val="648688F8"/>
    <w:rsid w:val="6487BC6C"/>
    <w:rsid w:val="648BFA42"/>
    <w:rsid w:val="648DD48C"/>
    <w:rsid w:val="64915A89"/>
    <w:rsid w:val="64920D4C"/>
    <w:rsid w:val="649265B2"/>
    <w:rsid w:val="64961571"/>
    <w:rsid w:val="6496546E"/>
    <w:rsid w:val="649710C3"/>
    <w:rsid w:val="649AC059"/>
    <w:rsid w:val="649B5A5E"/>
    <w:rsid w:val="649C02BD"/>
    <w:rsid w:val="649E72A7"/>
    <w:rsid w:val="64A31068"/>
    <w:rsid w:val="64A5A06B"/>
    <w:rsid w:val="64A5C7DF"/>
    <w:rsid w:val="64A79E0A"/>
    <w:rsid w:val="64ACA063"/>
    <w:rsid w:val="64AE0B82"/>
    <w:rsid w:val="64B0E27E"/>
    <w:rsid w:val="64B16DE2"/>
    <w:rsid w:val="64B31D35"/>
    <w:rsid w:val="64B36657"/>
    <w:rsid w:val="64B5F3A0"/>
    <w:rsid w:val="64B5F531"/>
    <w:rsid w:val="64B633BF"/>
    <w:rsid w:val="64B6D79C"/>
    <w:rsid w:val="64B6E909"/>
    <w:rsid w:val="64B78830"/>
    <w:rsid w:val="64BA690B"/>
    <w:rsid w:val="64BAC130"/>
    <w:rsid w:val="64BBABA8"/>
    <w:rsid w:val="64BCA696"/>
    <w:rsid w:val="64C061AD"/>
    <w:rsid w:val="64C0F016"/>
    <w:rsid w:val="64C109EC"/>
    <w:rsid w:val="64C38CC1"/>
    <w:rsid w:val="64C4E8F2"/>
    <w:rsid w:val="64C5089B"/>
    <w:rsid w:val="64C543C5"/>
    <w:rsid w:val="64C68C1B"/>
    <w:rsid w:val="64C72216"/>
    <w:rsid w:val="64C963E4"/>
    <w:rsid w:val="64CB084D"/>
    <w:rsid w:val="64CC59EE"/>
    <w:rsid w:val="64CD6D58"/>
    <w:rsid w:val="64CE82BD"/>
    <w:rsid w:val="64CF0F03"/>
    <w:rsid w:val="64CF9EFC"/>
    <w:rsid w:val="64D1565F"/>
    <w:rsid w:val="64D4A094"/>
    <w:rsid w:val="64D8F19A"/>
    <w:rsid w:val="64D92967"/>
    <w:rsid w:val="64D99FD5"/>
    <w:rsid w:val="64DB65AC"/>
    <w:rsid w:val="64E0817F"/>
    <w:rsid w:val="64E0FD62"/>
    <w:rsid w:val="64E263F0"/>
    <w:rsid w:val="64E281CB"/>
    <w:rsid w:val="64E57B3B"/>
    <w:rsid w:val="64E710FC"/>
    <w:rsid w:val="64EA039D"/>
    <w:rsid w:val="64EC007C"/>
    <w:rsid w:val="64EC8686"/>
    <w:rsid w:val="64ED198F"/>
    <w:rsid w:val="64ED5199"/>
    <w:rsid w:val="64EDEDAE"/>
    <w:rsid w:val="64EF22C5"/>
    <w:rsid w:val="64F02151"/>
    <w:rsid w:val="64F50A2E"/>
    <w:rsid w:val="64F5466A"/>
    <w:rsid w:val="64F6CACB"/>
    <w:rsid w:val="64F7152E"/>
    <w:rsid w:val="64F77444"/>
    <w:rsid w:val="64FCA441"/>
    <w:rsid w:val="64FCBBA5"/>
    <w:rsid w:val="64FF4302"/>
    <w:rsid w:val="650194D8"/>
    <w:rsid w:val="6501FCCC"/>
    <w:rsid w:val="6502AED8"/>
    <w:rsid w:val="6504EBC3"/>
    <w:rsid w:val="650533FA"/>
    <w:rsid w:val="6507801C"/>
    <w:rsid w:val="6508035D"/>
    <w:rsid w:val="6509528A"/>
    <w:rsid w:val="650A83E9"/>
    <w:rsid w:val="650C640B"/>
    <w:rsid w:val="65113308"/>
    <w:rsid w:val="6512E537"/>
    <w:rsid w:val="65131F4F"/>
    <w:rsid w:val="65132939"/>
    <w:rsid w:val="651468E2"/>
    <w:rsid w:val="65155FDC"/>
    <w:rsid w:val="65158387"/>
    <w:rsid w:val="6516EE41"/>
    <w:rsid w:val="65179EC9"/>
    <w:rsid w:val="6519A731"/>
    <w:rsid w:val="651B5C92"/>
    <w:rsid w:val="651C8BDC"/>
    <w:rsid w:val="651F2189"/>
    <w:rsid w:val="651FB571"/>
    <w:rsid w:val="65206470"/>
    <w:rsid w:val="65218FDD"/>
    <w:rsid w:val="6522719E"/>
    <w:rsid w:val="6523D7C9"/>
    <w:rsid w:val="652769DC"/>
    <w:rsid w:val="6528877E"/>
    <w:rsid w:val="65289D58"/>
    <w:rsid w:val="652A2881"/>
    <w:rsid w:val="652AEEF7"/>
    <w:rsid w:val="652BAD77"/>
    <w:rsid w:val="652C0A18"/>
    <w:rsid w:val="652D8BBA"/>
    <w:rsid w:val="652DDD63"/>
    <w:rsid w:val="652E4D5D"/>
    <w:rsid w:val="6531A8EB"/>
    <w:rsid w:val="65321240"/>
    <w:rsid w:val="65332409"/>
    <w:rsid w:val="6534AF64"/>
    <w:rsid w:val="6534E650"/>
    <w:rsid w:val="65350B1D"/>
    <w:rsid w:val="65364B9D"/>
    <w:rsid w:val="65383DAD"/>
    <w:rsid w:val="653853CD"/>
    <w:rsid w:val="6538834C"/>
    <w:rsid w:val="653B27ED"/>
    <w:rsid w:val="653DE638"/>
    <w:rsid w:val="653E2DE9"/>
    <w:rsid w:val="653F01E4"/>
    <w:rsid w:val="653F3493"/>
    <w:rsid w:val="653F72B6"/>
    <w:rsid w:val="654042CF"/>
    <w:rsid w:val="6541EF5A"/>
    <w:rsid w:val="65433816"/>
    <w:rsid w:val="654B2ED4"/>
    <w:rsid w:val="654E6EC0"/>
    <w:rsid w:val="65544531"/>
    <w:rsid w:val="65572FB5"/>
    <w:rsid w:val="655AF326"/>
    <w:rsid w:val="655B1A25"/>
    <w:rsid w:val="655C0F7B"/>
    <w:rsid w:val="655F3B3A"/>
    <w:rsid w:val="6560217B"/>
    <w:rsid w:val="65603B19"/>
    <w:rsid w:val="6562C8C3"/>
    <w:rsid w:val="6563E3A9"/>
    <w:rsid w:val="65651989"/>
    <w:rsid w:val="656796D8"/>
    <w:rsid w:val="6567C5D1"/>
    <w:rsid w:val="6568A998"/>
    <w:rsid w:val="656B2AD2"/>
    <w:rsid w:val="656DA891"/>
    <w:rsid w:val="656DCBB1"/>
    <w:rsid w:val="6570D429"/>
    <w:rsid w:val="65718C01"/>
    <w:rsid w:val="657AF2C9"/>
    <w:rsid w:val="657DA887"/>
    <w:rsid w:val="6582F8EC"/>
    <w:rsid w:val="6583171B"/>
    <w:rsid w:val="65833607"/>
    <w:rsid w:val="6583AC4F"/>
    <w:rsid w:val="6583C775"/>
    <w:rsid w:val="6583E3F3"/>
    <w:rsid w:val="658427C8"/>
    <w:rsid w:val="658473E5"/>
    <w:rsid w:val="658478E5"/>
    <w:rsid w:val="6587D9D3"/>
    <w:rsid w:val="6588E5B9"/>
    <w:rsid w:val="6589C613"/>
    <w:rsid w:val="658A3F3D"/>
    <w:rsid w:val="658ADEB5"/>
    <w:rsid w:val="658B35DE"/>
    <w:rsid w:val="658C6E78"/>
    <w:rsid w:val="658CDBB2"/>
    <w:rsid w:val="658CE9C8"/>
    <w:rsid w:val="658CFAD8"/>
    <w:rsid w:val="65911F07"/>
    <w:rsid w:val="65917591"/>
    <w:rsid w:val="6591DA48"/>
    <w:rsid w:val="659326D2"/>
    <w:rsid w:val="6593D54C"/>
    <w:rsid w:val="6595D0C4"/>
    <w:rsid w:val="65974AC5"/>
    <w:rsid w:val="65975486"/>
    <w:rsid w:val="65991070"/>
    <w:rsid w:val="659DC7C0"/>
    <w:rsid w:val="659DCEF1"/>
    <w:rsid w:val="659F951D"/>
    <w:rsid w:val="659FE1AE"/>
    <w:rsid w:val="65A2AF8E"/>
    <w:rsid w:val="65A523B9"/>
    <w:rsid w:val="65A7C13A"/>
    <w:rsid w:val="65A9E433"/>
    <w:rsid w:val="65ABD6B4"/>
    <w:rsid w:val="65AC612A"/>
    <w:rsid w:val="65AC9CD5"/>
    <w:rsid w:val="65AC9DDE"/>
    <w:rsid w:val="65AE11B8"/>
    <w:rsid w:val="65AFCE6C"/>
    <w:rsid w:val="65B1E31B"/>
    <w:rsid w:val="65B39AE8"/>
    <w:rsid w:val="65B44D11"/>
    <w:rsid w:val="65B53711"/>
    <w:rsid w:val="65B591BA"/>
    <w:rsid w:val="65B63C1E"/>
    <w:rsid w:val="65B732D1"/>
    <w:rsid w:val="65B7B1D3"/>
    <w:rsid w:val="65B7EF19"/>
    <w:rsid w:val="65B83199"/>
    <w:rsid w:val="65B87E7C"/>
    <w:rsid w:val="65B9458B"/>
    <w:rsid w:val="65BD4573"/>
    <w:rsid w:val="65BE074B"/>
    <w:rsid w:val="65BE29AE"/>
    <w:rsid w:val="65C01C49"/>
    <w:rsid w:val="65C0377A"/>
    <w:rsid w:val="65C65C11"/>
    <w:rsid w:val="65C70E91"/>
    <w:rsid w:val="65C7BAF2"/>
    <w:rsid w:val="65CA8591"/>
    <w:rsid w:val="65CB018E"/>
    <w:rsid w:val="65CBBF9B"/>
    <w:rsid w:val="65CCB8B8"/>
    <w:rsid w:val="65D011BE"/>
    <w:rsid w:val="65D05538"/>
    <w:rsid w:val="65D21ED8"/>
    <w:rsid w:val="65D5BDDF"/>
    <w:rsid w:val="65D5E404"/>
    <w:rsid w:val="65D5FF0D"/>
    <w:rsid w:val="65D98B0D"/>
    <w:rsid w:val="65DA43D4"/>
    <w:rsid w:val="65DB4391"/>
    <w:rsid w:val="65E419CA"/>
    <w:rsid w:val="65E45A5E"/>
    <w:rsid w:val="65E4BC37"/>
    <w:rsid w:val="65EC5336"/>
    <w:rsid w:val="65EE4CBE"/>
    <w:rsid w:val="65EF5D07"/>
    <w:rsid w:val="65EF62CA"/>
    <w:rsid w:val="65EFB383"/>
    <w:rsid w:val="65F10686"/>
    <w:rsid w:val="65F204AB"/>
    <w:rsid w:val="65F3EDE1"/>
    <w:rsid w:val="65F659BF"/>
    <w:rsid w:val="65F73727"/>
    <w:rsid w:val="65F9B4D7"/>
    <w:rsid w:val="65FA8237"/>
    <w:rsid w:val="65FCE868"/>
    <w:rsid w:val="65FDF3BB"/>
    <w:rsid w:val="6602D6DE"/>
    <w:rsid w:val="6602F323"/>
    <w:rsid w:val="66075926"/>
    <w:rsid w:val="66075B85"/>
    <w:rsid w:val="66083287"/>
    <w:rsid w:val="66083C79"/>
    <w:rsid w:val="660ACD6C"/>
    <w:rsid w:val="660BDFAA"/>
    <w:rsid w:val="660D19CF"/>
    <w:rsid w:val="660DFAEE"/>
    <w:rsid w:val="6612269B"/>
    <w:rsid w:val="6612CFD6"/>
    <w:rsid w:val="661619B9"/>
    <w:rsid w:val="6616712C"/>
    <w:rsid w:val="6618F186"/>
    <w:rsid w:val="66198A57"/>
    <w:rsid w:val="661A73BA"/>
    <w:rsid w:val="661DF79B"/>
    <w:rsid w:val="661E7AFD"/>
    <w:rsid w:val="6620E6E0"/>
    <w:rsid w:val="6624456D"/>
    <w:rsid w:val="66247010"/>
    <w:rsid w:val="66258AEC"/>
    <w:rsid w:val="6625CF93"/>
    <w:rsid w:val="6625F5E6"/>
    <w:rsid w:val="66261038"/>
    <w:rsid w:val="662684DA"/>
    <w:rsid w:val="6627E469"/>
    <w:rsid w:val="6629BC7C"/>
    <w:rsid w:val="662C70E7"/>
    <w:rsid w:val="662CCAC1"/>
    <w:rsid w:val="662E491F"/>
    <w:rsid w:val="66333C0B"/>
    <w:rsid w:val="6633755B"/>
    <w:rsid w:val="66347759"/>
    <w:rsid w:val="66382FB8"/>
    <w:rsid w:val="6638BCFB"/>
    <w:rsid w:val="663AB79A"/>
    <w:rsid w:val="663BF884"/>
    <w:rsid w:val="66415249"/>
    <w:rsid w:val="6643C5D1"/>
    <w:rsid w:val="664965F2"/>
    <w:rsid w:val="664B88FB"/>
    <w:rsid w:val="664E3445"/>
    <w:rsid w:val="664FBC58"/>
    <w:rsid w:val="664FC6EC"/>
    <w:rsid w:val="665005C2"/>
    <w:rsid w:val="6651A75D"/>
    <w:rsid w:val="66537865"/>
    <w:rsid w:val="66566054"/>
    <w:rsid w:val="6656BF3C"/>
    <w:rsid w:val="66589276"/>
    <w:rsid w:val="665CEFB3"/>
    <w:rsid w:val="665E4F70"/>
    <w:rsid w:val="66631E81"/>
    <w:rsid w:val="6665A995"/>
    <w:rsid w:val="6669C7DA"/>
    <w:rsid w:val="666E564E"/>
    <w:rsid w:val="667005DF"/>
    <w:rsid w:val="667165F2"/>
    <w:rsid w:val="66727D81"/>
    <w:rsid w:val="66737C15"/>
    <w:rsid w:val="6677D0F9"/>
    <w:rsid w:val="667C3AF3"/>
    <w:rsid w:val="667C8651"/>
    <w:rsid w:val="667CBC34"/>
    <w:rsid w:val="667D40E8"/>
    <w:rsid w:val="667D68AE"/>
    <w:rsid w:val="667D81C9"/>
    <w:rsid w:val="667EA0CC"/>
    <w:rsid w:val="667F741C"/>
    <w:rsid w:val="6680458B"/>
    <w:rsid w:val="6681B548"/>
    <w:rsid w:val="6682012A"/>
    <w:rsid w:val="668282CB"/>
    <w:rsid w:val="66849073"/>
    <w:rsid w:val="66856DCD"/>
    <w:rsid w:val="6687D84B"/>
    <w:rsid w:val="66890CE3"/>
    <w:rsid w:val="668A2BFE"/>
    <w:rsid w:val="668B04E8"/>
    <w:rsid w:val="668B77D9"/>
    <w:rsid w:val="668BEA79"/>
    <w:rsid w:val="668C8AAA"/>
    <w:rsid w:val="668CD026"/>
    <w:rsid w:val="668D4902"/>
    <w:rsid w:val="668EC871"/>
    <w:rsid w:val="6691FF44"/>
    <w:rsid w:val="6692BC7E"/>
    <w:rsid w:val="669369E8"/>
    <w:rsid w:val="66945865"/>
    <w:rsid w:val="66953D69"/>
    <w:rsid w:val="6696C5D0"/>
    <w:rsid w:val="66977A88"/>
    <w:rsid w:val="6697AC96"/>
    <w:rsid w:val="6698A28D"/>
    <w:rsid w:val="6698F4C8"/>
    <w:rsid w:val="66998E40"/>
    <w:rsid w:val="669A3475"/>
    <w:rsid w:val="669E959F"/>
    <w:rsid w:val="669EA386"/>
    <w:rsid w:val="669F8763"/>
    <w:rsid w:val="66A02D78"/>
    <w:rsid w:val="66A06BE2"/>
    <w:rsid w:val="66A19A6D"/>
    <w:rsid w:val="66A29320"/>
    <w:rsid w:val="66A2C467"/>
    <w:rsid w:val="66A2FC0F"/>
    <w:rsid w:val="66A50E1F"/>
    <w:rsid w:val="66A5948D"/>
    <w:rsid w:val="66A5B89E"/>
    <w:rsid w:val="66A5D33E"/>
    <w:rsid w:val="66A68799"/>
    <w:rsid w:val="66A9BC03"/>
    <w:rsid w:val="66AA1E64"/>
    <w:rsid w:val="66AC4AB2"/>
    <w:rsid w:val="66AD78F2"/>
    <w:rsid w:val="66AD9AEE"/>
    <w:rsid w:val="66AE6A14"/>
    <w:rsid w:val="66AF6535"/>
    <w:rsid w:val="66B159C2"/>
    <w:rsid w:val="66B31370"/>
    <w:rsid w:val="66B38D06"/>
    <w:rsid w:val="66B39323"/>
    <w:rsid w:val="66B58E9E"/>
    <w:rsid w:val="66B7FD14"/>
    <w:rsid w:val="66B85399"/>
    <w:rsid w:val="66B94DBA"/>
    <w:rsid w:val="66BAD123"/>
    <w:rsid w:val="66BBBC74"/>
    <w:rsid w:val="66BBE83C"/>
    <w:rsid w:val="66BC4D81"/>
    <w:rsid w:val="66BD8591"/>
    <w:rsid w:val="66BDF4DF"/>
    <w:rsid w:val="66BE9A44"/>
    <w:rsid w:val="66BF7486"/>
    <w:rsid w:val="66BFC2FA"/>
    <w:rsid w:val="66BFE4BE"/>
    <w:rsid w:val="66C03245"/>
    <w:rsid w:val="66C13645"/>
    <w:rsid w:val="66C1E898"/>
    <w:rsid w:val="66C2B1CE"/>
    <w:rsid w:val="66C3A946"/>
    <w:rsid w:val="66C83D49"/>
    <w:rsid w:val="66C8E9A7"/>
    <w:rsid w:val="66CB721E"/>
    <w:rsid w:val="66CB747A"/>
    <w:rsid w:val="66CCC4D0"/>
    <w:rsid w:val="66D22409"/>
    <w:rsid w:val="66D5FABF"/>
    <w:rsid w:val="66D73F55"/>
    <w:rsid w:val="66D7B0D5"/>
    <w:rsid w:val="66E04612"/>
    <w:rsid w:val="66E0AF85"/>
    <w:rsid w:val="66E17E69"/>
    <w:rsid w:val="66E4C0CA"/>
    <w:rsid w:val="66E65811"/>
    <w:rsid w:val="66E6D30A"/>
    <w:rsid w:val="66E80DC5"/>
    <w:rsid w:val="66E82C80"/>
    <w:rsid w:val="66E8CE1A"/>
    <w:rsid w:val="66E925BA"/>
    <w:rsid w:val="66E95A6B"/>
    <w:rsid w:val="66E9E081"/>
    <w:rsid w:val="66EA3DDD"/>
    <w:rsid w:val="66EE19FC"/>
    <w:rsid w:val="66EF1715"/>
    <w:rsid w:val="66EF23EB"/>
    <w:rsid w:val="66EF46EA"/>
    <w:rsid w:val="66F15311"/>
    <w:rsid w:val="66F362EB"/>
    <w:rsid w:val="66F3728A"/>
    <w:rsid w:val="66F60B2C"/>
    <w:rsid w:val="66F7AA2A"/>
    <w:rsid w:val="66FA0BFE"/>
    <w:rsid w:val="66FB1CF3"/>
    <w:rsid w:val="66FBD34A"/>
    <w:rsid w:val="670141E9"/>
    <w:rsid w:val="6704C729"/>
    <w:rsid w:val="6706BF5B"/>
    <w:rsid w:val="67077785"/>
    <w:rsid w:val="6707C267"/>
    <w:rsid w:val="67088419"/>
    <w:rsid w:val="670A1BDC"/>
    <w:rsid w:val="670ADA02"/>
    <w:rsid w:val="670C2A12"/>
    <w:rsid w:val="670C810E"/>
    <w:rsid w:val="670D2860"/>
    <w:rsid w:val="670E612B"/>
    <w:rsid w:val="670EE0C7"/>
    <w:rsid w:val="6710E4E1"/>
    <w:rsid w:val="6711CD7D"/>
    <w:rsid w:val="67127624"/>
    <w:rsid w:val="67127A35"/>
    <w:rsid w:val="6712E197"/>
    <w:rsid w:val="6713330D"/>
    <w:rsid w:val="6715D2E7"/>
    <w:rsid w:val="67166596"/>
    <w:rsid w:val="67185CE3"/>
    <w:rsid w:val="67198F0F"/>
    <w:rsid w:val="671A22C4"/>
    <w:rsid w:val="671C82BC"/>
    <w:rsid w:val="67208B84"/>
    <w:rsid w:val="67209F50"/>
    <w:rsid w:val="6720F22D"/>
    <w:rsid w:val="6721695B"/>
    <w:rsid w:val="67239C79"/>
    <w:rsid w:val="67247121"/>
    <w:rsid w:val="672536B1"/>
    <w:rsid w:val="67266940"/>
    <w:rsid w:val="672730EA"/>
    <w:rsid w:val="672782DF"/>
    <w:rsid w:val="6729B330"/>
    <w:rsid w:val="6729CAD0"/>
    <w:rsid w:val="672A1E95"/>
    <w:rsid w:val="672AD29E"/>
    <w:rsid w:val="672BA529"/>
    <w:rsid w:val="672CE39D"/>
    <w:rsid w:val="672E2F5D"/>
    <w:rsid w:val="672E42A8"/>
    <w:rsid w:val="67306F3D"/>
    <w:rsid w:val="67336357"/>
    <w:rsid w:val="6733A654"/>
    <w:rsid w:val="67357814"/>
    <w:rsid w:val="67378248"/>
    <w:rsid w:val="6737F228"/>
    <w:rsid w:val="67389F7E"/>
    <w:rsid w:val="673BCC40"/>
    <w:rsid w:val="673DD8B2"/>
    <w:rsid w:val="673E1F23"/>
    <w:rsid w:val="67434742"/>
    <w:rsid w:val="67444D04"/>
    <w:rsid w:val="674982D7"/>
    <w:rsid w:val="674A8160"/>
    <w:rsid w:val="674B6653"/>
    <w:rsid w:val="674C9953"/>
    <w:rsid w:val="674E9120"/>
    <w:rsid w:val="6754593D"/>
    <w:rsid w:val="6756FAD8"/>
    <w:rsid w:val="67579FA7"/>
    <w:rsid w:val="6758AC27"/>
    <w:rsid w:val="675EF858"/>
    <w:rsid w:val="675F1858"/>
    <w:rsid w:val="67601958"/>
    <w:rsid w:val="6766C8E0"/>
    <w:rsid w:val="67694F66"/>
    <w:rsid w:val="6769BC91"/>
    <w:rsid w:val="676ADE9B"/>
    <w:rsid w:val="676F80F4"/>
    <w:rsid w:val="676FEE4D"/>
    <w:rsid w:val="67733C80"/>
    <w:rsid w:val="6776CE08"/>
    <w:rsid w:val="67783158"/>
    <w:rsid w:val="6778CC9A"/>
    <w:rsid w:val="6778E922"/>
    <w:rsid w:val="67799C50"/>
    <w:rsid w:val="677AF27A"/>
    <w:rsid w:val="677B27D0"/>
    <w:rsid w:val="677EA2A3"/>
    <w:rsid w:val="6784BEC1"/>
    <w:rsid w:val="678731FB"/>
    <w:rsid w:val="6787481B"/>
    <w:rsid w:val="678CAEC5"/>
    <w:rsid w:val="67956E75"/>
    <w:rsid w:val="6798820D"/>
    <w:rsid w:val="679902D7"/>
    <w:rsid w:val="67998E85"/>
    <w:rsid w:val="6799F098"/>
    <w:rsid w:val="679AD84A"/>
    <w:rsid w:val="679BE500"/>
    <w:rsid w:val="679DDDB6"/>
    <w:rsid w:val="67A3437A"/>
    <w:rsid w:val="67A4602D"/>
    <w:rsid w:val="67A51183"/>
    <w:rsid w:val="67A62261"/>
    <w:rsid w:val="67A6D88A"/>
    <w:rsid w:val="67A9D70A"/>
    <w:rsid w:val="67ACBCB5"/>
    <w:rsid w:val="67ACE356"/>
    <w:rsid w:val="67AD3F68"/>
    <w:rsid w:val="67B356D7"/>
    <w:rsid w:val="67B39349"/>
    <w:rsid w:val="67B6FC1E"/>
    <w:rsid w:val="67B70D55"/>
    <w:rsid w:val="67B78789"/>
    <w:rsid w:val="67B8F4D9"/>
    <w:rsid w:val="67BAA166"/>
    <w:rsid w:val="67BB65E6"/>
    <w:rsid w:val="67BF2716"/>
    <w:rsid w:val="67C0B114"/>
    <w:rsid w:val="67C25ECC"/>
    <w:rsid w:val="67C27579"/>
    <w:rsid w:val="67C62400"/>
    <w:rsid w:val="67C6D34B"/>
    <w:rsid w:val="67C99C7D"/>
    <w:rsid w:val="67CA6945"/>
    <w:rsid w:val="67CB93E1"/>
    <w:rsid w:val="67CB95A8"/>
    <w:rsid w:val="67CC6AF6"/>
    <w:rsid w:val="67CDBEBE"/>
    <w:rsid w:val="67CEAD23"/>
    <w:rsid w:val="67CEBB59"/>
    <w:rsid w:val="67CEEC30"/>
    <w:rsid w:val="67D1F878"/>
    <w:rsid w:val="67D28723"/>
    <w:rsid w:val="67D30C87"/>
    <w:rsid w:val="67D599E5"/>
    <w:rsid w:val="67DB1F57"/>
    <w:rsid w:val="67DBF6B2"/>
    <w:rsid w:val="67DC4363"/>
    <w:rsid w:val="67E122ED"/>
    <w:rsid w:val="67E337BA"/>
    <w:rsid w:val="67E46D04"/>
    <w:rsid w:val="67E77131"/>
    <w:rsid w:val="67E785B4"/>
    <w:rsid w:val="67E82A02"/>
    <w:rsid w:val="67E8F430"/>
    <w:rsid w:val="67ECF07D"/>
    <w:rsid w:val="67ED42A7"/>
    <w:rsid w:val="67EFD263"/>
    <w:rsid w:val="67F18B0A"/>
    <w:rsid w:val="67F2BE3D"/>
    <w:rsid w:val="67F3EB92"/>
    <w:rsid w:val="67F6C356"/>
    <w:rsid w:val="67F91225"/>
    <w:rsid w:val="67FB489D"/>
    <w:rsid w:val="67FD5A8D"/>
    <w:rsid w:val="67FD8CBB"/>
    <w:rsid w:val="6801E310"/>
    <w:rsid w:val="68025A5F"/>
    <w:rsid w:val="6805A5DA"/>
    <w:rsid w:val="680634F6"/>
    <w:rsid w:val="6808A6A7"/>
    <w:rsid w:val="6809FD85"/>
    <w:rsid w:val="6809FE9A"/>
    <w:rsid w:val="680A3F6D"/>
    <w:rsid w:val="680F9D4E"/>
    <w:rsid w:val="6812CD3E"/>
    <w:rsid w:val="6813C9AE"/>
    <w:rsid w:val="681617A8"/>
    <w:rsid w:val="68194B36"/>
    <w:rsid w:val="681BFBF0"/>
    <w:rsid w:val="681CB2D9"/>
    <w:rsid w:val="681DF023"/>
    <w:rsid w:val="6822C408"/>
    <w:rsid w:val="682415D3"/>
    <w:rsid w:val="6824360D"/>
    <w:rsid w:val="68253AE7"/>
    <w:rsid w:val="6826B9B3"/>
    <w:rsid w:val="6828B6B5"/>
    <w:rsid w:val="682AAA14"/>
    <w:rsid w:val="682D8972"/>
    <w:rsid w:val="682F0E95"/>
    <w:rsid w:val="6831D2F5"/>
    <w:rsid w:val="6834491F"/>
    <w:rsid w:val="683769C4"/>
    <w:rsid w:val="6838946A"/>
    <w:rsid w:val="683D9EB8"/>
    <w:rsid w:val="683F6498"/>
    <w:rsid w:val="683FE079"/>
    <w:rsid w:val="683FF19F"/>
    <w:rsid w:val="68400DAE"/>
    <w:rsid w:val="6842D403"/>
    <w:rsid w:val="68434AEE"/>
    <w:rsid w:val="6844FEF6"/>
    <w:rsid w:val="6846CFF7"/>
    <w:rsid w:val="684A6166"/>
    <w:rsid w:val="684F6BF0"/>
    <w:rsid w:val="685070CE"/>
    <w:rsid w:val="68518A8E"/>
    <w:rsid w:val="68528CB0"/>
    <w:rsid w:val="685322E1"/>
    <w:rsid w:val="68547710"/>
    <w:rsid w:val="6854C11A"/>
    <w:rsid w:val="6854D0B7"/>
    <w:rsid w:val="6856C5E7"/>
    <w:rsid w:val="685758C7"/>
    <w:rsid w:val="685767B7"/>
    <w:rsid w:val="6859DB2A"/>
    <w:rsid w:val="685D2D9A"/>
    <w:rsid w:val="685D2DFE"/>
    <w:rsid w:val="685F9A7F"/>
    <w:rsid w:val="6860FDD5"/>
    <w:rsid w:val="6863962E"/>
    <w:rsid w:val="6866BCB1"/>
    <w:rsid w:val="6866EF2B"/>
    <w:rsid w:val="68694540"/>
    <w:rsid w:val="686AD4F4"/>
    <w:rsid w:val="686DB166"/>
    <w:rsid w:val="6870BB7B"/>
    <w:rsid w:val="6871CBE2"/>
    <w:rsid w:val="68726157"/>
    <w:rsid w:val="687267BB"/>
    <w:rsid w:val="68741739"/>
    <w:rsid w:val="687427C6"/>
    <w:rsid w:val="6875338E"/>
    <w:rsid w:val="6877F649"/>
    <w:rsid w:val="687AE9D1"/>
    <w:rsid w:val="687C09B8"/>
    <w:rsid w:val="687D1FEA"/>
    <w:rsid w:val="687E5AAD"/>
    <w:rsid w:val="6881F06B"/>
    <w:rsid w:val="6885F8D5"/>
    <w:rsid w:val="68863AC1"/>
    <w:rsid w:val="68872846"/>
    <w:rsid w:val="68877040"/>
    <w:rsid w:val="68889109"/>
    <w:rsid w:val="68898888"/>
    <w:rsid w:val="688A270E"/>
    <w:rsid w:val="688A890B"/>
    <w:rsid w:val="688B0718"/>
    <w:rsid w:val="68902447"/>
    <w:rsid w:val="6890CBE4"/>
    <w:rsid w:val="6890DAA8"/>
    <w:rsid w:val="68925EE8"/>
    <w:rsid w:val="68949889"/>
    <w:rsid w:val="68949AC9"/>
    <w:rsid w:val="68974CAC"/>
    <w:rsid w:val="68984866"/>
    <w:rsid w:val="6898ECEF"/>
    <w:rsid w:val="689AD0C7"/>
    <w:rsid w:val="689B92CE"/>
    <w:rsid w:val="689DCEEA"/>
    <w:rsid w:val="689DD14D"/>
    <w:rsid w:val="68A02287"/>
    <w:rsid w:val="68A03683"/>
    <w:rsid w:val="68A11D63"/>
    <w:rsid w:val="68A27A4F"/>
    <w:rsid w:val="68A44DB0"/>
    <w:rsid w:val="68A7898A"/>
    <w:rsid w:val="68A80DC5"/>
    <w:rsid w:val="68A85C12"/>
    <w:rsid w:val="68AC0454"/>
    <w:rsid w:val="68AD6367"/>
    <w:rsid w:val="68AD8D80"/>
    <w:rsid w:val="68AF923C"/>
    <w:rsid w:val="68B15C83"/>
    <w:rsid w:val="68B37F47"/>
    <w:rsid w:val="68B4BBE6"/>
    <w:rsid w:val="68BABAAC"/>
    <w:rsid w:val="68BB2FF5"/>
    <w:rsid w:val="68BC1A77"/>
    <w:rsid w:val="68BDA001"/>
    <w:rsid w:val="68BF2325"/>
    <w:rsid w:val="68BF6461"/>
    <w:rsid w:val="68C043D1"/>
    <w:rsid w:val="68C42EAE"/>
    <w:rsid w:val="68C85015"/>
    <w:rsid w:val="68CA210E"/>
    <w:rsid w:val="68CB45D0"/>
    <w:rsid w:val="68CB9DD4"/>
    <w:rsid w:val="68CD186F"/>
    <w:rsid w:val="68CDA29E"/>
    <w:rsid w:val="68CDBA84"/>
    <w:rsid w:val="68CEC912"/>
    <w:rsid w:val="68CF461A"/>
    <w:rsid w:val="68D0815B"/>
    <w:rsid w:val="68D1311D"/>
    <w:rsid w:val="68D3DADD"/>
    <w:rsid w:val="68D6A7EB"/>
    <w:rsid w:val="68D76C72"/>
    <w:rsid w:val="68DD5EC0"/>
    <w:rsid w:val="68E0E213"/>
    <w:rsid w:val="68E3C853"/>
    <w:rsid w:val="68E48246"/>
    <w:rsid w:val="68E63F58"/>
    <w:rsid w:val="68E9546F"/>
    <w:rsid w:val="68E9A722"/>
    <w:rsid w:val="68E9BA65"/>
    <w:rsid w:val="68EAB333"/>
    <w:rsid w:val="68EAD9FF"/>
    <w:rsid w:val="68EF57A3"/>
    <w:rsid w:val="68F08581"/>
    <w:rsid w:val="68F17CFD"/>
    <w:rsid w:val="68F40468"/>
    <w:rsid w:val="68F476D4"/>
    <w:rsid w:val="68F623BE"/>
    <w:rsid w:val="68F90B59"/>
    <w:rsid w:val="68F94FEE"/>
    <w:rsid w:val="690005AB"/>
    <w:rsid w:val="69043998"/>
    <w:rsid w:val="69063CA8"/>
    <w:rsid w:val="6907FCC6"/>
    <w:rsid w:val="6908647E"/>
    <w:rsid w:val="690A9E0D"/>
    <w:rsid w:val="690AA6C4"/>
    <w:rsid w:val="690CA00D"/>
    <w:rsid w:val="690E4CC5"/>
    <w:rsid w:val="69115DCD"/>
    <w:rsid w:val="691188E8"/>
    <w:rsid w:val="6914E08F"/>
    <w:rsid w:val="6915AA46"/>
    <w:rsid w:val="6915B488"/>
    <w:rsid w:val="6915FDC5"/>
    <w:rsid w:val="6919BA44"/>
    <w:rsid w:val="6919F891"/>
    <w:rsid w:val="691D466E"/>
    <w:rsid w:val="6921CE55"/>
    <w:rsid w:val="69222837"/>
    <w:rsid w:val="6926605F"/>
    <w:rsid w:val="692687D2"/>
    <w:rsid w:val="6929AF2D"/>
    <w:rsid w:val="692CCDAD"/>
    <w:rsid w:val="692D5BD8"/>
    <w:rsid w:val="692E4F64"/>
    <w:rsid w:val="692EB1F7"/>
    <w:rsid w:val="692EC77D"/>
    <w:rsid w:val="6930B228"/>
    <w:rsid w:val="69356EDF"/>
    <w:rsid w:val="6938415A"/>
    <w:rsid w:val="693B27AF"/>
    <w:rsid w:val="693B4AE0"/>
    <w:rsid w:val="693CC6E9"/>
    <w:rsid w:val="693D01C3"/>
    <w:rsid w:val="693D6140"/>
    <w:rsid w:val="693DEDEB"/>
    <w:rsid w:val="6945DF18"/>
    <w:rsid w:val="6946539C"/>
    <w:rsid w:val="694707CE"/>
    <w:rsid w:val="694986ED"/>
    <w:rsid w:val="694ADF79"/>
    <w:rsid w:val="694AF012"/>
    <w:rsid w:val="694BD018"/>
    <w:rsid w:val="694D39F3"/>
    <w:rsid w:val="6952987F"/>
    <w:rsid w:val="69532611"/>
    <w:rsid w:val="69542560"/>
    <w:rsid w:val="695596F7"/>
    <w:rsid w:val="6957B6AD"/>
    <w:rsid w:val="695A6413"/>
    <w:rsid w:val="695A67BE"/>
    <w:rsid w:val="695C01F2"/>
    <w:rsid w:val="695D102C"/>
    <w:rsid w:val="695DF1FA"/>
    <w:rsid w:val="695FCE4B"/>
    <w:rsid w:val="6960AF4F"/>
    <w:rsid w:val="69615438"/>
    <w:rsid w:val="6962B6B6"/>
    <w:rsid w:val="69687C7E"/>
    <w:rsid w:val="6968A0F7"/>
    <w:rsid w:val="69692840"/>
    <w:rsid w:val="69697A94"/>
    <w:rsid w:val="696C9F44"/>
    <w:rsid w:val="696D143A"/>
    <w:rsid w:val="69701911"/>
    <w:rsid w:val="6973651E"/>
    <w:rsid w:val="69736B05"/>
    <w:rsid w:val="6973A8C2"/>
    <w:rsid w:val="6973CF55"/>
    <w:rsid w:val="6974782F"/>
    <w:rsid w:val="697514C9"/>
    <w:rsid w:val="69784E62"/>
    <w:rsid w:val="697899FE"/>
    <w:rsid w:val="6978BAAA"/>
    <w:rsid w:val="6979105B"/>
    <w:rsid w:val="697A2B5B"/>
    <w:rsid w:val="697A4058"/>
    <w:rsid w:val="697AD7C5"/>
    <w:rsid w:val="697AE005"/>
    <w:rsid w:val="697CC5B6"/>
    <w:rsid w:val="697F26A1"/>
    <w:rsid w:val="698128CD"/>
    <w:rsid w:val="69818C70"/>
    <w:rsid w:val="69823ADD"/>
    <w:rsid w:val="6982E472"/>
    <w:rsid w:val="6986A1B5"/>
    <w:rsid w:val="6987CF35"/>
    <w:rsid w:val="69882493"/>
    <w:rsid w:val="698BE1A9"/>
    <w:rsid w:val="69920F9F"/>
    <w:rsid w:val="6993C66D"/>
    <w:rsid w:val="69955FEF"/>
    <w:rsid w:val="69959C5F"/>
    <w:rsid w:val="6997B122"/>
    <w:rsid w:val="6998EF5E"/>
    <w:rsid w:val="6998F702"/>
    <w:rsid w:val="699918C1"/>
    <w:rsid w:val="699A777B"/>
    <w:rsid w:val="699C4BDB"/>
    <w:rsid w:val="699D032E"/>
    <w:rsid w:val="699D0DCD"/>
    <w:rsid w:val="699D6AED"/>
    <w:rsid w:val="69A03548"/>
    <w:rsid w:val="69A090ED"/>
    <w:rsid w:val="69A0EC0F"/>
    <w:rsid w:val="69A14BA3"/>
    <w:rsid w:val="69A1844C"/>
    <w:rsid w:val="69A4A852"/>
    <w:rsid w:val="69A4EE39"/>
    <w:rsid w:val="69A5AA18"/>
    <w:rsid w:val="69A6E153"/>
    <w:rsid w:val="69A74902"/>
    <w:rsid w:val="69A780F6"/>
    <w:rsid w:val="69A83F43"/>
    <w:rsid w:val="69A90BA2"/>
    <w:rsid w:val="69AB3723"/>
    <w:rsid w:val="69ABE4DF"/>
    <w:rsid w:val="69AC04FE"/>
    <w:rsid w:val="69ACD3BE"/>
    <w:rsid w:val="69ADE5F9"/>
    <w:rsid w:val="69AF589B"/>
    <w:rsid w:val="69AF5F33"/>
    <w:rsid w:val="69B026F8"/>
    <w:rsid w:val="69B1648C"/>
    <w:rsid w:val="69B32141"/>
    <w:rsid w:val="69B4700F"/>
    <w:rsid w:val="69B77DBF"/>
    <w:rsid w:val="69B8F412"/>
    <w:rsid w:val="69B8F478"/>
    <w:rsid w:val="69BAF790"/>
    <w:rsid w:val="69BBBC9C"/>
    <w:rsid w:val="69BEBF8A"/>
    <w:rsid w:val="69C510B8"/>
    <w:rsid w:val="69C836F9"/>
    <w:rsid w:val="69CD95B2"/>
    <w:rsid w:val="69CDE8D1"/>
    <w:rsid w:val="69CF6BC0"/>
    <w:rsid w:val="69D1A90A"/>
    <w:rsid w:val="69D3FFD1"/>
    <w:rsid w:val="69D47CF8"/>
    <w:rsid w:val="69D63635"/>
    <w:rsid w:val="69D8F701"/>
    <w:rsid w:val="69DA2D4D"/>
    <w:rsid w:val="69DEA977"/>
    <w:rsid w:val="69E07CBA"/>
    <w:rsid w:val="69E0D762"/>
    <w:rsid w:val="69E156EE"/>
    <w:rsid w:val="69E36DE6"/>
    <w:rsid w:val="69E414F1"/>
    <w:rsid w:val="69E419A2"/>
    <w:rsid w:val="69E50786"/>
    <w:rsid w:val="69EA24A9"/>
    <w:rsid w:val="69EABA5D"/>
    <w:rsid w:val="69EAFC78"/>
    <w:rsid w:val="69ED8852"/>
    <w:rsid w:val="69EF709A"/>
    <w:rsid w:val="69F4270A"/>
    <w:rsid w:val="69F78A1A"/>
    <w:rsid w:val="69F90EBA"/>
    <w:rsid w:val="69FB24E5"/>
    <w:rsid w:val="69FCF477"/>
    <w:rsid w:val="69FE3CA5"/>
    <w:rsid w:val="69FE5633"/>
    <w:rsid w:val="69FF52B8"/>
    <w:rsid w:val="6A019C2A"/>
    <w:rsid w:val="6A01B7CA"/>
    <w:rsid w:val="6A04D7DF"/>
    <w:rsid w:val="6A06A38B"/>
    <w:rsid w:val="6A08DEAF"/>
    <w:rsid w:val="6A0D46E2"/>
    <w:rsid w:val="6A1159AF"/>
    <w:rsid w:val="6A1263A9"/>
    <w:rsid w:val="6A13A45B"/>
    <w:rsid w:val="6A14C1F6"/>
    <w:rsid w:val="6A207804"/>
    <w:rsid w:val="6A21035E"/>
    <w:rsid w:val="6A24265B"/>
    <w:rsid w:val="6A25815D"/>
    <w:rsid w:val="6A2739C3"/>
    <w:rsid w:val="6A29A884"/>
    <w:rsid w:val="6A2BE721"/>
    <w:rsid w:val="6A2D8B4C"/>
    <w:rsid w:val="6A2F61A4"/>
    <w:rsid w:val="6A36909A"/>
    <w:rsid w:val="6A36EA80"/>
    <w:rsid w:val="6A3731F6"/>
    <w:rsid w:val="6A3929C3"/>
    <w:rsid w:val="6A39F891"/>
    <w:rsid w:val="6A3B68A8"/>
    <w:rsid w:val="6A3DEDA7"/>
    <w:rsid w:val="6A3E7113"/>
    <w:rsid w:val="6A3F2541"/>
    <w:rsid w:val="6A41231A"/>
    <w:rsid w:val="6A43F83B"/>
    <w:rsid w:val="6A441298"/>
    <w:rsid w:val="6A46842B"/>
    <w:rsid w:val="6A497358"/>
    <w:rsid w:val="6A4AFF65"/>
    <w:rsid w:val="6A4F597A"/>
    <w:rsid w:val="6A515F68"/>
    <w:rsid w:val="6A516C81"/>
    <w:rsid w:val="6A51BB4F"/>
    <w:rsid w:val="6A55F5FF"/>
    <w:rsid w:val="6A56A5A3"/>
    <w:rsid w:val="6A574AE5"/>
    <w:rsid w:val="6A57B593"/>
    <w:rsid w:val="6A58E38D"/>
    <w:rsid w:val="6A5B53EB"/>
    <w:rsid w:val="6A5B5415"/>
    <w:rsid w:val="6A5E4A83"/>
    <w:rsid w:val="6A60CCA6"/>
    <w:rsid w:val="6A61FD25"/>
    <w:rsid w:val="6A62C735"/>
    <w:rsid w:val="6A6414AD"/>
    <w:rsid w:val="6A660D26"/>
    <w:rsid w:val="6A67D433"/>
    <w:rsid w:val="6A6890E9"/>
    <w:rsid w:val="6A68D73A"/>
    <w:rsid w:val="6A6BCBA6"/>
    <w:rsid w:val="6A6E1138"/>
    <w:rsid w:val="6A6F3688"/>
    <w:rsid w:val="6A706B1F"/>
    <w:rsid w:val="6A72C2A2"/>
    <w:rsid w:val="6A72F673"/>
    <w:rsid w:val="6A796968"/>
    <w:rsid w:val="6A7A896D"/>
    <w:rsid w:val="6A7AA218"/>
    <w:rsid w:val="6A7F9C3C"/>
    <w:rsid w:val="6A7FCC75"/>
    <w:rsid w:val="6A8166D2"/>
    <w:rsid w:val="6A81E5FA"/>
    <w:rsid w:val="6A851B63"/>
    <w:rsid w:val="6A86AAB7"/>
    <w:rsid w:val="6A895711"/>
    <w:rsid w:val="6A8F0C1B"/>
    <w:rsid w:val="6A900B17"/>
    <w:rsid w:val="6A9173FF"/>
    <w:rsid w:val="6A93E3EE"/>
    <w:rsid w:val="6A9533E2"/>
    <w:rsid w:val="6A953B64"/>
    <w:rsid w:val="6A964EC5"/>
    <w:rsid w:val="6A981E78"/>
    <w:rsid w:val="6A98CD57"/>
    <w:rsid w:val="6A9AEB91"/>
    <w:rsid w:val="6AA0148A"/>
    <w:rsid w:val="6AA0A803"/>
    <w:rsid w:val="6AA359E8"/>
    <w:rsid w:val="6AA3B8D7"/>
    <w:rsid w:val="6AA46490"/>
    <w:rsid w:val="6AA92E17"/>
    <w:rsid w:val="6AABBD80"/>
    <w:rsid w:val="6AB247B8"/>
    <w:rsid w:val="6AB2A85A"/>
    <w:rsid w:val="6AB318BD"/>
    <w:rsid w:val="6AB567EF"/>
    <w:rsid w:val="6AB59DD2"/>
    <w:rsid w:val="6AB720C5"/>
    <w:rsid w:val="6AB7D8BD"/>
    <w:rsid w:val="6ABA070B"/>
    <w:rsid w:val="6ABBAFC3"/>
    <w:rsid w:val="6ABBE282"/>
    <w:rsid w:val="6ABD3DCF"/>
    <w:rsid w:val="6ABD91D2"/>
    <w:rsid w:val="6ABEB9AE"/>
    <w:rsid w:val="6ABFBE1D"/>
    <w:rsid w:val="6AC16EDE"/>
    <w:rsid w:val="6AC1EE33"/>
    <w:rsid w:val="6AC1F9B1"/>
    <w:rsid w:val="6AC21D52"/>
    <w:rsid w:val="6AC257E2"/>
    <w:rsid w:val="6AC35407"/>
    <w:rsid w:val="6AC361E4"/>
    <w:rsid w:val="6AC40BEB"/>
    <w:rsid w:val="6AC7F563"/>
    <w:rsid w:val="6ACBD6D8"/>
    <w:rsid w:val="6ACC2E62"/>
    <w:rsid w:val="6ACC41A7"/>
    <w:rsid w:val="6ACCA866"/>
    <w:rsid w:val="6ACED114"/>
    <w:rsid w:val="6ACFB48A"/>
    <w:rsid w:val="6AD02FB1"/>
    <w:rsid w:val="6AD0D417"/>
    <w:rsid w:val="6AD103CE"/>
    <w:rsid w:val="6AD183B7"/>
    <w:rsid w:val="6AD52625"/>
    <w:rsid w:val="6AD59C2E"/>
    <w:rsid w:val="6AD5DD09"/>
    <w:rsid w:val="6ADB9B01"/>
    <w:rsid w:val="6ADD3E8B"/>
    <w:rsid w:val="6AE08A02"/>
    <w:rsid w:val="6AE15364"/>
    <w:rsid w:val="6AE46F4C"/>
    <w:rsid w:val="6AE7B83B"/>
    <w:rsid w:val="6AE843C9"/>
    <w:rsid w:val="6AE8DF10"/>
    <w:rsid w:val="6AEA46DD"/>
    <w:rsid w:val="6AEEC2F8"/>
    <w:rsid w:val="6AEF3981"/>
    <w:rsid w:val="6AEFF5F5"/>
    <w:rsid w:val="6AF049F6"/>
    <w:rsid w:val="6AF3DFED"/>
    <w:rsid w:val="6AF3E34F"/>
    <w:rsid w:val="6AF3FF30"/>
    <w:rsid w:val="6AF4F273"/>
    <w:rsid w:val="6AF51ABB"/>
    <w:rsid w:val="6AF52644"/>
    <w:rsid w:val="6AF8037C"/>
    <w:rsid w:val="6AFA98C1"/>
    <w:rsid w:val="6AFAD44A"/>
    <w:rsid w:val="6AFBB688"/>
    <w:rsid w:val="6AFBBF34"/>
    <w:rsid w:val="6AFBF6DE"/>
    <w:rsid w:val="6B009531"/>
    <w:rsid w:val="6B010CBE"/>
    <w:rsid w:val="6B070118"/>
    <w:rsid w:val="6B07AF46"/>
    <w:rsid w:val="6B085276"/>
    <w:rsid w:val="6B0A3201"/>
    <w:rsid w:val="6B0B5531"/>
    <w:rsid w:val="6B0D5EE7"/>
    <w:rsid w:val="6B0F1324"/>
    <w:rsid w:val="6B1533E4"/>
    <w:rsid w:val="6B1698A2"/>
    <w:rsid w:val="6B1A665B"/>
    <w:rsid w:val="6B1CC160"/>
    <w:rsid w:val="6B1DE617"/>
    <w:rsid w:val="6B1E0A99"/>
    <w:rsid w:val="6B202F81"/>
    <w:rsid w:val="6B212215"/>
    <w:rsid w:val="6B220C67"/>
    <w:rsid w:val="6B278958"/>
    <w:rsid w:val="6B2A7419"/>
    <w:rsid w:val="6B2C57B4"/>
    <w:rsid w:val="6B2CBBF7"/>
    <w:rsid w:val="6B3197B1"/>
    <w:rsid w:val="6B32553E"/>
    <w:rsid w:val="6B355BC0"/>
    <w:rsid w:val="6B356211"/>
    <w:rsid w:val="6B37D193"/>
    <w:rsid w:val="6B39D1F9"/>
    <w:rsid w:val="6B3D82DC"/>
    <w:rsid w:val="6B3E3F53"/>
    <w:rsid w:val="6B3E7BED"/>
    <w:rsid w:val="6B3F9271"/>
    <w:rsid w:val="6B4004A4"/>
    <w:rsid w:val="6B4017E6"/>
    <w:rsid w:val="6B40322B"/>
    <w:rsid w:val="6B40C933"/>
    <w:rsid w:val="6B470FDC"/>
    <w:rsid w:val="6B4946A5"/>
    <w:rsid w:val="6B4A09C7"/>
    <w:rsid w:val="6B4A70D9"/>
    <w:rsid w:val="6B4EC28A"/>
    <w:rsid w:val="6B4ED0E1"/>
    <w:rsid w:val="6B4F818B"/>
    <w:rsid w:val="6B508997"/>
    <w:rsid w:val="6B50D9D5"/>
    <w:rsid w:val="6B55B56B"/>
    <w:rsid w:val="6B56BF75"/>
    <w:rsid w:val="6B5730C3"/>
    <w:rsid w:val="6B596CBE"/>
    <w:rsid w:val="6B5A9498"/>
    <w:rsid w:val="6B5B7B62"/>
    <w:rsid w:val="6B5DC508"/>
    <w:rsid w:val="6B65C30D"/>
    <w:rsid w:val="6B667E59"/>
    <w:rsid w:val="6B6682A8"/>
    <w:rsid w:val="6B66BC39"/>
    <w:rsid w:val="6B67FF3A"/>
    <w:rsid w:val="6B6B83F4"/>
    <w:rsid w:val="6B6C851A"/>
    <w:rsid w:val="6B6D7C2B"/>
    <w:rsid w:val="6B6E6024"/>
    <w:rsid w:val="6B6EDEFA"/>
    <w:rsid w:val="6B700D27"/>
    <w:rsid w:val="6B71D20B"/>
    <w:rsid w:val="6B734AEB"/>
    <w:rsid w:val="6B739E09"/>
    <w:rsid w:val="6B74D65B"/>
    <w:rsid w:val="6B75357C"/>
    <w:rsid w:val="6B76A353"/>
    <w:rsid w:val="6B78B5E9"/>
    <w:rsid w:val="6B7AEC03"/>
    <w:rsid w:val="6B7B9380"/>
    <w:rsid w:val="6B7CEBC2"/>
    <w:rsid w:val="6B7E1CB9"/>
    <w:rsid w:val="6B7FB2FB"/>
    <w:rsid w:val="6B809910"/>
    <w:rsid w:val="6B847630"/>
    <w:rsid w:val="6B848AC4"/>
    <w:rsid w:val="6B870C3A"/>
    <w:rsid w:val="6B8794ED"/>
    <w:rsid w:val="6B89C56D"/>
    <w:rsid w:val="6B8A809A"/>
    <w:rsid w:val="6B8B7C25"/>
    <w:rsid w:val="6B8BFD2C"/>
    <w:rsid w:val="6B8F0505"/>
    <w:rsid w:val="6B91E343"/>
    <w:rsid w:val="6B95B87E"/>
    <w:rsid w:val="6B973B89"/>
    <w:rsid w:val="6B97A961"/>
    <w:rsid w:val="6B9FBD1C"/>
    <w:rsid w:val="6BA13079"/>
    <w:rsid w:val="6BA1F5EE"/>
    <w:rsid w:val="6BA40042"/>
    <w:rsid w:val="6BA41B68"/>
    <w:rsid w:val="6BA53D7B"/>
    <w:rsid w:val="6BA54441"/>
    <w:rsid w:val="6BA7F3B3"/>
    <w:rsid w:val="6BA8044C"/>
    <w:rsid w:val="6BA838DF"/>
    <w:rsid w:val="6BAB5041"/>
    <w:rsid w:val="6BAC18E8"/>
    <w:rsid w:val="6BAEBBDB"/>
    <w:rsid w:val="6BAED692"/>
    <w:rsid w:val="6BAFF7FD"/>
    <w:rsid w:val="6BB2CCA1"/>
    <w:rsid w:val="6BB345C3"/>
    <w:rsid w:val="6BB540A6"/>
    <w:rsid w:val="6BB62B3B"/>
    <w:rsid w:val="6BB8C8C5"/>
    <w:rsid w:val="6BB92853"/>
    <w:rsid w:val="6BBA3407"/>
    <w:rsid w:val="6BBF1149"/>
    <w:rsid w:val="6BC1D9E4"/>
    <w:rsid w:val="6BC552D5"/>
    <w:rsid w:val="6BC63C80"/>
    <w:rsid w:val="6BC6B981"/>
    <w:rsid w:val="6BCA72F3"/>
    <w:rsid w:val="6BCDE377"/>
    <w:rsid w:val="6BCE191A"/>
    <w:rsid w:val="6BCFEEE7"/>
    <w:rsid w:val="6BD000A7"/>
    <w:rsid w:val="6BD350EE"/>
    <w:rsid w:val="6BD5ABC3"/>
    <w:rsid w:val="6BD5B69A"/>
    <w:rsid w:val="6BD6BB18"/>
    <w:rsid w:val="6BD7DBD9"/>
    <w:rsid w:val="6BDC44BB"/>
    <w:rsid w:val="6BDF3A86"/>
    <w:rsid w:val="6BE0317C"/>
    <w:rsid w:val="6BE03513"/>
    <w:rsid w:val="6BE0DCA8"/>
    <w:rsid w:val="6BE3A1BC"/>
    <w:rsid w:val="6BE3C37B"/>
    <w:rsid w:val="6BE4A0BA"/>
    <w:rsid w:val="6BE5E489"/>
    <w:rsid w:val="6BE5F79A"/>
    <w:rsid w:val="6BE8AAD0"/>
    <w:rsid w:val="6BEBBAE6"/>
    <w:rsid w:val="6BED0744"/>
    <w:rsid w:val="6BED75A9"/>
    <w:rsid w:val="6BEF2CF8"/>
    <w:rsid w:val="6BF33A5E"/>
    <w:rsid w:val="6BF41109"/>
    <w:rsid w:val="6BF6B8F7"/>
    <w:rsid w:val="6BF7A480"/>
    <w:rsid w:val="6BF7C3E6"/>
    <w:rsid w:val="6BF84CDB"/>
    <w:rsid w:val="6BFA7EE9"/>
    <w:rsid w:val="6BFB01EA"/>
    <w:rsid w:val="6BFD5746"/>
    <w:rsid w:val="6BFDFC96"/>
    <w:rsid w:val="6C00BC3E"/>
    <w:rsid w:val="6C04C974"/>
    <w:rsid w:val="6C0B9B98"/>
    <w:rsid w:val="6C0BEEF1"/>
    <w:rsid w:val="6C0E53E6"/>
    <w:rsid w:val="6C0E60F0"/>
    <w:rsid w:val="6C11BEB0"/>
    <w:rsid w:val="6C1350B4"/>
    <w:rsid w:val="6C13DDE8"/>
    <w:rsid w:val="6C1582D7"/>
    <w:rsid w:val="6C16980D"/>
    <w:rsid w:val="6C180341"/>
    <w:rsid w:val="6C1D560D"/>
    <w:rsid w:val="6C1E1EFD"/>
    <w:rsid w:val="6C202D4B"/>
    <w:rsid w:val="6C21148E"/>
    <w:rsid w:val="6C22B630"/>
    <w:rsid w:val="6C239B06"/>
    <w:rsid w:val="6C252601"/>
    <w:rsid w:val="6C26D26E"/>
    <w:rsid w:val="6C27B578"/>
    <w:rsid w:val="6C284B62"/>
    <w:rsid w:val="6C285401"/>
    <w:rsid w:val="6C2AF8A6"/>
    <w:rsid w:val="6C2DD007"/>
    <w:rsid w:val="6C2F7E65"/>
    <w:rsid w:val="6C312152"/>
    <w:rsid w:val="6C338CA4"/>
    <w:rsid w:val="6C33CD52"/>
    <w:rsid w:val="6C343507"/>
    <w:rsid w:val="6C34EC24"/>
    <w:rsid w:val="6C35394D"/>
    <w:rsid w:val="6C35809E"/>
    <w:rsid w:val="6C35E4B0"/>
    <w:rsid w:val="6C35F61C"/>
    <w:rsid w:val="6C3700CB"/>
    <w:rsid w:val="6C3737EC"/>
    <w:rsid w:val="6C385C02"/>
    <w:rsid w:val="6C3B23D1"/>
    <w:rsid w:val="6C3BCE3D"/>
    <w:rsid w:val="6C3EE877"/>
    <w:rsid w:val="6C3F2005"/>
    <w:rsid w:val="6C4169F5"/>
    <w:rsid w:val="6C42F88F"/>
    <w:rsid w:val="6C43340D"/>
    <w:rsid w:val="6C43BD0A"/>
    <w:rsid w:val="6C43DA30"/>
    <w:rsid w:val="6C469BA4"/>
    <w:rsid w:val="6C4A412C"/>
    <w:rsid w:val="6C4B281A"/>
    <w:rsid w:val="6C4CDA7E"/>
    <w:rsid w:val="6C4D3386"/>
    <w:rsid w:val="6C4EF431"/>
    <w:rsid w:val="6C4F11BD"/>
    <w:rsid w:val="6C518A32"/>
    <w:rsid w:val="6C52076C"/>
    <w:rsid w:val="6C53B23F"/>
    <w:rsid w:val="6C556927"/>
    <w:rsid w:val="6C5587CD"/>
    <w:rsid w:val="6C55F08E"/>
    <w:rsid w:val="6C5614CE"/>
    <w:rsid w:val="6C56E058"/>
    <w:rsid w:val="6C58039C"/>
    <w:rsid w:val="6C58C84F"/>
    <w:rsid w:val="6C5AD4E5"/>
    <w:rsid w:val="6C5C0CEE"/>
    <w:rsid w:val="6C5E3D5E"/>
    <w:rsid w:val="6C5EE76F"/>
    <w:rsid w:val="6C5F1095"/>
    <w:rsid w:val="6C679C43"/>
    <w:rsid w:val="6C692AAB"/>
    <w:rsid w:val="6C6984D4"/>
    <w:rsid w:val="6C6984D6"/>
    <w:rsid w:val="6C6C420A"/>
    <w:rsid w:val="6C6C6B38"/>
    <w:rsid w:val="6C6CA6E6"/>
    <w:rsid w:val="6C6DA9BC"/>
    <w:rsid w:val="6C6F936D"/>
    <w:rsid w:val="6C747951"/>
    <w:rsid w:val="6C761C87"/>
    <w:rsid w:val="6C766E7D"/>
    <w:rsid w:val="6C7BDEC9"/>
    <w:rsid w:val="6C7C0BDA"/>
    <w:rsid w:val="6C7C347E"/>
    <w:rsid w:val="6C7D6846"/>
    <w:rsid w:val="6C7FCE8C"/>
    <w:rsid w:val="6C802F0D"/>
    <w:rsid w:val="6C829CBA"/>
    <w:rsid w:val="6C83F0F6"/>
    <w:rsid w:val="6C842E6F"/>
    <w:rsid w:val="6C847CC2"/>
    <w:rsid w:val="6C86CE52"/>
    <w:rsid w:val="6C872FD0"/>
    <w:rsid w:val="6C8F8E43"/>
    <w:rsid w:val="6C91B481"/>
    <w:rsid w:val="6C91D827"/>
    <w:rsid w:val="6C9303D0"/>
    <w:rsid w:val="6C944C27"/>
    <w:rsid w:val="6C95F167"/>
    <w:rsid w:val="6C97F93B"/>
    <w:rsid w:val="6C9B6D51"/>
    <w:rsid w:val="6C9D796B"/>
    <w:rsid w:val="6CA09D38"/>
    <w:rsid w:val="6CA4F706"/>
    <w:rsid w:val="6CA65214"/>
    <w:rsid w:val="6CA6B1B9"/>
    <w:rsid w:val="6CA824C6"/>
    <w:rsid w:val="6CAA0D6F"/>
    <w:rsid w:val="6CAA45C2"/>
    <w:rsid w:val="6CAB0735"/>
    <w:rsid w:val="6CABA41C"/>
    <w:rsid w:val="6CB10AC3"/>
    <w:rsid w:val="6CB240DA"/>
    <w:rsid w:val="6CB4AF89"/>
    <w:rsid w:val="6CB876FA"/>
    <w:rsid w:val="6CB94963"/>
    <w:rsid w:val="6CB99FAE"/>
    <w:rsid w:val="6CBD316F"/>
    <w:rsid w:val="6CBE4D7E"/>
    <w:rsid w:val="6CBFE492"/>
    <w:rsid w:val="6CC0805E"/>
    <w:rsid w:val="6CC4147B"/>
    <w:rsid w:val="6CC68441"/>
    <w:rsid w:val="6CC75BC4"/>
    <w:rsid w:val="6CC85FE1"/>
    <w:rsid w:val="6CC95974"/>
    <w:rsid w:val="6CC9A1EF"/>
    <w:rsid w:val="6CCDCA73"/>
    <w:rsid w:val="6CCEEAAD"/>
    <w:rsid w:val="6CCFD746"/>
    <w:rsid w:val="6CD0F735"/>
    <w:rsid w:val="6CD1CE2A"/>
    <w:rsid w:val="6CD28EE9"/>
    <w:rsid w:val="6CD5D1A7"/>
    <w:rsid w:val="6CD8EA3F"/>
    <w:rsid w:val="6CDA8E4E"/>
    <w:rsid w:val="6CDAFC41"/>
    <w:rsid w:val="6CDC1D18"/>
    <w:rsid w:val="6CDD3B68"/>
    <w:rsid w:val="6CDEDA35"/>
    <w:rsid w:val="6CDF01DD"/>
    <w:rsid w:val="6CE0246E"/>
    <w:rsid w:val="6CE3E997"/>
    <w:rsid w:val="6CE5FBE1"/>
    <w:rsid w:val="6CE63E5D"/>
    <w:rsid w:val="6CE6B024"/>
    <w:rsid w:val="6CEB8E7C"/>
    <w:rsid w:val="6CEB91C9"/>
    <w:rsid w:val="6CEE95BD"/>
    <w:rsid w:val="6CF2D3E1"/>
    <w:rsid w:val="6CF4F30E"/>
    <w:rsid w:val="6CF55012"/>
    <w:rsid w:val="6CF7AF4B"/>
    <w:rsid w:val="6CF82E71"/>
    <w:rsid w:val="6CF99AB4"/>
    <w:rsid w:val="6CFA0393"/>
    <w:rsid w:val="6CFD1AAB"/>
    <w:rsid w:val="6CFD2B65"/>
    <w:rsid w:val="6CFF4ECF"/>
    <w:rsid w:val="6D05C2CC"/>
    <w:rsid w:val="6D075D83"/>
    <w:rsid w:val="6D08B24B"/>
    <w:rsid w:val="6D0B4285"/>
    <w:rsid w:val="6D0CE2BD"/>
    <w:rsid w:val="6D0D2AB9"/>
    <w:rsid w:val="6D0FF3BC"/>
    <w:rsid w:val="6D111262"/>
    <w:rsid w:val="6D117887"/>
    <w:rsid w:val="6D142BD5"/>
    <w:rsid w:val="6D158021"/>
    <w:rsid w:val="6D176EBE"/>
    <w:rsid w:val="6D19EC45"/>
    <w:rsid w:val="6D1DF759"/>
    <w:rsid w:val="6D21266F"/>
    <w:rsid w:val="6D22C3A3"/>
    <w:rsid w:val="6D233DED"/>
    <w:rsid w:val="6D2496AC"/>
    <w:rsid w:val="6D263E93"/>
    <w:rsid w:val="6D273674"/>
    <w:rsid w:val="6D2777A2"/>
    <w:rsid w:val="6D280EEF"/>
    <w:rsid w:val="6D28721B"/>
    <w:rsid w:val="6D2BB067"/>
    <w:rsid w:val="6D2CBD76"/>
    <w:rsid w:val="6D2DBA54"/>
    <w:rsid w:val="6D2DE85F"/>
    <w:rsid w:val="6D2FA5DF"/>
    <w:rsid w:val="6D30E8FD"/>
    <w:rsid w:val="6D318078"/>
    <w:rsid w:val="6D328B48"/>
    <w:rsid w:val="6D343938"/>
    <w:rsid w:val="6D34B983"/>
    <w:rsid w:val="6D37CD15"/>
    <w:rsid w:val="6D39660C"/>
    <w:rsid w:val="6D3C5DF2"/>
    <w:rsid w:val="6D465276"/>
    <w:rsid w:val="6D4AA8FA"/>
    <w:rsid w:val="6D4B7686"/>
    <w:rsid w:val="6D4CA142"/>
    <w:rsid w:val="6D4F067E"/>
    <w:rsid w:val="6D50B5FD"/>
    <w:rsid w:val="6D5191C6"/>
    <w:rsid w:val="6D51C2E6"/>
    <w:rsid w:val="6D524FF5"/>
    <w:rsid w:val="6D543AFB"/>
    <w:rsid w:val="6D5456BC"/>
    <w:rsid w:val="6D5CA5D9"/>
    <w:rsid w:val="6D6010F1"/>
    <w:rsid w:val="6D61742F"/>
    <w:rsid w:val="6D621BB1"/>
    <w:rsid w:val="6D6238C7"/>
    <w:rsid w:val="6D63A17E"/>
    <w:rsid w:val="6D64B2A7"/>
    <w:rsid w:val="6D683BE8"/>
    <w:rsid w:val="6D68E235"/>
    <w:rsid w:val="6D6A9034"/>
    <w:rsid w:val="6D6C6A6F"/>
    <w:rsid w:val="6D6D950B"/>
    <w:rsid w:val="6D6E4AEA"/>
    <w:rsid w:val="6D72AC1F"/>
    <w:rsid w:val="6D72EBE5"/>
    <w:rsid w:val="6D7325CE"/>
    <w:rsid w:val="6D7459B6"/>
    <w:rsid w:val="6D75C8D7"/>
    <w:rsid w:val="6D7784DE"/>
    <w:rsid w:val="6D78EBBD"/>
    <w:rsid w:val="6D7D13E9"/>
    <w:rsid w:val="6D7F95B6"/>
    <w:rsid w:val="6D80C678"/>
    <w:rsid w:val="6D83940C"/>
    <w:rsid w:val="6D8450CF"/>
    <w:rsid w:val="6D8999BB"/>
    <w:rsid w:val="6D8CF182"/>
    <w:rsid w:val="6D8F4F8D"/>
    <w:rsid w:val="6D8F809A"/>
    <w:rsid w:val="6D91686E"/>
    <w:rsid w:val="6D91A7E9"/>
    <w:rsid w:val="6D9574BE"/>
    <w:rsid w:val="6D9B3B52"/>
    <w:rsid w:val="6D9DDD66"/>
    <w:rsid w:val="6D9FA022"/>
    <w:rsid w:val="6DA0FB42"/>
    <w:rsid w:val="6DA372D6"/>
    <w:rsid w:val="6DA43634"/>
    <w:rsid w:val="6DA5463F"/>
    <w:rsid w:val="6DA750C0"/>
    <w:rsid w:val="6DA8A28B"/>
    <w:rsid w:val="6DA97563"/>
    <w:rsid w:val="6DA9FD51"/>
    <w:rsid w:val="6DAA6929"/>
    <w:rsid w:val="6DAC43BC"/>
    <w:rsid w:val="6DACD87C"/>
    <w:rsid w:val="6DAED8E5"/>
    <w:rsid w:val="6DAF8CF1"/>
    <w:rsid w:val="6DB46379"/>
    <w:rsid w:val="6DB5010E"/>
    <w:rsid w:val="6DB6E21F"/>
    <w:rsid w:val="6DB7DC7A"/>
    <w:rsid w:val="6DB7F78F"/>
    <w:rsid w:val="6DB8A689"/>
    <w:rsid w:val="6DBB9AF7"/>
    <w:rsid w:val="6DBDF774"/>
    <w:rsid w:val="6DBE4C6A"/>
    <w:rsid w:val="6DBEEA23"/>
    <w:rsid w:val="6DBF82ED"/>
    <w:rsid w:val="6DC017C8"/>
    <w:rsid w:val="6DC0FB1E"/>
    <w:rsid w:val="6DC31829"/>
    <w:rsid w:val="6DC51EAA"/>
    <w:rsid w:val="6DC5C808"/>
    <w:rsid w:val="6DC6350C"/>
    <w:rsid w:val="6DC82FA8"/>
    <w:rsid w:val="6DC8BAC7"/>
    <w:rsid w:val="6DC96734"/>
    <w:rsid w:val="6DC9C2C8"/>
    <w:rsid w:val="6DCC9493"/>
    <w:rsid w:val="6DCE141B"/>
    <w:rsid w:val="6DCE6473"/>
    <w:rsid w:val="6DCFAE5D"/>
    <w:rsid w:val="6DD23E40"/>
    <w:rsid w:val="6DD44017"/>
    <w:rsid w:val="6DD5C1A6"/>
    <w:rsid w:val="6DD82BB4"/>
    <w:rsid w:val="6DD879B7"/>
    <w:rsid w:val="6DD88E82"/>
    <w:rsid w:val="6DDA81F7"/>
    <w:rsid w:val="6DDD0EB2"/>
    <w:rsid w:val="6DDE7CB9"/>
    <w:rsid w:val="6DDFC78D"/>
    <w:rsid w:val="6DDFDEC1"/>
    <w:rsid w:val="6DE30D4B"/>
    <w:rsid w:val="6DE5294E"/>
    <w:rsid w:val="6DE52ACD"/>
    <w:rsid w:val="6DE5311E"/>
    <w:rsid w:val="6DE5BBB7"/>
    <w:rsid w:val="6DE5EE1E"/>
    <w:rsid w:val="6DE646A9"/>
    <w:rsid w:val="6DE7ADC8"/>
    <w:rsid w:val="6DE7FB1D"/>
    <w:rsid w:val="6DEAB99F"/>
    <w:rsid w:val="6DEC7C59"/>
    <w:rsid w:val="6DEE51A1"/>
    <w:rsid w:val="6DF12A51"/>
    <w:rsid w:val="6DF1A028"/>
    <w:rsid w:val="6DF4A2D5"/>
    <w:rsid w:val="6DF713DF"/>
    <w:rsid w:val="6DF8FE51"/>
    <w:rsid w:val="6DFA7497"/>
    <w:rsid w:val="6DFB50D1"/>
    <w:rsid w:val="6DFF83AA"/>
    <w:rsid w:val="6E028A03"/>
    <w:rsid w:val="6E03FD41"/>
    <w:rsid w:val="6E07C7DA"/>
    <w:rsid w:val="6E0930EC"/>
    <w:rsid w:val="6E09B96B"/>
    <w:rsid w:val="6E0B2093"/>
    <w:rsid w:val="6E0C6B80"/>
    <w:rsid w:val="6E0E15AA"/>
    <w:rsid w:val="6E12F867"/>
    <w:rsid w:val="6E13A2B6"/>
    <w:rsid w:val="6E1456D6"/>
    <w:rsid w:val="6E173996"/>
    <w:rsid w:val="6E174A75"/>
    <w:rsid w:val="6E17747B"/>
    <w:rsid w:val="6E19C653"/>
    <w:rsid w:val="6E1B4907"/>
    <w:rsid w:val="6E1E1B6D"/>
    <w:rsid w:val="6E21472B"/>
    <w:rsid w:val="6E2347F3"/>
    <w:rsid w:val="6E24E7E3"/>
    <w:rsid w:val="6E27FEBF"/>
    <w:rsid w:val="6E29B7FD"/>
    <w:rsid w:val="6E2E5D1F"/>
    <w:rsid w:val="6E2E5F12"/>
    <w:rsid w:val="6E304732"/>
    <w:rsid w:val="6E317CD7"/>
    <w:rsid w:val="6E31B4E4"/>
    <w:rsid w:val="6E31C9EC"/>
    <w:rsid w:val="6E32A576"/>
    <w:rsid w:val="6E334067"/>
    <w:rsid w:val="6E33682E"/>
    <w:rsid w:val="6E345D60"/>
    <w:rsid w:val="6E3781F2"/>
    <w:rsid w:val="6E37E404"/>
    <w:rsid w:val="6E390C70"/>
    <w:rsid w:val="6E3A1CBF"/>
    <w:rsid w:val="6E3CCB46"/>
    <w:rsid w:val="6E3D83FF"/>
    <w:rsid w:val="6E402256"/>
    <w:rsid w:val="6E40337F"/>
    <w:rsid w:val="6E41AAFD"/>
    <w:rsid w:val="6E4479E1"/>
    <w:rsid w:val="6E45FF56"/>
    <w:rsid w:val="6E4720A8"/>
    <w:rsid w:val="6E48BEEE"/>
    <w:rsid w:val="6E4D250C"/>
    <w:rsid w:val="6E4FE0B6"/>
    <w:rsid w:val="6E504A83"/>
    <w:rsid w:val="6E5132F0"/>
    <w:rsid w:val="6E51AEF2"/>
    <w:rsid w:val="6E54DD06"/>
    <w:rsid w:val="6E54F298"/>
    <w:rsid w:val="6E556DFA"/>
    <w:rsid w:val="6E5608C8"/>
    <w:rsid w:val="6E5655FB"/>
    <w:rsid w:val="6E56B675"/>
    <w:rsid w:val="6E57B075"/>
    <w:rsid w:val="6E57E2F8"/>
    <w:rsid w:val="6E5A0607"/>
    <w:rsid w:val="6E5A1E80"/>
    <w:rsid w:val="6E5B1D14"/>
    <w:rsid w:val="6E5B4571"/>
    <w:rsid w:val="6E5DAB60"/>
    <w:rsid w:val="6E5F29E5"/>
    <w:rsid w:val="6E6014BA"/>
    <w:rsid w:val="6E61EA76"/>
    <w:rsid w:val="6E61F580"/>
    <w:rsid w:val="6E623CCC"/>
    <w:rsid w:val="6E62E1EC"/>
    <w:rsid w:val="6E634574"/>
    <w:rsid w:val="6E64F30A"/>
    <w:rsid w:val="6E64F587"/>
    <w:rsid w:val="6E666CAE"/>
    <w:rsid w:val="6E696EB0"/>
    <w:rsid w:val="6E6A3D86"/>
    <w:rsid w:val="6E6B5E72"/>
    <w:rsid w:val="6E6D43F4"/>
    <w:rsid w:val="6E6D6103"/>
    <w:rsid w:val="6E6D8DEE"/>
    <w:rsid w:val="6E6E0B99"/>
    <w:rsid w:val="6E6F5D53"/>
    <w:rsid w:val="6E6FD2F8"/>
    <w:rsid w:val="6E7079E6"/>
    <w:rsid w:val="6E71AFFC"/>
    <w:rsid w:val="6E71F47B"/>
    <w:rsid w:val="6E75F1AF"/>
    <w:rsid w:val="6E77269F"/>
    <w:rsid w:val="6E784ECD"/>
    <w:rsid w:val="6E7A81AE"/>
    <w:rsid w:val="6E7AEED6"/>
    <w:rsid w:val="6E7D5AE2"/>
    <w:rsid w:val="6E80F666"/>
    <w:rsid w:val="6E815F8F"/>
    <w:rsid w:val="6E829156"/>
    <w:rsid w:val="6E83C58E"/>
    <w:rsid w:val="6E857962"/>
    <w:rsid w:val="6E86955F"/>
    <w:rsid w:val="6E871CAD"/>
    <w:rsid w:val="6E88E534"/>
    <w:rsid w:val="6E8C0C17"/>
    <w:rsid w:val="6E8C9B80"/>
    <w:rsid w:val="6E8EE916"/>
    <w:rsid w:val="6E9242AC"/>
    <w:rsid w:val="6E929D8F"/>
    <w:rsid w:val="6E94F0B2"/>
    <w:rsid w:val="6E97900B"/>
    <w:rsid w:val="6E98CABB"/>
    <w:rsid w:val="6E995543"/>
    <w:rsid w:val="6E9A34BE"/>
    <w:rsid w:val="6E9C2D87"/>
    <w:rsid w:val="6E9E63EF"/>
    <w:rsid w:val="6E9F5BFC"/>
    <w:rsid w:val="6EA019E0"/>
    <w:rsid w:val="6EA3C2CE"/>
    <w:rsid w:val="6EA4642C"/>
    <w:rsid w:val="6EA55FC0"/>
    <w:rsid w:val="6EA65C50"/>
    <w:rsid w:val="6EA73854"/>
    <w:rsid w:val="6EA80DBB"/>
    <w:rsid w:val="6EA8B1BD"/>
    <w:rsid w:val="6EABB732"/>
    <w:rsid w:val="6EAC5CA0"/>
    <w:rsid w:val="6EACCBFE"/>
    <w:rsid w:val="6EAD435E"/>
    <w:rsid w:val="6EAF3692"/>
    <w:rsid w:val="6EB237E6"/>
    <w:rsid w:val="6EB8926B"/>
    <w:rsid w:val="6EBBB693"/>
    <w:rsid w:val="6EBCE024"/>
    <w:rsid w:val="6EBF46E1"/>
    <w:rsid w:val="6EC0E84F"/>
    <w:rsid w:val="6EC13DAB"/>
    <w:rsid w:val="6EC13E9D"/>
    <w:rsid w:val="6EC34272"/>
    <w:rsid w:val="6EC41D08"/>
    <w:rsid w:val="6EC55444"/>
    <w:rsid w:val="6EC832FF"/>
    <w:rsid w:val="6ECF431E"/>
    <w:rsid w:val="6ED212D6"/>
    <w:rsid w:val="6ED28805"/>
    <w:rsid w:val="6ED3C998"/>
    <w:rsid w:val="6ED53F6D"/>
    <w:rsid w:val="6ED746DA"/>
    <w:rsid w:val="6ED854A4"/>
    <w:rsid w:val="6ED867C4"/>
    <w:rsid w:val="6EDA33A3"/>
    <w:rsid w:val="6EDB641F"/>
    <w:rsid w:val="6EDDE3CB"/>
    <w:rsid w:val="6EE062BE"/>
    <w:rsid w:val="6EE06EC5"/>
    <w:rsid w:val="6EE1F795"/>
    <w:rsid w:val="6EE2574E"/>
    <w:rsid w:val="6EE25A34"/>
    <w:rsid w:val="6EE27D02"/>
    <w:rsid w:val="6EE41F9C"/>
    <w:rsid w:val="6EE45D60"/>
    <w:rsid w:val="6EE5239B"/>
    <w:rsid w:val="6EE5C012"/>
    <w:rsid w:val="6EE6589A"/>
    <w:rsid w:val="6EE6B509"/>
    <w:rsid w:val="6EE87A9C"/>
    <w:rsid w:val="6EE9E64C"/>
    <w:rsid w:val="6EEA34CF"/>
    <w:rsid w:val="6EEAEF4B"/>
    <w:rsid w:val="6EEB6FFA"/>
    <w:rsid w:val="6EEC6C35"/>
    <w:rsid w:val="6EECA889"/>
    <w:rsid w:val="6EED97DD"/>
    <w:rsid w:val="6EF0FD22"/>
    <w:rsid w:val="6EF1854A"/>
    <w:rsid w:val="6EF47931"/>
    <w:rsid w:val="6EF53ED0"/>
    <w:rsid w:val="6EF7131A"/>
    <w:rsid w:val="6EF91490"/>
    <w:rsid w:val="6EFB7462"/>
    <w:rsid w:val="6EFCD087"/>
    <w:rsid w:val="6EFCF26E"/>
    <w:rsid w:val="6EFDBBB6"/>
    <w:rsid w:val="6EFF3CDB"/>
    <w:rsid w:val="6EFF7FD2"/>
    <w:rsid w:val="6F0137F6"/>
    <w:rsid w:val="6F036380"/>
    <w:rsid w:val="6F03F5D2"/>
    <w:rsid w:val="6F07B4F8"/>
    <w:rsid w:val="6F0A03CE"/>
    <w:rsid w:val="6F0BAF22"/>
    <w:rsid w:val="6F0DD09F"/>
    <w:rsid w:val="6F0EF831"/>
    <w:rsid w:val="6F10E871"/>
    <w:rsid w:val="6F117014"/>
    <w:rsid w:val="6F141BB1"/>
    <w:rsid w:val="6F15F725"/>
    <w:rsid w:val="6F18B2F5"/>
    <w:rsid w:val="6F19B13E"/>
    <w:rsid w:val="6F1B6DF0"/>
    <w:rsid w:val="6F22BF9D"/>
    <w:rsid w:val="6F2346CE"/>
    <w:rsid w:val="6F24636C"/>
    <w:rsid w:val="6F26731F"/>
    <w:rsid w:val="6F268712"/>
    <w:rsid w:val="6F28BE5B"/>
    <w:rsid w:val="6F28C6F0"/>
    <w:rsid w:val="6F2B5CA5"/>
    <w:rsid w:val="6F2C3A52"/>
    <w:rsid w:val="6F2D7A43"/>
    <w:rsid w:val="6F2D9A16"/>
    <w:rsid w:val="6F2F0CEE"/>
    <w:rsid w:val="6F2F958F"/>
    <w:rsid w:val="6F32E448"/>
    <w:rsid w:val="6F33474E"/>
    <w:rsid w:val="6F3567BC"/>
    <w:rsid w:val="6F368BDB"/>
    <w:rsid w:val="6F3697A0"/>
    <w:rsid w:val="6F372DCC"/>
    <w:rsid w:val="6F380C29"/>
    <w:rsid w:val="6F3B85FA"/>
    <w:rsid w:val="6F3BE172"/>
    <w:rsid w:val="6F3D35B6"/>
    <w:rsid w:val="6F3DBCAF"/>
    <w:rsid w:val="6F3E6689"/>
    <w:rsid w:val="6F4205E4"/>
    <w:rsid w:val="6F4214D0"/>
    <w:rsid w:val="6F432DD4"/>
    <w:rsid w:val="6F452547"/>
    <w:rsid w:val="6F454169"/>
    <w:rsid w:val="6F45425A"/>
    <w:rsid w:val="6F45AB8A"/>
    <w:rsid w:val="6F47E5EC"/>
    <w:rsid w:val="6F48D93D"/>
    <w:rsid w:val="6F4B3F6B"/>
    <w:rsid w:val="6F4C5632"/>
    <w:rsid w:val="6F51FB6B"/>
    <w:rsid w:val="6F5200DD"/>
    <w:rsid w:val="6F5236A2"/>
    <w:rsid w:val="6F532F36"/>
    <w:rsid w:val="6F577CB4"/>
    <w:rsid w:val="6F57B4EA"/>
    <w:rsid w:val="6F5C8E58"/>
    <w:rsid w:val="6F5D73AA"/>
    <w:rsid w:val="6F5F1427"/>
    <w:rsid w:val="6F5FDBB1"/>
    <w:rsid w:val="6F606963"/>
    <w:rsid w:val="6F607BA2"/>
    <w:rsid w:val="6F61C128"/>
    <w:rsid w:val="6F62C3E6"/>
    <w:rsid w:val="6F6340D8"/>
    <w:rsid w:val="6F63CA55"/>
    <w:rsid w:val="6F63DFA2"/>
    <w:rsid w:val="6F6592D4"/>
    <w:rsid w:val="6F65AB2B"/>
    <w:rsid w:val="6F664AE8"/>
    <w:rsid w:val="6F66D961"/>
    <w:rsid w:val="6F68064F"/>
    <w:rsid w:val="6F697E66"/>
    <w:rsid w:val="6F6AE979"/>
    <w:rsid w:val="6F6EDDF6"/>
    <w:rsid w:val="6F700C44"/>
    <w:rsid w:val="6F726506"/>
    <w:rsid w:val="6F741DE4"/>
    <w:rsid w:val="6F74A7E2"/>
    <w:rsid w:val="6F7651F1"/>
    <w:rsid w:val="6F765F17"/>
    <w:rsid w:val="6F7724C9"/>
    <w:rsid w:val="6F77604A"/>
    <w:rsid w:val="6F78FF02"/>
    <w:rsid w:val="6F7A7120"/>
    <w:rsid w:val="6F7DAD1E"/>
    <w:rsid w:val="6F7E2430"/>
    <w:rsid w:val="6F7EA495"/>
    <w:rsid w:val="6F83A418"/>
    <w:rsid w:val="6F84B8D2"/>
    <w:rsid w:val="6F8A65AE"/>
    <w:rsid w:val="6F8A930D"/>
    <w:rsid w:val="6F8A982E"/>
    <w:rsid w:val="6F8AC917"/>
    <w:rsid w:val="6F8C2E9E"/>
    <w:rsid w:val="6F8D4B47"/>
    <w:rsid w:val="6F8DDF08"/>
    <w:rsid w:val="6F8E73E2"/>
    <w:rsid w:val="6F8F10A6"/>
    <w:rsid w:val="6F908B91"/>
    <w:rsid w:val="6F9178EF"/>
    <w:rsid w:val="6F9234E7"/>
    <w:rsid w:val="6F95205F"/>
    <w:rsid w:val="6F958282"/>
    <w:rsid w:val="6F972B62"/>
    <w:rsid w:val="6F9784AD"/>
    <w:rsid w:val="6F99C5A8"/>
    <w:rsid w:val="6F9A0AA7"/>
    <w:rsid w:val="6F9C79A3"/>
    <w:rsid w:val="6F9E7200"/>
    <w:rsid w:val="6F9F6913"/>
    <w:rsid w:val="6FA013DA"/>
    <w:rsid w:val="6FA23313"/>
    <w:rsid w:val="6FA2F932"/>
    <w:rsid w:val="6FA693C1"/>
    <w:rsid w:val="6FA6CB3E"/>
    <w:rsid w:val="6FA728D0"/>
    <w:rsid w:val="6FA75C45"/>
    <w:rsid w:val="6FA7BAD3"/>
    <w:rsid w:val="6FAA0F8B"/>
    <w:rsid w:val="6FAB85FE"/>
    <w:rsid w:val="6FACBB3B"/>
    <w:rsid w:val="6FACDFA9"/>
    <w:rsid w:val="6FAD4CE8"/>
    <w:rsid w:val="6FB2493E"/>
    <w:rsid w:val="6FB7494A"/>
    <w:rsid w:val="6FBC99E7"/>
    <w:rsid w:val="6FBCDDA5"/>
    <w:rsid w:val="6FBD934C"/>
    <w:rsid w:val="6FBDC5CE"/>
    <w:rsid w:val="6FBDF755"/>
    <w:rsid w:val="6FC4501A"/>
    <w:rsid w:val="6FC4FE69"/>
    <w:rsid w:val="6FC7E656"/>
    <w:rsid w:val="6FCB67E5"/>
    <w:rsid w:val="6FCC4ABA"/>
    <w:rsid w:val="6FCF3DC4"/>
    <w:rsid w:val="6FD1ADC2"/>
    <w:rsid w:val="6FD32449"/>
    <w:rsid w:val="6FD4963C"/>
    <w:rsid w:val="6FD87C62"/>
    <w:rsid w:val="6FDB08F5"/>
    <w:rsid w:val="6FDBD527"/>
    <w:rsid w:val="6FDBDA08"/>
    <w:rsid w:val="6FDEC605"/>
    <w:rsid w:val="6FE063EE"/>
    <w:rsid w:val="6FE16657"/>
    <w:rsid w:val="6FE707A4"/>
    <w:rsid w:val="6FEA90DD"/>
    <w:rsid w:val="6FEE2F5B"/>
    <w:rsid w:val="6FEFE65E"/>
    <w:rsid w:val="6FF0546B"/>
    <w:rsid w:val="6FF09B0F"/>
    <w:rsid w:val="6FF1CBB7"/>
    <w:rsid w:val="6FF4D217"/>
    <w:rsid w:val="6FF56F54"/>
    <w:rsid w:val="6FF5F123"/>
    <w:rsid w:val="6FF6BBC6"/>
    <w:rsid w:val="6FF73CA7"/>
    <w:rsid w:val="6FFB72FD"/>
    <w:rsid w:val="6FFB897B"/>
    <w:rsid w:val="6FFBB3B5"/>
    <w:rsid w:val="6FFC946B"/>
    <w:rsid w:val="70093C73"/>
    <w:rsid w:val="7009EA56"/>
    <w:rsid w:val="700E9457"/>
    <w:rsid w:val="70144C4C"/>
    <w:rsid w:val="70153432"/>
    <w:rsid w:val="70159ECA"/>
    <w:rsid w:val="7016EC8C"/>
    <w:rsid w:val="7018AEE1"/>
    <w:rsid w:val="701BA8B5"/>
    <w:rsid w:val="701BE33A"/>
    <w:rsid w:val="701BE5BD"/>
    <w:rsid w:val="701D41B5"/>
    <w:rsid w:val="7020D7BC"/>
    <w:rsid w:val="7020F31E"/>
    <w:rsid w:val="70224644"/>
    <w:rsid w:val="7024BD86"/>
    <w:rsid w:val="7026EF5A"/>
    <w:rsid w:val="70297F9C"/>
    <w:rsid w:val="702DA67F"/>
    <w:rsid w:val="702EAF1E"/>
    <w:rsid w:val="7032A7CA"/>
    <w:rsid w:val="7034D66C"/>
    <w:rsid w:val="703503DF"/>
    <w:rsid w:val="7036F319"/>
    <w:rsid w:val="7037BCD1"/>
    <w:rsid w:val="70395164"/>
    <w:rsid w:val="70396C99"/>
    <w:rsid w:val="703A3D30"/>
    <w:rsid w:val="703A994E"/>
    <w:rsid w:val="703CE001"/>
    <w:rsid w:val="703D5466"/>
    <w:rsid w:val="703E9E7C"/>
    <w:rsid w:val="703FD621"/>
    <w:rsid w:val="70402576"/>
    <w:rsid w:val="7043750C"/>
    <w:rsid w:val="704396E4"/>
    <w:rsid w:val="70445A4F"/>
    <w:rsid w:val="70446D46"/>
    <w:rsid w:val="7044828F"/>
    <w:rsid w:val="704758DC"/>
    <w:rsid w:val="7047E7A5"/>
    <w:rsid w:val="70488626"/>
    <w:rsid w:val="7049D90A"/>
    <w:rsid w:val="704B3FC4"/>
    <w:rsid w:val="704DA9C4"/>
    <w:rsid w:val="704E457C"/>
    <w:rsid w:val="7052D963"/>
    <w:rsid w:val="705305F4"/>
    <w:rsid w:val="70543A00"/>
    <w:rsid w:val="705540D8"/>
    <w:rsid w:val="705CB333"/>
    <w:rsid w:val="705D573A"/>
    <w:rsid w:val="7064122D"/>
    <w:rsid w:val="7065E197"/>
    <w:rsid w:val="7069E405"/>
    <w:rsid w:val="7069EA3A"/>
    <w:rsid w:val="706A276E"/>
    <w:rsid w:val="706BF7A0"/>
    <w:rsid w:val="706F0F7B"/>
    <w:rsid w:val="706F1EED"/>
    <w:rsid w:val="7070369F"/>
    <w:rsid w:val="7070E610"/>
    <w:rsid w:val="7072E32A"/>
    <w:rsid w:val="70736DEC"/>
    <w:rsid w:val="7076A1E6"/>
    <w:rsid w:val="7078C552"/>
    <w:rsid w:val="707B86C9"/>
    <w:rsid w:val="707BE663"/>
    <w:rsid w:val="707C313F"/>
    <w:rsid w:val="707C5C94"/>
    <w:rsid w:val="707C9BCE"/>
    <w:rsid w:val="707E2B2F"/>
    <w:rsid w:val="707E6B5B"/>
    <w:rsid w:val="707F94A7"/>
    <w:rsid w:val="7082FDA4"/>
    <w:rsid w:val="708519E5"/>
    <w:rsid w:val="7085BD5E"/>
    <w:rsid w:val="708664EE"/>
    <w:rsid w:val="7086EF6C"/>
    <w:rsid w:val="70891E38"/>
    <w:rsid w:val="70897F86"/>
    <w:rsid w:val="708BBCE5"/>
    <w:rsid w:val="708C084B"/>
    <w:rsid w:val="708C481E"/>
    <w:rsid w:val="708FDEE2"/>
    <w:rsid w:val="70915501"/>
    <w:rsid w:val="7091E23F"/>
    <w:rsid w:val="709606D8"/>
    <w:rsid w:val="709686A4"/>
    <w:rsid w:val="709BBB7E"/>
    <w:rsid w:val="709BD8FC"/>
    <w:rsid w:val="709C7EE3"/>
    <w:rsid w:val="709C842D"/>
    <w:rsid w:val="70A0A97E"/>
    <w:rsid w:val="70A1A29E"/>
    <w:rsid w:val="70A20213"/>
    <w:rsid w:val="70A7DC99"/>
    <w:rsid w:val="70A8F4E7"/>
    <w:rsid w:val="70AA4780"/>
    <w:rsid w:val="70AB8780"/>
    <w:rsid w:val="70AF3FB1"/>
    <w:rsid w:val="70B175E8"/>
    <w:rsid w:val="70B5CE0D"/>
    <w:rsid w:val="70B5E7FF"/>
    <w:rsid w:val="70B7C230"/>
    <w:rsid w:val="70B9703D"/>
    <w:rsid w:val="70BA287A"/>
    <w:rsid w:val="70BBF7BB"/>
    <w:rsid w:val="70BC3CD2"/>
    <w:rsid w:val="70BECBF5"/>
    <w:rsid w:val="70BECD4B"/>
    <w:rsid w:val="70BFA9D9"/>
    <w:rsid w:val="70C25341"/>
    <w:rsid w:val="70CA7749"/>
    <w:rsid w:val="70CAF49F"/>
    <w:rsid w:val="70CB5873"/>
    <w:rsid w:val="70CE40EE"/>
    <w:rsid w:val="70D01C7E"/>
    <w:rsid w:val="70D4432B"/>
    <w:rsid w:val="70D71EE5"/>
    <w:rsid w:val="70DB500D"/>
    <w:rsid w:val="70DBE947"/>
    <w:rsid w:val="70DCE180"/>
    <w:rsid w:val="70DCFAFA"/>
    <w:rsid w:val="70E0208A"/>
    <w:rsid w:val="70E17334"/>
    <w:rsid w:val="70E485F5"/>
    <w:rsid w:val="70E60972"/>
    <w:rsid w:val="70E6AC48"/>
    <w:rsid w:val="70E8DF7C"/>
    <w:rsid w:val="70E8E766"/>
    <w:rsid w:val="70EAF9F0"/>
    <w:rsid w:val="70EEC0B8"/>
    <w:rsid w:val="70EECE91"/>
    <w:rsid w:val="70EF3E2B"/>
    <w:rsid w:val="70EFC501"/>
    <w:rsid w:val="70F06C16"/>
    <w:rsid w:val="70F18D13"/>
    <w:rsid w:val="70F38336"/>
    <w:rsid w:val="70F42A0A"/>
    <w:rsid w:val="70F47BE6"/>
    <w:rsid w:val="70F63BF1"/>
    <w:rsid w:val="70F6E53A"/>
    <w:rsid w:val="70F880E4"/>
    <w:rsid w:val="70FCFFB4"/>
    <w:rsid w:val="70FD1689"/>
    <w:rsid w:val="70FD7015"/>
    <w:rsid w:val="70FE3EFB"/>
    <w:rsid w:val="71005AC4"/>
    <w:rsid w:val="71010B77"/>
    <w:rsid w:val="71034D34"/>
    <w:rsid w:val="710564B5"/>
    <w:rsid w:val="71079496"/>
    <w:rsid w:val="7109D288"/>
    <w:rsid w:val="710D2372"/>
    <w:rsid w:val="710E9AC3"/>
    <w:rsid w:val="710FCC3D"/>
    <w:rsid w:val="711131D4"/>
    <w:rsid w:val="71142E94"/>
    <w:rsid w:val="71149704"/>
    <w:rsid w:val="7116E32A"/>
    <w:rsid w:val="7116EE1F"/>
    <w:rsid w:val="7118B650"/>
    <w:rsid w:val="7119FD91"/>
    <w:rsid w:val="711CE28B"/>
    <w:rsid w:val="711D9EA5"/>
    <w:rsid w:val="7122C256"/>
    <w:rsid w:val="7126CC9C"/>
    <w:rsid w:val="71293FD4"/>
    <w:rsid w:val="712A9EFE"/>
    <w:rsid w:val="712F6A54"/>
    <w:rsid w:val="713088BA"/>
    <w:rsid w:val="7131CBD1"/>
    <w:rsid w:val="7132152F"/>
    <w:rsid w:val="71332B3D"/>
    <w:rsid w:val="7134A6BD"/>
    <w:rsid w:val="7135D453"/>
    <w:rsid w:val="7135EC70"/>
    <w:rsid w:val="71361779"/>
    <w:rsid w:val="71378415"/>
    <w:rsid w:val="7137CC34"/>
    <w:rsid w:val="71395484"/>
    <w:rsid w:val="713B8B01"/>
    <w:rsid w:val="713FB370"/>
    <w:rsid w:val="7140C6B9"/>
    <w:rsid w:val="7142A450"/>
    <w:rsid w:val="71441E78"/>
    <w:rsid w:val="7144DDF1"/>
    <w:rsid w:val="7144E57C"/>
    <w:rsid w:val="7145C659"/>
    <w:rsid w:val="7147191F"/>
    <w:rsid w:val="7149DB82"/>
    <w:rsid w:val="714BD213"/>
    <w:rsid w:val="714C4712"/>
    <w:rsid w:val="714C4784"/>
    <w:rsid w:val="714DC11B"/>
    <w:rsid w:val="714F1473"/>
    <w:rsid w:val="714F6342"/>
    <w:rsid w:val="7151074C"/>
    <w:rsid w:val="7152F9C1"/>
    <w:rsid w:val="71547A62"/>
    <w:rsid w:val="715863FB"/>
    <w:rsid w:val="7159EE5C"/>
    <w:rsid w:val="715A5968"/>
    <w:rsid w:val="715B2F3D"/>
    <w:rsid w:val="715C7AF6"/>
    <w:rsid w:val="715F1FA3"/>
    <w:rsid w:val="715FADD0"/>
    <w:rsid w:val="7162B265"/>
    <w:rsid w:val="7163A7E7"/>
    <w:rsid w:val="716586F1"/>
    <w:rsid w:val="71663B66"/>
    <w:rsid w:val="71673BBD"/>
    <w:rsid w:val="71698B1B"/>
    <w:rsid w:val="716C8013"/>
    <w:rsid w:val="716CBEDB"/>
    <w:rsid w:val="716CBFAC"/>
    <w:rsid w:val="716FFEBE"/>
    <w:rsid w:val="7170BA2A"/>
    <w:rsid w:val="7170D68B"/>
    <w:rsid w:val="7171D51E"/>
    <w:rsid w:val="7173A63B"/>
    <w:rsid w:val="7174636F"/>
    <w:rsid w:val="717630D6"/>
    <w:rsid w:val="71763592"/>
    <w:rsid w:val="7177CEDE"/>
    <w:rsid w:val="717909BA"/>
    <w:rsid w:val="71796B1E"/>
    <w:rsid w:val="71797895"/>
    <w:rsid w:val="7179C6B8"/>
    <w:rsid w:val="7179F247"/>
    <w:rsid w:val="7179F675"/>
    <w:rsid w:val="717B01F6"/>
    <w:rsid w:val="717B145D"/>
    <w:rsid w:val="717B7B22"/>
    <w:rsid w:val="717E0132"/>
    <w:rsid w:val="717E5AEE"/>
    <w:rsid w:val="717F36AB"/>
    <w:rsid w:val="71808B93"/>
    <w:rsid w:val="718373F9"/>
    <w:rsid w:val="71885EA3"/>
    <w:rsid w:val="7188E0AB"/>
    <w:rsid w:val="7189096D"/>
    <w:rsid w:val="71897FF4"/>
    <w:rsid w:val="718A077C"/>
    <w:rsid w:val="718D480D"/>
    <w:rsid w:val="718E90BE"/>
    <w:rsid w:val="718EAD56"/>
    <w:rsid w:val="718ECEC3"/>
    <w:rsid w:val="718ED509"/>
    <w:rsid w:val="719039F6"/>
    <w:rsid w:val="71925AFE"/>
    <w:rsid w:val="7193F00C"/>
    <w:rsid w:val="7195E830"/>
    <w:rsid w:val="7197AF3B"/>
    <w:rsid w:val="71980AD1"/>
    <w:rsid w:val="7198669B"/>
    <w:rsid w:val="7199CDB9"/>
    <w:rsid w:val="719A2364"/>
    <w:rsid w:val="719C5669"/>
    <w:rsid w:val="719CFF5C"/>
    <w:rsid w:val="719D51D6"/>
    <w:rsid w:val="719FBD22"/>
    <w:rsid w:val="71A1B57D"/>
    <w:rsid w:val="71A1C7CD"/>
    <w:rsid w:val="71A63956"/>
    <w:rsid w:val="71A94D25"/>
    <w:rsid w:val="71AA44E0"/>
    <w:rsid w:val="71AB18E2"/>
    <w:rsid w:val="71AB78AD"/>
    <w:rsid w:val="71ABE4AC"/>
    <w:rsid w:val="71B17EA7"/>
    <w:rsid w:val="71B39C25"/>
    <w:rsid w:val="71B580F5"/>
    <w:rsid w:val="71B81435"/>
    <w:rsid w:val="71B9F250"/>
    <w:rsid w:val="71B9F488"/>
    <w:rsid w:val="71BB943D"/>
    <w:rsid w:val="71BB9515"/>
    <w:rsid w:val="71BD4A65"/>
    <w:rsid w:val="71BFAA06"/>
    <w:rsid w:val="71C03A76"/>
    <w:rsid w:val="71C209CF"/>
    <w:rsid w:val="71C2447C"/>
    <w:rsid w:val="71C7F8BA"/>
    <w:rsid w:val="71C993A1"/>
    <w:rsid w:val="71CC1A2F"/>
    <w:rsid w:val="71CDCC1B"/>
    <w:rsid w:val="71D18021"/>
    <w:rsid w:val="71D25CE4"/>
    <w:rsid w:val="71D3EA3B"/>
    <w:rsid w:val="71D6D9B8"/>
    <w:rsid w:val="71DA19BD"/>
    <w:rsid w:val="71DC4F3B"/>
    <w:rsid w:val="71DD3D6C"/>
    <w:rsid w:val="71E20ACF"/>
    <w:rsid w:val="71E34E35"/>
    <w:rsid w:val="71E38B57"/>
    <w:rsid w:val="71E69351"/>
    <w:rsid w:val="71E6A6EF"/>
    <w:rsid w:val="71E6D929"/>
    <w:rsid w:val="71E6FEDA"/>
    <w:rsid w:val="71E97D6F"/>
    <w:rsid w:val="71E9A040"/>
    <w:rsid w:val="71E9A5C9"/>
    <w:rsid w:val="71EBE2AB"/>
    <w:rsid w:val="71EC8BAB"/>
    <w:rsid w:val="71ED1010"/>
    <w:rsid w:val="71ED518C"/>
    <w:rsid w:val="71F4EFDE"/>
    <w:rsid w:val="71F63F25"/>
    <w:rsid w:val="71FA1718"/>
    <w:rsid w:val="71FAAF7D"/>
    <w:rsid w:val="71FC535B"/>
    <w:rsid w:val="71FE7927"/>
    <w:rsid w:val="71FFA968"/>
    <w:rsid w:val="7202057D"/>
    <w:rsid w:val="7202BE6F"/>
    <w:rsid w:val="720419C8"/>
    <w:rsid w:val="72046A80"/>
    <w:rsid w:val="72049DC7"/>
    <w:rsid w:val="72054316"/>
    <w:rsid w:val="72086AA3"/>
    <w:rsid w:val="720A8930"/>
    <w:rsid w:val="720C0A07"/>
    <w:rsid w:val="720D7DFA"/>
    <w:rsid w:val="720DA453"/>
    <w:rsid w:val="720E3966"/>
    <w:rsid w:val="720E8E4B"/>
    <w:rsid w:val="720F4ABB"/>
    <w:rsid w:val="720FF420"/>
    <w:rsid w:val="72113E51"/>
    <w:rsid w:val="72124BB5"/>
    <w:rsid w:val="7213B4F8"/>
    <w:rsid w:val="72163185"/>
    <w:rsid w:val="7216D9D4"/>
    <w:rsid w:val="72182A1F"/>
    <w:rsid w:val="721B001D"/>
    <w:rsid w:val="721B41BC"/>
    <w:rsid w:val="721BDFF4"/>
    <w:rsid w:val="721D64D1"/>
    <w:rsid w:val="721E1ECE"/>
    <w:rsid w:val="72220E20"/>
    <w:rsid w:val="7227BC38"/>
    <w:rsid w:val="72281089"/>
    <w:rsid w:val="7228C3FE"/>
    <w:rsid w:val="722AC911"/>
    <w:rsid w:val="722CC856"/>
    <w:rsid w:val="722E0752"/>
    <w:rsid w:val="722E50EE"/>
    <w:rsid w:val="72337002"/>
    <w:rsid w:val="72356758"/>
    <w:rsid w:val="7235BAEF"/>
    <w:rsid w:val="72372A11"/>
    <w:rsid w:val="723883B5"/>
    <w:rsid w:val="72396986"/>
    <w:rsid w:val="723BEC02"/>
    <w:rsid w:val="723C3CB7"/>
    <w:rsid w:val="723D6559"/>
    <w:rsid w:val="72414042"/>
    <w:rsid w:val="7241BD1E"/>
    <w:rsid w:val="72450BE2"/>
    <w:rsid w:val="7249040A"/>
    <w:rsid w:val="724993A0"/>
    <w:rsid w:val="7249F538"/>
    <w:rsid w:val="724B04C4"/>
    <w:rsid w:val="724CF5EA"/>
    <w:rsid w:val="724D48D6"/>
    <w:rsid w:val="7250AD11"/>
    <w:rsid w:val="72510488"/>
    <w:rsid w:val="72513151"/>
    <w:rsid w:val="7251DFD8"/>
    <w:rsid w:val="72554F34"/>
    <w:rsid w:val="7257A7E9"/>
    <w:rsid w:val="72620931"/>
    <w:rsid w:val="7262632F"/>
    <w:rsid w:val="7262B7C8"/>
    <w:rsid w:val="72637658"/>
    <w:rsid w:val="7264950C"/>
    <w:rsid w:val="72649F65"/>
    <w:rsid w:val="72664086"/>
    <w:rsid w:val="72696D56"/>
    <w:rsid w:val="726C6C7F"/>
    <w:rsid w:val="726D0479"/>
    <w:rsid w:val="726EE53D"/>
    <w:rsid w:val="7270FAC2"/>
    <w:rsid w:val="727250CC"/>
    <w:rsid w:val="72775714"/>
    <w:rsid w:val="7277E24D"/>
    <w:rsid w:val="727BFE33"/>
    <w:rsid w:val="727D9A71"/>
    <w:rsid w:val="727E83C7"/>
    <w:rsid w:val="727FE1EE"/>
    <w:rsid w:val="72803994"/>
    <w:rsid w:val="7282FA2F"/>
    <w:rsid w:val="72855FCE"/>
    <w:rsid w:val="728C47DC"/>
    <w:rsid w:val="728CC454"/>
    <w:rsid w:val="728D8CF9"/>
    <w:rsid w:val="7292B446"/>
    <w:rsid w:val="7294E798"/>
    <w:rsid w:val="7296566A"/>
    <w:rsid w:val="72979340"/>
    <w:rsid w:val="7297C1A9"/>
    <w:rsid w:val="72981BF9"/>
    <w:rsid w:val="7298D20C"/>
    <w:rsid w:val="72997610"/>
    <w:rsid w:val="729B11BF"/>
    <w:rsid w:val="729CD5E8"/>
    <w:rsid w:val="729E7C16"/>
    <w:rsid w:val="729ED1C9"/>
    <w:rsid w:val="72A02EBE"/>
    <w:rsid w:val="72A12951"/>
    <w:rsid w:val="72A1D5F6"/>
    <w:rsid w:val="72A3FA4D"/>
    <w:rsid w:val="72A401F5"/>
    <w:rsid w:val="72A47FE2"/>
    <w:rsid w:val="72A4C5BD"/>
    <w:rsid w:val="72A54A2D"/>
    <w:rsid w:val="72A5CE17"/>
    <w:rsid w:val="72A5E939"/>
    <w:rsid w:val="72A71A17"/>
    <w:rsid w:val="72A7BE82"/>
    <w:rsid w:val="72A91C7F"/>
    <w:rsid w:val="72A9E35E"/>
    <w:rsid w:val="72AFC0C1"/>
    <w:rsid w:val="72B145D5"/>
    <w:rsid w:val="72B16C12"/>
    <w:rsid w:val="72B2F8C1"/>
    <w:rsid w:val="72B55A01"/>
    <w:rsid w:val="72B67DF5"/>
    <w:rsid w:val="72B6A8A4"/>
    <w:rsid w:val="72B8C06D"/>
    <w:rsid w:val="72BA9524"/>
    <w:rsid w:val="72BAF1EC"/>
    <w:rsid w:val="72C096B9"/>
    <w:rsid w:val="72C0A266"/>
    <w:rsid w:val="72C2BF5D"/>
    <w:rsid w:val="72C340ED"/>
    <w:rsid w:val="72C4DCBC"/>
    <w:rsid w:val="72C64C72"/>
    <w:rsid w:val="72C718E0"/>
    <w:rsid w:val="72CA134C"/>
    <w:rsid w:val="72CBB625"/>
    <w:rsid w:val="72CBFF0C"/>
    <w:rsid w:val="72CC8CEE"/>
    <w:rsid w:val="72CFBA54"/>
    <w:rsid w:val="72D3989F"/>
    <w:rsid w:val="72D7D40F"/>
    <w:rsid w:val="72D896AF"/>
    <w:rsid w:val="72DBD124"/>
    <w:rsid w:val="72DDB70A"/>
    <w:rsid w:val="72DE50AA"/>
    <w:rsid w:val="72DECC1E"/>
    <w:rsid w:val="72DF7D74"/>
    <w:rsid w:val="72E05968"/>
    <w:rsid w:val="72E094FF"/>
    <w:rsid w:val="72E0BD25"/>
    <w:rsid w:val="72E49B4C"/>
    <w:rsid w:val="72E5E737"/>
    <w:rsid w:val="72E65808"/>
    <w:rsid w:val="72EAA694"/>
    <w:rsid w:val="72EC384B"/>
    <w:rsid w:val="72ED0806"/>
    <w:rsid w:val="72ED44E5"/>
    <w:rsid w:val="72EE5A89"/>
    <w:rsid w:val="72EFF58A"/>
    <w:rsid w:val="72F0C28A"/>
    <w:rsid w:val="72F12495"/>
    <w:rsid w:val="72F32A0B"/>
    <w:rsid w:val="72F45925"/>
    <w:rsid w:val="72F4C798"/>
    <w:rsid w:val="72F5944B"/>
    <w:rsid w:val="72F6A6AF"/>
    <w:rsid w:val="72F9131A"/>
    <w:rsid w:val="72FBED24"/>
    <w:rsid w:val="730250AD"/>
    <w:rsid w:val="7302A64F"/>
    <w:rsid w:val="73073ACE"/>
    <w:rsid w:val="73080940"/>
    <w:rsid w:val="73089C50"/>
    <w:rsid w:val="730A3715"/>
    <w:rsid w:val="730A5FCD"/>
    <w:rsid w:val="730B3BFC"/>
    <w:rsid w:val="730B42AC"/>
    <w:rsid w:val="730B5B89"/>
    <w:rsid w:val="730C29CE"/>
    <w:rsid w:val="730C335E"/>
    <w:rsid w:val="73139CC0"/>
    <w:rsid w:val="731400E8"/>
    <w:rsid w:val="73149EEA"/>
    <w:rsid w:val="73177DF0"/>
    <w:rsid w:val="731E370D"/>
    <w:rsid w:val="731F4CA7"/>
    <w:rsid w:val="732256F7"/>
    <w:rsid w:val="732296EE"/>
    <w:rsid w:val="73237CD5"/>
    <w:rsid w:val="732423D1"/>
    <w:rsid w:val="73243878"/>
    <w:rsid w:val="732461E1"/>
    <w:rsid w:val="7325DCA3"/>
    <w:rsid w:val="73267C16"/>
    <w:rsid w:val="7326DAA9"/>
    <w:rsid w:val="73295B42"/>
    <w:rsid w:val="73298AA0"/>
    <w:rsid w:val="732A6CDE"/>
    <w:rsid w:val="7331A281"/>
    <w:rsid w:val="73352DFE"/>
    <w:rsid w:val="73374EDD"/>
    <w:rsid w:val="733833D9"/>
    <w:rsid w:val="733B0FAC"/>
    <w:rsid w:val="733C8E25"/>
    <w:rsid w:val="733ECAF2"/>
    <w:rsid w:val="7343A37B"/>
    <w:rsid w:val="73440BF2"/>
    <w:rsid w:val="7344CA00"/>
    <w:rsid w:val="73451BF0"/>
    <w:rsid w:val="734539E2"/>
    <w:rsid w:val="7345970A"/>
    <w:rsid w:val="734829FA"/>
    <w:rsid w:val="73488C6E"/>
    <w:rsid w:val="73498711"/>
    <w:rsid w:val="734A3B7A"/>
    <w:rsid w:val="734DA425"/>
    <w:rsid w:val="734F4BDE"/>
    <w:rsid w:val="73503E53"/>
    <w:rsid w:val="73515CC4"/>
    <w:rsid w:val="73516A6D"/>
    <w:rsid w:val="7355D3A2"/>
    <w:rsid w:val="73585918"/>
    <w:rsid w:val="735A6435"/>
    <w:rsid w:val="735B8C51"/>
    <w:rsid w:val="735C0DB3"/>
    <w:rsid w:val="735E62DD"/>
    <w:rsid w:val="73608CD2"/>
    <w:rsid w:val="7361ED01"/>
    <w:rsid w:val="73622151"/>
    <w:rsid w:val="73632675"/>
    <w:rsid w:val="73645F9F"/>
    <w:rsid w:val="7365DBEB"/>
    <w:rsid w:val="7365ECF3"/>
    <w:rsid w:val="7367FF2C"/>
    <w:rsid w:val="7368D54B"/>
    <w:rsid w:val="7368D89B"/>
    <w:rsid w:val="736E34D6"/>
    <w:rsid w:val="737098AD"/>
    <w:rsid w:val="73712710"/>
    <w:rsid w:val="73728185"/>
    <w:rsid w:val="73730229"/>
    <w:rsid w:val="737309E2"/>
    <w:rsid w:val="73732582"/>
    <w:rsid w:val="7378D6B9"/>
    <w:rsid w:val="7379A218"/>
    <w:rsid w:val="737DE2F1"/>
    <w:rsid w:val="737ECB66"/>
    <w:rsid w:val="73828CE9"/>
    <w:rsid w:val="73843E64"/>
    <w:rsid w:val="7385A7B0"/>
    <w:rsid w:val="7385B0BC"/>
    <w:rsid w:val="73864F78"/>
    <w:rsid w:val="738755ED"/>
    <w:rsid w:val="73879341"/>
    <w:rsid w:val="7389DC05"/>
    <w:rsid w:val="738B76E2"/>
    <w:rsid w:val="738D02F0"/>
    <w:rsid w:val="738DAAE7"/>
    <w:rsid w:val="73900650"/>
    <w:rsid w:val="73901CEA"/>
    <w:rsid w:val="739276C6"/>
    <w:rsid w:val="73991A07"/>
    <w:rsid w:val="739C5832"/>
    <w:rsid w:val="739E0F4E"/>
    <w:rsid w:val="739FD076"/>
    <w:rsid w:val="73A13213"/>
    <w:rsid w:val="73A48C28"/>
    <w:rsid w:val="73A5FC8B"/>
    <w:rsid w:val="73A9069C"/>
    <w:rsid w:val="73ADD4FB"/>
    <w:rsid w:val="73AE95AD"/>
    <w:rsid w:val="73B11914"/>
    <w:rsid w:val="73B17667"/>
    <w:rsid w:val="73B26DB1"/>
    <w:rsid w:val="73B3673E"/>
    <w:rsid w:val="73B40CCE"/>
    <w:rsid w:val="73B46A99"/>
    <w:rsid w:val="73B4B3A8"/>
    <w:rsid w:val="73B74A02"/>
    <w:rsid w:val="73B78F62"/>
    <w:rsid w:val="73BB307B"/>
    <w:rsid w:val="73BD77B3"/>
    <w:rsid w:val="73BEC1CB"/>
    <w:rsid w:val="73BF8B6F"/>
    <w:rsid w:val="73BFE716"/>
    <w:rsid w:val="73BFF521"/>
    <w:rsid w:val="73C26EE3"/>
    <w:rsid w:val="73C29CC6"/>
    <w:rsid w:val="73C3C5CB"/>
    <w:rsid w:val="73C4416D"/>
    <w:rsid w:val="73C5C89F"/>
    <w:rsid w:val="73CB31D3"/>
    <w:rsid w:val="73CCE628"/>
    <w:rsid w:val="73CE5F9D"/>
    <w:rsid w:val="73CE8B0E"/>
    <w:rsid w:val="73CFE0DE"/>
    <w:rsid w:val="73D05A16"/>
    <w:rsid w:val="73D2EF9E"/>
    <w:rsid w:val="73D406A3"/>
    <w:rsid w:val="73D45438"/>
    <w:rsid w:val="73D4AF63"/>
    <w:rsid w:val="73D7545D"/>
    <w:rsid w:val="73D7B8C4"/>
    <w:rsid w:val="73D902CE"/>
    <w:rsid w:val="73DB9D09"/>
    <w:rsid w:val="73DB9EBD"/>
    <w:rsid w:val="73DD924C"/>
    <w:rsid w:val="73E1C216"/>
    <w:rsid w:val="73E45F24"/>
    <w:rsid w:val="73E63734"/>
    <w:rsid w:val="73E7E9AD"/>
    <w:rsid w:val="73E822FB"/>
    <w:rsid w:val="73E86164"/>
    <w:rsid w:val="73E8FDBB"/>
    <w:rsid w:val="73E9CD5F"/>
    <w:rsid w:val="73E9E7C3"/>
    <w:rsid w:val="73EA5436"/>
    <w:rsid w:val="73EB127B"/>
    <w:rsid w:val="73ECF8E9"/>
    <w:rsid w:val="73EE132C"/>
    <w:rsid w:val="73EE465E"/>
    <w:rsid w:val="73F68631"/>
    <w:rsid w:val="73F97507"/>
    <w:rsid w:val="73FCBCA6"/>
    <w:rsid w:val="73FDC2AF"/>
    <w:rsid w:val="74022B70"/>
    <w:rsid w:val="74040B19"/>
    <w:rsid w:val="74067BE2"/>
    <w:rsid w:val="740C7C41"/>
    <w:rsid w:val="740CD679"/>
    <w:rsid w:val="740E97F4"/>
    <w:rsid w:val="740FA5E3"/>
    <w:rsid w:val="7411DA88"/>
    <w:rsid w:val="74128764"/>
    <w:rsid w:val="7412CAFA"/>
    <w:rsid w:val="7412D53A"/>
    <w:rsid w:val="74156E59"/>
    <w:rsid w:val="74165AF9"/>
    <w:rsid w:val="74181191"/>
    <w:rsid w:val="7419E624"/>
    <w:rsid w:val="741FEAB5"/>
    <w:rsid w:val="742042C3"/>
    <w:rsid w:val="74218253"/>
    <w:rsid w:val="7422A5C7"/>
    <w:rsid w:val="74241F57"/>
    <w:rsid w:val="7428E826"/>
    <w:rsid w:val="742CCB8A"/>
    <w:rsid w:val="742E066D"/>
    <w:rsid w:val="742EBD56"/>
    <w:rsid w:val="743045F9"/>
    <w:rsid w:val="74317436"/>
    <w:rsid w:val="7434280F"/>
    <w:rsid w:val="74344CE4"/>
    <w:rsid w:val="74350DC4"/>
    <w:rsid w:val="74377E97"/>
    <w:rsid w:val="7439316E"/>
    <w:rsid w:val="743FA1E9"/>
    <w:rsid w:val="74408761"/>
    <w:rsid w:val="74410A62"/>
    <w:rsid w:val="7441EEE7"/>
    <w:rsid w:val="74460E90"/>
    <w:rsid w:val="7446AEDD"/>
    <w:rsid w:val="744845BB"/>
    <w:rsid w:val="7448BB53"/>
    <w:rsid w:val="74496FA2"/>
    <w:rsid w:val="7449E243"/>
    <w:rsid w:val="744A1075"/>
    <w:rsid w:val="744C610B"/>
    <w:rsid w:val="744E5182"/>
    <w:rsid w:val="744E9A9B"/>
    <w:rsid w:val="744EABDA"/>
    <w:rsid w:val="744F25AD"/>
    <w:rsid w:val="744F5CE0"/>
    <w:rsid w:val="744FAA1C"/>
    <w:rsid w:val="74513B36"/>
    <w:rsid w:val="74523D60"/>
    <w:rsid w:val="74525371"/>
    <w:rsid w:val="7453E787"/>
    <w:rsid w:val="74540387"/>
    <w:rsid w:val="74557C07"/>
    <w:rsid w:val="7456FAB6"/>
    <w:rsid w:val="745B784A"/>
    <w:rsid w:val="745D9477"/>
    <w:rsid w:val="7462F106"/>
    <w:rsid w:val="7464AF82"/>
    <w:rsid w:val="7464CAEB"/>
    <w:rsid w:val="7464FC96"/>
    <w:rsid w:val="746657A6"/>
    <w:rsid w:val="746A0BBA"/>
    <w:rsid w:val="746C189E"/>
    <w:rsid w:val="746EE1E2"/>
    <w:rsid w:val="746F2E86"/>
    <w:rsid w:val="746FD0AF"/>
    <w:rsid w:val="7471EE00"/>
    <w:rsid w:val="747521E3"/>
    <w:rsid w:val="747689CB"/>
    <w:rsid w:val="7477DE55"/>
    <w:rsid w:val="7477E35A"/>
    <w:rsid w:val="74784991"/>
    <w:rsid w:val="747A6ED9"/>
    <w:rsid w:val="747D8CDF"/>
    <w:rsid w:val="747F8795"/>
    <w:rsid w:val="747FB0FD"/>
    <w:rsid w:val="7480BB44"/>
    <w:rsid w:val="7480D9D8"/>
    <w:rsid w:val="7482B5BB"/>
    <w:rsid w:val="74853230"/>
    <w:rsid w:val="748593E0"/>
    <w:rsid w:val="7486622C"/>
    <w:rsid w:val="7486F129"/>
    <w:rsid w:val="74874B8A"/>
    <w:rsid w:val="7487BA3E"/>
    <w:rsid w:val="74881F2F"/>
    <w:rsid w:val="748DDB6A"/>
    <w:rsid w:val="748EF787"/>
    <w:rsid w:val="7490B255"/>
    <w:rsid w:val="74921B15"/>
    <w:rsid w:val="7493E438"/>
    <w:rsid w:val="749662C9"/>
    <w:rsid w:val="7498AF42"/>
    <w:rsid w:val="749C39F9"/>
    <w:rsid w:val="749CE67A"/>
    <w:rsid w:val="749E2C2F"/>
    <w:rsid w:val="749EB85E"/>
    <w:rsid w:val="74A12D5F"/>
    <w:rsid w:val="74A1537E"/>
    <w:rsid w:val="74A25DEC"/>
    <w:rsid w:val="74A3594F"/>
    <w:rsid w:val="74A4C2E8"/>
    <w:rsid w:val="74A97D77"/>
    <w:rsid w:val="74A9BA3C"/>
    <w:rsid w:val="74AB140B"/>
    <w:rsid w:val="74AB42B1"/>
    <w:rsid w:val="74B22A22"/>
    <w:rsid w:val="74B2CDCA"/>
    <w:rsid w:val="74B49D25"/>
    <w:rsid w:val="74B5C778"/>
    <w:rsid w:val="74B669F9"/>
    <w:rsid w:val="74B770DD"/>
    <w:rsid w:val="74B80A1E"/>
    <w:rsid w:val="74BC7483"/>
    <w:rsid w:val="74BCE6DA"/>
    <w:rsid w:val="74BD354A"/>
    <w:rsid w:val="74BF46DE"/>
    <w:rsid w:val="74BFF28C"/>
    <w:rsid w:val="74C0AC70"/>
    <w:rsid w:val="74C1C7A9"/>
    <w:rsid w:val="74C3BF6C"/>
    <w:rsid w:val="74C3D4FF"/>
    <w:rsid w:val="74C43308"/>
    <w:rsid w:val="74C53804"/>
    <w:rsid w:val="74C5626B"/>
    <w:rsid w:val="74C5AC7C"/>
    <w:rsid w:val="74C5BF50"/>
    <w:rsid w:val="74C8E31C"/>
    <w:rsid w:val="74CC05C1"/>
    <w:rsid w:val="74D0C13B"/>
    <w:rsid w:val="74D1F82E"/>
    <w:rsid w:val="74D2AB8C"/>
    <w:rsid w:val="74D31D16"/>
    <w:rsid w:val="74D5F7CE"/>
    <w:rsid w:val="74D881AE"/>
    <w:rsid w:val="74D95699"/>
    <w:rsid w:val="74DA1BFA"/>
    <w:rsid w:val="74DA41DD"/>
    <w:rsid w:val="74DDC961"/>
    <w:rsid w:val="74DE7E88"/>
    <w:rsid w:val="74DFFEE4"/>
    <w:rsid w:val="74E01A81"/>
    <w:rsid w:val="74E232EF"/>
    <w:rsid w:val="74E94210"/>
    <w:rsid w:val="74EC5583"/>
    <w:rsid w:val="74F3829B"/>
    <w:rsid w:val="74F60EA8"/>
    <w:rsid w:val="74F69CFC"/>
    <w:rsid w:val="74F6BAF8"/>
    <w:rsid w:val="74F738A2"/>
    <w:rsid w:val="74FA59C9"/>
    <w:rsid w:val="74FC4BD8"/>
    <w:rsid w:val="74FF9C9A"/>
    <w:rsid w:val="7500F97E"/>
    <w:rsid w:val="75035043"/>
    <w:rsid w:val="7503CEE0"/>
    <w:rsid w:val="7505C1E3"/>
    <w:rsid w:val="7507EE31"/>
    <w:rsid w:val="7508792C"/>
    <w:rsid w:val="750B7731"/>
    <w:rsid w:val="750CDB41"/>
    <w:rsid w:val="750D9259"/>
    <w:rsid w:val="750E81AA"/>
    <w:rsid w:val="7510C359"/>
    <w:rsid w:val="7510D485"/>
    <w:rsid w:val="75137C57"/>
    <w:rsid w:val="7516D706"/>
    <w:rsid w:val="75187B36"/>
    <w:rsid w:val="75187E6C"/>
    <w:rsid w:val="7518F9A2"/>
    <w:rsid w:val="751C7744"/>
    <w:rsid w:val="751CC2C0"/>
    <w:rsid w:val="751CFF17"/>
    <w:rsid w:val="751DA074"/>
    <w:rsid w:val="751FE4D4"/>
    <w:rsid w:val="75227ED7"/>
    <w:rsid w:val="75238BF2"/>
    <w:rsid w:val="752419C5"/>
    <w:rsid w:val="7524A255"/>
    <w:rsid w:val="7524C326"/>
    <w:rsid w:val="75259227"/>
    <w:rsid w:val="75261440"/>
    <w:rsid w:val="7526992E"/>
    <w:rsid w:val="7529337A"/>
    <w:rsid w:val="752A0B5B"/>
    <w:rsid w:val="752A6C73"/>
    <w:rsid w:val="752AEC96"/>
    <w:rsid w:val="752B74E4"/>
    <w:rsid w:val="752DED0A"/>
    <w:rsid w:val="752E166F"/>
    <w:rsid w:val="752E78AD"/>
    <w:rsid w:val="752FF8CE"/>
    <w:rsid w:val="7530957D"/>
    <w:rsid w:val="75310AA7"/>
    <w:rsid w:val="75337A96"/>
    <w:rsid w:val="753762BA"/>
    <w:rsid w:val="75387A09"/>
    <w:rsid w:val="753B557C"/>
    <w:rsid w:val="753E6006"/>
    <w:rsid w:val="753EFC10"/>
    <w:rsid w:val="753F217D"/>
    <w:rsid w:val="753F7579"/>
    <w:rsid w:val="753F7623"/>
    <w:rsid w:val="75407BA6"/>
    <w:rsid w:val="754413E6"/>
    <w:rsid w:val="7545A650"/>
    <w:rsid w:val="7545BBBC"/>
    <w:rsid w:val="7545C431"/>
    <w:rsid w:val="75466C07"/>
    <w:rsid w:val="7546FCD4"/>
    <w:rsid w:val="75484AC6"/>
    <w:rsid w:val="754B3929"/>
    <w:rsid w:val="754C2B38"/>
    <w:rsid w:val="754DB03B"/>
    <w:rsid w:val="754E4EBB"/>
    <w:rsid w:val="754F9C77"/>
    <w:rsid w:val="75525A45"/>
    <w:rsid w:val="7553A0EB"/>
    <w:rsid w:val="7555822A"/>
    <w:rsid w:val="7555A33E"/>
    <w:rsid w:val="7555E804"/>
    <w:rsid w:val="75560D4F"/>
    <w:rsid w:val="7556ECDC"/>
    <w:rsid w:val="75587EDD"/>
    <w:rsid w:val="7559609E"/>
    <w:rsid w:val="755A8A16"/>
    <w:rsid w:val="755C9BA9"/>
    <w:rsid w:val="755E4899"/>
    <w:rsid w:val="7560F66F"/>
    <w:rsid w:val="75621931"/>
    <w:rsid w:val="75622C79"/>
    <w:rsid w:val="75635412"/>
    <w:rsid w:val="75652F28"/>
    <w:rsid w:val="756707E4"/>
    <w:rsid w:val="7568833C"/>
    <w:rsid w:val="7568F18B"/>
    <w:rsid w:val="756BA4FE"/>
    <w:rsid w:val="756D1285"/>
    <w:rsid w:val="756D3C56"/>
    <w:rsid w:val="756E25C1"/>
    <w:rsid w:val="756F06B8"/>
    <w:rsid w:val="75715106"/>
    <w:rsid w:val="75727AAC"/>
    <w:rsid w:val="7573CF12"/>
    <w:rsid w:val="75750829"/>
    <w:rsid w:val="757587AA"/>
    <w:rsid w:val="7575DE02"/>
    <w:rsid w:val="7576B847"/>
    <w:rsid w:val="757860E5"/>
    <w:rsid w:val="757C0790"/>
    <w:rsid w:val="757C0BCF"/>
    <w:rsid w:val="757E8E62"/>
    <w:rsid w:val="7581C204"/>
    <w:rsid w:val="75878D7C"/>
    <w:rsid w:val="7588C34E"/>
    <w:rsid w:val="75890FCB"/>
    <w:rsid w:val="758AE104"/>
    <w:rsid w:val="758F7A70"/>
    <w:rsid w:val="75903AAC"/>
    <w:rsid w:val="75908990"/>
    <w:rsid w:val="759232CD"/>
    <w:rsid w:val="7593681A"/>
    <w:rsid w:val="759527BE"/>
    <w:rsid w:val="75955BD3"/>
    <w:rsid w:val="75969D73"/>
    <w:rsid w:val="75970A55"/>
    <w:rsid w:val="759A1E5E"/>
    <w:rsid w:val="759ACE8B"/>
    <w:rsid w:val="759BB8E0"/>
    <w:rsid w:val="759BE648"/>
    <w:rsid w:val="759BF290"/>
    <w:rsid w:val="759D0761"/>
    <w:rsid w:val="759E8F2C"/>
    <w:rsid w:val="759F7B24"/>
    <w:rsid w:val="75A28CF2"/>
    <w:rsid w:val="75A46C99"/>
    <w:rsid w:val="75A4D2E0"/>
    <w:rsid w:val="75A618DC"/>
    <w:rsid w:val="75A6E859"/>
    <w:rsid w:val="75A8FA82"/>
    <w:rsid w:val="75AD8F58"/>
    <w:rsid w:val="75ADECED"/>
    <w:rsid w:val="75AF40A6"/>
    <w:rsid w:val="75B4AC0A"/>
    <w:rsid w:val="75B555B8"/>
    <w:rsid w:val="75B6496D"/>
    <w:rsid w:val="75B64E73"/>
    <w:rsid w:val="75B74287"/>
    <w:rsid w:val="75B7F352"/>
    <w:rsid w:val="75B977FE"/>
    <w:rsid w:val="75BAB8B5"/>
    <w:rsid w:val="75BDF6D2"/>
    <w:rsid w:val="75BFBC04"/>
    <w:rsid w:val="75C0CF6B"/>
    <w:rsid w:val="75C19E74"/>
    <w:rsid w:val="75C479C7"/>
    <w:rsid w:val="75C52AB5"/>
    <w:rsid w:val="75C630F2"/>
    <w:rsid w:val="75C6699B"/>
    <w:rsid w:val="75C9CBF0"/>
    <w:rsid w:val="75CC6D62"/>
    <w:rsid w:val="75CEB975"/>
    <w:rsid w:val="75CF2EF7"/>
    <w:rsid w:val="75D01423"/>
    <w:rsid w:val="75D4AF8A"/>
    <w:rsid w:val="75D512A2"/>
    <w:rsid w:val="75D5285E"/>
    <w:rsid w:val="75D63A1D"/>
    <w:rsid w:val="75D7FFD8"/>
    <w:rsid w:val="75D83E92"/>
    <w:rsid w:val="75D8D7C1"/>
    <w:rsid w:val="75D93EF7"/>
    <w:rsid w:val="75DABB81"/>
    <w:rsid w:val="75DB8E2F"/>
    <w:rsid w:val="75DC3509"/>
    <w:rsid w:val="75DC3970"/>
    <w:rsid w:val="75DF8A63"/>
    <w:rsid w:val="75E1932C"/>
    <w:rsid w:val="75E24C34"/>
    <w:rsid w:val="75E30FF6"/>
    <w:rsid w:val="75E3F3F4"/>
    <w:rsid w:val="75E4426A"/>
    <w:rsid w:val="75E6D1D4"/>
    <w:rsid w:val="75EC1449"/>
    <w:rsid w:val="75EC8E13"/>
    <w:rsid w:val="75ECAB07"/>
    <w:rsid w:val="75EDEBE2"/>
    <w:rsid w:val="75EF2473"/>
    <w:rsid w:val="75EF3483"/>
    <w:rsid w:val="75F03CA5"/>
    <w:rsid w:val="75F07E48"/>
    <w:rsid w:val="75F78B6B"/>
    <w:rsid w:val="75FA27D1"/>
    <w:rsid w:val="75FAC179"/>
    <w:rsid w:val="75FCAB91"/>
    <w:rsid w:val="75FCCF6B"/>
    <w:rsid w:val="75FCE417"/>
    <w:rsid w:val="76002DB9"/>
    <w:rsid w:val="760084E2"/>
    <w:rsid w:val="7604C481"/>
    <w:rsid w:val="7606778D"/>
    <w:rsid w:val="76078B1A"/>
    <w:rsid w:val="76085551"/>
    <w:rsid w:val="7608F40C"/>
    <w:rsid w:val="7609F135"/>
    <w:rsid w:val="760A07CB"/>
    <w:rsid w:val="760ADD62"/>
    <w:rsid w:val="760D9103"/>
    <w:rsid w:val="760F053E"/>
    <w:rsid w:val="760F3492"/>
    <w:rsid w:val="76118D8A"/>
    <w:rsid w:val="761872F0"/>
    <w:rsid w:val="76187E94"/>
    <w:rsid w:val="761936CA"/>
    <w:rsid w:val="761AF34E"/>
    <w:rsid w:val="761BE532"/>
    <w:rsid w:val="761C2BF3"/>
    <w:rsid w:val="761EF93B"/>
    <w:rsid w:val="76204F0E"/>
    <w:rsid w:val="76238453"/>
    <w:rsid w:val="76249366"/>
    <w:rsid w:val="7624CB47"/>
    <w:rsid w:val="7625E0E2"/>
    <w:rsid w:val="7629476F"/>
    <w:rsid w:val="762A1FFF"/>
    <w:rsid w:val="762A38C1"/>
    <w:rsid w:val="762A7BA0"/>
    <w:rsid w:val="762D46FA"/>
    <w:rsid w:val="762EE11F"/>
    <w:rsid w:val="763811BC"/>
    <w:rsid w:val="763967D5"/>
    <w:rsid w:val="763B82F0"/>
    <w:rsid w:val="763C3D74"/>
    <w:rsid w:val="763D3150"/>
    <w:rsid w:val="763D8FAA"/>
    <w:rsid w:val="763E177E"/>
    <w:rsid w:val="7640C264"/>
    <w:rsid w:val="7640CC88"/>
    <w:rsid w:val="76410587"/>
    <w:rsid w:val="7643AB71"/>
    <w:rsid w:val="7643D51E"/>
    <w:rsid w:val="7649628A"/>
    <w:rsid w:val="764DF7CE"/>
    <w:rsid w:val="764EB54E"/>
    <w:rsid w:val="764F702C"/>
    <w:rsid w:val="764F80D1"/>
    <w:rsid w:val="764F90B3"/>
    <w:rsid w:val="764FB3E0"/>
    <w:rsid w:val="7650C4ED"/>
    <w:rsid w:val="76526163"/>
    <w:rsid w:val="76528A8B"/>
    <w:rsid w:val="7653D2AA"/>
    <w:rsid w:val="76557CF3"/>
    <w:rsid w:val="7655FA56"/>
    <w:rsid w:val="76561D1F"/>
    <w:rsid w:val="7657D0B5"/>
    <w:rsid w:val="76594D22"/>
    <w:rsid w:val="7659D89D"/>
    <w:rsid w:val="765A3185"/>
    <w:rsid w:val="765E6DAB"/>
    <w:rsid w:val="765FC1BC"/>
    <w:rsid w:val="766110FF"/>
    <w:rsid w:val="766165FB"/>
    <w:rsid w:val="766220B4"/>
    <w:rsid w:val="7663A6A1"/>
    <w:rsid w:val="7664767B"/>
    <w:rsid w:val="7669F067"/>
    <w:rsid w:val="766F4AA1"/>
    <w:rsid w:val="7670312C"/>
    <w:rsid w:val="7672A6FA"/>
    <w:rsid w:val="7674FCFE"/>
    <w:rsid w:val="76786B23"/>
    <w:rsid w:val="7679762E"/>
    <w:rsid w:val="767AE9D6"/>
    <w:rsid w:val="767E36D0"/>
    <w:rsid w:val="767EDFE1"/>
    <w:rsid w:val="767F2263"/>
    <w:rsid w:val="76802722"/>
    <w:rsid w:val="76805CAC"/>
    <w:rsid w:val="768120FD"/>
    <w:rsid w:val="76825F5C"/>
    <w:rsid w:val="768614C2"/>
    <w:rsid w:val="76869A15"/>
    <w:rsid w:val="76880633"/>
    <w:rsid w:val="7688193B"/>
    <w:rsid w:val="7688665A"/>
    <w:rsid w:val="76888EA8"/>
    <w:rsid w:val="768B0E01"/>
    <w:rsid w:val="768B933E"/>
    <w:rsid w:val="768D68B4"/>
    <w:rsid w:val="768F6279"/>
    <w:rsid w:val="76904065"/>
    <w:rsid w:val="769174B3"/>
    <w:rsid w:val="76918018"/>
    <w:rsid w:val="76992191"/>
    <w:rsid w:val="7699A31A"/>
    <w:rsid w:val="769B28CB"/>
    <w:rsid w:val="769DA686"/>
    <w:rsid w:val="769E0987"/>
    <w:rsid w:val="769F6E8D"/>
    <w:rsid w:val="76A35DD0"/>
    <w:rsid w:val="76A39225"/>
    <w:rsid w:val="76A56183"/>
    <w:rsid w:val="76A6B18B"/>
    <w:rsid w:val="76A908B1"/>
    <w:rsid w:val="76AC4044"/>
    <w:rsid w:val="76AD9F39"/>
    <w:rsid w:val="76ADD552"/>
    <w:rsid w:val="76B6B957"/>
    <w:rsid w:val="76B856FF"/>
    <w:rsid w:val="76BBBFB8"/>
    <w:rsid w:val="76BCE36D"/>
    <w:rsid w:val="76BDE249"/>
    <w:rsid w:val="76BE6634"/>
    <w:rsid w:val="76BE73AF"/>
    <w:rsid w:val="76BF8D8E"/>
    <w:rsid w:val="76BFD0F6"/>
    <w:rsid w:val="76C0022C"/>
    <w:rsid w:val="76C1E329"/>
    <w:rsid w:val="76C382BC"/>
    <w:rsid w:val="76C4D865"/>
    <w:rsid w:val="76C5DA1D"/>
    <w:rsid w:val="76C95309"/>
    <w:rsid w:val="76CB7E22"/>
    <w:rsid w:val="76CF9790"/>
    <w:rsid w:val="76D3B653"/>
    <w:rsid w:val="76D3C967"/>
    <w:rsid w:val="76D4C28F"/>
    <w:rsid w:val="76D8FE3E"/>
    <w:rsid w:val="76D9275D"/>
    <w:rsid w:val="76D9CC26"/>
    <w:rsid w:val="76DAEACE"/>
    <w:rsid w:val="76DB925F"/>
    <w:rsid w:val="76DD0409"/>
    <w:rsid w:val="76DD6FF7"/>
    <w:rsid w:val="76DECAAD"/>
    <w:rsid w:val="76E2E5AF"/>
    <w:rsid w:val="76E53CFF"/>
    <w:rsid w:val="76E5A422"/>
    <w:rsid w:val="76E62C2C"/>
    <w:rsid w:val="76EDD7A5"/>
    <w:rsid w:val="76EFD3CF"/>
    <w:rsid w:val="76F0A582"/>
    <w:rsid w:val="76F11A0C"/>
    <w:rsid w:val="76F133B9"/>
    <w:rsid w:val="76F33890"/>
    <w:rsid w:val="76F36260"/>
    <w:rsid w:val="76F3A355"/>
    <w:rsid w:val="76F43C16"/>
    <w:rsid w:val="76F65CD1"/>
    <w:rsid w:val="76F67499"/>
    <w:rsid w:val="76F7F6AF"/>
    <w:rsid w:val="76F88828"/>
    <w:rsid w:val="76F8FA4E"/>
    <w:rsid w:val="76FADA2C"/>
    <w:rsid w:val="76FE0655"/>
    <w:rsid w:val="77012FB1"/>
    <w:rsid w:val="7703911D"/>
    <w:rsid w:val="770535D7"/>
    <w:rsid w:val="7706A7B6"/>
    <w:rsid w:val="77074718"/>
    <w:rsid w:val="77078628"/>
    <w:rsid w:val="7707BC2B"/>
    <w:rsid w:val="7709B5E1"/>
    <w:rsid w:val="7709EA8B"/>
    <w:rsid w:val="7710BEB3"/>
    <w:rsid w:val="7711B1AD"/>
    <w:rsid w:val="77133982"/>
    <w:rsid w:val="7714A09A"/>
    <w:rsid w:val="7714BBE2"/>
    <w:rsid w:val="77167D63"/>
    <w:rsid w:val="7716AF2F"/>
    <w:rsid w:val="7719156C"/>
    <w:rsid w:val="771993DF"/>
    <w:rsid w:val="771F3716"/>
    <w:rsid w:val="7720FB6E"/>
    <w:rsid w:val="77226BA8"/>
    <w:rsid w:val="7723D88D"/>
    <w:rsid w:val="7724F39D"/>
    <w:rsid w:val="77256EB5"/>
    <w:rsid w:val="77277C22"/>
    <w:rsid w:val="772D3A73"/>
    <w:rsid w:val="772E4CDE"/>
    <w:rsid w:val="772E60AB"/>
    <w:rsid w:val="772FB348"/>
    <w:rsid w:val="77316DBE"/>
    <w:rsid w:val="773269BA"/>
    <w:rsid w:val="7732857C"/>
    <w:rsid w:val="77330FB2"/>
    <w:rsid w:val="7733FC59"/>
    <w:rsid w:val="7734C8CB"/>
    <w:rsid w:val="77354B4F"/>
    <w:rsid w:val="7739292D"/>
    <w:rsid w:val="773D6257"/>
    <w:rsid w:val="773D8F69"/>
    <w:rsid w:val="773F6022"/>
    <w:rsid w:val="77403A4B"/>
    <w:rsid w:val="77436D78"/>
    <w:rsid w:val="77449D2B"/>
    <w:rsid w:val="77479F2F"/>
    <w:rsid w:val="774852C6"/>
    <w:rsid w:val="77499AE0"/>
    <w:rsid w:val="774AB3B1"/>
    <w:rsid w:val="774CC929"/>
    <w:rsid w:val="774DC320"/>
    <w:rsid w:val="7750E0D4"/>
    <w:rsid w:val="7750EA13"/>
    <w:rsid w:val="775135BE"/>
    <w:rsid w:val="7752DA36"/>
    <w:rsid w:val="77537C7A"/>
    <w:rsid w:val="7753F5AD"/>
    <w:rsid w:val="77550B27"/>
    <w:rsid w:val="775722A7"/>
    <w:rsid w:val="7758EB51"/>
    <w:rsid w:val="7759E4FF"/>
    <w:rsid w:val="775A18DE"/>
    <w:rsid w:val="775AA1EA"/>
    <w:rsid w:val="775C6952"/>
    <w:rsid w:val="775D9327"/>
    <w:rsid w:val="7762C2A0"/>
    <w:rsid w:val="7769A21C"/>
    <w:rsid w:val="7769EBAA"/>
    <w:rsid w:val="776BAD96"/>
    <w:rsid w:val="776DA4FA"/>
    <w:rsid w:val="776E0C7E"/>
    <w:rsid w:val="776EC888"/>
    <w:rsid w:val="776F022A"/>
    <w:rsid w:val="7770789B"/>
    <w:rsid w:val="7775C899"/>
    <w:rsid w:val="7777CD36"/>
    <w:rsid w:val="777C1779"/>
    <w:rsid w:val="777C1C3F"/>
    <w:rsid w:val="777CADBA"/>
    <w:rsid w:val="777E5A66"/>
    <w:rsid w:val="777EDDCC"/>
    <w:rsid w:val="777F073F"/>
    <w:rsid w:val="777F69A3"/>
    <w:rsid w:val="778024C3"/>
    <w:rsid w:val="77837E3F"/>
    <w:rsid w:val="7784F3B9"/>
    <w:rsid w:val="7785054D"/>
    <w:rsid w:val="778671CB"/>
    <w:rsid w:val="77878478"/>
    <w:rsid w:val="778968BE"/>
    <w:rsid w:val="778AB193"/>
    <w:rsid w:val="778E6B16"/>
    <w:rsid w:val="778F3EC3"/>
    <w:rsid w:val="7791FE2C"/>
    <w:rsid w:val="7792CB21"/>
    <w:rsid w:val="77941B39"/>
    <w:rsid w:val="7794632F"/>
    <w:rsid w:val="77989ECF"/>
    <w:rsid w:val="779B58F2"/>
    <w:rsid w:val="779DA440"/>
    <w:rsid w:val="779E4CAE"/>
    <w:rsid w:val="779FB180"/>
    <w:rsid w:val="77A31806"/>
    <w:rsid w:val="77A3A6E7"/>
    <w:rsid w:val="77A50441"/>
    <w:rsid w:val="77A6082A"/>
    <w:rsid w:val="77A6F9BB"/>
    <w:rsid w:val="77A76B4D"/>
    <w:rsid w:val="77AB3B0B"/>
    <w:rsid w:val="77B016C6"/>
    <w:rsid w:val="77B20E4B"/>
    <w:rsid w:val="77B4E2B6"/>
    <w:rsid w:val="77B5E307"/>
    <w:rsid w:val="77B6D3A3"/>
    <w:rsid w:val="77B83BF4"/>
    <w:rsid w:val="77B9620D"/>
    <w:rsid w:val="77BA7883"/>
    <w:rsid w:val="77BC107C"/>
    <w:rsid w:val="77BC6D94"/>
    <w:rsid w:val="77BDB9D9"/>
    <w:rsid w:val="77BDED3B"/>
    <w:rsid w:val="77BF2A1A"/>
    <w:rsid w:val="77C004F5"/>
    <w:rsid w:val="77C0AB1C"/>
    <w:rsid w:val="77C24EFE"/>
    <w:rsid w:val="77C2E85A"/>
    <w:rsid w:val="77C6A157"/>
    <w:rsid w:val="77C7CF93"/>
    <w:rsid w:val="77C9DCF2"/>
    <w:rsid w:val="77CAAE9D"/>
    <w:rsid w:val="77CC5DB1"/>
    <w:rsid w:val="77CCC0BD"/>
    <w:rsid w:val="77CDC6E6"/>
    <w:rsid w:val="77CDF912"/>
    <w:rsid w:val="77D1645F"/>
    <w:rsid w:val="77D32645"/>
    <w:rsid w:val="77D3A5DC"/>
    <w:rsid w:val="77D52BE0"/>
    <w:rsid w:val="77D6A85C"/>
    <w:rsid w:val="77D6E865"/>
    <w:rsid w:val="77D75A97"/>
    <w:rsid w:val="77D7F005"/>
    <w:rsid w:val="77D91998"/>
    <w:rsid w:val="77D9573F"/>
    <w:rsid w:val="77D9A798"/>
    <w:rsid w:val="77DA226E"/>
    <w:rsid w:val="77DA54E2"/>
    <w:rsid w:val="77E121F2"/>
    <w:rsid w:val="77E3F511"/>
    <w:rsid w:val="77E4C1DF"/>
    <w:rsid w:val="77E5660F"/>
    <w:rsid w:val="77E7BE13"/>
    <w:rsid w:val="77E80D6F"/>
    <w:rsid w:val="77E8AE2B"/>
    <w:rsid w:val="77E9136C"/>
    <w:rsid w:val="77E97C2A"/>
    <w:rsid w:val="77E9EDF0"/>
    <w:rsid w:val="77EC817A"/>
    <w:rsid w:val="77EEF645"/>
    <w:rsid w:val="77F15D87"/>
    <w:rsid w:val="77F1B2A9"/>
    <w:rsid w:val="77F46128"/>
    <w:rsid w:val="77F4943B"/>
    <w:rsid w:val="77F5F022"/>
    <w:rsid w:val="77F62B9D"/>
    <w:rsid w:val="77FADF1A"/>
    <w:rsid w:val="77FB0B87"/>
    <w:rsid w:val="77FC3D95"/>
    <w:rsid w:val="77FE13D6"/>
    <w:rsid w:val="77FE16B5"/>
    <w:rsid w:val="77FEF945"/>
    <w:rsid w:val="77FF2A5C"/>
    <w:rsid w:val="77FFA70D"/>
    <w:rsid w:val="77FFED01"/>
    <w:rsid w:val="780140B1"/>
    <w:rsid w:val="780255FE"/>
    <w:rsid w:val="7805C71F"/>
    <w:rsid w:val="7805C8C6"/>
    <w:rsid w:val="780804A4"/>
    <w:rsid w:val="780B4902"/>
    <w:rsid w:val="780D6FBD"/>
    <w:rsid w:val="780F9022"/>
    <w:rsid w:val="780FC8E9"/>
    <w:rsid w:val="7810EC05"/>
    <w:rsid w:val="7810F058"/>
    <w:rsid w:val="78114E77"/>
    <w:rsid w:val="7811EAB1"/>
    <w:rsid w:val="781425A1"/>
    <w:rsid w:val="78147455"/>
    <w:rsid w:val="78157E6C"/>
    <w:rsid w:val="7815B6CA"/>
    <w:rsid w:val="7816394C"/>
    <w:rsid w:val="7816BE12"/>
    <w:rsid w:val="7817D957"/>
    <w:rsid w:val="78182204"/>
    <w:rsid w:val="78184FE6"/>
    <w:rsid w:val="78189910"/>
    <w:rsid w:val="7818D469"/>
    <w:rsid w:val="78190B45"/>
    <w:rsid w:val="781D359C"/>
    <w:rsid w:val="78205567"/>
    <w:rsid w:val="782603B8"/>
    <w:rsid w:val="7826C30D"/>
    <w:rsid w:val="782792CB"/>
    <w:rsid w:val="78280F20"/>
    <w:rsid w:val="78289CE9"/>
    <w:rsid w:val="7828FFFD"/>
    <w:rsid w:val="782BA5F8"/>
    <w:rsid w:val="782BB2D1"/>
    <w:rsid w:val="782CEFFA"/>
    <w:rsid w:val="782D64A4"/>
    <w:rsid w:val="782EF80C"/>
    <w:rsid w:val="78309112"/>
    <w:rsid w:val="78336298"/>
    <w:rsid w:val="7837FCDA"/>
    <w:rsid w:val="78395673"/>
    <w:rsid w:val="783ABD3C"/>
    <w:rsid w:val="783CF05F"/>
    <w:rsid w:val="783E6E47"/>
    <w:rsid w:val="783F5CCC"/>
    <w:rsid w:val="783FFC95"/>
    <w:rsid w:val="78407E90"/>
    <w:rsid w:val="7842E877"/>
    <w:rsid w:val="7842E8B5"/>
    <w:rsid w:val="78435059"/>
    <w:rsid w:val="78447F96"/>
    <w:rsid w:val="78449BA5"/>
    <w:rsid w:val="7846EEE8"/>
    <w:rsid w:val="7847E73A"/>
    <w:rsid w:val="7848B818"/>
    <w:rsid w:val="784A2E17"/>
    <w:rsid w:val="784CF55F"/>
    <w:rsid w:val="7851E21B"/>
    <w:rsid w:val="78521A57"/>
    <w:rsid w:val="78540B4D"/>
    <w:rsid w:val="7860FF32"/>
    <w:rsid w:val="7861EAD4"/>
    <w:rsid w:val="7862651E"/>
    <w:rsid w:val="7863FA68"/>
    <w:rsid w:val="78651FFF"/>
    <w:rsid w:val="7866AE77"/>
    <w:rsid w:val="7868F1B4"/>
    <w:rsid w:val="78690276"/>
    <w:rsid w:val="786912A0"/>
    <w:rsid w:val="786A18D6"/>
    <w:rsid w:val="786ADA51"/>
    <w:rsid w:val="786B5F06"/>
    <w:rsid w:val="786E355E"/>
    <w:rsid w:val="786EE5FC"/>
    <w:rsid w:val="78754D5F"/>
    <w:rsid w:val="787AF518"/>
    <w:rsid w:val="7883697B"/>
    <w:rsid w:val="7886A3AE"/>
    <w:rsid w:val="78876FFC"/>
    <w:rsid w:val="78877176"/>
    <w:rsid w:val="7887B522"/>
    <w:rsid w:val="7888639F"/>
    <w:rsid w:val="788B1F03"/>
    <w:rsid w:val="788BE48B"/>
    <w:rsid w:val="788DC40A"/>
    <w:rsid w:val="78913F84"/>
    <w:rsid w:val="7893CBB7"/>
    <w:rsid w:val="78949952"/>
    <w:rsid w:val="78952C8F"/>
    <w:rsid w:val="7897B28F"/>
    <w:rsid w:val="78988F9C"/>
    <w:rsid w:val="789B67EA"/>
    <w:rsid w:val="78A339A0"/>
    <w:rsid w:val="78A360D6"/>
    <w:rsid w:val="78A4ADBE"/>
    <w:rsid w:val="78A689D2"/>
    <w:rsid w:val="78A6C4A9"/>
    <w:rsid w:val="78A9BB07"/>
    <w:rsid w:val="78ABE4D5"/>
    <w:rsid w:val="78ABF442"/>
    <w:rsid w:val="78AC1AF6"/>
    <w:rsid w:val="78ACC7F3"/>
    <w:rsid w:val="78ACD9F3"/>
    <w:rsid w:val="78AD6DA1"/>
    <w:rsid w:val="78B0DA54"/>
    <w:rsid w:val="78B2DA45"/>
    <w:rsid w:val="78B30251"/>
    <w:rsid w:val="78B48AE4"/>
    <w:rsid w:val="78B4E400"/>
    <w:rsid w:val="78B89AD4"/>
    <w:rsid w:val="78B8F334"/>
    <w:rsid w:val="78BBD588"/>
    <w:rsid w:val="78BCCA3A"/>
    <w:rsid w:val="78C10CB8"/>
    <w:rsid w:val="78C1E7BB"/>
    <w:rsid w:val="78C459E2"/>
    <w:rsid w:val="78C48AFD"/>
    <w:rsid w:val="78C99979"/>
    <w:rsid w:val="78C99EBA"/>
    <w:rsid w:val="78C9BAEB"/>
    <w:rsid w:val="78CB2710"/>
    <w:rsid w:val="78CD0C9C"/>
    <w:rsid w:val="78CD8587"/>
    <w:rsid w:val="78D017E5"/>
    <w:rsid w:val="78D296C8"/>
    <w:rsid w:val="78D43237"/>
    <w:rsid w:val="78D4AC4C"/>
    <w:rsid w:val="78D4C374"/>
    <w:rsid w:val="78D50A27"/>
    <w:rsid w:val="78DA42FF"/>
    <w:rsid w:val="78DA8D25"/>
    <w:rsid w:val="78DB05C7"/>
    <w:rsid w:val="78DF515C"/>
    <w:rsid w:val="78E1B0E8"/>
    <w:rsid w:val="78E49D48"/>
    <w:rsid w:val="78E4E6FD"/>
    <w:rsid w:val="78E5F086"/>
    <w:rsid w:val="78E849C7"/>
    <w:rsid w:val="78E9075F"/>
    <w:rsid w:val="78E9D12D"/>
    <w:rsid w:val="78EA8695"/>
    <w:rsid w:val="78EB1EB3"/>
    <w:rsid w:val="78EB3155"/>
    <w:rsid w:val="78EC4F18"/>
    <w:rsid w:val="78ECDA25"/>
    <w:rsid w:val="78EF8264"/>
    <w:rsid w:val="78EFDB9C"/>
    <w:rsid w:val="78F016FE"/>
    <w:rsid w:val="78F01AD4"/>
    <w:rsid w:val="78F341CC"/>
    <w:rsid w:val="78F45D84"/>
    <w:rsid w:val="78F524A0"/>
    <w:rsid w:val="78F7CE78"/>
    <w:rsid w:val="78F830DF"/>
    <w:rsid w:val="78F8BA52"/>
    <w:rsid w:val="78F91B3C"/>
    <w:rsid w:val="78F9C8F5"/>
    <w:rsid w:val="78FA79B5"/>
    <w:rsid w:val="78FACE03"/>
    <w:rsid w:val="78FBBD06"/>
    <w:rsid w:val="78FFE0EC"/>
    <w:rsid w:val="79001AC1"/>
    <w:rsid w:val="7902C1CE"/>
    <w:rsid w:val="79045806"/>
    <w:rsid w:val="790548B3"/>
    <w:rsid w:val="79059D42"/>
    <w:rsid w:val="79079F30"/>
    <w:rsid w:val="79081B99"/>
    <w:rsid w:val="79086D37"/>
    <w:rsid w:val="7909F130"/>
    <w:rsid w:val="790B20CC"/>
    <w:rsid w:val="790C3CD6"/>
    <w:rsid w:val="790DD5D2"/>
    <w:rsid w:val="790E2760"/>
    <w:rsid w:val="790F75F5"/>
    <w:rsid w:val="79105E3F"/>
    <w:rsid w:val="7910A805"/>
    <w:rsid w:val="79119D50"/>
    <w:rsid w:val="79141FC6"/>
    <w:rsid w:val="791435D2"/>
    <w:rsid w:val="79148F73"/>
    <w:rsid w:val="79149333"/>
    <w:rsid w:val="7915DA3A"/>
    <w:rsid w:val="79162781"/>
    <w:rsid w:val="7917EC3D"/>
    <w:rsid w:val="79190B24"/>
    <w:rsid w:val="79199ABA"/>
    <w:rsid w:val="791CED99"/>
    <w:rsid w:val="791F15E9"/>
    <w:rsid w:val="791F7F55"/>
    <w:rsid w:val="79215CAA"/>
    <w:rsid w:val="7921E68A"/>
    <w:rsid w:val="79264B0A"/>
    <w:rsid w:val="7926B3DC"/>
    <w:rsid w:val="79274634"/>
    <w:rsid w:val="7929C84E"/>
    <w:rsid w:val="792B60AB"/>
    <w:rsid w:val="792B8084"/>
    <w:rsid w:val="792DAF72"/>
    <w:rsid w:val="7932F50D"/>
    <w:rsid w:val="7935FC7A"/>
    <w:rsid w:val="79360870"/>
    <w:rsid w:val="79377B52"/>
    <w:rsid w:val="79393F86"/>
    <w:rsid w:val="793AAE09"/>
    <w:rsid w:val="793BB08D"/>
    <w:rsid w:val="793C3006"/>
    <w:rsid w:val="7940566C"/>
    <w:rsid w:val="7943D7A0"/>
    <w:rsid w:val="794598C3"/>
    <w:rsid w:val="7946AD4F"/>
    <w:rsid w:val="794B2AE8"/>
    <w:rsid w:val="794C4914"/>
    <w:rsid w:val="794CD53F"/>
    <w:rsid w:val="794CF8C9"/>
    <w:rsid w:val="794ECFA7"/>
    <w:rsid w:val="794F3C1B"/>
    <w:rsid w:val="7954C301"/>
    <w:rsid w:val="795521F4"/>
    <w:rsid w:val="79575ECE"/>
    <w:rsid w:val="795880FE"/>
    <w:rsid w:val="795AD831"/>
    <w:rsid w:val="795BE43B"/>
    <w:rsid w:val="795E3000"/>
    <w:rsid w:val="795E6B83"/>
    <w:rsid w:val="795E897F"/>
    <w:rsid w:val="795EB95B"/>
    <w:rsid w:val="795F111A"/>
    <w:rsid w:val="79601FBF"/>
    <w:rsid w:val="79622510"/>
    <w:rsid w:val="79649B4F"/>
    <w:rsid w:val="7966B9C4"/>
    <w:rsid w:val="796A6BAB"/>
    <w:rsid w:val="796A8FB6"/>
    <w:rsid w:val="796A9B93"/>
    <w:rsid w:val="796B246C"/>
    <w:rsid w:val="796B99B0"/>
    <w:rsid w:val="796F291F"/>
    <w:rsid w:val="7970374B"/>
    <w:rsid w:val="797142F8"/>
    <w:rsid w:val="79724281"/>
    <w:rsid w:val="7973B763"/>
    <w:rsid w:val="79757169"/>
    <w:rsid w:val="7976FFCC"/>
    <w:rsid w:val="7979D00C"/>
    <w:rsid w:val="797A08A2"/>
    <w:rsid w:val="797ABE42"/>
    <w:rsid w:val="797E18FC"/>
    <w:rsid w:val="797E6C67"/>
    <w:rsid w:val="7982D9AB"/>
    <w:rsid w:val="798440D1"/>
    <w:rsid w:val="79855611"/>
    <w:rsid w:val="79858BF6"/>
    <w:rsid w:val="7986FBF9"/>
    <w:rsid w:val="79879981"/>
    <w:rsid w:val="798F1EB5"/>
    <w:rsid w:val="7991BEB0"/>
    <w:rsid w:val="799301CD"/>
    <w:rsid w:val="799467CE"/>
    <w:rsid w:val="7995D008"/>
    <w:rsid w:val="799682CE"/>
    <w:rsid w:val="79969737"/>
    <w:rsid w:val="799824DD"/>
    <w:rsid w:val="79997604"/>
    <w:rsid w:val="7999897E"/>
    <w:rsid w:val="799A5A28"/>
    <w:rsid w:val="799AF61C"/>
    <w:rsid w:val="799FEAD6"/>
    <w:rsid w:val="79A0601E"/>
    <w:rsid w:val="79A1AF52"/>
    <w:rsid w:val="79A34C10"/>
    <w:rsid w:val="79A4C883"/>
    <w:rsid w:val="79A67828"/>
    <w:rsid w:val="79A92FED"/>
    <w:rsid w:val="79ABFA0F"/>
    <w:rsid w:val="79ACE8C4"/>
    <w:rsid w:val="79B227CE"/>
    <w:rsid w:val="79B28F1B"/>
    <w:rsid w:val="79B3BFB0"/>
    <w:rsid w:val="79B6D5E2"/>
    <w:rsid w:val="79BA2A52"/>
    <w:rsid w:val="79BD8589"/>
    <w:rsid w:val="79BDF7BD"/>
    <w:rsid w:val="79BF8E8E"/>
    <w:rsid w:val="79C651A1"/>
    <w:rsid w:val="79CA5BB5"/>
    <w:rsid w:val="79CA5F73"/>
    <w:rsid w:val="79CBB3DF"/>
    <w:rsid w:val="79CCCC4F"/>
    <w:rsid w:val="79CE8D00"/>
    <w:rsid w:val="79CF7CF9"/>
    <w:rsid w:val="79D3C891"/>
    <w:rsid w:val="79D47FA4"/>
    <w:rsid w:val="79D61F50"/>
    <w:rsid w:val="79D65978"/>
    <w:rsid w:val="79D90CA4"/>
    <w:rsid w:val="79DF55DD"/>
    <w:rsid w:val="79E0EEB4"/>
    <w:rsid w:val="79E1D764"/>
    <w:rsid w:val="79E2CBA9"/>
    <w:rsid w:val="79E38260"/>
    <w:rsid w:val="79E59689"/>
    <w:rsid w:val="79E6BBCE"/>
    <w:rsid w:val="79EA2AC5"/>
    <w:rsid w:val="79EB40EA"/>
    <w:rsid w:val="79EF615E"/>
    <w:rsid w:val="79EF67F2"/>
    <w:rsid w:val="79F3D3A1"/>
    <w:rsid w:val="79F63B51"/>
    <w:rsid w:val="79F7B705"/>
    <w:rsid w:val="79F83D54"/>
    <w:rsid w:val="79F8C79B"/>
    <w:rsid w:val="79F9A988"/>
    <w:rsid w:val="79FD9ABA"/>
    <w:rsid w:val="7A010134"/>
    <w:rsid w:val="7A04487C"/>
    <w:rsid w:val="7A054C3A"/>
    <w:rsid w:val="7A062DF2"/>
    <w:rsid w:val="7A071E04"/>
    <w:rsid w:val="7A089B51"/>
    <w:rsid w:val="7A0989F0"/>
    <w:rsid w:val="7A0A7748"/>
    <w:rsid w:val="7A1019C1"/>
    <w:rsid w:val="7A121FC6"/>
    <w:rsid w:val="7A1472A6"/>
    <w:rsid w:val="7A14FD06"/>
    <w:rsid w:val="7A182309"/>
    <w:rsid w:val="7A1B53C0"/>
    <w:rsid w:val="7A1B7ECE"/>
    <w:rsid w:val="7A1EF3AB"/>
    <w:rsid w:val="7A2168CA"/>
    <w:rsid w:val="7A230291"/>
    <w:rsid w:val="7A2414B6"/>
    <w:rsid w:val="7A286A50"/>
    <w:rsid w:val="7A2A7368"/>
    <w:rsid w:val="7A2AB3C0"/>
    <w:rsid w:val="7A2B5889"/>
    <w:rsid w:val="7A2C7517"/>
    <w:rsid w:val="7A2EDAB7"/>
    <w:rsid w:val="7A317BAB"/>
    <w:rsid w:val="7A328461"/>
    <w:rsid w:val="7A346E0F"/>
    <w:rsid w:val="7A34E1AE"/>
    <w:rsid w:val="7A3549D2"/>
    <w:rsid w:val="7A35A627"/>
    <w:rsid w:val="7A3A2840"/>
    <w:rsid w:val="7A3A41CB"/>
    <w:rsid w:val="7A3A82AA"/>
    <w:rsid w:val="7A3E34A1"/>
    <w:rsid w:val="7A3FC408"/>
    <w:rsid w:val="7A456659"/>
    <w:rsid w:val="7A46AAEE"/>
    <w:rsid w:val="7A4A2B50"/>
    <w:rsid w:val="7A4B86BE"/>
    <w:rsid w:val="7A4BACFF"/>
    <w:rsid w:val="7A4CD31B"/>
    <w:rsid w:val="7A535E53"/>
    <w:rsid w:val="7A5387C3"/>
    <w:rsid w:val="7A5423D7"/>
    <w:rsid w:val="7A5658FD"/>
    <w:rsid w:val="7A567F6D"/>
    <w:rsid w:val="7A59C0D3"/>
    <w:rsid w:val="7A59F53F"/>
    <w:rsid w:val="7A5A7763"/>
    <w:rsid w:val="7A5BBF0D"/>
    <w:rsid w:val="7A604A97"/>
    <w:rsid w:val="7A62E356"/>
    <w:rsid w:val="7A71323F"/>
    <w:rsid w:val="7A718930"/>
    <w:rsid w:val="7A72375B"/>
    <w:rsid w:val="7A729147"/>
    <w:rsid w:val="7A7571E1"/>
    <w:rsid w:val="7A75F1D8"/>
    <w:rsid w:val="7A77B330"/>
    <w:rsid w:val="7A77E1B5"/>
    <w:rsid w:val="7A7A9A89"/>
    <w:rsid w:val="7A8620E5"/>
    <w:rsid w:val="7A86A67C"/>
    <w:rsid w:val="7A86DBAF"/>
    <w:rsid w:val="7A87E371"/>
    <w:rsid w:val="7A888B02"/>
    <w:rsid w:val="7A88CF93"/>
    <w:rsid w:val="7A9286AA"/>
    <w:rsid w:val="7A9470CB"/>
    <w:rsid w:val="7A951615"/>
    <w:rsid w:val="7A97B0B4"/>
    <w:rsid w:val="7A982888"/>
    <w:rsid w:val="7A9A266D"/>
    <w:rsid w:val="7A9B41E9"/>
    <w:rsid w:val="7A9B98D2"/>
    <w:rsid w:val="7AA09B6B"/>
    <w:rsid w:val="7AA14CD8"/>
    <w:rsid w:val="7AA234C9"/>
    <w:rsid w:val="7AA4982E"/>
    <w:rsid w:val="7AA68C02"/>
    <w:rsid w:val="7AA69D9E"/>
    <w:rsid w:val="7AA8A697"/>
    <w:rsid w:val="7AA922A4"/>
    <w:rsid w:val="7AA9429B"/>
    <w:rsid w:val="7AAB5DFB"/>
    <w:rsid w:val="7AACA392"/>
    <w:rsid w:val="7AAE53DB"/>
    <w:rsid w:val="7AB365A2"/>
    <w:rsid w:val="7AB8FE4D"/>
    <w:rsid w:val="7ABE2DFE"/>
    <w:rsid w:val="7ABE977E"/>
    <w:rsid w:val="7AC0423D"/>
    <w:rsid w:val="7AC0D43D"/>
    <w:rsid w:val="7AC0E467"/>
    <w:rsid w:val="7AC41E0A"/>
    <w:rsid w:val="7AC5645F"/>
    <w:rsid w:val="7AC73E62"/>
    <w:rsid w:val="7AC7D2A2"/>
    <w:rsid w:val="7AC8C25F"/>
    <w:rsid w:val="7AC9CC4A"/>
    <w:rsid w:val="7ACA9B5B"/>
    <w:rsid w:val="7ACC338E"/>
    <w:rsid w:val="7ACC3FDF"/>
    <w:rsid w:val="7ACCBF4E"/>
    <w:rsid w:val="7ACD9488"/>
    <w:rsid w:val="7ACE6CF2"/>
    <w:rsid w:val="7ACF0FB8"/>
    <w:rsid w:val="7ACFE081"/>
    <w:rsid w:val="7AD1C767"/>
    <w:rsid w:val="7AD2171D"/>
    <w:rsid w:val="7AD2987F"/>
    <w:rsid w:val="7AD49234"/>
    <w:rsid w:val="7AD57703"/>
    <w:rsid w:val="7AD9F7A5"/>
    <w:rsid w:val="7ADC3F55"/>
    <w:rsid w:val="7ADF6C3E"/>
    <w:rsid w:val="7ADF7964"/>
    <w:rsid w:val="7ADFA99E"/>
    <w:rsid w:val="7ADFBD2C"/>
    <w:rsid w:val="7AE02CEE"/>
    <w:rsid w:val="7AE7AAEB"/>
    <w:rsid w:val="7AEA2642"/>
    <w:rsid w:val="7AEB27B8"/>
    <w:rsid w:val="7AEB7BC8"/>
    <w:rsid w:val="7AECFE43"/>
    <w:rsid w:val="7AEE71A5"/>
    <w:rsid w:val="7AEEB979"/>
    <w:rsid w:val="7AEF72BF"/>
    <w:rsid w:val="7AF22379"/>
    <w:rsid w:val="7AF2C527"/>
    <w:rsid w:val="7AF3993B"/>
    <w:rsid w:val="7AF7144E"/>
    <w:rsid w:val="7AFB45EB"/>
    <w:rsid w:val="7AFD0D72"/>
    <w:rsid w:val="7B068C45"/>
    <w:rsid w:val="7B06C252"/>
    <w:rsid w:val="7B0877BB"/>
    <w:rsid w:val="7B08FD18"/>
    <w:rsid w:val="7B0D3AFF"/>
    <w:rsid w:val="7B0D5F2E"/>
    <w:rsid w:val="7B0DF558"/>
    <w:rsid w:val="7B0F8972"/>
    <w:rsid w:val="7B1152DE"/>
    <w:rsid w:val="7B12DFB1"/>
    <w:rsid w:val="7B1387B6"/>
    <w:rsid w:val="7B14682F"/>
    <w:rsid w:val="7B147E28"/>
    <w:rsid w:val="7B1709CD"/>
    <w:rsid w:val="7B17B2C6"/>
    <w:rsid w:val="7B18FF9D"/>
    <w:rsid w:val="7B1AFB7F"/>
    <w:rsid w:val="7B1C9DAA"/>
    <w:rsid w:val="7B1EAF31"/>
    <w:rsid w:val="7B1F65DD"/>
    <w:rsid w:val="7B22451A"/>
    <w:rsid w:val="7B23A86A"/>
    <w:rsid w:val="7B258FE1"/>
    <w:rsid w:val="7B2745C0"/>
    <w:rsid w:val="7B2BC3E5"/>
    <w:rsid w:val="7B2C091A"/>
    <w:rsid w:val="7B2C0EDD"/>
    <w:rsid w:val="7B2CCA0B"/>
    <w:rsid w:val="7B2CECE1"/>
    <w:rsid w:val="7B304EEA"/>
    <w:rsid w:val="7B311A8B"/>
    <w:rsid w:val="7B31D078"/>
    <w:rsid w:val="7B343D77"/>
    <w:rsid w:val="7B34F755"/>
    <w:rsid w:val="7B359603"/>
    <w:rsid w:val="7B35C6A1"/>
    <w:rsid w:val="7B37BEEB"/>
    <w:rsid w:val="7B38E324"/>
    <w:rsid w:val="7B3A061B"/>
    <w:rsid w:val="7B3BD4A1"/>
    <w:rsid w:val="7B3C66FD"/>
    <w:rsid w:val="7B3DD2EB"/>
    <w:rsid w:val="7B3E42EF"/>
    <w:rsid w:val="7B40067D"/>
    <w:rsid w:val="7B434F29"/>
    <w:rsid w:val="7B43C217"/>
    <w:rsid w:val="7B4449AC"/>
    <w:rsid w:val="7B451271"/>
    <w:rsid w:val="7B45161F"/>
    <w:rsid w:val="7B46CA86"/>
    <w:rsid w:val="7B476C5A"/>
    <w:rsid w:val="7B4BF5D0"/>
    <w:rsid w:val="7B4CF162"/>
    <w:rsid w:val="7B4F46C2"/>
    <w:rsid w:val="7B51CC41"/>
    <w:rsid w:val="7B581F10"/>
    <w:rsid w:val="7B593D44"/>
    <w:rsid w:val="7B59DB78"/>
    <w:rsid w:val="7B59E146"/>
    <w:rsid w:val="7B5A0FB5"/>
    <w:rsid w:val="7B5A3353"/>
    <w:rsid w:val="7B5A3421"/>
    <w:rsid w:val="7B5C9F06"/>
    <w:rsid w:val="7B5CB1FA"/>
    <w:rsid w:val="7B5E620A"/>
    <w:rsid w:val="7B60F1F5"/>
    <w:rsid w:val="7B613554"/>
    <w:rsid w:val="7B61683D"/>
    <w:rsid w:val="7B631BC6"/>
    <w:rsid w:val="7B63321C"/>
    <w:rsid w:val="7B653842"/>
    <w:rsid w:val="7B66AD8A"/>
    <w:rsid w:val="7B6752FE"/>
    <w:rsid w:val="7B67C206"/>
    <w:rsid w:val="7B67CE9A"/>
    <w:rsid w:val="7B6AAE50"/>
    <w:rsid w:val="7B6B5B63"/>
    <w:rsid w:val="7B6CDE58"/>
    <w:rsid w:val="7B6E79FF"/>
    <w:rsid w:val="7B6FDCEF"/>
    <w:rsid w:val="7B700190"/>
    <w:rsid w:val="7B7114AA"/>
    <w:rsid w:val="7B72DE88"/>
    <w:rsid w:val="7B73251A"/>
    <w:rsid w:val="7B7505A0"/>
    <w:rsid w:val="7B76013E"/>
    <w:rsid w:val="7B761831"/>
    <w:rsid w:val="7B7B40F3"/>
    <w:rsid w:val="7B7C6DC0"/>
    <w:rsid w:val="7B7E7DC6"/>
    <w:rsid w:val="7B7F0390"/>
    <w:rsid w:val="7B813CE5"/>
    <w:rsid w:val="7B821F05"/>
    <w:rsid w:val="7B8323BB"/>
    <w:rsid w:val="7B8557F6"/>
    <w:rsid w:val="7B85DB00"/>
    <w:rsid w:val="7B86B92C"/>
    <w:rsid w:val="7B885A23"/>
    <w:rsid w:val="7B89ACE3"/>
    <w:rsid w:val="7B8A0BCF"/>
    <w:rsid w:val="7B8B40D9"/>
    <w:rsid w:val="7B8CB8F2"/>
    <w:rsid w:val="7B90A927"/>
    <w:rsid w:val="7B9160DE"/>
    <w:rsid w:val="7B923E55"/>
    <w:rsid w:val="7B929647"/>
    <w:rsid w:val="7B95E6C4"/>
    <w:rsid w:val="7B9741B5"/>
    <w:rsid w:val="7B9A072E"/>
    <w:rsid w:val="7B9ACDF2"/>
    <w:rsid w:val="7B9C96DC"/>
    <w:rsid w:val="7B9D7BB0"/>
    <w:rsid w:val="7B9D874E"/>
    <w:rsid w:val="7B9E3400"/>
    <w:rsid w:val="7B9ED0FB"/>
    <w:rsid w:val="7B9FCFA4"/>
    <w:rsid w:val="7BA0CDDC"/>
    <w:rsid w:val="7BA29958"/>
    <w:rsid w:val="7BA3F677"/>
    <w:rsid w:val="7BA4DE5C"/>
    <w:rsid w:val="7BA7DA86"/>
    <w:rsid w:val="7BA8A8F7"/>
    <w:rsid w:val="7BAA301D"/>
    <w:rsid w:val="7BAB1F74"/>
    <w:rsid w:val="7BAC3F0C"/>
    <w:rsid w:val="7BAD3F00"/>
    <w:rsid w:val="7BAE7C9B"/>
    <w:rsid w:val="7BAEF8C6"/>
    <w:rsid w:val="7BB15D91"/>
    <w:rsid w:val="7BB1BDB2"/>
    <w:rsid w:val="7BB3794A"/>
    <w:rsid w:val="7BB4C1CC"/>
    <w:rsid w:val="7BB51104"/>
    <w:rsid w:val="7BB52167"/>
    <w:rsid w:val="7BB68764"/>
    <w:rsid w:val="7BB6DAEB"/>
    <w:rsid w:val="7BBA0002"/>
    <w:rsid w:val="7BBAB9FA"/>
    <w:rsid w:val="7BBB42F0"/>
    <w:rsid w:val="7BBCB34F"/>
    <w:rsid w:val="7BBEE187"/>
    <w:rsid w:val="7BBF1C06"/>
    <w:rsid w:val="7BC1C87D"/>
    <w:rsid w:val="7BC1E207"/>
    <w:rsid w:val="7BC35D39"/>
    <w:rsid w:val="7BC4FF26"/>
    <w:rsid w:val="7BC532B0"/>
    <w:rsid w:val="7BC59BA1"/>
    <w:rsid w:val="7BC89CCE"/>
    <w:rsid w:val="7BC947C2"/>
    <w:rsid w:val="7BCD0F8E"/>
    <w:rsid w:val="7BCD5288"/>
    <w:rsid w:val="7BCDBABE"/>
    <w:rsid w:val="7BD0C8A8"/>
    <w:rsid w:val="7BD0DA71"/>
    <w:rsid w:val="7BD0F616"/>
    <w:rsid w:val="7BD1D819"/>
    <w:rsid w:val="7BD2A8B4"/>
    <w:rsid w:val="7BD31127"/>
    <w:rsid w:val="7BD6D768"/>
    <w:rsid w:val="7BDC5BEB"/>
    <w:rsid w:val="7BDC8150"/>
    <w:rsid w:val="7BDCD536"/>
    <w:rsid w:val="7BDD065C"/>
    <w:rsid w:val="7BDD4CC2"/>
    <w:rsid w:val="7BDD6831"/>
    <w:rsid w:val="7BDD6A53"/>
    <w:rsid w:val="7BDF3C14"/>
    <w:rsid w:val="7BDF60A2"/>
    <w:rsid w:val="7BDFA6AB"/>
    <w:rsid w:val="7BDFCA1F"/>
    <w:rsid w:val="7BDFF9A8"/>
    <w:rsid w:val="7BE1C519"/>
    <w:rsid w:val="7BE3439D"/>
    <w:rsid w:val="7BE4E22E"/>
    <w:rsid w:val="7BE7D21D"/>
    <w:rsid w:val="7BEB292C"/>
    <w:rsid w:val="7BEBD101"/>
    <w:rsid w:val="7BECDFDD"/>
    <w:rsid w:val="7BEEF69A"/>
    <w:rsid w:val="7BF19348"/>
    <w:rsid w:val="7BF509D7"/>
    <w:rsid w:val="7BF5F281"/>
    <w:rsid w:val="7BF78D9A"/>
    <w:rsid w:val="7BF801EF"/>
    <w:rsid w:val="7BF9EB3D"/>
    <w:rsid w:val="7BFCE2AD"/>
    <w:rsid w:val="7BFE2186"/>
    <w:rsid w:val="7BFE5DFF"/>
    <w:rsid w:val="7BFFCB18"/>
    <w:rsid w:val="7C00B270"/>
    <w:rsid w:val="7C00CA0E"/>
    <w:rsid w:val="7C02FEAE"/>
    <w:rsid w:val="7C043396"/>
    <w:rsid w:val="7C04B2C2"/>
    <w:rsid w:val="7C059412"/>
    <w:rsid w:val="7C0AEA8A"/>
    <w:rsid w:val="7C0AEDEC"/>
    <w:rsid w:val="7C0F963E"/>
    <w:rsid w:val="7C1023F2"/>
    <w:rsid w:val="7C11C433"/>
    <w:rsid w:val="7C125C2E"/>
    <w:rsid w:val="7C142242"/>
    <w:rsid w:val="7C19267B"/>
    <w:rsid w:val="7C1A0E39"/>
    <w:rsid w:val="7C1C817C"/>
    <w:rsid w:val="7C200E75"/>
    <w:rsid w:val="7C20990C"/>
    <w:rsid w:val="7C20E78B"/>
    <w:rsid w:val="7C2414A9"/>
    <w:rsid w:val="7C242ED3"/>
    <w:rsid w:val="7C255AFE"/>
    <w:rsid w:val="7C265606"/>
    <w:rsid w:val="7C2A025D"/>
    <w:rsid w:val="7C2A45B3"/>
    <w:rsid w:val="7C2C5F9F"/>
    <w:rsid w:val="7C2C851B"/>
    <w:rsid w:val="7C2DC53B"/>
    <w:rsid w:val="7C2E1CFF"/>
    <w:rsid w:val="7C324602"/>
    <w:rsid w:val="7C331610"/>
    <w:rsid w:val="7C35C77F"/>
    <w:rsid w:val="7C364C4E"/>
    <w:rsid w:val="7C3B7CEE"/>
    <w:rsid w:val="7C3BAA03"/>
    <w:rsid w:val="7C3E8F45"/>
    <w:rsid w:val="7C404248"/>
    <w:rsid w:val="7C406F3D"/>
    <w:rsid w:val="7C44729B"/>
    <w:rsid w:val="7C447E7C"/>
    <w:rsid w:val="7C44ED03"/>
    <w:rsid w:val="7C46E682"/>
    <w:rsid w:val="7C4AC976"/>
    <w:rsid w:val="7C4F6512"/>
    <w:rsid w:val="7C50C1BD"/>
    <w:rsid w:val="7C566A90"/>
    <w:rsid w:val="7C569399"/>
    <w:rsid w:val="7C5B38B2"/>
    <w:rsid w:val="7C5B3C1B"/>
    <w:rsid w:val="7C5C63F9"/>
    <w:rsid w:val="7C5C98C0"/>
    <w:rsid w:val="7C5E0D13"/>
    <w:rsid w:val="7C5EB3F9"/>
    <w:rsid w:val="7C5EE750"/>
    <w:rsid w:val="7C5F6872"/>
    <w:rsid w:val="7C62400C"/>
    <w:rsid w:val="7C6680F3"/>
    <w:rsid w:val="7C684044"/>
    <w:rsid w:val="7C688757"/>
    <w:rsid w:val="7C6A5C8D"/>
    <w:rsid w:val="7C6AA194"/>
    <w:rsid w:val="7C6B0E9A"/>
    <w:rsid w:val="7C6BD774"/>
    <w:rsid w:val="7C6D6134"/>
    <w:rsid w:val="7C71B7A1"/>
    <w:rsid w:val="7C75CDCD"/>
    <w:rsid w:val="7C7A5289"/>
    <w:rsid w:val="7C7B0540"/>
    <w:rsid w:val="7C7B8943"/>
    <w:rsid w:val="7C7CD26B"/>
    <w:rsid w:val="7C7D53AB"/>
    <w:rsid w:val="7C82465E"/>
    <w:rsid w:val="7C82C191"/>
    <w:rsid w:val="7C838F8F"/>
    <w:rsid w:val="7C8463BE"/>
    <w:rsid w:val="7C858C1E"/>
    <w:rsid w:val="7C85963A"/>
    <w:rsid w:val="7C87BF8B"/>
    <w:rsid w:val="7C886F54"/>
    <w:rsid w:val="7C889EAE"/>
    <w:rsid w:val="7C8A7054"/>
    <w:rsid w:val="7C8C1A12"/>
    <w:rsid w:val="7C8CA56D"/>
    <w:rsid w:val="7C8CD033"/>
    <w:rsid w:val="7C8CEE62"/>
    <w:rsid w:val="7C8DA3E9"/>
    <w:rsid w:val="7C8EDC98"/>
    <w:rsid w:val="7C8EE0C1"/>
    <w:rsid w:val="7C913F0A"/>
    <w:rsid w:val="7C93ABAE"/>
    <w:rsid w:val="7C93F512"/>
    <w:rsid w:val="7C95D97E"/>
    <w:rsid w:val="7C9890F3"/>
    <w:rsid w:val="7C9BD972"/>
    <w:rsid w:val="7C9EA767"/>
    <w:rsid w:val="7CA076A1"/>
    <w:rsid w:val="7CA2DFC1"/>
    <w:rsid w:val="7CA42FF0"/>
    <w:rsid w:val="7CAAA950"/>
    <w:rsid w:val="7CAB305A"/>
    <w:rsid w:val="7CAB3A23"/>
    <w:rsid w:val="7CAD9E20"/>
    <w:rsid w:val="7CB0A44A"/>
    <w:rsid w:val="7CB285C4"/>
    <w:rsid w:val="7CB31990"/>
    <w:rsid w:val="7CB7309A"/>
    <w:rsid w:val="7CB7B4DA"/>
    <w:rsid w:val="7CBB3221"/>
    <w:rsid w:val="7CBFCD51"/>
    <w:rsid w:val="7CC0C138"/>
    <w:rsid w:val="7CC320C2"/>
    <w:rsid w:val="7CC85FDD"/>
    <w:rsid w:val="7CC8FF55"/>
    <w:rsid w:val="7CCA1682"/>
    <w:rsid w:val="7CCB63A3"/>
    <w:rsid w:val="7CCBCA9D"/>
    <w:rsid w:val="7CCD9A9B"/>
    <w:rsid w:val="7CCDDE8B"/>
    <w:rsid w:val="7CCDE8A1"/>
    <w:rsid w:val="7CCE72C9"/>
    <w:rsid w:val="7CCFFC20"/>
    <w:rsid w:val="7CD169F5"/>
    <w:rsid w:val="7CD196D6"/>
    <w:rsid w:val="7CD26308"/>
    <w:rsid w:val="7CD4A50A"/>
    <w:rsid w:val="7CD4BEFD"/>
    <w:rsid w:val="7CD4FB22"/>
    <w:rsid w:val="7CD50F91"/>
    <w:rsid w:val="7CD68DC9"/>
    <w:rsid w:val="7CD8F258"/>
    <w:rsid w:val="7CD9655B"/>
    <w:rsid w:val="7CDE20FF"/>
    <w:rsid w:val="7CDFDEB4"/>
    <w:rsid w:val="7CE07481"/>
    <w:rsid w:val="7CE39346"/>
    <w:rsid w:val="7CE3C63A"/>
    <w:rsid w:val="7CE42E33"/>
    <w:rsid w:val="7CE52FDB"/>
    <w:rsid w:val="7CE54382"/>
    <w:rsid w:val="7CE5BC58"/>
    <w:rsid w:val="7CE759C4"/>
    <w:rsid w:val="7CE8E853"/>
    <w:rsid w:val="7CEA3542"/>
    <w:rsid w:val="7CEC9A45"/>
    <w:rsid w:val="7CEDAA35"/>
    <w:rsid w:val="7CF10A29"/>
    <w:rsid w:val="7CF16934"/>
    <w:rsid w:val="7CF40EF9"/>
    <w:rsid w:val="7CF44680"/>
    <w:rsid w:val="7CF49F63"/>
    <w:rsid w:val="7CF5531C"/>
    <w:rsid w:val="7CF8A6C2"/>
    <w:rsid w:val="7CF9C37A"/>
    <w:rsid w:val="7CFBCBEE"/>
    <w:rsid w:val="7CFCF037"/>
    <w:rsid w:val="7D01882E"/>
    <w:rsid w:val="7D03438F"/>
    <w:rsid w:val="7D0456DD"/>
    <w:rsid w:val="7D04FC61"/>
    <w:rsid w:val="7D052EAB"/>
    <w:rsid w:val="7D067606"/>
    <w:rsid w:val="7D07F5EB"/>
    <w:rsid w:val="7D08EB65"/>
    <w:rsid w:val="7D0995B3"/>
    <w:rsid w:val="7D0ACB60"/>
    <w:rsid w:val="7D0ADAB3"/>
    <w:rsid w:val="7D0B2ABA"/>
    <w:rsid w:val="7D0B541B"/>
    <w:rsid w:val="7D0ED0A2"/>
    <w:rsid w:val="7D114809"/>
    <w:rsid w:val="7D1245A3"/>
    <w:rsid w:val="7D12BBC4"/>
    <w:rsid w:val="7D1335AD"/>
    <w:rsid w:val="7D138A37"/>
    <w:rsid w:val="7D13C340"/>
    <w:rsid w:val="7D13E3DE"/>
    <w:rsid w:val="7D149B62"/>
    <w:rsid w:val="7D165AF2"/>
    <w:rsid w:val="7D180A30"/>
    <w:rsid w:val="7D1B2586"/>
    <w:rsid w:val="7D1DAE20"/>
    <w:rsid w:val="7D1EA159"/>
    <w:rsid w:val="7D212305"/>
    <w:rsid w:val="7D217EE0"/>
    <w:rsid w:val="7D21DD26"/>
    <w:rsid w:val="7D228FC4"/>
    <w:rsid w:val="7D250960"/>
    <w:rsid w:val="7D253D33"/>
    <w:rsid w:val="7D253D84"/>
    <w:rsid w:val="7D2EE2BA"/>
    <w:rsid w:val="7D305600"/>
    <w:rsid w:val="7D33B102"/>
    <w:rsid w:val="7D356FEF"/>
    <w:rsid w:val="7D36FA96"/>
    <w:rsid w:val="7D3AAF4F"/>
    <w:rsid w:val="7D3CAD27"/>
    <w:rsid w:val="7D44071E"/>
    <w:rsid w:val="7D492C13"/>
    <w:rsid w:val="7D499057"/>
    <w:rsid w:val="7D52B49B"/>
    <w:rsid w:val="7D53D55A"/>
    <w:rsid w:val="7D549F72"/>
    <w:rsid w:val="7D54A52C"/>
    <w:rsid w:val="7D591A02"/>
    <w:rsid w:val="7D5A0184"/>
    <w:rsid w:val="7D5A88E6"/>
    <w:rsid w:val="7D5CBABA"/>
    <w:rsid w:val="7D5DCA83"/>
    <w:rsid w:val="7D5F4566"/>
    <w:rsid w:val="7D5F5C13"/>
    <w:rsid w:val="7D61E532"/>
    <w:rsid w:val="7D6210E3"/>
    <w:rsid w:val="7D63A9A7"/>
    <w:rsid w:val="7D646129"/>
    <w:rsid w:val="7D66BD41"/>
    <w:rsid w:val="7D67808E"/>
    <w:rsid w:val="7D68DF0B"/>
    <w:rsid w:val="7D6A0224"/>
    <w:rsid w:val="7D6A216E"/>
    <w:rsid w:val="7D6C5D36"/>
    <w:rsid w:val="7D70EDDA"/>
    <w:rsid w:val="7D737CDF"/>
    <w:rsid w:val="7D7505B2"/>
    <w:rsid w:val="7D75B8A9"/>
    <w:rsid w:val="7D7836AE"/>
    <w:rsid w:val="7D788209"/>
    <w:rsid w:val="7D78ACAA"/>
    <w:rsid w:val="7D795573"/>
    <w:rsid w:val="7D7A4CF2"/>
    <w:rsid w:val="7D7AB904"/>
    <w:rsid w:val="7D7B9392"/>
    <w:rsid w:val="7D7D447E"/>
    <w:rsid w:val="7D7D785B"/>
    <w:rsid w:val="7D80B3AE"/>
    <w:rsid w:val="7D812B5A"/>
    <w:rsid w:val="7D853D1D"/>
    <w:rsid w:val="7D883857"/>
    <w:rsid w:val="7D88B035"/>
    <w:rsid w:val="7D8BA0DD"/>
    <w:rsid w:val="7D8BCB19"/>
    <w:rsid w:val="7D8D65FB"/>
    <w:rsid w:val="7D91DEBF"/>
    <w:rsid w:val="7D98430F"/>
    <w:rsid w:val="7D9A2671"/>
    <w:rsid w:val="7D9A7938"/>
    <w:rsid w:val="7D9B7BAC"/>
    <w:rsid w:val="7D9CD6C1"/>
    <w:rsid w:val="7D9DBE2A"/>
    <w:rsid w:val="7DA1B375"/>
    <w:rsid w:val="7DA1C615"/>
    <w:rsid w:val="7DA3C391"/>
    <w:rsid w:val="7DA40282"/>
    <w:rsid w:val="7DA5652E"/>
    <w:rsid w:val="7DA59253"/>
    <w:rsid w:val="7DA8BBAC"/>
    <w:rsid w:val="7DA90A36"/>
    <w:rsid w:val="7DAA678F"/>
    <w:rsid w:val="7DAADF45"/>
    <w:rsid w:val="7DAB177F"/>
    <w:rsid w:val="7DAB8144"/>
    <w:rsid w:val="7DAC1D3C"/>
    <w:rsid w:val="7DAE9057"/>
    <w:rsid w:val="7DAEB22F"/>
    <w:rsid w:val="7DB1608A"/>
    <w:rsid w:val="7DB1E235"/>
    <w:rsid w:val="7DB3F23D"/>
    <w:rsid w:val="7DB56E21"/>
    <w:rsid w:val="7DB713A3"/>
    <w:rsid w:val="7DB71819"/>
    <w:rsid w:val="7DB9097A"/>
    <w:rsid w:val="7DB9BD67"/>
    <w:rsid w:val="7DBA48CE"/>
    <w:rsid w:val="7DBCC6BD"/>
    <w:rsid w:val="7DBCCCCA"/>
    <w:rsid w:val="7DBE0A81"/>
    <w:rsid w:val="7DBE65CE"/>
    <w:rsid w:val="7DBED205"/>
    <w:rsid w:val="7DBFA810"/>
    <w:rsid w:val="7DC34319"/>
    <w:rsid w:val="7DC47EB2"/>
    <w:rsid w:val="7DC4C825"/>
    <w:rsid w:val="7DC66911"/>
    <w:rsid w:val="7DC761EF"/>
    <w:rsid w:val="7DC77B40"/>
    <w:rsid w:val="7DC82EE2"/>
    <w:rsid w:val="7DC914D7"/>
    <w:rsid w:val="7DC92983"/>
    <w:rsid w:val="7DCBCFF4"/>
    <w:rsid w:val="7DCDA4C3"/>
    <w:rsid w:val="7DCE676C"/>
    <w:rsid w:val="7DD1D33E"/>
    <w:rsid w:val="7DD547EC"/>
    <w:rsid w:val="7DD5688D"/>
    <w:rsid w:val="7DD6E94B"/>
    <w:rsid w:val="7DD769DE"/>
    <w:rsid w:val="7DDA2307"/>
    <w:rsid w:val="7DDC9576"/>
    <w:rsid w:val="7DDD0388"/>
    <w:rsid w:val="7DDECF43"/>
    <w:rsid w:val="7DDEF081"/>
    <w:rsid w:val="7DDF0263"/>
    <w:rsid w:val="7DE03D79"/>
    <w:rsid w:val="7DE1A290"/>
    <w:rsid w:val="7DE25037"/>
    <w:rsid w:val="7DE2A18E"/>
    <w:rsid w:val="7DE2C354"/>
    <w:rsid w:val="7DE30E1C"/>
    <w:rsid w:val="7DE4563C"/>
    <w:rsid w:val="7DE56EC8"/>
    <w:rsid w:val="7DE605D1"/>
    <w:rsid w:val="7DE62FF2"/>
    <w:rsid w:val="7DE92342"/>
    <w:rsid w:val="7DECD6C5"/>
    <w:rsid w:val="7DED4F1C"/>
    <w:rsid w:val="7DEE7D79"/>
    <w:rsid w:val="7DF1770D"/>
    <w:rsid w:val="7DF1F3E4"/>
    <w:rsid w:val="7DF264F3"/>
    <w:rsid w:val="7DF386C0"/>
    <w:rsid w:val="7DF54373"/>
    <w:rsid w:val="7DF57ECF"/>
    <w:rsid w:val="7DF5B07D"/>
    <w:rsid w:val="7DF5B640"/>
    <w:rsid w:val="7DF94D9C"/>
    <w:rsid w:val="7DFAB89B"/>
    <w:rsid w:val="7DFAC4FD"/>
    <w:rsid w:val="7DFBA2E8"/>
    <w:rsid w:val="7DFBC121"/>
    <w:rsid w:val="7DFC538C"/>
    <w:rsid w:val="7DFCCCF3"/>
    <w:rsid w:val="7DFCD196"/>
    <w:rsid w:val="7DFF86C1"/>
    <w:rsid w:val="7DFFFE89"/>
    <w:rsid w:val="7E021C82"/>
    <w:rsid w:val="7E05728B"/>
    <w:rsid w:val="7E065C6D"/>
    <w:rsid w:val="7E06741D"/>
    <w:rsid w:val="7E07F7EF"/>
    <w:rsid w:val="7E0920FC"/>
    <w:rsid w:val="7E0A69D1"/>
    <w:rsid w:val="7E0CE98B"/>
    <w:rsid w:val="7E0D0A08"/>
    <w:rsid w:val="7E0FD070"/>
    <w:rsid w:val="7E120FA3"/>
    <w:rsid w:val="7E12EC71"/>
    <w:rsid w:val="7E13C29B"/>
    <w:rsid w:val="7E1671EB"/>
    <w:rsid w:val="7E173C12"/>
    <w:rsid w:val="7E17FA17"/>
    <w:rsid w:val="7E1800DB"/>
    <w:rsid w:val="7E1A36FA"/>
    <w:rsid w:val="7E1A5200"/>
    <w:rsid w:val="7E1B2670"/>
    <w:rsid w:val="7E1EBF4E"/>
    <w:rsid w:val="7E1ECB4E"/>
    <w:rsid w:val="7E20E410"/>
    <w:rsid w:val="7E210A3A"/>
    <w:rsid w:val="7E22D609"/>
    <w:rsid w:val="7E2620C3"/>
    <w:rsid w:val="7E27007C"/>
    <w:rsid w:val="7E2A61AC"/>
    <w:rsid w:val="7E2C3F5C"/>
    <w:rsid w:val="7E2C7A9A"/>
    <w:rsid w:val="7E2EFDC4"/>
    <w:rsid w:val="7E329D30"/>
    <w:rsid w:val="7E32F0F1"/>
    <w:rsid w:val="7E37D173"/>
    <w:rsid w:val="7E3BD22F"/>
    <w:rsid w:val="7E4050D1"/>
    <w:rsid w:val="7E42148D"/>
    <w:rsid w:val="7E44024D"/>
    <w:rsid w:val="7E441265"/>
    <w:rsid w:val="7E4435E5"/>
    <w:rsid w:val="7E44DE6E"/>
    <w:rsid w:val="7E44FAF8"/>
    <w:rsid w:val="7E46A036"/>
    <w:rsid w:val="7E47BE1F"/>
    <w:rsid w:val="7E492C88"/>
    <w:rsid w:val="7E4C567F"/>
    <w:rsid w:val="7E4CC3FB"/>
    <w:rsid w:val="7E50ABBD"/>
    <w:rsid w:val="7E543278"/>
    <w:rsid w:val="7E549886"/>
    <w:rsid w:val="7E57C92F"/>
    <w:rsid w:val="7E58E023"/>
    <w:rsid w:val="7E5910DD"/>
    <w:rsid w:val="7E5A3EC0"/>
    <w:rsid w:val="7E5AE97F"/>
    <w:rsid w:val="7E5F6CB6"/>
    <w:rsid w:val="7E60CBF8"/>
    <w:rsid w:val="7E63A120"/>
    <w:rsid w:val="7E63F03D"/>
    <w:rsid w:val="7E6647F7"/>
    <w:rsid w:val="7E68F5A9"/>
    <w:rsid w:val="7E6A01A6"/>
    <w:rsid w:val="7E6A1557"/>
    <w:rsid w:val="7E6AE622"/>
    <w:rsid w:val="7E6AE885"/>
    <w:rsid w:val="7E704D78"/>
    <w:rsid w:val="7E71966A"/>
    <w:rsid w:val="7E72539B"/>
    <w:rsid w:val="7E78300B"/>
    <w:rsid w:val="7E7C20CC"/>
    <w:rsid w:val="7E7DC4D0"/>
    <w:rsid w:val="7E7F9C0D"/>
    <w:rsid w:val="7E7FCDEA"/>
    <w:rsid w:val="7E8324C7"/>
    <w:rsid w:val="7E83D28B"/>
    <w:rsid w:val="7E83F313"/>
    <w:rsid w:val="7E85DCC5"/>
    <w:rsid w:val="7E861EA1"/>
    <w:rsid w:val="7E8B6529"/>
    <w:rsid w:val="7E8BD4EB"/>
    <w:rsid w:val="7E8C2B7C"/>
    <w:rsid w:val="7E8CB1E4"/>
    <w:rsid w:val="7E90492A"/>
    <w:rsid w:val="7E93EEA3"/>
    <w:rsid w:val="7E96A228"/>
    <w:rsid w:val="7E98BC22"/>
    <w:rsid w:val="7E992F6D"/>
    <w:rsid w:val="7E9BF033"/>
    <w:rsid w:val="7E9C1C0D"/>
    <w:rsid w:val="7E9FB435"/>
    <w:rsid w:val="7EA01F24"/>
    <w:rsid w:val="7EA0FCC0"/>
    <w:rsid w:val="7EA1F8EF"/>
    <w:rsid w:val="7EA20519"/>
    <w:rsid w:val="7EA5FD01"/>
    <w:rsid w:val="7EA7EDF4"/>
    <w:rsid w:val="7EA81E7C"/>
    <w:rsid w:val="7EA89B64"/>
    <w:rsid w:val="7EA8E7EE"/>
    <w:rsid w:val="7EA9852E"/>
    <w:rsid w:val="7EAC934B"/>
    <w:rsid w:val="7EAD28AC"/>
    <w:rsid w:val="7EAD48A2"/>
    <w:rsid w:val="7EAF57F3"/>
    <w:rsid w:val="7EB09422"/>
    <w:rsid w:val="7EB17669"/>
    <w:rsid w:val="7EB3614C"/>
    <w:rsid w:val="7EB48954"/>
    <w:rsid w:val="7EB5FF91"/>
    <w:rsid w:val="7EB9FD51"/>
    <w:rsid w:val="7EBA99E2"/>
    <w:rsid w:val="7EBC16E5"/>
    <w:rsid w:val="7EBE3E04"/>
    <w:rsid w:val="7EC19AD5"/>
    <w:rsid w:val="7EC41755"/>
    <w:rsid w:val="7EC4D21F"/>
    <w:rsid w:val="7EC4F1B6"/>
    <w:rsid w:val="7EC611F2"/>
    <w:rsid w:val="7EC643DC"/>
    <w:rsid w:val="7ECB882F"/>
    <w:rsid w:val="7ECCB946"/>
    <w:rsid w:val="7ED17E9C"/>
    <w:rsid w:val="7ED32B35"/>
    <w:rsid w:val="7ED354D5"/>
    <w:rsid w:val="7EDB3858"/>
    <w:rsid w:val="7EDC84AD"/>
    <w:rsid w:val="7EDD7807"/>
    <w:rsid w:val="7EE3AA0D"/>
    <w:rsid w:val="7EE62BCD"/>
    <w:rsid w:val="7EE6379C"/>
    <w:rsid w:val="7EEBC4A4"/>
    <w:rsid w:val="7EEE07B0"/>
    <w:rsid w:val="7EEE0E0A"/>
    <w:rsid w:val="7EEF6663"/>
    <w:rsid w:val="7EF3D4BC"/>
    <w:rsid w:val="7EF555A2"/>
    <w:rsid w:val="7EF6604E"/>
    <w:rsid w:val="7EF6606D"/>
    <w:rsid w:val="7EF68C1E"/>
    <w:rsid w:val="7EF73EA5"/>
    <w:rsid w:val="7EF760B5"/>
    <w:rsid w:val="7EF77AD0"/>
    <w:rsid w:val="7EF8F89D"/>
    <w:rsid w:val="7EF95FBA"/>
    <w:rsid w:val="7EFB1C40"/>
    <w:rsid w:val="7EFC9698"/>
    <w:rsid w:val="7EFD25E3"/>
    <w:rsid w:val="7EFD7FCD"/>
    <w:rsid w:val="7EFDC308"/>
    <w:rsid w:val="7EFEBC71"/>
    <w:rsid w:val="7F012F98"/>
    <w:rsid w:val="7F028BA9"/>
    <w:rsid w:val="7F02D2BF"/>
    <w:rsid w:val="7F036057"/>
    <w:rsid w:val="7F06957B"/>
    <w:rsid w:val="7F06E796"/>
    <w:rsid w:val="7F078C54"/>
    <w:rsid w:val="7F07CBD9"/>
    <w:rsid w:val="7F08ED5C"/>
    <w:rsid w:val="7F0DD2BF"/>
    <w:rsid w:val="7F14D401"/>
    <w:rsid w:val="7F16B4EA"/>
    <w:rsid w:val="7F19EAFF"/>
    <w:rsid w:val="7F1A1587"/>
    <w:rsid w:val="7F1F32A2"/>
    <w:rsid w:val="7F2108B4"/>
    <w:rsid w:val="7F212FA0"/>
    <w:rsid w:val="7F2166AA"/>
    <w:rsid w:val="7F21FB68"/>
    <w:rsid w:val="7F244E2A"/>
    <w:rsid w:val="7F268B6A"/>
    <w:rsid w:val="7F2A045C"/>
    <w:rsid w:val="7F2BCA72"/>
    <w:rsid w:val="7F2E9172"/>
    <w:rsid w:val="7F2ECACC"/>
    <w:rsid w:val="7F2FDC82"/>
    <w:rsid w:val="7F2FE931"/>
    <w:rsid w:val="7F301CF5"/>
    <w:rsid w:val="7F30C9F0"/>
    <w:rsid w:val="7F314E88"/>
    <w:rsid w:val="7F340E1F"/>
    <w:rsid w:val="7F355503"/>
    <w:rsid w:val="7F373300"/>
    <w:rsid w:val="7F393C63"/>
    <w:rsid w:val="7F39FA7F"/>
    <w:rsid w:val="7F3AA641"/>
    <w:rsid w:val="7F3B4DBC"/>
    <w:rsid w:val="7F3F97E1"/>
    <w:rsid w:val="7F421110"/>
    <w:rsid w:val="7F443BBE"/>
    <w:rsid w:val="7F4571CE"/>
    <w:rsid w:val="7F4E0898"/>
    <w:rsid w:val="7F4F63BB"/>
    <w:rsid w:val="7F50FF99"/>
    <w:rsid w:val="7F511E1F"/>
    <w:rsid w:val="7F5362E6"/>
    <w:rsid w:val="7F5452CA"/>
    <w:rsid w:val="7F562F6F"/>
    <w:rsid w:val="7F56E8E6"/>
    <w:rsid w:val="7F579040"/>
    <w:rsid w:val="7F57A890"/>
    <w:rsid w:val="7F58AEFE"/>
    <w:rsid w:val="7F5E093D"/>
    <w:rsid w:val="7F5E1804"/>
    <w:rsid w:val="7F61B28D"/>
    <w:rsid w:val="7F621073"/>
    <w:rsid w:val="7F66BEEB"/>
    <w:rsid w:val="7F67F354"/>
    <w:rsid w:val="7F680CA8"/>
    <w:rsid w:val="7F68D5A5"/>
    <w:rsid w:val="7F6AC164"/>
    <w:rsid w:val="7F6B4781"/>
    <w:rsid w:val="7F6B9F28"/>
    <w:rsid w:val="7F6CAF71"/>
    <w:rsid w:val="7F6DFC32"/>
    <w:rsid w:val="7F6FDCEA"/>
    <w:rsid w:val="7F7035E9"/>
    <w:rsid w:val="7F707826"/>
    <w:rsid w:val="7F717A43"/>
    <w:rsid w:val="7F7786EF"/>
    <w:rsid w:val="7F77994D"/>
    <w:rsid w:val="7F7832B5"/>
    <w:rsid w:val="7F785298"/>
    <w:rsid w:val="7F787F40"/>
    <w:rsid w:val="7F793B14"/>
    <w:rsid w:val="7F79BC8E"/>
    <w:rsid w:val="7F79F49C"/>
    <w:rsid w:val="7F7B65E2"/>
    <w:rsid w:val="7F7B957E"/>
    <w:rsid w:val="7F7CEF47"/>
    <w:rsid w:val="7F7FD931"/>
    <w:rsid w:val="7F809117"/>
    <w:rsid w:val="7F82E963"/>
    <w:rsid w:val="7F85FD2C"/>
    <w:rsid w:val="7F86CCCC"/>
    <w:rsid w:val="7F8B7214"/>
    <w:rsid w:val="7F8DA205"/>
    <w:rsid w:val="7F9055AE"/>
    <w:rsid w:val="7F91D829"/>
    <w:rsid w:val="7F920DB7"/>
    <w:rsid w:val="7F973D8F"/>
    <w:rsid w:val="7F98B8B2"/>
    <w:rsid w:val="7F990584"/>
    <w:rsid w:val="7F9E25C1"/>
    <w:rsid w:val="7F9EC5CE"/>
    <w:rsid w:val="7FA0DBEF"/>
    <w:rsid w:val="7FA53B19"/>
    <w:rsid w:val="7FA6687A"/>
    <w:rsid w:val="7FA795E6"/>
    <w:rsid w:val="7FA82C54"/>
    <w:rsid w:val="7FA94279"/>
    <w:rsid w:val="7FA98929"/>
    <w:rsid w:val="7FA9B11A"/>
    <w:rsid w:val="7FAA120F"/>
    <w:rsid w:val="7FAA2AF7"/>
    <w:rsid w:val="7FAA4554"/>
    <w:rsid w:val="7FAB3106"/>
    <w:rsid w:val="7FAC1F01"/>
    <w:rsid w:val="7FAD48A8"/>
    <w:rsid w:val="7FB05330"/>
    <w:rsid w:val="7FB69632"/>
    <w:rsid w:val="7FBB5031"/>
    <w:rsid w:val="7FBC30F5"/>
    <w:rsid w:val="7FBF6A83"/>
    <w:rsid w:val="7FC051A0"/>
    <w:rsid w:val="7FC0BED8"/>
    <w:rsid w:val="7FC1ABDE"/>
    <w:rsid w:val="7FC1EECF"/>
    <w:rsid w:val="7FC39A1B"/>
    <w:rsid w:val="7FC5ED96"/>
    <w:rsid w:val="7FC6025E"/>
    <w:rsid w:val="7FC6C5BD"/>
    <w:rsid w:val="7FCF265E"/>
    <w:rsid w:val="7FD10C96"/>
    <w:rsid w:val="7FD1CAA9"/>
    <w:rsid w:val="7FD3A11A"/>
    <w:rsid w:val="7FD3AB6D"/>
    <w:rsid w:val="7FD5B269"/>
    <w:rsid w:val="7FD68A29"/>
    <w:rsid w:val="7FD85FA4"/>
    <w:rsid w:val="7FD948D5"/>
    <w:rsid w:val="7FDA5C6D"/>
    <w:rsid w:val="7FDB3EF1"/>
    <w:rsid w:val="7FDBCC63"/>
    <w:rsid w:val="7FDCF12D"/>
    <w:rsid w:val="7FDD0DEC"/>
    <w:rsid w:val="7FDD92EB"/>
    <w:rsid w:val="7FDE2E16"/>
    <w:rsid w:val="7FDF56A2"/>
    <w:rsid w:val="7FE0EA3F"/>
    <w:rsid w:val="7FE16D66"/>
    <w:rsid w:val="7FE4B3D6"/>
    <w:rsid w:val="7FE70DD9"/>
    <w:rsid w:val="7FE8F6BC"/>
    <w:rsid w:val="7FE9E4E4"/>
    <w:rsid w:val="7FEB7CE3"/>
    <w:rsid w:val="7FEFD1C7"/>
    <w:rsid w:val="7FF0478B"/>
    <w:rsid w:val="7FF0C9CC"/>
    <w:rsid w:val="7FF20872"/>
    <w:rsid w:val="7FF24816"/>
    <w:rsid w:val="7FF5370F"/>
    <w:rsid w:val="7FF548E3"/>
    <w:rsid w:val="7FF8E7A6"/>
    <w:rsid w:val="7FF9B262"/>
    <w:rsid w:val="7FF9BC96"/>
    <w:rsid w:val="7FFC2166"/>
    <w:rsid w:val="7FFEB084"/>
    <w:rsid w:val="7FFFBEB5"/>
    <w:rsid w:val="7FFFE1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B7DC5CB3-F5DE-4EDC-90C7-1B2F44E1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rsid w:val="006B087E"/>
    <w:pPr>
      <w:keepNext/>
      <w:numPr>
        <w:numId w:val="9"/>
      </w:numPr>
      <w:spacing w:before="240"/>
      <w:outlineLvl w:val="0"/>
    </w:pPr>
    <w:rPr>
      <w:rFonts w:eastAsia="Times New Roman"/>
      <w:b/>
      <w:smallCaps/>
      <w:szCs w:val="20"/>
    </w:rPr>
  </w:style>
  <w:style w:type="paragraph" w:styleId="Heading2">
    <w:name w:val="heading 2"/>
    <w:basedOn w:val="Normal"/>
    <w:next w:val="Text2"/>
    <w:link w:val="Heading2Char"/>
    <w:qFormat/>
    <w:rsid w:val="006B087E"/>
    <w:pPr>
      <w:keepNext/>
      <w:numPr>
        <w:ilvl w:val="1"/>
        <w:numId w:val="9"/>
      </w:numPr>
      <w:outlineLvl w:val="1"/>
    </w:pPr>
    <w:rPr>
      <w:rFonts w:eastAsia="Times New Roman"/>
      <w:b/>
      <w:szCs w:val="20"/>
    </w:rPr>
  </w:style>
  <w:style w:type="paragraph" w:styleId="Heading3">
    <w:name w:val="heading 3"/>
    <w:basedOn w:val="Normal"/>
    <w:next w:val="Normal"/>
    <w:link w:val="Heading3Char"/>
    <w:qFormat/>
    <w:rsid w:val="006B087E"/>
    <w:pPr>
      <w:keepNext/>
      <w:numPr>
        <w:ilvl w:val="2"/>
        <w:numId w:val="9"/>
      </w:numPr>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9"/>
      </w:numPr>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7"/>
      </w:numPr>
    </w:pPr>
    <w:rPr>
      <w:rFonts w:eastAsia="Times New Roman"/>
      <w:szCs w:val="20"/>
    </w:rPr>
  </w:style>
  <w:style w:type="paragraph" w:customStyle="1" w:styleId="ListDash1">
    <w:name w:val="List Dash 1"/>
    <w:basedOn w:val="Text1"/>
    <w:rsid w:val="006B087E"/>
    <w:pPr>
      <w:numPr>
        <w:numId w:val="8"/>
      </w:numPr>
    </w:pPr>
  </w:style>
  <w:style w:type="table" w:styleId="TableGrid">
    <w:name w:val="Table Grid"/>
    <w:aliases w:val="Document Table,CV1"/>
    <w:basedOn w:val="TableNormal"/>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15779D"/>
    <w:pPr>
      <w:numPr>
        <w:numId w:val="0"/>
      </w:numPr>
      <w:spacing w:after="480"/>
      <w:jc w:val="center"/>
    </w:pPr>
    <w:rPr>
      <w:sz w:val="32"/>
      <w:lang w:val="en-IE"/>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lang w:val="en-IE"/>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4F69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semiHidden/>
    <w:unhideWhenUsed/>
    <w:rsid w:val="002252CF"/>
    <w:rPr>
      <w:sz w:val="16"/>
      <w:szCs w:val="16"/>
    </w:rPr>
  </w:style>
  <w:style w:type="paragraph" w:styleId="CommentText">
    <w:name w:val="annotation text"/>
    <w:basedOn w:val="Normal"/>
    <w:link w:val="CommentTextChar1"/>
    <w:uiPriority w:val="99"/>
    <w:unhideWhenUsed/>
    <w:rPr>
      <w:sz w:val="20"/>
      <w:szCs w:val="20"/>
    </w:rPr>
  </w:style>
  <w:style w:type="character" w:customStyle="1" w:styleId="CommentTextChar">
    <w:name w:val="Comment Text Char"/>
    <w:basedOn w:val="DefaultParagraphFon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F032D"/>
    <w:rPr>
      <w:b/>
      <w:bCs/>
    </w:rPr>
  </w:style>
  <w:style w:type="character" w:customStyle="1" w:styleId="CommentSubjectChar">
    <w:name w:val="Comment Subject Char"/>
    <w:basedOn w:val="CommentTextChar1"/>
    <w:link w:val="CommentSubject"/>
    <w:uiPriority w:val="99"/>
    <w:semiHidden/>
    <w:rsid w:val="006F032D"/>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6Point">
    <w:name w:val="16 Point"/>
    <w:aliases w:val="Superscript 6 Point,Odwołanie przypisu,2001+ Fußnotenzeichen"/>
    <w:basedOn w:val="Normal"/>
    <w:uiPriority w:val="99"/>
    <w:qFormat/>
    <w:rsid w:val="007172DF"/>
    <w:pPr>
      <w:spacing w:after="160" w:line="240" w:lineRule="exact"/>
      <w:jc w:val="left"/>
    </w:pPr>
    <w:rPr>
      <w:rFonts w:asciiTheme="minorHAnsi" w:hAnsiTheme="minorHAnsi" w:cstheme="minorBidi"/>
      <w:sz w:val="22"/>
      <w:szCs w:val="22"/>
      <w:vertAlign w:val="superscript"/>
      <w:lang w:val="en-US"/>
    </w:rPr>
  </w:style>
  <w:style w:type="character" w:customStyle="1" w:styleId="Mention">
    <w:name w:val="Mention"/>
    <w:basedOn w:val="DefaultParagraphFont"/>
    <w:uiPriority w:val="99"/>
    <w:unhideWhenUsed/>
    <w:rsid w:val="008C7E9F"/>
    <w:rPr>
      <w:color w:val="2B579A"/>
      <w:shd w:val="clear" w:color="auto" w:fill="E1DFDD"/>
    </w:rPr>
  </w:style>
  <w:style w:type="paragraph" w:styleId="NormalWeb">
    <w:name w:val="Normal (Web)"/>
    <w:basedOn w:val="Normal"/>
    <w:uiPriority w:val="99"/>
    <w:unhideWhenUsed/>
    <w:rsid w:val="00514254"/>
    <w:pPr>
      <w:spacing w:before="100" w:beforeAutospacing="1" w:after="100" w:afterAutospacing="1"/>
      <w:jc w:val="left"/>
    </w:pPr>
    <w:rPr>
      <w:rFonts w:eastAsia="Times New Roman"/>
      <w:lang w:val="en-IE" w:eastAsia="en-IE"/>
    </w:rPr>
  </w:style>
  <w:style w:type="character" w:styleId="Strong">
    <w:name w:val="Strong"/>
    <w:basedOn w:val="DefaultParagraphFont"/>
    <w:uiPriority w:val="22"/>
    <w:qFormat/>
    <w:rsid w:val="00514254"/>
    <w:rPr>
      <w:b/>
      <w:bCs/>
    </w:rPr>
  </w:style>
  <w:style w:type="character" w:customStyle="1" w:styleId="whitespace-normal">
    <w:name w:val="whitespace-normal"/>
    <w:basedOn w:val="DefaultParagraphFont"/>
    <w:rsid w:val="00514254"/>
  </w:style>
  <w:style w:type="character" w:customStyle="1" w:styleId="CommentReference1">
    <w:name w:val="Comment Reference1"/>
    <w:basedOn w:val="DefaultParagraphFont"/>
    <w:uiPriority w:val="99"/>
    <w:semiHidden/>
    <w:unhideWhenUsed/>
    <w:rsid w:val="008D1D74"/>
    <w:rPr>
      <w:sz w:val="16"/>
      <w:szCs w:val="16"/>
    </w:rPr>
  </w:style>
  <w:style w:type="paragraph" w:customStyle="1" w:styleId="CommentText1">
    <w:name w:val="Comment Text1"/>
    <w:basedOn w:val="Normal"/>
    <w:uiPriority w:val="99"/>
    <w:unhideWhenUsed/>
    <w:rsid w:val="008D1D74"/>
    <w:rPr>
      <w:sz w:val="20"/>
      <w:szCs w:val="20"/>
    </w:rPr>
  </w:style>
  <w:style w:type="character" w:customStyle="1" w:styleId="CommentTextChar1">
    <w:name w:val="Comment Text Char1"/>
    <w:basedOn w:val="DefaultParagraphFont"/>
    <w:link w:val="CommentText"/>
    <w:uiPriority w:val="99"/>
    <w:rsid w:val="008D1D74"/>
    <w:rPr>
      <w:rFonts w:ascii="Times New Roman" w:hAnsi="Times New Roman" w:cs="Times New Roman"/>
      <w:sz w:val="20"/>
      <w:szCs w:val="20"/>
    </w:rPr>
  </w:style>
  <w:style w:type="paragraph" w:styleId="TOC3">
    <w:name w:val="toc 3"/>
    <w:basedOn w:val="Normal"/>
    <w:next w:val="Normal"/>
    <w:autoRedefine/>
    <w:uiPriority w:val="39"/>
    <w:unhideWhenUsed/>
    <w:rsid w:val="004A0E84"/>
    <w:pPr>
      <w:spacing w:after="100"/>
      <w:ind w:left="480"/>
    </w:pPr>
  </w:style>
  <w:style w:type="character" w:customStyle="1" w:styleId="citation-32">
    <w:name w:val="citation-32"/>
    <w:basedOn w:val="DefaultParagraphFont"/>
    <w:rsid w:val="007E4FC1"/>
  </w:style>
  <w:style w:type="paragraph" w:customStyle="1" w:styleId="Disclaimer">
    <w:name w:val="Disclaimer"/>
    <w:basedOn w:val="Normal"/>
    <w:rsid w:val="004F697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rPr>
  </w:style>
  <w:style w:type="paragraph" w:customStyle="1" w:styleId="SecurityMarking">
    <w:name w:val="SecurityMarking"/>
    <w:basedOn w:val="Normal"/>
    <w:rsid w:val="004F697E"/>
    <w:pPr>
      <w:spacing w:after="0" w:line="276" w:lineRule="auto"/>
      <w:ind w:left="5103"/>
      <w:jc w:val="left"/>
    </w:pPr>
    <w:rPr>
      <w:sz w:val="28"/>
      <w:szCs w:val="22"/>
    </w:rPr>
  </w:style>
  <w:style w:type="paragraph" w:customStyle="1" w:styleId="DateMarking">
    <w:name w:val="DateMarking"/>
    <w:basedOn w:val="Normal"/>
    <w:rsid w:val="004F697E"/>
    <w:pPr>
      <w:spacing w:after="0" w:line="276" w:lineRule="auto"/>
      <w:ind w:left="5103"/>
      <w:jc w:val="left"/>
    </w:pPr>
    <w:rPr>
      <w:i/>
      <w:sz w:val="28"/>
      <w:szCs w:val="22"/>
    </w:rPr>
  </w:style>
  <w:style w:type="paragraph" w:customStyle="1" w:styleId="ReleasableTo">
    <w:name w:val="ReleasableTo"/>
    <w:basedOn w:val="Normal"/>
    <w:rsid w:val="004F697E"/>
    <w:pPr>
      <w:spacing w:after="0" w:line="276" w:lineRule="auto"/>
      <w:ind w:left="5103"/>
      <w:jc w:val="left"/>
    </w:pPr>
    <w:rPr>
      <w: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2694">
      <w:bodyDiv w:val="1"/>
      <w:marLeft w:val="0"/>
      <w:marRight w:val="0"/>
      <w:marTop w:val="0"/>
      <w:marBottom w:val="0"/>
      <w:divBdr>
        <w:top w:val="none" w:sz="0" w:space="0" w:color="auto"/>
        <w:left w:val="none" w:sz="0" w:space="0" w:color="auto"/>
        <w:bottom w:val="none" w:sz="0" w:space="0" w:color="auto"/>
        <w:right w:val="none" w:sz="0" w:space="0" w:color="auto"/>
      </w:divBdr>
      <w:divsChild>
        <w:div w:id="857742886">
          <w:marLeft w:val="0"/>
          <w:marRight w:val="0"/>
          <w:marTop w:val="0"/>
          <w:marBottom w:val="0"/>
          <w:divBdr>
            <w:top w:val="none" w:sz="0" w:space="0" w:color="auto"/>
            <w:left w:val="none" w:sz="0" w:space="0" w:color="auto"/>
            <w:bottom w:val="none" w:sz="0" w:space="0" w:color="auto"/>
            <w:right w:val="none" w:sz="0" w:space="0" w:color="auto"/>
          </w:divBdr>
        </w:div>
        <w:div w:id="905339777">
          <w:marLeft w:val="0"/>
          <w:marRight w:val="0"/>
          <w:marTop w:val="0"/>
          <w:marBottom w:val="0"/>
          <w:divBdr>
            <w:top w:val="none" w:sz="0" w:space="0" w:color="auto"/>
            <w:left w:val="none" w:sz="0" w:space="0" w:color="auto"/>
            <w:bottom w:val="none" w:sz="0" w:space="0" w:color="auto"/>
            <w:right w:val="none" w:sz="0" w:space="0" w:color="auto"/>
          </w:divBdr>
        </w:div>
      </w:divsChild>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74011500">
      <w:bodyDiv w:val="1"/>
      <w:marLeft w:val="0"/>
      <w:marRight w:val="0"/>
      <w:marTop w:val="0"/>
      <w:marBottom w:val="0"/>
      <w:divBdr>
        <w:top w:val="none" w:sz="0" w:space="0" w:color="auto"/>
        <w:left w:val="none" w:sz="0" w:space="0" w:color="auto"/>
        <w:bottom w:val="none" w:sz="0" w:space="0" w:color="auto"/>
        <w:right w:val="none" w:sz="0" w:space="0" w:color="auto"/>
      </w:divBdr>
    </w:div>
    <w:div w:id="108208742">
      <w:bodyDiv w:val="1"/>
      <w:marLeft w:val="0"/>
      <w:marRight w:val="0"/>
      <w:marTop w:val="0"/>
      <w:marBottom w:val="0"/>
      <w:divBdr>
        <w:top w:val="none" w:sz="0" w:space="0" w:color="auto"/>
        <w:left w:val="none" w:sz="0" w:space="0" w:color="auto"/>
        <w:bottom w:val="none" w:sz="0" w:space="0" w:color="auto"/>
        <w:right w:val="none" w:sz="0" w:space="0" w:color="auto"/>
      </w:divBdr>
      <w:divsChild>
        <w:div w:id="774059359">
          <w:marLeft w:val="0"/>
          <w:marRight w:val="0"/>
          <w:marTop w:val="0"/>
          <w:marBottom w:val="0"/>
          <w:divBdr>
            <w:top w:val="none" w:sz="0" w:space="0" w:color="auto"/>
            <w:left w:val="none" w:sz="0" w:space="0" w:color="auto"/>
            <w:bottom w:val="none" w:sz="0" w:space="0" w:color="auto"/>
            <w:right w:val="none" w:sz="0" w:space="0" w:color="auto"/>
          </w:divBdr>
          <w:divsChild>
            <w:div w:id="1748913816">
              <w:marLeft w:val="0"/>
              <w:marRight w:val="0"/>
              <w:marTop w:val="0"/>
              <w:marBottom w:val="0"/>
              <w:divBdr>
                <w:top w:val="none" w:sz="0" w:space="0" w:color="auto"/>
                <w:left w:val="none" w:sz="0" w:space="0" w:color="auto"/>
                <w:bottom w:val="none" w:sz="0" w:space="0" w:color="auto"/>
                <w:right w:val="none" w:sz="0" w:space="0" w:color="auto"/>
              </w:divBdr>
              <w:divsChild>
                <w:div w:id="1511412931">
                  <w:marLeft w:val="0"/>
                  <w:marRight w:val="0"/>
                  <w:marTop w:val="0"/>
                  <w:marBottom w:val="0"/>
                  <w:divBdr>
                    <w:top w:val="none" w:sz="0" w:space="0" w:color="auto"/>
                    <w:left w:val="none" w:sz="0" w:space="0" w:color="auto"/>
                    <w:bottom w:val="none" w:sz="0" w:space="0" w:color="auto"/>
                    <w:right w:val="none" w:sz="0" w:space="0" w:color="auto"/>
                  </w:divBdr>
                  <w:divsChild>
                    <w:div w:id="150879175">
                      <w:marLeft w:val="0"/>
                      <w:marRight w:val="0"/>
                      <w:marTop w:val="0"/>
                      <w:marBottom w:val="0"/>
                      <w:divBdr>
                        <w:top w:val="none" w:sz="0" w:space="0" w:color="auto"/>
                        <w:left w:val="none" w:sz="0" w:space="0" w:color="auto"/>
                        <w:bottom w:val="none" w:sz="0" w:space="0" w:color="auto"/>
                        <w:right w:val="none" w:sz="0" w:space="0" w:color="auto"/>
                      </w:divBdr>
                      <w:divsChild>
                        <w:div w:id="340355253">
                          <w:marLeft w:val="0"/>
                          <w:marRight w:val="0"/>
                          <w:marTop w:val="0"/>
                          <w:marBottom w:val="0"/>
                          <w:divBdr>
                            <w:top w:val="none" w:sz="0" w:space="0" w:color="auto"/>
                            <w:left w:val="none" w:sz="0" w:space="0" w:color="auto"/>
                            <w:bottom w:val="none" w:sz="0" w:space="0" w:color="auto"/>
                            <w:right w:val="none" w:sz="0" w:space="0" w:color="auto"/>
                          </w:divBdr>
                          <w:divsChild>
                            <w:div w:id="12831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5608019">
      <w:bodyDiv w:val="1"/>
      <w:marLeft w:val="0"/>
      <w:marRight w:val="0"/>
      <w:marTop w:val="0"/>
      <w:marBottom w:val="0"/>
      <w:divBdr>
        <w:top w:val="none" w:sz="0" w:space="0" w:color="auto"/>
        <w:left w:val="none" w:sz="0" w:space="0" w:color="auto"/>
        <w:bottom w:val="none" w:sz="0" w:space="0" w:color="auto"/>
        <w:right w:val="none" w:sz="0" w:space="0" w:color="auto"/>
      </w:divBdr>
    </w:div>
    <w:div w:id="124473110">
      <w:bodyDiv w:val="1"/>
      <w:marLeft w:val="0"/>
      <w:marRight w:val="0"/>
      <w:marTop w:val="0"/>
      <w:marBottom w:val="0"/>
      <w:divBdr>
        <w:top w:val="none" w:sz="0" w:space="0" w:color="auto"/>
        <w:left w:val="none" w:sz="0" w:space="0" w:color="auto"/>
        <w:bottom w:val="none" w:sz="0" w:space="0" w:color="auto"/>
        <w:right w:val="none" w:sz="0" w:space="0" w:color="auto"/>
      </w:divBdr>
    </w:div>
    <w:div w:id="194391999">
      <w:bodyDiv w:val="1"/>
      <w:marLeft w:val="0"/>
      <w:marRight w:val="0"/>
      <w:marTop w:val="0"/>
      <w:marBottom w:val="0"/>
      <w:divBdr>
        <w:top w:val="none" w:sz="0" w:space="0" w:color="auto"/>
        <w:left w:val="none" w:sz="0" w:space="0" w:color="auto"/>
        <w:bottom w:val="none" w:sz="0" w:space="0" w:color="auto"/>
        <w:right w:val="none" w:sz="0" w:space="0" w:color="auto"/>
      </w:divBdr>
    </w:div>
    <w:div w:id="218830244">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528907994">
      <w:bodyDiv w:val="1"/>
      <w:marLeft w:val="0"/>
      <w:marRight w:val="0"/>
      <w:marTop w:val="0"/>
      <w:marBottom w:val="0"/>
      <w:divBdr>
        <w:top w:val="none" w:sz="0" w:space="0" w:color="auto"/>
        <w:left w:val="none" w:sz="0" w:space="0" w:color="auto"/>
        <w:bottom w:val="none" w:sz="0" w:space="0" w:color="auto"/>
        <w:right w:val="none" w:sz="0" w:space="0" w:color="auto"/>
      </w:divBdr>
    </w:div>
    <w:div w:id="563754782">
      <w:bodyDiv w:val="1"/>
      <w:marLeft w:val="0"/>
      <w:marRight w:val="0"/>
      <w:marTop w:val="0"/>
      <w:marBottom w:val="0"/>
      <w:divBdr>
        <w:top w:val="none" w:sz="0" w:space="0" w:color="auto"/>
        <w:left w:val="none" w:sz="0" w:space="0" w:color="auto"/>
        <w:bottom w:val="none" w:sz="0" w:space="0" w:color="auto"/>
        <w:right w:val="none" w:sz="0" w:space="0" w:color="auto"/>
      </w:divBdr>
    </w:div>
    <w:div w:id="583883220">
      <w:bodyDiv w:val="1"/>
      <w:marLeft w:val="0"/>
      <w:marRight w:val="0"/>
      <w:marTop w:val="0"/>
      <w:marBottom w:val="0"/>
      <w:divBdr>
        <w:top w:val="none" w:sz="0" w:space="0" w:color="auto"/>
        <w:left w:val="none" w:sz="0" w:space="0" w:color="auto"/>
        <w:bottom w:val="none" w:sz="0" w:space="0" w:color="auto"/>
        <w:right w:val="none" w:sz="0" w:space="0" w:color="auto"/>
      </w:divBdr>
    </w:div>
    <w:div w:id="595211396">
      <w:bodyDiv w:val="1"/>
      <w:marLeft w:val="0"/>
      <w:marRight w:val="0"/>
      <w:marTop w:val="0"/>
      <w:marBottom w:val="0"/>
      <w:divBdr>
        <w:top w:val="none" w:sz="0" w:space="0" w:color="auto"/>
        <w:left w:val="none" w:sz="0" w:space="0" w:color="auto"/>
        <w:bottom w:val="none" w:sz="0" w:space="0" w:color="auto"/>
        <w:right w:val="none" w:sz="0" w:space="0" w:color="auto"/>
      </w:divBdr>
      <w:divsChild>
        <w:div w:id="112403671">
          <w:marLeft w:val="0"/>
          <w:marRight w:val="0"/>
          <w:marTop w:val="0"/>
          <w:marBottom w:val="0"/>
          <w:divBdr>
            <w:top w:val="none" w:sz="0" w:space="0" w:color="auto"/>
            <w:left w:val="none" w:sz="0" w:space="0" w:color="auto"/>
            <w:bottom w:val="none" w:sz="0" w:space="0" w:color="auto"/>
            <w:right w:val="none" w:sz="0" w:space="0" w:color="auto"/>
          </w:divBdr>
        </w:div>
        <w:div w:id="1291322122">
          <w:marLeft w:val="0"/>
          <w:marRight w:val="0"/>
          <w:marTop w:val="0"/>
          <w:marBottom w:val="0"/>
          <w:divBdr>
            <w:top w:val="none" w:sz="0" w:space="0" w:color="auto"/>
            <w:left w:val="none" w:sz="0" w:space="0" w:color="auto"/>
            <w:bottom w:val="none" w:sz="0" w:space="0" w:color="auto"/>
            <w:right w:val="none" w:sz="0" w:space="0" w:color="auto"/>
          </w:divBdr>
        </w:div>
        <w:div w:id="1380279878">
          <w:marLeft w:val="0"/>
          <w:marRight w:val="0"/>
          <w:marTop w:val="0"/>
          <w:marBottom w:val="0"/>
          <w:divBdr>
            <w:top w:val="none" w:sz="0" w:space="0" w:color="auto"/>
            <w:left w:val="none" w:sz="0" w:space="0" w:color="auto"/>
            <w:bottom w:val="none" w:sz="0" w:space="0" w:color="auto"/>
            <w:right w:val="none" w:sz="0" w:space="0" w:color="auto"/>
          </w:divBdr>
          <w:divsChild>
            <w:div w:id="791438835">
              <w:marLeft w:val="0"/>
              <w:marRight w:val="0"/>
              <w:marTop w:val="0"/>
              <w:marBottom w:val="0"/>
              <w:divBdr>
                <w:top w:val="none" w:sz="0" w:space="0" w:color="auto"/>
                <w:left w:val="none" w:sz="0" w:space="0" w:color="auto"/>
                <w:bottom w:val="none" w:sz="0" w:space="0" w:color="auto"/>
                <w:right w:val="none" w:sz="0" w:space="0" w:color="auto"/>
              </w:divBdr>
            </w:div>
            <w:div w:id="1052847628">
              <w:marLeft w:val="0"/>
              <w:marRight w:val="0"/>
              <w:marTop w:val="0"/>
              <w:marBottom w:val="0"/>
              <w:divBdr>
                <w:top w:val="none" w:sz="0" w:space="0" w:color="auto"/>
                <w:left w:val="none" w:sz="0" w:space="0" w:color="auto"/>
                <w:bottom w:val="none" w:sz="0" w:space="0" w:color="auto"/>
                <w:right w:val="none" w:sz="0" w:space="0" w:color="auto"/>
              </w:divBdr>
            </w:div>
            <w:div w:id="165406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9172">
      <w:bodyDiv w:val="1"/>
      <w:marLeft w:val="0"/>
      <w:marRight w:val="0"/>
      <w:marTop w:val="0"/>
      <w:marBottom w:val="0"/>
      <w:divBdr>
        <w:top w:val="none" w:sz="0" w:space="0" w:color="auto"/>
        <w:left w:val="none" w:sz="0" w:space="0" w:color="auto"/>
        <w:bottom w:val="none" w:sz="0" w:space="0" w:color="auto"/>
        <w:right w:val="none" w:sz="0" w:space="0" w:color="auto"/>
      </w:divBdr>
    </w:div>
    <w:div w:id="694885544">
      <w:bodyDiv w:val="1"/>
      <w:marLeft w:val="0"/>
      <w:marRight w:val="0"/>
      <w:marTop w:val="0"/>
      <w:marBottom w:val="0"/>
      <w:divBdr>
        <w:top w:val="none" w:sz="0" w:space="0" w:color="auto"/>
        <w:left w:val="none" w:sz="0" w:space="0" w:color="auto"/>
        <w:bottom w:val="none" w:sz="0" w:space="0" w:color="auto"/>
        <w:right w:val="none" w:sz="0" w:space="0" w:color="auto"/>
      </w:divBdr>
    </w:div>
    <w:div w:id="736703459">
      <w:bodyDiv w:val="1"/>
      <w:marLeft w:val="0"/>
      <w:marRight w:val="0"/>
      <w:marTop w:val="0"/>
      <w:marBottom w:val="0"/>
      <w:divBdr>
        <w:top w:val="none" w:sz="0" w:space="0" w:color="auto"/>
        <w:left w:val="none" w:sz="0" w:space="0" w:color="auto"/>
        <w:bottom w:val="none" w:sz="0" w:space="0" w:color="auto"/>
        <w:right w:val="none" w:sz="0" w:space="0" w:color="auto"/>
      </w:divBdr>
    </w:div>
    <w:div w:id="867567510">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2698192">
      <w:bodyDiv w:val="1"/>
      <w:marLeft w:val="0"/>
      <w:marRight w:val="0"/>
      <w:marTop w:val="0"/>
      <w:marBottom w:val="0"/>
      <w:divBdr>
        <w:top w:val="none" w:sz="0" w:space="0" w:color="auto"/>
        <w:left w:val="none" w:sz="0" w:space="0" w:color="auto"/>
        <w:bottom w:val="none" w:sz="0" w:space="0" w:color="auto"/>
        <w:right w:val="none" w:sz="0" w:space="0" w:color="auto"/>
      </w:divBdr>
    </w:div>
    <w:div w:id="1018700513">
      <w:bodyDiv w:val="1"/>
      <w:marLeft w:val="0"/>
      <w:marRight w:val="0"/>
      <w:marTop w:val="0"/>
      <w:marBottom w:val="0"/>
      <w:divBdr>
        <w:top w:val="none" w:sz="0" w:space="0" w:color="auto"/>
        <w:left w:val="none" w:sz="0" w:space="0" w:color="auto"/>
        <w:bottom w:val="none" w:sz="0" w:space="0" w:color="auto"/>
        <w:right w:val="none" w:sz="0" w:space="0" w:color="auto"/>
      </w:divBdr>
      <w:divsChild>
        <w:div w:id="519512578">
          <w:marLeft w:val="0"/>
          <w:marRight w:val="0"/>
          <w:marTop w:val="0"/>
          <w:marBottom w:val="0"/>
          <w:divBdr>
            <w:top w:val="none" w:sz="0" w:space="0" w:color="auto"/>
            <w:left w:val="none" w:sz="0" w:space="0" w:color="auto"/>
            <w:bottom w:val="none" w:sz="0" w:space="0" w:color="auto"/>
            <w:right w:val="none" w:sz="0" w:space="0" w:color="auto"/>
          </w:divBdr>
        </w:div>
        <w:div w:id="1870877719">
          <w:marLeft w:val="0"/>
          <w:marRight w:val="0"/>
          <w:marTop w:val="0"/>
          <w:marBottom w:val="0"/>
          <w:divBdr>
            <w:top w:val="none" w:sz="0" w:space="0" w:color="auto"/>
            <w:left w:val="none" w:sz="0" w:space="0" w:color="auto"/>
            <w:bottom w:val="none" w:sz="0" w:space="0" w:color="auto"/>
            <w:right w:val="none" w:sz="0" w:space="0" w:color="auto"/>
          </w:divBdr>
        </w:div>
      </w:divsChild>
    </w:div>
    <w:div w:id="1065644622">
      <w:bodyDiv w:val="1"/>
      <w:marLeft w:val="0"/>
      <w:marRight w:val="0"/>
      <w:marTop w:val="0"/>
      <w:marBottom w:val="0"/>
      <w:divBdr>
        <w:top w:val="none" w:sz="0" w:space="0" w:color="auto"/>
        <w:left w:val="none" w:sz="0" w:space="0" w:color="auto"/>
        <w:bottom w:val="none" w:sz="0" w:space="0" w:color="auto"/>
        <w:right w:val="none" w:sz="0" w:space="0" w:color="auto"/>
      </w:divBdr>
    </w:div>
    <w:div w:id="1143697079">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233546966">
      <w:bodyDiv w:val="1"/>
      <w:marLeft w:val="0"/>
      <w:marRight w:val="0"/>
      <w:marTop w:val="0"/>
      <w:marBottom w:val="0"/>
      <w:divBdr>
        <w:top w:val="none" w:sz="0" w:space="0" w:color="auto"/>
        <w:left w:val="none" w:sz="0" w:space="0" w:color="auto"/>
        <w:bottom w:val="none" w:sz="0" w:space="0" w:color="auto"/>
        <w:right w:val="none" w:sz="0" w:space="0" w:color="auto"/>
      </w:divBdr>
    </w:div>
    <w:div w:id="1235968494">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97931">
      <w:bodyDiv w:val="1"/>
      <w:marLeft w:val="0"/>
      <w:marRight w:val="0"/>
      <w:marTop w:val="0"/>
      <w:marBottom w:val="0"/>
      <w:divBdr>
        <w:top w:val="none" w:sz="0" w:space="0" w:color="auto"/>
        <w:left w:val="none" w:sz="0" w:space="0" w:color="auto"/>
        <w:bottom w:val="none" w:sz="0" w:space="0" w:color="auto"/>
        <w:right w:val="none" w:sz="0" w:space="0" w:color="auto"/>
      </w:divBdr>
      <w:divsChild>
        <w:div w:id="59333726">
          <w:marLeft w:val="0"/>
          <w:marRight w:val="0"/>
          <w:marTop w:val="0"/>
          <w:marBottom w:val="0"/>
          <w:divBdr>
            <w:top w:val="none" w:sz="0" w:space="0" w:color="auto"/>
            <w:left w:val="none" w:sz="0" w:space="0" w:color="auto"/>
            <w:bottom w:val="none" w:sz="0" w:space="0" w:color="auto"/>
            <w:right w:val="none" w:sz="0" w:space="0" w:color="auto"/>
          </w:divBdr>
        </w:div>
        <w:div w:id="347293022">
          <w:marLeft w:val="0"/>
          <w:marRight w:val="0"/>
          <w:marTop w:val="0"/>
          <w:marBottom w:val="0"/>
          <w:divBdr>
            <w:top w:val="none" w:sz="0" w:space="0" w:color="auto"/>
            <w:left w:val="none" w:sz="0" w:space="0" w:color="auto"/>
            <w:bottom w:val="none" w:sz="0" w:space="0" w:color="auto"/>
            <w:right w:val="none" w:sz="0" w:space="0" w:color="auto"/>
          </w:divBdr>
          <w:divsChild>
            <w:div w:id="352994526">
              <w:marLeft w:val="0"/>
              <w:marRight w:val="0"/>
              <w:marTop w:val="0"/>
              <w:marBottom w:val="0"/>
              <w:divBdr>
                <w:top w:val="none" w:sz="0" w:space="0" w:color="auto"/>
                <w:left w:val="none" w:sz="0" w:space="0" w:color="auto"/>
                <w:bottom w:val="none" w:sz="0" w:space="0" w:color="auto"/>
                <w:right w:val="none" w:sz="0" w:space="0" w:color="auto"/>
              </w:divBdr>
            </w:div>
            <w:div w:id="537087192">
              <w:marLeft w:val="0"/>
              <w:marRight w:val="0"/>
              <w:marTop w:val="0"/>
              <w:marBottom w:val="0"/>
              <w:divBdr>
                <w:top w:val="none" w:sz="0" w:space="0" w:color="auto"/>
                <w:left w:val="none" w:sz="0" w:space="0" w:color="auto"/>
                <w:bottom w:val="none" w:sz="0" w:space="0" w:color="auto"/>
                <w:right w:val="none" w:sz="0" w:space="0" w:color="auto"/>
              </w:divBdr>
            </w:div>
            <w:div w:id="1095058604">
              <w:marLeft w:val="0"/>
              <w:marRight w:val="0"/>
              <w:marTop w:val="0"/>
              <w:marBottom w:val="0"/>
              <w:divBdr>
                <w:top w:val="none" w:sz="0" w:space="0" w:color="auto"/>
                <w:left w:val="none" w:sz="0" w:space="0" w:color="auto"/>
                <w:bottom w:val="none" w:sz="0" w:space="0" w:color="auto"/>
                <w:right w:val="none" w:sz="0" w:space="0" w:color="auto"/>
              </w:divBdr>
            </w:div>
          </w:divsChild>
        </w:div>
        <w:div w:id="1570143261">
          <w:marLeft w:val="0"/>
          <w:marRight w:val="0"/>
          <w:marTop w:val="0"/>
          <w:marBottom w:val="0"/>
          <w:divBdr>
            <w:top w:val="none" w:sz="0" w:space="0" w:color="auto"/>
            <w:left w:val="none" w:sz="0" w:space="0" w:color="auto"/>
            <w:bottom w:val="none" w:sz="0" w:space="0" w:color="auto"/>
            <w:right w:val="none" w:sz="0" w:space="0" w:color="auto"/>
          </w:divBdr>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553668">
      <w:bodyDiv w:val="1"/>
      <w:marLeft w:val="0"/>
      <w:marRight w:val="0"/>
      <w:marTop w:val="0"/>
      <w:marBottom w:val="0"/>
      <w:divBdr>
        <w:top w:val="none" w:sz="0" w:space="0" w:color="auto"/>
        <w:left w:val="none" w:sz="0" w:space="0" w:color="auto"/>
        <w:bottom w:val="none" w:sz="0" w:space="0" w:color="auto"/>
        <w:right w:val="none" w:sz="0" w:space="0" w:color="auto"/>
      </w:divBdr>
      <w:divsChild>
        <w:div w:id="891690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3164970">
      <w:bodyDiv w:val="1"/>
      <w:marLeft w:val="0"/>
      <w:marRight w:val="0"/>
      <w:marTop w:val="0"/>
      <w:marBottom w:val="0"/>
      <w:divBdr>
        <w:top w:val="none" w:sz="0" w:space="0" w:color="auto"/>
        <w:left w:val="none" w:sz="0" w:space="0" w:color="auto"/>
        <w:bottom w:val="none" w:sz="0" w:space="0" w:color="auto"/>
        <w:right w:val="none" w:sz="0" w:space="0" w:color="auto"/>
      </w:divBdr>
      <w:divsChild>
        <w:div w:id="2136481142">
          <w:marLeft w:val="0"/>
          <w:marRight w:val="0"/>
          <w:marTop w:val="0"/>
          <w:marBottom w:val="0"/>
          <w:divBdr>
            <w:top w:val="none" w:sz="0" w:space="0" w:color="auto"/>
            <w:left w:val="none" w:sz="0" w:space="0" w:color="auto"/>
            <w:bottom w:val="none" w:sz="0" w:space="0" w:color="auto"/>
            <w:right w:val="none" w:sz="0" w:space="0" w:color="auto"/>
          </w:divBdr>
          <w:divsChild>
            <w:div w:id="932318209">
              <w:marLeft w:val="0"/>
              <w:marRight w:val="0"/>
              <w:marTop w:val="0"/>
              <w:marBottom w:val="0"/>
              <w:divBdr>
                <w:top w:val="none" w:sz="0" w:space="0" w:color="auto"/>
                <w:left w:val="none" w:sz="0" w:space="0" w:color="auto"/>
                <w:bottom w:val="none" w:sz="0" w:space="0" w:color="auto"/>
                <w:right w:val="none" w:sz="0" w:space="0" w:color="auto"/>
              </w:divBdr>
              <w:divsChild>
                <w:div w:id="7371556">
                  <w:marLeft w:val="0"/>
                  <w:marRight w:val="0"/>
                  <w:marTop w:val="0"/>
                  <w:marBottom w:val="0"/>
                  <w:divBdr>
                    <w:top w:val="none" w:sz="0" w:space="0" w:color="auto"/>
                    <w:left w:val="none" w:sz="0" w:space="0" w:color="auto"/>
                    <w:bottom w:val="none" w:sz="0" w:space="0" w:color="auto"/>
                    <w:right w:val="none" w:sz="0" w:space="0" w:color="auto"/>
                  </w:divBdr>
                  <w:divsChild>
                    <w:div w:id="153188514">
                      <w:marLeft w:val="0"/>
                      <w:marRight w:val="0"/>
                      <w:marTop w:val="0"/>
                      <w:marBottom w:val="0"/>
                      <w:divBdr>
                        <w:top w:val="none" w:sz="0" w:space="0" w:color="auto"/>
                        <w:left w:val="none" w:sz="0" w:space="0" w:color="auto"/>
                        <w:bottom w:val="none" w:sz="0" w:space="0" w:color="auto"/>
                        <w:right w:val="none" w:sz="0" w:space="0" w:color="auto"/>
                      </w:divBdr>
                      <w:divsChild>
                        <w:div w:id="2064911154">
                          <w:marLeft w:val="0"/>
                          <w:marRight w:val="0"/>
                          <w:marTop w:val="0"/>
                          <w:marBottom w:val="0"/>
                          <w:divBdr>
                            <w:top w:val="none" w:sz="0" w:space="0" w:color="auto"/>
                            <w:left w:val="none" w:sz="0" w:space="0" w:color="auto"/>
                            <w:bottom w:val="none" w:sz="0" w:space="0" w:color="auto"/>
                            <w:right w:val="none" w:sz="0" w:space="0" w:color="auto"/>
                          </w:divBdr>
                          <w:divsChild>
                            <w:div w:id="78593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188547">
      <w:bodyDiv w:val="1"/>
      <w:marLeft w:val="0"/>
      <w:marRight w:val="0"/>
      <w:marTop w:val="0"/>
      <w:marBottom w:val="0"/>
      <w:divBdr>
        <w:top w:val="none" w:sz="0" w:space="0" w:color="auto"/>
        <w:left w:val="none" w:sz="0" w:space="0" w:color="auto"/>
        <w:bottom w:val="none" w:sz="0" w:space="0" w:color="auto"/>
        <w:right w:val="none" w:sz="0" w:space="0" w:color="auto"/>
      </w:divBdr>
    </w:div>
    <w:div w:id="1505051302">
      <w:bodyDiv w:val="1"/>
      <w:marLeft w:val="0"/>
      <w:marRight w:val="0"/>
      <w:marTop w:val="0"/>
      <w:marBottom w:val="0"/>
      <w:divBdr>
        <w:top w:val="none" w:sz="0" w:space="0" w:color="auto"/>
        <w:left w:val="none" w:sz="0" w:space="0" w:color="auto"/>
        <w:bottom w:val="none" w:sz="0" w:space="0" w:color="auto"/>
        <w:right w:val="none" w:sz="0" w:space="0" w:color="auto"/>
      </w:divBdr>
    </w:div>
    <w:div w:id="1524588223">
      <w:bodyDiv w:val="1"/>
      <w:marLeft w:val="0"/>
      <w:marRight w:val="0"/>
      <w:marTop w:val="0"/>
      <w:marBottom w:val="0"/>
      <w:divBdr>
        <w:top w:val="none" w:sz="0" w:space="0" w:color="auto"/>
        <w:left w:val="none" w:sz="0" w:space="0" w:color="auto"/>
        <w:bottom w:val="none" w:sz="0" w:space="0" w:color="auto"/>
        <w:right w:val="none" w:sz="0" w:space="0" w:color="auto"/>
      </w:divBdr>
    </w:div>
    <w:div w:id="1527063395">
      <w:bodyDiv w:val="1"/>
      <w:marLeft w:val="0"/>
      <w:marRight w:val="0"/>
      <w:marTop w:val="0"/>
      <w:marBottom w:val="0"/>
      <w:divBdr>
        <w:top w:val="none" w:sz="0" w:space="0" w:color="auto"/>
        <w:left w:val="none" w:sz="0" w:space="0" w:color="auto"/>
        <w:bottom w:val="none" w:sz="0" w:space="0" w:color="auto"/>
        <w:right w:val="none" w:sz="0" w:space="0" w:color="auto"/>
      </w:divBdr>
    </w:div>
    <w:div w:id="1585800954">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447200">
      <w:bodyDiv w:val="1"/>
      <w:marLeft w:val="0"/>
      <w:marRight w:val="0"/>
      <w:marTop w:val="0"/>
      <w:marBottom w:val="0"/>
      <w:divBdr>
        <w:top w:val="none" w:sz="0" w:space="0" w:color="auto"/>
        <w:left w:val="none" w:sz="0" w:space="0" w:color="auto"/>
        <w:bottom w:val="none" w:sz="0" w:space="0" w:color="auto"/>
        <w:right w:val="none" w:sz="0" w:space="0" w:color="auto"/>
      </w:divBdr>
    </w:div>
    <w:div w:id="1696924619">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828937688">
      <w:bodyDiv w:val="1"/>
      <w:marLeft w:val="0"/>
      <w:marRight w:val="0"/>
      <w:marTop w:val="0"/>
      <w:marBottom w:val="0"/>
      <w:divBdr>
        <w:top w:val="none" w:sz="0" w:space="0" w:color="auto"/>
        <w:left w:val="none" w:sz="0" w:space="0" w:color="auto"/>
        <w:bottom w:val="none" w:sz="0" w:space="0" w:color="auto"/>
        <w:right w:val="none" w:sz="0" w:space="0" w:color="auto"/>
      </w:divBdr>
    </w:div>
    <w:div w:id="1850562445">
      <w:bodyDiv w:val="1"/>
      <w:marLeft w:val="0"/>
      <w:marRight w:val="0"/>
      <w:marTop w:val="0"/>
      <w:marBottom w:val="0"/>
      <w:divBdr>
        <w:top w:val="none" w:sz="0" w:space="0" w:color="auto"/>
        <w:left w:val="none" w:sz="0" w:space="0" w:color="auto"/>
        <w:bottom w:val="none" w:sz="0" w:space="0" w:color="auto"/>
        <w:right w:val="none" w:sz="0" w:space="0" w:color="auto"/>
      </w:divBdr>
    </w:div>
    <w:div w:id="1868640991">
      <w:bodyDiv w:val="1"/>
      <w:marLeft w:val="0"/>
      <w:marRight w:val="0"/>
      <w:marTop w:val="0"/>
      <w:marBottom w:val="0"/>
      <w:divBdr>
        <w:top w:val="none" w:sz="0" w:space="0" w:color="auto"/>
        <w:left w:val="none" w:sz="0" w:space="0" w:color="auto"/>
        <w:bottom w:val="none" w:sz="0" w:space="0" w:color="auto"/>
        <w:right w:val="none" w:sz="0" w:space="0" w:color="auto"/>
      </w:divBdr>
    </w:div>
    <w:div w:id="1874726827">
      <w:bodyDiv w:val="1"/>
      <w:marLeft w:val="0"/>
      <w:marRight w:val="0"/>
      <w:marTop w:val="0"/>
      <w:marBottom w:val="0"/>
      <w:divBdr>
        <w:top w:val="none" w:sz="0" w:space="0" w:color="auto"/>
        <w:left w:val="none" w:sz="0" w:space="0" w:color="auto"/>
        <w:bottom w:val="none" w:sz="0" w:space="0" w:color="auto"/>
        <w:right w:val="none" w:sz="0" w:space="0" w:color="auto"/>
      </w:divBdr>
    </w:div>
    <w:div w:id="1887059068">
      <w:bodyDiv w:val="1"/>
      <w:marLeft w:val="0"/>
      <w:marRight w:val="0"/>
      <w:marTop w:val="0"/>
      <w:marBottom w:val="0"/>
      <w:divBdr>
        <w:top w:val="none" w:sz="0" w:space="0" w:color="auto"/>
        <w:left w:val="none" w:sz="0" w:space="0" w:color="auto"/>
        <w:bottom w:val="none" w:sz="0" w:space="0" w:color="auto"/>
        <w:right w:val="none" w:sz="0" w:space="0" w:color="auto"/>
      </w:divBdr>
    </w:div>
    <w:div w:id="1982614986">
      <w:bodyDiv w:val="1"/>
      <w:marLeft w:val="0"/>
      <w:marRight w:val="0"/>
      <w:marTop w:val="0"/>
      <w:marBottom w:val="0"/>
      <w:divBdr>
        <w:top w:val="none" w:sz="0" w:space="0" w:color="auto"/>
        <w:left w:val="none" w:sz="0" w:space="0" w:color="auto"/>
        <w:bottom w:val="none" w:sz="0" w:space="0" w:color="auto"/>
        <w:right w:val="none" w:sz="0" w:space="0" w:color="auto"/>
      </w:divBdr>
    </w:div>
    <w:div w:id="2003728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sv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5.png"/><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1.xml"/><Relationship Id="rId28" Type="http://schemas.openxmlformats.org/officeDocument/2006/relationships/hyperlink" Target="https://podpora.financnasprava.sk/844317-Nezdanite%C4%BEn%C3%A1-%C4%8Das%C5%A5-z%C3%A1kladu-dane-na-da%C5%88ovn%C3%ADka?r=1"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svg"/><Relationship Id="rId27" Type="http://schemas.openxmlformats.org/officeDocument/2006/relationships/image" Target="media/image8.png"/><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taxation-customs.ec.europa.eu/document/download/c24ef108-3dce-4169-84e3-0d024f419efd_en?filename=COM_2025_695_1_EN_ACT_part1_v3.pdf&amp;utm_source=chatgpt.com" TargetMode="External"/><Relationship Id="rId13" Type="http://schemas.openxmlformats.org/officeDocument/2006/relationships/hyperlink" Target="https://ec.europa.eu/info/law/better-regulation/have-your-say/initiatives/15112-EU-rules-on-administrative-cooperation-in-the-field-of-taxation-recast_en" TargetMode="External"/><Relationship Id="rId18" Type="http://schemas.openxmlformats.org/officeDocument/2006/relationships/hyperlink" Target="https://doi.org/10.1787/0e3cc2d4-en" TargetMode="External"/><Relationship Id="rId3" Type="http://schemas.openxmlformats.org/officeDocument/2006/relationships/hyperlink" Target="https://eur-lex.europa.eu/legal-content/EN/TXT/?uri=CELEX:52025DC0045" TargetMode="External"/><Relationship Id="rId7" Type="http://schemas.openxmlformats.org/officeDocument/2006/relationships/hyperlink" Target="https://undocs.org/en/A/RES/70/1" TargetMode="External"/><Relationship Id="rId12" Type="http://schemas.openxmlformats.org/officeDocument/2006/relationships/hyperlink" Target="https://www.eca.europa.eu/en/publications/SR-2024-27" TargetMode="External"/><Relationship Id="rId17" Type="http://schemas.openxmlformats.org/officeDocument/2006/relationships/hyperlink" Target="https://eur-lex.europa.eu/legal-content/EN/TXT/?uri=celex:52025DC0500&amp;utm_source=chatgpt.com" TargetMode="External"/><Relationship Id="rId2" Type="http://schemas.openxmlformats.org/officeDocument/2006/relationships/hyperlink" Target="https://commission.europa.eu/document/download/10017eb1-4722-4333-add2-e0ed18105a34_en?utm_source=chatgpt.com" TargetMode="External"/><Relationship Id="rId16" Type="http://schemas.openxmlformats.org/officeDocument/2006/relationships/hyperlink" Target="https://commission.europa.eu/topics/competitiveness/competitiveness-compass_en" TargetMode="External"/><Relationship Id="rId20" Type="http://schemas.openxmlformats.org/officeDocument/2006/relationships/hyperlink" Target="https://www.oecd.org/content/dam/oecd/en/topics/policy-issues/tax-transparency-and-international-co-operation/framework-for-the-automatic-exchange-of-readily-available-information-on-immovable-property-for-tax-purposes.pdf" TargetMode="External"/><Relationship Id="rId1" Type="http://schemas.openxmlformats.org/officeDocument/2006/relationships/hyperlink" Target="https://commission.europa.eu/priorities-2024-2029_en" TargetMode="External"/><Relationship Id="rId6" Type="http://schemas.openxmlformats.org/officeDocument/2006/relationships/hyperlink" Target="http://data.europa.eu/eli/dir/2021/2101/oj" TargetMode="External"/><Relationship Id="rId11" Type="http://schemas.openxmlformats.org/officeDocument/2006/relationships/hyperlink" Target="https://www.eca.europa.eu/en/publications/SR21_03" TargetMode="External"/><Relationship Id="rId5" Type="http://schemas.openxmlformats.org/officeDocument/2006/relationships/hyperlink" Target="https://www.consilium.europa.eu/media/viyhc2m4/20250320-european-council-conclusions-en.pdf" TargetMode="External"/><Relationship Id="rId15" Type="http://schemas.openxmlformats.org/officeDocument/2006/relationships/hyperlink" Target="https://ec.europa.eu/taxation_customs/tin/?utm_source=chatgpt.com" TargetMode="External"/><Relationship Id="rId10" Type="http://schemas.openxmlformats.org/officeDocument/2006/relationships/hyperlink" Target="https://taxation-customs.ec.europa.eu/document/download/2206de45-1576-4eab-826a-4cb22aa7f80d_en?filename=Soon_0.pdf" TargetMode="External"/><Relationship Id="rId19" Type="http://schemas.openxmlformats.org/officeDocument/2006/relationships/hyperlink" Target="https://commission.europa.eu/news-and-media/news/once-only-principle-system-breakthrough-eus-digital-single-market-2020-11-05_en" TargetMode="External"/><Relationship Id="rId4" Type="http://schemas.openxmlformats.org/officeDocument/2006/relationships/hyperlink" Target="https://commission.europa.eu/strategy-and-policy/strategy-documents/commission-work-programme/commission-work-programme-2026_en?utm_source=chatgpt.com" TargetMode="External"/><Relationship Id="rId9" Type="http://schemas.openxmlformats.org/officeDocument/2006/relationships/hyperlink" Target="https://taxation-customs.ec.europa.eu/document/download/c1235b9c-8c70-4c36-8270-fc908d3d28fa_en?filename=Soon.pdf" TargetMode="External"/><Relationship Id="rId14" Type="http://schemas.openxmlformats.org/officeDocument/2006/relationships/hyperlink" Target="https://eur-lex.europa.eu/legal-content/EN/TXT/?uri=celex:52020DC0098&amp;utm_source=chatgpt.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offline\01\escosmi\My%20Documents\OFC%20and%20CfE%20Informa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t>Distribution by area of activity</a:t>
            </a:r>
          </a:p>
        </c:rich>
      </c:tx>
      <c:layout>
        <c:manualLayout>
          <c:xMode val="edge"/>
          <c:yMode val="edge"/>
          <c:x val="0.3316737343696276"/>
          <c:y val="3.2767694370664915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Respondednts!$C$65:$C$71</c:f>
              <c:strCache>
                <c:ptCount val="7"/>
                <c:pt idx="0">
                  <c:v>15</c:v>
                </c:pt>
                <c:pt idx="1">
                  <c:v>12</c:v>
                </c:pt>
                <c:pt idx="2">
                  <c:v>13</c:v>
                </c:pt>
                <c:pt idx="3">
                  <c:v>12</c:v>
                </c:pt>
                <c:pt idx="4">
                  <c:v>2</c:v>
                </c:pt>
                <c:pt idx="5">
                  <c:v>1</c:v>
                </c:pt>
                <c:pt idx="6">
                  <c:v>1</c:v>
                </c:pt>
              </c:strCache>
            </c:strRef>
          </c:tx>
          <c:spPr>
            <a:solidFill>
              <a:schemeClr val="accent1"/>
            </a:solidFill>
            <a:ln>
              <a:noFill/>
            </a:ln>
            <a:effectLst/>
          </c:spPr>
          <c:invertIfNegative val="0"/>
          <c:cat>
            <c:strRef>
              <c:f>Respondednts!$D$65:$D$71</c:f>
              <c:strCache>
                <c:ptCount val="7"/>
                <c:pt idx="0">
                  <c:v>Tax intermediary, accountant, or tax advisor</c:v>
                </c:pt>
                <c:pt idx="1">
                  <c:v>Generalist business association</c:v>
                </c:pt>
                <c:pt idx="2">
                  <c:v>Online platforms</c:v>
                </c:pt>
                <c:pt idx="3">
                  <c:v>Banking and other financial services</c:v>
                </c:pt>
                <c:pt idx="4">
                  <c:v>EU citizen</c:v>
                </c:pt>
                <c:pt idx="5">
                  <c:v>N/A</c:v>
                </c:pt>
                <c:pt idx="6">
                  <c:v>Blockchain security company</c:v>
                </c:pt>
              </c:strCache>
            </c:strRef>
          </c:cat>
          <c:val>
            <c:numRef>
              <c:f>Respondednts!$C$65:$C$71</c:f>
              <c:numCache>
                <c:formatCode>General</c:formatCode>
                <c:ptCount val="7"/>
                <c:pt idx="0">
                  <c:v>15</c:v>
                </c:pt>
                <c:pt idx="1">
                  <c:v>12</c:v>
                </c:pt>
                <c:pt idx="2">
                  <c:v>13</c:v>
                </c:pt>
                <c:pt idx="3">
                  <c:v>12</c:v>
                </c:pt>
                <c:pt idx="4">
                  <c:v>2</c:v>
                </c:pt>
                <c:pt idx="5">
                  <c:v>1</c:v>
                </c:pt>
                <c:pt idx="6">
                  <c:v>1</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B9B-43F4-9F91-DFDC088C7727}"/>
            </c:ext>
          </c:extLst>
        </c:ser>
        <c:dLbls>
          <c:showLegendKey val="0"/>
          <c:showVal val="0"/>
          <c:showCatName val="0"/>
          <c:showSerName val="0"/>
          <c:showPercent val="0"/>
          <c:showBubbleSize val="0"/>
        </c:dLbls>
        <c:gapWidth val="219"/>
        <c:overlap val="-27"/>
        <c:axId val="352880032"/>
        <c:axId val="352879552"/>
      </c:barChart>
      <c:catAx>
        <c:axId val="35288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52879552"/>
        <c:crosses val="autoZero"/>
        <c:auto val="1"/>
        <c:lblAlgn val="ctr"/>
        <c:lblOffset val="100"/>
        <c:noMultiLvlLbl val="0"/>
      </c:catAx>
      <c:valAx>
        <c:axId val="352879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52880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0fabb7e0dc54df5b21af369592b9349d">
  <xsd:schema xmlns:xsd="http://www.w3.org/2001/XMLSchema" xmlns:xs="http://www.w3.org/2001/XMLSchema" xmlns:p="http://schemas.microsoft.com/office/2006/metadata/properties" xmlns:ns2="7c2df423-21e3-4881-a08a-095b88bfd823" targetNamespace="http://schemas.microsoft.com/office/2006/metadata/properties" ma:root="true" ma:fieldsID="6841dc97b480be43daea0e4b904cf4a6"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56992-0620-4D16-874D-EDB48A8C233D}">
  <ds:schemaRefs>
    <ds:schemaRef ds:uri="http://purl.org/dc/term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7c2df423-21e3-4881-a08a-095b88bfd823"/>
    <ds:schemaRef ds:uri="http://purl.org/dc/elements/1.1/"/>
  </ds:schemaRefs>
</ds:datastoreItem>
</file>

<file path=customXml/itemProps2.xml><?xml version="1.0" encoding="utf-8"?>
<ds:datastoreItem xmlns:ds="http://schemas.openxmlformats.org/officeDocument/2006/customXml" ds:itemID="{66E2B99C-EEBA-4859-BCDE-2CC97BCC9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2F2715-F534-4F19-ABE5-3EB4FB4112CC}">
  <ds:schemaRefs>
    <ds:schemaRef ds:uri="http://schemas.microsoft.com/sharepoint/v3/contenttype/forms"/>
  </ds:schemaRefs>
</ds:datastoreItem>
</file>

<file path=customXml/itemProps4.xml><?xml version="1.0" encoding="utf-8"?>
<ds:datastoreItem xmlns:ds="http://schemas.openxmlformats.org/officeDocument/2006/customXml" ds:itemID="{6E67BA63-CB14-42BA-9AED-DD6F043C0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44338</Words>
  <Characters>252730</Characters>
  <Application>Microsoft Office Word</Application>
  <DocSecurity>0</DocSecurity>
  <Lines>2106</Lines>
  <Paragraphs>592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2026-06-09T14:17:00Z</dcterms:created>
  <dcterms:modified xsi:type="dcterms:W3CDTF">2026-06-23T13:20:00Z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2026-05-19T09:34:10Z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5997cced-15e7-4f5f-9dbb-118d6292e39c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0x01010082EF9373D7657549B6CD127E08569206</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CP-026</vt:lpwstr>
  </property>
</Properties>
</file>