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372F270-3C12-4E44-9C7B-8005ACD9693C" style="width:455.25pt;height:37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Style w:val="TableGrid"/>
        <w:tblW w:w="10188" w:type="dxa"/>
        <w:tblLook w:val="01E0" w:firstRow="1" w:lastRow="1" w:firstColumn="1" w:lastColumn="1" w:noHBand="0" w:noVBand="0"/>
      </w:tblPr>
      <w:tblGrid>
        <w:gridCol w:w="10166"/>
        <w:gridCol w:w="22"/>
      </w:tblGrid>
      <w:tr>
        <w:tc>
          <w:tcPr>
            <w:tcW w:w="10188" w:type="dxa"/>
            <w:gridSpan w:val="2"/>
            <w:tcBorders>
              <w:bottom w:val="single" w:sz="4" w:space="0" w:color="auto"/>
            </w:tcBorders>
            <w:shd w:val="clear" w:color="auto" w:fill="CCCCCC"/>
          </w:tcPr>
          <w:p>
            <w:pPr>
              <w:spacing w:before="60" w:after="60"/>
              <w:jc w:val="center"/>
              <w:rPr>
                <w:b/>
                <w:noProof/>
                <w:sz w:val="24"/>
                <w:szCs w:val="24"/>
              </w:rPr>
            </w:pPr>
            <w:r>
              <w:rPr>
                <w:b/>
                <w:noProof/>
                <w:sz w:val="24"/>
              </w:rPr>
              <w:lastRenderedPageBreak/>
              <w:t>Fișă rezumat</w:t>
            </w:r>
          </w:p>
        </w:tc>
      </w:tr>
      <w:tr>
        <w:tc>
          <w:tcPr>
            <w:tcW w:w="10188" w:type="dxa"/>
            <w:gridSpan w:val="2"/>
            <w:tcBorders>
              <w:top w:val="single" w:sz="4" w:space="0" w:color="auto"/>
              <w:left w:val="single" w:sz="4" w:space="0" w:color="auto"/>
              <w:bottom w:val="single" w:sz="4" w:space="0" w:color="auto"/>
              <w:right w:val="single" w:sz="4" w:space="0" w:color="auto"/>
            </w:tcBorders>
            <w:shd w:val="clear" w:color="auto" w:fill="4F81BD" w:themeFill="accent1"/>
          </w:tcPr>
          <w:p>
            <w:pPr>
              <w:jc w:val="both"/>
              <w:rPr>
                <w:b/>
                <w:bCs/>
                <w:noProof/>
                <w:sz w:val="24"/>
                <w:szCs w:val="24"/>
              </w:rPr>
            </w:pPr>
            <w:r>
              <w:rPr>
                <w:b/>
                <w:noProof/>
                <w:color w:val="FFFFFF" w:themeColor="background1"/>
                <w:sz w:val="24"/>
              </w:rPr>
              <w:t>Evaluarea impactului pentru o inițiativă de reformare a Directivei 2011/16/UE privind cooperarea administrativă în domeniul fiscal</w:t>
            </w:r>
          </w:p>
        </w:tc>
      </w:tr>
      <w:tr>
        <w:tc>
          <w:tcPr>
            <w:tcW w:w="10188" w:type="dxa"/>
            <w:gridSpan w:val="2"/>
            <w:tcBorders>
              <w:bottom w:val="single" w:sz="4" w:space="0" w:color="auto"/>
            </w:tcBorders>
            <w:shd w:val="clear" w:color="auto" w:fill="CCCCCC"/>
          </w:tcPr>
          <w:p>
            <w:pPr>
              <w:spacing w:before="60" w:after="60"/>
              <w:jc w:val="center"/>
              <w:rPr>
                <w:b/>
                <w:noProof/>
                <w:sz w:val="24"/>
                <w:szCs w:val="24"/>
              </w:rPr>
            </w:pPr>
            <w:r>
              <w:rPr>
                <w:b/>
                <w:noProof/>
                <w:sz w:val="24"/>
              </w:rPr>
              <w:t>A. Necesitatea de a acționa</w:t>
            </w:r>
          </w:p>
        </w:tc>
      </w:tr>
      <w:tr>
        <w:tc>
          <w:tcPr>
            <w:tcW w:w="10188" w:type="dxa"/>
            <w:gridSpan w:val="2"/>
            <w:tcBorders>
              <w:bottom w:val="single" w:sz="4" w:space="0" w:color="auto"/>
            </w:tcBorders>
            <w:shd w:val="clear" w:color="auto" w:fill="E0E0E0"/>
          </w:tcPr>
          <w:p>
            <w:pPr>
              <w:spacing w:before="60" w:after="60"/>
              <w:jc w:val="both"/>
              <w:rPr>
                <w:noProof/>
                <w:sz w:val="24"/>
                <w:szCs w:val="24"/>
              </w:rPr>
            </w:pPr>
            <w:r>
              <w:rPr>
                <w:b/>
                <w:noProof/>
                <w:sz w:val="24"/>
              </w:rPr>
              <w:t xml:space="preserve">De ce? Care este problema abordată? </w:t>
            </w:r>
          </w:p>
        </w:tc>
      </w:tr>
      <w:tr>
        <w:tc>
          <w:tcPr>
            <w:tcW w:w="10188" w:type="dxa"/>
            <w:gridSpan w:val="2"/>
            <w:tcBorders>
              <w:bottom w:val="single" w:sz="4" w:space="0" w:color="auto"/>
            </w:tcBorders>
          </w:tcPr>
          <w:p>
            <w:pPr>
              <w:jc w:val="both"/>
              <w:rPr>
                <w:noProof/>
                <w:sz w:val="24"/>
                <w:szCs w:val="24"/>
              </w:rPr>
            </w:pPr>
            <w:r>
              <w:rPr>
                <w:noProof/>
                <w:sz w:val="24"/>
              </w:rPr>
              <w:t>DAC oferă un cadru cuprinzător pentru cooperarea administrativă în domeniul impozitării directe în cadrul UE, inclusiv pentru raportarea informațiilor de către anumite entități și schimbul automat ulterior al acestor informații de către administrațiile fiscale. Cadrul DAC a evoluat prin modificări succesive (DAC2–DAC9), ceea ce a dus la o structură juridică fragmentată și complexă. Acest lucru a creat o lipsă de claritate juridică și de securitate juridică pentru contribuabili, entitățile raportoare și administrațiile fiscale. În plus, unele obligații de notificare și cerințe de raportare generează volume mari de informații care au o relevanță fiscală limitată, în special în ceea ce privește DAC4 (raportarea pentru fiecare țară în parte)/DAC9, DAC6 (modalitățile transfrontaliere) și DAC7 (veniturile obținute prin intermediul platformelor digitale). Acest lucru a condus la costuri disproporționate de asigurare a conformității și, în special, la sarcini administrative pentru toate părțile interesate. În plus, deficiențele în ceea ce privește calitatea datelor, în special numerele de identificare fiscală (NIF) incomplete sau inexacte, precum și limitările cadrului de raportare DAC1 reduc utilizarea eficace de către administrațiile fiscale a informațiilor care fac obiectul schimburilor, în vederea combaterii fraudei fiscale, a evaziunii fiscale și a evitării obligațiilor fiscale.</w:t>
            </w:r>
          </w:p>
        </w:tc>
      </w:tr>
      <w:tr>
        <w:tc>
          <w:tcPr>
            <w:tcW w:w="10188" w:type="dxa"/>
            <w:gridSpan w:val="2"/>
            <w:tcBorders>
              <w:bottom w:val="single" w:sz="4" w:space="0" w:color="auto"/>
            </w:tcBorders>
            <w:shd w:val="clear" w:color="auto" w:fill="E6E6E6"/>
          </w:tcPr>
          <w:p>
            <w:pPr>
              <w:spacing w:before="60" w:after="60"/>
              <w:jc w:val="both"/>
              <w:rPr>
                <w:noProof/>
                <w:sz w:val="24"/>
                <w:szCs w:val="24"/>
              </w:rPr>
            </w:pPr>
            <w:r>
              <w:rPr>
                <w:b/>
                <w:noProof/>
                <w:sz w:val="24"/>
              </w:rPr>
              <w:t xml:space="preserve">Ce se așteaptă de la această inițiativă? </w:t>
            </w:r>
          </w:p>
        </w:tc>
      </w:tr>
      <w:tr>
        <w:tc>
          <w:tcPr>
            <w:tcW w:w="10188" w:type="dxa"/>
            <w:gridSpan w:val="2"/>
            <w:tcBorders>
              <w:bottom w:val="single" w:sz="4" w:space="0" w:color="auto"/>
            </w:tcBorders>
          </w:tcPr>
          <w:p>
            <w:pPr>
              <w:jc w:val="both"/>
              <w:rPr>
                <w:noProof/>
                <w:sz w:val="24"/>
                <w:szCs w:val="24"/>
              </w:rPr>
            </w:pPr>
            <w:r>
              <w:rPr>
                <w:noProof/>
                <w:sz w:val="24"/>
              </w:rPr>
              <w:t>Inițiativa urmărește să clarifice, să simplifice și să îmbunătățească funcționarea cadrului DAC, menținând în același timp obiectivul său principal de combatere a fraudei fiscale, a evaziunii fiscale și a evitării obligațiilor fiscale. Inițiativa va reduce complexitatea și va îmbunătăți claritatea juridică și securitatea juridică pentru toate părțile interesate. Ea va asigura faptul că obligațiile de raportare și de notificare sunt proporționale, reducând astfel sarcinile administrative și contribuind la prioritatea politică a Comisiei de a reduce aceste sarcini cu cel puțin 25 % pentru întreprinderi și cu cel puțin 35 % pentru IMM-uri, pentru a sprijini competitivitatea UE. În același timp, inițiativa va spori relevanța și calitatea informațiilor raportate și va consolida utilizarea eficace de către autoritățile fiscale a datelor care au făcut obiectul schimburilor.</w:t>
            </w:r>
          </w:p>
        </w:tc>
      </w:tr>
      <w:tr>
        <w:tc>
          <w:tcPr>
            <w:tcW w:w="10188" w:type="dxa"/>
            <w:gridSpan w:val="2"/>
            <w:tcBorders>
              <w:bottom w:val="single" w:sz="4" w:space="0" w:color="auto"/>
            </w:tcBorders>
            <w:shd w:val="clear" w:color="auto" w:fill="E6E6E6"/>
          </w:tcPr>
          <w:p>
            <w:pPr>
              <w:spacing w:before="60" w:after="60"/>
              <w:jc w:val="both"/>
              <w:rPr>
                <w:noProof/>
                <w:sz w:val="24"/>
                <w:szCs w:val="24"/>
              </w:rPr>
            </w:pPr>
            <w:r>
              <w:rPr>
                <w:b/>
                <w:noProof/>
                <w:sz w:val="24"/>
              </w:rPr>
              <w:t>Care este valoarea adăugată a acțiunii la nivelul UE?</w:t>
            </w:r>
            <w:r>
              <w:rPr>
                <w:noProof/>
                <w:sz w:val="24"/>
              </w:rPr>
              <w:t xml:space="preserve"> </w:t>
            </w:r>
          </w:p>
        </w:tc>
      </w:tr>
      <w:tr>
        <w:trPr>
          <w:trHeight w:val="1877"/>
        </w:trPr>
        <w:tc>
          <w:tcPr>
            <w:tcW w:w="10188" w:type="dxa"/>
            <w:gridSpan w:val="2"/>
            <w:tcBorders>
              <w:bottom w:val="single" w:sz="4" w:space="0" w:color="auto"/>
            </w:tcBorders>
          </w:tcPr>
          <w:p>
            <w:pPr>
              <w:jc w:val="both"/>
              <w:rPr>
                <w:noProof/>
                <w:sz w:val="24"/>
                <w:szCs w:val="24"/>
              </w:rPr>
            </w:pPr>
            <w:r>
              <w:rPr>
                <w:noProof/>
                <w:sz w:val="24"/>
              </w:rPr>
              <w:t>Acțiunea UE asigură o soluție coerentă, uniformă și completă care nu poate fi realizată de statele membre acționând individual și care permite reduceri specifice ale sarcinilor de raportare și ale costurilor administrative pentru întreprinderile din întreaga Uniune. În același timp, ea abordează ineficiențele actualului cadru DAC prin îmbunătățiri specifice, îmbunătățind exhaustivitatea datelor, calitatea și utilizarea eficace a informațiilor care fac obiectul schimburilor. În general, această abordare consolidează capacitatea autorităților fiscale ale statelor membre de a combate frauda fiscală, evaziunea fiscală și evitarea obligațiilor fiscale și menține condiții de concurență echitabile pe piața internă.</w:t>
            </w:r>
          </w:p>
        </w:tc>
      </w:tr>
      <w:tr>
        <w:trPr>
          <w:gridAfter w:val="1"/>
          <w:wAfter w:w="22" w:type="dxa"/>
          <w:trHeight w:val="385"/>
        </w:trPr>
        <w:tc>
          <w:tcPr>
            <w:tcW w:w="10166" w:type="dxa"/>
            <w:tcBorders>
              <w:bottom w:val="single" w:sz="4" w:space="0" w:color="auto"/>
            </w:tcBorders>
            <w:shd w:val="clear" w:color="auto" w:fill="CCCCCC"/>
          </w:tcPr>
          <w:p>
            <w:pPr>
              <w:spacing w:before="60" w:after="60"/>
              <w:jc w:val="center"/>
              <w:rPr>
                <w:b/>
                <w:noProof/>
                <w:sz w:val="24"/>
                <w:szCs w:val="24"/>
              </w:rPr>
            </w:pPr>
            <w:r>
              <w:rPr>
                <w:b/>
                <w:noProof/>
                <w:sz w:val="24"/>
              </w:rPr>
              <w:t>B. Soluții</w:t>
            </w:r>
          </w:p>
        </w:tc>
      </w:tr>
      <w:tr>
        <w:trPr>
          <w:gridAfter w:val="1"/>
          <w:wAfter w:w="22" w:type="dxa"/>
          <w:trHeight w:val="554"/>
        </w:trPr>
        <w:tc>
          <w:tcPr>
            <w:tcW w:w="10166" w:type="dxa"/>
            <w:tcBorders>
              <w:bottom w:val="single" w:sz="4" w:space="0" w:color="auto"/>
            </w:tcBorders>
            <w:shd w:val="clear" w:color="auto" w:fill="E6E6E6"/>
          </w:tcPr>
          <w:p>
            <w:pPr>
              <w:spacing w:before="60"/>
              <w:jc w:val="both"/>
              <w:rPr>
                <w:noProof/>
                <w:sz w:val="24"/>
                <w:szCs w:val="24"/>
              </w:rPr>
            </w:pPr>
            <w:r>
              <w:rPr>
                <w:b/>
                <w:noProof/>
                <w:sz w:val="24"/>
              </w:rPr>
              <w:t>Ce opțiuni de politică legislative și nelegislative au fost luate în considerare? Există sau nu o opțiune preferată? De ce?</w:t>
            </w:r>
            <w:r>
              <w:rPr>
                <w:noProof/>
                <w:sz w:val="24"/>
              </w:rPr>
              <w:t xml:space="preserve"> </w:t>
            </w:r>
          </w:p>
        </w:tc>
      </w:tr>
      <w:tr>
        <w:trPr>
          <w:gridAfter w:val="1"/>
          <w:wAfter w:w="22" w:type="dxa"/>
          <w:trHeight w:val="2441"/>
        </w:trPr>
        <w:tc>
          <w:tcPr>
            <w:tcW w:w="10166" w:type="dxa"/>
            <w:tcBorders>
              <w:bottom w:val="single" w:sz="4" w:space="0" w:color="auto"/>
            </w:tcBorders>
          </w:tcPr>
          <w:p>
            <w:pPr>
              <w:jc w:val="both"/>
              <w:rPr>
                <w:noProof/>
                <w:sz w:val="24"/>
                <w:szCs w:val="24"/>
              </w:rPr>
            </w:pPr>
            <w:r>
              <w:rPr>
                <w:noProof/>
                <w:sz w:val="24"/>
              </w:rPr>
              <w:lastRenderedPageBreak/>
              <w:t>În ceea ce privește abordarea legislativă, se propune reformarea DAC prin: (1) codificarea actului juridic inițial (DAC1) și a tuturor modificărilor ulterioare ale acestuia (DAC2-DAC9) într-un singur act obligatoriu din punct de vedere juridic și (2) introducerea de noi modificări de fond în conformitate cu pachetul de politici preferat care a rezultat din diferitele opțiuni evaluate.</w:t>
            </w:r>
          </w:p>
          <w:p>
            <w:pPr>
              <w:jc w:val="both"/>
              <w:rPr>
                <w:noProof/>
                <w:sz w:val="24"/>
                <w:szCs w:val="24"/>
              </w:rPr>
            </w:pPr>
            <w:r>
              <w:rPr>
                <w:noProof/>
                <w:sz w:val="24"/>
              </w:rPr>
              <w:t xml:space="preserve">Evaluarea impactului a luat în considerare un scenariu de referință (nicio modificare a politicii) și următoarele </w:t>
            </w:r>
            <w:r>
              <w:rPr>
                <w:b/>
                <w:noProof/>
                <w:sz w:val="24"/>
              </w:rPr>
              <w:t>măsuri legislative specifice</w:t>
            </w:r>
            <w:r>
              <w:rPr>
                <w:noProof/>
                <w:sz w:val="24"/>
              </w:rPr>
              <w:t>, inclusiv diferite opțiuni de politică pentru a remedia deficiențe identificate în cadrul DAC:</w:t>
            </w:r>
          </w:p>
          <w:p>
            <w:pPr>
              <w:pStyle w:val="ListParagraph"/>
              <w:numPr>
                <w:ilvl w:val="0"/>
                <w:numId w:val="1"/>
              </w:numPr>
              <w:ind w:left="284" w:hanging="284"/>
              <w:jc w:val="both"/>
              <w:rPr>
                <w:noProof/>
                <w:sz w:val="24"/>
                <w:szCs w:val="24"/>
              </w:rPr>
            </w:pPr>
            <w:r>
              <w:rPr>
                <w:b/>
                <w:noProof/>
                <w:sz w:val="24"/>
              </w:rPr>
              <w:t xml:space="preserve">Măsura 1 – </w:t>
            </w:r>
            <w:r>
              <w:rPr>
                <w:noProof/>
                <w:sz w:val="24"/>
              </w:rPr>
              <w:t>Asigurarea faptului că obligațiile de raportare în temeiul DAC6 (modalități transfrontaliere) rămân proporționale și eficace, promovând în același timp o aplicare mai armonizată a testului beneficiului principal (MBT).</w:t>
            </w:r>
          </w:p>
          <w:p>
            <w:pPr>
              <w:pStyle w:val="ListParagraph"/>
              <w:numPr>
                <w:ilvl w:val="0"/>
                <w:numId w:val="1"/>
              </w:numPr>
              <w:ind w:left="284" w:hanging="284"/>
              <w:jc w:val="both"/>
              <w:rPr>
                <w:noProof/>
                <w:sz w:val="24"/>
                <w:szCs w:val="24"/>
              </w:rPr>
            </w:pPr>
            <w:r>
              <w:rPr>
                <w:b/>
                <w:noProof/>
                <w:sz w:val="24"/>
              </w:rPr>
              <w:t xml:space="preserve">Măsura 2 – </w:t>
            </w:r>
            <w:r>
              <w:rPr>
                <w:noProof/>
                <w:sz w:val="24"/>
              </w:rPr>
              <w:t>Modificarea pragului de raportare pentru activitățile care implică vânzarea de mărfuri în temeiul DAC7 (venituri obținute prin intermediul platformelor digitale).</w:t>
            </w:r>
          </w:p>
          <w:p>
            <w:pPr>
              <w:pStyle w:val="ListParagraph"/>
              <w:numPr>
                <w:ilvl w:val="0"/>
                <w:numId w:val="1"/>
              </w:numPr>
              <w:ind w:left="284" w:hanging="284"/>
              <w:jc w:val="both"/>
              <w:rPr>
                <w:b/>
                <w:bCs/>
                <w:noProof/>
                <w:sz w:val="24"/>
                <w:szCs w:val="24"/>
              </w:rPr>
            </w:pPr>
            <w:r>
              <w:rPr>
                <w:b/>
                <w:noProof/>
                <w:sz w:val="24"/>
              </w:rPr>
              <w:t xml:space="preserve">Măsura 3 – </w:t>
            </w:r>
            <w:r>
              <w:rPr>
                <w:noProof/>
                <w:sz w:val="24"/>
              </w:rPr>
              <w:t xml:space="preserve">Raționalizarea obligațiilor de notificare pentru grupurile de întreprinderi multinaționale în sensul DAC4 (raportarea pentru fiecare țară în parte) și DAC9 (depunerea la nivel central a declarației privind impozitul suplimentar). </w:t>
            </w:r>
          </w:p>
          <w:p>
            <w:pPr>
              <w:pStyle w:val="ListParagraph"/>
              <w:numPr>
                <w:ilvl w:val="0"/>
                <w:numId w:val="1"/>
              </w:numPr>
              <w:ind w:left="284" w:hanging="284"/>
              <w:jc w:val="both"/>
              <w:rPr>
                <w:noProof/>
                <w:sz w:val="24"/>
                <w:szCs w:val="24"/>
              </w:rPr>
            </w:pPr>
            <w:r>
              <w:rPr>
                <w:b/>
                <w:noProof/>
                <w:sz w:val="24"/>
              </w:rPr>
              <w:t xml:space="preserve">Măsura 4 – </w:t>
            </w:r>
            <w:r>
              <w:rPr>
                <w:noProof/>
                <w:sz w:val="24"/>
              </w:rPr>
              <w:t>Îmbunătățirea exactității NIF-urilor raportate.</w:t>
            </w:r>
          </w:p>
          <w:p>
            <w:pPr>
              <w:pStyle w:val="ListParagraph"/>
              <w:numPr>
                <w:ilvl w:val="0"/>
                <w:numId w:val="1"/>
              </w:numPr>
              <w:ind w:left="284" w:hanging="284"/>
              <w:jc w:val="both"/>
              <w:rPr>
                <w:b/>
                <w:bCs/>
                <w:noProof/>
                <w:sz w:val="24"/>
                <w:szCs w:val="24"/>
              </w:rPr>
            </w:pPr>
            <w:r>
              <w:rPr>
                <w:b/>
                <w:noProof/>
                <w:sz w:val="24"/>
              </w:rPr>
              <w:t xml:space="preserve">Măsura 5 – </w:t>
            </w:r>
            <w:r>
              <w:rPr>
                <w:noProof/>
                <w:sz w:val="24"/>
              </w:rPr>
              <w:t>Îmbunătățirea exhaustivității informațiilor care fac obiectul schimburilor în temeiul DAC1 (anumite categorii de venituri și de capital).</w:t>
            </w:r>
          </w:p>
          <w:p>
            <w:pPr>
              <w:jc w:val="both"/>
              <w:rPr>
                <w:noProof/>
                <w:sz w:val="24"/>
                <w:szCs w:val="24"/>
              </w:rPr>
            </w:pPr>
            <w:r>
              <w:rPr>
                <w:b/>
                <w:noProof/>
                <w:sz w:val="24"/>
              </w:rPr>
              <w:t>Pachetul de politici preferat</w:t>
            </w:r>
            <w:r>
              <w:rPr>
                <w:noProof/>
                <w:sz w:val="24"/>
              </w:rPr>
              <w:t xml:space="preserve"> include următoarele opțiuni în cadrul fiecărei măsuri: </w:t>
            </w:r>
          </w:p>
          <w:p>
            <w:pPr>
              <w:pStyle w:val="ListParagraph"/>
              <w:numPr>
                <w:ilvl w:val="0"/>
                <w:numId w:val="2"/>
              </w:numPr>
              <w:ind w:left="284" w:hanging="284"/>
              <w:jc w:val="both"/>
              <w:rPr>
                <w:noProof/>
                <w:sz w:val="24"/>
                <w:szCs w:val="24"/>
              </w:rPr>
            </w:pPr>
            <w:r>
              <w:rPr>
                <w:noProof/>
                <w:sz w:val="24"/>
              </w:rPr>
              <w:t>Excluderea tuturor întreprinderilor care intră în domeniul de aplicare al Directivei privind pilonul 2 de la raportarea în temeiul DAC6; perfecționarea raportării în temeiul DAC6 prin eliminarea semnelor distinctive cu valoare adăugată limitată (categoria A); emiterea de orientări privind aplicarea MBT la restul semnelor distinctive care fac obiectul acestui test (</w:t>
            </w:r>
            <w:r>
              <w:rPr>
                <w:b/>
                <w:noProof/>
                <w:sz w:val="24"/>
              </w:rPr>
              <w:t>măsura 1</w:t>
            </w:r>
            <w:r>
              <w:rPr>
                <w:noProof/>
                <w:sz w:val="24"/>
              </w:rPr>
              <w:t>).</w:t>
            </w:r>
          </w:p>
          <w:p>
            <w:pPr>
              <w:pStyle w:val="ListParagraph"/>
              <w:numPr>
                <w:ilvl w:val="0"/>
                <w:numId w:val="2"/>
              </w:numPr>
              <w:ind w:left="284" w:hanging="284"/>
              <w:jc w:val="both"/>
              <w:rPr>
                <w:noProof/>
                <w:sz w:val="24"/>
                <w:szCs w:val="24"/>
              </w:rPr>
            </w:pPr>
            <w:r>
              <w:rPr>
                <w:noProof/>
                <w:sz w:val="24"/>
              </w:rPr>
              <w:t>Ajustarea pragurilor prevăzute în DAC7 prin eliminarea pragului de activitate și creșterea pragului monetar la 3 000 EUR (</w:t>
            </w:r>
            <w:r>
              <w:rPr>
                <w:b/>
                <w:noProof/>
                <w:sz w:val="24"/>
              </w:rPr>
              <w:t>măsura 2</w:t>
            </w:r>
            <w:r>
              <w:rPr>
                <w:noProof/>
                <w:sz w:val="24"/>
              </w:rPr>
              <w:t>).</w:t>
            </w:r>
          </w:p>
          <w:p>
            <w:pPr>
              <w:pStyle w:val="ListParagraph"/>
              <w:numPr>
                <w:ilvl w:val="0"/>
                <w:numId w:val="2"/>
              </w:numPr>
              <w:ind w:left="284" w:hanging="284"/>
              <w:jc w:val="both"/>
              <w:rPr>
                <w:noProof/>
                <w:sz w:val="24"/>
                <w:szCs w:val="24"/>
              </w:rPr>
            </w:pPr>
            <w:r>
              <w:rPr>
                <w:noProof/>
                <w:sz w:val="24"/>
              </w:rPr>
              <w:t>Introducerea unei obligații unice de notificare care să acopere atât DAC4, cât și DAC9, inclusiv un termen armonizat de depunere, un model comun de notificare și depunerea centralizată (</w:t>
            </w:r>
            <w:r>
              <w:rPr>
                <w:b/>
                <w:noProof/>
                <w:sz w:val="24"/>
              </w:rPr>
              <w:t>măsura 3</w:t>
            </w:r>
            <w:r>
              <w:rPr>
                <w:noProof/>
                <w:sz w:val="24"/>
              </w:rPr>
              <w:t>).</w:t>
            </w:r>
          </w:p>
          <w:p>
            <w:pPr>
              <w:pStyle w:val="ListParagraph"/>
              <w:numPr>
                <w:ilvl w:val="0"/>
                <w:numId w:val="2"/>
              </w:numPr>
              <w:ind w:left="284" w:hanging="284"/>
              <w:jc w:val="both"/>
              <w:rPr>
                <w:noProof/>
                <w:sz w:val="24"/>
                <w:szCs w:val="24"/>
              </w:rPr>
            </w:pPr>
            <w:r>
              <w:rPr>
                <w:noProof/>
                <w:sz w:val="24"/>
              </w:rPr>
              <w:t>Introducerea unui sistem centralizat de verificare a NIF, accesibil atât administrațiilor fiscale ale statelor membre (obligatoriu), cât și entităților raportoare (în mod voluntar) (</w:t>
            </w:r>
            <w:r>
              <w:rPr>
                <w:b/>
                <w:noProof/>
                <w:sz w:val="24"/>
              </w:rPr>
              <w:t>măsura 4</w:t>
            </w:r>
            <w:r>
              <w:rPr>
                <w:noProof/>
                <w:sz w:val="24"/>
              </w:rPr>
              <w:t>).</w:t>
            </w:r>
          </w:p>
          <w:p>
            <w:pPr>
              <w:pStyle w:val="ListParagraph"/>
              <w:numPr>
                <w:ilvl w:val="0"/>
                <w:numId w:val="2"/>
              </w:numPr>
              <w:ind w:left="284" w:hanging="284"/>
              <w:jc w:val="both"/>
              <w:rPr>
                <w:noProof/>
                <w:sz w:val="24"/>
                <w:szCs w:val="24"/>
              </w:rPr>
            </w:pPr>
            <w:r>
              <w:rPr>
                <w:noProof/>
                <w:sz w:val="24"/>
              </w:rPr>
              <w:t xml:space="preserve">Eliminarea din DAC1 a categoriei de produse de asigurare de viață și impunerea obligației ca statele membre să facă schimb automat de informații aflate la dispoziția autorităților publice relevante de la nivel național cu privire la toate celelalte șase categorii de venituri și de capital </w:t>
            </w:r>
            <w:r>
              <w:rPr>
                <w:b/>
                <w:noProof/>
                <w:sz w:val="24"/>
              </w:rPr>
              <w:t>(măsura 5)</w:t>
            </w:r>
            <w:r>
              <w:rPr>
                <w:noProof/>
                <w:sz w:val="24"/>
              </w:rPr>
              <w:t>.</w:t>
            </w:r>
          </w:p>
          <w:p>
            <w:pPr>
              <w:jc w:val="both"/>
              <w:rPr>
                <w:noProof/>
                <w:sz w:val="24"/>
                <w:szCs w:val="24"/>
              </w:rPr>
            </w:pPr>
            <w:r>
              <w:rPr>
                <w:noProof/>
                <w:sz w:val="24"/>
              </w:rPr>
              <w:t xml:space="preserve">Prin urmare, opțiunea preferată este un </w:t>
            </w:r>
            <w:r>
              <w:rPr>
                <w:b/>
                <w:noProof/>
                <w:sz w:val="24"/>
              </w:rPr>
              <w:t>pachet combinat de măsuri legislative specifice, însoțit de orientări</w:t>
            </w:r>
            <w:r>
              <w:rPr>
                <w:noProof/>
                <w:sz w:val="24"/>
              </w:rPr>
              <w:t xml:space="preserve"> pentru anumite dispoziții, care asigură simplificarea, reduce sarcinile administrative și îmbunătățește claritatea juridică, menținând în același timp eficacitatea cadrului în ceea ce privește combaterea fraudei fiscale, a evaziunii fiscale și a evitării obligațiilor fiscale. Opțiunea preferată oferă soluția cea mai proporțională și mai eficientă, axându-se pe informațiile cu grad ridicat de risc și eliminând raportarea redundantă sau care vizează tranzacții cu valoare scăzută, asigurând în același timp punerea în aplicare coerentă în toate statele membre și îmbunătățind utilizarea eficace a informațiilor care fac obiectul schimburilor.</w:t>
            </w:r>
          </w:p>
          <w:p>
            <w:pPr>
              <w:jc w:val="both"/>
              <w:rPr>
                <w:noProof/>
              </w:rPr>
            </w:pPr>
          </w:p>
        </w:tc>
      </w:tr>
      <w:tr>
        <w:trPr>
          <w:gridAfter w:val="1"/>
          <w:wAfter w:w="22" w:type="dxa"/>
          <w:trHeight w:val="463"/>
        </w:trPr>
        <w:tc>
          <w:tcPr>
            <w:tcW w:w="10166" w:type="dxa"/>
            <w:shd w:val="clear" w:color="auto" w:fill="CCCCCC"/>
          </w:tcPr>
          <w:p>
            <w:pPr>
              <w:spacing w:before="60"/>
              <w:jc w:val="both"/>
              <w:rPr>
                <w:noProof/>
                <w:sz w:val="24"/>
                <w:szCs w:val="24"/>
              </w:rPr>
            </w:pPr>
            <w:r>
              <w:rPr>
                <w:b/>
                <w:noProof/>
                <w:sz w:val="24"/>
              </w:rPr>
              <w:t>Cine sunt susținătorii fiecărei opțiuni?</w:t>
            </w:r>
            <w:r>
              <w:rPr>
                <w:noProof/>
                <w:sz w:val="24"/>
              </w:rPr>
              <w:t xml:space="preserve"> </w:t>
            </w:r>
          </w:p>
        </w:tc>
      </w:tr>
      <w:tr>
        <w:trPr>
          <w:gridAfter w:val="1"/>
          <w:wAfter w:w="22" w:type="dxa"/>
          <w:trHeight w:val="850"/>
        </w:trPr>
        <w:tc>
          <w:tcPr>
            <w:tcW w:w="10166" w:type="dxa"/>
            <w:tcBorders>
              <w:bottom w:val="single" w:sz="4" w:space="0" w:color="auto"/>
            </w:tcBorders>
            <w:shd w:val="clear" w:color="auto" w:fill="FFFFFF" w:themeFill="background1"/>
          </w:tcPr>
          <w:p>
            <w:pPr>
              <w:jc w:val="both"/>
              <w:rPr>
                <w:noProof/>
              </w:rPr>
            </w:pPr>
            <w:r>
              <w:rPr>
                <w:noProof/>
                <w:sz w:val="24"/>
              </w:rPr>
              <w:t>Părțile interesate sprijină în mare măsură simplificarea. Întreprinderile și intermediarii fiscali sunt în favoarea reducerii raportării care vizează tranzacții cu valoare scăzută, a raționalizării notificărilor și a îmbunătățirii clarității. Statele membre sprijină măsurile care îmbunătățesc eficiența și calitatea datelor, menținând în același timp o transparență fiscală eficace. Opiniile sunt convergente în ceea ce privește necesitatea unor ajustări specifice, mai degrabă decât a unor schimbări structurale majore.</w:t>
            </w:r>
          </w:p>
        </w:tc>
      </w:tr>
      <w:tr>
        <w:trPr>
          <w:gridAfter w:val="1"/>
          <w:wAfter w:w="22" w:type="dxa"/>
          <w:trHeight w:val="397"/>
        </w:trPr>
        <w:tc>
          <w:tcPr>
            <w:tcW w:w="10166" w:type="dxa"/>
            <w:tcBorders>
              <w:bottom w:val="single" w:sz="4" w:space="0" w:color="auto"/>
            </w:tcBorders>
            <w:shd w:val="clear" w:color="auto" w:fill="BFBFBF" w:themeFill="background1" w:themeFillShade="BF"/>
          </w:tcPr>
          <w:p>
            <w:pPr>
              <w:spacing w:before="60" w:after="60"/>
              <w:jc w:val="center"/>
              <w:rPr>
                <w:noProof/>
                <w:sz w:val="24"/>
                <w:szCs w:val="24"/>
              </w:rPr>
            </w:pPr>
            <w:r>
              <w:rPr>
                <w:b/>
                <w:noProof/>
                <w:sz w:val="24"/>
              </w:rPr>
              <w:t>C. Impactul opțiunii preferate</w:t>
            </w:r>
          </w:p>
        </w:tc>
      </w:tr>
      <w:tr>
        <w:trPr>
          <w:gridAfter w:val="1"/>
          <w:wAfter w:w="22" w:type="dxa"/>
          <w:trHeight w:val="454"/>
        </w:trPr>
        <w:tc>
          <w:tcPr>
            <w:tcW w:w="10166" w:type="dxa"/>
            <w:tcBorders>
              <w:bottom w:val="single" w:sz="4" w:space="0" w:color="auto"/>
            </w:tcBorders>
            <w:shd w:val="clear" w:color="auto" w:fill="D9D9D9" w:themeFill="background1" w:themeFillShade="D9"/>
          </w:tcPr>
          <w:p>
            <w:pPr>
              <w:spacing w:before="60" w:after="60"/>
              <w:jc w:val="both"/>
              <w:rPr>
                <w:b/>
                <w:noProof/>
                <w:sz w:val="24"/>
                <w:szCs w:val="24"/>
              </w:rPr>
            </w:pPr>
            <w:r>
              <w:rPr>
                <w:b/>
                <w:noProof/>
                <w:sz w:val="24"/>
              </w:rPr>
              <w:lastRenderedPageBreak/>
              <w:t>Care sunt beneficiile opțiunii preferate (sau ale opțiunilor principale, dacă nu există o opțiune preferată)?</w:t>
            </w:r>
          </w:p>
        </w:tc>
      </w:tr>
      <w:tr>
        <w:trPr>
          <w:gridAfter w:val="1"/>
          <w:wAfter w:w="22" w:type="dxa"/>
          <w:trHeight w:val="1077"/>
        </w:trPr>
        <w:tc>
          <w:tcPr>
            <w:tcW w:w="10166" w:type="dxa"/>
            <w:tcBorders>
              <w:bottom w:val="single" w:sz="4" w:space="0" w:color="auto"/>
            </w:tcBorders>
          </w:tcPr>
          <w:p>
            <w:pPr>
              <w:jc w:val="both"/>
              <w:rPr>
                <w:noProof/>
                <w:sz w:val="24"/>
                <w:szCs w:val="24"/>
              </w:rPr>
            </w:pPr>
            <w:r>
              <w:rPr>
                <w:noProof/>
                <w:sz w:val="24"/>
              </w:rPr>
              <w:t>Pachetul de politici preferat oferă beneficii semnificative în materie de simplificare printr-un set de măsuri specifice din domeniul de aplicare al prezentei inițiative, reducând costurile de asigurare a conformității și sarcinile administrative atât pentru întreprinderi, cât și pentru administrațiile fiscale. El elimină raportările care vizează tranzacții cu valoare scăzută în temeiul DAC6 și DAC7, în cazul cărora obligațiile actuale generează costuri substanțiale pentru întreprinderi, costurile de asigurare a conformității cu DAC6 fiind estimate la aproximativ 340 de milioane EUR anual, iar costurile în temeiul DAC7 la aproximativ 678 de milioane EUR pe an. De asemenea, pachetul elimină duplicarea obligațiilor de notificare care stau la baza cerințelor de raportare în temeiul DAC4 și DAC9, reducând costurile de asigurare a conformității care, în caz contrar, ar putea ajunge până la 264 de milioane EUR anual. În paralel, au fost identificate măsuri de îmbunătățire a verificării NIF, de îmbunătățire a calității datelor și de creștere a ratelor de corelare automată, permițând o utilizare mai eficientă și automată a informațiilor partajate. Îmbunătățirile aduse exhaustivității schimburilor în temeiul DAC1 consolidează și mai mult evaluarea riscurilor și asigurarea respectării legislației. În ansamblu, pachetul de politici preferat îmbunătățește eficiența, eficacitatea și proporționalitatea cadrului DAC, sprijinind în același timp competitivitatea UE prin reducerea sarcinilor administrative și a costurilor aferente.</w:t>
            </w:r>
          </w:p>
        </w:tc>
      </w:tr>
      <w:tr>
        <w:tc>
          <w:tcPr>
            <w:tcW w:w="10188" w:type="dxa"/>
            <w:gridSpan w:val="2"/>
            <w:tcBorders>
              <w:bottom w:val="single" w:sz="4" w:space="0" w:color="auto"/>
            </w:tcBorders>
            <w:shd w:val="clear" w:color="auto" w:fill="E6E6E6"/>
          </w:tcPr>
          <w:p>
            <w:pPr>
              <w:spacing w:before="60" w:after="60"/>
              <w:jc w:val="both"/>
              <w:rPr>
                <w:noProof/>
                <w:sz w:val="24"/>
                <w:szCs w:val="24"/>
              </w:rPr>
            </w:pPr>
            <w:r>
              <w:rPr>
                <w:b/>
                <w:noProof/>
                <w:sz w:val="24"/>
              </w:rPr>
              <w:t>Care sunt costurile opțiunii preferate (sau ale opțiunilor principale, dacă nu există o opțiune preferată)?</w:t>
            </w:r>
            <w:r>
              <w:rPr>
                <w:noProof/>
                <w:sz w:val="24"/>
              </w:rPr>
              <w:t xml:space="preserve"> </w:t>
            </w:r>
          </w:p>
        </w:tc>
      </w:tr>
      <w:tr>
        <w:tc>
          <w:tcPr>
            <w:tcW w:w="10188" w:type="dxa"/>
            <w:gridSpan w:val="2"/>
            <w:tcBorders>
              <w:bottom w:val="single" w:sz="4" w:space="0" w:color="auto"/>
            </w:tcBorders>
          </w:tcPr>
          <w:p>
            <w:pPr>
              <w:jc w:val="both"/>
              <w:rPr>
                <w:noProof/>
                <w:sz w:val="24"/>
                <w:szCs w:val="24"/>
              </w:rPr>
            </w:pPr>
            <w:r>
              <w:rPr>
                <w:noProof/>
                <w:sz w:val="24"/>
              </w:rPr>
              <w:t>Pentru majoritatea măsurilor se preconizează costuri de ajustare limitate pentru întreprinderi și administrații, legate în principal de adaptarea sistemelor și a procedurilor de raportare. Sistemul centralizat de verificare a NIF va implica costuri de ajustare la nivelul UE (aproximativ 1,0-1,8 milioane EUR pentru costurile unice și 1,8-2,4 milioane EUR pe an pentru costurile recurente) și la nivel național (aproximativ 15-25 milioane EUR pentru costurile unice și 4,5-12 milioane EUR pe an pentru costurile recurente). Având în vedere caracterul voluntar al măsurii pentru entitățile raportoare, deși se preconizează costuri inițiale, se preconizează că măsura va genera economii administrative nete în timp prin îmbunătățirea calității datelor, prin utilizarea informațiilor și prin reducerea eforturilor de corecție și validare, deși amploarea exactă a acestor efecte nu poate fi cuantificată în această etapă. Deși introducerea unui instrument de validare a NIF implică costuri inițiale și operaționale pentru toate părțile interesate, aceasta va genera, de asemenea, economii globale semnificative prin reducerea necesității unor proceduri de corecție ex post care necesită multe resurse, economii care pot fi cuantificate până la aproximativ 70 de milioane EUR pe an.</w:t>
            </w:r>
          </w:p>
        </w:tc>
      </w:tr>
      <w:tr>
        <w:tc>
          <w:tcPr>
            <w:tcW w:w="10188" w:type="dxa"/>
            <w:gridSpan w:val="2"/>
            <w:tcBorders>
              <w:bottom w:val="single" w:sz="4" w:space="0" w:color="auto"/>
            </w:tcBorders>
            <w:shd w:val="clear" w:color="auto" w:fill="E6E6E6"/>
          </w:tcPr>
          <w:p>
            <w:pPr>
              <w:spacing w:before="60" w:after="60"/>
              <w:jc w:val="both"/>
              <w:rPr>
                <w:noProof/>
                <w:sz w:val="24"/>
                <w:szCs w:val="24"/>
              </w:rPr>
            </w:pPr>
            <w:r>
              <w:rPr>
                <w:b/>
                <w:noProof/>
                <w:sz w:val="24"/>
              </w:rPr>
              <w:t xml:space="preserve">Care va fi impactul asupra societăților, a IMM-urilor și a microîntreprinderilor? </w:t>
            </w:r>
          </w:p>
        </w:tc>
      </w:tr>
      <w:tr>
        <w:tc>
          <w:tcPr>
            <w:tcW w:w="10188" w:type="dxa"/>
            <w:gridSpan w:val="2"/>
            <w:tcBorders>
              <w:bottom w:val="single" w:sz="4" w:space="0" w:color="auto"/>
            </w:tcBorders>
          </w:tcPr>
          <w:p>
            <w:pPr>
              <w:jc w:val="both"/>
              <w:rPr>
                <w:i/>
                <w:noProof/>
                <w:sz w:val="24"/>
                <w:szCs w:val="24"/>
              </w:rPr>
            </w:pPr>
            <w:r>
              <w:rPr>
                <w:noProof/>
                <w:sz w:val="24"/>
              </w:rPr>
              <w:t>Întreprinderile vor beneficia de o reducere semnificativă a costurilor de asigurare a conformității și a sarcinilor administrative, care rezultă din măsurile de simplificare incluse în pachetul de politici preferat, în conformitate cu obiectivele Comisiei de reducere a acestor sarcini cu cel puțin 25 % pentru întreprinderi și cu cel puțin 35 % pentru IMM-uri. Eliminarea cerințelor de raportare care vizează tranzacții cu valoare scăzută în temeiul DAC6 și DAC7, împreună cu raționalizarea obligațiilor de notificare legate de DAC4 și DAC9, vor reduce substanțial raportarea inutilă și duplicarea. Se preconizează că simplificarea cerințelor de raportare în temeiul DAC6 și DAC7 va aduce beneficii în special IMM-urilor și microîntreprinderilor, în cazul cărora costurile de asigurare a conformității sunt proporțional mai mari, în timp ce măsurile legate de DAC4 și DAC9 afectează în principal grupurile multinaționale mai mari. În ansamblu, inițiativa sprijină un mediu de afaceri mai favorabil și sporește competitivitatea UE.</w:t>
            </w:r>
          </w:p>
        </w:tc>
      </w:tr>
      <w:tr>
        <w:tc>
          <w:tcPr>
            <w:tcW w:w="10188" w:type="dxa"/>
            <w:gridSpan w:val="2"/>
            <w:tcBorders>
              <w:bottom w:val="single" w:sz="4" w:space="0" w:color="auto"/>
            </w:tcBorders>
            <w:shd w:val="clear" w:color="auto" w:fill="E6E6E6"/>
          </w:tcPr>
          <w:p>
            <w:pPr>
              <w:spacing w:before="60"/>
              <w:jc w:val="both"/>
              <w:rPr>
                <w:b/>
                <w:i/>
                <w:noProof/>
                <w:sz w:val="24"/>
                <w:szCs w:val="24"/>
              </w:rPr>
            </w:pPr>
            <w:r>
              <w:rPr>
                <w:b/>
                <w:noProof/>
                <w:sz w:val="24"/>
              </w:rPr>
              <w:t>Va exista un impact semnificativ</w:t>
            </w:r>
            <w:r>
              <w:rPr>
                <w:noProof/>
                <w:sz w:val="24"/>
              </w:rPr>
              <w:t xml:space="preserve"> </w:t>
            </w:r>
            <w:r>
              <w:rPr>
                <w:b/>
                <w:noProof/>
                <w:sz w:val="24"/>
              </w:rPr>
              <w:t>asupra bugetelor și a administrațiilor naționale?</w:t>
            </w:r>
            <w:r>
              <w:rPr>
                <w:noProof/>
                <w:sz w:val="24"/>
              </w:rPr>
              <w:t xml:space="preserve"> </w:t>
            </w:r>
          </w:p>
        </w:tc>
      </w:tr>
      <w:tr>
        <w:tc>
          <w:tcPr>
            <w:tcW w:w="10188" w:type="dxa"/>
            <w:gridSpan w:val="2"/>
          </w:tcPr>
          <w:p>
            <w:pPr>
              <w:jc w:val="both"/>
              <w:rPr>
                <w:noProof/>
                <w:sz w:val="24"/>
                <w:szCs w:val="24"/>
              </w:rPr>
            </w:pPr>
            <w:r>
              <w:rPr>
                <w:noProof/>
                <w:sz w:val="24"/>
              </w:rPr>
              <w:t xml:space="preserve">Administrațiile fiscale ar putea suporta costuri inițiale de punere în aplicare, de exemplu în ceea ce privește măsura de validare a NIF, dar vor beneficia de o prelucrare redusă a datelor referitoare la tranzacțiile cu valoare scăzută și de o mai bună corelare a datelor, ceea ce va duce, în ansamblu, la </w:t>
            </w:r>
            <w:r>
              <w:rPr>
                <w:noProof/>
                <w:sz w:val="24"/>
              </w:rPr>
              <w:lastRenderedPageBreak/>
              <w:t>câștiguri în materie de eficiență.</w:t>
            </w:r>
          </w:p>
        </w:tc>
      </w:tr>
      <w:tr>
        <w:tc>
          <w:tcPr>
            <w:tcW w:w="10188" w:type="dxa"/>
            <w:gridSpan w:val="2"/>
            <w:tcBorders>
              <w:bottom w:val="single" w:sz="4" w:space="0" w:color="auto"/>
            </w:tcBorders>
            <w:shd w:val="clear" w:color="auto" w:fill="E6E6E6"/>
          </w:tcPr>
          <w:p>
            <w:pPr>
              <w:spacing w:before="60"/>
              <w:jc w:val="both"/>
              <w:rPr>
                <w:noProof/>
                <w:sz w:val="24"/>
                <w:szCs w:val="24"/>
              </w:rPr>
            </w:pPr>
            <w:r>
              <w:rPr>
                <w:b/>
                <w:noProof/>
                <w:sz w:val="24"/>
              </w:rPr>
              <w:lastRenderedPageBreak/>
              <w:t>Va exista un alt impact semnificativ?</w:t>
            </w:r>
          </w:p>
        </w:tc>
      </w:tr>
      <w:tr>
        <w:tc>
          <w:tcPr>
            <w:tcW w:w="10188" w:type="dxa"/>
            <w:gridSpan w:val="2"/>
            <w:tcBorders>
              <w:bottom w:val="single" w:sz="4" w:space="0" w:color="auto"/>
            </w:tcBorders>
          </w:tcPr>
          <w:p>
            <w:pPr>
              <w:jc w:val="both"/>
              <w:rPr>
                <w:noProof/>
                <w:sz w:val="24"/>
                <w:szCs w:val="24"/>
              </w:rPr>
            </w:pPr>
            <w:r>
              <w:rPr>
                <w:noProof/>
                <w:sz w:val="24"/>
              </w:rPr>
              <w:t>Inițiativa consolidează funcționarea pieței interne, sprijină competitivitatea și contribuie la îmbunătățirea guvernanței și a transparenței. Prezenta inițiativă este de asemenea compatibilă cu Carta drepturilor fundamentale.</w:t>
            </w:r>
          </w:p>
        </w:tc>
      </w:tr>
      <w:tr>
        <w:tc>
          <w:tcPr>
            <w:tcW w:w="10188" w:type="dxa"/>
            <w:gridSpan w:val="2"/>
            <w:tcBorders>
              <w:bottom w:val="single" w:sz="4" w:space="0" w:color="auto"/>
            </w:tcBorders>
            <w:shd w:val="clear" w:color="auto" w:fill="C0C0C0"/>
          </w:tcPr>
          <w:p>
            <w:pPr>
              <w:spacing w:before="60" w:after="60"/>
              <w:jc w:val="center"/>
              <w:rPr>
                <w:b/>
                <w:noProof/>
                <w:sz w:val="24"/>
                <w:szCs w:val="24"/>
              </w:rPr>
            </w:pPr>
            <w:r>
              <w:rPr>
                <w:b/>
                <w:noProof/>
                <w:sz w:val="24"/>
              </w:rPr>
              <w:t>D. Acțiuni ulterioare</w:t>
            </w:r>
          </w:p>
        </w:tc>
      </w:tr>
      <w:tr>
        <w:tc>
          <w:tcPr>
            <w:tcW w:w="10188" w:type="dxa"/>
            <w:gridSpan w:val="2"/>
            <w:tcBorders>
              <w:bottom w:val="single" w:sz="4" w:space="0" w:color="auto"/>
            </w:tcBorders>
            <w:shd w:val="clear" w:color="auto" w:fill="E6E6E6"/>
          </w:tcPr>
          <w:p>
            <w:pPr>
              <w:spacing w:before="60"/>
              <w:jc w:val="both"/>
              <w:rPr>
                <w:noProof/>
                <w:sz w:val="24"/>
                <w:szCs w:val="24"/>
              </w:rPr>
            </w:pPr>
            <w:r>
              <w:rPr>
                <w:b/>
                <w:noProof/>
                <w:sz w:val="24"/>
              </w:rPr>
              <w:t xml:space="preserve">Când va fi reexaminată politica? </w:t>
            </w:r>
          </w:p>
        </w:tc>
      </w:tr>
      <w:tr>
        <w:tc>
          <w:tcPr>
            <w:tcW w:w="10188" w:type="dxa"/>
            <w:gridSpan w:val="2"/>
            <w:tcBorders>
              <w:bottom w:val="single" w:sz="4" w:space="0" w:color="auto"/>
            </w:tcBorders>
          </w:tcPr>
          <w:p>
            <w:pPr>
              <w:jc w:val="both"/>
              <w:rPr>
                <w:noProof/>
                <w:sz w:val="24"/>
                <w:szCs w:val="24"/>
              </w:rPr>
            </w:pPr>
            <w:r>
              <w:rPr>
                <w:noProof/>
                <w:sz w:val="24"/>
              </w:rPr>
              <w:t>Politica va fi revizuită prin intermediul unui cadru structurat de monitorizare și evaluare. Monitorizarea va fi efectuată în permanență, utilizând indicatori precum volumele de raportare, calitatea datelor, ratele de corelare și costurile de asigurare a conformității, în cooperare cu statele membre și cu părțile interesate din mediul de afaceri. În conformitate cu articolul 27 din DAC, Comisia va efectua o evaluare a cadrului o dată la cinci ani. Această evaluare va analiza eficacitatea, eficiența, relevanța, coerența și valoarea adăugată europeană a inițiativei, inclusiv impactul acesteia asupra sarcinilor administrative și a respectării obligațiilor fiscale.</w:t>
            </w:r>
          </w:p>
        </w:tc>
      </w:tr>
    </w:tbl>
    <w:p>
      <w:pPr>
        <w:rPr>
          <w:noProof/>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B31A9"/>
    <w:multiLevelType w:val="hybridMultilevel"/>
    <w:tmpl w:val="C0A62AE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 w15:restartNumberingAfterBreak="0">
    <w:nsid w:val="374808A5"/>
    <w:multiLevelType w:val="hybridMultilevel"/>
    <w:tmpl w:val="955EDFCE"/>
    <w:lvl w:ilvl="0" w:tplc="C978767E">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2" w15:restartNumberingAfterBreak="0">
    <w:nsid w:val="620C3368"/>
    <w:multiLevelType w:val="hybridMultilevel"/>
    <w:tmpl w:val="AE26797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care înso\u355?e\u351?te documentul"/>
    <w:docVar w:name="LW_CORRIGENDUM" w:val="&lt;UNUSED&gt;"/>
    <w:docVar w:name="LW_COVERPAGE_EXISTS" w:val="True"/>
    <w:docVar w:name="LW_COVERPAGE_GUID" w:val="4372F270-3C12-4E44-9C7B-8005ACD9693C"/>
    <w:docVar w:name="LW_COVERPAGE_TYPE" w:val="1"/>
    <w:docVar w:name="LW_CROSSREFERENCE" w:val="{COM(2026) 308 final} - {SEC(2026) 186 final} - {SWD(2026) 164 final} - {SWD(2026) 165 final}"/>
    <w:docVar w:name="LW_DocType" w:val="NORMAL"/>
    <w:docVar w:name="LW_EMISSION" w:val="24.6.2026"/>
    <w:docVar w:name="LW_EMISSION_ISODATE" w:val="2026-06-24"/>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privind cooperarea administrativ\u259? în domeniul fiscal (reformare)"/>
    <w:docVar w:name="LW_PART_NBR" w:val="1"/>
    <w:docVar w:name="LW_PART_NBR_TOTAL" w:val="1"/>
    <w:docVar w:name="LW_REF.INST.NEW" w:val="SWD"/>
    <w:docVar w:name="LW_REF.INST.NEW_ADOPTED" w:val="final"/>
    <w:docVar w:name="LW_REF.INST.NEW_TEXT" w:val="(2026) 1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LUCRU AL SERVICIILOR COMISIEI_x000b__x000b_REZUMAT AL RAPORTULUI PRIVIND EVALUAREA IMPACTULUI_x000b_"/>
    <w:docVar w:name="LW_TYPEACTEPRINCIPAL.CP" w:val="Propunere de DIRECTIV\u258?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1C1B11B2-EF64-4A54-A268-A5869F764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pPr>
      <w:ind w:left="720"/>
      <w:contextualSpacing/>
    </w:p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248424">
      <w:bodyDiv w:val="1"/>
      <w:marLeft w:val="0"/>
      <w:marRight w:val="0"/>
      <w:marTop w:val="0"/>
      <w:marBottom w:val="0"/>
      <w:divBdr>
        <w:top w:val="none" w:sz="0" w:space="0" w:color="auto"/>
        <w:left w:val="none" w:sz="0" w:space="0" w:color="auto"/>
        <w:bottom w:val="none" w:sz="0" w:space="0" w:color="auto"/>
        <w:right w:val="none" w:sz="0" w:space="0" w:color="auto"/>
      </w:divBdr>
    </w:div>
    <w:div w:id="1012491750">
      <w:bodyDiv w:val="1"/>
      <w:marLeft w:val="0"/>
      <w:marRight w:val="0"/>
      <w:marTop w:val="0"/>
      <w:marBottom w:val="0"/>
      <w:divBdr>
        <w:top w:val="none" w:sz="0" w:space="0" w:color="auto"/>
        <w:left w:val="none" w:sz="0" w:space="0" w:color="auto"/>
        <w:bottom w:val="none" w:sz="0" w:space="0" w:color="auto"/>
        <w:right w:val="none" w:sz="0" w:space="0" w:color="auto"/>
      </w:divBdr>
    </w:div>
    <w:div w:id="1073503109">
      <w:bodyDiv w:val="1"/>
      <w:marLeft w:val="0"/>
      <w:marRight w:val="0"/>
      <w:marTop w:val="0"/>
      <w:marBottom w:val="0"/>
      <w:divBdr>
        <w:top w:val="none" w:sz="0" w:space="0" w:color="auto"/>
        <w:left w:val="none" w:sz="0" w:space="0" w:color="auto"/>
        <w:bottom w:val="none" w:sz="0" w:space="0" w:color="auto"/>
        <w:right w:val="none" w:sz="0" w:space="0" w:color="auto"/>
      </w:divBdr>
      <w:divsChild>
        <w:div w:id="2099016620">
          <w:marLeft w:val="0"/>
          <w:marRight w:val="0"/>
          <w:marTop w:val="0"/>
          <w:marBottom w:val="0"/>
          <w:divBdr>
            <w:top w:val="none" w:sz="0" w:space="0" w:color="auto"/>
            <w:left w:val="none" w:sz="0" w:space="0" w:color="auto"/>
            <w:bottom w:val="none" w:sz="0" w:space="0" w:color="auto"/>
            <w:right w:val="none" w:sz="0" w:space="0" w:color="auto"/>
          </w:divBdr>
          <w:divsChild>
            <w:div w:id="794760590">
              <w:marLeft w:val="0"/>
              <w:marRight w:val="0"/>
              <w:marTop w:val="0"/>
              <w:marBottom w:val="0"/>
              <w:divBdr>
                <w:top w:val="none" w:sz="0" w:space="0" w:color="auto"/>
                <w:left w:val="none" w:sz="0" w:space="0" w:color="auto"/>
                <w:bottom w:val="none" w:sz="0" w:space="0" w:color="auto"/>
                <w:right w:val="none" w:sz="0" w:space="0" w:color="auto"/>
              </w:divBdr>
              <w:divsChild>
                <w:div w:id="1724017389">
                  <w:marLeft w:val="0"/>
                  <w:marRight w:val="0"/>
                  <w:marTop w:val="0"/>
                  <w:marBottom w:val="0"/>
                  <w:divBdr>
                    <w:top w:val="none" w:sz="0" w:space="0" w:color="auto"/>
                    <w:left w:val="none" w:sz="0" w:space="0" w:color="auto"/>
                    <w:bottom w:val="none" w:sz="0" w:space="0" w:color="auto"/>
                    <w:right w:val="none" w:sz="0" w:space="0" w:color="auto"/>
                  </w:divBdr>
                  <w:divsChild>
                    <w:div w:id="1199313707">
                      <w:marLeft w:val="0"/>
                      <w:marRight w:val="0"/>
                      <w:marTop w:val="0"/>
                      <w:marBottom w:val="0"/>
                      <w:divBdr>
                        <w:top w:val="none" w:sz="0" w:space="0" w:color="auto"/>
                        <w:left w:val="none" w:sz="0" w:space="0" w:color="auto"/>
                        <w:bottom w:val="none" w:sz="0" w:space="0" w:color="auto"/>
                        <w:right w:val="none" w:sz="0" w:space="0" w:color="auto"/>
                      </w:divBdr>
                      <w:divsChild>
                        <w:div w:id="2010253074">
                          <w:marLeft w:val="0"/>
                          <w:marRight w:val="0"/>
                          <w:marTop w:val="0"/>
                          <w:marBottom w:val="0"/>
                          <w:divBdr>
                            <w:top w:val="none" w:sz="0" w:space="0" w:color="auto"/>
                            <w:left w:val="none" w:sz="0" w:space="0" w:color="auto"/>
                            <w:bottom w:val="none" w:sz="0" w:space="0" w:color="auto"/>
                            <w:right w:val="none" w:sz="0" w:space="0" w:color="auto"/>
                          </w:divBdr>
                          <w:divsChild>
                            <w:div w:id="1607618141">
                              <w:marLeft w:val="0"/>
                              <w:marRight w:val="0"/>
                              <w:marTop w:val="0"/>
                              <w:marBottom w:val="0"/>
                              <w:divBdr>
                                <w:top w:val="none" w:sz="0" w:space="0" w:color="auto"/>
                                <w:left w:val="none" w:sz="0" w:space="0" w:color="auto"/>
                                <w:bottom w:val="none" w:sz="0" w:space="0" w:color="auto"/>
                                <w:right w:val="none" w:sz="0" w:space="0" w:color="auto"/>
                              </w:divBdr>
                              <w:divsChild>
                                <w:div w:id="162477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5545369">
      <w:bodyDiv w:val="1"/>
      <w:marLeft w:val="0"/>
      <w:marRight w:val="0"/>
      <w:marTop w:val="0"/>
      <w:marBottom w:val="0"/>
      <w:divBdr>
        <w:top w:val="none" w:sz="0" w:space="0" w:color="auto"/>
        <w:left w:val="none" w:sz="0" w:space="0" w:color="auto"/>
        <w:bottom w:val="none" w:sz="0" w:space="0" w:color="auto"/>
        <w:right w:val="none" w:sz="0" w:space="0" w:color="auto"/>
      </w:divBdr>
    </w:div>
    <w:div w:id="1763256351">
      <w:bodyDiv w:val="1"/>
      <w:marLeft w:val="0"/>
      <w:marRight w:val="0"/>
      <w:marTop w:val="0"/>
      <w:marBottom w:val="0"/>
      <w:divBdr>
        <w:top w:val="none" w:sz="0" w:space="0" w:color="auto"/>
        <w:left w:val="none" w:sz="0" w:space="0" w:color="auto"/>
        <w:bottom w:val="none" w:sz="0" w:space="0" w:color="auto"/>
        <w:right w:val="none" w:sz="0" w:space="0" w:color="auto"/>
      </w:divBdr>
      <w:divsChild>
        <w:div w:id="449781892">
          <w:marLeft w:val="0"/>
          <w:marRight w:val="0"/>
          <w:marTop w:val="0"/>
          <w:marBottom w:val="0"/>
          <w:divBdr>
            <w:top w:val="none" w:sz="0" w:space="0" w:color="auto"/>
            <w:left w:val="none" w:sz="0" w:space="0" w:color="auto"/>
            <w:bottom w:val="none" w:sz="0" w:space="0" w:color="auto"/>
            <w:right w:val="none" w:sz="0" w:space="0" w:color="auto"/>
          </w:divBdr>
          <w:divsChild>
            <w:div w:id="2046908696">
              <w:marLeft w:val="0"/>
              <w:marRight w:val="0"/>
              <w:marTop w:val="0"/>
              <w:marBottom w:val="0"/>
              <w:divBdr>
                <w:top w:val="none" w:sz="0" w:space="0" w:color="auto"/>
                <w:left w:val="none" w:sz="0" w:space="0" w:color="auto"/>
                <w:bottom w:val="none" w:sz="0" w:space="0" w:color="auto"/>
                <w:right w:val="none" w:sz="0" w:space="0" w:color="auto"/>
              </w:divBdr>
              <w:divsChild>
                <w:div w:id="1706976800">
                  <w:marLeft w:val="0"/>
                  <w:marRight w:val="0"/>
                  <w:marTop w:val="0"/>
                  <w:marBottom w:val="0"/>
                  <w:divBdr>
                    <w:top w:val="none" w:sz="0" w:space="0" w:color="auto"/>
                    <w:left w:val="none" w:sz="0" w:space="0" w:color="auto"/>
                    <w:bottom w:val="none" w:sz="0" w:space="0" w:color="auto"/>
                    <w:right w:val="none" w:sz="0" w:space="0" w:color="auto"/>
                  </w:divBdr>
                  <w:divsChild>
                    <w:div w:id="1480655334">
                      <w:marLeft w:val="0"/>
                      <w:marRight w:val="0"/>
                      <w:marTop w:val="0"/>
                      <w:marBottom w:val="0"/>
                      <w:divBdr>
                        <w:top w:val="none" w:sz="0" w:space="0" w:color="auto"/>
                        <w:left w:val="none" w:sz="0" w:space="0" w:color="auto"/>
                        <w:bottom w:val="none" w:sz="0" w:space="0" w:color="auto"/>
                        <w:right w:val="none" w:sz="0" w:space="0" w:color="auto"/>
                      </w:divBdr>
                      <w:divsChild>
                        <w:div w:id="1649089283">
                          <w:marLeft w:val="0"/>
                          <w:marRight w:val="0"/>
                          <w:marTop w:val="0"/>
                          <w:marBottom w:val="0"/>
                          <w:divBdr>
                            <w:top w:val="none" w:sz="0" w:space="0" w:color="auto"/>
                            <w:left w:val="none" w:sz="0" w:space="0" w:color="auto"/>
                            <w:bottom w:val="none" w:sz="0" w:space="0" w:color="auto"/>
                            <w:right w:val="none" w:sz="0" w:space="0" w:color="auto"/>
                          </w:divBdr>
                          <w:divsChild>
                            <w:div w:id="895238992">
                              <w:marLeft w:val="0"/>
                              <w:marRight w:val="0"/>
                              <w:marTop w:val="0"/>
                              <w:marBottom w:val="0"/>
                              <w:divBdr>
                                <w:top w:val="none" w:sz="0" w:space="0" w:color="auto"/>
                                <w:left w:val="none" w:sz="0" w:space="0" w:color="auto"/>
                                <w:bottom w:val="none" w:sz="0" w:space="0" w:color="auto"/>
                                <w:right w:val="none" w:sz="0" w:space="0" w:color="auto"/>
                              </w:divBdr>
                              <w:divsChild>
                                <w:div w:id="81619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1963</Words>
  <Characters>11195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10</cp:revision>
  <dcterms:created xsi:type="dcterms:W3CDTF">2026-06-09T14:17:00Z</dcterms:created>
  <dcterms:modified xsi:type="dcterms:W3CDTF">2026-09-08T16:27:00Z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2026-05-19T12:44:42Z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76efa6c4-29cd-46e2-ad4f-72006ee72e4a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CP-027</vt:lpwstr>
  </property>
</Properties>
</file>