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5F553" w14:textId="26BEFA32" w:rsidR="000E5A0F" w:rsidRPr="00E43E7A" w:rsidRDefault="000D14BA" w:rsidP="000D14BA">
      <w:pPr>
        <w:pStyle w:val="Pagedecouverture"/>
        <w:rPr>
          <w:noProof/>
        </w:rPr>
      </w:pPr>
      <w:bookmarkStart w:id="0" w:name="LW_BM_COVERPAGE"/>
      <w:r>
        <w:rPr>
          <w:noProof/>
        </w:rPr>
        <w:pict w14:anchorId="2D8D0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9951CD5-8FF5-4F6E-8D71-F8647FE2F157" style="width:455.25pt;height:375pt">
            <v:imagedata r:id="rId11" o:title=""/>
          </v:shape>
        </w:pict>
      </w:r>
    </w:p>
    <w:bookmarkEnd w:id="0"/>
    <w:p w14:paraId="4B6F1E9A" w14:textId="77777777" w:rsidR="008F7602" w:rsidRDefault="008F7602" w:rsidP="008F7602">
      <w:pPr>
        <w:rPr>
          <w:noProof/>
        </w:rPr>
        <w:sectPr w:rsidR="008F7602" w:rsidSect="000D14B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737712F" w14:textId="77777777" w:rsidR="000E5A0F" w:rsidRPr="00BA09B0" w:rsidRDefault="000E5A0F" w:rsidP="000E5A0F">
      <w:pPr>
        <w:spacing w:after="240"/>
        <w:rPr>
          <w:b/>
          <w:noProof/>
        </w:rPr>
      </w:pPr>
      <w:bookmarkStart w:id="1" w:name="_GoBack"/>
      <w:bookmarkEnd w:id="1"/>
      <w:r>
        <w:rPr>
          <w:b/>
          <w:noProof/>
        </w:rPr>
        <w:lastRenderedPageBreak/>
        <w:t xml:space="preserve">A. Nécessité d’une action </w:t>
      </w:r>
    </w:p>
    <w:p w14:paraId="44FDD9C9" w14:textId="0C81872E" w:rsidR="000E5A0F" w:rsidRPr="00BA09B0" w:rsidRDefault="000E5A0F" w:rsidP="000E5A0F">
      <w:pPr>
        <w:spacing w:after="240"/>
        <w:rPr>
          <w:i/>
          <w:noProof/>
        </w:rPr>
      </w:pPr>
      <w:r>
        <w:rPr>
          <w:b/>
          <w:i/>
          <w:noProof/>
        </w:rPr>
        <w:t xml:space="preserve">Quel est le problème et pourquoi se situe-t-il au niveau de l’Union? </w:t>
      </w:r>
    </w:p>
    <w:p w14:paraId="38ED215E" w14:textId="217DE760" w:rsidR="009E7B85" w:rsidRPr="00361C9B" w:rsidRDefault="00BB54F6" w:rsidP="00157BEF">
      <w:pPr>
        <w:spacing w:after="240"/>
        <w:jc w:val="both"/>
        <w:rPr>
          <w:noProof/>
        </w:rPr>
      </w:pPr>
      <w:r>
        <w:rPr>
          <w:noProof/>
        </w:rPr>
        <w:t xml:space="preserve">Ces initiatives visent à relever les défis recensés dans les </w:t>
      </w:r>
      <w:r>
        <w:rPr>
          <w:b/>
          <w:noProof/>
        </w:rPr>
        <w:t>orientations politiques pour la Commission européenne 2024-2029</w:t>
      </w:r>
      <w:r>
        <w:rPr>
          <w:b/>
          <w:bCs/>
          <w:noProof/>
          <w:vertAlign w:val="superscript"/>
          <w:lang w:val="en-IE"/>
        </w:rPr>
        <w:footnoteReference w:id="1"/>
      </w:r>
      <w:r>
        <w:rPr>
          <w:noProof/>
        </w:rPr>
        <w:t xml:space="preserve"> et à remédier: i) au manque de transparence, aux conditions inéquitables et aux conditions de concurrence inégales sur le marché de la billetterie en ligne, sur toutes les plateformes de services numériques de mobilité multimodale actives dans les secteurs de l’aviation, du rail, de la route et du transport par voie d’eau; et ii) à une offre incomplète de billets de train sur les plateformes de services numériques de mobilité multimodale</w:t>
      </w:r>
      <w:r>
        <w:rPr>
          <w:noProof/>
          <w:vertAlign w:val="superscript"/>
        </w:rPr>
        <w:footnoteReference w:id="2"/>
      </w:r>
      <w:r>
        <w:rPr>
          <w:noProof/>
        </w:rPr>
        <w:t>.</w:t>
      </w:r>
    </w:p>
    <w:p w14:paraId="612A1ECB" w14:textId="1FB93354" w:rsidR="00ED46AC" w:rsidRPr="00A72E56" w:rsidRDefault="00D449E4" w:rsidP="00A72E56">
      <w:pPr>
        <w:spacing w:after="240"/>
        <w:jc w:val="both"/>
        <w:rPr>
          <w:noProof/>
        </w:rPr>
      </w:pPr>
      <w:r>
        <w:rPr>
          <w:noProof/>
        </w:rPr>
        <w:t>Ces deux problèmes limitent la capacité des consommateurs à trouver, comparer, combiner et réserver des options de voyage, tout en tenant compte de l’incidence environnementale de leurs choix.</w:t>
      </w:r>
      <w:r>
        <w:rPr>
          <w:b/>
          <w:noProof/>
        </w:rPr>
        <w:t xml:space="preserve"> </w:t>
      </w:r>
      <w:r>
        <w:rPr>
          <w:noProof/>
        </w:rPr>
        <w:t xml:space="preserve">Le second problème crée des obstacles à l’entrée sur le marché pour les petites entreprises ferroviaires, entrave la concurrence, réduit la demande et entraîne un retour sur investissement public sous-optimal dans le secteur ferroviaire. Ces initiatives favoriseront non seulement la création de nouvelles options de voyage, mais veilleront également à ce que les voyageurs trouvent les options existantes: une analyse de 100 itinéraires dans l’Union montre que, dans 76 % des cas, des options multimodales existent, mais que très peu de plateformes de services numériques de mobilité multimodale présentent des options dans différents modes, qui sont rarement combinées. Une enquête Eurobaromètre de 2024 a confirmé cette nécessité, puisqu’un tiers des 26 000 citoyens de l’Union interrogés n’avait jamais réservé de trajet multimodal ou impliquant plusieurs opérateurs. L’enquête a également montré que plus d’un tiers des personnes qui réservent ce type de trajets se heurtent à des obstacles lors de la réservation, notamment le fait de ne pas trouver de combinaison adaptée ou de ne pas pouvoir acheter tous les billets nécessaires au même endroit, et que ces obstacles sont plus importants pour le transport ferroviaire. </w:t>
      </w:r>
    </w:p>
    <w:p w14:paraId="430F4E4B" w14:textId="26DFB7A1" w:rsidR="00F3106F" w:rsidRPr="003418E7" w:rsidRDefault="00B662BF" w:rsidP="002F281F">
      <w:pPr>
        <w:spacing w:after="240"/>
        <w:jc w:val="both"/>
        <w:rPr>
          <w:noProof/>
        </w:rPr>
      </w:pPr>
      <w:r>
        <w:rPr>
          <w:noProof/>
        </w:rPr>
        <w:t>Une autre préoccupation des passagers des trains est qu’ils jouissent rarement de leurs droits lorsque leur voyage implique différents opérateurs. La dimension des droits des passagers ne relève pas du champ d’application de la présente analyse d’impact; elle fait l’objet d’une révision ciblée du règlement sur les droits des passagers ferroviaires, qui garantira que les billets de train achetés dans le cadre d’une transaction unique sur une plateforme unique, dits «billets uniques», confèrent l’intégralité des droits des voyageurs pour l’ensemble du trajet.</w:t>
      </w:r>
    </w:p>
    <w:p w14:paraId="57D60ECE" w14:textId="7AA8953B" w:rsidR="000E5A0F" w:rsidRPr="00BA09B0" w:rsidRDefault="000E5A0F" w:rsidP="000E5A0F">
      <w:pPr>
        <w:spacing w:after="240"/>
        <w:jc w:val="both"/>
        <w:rPr>
          <w:b/>
          <w:bCs/>
          <w:i/>
          <w:iCs/>
          <w:noProof/>
        </w:rPr>
      </w:pPr>
      <w:r>
        <w:rPr>
          <w:b/>
          <w:i/>
          <w:noProof/>
        </w:rPr>
        <w:t xml:space="preserve">Quels sont les objectifs à atteindre? </w:t>
      </w:r>
    </w:p>
    <w:p w14:paraId="4A02E3E1" w14:textId="40E7F3D8" w:rsidR="000E5A0F" w:rsidRPr="00E52CAC" w:rsidRDefault="006A5198" w:rsidP="000E5A0F">
      <w:pPr>
        <w:spacing w:after="240"/>
        <w:jc w:val="both"/>
        <w:rPr>
          <w:noProof/>
        </w:rPr>
      </w:pPr>
      <w:r>
        <w:rPr>
          <w:noProof/>
        </w:rPr>
        <w:t>Les objectifs généraux sont: i) promouvoir les billets uniques dans le secteur ferroviaire à l’appui du transfert modal; et ii) améliorer le fonctionnement du marché de la distribution de billets en ligne et, ce faisant, contribuer à la compétitivité du marché des services de transport. Ces initiatives contribueront à la réalisation des objectifs généraux en poursuivant deux objectifs spécifiques: 1) améliorer l’exhaustivité de l’offre de billets de train sur les plateformes de services numériques de mobilité multimodale; 2) améliorer la transparence et établir des conditions de concurrence équitables pour les opérateurs de transport en ce qui concerne l’accès aux services numériques de mobilité multimodale indispensables et leur utilisation. Ces objectifs sont également alignés sur les objectifs de la stratégie de mobilité durable et intelligente</w:t>
      </w:r>
      <w:r>
        <w:rPr>
          <w:rStyle w:val="FootnoteReference"/>
          <w:noProof/>
        </w:rPr>
        <w:footnoteReference w:id="3"/>
      </w:r>
      <w:r>
        <w:rPr>
          <w:noProof/>
        </w:rPr>
        <w:t xml:space="preserve"> visant à améliorer la compétitivité du secteur des transports et à faire de la mobilité multimodale une réalité.</w:t>
      </w:r>
    </w:p>
    <w:p w14:paraId="6BED0FEB" w14:textId="77777777" w:rsidR="000E5A0F" w:rsidRPr="00BA09B0" w:rsidRDefault="000E5A0F" w:rsidP="002E2DFE">
      <w:pPr>
        <w:keepNext/>
        <w:spacing w:after="240"/>
        <w:jc w:val="both"/>
        <w:rPr>
          <w:i/>
          <w:noProof/>
        </w:rPr>
      </w:pPr>
      <w:r>
        <w:rPr>
          <w:b/>
          <w:i/>
          <w:noProof/>
        </w:rPr>
        <w:t xml:space="preserve">Quelle est la valeur ajoutée de l’action au niveau de l’UE (subsidiarité)? </w:t>
      </w:r>
    </w:p>
    <w:p w14:paraId="376A410B" w14:textId="42EDC02C" w:rsidR="001001F4" w:rsidRPr="00BA09B0" w:rsidRDefault="000E5A0F" w:rsidP="001001F4">
      <w:pPr>
        <w:spacing w:after="240"/>
        <w:jc w:val="both"/>
        <w:rPr>
          <w:noProof/>
        </w:rPr>
      </w:pPr>
      <w:r>
        <w:rPr>
          <w:noProof/>
        </w:rPr>
        <w:t>Bien que les services numériques de mobilité multimodale puissent être développés au niveau régional ou national, les problèmes recensés sont présents dans l’ensemble de l’Union, et une approche à l’échelle de celle-ci pour y remédier permettrait d’éviter un marché fragmenté avec des coûts accrus et des avantages réduits. Le marché européen de la billetterie ferroviaire est particulièrement fragmenté, étant donné que la plupart des entreprises ferroviaires historiques se concentrent sur leurs monopoles opérationnels nationaux plutôt que de proposer des services ferroviaires bien connectés entre les États membres.</w:t>
      </w:r>
    </w:p>
    <w:p w14:paraId="13A6165D" w14:textId="77777777" w:rsidR="000E5A0F" w:rsidRPr="00BA09B0" w:rsidRDefault="000E5A0F" w:rsidP="000E5A0F">
      <w:pPr>
        <w:spacing w:after="240"/>
        <w:rPr>
          <w:b/>
          <w:noProof/>
        </w:rPr>
      </w:pPr>
      <w:r>
        <w:rPr>
          <w:b/>
          <w:noProof/>
        </w:rPr>
        <w:t xml:space="preserve">B. Les solutions </w:t>
      </w:r>
    </w:p>
    <w:p w14:paraId="65B4BA5C" w14:textId="77777777" w:rsidR="000E5A0F" w:rsidRPr="00BA09B0" w:rsidRDefault="000E5A0F" w:rsidP="000E5A0F">
      <w:pPr>
        <w:spacing w:after="240"/>
        <w:jc w:val="both"/>
        <w:rPr>
          <w:b/>
          <w:i/>
          <w:iCs/>
          <w:noProof/>
        </w:rPr>
      </w:pPr>
      <w:r>
        <w:rPr>
          <w:b/>
          <w:i/>
          <w:noProof/>
        </w:rPr>
        <w:t xml:space="preserve">Quelles sont les différentes options pour atteindre les objectifs? Y a-t-il une option privilégiée? Si tel n’est pas le cas, pourquoi? </w:t>
      </w:r>
    </w:p>
    <w:p w14:paraId="0ABCE75B" w14:textId="77777777" w:rsidR="00064965" w:rsidRDefault="005C5A0C" w:rsidP="00CA1557">
      <w:pPr>
        <w:spacing w:after="240"/>
        <w:jc w:val="both"/>
        <w:rPr>
          <w:noProof/>
        </w:rPr>
      </w:pPr>
      <w:r>
        <w:rPr>
          <w:noProof/>
        </w:rPr>
        <w:t xml:space="preserve">Quatre options stratégiques ont été élaborées pour résoudre les problèmes et atteindre les objectifs, mais avec un niveau d’efficacité et d’efficience différent. </w:t>
      </w:r>
      <w:r>
        <w:rPr>
          <w:b/>
          <w:noProof/>
        </w:rPr>
        <w:t>L’option stratégique 1</w:t>
      </w:r>
      <w:r>
        <w:rPr>
          <w:noProof/>
        </w:rPr>
        <w:t xml:space="preserve"> adopte une approche souple qui garantit un traitement équitable des données et une présentation neutre des offres de transport sur les plateformes de services numériques de mobilité multimodale. Elle impose également des conditions pour les accords de distribution contractuels sur les plateformes de services numériques de mobilité multimodale indispensables et les entreprises ferroviaires indispensables</w:t>
      </w:r>
      <w:r>
        <w:rPr>
          <w:noProof/>
          <w:vertAlign w:val="superscript"/>
        </w:rPr>
        <w:footnoteReference w:id="4"/>
      </w:r>
      <w:r>
        <w:rPr>
          <w:noProof/>
        </w:rPr>
        <w:t xml:space="preserve">. </w:t>
      </w:r>
      <w:r>
        <w:rPr>
          <w:b/>
          <w:noProof/>
        </w:rPr>
        <w:t>L’option stratégique 2</w:t>
      </w:r>
      <w:r>
        <w:rPr>
          <w:noProof/>
        </w:rPr>
        <w:t xml:space="preserve"> ajoute à l’option stratégique 1 l’obligation pour les entreprises ferroviaires indispensables de permettre la distribution de leurs billets sur des plateformes de services numériques de mobilité multimodale</w:t>
      </w:r>
      <w:r>
        <w:rPr>
          <w:rStyle w:val="FootnoteReference"/>
          <w:noProof/>
        </w:rPr>
        <w:footnoteReference w:id="5"/>
      </w:r>
      <w:r>
        <w:rPr>
          <w:noProof/>
        </w:rPr>
        <w:t xml:space="preserve">. </w:t>
      </w:r>
      <w:r>
        <w:rPr>
          <w:b/>
          <w:noProof/>
        </w:rPr>
        <w:t xml:space="preserve">L’option stratégique 3 </w:t>
      </w:r>
      <w:r>
        <w:rPr>
          <w:noProof/>
        </w:rPr>
        <w:t xml:space="preserve">ajoute à l’option stratégique 2 l’obligation pour les entreprises ferroviaires indispensables de distribuer les billets des concurrents. </w:t>
      </w:r>
      <w:r>
        <w:rPr>
          <w:b/>
          <w:noProof/>
        </w:rPr>
        <w:t>L’option stratégique 4</w:t>
      </w:r>
      <w:r>
        <w:rPr>
          <w:noProof/>
        </w:rPr>
        <w:t xml:space="preserve"> offre une alternative à l’option stratégique 3 en obligeant les plateformes indispensables des entreprises ferroviaires à dissocier leurs services opérationnels et de distribution de billets, ce qui entraîne des coûts plus élevés. </w:t>
      </w:r>
    </w:p>
    <w:p w14:paraId="5307D165" w14:textId="0178E852" w:rsidR="00DE7292" w:rsidRPr="009E4E01" w:rsidRDefault="00E71407" w:rsidP="00CA1557">
      <w:pPr>
        <w:spacing w:after="240"/>
        <w:jc w:val="both"/>
        <w:rPr>
          <w:noProof/>
        </w:rPr>
      </w:pPr>
      <w:r>
        <w:rPr>
          <w:noProof/>
        </w:rPr>
        <w:t>Toutes les options stratégiques font preuve de cohérence et respectent le principe de subsidiarité. En ce qui concerne la proportionnalité, l’option stratégique 3 permet d’atteindre au mieux les objectifs, tout en maintenant un niveau d’intervention sur le marché inférieur à celui de l’option stratégique 4.</w:t>
      </w:r>
      <w:r>
        <w:rPr>
          <w:b/>
          <w:noProof/>
        </w:rPr>
        <w:t xml:space="preserve"> L’option stratégique 3 est l’option privilégiée</w:t>
      </w:r>
      <w:r>
        <w:rPr>
          <w:noProof/>
        </w:rPr>
        <w:t>, car elle est la plus efficace pour favoriser des offres ferroviaires complètes, y compris sur les plateformes des entreprises ferroviaires indispensables, et pour favoriser une transition plus rapide vers des options de voyage plus durables. Elle présente des avantages nets et constitue l’option la plus efficace.</w:t>
      </w:r>
    </w:p>
    <w:p w14:paraId="7B906F09" w14:textId="77777777" w:rsidR="000E5A0F" w:rsidRPr="00BA09B0" w:rsidRDefault="000E5A0F" w:rsidP="00CA1557">
      <w:pPr>
        <w:spacing w:after="240"/>
        <w:jc w:val="both"/>
        <w:rPr>
          <w:b/>
          <w:i/>
          <w:iCs/>
          <w:noProof/>
        </w:rPr>
      </w:pPr>
      <w:r>
        <w:rPr>
          <w:b/>
          <w:i/>
          <w:noProof/>
        </w:rPr>
        <w:t xml:space="preserve">Quelles sont les positions des différentes parties prenantes? Qui soutient quelle option? </w:t>
      </w:r>
    </w:p>
    <w:p w14:paraId="6F009BFC" w14:textId="0C1E63D3" w:rsidR="000E5A0F" w:rsidRPr="00186C1E" w:rsidRDefault="000E5A0F" w:rsidP="00FC424F">
      <w:pPr>
        <w:pStyle w:val="BodyText"/>
        <w:spacing w:after="240"/>
        <w:ind w:left="0" w:right="-26"/>
        <w:rPr>
          <w:noProof/>
        </w:rPr>
      </w:pPr>
      <w:r>
        <w:rPr>
          <w:noProof/>
        </w:rPr>
        <w:t>La plupart des parties prenantes ont reconnu la nécessité de l’</w:t>
      </w:r>
      <w:r>
        <w:rPr>
          <w:b/>
          <w:noProof/>
        </w:rPr>
        <w:t>option stratégique 1</w:t>
      </w:r>
      <w:r>
        <w:rPr>
          <w:noProof/>
        </w:rPr>
        <w:t>. Les plateformes de services numériques de mobilité multimodale se sont montrées plus sceptiques que d’autres groupes de parties prenantes, mettant en garde contre le fait que les règles relatives à l’affichage neutre pourraient entraver l’innovation. Les entreprises ferroviaires estiment que les niveaux des redevances de distribution ne devraient pas être réglementés. Les parties prenantes se sont montrées plus divisées quant à l’</w:t>
      </w:r>
      <w:r>
        <w:rPr>
          <w:b/>
          <w:noProof/>
        </w:rPr>
        <w:t>option stratégique 2</w:t>
      </w:r>
      <w:r>
        <w:rPr>
          <w:noProof/>
        </w:rPr>
        <w:t>, les organisations de consommateurs, les autorités nationales et les organisations non gouvernementales (ONG) étant favorables, les plateformes de services numériques de mobilité multimodale étant plutôt positives ou neutres, et les entreprises ferroviaires indispensables s’y opposant, soulignant que l’intérêt commercial mutuel doit guider la collaboration plutôt que l’accès obligatoire. La plupart des autorités nationales, des organisations de consommateurs et des ONG ont soutenu l’</w:t>
      </w:r>
      <w:r>
        <w:rPr>
          <w:b/>
          <w:noProof/>
        </w:rPr>
        <w:t>option stratégique 3</w:t>
      </w:r>
      <w:r>
        <w:rPr>
          <w:noProof/>
        </w:rPr>
        <w:t>, tandis que les plateformes de services numériques de mobilité multimodale étaient pour la plupart neutres ou opposées à cette option, et la plupart des opérateurs de transport s’y sont opposés. Les entreprises ferroviaires indispensables et les plateformes de services numériques de mobilité multimodale indépendantes ont soulevé le risque de concentration du marché des entreprises ferroviaires. À l’inverse, les nouvelles entreprises ferroviaires ont soutenu l’intervention ciblée et ont perçu l’option stratégique 3 comme le facteur clé du «</w:t>
      </w:r>
      <w:r>
        <w:rPr>
          <w:i/>
          <w:noProof/>
        </w:rPr>
        <w:t>double transfert modal du rail pour les trajets longue distance</w:t>
      </w:r>
      <w:r>
        <w:rPr>
          <w:noProof/>
        </w:rPr>
        <w:t xml:space="preserve">». </w:t>
      </w:r>
      <w:r>
        <w:rPr>
          <w:b/>
          <w:noProof/>
        </w:rPr>
        <w:t>L’option stratégique 4</w:t>
      </w:r>
      <w:r>
        <w:rPr>
          <w:noProof/>
        </w:rPr>
        <w:t xml:space="preserve"> divisait les parties prenantes, opposant les points de vue des nouveaux arrivants et des entreprises ferroviaires indispensables, les premiers la percevant comme un «</w:t>
      </w:r>
      <w:r>
        <w:rPr>
          <w:i/>
          <w:noProof/>
        </w:rPr>
        <w:t>tournant décisif</w:t>
      </w:r>
      <w:r>
        <w:rPr>
          <w:noProof/>
        </w:rPr>
        <w:t>» en ce qui concerne l’accès des nouveaux arrivants aux principales plateformes ferroviaires et leur visibilité auprès des consommateurs, et les seconds soulignant la complexité organisationnelle de la dissociation des activités et le lien indispensable entre les recettes de billetterie et la pérennité de l’exploitation ferroviaire.</w:t>
      </w:r>
    </w:p>
    <w:p w14:paraId="056D0C29" w14:textId="7898F006" w:rsidR="000E5A0F" w:rsidRPr="00BA09B0" w:rsidRDefault="000E5A0F" w:rsidP="00206E45">
      <w:pPr>
        <w:keepNext/>
        <w:spacing w:after="240"/>
        <w:rPr>
          <w:b/>
          <w:noProof/>
        </w:rPr>
      </w:pPr>
      <w:r>
        <w:rPr>
          <w:noProof/>
        </w:rPr>
        <w:t xml:space="preserve"> </w:t>
      </w:r>
      <w:r>
        <w:rPr>
          <w:b/>
          <w:noProof/>
        </w:rPr>
        <w:t xml:space="preserve">C. Incidence des options privilégiées </w:t>
      </w:r>
    </w:p>
    <w:p w14:paraId="43782CE1" w14:textId="3804BC77" w:rsidR="004255E2" w:rsidRDefault="000E5A0F" w:rsidP="00206E45">
      <w:pPr>
        <w:keepNext/>
        <w:spacing w:after="240"/>
        <w:rPr>
          <w:b/>
          <w:i/>
          <w:iCs/>
          <w:noProof/>
        </w:rPr>
      </w:pPr>
      <w:r>
        <w:rPr>
          <w:b/>
          <w:i/>
          <w:noProof/>
        </w:rPr>
        <w:t xml:space="preserve">Quels sont les avantages de l’option privilégiée (ou, à défaut, des options principales)? </w:t>
      </w:r>
      <w:bookmarkStart w:id="2" w:name="_Hlk140517935"/>
    </w:p>
    <w:bookmarkEnd w:id="2"/>
    <w:p w14:paraId="567CECEC" w14:textId="10662D38" w:rsidR="00BC61BA" w:rsidRPr="009E4E01" w:rsidRDefault="004255E2" w:rsidP="00D23867">
      <w:pPr>
        <w:spacing w:after="240"/>
        <w:jc w:val="both"/>
        <w:rPr>
          <w:noProof/>
        </w:rPr>
      </w:pPr>
      <w:r>
        <w:rPr>
          <w:noProof/>
        </w:rPr>
        <w:t xml:space="preserve">Les </w:t>
      </w:r>
      <w:r>
        <w:rPr>
          <w:b/>
          <w:noProof/>
        </w:rPr>
        <w:t>plateformes de services numériques de mobilité multimodale</w:t>
      </w:r>
      <w:r>
        <w:rPr>
          <w:noProof/>
        </w:rPr>
        <w:t xml:space="preserve"> et les </w:t>
      </w:r>
      <w:r>
        <w:rPr>
          <w:b/>
          <w:noProof/>
        </w:rPr>
        <w:t>opérateurs de transport</w:t>
      </w:r>
      <w:r>
        <w:rPr>
          <w:noProof/>
        </w:rPr>
        <w:t xml:space="preserve"> bénéficieront d’économies de coûts grâce à la rationalisation des processus de négociation, estimées </w:t>
      </w:r>
      <w:r>
        <w:rPr>
          <w:b/>
          <w:noProof/>
        </w:rPr>
        <w:t>chacune à 134 millions d’EUR</w:t>
      </w:r>
      <w:r>
        <w:rPr>
          <w:noProof/>
        </w:rPr>
        <w:t xml:space="preserve"> en valeur actuelle sur la période 2028-2050 par rapport au scénario de référence. </w:t>
      </w:r>
      <w:r>
        <w:rPr>
          <w:b/>
          <w:noProof/>
        </w:rPr>
        <w:t>La société dans son ensemble</w:t>
      </w:r>
      <w:r>
        <w:rPr>
          <w:noProof/>
        </w:rPr>
        <w:t xml:space="preserve"> bénéficiera de réductions des coûts externes (c’est-à-dire liées à la réduction des émissions de CO</w:t>
      </w:r>
      <w:r>
        <w:rPr>
          <w:noProof/>
          <w:vertAlign w:val="subscript"/>
        </w:rPr>
        <w:t>2</w:t>
      </w:r>
      <w:r>
        <w:rPr>
          <w:noProof/>
        </w:rPr>
        <w:t xml:space="preserve"> et de polluants atmosphériques, des émissions sonores, des décès et des blessures, et de la congestion) estimées à 37,6 milliards d’EUR en valeur actuelle sur la période 2028-2050 par rapport au scénario de référence. Les </w:t>
      </w:r>
      <w:r>
        <w:rPr>
          <w:b/>
          <w:noProof/>
        </w:rPr>
        <w:t>bénéfices nets</w:t>
      </w:r>
      <w:r>
        <w:rPr>
          <w:noProof/>
        </w:rPr>
        <w:t xml:space="preserve"> de l’</w:t>
      </w:r>
      <w:r>
        <w:rPr>
          <w:b/>
          <w:noProof/>
        </w:rPr>
        <w:t>option stratégique 3</w:t>
      </w:r>
      <w:r>
        <w:rPr>
          <w:noProof/>
        </w:rPr>
        <w:t xml:space="preserve"> sont estimés à </w:t>
      </w:r>
      <w:r>
        <w:rPr>
          <w:b/>
          <w:noProof/>
        </w:rPr>
        <w:t>37,3 milliards d’EUR.</w:t>
      </w:r>
      <w:r>
        <w:rPr>
          <w:noProof/>
        </w:rPr>
        <w:t xml:space="preserve"> </w:t>
      </w:r>
      <w:r>
        <w:rPr>
          <w:b/>
          <w:noProof/>
        </w:rPr>
        <w:t>Le marché du transport ferroviaire</w:t>
      </w:r>
      <w:r>
        <w:rPr>
          <w:noProof/>
        </w:rPr>
        <w:t xml:space="preserve"> bénéficiera d’une concurrence accrue, ce qui entraînera une augmentation de l’offre, une baisse des prix et une augmentation du nombre de passagers, ainsi qu’un renforcement de l’innovation. Cela permet d’attirer des </w:t>
      </w:r>
      <w:r>
        <w:rPr>
          <w:b/>
          <w:noProof/>
        </w:rPr>
        <w:t>passagers</w:t>
      </w:r>
      <w:r>
        <w:rPr>
          <w:noProof/>
        </w:rPr>
        <w:t xml:space="preserve"> qui passeront également moins de temps à rechercher des options de voyage appropriées. L’option stratégique 3 est conforme au principe du «numérique par défaut» et aux objectifs environnementaux du pacte vert pour l’Europe et de la loi européenne sur le climat.</w:t>
      </w:r>
    </w:p>
    <w:p w14:paraId="683F7165" w14:textId="77777777" w:rsidR="000E5A0F" w:rsidRDefault="000E5A0F" w:rsidP="000E5A0F">
      <w:pPr>
        <w:keepNext/>
        <w:spacing w:after="240"/>
        <w:rPr>
          <w:b/>
          <w:i/>
          <w:iCs/>
          <w:noProof/>
        </w:rPr>
      </w:pPr>
      <w:r>
        <w:rPr>
          <w:b/>
          <w:i/>
          <w:noProof/>
        </w:rPr>
        <w:t xml:space="preserve">Quels sont les coûts de l’option privilégiée (ou, à défaut, des options principales)? </w:t>
      </w:r>
    </w:p>
    <w:p w14:paraId="51653886" w14:textId="4D2F95AB" w:rsidR="004255E2" w:rsidRPr="0098058C" w:rsidRDefault="00000942" w:rsidP="0098058C">
      <w:pPr>
        <w:keepNext/>
        <w:spacing w:after="240"/>
        <w:jc w:val="both"/>
        <w:rPr>
          <w:bCs/>
          <w:noProof/>
        </w:rPr>
      </w:pPr>
      <w:r>
        <w:rPr>
          <w:noProof/>
        </w:rPr>
        <w:t xml:space="preserve">Les coûts totaux de l’option stratégique 3 sont estimés à 306 millions d’EUR, exprimés en valeur actuelle sur la période 2028-2050 par rapport au scénario de référence. Parmi ceux-ci, 40 % sont des coûts d’ajustement ponctuels et récurrents pour les plateformes de services numériques de mobilité multimodale qui devront adapter les systèmes informatiques pour se conformer aux exigences en matière d’affichage neutre, mettre en place des interfaces de programmation d’applications pour partager des données à caractère non personnel avec les opérateurs de transport et les autorités publiques (122,3 millions d’EUR). Les coûts d’ajustement supportés par les entreprises ferroviaires pour permettre la distribution de leurs billets représentent 14 % supplémentaires des coûts totaux (42,2 millions d’EUR). Les coûts de contrôle de l’application pour les autorités nationales sont estimés à 106,5 millions d’EUR (35 % des coûts totaux) et les coûts administratifs liés au règlement des litiges et au traitement des notifications émanant de plateformes ayant une présence significative sur le marché à 28,9 millions d’EUR (9 % des coûts totaux), exprimés en valeur actuelle sur la période 2028-2050 par rapport au scénario de référence. Les coûts supportés par la Commission européenne pour désigner des services numériques de mobilité multimodale ayant une présence significative sur le marché au niveau de l’Union représentent moins de 2 % des coûts totaux (5,3 millions d’EUR). </w:t>
      </w:r>
    </w:p>
    <w:p w14:paraId="1F18083B" w14:textId="77777777" w:rsidR="000E5A0F" w:rsidRPr="00BA09B0" w:rsidRDefault="000E5A0F" w:rsidP="000E5A0F">
      <w:pPr>
        <w:spacing w:after="240"/>
        <w:rPr>
          <w:b/>
          <w:i/>
          <w:iCs/>
          <w:noProof/>
        </w:rPr>
      </w:pPr>
      <w:r>
        <w:rPr>
          <w:b/>
          <w:i/>
          <w:noProof/>
        </w:rPr>
        <w:t xml:space="preserve">Quelles sont les incidences sur les PME et la compétitivité? </w:t>
      </w:r>
    </w:p>
    <w:p w14:paraId="78007C33" w14:textId="3BC310DA" w:rsidR="000E5A0F" w:rsidRPr="00BA09B0" w:rsidRDefault="001839D6" w:rsidP="000E5A0F">
      <w:pPr>
        <w:widowControl w:val="0"/>
        <w:spacing w:after="240"/>
        <w:jc w:val="both"/>
        <w:rPr>
          <w:noProof/>
        </w:rPr>
      </w:pPr>
      <w:r>
        <w:rPr>
          <w:noProof/>
        </w:rPr>
        <w:t>Les petites et moyennes entreprises (PME) ne relèvent pas du champ d’application de ces initiatives, qui ne leur imposent pas d’obligations, mais l’option stratégique 3 devrait leur profiter, avoir une incidence positive sur leur compétitivité et générer des économies de coûts. Les plateformes de services numériques de mobilité multimodale de PME bénéficient des conditions de concurrence équitables pour tous les acteurs (90,5 millions d’EUR) et les opérateurs PME dans tous les modes de transport bénéficient d’un accès aux plateformes clés (96,1 millions d’EUR).</w:t>
      </w:r>
      <w:r>
        <w:rPr>
          <w:b/>
          <w:noProof/>
        </w:rPr>
        <w:t xml:space="preserve"> </w:t>
      </w:r>
      <w:r>
        <w:rPr>
          <w:noProof/>
        </w:rPr>
        <w:t xml:space="preserve"> </w:t>
      </w:r>
    </w:p>
    <w:p w14:paraId="45A99648" w14:textId="77777777" w:rsidR="000E5A0F" w:rsidRPr="00BA09B0" w:rsidRDefault="000E5A0F" w:rsidP="000E5A0F">
      <w:pPr>
        <w:widowControl w:val="0"/>
        <w:spacing w:after="240"/>
        <w:jc w:val="both"/>
        <w:rPr>
          <w:rFonts w:eastAsia="Arial Unicode MS"/>
          <w:noProof/>
          <w:u w:color="0000FF"/>
        </w:rPr>
      </w:pPr>
      <w:r>
        <w:rPr>
          <w:b/>
          <w:i/>
          <w:noProof/>
        </w:rPr>
        <w:t xml:space="preserve">Y aura-t-il une incidence notable sur les budgets nationaux et les administrations nationales? </w:t>
      </w:r>
    </w:p>
    <w:p w14:paraId="15F71569" w14:textId="455B5492" w:rsidR="000E5A0F" w:rsidRPr="0068373F" w:rsidRDefault="00793476" w:rsidP="000E5A0F">
      <w:pPr>
        <w:widowControl w:val="0"/>
        <w:spacing w:after="240"/>
        <w:jc w:val="both"/>
        <w:rPr>
          <w:noProof/>
        </w:rPr>
      </w:pPr>
      <w:r>
        <w:rPr>
          <w:noProof/>
        </w:rPr>
        <w:t>La charge administrative supplémentaire totale (ponctuelle et récurrente) pour les autorités nationales est estimée à 1,86 million d’EUR par an, en raison de l’obligation de traiter les notifications des plateformes ayant une présence significative sur le marché et de soumettre ces informations à la Commission, ainsi que de régler les litiges. En outre, les coûts liés au contrôle de la mise en œuvre correcte de la législation sont estimés à 6,1 millions d’EUR par an.</w:t>
      </w:r>
    </w:p>
    <w:p w14:paraId="42FD1B09" w14:textId="77777777" w:rsidR="000E5A0F" w:rsidRPr="00BA09B0" w:rsidRDefault="000E5A0F" w:rsidP="00166910">
      <w:pPr>
        <w:keepNext/>
        <w:widowControl w:val="0"/>
        <w:spacing w:after="240"/>
        <w:jc w:val="both"/>
        <w:rPr>
          <w:b/>
          <w:i/>
          <w:iCs/>
          <w:noProof/>
        </w:rPr>
      </w:pPr>
      <w:r>
        <w:rPr>
          <w:b/>
          <w:i/>
          <w:noProof/>
        </w:rPr>
        <w:t>Proportionnalité</w:t>
      </w:r>
    </w:p>
    <w:p w14:paraId="03030376" w14:textId="42AA6C84" w:rsidR="000E5A0F" w:rsidRPr="00BA09B0" w:rsidRDefault="006E42CE" w:rsidP="00166910">
      <w:pPr>
        <w:keepNext/>
        <w:widowControl w:val="0"/>
        <w:spacing w:after="240"/>
        <w:jc w:val="both"/>
        <w:rPr>
          <w:noProof/>
          <w:color w:val="000000" w:themeColor="text1"/>
        </w:rPr>
      </w:pPr>
      <w:r>
        <w:rPr>
          <w:noProof/>
        </w:rPr>
        <w:t xml:space="preserve">L’option stratégique 3 est considérée comme proportionnée, étant donné que l’action au niveau de l’Union européenne se limite à ce qui est nécessaire pour </w:t>
      </w:r>
      <w:r>
        <w:rPr>
          <w:noProof/>
          <w:color w:val="000000" w:themeColor="text1"/>
        </w:rPr>
        <w:t>remédier à une défaillance manifeste du marché et atteindre les objectifs de la politique des transports de l’Union relatifs à l’espace ferroviaire unique européen.</w:t>
      </w:r>
    </w:p>
    <w:p w14:paraId="25A87B85" w14:textId="1252138C" w:rsidR="000E5A0F" w:rsidRPr="00BA09B0" w:rsidRDefault="000E5A0F" w:rsidP="000E5A0F">
      <w:pPr>
        <w:spacing w:after="240"/>
        <w:rPr>
          <w:b/>
          <w:noProof/>
        </w:rPr>
      </w:pPr>
      <w:r>
        <w:rPr>
          <w:b/>
          <w:noProof/>
        </w:rPr>
        <w:t>D. Suivi</w:t>
      </w:r>
    </w:p>
    <w:p w14:paraId="4B9752E4" w14:textId="77777777" w:rsidR="000E5A0F" w:rsidRPr="00BA09B0" w:rsidRDefault="000E5A0F" w:rsidP="000E5A0F">
      <w:pPr>
        <w:widowControl w:val="0"/>
        <w:spacing w:after="240"/>
        <w:jc w:val="both"/>
        <w:rPr>
          <w:b/>
          <w:i/>
          <w:iCs/>
          <w:noProof/>
        </w:rPr>
      </w:pPr>
      <w:r>
        <w:rPr>
          <w:b/>
          <w:i/>
          <w:noProof/>
        </w:rPr>
        <w:t xml:space="preserve">Quand la législation sera-t-elle réexaminée? </w:t>
      </w:r>
    </w:p>
    <w:p w14:paraId="7E11539C" w14:textId="57F5D029" w:rsidR="004124A2" w:rsidRDefault="00814902" w:rsidP="00387FFC">
      <w:pPr>
        <w:jc w:val="both"/>
        <w:rPr>
          <w:noProof/>
        </w:rPr>
      </w:pPr>
      <w:r>
        <w:rPr>
          <w:noProof/>
        </w:rPr>
        <w:t>Les services de la Commission suivront la mise en œuvre de ces initiatives au moyen d’un ensemble d’indicateurs (par exemple, le nombre d’opérateurs sur les plateformes de services numériques de mobilité multimodale indispensables, l’augmentation de la satisfaction des consommateurs) qui mesureront les progrès accomplis dans la réalisation des objectifs. Au moins cinq ans après la date de mise en œuvre, les services de la Commission devraient procéder à une évaluation.</w:t>
      </w:r>
    </w:p>
    <w:sectPr w:rsidR="004124A2" w:rsidSect="000E5A0F">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418" w:header="709" w:footer="709"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8E678" w14:textId="77777777" w:rsidR="006C46A5" w:rsidRDefault="006C46A5" w:rsidP="004922E4">
      <w:r>
        <w:separator/>
      </w:r>
    </w:p>
  </w:endnote>
  <w:endnote w:type="continuationSeparator" w:id="0">
    <w:p w14:paraId="0A8DD090" w14:textId="77777777" w:rsidR="006C46A5" w:rsidRDefault="006C46A5" w:rsidP="00492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9E63F" w14:textId="2258909A" w:rsidR="000D14BA" w:rsidRPr="000D14BA" w:rsidRDefault="000D14BA" w:rsidP="000D14BA">
    <w:pPr>
      <w:pStyle w:val="FooterCoverPage"/>
      <w:rPr>
        <w:rFonts w:ascii="Arial" w:hAnsi="Arial" w:cs="Arial"/>
        <w:b/>
        <w:sz w:val="48"/>
      </w:rPr>
    </w:pPr>
    <w:r w:rsidRPr="000D14BA">
      <w:rPr>
        <w:rFonts w:ascii="Arial" w:hAnsi="Arial" w:cs="Arial"/>
        <w:b/>
        <w:sz w:val="48"/>
      </w:rPr>
      <w:t>FR</w:t>
    </w:r>
    <w:r w:rsidRPr="000D14BA">
      <w:rPr>
        <w:rFonts w:ascii="Arial" w:hAnsi="Arial" w:cs="Arial"/>
        <w:b/>
        <w:sz w:val="48"/>
      </w:rPr>
      <w:tab/>
    </w:r>
    <w:r w:rsidRPr="000D14BA">
      <w:rPr>
        <w:rFonts w:ascii="Arial" w:hAnsi="Arial" w:cs="Arial"/>
        <w:b/>
        <w:sz w:val="48"/>
      </w:rPr>
      <w:tab/>
    </w:r>
    <w:r w:rsidRPr="000D14BA">
      <w:tab/>
    </w:r>
    <w:r w:rsidRPr="000D14B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81366" w14:textId="6C1B7247" w:rsidR="000D14BA" w:rsidRPr="000D14BA" w:rsidRDefault="000D14BA" w:rsidP="000D14BA">
    <w:pPr>
      <w:pStyle w:val="FooterCoverPage"/>
      <w:rPr>
        <w:rFonts w:ascii="Arial" w:hAnsi="Arial" w:cs="Arial"/>
        <w:b/>
        <w:sz w:val="48"/>
      </w:rPr>
    </w:pPr>
    <w:r w:rsidRPr="000D14BA">
      <w:rPr>
        <w:rFonts w:ascii="Arial" w:hAnsi="Arial" w:cs="Arial"/>
        <w:b/>
        <w:sz w:val="48"/>
      </w:rPr>
      <w:t>FR</w:t>
    </w:r>
    <w:r w:rsidRPr="000D14BA">
      <w:rPr>
        <w:rFonts w:ascii="Arial" w:hAnsi="Arial" w:cs="Arial"/>
        <w:b/>
        <w:sz w:val="48"/>
      </w:rPr>
      <w:tab/>
    </w:r>
    <w:r w:rsidRPr="000D14BA">
      <w:rPr>
        <w:rFonts w:ascii="Arial" w:hAnsi="Arial" w:cs="Arial"/>
        <w:b/>
        <w:sz w:val="48"/>
      </w:rPr>
      <w:tab/>
    </w:r>
    <w:r w:rsidRPr="000D14BA">
      <w:tab/>
    </w:r>
    <w:r w:rsidRPr="000D14B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06797" w14:textId="77777777" w:rsidR="000D14BA" w:rsidRPr="000D14BA" w:rsidRDefault="000D14BA" w:rsidP="000D14B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48C18" w14:textId="77777777" w:rsidR="000E5A0F" w:rsidRDefault="000E5A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775996"/>
      <w:docPartObj>
        <w:docPartGallery w:val="Page Numbers (Bottom of Page)"/>
        <w:docPartUnique/>
      </w:docPartObj>
    </w:sdtPr>
    <w:sdtEndPr>
      <w:rPr>
        <w:noProof/>
      </w:rPr>
    </w:sdtEndPr>
    <w:sdtContent>
      <w:p w14:paraId="2EE78D4A" w14:textId="5B01312A" w:rsidR="000E5A0F" w:rsidRDefault="000E5A0F" w:rsidP="0027466B">
        <w:pPr>
          <w:pStyle w:val="Footer"/>
          <w:jc w:val="center"/>
        </w:pPr>
        <w:r>
          <w:fldChar w:fldCharType="begin"/>
        </w:r>
        <w:r>
          <w:instrText xml:space="preserve"> PAGE   \* MERGEFORMAT </w:instrText>
        </w:r>
        <w:r>
          <w:fldChar w:fldCharType="separate"/>
        </w:r>
        <w:r w:rsidR="000D14BA">
          <w:rPr>
            <w:noProof/>
          </w:rP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0DF83" w14:textId="77777777" w:rsidR="000E5A0F" w:rsidRDefault="000E5A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15EA2" w14:textId="77777777" w:rsidR="006C46A5" w:rsidRDefault="006C46A5" w:rsidP="004922E4">
      <w:r>
        <w:separator/>
      </w:r>
    </w:p>
  </w:footnote>
  <w:footnote w:type="continuationSeparator" w:id="0">
    <w:p w14:paraId="20A45C93" w14:textId="77777777" w:rsidR="006C46A5" w:rsidRDefault="006C46A5" w:rsidP="004922E4">
      <w:r>
        <w:continuationSeparator/>
      </w:r>
    </w:p>
  </w:footnote>
  <w:footnote w:id="1">
    <w:p w14:paraId="5D6BD301" w14:textId="77777777" w:rsidR="00F146BE" w:rsidRPr="007A05AC" w:rsidRDefault="00F146BE" w:rsidP="00F146BE">
      <w:pPr>
        <w:ind w:right="115"/>
        <w:jc w:val="both"/>
        <w:rPr>
          <w:sz w:val="20"/>
          <w:szCs w:val="20"/>
        </w:rPr>
      </w:pPr>
      <w:r>
        <w:rPr>
          <w:rStyle w:val="FootnoteReference"/>
          <w:rFonts w:eastAsiaTheme="majorEastAsia"/>
          <w:sz w:val="20"/>
          <w:szCs w:val="20"/>
        </w:rPr>
        <w:footnoteRef/>
      </w:r>
      <w:r>
        <w:rPr>
          <w:sz w:val="20"/>
        </w:rPr>
        <w:t xml:space="preserve"> Le choix de l’Europe: orientations politiques pour la prochaine Commission européenne 2024-2029: «</w:t>
      </w:r>
      <w:r>
        <w:rPr>
          <w:i/>
          <w:sz w:val="20"/>
        </w:rPr>
        <w:t>Le transport ferroviaire transfrontière reste trop compliqué pour de nombreux citoyens. Les citoyens devraient pouvoir utiliser des systèmes de réservation ouverts pour acheter des voyages transeuropéens auprès de plusieurs prestataires, sans perdre leur droit à un remboursement ou à un dédommagement sous forme de voyage. À cette fin, nous proposerons un règlement prévoyant un système unique de réservation et de billetterie numérique, afin que les Européens puissent acheter un billet unique sur une plateforme unique et bénéficier, pour l’ensemble de leur voyage, des droits accordés aux passagers</w:t>
      </w:r>
      <w:r>
        <w:rPr>
          <w:sz w:val="20"/>
        </w:rPr>
        <w:t>».</w:t>
      </w:r>
    </w:p>
  </w:footnote>
  <w:footnote w:id="2">
    <w:p w14:paraId="28517958" w14:textId="77777777" w:rsidR="00910FB9" w:rsidRPr="00F35D3D" w:rsidRDefault="00910FB9" w:rsidP="00954971">
      <w:pPr>
        <w:pStyle w:val="FootnoteText"/>
        <w:jc w:val="both"/>
      </w:pPr>
      <w:r>
        <w:rPr>
          <w:rStyle w:val="FootnoteReference"/>
        </w:rPr>
        <w:footnoteRef/>
      </w:r>
      <w:r>
        <w:t xml:space="preserve"> Les plateformes fournissant des informations sur la circulation et les déplacements (par exemple, les horaires, les tarifs et la disponibilité des services) et permettant la distribution de billets, directement ou par le biais d’une redirection automatique, pour deux opérateurs de transport ou plus, opérant dans un ou plusieurs modes de transport. Il s’agit notamment des systèmes informatisés de réservation (SIR), qui font actuellement l’objet d’un code de conduite qui sera abrogé et remplacé par l’inclusion des dispositions pertinentes dans la présente initiative.</w:t>
      </w:r>
    </w:p>
  </w:footnote>
  <w:footnote w:id="3">
    <w:p w14:paraId="52C41ADC" w14:textId="5537C0D2" w:rsidR="00896200" w:rsidRPr="00896200" w:rsidRDefault="00896200">
      <w:pPr>
        <w:pStyle w:val="FootnoteText"/>
      </w:pPr>
      <w:r>
        <w:rPr>
          <w:rStyle w:val="FootnoteReference"/>
        </w:rPr>
        <w:footnoteRef/>
      </w:r>
      <w:r>
        <w:t xml:space="preserve"> COM/2020/789 final</w:t>
      </w:r>
    </w:p>
  </w:footnote>
  <w:footnote w:id="4">
    <w:p w14:paraId="3EB7CF54" w14:textId="74800B08" w:rsidR="00CF0BE1" w:rsidRPr="00741470" w:rsidRDefault="00CF0BE1" w:rsidP="00CF0BE1">
      <w:pPr>
        <w:pStyle w:val="FootnoteText"/>
      </w:pPr>
      <w:r>
        <w:rPr>
          <w:rStyle w:val="FootnoteReference"/>
        </w:rPr>
        <w:footnoteRef/>
      </w:r>
      <w:r>
        <w:t xml:space="preserve"> Les entreprises ferroviaires qui exploitent: 1) les services fournis dans le cadre d’une option stratégique; 2) les services transfrontières; ou 3) plus de 50 % du total des services ferroviaires dans un État membre. </w:t>
      </w:r>
    </w:p>
  </w:footnote>
  <w:footnote w:id="5">
    <w:p w14:paraId="0C8DD00A" w14:textId="0D135F9C" w:rsidR="00ED3CDF" w:rsidRPr="0052049C" w:rsidRDefault="00ED3CDF">
      <w:pPr>
        <w:pStyle w:val="FootnoteText"/>
      </w:pPr>
      <w:r>
        <w:rPr>
          <w:rStyle w:val="FootnoteReference"/>
        </w:rPr>
        <w:footnoteRef/>
      </w:r>
      <w:r>
        <w:t xml:space="preserve"> Les plateformes indépendantes qui en bénéficient détiennent actuellement une part de marché estimée à 3 % dans la distribution des billets de train.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1E3EF" w14:textId="77777777" w:rsidR="000D14BA" w:rsidRPr="000D14BA" w:rsidRDefault="000D14BA" w:rsidP="000D14B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153EC" w14:textId="77777777" w:rsidR="000D14BA" w:rsidRPr="000D14BA" w:rsidRDefault="000D14BA" w:rsidP="000D14B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CA535" w14:textId="77777777" w:rsidR="000D14BA" w:rsidRPr="000D14BA" w:rsidRDefault="000D14BA" w:rsidP="000D14B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EC7B6" w14:textId="77777777" w:rsidR="000E5A0F" w:rsidRDefault="000E5A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3C889" w14:textId="77777777" w:rsidR="000E5A0F" w:rsidRDefault="000E5A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92749" w14:textId="77777777" w:rsidR="000E5A0F" w:rsidRDefault="000E5A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16455"/>
    <w:multiLevelType w:val="hybridMultilevel"/>
    <w:tmpl w:val="69F2048A"/>
    <w:lvl w:ilvl="0" w:tplc="9594FBAC">
      <w:start w:val="1"/>
      <w:numFmt w:val="decimal"/>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6BA32153"/>
    <w:multiLevelType w:val="hybridMultilevel"/>
    <w:tmpl w:val="98D00282"/>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3734261"/>
    <w:multiLevelType w:val="hybridMultilevel"/>
    <w:tmpl w:val="86AE65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6EB6AD4"/>
    <w:multiLevelType w:val="hybridMultilevel"/>
    <w:tmpl w:val="7B108414"/>
    <w:lvl w:ilvl="0" w:tplc="18090011">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7DFA35D4"/>
    <w:multiLevelType w:val="hybridMultilevel"/>
    <w:tmpl w:val="7C7055EE"/>
    <w:lvl w:ilvl="0" w:tplc="18090001">
      <w:start w:val="1"/>
      <w:numFmt w:val="bullet"/>
      <w:lvlText w:val=""/>
      <w:lvlJc w:val="left"/>
      <w:pPr>
        <w:ind w:left="788" w:hanging="360"/>
      </w:pPr>
      <w:rPr>
        <w:rFonts w:ascii="Symbol" w:hAnsi="Symbol" w:hint="default"/>
      </w:rPr>
    </w:lvl>
    <w:lvl w:ilvl="1" w:tplc="18090003" w:tentative="1">
      <w:start w:val="1"/>
      <w:numFmt w:val="bullet"/>
      <w:lvlText w:val="o"/>
      <w:lvlJc w:val="left"/>
      <w:pPr>
        <w:ind w:left="1508" w:hanging="360"/>
      </w:pPr>
      <w:rPr>
        <w:rFonts w:ascii="Courier New" w:hAnsi="Courier New" w:cs="Courier New" w:hint="default"/>
      </w:rPr>
    </w:lvl>
    <w:lvl w:ilvl="2" w:tplc="18090005" w:tentative="1">
      <w:start w:val="1"/>
      <w:numFmt w:val="bullet"/>
      <w:lvlText w:val=""/>
      <w:lvlJc w:val="left"/>
      <w:pPr>
        <w:ind w:left="2228" w:hanging="360"/>
      </w:pPr>
      <w:rPr>
        <w:rFonts w:ascii="Wingdings" w:hAnsi="Wingdings" w:hint="default"/>
      </w:rPr>
    </w:lvl>
    <w:lvl w:ilvl="3" w:tplc="18090001" w:tentative="1">
      <w:start w:val="1"/>
      <w:numFmt w:val="bullet"/>
      <w:lvlText w:val=""/>
      <w:lvlJc w:val="left"/>
      <w:pPr>
        <w:ind w:left="2948" w:hanging="360"/>
      </w:pPr>
      <w:rPr>
        <w:rFonts w:ascii="Symbol" w:hAnsi="Symbol" w:hint="default"/>
      </w:rPr>
    </w:lvl>
    <w:lvl w:ilvl="4" w:tplc="18090003" w:tentative="1">
      <w:start w:val="1"/>
      <w:numFmt w:val="bullet"/>
      <w:lvlText w:val="o"/>
      <w:lvlJc w:val="left"/>
      <w:pPr>
        <w:ind w:left="3668" w:hanging="360"/>
      </w:pPr>
      <w:rPr>
        <w:rFonts w:ascii="Courier New" w:hAnsi="Courier New" w:cs="Courier New" w:hint="default"/>
      </w:rPr>
    </w:lvl>
    <w:lvl w:ilvl="5" w:tplc="18090005" w:tentative="1">
      <w:start w:val="1"/>
      <w:numFmt w:val="bullet"/>
      <w:lvlText w:val=""/>
      <w:lvlJc w:val="left"/>
      <w:pPr>
        <w:ind w:left="4388" w:hanging="360"/>
      </w:pPr>
      <w:rPr>
        <w:rFonts w:ascii="Wingdings" w:hAnsi="Wingdings" w:hint="default"/>
      </w:rPr>
    </w:lvl>
    <w:lvl w:ilvl="6" w:tplc="18090001" w:tentative="1">
      <w:start w:val="1"/>
      <w:numFmt w:val="bullet"/>
      <w:lvlText w:val=""/>
      <w:lvlJc w:val="left"/>
      <w:pPr>
        <w:ind w:left="5108" w:hanging="360"/>
      </w:pPr>
      <w:rPr>
        <w:rFonts w:ascii="Symbol" w:hAnsi="Symbol" w:hint="default"/>
      </w:rPr>
    </w:lvl>
    <w:lvl w:ilvl="7" w:tplc="18090003" w:tentative="1">
      <w:start w:val="1"/>
      <w:numFmt w:val="bullet"/>
      <w:lvlText w:val="o"/>
      <w:lvlJc w:val="left"/>
      <w:pPr>
        <w:ind w:left="5828" w:hanging="360"/>
      </w:pPr>
      <w:rPr>
        <w:rFonts w:ascii="Courier New" w:hAnsi="Courier New" w:cs="Courier New" w:hint="default"/>
      </w:rPr>
    </w:lvl>
    <w:lvl w:ilvl="8" w:tplc="18090005" w:tentative="1">
      <w:start w:val="1"/>
      <w:numFmt w:val="bullet"/>
      <w:lvlText w:val=""/>
      <w:lvlJc w:val="left"/>
      <w:pPr>
        <w:ind w:left="6548"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ACCOMPAGNANT.CP" w:val="accompagnant les documents:"/>
    <w:docVar w:name="LW_CORRIGENDUM" w:val="&lt;UNUSED&gt;"/>
    <w:docVar w:name="LW_COVERPAGE_EXISTS" w:val="True"/>
    <w:docVar w:name="LW_COVERPAGE_GUID" w:val="C9951CD5-8FF5-4F6E-8D71-F8647FE2F157"/>
    <w:docVar w:name="LW_COVERPAGE_TYPE" w:val="1"/>
    <w:docVar w:name="LW_CROSSREFERENCE" w:val="{COM(2026) 231 final} - {COM(2026) 232 final} - {SEC(2026) 300 final} - {SWD(2026) 300 final}"/>
    <w:docVar w:name="LW_DocType" w:val="NORMAL"/>
    <w:docVar w:name="LW_EMISSION" w:val="13.5.2026"/>
    <w:docVar w:name="LW_EMISSION_ISODATE" w:val="2026-05-13"/>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relatifs à la réservation multimodale et à la billetterie ferroviaire"/>
    <w:docVar w:name="LW_PART_NBR" w:val="1"/>
    <w:docVar w:name="LW_PART_NBR_TOTAL" w:val="1"/>
    <w:docVar w:name="LW_REF.INST.NEW" w:val="SWD"/>
    <w:docVar w:name="LW_REF.INST.NEW_ADOPTED" w:val="final"/>
    <w:docVar w:name="LW_REF.INST.NEW_TEXT" w:val="(2026) 3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s de règlements du Parlement européen et du Conseil"/>
    <w:docVar w:name="LwApiVersions" w:val="LW4CoDe 1.24.5.0; LW 9.2, Build 20251112"/>
  </w:docVars>
  <w:rsids>
    <w:rsidRoot w:val="000E5A0F"/>
    <w:rsid w:val="00000292"/>
    <w:rsid w:val="00000942"/>
    <w:rsid w:val="00000AC5"/>
    <w:rsid w:val="000014F8"/>
    <w:rsid w:val="00002A6C"/>
    <w:rsid w:val="00002E99"/>
    <w:rsid w:val="00003336"/>
    <w:rsid w:val="00003523"/>
    <w:rsid w:val="00004746"/>
    <w:rsid w:val="00004D85"/>
    <w:rsid w:val="00004FD7"/>
    <w:rsid w:val="00005654"/>
    <w:rsid w:val="00006C57"/>
    <w:rsid w:val="000073BE"/>
    <w:rsid w:val="00007A5D"/>
    <w:rsid w:val="00007EDC"/>
    <w:rsid w:val="00010120"/>
    <w:rsid w:val="00010FAE"/>
    <w:rsid w:val="000113E6"/>
    <w:rsid w:val="000128DF"/>
    <w:rsid w:val="000130B2"/>
    <w:rsid w:val="000136FA"/>
    <w:rsid w:val="000137D5"/>
    <w:rsid w:val="0001464D"/>
    <w:rsid w:val="00014EE6"/>
    <w:rsid w:val="00015169"/>
    <w:rsid w:val="00015AAB"/>
    <w:rsid w:val="000170F4"/>
    <w:rsid w:val="000173F3"/>
    <w:rsid w:val="0001773B"/>
    <w:rsid w:val="00020A43"/>
    <w:rsid w:val="000219D9"/>
    <w:rsid w:val="00021E07"/>
    <w:rsid w:val="0002218B"/>
    <w:rsid w:val="000221C2"/>
    <w:rsid w:val="0002222B"/>
    <w:rsid w:val="00022704"/>
    <w:rsid w:val="00022933"/>
    <w:rsid w:val="00022DBA"/>
    <w:rsid w:val="0002389D"/>
    <w:rsid w:val="00023A5C"/>
    <w:rsid w:val="00023CE8"/>
    <w:rsid w:val="00023D58"/>
    <w:rsid w:val="00023EF6"/>
    <w:rsid w:val="00024047"/>
    <w:rsid w:val="00024545"/>
    <w:rsid w:val="00024DBD"/>
    <w:rsid w:val="00025CFE"/>
    <w:rsid w:val="00025D12"/>
    <w:rsid w:val="0002647F"/>
    <w:rsid w:val="00026D47"/>
    <w:rsid w:val="000275C8"/>
    <w:rsid w:val="0003003C"/>
    <w:rsid w:val="00031715"/>
    <w:rsid w:val="00031BA6"/>
    <w:rsid w:val="000338B5"/>
    <w:rsid w:val="000343E1"/>
    <w:rsid w:val="00034852"/>
    <w:rsid w:val="00034C61"/>
    <w:rsid w:val="00035D21"/>
    <w:rsid w:val="00036159"/>
    <w:rsid w:val="00036559"/>
    <w:rsid w:val="00036758"/>
    <w:rsid w:val="00037042"/>
    <w:rsid w:val="00037815"/>
    <w:rsid w:val="00037A5B"/>
    <w:rsid w:val="0004028D"/>
    <w:rsid w:val="0004076C"/>
    <w:rsid w:val="00041967"/>
    <w:rsid w:val="00042514"/>
    <w:rsid w:val="00042DD2"/>
    <w:rsid w:val="00044180"/>
    <w:rsid w:val="000450E4"/>
    <w:rsid w:val="000452EF"/>
    <w:rsid w:val="00045563"/>
    <w:rsid w:val="00045E92"/>
    <w:rsid w:val="00046871"/>
    <w:rsid w:val="00047D24"/>
    <w:rsid w:val="0005072E"/>
    <w:rsid w:val="000507E4"/>
    <w:rsid w:val="00050F10"/>
    <w:rsid w:val="000510E4"/>
    <w:rsid w:val="00051D25"/>
    <w:rsid w:val="0005285A"/>
    <w:rsid w:val="00052B58"/>
    <w:rsid w:val="00052F1A"/>
    <w:rsid w:val="00053FA3"/>
    <w:rsid w:val="000544FA"/>
    <w:rsid w:val="00056471"/>
    <w:rsid w:val="00057AC6"/>
    <w:rsid w:val="00057F00"/>
    <w:rsid w:val="00057FCE"/>
    <w:rsid w:val="000602D4"/>
    <w:rsid w:val="00060451"/>
    <w:rsid w:val="0006077D"/>
    <w:rsid w:val="00061964"/>
    <w:rsid w:val="00061E7D"/>
    <w:rsid w:val="00062D18"/>
    <w:rsid w:val="00063127"/>
    <w:rsid w:val="00063290"/>
    <w:rsid w:val="00063E29"/>
    <w:rsid w:val="00064965"/>
    <w:rsid w:val="00064B87"/>
    <w:rsid w:val="00064FD3"/>
    <w:rsid w:val="0006577A"/>
    <w:rsid w:val="0006641A"/>
    <w:rsid w:val="0006672A"/>
    <w:rsid w:val="00066A9D"/>
    <w:rsid w:val="0006705B"/>
    <w:rsid w:val="000671A9"/>
    <w:rsid w:val="00067D10"/>
    <w:rsid w:val="00067D37"/>
    <w:rsid w:val="000709B7"/>
    <w:rsid w:val="00070B85"/>
    <w:rsid w:val="00070F3D"/>
    <w:rsid w:val="00071694"/>
    <w:rsid w:val="00071C54"/>
    <w:rsid w:val="00072A86"/>
    <w:rsid w:val="0007382D"/>
    <w:rsid w:val="00073C9E"/>
    <w:rsid w:val="00074143"/>
    <w:rsid w:val="0007428C"/>
    <w:rsid w:val="0007483B"/>
    <w:rsid w:val="0007543B"/>
    <w:rsid w:val="00075570"/>
    <w:rsid w:val="00076143"/>
    <w:rsid w:val="0007655B"/>
    <w:rsid w:val="00076765"/>
    <w:rsid w:val="00076A63"/>
    <w:rsid w:val="00076BA7"/>
    <w:rsid w:val="00077BC9"/>
    <w:rsid w:val="00077F3B"/>
    <w:rsid w:val="00081BBF"/>
    <w:rsid w:val="00081EC9"/>
    <w:rsid w:val="00082237"/>
    <w:rsid w:val="000823FC"/>
    <w:rsid w:val="00084858"/>
    <w:rsid w:val="0008500C"/>
    <w:rsid w:val="0008615D"/>
    <w:rsid w:val="000863B5"/>
    <w:rsid w:val="00086512"/>
    <w:rsid w:val="00086568"/>
    <w:rsid w:val="00086DAE"/>
    <w:rsid w:val="000871EA"/>
    <w:rsid w:val="00087AE2"/>
    <w:rsid w:val="000907DE"/>
    <w:rsid w:val="0009094F"/>
    <w:rsid w:val="000909A0"/>
    <w:rsid w:val="00090A61"/>
    <w:rsid w:val="00090D1E"/>
    <w:rsid w:val="00093FE0"/>
    <w:rsid w:val="00094193"/>
    <w:rsid w:val="00094A38"/>
    <w:rsid w:val="00094F99"/>
    <w:rsid w:val="00095295"/>
    <w:rsid w:val="000964C1"/>
    <w:rsid w:val="00096EAD"/>
    <w:rsid w:val="000A085B"/>
    <w:rsid w:val="000A1845"/>
    <w:rsid w:val="000A22CF"/>
    <w:rsid w:val="000A2C47"/>
    <w:rsid w:val="000A3FB8"/>
    <w:rsid w:val="000A4152"/>
    <w:rsid w:val="000A46F9"/>
    <w:rsid w:val="000A4D2B"/>
    <w:rsid w:val="000A5256"/>
    <w:rsid w:val="000A58E2"/>
    <w:rsid w:val="000A5971"/>
    <w:rsid w:val="000A5DF4"/>
    <w:rsid w:val="000A6507"/>
    <w:rsid w:val="000A6F37"/>
    <w:rsid w:val="000A79DF"/>
    <w:rsid w:val="000B006F"/>
    <w:rsid w:val="000B0DC8"/>
    <w:rsid w:val="000B171C"/>
    <w:rsid w:val="000B18D0"/>
    <w:rsid w:val="000B1D7D"/>
    <w:rsid w:val="000B2CB6"/>
    <w:rsid w:val="000B30EA"/>
    <w:rsid w:val="000B35C8"/>
    <w:rsid w:val="000B38AC"/>
    <w:rsid w:val="000B3991"/>
    <w:rsid w:val="000B3DBE"/>
    <w:rsid w:val="000B4A34"/>
    <w:rsid w:val="000B4E3A"/>
    <w:rsid w:val="000B5053"/>
    <w:rsid w:val="000B5918"/>
    <w:rsid w:val="000B592A"/>
    <w:rsid w:val="000B6941"/>
    <w:rsid w:val="000B71EE"/>
    <w:rsid w:val="000B75AA"/>
    <w:rsid w:val="000C0BEA"/>
    <w:rsid w:val="000C0DA3"/>
    <w:rsid w:val="000C0ED6"/>
    <w:rsid w:val="000C103B"/>
    <w:rsid w:val="000C3817"/>
    <w:rsid w:val="000C4167"/>
    <w:rsid w:val="000C4634"/>
    <w:rsid w:val="000C5875"/>
    <w:rsid w:val="000C59AC"/>
    <w:rsid w:val="000C5C70"/>
    <w:rsid w:val="000C6269"/>
    <w:rsid w:val="000C678E"/>
    <w:rsid w:val="000C6909"/>
    <w:rsid w:val="000C6C0C"/>
    <w:rsid w:val="000C6DF3"/>
    <w:rsid w:val="000C7B75"/>
    <w:rsid w:val="000D0740"/>
    <w:rsid w:val="000D09DB"/>
    <w:rsid w:val="000D14BA"/>
    <w:rsid w:val="000D1AF5"/>
    <w:rsid w:val="000D2169"/>
    <w:rsid w:val="000D2B73"/>
    <w:rsid w:val="000D310A"/>
    <w:rsid w:val="000D3192"/>
    <w:rsid w:val="000D3561"/>
    <w:rsid w:val="000D370C"/>
    <w:rsid w:val="000D3ACE"/>
    <w:rsid w:val="000D3C4B"/>
    <w:rsid w:val="000D404B"/>
    <w:rsid w:val="000D4E0D"/>
    <w:rsid w:val="000D50D9"/>
    <w:rsid w:val="000D5430"/>
    <w:rsid w:val="000D57B8"/>
    <w:rsid w:val="000D60C6"/>
    <w:rsid w:val="000D7013"/>
    <w:rsid w:val="000D74A7"/>
    <w:rsid w:val="000D75DE"/>
    <w:rsid w:val="000D793B"/>
    <w:rsid w:val="000D7FBE"/>
    <w:rsid w:val="000E0168"/>
    <w:rsid w:val="000E0373"/>
    <w:rsid w:val="000E03D3"/>
    <w:rsid w:val="000E2D70"/>
    <w:rsid w:val="000E315F"/>
    <w:rsid w:val="000E3233"/>
    <w:rsid w:val="000E32A2"/>
    <w:rsid w:val="000E43AF"/>
    <w:rsid w:val="000E4F05"/>
    <w:rsid w:val="000E5A0F"/>
    <w:rsid w:val="000E5C7D"/>
    <w:rsid w:val="000E6C66"/>
    <w:rsid w:val="000E6F66"/>
    <w:rsid w:val="000E74A5"/>
    <w:rsid w:val="000E74A8"/>
    <w:rsid w:val="000F02AB"/>
    <w:rsid w:val="000F217B"/>
    <w:rsid w:val="000F2188"/>
    <w:rsid w:val="000F2EA7"/>
    <w:rsid w:val="000F31E7"/>
    <w:rsid w:val="000F3418"/>
    <w:rsid w:val="000F3A59"/>
    <w:rsid w:val="000F3F97"/>
    <w:rsid w:val="000F465D"/>
    <w:rsid w:val="000F4963"/>
    <w:rsid w:val="000F4A2D"/>
    <w:rsid w:val="000F5A38"/>
    <w:rsid w:val="000F6B40"/>
    <w:rsid w:val="000F72E0"/>
    <w:rsid w:val="0010009C"/>
    <w:rsid w:val="001001F4"/>
    <w:rsid w:val="0010031C"/>
    <w:rsid w:val="001005EF"/>
    <w:rsid w:val="00100840"/>
    <w:rsid w:val="0010091F"/>
    <w:rsid w:val="00100B20"/>
    <w:rsid w:val="00100C2F"/>
    <w:rsid w:val="001012D6"/>
    <w:rsid w:val="00101D8C"/>
    <w:rsid w:val="00101EAD"/>
    <w:rsid w:val="001029A1"/>
    <w:rsid w:val="00102E96"/>
    <w:rsid w:val="0010475D"/>
    <w:rsid w:val="00104DA4"/>
    <w:rsid w:val="0010562F"/>
    <w:rsid w:val="00105C2A"/>
    <w:rsid w:val="001068D7"/>
    <w:rsid w:val="00107B35"/>
    <w:rsid w:val="0011008B"/>
    <w:rsid w:val="001111D0"/>
    <w:rsid w:val="0011121B"/>
    <w:rsid w:val="00112063"/>
    <w:rsid w:val="0011294C"/>
    <w:rsid w:val="00112EE3"/>
    <w:rsid w:val="00113898"/>
    <w:rsid w:val="001141F1"/>
    <w:rsid w:val="00114672"/>
    <w:rsid w:val="00114A4F"/>
    <w:rsid w:val="00115607"/>
    <w:rsid w:val="0011569F"/>
    <w:rsid w:val="0011588A"/>
    <w:rsid w:val="00116A0E"/>
    <w:rsid w:val="00117187"/>
    <w:rsid w:val="0011782E"/>
    <w:rsid w:val="0011784B"/>
    <w:rsid w:val="001179DD"/>
    <w:rsid w:val="00117B39"/>
    <w:rsid w:val="00117E93"/>
    <w:rsid w:val="00120A98"/>
    <w:rsid w:val="001210DF"/>
    <w:rsid w:val="0012221D"/>
    <w:rsid w:val="00122855"/>
    <w:rsid w:val="001228B6"/>
    <w:rsid w:val="001237FC"/>
    <w:rsid w:val="001239FC"/>
    <w:rsid w:val="00123D31"/>
    <w:rsid w:val="0012409C"/>
    <w:rsid w:val="0012438B"/>
    <w:rsid w:val="00124455"/>
    <w:rsid w:val="00124703"/>
    <w:rsid w:val="00124781"/>
    <w:rsid w:val="00124966"/>
    <w:rsid w:val="00124EC3"/>
    <w:rsid w:val="00125D51"/>
    <w:rsid w:val="00126263"/>
    <w:rsid w:val="001263AF"/>
    <w:rsid w:val="001264F5"/>
    <w:rsid w:val="00126CF8"/>
    <w:rsid w:val="00127959"/>
    <w:rsid w:val="00127C24"/>
    <w:rsid w:val="00127D82"/>
    <w:rsid w:val="00130809"/>
    <w:rsid w:val="001311C2"/>
    <w:rsid w:val="0013197A"/>
    <w:rsid w:val="00131A5D"/>
    <w:rsid w:val="00131D94"/>
    <w:rsid w:val="00131ED0"/>
    <w:rsid w:val="001323E7"/>
    <w:rsid w:val="00132A9A"/>
    <w:rsid w:val="00133376"/>
    <w:rsid w:val="00133A3F"/>
    <w:rsid w:val="00133D81"/>
    <w:rsid w:val="00133EFA"/>
    <w:rsid w:val="001343E1"/>
    <w:rsid w:val="00134966"/>
    <w:rsid w:val="00135553"/>
    <w:rsid w:val="00135683"/>
    <w:rsid w:val="00135C10"/>
    <w:rsid w:val="00137FD3"/>
    <w:rsid w:val="00141B2D"/>
    <w:rsid w:val="001429AE"/>
    <w:rsid w:val="001435BE"/>
    <w:rsid w:val="001436F2"/>
    <w:rsid w:val="00144018"/>
    <w:rsid w:val="0014452D"/>
    <w:rsid w:val="0014454C"/>
    <w:rsid w:val="00144C44"/>
    <w:rsid w:val="0014643F"/>
    <w:rsid w:val="001468FD"/>
    <w:rsid w:val="0014740D"/>
    <w:rsid w:val="00147AFE"/>
    <w:rsid w:val="00151F3F"/>
    <w:rsid w:val="00152002"/>
    <w:rsid w:val="001522F5"/>
    <w:rsid w:val="00152D1F"/>
    <w:rsid w:val="00152DBC"/>
    <w:rsid w:val="00152F9B"/>
    <w:rsid w:val="0015312E"/>
    <w:rsid w:val="001532E2"/>
    <w:rsid w:val="001535D4"/>
    <w:rsid w:val="00153C81"/>
    <w:rsid w:val="0015521D"/>
    <w:rsid w:val="00155C2F"/>
    <w:rsid w:val="00155C7E"/>
    <w:rsid w:val="00157549"/>
    <w:rsid w:val="00157BEF"/>
    <w:rsid w:val="00160111"/>
    <w:rsid w:val="0016106A"/>
    <w:rsid w:val="0016116E"/>
    <w:rsid w:val="00161185"/>
    <w:rsid w:val="00161265"/>
    <w:rsid w:val="00161444"/>
    <w:rsid w:val="00161952"/>
    <w:rsid w:val="00161CBB"/>
    <w:rsid w:val="001624C9"/>
    <w:rsid w:val="0016291D"/>
    <w:rsid w:val="00162AD5"/>
    <w:rsid w:val="001630D3"/>
    <w:rsid w:val="001632CB"/>
    <w:rsid w:val="00163591"/>
    <w:rsid w:val="0016363F"/>
    <w:rsid w:val="00164627"/>
    <w:rsid w:val="00165B57"/>
    <w:rsid w:val="00165CD9"/>
    <w:rsid w:val="00165D12"/>
    <w:rsid w:val="00166485"/>
    <w:rsid w:val="00166910"/>
    <w:rsid w:val="00166D50"/>
    <w:rsid w:val="001671AA"/>
    <w:rsid w:val="0016741B"/>
    <w:rsid w:val="00167A29"/>
    <w:rsid w:val="00170581"/>
    <w:rsid w:val="00171AE5"/>
    <w:rsid w:val="00171F04"/>
    <w:rsid w:val="00172075"/>
    <w:rsid w:val="0017323F"/>
    <w:rsid w:val="001745C9"/>
    <w:rsid w:val="0017483E"/>
    <w:rsid w:val="00174EDB"/>
    <w:rsid w:val="001755EC"/>
    <w:rsid w:val="001764EE"/>
    <w:rsid w:val="00177012"/>
    <w:rsid w:val="001778D9"/>
    <w:rsid w:val="00177971"/>
    <w:rsid w:val="00182CC0"/>
    <w:rsid w:val="00183135"/>
    <w:rsid w:val="001835D8"/>
    <w:rsid w:val="00183880"/>
    <w:rsid w:val="001839BD"/>
    <w:rsid w:val="001839D6"/>
    <w:rsid w:val="00183AD2"/>
    <w:rsid w:val="00184558"/>
    <w:rsid w:val="001849EB"/>
    <w:rsid w:val="00184DD5"/>
    <w:rsid w:val="001857D8"/>
    <w:rsid w:val="00186C1E"/>
    <w:rsid w:val="00187243"/>
    <w:rsid w:val="001872F6"/>
    <w:rsid w:val="0019093A"/>
    <w:rsid w:val="00191A80"/>
    <w:rsid w:val="00191EC5"/>
    <w:rsid w:val="00192A0E"/>
    <w:rsid w:val="00192FEB"/>
    <w:rsid w:val="0019481A"/>
    <w:rsid w:val="00194AA5"/>
    <w:rsid w:val="00195105"/>
    <w:rsid w:val="001952EE"/>
    <w:rsid w:val="00195C93"/>
    <w:rsid w:val="001965A1"/>
    <w:rsid w:val="00196BEE"/>
    <w:rsid w:val="00196E42"/>
    <w:rsid w:val="001A0207"/>
    <w:rsid w:val="001A0C77"/>
    <w:rsid w:val="001A0F85"/>
    <w:rsid w:val="001A1145"/>
    <w:rsid w:val="001A150C"/>
    <w:rsid w:val="001A3961"/>
    <w:rsid w:val="001A4EA0"/>
    <w:rsid w:val="001A5045"/>
    <w:rsid w:val="001A516D"/>
    <w:rsid w:val="001A59EE"/>
    <w:rsid w:val="001A60AD"/>
    <w:rsid w:val="001A6280"/>
    <w:rsid w:val="001A67DF"/>
    <w:rsid w:val="001A6CCD"/>
    <w:rsid w:val="001A6DFB"/>
    <w:rsid w:val="001A71B4"/>
    <w:rsid w:val="001B05E9"/>
    <w:rsid w:val="001B073B"/>
    <w:rsid w:val="001B12E8"/>
    <w:rsid w:val="001B1408"/>
    <w:rsid w:val="001B1567"/>
    <w:rsid w:val="001B1D82"/>
    <w:rsid w:val="001B1DE7"/>
    <w:rsid w:val="001B208D"/>
    <w:rsid w:val="001B2701"/>
    <w:rsid w:val="001B2ED7"/>
    <w:rsid w:val="001B38A9"/>
    <w:rsid w:val="001B4222"/>
    <w:rsid w:val="001B4B20"/>
    <w:rsid w:val="001B4FA6"/>
    <w:rsid w:val="001B6788"/>
    <w:rsid w:val="001B6D2B"/>
    <w:rsid w:val="001B7237"/>
    <w:rsid w:val="001B7B63"/>
    <w:rsid w:val="001B7F1A"/>
    <w:rsid w:val="001C041E"/>
    <w:rsid w:val="001C0933"/>
    <w:rsid w:val="001C0EA8"/>
    <w:rsid w:val="001C12F0"/>
    <w:rsid w:val="001C1ADE"/>
    <w:rsid w:val="001C3059"/>
    <w:rsid w:val="001C34C0"/>
    <w:rsid w:val="001C6782"/>
    <w:rsid w:val="001C678C"/>
    <w:rsid w:val="001C6998"/>
    <w:rsid w:val="001C69C1"/>
    <w:rsid w:val="001C6A14"/>
    <w:rsid w:val="001C7944"/>
    <w:rsid w:val="001C7B27"/>
    <w:rsid w:val="001D0141"/>
    <w:rsid w:val="001D09BB"/>
    <w:rsid w:val="001D09FC"/>
    <w:rsid w:val="001D0C65"/>
    <w:rsid w:val="001D107B"/>
    <w:rsid w:val="001D13EC"/>
    <w:rsid w:val="001D1C3F"/>
    <w:rsid w:val="001D1E4C"/>
    <w:rsid w:val="001D286C"/>
    <w:rsid w:val="001D2AF3"/>
    <w:rsid w:val="001D2DAB"/>
    <w:rsid w:val="001D4DA4"/>
    <w:rsid w:val="001D4F89"/>
    <w:rsid w:val="001D5021"/>
    <w:rsid w:val="001D6261"/>
    <w:rsid w:val="001D63B2"/>
    <w:rsid w:val="001D6CE4"/>
    <w:rsid w:val="001D7961"/>
    <w:rsid w:val="001E06DD"/>
    <w:rsid w:val="001E0790"/>
    <w:rsid w:val="001E09C8"/>
    <w:rsid w:val="001E0EA2"/>
    <w:rsid w:val="001E1178"/>
    <w:rsid w:val="001E1828"/>
    <w:rsid w:val="001E1C47"/>
    <w:rsid w:val="001E2765"/>
    <w:rsid w:val="001E2FF1"/>
    <w:rsid w:val="001E551D"/>
    <w:rsid w:val="001E6EFA"/>
    <w:rsid w:val="001E702B"/>
    <w:rsid w:val="001E73A0"/>
    <w:rsid w:val="001E7ED8"/>
    <w:rsid w:val="001F03E7"/>
    <w:rsid w:val="001F1445"/>
    <w:rsid w:val="001F1486"/>
    <w:rsid w:val="001F1A2F"/>
    <w:rsid w:val="001F1CEA"/>
    <w:rsid w:val="001F20F0"/>
    <w:rsid w:val="001F2366"/>
    <w:rsid w:val="001F23CC"/>
    <w:rsid w:val="001F2C8F"/>
    <w:rsid w:val="001F2F4D"/>
    <w:rsid w:val="001F319B"/>
    <w:rsid w:val="001F323B"/>
    <w:rsid w:val="001F335B"/>
    <w:rsid w:val="001F37C4"/>
    <w:rsid w:val="001F3A20"/>
    <w:rsid w:val="001F3BDE"/>
    <w:rsid w:val="001F3FEF"/>
    <w:rsid w:val="001F4ACD"/>
    <w:rsid w:val="001F5FA6"/>
    <w:rsid w:val="001F6013"/>
    <w:rsid w:val="001F6161"/>
    <w:rsid w:val="001F64B0"/>
    <w:rsid w:val="001F6B27"/>
    <w:rsid w:val="001F7DF9"/>
    <w:rsid w:val="001F7E6B"/>
    <w:rsid w:val="001F7F38"/>
    <w:rsid w:val="0020059C"/>
    <w:rsid w:val="00200856"/>
    <w:rsid w:val="00200913"/>
    <w:rsid w:val="0020099B"/>
    <w:rsid w:val="00200DB9"/>
    <w:rsid w:val="00201196"/>
    <w:rsid w:val="00201222"/>
    <w:rsid w:val="002012A0"/>
    <w:rsid w:val="002028B9"/>
    <w:rsid w:val="00202F91"/>
    <w:rsid w:val="0020448E"/>
    <w:rsid w:val="00204774"/>
    <w:rsid w:val="00204FFD"/>
    <w:rsid w:val="0020502D"/>
    <w:rsid w:val="0020502E"/>
    <w:rsid w:val="00205628"/>
    <w:rsid w:val="00205746"/>
    <w:rsid w:val="00205A33"/>
    <w:rsid w:val="00206E45"/>
    <w:rsid w:val="002074DF"/>
    <w:rsid w:val="00207800"/>
    <w:rsid w:val="0020793C"/>
    <w:rsid w:val="00207F9F"/>
    <w:rsid w:val="0021001F"/>
    <w:rsid w:val="00210687"/>
    <w:rsid w:val="0021110A"/>
    <w:rsid w:val="00211F64"/>
    <w:rsid w:val="002121E9"/>
    <w:rsid w:val="00212674"/>
    <w:rsid w:val="00212919"/>
    <w:rsid w:val="00212C18"/>
    <w:rsid w:val="0021304C"/>
    <w:rsid w:val="00213312"/>
    <w:rsid w:val="00214718"/>
    <w:rsid w:val="002150C1"/>
    <w:rsid w:val="00215765"/>
    <w:rsid w:val="002161E0"/>
    <w:rsid w:val="002161EC"/>
    <w:rsid w:val="00216CD9"/>
    <w:rsid w:val="0021731D"/>
    <w:rsid w:val="002173D9"/>
    <w:rsid w:val="00217BBB"/>
    <w:rsid w:val="00217FAD"/>
    <w:rsid w:val="00217FD9"/>
    <w:rsid w:val="00220347"/>
    <w:rsid w:val="00221337"/>
    <w:rsid w:val="00221D45"/>
    <w:rsid w:val="00221F4B"/>
    <w:rsid w:val="002230B7"/>
    <w:rsid w:val="0022321F"/>
    <w:rsid w:val="00223660"/>
    <w:rsid w:val="00223B9B"/>
    <w:rsid w:val="00224521"/>
    <w:rsid w:val="002246A9"/>
    <w:rsid w:val="00225655"/>
    <w:rsid w:val="002258AE"/>
    <w:rsid w:val="0022654F"/>
    <w:rsid w:val="00227222"/>
    <w:rsid w:val="00227C7D"/>
    <w:rsid w:val="00227D19"/>
    <w:rsid w:val="00230244"/>
    <w:rsid w:val="00230491"/>
    <w:rsid w:val="0023205A"/>
    <w:rsid w:val="00233483"/>
    <w:rsid w:val="002347C2"/>
    <w:rsid w:val="00234E6A"/>
    <w:rsid w:val="00235907"/>
    <w:rsid w:val="00236276"/>
    <w:rsid w:val="0023658B"/>
    <w:rsid w:val="002368CF"/>
    <w:rsid w:val="00236D46"/>
    <w:rsid w:val="002373C4"/>
    <w:rsid w:val="00237E28"/>
    <w:rsid w:val="00237E88"/>
    <w:rsid w:val="00240B37"/>
    <w:rsid w:val="00240C7F"/>
    <w:rsid w:val="00240F75"/>
    <w:rsid w:val="002412C2"/>
    <w:rsid w:val="002413D5"/>
    <w:rsid w:val="00241440"/>
    <w:rsid w:val="00241467"/>
    <w:rsid w:val="00241CF8"/>
    <w:rsid w:val="00242AA8"/>
    <w:rsid w:val="00243036"/>
    <w:rsid w:val="0024321E"/>
    <w:rsid w:val="002432D6"/>
    <w:rsid w:val="002434B0"/>
    <w:rsid w:val="002436EA"/>
    <w:rsid w:val="00243C93"/>
    <w:rsid w:val="002448B9"/>
    <w:rsid w:val="002451FE"/>
    <w:rsid w:val="002466EC"/>
    <w:rsid w:val="00247F4A"/>
    <w:rsid w:val="002500EC"/>
    <w:rsid w:val="0025033E"/>
    <w:rsid w:val="002515BF"/>
    <w:rsid w:val="00251948"/>
    <w:rsid w:val="0025232A"/>
    <w:rsid w:val="00252A2A"/>
    <w:rsid w:val="00252EC2"/>
    <w:rsid w:val="00253127"/>
    <w:rsid w:val="00253329"/>
    <w:rsid w:val="00253382"/>
    <w:rsid w:val="002533DE"/>
    <w:rsid w:val="002538E6"/>
    <w:rsid w:val="00254961"/>
    <w:rsid w:val="00254A63"/>
    <w:rsid w:val="002579ED"/>
    <w:rsid w:val="00257E22"/>
    <w:rsid w:val="00257E3E"/>
    <w:rsid w:val="00257EEE"/>
    <w:rsid w:val="0026099C"/>
    <w:rsid w:val="00260CDA"/>
    <w:rsid w:val="00260E96"/>
    <w:rsid w:val="00261099"/>
    <w:rsid w:val="00261496"/>
    <w:rsid w:val="002615FC"/>
    <w:rsid w:val="00261A25"/>
    <w:rsid w:val="00261A49"/>
    <w:rsid w:val="00261DBD"/>
    <w:rsid w:val="0026209E"/>
    <w:rsid w:val="0026239C"/>
    <w:rsid w:val="00262C19"/>
    <w:rsid w:val="00262CA6"/>
    <w:rsid w:val="00262D74"/>
    <w:rsid w:val="00262FE0"/>
    <w:rsid w:val="00263D30"/>
    <w:rsid w:val="00264142"/>
    <w:rsid w:val="00264CAA"/>
    <w:rsid w:val="0026517B"/>
    <w:rsid w:val="002653D0"/>
    <w:rsid w:val="00265436"/>
    <w:rsid w:val="00265AB5"/>
    <w:rsid w:val="0026654A"/>
    <w:rsid w:val="002666BE"/>
    <w:rsid w:val="00266A55"/>
    <w:rsid w:val="00266C3A"/>
    <w:rsid w:val="00266C8D"/>
    <w:rsid w:val="00267212"/>
    <w:rsid w:val="00267978"/>
    <w:rsid w:val="00270195"/>
    <w:rsid w:val="0027020E"/>
    <w:rsid w:val="00270833"/>
    <w:rsid w:val="00270897"/>
    <w:rsid w:val="0027089F"/>
    <w:rsid w:val="00270EB1"/>
    <w:rsid w:val="00270F20"/>
    <w:rsid w:val="002713BE"/>
    <w:rsid w:val="00272F2A"/>
    <w:rsid w:val="00273214"/>
    <w:rsid w:val="0027350D"/>
    <w:rsid w:val="002739FE"/>
    <w:rsid w:val="00273BB1"/>
    <w:rsid w:val="00273F73"/>
    <w:rsid w:val="0027415C"/>
    <w:rsid w:val="002742A5"/>
    <w:rsid w:val="00274593"/>
    <w:rsid w:val="0027466B"/>
    <w:rsid w:val="00274A9C"/>
    <w:rsid w:val="00274C6E"/>
    <w:rsid w:val="00275390"/>
    <w:rsid w:val="002753F4"/>
    <w:rsid w:val="002758FC"/>
    <w:rsid w:val="00276225"/>
    <w:rsid w:val="0027728E"/>
    <w:rsid w:val="00277322"/>
    <w:rsid w:val="0027748B"/>
    <w:rsid w:val="00277814"/>
    <w:rsid w:val="00277E03"/>
    <w:rsid w:val="00277FE5"/>
    <w:rsid w:val="00280381"/>
    <w:rsid w:val="00280723"/>
    <w:rsid w:val="0028077A"/>
    <w:rsid w:val="00281095"/>
    <w:rsid w:val="0028184E"/>
    <w:rsid w:val="00281E22"/>
    <w:rsid w:val="00282B33"/>
    <w:rsid w:val="00283343"/>
    <w:rsid w:val="00283652"/>
    <w:rsid w:val="00284082"/>
    <w:rsid w:val="002841A2"/>
    <w:rsid w:val="002843C0"/>
    <w:rsid w:val="00285100"/>
    <w:rsid w:val="00285721"/>
    <w:rsid w:val="00285EE0"/>
    <w:rsid w:val="002877B4"/>
    <w:rsid w:val="00287850"/>
    <w:rsid w:val="0029075E"/>
    <w:rsid w:val="00291524"/>
    <w:rsid w:val="00291704"/>
    <w:rsid w:val="00291D59"/>
    <w:rsid w:val="00292133"/>
    <w:rsid w:val="00292258"/>
    <w:rsid w:val="002927EB"/>
    <w:rsid w:val="00293C21"/>
    <w:rsid w:val="00293DF6"/>
    <w:rsid w:val="0029615A"/>
    <w:rsid w:val="002964E2"/>
    <w:rsid w:val="002966AE"/>
    <w:rsid w:val="00296F69"/>
    <w:rsid w:val="00296F9C"/>
    <w:rsid w:val="002971C9"/>
    <w:rsid w:val="0029761F"/>
    <w:rsid w:val="00297DF7"/>
    <w:rsid w:val="002A0178"/>
    <w:rsid w:val="002A0DD0"/>
    <w:rsid w:val="002A152E"/>
    <w:rsid w:val="002A1B5D"/>
    <w:rsid w:val="002A214D"/>
    <w:rsid w:val="002A254E"/>
    <w:rsid w:val="002A27A0"/>
    <w:rsid w:val="002A283F"/>
    <w:rsid w:val="002A315D"/>
    <w:rsid w:val="002A39C4"/>
    <w:rsid w:val="002A54A9"/>
    <w:rsid w:val="002A558D"/>
    <w:rsid w:val="002A568B"/>
    <w:rsid w:val="002A5818"/>
    <w:rsid w:val="002A5969"/>
    <w:rsid w:val="002A625A"/>
    <w:rsid w:val="002A66C6"/>
    <w:rsid w:val="002A6BB1"/>
    <w:rsid w:val="002A6BE0"/>
    <w:rsid w:val="002A6DD0"/>
    <w:rsid w:val="002A73A9"/>
    <w:rsid w:val="002B0CF4"/>
    <w:rsid w:val="002B12B2"/>
    <w:rsid w:val="002B13A0"/>
    <w:rsid w:val="002B1432"/>
    <w:rsid w:val="002B1962"/>
    <w:rsid w:val="002B1BD6"/>
    <w:rsid w:val="002B27D7"/>
    <w:rsid w:val="002B2EDB"/>
    <w:rsid w:val="002B4C44"/>
    <w:rsid w:val="002B532D"/>
    <w:rsid w:val="002B590B"/>
    <w:rsid w:val="002B6510"/>
    <w:rsid w:val="002B72A3"/>
    <w:rsid w:val="002B7AC4"/>
    <w:rsid w:val="002C095A"/>
    <w:rsid w:val="002C098A"/>
    <w:rsid w:val="002C1571"/>
    <w:rsid w:val="002C1917"/>
    <w:rsid w:val="002C21D9"/>
    <w:rsid w:val="002C2B7E"/>
    <w:rsid w:val="002C2D92"/>
    <w:rsid w:val="002C31E3"/>
    <w:rsid w:val="002C4D82"/>
    <w:rsid w:val="002C4DEB"/>
    <w:rsid w:val="002C5348"/>
    <w:rsid w:val="002C562F"/>
    <w:rsid w:val="002C5F83"/>
    <w:rsid w:val="002C60F1"/>
    <w:rsid w:val="002C6AC8"/>
    <w:rsid w:val="002C7596"/>
    <w:rsid w:val="002C7A19"/>
    <w:rsid w:val="002C7E51"/>
    <w:rsid w:val="002D286F"/>
    <w:rsid w:val="002D2F3F"/>
    <w:rsid w:val="002D35FD"/>
    <w:rsid w:val="002D37EF"/>
    <w:rsid w:val="002D475F"/>
    <w:rsid w:val="002D47B4"/>
    <w:rsid w:val="002D53FA"/>
    <w:rsid w:val="002D5685"/>
    <w:rsid w:val="002D5D68"/>
    <w:rsid w:val="002D6542"/>
    <w:rsid w:val="002D656E"/>
    <w:rsid w:val="002D6B47"/>
    <w:rsid w:val="002D71EF"/>
    <w:rsid w:val="002D720D"/>
    <w:rsid w:val="002D7395"/>
    <w:rsid w:val="002D7577"/>
    <w:rsid w:val="002D7705"/>
    <w:rsid w:val="002D7A48"/>
    <w:rsid w:val="002E081E"/>
    <w:rsid w:val="002E0952"/>
    <w:rsid w:val="002E16D0"/>
    <w:rsid w:val="002E1882"/>
    <w:rsid w:val="002E1B8F"/>
    <w:rsid w:val="002E1DFE"/>
    <w:rsid w:val="002E1E3A"/>
    <w:rsid w:val="002E1FAE"/>
    <w:rsid w:val="002E2570"/>
    <w:rsid w:val="002E2DFE"/>
    <w:rsid w:val="002E35B1"/>
    <w:rsid w:val="002E3941"/>
    <w:rsid w:val="002E3953"/>
    <w:rsid w:val="002E3FD3"/>
    <w:rsid w:val="002E459D"/>
    <w:rsid w:val="002E4A23"/>
    <w:rsid w:val="002E57EC"/>
    <w:rsid w:val="002E5BD0"/>
    <w:rsid w:val="002E5DE1"/>
    <w:rsid w:val="002E609A"/>
    <w:rsid w:val="002E6167"/>
    <w:rsid w:val="002E6F22"/>
    <w:rsid w:val="002E6F9F"/>
    <w:rsid w:val="002E757C"/>
    <w:rsid w:val="002E7EDF"/>
    <w:rsid w:val="002F0987"/>
    <w:rsid w:val="002F0DE8"/>
    <w:rsid w:val="002F1516"/>
    <w:rsid w:val="002F1E57"/>
    <w:rsid w:val="002F2459"/>
    <w:rsid w:val="002F26C8"/>
    <w:rsid w:val="002F26FC"/>
    <w:rsid w:val="002F281F"/>
    <w:rsid w:val="002F2C34"/>
    <w:rsid w:val="002F2D16"/>
    <w:rsid w:val="002F2E9F"/>
    <w:rsid w:val="002F2F5D"/>
    <w:rsid w:val="002F3CC4"/>
    <w:rsid w:val="002F3D71"/>
    <w:rsid w:val="002F49A3"/>
    <w:rsid w:val="002F5171"/>
    <w:rsid w:val="002F51BD"/>
    <w:rsid w:val="002F5B28"/>
    <w:rsid w:val="002F5D1F"/>
    <w:rsid w:val="002F643D"/>
    <w:rsid w:val="002F69B2"/>
    <w:rsid w:val="002F6B92"/>
    <w:rsid w:val="002F7237"/>
    <w:rsid w:val="002F73BD"/>
    <w:rsid w:val="002F7491"/>
    <w:rsid w:val="002F7676"/>
    <w:rsid w:val="002F7B4D"/>
    <w:rsid w:val="002F7FD7"/>
    <w:rsid w:val="00300EE2"/>
    <w:rsid w:val="003016A0"/>
    <w:rsid w:val="0030206F"/>
    <w:rsid w:val="00302602"/>
    <w:rsid w:val="0030275C"/>
    <w:rsid w:val="00302E5E"/>
    <w:rsid w:val="0030426B"/>
    <w:rsid w:val="00304654"/>
    <w:rsid w:val="003051B3"/>
    <w:rsid w:val="003054BD"/>
    <w:rsid w:val="00306890"/>
    <w:rsid w:val="003072C6"/>
    <w:rsid w:val="003074E3"/>
    <w:rsid w:val="0030777E"/>
    <w:rsid w:val="00307856"/>
    <w:rsid w:val="00307943"/>
    <w:rsid w:val="00310C6E"/>
    <w:rsid w:val="00311580"/>
    <w:rsid w:val="00311B2B"/>
    <w:rsid w:val="0031302D"/>
    <w:rsid w:val="00313541"/>
    <w:rsid w:val="003137BC"/>
    <w:rsid w:val="0031395A"/>
    <w:rsid w:val="00313BA5"/>
    <w:rsid w:val="00313FD8"/>
    <w:rsid w:val="00314656"/>
    <w:rsid w:val="00314738"/>
    <w:rsid w:val="00314D1B"/>
    <w:rsid w:val="00314EEB"/>
    <w:rsid w:val="0031516F"/>
    <w:rsid w:val="0031592F"/>
    <w:rsid w:val="00315C49"/>
    <w:rsid w:val="003164A2"/>
    <w:rsid w:val="0031673E"/>
    <w:rsid w:val="00316B6D"/>
    <w:rsid w:val="00320353"/>
    <w:rsid w:val="003204FC"/>
    <w:rsid w:val="00320522"/>
    <w:rsid w:val="00320C49"/>
    <w:rsid w:val="00320C81"/>
    <w:rsid w:val="00321A10"/>
    <w:rsid w:val="00321D98"/>
    <w:rsid w:val="00321DF6"/>
    <w:rsid w:val="00321EB9"/>
    <w:rsid w:val="00321FEC"/>
    <w:rsid w:val="00322027"/>
    <w:rsid w:val="003222F5"/>
    <w:rsid w:val="00322FC2"/>
    <w:rsid w:val="00323063"/>
    <w:rsid w:val="00323565"/>
    <w:rsid w:val="0032361F"/>
    <w:rsid w:val="00323C6C"/>
    <w:rsid w:val="00324175"/>
    <w:rsid w:val="00324333"/>
    <w:rsid w:val="00324848"/>
    <w:rsid w:val="003249DE"/>
    <w:rsid w:val="00324B07"/>
    <w:rsid w:val="00324F1F"/>
    <w:rsid w:val="0032508D"/>
    <w:rsid w:val="003252B2"/>
    <w:rsid w:val="003252CB"/>
    <w:rsid w:val="003255A1"/>
    <w:rsid w:val="00325FBC"/>
    <w:rsid w:val="0032661A"/>
    <w:rsid w:val="00326868"/>
    <w:rsid w:val="0032702D"/>
    <w:rsid w:val="00327DDC"/>
    <w:rsid w:val="00330376"/>
    <w:rsid w:val="003312FD"/>
    <w:rsid w:val="00331332"/>
    <w:rsid w:val="0033183B"/>
    <w:rsid w:val="003320A0"/>
    <w:rsid w:val="00332DED"/>
    <w:rsid w:val="00333B90"/>
    <w:rsid w:val="00334488"/>
    <w:rsid w:val="0033470F"/>
    <w:rsid w:val="00334C41"/>
    <w:rsid w:val="00335CA2"/>
    <w:rsid w:val="0033656E"/>
    <w:rsid w:val="00336601"/>
    <w:rsid w:val="00336BE5"/>
    <w:rsid w:val="00336F71"/>
    <w:rsid w:val="003377D3"/>
    <w:rsid w:val="0033792B"/>
    <w:rsid w:val="00337B85"/>
    <w:rsid w:val="003404CC"/>
    <w:rsid w:val="00340E98"/>
    <w:rsid w:val="003415A5"/>
    <w:rsid w:val="003418E7"/>
    <w:rsid w:val="00341914"/>
    <w:rsid w:val="003419DB"/>
    <w:rsid w:val="00341A06"/>
    <w:rsid w:val="00341BD4"/>
    <w:rsid w:val="00341D54"/>
    <w:rsid w:val="00341D8B"/>
    <w:rsid w:val="00341F80"/>
    <w:rsid w:val="00342064"/>
    <w:rsid w:val="0034297E"/>
    <w:rsid w:val="003435DC"/>
    <w:rsid w:val="00343A68"/>
    <w:rsid w:val="003455DB"/>
    <w:rsid w:val="003455EC"/>
    <w:rsid w:val="00345902"/>
    <w:rsid w:val="00345A04"/>
    <w:rsid w:val="00346282"/>
    <w:rsid w:val="0034644D"/>
    <w:rsid w:val="00346CF3"/>
    <w:rsid w:val="00346F22"/>
    <w:rsid w:val="00346F61"/>
    <w:rsid w:val="0034734D"/>
    <w:rsid w:val="003479EE"/>
    <w:rsid w:val="00350F1B"/>
    <w:rsid w:val="00350F58"/>
    <w:rsid w:val="00351076"/>
    <w:rsid w:val="003513F2"/>
    <w:rsid w:val="00351712"/>
    <w:rsid w:val="00351E0D"/>
    <w:rsid w:val="00352467"/>
    <w:rsid w:val="003526AA"/>
    <w:rsid w:val="00353BCA"/>
    <w:rsid w:val="00354894"/>
    <w:rsid w:val="00354B00"/>
    <w:rsid w:val="0035519D"/>
    <w:rsid w:val="0035570A"/>
    <w:rsid w:val="0035632F"/>
    <w:rsid w:val="00356C73"/>
    <w:rsid w:val="00356EF3"/>
    <w:rsid w:val="00356F19"/>
    <w:rsid w:val="00357A6B"/>
    <w:rsid w:val="00360467"/>
    <w:rsid w:val="003605E0"/>
    <w:rsid w:val="00360A6C"/>
    <w:rsid w:val="00360A76"/>
    <w:rsid w:val="0036105B"/>
    <w:rsid w:val="00361186"/>
    <w:rsid w:val="00361356"/>
    <w:rsid w:val="00361C9B"/>
    <w:rsid w:val="00363545"/>
    <w:rsid w:val="003635BA"/>
    <w:rsid w:val="003649EC"/>
    <w:rsid w:val="00364F34"/>
    <w:rsid w:val="003655CB"/>
    <w:rsid w:val="00365926"/>
    <w:rsid w:val="00365AD0"/>
    <w:rsid w:val="00365E16"/>
    <w:rsid w:val="00366103"/>
    <w:rsid w:val="00366A89"/>
    <w:rsid w:val="003673B0"/>
    <w:rsid w:val="003675CF"/>
    <w:rsid w:val="0036779A"/>
    <w:rsid w:val="00367BE4"/>
    <w:rsid w:val="00367FE1"/>
    <w:rsid w:val="003709E4"/>
    <w:rsid w:val="00370D18"/>
    <w:rsid w:val="00370DE0"/>
    <w:rsid w:val="00371212"/>
    <w:rsid w:val="00372177"/>
    <w:rsid w:val="0037238D"/>
    <w:rsid w:val="0037248D"/>
    <w:rsid w:val="00372B02"/>
    <w:rsid w:val="00372C4F"/>
    <w:rsid w:val="00372F11"/>
    <w:rsid w:val="0037336D"/>
    <w:rsid w:val="00373B86"/>
    <w:rsid w:val="00374153"/>
    <w:rsid w:val="003741DC"/>
    <w:rsid w:val="003747FC"/>
    <w:rsid w:val="00374F01"/>
    <w:rsid w:val="00374F24"/>
    <w:rsid w:val="00375A56"/>
    <w:rsid w:val="00375B43"/>
    <w:rsid w:val="00375EAC"/>
    <w:rsid w:val="00375F8A"/>
    <w:rsid w:val="0037710D"/>
    <w:rsid w:val="00377127"/>
    <w:rsid w:val="00377634"/>
    <w:rsid w:val="00380091"/>
    <w:rsid w:val="003805F4"/>
    <w:rsid w:val="0038063E"/>
    <w:rsid w:val="00380763"/>
    <w:rsid w:val="00380854"/>
    <w:rsid w:val="00380A96"/>
    <w:rsid w:val="0038167B"/>
    <w:rsid w:val="00381E11"/>
    <w:rsid w:val="00382152"/>
    <w:rsid w:val="003822A4"/>
    <w:rsid w:val="003826A8"/>
    <w:rsid w:val="00383118"/>
    <w:rsid w:val="003848BB"/>
    <w:rsid w:val="00384B49"/>
    <w:rsid w:val="00384E8F"/>
    <w:rsid w:val="0038631A"/>
    <w:rsid w:val="0038698A"/>
    <w:rsid w:val="00387CE9"/>
    <w:rsid w:val="00387F48"/>
    <w:rsid w:val="00387FFC"/>
    <w:rsid w:val="0039043F"/>
    <w:rsid w:val="0039181C"/>
    <w:rsid w:val="00391C2C"/>
    <w:rsid w:val="00392D79"/>
    <w:rsid w:val="00392F5C"/>
    <w:rsid w:val="0039321A"/>
    <w:rsid w:val="00393691"/>
    <w:rsid w:val="00393DC8"/>
    <w:rsid w:val="003943C6"/>
    <w:rsid w:val="00394843"/>
    <w:rsid w:val="00396619"/>
    <w:rsid w:val="0039663C"/>
    <w:rsid w:val="00396A99"/>
    <w:rsid w:val="00396AF3"/>
    <w:rsid w:val="00396DEF"/>
    <w:rsid w:val="003970A4"/>
    <w:rsid w:val="003970B8"/>
    <w:rsid w:val="0039723F"/>
    <w:rsid w:val="00397959"/>
    <w:rsid w:val="00397C13"/>
    <w:rsid w:val="003A0BA2"/>
    <w:rsid w:val="003A0FB0"/>
    <w:rsid w:val="003A18EE"/>
    <w:rsid w:val="003A2943"/>
    <w:rsid w:val="003A2D2A"/>
    <w:rsid w:val="003A479B"/>
    <w:rsid w:val="003A5398"/>
    <w:rsid w:val="003A5F01"/>
    <w:rsid w:val="003A5F53"/>
    <w:rsid w:val="003A5FD4"/>
    <w:rsid w:val="003A6ECB"/>
    <w:rsid w:val="003A71EA"/>
    <w:rsid w:val="003A75DB"/>
    <w:rsid w:val="003A778F"/>
    <w:rsid w:val="003A7C89"/>
    <w:rsid w:val="003B05CB"/>
    <w:rsid w:val="003B068D"/>
    <w:rsid w:val="003B0CA3"/>
    <w:rsid w:val="003B1104"/>
    <w:rsid w:val="003B155F"/>
    <w:rsid w:val="003B182F"/>
    <w:rsid w:val="003B1FC0"/>
    <w:rsid w:val="003B3984"/>
    <w:rsid w:val="003B3C6C"/>
    <w:rsid w:val="003B3CDC"/>
    <w:rsid w:val="003B4348"/>
    <w:rsid w:val="003B446C"/>
    <w:rsid w:val="003B489D"/>
    <w:rsid w:val="003B5595"/>
    <w:rsid w:val="003B587E"/>
    <w:rsid w:val="003B6BC3"/>
    <w:rsid w:val="003B6D90"/>
    <w:rsid w:val="003B749A"/>
    <w:rsid w:val="003B787E"/>
    <w:rsid w:val="003B7A04"/>
    <w:rsid w:val="003BA628"/>
    <w:rsid w:val="003C009E"/>
    <w:rsid w:val="003C22C9"/>
    <w:rsid w:val="003C2744"/>
    <w:rsid w:val="003C2C27"/>
    <w:rsid w:val="003C34B4"/>
    <w:rsid w:val="003C37E1"/>
    <w:rsid w:val="003C3A8C"/>
    <w:rsid w:val="003C3FF4"/>
    <w:rsid w:val="003C503F"/>
    <w:rsid w:val="003C56C4"/>
    <w:rsid w:val="003C59E9"/>
    <w:rsid w:val="003C6934"/>
    <w:rsid w:val="003C6B80"/>
    <w:rsid w:val="003C6F0E"/>
    <w:rsid w:val="003C76F0"/>
    <w:rsid w:val="003D08A4"/>
    <w:rsid w:val="003D1107"/>
    <w:rsid w:val="003D1290"/>
    <w:rsid w:val="003D19EA"/>
    <w:rsid w:val="003D20E1"/>
    <w:rsid w:val="003D23FC"/>
    <w:rsid w:val="003D3C16"/>
    <w:rsid w:val="003D3CA2"/>
    <w:rsid w:val="003D40A0"/>
    <w:rsid w:val="003D4164"/>
    <w:rsid w:val="003D497E"/>
    <w:rsid w:val="003D4A09"/>
    <w:rsid w:val="003D4A43"/>
    <w:rsid w:val="003D4E1C"/>
    <w:rsid w:val="003D524F"/>
    <w:rsid w:val="003D5BDE"/>
    <w:rsid w:val="003D69E2"/>
    <w:rsid w:val="003D6BA2"/>
    <w:rsid w:val="003D77A8"/>
    <w:rsid w:val="003E0A73"/>
    <w:rsid w:val="003E0BE3"/>
    <w:rsid w:val="003E11E6"/>
    <w:rsid w:val="003E1B6A"/>
    <w:rsid w:val="003E2DF7"/>
    <w:rsid w:val="003E3330"/>
    <w:rsid w:val="003E3809"/>
    <w:rsid w:val="003E3A41"/>
    <w:rsid w:val="003E3AC6"/>
    <w:rsid w:val="003E3B38"/>
    <w:rsid w:val="003E3C44"/>
    <w:rsid w:val="003E4D5A"/>
    <w:rsid w:val="003E4DD2"/>
    <w:rsid w:val="003E4E02"/>
    <w:rsid w:val="003E4E17"/>
    <w:rsid w:val="003E4F35"/>
    <w:rsid w:val="003E52B6"/>
    <w:rsid w:val="003E60AF"/>
    <w:rsid w:val="003E6E23"/>
    <w:rsid w:val="003E789A"/>
    <w:rsid w:val="003E7DE7"/>
    <w:rsid w:val="003F063D"/>
    <w:rsid w:val="003F1367"/>
    <w:rsid w:val="003F17E7"/>
    <w:rsid w:val="003F1CD3"/>
    <w:rsid w:val="003F2FA7"/>
    <w:rsid w:val="003F30E8"/>
    <w:rsid w:val="003F3483"/>
    <w:rsid w:val="003F536D"/>
    <w:rsid w:val="003F553E"/>
    <w:rsid w:val="003F5BF8"/>
    <w:rsid w:val="003F5D91"/>
    <w:rsid w:val="003F6028"/>
    <w:rsid w:val="003F7001"/>
    <w:rsid w:val="003F742B"/>
    <w:rsid w:val="003F782A"/>
    <w:rsid w:val="003F7DA5"/>
    <w:rsid w:val="00400214"/>
    <w:rsid w:val="004002F6"/>
    <w:rsid w:val="00401974"/>
    <w:rsid w:val="00402333"/>
    <w:rsid w:val="004028CA"/>
    <w:rsid w:val="004029D9"/>
    <w:rsid w:val="004036A3"/>
    <w:rsid w:val="00403B64"/>
    <w:rsid w:val="00403CBF"/>
    <w:rsid w:val="00404378"/>
    <w:rsid w:val="00404A6E"/>
    <w:rsid w:val="00404B3B"/>
    <w:rsid w:val="00405B0D"/>
    <w:rsid w:val="00405D55"/>
    <w:rsid w:val="00406359"/>
    <w:rsid w:val="00406409"/>
    <w:rsid w:val="00406721"/>
    <w:rsid w:val="0040675A"/>
    <w:rsid w:val="00406833"/>
    <w:rsid w:val="00406CDD"/>
    <w:rsid w:val="00406D41"/>
    <w:rsid w:val="00406D7D"/>
    <w:rsid w:val="0040791D"/>
    <w:rsid w:val="00407E65"/>
    <w:rsid w:val="00410565"/>
    <w:rsid w:val="004112B2"/>
    <w:rsid w:val="0041143B"/>
    <w:rsid w:val="004124A2"/>
    <w:rsid w:val="00412512"/>
    <w:rsid w:val="00412699"/>
    <w:rsid w:val="00413311"/>
    <w:rsid w:val="00413401"/>
    <w:rsid w:val="00413932"/>
    <w:rsid w:val="004140B3"/>
    <w:rsid w:val="0041589A"/>
    <w:rsid w:val="00415927"/>
    <w:rsid w:val="00416173"/>
    <w:rsid w:val="00416474"/>
    <w:rsid w:val="00416794"/>
    <w:rsid w:val="0041789B"/>
    <w:rsid w:val="004178BD"/>
    <w:rsid w:val="004179B9"/>
    <w:rsid w:val="00417B08"/>
    <w:rsid w:val="0042000C"/>
    <w:rsid w:val="00420F52"/>
    <w:rsid w:val="004217E5"/>
    <w:rsid w:val="00421A8D"/>
    <w:rsid w:val="00422027"/>
    <w:rsid w:val="00422192"/>
    <w:rsid w:val="00422252"/>
    <w:rsid w:val="00422F4F"/>
    <w:rsid w:val="004233AB"/>
    <w:rsid w:val="0042377D"/>
    <w:rsid w:val="00423D17"/>
    <w:rsid w:val="0042499B"/>
    <w:rsid w:val="0042523D"/>
    <w:rsid w:val="00425413"/>
    <w:rsid w:val="0042555B"/>
    <w:rsid w:val="004255E2"/>
    <w:rsid w:val="00425D48"/>
    <w:rsid w:val="004260B1"/>
    <w:rsid w:val="0042622A"/>
    <w:rsid w:val="004264A9"/>
    <w:rsid w:val="00426790"/>
    <w:rsid w:val="0043134C"/>
    <w:rsid w:val="00431936"/>
    <w:rsid w:val="00431C1F"/>
    <w:rsid w:val="00432434"/>
    <w:rsid w:val="0043249F"/>
    <w:rsid w:val="0043364B"/>
    <w:rsid w:val="0043448C"/>
    <w:rsid w:val="0043456D"/>
    <w:rsid w:val="004351A9"/>
    <w:rsid w:val="00437828"/>
    <w:rsid w:val="00440ECA"/>
    <w:rsid w:val="0044153B"/>
    <w:rsid w:val="00441F14"/>
    <w:rsid w:val="004425B9"/>
    <w:rsid w:val="00442AC2"/>
    <w:rsid w:val="00442CE7"/>
    <w:rsid w:val="00442F55"/>
    <w:rsid w:val="004430CA"/>
    <w:rsid w:val="004434F5"/>
    <w:rsid w:val="0044373B"/>
    <w:rsid w:val="00443F2A"/>
    <w:rsid w:val="00444D6C"/>
    <w:rsid w:val="00445376"/>
    <w:rsid w:val="00445D3B"/>
    <w:rsid w:val="00445FA5"/>
    <w:rsid w:val="004467AA"/>
    <w:rsid w:val="00446F09"/>
    <w:rsid w:val="00446F0B"/>
    <w:rsid w:val="004476C7"/>
    <w:rsid w:val="00450141"/>
    <w:rsid w:val="00450975"/>
    <w:rsid w:val="00450B03"/>
    <w:rsid w:val="00450B0F"/>
    <w:rsid w:val="00451281"/>
    <w:rsid w:val="00451D7F"/>
    <w:rsid w:val="00452926"/>
    <w:rsid w:val="004529F4"/>
    <w:rsid w:val="00452DE5"/>
    <w:rsid w:val="00452F94"/>
    <w:rsid w:val="00453522"/>
    <w:rsid w:val="00453ACB"/>
    <w:rsid w:val="004542BA"/>
    <w:rsid w:val="0045470D"/>
    <w:rsid w:val="00454B9C"/>
    <w:rsid w:val="00454C73"/>
    <w:rsid w:val="00455E50"/>
    <w:rsid w:val="00456078"/>
    <w:rsid w:val="0045607C"/>
    <w:rsid w:val="00457649"/>
    <w:rsid w:val="004579EB"/>
    <w:rsid w:val="004602CB"/>
    <w:rsid w:val="00460786"/>
    <w:rsid w:val="00460797"/>
    <w:rsid w:val="00460DF6"/>
    <w:rsid w:val="00461541"/>
    <w:rsid w:val="0046258D"/>
    <w:rsid w:val="00462BBD"/>
    <w:rsid w:val="00463040"/>
    <w:rsid w:val="00463054"/>
    <w:rsid w:val="004631D1"/>
    <w:rsid w:val="00465529"/>
    <w:rsid w:val="00465E8A"/>
    <w:rsid w:val="0046632D"/>
    <w:rsid w:val="0046651E"/>
    <w:rsid w:val="004665C9"/>
    <w:rsid w:val="004669A2"/>
    <w:rsid w:val="00466E4C"/>
    <w:rsid w:val="00467822"/>
    <w:rsid w:val="00467914"/>
    <w:rsid w:val="00470589"/>
    <w:rsid w:val="00470BB8"/>
    <w:rsid w:val="00470F9B"/>
    <w:rsid w:val="0047192E"/>
    <w:rsid w:val="004719C5"/>
    <w:rsid w:val="00471AD6"/>
    <w:rsid w:val="00472351"/>
    <w:rsid w:val="004726DE"/>
    <w:rsid w:val="00473949"/>
    <w:rsid w:val="00474A56"/>
    <w:rsid w:val="004751D5"/>
    <w:rsid w:val="0047668C"/>
    <w:rsid w:val="004766C6"/>
    <w:rsid w:val="004768FD"/>
    <w:rsid w:val="00476AFC"/>
    <w:rsid w:val="00476E56"/>
    <w:rsid w:val="0047717E"/>
    <w:rsid w:val="00480617"/>
    <w:rsid w:val="004812FD"/>
    <w:rsid w:val="004822CC"/>
    <w:rsid w:val="004823EA"/>
    <w:rsid w:val="00482AF2"/>
    <w:rsid w:val="00482C49"/>
    <w:rsid w:val="00483101"/>
    <w:rsid w:val="004837FA"/>
    <w:rsid w:val="004839BF"/>
    <w:rsid w:val="00484259"/>
    <w:rsid w:val="00484773"/>
    <w:rsid w:val="00484ABB"/>
    <w:rsid w:val="004856E8"/>
    <w:rsid w:val="00485746"/>
    <w:rsid w:val="0048585B"/>
    <w:rsid w:val="00485FF7"/>
    <w:rsid w:val="00486161"/>
    <w:rsid w:val="00486894"/>
    <w:rsid w:val="0048705F"/>
    <w:rsid w:val="00490755"/>
    <w:rsid w:val="00491331"/>
    <w:rsid w:val="0049159B"/>
    <w:rsid w:val="00491820"/>
    <w:rsid w:val="004918CD"/>
    <w:rsid w:val="00491D15"/>
    <w:rsid w:val="004922E4"/>
    <w:rsid w:val="00492E34"/>
    <w:rsid w:val="00492FB7"/>
    <w:rsid w:val="0049339F"/>
    <w:rsid w:val="0049396A"/>
    <w:rsid w:val="00493AC3"/>
    <w:rsid w:val="004944B0"/>
    <w:rsid w:val="0049522E"/>
    <w:rsid w:val="00495292"/>
    <w:rsid w:val="004954F4"/>
    <w:rsid w:val="004956C2"/>
    <w:rsid w:val="00496B8D"/>
    <w:rsid w:val="004A00EA"/>
    <w:rsid w:val="004A0544"/>
    <w:rsid w:val="004A0746"/>
    <w:rsid w:val="004A126A"/>
    <w:rsid w:val="004A136E"/>
    <w:rsid w:val="004A1FD9"/>
    <w:rsid w:val="004A253B"/>
    <w:rsid w:val="004A299E"/>
    <w:rsid w:val="004A2D91"/>
    <w:rsid w:val="004A2E31"/>
    <w:rsid w:val="004A33C7"/>
    <w:rsid w:val="004A3B48"/>
    <w:rsid w:val="004A3DA9"/>
    <w:rsid w:val="004A4F5C"/>
    <w:rsid w:val="004A52A7"/>
    <w:rsid w:val="004A57AA"/>
    <w:rsid w:val="004A5AF2"/>
    <w:rsid w:val="004A5EAE"/>
    <w:rsid w:val="004A5F94"/>
    <w:rsid w:val="004A62E1"/>
    <w:rsid w:val="004A63A6"/>
    <w:rsid w:val="004A6797"/>
    <w:rsid w:val="004A6B52"/>
    <w:rsid w:val="004A719F"/>
    <w:rsid w:val="004A7247"/>
    <w:rsid w:val="004A78C1"/>
    <w:rsid w:val="004B0648"/>
    <w:rsid w:val="004B0D64"/>
    <w:rsid w:val="004B10E7"/>
    <w:rsid w:val="004B1214"/>
    <w:rsid w:val="004B15AF"/>
    <w:rsid w:val="004B1F30"/>
    <w:rsid w:val="004B25E4"/>
    <w:rsid w:val="004B2B66"/>
    <w:rsid w:val="004B2EB3"/>
    <w:rsid w:val="004B33FA"/>
    <w:rsid w:val="004B3A01"/>
    <w:rsid w:val="004B4197"/>
    <w:rsid w:val="004B566E"/>
    <w:rsid w:val="004B60CE"/>
    <w:rsid w:val="004B6C98"/>
    <w:rsid w:val="004B7645"/>
    <w:rsid w:val="004B764D"/>
    <w:rsid w:val="004B7A03"/>
    <w:rsid w:val="004B7A1F"/>
    <w:rsid w:val="004C00EC"/>
    <w:rsid w:val="004C03EE"/>
    <w:rsid w:val="004C06B1"/>
    <w:rsid w:val="004C18E3"/>
    <w:rsid w:val="004C1992"/>
    <w:rsid w:val="004C22A9"/>
    <w:rsid w:val="004C2ED1"/>
    <w:rsid w:val="004C2FA4"/>
    <w:rsid w:val="004C43D8"/>
    <w:rsid w:val="004C47D7"/>
    <w:rsid w:val="004C4A49"/>
    <w:rsid w:val="004C4A53"/>
    <w:rsid w:val="004C5669"/>
    <w:rsid w:val="004C5820"/>
    <w:rsid w:val="004C6174"/>
    <w:rsid w:val="004D0BC2"/>
    <w:rsid w:val="004D111E"/>
    <w:rsid w:val="004D2241"/>
    <w:rsid w:val="004D23AF"/>
    <w:rsid w:val="004D25AA"/>
    <w:rsid w:val="004D31FF"/>
    <w:rsid w:val="004D3381"/>
    <w:rsid w:val="004D3545"/>
    <w:rsid w:val="004D36AF"/>
    <w:rsid w:val="004D3C50"/>
    <w:rsid w:val="004D41C1"/>
    <w:rsid w:val="004D41DC"/>
    <w:rsid w:val="004D6081"/>
    <w:rsid w:val="004D636E"/>
    <w:rsid w:val="004D7515"/>
    <w:rsid w:val="004D7981"/>
    <w:rsid w:val="004D7A5F"/>
    <w:rsid w:val="004D7B44"/>
    <w:rsid w:val="004D7CAF"/>
    <w:rsid w:val="004D7EDF"/>
    <w:rsid w:val="004E061F"/>
    <w:rsid w:val="004E2037"/>
    <w:rsid w:val="004E2841"/>
    <w:rsid w:val="004E2A1B"/>
    <w:rsid w:val="004E2B37"/>
    <w:rsid w:val="004E322A"/>
    <w:rsid w:val="004E36B2"/>
    <w:rsid w:val="004E3934"/>
    <w:rsid w:val="004E517A"/>
    <w:rsid w:val="004E5907"/>
    <w:rsid w:val="004E6C80"/>
    <w:rsid w:val="004E6DDF"/>
    <w:rsid w:val="004E7400"/>
    <w:rsid w:val="004F03B3"/>
    <w:rsid w:val="004F1099"/>
    <w:rsid w:val="004F182B"/>
    <w:rsid w:val="004F1FA5"/>
    <w:rsid w:val="004F305D"/>
    <w:rsid w:val="004F3173"/>
    <w:rsid w:val="004F3EBC"/>
    <w:rsid w:val="004F407D"/>
    <w:rsid w:val="004F63E5"/>
    <w:rsid w:val="004F69B5"/>
    <w:rsid w:val="004F6C58"/>
    <w:rsid w:val="004F7670"/>
    <w:rsid w:val="004F7DDF"/>
    <w:rsid w:val="005004A5"/>
    <w:rsid w:val="00500DE4"/>
    <w:rsid w:val="00500E38"/>
    <w:rsid w:val="0050149F"/>
    <w:rsid w:val="005020AF"/>
    <w:rsid w:val="005020B1"/>
    <w:rsid w:val="005026CC"/>
    <w:rsid w:val="00502C66"/>
    <w:rsid w:val="00502CD9"/>
    <w:rsid w:val="005032DB"/>
    <w:rsid w:val="00503D3F"/>
    <w:rsid w:val="005042FA"/>
    <w:rsid w:val="00504809"/>
    <w:rsid w:val="00504A1E"/>
    <w:rsid w:val="005056B5"/>
    <w:rsid w:val="00505EBF"/>
    <w:rsid w:val="00506323"/>
    <w:rsid w:val="00506784"/>
    <w:rsid w:val="00506BA2"/>
    <w:rsid w:val="0051029E"/>
    <w:rsid w:val="00510334"/>
    <w:rsid w:val="00511063"/>
    <w:rsid w:val="0051113C"/>
    <w:rsid w:val="00511C2B"/>
    <w:rsid w:val="00512BDA"/>
    <w:rsid w:val="00512E28"/>
    <w:rsid w:val="00512FF6"/>
    <w:rsid w:val="00513DFA"/>
    <w:rsid w:val="00514A85"/>
    <w:rsid w:val="0051538D"/>
    <w:rsid w:val="00515880"/>
    <w:rsid w:val="00515FF2"/>
    <w:rsid w:val="005160B2"/>
    <w:rsid w:val="0051661A"/>
    <w:rsid w:val="0051675B"/>
    <w:rsid w:val="00516A3F"/>
    <w:rsid w:val="00516B3E"/>
    <w:rsid w:val="00516DB8"/>
    <w:rsid w:val="00516FDD"/>
    <w:rsid w:val="0052049C"/>
    <w:rsid w:val="005206B5"/>
    <w:rsid w:val="00520751"/>
    <w:rsid w:val="005214BF"/>
    <w:rsid w:val="00521634"/>
    <w:rsid w:val="00521D5F"/>
    <w:rsid w:val="00521E2A"/>
    <w:rsid w:val="00522F30"/>
    <w:rsid w:val="0052461A"/>
    <w:rsid w:val="005248AC"/>
    <w:rsid w:val="005249E9"/>
    <w:rsid w:val="005258E1"/>
    <w:rsid w:val="00525B54"/>
    <w:rsid w:val="00525DBC"/>
    <w:rsid w:val="00526917"/>
    <w:rsid w:val="00527164"/>
    <w:rsid w:val="00527AB4"/>
    <w:rsid w:val="00527BB8"/>
    <w:rsid w:val="005313B7"/>
    <w:rsid w:val="00531843"/>
    <w:rsid w:val="00531ED2"/>
    <w:rsid w:val="00532B02"/>
    <w:rsid w:val="0053309B"/>
    <w:rsid w:val="005340D4"/>
    <w:rsid w:val="00536B4D"/>
    <w:rsid w:val="005373C9"/>
    <w:rsid w:val="00537920"/>
    <w:rsid w:val="00540714"/>
    <w:rsid w:val="0054111C"/>
    <w:rsid w:val="00541526"/>
    <w:rsid w:val="005417EF"/>
    <w:rsid w:val="00541A92"/>
    <w:rsid w:val="005421A6"/>
    <w:rsid w:val="00542A8C"/>
    <w:rsid w:val="0054307F"/>
    <w:rsid w:val="00543286"/>
    <w:rsid w:val="00543F17"/>
    <w:rsid w:val="00543F84"/>
    <w:rsid w:val="005446C4"/>
    <w:rsid w:val="00545321"/>
    <w:rsid w:val="005456E6"/>
    <w:rsid w:val="00545805"/>
    <w:rsid w:val="0054583A"/>
    <w:rsid w:val="00547682"/>
    <w:rsid w:val="00547AA9"/>
    <w:rsid w:val="0055067F"/>
    <w:rsid w:val="0055120C"/>
    <w:rsid w:val="00551378"/>
    <w:rsid w:val="00551551"/>
    <w:rsid w:val="005515FF"/>
    <w:rsid w:val="0055268F"/>
    <w:rsid w:val="005527CC"/>
    <w:rsid w:val="00552A74"/>
    <w:rsid w:val="00552BA9"/>
    <w:rsid w:val="00553146"/>
    <w:rsid w:val="00553252"/>
    <w:rsid w:val="00557219"/>
    <w:rsid w:val="00557674"/>
    <w:rsid w:val="0055771B"/>
    <w:rsid w:val="00557805"/>
    <w:rsid w:val="00557A06"/>
    <w:rsid w:val="00557C5A"/>
    <w:rsid w:val="00557CAB"/>
    <w:rsid w:val="00560602"/>
    <w:rsid w:val="0056088C"/>
    <w:rsid w:val="005618A2"/>
    <w:rsid w:val="00561EB2"/>
    <w:rsid w:val="00561EC6"/>
    <w:rsid w:val="0056200E"/>
    <w:rsid w:val="00563200"/>
    <w:rsid w:val="00563B42"/>
    <w:rsid w:val="00563CA3"/>
    <w:rsid w:val="00563E04"/>
    <w:rsid w:val="005640EF"/>
    <w:rsid w:val="00564A56"/>
    <w:rsid w:val="005652EF"/>
    <w:rsid w:val="00565650"/>
    <w:rsid w:val="0056657B"/>
    <w:rsid w:val="00566749"/>
    <w:rsid w:val="00566B20"/>
    <w:rsid w:val="005672D3"/>
    <w:rsid w:val="00567C54"/>
    <w:rsid w:val="00567F9D"/>
    <w:rsid w:val="00570076"/>
    <w:rsid w:val="0057099F"/>
    <w:rsid w:val="00571708"/>
    <w:rsid w:val="00571FB5"/>
    <w:rsid w:val="005720B4"/>
    <w:rsid w:val="005720C9"/>
    <w:rsid w:val="0057314C"/>
    <w:rsid w:val="00573403"/>
    <w:rsid w:val="005742F9"/>
    <w:rsid w:val="005748DC"/>
    <w:rsid w:val="00575BEF"/>
    <w:rsid w:val="00576299"/>
    <w:rsid w:val="005764B5"/>
    <w:rsid w:val="005775BB"/>
    <w:rsid w:val="005800D6"/>
    <w:rsid w:val="00580CD8"/>
    <w:rsid w:val="00580E5E"/>
    <w:rsid w:val="0058159D"/>
    <w:rsid w:val="00581828"/>
    <w:rsid w:val="00581871"/>
    <w:rsid w:val="00581F41"/>
    <w:rsid w:val="00581F6C"/>
    <w:rsid w:val="00582BBB"/>
    <w:rsid w:val="00582C3A"/>
    <w:rsid w:val="00583B0C"/>
    <w:rsid w:val="00583D37"/>
    <w:rsid w:val="00584932"/>
    <w:rsid w:val="00585536"/>
    <w:rsid w:val="005859AA"/>
    <w:rsid w:val="00585D4C"/>
    <w:rsid w:val="005861E8"/>
    <w:rsid w:val="00586ABF"/>
    <w:rsid w:val="00586F26"/>
    <w:rsid w:val="00587FAA"/>
    <w:rsid w:val="00587FC8"/>
    <w:rsid w:val="0059144D"/>
    <w:rsid w:val="00591BBE"/>
    <w:rsid w:val="00591DEF"/>
    <w:rsid w:val="0059245C"/>
    <w:rsid w:val="0059267C"/>
    <w:rsid w:val="005929F8"/>
    <w:rsid w:val="00592F95"/>
    <w:rsid w:val="00593089"/>
    <w:rsid w:val="00593E68"/>
    <w:rsid w:val="00594418"/>
    <w:rsid w:val="00594541"/>
    <w:rsid w:val="00594F30"/>
    <w:rsid w:val="0059655C"/>
    <w:rsid w:val="00596604"/>
    <w:rsid w:val="00596BFC"/>
    <w:rsid w:val="00596FF9"/>
    <w:rsid w:val="00597701"/>
    <w:rsid w:val="005A06FA"/>
    <w:rsid w:val="005A0728"/>
    <w:rsid w:val="005A0AD4"/>
    <w:rsid w:val="005A15D4"/>
    <w:rsid w:val="005A1660"/>
    <w:rsid w:val="005A1F7F"/>
    <w:rsid w:val="005A2365"/>
    <w:rsid w:val="005A27B3"/>
    <w:rsid w:val="005A28CC"/>
    <w:rsid w:val="005A31C4"/>
    <w:rsid w:val="005A440A"/>
    <w:rsid w:val="005A48EA"/>
    <w:rsid w:val="005A4CB9"/>
    <w:rsid w:val="005A5491"/>
    <w:rsid w:val="005A560D"/>
    <w:rsid w:val="005B00FF"/>
    <w:rsid w:val="005B0142"/>
    <w:rsid w:val="005B02AD"/>
    <w:rsid w:val="005B03C0"/>
    <w:rsid w:val="005B0C86"/>
    <w:rsid w:val="005B1817"/>
    <w:rsid w:val="005B2B34"/>
    <w:rsid w:val="005B2FF2"/>
    <w:rsid w:val="005B3833"/>
    <w:rsid w:val="005B3CCD"/>
    <w:rsid w:val="005B3F02"/>
    <w:rsid w:val="005B3FDA"/>
    <w:rsid w:val="005B4A71"/>
    <w:rsid w:val="005B5AA4"/>
    <w:rsid w:val="005B5B36"/>
    <w:rsid w:val="005B6A88"/>
    <w:rsid w:val="005B7707"/>
    <w:rsid w:val="005B7AFF"/>
    <w:rsid w:val="005C018C"/>
    <w:rsid w:val="005C053F"/>
    <w:rsid w:val="005C12F7"/>
    <w:rsid w:val="005C1500"/>
    <w:rsid w:val="005C15F5"/>
    <w:rsid w:val="005C1695"/>
    <w:rsid w:val="005C1AC9"/>
    <w:rsid w:val="005C22A7"/>
    <w:rsid w:val="005C5A0C"/>
    <w:rsid w:val="005C5D95"/>
    <w:rsid w:val="005C68BC"/>
    <w:rsid w:val="005C6D9F"/>
    <w:rsid w:val="005C7056"/>
    <w:rsid w:val="005C707F"/>
    <w:rsid w:val="005C70FD"/>
    <w:rsid w:val="005C795D"/>
    <w:rsid w:val="005D041D"/>
    <w:rsid w:val="005D0961"/>
    <w:rsid w:val="005D1437"/>
    <w:rsid w:val="005D1FF9"/>
    <w:rsid w:val="005D23D8"/>
    <w:rsid w:val="005D2890"/>
    <w:rsid w:val="005D29D5"/>
    <w:rsid w:val="005D2B90"/>
    <w:rsid w:val="005D3129"/>
    <w:rsid w:val="005D3974"/>
    <w:rsid w:val="005D4BDE"/>
    <w:rsid w:val="005D4DC8"/>
    <w:rsid w:val="005D52E5"/>
    <w:rsid w:val="005D543A"/>
    <w:rsid w:val="005D6C52"/>
    <w:rsid w:val="005D7A90"/>
    <w:rsid w:val="005E0164"/>
    <w:rsid w:val="005E0353"/>
    <w:rsid w:val="005E045C"/>
    <w:rsid w:val="005E0590"/>
    <w:rsid w:val="005E10EC"/>
    <w:rsid w:val="005E123E"/>
    <w:rsid w:val="005E12BD"/>
    <w:rsid w:val="005E14FC"/>
    <w:rsid w:val="005E1B38"/>
    <w:rsid w:val="005E1C3A"/>
    <w:rsid w:val="005E2668"/>
    <w:rsid w:val="005E2839"/>
    <w:rsid w:val="005E2AB6"/>
    <w:rsid w:val="005E34AE"/>
    <w:rsid w:val="005E4293"/>
    <w:rsid w:val="005E434E"/>
    <w:rsid w:val="005E44A2"/>
    <w:rsid w:val="005E5213"/>
    <w:rsid w:val="005E5D0B"/>
    <w:rsid w:val="005E6123"/>
    <w:rsid w:val="005E7721"/>
    <w:rsid w:val="005E7A9D"/>
    <w:rsid w:val="005F006B"/>
    <w:rsid w:val="005F0A61"/>
    <w:rsid w:val="005F0FBF"/>
    <w:rsid w:val="005F14B5"/>
    <w:rsid w:val="005F1798"/>
    <w:rsid w:val="005F28DE"/>
    <w:rsid w:val="005F3E38"/>
    <w:rsid w:val="005F4047"/>
    <w:rsid w:val="005F410E"/>
    <w:rsid w:val="005F558B"/>
    <w:rsid w:val="005F5AAC"/>
    <w:rsid w:val="005F5F53"/>
    <w:rsid w:val="005F623E"/>
    <w:rsid w:val="005F73B3"/>
    <w:rsid w:val="005F7659"/>
    <w:rsid w:val="005F7950"/>
    <w:rsid w:val="0060000C"/>
    <w:rsid w:val="00601229"/>
    <w:rsid w:val="00602814"/>
    <w:rsid w:val="00602F57"/>
    <w:rsid w:val="006038A7"/>
    <w:rsid w:val="00603ADD"/>
    <w:rsid w:val="006046FC"/>
    <w:rsid w:val="0060485A"/>
    <w:rsid w:val="006048B5"/>
    <w:rsid w:val="00604F2B"/>
    <w:rsid w:val="006053B2"/>
    <w:rsid w:val="006053F3"/>
    <w:rsid w:val="00606EF8"/>
    <w:rsid w:val="00607125"/>
    <w:rsid w:val="00607198"/>
    <w:rsid w:val="00607645"/>
    <w:rsid w:val="00607AD3"/>
    <w:rsid w:val="006101F3"/>
    <w:rsid w:val="006107FF"/>
    <w:rsid w:val="00611093"/>
    <w:rsid w:val="00611A85"/>
    <w:rsid w:val="00612543"/>
    <w:rsid w:val="006129B8"/>
    <w:rsid w:val="006133D8"/>
    <w:rsid w:val="0061378D"/>
    <w:rsid w:val="00613C94"/>
    <w:rsid w:val="006145B8"/>
    <w:rsid w:val="00614DCA"/>
    <w:rsid w:val="00615C54"/>
    <w:rsid w:val="00616894"/>
    <w:rsid w:val="00616B57"/>
    <w:rsid w:val="00617545"/>
    <w:rsid w:val="006209D3"/>
    <w:rsid w:val="00620BC5"/>
    <w:rsid w:val="00620FCA"/>
    <w:rsid w:val="00621C00"/>
    <w:rsid w:val="006227AD"/>
    <w:rsid w:val="00622A4F"/>
    <w:rsid w:val="00622D7A"/>
    <w:rsid w:val="006235DC"/>
    <w:rsid w:val="00623DE6"/>
    <w:rsid w:val="00624535"/>
    <w:rsid w:val="006245D4"/>
    <w:rsid w:val="00624FD7"/>
    <w:rsid w:val="00625A1E"/>
    <w:rsid w:val="00625BEB"/>
    <w:rsid w:val="00626386"/>
    <w:rsid w:val="00626FE5"/>
    <w:rsid w:val="0062717C"/>
    <w:rsid w:val="006275CC"/>
    <w:rsid w:val="006306DA"/>
    <w:rsid w:val="00630D6E"/>
    <w:rsid w:val="00630F8F"/>
    <w:rsid w:val="006314AC"/>
    <w:rsid w:val="006314C2"/>
    <w:rsid w:val="00631543"/>
    <w:rsid w:val="00631DC4"/>
    <w:rsid w:val="0063221A"/>
    <w:rsid w:val="00632955"/>
    <w:rsid w:val="00632B80"/>
    <w:rsid w:val="00633558"/>
    <w:rsid w:val="00633A9B"/>
    <w:rsid w:val="00633B5F"/>
    <w:rsid w:val="00633DA3"/>
    <w:rsid w:val="00633DEF"/>
    <w:rsid w:val="00634021"/>
    <w:rsid w:val="00634241"/>
    <w:rsid w:val="00634949"/>
    <w:rsid w:val="00634C48"/>
    <w:rsid w:val="00634D0E"/>
    <w:rsid w:val="0063616D"/>
    <w:rsid w:val="006361F3"/>
    <w:rsid w:val="0063627B"/>
    <w:rsid w:val="00637957"/>
    <w:rsid w:val="00637BA3"/>
    <w:rsid w:val="00637D83"/>
    <w:rsid w:val="00641378"/>
    <w:rsid w:val="006413D4"/>
    <w:rsid w:val="00641B27"/>
    <w:rsid w:val="00641BF0"/>
    <w:rsid w:val="006423BD"/>
    <w:rsid w:val="006425FA"/>
    <w:rsid w:val="00642628"/>
    <w:rsid w:val="00642D3B"/>
    <w:rsid w:val="00643E68"/>
    <w:rsid w:val="00644043"/>
    <w:rsid w:val="00645913"/>
    <w:rsid w:val="00645B77"/>
    <w:rsid w:val="00645E5E"/>
    <w:rsid w:val="006464CA"/>
    <w:rsid w:val="00646FE3"/>
    <w:rsid w:val="00647905"/>
    <w:rsid w:val="00647C12"/>
    <w:rsid w:val="00647FB6"/>
    <w:rsid w:val="006500E7"/>
    <w:rsid w:val="00650451"/>
    <w:rsid w:val="00650E71"/>
    <w:rsid w:val="00650EB3"/>
    <w:rsid w:val="00650FA5"/>
    <w:rsid w:val="00651B90"/>
    <w:rsid w:val="00652402"/>
    <w:rsid w:val="006524CE"/>
    <w:rsid w:val="00652B77"/>
    <w:rsid w:val="00652CB9"/>
    <w:rsid w:val="006530AE"/>
    <w:rsid w:val="00653243"/>
    <w:rsid w:val="006536B3"/>
    <w:rsid w:val="00653E3D"/>
    <w:rsid w:val="00654469"/>
    <w:rsid w:val="00655F6B"/>
    <w:rsid w:val="006566CE"/>
    <w:rsid w:val="0065686F"/>
    <w:rsid w:val="0065690C"/>
    <w:rsid w:val="00656F62"/>
    <w:rsid w:val="00657069"/>
    <w:rsid w:val="006570CB"/>
    <w:rsid w:val="006577D9"/>
    <w:rsid w:val="00657C77"/>
    <w:rsid w:val="006602F7"/>
    <w:rsid w:val="0066054B"/>
    <w:rsid w:val="00660590"/>
    <w:rsid w:val="006607ED"/>
    <w:rsid w:val="00661B70"/>
    <w:rsid w:val="00662A99"/>
    <w:rsid w:val="00662B73"/>
    <w:rsid w:val="00663761"/>
    <w:rsid w:val="006641E5"/>
    <w:rsid w:val="0066435A"/>
    <w:rsid w:val="00664B44"/>
    <w:rsid w:val="00664DF0"/>
    <w:rsid w:val="0066571E"/>
    <w:rsid w:val="006657D7"/>
    <w:rsid w:val="00665B5A"/>
    <w:rsid w:val="00665E68"/>
    <w:rsid w:val="006672BF"/>
    <w:rsid w:val="0067040B"/>
    <w:rsid w:val="00670667"/>
    <w:rsid w:val="006707EB"/>
    <w:rsid w:val="00670B78"/>
    <w:rsid w:val="00670E45"/>
    <w:rsid w:val="006710A1"/>
    <w:rsid w:val="006711D4"/>
    <w:rsid w:val="006715A1"/>
    <w:rsid w:val="00673FF0"/>
    <w:rsid w:val="006743DD"/>
    <w:rsid w:val="0067454E"/>
    <w:rsid w:val="006747E5"/>
    <w:rsid w:val="00674AD1"/>
    <w:rsid w:val="0067548F"/>
    <w:rsid w:val="0067577B"/>
    <w:rsid w:val="0067595C"/>
    <w:rsid w:val="0067616B"/>
    <w:rsid w:val="00676613"/>
    <w:rsid w:val="0067687A"/>
    <w:rsid w:val="00676D24"/>
    <w:rsid w:val="00677713"/>
    <w:rsid w:val="00677793"/>
    <w:rsid w:val="00677D4E"/>
    <w:rsid w:val="0068062B"/>
    <w:rsid w:val="006807A7"/>
    <w:rsid w:val="00680CE8"/>
    <w:rsid w:val="00680D28"/>
    <w:rsid w:val="00681792"/>
    <w:rsid w:val="006818DD"/>
    <w:rsid w:val="0068292C"/>
    <w:rsid w:val="00682BA9"/>
    <w:rsid w:val="00682FD3"/>
    <w:rsid w:val="0068373F"/>
    <w:rsid w:val="00683B64"/>
    <w:rsid w:val="00683CCA"/>
    <w:rsid w:val="00683F0C"/>
    <w:rsid w:val="00683FC4"/>
    <w:rsid w:val="0068443C"/>
    <w:rsid w:val="00684AEE"/>
    <w:rsid w:val="006857E8"/>
    <w:rsid w:val="006858AA"/>
    <w:rsid w:val="006859DA"/>
    <w:rsid w:val="00686568"/>
    <w:rsid w:val="00686B36"/>
    <w:rsid w:val="00687BA8"/>
    <w:rsid w:val="00687EE8"/>
    <w:rsid w:val="00687F4A"/>
    <w:rsid w:val="0069045D"/>
    <w:rsid w:val="00690812"/>
    <w:rsid w:val="006908EB"/>
    <w:rsid w:val="00690AD4"/>
    <w:rsid w:val="006911A8"/>
    <w:rsid w:val="0069123B"/>
    <w:rsid w:val="0069139C"/>
    <w:rsid w:val="0069145E"/>
    <w:rsid w:val="006919DE"/>
    <w:rsid w:val="00691B55"/>
    <w:rsid w:val="00691C31"/>
    <w:rsid w:val="00692261"/>
    <w:rsid w:val="00692892"/>
    <w:rsid w:val="00693795"/>
    <w:rsid w:val="00693B33"/>
    <w:rsid w:val="00693CBA"/>
    <w:rsid w:val="00693D80"/>
    <w:rsid w:val="00693DC7"/>
    <w:rsid w:val="00694DF7"/>
    <w:rsid w:val="00694EB1"/>
    <w:rsid w:val="00694F46"/>
    <w:rsid w:val="006957DF"/>
    <w:rsid w:val="00696315"/>
    <w:rsid w:val="006967EB"/>
    <w:rsid w:val="00696A9D"/>
    <w:rsid w:val="00696CCE"/>
    <w:rsid w:val="00696DD3"/>
    <w:rsid w:val="00696EAD"/>
    <w:rsid w:val="006973D5"/>
    <w:rsid w:val="006A14B1"/>
    <w:rsid w:val="006A1DF8"/>
    <w:rsid w:val="006A20A5"/>
    <w:rsid w:val="006A2690"/>
    <w:rsid w:val="006A2CC2"/>
    <w:rsid w:val="006A2F8A"/>
    <w:rsid w:val="006A352D"/>
    <w:rsid w:val="006A4000"/>
    <w:rsid w:val="006A44B9"/>
    <w:rsid w:val="006A44DC"/>
    <w:rsid w:val="006A4B8D"/>
    <w:rsid w:val="006A5198"/>
    <w:rsid w:val="006A55ED"/>
    <w:rsid w:val="006A5AC2"/>
    <w:rsid w:val="006A5CC0"/>
    <w:rsid w:val="006A6AB2"/>
    <w:rsid w:val="006A6B1B"/>
    <w:rsid w:val="006A6DBF"/>
    <w:rsid w:val="006A74EB"/>
    <w:rsid w:val="006A7DD2"/>
    <w:rsid w:val="006B17B3"/>
    <w:rsid w:val="006B1D37"/>
    <w:rsid w:val="006B1F96"/>
    <w:rsid w:val="006B2036"/>
    <w:rsid w:val="006B24A6"/>
    <w:rsid w:val="006B256D"/>
    <w:rsid w:val="006B2C4F"/>
    <w:rsid w:val="006B2E14"/>
    <w:rsid w:val="006B2E55"/>
    <w:rsid w:val="006B2F4F"/>
    <w:rsid w:val="006B3415"/>
    <w:rsid w:val="006B449B"/>
    <w:rsid w:val="006B4B29"/>
    <w:rsid w:val="006B4D90"/>
    <w:rsid w:val="006B5189"/>
    <w:rsid w:val="006B5348"/>
    <w:rsid w:val="006B56BC"/>
    <w:rsid w:val="006B575F"/>
    <w:rsid w:val="006B64B1"/>
    <w:rsid w:val="006B6A14"/>
    <w:rsid w:val="006B7371"/>
    <w:rsid w:val="006B7EF0"/>
    <w:rsid w:val="006C05EE"/>
    <w:rsid w:val="006C0C42"/>
    <w:rsid w:val="006C0DF7"/>
    <w:rsid w:val="006C1004"/>
    <w:rsid w:val="006C1EC0"/>
    <w:rsid w:val="006C2AF4"/>
    <w:rsid w:val="006C2C71"/>
    <w:rsid w:val="006C2CBB"/>
    <w:rsid w:val="006C2CE8"/>
    <w:rsid w:val="006C3720"/>
    <w:rsid w:val="006C3994"/>
    <w:rsid w:val="006C3EF1"/>
    <w:rsid w:val="006C4098"/>
    <w:rsid w:val="006C40CB"/>
    <w:rsid w:val="006C46A5"/>
    <w:rsid w:val="006C4B77"/>
    <w:rsid w:val="006C54EF"/>
    <w:rsid w:val="006C587D"/>
    <w:rsid w:val="006C5E8F"/>
    <w:rsid w:val="006C7151"/>
    <w:rsid w:val="006D072B"/>
    <w:rsid w:val="006D07DF"/>
    <w:rsid w:val="006D0C2B"/>
    <w:rsid w:val="006D1D77"/>
    <w:rsid w:val="006D2705"/>
    <w:rsid w:val="006D2BF0"/>
    <w:rsid w:val="006D2D63"/>
    <w:rsid w:val="006D3B1F"/>
    <w:rsid w:val="006D4124"/>
    <w:rsid w:val="006D41FD"/>
    <w:rsid w:val="006D49DC"/>
    <w:rsid w:val="006D4A68"/>
    <w:rsid w:val="006D4C55"/>
    <w:rsid w:val="006D5318"/>
    <w:rsid w:val="006D54F0"/>
    <w:rsid w:val="006D5E80"/>
    <w:rsid w:val="006D6218"/>
    <w:rsid w:val="006D747F"/>
    <w:rsid w:val="006D76DD"/>
    <w:rsid w:val="006D7923"/>
    <w:rsid w:val="006E01D6"/>
    <w:rsid w:val="006E0AF6"/>
    <w:rsid w:val="006E0C30"/>
    <w:rsid w:val="006E0D00"/>
    <w:rsid w:val="006E1CFF"/>
    <w:rsid w:val="006E3411"/>
    <w:rsid w:val="006E34F8"/>
    <w:rsid w:val="006E3D0A"/>
    <w:rsid w:val="006E42CE"/>
    <w:rsid w:val="006E4461"/>
    <w:rsid w:val="006E4E86"/>
    <w:rsid w:val="006E615B"/>
    <w:rsid w:val="006E6482"/>
    <w:rsid w:val="006E6C7C"/>
    <w:rsid w:val="006E7654"/>
    <w:rsid w:val="006F039C"/>
    <w:rsid w:val="006F0687"/>
    <w:rsid w:val="006F071E"/>
    <w:rsid w:val="006F08D2"/>
    <w:rsid w:val="006F0968"/>
    <w:rsid w:val="006F0AD8"/>
    <w:rsid w:val="006F0D19"/>
    <w:rsid w:val="006F267B"/>
    <w:rsid w:val="006F2BF5"/>
    <w:rsid w:val="006F30CE"/>
    <w:rsid w:val="006F3C16"/>
    <w:rsid w:val="006F3E65"/>
    <w:rsid w:val="006F4758"/>
    <w:rsid w:val="006F513F"/>
    <w:rsid w:val="006F516A"/>
    <w:rsid w:val="006F5E95"/>
    <w:rsid w:val="006F689B"/>
    <w:rsid w:val="006F6A38"/>
    <w:rsid w:val="006F7630"/>
    <w:rsid w:val="006F7AA0"/>
    <w:rsid w:val="006F7E07"/>
    <w:rsid w:val="00700FCC"/>
    <w:rsid w:val="007024D7"/>
    <w:rsid w:val="00702615"/>
    <w:rsid w:val="007026CB"/>
    <w:rsid w:val="007026DD"/>
    <w:rsid w:val="0070327E"/>
    <w:rsid w:val="0070358B"/>
    <w:rsid w:val="0070371F"/>
    <w:rsid w:val="0070548C"/>
    <w:rsid w:val="00705D60"/>
    <w:rsid w:val="00706D68"/>
    <w:rsid w:val="007078F7"/>
    <w:rsid w:val="00711644"/>
    <w:rsid w:val="00711F7C"/>
    <w:rsid w:val="007121A3"/>
    <w:rsid w:val="00713B10"/>
    <w:rsid w:val="00715764"/>
    <w:rsid w:val="007163F5"/>
    <w:rsid w:val="00716463"/>
    <w:rsid w:val="0071690C"/>
    <w:rsid w:val="00716C4B"/>
    <w:rsid w:val="00716F0A"/>
    <w:rsid w:val="00717D1B"/>
    <w:rsid w:val="007206B3"/>
    <w:rsid w:val="00720881"/>
    <w:rsid w:val="00720B6A"/>
    <w:rsid w:val="00720BA4"/>
    <w:rsid w:val="00721329"/>
    <w:rsid w:val="0072209D"/>
    <w:rsid w:val="007221C4"/>
    <w:rsid w:val="00723411"/>
    <w:rsid w:val="00723971"/>
    <w:rsid w:val="00724012"/>
    <w:rsid w:val="0072429B"/>
    <w:rsid w:val="00724512"/>
    <w:rsid w:val="00724670"/>
    <w:rsid w:val="007254E5"/>
    <w:rsid w:val="007256B3"/>
    <w:rsid w:val="00725805"/>
    <w:rsid w:val="00726255"/>
    <w:rsid w:val="00726A6B"/>
    <w:rsid w:val="00726A6E"/>
    <w:rsid w:val="0072704D"/>
    <w:rsid w:val="007272F4"/>
    <w:rsid w:val="0072774A"/>
    <w:rsid w:val="007278C1"/>
    <w:rsid w:val="00727A3F"/>
    <w:rsid w:val="00727B29"/>
    <w:rsid w:val="007306E0"/>
    <w:rsid w:val="007307BD"/>
    <w:rsid w:val="00730EEC"/>
    <w:rsid w:val="00731048"/>
    <w:rsid w:val="00731664"/>
    <w:rsid w:val="00731B39"/>
    <w:rsid w:val="00731B5B"/>
    <w:rsid w:val="007333AD"/>
    <w:rsid w:val="00734F24"/>
    <w:rsid w:val="007360A6"/>
    <w:rsid w:val="00736371"/>
    <w:rsid w:val="0073666F"/>
    <w:rsid w:val="0073767A"/>
    <w:rsid w:val="0073772B"/>
    <w:rsid w:val="007378D1"/>
    <w:rsid w:val="00737F07"/>
    <w:rsid w:val="00737FEC"/>
    <w:rsid w:val="00740105"/>
    <w:rsid w:val="00740142"/>
    <w:rsid w:val="0074068F"/>
    <w:rsid w:val="00741470"/>
    <w:rsid w:val="00742CBD"/>
    <w:rsid w:val="00742CCB"/>
    <w:rsid w:val="007433F7"/>
    <w:rsid w:val="0074404A"/>
    <w:rsid w:val="00744210"/>
    <w:rsid w:val="00744A87"/>
    <w:rsid w:val="00744C2C"/>
    <w:rsid w:val="00744CC7"/>
    <w:rsid w:val="00744CDF"/>
    <w:rsid w:val="00745513"/>
    <w:rsid w:val="007455AD"/>
    <w:rsid w:val="00745736"/>
    <w:rsid w:val="00745B79"/>
    <w:rsid w:val="007461CE"/>
    <w:rsid w:val="007478B5"/>
    <w:rsid w:val="00747F1E"/>
    <w:rsid w:val="00750266"/>
    <w:rsid w:val="0075051D"/>
    <w:rsid w:val="00750712"/>
    <w:rsid w:val="007510FA"/>
    <w:rsid w:val="00751A61"/>
    <w:rsid w:val="00752EFA"/>
    <w:rsid w:val="00753383"/>
    <w:rsid w:val="00753FA5"/>
    <w:rsid w:val="00754B4F"/>
    <w:rsid w:val="00755071"/>
    <w:rsid w:val="00755165"/>
    <w:rsid w:val="00756B10"/>
    <w:rsid w:val="00757314"/>
    <w:rsid w:val="007609E3"/>
    <w:rsid w:val="00761737"/>
    <w:rsid w:val="0076211D"/>
    <w:rsid w:val="007626DA"/>
    <w:rsid w:val="00762B15"/>
    <w:rsid w:val="00762CBC"/>
    <w:rsid w:val="007636C3"/>
    <w:rsid w:val="00763AEE"/>
    <w:rsid w:val="0076487A"/>
    <w:rsid w:val="00765068"/>
    <w:rsid w:val="00765488"/>
    <w:rsid w:val="007654CF"/>
    <w:rsid w:val="00765789"/>
    <w:rsid w:val="00766AC7"/>
    <w:rsid w:val="0076745F"/>
    <w:rsid w:val="00770082"/>
    <w:rsid w:val="00770364"/>
    <w:rsid w:val="007710EA"/>
    <w:rsid w:val="007716B8"/>
    <w:rsid w:val="007717DB"/>
    <w:rsid w:val="007718FC"/>
    <w:rsid w:val="0077201F"/>
    <w:rsid w:val="00772B91"/>
    <w:rsid w:val="00772C26"/>
    <w:rsid w:val="00772E71"/>
    <w:rsid w:val="00772FA7"/>
    <w:rsid w:val="007755B0"/>
    <w:rsid w:val="0077772B"/>
    <w:rsid w:val="007779BB"/>
    <w:rsid w:val="00777BAA"/>
    <w:rsid w:val="00777BC6"/>
    <w:rsid w:val="00777EDC"/>
    <w:rsid w:val="00780360"/>
    <w:rsid w:val="00780958"/>
    <w:rsid w:val="00780BB4"/>
    <w:rsid w:val="00781200"/>
    <w:rsid w:val="00781655"/>
    <w:rsid w:val="00782FCC"/>
    <w:rsid w:val="00783EE4"/>
    <w:rsid w:val="00785114"/>
    <w:rsid w:val="007851ED"/>
    <w:rsid w:val="00785279"/>
    <w:rsid w:val="007853F0"/>
    <w:rsid w:val="00785990"/>
    <w:rsid w:val="00785BA0"/>
    <w:rsid w:val="00785DD8"/>
    <w:rsid w:val="0078626C"/>
    <w:rsid w:val="007862CF"/>
    <w:rsid w:val="0078676A"/>
    <w:rsid w:val="007872F8"/>
    <w:rsid w:val="00787D07"/>
    <w:rsid w:val="00787D53"/>
    <w:rsid w:val="00787DD9"/>
    <w:rsid w:val="00790005"/>
    <w:rsid w:val="007906AC"/>
    <w:rsid w:val="007909B0"/>
    <w:rsid w:val="00790BC3"/>
    <w:rsid w:val="00791E5C"/>
    <w:rsid w:val="00792623"/>
    <w:rsid w:val="0079301B"/>
    <w:rsid w:val="00793476"/>
    <w:rsid w:val="00793A08"/>
    <w:rsid w:val="00793DCA"/>
    <w:rsid w:val="007945FE"/>
    <w:rsid w:val="0079462C"/>
    <w:rsid w:val="007948E3"/>
    <w:rsid w:val="00794DF0"/>
    <w:rsid w:val="007951C3"/>
    <w:rsid w:val="00795769"/>
    <w:rsid w:val="00795D10"/>
    <w:rsid w:val="00796077"/>
    <w:rsid w:val="007A0C6C"/>
    <w:rsid w:val="007A0FAB"/>
    <w:rsid w:val="007A13D3"/>
    <w:rsid w:val="007A18D2"/>
    <w:rsid w:val="007A2A33"/>
    <w:rsid w:val="007A2B7A"/>
    <w:rsid w:val="007A2DF9"/>
    <w:rsid w:val="007A3545"/>
    <w:rsid w:val="007A3860"/>
    <w:rsid w:val="007A3ABB"/>
    <w:rsid w:val="007A45FD"/>
    <w:rsid w:val="007A4822"/>
    <w:rsid w:val="007A4AD3"/>
    <w:rsid w:val="007A4EB8"/>
    <w:rsid w:val="007A5589"/>
    <w:rsid w:val="007A65AD"/>
    <w:rsid w:val="007A6896"/>
    <w:rsid w:val="007A6E38"/>
    <w:rsid w:val="007A7AC2"/>
    <w:rsid w:val="007A7C66"/>
    <w:rsid w:val="007B01F2"/>
    <w:rsid w:val="007B18D8"/>
    <w:rsid w:val="007B18E8"/>
    <w:rsid w:val="007B1D8E"/>
    <w:rsid w:val="007B1E3F"/>
    <w:rsid w:val="007B1F74"/>
    <w:rsid w:val="007B2302"/>
    <w:rsid w:val="007B2A7D"/>
    <w:rsid w:val="007B2BBB"/>
    <w:rsid w:val="007B318B"/>
    <w:rsid w:val="007B4155"/>
    <w:rsid w:val="007B4E88"/>
    <w:rsid w:val="007B4FD4"/>
    <w:rsid w:val="007B5244"/>
    <w:rsid w:val="007B52E3"/>
    <w:rsid w:val="007B5E15"/>
    <w:rsid w:val="007C0240"/>
    <w:rsid w:val="007C41CC"/>
    <w:rsid w:val="007C4E44"/>
    <w:rsid w:val="007C4EC8"/>
    <w:rsid w:val="007C55F6"/>
    <w:rsid w:val="007C5A0B"/>
    <w:rsid w:val="007C60B0"/>
    <w:rsid w:val="007C6B46"/>
    <w:rsid w:val="007D0AF0"/>
    <w:rsid w:val="007D0CB9"/>
    <w:rsid w:val="007D15F5"/>
    <w:rsid w:val="007D386E"/>
    <w:rsid w:val="007D3F64"/>
    <w:rsid w:val="007D4157"/>
    <w:rsid w:val="007D440E"/>
    <w:rsid w:val="007D44CF"/>
    <w:rsid w:val="007D4502"/>
    <w:rsid w:val="007D4EAD"/>
    <w:rsid w:val="007D4EB1"/>
    <w:rsid w:val="007D55BD"/>
    <w:rsid w:val="007D5D6F"/>
    <w:rsid w:val="007D711C"/>
    <w:rsid w:val="007D7936"/>
    <w:rsid w:val="007D79C6"/>
    <w:rsid w:val="007D7D48"/>
    <w:rsid w:val="007E0502"/>
    <w:rsid w:val="007E0F8F"/>
    <w:rsid w:val="007E2432"/>
    <w:rsid w:val="007E2DC6"/>
    <w:rsid w:val="007E2FF2"/>
    <w:rsid w:val="007E3445"/>
    <w:rsid w:val="007E3A66"/>
    <w:rsid w:val="007E45E8"/>
    <w:rsid w:val="007E4CA7"/>
    <w:rsid w:val="007E58F8"/>
    <w:rsid w:val="007E74C6"/>
    <w:rsid w:val="007E7847"/>
    <w:rsid w:val="007E7EE8"/>
    <w:rsid w:val="007F037D"/>
    <w:rsid w:val="007F293C"/>
    <w:rsid w:val="007F2A3C"/>
    <w:rsid w:val="007F2C0F"/>
    <w:rsid w:val="007F2F26"/>
    <w:rsid w:val="007F3580"/>
    <w:rsid w:val="007F3823"/>
    <w:rsid w:val="007F38EF"/>
    <w:rsid w:val="007F3C93"/>
    <w:rsid w:val="007F584D"/>
    <w:rsid w:val="007F5863"/>
    <w:rsid w:val="007F60AD"/>
    <w:rsid w:val="007F651B"/>
    <w:rsid w:val="007F72B8"/>
    <w:rsid w:val="007F73D6"/>
    <w:rsid w:val="0080028A"/>
    <w:rsid w:val="00800312"/>
    <w:rsid w:val="00800615"/>
    <w:rsid w:val="008006C3"/>
    <w:rsid w:val="00800835"/>
    <w:rsid w:val="00801752"/>
    <w:rsid w:val="00801D91"/>
    <w:rsid w:val="00801F6D"/>
    <w:rsid w:val="00803399"/>
    <w:rsid w:val="008037F0"/>
    <w:rsid w:val="008039F2"/>
    <w:rsid w:val="00803CDF"/>
    <w:rsid w:val="00804691"/>
    <w:rsid w:val="00805039"/>
    <w:rsid w:val="008053AF"/>
    <w:rsid w:val="008057E6"/>
    <w:rsid w:val="00805A26"/>
    <w:rsid w:val="00806AF3"/>
    <w:rsid w:val="00807241"/>
    <w:rsid w:val="008103D8"/>
    <w:rsid w:val="008104C9"/>
    <w:rsid w:val="008106A0"/>
    <w:rsid w:val="0081084D"/>
    <w:rsid w:val="00811629"/>
    <w:rsid w:val="00811BDF"/>
    <w:rsid w:val="0081243E"/>
    <w:rsid w:val="00812E17"/>
    <w:rsid w:val="00813252"/>
    <w:rsid w:val="008138B8"/>
    <w:rsid w:val="00813CFA"/>
    <w:rsid w:val="00814902"/>
    <w:rsid w:val="00814C9F"/>
    <w:rsid w:val="00815819"/>
    <w:rsid w:val="00815A88"/>
    <w:rsid w:val="00816D29"/>
    <w:rsid w:val="00817505"/>
    <w:rsid w:val="008178C4"/>
    <w:rsid w:val="00820897"/>
    <w:rsid w:val="00821023"/>
    <w:rsid w:val="008218C2"/>
    <w:rsid w:val="00822930"/>
    <w:rsid w:val="00822D45"/>
    <w:rsid w:val="008230EF"/>
    <w:rsid w:val="0082400D"/>
    <w:rsid w:val="0082419E"/>
    <w:rsid w:val="00824DE1"/>
    <w:rsid w:val="00825654"/>
    <w:rsid w:val="008259EB"/>
    <w:rsid w:val="00826226"/>
    <w:rsid w:val="00826D32"/>
    <w:rsid w:val="00827213"/>
    <w:rsid w:val="00830141"/>
    <w:rsid w:val="0083022C"/>
    <w:rsid w:val="00830828"/>
    <w:rsid w:val="008311AC"/>
    <w:rsid w:val="00832205"/>
    <w:rsid w:val="008322F0"/>
    <w:rsid w:val="0083350D"/>
    <w:rsid w:val="00833C13"/>
    <w:rsid w:val="00833EE2"/>
    <w:rsid w:val="00834031"/>
    <w:rsid w:val="00834287"/>
    <w:rsid w:val="00834FD9"/>
    <w:rsid w:val="0083578F"/>
    <w:rsid w:val="008358B8"/>
    <w:rsid w:val="00835D33"/>
    <w:rsid w:val="00835E6C"/>
    <w:rsid w:val="00835EA7"/>
    <w:rsid w:val="0083709A"/>
    <w:rsid w:val="0083739F"/>
    <w:rsid w:val="008376A6"/>
    <w:rsid w:val="00837B92"/>
    <w:rsid w:val="00837C90"/>
    <w:rsid w:val="008404B1"/>
    <w:rsid w:val="008405E0"/>
    <w:rsid w:val="00840A8B"/>
    <w:rsid w:val="00842A2A"/>
    <w:rsid w:val="00842A48"/>
    <w:rsid w:val="00842AE8"/>
    <w:rsid w:val="0084362D"/>
    <w:rsid w:val="00843994"/>
    <w:rsid w:val="00844B2C"/>
    <w:rsid w:val="00845388"/>
    <w:rsid w:val="00845929"/>
    <w:rsid w:val="008459A8"/>
    <w:rsid w:val="00845A20"/>
    <w:rsid w:val="00845C0B"/>
    <w:rsid w:val="00845C6B"/>
    <w:rsid w:val="00846684"/>
    <w:rsid w:val="00846ADB"/>
    <w:rsid w:val="0084733D"/>
    <w:rsid w:val="0084742D"/>
    <w:rsid w:val="00847F52"/>
    <w:rsid w:val="00850985"/>
    <w:rsid w:val="00850C3D"/>
    <w:rsid w:val="00850C84"/>
    <w:rsid w:val="00852007"/>
    <w:rsid w:val="008534BB"/>
    <w:rsid w:val="00854488"/>
    <w:rsid w:val="00854E1E"/>
    <w:rsid w:val="00855570"/>
    <w:rsid w:val="00855B5A"/>
    <w:rsid w:val="00856049"/>
    <w:rsid w:val="008563EE"/>
    <w:rsid w:val="00856426"/>
    <w:rsid w:val="00856C4C"/>
    <w:rsid w:val="00857DA0"/>
    <w:rsid w:val="008602AC"/>
    <w:rsid w:val="008602D4"/>
    <w:rsid w:val="00860960"/>
    <w:rsid w:val="00860EEE"/>
    <w:rsid w:val="00861672"/>
    <w:rsid w:val="008619B9"/>
    <w:rsid w:val="0086207A"/>
    <w:rsid w:val="0086263A"/>
    <w:rsid w:val="0086296E"/>
    <w:rsid w:val="00862A1B"/>
    <w:rsid w:val="00862A71"/>
    <w:rsid w:val="00862D00"/>
    <w:rsid w:val="008631F6"/>
    <w:rsid w:val="0086338A"/>
    <w:rsid w:val="008641E4"/>
    <w:rsid w:val="00864A4A"/>
    <w:rsid w:val="00864C82"/>
    <w:rsid w:val="00865744"/>
    <w:rsid w:val="00865E54"/>
    <w:rsid w:val="00866495"/>
    <w:rsid w:val="008665B7"/>
    <w:rsid w:val="008675F7"/>
    <w:rsid w:val="00867A4F"/>
    <w:rsid w:val="00867B2A"/>
    <w:rsid w:val="00870717"/>
    <w:rsid w:val="00870CB7"/>
    <w:rsid w:val="0087149F"/>
    <w:rsid w:val="008717CC"/>
    <w:rsid w:val="00871B51"/>
    <w:rsid w:val="00871C98"/>
    <w:rsid w:val="00872091"/>
    <w:rsid w:val="00872363"/>
    <w:rsid w:val="008728F9"/>
    <w:rsid w:val="00872EED"/>
    <w:rsid w:val="00873A19"/>
    <w:rsid w:val="00873D46"/>
    <w:rsid w:val="00874407"/>
    <w:rsid w:val="00875B0C"/>
    <w:rsid w:val="00876BEE"/>
    <w:rsid w:val="00876D05"/>
    <w:rsid w:val="008770B5"/>
    <w:rsid w:val="008776D5"/>
    <w:rsid w:val="0088057E"/>
    <w:rsid w:val="00880BFF"/>
    <w:rsid w:val="00880E0E"/>
    <w:rsid w:val="00881551"/>
    <w:rsid w:val="00881D34"/>
    <w:rsid w:val="008829B1"/>
    <w:rsid w:val="00882D4D"/>
    <w:rsid w:val="00883361"/>
    <w:rsid w:val="008848B3"/>
    <w:rsid w:val="00885875"/>
    <w:rsid w:val="00885E06"/>
    <w:rsid w:val="00885E1F"/>
    <w:rsid w:val="008861A1"/>
    <w:rsid w:val="00886C31"/>
    <w:rsid w:val="00886EE7"/>
    <w:rsid w:val="00886FEB"/>
    <w:rsid w:val="008878BB"/>
    <w:rsid w:val="0089006C"/>
    <w:rsid w:val="008901AD"/>
    <w:rsid w:val="008914EA"/>
    <w:rsid w:val="008915AF"/>
    <w:rsid w:val="00891629"/>
    <w:rsid w:val="00891C08"/>
    <w:rsid w:val="00892745"/>
    <w:rsid w:val="00892D43"/>
    <w:rsid w:val="00892DC4"/>
    <w:rsid w:val="00893D5C"/>
    <w:rsid w:val="008943FF"/>
    <w:rsid w:val="00894872"/>
    <w:rsid w:val="00894A2E"/>
    <w:rsid w:val="008956B3"/>
    <w:rsid w:val="00895A26"/>
    <w:rsid w:val="00895D2E"/>
    <w:rsid w:val="00895EC8"/>
    <w:rsid w:val="00896200"/>
    <w:rsid w:val="008964E4"/>
    <w:rsid w:val="00896D1C"/>
    <w:rsid w:val="00896FDC"/>
    <w:rsid w:val="008A0116"/>
    <w:rsid w:val="008A01B0"/>
    <w:rsid w:val="008A0292"/>
    <w:rsid w:val="008A05CE"/>
    <w:rsid w:val="008A05F3"/>
    <w:rsid w:val="008A1280"/>
    <w:rsid w:val="008A148A"/>
    <w:rsid w:val="008A19F5"/>
    <w:rsid w:val="008A1EC2"/>
    <w:rsid w:val="008A1F97"/>
    <w:rsid w:val="008A23B5"/>
    <w:rsid w:val="008A3AA9"/>
    <w:rsid w:val="008A3C3C"/>
    <w:rsid w:val="008A3D2D"/>
    <w:rsid w:val="008A3E93"/>
    <w:rsid w:val="008A4CB3"/>
    <w:rsid w:val="008A5039"/>
    <w:rsid w:val="008A51B7"/>
    <w:rsid w:val="008A540B"/>
    <w:rsid w:val="008A5C3B"/>
    <w:rsid w:val="008A6454"/>
    <w:rsid w:val="008A76A4"/>
    <w:rsid w:val="008A78E7"/>
    <w:rsid w:val="008B0F18"/>
    <w:rsid w:val="008B1177"/>
    <w:rsid w:val="008B1567"/>
    <w:rsid w:val="008B2704"/>
    <w:rsid w:val="008B2AD1"/>
    <w:rsid w:val="008B3214"/>
    <w:rsid w:val="008B394B"/>
    <w:rsid w:val="008B3DFC"/>
    <w:rsid w:val="008B4DE2"/>
    <w:rsid w:val="008B534A"/>
    <w:rsid w:val="008B5740"/>
    <w:rsid w:val="008B5BB8"/>
    <w:rsid w:val="008B5BFA"/>
    <w:rsid w:val="008B6460"/>
    <w:rsid w:val="008B67E7"/>
    <w:rsid w:val="008B6E47"/>
    <w:rsid w:val="008B7058"/>
    <w:rsid w:val="008C0C42"/>
    <w:rsid w:val="008C18AD"/>
    <w:rsid w:val="008C22DC"/>
    <w:rsid w:val="008C251E"/>
    <w:rsid w:val="008C25E9"/>
    <w:rsid w:val="008C2B98"/>
    <w:rsid w:val="008C2EAB"/>
    <w:rsid w:val="008C3AA4"/>
    <w:rsid w:val="008C3B75"/>
    <w:rsid w:val="008C426F"/>
    <w:rsid w:val="008C4589"/>
    <w:rsid w:val="008C557E"/>
    <w:rsid w:val="008C6449"/>
    <w:rsid w:val="008C67BD"/>
    <w:rsid w:val="008C6D5D"/>
    <w:rsid w:val="008C76D4"/>
    <w:rsid w:val="008D2021"/>
    <w:rsid w:val="008D2316"/>
    <w:rsid w:val="008D260E"/>
    <w:rsid w:val="008D2C54"/>
    <w:rsid w:val="008D31B2"/>
    <w:rsid w:val="008D32A2"/>
    <w:rsid w:val="008D3F9F"/>
    <w:rsid w:val="008D4393"/>
    <w:rsid w:val="008D5579"/>
    <w:rsid w:val="008D57B3"/>
    <w:rsid w:val="008D5899"/>
    <w:rsid w:val="008D5CE6"/>
    <w:rsid w:val="008D618E"/>
    <w:rsid w:val="008D665B"/>
    <w:rsid w:val="008D6703"/>
    <w:rsid w:val="008D6931"/>
    <w:rsid w:val="008D75BC"/>
    <w:rsid w:val="008E03B7"/>
    <w:rsid w:val="008E059D"/>
    <w:rsid w:val="008E05AA"/>
    <w:rsid w:val="008E15C1"/>
    <w:rsid w:val="008E27AB"/>
    <w:rsid w:val="008E2828"/>
    <w:rsid w:val="008E2E50"/>
    <w:rsid w:val="008E303B"/>
    <w:rsid w:val="008E32B0"/>
    <w:rsid w:val="008E3430"/>
    <w:rsid w:val="008E36B1"/>
    <w:rsid w:val="008E47D1"/>
    <w:rsid w:val="008E49EF"/>
    <w:rsid w:val="008E4BB9"/>
    <w:rsid w:val="008E5E77"/>
    <w:rsid w:val="008E5FC1"/>
    <w:rsid w:val="008E6436"/>
    <w:rsid w:val="008E682B"/>
    <w:rsid w:val="008E6F43"/>
    <w:rsid w:val="008E7EFE"/>
    <w:rsid w:val="008F0E9F"/>
    <w:rsid w:val="008F1496"/>
    <w:rsid w:val="008F154A"/>
    <w:rsid w:val="008F17C3"/>
    <w:rsid w:val="008F2032"/>
    <w:rsid w:val="008F2697"/>
    <w:rsid w:val="008F26D6"/>
    <w:rsid w:val="008F3596"/>
    <w:rsid w:val="008F35EB"/>
    <w:rsid w:val="008F3606"/>
    <w:rsid w:val="008F4E9B"/>
    <w:rsid w:val="008F5F0A"/>
    <w:rsid w:val="008F5F3C"/>
    <w:rsid w:val="008F659E"/>
    <w:rsid w:val="008F66E5"/>
    <w:rsid w:val="008F6DE3"/>
    <w:rsid w:val="008F7474"/>
    <w:rsid w:val="008F74C0"/>
    <w:rsid w:val="008F7601"/>
    <w:rsid w:val="008F7602"/>
    <w:rsid w:val="0090147E"/>
    <w:rsid w:val="009015C5"/>
    <w:rsid w:val="00901C5A"/>
    <w:rsid w:val="00902BB4"/>
    <w:rsid w:val="00902E42"/>
    <w:rsid w:val="00902FC8"/>
    <w:rsid w:val="00903042"/>
    <w:rsid w:val="00903535"/>
    <w:rsid w:val="0090365E"/>
    <w:rsid w:val="00903D68"/>
    <w:rsid w:val="0090422C"/>
    <w:rsid w:val="0090544D"/>
    <w:rsid w:val="00905A19"/>
    <w:rsid w:val="00906F50"/>
    <w:rsid w:val="00907409"/>
    <w:rsid w:val="00907797"/>
    <w:rsid w:val="00910462"/>
    <w:rsid w:val="00910F3F"/>
    <w:rsid w:val="00910F7D"/>
    <w:rsid w:val="00910FB9"/>
    <w:rsid w:val="00912210"/>
    <w:rsid w:val="0091235D"/>
    <w:rsid w:val="00912440"/>
    <w:rsid w:val="0091246E"/>
    <w:rsid w:val="00912A94"/>
    <w:rsid w:val="00912E15"/>
    <w:rsid w:val="0091308E"/>
    <w:rsid w:val="00913840"/>
    <w:rsid w:val="00913B30"/>
    <w:rsid w:val="0091449B"/>
    <w:rsid w:val="00914800"/>
    <w:rsid w:val="009157CA"/>
    <w:rsid w:val="00915E3B"/>
    <w:rsid w:val="00916A21"/>
    <w:rsid w:val="009174EB"/>
    <w:rsid w:val="009175CD"/>
    <w:rsid w:val="00917806"/>
    <w:rsid w:val="00920062"/>
    <w:rsid w:val="00920169"/>
    <w:rsid w:val="00920297"/>
    <w:rsid w:val="009204C6"/>
    <w:rsid w:val="0092097D"/>
    <w:rsid w:val="009217E0"/>
    <w:rsid w:val="00921B2B"/>
    <w:rsid w:val="0092356A"/>
    <w:rsid w:val="009235C5"/>
    <w:rsid w:val="009237FB"/>
    <w:rsid w:val="0092430C"/>
    <w:rsid w:val="009248F0"/>
    <w:rsid w:val="009249CD"/>
    <w:rsid w:val="00924FFC"/>
    <w:rsid w:val="009267E1"/>
    <w:rsid w:val="00926AF8"/>
    <w:rsid w:val="009271E6"/>
    <w:rsid w:val="00927499"/>
    <w:rsid w:val="0092757A"/>
    <w:rsid w:val="00927CED"/>
    <w:rsid w:val="00930855"/>
    <w:rsid w:val="00931402"/>
    <w:rsid w:val="009318AD"/>
    <w:rsid w:val="00932384"/>
    <w:rsid w:val="009329DF"/>
    <w:rsid w:val="009329E3"/>
    <w:rsid w:val="00933443"/>
    <w:rsid w:val="00934260"/>
    <w:rsid w:val="00934859"/>
    <w:rsid w:val="00934A92"/>
    <w:rsid w:val="00934BAA"/>
    <w:rsid w:val="00934EF1"/>
    <w:rsid w:val="009365FF"/>
    <w:rsid w:val="00937E07"/>
    <w:rsid w:val="00937E46"/>
    <w:rsid w:val="00937E5F"/>
    <w:rsid w:val="009401E9"/>
    <w:rsid w:val="009402F1"/>
    <w:rsid w:val="0094095B"/>
    <w:rsid w:val="009410CD"/>
    <w:rsid w:val="00941884"/>
    <w:rsid w:val="009418D3"/>
    <w:rsid w:val="00941BB0"/>
    <w:rsid w:val="00941E0C"/>
    <w:rsid w:val="009432CD"/>
    <w:rsid w:val="00944435"/>
    <w:rsid w:val="00945536"/>
    <w:rsid w:val="00945711"/>
    <w:rsid w:val="009464DD"/>
    <w:rsid w:val="0094676F"/>
    <w:rsid w:val="00947743"/>
    <w:rsid w:val="009479B9"/>
    <w:rsid w:val="00947AB5"/>
    <w:rsid w:val="00947D70"/>
    <w:rsid w:val="00950769"/>
    <w:rsid w:val="0095080D"/>
    <w:rsid w:val="0095080E"/>
    <w:rsid w:val="009509A1"/>
    <w:rsid w:val="00950CE4"/>
    <w:rsid w:val="00950EA6"/>
    <w:rsid w:val="009522BE"/>
    <w:rsid w:val="009538B9"/>
    <w:rsid w:val="00954971"/>
    <w:rsid w:val="00956219"/>
    <w:rsid w:val="00956377"/>
    <w:rsid w:val="009564A9"/>
    <w:rsid w:val="00956C5B"/>
    <w:rsid w:val="00956F0D"/>
    <w:rsid w:val="00957450"/>
    <w:rsid w:val="00957BEA"/>
    <w:rsid w:val="00957FF6"/>
    <w:rsid w:val="009603CB"/>
    <w:rsid w:val="00960722"/>
    <w:rsid w:val="00961AA4"/>
    <w:rsid w:val="00961CF4"/>
    <w:rsid w:val="009634BE"/>
    <w:rsid w:val="00963E1D"/>
    <w:rsid w:val="00964198"/>
    <w:rsid w:val="00964389"/>
    <w:rsid w:val="00964598"/>
    <w:rsid w:val="00964F35"/>
    <w:rsid w:val="009653C6"/>
    <w:rsid w:val="00966934"/>
    <w:rsid w:val="00967602"/>
    <w:rsid w:val="00967CB2"/>
    <w:rsid w:val="0096FBC9"/>
    <w:rsid w:val="009718C8"/>
    <w:rsid w:val="00971AD2"/>
    <w:rsid w:val="00971B1E"/>
    <w:rsid w:val="00973650"/>
    <w:rsid w:val="009745DC"/>
    <w:rsid w:val="00974E8C"/>
    <w:rsid w:val="009755B8"/>
    <w:rsid w:val="0097573D"/>
    <w:rsid w:val="00975884"/>
    <w:rsid w:val="009765EF"/>
    <w:rsid w:val="009767A6"/>
    <w:rsid w:val="0097693A"/>
    <w:rsid w:val="00977261"/>
    <w:rsid w:val="00977507"/>
    <w:rsid w:val="009777F5"/>
    <w:rsid w:val="0098058C"/>
    <w:rsid w:val="00980A08"/>
    <w:rsid w:val="009814DA"/>
    <w:rsid w:val="009818D2"/>
    <w:rsid w:val="009828FA"/>
    <w:rsid w:val="00982AB1"/>
    <w:rsid w:val="00982AC4"/>
    <w:rsid w:val="00982CD7"/>
    <w:rsid w:val="00982DD8"/>
    <w:rsid w:val="0098308E"/>
    <w:rsid w:val="00984DB8"/>
    <w:rsid w:val="00985CCF"/>
    <w:rsid w:val="00985DF2"/>
    <w:rsid w:val="00985FAC"/>
    <w:rsid w:val="009868FB"/>
    <w:rsid w:val="00986BD7"/>
    <w:rsid w:val="00987473"/>
    <w:rsid w:val="0098757A"/>
    <w:rsid w:val="0098773A"/>
    <w:rsid w:val="00987C96"/>
    <w:rsid w:val="009908B1"/>
    <w:rsid w:val="00991E92"/>
    <w:rsid w:val="00992F4D"/>
    <w:rsid w:val="00992FA4"/>
    <w:rsid w:val="0099357A"/>
    <w:rsid w:val="00993734"/>
    <w:rsid w:val="00993D9B"/>
    <w:rsid w:val="00993DB7"/>
    <w:rsid w:val="00993F4B"/>
    <w:rsid w:val="00993FCE"/>
    <w:rsid w:val="009946B0"/>
    <w:rsid w:val="009949D0"/>
    <w:rsid w:val="00994AD5"/>
    <w:rsid w:val="00994D0C"/>
    <w:rsid w:val="0099560E"/>
    <w:rsid w:val="00995C6F"/>
    <w:rsid w:val="00995DAD"/>
    <w:rsid w:val="00996D27"/>
    <w:rsid w:val="009979EE"/>
    <w:rsid w:val="00997F5A"/>
    <w:rsid w:val="009A0936"/>
    <w:rsid w:val="009A0A0D"/>
    <w:rsid w:val="009A12DE"/>
    <w:rsid w:val="009A2EEA"/>
    <w:rsid w:val="009A2FDD"/>
    <w:rsid w:val="009A386B"/>
    <w:rsid w:val="009A390F"/>
    <w:rsid w:val="009A3C3D"/>
    <w:rsid w:val="009A3DF6"/>
    <w:rsid w:val="009A3E5B"/>
    <w:rsid w:val="009A43AB"/>
    <w:rsid w:val="009A4AA4"/>
    <w:rsid w:val="009A4CB6"/>
    <w:rsid w:val="009A5C7A"/>
    <w:rsid w:val="009A5EF7"/>
    <w:rsid w:val="009A60B9"/>
    <w:rsid w:val="009A6240"/>
    <w:rsid w:val="009A68F6"/>
    <w:rsid w:val="009A70C7"/>
    <w:rsid w:val="009A79EF"/>
    <w:rsid w:val="009A7E85"/>
    <w:rsid w:val="009B112C"/>
    <w:rsid w:val="009B1BE2"/>
    <w:rsid w:val="009B1FE4"/>
    <w:rsid w:val="009B25FD"/>
    <w:rsid w:val="009B2722"/>
    <w:rsid w:val="009B279B"/>
    <w:rsid w:val="009B2FB4"/>
    <w:rsid w:val="009B31E3"/>
    <w:rsid w:val="009B321E"/>
    <w:rsid w:val="009B32FF"/>
    <w:rsid w:val="009B3359"/>
    <w:rsid w:val="009B385E"/>
    <w:rsid w:val="009B3B17"/>
    <w:rsid w:val="009B3EC1"/>
    <w:rsid w:val="009B42ED"/>
    <w:rsid w:val="009B445E"/>
    <w:rsid w:val="009B48A6"/>
    <w:rsid w:val="009B58E9"/>
    <w:rsid w:val="009B5DE0"/>
    <w:rsid w:val="009B728B"/>
    <w:rsid w:val="009B79D1"/>
    <w:rsid w:val="009C0362"/>
    <w:rsid w:val="009C089B"/>
    <w:rsid w:val="009C10D0"/>
    <w:rsid w:val="009C18B6"/>
    <w:rsid w:val="009C2CAC"/>
    <w:rsid w:val="009C55E5"/>
    <w:rsid w:val="009C5D02"/>
    <w:rsid w:val="009C640D"/>
    <w:rsid w:val="009C657E"/>
    <w:rsid w:val="009C6A2D"/>
    <w:rsid w:val="009C6B31"/>
    <w:rsid w:val="009C71F0"/>
    <w:rsid w:val="009C78B3"/>
    <w:rsid w:val="009C7A1F"/>
    <w:rsid w:val="009C7E09"/>
    <w:rsid w:val="009C7E9A"/>
    <w:rsid w:val="009D03D8"/>
    <w:rsid w:val="009D0543"/>
    <w:rsid w:val="009D0851"/>
    <w:rsid w:val="009D0CBE"/>
    <w:rsid w:val="009D0CD5"/>
    <w:rsid w:val="009D1189"/>
    <w:rsid w:val="009D13A6"/>
    <w:rsid w:val="009D1D7B"/>
    <w:rsid w:val="009D20C1"/>
    <w:rsid w:val="009D23C7"/>
    <w:rsid w:val="009D38C7"/>
    <w:rsid w:val="009D45B7"/>
    <w:rsid w:val="009D4844"/>
    <w:rsid w:val="009D4B4D"/>
    <w:rsid w:val="009D5B28"/>
    <w:rsid w:val="009D5DCA"/>
    <w:rsid w:val="009D5F2C"/>
    <w:rsid w:val="009D6263"/>
    <w:rsid w:val="009D7E30"/>
    <w:rsid w:val="009E0449"/>
    <w:rsid w:val="009E068F"/>
    <w:rsid w:val="009E1D1F"/>
    <w:rsid w:val="009E1E0C"/>
    <w:rsid w:val="009E1E2A"/>
    <w:rsid w:val="009E23FA"/>
    <w:rsid w:val="009E405E"/>
    <w:rsid w:val="009E4126"/>
    <w:rsid w:val="009E49ED"/>
    <w:rsid w:val="009E4BE5"/>
    <w:rsid w:val="009E4DCE"/>
    <w:rsid w:val="009E4E01"/>
    <w:rsid w:val="009E549F"/>
    <w:rsid w:val="009E631C"/>
    <w:rsid w:val="009E6DE0"/>
    <w:rsid w:val="009E7B85"/>
    <w:rsid w:val="009E7C76"/>
    <w:rsid w:val="009E7D5D"/>
    <w:rsid w:val="009F0116"/>
    <w:rsid w:val="009F0B41"/>
    <w:rsid w:val="009F1255"/>
    <w:rsid w:val="009F1268"/>
    <w:rsid w:val="009F1BE8"/>
    <w:rsid w:val="009F24EA"/>
    <w:rsid w:val="009F3963"/>
    <w:rsid w:val="009F470B"/>
    <w:rsid w:val="009F4A6D"/>
    <w:rsid w:val="009F4C8B"/>
    <w:rsid w:val="009F4E68"/>
    <w:rsid w:val="009F6074"/>
    <w:rsid w:val="009F7204"/>
    <w:rsid w:val="009F745F"/>
    <w:rsid w:val="00A001FC"/>
    <w:rsid w:val="00A00388"/>
    <w:rsid w:val="00A00849"/>
    <w:rsid w:val="00A0149A"/>
    <w:rsid w:val="00A018F3"/>
    <w:rsid w:val="00A024D0"/>
    <w:rsid w:val="00A02A73"/>
    <w:rsid w:val="00A03319"/>
    <w:rsid w:val="00A03CF5"/>
    <w:rsid w:val="00A04614"/>
    <w:rsid w:val="00A046F0"/>
    <w:rsid w:val="00A04E66"/>
    <w:rsid w:val="00A068FA"/>
    <w:rsid w:val="00A06AB2"/>
    <w:rsid w:val="00A06BCA"/>
    <w:rsid w:val="00A070DB"/>
    <w:rsid w:val="00A07598"/>
    <w:rsid w:val="00A075E3"/>
    <w:rsid w:val="00A101DA"/>
    <w:rsid w:val="00A1034E"/>
    <w:rsid w:val="00A104BC"/>
    <w:rsid w:val="00A10F51"/>
    <w:rsid w:val="00A1123F"/>
    <w:rsid w:val="00A1157A"/>
    <w:rsid w:val="00A120A0"/>
    <w:rsid w:val="00A1288E"/>
    <w:rsid w:val="00A12C82"/>
    <w:rsid w:val="00A13A02"/>
    <w:rsid w:val="00A13F02"/>
    <w:rsid w:val="00A145D3"/>
    <w:rsid w:val="00A16674"/>
    <w:rsid w:val="00A166B5"/>
    <w:rsid w:val="00A16B82"/>
    <w:rsid w:val="00A17537"/>
    <w:rsid w:val="00A17E06"/>
    <w:rsid w:val="00A17F54"/>
    <w:rsid w:val="00A208B0"/>
    <w:rsid w:val="00A20FD6"/>
    <w:rsid w:val="00A215C2"/>
    <w:rsid w:val="00A21BEC"/>
    <w:rsid w:val="00A22FE7"/>
    <w:rsid w:val="00A23631"/>
    <w:rsid w:val="00A2374B"/>
    <w:rsid w:val="00A23767"/>
    <w:rsid w:val="00A23B8B"/>
    <w:rsid w:val="00A23F2D"/>
    <w:rsid w:val="00A244C8"/>
    <w:rsid w:val="00A2573E"/>
    <w:rsid w:val="00A25C9E"/>
    <w:rsid w:val="00A261CC"/>
    <w:rsid w:val="00A2662C"/>
    <w:rsid w:val="00A26851"/>
    <w:rsid w:val="00A26F33"/>
    <w:rsid w:val="00A275BB"/>
    <w:rsid w:val="00A27877"/>
    <w:rsid w:val="00A27F2B"/>
    <w:rsid w:val="00A307AF"/>
    <w:rsid w:val="00A31199"/>
    <w:rsid w:val="00A31E75"/>
    <w:rsid w:val="00A321A7"/>
    <w:rsid w:val="00A32E50"/>
    <w:rsid w:val="00A336D8"/>
    <w:rsid w:val="00A33CDD"/>
    <w:rsid w:val="00A344B3"/>
    <w:rsid w:val="00A34619"/>
    <w:rsid w:val="00A35B23"/>
    <w:rsid w:val="00A35DC6"/>
    <w:rsid w:val="00A3697E"/>
    <w:rsid w:val="00A374E6"/>
    <w:rsid w:val="00A37708"/>
    <w:rsid w:val="00A409DB"/>
    <w:rsid w:val="00A40CE8"/>
    <w:rsid w:val="00A40DC2"/>
    <w:rsid w:val="00A412E3"/>
    <w:rsid w:val="00A42ED9"/>
    <w:rsid w:val="00A4378F"/>
    <w:rsid w:val="00A4451F"/>
    <w:rsid w:val="00A445D8"/>
    <w:rsid w:val="00A44B9E"/>
    <w:rsid w:val="00A44D39"/>
    <w:rsid w:val="00A44D63"/>
    <w:rsid w:val="00A452DD"/>
    <w:rsid w:val="00A456BB"/>
    <w:rsid w:val="00A4583D"/>
    <w:rsid w:val="00A45897"/>
    <w:rsid w:val="00A466E3"/>
    <w:rsid w:val="00A46C01"/>
    <w:rsid w:val="00A47395"/>
    <w:rsid w:val="00A47BE6"/>
    <w:rsid w:val="00A507F7"/>
    <w:rsid w:val="00A50CC7"/>
    <w:rsid w:val="00A516F7"/>
    <w:rsid w:val="00A518A8"/>
    <w:rsid w:val="00A51E5B"/>
    <w:rsid w:val="00A5245F"/>
    <w:rsid w:val="00A52E59"/>
    <w:rsid w:val="00A53612"/>
    <w:rsid w:val="00A5373A"/>
    <w:rsid w:val="00A53A78"/>
    <w:rsid w:val="00A54021"/>
    <w:rsid w:val="00A54F40"/>
    <w:rsid w:val="00A5536B"/>
    <w:rsid w:val="00A55B02"/>
    <w:rsid w:val="00A56183"/>
    <w:rsid w:val="00A566B7"/>
    <w:rsid w:val="00A568B6"/>
    <w:rsid w:val="00A56CD9"/>
    <w:rsid w:val="00A5711F"/>
    <w:rsid w:val="00A575B9"/>
    <w:rsid w:val="00A60115"/>
    <w:rsid w:val="00A608C7"/>
    <w:rsid w:val="00A6187B"/>
    <w:rsid w:val="00A6276D"/>
    <w:rsid w:val="00A62BE8"/>
    <w:rsid w:val="00A6386C"/>
    <w:rsid w:val="00A63C9A"/>
    <w:rsid w:val="00A64077"/>
    <w:rsid w:val="00A641C0"/>
    <w:rsid w:val="00A64A71"/>
    <w:rsid w:val="00A64CB4"/>
    <w:rsid w:val="00A65057"/>
    <w:rsid w:val="00A66D93"/>
    <w:rsid w:val="00A67643"/>
    <w:rsid w:val="00A67AA8"/>
    <w:rsid w:val="00A67D45"/>
    <w:rsid w:val="00A67EF1"/>
    <w:rsid w:val="00A70AA2"/>
    <w:rsid w:val="00A728E8"/>
    <w:rsid w:val="00A729D3"/>
    <w:rsid w:val="00A72C00"/>
    <w:rsid w:val="00A72C2D"/>
    <w:rsid w:val="00A72E56"/>
    <w:rsid w:val="00A7323B"/>
    <w:rsid w:val="00A732E7"/>
    <w:rsid w:val="00A736D2"/>
    <w:rsid w:val="00A73C20"/>
    <w:rsid w:val="00A74896"/>
    <w:rsid w:val="00A75400"/>
    <w:rsid w:val="00A75BE0"/>
    <w:rsid w:val="00A76C14"/>
    <w:rsid w:val="00A76F85"/>
    <w:rsid w:val="00A82581"/>
    <w:rsid w:val="00A829DE"/>
    <w:rsid w:val="00A83132"/>
    <w:rsid w:val="00A8367B"/>
    <w:rsid w:val="00A847A7"/>
    <w:rsid w:val="00A849A3"/>
    <w:rsid w:val="00A84E53"/>
    <w:rsid w:val="00A8510C"/>
    <w:rsid w:val="00A85592"/>
    <w:rsid w:val="00A8578D"/>
    <w:rsid w:val="00A8653F"/>
    <w:rsid w:val="00A86942"/>
    <w:rsid w:val="00A86B7D"/>
    <w:rsid w:val="00A87C36"/>
    <w:rsid w:val="00A87DF4"/>
    <w:rsid w:val="00A90286"/>
    <w:rsid w:val="00A90AE8"/>
    <w:rsid w:val="00A90BAD"/>
    <w:rsid w:val="00A910A9"/>
    <w:rsid w:val="00A9123E"/>
    <w:rsid w:val="00A91B69"/>
    <w:rsid w:val="00A93C69"/>
    <w:rsid w:val="00A9591A"/>
    <w:rsid w:val="00A95BE3"/>
    <w:rsid w:val="00A95FE9"/>
    <w:rsid w:val="00A961EA"/>
    <w:rsid w:val="00A9629E"/>
    <w:rsid w:val="00A96F0B"/>
    <w:rsid w:val="00AA0575"/>
    <w:rsid w:val="00AA1D76"/>
    <w:rsid w:val="00AA21A2"/>
    <w:rsid w:val="00AA26C6"/>
    <w:rsid w:val="00AA2ABB"/>
    <w:rsid w:val="00AA3031"/>
    <w:rsid w:val="00AA3478"/>
    <w:rsid w:val="00AA368C"/>
    <w:rsid w:val="00AA3B14"/>
    <w:rsid w:val="00AA3CF3"/>
    <w:rsid w:val="00AA4B68"/>
    <w:rsid w:val="00AA52C1"/>
    <w:rsid w:val="00AA64F9"/>
    <w:rsid w:val="00AA67E7"/>
    <w:rsid w:val="00AA68F9"/>
    <w:rsid w:val="00AA7E67"/>
    <w:rsid w:val="00AB08BC"/>
    <w:rsid w:val="00AB156C"/>
    <w:rsid w:val="00AB165F"/>
    <w:rsid w:val="00AB1A96"/>
    <w:rsid w:val="00AB26E5"/>
    <w:rsid w:val="00AB2947"/>
    <w:rsid w:val="00AB295B"/>
    <w:rsid w:val="00AB2C01"/>
    <w:rsid w:val="00AB3C69"/>
    <w:rsid w:val="00AB52ED"/>
    <w:rsid w:val="00AB5A36"/>
    <w:rsid w:val="00AB5F47"/>
    <w:rsid w:val="00AB6024"/>
    <w:rsid w:val="00AB6261"/>
    <w:rsid w:val="00AB7967"/>
    <w:rsid w:val="00AB7E84"/>
    <w:rsid w:val="00AC07AF"/>
    <w:rsid w:val="00AC16C6"/>
    <w:rsid w:val="00AC1FDA"/>
    <w:rsid w:val="00AC2229"/>
    <w:rsid w:val="00AC254D"/>
    <w:rsid w:val="00AC2881"/>
    <w:rsid w:val="00AC2AC3"/>
    <w:rsid w:val="00AC2DE1"/>
    <w:rsid w:val="00AC2F19"/>
    <w:rsid w:val="00AC32FB"/>
    <w:rsid w:val="00AC3632"/>
    <w:rsid w:val="00AC3C05"/>
    <w:rsid w:val="00AC4C30"/>
    <w:rsid w:val="00AC542A"/>
    <w:rsid w:val="00AC55CF"/>
    <w:rsid w:val="00AC5A01"/>
    <w:rsid w:val="00AC5EC6"/>
    <w:rsid w:val="00AC600E"/>
    <w:rsid w:val="00AC6A4B"/>
    <w:rsid w:val="00AC6E7A"/>
    <w:rsid w:val="00AC7475"/>
    <w:rsid w:val="00AC75AE"/>
    <w:rsid w:val="00AC7AF8"/>
    <w:rsid w:val="00AC7C32"/>
    <w:rsid w:val="00AD123B"/>
    <w:rsid w:val="00AD1D0D"/>
    <w:rsid w:val="00AD1F58"/>
    <w:rsid w:val="00AD221A"/>
    <w:rsid w:val="00AD3236"/>
    <w:rsid w:val="00AD4436"/>
    <w:rsid w:val="00AD4953"/>
    <w:rsid w:val="00AD52FF"/>
    <w:rsid w:val="00AD54B4"/>
    <w:rsid w:val="00AD570F"/>
    <w:rsid w:val="00AD5D9A"/>
    <w:rsid w:val="00AE0944"/>
    <w:rsid w:val="00AE0FF1"/>
    <w:rsid w:val="00AE299B"/>
    <w:rsid w:val="00AE2B1F"/>
    <w:rsid w:val="00AE2C74"/>
    <w:rsid w:val="00AE3217"/>
    <w:rsid w:val="00AE334E"/>
    <w:rsid w:val="00AE37A0"/>
    <w:rsid w:val="00AE3D2A"/>
    <w:rsid w:val="00AE4672"/>
    <w:rsid w:val="00AE4920"/>
    <w:rsid w:val="00AE4A6F"/>
    <w:rsid w:val="00AE51AB"/>
    <w:rsid w:val="00AE5225"/>
    <w:rsid w:val="00AE6074"/>
    <w:rsid w:val="00AE6704"/>
    <w:rsid w:val="00AE6C6E"/>
    <w:rsid w:val="00AE6E0C"/>
    <w:rsid w:val="00AE776C"/>
    <w:rsid w:val="00AE7BB9"/>
    <w:rsid w:val="00AE7CB3"/>
    <w:rsid w:val="00AF054D"/>
    <w:rsid w:val="00AF11AB"/>
    <w:rsid w:val="00AF164B"/>
    <w:rsid w:val="00AF1775"/>
    <w:rsid w:val="00AF26B2"/>
    <w:rsid w:val="00AF3276"/>
    <w:rsid w:val="00AF4C45"/>
    <w:rsid w:val="00AF6758"/>
    <w:rsid w:val="00AF69D2"/>
    <w:rsid w:val="00AF6FAA"/>
    <w:rsid w:val="00B00257"/>
    <w:rsid w:val="00B00CB1"/>
    <w:rsid w:val="00B0149A"/>
    <w:rsid w:val="00B01CDD"/>
    <w:rsid w:val="00B0384F"/>
    <w:rsid w:val="00B03C5E"/>
    <w:rsid w:val="00B03E20"/>
    <w:rsid w:val="00B04782"/>
    <w:rsid w:val="00B06055"/>
    <w:rsid w:val="00B06371"/>
    <w:rsid w:val="00B07891"/>
    <w:rsid w:val="00B104E4"/>
    <w:rsid w:val="00B10823"/>
    <w:rsid w:val="00B113FA"/>
    <w:rsid w:val="00B11735"/>
    <w:rsid w:val="00B11C5E"/>
    <w:rsid w:val="00B11ECB"/>
    <w:rsid w:val="00B12126"/>
    <w:rsid w:val="00B13175"/>
    <w:rsid w:val="00B134B7"/>
    <w:rsid w:val="00B14092"/>
    <w:rsid w:val="00B14D4C"/>
    <w:rsid w:val="00B14EDD"/>
    <w:rsid w:val="00B14F10"/>
    <w:rsid w:val="00B16A5B"/>
    <w:rsid w:val="00B16E64"/>
    <w:rsid w:val="00B1765C"/>
    <w:rsid w:val="00B21B44"/>
    <w:rsid w:val="00B22314"/>
    <w:rsid w:val="00B22533"/>
    <w:rsid w:val="00B22E6D"/>
    <w:rsid w:val="00B23065"/>
    <w:rsid w:val="00B23783"/>
    <w:rsid w:val="00B23C7B"/>
    <w:rsid w:val="00B24FF0"/>
    <w:rsid w:val="00B2533A"/>
    <w:rsid w:val="00B264BD"/>
    <w:rsid w:val="00B26780"/>
    <w:rsid w:val="00B26BA0"/>
    <w:rsid w:val="00B31DD6"/>
    <w:rsid w:val="00B31E16"/>
    <w:rsid w:val="00B31E47"/>
    <w:rsid w:val="00B31E68"/>
    <w:rsid w:val="00B321E3"/>
    <w:rsid w:val="00B32FE0"/>
    <w:rsid w:val="00B33041"/>
    <w:rsid w:val="00B33D17"/>
    <w:rsid w:val="00B33DA7"/>
    <w:rsid w:val="00B35141"/>
    <w:rsid w:val="00B35D52"/>
    <w:rsid w:val="00B3616F"/>
    <w:rsid w:val="00B3788F"/>
    <w:rsid w:val="00B37B5C"/>
    <w:rsid w:val="00B40119"/>
    <w:rsid w:val="00B402F5"/>
    <w:rsid w:val="00B4041E"/>
    <w:rsid w:val="00B4091F"/>
    <w:rsid w:val="00B412E6"/>
    <w:rsid w:val="00B41AD8"/>
    <w:rsid w:val="00B41D01"/>
    <w:rsid w:val="00B42AF7"/>
    <w:rsid w:val="00B43642"/>
    <w:rsid w:val="00B449B8"/>
    <w:rsid w:val="00B44AD9"/>
    <w:rsid w:val="00B44D4A"/>
    <w:rsid w:val="00B44D4D"/>
    <w:rsid w:val="00B44E3C"/>
    <w:rsid w:val="00B4518A"/>
    <w:rsid w:val="00B45D5B"/>
    <w:rsid w:val="00B46698"/>
    <w:rsid w:val="00B46EE1"/>
    <w:rsid w:val="00B470CB"/>
    <w:rsid w:val="00B47F87"/>
    <w:rsid w:val="00B514AA"/>
    <w:rsid w:val="00B520B9"/>
    <w:rsid w:val="00B52401"/>
    <w:rsid w:val="00B52E33"/>
    <w:rsid w:val="00B54722"/>
    <w:rsid w:val="00B54B54"/>
    <w:rsid w:val="00B54BD5"/>
    <w:rsid w:val="00B54E9B"/>
    <w:rsid w:val="00B5524E"/>
    <w:rsid w:val="00B56386"/>
    <w:rsid w:val="00B564BA"/>
    <w:rsid w:val="00B56F2B"/>
    <w:rsid w:val="00B5776E"/>
    <w:rsid w:val="00B57AE8"/>
    <w:rsid w:val="00B57FC6"/>
    <w:rsid w:val="00B60170"/>
    <w:rsid w:val="00B608B1"/>
    <w:rsid w:val="00B60EE3"/>
    <w:rsid w:val="00B60FC9"/>
    <w:rsid w:val="00B614B6"/>
    <w:rsid w:val="00B62329"/>
    <w:rsid w:val="00B629FC"/>
    <w:rsid w:val="00B62D66"/>
    <w:rsid w:val="00B6321E"/>
    <w:rsid w:val="00B63360"/>
    <w:rsid w:val="00B643D5"/>
    <w:rsid w:val="00B655B2"/>
    <w:rsid w:val="00B65C57"/>
    <w:rsid w:val="00B662BF"/>
    <w:rsid w:val="00B664C0"/>
    <w:rsid w:val="00B668AD"/>
    <w:rsid w:val="00B66D88"/>
    <w:rsid w:val="00B66FDA"/>
    <w:rsid w:val="00B67E73"/>
    <w:rsid w:val="00B7074F"/>
    <w:rsid w:val="00B70D50"/>
    <w:rsid w:val="00B71104"/>
    <w:rsid w:val="00B718B6"/>
    <w:rsid w:val="00B71A4B"/>
    <w:rsid w:val="00B72502"/>
    <w:rsid w:val="00B72C4B"/>
    <w:rsid w:val="00B733C4"/>
    <w:rsid w:val="00B73AD1"/>
    <w:rsid w:val="00B73F27"/>
    <w:rsid w:val="00B7405B"/>
    <w:rsid w:val="00B74A05"/>
    <w:rsid w:val="00B74CE1"/>
    <w:rsid w:val="00B74F82"/>
    <w:rsid w:val="00B75074"/>
    <w:rsid w:val="00B763F8"/>
    <w:rsid w:val="00B76C77"/>
    <w:rsid w:val="00B775C1"/>
    <w:rsid w:val="00B8053A"/>
    <w:rsid w:val="00B80DD4"/>
    <w:rsid w:val="00B80F18"/>
    <w:rsid w:val="00B81D5C"/>
    <w:rsid w:val="00B821DB"/>
    <w:rsid w:val="00B825FB"/>
    <w:rsid w:val="00B82627"/>
    <w:rsid w:val="00B82D77"/>
    <w:rsid w:val="00B83321"/>
    <w:rsid w:val="00B836C8"/>
    <w:rsid w:val="00B8537B"/>
    <w:rsid w:val="00B85470"/>
    <w:rsid w:val="00B85BAA"/>
    <w:rsid w:val="00B86691"/>
    <w:rsid w:val="00B86F13"/>
    <w:rsid w:val="00B87127"/>
    <w:rsid w:val="00B874AF"/>
    <w:rsid w:val="00B9001B"/>
    <w:rsid w:val="00B90C14"/>
    <w:rsid w:val="00B90CBF"/>
    <w:rsid w:val="00B90F25"/>
    <w:rsid w:val="00B90F4A"/>
    <w:rsid w:val="00B91D9F"/>
    <w:rsid w:val="00B92587"/>
    <w:rsid w:val="00B92922"/>
    <w:rsid w:val="00B92AFC"/>
    <w:rsid w:val="00B92E9F"/>
    <w:rsid w:val="00B95CD1"/>
    <w:rsid w:val="00B96720"/>
    <w:rsid w:val="00B97958"/>
    <w:rsid w:val="00BA01FE"/>
    <w:rsid w:val="00BA0240"/>
    <w:rsid w:val="00BA051C"/>
    <w:rsid w:val="00BA05DF"/>
    <w:rsid w:val="00BA0674"/>
    <w:rsid w:val="00BA0B14"/>
    <w:rsid w:val="00BA0B40"/>
    <w:rsid w:val="00BA0CFF"/>
    <w:rsid w:val="00BA1064"/>
    <w:rsid w:val="00BA1634"/>
    <w:rsid w:val="00BA3387"/>
    <w:rsid w:val="00BA473C"/>
    <w:rsid w:val="00BA47C0"/>
    <w:rsid w:val="00BA4DF7"/>
    <w:rsid w:val="00BA50F9"/>
    <w:rsid w:val="00BA541B"/>
    <w:rsid w:val="00BA5459"/>
    <w:rsid w:val="00BA5F37"/>
    <w:rsid w:val="00BA6966"/>
    <w:rsid w:val="00BA69E6"/>
    <w:rsid w:val="00BA6C41"/>
    <w:rsid w:val="00BA790D"/>
    <w:rsid w:val="00BB04AC"/>
    <w:rsid w:val="00BB1C4F"/>
    <w:rsid w:val="00BB1C89"/>
    <w:rsid w:val="00BB1E3F"/>
    <w:rsid w:val="00BB2784"/>
    <w:rsid w:val="00BB2C5D"/>
    <w:rsid w:val="00BB30A4"/>
    <w:rsid w:val="00BB51CD"/>
    <w:rsid w:val="00BB54F6"/>
    <w:rsid w:val="00BB6168"/>
    <w:rsid w:val="00BB6201"/>
    <w:rsid w:val="00BB6E61"/>
    <w:rsid w:val="00BB7295"/>
    <w:rsid w:val="00BB7E13"/>
    <w:rsid w:val="00BC016F"/>
    <w:rsid w:val="00BC0A38"/>
    <w:rsid w:val="00BC0D69"/>
    <w:rsid w:val="00BC217D"/>
    <w:rsid w:val="00BC2505"/>
    <w:rsid w:val="00BC2D03"/>
    <w:rsid w:val="00BC2D7D"/>
    <w:rsid w:val="00BC2EE1"/>
    <w:rsid w:val="00BC35C0"/>
    <w:rsid w:val="00BC380A"/>
    <w:rsid w:val="00BC39C4"/>
    <w:rsid w:val="00BC44BC"/>
    <w:rsid w:val="00BC46F9"/>
    <w:rsid w:val="00BC4C15"/>
    <w:rsid w:val="00BC5599"/>
    <w:rsid w:val="00BC5E80"/>
    <w:rsid w:val="00BC61BA"/>
    <w:rsid w:val="00BC6368"/>
    <w:rsid w:val="00BC6525"/>
    <w:rsid w:val="00BC6DCC"/>
    <w:rsid w:val="00BC7A48"/>
    <w:rsid w:val="00BC7FA1"/>
    <w:rsid w:val="00BD02BA"/>
    <w:rsid w:val="00BD19E8"/>
    <w:rsid w:val="00BD1A01"/>
    <w:rsid w:val="00BD21D5"/>
    <w:rsid w:val="00BD22F4"/>
    <w:rsid w:val="00BD2BFB"/>
    <w:rsid w:val="00BD2F3A"/>
    <w:rsid w:val="00BD3BB4"/>
    <w:rsid w:val="00BD4215"/>
    <w:rsid w:val="00BD4D32"/>
    <w:rsid w:val="00BD4FAD"/>
    <w:rsid w:val="00BD4FD2"/>
    <w:rsid w:val="00BD53A5"/>
    <w:rsid w:val="00BD55DC"/>
    <w:rsid w:val="00BD5D3A"/>
    <w:rsid w:val="00BD5FDA"/>
    <w:rsid w:val="00BD6C40"/>
    <w:rsid w:val="00BD6F27"/>
    <w:rsid w:val="00BD72DA"/>
    <w:rsid w:val="00BD75A0"/>
    <w:rsid w:val="00BD76F9"/>
    <w:rsid w:val="00BD795B"/>
    <w:rsid w:val="00BD7A36"/>
    <w:rsid w:val="00BD7AA5"/>
    <w:rsid w:val="00BD7B1C"/>
    <w:rsid w:val="00BE038A"/>
    <w:rsid w:val="00BE18E4"/>
    <w:rsid w:val="00BE2570"/>
    <w:rsid w:val="00BE2C9F"/>
    <w:rsid w:val="00BE36B8"/>
    <w:rsid w:val="00BE4D47"/>
    <w:rsid w:val="00BE599F"/>
    <w:rsid w:val="00BE602C"/>
    <w:rsid w:val="00BE62A3"/>
    <w:rsid w:val="00BE64B4"/>
    <w:rsid w:val="00BE64E0"/>
    <w:rsid w:val="00BE658D"/>
    <w:rsid w:val="00BE666D"/>
    <w:rsid w:val="00BF19B2"/>
    <w:rsid w:val="00BF1BA2"/>
    <w:rsid w:val="00BF285D"/>
    <w:rsid w:val="00BF2DFC"/>
    <w:rsid w:val="00BF2F94"/>
    <w:rsid w:val="00BF2FC7"/>
    <w:rsid w:val="00BF3533"/>
    <w:rsid w:val="00BF377E"/>
    <w:rsid w:val="00BF3A32"/>
    <w:rsid w:val="00BF3B13"/>
    <w:rsid w:val="00BF3EBA"/>
    <w:rsid w:val="00BF4E66"/>
    <w:rsid w:val="00BF5D97"/>
    <w:rsid w:val="00BF62A9"/>
    <w:rsid w:val="00BF6A9D"/>
    <w:rsid w:val="00BF6C2B"/>
    <w:rsid w:val="00BF6EBA"/>
    <w:rsid w:val="00BF70BD"/>
    <w:rsid w:val="00BF7B4B"/>
    <w:rsid w:val="00BF7BF1"/>
    <w:rsid w:val="00C0043C"/>
    <w:rsid w:val="00C0073A"/>
    <w:rsid w:val="00C00787"/>
    <w:rsid w:val="00C016C4"/>
    <w:rsid w:val="00C01BDA"/>
    <w:rsid w:val="00C0435D"/>
    <w:rsid w:val="00C04D31"/>
    <w:rsid w:val="00C04D72"/>
    <w:rsid w:val="00C05095"/>
    <w:rsid w:val="00C06A49"/>
    <w:rsid w:val="00C06B5E"/>
    <w:rsid w:val="00C06DA8"/>
    <w:rsid w:val="00C078BC"/>
    <w:rsid w:val="00C07B95"/>
    <w:rsid w:val="00C10087"/>
    <w:rsid w:val="00C1050F"/>
    <w:rsid w:val="00C1082C"/>
    <w:rsid w:val="00C11180"/>
    <w:rsid w:val="00C11307"/>
    <w:rsid w:val="00C12193"/>
    <w:rsid w:val="00C121B1"/>
    <w:rsid w:val="00C124D0"/>
    <w:rsid w:val="00C129AA"/>
    <w:rsid w:val="00C13050"/>
    <w:rsid w:val="00C13FF7"/>
    <w:rsid w:val="00C14042"/>
    <w:rsid w:val="00C14531"/>
    <w:rsid w:val="00C1454E"/>
    <w:rsid w:val="00C14609"/>
    <w:rsid w:val="00C1497C"/>
    <w:rsid w:val="00C149E6"/>
    <w:rsid w:val="00C14CCB"/>
    <w:rsid w:val="00C14FA1"/>
    <w:rsid w:val="00C15346"/>
    <w:rsid w:val="00C15974"/>
    <w:rsid w:val="00C166D8"/>
    <w:rsid w:val="00C1749E"/>
    <w:rsid w:val="00C175C2"/>
    <w:rsid w:val="00C203D9"/>
    <w:rsid w:val="00C20580"/>
    <w:rsid w:val="00C20EC6"/>
    <w:rsid w:val="00C21107"/>
    <w:rsid w:val="00C21370"/>
    <w:rsid w:val="00C217F3"/>
    <w:rsid w:val="00C21A33"/>
    <w:rsid w:val="00C21CC7"/>
    <w:rsid w:val="00C223BE"/>
    <w:rsid w:val="00C22FAE"/>
    <w:rsid w:val="00C237BA"/>
    <w:rsid w:val="00C23F6C"/>
    <w:rsid w:val="00C242C8"/>
    <w:rsid w:val="00C24363"/>
    <w:rsid w:val="00C248BD"/>
    <w:rsid w:val="00C249CC"/>
    <w:rsid w:val="00C24D9C"/>
    <w:rsid w:val="00C255F3"/>
    <w:rsid w:val="00C2783C"/>
    <w:rsid w:val="00C2790A"/>
    <w:rsid w:val="00C27B5F"/>
    <w:rsid w:val="00C3060A"/>
    <w:rsid w:val="00C308D7"/>
    <w:rsid w:val="00C30D63"/>
    <w:rsid w:val="00C31887"/>
    <w:rsid w:val="00C31F1A"/>
    <w:rsid w:val="00C3209F"/>
    <w:rsid w:val="00C3234E"/>
    <w:rsid w:val="00C327E8"/>
    <w:rsid w:val="00C32A97"/>
    <w:rsid w:val="00C32BB0"/>
    <w:rsid w:val="00C33793"/>
    <w:rsid w:val="00C33D30"/>
    <w:rsid w:val="00C33FCE"/>
    <w:rsid w:val="00C36864"/>
    <w:rsid w:val="00C36D05"/>
    <w:rsid w:val="00C37648"/>
    <w:rsid w:val="00C3784B"/>
    <w:rsid w:val="00C37CE9"/>
    <w:rsid w:val="00C4040B"/>
    <w:rsid w:val="00C40633"/>
    <w:rsid w:val="00C4066E"/>
    <w:rsid w:val="00C40952"/>
    <w:rsid w:val="00C40F1C"/>
    <w:rsid w:val="00C41344"/>
    <w:rsid w:val="00C416BE"/>
    <w:rsid w:val="00C41832"/>
    <w:rsid w:val="00C41A18"/>
    <w:rsid w:val="00C427EB"/>
    <w:rsid w:val="00C43052"/>
    <w:rsid w:val="00C4307E"/>
    <w:rsid w:val="00C435B6"/>
    <w:rsid w:val="00C440B3"/>
    <w:rsid w:val="00C44916"/>
    <w:rsid w:val="00C45DD0"/>
    <w:rsid w:val="00C46158"/>
    <w:rsid w:val="00C4621A"/>
    <w:rsid w:val="00C4651D"/>
    <w:rsid w:val="00C46F90"/>
    <w:rsid w:val="00C471F9"/>
    <w:rsid w:val="00C47367"/>
    <w:rsid w:val="00C475EE"/>
    <w:rsid w:val="00C47931"/>
    <w:rsid w:val="00C50086"/>
    <w:rsid w:val="00C503B8"/>
    <w:rsid w:val="00C50560"/>
    <w:rsid w:val="00C50B73"/>
    <w:rsid w:val="00C513F1"/>
    <w:rsid w:val="00C51BEB"/>
    <w:rsid w:val="00C52984"/>
    <w:rsid w:val="00C52E40"/>
    <w:rsid w:val="00C537BD"/>
    <w:rsid w:val="00C54239"/>
    <w:rsid w:val="00C54F43"/>
    <w:rsid w:val="00C5605D"/>
    <w:rsid w:val="00C560B5"/>
    <w:rsid w:val="00C569CA"/>
    <w:rsid w:val="00C569DA"/>
    <w:rsid w:val="00C56C4C"/>
    <w:rsid w:val="00C56D37"/>
    <w:rsid w:val="00C57660"/>
    <w:rsid w:val="00C57804"/>
    <w:rsid w:val="00C57CA3"/>
    <w:rsid w:val="00C60125"/>
    <w:rsid w:val="00C606AA"/>
    <w:rsid w:val="00C60961"/>
    <w:rsid w:val="00C61FC6"/>
    <w:rsid w:val="00C638B4"/>
    <w:rsid w:val="00C63A73"/>
    <w:rsid w:val="00C63CCA"/>
    <w:rsid w:val="00C64219"/>
    <w:rsid w:val="00C661EE"/>
    <w:rsid w:val="00C663DC"/>
    <w:rsid w:val="00C66F1D"/>
    <w:rsid w:val="00C6720B"/>
    <w:rsid w:val="00C67C11"/>
    <w:rsid w:val="00C71845"/>
    <w:rsid w:val="00C718F5"/>
    <w:rsid w:val="00C72342"/>
    <w:rsid w:val="00C72AF0"/>
    <w:rsid w:val="00C72FA6"/>
    <w:rsid w:val="00C73542"/>
    <w:rsid w:val="00C74237"/>
    <w:rsid w:val="00C74A73"/>
    <w:rsid w:val="00C74EFB"/>
    <w:rsid w:val="00C75641"/>
    <w:rsid w:val="00C757A9"/>
    <w:rsid w:val="00C7610C"/>
    <w:rsid w:val="00C764C1"/>
    <w:rsid w:val="00C768AD"/>
    <w:rsid w:val="00C769EE"/>
    <w:rsid w:val="00C778AC"/>
    <w:rsid w:val="00C77FE2"/>
    <w:rsid w:val="00C80829"/>
    <w:rsid w:val="00C8088E"/>
    <w:rsid w:val="00C80F2A"/>
    <w:rsid w:val="00C8107C"/>
    <w:rsid w:val="00C82747"/>
    <w:rsid w:val="00C82A86"/>
    <w:rsid w:val="00C82E42"/>
    <w:rsid w:val="00C8312F"/>
    <w:rsid w:val="00C83162"/>
    <w:rsid w:val="00C83298"/>
    <w:rsid w:val="00C834DE"/>
    <w:rsid w:val="00C83C56"/>
    <w:rsid w:val="00C848A1"/>
    <w:rsid w:val="00C84B22"/>
    <w:rsid w:val="00C85FE6"/>
    <w:rsid w:val="00C86246"/>
    <w:rsid w:val="00C8676D"/>
    <w:rsid w:val="00C871A1"/>
    <w:rsid w:val="00C8734F"/>
    <w:rsid w:val="00C87949"/>
    <w:rsid w:val="00C87C55"/>
    <w:rsid w:val="00C87D63"/>
    <w:rsid w:val="00C910D5"/>
    <w:rsid w:val="00C919BC"/>
    <w:rsid w:val="00C91C32"/>
    <w:rsid w:val="00C92410"/>
    <w:rsid w:val="00C926DD"/>
    <w:rsid w:val="00C92723"/>
    <w:rsid w:val="00C92747"/>
    <w:rsid w:val="00C92B2E"/>
    <w:rsid w:val="00C93C9E"/>
    <w:rsid w:val="00C94160"/>
    <w:rsid w:val="00C949F2"/>
    <w:rsid w:val="00C952C0"/>
    <w:rsid w:val="00C95C8B"/>
    <w:rsid w:val="00C95E2D"/>
    <w:rsid w:val="00C96073"/>
    <w:rsid w:val="00C9645A"/>
    <w:rsid w:val="00C967A9"/>
    <w:rsid w:val="00C96865"/>
    <w:rsid w:val="00C9756F"/>
    <w:rsid w:val="00C97632"/>
    <w:rsid w:val="00CA029C"/>
    <w:rsid w:val="00CA0DBE"/>
    <w:rsid w:val="00CA0FB9"/>
    <w:rsid w:val="00CA1557"/>
    <w:rsid w:val="00CA1581"/>
    <w:rsid w:val="00CA1D76"/>
    <w:rsid w:val="00CA2286"/>
    <w:rsid w:val="00CA2824"/>
    <w:rsid w:val="00CA324B"/>
    <w:rsid w:val="00CA3544"/>
    <w:rsid w:val="00CA3B65"/>
    <w:rsid w:val="00CA454E"/>
    <w:rsid w:val="00CA46D0"/>
    <w:rsid w:val="00CA48E5"/>
    <w:rsid w:val="00CA5E37"/>
    <w:rsid w:val="00CA60D9"/>
    <w:rsid w:val="00CA6375"/>
    <w:rsid w:val="00CA6B77"/>
    <w:rsid w:val="00CA6FAB"/>
    <w:rsid w:val="00CA7089"/>
    <w:rsid w:val="00CA74E6"/>
    <w:rsid w:val="00CA79E7"/>
    <w:rsid w:val="00CB014C"/>
    <w:rsid w:val="00CB0B70"/>
    <w:rsid w:val="00CB0C07"/>
    <w:rsid w:val="00CB27DF"/>
    <w:rsid w:val="00CB2858"/>
    <w:rsid w:val="00CB43A3"/>
    <w:rsid w:val="00CB452D"/>
    <w:rsid w:val="00CB4BC7"/>
    <w:rsid w:val="00CB5177"/>
    <w:rsid w:val="00CB59C4"/>
    <w:rsid w:val="00CB5EB1"/>
    <w:rsid w:val="00CB67C0"/>
    <w:rsid w:val="00CB7238"/>
    <w:rsid w:val="00CB7D94"/>
    <w:rsid w:val="00CC0623"/>
    <w:rsid w:val="00CC06EE"/>
    <w:rsid w:val="00CC09DF"/>
    <w:rsid w:val="00CC0DD5"/>
    <w:rsid w:val="00CC1A1D"/>
    <w:rsid w:val="00CC25B5"/>
    <w:rsid w:val="00CC2F44"/>
    <w:rsid w:val="00CC2FBE"/>
    <w:rsid w:val="00CC31BD"/>
    <w:rsid w:val="00CC39AB"/>
    <w:rsid w:val="00CC3AB2"/>
    <w:rsid w:val="00CC4C5C"/>
    <w:rsid w:val="00CC50BC"/>
    <w:rsid w:val="00CC5741"/>
    <w:rsid w:val="00CC6C0A"/>
    <w:rsid w:val="00CC6E5A"/>
    <w:rsid w:val="00CC6FEB"/>
    <w:rsid w:val="00CC720F"/>
    <w:rsid w:val="00CC7F5F"/>
    <w:rsid w:val="00CC7FDF"/>
    <w:rsid w:val="00CC7FEB"/>
    <w:rsid w:val="00CD0171"/>
    <w:rsid w:val="00CD08B3"/>
    <w:rsid w:val="00CD13F6"/>
    <w:rsid w:val="00CD17E2"/>
    <w:rsid w:val="00CD239D"/>
    <w:rsid w:val="00CD24FF"/>
    <w:rsid w:val="00CD2B4D"/>
    <w:rsid w:val="00CD342A"/>
    <w:rsid w:val="00CD36DC"/>
    <w:rsid w:val="00CD44F2"/>
    <w:rsid w:val="00CD4987"/>
    <w:rsid w:val="00CD5508"/>
    <w:rsid w:val="00CD5900"/>
    <w:rsid w:val="00CD5925"/>
    <w:rsid w:val="00CD5AD6"/>
    <w:rsid w:val="00CD5D7A"/>
    <w:rsid w:val="00CD663E"/>
    <w:rsid w:val="00CD6A1D"/>
    <w:rsid w:val="00CD6ABF"/>
    <w:rsid w:val="00CD7AFF"/>
    <w:rsid w:val="00CE0B39"/>
    <w:rsid w:val="00CE10E6"/>
    <w:rsid w:val="00CE10F5"/>
    <w:rsid w:val="00CE1BFE"/>
    <w:rsid w:val="00CE1FA2"/>
    <w:rsid w:val="00CE2159"/>
    <w:rsid w:val="00CE2C7E"/>
    <w:rsid w:val="00CE58AD"/>
    <w:rsid w:val="00CE6696"/>
    <w:rsid w:val="00CE679A"/>
    <w:rsid w:val="00CE6815"/>
    <w:rsid w:val="00CE7A7E"/>
    <w:rsid w:val="00CE7D7D"/>
    <w:rsid w:val="00CF04AA"/>
    <w:rsid w:val="00CF0BE1"/>
    <w:rsid w:val="00CF1AD7"/>
    <w:rsid w:val="00CF1B0C"/>
    <w:rsid w:val="00CF2999"/>
    <w:rsid w:val="00CF4B66"/>
    <w:rsid w:val="00CF5C3F"/>
    <w:rsid w:val="00CF5F39"/>
    <w:rsid w:val="00CF67AB"/>
    <w:rsid w:val="00CF74B1"/>
    <w:rsid w:val="00CF75F7"/>
    <w:rsid w:val="00D000F7"/>
    <w:rsid w:val="00D0034B"/>
    <w:rsid w:val="00D0034D"/>
    <w:rsid w:val="00D00754"/>
    <w:rsid w:val="00D01305"/>
    <w:rsid w:val="00D0173F"/>
    <w:rsid w:val="00D021E1"/>
    <w:rsid w:val="00D026BE"/>
    <w:rsid w:val="00D02AB7"/>
    <w:rsid w:val="00D03805"/>
    <w:rsid w:val="00D048DF"/>
    <w:rsid w:val="00D04C4D"/>
    <w:rsid w:val="00D05107"/>
    <w:rsid w:val="00D05610"/>
    <w:rsid w:val="00D0588D"/>
    <w:rsid w:val="00D059F5"/>
    <w:rsid w:val="00D05A5D"/>
    <w:rsid w:val="00D0769B"/>
    <w:rsid w:val="00D07D02"/>
    <w:rsid w:val="00D10BE0"/>
    <w:rsid w:val="00D1123C"/>
    <w:rsid w:val="00D113BF"/>
    <w:rsid w:val="00D12E37"/>
    <w:rsid w:val="00D131CD"/>
    <w:rsid w:val="00D13252"/>
    <w:rsid w:val="00D14ED4"/>
    <w:rsid w:val="00D15116"/>
    <w:rsid w:val="00D154C5"/>
    <w:rsid w:val="00D15691"/>
    <w:rsid w:val="00D15B56"/>
    <w:rsid w:val="00D15D57"/>
    <w:rsid w:val="00D1635E"/>
    <w:rsid w:val="00D16566"/>
    <w:rsid w:val="00D165FB"/>
    <w:rsid w:val="00D166BF"/>
    <w:rsid w:val="00D175A3"/>
    <w:rsid w:val="00D17EAE"/>
    <w:rsid w:val="00D17EBF"/>
    <w:rsid w:val="00D2059F"/>
    <w:rsid w:val="00D20EE6"/>
    <w:rsid w:val="00D20F46"/>
    <w:rsid w:val="00D2103B"/>
    <w:rsid w:val="00D221AA"/>
    <w:rsid w:val="00D2224E"/>
    <w:rsid w:val="00D222CC"/>
    <w:rsid w:val="00D2247C"/>
    <w:rsid w:val="00D227FB"/>
    <w:rsid w:val="00D22EB2"/>
    <w:rsid w:val="00D23867"/>
    <w:rsid w:val="00D23B67"/>
    <w:rsid w:val="00D24766"/>
    <w:rsid w:val="00D24BB1"/>
    <w:rsid w:val="00D24CA2"/>
    <w:rsid w:val="00D24D79"/>
    <w:rsid w:val="00D254F1"/>
    <w:rsid w:val="00D25B34"/>
    <w:rsid w:val="00D25F44"/>
    <w:rsid w:val="00D26083"/>
    <w:rsid w:val="00D26533"/>
    <w:rsid w:val="00D267F2"/>
    <w:rsid w:val="00D26A14"/>
    <w:rsid w:val="00D272C5"/>
    <w:rsid w:val="00D27BFB"/>
    <w:rsid w:val="00D27C57"/>
    <w:rsid w:val="00D27D6F"/>
    <w:rsid w:val="00D30642"/>
    <w:rsid w:val="00D31B90"/>
    <w:rsid w:val="00D31CA1"/>
    <w:rsid w:val="00D31CBE"/>
    <w:rsid w:val="00D31D7E"/>
    <w:rsid w:val="00D31E91"/>
    <w:rsid w:val="00D33559"/>
    <w:rsid w:val="00D33EB0"/>
    <w:rsid w:val="00D33EE7"/>
    <w:rsid w:val="00D33F5A"/>
    <w:rsid w:val="00D35073"/>
    <w:rsid w:val="00D361A8"/>
    <w:rsid w:val="00D36544"/>
    <w:rsid w:val="00D369D0"/>
    <w:rsid w:val="00D36DF0"/>
    <w:rsid w:val="00D37006"/>
    <w:rsid w:val="00D402F0"/>
    <w:rsid w:val="00D4070F"/>
    <w:rsid w:val="00D4197F"/>
    <w:rsid w:val="00D4230F"/>
    <w:rsid w:val="00D423B7"/>
    <w:rsid w:val="00D423F8"/>
    <w:rsid w:val="00D4404C"/>
    <w:rsid w:val="00D44093"/>
    <w:rsid w:val="00D443C3"/>
    <w:rsid w:val="00D445FD"/>
    <w:rsid w:val="00D449E4"/>
    <w:rsid w:val="00D44F33"/>
    <w:rsid w:val="00D44FFF"/>
    <w:rsid w:val="00D45510"/>
    <w:rsid w:val="00D459E2"/>
    <w:rsid w:val="00D45CF5"/>
    <w:rsid w:val="00D4660B"/>
    <w:rsid w:val="00D46A34"/>
    <w:rsid w:val="00D46B3F"/>
    <w:rsid w:val="00D4731B"/>
    <w:rsid w:val="00D47320"/>
    <w:rsid w:val="00D47774"/>
    <w:rsid w:val="00D47C4E"/>
    <w:rsid w:val="00D515B4"/>
    <w:rsid w:val="00D5267D"/>
    <w:rsid w:val="00D527BD"/>
    <w:rsid w:val="00D5333D"/>
    <w:rsid w:val="00D534CE"/>
    <w:rsid w:val="00D53C8A"/>
    <w:rsid w:val="00D53F6D"/>
    <w:rsid w:val="00D54049"/>
    <w:rsid w:val="00D547ED"/>
    <w:rsid w:val="00D54F41"/>
    <w:rsid w:val="00D55277"/>
    <w:rsid w:val="00D557B2"/>
    <w:rsid w:val="00D55EE3"/>
    <w:rsid w:val="00D566A0"/>
    <w:rsid w:val="00D568AF"/>
    <w:rsid w:val="00D60022"/>
    <w:rsid w:val="00D6134D"/>
    <w:rsid w:val="00D619AD"/>
    <w:rsid w:val="00D61CAA"/>
    <w:rsid w:val="00D62B2A"/>
    <w:rsid w:val="00D62CB2"/>
    <w:rsid w:val="00D62E39"/>
    <w:rsid w:val="00D637FF"/>
    <w:rsid w:val="00D63A0D"/>
    <w:rsid w:val="00D63AB7"/>
    <w:rsid w:val="00D63F11"/>
    <w:rsid w:val="00D6475E"/>
    <w:rsid w:val="00D64976"/>
    <w:rsid w:val="00D649F2"/>
    <w:rsid w:val="00D64F1A"/>
    <w:rsid w:val="00D65122"/>
    <w:rsid w:val="00D65AC4"/>
    <w:rsid w:val="00D67279"/>
    <w:rsid w:val="00D70634"/>
    <w:rsid w:val="00D70FB5"/>
    <w:rsid w:val="00D71B20"/>
    <w:rsid w:val="00D72307"/>
    <w:rsid w:val="00D7301C"/>
    <w:rsid w:val="00D73221"/>
    <w:rsid w:val="00D73473"/>
    <w:rsid w:val="00D73EB1"/>
    <w:rsid w:val="00D746A0"/>
    <w:rsid w:val="00D7515E"/>
    <w:rsid w:val="00D75487"/>
    <w:rsid w:val="00D75563"/>
    <w:rsid w:val="00D7602F"/>
    <w:rsid w:val="00D77290"/>
    <w:rsid w:val="00D774C4"/>
    <w:rsid w:val="00D77C51"/>
    <w:rsid w:val="00D81019"/>
    <w:rsid w:val="00D81750"/>
    <w:rsid w:val="00D81989"/>
    <w:rsid w:val="00D8306A"/>
    <w:rsid w:val="00D830BC"/>
    <w:rsid w:val="00D836E5"/>
    <w:rsid w:val="00D854D3"/>
    <w:rsid w:val="00D855CE"/>
    <w:rsid w:val="00D8685B"/>
    <w:rsid w:val="00D872A0"/>
    <w:rsid w:val="00D875A1"/>
    <w:rsid w:val="00D878F9"/>
    <w:rsid w:val="00D87913"/>
    <w:rsid w:val="00D879FE"/>
    <w:rsid w:val="00D87ABB"/>
    <w:rsid w:val="00D87C97"/>
    <w:rsid w:val="00D9025A"/>
    <w:rsid w:val="00D903C3"/>
    <w:rsid w:val="00D90C3B"/>
    <w:rsid w:val="00D90EE7"/>
    <w:rsid w:val="00D913AB"/>
    <w:rsid w:val="00D9172A"/>
    <w:rsid w:val="00D92BD4"/>
    <w:rsid w:val="00D92E0B"/>
    <w:rsid w:val="00D92E26"/>
    <w:rsid w:val="00D93257"/>
    <w:rsid w:val="00D939FC"/>
    <w:rsid w:val="00D93D65"/>
    <w:rsid w:val="00D9429D"/>
    <w:rsid w:val="00D9478E"/>
    <w:rsid w:val="00D94932"/>
    <w:rsid w:val="00D95276"/>
    <w:rsid w:val="00D95410"/>
    <w:rsid w:val="00D96096"/>
    <w:rsid w:val="00DA002A"/>
    <w:rsid w:val="00DA0EBD"/>
    <w:rsid w:val="00DA0EDF"/>
    <w:rsid w:val="00DA1046"/>
    <w:rsid w:val="00DA164D"/>
    <w:rsid w:val="00DA1A35"/>
    <w:rsid w:val="00DA1FC5"/>
    <w:rsid w:val="00DA2885"/>
    <w:rsid w:val="00DA363E"/>
    <w:rsid w:val="00DA3AF7"/>
    <w:rsid w:val="00DA3B0F"/>
    <w:rsid w:val="00DA3C5C"/>
    <w:rsid w:val="00DA3CDA"/>
    <w:rsid w:val="00DA4007"/>
    <w:rsid w:val="00DA4FE4"/>
    <w:rsid w:val="00DA542A"/>
    <w:rsid w:val="00DA59EC"/>
    <w:rsid w:val="00DA67A8"/>
    <w:rsid w:val="00DA6921"/>
    <w:rsid w:val="00DA717C"/>
    <w:rsid w:val="00DA7264"/>
    <w:rsid w:val="00DA7B5F"/>
    <w:rsid w:val="00DB0D0A"/>
    <w:rsid w:val="00DB1062"/>
    <w:rsid w:val="00DB1284"/>
    <w:rsid w:val="00DB1AA2"/>
    <w:rsid w:val="00DB22CE"/>
    <w:rsid w:val="00DB2737"/>
    <w:rsid w:val="00DB27DD"/>
    <w:rsid w:val="00DB29F6"/>
    <w:rsid w:val="00DB357B"/>
    <w:rsid w:val="00DB4BBE"/>
    <w:rsid w:val="00DB4F91"/>
    <w:rsid w:val="00DB5A7A"/>
    <w:rsid w:val="00DB744A"/>
    <w:rsid w:val="00DB7A40"/>
    <w:rsid w:val="00DB7FAD"/>
    <w:rsid w:val="00DC0A09"/>
    <w:rsid w:val="00DC0D40"/>
    <w:rsid w:val="00DC0DF1"/>
    <w:rsid w:val="00DC0ED2"/>
    <w:rsid w:val="00DC1369"/>
    <w:rsid w:val="00DC1A7E"/>
    <w:rsid w:val="00DC2983"/>
    <w:rsid w:val="00DC2B2F"/>
    <w:rsid w:val="00DC3775"/>
    <w:rsid w:val="00DC387C"/>
    <w:rsid w:val="00DC38E5"/>
    <w:rsid w:val="00DC3C92"/>
    <w:rsid w:val="00DC44BD"/>
    <w:rsid w:val="00DC5124"/>
    <w:rsid w:val="00DC5281"/>
    <w:rsid w:val="00DC5DA8"/>
    <w:rsid w:val="00DC6341"/>
    <w:rsid w:val="00DC63B4"/>
    <w:rsid w:val="00DC6A93"/>
    <w:rsid w:val="00DC6C15"/>
    <w:rsid w:val="00DC6EBB"/>
    <w:rsid w:val="00DC722B"/>
    <w:rsid w:val="00DC7A7B"/>
    <w:rsid w:val="00DC7B37"/>
    <w:rsid w:val="00DD0D2D"/>
    <w:rsid w:val="00DD0D47"/>
    <w:rsid w:val="00DD0FF9"/>
    <w:rsid w:val="00DD1B50"/>
    <w:rsid w:val="00DD20E2"/>
    <w:rsid w:val="00DD21E8"/>
    <w:rsid w:val="00DD264D"/>
    <w:rsid w:val="00DD39CA"/>
    <w:rsid w:val="00DD521D"/>
    <w:rsid w:val="00DD52A3"/>
    <w:rsid w:val="00DD58D6"/>
    <w:rsid w:val="00DD5EF3"/>
    <w:rsid w:val="00DD6013"/>
    <w:rsid w:val="00DD617E"/>
    <w:rsid w:val="00DD62B1"/>
    <w:rsid w:val="00DD6A85"/>
    <w:rsid w:val="00DD6B5D"/>
    <w:rsid w:val="00DE035F"/>
    <w:rsid w:val="00DE0664"/>
    <w:rsid w:val="00DE098F"/>
    <w:rsid w:val="00DE1757"/>
    <w:rsid w:val="00DE2784"/>
    <w:rsid w:val="00DE3186"/>
    <w:rsid w:val="00DE3618"/>
    <w:rsid w:val="00DE3DAA"/>
    <w:rsid w:val="00DE3E1A"/>
    <w:rsid w:val="00DE46DF"/>
    <w:rsid w:val="00DE49B8"/>
    <w:rsid w:val="00DE4D2F"/>
    <w:rsid w:val="00DE4FD8"/>
    <w:rsid w:val="00DE5069"/>
    <w:rsid w:val="00DE5A88"/>
    <w:rsid w:val="00DE7292"/>
    <w:rsid w:val="00DE73CB"/>
    <w:rsid w:val="00DE76F5"/>
    <w:rsid w:val="00DE7E39"/>
    <w:rsid w:val="00DF09FC"/>
    <w:rsid w:val="00DF0CD5"/>
    <w:rsid w:val="00DF0D56"/>
    <w:rsid w:val="00DF1236"/>
    <w:rsid w:val="00DF179E"/>
    <w:rsid w:val="00DF1A7B"/>
    <w:rsid w:val="00DF21CA"/>
    <w:rsid w:val="00DF26D6"/>
    <w:rsid w:val="00DF2A40"/>
    <w:rsid w:val="00DF2A90"/>
    <w:rsid w:val="00DF379D"/>
    <w:rsid w:val="00DF458E"/>
    <w:rsid w:val="00DF5C2F"/>
    <w:rsid w:val="00DF670D"/>
    <w:rsid w:val="00DF6C56"/>
    <w:rsid w:val="00DF71FB"/>
    <w:rsid w:val="00DF72C9"/>
    <w:rsid w:val="00DF795B"/>
    <w:rsid w:val="00DF7D0D"/>
    <w:rsid w:val="00DF7ED7"/>
    <w:rsid w:val="00E00552"/>
    <w:rsid w:val="00E0224C"/>
    <w:rsid w:val="00E02469"/>
    <w:rsid w:val="00E02502"/>
    <w:rsid w:val="00E03D3E"/>
    <w:rsid w:val="00E04768"/>
    <w:rsid w:val="00E04D34"/>
    <w:rsid w:val="00E0564B"/>
    <w:rsid w:val="00E06CE2"/>
    <w:rsid w:val="00E07B02"/>
    <w:rsid w:val="00E07E18"/>
    <w:rsid w:val="00E07FFB"/>
    <w:rsid w:val="00E1034D"/>
    <w:rsid w:val="00E10FB3"/>
    <w:rsid w:val="00E1101D"/>
    <w:rsid w:val="00E1176F"/>
    <w:rsid w:val="00E12EEE"/>
    <w:rsid w:val="00E132BE"/>
    <w:rsid w:val="00E13546"/>
    <w:rsid w:val="00E135E3"/>
    <w:rsid w:val="00E142ED"/>
    <w:rsid w:val="00E145E6"/>
    <w:rsid w:val="00E153E2"/>
    <w:rsid w:val="00E1557D"/>
    <w:rsid w:val="00E1559D"/>
    <w:rsid w:val="00E15B85"/>
    <w:rsid w:val="00E15C0B"/>
    <w:rsid w:val="00E15F4A"/>
    <w:rsid w:val="00E161ED"/>
    <w:rsid w:val="00E1660D"/>
    <w:rsid w:val="00E16B4E"/>
    <w:rsid w:val="00E170B7"/>
    <w:rsid w:val="00E1732F"/>
    <w:rsid w:val="00E174D3"/>
    <w:rsid w:val="00E17870"/>
    <w:rsid w:val="00E20454"/>
    <w:rsid w:val="00E21BB2"/>
    <w:rsid w:val="00E22660"/>
    <w:rsid w:val="00E229C5"/>
    <w:rsid w:val="00E22E10"/>
    <w:rsid w:val="00E2325E"/>
    <w:rsid w:val="00E2362F"/>
    <w:rsid w:val="00E23D96"/>
    <w:rsid w:val="00E24EE4"/>
    <w:rsid w:val="00E2573C"/>
    <w:rsid w:val="00E25CDE"/>
    <w:rsid w:val="00E272B6"/>
    <w:rsid w:val="00E279B1"/>
    <w:rsid w:val="00E27FAE"/>
    <w:rsid w:val="00E3035D"/>
    <w:rsid w:val="00E30437"/>
    <w:rsid w:val="00E30720"/>
    <w:rsid w:val="00E30AFA"/>
    <w:rsid w:val="00E311C6"/>
    <w:rsid w:val="00E32CD7"/>
    <w:rsid w:val="00E32EF1"/>
    <w:rsid w:val="00E33757"/>
    <w:rsid w:val="00E345F0"/>
    <w:rsid w:val="00E34725"/>
    <w:rsid w:val="00E34C52"/>
    <w:rsid w:val="00E356A1"/>
    <w:rsid w:val="00E365C5"/>
    <w:rsid w:val="00E36682"/>
    <w:rsid w:val="00E36AD2"/>
    <w:rsid w:val="00E37738"/>
    <w:rsid w:val="00E4058A"/>
    <w:rsid w:val="00E407C5"/>
    <w:rsid w:val="00E40D4C"/>
    <w:rsid w:val="00E4113F"/>
    <w:rsid w:val="00E411DE"/>
    <w:rsid w:val="00E41516"/>
    <w:rsid w:val="00E41706"/>
    <w:rsid w:val="00E4181A"/>
    <w:rsid w:val="00E41AE0"/>
    <w:rsid w:val="00E42670"/>
    <w:rsid w:val="00E4285B"/>
    <w:rsid w:val="00E42F39"/>
    <w:rsid w:val="00E43511"/>
    <w:rsid w:val="00E43716"/>
    <w:rsid w:val="00E43EE1"/>
    <w:rsid w:val="00E44817"/>
    <w:rsid w:val="00E4511B"/>
    <w:rsid w:val="00E4517A"/>
    <w:rsid w:val="00E45B3B"/>
    <w:rsid w:val="00E45CDF"/>
    <w:rsid w:val="00E46246"/>
    <w:rsid w:val="00E46472"/>
    <w:rsid w:val="00E4769B"/>
    <w:rsid w:val="00E4777C"/>
    <w:rsid w:val="00E47987"/>
    <w:rsid w:val="00E50166"/>
    <w:rsid w:val="00E512FB"/>
    <w:rsid w:val="00E515FF"/>
    <w:rsid w:val="00E517EC"/>
    <w:rsid w:val="00E51B8D"/>
    <w:rsid w:val="00E51D7F"/>
    <w:rsid w:val="00E51E2A"/>
    <w:rsid w:val="00E51F1A"/>
    <w:rsid w:val="00E523E2"/>
    <w:rsid w:val="00E52A5E"/>
    <w:rsid w:val="00E52CAC"/>
    <w:rsid w:val="00E535D8"/>
    <w:rsid w:val="00E539D6"/>
    <w:rsid w:val="00E540CC"/>
    <w:rsid w:val="00E5466D"/>
    <w:rsid w:val="00E54E4A"/>
    <w:rsid w:val="00E55059"/>
    <w:rsid w:val="00E55552"/>
    <w:rsid w:val="00E55586"/>
    <w:rsid w:val="00E5570D"/>
    <w:rsid w:val="00E55960"/>
    <w:rsid w:val="00E55F80"/>
    <w:rsid w:val="00E56274"/>
    <w:rsid w:val="00E5696E"/>
    <w:rsid w:val="00E56F35"/>
    <w:rsid w:val="00E56F97"/>
    <w:rsid w:val="00E57148"/>
    <w:rsid w:val="00E608EF"/>
    <w:rsid w:val="00E60939"/>
    <w:rsid w:val="00E613F9"/>
    <w:rsid w:val="00E61B67"/>
    <w:rsid w:val="00E623B2"/>
    <w:rsid w:val="00E627F5"/>
    <w:rsid w:val="00E62DD9"/>
    <w:rsid w:val="00E63129"/>
    <w:rsid w:val="00E6359D"/>
    <w:rsid w:val="00E63971"/>
    <w:rsid w:val="00E63F0C"/>
    <w:rsid w:val="00E63F65"/>
    <w:rsid w:val="00E643B3"/>
    <w:rsid w:val="00E65A33"/>
    <w:rsid w:val="00E65D24"/>
    <w:rsid w:val="00E66083"/>
    <w:rsid w:val="00E665BD"/>
    <w:rsid w:val="00E66B7D"/>
    <w:rsid w:val="00E67176"/>
    <w:rsid w:val="00E678DF"/>
    <w:rsid w:val="00E703C6"/>
    <w:rsid w:val="00E705C2"/>
    <w:rsid w:val="00E7071E"/>
    <w:rsid w:val="00E71407"/>
    <w:rsid w:val="00E719DD"/>
    <w:rsid w:val="00E71A39"/>
    <w:rsid w:val="00E71D15"/>
    <w:rsid w:val="00E71E67"/>
    <w:rsid w:val="00E728FF"/>
    <w:rsid w:val="00E744E4"/>
    <w:rsid w:val="00E74AB2"/>
    <w:rsid w:val="00E75F3B"/>
    <w:rsid w:val="00E75F91"/>
    <w:rsid w:val="00E760F9"/>
    <w:rsid w:val="00E7638E"/>
    <w:rsid w:val="00E76BE5"/>
    <w:rsid w:val="00E773F9"/>
    <w:rsid w:val="00E7779F"/>
    <w:rsid w:val="00E77857"/>
    <w:rsid w:val="00E77B43"/>
    <w:rsid w:val="00E80124"/>
    <w:rsid w:val="00E80632"/>
    <w:rsid w:val="00E8065F"/>
    <w:rsid w:val="00E81DEB"/>
    <w:rsid w:val="00E81ECB"/>
    <w:rsid w:val="00E8212E"/>
    <w:rsid w:val="00E82351"/>
    <w:rsid w:val="00E82B61"/>
    <w:rsid w:val="00E82DBF"/>
    <w:rsid w:val="00E82EC4"/>
    <w:rsid w:val="00E8319E"/>
    <w:rsid w:val="00E831ED"/>
    <w:rsid w:val="00E85545"/>
    <w:rsid w:val="00E85B90"/>
    <w:rsid w:val="00E867F7"/>
    <w:rsid w:val="00E86DFB"/>
    <w:rsid w:val="00E901A0"/>
    <w:rsid w:val="00E91CE5"/>
    <w:rsid w:val="00E922A2"/>
    <w:rsid w:val="00E92C57"/>
    <w:rsid w:val="00E92EE0"/>
    <w:rsid w:val="00E92F18"/>
    <w:rsid w:val="00E93129"/>
    <w:rsid w:val="00E93207"/>
    <w:rsid w:val="00E94858"/>
    <w:rsid w:val="00E954D3"/>
    <w:rsid w:val="00E95968"/>
    <w:rsid w:val="00E96022"/>
    <w:rsid w:val="00E96115"/>
    <w:rsid w:val="00E962C2"/>
    <w:rsid w:val="00E96454"/>
    <w:rsid w:val="00E964C6"/>
    <w:rsid w:val="00E9663E"/>
    <w:rsid w:val="00E9677D"/>
    <w:rsid w:val="00E969F0"/>
    <w:rsid w:val="00E97C17"/>
    <w:rsid w:val="00EA014C"/>
    <w:rsid w:val="00EA1231"/>
    <w:rsid w:val="00EA1371"/>
    <w:rsid w:val="00EA13F1"/>
    <w:rsid w:val="00EA16A7"/>
    <w:rsid w:val="00EA3383"/>
    <w:rsid w:val="00EA33AD"/>
    <w:rsid w:val="00EA372F"/>
    <w:rsid w:val="00EA3C65"/>
    <w:rsid w:val="00EA41E2"/>
    <w:rsid w:val="00EA4E98"/>
    <w:rsid w:val="00EA5139"/>
    <w:rsid w:val="00EA51AE"/>
    <w:rsid w:val="00EA5CD2"/>
    <w:rsid w:val="00EA6257"/>
    <w:rsid w:val="00EA6493"/>
    <w:rsid w:val="00EA649E"/>
    <w:rsid w:val="00EA686B"/>
    <w:rsid w:val="00EA72B5"/>
    <w:rsid w:val="00EA7569"/>
    <w:rsid w:val="00EA7A6A"/>
    <w:rsid w:val="00EB0287"/>
    <w:rsid w:val="00EB03DA"/>
    <w:rsid w:val="00EB0C6C"/>
    <w:rsid w:val="00EB1063"/>
    <w:rsid w:val="00EB10A5"/>
    <w:rsid w:val="00EB19B5"/>
    <w:rsid w:val="00EB1A68"/>
    <w:rsid w:val="00EB2074"/>
    <w:rsid w:val="00EB2320"/>
    <w:rsid w:val="00EB2B7A"/>
    <w:rsid w:val="00EB3050"/>
    <w:rsid w:val="00EB3973"/>
    <w:rsid w:val="00EB3BFE"/>
    <w:rsid w:val="00EB463D"/>
    <w:rsid w:val="00EB4868"/>
    <w:rsid w:val="00EB4A47"/>
    <w:rsid w:val="00EB4A78"/>
    <w:rsid w:val="00EB4B1F"/>
    <w:rsid w:val="00EB596C"/>
    <w:rsid w:val="00EB5C89"/>
    <w:rsid w:val="00EB6894"/>
    <w:rsid w:val="00EB6D65"/>
    <w:rsid w:val="00EB7246"/>
    <w:rsid w:val="00EB7931"/>
    <w:rsid w:val="00EB7B13"/>
    <w:rsid w:val="00EB7E7C"/>
    <w:rsid w:val="00EC0E5F"/>
    <w:rsid w:val="00EC0EAA"/>
    <w:rsid w:val="00EC2318"/>
    <w:rsid w:val="00EC2C38"/>
    <w:rsid w:val="00EC2DA6"/>
    <w:rsid w:val="00EC3375"/>
    <w:rsid w:val="00EC3579"/>
    <w:rsid w:val="00EC360E"/>
    <w:rsid w:val="00EC364C"/>
    <w:rsid w:val="00EC6CB0"/>
    <w:rsid w:val="00EC74E1"/>
    <w:rsid w:val="00ED00B4"/>
    <w:rsid w:val="00ED1395"/>
    <w:rsid w:val="00ED1A91"/>
    <w:rsid w:val="00ED2DF1"/>
    <w:rsid w:val="00ED2E0B"/>
    <w:rsid w:val="00ED2ED5"/>
    <w:rsid w:val="00ED3066"/>
    <w:rsid w:val="00ED3CDF"/>
    <w:rsid w:val="00ED3F72"/>
    <w:rsid w:val="00ED4306"/>
    <w:rsid w:val="00ED46AC"/>
    <w:rsid w:val="00ED4A10"/>
    <w:rsid w:val="00ED4F47"/>
    <w:rsid w:val="00ED5816"/>
    <w:rsid w:val="00ED5D82"/>
    <w:rsid w:val="00ED6842"/>
    <w:rsid w:val="00ED6971"/>
    <w:rsid w:val="00ED6982"/>
    <w:rsid w:val="00ED6F1E"/>
    <w:rsid w:val="00EE0170"/>
    <w:rsid w:val="00EE10AD"/>
    <w:rsid w:val="00EE3531"/>
    <w:rsid w:val="00EE391C"/>
    <w:rsid w:val="00EE396E"/>
    <w:rsid w:val="00EE40F3"/>
    <w:rsid w:val="00EE4596"/>
    <w:rsid w:val="00EE4C66"/>
    <w:rsid w:val="00EE5939"/>
    <w:rsid w:val="00EE5C6C"/>
    <w:rsid w:val="00EE63D0"/>
    <w:rsid w:val="00EE660B"/>
    <w:rsid w:val="00EE67BD"/>
    <w:rsid w:val="00EE6B9D"/>
    <w:rsid w:val="00EE70C1"/>
    <w:rsid w:val="00EE7906"/>
    <w:rsid w:val="00EF02D4"/>
    <w:rsid w:val="00EF09F6"/>
    <w:rsid w:val="00EF0D65"/>
    <w:rsid w:val="00EF153A"/>
    <w:rsid w:val="00EF1FAE"/>
    <w:rsid w:val="00EF2A09"/>
    <w:rsid w:val="00EF31DC"/>
    <w:rsid w:val="00EF351A"/>
    <w:rsid w:val="00EF3556"/>
    <w:rsid w:val="00EF3743"/>
    <w:rsid w:val="00EF3B7D"/>
    <w:rsid w:val="00EF4045"/>
    <w:rsid w:val="00EF439A"/>
    <w:rsid w:val="00EF50AA"/>
    <w:rsid w:val="00EF5D23"/>
    <w:rsid w:val="00EF6EEA"/>
    <w:rsid w:val="00EF745C"/>
    <w:rsid w:val="00EF7922"/>
    <w:rsid w:val="00EF7D3B"/>
    <w:rsid w:val="00EF7DDD"/>
    <w:rsid w:val="00F006DC"/>
    <w:rsid w:val="00F00A37"/>
    <w:rsid w:val="00F00B35"/>
    <w:rsid w:val="00F0160D"/>
    <w:rsid w:val="00F016FF"/>
    <w:rsid w:val="00F017BE"/>
    <w:rsid w:val="00F0183B"/>
    <w:rsid w:val="00F02060"/>
    <w:rsid w:val="00F02958"/>
    <w:rsid w:val="00F02B73"/>
    <w:rsid w:val="00F032A0"/>
    <w:rsid w:val="00F0396F"/>
    <w:rsid w:val="00F03B9B"/>
    <w:rsid w:val="00F0423D"/>
    <w:rsid w:val="00F04AB9"/>
    <w:rsid w:val="00F057E6"/>
    <w:rsid w:val="00F0719D"/>
    <w:rsid w:val="00F078BA"/>
    <w:rsid w:val="00F07A75"/>
    <w:rsid w:val="00F10262"/>
    <w:rsid w:val="00F126C7"/>
    <w:rsid w:val="00F12AB3"/>
    <w:rsid w:val="00F130DB"/>
    <w:rsid w:val="00F139D6"/>
    <w:rsid w:val="00F146BE"/>
    <w:rsid w:val="00F14776"/>
    <w:rsid w:val="00F14CFE"/>
    <w:rsid w:val="00F15048"/>
    <w:rsid w:val="00F15AA0"/>
    <w:rsid w:val="00F15D94"/>
    <w:rsid w:val="00F17295"/>
    <w:rsid w:val="00F20700"/>
    <w:rsid w:val="00F209A3"/>
    <w:rsid w:val="00F20DAB"/>
    <w:rsid w:val="00F21211"/>
    <w:rsid w:val="00F21B18"/>
    <w:rsid w:val="00F22012"/>
    <w:rsid w:val="00F22BB8"/>
    <w:rsid w:val="00F22EAE"/>
    <w:rsid w:val="00F2327E"/>
    <w:rsid w:val="00F23A61"/>
    <w:rsid w:val="00F23A6F"/>
    <w:rsid w:val="00F25672"/>
    <w:rsid w:val="00F25C7F"/>
    <w:rsid w:val="00F25ECD"/>
    <w:rsid w:val="00F25FAD"/>
    <w:rsid w:val="00F260D1"/>
    <w:rsid w:val="00F26615"/>
    <w:rsid w:val="00F27048"/>
    <w:rsid w:val="00F2781D"/>
    <w:rsid w:val="00F27AFC"/>
    <w:rsid w:val="00F27E07"/>
    <w:rsid w:val="00F30722"/>
    <w:rsid w:val="00F30B34"/>
    <w:rsid w:val="00F30DC5"/>
    <w:rsid w:val="00F3106F"/>
    <w:rsid w:val="00F311BB"/>
    <w:rsid w:val="00F31879"/>
    <w:rsid w:val="00F3215A"/>
    <w:rsid w:val="00F326C2"/>
    <w:rsid w:val="00F33748"/>
    <w:rsid w:val="00F33EC7"/>
    <w:rsid w:val="00F33FEA"/>
    <w:rsid w:val="00F34353"/>
    <w:rsid w:val="00F34399"/>
    <w:rsid w:val="00F34BC4"/>
    <w:rsid w:val="00F3556E"/>
    <w:rsid w:val="00F35D3D"/>
    <w:rsid w:val="00F35FD0"/>
    <w:rsid w:val="00F360C9"/>
    <w:rsid w:val="00F36132"/>
    <w:rsid w:val="00F36642"/>
    <w:rsid w:val="00F36A7D"/>
    <w:rsid w:val="00F3733F"/>
    <w:rsid w:val="00F37402"/>
    <w:rsid w:val="00F406B4"/>
    <w:rsid w:val="00F40AEE"/>
    <w:rsid w:val="00F4166F"/>
    <w:rsid w:val="00F418C8"/>
    <w:rsid w:val="00F41EE5"/>
    <w:rsid w:val="00F4252E"/>
    <w:rsid w:val="00F42A25"/>
    <w:rsid w:val="00F42C12"/>
    <w:rsid w:val="00F42EA6"/>
    <w:rsid w:val="00F42FBF"/>
    <w:rsid w:val="00F43919"/>
    <w:rsid w:val="00F44551"/>
    <w:rsid w:val="00F4489B"/>
    <w:rsid w:val="00F46FF2"/>
    <w:rsid w:val="00F47955"/>
    <w:rsid w:val="00F50472"/>
    <w:rsid w:val="00F510F4"/>
    <w:rsid w:val="00F523F9"/>
    <w:rsid w:val="00F5264F"/>
    <w:rsid w:val="00F52BB4"/>
    <w:rsid w:val="00F52E78"/>
    <w:rsid w:val="00F52F32"/>
    <w:rsid w:val="00F53C09"/>
    <w:rsid w:val="00F53CDA"/>
    <w:rsid w:val="00F544FD"/>
    <w:rsid w:val="00F54ED3"/>
    <w:rsid w:val="00F5543E"/>
    <w:rsid w:val="00F555FF"/>
    <w:rsid w:val="00F55D0C"/>
    <w:rsid w:val="00F56506"/>
    <w:rsid w:val="00F56B5B"/>
    <w:rsid w:val="00F56BFB"/>
    <w:rsid w:val="00F57230"/>
    <w:rsid w:val="00F579E6"/>
    <w:rsid w:val="00F57F8A"/>
    <w:rsid w:val="00F60215"/>
    <w:rsid w:val="00F60D33"/>
    <w:rsid w:val="00F61B3D"/>
    <w:rsid w:val="00F629E8"/>
    <w:rsid w:val="00F6387D"/>
    <w:rsid w:val="00F642AB"/>
    <w:rsid w:val="00F644AD"/>
    <w:rsid w:val="00F64C98"/>
    <w:rsid w:val="00F6513F"/>
    <w:rsid w:val="00F6532C"/>
    <w:rsid w:val="00F654DB"/>
    <w:rsid w:val="00F657D5"/>
    <w:rsid w:val="00F65AC8"/>
    <w:rsid w:val="00F65B2E"/>
    <w:rsid w:val="00F65B67"/>
    <w:rsid w:val="00F65F5A"/>
    <w:rsid w:val="00F660E2"/>
    <w:rsid w:val="00F6657A"/>
    <w:rsid w:val="00F66F3E"/>
    <w:rsid w:val="00F675D9"/>
    <w:rsid w:val="00F678B6"/>
    <w:rsid w:val="00F67DB0"/>
    <w:rsid w:val="00F7037E"/>
    <w:rsid w:val="00F70735"/>
    <w:rsid w:val="00F709E1"/>
    <w:rsid w:val="00F711E7"/>
    <w:rsid w:val="00F725DE"/>
    <w:rsid w:val="00F7291C"/>
    <w:rsid w:val="00F73836"/>
    <w:rsid w:val="00F74075"/>
    <w:rsid w:val="00F750A3"/>
    <w:rsid w:val="00F75211"/>
    <w:rsid w:val="00F7683F"/>
    <w:rsid w:val="00F7689C"/>
    <w:rsid w:val="00F7720A"/>
    <w:rsid w:val="00F77BA7"/>
    <w:rsid w:val="00F80164"/>
    <w:rsid w:val="00F80EF6"/>
    <w:rsid w:val="00F8148A"/>
    <w:rsid w:val="00F81D62"/>
    <w:rsid w:val="00F81E89"/>
    <w:rsid w:val="00F81F60"/>
    <w:rsid w:val="00F82461"/>
    <w:rsid w:val="00F825B4"/>
    <w:rsid w:val="00F82848"/>
    <w:rsid w:val="00F837B1"/>
    <w:rsid w:val="00F84804"/>
    <w:rsid w:val="00F84E94"/>
    <w:rsid w:val="00F85FB8"/>
    <w:rsid w:val="00F8683C"/>
    <w:rsid w:val="00F876E8"/>
    <w:rsid w:val="00F878B6"/>
    <w:rsid w:val="00F87E38"/>
    <w:rsid w:val="00F87E7E"/>
    <w:rsid w:val="00F90CDE"/>
    <w:rsid w:val="00F92625"/>
    <w:rsid w:val="00F92DB0"/>
    <w:rsid w:val="00F94490"/>
    <w:rsid w:val="00F94F01"/>
    <w:rsid w:val="00F954A7"/>
    <w:rsid w:val="00F95E7C"/>
    <w:rsid w:val="00F96320"/>
    <w:rsid w:val="00F9720D"/>
    <w:rsid w:val="00F9752A"/>
    <w:rsid w:val="00FA1751"/>
    <w:rsid w:val="00FA2128"/>
    <w:rsid w:val="00FA2460"/>
    <w:rsid w:val="00FA34F4"/>
    <w:rsid w:val="00FA36CB"/>
    <w:rsid w:val="00FA4EE7"/>
    <w:rsid w:val="00FA5929"/>
    <w:rsid w:val="00FA64D9"/>
    <w:rsid w:val="00FA6EDB"/>
    <w:rsid w:val="00FA72C3"/>
    <w:rsid w:val="00FA7966"/>
    <w:rsid w:val="00FB02A6"/>
    <w:rsid w:val="00FB08A4"/>
    <w:rsid w:val="00FB0F1E"/>
    <w:rsid w:val="00FB108E"/>
    <w:rsid w:val="00FB14EC"/>
    <w:rsid w:val="00FB1A80"/>
    <w:rsid w:val="00FB20D1"/>
    <w:rsid w:val="00FB2595"/>
    <w:rsid w:val="00FB2CEF"/>
    <w:rsid w:val="00FB2FF9"/>
    <w:rsid w:val="00FB306A"/>
    <w:rsid w:val="00FB3A99"/>
    <w:rsid w:val="00FB4211"/>
    <w:rsid w:val="00FB423D"/>
    <w:rsid w:val="00FB47F0"/>
    <w:rsid w:val="00FB515C"/>
    <w:rsid w:val="00FB5BF3"/>
    <w:rsid w:val="00FB5DAE"/>
    <w:rsid w:val="00FB66D6"/>
    <w:rsid w:val="00FB6D4E"/>
    <w:rsid w:val="00FB71DE"/>
    <w:rsid w:val="00FC075A"/>
    <w:rsid w:val="00FC2C9A"/>
    <w:rsid w:val="00FC312D"/>
    <w:rsid w:val="00FC3D2D"/>
    <w:rsid w:val="00FC3E79"/>
    <w:rsid w:val="00FC40C7"/>
    <w:rsid w:val="00FC424F"/>
    <w:rsid w:val="00FC45F8"/>
    <w:rsid w:val="00FC50C0"/>
    <w:rsid w:val="00FC5BA2"/>
    <w:rsid w:val="00FC5F6F"/>
    <w:rsid w:val="00FC60F0"/>
    <w:rsid w:val="00FC68A8"/>
    <w:rsid w:val="00FC6FBD"/>
    <w:rsid w:val="00FC7058"/>
    <w:rsid w:val="00FD0154"/>
    <w:rsid w:val="00FD0A7E"/>
    <w:rsid w:val="00FD0E62"/>
    <w:rsid w:val="00FD1846"/>
    <w:rsid w:val="00FD1FAB"/>
    <w:rsid w:val="00FD2073"/>
    <w:rsid w:val="00FD2733"/>
    <w:rsid w:val="00FD2A6A"/>
    <w:rsid w:val="00FD34B2"/>
    <w:rsid w:val="00FD34DF"/>
    <w:rsid w:val="00FD3720"/>
    <w:rsid w:val="00FD38C8"/>
    <w:rsid w:val="00FD43AD"/>
    <w:rsid w:val="00FD45DF"/>
    <w:rsid w:val="00FD47BE"/>
    <w:rsid w:val="00FD4A70"/>
    <w:rsid w:val="00FD4CEF"/>
    <w:rsid w:val="00FD50DB"/>
    <w:rsid w:val="00FD53A2"/>
    <w:rsid w:val="00FD5AE3"/>
    <w:rsid w:val="00FD620A"/>
    <w:rsid w:val="00FD62D7"/>
    <w:rsid w:val="00FD64E1"/>
    <w:rsid w:val="00FD6CD8"/>
    <w:rsid w:val="00FD6E27"/>
    <w:rsid w:val="00FD6E53"/>
    <w:rsid w:val="00FD7456"/>
    <w:rsid w:val="00FD79ED"/>
    <w:rsid w:val="00FD7E2B"/>
    <w:rsid w:val="00FE006C"/>
    <w:rsid w:val="00FE0924"/>
    <w:rsid w:val="00FE0991"/>
    <w:rsid w:val="00FE15D6"/>
    <w:rsid w:val="00FE19E7"/>
    <w:rsid w:val="00FE1BB3"/>
    <w:rsid w:val="00FE1ECF"/>
    <w:rsid w:val="00FE2E46"/>
    <w:rsid w:val="00FE424D"/>
    <w:rsid w:val="00FE428F"/>
    <w:rsid w:val="00FE457E"/>
    <w:rsid w:val="00FE4651"/>
    <w:rsid w:val="00FE4C08"/>
    <w:rsid w:val="00FE61BD"/>
    <w:rsid w:val="00FE70AB"/>
    <w:rsid w:val="00FE787E"/>
    <w:rsid w:val="00FE7CAC"/>
    <w:rsid w:val="00FF0231"/>
    <w:rsid w:val="00FF03CC"/>
    <w:rsid w:val="00FF08AC"/>
    <w:rsid w:val="00FF23AE"/>
    <w:rsid w:val="00FF24AB"/>
    <w:rsid w:val="00FF28A5"/>
    <w:rsid w:val="00FF2BE1"/>
    <w:rsid w:val="00FF2DA9"/>
    <w:rsid w:val="00FF2FB2"/>
    <w:rsid w:val="00FF3AE1"/>
    <w:rsid w:val="00FF3D85"/>
    <w:rsid w:val="00FF3F1B"/>
    <w:rsid w:val="00FF4BE3"/>
    <w:rsid w:val="00FF5833"/>
    <w:rsid w:val="00FF59E9"/>
    <w:rsid w:val="00FF5B7D"/>
    <w:rsid w:val="00FF7119"/>
    <w:rsid w:val="00FF7A42"/>
    <w:rsid w:val="01BA8FF5"/>
    <w:rsid w:val="0236F85C"/>
    <w:rsid w:val="0269F465"/>
    <w:rsid w:val="02E0B03E"/>
    <w:rsid w:val="02E2E6CA"/>
    <w:rsid w:val="03B0B72C"/>
    <w:rsid w:val="03BCF60D"/>
    <w:rsid w:val="03EEC662"/>
    <w:rsid w:val="04F7265C"/>
    <w:rsid w:val="060AB73C"/>
    <w:rsid w:val="061A5C11"/>
    <w:rsid w:val="0721DDDE"/>
    <w:rsid w:val="08DA7601"/>
    <w:rsid w:val="09390E0C"/>
    <w:rsid w:val="0988E776"/>
    <w:rsid w:val="0A037829"/>
    <w:rsid w:val="0A2D3280"/>
    <w:rsid w:val="0A707480"/>
    <w:rsid w:val="0AAA7D4F"/>
    <w:rsid w:val="0C152066"/>
    <w:rsid w:val="0CBBBCBF"/>
    <w:rsid w:val="0CF7853C"/>
    <w:rsid w:val="0D26D8FC"/>
    <w:rsid w:val="0DFD0FAE"/>
    <w:rsid w:val="0EC064F6"/>
    <w:rsid w:val="0EE4572B"/>
    <w:rsid w:val="0F292753"/>
    <w:rsid w:val="0F878DC3"/>
    <w:rsid w:val="0FF29814"/>
    <w:rsid w:val="1045BE3B"/>
    <w:rsid w:val="10948D58"/>
    <w:rsid w:val="10C2A036"/>
    <w:rsid w:val="110A4183"/>
    <w:rsid w:val="119D01E7"/>
    <w:rsid w:val="12877C5B"/>
    <w:rsid w:val="12A5D053"/>
    <w:rsid w:val="14DC841A"/>
    <w:rsid w:val="155ACFC6"/>
    <w:rsid w:val="15604E94"/>
    <w:rsid w:val="15B82FD8"/>
    <w:rsid w:val="15C5B146"/>
    <w:rsid w:val="1672F119"/>
    <w:rsid w:val="1698D30B"/>
    <w:rsid w:val="16D97E64"/>
    <w:rsid w:val="16F09C93"/>
    <w:rsid w:val="172839EA"/>
    <w:rsid w:val="172E4105"/>
    <w:rsid w:val="17B97E36"/>
    <w:rsid w:val="182BBF7C"/>
    <w:rsid w:val="1863217A"/>
    <w:rsid w:val="18A56ED6"/>
    <w:rsid w:val="1981483F"/>
    <w:rsid w:val="1A40AD11"/>
    <w:rsid w:val="1A845164"/>
    <w:rsid w:val="1A8E896B"/>
    <w:rsid w:val="1AC1127A"/>
    <w:rsid w:val="1AD6ACF8"/>
    <w:rsid w:val="1ADBD280"/>
    <w:rsid w:val="1B2849F7"/>
    <w:rsid w:val="1B382BDA"/>
    <w:rsid w:val="1B60D734"/>
    <w:rsid w:val="1B6EB4B3"/>
    <w:rsid w:val="1BA15047"/>
    <w:rsid w:val="1BFCAC4D"/>
    <w:rsid w:val="1C2ECEBE"/>
    <w:rsid w:val="1D795616"/>
    <w:rsid w:val="1DA92FA8"/>
    <w:rsid w:val="1E967B9C"/>
    <w:rsid w:val="1EF3E0E6"/>
    <w:rsid w:val="1F00CCD3"/>
    <w:rsid w:val="1FF5F8DE"/>
    <w:rsid w:val="207F74EE"/>
    <w:rsid w:val="20987A56"/>
    <w:rsid w:val="20C98AD5"/>
    <w:rsid w:val="20E517F8"/>
    <w:rsid w:val="2123E72B"/>
    <w:rsid w:val="212B3E9C"/>
    <w:rsid w:val="221728B1"/>
    <w:rsid w:val="224295D1"/>
    <w:rsid w:val="23A11AE4"/>
    <w:rsid w:val="23AD73F8"/>
    <w:rsid w:val="23CD4F65"/>
    <w:rsid w:val="23E126F7"/>
    <w:rsid w:val="2406BB48"/>
    <w:rsid w:val="240D4F76"/>
    <w:rsid w:val="242E4A64"/>
    <w:rsid w:val="242EC2AB"/>
    <w:rsid w:val="245C0138"/>
    <w:rsid w:val="246849A7"/>
    <w:rsid w:val="249E6E7A"/>
    <w:rsid w:val="262D93E5"/>
    <w:rsid w:val="26D6C6E0"/>
    <w:rsid w:val="270379F9"/>
    <w:rsid w:val="2719B1A3"/>
    <w:rsid w:val="271FDB0E"/>
    <w:rsid w:val="2734134C"/>
    <w:rsid w:val="2771E794"/>
    <w:rsid w:val="27C50DED"/>
    <w:rsid w:val="27DD0448"/>
    <w:rsid w:val="2854F95C"/>
    <w:rsid w:val="2899AAD1"/>
    <w:rsid w:val="28CD6CEA"/>
    <w:rsid w:val="2947D1C6"/>
    <w:rsid w:val="297096BD"/>
    <w:rsid w:val="29C8C065"/>
    <w:rsid w:val="29CF55BE"/>
    <w:rsid w:val="29E3803B"/>
    <w:rsid w:val="2B1B4DB6"/>
    <w:rsid w:val="2BF355F5"/>
    <w:rsid w:val="2D741849"/>
    <w:rsid w:val="2D92CB9E"/>
    <w:rsid w:val="2DD2F6E7"/>
    <w:rsid w:val="2DFD0DD5"/>
    <w:rsid w:val="2E16082A"/>
    <w:rsid w:val="2F107ACD"/>
    <w:rsid w:val="2F2CBBBD"/>
    <w:rsid w:val="3010E721"/>
    <w:rsid w:val="307A10C1"/>
    <w:rsid w:val="3129E09A"/>
    <w:rsid w:val="31A875F4"/>
    <w:rsid w:val="31B09357"/>
    <w:rsid w:val="325D4B73"/>
    <w:rsid w:val="326002D5"/>
    <w:rsid w:val="32C6AA73"/>
    <w:rsid w:val="3307A80D"/>
    <w:rsid w:val="33245B75"/>
    <w:rsid w:val="339B65D1"/>
    <w:rsid w:val="347068E8"/>
    <w:rsid w:val="348CF36B"/>
    <w:rsid w:val="34FEA64D"/>
    <w:rsid w:val="3551B6B8"/>
    <w:rsid w:val="3592A084"/>
    <w:rsid w:val="35A88291"/>
    <w:rsid w:val="3605607C"/>
    <w:rsid w:val="361A964D"/>
    <w:rsid w:val="3717753B"/>
    <w:rsid w:val="3778D76C"/>
    <w:rsid w:val="37D401A8"/>
    <w:rsid w:val="37D88537"/>
    <w:rsid w:val="3808C5D8"/>
    <w:rsid w:val="391530B0"/>
    <w:rsid w:val="396DC2E5"/>
    <w:rsid w:val="3AEF8AA8"/>
    <w:rsid w:val="3BBC7E37"/>
    <w:rsid w:val="3C774C3C"/>
    <w:rsid w:val="3D24DEAC"/>
    <w:rsid w:val="3DDAB040"/>
    <w:rsid w:val="3E892671"/>
    <w:rsid w:val="3E918675"/>
    <w:rsid w:val="40386231"/>
    <w:rsid w:val="4071B8E7"/>
    <w:rsid w:val="4098E79E"/>
    <w:rsid w:val="41D966C0"/>
    <w:rsid w:val="42682E6C"/>
    <w:rsid w:val="42C7FDCE"/>
    <w:rsid w:val="43420FDC"/>
    <w:rsid w:val="440C6C64"/>
    <w:rsid w:val="44CA6F99"/>
    <w:rsid w:val="454DE34C"/>
    <w:rsid w:val="45D0C26F"/>
    <w:rsid w:val="4600C1A9"/>
    <w:rsid w:val="460C42B1"/>
    <w:rsid w:val="4635EB8B"/>
    <w:rsid w:val="468830BF"/>
    <w:rsid w:val="46DA59E7"/>
    <w:rsid w:val="46EB106E"/>
    <w:rsid w:val="47466C73"/>
    <w:rsid w:val="47B6E6BA"/>
    <w:rsid w:val="47C119E5"/>
    <w:rsid w:val="484FAD33"/>
    <w:rsid w:val="48820110"/>
    <w:rsid w:val="48A530A0"/>
    <w:rsid w:val="48BCD8EA"/>
    <w:rsid w:val="48CEC947"/>
    <w:rsid w:val="48D5B546"/>
    <w:rsid w:val="4934E0F0"/>
    <w:rsid w:val="4A67E504"/>
    <w:rsid w:val="4AFB18A6"/>
    <w:rsid w:val="4BA9743E"/>
    <w:rsid w:val="4C3B561E"/>
    <w:rsid w:val="4C49CC27"/>
    <w:rsid w:val="4C711A2B"/>
    <w:rsid w:val="4CEA5D8C"/>
    <w:rsid w:val="4CEBE272"/>
    <w:rsid w:val="4D959ABE"/>
    <w:rsid w:val="4D9FBCD4"/>
    <w:rsid w:val="4E6C9B71"/>
    <w:rsid w:val="4FB40283"/>
    <w:rsid w:val="4FFF78B3"/>
    <w:rsid w:val="5065F9A5"/>
    <w:rsid w:val="51518D7D"/>
    <w:rsid w:val="517A8E59"/>
    <w:rsid w:val="522B5A9D"/>
    <w:rsid w:val="533D5D8A"/>
    <w:rsid w:val="535AF3FB"/>
    <w:rsid w:val="53FD544B"/>
    <w:rsid w:val="544F3607"/>
    <w:rsid w:val="55C69EE3"/>
    <w:rsid w:val="56885CFD"/>
    <w:rsid w:val="57CE1DD7"/>
    <w:rsid w:val="5863AFF9"/>
    <w:rsid w:val="5916FA37"/>
    <w:rsid w:val="592DEAF8"/>
    <w:rsid w:val="594969F6"/>
    <w:rsid w:val="5991FBBA"/>
    <w:rsid w:val="5AA9BE9A"/>
    <w:rsid w:val="5B14CA40"/>
    <w:rsid w:val="5B7282B8"/>
    <w:rsid w:val="5DDBAC2E"/>
    <w:rsid w:val="5E486BF7"/>
    <w:rsid w:val="5E71D226"/>
    <w:rsid w:val="5EA8E770"/>
    <w:rsid w:val="5EB3A9E6"/>
    <w:rsid w:val="5EC833B9"/>
    <w:rsid w:val="5ECC4BB8"/>
    <w:rsid w:val="5F0D38A2"/>
    <w:rsid w:val="5F5A5C57"/>
    <w:rsid w:val="5F7268E4"/>
    <w:rsid w:val="5FDD4736"/>
    <w:rsid w:val="5FE32185"/>
    <w:rsid w:val="606E4614"/>
    <w:rsid w:val="608467FE"/>
    <w:rsid w:val="60D74183"/>
    <w:rsid w:val="613FAEDF"/>
    <w:rsid w:val="6162CFB2"/>
    <w:rsid w:val="61C9880C"/>
    <w:rsid w:val="61DAA77B"/>
    <w:rsid w:val="61FFAAD8"/>
    <w:rsid w:val="6233807D"/>
    <w:rsid w:val="625B918D"/>
    <w:rsid w:val="6356DC80"/>
    <w:rsid w:val="637CDD46"/>
    <w:rsid w:val="640E9EB5"/>
    <w:rsid w:val="643BF53F"/>
    <w:rsid w:val="64D70638"/>
    <w:rsid w:val="65009C5D"/>
    <w:rsid w:val="65654D42"/>
    <w:rsid w:val="658EF3A5"/>
    <w:rsid w:val="665B0D38"/>
    <w:rsid w:val="6723AE5B"/>
    <w:rsid w:val="674B280D"/>
    <w:rsid w:val="67745FB8"/>
    <w:rsid w:val="6876AB5B"/>
    <w:rsid w:val="6877A798"/>
    <w:rsid w:val="68C37BE3"/>
    <w:rsid w:val="690CA2BD"/>
    <w:rsid w:val="692443FF"/>
    <w:rsid w:val="6929C62D"/>
    <w:rsid w:val="69576834"/>
    <w:rsid w:val="699478AA"/>
    <w:rsid w:val="6A1F3A1B"/>
    <w:rsid w:val="6A353F4E"/>
    <w:rsid w:val="6A4646DD"/>
    <w:rsid w:val="6B13CBD4"/>
    <w:rsid w:val="6B71DA07"/>
    <w:rsid w:val="6BA4F2CF"/>
    <w:rsid w:val="6C4C19B8"/>
    <w:rsid w:val="6C674E80"/>
    <w:rsid w:val="6E52F859"/>
    <w:rsid w:val="6E66118F"/>
    <w:rsid w:val="6FA5140D"/>
    <w:rsid w:val="6FABA608"/>
    <w:rsid w:val="6FE9D78F"/>
    <w:rsid w:val="703B37F3"/>
    <w:rsid w:val="70BC6E62"/>
    <w:rsid w:val="71575DD9"/>
    <w:rsid w:val="71666576"/>
    <w:rsid w:val="7184E7B6"/>
    <w:rsid w:val="718BCF05"/>
    <w:rsid w:val="718D6109"/>
    <w:rsid w:val="7298F3FE"/>
    <w:rsid w:val="72EFC52F"/>
    <w:rsid w:val="735A444F"/>
    <w:rsid w:val="73655EFD"/>
    <w:rsid w:val="73659484"/>
    <w:rsid w:val="74ABE3B8"/>
    <w:rsid w:val="74B1077E"/>
    <w:rsid w:val="74D72B83"/>
    <w:rsid w:val="75BA9345"/>
    <w:rsid w:val="75EE0B3A"/>
    <w:rsid w:val="768E119A"/>
    <w:rsid w:val="76B9B5E1"/>
    <w:rsid w:val="76DD1C93"/>
    <w:rsid w:val="77DA699F"/>
    <w:rsid w:val="79077AF6"/>
    <w:rsid w:val="79680EAE"/>
    <w:rsid w:val="7A24AA6A"/>
    <w:rsid w:val="7A9640E1"/>
    <w:rsid w:val="7AB01420"/>
    <w:rsid w:val="7AEE7FBE"/>
    <w:rsid w:val="7BA01003"/>
    <w:rsid w:val="7C2E94CA"/>
    <w:rsid w:val="7D6C5D31"/>
    <w:rsid w:val="7D8583B9"/>
    <w:rsid w:val="7E4D75DD"/>
    <w:rsid w:val="7E9BC7CE"/>
    <w:rsid w:val="7F09F050"/>
    <w:rsid w:val="7FD3C7B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C179B0"/>
  <w15:chartTrackingRefBased/>
  <w15:docId w15:val="{F8F705D3-54C9-43C5-A1AA-12C7160D2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A0F"/>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uiPriority w:val="9"/>
    <w:qFormat/>
    <w:rsid w:val="000E5A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A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A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A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A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A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A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A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A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A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A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A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A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A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A0F"/>
    <w:rPr>
      <w:rFonts w:ascii="Times New Roman" w:eastAsiaTheme="majorEastAsia" w:hAnsi="Times New Roman" w:cstheme="majorBidi"/>
      <w:i/>
      <w:iCs/>
      <w:color w:val="595959" w:themeColor="text1" w:themeTint="A6"/>
      <w:kern w:val="0"/>
      <w:sz w:val="24"/>
      <w:szCs w:val="24"/>
      <w:lang w:val="fr-FR" w:eastAsia="en-GB"/>
    </w:rPr>
  </w:style>
  <w:style w:type="character" w:customStyle="1" w:styleId="Heading7Char">
    <w:name w:val="Heading 7 Char"/>
    <w:basedOn w:val="DefaultParagraphFont"/>
    <w:link w:val="Heading7"/>
    <w:uiPriority w:val="9"/>
    <w:semiHidden/>
    <w:rsid w:val="000E5A0F"/>
    <w:rPr>
      <w:rFonts w:ascii="Times New Roman" w:eastAsiaTheme="majorEastAsia" w:hAnsi="Times New Roman" w:cstheme="majorBidi"/>
      <w:color w:val="595959" w:themeColor="text1" w:themeTint="A6"/>
      <w:kern w:val="0"/>
      <w:sz w:val="24"/>
      <w:szCs w:val="24"/>
      <w:lang w:val="fr-FR" w:eastAsia="en-GB"/>
    </w:rPr>
  </w:style>
  <w:style w:type="character" w:customStyle="1" w:styleId="Heading8Char">
    <w:name w:val="Heading 8 Char"/>
    <w:basedOn w:val="DefaultParagraphFont"/>
    <w:link w:val="Heading8"/>
    <w:uiPriority w:val="9"/>
    <w:semiHidden/>
    <w:rsid w:val="000E5A0F"/>
    <w:rPr>
      <w:rFonts w:ascii="Times New Roman" w:eastAsiaTheme="majorEastAsia" w:hAnsi="Times New Roman" w:cstheme="majorBidi"/>
      <w:i/>
      <w:iCs/>
      <w:color w:val="272727" w:themeColor="text1" w:themeTint="D8"/>
      <w:kern w:val="0"/>
      <w:sz w:val="24"/>
      <w:szCs w:val="24"/>
      <w:lang w:val="fr-FR" w:eastAsia="en-GB"/>
    </w:rPr>
  </w:style>
  <w:style w:type="character" w:customStyle="1" w:styleId="Heading9Char">
    <w:name w:val="Heading 9 Char"/>
    <w:basedOn w:val="DefaultParagraphFont"/>
    <w:link w:val="Heading9"/>
    <w:uiPriority w:val="9"/>
    <w:semiHidden/>
    <w:rsid w:val="000E5A0F"/>
    <w:rPr>
      <w:rFonts w:ascii="Times New Roman" w:eastAsiaTheme="majorEastAsia" w:hAnsi="Times New Roman" w:cstheme="majorBidi"/>
      <w:color w:val="272727" w:themeColor="text1" w:themeTint="D8"/>
      <w:kern w:val="0"/>
      <w:sz w:val="24"/>
      <w:szCs w:val="24"/>
      <w:lang w:val="fr-FR" w:eastAsia="en-GB"/>
    </w:rPr>
  </w:style>
  <w:style w:type="paragraph" w:styleId="Title">
    <w:name w:val="Title"/>
    <w:basedOn w:val="Normal"/>
    <w:next w:val="Normal"/>
    <w:link w:val="TitleChar"/>
    <w:uiPriority w:val="10"/>
    <w:qFormat/>
    <w:rsid w:val="000E5A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A0F"/>
    <w:rPr>
      <w:rFonts w:asciiTheme="majorHAnsi" w:eastAsiaTheme="majorEastAsia" w:hAnsiTheme="majorHAnsi" w:cstheme="majorBidi"/>
      <w:spacing w:val="-10"/>
      <w:kern w:val="28"/>
      <w:sz w:val="56"/>
      <w:szCs w:val="56"/>
      <w:lang w:val="fr-FR" w:eastAsia="en-GB"/>
    </w:rPr>
  </w:style>
  <w:style w:type="paragraph" w:styleId="Subtitle">
    <w:name w:val="Subtitle"/>
    <w:basedOn w:val="Normal"/>
    <w:next w:val="Normal"/>
    <w:link w:val="SubtitleChar"/>
    <w:uiPriority w:val="11"/>
    <w:qFormat/>
    <w:rsid w:val="000E5A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A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A0F"/>
    <w:pPr>
      <w:spacing w:before="160"/>
      <w:jc w:val="center"/>
    </w:pPr>
    <w:rPr>
      <w:i/>
      <w:iCs/>
      <w:color w:val="404040" w:themeColor="text1" w:themeTint="BF"/>
    </w:rPr>
  </w:style>
  <w:style w:type="character" w:customStyle="1" w:styleId="QuoteChar">
    <w:name w:val="Quote Char"/>
    <w:basedOn w:val="DefaultParagraphFont"/>
    <w:link w:val="Quote"/>
    <w:uiPriority w:val="29"/>
    <w:rsid w:val="000E5A0F"/>
    <w:rPr>
      <w:i/>
      <w:iCs/>
      <w:color w:val="404040" w:themeColor="text1" w:themeTint="BF"/>
    </w:rPr>
  </w:style>
  <w:style w:type="paragraph" w:styleId="ListParagraph">
    <w:name w:val="List Paragraph"/>
    <w:basedOn w:val="Normal"/>
    <w:uiPriority w:val="34"/>
    <w:qFormat/>
    <w:rsid w:val="000E5A0F"/>
    <w:pPr>
      <w:ind w:left="720"/>
      <w:contextualSpacing/>
    </w:pPr>
  </w:style>
  <w:style w:type="character" w:styleId="IntenseEmphasis">
    <w:name w:val="Intense Emphasis"/>
    <w:basedOn w:val="DefaultParagraphFont"/>
    <w:uiPriority w:val="21"/>
    <w:qFormat/>
    <w:rsid w:val="000E5A0F"/>
    <w:rPr>
      <w:i/>
      <w:iCs/>
      <w:color w:val="0F4761" w:themeColor="accent1" w:themeShade="BF"/>
    </w:rPr>
  </w:style>
  <w:style w:type="paragraph" w:styleId="IntenseQuote">
    <w:name w:val="Intense Quote"/>
    <w:basedOn w:val="Normal"/>
    <w:next w:val="Normal"/>
    <w:link w:val="IntenseQuoteChar"/>
    <w:uiPriority w:val="30"/>
    <w:qFormat/>
    <w:rsid w:val="000E5A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A0F"/>
    <w:rPr>
      <w:i/>
      <w:iCs/>
      <w:color w:val="0F4761" w:themeColor="accent1" w:themeShade="BF"/>
    </w:rPr>
  </w:style>
  <w:style w:type="character" w:styleId="IntenseReference">
    <w:name w:val="Intense Reference"/>
    <w:basedOn w:val="DefaultParagraphFont"/>
    <w:uiPriority w:val="32"/>
    <w:qFormat/>
    <w:rsid w:val="000E5A0F"/>
    <w:rPr>
      <w:b/>
      <w:bCs/>
      <w:smallCaps/>
      <w:color w:val="0F4761" w:themeColor="accent1" w:themeShade="BF"/>
      <w:spacing w:val="5"/>
    </w:rPr>
  </w:style>
  <w:style w:type="paragraph" w:customStyle="1" w:styleId="Pagedecouverture">
    <w:name w:val="Page de couverture"/>
    <w:basedOn w:val="Normal"/>
    <w:next w:val="Normal"/>
    <w:rsid w:val="000E5A0F"/>
    <w:pPr>
      <w:jc w:val="both"/>
    </w:pPr>
    <w:rPr>
      <w:rFonts w:eastAsiaTheme="minorHAnsi"/>
      <w:szCs w:val="22"/>
      <w:lang w:eastAsia="en-US"/>
    </w:rPr>
  </w:style>
  <w:style w:type="paragraph" w:styleId="Header">
    <w:name w:val="header"/>
    <w:basedOn w:val="Normal"/>
    <w:link w:val="HeaderChar"/>
    <w:uiPriority w:val="99"/>
    <w:unhideWhenUsed/>
    <w:rsid w:val="000E5A0F"/>
    <w:pPr>
      <w:tabs>
        <w:tab w:val="center" w:pos="4536"/>
        <w:tab w:val="right" w:pos="9072"/>
      </w:tabs>
    </w:pPr>
  </w:style>
  <w:style w:type="character" w:customStyle="1" w:styleId="HeaderChar">
    <w:name w:val="Header Char"/>
    <w:basedOn w:val="DefaultParagraphFont"/>
    <w:link w:val="Header"/>
    <w:uiPriority w:val="99"/>
    <w:rsid w:val="000E5A0F"/>
    <w:rPr>
      <w:rFonts w:ascii="Times New Roman" w:eastAsia="Times New Roman" w:hAnsi="Times New Roman" w:cs="Times New Roman"/>
      <w:kern w:val="0"/>
      <w:sz w:val="24"/>
      <w:szCs w:val="24"/>
      <w:lang w:val="fr-FR" w:eastAsia="en-GB"/>
    </w:rPr>
  </w:style>
  <w:style w:type="paragraph" w:styleId="Footer">
    <w:name w:val="footer"/>
    <w:basedOn w:val="Normal"/>
    <w:link w:val="FooterChar"/>
    <w:uiPriority w:val="99"/>
    <w:unhideWhenUsed/>
    <w:rsid w:val="000E5A0F"/>
    <w:pPr>
      <w:tabs>
        <w:tab w:val="center" w:pos="4536"/>
        <w:tab w:val="right" w:pos="9072"/>
      </w:tabs>
    </w:pPr>
  </w:style>
  <w:style w:type="character" w:customStyle="1" w:styleId="FooterChar">
    <w:name w:val="Footer Char"/>
    <w:basedOn w:val="DefaultParagraphFont"/>
    <w:link w:val="Footer"/>
    <w:uiPriority w:val="99"/>
    <w:rsid w:val="000E5A0F"/>
    <w:rPr>
      <w:rFonts w:ascii="Times New Roman" w:eastAsia="Times New Roman" w:hAnsi="Times New Roman" w:cs="Times New Roman"/>
      <w:kern w:val="0"/>
      <w:sz w:val="24"/>
      <w:szCs w:val="24"/>
      <w:lang w:val="fr-FR" w:eastAsia="en-GB"/>
    </w:rPr>
  </w:style>
  <w:style w:type="paragraph" w:customStyle="1" w:styleId="FooterCoverPage">
    <w:name w:val="Footer Cover Page"/>
    <w:basedOn w:val="Normal"/>
    <w:link w:val="FooterCoverPageChar"/>
    <w:rsid w:val="000E5A0F"/>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0E5A0F"/>
    <w:rPr>
      <w:rFonts w:ascii="Times New Roman" w:eastAsia="Times New Roman" w:hAnsi="Times New Roman" w:cs="Times New Roman"/>
      <w:kern w:val="0"/>
      <w:sz w:val="24"/>
      <w:szCs w:val="24"/>
      <w:lang w:eastAsia="en-GB"/>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basedOn w:val="Normal"/>
    <w:link w:val="FootnoteTextChar"/>
    <w:uiPriority w:val="99"/>
    <w:unhideWhenUsed/>
    <w:qFormat/>
    <w:rsid w:val="004922E4"/>
    <w:rPr>
      <w:sz w:val="20"/>
      <w:szCs w:val="20"/>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uiPriority w:val="99"/>
    <w:qFormat/>
    <w:rsid w:val="004922E4"/>
    <w:rPr>
      <w:rFonts w:ascii="Times New Roman" w:eastAsia="Times New Roman" w:hAnsi="Times New Roman" w:cs="Times New Roman"/>
      <w:kern w:val="0"/>
      <w:sz w:val="20"/>
      <w:szCs w:val="20"/>
      <w:lang w:val="fr-FR" w:eastAsia="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4922E4"/>
    <w:rPr>
      <w:vertAlign w:val="superscript"/>
    </w:rPr>
  </w:style>
  <w:style w:type="paragraph" w:styleId="BodyText">
    <w:name w:val="Body Text"/>
    <w:basedOn w:val="Normal"/>
    <w:link w:val="BodyTextChar"/>
    <w:uiPriority w:val="1"/>
    <w:qFormat/>
    <w:rsid w:val="003A5F53"/>
    <w:pPr>
      <w:widowControl w:val="0"/>
      <w:autoSpaceDE w:val="0"/>
      <w:autoSpaceDN w:val="0"/>
      <w:ind w:left="1129"/>
      <w:jc w:val="both"/>
    </w:pPr>
    <w:rPr>
      <w:lang w:eastAsia="en-US"/>
    </w:rPr>
  </w:style>
  <w:style w:type="character" w:customStyle="1" w:styleId="BodyTextChar">
    <w:name w:val="Body Text Char"/>
    <w:basedOn w:val="DefaultParagraphFont"/>
    <w:link w:val="BodyText"/>
    <w:uiPriority w:val="1"/>
    <w:rsid w:val="003A5F53"/>
    <w:rPr>
      <w:rFonts w:ascii="Times New Roman" w:eastAsia="Times New Roman" w:hAnsi="Times New Roman" w:cs="Times New Roman"/>
      <w:kern w:val="0"/>
      <w:sz w:val="24"/>
      <w:szCs w:val="24"/>
      <w:lang w:val="fr-FR"/>
    </w:rPr>
  </w:style>
  <w:style w:type="paragraph" w:customStyle="1" w:styleId="CharCharChar1">
    <w:name w:val="Char Char Char1"/>
    <w:basedOn w:val="Normal"/>
    <w:link w:val="FootnoteReference"/>
    <w:uiPriority w:val="99"/>
    <w:rsid w:val="003A5F53"/>
    <w:pPr>
      <w:spacing w:after="160" w:line="240" w:lineRule="exact"/>
      <w:jc w:val="both"/>
    </w:pPr>
    <w:rPr>
      <w:rFonts w:asciiTheme="minorHAnsi" w:eastAsiaTheme="minorHAnsi" w:hAnsiTheme="minorHAnsi" w:cstheme="minorBidi"/>
      <w:kern w:val="2"/>
      <w:sz w:val="22"/>
      <w:szCs w:val="22"/>
      <w:vertAlign w:val="superscript"/>
      <w:lang w:eastAsia="en-US"/>
    </w:rPr>
  </w:style>
  <w:style w:type="paragraph" w:styleId="Revision">
    <w:name w:val="Revision"/>
    <w:hidden/>
    <w:uiPriority w:val="99"/>
    <w:semiHidden/>
    <w:rsid w:val="00825654"/>
    <w:pPr>
      <w:spacing w:after="0" w:line="240" w:lineRule="auto"/>
    </w:pPr>
    <w:rPr>
      <w:rFonts w:ascii="Times New Roman" w:eastAsia="Times New Roman" w:hAnsi="Times New Roman" w:cs="Times New Roman"/>
      <w:kern w:val="0"/>
      <w:sz w:val="24"/>
      <w:szCs w:val="24"/>
      <w:lang w:eastAsia="en-GB"/>
    </w:rPr>
  </w:style>
  <w:style w:type="character" w:styleId="CommentReference">
    <w:name w:val="annotation reference"/>
    <w:basedOn w:val="DefaultParagraphFont"/>
    <w:uiPriority w:val="99"/>
    <w:semiHidden/>
    <w:unhideWhenUsed/>
    <w:rsid w:val="000B4E3A"/>
    <w:rPr>
      <w:sz w:val="16"/>
      <w:szCs w:val="16"/>
    </w:rPr>
  </w:style>
  <w:style w:type="paragraph" w:styleId="CommentText">
    <w:name w:val="annotation text"/>
    <w:basedOn w:val="Normal"/>
    <w:link w:val="CommentTextChar"/>
    <w:uiPriority w:val="99"/>
    <w:unhideWhenUsed/>
    <w:rsid w:val="000B4E3A"/>
    <w:rPr>
      <w:sz w:val="20"/>
      <w:szCs w:val="20"/>
    </w:rPr>
  </w:style>
  <w:style w:type="character" w:customStyle="1" w:styleId="CommentTextChar">
    <w:name w:val="Comment Text Char"/>
    <w:basedOn w:val="DefaultParagraphFont"/>
    <w:link w:val="CommentText"/>
    <w:uiPriority w:val="99"/>
    <w:rsid w:val="000B4E3A"/>
    <w:rPr>
      <w:rFonts w:ascii="Times New Roman" w:eastAsia="Times New Roman" w:hAnsi="Times New Roman" w:cs="Times New Roman"/>
      <w:kern w:val="0"/>
      <w:sz w:val="20"/>
      <w:szCs w:val="20"/>
      <w:lang w:val="fr-FR" w:eastAsia="en-GB"/>
    </w:rPr>
  </w:style>
  <w:style w:type="paragraph" w:styleId="CommentSubject">
    <w:name w:val="annotation subject"/>
    <w:basedOn w:val="CommentText"/>
    <w:next w:val="CommentText"/>
    <w:link w:val="CommentSubjectChar"/>
    <w:uiPriority w:val="99"/>
    <w:semiHidden/>
    <w:unhideWhenUsed/>
    <w:rsid w:val="000B4E3A"/>
    <w:rPr>
      <w:b/>
      <w:bCs/>
    </w:rPr>
  </w:style>
  <w:style w:type="character" w:customStyle="1" w:styleId="CommentSubjectChar">
    <w:name w:val="Comment Subject Char"/>
    <w:basedOn w:val="CommentTextChar"/>
    <w:link w:val="CommentSubject"/>
    <w:uiPriority w:val="99"/>
    <w:semiHidden/>
    <w:rsid w:val="000B4E3A"/>
    <w:rPr>
      <w:rFonts w:ascii="Times New Roman" w:eastAsia="Times New Roman" w:hAnsi="Times New Roman" w:cs="Times New Roman"/>
      <w:b/>
      <w:bCs/>
      <w:kern w:val="0"/>
      <w:sz w:val="20"/>
      <w:szCs w:val="20"/>
      <w:lang w:val="fr-FR" w:eastAsia="en-GB"/>
    </w:rPr>
  </w:style>
  <w:style w:type="character" w:customStyle="1" w:styleId="Mention">
    <w:name w:val="Mention"/>
    <w:basedOn w:val="DefaultParagraphFont"/>
    <w:uiPriority w:val="99"/>
    <w:unhideWhenUsed/>
    <w:rsid w:val="00FC5F6F"/>
    <w:rPr>
      <w:color w:val="2B579A"/>
      <w:shd w:val="clear" w:color="auto" w:fill="E1DFDD"/>
    </w:rPr>
  </w:style>
  <w:style w:type="character" w:customStyle="1" w:styleId="Marker">
    <w:name w:val="Marker"/>
    <w:basedOn w:val="DefaultParagraphFont"/>
    <w:rsid w:val="008F7602"/>
    <w:rPr>
      <w:color w:val="0000FF"/>
      <w:shd w:val="clear" w:color="auto" w:fill="auto"/>
    </w:rPr>
  </w:style>
  <w:style w:type="paragraph" w:customStyle="1" w:styleId="FooterSensitivity">
    <w:name w:val="Footer Sensitivity"/>
    <w:basedOn w:val="Normal"/>
    <w:link w:val="FooterSensitivityChar"/>
    <w:rsid w:val="008F7602"/>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8F7602"/>
    <w:rPr>
      <w:rFonts w:ascii="Times New Roman" w:eastAsia="Times New Roman" w:hAnsi="Times New Roman" w:cs="Times New Roman"/>
      <w:b/>
      <w:kern w:val="0"/>
      <w:sz w:val="32"/>
      <w:szCs w:val="24"/>
      <w:lang w:eastAsia="en-GB"/>
    </w:rPr>
  </w:style>
  <w:style w:type="paragraph" w:customStyle="1" w:styleId="HeaderCoverPage">
    <w:name w:val="Header Cover Page"/>
    <w:basedOn w:val="Normal"/>
    <w:link w:val="HeaderCoverPageChar"/>
    <w:rsid w:val="008F7602"/>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8F7602"/>
    <w:rPr>
      <w:rFonts w:ascii="Times New Roman" w:eastAsia="Times New Roman" w:hAnsi="Times New Roman" w:cs="Times New Roman"/>
      <w:kern w:val="0"/>
      <w:sz w:val="24"/>
      <w:szCs w:val="24"/>
      <w:lang w:eastAsia="en-GB"/>
    </w:rPr>
  </w:style>
  <w:style w:type="paragraph" w:customStyle="1" w:styleId="HeaderSensitivity">
    <w:name w:val="Header Sensitivity"/>
    <w:basedOn w:val="Normal"/>
    <w:link w:val="HeaderSensitivityChar"/>
    <w:rsid w:val="008F760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8F7602"/>
    <w:rPr>
      <w:rFonts w:ascii="Times New Roman" w:eastAsia="Times New Roman" w:hAnsi="Times New Roman" w:cs="Times New Roman"/>
      <w:b/>
      <w:kern w:val="0"/>
      <w:sz w:val="32"/>
      <w:szCs w:val="24"/>
      <w:lang w:eastAsia="en-GB"/>
    </w:rPr>
  </w:style>
  <w:style w:type="paragraph" w:customStyle="1" w:styleId="HeaderSensitivityRight">
    <w:name w:val="Header Sensitivity Right"/>
    <w:basedOn w:val="Normal"/>
    <w:link w:val="HeaderSensitivityRightChar"/>
    <w:rsid w:val="008F7602"/>
    <w:pPr>
      <w:spacing w:after="120"/>
      <w:jc w:val="right"/>
    </w:pPr>
    <w:rPr>
      <w:sz w:val="28"/>
    </w:rPr>
  </w:style>
  <w:style w:type="character" w:customStyle="1" w:styleId="HeaderSensitivityRightChar">
    <w:name w:val="Header Sensitivity Right Char"/>
    <w:basedOn w:val="DefaultParagraphFont"/>
    <w:link w:val="HeaderSensitivityRight"/>
    <w:rsid w:val="008F7602"/>
    <w:rPr>
      <w:rFonts w:ascii="Times New Roman" w:eastAsia="Times New Roman" w:hAnsi="Times New Roman" w:cs="Times New Roman"/>
      <w:kern w:val="0"/>
      <w:sz w:val="28"/>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documenttasks/documenttasks1.xml><?xml version="1.0" encoding="utf-8"?>
<t:Tasks xmlns:t="http://schemas.microsoft.com/office/tasks/2019/documenttasks" xmlns:oel="http://schemas.microsoft.com/office/2019/extlst">
  <t:Task id="{F2591BF5-D82A-442A-8AD6-7663347919D4}">
    <t:Anchor>
      <t:Comment id="237209962"/>
    </t:Anchor>
    <t:History>
      <t:Event time="2026-03-10T17:18:40.479Z" id="{2D516F78-3BD9-48EC-BF2D-4D88B8C84950}">
        <t:Attribution userId="S::Petra.KLEININGER@ec.europa.eu::b39c9a1b-6a90-46d6-9409-9c81b21e511f" userName="KLEININGER Petra (MOVE)" userProvider="AD"/>
        <t:Anchor>
          <t:Comment id="2020969439"/>
        </t:Anchor>
        <t:Create/>
      </t:Event>
      <t:Event time="2026-03-10T17:18:40.479Z" id="{461A7086-440F-4AE8-A143-D5000AEAB423}">
        <t:Attribution userId="S::Petra.KLEININGER@ec.europa.eu::b39c9a1b-6a90-46d6-9409-9c81b21e511f" userName="KLEININGER Petra (MOVE)" userProvider="AD"/>
        <t:Anchor>
          <t:Comment id="2020969439"/>
        </t:Anchor>
        <t:Assign userId="S::Fabrizia.FARCI@ec.europa.eu::a6d0215b-2146-4df4-aff4-72f05b7392bf" userName="FARCI Fabrizia (MOVE)" userProvider="AD"/>
      </t:Event>
      <t:Event time="2026-03-10T17:18:40.479Z" id="{5751A729-AC42-42CE-A88A-9470700C72F1}">
        <t:Attribution userId="S::Petra.KLEININGER@ec.europa.eu::b39c9a1b-6a90-46d6-9409-9c81b21e511f" userName="KLEININGER Petra (MOVE)" userProvider="AD"/>
        <t:Anchor>
          <t:Comment id="2020969439"/>
        </t:Anchor>
        <t:SetTitle title="Can you please transform them into findings from the evaluation? We are describing the problem in this section and not solutions… @FARCI Fabrizia (MOV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99F51-5609-42AF-B5C3-95EA24E8CCE4}">
  <ds:schemaRefs>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dcmitype/"/>
    <ds:schemaRef ds:uri="77dfcb89-7363-44ed-9009-efb5c6fe74ac"/>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945771C1-6DA3-4A0D-81A8-D0171D824DFA}">
  <ds:schemaRefs>
    <ds:schemaRef ds:uri="http://schemas.microsoft.com/sharepoint/v3/contenttype/forms"/>
  </ds:schemaRefs>
</ds:datastoreItem>
</file>

<file path=customXml/itemProps3.xml><?xml version="1.0" encoding="utf-8"?>
<ds:datastoreItem xmlns:ds="http://schemas.openxmlformats.org/officeDocument/2006/customXml" ds:itemID="{497FF56E-3D63-49DD-A6F8-E8C628E58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A58521-7E05-4402-A455-DF7507D94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2051</Words>
  <Characters>11697</Characters>
  <Application>Microsoft Office Word</Application>
  <DocSecurity>0</DocSecurity>
  <Lines>97</Lines>
  <Paragraphs>27</Paragraphs>
  <ScaleCrop>false</ScaleCrop>
  <Manager/>
  <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2026-04-17T18:15:00Z</dcterms:created>
  <dcterms:modified xsi:type="dcterms:W3CDTF">2026-06-05T15:10:00Z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2026-03-06T17:54:36Z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fc31bb34-b5f4-4224-9be3-574e7d677f3c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0x010100FE8CC58A743B75439E998981FB07EF26</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y fmtid="{D5CDD505-2E9C-101B-9397-08002B2CF9AE}" pid="16" name="Last edited using">
    <vt:lpwstr>LW 9.2, Build 20250828</vt:lpwstr>
  </property>
  <property fmtid="{D5CDD505-2E9C-101B-9397-08002B2CF9AE}" pid="17" name="Created using">
    <vt:lpwstr>LW 9.2, Build 20250828</vt:lpwstr>
  </property>
</Properties>
</file>