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0B640811" w:rsidR="006B087E" w:rsidRPr="00F92EAE" w:rsidRDefault="003F684E" w:rsidP="003F684E">
      <w:pPr>
        <w:pStyle w:val="Pagedecouverture"/>
        <w:rPr>
          <w:noProof/>
        </w:rPr>
      </w:pPr>
      <w:bookmarkStart w:id="0" w:name="LW_BM_COVERPAGE"/>
      <w:r>
        <w:rPr>
          <w:noProof/>
        </w:rPr>
        <w:pict w14:anchorId="34333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9FA786-7CC0-48C8-9357-5D56A08B43E0" style="width:455.25pt;height:414.75pt">
            <v:imagedata r:id="rId11" o:title=""/>
          </v:shape>
        </w:pict>
      </w:r>
    </w:p>
    <w:bookmarkEnd w:id="0"/>
    <w:p w14:paraId="63260D17" w14:textId="77777777" w:rsidR="006B087E" w:rsidRPr="00F92EAE" w:rsidRDefault="006B087E" w:rsidP="000E3086">
      <w:pPr>
        <w:pStyle w:val="TOCHeading"/>
        <w:rPr>
          <w:noProof/>
        </w:rPr>
        <w:sectPr w:rsidR="006B087E" w:rsidRPr="00F92EAE" w:rsidSect="003F684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5D12411" w14:textId="77777777" w:rsidR="006B087E" w:rsidRPr="00F92EAE" w:rsidRDefault="006B087E" w:rsidP="000E3086">
      <w:pPr>
        <w:pStyle w:val="TOCHeading"/>
        <w:rPr>
          <w:noProof/>
        </w:rPr>
      </w:pPr>
      <w:bookmarkStart w:id="1" w:name="_GoBack"/>
      <w:bookmarkEnd w:id="1"/>
      <w:r w:rsidRPr="00F92EAE">
        <w:rPr>
          <w:noProof/>
        </w:rPr>
        <w:lastRenderedPageBreak/>
        <w:t>Table of contents</w:t>
      </w:r>
    </w:p>
    <w:p w14:paraId="062D59CF" w14:textId="265573F7" w:rsidR="00F633A0" w:rsidRDefault="000C6642">
      <w:pPr>
        <w:pStyle w:val="TOC1"/>
        <w:rPr>
          <w:rFonts w:asciiTheme="minorHAnsi" w:eastAsiaTheme="minorEastAsia" w:hAnsiTheme="minorHAnsi" w:cstheme="minorBidi"/>
          <w:caps w:val="0"/>
          <w:noProof/>
          <w:kern w:val="2"/>
          <w:sz w:val="24"/>
          <w:szCs w:val="24"/>
          <w:lang w:val="en-IE" w:eastAsia="en-IE"/>
          <w14:ligatures w14:val="standardContextual"/>
        </w:rPr>
      </w:pPr>
      <w:r>
        <w:rPr>
          <w:caps w:val="0"/>
          <w:noProof/>
        </w:rPr>
        <w:fldChar w:fldCharType="begin"/>
      </w:r>
      <w:r>
        <w:rPr>
          <w:caps w:val="0"/>
          <w:noProof/>
        </w:rPr>
        <w:instrText xml:space="preserve"> TOC \o "1-2" \h \z </w:instrText>
      </w:r>
      <w:r>
        <w:rPr>
          <w:caps w:val="0"/>
          <w:noProof/>
        </w:rPr>
        <w:fldChar w:fldCharType="separate"/>
      </w:r>
      <w:hyperlink w:anchor="_Toc230792719" w:history="1">
        <w:r w:rsidR="00F633A0" w:rsidRPr="00AD5352">
          <w:rPr>
            <w:rStyle w:val="Hyperlink"/>
            <w:noProof/>
          </w:rPr>
          <w:t>1.</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Introduction: Political and legal context</w:t>
        </w:r>
        <w:r w:rsidR="00F633A0">
          <w:rPr>
            <w:noProof/>
            <w:webHidden/>
          </w:rPr>
          <w:tab/>
        </w:r>
        <w:r w:rsidR="00F633A0">
          <w:rPr>
            <w:noProof/>
            <w:webHidden/>
          </w:rPr>
          <w:fldChar w:fldCharType="begin"/>
        </w:r>
        <w:r w:rsidR="00F633A0">
          <w:rPr>
            <w:noProof/>
            <w:webHidden/>
          </w:rPr>
          <w:instrText xml:space="preserve"> PAGEREF _Toc230792719 \h </w:instrText>
        </w:r>
        <w:r w:rsidR="00F633A0">
          <w:rPr>
            <w:noProof/>
            <w:webHidden/>
          </w:rPr>
        </w:r>
        <w:r w:rsidR="00F633A0">
          <w:rPr>
            <w:noProof/>
            <w:webHidden/>
          </w:rPr>
          <w:fldChar w:fldCharType="separate"/>
        </w:r>
        <w:r w:rsidR="00137E65">
          <w:rPr>
            <w:noProof/>
            <w:webHidden/>
          </w:rPr>
          <w:t>4</w:t>
        </w:r>
        <w:r w:rsidR="00F633A0">
          <w:rPr>
            <w:noProof/>
            <w:webHidden/>
          </w:rPr>
          <w:fldChar w:fldCharType="end"/>
        </w:r>
      </w:hyperlink>
    </w:p>
    <w:p w14:paraId="14DB16BF" w14:textId="4005CADA"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0" w:history="1">
        <w:r w:rsidR="00F633A0" w:rsidRPr="00AD5352">
          <w:rPr>
            <w:rStyle w:val="Hyperlink"/>
            <w:noProof/>
          </w:rPr>
          <w:t>1.1.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Political context</w:t>
        </w:r>
        <w:r w:rsidR="00F633A0">
          <w:rPr>
            <w:noProof/>
            <w:webHidden/>
          </w:rPr>
          <w:tab/>
        </w:r>
        <w:r w:rsidR="00F633A0">
          <w:rPr>
            <w:noProof/>
            <w:webHidden/>
          </w:rPr>
          <w:fldChar w:fldCharType="begin"/>
        </w:r>
        <w:r w:rsidR="00F633A0">
          <w:rPr>
            <w:noProof/>
            <w:webHidden/>
          </w:rPr>
          <w:instrText xml:space="preserve"> PAGEREF _Toc230792720 \h </w:instrText>
        </w:r>
        <w:r w:rsidR="00F633A0">
          <w:rPr>
            <w:noProof/>
            <w:webHidden/>
          </w:rPr>
        </w:r>
        <w:r w:rsidR="00F633A0">
          <w:rPr>
            <w:noProof/>
            <w:webHidden/>
          </w:rPr>
          <w:fldChar w:fldCharType="separate"/>
        </w:r>
        <w:r w:rsidR="00137E65">
          <w:rPr>
            <w:noProof/>
            <w:webHidden/>
          </w:rPr>
          <w:t>4</w:t>
        </w:r>
        <w:r w:rsidR="00F633A0">
          <w:rPr>
            <w:noProof/>
            <w:webHidden/>
          </w:rPr>
          <w:fldChar w:fldCharType="end"/>
        </w:r>
      </w:hyperlink>
    </w:p>
    <w:p w14:paraId="340447DF" w14:textId="3943E204"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1" w:history="1">
        <w:r w:rsidR="00F633A0" w:rsidRPr="00AD5352">
          <w:rPr>
            <w:rStyle w:val="Hyperlink"/>
            <w:noProof/>
          </w:rPr>
          <w:t>1.2.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Legal context</w:t>
        </w:r>
        <w:r w:rsidR="00F633A0">
          <w:rPr>
            <w:noProof/>
            <w:webHidden/>
          </w:rPr>
          <w:tab/>
        </w:r>
        <w:r w:rsidR="00F633A0">
          <w:rPr>
            <w:noProof/>
            <w:webHidden/>
          </w:rPr>
          <w:fldChar w:fldCharType="begin"/>
        </w:r>
        <w:r w:rsidR="00F633A0">
          <w:rPr>
            <w:noProof/>
            <w:webHidden/>
          </w:rPr>
          <w:instrText xml:space="preserve"> PAGEREF _Toc230792721 \h </w:instrText>
        </w:r>
        <w:r w:rsidR="00F633A0">
          <w:rPr>
            <w:noProof/>
            <w:webHidden/>
          </w:rPr>
        </w:r>
        <w:r w:rsidR="00F633A0">
          <w:rPr>
            <w:noProof/>
            <w:webHidden/>
          </w:rPr>
          <w:fldChar w:fldCharType="separate"/>
        </w:r>
        <w:r w:rsidR="00137E65">
          <w:rPr>
            <w:noProof/>
            <w:webHidden/>
          </w:rPr>
          <w:t>5</w:t>
        </w:r>
        <w:r w:rsidR="00F633A0">
          <w:rPr>
            <w:noProof/>
            <w:webHidden/>
          </w:rPr>
          <w:fldChar w:fldCharType="end"/>
        </w:r>
      </w:hyperlink>
    </w:p>
    <w:p w14:paraId="23460F7A" w14:textId="7C427E9A"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22" w:history="1">
        <w:r w:rsidR="00F633A0" w:rsidRPr="00AD5352">
          <w:rPr>
            <w:rStyle w:val="Hyperlink"/>
            <w:noProof/>
          </w:rPr>
          <w:t>2.</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Problem definition</w:t>
        </w:r>
        <w:r w:rsidR="00F633A0">
          <w:rPr>
            <w:noProof/>
            <w:webHidden/>
          </w:rPr>
          <w:tab/>
        </w:r>
        <w:r w:rsidR="00F633A0">
          <w:rPr>
            <w:noProof/>
            <w:webHidden/>
          </w:rPr>
          <w:fldChar w:fldCharType="begin"/>
        </w:r>
        <w:r w:rsidR="00F633A0">
          <w:rPr>
            <w:noProof/>
            <w:webHidden/>
          </w:rPr>
          <w:instrText xml:space="preserve"> PAGEREF _Toc230792722 \h </w:instrText>
        </w:r>
        <w:r w:rsidR="00F633A0">
          <w:rPr>
            <w:noProof/>
            <w:webHidden/>
          </w:rPr>
        </w:r>
        <w:r w:rsidR="00F633A0">
          <w:rPr>
            <w:noProof/>
            <w:webHidden/>
          </w:rPr>
          <w:fldChar w:fldCharType="separate"/>
        </w:r>
        <w:r w:rsidR="00137E65">
          <w:rPr>
            <w:noProof/>
            <w:webHidden/>
          </w:rPr>
          <w:t>6</w:t>
        </w:r>
        <w:r w:rsidR="00F633A0">
          <w:rPr>
            <w:noProof/>
            <w:webHidden/>
          </w:rPr>
          <w:fldChar w:fldCharType="end"/>
        </w:r>
      </w:hyperlink>
    </w:p>
    <w:p w14:paraId="51CC9083" w14:textId="1DFFE145"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3" w:history="1">
        <w:r w:rsidR="00F633A0" w:rsidRPr="00AD5352">
          <w:rPr>
            <w:rStyle w:val="Hyperlink"/>
            <w:noProof/>
          </w:rPr>
          <w:t>2.1.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Problem context</w:t>
        </w:r>
        <w:r w:rsidR="00F633A0">
          <w:rPr>
            <w:noProof/>
            <w:webHidden/>
          </w:rPr>
          <w:tab/>
        </w:r>
        <w:r w:rsidR="00F633A0">
          <w:rPr>
            <w:noProof/>
            <w:webHidden/>
          </w:rPr>
          <w:fldChar w:fldCharType="begin"/>
        </w:r>
        <w:r w:rsidR="00F633A0">
          <w:rPr>
            <w:noProof/>
            <w:webHidden/>
          </w:rPr>
          <w:instrText xml:space="preserve"> PAGEREF _Toc230792723 \h </w:instrText>
        </w:r>
        <w:r w:rsidR="00F633A0">
          <w:rPr>
            <w:noProof/>
            <w:webHidden/>
          </w:rPr>
        </w:r>
        <w:r w:rsidR="00F633A0">
          <w:rPr>
            <w:noProof/>
            <w:webHidden/>
          </w:rPr>
          <w:fldChar w:fldCharType="separate"/>
        </w:r>
        <w:r w:rsidR="00137E65">
          <w:rPr>
            <w:noProof/>
            <w:webHidden/>
          </w:rPr>
          <w:t>6</w:t>
        </w:r>
        <w:r w:rsidR="00F633A0">
          <w:rPr>
            <w:noProof/>
            <w:webHidden/>
          </w:rPr>
          <w:fldChar w:fldCharType="end"/>
        </w:r>
      </w:hyperlink>
    </w:p>
    <w:p w14:paraId="2FD0DF96" w14:textId="7C71C956"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4" w:history="1">
        <w:r w:rsidR="00F633A0" w:rsidRPr="00AD5352">
          <w:rPr>
            <w:rStyle w:val="Hyperlink"/>
            <w:noProof/>
          </w:rPr>
          <w:t>2.2.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What are the problems?</w:t>
        </w:r>
        <w:r w:rsidR="00F633A0">
          <w:rPr>
            <w:noProof/>
            <w:webHidden/>
          </w:rPr>
          <w:tab/>
        </w:r>
        <w:r w:rsidR="00F633A0">
          <w:rPr>
            <w:noProof/>
            <w:webHidden/>
          </w:rPr>
          <w:fldChar w:fldCharType="begin"/>
        </w:r>
        <w:r w:rsidR="00F633A0">
          <w:rPr>
            <w:noProof/>
            <w:webHidden/>
          </w:rPr>
          <w:instrText xml:space="preserve"> PAGEREF _Toc230792724 \h </w:instrText>
        </w:r>
        <w:r w:rsidR="00F633A0">
          <w:rPr>
            <w:noProof/>
            <w:webHidden/>
          </w:rPr>
        </w:r>
        <w:r w:rsidR="00F633A0">
          <w:rPr>
            <w:noProof/>
            <w:webHidden/>
          </w:rPr>
          <w:fldChar w:fldCharType="separate"/>
        </w:r>
        <w:r w:rsidR="00137E65">
          <w:rPr>
            <w:noProof/>
            <w:webHidden/>
          </w:rPr>
          <w:t>9</w:t>
        </w:r>
        <w:r w:rsidR="00F633A0">
          <w:rPr>
            <w:noProof/>
            <w:webHidden/>
          </w:rPr>
          <w:fldChar w:fldCharType="end"/>
        </w:r>
      </w:hyperlink>
    </w:p>
    <w:p w14:paraId="7B1E49D7" w14:textId="3445EE11"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5" w:history="1">
        <w:r w:rsidR="00F633A0" w:rsidRPr="00AD5352">
          <w:rPr>
            <w:rStyle w:val="Hyperlink"/>
            <w:noProof/>
          </w:rPr>
          <w:t>2.3.</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What are the problem drivers?</w:t>
        </w:r>
        <w:r w:rsidR="00F633A0">
          <w:rPr>
            <w:noProof/>
            <w:webHidden/>
          </w:rPr>
          <w:tab/>
        </w:r>
        <w:r w:rsidR="00F633A0">
          <w:rPr>
            <w:noProof/>
            <w:webHidden/>
          </w:rPr>
          <w:fldChar w:fldCharType="begin"/>
        </w:r>
        <w:r w:rsidR="00F633A0">
          <w:rPr>
            <w:noProof/>
            <w:webHidden/>
          </w:rPr>
          <w:instrText xml:space="preserve"> PAGEREF _Toc230792725 \h </w:instrText>
        </w:r>
        <w:r w:rsidR="00F633A0">
          <w:rPr>
            <w:noProof/>
            <w:webHidden/>
          </w:rPr>
        </w:r>
        <w:r w:rsidR="00F633A0">
          <w:rPr>
            <w:noProof/>
            <w:webHidden/>
          </w:rPr>
          <w:fldChar w:fldCharType="separate"/>
        </w:r>
        <w:r w:rsidR="00137E65">
          <w:rPr>
            <w:noProof/>
            <w:webHidden/>
          </w:rPr>
          <w:t>15</w:t>
        </w:r>
        <w:r w:rsidR="00F633A0">
          <w:rPr>
            <w:noProof/>
            <w:webHidden/>
          </w:rPr>
          <w:fldChar w:fldCharType="end"/>
        </w:r>
      </w:hyperlink>
    </w:p>
    <w:p w14:paraId="5403C0D4" w14:textId="79CAC588"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6" w:history="1">
        <w:r w:rsidR="00F633A0" w:rsidRPr="00AD5352">
          <w:rPr>
            <w:rStyle w:val="Hyperlink"/>
            <w:noProof/>
          </w:rPr>
          <w:t>2.4.</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How likely is the problem to persist?</w:t>
        </w:r>
        <w:r w:rsidR="00F633A0">
          <w:rPr>
            <w:noProof/>
            <w:webHidden/>
          </w:rPr>
          <w:tab/>
        </w:r>
        <w:r w:rsidR="00F633A0">
          <w:rPr>
            <w:noProof/>
            <w:webHidden/>
          </w:rPr>
          <w:fldChar w:fldCharType="begin"/>
        </w:r>
        <w:r w:rsidR="00F633A0">
          <w:rPr>
            <w:noProof/>
            <w:webHidden/>
          </w:rPr>
          <w:instrText xml:space="preserve"> PAGEREF _Toc230792726 \h </w:instrText>
        </w:r>
        <w:r w:rsidR="00F633A0">
          <w:rPr>
            <w:noProof/>
            <w:webHidden/>
          </w:rPr>
        </w:r>
        <w:r w:rsidR="00F633A0">
          <w:rPr>
            <w:noProof/>
            <w:webHidden/>
          </w:rPr>
          <w:fldChar w:fldCharType="separate"/>
        </w:r>
        <w:r w:rsidR="00137E65">
          <w:rPr>
            <w:noProof/>
            <w:webHidden/>
          </w:rPr>
          <w:t>25</w:t>
        </w:r>
        <w:r w:rsidR="00F633A0">
          <w:rPr>
            <w:noProof/>
            <w:webHidden/>
          </w:rPr>
          <w:fldChar w:fldCharType="end"/>
        </w:r>
      </w:hyperlink>
    </w:p>
    <w:p w14:paraId="2F096B72" w14:textId="7308FDEC"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27" w:history="1">
        <w:r w:rsidR="00F633A0" w:rsidRPr="00AD5352">
          <w:rPr>
            <w:rStyle w:val="Hyperlink"/>
            <w:noProof/>
          </w:rPr>
          <w:t>3.</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Why should the EU act?</w:t>
        </w:r>
        <w:r w:rsidR="00F633A0">
          <w:rPr>
            <w:noProof/>
            <w:webHidden/>
          </w:rPr>
          <w:tab/>
        </w:r>
        <w:r w:rsidR="00F633A0">
          <w:rPr>
            <w:noProof/>
            <w:webHidden/>
          </w:rPr>
          <w:fldChar w:fldCharType="begin"/>
        </w:r>
        <w:r w:rsidR="00F633A0">
          <w:rPr>
            <w:noProof/>
            <w:webHidden/>
          </w:rPr>
          <w:instrText xml:space="preserve"> PAGEREF _Toc230792727 \h </w:instrText>
        </w:r>
        <w:r w:rsidR="00F633A0">
          <w:rPr>
            <w:noProof/>
            <w:webHidden/>
          </w:rPr>
        </w:r>
        <w:r w:rsidR="00F633A0">
          <w:rPr>
            <w:noProof/>
            <w:webHidden/>
          </w:rPr>
          <w:fldChar w:fldCharType="separate"/>
        </w:r>
        <w:r w:rsidR="00137E65">
          <w:rPr>
            <w:noProof/>
            <w:webHidden/>
          </w:rPr>
          <w:t>26</w:t>
        </w:r>
        <w:r w:rsidR="00F633A0">
          <w:rPr>
            <w:noProof/>
            <w:webHidden/>
          </w:rPr>
          <w:fldChar w:fldCharType="end"/>
        </w:r>
      </w:hyperlink>
    </w:p>
    <w:p w14:paraId="176BB382" w14:textId="3B0228F7"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8" w:history="1">
        <w:r w:rsidR="00F633A0" w:rsidRPr="00AD5352">
          <w:rPr>
            <w:rStyle w:val="Hyperlink"/>
            <w:noProof/>
          </w:rPr>
          <w:t>3.1.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Legal basis</w:t>
        </w:r>
        <w:r w:rsidR="00F633A0">
          <w:rPr>
            <w:noProof/>
            <w:webHidden/>
          </w:rPr>
          <w:tab/>
        </w:r>
        <w:r w:rsidR="00F633A0">
          <w:rPr>
            <w:noProof/>
            <w:webHidden/>
          </w:rPr>
          <w:fldChar w:fldCharType="begin"/>
        </w:r>
        <w:r w:rsidR="00F633A0">
          <w:rPr>
            <w:noProof/>
            <w:webHidden/>
          </w:rPr>
          <w:instrText xml:space="preserve"> PAGEREF _Toc230792728 \h </w:instrText>
        </w:r>
        <w:r w:rsidR="00F633A0">
          <w:rPr>
            <w:noProof/>
            <w:webHidden/>
          </w:rPr>
        </w:r>
        <w:r w:rsidR="00F633A0">
          <w:rPr>
            <w:noProof/>
            <w:webHidden/>
          </w:rPr>
          <w:fldChar w:fldCharType="separate"/>
        </w:r>
        <w:r w:rsidR="00137E65">
          <w:rPr>
            <w:noProof/>
            <w:webHidden/>
          </w:rPr>
          <w:t>26</w:t>
        </w:r>
        <w:r w:rsidR="00F633A0">
          <w:rPr>
            <w:noProof/>
            <w:webHidden/>
          </w:rPr>
          <w:fldChar w:fldCharType="end"/>
        </w:r>
      </w:hyperlink>
    </w:p>
    <w:p w14:paraId="19D23375" w14:textId="5CEA6AAA"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29" w:history="1">
        <w:r w:rsidR="00F633A0" w:rsidRPr="00AD5352">
          <w:rPr>
            <w:rStyle w:val="Hyperlink"/>
            <w:noProof/>
          </w:rPr>
          <w:t>3.2.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Subsidiarity: Necessity of EU action</w:t>
        </w:r>
        <w:r w:rsidR="00F633A0">
          <w:rPr>
            <w:noProof/>
            <w:webHidden/>
          </w:rPr>
          <w:tab/>
        </w:r>
        <w:r w:rsidR="00F633A0">
          <w:rPr>
            <w:noProof/>
            <w:webHidden/>
          </w:rPr>
          <w:fldChar w:fldCharType="begin"/>
        </w:r>
        <w:r w:rsidR="00F633A0">
          <w:rPr>
            <w:noProof/>
            <w:webHidden/>
          </w:rPr>
          <w:instrText xml:space="preserve"> PAGEREF _Toc230792729 \h </w:instrText>
        </w:r>
        <w:r w:rsidR="00F633A0">
          <w:rPr>
            <w:noProof/>
            <w:webHidden/>
          </w:rPr>
        </w:r>
        <w:r w:rsidR="00F633A0">
          <w:rPr>
            <w:noProof/>
            <w:webHidden/>
          </w:rPr>
          <w:fldChar w:fldCharType="separate"/>
        </w:r>
        <w:r w:rsidR="00137E65">
          <w:rPr>
            <w:noProof/>
            <w:webHidden/>
          </w:rPr>
          <w:t>27</w:t>
        </w:r>
        <w:r w:rsidR="00F633A0">
          <w:rPr>
            <w:noProof/>
            <w:webHidden/>
          </w:rPr>
          <w:fldChar w:fldCharType="end"/>
        </w:r>
      </w:hyperlink>
    </w:p>
    <w:p w14:paraId="300CCFF2" w14:textId="280ADAEB"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0" w:history="1">
        <w:r w:rsidR="00F633A0" w:rsidRPr="00AD5352">
          <w:rPr>
            <w:rStyle w:val="Hyperlink"/>
            <w:noProof/>
          </w:rPr>
          <w:t>3.3.</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Subsidiarity: Added value of EU action</w:t>
        </w:r>
        <w:r w:rsidR="00F633A0">
          <w:rPr>
            <w:noProof/>
            <w:webHidden/>
          </w:rPr>
          <w:tab/>
        </w:r>
        <w:r w:rsidR="00F633A0">
          <w:rPr>
            <w:noProof/>
            <w:webHidden/>
          </w:rPr>
          <w:fldChar w:fldCharType="begin"/>
        </w:r>
        <w:r w:rsidR="00F633A0">
          <w:rPr>
            <w:noProof/>
            <w:webHidden/>
          </w:rPr>
          <w:instrText xml:space="preserve"> PAGEREF _Toc230792730 \h </w:instrText>
        </w:r>
        <w:r w:rsidR="00F633A0">
          <w:rPr>
            <w:noProof/>
            <w:webHidden/>
          </w:rPr>
        </w:r>
        <w:r w:rsidR="00F633A0">
          <w:rPr>
            <w:noProof/>
            <w:webHidden/>
          </w:rPr>
          <w:fldChar w:fldCharType="separate"/>
        </w:r>
        <w:r w:rsidR="00137E65">
          <w:rPr>
            <w:noProof/>
            <w:webHidden/>
          </w:rPr>
          <w:t>27</w:t>
        </w:r>
        <w:r w:rsidR="00F633A0">
          <w:rPr>
            <w:noProof/>
            <w:webHidden/>
          </w:rPr>
          <w:fldChar w:fldCharType="end"/>
        </w:r>
      </w:hyperlink>
    </w:p>
    <w:p w14:paraId="7692327B" w14:textId="437D3712"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31" w:history="1">
        <w:r w:rsidR="00F633A0" w:rsidRPr="00AD5352">
          <w:rPr>
            <w:rStyle w:val="Hyperlink"/>
            <w:noProof/>
          </w:rPr>
          <w:t>4.</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Objectives: What is to be achieved?</w:t>
        </w:r>
        <w:r w:rsidR="00F633A0">
          <w:rPr>
            <w:noProof/>
            <w:webHidden/>
          </w:rPr>
          <w:tab/>
        </w:r>
        <w:r w:rsidR="00F633A0">
          <w:rPr>
            <w:noProof/>
            <w:webHidden/>
          </w:rPr>
          <w:fldChar w:fldCharType="begin"/>
        </w:r>
        <w:r w:rsidR="00F633A0">
          <w:rPr>
            <w:noProof/>
            <w:webHidden/>
          </w:rPr>
          <w:instrText xml:space="preserve"> PAGEREF _Toc230792731 \h </w:instrText>
        </w:r>
        <w:r w:rsidR="00F633A0">
          <w:rPr>
            <w:noProof/>
            <w:webHidden/>
          </w:rPr>
        </w:r>
        <w:r w:rsidR="00F633A0">
          <w:rPr>
            <w:noProof/>
            <w:webHidden/>
          </w:rPr>
          <w:fldChar w:fldCharType="separate"/>
        </w:r>
        <w:r w:rsidR="00137E65">
          <w:rPr>
            <w:noProof/>
            <w:webHidden/>
          </w:rPr>
          <w:t>28</w:t>
        </w:r>
        <w:r w:rsidR="00F633A0">
          <w:rPr>
            <w:noProof/>
            <w:webHidden/>
          </w:rPr>
          <w:fldChar w:fldCharType="end"/>
        </w:r>
      </w:hyperlink>
    </w:p>
    <w:p w14:paraId="61A78208" w14:textId="35B6953E"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2" w:history="1">
        <w:r w:rsidR="00F633A0" w:rsidRPr="00AD5352">
          <w:rPr>
            <w:rStyle w:val="Hyperlink"/>
            <w:noProof/>
          </w:rPr>
          <w:t>4.1.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General objectives</w:t>
        </w:r>
        <w:r w:rsidR="00F633A0">
          <w:rPr>
            <w:noProof/>
            <w:webHidden/>
          </w:rPr>
          <w:tab/>
        </w:r>
        <w:r w:rsidR="00F633A0">
          <w:rPr>
            <w:noProof/>
            <w:webHidden/>
          </w:rPr>
          <w:fldChar w:fldCharType="begin"/>
        </w:r>
        <w:r w:rsidR="00F633A0">
          <w:rPr>
            <w:noProof/>
            <w:webHidden/>
          </w:rPr>
          <w:instrText xml:space="preserve"> PAGEREF _Toc230792732 \h </w:instrText>
        </w:r>
        <w:r w:rsidR="00F633A0">
          <w:rPr>
            <w:noProof/>
            <w:webHidden/>
          </w:rPr>
        </w:r>
        <w:r w:rsidR="00F633A0">
          <w:rPr>
            <w:noProof/>
            <w:webHidden/>
          </w:rPr>
          <w:fldChar w:fldCharType="separate"/>
        </w:r>
        <w:r w:rsidR="00137E65">
          <w:rPr>
            <w:noProof/>
            <w:webHidden/>
          </w:rPr>
          <w:t>28</w:t>
        </w:r>
        <w:r w:rsidR="00F633A0">
          <w:rPr>
            <w:noProof/>
            <w:webHidden/>
          </w:rPr>
          <w:fldChar w:fldCharType="end"/>
        </w:r>
      </w:hyperlink>
    </w:p>
    <w:p w14:paraId="723455BA" w14:textId="38882DFC"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3" w:history="1">
        <w:r w:rsidR="00F633A0" w:rsidRPr="00AD5352">
          <w:rPr>
            <w:rStyle w:val="Hyperlink"/>
            <w:noProof/>
          </w:rPr>
          <w:t>4.2.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Specific objectives</w:t>
        </w:r>
        <w:r w:rsidR="00F633A0">
          <w:rPr>
            <w:noProof/>
            <w:webHidden/>
          </w:rPr>
          <w:tab/>
        </w:r>
        <w:r w:rsidR="00F633A0">
          <w:rPr>
            <w:noProof/>
            <w:webHidden/>
          </w:rPr>
          <w:fldChar w:fldCharType="begin"/>
        </w:r>
        <w:r w:rsidR="00F633A0">
          <w:rPr>
            <w:noProof/>
            <w:webHidden/>
          </w:rPr>
          <w:instrText xml:space="preserve"> PAGEREF _Toc230792733 \h </w:instrText>
        </w:r>
        <w:r w:rsidR="00F633A0">
          <w:rPr>
            <w:noProof/>
            <w:webHidden/>
          </w:rPr>
        </w:r>
        <w:r w:rsidR="00F633A0">
          <w:rPr>
            <w:noProof/>
            <w:webHidden/>
          </w:rPr>
          <w:fldChar w:fldCharType="separate"/>
        </w:r>
        <w:r w:rsidR="00137E65">
          <w:rPr>
            <w:noProof/>
            <w:webHidden/>
          </w:rPr>
          <w:t>28</w:t>
        </w:r>
        <w:r w:rsidR="00F633A0">
          <w:rPr>
            <w:noProof/>
            <w:webHidden/>
          </w:rPr>
          <w:fldChar w:fldCharType="end"/>
        </w:r>
      </w:hyperlink>
    </w:p>
    <w:p w14:paraId="5CC9C531" w14:textId="5B58FACE"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34" w:history="1">
        <w:r w:rsidR="00F633A0" w:rsidRPr="00AD5352">
          <w:rPr>
            <w:rStyle w:val="Hyperlink"/>
            <w:noProof/>
          </w:rPr>
          <w:t>5.</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What are the available policy options?</w:t>
        </w:r>
        <w:r w:rsidR="00F633A0">
          <w:rPr>
            <w:noProof/>
            <w:webHidden/>
          </w:rPr>
          <w:tab/>
        </w:r>
        <w:r w:rsidR="00F633A0">
          <w:rPr>
            <w:noProof/>
            <w:webHidden/>
          </w:rPr>
          <w:fldChar w:fldCharType="begin"/>
        </w:r>
        <w:r w:rsidR="00F633A0">
          <w:rPr>
            <w:noProof/>
            <w:webHidden/>
          </w:rPr>
          <w:instrText xml:space="preserve"> PAGEREF _Toc230792734 \h </w:instrText>
        </w:r>
        <w:r w:rsidR="00F633A0">
          <w:rPr>
            <w:noProof/>
            <w:webHidden/>
          </w:rPr>
        </w:r>
        <w:r w:rsidR="00F633A0">
          <w:rPr>
            <w:noProof/>
            <w:webHidden/>
          </w:rPr>
          <w:fldChar w:fldCharType="separate"/>
        </w:r>
        <w:r w:rsidR="00137E65">
          <w:rPr>
            <w:noProof/>
            <w:webHidden/>
          </w:rPr>
          <w:t>29</w:t>
        </w:r>
        <w:r w:rsidR="00F633A0">
          <w:rPr>
            <w:noProof/>
            <w:webHidden/>
          </w:rPr>
          <w:fldChar w:fldCharType="end"/>
        </w:r>
      </w:hyperlink>
    </w:p>
    <w:p w14:paraId="439ED61F" w14:textId="7F9A9E01"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5" w:history="1">
        <w:r w:rsidR="00F633A0" w:rsidRPr="00AD5352">
          <w:rPr>
            <w:rStyle w:val="Hyperlink"/>
            <w:noProof/>
          </w:rPr>
          <w:t>5.1.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What is the baseline from which options are assessed?</w:t>
        </w:r>
        <w:r w:rsidR="00F633A0">
          <w:rPr>
            <w:noProof/>
            <w:webHidden/>
          </w:rPr>
          <w:tab/>
        </w:r>
        <w:r w:rsidR="00F633A0">
          <w:rPr>
            <w:noProof/>
            <w:webHidden/>
          </w:rPr>
          <w:fldChar w:fldCharType="begin"/>
        </w:r>
        <w:r w:rsidR="00F633A0">
          <w:rPr>
            <w:noProof/>
            <w:webHidden/>
          </w:rPr>
          <w:instrText xml:space="preserve"> PAGEREF _Toc230792735 \h </w:instrText>
        </w:r>
        <w:r w:rsidR="00F633A0">
          <w:rPr>
            <w:noProof/>
            <w:webHidden/>
          </w:rPr>
        </w:r>
        <w:r w:rsidR="00F633A0">
          <w:rPr>
            <w:noProof/>
            <w:webHidden/>
          </w:rPr>
          <w:fldChar w:fldCharType="separate"/>
        </w:r>
        <w:r w:rsidR="00137E65">
          <w:rPr>
            <w:noProof/>
            <w:webHidden/>
          </w:rPr>
          <w:t>29</w:t>
        </w:r>
        <w:r w:rsidR="00F633A0">
          <w:rPr>
            <w:noProof/>
            <w:webHidden/>
          </w:rPr>
          <w:fldChar w:fldCharType="end"/>
        </w:r>
      </w:hyperlink>
    </w:p>
    <w:p w14:paraId="3F893DA0" w14:textId="69AC7F27"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6" w:history="1">
        <w:r w:rsidR="00F633A0" w:rsidRPr="00AD5352">
          <w:rPr>
            <w:rStyle w:val="Hyperlink"/>
            <w:noProof/>
          </w:rPr>
          <w:t>5.2.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Description of the policy options</w:t>
        </w:r>
        <w:r w:rsidR="00F633A0">
          <w:rPr>
            <w:noProof/>
            <w:webHidden/>
          </w:rPr>
          <w:tab/>
        </w:r>
        <w:r w:rsidR="00F633A0">
          <w:rPr>
            <w:noProof/>
            <w:webHidden/>
          </w:rPr>
          <w:fldChar w:fldCharType="begin"/>
        </w:r>
        <w:r w:rsidR="00F633A0">
          <w:rPr>
            <w:noProof/>
            <w:webHidden/>
          </w:rPr>
          <w:instrText xml:space="preserve"> PAGEREF _Toc230792736 \h </w:instrText>
        </w:r>
        <w:r w:rsidR="00F633A0">
          <w:rPr>
            <w:noProof/>
            <w:webHidden/>
          </w:rPr>
        </w:r>
        <w:r w:rsidR="00F633A0">
          <w:rPr>
            <w:noProof/>
            <w:webHidden/>
          </w:rPr>
          <w:fldChar w:fldCharType="separate"/>
        </w:r>
        <w:r w:rsidR="00137E65">
          <w:rPr>
            <w:noProof/>
            <w:webHidden/>
          </w:rPr>
          <w:t>31</w:t>
        </w:r>
        <w:r w:rsidR="00F633A0">
          <w:rPr>
            <w:noProof/>
            <w:webHidden/>
          </w:rPr>
          <w:fldChar w:fldCharType="end"/>
        </w:r>
      </w:hyperlink>
    </w:p>
    <w:p w14:paraId="0F0DFF37" w14:textId="1996DF80"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7" w:history="1">
        <w:r w:rsidR="00F633A0" w:rsidRPr="00AD5352">
          <w:rPr>
            <w:rStyle w:val="Hyperlink"/>
            <w:noProof/>
          </w:rPr>
          <w:t>5.3.</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Options discarded at an early stage</w:t>
        </w:r>
        <w:r w:rsidR="00F633A0">
          <w:rPr>
            <w:noProof/>
            <w:webHidden/>
          </w:rPr>
          <w:tab/>
        </w:r>
        <w:r w:rsidR="00F633A0">
          <w:rPr>
            <w:noProof/>
            <w:webHidden/>
          </w:rPr>
          <w:fldChar w:fldCharType="begin"/>
        </w:r>
        <w:r w:rsidR="00F633A0">
          <w:rPr>
            <w:noProof/>
            <w:webHidden/>
          </w:rPr>
          <w:instrText xml:space="preserve"> PAGEREF _Toc230792737 \h </w:instrText>
        </w:r>
        <w:r w:rsidR="00F633A0">
          <w:rPr>
            <w:noProof/>
            <w:webHidden/>
          </w:rPr>
        </w:r>
        <w:r w:rsidR="00F633A0">
          <w:rPr>
            <w:noProof/>
            <w:webHidden/>
          </w:rPr>
          <w:fldChar w:fldCharType="separate"/>
        </w:r>
        <w:r w:rsidR="00137E65">
          <w:rPr>
            <w:noProof/>
            <w:webHidden/>
          </w:rPr>
          <w:t>56</w:t>
        </w:r>
        <w:r w:rsidR="00F633A0">
          <w:rPr>
            <w:noProof/>
            <w:webHidden/>
          </w:rPr>
          <w:fldChar w:fldCharType="end"/>
        </w:r>
      </w:hyperlink>
    </w:p>
    <w:p w14:paraId="27049D86" w14:textId="4C08ED4B"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38" w:history="1">
        <w:r w:rsidR="00F633A0" w:rsidRPr="00AD5352">
          <w:rPr>
            <w:rStyle w:val="Hyperlink"/>
            <w:noProof/>
          </w:rPr>
          <w:t>5.4.</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Possible combination of options</w:t>
        </w:r>
        <w:r w:rsidR="00F633A0">
          <w:rPr>
            <w:noProof/>
            <w:webHidden/>
          </w:rPr>
          <w:tab/>
        </w:r>
        <w:r w:rsidR="00F633A0">
          <w:rPr>
            <w:noProof/>
            <w:webHidden/>
          </w:rPr>
          <w:fldChar w:fldCharType="begin"/>
        </w:r>
        <w:r w:rsidR="00F633A0">
          <w:rPr>
            <w:noProof/>
            <w:webHidden/>
          </w:rPr>
          <w:instrText xml:space="preserve"> PAGEREF _Toc230792738 \h </w:instrText>
        </w:r>
        <w:r w:rsidR="00F633A0">
          <w:rPr>
            <w:noProof/>
            <w:webHidden/>
          </w:rPr>
        </w:r>
        <w:r w:rsidR="00F633A0">
          <w:rPr>
            <w:noProof/>
            <w:webHidden/>
          </w:rPr>
          <w:fldChar w:fldCharType="separate"/>
        </w:r>
        <w:r w:rsidR="00137E65">
          <w:rPr>
            <w:noProof/>
            <w:webHidden/>
          </w:rPr>
          <w:t>56</w:t>
        </w:r>
        <w:r w:rsidR="00F633A0">
          <w:rPr>
            <w:noProof/>
            <w:webHidden/>
          </w:rPr>
          <w:fldChar w:fldCharType="end"/>
        </w:r>
      </w:hyperlink>
    </w:p>
    <w:p w14:paraId="771BEE86" w14:textId="0D842E24"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39" w:history="1">
        <w:r w:rsidR="00F633A0" w:rsidRPr="00AD5352">
          <w:rPr>
            <w:rStyle w:val="Hyperlink"/>
            <w:noProof/>
          </w:rPr>
          <w:t>6.</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What are the impacts of the policy options?</w:t>
        </w:r>
        <w:r w:rsidR="00F633A0">
          <w:rPr>
            <w:noProof/>
            <w:webHidden/>
          </w:rPr>
          <w:tab/>
        </w:r>
        <w:r w:rsidR="00F633A0">
          <w:rPr>
            <w:noProof/>
            <w:webHidden/>
          </w:rPr>
          <w:fldChar w:fldCharType="begin"/>
        </w:r>
        <w:r w:rsidR="00F633A0">
          <w:rPr>
            <w:noProof/>
            <w:webHidden/>
          </w:rPr>
          <w:instrText xml:space="preserve"> PAGEREF _Toc230792739 \h </w:instrText>
        </w:r>
        <w:r w:rsidR="00F633A0">
          <w:rPr>
            <w:noProof/>
            <w:webHidden/>
          </w:rPr>
        </w:r>
        <w:r w:rsidR="00F633A0">
          <w:rPr>
            <w:noProof/>
            <w:webHidden/>
          </w:rPr>
          <w:fldChar w:fldCharType="separate"/>
        </w:r>
        <w:r w:rsidR="00137E65">
          <w:rPr>
            <w:noProof/>
            <w:webHidden/>
          </w:rPr>
          <w:t>57</w:t>
        </w:r>
        <w:r w:rsidR="00F633A0">
          <w:rPr>
            <w:noProof/>
            <w:webHidden/>
          </w:rPr>
          <w:fldChar w:fldCharType="end"/>
        </w:r>
      </w:hyperlink>
    </w:p>
    <w:p w14:paraId="059A8A83" w14:textId="22EAD107"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0" w:history="1">
        <w:r w:rsidR="00F633A0" w:rsidRPr="00AD5352">
          <w:rPr>
            <w:rStyle w:val="Hyperlink"/>
            <w:noProof/>
          </w:rPr>
          <w:t>6.1.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Economic impact</w:t>
        </w:r>
        <w:r w:rsidR="00F633A0">
          <w:rPr>
            <w:noProof/>
            <w:webHidden/>
          </w:rPr>
          <w:tab/>
        </w:r>
        <w:r w:rsidR="00F633A0">
          <w:rPr>
            <w:noProof/>
            <w:webHidden/>
          </w:rPr>
          <w:fldChar w:fldCharType="begin"/>
        </w:r>
        <w:r w:rsidR="00F633A0">
          <w:rPr>
            <w:noProof/>
            <w:webHidden/>
          </w:rPr>
          <w:instrText xml:space="preserve"> PAGEREF _Toc230792740 \h </w:instrText>
        </w:r>
        <w:r w:rsidR="00F633A0">
          <w:rPr>
            <w:noProof/>
            <w:webHidden/>
          </w:rPr>
        </w:r>
        <w:r w:rsidR="00F633A0">
          <w:rPr>
            <w:noProof/>
            <w:webHidden/>
          </w:rPr>
          <w:fldChar w:fldCharType="separate"/>
        </w:r>
        <w:r w:rsidR="00137E65">
          <w:rPr>
            <w:noProof/>
            <w:webHidden/>
          </w:rPr>
          <w:t>57</w:t>
        </w:r>
        <w:r w:rsidR="00F633A0">
          <w:rPr>
            <w:noProof/>
            <w:webHidden/>
          </w:rPr>
          <w:fldChar w:fldCharType="end"/>
        </w:r>
      </w:hyperlink>
    </w:p>
    <w:p w14:paraId="14C07293" w14:textId="2561CAFE"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1" w:history="1">
        <w:r w:rsidR="00F633A0" w:rsidRPr="00AD5352">
          <w:rPr>
            <w:rStyle w:val="Hyperlink"/>
            <w:noProof/>
          </w:rPr>
          <w:t>6.2.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Social impact</w:t>
        </w:r>
        <w:r w:rsidR="00F633A0">
          <w:rPr>
            <w:noProof/>
            <w:webHidden/>
          </w:rPr>
          <w:tab/>
        </w:r>
        <w:r w:rsidR="00F633A0">
          <w:rPr>
            <w:noProof/>
            <w:webHidden/>
          </w:rPr>
          <w:fldChar w:fldCharType="begin"/>
        </w:r>
        <w:r w:rsidR="00F633A0">
          <w:rPr>
            <w:noProof/>
            <w:webHidden/>
          </w:rPr>
          <w:instrText xml:space="preserve"> PAGEREF _Toc230792741 \h </w:instrText>
        </w:r>
        <w:r w:rsidR="00F633A0">
          <w:rPr>
            <w:noProof/>
            <w:webHidden/>
          </w:rPr>
        </w:r>
        <w:r w:rsidR="00F633A0">
          <w:rPr>
            <w:noProof/>
            <w:webHidden/>
          </w:rPr>
          <w:fldChar w:fldCharType="separate"/>
        </w:r>
        <w:r w:rsidR="00137E65">
          <w:rPr>
            <w:noProof/>
            <w:webHidden/>
          </w:rPr>
          <w:t>73</w:t>
        </w:r>
        <w:r w:rsidR="00F633A0">
          <w:rPr>
            <w:noProof/>
            <w:webHidden/>
          </w:rPr>
          <w:fldChar w:fldCharType="end"/>
        </w:r>
      </w:hyperlink>
    </w:p>
    <w:p w14:paraId="35F8209C" w14:textId="33B536C2"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2" w:history="1">
        <w:r w:rsidR="00F633A0" w:rsidRPr="00AD5352">
          <w:rPr>
            <w:rStyle w:val="Hyperlink"/>
            <w:noProof/>
          </w:rPr>
          <w:t>6.3.</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Environmental impact</w:t>
        </w:r>
        <w:r w:rsidR="00F633A0">
          <w:rPr>
            <w:noProof/>
            <w:webHidden/>
          </w:rPr>
          <w:tab/>
        </w:r>
        <w:r w:rsidR="00F633A0">
          <w:rPr>
            <w:noProof/>
            <w:webHidden/>
          </w:rPr>
          <w:fldChar w:fldCharType="begin"/>
        </w:r>
        <w:r w:rsidR="00F633A0">
          <w:rPr>
            <w:noProof/>
            <w:webHidden/>
          </w:rPr>
          <w:instrText xml:space="preserve"> PAGEREF _Toc230792742 \h </w:instrText>
        </w:r>
        <w:r w:rsidR="00F633A0">
          <w:rPr>
            <w:noProof/>
            <w:webHidden/>
          </w:rPr>
        </w:r>
        <w:r w:rsidR="00F633A0">
          <w:rPr>
            <w:noProof/>
            <w:webHidden/>
          </w:rPr>
          <w:fldChar w:fldCharType="separate"/>
        </w:r>
        <w:r w:rsidR="00137E65">
          <w:rPr>
            <w:noProof/>
            <w:webHidden/>
          </w:rPr>
          <w:t>74</w:t>
        </w:r>
        <w:r w:rsidR="00F633A0">
          <w:rPr>
            <w:noProof/>
            <w:webHidden/>
          </w:rPr>
          <w:fldChar w:fldCharType="end"/>
        </w:r>
      </w:hyperlink>
    </w:p>
    <w:p w14:paraId="0B07C4C9" w14:textId="4A028B11"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43" w:history="1">
        <w:r w:rsidR="00F633A0" w:rsidRPr="00AD5352">
          <w:rPr>
            <w:rStyle w:val="Hyperlink"/>
            <w:noProof/>
          </w:rPr>
          <w:t>7.</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How do the options compare?</w:t>
        </w:r>
        <w:r w:rsidR="00F633A0">
          <w:rPr>
            <w:noProof/>
            <w:webHidden/>
          </w:rPr>
          <w:tab/>
        </w:r>
        <w:r w:rsidR="00F633A0">
          <w:rPr>
            <w:noProof/>
            <w:webHidden/>
          </w:rPr>
          <w:fldChar w:fldCharType="begin"/>
        </w:r>
        <w:r w:rsidR="00F633A0">
          <w:rPr>
            <w:noProof/>
            <w:webHidden/>
          </w:rPr>
          <w:instrText xml:space="preserve"> PAGEREF _Toc230792743 \h </w:instrText>
        </w:r>
        <w:r w:rsidR="00F633A0">
          <w:rPr>
            <w:noProof/>
            <w:webHidden/>
          </w:rPr>
        </w:r>
        <w:r w:rsidR="00F633A0">
          <w:rPr>
            <w:noProof/>
            <w:webHidden/>
          </w:rPr>
          <w:fldChar w:fldCharType="separate"/>
        </w:r>
        <w:r w:rsidR="00137E65">
          <w:rPr>
            <w:noProof/>
            <w:webHidden/>
          </w:rPr>
          <w:t>78</w:t>
        </w:r>
        <w:r w:rsidR="00F633A0">
          <w:rPr>
            <w:noProof/>
            <w:webHidden/>
          </w:rPr>
          <w:fldChar w:fldCharType="end"/>
        </w:r>
      </w:hyperlink>
    </w:p>
    <w:p w14:paraId="44150AC4" w14:textId="5E9DD5CE"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4" w:history="1">
        <w:r w:rsidR="00F633A0" w:rsidRPr="00AD5352">
          <w:rPr>
            <w:rStyle w:val="Hyperlink"/>
            <w:noProof/>
          </w:rPr>
          <w:t>7.1.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Effectiveness</w:t>
        </w:r>
        <w:r w:rsidR="00F633A0">
          <w:rPr>
            <w:noProof/>
            <w:webHidden/>
          </w:rPr>
          <w:tab/>
        </w:r>
        <w:r w:rsidR="00F633A0">
          <w:rPr>
            <w:noProof/>
            <w:webHidden/>
          </w:rPr>
          <w:fldChar w:fldCharType="begin"/>
        </w:r>
        <w:r w:rsidR="00F633A0">
          <w:rPr>
            <w:noProof/>
            <w:webHidden/>
          </w:rPr>
          <w:instrText xml:space="preserve"> PAGEREF _Toc230792744 \h </w:instrText>
        </w:r>
        <w:r w:rsidR="00F633A0">
          <w:rPr>
            <w:noProof/>
            <w:webHidden/>
          </w:rPr>
        </w:r>
        <w:r w:rsidR="00F633A0">
          <w:rPr>
            <w:noProof/>
            <w:webHidden/>
          </w:rPr>
          <w:fldChar w:fldCharType="separate"/>
        </w:r>
        <w:r w:rsidR="00137E65">
          <w:rPr>
            <w:noProof/>
            <w:webHidden/>
          </w:rPr>
          <w:t>78</w:t>
        </w:r>
        <w:r w:rsidR="00F633A0">
          <w:rPr>
            <w:noProof/>
            <w:webHidden/>
          </w:rPr>
          <w:fldChar w:fldCharType="end"/>
        </w:r>
      </w:hyperlink>
    </w:p>
    <w:p w14:paraId="764AE06F" w14:textId="68201660"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5" w:history="1">
        <w:r w:rsidR="00F633A0" w:rsidRPr="00AD5352">
          <w:rPr>
            <w:rStyle w:val="Hyperlink"/>
            <w:noProof/>
          </w:rPr>
          <w:t>7.2.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Efficiency</w:t>
        </w:r>
        <w:r w:rsidR="00F633A0">
          <w:rPr>
            <w:noProof/>
            <w:webHidden/>
          </w:rPr>
          <w:tab/>
        </w:r>
        <w:r w:rsidR="00F633A0">
          <w:rPr>
            <w:noProof/>
            <w:webHidden/>
          </w:rPr>
          <w:fldChar w:fldCharType="begin"/>
        </w:r>
        <w:r w:rsidR="00F633A0">
          <w:rPr>
            <w:noProof/>
            <w:webHidden/>
          </w:rPr>
          <w:instrText xml:space="preserve"> PAGEREF _Toc230792745 \h </w:instrText>
        </w:r>
        <w:r w:rsidR="00F633A0">
          <w:rPr>
            <w:noProof/>
            <w:webHidden/>
          </w:rPr>
        </w:r>
        <w:r w:rsidR="00F633A0">
          <w:rPr>
            <w:noProof/>
            <w:webHidden/>
          </w:rPr>
          <w:fldChar w:fldCharType="separate"/>
        </w:r>
        <w:r w:rsidR="00137E65">
          <w:rPr>
            <w:noProof/>
            <w:webHidden/>
          </w:rPr>
          <w:t>85</w:t>
        </w:r>
        <w:r w:rsidR="00F633A0">
          <w:rPr>
            <w:noProof/>
            <w:webHidden/>
          </w:rPr>
          <w:fldChar w:fldCharType="end"/>
        </w:r>
      </w:hyperlink>
    </w:p>
    <w:p w14:paraId="3190FD5C" w14:textId="32075936"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6" w:history="1">
        <w:r w:rsidR="00F633A0" w:rsidRPr="00AD5352">
          <w:rPr>
            <w:rStyle w:val="Hyperlink"/>
            <w:noProof/>
          </w:rPr>
          <w:t>7.3.</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Coherence</w:t>
        </w:r>
        <w:r w:rsidR="00F633A0">
          <w:rPr>
            <w:noProof/>
            <w:webHidden/>
          </w:rPr>
          <w:tab/>
        </w:r>
        <w:r w:rsidR="00F633A0">
          <w:rPr>
            <w:noProof/>
            <w:webHidden/>
          </w:rPr>
          <w:fldChar w:fldCharType="begin"/>
        </w:r>
        <w:r w:rsidR="00F633A0">
          <w:rPr>
            <w:noProof/>
            <w:webHidden/>
          </w:rPr>
          <w:instrText xml:space="preserve"> PAGEREF _Toc230792746 \h </w:instrText>
        </w:r>
        <w:r w:rsidR="00F633A0">
          <w:rPr>
            <w:noProof/>
            <w:webHidden/>
          </w:rPr>
        </w:r>
        <w:r w:rsidR="00F633A0">
          <w:rPr>
            <w:noProof/>
            <w:webHidden/>
          </w:rPr>
          <w:fldChar w:fldCharType="separate"/>
        </w:r>
        <w:r w:rsidR="00137E65">
          <w:rPr>
            <w:noProof/>
            <w:webHidden/>
          </w:rPr>
          <w:t>86</w:t>
        </w:r>
        <w:r w:rsidR="00F633A0">
          <w:rPr>
            <w:noProof/>
            <w:webHidden/>
          </w:rPr>
          <w:fldChar w:fldCharType="end"/>
        </w:r>
      </w:hyperlink>
    </w:p>
    <w:p w14:paraId="22546FCA" w14:textId="5EF63B84"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7" w:history="1">
        <w:r w:rsidR="00F633A0" w:rsidRPr="00AD5352">
          <w:rPr>
            <w:rStyle w:val="Hyperlink"/>
            <w:noProof/>
          </w:rPr>
          <w:t>7.4.</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Subsidiarity and proportionality</w:t>
        </w:r>
        <w:r w:rsidR="00F633A0">
          <w:rPr>
            <w:noProof/>
            <w:webHidden/>
          </w:rPr>
          <w:tab/>
        </w:r>
        <w:r w:rsidR="00F633A0">
          <w:rPr>
            <w:noProof/>
            <w:webHidden/>
          </w:rPr>
          <w:fldChar w:fldCharType="begin"/>
        </w:r>
        <w:r w:rsidR="00F633A0">
          <w:rPr>
            <w:noProof/>
            <w:webHidden/>
          </w:rPr>
          <w:instrText xml:space="preserve"> PAGEREF _Toc230792747 \h </w:instrText>
        </w:r>
        <w:r w:rsidR="00F633A0">
          <w:rPr>
            <w:noProof/>
            <w:webHidden/>
          </w:rPr>
        </w:r>
        <w:r w:rsidR="00F633A0">
          <w:rPr>
            <w:noProof/>
            <w:webHidden/>
          </w:rPr>
          <w:fldChar w:fldCharType="separate"/>
        </w:r>
        <w:r w:rsidR="00137E65">
          <w:rPr>
            <w:noProof/>
            <w:webHidden/>
          </w:rPr>
          <w:t>89</w:t>
        </w:r>
        <w:r w:rsidR="00F633A0">
          <w:rPr>
            <w:noProof/>
            <w:webHidden/>
          </w:rPr>
          <w:fldChar w:fldCharType="end"/>
        </w:r>
      </w:hyperlink>
    </w:p>
    <w:p w14:paraId="1C516928" w14:textId="27561B0F"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8" w:history="1">
        <w:r w:rsidR="00F633A0" w:rsidRPr="00AD5352">
          <w:rPr>
            <w:rStyle w:val="Hyperlink"/>
            <w:noProof/>
          </w:rPr>
          <w:t>7.5.</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Sensitivity analysis</w:t>
        </w:r>
        <w:r w:rsidR="00F633A0">
          <w:rPr>
            <w:noProof/>
            <w:webHidden/>
          </w:rPr>
          <w:tab/>
        </w:r>
        <w:r w:rsidR="00F633A0">
          <w:rPr>
            <w:noProof/>
            <w:webHidden/>
          </w:rPr>
          <w:fldChar w:fldCharType="begin"/>
        </w:r>
        <w:r w:rsidR="00F633A0">
          <w:rPr>
            <w:noProof/>
            <w:webHidden/>
          </w:rPr>
          <w:instrText xml:space="preserve"> PAGEREF _Toc230792748 \h </w:instrText>
        </w:r>
        <w:r w:rsidR="00F633A0">
          <w:rPr>
            <w:noProof/>
            <w:webHidden/>
          </w:rPr>
        </w:r>
        <w:r w:rsidR="00F633A0">
          <w:rPr>
            <w:noProof/>
            <w:webHidden/>
          </w:rPr>
          <w:fldChar w:fldCharType="separate"/>
        </w:r>
        <w:r w:rsidR="00137E65">
          <w:rPr>
            <w:noProof/>
            <w:webHidden/>
          </w:rPr>
          <w:t>89</w:t>
        </w:r>
        <w:r w:rsidR="00F633A0">
          <w:rPr>
            <w:noProof/>
            <w:webHidden/>
          </w:rPr>
          <w:fldChar w:fldCharType="end"/>
        </w:r>
      </w:hyperlink>
    </w:p>
    <w:p w14:paraId="7A3BF606" w14:textId="2D58DBB4"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49" w:history="1">
        <w:r w:rsidR="00F633A0" w:rsidRPr="00AD5352">
          <w:rPr>
            <w:rStyle w:val="Hyperlink"/>
            <w:noProof/>
          </w:rPr>
          <w:t>7.6.</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Comparison per criteria</w:t>
        </w:r>
        <w:r w:rsidR="00F633A0">
          <w:rPr>
            <w:noProof/>
            <w:webHidden/>
          </w:rPr>
          <w:tab/>
        </w:r>
        <w:r w:rsidR="00F633A0">
          <w:rPr>
            <w:noProof/>
            <w:webHidden/>
          </w:rPr>
          <w:fldChar w:fldCharType="begin"/>
        </w:r>
        <w:r w:rsidR="00F633A0">
          <w:rPr>
            <w:noProof/>
            <w:webHidden/>
          </w:rPr>
          <w:instrText xml:space="preserve"> PAGEREF _Toc230792749 \h </w:instrText>
        </w:r>
        <w:r w:rsidR="00F633A0">
          <w:rPr>
            <w:noProof/>
            <w:webHidden/>
          </w:rPr>
        </w:r>
        <w:r w:rsidR="00F633A0">
          <w:rPr>
            <w:noProof/>
            <w:webHidden/>
          </w:rPr>
          <w:fldChar w:fldCharType="separate"/>
        </w:r>
        <w:r w:rsidR="00137E65">
          <w:rPr>
            <w:noProof/>
            <w:webHidden/>
          </w:rPr>
          <w:t>90</w:t>
        </w:r>
        <w:r w:rsidR="00F633A0">
          <w:rPr>
            <w:noProof/>
            <w:webHidden/>
          </w:rPr>
          <w:fldChar w:fldCharType="end"/>
        </w:r>
      </w:hyperlink>
    </w:p>
    <w:p w14:paraId="695A43DB" w14:textId="44F14648"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50" w:history="1">
        <w:r w:rsidR="00F633A0" w:rsidRPr="00AD5352">
          <w:rPr>
            <w:rStyle w:val="Hyperlink"/>
            <w:noProof/>
          </w:rPr>
          <w:t>8.</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Preferred option</w:t>
        </w:r>
        <w:r w:rsidR="00F633A0">
          <w:rPr>
            <w:noProof/>
            <w:webHidden/>
          </w:rPr>
          <w:tab/>
        </w:r>
        <w:r w:rsidR="00F633A0">
          <w:rPr>
            <w:noProof/>
            <w:webHidden/>
          </w:rPr>
          <w:fldChar w:fldCharType="begin"/>
        </w:r>
        <w:r w:rsidR="00F633A0">
          <w:rPr>
            <w:noProof/>
            <w:webHidden/>
          </w:rPr>
          <w:instrText xml:space="preserve"> PAGEREF _Toc230792750 \h </w:instrText>
        </w:r>
        <w:r w:rsidR="00F633A0">
          <w:rPr>
            <w:noProof/>
            <w:webHidden/>
          </w:rPr>
        </w:r>
        <w:r w:rsidR="00F633A0">
          <w:rPr>
            <w:noProof/>
            <w:webHidden/>
          </w:rPr>
          <w:fldChar w:fldCharType="separate"/>
        </w:r>
        <w:r w:rsidR="00137E65">
          <w:rPr>
            <w:noProof/>
            <w:webHidden/>
          </w:rPr>
          <w:t>93</w:t>
        </w:r>
        <w:r w:rsidR="00F633A0">
          <w:rPr>
            <w:noProof/>
            <w:webHidden/>
          </w:rPr>
          <w:fldChar w:fldCharType="end"/>
        </w:r>
      </w:hyperlink>
    </w:p>
    <w:p w14:paraId="46EA162E" w14:textId="77221357"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51" w:history="1">
        <w:r w:rsidR="00F633A0" w:rsidRPr="00AD5352">
          <w:rPr>
            <w:rStyle w:val="Hyperlink"/>
            <w:noProof/>
          </w:rPr>
          <w:t>8.1.</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Outcome of comparison of policy options</w:t>
        </w:r>
        <w:r w:rsidR="00F633A0">
          <w:rPr>
            <w:noProof/>
            <w:webHidden/>
          </w:rPr>
          <w:tab/>
        </w:r>
        <w:r w:rsidR="00F633A0">
          <w:rPr>
            <w:noProof/>
            <w:webHidden/>
          </w:rPr>
          <w:fldChar w:fldCharType="begin"/>
        </w:r>
        <w:r w:rsidR="00F633A0">
          <w:rPr>
            <w:noProof/>
            <w:webHidden/>
          </w:rPr>
          <w:instrText xml:space="preserve"> PAGEREF _Toc230792751 \h </w:instrText>
        </w:r>
        <w:r w:rsidR="00F633A0">
          <w:rPr>
            <w:noProof/>
            <w:webHidden/>
          </w:rPr>
        </w:r>
        <w:r w:rsidR="00F633A0">
          <w:rPr>
            <w:noProof/>
            <w:webHidden/>
          </w:rPr>
          <w:fldChar w:fldCharType="separate"/>
        </w:r>
        <w:r w:rsidR="00137E65">
          <w:rPr>
            <w:noProof/>
            <w:webHidden/>
          </w:rPr>
          <w:t>93</w:t>
        </w:r>
        <w:r w:rsidR="00F633A0">
          <w:rPr>
            <w:noProof/>
            <w:webHidden/>
          </w:rPr>
          <w:fldChar w:fldCharType="end"/>
        </w:r>
      </w:hyperlink>
    </w:p>
    <w:p w14:paraId="1D61B296" w14:textId="714CF2FA" w:rsidR="00F633A0" w:rsidRDefault="003F684E">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30792752" w:history="1">
        <w:r w:rsidR="00F633A0" w:rsidRPr="00AD5352">
          <w:rPr>
            <w:rStyle w:val="Hyperlink"/>
            <w:noProof/>
          </w:rPr>
          <w:t>8.2.</w:t>
        </w:r>
        <w:r w:rsidR="00F633A0">
          <w:rPr>
            <w:rFonts w:asciiTheme="minorHAnsi" w:eastAsiaTheme="minorEastAsia" w:hAnsiTheme="minorHAnsi" w:cstheme="minorBidi"/>
            <w:noProof/>
            <w:kern w:val="2"/>
            <w:szCs w:val="24"/>
            <w:lang w:val="en-IE" w:eastAsia="en-IE"/>
            <w14:ligatures w14:val="standardContextual"/>
          </w:rPr>
          <w:tab/>
        </w:r>
        <w:r w:rsidR="00F633A0" w:rsidRPr="00AD5352">
          <w:rPr>
            <w:rStyle w:val="Hyperlink"/>
            <w:noProof/>
          </w:rPr>
          <w:t>Application of the “One In One Out” (OIOO) Approach</w:t>
        </w:r>
        <w:r w:rsidR="00F633A0">
          <w:rPr>
            <w:noProof/>
            <w:webHidden/>
          </w:rPr>
          <w:tab/>
        </w:r>
        <w:r w:rsidR="00F633A0">
          <w:rPr>
            <w:noProof/>
            <w:webHidden/>
          </w:rPr>
          <w:fldChar w:fldCharType="begin"/>
        </w:r>
        <w:r w:rsidR="00F633A0">
          <w:rPr>
            <w:noProof/>
            <w:webHidden/>
          </w:rPr>
          <w:instrText xml:space="preserve"> PAGEREF _Toc230792752 \h </w:instrText>
        </w:r>
        <w:r w:rsidR="00F633A0">
          <w:rPr>
            <w:noProof/>
            <w:webHidden/>
          </w:rPr>
        </w:r>
        <w:r w:rsidR="00F633A0">
          <w:rPr>
            <w:noProof/>
            <w:webHidden/>
          </w:rPr>
          <w:fldChar w:fldCharType="separate"/>
        </w:r>
        <w:r w:rsidR="00137E65">
          <w:rPr>
            <w:noProof/>
            <w:webHidden/>
          </w:rPr>
          <w:t>95</w:t>
        </w:r>
        <w:r w:rsidR="00F633A0">
          <w:rPr>
            <w:noProof/>
            <w:webHidden/>
          </w:rPr>
          <w:fldChar w:fldCharType="end"/>
        </w:r>
      </w:hyperlink>
    </w:p>
    <w:p w14:paraId="480CF018" w14:textId="3012631F"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53" w:history="1">
        <w:r w:rsidR="00F633A0" w:rsidRPr="00AD5352">
          <w:rPr>
            <w:rStyle w:val="Hyperlink"/>
            <w:noProof/>
          </w:rPr>
          <w:t>9.</w:t>
        </w:r>
        <w:r w:rsidR="00F633A0">
          <w:rPr>
            <w:rFonts w:asciiTheme="minorHAnsi" w:eastAsiaTheme="minorEastAsia" w:hAnsiTheme="minorHAnsi" w:cstheme="minorBidi"/>
            <w:caps w:val="0"/>
            <w:noProof/>
            <w:kern w:val="2"/>
            <w:sz w:val="24"/>
            <w:szCs w:val="24"/>
            <w:lang w:val="en-IE" w:eastAsia="en-IE"/>
            <w14:ligatures w14:val="standardContextual"/>
          </w:rPr>
          <w:tab/>
        </w:r>
        <w:r w:rsidR="00F633A0" w:rsidRPr="00AD5352">
          <w:rPr>
            <w:rStyle w:val="Hyperlink"/>
            <w:noProof/>
          </w:rPr>
          <w:t>How will actual impacts be monitored and evaluated?</w:t>
        </w:r>
        <w:r w:rsidR="00F633A0">
          <w:rPr>
            <w:noProof/>
            <w:webHidden/>
          </w:rPr>
          <w:tab/>
        </w:r>
        <w:r w:rsidR="00F633A0">
          <w:rPr>
            <w:noProof/>
            <w:webHidden/>
          </w:rPr>
          <w:fldChar w:fldCharType="begin"/>
        </w:r>
        <w:r w:rsidR="00F633A0">
          <w:rPr>
            <w:noProof/>
            <w:webHidden/>
          </w:rPr>
          <w:instrText xml:space="preserve"> PAGEREF _Toc230792753 \h </w:instrText>
        </w:r>
        <w:r w:rsidR="00F633A0">
          <w:rPr>
            <w:noProof/>
            <w:webHidden/>
          </w:rPr>
        </w:r>
        <w:r w:rsidR="00F633A0">
          <w:rPr>
            <w:noProof/>
            <w:webHidden/>
          </w:rPr>
          <w:fldChar w:fldCharType="separate"/>
        </w:r>
        <w:r w:rsidR="00137E65">
          <w:rPr>
            <w:noProof/>
            <w:webHidden/>
          </w:rPr>
          <w:t>97</w:t>
        </w:r>
        <w:r w:rsidR="00F633A0">
          <w:rPr>
            <w:noProof/>
            <w:webHidden/>
          </w:rPr>
          <w:fldChar w:fldCharType="end"/>
        </w:r>
      </w:hyperlink>
    </w:p>
    <w:p w14:paraId="3363AD20" w14:textId="4C71714E" w:rsidR="00F633A0" w:rsidRDefault="003F684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0792754" w:history="1">
        <w:r w:rsidR="00F633A0" w:rsidRPr="00AD5352">
          <w:rPr>
            <w:rStyle w:val="Hyperlink"/>
            <w:noProof/>
          </w:rPr>
          <w:t>Annex 0 - Endnotes</w:t>
        </w:r>
        <w:r w:rsidR="00F633A0">
          <w:rPr>
            <w:noProof/>
            <w:webHidden/>
          </w:rPr>
          <w:tab/>
        </w:r>
        <w:r w:rsidR="00F633A0">
          <w:rPr>
            <w:noProof/>
            <w:webHidden/>
          </w:rPr>
          <w:fldChar w:fldCharType="begin"/>
        </w:r>
        <w:r w:rsidR="00F633A0">
          <w:rPr>
            <w:noProof/>
            <w:webHidden/>
          </w:rPr>
          <w:instrText xml:space="preserve"> PAGEREF _Toc230792754 \h </w:instrText>
        </w:r>
        <w:r w:rsidR="00F633A0">
          <w:rPr>
            <w:noProof/>
            <w:webHidden/>
          </w:rPr>
        </w:r>
        <w:r w:rsidR="00F633A0">
          <w:rPr>
            <w:noProof/>
            <w:webHidden/>
          </w:rPr>
          <w:fldChar w:fldCharType="separate"/>
        </w:r>
        <w:r w:rsidR="00137E65">
          <w:rPr>
            <w:noProof/>
            <w:webHidden/>
          </w:rPr>
          <w:t>100</w:t>
        </w:r>
        <w:r w:rsidR="00F633A0">
          <w:rPr>
            <w:noProof/>
            <w:webHidden/>
          </w:rPr>
          <w:fldChar w:fldCharType="end"/>
        </w:r>
      </w:hyperlink>
    </w:p>
    <w:p w14:paraId="1AB99A8F" w14:textId="06BFFEE4" w:rsidR="001B0161" w:rsidRPr="00F92EAE" w:rsidRDefault="000C6642" w:rsidP="000E3086">
      <w:pPr>
        <w:rPr>
          <w:noProof/>
        </w:rPr>
      </w:pPr>
      <w:r>
        <w:rPr>
          <w:rFonts w:eastAsia="Times New Roman"/>
          <w:caps/>
          <w:noProof/>
          <w:sz w:val="20"/>
          <w:szCs w:val="20"/>
        </w:rPr>
        <w:fldChar w:fldCharType="end"/>
      </w:r>
      <w:r w:rsidR="001B0161" w:rsidRPr="00F92EAE">
        <w:rPr>
          <w:noProof/>
        </w:rPr>
        <w:br w:type="page"/>
      </w:r>
    </w:p>
    <w:p w14:paraId="5D6B1167" w14:textId="77777777" w:rsidR="006B087E" w:rsidRPr="00F92EAE" w:rsidRDefault="006B087E" w:rsidP="000E3086">
      <w:pPr>
        <w:rPr>
          <w:noProof/>
        </w:rPr>
      </w:pPr>
    </w:p>
    <w:p w14:paraId="6F8771C2" w14:textId="77777777" w:rsidR="006B087E" w:rsidRPr="00F92EAE" w:rsidRDefault="006B087E" w:rsidP="000E3086">
      <w:pPr>
        <w:rPr>
          <w:noProof/>
        </w:rPr>
      </w:pPr>
      <w:r w:rsidRPr="00F92EAE">
        <w:rPr>
          <w:noProof/>
        </w:rPr>
        <w:t>Glossary</w:t>
      </w:r>
    </w:p>
    <w:tbl>
      <w:tblPr>
        <w:tblStyle w:val="TableGrid"/>
        <w:tblW w:w="9464" w:type="dxa"/>
        <w:tblLook w:val="04A0" w:firstRow="1" w:lastRow="0" w:firstColumn="1" w:lastColumn="0" w:noHBand="0" w:noVBand="1"/>
      </w:tblPr>
      <w:tblGrid>
        <w:gridCol w:w="3190"/>
        <w:gridCol w:w="6274"/>
      </w:tblGrid>
      <w:tr w:rsidR="006B087E" w:rsidRPr="00F92EAE" w14:paraId="22BF0E77" w14:textId="77777777" w:rsidTr="0048407A">
        <w:tc>
          <w:tcPr>
            <w:tcW w:w="3190" w:type="dxa"/>
            <w:tcBorders>
              <w:bottom w:val="double" w:sz="4" w:space="0" w:color="auto"/>
            </w:tcBorders>
            <w:shd w:val="clear" w:color="auto" w:fill="F2F2F2" w:themeFill="background1" w:themeFillShade="F2"/>
            <w:vAlign w:val="center"/>
          </w:tcPr>
          <w:p w14:paraId="3A241B69" w14:textId="77777777" w:rsidR="006B087E" w:rsidRPr="00F92EAE" w:rsidRDefault="006B087E" w:rsidP="009E5120">
            <w:pPr>
              <w:spacing w:before="120" w:after="120"/>
              <w:jc w:val="left"/>
              <w:rPr>
                <w:noProof/>
              </w:rPr>
            </w:pPr>
            <w:r w:rsidRPr="00F92EAE">
              <w:rPr>
                <w:noProof/>
              </w:rPr>
              <w:t>Term or acronym</w:t>
            </w:r>
          </w:p>
        </w:tc>
        <w:tc>
          <w:tcPr>
            <w:tcW w:w="6274" w:type="dxa"/>
            <w:tcBorders>
              <w:bottom w:val="double" w:sz="4" w:space="0" w:color="auto"/>
            </w:tcBorders>
            <w:shd w:val="clear" w:color="auto" w:fill="F2F2F2" w:themeFill="background1" w:themeFillShade="F2"/>
            <w:vAlign w:val="center"/>
          </w:tcPr>
          <w:p w14:paraId="163C4F68" w14:textId="77777777" w:rsidR="006B087E" w:rsidRPr="00F92EAE" w:rsidRDefault="006B087E" w:rsidP="009E5120">
            <w:pPr>
              <w:spacing w:before="120" w:after="120"/>
              <w:jc w:val="left"/>
              <w:rPr>
                <w:noProof/>
              </w:rPr>
            </w:pPr>
            <w:r w:rsidRPr="00F92EAE">
              <w:rPr>
                <w:noProof/>
              </w:rPr>
              <w:t>Meaning or definition</w:t>
            </w:r>
          </w:p>
        </w:tc>
      </w:tr>
      <w:tr w:rsidR="00E61374" w:rsidRPr="00F92EAE" w14:paraId="5CD1DA29" w14:textId="77777777" w:rsidTr="0048407A">
        <w:tc>
          <w:tcPr>
            <w:tcW w:w="3190" w:type="dxa"/>
            <w:tcBorders>
              <w:top w:val="double" w:sz="4" w:space="0" w:color="auto"/>
            </w:tcBorders>
            <w:tcMar>
              <w:top w:w="85" w:type="dxa"/>
              <w:left w:w="57" w:type="dxa"/>
              <w:bottom w:w="85" w:type="dxa"/>
              <w:right w:w="57" w:type="dxa"/>
            </w:tcMar>
            <w:vAlign w:val="center"/>
          </w:tcPr>
          <w:p w14:paraId="169AC23A" w14:textId="2B0742AC" w:rsidR="00E61374" w:rsidRPr="00F92EAE" w:rsidRDefault="00E61374" w:rsidP="00E61374">
            <w:pPr>
              <w:rPr>
                <w:noProof/>
              </w:rPr>
            </w:pPr>
            <w:r w:rsidRPr="00D37004">
              <w:rPr>
                <w:noProof/>
              </w:rPr>
              <w:t>AI</w:t>
            </w:r>
          </w:p>
        </w:tc>
        <w:tc>
          <w:tcPr>
            <w:tcW w:w="6274" w:type="dxa"/>
            <w:tcBorders>
              <w:top w:val="double" w:sz="4" w:space="0" w:color="auto"/>
            </w:tcBorders>
            <w:tcMar>
              <w:top w:w="85" w:type="dxa"/>
              <w:left w:w="57" w:type="dxa"/>
              <w:bottom w:w="85" w:type="dxa"/>
              <w:right w:w="57" w:type="dxa"/>
            </w:tcMar>
            <w:vAlign w:val="center"/>
          </w:tcPr>
          <w:p w14:paraId="4A19DA20" w14:textId="50958CFC" w:rsidR="00E61374" w:rsidRPr="00F92EAE" w:rsidRDefault="00E61374" w:rsidP="00E61374">
            <w:pPr>
              <w:rPr>
                <w:noProof/>
              </w:rPr>
            </w:pPr>
            <w:r w:rsidRPr="00D37004">
              <w:rPr>
                <w:noProof/>
              </w:rPr>
              <w:t>Artificial Intelligence</w:t>
            </w:r>
          </w:p>
        </w:tc>
      </w:tr>
      <w:tr w:rsidR="00E61374" w:rsidRPr="00F92EAE" w14:paraId="386BB04D" w14:textId="77777777" w:rsidTr="0048407A">
        <w:tc>
          <w:tcPr>
            <w:tcW w:w="3190" w:type="dxa"/>
            <w:tcMar>
              <w:top w:w="85" w:type="dxa"/>
              <w:left w:w="57" w:type="dxa"/>
              <w:bottom w:w="85" w:type="dxa"/>
              <w:right w:w="57" w:type="dxa"/>
            </w:tcMar>
            <w:vAlign w:val="center"/>
          </w:tcPr>
          <w:p w14:paraId="79AB3D3E" w14:textId="144E8AD9" w:rsidR="00E61374" w:rsidRPr="00F92EAE" w:rsidRDefault="00E61374" w:rsidP="00E61374">
            <w:pPr>
              <w:rPr>
                <w:noProof/>
              </w:rPr>
            </w:pPr>
            <w:r w:rsidRPr="00D37004">
              <w:rPr>
                <w:noProof/>
              </w:rPr>
              <w:t>AZ</w:t>
            </w:r>
          </w:p>
        </w:tc>
        <w:tc>
          <w:tcPr>
            <w:tcW w:w="6274" w:type="dxa"/>
            <w:tcMar>
              <w:top w:w="85" w:type="dxa"/>
              <w:left w:w="57" w:type="dxa"/>
              <w:bottom w:w="85" w:type="dxa"/>
              <w:right w:w="57" w:type="dxa"/>
            </w:tcMar>
            <w:vAlign w:val="center"/>
          </w:tcPr>
          <w:p w14:paraId="3959785F" w14:textId="24315E81" w:rsidR="00E61374" w:rsidRPr="00F92EAE" w:rsidRDefault="00E61374" w:rsidP="00E61374">
            <w:pPr>
              <w:rPr>
                <w:noProof/>
              </w:rPr>
            </w:pPr>
            <w:r w:rsidRPr="00D37004">
              <w:rPr>
                <w:noProof/>
              </w:rPr>
              <w:t>Availability Zone</w:t>
            </w:r>
          </w:p>
        </w:tc>
      </w:tr>
      <w:tr w:rsidR="00E61374" w:rsidRPr="00F92EAE" w14:paraId="526C18A1" w14:textId="77777777" w:rsidTr="0048407A">
        <w:tc>
          <w:tcPr>
            <w:tcW w:w="3190" w:type="dxa"/>
            <w:tcMar>
              <w:top w:w="85" w:type="dxa"/>
              <w:left w:w="57" w:type="dxa"/>
              <w:bottom w:w="85" w:type="dxa"/>
              <w:right w:w="57" w:type="dxa"/>
            </w:tcMar>
            <w:vAlign w:val="center"/>
          </w:tcPr>
          <w:p w14:paraId="16574102" w14:textId="15035322" w:rsidR="00E61374" w:rsidRPr="00F92EAE" w:rsidRDefault="00E61374" w:rsidP="00E61374">
            <w:pPr>
              <w:rPr>
                <w:noProof/>
              </w:rPr>
            </w:pPr>
            <w:r w:rsidRPr="00D37004">
              <w:rPr>
                <w:noProof/>
              </w:rPr>
              <w:t>CEN</w:t>
            </w:r>
          </w:p>
        </w:tc>
        <w:tc>
          <w:tcPr>
            <w:tcW w:w="6274" w:type="dxa"/>
            <w:tcMar>
              <w:top w:w="85" w:type="dxa"/>
              <w:left w:w="57" w:type="dxa"/>
              <w:bottom w:w="85" w:type="dxa"/>
              <w:right w:w="57" w:type="dxa"/>
            </w:tcMar>
            <w:vAlign w:val="center"/>
          </w:tcPr>
          <w:p w14:paraId="2C65A4B2" w14:textId="3B98F1C7" w:rsidR="00E61374" w:rsidRPr="00F92EAE" w:rsidRDefault="00E61374" w:rsidP="00E61374">
            <w:pPr>
              <w:rPr>
                <w:noProof/>
              </w:rPr>
            </w:pPr>
            <w:r w:rsidRPr="00D37004">
              <w:rPr>
                <w:noProof/>
              </w:rPr>
              <w:t>European Committee for Standardization</w:t>
            </w:r>
          </w:p>
        </w:tc>
      </w:tr>
      <w:tr w:rsidR="00E61374" w:rsidRPr="00F92EAE" w14:paraId="78DDB30C" w14:textId="77777777" w:rsidTr="0048407A">
        <w:tc>
          <w:tcPr>
            <w:tcW w:w="3190" w:type="dxa"/>
            <w:tcMar>
              <w:top w:w="85" w:type="dxa"/>
              <w:left w:w="57" w:type="dxa"/>
              <w:bottom w:w="85" w:type="dxa"/>
              <w:right w:w="57" w:type="dxa"/>
            </w:tcMar>
            <w:vAlign w:val="center"/>
          </w:tcPr>
          <w:p w14:paraId="17F9BBC5" w14:textId="7580427F" w:rsidR="00E61374" w:rsidRPr="00F92EAE" w:rsidRDefault="00E61374" w:rsidP="00E61374">
            <w:pPr>
              <w:rPr>
                <w:noProof/>
              </w:rPr>
            </w:pPr>
            <w:r w:rsidRPr="00D37004">
              <w:rPr>
                <w:noProof/>
              </w:rPr>
              <w:t>CENELEC</w:t>
            </w:r>
          </w:p>
        </w:tc>
        <w:tc>
          <w:tcPr>
            <w:tcW w:w="6274" w:type="dxa"/>
            <w:tcMar>
              <w:top w:w="85" w:type="dxa"/>
              <w:left w:w="57" w:type="dxa"/>
              <w:bottom w:w="85" w:type="dxa"/>
              <w:right w:w="57" w:type="dxa"/>
            </w:tcMar>
            <w:vAlign w:val="center"/>
          </w:tcPr>
          <w:p w14:paraId="62A541E4" w14:textId="5483EEDB" w:rsidR="00E61374" w:rsidRPr="00F92EAE" w:rsidRDefault="00E61374" w:rsidP="00E61374">
            <w:pPr>
              <w:rPr>
                <w:noProof/>
              </w:rPr>
            </w:pPr>
            <w:r w:rsidRPr="00D37004">
              <w:rPr>
                <w:noProof/>
              </w:rPr>
              <w:t>European Committee for Electrotechnical Standardization</w:t>
            </w:r>
          </w:p>
        </w:tc>
      </w:tr>
      <w:tr w:rsidR="00E61374" w:rsidRPr="00F92EAE" w14:paraId="19EE6ACD" w14:textId="77777777" w:rsidTr="0048407A">
        <w:tc>
          <w:tcPr>
            <w:tcW w:w="3190" w:type="dxa"/>
            <w:tcMar>
              <w:top w:w="85" w:type="dxa"/>
              <w:left w:w="57" w:type="dxa"/>
              <w:bottom w:w="85" w:type="dxa"/>
              <w:right w:w="57" w:type="dxa"/>
            </w:tcMar>
            <w:vAlign w:val="center"/>
          </w:tcPr>
          <w:p w14:paraId="6C2AD0C9" w14:textId="646F36FA" w:rsidR="00E61374" w:rsidRPr="00F92EAE" w:rsidRDefault="00E61374" w:rsidP="00E61374">
            <w:pPr>
              <w:rPr>
                <w:noProof/>
              </w:rPr>
            </w:pPr>
            <w:r w:rsidRPr="00D37004">
              <w:rPr>
                <w:noProof/>
              </w:rPr>
              <w:t>CfE</w:t>
            </w:r>
          </w:p>
        </w:tc>
        <w:tc>
          <w:tcPr>
            <w:tcW w:w="6274" w:type="dxa"/>
            <w:tcMar>
              <w:top w:w="85" w:type="dxa"/>
              <w:left w:w="57" w:type="dxa"/>
              <w:bottom w:w="85" w:type="dxa"/>
              <w:right w:w="57" w:type="dxa"/>
            </w:tcMar>
            <w:vAlign w:val="center"/>
          </w:tcPr>
          <w:p w14:paraId="4198B1EB" w14:textId="199CF27C" w:rsidR="00E61374" w:rsidRPr="00F92EAE" w:rsidRDefault="00E61374" w:rsidP="00E61374">
            <w:pPr>
              <w:rPr>
                <w:noProof/>
              </w:rPr>
            </w:pPr>
            <w:r w:rsidRPr="00D37004">
              <w:rPr>
                <w:noProof/>
              </w:rPr>
              <w:t>Call for Evidence</w:t>
            </w:r>
          </w:p>
        </w:tc>
      </w:tr>
      <w:tr w:rsidR="00E61374" w:rsidRPr="00F92EAE" w14:paraId="6A05E4B8" w14:textId="77777777" w:rsidTr="0048407A">
        <w:tc>
          <w:tcPr>
            <w:tcW w:w="3190" w:type="dxa"/>
            <w:tcMar>
              <w:top w:w="85" w:type="dxa"/>
              <w:left w:w="57" w:type="dxa"/>
              <w:bottom w:w="85" w:type="dxa"/>
              <w:right w:w="57" w:type="dxa"/>
            </w:tcMar>
            <w:vAlign w:val="center"/>
          </w:tcPr>
          <w:p w14:paraId="6A83F98F" w14:textId="350F3479" w:rsidR="00E61374" w:rsidRPr="00F92EAE" w:rsidRDefault="00E61374" w:rsidP="00E61374">
            <w:pPr>
              <w:rPr>
                <w:noProof/>
              </w:rPr>
            </w:pPr>
            <w:r w:rsidRPr="00D37004">
              <w:rPr>
                <w:noProof/>
              </w:rPr>
              <w:t>Colocation data centre</w:t>
            </w:r>
          </w:p>
        </w:tc>
        <w:tc>
          <w:tcPr>
            <w:tcW w:w="6274" w:type="dxa"/>
            <w:tcMar>
              <w:top w:w="85" w:type="dxa"/>
              <w:left w:w="57" w:type="dxa"/>
              <w:bottom w:w="85" w:type="dxa"/>
              <w:right w:w="57" w:type="dxa"/>
            </w:tcMar>
            <w:vAlign w:val="center"/>
          </w:tcPr>
          <w:p w14:paraId="6409E0E7" w14:textId="235CCCFE" w:rsidR="00E61374" w:rsidRPr="00F92EAE" w:rsidRDefault="00E61374" w:rsidP="00E61374">
            <w:pPr>
              <w:rPr>
                <w:noProof/>
              </w:rPr>
            </w:pPr>
            <w:r w:rsidRPr="00D37004">
              <w:rPr>
                <w:noProof/>
              </w:rPr>
              <w:t>A data centre in which one or more customers install and manage their own network or networks, servers and storage equipment and service</w:t>
            </w:r>
          </w:p>
        </w:tc>
      </w:tr>
      <w:tr w:rsidR="00E61374" w:rsidRPr="00F92EAE" w14:paraId="2052359F" w14:textId="77777777" w:rsidTr="0048407A">
        <w:tc>
          <w:tcPr>
            <w:tcW w:w="3190" w:type="dxa"/>
            <w:tcMar>
              <w:top w:w="85" w:type="dxa"/>
              <w:left w:w="57" w:type="dxa"/>
              <w:bottom w:w="85" w:type="dxa"/>
              <w:right w:w="57" w:type="dxa"/>
            </w:tcMar>
            <w:vAlign w:val="center"/>
          </w:tcPr>
          <w:p w14:paraId="7F2448C6" w14:textId="3A30E73E" w:rsidR="00E61374" w:rsidRPr="00F92EAE" w:rsidRDefault="00E61374" w:rsidP="00E61374">
            <w:pPr>
              <w:rPr>
                <w:noProof/>
              </w:rPr>
            </w:pPr>
            <w:r w:rsidRPr="00D37004">
              <w:rPr>
                <w:noProof/>
              </w:rPr>
              <w:t>Colocation data centre operator</w:t>
            </w:r>
          </w:p>
        </w:tc>
        <w:tc>
          <w:tcPr>
            <w:tcW w:w="6274" w:type="dxa"/>
            <w:tcMar>
              <w:top w:w="85" w:type="dxa"/>
              <w:left w:w="57" w:type="dxa"/>
              <w:bottom w:w="85" w:type="dxa"/>
              <w:right w:w="57" w:type="dxa"/>
            </w:tcMar>
            <w:vAlign w:val="center"/>
          </w:tcPr>
          <w:p w14:paraId="2E08BD48" w14:textId="01240D7E" w:rsidR="00E61374" w:rsidRPr="00F92EAE" w:rsidRDefault="00E61374" w:rsidP="00E61374">
            <w:pPr>
              <w:rPr>
                <w:noProof/>
              </w:rPr>
            </w:pPr>
            <w:r w:rsidRPr="00D37004">
              <w:rPr>
                <w:noProof/>
              </w:rPr>
              <w:t>An organisation who manages and leases/sells space, security, network access, power and cooling capacity from a colocation data centre to one or more customers who install and manage their own network or networks, servers and storage equipment and services</w:t>
            </w:r>
          </w:p>
        </w:tc>
      </w:tr>
      <w:tr w:rsidR="00E61374" w:rsidRPr="00F92EAE" w14:paraId="291B3552" w14:textId="77777777" w:rsidTr="0048407A">
        <w:tc>
          <w:tcPr>
            <w:tcW w:w="3190" w:type="dxa"/>
            <w:tcMar>
              <w:top w:w="85" w:type="dxa"/>
              <w:left w:w="57" w:type="dxa"/>
              <w:bottom w:w="85" w:type="dxa"/>
              <w:right w:w="57" w:type="dxa"/>
            </w:tcMar>
            <w:vAlign w:val="center"/>
          </w:tcPr>
          <w:p w14:paraId="0CDFCCA9" w14:textId="5F2657B0" w:rsidR="00E61374" w:rsidRPr="00F92EAE" w:rsidRDefault="00E61374" w:rsidP="00E61374">
            <w:pPr>
              <w:rPr>
                <w:noProof/>
              </w:rPr>
            </w:pPr>
            <w:r>
              <w:rPr>
                <w:noProof/>
              </w:rPr>
              <w:t>CSP</w:t>
            </w:r>
          </w:p>
        </w:tc>
        <w:tc>
          <w:tcPr>
            <w:tcW w:w="6274" w:type="dxa"/>
            <w:tcMar>
              <w:top w:w="85" w:type="dxa"/>
              <w:left w:w="57" w:type="dxa"/>
              <w:bottom w:w="85" w:type="dxa"/>
              <w:right w:w="57" w:type="dxa"/>
            </w:tcMar>
            <w:vAlign w:val="center"/>
          </w:tcPr>
          <w:p w14:paraId="00BB3635" w14:textId="5CFEEEA0" w:rsidR="00E61374" w:rsidRPr="00F92EAE" w:rsidRDefault="00E61374" w:rsidP="00E61374">
            <w:pPr>
              <w:rPr>
                <w:noProof/>
              </w:rPr>
            </w:pPr>
            <w:r>
              <w:rPr>
                <w:noProof/>
              </w:rPr>
              <w:t>Cloud service provider</w:t>
            </w:r>
          </w:p>
        </w:tc>
      </w:tr>
      <w:tr w:rsidR="00E61374" w:rsidRPr="00F92EAE" w14:paraId="6755C91B" w14:textId="77777777" w:rsidTr="0048407A">
        <w:tc>
          <w:tcPr>
            <w:tcW w:w="3190" w:type="dxa"/>
            <w:tcMar>
              <w:top w:w="85" w:type="dxa"/>
              <w:left w:w="57" w:type="dxa"/>
              <w:bottom w:w="85" w:type="dxa"/>
              <w:right w:w="57" w:type="dxa"/>
            </w:tcMar>
            <w:vAlign w:val="center"/>
          </w:tcPr>
          <w:p w14:paraId="13D948C2" w14:textId="3B1566D0" w:rsidR="00E61374" w:rsidRPr="00F92EAE" w:rsidRDefault="00E61374" w:rsidP="00E61374">
            <w:pPr>
              <w:rPr>
                <w:noProof/>
              </w:rPr>
            </w:pPr>
            <w:r w:rsidRPr="00D37004">
              <w:rPr>
                <w:noProof/>
              </w:rPr>
              <w:t>Data Centre (DC)</w:t>
            </w:r>
          </w:p>
        </w:tc>
        <w:tc>
          <w:tcPr>
            <w:tcW w:w="6274" w:type="dxa"/>
            <w:tcMar>
              <w:top w:w="85" w:type="dxa"/>
              <w:left w:w="57" w:type="dxa"/>
              <w:bottom w:w="85" w:type="dxa"/>
              <w:right w:w="57" w:type="dxa"/>
            </w:tcMar>
            <w:vAlign w:val="center"/>
          </w:tcPr>
          <w:p w14:paraId="11C901C6" w14:textId="1F01A506" w:rsidR="00E61374" w:rsidRPr="00F92EAE" w:rsidRDefault="00E61374" w:rsidP="00E61374">
            <w:pPr>
              <w:rPr>
                <w:noProof/>
              </w:rPr>
            </w:pPr>
            <w:r w:rsidRPr="00D37004">
              <w:rPr>
                <w:noProof/>
              </w:rPr>
              <w:t>A data centre (DC) is defined as a structure or a group of </w:t>
            </w:r>
            <w:r w:rsidRPr="00D37004">
              <w:rPr>
                <w:noProof/>
              </w:rPr>
              <w:br/>
              <w:t>structures used to house, connect and operate computer systems/</w:t>
            </w:r>
            <w:r w:rsidRPr="00D37004">
              <w:rPr>
                <w:noProof/>
              </w:rPr>
              <w:br/>
              <w:t>servers and associated equipment for data storage, processing </w:t>
            </w:r>
            <w:r w:rsidRPr="00D37004">
              <w:rPr>
                <w:noProof/>
              </w:rPr>
              <w:br/>
              <w:t>and/or distribution, as well as related activities.</w:t>
            </w:r>
          </w:p>
        </w:tc>
      </w:tr>
      <w:tr w:rsidR="00E61374" w:rsidRPr="00F92EAE" w14:paraId="6EC8D410" w14:textId="77777777" w:rsidTr="0048407A">
        <w:tc>
          <w:tcPr>
            <w:tcW w:w="3190" w:type="dxa"/>
            <w:tcMar>
              <w:top w:w="85" w:type="dxa"/>
              <w:left w:w="57" w:type="dxa"/>
              <w:bottom w:w="85" w:type="dxa"/>
              <w:right w:w="57" w:type="dxa"/>
            </w:tcMar>
            <w:vAlign w:val="center"/>
          </w:tcPr>
          <w:p w14:paraId="6110ED88" w14:textId="4B553AB6" w:rsidR="00E61374" w:rsidRPr="00F92EAE" w:rsidRDefault="00E61374" w:rsidP="00E61374">
            <w:pPr>
              <w:rPr>
                <w:noProof/>
              </w:rPr>
            </w:pPr>
            <w:r w:rsidRPr="00D37004">
              <w:rPr>
                <w:noProof/>
              </w:rPr>
              <w:t>DSO</w:t>
            </w:r>
          </w:p>
        </w:tc>
        <w:tc>
          <w:tcPr>
            <w:tcW w:w="6274" w:type="dxa"/>
            <w:tcMar>
              <w:top w:w="85" w:type="dxa"/>
              <w:left w:w="57" w:type="dxa"/>
              <w:bottom w:w="85" w:type="dxa"/>
              <w:right w:w="57" w:type="dxa"/>
            </w:tcMar>
            <w:vAlign w:val="center"/>
          </w:tcPr>
          <w:p w14:paraId="61755EF5" w14:textId="1FBA437E" w:rsidR="00E61374" w:rsidRPr="00F92EAE" w:rsidRDefault="00E61374" w:rsidP="00E61374">
            <w:pPr>
              <w:rPr>
                <w:noProof/>
              </w:rPr>
            </w:pPr>
            <w:r w:rsidRPr="00D37004">
              <w:rPr>
                <w:noProof/>
              </w:rPr>
              <w:t>Distribution System Operators operate and manage local and regional distribution networks, delivering electricity to end users from the transmission system, such as Data Centres up to a given size. See also TSO.</w:t>
            </w:r>
          </w:p>
        </w:tc>
      </w:tr>
      <w:tr w:rsidR="00E61374" w:rsidRPr="00F92EAE" w14:paraId="293BBCE6" w14:textId="77777777" w:rsidTr="0048407A">
        <w:tc>
          <w:tcPr>
            <w:tcW w:w="3190" w:type="dxa"/>
            <w:tcMar>
              <w:top w:w="85" w:type="dxa"/>
              <w:left w:w="57" w:type="dxa"/>
              <w:bottom w:w="85" w:type="dxa"/>
              <w:right w:w="57" w:type="dxa"/>
            </w:tcMar>
            <w:vAlign w:val="center"/>
          </w:tcPr>
          <w:p w14:paraId="297C5BB5" w14:textId="47BBF76A" w:rsidR="00E61374" w:rsidRPr="00F92EAE" w:rsidRDefault="00E61374" w:rsidP="00E61374">
            <w:pPr>
              <w:rPr>
                <w:noProof/>
              </w:rPr>
            </w:pPr>
            <w:r w:rsidRPr="00D37004">
              <w:rPr>
                <w:noProof/>
              </w:rPr>
              <w:t>EC</w:t>
            </w:r>
          </w:p>
        </w:tc>
        <w:tc>
          <w:tcPr>
            <w:tcW w:w="6274" w:type="dxa"/>
            <w:tcMar>
              <w:top w:w="85" w:type="dxa"/>
              <w:left w:w="57" w:type="dxa"/>
              <w:bottom w:w="85" w:type="dxa"/>
              <w:right w:w="57" w:type="dxa"/>
            </w:tcMar>
            <w:vAlign w:val="center"/>
          </w:tcPr>
          <w:p w14:paraId="22D6E5D4" w14:textId="110F71A8" w:rsidR="00E61374" w:rsidRPr="00F92EAE" w:rsidRDefault="00E61374" w:rsidP="00E61374">
            <w:pPr>
              <w:rPr>
                <w:noProof/>
              </w:rPr>
            </w:pPr>
            <w:r w:rsidRPr="00D37004">
              <w:rPr>
                <w:noProof/>
              </w:rPr>
              <w:t>European Commission</w:t>
            </w:r>
          </w:p>
        </w:tc>
      </w:tr>
      <w:tr w:rsidR="00E61374" w:rsidRPr="00F92EAE" w14:paraId="31D11F94" w14:textId="77777777" w:rsidTr="0048407A">
        <w:tc>
          <w:tcPr>
            <w:tcW w:w="3190" w:type="dxa"/>
            <w:tcMar>
              <w:top w:w="85" w:type="dxa"/>
              <w:left w:w="57" w:type="dxa"/>
              <w:bottom w:w="85" w:type="dxa"/>
              <w:right w:w="57" w:type="dxa"/>
            </w:tcMar>
            <w:vAlign w:val="center"/>
          </w:tcPr>
          <w:p w14:paraId="73CA96F2" w14:textId="1887ECD6" w:rsidR="00E61374" w:rsidRPr="00F92EAE" w:rsidRDefault="00E61374" w:rsidP="00E61374">
            <w:pPr>
              <w:rPr>
                <w:noProof/>
              </w:rPr>
            </w:pPr>
            <w:r w:rsidRPr="00D37004">
              <w:rPr>
                <w:noProof/>
              </w:rPr>
              <w:t>Enterprise data centre operator</w:t>
            </w:r>
          </w:p>
        </w:tc>
        <w:tc>
          <w:tcPr>
            <w:tcW w:w="6274" w:type="dxa"/>
            <w:tcMar>
              <w:top w:w="85" w:type="dxa"/>
              <w:left w:w="57" w:type="dxa"/>
              <w:bottom w:w="85" w:type="dxa"/>
              <w:right w:w="57" w:type="dxa"/>
            </w:tcMar>
            <w:vAlign w:val="center"/>
          </w:tcPr>
          <w:p w14:paraId="3E0DC87C" w14:textId="31958710" w:rsidR="00E61374" w:rsidRPr="00F92EAE" w:rsidRDefault="00E61374" w:rsidP="00E61374">
            <w:pPr>
              <w:rPr>
                <w:noProof/>
              </w:rPr>
            </w:pPr>
            <w:r w:rsidRPr="00D37004">
              <w:rPr>
                <w:noProof/>
              </w:rPr>
              <w:t>Enterprise data centre operator is a physical or legal person who manages the entire enterprise data centre, including the building and the use of the information technology services delivered</w:t>
            </w:r>
          </w:p>
        </w:tc>
      </w:tr>
      <w:tr w:rsidR="00E61374" w:rsidRPr="00F92EAE" w14:paraId="28D15D8E" w14:textId="77777777" w:rsidTr="0048407A">
        <w:tc>
          <w:tcPr>
            <w:tcW w:w="3190" w:type="dxa"/>
            <w:tcMar>
              <w:top w:w="85" w:type="dxa"/>
              <w:left w:w="57" w:type="dxa"/>
              <w:bottom w:w="85" w:type="dxa"/>
              <w:right w:w="57" w:type="dxa"/>
            </w:tcMar>
            <w:vAlign w:val="center"/>
          </w:tcPr>
          <w:p w14:paraId="3EB54523" w14:textId="506B48ED" w:rsidR="00E61374" w:rsidRPr="00F92EAE" w:rsidRDefault="00E61374" w:rsidP="00E61374">
            <w:pPr>
              <w:rPr>
                <w:noProof/>
              </w:rPr>
            </w:pPr>
            <w:r w:rsidRPr="00D37004">
              <w:rPr>
                <w:noProof/>
              </w:rPr>
              <w:t>EED</w:t>
            </w:r>
          </w:p>
        </w:tc>
        <w:tc>
          <w:tcPr>
            <w:tcW w:w="6274" w:type="dxa"/>
            <w:tcMar>
              <w:top w:w="85" w:type="dxa"/>
              <w:left w:w="57" w:type="dxa"/>
              <w:bottom w:w="85" w:type="dxa"/>
              <w:right w:w="57" w:type="dxa"/>
            </w:tcMar>
            <w:vAlign w:val="center"/>
          </w:tcPr>
          <w:p w14:paraId="4B2A176C" w14:textId="3ED99D51" w:rsidR="00E61374" w:rsidRPr="00F92EAE" w:rsidRDefault="00E61374" w:rsidP="00E61374">
            <w:pPr>
              <w:rPr>
                <w:noProof/>
              </w:rPr>
            </w:pPr>
            <w:r w:rsidRPr="00D37004">
              <w:rPr>
                <w:noProof/>
              </w:rPr>
              <w:t>Energy Efficiency Directive</w:t>
            </w:r>
          </w:p>
        </w:tc>
      </w:tr>
      <w:tr w:rsidR="00E61374" w:rsidRPr="00F92EAE" w14:paraId="4810EBC8" w14:textId="77777777" w:rsidTr="0048407A">
        <w:tc>
          <w:tcPr>
            <w:tcW w:w="3190" w:type="dxa"/>
            <w:tcMar>
              <w:top w:w="85" w:type="dxa"/>
              <w:left w:w="57" w:type="dxa"/>
              <w:bottom w:w="85" w:type="dxa"/>
              <w:right w:w="57" w:type="dxa"/>
            </w:tcMar>
            <w:vAlign w:val="center"/>
          </w:tcPr>
          <w:p w14:paraId="45C18D1A" w14:textId="2AE2188D" w:rsidR="00E61374" w:rsidRPr="00F92EAE" w:rsidRDefault="00E61374" w:rsidP="00E61374">
            <w:pPr>
              <w:rPr>
                <w:noProof/>
              </w:rPr>
            </w:pPr>
            <w:r w:rsidRPr="00D37004">
              <w:rPr>
                <w:noProof/>
              </w:rPr>
              <w:t>EU</w:t>
            </w:r>
          </w:p>
        </w:tc>
        <w:tc>
          <w:tcPr>
            <w:tcW w:w="6274" w:type="dxa"/>
            <w:tcMar>
              <w:top w:w="85" w:type="dxa"/>
              <w:left w:w="57" w:type="dxa"/>
              <w:bottom w:w="85" w:type="dxa"/>
              <w:right w:w="57" w:type="dxa"/>
            </w:tcMar>
            <w:vAlign w:val="center"/>
          </w:tcPr>
          <w:p w14:paraId="2D4EEE18" w14:textId="3ED4B2C3" w:rsidR="00E61374" w:rsidRPr="00F92EAE" w:rsidRDefault="00E61374" w:rsidP="00E61374">
            <w:pPr>
              <w:rPr>
                <w:noProof/>
              </w:rPr>
            </w:pPr>
            <w:r w:rsidRPr="00D37004">
              <w:rPr>
                <w:noProof/>
              </w:rPr>
              <w:t>European Union</w:t>
            </w:r>
          </w:p>
        </w:tc>
      </w:tr>
      <w:tr w:rsidR="00E61374" w:rsidRPr="00F92EAE" w14:paraId="63DFF71C" w14:textId="77777777" w:rsidTr="0048407A">
        <w:tc>
          <w:tcPr>
            <w:tcW w:w="3190" w:type="dxa"/>
            <w:tcMar>
              <w:top w:w="85" w:type="dxa"/>
              <w:left w:w="57" w:type="dxa"/>
              <w:bottom w:w="85" w:type="dxa"/>
              <w:right w:w="57" w:type="dxa"/>
            </w:tcMar>
            <w:vAlign w:val="center"/>
          </w:tcPr>
          <w:p w14:paraId="4C32220F" w14:textId="00DABF01" w:rsidR="00E61374" w:rsidRPr="00F92EAE" w:rsidRDefault="00E61374" w:rsidP="00E61374">
            <w:pPr>
              <w:rPr>
                <w:noProof/>
              </w:rPr>
            </w:pPr>
            <w:r>
              <w:rPr>
                <w:noProof/>
              </w:rPr>
              <w:t>FLAPD</w:t>
            </w:r>
          </w:p>
        </w:tc>
        <w:tc>
          <w:tcPr>
            <w:tcW w:w="6274" w:type="dxa"/>
            <w:tcMar>
              <w:top w:w="85" w:type="dxa"/>
              <w:left w:w="57" w:type="dxa"/>
              <w:bottom w:w="85" w:type="dxa"/>
              <w:right w:w="57" w:type="dxa"/>
            </w:tcMar>
            <w:vAlign w:val="center"/>
          </w:tcPr>
          <w:p w14:paraId="3A518173" w14:textId="62DE4CDF" w:rsidR="00E61374" w:rsidRPr="00F92EAE" w:rsidRDefault="00E61374" w:rsidP="00E61374">
            <w:pPr>
              <w:rPr>
                <w:noProof/>
              </w:rPr>
            </w:pPr>
            <w:r>
              <w:rPr>
                <w:noProof/>
              </w:rPr>
              <w:t>Refers to the data centre markets located in Frankfurt, London, Amsterdam, Paris and Dublin.</w:t>
            </w:r>
          </w:p>
        </w:tc>
      </w:tr>
      <w:tr w:rsidR="00E61374" w:rsidRPr="00F92EAE" w14:paraId="653534DA" w14:textId="77777777" w:rsidTr="0048407A">
        <w:tc>
          <w:tcPr>
            <w:tcW w:w="3190" w:type="dxa"/>
            <w:tcMar>
              <w:top w:w="85" w:type="dxa"/>
              <w:left w:w="57" w:type="dxa"/>
              <w:bottom w:w="85" w:type="dxa"/>
              <w:right w:w="57" w:type="dxa"/>
            </w:tcMar>
            <w:vAlign w:val="center"/>
          </w:tcPr>
          <w:p w14:paraId="2217E150" w14:textId="0537FA1B" w:rsidR="00E61374" w:rsidRPr="00F92EAE" w:rsidRDefault="00E61374" w:rsidP="00E61374">
            <w:pPr>
              <w:rPr>
                <w:noProof/>
              </w:rPr>
            </w:pPr>
            <w:r w:rsidRPr="00D37004">
              <w:rPr>
                <w:noProof/>
              </w:rPr>
              <w:t>FTE</w:t>
            </w:r>
          </w:p>
        </w:tc>
        <w:tc>
          <w:tcPr>
            <w:tcW w:w="6274" w:type="dxa"/>
            <w:tcMar>
              <w:top w:w="85" w:type="dxa"/>
              <w:left w:w="57" w:type="dxa"/>
              <w:bottom w:w="85" w:type="dxa"/>
              <w:right w:w="57" w:type="dxa"/>
            </w:tcMar>
            <w:vAlign w:val="center"/>
          </w:tcPr>
          <w:p w14:paraId="092B825F" w14:textId="4F829CBF" w:rsidR="00E61374" w:rsidRPr="00F92EAE" w:rsidRDefault="00E61374" w:rsidP="00E61374">
            <w:pPr>
              <w:rPr>
                <w:noProof/>
              </w:rPr>
            </w:pPr>
            <w:r w:rsidRPr="00D37004" w:rsidDel="006B5642">
              <w:rPr>
                <w:noProof/>
              </w:rPr>
              <w:t xml:space="preserve">Full </w:t>
            </w:r>
            <w:r w:rsidRPr="00D37004">
              <w:rPr>
                <w:noProof/>
              </w:rPr>
              <w:t>Time Employee</w:t>
            </w:r>
          </w:p>
        </w:tc>
      </w:tr>
      <w:tr w:rsidR="00E61374" w:rsidRPr="00F92EAE" w14:paraId="2A3D40D0" w14:textId="77777777" w:rsidTr="0048407A">
        <w:tc>
          <w:tcPr>
            <w:tcW w:w="3190" w:type="dxa"/>
            <w:tcMar>
              <w:top w:w="85" w:type="dxa"/>
              <w:left w:w="57" w:type="dxa"/>
              <w:bottom w:w="85" w:type="dxa"/>
              <w:right w:w="57" w:type="dxa"/>
            </w:tcMar>
            <w:vAlign w:val="center"/>
          </w:tcPr>
          <w:p w14:paraId="49215EB8" w14:textId="0AEC4601" w:rsidR="00E61374" w:rsidRPr="00D37004" w:rsidRDefault="00E61374" w:rsidP="00E61374">
            <w:pPr>
              <w:rPr>
                <w:noProof/>
              </w:rPr>
            </w:pPr>
            <w:r w:rsidRPr="00D37004">
              <w:rPr>
                <w:noProof/>
              </w:rPr>
              <w:t>Hyperscaler</w:t>
            </w:r>
          </w:p>
        </w:tc>
        <w:tc>
          <w:tcPr>
            <w:tcW w:w="6274" w:type="dxa"/>
            <w:tcMar>
              <w:top w:w="85" w:type="dxa"/>
              <w:left w:w="57" w:type="dxa"/>
              <w:bottom w:w="85" w:type="dxa"/>
              <w:right w:w="57" w:type="dxa"/>
            </w:tcMar>
            <w:vAlign w:val="center"/>
          </w:tcPr>
          <w:p w14:paraId="203B9E86" w14:textId="2546510F" w:rsidR="00E61374" w:rsidRPr="00D37004" w:rsidRDefault="00E61374" w:rsidP="00E61374">
            <w:pPr>
              <w:rPr>
                <w:noProof/>
              </w:rPr>
            </w:pPr>
            <w:r w:rsidRPr="00D37004">
              <w:rPr>
                <w:noProof/>
              </w:rPr>
              <w:t xml:space="preserve">Hyperscalers are very large cloud </w:t>
            </w:r>
            <w:r>
              <w:rPr>
                <w:noProof/>
              </w:rPr>
              <w:t xml:space="preserve">and AI computing </w:t>
            </w:r>
            <w:r w:rsidRPr="00D37004">
              <w:rPr>
                <w:noProof/>
              </w:rPr>
              <w:t>service providers. They are characterized by their ability to provide cloud computing at very large scale. Hyperscalers include Amazon (Amazon Web Services), Microsoft (Azure), and Google (Google Cloud Platform).</w:t>
            </w:r>
          </w:p>
        </w:tc>
      </w:tr>
      <w:tr w:rsidR="00E61374" w:rsidRPr="00F92EAE" w14:paraId="3072808B" w14:textId="77777777" w:rsidTr="0048407A">
        <w:tc>
          <w:tcPr>
            <w:tcW w:w="3190" w:type="dxa"/>
            <w:tcMar>
              <w:top w:w="85" w:type="dxa"/>
              <w:left w:w="57" w:type="dxa"/>
              <w:bottom w:w="85" w:type="dxa"/>
              <w:right w:w="57" w:type="dxa"/>
            </w:tcMar>
            <w:vAlign w:val="center"/>
          </w:tcPr>
          <w:p w14:paraId="588C23BD" w14:textId="33BA0F3E" w:rsidR="00E61374" w:rsidRPr="00D37004" w:rsidRDefault="00E61374" w:rsidP="00E61374">
            <w:pPr>
              <w:rPr>
                <w:noProof/>
              </w:rPr>
            </w:pPr>
            <w:r w:rsidRPr="00D37004">
              <w:rPr>
                <w:noProof/>
              </w:rPr>
              <w:t>IA</w:t>
            </w:r>
          </w:p>
        </w:tc>
        <w:tc>
          <w:tcPr>
            <w:tcW w:w="6274" w:type="dxa"/>
            <w:tcMar>
              <w:top w:w="85" w:type="dxa"/>
              <w:left w:w="57" w:type="dxa"/>
              <w:bottom w:w="85" w:type="dxa"/>
              <w:right w:w="57" w:type="dxa"/>
            </w:tcMar>
            <w:vAlign w:val="center"/>
          </w:tcPr>
          <w:p w14:paraId="1343F09D" w14:textId="03E78097" w:rsidR="00E61374" w:rsidRPr="00D37004" w:rsidRDefault="00E61374" w:rsidP="00E61374">
            <w:pPr>
              <w:rPr>
                <w:noProof/>
              </w:rPr>
            </w:pPr>
            <w:r w:rsidRPr="00D37004">
              <w:rPr>
                <w:noProof/>
              </w:rPr>
              <w:t>Impact Assessment</w:t>
            </w:r>
          </w:p>
        </w:tc>
      </w:tr>
      <w:tr w:rsidR="00E61374" w:rsidRPr="00F92EAE" w14:paraId="12B1EE8C" w14:textId="77777777" w:rsidTr="0048407A">
        <w:tc>
          <w:tcPr>
            <w:tcW w:w="3190" w:type="dxa"/>
            <w:tcMar>
              <w:top w:w="85" w:type="dxa"/>
              <w:left w:w="57" w:type="dxa"/>
              <w:bottom w:w="85" w:type="dxa"/>
              <w:right w:w="57" w:type="dxa"/>
            </w:tcMar>
            <w:vAlign w:val="center"/>
          </w:tcPr>
          <w:p w14:paraId="0AFB9AC7" w14:textId="4F193186" w:rsidR="00E61374" w:rsidRPr="00D37004" w:rsidRDefault="00E61374" w:rsidP="00E61374">
            <w:pPr>
              <w:rPr>
                <w:noProof/>
              </w:rPr>
            </w:pPr>
            <w:r w:rsidRPr="00D37004">
              <w:rPr>
                <w:noProof/>
              </w:rPr>
              <w:t>ICT</w:t>
            </w:r>
          </w:p>
        </w:tc>
        <w:tc>
          <w:tcPr>
            <w:tcW w:w="6274" w:type="dxa"/>
            <w:tcMar>
              <w:top w:w="85" w:type="dxa"/>
              <w:left w:w="57" w:type="dxa"/>
              <w:bottom w:w="85" w:type="dxa"/>
              <w:right w:w="57" w:type="dxa"/>
            </w:tcMar>
            <w:vAlign w:val="center"/>
          </w:tcPr>
          <w:p w14:paraId="716D8C72" w14:textId="148DB228" w:rsidR="00E61374" w:rsidRPr="00D37004" w:rsidRDefault="00E61374" w:rsidP="00E61374">
            <w:pPr>
              <w:rPr>
                <w:noProof/>
              </w:rPr>
            </w:pPr>
            <w:r w:rsidRPr="00D37004">
              <w:rPr>
                <w:noProof/>
              </w:rPr>
              <w:t>Information and Communication Technology</w:t>
            </w:r>
          </w:p>
        </w:tc>
      </w:tr>
      <w:tr w:rsidR="00E61374" w:rsidRPr="00F92EAE" w14:paraId="59BF8FD4" w14:textId="77777777" w:rsidTr="0048407A">
        <w:tc>
          <w:tcPr>
            <w:tcW w:w="3190" w:type="dxa"/>
            <w:tcMar>
              <w:top w:w="85" w:type="dxa"/>
              <w:left w:w="57" w:type="dxa"/>
              <w:bottom w:w="85" w:type="dxa"/>
              <w:right w:w="57" w:type="dxa"/>
            </w:tcMar>
            <w:vAlign w:val="center"/>
          </w:tcPr>
          <w:p w14:paraId="25CDA3DB" w14:textId="24FD94EE" w:rsidR="00E61374" w:rsidRPr="00D37004" w:rsidRDefault="00E61374" w:rsidP="00E61374">
            <w:pPr>
              <w:rPr>
                <w:noProof/>
              </w:rPr>
            </w:pPr>
            <w:r w:rsidRPr="00D37004">
              <w:rPr>
                <w:noProof/>
              </w:rPr>
              <w:t>IPCEI</w:t>
            </w:r>
          </w:p>
        </w:tc>
        <w:tc>
          <w:tcPr>
            <w:tcW w:w="6274" w:type="dxa"/>
            <w:tcMar>
              <w:top w:w="85" w:type="dxa"/>
              <w:left w:w="57" w:type="dxa"/>
              <w:bottom w:w="85" w:type="dxa"/>
              <w:right w:w="57" w:type="dxa"/>
            </w:tcMar>
            <w:vAlign w:val="center"/>
          </w:tcPr>
          <w:p w14:paraId="5D13C027" w14:textId="2F472AEE" w:rsidR="00E61374" w:rsidRPr="00D37004" w:rsidRDefault="00E61374" w:rsidP="00E61374">
            <w:pPr>
              <w:rPr>
                <w:noProof/>
              </w:rPr>
            </w:pPr>
            <w:r w:rsidRPr="00D37004">
              <w:rPr>
                <w:noProof/>
              </w:rPr>
              <w:t>Important Project of Common European Interest</w:t>
            </w:r>
          </w:p>
        </w:tc>
      </w:tr>
      <w:tr w:rsidR="00E61374" w:rsidRPr="00F92EAE" w14:paraId="5031FCF7" w14:textId="77777777" w:rsidTr="0048407A">
        <w:tc>
          <w:tcPr>
            <w:tcW w:w="3190" w:type="dxa"/>
            <w:tcMar>
              <w:top w:w="85" w:type="dxa"/>
              <w:left w:w="57" w:type="dxa"/>
              <w:bottom w:w="85" w:type="dxa"/>
              <w:right w:w="57" w:type="dxa"/>
            </w:tcMar>
            <w:vAlign w:val="center"/>
          </w:tcPr>
          <w:p w14:paraId="19A9FD9F" w14:textId="28C26B38" w:rsidR="00E61374" w:rsidRPr="00D37004" w:rsidRDefault="00E61374" w:rsidP="00E61374">
            <w:pPr>
              <w:rPr>
                <w:noProof/>
              </w:rPr>
            </w:pPr>
            <w:r w:rsidRPr="00D37004">
              <w:rPr>
                <w:noProof/>
              </w:rPr>
              <w:t xml:space="preserve">MS </w:t>
            </w:r>
          </w:p>
        </w:tc>
        <w:tc>
          <w:tcPr>
            <w:tcW w:w="6274" w:type="dxa"/>
            <w:tcMar>
              <w:top w:w="85" w:type="dxa"/>
              <w:left w:w="57" w:type="dxa"/>
              <w:bottom w:w="85" w:type="dxa"/>
              <w:right w:w="57" w:type="dxa"/>
            </w:tcMar>
            <w:vAlign w:val="center"/>
          </w:tcPr>
          <w:p w14:paraId="297387EB" w14:textId="459814DE" w:rsidR="00E61374" w:rsidRPr="00D37004" w:rsidRDefault="00E61374" w:rsidP="00E61374">
            <w:pPr>
              <w:rPr>
                <w:noProof/>
              </w:rPr>
            </w:pPr>
            <w:r w:rsidRPr="00D37004">
              <w:rPr>
                <w:noProof/>
              </w:rPr>
              <w:t>Member State(s)</w:t>
            </w:r>
          </w:p>
        </w:tc>
      </w:tr>
      <w:tr w:rsidR="00E61374" w:rsidRPr="00F92EAE" w14:paraId="3DC54EAF" w14:textId="77777777" w:rsidTr="0048407A">
        <w:tc>
          <w:tcPr>
            <w:tcW w:w="3190" w:type="dxa"/>
            <w:tcMar>
              <w:top w:w="85" w:type="dxa"/>
              <w:left w:w="57" w:type="dxa"/>
              <w:bottom w:w="85" w:type="dxa"/>
              <w:right w:w="57" w:type="dxa"/>
            </w:tcMar>
            <w:vAlign w:val="center"/>
          </w:tcPr>
          <w:p w14:paraId="5C98BF29" w14:textId="5568612C" w:rsidR="00E61374" w:rsidRPr="00D37004" w:rsidRDefault="00E61374" w:rsidP="00E61374">
            <w:pPr>
              <w:rPr>
                <w:noProof/>
              </w:rPr>
            </w:pPr>
            <w:r w:rsidRPr="00D37004">
              <w:rPr>
                <w:noProof/>
              </w:rPr>
              <w:t>OSS</w:t>
            </w:r>
          </w:p>
        </w:tc>
        <w:tc>
          <w:tcPr>
            <w:tcW w:w="6274" w:type="dxa"/>
            <w:tcMar>
              <w:top w:w="85" w:type="dxa"/>
              <w:left w:w="57" w:type="dxa"/>
              <w:bottom w:w="85" w:type="dxa"/>
              <w:right w:w="57" w:type="dxa"/>
            </w:tcMar>
            <w:vAlign w:val="center"/>
          </w:tcPr>
          <w:p w14:paraId="6AEA68D9" w14:textId="2064A768" w:rsidR="00E61374" w:rsidRPr="00D37004" w:rsidRDefault="00E61374" w:rsidP="00E61374">
            <w:pPr>
              <w:rPr>
                <w:noProof/>
              </w:rPr>
            </w:pPr>
            <w:r w:rsidRPr="00D37004">
              <w:rPr>
                <w:noProof/>
              </w:rPr>
              <w:t>Open</w:t>
            </w:r>
            <w:r>
              <w:rPr>
                <w:noProof/>
              </w:rPr>
              <w:t xml:space="preserve"> </w:t>
            </w:r>
            <w:r w:rsidRPr="00D37004">
              <w:rPr>
                <w:noProof/>
              </w:rPr>
              <w:t>Source Software is software that is released under a license that allows users to view, modify, and distribute the source code.</w:t>
            </w:r>
          </w:p>
        </w:tc>
      </w:tr>
      <w:tr w:rsidR="00E61374" w:rsidRPr="00F92EAE" w14:paraId="05E14CF9" w14:textId="77777777" w:rsidTr="0048407A">
        <w:tc>
          <w:tcPr>
            <w:tcW w:w="3190" w:type="dxa"/>
            <w:tcMar>
              <w:top w:w="85" w:type="dxa"/>
              <w:left w:w="57" w:type="dxa"/>
              <w:bottom w:w="85" w:type="dxa"/>
              <w:right w:w="57" w:type="dxa"/>
            </w:tcMar>
            <w:vAlign w:val="center"/>
          </w:tcPr>
          <w:p w14:paraId="03F026B1" w14:textId="2F529C7D" w:rsidR="00E61374" w:rsidRPr="00D37004" w:rsidRDefault="00E61374" w:rsidP="00E61374">
            <w:pPr>
              <w:rPr>
                <w:noProof/>
              </w:rPr>
            </w:pPr>
            <w:r w:rsidRPr="00D37004">
              <w:rPr>
                <w:noProof/>
              </w:rPr>
              <w:t>PUE</w:t>
            </w:r>
          </w:p>
        </w:tc>
        <w:tc>
          <w:tcPr>
            <w:tcW w:w="6274" w:type="dxa"/>
            <w:tcMar>
              <w:top w:w="85" w:type="dxa"/>
              <w:left w:w="57" w:type="dxa"/>
              <w:bottom w:w="85" w:type="dxa"/>
              <w:right w:w="57" w:type="dxa"/>
            </w:tcMar>
            <w:vAlign w:val="center"/>
          </w:tcPr>
          <w:p w14:paraId="2F08F665" w14:textId="559BFA91" w:rsidR="00E61374" w:rsidRPr="00D37004" w:rsidRDefault="00E61374" w:rsidP="00E61374">
            <w:pPr>
              <w:rPr>
                <w:noProof/>
              </w:rPr>
            </w:pPr>
            <w:r w:rsidRPr="00D37004">
              <w:rPr>
                <w:noProof/>
              </w:rPr>
              <w:t>Power Usage Effectiveness, or PUE, is a metric used to measure the energy efficiency of data centres. It is defined as the ratio of total facility energy to the energy used by IT equipment. A PUE of 1</w:t>
            </w:r>
            <w:r w:rsidR="008A0984">
              <w:rPr>
                <w:noProof/>
              </w:rPr>
              <w:t>.</w:t>
            </w:r>
            <w:r w:rsidRPr="00D37004">
              <w:rPr>
                <w:noProof/>
              </w:rPr>
              <w:t>2 implies that for each unit of energy spent in powering IT equipment, 0</w:t>
            </w:r>
            <w:r w:rsidR="008A0984">
              <w:rPr>
                <w:noProof/>
              </w:rPr>
              <w:t>.</w:t>
            </w:r>
            <w:r w:rsidRPr="00D37004">
              <w:rPr>
                <w:noProof/>
              </w:rPr>
              <w:t>2 units are spent for non-IT equipment such as cooling. A lower PUE indicates better energy efficiency, as it means less energy is being used for non-IT purposes.</w:t>
            </w:r>
          </w:p>
        </w:tc>
      </w:tr>
      <w:tr w:rsidR="00E61374" w:rsidRPr="00F92EAE" w14:paraId="5A474F7B" w14:textId="77777777" w:rsidTr="0048407A">
        <w:tc>
          <w:tcPr>
            <w:tcW w:w="3190" w:type="dxa"/>
            <w:tcMar>
              <w:top w:w="85" w:type="dxa"/>
              <w:left w:w="57" w:type="dxa"/>
              <w:bottom w:w="85" w:type="dxa"/>
              <w:right w:w="57" w:type="dxa"/>
            </w:tcMar>
            <w:vAlign w:val="center"/>
          </w:tcPr>
          <w:p w14:paraId="2D9B56D9" w14:textId="7CC0FA8C" w:rsidR="00E61374" w:rsidRPr="00D37004" w:rsidRDefault="00E61374" w:rsidP="00E61374">
            <w:pPr>
              <w:rPr>
                <w:noProof/>
              </w:rPr>
            </w:pPr>
            <w:r w:rsidRPr="00D37004">
              <w:rPr>
                <w:noProof/>
              </w:rPr>
              <w:t>Simpl</w:t>
            </w:r>
          </w:p>
        </w:tc>
        <w:tc>
          <w:tcPr>
            <w:tcW w:w="6274" w:type="dxa"/>
            <w:tcMar>
              <w:top w:w="85" w:type="dxa"/>
              <w:left w:w="57" w:type="dxa"/>
              <w:bottom w:w="85" w:type="dxa"/>
              <w:right w:w="57" w:type="dxa"/>
            </w:tcMar>
            <w:vAlign w:val="center"/>
          </w:tcPr>
          <w:p w14:paraId="3B5F8392" w14:textId="1258B709" w:rsidR="00E61374" w:rsidRPr="00D37004" w:rsidRDefault="00E61374" w:rsidP="00E61374">
            <w:pPr>
              <w:rPr>
                <w:noProof/>
              </w:rPr>
            </w:pPr>
            <w:r w:rsidRPr="00D37004">
              <w:rPr>
                <w:noProof/>
              </w:rPr>
              <w:t>Smart middleware platform for data spaces</w:t>
            </w:r>
          </w:p>
        </w:tc>
      </w:tr>
      <w:tr w:rsidR="00E61374" w:rsidRPr="00F92EAE" w14:paraId="623C6DA3" w14:textId="77777777" w:rsidTr="0048407A">
        <w:tc>
          <w:tcPr>
            <w:tcW w:w="3190" w:type="dxa"/>
            <w:tcMar>
              <w:top w:w="85" w:type="dxa"/>
              <w:left w:w="57" w:type="dxa"/>
              <w:bottom w:w="85" w:type="dxa"/>
              <w:right w:w="57" w:type="dxa"/>
            </w:tcMar>
            <w:vAlign w:val="center"/>
          </w:tcPr>
          <w:p w14:paraId="7AF00B30" w14:textId="4346EE11" w:rsidR="00E61374" w:rsidRPr="00D37004" w:rsidRDefault="00E61374" w:rsidP="00E61374">
            <w:pPr>
              <w:rPr>
                <w:noProof/>
              </w:rPr>
            </w:pPr>
            <w:r w:rsidRPr="00D37004">
              <w:rPr>
                <w:noProof/>
              </w:rPr>
              <w:t>SME(s)</w:t>
            </w:r>
          </w:p>
        </w:tc>
        <w:tc>
          <w:tcPr>
            <w:tcW w:w="6274" w:type="dxa"/>
            <w:tcMar>
              <w:top w:w="85" w:type="dxa"/>
              <w:left w:w="57" w:type="dxa"/>
              <w:bottom w:w="85" w:type="dxa"/>
              <w:right w:w="57" w:type="dxa"/>
            </w:tcMar>
            <w:vAlign w:val="center"/>
          </w:tcPr>
          <w:p w14:paraId="65EA228D" w14:textId="1327D294" w:rsidR="00E61374" w:rsidRPr="00D37004" w:rsidRDefault="00E61374" w:rsidP="00E61374">
            <w:pPr>
              <w:rPr>
                <w:noProof/>
              </w:rPr>
            </w:pPr>
            <w:r w:rsidRPr="00D37004">
              <w:rPr>
                <w:noProof/>
              </w:rPr>
              <w:t>Small- and Medium-sized Enterprise(s)</w:t>
            </w:r>
          </w:p>
        </w:tc>
      </w:tr>
      <w:tr w:rsidR="00E61374" w:rsidRPr="00F92EAE" w14:paraId="397F1063" w14:textId="77777777" w:rsidTr="0048407A">
        <w:tc>
          <w:tcPr>
            <w:tcW w:w="3190" w:type="dxa"/>
            <w:tcMar>
              <w:top w:w="85" w:type="dxa"/>
              <w:left w:w="57" w:type="dxa"/>
              <w:bottom w:w="85" w:type="dxa"/>
              <w:right w:w="57" w:type="dxa"/>
            </w:tcMar>
            <w:vAlign w:val="center"/>
          </w:tcPr>
          <w:p w14:paraId="41942E34" w14:textId="5AA48173" w:rsidR="00E61374" w:rsidRPr="00D37004" w:rsidRDefault="00E61374" w:rsidP="00E61374">
            <w:pPr>
              <w:rPr>
                <w:noProof/>
              </w:rPr>
            </w:pPr>
            <w:r w:rsidRPr="00D37004">
              <w:rPr>
                <w:noProof/>
              </w:rPr>
              <w:t>TFEU</w:t>
            </w:r>
          </w:p>
        </w:tc>
        <w:tc>
          <w:tcPr>
            <w:tcW w:w="6274" w:type="dxa"/>
            <w:tcMar>
              <w:top w:w="85" w:type="dxa"/>
              <w:left w:w="57" w:type="dxa"/>
              <w:bottom w:w="85" w:type="dxa"/>
              <w:right w:w="57" w:type="dxa"/>
            </w:tcMar>
            <w:vAlign w:val="center"/>
          </w:tcPr>
          <w:p w14:paraId="6CBD6957" w14:textId="740710A9" w:rsidR="00E61374" w:rsidRPr="00D37004" w:rsidRDefault="00E61374" w:rsidP="00E61374">
            <w:pPr>
              <w:rPr>
                <w:noProof/>
              </w:rPr>
            </w:pPr>
            <w:r w:rsidRPr="00D37004">
              <w:rPr>
                <w:noProof/>
              </w:rPr>
              <w:t>Treaty on the Functioning of the European Union</w:t>
            </w:r>
          </w:p>
        </w:tc>
      </w:tr>
      <w:tr w:rsidR="00E61374" w:rsidRPr="00F92EAE" w14:paraId="52D5B6F6" w14:textId="77777777" w:rsidTr="0048407A">
        <w:tc>
          <w:tcPr>
            <w:tcW w:w="3190" w:type="dxa"/>
            <w:tcMar>
              <w:top w:w="85" w:type="dxa"/>
              <w:left w:w="57" w:type="dxa"/>
              <w:bottom w:w="85" w:type="dxa"/>
              <w:right w:w="57" w:type="dxa"/>
            </w:tcMar>
            <w:vAlign w:val="center"/>
          </w:tcPr>
          <w:p w14:paraId="12A1E9DF" w14:textId="6BD8EEFB" w:rsidR="00E61374" w:rsidRPr="00D37004" w:rsidRDefault="00E61374" w:rsidP="00E61374">
            <w:pPr>
              <w:rPr>
                <w:noProof/>
              </w:rPr>
            </w:pPr>
            <w:r w:rsidRPr="00D37004">
              <w:rPr>
                <w:noProof/>
              </w:rPr>
              <w:t>TS</w:t>
            </w:r>
          </w:p>
        </w:tc>
        <w:tc>
          <w:tcPr>
            <w:tcW w:w="6274" w:type="dxa"/>
            <w:tcMar>
              <w:top w:w="85" w:type="dxa"/>
              <w:left w:w="57" w:type="dxa"/>
              <w:bottom w:w="85" w:type="dxa"/>
              <w:right w:w="57" w:type="dxa"/>
            </w:tcMar>
            <w:vAlign w:val="center"/>
          </w:tcPr>
          <w:p w14:paraId="6895B88C" w14:textId="7C54F76F" w:rsidR="00E61374" w:rsidRPr="00D37004" w:rsidRDefault="00E61374" w:rsidP="00E61374">
            <w:pPr>
              <w:rPr>
                <w:noProof/>
              </w:rPr>
            </w:pPr>
            <w:r w:rsidRPr="00D37004">
              <w:rPr>
                <w:noProof/>
              </w:rPr>
              <w:t>Technical Specification</w:t>
            </w:r>
          </w:p>
        </w:tc>
      </w:tr>
      <w:tr w:rsidR="00E61374" w:rsidRPr="00F92EAE" w14:paraId="5639DE3C" w14:textId="77777777" w:rsidTr="0048407A">
        <w:tc>
          <w:tcPr>
            <w:tcW w:w="3190" w:type="dxa"/>
            <w:tcMar>
              <w:top w:w="85" w:type="dxa"/>
              <w:left w:w="57" w:type="dxa"/>
              <w:bottom w:w="85" w:type="dxa"/>
              <w:right w:w="57" w:type="dxa"/>
            </w:tcMar>
            <w:vAlign w:val="center"/>
          </w:tcPr>
          <w:p w14:paraId="67F3CC8D" w14:textId="050F9445" w:rsidR="00E61374" w:rsidRPr="00D37004" w:rsidRDefault="00E61374" w:rsidP="00E61374">
            <w:pPr>
              <w:rPr>
                <w:noProof/>
              </w:rPr>
            </w:pPr>
            <w:r w:rsidRPr="00D37004">
              <w:rPr>
                <w:noProof/>
              </w:rPr>
              <w:t>TSO</w:t>
            </w:r>
          </w:p>
        </w:tc>
        <w:tc>
          <w:tcPr>
            <w:tcW w:w="6274" w:type="dxa"/>
            <w:tcMar>
              <w:top w:w="85" w:type="dxa"/>
              <w:left w:w="57" w:type="dxa"/>
              <w:bottom w:w="85" w:type="dxa"/>
              <w:right w:w="57" w:type="dxa"/>
            </w:tcMar>
            <w:vAlign w:val="center"/>
          </w:tcPr>
          <w:p w14:paraId="0EFB3556" w14:textId="416D73D6" w:rsidR="00E61374" w:rsidRPr="00D37004" w:rsidRDefault="00E61374" w:rsidP="00E61374">
            <w:pPr>
              <w:rPr>
                <w:noProof/>
              </w:rPr>
            </w:pPr>
            <w:r w:rsidRPr="00D37004">
              <w:rPr>
                <w:noProof/>
              </w:rPr>
              <w:t>Transmission System Operators, or TSOs, manage the high-voltage transmission networks that transport electricity over long distances, ensuring stability and reliability across regions. Above a given size, Data Centres connect to the grid directly through TSOs. See also DSO.</w:t>
            </w:r>
          </w:p>
        </w:tc>
      </w:tr>
    </w:tbl>
    <w:p w14:paraId="6D8EA8ED" w14:textId="77777777" w:rsidR="006B5183" w:rsidRDefault="006B5183" w:rsidP="000E3086">
      <w:pPr>
        <w:rPr>
          <w:noProof/>
        </w:rPr>
        <w:sectPr w:rsidR="006B5183" w:rsidSect="00B46D2C">
          <w:headerReference w:type="even" r:id="rId18"/>
          <w:headerReference w:type="default" r:id="rId19"/>
          <w:footerReference w:type="even" r:id="rId20"/>
          <w:footerReference w:type="default" r:id="rId21"/>
          <w:headerReference w:type="first" r:id="rId22"/>
          <w:footerReference w:type="first" r:id="rId23"/>
          <w:pgSz w:w="11906" w:h="16838" w:code="9"/>
          <w:pgMar w:top="1021" w:right="2125" w:bottom="1021" w:left="1276" w:header="567" w:footer="458" w:gutter="0"/>
          <w:pgNumType w:fmt="lowerRoman" w:start="1"/>
          <w:cols w:space="720"/>
          <w:noEndnote/>
          <w:docGrid w:linePitch="326"/>
        </w:sectPr>
      </w:pPr>
    </w:p>
    <w:p w14:paraId="473747AA" w14:textId="77777777" w:rsidR="006B087E" w:rsidRPr="00F92EAE" w:rsidRDefault="006B087E" w:rsidP="000E3086">
      <w:pPr>
        <w:pStyle w:val="Heading1"/>
        <w:rPr>
          <w:noProof/>
        </w:rPr>
      </w:pPr>
      <w:bookmarkStart w:id="2" w:name="_Toc230792719"/>
      <w:r w:rsidRPr="00F92EAE">
        <w:rPr>
          <w:noProof/>
        </w:rPr>
        <w:t>Introduction: Political and legal context</w:t>
      </w:r>
      <w:bookmarkEnd w:id="2"/>
    </w:p>
    <w:p w14:paraId="547E9A0E" w14:textId="76618E56" w:rsidR="00E61374" w:rsidRPr="000127D2" w:rsidRDefault="00E61374" w:rsidP="00E61374">
      <w:pPr>
        <w:rPr>
          <w:noProof/>
        </w:rPr>
      </w:pPr>
      <w:r w:rsidRPr="294AF3FA">
        <w:rPr>
          <w:noProof/>
        </w:rPr>
        <w:t xml:space="preserve">Today, cloud computing and </w:t>
      </w:r>
      <w:r w:rsidR="00CB256B">
        <w:rPr>
          <w:noProof/>
        </w:rPr>
        <w:t>AI</w:t>
      </w:r>
      <w:r w:rsidRPr="294AF3FA">
        <w:rPr>
          <w:noProof/>
        </w:rPr>
        <w:t xml:space="preserve"> are more than enablers of innovation. They have become the driving forces reshaping industry, public service, and daily life in the EU. The c</w:t>
      </w:r>
      <w:r>
        <w:rPr>
          <w:noProof/>
        </w:rPr>
        <w:t xml:space="preserve">loud provides the backbone necessary for all to access and deploy digital solutions efficiently, while AI unlocks unprecedented opportunities for automation, data-driven decision-making, and personalised services. A strategic approach to their uptake is thus essential for a competitive, secure, sovereign and future-ready EU. </w:t>
      </w:r>
      <w:r w:rsidRPr="294AF3FA">
        <w:rPr>
          <w:noProof/>
        </w:rPr>
        <w:t xml:space="preserve">Annex 8 </w:t>
      </w:r>
      <w:r w:rsidR="00CB256B">
        <w:rPr>
          <w:noProof/>
        </w:rPr>
        <w:t>explains</w:t>
      </w:r>
      <w:r w:rsidRPr="294AF3FA">
        <w:rPr>
          <w:noProof/>
        </w:rPr>
        <w:t xml:space="preserve"> the technical terms used </w:t>
      </w:r>
      <w:r>
        <w:rPr>
          <w:noProof/>
        </w:rPr>
        <w:t>in</w:t>
      </w:r>
      <w:r w:rsidRPr="294AF3FA">
        <w:rPr>
          <w:noProof/>
        </w:rPr>
        <w:t xml:space="preserve"> this assessment such as the notion of cloud and AI computing services, which, </w:t>
      </w:r>
      <w:r>
        <w:rPr>
          <w:noProof/>
        </w:rPr>
        <w:t>in</w:t>
      </w:r>
      <w:r w:rsidRPr="294AF3FA">
        <w:rPr>
          <w:noProof/>
        </w:rPr>
        <w:t xml:space="preserve"> the </w:t>
      </w:r>
      <w:r>
        <w:rPr>
          <w:noProof/>
        </w:rPr>
        <w:t>context</w:t>
      </w:r>
      <w:r w:rsidRPr="294AF3FA">
        <w:rPr>
          <w:noProof/>
        </w:rPr>
        <w:t xml:space="preserve"> of this assessment, means offering computing </w:t>
      </w:r>
      <w:r w:rsidR="00B67D63">
        <w:rPr>
          <w:noProof/>
        </w:rPr>
        <w:t>resources</w:t>
      </w:r>
      <w:r>
        <w:rPr>
          <w:noProof/>
        </w:rPr>
        <w:t xml:space="preserve"> for the running (inference) of AI systems.</w:t>
      </w:r>
    </w:p>
    <w:p w14:paraId="17E8F08B" w14:textId="77777777" w:rsidR="00E61374" w:rsidRPr="00D37004" w:rsidRDefault="00E61374" w:rsidP="00E61374">
      <w:pPr>
        <w:pStyle w:val="Heading2"/>
        <w:rPr>
          <w:noProof/>
        </w:rPr>
      </w:pPr>
      <w:bookmarkStart w:id="3" w:name="_Toc214902932"/>
      <w:bookmarkStart w:id="4" w:name="_Toc216084056"/>
      <w:bookmarkStart w:id="5" w:name="_Toc214902933"/>
      <w:bookmarkStart w:id="6" w:name="_Toc216084057"/>
      <w:bookmarkStart w:id="7" w:name="_Toc216129255"/>
      <w:bookmarkStart w:id="8" w:name="_Toc230792720"/>
      <w:bookmarkEnd w:id="3"/>
      <w:bookmarkEnd w:id="4"/>
      <w:bookmarkEnd w:id="5"/>
      <w:bookmarkEnd w:id="6"/>
      <w:r w:rsidRPr="002B445F">
        <w:rPr>
          <w:noProof/>
        </w:rPr>
        <w:t>Political</w:t>
      </w:r>
      <w:r w:rsidRPr="00D37004">
        <w:rPr>
          <w:noProof/>
        </w:rPr>
        <w:t xml:space="preserve"> context</w:t>
      </w:r>
      <w:bookmarkEnd w:id="7"/>
      <w:bookmarkEnd w:id="8"/>
    </w:p>
    <w:p w14:paraId="5E60B5B9" w14:textId="7A0F177A" w:rsidR="00E61374" w:rsidRPr="00D37004" w:rsidRDefault="00E61374" w:rsidP="00E61374">
      <w:pPr>
        <w:rPr>
          <w:noProof/>
        </w:rPr>
      </w:pPr>
      <w:r w:rsidRPr="00D37004">
        <w:rPr>
          <w:noProof/>
        </w:rPr>
        <w:t>The</w:t>
      </w:r>
      <w:r w:rsidRPr="00D37004" w:rsidDel="00424F8D">
        <w:rPr>
          <w:noProof/>
        </w:rPr>
        <w:t xml:space="preserve"> </w:t>
      </w:r>
      <w:r w:rsidRPr="00D37004">
        <w:rPr>
          <w:noProof/>
        </w:rPr>
        <w:t>Draghi report on the future of European competitiveness</w:t>
      </w:r>
      <w:r w:rsidRPr="00D37004">
        <w:rPr>
          <w:rStyle w:val="EndnoteReference"/>
          <w:noProof/>
        </w:rPr>
        <w:endnoteReference w:id="2"/>
      </w:r>
      <w:r w:rsidRPr="00D37004">
        <w:rPr>
          <w:noProof/>
        </w:rPr>
        <w:t xml:space="preserve"> recognised the importance of sufficient access to cloud services and of increasing computational capacity in the EU, particularly for the EU’s ability to develop and adopt AI</w:t>
      </w:r>
      <w:r w:rsidRPr="00D37004">
        <w:rPr>
          <w:rStyle w:val="EndnoteReference"/>
          <w:noProof/>
        </w:rPr>
        <w:endnoteReference w:id="3"/>
      </w:r>
      <w:r w:rsidRPr="00D37004">
        <w:rPr>
          <w:noProof/>
        </w:rPr>
        <w:t xml:space="preserve">. The Competitiveness Compass calls for </w:t>
      </w:r>
      <w:r w:rsidR="005762C2">
        <w:rPr>
          <w:noProof/>
        </w:rPr>
        <w:t>the EU</w:t>
      </w:r>
      <w:r w:rsidRPr="00D37004">
        <w:rPr>
          <w:noProof/>
        </w:rPr>
        <w:t xml:space="preserve"> to </w:t>
      </w:r>
      <w:r w:rsidRPr="00D37004" w:rsidDel="008F34DB">
        <w:rPr>
          <w:noProof/>
        </w:rPr>
        <w:t xml:space="preserve">provide </w:t>
      </w:r>
      <w:r w:rsidRPr="00D37004">
        <w:rPr>
          <w:noProof/>
        </w:rPr>
        <w:t>sufficient cloud and data infrastructure required for AI leadership, as enablers of competitiveness</w:t>
      </w:r>
      <w:r w:rsidRPr="00D37004">
        <w:rPr>
          <w:rStyle w:val="EndnoteReference"/>
          <w:noProof/>
        </w:rPr>
        <w:endnoteReference w:id="4"/>
      </w:r>
      <w:r w:rsidRPr="00D37004">
        <w:rPr>
          <w:noProof/>
        </w:rPr>
        <w:t>. The Economic Security risk assessment on AI technologies identified dependencies on a limited number of foreign cloud providers and frontier AI providers as significant vulnerabilities in the European AI ecosystem</w:t>
      </w:r>
      <w:r w:rsidRPr="00D37004">
        <w:rPr>
          <w:rStyle w:val="EndnoteReference"/>
          <w:noProof/>
        </w:rPr>
        <w:endnoteReference w:id="5"/>
      </w:r>
      <w:r w:rsidRPr="00D37004">
        <w:rPr>
          <w:noProof/>
        </w:rPr>
        <w:t xml:space="preserve">. The Cloud and AI Development Act </w:t>
      </w:r>
      <w:r>
        <w:rPr>
          <w:noProof/>
        </w:rPr>
        <w:t>(CADA)</w:t>
      </w:r>
      <w:r w:rsidRPr="00D37004">
        <w:rPr>
          <w:noProof/>
        </w:rPr>
        <w:t xml:space="preserve"> is </w:t>
      </w:r>
      <w:r w:rsidR="00706029">
        <w:rPr>
          <w:noProof/>
        </w:rPr>
        <w:t>a</w:t>
      </w:r>
      <w:r w:rsidRPr="00D37004">
        <w:rPr>
          <w:noProof/>
        </w:rPr>
        <w:t xml:space="preserve"> headline digital policy initiative listed in the Mission letter to </w:t>
      </w:r>
      <w:r>
        <w:rPr>
          <w:noProof/>
        </w:rPr>
        <w:t>EVP</w:t>
      </w:r>
      <w:r w:rsidRPr="00D37004">
        <w:rPr>
          <w:noProof/>
        </w:rPr>
        <w:t xml:space="preserve"> Virkkunen, alongside a single EU-wide cloud policy for public administrations and public procurement</w:t>
      </w:r>
      <w:r w:rsidRPr="00D37004">
        <w:rPr>
          <w:rStyle w:val="EndnoteReference"/>
          <w:noProof/>
        </w:rPr>
        <w:endnoteReference w:id="6"/>
      </w:r>
      <w:r w:rsidRPr="00D37004">
        <w:rPr>
          <w:noProof/>
        </w:rPr>
        <w:t xml:space="preserve">. </w:t>
      </w:r>
      <w:r w:rsidRPr="00D37004" w:rsidDel="007F3254">
        <w:rPr>
          <w:noProof/>
        </w:rPr>
        <w:t>The Competitiveness Compass calls for action in Europe to provide sufficient cloud and data infrastructure required for AI leadership, as enablers of competitiveness</w:t>
      </w:r>
      <w:r w:rsidRPr="00D37004" w:rsidDel="007F3254">
        <w:rPr>
          <w:rStyle w:val="EndnoteReference"/>
          <w:noProof/>
        </w:rPr>
        <w:endnoteReference w:id="7"/>
      </w:r>
      <w:r w:rsidRPr="00D37004" w:rsidDel="007F3254">
        <w:rPr>
          <w:noProof/>
        </w:rPr>
        <w:t xml:space="preserve">. </w:t>
      </w:r>
      <w:r w:rsidRPr="00D37004">
        <w:rPr>
          <w:noProof/>
        </w:rPr>
        <w:t>Furthermore, the AI Continent Action Plan</w:t>
      </w:r>
      <w:r w:rsidRPr="00D37004">
        <w:rPr>
          <w:rStyle w:val="EndnoteReference"/>
          <w:noProof/>
        </w:rPr>
        <w:endnoteReference w:id="8"/>
      </w:r>
      <w:r w:rsidRPr="00D37004">
        <w:rPr>
          <w:noProof/>
        </w:rPr>
        <w:t xml:space="preserve"> announces the goal of tripling the EU’s data centre </w:t>
      </w:r>
      <w:r w:rsidR="007177B6">
        <w:rPr>
          <w:noProof/>
        </w:rPr>
        <w:t>(DC)</w:t>
      </w:r>
      <w:r w:rsidRPr="00D37004">
        <w:rPr>
          <w:noProof/>
        </w:rPr>
        <w:t xml:space="preserve"> capacity within the next five to seven years and emphasi</w:t>
      </w:r>
      <w:r>
        <w:rPr>
          <w:noProof/>
        </w:rPr>
        <w:t>s</w:t>
      </w:r>
      <w:r w:rsidRPr="00D37004">
        <w:rPr>
          <w:noProof/>
        </w:rPr>
        <w:t>es that sovereignty and operational autonomy ne</w:t>
      </w:r>
      <w:r w:rsidR="003B5958">
        <w:rPr>
          <w:noProof/>
        </w:rPr>
        <w:t>ed</w:t>
      </w:r>
      <w:r w:rsidRPr="00D37004">
        <w:rPr>
          <w:noProof/>
        </w:rPr>
        <w:t xml:space="preserve"> a greater reliance on highly secured EU-based cloud capacity. The Digital Decade Policy Programme</w:t>
      </w:r>
      <w:r>
        <w:rPr>
          <w:noProof/>
        </w:rPr>
        <w:t xml:space="preserve"> (DDPP)</w:t>
      </w:r>
      <w:r w:rsidRPr="00D37004">
        <w:rPr>
          <w:noProof/>
        </w:rPr>
        <w:t xml:space="preserve"> sets the target of 75% of EU businesses adopting cloud services and of 10</w:t>
      </w:r>
      <w:r>
        <w:rPr>
          <w:noProof/>
        </w:rPr>
        <w:t xml:space="preserve"> </w:t>
      </w:r>
      <w:r w:rsidRPr="00D37004">
        <w:rPr>
          <w:noProof/>
        </w:rPr>
        <w:t>000 edge nodes being rolled out by 2030</w:t>
      </w:r>
      <w:r w:rsidRPr="00D37004">
        <w:rPr>
          <w:rStyle w:val="EndnoteReference"/>
          <w:noProof/>
        </w:rPr>
        <w:endnoteReference w:id="9"/>
      </w:r>
      <w:r w:rsidRPr="00D37004">
        <w:rPr>
          <w:noProof/>
        </w:rPr>
        <w:t>.</w:t>
      </w:r>
    </w:p>
    <w:p w14:paraId="3F286102" w14:textId="6F47FD4E" w:rsidR="00E61374" w:rsidRPr="00D37004" w:rsidRDefault="00E61374" w:rsidP="00E61374">
      <w:pPr>
        <w:rPr>
          <w:noProof/>
        </w:rPr>
      </w:pPr>
      <w:r w:rsidRPr="00D37004">
        <w:rPr>
          <w:noProof/>
        </w:rPr>
        <w:t xml:space="preserve">The </w:t>
      </w:r>
      <w:r w:rsidRPr="00D37004">
        <w:rPr>
          <w:b/>
          <w:noProof/>
        </w:rPr>
        <w:t>European Parliament</w:t>
      </w:r>
      <w:r w:rsidRPr="0048582B">
        <w:rPr>
          <w:noProof/>
        </w:rPr>
        <w:t>’s</w:t>
      </w:r>
      <w:r w:rsidRPr="00D37004">
        <w:rPr>
          <w:noProof/>
        </w:rPr>
        <w:t xml:space="preserve"> own-initiative report </w:t>
      </w:r>
      <w:r>
        <w:rPr>
          <w:noProof/>
        </w:rPr>
        <w:t>(tabled for plenary since June 2025)</w:t>
      </w:r>
      <w:r w:rsidRPr="00D37004">
        <w:rPr>
          <w:noProof/>
        </w:rPr>
        <w:t xml:space="preserve"> on European technological sovereignty and digital infrastructure voices concerns about the EU's excessive dependence on non-European actors in critical areas like cloud infrastructure. It calls on the Commission to introduce the CADA to strengthen European data infrastructure, promote European cloud </w:t>
      </w:r>
      <w:r w:rsidR="006A773C">
        <w:rPr>
          <w:noProof/>
        </w:rPr>
        <w:t xml:space="preserve">service </w:t>
      </w:r>
      <w:r w:rsidRPr="00D37004">
        <w:rPr>
          <w:noProof/>
        </w:rPr>
        <w:t>providers</w:t>
      </w:r>
      <w:r w:rsidR="006A773C">
        <w:rPr>
          <w:noProof/>
        </w:rPr>
        <w:t xml:space="preserve"> (CSP)</w:t>
      </w:r>
      <w:r w:rsidRPr="00D37004">
        <w:rPr>
          <w:noProof/>
        </w:rPr>
        <w:t xml:space="preserve">, build a European </w:t>
      </w:r>
      <w:r>
        <w:rPr>
          <w:noProof/>
        </w:rPr>
        <w:t>s</w:t>
      </w:r>
      <w:r w:rsidRPr="00D37004">
        <w:rPr>
          <w:noProof/>
        </w:rPr>
        <w:t xml:space="preserve">ingle </w:t>
      </w:r>
      <w:r>
        <w:rPr>
          <w:noProof/>
        </w:rPr>
        <w:t>m</w:t>
      </w:r>
      <w:r w:rsidRPr="00D37004">
        <w:rPr>
          <w:noProof/>
        </w:rPr>
        <w:t xml:space="preserve">arket for cloud and AI, </w:t>
      </w:r>
      <w:r>
        <w:rPr>
          <w:noProof/>
        </w:rPr>
        <w:t xml:space="preserve">and </w:t>
      </w:r>
      <w:r w:rsidRPr="00D37004">
        <w:rPr>
          <w:noProof/>
        </w:rPr>
        <w:t>propose a definition for sovereign cloud and its scope of application</w:t>
      </w:r>
      <w:r w:rsidRPr="00D37004">
        <w:rPr>
          <w:rStyle w:val="EndnoteReference"/>
          <w:noProof/>
        </w:rPr>
        <w:endnoteReference w:id="10"/>
      </w:r>
      <w:r w:rsidRPr="00D37004">
        <w:rPr>
          <w:noProof/>
        </w:rPr>
        <w:t xml:space="preserve">. </w:t>
      </w:r>
      <w:r>
        <w:rPr>
          <w:noProof/>
        </w:rPr>
        <w:t xml:space="preserve">In its conclusions of December 2025 on European Competitiveness in the Digital Decade, the </w:t>
      </w:r>
      <w:r>
        <w:rPr>
          <w:b/>
          <w:bCs/>
          <w:noProof/>
        </w:rPr>
        <w:t xml:space="preserve">Council </w:t>
      </w:r>
      <w:r>
        <w:rPr>
          <w:noProof/>
        </w:rPr>
        <w:t xml:space="preserve">calls for CADA to include </w:t>
      </w:r>
      <w:r w:rsidRPr="00E97AEB">
        <w:rPr>
          <w:i/>
          <w:noProof/>
        </w:rPr>
        <w:t>common criteria for sovereign cloud services, allowing for addressing market transparency and risks associated with dependencies, including extraterritorial effects of legislation adopted by third countries for highly critical use cases</w:t>
      </w:r>
      <w:r>
        <w:rPr>
          <w:rStyle w:val="EndnoteReference"/>
          <w:noProof/>
        </w:rPr>
        <w:endnoteReference w:id="11"/>
      </w:r>
      <w:r w:rsidRPr="00934FF0">
        <w:rPr>
          <w:noProof/>
        </w:rPr>
        <w:t>.</w:t>
      </w:r>
    </w:p>
    <w:p w14:paraId="0B1E6BA9" w14:textId="1760601B" w:rsidR="00E61374" w:rsidRPr="00D37004" w:rsidRDefault="00E61374" w:rsidP="00E61374">
      <w:pPr>
        <w:rPr>
          <w:noProof/>
        </w:rPr>
      </w:pPr>
      <w:r w:rsidRPr="00D37004">
        <w:rPr>
          <w:noProof/>
        </w:rPr>
        <w:t xml:space="preserve">Several non-EU countries have adopted policy initiatives to develop AI computing capacity, including </w:t>
      </w:r>
      <w:r w:rsidR="007177B6">
        <w:rPr>
          <w:noProof/>
        </w:rPr>
        <w:t>DCs</w:t>
      </w:r>
      <w:r w:rsidRPr="00D37004">
        <w:rPr>
          <w:noProof/>
        </w:rPr>
        <w:t xml:space="preserve">. In the </w:t>
      </w:r>
      <w:r w:rsidRPr="00D37004">
        <w:rPr>
          <w:b/>
          <w:noProof/>
        </w:rPr>
        <w:t>US</w:t>
      </w:r>
      <w:r w:rsidRPr="00D37004">
        <w:rPr>
          <w:noProof/>
        </w:rPr>
        <w:t>, building on a long tradition of supporting their cloud sector with policies</w:t>
      </w:r>
      <w:r w:rsidRPr="00D37004">
        <w:rPr>
          <w:rStyle w:val="EndnoteReference"/>
          <w:noProof/>
        </w:rPr>
        <w:endnoteReference w:id="12"/>
      </w:r>
      <w:r w:rsidRPr="00D37004">
        <w:rPr>
          <w:noProof/>
        </w:rPr>
        <w:t xml:space="preserve"> and large public contracts</w:t>
      </w:r>
      <w:r w:rsidRPr="00D37004">
        <w:rPr>
          <w:rStyle w:val="EndnoteReference"/>
          <w:noProof/>
        </w:rPr>
        <w:endnoteReference w:id="13"/>
      </w:r>
      <w:r w:rsidRPr="00D37004">
        <w:rPr>
          <w:noProof/>
        </w:rPr>
        <w:t>, the July 2025 AI Action Plan</w:t>
      </w:r>
      <w:r w:rsidRPr="00D37004">
        <w:rPr>
          <w:rStyle w:val="EndnoteReference"/>
          <w:noProof/>
        </w:rPr>
        <w:endnoteReference w:id="14"/>
      </w:r>
      <w:r w:rsidRPr="00D37004">
        <w:rPr>
          <w:noProof/>
        </w:rPr>
        <w:t xml:space="preserve"> massively boosts US </w:t>
      </w:r>
      <w:r w:rsidR="00797E2A">
        <w:rPr>
          <w:noProof/>
        </w:rPr>
        <w:t>DC</w:t>
      </w:r>
      <w:r w:rsidRPr="00D37004">
        <w:rPr>
          <w:noProof/>
        </w:rPr>
        <w:t xml:space="preserve"> capacity and cloud services. An Executive Order on accelerating federal permitting of </w:t>
      </w:r>
      <w:r w:rsidR="000436CB">
        <w:rPr>
          <w:noProof/>
        </w:rPr>
        <w:t>DC</w:t>
      </w:r>
      <w:r w:rsidRPr="00D37004">
        <w:rPr>
          <w:noProof/>
        </w:rPr>
        <w:t xml:space="preserve"> infrastructure</w:t>
      </w:r>
      <w:r w:rsidRPr="00D37004">
        <w:rPr>
          <w:rStyle w:val="EndnoteReference"/>
          <w:noProof/>
        </w:rPr>
        <w:endnoteReference w:id="15"/>
      </w:r>
      <w:r w:rsidRPr="00D37004">
        <w:rPr>
          <w:noProof/>
        </w:rPr>
        <w:t xml:space="preserve"> establishes nation-wide fast-track procedures, lowers environmental protections, and makes federal land available for </w:t>
      </w:r>
      <w:r w:rsidR="00797E2A">
        <w:rPr>
          <w:noProof/>
        </w:rPr>
        <w:t>DC</w:t>
      </w:r>
      <w:r w:rsidRPr="00D37004">
        <w:rPr>
          <w:noProof/>
        </w:rPr>
        <w:t xml:space="preserve"> build-out. The Executive Order on promoting the export of the American AI Technology Stack establishes federal support for full-stack AI export packages</w:t>
      </w:r>
      <w:r w:rsidRPr="00D37004" w:rsidDel="00CC52FF">
        <w:rPr>
          <w:noProof/>
        </w:rPr>
        <w:t xml:space="preserve"> </w:t>
      </w:r>
      <w:r w:rsidRPr="00D37004">
        <w:rPr>
          <w:noProof/>
        </w:rPr>
        <w:t xml:space="preserve">bundling AI-optimised computer hardware, </w:t>
      </w:r>
      <w:r w:rsidR="00797E2A">
        <w:rPr>
          <w:noProof/>
        </w:rPr>
        <w:t>DC</w:t>
      </w:r>
      <w:r w:rsidRPr="00D37004">
        <w:rPr>
          <w:noProof/>
        </w:rPr>
        <w:t xml:space="preserve"> storage, cloud services, and networking, which will be exclusively sold in US-providers-only packages</w:t>
      </w:r>
      <w:r w:rsidRPr="00D37004">
        <w:rPr>
          <w:rStyle w:val="EndnoteReference"/>
          <w:noProof/>
        </w:rPr>
        <w:endnoteReference w:id="16"/>
      </w:r>
      <w:r w:rsidRPr="00D37004">
        <w:rPr>
          <w:noProof/>
        </w:rPr>
        <w:t xml:space="preserve">. </w:t>
      </w:r>
      <w:r w:rsidRPr="00D37004">
        <w:rPr>
          <w:b/>
          <w:noProof/>
        </w:rPr>
        <w:t>China</w:t>
      </w:r>
      <w:r w:rsidRPr="00D37004">
        <w:rPr>
          <w:noProof/>
        </w:rPr>
        <w:t xml:space="preserve"> launched the infrastructure project “Eastern Data, Western Computing” in 2022, coordinating </w:t>
      </w:r>
      <w:r w:rsidR="000436CB">
        <w:rPr>
          <w:noProof/>
        </w:rPr>
        <w:t>DC</w:t>
      </w:r>
      <w:r w:rsidRPr="00D37004">
        <w:rPr>
          <w:noProof/>
        </w:rPr>
        <w:t xml:space="preserve"> construction by concentrating facilities in the West of the country. This led to a surge in government procurement of </w:t>
      </w:r>
      <w:r w:rsidR="000436CB">
        <w:rPr>
          <w:noProof/>
        </w:rPr>
        <w:t>DCs</w:t>
      </w:r>
      <w:r w:rsidRPr="00D37004">
        <w:rPr>
          <w:rStyle w:val="EndnoteReference"/>
          <w:noProof/>
        </w:rPr>
        <w:endnoteReference w:id="17"/>
      </w:r>
      <w:r w:rsidRPr="00D37004">
        <w:rPr>
          <w:noProof/>
        </w:rPr>
        <w:t xml:space="preserve">. In July 2025, the </w:t>
      </w:r>
      <w:r w:rsidRPr="00D37004">
        <w:rPr>
          <w:b/>
          <w:noProof/>
        </w:rPr>
        <w:t>UK</w:t>
      </w:r>
      <w:r w:rsidRPr="00D37004">
        <w:rPr>
          <w:noProof/>
        </w:rPr>
        <w:t xml:space="preserve"> proposed AI Growth Zones to better equip the UK for running training and inference and support UK companies in developing sovereign, sustainable and secure compute technologies and services</w:t>
      </w:r>
      <w:r w:rsidRPr="00D37004">
        <w:rPr>
          <w:rStyle w:val="EndnoteReference"/>
          <w:noProof/>
        </w:rPr>
        <w:endnoteReference w:id="18"/>
      </w:r>
      <w:r w:rsidRPr="00D37004">
        <w:rPr>
          <w:noProof/>
        </w:rPr>
        <w:t xml:space="preserve">. </w:t>
      </w:r>
      <w:r>
        <w:rPr>
          <w:noProof/>
        </w:rPr>
        <w:t>T</w:t>
      </w:r>
      <w:r w:rsidRPr="00D37004">
        <w:rPr>
          <w:noProof/>
        </w:rPr>
        <w:t xml:space="preserve">he </w:t>
      </w:r>
      <w:r w:rsidRPr="00D37004">
        <w:rPr>
          <w:b/>
          <w:noProof/>
        </w:rPr>
        <w:t>UAE</w:t>
      </w:r>
      <w:r w:rsidRPr="00D37004">
        <w:rPr>
          <w:noProof/>
        </w:rPr>
        <w:t xml:space="preserve"> </w:t>
      </w:r>
      <w:r>
        <w:rPr>
          <w:noProof/>
        </w:rPr>
        <w:t>pursues</w:t>
      </w:r>
      <w:r w:rsidRPr="00D37004">
        <w:rPr>
          <w:noProof/>
        </w:rPr>
        <w:t xml:space="preserve"> investments in</w:t>
      </w:r>
      <w:r>
        <w:rPr>
          <w:noProof/>
        </w:rPr>
        <w:t xml:space="preserve"> </w:t>
      </w:r>
      <w:r w:rsidRPr="00D37004">
        <w:rPr>
          <w:noProof/>
        </w:rPr>
        <w:t xml:space="preserve">renewable energy, power transmission, and hyperscale-ready infrastructure to expand its </w:t>
      </w:r>
      <w:r w:rsidR="007D154C">
        <w:rPr>
          <w:noProof/>
        </w:rPr>
        <w:t>DC</w:t>
      </w:r>
      <w:r w:rsidRPr="00D37004">
        <w:rPr>
          <w:noProof/>
        </w:rPr>
        <w:t xml:space="preserve"> capacity</w:t>
      </w:r>
      <w:r w:rsidRPr="00D37004">
        <w:rPr>
          <w:rStyle w:val="EndnoteReference"/>
          <w:noProof/>
        </w:rPr>
        <w:endnoteReference w:id="19"/>
      </w:r>
      <w:r w:rsidRPr="00D37004">
        <w:rPr>
          <w:noProof/>
        </w:rPr>
        <w:t xml:space="preserve">. </w:t>
      </w:r>
    </w:p>
    <w:p w14:paraId="2914F562" w14:textId="6B5AC8E8" w:rsidR="00E61374" w:rsidRPr="00D37004" w:rsidRDefault="00E61374" w:rsidP="00E61374">
      <w:pPr>
        <w:pStyle w:val="Heading2"/>
        <w:rPr>
          <w:noProof/>
        </w:rPr>
      </w:pPr>
      <w:bookmarkStart w:id="9" w:name="_Toc202532576"/>
      <w:bookmarkStart w:id="10" w:name="_Toc202797306"/>
      <w:bookmarkStart w:id="11" w:name="_Toc204114067"/>
      <w:bookmarkStart w:id="12" w:name="_Toc203666571"/>
      <w:bookmarkStart w:id="13" w:name="_Ref207383504"/>
      <w:bookmarkStart w:id="14" w:name="_Toc216129256"/>
      <w:bookmarkStart w:id="15" w:name="_Toc230792721"/>
      <w:r w:rsidRPr="00D37004">
        <w:rPr>
          <w:noProof/>
        </w:rPr>
        <w:t>Legal context</w:t>
      </w:r>
      <w:bookmarkEnd w:id="9"/>
      <w:bookmarkEnd w:id="10"/>
      <w:bookmarkEnd w:id="11"/>
      <w:bookmarkEnd w:id="12"/>
      <w:bookmarkEnd w:id="13"/>
      <w:bookmarkEnd w:id="14"/>
      <w:bookmarkEnd w:id="15"/>
    </w:p>
    <w:p w14:paraId="241672EA" w14:textId="5B519BD6" w:rsidR="00E61374" w:rsidRPr="00D37004" w:rsidRDefault="00E61374" w:rsidP="00E61374">
      <w:pPr>
        <w:rPr>
          <w:noProof/>
        </w:rPr>
      </w:pPr>
      <w:r w:rsidRPr="00D37004">
        <w:rPr>
          <w:noProof/>
        </w:rPr>
        <w:t xml:space="preserve">The EU lacks a framework to </w:t>
      </w:r>
      <w:r w:rsidRPr="00955372">
        <w:rPr>
          <w:noProof/>
        </w:rPr>
        <w:t>foster</w:t>
      </w:r>
      <w:r w:rsidRPr="00D37004">
        <w:rPr>
          <w:noProof/>
        </w:rPr>
        <w:t xml:space="preserve"> the </w:t>
      </w:r>
      <w:r>
        <w:rPr>
          <w:noProof/>
        </w:rPr>
        <w:t>strategic</w:t>
      </w:r>
      <w:r w:rsidRPr="00D37004">
        <w:rPr>
          <w:noProof/>
        </w:rPr>
        <w:t xml:space="preserve"> </w:t>
      </w:r>
      <w:r>
        <w:rPr>
          <w:noProof/>
        </w:rPr>
        <w:t>investment in</w:t>
      </w:r>
      <w:r w:rsidRPr="00D37004">
        <w:rPr>
          <w:noProof/>
        </w:rPr>
        <w:t xml:space="preserve"> computing capacity beyond AI Factories and Gigafactories</w:t>
      </w:r>
      <w:r w:rsidRPr="00D37004">
        <w:rPr>
          <w:rStyle w:val="FootnoteReference"/>
          <w:noProof/>
        </w:rPr>
        <w:footnoteReference w:id="2"/>
      </w:r>
      <w:r w:rsidRPr="00D37004">
        <w:rPr>
          <w:noProof/>
        </w:rPr>
        <w:t>. The DDPP</w:t>
      </w:r>
      <w:r w:rsidRPr="00D37004">
        <w:rPr>
          <w:rStyle w:val="EndnoteReference"/>
          <w:noProof/>
        </w:rPr>
        <w:endnoteReference w:id="20"/>
      </w:r>
      <w:r w:rsidRPr="00D37004">
        <w:rPr>
          <w:noProof/>
        </w:rPr>
        <w:t xml:space="preserve"> only sets a deployment target for edge nodes</w:t>
      </w:r>
      <w:r>
        <w:rPr>
          <w:noProof/>
        </w:rPr>
        <w:t xml:space="preserve">, but not for </w:t>
      </w:r>
      <w:r w:rsidR="007D154C">
        <w:rPr>
          <w:noProof/>
        </w:rPr>
        <w:t>DCs</w:t>
      </w:r>
      <w:r w:rsidRPr="00D37004">
        <w:rPr>
          <w:noProof/>
        </w:rPr>
        <w:t xml:space="preserve">. The legislative framework for </w:t>
      </w:r>
      <w:r w:rsidR="007D154C">
        <w:rPr>
          <w:noProof/>
        </w:rPr>
        <w:t>DCs</w:t>
      </w:r>
      <w:r w:rsidRPr="00D37004">
        <w:rPr>
          <w:noProof/>
        </w:rPr>
        <w:t xml:space="preserve"> focuses on enhancing their sustainability through transparency measures without explicitly incentivis</w:t>
      </w:r>
      <w:r>
        <w:rPr>
          <w:noProof/>
        </w:rPr>
        <w:t>ing</w:t>
      </w:r>
      <w:r w:rsidRPr="00D37004">
        <w:rPr>
          <w:noProof/>
        </w:rPr>
        <w:t xml:space="preserve"> deployment. The Energy Efficiency Directive (EED)</w:t>
      </w:r>
      <w:r w:rsidRPr="00D37004">
        <w:rPr>
          <w:rStyle w:val="EndnoteReference"/>
          <w:noProof/>
        </w:rPr>
        <w:endnoteReference w:id="21"/>
      </w:r>
      <w:r w:rsidRPr="00D37004">
        <w:rPr>
          <w:noProof/>
        </w:rPr>
        <w:t xml:space="preserve"> establishes an annual sustainability reporting and lays the basis for a rating scheme.</w:t>
      </w:r>
      <w:r w:rsidRPr="00D37004" w:rsidDel="00C71AF2">
        <w:rPr>
          <w:noProof/>
        </w:rPr>
        <w:t xml:space="preserve"> </w:t>
      </w:r>
      <w:r w:rsidRPr="00D37004">
        <w:rPr>
          <w:noProof/>
        </w:rPr>
        <w:t xml:space="preserve">The Taxonomy for Sustainable Finance enhances transparency on </w:t>
      </w:r>
      <w:r w:rsidR="007D154C">
        <w:rPr>
          <w:noProof/>
        </w:rPr>
        <w:t>DC</w:t>
      </w:r>
      <w:r w:rsidRPr="00D37004">
        <w:rPr>
          <w:noProof/>
        </w:rPr>
        <w:t xml:space="preserve"> sustainability for financial market participants</w:t>
      </w:r>
      <w:r w:rsidRPr="00D37004">
        <w:rPr>
          <w:rStyle w:val="EndnoteReference"/>
          <w:noProof/>
        </w:rPr>
        <w:endnoteReference w:id="22"/>
      </w:r>
      <w:r w:rsidRPr="00D37004">
        <w:rPr>
          <w:noProof/>
        </w:rPr>
        <w:t xml:space="preserve">. </w:t>
      </w:r>
      <w:r w:rsidR="007D154C">
        <w:rPr>
          <w:noProof/>
        </w:rPr>
        <w:t>DCs</w:t>
      </w:r>
      <w:r w:rsidRPr="00D37004">
        <w:rPr>
          <w:noProof/>
        </w:rPr>
        <w:t xml:space="preserve"> must comply with minimum performance and information rules of the Ecodesign Regulation</w:t>
      </w:r>
      <w:r w:rsidRPr="00D37004">
        <w:rPr>
          <w:rStyle w:val="EndnoteReference"/>
          <w:noProof/>
        </w:rPr>
        <w:endnoteReference w:id="23"/>
      </w:r>
      <w:r w:rsidRPr="00D37004">
        <w:rPr>
          <w:noProof/>
        </w:rPr>
        <w:t xml:space="preserve">. While </w:t>
      </w:r>
      <w:r w:rsidR="007D154C">
        <w:rPr>
          <w:noProof/>
        </w:rPr>
        <w:t>DC</w:t>
      </w:r>
      <w:r w:rsidRPr="00D37004">
        <w:rPr>
          <w:noProof/>
        </w:rPr>
        <w:t xml:space="preserve"> projects are not subject to </w:t>
      </w:r>
      <w:r w:rsidRPr="00033837">
        <w:rPr>
          <w:noProof/>
        </w:rPr>
        <w:t xml:space="preserve">mandatory environmental impact assessments based on EU rules, </w:t>
      </w:r>
      <w:r>
        <w:rPr>
          <w:noProof/>
        </w:rPr>
        <w:t xml:space="preserve">such assessments </w:t>
      </w:r>
      <w:r w:rsidRPr="00033837">
        <w:rPr>
          <w:noProof/>
        </w:rPr>
        <w:t>are often required by Member States</w:t>
      </w:r>
      <w:r w:rsidRPr="00033837">
        <w:rPr>
          <w:rStyle w:val="FootnoteReference"/>
          <w:noProof/>
        </w:rPr>
        <w:footnoteReference w:id="3"/>
      </w:r>
      <w:r w:rsidRPr="00033837">
        <w:rPr>
          <w:noProof/>
        </w:rPr>
        <w:t xml:space="preserve">. The upcoming Industrial Accelerator Act will create clusters </w:t>
      </w:r>
      <w:r>
        <w:rPr>
          <w:noProof/>
        </w:rPr>
        <w:t>for accelerating</w:t>
      </w:r>
      <w:r w:rsidRPr="00033837">
        <w:rPr>
          <w:noProof/>
        </w:rPr>
        <w:t xml:space="preserve"> industrial activity for the manufacturing sector, </w:t>
      </w:r>
      <w:r>
        <w:rPr>
          <w:noProof/>
        </w:rPr>
        <w:t xml:space="preserve">from which </w:t>
      </w:r>
      <w:r w:rsidR="007D154C">
        <w:rPr>
          <w:noProof/>
        </w:rPr>
        <w:t>DCs</w:t>
      </w:r>
      <w:r>
        <w:rPr>
          <w:noProof/>
        </w:rPr>
        <w:t xml:space="preserve"> will not benefit</w:t>
      </w:r>
      <w:r w:rsidRPr="00033837">
        <w:rPr>
          <w:noProof/>
        </w:rPr>
        <w:t>. Other</w:t>
      </w:r>
      <w:r>
        <w:rPr>
          <w:noProof/>
        </w:rPr>
        <w:t xml:space="preserve"> EU initiatives target key input factors for </w:t>
      </w:r>
      <w:r w:rsidR="007D154C">
        <w:rPr>
          <w:noProof/>
        </w:rPr>
        <w:t>DC</w:t>
      </w:r>
      <w:r>
        <w:rPr>
          <w:noProof/>
        </w:rPr>
        <w:t xml:space="preserve"> deployment: t</w:t>
      </w:r>
      <w:r w:rsidRPr="00D37004">
        <w:rPr>
          <w:noProof/>
        </w:rPr>
        <w:t>he</w:t>
      </w:r>
      <w:r>
        <w:rPr>
          <w:noProof/>
        </w:rPr>
        <w:t xml:space="preserve"> upcoming</w:t>
      </w:r>
      <w:r w:rsidRPr="00D37004">
        <w:rPr>
          <w:noProof/>
        </w:rPr>
        <w:t xml:space="preserve"> Digital Networks Act</w:t>
      </w:r>
      <w:r w:rsidRPr="00D37004">
        <w:rPr>
          <w:noProof/>
          <w:vertAlign w:val="superscript"/>
        </w:rPr>
        <w:endnoteReference w:id="24"/>
      </w:r>
      <w:r w:rsidRPr="00D37004">
        <w:rPr>
          <w:noProof/>
        </w:rPr>
        <w:t xml:space="preserve"> will improve connectivity</w:t>
      </w:r>
      <w:r>
        <w:rPr>
          <w:noProof/>
        </w:rPr>
        <w:t>; t</w:t>
      </w:r>
      <w:r w:rsidRPr="00D37004">
        <w:rPr>
          <w:noProof/>
        </w:rPr>
        <w:t>he Grids Package</w:t>
      </w:r>
      <w:r w:rsidRPr="00D37004">
        <w:rPr>
          <w:rStyle w:val="EndnoteReference"/>
          <w:noProof/>
        </w:rPr>
        <w:endnoteReference w:id="25"/>
      </w:r>
      <w:r w:rsidRPr="00D37004">
        <w:rPr>
          <w:noProof/>
        </w:rPr>
        <w:t xml:space="preserve"> will ensure that electricity grids can serve growing demands</w:t>
      </w:r>
      <w:r>
        <w:rPr>
          <w:noProof/>
        </w:rPr>
        <w:t>, with focus on improving permitting, planning but also providing tools to accelerate grid connections procedures via a dedicated guidance on grid connections; t</w:t>
      </w:r>
      <w:r w:rsidRPr="00D37004">
        <w:rPr>
          <w:noProof/>
        </w:rPr>
        <w:t>he Savings and Investments Union</w:t>
      </w:r>
      <w:r w:rsidRPr="00D37004">
        <w:rPr>
          <w:rStyle w:val="EndnoteReference"/>
          <w:noProof/>
        </w:rPr>
        <w:endnoteReference w:id="26"/>
      </w:r>
      <w:r w:rsidRPr="00D37004">
        <w:rPr>
          <w:noProof/>
        </w:rPr>
        <w:t xml:space="preserve"> will improve access to capital in the EU. While these frameworks can benefit </w:t>
      </w:r>
      <w:r w:rsidR="007D154C">
        <w:rPr>
          <w:noProof/>
        </w:rPr>
        <w:t>DC</w:t>
      </w:r>
      <w:r w:rsidRPr="00D37004">
        <w:rPr>
          <w:noProof/>
        </w:rPr>
        <w:t xml:space="preserve"> deployment, they are not tailored to </w:t>
      </w:r>
      <w:r>
        <w:rPr>
          <w:noProof/>
        </w:rPr>
        <w:t>the sector’s</w:t>
      </w:r>
      <w:r w:rsidRPr="00D37004">
        <w:rPr>
          <w:noProof/>
        </w:rPr>
        <w:t xml:space="preserve"> specific needs.</w:t>
      </w:r>
      <w:r>
        <w:rPr>
          <w:noProof/>
        </w:rPr>
        <w:t xml:space="preserve"> The upcoming Regulation on accelerating and streamlining environmental assessments establishes a toolbox with provisions for faster environmental assessments, applicable to strategic sectors when sectoral legislations refer to it, something that CADA will leverage for </w:t>
      </w:r>
      <w:r w:rsidR="007D154C">
        <w:rPr>
          <w:noProof/>
        </w:rPr>
        <w:t>DC</w:t>
      </w:r>
      <w:r>
        <w:rPr>
          <w:noProof/>
        </w:rPr>
        <w:t xml:space="preserve"> projects. </w:t>
      </w:r>
    </w:p>
    <w:p w14:paraId="2EC522F2" w14:textId="33F47236" w:rsidR="006B087E" w:rsidRPr="00F92EAE" w:rsidRDefault="00E61374" w:rsidP="000E3086">
      <w:pPr>
        <w:rPr>
          <w:noProof/>
        </w:rPr>
      </w:pPr>
      <w:r w:rsidRPr="00D37004">
        <w:rPr>
          <w:noProof/>
        </w:rPr>
        <w:t xml:space="preserve">Similarly, the EU lacks a framework for incentivising the uptake of </w:t>
      </w:r>
      <w:r>
        <w:rPr>
          <w:noProof/>
        </w:rPr>
        <w:t xml:space="preserve">European </w:t>
      </w:r>
      <w:r w:rsidRPr="00D37004">
        <w:rPr>
          <w:noProof/>
        </w:rPr>
        <w:t>cloud and AI</w:t>
      </w:r>
      <w:r>
        <w:rPr>
          <w:noProof/>
        </w:rPr>
        <w:t xml:space="preserve"> computing services and for ensuring security of supply. T</w:t>
      </w:r>
      <w:r w:rsidRPr="00D37004">
        <w:rPr>
          <w:noProof/>
        </w:rPr>
        <w:t xml:space="preserve">he DDPP </w:t>
      </w:r>
      <w:r>
        <w:rPr>
          <w:noProof/>
        </w:rPr>
        <w:t xml:space="preserve">sets high-level adoption </w:t>
      </w:r>
      <w:r w:rsidRPr="00D37004">
        <w:rPr>
          <w:noProof/>
        </w:rPr>
        <w:t>targets</w:t>
      </w:r>
      <w:r>
        <w:rPr>
          <w:rStyle w:val="FootnoteReference"/>
          <w:noProof/>
        </w:rPr>
        <w:footnoteReference w:id="4"/>
      </w:r>
      <w:r w:rsidRPr="00D37004">
        <w:rPr>
          <w:noProof/>
        </w:rPr>
        <w:t>, and the Apply AI strategy</w:t>
      </w:r>
      <w:r w:rsidRPr="00D37004">
        <w:rPr>
          <w:rStyle w:val="EndnoteReference"/>
          <w:noProof/>
        </w:rPr>
        <w:endnoteReference w:id="27"/>
      </w:r>
      <w:r w:rsidRPr="00D37004">
        <w:rPr>
          <w:noProof/>
        </w:rPr>
        <w:t xml:space="preserve"> supports AI adoption in strategic sectors</w:t>
      </w:r>
      <w:r>
        <w:rPr>
          <w:noProof/>
        </w:rPr>
        <w:t>, but without concrete measures geared at European services.</w:t>
      </w:r>
      <w:r w:rsidRPr="00D37004">
        <w:rPr>
          <w:noProof/>
        </w:rPr>
        <w:t xml:space="preserve"> </w:t>
      </w:r>
      <w:r>
        <w:rPr>
          <w:noProof/>
        </w:rPr>
        <w:t>Other</w:t>
      </w:r>
      <w:r w:rsidRPr="00D37004">
        <w:rPr>
          <w:noProof/>
        </w:rPr>
        <w:t xml:space="preserve"> existing frameworks address market practices</w:t>
      </w:r>
      <w:r>
        <w:rPr>
          <w:noProof/>
        </w:rPr>
        <w:t>:</w:t>
      </w:r>
      <w:r w:rsidRPr="00D37004">
        <w:rPr>
          <w:noProof/>
        </w:rPr>
        <w:t xml:space="preserve"> </w:t>
      </w:r>
      <w:r>
        <w:rPr>
          <w:noProof/>
        </w:rPr>
        <w:t>t</w:t>
      </w:r>
      <w:r w:rsidRPr="00D37004">
        <w:rPr>
          <w:noProof/>
        </w:rPr>
        <w:t>he Data Act</w:t>
      </w:r>
      <w:r w:rsidRPr="00D37004">
        <w:rPr>
          <w:rStyle w:val="EndnoteReference"/>
          <w:noProof/>
        </w:rPr>
        <w:endnoteReference w:id="28"/>
      </w:r>
      <w:r w:rsidRPr="00D37004">
        <w:rPr>
          <w:noProof/>
        </w:rPr>
        <w:t xml:space="preserve"> regulates cloud switching and interoperability</w:t>
      </w:r>
      <w:r w:rsidRPr="00D37004" w:rsidDel="00390133">
        <w:rPr>
          <w:noProof/>
        </w:rPr>
        <w:t>.</w:t>
      </w:r>
      <w:r w:rsidRPr="00D37004">
        <w:rPr>
          <w:noProof/>
        </w:rPr>
        <w:t xml:space="preserve"> The Digital Markets Act</w:t>
      </w:r>
      <w:r w:rsidRPr="00D37004">
        <w:rPr>
          <w:rStyle w:val="EndnoteReference"/>
          <w:noProof/>
        </w:rPr>
        <w:endnoteReference w:id="29"/>
      </w:r>
      <w:r w:rsidRPr="00D37004">
        <w:rPr>
          <w:noProof/>
        </w:rPr>
        <w:t xml:space="preserve"> considers cloud services as core platform services where providers can be designated as gatekeepers and subject to specific obligations</w:t>
      </w:r>
      <w:r w:rsidRPr="00D37004">
        <w:rPr>
          <w:rStyle w:val="FootnoteReference"/>
          <w:noProof/>
        </w:rPr>
        <w:footnoteReference w:id="5"/>
      </w:r>
      <w:r w:rsidRPr="00D37004">
        <w:rPr>
          <w:noProof/>
        </w:rPr>
        <w:t>. The Digital N</w:t>
      </w:r>
      <w:r>
        <w:rPr>
          <w:noProof/>
        </w:rPr>
        <w:t>etworks</w:t>
      </w:r>
      <w:r w:rsidRPr="00D37004">
        <w:rPr>
          <w:noProof/>
        </w:rPr>
        <w:t xml:space="preserve"> Act will address the scenario where a </w:t>
      </w:r>
      <w:r w:rsidR="007177B6">
        <w:rPr>
          <w:noProof/>
        </w:rPr>
        <w:t>CSP</w:t>
      </w:r>
      <w:r w:rsidRPr="00D37004">
        <w:rPr>
          <w:noProof/>
        </w:rPr>
        <w:t xml:space="preserve"> operates a </w:t>
      </w:r>
      <w:r>
        <w:rPr>
          <w:noProof/>
        </w:rPr>
        <w:t>connectivity</w:t>
      </w:r>
      <w:r w:rsidRPr="00D37004">
        <w:rPr>
          <w:noProof/>
        </w:rPr>
        <w:t xml:space="preserve"> network. The AI Act</w:t>
      </w:r>
      <w:r w:rsidRPr="00D37004">
        <w:rPr>
          <w:rStyle w:val="EndnoteReference"/>
          <w:noProof/>
        </w:rPr>
        <w:endnoteReference w:id="30"/>
      </w:r>
      <w:r w:rsidRPr="00D37004">
        <w:rPr>
          <w:noProof/>
        </w:rPr>
        <w:t xml:space="preserve"> sets out risk-based rules for </w:t>
      </w:r>
      <w:r>
        <w:rPr>
          <w:noProof/>
        </w:rPr>
        <w:t>providers</w:t>
      </w:r>
      <w:r w:rsidRPr="00D37004">
        <w:rPr>
          <w:noProof/>
        </w:rPr>
        <w:t xml:space="preserve"> and deployers of AI systems</w:t>
      </w:r>
      <w:r>
        <w:rPr>
          <w:noProof/>
        </w:rPr>
        <w:t xml:space="preserve"> and general-purpose AI models, fostering trustworthy AI but without addressing computing. </w:t>
      </w:r>
      <w:r w:rsidRPr="00D37004">
        <w:rPr>
          <w:noProof/>
        </w:rPr>
        <w:t>Other frameworks address cybersecurity</w:t>
      </w:r>
      <w:r>
        <w:rPr>
          <w:noProof/>
        </w:rPr>
        <w:t>:</w:t>
      </w:r>
      <w:r w:rsidRPr="00D37004">
        <w:rPr>
          <w:noProof/>
        </w:rPr>
        <w:t xml:space="preserve"> </w:t>
      </w:r>
      <w:r>
        <w:rPr>
          <w:noProof/>
        </w:rPr>
        <w:t>t</w:t>
      </w:r>
      <w:r w:rsidRPr="00D37004">
        <w:rPr>
          <w:noProof/>
        </w:rPr>
        <w:t>he Cybersecurity Act (CSA)</w:t>
      </w:r>
      <w:r w:rsidRPr="00D37004">
        <w:rPr>
          <w:rStyle w:val="EndnoteReference"/>
          <w:noProof/>
        </w:rPr>
        <w:endnoteReference w:id="31"/>
      </w:r>
      <w:r w:rsidRPr="00D37004">
        <w:rPr>
          <w:noProof/>
        </w:rPr>
        <w:t>, currently under review, enables the adoption of an EU-wide cybersecurity certification scheme for cloud services</w:t>
      </w:r>
      <w:r w:rsidRPr="00D37004">
        <w:rPr>
          <w:noProof/>
          <w:vertAlign w:val="superscript"/>
        </w:rPr>
        <w:footnoteReference w:id="6"/>
      </w:r>
      <w:r>
        <w:rPr>
          <w:noProof/>
        </w:rPr>
        <w:t xml:space="preserve"> and addresses supply chains by tackling high-risk vendors but without addressing public procurement</w:t>
      </w:r>
      <w:r w:rsidRPr="00D37004" w:rsidDel="001702B4">
        <w:rPr>
          <w:noProof/>
        </w:rPr>
        <w:t>.</w:t>
      </w:r>
      <w:r w:rsidRPr="00D37004">
        <w:rPr>
          <w:noProof/>
        </w:rPr>
        <w:t xml:space="preserve"> The Digital Operational Resilience Act</w:t>
      </w:r>
      <w:r w:rsidRPr="00D37004">
        <w:rPr>
          <w:rStyle w:val="EndnoteReference"/>
          <w:noProof/>
        </w:rPr>
        <w:endnoteReference w:id="32"/>
      </w:r>
      <w:r w:rsidRPr="00D37004">
        <w:rPr>
          <w:noProof/>
        </w:rPr>
        <w:t xml:space="preserve"> targeting financial entities, and the NIS2 Directive</w:t>
      </w:r>
      <w:r w:rsidRPr="00D37004">
        <w:rPr>
          <w:rStyle w:val="EndnoteReference"/>
          <w:noProof/>
        </w:rPr>
        <w:endnoteReference w:id="33"/>
      </w:r>
      <w:r w:rsidRPr="00D37004">
        <w:rPr>
          <w:noProof/>
        </w:rPr>
        <w:t xml:space="preserve"> defining sectors of high criticality, require entities </w:t>
      </w:r>
      <w:r>
        <w:rPr>
          <w:noProof/>
        </w:rPr>
        <w:t xml:space="preserve">like CSPs </w:t>
      </w:r>
      <w:r w:rsidRPr="00D37004">
        <w:rPr>
          <w:noProof/>
        </w:rPr>
        <w:t xml:space="preserve">to implement risk management and </w:t>
      </w:r>
      <w:r>
        <w:rPr>
          <w:noProof/>
        </w:rPr>
        <w:t xml:space="preserve">other </w:t>
      </w:r>
      <w:r w:rsidRPr="00D37004">
        <w:rPr>
          <w:noProof/>
        </w:rPr>
        <w:t>security measures.</w:t>
      </w:r>
      <w:r>
        <w:rPr>
          <w:noProof/>
        </w:rPr>
        <w:t xml:space="preserve"> The use of cloud and AI computing services in the public sector is horizontally governed by</w:t>
      </w:r>
      <w:r w:rsidRPr="00D37004">
        <w:rPr>
          <w:noProof/>
        </w:rPr>
        <w:t xml:space="preserve"> the Public Procurement framework, currently under revision, </w:t>
      </w:r>
      <w:r>
        <w:rPr>
          <w:noProof/>
        </w:rPr>
        <w:t>which enshrines</w:t>
      </w:r>
      <w:r w:rsidRPr="00D37004">
        <w:rPr>
          <w:noProof/>
        </w:rPr>
        <w:t xml:space="preserve"> transparency, equal treatment, </w:t>
      </w:r>
      <w:r w:rsidRPr="004B7E11">
        <w:rPr>
          <w:rFonts w:eastAsia="Times New Roman"/>
          <w:noProof/>
        </w:rPr>
        <w:t>open competition and sound procedures</w:t>
      </w:r>
      <w:r w:rsidRPr="00D37004">
        <w:rPr>
          <w:noProof/>
        </w:rPr>
        <w:t xml:space="preserve"> </w:t>
      </w:r>
      <w:r w:rsidRPr="004B7E11">
        <w:rPr>
          <w:rFonts w:eastAsia="Times New Roman"/>
          <w:noProof/>
        </w:rPr>
        <w:t>as well as respect for EU’s international commitments</w:t>
      </w:r>
      <w:r w:rsidRPr="00D37004">
        <w:rPr>
          <w:rStyle w:val="EndnoteReference"/>
          <w:noProof/>
        </w:rPr>
        <w:endnoteReference w:id="34"/>
      </w:r>
      <w:r w:rsidRPr="00D37004">
        <w:rPr>
          <w:noProof/>
        </w:rPr>
        <w:t xml:space="preserve">. </w:t>
      </w:r>
      <w:r>
        <w:rPr>
          <w:noProof/>
        </w:rPr>
        <w:t xml:space="preserve">However, these initiatives fall short of addressing sovereignty considerations in this sector.    </w:t>
      </w:r>
    </w:p>
    <w:p w14:paraId="5BDA5DC0" w14:textId="77777777" w:rsidR="006B087E" w:rsidRDefault="006B087E" w:rsidP="000E3086">
      <w:pPr>
        <w:pStyle w:val="Heading1"/>
        <w:rPr>
          <w:noProof/>
        </w:rPr>
      </w:pPr>
      <w:bookmarkStart w:id="16" w:name="_Toc230792722"/>
      <w:r w:rsidRPr="00F92EAE">
        <w:rPr>
          <w:noProof/>
        </w:rPr>
        <w:t>Problem definition</w:t>
      </w:r>
      <w:bookmarkEnd w:id="16"/>
    </w:p>
    <w:p w14:paraId="6D3BFEF5" w14:textId="3AC6A965" w:rsidR="00AC44E2" w:rsidRDefault="006E79D8" w:rsidP="00455FBD">
      <w:pPr>
        <w:pStyle w:val="Text1"/>
        <w:ind w:left="0"/>
        <w:rPr>
          <w:noProof/>
        </w:rPr>
      </w:pPr>
      <w:r>
        <w:rPr>
          <w:noProof/>
        </w:rPr>
        <w:t xml:space="preserve">The analysis conducted identified two key problems that </w:t>
      </w:r>
      <w:r w:rsidR="00E82A8A">
        <w:rPr>
          <w:noProof/>
        </w:rPr>
        <w:t xml:space="preserve">warrant </w:t>
      </w:r>
      <w:r>
        <w:rPr>
          <w:noProof/>
        </w:rPr>
        <w:t>policy attention. This chapter</w:t>
      </w:r>
      <w:r w:rsidR="005A6210">
        <w:rPr>
          <w:noProof/>
        </w:rPr>
        <w:t xml:space="preserve"> </w:t>
      </w:r>
      <w:r w:rsidR="00CF6DB1">
        <w:rPr>
          <w:noProof/>
        </w:rPr>
        <w:t xml:space="preserve">presents these problems in detail, exploring their underlying root causes structured around four main problem drivers. </w:t>
      </w:r>
      <w:r w:rsidR="0013746B">
        <w:rPr>
          <w:noProof/>
        </w:rPr>
        <w:t>It further assesses the associated risks and potential consequences should these issues remain unaddressed</w:t>
      </w:r>
      <w:r w:rsidR="00B32AC5">
        <w:rPr>
          <w:noProof/>
        </w:rPr>
        <w:t xml:space="preserve">. </w:t>
      </w:r>
      <w:r w:rsidR="00B55E7E">
        <w:rPr>
          <w:noProof/>
        </w:rPr>
        <w:t xml:space="preserve">To </w:t>
      </w:r>
      <w:r w:rsidR="00C21987">
        <w:rPr>
          <w:noProof/>
        </w:rPr>
        <w:t>better define and characterise the</w:t>
      </w:r>
      <w:r w:rsidR="00B55E7E">
        <w:rPr>
          <w:noProof/>
        </w:rPr>
        <w:t xml:space="preserve"> </w:t>
      </w:r>
      <w:r w:rsidR="00C21987">
        <w:rPr>
          <w:noProof/>
        </w:rPr>
        <w:t xml:space="preserve">identified </w:t>
      </w:r>
      <w:r w:rsidR="00B55E7E">
        <w:rPr>
          <w:noProof/>
        </w:rPr>
        <w:t xml:space="preserve">problems, it </w:t>
      </w:r>
      <w:r w:rsidR="00C21987">
        <w:rPr>
          <w:noProof/>
        </w:rPr>
        <w:t>is</w:t>
      </w:r>
      <w:r w:rsidR="00B55E7E">
        <w:rPr>
          <w:noProof/>
        </w:rPr>
        <w:t xml:space="preserve"> useful to </w:t>
      </w:r>
      <w:r w:rsidR="00BD4AAD">
        <w:rPr>
          <w:noProof/>
        </w:rPr>
        <w:t xml:space="preserve">first </w:t>
      </w:r>
      <w:r w:rsidR="00B55E7E">
        <w:rPr>
          <w:noProof/>
        </w:rPr>
        <w:t xml:space="preserve">examine the competitive dynamics in the cloud computing market and the functioning of cloud service demand and supply, as a </w:t>
      </w:r>
      <w:r w:rsidR="002F3F97">
        <w:rPr>
          <w:noProof/>
        </w:rPr>
        <w:t>critical contextual element</w:t>
      </w:r>
      <w:r w:rsidR="00B55E7E">
        <w:rPr>
          <w:noProof/>
        </w:rPr>
        <w:t xml:space="preserve">. </w:t>
      </w:r>
    </w:p>
    <w:p w14:paraId="754DD23F" w14:textId="51CAD525" w:rsidR="00AC44E2" w:rsidRDefault="00FD0B29" w:rsidP="00483282">
      <w:pPr>
        <w:pStyle w:val="Heading2"/>
        <w:rPr>
          <w:noProof/>
        </w:rPr>
      </w:pPr>
      <w:bookmarkStart w:id="17" w:name="_Toc230792723"/>
      <w:r>
        <w:rPr>
          <w:noProof/>
        </w:rPr>
        <w:t>Problem c</w:t>
      </w:r>
      <w:r w:rsidR="0090730C">
        <w:rPr>
          <w:noProof/>
        </w:rPr>
        <w:t>ontext</w:t>
      </w:r>
      <w:bookmarkEnd w:id="17"/>
    </w:p>
    <w:p w14:paraId="5EAC5C92" w14:textId="74F33944" w:rsidR="00455FBD" w:rsidRDefault="00455FBD" w:rsidP="00455FBD">
      <w:pPr>
        <w:pStyle w:val="Text1"/>
        <w:ind w:left="0"/>
        <w:rPr>
          <w:noProof/>
        </w:rPr>
      </w:pPr>
      <w:r>
        <w:rPr>
          <w:noProof/>
        </w:rPr>
        <w:t xml:space="preserve">Cloud computing emerged </w:t>
      </w:r>
      <w:r w:rsidR="0022607E">
        <w:rPr>
          <w:noProof/>
        </w:rPr>
        <w:t xml:space="preserve">in the early </w:t>
      </w:r>
      <w:r>
        <w:rPr>
          <w:noProof/>
        </w:rPr>
        <w:t xml:space="preserve">2000s in the United States, with Amazon Web Services (AWS) being established in 2002 and </w:t>
      </w:r>
      <w:r w:rsidR="00C82F33">
        <w:rPr>
          <w:noProof/>
        </w:rPr>
        <w:t xml:space="preserve">commercial </w:t>
      </w:r>
      <w:r>
        <w:rPr>
          <w:noProof/>
        </w:rPr>
        <w:t xml:space="preserve">cloud offers from AWS, Google and others becoming popular </w:t>
      </w:r>
      <w:r w:rsidR="00C82F33">
        <w:rPr>
          <w:noProof/>
        </w:rPr>
        <w:t>from</w:t>
      </w:r>
      <w:r>
        <w:rPr>
          <w:noProof/>
        </w:rPr>
        <w:t xml:space="preserve"> 2008</w:t>
      </w:r>
      <w:r w:rsidR="00C82F33">
        <w:rPr>
          <w:noProof/>
        </w:rPr>
        <w:t xml:space="preserve"> onwards</w:t>
      </w:r>
      <w:r>
        <w:rPr>
          <w:noProof/>
        </w:rPr>
        <w:t xml:space="preserve">. </w:t>
      </w:r>
      <w:r w:rsidRPr="00861B5E">
        <w:rPr>
          <w:noProof/>
        </w:rPr>
        <w:t>The early 2010s set the stage for the massive adoption of cloud services</w:t>
      </w:r>
      <w:r w:rsidR="001C759A">
        <w:rPr>
          <w:rStyle w:val="EndnoteReference"/>
          <w:noProof/>
        </w:rPr>
        <w:endnoteReference w:id="35"/>
      </w:r>
      <w:r w:rsidRPr="00861B5E">
        <w:rPr>
          <w:noProof/>
        </w:rPr>
        <w:t>, which accelerated further in subsequent years</w:t>
      </w:r>
      <w:r w:rsidR="00A134B0">
        <w:rPr>
          <w:noProof/>
        </w:rPr>
        <w:t>.</w:t>
      </w:r>
      <w:r w:rsidR="002D735B">
        <w:rPr>
          <w:noProof/>
        </w:rPr>
        <w:t xml:space="preserve"> The global cloud and data infrastructure market grew by around 3</w:t>
      </w:r>
      <w:r w:rsidR="00FD2599">
        <w:rPr>
          <w:noProof/>
        </w:rPr>
        <w:t>5</w:t>
      </w:r>
      <w:r w:rsidR="002D735B">
        <w:rPr>
          <w:noProof/>
        </w:rPr>
        <w:t xml:space="preserve">% per year since </w:t>
      </w:r>
      <w:r w:rsidR="00FD2599">
        <w:rPr>
          <w:noProof/>
        </w:rPr>
        <w:t>2016</w:t>
      </w:r>
      <w:r w:rsidR="003A47FC">
        <w:rPr>
          <w:rStyle w:val="EndnoteReference"/>
          <w:noProof/>
        </w:rPr>
        <w:endnoteReference w:id="36"/>
      </w:r>
      <w:r w:rsidR="003A47FC">
        <w:rPr>
          <w:noProof/>
        </w:rPr>
        <w:t xml:space="preserve">, </w:t>
      </w:r>
      <w:r w:rsidR="00B97021">
        <w:rPr>
          <w:noProof/>
        </w:rPr>
        <w:t>with expected growth rates above 20% for subsequent years. In the EU, this</w:t>
      </w:r>
      <w:r w:rsidRPr="00861B5E">
        <w:rPr>
          <w:noProof/>
        </w:rPr>
        <w:t xml:space="preserve"> high-growth environment </w:t>
      </w:r>
      <w:r w:rsidR="00CB6E3C">
        <w:rPr>
          <w:noProof/>
        </w:rPr>
        <w:t xml:space="preserve">led </w:t>
      </w:r>
      <w:r w:rsidR="0079188F">
        <w:rPr>
          <w:noProof/>
        </w:rPr>
        <w:t xml:space="preserve">the share of </w:t>
      </w:r>
      <w:r w:rsidR="00CB6E3C">
        <w:rPr>
          <w:noProof/>
        </w:rPr>
        <w:t xml:space="preserve">enterprises </w:t>
      </w:r>
      <w:r w:rsidR="0079188F">
        <w:rPr>
          <w:noProof/>
        </w:rPr>
        <w:t xml:space="preserve">buying cloud </w:t>
      </w:r>
      <w:r w:rsidR="001E2430">
        <w:rPr>
          <w:noProof/>
        </w:rPr>
        <w:t xml:space="preserve">services to increase from </w:t>
      </w:r>
      <w:r w:rsidR="00AE6CBB">
        <w:rPr>
          <w:noProof/>
        </w:rPr>
        <w:t>1</w:t>
      </w:r>
      <w:r w:rsidR="001E2430">
        <w:rPr>
          <w:noProof/>
        </w:rPr>
        <w:t xml:space="preserve">8% in 2014 to </w:t>
      </w:r>
      <w:r w:rsidR="001C5BA2">
        <w:rPr>
          <w:noProof/>
        </w:rPr>
        <w:t>5</w:t>
      </w:r>
      <w:r w:rsidR="00AE6CBB">
        <w:rPr>
          <w:noProof/>
        </w:rPr>
        <w:t>3</w:t>
      </w:r>
      <w:r w:rsidR="001E2430">
        <w:rPr>
          <w:noProof/>
        </w:rPr>
        <w:t>% in 2025, with adoption almost tripling in a decade</w:t>
      </w:r>
      <w:r w:rsidR="001C5BA2">
        <w:rPr>
          <w:noProof/>
        </w:rPr>
        <w:t>; for large firms, the figure exceeds 80%</w:t>
      </w:r>
      <w:r w:rsidR="001C5BA2">
        <w:rPr>
          <w:rStyle w:val="EndnoteReference"/>
          <w:noProof/>
        </w:rPr>
        <w:endnoteReference w:id="37"/>
      </w:r>
      <w:r w:rsidR="001C5BA2">
        <w:rPr>
          <w:noProof/>
        </w:rPr>
        <w:t>.</w:t>
      </w:r>
      <w:r w:rsidR="001E2430">
        <w:rPr>
          <w:noProof/>
        </w:rPr>
        <w:t xml:space="preserve"> </w:t>
      </w:r>
      <w:r>
        <w:rPr>
          <w:noProof/>
        </w:rPr>
        <w:t>Th</w:t>
      </w:r>
      <w:r w:rsidR="008133EE">
        <w:rPr>
          <w:noProof/>
        </w:rPr>
        <w:t xml:space="preserve">is rapid </w:t>
      </w:r>
      <w:r>
        <w:rPr>
          <w:noProof/>
        </w:rPr>
        <w:t xml:space="preserve">growth in market demand can be </w:t>
      </w:r>
      <w:r w:rsidR="008133EE">
        <w:rPr>
          <w:noProof/>
        </w:rPr>
        <w:t>linked to</w:t>
      </w:r>
      <w:r>
        <w:rPr>
          <w:noProof/>
        </w:rPr>
        <w:t xml:space="preserve"> three </w:t>
      </w:r>
      <w:r w:rsidR="008133EE">
        <w:rPr>
          <w:noProof/>
        </w:rPr>
        <w:t>major</w:t>
      </w:r>
      <w:r>
        <w:rPr>
          <w:noProof/>
        </w:rPr>
        <w:t xml:space="preserve"> trends:</w:t>
      </w:r>
    </w:p>
    <w:p w14:paraId="5C41FC32" w14:textId="606651B5" w:rsidR="00A0442B" w:rsidRDefault="006C558B" w:rsidP="00483282">
      <w:pPr>
        <w:pStyle w:val="Text1"/>
        <w:numPr>
          <w:ilvl w:val="0"/>
          <w:numId w:val="33"/>
        </w:numPr>
        <w:rPr>
          <w:noProof/>
        </w:rPr>
      </w:pPr>
      <w:r>
        <w:rPr>
          <w:noProof/>
        </w:rPr>
        <w:t>The d</w:t>
      </w:r>
      <w:r w:rsidR="0079188F" w:rsidRPr="00CA012E">
        <w:rPr>
          <w:noProof/>
        </w:rPr>
        <w:t xml:space="preserve">igitalisation of the economy and </w:t>
      </w:r>
      <w:r w:rsidR="00A23DBC">
        <w:rPr>
          <w:noProof/>
        </w:rPr>
        <w:t xml:space="preserve">a </w:t>
      </w:r>
      <w:r w:rsidR="0079188F" w:rsidRPr="00CA012E">
        <w:rPr>
          <w:noProof/>
        </w:rPr>
        <w:t>s</w:t>
      </w:r>
      <w:r w:rsidR="00455FBD" w:rsidRPr="00CA012E">
        <w:rPr>
          <w:noProof/>
        </w:rPr>
        <w:t xml:space="preserve">tructural shift </w:t>
      </w:r>
      <w:r w:rsidR="0079188F" w:rsidRPr="00CA012E">
        <w:rPr>
          <w:noProof/>
        </w:rPr>
        <w:t xml:space="preserve">from </w:t>
      </w:r>
      <w:r w:rsidR="008B5B90" w:rsidRPr="00CA012E">
        <w:rPr>
          <w:noProof/>
        </w:rPr>
        <w:t>on-</w:t>
      </w:r>
      <w:r w:rsidR="00626F3D" w:rsidRPr="00CA012E">
        <w:rPr>
          <w:noProof/>
        </w:rPr>
        <w:t>premises</w:t>
      </w:r>
      <w:r w:rsidR="0079188F" w:rsidRPr="00CA012E">
        <w:rPr>
          <w:noProof/>
        </w:rPr>
        <w:t xml:space="preserve"> IT models:</w:t>
      </w:r>
      <w:r w:rsidR="0079188F">
        <w:rPr>
          <w:noProof/>
        </w:rPr>
        <w:t xml:space="preserve"> </w:t>
      </w:r>
      <w:r w:rsidR="00455FBD">
        <w:rPr>
          <w:noProof/>
        </w:rPr>
        <w:t>business</w:t>
      </w:r>
      <w:r w:rsidR="0079188F">
        <w:rPr>
          <w:noProof/>
        </w:rPr>
        <w:t>es across sectors</w:t>
      </w:r>
      <w:r w:rsidR="00362154">
        <w:rPr>
          <w:noProof/>
        </w:rPr>
        <w:t xml:space="preserve"> have migrated from </w:t>
      </w:r>
      <w:r w:rsidR="00455FBD">
        <w:rPr>
          <w:noProof/>
        </w:rPr>
        <w:t xml:space="preserve">traditional </w:t>
      </w:r>
      <w:r w:rsidR="0082571D">
        <w:rPr>
          <w:noProof/>
        </w:rPr>
        <w:t>on-premises</w:t>
      </w:r>
      <w:r w:rsidR="00455FBD">
        <w:rPr>
          <w:noProof/>
        </w:rPr>
        <w:t xml:space="preserve"> </w:t>
      </w:r>
      <w:r w:rsidR="00362154">
        <w:rPr>
          <w:noProof/>
        </w:rPr>
        <w:t>infrastructure to</w:t>
      </w:r>
      <w:r w:rsidR="00455FBD">
        <w:rPr>
          <w:noProof/>
        </w:rPr>
        <w:t xml:space="preserve"> cloud</w:t>
      </w:r>
      <w:r w:rsidR="00362154">
        <w:rPr>
          <w:noProof/>
        </w:rPr>
        <w:t xml:space="preserve"> solutions</w:t>
      </w:r>
      <w:r w:rsidR="00455FBD">
        <w:rPr>
          <w:noProof/>
        </w:rPr>
        <w:t xml:space="preserve">, considered to offer lower </w:t>
      </w:r>
      <w:r w:rsidR="00362154">
        <w:rPr>
          <w:noProof/>
        </w:rPr>
        <w:t xml:space="preserve">upfront </w:t>
      </w:r>
      <w:r w:rsidR="00455FBD">
        <w:rPr>
          <w:noProof/>
        </w:rPr>
        <w:t xml:space="preserve">costs, more flexibility and </w:t>
      </w:r>
      <w:r w:rsidR="00362154">
        <w:rPr>
          <w:noProof/>
        </w:rPr>
        <w:t>a richer ecosystem of</w:t>
      </w:r>
      <w:r w:rsidR="00455FBD">
        <w:rPr>
          <w:noProof/>
        </w:rPr>
        <w:t xml:space="preserve"> services in a single interface. </w:t>
      </w:r>
      <w:r w:rsidR="00A0442B">
        <w:rPr>
          <w:noProof/>
        </w:rPr>
        <w:t>Part of this cloudification has also been supply-driven, as providers pushed from installed licen</w:t>
      </w:r>
      <w:r w:rsidR="00E8675B">
        <w:rPr>
          <w:noProof/>
        </w:rPr>
        <w:t>c</w:t>
      </w:r>
      <w:r w:rsidR="00A0442B">
        <w:rPr>
          <w:noProof/>
        </w:rPr>
        <w:t>es to cloud subscription</w:t>
      </w:r>
      <w:r w:rsidR="006621B2">
        <w:rPr>
          <w:noProof/>
        </w:rPr>
        <w:t xml:space="preserve"> models</w:t>
      </w:r>
      <w:r w:rsidR="00A0442B">
        <w:rPr>
          <w:rStyle w:val="FootnoteReference"/>
          <w:noProof/>
        </w:rPr>
        <w:footnoteReference w:id="7"/>
      </w:r>
      <w:r w:rsidR="00A0442B">
        <w:rPr>
          <w:noProof/>
        </w:rPr>
        <w:t xml:space="preserve">. </w:t>
      </w:r>
      <w:r w:rsidR="00A0442B" w:rsidRPr="00A0442B">
        <w:rPr>
          <w:noProof/>
        </w:rPr>
        <w:t>Major CSPs</w:t>
      </w:r>
      <w:r w:rsidR="00DE73AE">
        <w:rPr>
          <w:noProof/>
        </w:rPr>
        <w:t>, massively supported by system integrators,</w:t>
      </w:r>
      <w:r w:rsidR="00A0442B" w:rsidRPr="00A0442B">
        <w:rPr>
          <w:noProof/>
        </w:rPr>
        <w:t xml:space="preserve"> expanded their service portfolios, pricing models and migration programmes in ways that created and deepened the demand for cloud</w:t>
      </w:r>
      <w:r w:rsidR="00A82BEA">
        <w:rPr>
          <w:noProof/>
        </w:rPr>
        <w:t xml:space="preserve"> services</w:t>
      </w:r>
      <w:r w:rsidR="00A0442B" w:rsidRPr="00A0442B">
        <w:rPr>
          <w:noProof/>
        </w:rPr>
        <w:t>.</w:t>
      </w:r>
      <w:r w:rsidR="00874661">
        <w:rPr>
          <w:noProof/>
        </w:rPr>
        <w:t xml:space="preserve"> This initial trend from on-prem</w:t>
      </w:r>
      <w:r w:rsidR="00257EE3">
        <w:rPr>
          <w:noProof/>
        </w:rPr>
        <w:t>ises</w:t>
      </w:r>
      <w:r w:rsidR="00874661">
        <w:rPr>
          <w:noProof/>
        </w:rPr>
        <w:t xml:space="preserve"> to </w:t>
      </w:r>
      <w:r w:rsidR="0076238C">
        <w:rPr>
          <w:noProof/>
        </w:rPr>
        <w:t>infrastructure-as-a-service (</w:t>
      </w:r>
      <w:r w:rsidR="00D17970">
        <w:rPr>
          <w:noProof/>
        </w:rPr>
        <w:t>IaaS</w:t>
      </w:r>
      <w:r w:rsidR="0076238C">
        <w:rPr>
          <w:noProof/>
        </w:rPr>
        <w:t>)</w:t>
      </w:r>
      <w:r w:rsidR="00BC4189">
        <w:rPr>
          <w:noProof/>
        </w:rPr>
        <w:t xml:space="preserve"> has</w:t>
      </w:r>
      <w:r w:rsidR="0075156D">
        <w:rPr>
          <w:noProof/>
        </w:rPr>
        <w:t xml:space="preserve"> seen a second wave </w:t>
      </w:r>
      <w:r w:rsidR="00AB4577">
        <w:rPr>
          <w:noProof/>
        </w:rPr>
        <w:t xml:space="preserve">towards more advanced platforms </w:t>
      </w:r>
      <w:r w:rsidR="00C244B8">
        <w:rPr>
          <w:noProof/>
        </w:rPr>
        <w:t xml:space="preserve">deployed </w:t>
      </w:r>
      <w:r w:rsidR="001B6A63">
        <w:rPr>
          <w:noProof/>
        </w:rPr>
        <w:t xml:space="preserve">as </w:t>
      </w:r>
      <w:r w:rsidR="003E7DA0">
        <w:rPr>
          <w:noProof/>
        </w:rPr>
        <w:t>p</w:t>
      </w:r>
      <w:r w:rsidR="001B6A63">
        <w:rPr>
          <w:noProof/>
        </w:rPr>
        <w:t>latform</w:t>
      </w:r>
      <w:r w:rsidR="00C244B8">
        <w:rPr>
          <w:noProof/>
        </w:rPr>
        <w:t>-as-a-service</w:t>
      </w:r>
      <w:r w:rsidR="00AB4577">
        <w:rPr>
          <w:noProof/>
        </w:rPr>
        <w:t xml:space="preserve"> (PaaS</w:t>
      </w:r>
      <w:r w:rsidR="00C244B8">
        <w:rPr>
          <w:noProof/>
        </w:rPr>
        <w:t>)</w:t>
      </w:r>
      <w:r w:rsidR="00AB4577">
        <w:rPr>
          <w:noProof/>
        </w:rPr>
        <w:t xml:space="preserve"> and </w:t>
      </w:r>
      <w:r w:rsidR="00C244B8">
        <w:rPr>
          <w:noProof/>
        </w:rPr>
        <w:t xml:space="preserve">software-as-a-service </w:t>
      </w:r>
      <w:r w:rsidR="00AB4577">
        <w:rPr>
          <w:noProof/>
        </w:rPr>
        <w:t>(</w:t>
      </w:r>
      <w:r w:rsidR="00443A38">
        <w:rPr>
          <w:noProof/>
        </w:rPr>
        <w:t>SaaS</w:t>
      </w:r>
      <w:r w:rsidR="00AB4577">
        <w:rPr>
          <w:noProof/>
        </w:rPr>
        <w:t>)</w:t>
      </w:r>
      <w:r w:rsidR="00110EB7">
        <w:rPr>
          <w:noProof/>
        </w:rPr>
        <w:t xml:space="preserve">. </w:t>
      </w:r>
      <w:r w:rsidR="00110EB7" w:rsidRPr="00110EB7">
        <w:rPr>
          <w:noProof/>
        </w:rPr>
        <w:t xml:space="preserve">The growing weight of PaaS and the shift towards AI </w:t>
      </w:r>
      <w:r w:rsidR="00D910D3">
        <w:rPr>
          <w:noProof/>
        </w:rPr>
        <w:t>(mostly deployed as SaaS)</w:t>
      </w:r>
      <w:r w:rsidR="00110EB7" w:rsidRPr="00110EB7">
        <w:rPr>
          <w:noProof/>
        </w:rPr>
        <w:t xml:space="preserve"> </w:t>
      </w:r>
      <w:r w:rsidR="00110EB7">
        <w:rPr>
          <w:noProof/>
        </w:rPr>
        <w:t>has been</w:t>
      </w:r>
      <w:r w:rsidR="00110EB7" w:rsidRPr="00110EB7">
        <w:rPr>
          <w:noProof/>
        </w:rPr>
        <w:t xml:space="preserve"> a key market dynamic</w:t>
      </w:r>
      <w:r w:rsidR="00110EB7">
        <w:rPr>
          <w:noProof/>
        </w:rPr>
        <w:t xml:space="preserve"> in the last years</w:t>
      </w:r>
      <w:r w:rsidR="00B7601A">
        <w:rPr>
          <w:noProof/>
        </w:rPr>
        <w:t xml:space="preserve"> and remains so to date</w:t>
      </w:r>
      <w:r w:rsidR="007D4A6A">
        <w:rPr>
          <w:noProof/>
        </w:rPr>
        <w:t>.</w:t>
      </w:r>
    </w:p>
    <w:p w14:paraId="5C84FF69" w14:textId="69968B71" w:rsidR="00455FBD" w:rsidRPr="00CA012E" w:rsidRDefault="001E5835" w:rsidP="00483282">
      <w:pPr>
        <w:pStyle w:val="Text1"/>
        <w:numPr>
          <w:ilvl w:val="0"/>
          <w:numId w:val="33"/>
        </w:numPr>
        <w:rPr>
          <w:noProof/>
        </w:rPr>
      </w:pPr>
      <w:r>
        <w:rPr>
          <w:noProof/>
        </w:rPr>
        <w:t>The e</w:t>
      </w:r>
      <w:r w:rsidR="00455FBD" w:rsidRPr="00CA012E">
        <w:rPr>
          <w:noProof/>
        </w:rPr>
        <w:t>mergence of new cloud native digital services</w:t>
      </w:r>
      <w:r w:rsidR="00C96DB2" w:rsidRPr="00CA012E">
        <w:rPr>
          <w:noProof/>
        </w:rPr>
        <w:t>: demand has increased with the rise of cloud-native platforms such as</w:t>
      </w:r>
      <w:r w:rsidR="00455FBD" w:rsidRPr="00CA012E">
        <w:rPr>
          <w:noProof/>
        </w:rPr>
        <w:t xml:space="preserve"> social media, </w:t>
      </w:r>
      <w:r w:rsidR="00996BBC" w:rsidRPr="00CA012E">
        <w:rPr>
          <w:noProof/>
        </w:rPr>
        <w:t xml:space="preserve">video and music </w:t>
      </w:r>
      <w:r w:rsidR="00455FBD" w:rsidRPr="00CA012E">
        <w:rPr>
          <w:noProof/>
        </w:rPr>
        <w:t xml:space="preserve">streaming, and </w:t>
      </w:r>
      <w:r w:rsidR="00185F8D" w:rsidRPr="00CA012E">
        <w:rPr>
          <w:noProof/>
        </w:rPr>
        <w:t>a broad range of Saa</w:t>
      </w:r>
      <w:r w:rsidR="006936ED">
        <w:rPr>
          <w:noProof/>
        </w:rPr>
        <w:t>S</w:t>
      </w:r>
      <w:r w:rsidR="00185F8D" w:rsidRPr="00CA012E">
        <w:rPr>
          <w:noProof/>
        </w:rPr>
        <w:t xml:space="preserve"> </w:t>
      </w:r>
      <w:r w:rsidR="00455FBD" w:rsidRPr="00CA012E">
        <w:rPr>
          <w:noProof/>
        </w:rPr>
        <w:t>applications such as Customer Relations Management</w:t>
      </w:r>
      <w:r w:rsidR="00185F8D" w:rsidRPr="00CA012E">
        <w:rPr>
          <w:noProof/>
        </w:rPr>
        <w:t xml:space="preserve"> tools</w:t>
      </w:r>
      <w:r w:rsidR="00455FBD" w:rsidRPr="00CA012E">
        <w:rPr>
          <w:noProof/>
        </w:rPr>
        <w:t xml:space="preserve">. </w:t>
      </w:r>
    </w:p>
    <w:p w14:paraId="4B1C6DCB" w14:textId="784AAB00" w:rsidR="00455FBD" w:rsidRDefault="00455FBD" w:rsidP="00FD18C6">
      <w:pPr>
        <w:pStyle w:val="Text1"/>
        <w:numPr>
          <w:ilvl w:val="0"/>
          <w:numId w:val="33"/>
        </w:numPr>
        <w:spacing w:after="120"/>
        <w:ind w:left="357" w:hanging="357"/>
        <w:rPr>
          <w:noProof/>
        </w:rPr>
      </w:pPr>
      <w:r w:rsidRPr="00CA012E">
        <w:rPr>
          <w:noProof/>
        </w:rPr>
        <w:t>Artificial Intelligence and data-driven business models</w:t>
      </w:r>
      <w:r w:rsidR="0077028D" w:rsidRPr="00CA012E">
        <w:rPr>
          <w:noProof/>
        </w:rPr>
        <w:t xml:space="preserve">: the diffusion of AI, advanced analytics and data-intensive applications </w:t>
      </w:r>
      <w:r w:rsidR="00AC0B5D" w:rsidRPr="00CA012E">
        <w:rPr>
          <w:noProof/>
        </w:rPr>
        <w:t>have</w:t>
      </w:r>
      <w:r w:rsidR="0077028D" w:rsidRPr="00CA012E">
        <w:rPr>
          <w:noProof/>
        </w:rPr>
        <w:t xml:space="preserve"> increased</w:t>
      </w:r>
      <w:r w:rsidR="0077028D">
        <w:rPr>
          <w:noProof/>
        </w:rPr>
        <w:t xml:space="preserve"> demand for </w:t>
      </w:r>
      <w:r>
        <w:rPr>
          <w:noProof/>
        </w:rPr>
        <w:t>compute power</w:t>
      </w:r>
      <w:r w:rsidR="00603679">
        <w:rPr>
          <w:noProof/>
        </w:rPr>
        <w:t xml:space="preserve">, often requiring </w:t>
      </w:r>
      <w:r w:rsidR="00696551">
        <w:rPr>
          <w:noProof/>
        </w:rPr>
        <w:t>processing capacity close to end-users to meet low-latency requirements, thus reinforcing the shift towards cloud and edge solutions.</w:t>
      </w:r>
    </w:p>
    <w:p w14:paraId="18F62759" w14:textId="18C84835" w:rsidR="00B24A9C" w:rsidRDefault="004D7120" w:rsidP="00455FBD">
      <w:pPr>
        <w:pStyle w:val="Text1"/>
        <w:ind w:left="0"/>
        <w:rPr>
          <w:noProof/>
        </w:rPr>
      </w:pPr>
      <w:r>
        <w:rPr>
          <w:noProof/>
        </w:rPr>
        <w:t xml:space="preserve">From 2017 to 2021, the European cloud market expanded rapidly, </w:t>
      </w:r>
      <w:r w:rsidR="009D3C5D">
        <w:rPr>
          <w:noProof/>
        </w:rPr>
        <w:t>notably during</w:t>
      </w:r>
      <w:r>
        <w:rPr>
          <w:noProof/>
        </w:rPr>
        <w:t xml:space="preserve"> Covid-19, which increased the use of digital services and boosted demand for cloud computing across the EU. However, most of the incremental demand was captured by US hyperscalers, whose share rose from around half to two-thirds of the market, while European providers’ collective share nearly halved</w:t>
      </w:r>
      <w:r w:rsidR="0044286F">
        <w:rPr>
          <w:rStyle w:val="EndnoteReference"/>
          <w:noProof/>
        </w:rPr>
        <w:endnoteReference w:id="38"/>
      </w:r>
      <w:r>
        <w:rPr>
          <w:noProof/>
        </w:rPr>
        <w:t xml:space="preserve">. </w:t>
      </w:r>
      <w:r w:rsidR="00A42821">
        <w:rPr>
          <w:noProof/>
        </w:rPr>
        <w:t xml:space="preserve">During this period, European </w:t>
      </w:r>
      <w:r w:rsidR="00704F4E">
        <w:rPr>
          <w:noProof/>
        </w:rPr>
        <w:t>CSPs</w:t>
      </w:r>
      <w:r w:rsidR="00A42821">
        <w:rPr>
          <w:noProof/>
        </w:rPr>
        <w:t xml:space="preserve"> were predominantly national or regional players serving domestic markets. They reacted to foreign competition by either specialising in use cases with stronger data sovereignty and privacy demands</w:t>
      </w:r>
      <w:r w:rsidR="00A42821">
        <w:rPr>
          <w:rStyle w:val="EndnoteReference"/>
          <w:noProof/>
        </w:rPr>
        <w:endnoteReference w:id="39"/>
      </w:r>
      <w:r w:rsidR="00A42821">
        <w:rPr>
          <w:noProof/>
        </w:rPr>
        <w:t xml:space="preserve"> or by developing partnerships with the hyperscalers</w:t>
      </w:r>
      <w:r w:rsidR="00C5717E">
        <w:rPr>
          <w:rStyle w:val="FootnoteReference"/>
          <w:noProof/>
        </w:rPr>
        <w:footnoteReference w:id="8"/>
      </w:r>
      <w:r w:rsidR="00A42821">
        <w:rPr>
          <w:noProof/>
        </w:rPr>
        <w:t xml:space="preserve">, rather than matching the broad footprint of US </w:t>
      </w:r>
      <w:r w:rsidR="00E03ACC">
        <w:rPr>
          <w:noProof/>
        </w:rPr>
        <w:t>providers</w:t>
      </w:r>
      <w:r w:rsidR="00A42821">
        <w:rPr>
          <w:noProof/>
        </w:rPr>
        <w:t xml:space="preserve">. </w:t>
      </w:r>
      <w:r w:rsidR="008C2D68">
        <w:rPr>
          <w:noProof/>
        </w:rPr>
        <w:t xml:space="preserve">This was the case too of European Telco providers who </w:t>
      </w:r>
      <w:r w:rsidR="00AB14D9">
        <w:rPr>
          <w:noProof/>
        </w:rPr>
        <w:t xml:space="preserve">ventured into </w:t>
      </w:r>
      <w:r w:rsidR="00FD18C6">
        <w:rPr>
          <w:noProof/>
        </w:rPr>
        <w:t>cloud services</w:t>
      </w:r>
      <w:r w:rsidR="00803804">
        <w:rPr>
          <w:noProof/>
        </w:rPr>
        <w:t>, but mostly partnering with US CSPs</w:t>
      </w:r>
      <w:r w:rsidR="00407F9F">
        <w:rPr>
          <w:noProof/>
        </w:rPr>
        <w:t>, becoming de facto resellers</w:t>
      </w:r>
      <w:r w:rsidR="00803804">
        <w:rPr>
          <w:noProof/>
        </w:rPr>
        <w:t>.</w:t>
      </w:r>
      <w:r w:rsidR="00A42821">
        <w:rPr>
          <w:noProof/>
        </w:rPr>
        <w:t xml:space="preserve"> </w:t>
      </w:r>
      <w:r w:rsidR="008E21FF">
        <w:rPr>
          <w:noProof/>
        </w:rPr>
        <w:t xml:space="preserve">The 2021 </w:t>
      </w:r>
      <w:r w:rsidR="008E21FF" w:rsidRPr="007A1D90">
        <w:rPr>
          <w:noProof/>
        </w:rPr>
        <w:t>European industrial technology roadmap for the next generation cloud-edge offering</w:t>
      </w:r>
      <w:r w:rsidR="008E21FF">
        <w:rPr>
          <w:noProof/>
        </w:rPr>
        <w:t>, prepared by key European players, argued that the European digital market was “</w:t>
      </w:r>
      <w:r w:rsidR="008E21FF" w:rsidRPr="0034404F">
        <w:rPr>
          <w:i/>
          <w:noProof/>
        </w:rPr>
        <w:t>fragmented into local realms, individually lacking the critical mass for players to scale and compete</w:t>
      </w:r>
      <w:r w:rsidR="008E21FF">
        <w:rPr>
          <w:noProof/>
        </w:rPr>
        <w:t xml:space="preserve">” with </w:t>
      </w:r>
      <w:r w:rsidR="001B0AA1">
        <w:rPr>
          <w:noProof/>
        </w:rPr>
        <w:t>the US and China</w:t>
      </w:r>
      <w:r w:rsidR="008E21FF">
        <w:rPr>
          <w:rStyle w:val="EndnoteReference"/>
          <w:noProof/>
        </w:rPr>
        <w:endnoteReference w:id="40"/>
      </w:r>
      <w:r w:rsidR="008E21FF">
        <w:rPr>
          <w:noProof/>
        </w:rPr>
        <w:t xml:space="preserve">. </w:t>
      </w:r>
      <w:r w:rsidR="00A42821">
        <w:rPr>
          <w:noProof/>
        </w:rPr>
        <w:t xml:space="preserve">Despite strong revenue growth, the market share of European providers declined. </w:t>
      </w:r>
      <w:r w:rsidR="00D4388B">
        <w:rPr>
          <w:noProof/>
        </w:rPr>
        <w:t>By contrast, l</w:t>
      </w:r>
      <w:r w:rsidR="00EA482E">
        <w:rPr>
          <w:noProof/>
        </w:rPr>
        <w:t xml:space="preserve">arge </w:t>
      </w:r>
      <w:r w:rsidR="00D8278F">
        <w:rPr>
          <w:noProof/>
        </w:rPr>
        <w:t xml:space="preserve">US providers have been able to benefit given their early, large-scale deployment of cloud offerings, which put them in a position to capture this market growth. </w:t>
      </w:r>
      <w:r w:rsidR="00FF5D6A">
        <w:rPr>
          <w:noProof/>
        </w:rPr>
        <w:t xml:space="preserve">This was made </w:t>
      </w:r>
      <w:r w:rsidR="00A85C6E">
        <w:rPr>
          <w:noProof/>
        </w:rPr>
        <w:t xml:space="preserve">possible by </w:t>
      </w:r>
      <w:r w:rsidR="007867BA">
        <w:rPr>
          <w:noProof/>
        </w:rPr>
        <w:t>three</w:t>
      </w:r>
      <w:r w:rsidR="00A85C6E">
        <w:rPr>
          <w:noProof/>
        </w:rPr>
        <w:t xml:space="preserve"> elements. </w:t>
      </w:r>
    </w:p>
    <w:p w14:paraId="7DDA10FC" w14:textId="3A1CBB45" w:rsidR="00455FBD" w:rsidRDefault="00EA482E" w:rsidP="00455FBD">
      <w:pPr>
        <w:pStyle w:val="Text1"/>
        <w:ind w:left="0"/>
        <w:rPr>
          <w:noProof/>
        </w:rPr>
      </w:pPr>
      <w:r>
        <w:rPr>
          <w:noProof/>
        </w:rPr>
        <w:t>Firstly,</w:t>
      </w:r>
      <w:r w:rsidR="00EC4A3A">
        <w:rPr>
          <w:noProof/>
        </w:rPr>
        <w:t xml:space="preserve"> US </w:t>
      </w:r>
      <w:r w:rsidR="00F96D5E">
        <w:rPr>
          <w:noProof/>
        </w:rPr>
        <w:t>CSPs</w:t>
      </w:r>
      <w:r w:rsidR="00EC4A3A">
        <w:rPr>
          <w:noProof/>
        </w:rPr>
        <w:t xml:space="preserve"> were </w:t>
      </w:r>
      <w:r w:rsidR="00F96D5E">
        <w:rPr>
          <w:noProof/>
        </w:rPr>
        <w:t xml:space="preserve">able </w:t>
      </w:r>
      <w:r w:rsidR="008F4F9C">
        <w:rPr>
          <w:noProof/>
        </w:rPr>
        <w:t>to build</w:t>
      </w:r>
      <w:r w:rsidR="003721C8">
        <w:rPr>
          <w:noProof/>
        </w:rPr>
        <w:t xml:space="preserve"> on an</w:t>
      </w:r>
      <w:r w:rsidR="00455FBD">
        <w:rPr>
          <w:noProof/>
        </w:rPr>
        <w:t xml:space="preserve"> </w:t>
      </w:r>
      <w:r w:rsidR="00706163">
        <w:rPr>
          <w:noProof/>
        </w:rPr>
        <w:t>early</w:t>
      </w:r>
      <w:r w:rsidR="00455FBD">
        <w:rPr>
          <w:noProof/>
        </w:rPr>
        <w:t xml:space="preserve"> </w:t>
      </w:r>
      <w:r w:rsidR="008F4F9C">
        <w:rPr>
          <w:noProof/>
        </w:rPr>
        <w:t>growth</w:t>
      </w:r>
      <w:r w:rsidR="00455FBD">
        <w:rPr>
          <w:noProof/>
        </w:rPr>
        <w:t xml:space="preserve"> </w:t>
      </w:r>
      <w:r w:rsidR="00706163">
        <w:rPr>
          <w:noProof/>
        </w:rPr>
        <w:t>driven by</w:t>
      </w:r>
      <w:r w:rsidR="00455FBD">
        <w:rPr>
          <w:noProof/>
        </w:rPr>
        <w:t xml:space="preserve"> US government</w:t>
      </w:r>
      <w:r w:rsidR="00706163">
        <w:rPr>
          <w:noProof/>
        </w:rPr>
        <w:t xml:space="preserve"> adoption</w:t>
      </w:r>
      <w:r w:rsidR="00455FBD">
        <w:rPr>
          <w:noProof/>
        </w:rPr>
        <w:t>.</w:t>
      </w:r>
      <w:r w:rsidR="00455FBD" w:rsidRPr="00D37004">
        <w:rPr>
          <w:noProof/>
        </w:rPr>
        <w:t xml:space="preserve"> In 2013, the Central Intelligence Agency awarded a USD 600 </w:t>
      </w:r>
      <w:r w:rsidR="00455FBD">
        <w:rPr>
          <w:noProof/>
        </w:rPr>
        <w:t>m</w:t>
      </w:r>
      <w:r w:rsidR="00455FBD" w:rsidRPr="00D37004">
        <w:rPr>
          <w:noProof/>
        </w:rPr>
        <w:t xml:space="preserve"> contract to AWS</w:t>
      </w:r>
      <w:r w:rsidR="00455FBD" w:rsidRPr="00D37004">
        <w:rPr>
          <w:rStyle w:val="EndnoteReference"/>
          <w:noProof/>
        </w:rPr>
        <w:endnoteReference w:id="41"/>
      </w:r>
      <w:r w:rsidR="00455FBD" w:rsidRPr="00D37004">
        <w:rPr>
          <w:noProof/>
        </w:rPr>
        <w:t>, followed by the award of a fifteen-year multi-billion-dollar contract for the development of the “Commercial Cloud Enterprise” to AWS, Google, IBM, Microsoft and Oracle. The Department of Defence awarded additional siz</w:t>
      </w:r>
      <w:r w:rsidR="00455FBD">
        <w:rPr>
          <w:noProof/>
        </w:rPr>
        <w:t>e</w:t>
      </w:r>
      <w:r w:rsidR="00455FBD" w:rsidRPr="00D37004">
        <w:rPr>
          <w:noProof/>
        </w:rPr>
        <w:t>able contracts to these providers for developing secure cloud services or enabling the migration to the cloud of agencies like DARPA</w:t>
      </w:r>
      <w:r w:rsidR="00455FBD" w:rsidRPr="00D37004">
        <w:rPr>
          <w:rStyle w:val="FootnoteReference"/>
          <w:noProof/>
        </w:rPr>
        <w:footnoteReference w:id="9"/>
      </w:r>
      <w:r w:rsidR="00455FBD" w:rsidRPr="00D37004">
        <w:rPr>
          <w:noProof/>
        </w:rPr>
        <w:t>. These early and large-scale public contracts ensur</w:t>
      </w:r>
      <w:r w:rsidR="00455FBD">
        <w:rPr>
          <w:noProof/>
        </w:rPr>
        <w:t>ed</w:t>
      </w:r>
      <w:r w:rsidR="00455FBD" w:rsidRPr="00D37004">
        <w:rPr>
          <w:noProof/>
        </w:rPr>
        <w:t xml:space="preserve"> fixed revenues </w:t>
      </w:r>
      <w:r w:rsidR="00455FBD">
        <w:rPr>
          <w:noProof/>
        </w:rPr>
        <w:t>and</w:t>
      </w:r>
      <w:r w:rsidR="00455FBD" w:rsidRPr="00D37004">
        <w:rPr>
          <w:noProof/>
        </w:rPr>
        <w:t xml:space="preserve"> allowed these providers to grow their portfolio, often with particularly secure services resulting from the stringent requirements of the US administration. These providers carried their first-mover advantage to Europe demand for cloud services was just emerging</w:t>
      </w:r>
      <w:r w:rsidR="00455FBD" w:rsidRPr="00D37004">
        <w:rPr>
          <w:rStyle w:val="EndnoteReference"/>
          <w:noProof/>
        </w:rPr>
        <w:endnoteReference w:id="42"/>
      </w:r>
      <w:r w:rsidR="00455FBD" w:rsidRPr="00D37004">
        <w:rPr>
          <w:noProof/>
        </w:rPr>
        <w:t xml:space="preserve">, </w:t>
      </w:r>
      <w:r w:rsidR="00065631">
        <w:rPr>
          <w:noProof/>
        </w:rPr>
        <w:t xml:space="preserve">driving </w:t>
      </w:r>
      <w:r w:rsidR="00F93C81">
        <w:rPr>
          <w:noProof/>
        </w:rPr>
        <w:t xml:space="preserve">early </w:t>
      </w:r>
      <w:r w:rsidR="00455FBD" w:rsidRPr="00D37004">
        <w:rPr>
          <w:noProof/>
        </w:rPr>
        <w:t>European cloud users to turn to US providers</w:t>
      </w:r>
      <w:r w:rsidR="00455FBD" w:rsidRPr="00D37004">
        <w:rPr>
          <w:rStyle w:val="FootnoteReference"/>
          <w:noProof/>
        </w:rPr>
        <w:footnoteReference w:id="10"/>
      </w:r>
      <w:r w:rsidR="00455FBD" w:rsidRPr="00D37004">
        <w:rPr>
          <w:noProof/>
        </w:rPr>
        <w:t>.</w:t>
      </w:r>
      <w:r w:rsidR="00455FBD">
        <w:rPr>
          <w:noProof/>
        </w:rPr>
        <w:t xml:space="preserve"> </w:t>
      </w:r>
      <w:r w:rsidR="009E17CA">
        <w:rPr>
          <w:noProof/>
        </w:rPr>
        <w:t>As well, i</w:t>
      </w:r>
      <w:r w:rsidR="00A41A62">
        <w:rPr>
          <w:noProof/>
        </w:rPr>
        <w:t xml:space="preserve">n the shift from </w:t>
      </w:r>
      <w:r w:rsidR="008D6877">
        <w:rPr>
          <w:noProof/>
        </w:rPr>
        <w:t>on-premises</w:t>
      </w:r>
      <w:r w:rsidR="00A41A62">
        <w:rPr>
          <w:noProof/>
        </w:rPr>
        <w:t xml:space="preserve"> to cloud solutions, hyperscaler</w:t>
      </w:r>
      <w:r w:rsidR="008D6877">
        <w:rPr>
          <w:noProof/>
        </w:rPr>
        <w:t>s</w:t>
      </w:r>
      <w:r w:rsidR="00A41A62">
        <w:rPr>
          <w:noProof/>
        </w:rPr>
        <w:t xml:space="preserve"> extensively </w:t>
      </w:r>
      <w:r w:rsidR="00A72BB0">
        <w:rPr>
          <w:noProof/>
        </w:rPr>
        <w:t>used</w:t>
      </w:r>
      <w:r w:rsidR="00A42821">
        <w:rPr>
          <w:noProof/>
        </w:rPr>
        <w:t xml:space="preserve"> </w:t>
      </w:r>
      <w:r w:rsidR="00251A7D">
        <w:rPr>
          <w:noProof/>
        </w:rPr>
        <w:t>partner</w:t>
      </w:r>
      <w:r w:rsidR="00A42821">
        <w:rPr>
          <w:noProof/>
        </w:rPr>
        <w:t xml:space="preserve"> networks</w:t>
      </w:r>
      <w:r w:rsidR="0086239B">
        <w:rPr>
          <w:noProof/>
        </w:rPr>
        <w:t xml:space="preserve">. By offering </w:t>
      </w:r>
      <w:r w:rsidR="00A72BB0">
        <w:rPr>
          <w:noProof/>
        </w:rPr>
        <w:t xml:space="preserve">dedicated </w:t>
      </w:r>
      <w:r w:rsidR="0086239B">
        <w:rPr>
          <w:noProof/>
        </w:rPr>
        <w:t>training and skill certification</w:t>
      </w:r>
      <w:r w:rsidR="00A72BB0">
        <w:rPr>
          <w:noProof/>
        </w:rPr>
        <w:t>s</w:t>
      </w:r>
      <w:r w:rsidR="0086239B">
        <w:rPr>
          <w:noProof/>
        </w:rPr>
        <w:t>, t</w:t>
      </w:r>
      <w:r w:rsidR="00A41A62">
        <w:rPr>
          <w:noProof/>
        </w:rPr>
        <w:t xml:space="preserve">hey </w:t>
      </w:r>
      <w:r w:rsidR="004E2EB4">
        <w:rPr>
          <w:noProof/>
        </w:rPr>
        <w:t xml:space="preserve">engaged in partnerships with </w:t>
      </w:r>
      <w:r w:rsidR="00A72BB0">
        <w:rPr>
          <w:noProof/>
        </w:rPr>
        <w:t>consulting</w:t>
      </w:r>
      <w:r w:rsidR="0086239B">
        <w:rPr>
          <w:noProof/>
        </w:rPr>
        <w:t xml:space="preserve"> </w:t>
      </w:r>
      <w:r w:rsidR="004E2EB4">
        <w:rPr>
          <w:noProof/>
        </w:rPr>
        <w:t>firms</w:t>
      </w:r>
      <w:r w:rsidR="00A72BB0">
        <w:rPr>
          <w:noProof/>
        </w:rPr>
        <w:t xml:space="preserve"> and resellers</w:t>
      </w:r>
      <w:r w:rsidR="004E2EB4">
        <w:rPr>
          <w:noProof/>
        </w:rPr>
        <w:t xml:space="preserve">, </w:t>
      </w:r>
      <w:r w:rsidR="00A42821">
        <w:rPr>
          <w:noProof/>
        </w:rPr>
        <w:t xml:space="preserve">through which </w:t>
      </w:r>
      <w:r w:rsidR="0086239B">
        <w:rPr>
          <w:noProof/>
        </w:rPr>
        <w:t>they</w:t>
      </w:r>
      <w:r w:rsidR="00A42821">
        <w:rPr>
          <w:noProof/>
        </w:rPr>
        <w:t xml:space="preserve"> could rapidly </w:t>
      </w:r>
      <w:r w:rsidR="000E1433">
        <w:rPr>
          <w:noProof/>
        </w:rPr>
        <w:t>expand</w:t>
      </w:r>
      <w:r w:rsidR="00A42821">
        <w:rPr>
          <w:noProof/>
        </w:rPr>
        <w:t xml:space="preserve"> in local markets</w:t>
      </w:r>
      <w:r w:rsidR="00530131">
        <w:rPr>
          <w:rStyle w:val="EndnoteReference"/>
          <w:noProof/>
        </w:rPr>
        <w:endnoteReference w:id="43"/>
      </w:r>
      <w:r w:rsidR="00A42821">
        <w:rPr>
          <w:noProof/>
        </w:rPr>
        <w:t xml:space="preserve">. </w:t>
      </w:r>
      <w:r w:rsidR="00455FBD">
        <w:rPr>
          <w:noProof/>
        </w:rPr>
        <w:t xml:space="preserve"> </w:t>
      </w:r>
    </w:p>
    <w:p w14:paraId="31CA98C5" w14:textId="71D68D68" w:rsidR="00455FBD" w:rsidRDefault="009F7D81" w:rsidP="00455FBD">
      <w:pPr>
        <w:pStyle w:val="Text1"/>
        <w:ind w:left="0"/>
        <w:rPr>
          <w:noProof/>
        </w:rPr>
      </w:pPr>
      <w:r>
        <w:rPr>
          <w:noProof/>
        </w:rPr>
        <w:t>Secondly</w:t>
      </w:r>
      <w:r w:rsidR="00455FBD">
        <w:rPr>
          <w:noProof/>
        </w:rPr>
        <w:t>, the absence of a thriving tech industry in the EU</w:t>
      </w:r>
      <w:r w:rsidR="00A71657">
        <w:rPr>
          <w:noProof/>
        </w:rPr>
        <w:t xml:space="preserve"> prompted</w:t>
      </w:r>
      <w:r w:rsidR="00E40B15">
        <w:rPr>
          <w:noProof/>
        </w:rPr>
        <w:t xml:space="preserve"> </w:t>
      </w:r>
      <w:r w:rsidR="00455FBD">
        <w:rPr>
          <w:noProof/>
        </w:rPr>
        <w:t xml:space="preserve">US </w:t>
      </w:r>
      <w:r w:rsidR="00827BB6">
        <w:rPr>
          <w:noProof/>
        </w:rPr>
        <w:t>CSPs</w:t>
      </w:r>
      <w:r w:rsidR="00455FBD">
        <w:rPr>
          <w:noProof/>
        </w:rPr>
        <w:t xml:space="preserve"> </w:t>
      </w:r>
      <w:r w:rsidR="00E40B15">
        <w:rPr>
          <w:noProof/>
        </w:rPr>
        <w:t>to leverage their domestic</w:t>
      </w:r>
      <w:r w:rsidR="00455FBD">
        <w:rPr>
          <w:noProof/>
        </w:rPr>
        <w:t xml:space="preserve"> advantage </w:t>
      </w:r>
      <w:r w:rsidR="00A71657">
        <w:rPr>
          <w:noProof/>
        </w:rPr>
        <w:t xml:space="preserve">by </w:t>
      </w:r>
      <w:r w:rsidR="00D75414">
        <w:rPr>
          <w:noProof/>
        </w:rPr>
        <w:t>partnering</w:t>
      </w:r>
      <w:r w:rsidR="00455FBD">
        <w:rPr>
          <w:noProof/>
        </w:rPr>
        <w:t xml:space="preserve"> with large </w:t>
      </w:r>
      <w:r w:rsidR="00E40B15">
        <w:rPr>
          <w:noProof/>
        </w:rPr>
        <w:t xml:space="preserve">global </w:t>
      </w:r>
      <w:r w:rsidR="00455FBD">
        <w:rPr>
          <w:noProof/>
        </w:rPr>
        <w:t>tech</w:t>
      </w:r>
      <w:r w:rsidR="00E40B15">
        <w:rPr>
          <w:noProof/>
        </w:rPr>
        <w:t>nology</w:t>
      </w:r>
      <w:r w:rsidR="00455FBD">
        <w:rPr>
          <w:noProof/>
        </w:rPr>
        <w:t xml:space="preserve"> companies </w:t>
      </w:r>
      <w:r w:rsidR="00D35D95">
        <w:rPr>
          <w:noProof/>
        </w:rPr>
        <w:t xml:space="preserve">when </w:t>
      </w:r>
      <w:r w:rsidR="00D75414">
        <w:rPr>
          <w:noProof/>
        </w:rPr>
        <w:t>expanding into</w:t>
      </w:r>
      <w:r w:rsidR="00D35D95">
        <w:rPr>
          <w:noProof/>
        </w:rPr>
        <w:t xml:space="preserve"> the</w:t>
      </w:r>
      <w:r w:rsidR="002D58FF">
        <w:rPr>
          <w:noProof/>
        </w:rPr>
        <w:t xml:space="preserve"> European market</w:t>
      </w:r>
      <w:r w:rsidR="00D35D95">
        <w:rPr>
          <w:noProof/>
        </w:rPr>
        <w:t>.</w:t>
      </w:r>
      <w:r w:rsidR="00455FBD">
        <w:rPr>
          <w:noProof/>
        </w:rPr>
        <w:t xml:space="preserve"> </w:t>
      </w:r>
      <w:r w:rsidR="00D52B97">
        <w:rPr>
          <w:noProof/>
        </w:rPr>
        <w:t>Indeed, figures show that</w:t>
      </w:r>
      <w:r w:rsidR="00583183">
        <w:rPr>
          <w:noProof/>
        </w:rPr>
        <w:t xml:space="preserve"> </w:t>
      </w:r>
      <w:r w:rsidR="00D161A7">
        <w:rPr>
          <w:noProof/>
        </w:rPr>
        <w:t xml:space="preserve">cloud adoption </w:t>
      </w:r>
      <w:r w:rsidR="00D75414">
        <w:rPr>
          <w:noProof/>
        </w:rPr>
        <w:t xml:space="preserve">in the EU </w:t>
      </w:r>
      <w:r w:rsidR="00D161A7">
        <w:rPr>
          <w:noProof/>
        </w:rPr>
        <w:t>is driven by companies working in the ICT sector</w:t>
      </w:r>
      <w:r w:rsidR="00583183">
        <w:rPr>
          <w:rStyle w:val="EndnoteReference"/>
          <w:noProof/>
        </w:rPr>
        <w:endnoteReference w:id="44"/>
      </w:r>
      <w:r w:rsidR="00583183">
        <w:rPr>
          <w:noProof/>
        </w:rPr>
        <w:t xml:space="preserve">, </w:t>
      </w:r>
      <w:r w:rsidR="00B7115D">
        <w:rPr>
          <w:noProof/>
        </w:rPr>
        <w:t xml:space="preserve">which </w:t>
      </w:r>
      <w:r w:rsidR="00583183">
        <w:rPr>
          <w:noProof/>
        </w:rPr>
        <w:t xml:space="preserve">are </w:t>
      </w:r>
      <w:r w:rsidR="0046635C">
        <w:rPr>
          <w:noProof/>
        </w:rPr>
        <w:t xml:space="preserve">often </w:t>
      </w:r>
      <w:r w:rsidR="00583183">
        <w:rPr>
          <w:noProof/>
        </w:rPr>
        <w:t xml:space="preserve">not European </w:t>
      </w:r>
      <w:r w:rsidR="00455FBD" w:rsidRPr="00FB01FF">
        <w:rPr>
          <w:noProof/>
        </w:rPr>
        <w:t xml:space="preserve">and tend to buy </w:t>
      </w:r>
      <w:r w:rsidR="007D64A5">
        <w:rPr>
          <w:noProof/>
        </w:rPr>
        <w:t xml:space="preserve">the same </w:t>
      </w:r>
      <w:r w:rsidR="00455FBD" w:rsidRPr="00FB01FF">
        <w:rPr>
          <w:noProof/>
        </w:rPr>
        <w:t xml:space="preserve">cloud services </w:t>
      </w:r>
      <w:r w:rsidR="00AC1704">
        <w:rPr>
          <w:noProof/>
        </w:rPr>
        <w:t>as they buy domestically, i.e. US CSPs</w:t>
      </w:r>
      <w:r w:rsidR="0003283D">
        <w:rPr>
          <w:noProof/>
        </w:rPr>
        <w:t>.</w:t>
      </w:r>
      <w:r w:rsidR="00455FBD" w:rsidRPr="00FB01FF">
        <w:rPr>
          <w:noProof/>
        </w:rPr>
        <w:t xml:space="preserve"> </w:t>
      </w:r>
      <w:r w:rsidR="00A51F5B">
        <w:rPr>
          <w:noProof/>
        </w:rPr>
        <w:t xml:space="preserve">Some examples: </w:t>
      </w:r>
      <w:r w:rsidR="00455FBD" w:rsidRPr="00FB01FF">
        <w:rPr>
          <w:noProof/>
        </w:rPr>
        <w:t>Netflix</w:t>
      </w:r>
      <w:r w:rsidR="0003283D">
        <w:rPr>
          <w:noProof/>
        </w:rPr>
        <w:t xml:space="preserve">, which </w:t>
      </w:r>
      <w:r w:rsidR="00455FBD" w:rsidRPr="00FB01FF">
        <w:rPr>
          <w:noProof/>
        </w:rPr>
        <w:t xml:space="preserve">serves more than 50% of the </w:t>
      </w:r>
      <w:r w:rsidR="0003283D">
        <w:rPr>
          <w:noProof/>
        </w:rPr>
        <w:t xml:space="preserve">European </w:t>
      </w:r>
      <w:r w:rsidR="00455FBD" w:rsidRPr="00FB01FF">
        <w:rPr>
          <w:noProof/>
        </w:rPr>
        <w:t>video-on-demand market</w:t>
      </w:r>
      <w:r w:rsidR="006A1DC4">
        <w:rPr>
          <w:noProof/>
        </w:rPr>
        <w:t>,</w:t>
      </w:r>
      <w:r w:rsidR="00E57102">
        <w:rPr>
          <w:noProof/>
        </w:rPr>
        <w:t xml:space="preserve"> </w:t>
      </w:r>
      <w:r w:rsidR="003B535C">
        <w:rPr>
          <w:noProof/>
        </w:rPr>
        <w:t>rel</w:t>
      </w:r>
      <w:r w:rsidR="00EA1EA9">
        <w:rPr>
          <w:noProof/>
        </w:rPr>
        <w:t>ies</w:t>
      </w:r>
      <w:r w:rsidR="00E57102">
        <w:rPr>
          <w:noProof/>
        </w:rPr>
        <w:t xml:space="preserve"> exclusively on AWS for</w:t>
      </w:r>
      <w:r w:rsidR="00455FBD" w:rsidRPr="00FB01FF">
        <w:rPr>
          <w:noProof/>
        </w:rPr>
        <w:t xml:space="preserve"> </w:t>
      </w:r>
      <w:r w:rsidR="004028BD">
        <w:rPr>
          <w:noProof/>
        </w:rPr>
        <w:t xml:space="preserve">its </w:t>
      </w:r>
      <w:r w:rsidR="003B535C">
        <w:rPr>
          <w:noProof/>
        </w:rPr>
        <w:t xml:space="preserve">core </w:t>
      </w:r>
      <w:r w:rsidR="00455FBD" w:rsidRPr="00FB01FF">
        <w:rPr>
          <w:noProof/>
        </w:rPr>
        <w:t xml:space="preserve">cloud </w:t>
      </w:r>
      <w:r w:rsidR="004028BD">
        <w:rPr>
          <w:noProof/>
        </w:rPr>
        <w:t>infrastructure</w:t>
      </w:r>
      <w:r w:rsidR="00455FBD">
        <w:rPr>
          <w:rStyle w:val="EndnoteReference"/>
          <w:noProof/>
        </w:rPr>
        <w:endnoteReference w:id="45"/>
      </w:r>
      <w:r w:rsidR="00250AE4">
        <w:rPr>
          <w:noProof/>
        </w:rPr>
        <w:t xml:space="preserve">; </w:t>
      </w:r>
      <w:r w:rsidR="00455FBD" w:rsidRPr="00FB01FF">
        <w:rPr>
          <w:noProof/>
        </w:rPr>
        <w:t xml:space="preserve">the Amazon </w:t>
      </w:r>
      <w:r w:rsidR="00455FBD">
        <w:rPr>
          <w:noProof/>
        </w:rPr>
        <w:t>(retail)</w:t>
      </w:r>
      <w:r w:rsidR="00455FBD" w:rsidRPr="00FB01FF">
        <w:rPr>
          <w:noProof/>
        </w:rPr>
        <w:t xml:space="preserve"> Marketplace serves as an anchor customer for AWS</w:t>
      </w:r>
      <w:r w:rsidR="00455FBD">
        <w:rPr>
          <w:noProof/>
        </w:rPr>
        <w:t>, its own cloud services offering</w:t>
      </w:r>
      <w:r w:rsidR="00455FBD" w:rsidRPr="00FB01FF">
        <w:rPr>
          <w:noProof/>
        </w:rPr>
        <w:t xml:space="preserve">. </w:t>
      </w:r>
    </w:p>
    <w:p w14:paraId="4255EFDF" w14:textId="2873B6F9" w:rsidR="00CC461C" w:rsidRDefault="00327687" w:rsidP="007423BD">
      <w:pPr>
        <w:pStyle w:val="Text1"/>
        <w:ind w:left="0"/>
        <w:rPr>
          <w:noProof/>
        </w:rPr>
      </w:pPr>
      <w:r>
        <w:rPr>
          <w:noProof/>
        </w:rPr>
        <w:t>With respect</w:t>
      </w:r>
      <w:r w:rsidR="00455FBD">
        <w:rPr>
          <w:noProof/>
        </w:rPr>
        <w:t xml:space="preserve"> </w:t>
      </w:r>
      <w:r w:rsidR="00EE1C90">
        <w:rPr>
          <w:noProof/>
        </w:rPr>
        <w:t>to market</w:t>
      </w:r>
      <w:r w:rsidR="00455FBD">
        <w:rPr>
          <w:noProof/>
        </w:rPr>
        <w:t xml:space="preserve"> dynamics,</w:t>
      </w:r>
      <w:r w:rsidR="0059371D">
        <w:rPr>
          <w:noProof/>
        </w:rPr>
        <w:t xml:space="preserve"> </w:t>
      </w:r>
      <w:r w:rsidR="00EE1C90">
        <w:rPr>
          <w:noProof/>
        </w:rPr>
        <w:t>competition in cloud services</w:t>
      </w:r>
      <w:r w:rsidR="00F179FF">
        <w:rPr>
          <w:noProof/>
        </w:rPr>
        <w:t xml:space="preserve">, like other capital-intensive network industries, </w:t>
      </w:r>
      <w:r>
        <w:rPr>
          <w:noProof/>
        </w:rPr>
        <w:t xml:space="preserve">is characterised </w:t>
      </w:r>
      <w:r w:rsidR="00D75414">
        <w:rPr>
          <w:noProof/>
        </w:rPr>
        <w:t>by</w:t>
      </w:r>
      <w:r>
        <w:rPr>
          <w:noProof/>
        </w:rPr>
        <w:t xml:space="preserve"> </w:t>
      </w:r>
      <w:r w:rsidR="00F179FF">
        <w:rPr>
          <w:noProof/>
        </w:rPr>
        <w:t xml:space="preserve">distinct supply and demand side </w:t>
      </w:r>
      <w:r>
        <w:rPr>
          <w:noProof/>
        </w:rPr>
        <w:t>elements</w:t>
      </w:r>
      <w:r w:rsidR="00F179FF">
        <w:rPr>
          <w:noProof/>
        </w:rPr>
        <w:t xml:space="preserve">. </w:t>
      </w:r>
    </w:p>
    <w:p w14:paraId="2D11885F" w14:textId="141197AB" w:rsidR="009A070E" w:rsidRDefault="00F179FF" w:rsidP="00B02F38">
      <w:pPr>
        <w:rPr>
          <w:noProof/>
        </w:rPr>
      </w:pPr>
      <w:r>
        <w:rPr>
          <w:noProof/>
        </w:rPr>
        <w:t>On the supply side, cloud markets are</w:t>
      </w:r>
      <w:r w:rsidR="009C6E90">
        <w:rPr>
          <w:noProof/>
        </w:rPr>
        <w:t xml:space="preserve"> defined by considerable sunk costs associated with data centre deployment, </w:t>
      </w:r>
      <w:r w:rsidR="003B3A7B">
        <w:rPr>
          <w:noProof/>
        </w:rPr>
        <w:t xml:space="preserve">with </w:t>
      </w:r>
      <w:r w:rsidR="009D2CA8">
        <w:rPr>
          <w:noProof/>
        </w:rPr>
        <w:t>long</w:t>
      </w:r>
      <w:r w:rsidR="003B3A7B">
        <w:rPr>
          <w:noProof/>
        </w:rPr>
        <w:t xml:space="preserve"> investment times and substantial economies of scale and scope. These characteristics tend to benefit large providers wh</w:t>
      </w:r>
      <w:r w:rsidR="00B763ED">
        <w:rPr>
          <w:noProof/>
        </w:rPr>
        <w:t>ich</w:t>
      </w:r>
      <w:r w:rsidR="003B3A7B">
        <w:rPr>
          <w:noProof/>
        </w:rPr>
        <w:t xml:space="preserve"> can fund </w:t>
      </w:r>
      <w:r w:rsidR="00FE20F4">
        <w:rPr>
          <w:noProof/>
        </w:rPr>
        <w:t xml:space="preserve">expensive </w:t>
      </w:r>
      <w:r w:rsidR="00224A42">
        <w:rPr>
          <w:noProof/>
        </w:rPr>
        <w:t>compute capacity</w:t>
      </w:r>
      <w:r w:rsidR="003B3A7B">
        <w:rPr>
          <w:noProof/>
        </w:rPr>
        <w:t xml:space="preserve"> and distribute costs across a wide customer base and a diverse service portfolio. </w:t>
      </w:r>
      <w:r w:rsidR="00DB3E76">
        <w:rPr>
          <w:noProof/>
        </w:rPr>
        <w:t>When looking at infrastructure,</w:t>
      </w:r>
      <w:r w:rsidR="001902CB">
        <w:rPr>
          <w:noProof/>
        </w:rPr>
        <w:t xml:space="preserve"> high fixed costs</w:t>
      </w:r>
      <w:r w:rsidR="00377293">
        <w:rPr>
          <w:noProof/>
        </w:rPr>
        <w:t xml:space="preserve"> constitute a </w:t>
      </w:r>
      <w:r w:rsidR="00A94412">
        <w:rPr>
          <w:noProof/>
        </w:rPr>
        <w:t>major barrier</w:t>
      </w:r>
      <w:r w:rsidR="00377293">
        <w:rPr>
          <w:noProof/>
        </w:rPr>
        <w:t xml:space="preserve"> to entry. The cloud and AI infrastructure market is capital-intensive: </w:t>
      </w:r>
      <w:r w:rsidR="00727E9D">
        <w:rPr>
          <w:noProof/>
        </w:rPr>
        <w:t>building</w:t>
      </w:r>
      <w:r w:rsidR="00377293">
        <w:rPr>
          <w:noProof/>
        </w:rPr>
        <w:t xml:space="preserve"> and equipping data centres requires large upfront </w:t>
      </w:r>
      <w:r w:rsidR="00A94412">
        <w:rPr>
          <w:noProof/>
        </w:rPr>
        <w:t>investment,</w:t>
      </w:r>
      <w:r w:rsidR="00377293">
        <w:rPr>
          <w:noProof/>
        </w:rPr>
        <w:t xml:space="preserve"> and providers </w:t>
      </w:r>
      <w:r w:rsidR="00DB74E2">
        <w:rPr>
          <w:noProof/>
        </w:rPr>
        <w:t>are able to</w:t>
      </w:r>
      <w:r w:rsidR="00377293">
        <w:rPr>
          <w:noProof/>
        </w:rPr>
        <w:t xml:space="preserve"> secure financing if they expect sufficient demand</w:t>
      </w:r>
      <w:r w:rsidR="00A94412" w:rsidRPr="00A94412">
        <w:rPr>
          <w:noProof/>
        </w:rPr>
        <w:t xml:space="preserve"> </w:t>
      </w:r>
      <w:r w:rsidR="00A94412">
        <w:rPr>
          <w:noProof/>
        </w:rPr>
        <w:t>and market share gains</w:t>
      </w:r>
      <w:r w:rsidR="00377293">
        <w:rPr>
          <w:noProof/>
        </w:rPr>
        <w:t xml:space="preserve">. </w:t>
      </w:r>
      <w:r w:rsidR="009B0F49">
        <w:rPr>
          <w:noProof/>
        </w:rPr>
        <w:t xml:space="preserve">Differences </w:t>
      </w:r>
      <w:r w:rsidR="00A977D9">
        <w:rPr>
          <w:noProof/>
        </w:rPr>
        <w:t xml:space="preserve">in deployment procedures among </w:t>
      </w:r>
      <w:r w:rsidR="0083106A">
        <w:rPr>
          <w:noProof/>
        </w:rPr>
        <w:t xml:space="preserve">Member States create transaction costs </w:t>
      </w:r>
      <w:r w:rsidR="00A977D9">
        <w:rPr>
          <w:noProof/>
        </w:rPr>
        <w:t xml:space="preserve">within </w:t>
      </w:r>
      <w:r w:rsidR="0083106A">
        <w:rPr>
          <w:noProof/>
        </w:rPr>
        <w:t xml:space="preserve">the single market, </w:t>
      </w:r>
      <w:r w:rsidR="00A977D9">
        <w:rPr>
          <w:noProof/>
        </w:rPr>
        <w:t>affecting</w:t>
      </w:r>
      <w:r w:rsidR="00D4475A">
        <w:rPr>
          <w:noProof/>
        </w:rPr>
        <w:t xml:space="preserve"> the profitability of new projects. These costs </w:t>
      </w:r>
      <w:r w:rsidR="00A977D9">
        <w:rPr>
          <w:noProof/>
        </w:rPr>
        <w:t>are more easily</w:t>
      </w:r>
      <w:r w:rsidR="00D4475A">
        <w:rPr>
          <w:noProof/>
        </w:rPr>
        <w:t xml:space="preserve"> absorbed by larger providers </w:t>
      </w:r>
      <w:r w:rsidR="00A977D9">
        <w:rPr>
          <w:noProof/>
        </w:rPr>
        <w:t>but</w:t>
      </w:r>
      <w:r w:rsidR="00833DA7">
        <w:rPr>
          <w:noProof/>
        </w:rPr>
        <w:t xml:space="preserve"> remain </w:t>
      </w:r>
      <w:r w:rsidR="00D4475A">
        <w:rPr>
          <w:noProof/>
        </w:rPr>
        <w:t>prohibitive for smaller firms</w:t>
      </w:r>
      <w:r w:rsidR="00525D42">
        <w:rPr>
          <w:noProof/>
        </w:rPr>
        <w:t xml:space="preserve">. </w:t>
      </w:r>
      <w:r w:rsidR="006744B8">
        <w:rPr>
          <w:noProof/>
        </w:rPr>
        <w:t xml:space="preserve">Access to funding is also slower and more complex for </w:t>
      </w:r>
      <w:r w:rsidR="00833DA7">
        <w:rPr>
          <w:noProof/>
        </w:rPr>
        <w:t xml:space="preserve">small </w:t>
      </w:r>
      <w:r w:rsidR="00864F78">
        <w:rPr>
          <w:noProof/>
        </w:rPr>
        <w:t>enterprises</w:t>
      </w:r>
      <w:r w:rsidR="006744B8">
        <w:rPr>
          <w:noProof/>
        </w:rPr>
        <w:t>.</w:t>
      </w:r>
      <w:r w:rsidR="00AA27BD" w:rsidRPr="00AA27BD">
        <w:rPr>
          <w:noProof/>
        </w:rPr>
        <w:t xml:space="preserve"> </w:t>
      </w:r>
      <w:r w:rsidR="009A070E">
        <w:rPr>
          <w:noProof/>
        </w:rPr>
        <w:t xml:space="preserve">By contrast, AWS, Microsoft and Google </w:t>
      </w:r>
      <w:r w:rsidR="00864F78">
        <w:rPr>
          <w:noProof/>
        </w:rPr>
        <w:t>were able to collectively</w:t>
      </w:r>
      <w:r w:rsidR="009A070E">
        <w:rPr>
          <w:noProof/>
        </w:rPr>
        <w:t xml:space="preserve"> invest around </w:t>
      </w:r>
      <w:r w:rsidR="00864F78">
        <w:rPr>
          <w:noProof/>
        </w:rPr>
        <w:t xml:space="preserve">EUR </w:t>
      </w:r>
      <w:r w:rsidR="009A070E">
        <w:rPr>
          <w:noProof/>
        </w:rPr>
        <w:t>12 bn in European infrastructure in 2020</w:t>
      </w:r>
      <w:r w:rsidR="00864F78">
        <w:rPr>
          <w:noProof/>
        </w:rPr>
        <w:t xml:space="preserve"> alone</w:t>
      </w:r>
      <w:r w:rsidR="009A070E">
        <w:rPr>
          <w:noProof/>
        </w:rPr>
        <w:t xml:space="preserve">, </w:t>
      </w:r>
      <w:r w:rsidR="00864F78">
        <w:rPr>
          <w:noProof/>
        </w:rPr>
        <w:t>marking a</w:t>
      </w:r>
      <w:r w:rsidR="009A070E">
        <w:rPr>
          <w:noProof/>
        </w:rPr>
        <w:t xml:space="preserve"> 20% </w:t>
      </w:r>
      <w:r w:rsidR="00864F78">
        <w:rPr>
          <w:noProof/>
        </w:rPr>
        <w:t xml:space="preserve">increase compared </w:t>
      </w:r>
      <w:r w:rsidR="009A070E">
        <w:rPr>
          <w:noProof/>
        </w:rPr>
        <w:t>to the previous year</w:t>
      </w:r>
      <w:r w:rsidR="00EF53EC">
        <w:rPr>
          <w:rStyle w:val="EndnoteReference"/>
          <w:noProof/>
        </w:rPr>
        <w:endnoteReference w:id="46"/>
      </w:r>
      <w:r w:rsidR="009A070E">
        <w:rPr>
          <w:noProof/>
        </w:rPr>
        <w:t xml:space="preserve">. This investment capacity was underpinned by vertically integrated businesses and diversified revenue streams. The French Autorité de la Concurrence, in its 2023 opinion on cloud services, emphasised that hyperscalers benefit from “conglomerate” structures, i.e. their presence in multiple digital markets allows them to develop credit systems and discounts using their market power to accelerate cloud growth. Similarly, </w:t>
      </w:r>
      <w:r w:rsidR="002A75AA">
        <w:rPr>
          <w:noProof/>
        </w:rPr>
        <w:t>a</w:t>
      </w:r>
      <w:r w:rsidR="009A070E">
        <w:rPr>
          <w:noProof/>
        </w:rPr>
        <w:t xml:space="preserve"> more recent work by the OECD on competition in the cloud market notes that </w:t>
      </w:r>
      <w:r w:rsidR="00A1728C">
        <w:rPr>
          <w:noProof/>
        </w:rPr>
        <w:t>hyperscalers</w:t>
      </w:r>
      <w:r w:rsidR="009A070E">
        <w:rPr>
          <w:noProof/>
        </w:rPr>
        <w:t xml:space="preserve"> are best equipped to mitigate the risks of aggressive cloud expansion by “portfolio diversification or cross-subsidising losses”</w:t>
      </w:r>
      <w:r w:rsidR="00560B7B">
        <w:rPr>
          <w:rStyle w:val="FootnoteReference"/>
          <w:noProof/>
        </w:rPr>
        <w:footnoteReference w:id="11"/>
      </w:r>
      <w:r w:rsidR="009A070E">
        <w:rPr>
          <w:noProof/>
        </w:rPr>
        <w:t>.</w:t>
      </w:r>
      <w:r w:rsidR="000629E1" w:rsidRPr="000629E1">
        <w:rPr>
          <w:noProof/>
        </w:rPr>
        <w:t xml:space="preserve"> </w:t>
      </w:r>
      <w:r w:rsidR="000629E1">
        <w:rPr>
          <w:noProof/>
        </w:rPr>
        <w:t>On the innovation side, the asymmetry with European players is also evident. The EU Industrial R&amp;D Investment Scoreboard showed that by 2018-2020 Amazon, Alphabet and Microsoft were among the top global corporate R&amp;D investors, each spending in the order of billions of dollars per year. In the same period, Europe’s largest R&amp;D spenders were concentrated in the automotive and pharmaceutical sector, while European cloud providers like OVHcloud were small companies with revenues in the hundreds of millions and modest R&amp;D budgets</w:t>
      </w:r>
      <w:r w:rsidR="00896D71">
        <w:rPr>
          <w:rStyle w:val="EndnoteReference"/>
          <w:noProof/>
        </w:rPr>
        <w:endnoteReference w:id="47"/>
      </w:r>
      <w:r w:rsidR="000629E1">
        <w:rPr>
          <w:noProof/>
        </w:rPr>
        <w:t>. This disparity in innovation spending, combined with h</w:t>
      </w:r>
      <w:r w:rsidR="000629E1" w:rsidRPr="00D37004">
        <w:rPr>
          <w:noProof/>
        </w:rPr>
        <w:t xml:space="preserve">yperscalers large capital expenditures, projected to reach USD 335 </w:t>
      </w:r>
      <w:r w:rsidR="000629E1">
        <w:rPr>
          <w:noProof/>
        </w:rPr>
        <w:t>bn</w:t>
      </w:r>
      <w:r w:rsidR="000629E1" w:rsidRPr="00D37004">
        <w:rPr>
          <w:noProof/>
        </w:rPr>
        <w:t xml:space="preserve"> in 2025</w:t>
      </w:r>
      <w:r w:rsidR="000629E1" w:rsidRPr="00D37004">
        <w:rPr>
          <w:rStyle w:val="EndnoteReference"/>
          <w:noProof/>
        </w:rPr>
        <w:endnoteReference w:id="48"/>
      </w:r>
      <w:r w:rsidR="000629E1" w:rsidRPr="00D37004">
        <w:rPr>
          <w:noProof/>
        </w:rPr>
        <w:t xml:space="preserve">, </w:t>
      </w:r>
      <w:r w:rsidR="000629E1">
        <w:rPr>
          <w:noProof/>
        </w:rPr>
        <w:t>has given them</w:t>
      </w:r>
      <w:r w:rsidR="000629E1" w:rsidRPr="00D37004">
        <w:rPr>
          <w:noProof/>
        </w:rPr>
        <w:t xml:space="preserve"> an important advantage over smaller providers to</w:t>
      </w:r>
      <w:r w:rsidR="000629E1">
        <w:rPr>
          <w:noProof/>
        </w:rPr>
        <w:t xml:space="preserve"> offer broader service portfolios and integrated ecosystems</w:t>
      </w:r>
      <w:r w:rsidR="000629E1" w:rsidRPr="00D37004">
        <w:rPr>
          <w:noProof/>
        </w:rPr>
        <w:t xml:space="preserve">. </w:t>
      </w:r>
    </w:p>
    <w:p w14:paraId="4BBA437E" w14:textId="3F430C28" w:rsidR="001B5D49" w:rsidRDefault="00BB2145" w:rsidP="00002B6B">
      <w:pPr>
        <w:rPr>
          <w:noProof/>
        </w:rPr>
      </w:pPr>
      <w:r>
        <w:rPr>
          <w:noProof/>
        </w:rPr>
        <w:t xml:space="preserve">On the demand side, customer choices are shaped by two key factors: the value placed on </w:t>
      </w:r>
      <w:r w:rsidR="00EB47DE">
        <w:rPr>
          <w:noProof/>
        </w:rPr>
        <w:t xml:space="preserve">flexibility and the breadth of services available through single platforms operating seamlessly. </w:t>
      </w:r>
      <w:r w:rsidR="001B5D49">
        <w:rPr>
          <w:noProof/>
        </w:rPr>
        <w:t xml:space="preserve">On these two key factors, hyperscalers have been better placed than European providers </w:t>
      </w:r>
      <w:r w:rsidR="001F0725">
        <w:rPr>
          <w:noProof/>
        </w:rPr>
        <w:t>from the start</w:t>
      </w:r>
      <w:r w:rsidR="001B5D49">
        <w:rPr>
          <w:noProof/>
        </w:rPr>
        <w:t>.</w:t>
      </w:r>
      <w:r w:rsidR="003F26A3">
        <w:rPr>
          <w:noProof/>
        </w:rPr>
        <w:t xml:space="preserve"> </w:t>
      </w:r>
      <w:r w:rsidR="008341C0" w:rsidRPr="008341C0" w:rsidDel="002F63DB">
        <w:rPr>
          <w:noProof/>
          <w:lang w:val="en-IE"/>
        </w:rPr>
        <w:t xml:space="preserve">Although European cloud offerings encompass a diverse range of services, customers need to collaborate with multiple providers to match the quality and breadth of services offered by leading global cloud providers. End-users desire simplicity and have grown accustomed to one-stop shops delivering everything from Infrastructure-as-a-Service (IaaS) to Software-as-a-Service (SaaS) on a global scale, a level of integrated service that </w:t>
      </w:r>
      <w:r w:rsidR="008341C0" w:rsidDel="002F63DB">
        <w:rPr>
          <w:noProof/>
          <w:lang w:val="en-IE"/>
        </w:rPr>
        <w:t>hyperscalers</w:t>
      </w:r>
      <w:r w:rsidR="008341C0" w:rsidRPr="008341C0" w:rsidDel="002F63DB">
        <w:rPr>
          <w:noProof/>
          <w:lang w:val="en-IE"/>
        </w:rPr>
        <w:t xml:space="preserve"> readily supply. In contrast, European providers typically have more limited catalogues, often focused on specific infrastructure or industry niches, making it challenging to secure substantial, multi-country enterprise deals</w:t>
      </w:r>
      <w:r w:rsidR="337A5648" w:rsidRPr="008341C0" w:rsidDel="002F63DB">
        <w:rPr>
          <w:noProof/>
          <w:lang w:val="en-IE"/>
        </w:rPr>
        <w:t>.</w:t>
      </w:r>
      <w:r w:rsidR="00D61BF8">
        <w:rPr>
          <w:noProof/>
          <w:lang w:val="en-IE"/>
        </w:rPr>
        <w:t xml:space="preserve"> In several</w:t>
      </w:r>
      <w:r w:rsidR="001B5D49">
        <w:rPr>
          <w:noProof/>
        </w:rPr>
        <w:t xml:space="preserve"> European industries</w:t>
      </w:r>
      <w:r w:rsidR="00D61BF8">
        <w:rPr>
          <w:noProof/>
        </w:rPr>
        <w:t>, value chains are</w:t>
      </w:r>
      <w:r w:rsidR="001B5D49">
        <w:rPr>
          <w:noProof/>
        </w:rPr>
        <w:t xml:space="preserve"> organised </w:t>
      </w:r>
      <w:r w:rsidR="00D61BF8">
        <w:rPr>
          <w:noProof/>
        </w:rPr>
        <w:t>around networks of</w:t>
      </w:r>
      <w:r w:rsidR="001B5D49">
        <w:rPr>
          <w:noProof/>
        </w:rPr>
        <w:t xml:space="preserve"> smaller providers that combine their specialised products </w:t>
      </w:r>
      <w:r w:rsidR="00304E72">
        <w:rPr>
          <w:noProof/>
        </w:rPr>
        <w:t>across the</w:t>
      </w:r>
      <w:r w:rsidR="001B5D49">
        <w:rPr>
          <w:noProof/>
        </w:rPr>
        <w:t xml:space="preserve"> single market, </w:t>
      </w:r>
      <w:r w:rsidR="008B2FBE">
        <w:rPr>
          <w:noProof/>
        </w:rPr>
        <w:t xml:space="preserve">supported by </w:t>
      </w:r>
      <w:r w:rsidR="001B5D49">
        <w:rPr>
          <w:noProof/>
        </w:rPr>
        <w:t>common standards and</w:t>
      </w:r>
      <w:r w:rsidR="008B2FBE">
        <w:rPr>
          <w:noProof/>
        </w:rPr>
        <w:t xml:space="preserve"> technical</w:t>
      </w:r>
      <w:r w:rsidR="001B5D49">
        <w:rPr>
          <w:noProof/>
        </w:rPr>
        <w:t xml:space="preserve"> specifications. This </w:t>
      </w:r>
      <w:r w:rsidR="008B2FBE">
        <w:rPr>
          <w:noProof/>
        </w:rPr>
        <w:t>was</w:t>
      </w:r>
      <w:r w:rsidR="001B5D49">
        <w:rPr>
          <w:noProof/>
        </w:rPr>
        <w:t xml:space="preserve"> achieved in the telecom sector after the </w:t>
      </w:r>
      <w:r w:rsidR="008B2FBE">
        <w:rPr>
          <w:noProof/>
        </w:rPr>
        <w:t xml:space="preserve">introduction of the </w:t>
      </w:r>
      <w:r w:rsidR="001B5D49">
        <w:rPr>
          <w:noProof/>
        </w:rPr>
        <w:t xml:space="preserve">GSM standard. </w:t>
      </w:r>
      <w:r w:rsidR="008B2FBE">
        <w:rPr>
          <w:noProof/>
        </w:rPr>
        <w:t>However, a similar market structure has not materialised in t</w:t>
      </w:r>
      <w:r w:rsidR="001B5D49">
        <w:rPr>
          <w:noProof/>
        </w:rPr>
        <w:t>he cloud sector</w:t>
      </w:r>
      <w:r w:rsidR="00F06970">
        <w:rPr>
          <w:noProof/>
        </w:rPr>
        <w:t>. As mentioned above,</w:t>
      </w:r>
      <w:r w:rsidR="001B5D49">
        <w:rPr>
          <w:noProof/>
        </w:rPr>
        <w:t xml:space="preserve"> instead of </w:t>
      </w:r>
      <w:r w:rsidR="00AA3EE7">
        <w:rPr>
          <w:noProof/>
        </w:rPr>
        <w:t>pooling resources</w:t>
      </w:r>
      <w:r w:rsidR="001B5D49">
        <w:rPr>
          <w:noProof/>
        </w:rPr>
        <w:t xml:space="preserve"> and federating, European providers </w:t>
      </w:r>
      <w:r w:rsidR="00CA4131">
        <w:rPr>
          <w:noProof/>
        </w:rPr>
        <w:t>decided</w:t>
      </w:r>
      <w:r w:rsidR="00DA1D50">
        <w:rPr>
          <w:noProof/>
        </w:rPr>
        <w:t xml:space="preserve"> to </w:t>
      </w:r>
      <w:r w:rsidR="00F06970">
        <w:rPr>
          <w:noProof/>
        </w:rPr>
        <w:t xml:space="preserve">(i) </w:t>
      </w:r>
      <w:r w:rsidR="00DA1D50">
        <w:rPr>
          <w:noProof/>
        </w:rPr>
        <w:t>build</w:t>
      </w:r>
      <w:r w:rsidR="001B5D49">
        <w:rPr>
          <w:noProof/>
        </w:rPr>
        <w:t xml:space="preserve"> partnerships with US hyperscalers, </w:t>
      </w:r>
      <w:r w:rsidR="00F06970">
        <w:rPr>
          <w:noProof/>
        </w:rPr>
        <w:t xml:space="preserve">(ii) </w:t>
      </w:r>
      <w:r w:rsidR="00DA1D50">
        <w:rPr>
          <w:noProof/>
        </w:rPr>
        <w:t>focus on a specific</w:t>
      </w:r>
      <w:r w:rsidR="001B5D49">
        <w:rPr>
          <w:noProof/>
        </w:rPr>
        <w:t xml:space="preserve"> region, or </w:t>
      </w:r>
      <w:r w:rsidR="00F06970">
        <w:rPr>
          <w:noProof/>
        </w:rPr>
        <w:t xml:space="preserve">(iii) </w:t>
      </w:r>
      <w:r w:rsidR="004D7D52">
        <w:rPr>
          <w:noProof/>
        </w:rPr>
        <w:t>specialis</w:t>
      </w:r>
      <w:r w:rsidR="00F06970">
        <w:rPr>
          <w:noProof/>
        </w:rPr>
        <w:t>e</w:t>
      </w:r>
      <w:r w:rsidR="004D7D52">
        <w:rPr>
          <w:noProof/>
        </w:rPr>
        <w:t xml:space="preserve"> in a single layer of the cloud stack, e.g. IaaS or Saas offerings, rather than offering a comprehensive portfolio</w:t>
      </w:r>
      <w:r w:rsidR="001B5D49">
        <w:rPr>
          <w:noProof/>
        </w:rPr>
        <w:t xml:space="preserve">. By contrast, US hyperscalers </w:t>
      </w:r>
      <w:r w:rsidR="004D7D52">
        <w:rPr>
          <w:noProof/>
        </w:rPr>
        <w:t>deliver an integrated, end-to-end service, operating as</w:t>
      </w:r>
      <w:r w:rsidR="001B5D49">
        <w:rPr>
          <w:noProof/>
        </w:rPr>
        <w:t xml:space="preserve"> “IT supermarkets”</w:t>
      </w:r>
      <w:r w:rsidR="0014745E">
        <w:rPr>
          <w:rStyle w:val="EndnoteReference"/>
          <w:noProof/>
        </w:rPr>
        <w:endnoteReference w:id="49"/>
      </w:r>
      <w:r w:rsidR="001B5D49">
        <w:rPr>
          <w:noProof/>
        </w:rPr>
        <w:t>.</w:t>
      </w:r>
      <w:r w:rsidR="00D61BF8">
        <w:rPr>
          <w:noProof/>
        </w:rPr>
        <w:t xml:space="preserve"> </w:t>
      </w:r>
      <w:r w:rsidR="00002B6B">
        <w:rPr>
          <w:noProof/>
        </w:rPr>
        <w:t>The French competition authority clearly noted that hyperscalers’ large ecosystem of offers implies that, for several workloads, competition takes place “for the market” rather than “on the market” as customers tend to choose a single supplier able to cover their entire needs.</w:t>
      </w:r>
      <w:r w:rsidR="005476D0">
        <w:rPr>
          <w:noProof/>
        </w:rPr>
        <w:t xml:space="preserve"> </w:t>
      </w:r>
    </w:p>
    <w:p w14:paraId="6459667B" w14:textId="2A1DBA4B" w:rsidR="001B5D49" w:rsidRDefault="001B5D49" w:rsidP="00EE431F">
      <w:pPr>
        <w:pStyle w:val="Text1"/>
        <w:ind w:left="0"/>
        <w:rPr>
          <w:noProof/>
        </w:rPr>
      </w:pPr>
      <w:r>
        <w:rPr>
          <w:noProof/>
        </w:rPr>
        <w:t xml:space="preserve">The </w:t>
      </w:r>
      <w:r w:rsidR="003E1D65">
        <w:rPr>
          <w:noProof/>
        </w:rPr>
        <w:t>repercussions</w:t>
      </w:r>
      <w:r>
        <w:rPr>
          <w:noProof/>
        </w:rPr>
        <w:t xml:space="preserve"> of these competition dynamics </w:t>
      </w:r>
      <w:r w:rsidR="003E1D65">
        <w:rPr>
          <w:noProof/>
        </w:rPr>
        <w:t>result in a</w:t>
      </w:r>
      <w:r w:rsidR="001F500B">
        <w:rPr>
          <w:noProof/>
        </w:rPr>
        <w:t xml:space="preserve"> rigidity </w:t>
      </w:r>
      <w:r w:rsidR="003E1D65">
        <w:rPr>
          <w:noProof/>
        </w:rPr>
        <w:t>when it comes to</w:t>
      </w:r>
      <w:r w:rsidR="001F500B">
        <w:rPr>
          <w:noProof/>
        </w:rPr>
        <w:t xml:space="preserve"> switching</w:t>
      </w:r>
      <w:r w:rsidR="003E1D65">
        <w:rPr>
          <w:noProof/>
        </w:rPr>
        <w:t xml:space="preserve"> providers and considering alternative offers</w:t>
      </w:r>
      <w:r w:rsidR="005476D0">
        <w:rPr>
          <w:noProof/>
        </w:rPr>
        <w:t xml:space="preserve">. </w:t>
      </w:r>
      <w:r w:rsidR="0097648C">
        <w:rPr>
          <w:noProof/>
        </w:rPr>
        <w:t>L</w:t>
      </w:r>
      <w:r w:rsidRPr="000C7378">
        <w:rPr>
          <w:noProof/>
        </w:rPr>
        <w:t>eading providers impose complex pricing structures, egress fees and restrictive licensing terms.</w:t>
      </w:r>
      <w:r>
        <w:rPr>
          <w:noProof/>
        </w:rPr>
        <w:t xml:space="preserve"> When switching providers, customers face high costs stemming from egress charges, the use of proprietary data formats or APIs and long-term contracts</w:t>
      </w:r>
      <w:r w:rsidRPr="00A31098">
        <w:rPr>
          <w:rStyle w:val="EndnoteReference"/>
          <w:noProof/>
        </w:rPr>
        <w:endnoteReference w:id="50"/>
      </w:r>
      <w:r>
        <w:rPr>
          <w:noProof/>
        </w:rPr>
        <w:t>, i.e. different forms of vendor lock-in</w:t>
      </w:r>
      <w:r w:rsidRPr="00A31098">
        <w:rPr>
          <w:rStyle w:val="EndnoteReference"/>
          <w:noProof/>
        </w:rPr>
        <w:endnoteReference w:id="51"/>
      </w:r>
      <w:r w:rsidRPr="003E5CD8">
        <w:rPr>
          <w:noProof/>
        </w:rPr>
        <w:t>.</w:t>
      </w:r>
      <w:r>
        <w:rPr>
          <w:noProof/>
        </w:rPr>
        <w:t xml:space="preserve"> Even if a better or cheaper provider exists, customers may therefore not switch, weakening competitive pressure</w:t>
      </w:r>
      <w:r w:rsidR="006203D4">
        <w:rPr>
          <w:noProof/>
        </w:rPr>
        <w:t>s</w:t>
      </w:r>
      <w:r>
        <w:rPr>
          <w:noProof/>
        </w:rPr>
        <w:t xml:space="preserve"> and resulting </w:t>
      </w:r>
      <w:r w:rsidRPr="003E5CD8">
        <w:rPr>
          <w:noProof/>
        </w:rPr>
        <w:t>in a</w:t>
      </w:r>
      <w:r w:rsidRPr="00D02CDC">
        <w:rPr>
          <w:noProof/>
        </w:rPr>
        <w:t>lternative</w:t>
      </w:r>
      <w:r w:rsidRPr="00A31098">
        <w:rPr>
          <w:noProof/>
        </w:rPr>
        <w:t xml:space="preserve"> provider</w:t>
      </w:r>
      <w:r w:rsidRPr="00D02CDC">
        <w:rPr>
          <w:noProof/>
        </w:rPr>
        <w:t>s struggl</w:t>
      </w:r>
      <w:r w:rsidRPr="00A31098">
        <w:rPr>
          <w:noProof/>
        </w:rPr>
        <w:t>ing</w:t>
      </w:r>
      <w:r w:rsidRPr="00D02CDC">
        <w:rPr>
          <w:noProof/>
        </w:rPr>
        <w:t xml:space="preserve"> to attract customers </w:t>
      </w:r>
      <w:r w:rsidRPr="00A31098">
        <w:rPr>
          <w:noProof/>
        </w:rPr>
        <w:t>due to factors outside of their control</w:t>
      </w:r>
      <w:r w:rsidR="00B53304">
        <w:rPr>
          <w:rStyle w:val="FootnoteReference"/>
          <w:noProof/>
        </w:rPr>
        <w:footnoteReference w:id="12"/>
      </w:r>
      <w:r w:rsidRPr="00D02CDC">
        <w:rPr>
          <w:noProof/>
        </w:rPr>
        <w:t>.</w:t>
      </w:r>
      <w:r>
        <w:rPr>
          <w:noProof/>
        </w:rPr>
        <w:t xml:space="preserve"> </w:t>
      </w:r>
      <w:r w:rsidR="00EE431F">
        <w:rPr>
          <w:noProof/>
        </w:rPr>
        <w:t>The Dutch competition authority’s cloud market study concludes that users encounter technical hurdles to portability and incur significant financial costs for data transfer, which collectively make switching providers challenging and effectively lock users into the chosen cloud provider for lengthy periods, contributing to market consolidation</w:t>
      </w:r>
      <w:r w:rsidR="00FF4A2D">
        <w:rPr>
          <w:rStyle w:val="EndnoteReference"/>
          <w:noProof/>
        </w:rPr>
        <w:endnoteReference w:id="52"/>
      </w:r>
      <w:r w:rsidR="00EE431F">
        <w:rPr>
          <w:noProof/>
        </w:rPr>
        <w:t>.</w:t>
      </w:r>
      <w:r w:rsidR="0036710E">
        <w:rPr>
          <w:noProof/>
        </w:rPr>
        <w:t xml:space="preserve"> </w:t>
      </w:r>
      <w:r w:rsidR="009F3050">
        <w:rPr>
          <w:noProof/>
        </w:rPr>
        <w:t xml:space="preserve">Moreover, </w:t>
      </w:r>
      <w:r w:rsidR="00B46C70">
        <w:rPr>
          <w:noProof/>
        </w:rPr>
        <w:t xml:space="preserve">once a provider becomes the ‘default’ or ‘safe choice’, the customer starts creating the tooling and culture around this provider, </w:t>
      </w:r>
      <w:r w:rsidR="009412F7">
        <w:rPr>
          <w:noProof/>
        </w:rPr>
        <w:t>resulting in</w:t>
      </w:r>
      <w:r w:rsidR="00B46C70">
        <w:rPr>
          <w:noProof/>
        </w:rPr>
        <w:t xml:space="preserve"> inertia as an effective blocker of new incumbents. </w:t>
      </w:r>
      <w:r w:rsidR="00E14957">
        <w:rPr>
          <w:noProof/>
        </w:rPr>
        <w:t xml:space="preserve">In this context, </w:t>
      </w:r>
      <w:r w:rsidR="00C77511">
        <w:rPr>
          <w:noProof/>
        </w:rPr>
        <w:t>EU providers struggle to a</w:t>
      </w:r>
      <w:r w:rsidR="00AA6F2B">
        <w:rPr>
          <w:noProof/>
        </w:rPr>
        <w:t>ttract customers away from well-established US providers</w:t>
      </w:r>
      <w:r w:rsidR="00C77511">
        <w:rPr>
          <w:noProof/>
        </w:rPr>
        <w:t xml:space="preserve">. </w:t>
      </w:r>
      <w:r w:rsidR="00E14957">
        <w:rPr>
          <w:noProof/>
        </w:rPr>
        <w:t>The</w:t>
      </w:r>
      <w:r w:rsidR="00C77511">
        <w:rPr>
          <w:noProof/>
        </w:rPr>
        <w:t xml:space="preserve"> challenges described above,</w:t>
      </w:r>
      <w:r w:rsidR="00AA6F2B">
        <w:rPr>
          <w:noProof/>
        </w:rPr>
        <w:t xml:space="preserve"> along with </w:t>
      </w:r>
      <w:r>
        <w:rPr>
          <w:noProof/>
        </w:rPr>
        <w:t xml:space="preserve">difficulties in </w:t>
      </w:r>
      <w:r w:rsidR="00396384">
        <w:rPr>
          <w:noProof/>
        </w:rPr>
        <w:t>partnering</w:t>
      </w:r>
      <w:r>
        <w:rPr>
          <w:noProof/>
        </w:rPr>
        <w:t xml:space="preserve"> </w:t>
      </w:r>
      <w:r w:rsidR="00E14957">
        <w:rPr>
          <w:noProof/>
        </w:rPr>
        <w:t xml:space="preserve">with </w:t>
      </w:r>
      <w:r>
        <w:rPr>
          <w:noProof/>
        </w:rPr>
        <w:t>system integrators</w:t>
      </w:r>
      <w:r w:rsidR="00AA6F2B">
        <w:rPr>
          <w:noProof/>
        </w:rPr>
        <w:t>,</w:t>
      </w:r>
      <w:r>
        <w:rPr>
          <w:noProof/>
        </w:rPr>
        <w:t xml:space="preserve"> consultan</w:t>
      </w:r>
      <w:r w:rsidR="00AA6F2B">
        <w:rPr>
          <w:noProof/>
        </w:rPr>
        <w:t xml:space="preserve">cies </w:t>
      </w:r>
      <w:r>
        <w:rPr>
          <w:noProof/>
        </w:rPr>
        <w:t xml:space="preserve">and intermediaries to </w:t>
      </w:r>
      <w:r w:rsidR="00AA6F2B">
        <w:rPr>
          <w:noProof/>
        </w:rPr>
        <w:t>promote</w:t>
      </w:r>
      <w:r>
        <w:rPr>
          <w:noProof/>
        </w:rPr>
        <w:t xml:space="preserve"> European solutions, </w:t>
      </w:r>
      <w:r w:rsidR="00E14957">
        <w:rPr>
          <w:noProof/>
        </w:rPr>
        <w:t>have collectively contributed</w:t>
      </w:r>
      <w:r w:rsidR="00BA7CF8">
        <w:rPr>
          <w:noProof/>
        </w:rPr>
        <w:t xml:space="preserve"> </w:t>
      </w:r>
      <w:r w:rsidR="00E14957">
        <w:rPr>
          <w:noProof/>
        </w:rPr>
        <w:t>to the gradual erosion of market share for</w:t>
      </w:r>
      <w:r w:rsidR="005504D5">
        <w:rPr>
          <w:noProof/>
        </w:rPr>
        <w:t xml:space="preserve"> </w:t>
      </w:r>
      <w:r>
        <w:rPr>
          <w:noProof/>
        </w:rPr>
        <w:t xml:space="preserve">EU CSPs. </w:t>
      </w:r>
    </w:p>
    <w:p w14:paraId="0102A5E1" w14:textId="027647D3" w:rsidR="00E140E8" w:rsidRPr="00C57B1E" w:rsidRDefault="0037683E" w:rsidP="00455FBD">
      <w:pPr>
        <w:pStyle w:val="Text1"/>
        <w:ind w:left="0"/>
        <w:rPr>
          <w:noProof/>
          <w:lang w:val="en-US"/>
        </w:rPr>
      </w:pPr>
      <w:r>
        <w:rPr>
          <w:noProof/>
        </w:rPr>
        <w:t>Last</w:t>
      </w:r>
      <w:r w:rsidR="7C109C17">
        <w:rPr>
          <w:noProof/>
        </w:rPr>
        <w:t xml:space="preserve"> but not least, there are signals of </w:t>
      </w:r>
      <w:r w:rsidR="34E4062A">
        <w:rPr>
          <w:noProof/>
        </w:rPr>
        <w:t xml:space="preserve">new </w:t>
      </w:r>
      <w:r w:rsidR="7C109C17">
        <w:rPr>
          <w:noProof/>
        </w:rPr>
        <w:t>opportunities for European providers</w:t>
      </w:r>
      <w:r w:rsidR="1893DBEE">
        <w:rPr>
          <w:noProof/>
        </w:rPr>
        <w:t xml:space="preserve"> to gain market shares</w:t>
      </w:r>
      <w:r w:rsidR="7C109C17">
        <w:rPr>
          <w:noProof/>
        </w:rPr>
        <w:t xml:space="preserve">. </w:t>
      </w:r>
      <w:r w:rsidR="00DB7A87">
        <w:rPr>
          <w:noProof/>
        </w:rPr>
        <w:t>AI adoption</w:t>
      </w:r>
      <w:r>
        <w:rPr>
          <w:noProof/>
        </w:rPr>
        <w:t xml:space="preserve">, </w:t>
      </w:r>
      <w:r w:rsidR="4BB3A4EE">
        <w:rPr>
          <w:noProof/>
        </w:rPr>
        <w:t xml:space="preserve">the third demand driver identified above, is bringing change to the market </w:t>
      </w:r>
      <w:r>
        <w:rPr>
          <w:noProof/>
        </w:rPr>
        <w:t>landscape,</w:t>
      </w:r>
      <w:r w:rsidR="00DB7A87">
        <w:rPr>
          <w:noProof/>
        </w:rPr>
        <w:t xml:space="preserve"> and competitive positions could change. </w:t>
      </w:r>
      <w:r>
        <w:rPr>
          <w:noProof/>
        </w:rPr>
        <w:t xml:space="preserve">While </w:t>
      </w:r>
      <w:r w:rsidR="00DB7A87">
        <w:rPr>
          <w:noProof/>
        </w:rPr>
        <w:t xml:space="preserve">US providers are already well </w:t>
      </w:r>
      <w:r w:rsidR="008A561A">
        <w:rPr>
          <w:noProof/>
        </w:rPr>
        <w:t>established</w:t>
      </w:r>
      <w:r w:rsidR="008D28C7">
        <w:rPr>
          <w:noProof/>
        </w:rPr>
        <w:t xml:space="preserve"> mostly thanks to their integrated offers</w:t>
      </w:r>
      <w:r w:rsidR="008A561A">
        <w:rPr>
          <w:noProof/>
        </w:rPr>
        <w:t>, European</w:t>
      </w:r>
      <w:r w:rsidR="00DB7A87">
        <w:rPr>
          <w:noProof/>
        </w:rPr>
        <w:t xml:space="preserve"> providers </w:t>
      </w:r>
      <w:r>
        <w:rPr>
          <w:noProof/>
        </w:rPr>
        <w:t xml:space="preserve">might </w:t>
      </w:r>
      <w:r w:rsidR="003A52AD">
        <w:rPr>
          <w:noProof/>
        </w:rPr>
        <w:t xml:space="preserve">still </w:t>
      </w:r>
      <w:r>
        <w:rPr>
          <w:noProof/>
        </w:rPr>
        <w:t>find opportunities</w:t>
      </w:r>
      <w:r w:rsidR="00DB7A87">
        <w:rPr>
          <w:noProof/>
        </w:rPr>
        <w:t xml:space="preserve"> </w:t>
      </w:r>
      <w:r w:rsidR="001F0A3F">
        <w:rPr>
          <w:noProof/>
        </w:rPr>
        <w:t xml:space="preserve">to </w:t>
      </w:r>
      <w:r w:rsidR="00DB7A87">
        <w:rPr>
          <w:noProof/>
        </w:rPr>
        <w:t xml:space="preserve">capture growth, especially </w:t>
      </w:r>
      <w:r w:rsidR="09BDB982">
        <w:rPr>
          <w:noProof/>
        </w:rPr>
        <w:t>in relation to more specialised, sector-specific offers, where their proximity to customers and ability to provide safeguards in terms of data localisation and integr</w:t>
      </w:r>
      <w:r w:rsidR="4806E056">
        <w:rPr>
          <w:noProof/>
        </w:rPr>
        <w:t xml:space="preserve">ity are important. The Apply AI strategy adopted by the Commission is a signal in that direction. </w:t>
      </w:r>
      <w:r w:rsidR="27D851A2">
        <w:rPr>
          <w:noProof/>
        </w:rPr>
        <w:t xml:space="preserve">AI has the potential to alter industry business models, with cloud and AI services extending beyond basic IT commodity functions to become integral parts of a company’s competitive edge. </w:t>
      </w:r>
      <w:r w:rsidR="5822EAD2">
        <w:rPr>
          <w:noProof/>
        </w:rPr>
        <w:t>Furthermore</w:t>
      </w:r>
      <w:r w:rsidR="143884AA">
        <w:rPr>
          <w:noProof/>
        </w:rPr>
        <w:t xml:space="preserve">, the issue of sovereignty, </w:t>
      </w:r>
      <w:r w:rsidR="1DB6AA39">
        <w:rPr>
          <w:noProof/>
        </w:rPr>
        <w:t xml:space="preserve">exacerbated by </w:t>
      </w:r>
      <w:r w:rsidR="143884AA">
        <w:rPr>
          <w:noProof/>
        </w:rPr>
        <w:t xml:space="preserve">geopolitical considerations, </w:t>
      </w:r>
      <w:r w:rsidR="008A561A">
        <w:rPr>
          <w:noProof/>
        </w:rPr>
        <w:t>ha</w:t>
      </w:r>
      <w:r w:rsidR="641E5D0E">
        <w:rPr>
          <w:noProof/>
        </w:rPr>
        <w:t>s</w:t>
      </w:r>
      <w:r w:rsidR="008A561A">
        <w:rPr>
          <w:noProof/>
        </w:rPr>
        <w:t xml:space="preserve"> gained</w:t>
      </w:r>
      <w:r w:rsidR="328AFEBC">
        <w:rPr>
          <w:noProof/>
        </w:rPr>
        <w:t xml:space="preserve"> </w:t>
      </w:r>
      <w:r w:rsidR="008A561A">
        <w:rPr>
          <w:noProof/>
        </w:rPr>
        <w:t>prominence</w:t>
      </w:r>
      <w:r w:rsidR="71AE12D0">
        <w:rPr>
          <w:noProof/>
        </w:rPr>
        <w:t xml:space="preserve"> and could be a</w:t>
      </w:r>
      <w:r w:rsidR="0165BE1D">
        <w:rPr>
          <w:noProof/>
        </w:rPr>
        <w:t>n opportunity</w:t>
      </w:r>
      <w:r w:rsidR="71AE12D0">
        <w:rPr>
          <w:noProof/>
        </w:rPr>
        <w:t xml:space="preserve"> for European cloud and AI providers</w:t>
      </w:r>
      <w:r w:rsidR="008A561A">
        <w:rPr>
          <w:noProof/>
        </w:rPr>
        <w:t xml:space="preserve">. </w:t>
      </w:r>
      <w:r w:rsidR="4F55AC2D">
        <w:rPr>
          <w:noProof/>
        </w:rPr>
        <w:t xml:space="preserve">According to </w:t>
      </w:r>
      <w:r w:rsidR="4F55AC2D" w:rsidRPr="00460B25">
        <w:rPr>
          <w:rFonts w:eastAsiaTheme="minorEastAsia"/>
          <w:noProof/>
          <w:szCs w:val="24"/>
          <w:lang w:val="en-US"/>
        </w:rPr>
        <w:t>Gartner</w:t>
      </w:r>
      <w:r w:rsidR="00970313">
        <w:rPr>
          <w:rStyle w:val="EndnoteReference"/>
          <w:rFonts w:eastAsiaTheme="minorEastAsia"/>
          <w:noProof/>
          <w:szCs w:val="24"/>
          <w:lang w:val="en-US"/>
        </w:rPr>
        <w:endnoteReference w:id="53"/>
      </w:r>
      <w:r w:rsidR="4F55AC2D" w:rsidRPr="2A6A1A3F">
        <w:rPr>
          <w:rFonts w:asciiTheme="minorHAnsi" w:eastAsiaTheme="minorEastAsia" w:hAnsiTheme="minorHAnsi" w:cstheme="minorBidi"/>
          <w:noProof/>
          <w:szCs w:val="24"/>
          <w:vertAlign w:val="superscript"/>
          <w:lang w:val="en-US"/>
        </w:rPr>
        <w:t xml:space="preserve"> </w:t>
      </w:r>
      <w:r w:rsidR="60829305" w:rsidRPr="00F20D70">
        <w:rPr>
          <w:rFonts w:eastAsiaTheme="minorEastAsia"/>
          <w:noProof/>
          <w:szCs w:val="24"/>
          <w:lang w:val="en-US"/>
        </w:rPr>
        <w:t>the</w:t>
      </w:r>
      <w:r w:rsidR="60829305" w:rsidRPr="2A6A1A3F">
        <w:rPr>
          <w:rFonts w:asciiTheme="minorHAnsi" w:eastAsiaTheme="minorEastAsia" w:hAnsiTheme="minorHAnsi" w:cstheme="minorBidi"/>
          <w:noProof/>
          <w:szCs w:val="24"/>
          <w:lang w:val="en-US"/>
        </w:rPr>
        <w:t xml:space="preserve"> </w:t>
      </w:r>
      <w:r w:rsidR="4F55AC2D" w:rsidRPr="2A6A1A3F">
        <w:rPr>
          <w:noProof/>
          <w:lang w:val="en-US"/>
        </w:rPr>
        <w:t>sovereign cloud IaaS market is forecast to grow at</w:t>
      </w:r>
      <w:r w:rsidR="039850C5" w:rsidRPr="2A6A1A3F">
        <w:rPr>
          <w:noProof/>
          <w:lang w:val="en-US"/>
        </w:rPr>
        <w:t xml:space="preserve"> a </w:t>
      </w:r>
      <w:r w:rsidR="34AC096D" w:rsidRPr="2A6A1A3F">
        <w:rPr>
          <w:noProof/>
          <w:lang w:val="en-US"/>
        </w:rPr>
        <w:t xml:space="preserve">yearly </w:t>
      </w:r>
      <w:r w:rsidR="039850C5" w:rsidRPr="2A6A1A3F">
        <w:rPr>
          <w:noProof/>
          <w:lang w:val="en-US"/>
        </w:rPr>
        <w:t xml:space="preserve">rate of </w:t>
      </w:r>
      <w:r w:rsidR="4F55AC2D" w:rsidRPr="2A6A1A3F">
        <w:rPr>
          <w:noProof/>
          <w:lang w:val="en-US"/>
        </w:rPr>
        <w:t xml:space="preserve">38% </w:t>
      </w:r>
      <w:r w:rsidR="2513A9C6" w:rsidRPr="2A6A1A3F">
        <w:rPr>
          <w:noProof/>
          <w:lang w:val="en-US"/>
        </w:rPr>
        <w:t>in the next five years</w:t>
      </w:r>
      <w:r w:rsidR="7F729D93" w:rsidRPr="2A6A1A3F">
        <w:rPr>
          <w:noProof/>
          <w:lang w:val="en-US"/>
        </w:rPr>
        <w:t>, with developments in terms of moving</w:t>
      </w:r>
      <w:r w:rsidR="4F55AC2D" w:rsidRPr="2A6A1A3F">
        <w:rPr>
          <w:noProof/>
          <w:lang w:val="en-US"/>
        </w:rPr>
        <w:t xml:space="preserve"> away from global cloud providers </w:t>
      </w:r>
      <w:r w:rsidR="79C57FC2" w:rsidRPr="2A6A1A3F">
        <w:rPr>
          <w:noProof/>
          <w:lang w:val="en-US"/>
        </w:rPr>
        <w:t xml:space="preserve">and </w:t>
      </w:r>
      <w:r w:rsidR="4F55AC2D" w:rsidRPr="2A6A1A3F">
        <w:rPr>
          <w:noProof/>
          <w:lang w:val="en-US"/>
        </w:rPr>
        <w:t xml:space="preserve">new </w:t>
      </w:r>
      <w:r w:rsidR="1AF326DB" w:rsidRPr="2A6A1A3F">
        <w:rPr>
          <w:noProof/>
          <w:lang w:val="en-US"/>
        </w:rPr>
        <w:t>business</w:t>
      </w:r>
      <w:r w:rsidR="4F55AC2D" w:rsidRPr="2A6A1A3F">
        <w:rPr>
          <w:noProof/>
          <w:lang w:val="en-US"/>
        </w:rPr>
        <w:t xml:space="preserve"> migrat</w:t>
      </w:r>
      <w:r w:rsidR="7637420D" w:rsidRPr="2A6A1A3F">
        <w:rPr>
          <w:noProof/>
          <w:lang w:val="en-US"/>
        </w:rPr>
        <w:t>ing</w:t>
      </w:r>
      <w:r w:rsidR="4F55AC2D" w:rsidRPr="2A6A1A3F">
        <w:rPr>
          <w:noProof/>
          <w:lang w:val="en-US"/>
        </w:rPr>
        <w:t xml:space="preserve"> to a </w:t>
      </w:r>
      <w:r w:rsidR="36422EB5" w:rsidRPr="2A6A1A3F">
        <w:rPr>
          <w:noProof/>
          <w:lang w:val="en-US"/>
        </w:rPr>
        <w:t xml:space="preserve">sovereign </w:t>
      </w:r>
      <w:r w:rsidR="4F55AC2D" w:rsidRPr="2A6A1A3F">
        <w:rPr>
          <w:noProof/>
          <w:lang w:val="en-US"/>
        </w:rPr>
        <w:t>cloud environment.</w:t>
      </w:r>
      <w:r w:rsidR="14F2DC1E" w:rsidRPr="2A6A1A3F">
        <w:rPr>
          <w:noProof/>
          <w:lang w:val="en-US"/>
        </w:rPr>
        <w:t xml:space="preserve"> The positioning of European cloud and AI providers as sovereign </w:t>
      </w:r>
      <w:r w:rsidR="6C479749" w:rsidRPr="2A6A1A3F">
        <w:rPr>
          <w:noProof/>
          <w:lang w:val="en-US"/>
        </w:rPr>
        <w:t>is, however,</w:t>
      </w:r>
      <w:r w:rsidR="14F2DC1E" w:rsidRPr="2A6A1A3F">
        <w:rPr>
          <w:noProof/>
          <w:lang w:val="en-US"/>
        </w:rPr>
        <w:t xml:space="preserve"> today hindered by a lack of clarity and </w:t>
      </w:r>
      <w:r w:rsidR="48E7D8C7" w:rsidRPr="2A6A1A3F">
        <w:rPr>
          <w:noProof/>
          <w:lang w:val="en-US"/>
        </w:rPr>
        <w:t xml:space="preserve">lack of </w:t>
      </w:r>
      <w:r w:rsidR="14F2DC1E" w:rsidRPr="2A6A1A3F">
        <w:rPr>
          <w:noProof/>
          <w:lang w:val="en-US"/>
        </w:rPr>
        <w:t xml:space="preserve">harmonisation in the market in terms of </w:t>
      </w:r>
      <w:r w:rsidR="1191DDBF" w:rsidRPr="2A6A1A3F">
        <w:rPr>
          <w:noProof/>
          <w:lang w:val="en-US"/>
        </w:rPr>
        <w:t xml:space="preserve">how </w:t>
      </w:r>
      <w:r w:rsidR="2A8D08FA" w:rsidRPr="2A6A1A3F">
        <w:rPr>
          <w:noProof/>
          <w:lang w:val="en-US"/>
        </w:rPr>
        <w:t>s</w:t>
      </w:r>
      <w:r w:rsidR="1191DDBF" w:rsidRPr="2A6A1A3F">
        <w:rPr>
          <w:noProof/>
          <w:lang w:val="en-US"/>
        </w:rPr>
        <w:t>overeign</w:t>
      </w:r>
      <w:r w:rsidR="14F2DC1E" w:rsidRPr="2A6A1A3F">
        <w:rPr>
          <w:noProof/>
          <w:lang w:val="en-US"/>
        </w:rPr>
        <w:t xml:space="preserve"> services </w:t>
      </w:r>
      <w:r w:rsidR="576FF865" w:rsidRPr="2A6A1A3F">
        <w:rPr>
          <w:noProof/>
          <w:lang w:val="en-US"/>
        </w:rPr>
        <w:t>are defined.</w:t>
      </w:r>
    </w:p>
    <w:p w14:paraId="6DEAEE26" w14:textId="12FC8771" w:rsidR="00E140E8" w:rsidRPr="00E140E8" w:rsidRDefault="006B087E" w:rsidP="00E140E8">
      <w:pPr>
        <w:pStyle w:val="Heading2"/>
        <w:rPr>
          <w:noProof/>
        </w:rPr>
      </w:pPr>
      <w:bookmarkStart w:id="18" w:name="_Toc230792724"/>
      <w:r w:rsidRPr="00F92EAE">
        <w:rPr>
          <w:noProof/>
        </w:rPr>
        <w:t>What are the problems?</w:t>
      </w:r>
      <w:bookmarkEnd w:id="18"/>
    </w:p>
    <w:p w14:paraId="21F39957" w14:textId="77777777" w:rsidR="00E61374" w:rsidRPr="00D37004" w:rsidRDefault="00E61374" w:rsidP="006B5183">
      <w:pPr>
        <w:pStyle w:val="Heading3"/>
        <w:rPr>
          <w:noProof/>
        </w:rPr>
      </w:pPr>
      <w:bookmarkStart w:id="19" w:name="_Ref208047315"/>
      <w:r w:rsidRPr="00D37004">
        <w:rPr>
          <w:noProof/>
        </w:rPr>
        <w:t>Problem 1 - Limited and geographically concentrated availability of computing capacity in the EU</w:t>
      </w:r>
      <w:bookmarkEnd w:id="19"/>
      <w:r w:rsidRPr="00D37004">
        <w:rPr>
          <w:noProof/>
        </w:rPr>
        <w:t xml:space="preserve"> </w:t>
      </w:r>
    </w:p>
    <w:p w14:paraId="707CCF5D" w14:textId="1D763884" w:rsidR="00B24432" w:rsidRDefault="00E61374" w:rsidP="00F37F98">
      <w:pPr>
        <w:rPr>
          <w:noProof/>
        </w:rPr>
      </w:pPr>
      <w:r w:rsidRPr="00D37004">
        <w:rPr>
          <w:noProof/>
        </w:rPr>
        <w:t>AI is driving an unprecedented demand for computing capacity, not only for the High-Performance Computing (HPC) capacity required to train models, but also for the capacity to enable inference, fine-tuning and service integration</w:t>
      </w:r>
      <w:r w:rsidRPr="00D37004">
        <w:rPr>
          <w:rStyle w:val="EndnoteReference"/>
          <w:noProof/>
        </w:rPr>
        <w:endnoteReference w:id="54"/>
      </w:r>
      <w:r w:rsidRPr="00D37004">
        <w:rPr>
          <w:noProof/>
        </w:rPr>
        <w:t xml:space="preserve">. The European AI market is projected to exceed </w:t>
      </w:r>
      <w:r>
        <w:rPr>
          <w:noProof/>
        </w:rPr>
        <w:t>EUR 3</w:t>
      </w:r>
      <w:r w:rsidRPr="00D37004">
        <w:rPr>
          <w:noProof/>
        </w:rPr>
        <w:t xml:space="preserve">00 </w:t>
      </w:r>
      <w:r>
        <w:rPr>
          <w:noProof/>
        </w:rPr>
        <w:t>bn</w:t>
      </w:r>
      <w:r w:rsidRPr="00D37004">
        <w:rPr>
          <w:noProof/>
        </w:rPr>
        <w:t xml:space="preserve"> by 2030</w:t>
      </w:r>
      <w:r w:rsidRPr="00D37004">
        <w:rPr>
          <w:noProof/>
          <w:vertAlign w:val="superscript"/>
        </w:rPr>
        <w:endnoteReference w:id="55"/>
      </w:r>
      <w:r w:rsidRPr="00D37004">
        <w:rPr>
          <w:noProof/>
        </w:rPr>
        <w:t>, growing at more than 26% between 2025 and 2030</w:t>
      </w:r>
      <w:r w:rsidRPr="00D37004">
        <w:rPr>
          <w:noProof/>
          <w:vertAlign w:val="superscript"/>
        </w:rPr>
        <w:footnoteReference w:id="13"/>
      </w:r>
      <w:r w:rsidRPr="00D37004">
        <w:rPr>
          <w:noProof/>
        </w:rPr>
        <w:t xml:space="preserve">. </w:t>
      </w:r>
      <w:r w:rsidR="007D573D">
        <w:rPr>
          <w:noProof/>
        </w:rPr>
        <w:t xml:space="preserve">Beyond AI, </w:t>
      </w:r>
      <w:r w:rsidR="00B24432">
        <w:rPr>
          <w:noProof/>
        </w:rPr>
        <w:t>a</w:t>
      </w:r>
      <w:r w:rsidRPr="00D37004">
        <w:rPr>
          <w:noProof/>
        </w:rPr>
        <w:t>doption of cloud computing and other digital services continues to accelerate, adding further pressure on the available computing capacity</w:t>
      </w:r>
      <w:r w:rsidRPr="00D37004">
        <w:rPr>
          <w:rStyle w:val="FootnoteReference"/>
          <w:noProof/>
        </w:rPr>
        <w:footnoteReference w:id="14"/>
      </w:r>
      <w:r w:rsidRPr="00D37004">
        <w:rPr>
          <w:noProof/>
        </w:rPr>
        <w:t>. In 2025, uptake</w:t>
      </w:r>
      <w:r w:rsidRPr="00D37004" w:rsidDel="00225464">
        <w:rPr>
          <w:noProof/>
        </w:rPr>
        <w:t xml:space="preserve"> </w:t>
      </w:r>
      <w:r w:rsidRPr="00D37004">
        <w:rPr>
          <w:noProof/>
        </w:rPr>
        <w:t xml:space="preserve">of new </w:t>
      </w:r>
      <w:r w:rsidR="007D154C">
        <w:rPr>
          <w:noProof/>
        </w:rPr>
        <w:t>DC</w:t>
      </w:r>
      <w:r w:rsidRPr="00D37004">
        <w:rPr>
          <w:noProof/>
        </w:rPr>
        <w:t xml:space="preserve"> capacity in Europe</w:t>
      </w:r>
      <w:r w:rsidRPr="00D37004">
        <w:rPr>
          <w:noProof/>
          <w:vertAlign w:val="superscript"/>
        </w:rPr>
        <w:footnoteReference w:id="15"/>
      </w:r>
      <w:r w:rsidRPr="00D37004">
        <w:rPr>
          <w:noProof/>
        </w:rPr>
        <w:t xml:space="preserve"> is expected to reach a new high of 854 MW</w:t>
      </w:r>
      <w:r>
        <w:rPr>
          <w:rStyle w:val="FootnoteReference"/>
          <w:noProof/>
        </w:rPr>
        <w:footnoteReference w:id="16"/>
      </w:r>
      <w:r w:rsidRPr="00D37004">
        <w:rPr>
          <w:noProof/>
        </w:rPr>
        <w:t>, exceeding new supply for the third consecutive year</w:t>
      </w:r>
      <w:r w:rsidRPr="00D37004">
        <w:rPr>
          <w:noProof/>
          <w:vertAlign w:val="superscript"/>
        </w:rPr>
        <w:endnoteReference w:id="56"/>
      </w:r>
      <w:r w:rsidRPr="00D37004">
        <w:rPr>
          <w:noProof/>
        </w:rPr>
        <w:t xml:space="preserve">. Vacancy rates in major EU </w:t>
      </w:r>
      <w:r w:rsidR="007D154C">
        <w:rPr>
          <w:noProof/>
        </w:rPr>
        <w:t>DC</w:t>
      </w:r>
      <w:r w:rsidRPr="00D37004">
        <w:rPr>
          <w:noProof/>
        </w:rPr>
        <w:t xml:space="preserve"> hubs have declined to historical lows, and the share of co-location capacity that is pre-leased</w:t>
      </w:r>
      <w:r w:rsidRPr="00D37004">
        <w:rPr>
          <w:noProof/>
          <w:vertAlign w:val="superscript"/>
        </w:rPr>
        <w:footnoteReference w:id="17"/>
      </w:r>
      <w:r w:rsidRPr="00D37004">
        <w:rPr>
          <w:noProof/>
        </w:rPr>
        <w:t xml:space="preserve"> before becoming operational continues to rise. These are clear signs of high demand</w:t>
      </w:r>
      <w:r w:rsidRPr="00D37004">
        <w:rPr>
          <w:rStyle w:val="EndnoteReference"/>
          <w:noProof/>
        </w:rPr>
        <w:endnoteReference w:id="57"/>
      </w:r>
      <w:r w:rsidRPr="00D37004">
        <w:rPr>
          <w:noProof/>
        </w:rPr>
        <w:t>.</w:t>
      </w:r>
      <w:r w:rsidR="006B274B">
        <w:rPr>
          <w:noProof/>
        </w:rPr>
        <w:t xml:space="preserve"> </w:t>
      </w:r>
    </w:p>
    <w:p w14:paraId="2813553D" w14:textId="77777777" w:rsidR="00242DE4" w:rsidRDefault="005901E9" w:rsidP="00E61374">
      <w:pPr>
        <w:rPr>
          <w:noProof/>
        </w:rPr>
      </w:pPr>
      <w:r>
        <w:rPr>
          <w:noProof/>
        </w:rPr>
        <w:t>Across the</w:t>
      </w:r>
      <w:r w:rsidR="003C4C23" w:rsidRPr="00D37004">
        <w:rPr>
          <w:noProof/>
        </w:rPr>
        <w:t xml:space="preserve"> EU27, </w:t>
      </w:r>
      <w:r w:rsidRPr="2A6A1A3F">
        <w:rPr>
          <w:b/>
          <w:bCs/>
          <w:noProof/>
        </w:rPr>
        <w:t>the expansion of data centre capacity</w:t>
      </w:r>
      <w:r w:rsidR="003C4C23" w:rsidRPr="2A6A1A3F">
        <w:rPr>
          <w:b/>
          <w:bCs/>
          <w:noProof/>
        </w:rPr>
        <w:t xml:space="preserve"> is not keeping pace with this rapidly growing demand</w:t>
      </w:r>
      <w:r w:rsidR="0022488F" w:rsidRPr="2A6A1A3F">
        <w:rPr>
          <w:b/>
          <w:bCs/>
          <w:noProof/>
        </w:rPr>
        <w:t>.</w:t>
      </w:r>
      <w:r w:rsidR="003C4C23" w:rsidRPr="00D37004" w:rsidDel="00BE49A4">
        <w:rPr>
          <w:noProof/>
        </w:rPr>
        <w:t xml:space="preserve"> </w:t>
      </w:r>
      <w:r w:rsidR="0022488F">
        <w:rPr>
          <w:noProof/>
        </w:rPr>
        <w:t>Despite increased i</w:t>
      </w:r>
      <w:r w:rsidR="0022488F" w:rsidRPr="00D37004">
        <w:rPr>
          <w:noProof/>
        </w:rPr>
        <w:t>nvestment</w:t>
      </w:r>
      <w:r w:rsidR="0022488F" w:rsidRPr="00D37004">
        <w:rPr>
          <w:rStyle w:val="EndnoteReference"/>
          <w:noProof/>
        </w:rPr>
        <w:endnoteReference w:id="58"/>
      </w:r>
      <w:r w:rsidR="00E66389">
        <w:rPr>
          <w:noProof/>
        </w:rPr>
        <w:t xml:space="preserve"> and</w:t>
      </w:r>
      <w:r>
        <w:rPr>
          <w:noProof/>
        </w:rPr>
        <w:t xml:space="preserve"> installed capacity </w:t>
      </w:r>
      <w:r w:rsidR="0022488F" w:rsidRPr="00D37004">
        <w:rPr>
          <w:noProof/>
        </w:rPr>
        <w:t>expected to reach 12.4 GW in 2025</w:t>
      </w:r>
      <w:r w:rsidR="0022488F" w:rsidRPr="00D37004">
        <w:rPr>
          <w:rStyle w:val="FootnoteReference"/>
          <w:noProof/>
        </w:rPr>
        <w:footnoteReference w:id="18"/>
      </w:r>
      <w:r w:rsidR="0022488F">
        <w:rPr>
          <w:noProof/>
        </w:rPr>
        <w:t xml:space="preserve">, </w:t>
      </w:r>
      <w:r w:rsidR="00AF45D2">
        <w:rPr>
          <w:noProof/>
        </w:rPr>
        <w:t>available supply remains insufficient</w:t>
      </w:r>
      <w:r w:rsidR="00976C23">
        <w:rPr>
          <w:noProof/>
        </w:rPr>
        <w:t xml:space="preserve">, resulting in an estimated </w:t>
      </w:r>
      <w:r w:rsidR="0022488F">
        <w:rPr>
          <w:noProof/>
        </w:rPr>
        <w:t>gap of</w:t>
      </w:r>
      <w:r w:rsidR="00394F5A">
        <w:rPr>
          <w:noProof/>
        </w:rPr>
        <w:t xml:space="preserve"> almost 3 GW </w:t>
      </w:r>
      <w:r w:rsidR="00D93925">
        <w:rPr>
          <w:noProof/>
        </w:rPr>
        <w:t>relative to current</w:t>
      </w:r>
      <w:r w:rsidR="00394F5A">
        <w:rPr>
          <w:noProof/>
        </w:rPr>
        <w:t xml:space="preserve"> demand</w:t>
      </w:r>
      <w:r w:rsidR="003C4C23">
        <w:rPr>
          <w:noProof/>
        </w:rPr>
        <w:t>.</w:t>
      </w:r>
      <w:r w:rsidR="003C4C23" w:rsidRPr="00A56D97">
        <w:rPr>
          <w:noProof/>
        </w:rPr>
        <w:t xml:space="preserve"> </w:t>
      </w:r>
    </w:p>
    <w:p w14:paraId="6D9B76B2" w14:textId="463C0835" w:rsidR="00E61374" w:rsidRPr="00D37004" w:rsidRDefault="00C574AA" w:rsidP="00596656">
      <w:pPr>
        <w:pStyle w:val="Text1"/>
        <w:ind w:left="0"/>
        <w:rPr>
          <w:noProof/>
        </w:rPr>
      </w:pPr>
      <w:r>
        <w:rPr>
          <w:noProof/>
        </w:rPr>
        <w:t xml:space="preserve">Moreover, </w:t>
      </w:r>
      <w:r w:rsidRPr="2A6A1A3F">
        <w:rPr>
          <w:b/>
          <w:bCs/>
          <w:noProof/>
        </w:rPr>
        <w:t>the</w:t>
      </w:r>
      <w:r w:rsidR="00E61374" w:rsidRPr="2A6A1A3F">
        <w:rPr>
          <w:b/>
          <w:bCs/>
          <w:noProof/>
        </w:rPr>
        <w:t xml:space="preserve"> existing capacity is concentrated in </w:t>
      </w:r>
      <w:r w:rsidR="000A70D3" w:rsidRPr="2A6A1A3F">
        <w:rPr>
          <w:b/>
          <w:bCs/>
          <w:noProof/>
        </w:rPr>
        <w:t>a limited number of established hubs</w:t>
      </w:r>
      <w:r w:rsidR="000A70D3">
        <w:rPr>
          <w:noProof/>
        </w:rPr>
        <w:t xml:space="preserve">, mostly in </w:t>
      </w:r>
      <w:r w:rsidR="00E61374" w:rsidRPr="00D37004">
        <w:rPr>
          <w:noProof/>
        </w:rPr>
        <w:t>Northern and Western Member States: in 2025, Germany</w:t>
      </w:r>
      <w:r w:rsidR="000763F6">
        <w:rPr>
          <w:noProof/>
        </w:rPr>
        <w:t xml:space="preserve"> (Frankf</w:t>
      </w:r>
      <w:r w:rsidR="002A0D22">
        <w:rPr>
          <w:noProof/>
        </w:rPr>
        <w:t>u</w:t>
      </w:r>
      <w:r w:rsidR="000763F6">
        <w:rPr>
          <w:noProof/>
        </w:rPr>
        <w:t>rt)</w:t>
      </w:r>
      <w:r w:rsidR="00E61374" w:rsidRPr="00D37004">
        <w:rPr>
          <w:noProof/>
        </w:rPr>
        <w:t>, France</w:t>
      </w:r>
      <w:r w:rsidR="00DD7AEF">
        <w:rPr>
          <w:noProof/>
        </w:rPr>
        <w:t xml:space="preserve"> (Paris)</w:t>
      </w:r>
      <w:r w:rsidR="00E61374" w:rsidRPr="00D37004">
        <w:rPr>
          <w:noProof/>
        </w:rPr>
        <w:t xml:space="preserve">, the Netherlands </w:t>
      </w:r>
      <w:r w:rsidR="00DD7AEF">
        <w:rPr>
          <w:noProof/>
        </w:rPr>
        <w:t>(Amsterdam)</w:t>
      </w:r>
      <w:r w:rsidR="00E61374" w:rsidRPr="00D37004">
        <w:rPr>
          <w:noProof/>
        </w:rPr>
        <w:t xml:space="preserve"> and Ireland </w:t>
      </w:r>
      <w:r w:rsidR="00DD7AEF">
        <w:rPr>
          <w:noProof/>
        </w:rPr>
        <w:t>(Dublin)</w:t>
      </w:r>
      <w:r w:rsidR="00E61374" w:rsidRPr="00D37004">
        <w:rPr>
          <w:noProof/>
        </w:rPr>
        <w:t xml:space="preserve"> account for 65% of the EU27 </w:t>
      </w:r>
      <w:r w:rsidR="007D154C">
        <w:rPr>
          <w:noProof/>
        </w:rPr>
        <w:t>DC</w:t>
      </w:r>
      <w:r w:rsidR="00E61374" w:rsidRPr="00D37004">
        <w:rPr>
          <w:noProof/>
        </w:rPr>
        <w:t xml:space="preserve"> market</w:t>
      </w:r>
      <w:r w:rsidR="00E61374" w:rsidRPr="00D37004">
        <w:rPr>
          <w:rStyle w:val="FootnoteReference"/>
          <w:noProof/>
        </w:rPr>
        <w:footnoteReference w:id="19"/>
      </w:r>
      <w:r w:rsidR="00554495">
        <w:rPr>
          <w:noProof/>
        </w:rPr>
        <w:t xml:space="preserve"> </w:t>
      </w:r>
      <w:r w:rsidR="00E61374">
        <w:rPr>
          <w:noProof/>
        </w:rPr>
        <w:t>(</w:t>
      </w:r>
      <w:r w:rsidR="00E61374" w:rsidRPr="00D37004">
        <w:rPr>
          <w:noProof/>
        </w:rPr>
        <w:fldChar w:fldCharType="begin"/>
      </w:r>
      <w:r w:rsidR="00E61374" w:rsidRPr="00D37004">
        <w:rPr>
          <w:noProof/>
        </w:rPr>
        <w:instrText xml:space="preserve"> REF _Ref210654373 \h </w:instrText>
      </w:r>
      <w:r w:rsidR="00E61374" w:rsidRPr="00D37004">
        <w:rPr>
          <w:noProof/>
        </w:rPr>
      </w:r>
      <w:r w:rsidR="00E61374" w:rsidRPr="00D37004">
        <w:rPr>
          <w:noProof/>
        </w:rPr>
        <w:fldChar w:fldCharType="separate"/>
      </w:r>
      <w:r w:rsidR="00137E65" w:rsidRPr="00D37004">
        <w:rPr>
          <w:noProof/>
        </w:rPr>
        <w:t xml:space="preserve">Figure </w:t>
      </w:r>
      <w:r w:rsidR="00137E65">
        <w:rPr>
          <w:noProof/>
        </w:rPr>
        <w:t>1</w:t>
      </w:r>
      <w:r w:rsidR="00E61374" w:rsidRPr="00D37004">
        <w:rPr>
          <w:noProof/>
        </w:rPr>
        <w:fldChar w:fldCharType="end"/>
      </w:r>
      <w:r w:rsidR="00E61374" w:rsidRPr="00D37004">
        <w:rPr>
          <w:rStyle w:val="FootnoteReference"/>
          <w:noProof/>
        </w:rPr>
        <w:footnoteReference w:id="20"/>
      </w:r>
      <w:r w:rsidR="00E61374">
        <w:rPr>
          <w:noProof/>
        </w:rPr>
        <w:t>)</w:t>
      </w:r>
      <w:r w:rsidR="00E61374" w:rsidRPr="00D37004">
        <w:rPr>
          <w:noProof/>
        </w:rPr>
        <w:t xml:space="preserve">. </w:t>
      </w:r>
      <w:r w:rsidR="00E61374">
        <w:rPr>
          <w:noProof/>
        </w:rPr>
        <w:t xml:space="preserve">These locations have historically provided more favourable factors for </w:t>
      </w:r>
      <w:r w:rsidR="007D154C">
        <w:rPr>
          <w:noProof/>
        </w:rPr>
        <w:t>DC</w:t>
      </w:r>
      <w:r w:rsidR="00E61374">
        <w:rPr>
          <w:noProof/>
        </w:rPr>
        <w:t xml:space="preserve"> deployment, e.g. strategic geographic location, proximity to end users, and</w:t>
      </w:r>
      <w:r w:rsidR="00E61374" w:rsidDel="00CB2C3B">
        <w:rPr>
          <w:noProof/>
        </w:rPr>
        <w:t xml:space="preserve"> </w:t>
      </w:r>
      <w:r w:rsidR="00E61374">
        <w:rPr>
          <w:noProof/>
        </w:rPr>
        <w:t>connectivity to other world regions</w:t>
      </w:r>
      <w:r w:rsidR="00E61374" w:rsidRPr="005B6426">
        <w:rPr>
          <w:noProof/>
        </w:rPr>
        <w:t xml:space="preserve">. </w:t>
      </w:r>
      <w:r w:rsidR="00F37F98" w:rsidRPr="005B6426">
        <w:rPr>
          <w:noProof/>
        </w:rPr>
        <w:t>Ireland, for example, is geographically positioned as a gateway between Europe and the US, with extensive undersea fibre-optic cable networks. This makes it</w:t>
      </w:r>
      <w:r w:rsidR="00F37F98" w:rsidRPr="00353910">
        <w:rPr>
          <w:noProof/>
        </w:rPr>
        <w:t xml:space="preserve"> an ideal location for low-latency </w:t>
      </w:r>
      <w:r w:rsidR="007014B2">
        <w:rPr>
          <w:noProof/>
        </w:rPr>
        <w:t xml:space="preserve">transatlantic </w:t>
      </w:r>
      <w:r w:rsidR="00F37F98" w:rsidRPr="00353910">
        <w:rPr>
          <w:noProof/>
        </w:rPr>
        <w:t>data transfer</w:t>
      </w:r>
      <w:r w:rsidR="009475AA">
        <w:rPr>
          <w:noProof/>
        </w:rPr>
        <w:t xml:space="preserve">s </w:t>
      </w:r>
      <w:r w:rsidR="00F37F98" w:rsidRPr="00353910">
        <w:rPr>
          <w:noProof/>
        </w:rPr>
        <w:t xml:space="preserve">for US </w:t>
      </w:r>
      <w:r w:rsidR="009475AA">
        <w:rPr>
          <w:noProof/>
        </w:rPr>
        <w:t>CSPs</w:t>
      </w:r>
      <w:r w:rsidR="00F37F98" w:rsidRPr="00353910">
        <w:rPr>
          <w:noProof/>
        </w:rPr>
        <w:t xml:space="preserve"> serving European markets</w:t>
      </w:r>
      <w:r w:rsidR="00F47436">
        <w:rPr>
          <w:noProof/>
        </w:rPr>
        <w:t xml:space="preserve"> from overseas</w:t>
      </w:r>
      <w:r w:rsidR="00F37F98" w:rsidRPr="00353910">
        <w:rPr>
          <w:noProof/>
        </w:rPr>
        <w:t>. Ireland’s low corporate tax rate and supportive government policies have attracted significant foreign direct investment, particularly from US tech companies. These companies, including the cloud hyperscalers, have established major operations in Ireland, contributing to the rapid expansion of nearby data centre infrastructure</w:t>
      </w:r>
      <w:r w:rsidR="00694E15">
        <w:rPr>
          <w:rStyle w:val="FootnoteReference"/>
          <w:noProof/>
        </w:rPr>
        <w:footnoteReference w:id="21"/>
      </w:r>
      <w:r w:rsidR="00F37F98" w:rsidRPr="00353910">
        <w:rPr>
          <w:noProof/>
        </w:rPr>
        <w:t xml:space="preserve">. </w:t>
      </w:r>
      <w:r w:rsidR="00DB2193">
        <w:rPr>
          <w:noProof/>
        </w:rPr>
        <w:t xml:space="preserve"> </w:t>
      </w:r>
    </w:p>
    <w:p w14:paraId="00256B67" w14:textId="5240CD2E" w:rsidR="00E61374" w:rsidRPr="00D37004" w:rsidRDefault="00E61374" w:rsidP="006662F4">
      <w:pPr>
        <w:pStyle w:val="Caption"/>
        <w:keepNext/>
        <w:spacing w:after="0"/>
        <w:rPr>
          <w:noProof/>
        </w:rPr>
      </w:pPr>
      <w:bookmarkStart w:id="20" w:name="_Ref210654373"/>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1</w:t>
      </w:r>
      <w:r w:rsidRPr="00D37004">
        <w:rPr>
          <w:noProof/>
        </w:rPr>
        <w:fldChar w:fldCharType="end"/>
      </w:r>
      <w:bookmarkEnd w:id="20"/>
      <w:r w:rsidRPr="00D37004">
        <w:rPr>
          <w:noProof/>
        </w:rPr>
        <w:t>. Data centre capacity across EU 27 MS in 2025</w:t>
      </w:r>
    </w:p>
    <w:p w14:paraId="3695EEB7" w14:textId="77777777" w:rsidR="00E61374" w:rsidRPr="00D37004" w:rsidRDefault="00E61374" w:rsidP="005348E0">
      <w:pPr>
        <w:jc w:val="center"/>
        <w:rPr>
          <w:noProof/>
        </w:rPr>
      </w:pPr>
      <w:r w:rsidRPr="00D37004">
        <w:rPr>
          <w:noProof/>
          <w:lang w:eastAsia="en-GB"/>
        </w:rPr>
        <w:drawing>
          <wp:inline distT="0" distB="0" distL="0" distR="0" wp14:anchorId="1C2EE321" wp14:editId="4CD0888D">
            <wp:extent cx="5809375" cy="2290119"/>
            <wp:effectExtent l="0" t="0" r="0" b="0"/>
            <wp:docPr id="1372959923" name="Picture 3" descr="A graph of data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3110" name="Picture 3" descr="A graph of data on a black background&#10;&#10;AI-generated content may be incorrec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9387"/>
                    <a:stretch/>
                  </pic:blipFill>
                  <pic:spPr bwMode="auto">
                    <a:xfrm>
                      <a:off x="0" y="0"/>
                      <a:ext cx="5996668" cy="2363952"/>
                    </a:xfrm>
                    <a:prstGeom prst="rect">
                      <a:avLst/>
                    </a:prstGeom>
                    <a:noFill/>
                    <a:ln>
                      <a:noFill/>
                    </a:ln>
                    <a:extLst>
                      <a:ext uri="{53640926-AAD7-44D8-BBD7-CCE9431645EC}">
                        <a14:shadowObscured xmlns:a14="http://schemas.microsoft.com/office/drawing/2010/main"/>
                      </a:ext>
                    </a:extLst>
                  </pic:spPr>
                </pic:pic>
              </a:graphicData>
            </a:graphic>
          </wp:inline>
        </w:drawing>
      </w:r>
    </w:p>
    <w:p w14:paraId="30F3A0F9" w14:textId="77777777" w:rsidR="00E61374" w:rsidRPr="00D37004" w:rsidRDefault="00E61374" w:rsidP="006B5183">
      <w:pPr>
        <w:pStyle w:val="Source"/>
        <w:rPr>
          <w:noProof/>
        </w:rPr>
      </w:pPr>
      <w:r w:rsidRPr="04A50E09">
        <w:rPr>
          <w:noProof/>
        </w:rPr>
        <w:t xml:space="preserve">Source: </w:t>
      </w:r>
      <w:r w:rsidRPr="68E45F9B">
        <w:rPr>
          <w:noProof/>
        </w:rPr>
        <w:t>Technop</w:t>
      </w:r>
      <w:r>
        <w:rPr>
          <w:noProof/>
        </w:rPr>
        <w:t>o</w:t>
      </w:r>
      <w:r w:rsidRPr="68E45F9B">
        <w:rPr>
          <w:noProof/>
        </w:rPr>
        <w:t>lis</w:t>
      </w:r>
      <w:r w:rsidRPr="04A50E09">
        <w:rPr>
          <w:noProof/>
        </w:rPr>
        <w:t xml:space="preserve"> et al. (2025)</w:t>
      </w:r>
      <w:r w:rsidRPr="04A50E09">
        <w:rPr>
          <w:rStyle w:val="EndnoteReference"/>
          <w:noProof/>
          <w:sz w:val="20"/>
          <w:szCs w:val="20"/>
        </w:rPr>
        <w:endnoteReference w:id="59"/>
      </w:r>
    </w:p>
    <w:p w14:paraId="3CEB9588" w14:textId="77777777" w:rsidR="00B94CFB" w:rsidRDefault="00B94CFB" w:rsidP="00B94CFB">
      <w:pPr>
        <w:rPr>
          <w:noProof/>
        </w:rPr>
      </w:pPr>
    </w:p>
    <w:p w14:paraId="0D28B815" w14:textId="77777777" w:rsidR="00137E65" w:rsidRDefault="00E61374" w:rsidP="00F20D70">
      <w:pPr>
        <w:rPr>
          <w:noProof/>
        </w:rPr>
      </w:pPr>
      <w:r w:rsidRPr="00D37004">
        <w:rPr>
          <w:noProof/>
        </w:rPr>
        <w:t>Expressed per 100</w:t>
      </w:r>
      <w:r>
        <w:rPr>
          <w:noProof/>
        </w:rPr>
        <w:t xml:space="preserve"> </w:t>
      </w:r>
      <w:r w:rsidRPr="00D37004">
        <w:rPr>
          <w:noProof/>
        </w:rPr>
        <w:t xml:space="preserve">000 inhabitants, </w:t>
      </w:r>
      <w:r w:rsidR="001503B6">
        <w:rPr>
          <w:noProof/>
        </w:rPr>
        <w:t xml:space="preserve">overall </w:t>
      </w:r>
      <w:r w:rsidRPr="00D37004">
        <w:rPr>
          <w:noProof/>
        </w:rPr>
        <w:t xml:space="preserve">capacity </w:t>
      </w:r>
      <w:r>
        <w:rPr>
          <w:noProof/>
        </w:rPr>
        <w:t>amounts to 2.75</w:t>
      </w:r>
      <w:r w:rsidR="001503B6">
        <w:rPr>
          <w:noProof/>
        </w:rPr>
        <w:t xml:space="preserve"> </w:t>
      </w:r>
      <w:r>
        <w:rPr>
          <w:noProof/>
        </w:rPr>
        <w:t xml:space="preserve">MW per 100 000 people and </w:t>
      </w:r>
      <w:r w:rsidRPr="00D37004">
        <w:rPr>
          <w:noProof/>
        </w:rPr>
        <w:t>is concentrated in a few Member States, with Ireland, the Netherlands, Denmark, Sweden</w:t>
      </w:r>
      <w:r>
        <w:rPr>
          <w:noProof/>
        </w:rPr>
        <w:t xml:space="preserve">, </w:t>
      </w:r>
      <w:r w:rsidRPr="00D37004">
        <w:rPr>
          <w:noProof/>
        </w:rPr>
        <w:t xml:space="preserve">Finland </w:t>
      </w:r>
      <w:r>
        <w:rPr>
          <w:noProof/>
        </w:rPr>
        <w:t>and Luxembourg</w:t>
      </w:r>
      <w:r w:rsidRPr="00D37004">
        <w:rPr>
          <w:noProof/>
        </w:rPr>
        <w:t xml:space="preserve"> standing out</w:t>
      </w:r>
      <w:r>
        <w:rPr>
          <w:noProof/>
        </w:rPr>
        <w:t xml:space="preserve"> (</w:t>
      </w:r>
      <w:r w:rsidRPr="00D37004">
        <w:rPr>
          <w:rFonts w:eastAsia="Times New Roman"/>
          <w:b/>
          <w:iCs/>
          <w:noProof/>
          <w:color w:val="000000" w:themeColor="text1"/>
          <w:sz w:val="20"/>
          <w:szCs w:val="18"/>
          <w:lang w:val="en-IE"/>
        </w:rPr>
        <w:fldChar w:fldCharType="begin"/>
      </w:r>
      <w:r w:rsidRPr="00D37004">
        <w:rPr>
          <w:noProof/>
        </w:rPr>
        <w:instrText xml:space="preserve"> REF _Ref210656602 \h </w:instrText>
      </w:r>
      <w:r w:rsidR="00B94CFB">
        <w:rPr>
          <w:noProof/>
        </w:rPr>
        <w:instrText xml:space="preserve"> \* MERGEFORMAT </w:instrText>
      </w:r>
      <w:r w:rsidRPr="00D37004">
        <w:rPr>
          <w:rFonts w:eastAsia="Times New Roman"/>
          <w:b/>
          <w:iCs/>
          <w:noProof/>
          <w:color w:val="000000" w:themeColor="text1"/>
          <w:sz w:val="20"/>
          <w:szCs w:val="18"/>
          <w:lang w:val="en-IE"/>
        </w:rPr>
      </w:r>
      <w:r w:rsidRPr="00D37004">
        <w:rPr>
          <w:rFonts w:eastAsia="Times New Roman"/>
          <w:b/>
          <w:iCs/>
          <w:noProof/>
          <w:color w:val="000000" w:themeColor="text1"/>
          <w:sz w:val="20"/>
          <w:szCs w:val="18"/>
          <w:lang w:val="en-IE"/>
        </w:rPr>
        <w:fldChar w:fldCharType="separate"/>
      </w:r>
    </w:p>
    <w:p w14:paraId="6E2ABE4A" w14:textId="77777777" w:rsidR="00137E65" w:rsidRDefault="00137E65" w:rsidP="00F20D70">
      <w:pPr>
        <w:rPr>
          <w:noProof/>
        </w:rPr>
      </w:pPr>
    </w:p>
    <w:p w14:paraId="0D73450E" w14:textId="797C5259" w:rsidR="00E61374" w:rsidRPr="00E259D3" w:rsidRDefault="00137E65" w:rsidP="00B94CFB">
      <w:pPr>
        <w:rPr>
          <w:noProof/>
        </w:rPr>
      </w:pPr>
      <w:r w:rsidRPr="00D37004">
        <w:rPr>
          <w:noProof/>
        </w:rPr>
        <w:t xml:space="preserve">Figure </w:t>
      </w:r>
      <w:r>
        <w:rPr>
          <w:noProof/>
        </w:rPr>
        <w:t>2</w:t>
      </w:r>
      <w:r w:rsidR="00E61374" w:rsidRPr="00D37004">
        <w:rPr>
          <w:noProof/>
        </w:rPr>
        <w:fldChar w:fldCharType="end"/>
      </w:r>
      <w:r w:rsidR="00E61374">
        <w:rPr>
          <w:noProof/>
        </w:rPr>
        <w:t>)</w:t>
      </w:r>
      <w:r w:rsidR="00E61374" w:rsidRPr="00D37004">
        <w:rPr>
          <w:noProof/>
        </w:rPr>
        <w:t>.</w:t>
      </w:r>
    </w:p>
    <w:p w14:paraId="32126854" w14:textId="77777777" w:rsidR="00ED5B6D" w:rsidRDefault="00ED5B6D" w:rsidP="004D7982">
      <w:pPr>
        <w:pStyle w:val="Caption"/>
        <w:spacing w:after="0"/>
        <w:rPr>
          <w:noProof/>
        </w:rPr>
      </w:pPr>
      <w:bookmarkStart w:id="21" w:name="_Ref210656602"/>
    </w:p>
    <w:p w14:paraId="3D1FE978" w14:textId="77777777" w:rsidR="00ED5B6D" w:rsidRDefault="00ED5B6D" w:rsidP="004D7982">
      <w:pPr>
        <w:pStyle w:val="Caption"/>
        <w:spacing w:after="0"/>
        <w:rPr>
          <w:noProof/>
        </w:rPr>
      </w:pPr>
    </w:p>
    <w:p w14:paraId="1A2CE056" w14:textId="10EC0430" w:rsidR="00E61374" w:rsidRPr="00D37004" w:rsidRDefault="00E61374" w:rsidP="004D7982">
      <w:pPr>
        <w:pStyle w:val="Caption"/>
        <w:spacing w:after="0"/>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2</w:t>
      </w:r>
      <w:r w:rsidRPr="00D37004">
        <w:rPr>
          <w:noProof/>
        </w:rPr>
        <w:fldChar w:fldCharType="end"/>
      </w:r>
      <w:bookmarkEnd w:id="21"/>
      <w:r w:rsidRPr="00D37004">
        <w:rPr>
          <w:noProof/>
        </w:rPr>
        <w:t>. Data centre capacity per 100</w:t>
      </w:r>
      <w:r>
        <w:rPr>
          <w:noProof/>
        </w:rPr>
        <w:t xml:space="preserve"> </w:t>
      </w:r>
      <w:r w:rsidRPr="00D37004">
        <w:rPr>
          <w:noProof/>
        </w:rPr>
        <w:t>000 people across EU 27 MS in 2025</w:t>
      </w:r>
    </w:p>
    <w:p w14:paraId="14D7EFB9" w14:textId="77777777" w:rsidR="00C942C4" w:rsidRDefault="00E61374" w:rsidP="000632D0">
      <w:pPr>
        <w:pStyle w:val="Source"/>
        <w:spacing w:after="0"/>
        <w:jc w:val="center"/>
        <w:rPr>
          <w:noProof/>
        </w:rPr>
      </w:pPr>
      <w:r w:rsidRPr="00D37004">
        <w:rPr>
          <w:noProof/>
          <w:lang w:val="en-GB" w:eastAsia="en-GB"/>
        </w:rPr>
        <w:drawing>
          <wp:inline distT="0" distB="0" distL="0" distR="0" wp14:anchorId="2D6690A2" wp14:editId="1A505F9F">
            <wp:extent cx="5050435" cy="2029033"/>
            <wp:effectExtent l="0" t="0" r="0" b="0"/>
            <wp:docPr id="1850145211" name="Picture 3" descr="A graph of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61199" name="Picture 3" descr="A graph of numbers and text&#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8411"/>
                    <a:stretch/>
                  </pic:blipFill>
                  <pic:spPr bwMode="auto">
                    <a:xfrm>
                      <a:off x="0" y="0"/>
                      <a:ext cx="5199741" cy="2089017"/>
                    </a:xfrm>
                    <a:prstGeom prst="rect">
                      <a:avLst/>
                    </a:prstGeom>
                    <a:noFill/>
                    <a:ln>
                      <a:noFill/>
                    </a:ln>
                    <a:extLst>
                      <a:ext uri="{53640926-AAD7-44D8-BBD7-CCE9431645EC}">
                        <a14:shadowObscured xmlns:a14="http://schemas.microsoft.com/office/drawing/2010/main"/>
                      </a:ext>
                    </a:extLst>
                  </pic:spPr>
                </pic:pic>
              </a:graphicData>
            </a:graphic>
          </wp:inline>
        </w:drawing>
      </w:r>
    </w:p>
    <w:p w14:paraId="46A70A33" w14:textId="1043D1E5" w:rsidR="00E61374" w:rsidRPr="00D37004" w:rsidRDefault="00E61374" w:rsidP="000C0BBB">
      <w:pPr>
        <w:pStyle w:val="Source"/>
        <w:rPr>
          <w:noProof/>
        </w:rPr>
      </w:pPr>
      <w:r w:rsidRPr="00D37004">
        <w:rPr>
          <w:noProof/>
        </w:rPr>
        <w:t xml:space="preserve">Source: </w:t>
      </w:r>
      <w:r w:rsidRPr="4338DC93">
        <w:rPr>
          <w:noProof/>
        </w:rPr>
        <w:t>Technop</w:t>
      </w:r>
      <w:r>
        <w:rPr>
          <w:noProof/>
        </w:rPr>
        <w:t>o</w:t>
      </w:r>
      <w:r w:rsidRPr="4338DC93">
        <w:rPr>
          <w:noProof/>
        </w:rPr>
        <w:t>lis et al. (2025)</w:t>
      </w:r>
      <w:r w:rsidRPr="48774148">
        <w:rPr>
          <w:rStyle w:val="EndnoteReference"/>
          <w:noProof/>
          <w:sz w:val="20"/>
          <w:szCs w:val="20"/>
        </w:rPr>
        <w:endnoteReference w:id="60"/>
      </w:r>
    </w:p>
    <w:p w14:paraId="113F20E5" w14:textId="266927CF" w:rsidR="00E61374" w:rsidRPr="00D37004" w:rsidRDefault="00020933" w:rsidP="00E61374">
      <w:pPr>
        <w:rPr>
          <w:noProof/>
        </w:rPr>
      </w:pPr>
      <w:r>
        <w:rPr>
          <w:noProof/>
        </w:rPr>
        <w:t>In addition</w:t>
      </w:r>
      <w:r w:rsidR="00B24432">
        <w:rPr>
          <w:noProof/>
        </w:rPr>
        <w:t>, t</w:t>
      </w:r>
      <w:r w:rsidR="00E61374" w:rsidRPr="00D37004">
        <w:rPr>
          <w:noProof/>
        </w:rPr>
        <w:t xml:space="preserve">he EU lags behind </w:t>
      </w:r>
      <w:r w:rsidR="00F37F98">
        <w:rPr>
          <w:noProof/>
        </w:rPr>
        <w:t>other regions</w:t>
      </w:r>
      <w:r w:rsidR="00E61374" w:rsidRPr="00D37004">
        <w:rPr>
          <w:noProof/>
        </w:rPr>
        <w:t xml:space="preserve"> in both scale and ownership of digital infrastructure (see Figure 3).</w:t>
      </w:r>
      <w:r w:rsidR="00E61374">
        <w:rPr>
          <w:noProof/>
        </w:rPr>
        <w:t xml:space="preserve"> In 2022, Europe had approximately 1 MW of installed data centre capacity per 100 000 people, while the US had 12 MW</w:t>
      </w:r>
      <w:r w:rsidR="00E61374">
        <w:rPr>
          <w:rStyle w:val="EndnoteReference"/>
          <w:noProof/>
        </w:rPr>
        <w:endnoteReference w:id="61"/>
      </w:r>
      <w:r w:rsidR="00E61374">
        <w:rPr>
          <w:noProof/>
        </w:rPr>
        <w:t>. The situation persists today: d</w:t>
      </w:r>
      <w:r w:rsidR="00E61374" w:rsidRPr="00D37004">
        <w:rPr>
          <w:noProof/>
        </w:rPr>
        <w:t>espite similar GDPs, in 2025 the EU accounts for only 20% of global installed data centre capacity compared to the US (42%)</w:t>
      </w:r>
      <w:r w:rsidR="00E61374" w:rsidRPr="00D37004">
        <w:rPr>
          <w:rStyle w:val="EndnoteReference"/>
          <w:noProof/>
        </w:rPr>
        <w:endnoteReference w:id="62"/>
      </w:r>
      <w:r w:rsidR="00E61374" w:rsidRPr="00D37004">
        <w:rPr>
          <w:noProof/>
        </w:rPr>
        <w:t>.</w:t>
      </w:r>
    </w:p>
    <w:p w14:paraId="3DDDA6EA" w14:textId="6B46AE87" w:rsidR="00E61374" w:rsidRPr="00D37004" w:rsidRDefault="00E61374" w:rsidP="004D7982">
      <w:pPr>
        <w:pStyle w:val="Caption"/>
        <w:spacing w:after="0"/>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3</w:t>
      </w:r>
      <w:r w:rsidRPr="00D37004">
        <w:rPr>
          <w:noProof/>
        </w:rPr>
        <w:fldChar w:fldCharType="end"/>
      </w:r>
      <w:r w:rsidRPr="00D37004">
        <w:rPr>
          <w:noProof/>
        </w:rPr>
        <w:t>. Comparison of GDP and data centre capacity for leading markets in 2025</w:t>
      </w:r>
    </w:p>
    <w:p w14:paraId="7B5941E9" w14:textId="77777777" w:rsidR="00E61374" w:rsidRPr="00D37004" w:rsidRDefault="00E61374" w:rsidP="000632D0">
      <w:pPr>
        <w:spacing w:after="0"/>
        <w:jc w:val="center"/>
        <w:rPr>
          <w:noProof/>
        </w:rPr>
      </w:pPr>
      <w:r w:rsidRPr="00D37004">
        <w:rPr>
          <w:noProof/>
          <w:lang w:eastAsia="en-GB"/>
        </w:rPr>
        <w:drawing>
          <wp:inline distT="0" distB="0" distL="0" distR="0" wp14:anchorId="457AC7A8" wp14:editId="23AA4E65">
            <wp:extent cx="4670768" cy="1847850"/>
            <wp:effectExtent l="0" t="0" r="0" b="0"/>
            <wp:docPr id="558563290" name="Picture 4" descr="A graph with numbers and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63290" name="Picture 4" descr="A graph with numbers and a chart&#10;&#10;AI-generated content may be incorrec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975" b="5643"/>
                    <a:stretch/>
                  </pic:blipFill>
                  <pic:spPr bwMode="auto">
                    <a:xfrm>
                      <a:off x="0" y="0"/>
                      <a:ext cx="4718574" cy="1866763"/>
                    </a:xfrm>
                    <a:prstGeom prst="rect">
                      <a:avLst/>
                    </a:prstGeom>
                    <a:noFill/>
                    <a:ln>
                      <a:noFill/>
                    </a:ln>
                    <a:extLst>
                      <a:ext uri="{53640926-AAD7-44D8-BBD7-CCE9431645EC}">
                        <a14:shadowObscured xmlns:a14="http://schemas.microsoft.com/office/drawing/2010/main"/>
                      </a:ext>
                    </a:extLst>
                  </pic:spPr>
                </pic:pic>
              </a:graphicData>
            </a:graphic>
          </wp:inline>
        </w:drawing>
      </w:r>
    </w:p>
    <w:p w14:paraId="2A427EDB" w14:textId="77777777" w:rsidR="00E61374" w:rsidRPr="00D37004" w:rsidRDefault="00E61374" w:rsidP="00BD4D07">
      <w:pPr>
        <w:pStyle w:val="Source"/>
        <w:spacing w:after="0"/>
        <w:rPr>
          <w:noProof/>
        </w:rPr>
      </w:pPr>
      <w:r w:rsidRPr="5E022BB1">
        <w:rPr>
          <w:noProof/>
        </w:rPr>
        <w:t xml:space="preserve">Source: </w:t>
      </w:r>
      <w:r w:rsidRPr="35BE4AFD">
        <w:rPr>
          <w:noProof/>
        </w:rPr>
        <w:t>Technopolis</w:t>
      </w:r>
      <w:r w:rsidRPr="5E022BB1">
        <w:rPr>
          <w:noProof/>
        </w:rPr>
        <w:t xml:space="preserve"> et al. (2025)</w:t>
      </w:r>
      <w:r w:rsidRPr="4057BDF9">
        <w:rPr>
          <w:rStyle w:val="EndnoteReference"/>
          <w:noProof/>
          <w:sz w:val="20"/>
          <w:szCs w:val="20"/>
        </w:rPr>
        <w:endnoteReference w:id="63"/>
      </w:r>
    </w:p>
    <w:p w14:paraId="488A9FDB" w14:textId="21A2A746" w:rsidR="006903AB" w:rsidRDefault="006903AB" w:rsidP="00E61374">
      <w:pPr>
        <w:rPr>
          <w:noProof/>
        </w:rPr>
      </w:pPr>
      <w:r>
        <w:rPr>
          <w:noProof/>
        </w:rPr>
        <w:t>Th</w:t>
      </w:r>
      <w:r w:rsidR="00B205B8">
        <w:rPr>
          <w:noProof/>
        </w:rPr>
        <w:t xml:space="preserve">e existing </w:t>
      </w:r>
      <w:r>
        <w:rPr>
          <w:noProof/>
        </w:rPr>
        <w:t xml:space="preserve">capacity gap and strong geographical concentration </w:t>
      </w:r>
      <w:r w:rsidR="00B205B8">
        <w:rPr>
          <w:noProof/>
        </w:rPr>
        <w:t>point to structural</w:t>
      </w:r>
      <w:r>
        <w:rPr>
          <w:noProof/>
        </w:rPr>
        <w:t xml:space="preserve"> inefficien</w:t>
      </w:r>
      <w:r w:rsidR="00B205B8">
        <w:rPr>
          <w:noProof/>
        </w:rPr>
        <w:t xml:space="preserve">cies in the </w:t>
      </w:r>
      <w:r>
        <w:rPr>
          <w:noProof/>
        </w:rPr>
        <w:t xml:space="preserve">allocation of resources in the market for data centre capacity, with effects already visible today:  </w:t>
      </w:r>
    </w:p>
    <w:p w14:paraId="7108AB11" w14:textId="5F223339" w:rsidR="00C546EF" w:rsidRDefault="00A52A82" w:rsidP="00E61374">
      <w:pPr>
        <w:rPr>
          <w:noProof/>
        </w:rPr>
      </w:pPr>
      <w:r>
        <w:rPr>
          <w:noProof/>
        </w:rPr>
        <w:t>The l</w:t>
      </w:r>
      <w:r w:rsidR="00EA30C3">
        <w:rPr>
          <w:noProof/>
        </w:rPr>
        <w:t xml:space="preserve">imited </w:t>
      </w:r>
      <w:r w:rsidR="00E61374">
        <w:rPr>
          <w:noProof/>
        </w:rPr>
        <w:t>supply</w:t>
      </w:r>
      <w:r w:rsidR="00E61374" w:rsidRPr="00D37004" w:rsidDel="00F8190F">
        <w:rPr>
          <w:noProof/>
        </w:rPr>
        <w:t xml:space="preserve"> </w:t>
      </w:r>
      <w:r w:rsidR="00F8190F">
        <w:rPr>
          <w:noProof/>
        </w:rPr>
        <w:t>has led</w:t>
      </w:r>
      <w:r w:rsidR="00F8190F" w:rsidRPr="00D37004">
        <w:rPr>
          <w:noProof/>
        </w:rPr>
        <w:t xml:space="preserve"> </w:t>
      </w:r>
      <w:r w:rsidR="00E61374" w:rsidRPr="00D37004">
        <w:rPr>
          <w:noProof/>
        </w:rPr>
        <w:t>to rising prices for existing capacity</w:t>
      </w:r>
      <w:r w:rsidR="00E61374">
        <w:rPr>
          <w:noProof/>
        </w:rPr>
        <w:t>, negatively affecting businesses which rely on such capacity</w:t>
      </w:r>
      <w:r w:rsidR="00E61374" w:rsidRPr="00D37004">
        <w:rPr>
          <w:noProof/>
        </w:rPr>
        <w:t>.</w:t>
      </w:r>
      <w:r w:rsidR="00E61374" w:rsidRPr="00D37004" w:rsidDel="00D07644">
        <w:rPr>
          <w:noProof/>
        </w:rPr>
        <w:t xml:space="preserve"> </w:t>
      </w:r>
      <w:r w:rsidR="00E61374">
        <w:rPr>
          <w:noProof/>
        </w:rPr>
        <w:t xml:space="preserve">Since 2022, average asking prices in the European colocation markets have increased by 51% for 100 kW leases </w:t>
      </w:r>
      <w:r w:rsidR="00E61374">
        <w:rPr>
          <w:rStyle w:val="EndnoteReference"/>
          <w:noProof/>
        </w:rPr>
        <w:endnoteReference w:id="64"/>
      </w:r>
      <w:r w:rsidR="00E61374">
        <w:rPr>
          <w:noProof/>
        </w:rPr>
        <w:t xml:space="preserve">. </w:t>
      </w:r>
      <w:r w:rsidR="00595984">
        <w:rPr>
          <w:noProof/>
        </w:rPr>
        <w:t>N</w:t>
      </w:r>
      <w:r w:rsidR="00595984" w:rsidRPr="00D37004">
        <w:rPr>
          <w:noProof/>
        </w:rPr>
        <w:t>ew co</w:t>
      </w:r>
      <w:r w:rsidR="00191167">
        <w:rPr>
          <w:noProof/>
        </w:rPr>
        <w:t>-</w:t>
      </w:r>
      <w:r w:rsidR="00595984" w:rsidRPr="00D37004">
        <w:rPr>
          <w:noProof/>
        </w:rPr>
        <w:t xml:space="preserve">location capacity is often leased to large service providers: </w:t>
      </w:r>
      <w:r w:rsidR="00E61374" w:rsidRPr="00D37004">
        <w:rPr>
          <w:noProof/>
        </w:rPr>
        <w:t>Amazon Web Services (AWS), Microsoft, Google</w:t>
      </w:r>
      <w:r w:rsidR="00E61374" w:rsidRPr="00D37004">
        <w:rPr>
          <w:rStyle w:val="FootnoteReference"/>
          <w:noProof/>
        </w:rPr>
        <w:footnoteReference w:id="22"/>
      </w:r>
      <w:r w:rsidR="00E61374" w:rsidRPr="00D37004">
        <w:rPr>
          <w:noProof/>
        </w:rPr>
        <w:t xml:space="preserve">. By 2028, they are expected to drive 65% of the demand for </w:t>
      </w:r>
      <w:r w:rsidR="007D154C">
        <w:rPr>
          <w:noProof/>
        </w:rPr>
        <w:t>DCs</w:t>
      </w:r>
      <w:r w:rsidR="00E61374" w:rsidRPr="00D37004">
        <w:rPr>
          <w:noProof/>
        </w:rPr>
        <w:t xml:space="preserve"> in Europe</w:t>
      </w:r>
      <w:r w:rsidR="00E61374">
        <w:rPr>
          <w:noProof/>
        </w:rPr>
        <w:t>, an</w:t>
      </w:r>
      <w:r w:rsidR="00E61374" w:rsidRPr="00D37004">
        <w:rPr>
          <w:noProof/>
        </w:rPr>
        <w:t xml:space="preserve"> increase </w:t>
      </w:r>
      <w:r w:rsidR="00E61374">
        <w:rPr>
          <w:noProof/>
        </w:rPr>
        <w:t>of 1</w:t>
      </w:r>
      <w:r w:rsidR="00E61374" w:rsidRPr="00D37004">
        <w:rPr>
          <w:noProof/>
        </w:rPr>
        <w:t>2% during the same timeframe</w:t>
      </w:r>
      <w:r w:rsidR="00E61374" w:rsidRPr="00D37004">
        <w:rPr>
          <w:noProof/>
          <w:vertAlign w:val="superscript"/>
        </w:rPr>
        <w:endnoteReference w:id="65"/>
      </w:r>
      <w:r w:rsidR="00E61374" w:rsidRPr="00D37004">
        <w:rPr>
          <w:noProof/>
        </w:rPr>
        <w:t xml:space="preserve">. </w:t>
      </w:r>
      <w:r w:rsidR="00021EA4">
        <w:rPr>
          <w:noProof/>
        </w:rPr>
        <w:t xml:space="preserve">This </w:t>
      </w:r>
      <w:r w:rsidR="00BF6B7E">
        <w:rPr>
          <w:noProof/>
        </w:rPr>
        <w:t>reinforces the</w:t>
      </w:r>
      <w:r w:rsidR="00021EA4">
        <w:rPr>
          <w:noProof/>
        </w:rPr>
        <w:t xml:space="preserve"> competition dynamics</w:t>
      </w:r>
      <w:r w:rsidR="00291E63">
        <w:rPr>
          <w:noProof/>
        </w:rPr>
        <w:t xml:space="preserve"> discussed above: when </w:t>
      </w:r>
      <w:r w:rsidR="00551FD7">
        <w:rPr>
          <w:noProof/>
        </w:rPr>
        <w:t>most of the</w:t>
      </w:r>
      <w:r w:rsidR="00291E63">
        <w:rPr>
          <w:noProof/>
        </w:rPr>
        <w:t xml:space="preserve"> new capacity is effectively reserved by a handful of players, they </w:t>
      </w:r>
      <w:r w:rsidR="00551FD7">
        <w:rPr>
          <w:noProof/>
        </w:rPr>
        <w:t>can</w:t>
      </w:r>
      <w:r w:rsidR="00291E63">
        <w:rPr>
          <w:noProof/>
        </w:rPr>
        <w:t xml:space="preserve"> shape where and how new infrastructure i</w:t>
      </w:r>
      <w:r w:rsidR="00551FD7">
        <w:rPr>
          <w:noProof/>
        </w:rPr>
        <w:t>s</w:t>
      </w:r>
      <w:r w:rsidR="00291E63">
        <w:rPr>
          <w:noProof/>
        </w:rPr>
        <w:t xml:space="preserve"> built, secure access to suitable sites and further capitalise on economies of scale. </w:t>
      </w:r>
      <w:r w:rsidR="00E53C54">
        <w:rPr>
          <w:noProof/>
        </w:rPr>
        <w:t>Already today, vacancy rates in Europe’s top DC markets are at a record low of 7.4%</w:t>
      </w:r>
      <w:r w:rsidR="00E53C54">
        <w:rPr>
          <w:rStyle w:val="EndnoteReference"/>
          <w:noProof/>
        </w:rPr>
        <w:endnoteReference w:id="66"/>
      </w:r>
      <w:r w:rsidR="00E53C54">
        <w:rPr>
          <w:noProof/>
        </w:rPr>
        <w:t>.</w:t>
      </w:r>
      <w:r w:rsidR="00E53C54" w:rsidRPr="00D37004">
        <w:rPr>
          <w:noProof/>
        </w:rPr>
        <w:t xml:space="preserve"> </w:t>
      </w:r>
      <w:r w:rsidR="00E53C54">
        <w:rPr>
          <w:noProof/>
        </w:rPr>
        <w:t>Due to a lack of available space, co-location providers are expected to raise prices in 2025 by 10% in leading DC markets</w:t>
      </w:r>
      <w:r w:rsidR="00E53C54" w:rsidRPr="00D37004">
        <w:rPr>
          <w:rStyle w:val="EndnoteReference"/>
          <w:noProof/>
        </w:rPr>
        <w:endnoteReference w:id="67"/>
      </w:r>
      <w:r w:rsidR="00E53C54">
        <w:rPr>
          <w:noProof/>
        </w:rPr>
        <w:t>.</w:t>
      </w:r>
      <w:r w:rsidR="00E53C54" w:rsidRPr="00F16DDD">
        <w:rPr>
          <w:noProof/>
        </w:rPr>
        <w:t xml:space="preserve"> </w:t>
      </w:r>
      <w:r w:rsidR="00E61374">
        <w:rPr>
          <w:noProof/>
        </w:rPr>
        <w:t xml:space="preserve">The negative effects on businesses’ ability to access capacity are particularly pronounced in regions with a high concentration of </w:t>
      </w:r>
      <w:r w:rsidR="007D154C">
        <w:rPr>
          <w:noProof/>
        </w:rPr>
        <w:t>DCs</w:t>
      </w:r>
      <w:r w:rsidR="00E61374">
        <w:rPr>
          <w:noProof/>
        </w:rPr>
        <w:t xml:space="preserve">, where businesses are faced with higher prices. </w:t>
      </w:r>
    </w:p>
    <w:p w14:paraId="54097119" w14:textId="468AA84A" w:rsidR="00E61374" w:rsidRPr="00D37004" w:rsidRDefault="001469AE" w:rsidP="0090010A">
      <w:pPr>
        <w:pStyle w:val="Text1"/>
        <w:ind w:left="0"/>
        <w:rPr>
          <w:noProof/>
        </w:rPr>
      </w:pPr>
      <w:r>
        <w:rPr>
          <w:noProof/>
        </w:rPr>
        <w:t xml:space="preserve">As noted above, </w:t>
      </w:r>
      <w:r w:rsidR="00E61374">
        <w:rPr>
          <w:noProof/>
        </w:rPr>
        <w:t>g</w:t>
      </w:r>
      <w:r w:rsidR="00E61374" w:rsidRPr="00D37004">
        <w:rPr>
          <w:noProof/>
        </w:rPr>
        <w:t>eographic concentration puts a strain on affected regions</w:t>
      </w:r>
      <w:r w:rsidR="00E61374">
        <w:rPr>
          <w:noProof/>
        </w:rPr>
        <w:t>:</w:t>
      </w:r>
      <w:r w:rsidR="00E61374" w:rsidRPr="00D37004">
        <w:rPr>
          <w:noProof/>
        </w:rPr>
        <w:t xml:space="preserve"> </w:t>
      </w:r>
      <w:r w:rsidR="00E61374">
        <w:rPr>
          <w:noProof/>
        </w:rPr>
        <w:t>i</w:t>
      </w:r>
      <w:r w:rsidR="00E61374" w:rsidRPr="00D37004">
        <w:rPr>
          <w:noProof/>
        </w:rPr>
        <w:t xml:space="preserve">n Ireland, </w:t>
      </w:r>
      <w:r w:rsidR="007D154C">
        <w:rPr>
          <w:noProof/>
        </w:rPr>
        <w:t>DCs</w:t>
      </w:r>
      <w:r w:rsidR="00E61374">
        <w:rPr>
          <w:noProof/>
        </w:rPr>
        <w:t xml:space="preserve"> accounted for 22% of electricity demand in 2025, up 5% from 2015.</w:t>
      </w:r>
      <w:r w:rsidR="00E61374" w:rsidRPr="00D37004">
        <w:rPr>
          <w:noProof/>
        </w:rPr>
        <w:t xml:space="preserve"> </w:t>
      </w:r>
      <w:r w:rsidR="00E61374">
        <w:rPr>
          <w:noProof/>
        </w:rPr>
        <w:t>The resulting grid stress has led</w:t>
      </w:r>
      <w:r w:rsidR="00E61374" w:rsidDel="001469AE">
        <w:rPr>
          <w:noProof/>
        </w:rPr>
        <w:t xml:space="preserve"> </w:t>
      </w:r>
      <w:r w:rsidR="00E61374">
        <w:rPr>
          <w:noProof/>
        </w:rPr>
        <w:t>local TSO</w:t>
      </w:r>
      <w:r>
        <w:rPr>
          <w:noProof/>
        </w:rPr>
        <w:t>s</w:t>
      </w:r>
      <w:r w:rsidR="00E61374">
        <w:rPr>
          <w:noProof/>
        </w:rPr>
        <w:t xml:space="preserve"> to enact a de facto moratorium for new </w:t>
      </w:r>
      <w:r w:rsidR="007D154C">
        <w:rPr>
          <w:noProof/>
        </w:rPr>
        <w:t>DC</w:t>
      </w:r>
      <w:r w:rsidR="00E61374">
        <w:rPr>
          <w:noProof/>
        </w:rPr>
        <w:t xml:space="preserve"> applications in Dublin due to fears of overloading the grid and compromising energy security</w:t>
      </w:r>
      <w:r w:rsidR="00E61374">
        <w:rPr>
          <w:rStyle w:val="EndnoteReference"/>
          <w:noProof/>
        </w:rPr>
        <w:endnoteReference w:id="68"/>
      </w:r>
      <w:r w:rsidR="00E61374" w:rsidRPr="00D37004">
        <w:rPr>
          <w:noProof/>
        </w:rPr>
        <w:t xml:space="preserve">. </w:t>
      </w:r>
      <w:r w:rsidR="00E61374">
        <w:rPr>
          <w:noProof/>
        </w:rPr>
        <w:t>M</w:t>
      </w:r>
      <w:r w:rsidR="00E61374" w:rsidRPr="00D37004">
        <w:rPr>
          <w:noProof/>
        </w:rPr>
        <w:t xml:space="preserve">unicipalities in Noord-Holland have </w:t>
      </w:r>
      <w:r w:rsidR="00E61374">
        <w:rPr>
          <w:noProof/>
        </w:rPr>
        <w:t xml:space="preserve">also </w:t>
      </w:r>
      <w:r w:rsidR="00E61374" w:rsidRPr="00D37004">
        <w:rPr>
          <w:noProof/>
        </w:rPr>
        <w:t xml:space="preserve">enacted several moratoria on building new </w:t>
      </w:r>
      <w:r w:rsidR="007D154C">
        <w:rPr>
          <w:noProof/>
        </w:rPr>
        <w:t>DCs</w:t>
      </w:r>
      <w:r w:rsidR="00E61374" w:rsidRPr="00D37004">
        <w:rPr>
          <w:noProof/>
        </w:rPr>
        <w:t xml:space="preserve">, the latest one in 2023 </w:t>
      </w:r>
      <w:r w:rsidR="00E61374">
        <w:rPr>
          <w:noProof/>
        </w:rPr>
        <w:t>in</w:t>
      </w:r>
      <w:r w:rsidR="00E61374" w:rsidRPr="00D37004">
        <w:rPr>
          <w:noProof/>
        </w:rPr>
        <w:t xml:space="preserve"> Amsterdam</w:t>
      </w:r>
      <w:r w:rsidR="00E61374" w:rsidRPr="00D37004">
        <w:rPr>
          <w:rStyle w:val="EndnoteReference"/>
          <w:noProof/>
        </w:rPr>
        <w:endnoteReference w:id="69"/>
      </w:r>
      <w:r w:rsidR="00E61374" w:rsidRPr="00D37004">
        <w:rPr>
          <w:noProof/>
        </w:rPr>
        <w:t>.</w:t>
      </w:r>
      <w:r w:rsidR="00E61374">
        <w:rPr>
          <w:noProof/>
        </w:rPr>
        <w:t xml:space="preserve"> In the case of Dublin, the moratorium has reportedly stalled EUR 8-10 bn in planned </w:t>
      </w:r>
      <w:r w:rsidR="007D154C">
        <w:rPr>
          <w:noProof/>
        </w:rPr>
        <w:t>DC</w:t>
      </w:r>
      <w:r w:rsidR="00E61374">
        <w:rPr>
          <w:noProof/>
        </w:rPr>
        <w:t xml:space="preserve"> investments.</w:t>
      </w:r>
      <w:r w:rsidR="00E61374" w:rsidRPr="00D37004">
        <w:rPr>
          <w:noProof/>
        </w:rPr>
        <w:t xml:space="preserve"> </w:t>
      </w:r>
      <w:r w:rsidR="00E61374">
        <w:rPr>
          <w:noProof/>
        </w:rPr>
        <w:t>The effects of grid stress also impact other user groups</w:t>
      </w:r>
      <w:r w:rsidR="00E61374">
        <w:rPr>
          <w:rStyle w:val="FootnoteReference"/>
          <w:noProof/>
        </w:rPr>
        <w:footnoteReference w:id="23"/>
      </w:r>
      <w:r w:rsidR="00E61374">
        <w:rPr>
          <w:noProof/>
        </w:rPr>
        <w:t xml:space="preserve">. In Luxembourg, the plans for a large </w:t>
      </w:r>
      <w:r w:rsidR="007D154C">
        <w:rPr>
          <w:noProof/>
        </w:rPr>
        <w:t>DC</w:t>
      </w:r>
      <w:r w:rsidR="00E61374">
        <w:rPr>
          <w:noProof/>
        </w:rPr>
        <w:t xml:space="preserve"> by Google have been subject to a </w:t>
      </w:r>
      <w:r w:rsidR="008269DE">
        <w:rPr>
          <w:noProof/>
        </w:rPr>
        <w:t xml:space="preserve">review of its energy grid planning </w:t>
      </w:r>
      <w:r w:rsidR="00E61374">
        <w:rPr>
          <w:noProof/>
        </w:rPr>
        <w:t>that includes a new connection to Germany</w:t>
      </w:r>
      <w:r w:rsidR="00E61374">
        <w:rPr>
          <w:rStyle w:val="EndnoteReference"/>
          <w:noProof/>
        </w:rPr>
        <w:endnoteReference w:id="70"/>
      </w:r>
      <w:r w:rsidR="003F6579">
        <w:rPr>
          <w:noProof/>
        </w:rPr>
        <w:t xml:space="preserve"> because local electric</w:t>
      </w:r>
      <w:r w:rsidR="008C3262">
        <w:rPr>
          <w:noProof/>
        </w:rPr>
        <w:t>ity generation was not sufficient</w:t>
      </w:r>
      <w:r w:rsidR="00E61374">
        <w:rPr>
          <w:noProof/>
        </w:rPr>
        <w:t xml:space="preserve">. </w:t>
      </w:r>
      <w:r w:rsidR="00D36FDE">
        <w:rPr>
          <w:noProof/>
        </w:rPr>
        <w:t>This situation, with the s</w:t>
      </w:r>
      <w:r w:rsidR="00C2676A">
        <w:rPr>
          <w:noProof/>
        </w:rPr>
        <w:t>aturation of existing infrastructure</w:t>
      </w:r>
      <w:r w:rsidR="00D36FDE">
        <w:rPr>
          <w:noProof/>
        </w:rPr>
        <w:t>,</w:t>
      </w:r>
      <w:r w:rsidR="00162808">
        <w:rPr>
          <w:noProof/>
        </w:rPr>
        <w:t xml:space="preserve"> has further</w:t>
      </w:r>
      <w:r w:rsidR="008E2379">
        <w:rPr>
          <w:noProof/>
        </w:rPr>
        <w:t xml:space="preserve"> slowed deployment, raised energy system </w:t>
      </w:r>
      <w:r w:rsidR="00CC6157">
        <w:rPr>
          <w:noProof/>
        </w:rPr>
        <w:t>pressures and diverted investment, rather than</w:t>
      </w:r>
      <w:r w:rsidR="00D36FDE">
        <w:rPr>
          <w:noProof/>
        </w:rPr>
        <w:t xml:space="preserve"> leading to an efficient </w:t>
      </w:r>
      <w:r w:rsidR="00660CD2">
        <w:rPr>
          <w:noProof/>
        </w:rPr>
        <w:t>redistribution</w:t>
      </w:r>
      <w:r w:rsidR="00D36FDE">
        <w:rPr>
          <w:noProof/>
        </w:rPr>
        <w:t xml:space="preserve"> of</w:t>
      </w:r>
      <w:r w:rsidR="00660CD2">
        <w:rPr>
          <w:noProof/>
        </w:rPr>
        <w:t xml:space="preserve"> capacity across the Union.</w:t>
      </w:r>
      <w:r w:rsidR="00D36FDE">
        <w:rPr>
          <w:noProof/>
        </w:rPr>
        <w:t xml:space="preserve"> </w:t>
      </w:r>
      <w:r w:rsidR="00265C48">
        <w:rPr>
          <w:noProof/>
        </w:rPr>
        <w:t xml:space="preserve"> </w:t>
      </w:r>
    </w:p>
    <w:p w14:paraId="2DB43DEE" w14:textId="491A3804" w:rsidR="00833EF8" w:rsidRDefault="00833EF8" w:rsidP="00833EF8">
      <w:pPr>
        <w:rPr>
          <w:noProof/>
        </w:rPr>
      </w:pPr>
      <w:r>
        <w:rPr>
          <w:noProof/>
        </w:rPr>
        <w:t>W</w:t>
      </w:r>
      <w:r w:rsidRPr="00D37004">
        <w:rPr>
          <w:noProof/>
        </w:rPr>
        <w:t xml:space="preserve">hile cloud and AI computing services can be </w:t>
      </w:r>
      <w:r>
        <w:rPr>
          <w:noProof/>
        </w:rPr>
        <w:t xml:space="preserve">technically </w:t>
      </w:r>
      <w:r w:rsidRPr="00D37004">
        <w:rPr>
          <w:noProof/>
        </w:rPr>
        <w:t xml:space="preserve">delivered cross-border, </w:t>
      </w:r>
      <w:r>
        <w:rPr>
          <w:noProof/>
        </w:rPr>
        <w:t>r</w:t>
      </w:r>
      <w:r w:rsidRPr="00D37004">
        <w:rPr>
          <w:noProof/>
        </w:rPr>
        <w:t xml:space="preserve">egions with a low </w:t>
      </w:r>
      <w:r>
        <w:rPr>
          <w:noProof/>
        </w:rPr>
        <w:t>DC</w:t>
      </w:r>
      <w:r w:rsidRPr="00D37004">
        <w:rPr>
          <w:noProof/>
        </w:rPr>
        <w:t xml:space="preserve"> presence are </w:t>
      </w:r>
      <w:r>
        <w:rPr>
          <w:noProof/>
        </w:rPr>
        <w:t>also disadvantaged by this</w:t>
      </w:r>
      <w:r w:rsidRPr="00D37004">
        <w:rPr>
          <w:noProof/>
        </w:rPr>
        <w:t xml:space="preserve"> geographic imbalance</w:t>
      </w:r>
      <w:r>
        <w:rPr>
          <w:noProof/>
        </w:rPr>
        <w:t xml:space="preserve">, as exemplified by the higher </w:t>
      </w:r>
      <w:r w:rsidR="007570D1">
        <w:rPr>
          <w:noProof/>
        </w:rPr>
        <w:t xml:space="preserve">prices </w:t>
      </w:r>
      <w:r>
        <w:rPr>
          <w:noProof/>
        </w:rPr>
        <w:t>in regions with low DC presence</w:t>
      </w:r>
      <w:r>
        <w:rPr>
          <w:rStyle w:val="EndnoteReference"/>
          <w:noProof/>
        </w:rPr>
        <w:endnoteReference w:id="71"/>
      </w:r>
      <w:r>
        <w:rPr>
          <w:noProof/>
        </w:rPr>
        <w:t>. Moreover, the</w:t>
      </w:r>
      <w:r w:rsidRPr="00D37004">
        <w:rPr>
          <w:noProof/>
        </w:rPr>
        <w:t xml:space="preserve"> </w:t>
      </w:r>
      <w:r>
        <w:rPr>
          <w:noProof/>
        </w:rPr>
        <w:t>lack</w:t>
      </w:r>
      <w:r w:rsidRPr="00D37004">
        <w:rPr>
          <w:noProof/>
        </w:rPr>
        <w:t xml:space="preserve"> of nearby computing capacity </w:t>
      </w:r>
      <w:r>
        <w:rPr>
          <w:noProof/>
        </w:rPr>
        <w:t xml:space="preserve">drives up latency, limiting the availability and quality of low-latency services, </w:t>
      </w:r>
      <w:r w:rsidR="001A308F">
        <w:rPr>
          <w:noProof/>
        </w:rPr>
        <w:t xml:space="preserve">thus placing local end-users at a competitive disadvantage compared with regions </w:t>
      </w:r>
      <w:r>
        <w:rPr>
          <w:noProof/>
        </w:rPr>
        <w:t>that have better access to DC capacity</w:t>
      </w:r>
      <w:r>
        <w:rPr>
          <w:rStyle w:val="FootnoteReference"/>
          <w:noProof/>
        </w:rPr>
        <w:footnoteReference w:id="24"/>
      </w:r>
      <w:r>
        <w:rPr>
          <w:noProof/>
        </w:rPr>
        <w:t xml:space="preserve"> (see also section 2.3)</w:t>
      </w:r>
      <w:r w:rsidRPr="00D37004">
        <w:rPr>
          <w:noProof/>
        </w:rPr>
        <w:t>.</w:t>
      </w:r>
      <w:r>
        <w:rPr>
          <w:noProof/>
        </w:rPr>
        <w:t xml:space="preserve"> </w:t>
      </w:r>
      <w:r w:rsidR="00FF0E51">
        <w:rPr>
          <w:noProof/>
        </w:rPr>
        <w:t xml:space="preserve">It also </w:t>
      </w:r>
      <w:r w:rsidR="00C456FE">
        <w:rPr>
          <w:noProof/>
        </w:rPr>
        <w:t xml:space="preserve">points to </w:t>
      </w:r>
      <w:r w:rsidR="006767A8">
        <w:rPr>
          <w:noProof/>
        </w:rPr>
        <w:t>under</w:t>
      </w:r>
      <w:r w:rsidR="00DB620D">
        <w:rPr>
          <w:noProof/>
        </w:rPr>
        <w:t xml:space="preserve"> exploited </w:t>
      </w:r>
      <w:r w:rsidR="00C456FE">
        <w:rPr>
          <w:noProof/>
        </w:rPr>
        <w:t xml:space="preserve">investment </w:t>
      </w:r>
      <w:r w:rsidR="00DB620D">
        <w:rPr>
          <w:noProof/>
        </w:rPr>
        <w:t>opportunities</w:t>
      </w:r>
      <w:r w:rsidR="00F112B9">
        <w:rPr>
          <w:noProof/>
        </w:rPr>
        <w:t xml:space="preserve"> if </w:t>
      </w:r>
      <w:r w:rsidR="00F007DF">
        <w:rPr>
          <w:noProof/>
        </w:rPr>
        <w:t xml:space="preserve">comprehensive business cases can be </w:t>
      </w:r>
      <w:r w:rsidR="00712ADD">
        <w:rPr>
          <w:noProof/>
        </w:rPr>
        <w:t>built</w:t>
      </w:r>
      <w:r w:rsidR="00C504BF">
        <w:rPr>
          <w:noProof/>
        </w:rPr>
        <w:t xml:space="preserve"> around these cases</w:t>
      </w:r>
      <w:r w:rsidR="00DB620D">
        <w:rPr>
          <w:noProof/>
        </w:rPr>
        <w:t>.</w:t>
      </w:r>
      <w:r>
        <w:rPr>
          <w:noProof/>
        </w:rPr>
        <w:t xml:space="preserve"> Over time, this can slow digital transformation in the affected Member States and weaken overall competitiveness within the Digital Single Market</w:t>
      </w:r>
      <w:r w:rsidRPr="00A658CA">
        <w:rPr>
          <w:noProof/>
        </w:rPr>
        <w:t>.</w:t>
      </w:r>
      <w:r>
        <w:rPr>
          <w:noProof/>
        </w:rPr>
        <w:t xml:space="preserve"> </w:t>
      </w:r>
      <w:r w:rsidR="00192204">
        <w:rPr>
          <w:noProof/>
        </w:rPr>
        <w:t>S</w:t>
      </w:r>
      <w:r w:rsidR="00D21583">
        <w:rPr>
          <w:noProof/>
        </w:rPr>
        <w:t xml:space="preserve">takeholders have also warned that this </w:t>
      </w:r>
      <w:r w:rsidRPr="00D37004">
        <w:rPr>
          <w:noProof/>
        </w:rPr>
        <w:t xml:space="preserve">limited availability of </w:t>
      </w:r>
      <w:r>
        <w:rPr>
          <w:noProof/>
        </w:rPr>
        <w:t>computing capacity in the EU</w:t>
      </w:r>
      <w:r w:rsidRPr="00D37004">
        <w:rPr>
          <w:noProof/>
        </w:rPr>
        <w:t xml:space="preserve"> </w:t>
      </w:r>
      <w:r>
        <w:rPr>
          <w:noProof/>
        </w:rPr>
        <w:t>act</w:t>
      </w:r>
      <w:r w:rsidR="00E12DCB">
        <w:rPr>
          <w:noProof/>
        </w:rPr>
        <w:t>s</w:t>
      </w:r>
      <w:r>
        <w:rPr>
          <w:noProof/>
        </w:rPr>
        <w:t xml:space="preserve"> as a barrier for the development and uptake of cloud and AI computing services: </w:t>
      </w:r>
      <w:r w:rsidR="00AD77F8">
        <w:rPr>
          <w:noProof/>
        </w:rPr>
        <w:t xml:space="preserve">for instance, </w:t>
      </w:r>
      <w:r w:rsidRPr="00D37004">
        <w:rPr>
          <w:noProof/>
        </w:rPr>
        <w:t xml:space="preserve">Mistral AI has warned that a lack of </w:t>
      </w:r>
      <w:r>
        <w:rPr>
          <w:noProof/>
        </w:rPr>
        <w:t>DC</w:t>
      </w:r>
      <w:r w:rsidRPr="00D37004">
        <w:rPr>
          <w:noProof/>
        </w:rPr>
        <w:t xml:space="preserve"> capacity could become a roadblock for developing and applying AI models in Europe</w:t>
      </w:r>
      <w:r w:rsidRPr="00D37004">
        <w:rPr>
          <w:rStyle w:val="EndnoteReference"/>
          <w:noProof/>
        </w:rPr>
        <w:endnoteReference w:id="72"/>
      </w:r>
      <w:r w:rsidRPr="00D37004">
        <w:rPr>
          <w:noProof/>
        </w:rPr>
        <w:t>.</w:t>
      </w:r>
      <w:r>
        <w:rPr>
          <w:noProof/>
        </w:rPr>
        <w:t xml:space="preserve"> </w:t>
      </w:r>
      <w:r w:rsidR="005F042C">
        <w:rPr>
          <w:noProof/>
        </w:rPr>
        <w:t xml:space="preserve">Current market dynamics risk reinforcing existing </w:t>
      </w:r>
      <w:r w:rsidR="00783EA2">
        <w:rPr>
          <w:noProof/>
        </w:rPr>
        <w:t>concentrations, increasing regional disparities and limited access to computing resources for business and public authorities outside main hubs</w:t>
      </w:r>
      <w:r w:rsidR="00DE3351">
        <w:rPr>
          <w:noProof/>
        </w:rPr>
        <w:t xml:space="preserve">. </w:t>
      </w:r>
    </w:p>
    <w:p w14:paraId="0944A83F" w14:textId="137715C7" w:rsidR="00E61374" w:rsidRPr="00D37004" w:rsidRDefault="00E61374" w:rsidP="006B5183">
      <w:pPr>
        <w:pStyle w:val="Heading3"/>
        <w:rPr>
          <w:noProof/>
        </w:rPr>
      </w:pPr>
      <w:bookmarkStart w:id="22" w:name="_Ref209045324"/>
      <w:bookmarkStart w:id="23" w:name="_Hlk210201936"/>
      <w:r w:rsidRPr="00D37004">
        <w:rPr>
          <w:noProof/>
        </w:rPr>
        <w:t xml:space="preserve">Problem 2 - </w:t>
      </w:r>
      <w:r>
        <w:rPr>
          <w:noProof/>
        </w:rPr>
        <w:t>Dependence on cloud and AI computing services supplied by non-</w:t>
      </w:r>
      <w:r w:rsidRPr="00D37004">
        <w:rPr>
          <w:noProof/>
        </w:rPr>
        <w:t>European</w:t>
      </w:r>
      <w:r w:rsidRPr="00D37004">
        <w:rPr>
          <w:rStyle w:val="FootnoteReference"/>
          <w:noProof/>
        </w:rPr>
        <w:footnoteReference w:id="25"/>
      </w:r>
      <w:r w:rsidRPr="00D37004">
        <w:rPr>
          <w:noProof/>
        </w:rPr>
        <w:t xml:space="preserve"> </w:t>
      </w:r>
      <w:r>
        <w:rPr>
          <w:noProof/>
        </w:rPr>
        <w:t>providers</w:t>
      </w:r>
      <w:r w:rsidRPr="00D37004">
        <w:rPr>
          <w:noProof/>
        </w:rPr>
        <w:t xml:space="preserve"> </w:t>
      </w:r>
      <w:bookmarkEnd w:id="22"/>
    </w:p>
    <w:bookmarkEnd w:id="23"/>
    <w:p w14:paraId="5C5A8DBD" w14:textId="36CDABCF" w:rsidR="0038790A" w:rsidRDefault="00E61374" w:rsidP="00E61374">
      <w:pPr>
        <w:rPr>
          <w:rStyle w:val="CommentReference"/>
          <w:noProof/>
          <w:sz w:val="24"/>
          <w:szCs w:val="24"/>
        </w:rPr>
      </w:pPr>
      <w:r w:rsidRPr="00D37004">
        <w:rPr>
          <w:noProof/>
        </w:rPr>
        <w:t xml:space="preserve">The European cloud services market is growing significantly. It was worth around EUR </w:t>
      </w:r>
      <w:r>
        <w:rPr>
          <w:noProof/>
        </w:rPr>
        <w:t>70</w:t>
      </w:r>
      <w:r w:rsidRPr="00D37004">
        <w:rPr>
          <w:noProof/>
        </w:rPr>
        <w:t xml:space="preserve"> </w:t>
      </w:r>
      <w:r>
        <w:rPr>
          <w:noProof/>
        </w:rPr>
        <w:t>bn</w:t>
      </w:r>
      <w:r w:rsidRPr="00D37004">
        <w:rPr>
          <w:noProof/>
        </w:rPr>
        <w:t xml:space="preserve"> in 2022 and is estimated to reach</w:t>
      </w:r>
      <w:r>
        <w:rPr>
          <w:noProof/>
        </w:rPr>
        <w:t xml:space="preserve"> over</w:t>
      </w:r>
      <w:r w:rsidRPr="00D37004">
        <w:rPr>
          <w:noProof/>
        </w:rPr>
        <w:t xml:space="preserve"> EUR </w:t>
      </w:r>
      <w:r w:rsidRPr="00D37004" w:rsidDel="00902B4D">
        <w:rPr>
          <w:noProof/>
        </w:rPr>
        <w:t xml:space="preserve">200 </w:t>
      </w:r>
      <w:r>
        <w:rPr>
          <w:noProof/>
        </w:rPr>
        <w:t>bn</w:t>
      </w:r>
      <w:r w:rsidRPr="00D37004">
        <w:rPr>
          <w:noProof/>
        </w:rPr>
        <w:t xml:space="preserve"> by 2028</w:t>
      </w:r>
      <w:r w:rsidRPr="00D37004">
        <w:rPr>
          <w:rStyle w:val="EndnoteReference"/>
          <w:noProof/>
        </w:rPr>
        <w:endnoteReference w:id="73"/>
      </w:r>
      <w:r w:rsidRPr="00D37004">
        <w:rPr>
          <w:noProof/>
        </w:rPr>
        <w:t>. In 2024, the European Infrastructure as a Service (IaaS) and Platform as a Service (PaaS) market was dominated by three US companies, the so-called hyperscalers (</w:t>
      </w:r>
      <w:r w:rsidRPr="00D37004">
        <w:rPr>
          <w:noProof/>
        </w:rPr>
        <w:fldChar w:fldCharType="begin"/>
      </w:r>
      <w:r w:rsidRPr="00D37004">
        <w:rPr>
          <w:noProof/>
        </w:rPr>
        <w:instrText xml:space="preserve"> REF _Ref210742154 \h </w:instrText>
      </w:r>
      <w:r w:rsidRPr="00D37004">
        <w:rPr>
          <w:noProof/>
        </w:rPr>
      </w:r>
      <w:r w:rsidRPr="00D37004">
        <w:rPr>
          <w:noProof/>
        </w:rPr>
        <w:fldChar w:fldCharType="separate"/>
      </w:r>
      <w:r w:rsidR="00137E65" w:rsidRPr="00D37004">
        <w:rPr>
          <w:noProof/>
        </w:rPr>
        <w:t xml:space="preserve">Table </w:t>
      </w:r>
      <w:r w:rsidR="00137E65">
        <w:rPr>
          <w:noProof/>
        </w:rPr>
        <w:t>1</w:t>
      </w:r>
      <w:r w:rsidRPr="00D37004">
        <w:rPr>
          <w:noProof/>
        </w:rPr>
        <w:fldChar w:fldCharType="end"/>
      </w:r>
      <w:r w:rsidR="00043DCE">
        <w:rPr>
          <w:noProof/>
        </w:rPr>
        <w:t>)</w:t>
      </w:r>
      <w:r w:rsidRPr="00D37004">
        <w:rPr>
          <w:rStyle w:val="CommentReference"/>
          <w:noProof/>
          <w:sz w:val="24"/>
          <w:szCs w:val="24"/>
        </w:rPr>
        <w:t>. Worldwide, AWS held a market share of 32% in Q2 2024, Microsoft 23% and Google Cloud 12%. No other provider held more than 4%</w:t>
      </w:r>
      <w:r w:rsidRPr="00D37004">
        <w:rPr>
          <w:rStyle w:val="EndnoteReference"/>
          <w:noProof/>
        </w:rPr>
        <w:endnoteReference w:id="74"/>
      </w:r>
      <w:r w:rsidRPr="00D37004">
        <w:rPr>
          <w:rStyle w:val="CommentReference"/>
          <w:noProof/>
          <w:sz w:val="24"/>
          <w:szCs w:val="24"/>
        </w:rPr>
        <w:t xml:space="preserve">. </w:t>
      </w:r>
    </w:p>
    <w:p w14:paraId="29F73C66" w14:textId="3F4BAA53" w:rsidR="00E61374" w:rsidRPr="00D37004" w:rsidRDefault="00E61374" w:rsidP="00E61374">
      <w:pPr>
        <w:rPr>
          <w:noProof/>
        </w:rPr>
      </w:pPr>
      <w:r w:rsidRPr="00D37004">
        <w:rPr>
          <w:rStyle w:val="CommentReference"/>
          <w:noProof/>
          <w:sz w:val="24"/>
          <w:szCs w:val="24"/>
        </w:rPr>
        <w:t xml:space="preserve">In Europe, those three providers account for </w:t>
      </w:r>
      <w:r>
        <w:rPr>
          <w:rStyle w:val="CommentReference"/>
          <w:noProof/>
          <w:sz w:val="24"/>
          <w:szCs w:val="24"/>
        </w:rPr>
        <w:t xml:space="preserve">around </w:t>
      </w:r>
      <w:r w:rsidRPr="00D37004">
        <w:rPr>
          <w:rStyle w:val="CommentReference"/>
          <w:noProof/>
          <w:sz w:val="24"/>
          <w:szCs w:val="24"/>
        </w:rPr>
        <w:t>70% of the market, while the largest European providers (SAP and Deutsche Telekom) each serve 2%</w:t>
      </w:r>
      <w:r w:rsidRPr="00D37004">
        <w:rPr>
          <w:rStyle w:val="EndnoteReference"/>
          <w:noProof/>
        </w:rPr>
        <w:endnoteReference w:id="75"/>
      </w:r>
      <w:r w:rsidRPr="00D37004">
        <w:rPr>
          <w:rStyle w:val="CommentReference"/>
          <w:noProof/>
          <w:sz w:val="24"/>
          <w:szCs w:val="24"/>
        </w:rPr>
        <w:t xml:space="preserve">. The European cloud market has grown, but the market share of European providers has decreased from 29% in 2017 to 15% in 2022 and has </w:t>
      </w:r>
      <w:r>
        <w:rPr>
          <w:rStyle w:val="CommentReference"/>
          <w:noProof/>
          <w:sz w:val="24"/>
          <w:szCs w:val="24"/>
        </w:rPr>
        <w:t xml:space="preserve">since </w:t>
      </w:r>
      <w:r w:rsidRPr="00D37004">
        <w:rPr>
          <w:noProof/>
        </w:rPr>
        <w:t>remained</w:t>
      </w:r>
      <w:r w:rsidRPr="00D37004">
        <w:rPr>
          <w:rStyle w:val="CommentReference"/>
          <w:noProof/>
          <w:sz w:val="24"/>
          <w:szCs w:val="24"/>
        </w:rPr>
        <w:t xml:space="preserve"> stable</w:t>
      </w:r>
      <w:r w:rsidRPr="00D37004">
        <w:rPr>
          <w:rStyle w:val="EndnoteReference"/>
          <w:noProof/>
        </w:rPr>
        <w:endnoteReference w:id="76"/>
      </w:r>
      <w:r w:rsidRPr="00D37004">
        <w:rPr>
          <w:rStyle w:val="CommentReference"/>
          <w:noProof/>
          <w:sz w:val="24"/>
          <w:szCs w:val="24"/>
        </w:rPr>
        <w:t>.</w:t>
      </w:r>
      <w:r w:rsidR="009D64D6">
        <w:rPr>
          <w:rStyle w:val="CommentReference"/>
          <w:noProof/>
          <w:sz w:val="24"/>
          <w:szCs w:val="24"/>
        </w:rPr>
        <w:t xml:space="preserve"> </w:t>
      </w:r>
      <w:r w:rsidR="005E417B">
        <w:rPr>
          <w:rStyle w:val="CommentReference"/>
          <w:noProof/>
          <w:sz w:val="24"/>
          <w:szCs w:val="24"/>
        </w:rPr>
        <w:t xml:space="preserve">A recent study for the European Parliament reaches the same conclusion, noting that US firms dominate all major software layers, including cloud, </w:t>
      </w:r>
      <w:r w:rsidR="0034480B">
        <w:rPr>
          <w:rStyle w:val="CommentReference"/>
          <w:noProof/>
          <w:sz w:val="24"/>
          <w:szCs w:val="24"/>
        </w:rPr>
        <w:t>and that European providers account only for a small share of the infrastructure market</w:t>
      </w:r>
      <w:r w:rsidR="0034480B">
        <w:rPr>
          <w:rStyle w:val="EndnoteReference"/>
          <w:noProof/>
        </w:rPr>
        <w:endnoteReference w:id="77"/>
      </w:r>
      <w:r w:rsidR="0034480B">
        <w:rPr>
          <w:rStyle w:val="CommentReference"/>
          <w:noProof/>
          <w:sz w:val="24"/>
          <w:szCs w:val="24"/>
        </w:rPr>
        <w:t>.</w:t>
      </w:r>
      <w:r w:rsidR="005E417B">
        <w:rPr>
          <w:rStyle w:val="CommentReference"/>
          <w:noProof/>
          <w:sz w:val="24"/>
          <w:szCs w:val="24"/>
        </w:rPr>
        <w:t xml:space="preserve"> </w:t>
      </w:r>
      <w:r w:rsidRPr="00D37004">
        <w:rPr>
          <w:noProof/>
        </w:rPr>
        <w:t xml:space="preserve">Despite European providers playing an important role in some Software as a Service market </w:t>
      </w:r>
      <w:r w:rsidRPr="00D37004" w:rsidDel="00BA0841">
        <w:rPr>
          <w:noProof/>
        </w:rPr>
        <w:t>segments</w:t>
      </w:r>
      <w:r w:rsidRPr="00D37004">
        <w:rPr>
          <w:noProof/>
        </w:rPr>
        <w:t>, non-EU providers dominate in important fields, such as office automation and productivity software</w:t>
      </w:r>
      <w:r w:rsidRPr="00D37004">
        <w:rPr>
          <w:noProof/>
          <w:vertAlign w:val="superscript"/>
        </w:rPr>
        <w:footnoteReference w:id="26"/>
      </w:r>
      <w:r w:rsidRPr="00D37004">
        <w:rPr>
          <w:noProof/>
        </w:rPr>
        <w:t xml:space="preserve">. </w:t>
      </w:r>
    </w:p>
    <w:p w14:paraId="0CD4E1C9" w14:textId="5D628D32" w:rsidR="00E61374" w:rsidRPr="00D37004" w:rsidRDefault="00E61374" w:rsidP="00E25F0B">
      <w:pPr>
        <w:pStyle w:val="Table"/>
        <w:rPr>
          <w:noProof/>
        </w:rPr>
      </w:pPr>
      <w:bookmarkStart w:id="24" w:name="_Ref210742154"/>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1</w:t>
      </w:r>
      <w:r w:rsidRPr="00D37004">
        <w:rPr>
          <w:noProof/>
        </w:rPr>
        <w:fldChar w:fldCharType="end"/>
      </w:r>
      <w:bookmarkEnd w:id="24"/>
      <w:r w:rsidRPr="00D37004">
        <w:rPr>
          <w:noProof/>
        </w:rPr>
        <w:t>. Market leaders for cloud services (IaaS, PaaS</w:t>
      </w:r>
      <w:r>
        <w:rPr>
          <w:noProof/>
        </w:rPr>
        <w:t xml:space="preserve"> and hosted private cloud revenues</w:t>
      </w:r>
      <w:r w:rsidRPr="00D37004">
        <w:rPr>
          <w:noProof/>
        </w:rPr>
        <w:t xml:space="preserve">), </w:t>
      </w:r>
      <w:r>
        <w:rPr>
          <w:noProof/>
        </w:rPr>
        <w:t>Q2</w:t>
      </w:r>
      <w:r w:rsidRPr="00D37004">
        <w:rPr>
          <w:noProof/>
        </w:rPr>
        <w:t xml:space="preserve"> 2024</w:t>
      </w:r>
    </w:p>
    <w:tbl>
      <w:tblPr>
        <w:tblStyle w:val="TableGrid"/>
        <w:tblW w:w="5000" w:type="pct"/>
        <w:tblCellMar>
          <w:left w:w="28" w:type="dxa"/>
          <w:right w:w="28" w:type="dxa"/>
        </w:tblCellMar>
        <w:tblLook w:val="04A0" w:firstRow="1" w:lastRow="0" w:firstColumn="1" w:lastColumn="0" w:noHBand="0" w:noVBand="1"/>
      </w:tblPr>
      <w:tblGrid>
        <w:gridCol w:w="622"/>
        <w:gridCol w:w="1489"/>
        <w:gridCol w:w="1488"/>
        <w:gridCol w:w="1488"/>
        <w:gridCol w:w="1488"/>
        <w:gridCol w:w="1488"/>
        <w:gridCol w:w="1490"/>
      </w:tblGrid>
      <w:tr w:rsidR="00E61374" w:rsidRPr="00953EC4" w14:paraId="5142FB31" w14:textId="77777777" w:rsidTr="2A6A1A3F">
        <w:trPr>
          <w:trHeight w:val="219"/>
          <w:tblHeader/>
        </w:trPr>
        <w:tc>
          <w:tcPr>
            <w:tcW w:w="325" w:type="pct"/>
            <w:tcBorders>
              <w:top w:val="nil"/>
              <w:left w:val="nil"/>
            </w:tcBorders>
          </w:tcPr>
          <w:p w14:paraId="5DE68F7E" w14:textId="77777777" w:rsidR="00E61374" w:rsidRPr="00953EC4" w:rsidRDefault="00E61374">
            <w:pPr>
              <w:rPr>
                <w:noProof/>
                <w:sz w:val="20"/>
                <w:szCs w:val="20"/>
              </w:rPr>
            </w:pPr>
          </w:p>
        </w:tc>
        <w:tc>
          <w:tcPr>
            <w:tcW w:w="779" w:type="pct"/>
            <w:shd w:val="clear" w:color="auto" w:fill="548DD4" w:themeFill="text2" w:themeFillTint="99"/>
            <w:vAlign w:val="center"/>
          </w:tcPr>
          <w:p w14:paraId="711BCCCE" w14:textId="77777777" w:rsidR="00E61374" w:rsidRPr="00953EC4" w:rsidRDefault="00E61374" w:rsidP="00A170E6">
            <w:pPr>
              <w:jc w:val="center"/>
              <w:rPr>
                <w:noProof/>
                <w:sz w:val="20"/>
                <w:szCs w:val="20"/>
              </w:rPr>
            </w:pPr>
            <w:r w:rsidRPr="00953EC4">
              <w:rPr>
                <w:noProof/>
                <w:sz w:val="20"/>
                <w:szCs w:val="20"/>
              </w:rPr>
              <w:t>World</w:t>
            </w:r>
          </w:p>
        </w:tc>
        <w:tc>
          <w:tcPr>
            <w:tcW w:w="779" w:type="pct"/>
            <w:shd w:val="clear" w:color="auto" w:fill="548DD4" w:themeFill="text2" w:themeFillTint="99"/>
            <w:vAlign w:val="center"/>
          </w:tcPr>
          <w:p w14:paraId="528CFA96" w14:textId="77777777" w:rsidR="00E61374" w:rsidRPr="00953EC4" w:rsidRDefault="00E61374" w:rsidP="00A170E6">
            <w:pPr>
              <w:jc w:val="center"/>
              <w:rPr>
                <w:noProof/>
                <w:sz w:val="20"/>
                <w:szCs w:val="20"/>
              </w:rPr>
            </w:pPr>
            <w:r w:rsidRPr="00953EC4">
              <w:rPr>
                <w:noProof/>
                <w:sz w:val="20"/>
                <w:szCs w:val="20"/>
              </w:rPr>
              <w:t>US</w:t>
            </w:r>
          </w:p>
        </w:tc>
        <w:tc>
          <w:tcPr>
            <w:tcW w:w="779" w:type="pct"/>
            <w:shd w:val="clear" w:color="auto" w:fill="548DD4" w:themeFill="text2" w:themeFillTint="99"/>
            <w:vAlign w:val="center"/>
          </w:tcPr>
          <w:p w14:paraId="05764129" w14:textId="77777777" w:rsidR="00E61374" w:rsidRPr="00953EC4" w:rsidRDefault="00E61374" w:rsidP="00A170E6">
            <w:pPr>
              <w:jc w:val="center"/>
              <w:rPr>
                <w:noProof/>
                <w:sz w:val="20"/>
                <w:szCs w:val="20"/>
              </w:rPr>
            </w:pPr>
            <w:r w:rsidRPr="00953EC4">
              <w:rPr>
                <w:noProof/>
                <w:sz w:val="20"/>
                <w:szCs w:val="20"/>
              </w:rPr>
              <w:t>China</w:t>
            </w:r>
            <w:r w:rsidRPr="00953EC4">
              <w:rPr>
                <w:rStyle w:val="FootnoteReference"/>
                <w:noProof/>
                <w:sz w:val="20"/>
                <w:szCs w:val="20"/>
              </w:rPr>
              <w:footnoteReference w:id="27"/>
            </w:r>
          </w:p>
        </w:tc>
        <w:tc>
          <w:tcPr>
            <w:tcW w:w="779" w:type="pct"/>
            <w:shd w:val="clear" w:color="auto" w:fill="548DD4" w:themeFill="text2" w:themeFillTint="99"/>
            <w:vAlign w:val="center"/>
          </w:tcPr>
          <w:p w14:paraId="24AE6E41" w14:textId="77777777" w:rsidR="00E61374" w:rsidRPr="00953EC4" w:rsidRDefault="00E61374" w:rsidP="00A170E6">
            <w:pPr>
              <w:jc w:val="center"/>
              <w:rPr>
                <w:noProof/>
                <w:sz w:val="20"/>
                <w:szCs w:val="20"/>
              </w:rPr>
            </w:pPr>
            <w:r w:rsidRPr="00953EC4">
              <w:rPr>
                <w:noProof/>
                <w:sz w:val="20"/>
                <w:szCs w:val="20"/>
              </w:rPr>
              <w:t>Rest of APAC</w:t>
            </w:r>
          </w:p>
        </w:tc>
        <w:tc>
          <w:tcPr>
            <w:tcW w:w="779" w:type="pct"/>
            <w:shd w:val="clear" w:color="auto" w:fill="548DD4" w:themeFill="text2" w:themeFillTint="99"/>
            <w:vAlign w:val="center"/>
          </w:tcPr>
          <w:p w14:paraId="52C87B78" w14:textId="77777777" w:rsidR="00E61374" w:rsidRPr="00A170E6" w:rsidRDefault="00E61374" w:rsidP="00A170E6">
            <w:pPr>
              <w:jc w:val="center"/>
              <w:rPr>
                <w:b/>
                <w:bCs/>
                <w:noProof/>
                <w:sz w:val="20"/>
                <w:szCs w:val="20"/>
              </w:rPr>
            </w:pPr>
            <w:r w:rsidRPr="00A170E6">
              <w:rPr>
                <w:b/>
                <w:bCs/>
                <w:noProof/>
                <w:sz w:val="20"/>
                <w:szCs w:val="20"/>
              </w:rPr>
              <w:t>Europe</w:t>
            </w:r>
          </w:p>
        </w:tc>
        <w:tc>
          <w:tcPr>
            <w:tcW w:w="779" w:type="pct"/>
            <w:shd w:val="clear" w:color="auto" w:fill="548DD4" w:themeFill="text2" w:themeFillTint="99"/>
            <w:vAlign w:val="center"/>
          </w:tcPr>
          <w:p w14:paraId="70358BD9" w14:textId="77777777" w:rsidR="00E61374" w:rsidRPr="00953EC4" w:rsidRDefault="00E61374" w:rsidP="00A170E6">
            <w:pPr>
              <w:jc w:val="center"/>
              <w:rPr>
                <w:noProof/>
                <w:sz w:val="20"/>
                <w:szCs w:val="20"/>
              </w:rPr>
            </w:pPr>
            <w:r w:rsidRPr="00953EC4">
              <w:rPr>
                <w:noProof/>
                <w:sz w:val="20"/>
                <w:szCs w:val="20"/>
              </w:rPr>
              <w:t>Rest of World</w:t>
            </w:r>
          </w:p>
        </w:tc>
      </w:tr>
      <w:tr w:rsidR="00E61374" w:rsidRPr="00953EC4" w14:paraId="2CE98E2E" w14:textId="77777777" w:rsidTr="2A6A1A3F">
        <w:trPr>
          <w:trHeight w:val="249"/>
        </w:trPr>
        <w:tc>
          <w:tcPr>
            <w:tcW w:w="325" w:type="pct"/>
            <w:vAlign w:val="center"/>
          </w:tcPr>
          <w:p w14:paraId="11AB6E48" w14:textId="77777777" w:rsidR="00E61374" w:rsidRPr="00953EC4" w:rsidRDefault="00E61374" w:rsidP="00A170E6">
            <w:pPr>
              <w:jc w:val="center"/>
              <w:rPr>
                <w:noProof/>
                <w:sz w:val="20"/>
                <w:szCs w:val="20"/>
              </w:rPr>
            </w:pPr>
            <w:r w:rsidRPr="00953EC4">
              <w:rPr>
                <w:noProof/>
                <w:sz w:val="20"/>
                <w:szCs w:val="20"/>
              </w:rPr>
              <w:t>#1</w:t>
            </w:r>
          </w:p>
        </w:tc>
        <w:tc>
          <w:tcPr>
            <w:tcW w:w="779" w:type="pct"/>
            <w:vAlign w:val="center"/>
          </w:tcPr>
          <w:p w14:paraId="78B26DB6" w14:textId="77777777" w:rsidR="00E61374" w:rsidRPr="00953EC4" w:rsidRDefault="00E61374" w:rsidP="00A170E6">
            <w:pPr>
              <w:jc w:val="center"/>
              <w:rPr>
                <w:noProof/>
                <w:sz w:val="20"/>
                <w:szCs w:val="20"/>
              </w:rPr>
            </w:pPr>
            <w:r w:rsidRPr="00953EC4">
              <w:rPr>
                <w:noProof/>
                <w:sz w:val="20"/>
                <w:szCs w:val="20"/>
              </w:rPr>
              <w:t>Amazon</w:t>
            </w:r>
          </w:p>
        </w:tc>
        <w:tc>
          <w:tcPr>
            <w:tcW w:w="779" w:type="pct"/>
            <w:vAlign w:val="center"/>
          </w:tcPr>
          <w:p w14:paraId="7027C9BD" w14:textId="77777777" w:rsidR="00E61374" w:rsidRPr="00953EC4" w:rsidRDefault="00E61374" w:rsidP="00A170E6">
            <w:pPr>
              <w:jc w:val="center"/>
              <w:rPr>
                <w:noProof/>
                <w:sz w:val="20"/>
                <w:szCs w:val="20"/>
              </w:rPr>
            </w:pPr>
            <w:r w:rsidRPr="00953EC4">
              <w:rPr>
                <w:noProof/>
                <w:sz w:val="20"/>
                <w:szCs w:val="20"/>
              </w:rPr>
              <w:t>Amazon</w:t>
            </w:r>
          </w:p>
        </w:tc>
        <w:tc>
          <w:tcPr>
            <w:tcW w:w="779" w:type="pct"/>
            <w:vAlign w:val="center"/>
          </w:tcPr>
          <w:p w14:paraId="417343C8" w14:textId="77777777" w:rsidR="00E61374" w:rsidRPr="00953EC4" w:rsidRDefault="00E61374" w:rsidP="00A170E6">
            <w:pPr>
              <w:jc w:val="center"/>
              <w:rPr>
                <w:noProof/>
                <w:sz w:val="20"/>
                <w:szCs w:val="20"/>
              </w:rPr>
            </w:pPr>
            <w:r w:rsidRPr="00953EC4">
              <w:rPr>
                <w:noProof/>
                <w:sz w:val="20"/>
                <w:szCs w:val="20"/>
              </w:rPr>
              <w:t>Alibaba</w:t>
            </w:r>
          </w:p>
        </w:tc>
        <w:tc>
          <w:tcPr>
            <w:tcW w:w="779" w:type="pct"/>
            <w:vAlign w:val="center"/>
          </w:tcPr>
          <w:p w14:paraId="7DFC2DB0" w14:textId="77777777" w:rsidR="00E61374" w:rsidRPr="00953EC4" w:rsidRDefault="00E61374" w:rsidP="00A170E6">
            <w:pPr>
              <w:jc w:val="center"/>
              <w:rPr>
                <w:noProof/>
                <w:sz w:val="20"/>
                <w:szCs w:val="20"/>
              </w:rPr>
            </w:pPr>
            <w:r w:rsidRPr="00953EC4">
              <w:rPr>
                <w:noProof/>
                <w:sz w:val="20"/>
                <w:szCs w:val="20"/>
              </w:rPr>
              <w:t>Amazon</w:t>
            </w:r>
          </w:p>
        </w:tc>
        <w:tc>
          <w:tcPr>
            <w:tcW w:w="779" w:type="pct"/>
            <w:shd w:val="clear" w:color="auto" w:fill="C6D9F1" w:themeFill="text2" w:themeFillTint="33"/>
            <w:vAlign w:val="center"/>
          </w:tcPr>
          <w:p w14:paraId="4E71B791" w14:textId="77777777" w:rsidR="00E61374" w:rsidRPr="00953EC4" w:rsidRDefault="00E61374" w:rsidP="00A170E6">
            <w:pPr>
              <w:jc w:val="center"/>
              <w:rPr>
                <w:noProof/>
                <w:sz w:val="20"/>
                <w:szCs w:val="20"/>
              </w:rPr>
            </w:pPr>
            <w:r w:rsidRPr="00953EC4">
              <w:rPr>
                <w:noProof/>
                <w:sz w:val="20"/>
                <w:szCs w:val="20"/>
              </w:rPr>
              <w:t>Amazon</w:t>
            </w:r>
          </w:p>
        </w:tc>
        <w:tc>
          <w:tcPr>
            <w:tcW w:w="779" w:type="pct"/>
            <w:vAlign w:val="center"/>
          </w:tcPr>
          <w:p w14:paraId="7B9C0E9D" w14:textId="77777777" w:rsidR="00E61374" w:rsidRPr="00953EC4" w:rsidRDefault="00E61374" w:rsidP="00A170E6">
            <w:pPr>
              <w:jc w:val="center"/>
              <w:rPr>
                <w:noProof/>
                <w:sz w:val="20"/>
                <w:szCs w:val="20"/>
              </w:rPr>
            </w:pPr>
            <w:r w:rsidRPr="00953EC4">
              <w:rPr>
                <w:noProof/>
                <w:sz w:val="20"/>
                <w:szCs w:val="20"/>
              </w:rPr>
              <w:t>Amazon</w:t>
            </w:r>
          </w:p>
        </w:tc>
      </w:tr>
      <w:tr w:rsidR="00E61374" w:rsidRPr="00953EC4" w14:paraId="55F333D7" w14:textId="77777777" w:rsidTr="2A6A1A3F">
        <w:trPr>
          <w:trHeight w:val="249"/>
        </w:trPr>
        <w:tc>
          <w:tcPr>
            <w:tcW w:w="325" w:type="pct"/>
            <w:vAlign w:val="center"/>
          </w:tcPr>
          <w:p w14:paraId="170038FB" w14:textId="77777777" w:rsidR="00E61374" w:rsidRPr="00953EC4" w:rsidRDefault="00E61374" w:rsidP="00A170E6">
            <w:pPr>
              <w:jc w:val="center"/>
              <w:rPr>
                <w:noProof/>
                <w:sz w:val="20"/>
                <w:szCs w:val="20"/>
              </w:rPr>
            </w:pPr>
            <w:r w:rsidRPr="00953EC4">
              <w:rPr>
                <w:noProof/>
                <w:sz w:val="20"/>
                <w:szCs w:val="20"/>
              </w:rPr>
              <w:t>#2</w:t>
            </w:r>
          </w:p>
        </w:tc>
        <w:tc>
          <w:tcPr>
            <w:tcW w:w="779" w:type="pct"/>
            <w:vAlign w:val="center"/>
          </w:tcPr>
          <w:p w14:paraId="7E96A67C" w14:textId="77777777" w:rsidR="00E61374" w:rsidRPr="00953EC4" w:rsidRDefault="00E61374" w:rsidP="00A170E6">
            <w:pPr>
              <w:jc w:val="center"/>
              <w:rPr>
                <w:noProof/>
                <w:sz w:val="20"/>
                <w:szCs w:val="20"/>
              </w:rPr>
            </w:pPr>
            <w:r w:rsidRPr="00953EC4">
              <w:rPr>
                <w:noProof/>
                <w:sz w:val="20"/>
                <w:szCs w:val="20"/>
              </w:rPr>
              <w:t>Microsoft</w:t>
            </w:r>
          </w:p>
        </w:tc>
        <w:tc>
          <w:tcPr>
            <w:tcW w:w="779" w:type="pct"/>
            <w:vAlign w:val="center"/>
          </w:tcPr>
          <w:p w14:paraId="747DD0D0" w14:textId="77777777" w:rsidR="00E61374" w:rsidRPr="00953EC4" w:rsidRDefault="00E61374" w:rsidP="00A170E6">
            <w:pPr>
              <w:jc w:val="center"/>
              <w:rPr>
                <w:noProof/>
                <w:sz w:val="20"/>
                <w:szCs w:val="20"/>
              </w:rPr>
            </w:pPr>
            <w:r w:rsidRPr="00953EC4">
              <w:rPr>
                <w:noProof/>
                <w:sz w:val="20"/>
                <w:szCs w:val="20"/>
              </w:rPr>
              <w:t>Microsoft</w:t>
            </w:r>
          </w:p>
        </w:tc>
        <w:tc>
          <w:tcPr>
            <w:tcW w:w="779" w:type="pct"/>
            <w:vAlign w:val="center"/>
          </w:tcPr>
          <w:p w14:paraId="19C0BFD0" w14:textId="77777777" w:rsidR="00E61374" w:rsidRPr="00953EC4" w:rsidRDefault="00E61374" w:rsidP="00A170E6">
            <w:pPr>
              <w:jc w:val="center"/>
              <w:rPr>
                <w:noProof/>
                <w:sz w:val="20"/>
                <w:szCs w:val="20"/>
              </w:rPr>
            </w:pPr>
            <w:r w:rsidRPr="00953EC4">
              <w:rPr>
                <w:noProof/>
                <w:sz w:val="20"/>
                <w:szCs w:val="20"/>
              </w:rPr>
              <w:t>Tencent</w:t>
            </w:r>
          </w:p>
        </w:tc>
        <w:tc>
          <w:tcPr>
            <w:tcW w:w="779" w:type="pct"/>
            <w:vAlign w:val="center"/>
          </w:tcPr>
          <w:p w14:paraId="128B58F8" w14:textId="77777777" w:rsidR="00E61374" w:rsidRPr="00953EC4" w:rsidRDefault="00E61374" w:rsidP="00A170E6">
            <w:pPr>
              <w:jc w:val="center"/>
              <w:rPr>
                <w:noProof/>
                <w:sz w:val="20"/>
                <w:szCs w:val="20"/>
              </w:rPr>
            </w:pPr>
            <w:r w:rsidRPr="00953EC4">
              <w:rPr>
                <w:noProof/>
                <w:sz w:val="20"/>
                <w:szCs w:val="20"/>
              </w:rPr>
              <w:t>Microsoft</w:t>
            </w:r>
          </w:p>
        </w:tc>
        <w:tc>
          <w:tcPr>
            <w:tcW w:w="779" w:type="pct"/>
            <w:shd w:val="clear" w:color="auto" w:fill="C6D9F1" w:themeFill="text2" w:themeFillTint="33"/>
            <w:vAlign w:val="center"/>
          </w:tcPr>
          <w:p w14:paraId="06E0E3BC" w14:textId="77777777" w:rsidR="00E61374" w:rsidRPr="00953EC4" w:rsidRDefault="00E61374" w:rsidP="00A170E6">
            <w:pPr>
              <w:jc w:val="center"/>
              <w:rPr>
                <w:noProof/>
                <w:sz w:val="20"/>
                <w:szCs w:val="20"/>
              </w:rPr>
            </w:pPr>
            <w:r w:rsidRPr="00953EC4">
              <w:rPr>
                <w:noProof/>
                <w:sz w:val="20"/>
                <w:szCs w:val="20"/>
              </w:rPr>
              <w:t>Microsoft</w:t>
            </w:r>
          </w:p>
        </w:tc>
        <w:tc>
          <w:tcPr>
            <w:tcW w:w="779" w:type="pct"/>
            <w:vAlign w:val="center"/>
          </w:tcPr>
          <w:p w14:paraId="7C8D5B44" w14:textId="77777777" w:rsidR="00E61374" w:rsidRPr="00953EC4" w:rsidRDefault="00E61374" w:rsidP="00A170E6">
            <w:pPr>
              <w:jc w:val="center"/>
              <w:rPr>
                <w:noProof/>
                <w:sz w:val="20"/>
                <w:szCs w:val="20"/>
              </w:rPr>
            </w:pPr>
            <w:r w:rsidRPr="00953EC4">
              <w:rPr>
                <w:noProof/>
                <w:sz w:val="20"/>
                <w:szCs w:val="20"/>
              </w:rPr>
              <w:t>Microsoft</w:t>
            </w:r>
          </w:p>
        </w:tc>
      </w:tr>
      <w:tr w:rsidR="00E61374" w:rsidRPr="00953EC4" w14:paraId="5E190F9D" w14:textId="77777777" w:rsidTr="2A6A1A3F">
        <w:trPr>
          <w:trHeight w:val="249"/>
        </w:trPr>
        <w:tc>
          <w:tcPr>
            <w:tcW w:w="325" w:type="pct"/>
            <w:vAlign w:val="center"/>
          </w:tcPr>
          <w:p w14:paraId="6E18ADEC" w14:textId="77777777" w:rsidR="00E61374" w:rsidRPr="00953EC4" w:rsidRDefault="00E61374" w:rsidP="00A170E6">
            <w:pPr>
              <w:jc w:val="center"/>
              <w:rPr>
                <w:noProof/>
                <w:sz w:val="20"/>
                <w:szCs w:val="20"/>
              </w:rPr>
            </w:pPr>
            <w:r w:rsidRPr="00953EC4">
              <w:rPr>
                <w:noProof/>
                <w:sz w:val="20"/>
                <w:szCs w:val="20"/>
              </w:rPr>
              <w:t>#3</w:t>
            </w:r>
          </w:p>
        </w:tc>
        <w:tc>
          <w:tcPr>
            <w:tcW w:w="779" w:type="pct"/>
            <w:vAlign w:val="center"/>
          </w:tcPr>
          <w:p w14:paraId="43D52960" w14:textId="77777777" w:rsidR="00E61374" w:rsidRPr="00953EC4" w:rsidRDefault="00E61374" w:rsidP="00A170E6">
            <w:pPr>
              <w:jc w:val="center"/>
              <w:rPr>
                <w:noProof/>
                <w:sz w:val="20"/>
                <w:szCs w:val="20"/>
              </w:rPr>
            </w:pPr>
            <w:r w:rsidRPr="00953EC4">
              <w:rPr>
                <w:noProof/>
                <w:sz w:val="20"/>
                <w:szCs w:val="20"/>
              </w:rPr>
              <w:t>Google</w:t>
            </w:r>
          </w:p>
        </w:tc>
        <w:tc>
          <w:tcPr>
            <w:tcW w:w="779" w:type="pct"/>
            <w:vAlign w:val="center"/>
          </w:tcPr>
          <w:p w14:paraId="63A11E6A" w14:textId="77777777" w:rsidR="00E61374" w:rsidRPr="00953EC4" w:rsidRDefault="00E61374" w:rsidP="00A170E6">
            <w:pPr>
              <w:jc w:val="center"/>
              <w:rPr>
                <w:noProof/>
                <w:sz w:val="20"/>
                <w:szCs w:val="20"/>
              </w:rPr>
            </w:pPr>
            <w:r w:rsidRPr="00953EC4">
              <w:rPr>
                <w:noProof/>
                <w:sz w:val="20"/>
                <w:szCs w:val="20"/>
              </w:rPr>
              <w:t>Google</w:t>
            </w:r>
          </w:p>
        </w:tc>
        <w:tc>
          <w:tcPr>
            <w:tcW w:w="779" w:type="pct"/>
            <w:vAlign w:val="center"/>
          </w:tcPr>
          <w:p w14:paraId="3718C0D8" w14:textId="77777777" w:rsidR="00E61374" w:rsidRPr="00953EC4" w:rsidRDefault="00E61374" w:rsidP="00A170E6">
            <w:pPr>
              <w:jc w:val="center"/>
              <w:rPr>
                <w:noProof/>
                <w:sz w:val="20"/>
                <w:szCs w:val="20"/>
              </w:rPr>
            </w:pPr>
            <w:r w:rsidRPr="00953EC4">
              <w:rPr>
                <w:noProof/>
                <w:sz w:val="20"/>
                <w:szCs w:val="20"/>
              </w:rPr>
              <w:t>China Telecom</w:t>
            </w:r>
          </w:p>
        </w:tc>
        <w:tc>
          <w:tcPr>
            <w:tcW w:w="779" w:type="pct"/>
            <w:vAlign w:val="center"/>
          </w:tcPr>
          <w:p w14:paraId="4BAAED5E" w14:textId="77777777" w:rsidR="00E61374" w:rsidRPr="00953EC4" w:rsidRDefault="00E61374" w:rsidP="00A170E6">
            <w:pPr>
              <w:jc w:val="center"/>
              <w:rPr>
                <w:noProof/>
                <w:sz w:val="20"/>
                <w:szCs w:val="20"/>
              </w:rPr>
            </w:pPr>
            <w:r w:rsidRPr="00953EC4">
              <w:rPr>
                <w:noProof/>
                <w:sz w:val="20"/>
                <w:szCs w:val="20"/>
              </w:rPr>
              <w:t>Google</w:t>
            </w:r>
          </w:p>
        </w:tc>
        <w:tc>
          <w:tcPr>
            <w:tcW w:w="779" w:type="pct"/>
            <w:shd w:val="clear" w:color="auto" w:fill="C6D9F1" w:themeFill="text2" w:themeFillTint="33"/>
            <w:vAlign w:val="center"/>
          </w:tcPr>
          <w:p w14:paraId="77611340" w14:textId="77777777" w:rsidR="00E61374" w:rsidRPr="00953EC4" w:rsidRDefault="00E61374" w:rsidP="00A170E6">
            <w:pPr>
              <w:jc w:val="center"/>
              <w:rPr>
                <w:noProof/>
                <w:sz w:val="20"/>
                <w:szCs w:val="20"/>
              </w:rPr>
            </w:pPr>
            <w:r w:rsidRPr="00953EC4">
              <w:rPr>
                <w:noProof/>
                <w:sz w:val="20"/>
                <w:szCs w:val="20"/>
              </w:rPr>
              <w:t>Google</w:t>
            </w:r>
          </w:p>
        </w:tc>
        <w:tc>
          <w:tcPr>
            <w:tcW w:w="779" w:type="pct"/>
            <w:vAlign w:val="center"/>
          </w:tcPr>
          <w:p w14:paraId="622C71DD" w14:textId="77777777" w:rsidR="00E61374" w:rsidRPr="00953EC4" w:rsidRDefault="00E61374" w:rsidP="00A170E6">
            <w:pPr>
              <w:jc w:val="center"/>
              <w:rPr>
                <w:noProof/>
                <w:sz w:val="20"/>
                <w:szCs w:val="20"/>
              </w:rPr>
            </w:pPr>
            <w:r w:rsidRPr="00953EC4">
              <w:rPr>
                <w:noProof/>
                <w:sz w:val="20"/>
                <w:szCs w:val="20"/>
              </w:rPr>
              <w:t>Google</w:t>
            </w:r>
          </w:p>
        </w:tc>
      </w:tr>
      <w:tr w:rsidR="00E61374" w:rsidRPr="00953EC4" w14:paraId="2C8AC6E6" w14:textId="77777777" w:rsidTr="2A6A1A3F">
        <w:trPr>
          <w:trHeight w:val="249"/>
        </w:trPr>
        <w:tc>
          <w:tcPr>
            <w:tcW w:w="325" w:type="pct"/>
            <w:vAlign w:val="center"/>
          </w:tcPr>
          <w:p w14:paraId="0278DC32" w14:textId="77777777" w:rsidR="00E61374" w:rsidRPr="00953EC4" w:rsidRDefault="00E61374" w:rsidP="00A170E6">
            <w:pPr>
              <w:jc w:val="center"/>
              <w:rPr>
                <w:noProof/>
                <w:sz w:val="20"/>
                <w:szCs w:val="20"/>
              </w:rPr>
            </w:pPr>
            <w:r w:rsidRPr="00953EC4">
              <w:rPr>
                <w:noProof/>
                <w:sz w:val="20"/>
                <w:szCs w:val="20"/>
              </w:rPr>
              <w:t>#4</w:t>
            </w:r>
          </w:p>
        </w:tc>
        <w:tc>
          <w:tcPr>
            <w:tcW w:w="779" w:type="pct"/>
            <w:vAlign w:val="center"/>
          </w:tcPr>
          <w:p w14:paraId="71A41BB0" w14:textId="77777777" w:rsidR="00E61374" w:rsidRPr="00953EC4" w:rsidRDefault="00E61374" w:rsidP="00A170E6">
            <w:pPr>
              <w:jc w:val="center"/>
              <w:rPr>
                <w:noProof/>
                <w:sz w:val="20"/>
                <w:szCs w:val="20"/>
              </w:rPr>
            </w:pPr>
            <w:r w:rsidRPr="00953EC4">
              <w:rPr>
                <w:noProof/>
                <w:sz w:val="20"/>
                <w:szCs w:val="20"/>
              </w:rPr>
              <w:t>Alibaba</w:t>
            </w:r>
          </w:p>
        </w:tc>
        <w:tc>
          <w:tcPr>
            <w:tcW w:w="779" w:type="pct"/>
            <w:vAlign w:val="center"/>
          </w:tcPr>
          <w:p w14:paraId="3FC7319D" w14:textId="77777777" w:rsidR="00E61374" w:rsidRPr="00953EC4" w:rsidRDefault="00E61374" w:rsidP="00A170E6">
            <w:pPr>
              <w:jc w:val="center"/>
              <w:rPr>
                <w:noProof/>
                <w:sz w:val="20"/>
                <w:szCs w:val="20"/>
              </w:rPr>
            </w:pPr>
            <w:r w:rsidRPr="00953EC4">
              <w:rPr>
                <w:noProof/>
                <w:sz w:val="20"/>
                <w:szCs w:val="20"/>
              </w:rPr>
              <w:t>Oracle</w:t>
            </w:r>
          </w:p>
        </w:tc>
        <w:tc>
          <w:tcPr>
            <w:tcW w:w="779" w:type="pct"/>
            <w:vAlign w:val="center"/>
          </w:tcPr>
          <w:p w14:paraId="57C73C8F" w14:textId="77777777" w:rsidR="00E61374" w:rsidRPr="00953EC4" w:rsidRDefault="00E61374" w:rsidP="00A170E6">
            <w:pPr>
              <w:jc w:val="center"/>
              <w:rPr>
                <w:noProof/>
                <w:sz w:val="20"/>
                <w:szCs w:val="20"/>
              </w:rPr>
            </w:pPr>
            <w:r w:rsidRPr="00953EC4">
              <w:rPr>
                <w:noProof/>
                <w:sz w:val="20"/>
                <w:szCs w:val="20"/>
              </w:rPr>
              <w:t>Huawei</w:t>
            </w:r>
          </w:p>
        </w:tc>
        <w:tc>
          <w:tcPr>
            <w:tcW w:w="779" w:type="pct"/>
            <w:vAlign w:val="center"/>
          </w:tcPr>
          <w:p w14:paraId="116B22B4" w14:textId="77777777" w:rsidR="00E61374" w:rsidRPr="00953EC4" w:rsidRDefault="00E61374" w:rsidP="00A170E6">
            <w:pPr>
              <w:jc w:val="center"/>
              <w:rPr>
                <w:noProof/>
                <w:sz w:val="20"/>
                <w:szCs w:val="20"/>
              </w:rPr>
            </w:pPr>
            <w:r w:rsidRPr="00953EC4">
              <w:rPr>
                <w:noProof/>
                <w:sz w:val="20"/>
                <w:szCs w:val="20"/>
              </w:rPr>
              <w:t>NTT</w:t>
            </w:r>
          </w:p>
        </w:tc>
        <w:tc>
          <w:tcPr>
            <w:tcW w:w="779" w:type="pct"/>
            <w:shd w:val="clear" w:color="auto" w:fill="C6D9F1" w:themeFill="text2" w:themeFillTint="33"/>
            <w:vAlign w:val="center"/>
          </w:tcPr>
          <w:p w14:paraId="561F0451" w14:textId="77777777" w:rsidR="00E61374" w:rsidRPr="00953EC4" w:rsidRDefault="00E61374" w:rsidP="00A170E6">
            <w:pPr>
              <w:jc w:val="center"/>
              <w:rPr>
                <w:noProof/>
                <w:sz w:val="20"/>
                <w:szCs w:val="20"/>
              </w:rPr>
            </w:pPr>
            <w:r w:rsidRPr="00953EC4">
              <w:rPr>
                <w:noProof/>
                <w:sz w:val="20"/>
                <w:szCs w:val="20"/>
              </w:rPr>
              <w:t>Oracle</w:t>
            </w:r>
          </w:p>
        </w:tc>
        <w:tc>
          <w:tcPr>
            <w:tcW w:w="779" w:type="pct"/>
            <w:vAlign w:val="center"/>
          </w:tcPr>
          <w:p w14:paraId="7EF588B7" w14:textId="77777777" w:rsidR="00E61374" w:rsidRPr="00953EC4" w:rsidRDefault="00E61374" w:rsidP="00A170E6">
            <w:pPr>
              <w:jc w:val="center"/>
              <w:rPr>
                <w:noProof/>
                <w:sz w:val="20"/>
                <w:szCs w:val="20"/>
              </w:rPr>
            </w:pPr>
            <w:r w:rsidRPr="00953EC4">
              <w:rPr>
                <w:noProof/>
                <w:sz w:val="20"/>
                <w:szCs w:val="20"/>
              </w:rPr>
              <w:t>Salesforce</w:t>
            </w:r>
          </w:p>
        </w:tc>
      </w:tr>
      <w:tr w:rsidR="00E61374" w:rsidRPr="00953EC4" w14:paraId="6D361A7E" w14:textId="77777777" w:rsidTr="2A6A1A3F">
        <w:trPr>
          <w:trHeight w:val="249"/>
        </w:trPr>
        <w:tc>
          <w:tcPr>
            <w:tcW w:w="325" w:type="pct"/>
            <w:vAlign w:val="center"/>
          </w:tcPr>
          <w:p w14:paraId="62FD271D" w14:textId="77777777" w:rsidR="00E61374" w:rsidRPr="00953EC4" w:rsidRDefault="00E61374" w:rsidP="00A170E6">
            <w:pPr>
              <w:jc w:val="center"/>
              <w:rPr>
                <w:noProof/>
                <w:sz w:val="20"/>
                <w:szCs w:val="20"/>
              </w:rPr>
            </w:pPr>
            <w:r w:rsidRPr="00953EC4">
              <w:rPr>
                <w:noProof/>
                <w:sz w:val="20"/>
                <w:szCs w:val="20"/>
              </w:rPr>
              <w:t>#5</w:t>
            </w:r>
          </w:p>
        </w:tc>
        <w:tc>
          <w:tcPr>
            <w:tcW w:w="779" w:type="pct"/>
            <w:vAlign w:val="center"/>
          </w:tcPr>
          <w:p w14:paraId="24D28144" w14:textId="77777777" w:rsidR="00E61374" w:rsidRPr="00953EC4" w:rsidRDefault="00E61374" w:rsidP="00A170E6">
            <w:pPr>
              <w:jc w:val="center"/>
              <w:rPr>
                <w:noProof/>
                <w:sz w:val="20"/>
                <w:szCs w:val="20"/>
              </w:rPr>
            </w:pPr>
            <w:r w:rsidRPr="00953EC4">
              <w:rPr>
                <w:noProof/>
                <w:sz w:val="20"/>
                <w:szCs w:val="20"/>
              </w:rPr>
              <w:t>Oracle</w:t>
            </w:r>
          </w:p>
        </w:tc>
        <w:tc>
          <w:tcPr>
            <w:tcW w:w="779" w:type="pct"/>
            <w:vAlign w:val="center"/>
          </w:tcPr>
          <w:p w14:paraId="3AB5DF9A" w14:textId="77777777" w:rsidR="00E61374" w:rsidRPr="00953EC4" w:rsidRDefault="00E61374" w:rsidP="00A170E6">
            <w:pPr>
              <w:jc w:val="center"/>
              <w:rPr>
                <w:noProof/>
                <w:sz w:val="20"/>
                <w:szCs w:val="20"/>
              </w:rPr>
            </w:pPr>
            <w:r w:rsidRPr="00953EC4">
              <w:rPr>
                <w:noProof/>
                <w:sz w:val="20"/>
                <w:szCs w:val="20"/>
              </w:rPr>
              <w:t>Salesforce</w:t>
            </w:r>
          </w:p>
        </w:tc>
        <w:tc>
          <w:tcPr>
            <w:tcW w:w="779" w:type="pct"/>
            <w:vAlign w:val="center"/>
          </w:tcPr>
          <w:p w14:paraId="6E4FDEE0" w14:textId="77777777" w:rsidR="00E61374" w:rsidRPr="00953EC4" w:rsidRDefault="00E61374" w:rsidP="00A170E6">
            <w:pPr>
              <w:jc w:val="center"/>
              <w:rPr>
                <w:noProof/>
                <w:sz w:val="20"/>
                <w:szCs w:val="20"/>
              </w:rPr>
            </w:pPr>
            <w:r w:rsidRPr="00953EC4">
              <w:rPr>
                <w:noProof/>
                <w:sz w:val="20"/>
                <w:szCs w:val="20"/>
              </w:rPr>
              <w:t>China Unicom</w:t>
            </w:r>
          </w:p>
        </w:tc>
        <w:tc>
          <w:tcPr>
            <w:tcW w:w="779" w:type="pct"/>
            <w:vAlign w:val="center"/>
          </w:tcPr>
          <w:p w14:paraId="09261F9B" w14:textId="77777777" w:rsidR="00E61374" w:rsidRPr="00953EC4" w:rsidRDefault="00E61374" w:rsidP="00A170E6">
            <w:pPr>
              <w:jc w:val="center"/>
              <w:rPr>
                <w:noProof/>
                <w:sz w:val="20"/>
                <w:szCs w:val="20"/>
              </w:rPr>
            </w:pPr>
            <w:r w:rsidRPr="00953EC4">
              <w:rPr>
                <w:noProof/>
                <w:sz w:val="20"/>
                <w:szCs w:val="20"/>
              </w:rPr>
              <w:t>Alibaba</w:t>
            </w:r>
          </w:p>
        </w:tc>
        <w:tc>
          <w:tcPr>
            <w:tcW w:w="779" w:type="pct"/>
            <w:shd w:val="clear" w:color="auto" w:fill="C6D9F1" w:themeFill="text2" w:themeFillTint="33"/>
            <w:vAlign w:val="center"/>
          </w:tcPr>
          <w:p w14:paraId="169723E6" w14:textId="77777777" w:rsidR="00E61374" w:rsidRPr="00953EC4" w:rsidRDefault="00E61374" w:rsidP="00A170E6">
            <w:pPr>
              <w:jc w:val="center"/>
              <w:rPr>
                <w:noProof/>
                <w:sz w:val="20"/>
                <w:szCs w:val="20"/>
              </w:rPr>
            </w:pPr>
            <w:r w:rsidRPr="00953EC4">
              <w:rPr>
                <w:noProof/>
                <w:sz w:val="20"/>
                <w:szCs w:val="20"/>
              </w:rPr>
              <w:t>Salesforce</w:t>
            </w:r>
          </w:p>
        </w:tc>
        <w:tc>
          <w:tcPr>
            <w:tcW w:w="779" w:type="pct"/>
            <w:vAlign w:val="center"/>
          </w:tcPr>
          <w:p w14:paraId="3F48F6F0" w14:textId="77777777" w:rsidR="00E61374" w:rsidRPr="00953EC4" w:rsidRDefault="00E61374" w:rsidP="00A170E6">
            <w:pPr>
              <w:jc w:val="center"/>
              <w:rPr>
                <w:noProof/>
                <w:sz w:val="20"/>
                <w:szCs w:val="20"/>
              </w:rPr>
            </w:pPr>
            <w:r w:rsidRPr="00953EC4">
              <w:rPr>
                <w:noProof/>
                <w:sz w:val="20"/>
                <w:szCs w:val="20"/>
              </w:rPr>
              <w:t>Oracle</w:t>
            </w:r>
          </w:p>
        </w:tc>
      </w:tr>
      <w:tr w:rsidR="00E61374" w:rsidRPr="00953EC4" w14:paraId="73CD4B38" w14:textId="77777777" w:rsidTr="2A6A1A3F">
        <w:trPr>
          <w:trHeight w:val="20"/>
        </w:trPr>
        <w:tc>
          <w:tcPr>
            <w:tcW w:w="325" w:type="pct"/>
            <w:tcBorders>
              <w:bottom w:val="single" w:sz="4" w:space="0" w:color="auto"/>
            </w:tcBorders>
            <w:vAlign w:val="center"/>
          </w:tcPr>
          <w:p w14:paraId="4FA354A6" w14:textId="77777777" w:rsidR="00E61374" w:rsidRPr="00953EC4" w:rsidRDefault="00E61374" w:rsidP="00A170E6">
            <w:pPr>
              <w:jc w:val="center"/>
              <w:rPr>
                <w:noProof/>
                <w:sz w:val="20"/>
                <w:szCs w:val="20"/>
              </w:rPr>
            </w:pPr>
            <w:r w:rsidRPr="00953EC4">
              <w:rPr>
                <w:noProof/>
                <w:sz w:val="20"/>
                <w:szCs w:val="20"/>
              </w:rPr>
              <w:t>#6</w:t>
            </w:r>
          </w:p>
        </w:tc>
        <w:tc>
          <w:tcPr>
            <w:tcW w:w="779" w:type="pct"/>
            <w:tcBorders>
              <w:bottom w:val="single" w:sz="4" w:space="0" w:color="auto"/>
            </w:tcBorders>
            <w:vAlign w:val="center"/>
          </w:tcPr>
          <w:p w14:paraId="47F34E54" w14:textId="77777777" w:rsidR="00E61374" w:rsidRPr="00953EC4" w:rsidRDefault="00E61374" w:rsidP="00A170E6">
            <w:pPr>
              <w:jc w:val="center"/>
              <w:rPr>
                <w:noProof/>
                <w:sz w:val="20"/>
                <w:szCs w:val="20"/>
              </w:rPr>
            </w:pPr>
            <w:r w:rsidRPr="00953EC4">
              <w:rPr>
                <w:noProof/>
                <w:sz w:val="20"/>
                <w:szCs w:val="20"/>
              </w:rPr>
              <w:t>Salesforce</w:t>
            </w:r>
          </w:p>
        </w:tc>
        <w:tc>
          <w:tcPr>
            <w:tcW w:w="779" w:type="pct"/>
            <w:tcBorders>
              <w:bottom w:val="single" w:sz="4" w:space="0" w:color="auto"/>
            </w:tcBorders>
            <w:vAlign w:val="center"/>
          </w:tcPr>
          <w:p w14:paraId="5C10C72D" w14:textId="77777777" w:rsidR="00E61374" w:rsidRPr="00953EC4" w:rsidRDefault="00E61374" w:rsidP="00A170E6">
            <w:pPr>
              <w:jc w:val="center"/>
              <w:rPr>
                <w:noProof/>
                <w:sz w:val="20"/>
                <w:szCs w:val="20"/>
              </w:rPr>
            </w:pPr>
            <w:r w:rsidRPr="00953EC4">
              <w:rPr>
                <w:noProof/>
                <w:sz w:val="20"/>
                <w:szCs w:val="20"/>
              </w:rPr>
              <w:t>IBM</w:t>
            </w:r>
          </w:p>
        </w:tc>
        <w:tc>
          <w:tcPr>
            <w:tcW w:w="779" w:type="pct"/>
            <w:tcBorders>
              <w:bottom w:val="single" w:sz="4" w:space="0" w:color="auto"/>
            </w:tcBorders>
            <w:vAlign w:val="center"/>
          </w:tcPr>
          <w:p w14:paraId="0AB60150" w14:textId="77777777" w:rsidR="00E61374" w:rsidRPr="00953EC4" w:rsidRDefault="00E61374" w:rsidP="00A170E6">
            <w:pPr>
              <w:jc w:val="center"/>
              <w:rPr>
                <w:noProof/>
                <w:sz w:val="20"/>
                <w:szCs w:val="20"/>
              </w:rPr>
            </w:pPr>
            <w:r w:rsidRPr="00953EC4">
              <w:rPr>
                <w:noProof/>
                <w:sz w:val="20"/>
                <w:szCs w:val="20"/>
              </w:rPr>
              <w:t>China Mobile</w:t>
            </w:r>
          </w:p>
        </w:tc>
        <w:tc>
          <w:tcPr>
            <w:tcW w:w="779" w:type="pct"/>
            <w:tcBorders>
              <w:bottom w:val="single" w:sz="4" w:space="0" w:color="auto"/>
            </w:tcBorders>
            <w:vAlign w:val="center"/>
          </w:tcPr>
          <w:p w14:paraId="035D0620" w14:textId="77777777" w:rsidR="00E61374" w:rsidRPr="00953EC4" w:rsidRDefault="00E61374" w:rsidP="00A170E6">
            <w:pPr>
              <w:jc w:val="center"/>
              <w:rPr>
                <w:noProof/>
                <w:sz w:val="20"/>
                <w:szCs w:val="20"/>
              </w:rPr>
            </w:pPr>
            <w:r w:rsidRPr="00953EC4">
              <w:rPr>
                <w:noProof/>
                <w:sz w:val="20"/>
                <w:szCs w:val="20"/>
              </w:rPr>
              <w:t>Fujitsu</w:t>
            </w:r>
          </w:p>
        </w:tc>
        <w:tc>
          <w:tcPr>
            <w:tcW w:w="779" w:type="pct"/>
            <w:tcBorders>
              <w:bottom w:val="single" w:sz="4" w:space="0" w:color="auto"/>
            </w:tcBorders>
            <w:shd w:val="clear" w:color="auto" w:fill="C6D9F1" w:themeFill="text2" w:themeFillTint="33"/>
            <w:vAlign w:val="center"/>
          </w:tcPr>
          <w:p w14:paraId="22C0A59C" w14:textId="77777777" w:rsidR="00E61374" w:rsidRPr="00953EC4" w:rsidRDefault="00E61374" w:rsidP="00A170E6">
            <w:pPr>
              <w:jc w:val="center"/>
              <w:rPr>
                <w:noProof/>
                <w:sz w:val="20"/>
                <w:szCs w:val="20"/>
              </w:rPr>
            </w:pPr>
            <w:r w:rsidRPr="00953EC4">
              <w:rPr>
                <w:noProof/>
                <w:sz w:val="20"/>
                <w:szCs w:val="20"/>
              </w:rPr>
              <w:t>IBM</w:t>
            </w:r>
          </w:p>
        </w:tc>
        <w:tc>
          <w:tcPr>
            <w:tcW w:w="779" w:type="pct"/>
            <w:tcBorders>
              <w:bottom w:val="single" w:sz="4" w:space="0" w:color="auto"/>
            </w:tcBorders>
            <w:vAlign w:val="center"/>
          </w:tcPr>
          <w:p w14:paraId="539E1D0D" w14:textId="77777777" w:rsidR="00E61374" w:rsidRPr="00953EC4" w:rsidRDefault="00E61374" w:rsidP="00A170E6">
            <w:pPr>
              <w:jc w:val="center"/>
              <w:rPr>
                <w:noProof/>
                <w:sz w:val="20"/>
                <w:szCs w:val="20"/>
              </w:rPr>
            </w:pPr>
            <w:r w:rsidRPr="00953EC4">
              <w:rPr>
                <w:noProof/>
                <w:sz w:val="20"/>
                <w:szCs w:val="20"/>
              </w:rPr>
              <w:t>IBM</w:t>
            </w:r>
          </w:p>
        </w:tc>
      </w:tr>
      <w:tr w:rsidR="00E61374" w:rsidRPr="00953EC4" w14:paraId="0EB2F607" w14:textId="77777777" w:rsidTr="2A6A1A3F">
        <w:trPr>
          <w:trHeight w:val="20"/>
        </w:trPr>
        <w:tc>
          <w:tcPr>
            <w:tcW w:w="5000" w:type="pct"/>
            <w:gridSpan w:val="7"/>
            <w:tcBorders>
              <w:left w:val="nil"/>
              <w:bottom w:val="nil"/>
              <w:right w:val="nil"/>
            </w:tcBorders>
          </w:tcPr>
          <w:p w14:paraId="25CB98D5" w14:textId="77777777" w:rsidR="00E61374" w:rsidRPr="00953EC4" w:rsidRDefault="00E61374" w:rsidP="006B5183">
            <w:pPr>
              <w:pStyle w:val="Source"/>
              <w:rPr>
                <w:noProof/>
                <w:sz w:val="20"/>
                <w:szCs w:val="20"/>
              </w:rPr>
            </w:pPr>
            <w:r w:rsidRPr="00953EC4">
              <w:rPr>
                <w:noProof/>
                <w:sz w:val="20"/>
                <w:szCs w:val="20"/>
              </w:rPr>
              <w:t>Source: Synergy Research Group</w:t>
            </w:r>
          </w:p>
        </w:tc>
      </w:tr>
    </w:tbl>
    <w:p w14:paraId="0A2F1F44" w14:textId="0746E2C8" w:rsidR="00146639" w:rsidRPr="00D37004" w:rsidRDefault="00E61374" w:rsidP="00E61374">
      <w:pPr>
        <w:rPr>
          <w:noProof/>
        </w:rPr>
      </w:pPr>
      <w:r w:rsidRPr="00D37004">
        <w:rPr>
          <w:noProof/>
        </w:rPr>
        <w:t>Hyperscalers thrive in the European cloud market thanks to their global scale, significant financial resources</w:t>
      </w:r>
      <w:r w:rsidR="00392166">
        <w:rPr>
          <w:noProof/>
        </w:rPr>
        <w:t>,</w:t>
      </w:r>
      <w:r w:rsidRPr="00D37004">
        <w:rPr>
          <w:noProof/>
        </w:rPr>
        <w:t xml:space="preserve"> </w:t>
      </w:r>
      <w:r w:rsidR="00392166">
        <w:rPr>
          <w:noProof/>
        </w:rPr>
        <w:t>and overall ecosystem gravity</w:t>
      </w:r>
      <w:r w:rsidR="00DA53E3">
        <w:rPr>
          <w:noProof/>
        </w:rPr>
        <w:t xml:space="preserve">, </w:t>
      </w:r>
      <w:r w:rsidR="00543A07">
        <w:rPr>
          <w:noProof/>
        </w:rPr>
        <w:t>composed of</w:t>
      </w:r>
      <w:r w:rsidRPr="00D37004">
        <w:rPr>
          <w:noProof/>
        </w:rPr>
        <w:t xml:space="preserve"> integrated digital ecosystems</w:t>
      </w:r>
      <w:r w:rsidRPr="00D37004">
        <w:rPr>
          <w:rStyle w:val="EndnoteReference"/>
          <w:noProof/>
        </w:rPr>
        <w:endnoteReference w:id="78"/>
      </w:r>
      <w:r w:rsidR="003B0EA5">
        <w:rPr>
          <w:noProof/>
        </w:rPr>
        <w:t xml:space="preserve">, </w:t>
      </w:r>
      <w:r w:rsidR="00841A0F">
        <w:rPr>
          <w:noProof/>
        </w:rPr>
        <w:t>partnership programmes</w:t>
      </w:r>
      <w:r w:rsidR="00A759C3">
        <w:rPr>
          <w:noProof/>
        </w:rPr>
        <w:t xml:space="preserve"> and marketplaces</w:t>
      </w:r>
      <w:r w:rsidR="00543A07">
        <w:rPr>
          <w:noProof/>
        </w:rPr>
        <w:t>, among others</w:t>
      </w:r>
      <w:r w:rsidRPr="00D37004">
        <w:rPr>
          <w:noProof/>
        </w:rPr>
        <w:t xml:space="preserve">. </w:t>
      </w:r>
    </w:p>
    <w:p w14:paraId="139E0C90" w14:textId="5DC75C5D" w:rsidR="00417CF4" w:rsidRDefault="00E61374" w:rsidP="00417CF4">
      <w:pPr>
        <w:rPr>
          <w:noProof/>
        </w:rPr>
      </w:pPr>
      <w:r>
        <w:rPr>
          <w:noProof/>
        </w:rPr>
        <w:t xml:space="preserve">On the supply side, this problem impacts </w:t>
      </w:r>
      <w:r w:rsidRPr="00903150">
        <w:rPr>
          <w:noProof/>
        </w:rPr>
        <w:t xml:space="preserve">European </w:t>
      </w:r>
      <w:r>
        <w:rPr>
          <w:noProof/>
        </w:rPr>
        <w:t xml:space="preserve">providers of </w:t>
      </w:r>
      <w:r w:rsidRPr="00903150">
        <w:rPr>
          <w:noProof/>
        </w:rPr>
        <w:t>cloud and AI computing services</w:t>
      </w:r>
      <w:r>
        <w:rPr>
          <w:noProof/>
        </w:rPr>
        <w:t xml:space="preserve"> in terms of foregone commercial opportunities. </w:t>
      </w:r>
      <w:r w:rsidRPr="00137C9C">
        <w:rPr>
          <w:noProof/>
        </w:rPr>
        <w:t>Astères approximates their magnitude by estimating that EU companies’ annual purchases of cloud software add EUR 264 bn to the US economy</w:t>
      </w:r>
      <w:r w:rsidRPr="003D48F3">
        <w:rPr>
          <w:rStyle w:val="EndnoteReference"/>
          <w:noProof/>
        </w:rPr>
        <w:endnoteReference w:id="79"/>
      </w:r>
      <w:r>
        <w:rPr>
          <w:noProof/>
        </w:rPr>
        <w:t>. On the demand side, this problem impacts private and public sector users of cloud and AI computing services. Some reports suggest that, by relying so strongly on a small number of providers, users pay more for their cloud and AI computing services than by relying on alternatives</w:t>
      </w:r>
      <w:r>
        <w:rPr>
          <w:rStyle w:val="FootnoteReference"/>
          <w:noProof/>
        </w:rPr>
        <w:footnoteReference w:id="28"/>
      </w:r>
      <w:r>
        <w:rPr>
          <w:noProof/>
        </w:rPr>
        <w:t>.</w:t>
      </w:r>
      <w:r w:rsidR="00417CF4">
        <w:rPr>
          <w:noProof/>
        </w:rPr>
        <w:t xml:space="preserve"> </w:t>
      </w:r>
      <w:r w:rsidR="00555083">
        <w:rPr>
          <w:noProof/>
        </w:rPr>
        <w:t>In its most basic form, this d</w:t>
      </w:r>
      <w:r w:rsidR="00417CF4">
        <w:rPr>
          <w:noProof/>
        </w:rPr>
        <w:t>ependence can lead to significant economic costs</w:t>
      </w:r>
      <w:r w:rsidR="003D27F2">
        <w:rPr>
          <w:noProof/>
        </w:rPr>
        <w:t>.</w:t>
      </w:r>
      <w:r w:rsidR="00417CF4">
        <w:rPr>
          <w:noProof/>
        </w:rPr>
        <w:t xml:space="preserve"> Without alternative, users are defenceless in light of price increases. This is illustrated by Broadcom’s acquisition of VMWare (a provider of leading virtualisation technology, for which little European alternatives exist), which resulted in unilateral licensing changes and price increases of 800% to 1500% according to users</w:t>
      </w:r>
      <w:r w:rsidR="00417CF4" w:rsidRPr="67A61AC0">
        <w:rPr>
          <w:rStyle w:val="FootnoteReference"/>
          <w:noProof/>
        </w:rPr>
        <w:footnoteReference w:id="29"/>
      </w:r>
      <w:r w:rsidR="00417CF4">
        <w:rPr>
          <w:noProof/>
        </w:rPr>
        <w:t>. More generally, there is evidence suggesting that the dependence on non-European providers may cause European users to over-pay, with some reports suggesting that European providers offer digital resources at lower prices</w:t>
      </w:r>
      <w:r w:rsidR="00417CF4" w:rsidRPr="2460069F">
        <w:rPr>
          <w:rStyle w:val="FootnoteReference"/>
          <w:noProof/>
        </w:rPr>
        <w:footnoteReference w:id="30"/>
      </w:r>
      <w:r w:rsidR="00417CF4">
        <w:rPr>
          <w:noProof/>
        </w:rPr>
        <w:t xml:space="preserve"> and with lower egress charges.</w:t>
      </w:r>
    </w:p>
    <w:p w14:paraId="2FB00057" w14:textId="28C03B3C" w:rsidR="00E61374" w:rsidRDefault="00E61374" w:rsidP="00E61374">
      <w:pPr>
        <w:rPr>
          <w:noProof/>
        </w:rPr>
      </w:pPr>
      <w:r w:rsidRPr="00692539">
        <w:rPr>
          <w:noProof/>
        </w:rPr>
        <w:t>European AI computing</w:t>
      </w:r>
      <w:r w:rsidRPr="00692539" w:rsidDel="00B10442">
        <w:rPr>
          <w:noProof/>
        </w:rPr>
        <w:t xml:space="preserve"> </w:t>
      </w:r>
      <w:r w:rsidRPr="00692539">
        <w:rPr>
          <w:noProof/>
        </w:rPr>
        <w:t xml:space="preserve">service providers </w:t>
      </w:r>
      <w:r>
        <w:rPr>
          <w:noProof/>
        </w:rPr>
        <w:t>lag</w:t>
      </w:r>
      <w:r w:rsidRPr="00692539">
        <w:rPr>
          <w:noProof/>
        </w:rPr>
        <w:t xml:space="preserve"> their global competitors</w:t>
      </w:r>
      <w:r w:rsidRPr="006A25CC">
        <w:rPr>
          <w:rStyle w:val="EndnoteReference"/>
          <w:noProof/>
        </w:rPr>
        <w:endnoteReference w:id="80"/>
      </w:r>
      <w:r w:rsidRPr="00714B34">
        <w:rPr>
          <w:rStyle w:val="EndnoteReference"/>
          <w:noProof/>
        </w:rPr>
        <w:t>,</w:t>
      </w:r>
      <w:r w:rsidRPr="00692539">
        <w:rPr>
          <w:noProof/>
        </w:rPr>
        <w:t xml:space="preserve"> </w:t>
      </w:r>
      <w:r w:rsidR="005D219E">
        <w:rPr>
          <w:noProof/>
        </w:rPr>
        <w:t>also</w:t>
      </w:r>
      <w:r w:rsidRPr="00692539">
        <w:rPr>
          <w:noProof/>
        </w:rPr>
        <w:t xml:space="preserve"> </w:t>
      </w:r>
      <w:r>
        <w:rPr>
          <w:noProof/>
        </w:rPr>
        <w:t>due</w:t>
      </w:r>
      <w:r w:rsidRPr="00692539">
        <w:rPr>
          <w:noProof/>
        </w:rPr>
        <w:t xml:space="preserve"> to their competitive disadvantage in </w:t>
      </w:r>
      <w:r>
        <w:rPr>
          <w:noProof/>
        </w:rPr>
        <w:t xml:space="preserve">accessing </w:t>
      </w:r>
      <w:r w:rsidRPr="00692539">
        <w:rPr>
          <w:noProof/>
        </w:rPr>
        <w:t>computing service providers</w:t>
      </w:r>
      <w:r w:rsidRPr="00D37004">
        <w:rPr>
          <w:rStyle w:val="EndnoteReference"/>
          <w:noProof/>
        </w:rPr>
        <w:endnoteReference w:id="81"/>
      </w:r>
      <w:r w:rsidRPr="00D37004">
        <w:rPr>
          <w:noProof/>
        </w:rPr>
        <w:t>.</w:t>
      </w:r>
    </w:p>
    <w:p w14:paraId="667B9342" w14:textId="7A7EFB3B" w:rsidR="00277A40" w:rsidRPr="00F92EAE" w:rsidRDefault="00C71DDF" w:rsidP="00277A40">
      <w:pPr>
        <w:rPr>
          <w:noProof/>
        </w:rPr>
      </w:pPr>
      <w:r>
        <w:rPr>
          <w:noProof/>
        </w:rPr>
        <w:t>D</w:t>
      </w:r>
      <w:r w:rsidR="00E61374">
        <w:rPr>
          <w:noProof/>
        </w:rPr>
        <w:t>ependence also introduces</w:t>
      </w:r>
      <w:r w:rsidR="00E61374" w:rsidRPr="00D37004">
        <w:rPr>
          <w:noProof/>
        </w:rPr>
        <w:t xml:space="preserve"> </w:t>
      </w:r>
      <w:r w:rsidR="00CC2160">
        <w:rPr>
          <w:noProof/>
        </w:rPr>
        <w:t>significant</w:t>
      </w:r>
      <w:r w:rsidR="00FA1A8C">
        <w:rPr>
          <w:noProof/>
        </w:rPr>
        <w:t xml:space="preserve"> tail </w:t>
      </w:r>
      <w:r w:rsidR="00E61374" w:rsidRPr="00D37004">
        <w:rPr>
          <w:noProof/>
        </w:rPr>
        <w:t>risks</w:t>
      </w:r>
      <w:r w:rsidR="00E61374">
        <w:rPr>
          <w:noProof/>
        </w:rPr>
        <w:t>: where users rely on a small number of providers, c</w:t>
      </w:r>
      <w:r w:rsidR="00E61374" w:rsidRPr="00D37004">
        <w:rPr>
          <w:noProof/>
        </w:rPr>
        <w:t xml:space="preserve">loud outages can have far-reaching consequences, including business interruptions, </w:t>
      </w:r>
      <w:r w:rsidR="00025DDB">
        <w:rPr>
          <w:noProof/>
        </w:rPr>
        <w:t xml:space="preserve">and substantial </w:t>
      </w:r>
      <w:r w:rsidR="00E61374" w:rsidRPr="00D37004">
        <w:rPr>
          <w:noProof/>
        </w:rPr>
        <w:t>financial or data losses</w:t>
      </w:r>
      <w:r w:rsidR="00E61374" w:rsidRPr="00D37004">
        <w:rPr>
          <w:rStyle w:val="EndnoteReference"/>
          <w:noProof/>
        </w:rPr>
        <w:endnoteReference w:id="82"/>
      </w:r>
      <w:r w:rsidR="00E61374" w:rsidRPr="00D37004">
        <w:rPr>
          <w:noProof/>
        </w:rPr>
        <w:t>. Strong</w:t>
      </w:r>
      <w:r w:rsidR="00E61374" w:rsidDel="6CDC2B1D">
        <w:rPr>
          <w:noProof/>
        </w:rPr>
        <w:t xml:space="preserve"> </w:t>
      </w:r>
      <w:r w:rsidR="00E61374" w:rsidRPr="00D37004">
        <w:rPr>
          <w:noProof/>
        </w:rPr>
        <w:t>reliance</w:t>
      </w:r>
      <w:r w:rsidR="00E61374">
        <w:rPr>
          <w:noProof/>
        </w:rPr>
        <w:t xml:space="preserve"> on a small set of providers</w:t>
      </w:r>
      <w:r w:rsidR="00E61374" w:rsidRPr="00D37004">
        <w:rPr>
          <w:noProof/>
        </w:rPr>
        <w:t xml:space="preserve"> also means that a single failure can simultaneously affect several critical services, as seen in the recent Crowdstrike incident or AWS outages</w:t>
      </w:r>
      <w:r w:rsidR="00E61374" w:rsidRPr="00D37004">
        <w:rPr>
          <w:rStyle w:val="EndnoteReference"/>
          <w:noProof/>
        </w:rPr>
        <w:endnoteReference w:id="83"/>
      </w:r>
      <w:r w:rsidR="00E61374" w:rsidRPr="00D37004">
        <w:rPr>
          <w:noProof/>
        </w:rPr>
        <w:t xml:space="preserve">. It also limits the EU’s operational autonomy and system resilience as these providers may be exposed to third-country policies restricting service access, for example in the context of sanctions </w:t>
      </w:r>
      <w:r w:rsidR="00E61374" w:rsidDel="00946EFC">
        <w:rPr>
          <w:noProof/>
        </w:rPr>
        <w:t xml:space="preserve">or </w:t>
      </w:r>
      <w:r w:rsidR="00E61374" w:rsidDel="00CB012A">
        <w:rPr>
          <w:noProof/>
        </w:rPr>
        <w:t>economic coercion</w:t>
      </w:r>
      <w:r w:rsidR="00E61374" w:rsidRPr="00D37004">
        <w:rPr>
          <w:noProof/>
        </w:rPr>
        <w:t xml:space="preserve">. </w:t>
      </w:r>
      <w:r w:rsidR="00E61374" w:rsidDel="67A0624C">
        <w:rPr>
          <w:noProof/>
        </w:rPr>
        <w:t xml:space="preserve">This </w:t>
      </w:r>
      <w:r w:rsidR="00E61374" w:rsidDel="008455F6">
        <w:rPr>
          <w:noProof/>
        </w:rPr>
        <w:t>risk recently</w:t>
      </w:r>
      <w:r w:rsidR="00E61374" w:rsidDel="67A0624C">
        <w:rPr>
          <w:noProof/>
        </w:rPr>
        <w:t xml:space="preserve"> materialised in </w:t>
      </w:r>
      <w:r w:rsidR="00E61374" w:rsidDel="000439B6">
        <w:rPr>
          <w:noProof/>
        </w:rPr>
        <w:t xml:space="preserve">the </w:t>
      </w:r>
      <w:r w:rsidR="00E61374" w:rsidDel="00946EFC">
        <w:rPr>
          <w:noProof/>
        </w:rPr>
        <w:t xml:space="preserve">suspension </w:t>
      </w:r>
      <w:r w:rsidR="00E61374" w:rsidDel="000439B6">
        <w:rPr>
          <w:noProof/>
        </w:rPr>
        <w:t>of service provision</w:t>
      </w:r>
      <w:r w:rsidR="00E61374" w:rsidDel="00946EFC">
        <w:rPr>
          <w:noProof/>
        </w:rPr>
        <w:t xml:space="preserve"> </w:t>
      </w:r>
      <w:r w:rsidR="00E61374" w:rsidDel="00220AD7">
        <w:rPr>
          <w:noProof/>
        </w:rPr>
        <w:t xml:space="preserve">to the Chief prosecutor of the </w:t>
      </w:r>
      <w:r w:rsidR="00E61374" w:rsidDel="00946EFC">
        <w:rPr>
          <w:noProof/>
        </w:rPr>
        <w:t>International Criminal Court</w:t>
      </w:r>
      <w:r w:rsidR="00E61374" w:rsidDel="00F44012">
        <w:rPr>
          <w:noProof/>
        </w:rPr>
        <w:t>,</w:t>
      </w:r>
      <w:r w:rsidR="00E61374" w:rsidDel="001D06DF">
        <w:rPr>
          <w:noProof/>
        </w:rPr>
        <w:t xml:space="preserve"> </w:t>
      </w:r>
      <w:r w:rsidR="00E61374" w:rsidDel="00E95B27">
        <w:rPr>
          <w:noProof/>
        </w:rPr>
        <w:t xml:space="preserve">on whom the US </w:t>
      </w:r>
      <w:r w:rsidR="00E61374" w:rsidDel="001F311D">
        <w:rPr>
          <w:noProof/>
        </w:rPr>
        <w:t xml:space="preserve">had </w:t>
      </w:r>
      <w:r w:rsidR="00E61374" w:rsidDel="00E95B27">
        <w:rPr>
          <w:noProof/>
        </w:rPr>
        <w:t>previously imposed san</w:t>
      </w:r>
      <w:r w:rsidR="00E61374" w:rsidDel="008E13B8">
        <w:rPr>
          <w:noProof/>
        </w:rPr>
        <w:t>c</w:t>
      </w:r>
      <w:r w:rsidR="00E61374" w:rsidDel="00E95B27">
        <w:rPr>
          <w:noProof/>
        </w:rPr>
        <w:t>tions</w:t>
      </w:r>
      <w:r w:rsidR="00E61374" w:rsidRPr="6D54A2C2">
        <w:rPr>
          <w:rStyle w:val="EndnoteReference"/>
          <w:noProof/>
        </w:rPr>
        <w:endnoteReference w:id="84"/>
      </w:r>
      <w:r w:rsidR="00E61374" w:rsidDel="008E13B8">
        <w:rPr>
          <w:noProof/>
        </w:rPr>
        <w:t>.</w:t>
      </w:r>
      <w:r w:rsidR="00E61374" w:rsidDel="001B63AE">
        <w:rPr>
          <w:noProof/>
        </w:rPr>
        <w:t xml:space="preserve"> </w:t>
      </w:r>
      <w:r w:rsidR="00E61374" w:rsidDel="00163DAA">
        <w:rPr>
          <w:noProof/>
        </w:rPr>
        <w:t xml:space="preserve">This case illustrates the </w:t>
      </w:r>
      <w:r w:rsidR="00E61374" w:rsidDel="00C0199D">
        <w:rPr>
          <w:noProof/>
        </w:rPr>
        <w:t xml:space="preserve">challenges </w:t>
      </w:r>
      <w:r w:rsidR="00E61374">
        <w:rPr>
          <w:noProof/>
        </w:rPr>
        <w:t>which</w:t>
      </w:r>
      <w:r w:rsidR="00E61374" w:rsidDel="00C0199D">
        <w:rPr>
          <w:noProof/>
        </w:rPr>
        <w:t xml:space="preserve"> exposure to third-country policies can cause to operational autonomy</w:t>
      </w:r>
      <w:r w:rsidR="00E61374" w:rsidDel="00190040">
        <w:rPr>
          <w:noProof/>
        </w:rPr>
        <w:t xml:space="preserve"> and system resilience in the </w:t>
      </w:r>
      <w:r w:rsidR="00E61374" w:rsidDel="006E0F24">
        <w:rPr>
          <w:noProof/>
        </w:rPr>
        <w:t>EU</w:t>
      </w:r>
      <w:r w:rsidR="00E61374" w:rsidDel="00CB012A">
        <w:rPr>
          <w:noProof/>
        </w:rPr>
        <w:t>.</w:t>
      </w:r>
      <w:r w:rsidR="00E61374" w:rsidRPr="00D37004">
        <w:rPr>
          <w:noProof/>
        </w:rPr>
        <w:t xml:space="preserve"> </w:t>
      </w:r>
      <w:r w:rsidR="00747057" w:rsidRPr="00525B76">
        <w:rPr>
          <w:noProof/>
        </w:rPr>
        <w:t>Another illustrative example is the planned takeover of the Dutch cloud provider Solvinity by the US IT company Kyndryl</w:t>
      </w:r>
      <w:r w:rsidR="00747057">
        <w:rPr>
          <w:rStyle w:val="EndnoteReference"/>
          <w:noProof/>
        </w:rPr>
        <w:endnoteReference w:id="85"/>
      </w:r>
      <w:r w:rsidR="00747057" w:rsidRPr="00525B76">
        <w:rPr>
          <w:noProof/>
        </w:rPr>
        <w:t>. Solvinity offers cloud services to the IT company of the Dutch administration, including the back</w:t>
      </w:r>
      <w:r w:rsidR="009C2D4A">
        <w:rPr>
          <w:noProof/>
        </w:rPr>
        <w:t>-</w:t>
      </w:r>
      <w:r w:rsidR="00747057" w:rsidRPr="00525B76">
        <w:rPr>
          <w:noProof/>
        </w:rPr>
        <w:t>end of digital wallet, used by 16.5 million Dutch citizens to verify their identities in order to get access to the tax administration and other departments. A non-European policy affecting the provision of Kyndryl’s services in the EU would thus cause disruption for 90% of Dutch citizens.</w:t>
      </w:r>
      <w:r w:rsidR="00747057">
        <w:rPr>
          <w:noProof/>
        </w:rPr>
        <w:t xml:space="preserve"> </w:t>
      </w:r>
      <w:r w:rsidR="00277A40">
        <w:rPr>
          <w:noProof/>
        </w:rPr>
        <w:t>T</w:t>
      </w:r>
      <w:r w:rsidR="00277A40" w:rsidRPr="00D37004">
        <w:rPr>
          <w:noProof/>
        </w:rPr>
        <w:t>hreat</w:t>
      </w:r>
      <w:r w:rsidR="00277A40">
        <w:rPr>
          <w:noProof/>
        </w:rPr>
        <w:t>s</w:t>
      </w:r>
      <w:r w:rsidR="00277A40" w:rsidRPr="00D37004">
        <w:rPr>
          <w:noProof/>
        </w:rPr>
        <w:t xml:space="preserve"> to operational autonomy and of data access </w:t>
      </w:r>
      <w:r w:rsidR="00277A40">
        <w:rPr>
          <w:noProof/>
        </w:rPr>
        <w:t>are</w:t>
      </w:r>
      <w:r w:rsidR="00277A40" w:rsidRPr="00D37004">
        <w:rPr>
          <w:noProof/>
        </w:rPr>
        <w:t xml:space="preserve"> particularly concerning in highly critical use cases relying on cloud and AI </w:t>
      </w:r>
      <w:r w:rsidR="00277A40">
        <w:rPr>
          <w:noProof/>
        </w:rPr>
        <w:t>computing</w:t>
      </w:r>
      <w:r w:rsidR="00277A40" w:rsidRPr="00D37004">
        <w:rPr>
          <w:noProof/>
        </w:rPr>
        <w:t xml:space="preserve"> services</w:t>
      </w:r>
      <w:r w:rsidR="00277A40">
        <w:rPr>
          <w:rStyle w:val="EndnoteReference"/>
          <w:noProof/>
        </w:rPr>
        <w:endnoteReference w:id="86"/>
      </w:r>
      <w:r w:rsidR="00277A40" w:rsidRPr="00D37004">
        <w:rPr>
          <w:noProof/>
        </w:rPr>
        <w:t xml:space="preserve">. For example, </w:t>
      </w:r>
      <w:r w:rsidR="00277A40">
        <w:rPr>
          <w:noProof/>
        </w:rPr>
        <w:t>their</w:t>
      </w:r>
      <w:r w:rsidR="00277A40" w:rsidRPr="00D37004">
        <w:rPr>
          <w:noProof/>
        </w:rPr>
        <w:t xml:space="preserve"> use in healthcare, defence and </w:t>
      </w:r>
      <w:r w:rsidR="00277A40">
        <w:rPr>
          <w:noProof/>
        </w:rPr>
        <w:t xml:space="preserve">certain </w:t>
      </w:r>
      <w:r w:rsidR="00277A40" w:rsidRPr="00D37004">
        <w:rPr>
          <w:noProof/>
        </w:rPr>
        <w:t xml:space="preserve">public </w:t>
      </w:r>
      <w:r w:rsidR="00277A40">
        <w:rPr>
          <w:noProof/>
        </w:rPr>
        <w:t>sector</w:t>
      </w:r>
      <w:r w:rsidR="00277A40" w:rsidRPr="00D37004">
        <w:rPr>
          <w:noProof/>
        </w:rPr>
        <w:t xml:space="preserve"> </w:t>
      </w:r>
      <w:r w:rsidR="00277A40">
        <w:rPr>
          <w:noProof/>
        </w:rPr>
        <w:t xml:space="preserve">services </w:t>
      </w:r>
      <w:r w:rsidR="00277A40" w:rsidDel="00D27438">
        <w:rPr>
          <w:noProof/>
        </w:rPr>
        <w:t>often</w:t>
      </w:r>
      <w:r w:rsidR="00277A40" w:rsidRPr="00D37004">
        <w:rPr>
          <w:noProof/>
        </w:rPr>
        <w:t xml:space="preserve"> involve</w:t>
      </w:r>
      <w:r w:rsidR="00277A40">
        <w:rPr>
          <w:noProof/>
        </w:rPr>
        <w:t>s</w:t>
      </w:r>
      <w:r w:rsidR="00277A40" w:rsidRPr="00D37004">
        <w:rPr>
          <w:noProof/>
        </w:rPr>
        <w:t xml:space="preserve"> the processing of highly sensitive data. Service interruption</w:t>
      </w:r>
      <w:r w:rsidR="00277A40">
        <w:rPr>
          <w:noProof/>
        </w:rPr>
        <w:t xml:space="preserve"> </w:t>
      </w:r>
      <w:r w:rsidR="00277A40" w:rsidRPr="00D37004">
        <w:rPr>
          <w:noProof/>
        </w:rPr>
        <w:t xml:space="preserve">in these sectors </w:t>
      </w:r>
      <w:r w:rsidR="00277A40">
        <w:rPr>
          <w:noProof/>
        </w:rPr>
        <w:t xml:space="preserve">can </w:t>
      </w:r>
      <w:r w:rsidR="00277A40" w:rsidRPr="00D37004">
        <w:rPr>
          <w:noProof/>
        </w:rPr>
        <w:t>have significant adverse effects on the EU economy and society. Some public sector actors are undertaking steps to limit exposure to such risks. For example, the Dutch parliament called on the government to reduce its reliance on US cloud services</w:t>
      </w:r>
      <w:r w:rsidR="00277A40" w:rsidRPr="00D37004">
        <w:rPr>
          <w:rStyle w:val="EndnoteReference"/>
          <w:noProof/>
        </w:rPr>
        <w:endnoteReference w:id="87"/>
      </w:r>
      <w:r w:rsidR="00277A40" w:rsidRPr="00D37004">
        <w:rPr>
          <w:noProof/>
        </w:rPr>
        <w:t>, and France mandates sensitive data to be exclusively stored and processed using SecNumCloud certified services</w:t>
      </w:r>
      <w:r w:rsidR="00277A40" w:rsidRPr="00D37004">
        <w:rPr>
          <w:noProof/>
          <w:vertAlign w:val="superscript"/>
        </w:rPr>
        <w:footnoteReference w:id="31"/>
      </w:r>
      <w:r w:rsidR="00277A40">
        <w:rPr>
          <w:noProof/>
        </w:rPr>
        <w:t xml:space="preserve"> provided either solely by EU providers or Joint Ventures between EU undertakings and US CSPs (see section </w:t>
      </w:r>
      <w:r w:rsidR="00277A40">
        <w:rPr>
          <w:noProof/>
        </w:rPr>
        <w:fldChar w:fldCharType="begin"/>
      </w:r>
      <w:r w:rsidR="00277A40">
        <w:rPr>
          <w:noProof/>
        </w:rPr>
        <w:instrText xml:space="preserve"> REF _Ref214291132 \r \h </w:instrText>
      </w:r>
      <w:r w:rsidR="00277A40">
        <w:rPr>
          <w:noProof/>
        </w:rPr>
      </w:r>
      <w:r w:rsidR="00277A40">
        <w:rPr>
          <w:noProof/>
        </w:rPr>
        <w:fldChar w:fldCharType="separate"/>
      </w:r>
      <w:r w:rsidR="00137E65">
        <w:rPr>
          <w:noProof/>
        </w:rPr>
        <w:t>2.3.4</w:t>
      </w:r>
      <w:r w:rsidR="00277A40">
        <w:rPr>
          <w:noProof/>
        </w:rPr>
        <w:fldChar w:fldCharType="end"/>
      </w:r>
      <w:r w:rsidR="00277A40">
        <w:rPr>
          <w:noProof/>
        </w:rPr>
        <w:t>).</w:t>
      </w:r>
      <w:r w:rsidR="00277A40" w:rsidRPr="00D37004" w:rsidDel="00561EDB">
        <w:rPr>
          <w:noProof/>
        </w:rPr>
        <w:t xml:space="preserve"> </w:t>
      </w:r>
      <w:r w:rsidR="00996B9E" w:rsidRPr="00996B9E">
        <w:rPr>
          <w:noProof/>
        </w:rPr>
        <w:t xml:space="preserve">This issue was </w:t>
      </w:r>
      <w:r w:rsidR="00996B9E">
        <w:rPr>
          <w:noProof/>
        </w:rPr>
        <w:t xml:space="preserve">also </w:t>
      </w:r>
      <w:r w:rsidR="00996B9E" w:rsidRPr="00996B9E">
        <w:rPr>
          <w:noProof/>
        </w:rPr>
        <w:t>recently illustrated by the postponement of Finland’s electoral management system cloudification</w:t>
      </w:r>
      <w:r w:rsidR="007F4C2B">
        <w:rPr>
          <w:rStyle w:val="FootnoteReference"/>
          <w:noProof/>
        </w:rPr>
        <w:footnoteReference w:id="32"/>
      </w:r>
      <w:r w:rsidR="00996B9E" w:rsidRPr="00996B9E">
        <w:rPr>
          <w:noProof/>
        </w:rPr>
        <w:t>, previously awarded to AWS, and France’s switch from US solutions to open source equivalents to serve public sector video conferencing needs</w:t>
      </w:r>
      <w:r w:rsidR="0018749A">
        <w:rPr>
          <w:rStyle w:val="FootnoteReference"/>
          <w:noProof/>
        </w:rPr>
        <w:footnoteReference w:id="33"/>
      </w:r>
      <w:r w:rsidR="00996B9E">
        <w:rPr>
          <w:noProof/>
        </w:rPr>
        <w:t xml:space="preserve">. </w:t>
      </w:r>
      <w:r w:rsidR="00277A40" w:rsidRPr="00D37004">
        <w:rPr>
          <w:noProof/>
        </w:rPr>
        <w:t>The European Central Bank requires banks to use hybrid architectures and a multi-cloud approach</w:t>
      </w:r>
      <w:r w:rsidR="00277A40" w:rsidRPr="00D37004">
        <w:rPr>
          <w:rStyle w:val="EndnoteReference"/>
          <w:noProof/>
        </w:rPr>
        <w:endnoteReference w:id="88"/>
      </w:r>
      <w:r w:rsidR="00277A40" w:rsidRPr="00D37004">
        <w:rPr>
          <w:noProof/>
        </w:rPr>
        <w:t>.</w:t>
      </w:r>
      <w:r w:rsidR="00277A40" w:rsidRPr="00D37004" w:rsidDel="00561EDB">
        <w:rPr>
          <w:noProof/>
        </w:rPr>
        <w:t xml:space="preserve"> </w:t>
      </w:r>
      <w:r w:rsidR="00277A40">
        <w:rPr>
          <w:noProof/>
        </w:rPr>
        <w:t xml:space="preserve">The US requires Federal Agencies to use only cloud services authorised under the </w:t>
      </w:r>
      <w:r w:rsidR="00277A40" w:rsidRPr="00874DFB">
        <w:rPr>
          <w:noProof/>
        </w:rPr>
        <w:t>Federal Risk and Authorization Management Program (FedRAMP)</w:t>
      </w:r>
      <w:r w:rsidR="00277A40">
        <w:rPr>
          <w:rStyle w:val="FootnoteReference"/>
          <w:noProof/>
        </w:rPr>
        <w:footnoteReference w:id="34"/>
      </w:r>
      <w:r w:rsidR="00277A40">
        <w:rPr>
          <w:noProof/>
        </w:rPr>
        <w:t xml:space="preserve">. </w:t>
      </w:r>
      <w:r w:rsidR="008E4934">
        <w:rPr>
          <w:noProof/>
        </w:rPr>
        <w:t>While dependence is widely considered as a critical risk to service continuity and operational autonomy, and</w:t>
      </w:r>
      <w:r w:rsidR="00580529" w:rsidRPr="00D37004">
        <w:rPr>
          <w:noProof/>
        </w:rPr>
        <w:t xml:space="preserve"> </w:t>
      </w:r>
      <w:r w:rsidR="00580529" w:rsidRPr="00D37004" w:rsidDel="00550C3B">
        <w:rPr>
          <w:noProof/>
        </w:rPr>
        <w:t xml:space="preserve">demand for </w:t>
      </w:r>
      <w:r w:rsidR="00580529" w:rsidRPr="00D37004">
        <w:rPr>
          <w:noProof/>
        </w:rPr>
        <w:t>sovereign cloud solutions is growing</w:t>
      </w:r>
      <w:r w:rsidR="00AA1012">
        <w:rPr>
          <w:rStyle w:val="FootnoteReference"/>
          <w:noProof/>
        </w:rPr>
        <w:footnoteReference w:id="35"/>
      </w:r>
      <w:r w:rsidR="00DF0B26">
        <w:rPr>
          <w:noProof/>
        </w:rPr>
        <w:t>,</w:t>
      </w:r>
      <w:r w:rsidR="008E4934">
        <w:rPr>
          <w:noProof/>
        </w:rPr>
        <w:t xml:space="preserve"> </w:t>
      </w:r>
      <w:r w:rsidR="00AA1012">
        <w:rPr>
          <w:noProof/>
        </w:rPr>
        <w:t>a coherent framework to address this challenge is still lacking at EU level</w:t>
      </w:r>
      <w:r w:rsidR="00580529" w:rsidRPr="00D37004">
        <w:rPr>
          <w:noProof/>
        </w:rPr>
        <w:t>.</w:t>
      </w:r>
    </w:p>
    <w:p w14:paraId="0E09DA3C" w14:textId="348D6577" w:rsidR="00E61374" w:rsidRDefault="00E61374" w:rsidP="00AE23AB">
      <w:pPr>
        <w:tabs>
          <w:tab w:val="left" w:pos="1418"/>
        </w:tabs>
        <w:rPr>
          <w:noProof/>
        </w:rPr>
      </w:pPr>
      <w:r w:rsidRPr="00D37004">
        <w:rPr>
          <w:noProof/>
        </w:rPr>
        <w:t>Dependence on US providers also exposes EU user data to extraterritorial laws and potential US government access resulting from the US Clarifying Lawful Overseas Use of Data (CLOUD) Act</w:t>
      </w:r>
      <w:r w:rsidRPr="00D37004">
        <w:rPr>
          <w:rStyle w:val="FootnoteReference"/>
          <w:noProof/>
        </w:rPr>
        <w:footnoteReference w:id="36"/>
      </w:r>
      <w:r w:rsidRPr="00D37004">
        <w:rPr>
          <w:noProof/>
        </w:rPr>
        <w:t xml:space="preserve"> </w:t>
      </w:r>
      <w:r w:rsidRPr="65A5080D">
        <w:rPr>
          <w:rFonts w:eastAsia="Times New Roman"/>
          <w:noProof/>
        </w:rPr>
        <w:t xml:space="preserve">in the context of criminal proceedings, </w:t>
      </w:r>
      <w:r w:rsidRPr="00D37004">
        <w:rPr>
          <w:noProof/>
        </w:rPr>
        <w:t>or Section 702 of the US Foreign Intelligence Surveillance Act</w:t>
      </w:r>
      <w:r w:rsidRPr="00D37004">
        <w:rPr>
          <w:rStyle w:val="FootnoteReference"/>
          <w:noProof/>
        </w:rPr>
        <w:footnoteReference w:id="37"/>
      </w:r>
      <w:r w:rsidRPr="00D37004" w:rsidDel="0010272F">
        <w:rPr>
          <w:noProof/>
        </w:rPr>
        <w:t>.</w:t>
      </w:r>
      <w:r w:rsidRPr="00D37004">
        <w:rPr>
          <w:noProof/>
        </w:rPr>
        <w:t xml:space="preserve"> </w:t>
      </w:r>
      <w:r w:rsidR="00800049">
        <w:rPr>
          <w:noProof/>
        </w:rPr>
        <w:t xml:space="preserve">Access can be granted unilaterally, without the involvement of EU judicial or public authorities. </w:t>
      </w:r>
      <w:r w:rsidRPr="00D37004">
        <w:rPr>
          <w:noProof/>
        </w:rPr>
        <w:t>In a sworn testimony before the French Senate, a representative of Microsoft affirmed that the company could not guarantee that French data would not be transmitted to US authorities, even in the absence of</w:t>
      </w:r>
      <w:r>
        <w:rPr>
          <w:noProof/>
        </w:rPr>
        <w:t xml:space="preserve"> explicit authorisation</w:t>
      </w:r>
      <w:r w:rsidRPr="00D37004">
        <w:rPr>
          <w:rStyle w:val="EndnoteReference"/>
          <w:noProof/>
        </w:rPr>
        <w:endnoteReference w:id="89"/>
      </w:r>
      <w:r w:rsidRPr="00D37004">
        <w:rPr>
          <w:noProof/>
        </w:rPr>
        <w:t xml:space="preserve">. </w:t>
      </w:r>
      <w:r w:rsidR="00E71F06">
        <w:rPr>
          <w:noProof/>
        </w:rPr>
        <w:t xml:space="preserve">Any data managed by a US-headquartered provider or its subsidiaries is potentially exposed, including sensitive business information, intellectual property, and personal data of EU citizens. </w:t>
      </w:r>
      <w:r>
        <w:rPr>
          <w:noProof/>
        </w:rPr>
        <w:t>Such exposure</w:t>
      </w:r>
      <w:r w:rsidRPr="00EC2A8B">
        <w:rPr>
          <w:noProof/>
        </w:rPr>
        <w:t xml:space="preserve">, </w:t>
      </w:r>
      <w:r>
        <w:rPr>
          <w:noProof/>
        </w:rPr>
        <w:t xml:space="preserve">especially of sensitive business or </w:t>
      </w:r>
      <w:r w:rsidR="00374F9B">
        <w:rPr>
          <w:noProof/>
        </w:rPr>
        <w:t>public</w:t>
      </w:r>
      <w:r>
        <w:rPr>
          <w:noProof/>
        </w:rPr>
        <w:t xml:space="preserve"> data</w:t>
      </w:r>
      <w:r w:rsidRPr="00D37004" w:rsidDel="003D5642">
        <w:rPr>
          <w:noProof/>
        </w:rPr>
        <w:t>,</w:t>
      </w:r>
      <w:r w:rsidRPr="00D37004">
        <w:rPr>
          <w:noProof/>
        </w:rPr>
        <w:t xml:space="preserve"> </w:t>
      </w:r>
      <w:r w:rsidRPr="65A5080D">
        <w:rPr>
          <w:rFonts w:eastAsia="Times New Roman"/>
          <w:noProof/>
        </w:rPr>
        <w:t xml:space="preserve">can raise significant concerns </w:t>
      </w:r>
      <w:r w:rsidRPr="00D37004">
        <w:rPr>
          <w:noProof/>
        </w:rPr>
        <w:t>when considering strategic entities, public authorities, and high-profile individuals</w:t>
      </w:r>
      <w:r>
        <w:rPr>
          <w:noProof/>
        </w:rPr>
        <w:t>. More generally, a</w:t>
      </w:r>
      <w:r w:rsidRPr="00D37004">
        <w:rPr>
          <w:noProof/>
        </w:rPr>
        <w:t xml:space="preserve"> lack of trust in cloud and AI computing services </w:t>
      </w:r>
      <w:r>
        <w:rPr>
          <w:noProof/>
        </w:rPr>
        <w:t xml:space="preserve">is </w:t>
      </w:r>
      <w:r w:rsidRPr="00D37004">
        <w:rPr>
          <w:noProof/>
        </w:rPr>
        <w:t>slow</w:t>
      </w:r>
      <w:r>
        <w:rPr>
          <w:noProof/>
        </w:rPr>
        <w:t>ing</w:t>
      </w:r>
      <w:r w:rsidRPr="00D37004">
        <w:rPr>
          <w:noProof/>
        </w:rPr>
        <w:t xml:space="preserve"> down European users’ adoption of other digital services</w:t>
      </w:r>
      <w:r>
        <w:rPr>
          <w:rStyle w:val="EndnoteReference"/>
          <w:noProof/>
        </w:rPr>
        <w:endnoteReference w:id="90"/>
      </w:r>
      <w:r>
        <w:rPr>
          <w:noProof/>
        </w:rPr>
        <w:t>. This lack of trust is also caused by technical aspects such as not having control over the supply chain, not being able to carry out audits and penetration testing, or the uncertainty of where the data is located</w:t>
      </w:r>
      <w:r>
        <w:rPr>
          <w:rStyle w:val="EndnoteReference"/>
          <w:noProof/>
        </w:rPr>
        <w:endnoteReference w:id="91"/>
      </w:r>
      <w:r w:rsidRPr="00D37004">
        <w:rPr>
          <w:noProof/>
        </w:rPr>
        <w:t>.</w:t>
      </w:r>
    </w:p>
    <w:p w14:paraId="16A2A403" w14:textId="77777777" w:rsidR="006B087E" w:rsidRDefault="006B087E" w:rsidP="000E3086">
      <w:pPr>
        <w:pStyle w:val="Heading2"/>
        <w:rPr>
          <w:noProof/>
        </w:rPr>
      </w:pPr>
      <w:bookmarkStart w:id="27" w:name="_Toc230792725"/>
      <w:r w:rsidRPr="00F92EAE">
        <w:rPr>
          <w:noProof/>
        </w:rPr>
        <w:t>What are the problem drivers?</w:t>
      </w:r>
      <w:bookmarkEnd w:id="27"/>
    </w:p>
    <w:p w14:paraId="418CC2D7" w14:textId="3D64FAF4" w:rsidR="00970200" w:rsidRDefault="0065459F" w:rsidP="003110F4">
      <w:pPr>
        <w:rPr>
          <w:noProof/>
        </w:rPr>
      </w:pPr>
      <w:r>
        <w:rPr>
          <w:noProof/>
        </w:rPr>
        <w:t xml:space="preserve">The two identified problems are closely interlinked, as they </w:t>
      </w:r>
      <w:r w:rsidR="008A70AD">
        <w:rPr>
          <w:noProof/>
        </w:rPr>
        <w:t>relate to consecutive stages of the same value chain</w:t>
      </w:r>
      <w:r w:rsidR="008908CD">
        <w:rPr>
          <w:noProof/>
        </w:rPr>
        <w:t xml:space="preserve">, with a clear supply-demand relationship: cloud and AI computing services require adequate underlying infrastructure, while data centre investments rely on expected demand for such services. Problem 1 concerns the physical </w:t>
      </w:r>
      <w:r w:rsidR="00FE6854">
        <w:rPr>
          <w:noProof/>
        </w:rPr>
        <w:t>infrastructure</w:t>
      </w:r>
      <w:r w:rsidR="008908CD">
        <w:rPr>
          <w:noProof/>
        </w:rPr>
        <w:t xml:space="preserve"> la</w:t>
      </w:r>
      <w:r w:rsidR="00FE6854">
        <w:rPr>
          <w:noProof/>
        </w:rPr>
        <w:t>y</w:t>
      </w:r>
      <w:r w:rsidR="008908CD">
        <w:rPr>
          <w:noProof/>
        </w:rPr>
        <w:t>er</w:t>
      </w:r>
      <w:r w:rsidR="00FE6854">
        <w:rPr>
          <w:noProof/>
        </w:rPr>
        <w:t xml:space="preserve">, involving data centre operators, utilities, local authorities and investors. Problem 2 relates to </w:t>
      </w:r>
      <w:r w:rsidR="006B7F99">
        <w:rPr>
          <w:noProof/>
        </w:rPr>
        <w:t xml:space="preserve">the downstream market for cloud and AI computing services, characterised by distinct market structures, competitive dynamics and regulatory frameworks. Accordingly, </w:t>
      </w:r>
      <w:r w:rsidR="00350AC4">
        <w:rPr>
          <w:noProof/>
        </w:rPr>
        <w:t xml:space="preserve">the </w:t>
      </w:r>
      <w:r w:rsidR="006B7F99">
        <w:rPr>
          <w:noProof/>
        </w:rPr>
        <w:t>an</w:t>
      </w:r>
      <w:r w:rsidR="00854C69">
        <w:rPr>
          <w:noProof/>
        </w:rPr>
        <w:t>alys</w:t>
      </w:r>
      <w:r w:rsidR="00350AC4">
        <w:rPr>
          <w:noProof/>
        </w:rPr>
        <w:t>is of</w:t>
      </w:r>
      <w:r w:rsidR="00854C69">
        <w:rPr>
          <w:noProof/>
        </w:rPr>
        <w:t xml:space="preserve"> the root causes behind </w:t>
      </w:r>
      <w:r w:rsidR="008940F5">
        <w:rPr>
          <w:noProof/>
        </w:rPr>
        <w:t>these</w:t>
      </w:r>
      <w:r w:rsidR="00854C69">
        <w:rPr>
          <w:noProof/>
        </w:rPr>
        <w:t xml:space="preserve"> two problems </w:t>
      </w:r>
      <w:r w:rsidR="00022243">
        <w:rPr>
          <w:noProof/>
        </w:rPr>
        <w:t xml:space="preserve">is presented </w:t>
      </w:r>
      <w:r w:rsidR="00854C69">
        <w:rPr>
          <w:noProof/>
        </w:rPr>
        <w:t xml:space="preserve">separately, while acknowledging their interdependence. </w:t>
      </w:r>
      <w:r w:rsidR="00022243">
        <w:rPr>
          <w:noProof/>
        </w:rPr>
        <w:t>F</w:t>
      </w:r>
      <w:r w:rsidR="00970200">
        <w:rPr>
          <w:noProof/>
        </w:rPr>
        <w:t>our underlying drivers</w:t>
      </w:r>
      <w:r w:rsidR="00022243">
        <w:rPr>
          <w:noProof/>
        </w:rPr>
        <w:t xml:space="preserve"> are identified</w:t>
      </w:r>
      <w:r w:rsidR="00970200">
        <w:rPr>
          <w:noProof/>
        </w:rPr>
        <w:t>: one specific to Problem 1, two specific to Problem 2 and one common driver that affects both problems.</w:t>
      </w:r>
    </w:p>
    <w:p w14:paraId="12E17339" w14:textId="7120C9F9" w:rsidR="003110F4" w:rsidRPr="00134A8E" w:rsidRDefault="003110F4" w:rsidP="003110F4">
      <w:pPr>
        <w:rPr>
          <w:noProof/>
        </w:rPr>
      </w:pPr>
      <w:r w:rsidRPr="00525B76">
        <w:rPr>
          <w:noProof/>
        </w:rPr>
        <w:t>Problem 1</w:t>
      </w:r>
      <w:r w:rsidR="006F23AE">
        <w:rPr>
          <w:noProof/>
        </w:rPr>
        <w:t xml:space="preserve"> relate</w:t>
      </w:r>
      <w:r w:rsidR="00A411BF">
        <w:rPr>
          <w:noProof/>
        </w:rPr>
        <w:t>s</w:t>
      </w:r>
      <w:r w:rsidR="006F23AE">
        <w:rPr>
          <w:noProof/>
        </w:rPr>
        <w:t xml:space="preserve"> to the limited and geographically concentrated distribution of compute capacity</w:t>
      </w:r>
      <w:r w:rsidR="00B5200E">
        <w:rPr>
          <w:noProof/>
        </w:rPr>
        <w:t xml:space="preserve"> in the EU</w:t>
      </w:r>
      <w:r w:rsidR="00A411BF">
        <w:rPr>
          <w:noProof/>
        </w:rPr>
        <w:t xml:space="preserve">. </w:t>
      </w:r>
      <w:r w:rsidR="00B77162">
        <w:rPr>
          <w:noProof/>
        </w:rPr>
        <w:t xml:space="preserve">It </w:t>
      </w:r>
      <w:r w:rsidR="006F23AE">
        <w:rPr>
          <w:noProof/>
        </w:rPr>
        <w:t xml:space="preserve">stems from two underlying factors: </w:t>
      </w:r>
      <w:r w:rsidR="00792861">
        <w:rPr>
          <w:noProof/>
        </w:rPr>
        <w:t>one related to market dynamics and the other</w:t>
      </w:r>
      <w:r w:rsidR="00441C5D">
        <w:rPr>
          <w:noProof/>
        </w:rPr>
        <w:t xml:space="preserve"> to regulatory </w:t>
      </w:r>
      <w:r w:rsidR="00A1108F">
        <w:rPr>
          <w:noProof/>
        </w:rPr>
        <w:t>fragmentation.</w:t>
      </w:r>
      <w:r w:rsidR="006F23AE">
        <w:rPr>
          <w:noProof/>
        </w:rPr>
        <w:t xml:space="preserve"> </w:t>
      </w:r>
      <w:r w:rsidR="002144FC">
        <w:rPr>
          <w:noProof/>
        </w:rPr>
        <w:t>On</w:t>
      </w:r>
      <w:r w:rsidR="00E35C38">
        <w:rPr>
          <w:noProof/>
        </w:rPr>
        <w:t xml:space="preserve"> the first one,</w:t>
      </w:r>
      <w:r w:rsidR="00E62859">
        <w:rPr>
          <w:noProof/>
        </w:rPr>
        <w:t xml:space="preserve"> </w:t>
      </w:r>
      <w:r w:rsidR="00A76DE7">
        <w:rPr>
          <w:noProof/>
        </w:rPr>
        <w:t xml:space="preserve">first-mover advantage of non-EU providers </w:t>
      </w:r>
      <w:r w:rsidR="001C7A08">
        <w:rPr>
          <w:noProof/>
        </w:rPr>
        <w:t xml:space="preserve">reinforced by path dependency and network effects </w:t>
      </w:r>
      <w:r w:rsidR="00957EAA">
        <w:rPr>
          <w:noProof/>
        </w:rPr>
        <w:t xml:space="preserve">has led to </w:t>
      </w:r>
      <w:r w:rsidR="00242E13">
        <w:rPr>
          <w:noProof/>
        </w:rPr>
        <w:t xml:space="preserve">market entry barriers </w:t>
      </w:r>
      <w:r w:rsidR="00FD30F6">
        <w:rPr>
          <w:noProof/>
        </w:rPr>
        <w:t xml:space="preserve">that </w:t>
      </w:r>
      <w:r w:rsidR="00E62859">
        <w:rPr>
          <w:noProof/>
        </w:rPr>
        <w:t xml:space="preserve">limit </w:t>
      </w:r>
      <w:r w:rsidR="00FD30F6">
        <w:rPr>
          <w:noProof/>
        </w:rPr>
        <w:t xml:space="preserve">the </w:t>
      </w:r>
      <w:r w:rsidR="00E62859">
        <w:rPr>
          <w:noProof/>
        </w:rPr>
        <w:t xml:space="preserve">scale and scope of </w:t>
      </w:r>
      <w:r w:rsidR="008803B6" w:rsidRPr="00525B76">
        <w:rPr>
          <w:noProof/>
        </w:rPr>
        <w:t xml:space="preserve">EU cloud and AI computing service providers </w:t>
      </w:r>
      <w:r w:rsidR="008803B6">
        <w:rPr>
          <w:noProof/>
        </w:rPr>
        <w:t>(PD1)</w:t>
      </w:r>
      <w:r w:rsidR="009D3128">
        <w:rPr>
          <w:noProof/>
        </w:rPr>
        <w:t xml:space="preserve">, thus hindering </w:t>
      </w:r>
      <w:r w:rsidR="00CC306F">
        <w:rPr>
          <w:noProof/>
        </w:rPr>
        <w:t>the deployment</w:t>
      </w:r>
      <w:r w:rsidR="001C5A70">
        <w:rPr>
          <w:noProof/>
        </w:rPr>
        <w:t xml:space="preserve"> of capacity </w:t>
      </w:r>
      <w:r w:rsidR="007D3035">
        <w:rPr>
          <w:noProof/>
        </w:rPr>
        <w:t>in the EU</w:t>
      </w:r>
      <w:r w:rsidR="00283890">
        <w:rPr>
          <w:noProof/>
        </w:rPr>
        <w:t xml:space="preserve"> territory</w:t>
      </w:r>
      <w:r w:rsidR="001C5A70">
        <w:rPr>
          <w:noProof/>
        </w:rPr>
        <w:t xml:space="preserve">. </w:t>
      </w:r>
      <w:r w:rsidR="003F7775">
        <w:rPr>
          <w:noProof/>
        </w:rPr>
        <w:t>As for the second</w:t>
      </w:r>
      <w:r w:rsidR="007C0103">
        <w:rPr>
          <w:noProof/>
        </w:rPr>
        <w:t xml:space="preserve"> factor</w:t>
      </w:r>
      <w:r w:rsidR="003F7775">
        <w:rPr>
          <w:noProof/>
        </w:rPr>
        <w:t xml:space="preserve">, </w:t>
      </w:r>
      <w:r w:rsidR="002A11A2">
        <w:rPr>
          <w:noProof/>
        </w:rPr>
        <w:t xml:space="preserve">regulatory </w:t>
      </w:r>
      <w:r w:rsidR="0088326B">
        <w:rPr>
          <w:noProof/>
        </w:rPr>
        <w:t>fragmentation and bottlenecks</w:t>
      </w:r>
      <w:r w:rsidR="00131696">
        <w:rPr>
          <w:noProof/>
        </w:rPr>
        <w:t xml:space="preserve"> of a different nature </w:t>
      </w:r>
      <w:r w:rsidR="0088326B">
        <w:rPr>
          <w:noProof/>
        </w:rPr>
        <w:t xml:space="preserve">have </w:t>
      </w:r>
      <w:r w:rsidR="003F7775">
        <w:rPr>
          <w:noProof/>
        </w:rPr>
        <w:t xml:space="preserve">further </w:t>
      </w:r>
      <w:r w:rsidR="00CD6E89">
        <w:rPr>
          <w:noProof/>
        </w:rPr>
        <w:t>slowed down</w:t>
      </w:r>
      <w:r w:rsidR="005709D0">
        <w:rPr>
          <w:noProof/>
        </w:rPr>
        <w:t xml:space="preserve"> the</w:t>
      </w:r>
      <w:r w:rsidR="0088326B">
        <w:rPr>
          <w:noProof/>
        </w:rPr>
        <w:t xml:space="preserve"> expansion of data centres</w:t>
      </w:r>
      <w:r w:rsidR="008803B6">
        <w:rPr>
          <w:noProof/>
        </w:rPr>
        <w:t xml:space="preserve"> (PD2</w:t>
      </w:r>
      <w:r w:rsidR="00F327AA">
        <w:rPr>
          <w:noProof/>
        </w:rPr>
        <w:t>)</w:t>
      </w:r>
      <w:r w:rsidRPr="00134A8E">
        <w:rPr>
          <w:noProof/>
        </w:rPr>
        <w:t>, reduc</w:t>
      </w:r>
      <w:r w:rsidR="00622092">
        <w:rPr>
          <w:noProof/>
        </w:rPr>
        <w:t>ing</w:t>
      </w:r>
      <w:r w:rsidRPr="00134A8E">
        <w:rPr>
          <w:noProof/>
        </w:rPr>
        <w:t xml:space="preserve"> international investors’ interest, and thus contribut</w:t>
      </w:r>
      <w:r w:rsidR="00622092">
        <w:rPr>
          <w:noProof/>
        </w:rPr>
        <w:t>ing</w:t>
      </w:r>
      <w:r w:rsidRPr="00134A8E">
        <w:rPr>
          <w:noProof/>
        </w:rPr>
        <w:t xml:space="preserve"> to the limited computing capacity</w:t>
      </w:r>
      <w:r w:rsidR="005709D0">
        <w:rPr>
          <w:noProof/>
        </w:rPr>
        <w:t>,</w:t>
      </w:r>
      <w:r w:rsidRPr="00134A8E">
        <w:rPr>
          <w:noProof/>
        </w:rPr>
        <w:t xml:space="preserve"> while also reinforcing geographical imbalance</w:t>
      </w:r>
      <w:r w:rsidR="003E45CE">
        <w:rPr>
          <w:noProof/>
        </w:rPr>
        <w:t>s</w:t>
      </w:r>
      <w:r w:rsidRPr="00134A8E">
        <w:rPr>
          <w:noProof/>
        </w:rPr>
        <w:t xml:space="preserve">. </w:t>
      </w:r>
    </w:p>
    <w:p w14:paraId="6E0E08B4" w14:textId="58D7EA59" w:rsidR="003110F4" w:rsidRPr="00525B76" w:rsidRDefault="003110F4" w:rsidP="003110F4">
      <w:pPr>
        <w:rPr>
          <w:noProof/>
        </w:rPr>
      </w:pPr>
      <w:r w:rsidRPr="00525B76">
        <w:rPr>
          <w:noProof/>
        </w:rPr>
        <w:t>Problem 2</w:t>
      </w:r>
      <w:r w:rsidR="0045247C">
        <w:rPr>
          <w:noProof/>
        </w:rPr>
        <w:t xml:space="preserve"> concerns the dependence on cloud and AI computing services supplied by non-European providers.</w:t>
      </w:r>
      <w:r w:rsidRPr="00525B76">
        <w:rPr>
          <w:noProof/>
        </w:rPr>
        <w:t xml:space="preserve"> </w:t>
      </w:r>
      <w:r w:rsidR="0045247C">
        <w:rPr>
          <w:noProof/>
        </w:rPr>
        <w:t>L</w:t>
      </w:r>
      <w:r w:rsidRPr="00525B76">
        <w:rPr>
          <w:noProof/>
        </w:rPr>
        <w:t xml:space="preserve">ike problem 1, </w:t>
      </w:r>
      <w:r w:rsidR="0045247C">
        <w:rPr>
          <w:noProof/>
        </w:rPr>
        <w:t xml:space="preserve">it </w:t>
      </w:r>
      <w:r w:rsidRPr="00525B76">
        <w:rPr>
          <w:noProof/>
        </w:rPr>
        <w:t xml:space="preserve">is driven by the lack of scale and scope of EU cloud service providers (PD1), which makes reliance on non-European providers inevitable. </w:t>
      </w:r>
      <w:r w:rsidR="00BB6EE5">
        <w:rPr>
          <w:noProof/>
        </w:rPr>
        <w:t xml:space="preserve">The </w:t>
      </w:r>
      <w:r w:rsidRPr="00525B76">
        <w:rPr>
          <w:noProof/>
        </w:rPr>
        <w:t>limited public sector uptake of cloud and AI computing services supplied by European providers (PD3)</w:t>
      </w:r>
      <w:r w:rsidR="00EF0F02">
        <w:rPr>
          <w:noProof/>
        </w:rPr>
        <w:t xml:space="preserve">, </w:t>
      </w:r>
      <w:r w:rsidR="00EF0F02" w:rsidRPr="00525B76">
        <w:rPr>
          <w:noProof/>
        </w:rPr>
        <w:t>even in segments where local presence is essential</w:t>
      </w:r>
      <w:r w:rsidR="00EF0F02">
        <w:rPr>
          <w:noProof/>
        </w:rPr>
        <w:t xml:space="preserve">, </w:t>
      </w:r>
      <w:r w:rsidR="00E31F14">
        <w:rPr>
          <w:noProof/>
        </w:rPr>
        <w:t xml:space="preserve">further </w:t>
      </w:r>
      <w:r w:rsidR="007C77F8">
        <w:rPr>
          <w:noProof/>
        </w:rPr>
        <w:t>hampers the creation of a</w:t>
      </w:r>
      <w:r w:rsidR="004B10E9">
        <w:rPr>
          <w:noProof/>
        </w:rPr>
        <w:t xml:space="preserve"> </w:t>
      </w:r>
      <w:r w:rsidR="008F1896">
        <w:rPr>
          <w:noProof/>
        </w:rPr>
        <w:t>large,</w:t>
      </w:r>
      <w:r w:rsidR="008F1896" w:rsidRPr="00525B76">
        <w:rPr>
          <w:noProof/>
        </w:rPr>
        <w:t xml:space="preserve"> </w:t>
      </w:r>
      <w:r w:rsidR="008F1896">
        <w:rPr>
          <w:noProof/>
        </w:rPr>
        <w:t>unified demand</w:t>
      </w:r>
      <w:r w:rsidR="008F1896" w:rsidRPr="00525B76">
        <w:rPr>
          <w:noProof/>
        </w:rPr>
        <w:t xml:space="preserve"> for </w:t>
      </w:r>
      <w:r w:rsidR="00226108">
        <w:rPr>
          <w:noProof/>
        </w:rPr>
        <w:t xml:space="preserve">such </w:t>
      </w:r>
      <w:r w:rsidR="008F1896">
        <w:rPr>
          <w:noProof/>
        </w:rPr>
        <w:t>services</w:t>
      </w:r>
      <w:r w:rsidR="00FE1D3B">
        <w:rPr>
          <w:noProof/>
        </w:rPr>
        <w:t>. This</w:t>
      </w:r>
      <w:r w:rsidR="00515C40">
        <w:rPr>
          <w:noProof/>
        </w:rPr>
        <w:t xml:space="preserve"> </w:t>
      </w:r>
      <w:r w:rsidR="00E21632">
        <w:rPr>
          <w:noProof/>
        </w:rPr>
        <w:t>weaken</w:t>
      </w:r>
      <w:r w:rsidR="00FE1D3B">
        <w:rPr>
          <w:noProof/>
        </w:rPr>
        <w:t>s</w:t>
      </w:r>
      <w:r w:rsidR="008F1896" w:rsidRPr="00525B76">
        <w:rPr>
          <w:noProof/>
        </w:rPr>
        <w:t xml:space="preserve"> </w:t>
      </w:r>
      <w:r w:rsidR="00FE1D3B">
        <w:rPr>
          <w:noProof/>
        </w:rPr>
        <w:t>EU providers’</w:t>
      </w:r>
      <w:r w:rsidR="008F1896" w:rsidRPr="00525B76">
        <w:rPr>
          <w:noProof/>
        </w:rPr>
        <w:t xml:space="preserve"> ability to invest, </w:t>
      </w:r>
      <w:r w:rsidRPr="00525B76">
        <w:rPr>
          <w:noProof/>
        </w:rPr>
        <w:t xml:space="preserve">which results in foregone economic opportunities and deepens dependence. </w:t>
      </w:r>
      <w:r w:rsidR="00FE1D3B">
        <w:rPr>
          <w:noProof/>
        </w:rPr>
        <w:t>Finally, the</w:t>
      </w:r>
      <w:r w:rsidRPr="00525B76">
        <w:rPr>
          <w:noProof/>
        </w:rPr>
        <w:t xml:space="preserve"> absence of clarity around the concept of sovereign cloud and AI computing services (PD4) keeps European providers from commercially leveraging sovereignty as a distinguishing factor for themselves</w:t>
      </w:r>
      <w:r w:rsidR="004F323C">
        <w:rPr>
          <w:noProof/>
        </w:rPr>
        <w:t>, further contributing to the problem</w:t>
      </w:r>
      <w:r w:rsidRPr="00525B76">
        <w:rPr>
          <w:noProof/>
        </w:rPr>
        <w:t>.</w:t>
      </w:r>
    </w:p>
    <w:p w14:paraId="77C48137" w14:textId="138C152F" w:rsidR="0018043E" w:rsidRPr="0018043E" w:rsidRDefault="0018043E" w:rsidP="006662F4">
      <w:pPr>
        <w:pStyle w:val="Caption"/>
        <w:keepNext/>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4</w:t>
      </w:r>
      <w:r w:rsidRPr="00D37004">
        <w:rPr>
          <w:noProof/>
        </w:rPr>
        <w:fldChar w:fldCharType="end"/>
      </w:r>
      <w:r w:rsidRPr="00D37004">
        <w:rPr>
          <w:noProof/>
        </w:rPr>
        <w:t xml:space="preserve">. </w:t>
      </w:r>
      <w:r>
        <w:rPr>
          <w:noProof/>
        </w:rPr>
        <w:t>Problem tree</w:t>
      </w:r>
    </w:p>
    <w:p w14:paraId="2CFDCD04" w14:textId="3587AEF1" w:rsidR="00C0790F" w:rsidRPr="00C5642D" w:rsidRDefault="00C0212E" w:rsidP="007B3EA5">
      <w:pPr>
        <w:jc w:val="center"/>
        <w:rPr>
          <w:noProof/>
        </w:rPr>
      </w:pPr>
      <w:r>
        <w:rPr>
          <w:noProof/>
          <w:lang w:eastAsia="en-GB"/>
        </w:rPr>
        <w:drawing>
          <wp:inline distT="0" distB="0" distL="0" distR="0" wp14:anchorId="43F5211C" wp14:editId="3E12F1DB">
            <wp:extent cx="5530850" cy="2711265"/>
            <wp:effectExtent l="0" t="0" r="0" b="0"/>
            <wp:docPr id="1420890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87313" cy="2738944"/>
                    </a:xfrm>
                    <a:prstGeom prst="rect">
                      <a:avLst/>
                    </a:prstGeom>
                    <a:noFill/>
                  </pic:spPr>
                </pic:pic>
              </a:graphicData>
            </a:graphic>
          </wp:inline>
        </w:drawing>
      </w:r>
    </w:p>
    <w:p w14:paraId="6471ACC7" w14:textId="4F2760B7" w:rsidR="00E61374" w:rsidRPr="00D37004" w:rsidRDefault="00E61374" w:rsidP="00B34AF7">
      <w:pPr>
        <w:pStyle w:val="Heading3"/>
        <w:spacing w:before="120"/>
        <w:rPr>
          <w:noProof/>
        </w:rPr>
      </w:pPr>
      <w:r>
        <w:rPr>
          <w:noProof/>
        </w:rPr>
        <w:t>Problem Driver 1 (PD1): Lack of scale and scope of European cloud and AI computing service providers</w:t>
      </w:r>
    </w:p>
    <w:p w14:paraId="55F92458" w14:textId="435ABDB7" w:rsidR="00DB332E" w:rsidRDefault="00DB332E" w:rsidP="00E61374">
      <w:pPr>
        <w:rPr>
          <w:noProof/>
        </w:rPr>
      </w:pPr>
      <w:r>
        <w:rPr>
          <w:noProof/>
        </w:rPr>
        <w:t>An important</w:t>
      </w:r>
      <w:r w:rsidR="00D26240">
        <w:rPr>
          <w:noProof/>
        </w:rPr>
        <w:t xml:space="preserve"> </w:t>
      </w:r>
      <w:r w:rsidR="00320CED">
        <w:rPr>
          <w:noProof/>
        </w:rPr>
        <w:t>driver</w:t>
      </w:r>
      <w:r w:rsidR="00D26240">
        <w:rPr>
          <w:noProof/>
        </w:rPr>
        <w:t xml:space="preserve"> behind the limited and geographically concentrated </w:t>
      </w:r>
      <w:r w:rsidR="00B23C2D">
        <w:rPr>
          <w:noProof/>
        </w:rPr>
        <w:t xml:space="preserve">availability of </w:t>
      </w:r>
      <w:r w:rsidR="005455F7">
        <w:rPr>
          <w:noProof/>
        </w:rPr>
        <w:t xml:space="preserve">EU-native </w:t>
      </w:r>
      <w:r w:rsidR="00D26240">
        <w:rPr>
          <w:noProof/>
        </w:rPr>
        <w:t xml:space="preserve">computing capacity </w:t>
      </w:r>
      <w:r w:rsidR="00C47E64">
        <w:rPr>
          <w:noProof/>
        </w:rPr>
        <w:t xml:space="preserve">and services </w:t>
      </w:r>
      <w:r w:rsidR="00D26240">
        <w:rPr>
          <w:noProof/>
        </w:rPr>
        <w:t xml:space="preserve">is </w:t>
      </w:r>
      <w:r w:rsidR="00320CED">
        <w:rPr>
          <w:noProof/>
        </w:rPr>
        <w:t xml:space="preserve">rooted in the </w:t>
      </w:r>
      <w:r w:rsidR="00634CB8">
        <w:rPr>
          <w:noProof/>
        </w:rPr>
        <w:t xml:space="preserve">comparatively small scale of European providers relative to global hyperscalers, </w:t>
      </w:r>
      <w:r w:rsidR="004439B2">
        <w:rPr>
          <w:noProof/>
        </w:rPr>
        <w:t xml:space="preserve">as </w:t>
      </w:r>
      <w:r w:rsidR="00011EC9">
        <w:rPr>
          <w:noProof/>
        </w:rPr>
        <w:t xml:space="preserve">a </w:t>
      </w:r>
      <w:r w:rsidR="004439B2">
        <w:rPr>
          <w:noProof/>
        </w:rPr>
        <w:t>result of the</w:t>
      </w:r>
      <w:r w:rsidR="00634CB8">
        <w:rPr>
          <w:noProof/>
        </w:rPr>
        <w:t xml:space="preserve"> </w:t>
      </w:r>
      <w:r w:rsidR="00B40B13">
        <w:rPr>
          <w:noProof/>
        </w:rPr>
        <w:t xml:space="preserve">rapid </w:t>
      </w:r>
      <w:r w:rsidR="00320CED">
        <w:rPr>
          <w:noProof/>
        </w:rPr>
        <w:t>development of the data centre</w:t>
      </w:r>
      <w:r w:rsidR="009A0C3A">
        <w:rPr>
          <w:noProof/>
        </w:rPr>
        <w:t xml:space="preserve"> </w:t>
      </w:r>
      <w:r w:rsidR="00634CB8">
        <w:rPr>
          <w:noProof/>
        </w:rPr>
        <w:t>and cloud sector</w:t>
      </w:r>
      <w:r w:rsidR="004439B2">
        <w:rPr>
          <w:noProof/>
        </w:rPr>
        <w:t xml:space="preserve"> in the EU</w:t>
      </w:r>
      <w:r w:rsidR="0007049C">
        <w:rPr>
          <w:noProof/>
        </w:rPr>
        <w:t>. N</w:t>
      </w:r>
      <w:r w:rsidR="00C420F4">
        <w:rPr>
          <w:noProof/>
        </w:rPr>
        <w:t>otably between the years 2017 and 2021</w:t>
      </w:r>
      <w:r w:rsidR="004E75E0">
        <w:rPr>
          <w:noProof/>
        </w:rPr>
        <w:t>,</w:t>
      </w:r>
      <w:r w:rsidR="00261639">
        <w:rPr>
          <w:noProof/>
        </w:rPr>
        <w:t xml:space="preserve"> </w:t>
      </w:r>
      <w:r w:rsidR="0007049C">
        <w:rPr>
          <w:noProof/>
        </w:rPr>
        <w:t>this</w:t>
      </w:r>
      <w:r w:rsidR="00C40C63">
        <w:rPr>
          <w:noProof/>
        </w:rPr>
        <w:t xml:space="preserve"> </w:t>
      </w:r>
      <w:r w:rsidR="00482610">
        <w:rPr>
          <w:noProof/>
        </w:rPr>
        <w:t>led</w:t>
      </w:r>
      <w:r w:rsidR="00DB42E4">
        <w:rPr>
          <w:noProof/>
        </w:rPr>
        <w:t xml:space="preserve"> to a</w:t>
      </w:r>
      <w:r w:rsidR="00C32E1E">
        <w:rPr>
          <w:noProof/>
        </w:rPr>
        <w:t xml:space="preserve"> </w:t>
      </w:r>
      <w:r w:rsidR="0011387E">
        <w:rPr>
          <w:noProof/>
        </w:rPr>
        <w:t>significant market concentration</w:t>
      </w:r>
      <w:r w:rsidR="00C40C63">
        <w:rPr>
          <w:noProof/>
        </w:rPr>
        <w:t xml:space="preserve"> </w:t>
      </w:r>
      <w:r w:rsidR="00DB42E4">
        <w:rPr>
          <w:noProof/>
        </w:rPr>
        <w:t xml:space="preserve">around only a few </w:t>
      </w:r>
      <w:r w:rsidR="00C40C63">
        <w:rPr>
          <w:noProof/>
        </w:rPr>
        <w:t xml:space="preserve">non-European market </w:t>
      </w:r>
      <w:r w:rsidR="00DB42E4">
        <w:rPr>
          <w:noProof/>
        </w:rPr>
        <w:t xml:space="preserve">incumbents well-placed to respond to the growing demand at scale </w:t>
      </w:r>
      <w:r w:rsidR="006113DB">
        <w:rPr>
          <w:noProof/>
        </w:rPr>
        <w:t xml:space="preserve">which was </w:t>
      </w:r>
      <w:r w:rsidR="0007049C">
        <w:rPr>
          <w:noProof/>
        </w:rPr>
        <w:t>out of reach for their European competitors</w:t>
      </w:r>
      <w:r w:rsidR="00634CB8">
        <w:rPr>
          <w:noProof/>
        </w:rPr>
        <w:t>.</w:t>
      </w:r>
    </w:p>
    <w:p w14:paraId="6C4E5024" w14:textId="08121AF4" w:rsidR="007041CE" w:rsidRDefault="00290B1E" w:rsidP="00E61374">
      <w:pPr>
        <w:rPr>
          <w:noProof/>
        </w:rPr>
      </w:pPr>
      <w:r>
        <w:rPr>
          <w:noProof/>
        </w:rPr>
        <w:t xml:space="preserve">As </w:t>
      </w:r>
      <w:r w:rsidR="008272CD">
        <w:rPr>
          <w:noProof/>
        </w:rPr>
        <w:t>discussed</w:t>
      </w:r>
      <w:r>
        <w:rPr>
          <w:noProof/>
        </w:rPr>
        <w:t xml:space="preserve"> </w:t>
      </w:r>
      <w:r w:rsidR="0003664E">
        <w:rPr>
          <w:noProof/>
        </w:rPr>
        <w:t>under</w:t>
      </w:r>
      <w:r w:rsidR="008C51C6">
        <w:rPr>
          <w:noProof/>
        </w:rPr>
        <w:t xml:space="preserve"> section 2.1</w:t>
      </w:r>
      <w:r>
        <w:rPr>
          <w:noProof/>
        </w:rPr>
        <w:t>, historically</w:t>
      </w:r>
      <w:r w:rsidR="006B7A8D">
        <w:rPr>
          <w:noProof/>
        </w:rPr>
        <w:t>, the</w:t>
      </w:r>
      <w:r w:rsidR="00BC4B7D">
        <w:rPr>
          <w:noProof/>
        </w:rPr>
        <w:t xml:space="preserve"> earlier cloud computing services were developed in the United States</w:t>
      </w:r>
      <w:r w:rsidR="00892D20">
        <w:rPr>
          <w:noProof/>
        </w:rPr>
        <w:t>.</w:t>
      </w:r>
      <w:r w:rsidR="0013228A">
        <w:rPr>
          <w:noProof/>
        </w:rPr>
        <w:t xml:space="preserve"> Their early scale advantage reinforced their position as the world’s leading data centre hub</w:t>
      </w:r>
      <w:r w:rsidR="0013228A" w:rsidRPr="00D37004">
        <w:rPr>
          <w:rStyle w:val="EndnoteReference"/>
          <w:noProof/>
        </w:rPr>
        <w:endnoteReference w:id="92"/>
      </w:r>
      <w:r w:rsidR="0013228A">
        <w:rPr>
          <w:noProof/>
        </w:rPr>
        <w:t>, which US providers leveraged for global service provision. H</w:t>
      </w:r>
      <w:r w:rsidR="00BC4B7D">
        <w:rPr>
          <w:noProof/>
        </w:rPr>
        <w:t>yperscalers invest</w:t>
      </w:r>
      <w:r w:rsidR="0013228A">
        <w:rPr>
          <w:noProof/>
        </w:rPr>
        <w:t>ed</w:t>
      </w:r>
      <w:r w:rsidR="00BC4B7D">
        <w:rPr>
          <w:noProof/>
        </w:rPr>
        <w:t xml:space="preserve"> aggressively in infrastructure, and building networks of data centres </w:t>
      </w:r>
      <w:r w:rsidR="00892D20">
        <w:rPr>
          <w:noProof/>
        </w:rPr>
        <w:t xml:space="preserve">connected </w:t>
      </w:r>
      <w:r w:rsidR="00E652A3">
        <w:rPr>
          <w:noProof/>
        </w:rPr>
        <w:t>via submarine cables</w:t>
      </w:r>
      <w:r w:rsidR="0013228A">
        <w:rPr>
          <w:noProof/>
        </w:rPr>
        <w:t xml:space="preserve"> that enabled data flows into European markets</w:t>
      </w:r>
      <w:r w:rsidR="00C863F3">
        <w:rPr>
          <w:rStyle w:val="EndnoteReference"/>
          <w:noProof/>
        </w:rPr>
        <w:endnoteReference w:id="93"/>
      </w:r>
      <w:r w:rsidR="00E652A3">
        <w:rPr>
          <w:noProof/>
        </w:rPr>
        <w:t xml:space="preserve">. </w:t>
      </w:r>
      <w:r w:rsidR="006303E6">
        <w:rPr>
          <w:noProof/>
        </w:rPr>
        <w:t xml:space="preserve">This </w:t>
      </w:r>
      <w:r w:rsidR="00D26A53" w:rsidRPr="00FE5F28">
        <w:rPr>
          <w:noProof/>
        </w:rPr>
        <w:t xml:space="preserve">first-mover </w:t>
      </w:r>
      <w:r w:rsidR="008A24E0" w:rsidRPr="00FE5F28">
        <w:rPr>
          <w:noProof/>
        </w:rPr>
        <w:t>advantage</w:t>
      </w:r>
      <w:r w:rsidR="00D26A53" w:rsidRPr="00FE5F28">
        <w:rPr>
          <w:noProof/>
        </w:rPr>
        <w:t xml:space="preserve"> </w:t>
      </w:r>
      <w:r w:rsidR="006303E6">
        <w:rPr>
          <w:noProof/>
        </w:rPr>
        <w:t xml:space="preserve">reinforced their leadership in the continent, setting a </w:t>
      </w:r>
      <w:r w:rsidR="006303E6" w:rsidRPr="00D401A1">
        <w:rPr>
          <w:b/>
          <w:i/>
          <w:noProof/>
        </w:rPr>
        <w:t xml:space="preserve">high entry </w:t>
      </w:r>
      <w:r w:rsidR="00175DD5" w:rsidRPr="00D401A1">
        <w:rPr>
          <w:b/>
          <w:i/>
          <w:noProof/>
        </w:rPr>
        <w:t xml:space="preserve">and growth </w:t>
      </w:r>
      <w:r w:rsidR="006303E6" w:rsidRPr="00D401A1">
        <w:rPr>
          <w:b/>
          <w:i/>
          <w:noProof/>
        </w:rPr>
        <w:t>barrier for European providers</w:t>
      </w:r>
      <w:r w:rsidR="00A11FE8">
        <w:rPr>
          <w:noProof/>
        </w:rPr>
        <w:t>.</w:t>
      </w:r>
      <w:r w:rsidR="00412685" w:rsidDel="00320CED">
        <w:rPr>
          <w:noProof/>
        </w:rPr>
        <w:t xml:space="preserve"> </w:t>
      </w:r>
    </w:p>
    <w:p w14:paraId="76D53460" w14:textId="7922C69D" w:rsidR="002513CD" w:rsidRDefault="008A24E0" w:rsidP="00E61374">
      <w:pPr>
        <w:rPr>
          <w:noProof/>
          <w:lang w:val="en-IE"/>
        </w:rPr>
      </w:pPr>
      <w:r>
        <w:rPr>
          <w:noProof/>
        </w:rPr>
        <w:t>H</w:t>
      </w:r>
      <w:r w:rsidR="00D24B55">
        <w:rPr>
          <w:noProof/>
        </w:rPr>
        <w:t>yperscalers</w:t>
      </w:r>
      <w:r w:rsidDel="00BB1C51">
        <w:rPr>
          <w:noProof/>
        </w:rPr>
        <w:t xml:space="preserve"> </w:t>
      </w:r>
      <w:r w:rsidR="00BB1C51">
        <w:rPr>
          <w:noProof/>
        </w:rPr>
        <w:t>leveraged</w:t>
      </w:r>
      <w:r>
        <w:rPr>
          <w:noProof/>
        </w:rPr>
        <w:t xml:space="preserve"> their scale to </w:t>
      </w:r>
      <w:r w:rsidR="00D84791">
        <w:rPr>
          <w:noProof/>
        </w:rPr>
        <w:t xml:space="preserve">standardise services, invest in </w:t>
      </w:r>
      <w:r w:rsidR="00DD7798">
        <w:rPr>
          <w:noProof/>
        </w:rPr>
        <w:t>innovation</w:t>
      </w:r>
      <w:r w:rsidR="00D84791">
        <w:rPr>
          <w:noProof/>
        </w:rPr>
        <w:t xml:space="preserve"> and accumulate the financial resources </w:t>
      </w:r>
      <w:r w:rsidR="002E6B2D">
        <w:rPr>
          <w:noProof/>
        </w:rPr>
        <w:t xml:space="preserve">to </w:t>
      </w:r>
      <w:r w:rsidR="00E61374" w:rsidRPr="00D37004">
        <w:rPr>
          <w:noProof/>
        </w:rPr>
        <w:t>deploy compute capacity</w:t>
      </w:r>
      <w:r w:rsidR="00E61374" w:rsidRPr="00D37004" w:rsidDel="00322F2A">
        <w:rPr>
          <w:noProof/>
        </w:rPr>
        <w:t xml:space="preserve"> </w:t>
      </w:r>
      <w:r w:rsidR="00E61374" w:rsidRPr="00D37004">
        <w:rPr>
          <w:noProof/>
        </w:rPr>
        <w:t xml:space="preserve">globally: </w:t>
      </w:r>
      <w:r w:rsidR="002E6B2D">
        <w:rPr>
          <w:noProof/>
        </w:rPr>
        <w:t xml:space="preserve">today </w:t>
      </w:r>
      <w:r w:rsidR="00E61374" w:rsidRPr="00D37004">
        <w:rPr>
          <w:noProof/>
        </w:rPr>
        <w:t xml:space="preserve">the AWS cloud spans 117 availability zones </w:t>
      </w:r>
      <w:r w:rsidR="00CB256B">
        <w:rPr>
          <w:noProof/>
        </w:rPr>
        <w:t>(AZs)</w:t>
      </w:r>
      <w:r w:rsidR="00E61374" w:rsidRPr="00D37004">
        <w:rPr>
          <w:noProof/>
        </w:rPr>
        <w:t xml:space="preserve"> within 37 geographical regions</w:t>
      </w:r>
      <w:r w:rsidR="00E61374" w:rsidRPr="00D37004">
        <w:rPr>
          <w:rStyle w:val="EndnoteReference"/>
          <w:noProof/>
        </w:rPr>
        <w:endnoteReference w:id="94"/>
      </w:r>
      <w:r w:rsidR="000D1334">
        <w:rPr>
          <w:noProof/>
        </w:rPr>
        <w:t xml:space="preserve">. By comparison, </w:t>
      </w:r>
      <w:r w:rsidR="00E61374" w:rsidRPr="00D37004">
        <w:rPr>
          <w:noProof/>
        </w:rPr>
        <w:t xml:space="preserve">OVHcloud has 37 </w:t>
      </w:r>
      <w:r w:rsidR="00CB256B">
        <w:rPr>
          <w:noProof/>
        </w:rPr>
        <w:t>AZ</w:t>
      </w:r>
      <w:r w:rsidR="00E61374" w:rsidRPr="00D37004">
        <w:rPr>
          <w:noProof/>
        </w:rPr>
        <w:t>s</w:t>
      </w:r>
      <w:r w:rsidR="00E61374" w:rsidRPr="00D37004">
        <w:rPr>
          <w:rStyle w:val="EndnoteReference"/>
          <w:noProof/>
        </w:rPr>
        <w:endnoteReference w:id="95"/>
      </w:r>
      <w:r w:rsidR="00E61374" w:rsidRPr="00D37004">
        <w:rPr>
          <w:noProof/>
        </w:rPr>
        <w:t>.</w:t>
      </w:r>
      <w:r w:rsidR="00E61374" w:rsidRPr="00D37004" w:rsidDel="00CD04EF">
        <w:rPr>
          <w:noProof/>
        </w:rPr>
        <w:t xml:space="preserve"> </w:t>
      </w:r>
      <w:r w:rsidR="005962E8">
        <w:rPr>
          <w:noProof/>
        </w:rPr>
        <w:t xml:space="preserve">Due to their comparatively </w:t>
      </w:r>
      <w:r w:rsidR="005962E8" w:rsidRPr="00D401A1">
        <w:rPr>
          <w:b/>
          <w:i/>
          <w:noProof/>
        </w:rPr>
        <w:t xml:space="preserve">higher </w:t>
      </w:r>
      <w:r w:rsidR="00AD7B0D" w:rsidRPr="00D401A1">
        <w:rPr>
          <w:b/>
          <w:i/>
          <w:noProof/>
        </w:rPr>
        <w:t>scale and financing advantages</w:t>
      </w:r>
      <w:r w:rsidR="004419D6">
        <w:rPr>
          <w:rStyle w:val="EndnoteReference"/>
          <w:noProof/>
        </w:rPr>
        <w:endnoteReference w:id="96"/>
      </w:r>
      <w:r w:rsidR="005962E8">
        <w:rPr>
          <w:noProof/>
        </w:rPr>
        <w:t xml:space="preserve">, the ongoing expansion of data centre capacity </w:t>
      </w:r>
      <w:r w:rsidR="00C32AD0">
        <w:rPr>
          <w:noProof/>
        </w:rPr>
        <w:t xml:space="preserve">in the EU </w:t>
      </w:r>
      <w:r w:rsidR="005962E8">
        <w:rPr>
          <w:noProof/>
        </w:rPr>
        <w:t xml:space="preserve">is driven by non-European </w:t>
      </w:r>
      <w:r w:rsidR="009E53F3">
        <w:rPr>
          <w:noProof/>
        </w:rPr>
        <w:t>CSPs</w:t>
      </w:r>
      <w:r w:rsidR="004341F4">
        <w:rPr>
          <w:rStyle w:val="EndnoteReference"/>
          <w:noProof/>
        </w:rPr>
        <w:endnoteReference w:id="97"/>
      </w:r>
      <w:r w:rsidR="00751D17">
        <w:rPr>
          <w:noProof/>
        </w:rPr>
        <w:t xml:space="preserve">. </w:t>
      </w:r>
      <w:r w:rsidR="00AD1D58">
        <w:rPr>
          <w:noProof/>
        </w:rPr>
        <w:t xml:space="preserve">As demand for local capacity grows, hyperscalers are able to secure land and grid </w:t>
      </w:r>
      <w:r w:rsidR="005E37D3">
        <w:rPr>
          <w:noProof/>
        </w:rPr>
        <w:t>access</w:t>
      </w:r>
      <w:r w:rsidR="00AD1D58">
        <w:rPr>
          <w:noProof/>
        </w:rPr>
        <w:t xml:space="preserve"> for their own data centres and </w:t>
      </w:r>
      <w:r w:rsidR="005E37D3">
        <w:rPr>
          <w:noProof/>
        </w:rPr>
        <w:t>(pre)</w:t>
      </w:r>
      <w:r w:rsidR="00AD1D58">
        <w:rPr>
          <w:noProof/>
        </w:rPr>
        <w:t xml:space="preserve">lease large amounts of co-location data centre space, </w:t>
      </w:r>
      <w:r w:rsidR="001431DF">
        <w:rPr>
          <w:noProof/>
        </w:rPr>
        <w:t xml:space="preserve">thus becoming anchor </w:t>
      </w:r>
      <w:r w:rsidR="00A3593E">
        <w:rPr>
          <w:noProof/>
        </w:rPr>
        <w:t>tenants</w:t>
      </w:r>
      <w:r w:rsidR="001431DF">
        <w:rPr>
          <w:noProof/>
        </w:rPr>
        <w:t xml:space="preserve"> for larger sites, </w:t>
      </w:r>
      <w:r w:rsidR="00AD1D58">
        <w:rPr>
          <w:noProof/>
        </w:rPr>
        <w:t>while European CSPs struggle to access the same resources for developing digital infrastructure</w:t>
      </w:r>
      <w:r w:rsidR="00AD1D58">
        <w:rPr>
          <w:rStyle w:val="EndnoteReference"/>
          <w:noProof/>
        </w:rPr>
        <w:endnoteReference w:id="98"/>
      </w:r>
      <w:r w:rsidR="001906A2">
        <w:rPr>
          <w:noProof/>
        </w:rPr>
        <w:t xml:space="preserve"> and are</w:t>
      </w:r>
      <w:r w:rsidR="00AD1D58" w:rsidRPr="00D37004" w:rsidDel="001906A2">
        <w:rPr>
          <w:noProof/>
        </w:rPr>
        <w:t xml:space="preserve"> </w:t>
      </w:r>
      <w:r w:rsidR="001906A2">
        <w:rPr>
          <w:noProof/>
        </w:rPr>
        <w:t xml:space="preserve">relegated to residual capacity under less attractive conditions. </w:t>
      </w:r>
      <w:r w:rsidR="00C64852">
        <w:rPr>
          <w:noProof/>
        </w:rPr>
        <w:t xml:space="preserve">This is visible in the geography of Europe’s data centres: the FLAPD hubs (Frankfurt, London, Amsterdam, Paris and Dublin) </w:t>
      </w:r>
      <w:r w:rsidR="00AA3CB5">
        <w:rPr>
          <w:noProof/>
        </w:rPr>
        <w:t>comprise</w:t>
      </w:r>
      <w:r w:rsidR="00C64852">
        <w:rPr>
          <w:noProof/>
        </w:rPr>
        <w:t xml:space="preserve"> over </w:t>
      </w:r>
      <w:r w:rsidR="00E6183E">
        <w:rPr>
          <w:noProof/>
        </w:rPr>
        <w:t>60</w:t>
      </w:r>
      <w:r w:rsidR="00C64852">
        <w:rPr>
          <w:noProof/>
        </w:rPr>
        <w:t>% of operational capacity and around half of the new and planned capacity</w:t>
      </w:r>
      <w:r w:rsidR="001D753D">
        <w:rPr>
          <w:noProof/>
        </w:rPr>
        <w:t xml:space="preserve"> is</w:t>
      </w:r>
      <w:r w:rsidR="00C64852">
        <w:rPr>
          <w:noProof/>
        </w:rPr>
        <w:t xml:space="preserve"> mainly drive</w:t>
      </w:r>
      <w:r w:rsidR="00532A81">
        <w:rPr>
          <w:noProof/>
        </w:rPr>
        <w:t>n</w:t>
      </w:r>
      <w:r w:rsidR="00C64852">
        <w:rPr>
          <w:noProof/>
        </w:rPr>
        <w:t xml:space="preserve"> by hyperscalers pre</w:t>
      </w:r>
      <w:r w:rsidR="00AA3CB5">
        <w:rPr>
          <w:noProof/>
        </w:rPr>
        <w:t>-leasing and committed projects</w:t>
      </w:r>
      <w:r w:rsidR="00E80E08">
        <w:rPr>
          <w:rStyle w:val="EndnoteReference"/>
          <w:noProof/>
        </w:rPr>
        <w:endnoteReference w:id="99"/>
      </w:r>
      <w:r w:rsidR="00AA3CB5">
        <w:rPr>
          <w:noProof/>
        </w:rPr>
        <w:t>.</w:t>
      </w:r>
      <w:r w:rsidR="00AE5E6B">
        <w:rPr>
          <w:noProof/>
        </w:rPr>
        <w:t xml:space="preserve"> </w:t>
      </w:r>
      <w:r w:rsidR="00AE5E6B" w:rsidRPr="00A9706B">
        <w:rPr>
          <w:noProof/>
        </w:rPr>
        <w:t>Scale and scope advantages</w:t>
      </w:r>
      <w:r w:rsidR="00AE6654" w:rsidRPr="00A9706B">
        <w:rPr>
          <w:noProof/>
        </w:rPr>
        <w:t xml:space="preserve"> </w:t>
      </w:r>
      <w:r w:rsidR="0048741B" w:rsidRPr="00A9706B">
        <w:rPr>
          <w:noProof/>
        </w:rPr>
        <w:t>of large providers reinforce</w:t>
      </w:r>
      <w:r w:rsidR="0048741B" w:rsidRPr="00215510">
        <w:rPr>
          <w:b/>
          <w:i/>
          <w:noProof/>
        </w:rPr>
        <w:t xml:space="preserve"> </w:t>
      </w:r>
      <w:r w:rsidR="0048741B" w:rsidRPr="00E100D3">
        <w:rPr>
          <w:noProof/>
        </w:rPr>
        <w:t>the convenience of building in existing hubs</w:t>
      </w:r>
      <w:r w:rsidR="0048741B">
        <w:rPr>
          <w:noProof/>
        </w:rPr>
        <w:t>.</w:t>
      </w:r>
    </w:p>
    <w:p w14:paraId="77FE37B7" w14:textId="6F9385A8" w:rsidR="00E61374" w:rsidRDefault="00F02298" w:rsidP="00E61374">
      <w:pPr>
        <w:rPr>
          <w:noProof/>
        </w:rPr>
      </w:pPr>
      <w:r>
        <w:rPr>
          <w:noProof/>
        </w:rPr>
        <w:t>Faced with these market dynamics, m</w:t>
      </w:r>
      <w:r w:rsidR="0060305C">
        <w:rPr>
          <w:noProof/>
        </w:rPr>
        <w:t xml:space="preserve">ost European providers remain smaller, specialised and nationally fragmented, lacking the scale, scope or cross-border integration to deliver comparable cloud services. </w:t>
      </w:r>
      <w:r w:rsidR="00577329">
        <w:rPr>
          <w:noProof/>
        </w:rPr>
        <w:t>C</w:t>
      </w:r>
      <w:r w:rsidR="00250F48">
        <w:rPr>
          <w:noProof/>
        </w:rPr>
        <w:t>omparatively lower revenues reduce the</w:t>
      </w:r>
      <w:r w:rsidR="00577329">
        <w:rPr>
          <w:noProof/>
        </w:rPr>
        <w:t>ir</w:t>
      </w:r>
      <w:r w:rsidR="00250F48">
        <w:rPr>
          <w:noProof/>
        </w:rPr>
        <w:t xml:space="preserve"> ability to invest in infrastructure expansion or innovation</w:t>
      </w:r>
      <w:r w:rsidR="00250F48">
        <w:rPr>
          <w:rStyle w:val="EndnoteReference"/>
          <w:noProof/>
        </w:rPr>
        <w:endnoteReference w:id="100"/>
      </w:r>
      <w:r w:rsidR="00250F48">
        <w:rPr>
          <w:noProof/>
        </w:rPr>
        <w:t>. Google, for example, spent USD 9.6 bn on DCs across the globe in Q3 2025 only</w:t>
      </w:r>
      <w:r w:rsidR="00250F48">
        <w:rPr>
          <w:rStyle w:val="EndnoteReference"/>
          <w:noProof/>
        </w:rPr>
        <w:endnoteReference w:id="101"/>
      </w:r>
      <w:r w:rsidR="00250F48">
        <w:rPr>
          <w:noProof/>
        </w:rPr>
        <w:t>. The capital expenditure of OVHCloud for the entire financial year 2025 amounts to EUR 361.4 m with EUR 51 m devoted to infrastructure and networks</w:t>
      </w:r>
      <w:r w:rsidR="00250F48">
        <w:rPr>
          <w:rStyle w:val="EndnoteReference"/>
          <w:noProof/>
        </w:rPr>
        <w:endnoteReference w:id="102"/>
      </w:r>
      <w:r w:rsidR="00250F48">
        <w:rPr>
          <w:noProof/>
        </w:rPr>
        <w:t xml:space="preserve">. </w:t>
      </w:r>
      <w:r w:rsidR="00231EC8">
        <w:rPr>
          <w:noProof/>
        </w:rPr>
        <w:t xml:space="preserve">Taken together, these factors </w:t>
      </w:r>
      <w:r w:rsidR="00E53728">
        <w:rPr>
          <w:noProof/>
        </w:rPr>
        <w:t xml:space="preserve">(a) </w:t>
      </w:r>
      <w:r w:rsidR="00231EC8">
        <w:rPr>
          <w:noProof/>
        </w:rPr>
        <w:t xml:space="preserve">reinforce the structural advantage of large non-EU providers in securing key resources at scale, </w:t>
      </w:r>
      <w:r w:rsidR="00E53728">
        <w:rPr>
          <w:noProof/>
        </w:rPr>
        <w:t xml:space="preserve">(b) </w:t>
      </w:r>
      <w:r w:rsidR="00231EC8">
        <w:rPr>
          <w:noProof/>
        </w:rPr>
        <w:t>further constrain the ability of European providers to expand</w:t>
      </w:r>
      <w:r w:rsidR="00E53728">
        <w:rPr>
          <w:noProof/>
        </w:rPr>
        <w:t xml:space="preserve">, and </w:t>
      </w:r>
      <w:r w:rsidR="00915958">
        <w:rPr>
          <w:noProof/>
        </w:rPr>
        <w:t xml:space="preserve">(c) </w:t>
      </w:r>
      <w:r w:rsidR="005B5754">
        <w:rPr>
          <w:noProof/>
        </w:rPr>
        <w:t>contribute to</w:t>
      </w:r>
      <w:r w:rsidR="0059289E">
        <w:rPr>
          <w:noProof/>
        </w:rPr>
        <w:t xml:space="preserve"> the </w:t>
      </w:r>
      <w:r>
        <w:rPr>
          <w:noProof/>
        </w:rPr>
        <w:t>current</w:t>
      </w:r>
      <w:r w:rsidR="0059289E">
        <w:rPr>
          <w:noProof/>
        </w:rPr>
        <w:t xml:space="preserve"> shortage </w:t>
      </w:r>
      <w:r w:rsidR="00675294">
        <w:rPr>
          <w:noProof/>
        </w:rPr>
        <w:t xml:space="preserve">and spatial concentration </w:t>
      </w:r>
      <w:r w:rsidR="0059289E">
        <w:rPr>
          <w:noProof/>
        </w:rPr>
        <w:t xml:space="preserve">of computing capacity in </w:t>
      </w:r>
      <w:r w:rsidR="00675294">
        <w:rPr>
          <w:noProof/>
        </w:rPr>
        <w:t>a few established hubs</w:t>
      </w:r>
      <w:r w:rsidR="0059289E">
        <w:rPr>
          <w:noProof/>
        </w:rPr>
        <w:t>, leaving significant areas of the Union under-served</w:t>
      </w:r>
      <w:r w:rsidR="00B53328">
        <w:rPr>
          <w:noProof/>
        </w:rPr>
        <w:t xml:space="preserve"> in terms of local compute</w:t>
      </w:r>
      <w:r w:rsidR="0059289E">
        <w:rPr>
          <w:noProof/>
        </w:rPr>
        <w:t xml:space="preserve">. </w:t>
      </w:r>
    </w:p>
    <w:p w14:paraId="7768366F" w14:textId="6D1247CD" w:rsidR="0015229D" w:rsidRDefault="00B53328" w:rsidP="00F9313F">
      <w:pPr>
        <w:rPr>
          <w:noProof/>
        </w:rPr>
      </w:pPr>
      <w:r>
        <w:rPr>
          <w:noProof/>
        </w:rPr>
        <w:t xml:space="preserve">The lack of scale and scope of European cloud and AI computing service providers </w:t>
      </w:r>
      <w:r w:rsidR="00920909">
        <w:rPr>
          <w:noProof/>
        </w:rPr>
        <w:t xml:space="preserve">is also closely linked to the </w:t>
      </w:r>
      <w:r w:rsidR="00172376">
        <w:rPr>
          <w:noProof/>
        </w:rPr>
        <w:t xml:space="preserve">second problem, i.e. the </w:t>
      </w:r>
      <w:r w:rsidR="00920909">
        <w:rPr>
          <w:noProof/>
        </w:rPr>
        <w:t xml:space="preserve">dependence on </w:t>
      </w:r>
      <w:r w:rsidR="00172376">
        <w:rPr>
          <w:noProof/>
        </w:rPr>
        <w:t xml:space="preserve">cloud and AI computing services supplied by non-European providers. </w:t>
      </w:r>
    </w:p>
    <w:p w14:paraId="3E9C9D28" w14:textId="2E6CA2D4" w:rsidR="000A6A88" w:rsidRDefault="00180F9B" w:rsidP="00F9313F">
      <w:pPr>
        <w:rPr>
          <w:noProof/>
        </w:rPr>
      </w:pPr>
      <w:r>
        <w:rPr>
          <w:noProof/>
        </w:rPr>
        <w:t xml:space="preserve">As mentioned under section 2.1, hyperscalers </w:t>
      </w:r>
      <w:r w:rsidR="002964E2">
        <w:rPr>
          <w:noProof/>
        </w:rPr>
        <w:t xml:space="preserve">leverage </w:t>
      </w:r>
      <w:r w:rsidR="00E61374" w:rsidRPr="00D37004">
        <w:rPr>
          <w:noProof/>
        </w:rPr>
        <w:t xml:space="preserve">bundles of services </w:t>
      </w:r>
      <w:r w:rsidR="00E61374">
        <w:rPr>
          <w:noProof/>
        </w:rPr>
        <w:t>t</w:t>
      </w:r>
      <w:r w:rsidR="00E61374" w:rsidRPr="00D37004">
        <w:rPr>
          <w:noProof/>
        </w:rPr>
        <w:t xml:space="preserve">o operate as “walled gardens” meeting </w:t>
      </w:r>
      <w:r w:rsidR="006E088B">
        <w:rPr>
          <w:noProof/>
        </w:rPr>
        <w:t>“</w:t>
      </w:r>
      <w:r w:rsidR="00E61374" w:rsidRPr="00D37004">
        <w:rPr>
          <w:noProof/>
        </w:rPr>
        <w:t>all</w:t>
      </w:r>
      <w:r w:rsidR="006E088B">
        <w:rPr>
          <w:noProof/>
        </w:rPr>
        <w:t>”</w:t>
      </w:r>
      <w:r w:rsidR="00E61374" w:rsidRPr="00D37004">
        <w:rPr>
          <w:noProof/>
        </w:rPr>
        <w:t xml:space="preserve"> customer needs, often within their own </w:t>
      </w:r>
      <w:r w:rsidR="00E61374" w:rsidRPr="00637A1C">
        <w:rPr>
          <w:b/>
          <w:i/>
          <w:noProof/>
        </w:rPr>
        <w:t>closed marketplaces</w:t>
      </w:r>
      <w:r w:rsidR="00E61374" w:rsidRPr="00D37004">
        <w:rPr>
          <w:rStyle w:val="EndnoteReference"/>
          <w:noProof/>
        </w:rPr>
        <w:endnoteReference w:id="103"/>
      </w:r>
      <w:r w:rsidR="00E61374" w:rsidRPr="00D37004">
        <w:rPr>
          <w:noProof/>
        </w:rPr>
        <w:t xml:space="preserve">. </w:t>
      </w:r>
      <w:r w:rsidR="00525A30">
        <w:rPr>
          <w:noProof/>
        </w:rPr>
        <w:t xml:space="preserve">The convenience of </w:t>
      </w:r>
      <w:r w:rsidR="002B53A3">
        <w:rPr>
          <w:noProof/>
        </w:rPr>
        <w:t>accessing all cloud-related services from a single provider is a key driver for customer choice</w:t>
      </w:r>
      <w:r w:rsidR="002B53A3">
        <w:rPr>
          <w:rStyle w:val="EndnoteReference"/>
          <w:noProof/>
        </w:rPr>
        <w:endnoteReference w:id="104"/>
      </w:r>
      <w:r w:rsidR="002B53A3">
        <w:rPr>
          <w:noProof/>
        </w:rPr>
        <w:t>.</w:t>
      </w:r>
      <w:r w:rsidR="00E61374" w:rsidRPr="00D37004">
        <w:rPr>
          <w:noProof/>
        </w:rPr>
        <w:t xml:space="preserve"> AWS and Microsoft Azure each </w:t>
      </w:r>
      <w:r w:rsidR="00E61374">
        <w:rPr>
          <w:noProof/>
        </w:rPr>
        <w:t>have</w:t>
      </w:r>
      <w:r w:rsidR="00E61374" w:rsidRPr="00D37004">
        <w:rPr>
          <w:noProof/>
        </w:rPr>
        <w:t xml:space="preserve"> 200+ services across their portfolios, and Google Cloud delivers 100+ speciali</w:t>
      </w:r>
      <w:r w:rsidR="00E61374">
        <w:rPr>
          <w:noProof/>
        </w:rPr>
        <w:t>s</w:t>
      </w:r>
      <w:r w:rsidR="00E61374" w:rsidRPr="00D37004">
        <w:rPr>
          <w:noProof/>
        </w:rPr>
        <w:t>ed offerings</w:t>
      </w:r>
      <w:r w:rsidR="00E3667B">
        <w:rPr>
          <w:noProof/>
        </w:rPr>
        <w:t xml:space="preserve"> available at their proprietary marketplaces</w:t>
      </w:r>
      <w:r w:rsidR="00E61374" w:rsidRPr="00D37004">
        <w:rPr>
          <w:noProof/>
        </w:rPr>
        <w:t>.</w:t>
      </w:r>
      <w:r w:rsidR="005338A2" w:rsidRPr="005338A2">
        <w:rPr>
          <w:iCs/>
          <w:noProof/>
        </w:rPr>
        <w:t xml:space="preserve"> </w:t>
      </w:r>
      <w:r w:rsidR="005338A2" w:rsidRPr="00F9313F">
        <w:rPr>
          <w:iCs/>
          <w:noProof/>
        </w:rPr>
        <w:t xml:space="preserve">The absence of a comprehensive vendor-neutral marketplace </w:t>
      </w:r>
      <w:r w:rsidR="005338A2">
        <w:rPr>
          <w:iCs/>
          <w:noProof/>
        </w:rPr>
        <w:t xml:space="preserve">creates an </w:t>
      </w:r>
      <w:r w:rsidR="005338A2" w:rsidRPr="0051290A">
        <w:rPr>
          <w:b/>
          <w:noProof/>
        </w:rPr>
        <w:t>imperfect information</w:t>
      </w:r>
      <w:r w:rsidR="005338A2" w:rsidRPr="00F9313F">
        <w:rPr>
          <w:iCs/>
          <w:noProof/>
        </w:rPr>
        <w:t xml:space="preserve"> environment about available services and their characteristics and negatively affect the comparability of services across providers and general awareness of users about the services offered by smaller, including European, providers (discovery problem).</w:t>
      </w:r>
      <w:r w:rsidR="005338A2">
        <w:rPr>
          <w:iCs/>
          <w:noProof/>
        </w:rPr>
        <w:t xml:space="preserve"> </w:t>
      </w:r>
      <w:r w:rsidR="005338A2" w:rsidRPr="008341C0">
        <w:rPr>
          <w:noProof/>
          <w:lang w:val="en-IE"/>
        </w:rPr>
        <w:t xml:space="preserve">End-users desire simplicity and have grown accustomed to one-stop shops delivering everything from Infrastructure-as-a-Service (IaaS) to Software-as-a-Service (SaaS) on a global scale, a level of integrated service that </w:t>
      </w:r>
      <w:r w:rsidR="005338A2">
        <w:rPr>
          <w:noProof/>
          <w:lang w:val="en-IE"/>
        </w:rPr>
        <w:t>hyperscalers</w:t>
      </w:r>
      <w:r w:rsidR="005338A2" w:rsidRPr="008341C0">
        <w:rPr>
          <w:noProof/>
          <w:lang w:val="en-IE"/>
        </w:rPr>
        <w:t xml:space="preserve"> readily supply.</w:t>
      </w:r>
      <w:r w:rsidR="005338A2">
        <w:rPr>
          <w:noProof/>
          <w:lang w:val="en-IE"/>
        </w:rPr>
        <w:t xml:space="preserve"> </w:t>
      </w:r>
      <w:r w:rsidR="005338A2">
        <w:rPr>
          <w:iCs/>
          <w:noProof/>
        </w:rPr>
        <w:t xml:space="preserve">Customers may therefore make suboptimal choices because they cannot easily compare offers. </w:t>
      </w:r>
      <w:r w:rsidR="005338A2" w:rsidRPr="00BA5D26">
        <w:rPr>
          <w:b/>
          <w:i/>
          <w:noProof/>
        </w:rPr>
        <w:t>Imperfect information</w:t>
      </w:r>
      <w:r w:rsidR="005338A2">
        <w:rPr>
          <w:iCs/>
          <w:noProof/>
        </w:rPr>
        <w:t xml:space="preserve"> constitutes a failure in the market for cloud and AI computing services and reduces competitive pressure on incumbents.</w:t>
      </w:r>
    </w:p>
    <w:p w14:paraId="4000BCA5" w14:textId="56A0BF70" w:rsidR="000F1E85" w:rsidRDefault="00E61374" w:rsidP="00F9313F">
      <w:pPr>
        <w:rPr>
          <w:noProof/>
        </w:rPr>
      </w:pPr>
      <w:r w:rsidRPr="00D37004">
        <w:rPr>
          <w:noProof/>
        </w:rPr>
        <w:t>Hyperscalers also offer dedicated professional training</w:t>
      </w:r>
      <w:r w:rsidR="001E5BAE" w:rsidRPr="2A6A1A3F">
        <w:rPr>
          <w:rStyle w:val="FootnoteReference"/>
          <w:noProof/>
        </w:rPr>
        <w:footnoteReference w:id="38"/>
      </w:r>
      <w:r w:rsidRPr="00D37004">
        <w:rPr>
          <w:noProof/>
        </w:rPr>
        <w:t xml:space="preserve"> and certification programmes</w:t>
      </w:r>
      <w:r w:rsidRPr="00D37004">
        <w:rPr>
          <w:rStyle w:val="FootnoteReference"/>
          <w:noProof/>
        </w:rPr>
        <w:footnoteReference w:id="39"/>
      </w:r>
      <w:r w:rsidRPr="00D37004">
        <w:rPr>
          <w:noProof/>
        </w:rPr>
        <w:t xml:space="preserve">, including </w:t>
      </w:r>
      <w:r w:rsidR="001E5BAE" w:rsidRPr="2A6A1A3F">
        <w:rPr>
          <w:noProof/>
        </w:rPr>
        <w:t xml:space="preserve">through partnerships with key IT consultants and system integrators </w:t>
      </w:r>
      <w:r w:rsidRPr="00D37004">
        <w:rPr>
          <w:noProof/>
        </w:rPr>
        <w:t>tailoring hyperscaler tools to specific customer needs</w:t>
      </w:r>
      <w:r w:rsidRPr="00D37004">
        <w:rPr>
          <w:rStyle w:val="EndnoteReference"/>
          <w:noProof/>
        </w:rPr>
        <w:endnoteReference w:id="105"/>
      </w:r>
      <w:r w:rsidRPr="00D37004" w:rsidDel="001E5BAE">
        <w:rPr>
          <w:noProof/>
        </w:rPr>
        <w:t xml:space="preserve"> </w:t>
      </w:r>
      <w:r w:rsidR="001E5BAE" w:rsidRPr="2A6A1A3F">
        <w:rPr>
          <w:noProof/>
        </w:rPr>
        <w:t>that re-sell or promote their services</w:t>
      </w:r>
      <w:r w:rsidR="001E5BAE">
        <w:rPr>
          <w:rStyle w:val="EndnoteReference"/>
          <w:noProof/>
        </w:rPr>
        <w:endnoteReference w:id="106"/>
      </w:r>
      <w:r w:rsidR="001E5BAE" w:rsidRPr="00F9313F">
        <w:rPr>
          <w:iCs/>
          <w:noProof/>
        </w:rPr>
        <w:t>.</w:t>
      </w:r>
      <w:r w:rsidRPr="00D37004">
        <w:rPr>
          <w:noProof/>
        </w:rPr>
        <w:t xml:space="preserve"> </w:t>
      </w:r>
      <w:r w:rsidR="00462FCC">
        <w:rPr>
          <w:noProof/>
        </w:rPr>
        <w:t xml:space="preserve">This has led to </w:t>
      </w:r>
      <w:r w:rsidR="00C30567" w:rsidRPr="00AA5B7D">
        <w:rPr>
          <w:noProof/>
        </w:rPr>
        <w:t xml:space="preserve">high transaction costs of leaving </w:t>
      </w:r>
      <w:r w:rsidR="00A854BE" w:rsidRPr="00AA5B7D">
        <w:rPr>
          <w:noProof/>
        </w:rPr>
        <w:t>the hyperscalers ecosystems</w:t>
      </w:r>
      <w:r w:rsidR="00A854BE">
        <w:rPr>
          <w:noProof/>
        </w:rPr>
        <w:t xml:space="preserve"> and a form of </w:t>
      </w:r>
      <w:r w:rsidR="00A854BE" w:rsidRPr="2A6A1A3F">
        <w:rPr>
          <w:b/>
          <w:bCs/>
          <w:i/>
          <w:iCs/>
          <w:noProof/>
        </w:rPr>
        <w:t xml:space="preserve">skills </w:t>
      </w:r>
      <w:r w:rsidR="00462FCC" w:rsidRPr="2A6A1A3F">
        <w:rPr>
          <w:b/>
          <w:bCs/>
          <w:i/>
          <w:iCs/>
          <w:noProof/>
        </w:rPr>
        <w:t>lock-in</w:t>
      </w:r>
      <w:r w:rsidRPr="00D37004">
        <w:rPr>
          <w:rStyle w:val="FootnoteReference"/>
          <w:noProof/>
        </w:rPr>
        <w:footnoteReference w:id="40"/>
      </w:r>
      <w:r w:rsidRPr="00D37004">
        <w:rPr>
          <w:noProof/>
        </w:rPr>
        <w:t xml:space="preserve">. </w:t>
      </w:r>
    </w:p>
    <w:p w14:paraId="5D8EB7AC" w14:textId="207472A5" w:rsidR="00763C5E" w:rsidRDefault="005A6FB0" w:rsidP="00763C5E">
      <w:pPr>
        <w:rPr>
          <w:noProof/>
        </w:rPr>
      </w:pPr>
      <w:r>
        <w:rPr>
          <w:noProof/>
        </w:rPr>
        <w:t>L</w:t>
      </w:r>
      <w:r w:rsidR="00763C5E">
        <w:rPr>
          <w:noProof/>
        </w:rPr>
        <w:t>ock-in practices and the absence of technical interoperability further</w:t>
      </w:r>
      <w:r w:rsidR="00763C5E" w:rsidRPr="00D37004">
        <w:rPr>
          <w:noProof/>
        </w:rPr>
        <w:t xml:space="preserve"> bolster the</w:t>
      </w:r>
      <w:r w:rsidR="00763C5E">
        <w:rPr>
          <w:noProof/>
        </w:rPr>
        <w:t xml:space="preserve"> hyperscalers’ </w:t>
      </w:r>
      <w:r w:rsidR="00763C5E" w:rsidRPr="00D37004">
        <w:rPr>
          <w:noProof/>
        </w:rPr>
        <w:t>market position</w:t>
      </w:r>
      <w:r w:rsidR="00763C5E">
        <w:rPr>
          <w:noProof/>
        </w:rPr>
        <w:t xml:space="preserve"> by making it less likely for customers to switch to another provider</w:t>
      </w:r>
      <w:r w:rsidR="00763C5E" w:rsidRPr="00D37004">
        <w:rPr>
          <w:rStyle w:val="FootnoteReference"/>
          <w:noProof/>
        </w:rPr>
        <w:footnoteReference w:id="41"/>
      </w:r>
      <w:r w:rsidR="00763C5E" w:rsidRPr="00D37004">
        <w:rPr>
          <w:noProof/>
        </w:rPr>
        <w:t>.</w:t>
      </w:r>
      <w:r w:rsidR="00763C5E">
        <w:rPr>
          <w:noProof/>
        </w:rPr>
        <w:t xml:space="preserve"> </w:t>
      </w:r>
      <w:r w:rsidR="00763C5E" w:rsidRPr="00D37004">
        <w:rPr>
          <w:noProof/>
        </w:rPr>
        <w:t xml:space="preserve">In a market characterised by </w:t>
      </w:r>
      <w:r w:rsidR="00763C5E" w:rsidRPr="2A6A1A3F">
        <w:rPr>
          <w:b/>
          <w:bCs/>
          <w:i/>
          <w:iCs/>
          <w:noProof/>
        </w:rPr>
        <w:t>network effects</w:t>
      </w:r>
      <w:r w:rsidR="00763C5E" w:rsidRPr="00D37004">
        <w:rPr>
          <w:noProof/>
        </w:rPr>
        <w:t xml:space="preserve"> and high switching costs</w:t>
      </w:r>
      <w:r w:rsidR="00763C5E" w:rsidRPr="00D37004">
        <w:rPr>
          <w:rStyle w:val="EndnoteReference"/>
          <w:noProof/>
        </w:rPr>
        <w:endnoteReference w:id="107"/>
      </w:r>
      <w:r w:rsidR="00763C5E" w:rsidRPr="00D37004">
        <w:rPr>
          <w:noProof/>
        </w:rPr>
        <w:t xml:space="preserve">, the initial choice of cloud and AI computing service provider limits future possibilities for diversification. </w:t>
      </w:r>
      <w:r w:rsidR="00763C5E" w:rsidRPr="0080459E">
        <w:rPr>
          <w:noProof/>
        </w:rPr>
        <w:t>This has posed high entry barriers for ‘late’ entrants, notably European ones</w:t>
      </w:r>
      <w:r w:rsidR="00763C5E" w:rsidRPr="0080459E">
        <w:rPr>
          <w:rStyle w:val="FootnoteReference"/>
          <w:noProof/>
        </w:rPr>
        <w:footnoteReference w:id="42"/>
      </w:r>
      <w:r w:rsidR="00763C5E" w:rsidRPr="0080459E">
        <w:rPr>
          <w:noProof/>
        </w:rPr>
        <w:t>.</w:t>
      </w:r>
      <w:r w:rsidR="00763C5E" w:rsidRPr="00D37004">
        <w:rPr>
          <w:noProof/>
        </w:rPr>
        <w:t xml:space="preserve"> Large providers leverage their strong position in the cloud market to </w:t>
      </w:r>
      <w:r w:rsidR="00217FB5" w:rsidRPr="2A6A1A3F">
        <w:rPr>
          <w:noProof/>
        </w:rPr>
        <w:t>attract customers with low entry prices, for example through cloud credits</w:t>
      </w:r>
      <w:r w:rsidR="00217FB5" w:rsidRPr="2A6A1A3F">
        <w:rPr>
          <w:rStyle w:val="FootnoteReference"/>
          <w:noProof/>
        </w:rPr>
        <w:footnoteReference w:id="43"/>
      </w:r>
      <w:r w:rsidR="00217FB5" w:rsidRPr="2A6A1A3F">
        <w:rPr>
          <w:noProof/>
        </w:rPr>
        <w:t xml:space="preserve">, but also to </w:t>
      </w:r>
      <w:r w:rsidR="00763C5E" w:rsidRPr="00D37004">
        <w:rPr>
          <w:noProof/>
        </w:rPr>
        <w:t xml:space="preserve">expand into the emerging market of AI </w:t>
      </w:r>
      <w:r w:rsidR="00763C5E">
        <w:rPr>
          <w:noProof/>
        </w:rPr>
        <w:t>computing services</w:t>
      </w:r>
      <w:r w:rsidR="00763C5E" w:rsidRPr="00D37004">
        <w:rPr>
          <w:noProof/>
          <w:vertAlign w:val="superscript"/>
        </w:rPr>
        <w:endnoteReference w:id="108"/>
      </w:r>
      <w:r w:rsidR="00763C5E" w:rsidRPr="00D37004">
        <w:rPr>
          <w:noProof/>
        </w:rPr>
        <w:t>, through tying and bundling practices - linking together new AI applications with existing cloud products - and preferential access to computing power</w:t>
      </w:r>
      <w:r w:rsidR="00763C5E" w:rsidRPr="00D37004">
        <w:rPr>
          <w:noProof/>
          <w:vertAlign w:val="superscript"/>
        </w:rPr>
        <w:endnoteReference w:id="109"/>
      </w:r>
      <w:r w:rsidR="00763C5E" w:rsidRPr="00D37004">
        <w:rPr>
          <w:noProof/>
        </w:rPr>
        <w:t xml:space="preserve">. Their extensive service portfolio is also a competitive advantage for attracting AI companies </w:t>
      </w:r>
      <w:r w:rsidR="00763C5E">
        <w:rPr>
          <w:noProof/>
        </w:rPr>
        <w:t xml:space="preserve">as customers since they </w:t>
      </w:r>
      <w:r w:rsidR="00763C5E" w:rsidRPr="00D37004">
        <w:rPr>
          <w:noProof/>
        </w:rPr>
        <w:t xml:space="preserve">rely on </w:t>
      </w:r>
      <w:r w:rsidR="00763C5E">
        <w:rPr>
          <w:noProof/>
        </w:rPr>
        <w:t>the</w:t>
      </w:r>
      <w:r w:rsidR="00763C5E" w:rsidRPr="00D37004">
        <w:rPr>
          <w:noProof/>
        </w:rPr>
        <w:t xml:space="preserve"> advanced offering </w:t>
      </w:r>
      <w:r w:rsidR="00763C5E">
        <w:rPr>
          <w:noProof/>
        </w:rPr>
        <w:t xml:space="preserve">of large providers </w:t>
      </w:r>
      <w:r w:rsidR="00763C5E" w:rsidRPr="00D37004">
        <w:rPr>
          <w:noProof/>
        </w:rPr>
        <w:t xml:space="preserve">to provide better usability. </w:t>
      </w:r>
    </w:p>
    <w:p w14:paraId="32E6CD5B" w14:textId="344F7FF6" w:rsidR="0013261D" w:rsidRDefault="00E61374" w:rsidP="0013261D">
      <w:pPr>
        <w:rPr>
          <w:noProof/>
          <w:lang w:val="en-IE"/>
        </w:rPr>
      </w:pPr>
      <w:r w:rsidRPr="00D37004">
        <w:rPr>
          <w:noProof/>
        </w:rPr>
        <w:t xml:space="preserve">European </w:t>
      </w:r>
      <w:r>
        <w:rPr>
          <w:noProof/>
        </w:rPr>
        <w:t>providers</w:t>
      </w:r>
      <w:r w:rsidRPr="00D37004">
        <w:rPr>
          <w:noProof/>
        </w:rPr>
        <w:t xml:space="preserve"> do not offer the same </w:t>
      </w:r>
      <w:r w:rsidR="00251DE2">
        <w:rPr>
          <w:noProof/>
        </w:rPr>
        <w:t>breadth</w:t>
      </w:r>
      <w:r w:rsidRPr="00D37004">
        <w:rPr>
          <w:noProof/>
        </w:rPr>
        <w:t xml:space="preserve"> of services. OVH</w:t>
      </w:r>
      <w:r w:rsidR="00BB715F">
        <w:rPr>
          <w:noProof/>
        </w:rPr>
        <w:t>c</w:t>
      </w:r>
      <w:r w:rsidRPr="00D37004">
        <w:rPr>
          <w:noProof/>
        </w:rPr>
        <w:t>loud and Scaleway, for example, offer around 80 services</w:t>
      </w:r>
      <w:r w:rsidRPr="00D37004">
        <w:rPr>
          <w:rStyle w:val="EndnoteReference"/>
          <w:noProof/>
        </w:rPr>
        <w:endnoteReference w:id="110"/>
      </w:r>
      <w:r w:rsidR="00015425">
        <w:rPr>
          <w:noProof/>
        </w:rPr>
        <w:t xml:space="preserve"> whereas the US hyperscalers, such as Amazon, offer around 200</w:t>
      </w:r>
      <w:r w:rsidRPr="00EA7797">
        <w:rPr>
          <w:noProof/>
        </w:rPr>
        <w:t xml:space="preserve">. </w:t>
      </w:r>
      <w:r w:rsidR="006B504D">
        <w:rPr>
          <w:noProof/>
          <w:lang w:val="en-IE"/>
        </w:rPr>
        <w:t>Annex 13 provides a comp</w:t>
      </w:r>
      <w:r w:rsidR="0037539E">
        <w:rPr>
          <w:noProof/>
          <w:lang w:val="en-IE"/>
        </w:rPr>
        <w:t xml:space="preserve">arative analysis of </w:t>
      </w:r>
      <w:r w:rsidR="00D5047B">
        <w:rPr>
          <w:noProof/>
          <w:lang w:val="en-IE"/>
        </w:rPr>
        <w:t xml:space="preserve">a sample of </w:t>
      </w:r>
      <w:r w:rsidR="00B010B8">
        <w:rPr>
          <w:noProof/>
          <w:lang w:val="en-IE"/>
        </w:rPr>
        <w:t xml:space="preserve">service of </w:t>
      </w:r>
      <w:r w:rsidR="00D5047B">
        <w:rPr>
          <w:noProof/>
          <w:lang w:val="en-IE"/>
        </w:rPr>
        <w:t>European vs American</w:t>
      </w:r>
      <w:r w:rsidR="00A936E2">
        <w:rPr>
          <w:noProof/>
          <w:lang w:val="en-IE"/>
        </w:rPr>
        <w:t>, demonstrating that</w:t>
      </w:r>
      <w:r w:rsidR="00DA63B8">
        <w:rPr>
          <w:noProof/>
          <w:lang w:val="en-IE"/>
        </w:rPr>
        <w:t xml:space="preserve"> EU providers </w:t>
      </w:r>
      <w:r w:rsidR="00A936E2">
        <w:rPr>
          <w:noProof/>
          <w:lang w:val="en-IE"/>
        </w:rPr>
        <w:t xml:space="preserve">usually </w:t>
      </w:r>
      <w:r w:rsidR="00DA63B8">
        <w:rPr>
          <w:noProof/>
          <w:lang w:val="en-IE"/>
        </w:rPr>
        <w:t xml:space="preserve">cover </w:t>
      </w:r>
      <w:r w:rsidR="00A936E2">
        <w:rPr>
          <w:noProof/>
          <w:lang w:val="en-IE"/>
        </w:rPr>
        <w:t xml:space="preserve">well </w:t>
      </w:r>
      <w:r w:rsidR="00DA63B8">
        <w:rPr>
          <w:noProof/>
          <w:lang w:val="en-IE"/>
        </w:rPr>
        <w:t xml:space="preserve">core </w:t>
      </w:r>
      <w:r w:rsidR="00A936E2">
        <w:rPr>
          <w:noProof/>
          <w:lang w:val="en-IE"/>
        </w:rPr>
        <w:t xml:space="preserve">IaaS and PaaS </w:t>
      </w:r>
      <w:r w:rsidR="00DA63B8">
        <w:rPr>
          <w:noProof/>
          <w:lang w:val="en-IE"/>
        </w:rPr>
        <w:t xml:space="preserve">services </w:t>
      </w:r>
      <w:r w:rsidR="000509B4">
        <w:rPr>
          <w:noProof/>
          <w:lang w:val="en-IE"/>
        </w:rPr>
        <w:t xml:space="preserve">but also highlight the actual </w:t>
      </w:r>
      <w:r w:rsidR="0013261D" w:rsidRPr="008F14E8">
        <w:rPr>
          <w:noProof/>
          <w:lang w:val="en-IE"/>
        </w:rPr>
        <w:t xml:space="preserve">gaps </w:t>
      </w:r>
      <w:r w:rsidR="000509B4">
        <w:rPr>
          <w:noProof/>
          <w:lang w:val="en-IE"/>
        </w:rPr>
        <w:t xml:space="preserve">which </w:t>
      </w:r>
      <w:r w:rsidR="0050397E">
        <w:rPr>
          <w:noProof/>
          <w:lang w:val="en-IE"/>
        </w:rPr>
        <w:t>tend to be</w:t>
      </w:r>
      <w:r w:rsidR="0013261D" w:rsidRPr="008F14E8">
        <w:rPr>
          <w:noProof/>
          <w:lang w:val="en-IE"/>
        </w:rPr>
        <w:t xml:space="preserve"> more specific</w:t>
      </w:r>
      <w:r w:rsidR="00D35614">
        <w:rPr>
          <w:noProof/>
          <w:lang w:val="en-IE"/>
        </w:rPr>
        <w:t xml:space="preserve">. These relate </w:t>
      </w:r>
      <w:r w:rsidR="005E6EF0">
        <w:rPr>
          <w:noProof/>
          <w:lang w:val="en-IE"/>
        </w:rPr>
        <w:t xml:space="preserve">mainly </w:t>
      </w:r>
      <w:r w:rsidR="00D35614">
        <w:rPr>
          <w:noProof/>
          <w:lang w:val="en-IE"/>
        </w:rPr>
        <w:t>to</w:t>
      </w:r>
      <w:r w:rsidR="0013261D" w:rsidRPr="008F14E8">
        <w:rPr>
          <w:noProof/>
          <w:lang w:val="en-IE"/>
        </w:rPr>
        <w:t xml:space="preserve"> native AI/ML platforms, serverless, and integrated analytics pipelines where European providers have not </w:t>
      </w:r>
      <w:r w:rsidR="0029074E">
        <w:rPr>
          <w:noProof/>
          <w:lang w:val="en-IE"/>
        </w:rPr>
        <w:t xml:space="preserve">yet </w:t>
      </w:r>
      <w:r w:rsidR="0013261D" w:rsidRPr="008F14E8">
        <w:rPr>
          <w:noProof/>
          <w:lang w:val="en-IE"/>
        </w:rPr>
        <w:t>reached hyperscaler maturity.</w:t>
      </w:r>
      <w:r w:rsidR="00EC39F8">
        <w:rPr>
          <w:noProof/>
          <w:lang w:val="en-IE"/>
        </w:rPr>
        <w:t xml:space="preserve"> </w:t>
      </w:r>
    </w:p>
    <w:p w14:paraId="4E80D2E2" w14:textId="3F0DDB42" w:rsidR="00C0043C" w:rsidRDefault="00A93154" w:rsidP="00E61374">
      <w:pPr>
        <w:rPr>
          <w:noProof/>
        </w:rPr>
      </w:pPr>
      <w:r>
        <w:rPr>
          <w:noProof/>
        </w:rPr>
        <w:t xml:space="preserve">A </w:t>
      </w:r>
      <w:r w:rsidR="005B39BF">
        <w:rPr>
          <w:noProof/>
        </w:rPr>
        <w:t>smaller</w:t>
      </w:r>
      <w:r>
        <w:rPr>
          <w:noProof/>
        </w:rPr>
        <w:t xml:space="preserve"> catalogue of services </w:t>
      </w:r>
      <w:r w:rsidR="00EC3970">
        <w:rPr>
          <w:noProof/>
        </w:rPr>
        <w:t>does not equate to</w:t>
      </w:r>
      <w:r w:rsidR="00362040">
        <w:rPr>
          <w:noProof/>
        </w:rPr>
        <w:t xml:space="preserve"> </w:t>
      </w:r>
      <w:r w:rsidR="005B39BF">
        <w:rPr>
          <w:noProof/>
        </w:rPr>
        <w:t>lower</w:t>
      </w:r>
      <w:r w:rsidR="00362040">
        <w:rPr>
          <w:noProof/>
        </w:rPr>
        <w:t xml:space="preserve"> quality</w:t>
      </w:r>
      <w:r w:rsidR="00026107">
        <w:rPr>
          <w:noProof/>
        </w:rPr>
        <w:t>, as argued later in this section.</w:t>
      </w:r>
      <w:r w:rsidR="00E61374" w:rsidRPr="00D37004">
        <w:rPr>
          <w:noProof/>
        </w:rPr>
        <w:t xml:space="preserve"> </w:t>
      </w:r>
      <w:r w:rsidR="00A54020">
        <w:rPr>
          <w:noProof/>
        </w:rPr>
        <w:t>G</w:t>
      </w:r>
      <w:r w:rsidR="00E61374" w:rsidRPr="00EA7797">
        <w:rPr>
          <w:noProof/>
        </w:rPr>
        <w:t>ap</w:t>
      </w:r>
      <w:r w:rsidR="00E61374">
        <w:rPr>
          <w:noProof/>
        </w:rPr>
        <w:t xml:space="preserve"> analyses show that European providers offer </w:t>
      </w:r>
      <w:r w:rsidR="00075FC5">
        <w:rPr>
          <w:noProof/>
        </w:rPr>
        <w:t>equivalent quality</w:t>
      </w:r>
      <w:r w:rsidR="00A54020">
        <w:rPr>
          <w:noProof/>
        </w:rPr>
        <w:t xml:space="preserve"> in their</w:t>
      </w:r>
      <w:r w:rsidR="00075FC5">
        <w:rPr>
          <w:noProof/>
        </w:rPr>
        <w:t xml:space="preserve"> services to th</w:t>
      </w:r>
      <w:r w:rsidR="00A54020">
        <w:rPr>
          <w:noProof/>
        </w:rPr>
        <w:t>ose offered by the hyperscalers</w:t>
      </w:r>
      <w:r w:rsidR="00150710" w:rsidRPr="00EA7797">
        <w:rPr>
          <w:rStyle w:val="FootnoteReference"/>
          <w:noProof/>
        </w:rPr>
        <w:footnoteReference w:id="44"/>
      </w:r>
      <w:r w:rsidR="00A54020">
        <w:rPr>
          <w:noProof/>
        </w:rPr>
        <w:t xml:space="preserve"> </w:t>
      </w:r>
      <w:r w:rsidR="00075FC5">
        <w:rPr>
          <w:noProof/>
        </w:rPr>
        <w:t>but</w:t>
      </w:r>
      <w:r w:rsidR="00A54020">
        <w:rPr>
          <w:noProof/>
        </w:rPr>
        <w:t xml:space="preserve"> with </w:t>
      </w:r>
      <w:r w:rsidR="00026107">
        <w:rPr>
          <w:noProof/>
        </w:rPr>
        <w:t xml:space="preserve">rather </w:t>
      </w:r>
      <w:r w:rsidR="00A54020">
        <w:rPr>
          <w:noProof/>
        </w:rPr>
        <w:t>a more</w:t>
      </w:r>
      <w:r w:rsidR="00E61374" w:rsidRPr="00EA7797">
        <w:rPr>
          <w:noProof/>
        </w:rPr>
        <w:t xml:space="preserve"> </w:t>
      </w:r>
      <w:r w:rsidR="00E61374" w:rsidRPr="2A6A1A3F">
        <w:rPr>
          <w:b/>
          <w:bCs/>
          <w:i/>
          <w:iCs/>
          <w:noProof/>
        </w:rPr>
        <w:t xml:space="preserve">limited </w:t>
      </w:r>
      <w:r w:rsidR="00A54020">
        <w:rPr>
          <w:b/>
          <w:bCs/>
          <w:i/>
          <w:iCs/>
          <w:noProof/>
        </w:rPr>
        <w:t>integration</w:t>
      </w:r>
      <w:r w:rsidR="00E61374">
        <w:rPr>
          <w:noProof/>
        </w:rPr>
        <w:t xml:space="preserve">: </w:t>
      </w:r>
      <w:r w:rsidR="00E61374" w:rsidRPr="00D37004">
        <w:rPr>
          <w:noProof/>
        </w:rPr>
        <w:t xml:space="preserve">To obtain access to a similar breadth of services as those offered by </w:t>
      </w:r>
      <w:r w:rsidR="00E61374">
        <w:rPr>
          <w:noProof/>
        </w:rPr>
        <w:t xml:space="preserve">a </w:t>
      </w:r>
      <w:r w:rsidR="00E61374" w:rsidRPr="00D37004">
        <w:rPr>
          <w:noProof/>
        </w:rPr>
        <w:t>single hyperscaler, a customer must combine solutions from multiple providers</w:t>
      </w:r>
      <w:r w:rsidR="00E61374">
        <w:rPr>
          <w:rStyle w:val="EndnoteReference"/>
          <w:noProof/>
        </w:rPr>
        <w:endnoteReference w:id="111"/>
      </w:r>
      <w:r w:rsidR="00E61374" w:rsidRPr="00D37004">
        <w:rPr>
          <w:noProof/>
        </w:rPr>
        <w:t xml:space="preserve"> – each requiring different skills</w:t>
      </w:r>
      <w:r w:rsidR="00E61374" w:rsidRPr="00D37004">
        <w:rPr>
          <w:rStyle w:val="FootnoteReference"/>
          <w:noProof/>
        </w:rPr>
        <w:footnoteReference w:id="45"/>
      </w:r>
      <w:r w:rsidR="00E61374" w:rsidRPr="00D37004">
        <w:rPr>
          <w:noProof/>
        </w:rPr>
        <w:t>, using different tooling, and employing different operational procedures. In the absence of tools that easily enable such combination of resources, such as cloud brokers</w:t>
      </w:r>
      <w:r w:rsidR="00E61374" w:rsidRPr="00D37004">
        <w:rPr>
          <w:rStyle w:val="FootnoteReference"/>
          <w:noProof/>
        </w:rPr>
        <w:footnoteReference w:id="46"/>
      </w:r>
      <w:r w:rsidR="00E61374" w:rsidRPr="00D37004">
        <w:rPr>
          <w:noProof/>
        </w:rPr>
        <w:t>, customers must invest their own resources to integrate services from different providers through custom developments.</w:t>
      </w:r>
      <w:r w:rsidR="00E61374" w:rsidRPr="00D37004" w:rsidDel="00F8197F">
        <w:rPr>
          <w:noProof/>
        </w:rPr>
        <w:t xml:space="preserve"> </w:t>
      </w:r>
    </w:p>
    <w:p w14:paraId="25159BA4" w14:textId="57AFED34" w:rsidR="00D109C3" w:rsidRDefault="00212D21" w:rsidP="00E61374">
      <w:pPr>
        <w:rPr>
          <w:noProof/>
        </w:rPr>
      </w:pPr>
      <w:r>
        <w:rPr>
          <w:noProof/>
          <w:lang w:val="en-IE"/>
        </w:rPr>
        <w:t xml:space="preserve">A broader and </w:t>
      </w:r>
      <w:r w:rsidR="008A4BBA">
        <w:rPr>
          <w:noProof/>
          <w:lang w:val="en-IE"/>
        </w:rPr>
        <w:t xml:space="preserve">a </w:t>
      </w:r>
      <w:r>
        <w:rPr>
          <w:noProof/>
          <w:lang w:val="en-IE"/>
        </w:rPr>
        <w:t xml:space="preserve">better integrated catalogue offers </w:t>
      </w:r>
      <w:r w:rsidR="00B67AC5">
        <w:rPr>
          <w:noProof/>
          <w:lang w:val="en-IE"/>
        </w:rPr>
        <w:t>an advantage</w:t>
      </w:r>
      <w:r w:rsidR="005D753B">
        <w:rPr>
          <w:noProof/>
          <w:lang w:val="en-IE"/>
        </w:rPr>
        <w:t xml:space="preserve"> to US providers </w:t>
      </w:r>
      <w:r w:rsidR="009A625A">
        <w:rPr>
          <w:noProof/>
          <w:lang w:val="en-IE"/>
        </w:rPr>
        <w:t xml:space="preserve">but </w:t>
      </w:r>
      <w:r w:rsidR="00964A6A">
        <w:rPr>
          <w:noProof/>
          <w:lang w:val="en-IE"/>
        </w:rPr>
        <w:t xml:space="preserve">this comes with </w:t>
      </w:r>
      <w:r w:rsidR="00852841">
        <w:rPr>
          <w:noProof/>
          <w:lang w:val="en-IE"/>
        </w:rPr>
        <w:t>a caveat</w:t>
      </w:r>
      <w:r w:rsidR="00964A6A">
        <w:rPr>
          <w:noProof/>
          <w:lang w:val="en-IE"/>
        </w:rPr>
        <w:t>.</w:t>
      </w:r>
      <w:r w:rsidR="004F4267">
        <w:rPr>
          <w:noProof/>
          <w:lang w:val="en-IE"/>
        </w:rPr>
        <w:t xml:space="preserve"> </w:t>
      </w:r>
      <w:r w:rsidR="00D109C3">
        <w:rPr>
          <w:noProof/>
          <w:lang w:val="en-IE"/>
        </w:rPr>
        <w:t xml:space="preserve">The latest </w:t>
      </w:r>
      <w:r w:rsidR="00D109C3" w:rsidRPr="008F14E8">
        <w:rPr>
          <w:noProof/>
          <w:lang w:val="en-IE"/>
        </w:rPr>
        <w:t>Eurostat data shows that the services EU enterprises actually rely on most are email, office software</w:t>
      </w:r>
      <w:r w:rsidR="00D109C3">
        <w:rPr>
          <w:noProof/>
          <w:lang w:val="en-IE"/>
        </w:rPr>
        <w:t xml:space="preserve">, </w:t>
      </w:r>
      <w:r w:rsidR="00D109C3" w:rsidRPr="008F14E8">
        <w:rPr>
          <w:noProof/>
          <w:lang w:val="en-IE"/>
        </w:rPr>
        <w:t>file storage</w:t>
      </w:r>
      <w:r w:rsidR="00D109C3">
        <w:rPr>
          <w:noProof/>
          <w:lang w:val="en-IE"/>
        </w:rPr>
        <w:t xml:space="preserve">, </w:t>
      </w:r>
      <w:r w:rsidR="00D109C3" w:rsidRPr="008F14E8">
        <w:rPr>
          <w:noProof/>
          <w:lang w:val="en-IE"/>
        </w:rPr>
        <w:t>database hosting, and compute power</w:t>
      </w:r>
      <w:r w:rsidR="00D109C3">
        <w:rPr>
          <w:rStyle w:val="FootnoteReference"/>
          <w:noProof/>
          <w:lang w:val="en-IE"/>
        </w:rPr>
        <w:footnoteReference w:id="47"/>
      </w:r>
      <w:r w:rsidR="00301FB5">
        <w:rPr>
          <w:noProof/>
          <w:lang w:val="en-IE"/>
        </w:rPr>
        <w:t>, which are</w:t>
      </w:r>
      <w:r w:rsidR="00D109C3" w:rsidRPr="008F14E8">
        <w:rPr>
          <w:noProof/>
          <w:lang w:val="en-IE"/>
        </w:rPr>
        <w:t xml:space="preserve"> core IaaS workloads: virtual machines, managed databases, object storage, and </w:t>
      </w:r>
      <w:r w:rsidR="00D109C3">
        <w:rPr>
          <w:noProof/>
          <w:lang w:val="en-IE"/>
        </w:rPr>
        <w:t xml:space="preserve">nowadays also PaaS, with </w:t>
      </w:r>
      <w:r w:rsidR="00D109C3" w:rsidRPr="008F14E8">
        <w:rPr>
          <w:noProof/>
          <w:lang w:val="en-IE"/>
        </w:rPr>
        <w:t xml:space="preserve">managed Kubernetes </w:t>
      </w:r>
      <w:r w:rsidR="00D109C3">
        <w:rPr>
          <w:noProof/>
          <w:lang w:val="en-IE"/>
        </w:rPr>
        <w:t>(orchestration).</w:t>
      </w:r>
      <w:r w:rsidR="005222C0">
        <w:rPr>
          <w:noProof/>
          <w:lang w:val="en-IE"/>
        </w:rPr>
        <w:t xml:space="preserve"> This points t</w:t>
      </w:r>
      <w:r w:rsidR="00D8466D">
        <w:rPr>
          <w:noProof/>
          <w:lang w:val="en-IE"/>
        </w:rPr>
        <w:t xml:space="preserve">o the fact that customers seldom use </w:t>
      </w:r>
      <w:r w:rsidR="003C63D3">
        <w:rPr>
          <w:noProof/>
          <w:lang w:val="en-IE"/>
        </w:rPr>
        <w:t xml:space="preserve">a service catalogue to its full extent, something confirmed </w:t>
      </w:r>
      <w:r w:rsidR="007E6C86">
        <w:rPr>
          <w:noProof/>
          <w:lang w:val="en-IE"/>
        </w:rPr>
        <w:t>through interviews with European CIO</w:t>
      </w:r>
      <w:r w:rsidR="00D25D30">
        <w:rPr>
          <w:noProof/>
          <w:lang w:val="en-IE"/>
        </w:rPr>
        <w:t xml:space="preserve"> </w:t>
      </w:r>
      <w:r w:rsidR="00466EC5">
        <w:rPr>
          <w:noProof/>
          <w:lang w:val="en-IE"/>
        </w:rPr>
        <w:t xml:space="preserve">public and private </w:t>
      </w:r>
      <w:r w:rsidR="00D25D30">
        <w:rPr>
          <w:noProof/>
          <w:lang w:val="en-IE"/>
        </w:rPr>
        <w:t>organisations</w:t>
      </w:r>
      <w:r w:rsidR="00533F31">
        <w:rPr>
          <w:noProof/>
          <w:lang w:val="en-IE"/>
        </w:rPr>
        <w:t xml:space="preserve">, as well as by </w:t>
      </w:r>
      <w:r w:rsidR="00B53CA1">
        <w:rPr>
          <w:noProof/>
          <w:lang w:val="en-IE"/>
        </w:rPr>
        <w:t xml:space="preserve">reports that find that </w:t>
      </w:r>
      <w:r w:rsidR="008C1514">
        <w:rPr>
          <w:noProof/>
          <w:lang w:val="en-IE"/>
        </w:rPr>
        <w:t xml:space="preserve">only few customers use </w:t>
      </w:r>
      <w:r w:rsidR="000E00B9">
        <w:rPr>
          <w:noProof/>
          <w:lang w:val="en-IE"/>
        </w:rPr>
        <w:t xml:space="preserve">a large breadth </w:t>
      </w:r>
      <w:r w:rsidR="00681D1D">
        <w:rPr>
          <w:noProof/>
          <w:lang w:val="en-IE"/>
        </w:rPr>
        <w:t xml:space="preserve">of services </w:t>
      </w:r>
      <w:r w:rsidR="00AF37E6">
        <w:rPr>
          <w:noProof/>
          <w:lang w:val="en-IE"/>
        </w:rPr>
        <w:t>from hyperscalers.</w:t>
      </w:r>
      <w:r w:rsidR="00BC0C0F">
        <w:rPr>
          <w:rStyle w:val="FootnoteReference"/>
          <w:noProof/>
          <w:lang w:val="en-IE"/>
        </w:rPr>
        <w:footnoteReference w:id="48"/>
      </w:r>
    </w:p>
    <w:p w14:paraId="32F52F68" w14:textId="2A63655C" w:rsidR="00E01CB7" w:rsidRDefault="00DC7F23" w:rsidP="00E61374">
      <w:pPr>
        <w:rPr>
          <w:noProof/>
        </w:rPr>
      </w:pPr>
      <w:r>
        <w:rPr>
          <w:noProof/>
        </w:rPr>
        <w:t>A</w:t>
      </w:r>
      <w:r w:rsidR="00E61374">
        <w:rPr>
          <w:noProof/>
        </w:rPr>
        <w:t>nother factor</w:t>
      </w:r>
      <w:r w:rsidR="00E54D84">
        <w:rPr>
          <w:noProof/>
        </w:rPr>
        <w:t xml:space="preserve"> for the low adoption of European offers</w:t>
      </w:r>
      <w:r w:rsidR="00E61374">
        <w:rPr>
          <w:noProof/>
        </w:rPr>
        <w:t xml:space="preserve"> is</w:t>
      </w:r>
      <w:r w:rsidR="00E54D84">
        <w:rPr>
          <w:noProof/>
        </w:rPr>
        <w:t xml:space="preserve"> the</w:t>
      </w:r>
      <w:r w:rsidR="00E61374">
        <w:rPr>
          <w:noProof/>
        </w:rPr>
        <w:t xml:space="preserve"> limited visibility</w:t>
      </w:r>
      <w:r w:rsidR="0005547C">
        <w:rPr>
          <w:noProof/>
        </w:rPr>
        <w:t xml:space="preserve"> </w:t>
      </w:r>
      <w:r w:rsidR="00E54D84">
        <w:rPr>
          <w:noProof/>
        </w:rPr>
        <w:t>of said offers,</w:t>
      </w:r>
      <w:r w:rsidR="0005547C">
        <w:rPr>
          <w:noProof/>
        </w:rPr>
        <w:t xml:space="preserve"> as exemplified by </w:t>
      </w:r>
      <w:r w:rsidR="004837E7">
        <w:rPr>
          <w:noProof/>
        </w:rPr>
        <w:t xml:space="preserve">market reports </w:t>
      </w:r>
      <w:r w:rsidR="00E54D84">
        <w:rPr>
          <w:noProof/>
        </w:rPr>
        <w:t xml:space="preserve">which </w:t>
      </w:r>
      <w:r w:rsidR="004837E7">
        <w:rPr>
          <w:noProof/>
        </w:rPr>
        <w:t>rarely mention</w:t>
      </w:r>
      <w:r w:rsidR="00E61374">
        <w:rPr>
          <w:noProof/>
        </w:rPr>
        <w:t xml:space="preserve"> European providers</w:t>
      </w:r>
      <w:r w:rsidR="00E61374">
        <w:rPr>
          <w:rStyle w:val="EndnoteReference"/>
          <w:noProof/>
        </w:rPr>
        <w:endnoteReference w:id="112"/>
      </w:r>
      <w:r w:rsidR="00E61374">
        <w:rPr>
          <w:noProof/>
        </w:rPr>
        <w:t>. All this</w:t>
      </w:r>
      <w:r w:rsidR="00E61374" w:rsidRPr="00D37004">
        <w:rPr>
          <w:noProof/>
        </w:rPr>
        <w:t xml:space="preserve"> places a high </w:t>
      </w:r>
      <w:r w:rsidR="00E61374" w:rsidRPr="2A6A1A3F">
        <w:rPr>
          <w:b/>
          <w:bCs/>
          <w:i/>
          <w:iCs/>
          <w:noProof/>
        </w:rPr>
        <w:t>commercial barrier to greater uptake of European cloud and AI</w:t>
      </w:r>
      <w:r w:rsidR="00E61374" w:rsidRPr="00D37004">
        <w:rPr>
          <w:noProof/>
        </w:rPr>
        <w:t xml:space="preserve"> </w:t>
      </w:r>
      <w:r w:rsidR="00E61374" w:rsidRPr="2A6A1A3F">
        <w:rPr>
          <w:b/>
          <w:bCs/>
          <w:i/>
          <w:iCs/>
          <w:noProof/>
        </w:rPr>
        <w:t>computing services</w:t>
      </w:r>
      <w:r w:rsidR="00E61374" w:rsidRPr="00D37004">
        <w:rPr>
          <w:noProof/>
        </w:rPr>
        <w:t xml:space="preserve">. </w:t>
      </w:r>
    </w:p>
    <w:p w14:paraId="262BA8D9" w14:textId="5080A490" w:rsidR="00E72750" w:rsidRDefault="00587965" w:rsidP="00E61374">
      <w:pPr>
        <w:rPr>
          <w:noProof/>
        </w:rPr>
      </w:pPr>
      <w:r>
        <w:rPr>
          <w:noProof/>
        </w:rPr>
        <w:t>T</w:t>
      </w:r>
      <w:r w:rsidRPr="00D37004">
        <w:rPr>
          <w:noProof/>
        </w:rPr>
        <w:t>he</w:t>
      </w:r>
      <w:r>
        <w:rPr>
          <w:noProof/>
        </w:rPr>
        <w:t xml:space="preserve"> hyperscalers’</w:t>
      </w:r>
      <w:r w:rsidRPr="00D37004">
        <w:rPr>
          <w:noProof/>
        </w:rPr>
        <w:t xml:space="preserve"> size </w:t>
      </w:r>
      <w:r w:rsidR="00685FED">
        <w:rPr>
          <w:noProof/>
        </w:rPr>
        <w:t xml:space="preserve">also </w:t>
      </w:r>
      <w:r w:rsidRPr="00D37004">
        <w:rPr>
          <w:noProof/>
        </w:rPr>
        <w:t>allows them to better overcome barriers for offering their services across the EU</w:t>
      </w:r>
      <w:r w:rsidRPr="00D37004">
        <w:rPr>
          <w:rStyle w:val="FootnoteReference"/>
          <w:noProof/>
        </w:rPr>
        <w:footnoteReference w:id="49"/>
      </w:r>
      <w:r w:rsidRPr="00D37004">
        <w:rPr>
          <w:noProof/>
        </w:rPr>
        <w:t xml:space="preserve">. </w:t>
      </w:r>
      <w:r w:rsidR="00685FED">
        <w:rPr>
          <w:noProof/>
        </w:rPr>
        <w:t>Consequently,</w:t>
      </w:r>
      <w:r w:rsidRPr="00D37004">
        <w:rPr>
          <w:noProof/>
        </w:rPr>
        <w:t xml:space="preserve"> </w:t>
      </w:r>
      <w:r w:rsidR="00E61374" w:rsidRPr="00D37004">
        <w:rPr>
          <w:noProof/>
        </w:rPr>
        <w:t>European providers</w:t>
      </w:r>
      <w:r w:rsidR="00E61374" w:rsidRPr="00D37004" w:rsidDel="00834D57">
        <w:rPr>
          <w:noProof/>
        </w:rPr>
        <w:t xml:space="preserve"> </w:t>
      </w:r>
      <w:r w:rsidR="00E61374" w:rsidRPr="00D37004">
        <w:rPr>
          <w:noProof/>
        </w:rPr>
        <w:t>often focus on highly specialised market segments, such as the treatment of sensitive workloads</w:t>
      </w:r>
      <w:r w:rsidR="00D4306E">
        <w:rPr>
          <w:noProof/>
        </w:rPr>
        <w:t xml:space="preserve"> requiring high</w:t>
      </w:r>
      <w:r w:rsidR="00EF2AB1">
        <w:rPr>
          <w:noProof/>
        </w:rPr>
        <w:t>-quality and secure services</w:t>
      </w:r>
      <w:r w:rsidR="00E61374" w:rsidRPr="00D37004">
        <w:rPr>
          <w:rStyle w:val="EndnoteReference"/>
          <w:noProof/>
        </w:rPr>
        <w:endnoteReference w:id="113"/>
      </w:r>
      <w:r w:rsidR="00E61374" w:rsidRPr="00D37004">
        <w:rPr>
          <w:noProof/>
        </w:rPr>
        <w:t xml:space="preserve">. </w:t>
      </w:r>
      <w:r w:rsidR="00247108">
        <w:rPr>
          <w:noProof/>
        </w:rPr>
        <w:t>For example,</w:t>
      </w:r>
      <w:r w:rsidR="009A08A1">
        <w:rPr>
          <w:noProof/>
        </w:rPr>
        <w:t xml:space="preserve"> the Polish provider </w:t>
      </w:r>
      <w:r w:rsidR="00247108">
        <w:rPr>
          <w:noProof/>
        </w:rPr>
        <w:t>CloudFerro supp</w:t>
      </w:r>
      <w:r w:rsidR="00A9519D">
        <w:rPr>
          <w:noProof/>
        </w:rPr>
        <w:t xml:space="preserve">orts </w:t>
      </w:r>
      <w:r w:rsidR="00F3215E">
        <w:rPr>
          <w:noProof/>
        </w:rPr>
        <w:t xml:space="preserve">space-related use cases such as </w:t>
      </w:r>
      <w:r w:rsidR="00A9519D">
        <w:rPr>
          <w:noProof/>
        </w:rPr>
        <w:t>the ESA Civil Security programme</w:t>
      </w:r>
      <w:r w:rsidR="00F3215E">
        <w:rPr>
          <w:noProof/>
        </w:rPr>
        <w:t xml:space="preserve"> and CODE-DE, a German Copernicus Data and Exploitation Platform. </w:t>
      </w:r>
      <w:r w:rsidR="000247C2">
        <w:rPr>
          <w:noProof/>
        </w:rPr>
        <w:t xml:space="preserve">Italy’s leading </w:t>
      </w:r>
      <w:r w:rsidR="00D861FF">
        <w:rPr>
          <w:noProof/>
        </w:rPr>
        <w:t xml:space="preserve">provider </w:t>
      </w:r>
      <w:r w:rsidR="006F6474">
        <w:rPr>
          <w:noProof/>
        </w:rPr>
        <w:t xml:space="preserve">Aruba </w:t>
      </w:r>
      <w:r w:rsidR="00B23C81">
        <w:rPr>
          <w:noProof/>
        </w:rPr>
        <w:t>provides the country’s eID services.</w:t>
      </w:r>
      <w:r w:rsidR="00E61374" w:rsidRPr="00D37004">
        <w:rPr>
          <w:noProof/>
        </w:rPr>
        <w:t xml:space="preserve"> </w:t>
      </w:r>
      <w:r w:rsidR="00D744FB">
        <w:rPr>
          <w:noProof/>
        </w:rPr>
        <w:t xml:space="preserve">The </w:t>
      </w:r>
      <w:r w:rsidR="007430F9">
        <w:rPr>
          <w:noProof/>
        </w:rPr>
        <w:t>general</w:t>
      </w:r>
      <w:r w:rsidR="00D744FB">
        <w:rPr>
          <w:noProof/>
        </w:rPr>
        <w:t xml:space="preserve"> high quality of services </w:t>
      </w:r>
      <w:r w:rsidR="00645C45">
        <w:rPr>
          <w:noProof/>
        </w:rPr>
        <w:t>is highlighted</w:t>
      </w:r>
      <w:r w:rsidR="007430F9">
        <w:rPr>
          <w:noProof/>
        </w:rPr>
        <w:t>, for example,</w:t>
      </w:r>
      <w:r w:rsidR="00D744FB">
        <w:rPr>
          <w:noProof/>
        </w:rPr>
        <w:t xml:space="preserve"> by </w:t>
      </w:r>
      <w:r w:rsidR="00645C45">
        <w:rPr>
          <w:noProof/>
        </w:rPr>
        <w:t xml:space="preserve">the recognition of OVHCloud </w:t>
      </w:r>
      <w:r w:rsidR="007430F9">
        <w:rPr>
          <w:noProof/>
        </w:rPr>
        <w:t xml:space="preserve">and Scaleway </w:t>
      </w:r>
      <w:r w:rsidR="00645C45">
        <w:rPr>
          <w:noProof/>
        </w:rPr>
        <w:t>in Gartner</w:t>
      </w:r>
      <w:r w:rsidR="003F7DB3">
        <w:rPr>
          <w:noProof/>
        </w:rPr>
        <w:t>’s list of best</w:t>
      </w:r>
      <w:r w:rsidR="00645C45">
        <w:rPr>
          <w:noProof/>
        </w:rPr>
        <w:t xml:space="preserve"> Strategic Cloud Platform Services</w:t>
      </w:r>
      <w:r w:rsidR="00020C17">
        <w:rPr>
          <w:rStyle w:val="EndnoteReference"/>
          <w:noProof/>
        </w:rPr>
        <w:endnoteReference w:id="114"/>
      </w:r>
      <w:r w:rsidR="00645C45">
        <w:rPr>
          <w:noProof/>
        </w:rPr>
        <w:t>.</w:t>
      </w:r>
      <w:r w:rsidR="009C2A47">
        <w:rPr>
          <w:noProof/>
        </w:rPr>
        <w:t xml:space="preserve"> </w:t>
      </w:r>
      <w:r w:rsidR="002C2747">
        <w:rPr>
          <w:noProof/>
        </w:rPr>
        <w:t>Nevertheless,</w:t>
      </w:r>
      <w:r w:rsidR="00D744FB">
        <w:rPr>
          <w:noProof/>
        </w:rPr>
        <w:t xml:space="preserve"> </w:t>
      </w:r>
      <w:r w:rsidR="00D744FB" w:rsidRPr="2A6A1A3F">
        <w:rPr>
          <w:b/>
          <w:bCs/>
          <w:i/>
          <w:iCs/>
          <w:noProof/>
        </w:rPr>
        <w:t>European CSPs</w:t>
      </w:r>
      <w:r w:rsidR="00E61374" w:rsidRPr="2A6A1A3F">
        <w:rPr>
          <w:b/>
          <w:bCs/>
          <w:i/>
          <w:iCs/>
          <w:noProof/>
        </w:rPr>
        <w:t xml:space="preserve"> are typically geared towards their home market</w:t>
      </w:r>
      <w:r w:rsidR="002C2747" w:rsidRPr="2A6A1A3F">
        <w:rPr>
          <w:i/>
          <w:iCs/>
          <w:noProof/>
        </w:rPr>
        <w:t xml:space="preserve">. </w:t>
      </w:r>
      <w:r w:rsidR="002C2747">
        <w:rPr>
          <w:noProof/>
        </w:rPr>
        <w:t xml:space="preserve">For example, </w:t>
      </w:r>
      <w:r w:rsidR="00E61374" w:rsidRPr="00D37004">
        <w:rPr>
          <w:noProof/>
        </w:rPr>
        <w:t xml:space="preserve">OVHcloud generates 48% of its revenues in France compared to 29% in other European countries and 26% in the rest of the world. </w:t>
      </w:r>
      <w:r w:rsidR="001E2C86">
        <w:rPr>
          <w:noProof/>
        </w:rPr>
        <w:t>Similarly, IONOS</w:t>
      </w:r>
      <w:r w:rsidR="00AC0CC1">
        <w:rPr>
          <w:noProof/>
        </w:rPr>
        <w:t xml:space="preserve"> generated 56% of its revenue in 2024 in Germany</w:t>
      </w:r>
      <w:r w:rsidR="009A17DF">
        <w:rPr>
          <w:noProof/>
        </w:rPr>
        <w:t xml:space="preserve">, </w:t>
      </w:r>
      <w:r w:rsidR="00A9330A">
        <w:rPr>
          <w:noProof/>
        </w:rPr>
        <w:t>as compared to only</w:t>
      </w:r>
      <w:r w:rsidR="00787729">
        <w:rPr>
          <w:noProof/>
        </w:rPr>
        <w:t xml:space="preserve"> 8% in Spain, 5% </w:t>
      </w:r>
      <w:r w:rsidR="00A9330A">
        <w:rPr>
          <w:noProof/>
        </w:rPr>
        <w:t xml:space="preserve">in </w:t>
      </w:r>
      <w:r w:rsidR="00787729">
        <w:rPr>
          <w:noProof/>
        </w:rPr>
        <w:t xml:space="preserve">France, and 3% in Poland as </w:t>
      </w:r>
      <w:r w:rsidR="00A9330A">
        <w:rPr>
          <w:noProof/>
        </w:rPr>
        <w:t>the next biggest markets</w:t>
      </w:r>
      <w:r w:rsidR="005B1D18">
        <w:rPr>
          <w:noProof/>
        </w:rPr>
        <w:t xml:space="preserve"> in the EU</w:t>
      </w:r>
      <w:r w:rsidR="005B1D18">
        <w:rPr>
          <w:rStyle w:val="FootnoteReference"/>
          <w:noProof/>
        </w:rPr>
        <w:footnoteReference w:id="50"/>
      </w:r>
      <w:r w:rsidR="00A9330A">
        <w:rPr>
          <w:noProof/>
        </w:rPr>
        <w:t>.</w:t>
      </w:r>
      <w:r w:rsidR="00787729">
        <w:rPr>
          <w:noProof/>
        </w:rPr>
        <w:t xml:space="preserve"> </w:t>
      </w:r>
      <w:r w:rsidR="00747870">
        <w:rPr>
          <w:noProof/>
        </w:rPr>
        <w:t>Th</w:t>
      </w:r>
      <w:r w:rsidR="00172D9D">
        <w:rPr>
          <w:noProof/>
        </w:rPr>
        <w:t xml:space="preserve">is phenomenon </w:t>
      </w:r>
      <w:r w:rsidR="00747870">
        <w:rPr>
          <w:noProof/>
        </w:rPr>
        <w:t xml:space="preserve">is even more pronounced in the </w:t>
      </w:r>
      <w:r w:rsidR="00253B90">
        <w:rPr>
          <w:noProof/>
        </w:rPr>
        <w:t>Italian market</w:t>
      </w:r>
      <w:r w:rsidR="00747870">
        <w:rPr>
          <w:noProof/>
        </w:rPr>
        <w:t xml:space="preserve">. </w:t>
      </w:r>
      <w:r w:rsidR="00717291">
        <w:rPr>
          <w:noProof/>
        </w:rPr>
        <w:t xml:space="preserve">89.7% of Aruba customer base </w:t>
      </w:r>
      <w:r w:rsidR="0013036B">
        <w:rPr>
          <w:noProof/>
        </w:rPr>
        <w:t>is</w:t>
      </w:r>
      <w:r w:rsidR="00717291">
        <w:rPr>
          <w:noProof/>
        </w:rPr>
        <w:t xml:space="preserve"> in Italy</w:t>
      </w:r>
      <w:r w:rsidR="002779BB">
        <w:rPr>
          <w:noProof/>
        </w:rPr>
        <w:t>,</w:t>
      </w:r>
      <w:r w:rsidR="0013036B">
        <w:rPr>
          <w:noProof/>
        </w:rPr>
        <w:t xml:space="preserve"> followed by</w:t>
      </w:r>
      <w:r w:rsidR="00717291">
        <w:rPr>
          <w:noProof/>
        </w:rPr>
        <w:t xml:space="preserve"> only </w:t>
      </w:r>
      <w:r w:rsidR="00795716">
        <w:rPr>
          <w:noProof/>
        </w:rPr>
        <w:t>0.6% in Spain and 0.5% in France</w:t>
      </w:r>
      <w:r w:rsidR="0013036B">
        <w:rPr>
          <w:rStyle w:val="FootnoteReference"/>
          <w:noProof/>
        </w:rPr>
        <w:footnoteReference w:id="51"/>
      </w:r>
      <w:r w:rsidR="00795716">
        <w:rPr>
          <w:noProof/>
        </w:rPr>
        <w:t xml:space="preserve">. </w:t>
      </w:r>
      <w:r w:rsidR="002779BB">
        <w:rPr>
          <w:noProof/>
        </w:rPr>
        <w:t xml:space="preserve">In 2021, </w:t>
      </w:r>
      <w:r w:rsidR="004F2FEA">
        <w:rPr>
          <w:noProof/>
        </w:rPr>
        <w:t xml:space="preserve">the </w:t>
      </w:r>
      <w:r w:rsidR="004F2FEA" w:rsidRPr="00D37004">
        <w:rPr>
          <w:noProof/>
        </w:rPr>
        <w:t xml:space="preserve">European Alliance on Industrial Data, Edge and Cloud </w:t>
      </w:r>
      <w:r w:rsidR="004F2FEA">
        <w:rPr>
          <w:noProof/>
        </w:rPr>
        <w:t xml:space="preserve">gathering all main European cloud providers pointed out </w:t>
      </w:r>
      <w:r w:rsidR="00EC4587">
        <w:rPr>
          <w:noProof/>
        </w:rPr>
        <w:t>their lack of ability to exploit the S</w:t>
      </w:r>
      <w:r w:rsidR="007172EC">
        <w:rPr>
          <w:noProof/>
        </w:rPr>
        <w:t xml:space="preserve">ingle Market and offer their services across borders efficiently as one of the main </w:t>
      </w:r>
      <w:r w:rsidR="00764B28">
        <w:rPr>
          <w:noProof/>
        </w:rPr>
        <w:t xml:space="preserve">barriers to scaling up and </w:t>
      </w:r>
      <w:r w:rsidR="00173221">
        <w:rPr>
          <w:noProof/>
        </w:rPr>
        <w:t>being able to compete</w:t>
      </w:r>
      <w:r w:rsidR="00DC1DB2">
        <w:rPr>
          <w:noProof/>
        </w:rPr>
        <w:t xml:space="preserve"> with non-European providers</w:t>
      </w:r>
      <w:r w:rsidR="00B8149A">
        <w:rPr>
          <w:rStyle w:val="FootnoteReference"/>
          <w:noProof/>
        </w:rPr>
        <w:footnoteReference w:id="52"/>
      </w:r>
      <w:r w:rsidR="00DC1DB2">
        <w:rPr>
          <w:noProof/>
        </w:rPr>
        <w:t xml:space="preserve">. </w:t>
      </w:r>
      <w:r w:rsidR="00E61374" w:rsidRPr="00D37004">
        <w:rPr>
          <w:noProof/>
        </w:rPr>
        <w:t xml:space="preserve">This, paired with the absence of effective interoperability </w:t>
      </w:r>
      <w:r w:rsidR="00E61374">
        <w:rPr>
          <w:noProof/>
        </w:rPr>
        <w:t xml:space="preserve">mechanisms across services </w:t>
      </w:r>
      <w:r w:rsidR="00E61374" w:rsidRPr="00D37004">
        <w:rPr>
          <w:noProof/>
        </w:rPr>
        <w:t xml:space="preserve">or </w:t>
      </w:r>
      <w:r w:rsidR="00E61374">
        <w:rPr>
          <w:noProof/>
        </w:rPr>
        <w:t>solutions that allow for a</w:t>
      </w:r>
      <w:r w:rsidR="00E61374" w:rsidRPr="00D37004">
        <w:rPr>
          <w:noProof/>
        </w:rPr>
        <w:t xml:space="preserve"> federation </w:t>
      </w:r>
      <w:r w:rsidR="00E61374">
        <w:rPr>
          <w:noProof/>
        </w:rPr>
        <w:t>of cloud resources among CSPs</w:t>
      </w:r>
      <w:r w:rsidR="00E61374" w:rsidRPr="00D37004">
        <w:rPr>
          <w:noProof/>
        </w:rPr>
        <w:t xml:space="preserve">, prevents European providers from achieving economies of scale (see also section </w:t>
      </w:r>
      <w:r w:rsidR="00E61374" w:rsidRPr="00D37004">
        <w:rPr>
          <w:noProof/>
        </w:rPr>
        <w:fldChar w:fldCharType="begin"/>
      </w:r>
      <w:r w:rsidR="00E61374" w:rsidRPr="00D37004">
        <w:rPr>
          <w:noProof/>
        </w:rPr>
        <w:instrText xml:space="preserve"> REF _Ref209045324 \r \h </w:instrText>
      </w:r>
      <w:r w:rsidR="00E61374" w:rsidRPr="00D37004">
        <w:rPr>
          <w:noProof/>
        </w:rPr>
      </w:r>
      <w:r w:rsidR="00E61374" w:rsidRPr="00D37004">
        <w:rPr>
          <w:noProof/>
        </w:rPr>
        <w:fldChar w:fldCharType="separate"/>
      </w:r>
      <w:r w:rsidR="00137E65">
        <w:rPr>
          <w:noProof/>
        </w:rPr>
        <w:t>2.2.2</w:t>
      </w:r>
      <w:r w:rsidR="00E61374" w:rsidRPr="00D37004">
        <w:rPr>
          <w:noProof/>
        </w:rPr>
        <w:fldChar w:fldCharType="end"/>
      </w:r>
      <w:r w:rsidR="00E61374" w:rsidRPr="00D37004">
        <w:rPr>
          <w:noProof/>
        </w:rPr>
        <w:t>).</w:t>
      </w:r>
    </w:p>
    <w:p w14:paraId="0CA70F8C" w14:textId="097B7ADE" w:rsidR="00FF359A" w:rsidRDefault="00F05ECD" w:rsidP="00FF359A">
      <w:pPr>
        <w:rPr>
          <w:noProof/>
          <w:lang w:val="en-IE"/>
        </w:rPr>
      </w:pPr>
      <w:r>
        <w:rPr>
          <w:noProof/>
        </w:rPr>
        <w:t xml:space="preserve">Taking the considerations above, and </w:t>
      </w:r>
      <w:r>
        <w:rPr>
          <w:noProof/>
          <w:lang w:val="en-IE"/>
        </w:rPr>
        <w:t>u</w:t>
      </w:r>
      <w:r w:rsidR="00FF359A" w:rsidRPr="00E16597">
        <w:rPr>
          <w:noProof/>
          <w:lang w:val="en-IE"/>
        </w:rPr>
        <w:t xml:space="preserve">nder the same market conditions, </w:t>
      </w:r>
      <w:r w:rsidR="00FF359A" w:rsidRPr="009A4CA3">
        <w:rPr>
          <w:b/>
          <w:i/>
          <w:noProof/>
          <w:lang w:val="en-IE"/>
        </w:rPr>
        <w:t>US hyperscalers have been able to thrive in the EU</w:t>
      </w:r>
      <w:r w:rsidR="002D2DE3">
        <w:rPr>
          <w:noProof/>
          <w:lang w:val="en-IE"/>
        </w:rPr>
        <w:t xml:space="preserve"> </w:t>
      </w:r>
      <w:r w:rsidR="002D2DE3" w:rsidRPr="009A4CA3">
        <w:rPr>
          <w:b/>
          <w:i/>
          <w:noProof/>
          <w:lang w:val="en-IE"/>
        </w:rPr>
        <w:t>while their local competitors have not</w:t>
      </w:r>
      <w:r w:rsidR="002D2DE3">
        <w:rPr>
          <w:noProof/>
          <w:lang w:val="en-IE"/>
        </w:rPr>
        <w:t>.</w:t>
      </w:r>
      <w:r w:rsidR="00FF359A">
        <w:rPr>
          <w:noProof/>
          <w:lang w:val="en-IE"/>
        </w:rPr>
        <w:t xml:space="preserve"> </w:t>
      </w:r>
      <w:r w:rsidR="009A420F">
        <w:rPr>
          <w:noProof/>
          <w:lang w:val="en-IE"/>
        </w:rPr>
        <w:t>The hyperscalers</w:t>
      </w:r>
      <w:r w:rsidR="00FF359A">
        <w:rPr>
          <w:noProof/>
          <w:lang w:val="en-IE"/>
        </w:rPr>
        <w:t xml:space="preserve"> are able to exploit massive economies of scale, integrated ecosystems with default interoperability across services and high capital expenditure, which allow them to offer cheaper and broader services. Due to their global scale and capital, hyperscalers are able to </w:t>
      </w:r>
      <w:r w:rsidR="006F69B0">
        <w:rPr>
          <w:noProof/>
          <w:lang w:val="en-IE"/>
        </w:rPr>
        <w:t>spread</w:t>
      </w:r>
      <w:r w:rsidR="00FF359A">
        <w:rPr>
          <w:noProof/>
          <w:lang w:val="en-IE"/>
        </w:rPr>
        <w:t xml:space="preserve"> compliance costs across the different national markets </w:t>
      </w:r>
      <w:r w:rsidR="008344A5">
        <w:rPr>
          <w:noProof/>
          <w:lang w:val="en-IE"/>
        </w:rPr>
        <w:t>over a large revenue base</w:t>
      </w:r>
      <w:r w:rsidR="002E1DCA">
        <w:rPr>
          <w:noProof/>
          <w:lang w:val="en-IE"/>
        </w:rPr>
        <w:t xml:space="preserve">, amortizing them across scale so the average compliance cost per </w:t>
      </w:r>
      <w:r w:rsidR="00166615">
        <w:rPr>
          <w:noProof/>
          <w:lang w:val="en-IE"/>
        </w:rPr>
        <w:t>unit of revenue (e.g. service) falls with scale.</w:t>
      </w:r>
      <w:r w:rsidR="00FF359A">
        <w:rPr>
          <w:noProof/>
          <w:lang w:val="en-IE"/>
        </w:rPr>
        <w:t xml:space="preserve"> Conversely, European providers remain sub-scale and confined to niche segments, focused mainly on their own national markets and legal regimes. The services offered</w:t>
      </w:r>
      <w:r w:rsidR="003E47A9">
        <w:rPr>
          <w:noProof/>
          <w:lang w:val="en-IE"/>
        </w:rPr>
        <w:t xml:space="preserve"> by EU providers</w:t>
      </w:r>
      <w:r w:rsidR="00FF359A">
        <w:rPr>
          <w:noProof/>
          <w:lang w:val="en-IE"/>
        </w:rPr>
        <w:t>, while equal in innovation and quality, are not as integrated as the services offered by the hyperscalers</w:t>
      </w:r>
      <w:r w:rsidR="00AE67C3">
        <w:rPr>
          <w:noProof/>
          <w:lang w:val="en-IE"/>
        </w:rPr>
        <w:t xml:space="preserve"> </w:t>
      </w:r>
      <w:r w:rsidR="008C1990">
        <w:rPr>
          <w:noProof/>
          <w:lang w:val="en-IE"/>
        </w:rPr>
        <w:t>n</w:t>
      </w:r>
      <w:r w:rsidR="00AE67C3">
        <w:rPr>
          <w:noProof/>
          <w:lang w:val="en-IE"/>
        </w:rPr>
        <w:t xml:space="preserve">or </w:t>
      </w:r>
      <w:r w:rsidR="008C1990">
        <w:rPr>
          <w:noProof/>
          <w:lang w:val="en-IE"/>
        </w:rPr>
        <w:t>they</w:t>
      </w:r>
      <w:r w:rsidR="00AE67C3">
        <w:rPr>
          <w:noProof/>
          <w:lang w:val="en-IE"/>
        </w:rPr>
        <w:t xml:space="preserve"> benefit from a large</w:t>
      </w:r>
      <w:r w:rsidR="00AD35BE">
        <w:rPr>
          <w:noProof/>
          <w:lang w:val="en-IE"/>
        </w:rPr>
        <w:t xml:space="preserve"> ecosystem gravity</w:t>
      </w:r>
      <w:r w:rsidR="00FF359A">
        <w:rPr>
          <w:noProof/>
          <w:lang w:val="en-IE"/>
        </w:rPr>
        <w:t>, which prevent</w:t>
      </w:r>
      <w:r w:rsidR="000B01EC">
        <w:rPr>
          <w:noProof/>
          <w:lang w:val="en-IE"/>
        </w:rPr>
        <w:t>s</w:t>
      </w:r>
      <w:r w:rsidR="00FF359A">
        <w:rPr>
          <w:noProof/>
          <w:lang w:val="en-IE"/>
        </w:rPr>
        <w:t xml:space="preserve"> demand from pooling into contracts large enough to justify more investments. Due to the sub-scale, compliance costs </w:t>
      </w:r>
      <w:r w:rsidR="004A32A8">
        <w:rPr>
          <w:noProof/>
          <w:lang w:val="en-IE"/>
        </w:rPr>
        <w:t xml:space="preserve">for </w:t>
      </w:r>
      <w:r w:rsidR="001A106E">
        <w:rPr>
          <w:noProof/>
          <w:lang w:val="en-IE"/>
        </w:rPr>
        <w:t>EU providers</w:t>
      </w:r>
      <w:r w:rsidR="004A32A8">
        <w:rPr>
          <w:noProof/>
          <w:lang w:val="en-IE"/>
        </w:rPr>
        <w:t xml:space="preserve"> </w:t>
      </w:r>
      <w:r w:rsidR="004225FD">
        <w:rPr>
          <w:noProof/>
          <w:lang w:val="en-IE"/>
        </w:rPr>
        <w:t>remain higher</w:t>
      </w:r>
      <w:r w:rsidR="00222983">
        <w:rPr>
          <w:noProof/>
          <w:lang w:val="en-IE"/>
        </w:rPr>
        <w:t xml:space="preserve">, which may </w:t>
      </w:r>
      <w:r w:rsidR="00E7335F">
        <w:rPr>
          <w:noProof/>
          <w:lang w:val="en-IE"/>
        </w:rPr>
        <w:t>slow</w:t>
      </w:r>
      <w:r w:rsidR="00222983">
        <w:rPr>
          <w:noProof/>
          <w:lang w:val="en-IE"/>
        </w:rPr>
        <w:t xml:space="preserve"> them </w:t>
      </w:r>
      <w:r w:rsidR="003E3A22">
        <w:rPr>
          <w:noProof/>
          <w:lang w:val="en-IE"/>
        </w:rPr>
        <w:t>the</w:t>
      </w:r>
      <w:r w:rsidR="009E128F">
        <w:rPr>
          <w:noProof/>
          <w:lang w:val="en-IE"/>
        </w:rPr>
        <w:t xml:space="preserve"> </w:t>
      </w:r>
      <w:r w:rsidR="00222983">
        <w:rPr>
          <w:noProof/>
          <w:lang w:val="en-IE"/>
        </w:rPr>
        <w:t>releas</w:t>
      </w:r>
      <w:r w:rsidR="002C209F">
        <w:rPr>
          <w:noProof/>
          <w:lang w:val="en-IE"/>
        </w:rPr>
        <w:t>e</w:t>
      </w:r>
      <w:r w:rsidR="00222983">
        <w:rPr>
          <w:noProof/>
          <w:lang w:val="en-IE"/>
        </w:rPr>
        <w:t xml:space="preserve"> </w:t>
      </w:r>
      <w:r w:rsidR="003E3A22">
        <w:rPr>
          <w:noProof/>
          <w:lang w:val="en-IE"/>
        </w:rPr>
        <w:t>of</w:t>
      </w:r>
      <w:r w:rsidR="00222983">
        <w:rPr>
          <w:noProof/>
          <w:lang w:val="en-IE"/>
        </w:rPr>
        <w:t xml:space="preserve"> advanced features </w:t>
      </w:r>
      <w:r w:rsidR="00FA4C77">
        <w:rPr>
          <w:noProof/>
          <w:lang w:val="en-IE"/>
        </w:rPr>
        <w:t>that would allow them to meet the</w:t>
      </w:r>
      <w:r w:rsidR="00580062">
        <w:rPr>
          <w:noProof/>
          <w:lang w:val="en-IE"/>
        </w:rPr>
        <w:t xml:space="preserve"> expectations of</w:t>
      </w:r>
      <w:r w:rsidR="00FF359A">
        <w:rPr>
          <w:noProof/>
          <w:lang w:val="en-IE"/>
        </w:rPr>
        <w:t xml:space="preserve"> customers</w:t>
      </w:r>
      <w:r w:rsidR="00017282">
        <w:rPr>
          <w:noProof/>
          <w:lang w:val="en-IE"/>
        </w:rPr>
        <w:t xml:space="preserve"> operating in certain critical markets</w:t>
      </w:r>
      <w:r w:rsidR="00FA4C77">
        <w:rPr>
          <w:noProof/>
          <w:lang w:val="en-IE"/>
        </w:rPr>
        <w:t>.</w:t>
      </w:r>
      <w:r w:rsidR="00CF16BC">
        <w:rPr>
          <w:noProof/>
          <w:lang w:val="en-IE"/>
        </w:rPr>
        <w:t xml:space="preserve"> </w:t>
      </w:r>
    </w:p>
    <w:p w14:paraId="3FF6FFD9" w14:textId="7FB95D06" w:rsidR="005A07DF" w:rsidRDefault="00FF359A" w:rsidP="00E61374">
      <w:pPr>
        <w:rPr>
          <w:noProof/>
        </w:rPr>
      </w:pPr>
      <w:r w:rsidRPr="001C769B">
        <w:rPr>
          <w:noProof/>
          <w:lang w:val="en-US"/>
        </w:rPr>
        <w:t xml:space="preserve">The </w:t>
      </w:r>
      <w:r>
        <w:rPr>
          <w:noProof/>
        </w:rPr>
        <w:t>outcome</w:t>
      </w:r>
      <w:r w:rsidRPr="001C769B">
        <w:rPr>
          <w:noProof/>
          <w:lang w:val="en-US"/>
        </w:rPr>
        <w:t xml:space="preserve"> is a</w:t>
      </w:r>
      <w:r>
        <w:rPr>
          <w:noProof/>
        </w:rPr>
        <w:t xml:space="preserve"> </w:t>
      </w:r>
      <w:r w:rsidRPr="009A4CA3">
        <w:rPr>
          <w:b/>
          <w:i/>
          <w:noProof/>
          <w:lang w:val="en-US"/>
        </w:rPr>
        <w:t>Single Market failure</w:t>
      </w:r>
      <w:r w:rsidRPr="001C769B">
        <w:rPr>
          <w:noProof/>
          <w:lang w:val="en-US"/>
        </w:rPr>
        <w:t>: in a genuinely unified market,</w:t>
      </w:r>
      <w:r>
        <w:rPr>
          <w:noProof/>
        </w:rPr>
        <w:t xml:space="preserve"> all</w:t>
      </w:r>
      <w:r w:rsidRPr="001C769B">
        <w:rPr>
          <w:noProof/>
          <w:lang w:val="en-US"/>
        </w:rPr>
        <w:t xml:space="preserve"> providers should be able to scale across borders with relatively uniform rules, standards, and buying channels, allowing efficient firms to grow and compete on equal footing</w:t>
      </w:r>
      <w:r>
        <w:rPr>
          <w:noProof/>
        </w:rPr>
        <w:t xml:space="preserve">. However, </w:t>
      </w:r>
      <w:r w:rsidRPr="001C769B">
        <w:rPr>
          <w:noProof/>
          <w:lang w:val="en-US"/>
        </w:rPr>
        <w:t>persistent regulatory and contractual heterogeneity</w:t>
      </w:r>
      <w:r>
        <w:rPr>
          <w:noProof/>
        </w:rPr>
        <w:t xml:space="preserve"> and fragmentation</w:t>
      </w:r>
      <w:r w:rsidR="00E17458">
        <w:rPr>
          <w:noProof/>
        </w:rPr>
        <w:t xml:space="preserve"> </w:t>
      </w:r>
      <w:r w:rsidR="002020CD">
        <w:rPr>
          <w:noProof/>
        </w:rPr>
        <w:t>(see</w:t>
      </w:r>
      <w:r w:rsidR="00E17458">
        <w:rPr>
          <w:noProof/>
        </w:rPr>
        <w:t xml:space="preserve"> </w:t>
      </w:r>
      <w:r w:rsidR="00E155AD">
        <w:rPr>
          <w:noProof/>
        </w:rPr>
        <w:t xml:space="preserve">also </w:t>
      </w:r>
      <w:r w:rsidR="004B5034">
        <w:rPr>
          <w:noProof/>
        </w:rPr>
        <w:t>next sections</w:t>
      </w:r>
      <w:r w:rsidR="002020CD">
        <w:rPr>
          <w:noProof/>
        </w:rPr>
        <w:t>)</w:t>
      </w:r>
      <w:r>
        <w:rPr>
          <w:noProof/>
        </w:rPr>
        <w:t>, as well as</w:t>
      </w:r>
      <w:r w:rsidRPr="001C769B">
        <w:rPr>
          <w:noProof/>
          <w:lang w:val="en-US"/>
        </w:rPr>
        <w:t xml:space="preserve"> siloed demand</w:t>
      </w:r>
      <w:r w:rsidR="15479BA3" w:rsidRPr="26F4F347">
        <w:rPr>
          <w:noProof/>
          <w:lang w:val="en-US"/>
        </w:rPr>
        <w:t>,</w:t>
      </w:r>
      <w:r w:rsidRPr="001C769B">
        <w:rPr>
          <w:noProof/>
          <w:lang w:val="en-US"/>
        </w:rPr>
        <w:t xml:space="preserve"> mean that the EU’s </w:t>
      </w:r>
      <w:r w:rsidRPr="001C769B">
        <w:rPr>
          <w:noProof/>
        </w:rPr>
        <w:t>market remains de facto segmented, so network effects and economies of scale accrue disproportionately to already</w:t>
      </w:r>
      <w:r>
        <w:rPr>
          <w:noProof/>
        </w:rPr>
        <w:t xml:space="preserve"> </w:t>
      </w:r>
      <w:r w:rsidRPr="001C769B">
        <w:rPr>
          <w:noProof/>
        </w:rPr>
        <w:t xml:space="preserve">scaled non-EU incumbents rather than enabling EU-based </w:t>
      </w:r>
      <w:r>
        <w:rPr>
          <w:noProof/>
        </w:rPr>
        <w:t>providers</w:t>
      </w:r>
      <w:r w:rsidRPr="001C769B">
        <w:rPr>
          <w:noProof/>
        </w:rPr>
        <w:t xml:space="preserve"> to reach competitive size.</w:t>
      </w:r>
    </w:p>
    <w:p w14:paraId="4A317B51" w14:textId="4F3B8D44" w:rsidR="00E61374" w:rsidRPr="00D37004" w:rsidRDefault="00E61374" w:rsidP="006B5183">
      <w:pPr>
        <w:pStyle w:val="Heading3"/>
        <w:rPr>
          <w:noProof/>
        </w:rPr>
      </w:pPr>
      <w:r>
        <w:rPr>
          <w:noProof/>
        </w:rPr>
        <w:t xml:space="preserve">Problem Driver 2 (PD2): Bottlenecks </w:t>
      </w:r>
      <w:r w:rsidR="00711971">
        <w:rPr>
          <w:noProof/>
        </w:rPr>
        <w:t>slowing down data centre expansion</w:t>
      </w:r>
    </w:p>
    <w:p w14:paraId="19FAD32B" w14:textId="21B344D5" w:rsidR="00DE11BA" w:rsidRDefault="00910468" w:rsidP="00791E97">
      <w:pPr>
        <w:rPr>
          <w:bCs/>
          <w:iCs/>
          <w:noProof/>
        </w:rPr>
      </w:pPr>
      <w:r>
        <w:rPr>
          <w:bCs/>
          <w:iCs/>
          <w:noProof/>
        </w:rPr>
        <w:t xml:space="preserve">The second driver concerns </w:t>
      </w:r>
      <w:r w:rsidR="00AD16C9">
        <w:rPr>
          <w:bCs/>
          <w:iCs/>
          <w:noProof/>
        </w:rPr>
        <w:t xml:space="preserve">bottlenecks and </w:t>
      </w:r>
      <w:r>
        <w:rPr>
          <w:bCs/>
          <w:iCs/>
          <w:noProof/>
        </w:rPr>
        <w:t xml:space="preserve">regulatory fragmentation, which have </w:t>
      </w:r>
      <w:r w:rsidR="009B64C7">
        <w:rPr>
          <w:bCs/>
          <w:iCs/>
          <w:noProof/>
        </w:rPr>
        <w:t xml:space="preserve">contributed to slowing </w:t>
      </w:r>
      <w:r>
        <w:rPr>
          <w:bCs/>
          <w:iCs/>
          <w:noProof/>
        </w:rPr>
        <w:t xml:space="preserve">the expansion of </w:t>
      </w:r>
      <w:r w:rsidR="001E7D3E">
        <w:rPr>
          <w:bCs/>
          <w:iCs/>
          <w:noProof/>
        </w:rPr>
        <w:t xml:space="preserve">data centre deployment, </w:t>
      </w:r>
      <w:r w:rsidR="009B64C7">
        <w:rPr>
          <w:bCs/>
          <w:iCs/>
          <w:noProof/>
        </w:rPr>
        <w:t xml:space="preserve">reducing </w:t>
      </w:r>
      <w:r w:rsidR="001E7D3E">
        <w:rPr>
          <w:bCs/>
          <w:iCs/>
          <w:noProof/>
        </w:rPr>
        <w:t>attractiveness of Europe for investors and as a result contributed to limited computing capacity and persistent geographic imbalance</w:t>
      </w:r>
      <w:r w:rsidR="00F65DE4">
        <w:rPr>
          <w:bCs/>
          <w:iCs/>
          <w:noProof/>
        </w:rPr>
        <w:t>s</w:t>
      </w:r>
      <w:r w:rsidR="001E7D3E">
        <w:rPr>
          <w:bCs/>
          <w:iCs/>
          <w:noProof/>
        </w:rPr>
        <w:t>.</w:t>
      </w:r>
    </w:p>
    <w:p w14:paraId="1C0EC7EF" w14:textId="129BBAE3" w:rsidR="00743879" w:rsidRPr="00C97253" w:rsidRDefault="00716814" w:rsidP="00791E97">
      <w:pPr>
        <w:rPr>
          <w:noProof/>
          <w:lang w:val="en-IE"/>
        </w:rPr>
      </w:pPr>
      <w:r>
        <w:rPr>
          <w:noProof/>
        </w:rPr>
        <w:t>Companies seeking to build data centres in the EU are faced with a fragmented policy and regulatory environment</w:t>
      </w:r>
      <w:r w:rsidR="000F343D">
        <w:rPr>
          <w:rStyle w:val="FootnoteReference"/>
          <w:noProof/>
        </w:rPr>
        <w:footnoteReference w:id="53"/>
      </w:r>
      <w:r>
        <w:rPr>
          <w:noProof/>
        </w:rPr>
        <w:t>. For example, Germany’s Energy Efficiency Act imposes Germany-specific obligations on data centres related to the use of renewable energy and heat recovery</w:t>
      </w:r>
      <w:r>
        <w:rPr>
          <w:rStyle w:val="FootnoteReference"/>
          <w:noProof/>
        </w:rPr>
        <w:footnoteReference w:id="54"/>
      </w:r>
      <w:r>
        <w:rPr>
          <w:noProof/>
        </w:rPr>
        <w:t>. In the Netherlands, stricter rules are applied on new facilities in the Amsterdam region as opposed to other parts of the country</w:t>
      </w:r>
      <w:r>
        <w:rPr>
          <w:rStyle w:val="FootnoteReference"/>
          <w:noProof/>
        </w:rPr>
        <w:footnoteReference w:id="55"/>
      </w:r>
      <w:r>
        <w:rPr>
          <w:noProof/>
        </w:rPr>
        <w:t>. In Poland, different permits are needed for different types of data centres</w:t>
      </w:r>
      <w:r>
        <w:rPr>
          <w:rStyle w:val="FootnoteReference"/>
          <w:noProof/>
        </w:rPr>
        <w:footnoteReference w:id="56"/>
      </w:r>
      <w:r>
        <w:rPr>
          <w:noProof/>
        </w:rPr>
        <w:t xml:space="preserve">. </w:t>
      </w:r>
      <w:r w:rsidR="00900FE4">
        <w:rPr>
          <w:noProof/>
        </w:rPr>
        <w:t>Bulgarian zoning regulations altogether lack an adequate category for data centres.</w:t>
      </w:r>
      <w:r w:rsidR="00DE11BA" w:rsidRPr="00DE11BA">
        <w:rPr>
          <w:rFonts w:eastAsia="Times New Roman"/>
          <w:noProof/>
          <w:lang w:val="en-IE" w:eastAsia="en-IE"/>
        </w:rPr>
        <w:t xml:space="preserve"> </w:t>
      </w:r>
      <w:r w:rsidR="00DE11BA">
        <w:rPr>
          <w:noProof/>
          <w:lang w:val="en-IE"/>
        </w:rPr>
        <w:t>In the context of infrastructure buildout</w:t>
      </w:r>
      <w:r w:rsidR="00DE11BA" w:rsidRPr="00DE11BA">
        <w:rPr>
          <w:noProof/>
          <w:lang w:val="en-IE"/>
        </w:rPr>
        <w:t xml:space="preserve">, the most </w:t>
      </w:r>
      <w:r w:rsidR="00DE11BA">
        <w:rPr>
          <w:noProof/>
          <w:lang w:val="en-IE"/>
        </w:rPr>
        <w:t>relevant</w:t>
      </w:r>
      <w:r w:rsidR="00DE11BA" w:rsidRPr="00DE11BA">
        <w:rPr>
          <w:noProof/>
          <w:lang w:val="en-IE"/>
        </w:rPr>
        <w:t xml:space="preserve"> bottlenecks </w:t>
      </w:r>
      <w:r w:rsidR="007B5363">
        <w:rPr>
          <w:noProof/>
          <w:lang w:val="en-IE"/>
        </w:rPr>
        <w:t xml:space="preserve">and frictions </w:t>
      </w:r>
      <w:r w:rsidR="00DE11BA" w:rsidRPr="00DE11BA">
        <w:rPr>
          <w:noProof/>
          <w:lang w:val="en-IE"/>
        </w:rPr>
        <w:t xml:space="preserve">are found in permitting, </w:t>
      </w:r>
      <w:r w:rsidR="007B5363" w:rsidRPr="00DE11BA">
        <w:rPr>
          <w:noProof/>
          <w:lang w:val="en-IE"/>
        </w:rPr>
        <w:t xml:space="preserve">availability of suitable land, </w:t>
      </w:r>
      <w:r w:rsidR="00DE11BA" w:rsidRPr="00DE11BA">
        <w:rPr>
          <w:noProof/>
          <w:lang w:val="en-IE"/>
        </w:rPr>
        <w:t xml:space="preserve">grid access, and access to capital. </w:t>
      </w:r>
    </w:p>
    <w:p w14:paraId="048F0817" w14:textId="5C2BF9A4" w:rsidR="009B64C7" w:rsidRDefault="00716814" w:rsidP="00791E97">
      <w:pPr>
        <w:rPr>
          <w:noProof/>
        </w:rPr>
      </w:pPr>
      <w:r w:rsidRPr="2A6A1A3F">
        <w:rPr>
          <w:b/>
          <w:bCs/>
          <w:i/>
          <w:iCs/>
          <w:noProof/>
        </w:rPr>
        <w:t>Permitting</w:t>
      </w:r>
      <w:r w:rsidR="00F159F6">
        <w:rPr>
          <w:noProof/>
        </w:rPr>
        <w:t xml:space="preserve"> procedures for infrastructure development – </w:t>
      </w:r>
      <w:r w:rsidR="002A4FA2">
        <w:rPr>
          <w:noProof/>
        </w:rPr>
        <w:t xml:space="preserve">which encompass </w:t>
      </w:r>
      <w:r w:rsidR="00F159F6">
        <w:rPr>
          <w:noProof/>
        </w:rPr>
        <w:t xml:space="preserve">zoning and land allocation, building permits, utilities and grid connection authorisations, and environmental permitting – </w:t>
      </w:r>
      <w:r>
        <w:rPr>
          <w:noProof/>
        </w:rPr>
        <w:t>involve multiple, often inconsistent layers of national and local regulations with multiple uncoordinated stakeholders and non-centralised processes.</w:t>
      </w:r>
      <w:r w:rsidR="00E61374">
        <w:rPr>
          <w:noProof/>
        </w:rPr>
        <w:t xml:space="preserve"> </w:t>
      </w:r>
      <w:r w:rsidR="007D154C">
        <w:rPr>
          <w:noProof/>
        </w:rPr>
        <w:t>DCs</w:t>
      </w:r>
      <w:r w:rsidR="00E61374" w:rsidRPr="00D37004">
        <w:rPr>
          <w:noProof/>
        </w:rPr>
        <w:t xml:space="preserve"> are often not mentioned in national or municipal planning regulations, creating uncertainty and requiring additional rezoning processes in some jurisdictions</w:t>
      </w:r>
      <w:r w:rsidR="00E61374" w:rsidRPr="00D37004">
        <w:rPr>
          <w:rStyle w:val="EndnoteReference"/>
          <w:noProof/>
        </w:rPr>
        <w:endnoteReference w:id="115"/>
      </w:r>
      <w:r w:rsidR="00E61374" w:rsidRPr="00D37004">
        <w:rPr>
          <w:noProof/>
        </w:rPr>
        <w:t xml:space="preserve">. Permitting regimes typically ignore the strategic dimension of </w:t>
      </w:r>
      <w:r w:rsidR="007D154C">
        <w:rPr>
          <w:noProof/>
        </w:rPr>
        <w:t>DCs</w:t>
      </w:r>
      <w:r w:rsidR="00E61374" w:rsidRPr="00D37004">
        <w:rPr>
          <w:noProof/>
        </w:rPr>
        <w:t xml:space="preserve"> for the EU economy, notably their enabling role for the EU uptake of digital solutions. Most jurisdictions require environmental review, ranging from basic assessments to full Environmental Impact Assessments that further lengthen the permitting process</w:t>
      </w:r>
      <w:r w:rsidR="00E61374" w:rsidRPr="00D37004">
        <w:rPr>
          <w:rStyle w:val="EndnoteReference"/>
          <w:noProof/>
        </w:rPr>
        <w:endnoteReference w:id="116"/>
      </w:r>
      <w:r w:rsidR="00E61374" w:rsidRPr="00D37004">
        <w:rPr>
          <w:noProof/>
        </w:rPr>
        <w:t>. In most Member States, permitting involves</w:t>
      </w:r>
      <w:r w:rsidR="00E61374" w:rsidRPr="00D37004" w:rsidDel="009B64C7">
        <w:rPr>
          <w:noProof/>
        </w:rPr>
        <w:t xml:space="preserve"> </w:t>
      </w:r>
      <w:r w:rsidR="00E61374" w:rsidRPr="00D37004">
        <w:rPr>
          <w:noProof/>
        </w:rPr>
        <w:t>repetitive requests and lengthy timelines, which can be aggravated by community opposition and appeals</w:t>
      </w:r>
      <w:r w:rsidR="00E61374" w:rsidRPr="00D37004">
        <w:rPr>
          <w:rStyle w:val="FootnoteReference"/>
          <w:noProof/>
        </w:rPr>
        <w:footnoteReference w:id="57"/>
      </w:r>
      <w:r w:rsidR="00E61374" w:rsidRPr="00D37004">
        <w:rPr>
          <w:noProof/>
        </w:rPr>
        <w:t xml:space="preserve">. </w:t>
      </w:r>
    </w:p>
    <w:p w14:paraId="3B58DA22" w14:textId="12CFC53B" w:rsidR="00791E97" w:rsidRPr="00FC5857" w:rsidRDefault="008E562F" w:rsidP="2A6A1A3F">
      <w:pPr>
        <w:rPr>
          <w:b/>
          <w:bCs/>
          <w:i/>
          <w:iCs/>
          <w:noProof/>
        </w:rPr>
      </w:pPr>
      <w:r>
        <w:rPr>
          <w:noProof/>
        </w:rPr>
        <w:t xml:space="preserve">The example </w:t>
      </w:r>
      <w:r w:rsidRPr="000F7C30">
        <w:rPr>
          <w:noProof/>
        </w:rPr>
        <w:t xml:space="preserve">of Germany illustrates well how and why permitting has emerged as a bottleneck for data centre deployment in light of the recent significant increase in demand for data centre capacity (see section 2.1.1). Germany’s central location in Europe and its proximity to business users have made it a major data centre hub, despite comparatively long timelines for permitting. </w:t>
      </w:r>
      <w:r w:rsidR="000F7C30" w:rsidRPr="001821A2">
        <w:rPr>
          <w:noProof/>
        </w:rPr>
        <w:t>E</w:t>
      </w:r>
      <w:r w:rsidR="000F7C30">
        <w:rPr>
          <w:noProof/>
        </w:rPr>
        <w:t xml:space="preserve">arly investments have resulted in strong path dependency and network effects, with new capacity continuing to cluster around established hubs despite rising congestion costs, grid limitations, and regulatory barriers. </w:t>
      </w:r>
      <w:r>
        <w:rPr>
          <w:noProof/>
        </w:rPr>
        <w:t>However, with demand for data centre</w:t>
      </w:r>
      <w:r w:rsidR="00C65381">
        <w:rPr>
          <w:noProof/>
        </w:rPr>
        <w:t>s</w:t>
      </w:r>
      <w:r>
        <w:rPr>
          <w:noProof/>
        </w:rPr>
        <w:t xml:space="preserve"> growing, permitting is now a bottleneck holding back the fast expansion of data centre capacity that would be necessary to reduce the capacity gap. </w:t>
      </w:r>
      <w:r w:rsidR="005A7C48">
        <w:rPr>
          <w:noProof/>
        </w:rPr>
        <w:t>Illustrative cases</w:t>
      </w:r>
      <w:r>
        <w:rPr>
          <w:noProof/>
        </w:rPr>
        <w:t xml:space="preserve"> in Ireland and Luxembourg</w:t>
      </w:r>
      <w:r w:rsidR="005A7C48">
        <w:rPr>
          <w:noProof/>
        </w:rPr>
        <w:t xml:space="preserve"> show how </w:t>
      </w:r>
      <w:r>
        <w:rPr>
          <w:noProof/>
        </w:rPr>
        <w:t xml:space="preserve">administrative delays caused </w:t>
      </w:r>
      <w:r>
        <w:rPr>
          <w:rStyle w:val="FootnoteReference"/>
          <w:noProof/>
        </w:rPr>
        <w:footnoteReference w:id="58"/>
      </w:r>
      <w:r>
        <w:rPr>
          <w:noProof/>
        </w:rPr>
        <w:t>data centre projects to be cancelled or delayed￼</w:t>
      </w:r>
      <w:r w:rsidRPr="00D37004">
        <w:rPr>
          <w:noProof/>
        </w:rPr>
        <w:t xml:space="preserve">. </w:t>
      </w:r>
      <w:r w:rsidR="005A7C48" w:rsidRPr="00D37004">
        <w:rPr>
          <w:noProof/>
        </w:rPr>
        <w:t>In response,</w:t>
      </w:r>
      <w:r w:rsidR="005A7C48">
        <w:rPr>
          <w:noProof/>
        </w:rPr>
        <w:t xml:space="preserve"> </w:t>
      </w:r>
      <w:r w:rsidR="00E61374" w:rsidRPr="00D37004">
        <w:rPr>
          <w:noProof/>
        </w:rPr>
        <w:t xml:space="preserve">Member States or regions have adopted policies to accelerate </w:t>
      </w:r>
      <w:r w:rsidR="007D154C">
        <w:rPr>
          <w:noProof/>
        </w:rPr>
        <w:t>DC</w:t>
      </w:r>
      <w:r w:rsidR="00E61374" w:rsidRPr="00D37004">
        <w:rPr>
          <w:noProof/>
        </w:rPr>
        <w:t xml:space="preserve"> deployment, for example by offering transparent planning procedures (Denmark), pre-designating areas (France), naming </w:t>
      </w:r>
      <w:r w:rsidR="007D154C">
        <w:rPr>
          <w:noProof/>
        </w:rPr>
        <w:t>DC</w:t>
      </w:r>
      <w:r w:rsidR="00E61374" w:rsidRPr="00D37004">
        <w:rPr>
          <w:noProof/>
        </w:rPr>
        <w:t xml:space="preserve"> projects as of “strategic economic interest” (Spain at regional level), enabling parallel rather than sequential permitting (Germany), encouraging </w:t>
      </w:r>
      <w:r w:rsidR="000436CB">
        <w:rPr>
          <w:noProof/>
        </w:rPr>
        <w:t>DCs</w:t>
      </w:r>
      <w:r w:rsidR="00E61374" w:rsidRPr="00D37004">
        <w:rPr>
          <w:noProof/>
        </w:rPr>
        <w:t xml:space="preserve"> to locate within existing industrial areas (Finland) or through tax incentives for </w:t>
      </w:r>
      <w:r w:rsidR="000436CB">
        <w:rPr>
          <w:noProof/>
        </w:rPr>
        <w:t>DC</w:t>
      </w:r>
      <w:r w:rsidR="00E61374" w:rsidRPr="00D37004">
        <w:rPr>
          <w:noProof/>
        </w:rPr>
        <w:t xml:space="preserve"> operators (Sweden). While these acceleration measures </w:t>
      </w:r>
      <w:r w:rsidR="003D57E6">
        <w:rPr>
          <w:noProof/>
        </w:rPr>
        <w:t>facilitate</w:t>
      </w:r>
      <w:r w:rsidR="00E61374" w:rsidRPr="00D37004">
        <w:rPr>
          <w:noProof/>
        </w:rPr>
        <w:t xml:space="preserve"> short-term </w:t>
      </w:r>
      <w:r w:rsidR="003D57E6">
        <w:rPr>
          <w:noProof/>
        </w:rPr>
        <w:t>capacity expansion at national level</w:t>
      </w:r>
      <w:r w:rsidR="00E61374">
        <w:rPr>
          <w:noProof/>
        </w:rPr>
        <w:t xml:space="preserve">, they </w:t>
      </w:r>
      <w:r w:rsidR="003D57E6">
        <w:rPr>
          <w:noProof/>
        </w:rPr>
        <w:t xml:space="preserve">contribute </w:t>
      </w:r>
      <w:r w:rsidR="000C71C9">
        <w:rPr>
          <w:noProof/>
        </w:rPr>
        <w:t xml:space="preserve">further </w:t>
      </w:r>
      <w:r w:rsidR="003D57E6">
        <w:rPr>
          <w:noProof/>
        </w:rPr>
        <w:t xml:space="preserve">to </w:t>
      </w:r>
      <w:r w:rsidR="00C40A6B" w:rsidRPr="00D37004">
        <w:rPr>
          <w:noProof/>
        </w:rPr>
        <w:t>the</w:t>
      </w:r>
      <w:r w:rsidR="003D57E6">
        <w:rPr>
          <w:noProof/>
        </w:rPr>
        <w:t xml:space="preserve"> regulatory </w:t>
      </w:r>
      <w:r w:rsidR="003D57E6" w:rsidRPr="00D37004">
        <w:rPr>
          <w:noProof/>
        </w:rPr>
        <w:t>fragment</w:t>
      </w:r>
      <w:r w:rsidR="003D57E6">
        <w:rPr>
          <w:noProof/>
        </w:rPr>
        <w:t>ation across</w:t>
      </w:r>
      <w:r w:rsidR="00E61374" w:rsidRPr="00D37004">
        <w:rPr>
          <w:noProof/>
        </w:rPr>
        <w:t xml:space="preserve"> the </w:t>
      </w:r>
      <w:r w:rsidR="00E61374">
        <w:rPr>
          <w:noProof/>
        </w:rPr>
        <w:t>S</w:t>
      </w:r>
      <w:r w:rsidR="00E61374" w:rsidRPr="00D37004">
        <w:rPr>
          <w:noProof/>
        </w:rPr>
        <w:t xml:space="preserve">ingle </w:t>
      </w:r>
      <w:r w:rsidR="00E61374">
        <w:rPr>
          <w:noProof/>
        </w:rPr>
        <w:t>Market</w:t>
      </w:r>
      <w:r w:rsidR="00557D93">
        <w:rPr>
          <w:noProof/>
        </w:rPr>
        <w:t xml:space="preserve">. </w:t>
      </w:r>
    </w:p>
    <w:p w14:paraId="23E33920" w14:textId="501D7E7D" w:rsidR="00C83866" w:rsidRDefault="0002290C" w:rsidP="0002290C">
      <w:pPr>
        <w:rPr>
          <w:noProof/>
        </w:rPr>
      </w:pPr>
      <w:r>
        <w:rPr>
          <w:noProof/>
        </w:rPr>
        <w:t xml:space="preserve">Another factor slowing down data centre expansion is </w:t>
      </w:r>
      <w:r w:rsidR="006C7AFF" w:rsidRPr="2A6A1A3F">
        <w:rPr>
          <w:b/>
          <w:bCs/>
          <w:i/>
          <w:iCs/>
          <w:noProof/>
        </w:rPr>
        <w:t>land availability</w:t>
      </w:r>
      <w:r w:rsidR="007B3BD9" w:rsidRPr="2A6A1A3F">
        <w:rPr>
          <w:b/>
          <w:bCs/>
          <w:i/>
          <w:iCs/>
          <w:noProof/>
        </w:rPr>
        <w:t>,</w:t>
      </w:r>
      <w:r w:rsidR="006C7AFF">
        <w:rPr>
          <w:noProof/>
        </w:rPr>
        <w:t xml:space="preserve"> </w:t>
      </w:r>
      <w:r>
        <w:rPr>
          <w:noProof/>
        </w:rPr>
        <w:t>the difficulty for DC operators to identify suitable sites. DC</w:t>
      </w:r>
      <w:r w:rsidRPr="00D37004">
        <w:rPr>
          <w:noProof/>
        </w:rPr>
        <w:t xml:space="preserve"> sites </w:t>
      </w:r>
      <w:r>
        <w:rPr>
          <w:noProof/>
        </w:rPr>
        <w:t>must display</w:t>
      </w:r>
      <w:r w:rsidRPr="00D37004">
        <w:rPr>
          <w:noProof/>
        </w:rPr>
        <w:t xml:space="preserve"> specific characteristics</w:t>
      </w:r>
      <w:r>
        <w:rPr>
          <w:noProof/>
        </w:rPr>
        <w:t xml:space="preserve"> in terms of access to utilities (energy, water) and connectivity</w:t>
      </w:r>
      <w:r w:rsidRPr="00D37004">
        <w:rPr>
          <w:noProof/>
        </w:rPr>
        <w:t>, making suitable real estate scarce</w:t>
      </w:r>
      <w:r>
        <w:rPr>
          <w:noProof/>
        </w:rPr>
        <w:t xml:space="preserve">. </w:t>
      </w:r>
      <w:r w:rsidR="009A5372" w:rsidRPr="2A6A1A3F">
        <w:rPr>
          <w:noProof/>
        </w:rPr>
        <w:t>Connectivity</w:t>
      </w:r>
      <w:r w:rsidR="009A5372" w:rsidRPr="2A6A1A3F">
        <w:rPr>
          <w:i/>
          <w:iCs/>
          <w:noProof/>
        </w:rPr>
        <w:t xml:space="preserve"> </w:t>
      </w:r>
      <w:r w:rsidR="009A5372" w:rsidRPr="00D37004">
        <w:rPr>
          <w:noProof/>
        </w:rPr>
        <w:t xml:space="preserve">is </w:t>
      </w:r>
      <w:r w:rsidR="009A5372">
        <w:rPr>
          <w:noProof/>
        </w:rPr>
        <w:t>a</w:t>
      </w:r>
      <w:r w:rsidR="009326C9">
        <w:rPr>
          <w:noProof/>
        </w:rPr>
        <w:t xml:space="preserve"> particularly relevant</w:t>
      </w:r>
      <w:r w:rsidR="009A5372">
        <w:rPr>
          <w:noProof/>
        </w:rPr>
        <w:t xml:space="preserve"> pull factor</w:t>
      </w:r>
      <w:r w:rsidR="009A5372" w:rsidRPr="00D37004">
        <w:rPr>
          <w:noProof/>
        </w:rPr>
        <w:t xml:space="preserve"> for</w:t>
      </w:r>
      <w:r w:rsidR="009A5372">
        <w:rPr>
          <w:noProof/>
        </w:rPr>
        <w:t xml:space="preserve"> selecting </w:t>
      </w:r>
      <w:r w:rsidR="000230D9">
        <w:rPr>
          <w:noProof/>
        </w:rPr>
        <w:t>appropriate</w:t>
      </w:r>
      <w:r w:rsidR="009A5372">
        <w:rPr>
          <w:noProof/>
        </w:rPr>
        <w:t xml:space="preserve"> sites for</w:t>
      </w:r>
      <w:r w:rsidR="009A5372" w:rsidRPr="00D37004">
        <w:rPr>
          <w:noProof/>
        </w:rPr>
        <w:t xml:space="preserve"> </w:t>
      </w:r>
      <w:r w:rsidR="009A5372">
        <w:rPr>
          <w:noProof/>
        </w:rPr>
        <w:t>DC</w:t>
      </w:r>
      <w:r w:rsidR="009A5372" w:rsidRPr="00D37004">
        <w:rPr>
          <w:noProof/>
        </w:rPr>
        <w:t xml:space="preserve"> deployment</w:t>
      </w:r>
      <w:r w:rsidR="009A5372" w:rsidRPr="00D37004">
        <w:rPr>
          <w:rStyle w:val="FootnoteReference"/>
          <w:noProof/>
        </w:rPr>
        <w:footnoteReference w:id="59"/>
      </w:r>
      <w:r w:rsidR="000230D9">
        <w:rPr>
          <w:noProof/>
        </w:rPr>
        <w:t>, thus reinforcing concentration in existing hubs</w:t>
      </w:r>
      <w:r w:rsidR="009326C9">
        <w:rPr>
          <w:rStyle w:val="EndnoteReference"/>
          <w:noProof/>
        </w:rPr>
        <w:endnoteReference w:id="117"/>
      </w:r>
      <w:r w:rsidR="009326C9">
        <w:rPr>
          <w:noProof/>
        </w:rPr>
        <w:t xml:space="preserve">. </w:t>
      </w:r>
      <w:r w:rsidR="00C83866">
        <w:rPr>
          <w:noProof/>
        </w:rPr>
        <w:t>Land scarcity</w:t>
      </w:r>
      <w:r>
        <w:rPr>
          <w:noProof/>
        </w:rPr>
        <w:t xml:space="preserve"> is </w:t>
      </w:r>
      <w:r w:rsidRPr="00D37004">
        <w:rPr>
          <w:noProof/>
        </w:rPr>
        <w:t xml:space="preserve">aggravated by </w:t>
      </w:r>
      <w:r w:rsidRPr="00747FDB">
        <w:rPr>
          <w:noProof/>
        </w:rPr>
        <w:t xml:space="preserve">large </w:t>
      </w:r>
      <w:r>
        <w:rPr>
          <w:noProof/>
        </w:rPr>
        <w:t>cloud service providers</w:t>
      </w:r>
      <w:r w:rsidRPr="00747FDB">
        <w:rPr>
          <w:noProof/>
        </w:rPr>
        <w:t xml:space="preserve"> acquiring land and reserving energy capacity, without building </w:t>
      </w:r>
      <w:r>
        <w:rPr>
          <w:noProof/>
        </w:rPr>
        <w:t>DCs</w:t>
      </w:r>
      <w:r w:rsidRPr="00747FDB">
        <w:rPr>
          <w:noProof/>
        </w:rPr>
        <w:t xml:space="preserve"> on the site</w:t>
      </w:r>
      <w:r w:rsidRPr="00E1040F">
        <w:rPr>
          <w:noProof/>
          <w:vertAlign w:val="superscript"/>
        </w:rPr>
        <w:endnoteReference w:id="118"/>
      </w:r>
      <w:r w:rsidRPr="00747FDB">
        <w:rPr>
          <w:noProof/>
        </w:rPr>
        <w:t>.</w:t>
      </w:r>
      <w:r>
        <w:rPr>
          <w:noProof/>
        </w:rPr>
        <w:t xml:space="preserve"> </w:t>
      </w:r>
    </w:p>
    <w:p w14:paraId="4F10D9FF" w14:textId="1975F6BE" w:rsidR="0002290C" w:rsidRDefault="00531C01" w:rsidP="0002290C">
      <w:pPr>
        <w:rPr>
          <w:noProof/>
        </w:rPr>
      </w:pPr>
      <w:r w:rsidRPr="0071147E">
        <w:rPr>
          <w:b/>
          <w:bCs/>
          <w:i/>
          <w:iCs/>
          <w:noProof/>
        </w:rPr>
        <w:t>Energy availability</w:t>
      </w:r>
      <w:r>
        <w:rPr>
          <w:noProof/>
        </w:rPr>
        <w:t xml:space="preserve">. </w:t>
      </w:r>
      <w:r w:rsidR="00742D3E">
        <w:rPr>
          <w:noProof/>
        </w:rPr>
        <w:t>With respect to energy needs, d</w:t>
      </w:r>
      <w:r w:rsidR="0002290C" w:rsidRPr="00D37004">
        <w:rPr>
          <w:noProof/>
        </w:rPr>
        <w:t xml:space="preserve">ifferent modelling approaches </w:t>
      </w:r>
      <w:r w:rsidR="0002290C">
        <w:rPr>
          <w:noProof/>
        </w:rPr>
        <w:t>indicate that DC</w:t>
      </w:r>
      <w:r w:rsidR="0002290C" w:rsidRPr="00D37004">
        <w:rPr>
          <w:noProof/>
        </w:rPr>
        <w:t xml:space="preserve"> energy consumption</w:t>
      </w:r>
      <w:r w:rsidR="0002290C">
        <w:rPr>
          <w:noProof/>
        </w:rPr>
        <w:t xml:space="preserve"> is foreseen to grow at an</w:t>
      </w:r>
      <w:r w:rsidR="0002290C" w:rsidRPr="00D37004">
        <w:rPr>
          <w:noProof/>
        </w:rPr>
        <w:t xml:space="preserve"> average </w:t>
      </w:r>
      <w:r w:rsidR="0002290C">
        <w:rPr>
          <w:noProof/>
        </w:rPr>
        <w:t xml:space="preserve">annual </w:t>
      </w:r>
      <w:r w:rsidR="0002290C" w:rsidRPr="00D37004">
        <w:rPr>
          <w:noProof/>
        </w:rPr>
        <w:t>rate of 13% between 2023 and 2030, twice the 2018-2023 growth rate</w:t>
      </w:r>
      <w:r w:rsidR="0002290C" w:rsidRPr="00F838A8">
        <w:rPr>
          <w:noProof/>
          <w:vertAlign w:val="superscript"/>
        </w:rPr>
        <w:endnoteReference w:id="119"/>
      </w:r>
      <w:r w:rsidR="0002290C" w:rsidRPr="00D37004">
        <w:rPr>
          <w:noProof/>
        </w:rPr>
        <w:t xml:space="preserve">. </w:t>
      </w:r>
      <w:r w:rsidR="0002290C" w:rsidRPr="00747FDB">
        <w:rPr>
          <w:noProof/>
        </w:rPr>
        <w:t xml:space="preserve">Energy prices </w:t>
      </w:r>
      <w:r w:rsidR="0002290C" w:rsidRPr="00D37004">
        <w:rPr>
          <w:noProof/>
        </w:rPr>
        <w:t>in Europe</w:t>
      </w:r>
      <w:r w:rsidR="0002290C" w:rsidRPr="00747FDB">
        <w:rPr>
          <w:noProof/>
        </w:rPr>
        <w:t xml:space="preserve"> </w:t>
      </w:r>
      <w:r w:rsidR="0002290C" w:rsidRPr="00D37004">
        <w:rPr>
          <w:noProof/>
        </w:rPr>
        <w:t>are two to three times higher than in the US</w:t>
      </w:r>
      <w:r w:rsidR="0002290C">
        <w:rPr>
          <w:noProof/>
        </w:rPr>
        <w:t xml:space="preserve"> and China</w:t>
      </w:r>
      <w:r w:rsidR="0002290C" w:rsidRPr="00D37004">
        <w:rPr>
          <w:noProof/>
        </w:rPr>
        <w:t>,</w:t>
      </w:r>
      <w:r w:rsidR="0002290C">
        <w:rPr>
          <w:noProof/>
        </w:rPr>
        <w:t xml:space="preserve"> as shown in the table below,</w:t>
      </w:r>
      <w:r w:rsidR="0002290C" w:rsidRPr="00D37004">
        <w:rPr>
          <w:noProof/>
        </w:rPr>
        <w:t xml:space="preserve"> while they amount for 40-50% of </w:t>
      </w:r>
      <w:r w:rsidR="0002290C">
        <w:rPr>
          <w:noProof/>
        </w:rPr>
        <w:t>DCs’</w:t>
      </w:r>
      <w:r w:rsidR="0002290C" w:rsidRPr="00D37004">
        <w:rPr>
          <w:noProof/>
        </w:rPr>
        <w:t xml:space="preserve"> operational costs, creating a competitive disadvantage for the</w:t>
      </w:r>
      <w:r w:rsidR="0002290C" w:rsidRPr="00D37004" w:rsidDel="00F6076F">
        <w:rPr>
          <w:noProof/>
        </w:rPr>
        <w:t xml:space="preserve"> </w:t>
      </w:r>
      <w:r w:rsidR="0002290C" w:rsidRPr="00D37004">
        <w:rPr>
          <w:noProof/>
        </w:rPr>
        <w:t>EU</w:t>
      </w:r>
      <w:r w:rsidR="0002290C" w:rsidRPr="007D154C">
        <w:rPr>
          <w:noProof/>
          <w:vertAlign w:val="superscript"/>
        </w:rPr>
        <w:endnoteReference w:id="120"/>
      </w:r>
      <w:r w:rsidR="0002290C" w:rsidRPr="00D37004">
        <w:rPr>
          <w:noProof/>
        </w:rPr>
        <w:t xml:space="preserve">. </w:t>
      </w:r>
    </w:p>
    <w:p w14:paraId="45CC5A2A" w14:textId="2DBD441B" w:rsidR="00E61374" w:rsidRDefault="00E61374" w:rsidP="00E61374">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2</w:t>
      </w:r>
      <w:r>
        <w:rPr>
          <w:noProof/>
        </w:rPr>
        <w:fldChar w:fldCharType="end"/>
      </w:r>
      <w:r>
        <w:rPr>
          <w:noProof/>
        </w:rPr>
        <w:t xml:space="preserve">. </w:t>
      </w:r>
      <w:r w:rsidR="005014D8">
        <w:rPr>
          <w:noProof/>
        </w:rPr>
        <w:t>Industrial e</w:t>
      </w:r>
      <w:r>
        <w:rPr>
          <w:noProof/>
        </w:rPr>
        <w:t xml:space="preserve">lectricity prices </w:t>
      </w:r>
      <w:r w:rsidR="005014D8">
        <w:rPr>
          <w:noProof/>
        </w:rPr>
        <w:t>(€/kWh – all data 2025, except China 2024)</w:t>
      </w:r>
    </w:p>
    <w:tbl>
      <w:tblPr>
        <w:tblStyle w:val="GridTable2-Accent1"/>
        <w:tblW w:w="5000" w:type="pct"/>
        <w:tblLook w:val="04A0" w:firstRow="1" w:lastRow="0" w:firstColumn="1" w:lastColumn="0" w:noHBand="0" w:noVBand="1"/>
      </w:tblPr>
      <w:tblGrid>
        <w:gridCol w:w="1215"/>
        <w:gridCol w:w="1214"/>
        <w:gridCol w:w="1214"/>
        <w:gridCol w:w="1214"/>
        <w:gridCol w:w="1214"/>
        <w:gridCol w:w="1214"/>
        <w:gridCol w:w="1214"/>
        <w:gridCol w:w="1214"/>
      </w:tblGrid>
      <w:tr w:rsidR="00F66054" w14:paraId="01B71CB4" w14:textId="77777777" w:rsidTr="00C57B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5" w:type="pct"/>
          </w:tcPr>
          <w:p w14:paraId="0622B0C6" w14:textId="59F3E8B0" w:rsidR="003A014A" w:rsidRDefault="005014D8" w:rsidP="00583D63">
            <w:pPr>
              <w:jc w:val="center"/>
              <w:rPr>
                <w:noProof/>
              </w:rPr>
            </w:pPr>
            <w:r>
              <w:rPr>
                <w:noProof/>
                <w:sz w:val="20"/>
                <w:szCs w:val="20"/>
              </w:rPr>
              <w:t>US</w:t>
            </w:r>
            <w:r w:rsidRPr="005F3EFE">
              <w:rPr>
                <w:rStyle w:val="FootnoteReference"/>
                <w:noProof/>
                <w:sz w:val="20"/>
                <w:szCs w:val="20"/>
              </w:rPr>
              <w:footnoteReference w:id="60"/>
            </w:r>
          </w:p>
        </w:tc>
        <w:tc>
          <w:tcPr>
            <w:tcW w:w="625" w:type="pct"/>
          </w:tcPr>
          <w:p w14:paraId="7BE4412A" w14:textId="2C273DE5"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China</w:t>
            </w:r>
            <w:r w:rsidR="005014D8" w:rsidRPr="005F3EFE">
              <w:rPr>
                <w:rStyle w:val="FootnoteReference"/>
                <w:noProof/>
                <w:sz w:val="20"/>
                <w:szCs w:val="20"/>
              </w:rPr>
              <w:footnoteReference w:id="61"/>
            </w:r>
          </w:p>
        </w:tc>
        <w:tc>
          <w:tcPr>
            <w:tcW w:w="625" w:type="pct"/>
          </w:tcPr>
          <w:p w14:paraId="7EA4F306" w14:textId="16383B5E"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EU-27</w:t>
            </w:r>
            <w:r w:rsidR="005014D8" w:rsidRPr="005F3EFE">
              <w:rPr>
                <w:rStyle w:val="FootnoteReference"/>
                <w:noProof/>
                <w:sz w:val="20"/>
                <w:szCs w:val="20"/>
              </w:rPr>
              <w:footnoteReference w:id="62"/>
            </w:r>
          </w:p>
        </w:tc>
        <w:tc>
          <w:tcPr>
            <w:tcW w:w="625" w:type="pct"/>
          </w:tcPr>
          <w:p w14:paraId="190C164F" w14:textId="20FFAB6F"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Ireland</w:t>
            </w:r>
          </w:p>
        </w:tc>
        <w:tc>
          <w:tcPr>
            <w:tcW w:w="625" w:type="pct"/>
          </w:tcPr>
          <w:p w14:paraId="7FC0822D" w14:textId="6A259332"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Germany</w:t>
            </w:r>
          </w:p>
        </w:tc>
        <w:tc>
          <w:tcPr>
            <w:tcW w:w="625" w:type="pct"/>
          </w:tcPr>
          <w:p w14:paraId="174F025E" w14:textId="06D7C069"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Italy</w:t>
            </w:r>
          </w:p>
        </w:tc>
        <w:tc>
          <w:tcPr>
            <w:tcW w:w="625" w:type="pct"/>
          </w:tcPr>
          <w:p w14:paraId="4D1A9A1A" w14:textId="4460F6CB"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Sweden</w:t>
            </w:r>
          </w:p>
        </w:tc>
        <w:tc>
          <w:tcPr>
            <w:tcW w:w="625" w:type="pct"/>
          </w:tcPr>
          <w:p w14:paraId="1096BC01" w14:textId="36456674" w:rsidR="003A014A" w:rsidRDefault="00E61374" w:rsidP="00583D63">
            <w:pPr>
              <w:jc w:val="center"/>
              <w:cnfStyle w:val="100000000000" w:firstRow="1" w:lastRow="0" w:firstColumn="0" w:lastColumn="0" w:oddVBand="0" w:evenVBand="0" w:oddHBand="0" w:evenHBand="0" w:firstRowFirstColumn="0" w:firstRowLastColumn="0" w:lastRowFirstColumn="0" w:lastRowLastColumn="0"/>
              <w:rPr>
                <w:noProof/>
              </w:rPr>
            </w:pPr>
            <w:r w:rsidRPr="00492FA4">
              <w:rPr>
                <w:noProof/>
                <w:sz w:val="20"/>
                <w:szCs w:val="20"/>
              </w:rPr>
              <w:t>Finland</w:t>
            </w:r>
          </w:p>
        </w:tc>
      </w:tr>
      <w:tr w:rsidR="005014D8" w14:paraId="28610008" w14:textId="77777777" w:rsidTr="00C57B1E">
        <w:tc>
          <w:tcPr>
            <w:cnfStyle w:val="001000000000" w:firstRow="0" w:lastRow="0" w:firstColumn="1" w:lastColumn="0" w:oddVBand="0" w:evenVBand="0" w:oddHBand="0" w:evenHBand="0" w:firstRowFirstColumn="0" w:firstRowLastColumn="0" w:lastRowFirstColumn="0" w:lastRowLastColumn="0"/>
            <w:tcW w:w="625" w:type="pct"/>
          </w:tcPr>
          <w:p w14:paraId="68D4CA8E" w14:textId="4C962C5A" w:rsidR="005014D8" w:rsidRDefault="00E61374" w:rsidP="00583D63">
            <w:pPr>
              <w:jc w:val="center"/>
              <w:rPr>
                <w:noProof/>
              </w:rPr>
            </w:pPr>
            <w:r w:rsidRPr="00583D63">
              <w:rPr>
                <w:b w:val="0"/>
                <w:bCs w:val="0"/>
                <w:noProof/>
                <w:sz w:val="20"/>
                <w:szCs w:val="20"/>
              </w:rPr>
              <w:t>€ 0.090</w:t>
            </w:r>
          </w:p>
        </w:tc>
        <w:tc>
          <w:tcPr>
            <w:tcW w:w="625" w:type="pct"/>
          </w:tcPr>
          <w:p w14:paraId="466B8706" w14:textId="79D5447C"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€ 0.081</w:t>
            </w:r>
          </w:p>
        </w:tc>
        <w:tc>
          <w:tcPr>
            <w:tcW w:w="625" w:type="pct"/>
          </w:tcPr>
          <w:p w14:paraId="2627CF11" w14:textId="3D979CD1"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€ 0.190</w:t>
            </w:r>
          </w:p>
        </w:tc>
        <w:tc>
          <w:tcPr>
            <w:tcW w:w="625" w:type="pct"/>
          </w:tcPr>
          <w:p w14:paraId="603F8981" w14:textId="66DBA235"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€ 0.296</w:t>
            </w:r>
          </w:p>
        </w:tc>
        <w:tc>
          <w:tcPr>
            <w:tcW w:w="625" w:type="pct"/>
          </w:tcPr>
          <w:p w14:paraId="008AFAE6" w14:textId="0B99420D"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€ 0.275</w:t>
            </w:r>
          </w:p>
        </w:tc>
        <w:tc>
          <w:tcPr>
            <w:tcW w:w="625" w:type="pct"/>
          </w:tcPr>
          <w:p w14:paraId="6EC805A5" w14:textId="780D5B73"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€ 0.271</w:t>
            </w:r>
          </w:p>
        </w:tc>
        <w:tc>
          <w:tcPr>
            <w:tcW w:w="625" w:type="pct"/>
          </w:tcPr>
          <w:p w14:paraId="0A8D7EB6" w14:textId="0C039858"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€ 0.121</w:t>
            </w:r>
          </w:p>
        </w:tc>
        <w:tc>
          <w:tcPr>
            <w:tcW w:w="625" w:type="pct"/>
          </w:tcPr>
          <w:p w14:paraId="7142BD31" w14:textId="7829155E" w:rsidR="005014D8" w:rsidRDefault="00E61374" w:rsidP="00583D63">
            <w:pPr>
              <w:jc w:val="center"/>
              <w:cnfStyle w:val="000000000000" w:firstRow="0" w:lastRow="0" w:firstColumn="0" w:lastColumn="0" w:oddVBand="0" w:evenVBand="0" w:oddHBand="0" w:evenHBand="0" w:firstRowFirstColumn="0" w:firstRowLastColumn="0" w:lastRowFirstColumn="0" w:lastRowLastColumn="0"/>
              <w:rPr>
                <w:noProof/>
              </w:rPr>
            </w:pPr>
            <w:r w:rsidRPr="00492FA4">
              <w:rPr>
                <w:noProof/>
                <w:sz w:val="20"/>
                <w:szCs w:val="20"/>
              </w:rPr>
              <w:t>€ 0.101</w:t>
            </w:r>
          </w:p>
        </w:tc>
      </w:tr>
    </w:tbl>
    <w:p w14:paraId="7E136593" w14:textId="7566E687" w:rsidR="00E61374" w:rsidRPr="00D37004" w:rsidRDefault="00E61374" w:rsidP="000776FD">
      <w:pPr>
        <w:spacing w:before="120"/>
        <w:rPr>
          <w:noProof/>
        </w:rPr>
      </w:pPr>
      <w:r w:rsidRPr="0071147E">
        <w:rPr>
          <w:noProof/>
        </w:rPr>
        <w:t xml:space="preserve">Access to energy </w:t>
      </w:r>
      <w:r w:rsidR="352B5F00" w:rsidRPr="0071147E">
        <w:rPr>
          <w:noProof/>
        </w:rPr>
        <w:t>grid</w:t>
      </w:r>
      <w:r w:rsidRPr="00D37004">
        <w:rPr>
          <w:noProof/>
        </w:rPr>
        <w:t xml:space="preserve"> constitutes </w:t>
      </w:r>
      <w:r w:rsidR="00656119">
        <w:rPr>
          <w:noProof/>
        </w:rPr>
        <w:t>an</w:t>
      </w:r>
      <w:r w:rsidRPr="00D37004">
        <w:rPr>
          <w:noProof/>
        </w:rPr>
        <w:t xml:space="preserve"> important bottleneck in the construction of </w:t>
      </w:r>
      <w:r w:rsidR="007D154C">
        <w:rPr>
          <w:noProof/>
        </w:rPr>
        <w:t>DCs</w:t>
      </w:r>
      <w:r w:rsidRPr="00D37004">
        <w:rPr>
          <w:rStyle w:val="FootnoteReference"/>
          <w:noProof/>
        </w:rPr>
        <w:footnoteReference w:id="63"/>
      </w:r>
      <w:r w:rsidRPr="00D37004">
        <w:rPr>
          <w:noProof/>
        </w:rPr>
        <w:t xml:space="preserve">. In parts of Europe, grid constraints have resulted in moratoria on new </w:t>
      </w:r>
      <w:r w:rsidR="007D154C">
        <w:rPr>
          <w:noProof/>
        </w:rPr>
        <w:t>DC</w:t>
      </w:r>
      <w:r w:rsidRPr="00D37004">
        <w:rPr>
          <w:noProof/>
        </w:rPr>
        <w:t xml:space="preserve"> connections</w:t>
      </w:r>
      <w:r>
        <w:rPr>
          <w:noProof/>
        </w:rPr>
        <w:t>, especially close to established hubs</w:t>
      </w:r>
      <w:r w:rsidRPr="00D37004">
        <w:rPr>
          <w:rStyle w:val="EndnoteReference"/>
          <w:noProof/>
        </w:rPr>
        <w:endnoteReference w:id="121"/>
      </w:r>
      <w:r w:rsidRPr="00D37004">
        <w:rPr>
          <w:noProof/>
        </w:rPr>
        <w:t>.</w:t>
      </w:r>
      <w:r w:rsidDel="00217491">
        <w:rPr>
          <w:noProof/>
        </w:rPr>
        <w:t xml:space="preserve"> </w:t>
      </w:r>
      <w:r w:rsidRPr="00D37004">
        <w:rPr>
          <w:noProof/>
        </w:rPr>
        <w:t xml:space="preserve">Connecting a </w:t>
      </w:r>
      <w:r w:rsidR="007D154C">
        <w:rPr>
          <w:noProof/>
        </w:rPr>
        <w:t>DC</w:t>
      </w:r>
      <w:r w:rsidRPr="00D37004">
        <w:rPr>
          <w:noProof/>
        </w:rPr>
        <w:t xml:space="preserve"> to the grid can take between 3 and 10 years, depending on the Member State: around 3-5 years in emerging markets (Italy or Spain) and 7-10 years in established hubs (Frankfurt, Amsterdam, Paris or Dublin), with some projects experiencing delays of up to 13 years due to grid congestion</w:t>
      </w:r>
      <w:r w:rsidR="001B3CFD">
        <w:rPr>
          <w:rStyle w:val="FootnoteReference"/>
          <w:noProof/>
        </w:rPr>
        <w:footnoteReference w:id="64"/>
      </w:r>
      <w:r w:rsidRPr="00D37004">
        <w:rPr>
          <w:rStyle w:val="EndnoteReference"/>
          <w:noProof/>
        </w:rPr>
        <w:endnoteReference w:id="122"/>
      </w:r>
      <w:r w:rsidRPr="00D37004">
        <w:rPr>
          <w:noProof/>
        </w:rPr>
        <w:t>. In the case of brownfield sites where there is a previous power grid connection, this interval is highly reduced</w:t>
      </w:r>
      <w:r w:rsidRPr="00D37004">
        <w:rPr>
          <w:rStyle w:val="EndnoteReference"/>
          <w:noProof/>
        </w:rPr>
        <w:endnoteReference w:id="123"/>
      </w:r>
      <w:r w:rsidRPr="00D37004">
        <w:rPr>
          <w:noProof/>
        </w:rPr>
        <w:t xml:space="preserve">, but these sites can be insufficient to meet the needs of large </w:t>
      </w:r>
      <w:r w:rsidR="007D154C">
        <w:rPr>
          <w:noProof/>
        </w:rPr>
        <w:t>DC</w:t>
      </w:r>
      <w:r w:rsidRPr="00D37004">
        <w:rPr>
          <w:noProof/>
        </w:rPr>
        <w:t xml:space="preserve"> projects. To overcome grid interconnection delays, </w:t>
      </w:r>
      <w:r w:rsidR="007D154C">
        <w:rPr>
          <w:noProof/>
        </w:rPr>
        <w:t>DC</w:t>
      </w:r>
      <w:r w:rsidRPr="00D37004">
        <w:rPr>
          <w:noProof/>
        </w:rPr>
        <w:t xml:space="preserve"> operators are increasingly considering producing their own energy, with a dedicated microgrid. </w:t>
      </w:r>
      <w:r>
        <w:rPr>
          <w:noProof/>
        </w:rPr>
        <w:t>In some</w:t>
      </w:r>
      <w:r w:rsidRPr="00D37004" w:rsidDel="002C0859">
        <w:rPr>
          <w:noProof/>
        </w:rPr>
        <w:t xml:space="preserve"> </w:t>
      </w:r>
      <w:r>
        <w:rPr>
          <w:noProof/>
        </w:rPr>
        <w:t>cases, such energy production could be based on</w:t>
      </w:r>
      <w:r w:rsidRPr="00D37004">
        <w:rPr>
          <w:noProof/>
        </w:rPr>
        <w:t xml:space="preserve"> gas turbines</w:t>
      </w:r>
      <w:r w:rsidRPr="00D37004">
        <w:rPr>
          <w:rStyle w:val="EndnoteReference"/>
          <w:noProof/>
        </w:rPr>
        <w:endnoteReference w:id="124"/>
      </w:r>
      <w:r w:rsidRPr="00D37004" w:rsidDel="00ED2D42">
        <w:rPr>
          <w:noProof/>
        </w:rPr>
        <w:t>,</w:t>
      </w:r>
      <w:r w:rsidRPr="00D37004">
        <w:rPr>
          <w:noProof/>
        </w:rPr>
        <w:t xml:space="preserve"> which would significantly increase their scope 1 greenhouse gas emissions</w:t>
      </w:r>
      <w:r w:rsidRPr="00D37004">
        <w:rPr>
          <w:rStyle w:val="FootnoteReference"/>
          <w:noProof/>
        </w:rPr>
        <w:footnoteReference w:id="65"/>
      </w:r>
      <w:r w:rsidRPr="00D37004">
        <w:rPr>
          <w:noProof/>
        </w:rPr>
        <w:t>.</w:t>
      </w:r>
      <w:r>
        <w:rPr>
          <w:noProof/>
        </w:rPr>
        <w:t xml:space="preserve"> </w:t>
      </w:r>
    </w:p>
    <w:p w14:paraId="7F878EA7" w14:textId="3D150C4B" w:rsidR="00E61374" w:rsidRDefault="008946D4" w:rsidP="00E61374">
      <w:pPr>
        <w:rPr>
          <w:noProof/>
        </w:rPr>
      </w:pPr>
      <w:r w:rsidRPr="2A6A1A3F">
        <w:rPr>
          <w:noProof/>
        </w:rPr>
        <w:t xml:space="preserve">Another bottleneck holding data centre expansion at the necessary speed is limited </w:t>
      </w:r>
      <w:r w:rsidRPr="2A6A1A3F">
        <w:rPr>
          <w:b/>
          <w:bCs/>
          <w:i/>
          <w:iCs/>
          <w:noProof/>
        </w:rPr>
        <w:t>a</w:t>
      </w:r>
      <w:r w:rsidR="00E61374" w:rsidRPr="2A6A1A3F">
        <w:rPr>
          <w:b/>
          <w:bCs/>
          <w:i/>
          <w:iCs/>
          <w:noProof/>
        </w:rPr>
        <w:t>ccess to capital</w:t>
      </w:r>
      <w:r w:rsidR="00E61374" w:rsidRPr="2A6A1A3F">
        <w:rPr>
          <w:i/>
          <w:iCs/>
          <w:noProof/>
        </w:rPr>
        <w:t>:</w:t>
      </w:r>
      <w:r w:rsidR="00E61374" w:rsidRPr="2A6A1A3F" w:rsidDel="006A6AF8">
        <w:rPr>
          <w:i/>
          <w:iCs/>
          <w:noProof/>
        </w:rPr>
        <w:t xml:space="preserve"> </w:t>
      </w:r>
      <w:r w:rsidR="00E61374" w:rsidRPr="00D37004">
        <w:rPr>
          <w:noProof/>
        </w:rPr>
        <w:t xml:space="preserve">over the past five years 58% of global </w:t>
      </w:r>
      <w:r w:rsidR="007D154C">
        <w:rPr>
          <w:noProof/>
        </w:rPr>
        <w:t>DC</w:t>
      </w:r>
      <w:r w:rsidR="00E61374" w:rsidRPr="00D37004">
        <w:rPr>
          <w:noProof/>
        </w:rPr>
        <w:t xml:space="preserve"> investment occurred in the US with a record in 2023</w:t>
      </w:r>
      <w:r w:rsidR="00E61374" w:rsidRPr="00D37004">
        <w:rPr>
          <w:rStyle w:val="EndnoteReference"/>
          <w:noProof/>
        </w:rPr>
        <w:endnoteReference w:id="125"/>
      </w:r>
      <w:r w:rsidR="00E61374">
        <w:rPr>
          <w:noProof/>
        </w:rPr>
        <w:t>, with</w:t>
      </w:r>
      <w:r w:rsidR="00E61374" w:rsidRPr="00D37004">
        <w:rPr>
          <w:noProof/>
        </w:rPr>
        <w:t xml:space="preserve"> Europe account</w:t>
      </w:r>
      <w:r w:rsidR="00E61374">
        <w:rPr>
          <w:noProof/>
        </w:rPr>
        <w:t>ing</w:t>
      </w:r>
      <w:r w:rsidR="00E61374" w:rsidRPr="00D37004">
        <w:rPr>
          <w:noProof/>
        </w:rPr>
        <w:t xml:space="preserve"> for a smaller share</w:t>
      </w:r>
      <w:r w:rsidR="00E61374" w:rsidRPr="00D37004">
        <w:rPr>
          <w:rStyle w:val="EndnoteReference"/>
          <w:noProof/>
        </w:rPr>
        <w:endnoteReference w:id="126"/>
      </w:r>
      <w:r w:rsidR="00E61374" w:rsidRPr="00D37004">
        <w:rPr>
          <w:noProof/>
        </w:rPr>
        <w:t xml:space="preserve">. AI computing infrastructure can be ten to thirty-times more expensive than general-purpose </w:t>
      </w:r>
      <w:r w:rsidR="007D154C">
        <w:rPr>
          <w:noProof/>
        </w:rPr>
        <w:t>DCs</w:t>
      </w:r>
      <w:r w:rsidR="00E61374" w:rsidRPr="00D37004">
        <w:rPr>
          <w:rStyle w:val="EndnoteReference"/>
          <w:noProof/>
        </w:rPr>
        <w:endnoteReference w:id="127"/>
      </w:r>
      <w:r w:rsidR="00E61374" w:rsidRPr="00D37004">
        <w:rPr>
          <w:noProof/>
        </w:rPr>
        <w:t xml:space="preserve">, requiring massive capital investment. </w:t>
      </w:r>
      <w:r w:rsidR="00E61374">
        <w:rPr>
          <w:noProof/>
        </w:rPr>
        <w:t>The</w:t>
      </w:r>
      <w:r w:rsidR="00E61374" w:rsidRPr="00D37004">
        <w:rPr>
          <w:noProof/>
        </w:rPr>
        <w:t xml:space="preserve"> </w:t>
      </w:r>
      <w:r w:rsidR="00E61374" w:rsidRPr="2A6A1A3F">
        <w:rPr>
          <w:noProof/>
        </w:rPr>
        <w:t>EU’s fragmented financing landscape</w:t>
      </w:r>
      <w:r w:rsidR="00E61374" w:rsidRPr="00D37004">
        <w:rPr>
          <w:noProof/>
        </w:rPr>
        <w:t xml:space="preserve"> lacks the depth of an integrated capital market. Compared to the US, the UK</w:t>
      </w:r>
      <w:r w:rsidR="00E61374" w:rsidRPr="00D37004">
        <w:rPr>
          <w:rStyle w:val="EndnoteReference"/>
          <w:noProof/>
        </w:rPr>
        <w:endnoteReference w:id="128"/>
      </w:r>
      <w:r w:rsidR="00E61374" w:rsidRPr="00D37004">
        <w:rPr>
          <w:noProof/>
        </w:rPr>
        <w:t xml:space="preserve"> and China</w:t>
      </w:r>
      <w:r w:rsidR="00E61374" w:rsidRPr="00D37004">
        <w:rPr>
          <w:rStyle w:val="EndnoteReference"/>
          <w:noProof/>
        </w:rPr>
        <w:endnoteReference w:id="129"/>
      </w:r>
      <w:r w:rsidR="00E61374" w:rsidRPr="00D37004">
        <w:rPr>
          <w:noProof/>
        </w:rPr>
        <w:t xml:space="preserve">, European investors have treated </w:t>
      </w:r>
      <w:r w:rsidR="007D154C">
        <w:rPr>
          <w:noProof/>
        </w:rPr>
        <w:t>DCs</w:t>
      </w:r>
      <w:r w:rsidR="00E61374" w:rsidRPr="00D37004">
        <w:rPr>
          <w:noProof/>
        </w:rPr>
        <w:t xml:space="preserve"> as a niche market rather than a distinct asset</w:t>
      </w:r>
      <w:r w:rsidR="00E61374" w:rsidRPr="00D37004">
        <w:rPr>
          <w:rStyle w:val="EndnoteReference"/>
          <w:noProof/>
        </w:rPr>
        <w:endnoteReference w:id="130"/>
      </w:r>
      <w:r w:rsidR="00E61374" w:rsidRPr="00D37004">
        <w:rPr>
          <w:noProof/>
        </w:rPr>
        <w:t>.</w:t>
      </w:r>
      <w:r w:rsidR="007D154C">
        <w:rPr>
          <w:noProof/>
        </w:rPr>
        <w:t xml:space="preserve"> </w:t>
      </w:r>
      <w:r w:rsidR="00E61374" w:rsidRPr="00D37004">
        <w:rPr>
          <w:noProof/>
        </w:rPr>
        <w:t xml:space="preserve">In addition, many parameters affect the bankability of </w:t>
      </w:r>
      <w:r w:rsidR="007D154C">
        <w:rPr>
          <w:noProof/>
        </w:rPr>
        <w:t>DC</w:t>
      </w:r>
      <w:r w:rsidR="00E61374" w:rsidRPr="00D37004">
        <w:rPr>
          <w:noProof/>
        </w:rPr>
        <w:t xml:space="preserve"> projects</w:t>
      </w:r>
      <w:r w:rsidR="00E61374" w:rsidRPr="00D37004">
        <w:rPr>
          <w:rStyle w:val="FootnoteReference"/>
          <w:noProof/>
        </w:rPr>
        <w:footnoteReference w:id="66"/>
      </w:r>
      <w:r w:rsidR="00E61374" w:rsidRPr="00D37004">
        <w:rPr>
          <w:noProof/>
        </w:rPr>
        <w:t xml:space="preserve"> such as the size of the operator, permitting and access to grid. Combined with Europe’s fragmented capital markets</w:t>
      </w:r>
      <w:r w:rsidR="00E61374" w:rsidRPr="00D37004">
        <w:rPr>
          <w:rStyle w:val="FootnoteReference"/>
          <w:noProof/>
        </w:rPr>
        <w:footnoteReference w:id="67"/>
      </w:r>
      <w:r w:rsidR="00E61374" w:rsidRPr="00D37004">
        <w:rPr>
          <w:noProof/>
        </w:rPr>
        <w:t xml:space="preserve"> and the high risk associated with smaller EU CSPs, notably outside the FLAPD markets, these challenges slow down capital mobilisation for </w:t>
      </w:r>
      <w:r w:rsidR="00372EDF">
        <w:rPr>
          <w:noProof/>
        </w:rPr>
        <w:t>DCs</w:t>
      </w:r>
      <w:r w:rsidR="00E61374" w:rsidRPr="00D37004">
        <w:rPr>
          <w:noProof/>
        </w:rPr>
        <w:t>.</w:t>
      </w:r>
    </w:p>
    <w:p w14:paraId="4BC89700" w14:textId="66A41E44" w:rsidR="00F13932" w:rsidRDefault="001F21AE" w:rsidP="00F13932">
      <w:pPr>
        <w:rPr>
          <w:noProof/>
        </w:rPr>
      </w:pPr>
      <w:r>
        <w:rPr>
          <w:noProof/>
        </w:rPr>
        <w:t xml:space="preserve">In parallel to these bottlenecks across EU markets, </w:t>
      </w:r>
      <w:r w:rsidR="008D266E" w:rsidRPr="00C91C3D">
        <w:rPr>
          <w:noProof/>
        </w:rPr>
        <w:t>w</w:t>
      </w:r>
      <w:r w:rsidR="00F84120" w:rsidRPr="00C91C3D">
        <w:rPr>
          <w:noProof/>
        </w:rPr>
        <w:t>ater</w:t>
      </w:r>
      <w:r w:rsidR="00F84120" w:rsidRPr="00D477A2">
        <w:rPr>
          <w:noProof/>
        </w:rPr>
        <w:t xml:space="preserve"> </w:t>
      </w:r>
      <w:r w:rsidRPr="00D477A2">
        <w:rPr>
          <w:noProof/>
        </w:rPr>
        <w:t>availability</w:t>
      </w:r>
      <w:r>
        <w:rPr>
          <w:noProof/>
        </w:rPr>
        <w:t xml:space="preserve"> </w:t>
      </w:r>
      <w:r w:rsidR="004A68B3">
        <w:rPr>
          <w:noProof/>
        </w:rPr>
        <w:t>can be a</w:t>
      </w:r>
      <w:r w:rsidR="00F84120" w:rsidRPr="00D37004">
        <w:rPr>
          <w:noProof/>
        </w:rPr>
        <w:t xml:space="preserve"> critical factor </w:t>
      </w:r>
      <w:r>
        <w:rPr>
          <w:noProof/>
        </w:rPr>
        <w:t>for</w:t>
      </w:r>
      <w:r w:rsidR="00F84120" w:rsidRPr="00D37004">
        <w:rPr>
          <w:noProof/>
        </w:rPr>
        <w:t xml:space="preserve"> </w:t>
      </w:r>
      <w:r w:rsidR="00F84120">
        <w:rPr>
          <w:noProof/>
        </w:rPr>
        <w:t>DC</w:t>
      </w:r>
      <w:r w:rsidR="00F84120" w:rsidRPr="00D37004">
        <w:rPr>
          <w:noProof/>
        </w:rPr>
        <w:t xml:space="preserve"> </w:t>
      </w:r>
      <w:r>
        <w:rPr>
          <w:noProof/>
        </w:rPr>
        <w:t>deployment</w:t>
      </w:r>
      <w:r w:rsidR="004A68B3">
        <w:rPr>
          <w:noProof/>
        </w:rPr>
        <w:t xml:space="preserve"> for DCs that </w:t>
      </w:r>
      <w:r w:rsidR="00F84120" w:rsidRPr="00D37004">
        <w:rPr>
          <w:noProof/>
        </w:rPr>
        <w:t xml:space="preserve">use cooling technologies </w:t>
      </w:r>
      <w:r w:rsidR="00F84120">
        <w:rPr>
          <w:noProof/>
        </w:rPr>
        <w:t>which</w:t>
      </w:r>
      <w:r w:rsidR="00F84120" w:rsidRPr="00D37004">
        <w:rPr>
          <w:noProof/>
        </w:rPr>
        <w:t xml:space="preserve"> rely on water. With evaporative cooling techniques, a 1-megawatt </w:t>
      </w:r>
      <w:r w:rsidR="00F84120">
        <w:rPr>
          <w:noProof/>
        </w:rPr>
        <w:t>DC</w:t>
      </w:r>
      <w:r w:rsidR="00F84120" w:rsidRPr="00D37004">
        <w:rPr>
          <w:noProof/>
        </w:rPr>
        <w:t xml:space="preserve"> can use up to 25.5 </w:t>
      </w:r>
      <w:r w:rsidR="00F84120">
        <w:rPr>
          <w:noProof/>
        </w:rPr>
        <w:t xml:space="preserve">m </w:t>
      </w:r>
      <w:r w:rsidR="00F84120" w:rsidRPr="00D37004">
        <w:rPr>
          <w:noProof/>
        </w:rPr>
        <w:t>litres of water annually</w:t>
      </w:r>
      <w:r w:rsidR="00F84120" w:rsidRPr="00D37004">
        <w:rPr>
          <w:rStyle w:val="EndnoteReference"/>
          <w:noProof/>
        </w:rPr>
        <w:endnoteReference w:id="131"/>
      </w:r>
      <w:r w:rsidR="00F84120" w:rsidRPr="00D37004">
        <w:rPr>
          <w:noProof/>
        </w:rPr>
        <w:t>, a potential issue in water-stressed locations</w:t>
      </w:r>
      <w:r w:rsidR="00F84120" w:rsidRPr="00D37004">
        <w:rPr>
          <w:rStyle w:val="EndnoteReference"/>
          <w:noProof/>
        </w:rPr>
        <w:endnoteReference w:id="132"/>
      </w:r>
      <w:r w:rsidR="00F84120" w:rsidRPr="00D37004">
        <w:rPr>
          <w:noProof/>
        </w:rPr>
        <w:t xml:space="preserve">. </w:t>
      </w:r>
      <w:r w:rsidR="00D43AB0">
        <w:rPr>
          <w:noProof/>
        </w:rPr>
        <w:t xml:space="preserve">While this is </w:t>
      </w:r>
      <w:r w:rsidR="00D43AB0" w:rsidDel="00853E2D">
        <w:rPr>
          <w:noProof/>
        </w:rPr>
        <w:t xml:space="preserve">not </w:t>
      </w:r>
      <w:r w:rsidR="00853E2D">
        <w:rPr>
          <w:noProof/>
        </w:rPr>
        <w:t>a</w:t>
      </w:r>
      <w:r w:rsidR="00D43AB0">
        <w:rPr>
          <w:noProof/>
        </w:rPr>
        <w:t xml:space="preserve"> </w:t>
      </w:r>
      <w:r w:rsidR="00CD5B1E">
        <w:rPr>
          <w:noProof/>
        </w:rPr>
        <w:t>systematic</w:t>
      </w:r>
      <w:r w:rsidR="00D43AB0">
        <w:rPr>
          <w:noProof/>
        </w:rPr>
        <w:t xml:space="preserve"> investment bottleneck in Europe compared with other constraints</w:t>
      </w:r>
      <w:r w:rsidR="007E165E">
        <w:rPr>
          <w:rStyle w:val="FootnoteReference"/>
          <w:noProof/>
        </w:rPr>
        <w:footnoteReference w:id="68"/>
      </w:r>
      <w:r w:rsidR="00D43AB0">
        <w:rPr>
          <w:noProof/>
        </w:rPr>
        <w:t>,</w:t>
      </w:r>
      <w:r w:rsidR="008D266E">
        <w:rPr>
          <w:noProof/>
        </w:rPr>
        <w:t xml:space="preserve"> its importance in site selection and environmental assessments highlights the need to consider water risk as </w:t>
      </w:r>
      <w:r w:rsidR="009506E1">
        <w:rPr>
          <w:noProof/>
        </w:rPr>
        <w:t>a relevant aspect</w:t>
      </w:r>
      <w:r w:rsidR="008D266E">
        <w:rPr>
          <w:noProof/>
        </w:rPr>
        <w:t xml:space="preserve"> of future infrastructure planning. </w:t>
      </w:r>
    </w:p>
    <w:p w14:paraId="0F895EFB" w14:textId="7F35EC6D" w:rsidR="00616E67" w:rsidRPr="00F13932" w:rsidRDefault="00F13932" w:rsidP="00F13932">
      <w:pPr>
        <w:rPr>
          <w:noProof/>
        </w:rPr>
      </w:pPr>
      <w:r w:rsidRPr="00525B76">
        <w:rPr>
          <w:noProof/>
        </w:rPr>
        <w:t xml:space="preserve">In responding to this unprecedented demand growth, the factors highlighted </w:t>
      </w:r>
      <w:r>
        <w:rPr>
          <w:noProof/>
        </w:rPr>
        <w:t xml:space="preserve">above </w:t>
      </w:r>
      <w:r w:rsidRPr="00525B76">
        <w:rPr>
          <w:noProof/>
        </w:rPr>
        <w:t xml:space="preserve">are holding the EU back from swiftly building the computing capacity needed to respond to the </w:t>
      </w:r>
      <w:r>
        <w:rPr>
          <w:noProof/>
        </w:rPr>
        <w:t xml:space="preserve">increase in </w:t>
      </w:r>
      <w:r w:rsidRPr="00525B76">
        <w:rPr>
          <w:noProof/>
        </w:rPr>
        <w:t>demand</w:t>
      </w:r>
      <w:r w:rsidR="00B63250">
        <w:rPr>
          <w:noProof/>
        </w:rPr>
        <w:t>, including for socially valuable infrastructure</w:t>
      </w:r>
      <w:r w:rsidR="00C01727">
        <w:rPr>
          <w:noProof/>
        </w:rPr>
        <w:t>.</w:t>
      </w:r>
      <w:r w:rsidR="00B63250">
        <w:rPr>
          <w:noProof/>
        </w:rPr>
        <w:t xml:space="preserve"> </w:t>
      </w:r>
      <w:r w:rsidR="006176A9">
        <w:rPr>
          <w:noProof/>
        </w:rPr>
        <w:t>T</w:t>
      </w:r>
      <w:r w:rsidR="006176A9" w:rsidRPr="00525B76">
        <w:rPr>
          <w:noProof/>
        </w:rPr>
        <w:t xml:space="preserve">he identified bottlenecks have historically not weighed as heavily as today: </w:t>
      </w:r>
      <w:r w:rsidR="006176A9">
        <w:rPr>
          <w:noProof/>
        </w:rPr>
        <w:t>the</w:t>
      </w:r>
      <w:r w:rsidR="006176A9" w:rsidRPr="00525B76">
        <w:rPr>
          <w:noProof/>
        </w:rPr>
        <w:t xml:space="preserve"> demand for data centres has surged with the growing role of digital services and, more recently, with the advent of AI</w:t>
      </w:r>
      <w:r w:rsidR="006176A9">
        <w:rPr>
          <w:noProof/>
        </w:rPr>
        <w:t xml:space="preserve">, which also require data centres located closer to users. </w:t>
      </w:r>
      <w:r>
        <w:rPr>
          <w:noProof/>
        </w:rPr>
        <w:t xml:space="preserve">This results not only in a </w:t>
      </w:r>
      <w:r w:rsidRPr="00525B76">
        <w:rPr>
          <w:noProof/>
        </w:rPr>
        <w:t>capacity gap</w:t>
      </w:r>
      <w:r>
        <w:rPr>
          <w:noProof/>
        </w:rPr>
        <w:t xml:space="preserve"> but also in the </w:t>
      </w:r>
      <w:r w:rsidR="000A7978">
        <w:rPr>
          <w:noProof/>
        </w:rPr>
        <w:t xml:space="preserve">reinforcement of </w:t>
      </w:r>
      <w:r w:rsidR="003F7D1C">
        <w:rPr>
          <w:noProof/>
        </w:rPr>
        <w:t>geographic</w:t>
      </w:r>
      <w:r w:rsidR="000A7978">
        <w:rPr>
          <w:noProof/>
        </w:rPr>
        <w:t xml:space="preserve"> imbalances</w:t>
      </w:r>
      <w:r w:rsidR="00BB4750">
        <w:rPr>
          <w:noProof/>
        </w:rPr>
        <w:t xml:space="preserve">, </w:t>
      </w:r>
      <w:r w:rsidR="005873D2">
        <w:rPr>
          <w:noProof/>
        </w:rPr>
        <w:t>driven by regulatory fragmentation and the risk of regulatory arbitrage</w:t>
      </w:r>
      <w:r w:rsidR="005328DD" w:rsidRPr="00134A8E">
        <w:rPr>
          <w:noProof/>
        </w:rPr>
        <w:t xml:space="preserve">. </w:t>
      </w:r>
      <w:r w:rsidR="00464172">
        <w:rPr>
          <w:noProof/>
        </w:rPr>
        <w:t>Th</w:t>
      </w:r>
      <w:r w:rsidR="00E4008C">
        <w:rPr>
          <w:noProof/>
        </w:rPr>
        <w:t xml:space="preserve">is driver can be considered a </w:t>
      </w:r>
      <w:r w:rsidR="00E4008C" w:rsidRPr="001D1F29">
        <w:rPr>
          <w:b/>
          <w:i/>
          <w:noProof/>
        </w:rPr>
        <w:t>c</w:t>
      </w:r>
      <w:r w:rsidR="000B2B5F" w:rsidRPr="001D1F29">
        <w:rPr>
          <w:b/>
          <w:i/>
          <w:noProof/>
        </w:rPr>
        <w:t>oordination failure</w:t>
      </w:r>
      <w:r w:rsidR="000B2B5F" w:rsidRPr="000F7C30">
        <w:rPr>
          <w:noProof/>
        </w:rPr>
        <w:t xml:space="preserve"> among investors, energy system operators, and public authorities, coupled with </w:t>
      </w:r>
      <w:r w:rsidR="000B2B5F" w:rsidRPr="001D1F29">
        <w:rPr>
          <w:b/>
          <w:i/>
          <w:noProof/>
        </w:rPr>
        <w:t xml:space="preserve">regulatory </w:t>
      </w:r>
      <w:r w:rsidR="00D808E4" w:rsidRPr="001D1F29">
        <w:rPr>
          <w:b/>
          <w:i/>
          <w:noProof/>
        </w:rPr>
        <w:t>failures</w:t>
      </w:r>
      <w:r w:rsidR="00D808E4">
        <w:rPr>
          <w:b/>
          <w:bCs/>
          <w:noProof/>
        </w:rPr>
        <w:t xml:space="preserve">, </w:t>
      </w:r>
      <w:r w:rsidR="00D808E4" w:rsidRPr="00E63FCC">
        <w:rPr>
          <w:noProof/>
        </w:rPr>
        <w:t>as a result of fragmented practices</w:t>
      </w:r>
      <w:r w:rsidR="00194114">
        <w:rPr>
          <w:noProof/>
        </w:rPr>
        <w:t xml:space="preserve"> and divergent regulations</w:t>
      </w:r>
      <w:r w:rsidR="00E4008C">
        <w:rPr>
          <w:noProof/>
        </w:rPr>
        <w:t xml:space="preserve">. The first </w:t>
      </w:r>
      <w:r w:rsidR="000B2B5F" w:rsidRPr="000F7C30">
        <w:rPr>
          <w:noProof/>
        </w:rPr>
        <w:t>hinder</w:t>
      </w:r>
      <w:r w:rsidR="001918E7">
        <w:rPr>
          <w:noProof/>
        </w:rPr>
        <w:t>s</w:t>
      </w:r>
      <w:r w:rsidR="000B2B5F" w:rsidRPr="000F7C30">
        <w:rPr>
          <w:noProof/>
        </w:rPr>
        <w:t xml:space="preserve"> effective communication of where new capacity </w:t>
      </w:r>
      <w:r w:rsidR="00FE52B6">
        <w:rPr>
          <w:noProof/>
        </w:rPr>
        <w:t>c</w:t>
      </w:r>
      <w:r w:rsidR="000B2B5F" w:rsidRPr="000F7C30">
        <w:rPr>
          <w:noProof/>
        </w:rPr>
        <w:t>ould yield the greatest net benefits</w:t>
      </w:r>
      <w:r w:rsidR="00F64D47">
        <w:rPr>
          <w:noProof/>
        </w:rPr>
        <w:t>,</w:t>
      </w:r>
      <w:r w:rsidR="00E4008C">
        <w:rPr>
          <w:noProof/>
        </w:rPr>
        <w:t xml:space="preserve"> </w:t>
      </w:r>
      <w:r w:rsidR="00824AAA">
        <w:rPr>
          <w:noProof/>
        </w:rPr>
        <w:t>while i</w:t>
      </w:r>
      <w:r w:rsidR="00616E67">
        <w:rPr>
          <w:noProof/>
        </w:rPr>
        <w:t xml:space="preserve">ndividual regulations have created obstacles to the proper functioning of the internal market, </w:t>
      </w:r>
      <w:r w:rsidR="006D40E7">
        <w:rPr>
          <w:noProof/>
        </w:rPr>
        <w:t xml:space="preserve">increasing compliance costs and preventing the cross-border scaling </w:t>
      </w:r>
      <w:r w:rsidR="00824AAA">
        <w:rPr>
          <w:noProof/>
        </w:rPr>
        <w:t xml:space="preserve">for </w:t>
      </w:r>
      <w:r w:rsidR="00616E67">
        <w:rPr>
          <w:noProof/>
        </w:rPr>
        <w:t>smaller operators.</w:t>
      </w:r>
      <w:r w:rsidR="00F727A6">
        <w:rPr>
          <w:noProof/>
        </w:rPr>
        <w:t xml:space="preserve"> Even though larger companies face the same rules, they are able to internalise such costs</w:t>
      </w:r>
      <w:r w:rsidR="00E31FAB">
        <w:rPr>
          <w:noProof/>
        </w:rPr>
        <w:t xml:space="preserve"> and</w:t>
      </w:r>
      <w:r w:rsidR="00F727A6">
        <w:rPr>
          <w:noProof/>
        </w:rPr>
        <w:t xml:space="preserve"> regulatory </w:t>
      </w:r>
      <w:r w:rsidR="00E31FAB">
        <w:rPr>
          <w:noProof/>
        </w:rPr>
        <w:t>heterogeneity</w:t>
      </w:r>
      <w:r w:rsidR="00F727A6">
        <w:rPr>
          <w:noProof/>
        </w:rPr>
        <w:t xml:space="preserve"> </w:t>
      </w:r>
      <w:r w:rsidR="003102C5">
        <w:rPr>
          <w:noProof/>
        </w:rPr>
        <w:t xml:space="preserve">given their global scale. </w:t>
      </w:r>
    </w:p>
    <w:p w14:paraId="0E78912F" w14:textId="543699E4" w:rsidR="00E61374" w:rsidRPr="00D37004" w:rsidRDefault="00E61374" w:rsidP="006B5183">
      <w:pPr>
        <w:pStyle w:val="Heading3"/>
        <w:rPr>
          <w:noProof/>
        </w:rPr>
      </w:pPr>
      <w:r w:rsidRPr="00D37004">
        <w:rPr>
          <w:noProof/>
        </w:rPr>
        <w:t xml:space="preserve">Problem Driver 3 (PD3): </w:t>
      </w:r>
      <w:bookmarkStart w:id="28" w:name="_Hlk216119326"/>
      <w:r>
        <w:rPr>
          <w:noProof/>
        </w:rPr>
        <w:t xml:space="preserve">Limited public sector uptake of cloud and AI computing services supplied by European providers </w:t>
      </w:r>
      <w:bookmarkEnd w:id="28"/>
      <w:r w:rsidR="00003C7F">
        <w:rPr>
          <w:noProof/>
        </w:rPr>
        <w:t>and diverging procurement practices</w:t>
      </w:r>
      <w:r>
        <w:rPr>
          <w:noProof/>
        </w:rPr>
        <w:t xml:space="preserve">   </w:t>
      </w:r>
    </w:p>
    <w:p w14:paraId="42667CEF" w14:textId="3DDBEA1C" w:rsidR="00E61374" w:rsidRDefault="00E61374" w:rsidP="00E61374">
      <w:pPr>
        <w:rPr>
          <w:noProof/>
        </w:rPr>
      </w:pPr>
      <w:r>
        <w:rPr>
          <w:noProof/>
        </w:rPr>
        <w:t>This driver is innately linked to PD1. While some analysts</w:t>
      </w:r>
      <w:r>
        <w:rPr>
          <w:rStyle w:val="EndnoteReference"/>
          <w:noProof/>
          <w:lang w:val="en-IE"/>
        </w:rPr>
        <w:endnoteReference w:id="133"/>
      </w:r>
      <w:r>
        <w:rPr>
          <w:noProof/>
        </w:rPr>
        <w:t xml:space="preserve"> argue that the dependence on non-European cloud and AI computing services stems from the limited scale and scope of these services (PD1), other</w:t>
      </w:r>
      <w:r w:rsidR="00ED122E">
        <w:rPr>
          <w:noProof/>
        </w:rPr>
        <w:t>s</w:t>
      </w:r>
      <w:r>
        <w:rPr>
          <w:noProof/>
        </w:rPr>
        <w:t xml:space="preserve"> argue that the scale and scope of these services can only grow based on stable anchor customers</w:t>
      </w:r>
      <w:r>
        <w:rPr>
          <w:rStyle w:val="EndnoteReference"/>
          <w:noProof/>
          <w:lang w:val="en-IE"/>
        </w:rPr>
        <w:endnoteReference w:id="134"/>
      </w:r>
      <w:r>
        <w:rPr>
          <w:noProof/>
        </w:rPr>
        <w:t xml:space="preserve">. </w:t>
      </w:r>
    </w:p>
    <w:p w14:paraId="4FF0D9AF" w14:textId="57D5531A" w:rsidR="00E94A18" w:rsidRDefault="00E61374" w:rsidP="00251BA7">
      <w:pPr>
        <w:rPr>
          <w:noProof/>
        </w:rPr>
      </w:pPr>
      <w:r>
        <w:rPr>
          <w:noProof/>
        </w:rPr>
        <w:t xml:space="preserve">As discussed in relation to PD1, the initial growth of today’s largest cloud </w:t>
      </w:r>
      <w:r w:rsidRPr="3140DF03">
        <w:rPr>
          <w:noProof/>
        </w:rPr>
        <w:t xml:space="preserve">and AI computing </w:t>
      </w:r>
      <w:r>
        <w:rPr>
          <w:noProof/>
        </w:rPr>
        <w:t xml:space="preserve">service providers was fuelled by public contracts. Similar opportunities did not emerge for European providers. Generally, public sector cloud uptake and corresponding spending on cloud and AI computing services is relatively low. Looking at 2024 </w:t>
      </w:r>
      <w:r w:rsidR="00DA544F">
        <w:rPr>
          <w:noProof/>
        </w:rPr>
        <w:t>publicly</w:t>
      </w:r>
      <w:r>
        <w:rPr>
          <w:noProof/>
        </w:rPr>
        <w:t xml:space="preserve"> </w:t>
      </w:r>
      <w:r w:rsidR="004277B9">
        <w:rPr>
          <w:noProof/>
        </w:rPr>
        <w:t xml:space="preserve">available </w:t>
      </w:r>
      <w:r>
        <w:rPr>
          <w:noProof/>
        </w:rPr>
        <w:t xml:space="preserve">data from the portal of Tenders Electronic Daily, approximately 3.13% of ICT awards were dedicated to cloud and AI computing services. Out of all award notices published on the portal in 2024, 0.34% were related to cloud and AI computing services. </w:t>
      </w:r>
      <w:r w:rsidR="00DC01AB">
        <w:rPr>
          <w:noProof/>
        </w:rPr>
        <w:t>B</w:t>
      </w:r>
      <w:r w:rsidRPr="00D37004">
        <w:rPr>
          <w:noProof/>
        </w:rPr>
        <w:t>udgetary constraints and a shortage of a digitally skilled workforce to build their own private cloud constructs</w:t>
      </w:r>
      <w:r w:rsidRPr="00D37004">
        <w:rPr>
          <w:rStyle w:val="FootnoteReference"/>
          <w:noProof/>
        </w:rPr>
        <w:footnoteReference w:id="69"/>
      </w:r>
      <w:r w:rsidRPr="00D37004">
        <w:rPr>
          <w:noProof/>
        </w:rPr>
        <w:t xml:space="preserve"> make public authorities dependent on cloud and AI </w:t>
      </w:r>
      <w:r>
        <w:rPr>
          <w:noProof/>
        </w:rPr>
        <w:t xml:space="preserve">computing services </w:t>
      </w:r>
      <w:r w:rsidRPr="00D37004">
        <w:rPr>
          <w:noProof/>
        </w:rPr>
        <w:t>from external providers</w:t>
      </w:r>
      <w:r w:rsidRPr="00D37004">
        <w:rPr>
          <w:rStyle w:val="EndnoteReference"/>
          <w:noProof/>
        </w:rPr>
        <w:endnoteReference w:id="135"/>
      </w:r>
      <w:r>
        <w:rPr>
          <w:noProof/>
        </w:rPr>
        <w:t>.</w:t>
      </w:r>
      <w:r w:rsidRPr="004969B9">
        <w:rPr>
          <w:noProof/>
        </w:rPr>
        <w:t xml:space="preserve"> </w:t>
      </w:r>
      <w:r>
        <w:rPr>
          <w:noProof/>
        </w:rPr>
        <w:t xml:space="preserve">The systematic uptake of cloud and AI computing services by the public sector is still a relatively recent phenomenon. For example, </w:t>
      </w:r>
      <w:r w:rsidRPr="004969B9">
        <w:rPr>
          <w:noProof/>
        </w:rPr>
        <w:t>Italy</w:t>
      </w:r>
      <w:r>
        <w:rPr>
          <w:noProof/>
        </w:rPr>
        <w:t xml:space="preserve"> only set up it</w:t>
      </w:r>
      <w:r w:rsidRPr="004969B9">
        <w:rPr>
          <w:noProof/>
        </w:rPr>
        <w:t xml:space="preserve">s Polo Strategico Nazionale </w:t>
      </w:r>
      <w:r>
        <w:rPr>
          <w:noProof/>
        </w:rPr>
        <w:t xml:space="preserve">to provide public administrations with access to cloud infrastructure </w:t>
      </w:r>
      <w:r w:rsidRPr="004969B9">
        <w:rPr>
          <w:noProof/>
        </w:rPr>
        <w:t>in 2022</w:t>
      </w:r>
      <w:r w:rsidRPr="004969B9">
        <w:rPr>
          <w:noProof/>
          <w:vertAlign w:val="superscript"/>
        </w:rPr>
        <w:endnoteReference w:id="136"/>
      </w:r>
      <w:r w:rsidRPr="004969B9">
        <w:rPr>
          <w:noProof/>
        </w:rPr>
        <w:t xml:space="preserve"> </w:t>
      </w:r>
      <w:r>
        <w:rPr>
          <w:noProof/>
        </w:rPr>
        <w:t xml:space="preserve">and Germany launched its government cloud </w:t>
      </w:r>
      <w:r w:rsidRPr="004969B9">
        <w:rPr>
          <w:noProof/>
        </w:rPr>
        <w:t>in March 2025</w:t>
      </w:r>
      <w:r w:rsidRPr="004969B9">
        <w:rPr>
          <w:noProof/>
          <w:vertAlign w:val="superscript"/>
        </w:rPr>
        <w:endnoteReference w:id="137"/>
      </w:r>
      <w:r w:rsidRPr="004969B9">
        <w:rPr>
          <w:noProof/>
        </w:rPr>
        <w:t>.</w:t>
      </w:r>
      <w:r w:rsidRPr="00D37004">
        <w:rPr>
          <w:noProof/>
        </w:rPr>
        <w:t xml:space="preserve"> </w:t>
      </w:r>
      <w:r w:rsidR="00436341">
        <w:rPr>
          <w:noProof/>
        </w:rPr>
        <w:t xml:space="preserve">While all Member States have developed national AI strategies and 21 of them have in place dedicated cloud policies, </w:t>
      </w:r>
      <w:r w:rsidR="00436341" w:rsidRPr="000E7F5B">
        <w:rPr>
          <w:noProof/>
        </w:rPr>
        <w:t xml:space="preserve">Member States vary widely in </w:t>
      </w:r>
      <w:r w:rsidR="00E61053">
        <w:rPr>
          <w:noProof/>
        </w:rPr>
        <w:t>terms of maturity in the uptake of cloud services</w:t>
      </w:r>
      <w:r w:rsidR="003E3D83">
        <w:rPr>
          <w:noProof/>
        </w:rPr>
        <w:t xml:space="preserve"> or in </w:t>
      </w:r>
      <w:r w:rsidR="00436341" w:rsidRPr="000E7F5B">
        <w:rPr>
          <w:noProof/>
        </w:rPr>
        <w:t xml:space="preserve">how they allocate and report public funding </w:t>
      </w:r>
      <w:r w:rsidR="00436341">
        <w:rPr>
          <w:noProof/>
        </w:rPr>
        <w:t>associated with</w:t>
      </w:r>
      <w:r w:rsidR="00436341" w:rsidRPr="000E7F5B">
        <w:rPr>
          <w:noProof/>
        </w:rPr>
        <w:t xml:space="preserve"> </w:t>
      </w:r>
      <w:r w:rsidR="00436341">
        <w:rPr>
          <w:noProof/>
        </w:rPr>
        <w:t>these initiatives</w:t>
      </w:r>
      <w:r w:rsidR="00436341">
        <w:rPr>
          <w:rStyle w:val="FootnoteReference"/>
          <w:noProof/>
        </w:rPr>
        <w:footnoteReference w:id="70"/>
      </w:r>
      <w:r w:rsidR="00E135F6">
        <w:rPr>
          <w:noProof/>
        </w:rPr>
        <w:t>.</w:t>
      </w:r>
      <w:r w:rsidR="00436341">
        <w:rPr>
          <w:noProof/>
        </w:rPr>
        <w:t xml:space="preserve"> </w:t>
      </w:r>
      <w:r>
        <w:rPr>
          <w:noProof/>
        </w:rPr>
        <w:t>I</w:t>
      </w:r>
      <w:r w:rsidRPr="00D37004">
        <w:rPr>
          <w:noProof/>
        </w:rPr>
        <w:t xml:space="preserve">n some Member States, public procurement </w:t>
      </w:r>
      <w:r>
        <w:rPr>
          <w:noProof/>
        </w:rPr>
        <w:t>practices</w:t>
      </w:r>
      <w:r w:rsidRPr="00D37004">
        <w:rPr>
          <w:noProof/>
        </w:rPr>
        <w:t xml:space="preserve"> </w:t>
      </w:r>
      <w:r>
        <w:rPr>
          <w:noProof/>
        </w:rPr>
        <w:t>impede</w:t>
      </w:r>
      <w:r w:rsidRPr="00D37004">
        <w:rPr>
          <w:noProof/>
        </w:rPr>
        <w:t xml:space="preserve"> the procurement of pay-per-use cloud and AI </w:t>
      </w:r>
      <w:r>
        <w:rPr>
          <w:noProof/>
        </w:rPr>
        <w:t xml:space="preserve">computing </w:t>
      </w:r>
      <w:r w:rsidRPr="00D37004">
        <w:rPr>
          <w:noProof/>
        </w:rPr>
        <w:t>services</w:t>
      </w:r>
      <w:r>
        <w:rPr>
          <w:noProof/>
        </w:rPr>
        <w:t xml:space="preserve"> as they cater more towards </w:t>
      </w:r>
      <w:r w:rsidRPr="00D37004">
        <w:rPr>
          <w:noProof/>
        </w:rPr>
        <w:t>fixed-price contracts</w:t>
      </w:r>
      <w:r w:rsidRPr="00D37004">
        <w:rPr>
          <w:rStyle w:val="EndnoteReference"/>
          <w:noProof/>
        </w:rPr>
        <w:endnoteReference w:id="138"/>
      </w:r>
      <w:r w:rsidRPr="00D37004">
        <w:rPr>
          <w:noProof/>
        </w:rPr>
        <w:t xml:space="preserve">. </w:t>
      </w:r>
      <w:r>
        <w:rPr>
          <w:noProof/>
        </w:rPr>
        <w:t>Beyond pricing modalities, t</w:t>
      </w:r>
      <w:r w:rsidRPr="00D37004">
        <w:rPr>
          <w:noProof/>
        </w:rPr>
        <w:t xml:space="preserve">he </w:t>
      </w:r>
      <w:r w:rsidRPr="001D1F29">
        <w:rPr>
          <w:b/>
          <w:i/>
          <w:noProof/>
        </w:rPr>
        <w:t>lack of harmonised approaches to procuring cloud and AI computing services</w:t>
      </w:r>
      <w:r w:rsidRPr="00D37004">
        <w:rPr>
          <w:noProof/>
        </w:rPr>
        <w:t xml:space="preserve"> creates difficulties in developing and evaluating call for tenders</w:t>
      </w:r>
      <w:r w:rsidRPr="00D37004">
        <w:rPr>
          <w:rStyle w:val="FootnoteReference"/>
          <w:noProof/>
        </w:rPr>
        <w:footnoteReference w:id="71"/>
      </w:r>
      <w:r w:rsidRPr="00D37004">
        <w:rPr>
          <w:noProof/>
        </w:rPr>
        <w:t>.</w:t>
      </w:r>
      <w:r>
        <w:rPr>
          <w:noProof/>
        </w:rPr>
        <w:t xml:space="preserve"> Moreover, the approach to using cloud and AI computing services laid down in cloud strategies and policies varies significantly, even within the same public entity and does not always include risk assessments</w:t>
      </w:r>
      <w:r>
        <w:rPr>
          <w:rStyle w:val="FootnoteReference"/>
          <w:noProof/>
        </w:rPr>
        <w:footnoteReference w:id="72"/>
      </w:r>
      <w:r>
        <w:rPr>
          <w:noProof/>
        </w:rPr>
        <w:t xml:space="preserve">. Where they do purchase cloud and AI computing services, an increasing number of public sector entities </w:t>
      </w:r>
      <w:r w:rsidR="00DC5CF5">
        <w:rPr>
          <w:noProof/>
        </w:rPr>
        <w:t>relies</w:t>
      </w:r>
      <w:r>
        <w:rPr>
          <w:noProof/>
        </w:rPr>
        <w:t xml:space="preserve"> on services provided by non-European companies</w:t>
      </w:r>
      <w:r>
        <w:rPr>
          <w:rStyle w:val="FootnoteReference"/>
          <w:noProof/>
        </w:rPr>
        <w:footnoteReference w:id="73"/>
      </w:r>
      <w:r>
        <w:rPr>
          <w:noProof/>
        </w:rPr>
        <w:t>, sometimes concluding direct partnerships</w:t>
      </w:r>
      <w:r>
        <w:rPr>
          <w:rStyle w:val="FootnoteReference"/>
          <w:noProof/>
        </w:rPr>
        <w:footnoteReference w:id="74"/>
      </w:r>
      <w:r>
        <w:rPr>
          <w:noProof/>
        </w:rPr>
        <w:t>. For example, Finland's State Treasury uses Oracle and Microsoft Azure, Denmark's state public services use OpenStack's private cloud, Belgium's public authorities use a hybrid G-cloud, which runs on the clouds by IBM, Microsoft and Oracle, and the Dutch Tax Office uses Microsoft Azure</w:t>
      </w:r>
      <w:r w:rsidRPr="04E66CE0">
        <w:rPr>
          <w:rStyle w:val="EndnoteReference"/>
          <w:noProof/>
        </w:rPr>
        <w:endnoteReference w:id="139"/>
      </w:r>
      <w:r w:rsidR="00E301DD">
        <w:rPr>
          <w:noProof/>
        </w:rPr>
        <w:t>.</w:t>
      </w:r>
      <w:r>
        <w:rPr>
          <w:noProof/>
        </w:rPr>
        <w:t xml:space="preserve"> Similarly, the Flemish government recently partnered with Microsoft</w:t>
      </w:r>
      <w:r w:rsidRPr="2947D40F">
        <w:rPr>
          <w:rStyle w:val="EndnoteReference"/>
          <w:noProof/>
        </w:rPr>
        <w:endnoteReference w:id="140"/>
      </w:r>
      <w:r w:rsidR="00E301DD">
        <w:rPr>
          <w:noProof/>
        </w:rPr>
        <w:t>.</w:t>
      </w:r>
      <w:r>
        <w:rPr>
          <w:noProof/>
        </w:rPr>
        <w:t xml:space="preserve"> Some public tenders directly refer to services from leading cloud and AI computing service providers</w:t>
      </w:r>
      <w:r>
        <w:rPr>
          <w:rStyle w:val="FootnoteReference"/>
          <w:noProof/>
        </w:rPr>
        <w:footnoteReference w:id="75"/>
      </w:r>
      <w:r>
        <w:rPr>
          <w:noProof/>
        </w:rPr>
        <w:t xml:space="preserve">. </w:t>
      </w:r>
      <w:r w:rsidR="00770AB9">
        <w:rPr>
          <w:noProof/>
        </w:rPr>
        <w:t xml:space="preserve">A 2026 study by </w:t>
      </w:r>
      <w:r w:rsidR="00FA1CB4">
        <w:rPr>
          <w:noProof/>
        </w:rPr>
        <w:t>FOTI, the Future of Technology Institute</w:t>
      </w:r>
      <w:r w:rsidR="00461E1B">
        <w:rPr>
          <w:noProof/>
        </w:rPr>
        <w:t>, shows the pervasiveness of non-European providers</w:t>
      </w:r>
      <w:r w:rsidR="00963D33">
        <w:rPr>
          <w:noProof/>
        </w:rPr>
        <w:t xml:space="preserve"> also in the defence sector</w:t>
      </w:r>
      <w:r w:rsidR="006F14DD">
        <w:rPr>
          <w:rStyle w:val="FootnoteReference"/>
          <w:noProof/>
        </w:rPr>
        <w:footnoteReference w:id="76"/>
      </w:r>
      <w:r w:rsidR="00963D33">
        <w:rPr>
          <w:noProof/>
        </w:rPr>
        <w:t>.</w:t>
      </w:r>
      <w:r w:rsidR="00B13D81">
        <w:rPr>
          <w:noProof/>
        </w:rPr>
        <w:t xml:space="preserve"> </w:t>
      </w:r>
      <w:r w:rsidR="00AE1C1D">
        <w:rPr>
          <w:noProof/>
        </w:rPr>
        <w:t xml:space="preserve">This results in foregone economic opportunities for European CSPs </w:t>
      </w:r>
      <w:r w:rsidR="00E94A18">
        <w:rPr>
          <w:noProof/>
        </w:rPr>
        <w:t xml:space="preserve">and closes off one avenue </w:t>
      </w:r>
      <w:r w:rsidR="00E1622F">
        <w:rPr>
          <w:noProof/>
        </w:rPr>
        <w:t xml:space="preserve">for obtaining the stable </w:t>
      </w:r>
      <w:r w:rsidR="004D0827">
        <w:rPr>
          <w:noProof/>
        </w:rPr>
        <w:t xml:space="preserve">public contracts that have allowed </w:t>
      </w:r>
      <w:r w:rsidR="00124DDF">
        <w:rPr>
          <w:noProof/>
        </w:rPr>
        <w:t>US CSPs to scale (see PD1</w:t>
      </w:r>
      <w:r w:rsidR="00155EA9">
        <w:rPr>
          <w:noProof/>
        </w:rPr>
        <w:t xml:space="preserve">). </w:t>
      </w:r>
    </w:p>
    <w:p w14:paraId="0B89886E" w14:textId="3C480EA4" w:rsidR="00207B4F" w:rsidRPr="00251BA7" w:rsidRDefault="00E61374" w:rsidP="00251BA7">
      <w:pPr>
        <w:rPr>
          <w:iCs/>
          <w:noProof/>
        </w:rPr>
      </w:pPr>
      <w:r>
        <w:rPr>
          <w:noProof/>
        </w:rPr>
        <w:t>While the described barriers to public sector cloud adoption affect public sector demand for all service providers, they have particularly pronounced effects on comparatively smaller European providers</w:t>
      </w:r>
      <w:r w:rsidR="00E552AE">
        <w:rPr>
          <w:noProof/>
        </w:rPr>
        <w:t xml:space="preserve"> wh</w:t>
      </w:r>
      <w:r w:rsidR="000E757D">
        <w:rPr>
          <w:noProof/>
        </w:rPr>
        <w:t>ich</w:t>
      </w:r>
      <w:r>
        <w:rPr>
          <w:noProof/>
        </w:rPr>
        <w:t xml:space="preserve"> do not have the resources to navigate diverging approaches to public procurement</w:t>
      </w:r>
      <w:r w:rsidR="00967DE7">
        <w:rPr>
          <w:noProof/>
        </w:rPr>
        <w:t>,</w:t>
      </w:r>
      <w:r w:rsidR="004C095E">
        <w:rPr>
          <w:noProof/>
        </w:rPr>
        <w:t xml:space="preserve"> and that prevent them from the benefits of the Single Market</w:t>
      </w:r>
      <w:r w:rsidR="008F1DAC">
        <w:rPr>
          <w:noProof/>
        </w:rPr>
        <w:t xml:space="preserve"> </w:t>
      </w:r>
      <w:r w:rsidR="008F1DAC" w:rsidRPr="2A6A1A3F">
        <w:rPr>
          <w:b/>
          <w:bCs/>
          <w:noProof/>
        </w:rPr>
        <w:t>(regulatory failure)</w:t>
      </w:r>
      <w:r w:rsidRPr="2A6A1A3F">
        <w:rPr>
          <w:b/>
          <w:bCs/>
          <w:noProof/>
        </w:rPr>
        <w:t>.</w:t>
      </w:r>
      <w:r>
        <w:rPr>
          <w:noProof/>
        </w:rPr>
        <w:t xml:space="preserve"> Moreover, budgetary and human resources constraints</w:t>
      </w:r>
      <w:r>
        <w:rPr>
          <w:rStyle w:val="FootnoteReference"/>
          <w:noProof/>
        </w:rPr>
        <w:footnoteReference w:id="77"/>
      </w:r>
      <w:r>
        <w:rPr>
          <w:noProof/>
        </w:rPr>
        <w:t xml:space="preserve"> as well as a lack of awareness for alternative solutions drive the public sector towards the purchasing of integrated service packages from large incumbents</w:t>
      </w:r>
      <w:r>
        <w:rPr>
          <w:rStyle w:val="EndnoteReference"/>
          <w:noProof/>
        </w:rPr>
        <w:endnoteReference w:id="141"/>
      </w:r>
      <w:r>
        <w:rPr>
          <w:noProof/>
        </w:rPr>
        <w:t xml:space="preserve"> (see PD1). At the same time, public sector organisation</w:t>
      </w:r>
      <w:r w:rsidR="003606E9">
        <w:rPr>
          <w:noProof/>
        </w:rPr>
        <w:t>s</w:t>
      </w:r>
      <w:r>
        <w:rPr>
          <w:noProof/>
        </w:rPr>
        <w:t xml:space="preserve"> voice strong </w:t>
      </w:r>
      <w:r w:rsidRPr="00D37004">
        <w:rPr>
          <w:noProof/>
        </w:rPr>
        <w:t>concerns related to the possible loss of operational autonomy and control over the data and associated infrastructure</w:t>
      </w:r>
      <w:r w:rsidRPr="00D37004">
        <w:rPr>
          <w:rStyle w:val="FootnoteReference"/>
          <w:noProof/>
        </w:rPr>
        <w:footnoteReference w:id="78"/>
      </w:r>
      <w:r w:rsidRPr="00D37004">
        <w:rPr>
          <w:noProof/>
        </w:rPr>
        <w:t>.</w:t>
      </w:r>
      <w:r w:rsidDel="00414E27">
        <w:rPr>
          <w:noProof/>
        </w:rPr>
        <w:t xml:space="preserve"> </w:t>
      </w:r>
      <w:r w:rsidR="00251BA7" w:rsidRPr="2A6A1A3F">
        <w:rPr>
          <w:noProof/>
        </w:rPr>
        <w:t>Different national approaches have emerged to identify what constitutes a sovereign cloud provider and leveraging public procurement, as evidenced for example by the recent Franco-German sovereignty task force</w:t>
      </w:r>
      <w:r w:rsidR="00251BA7" w:rsidRPr="2A6A1A3F">
        <w:rPr>
          <w:noProof/>
          <w:vertAlign w:val="superscript"/>
        </w:rPr>
        <w:footnoteReference w:id="79"/>
      </w:r>
      <w:r w:rsidR="00251BA7" w:rsidRPr="2A6A1A3F">
        <w:rPr>
          <w:noProof/>
        </w:rPr>
        <w:t>. Similarly, there are multiple and diverging national cybersecurity certification schemes, as described in section 2.2.1 of the report, with some of them integrating a sovereignty dimension</w:t>
      </w:r>
      <w:r w:rsidR="00AF56D3" w:rsidRPr="2A6A1A3F">
        <w:rPr>
          <w:noProof/>
        </w:rPr>
        <w:t>, demonstrating a clear fragmentation</w:t>
      </w:r>
      <w:r w:rsidR="00502808" w:rsidRPr="2A6A1A3F">
        <w:rPr>
          <w:noProof/>
        </w:rPr>
        <w:t xml:space="preserve"> in the internal market</w:t>
      </w:r>
      <w:r w:rsidR="006C3544">
        <w:rPr>
          <w:iCs/>
          <w:noProof/>
        </w:rPr>
        <w:t xml:space="preserve"> </w:t>
      </w:r>
      <w:r w:rsidR="006C3544" w:rsidRPr="2A6A1A3F">
        <w:rPr>
          <w:b/>
          <w:bCs/>
          <w:noProof/>
        </w:rPr>
        <w:t>(</w:t>
      </w:r>
      <w:r w:rsidR="006C3544" w:rsidRPr="001D1F29">
        <w:rPr>
          <w:b/>
          <w:i/>
          <w:noProof/>
        </w:rPr>
        <w:t>systemic failure</w:t>
      </w:r>
      <w:r w:rsidR="00890159" w:rsidRPr="001D1F29">
        <w:rPr>
          <w:b/>
          <w:i/>
          <w:noProof/>
        </w:rPr>
        <w:t xml:space="preserve"> – fragmentation of the internal market</w:t>
      </w:r>
      <w:r w:rsidR="00890159" w:rsidRPr="2A6A1A3F">
        <w:rPr>
          <w:b/>
          <w:bCs/>
          <w:noProof/>
        </w:rPr>
        <w:t>)</w:t>
      </w:r>
      <w:r w:rsidR="00251BA7" w:rsidRPr="2A6A1A3F">
        <w:rPr>
          <w:b/>
          <w:bCs/>
          <w:noProof/>
        </w:rPr>
        <w:t>.</w:t>
      </w:r>
      <w:r w:rsidR="00251BA7" w:rsidRPr="2A6A1A3F">
        <w:rPr>
          <w:noProof/>
        </w:rPr>
        <w:t xml:space="preserve"> While potentially effective in pursuing individual Member States’ policy objectives with respect to their enhanced autonomy, different national efforts come at </w:t>
      </w:r>
      <w:r w:rsidR="008370E0" w:rsidRPr="2A6A1A3F">
        <w:rPr>
          <w:noProof/>
        </w:rPr>
        <w:t>the</w:t>
      </w:r>
      <w:r w:rsidR="00251BA7" w:rsidRPr="2A6A1A3F">
        <w:rPr>
          <w:noProof/>
        </w:rPr>
        <w:t xml:space="preserve"> cost of increased regulatory fragmentation. This undermines the ability of comparatively smaller providers to easily navigate the European cloud market and offer their services across borders, including to public procurers. As discussed in the Draghi report, </w:t>
      </w:r>
      <w:r w:rsidR="00251BA7" w:rsidRPr="2A6A1A3F">
        <w:rPr>
          <w:i/>
          <w:iCs/>
          <w:noProof/>
        </w:rPr>
        <w:t>“multiple different national rules in public procurement generate high ongoing costs for cloud providers. The net effect of this burden of regulation is that only larger companies – which are often non-EU based – have the financial capacity and incentive to bear the costs of complying</w:t>
      </w:r>
      <w:r w:rsidR="00EA7008" w:rsidRPr="2A6A1A3F">
        <w:rPr>
          <w:noProof/>
          <w:vertAlign w:val="superscript"/>
        </w:rPr>
        <w:footnoteReference w:id="80"/>
      </w:r>
      <w:r w:rsidR="00251BA7" w:rsidRPr="00251BA7">
        <w:rPr>
          <w:iCs/>
          <w:noProof/>
        </w:rPr>
        <w:t>.”</w:t>
      </w:r>
    </w:p>
    <w:p w14:paraId="3F06206C" w14:textId="27D193B3" w:rsidR="00817B03" w:rsidRPr="00251BA7" w:rsidRDefault="00817B03" w:rsidP="00251BA7">
      <w:pPr>
        <w:rPr>
          <w:iCs/>
          <w:noProof/>
        </w:rPr>
      </w:pPr>
      <w:r>
        <w:rPr>
          <w:iCs/>
          <w:noProof/>
        </w:rPr>
        <w:t xml:space="preserve">This </w:t>
      </w:r>
      <w:r w:rsidR="00AC2361">
        <w:rPr>
          <w:iCs/>
          <w:noProof/>
        </w:rPr>
        <w:t>l</w:t>
      </w:r>
      <w:r w:rsidR="00AC2361" w:rsidRPr="00AC2361">
        <w:rPr>
          <w:iCs/>
          <w:noProof/>
        </w:rPr>
        <w:t>imited public sector uptake of cloud and AI computing services</w:t>
      </w:r>
      <w:r w:rsidR="00AC2361">
        <w:rPr>
          <w:iCs/>
          <w:noProof/>
        </w:rPr>
        <w:t xml:space="preserve"> </w:t>
      </w:r>
      <w:r w:rsidR="00833A19">
        <w:rPr>
          <w:iCs/>
          <w:noProof/>
        </w:rPr>
        <w:t xml:space="preserve">has spillover effects on the modernisation of </w:t>
      </w:r>
      <w:r w:rsidR="003621B8">
        <w:rPr>
          <w:iCs/>
          <w:noProof/>
        </w:rPr>
        <w:t xml:space="preserve">public services. </w:t>
      </w:r>
      <w:r w:rsidR="003621B8" w:rsidRPr="003621B8">
        <w:rPr>
          <w:iCs/>
          <w:noProof/>
        </w:rPr>
        <w:t xml:space="preserve">The adoption of cloud </w:t>
      </w:r>
      <w:r w:rsidR="00613C36">
        <w:rPr>
          <w:iCs/>
          <w:noProof/>
        </w:rPr>
        <w:t>and AI</w:t>
      </w:r>
      <w:r w:rsidR="003621B8" w:rsidRPr="003621B8">
        <w:rPr>
          <w:iCs/>
          <w:noProof/>
        </w:rPr>
        <w:t xml:space="preserve"> is </w:t>
      </w:r>
      <w:r w:rsidR="00613C36">
        <w:rPr>
          <w:iCs/>
          <w:noProof/>
        </w:rPr>
        <w:t>also</w:t>
      </w:r>
      <w:r w:rsidR="00B36B28">
        <w:rPr>
          <w:iCs/>
          <w:noProof/>
        </w:rPr>
        <w:t xml:space="preserve"> </w:t>
      </w:r>
      <w:r w:rsidR="003621B8" w:rsidRPr="003621B8">
        <w:rPr>
          <w:iCs/>
          <w:noProof/>
        </w:rPr>
        <w:t xml:space="preserve">a driver of public sector modernisation, as it enables administrations to move away from </w:t>
      </w:r>
      <w:r w:rsidR="006D5598">
        <w:rPr>
          <w:iCs/>
          <w:noProof/>
        </w:rPr>
        <w:t xml:space="preserve">often </w:t>
      </w:r>
      <w:r w:rsidR="003621B8" w:rsidRPr="003621B8">
        <w:rPr>
          <w:iCs/>
          <w:noProof/>
        </w:rPr>
        <w:t xml:space="preserve">fragmented, legacy IT systems toward more flexible, scalable, and interoperable digital infrastructures. By leveraging cloud </w:t>
      </w:r>
      <w:r w:rsidR="00E1174E">
        <w:rPr>
          <w:iCs/>
          <w:noProof/>
        </w:rPr>
        <w:t>and AI</w:t>
      </w:r>
      <w:r w:rsidR="003621B8" w:rsidRPr="003621B8">
        <w:rPr>
          <w:iCs/>
          <w:noProof/>
        </w:rPr>
        <w:t xml:space="preserve">, public authorities can deploy new applications faster, improve service reliability, and respond more effectively to changing policy needs or crises. </w:t>
      </w:r>
      <w:r w:rsidR="001F6EB4">
        <w:rPr>
          <w:iCs/>
          <w:noProof/>
        </w:rPr>
        <w:t>They a</w:t>
      </w:r>
      <w:r w:rsidR="003621B8" w:rsidRPr="003621B8">
        <w:rPr>
          <w:iCs/>
          <w:noProof/>
        </w:rPr>
        <w:t xml:space="preserve">lso facilitate data sharing across departments and levels of government, supporting more integrated and user-centric public services. In addition, </w:t>
      </w:r>
      <w:r w:rsidR="003E7C6D">
        <w:rPr>
          <w:iCs/>
          <w:noProof/>
        </w:rPr>
        <w:t>they</w:t>
      </w:r>
      <w:r w:rsidR="003621B8" w:rsidRPr="003621B8">
        <w:rPr>
          <w:iCs/>
          <w:noProof/>
        </w:rPr>
        <w:t xml:space="preserve"> reduces the burden of maintaining on-premises infrastructure, allowing resources to be redirected toward</w:t>
      </w:r>
      <w:r w:rsidR="0059080E">
        <w:rPr>
          <w:iCs/>
          <w:noProof/>
        </w:rPr>
        <w:t>s core missions.</w:t>
      </w:r>
      <w:r w:rsidR="003621B8" w:rsidRPr="003621B8">
        <w:rPr>
          <w:iCs/>
          <w:noProof/>
        </w:rPr>
        <w:t xml:space="preserve"> Overall, cloud </w:t>
      </w:r>
      <w:r w:rsidR="00A101FC">
        <w:rPr>
          <w:iCs/>
          <w:noProof/>
        </w:rPr>
        <w:t xml:space="preserve">and AI </w:t>
      </w:r>
      <w:r w:rsidR="003621B8" w:rsidRPr="003621B8">
        <w:rPr>
          <w:iCs/>
          <w:noProof/>
        </w:rPr>
        <w:t>adoption underpins a shift toward a more agile, efficient, and digitally capable public administration.</w:t>
      </w:r>
    </w:p>
    <w:p w14:paraId="0F18D94D" w14:textId="6627A8D5" w:rsidR="00207B4F" w:rsidRPr="00207B4F" w:rsidRDefault="00E61374" w:rsidP="00207B4F">
      <w:pPr>
        <w:rPr>
          <w:noProof/>
        </w:rPr>
      </w:pPr>
      <w:r w:rsidRPr="00055A64">
        <w:rPr>
          <w:noProof/>
        </w:rPr>
        <w:t xml:space="preserve">Finally, </w:t>
      </w:r>
      <w:r w:rsidR="007177B6" w:rsidRPr="003762A6">
        <w:rPr>
          <w:noProof/>
        </w:rPr>
        <w:t>c</w:t>
      </w:r>
      <w:r w:rsidRPr="003762A6">
        <w:rPr>
          <w:noProof/>
        </w:rPr>
        <w:t xml:space="preserve">loud and AI-savvy public authorities are increasingly embracing </w:t>
      </w:r>
      <w:r w:rsidR="00261654" w:rsidRPr="003762A6">
        <w:rPr>
          <w:noProof/>
        </w:rPr>
        <w:t>OSS</w:t>
      </w:r>
      <w:r w:rsidRPr="001C2FFC">
        <w:rPr>
          <w:noProof/>
          <w:vertAlign w:val="superscript"/>
        </w:rPr>
        <w:endnoteReference w:id="142"/>
      </w:r>
      <w:r w:rsidRPr="00946059">
        <w:rPr>
          <w:noProof/>
          <w:vertAlign w:val="superscript"/>
        </w:rPr>
        <w:t>,</w:t>
      </w:r>
      <w:r w:rsidR="00454BC0">
        <w:rPr>
          <w:noProof/>
        </w:rPr>
        <w:t xml:space="preserve"> thanks</w:t>
      </w:r>
      <w:r w:rsidRPr="003762A6">
        <w:rPr>
          <w:noProof/>
        </w:rPr>
        <w:t xml:space="preserve"> to </w:t>
      </w:r>
      <w:r w:rsidR="002D4E5E">
        <w:rPr>
          <w:noProof/>
        </w:rPr>
        <w:t xml:space="preserve">its overall lower total cost of ownership </w:t>
      </w:r>
      <w:r w:rsidRPr="003762A6">
        <w:rPr>
          <w:noProof/>
        </w:rPr>
        <w:t xml:space="preserve">but their benefits remain to be scaled. While </w:t>
      </w:r>
      <w:r w:rsidR="00261654" w:rsidRPr="003762A6">
        <w:rPr>
          <w:noProof/>
        </w:rPr>
        <w:t>OSS</w:t>
      </w:r>
      <w:r w:rsidRPr="003762A6">
        <w:rPr>
          <w:noProof/>
        </w:rPr>
        <w:t xml:space="preserve"> deployed </w:t>
      </w:r>
      <w:r w:rsidR="00261654" w:rsidRPr="003762A6">
        <w:rPr>
          <w:noProof/>
        </w:rPr>
        <w:t xml:space="preserve">on </w:t>
      </w:r>
      <w:r w:rsidRPr="003762A6">
        <w:rPr>
          <w:noProof/>
        </w:rPr>
        <w:t>EU</w:t>
      </w:r>
      <w:r w:rsidR="00261654" w:rsidRPr="003762A6">
        <w:rPr>
          <w:noProof/>
        </w:rPr>
        <w:t>-based</w:t>
      </w:r>
      <w:r w:rsidRPr="003762A6">
        <w:rPr>
          <w:noProof/>
        </w:rPr>
        <w:t xml:space="preserve"> </w:t>
      </w:r>
      <w:r w:rsidR="00261654" w:rsidRPr="003762A6">
        <w:rPr>
          <w:noProof/>
        </w:rPr>
        <w:t>data centres</w:t>
      </w:r>
      <w:r w:rsidRPr="003762A6">
        <w:rPr>
          <w:noProof/>
        </w:rPr>
        <w:t xml:space="preserve"> address</w:t>
      </w:r>
      <w:r w:rsidR="00261654" w:rsidRPr="003762A6">
        <w:rPr>
          <w:noProof/>
        </w:rPr>
        <w:t>es</w:t>
      </w:r>
      <w:r w:rsidRPr="003762A6">
        <w:rPr>
          <w:noProof/>
        </w:rPr>
        <w:t xml:space="preserve"> some concerns over confidentiality of data and enable</w:t>
      </w:r>
      <w:r w:rsidR="00261654" w:rsidRPr="003762A6">
        <w:rPr>
          <w:noProof/>
        </w:rPr>
        <w:t>s</w:t>
      </w:r>
      <w:r w:rsidRPr="003762A6">
        <w:rPr>
          <w:noProof/>
        </w:rPr>
        <w:t xml:space="preserve"> custom-built solutions, </w:t>
      </w:r>
      <w:r w:rsidR="00261654" w:rsidRPr="003762A6">
        <w:rPr>
          <w:noProof/>
        </w:rPr>
        <w:t xml:space="preserve">it </w:t>
      </w:r>
      <w:r w:rsidRPr="003762A6">
        <w:rPr>
          <w:noProof/>
        </w:rPr>
        <w:t>entail</w:t>
      </w:r>
      <w:r w:rsidR="00261654" w:rsidRPr="003762A6">
        <w:rPr>
          <w:noProof/>
        </w:rPr>
        <w:t>s</w:t>
      </w:r>
      <w:r w:rsidRPr="003762A6">
        <w:rPr>
          <w:noProof/>
        </w:rPr>
        <w:t xml:space="preserve"> </w:t>
      </w:r>
      <w:r w:rsidR="00FE664F">
        <w:rPr>
          <w:noProof/>
        </w:rPr>
        <w:t xml:space="preserve">some </w:t>
      </w:r>
      <w:r w:rsidRPr="003762A6">
        <w:rPr>
          <w:noProof/>
        </w:rPr>
        <w:t>difficulties regarding time, skills and lack of easily re-usable public procurement award criteria</w:t>
      </w:r>
      <w:r w:rsidR="0092100F">
        <w:rPr>
          <w:noProof/>
        </w:rPr>
        <w:t xml:space="preserve"> </w:t>
      </w:r>
      <w:r w:rsidR="0092100F" w:rsidRPr="2A6A1A3F">
        <w:rPr>
          <w:b/>
          <w:bCs/>
          <w:noProof/>
        </w:rPr>
        <w:t>(</w:t>
      </w:r>
      <w:r w:rsidR="0092100F" w:rsidRPr="001D1F29">
        <w:rPr>
          <w:b/>
          <w:i/>
          <w:noProof/>
        </w:rPr>
        <w:t>regulatory failure – administrative burden</w:t>
      </w:r>
      <w:r w:rsidR="0092100F" w:rsidRPr="2A6A1A3F">
        <w:rPr>
          <w:b/>
          <w:bCs/>
          <w:noProof/>
        </w:rPr>
        <w:t>)</w:t>
      </w:r>
      <w:r w:rsidRPr="003762A6">
        <w:rPr>
          <w:noProof/>
        </w:rPr>
        <w:t>. This is exacerbated by public authorities lacking a common approach to open source, notably when agreeing to coordinated developments</w:t>
      </w:r>
      <w:r w:rsidRPr="001C2FFC">
        <w:rPr>
          <w:noProof/>
          <w:vertAlign w:val="superscript"/>
        </w:rPr>
        <w:footnoteReference w:id="81"/>
      </w:r>
      <w:r w:rsidRPr="003762A6">
        <w:rPr>
          <w:noProof/>
        </w:rPr>
        <w:t>, or to the sharing and maintenance of existing code</w:t>
      </w:r>
      <w:r w:rsidRPr="001C2FFC">
        <w:rPr>
          <w:noProof/>
          <w:vertAlign w:val="superscript"/>
        </w:rPr>
        <w:footnoteReference w:id="82"/>
      </w:r>
      <w:r w:rsidRPr="00946059">
        <w:rPr>
          <w:noProof/>
          <w:vertAlign w:val="superscript"/>
        </w:rPr>
        <w:t>.</w:t>
      </w:r>
      <w:r>
        <w:rPr>
          <w:noProof/>
        </w:rPr>
        <w:t xml:space="preserve"> </w:t>
      </w:r>
      <w:r w:rsidR="00CB7B2B" w:rsidRPr="2A6A1A3F">
        <w:rPr>
          <w:noProof/>
        </w:rPr>
        <w:t>Additionally</w:t>
      </w:r>
      <w:r w:rsidR="00A1032E" w:rsidRPr="003762A6">
        <w:rPr>
          <w:noProof/>
        </w:rPr>
        <w:t xml:space="preserve">, many of the open source components widely used </w:t>
      </w:r>
      <w:r w:rsidR="007727CE" w:rsidRPr="003762A6">
        <w:rPr>
          <w:noProof/>
        </w:rPr>
        <w:t>in today’s services and applications are maintained by single individuals and small teams, creating</w:t>
      </w:r>
      <w:r w:rsidR="004C6B2F" w:rsidRPr="003762A6">
        <w:rPr>
          <w:noProof/>
        </w:rPr>
        <w:t xml:space="preserve"> critical points of failure (see the log4j case</w:t>
      </w:r>
      <w:r w:rsidR="00327C59" w:rsidRPr="003762A6">
        <w:rPr>
          <w:noProof/>
        </w:rPr>
        <w:t xml:space="preserve">, mostly maintained by one individual and </w:t>
      </w:r>
      <w:r w:rsidR="007F43B7" w:rsidRPr="2A6A1A3F">
        <w:rPr>
          <w:noProof/>
        </w:rPr>
        <w:t>which</w:t>
      </w:r>
      <w:r w:rsidR="00327C59" w:rsidRPr="003762A6">
        <w:rPr>
          <w:noProof/>
        </w:rPr>
        <w:t xml:space="preserve"> is considered the second most common</w:t>
      </w:r>
      <w:r w:rsidR="00205FFB" w:rsidRPr="003762A6">
        <w:rPr>
          <w:noProof/>
        </w:rPr>
        <w:t>ly exploited</w:t>
      </w:r>
      <w:r w:rsidR="00327C59" w:rsidRPr="003762A6">
        <w:rPr>
          <w:noProof/>
        </w:rPr>
        <w:t xml:space="preserve"> vulnerability</w:t>
      </w:r>
      <w:r w:rsidR="00205FFB" w:rsidRPr="001C2FFC">
        <w:rPr>
          <w:noProof/>
          <w:vertAlign w:val="superscript"/>
        </w:rPr>
        <w:endnoteReference w:id="143"/>
      </w:r>
      <w:r w:rsidR="004C6B2F" w:rsidRPr="003762A6">
        <w:rPr>
          <w:noProof/>
        </w:rPr>
        <w:t>)</w:t>
      </w:r>
      <w:r w:rsidR="002C1819" w:rsidRPr="003762A6">
        <w:rPr>
          <w:noProof/>
        </w:rPr>
        <w:t xml:space="preserve">. </w:t>
      </w:r>
      <w:r w:rsidR="005B58AE" w:rsidRPr="003762A6">
        <w:rPr>
          <w:noProof/>
        </w:rPr>
        <w:t>Thus, w</w:t>
      </w:r>
      <w:r w:rsidR="00620BC9" w:rsidRPr="003762A6">
        <w:rPr>
          <w:noProof/>
        </w:rPr>
        <w:t>hile open source offers more transparency</w:t>
      </w:r>
      <w:r w:rsidR="00DC50CA">
        <w:rPr>
          <w:noProof/>
        </w:rPr>
        <w:t xml:space="preserve"> </w:t>
      </w:r>
      <w:r w:rsidR="00136D93" w:rsidRPr="0A0EFC30">
        <w:rPr>
          <w:noProof/>
        </w:rPr>
        <w:t>by</w:t>
      </w:r>
      <w:r w:rsidR="00DC50CA" w:rsidRPr="003762A6">
        <w:rPr>
          <w:noProof/>
        </w:rPr>
        <w:t xml:space="preserve"> </w:t>
      </w:r>
      <w:r w:rsidR="00441DDF" w:rsidRPr="003762A6">
        <w:rPr>
          <w:noProof/>
        </w:rPr>
        <w:t>releas</w:t>
      </w:r>
      <w:r w:rsidR="00DC50CA" w:rsidRPr="003762A6">
        <w:rPr>
          <w:noProof/>
        </w:rPr>
        <w:t>ing</w:t>
      </w:r>
      <w:r w:rsidR="00441DDF" w:rsidRPr="003762A6">
        <w:rPr>
          <w:noProof/>
        </w:rPr>
        <w:t xml:space="preserve"> code openly for more </w:t>
      </w:r>
      <w:r w:rsidR="00FE421C" w:rsidRPr="003762A6">
        <w:rPr>
          <w:noProof/>
        </w:rPr>
        <w:t xml:space="preserve">eyes to review and faster bug discovery, </w:t>
      </w:r>
      <w:r w:rsidR="50293BF8">
        <w:rPr>
          <w:noProof/>
        </w:rPr>
        <w:t>it requires constant and expert monitoring to avoid that vulnerabilities are exploited by malicious actors</w:t>
      </w:r>
      <w:r w:rsidR="00187FA2" w:rsidRPr="003762A6">
        <w:rPr>
          <w:noProof/>
        </w:rPr>
        <w:t>.</w:t>
      </w:r>
      <w:r w:rsidR="00A72881" w:rsidRPr="003762A6">
        <w:rPr>
          <w:noProof/>
        </w:rPr>
        <w:t xml:space="preserve"> </w:t>
      </w:r>
      <w:r w:rsidR="00214934" w:rsidRPr="003762A6">
        <w:rPr>
          <w:noProof/>
        </w:rPr>
        <w:t xml:space="preserve"> </w:t>
      </w:r>
    </w:p>
    <w:p w14:paraId="7D1DE549" w14:textId="77777777" w:rsidR="00E61374" w:rsidRPr="00D37004" w:rsidRDefault="00E61374" w:rsidP="006B5183">
      <w:pPr>
        <w:pStyle w:val="Heading3"/>
        <w:rPr>
          <w:noProof/>
        </w:rPr>
      </w:pPr>
      <w:bookmarkStart w:id="29" w:name="_Ref214291132"/>
      <w:r w:rsidRPr="00D37004">
        <w:rPr>
          <w:noProof/>
        </w:rPr>
        <w:t xml:space="preserve">Problem Driver 4 (PD4): Absence of clarity around the concept of sovereign cloud </w:t>
      </w:r>
      <w:r>
        <w:rPr>
          <w:noProof/>
        </w:rPr>
        <w:t xml:space="preserve">and AI computing </w:t>
      </w:r>
      <w:r w:rsidRPr="00D37004">
        <w:rPr>
          <w:noProof/>
        </w:rPr>
        <w:t>services</w:t>
      </w:r>
      <w:bookmarkEnd w:id="29"/>
    </w:p>
    <w:p w14:paraId="145C1E86" w14:textId="42643A4A" w:rsidR="004F15EF" w:rsidRDefault="007A34FF" w:rsidP="00E61374">
      <w:pPr>
        <w:rPr>
          <w:noProof/>
        </w:rPr>
      </w:pPr>
      <w:r w:rsidRPr="007A34FF">
        <w:rPr>
          <w:noProof/>
        </w:rPr>
        <w:t xml:space="preserve">In the absence of an agreed definition </w:t>
      </w:r>
      <w:r w:rsidR="00596D06">
        <w:rPr>
          <w:noProof/>
        </w:rPr>
        <w:t>and criteria to evaluate</w:t>
      </w:r>
      <w:r w:rsidRPr="007A34FF" w:rsidDel="00596D06">
        <w:rPr>
          <w:noProof/>
        </w:rPr>
        <w:t xml:space="preserve"> </w:t>
      </w:r>
      <w:r w:rsidRPr="007A34FF">
        <w:rPr>
          <w:noProof/>
        </w:rPr>
        <w:t>sovereignty, users are left without the necessary information to assess whether a service is sovereign or not. At the same time, providers are left without a reliable opportunity to distinguish themselves commercially.</w:t>
      </w:r>
      <w:r w:rsidR="004F15EF">
        <w:rPr>
          <w:noProof/>
        </w:rPr>
        <w:t xml:space="preserve"> </w:t>
      </w:r>
    </w:p>
    <w:p w14:paraId="04177C77" w14:textId="77777777" w:rsidR="005B5085" w:rsidRDefault="00E61374" w:rsidP="00E61374">
      <w:pPr>
        <w:rPr>
          <w:noProof/>
        </w:rPr>
      </w:pPr>
      <w:r w:rsidRPr="00D37004">
        <w:rPr>
          <w:noProof/>
        </w:rPr>
        <w:t xml:space="preserve">‘Sovereignty’ is often used in the ICT domain without </w:t>
      </w:r>
      <w:r>
        <w:rPr>
          <w:noProof/>
        </w:rPr>
        <w:t xml:space="preserve">a </w:t>
      </w:r>
      <w:r w:rsidRPr="00D37004">
        <w:rPr>
          <w:noProof/>
        </w:rPr>
        <w:t>commonly accepted definition.</w:t>
      </w:r>
      <w:r w:rsidRPr="00D37004" w:rsidDel="00561D00">
        <w:rPr>
          <w:noProof/>
        </w:rPr>
        <w:t xml:space="preserve"> </w:t>
      </w:r>
      <w:r>
        <w:rPr>
          <w:noProof/>
        </w:rPr>
        <w:t>L</w:t>
      </w:r>
      <w:r w:rsidRPr="00D37004">
        <w:rPr>
          <w:noProof/>
        </w:rPr>
        <w:t>iterature defines it as</w:t>
      </w:r>
      <w:r w:rsidRPr="294AF3FA">
        <w:rPr>
          <w:b/>
          <w:bCs/>
          <w:noProof/>
        </w:rPr>
        <w:t xml:space="preserve"> </w:t>
      </w:r>
      <w:r w:rsidRPr="002F3407">
        <w:rPr>
          <w:noProof/>
        </w:rPr>
        <w:t>“</w:t>
      </w:r>
      <w:r w:rsidRPr="2A6A1A3F">
        <w:rPr>
          <w:i/>
          <w:iCs/>
          <w:noProof/>
        </w:rPr>
        <w:t>possessing the ability and competences to have reliable access to a technology it deems critical for its own system, without any structural, uncontrollable dependency from third countries</w:t>
      </w:r>
      <w:r>
        <w:rPr>
          <w:noProof/>
        </w:rPr>
        <w:t>”</w:t>
      </w:r>
      <w:r w:rsidRPr="294AF3FA">
        <w:rPr>
          <w:rStyle w:val="EndnoteReference"/>
          <w:noProof/>
        </w:rPr>
        <w:endnoteReference w:id="144"/>
      </w:r>
      <w:r>
        <w:rPr>
          <w:noProof/>
        </w:rPr>
        <w:t>.</w:t>
      </w:r>
      <w:r w:rsidRPr="2A6A1A3F">
        <w:rPr>
          <w:b/>
          <w:bCs/>
          <w:noProof/>
        </w:rPr>
        <w:t xml:space="preserve"> </w:t>
      </w:r>
      <w:r>
        <w:rPr>
          <w:noProof/>
        </w:rPr>
        <w:t>Currently, non-European s</w:t>
      </w:r>
      <w:r w:rsidRPr="00D37004">
        <w:rPr>
          <w:noProof/>
        </w:rPr>
        <w:t xml:space="preserve">ervice providers, including US-based </w:t>
      </w:r>
      <w:r>
        <w:rPr>
          <w:noProof/>
        </w:rPr>
        <w:t>CSPs</w:t>
      </w:r>
      <w:r w:rsidRPr="00D37004">
        <w:rPr>
          <w:noProof/>
        </w:rPr>
        <w:t xml:space="preserve">, </w:t>
      </w:r>
      <w:r>
        <w:rPr>
          <w:noProof/>
        </w:rPr>
        <w:t>are at</w:t>
      </w:r>
      <w:r w:rsidRPr="00D37004">
        <w:rPr>
          <w:noProof/>
        </w:rPr>
        <w:t xml:space="preserve"> the </w:t>
      </w:r>
      <w:r>
        <w:rPr>
          <w:noProof/>
        </w:rPr>
        <w:t xml:space="preserve">forefront of </w:t>
      </w:r>
      <w:r w:rsidRPr="00D37004">
        <w:rPr>
          <w:noProof/>
        </w:rPr>
        <w:t>offer</w:t>
      </w:r>
      <w:r>
        <w:rPr>
          <w:noProof/>
        </w:rPr>
        <w:t>ing</w:t>
      </w:r>
      <w:r w:rsidRPr="00D37004">
        <w:rPr>
          <w:noProof/>
        </w:rPr>
        <w:t xml:space="preserve"> sovereign</w:t>
      </w:r>
      <w:r>
        <w:rPr>
          <w:noProof/>
        </w:rPr>
        <w:t>-branded</w:t>
      </w:r>
      <w:r w:rsidRPr="00D37004">
        <w:rPr>
          <w:noProof/>
        </w:rPr>
        <w:t xml:space="preserve"> solutions for the EU market based on </w:t>
      </w:r>
      <w:r>
        <w:rPr>
          <w:noProof/>
        </w:rPr>
        <w:t>diverse characteristics</w:t>
      </w:r>
      <w:r w:rsidRPr="00D37004">
        <w:rPr>
          <w:noProof/>
        </w:rPr>
        <w:t xml:space="preserve">. For example, AWS European Sovereign Cloud guarantees data residency in Europe with physical and logical separation from other regions and operation entirely </w:t>
      </w:r>
      <w:r w:rsidR="00181B15">
        <w:rPr>
          <w:noProof/>
        </w:rPr>
        <w:t xml:space="preserve">run </w:t>
      </w:r>
      <w:r w:rsidRPr="00D37004">
        <w:rPr>
          <w:noProof/>
        </w:rPr>
        <w:t>by EU residents</w:t>
      </w:r>
      <w:r w:rsidRPr="00D37004">
        <w:rPr>
          <w:rStyle w:val="EndnoteReference"/>
          <w:noProof/>
        </w:rPr>
        <w:endnoteReference w:id="145"/>
      </w:r>
      <w:r w:rsidRPr="00D37004">
        <w:rPr>
          <w:noProof/>
        </w:rPr>
        <w:t xml:space="preserve">. Oracle’s EU Sovereign Cloud locates customer support, </w:t>
      </w:r>
      <w:r w:rsidR="00372EDF">
        <w:rPr>
          <w:noProof/>
        </w:rPr>
        <w:t>DC</w:t>
      </w:r>
      <w:r w:rsidRPr="00D37004">
        <w:rPr>
          <w:noProof/>
        </w:rPr>
        <w:t xml:space="preserve"> support, and </w:t>
      </w:r>
      <w:r w:rsidR="00372EDF">
        <w:rPr>
          <w:noProof/>
        </w:rPr>
        <w:t>DC</w:t>
      </w:r>
      <w:r w:rsidRPr="00D37004">
        <w:rPr>
          <w:noProof/>
        </w:rPr>
        <w:t xml:space="preserve"> operations fully in the EU and ensures management by a dedicated EU entity</w:t>
      </w:r>
      <w:r w:rsidRPr="00D37004">
        <w:rPr>
          <w:rStyle w:val="EndnoteReference"/>
          <w:noProof/>
        </w:rPr>
        <w:endnoteReference w:id="146"/>
      </w:r>
      <w:r w:rsidRPr="00D37004">
        <w:rPr>
          <w:noProof/>
        </w:rPr>
        <w:t xml:space="preserve">. </w:t>
      </w:r>
      <w:r w:rsidR="00973FFB">
        <w:rPr>
          <w:noProof/>
        </w:rPr>
        <w:t>An alternative approach</w:t>
      </w:r>
      <w:r w:rsidRPr="00D37004">
        <w:rPr>
          <w:noProof/>
        </w:rPr>
        <w:t xml:space="preserve"> take</w:t>
      </w:r>
      <w:r w:rsidR="00206ED1">
        <w:rPr>
          <w:noProof/>
        </w:rPr>
        <w:t>s</w:t>
      </w:r>
      <w:r w:rsidRPr="00D37004">
        <w:rPr>
          <w:noProof/>
        </w:rPr>
        <w:t xml:space="preserve"> the form of joint ventures, such as Bleu (partnership between Capgemini and Orange offer</w:t>
      </w:r>
      <w:r>
        <w:rPr>
          <w:noProof/>
        </w:rPr>
        <w:t>ing</w:t>
      </w:r>
      <w:r w:rsidRPr="00D37004">
        <w:rPr>
          <w:noProof/>
        </w:rPr>
        <w:t xml:space="preserve"> Microsoft services)</w:t>
      </w:r>
      <w:r w:rsidRPr="00D37004">
        <w:rPr>
          <w:rStyle w:val="EndnoteReference"/>
          <w:noProof/>
        </w:rPr>
        <w:endnoteReference w:id="147"/>
      </w:r>
      <w:r w:rsidRPr="00D37004">
        <w:rPr>
          <w:noProof/>
        </w:rPr>
        <w:t xml:space="preserve"> or Clarence (joint venture between Proximus and LuxConnect based on Google technology)</w:t>
      </w:r>
      <w:r w:rsidRPr="00D37004">
        <w:rPr>
          <w:rStyle w:val="EndnoteReference"/>
          <w:noProof/>
        </w:rPr>
        <w:endnoteReference w:id="148"/>
      </w:r>
      <w:r w:rsidRPr="00D37004">
        <w:rPr>
          <w:noProof/>
        </w:rPr>
        <w:t>.</w:t>
      </w:r>
    </w:p>
    <w:p w14:paraId="5A78234F" w14:textId="272CD6C2" w:rsidR="008B477B" w:rsidRPr="003B65CA" w:rsidRDefault="0008004F" w:rsidP="00E61374">
      <w:pPr>
        <w:rPr>
          <w:noProof/>
        </w:rPr>
      </w:pPr>
      <w:r>
        <w:rPr>
          <w:noProof/>
        </w:rPr>
        <w:t xml:space="preserve">The </w:t>
      </w:r>
      <w:r w:rsidR="001E153F">
        <w:rPr>
          <w:noProof/>
        </w:rPr>
        <w:t xml:space="preserve">price of </w:t>
      </w:r>
      <w:r w:rsidR="00DD7E0E">
        <w:rPr>
          <w:noProof/>
        </w:rPr>
        <w:t xml:space="preserve">sovereign </w:t>
      </w:r>
      <w:r w:rsidR="00CC39DD">
        <w:rPr>
          <w:noProof/>
        </w:rPr>
        <w:t xml:space="preserve">cloud </w:t>
      </w:r>
      <w:r w:rsidR="00DD7E0E">
        <w:rPr>
          <w:noProof/>
        </w:rPr>
        <w:t xml:space="preserve">offers </w:t>
      </w:r>
      <w:r w:rsidR="008B477B">
        <w:rPr>
          <w:noProof/>
        </w:rPr>
        <w:t xml:space="preserve">over </w:t>
      </w:r>
      <w:r w:rsidR="00CC39DD">
        <w:rPr>
          <w:noProof/>
        </w:rPr>
        <w:t xml:space="preserve">traditional </w:t>
      </w:r>
      <w:r w:rsidR="006974BA">
        <w:rPr>
          <w:noProof/>
        </w:rPr>
        <w:t xml:space="preserve">ones is subject to </w:t>
      </w:r>
      <w:r w:rsidR="003F0B38">
        <w:rPr>
          <w:noProof/>
        </w:rPr>
        <w:t xml:space="preserve">diverse points of view, something not </w:t>
      </w:r>
      <w:r w:rsidR="00776E8F">
        <w:rPr>
          <w:noProof/>
        </w:rPr>
        <w:t xml:space="preserve">surprising given </w:t>
      </w:r>
      <w:r w:rsidR="00AB53DB">
        <w:rPr>
          <w:noProof/>
        </w:rPr>
        <w:t>their recent arrival to the market</w:t>
      </w:r>
      <w:r w:rsidR="00DD7E0E">
        <w:rPr>
          <w:noProof/>
        </w:rPr>
        <w:t>.</w:t>
      </w:r>
      <w:r w:rsidR="008B477B">
        <w:rPr>
          <w:noProof/>
        </w:rPr>
        <w:t xml:space="preserve"> An analysis carried out by</w:t>
      </w:r>
      <w:r w:rsidR="00DD7E0E">
        <w:rPr>
          <w:noProof/>
        </w:rPr>
        <w:t xml:space="preserve"> </w:t>
      </w:r>
      <w:r w:rsidR="007D2F40">
        <w:rPr>
          <w:noProof/>
        </w:rPr>
        <w:t>B</w:t>
      </w:r>
      <w:r w:rsidR="008B477B">
        <w:rPr>
          <w:noProof/>
        </w:rPr>
        <w:t>CG</w:t>
      </w:r>
      <w:r w:rsidR="00265E30">
        <w:rPr>
          <w:rStyle w:val="FootnoteReference"/>
          <w:noProof/>
        </w:rPr>
        <w:footnoteReference w:id="83"/>
      </w:r>
      <w:r w:rsidR="008B477B">
        <w:rPr>
          <w:noProof/>
        </w:rPr>
        <w:t xml:space="preserve"> </w:t>
      </w:r>
      <w:r w:rsidR="008C4438">
        <w:rPr>
          <w:noProof/>
        </w:rPr>
        <w:t xml:space="preserve">estimates that </w:t>
      </w:r>
      <w:r w:rsidR="002E6B40">
        <w:rPr>
          <w:noProof/>
        </w:rPr>
        <w:t>listed</w:t>
      </w:r>
      <w:r w:rsidR="005B6D58">
        <w:rPr>
          <w:noProof/>
        </w:rPr>
        <w:t xml:space="preserve"> </w:t>
      </w:r>
      <w:r w:rsidR="00D00B3A">
        <w:rPr>
          <w:noProof/>
        </w:rPr>
        <w:t>price</w:t>
      </w:r>
      <w:r w:rsidR="002E6B40">
        <w:rPr>
          <w:noProof/>
        </w:rPr>
        <w:t>s</w:t>
      </w:r>
      <w:r w:rsidR="005B6D58">
        <w:rPr>
          <w:noProof/>
        </w:rPr>
        <w:t xml:space="preserve"> </w:t>
      </w:r>
      <w:r w:rsidR="002E6B40">
        <w:rPr>
          <w:noProof/>
        </w:rPr>
        <w:t xml:space="preserve">are </w:t>
      </w:r>
      <w:r w:rsidR="0074527E">
        <w:rPr>
          <w:noProof/>
        </w:rPr>
        <w:t xml:space="preserve">10% to 30% </w:t>
      </w:r>
      <w:r w:rsidR="002E6B40">
        <w:rPr>
          <w:noProof/>
        </w:rPr>
        <w:t xml:space="preserve">higher </w:t>
      </w:r>
      <w:r w:rsidR="00BE7DA9">
        <w:rPr>
          <w:noProof/>
        </w:rPr>
        <w:t>compared to the public cloud.</w:t>
      </w:r>
      <w:r w:rsidR="00DF3258">
        <w:rPr>
          <w:noProof/>
        </w:rPr>
        <w:t xml:space="preserve"> According to BCG, “</w:t>
      </w:r>
      <w:r w:rsidR="008B477B" w:rsidRPr="005B5085">
        <w:rPr>
          <w:i/>
          <w:noProof/>
        </w:rPr>
        <w:t>Google Sovereign Cloud is priced 10% to 20% over the public cloud, while Oracle EU Sovereign Cloud charges a 15% to 30% price premium</w:t>
      </w:r>
      <w:r w:rsidR="00DF3258">
        <w:rPr>
          <w:i/>
          <w:iCs/>
          <w:noProof/>
        </w:rPr>
        <w:t xml:space="preserve">”, </w:t>
      </w:r>
      <w:r w:rsidR="00DF3258" w:rsidRPr="005B5085">
        <w:rPr>
          <w:noProof/>
        </w:rPr>
        <w:t>whereas</w:t>
      </w:r>
      <w:r w:rsidR="00DF3258">
        <w:rPr>
          <w:i/>
          <w:iCs/>
          <w:noProof/>
        </w:rPr>
        <w:t xml:space="preserve"> </w:t>
      </w:r>
      <w:r w:rsidR="000D0C04">
        <w:rPr>
          <w:i/>
          <w:noProof/>
        </w:rPr>
        <w:t>“</w:t>
      </w:r>
      <w:r w:rsidR="008B477B" w:rsidRPr="005B5085">
        <w:rPr>
          <w:i/>
          <w:noProof/>
        </w:rPr>
        <w:t>Microsoft Azure Government carries a 15% to 25% price premiu</w:t>
      </w:r>
      <w:r w:rsidR="0071250F">
        <w:rPr>
          <w:i/>
          <w:iCs/>
          <w:noProof/>
        </w:rPr>
        <w:t>m”.</w:t>
      </w:r>
      <w:r w:rsidR="005E49F7">
        <w:rPr>
          <w:i/>
          <w:iCs/>
          <w:noProof/>
        </w:rPr>
        <w:t xml:space="preserve"> </w:t>
      </w:r>
      <w:r w:rsidR="003B65CA">
        <w:rPr>
          <w:noProof/>
        </w:rPr>
        <w:t>An empir</w:t>
      </w:r>
      <w:r w:rsidR="0040370B">
        <w:rPr>
          <w:noProof/>
        </w:rPr>
        <w:t>ical comparison of AWS pricing</w:t>
      </w:r>
      <w:r w:rsidR="00A23DB5">
        <w:rPr>
          <w:noProof/>
        </w:rPr>
        <w:t xml:space="preserve"> between the </w:t>
      </w:r>
      <w:r w:rsidR="00ED5AC8">
        <w:rPr>
          <w:noProof/>
        </w:rPr>
        <w:t>s</w:t>
      </w:r>
      <w:r w:rsidR="00A23DB5">
        <w:rPr>
          <w:noProof/>
        </w:rPr>
        <w:t>overeign cloud</w:t>
      </w:r>
      <w:r w:rsidR="00ED5AC8">
        <w:rPr>
          <w:noProof/>
        </w:rPr>
        <w:t xml:space="preserve"> offer</w:t>
      </w:r>
      <w:r w:rsidR="0007377D">
        <w:rPr>
          <w:noProof/>
        </w:rPr>
        <w:t>s</w:t>
      </w:r>
      <w:r w:rsidR="00ED5AC8">
        <w:rPr>
          <w:noProof/>
        </w:rPr>
        <w:t xml:space="preserve"> and the eu-central</w:t>
      </w:r>
      <w:r w:rsidR="0007377D">
        <w:rPr>
          <w:noProof/>
        </w:rPr>
        <w:t>-1</w:t>
      </w:r>
      <w:r w:rsidR="003F53B2">
        <w:rPr>
          <w:noProof/>
        </w:rPr>
        <w:t xml:space="preserve"> region</w:t>
      </w:r>
      <w:r w:rsidR="00ED5AC8">
        <w:rPr>
          <w:noProof/>
        </w:rPr>
        <w:t xml:space="preserve"> (Frankfurt) </w:t>
      </w:r>
      <w:r w:rsidR="006317A8">
        <w:rPr>
          <w:noProof/>
        </w:rPr>
        <w:t xml:space="preserve">of </w:t>
      </w:r>
      <w:r w:rsidR="003F53B2">
        <w:rPr>
          <w:noProof/>
        </w:rPr>
        <w:t>6</w:t>
      </w:r>
      <w:r w:rsidR="006317A8">
        <w:rPr>
          <w:noProof/>
        </w:rPr>
        <w:t xml:space="preserve"> AWS cloud services</w:t>
      </w:r>
      <w:r w:rsidR="00846722">
        <w:rPr>
          <w:noProof/>
        </w:rPr>
        <w:t xml:space="preserve"> in January 2026</w:t>
      </w:r>
      <w:r w:rsidR="000713D9">
        <w:rPr>
          <w:noProof/>
        </w:rPr>
        <w:t xml:space="preserve"> using AWS’ provided calculator</w:t>
      </w:r>
      <w:r w:rsidR="00846722">
        <w:rPr>
          <w:noProof/>
        </w:rPr>
        <w:t xml:space="preserve"> show</w:t>
      </w:r>
      <w:r w:rsidR="000973E7">
        <w:rPr>
          <w:noProof/>
        </w:rPr>
        <w:t>s</w:t>
      </w:r>
      <w:r w:rsidR="00846722">
        <w:rPr>
          <w:noProof/>
        </w:rPr>
        <w:t xml:space="preserve"> that the average price premium</w:t>
      </w:r>
      <w:r w:rsidR="007A0E4F">
        <w:rPr>
          <w:noProof/>
        </w:rPr>
        <w:t xml:space="preserve"> for the</w:t>
      </w:r>
      <w:r w:rsidR="00D537B9">
        <w:rPr>
          <w:noProof/>
        </w:rPr>
        <w:t xml:space="preserve"> previously mentioned</w:t>
      </w:r>
      <w:r w:rsidR="007A0E4F">
        <w:rPr>
          <w:noProof/>
        </w:rPr>
        <w:t xml:space="preserve"> sovereign </w:t>
      </w:r>
      <w:r w:rsidR="00D537B9">
        <w:rPr>
          <w:noProof/>
        </w:rPr>
        <w:t>services</w:t>
      </w:r>
      <w:r w:rsidR="007A0E4F">
        <w:rPr>
          <w:noProof/>
        </w:rPr>
        <w:t xml:space="preserve"> is of 15%</w:t>
      </w:r>
      <w:r w:rsidR="004856E2">
        <w:rPr>
          <w:rStyle w:val="FootnoteReference"/>
          <w:noProof/>
        </w:rPr>
        <w:footnoteReference w:id="84"/>
      </w:r>
      <w:r w:rsidR="00D537B9">
        <w:rPr>
          <w:noProof/>
        </w:rPr>
        <w:t xml:space="preserve">. </w:t>
      </w:r>
      <w:r w:rsidR="00EB3D10">
        <w:rPr>
          <w:noProof/>
        </w:rPr>
        <w:t>Against th</w:t>
      </w:r>
      <w:r w:rsidR="005E656E">
        <w:rPr>
          <w:noProof/>
        </w:rPr>
        <w:t>ese observations,</w:t>
      </w:r>
      <w:r w:rsidR="00D30140">
        <w:rPr>
          <w:noProof/>
        </w:rPr>
        <w:t xml:space="preserve"> European </w:t>
      </w:r>
      <w:r w:rsidR="00C4010B">
        <w:rPr>
          <w:noProof/>
        </w:rPr>
        <w:t>service providers</w:t>
      </w:r>
      <w:r w:rsidR="00752E57">
        <w:rPr>
          <w:noProof/>
        </w:rPr>
        <w:t xml:space="preserve">, possibly because sovereignty in the EU is easier for them </w:t>
      </w:r>
      <w:r w:rsidR="00E02CB9">
        <w:rPr>
          <w:noProof/>
        </w:rPr>
        <w:t xml:space="preserve">to reach, </w:t>
      </w:r>
      <w:r w:rsidR="00BE6442">
        <w:rPr>
          <w:noProof/>
        </w:rPr>
        <w:t>declare</w:t>
      </w:r>
      <w:r w:rsidR="00DA172A">
        <w:rPr>
          <w:noProof/>
        </w:rPr>
        <w:t xml:space="preserve"> in bilateral </w:t>
      </w:r>
      <w:r w:rsidR="006F065B">
        <w:rPr>
          <w:noProof/>
        </w:rPr>
        <w:t>interviews</w:t>
      </w:r>
      <w:r w:rsidR="00BE6442">
        <w:rPr>
          <w:noProof/>
        </w:rPr>
        <w:t xml:space="preserve"> </w:t>
      </w:r>
      <w:r w:rsidR="00353CB5">
        <w:rPr>
          <w:noProof/>
        </w:rPr>
        <w:t xml:space="preserve">that </w:t>
      </w:r>
      <w:r w:rsidR="00A57383">
        <w:rPr>
          <w:noProof/>
        </w:rPr>
        <w:t xml:space="preserve">their </w:t>
      </w:r>
      <w:r w:rsidR="00E445FC">
        <w:rPr>
          <w:noProof/>
        </w:rPr>
        <w:t>prices should not be affected</w:t>
      </w:r>
      <w:r w:rsidR="00A57383">
        <w:rPr>
          <w:noProof/>
        </w:rPr>
        <w:t xml:space="preserve"> by sovereignty requirements</w:t>
      </w:r>
      <w:r w:rsidR="00324635">
        <w:rPr>
          <w:noProof/>
        </w:rPr>
        <w:t xml:space="preserve"> and could even </w:t>
      </w:r>
      <w:r w:rsidR="00540FCA">
        <w:rPr>
          <w:noProof/>
        </w:rPr>
        <w:t xml:space="preserve">be lower </w:t>
      </w:r>
      <w:r w:rsidR="00F32107">
        <w:rPr>
          <w:noProof/>
        </w:rPr>
        <w:t>t</w:t>
      </w:r>
      <w:r w:rsidR="00540FCA">
        <w:rPr>
          <w:noProof/>
        </w:rPr>
        <w:t>h</w:t>
      </w:r>
      <w:r w:rsidR="00F32107">
        <w:rPr>
          <w:noProof/>
        </w:rPr>
        <w:t>a</w:t>
      </w:r>
      <w:r w:rsidR="00540FCA">
        <w:rPr>
          <w:noProof/>
        </w:rPr>
        <w:t xml:space="preserve">n </w:t>
      </w:r>
      <w:r w:rsidR="00A57383">
        <w:rPr>
          <w:noProof/>
        </w:rPr>
        <w:t xml:space="preserve">non-EU non-sovereign </w:t>
      </w:r>
      <w:r w:rsidR="00F32107">
        <w:rPr>
          <w:noProof/>
        </w:rPr>
        <w:t>services</w:t>
      </w:r>
      <w:r w:rsidR="006D3992">
        <w:rPr>
          <w:noProof/>
        </w:rPr>
        <w:t xml:space="preserve">. </w:t>
      </w:r>
      <w:r w:rsidR="00096A2C">
        <w:rPr>
          <w:noProof/>
        </w:rPr>
        <w:t>Real observed prices</w:t>
      </w:r>
      <w:r w:rsidR="007625BF">
        <w:rPr>
          <w:noProof/>
        </w:rPr>
        <w:t xml:space="preserve"> in actual </w:t>
      </w:r>
      <w:r w:rsidR="00A02E2F">
        <w:rPr>
          <w:noProof/>
        </w:rPr>
        <w:t>competitive</w:t>
      </w:r>
      <w:r w:rsidR="007625BF">
        <w:rPr>
          <w:noProof/>
        </w:rPr>
        <w:t xml:space="preserve"> tenders</w:t>
      </w:r>
      <w:r w:rsidR="00096A2C">
        <w:rPr>
          <w:noProof/>
        </w:rPr>
        <w:t xml:space="preserve">, </w:t>
      </w:r>
      <w:r w:rsidR="004E7F4B">
        <w:rPr>
          <w:noProof/>
        </w:rPr>
        <w:t>to which this assessment had access in confidence</w:t>
      </w:r>
      <w:r w:rsidR="00BE737F">
        <w:rPr>
          <w:noProof/>
        </w:rPr>
        <w:t>,</w:t>
      </w:r>
      <w:r w:rsidR="004E7F4B">
        <w:rPr>
          <w:noProof/>
        </w:rPr>
        <w:t xml:space="preserve"> </w:t>
      </w:r>
      <w:r w:rsidR="00324AA4">
        <w:rPr>
          <w:noProof/>
        </w:rPr>
        <w:t>show price</w:t>
      </w:r>
      <w:r w:rsidR="004B0159">
        <w:rPr>
          <w:noProof/>
        </w:rPr>
        <w:t xml:space="preserve"> differences ranging from +12% to -10%</w:t>
      </w:r>
      <w:r w:rsidR="00043991">
        <w:rPr>
          <w:noProof/>
        </w:rPr>
        <w:t xml:space="preserve"> for the same level of sovereign service</w:t>
      </w:r>
      <w:r w:rsidR="004B0159">
        <w:rPr>
          <w:noProof/>
        </w:rPr>
        <w:t>.</w:t>
      </w:r>
    </w:p>
    <w:p w14:paraId="28C846A2" w14:textId="77777777" w:rsidR="00612C80" w:rsidRDefault="00E61374" w:rsidP="00E61374">
      <w:pPr>
        <w:rPr>
          <w:noProof/>
        </w:rPr>
      </w:pPr>
      <w:r w:rsidRPr="00D37004">
        <w:rPr>
          <w:noProof/>
        </w:rPr>
        <w:t>This can also be observed for “sovereign AI”</w:t>
      </w:r>
      <w:r w:rsidR="00762735">
        <w:rPr>
          <w:noProof/>
        </w:rPr>
        <w:t>:</w:t>
      </w:r>
      <w:r w:rsidRPr="00D37004">
        <w:rPr>
          <w:noProof/>
        </w:rPr>
        <w:t xml:space="preserve"> For example, Oracle advertises AI solutions running on its sovereign cloud as “sovereign AI”</w:t>
      </w:r>
      <w:r w:rsidRPr="00D37004">
        <w:rPr>
          <w:rStyle w:val="EndnoteReference"/>
          <w:noProof/>
        </w:rPr>
        <w:endnoteReference w:id="149"/>
      </w:r>
      <w:r w:rsidRPr="00D37004">
        <w:rPr>
          <w:noProof/>
        </w:rPr>
        <w:t>, and OpenAI announced agreements with Germany as well as the UK Ministry of Justice, on the expansion of UK sovereign AI capabilities</w:t>
      </w:r>
      <w:r w:rsidRPr="00D37004">
        <w:rPr>
          <w:rStyle w:val="EndnoteReference"/>
          <w:noProof/>
        </w:rPr>
        <w:endnoteReference w:id="150"/>
      </w:r>
      <w:r w:rsidRPr="00D37004">
        <w:rPr>
          <w:noProof/>
        </w:rPr>
        <w:t>. The</w:t>
      </w:r>
      <w:r>
        <w:rPr>
          <w:noProof/>
        </w:rPr>
        <w:t xml:space="preserve"> descriptions of these offers often also refer to</w:t>
      </w:r>
      <w:r w:rsidRPr="00D37004">
        <w:rPr>
          <w:noProof/>
        </w:rPr>
        <w:t xml:space="preserve"> high levels of cybersecurity</w:t>
      </w:r>
      <w:r>
        <w:rPr>
          <w:noProof/>
        </w:rPr>
        <w:t>. However</w:t>
      </w:r>
      <w:r w:rsidRPr="00D37004">
        <w:rPr>
          <w:noProof/>
        </w:rPr>
        <w:t xml:space="preserve">, </w:t>
      </w:r>
      <w:r>
        <w:rPr>
          <w:noProof/>
        </w:rPr>
        <w:t>a</w:t>
      </w:r>
      <w:r w:rsidRPr="00D37004">
        <w:rPr>
          <w:noProof/>
        </w:rPr>
        <w:t xml:space="preserve"> technically cybersecure service may still be exposed to </w:t>
      </w:r>
      <w:r w:rsidR="00501827">
        <w:rPr>
          <w:noProof/>
        </w:rPr>
        <w:t>non</w:t>
      </w:r>
      <w:r w:rsidRPr="00D37004">
        <w:rPr>
          <w:noProof/>
        </w:rPr>
        <w:t xml:space="preserve">-EU laws requiring the provider to grant data access to third-country authorities or to third-country policies intended to limit service supply. Moreover, the processing of data in </w:t>
      </w:r>
      <w:r>
        <w:rPr>
          <w:noProof/>
        </w:rPr>
        <w:t>the EU</w:t>
      </w:r>
      <w:r w:rsidRPr="00D37004">
        <w:rPr>
          <w:noProof/>
        </w:rPr>
        <w:t xml:space="preserve"> does not </w:t>
      </w:r>
      <w:r>
        <w:rPr>
          <w:noProof/>
        </w:rPr>
        <w:t xml:space="preserve">in itself </w:t>
      </w:r>
      <w:r w:rsidRPr="00D37004">
        <w:rPr>
          <w:noProof/>
        </w:rPr>
        <w:t>prevent the control over the software by a non-EU entity</w:t>
      </w:r>
      <w:r w:rsidRPr="00D37004">
        <w:rPr>
          <w:rStyle w:val="FootnoteReference"/>
          <w:noProof/>
        </w:rPr>
        <w:footnoteReference w:id="85"/>
      </w:r>
      <w:r w:rsidRPr="00D37004">
        <w:rPr>
          <w:noProof/>
        </w:rPr>
        <w:t xml:space="preserve">. </w:t>
      </w:r>
    </w:p>
    <w:p w14:paraId="16409AF4" w14:textId="503B27D3" w:rsidR="009D1307" w:rsidRDefault="00E61374" w:rsidP="000E3086">
      <w:pPr>
        <w:rPr>
          <w:noProof/>
        </w:rPr>
      </w:pPr>
      <w:r>
        <w:rPr>
          <w:noProof/>
        </w:rPr>
        <w:t>The above-mentioned</w:t>
      </w:r>
      <w:r w:rsidRPr="00D37004">
        <w:rPr>
          <w:noProof/>
        </w:rPr>
        <w:t xml:space="preserve"> sovereignty claims are currently made without demonstrating the safeguard</w:t>
      </w:r>
      <w:r>
        <w:rPr>
          <w:noProof/>
        </w:rPr>
        <w:t>ing</w:t>
      </w:r>
      <w:r w:rsidRPr="00D37004">
        <w:rPr>
          <w:noProof/>
        </w:rPr>
        <w:t xml:space="preserve"> of operational autonomy and the protection of data against foreign interference or access (see section </w:t>
      </w:r>
      <w:r w:rsidRPr="00D37004">
        <w:rPr>
          <w:noProof/>
        </w:rPr>
        <w:fldChar w:fldCharType="begin"/>
      </w:r>
      <w:r w:rsidRPr="00D37004">
        <w:rPr>
          <w:noProof/>
        </w:rPr>
        <w:instrText xml:space="preserve"> REF _Ref209045324 \r \h </w:instrText>
      </w:r>
      <w:r w:rsidRPr="00D37004">
        <w:rPr>
          <w:noProof/>
        </w:rPr>
      </w:r>
      <w:r w:rsidRPr="00D37004">
        <w:rPr>
          <w:noProof/>
        </w:rPr>
        <w:fldChar w:fldCharType="separate"/>
      </w:r>
      <w:r w:rsidR="00137E65">
        <w:rPr>
          <w:noProof/>
        </w:rPr>
        <w:t>2.2.2</w:t>
      </w:r>
      <w:r w:rsidRPr="00D37004">
        <w:rPr>
          <w:noProof/>
        </w:rPr>
        <w:fldChar w:fldCharType="end"/>
      </w:r>
      <w:r w:rsidRPr="00D37004">
        <w:rPr>
          <w:noProof/>
        </w:rPr>
        <w:t>)</w:t>
      </w:r>
      <w:r w:rsidR="002A0378">
        <w:rPr>
          <w:noProof/>
        </w:rPr>
        <w:t xml:space="preserve">. This </w:t>
      </w:r>
      <w:r w:rsidR="002A0378" w:rsidRPr="001D1F29">
        <w:rPr>
          <w:b/>
          <w:i/>
          <w:noProof/>
        </w:rPr>
        <w:t>imperfect information</w:t>
      </w:r>
      <w:r w:rsidR="002A0378">
        <w:rPr>
          <w:noProof/>
        </w:rPr>
        <w:t xml:space="preserve"> environment implies a failure in today’s market for cloud and AI computing services </w:t>
      </w:r>
      <w:r w:rsidR="0033170A">
        <w:rPr>
          <w:noProof/>
        </w:rPr>
        <w:t>leading</w:t>
      </w:r>
      <w:r w:rsidR="002A0378" w:rsidDel="0033170A">
        <w:rPr>
          <w:noProof/>
        </w:rPr>
        <w:t xml:space="preserve"> </w:t>
      </w:r>
      <w:r w:rsidRPr="00D37004">
        <w:rPr>
          <w:noProof/>
        </w:rPr>
        <w:t xml:space="preserve">to an </w:t>
      </w:r>
      <w:r w:rsidRPr="001D1F29">
        <w:rPr>
          <w:b/>
          <w:i/>
          <w:noProof/>
        </w:rPr>
        <w:t>information asymmetry</w:t>
      </w:r>
      <w:r>
        <w:rPr>
          <w:noProof/>
        </w:rPr>
        <w:t xml:space="preserve"> as users do not have a reliable means of verifying whether a service is truly sovereign</w:t>
      </w:r>
      <w:r w:rsidR="00BC2EC6">
        <w:rPr>
          <w:noProof/>
        </w:rPr>
        <w:t xml:space="preserve"> or not</w:t>
      </w:r>
      <w:r w:rsidRPr="00D37004">
        <w:rPr>
          <w:rStyle w:val="FootnoteReference"/>
          <w:noProof/>
        </w:rPr>
        <w:footnoteReference w:id="86"/>
      </w:r>
      <w:r w:rsidRPr="00D37004">
        <w:rPr>
          <w:noProof/>
        </w:rPr>
        <w:t xml:space="preserve">. At Member State level, existing schemes on cloud cybersecurity </w:t>
      </w:r>
      <w:r w:rsidR="00955F3F">
        <w:rPr>
          <w:noProof/>
        </w:rPr>
        <w:t>cert</w:t>
      </w:r>
      <w:r w:rsidR="00BF12AA">
        <w:rPr>
          <w:noProof/>
        </w:rPr>
        <w:t>i</w:t>
      </w:r>
      <w:r w:rsidR="00955F3F">
        <w:rPr>
          <w:noProof/>
        </w:rPr>
        <w:t>fication</w:t>
      </w:r>
      <w:r w:rsidR="00955F3F" w:rsidRPr="00D37004">
        <w:rPr>
          <w:noProof/>
        </w:rPr>
        <w:t xml:space="preserve"> </w:t>
      </w:r>
      <w:r w:rsidRPr="00D37004">
        <w:rPr>
          <w:noProof/>
        </w:rPr>
        <w:t xml:space="preserve">sometimes contain a sovereignty dimension. </w:t>
      </w:r>
      <w:r w:rsidR="00BC1CFE">
        <w:rPr>
          <w:noProof/>
        </w:rPr>
        <w:t>For example, t</w:t>
      </w:r>
      <w:r w:rsidRPr="00D37004">
        <w:rPr>
          <w:noProof/>
        </w:rPr>
        <w:t xml:space="preserve">he French SecNumCloud aims to ensure the ‘sovereignty of CSPs’ based on strict technical cybersecurity requirements and non-technical </w:t>
      </w:r>
      <w:r w:rsidR="00BE0BBA">
        <w:rPr>
          <w:noProof/>
        </w:rPr>
        <w:t xml:space="preserve">– sovereignty - </w:t>
      </w:r>
      <w:r w:rsidRPr="00D37004">
        <w:rPr>
          <w:noProof/>
        </w:rPr>
        <w:t xml:space="preserve">criteria. The adoption of SecNumCloud by </w:t>
      </w:r>
      <w:r w:rsidR="00E027B6">
        <w:rPr>
          <w:noProof/>
        </w:rPr>
        <w:t>cloud services</w:t>
      </w:r>
      <w:r w:rsidR="00E027B6" w:rsidRPr="00D37004">
        <w:rPr>
          <w:noProof/>
        </w:rPr>
        <w:t xml:space="preserve"> </w:t>
      </w:r>
      <w:r w:rsidRPr="00D37004">
        <w:rPr>
          <w:noProof/>
        </w:rPr>
        <w:t xml:space="preserve">remains rather low, </w:t>
      </w:r>
      <w:r w:rsidR="00A34D71">
        <w:rPr>
          <w:noProof/>
        </w:rPr>
        <w:t>and</w:t>
      </w:r>
      <w:r w:rsidR="009D410D">
        <w:rPr>
          <w:noProof/>
        </w:rPr>
        <w:t xml:space="preserve"> most</w:t>
      </w:r>
      <w:r w:rsidR="00A34D71" w:rsidRPr="00D37004">
        <w:rPr>
          <w:noProof/>
        </w:rPr>
        <w:t xml:space="preserve"> </w:t>
      </w:r>
      <w:r w:rsidRPr="00D37004">
        <w:rPr>
          <w:noProof/>
        </w:rPr>
        <w:t xml:space="preserve">European customers are unaware of </w:t>
      </w:r>
      <w:r w:rsidR="006E48BE">
        <w:rPr>
          <w:noProof/>
        </w:rPr>
        <w:t xml:space="preserve">the </w:t>
      </w:r>
      <w:r w:rsidRPr="00D37004">
        <w:rPr>
          <w:noProof/>
        </w:rPr>
        <w:t xml:space="preserve">benefits </w:t>
      </w:r>
      <w:r w:rsidR="00D00CC5">
        <w:rPr>
          <w:noProof/>
        </w:rPr>
        <w:t xml:space="preserve">in the services </w:t>
      </w:r>
      <w:r w:rsidR="00035833">
        <w:rPr>
          <w:noProof/>
        </w:rPr>
        <w:t>provided</w:t>
      </w:r>
      <w:r w:rsidR="00035833" w:rsidRPr="00D37004">
        <w:rPr>
          <w:noProof/>
        </w:rPr>
        <w:t xml:space="preserve"> </w:t>
      </w:r>
      <w:r w:rsidRPr="00D37004">
        <w:rPr>
          <w:noProof/>
        </w:rPr>
        <w:t>by E</w:t>
      </w:r>
      <w:r w:rsidR="009F5731">
        <w:rPr>
          <w:noProof/>
        </w:rPr>
        <w:t>uropean</w:t>
      </w:r>
      <w:r w:rsidRPr="00D37004">
        <w:rPr>
          <w:noProof/>
        </w:rPr>
        <w:t xml:space="preserve"> CSPs</w:t>
      </w:r>
      <w:r w:rsidR="00AF1390">
        <w:rPr>
          <w:noProof/>
        </w:rPr>
        <w:t xml:space="preserve">, despite </w:t>
      </w:r>
      <w:r w:rsidR="00666BC1">
        <w:rPr>
          <w:noProof/>
        </w:rPr>
        <w:t xml:space="preserve">an </w:t>
      </w:r>
      <w:r>
        <w:rPr>
          <w:noProof/>
        </w:rPr>
        <w:t>increas</w:t>
      </w:r>
      <w:r w:rsidR="00666BC1">
        <w:rPr>
          <w:noProof/>
        </w:rPr>
        <w:t>ed</w:t>
      </w:r>
      <w:r>
        <w:rPr>
          <w:noProof/>
        </w:rPr>
        <w:t xml:space="preserve"> </w:t>
      </w:r>
      <w:r w:rsidR="00666BC1">
        <w:rPr>
          <w:noProof/>
        </w:rPr>
        <w:t>use of</w:t>
      </w:r>
      <w:r>
        <w:rPr>
          <w:noProof/>
        </w:rPr>
        <w:t xml:space="preserve"> </w:t>
      </w:r>
      <w:r w:rsidR="004A4159">
        <w:rPr>
          <w:noProof/>
        </w:rPr>
        <w:t xml:space="preserve">the </w:t>
      </w:r>
      <w:r w:rsidR="00901BD4">
        <w:rPr>
          <w:noProof/>
        </w:rPr>
        <w:t>n</w:t>
      </w:r>
      <w:r w:rsidR="004178C6">
        <w:rPr>
          <w:noProof/>
        </w:rPr>
        <w:t>o</w:t>
      </w:r>
      <w:r w:rsidR="00901BD4">
        <w:rPr>
          <w:noProof/>
        </w:rPr>
        <w:t>tion of</w:t>
      </w:r>
      <w:r w:rsidR="004A4159">
        <w:rPr>
          <w:noProof/>
        </w:rPr>
        <w:t xml:space="preserve"> </w:t>
      </w:r>
      <w:r>
        <w:rPr>
          <w:noProof/>
        </w:rPr>
        <w:t>sovereignty to market their offers</w:t>
      </w:r>
      <w:r>
        <w:rPr>
          <w:rStyle w:val="EndnoteReference"/>
          <w:noProof/>
        </w:rPr>
        <w:endnoteReference w:id="151"/>
      </w:r>
      <w:r w:rsidR="00724C0A">
        <w:rPr>
          <w:noProof/>
        </w:rPr>
        <w:t>.</w:t>
      </w:r>
      <w:r>
        <w:rPr>
          <w:noProof/>
        </w:rPr>
        <w:t>However, in the absence of clarity around the concept, this has not yet translated into meaningful commercial advancements</w:t>
      </w:r>
      <w:r>
        <w:rPr>
          <w:rStyle w:val="EndnoteReference"/>
          <w:noProof/>
        </w:rPr>
        <w:endnoteReference w:id="152"/>
      </w:r>
      <w:r>
        <w:rPr>
          <w:noProof/>
        </w:rPr>
        <w:t xml:space="preserve">. </w:t>
      </w:r>
    </w:p>
    <w:p w14:paraId="787ACD38" w14:textId="61FC2B3F" w:rsidR="006B087E" w:rsidRPr="00F92EAE" w:rsidRDefault="005744A6" w:rsidP="000E3086">
      <w:pPr>
        <w:rPr>
          <w:noProof/>
        </w:rPr>
      </w:pPr>
      <w:r>
        <w:rPr>
          <w:noProof/>
        </w:rPr>
        <w:t>Thus</w:t>
      </w:r>
      <w:r w:rsidR="00FD6A23">
        <w:rPr>
          <w:noProof/>
        </w:rPr>
        <w:t>, t</w:t>
      </w:r>
      <w:r w:rsidR="0069145A">
        <w:rPr>
          <w:noProof/>
        </w:rPr>
        <w:t xml:space="preserve">he lack of </w:t>
      </w:r>
      <w:r w:rsidR="00971294">
        <w:rPr>
          <w:noProof/>
        </w:rPr>
        <w:t xml:space="preserve">such </w:t>
      </w:r>
      <w:r w:rsidR="0069145A">
        <w:rPr>
          <w:noProof/>
        </w:rPr>
        <w:t xml:space="preserve">a clear </w:t>
      </w:r>
      <w:r w:rsidR="00035B96">
        <w:rPr>
          <w:noProof/>
        </w:rPr>
        <w:t>common</w:t>
      </w:r>
      <w:r w:rsidR="008C11F7" w:rsidDel="0045590D">
        <w:rPr>
          <w:noProof/>
        </w:rPr>
        <w:t xml:space="preserve"> </w:t>
      </w:r>
      <w:r w:rsidR="0045590D">
        <w:rPr>
          <w:noProof/>
        </w:rPr>
        <w:t>understanding</w:t>
      </w:r>
      <w:r w:rsidR="008C11F7">
        <w:rPr>
          <w:noProof/>
        </w:rPr>
        <w:t xml:space="preserve"> and </w:t>
      </w:r>
      <w:r w:rsidR="00971294">
        <w:rPr>
          <w:noProof/>
        </w:rPr>
        <w:t>enforceable</w:t>
      </w:r>
      <w:r w:rsidR="008C11F7">
        <w:rPr>
          <w:noProof/>
        </w:rPr>
        <w:t xml:space="preserve"> criteria for </w:t>
      </w:r>
      <w:r w:rsidR="00A721BB">
        <w:rPr>
          <w:noProof/>
        </w:rPr>
        <w:t xml:space="preserve">sovereignty </w:t>
      </w:r>
      <w:r w:rsidR="00E80C27">
        <w:rPr>
          <w:noProof/>
        </w:rPr>
        <w:t>along with</w:t>
      </w:r>
      <w:r w:rsidR="00A721BB">
        <w:rPr>
          <w:noProof/>
        </w:rPr>
        <w:t xml:space="preserve"> the solutions adopted by different Member States </w:t>
      </w:r>
      <w:r w:rsidR="00ED4D40">
        <w:rPr>
          <w:noProof/>
        </w:rPr>
        <w:t xml:space="preserve">is </w:t>
      </w:r>
      <w:r w:rsidR="003A5077">
        <w:rPr>
          <w:noProof/>
        </w:rPr>
        <w:t>result</w:t>
      </w:r>
      <w:r w:rsidR="00ED4D40">
        <w:rPr>
          <w:noProof/>
        </w:rPr>
        <w:t>ing</w:t>
      </w:r>
      <w:r w:rsidR="003A5077">
        <w:rPr>
          <w:noProof/>
        </w:rPr>
        <w:t xml:space="preserve"> in further</w:t>
      </w:r>
      <w:r w:rsidR="00A721BB">
        <w:rPr>
          <w:noProof/>
        </w:rPr>
        <w:t xml:space="preserve"> </w:t>
      </w:r>
      <w:r w:rsidR="00A721BB" w:rsidRPr="2A6A1A3F">
        <w:rPr>
          <w:b/>
          <w:bCs/>
          <w:noProof/>
        </w:rPr>
        <w:t xml:space="preserve">fragmentation </w:t>
      </w:r>
      <w:r w:rsidR="003A5077" w:rsidRPr="2A6A1A3F">
        <w:rPr>
          <w:b/>
          <w:bCs/>
          <w:noProof/>
        </w:rPr>
        <w:t>of the Single Market</w:t>
      </w:r>
      <w:r w:rsidR="003A5077">
        <w:rPr>
          <w:noProof/>
        </w:rPr>
        <w:t xml:space="preserve">. </w:t>
      </w:r>
      <w:r w:rsidR="00E61374">
        <w:rPr>
          <w:noProof/>
        </w:rPr>
        <w:t>Announcements such as AWS investment of EUR 7.8 bn in an EU sovereign cloud</w:t>
      </w:r>
      <w:r w:rsidR="00E61374">
        <w:rPr>
          <w:rStyle w:val="EndnoteReference"/>
          <w:noProof/>
        </w:rPr>
        <w:endnoteReference w:id="153"/>
      </w:r>
      <w:r w:rsidR="00E61374">
        <w:rPr>
          <w:noProof/>
        </w:rPr>
        <w:t xml:space="preserve"> indicate that today’s incumbents are likely to capture the nascent market for sovereign cloud and AI computing services. </w:t>
      </w:r>
      <w:r w:rsidR="00582B4B">
        <w:rPr>
          <w:noProof/>
        </w:rPr>
        <w:t>I</w:t>
      </w:r>
      <w:r w:rsidR="00E61374">
        <w:rPr>
          <w:noProof/>
        </w:rPr>
        <w:t xml:space="preserve">n the absence of clarity on what constitutes a sovereign service, the definition will </w:t>
      </w:r>
      <w:r w:rsidR="00E61374" w:rsidRPr="2A6A1A3F">
        <w:rPr>
          <w:i/>
          <w:iCs/>
          <w:noProof/>
        </w:rPr>
        <w:t>de facto</w:t>
      </w:r>
      <w:r w:rsidR="00E61374">
        <w:rPr>
          <w:noProof/>
        </w:rPr>
        <w:t xml:space="preserve"> be set by today’s leading providers in a way that further enshrines today’s dependence.  </w:t>
      </w:r>
    </w:p>
    <w:p w14:paraId="1A1FDE26" w14:textId="6AB2D110" w:rsidR="006B087E" w:rsidRPr="00F92EAE" w:rsidRDefault="006B087E" w:rsidP="000E3086">
      <w:pPr>
        <w:pStyle w:val="Heading2"/>
        <w:rPr>
          <w:noProof/>
        </w:rPr>
      </w:pPr>
      <w:bookmarkStart w:id="30" w:name="_Toc230792726"/>
      <w:r w:rsidRPr="00F92EAE">
        <w:rPr>
          <w:noProof/>
        </w:rPr>
        <w:t xml:space="preserve">How </w:t>
      </w:r>
      <w:r w:rsidR="00CC3AAC" w:rsidRPr="00F92EAE">
        <w:rPr>
          <w:noProof/>
        </w:rPr>
        <w:t>likely is the problem to persist?</w:t>
      </w:r>
      <w:bookmarkEnd w:id="30"/>
    </w:p>
    <w:p w14:paraId="0A6000FC" w14:textId="30CB3A9E" w:rsidR="00E61374" w:rsidRPr="00D37004" w:rsidRDefault="00E61374" w:rsidP="00E61374">
      <w:pPr>
        <w:rPr>
          <w:rFonts w:eastAsia="Times New Roman"/>
          <w:noProof/>
        </w:rPr>
      </w:pPr>
      <w:r w:rsidRPr="294AF3FA">
        <w:rPr>
          <w:rFonts w:eastAsia="Times New Roman"/>
          <w:noProof/>
        </w:rPr>
        <w:t xml:space="preserve">The problems can be expected to become increasingly acute. Despite continued investment in </w:t>
      </w:r>
      <w:r w:rsidR="00372EDF">
        <w:rPr>
          <w:rFonts w:eastAsia="Times New Roman"/>
          <w:noProof/>
        </w:rPr>
        <w:t>DCs</w:t>
      </w:r>
      <w:r w:rsidRPr="294AF3FA">
        <w:rPr>
          <w:rFonts w:eastAsia="Times New Roman"/>
          <w:noProof/>
        </w:rPr>
        <w:t xml:space="preserve">, the gap between supply and demand of computing capacity </w:t>
      </w:r>
      <w:r w:rsidR="00A257D8">
        <w:rPr>
          <w:rFonts w:eastAsia="Times New Roman"/>
          <w:noProof/>
        </w:rPr>
        <w:t>will likely</w:t>
      </w:r>
      <w:r w:rsidRPr="294AF3FA">
        <w:rPr>
          <w:rFonts w:eastAsia="Times New Roman"/>
          <w:noProof/>
        </w:rPr>
        <w:t xml:space="preserve"> grow. The current timeline for </w:t>
      </w:r>
      <w:r w:rsidR="00372EDF">
        <w:rPr>
          <w:rFonts w:eastAsia="Times New Roman"/>
          <w:noProof/>
        </w:rPr>
        <w:t>DC</w:t>
      </w:r>
      <w:r w:rsidRPr="294AF3FA">
        <w:rPr>
          <w:rFonts w:eastAsia="Times New Roman"/>
          <w:noProof/>
        </w:rPr>
        <w:t xml:space="preserve"> deployment is likely to remain complex as rising demand puts additional strain on the already lengthy permitting processes.</w:t>
      </w:r>
    </w:p>
    <w:p w14:paraId="201288EF" w14:textId="1625C079" w:rsidR="00E61374" w:rsidRPr="00D37004" w:rsidRDefault="00E61374" w:rsidP="00E61374">
      <w:pPr>
        <w:rPr>
          <w:rFonts w:eastAsia="Times New Roman"/>
          <w:noProof/>
        </w:rPr>
      </w:pPr>
      <w:r w:rsidRPr="00D37004">
        <w:rPr>
          <w:rFonts w:eastAsia="Times New Roman"/>
          <w:noProof/>
        </w:rPr>
        <w:t xml:space="preserve">Member States’ </w:t>
      </w:r>
      <w:r w:rsidR="1F3018F4" w:rsidRPr="00D37004">
        <w:rPr>
          <w:rFonts w:eastAsia="Times New Roman"/>
          <w:noProof/>
        </w:rPr>
        <w:t>national</w:t>
      </w:r>
      <w:r w:rsidRPr="00D37004">
        <w:rPr>
          <w:rFonts w:eastAsia="Times New Roman"/>
          <w:noProof/>
        </w:rPr>
        <w:t xml:space="preserve"> policies to attract </w:t>
      </w:r>
      <w:r w:rsidR="00372EDF">
        <w:rPr>
          <w:rFonts w:eastAsia="Times New Roman"/>
          <w:noProof/>
        </w:rPr>
        <w:t>DCs</w:t>
      </w:r>
      <w:r w:rsidRPr="00D37004">
        <w:rPr>
          <w:rFonts w:eastAsia="Times New Roman"/>
          <w:noProof/>
        </w:rPr>
        <w:t xml:space="preserve"> and accelerate their deployment will likely persist, complexifying the European market for operators and creating geographical imbalances regarding the deployment of </w:t>
      </w:r>
      <w:r w:rsidR="00372EDF">
        <w:rPr>
          <w:rFonts w:eastAsia="Times New Roman"/>
          <w:noProof/>
        </w:rPr>
        <w:t>DCs</w:t>
      </w:r>
      <w:r w:rsidRPr="00D37004">
        <w:rPr>
          <w:rFonts w:eastAsia="Times New Roman"/>
          <w:noProof/>
        </w:rPr>
        <w:t xml:space="preserve"> towards certain regions. Considering the importance of low latency, this will lead to unequal opportunities for businesses</w:t>
      </w:r>
      <w:r w:rsidRPr="00D37004" w:rsidDel="5B328D18">
        <w:rPr>
          <w:rFonts w:eastAsia="Times New Roman"/>
          <w:noProof/>
        </w:rPr>
        <w:t xml:space="preserve"> </w:t>
      </w:r>
      <w:r w:rsidRPr="00D37004">
        <w:rPr>
          <w:rFonts w:eastAsia="Times New Roman"/>
          <w:noProof/>
        </w:rPr>
        <w:t xml:space="preserve">across the EU, notably in central and southern Europe where latency </w:t>
      </w:r>
      <w:r w:rsidRPr="00D37004" w:rsidDel="002931A7">
        <w:rPr>
          <w:rFonts w:eastAsia="Times New Roman"/>
          <w:noProof/>
        </w:rPr>
        <w:t xml:space="preserve">performance </w:t>
      </w:r>
      <w:r w:rsidRPr="00D37004">
        <w:rPr>
          <w:rFonts w:eastAsia="Times New Roman"/>
          <w:noProof/>
        </w:rPr>
        <w:t>can fall</w:t>
      </w:r>
      <w:r w:rsidRPr="00D37004" w:rsidDel="001B5463">
        <w:rPr>
          <w:rFonts w:eastAsia="Times New Roman"/>
          <w:noProof/>
        </w:rPr>
        <w:t xml:space="preserve"> </w:t>
      </w:r>
      <w:r w:rsidRPr="00D37004">
        <w:rPr>
          <w:rFonts w:eastAsia="Times New Roman"/>
          <w:noProof/>
        </w:rPr>
        <w:t>short of AI or IoT solutions execution requirements</w:t>
      </w:r>
      <w:r w:rsidRPr="00D37004">
        <w:rPr>
          <w:noProof/>
          <w:vertAlign w:val="superscript"/>
        </w:rPr>
        <w:endnoteReference w:id="154"/>
      </w:r>
      <w:r w:rsidRPr="00D37004">
        <w:rPr>
          <w:rFonts w:eastAsia="Times New Roman"/>
          <w:noProof/>
        </w:rPr>
        <w:t>. Ultimately, insufficient access to computing capacity will limit businesses' ability to integrate AI into their operations, negatively affecting their competitiveness</w:t>
      </w:r>
      <w:r w:rsidRPr="00D37004">
        <w:rPr>
          <w:noProof/>
          <w:vertAlign w:val="superscript"/>
        </w:rPr>
        <w:endnoteReference w:id="155"/>
      </w:r>
      <w:r w:rsidRPr="00D37004">
        <w:rPr>
          <w:rFonts w:eastAsia="Times New Roman"/>
          <w:noProof/>
        </w:rPr>
        <w:t xml:space="preserve">. </w:t>
      </w:r>
    </w:p>
    <w:p w14:paraId="021BF3F2" w14:textId="56B05D1C" w:rsidR="00E61374" w:rsidRPr="00D37004" w:rsidRDefault="00E61374" w:rsidP="00E61374">
      <w:pPr>
        <w:rPr>
          <w:rFonts w:eastAsia="Times New Roman"/>
          <w:noProof/>
        </w:rPr>
      </w:pPr>
      <w:r w:rsidRPr="00D37004">
        <w:rPr>
          <w:rFonts w:eastAsia="Times New Roman"/>
          <w:noProof/>
        </w:rPr>
        <w:t xml:space="preserve">While lowering operating costs will incentivise </w:t>
      </w:r>
      <w:r w:rsidR="00372EDF">
        <w:rPr>
          <w:rFonts w:eastAsia="Times New Roman"/>
          <w:noProof/>
        </w:rPr>
        <w:t>DC</w:t>
      </w:r>
      <w:r w:rsidRPr="00D37004">
        <w:rPr>
          <w:rFonts w:eastAsia="Times New Roman"/>
          <w:noProof/>
        </w:rPr>
        <w:t xml:space="preserve"> operators to adopt energy efficient technologies, the industry’s demand for energy will continue to grow. Without strategic energy planning and a focus on sustainable infrastructures, </w:t>
      </w:r>
      <w:r w:rsidR="00372EDF">
        <w:rPr>
          <w:rFonts w:eastAsia="Times New Roman"/>
          <w:noProof/>
        </w:rPr>
        <w:t>DC</w:t>
      </w:r>
      <w:r w:rsidRPr="00D37004">
        <w:rPr>
          <w:rFonts w:eastAsia="Times New Roman"/>
          <w:noProof/>
        </w:rPr>
        <w:t xml:space="preserve"> expansion will particularly challenge existing </w:t>
      </w:r>
      <w:r w:rsidR="00372EDF">
        <w:rPr>
          <w:rFonts w:eastAsia="Times New Roman"/>
          <w:noProof/>
        </w:rPr>
        <w:t>DC</w:t>
      </w:r>
      <w:r w:rsidRPr="00D37004">
        <w:rPr>
          <w:rFonts w:eastAsia="Times New Roman"/>
          <w:noProof/>
        </w:rPr>
        <w:t xml:space="preserve"> hubs and regions with high strain on natural resources, at the risk of crowding out electrification objectives in other sectors and generating increasing public opposition</w:t>
      </w:r>
      <w:r w:rsidRPr="00D37004">
        <w:rPr>
          <w:rStyle w:val="EndnoteReference"/>
          <w:rFonts w:eastAsia="Times New Roman"/>
          <w:noProof/>
        </w:rPr>
        <w:endnoteReference w:id="156"/>
      </w:r>
      <w:r w:rsidRPr="00D37004">
        <w:rPr>
          <w:rFonts w:eastAsia="Times New Roman"/>
          <w:noProof/>
        </w:rPr>
        <w:t>.</w:t>
      </w:r>
      <w:r w:rsidRPr="294AF3FA">
        <w:rPr>
          <w:rFonts w:eastAsia="Times New Roman"/>
          <w:noProof/>
        </w:rPr>
        <w:t xml:space="preserve"> </w:t>
      </w:r>
      <w:r>
        <w:rPr>
          <w:rFonts w:eastAsia="Times New Roman"/>
          <w:noProof/>
        </w:rPr>
        <w:t>The o</w:t>
      </w:r>
      <w:r w:rsidRPr="294AF3FA">
        <w:rPr>
          <w:rFonts w:eastAsia="Times New Roman"/>
          <w:noProof/>
        </w:rPr>
        <w:t>ngoing revision of the infrastructure planning under the TEN-E Regulation (2022/869)</w:t>
      </w:r>
      <w:r>
        <w:rPr>
          <w:rFonts w:eastAsia="Times New Roman"/>
          <w:noProof/>
        </w:rPr>
        <w:t xml:space="preserve"> </w:t>
      </w:r>
      <w:r w:rsidRPr="294AF3FA">
        <w:rPr>
          <w:rFonts w:eastAsia="Times New Roman"/>
          <w:noProof/>
        </w:rPr>
        <w:t>has a potential to reduce the scale of the problem.</w:t>
      </w:r>
    </w:p>
    <w:p w14:paraId="056A4A75" w14:textId="54DA58FD" w:rsidR="00E61374" w:rsidRPr="00D37004" w:rsidRDefault="00E61374" w:rsidP="00E61374">
      <w:pPr>
        <w:rPr>
          <w:rFonts w:eastAsia="Times New Roman"/>
          <w:noProof/>
        </w:rPr>
      </w:pPr>
      <w:r w:rsidRPr="00D37004">
        <w:rPr>
          <w:rFonts w:eastAsia="Times New Roman"/>
          <w:noProof/>
        </w:rPr>
        <w:t xml:space="preserve">Considering these factors, the expansion of </w:t>
      </w:r>
      <w:r w:rsidR="00372EDF">
        <w:rPr>
          <w:rFonts w:eastAsia="Times New Roman"/>
          <w:noProof/>
        </w:rPr>
        <w:t>DCs</w:t>
      </w:r>
      <w:r w:rsidRPr="00D37004">
        <w:rPr>
          <w:rFonts w:eastAsia="Times New Roman"/>
          <w:noProof/>
        </w:rPr>
        <w:t xml:space="preserve"> in the EU will continue, but at a slower pace than needed to meet growing demands</w:t>
      </w:r>
      <w:r>
        <w:rPr>
          <w:rFonts w:eastAsia="Times New Roman"/>
          <w:noProof/>
        </w:rPr>
        <w:t>.</w:t>
      </w:r>
      <w:r w:rsidRPr="00D37004">
        <w:rPr>
          <w:rFonts w:eastAsia="Times New Roman"/>
          <w:noProof/>
        </w:rPr>
        <w:t xml:space="preserve"> This will continue to raise prices, a trend already noticeable for colocation and access to GPU capacity in Europe</w:t>
      </w:r>
      <w:r w:rsidRPr="00D37004">
        <w:rPr>
          <w:noProof/>
          <w:vertAlign w:val="superscript"/>
        </w:rPr>
        <w:endnoteReference w:id="157"/>
      </w:r>
      <w:r w:rsidRPr="00D37004">
        <w:rPr>
          <w:rFonts w:eastAsia="Times New Roman"/>
          <w:noProof/>
        </w:rPr>
        <w:t>. This shortage of suitable computing capacity may even lead EU businesses to move overseas</w:t>
      </w:r>
      <w:r w:rsidRPr="00D37004">
        <w:rPr>
          <w:noProof/>
          <w:vertAlign w:val="superscript"/>
        </w:rPr>
        <w:endnoteReference w:id="158"/>
      </w:r>
      <w:r w:rsidRPr="00D37004">
        <w:rPr>
          <w:rFonts w:eastAsia="Times New Roman"/>
          <w:noProof/>
        </w:rPr>
        <w:t xml:space="preserve"> or delay the deployment of low-latency services to the detriment of EU’s economic growth.</w:t>
      </w:r>
      <w:r>
        <w:rPr>
          <w:rFonts w:eastAsia="Times New Roman"/>
          <w:noProof/>
        </w:rPr>
        <w:t xml:space="preserve"> </w:t>
      </w:r>
      <w:r w:rsidRPr="00D37004">
        <w:rPr>
          <w:rFonts w:eastAsia="Times New Roman"/>
          <w:noProof/>
        </w:rPr>
        <w:t xml:space="preserve">Consequently, the provision of </w:t>
      </w:r>
      <w:r w:rsidRPr="00DB3351">
        <w:rPr>
          <w:rFonts w:eastAsia="Times New Roman"/>
          <w:noProof/>
        </w:rPr>
        <w:t>cloud and AI</w:t>
      </w:r>
      <w:r w:rsidRPr="294AF3FA">
        <w:rPr>
          <w:rFonts w:eastAsia="Times New Roman"/>
          <w:b/>
          <w:noProof/>
        </w:rPr>
        <w:t xml:space="preserve"> </w:t>
      </w:r>
      <w:r w:rsidRPr="00DB3351">
        <w:rPr>
          <w:rFonts w:eastAsia="Times New Roman"/>
          <w:noProof/>
        </w:rPr>
        <w:t>computing</w:t>
      </w:r>
      <w:r w:rsidRPr="294AF3FA">
        <w:rPr>
          <w:rFonts w:eastAsia="Times New Roman"/>
          <w:b/>
          <w:noProof/>
        </w:rPr>
        <w:t xml:space="preserve"> </w:t>
      </w:r>
      <w:r w:rsidRPr="00D37004">
        <w:rPr>
          <w:noProof/>
        </w:rPr>
        <w:t xml:space="preserve">services </w:t>
      </w:r>
      <w:r w:rsidRPr="00D37004">
        <w:rPr>
          <w:rFonts w:eastAsia="Times New Roman"/>
          <w:noProof/>
        </w:rPr>
        <w:t xml:space="preserve">to EU customers will continue relying on infrastructure located outside of the EU. Given the preference of many users for keeping their data in the EU, this bottleneck will slow down the adoption of cloud and AI </w:t>
      </w:r>
      <w:r>
        <w:rPr>
          <w:rFonts w:eastAsia="Times New Roman"/>
          <w:noProof/>
        </w:rPr>
        <w:t xml:space="preserve">computing </w:t>
      </w:r>
      <w:r w:rsidRPr="00D37004">
        <w:rPr>
          <w:noProof/>
        </w:rPr>
        <w:t xml:space="preserve">services </w:t>
      </w:r>
      <w:r w:rsidRPr="00D37004">
        <w:rPr>
          <w:rFonts w:eastAsia="Times New Roman"/>
          <w:noProof/>
        </w:rPr>
        <w:t xml:space="preserve">in the EU. </w:t>
      </w:r>
    </w:p>
    <w:p w14:paraId="59B71F2E" w14:textId="1FADD319" w:rsidR="00E61374" w:rsidRPr="00D37004" w:rsidRDefault="00E61374" w:rsidP="00E61374">
      <w:pPr>
        <w:rPr>
          <w:rFonts w:eastAsia="Times New Roman"/>
          <w:noProof/>
        </w:rPr>
      </w:pPr>
      <w:r w:rsidRPr="00D37004">
        <w:rPr>
          <w:rFonts w:eastAsia="Times New Roman"/>
          <w:noProof/>
        </w:rPr>
        <w:t>Today’s stable market share of 15% for European CSPs shows no indication of change, despite a growing market</w:t>
      </w:r>
      <w:r w:rsidRPr="00D37004">
        <w:rPr>
          <w:rFonts w:eastAsia="Times New Roman"/>
          <w:noProof/>
          <w:vertAlign w:val="superscript"/>
        </w:rPr>
        <w:endnoteReference w:id="159"/>
      </w:r>
      <w:r w:rsidRPr="00D37004">
        <w:rPr>
          <w:rFonts w:eastAsia="Times New Roman"/>
          <w:noProof/>
        </w:rPr>
        <w:t xml:space="preserve">. The largest European CSPs may be able to solidify their position as national players, but their smaller customer base will hinder their capacity to invest, scale up and innovate. </w:t>
      </w:r>
      <w:r>
        <w:rPr>
          <w:rFonts w:eastAsia="Times New Roman"/>
          <w:noProof/>
        </w:rPr>
        <w:t>Conversely,</w:t>
      </w:r>
      <w:r w:rsidRPr="00D37004">
        <w:rPr>
          <w:rFonts w:eastAsia="Times New Roman"/>
          <w:noProof/>
        </w:rPr>
        <w:t xml:space="preserve"> hyperscalers </w:t>
      </w:r>
      <w:r>
        <w:rPr>
          <w:rFonts w:eastAsia="Times New Roman"/>
          <w:noProof/>
        </w:rPr>
        <w:t xml:space="preserve">will </w:t>
      </w:r>
      <w:r w:rsidRPr="00D37004">
        <w:rPr>
          <w:rFonts w:eastAsia="Times New Roman"/>
          <w:noProof/>
        </w:rPr>
        <w:t xml:space="preserve">continue to innovate and grow into the AI market, </w:t>
      </w:r>
      <w:r>
        <w:rPr>
          <w:rFonts w:eastAsia="Times New Roman"/>
          <w:noProof/>
        </w:rPr>
        <w:t xml:space="preserve">with </w:t>
      </w:r>
      <w:r w:rsidRPr="00D37004">
        <w:rPr>
          <w:rFonts w:eastAsia="Times New Roman"/>
          <w:noProof/>
        </w:rPr>
        <w:t>their solutions becom</w:t>
      </w:r>
      <w:r>
        <w:rPr>
          <w:rFonts w:eastAsia="Times New Roman"/>
          <w:noProof/>
        </w:rPr>
        <w:t>ing</w:t>
      </w:r>
      <w:r w:rsidRPr="00D37004">
        <w:rPr>
          <w:rFonts w:eastAsia="Times New Roman"/>
          <w:noProof/>
        </w:rPr>
        <w:t xml:space="preserve"> indispensable, particularly for startups and SMEs and in </w:t>
      </w:r>
      <w:r>
        <w:rPr>
          <w:rFonts w:eastAsia="Times New Roman"/>
          <w:noProof/>
        </w:rPr>
        <w:t>MS</w:t>
      </w:r>
      <w:r w:rsidRPr="00D37004">
        <w:rPr>
          <w:rFonts w:eastAsia="Times New Roman"/>
          <w:noProof/>
        </w:rPr>
        <w:t xml:space="preserve"> where European CSPs lack a commercial presence.</w:t>
      </w:r>
      <w:r w:rsidRPr="00D37004" w:rsidDel="006A6AF8">
        <w:rPr>
          <w:rFonts w:eastAsia="Times New Roman"/>
          <w:noProof/>
        </w:rPr>
        <w:t xml:space="preserve"> </w:t>
      </w:r>
      <w:r w:rsidRPr="00D37004">
        <w:rPr>
          <w:rFonts w:eastAsia="Times New Roman"/>
          <w:noProof/>
        </w:rPr>
        <w:t xml:space="preserve">Current trends suggest </w:t>
      </w:r>
      <w:r>
        <w:rPr>
          <w:rFonts w:eastAsia="Times New Roman"/>
          <w:noProof/>
        </w:rPr>
        <w:t xml:space="preserve">that </w:t>
      </w:r>
      <w:r w:rsidRPr="00D37004">
        <w:rPr>
          <w:rFonts w:eastAsia="Times New Roman"/>
          <w:noProof/>
        </w:rPr>
        <w:t>US dominance in development and adoption of AI technologies, with China catching up, will persist</w:t>
      </w:r>
      <w:r w:rsidRPr="294AF3FA">
        <w:rPr>
          <w:rFonts w:asciiTheme="minorHAnsi" w:eastAsiaTheme="minorEastAsia" w:hAnsiTheme="minorHAnsi" w:cstheme="minorBidi"/>
          <w:noProof/>
          <w:vertAlign w:val="superscript"/>
        </w:rPr>
        <w:endnoteReference w:id="160"/>
      </w:r>
      <w:r w:rsidRPr="00D37004">
        <w:rPr>
          <w:rFonts w:eastAsia="Times New Roman"/>
          <w:noProof/>
        </w:rPr>
        <w:t xml:space="preserve">. European businesses and public authorities will continue to rely on US AI providers to the detriment of European </w:t>
      </w:r>
      <w:r>
        <w:rPr>
          <w:rFonts w:eastAsia="Times New Roman"/>
          <w:noProof/>
        </w:rPr>
        <w:t>service</w:t>
      </w:r>
      <w:r w:rsidRPr="00D37004">
        <w:rPr>
          <w:rFonts w:eastAsia="Times New Roman"/>
          <w:noProof/>
        </w:rPr>
        <w:t xml:space="preserve"> providers struggling to work at the frontier.</w:t>
      </w:r>
    </w:p>
    <w:p w14:paraId="539A1492" w14:textId="75BCA447" w:rsidR="006B087E" w:rsidRPr="00043DCE" w:rsidRDefault="00E61374" w:rsidP="000E3086">
      <w:pPr>
        <w:rPr>
          <w:rFonts w:eastAsia="Times New Roman"/>
          <w:noProof/>
        </w:rPr>
      </w:pPr>
      <w:r w:rsidRPr="00D37004">
        <w:rPr>
          <w:rFonts w:eastAsia="Times New Roman"/>
          <w:noProof/>
        </w:rPr>
        <w:t xml:space="preserve">Dependence on hyperscale cloud and AI </w:t>
      </w:r>
      <w:r>
        <w:rPr>
          <w:rFonts w:eastAsia="Times New Roman"/>
          <w:noProof/>
        </w:rPr>
        <w:t>computing</w:t>
      </w:r>
      <w:r w:rsidRPr="00D37004">
        <w:rPr>
          <w:rFonts w:eastAsia="Times New Roman"/>
          <w:noProof/>
        </w:rPr>
        <w:t xml:space="preserve"> </w:t>
      </w:r>
      <w:r>
        <w:rPr>
          <w:rFonts w:eastAsia="Times New Roman"/>
          <w:noProof/>
        </w:rPr>
        <w:t>service</w:t>
      </w:r>
      <w:r w:rsidRPr="00D37004">
        <w:rPr>
          <w:rFonts w:eastAsia="Times New Roman"/>
          <w:noProof/>
        </w:rPr>
        <w:t xml:space="preserve"> providers, particularly for highly critical use cases, will continue to expose data to third-country access and </w:t>
      </w:r>
      <w:r>
        <w:rPr>
          <w:rFonts w:eastAsia="Times New Roman"/>
          <w:noProof/>
        </w:rPr>
        <w:t xml:space="preserve">carry </w:t>
      </w:r>
      <w:r w:rsidRPr="00D37004">
        <w:rPr>
          <w:rFonts w:eastAsia="Times New Roman"/>
          <w:noProof/>
        </w:rPr>
        <w:t>risk</w:t>
      </w:r>
      <w:r>
        <w:rPr>
          <w:rFonts w:eastAsia="Times New Roman"/>
          <w:noProof/>
        </w:rPr>
        <w:t>s</w:t>
      </w:r>
      <w:r w:rsidRPr="00D37004">
        <w:rPr>
          <w:rFonts w:eastAsia="Times New Roman"/>
          <w:noProof/>
        </w:rPr>
        <w:t xml:space="preserve"> to service continuity, endangering operational autonomy. </w:t>
      </w:r>
    </w:p>
    <w:p w14:paraId="59140ACA" w14:textId="77777777" w:rsidR="006B087E" w:rsidRPr="00F92EAE" w:rsidRDefault="006B087E" w:rsidP="000E3086">
      <w:pPr>
        <w:pStyle w:val="Heading1"/>
        <w:rPr>
          <w:noProof/>
        </w:rPr>
      </w:pPr>
      <w:bookmarkStart w:id="31" w:name="_Toc230792727"/>
      <w:r w:rsidRPr="00F92EAE">
        <w:rPr>
          <w:noProof/>
        </w:rPr>
        <w:t>Why should the EU act?</w:t>
      </w:r>
      <w:bookmarkEnd w:id="31"/>
    </w:p>
    <w:p w14:paraId="70EEDAD8" w14:textId="77777777" w:rsidR="006B087E" w:rsidRPr="00F92EAE" w:rsidRDefault="006B087E" w:rsidP="000E3086">
      <w:pPr>
        <w:pStyle w:val="Heading2"/>
        <w:rPr>
          <w:noProof/>
        </w:rPr>
      </w:pPr>
      <w:bookmarkStart w:id="32" w:name="_Toc230792728"/>
      <w:r w:rsidRPr="00F92EAE">
        <w:rPr>
          <w:noProof/>
        </w:rPr>
        <w:t>Legal basis</w:t>
      </w:r>
      <w:bookmarkEnd w:id="32"/>
    </w:p>
    <w:p w14:paraId="3F75476B" w14:textId="43C73DD1" w:rsidR="00E61374" w:rsidRPr="00D37004" w:rsidRDefault="00E61374" w:rsidP="00043DCE">
      <w:pPr>
        <w:rPr>
          <w:noProof/>
        </w:rPr>
      </w:pPr>
      <w:r w:rsidRPr="00D37004">
        <w:rPr>
          <w:noProof/>
        </w:rPr>
        <w:t xml:space="preserve">Article 114 of the Treaty on the Functioning of the European Union (TFEU) empowers the EU to adopt measures aimed at improving the functioning of the internal market through the approximation of the provisions laid down by law, regulation or administrative action in Member States. These measures can take the form of a Regulation or a Directive. National approaches to expanding </w:t>
      </w:r>
      <w:r w:rsidR="00372EDF">
        <w:rPr>
          <w:noProof/>
        </w:rPr>
        <w:t>DC</w:t>
      </w:r>
      <w:r w:rsidRPr="00D37004">
        <w:rPr>
          <w:noProof/>
        </w:rPr>
        <w:t xml:space="preserve"> capacity risk creating a fragmented landscape on </w:t>
      </w:r>
      <w:r w:rsidR="00372EDF">
        <w:rPr>
          <w:noProof/>
        </w:rPr>
        <w:t>DC</w:t>
      </w:r>
      <w:r w:rsidRPr="00D37004">
        <w:rPr>
          <w:noProof/>
        </w:rPr>
        <w:t xml:space="preserve"> deployment and potentially a regulatory race to the bottom in sustainability and permitting requirements. Diverging public procurement practices for cloud </w:t>
      </w:r>
      <w:r>
        <w:rPr>
          <w:noProof/>
        </w:rPr>
        <w:t>and AI</w:t>
      </w:r>
      <w:r w:rsidRPr="00D37004">
        <w:rPr>
          <w:noProof/>
        </w:rPr>
        <w:t xml:space="preserve"> </w:t>
      </w:r>
      <w:r>
        <w:rPr>
          <w:noProof/>
        </w:rPr>
        <w:t>computing services</w:t>
      </w:r>
      <w:r w:rsidRPr="00D37004">
        <w:rPr>
          <w:noProof/>
        </w:rPr>
        <w:t xml:space="preserve"> and </w:t>
      </w:r>
      <w:r w:rsidR="00A41BB7">
        <w:rPr>
          <w:noProof/>
        </w:rPr>
        <w:t>diverging</w:t>
      </w:r>
      <w:r>
        <w:rPr>
          <w:noProof/>
        </w:rPr>
        <w:t xml:space="preserve"> </w:t>
      </w:r>
      <w:r w:rsidRPr="00D37004">
        <w:rPr>
          <w:noProof/>
        </w:rPr>
        <w:t>sovereignty criteria may prevent providers from fully benefitting of the internal market. If EU intervention takes the form of a legislative proposal, it can be based on Article 114 TFEU.</w:t>
      </w:r>
    </w:p>
    <w:p w14:paraId="164E8D27" w14:textId="58335E9D" w:rsidR="006B087E" w:rsidRPr="00F92EAE" w:rsidRDefault="00E61374" w:rsidP="000E3086">
      <w:pPr>
        <w:rPr>
          <w:noProof/>
        </w:rPr>
      </w:pPr>
      <w:r w:rsidRPr="00D37004">
        <w:rPr>
          <w:noProof/>
        </w:rPr>
        <w:t xml:space="preserve">Article 173(3) TFEU is the basis for enhancing the EU’s competitiveness and innovation capacity. It enables measures to accelerate industry’s adaptation to structural changes; encourage an environment favourable to initiatives and to the development of undertakings throughout the </w:t>
      </w:r>
      <w:r>
        <w:rPr>
          <w:noProof/>
        </w:rPr>
        <w:t>EU</w:t>
      </w:r>
      <w:r w:rsidRPr="00D37004">
        <w:rPr>
          <w:noProof/>
        </w:rPr>
        <w:t>, particularly small and medium-sized undertakings and favourable to cooperation between undertakings; and foster better exploitation of the industrial potential of policies of innovation, research and technological development. The</w:t>
      </w:r>
      <w:r w:rsidRPr="00D37004" w:rsidDel="00400019">
        <w:rPr>
          <w:noProof/>
        </w:rPr>
        <w:t xml:space="preserve"> </w:t>
      </w:r>
      <w:r w:rsidRPr="00D37004">
        <w:rPr>
          <w:noProof/>
        </w:rPr>
        <w:t xml:space="preserve">lack of computing capacity in the EU negatively affects the competitiveness of industry, keeping it from leveraging the full potential of adopting AI, particularly those that rely on low latency. By increasing the availability of compute capacity, this initiative aims to strengthen Europe’s competitiveness and innovation capacity. If it takes the form of a legislative proposal, it can thus </w:t>
      </w:r>
      <w:r>
        <w:rPr>
          <w:noProof/>
        </w:rPr>
        <w:t xml:space="preserve">also </w:t>
      </w:r>
      <w:r w:rsidRPr="00D37004">
        <w:rPr>
          <w:noProof/>
        </w:rPr>
        <w:t xml:space="preserve">be based on Article 173(3) TFEU. </w:t>
      </w:r>
    </w:p>
    <w:p w14:paraId="28AFBD7E" w14:textId="60435856" w:rsidR="007D2DD7" w:rsidRPr="00F92EAE" w:rsidRDefault="007D2DD7" w:rsidP="000E3086">
      <w:pPr>
        <w:rPr>
          <w:noProof/>
        </w:rPr>
      </w:pPr>
      <w:r>
        <w:rPr>
          <w:noProof/>
        </w:rPr>
        <w:t>Should the legislative proposal include elements associated with both i</w:t>
      </w:r>
      <w:r w:rsidRPr="00B85FA3">
        <w:rPr>
          <w:noProof/>
        </w:rPr>
        <w:t>mprov</w:t>
      </w:r>
      <w:r>
        <w:rPr>
          <w:noProof/>
        </w:rPr>
        <w:t>ing</w:t>
      </w:r>
      <w:r w:rsidRPr="00B85FA3">
        <w:rPr>
          <w:noProof/>
        </w:rPr>
        <w:t xml:space="preserve"> the </w:t>
      </w:r>
      <w:r>
        <w:rPr>
          <w:noProof/>
        </w:rPr>
        <w:t>functioning of</w:t>
      </w:r>
      <w:r w:rsidRPr="00B85FA3">
        <w:rPr>
          <w:noProof/>
        </w:rPr>
        <w:t xml:space="preserve"> the internal market</w:t>
      </w:r>
      <w:r>
        <w:rPr>
          <w:noProof/>
        </w:rPr>
        <w:t xml:space="preserve"> as well as addressing</w:t>
      </w:r>
      <w:r w:rsidRPr="00B85FA3">
        <w:rPr>
          <w:noProof/>
        </w:rPr>
        <w:t xml:space="preserve"> the competitiveness of the Union’s industry</w:t>
      </w:r>
      <w:r>
        <w:rPr>
          <w:noProof/>
        </w:rPr>
        <w:t xml:space="preserve">, the proposal would take form of a single act, building on the legal basis provided for under Articles 114 and 173(1) TFEU, to ensure a coherent approach to </w:t>
      </w:r>
      <w:r w:rsidRPr="00426F77">
        <w:rPr>
          <w:noProof/>
        </w:rPr>
        <w:t xml:space="preserve">address, in different ways, the need for strengthening of the Union’s </w:t>
      </w:r>
      <w:r>
        <w:rPr>
          <w:noProof/>
        </w:rPr>
        <w:t xml:space="preserve">cloud and AI </w:t>
      </w:r>
      <w:r w:rsidRPr="00426F77">
        <w:rPr>
          <w:noProof/>
        </w:rPr>
        <w:t>ecosystem</w:t>
      </w:r>
      <w:r>
        <w:rPr>
          <w:noProof/>
        </w:rPr>
        <w:t>.</w:t>
      </w:r>
    </w:p>
    <w:p w14:paraId="5E89CE3C" w14:textId="77777777" w:rsidR="006B087E" w:rsidRPr="00F92EAE" w:rsidRDefault="006B087E" w:rsidP="000E3086">
      <w:pPr>
        <w:pStyle w:val="Heading2"/>
        <w:rPr>
          <w:noProof/>
        </w:rPr>
      </w:pPr>
      <w:bookmarkStart w:id="33" w:name="_Toc230792729"/>
      <w:r w:rsidRPr="00F92EAE">
        <w:rPr>
          <w:noProof/>
        </w:rPr>
        <w:t>Subsidiarity: Necessity of EU action</w:t>
      </w:r>
      <w:bookmarkEnd w:id="33"/>
    </w:p>
    <w:p w14:paraId="50C296DE" w14:textId="77777777" w:rsidR="00E61374" w:rsidRPr="00D37004" w:rsidRDefault="00E61374" w:rsidP="00E61374">
      <w:pPr>
        <w:rPr>
          <w:noProof/>
        </w:rPr>
      </w:pPr>
      <w:r w:rsidRPr="00D37004">
        <w:rPr>
          <w:noProof/>
        </w:rPr>
        <w:t>Article 5(3) TFEU stipulates that action at EU level should be taken only when the envisaged objectives cannot be sufficiently achieved by Member States alone and, due to the scale or effects of the proposed action, can be better achieved at EU level.</w:t>
      </w:r>
    </w:p>
    <w:p w14:paraId="54229585" w14:textId="1CB40132" w:rsidR="00E61374" w:rsidRPr="00D37004" w:rsidRDefault="00E61374" w:rsidP="00E61374">
      <w:pPr>
        <w:rPr>
          <w:noProof/>
        </w:rPr>
      </w:pPr>
      <w:r w:rsidRPr="00D37004">
        <w:rPr>
          <w:noProof/>
        </w:rPr>
        <w:t xml:space="preserve">The development of computing capacity in the EU currently takes place along national lines. Each Member State operates under a distinct framework, with different processes and requirements for </w:t>
      </w:r>
      <w:r w:rsidR="00372EDF">
        <w:rPr>
          <w:noProof/>
        </w:rPr>
        <w:t>DC</w:t>
      </w:r>
      <w:r w:rsidRPr="00D37004">
        <w:rPr>
          <w:noProof/>
        </w:rPr>
        <w:t xml:space="preserve"> deployment</w:t>
      </w:r>
      <w:r w:rsidR="00A31E1D">
        <w:rPr>
          <w:noProof/>
        </w:rPr>
        <w:t xml:space="preserve">, </w:t>
      </w:r>
      <w:r w:rsidRPr="00D37004">
        <w:rPr>
          <w:noProof/>
        </w:rPr>
        <w:t>reflect</w:t>
      </w:r>
      <w:r w:rsidR="00A31E1D">
        <w:rPr>
          <w:noProof/>
        </w:rPr>
        <w:t>ing</w:t>
      </w:r>
      <w:r w:rsidRPr="00D37004">
        <w:rPr>
          <w:noProof/>
        </w:rPr>
        <w:t xml:space="preserve"> local conditions and needs. However, as mentioned above</w:t>
      </w:r>
      <w:r w:rsidRPr="00D37004" w:rsidDel="00132E06">
        <w:rPr>
          <w:noProof/>
        </w:rPr>
        <w:t>,</w:t>
      </w:r>
      <w:r w:rsidRPr="00D37004">
        <w:rPr>
          <w:noProof/>
        </w:rPr>
        <w:t xml:space="preserve"> national policies for </w:t>
      </w:r>
      <w:r w:rsidR="00372EDF">
        <w:rPr>
          <w:noProof/>
        </w:rPr>
        <w:t>DC</w:t>
      </w:r>
      <w:r w:rsidRPr="00D37004">
        <w:rPr>
          <w:noProof/>
        </w:rPr>
        <w:t xml:space="preserve"> acceleration risk further fragmentation and race-to-the-bottom with respect to sustainability. Moreover, an increasing number of low-latency applications require close computing capacity. More generally, the EU faces an acute shortage of computing capacity, a problem that risks negatively affecting its competitiveness and requires EU-level action</w:t>
      </w:r>
      <w:r w:rsidR="006345B9">
        <w:rPr>
          <w:noProof/>
        </w:rPr>
        <w:t xml:space="preserve"> to maintain a regulatory and investment environment that is easy to navigate for DC operators and investors, including across borders</w:t>
      </w:r>
      <w:r w:rsidRPr="00D37004">
        <w:rPr>
          <w:noProof/>
        </w:rPr>
        <w:t xml:space="preserve">.  </w:t>
      </w:r>
    </w:p>
    <w:p w14:paraId="67B9AF0F" w14:textId="1A7E576A" w:rsidR="006B087E" w:rsidRPr="00F92EAE" w:rsidRDefault="00E61374" w:rsidP="000E3086">
      <w:pPr>
        <w:rPr>
          <w:noProof/>
        </w:rPr>
      </w:pPr>
      <w:r w:rsidRPr="00D37004">
        <w:rPr>
          <w:noProof/>
        </w:rPr>
        <w:t>Closing this capacity gap and allowing European businesses and public administrations to leverage compute capacity while ensuring sustainability requires action at EU level.</w:t>
      </w:r>
      <w:r w:rsidRPr="00D37004" w:rsidDel="006A6AF8">
        <w:rPr>
          <w:noProof/>
        </w:rPr>
        <w:t xml:space="preserve"> </w:t>
      </w:r>
      <w:r>
        <w:rPr>
          <w:noProof/>
        </w:rPr>
        <w:t>T</w:t>
      </w:r>
      <w:r w:rsidRPr="00D37004">
        <w:rPr>
          <w:noProof/>
        </w:rPr>
        <w:t xml:space="preserve">he </w:t>
      </w:r>
      <w:r>
        <w:rPr>
          <w:noProof/>
        </w:rPr>
        <w:t>dependence on cloud and AI computing services supplied by non-European pro</w:t>
      </w:r>
      <w:r w:rsidRPr="00D37004">
        <w:rPr>
          <w:noProof/>
        </w:rPr>
        <w:t>viders ha</w:t>
      </w:r>
      <w:r>
        <w:rPr>
          <w:noProof/>
        </w:rPr>
        <w:t>s</w:t>
      </w:r>
      <w:r w:rsidRPr="00D37004">
        <w:rPr>
          <w:noProof/>
        </w:rPr>
        <w:t xml:space="preserve"> the same root causes across the EU and affect</w:t>
      </w:r>
      <w:r w:rsidR="0033588E">
        <w:rPr>
          <w:noProof/>
        </w:rPr>
        <w:t>s</w:t>
      </w:r>
      <w:r w:rsidRPr="00D37004">
        <w:rPr>
          <w:noProof/>
        </w:rPr>
        <w:t xml:space="preserve"> businesses and public administrations in all Member States. European service providers face difficulties to scale up across the EU, for example due to different national trustworthiness standards, particularly in public procurement. Divergent national procurement practices complexify the market for European providers</w:t>
      </w:r>
      <w:r w:rsidR="00F35F97">
        <w:rPr>
          <w:noProof/>
        </w:rPr>
        <w:t xml:space="preserve"> and the underlying situation of imperfect </w:t>
      </w:r>
      <w:r w:rsidR="00D255A0">
        <w:rPr>
          <w:noProof/>
        </w:rPr>
        <w:t>information is a market failure requiring an EU-level response</w:t>
      </w:r>
      <w:r w:rsidRPr="00D37004">
        <w:rPr>
          <w:noProof/>
        </w:rPr>
        <w:t>. Calls</w:t>
      </w:r>
      <w:r w:rsidRPr="00D37004" w:rsidDel="001F5FAE">
        <w:rPr>
          <w:noProof/>
        </w:rPr>
        <w:t xml:space="preserve"> for </w:t>
      </w:r>
      <w:r w:rsidRPr="00D37004">
        <w:rPr>
          <w:noProof/>
        </w:rPr>
        <w:t xml:space="preserve">EU-action to address these challenges </w:t>
      </w:r>
      <w:r w:rsidRPr="00D37004" w:rsidDel="001F5FAE">
        <w:rPr>
          <w:noProof/>
        </w:rPr>
        <w:t>were also made in the public consultation</w:t>
      </w:r>
      <w:r w:rsidRPr="00D37004">
        <w:rPr>
          <w:rStyle w:val="FootnoteReference"/>
          <w:noProof/>
        </w:rPr>
        <w:footnoteReference w:id="87"/>
      </w:r>
      <w:r w:rsidRPr="00D37004">
        <w:rPr>
          <w:noProof/>
        </w:rPr>
        <w:t xml:space="preserve">. </w:t>
      </w:r>
    </w:p>
    <w:p w14:paraId="597DB56E" w14:textId="4C34F6C4" w:rsidR="006B087E" w:rsidRPr="00F92EAE" w:rsidRDefault="006B087E" w:rsidP="000E3086">
      <w:pPr>
        <w:pStyle w:val="Heading2"/>
        <w:rPr>
          <w:noProof/>
        </w:rPr>
      </w:pPr>
      <w:bookmarkStart w:id="34" w:name="_Toc230792730"/>
      <w:r w:rsidRPr="00F92EAE">
        <w:rPr>
          <w:noProof/>
        </w:rPr>
        <w:t>Subsidiarity: Added value of EU action</w:t>
      </w:r>
      <w:bookmarkEnd w:id="34"/>
    </w:p>
    <w:p w14:paraId="21F52B00" w14:textId="5EA2BFD4" w:rsidR="00E61374" w:rsidRPr="00D37004" w:rsidRDefault="00E61374" w:rsidP="00E61374">
      <w:pPr>
        <w:rPr>
          <w:noProof/>
        </w:rPr>
      </w:pPr>
      <w:r w:rsidRPr="00D37004">
        <w:rPr>
          <w:noProof/>
        </w:rPr>
        <w:t xml:space="preserve">EU action would have a clear added value in addressing the problem of limited and geographically concentrated availability of computing capacity. By providing a common approach to accelerating </w:t>
      </w:r>
      <w:r w:rsidR="00372EDF">
        <w:rPr>
          <w:noProof/>
        </w:rPr>
        <w:t>DC</w:t>
      </w:r>
      <w:r w:rsidRPr="00D37004">
        <w:rPr>
          <w:noProof/>
        </w:rPr>
        <w:t xml:space="preserve"> deployment, it would enable the coherent planning and deployment of computing capacity in a geographically balanced way, while avoiding a race to the bottom and </w:t>
      </w:r>
      <w:r w:rsidR="00E7111F">
        <w:rPr>
          <w:noProof/>
        </w:rPr>
        <w:t>reducing regulatory complexity</w:t>
      </w:r>
      <w:r w:rsidR="00773F1C" w:rsidRPr="00D37004">
        <w:rPr>
          <w:noProof/>
        </w:rPr>
        <w:t xml:space="preserve"> </w:t>
      </w:r>
      <w:r w:rsidRPr="00D37004">
        <w:rPr>
          <w:noProof/>
        </w:rPr>
        <w:t xml:space="preserve">for investors and </w:t>
      </w:r>
      <w:r w:rsidR="00372EDF">
        <w:rPr>
          <w:noProof/>
        </w:rPr>
        <w:t>DC</w:t>
      </w:r>
      <w:r w:rsidRPr="00D37004">
        <w:rPr>
          <w:noProof/>
        </w:rPr>
        <w:t xml:space="preserve"> operators. The</w:t>
      </w:r>
      <w:r w:rsidRPr="00D37004" w:rsidDel="00BD39B6">
        <w:rPr>
          <w:noProof/>
        </w:rPr>
        <w:t xml:space="preserve"> </w:t>
      </w:r>
      <w:r w:rsidRPr="00D37004">
        <w:rPr>
          <w:noProof/>
        </w:rPr>
        <w:t>EU is uniquely positioned to ensure that investment and acceleration policies</w:t>
      </w:r>
      <w:r w:rsidRPr="00D37004" w:rsidDel="00F7358E">
        <w:rPr>
          <w:noProof/>
        </w:rPr>
        <w:t xml:space="preserve"> </w:t>
      </w:r>
      <w:r w:rsidRPr="00D37004">
        <w:rPr>
          <w:noProof/>
        </w:rPr>
        <w:t>reflect collective priorities and avoid fragmentation. EU-level action would ensure that all businesses and public administrations can access sufficient compute capacity to meet their needs and is a prerequisite for Europe to become an AI continent.</w:t>
      </w:r>
    </w:p>
    <w:p w14:paraId="46A614C7" w14:textId="6EE9A040" w:rsidR="006B087E" w:rsidRPr="00F92EAE" w:rsidRDefault="00E61374" w:rsidP="000E3086">
      <w:pPr>
        <w:rPr>
          <w:noProof/>
        </w:rPr>
      </w:pPr>
      <w:r w:rsidRPr="00D37004">
        <w:rPr>
          <w:noProof/>
        </w:rPr>
        <w:t xml:space="preserve">In addressing the </w:t>
      </w:r>
      <w:r>
        <w:rPr>
          <w:noProof/>
        </w:rPr>
        <w:t>dependence on cloud and AI computing services supplied by non-European providers</w:t>
      </w:r>
      <w:r w:rsidRPr="00D37004">
        <w:rPr>
          <w:noProof/>
        </w:rPr>
        <w:t xml:space="preserve">, EU action would deliver benefits that exceed what Member States could achieve individually, </w:t>
      </w:r>
      <w:r w:rsidR="003C0DFE">
        <w:rPr>
          <w:noProof/>
        </w:rPr>
        <w:t xml:space="preserve">especially in addressing the underlying market failures of </w:t>
      </w:r>
      <w:r w:rsidR="001A1AFB">
        <w:rPr>
          <w:noProof/>
        </w:rPr>
        <w:t>imperfect information</w:t>
      </w:r>
      <w:r w:rsidRPr="00D37004">
        <w:rPr>
          <w:noProof/>
        </w:rPr>
        <w:t>. This would</w:t>
      </w:r>
      <w:r w:rsidRPr="00D37004" w:rsidDel="006E3B05">
        <w:rPr>
          <w:noProof/>
        </w:rPr>
        <w:t xml:space="preserve"> </w:t>
      </w:r>
      <w:r w:rsidRPr="00D37004">
        <w:rPr>
          <w:noProof/>
        </w:rPr>
        <w:t xml:space="preserve">improve the functioning of the internal market and enable cloud and AI </w:t>
      </w:r>
      <w:r>
        <w:rPr>
          <w:noProof/>
        </w:rPr>
        <w:t>computing service</w:t>
      </w:r>
      <w:r w:rsidRPr="00D37004">
        <w:rPr>
          <w:noProof/>
        </w:rPr>
        <w:t xml:space="preserve"> providers to grow beyond their national markets. </w:t>
      </w:r>
    </w:p>
    <w:p w14:paraId="4F97A1C8" w14:textId="343D0632" w:rsidR="006B087E" w:rsidRPr="00F92EAE" w:rsidRDefault="006B087E" w:rsidP="00730E11">
      <w:pPr>
        <w:pStyle w:val="Heading1"/>
        <w:rPr>
          <w:noProof/>
        </w:rPr>
      </w:pPr>
      <w:bookmarkStart w:id="35" w:name="_Toc230792731"/>
      <w:r w:rsidRPr="00F92EAE">
        <w:rPr>
          <w:noProof/>
        </w:rPr>
        <w:t>Objectives: What is to be achieved?</w:t>
      </w:r>
      <w:bookmarkEnd w:id="35"/>
    </w:p>
    <w:p w14:paraId="07266048" w14:textId="77777777" w:rsidR="006B087E" w:rsidRPr="00F92EAE" w:rsidRDefault="006B087E" w:rsidP="000E3086">
      <w:pPr>
        <w:pStyle w:val="Heading2"/>
        <w:rPr>
          <w:noProof/>
        </w:rPr>
      </w:pPr>
      <w:bookmarkStart w:id="36" w:name="_Toc230792732"/>
      <w:r w:rsidRPr="00F92EAE">
        <w:rPr>
          <w:noProof/>
        </w:rPr>
        <w:t>General objectives</w:t>
      </w:r>
      <w:bookmarkEnd w:id="36"/>
    </w:p>
    <w:p w14:paraId="66486FD6" w14:textId="49E6AFCE" w:rsidR="006B087E" w:rsidRPr="00043DCE" w:rsidRDefault="00E61374" w:rsidP="000E3086">
      <w:pPr>
        <w:rPr>
          <w:rFonts w:eastAsia="Times New Roman"/>
          <w:noProof/>
        </w:rPr>
      </w:pPr>
      <w:r w:rsidRPr="00E92236">
        <w:rPr>
          <w:rFonts w:eastAsia="Times New Roman"/>
          <w:noProof/>
        </w:rPr>
        <w:t xml:space="preserve">The general objective of the intervention is to ensure the functioning of the internal market for cloud and AI computing services and to secure the conditions necessary for the </w:t>
      </w:r>
      <w:r w:rsidR="00817C6D">
        <w:rPr>
          <w:rFonts w:eastAsia="Times New Roman"/>
          <w:noProof/>
        </w:rPr>
        <w:t xml:space="preserve">Union’s </w:t>
      </w:r>
      <w:r w:rsidRPr="00E92236">
        <w:rPr>
          <w:rFonts w:eastAsia="Times New Roman"/>
          <w:noProof/>
        </w:rPr>
        <w:t xml:space="preserve">competitiveness and </w:t>
      </w:r>
      <w:r w:rsidR="00817C6D">
        <w:rPr>
          <w:rFonts w:eastAsia="Times New Roman"/>
          <w:noProof/>
        </w:rPr>
        <w:t>strategic autonomy</w:t>
      </w:r>
      <w:r w:rsidRPr="00E92236">
        <w:rPr>
          <w:rFonts w:eastAsia="Times New Roman"/>
          <w:noProof/>
        </w:rPr>
        <w:t>.</w:t>
      </w:r>
    </w:p>
    <w:p w14:paraId="03F7621A" w14:textId="77777777" w:rsidR="006B087E" w:rsidRPr="00F92EAE" w:rsidRDefault="006B087E" w:rsidP="000E3086">
      <w:pPr>
        <w:pStyle w:val="Heading2"/>
        <w:rPr>
          <w:noProof/>
        </w:rPr>
      </w:pPr>
      <w:bookmarkStart w:id="37" w:name="_Toc230792733"/>
      <w:r w:rsidRPr="00F92EAE">
        <w:rPr>
          <w:noProof/>
        </w:rPr>
        <w:t>Specific objectives</w:t>
      </w:r>
      <w:bookmarkEnd w:id="37"/>
    </w:p>
    <w:p w14:paraId="407AFA0C" w14:textId="56EF3B69" w:rsidR="00964C56" w:rsidRDefault="4D243C83" w:rsidP="0034155F">
      <w:pPr>
        <w:rPr>
          <w:noProof/>
        </w:rPr>
      </w:pPr>
      <w:r w:rsidRPr="4B7622FB">
        <w:rPr>
          <w:b/>
          <w:bCs/>
          <w:noProof/>
        </w:rPr>
        <w:t xml:space="preserve">Specific objective 1 (SO1): Increase computing capacity deployed in the EU through innovative and sustainable technologies. </w:t>
      </w:r>
      <w:r>
        <w:rPr>
          <w:noProof/>
        </w:rPr>
        <w:t xml:space="preserve">By 2030, the EU should at least triple its current </w:t>
      </w:r>
      <w:r w:rsidR="6071172A">
        <w:rPr>
          <w:noProof/>
        </w:rPr>
        <w:t>DC</w:t>
      </w:r>
      <w:r>
        <w:rPr>
          <w:noProof/>
        </w:rPr>
        <w:t xml:space="preserve"> capacity, prioritising energy-efficient technologies in at least 80% of new installations. As demand continues growing, this should be </w:t>
      </w:r>
      <w:r w:rsidR="3650D010">
        <w:rPr>
          <w:noProof/>
        </w:rPr>
        <w:t xml:space="preserve">considered </w:t>
      </w:r>
      <w:r>
        <w:rPr>
          <w:noProof/>
        </w:rPr>
        <w:t>an intermediate objective</w:t>
      </w:r>
      <w:r w:rsidR="3650D010">
        <w:rPr>
          <w:noProof/>
        </w:rPr>
        <w:t xml:space="preserve"> so that b</w:t>
      </w:r>
      <w:r>
        <w:rPr>
          <w:noProof/>
        </w:rPr>
        <w:t>y 2035, the computing capacity in the EU should meet its needs.</w:t>
      </w:r>
    </w:p>
    <w:p w14:paraId="48D77D98" w14:textId="27D8FD64" w:rsidR="00E61374" w:rsidRPr="00D37004" w:rsidRDefault="00E61374" w:rsidP="0034155F">
      <w:pPr>
        <w:rPr>
          <w:noProof/>
        </w:rPr>
      </w:pPr>
      <w:r w:rsidRPr="00964C56">
        <w:rPr>
          <w:b/>
          <w:bCs/>
          <w:noProof/>
        </w:rPr>
        <w:t>Specific objective 2 (SO2): Ensure attractive conditions for the deployment of sustainable and innovative computing capacity</w:t>
      </w:r>
      <w:r w:rsidR="00660174">
        <w:rPr>
          <w:rStyle w:val="FootnoteReference"/>
          <w:b/>
          <w:bCs/>
          <w:noProof/>
        </w:rPr>
        <w:footnoteReference w:id="88"/>
      </w:r>
      <w:r w:rsidRPr="294AF3FA">
        <w:rPr>
          <w:noProof/>
        </w:rPr>
        <w:t xml:space="preserve">. While SO1 is aimed at the deployment of capacity, this SO targets the </w:t>
      </w:r>
      <w:r>
        <w:rPr>
          <w:noProof/>
        </w:rPr>
        <w:t>conditions</w:t>
      </w:r>
      <w:r w:rsidRPr="294AF3FA">
        <w:rPr>
          <w:noProof/>
        </w:rPr>
        <w:t xml:space="preserve"> for</w:t>
      </w:r>
      <w:r>
        <w:rPr>
          <w:noProof/>
        </w:rPr>
        <w:t xml:space="preserve"> investment and</w:t>
      </w:r>
      <w:r w:rsidRPr="294AF3FA">
        <w:rPr>
          <w:noProof/>
        </w:rPr>
        <w:t xml:space="preserve"> deployment. By 2030, operators should be able to obtain all permits to build </w:t>
      </w:r>
      <w:r>
        <w:rPr>
          <w:noProof/>
        </w:rPr>
        <w:t xml:space="preserve">and run </w:t>
      </w:r>
      <w:r w:rsidRPr="294AF3FA">
        <w:rPr>
          <w:noProof/>
        </w:rPr>
        <w:t xml:space="preserve">a </w:t>
      </w:r>
      <w:r w:rsidR="00372EDF">
        <w:rPr>
          <w:noProof/>
        </w:rPr>
        <w:t>DC</w:t>
      </w:r>
      <w:r w:rsidRPr="294AF3FA">
        <w:rPr>
          <w:noProof/>
        </w:rPr>
        <w:t xml:space="preserve"> in less than 18 months</w:t>
      </w:r>
      <w:r w:rsidR="007E5840">
        <w:rPr>
          <w:noProof/>
        </w:rPr>
        <w:t xml:space="preserve"> throughout the EU</w:t>
      </w:r>
      <w:r w:rsidRPr="294AF3FA">
        <w:rPr>
          <w:noProof/>
        </w:rPr>
        <w:t xml:space="preserve">, </w:t>
      </w:r>
      <w:r w:rsidRPr="294AF3FA" w:rsidDel="00ED1504">
        <w:rPr>
          <w:noProof/>
        </w:rPr>
        <w:t xml:space="preserve">including </w:t>
      </w:r>
      <w:r w:rsidRPr="294AF3FA">
        <w:rPr>
          <w:noProof/>
        </w:rPr>
        <w:t>access to land, permits for energy access, and connectivity</w:t>
      </w:r>
      <w:r>
        <w:rPr>
          <w:noProof/>
        </w:rPr>
        <w:t xml:space="preserve"> – which are also a major attention point for investors</w:t>
      </w:r>
      <w:r w:rsidRPr="294AF3FA">
        <w:rPr>
          <w:noProof/>
        </w:rPr>
        <w:t>.</w:t>
      </w:r>
    </w:p>
    <w:p w14:paraId="0DFA04E4" w14:textId="11F03FE1" w:rsidR="00E61374" w:rsidRPr="00D37004" w:rsidRDefault="00E61374" w:rsidP="0034155F">
      <w:pPr>
        <w:rPr>
          <w:noProof/>
        </w:rPr>
      </w:pPr>
      <w:r w:rsidRPr="00964C56">
        <w:rPr>
          <w:b/>
          <w:bCs/>
          <w:noProof/>
        </w:rPr>
        <w:t xml:space="preserve">Specific objective 3 (SO3): Decrease the overall reliance on non-European cloud and AI computing services. </w:t>
      </w:r>
      <w:r w:rsidRPr="294AF3FA">
        <w:rPr>
          <w:noProof/>
        </w:rPr>
        <w:t xml:space="preserve">By 2035, this intervention should </w:t>
      </w:r>
      <w:r w:rsidR="000F667B">
        <w:rPr>
          <w:noProof/>
        </w:rPr>
        <w:t xml:space="preserve">increase the </w:t>
      </w:r>
      <w:r w:rsidR="001412B2" w:rsidRPr="294AF3FA">
        <w:rPr>
          <w:noProof/>
        </w:rPr>
        <w:t>market share of European cloud and AI computing service providers in the European market to 30%</w:t>
      </w:r>
      <w:r w:rsidR="008716C1" w:rsidRPr="294AF3FA">
        <w:rPr>
          <w:noProof/>
        </w:rPr>
        <w:t>.</w:t>
      </w:r>
      <w:r w:rsidR="008716C1">
        <w:rPr>
          <w:noProof/>
        </w:rPr>
        <w:t xml:space="preserve"> </w:t>
      </w:r>
      <w:r w:rsidR="00C006E5" w:rsidRPr="00C006E5">
        <w:rPr>
          <w:noProof/>
        </w:rPr>
        <w:t>Strengthening the Union’s strategic autonomy requires reducing dependenc</w:t>
      </w:r>
      <w:r w:rsidR="009E57C1">
        <w:rPr>
          <w:noProof/>
        </w:rPr>
        <w:t>ies</w:t>
      </w:r>
      <w:r w:rsidR="00C006E5" w:rsidRPr="00C006E5">
        <w:rPr>
          <w:noProof/>
        </w:rPr>
        <w:t xml:space="preserve"> and ensuring that European users</w:t>
      </w:r>
      <w:r w:rsidR="000C3B91">
        <w:rPr>
          <w:noProof/>
        </w:rPr>
        <w:t xml:space="preserve"> </w:t>
      </w:r>
      <w:r w:rsidR="00C006E5" w:rsidRPr="00C006E5">
        <w:rPr>
          <w:noProof/>
        </w:rPr>
        <w:t>have credible European alternatives to non-European incumbents. A stronger European supply base improves the Union’s capacity to act autonomously</w:t>
      </w:r>
      <w:r w:rsidR="009D5CB1">
        <w:rPr>
          <w:noProof/>
        </w:rPr>
        <w:t xml:space="preserve"> </w:t>
      </w:r>
      <w:r w:rsidR="00C006E5" w:rsidRPr="00C006E5">
        <w:rPr>
          <w:noProof/>
        </w:rPr>
        <w:t>and enhances long-term resilience, competitiveness, and security of supply.</w:t>
      </w:r>
    </w:p>
    <w:p w14:paraId="42CBC6C8" w14:textId="2908C051" w:rsidR="00ED5B6D" w:rsidRDefault="4D243C83" w:rsidP="003A1E85">
      <w:pPr>
        <w:rPr>
          <w:noProof/>
        </w:rPr>
      </w:pPr>
      <w:r w:rsidRPr="00964C56">
        <w:rPr>
          <w:b/>
          <w:bCs/>
          <w:noProof/>
        </w:rPr>
        <w:t>Specific objective 4</w:t>
      </w:r>
      <w:r w:rsidRPr="00700B87">
        <w:rPr>
          <w:b/>
          <w:noProof/>
        </w:rPr>
        <w:t xml:space="preserve"> </w:t>
      </w:r>
      <w:r w:rsidRPr="00964C56">
        <w:rPr>
          <w:b/>
          <w:bCs/>
          <w:noProof/>
        </w:rPr>
        <w:t xml:space="preserve">(SO4): Contribute to the protection of </w:t>
      </w:r>
      <w:r w:rsidR="2C02E872">
        <w:rPr>
          <w:b/>
          <w:bCs/>
          <w:noProof/>
        </w:rPr>
        <w:t>public order</w:t>
      </w:r>
      <w:r w:rsidRPr="00964C56">
        <w:rPr>
          <w:b/>
          <w:bCs/>
          <w:noProof/>
        </w:rPr>
        <w:t xml:space="preserve"> by enhancing the resilience of supply of cloud and AI computing services, in particular in the public sector.</w:t>
      </w:r>
      <w:r w:rsidRPr="008B175A">
        <w:rPr>
          <w:noProof/>
          <w:szCs w:val="22"/>
        </w:rPr>
        <w:t xml:space="preserve"> </w:t>
      </w:r>
      <w:r w:rsidR="5F2E8250" w:rsidRPr="008B175A">
        <w:rPr>
          <w:noProof/>
          <w:szCs w:val="22"/>
        </w:rPr>
        <w:t>By 2035, 100% of</w:t>
      </w:r>
      <w:r w:rsidR="009F30E4" w:rsidRPr="008B175A">
        <w:rPr>
          <w:noProof/>
          <w:szCs w:val="22"/>
        </w:rPr>
        <w:t xml:space="preserve"> </w:t>
      </w:r>
      <w:r w:rsidR="00FC4AA9" w:rsidRPr="008B175A">
        <w:rPr>
          <w:noProof/>
          <w:szCs w:val="22"/>
        </w:rPr>
        <w:t xml:space="preserve">the </w:t>
      </w:r>
      <w:r w:rsidR="00B21C97" w:rsidRPr="008B175A">
        <w:rPr>
          <w:noProof/>
          <w:szCs w:val="22"/>
        </w:rPr>
        <w:t>highly</w:t>
      </w:r>
      <w:r w:rsidR="00FC4AA9" w:rsidRPr="008B175A">
        <w:rPr>
          <w:noProof/>
          <w:szCs w:val="22"/>
        </w:rPr>
        <w:t xml:space="preserve"> </w:t>
      </w:r>
      <w:r w:rsidR="009635AC" w:rsidRPr="008B175A">
        <w:rPr>
          <w:noProof/>
          <w:szCs w:val="22"/>
        </w:rPr>
        <w:t xml:space="preserve">critical </w:t>
      </w:r>
      <w:r w:rsidR="00FC4AA9" w:rsidRPr="008B175A">
        <w:rPr>
          <w:noProof/>
          <w:szCs w:val="22"/>
        </w:rPr>
        <w:t xml:space="preserve">use cases </w:t>
      </w:r>
      <w:r w:rsidR="00976FDC" w:rsidRPr="008B175A">
        <w:rPr>
          <w:noProof/>
          <w:szCs w:val="22"/>
        </w:rPr>
        <w:t>in</w:t>
      </w:r>
      <w:r w:rsidR="00FC4AA9" w:rsidRPr="008B175A">
        <w:rPr>
          <w:noProof/>
          <w:szCs w:val="22"/>
        </w:rPr>
        <w:t xml:space="preserve"> the </w:t>
      </w:r>
      <w:r w:rsidR="00976FDC" w:rsidRPr="008B175A">
        <w:rPr>
          <w:noProof/>
          <w:szCs w:val="22"/>
        </w:rPr>
        <w:t xml:space="preserve">public sector </w:t>
      </w:r>
      <w:r w:rsidR="5F2E8250" w:rsidRPr="008B175A">
        <w:rPr>
          <w:noProof/>
          <w:szCs w:val="22"/>
        </w:rPr>
        <w:t xml:space="preserve">should be operated using sovereign cloud and AI computing services to ensure data confidentiality, operational autonomy and prevent harms that could undermine public order. </w:t>
      </w:r>
      <w:r w:rsidR="00B21C97" w:rsidRPr="008B175A">
        <w:rPr>
          <w:noProof/>
          <w:szCs w:val="22"/>
        </w:rPr>
        <w:t>Highly critical</w:t>
      </w:r>
      <w:r w:rsidR="5F2E8250" w:rsidRPr="008B175A">
        <w:rPr>
          <w:noProof/>
          <w:szCs w:val="22"/>
        </w:rPr>
        <w:t xml:space="preserve"> use cases are </w:t>
      </w:r>
      <w:r w:rsidR="00DA0063" w:rsidRPr="008B175A">
        <w:rPr>
          <w:noProof/>
          <w:szCs w:val="22"/>
        </w:rPr>
        <w:t>those</w:t>
      </w:r>
      <w:r w:rsidR="5F2E8250" w:rsidRPr="008B175A">
        <w:rPr>
          <w:noProof/>
          <w:szCs w:val="22"/>
        </w:rPr>
        <w:t xml:space="preserve"> of </w:t>
      </w:r>
      <w:r w:rsidR="00DA0063" w:rsidRPr="008B175A">
        <w:rPr>
          <w:noProof/>
          <w:szCs w:val="22"/>
        </w:rPr>
        <w:t>a</w:t>
      </w:r>
      <w:r w:rsidR="5F2E8250" w:rsidRPr="008B175A">
        <w:rPr>
          <w:noProof/>
          <w:szCs w:val="22"/>
        </w:rPr>
        <w:t xml:space="preserve"> particular systemic importance and </w:t>
      </w:r>
      <w:r w:rsidR="0064463B" w:rsidRPr="008B175A">
        <w:rPr>
          <w:noProof/>
          <w:szCs w:val="22"/>
        </w:rPr>
        <w:t>that</w:t>
      </w:r>
      <w:r w:rsidR="5F2E8250" w:rsidRPr="008B175A">
        <w:rPr>
          <w:noProof/>
          <w:szCs w:val="22"/>
        </w:rPr>
        <w:t xml:space="preserve"> underpin essential functions or involve the processing of sensitive data. Ensuring that, for </w:t>
      </w:r>
      <w:r w:rsidR="00EC0988" w:rsidRPr="008B175A">
        <w:rPr>
          <w:noProof/>
          <w:szCs w:val="22"/>
        </w:rPr>
        <w:t>them</w:t>
      </w:r>
      <w:r w:rsidR="5F2E8250" w:rsidRPr="008B175A">
        <w:rPr>
          <w:noProof/>
          <w:szCs w:val="22"/>
        </w:rPr>
        <w:t>, data is protected</w:t>
      </w:r>
      <w:r w:rsidR="5F2E8250" w:rsidRPr="008B175A">
        <w:rPr>
          <w:b/>
          <w:noProof/>
          <w:szCs w:val="22"/>
        </w:rPr>
        <w:t>,</w:t>
      </w:r>
      <w:r w:rsidR="5F2E8250" w:rsidRPr="008B175A">
        <w:rPr>
          <w:noProof/>
          <w:szCs w:val="22"/>
        </w:rPr>
        <w:t xml:space="preserve"> and service continuity is guaranteed is a key element of attaining strategic autonomy. That is why these use cases are a priority for the move towards services whose provision is outside of the reach of third-country policies that could result in data access o</w:t>
      </w:r>
      <w:r w:rsidR="679627F5" w:rsidRPr="008B175A">
        <w:rPr>
          <w:noProof/>
          <w:szCs w:val="22"/>
        </w:rPr>
        <w:t>r</w:t>
      </w:r>
      <w:r w:rsidR="5F2E8250" w:rsidRPr="008B175A">
        <w:rPr>
          <w:noProof/>
          <w:szCs w:val="22"/>
        </w:rPr>
        <w:t xml:space="preserve"> interruptions to service continuity, i.e. sovereign services</w:t>
      </w:r>
      <w:r w:rsidR="00AA61D7" w:rsidRPr="00652E3B">
        <w:rPr>
          <w:noProof/>
          <w:vertAlign w:val="superscript"/>
        </w:rPr>
        <w:footnoteReference w:id="89"/>
      </w:r>
      <w:r w:rsidR="5F2E8250" w:rsidRPr="008B175A">
        <w:rPr>
          <w:noProof/>
          <w:szCs w:val="22"/>
        </w:rPr>
        <w:t>.</w:t>
      </w:r>
    </w:p>
    <w:p w14:paraId="7BC9FB31" w14:textId="4EBFB973" w:rsidR="00E61374" w:rsidRDefault="00E61374" w:rsidP="00E61374">
      <w:pPr>
        <w:pStyle w:val="Caption"/>
        <w:rPr>
          <w:noProof/>
        </w:rPr>
      </w:pPr>
      <w:r>
        <w:rPr>
          <w:noProof/>
        </w:rPr>
        <w:t>Figure</w:t>
      </w:r>
      <w:r w:rsidR="00F66054">
        <w:rPr>
          <w:noProof/>
        </w:rPr>
        <w:t xml:space="preserve"> </w:t>
      </w:r>
      <w:r>
        <w:rPr>
          <w:noProof/>
        </w:rPr>
        <w:fldChar w:fldCharType="begin"/>
      </w:r>
      <w:r>
        <w:rPr>
          <w:noProof/>
        </w:rPr>
        <w:instrText xml:space="preserve"> SEQ Figure \* ARABIC </w:instrText>
      </w:r>
      <w:r>
        <w:rPr>
          <w:noProof/>
        </w:rPr>
        <w:fldChar w:fldCharType="separate"/>
      </w:r>
      <w:r w:rsidR="00137E65">
        <w:rPr>
          <w:noProof/>
        </w:rPr>
        <w:t>5</w:t>
      </w:r>
      <w:r>
        <w:rPr>
          <w:noProof/>
        </w:rPr>
        <w:fldChar w:fldCharType="end"/>
      </w:r>
      <w:r>
        <w:rPr>
          <w:noProof/>
        </w:rPr>
        <w:t>. Illustrative summary of the problems, drivers and objectives associated with this initiative</w:t>
      </w:r>
    </w:p>
    <w:p w14:paraId="0EB687E8" w14:textId="690B5051" w:rsidR="00E61374" w:rsidRPr="00D37004" w:rsidRDefault="003D7A30" w:rsidP="00862C7B">
      <w:pPr>
        <w:rPr>
          <w:noProof/>
        </w:rPr>
      </w:pPr>
      <w:r>
        <w:rPr>
          <w:noProof/>
          <w:lang w:eastAsia="en-GB"/>
        </w:rPr>
        <w:drawing>
          <wp:inline distT="0" distB="0" distL="0" distR="0" wp14:anchorId="6304412E" wp14:editId="3133A685">
            <wp:extent cx="6097050" cy="2902688"/>
            <wp:effectExtent l="0" t="0" r="0" b="0"/>
            <wp:docPr id="1298001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9609" cy="2918189"/>
                    </a:xfrm>
                    <a:prstGeom prst="rect">
                      <a:avLst/>
                    </a:prstGeom>
                    <a:noFill/>
                  </pic:spPr>
                </pic:pic>
              </a:graphicData>
            </a:graphic>
          </wp:inline>
        </w:drawing>
      </w:r>
    </w:p>
    <w:p w14:paraId="44B3C109" w14:textId="77777777" w:rsidR="006B087E" w:rsidRPr="00F92EAE" w:rsidRDefault="006B087E" w:rsidP="000E3086">
      <w:pPr>
        <w:pStyle w:val="Heading1"/>
        <w:rPr>
          <w:noProof/>
        </w:rPr>
      </w:pPr>
      <w:bookmarkStart w:id="38" w:name="_Toc230792734"/>
      <w:r w:rsidRPr="00F92EAE">
        <w:rPr>
          <w:noProof/>
        </w:rPr>
        <w:t>What are the available policy options?</w:t>
      </w:r>
      <w:bookmarkEnd w:id="38"/>
    </w:p>
    <w:p w14:paraId="324B1E3F" w14:textId="77777777" w:rsidR="006B087E" w:rsidRPr="00F92EAE" w:rsidRDefault="006B087E" w:rsidP="000E3086">
      <w:pPr>
        <w:pStyle w:val="Heading2"/>
        <w:rPr>
          <w:noProof/>
        </w:rPr>
      </w:pPr>
      <w:bookmarkStart w:id="39" w:name="_Toc230792735"/>
      <w:r w:rsidRPr="00F92EAE">
        <w:rPr>
          <w:noProof/>
        </w:rPr>
        <w:t>What is the baseline from which options are assessed?</w:t>
      </w:r>
      <w:bookmarkEnd w:id="39"/>
    </w:p>
    <w:p w14:paraId="47499DB9" w14:textId="63D47500" w:rsidR="00E61374" w:rsidRPr="00D37004" w:rsidRDefault="00E61374" w:rsidP="00E61374">
      <w:pPr>
        <w:rPr>
          <w:b/>
          <w:noProof/>
        </w:rPr>
      </w:pPr>
      <w:r w:rsidRPr="00D37004">
        <w:rPr>
          <w:noProof/>
        </w:rPr>
        <w:t>The baseline scenario assumes that today’s policies and</w:t>
      </w:r>
      <w:r w:rsidRPr="00D37004" w:rsidDel="00337786">
        <w:rPr>
          <w:noProof/>
        </w:rPr>
        <w:t xml:space="preserve"> </w:t>
      </w:r>
      <w:r w:rsidRPr="00D37004">
        <w:rPr>
          <w:noProof/>
        </w:rPr>
        <w:t xml:space="preserve">regulations continue. </w:t>
      </w:r>
      <w:r>
        <w:rPr>
          <w:noProof/>
        </w:rPr>
        <w:t xml:space="preserve">Annex </w:t>
      </w:r>
      <w:r w:rsidR="00C81DF4">
        <w:rPr>
          <w:noProof/>
        </w:rPr>
        <w:t>9</w:t>
      </w:r>
      <w:r>
        <w:rPr>
          <w:noProof/>
        </w:rPr>
        <w:t xml:space="preserve"> presents the underlying assumptions</w:t>
      </w:r>
      <w:r w:rsidRPr="00D37004">
        <w:rPr>
          <w:noProof/>
        </w:rPr>
        <w:t>.</w:t>
      </w:r>
    </w:p>
    <w:p w14:paraId="6E34A961" w14:textId="22EC80DA" w:rsidR="00E61374" w:rsidRDefault="00E61374" w:rsidP="00E61374">
      <w:pPr>
        <w:rPr>
          <w:noProof/>
        </w:rPr>
      </w:pPr>
      <w:r w:rsidRPr="006A7ADA">
        <w:rPr>
          <w:noProof/>
        </w:rPr>
        <w:t>For the limited availability of computing capacity in the EU</w:t>
      </w:r>
      <w:r w:rsidRPr="00D37004">
        <w:rPr>
          <w:noProof/>
        </w:rPr>
        <w:t xml:space="preserve"> (P1), the </w:t>
      </w:r>
      <w:r>
        <w:rPr>
          <w:noProof/>
        </w:rPr>
        <w:t xml:space="preserve">baseline scenario considers the projection of EU </w:t>
      </w:r>
      <w:r w:rsidR="00372EDF">
        <w:rPr>
          <w:noProof/>
        </w:rPr>
        <w:t>DC</w:t>
      </w:r>
      <w:r>
        <w:rPr>
          <w:noProof/>
        </w:rPr>
        <w:t xml:space="preserve"> capacity in the absence of additional intervention in the period 2025-2036.</w:t>
      </w:r>
      <w:r w:rsidRPr="00D37004">
        <w:rPr>
          <w:noProof/>
        </w:rPr>
        <w:t xml:space="preserve"> </w:t>
      </w:r>
      <w:r>
        <w:rPr>
          <w:noProof/>
        </w:rPr>
        <w:t xml:space="preserve">Growth in the EU’s total installed compute capacity, measured in </w:t>
      </w:r>
      <w:r w:rsidR="00372EDF">
        <w:rPr>
          <w:noProof/>
        </w:rPr>
        <w:t>DC</w:t>
      </w:r>
      <w:r>
        <w:rPr>
          <w:noProof/>
        </w:rPr>
        <w:t xml:space="preserve"> IT load, is projected to reach around 42 GW by 2036, growing yearly by 12% over this period, yet demand for computing capacity is expected to increase by 13% over the same period, creating a structural capacity gap of 19 GW as seen in Figure 6 below</w:t>
      </w:r>
      <w:r w:rsidRPr="00D37004">
        <w:rPr>
          <w:noProof/>
        </w:rPr>
        <w:t xml:space="preserve">, </w:t>
      </w:r>
      <w:r>
        <w:rPr>
          <w:noProof/>
        </w:rPr>
        <w:t>across</w:t>
      </w:r>
      <w:r w:rsidRPr="00D37004">
        <w:rPr>
          <w:noProof/>
        </w:rPr>
        <w:t xml:space="preserve"> all capacity growth scenarios</w:t>
      </w:r>
      <w:r w:rsidRPr="00D37004">
        <w:rPr>
          <w:rStyle w:val="FootnoteReference"/>
          <w:noProof/>
        </w:rPr>
        <w:footnoteReference w:id="90"/>
      </w:r>
      <w:r w:rsidRPr="00D37004">
        <w:rPr>
          <w:noProof/>
        </w:rPr>
        <w:t>.</w:t>
      </w:r>
      <w:r w:rsidRPr="00D37004" w:rsidDel="009D25D7">
        <w:rPr>
          <w:noProof/>
        </w:rPr>
        <w:t xml:space="preserve"> </w:t>
      </w:r>
    </w:p>
    <w:p w14:paraId="7552F302" w14:textId="347309FA" w:rsidR="00E61374" w:rsidRPr="00D37004" w:rsidRDefault="00E61374" w:rsidP="00964C56">
      <w:pPr>
        <w:pStyle w:val="Caption"/>
        <w:spacing w:after="0"/>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6</w:t>
      </w:r>
      <w:r w:rsidRPr="00D37004">
        <w:rPr>
          <w:noProof/>
        </w:rPr>
        <w:fldChar w:fldCharType="end"/>
      </w:r>
      <w:r w:rsidRPr="00D37004">
        <w:rPr>
          <w:noProof/>
        </w:rPr>
        <w:t>. Evolution of the gap between data centre demand and supply</w:t>
      </w:r>
    </w:p>
    <w:p w14:paraId="0A418ED6" w14:textId="77777777" w:rsidR="00E61374" w:rsidRPr="00D37004" w:rsidRDefault="00E61374" w:rsidP="00ED5B6D">
      <w:pPr>
        <w:jc w:val="center"/>
        <w:rPr>
          <w:noProof/>
        </w:rPr>
      </w:pPr>
      <w:r w:rsidRPr="00D37004">
        <w:rPr>
          <w:noProof/>
          <w:lang w:eastAsia="en-GB"/>
        </w:rPr>
        <w:drawing>
          <wp:inline distT="0" distB="0" distL="0" distR="0" wp14:anchorId="381D1A79" wp14:editId="648B50C0">
            <wp:extent cx="5666400" cy="2602001"/>
            <wp:effectExtent l="0" t="0" r="0" b="0"/>
            <wp:docPr id="1009314817" name="Picture 1"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4817" name="Picture 1" descr="A graph on a black background&#10;&#10;AI-generated content may be incorrect."/>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686" r="2365" b="3029"/>
                    <a:stretch/>
                  </pic:blipFill>
                  <pic:spPr bwMode="auto">
                    <a:xfrm>
                      <a:off x="0" y="0"/>
                      <a:ext cx="5934531" cy="2725126"/>
                    </a:xfrm>
                    <a:prstGeom prst="rect">
                      <a:avLst/>
                    </a:prstGeom>
                    <a:noFill/>
                    <a:ln>
                      <a:noFill/>
                    </a:ln>
                    <a:extLst>
                      <a:ext uri="{53640926-AAD7-44D8-BBD7-CCE9431645EC}">
                        <a14:shadowObscured xmlns:a14="http://schemas.microsoft.com/office/drawing/2010/main"/>
                      </a:ext>
                    </a:extLst>
                  </pic:spPr>
                </pic:pic>
              </a:graphicData>
            </a:graphic>
          </wp:inline>
        </w:drawing>
      </w:r>
    </w:p>
    <w:p w14:paraId="10116C01" w14:textId="77777777" w:rsidR="00E61374" w:rsidRPr="007906D9" w:rsidRDefault="00E61374" w:rsidP="006B5183">
      <w:pPr>
        <w:pStyle w:val="Source"/>
        <w:rPr>
          <w:b/>
          <w:noProof/>
        </w:rPr>
      </w:pPr>
      <w:r w:rsidRPr="3556BE42">
        <w:rPr>
          <w:noProof/>
        </w:rPr>
        <w:t xml:space="preserve">Source: </w:t>
      </w:r>
      <w:r w:rsidRPr="256987EB">
        <w:rPr>
          <w:noProof/>
        </w:rPr>
        <w:t>Technopolis</w:t>
      </w:r>
      <w:r w:rsidRPr="3556BE42">
        <w:rPr>
          <w:noProof/>
        </w:rPr>
        <w:t xml:space="preserve"> et al. (2025)</w:t>
      </w:r>
      <w:r w:rsidRPr="3556BE42">
        <w:rPr>
          <w:rStyle w:val="EndnoteReference"/>
          <w:noProof/>
        </w:rPr>
        <w:endnoteReference w:id="161"/>
      </w:r>
    </w:p>
    <w:p w14:paraId="0769280D" w14:textId="6C6618A4" w:rsidR="00E61374" w:rsidRPr="00D37004" w:rsidRDefault="00372EDF" w:rsidP="00E61374">
      <w:pPr>
        <w:rPr>
          <w:noProof/>
        </w:rPr>
      </w:pPr>
      <w:r>
        <w:rPr>
          <w:noProof/>
        </w:rPr>
        <w:t>DC</w:t>
      </w:r>
      <w:r w:rsidR="00E61374">
        <w:rPr>
          <w:noProof/>
        </w:rPr>
        <w:t xml:space="preserve"> acceleration p</w:t>
      </w:r>
      <w:r w:rsidR="00E61374" w:rsidRPr="006F1EB9">
        <w:rPr>
          <w:noProof/>
        </w:rPr>
        <w:t>olic</w:t>
      </w:r>
      <w:r w:rsidR="00E61374">
        <w:rPr>
          <w:noProof/>
        </w:rPr>
        <w:t>ies and regulatory framework remain</w:t>
      </w:r>
      <w:r w:rsidR="00E61374" w:rsidRPr="006F1EB9">
        <w:rPr>
          <w:noProof/>
        </w:rPr>
        <w:t xml:space="preserve"> </w:t>
      </w:r>
      <w:r w:rsidR="00E61374">
        <w:rPr>
          <w:noProof/>
        </w:rPr>
        <w:t xml:space="preserve">non-harmonised </w:t>
      </w:r>
      <w:r w:rsidR="00E61374" w:rsidRPr="006F1EB9">
        <w:rPr>
          <w:noProof/>
        </w:rPr>
        <w:t>across Europe.</w:t>
      </w:r>
      <w:r w:rsidR="00E61374" w:rsidRPr="004A5303">
        <w:rPr>
          <w:b/>
          <w:noProof/>
          <w:kern w:val="2"/>
          <w:sz w:val="22"/>
          <w:szCs w:val="22"/>
        </w:rPr>
        <w:t xml:space="preserve"> </w:t>
      </w:r>
      <w:r w:rsidR="00E61374" w:rsidRPr="00D37004">
        <w:rPr>
          <w:noProof/>
        </w:rPr>
        <w:t xml:space="preserve">Some Member States would develop national strategies to make specific locations more attractive for </w:t>
      </w:r>
      <w:r>
        <w:rPr>
          <w:noProof/>
        </w:rPr>
        <w:t>DC</w:t>
      </w:r>
      <w:r w:rsidR="00E61374" w:rsidRPr="00D37004">
        <w:rPr>
          <w:noProof/>
        </w:rPr>
        <w:t xml:space="preserve"> operators. Outside of these possible strategies, bottlenecks such as lengthy permitting processes would persist</w:t>
      </w:r>
      <w:r w:rsidR="00E61374">
        <w:rPr>
          <w:noProof/>
        </w:rPr>
        <w:t xml:space="preserve"> and c</w:t>
      </w:r>
      <w:r w:rsidR="00E61374" w:rsidRPr="03757E6C">
        <w:rPr>
          <w:noProof/>
        </w:rPr>
        <w:t xml:space="preserve">apacity expansion </w:t>
      </w:r>
      <w:r w:rsidR="00E61374">
        <w:rPr>
          <w:noProof/>
        </w:rPr>
        <w:t>is expected to follow</w:t>
      </w:r>
      <w:r w:rsidR="00E61374" w:rsidRPr="03757E6C">
        <w:rPr>
          <w:noProof/>
        </w:rPr>
        <w:t xml:space="preserve"> </w:t>
      </w:r>
      <w:r w:rsidR="00E61374">
        <w:rPr>
          <w:noProof/>
        </w:rPr>
        <w:t xml:space="preserve">existing </w:t>
      </w:r>
      <w:r w:rsidR="00E61374" w:rsidRPr="03757E6C">
        <w:rPr>
          <w:noProof/>
        </w:rPr>
        <w:t>market trends</w:t>
      </w:r>
      <w:r w:rsidR="00E61374">
        <w:rPr>
          <w:noProof/>
        </w:rPr>
        <w:t>, i.e.</w:t>
      </w:r>
      <w:r w:rsidR="00E61374" w:rsidRPr="03757E6C">
        <w:rPr>
          <w:noProof/>
        </w:rPr>
        <w:t xml:space="preserve"> concentrated </w:t>
      </w:r>
      <w:r w:rsidR="00E61374">
        <w:rPr>
          <w:noProof/>
        </w:rPr>
        <w:t>around</w:t>
      </w:r>
      <w:r w:rsidR="00E61374" w:rsidRPr="03757E6C">
        <w:rPr>
          <w:noProof/>
        </w:rPr>
        <w:t xml:space="preserve"> existing hubs.</w:t>
      </w:r>
      <w:r w:rsidR="00E61374">
        <w:rPr>
          <w:noProof/>
        </w:rPr>
        <w:t xml:space="preserve"> Permitting delays, grid-connection queues and land-use restrictions would persist, with localised alleviation through national reforms.</w:t>
      </w:r>
      <w:r w:rsidR="00E61374" w:rsidRPr="00D37004">
        <w:rPr>
          <w:noProof/>
        </w:rPr>
        <w:t xml:space="preserve"> The Commission would continue pursuing greater transparency on the environmental performance of </w:t>
      </w:r>
      <w:r>
        <w:rPr>
          <w:noProof/>
        </w:rPr>
        <w:t>DC</w:t>
      </w:r>
      <w:r w:rsidR="00E61374" w:rsidRPr="00D37004">
        <w:rPr>
          <w:noProof/>
        </w:rPr>
        <w:t>, notably under the EED</w:t>
      </w:r>
      <w:r w:rsidR="00E61374" w:rsidRPr="00D37004">
        <w:rPr>
          <w:b/>
          <w:noProof/>
        </w:rPr>
        <w:t xml:space="preserve"> </w:t>
      </w:r>
      <w:r w:rsidR="00E61374" w:rsidRPr="00D37004">
        <w:rPr>
          <w:noProof/>
        </w:rPr>
        <w:t xml:space="preserve">and the upcoming review of the Taxonomy for Sustainable Finance. Industry may set additional sustainability targets, e.g. under the Climate Neutral Data Centre Pact. </w:t>
      </w:r>
      <w:r w:rsidR="00E61374">
        <w:rPr>
          <w:noProof/>
        </w:rPr>
        <w:t xml:space="preserve">Electricity grid constraints would become a binding factor in several Member States by the early 2030s as total </w:t>
      </w:r>
      <w:r>
        <w:rPr>
          <w:noProof/>
        </w:rPr>
        <w:t>DC</w:t>
      </w:r>
      <w:r w:rsidR="00E61374">
        <w:rPr>
          <w:noProof/>
        </w:rPr>
        <w:t xml:space="preserve"> demand surpasses 200 TWh. </w:t>
      </w:r>
      <w:r w:rsidR="00E61374" w:rsidRPr="03757E6C">
        <w:rPr>
          <w:noProof/>
        </w:rPr>
        <w:t xml:space="preserve">Under current conditions, </w:t>
      </w:r>
      <w:r w:rsidR="00C11A30">
        <w:rPr>
          <w:noProof/>
        </w:rPr>
        <w:t>the International Energy Agency has estimated that around</w:t>
      </w:r>
      <w:r w:rsidR="00C11A30" w:rsidRPr="03757E6C">
        <w:rPr>
          <w:noProof/>
        </w:rPr>
        <w:t xml:space="preserve"> </w:t>
      </w:r>
      <w:r w:rsidR="00C11A30">
        <w:rPr>
          <w:noProof/>
        </w:rPr>
        <w:t>20</w:t>
      </w:r>
      <w:r w:rsidR="00C11A30" w:rsidRPr="03757E6C">
        <w:rPr>
          <w:noProof/>
        </w:rPr>
        <w:t xml:space="preserve"> % of announced projects </w:t>
      </w:r>
      <w:r w:rsidR="00C11A30">
        <w:rPr>
          <w:noProof/>
        </w:rPr>
        <w:t xml:space="preserve">worldwide are expected to </w:t>
      </w:r>
      <w:r w:rsidR="00C11A30" w:rsidRPr="03757E6C">
        <w:rPr>
          <w:noProof/>
        </w:rPr>
        <w:t>experience significant delay or downsizing</w:t>
      </w:r>
      <w:r w:rsidR="00C11A30">
        <w:rPr>
          <w:rStyle w:val="EndnoteReference"/>
          <w:noProof/>
        </w:rPr>
        <w:endnoteReference w:id="162"/>
      </w:r>
      <w:r w:rsidR="00C11A30">
        <w:rPr>
          <w:noProof/>
        </w:rPr>
        <w:t xml:space="preserve">. </w:t>
      </w:r>
      <w:r w:rsidR="00E61374" w:rsidRPr="00D37004">
        <w:rPr>
          <w:noProof/>
        </w:rPr>
        <w:t xml:space="preserve">Public investment would remain focused on high-performance compute infrastructure for the training of large AI models (AI Factories, Gigafactories). </w:t>
      </w:r>
      <w:r w:rsidR="00E61374" w:rsidRPr="03757E6C">
        <w:rPr>
          <w:noProof/>
        </w:rPr>
        <w:t xml:space="preserve">Under policy option 0, </w:t>
      </w:r>
      <w:r w:rsidR="00E61374">
        <w:rPr>
          <w:noProof/>
        </w:rPr>
        <w:t>the EU</w:t>
      </w:r>
      <w:r w:rsidR="00E61374" w:rsidRPr="03757E6C">
        <w:rPr>
          <w:noProof/>
        </w:rPr>
        <w:t xml:space="preserve">’s compute supply increases in absolute terms but lags </w:t>
      </w:r>
      <w:r w:rsidR="00E61374">
        <w:rPr>
          <w:noProof/>
        </w:rPr>
        <w:t xml:space="preserve">well </w:t>
      </w:r>
      <w:r w:rsidR="00E61374" w:rsidRPr="03757E6C">
        <w:rPr>
          <w:noProof/>
        </w:rPr>
        <w:t xml:space="preserve">behind </w:t>
      </w:r>
      <w:r w:rsidR="00E61374">
        <w:rPr>
          <w:noProof/>
        </w:rPr>
        <w:t xml:space="preserve">other regions, as shown in </w:t>
      </w:r>
      <w:r w:rsidR="00E61374">
        <w:rPr>
          <w:noProof/>
        </w:rPr>
        <w:fldChar w:fldCharType="begin"/>
      </w:r>
      <w:r w:rsidR="00E61374">
        <w:rPr>
          <w:noProof/>
        </w:rPr>
        <w:instrText xml:space="preserve"> REF _Ref215840957 \h </w:instrText>
      </w:r>
      <w:r w:rsidR="00E61374">
        <w:rPr>
          <w:noProof/>
        </w:rPr>
      </w:r>
      <w:r w:rsidR="00E61374">
        <w:rPr>
          <w:noProof/>
        </w:rPr>
        <w:fldChar w:fldCharType="separate"/>
      </w:r>
      <w:r w:rsidR="00137E65" w:rsidRPr="00D37004">
        <w:rPr>
          <w:noProof/>
        </w:rPr>
        <w:t xml:space="preserve">Figure </w:t>
      </w:r>
      <w:r w:rsidR="00137E65">
        <w:rPr>
          <w:noProof/>
        </w:rPr>
        <w:t>7</w:t>
      </w:r>
      <w:r w:rsidR="00E61374">
        <w:rPr>
          <w:noProof/>
        </w:rPr>
        <w:fldChar w:fldCharType="end"/>
      </w:r>
      <w:r w:rsidR="00E61374">
        <w:rPr>
          <w:noProof/>
        </w:rPr>
        <w:t xml:space="preserve"> below.</w:t>
      </w:r>
      <w:r w:rsidR="00E61374" w:rsidRPr="03757E6C">
        <w:rPr>
          <w:noProof/>
        </w:rPr>
        <w:t xml:space="preserve"> North America and Asia-Pacific expand faster</w:t>
      </w:r>
      <w:r w:rsidR="00E61374" w:rsidRPr="005C693F">
        <w:rPr>
          <w:noProof/>
        </w:rPr>
        <w:t>,</w:t>
      </w:r>
      <w:r w:rsidR="00E61374" w:rsidRPr="03757E6C">
        <w:rPr>
          <w:noProof/>
        </w:rPr>
        <w:t xml:space="preserve"> increasing their share of global compute. This trend risks constraining AI model training and cloud workloads within the EU, particularly for SMEs and public</w:t>
      </w:r>
      <w:r w:rsidR="00E61374">
        <w:rPr>
          <w:noProof/>
        </w:rPr>
        <w:t xml:space="preserve"> </w:t>
      </w:r>
      <w:r w:rsidR="00E61374" w:rsidRPr="03757E6C">
        <w:rPr>
          <w:noProof/>
        </w:rPr>
        <w:t>sector users</w:t>
      </w:r>
      <w:r w:rsidR="00E61374">
        <w:rPr>
          <w:noProof/>
        </w:rPr>
        <w:t>.</w:t>
      </w:r>
    </w:p>
    <w:p w14:paraId="68322B59" w14:textId="3DE366FB" w:rsidR="00E61374" w:rsidRPr="00D37004" w:rsidRDefault="00E61374" w:rsidP="00964C56">
      <w:pPr>
        <w:pStyle w:val="Caption"/>
        <w:spacing w:after="0"/>
        <w:rPr>
          <w:noProof/>
        </w:rPr>
      </w:pPr>
      <w:bookmarkStart w:id="40" w:name="_Ref215840957"/>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7</w:t>
      </w:r>
      <w:r w:rsidRPr="00D37004">
        <w:rPr>
          <w:noProof/>
        </w:rPr>
        <w:fldChar w:fldCharType="end"/>
      </w:r>
      <w:bookmarkEnd w:id="40"/>
      <w:r w:rsidRPr="00D37004">
        <w:rPr>
          <w:noProof/>
        </w:rPr>
        <w:t>. Forecast of data centre capacity in the EU-27 vs ROW from 2025 to 2030</w:t>
      </w:r>
    </w:p>
    <w:p w14:paraId="67B5F11D" w14:textId="77777777" w:rsidR="00E61374" w:rsidRPr="00D37004" w:rsidRDefault="00E61374" w:rsidP="00043DCE">
      <w:pPr>
        <w:jc w:val="center"/>
        <w:rPr>
          <w:noProof/>
        </w:rPr>
      </w:pPr>
      <w:r w:rsidRPr="00D37004">
        <w:rPr>
          <w:noProof/>
          <w:lang w:eastAsia="en-GB"/>
        </w:rPr>
        <w:drawing>
          <wp:inline distT="0" distB="0" distL="0" distR="0" wp14:anchorId="0077B440" wp14:editId="347D1EA4">
            <wp:extent cx="4881600" cy="2044214"/>
            <wp:effectExtent l="0" t="0" r="0" b="0"/>
            <wp:docPr id="520486358" name="Picture 3"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86358" name="Picture 3" descr="A graph of a number of people&#10;&#10;AI-generated content may be incorrect."/>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3893"/>
                    <a:stretch/>
                  </pic:blipFill>
                  <pic:spPr bwMode="auto">
                    <a:xfrm>
                      <a:off x="0" y="0"/>
                      <a:ext cx="4973418" cy="2082664"/>
                    </a:xfrm>
                    <a:prstGeom prst="rect">
                      <a:avLst/>
                    </a:prstGeom>
                    <a:noFill/>
                    <a:ln>
                      <a:noFill/>
                    </a:ln>
                    <a:extLst>
                      <a:ext uri="{53640926-AAD7-44D8-BBD7-CCE9431645EC}">
                        <a14:shadowObscured xmlns:a14="http://schemas.microsoft.com/office/drawing/2010/main"/>
                      </a:ext>
                    </a:extLst>
                  </pic:spPr>
                </pic:pic>
              </a:graphicData>
            </a:graphic>
          </wp:inline>
        </w:drawing>
      </w:r>
    </w:p>
    <w:p w14:paraId="49EFC212" w14:textId="77777777" w:rsidR="00E61374" w:rsidRPr="00473A90" w:rsidRDefault="00E61374" w:rsidP="00E24982">
      <w:pPr>
        <w:pStyle w:val="Source"/>
        <w:rPr>
          <w:b/>
          <w:noProof/>
        </w:rPr>
      </w:pPr>
      <w:r w:rsidRPr="06CEF462">
        <w:rPr>
          <w:noProof/>
        </w:rPr>
        <w:t xml:space="preserve">Source: </w:t>
      </w:r>
      <w:r w:rsidRPr="4E33F76D">
        <w:rPr>
          <w:noProof/>
        </w:rPr>
        <w:t>Technopolis</w:t>
      </w:r>
      <w:r w:rsidRPr="06CEF462">
        <w:rPr>
          <w:noProof/>
        </w:rPr>
        <w:t xml:space="preserve"> et al. (2025)</w:t>
      </w:r>
      <w:r w:rsidRPr="06CEF462">
        <w:rPr>
          <w:rStyle w:val="EndnoteReference"/>
          <w:noProof/>
        </w:rPr>
        <w:endnoteReference w:id="163"/>
      </w:r>
    </w:p>
    <w:p w14:paraId="6217A6F8" w14:textId="51FA7E6F" w:rsidR="006347D7" w:rsidRDefault="00E61374" w:rsidP="006347D7">
      <w:pPr>
        <w:rPr>
          <w:noProof/>
        </w:rPr>
      </w:pPr>
      <w:r w:rsidRPr="294AF3FA">
        <w:rPr>
          <w:noProof/>
        </w:rPr>
        <w:t xml:space="preserve">For the </w:t>
      </w:r>
      <w:r>
        <w:rPr>
          <w:noProof/>
        </w:rPr>
        <w:t xml:space="preserve">dependence on cloud and AI computing services supplied by non-European providers </w:t>
      </w:r>
      <w:r w:rsidRPr="00D37004">
        <w:rPr>
          <w:noProof/>
        </w:rPr>
        <w:t xml:space="preserve">(P2), the baseline </w:t>
      </w:r>
      <w:r>
        <w:rPr>
          <w:noProof/>
        </w:rPr>
        <w:t xml:space="preserve">scenario considers that the market share of European </w:t>
      </w:r>
      <w:r w:rsidRPr="00D37004">
        <w:rPr>
          <w:noProof/>
        </w:rPr>
        <w:t>service providers</w:t>
      </w:r>
      <w:r>
        <w:rPr>
          <w:noProof/>
        </w:rPr>
        <w:t xml:space="preserve"> (15%) will remain stable despite the opportunities that a growing market can offer. The Policy 0 scenario</w:t>
      </w:r>
      <w:r w:rsidRPr="00D37004" w:rsidDel="00A35F5D">
        <w:rPr>
          <w:noProof/>
        </w:rPr>
        <w:t xml:space="preserve"> </w:t>
      </w:r>
      <w:r>
        <w:rPr>
          <w:noProof/>
        </w:rPr>
        <w:t>reflects</w:t>
      </w:r>
      <w:r w:rsidRPr="00D37004">
        <w:rPr>
          <w:noProof/>
        </w:rPr>
        <w:t xml:space="preserve"> continued efforts under the Data Act to ensure cloud switching or parallel use of several providers.</w:t>
      </w:r>
      <w:r w:rsidR="0087605B">
        <w:rPr>
          <w:noProof/>
        </w:rPr>
        <w:t xml:space="preserve"> Given the recent adoption of the Data Act,</w:t>
      </w:r>
      <w:r w:rsidR="00A01CF8" w:rsidRPr="00D42EE1">
        <w:rPr>
          <w:noProof/>
          <w:lang w:val="en-IE"/>
        </w:rPr>
        <w:t xml:space="preserve"> its full effects will take time to materialise.</w:t>
      </w:r>
      <w:r w:rsidR="00D64A19">
        <w:rPr>
          <w:noProof/>
          <w:lang w:val="en-IE"/>
        </w:rPr>
        <w:t xml:space="preserve"> </w:t>
      </w:r>
      <w:r w:rsidR="007128A6">
        <w:rPr>
          <w:noProof/>
          <w:lang w:val="en-IE"/>
        </w:rPr>
        <w:t xml:space="preserve">The standard clauses recommended </w:t>
      </w:r>
      <w:r w:rsidR="00B363F5">
        <w:rPr>
          <w:noProof/>
          <w:lang w:val="en-IE"/>
        </w:rPr>
        <w:t xml:space="preserve">will allow for an easier </w:t>
      </w:r>
      <w:r w:rsidR="003D4FDA">
        <w:rPr>
          <w:noProof/>
          <w:lang w:val="en-IE"/>
        </w:rPr>
        <w:t>switching of cloud services</w:t>
      </w:r>
      <w:r w:rsidR="00FC60AF">
        <w:rPr>
          <w:noProof/>
          <w:lang w:val="en-IE"/>
        </w:rPr>
        <w:t xml:space="preserve">, whose consequences will be observable </w:t>
      </w:r>
      <w:r w:rsidR="00CD1493">
        <w:rPr>
          <w:noProof/>
          <w:lang w:val="en-IE"/>
        </w:rPr>
        <w:t xml:space="preserve">as they are progressively adopted. </w:t>
      </w:r>
      <w:r w:rsidR="009306F7">
        <w:rPr>
          <w:noProof/>
          <w:lang w:val="en-IE"/>
        </w:rPr>
        <w:t>For the interoperability aspects</w:t>
      </w:r>
      <w:r w:rsidR="00592198">
        <w:rPr>
          <w:noProof/>
          <w:lang w:val="en-IE"/>
        </w:rPr>
        <w:t xml:space="preserve">, the effects </w:t>
      </w:r>
      <w:r w:rsidR="0094758A">
        <w:rPr>
          <w:noProof/>
          <w:lang w:val="en-IE"/>
        </w:rPr>
        <w:t>are expected</w:t>
      </w:r>
      <w:r w:rsidR="001B1ACD">
        <w:rPr>
          <w:noProof/>
          <w:lang w:val="en-IE"/>
        </w:rPr>
        <w:t xml:space="preserve"> to</w:t>
      </w:r>
      <w:r w:rsidR="00B20592">
        <w:rPr>
          <w:noProof/>
          <w:lang w:val="en-IE"/>
        </w:rPr>
        <w:t xml:space="preserve"> take longer to materialize </w:t>
      </w:r>
      <w:r w:rsidR="007344AE">
        <w:rPr>
          <w:noProof/>
          <w:lang w:val="en-IE"/>
        </w:rPr>
        <w:t xml:space="preserve">given the low number of </w:t>
      </w:r>
      <w:r w:rsidR="009602AE">
        <w:rPr>
          <w:noProof/>
          <w:lang w:val="en-IE"/>
        </w:rPr>
        <w:t xml:space="preserve">existing </w:t>
      </w:r>
      <w:r w:rsidR="007344AE">
        <w:rPr>
          <w:noProof/>
          <w:lang w:val="en-IE"/>
        </w:rPr>
        <w:t>open specifications and harmonized standards addressing the issue</w:t>
      </w:r>
      <w:r w:rsidR="009602AE">
        <w:rPr>
          <w:noProof/>
          <w:lang w:val="en-IE"/>
        </w:rPr>
        <w:t xml:space="preserve">, that would become of mandatory application for providers </w:t>
      </w:r>
      <w:r w:rsidR="000F62B3">
        <w:rPr>
          <w:noProof/>
          <w:lang w:val="en-IE"/>
        </w:rPr>
        <w:t xml:space="preserve">following the mechanisms envisioned in the Act. </w:t>
      </w:r>
      <w:r w:rsidR="00E5704E">
        <w:rPr>
          <w:noProof/>
          <w:lang w:val="en-IE"/>
        </w:rPr>
        <w:t xml:space="preserve">The Data Act empowers the Commission </w:t>
      </w:r>
      <w:r w:rsidR="0035098C">
        <w:rPr>
          <w:noProof/>
          <w:lang w:val="en-IE"/>
        </w:rPr>
        <w:t>to</w:t>
      </w:r>
      <w:r w:rsidR="007344AE">
        <w:rPr>
          <w:noProof/>
          <w:lang w:val="en-IE"/>
        </w:rPr>
        <w:t xml:space="preserve"> </w:t>
      </w:r>
      <w:r w:rsidR="00D14990">
        <w:rPr>
          <w:noProof/>
          <w:lang w:val="en-IE"/>
        </w:rPr>
        <w:t>further standardization requestions</w:t>
      </w:r>
      <w:r w:rsidR="00973B87">
        <w:rPr>
          <w:noProof/>
          <w:lang w:val="en-IE"/>
        </w:rPr>
        <w:t xml:space="preserve"> and </w:t>
      </w:r>
      <w:r w:rsidR="000E29E8">
        <w:rPr>
          <w:noProof/>
          <w:lang w:val="en-IE"/>
        </w:rPr>
        <w:t xml:space="preserve">the </w:t>
      </w:r>
      <w:r w:rsidR="00973B87">
        <w:rPr>
          <w:noProof/>
          <w:lang w:val="en-IE"/>
        </w:rPr>
        <w:t xml:space="preserve">adoption of </w:t>
      </w:r>
      <w:r w:rsidR="000E29E8">
        <w:rPr>
          <w:noProof/>
          <w:lang w:val="en-IE"/>
        </w:rPr>
        <w:t>open specifications compliant with the Data Act and that are published at a later stage</w:t>
      </w:r>
      <w:r w:rsidR="00D14990">
        <w:rPr>
          <w:noProof/>
          <w:lang w:val="en-IE"/>
        </w:rPr>
        <w:t xml:space="preserve">. </w:t>
      </w:r>
      <w:r>
        <w:rPr>
          <w:noProof/>
        </w:rPr>
        <w:t>Pursuant to the recently launched investigation, a</w:t>
      </w:r>
      <w:r w:rsidRPr="00D37004">
        <w:rPr>
          <w:noProof/>
        </w:rPr>
        <w:t xml:space="preserve"> potential designation of large </w:t>
      </w:r>
      <w:r w:rsidR="007177B6">
        <w:rPr>
          <w:noProof/>
        </w:rPr>
        <w:t>CSPs</w:t>
      </w:r>
      <w:r w:rsidRPr="00D37004">
        <w:rPr>
          <w:noProof/>
        </w:rPr>
        <w:t xml:space="preserve"> as gatekeepers under the Digital Markets Act may further open the market</w:t>
      </w:r>
      <w:r>
        <w:rPr>
          <w:rStyle w:val="EndnoteReference"/>
          <w:noProof/>
        </w:rPr>
        <w:endnoteReference w:id="164"/>
      </w:r>
      <w:r w:rsidRPr="00D37004">
        <w:rPr>
          <w:noProof/>
        </w:rPr>
        <w:t xml:space="preserve">. The revision of the </w:t>
      </w:r>
      <w:r w:rsidR="00C17C9D">
        <w:rPr>
          <w:noProof/>
        </w:rPr>
        <w:t>CSA</w:t>
      </w:r>
      <w:r w:rsidRPr="00D37004">
        <w:rPr>
          <w:noProof/>
        </w:rPr>
        <w:t xml:space="preserve"> could enhance the security </w:t>
      </w:r>
      <w:r>
        <w:rPr>
          <w:noProof/>
        </w:rPr>
        <w:t xml:space="preserve">and resilience </w:t>
      </w:r>
      <w:r w:rsidRPr="00D37004">
        <w:rPr>
          <w:noProof/>
        </w:rPr>
        <w:t xml:space="preserve">of ICT supply chains including for cloud </w:t>
      </w:r>
      <w:r>
        <w:rPr>
          <w:noProof/>
        </w:rPr>
        <w:t>and</w:t>
      </w:r>
      <w:r w:rsidRPr="00D37004">
        <w:rPr>
          <w:noProof/>
        </w:rPr>
        <w:t xml:space="preserve"> AI </w:t>
      </w:r>
      <w:r>
        <w:rPr>
          <w:noProof/>
        </w:rPr>
        <w:t xml:space="preserve">computing </w:t>
      </w:r>
      <w:r w:rsidRPr="00D37004">
        <w:rPr>
          <w:noProof/>
        </w:rPr>
        <w:t xml:space="preserve">services. The IPCEI-CIS will continue to support the participating European providers in the development of a multi-tenant cloud-to-edge software paradigm. The activities of the European Alliance on Industrial Data, Edge and Cloud will continue to enhance cooperation among European providers. The Commission would pursue investment in </w:t>
      </w:r>
      <w:r w:rsidR="009E001D">
        <w:rPr>
          <w:noProof/>
        </w:rPr>
        <w:t>OSS</w:t>
      </w:r>
      <w:r w:rsidRPr="00D37004">
        <w:rPr>
          <w:noProof/>
        </w:rPr>
        <w:t xml:space="preserve">, such as Simpl, or the Open Internet Stack. While these may positively affect the uptake of cloud and AI </w:t>
      </w:r>
      <w:r>
        <w:rPr>
          <w:noProof/>
        </w:rPr>
        <w:t>computing</w:t>
      </w:r>
      <w:r w:rsidRPr="00D37004">
        <w:rPr>
          <w:noProof/>
        </w:rPr>
        <w:t xml:space="preserve"> services, they should be balanced against the problems and drivers spelled out in section 2. Without a common understanding of </w:t>
      </w:r>
      <w:r w:rsidR="00CD62D4">
        <w:rPr>
          <w:noProof/>
        </w:rPr>
        <w:t>what</w:t>
      </w:r>
      <w:r w:rsidRPr="00D37004">
        <w:rPr>
          <w:noProof/>
        </w:rPr>
        <w:t xml:space="preserve"> a sovereign service</w:t>
      </w:r>
      <w:r w:rsidR="00CD62D4">
        <w:rPr>
          <w:noProof/>
        </w:rPr>
        <w:t xml:space="preserve"> entails</w:t>
      </w:r>
      <w:r w:rsidRPr="00D37004">
        <w:rPr>
          <w:noProof/>
        </w:rPr>
        <w:t>, providers can promise a</w:t>
      </w:r>
      <w:r w:rsidRPr="294AF3FA">
        <w:rPr>
          <w:noProof/>
        </w:rPr>
        <w:t xml:space="preserve"> </w:t>
      </w:r>
      <w:r w:rsidRPr="00D37004">
        <w:rPr>
          <w:noProof/>
        </w:rPr>
        <w:t xml:space="preserve">sovereign service to customers without clarity on its substance. This could lead to </w:t>
      </w:r>
      <w:r>
        <w:rPr>
          <w:noProof/>
        </w:rPr>
        <w:t>continuous</w:t>
      </w:r>
      <w:r w:rsidRPr="00D37004">
        <w:rPr>
          <w:noProof/>
        </w:rPr>
        <w:t xml:space="preserve"> uncertainty for </w:t>
      </w:r>
      <w:r>
        <w:rPr>
          <w:noProof/>
        </w:rPr>
        <w:t xml:space="preserve">service </w:t>
      </w:r>
      <w:r w:rsidRPr="00D37004">
        <w:rPr>
          <w:noProof/>
        </w:rPr>
        <w:t xml:space="preserve">providers and users, particularly in the public sector. The absence of an EU-level cloud cybersecurity certification scheme </w:t>
      </w:r>
      <w:r>
        <w:rPr>
          <w:noProof/>
        </w:rPr>
        <w:t xml:space="preserve">is already </w:t>
      </w:r>
      <w:r w:rsidRPr="00D37004">
        <w:rPr>
          <w:noProof/>
        </w:rPr>
        <w:t>result</w:t>
      </w:r>
      <w:r>
        <w:rPr>
          <w:noProof/>
        </w:rPr>
        <w:t>ing</w:t>
      </w:r>
      <w:r w:rsidRPr="00D37004">
        <w:rPr>
          <w:noProof/>
        </w:rPr>
        <w:t xml:space="preserve"> in national approaches</w:t>
      </w:r>
      <w:r>
        <w:rPr>
          <w:noProof/>
        </w:rPr>
        <w:t>,</w:t>
      </w:r>
      <w:r w:rsidRPr="00D37004">
        <w:rPr>
          <w:noProof/>
        </w:rPr>
        <w:t xml:space="preserve"> fragmenting the internal market. </w:t>
      </w:r>
      <w:r>
        <w:rPr>
          <w:noProof/>
        </w:rPr>
        <w:t>Finally, the</w:t>
      </w:r>
      <w:r w:rsidRPr="00D37004">
        <w:rPr>
          <w:noProof/>
        </w:rPr>
        <w:t xml:space="preserve"> ongoing parallel work on the Capital Markets Union strategy should address the question </w:t>
      </w:r>
      <w:r>
        <w:rPr>
          <w:noProof/>
        </w:rPr>
        <w:t xml:space="preserve">of availability of private capital </w:t>
      </w:r>
      <w:r w:rsidRPr="00D37004">
        <w:rPr>
          <w:noProof/>
        </w:rPr>
        <w:t>more structurally.</w:t>
      </w:r>
      <w:r>
        <w:rPr>
          <w:noProof/>
        </w:rPr>
        <w:t xml:space="preserve"> Against this backdrop, the baseline considers three scenarios of how the market share and revenues of European service providers will evolve in the period 2025 - 2036 without additional measures:</w:t>
      </w:r>
    </w:p>
    <w:p w14:paraId="0DF512E5" w14:textId="61526EF1" w:rsidR="00E61374" w:rsidRDefault="00DB4720" w:rsidP="006112D5">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3</w:t>
      </w:r>
      <w:r>
        <w:rPr>
          <w:noProof/>
        </w:rPr>
        <w:fldChar w:fldCharType="end"/>
      </w:r>
      <w:r>
        <w:rPr>
          <w:noProof/>
        </w:rPr>
        <w:t>. Baseline scenario for Problem 2</w:t>
      </w:r>
      <w:r w:rsidR="00E61374">
        <w:rPr>
          <w:noProof/>
        </w:rPr>
        <w:t xml:space="preserve"> </w:t>
      </w:r>
    </w:p>
    <w:tbl>
      <w:tblPr>
        <w:tblW w:w="5000" w:type="pct"/>
        <w:tblLook w:val="04A0" w:firstRow="1" w:lastRow="0" w:firstColumn="1" w:lastColumn="0" w:noHBand="0" w:noVBand="1"/>
      </w:tblPr>
      <w:tblGrid>
        <w:gridCol w:w="3044"/>
        <w:gridCol w:w="1812"/>
        <w:gridCol w:w="2351"/>
        <w:gridCol w:w="2506"/>
      </w:tblGrid>
      <w:tr w:rsidR="00005544" w:rsidRPr="00355103" w14:paraId="6B85BE54" w14:textId="77777777" w:rsidTr="00976B53">
        <w:trPr>
          <w:trHeight w:val="760"/>
          <w:tblHeader/>
        </w:trPr>
        <w:tc>
          <w:tcPr>
            <w:tcW w:w="1567" w:type="pct"/>
            <w:tcBorders>
              <w:bottom w:val="single" w:sz="4" w:space="0" w:color="auto"/>
            </w:tcBorders>
            <w:noWrap/>
            <w:vAlign w:val="center"/>
            <w:hideMark/>
          </w:tcPr>
          <w:p w14:paraId="0DE29351" w14:textId="77777777" w:rsidR="00E61374" w:rsidRPr="0004598D" w:rsidRDefault="00E61374" w:rsidP="00D446B0">
            <w:pPr>
              <w:spacing w:after="0"/>
              <w:jc w:val="center"/>
              <w:rPr>
                <w:i/>
                <w:iCs/>
                <w:noProof/>
                <w:sz w:val="20"/>
                <w:szCs w:val="20"/>
                <w:lang w:eastAsia="en-IE"/>
              </w:rPr>
            </w:pPr>
            <w:r w:rsidRPr="0004598D">
              <w:rPr>
                <w:i/>
                <w:iCs/>
                <w:noProof/>
                <w:sz w:val="20"/>
                <w:szCs w:val="20"/>
                <w:lang w:eastAsia="en-IE"/>
              </w:rPr>
              <w:t>Scenario</w:t>
            </w:r>
          </w:p>
        </w:tc>
        <w:tc>
          <w:tcPr>
            <w:tcW w:w="933" w:type="pct"/>
            <w:tcBorders>
              <w:bottom w:val="single" w:sz="4" w:space="0" w:color="auto"/>
            </w:tcBorders>
            <w:vAlign w:val="center"/>
            <w:hideMark/>
          </w:tcPr>
          <w:p w14:paraId="483A3FC6" w14:textId="77777777" w:rsidR="00E61374" w:rsidRPr="0004598D" w:rsidRDefault="00E61374" w:rsidP="00D446B0">
            <w:pPr>
              <w:spacing w:after="0"/>
              <w:jc w:val="center"/>
              <w:rPr>
                <w:i/>
                <w:iCs/>
                <w:noProof/>
                <w:sz w:val="20"/>
                <w:szCs w:val="20"/>
                <w:lang w:eastAsia="en-IE"/>
              </w:rPr>
            </w:pPr>
            <w:r w:rsidRPr="0004598D">
              <w:rPr>
                <w:i/>
                <w:iCs/>
                <w:noProof/>
                <w:sz w:val="20"/>
                <w:szCs w:val="20"/>
                <w:lang w:eastAsia="en-IE"/>
              </w:rPr>
              <w:t>Market share of EU providers in 2036</w:t>
            </w:r>
          </w:p>
        </w:tc>
        <w:tc>
          <w:tcPr>
            <w:tcW w:w="1210" w:type="pct"/>
            <w:tcBorders>
              <w:bottom w:val="single" w:sz="4" w:space="0" w:color="auto"/>
            </w:tcBorders>
            <w:vAlign w:val="center"/>
            <w:hideMark/>
          </w:tcPr>
          <w:p w14:paraId="7DAD755A" w14:textId="77777777" w:rsidR="00E61374" w:rsidRPr="0004598D" w:rsidRDefault="00E61374" w:rsidP="00D446B0">
            <w:pPr>
              <w:spacing w:after="0"/>
              <w:jc w:val="center"/>
              <w:rPr>
                <w:i/>
                <w:iCs/>
                <w:noProof/>
                <w:sz w:val="20"/>
                <w:szCs w:val="20"/>
                <w:lang w:val="fr-BE" w:eastAsia="en-IE"/>
              </w:rPr>
            </w:pPr>
            <w:r w:rsidRPr="0004598D">
              <w:rPr>
                <w:i/>
                <w:iCs/>
                <w:noProof/>
                <w:sz w:val="20"/>
                <w:szCs w:val="20"/>
                <w:lang w:val="fr-BE" w:eastAsia="en-IE"/>
              </w:rPr>
              <w:t>Cumulative revenues of EU providers (2025 – 2036) (EUR bn)</w:t>
            </w:r>
          </w:p>
        </w:tc>
        <w:tc>
          <w:tcPr>
            <w:tcW w:w="1290" w:type="pct"/>
            <w:tcBorders>
              <w:bottom w:val="single" w:sz="4" w:space="0" w:color="auto"/>
            </w:tcBorders>
            <w:vAlign w:val="center"/>
            <w:hideMark/>
          </w:tcPr>
          <w:p w14:paraId="027C0984" w14:textId="77777777" w:rsidR="00E61374" w:rsidRPr="0004598D" w:rsidRDefault="00E61374" w:rsidP="00D446B0">
            <w:pPr>
              <w:spacing w:after="0"/>
              <w:jc w:val="center"/>
              <w:rPr>
                <w:i/>
                <w:iCs/>
                <w:noProof/>
                <w:sz w:val="20"/>
                <w:szCs w:val="20"/>
                <w:lang w:val="fr-BE" w:eastAsia="en-IE"/>
              </w:rPr>
            </w:pPr>
            <w:r w:rsidRPr="0004598D">
              <w:rPr>
                <w:i/>
                <w:iCs/>
                <w:noProof/>
                <w:sz w:val="20"/>
                <w:szCs w:val="20"/>
                <w:lang w:val="fr-BE" w:eastAsia="en-IE"/>
              </w:rPr>
              <w:t>Cumulative revenues of non-EU providers (2025 – 2036) (EUR bn)</w:t>
            </w:r>
          </w:p>
        </w:tc>
      </w:tr>
      <w:tr w:rsidR="00B66751" w:rsidRPr="00910468" w14:paraId="66E50FE9" w14:textId="77777777">
        <w:trPr>
          <w:trHeight w:val="209"/>
        </w:trPr>
        <w:tc>
          <w:tcPr>
            <w:tcW w:w="1567" w:type="pct"/>
            <w:tcBorders>
              <w:top w:val="single" w:sz="4" w:space="0" w:color="auto"/>
            </w:tcBorders>
            <w:shd w:val="clear" w:color="auto" w:fill="FFFFFF" w:themeFill="background1"/>
            <w:noWrap/>
            <w:hideMark/>
          </w:tcPr>
          <w:p w14:paraId="04E39143" w14:textId="77777777" w:rsidR="00E61374" w:rsidRPr="0004598D" w:rsidRDefault="00E61374" w:rsidP="00D446B0">
            <w:pPr>
              <w:spacing w:after="0"/>
              <w:rPr>
                <w:b/>
                <w:bCs/>
                <w:iCs/>
                <w:noProof/>
                <w:sz w:val="20"/>
                <w:szCs w:val="20"/>
                <w:lang w:eastAsia="en-IE"/>
              </w:rPr>
            </w:pPr>
            <w:r w:rsidRPr="0004598D">
              <w:rPr>
                <w:b/>
                <w:bCs/>
                <w:iCs/>
                <w:noProof/>
                <w:sz w:val="20"/>
                <w:szCs w:val="20"/>
                <w:lang w:eastAsia="en-IE"/>
              </w:rPr>
              <w:t xml:space="preserve">Baseline </w:t>
            </w:r>
            <w:r w:rsidRPr="0004598D">
              <w:rPr>
                <w:noProof/>
                <w:sz w:val="20"/>
                <w:szCs w:val="20"/>
                <w:lang w:eastAsia="en-IE"/>
              </w:rPr>
              <w:t>(pessimistic scenario)</w:t>
            </w:r>
          </w:p>
        </w:tc>
        <w:tc>
          <w:tcPr>
            <w:tcW w:w="933" w:type="pct"/>
            <w:tcBorders>
              <w:top w:val="single" w:sz="4" w:space="0" w:color="auto"/>
            </w:tcBorders>
            <w:shd w:val="clear" w:color="auto" w:fill="F2F2F2" w:themeFill="background1" w:themeFillShade="F2"/>
            <w:hideMark/>
          </w:tcPr>
          <w:p w14:paraId="29485B62" w14:textId="1939A82A" w:rsidR="00E61374" w:rsidRPr="0004598D" w:rsidRDefault="006A44A4" w:rsidP="00D446B0">
            <w:pPr>
              <w:spacing w:after="0"/>
              <w:jc w:val="center"/>
              <w:rPr>
                <w:noProof/>
                <w:sz w:val="20"/>
                <w:szCs w:val="20"/>
                <w:lang w:eastAsia="en-IE"/>
              </w:rPr>
            </w:pPr>
            <w:r w:rsidRPr="00C2034A">
              <w:rPr>
                <w:noProof/>
                <w:sz w:val="20"/>
                <w:szCs w:val="20"/>
              </w:rPr>
              <w:t>10%</w:t>
            </w:r>
          </w:p>
        </w:tc>
        <w:tc>
          <w:tcPr>
            <w:tcW w:w="1210" w:type="pct"/>
            <w:tcBorders>
              <w:top w:val="single" w:sz="4" w:space="0" w:color="auto"/>
            </w:tcBorders>
            <w:shd w:val="clear" w:color="auto" w:fill="F2F2F2" w:themeFill="background1" w:themeFillShade="F2"/>
            <w:noWrap/>
          </w:tcPr>
          <w:p w14:paraId="57E6803D" w14:textId="4BC52082" w:rsidR="00E61374" w:rsidRPr="007E2AB2" w:rsidRDefault="006A44A4" w:rsidP="00D446B0">
            <w:pPr>
              <w:spacing w:after="0"/>
              <w:jc w:val="center"/>
              <w:rPr>
                <w:noProof/>
                <w:sz w:val="20"/>
                <w:lang w:eastAsia="en-IE"/>
              </w:rPr>
            </w:pPr>
            <w:r w:rsidRPr="00C2034A">
              <w:rPr>
                <w:noProof/>
                <w:sz w:val="20"/>
                <w:szCs w:val="20"/>
              </w:rPr>
              <w:t>438</w:t>
            </w:r>
          </w:p>
        </w:tc>
        <w:tc>
          <w:tcPr>
            <w:tcW w:w="1290" w:type="pct"/>
            <w:tcBorders>
              <w:top w:val="single" w:sz="4" w:space="0" w:color="auto"/>
            </w:tcBorders>
            <w:shd w:val="clear" w:color="auto" w:fill="F2F2F2" w:themeFill="background1" w:themeFillShade="F2"/>
            <w:noWrap/>
          </w:tcPr>
          <w:p w14:paraId="40D2827F" w14:textId="3F0F4634" w:rsidR="00E61374" w:rsidRPr="007E2AB2" w:rsidRDefault="006A44A4" w:rsidP="00D446B0">
            <w:pPr>
              <w:spacing w:after="0"/>
              <w:jc w:val="center"/>
              <w:rPr>
                <w:noProof/>
                <w:sz w:val="20"/>
                <w:lang w:eastAsia="en-IE"/>
              </w:rPr>
            </w:pPr>
            <w:r w:rsidRPr="00C2034A">
              <w:rPr>
                <w:noProof/>
                <w:sz w:val="20"/>
                <w:szCs w:val="20"/>
              </w:rPr>
              <w:t>33</w:t>
            </w:r>
            <w:r w:rsidR="00C2034A">
              <w:rPr>
                <w:noProof/>
                <w:sz w:val="20"/>
                <w:szCs w:val="20"/>
              </w:rPr>
              <w:t xml:space="preserve"> </w:t>
            </w:r>
            <w:r w:rsidRPr="00C2034A">
              <w:rPr>
                <w:noProof/>
                <w:sz w:val="20"/>
                <w:szCs w:val="20"/>
              </w:rPr>
              <w:t>212</w:t>
            </w:r>
          </w:p>
        </w:tc>
      </w:tr>
      <w:tr w:rsidR="00B66751" w:rsidRPr="00910468" w14:paraId="559E5F83" w14:textId="77777777">
        <w:trPr>
          <w:trHeight w:val="122"/>
        </w:trPr>
        <w:tc>
          <w:tcPr>
            <w:tcW w:w="1567" w:type="pct"/>
            <w:shd w:val="clear" w:color="auto" w:fill="FFFFFF" w:themeFill="background1"/>
            <w:noWrap/>
            <w:hideMark/>
          </w:tcPr>
          <w:p w14:paraId="7CA04C4F" w14:textId="77777777" w:rsidR="00E61374" w:rsidRPr="0004598D" w:rsidRDefault="00E61374" w:rsidP="00D446B0">
            <w:pPr>
              <w:spacing w:after="0"/>
              <w:rPr>
                <w:b/>
                <w:bCs/>
                <w:iCs/>
                <w:noProof/>
                <w:sz w:val="20"/>
                <w:szCs w:val="20"/>
                <w:lang w:eastAsia="en-IE"/>
              </w:rPr>
            </w:pPr>
            <w:r w:rsidRPr="0004598D">
              <w:rPr>
                <w:b/>
                <w:bCs/>
                <w:iCs/>
                <w:noProof/>
                <w:sz w:val="20"/>
                <w:szCs w:val="20"/>
                <w:lang w:eastAsia="en-IE"/>
              </w:rPr>
              <w:t xml:space="preserve">Baseline </w:t>
            </w:r>
            <w:r w:rsidRPr="0004598D">
              <w:rPr>
                <w:noProof/>
                <w:sz w:val="20"/>
                <w:szCs w:val="20"/>
                <w:lang w:eastAsia="en-IE"/>
              </w:rPr>
              <w:t>(flat-share scenario)</w:t>
            </w:r>
          </w:p>
        </w:tc>
        <w:tc>
          <w:tcPr>
            <w:tcW w:w="933" w:type="pct"/>
            <w:shd w:val="clear" w:color="auto" w:fill="FFFFFF" w:themeFill="background1"/>
            <w:noWrap/>
            <w:hideMark/>
          </w:tcPr>
          <w:p w14:paraId="2C9C7DC5" w14:textId="5B01A612" w:rsidR="00E61374" w:rsidRPr="0004598D" w:rsidRDefault="00E61374" w:rsidP="00D446B0">
            <w:pPr>
              <w:spacing w:after="0"/>
              <w:jc w:val="center"/>
              <w:rPr>
                <w:noProof/>
                <w:sz w:val="20"/>
                <w:szCs w:val="20"/>
                <w:lang w:eastAsia="en-IE"/>
              </w:rPr>
            </w:pPr>
            <w:r w:rsidRPr="0004598D">
              <w:rPr>
                <w:noProof/>
                <w:sz w:val="20"/>
                <w:szCs w:val="20"/>
                <w:lang w:eastAsia="en-IE"/>
              </w:rPr>
              <w:t>15%</w:t>
            </w:r>
          </w:p>
        </w:tc>
        <w:tc>
          <w:tcPr>
            <w:tcW w:w="1210" w:type="pct"/>
            <w:shd w:val="clear" w:color="auto" w:fill="FFFFFF" w:themeFill="background1"/>
            <w:noWrap/>
          </w:tcPr>
          <w:p w14:paraId="0A91A6D7" w14:textId="6084B5C7" w:rsidR="00E61374" w:rsidRPr="007E2AB2" w:rsidRDefault="00E61374" w:rsidP="00D446B0">
            <w:pPr>
              <w:spacing w:after="0"/>
              <w:jc w:val="center"/>
              <w:rPr>
                <w:noProof/>
                <w:sz w:val="20"/>
                <w:lang w:eastAsia="en-IE"/>
              </w:rPr>
            </w:pPr>
            <w:r w:rsidRPr="0004598D">
              <w:rPr>
                <w:noProof/>
                <w:sz w:val="20"/>
                <w:szCs w:val="20"/>
              </w:rPr>
              <w:t>564</w:t>
            </w:r>
          </w:p>
        </w:tc>
        <w:tc>
          <w:tcPr>
            <w:tcW w:w="1290" w:type="pct"/>
            <w:shd w:val="clear" w:color="auto" w:fill="FFFFFF" w:themeFill="background1"/>
            <w:noWrap/>
          </w:tcPr>
          <w:p w14:paraId="10BA4965" w14:textId="47AEB150" w:rsidR="00E61374" w:rsidRPr="007E2AB2" w:rsidRDefault="00E61374" w:rsidP="00D446B0">
            <w:pPr>
              <w:spacing w:after="0"/>
              <w:jc w:val="center"/>
              <w:rPr>
                <w:noProof/>
                <w:sz w:val="20"/>
                <w:lang w:eastAsia="en-IE"/>
              </w:rPr>
            </w:pPr>
            <w:r w:rsidRPr="0004598D">
              <w:rPr>
                <w:noProof/>
                <w:sz w:val="20"/>
                <w:szCs w:val="20"/>
              </w:rPr>
              <w:t>31</w:t>
            </w:r>
            <w:r w:rsidR="002F0A00" w:rsidRPr="0004598D">
              <w:rPr>
                <w:noProof/>
                <w:sz w:val="20"/>
                <w:szCs w:val="20"/>
              </w:rPr>
              <w:t xml:space="preserve"> </w:t>
            </w:r>
            <w:r w:rsidRPr="0004598D">
              <w:rPr>
                <w:noProof/>
                <w:sz w:val="20"/>
                <w:szCs w:val="20"/>
              </w:rPr>
              <w:t>956</w:t>
            </w:r>
          </w:p>
        </w:tc>
      </w:tr>
      <w:tr w:rsidR="00B66751" w:rsidRPr="00910468" w14:paraId="354F1863" w14:textId="77777777">
        <w:trPr>
          <w:trHeight w:val="60"/>
        </w:trPr>
        <w:tc>
          <w:tcPr>
            <w:tcW w:w="1567" w:type="pct"/>
            <w:shd w:val="clear" w:color="auto" w:fill="FFFFFF" w:themeFill="background1"/>
            <w:noWrap/>
            <w:hideMark/>
          </w:tcPr>
          <w:p w14:paraId="37C30ACB" w14:textId="77777777" w:rsidR="00E61374" w:rsidRPr="0004598D" w:rsidRDefault="00E61374" w:rsidP="00D446B0">
            <w:pPr>
              <w:spacing w:after="0"/>
              <w:rPr>
                <w:b/>
                <w:bCs/>
                <w:iCs/>
                <w:noProof/>
                <w:sz w:val="20"/>
                <w:szCs w:val="20"/>
                <w:lang w:eastAsia="en-IE"/>
              </w:rPr>
            </w:pPr>
            <w:r w:rsidRPr="0004598D">
              <w:rPr>
                <w:b/>
                <w:bCs/>
                <w:iCs/>
                <w:noProof/>
                <w:sz w:val="20"/>
                <w:szCs w:val="20"/>
                <w:lang w:eastAsia="en-IE"/>
              </w:rPr>
              <w:t xml:space="preserve">Baseline </w:t>
            </w:r>
            <w:r w:rsidRPr="0004598D">
              <w:rPr>
                <w:noProof/>
                <w:sz w:val="20"/>
                <w:szCs w:val="20"/>
                <w:lang w:eastAsia="en-IE"/>
              </w:rPr>
              <w:t>(optimistic scenario)</w:t>
            </w:r>
          </w:p>
        </w:tc>
        <w:tc>
          <w:tcPr>
            <w:tcW w:w="933" w:type="pct"/>
            <w:shd w:val="clear" w:color="auto" w:fill="F2F2F2" w:themeFill="background1" w:themeFillShade="F2"/>
            <w:noWrap/>
            <w:hideMark/>
          </w:tcPr>
          <w:p w14:paraId="5081DE4B" w14:textId="68ED62D0" w:rsidR="00E61374" w:rsidRPr="0004598D" w:rsidRDefault="006A44A4" w:rsidP="00D446B0">
            <w:pPr>
              <w:spacing w:after="0"/>
              <w:jc w:val="center"/>
              <w:rPr>
                <w:noProof/>
                <w:sz w:val="20"/>
                <w:szCs w:val="20"/>
                <w:lang w:eastAsia="en-IE"/>
              </w:rPr>
            </w:pPr>
            <w:r w:rsidRPr="00C2034A">
              <w:rPr>
                <w:noProof/>
                <w:sz w:val="20"/>
                <w:szCs w:val="20"/>
              </w:rPr>
              <w:t>17%</w:t>
            </w:r>
          </w:p>
        </w:tc>
        <w:tc>
          <w:tcPr>
            <w:tcW w:w="1210" w:type="pct"/>
            <w:shd w:val="clear" w:color="auto" w:fill="F2F2F2" w:themeFill="background1" w:themeFillShade="F2"/>
            <w:noWrap/>
          </w:tcPr>
          <w:p w14:paraId="2139C734" w14:textId="75F4A505" w:rsidR="00E61374" w:rsidRPr="007E2AB2" w:rsidRDefault="006A44A4" w:rsidP="00D446B0">
            <w:pPr>
              <w:spacing w:after="0"/>
              <w:jc w:val="center"/>
              <w:rPr>
                <w:noProof/>
                <w:sz w:val="20"/>
                <w:lang w:eastAsia="en-IE"/>
              </w:rPr>
            </w:pPr>
            <w:r w:rsidRPr="00C2034A">
              <w:rPr>
                <w:noProof/>
                <w:sz w:val="20"/>
                <w:szCs w:val="20"/>
              </w:rPr>
              <w:t>611</w:t>
            </w:r>
          </w:p>
        </w:tc>
        <w:tc>
          <w:tcPr>
            <w:tcW w:w="1290" w:type="pct"/>
            <w:shd w:val="clear" w:color="auto" w:fill="F2F2F2" w:themeFill="background1" w:themeFillShade="F2"/>
            <w:noWrap/>
          </w:tcPr>
          <w:p w14:paraId="409BD535" w14:textId="09DE1D57" w:rsidR="00E61374" w:rsidRPr="007E2AB2" w:rsidRDefault="006A44A4" w:rsidP="00D446B0">
            <w:pPr>
              <w:spacing w:after="0"/>
              <w:jc w:val="center"/>
              <w:rPr>
                <w:noProof/>
                <w:sz w:val="20"/>
                <w:lang w:eastAsia="en-IE"/>
              </w:rPr>
            </w:pPr>
            <w:r w:rsidRPr="00C2034A">
              <w:rPr>
                <w:noProof/>
                <w:sz w:val="20"/>
                <w:szCs w:val="20"/>
              </w:rPr>
              <w:t>31.483</w:t>
            </w:r>
          </w:p>
        </w:tc>
      </w:tr>
    </w:tbl>
    <w:p w14:paraId="0896EE4C" w14:textId="77777777" w:rsidR="00A075A6" w:rsidRDefault="00A075A6" w:rsidP="00CB3E63">
      <w:pPr>
        <w:pStyle w:val="Reply"/>
        <w:spacing w:line="240" w:lineRule="auto"/>
        <w:rPr>
          <w:noProof/>
          <w:sz w:val="20"/>
          <w:szCs w:val="20"/>
        </w:rPr>
      </w:pPr>
    </w:p>
    <w:p w14:paraId="4B279B36" w14:textId="17BA6129" w:rsidR="00027B03" w:rsidRPr="00A11B84" w:rsidRDefault="00A11B84" w:rsidP="00CB3E63">
      <w:pPr>
        <w:pStyle w:val="Reply"/>
        <w:spacing w:line="240" w:lineRule="auto"/>
        <w:rPr>
          <w:noProof/>
        </w:rPr>
      </w:pPr>
      <w:r w:rsidRPr="00A72AD4">
        <w:rPr>
          <w:noProof/>
        </w:rPr>
        <w:t xml:space="preserve">The 15% baseline assumes European cloud providers maintain their current </w:t>
      </w:r>
      <w:r w:rsidR="00C54001">
        <w:rPr>
          <w:noProof/>
        </w:rPr>
        <w:t>market share</w:t>
      </w:r>
      <w:r w:rsidRPr="00A72AD4">
        <w:rPr>
          <w:noProof/>
        </w:rPr>
        <w:t xml:space="preserve"> through a combination of modest revenue growth from rising customer interest in sovereignty and specialized use cases, offset by persistent structural barriers including vendor lock-in effects, hyperscaler bundling strategies, and the integration challenges that prevent easy switching. The 10% pessimistic scenario reflects </w:t>
      </w:r>
      <w:r w:rsidR="005A7CCA">
        <w:rPr>
          <w:noProof/>
        </w:rPr>
        <w:t>the resumption</w:t>
      </w:r>
      <w:r w:rsidR="00FC1458">
        <w:rPr>
          <w:noProof/>
        </w:rPr>
        <w:t xml:space="preserve"> of </w:t>
      </w:r>
      <w:r w:rsidR="005A7CCA">
        <w:rPr>
          <w:noProof/>
        </w:rPr>
        <w:t>the downward trend observed until 2022</w:t>
      </w:r>
      <w:r w:rsidRPr="00A72AD4">
        <w:rPr>
          <w:noProof/>
        </w:rPr>
        <w:t xml:space="preserve">: as US hyperscalers dramatically accelerate investment in cloud and AI services, creating capabilities European providers cannot match, </w:t>
      </w:r>
      <w:r w:rsidR="00A670E4">
        <w:rPr>
          <w:noProof/>
        </w:rPr>
        <w:t xml:space="preserve">existing </w:t>
      </w:r>
      <w:r w:rsidRPr="00A72AD4">
        <w:rPr>
          <w:noProof/>
        </w:rPr>
        <w:t xml:space="preserve">regulatory protections fail to meaningfully reduce lock-in or enable </w:t>
      </w:r>
      <w:r w:rsidR="00591C01">
        <w:rPr>
          <w:noProof/>
        </w:rPr>
        <w:t xml:space="preserve">genuine </w:t>
      </w:r>
      <w:r w:rsidRPr="00A72AD4">
        <w:rPr>
          <w:noProof/>
        </w:rPr>
        <w:t>data portability, while aggressive bundled pricing and occasional provider failures erode enterprise confidence in European alternatives. By contrast, the 17% optimistic scenario envisions a more favo</w:t>
      </w:r>
      <w:r>
        <w:rPr>
          <w:noProof/>
        </w:rPr>
        <w:t>u</w:t>
      </w:r>
      <w:r w:rsidRPr="00A72AD4">
        <w:rPr>
          <w:noProof/>
        </w:rPr>
        <w:t xml:space="preserve">rable environment where stronger </w:t>
      </w:r>
      <w:r w:rsidR="006F018A">
        <w:rPr>
          <w:noProof/>
        </w:rPr>
        <w:t>existing</w:t>
      </w:r>
      <w:r w:rsidRPr="00A72AD4">
        <w:rPr>
          <w:noProof/>
        </w:rPr>
        <w:t xml:space="preserve"> regulations ensure genuine interoperability between cloud platforms, reliable data portability safeguards reduce switching friction, and clearer security standards boost customer trust, enabling European providers to convert sovereignty conscious customers such as the public sector and expand into segments currently dominated by hyperscalers.</w:t>
      </w:r>
    </w:p>
    <w:p w14:paraId="15A5FE03" w14:textId="1B19A1AC" w:rsidR="006B087E" w:rsidRDefault="006B087E" w:rsidP="000E3086">
      <w:pPr>
        <w:pStyle w:val="Heading2"/>
        <w:rPr>
          <w:noProof/>
        </w:rPr>
      </w:pPr>
      <w:bookmarkStart w:id="41" w:name="_Toc230792736"/>
      <w:r w:rsidRPr="00F92EAE">
        <w:rPr>
          <w:noProof/>
        </w:rPr>
        <w:t>Description of the policy options</w:t>
      </w:r>
      <w:bookmarkEnd w:id="41"/>
    </w:p>
    <w:p w14:paraId="5819E6A9" w14:textId="2DEC334D" w:rsidR="00E61374" w:rsidRPr="00135D86" w:rsidRDefault="00E61374" w:rsidP="00E61374">
      <w:pPr>
        <w:rPr>
          <w:noProof/>
        </w:rPr>
      </w:pPr>
      <w:r w:rsidRPr="00D37004">
        <w:rPr>
          <w:noProof/>
        </w:rPr>
        <w:t xml:space="preserve">This section structures the policy options by problems as identified in section 2. The options for problem 1 combine measures of different regulatory intensity and different calibrations of EU versus national delivery. The options for problem 2 are presented along a gradient of intensity of the intervention. </w:t>
      </w:r>
      <w:r>
        <w:rPr>
          <w:noProof/>
        </w:rPr>
        <w:t xml:space="preserve">Problem 1 and 2 interplay with each other since they concern successive steps of the same value chain, and a supply-demand relationship naturally exists: cloud and AI computing services can only be delivered if the underlying infrastructure exists. Conversely, </w:t>
      </w:r>
      <w:r w:rsidR="00372EDF">
        <w:rPr>
          <w:noProof/>
        </w:rPr>
        <w:t>DC</w:t>
      </w:r>
      <w:r>
        <w:rPr>
          <w:noProof/>
        </w:rPr>
        <w:t xml:space="preserve"> operators only invest based on the expected uptake of their future capacity. The policy options are nevertheless dealt with separately as they correspond to very different realities (physical world vs. dematerialised services), contain policy measures of a different nature and mostly concern different stakeholders. </w:t>
      </w:r>
      <w:r w:rsidR="004678E2" w:rsidRPr="009F2DE7">
        <w:rPr>
          <w:noProof/>
        </w:rPr>
        <w:t xml:space="preserve">Problem 1 concerns the provision of physical infrastructure (data centres, land availability, permitting, grid connection, connectivity, etc.) mainly involving data centre </w:t>
      </w:r>
      <w:r w:rsidR="00007D6B">
        <w:rPr>
          <w:noProof/>
        </w:rPr>
        <w:t>operators</w:t>
      </w:r>
      <w:r w:rsidR="004678E2" w:rsidRPr="009F2DE7">
        <w:rPr>
          <w:noProof/>
        </w:rPr>
        <w:t xml:space="preserve"> (i.e. </w:t>
      </w:r>
      <w:r w:rsidR="00926A25">
        <w:rPr>
          <w:noProof/>
        </w:rPr>
        <w:t xml:space="preserve">colocation providers and, </w:t>
      </w:r>
      <w:r w:rsidR="004678E2" w:rsidRPr="009F2DE7">
        <w:rPr>
          <w:noProof/>
        </w:rPr>
        <w:t>CSPs</w:t>
      </w:r>
      <w:r w:rsidR="00926A25">
        <w:rPr>
          <w:noProof/>
        </w:rPr>
        <w:t xml:space="preserve"> </w:t>
      </w:r>
      <w:r w:rsidR="009F7C7A">
        <w:rPr>
          <w:noProof/>
        </w:rPr>
        <w:t xml:space="preserve">when they </w:t>
      </w:r>
      <w:r w:rsidR="000B35C3">
        <w:rPr>
          <w:noProof/>
        </w:rPr>
        <w:t>operate</w:t>
      </w:r>
      <w:r w:rsidR="004678E2" w:rsidRPr="009F2DE7">
        <w:rPr>
          <w:noProof/>
        </w:rPr>
        <w:t xml:space="preserve"> their own </w:t>
      </w:r>
      <w:r w:rsidR="000B35C3">
        <w:rPr>
          <w:noProof/>
        </w:rPr>
        <w:t>infrastructure</w:t>
      </w:r>
      <w:r w:rsidR="004678E2" w:rsidRPr="009F2DE7">
        <w:rPr>
          <w:noProof/>
        </w:rPr>
        <w:t xml:space="preserve">), utilities, local authorities and investors. Conversely, problem 2 concerns the market for cloud and AI computing services, which is shaped by very distinct market and competition dynamics. These two markets are governed by distinct regulatory and economic mechanisms, which call for different </w:t>
      </w:r>
      <w:r w:rsidR="00BD4465">
        <w:rPr>
          <w:noProof/>
        </w:rPr>
        <w:t>sets of measures</w:t>
      </w:r>
      <w:r w:rsidR="004678E2" w:rsidRPr="009F2DE7">
        <w:rPr>
          <w:noProof/>
        </w:rPr>
        <w:t>. This approach has allowed to assess the impacts of measures focusing on each of the two problems separately, i.e. infrastructure-related constraints vs market dynamics in the delivery of services, while still recognising their interdependence.</w:t>
      </w:r>
      <w:r w:rsidR="004678E2">
        <w:rPr>
          <w:noProof/>
        </w:rPr>
        <w:t xml:space="preserve"> </w:t>
      </w:r>
      <w:bookmarkStart w:id="42" w:name="_Ref207894162"/>
    </w:p>
    <w:p w14:paraId="3D956DEB" w14:textId="4053EE3B" w:rsidR="4058FE4E" w:rsidRDefault="00E61374" w:rsidP="00295095">
      <w:pPr>
        <w:pStyle w:val="Heading3"/>
        <w:rPr>
          <w:noProof/>
        </w:rPr>
      </w:pPr>
      <w:r>
        <w:rPr>
          <w:noProof/>
        </w:rPr>
        <w:t>Policy Options to address the limited and geographically concentrated availability of computing capacity</w:t>
      </w:r>
      <w:bookmarkEnd w:id="42"/>
      <w:r>
        <w:rPr>
          <w:noProof/>
        </w:rPr>
        <w:t xml:space="preserve"> in the EU</w:t>
      </w:r>
    </w:p>
    <w:p w14:paraId="0AD39B4C" w14:textId="7AD44444" w:rsidR="00E61374" w:rsidRPr="00D37004" w:rsidRDefault="00E61374" w:rsidP="00E61374">
      <w:pPr>
        <w:pStyle w:val="Caption"/>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4</w:t>
      </w:r>
      <w:r w:rsidRPr="00D37004">
        <w:rPr>
          <w:noProof/>
        </w:rPr>
        <w:fldChar w:fldCharType="end"/>
      </w:r>
      <w:r w:rsidRPr="00D37004">
        <w:rPr>
          <w:noProof/>
        </w:rPr>
        <w:t>. Overview of the first set of policy options</w:t>
      </w:r>
      <w:r>
        <w:rPr>
          <w:noProof/>
        </w:rPr>
        <w:t>, responding to Problem 1</w:t>
      </w:r>
    </w:p>
    <w:tbl>
      <w:tblPr>
        <w:tblStyle w:val="GridTable4-Accent5"/>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3235"/>
        <w:gridCol w:w="3096"/>
      </w:tblGrid>
      <w:tr w:rsidR="003E5C0E" w:rsidRPr="00EE56DE" w14:paraId="1A60D241" w14:textId="77777777" w:rsidTr="00A14194">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shd w:val="clear" w:color="auto" w:fill="0070C0"/>
            <w:vAlign w:val="center"/>
          </w:tcPr>
          <w:p w14:paraId="72F95D64" w14:textId="77777777" w:rsidR="00E61374" w:rsidRPr="00EE56DE" w:rsidRDefault="00E61374" w:rsidP="005E7EFE">
            <w:pPr>
              <w:pStyle w:val="Text2"/>
              <w:spacing w:after="0"/>
              <w:ind w:left="0"/>
              <w:jc w:val="center"/>
              <w:rPr>
                <w:noProof/>
                <w:sz w:val="20"/>
                <w:szCs w:val="18"/>
              </w:rPr>
            </w:pPr>
            <w:r w:rsidRPr="00EE56DE">
              <w:rPr>
                <w:noProof/>
                <w:sz w:val="20"/>
                <w:szCs w:val="18"/>
              </w:rPr>
              <w:t>Policy Option PO1-A</w:t>
            </w:r>
          </w:p>
        </w:tc>
        <w:tc>
          <w:tcPr>
            <w:tcW w:w="0" w:type="auto"/>
            <w:shd w:val="clear" w:color="auto" w:fill="0070C0"/>
            <w:vAlign w:val="center"/>
          </w:tcPr>
          <w:p w14:paraId="6380BAAA" w14:textId="77777777" w:rsidR="00E61374" w:rsidRPr="00EE56DE" w:rsidRDefault="00E61374" w:rsidP="005E7EFE">
            <w:pPr>
              <w:pStyle w:val="Text2"/>
              <w:spacing w:after="0"/>
              <w:ind w:left="0"/>
              <w:jc w:val="center"/>
              <w:cnfStyle w:val="100000000000" w:firstRow="1"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Policy Option PO1-B</w:t>
            </w:r>
          </w:p>
        </w:tc>
        <w:tc>
          <w:tcPr>
            <w:tcW w:w="3096" w:type="dxa"/>
            <w:shd w:val="clear" w:color="auto" w:fill="0070C0"/>
            <w:vAlign w:val="center"/>
          </w:tcPr>
          <w:p w14:paraId="5C85F6FB" w14:textId="77777777" w:rsidR="00E61374" w:rsidRPr="00EE56DE" w:rsidRDefault="00E61374" w:rsidP="005E7EFE">
            <w:pPr>
              <w:pStyle w:val="Text2"/>
              <w:spacing w:after="0"/>
              <w:ind w:left="0"/>
              <w:jc w:val="center"/>
              <w:cnfStyle w:val="100000000000" w:firstRow="1"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Policy Option PO1-C</w:t>
            </w:r>
          </w:p>
        </w:tc>
      </w:tr>
      <w:tr w:rsidR="003E5C0E" w:rsidRPr="00EE56DE" w14:paraId="5D9881F1" w14:textId="77777777" w:rsidTr="00A14194">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tcPr>
          <w:p w14:paraId="0F6EBDA4" w14:textId="77777777" w:rsidR="00E61374" w:rsidRPr="00EE56DE" w:rsidRDefault="00E61374" w:rsidP="005E7EFE">
            <w:pPr>
              <w:pStyle w:val="Text2"/>
              <w:spacing w:after="0"/>
              <w:ind w:left="0"/>
              <w:jc w:val="center"/>
              <w:rPr>
                <w:b w:val="0"/>
                <w:bCs w:val="0"/>
                <w:i/>
                <w:iCs/>
                <w:noProof/>
                <w:sz w:val="20"/>
                <w:szCs w:val="18"/>
              </w:rPr>
            </w:pPr>
            <w:r w:rsidRPr="00EE56DE">
              <w:rPr>
                <w:b w:val="0"/>
                <w:bCs w:val="0"/>
                <w:i/>
                <w:iCs/>
                <w:noProof/>
                <w:sz w:val="20"/>
                <w:szCs w:val="18"/>
              </w:rPr>
              <w:t>Enhancing the existing collaborative framework</w:t>
            </w:r>
          </w:p>
        </w:tc>
        <w:tc>
          <w:tcPr>
            <w:tcW w:w="0" w:type="auto"/>
            <w:shd w:val="clear" w:color="auto" w:fill="F2F2F2" w:themeFill="background1" w:themeFillShade="F2"/>
            <w:vAlign w:val="center"/>
          </w:tcPr>
          <w:p w14:paraId="266DEEA2" w14:textId="77777777" w:rsidR="00E61374" w:rsidRPr="00EE56DE" w:rsidRDefault="00E61374" w:rsidP="005E7EFE">
            <w:pPr>
              <w:pStyle w:val="Text2"/>
              <w:spacing w:after="0"/>
              <w:ind w:left="0"/>
              <w:jc w:val="center"/>
              <w:cnfStyle w:val="000000100000" w:firstRow="0" w:lastRow="0" w:firstColumn="0" w:lastColumn="0" w:oddVBand="0" w:evenVBand="0" w:oddHBand="1" w:evenHBand="0" w:firstRowFirstColumn="0" w:firstRowLastColumn="0" w:lastRowFirstColumn="0" w:lastRowLastColumn="0"/>
              <w:rPr>
                <w:i/>
                <w:iCs/>
                <w:noProof/>
                <w:sz w:val="20"/>
                <w:szCs w:val="18"/>
              </w:rPr>
            </w:pPr>
            <w:r w:rsidRPr="00EE56DE">
              <w:rPr>
                <w:i/>
                <w:iCs/>
                <w:noProof/>
                <w:sz w:val="20"/>
                <w:szCs w:val="18"/>
              </w:rPr>
              <w:t>Legislative and financial intervention enforced nationally</w:t>
            </w:r>
          </w:p>
        </w:tc>
        <w:tc>
          <w:tcPr>
            <w:tcW w:w="3096" w:type="dxa"/>
            <w:shd w:val="clear" w:color="auto" w:fill="F2F2F2" w:themeFill="background1" w:themeFillShade="F2"/>
            <w:vAlign w:val="center"/>
          </w:tcPr>
          <w:p w14:paraId="62687D37" w14:textId="77777777" w:rsidR="00E61374" w:rsidRPr="00EE56DE" w:rsidRDefault="00E61374" w:rsidP="005E7EFE">
            <w:pPr>
              <w:pStyle w:val="Text2"/>
              <w:spacing w:after="0"/>
              <w:ind w:left="0"/>
              <w:jc w:val="center"/>
              <w:cnfStyle w:val="000000100000" w:firstRow="0" w:lastRow="0" w:firstColumn="0" w:lastColumn="0" w:oddVBand="0" w:evenVBand="0" w:oddHBand="1" w:evenHBand="0" w:firstRowFirstColumn="0" w:firstRowLastColumn="0" w:lastRowFirstColumn="0" w:lastRowLastColumn="0"/>
              <w:rPr>
                <w:i/>
                <w:iCs/>
                <w:noProof/>
                <w:sz w:val="20"/>
                <w:szCs w:val="18"/>
              </w:rPr>
            </w:pPr>
            <w:r w:rsidRPr="00EE56DE">
              <w:rPr>
                <w:i/>
                <w:iCs/>
                <w:noProof/>
                <w:sz w:val="20"/>
                <w:szCs w:val="18"/>
              </w:rPr>
              <w:t>Legislative and financial intervention enforced at EU-level</w:t>
            </w:r>
          </w:p>
        </w:tc>
      </w:tr>
      <w:tr w:rsidR="003E5C0E" w:rsidRPr="00EE56DE" w14:paraId="476DAE71" w14:textId="77777777" w:rsidTr="00A14194">
        <w:trPr>
          <w:trHeight w:val="1092"/>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BDE805" w14:textId="77777777" w:rsidR="00E61374" w:rsidRPr="00EE56DE" w:rsidRDefault="00E61374" w:rsidP="00A14194">
            <w:pPr>
              <w:pStyle w:val="Text2"/>
              <w:spacing w:after="0"/>
              <w:ind w:left="0"/>
              <w:jc w:val="left"/>
              <w:rPr>
                <w:b w:val="0"/>
                <w:bCs w:val="0"/>
                <w:noProof/>
                <w:sz w:val="20"/>
                <w:szCs w:val="18"/>
              </w:rPr>
            </w:pPr>
            <w:r w:rsidRPr="00EE56DE">
              <w:rPr>
                <w:b w:val="0"/>
                <w:bCs w:val="0"/>
                <w:noProof/>
                <w:sz w:val="20"/>
                <w:szCs w:val="18"/>
              </w:rPr>
              <w:t>PM1 - Cloud Alliance expansion</w:t>
            </w:r>
          </w:p>
          <w:p w14:paraId="167AF01F" w14:textId="77777777" w:rsidR="00E61374" w:rsidRPr="00EE56DE" w:rsidRDefault="00E61374" w:rsidP="00A14194">
            <w:pPr>
              <w:pStyle w:val="Text2"/>
              <w:spacing w:after="0"/>
              <w:ind w:left="0"/>
              <w:jc w:val="left"/>
              <w:rPr>
                <w:b w:val="0"/>
                <w:bCs w:val="0"/>
                <w:noProof/>
                <w:sz w:val="20"/>
                <w:szCs w:val="18"/>
              </w:rPr>
            </w:pPr>
            <w:r w:rsidRPr="00EE56DE">
              <w:rPr>
                <w:b w:val="0"/>
                <w:bCs w:val="0"/>
                <w:noProof/>
                <w:sz w:val="20"/>
                <w:szCs w:val="18"/>
              </w:rPr>
              <w:t>PM2 - Data Centre Forum</w:t>
            </w:r>
          </w:p>
          <w:p w14:paraId="055A82BF" w14:textId="77777777" w:rsidR="00E61374" w:rsidRPr="00EE56DE" w:rsidRDefault="00E61374" w:rsidP="00A14194">
            <w:pPr>
              <w:pStyle w:val="Text2"/>
              <w:spacing w:after="0"/>
              <w:ind w:left="0"/>
              <w:jc w:val="left"/>
              <w:rPr>
                <w:b w:val="0"/>
                <w:bCs w:val="0"/>
                <w:noProof/>
                <w:sz w:val="20"/>
                <w:szCs w:val="18"/>
              </w:rPr>
            </w:pPr>
            <w:r w:rsidRPr="00EE56DE">
              <w:rPr>
                <w:b w:val="0"/>
                <w:bCs w:val="0"/>
                <w:noProof/>
                <w:sz w:val="20"/>
                <w:szCs w:val="18"/>
              </w:rPr>
              <w:t>PM3 - Data Centre guidelines</w:t>
            </w:r>
          </w:p>
        </w:tc>
        <w:tc>
          <w:tcPr>
            <w:tcW w:w="0" w:type="auto"/>
            <w:vAlign w:val="center"/>
          </w:tcPr>
          <w:p w14:paraId="7C5696AD" w14:textId="15A1CA2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 xml:space="preserve">PM4 </w:t>
            </w:r>
            <w:r w:rsidR="00EE56DE">
              <w:rPr>
                <w:noProof/>
                <w:sz w:val="20"/>
                <w:szCs w:val="18"/>
              </w:rPr>
              <w:t>-</w:t>
            </w:r>
            <w:r w:rsidRPr="00EE56DE">
              <w:rPr>
                <w:noProof/>
                <w:sz w:val="20"/>
                <w:szCs w:val="18"/>
              </w:rPr>
              <w:t xml:space="preserve"> National facilitator</w:t>
            </w:r>
          </w:p>
          <w:p w14:paraId="20DF5B04"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PM5 - Fast-track areas</w:t>
            </w:r>
          </w:p>
          <w:p w14:paraId="33B37F25"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PM6 - National funding support</w:t>
            </w:r>
          </w:p>
          <w:p w14:paraId="08218E5A"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PM7 - Deployment targets</w:t>
            </w:r>
          </w:p>
        </w:tc>
        <w:tc>
          <w:tcPr>
            <w:tcW w:w="3096" w:type="dxa"/>
            <w:vAlign w:val="center"/>
          </w:tcPr>
          <w:p w14:paraId="0A5ED95B"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PM8 - EU R&amp;D funding</w:t>
            </w:r>
          </w:p>
          <w:p w14:paraId="73C5368C"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PM9 - EU deployment funding for strategic projects</w:t>
            </w:r>
          </w:p>
          <w:p w14:paraId="6FCA856E" w14:textId="77777777" w:rsidR="00E61374" w:rsidRPr="00EE56DE" w:rsidRDefault="00E61374" w:rsidP="00A14194">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EE56DE">
              <w:rPr>
                <w:noProof/>
                <w:sz w:val="20"/>
                <w:szCs w:val="18"/>
              </w:rPr>
              <w:t xml:space="preserve">PM10 - EU-level fast-track </w:t>
            </w:r>
          </w:p>
        </w:tc>
      </w:tr>
    </w:tbl>
    <w:p w14:paraId="55CA0B07" w14:textId="6536309A" w:rsidR="00E61374" w:rsidRPr="00D37004" w:rsidRDefault="00E61374" w:rsidP="00E24982">
      <w:pPr>
        <w:pStyle w:val="Caption"/>
        <w:spacing w:before="0" w:after="0"/>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8</w:t>
      </w:r>
      <w:r w:rsidRPr="00D37004">
        <w:rPr>
          <w:noProof/>
        </w:rPr>
        <w:fldChar w:fldCharType="end"/>
      </w:r>
      <w:r w:rsidRPr="00D37004">
        <w:rPr>
          <w:noProof/>
        </w:rPr>
        <w:t>. Illustration of policy options to address the limited availability of computing capacity</w:t>
      </w:r>
    </w:p>
    <w:p w14:paraId="4315ED8D" w14:textId="77777777" w:rsidR="00E61374" w:rsidRPr="00D37004" w:rsidRDefault="00E61374" w:rsidP="00E24982">
      <w:pPr>
        <w:spacing w:after="0"/>
        <w:jc w:val="center"/>
        <w:rPr>
          <w:noProof/>
        </w:rPr>
      </w:pPr>
      <w:r w:rsidRPr="00D37004">
        <w:rPr>
          <w:noProof/>
          <w:lang w:eastAsia="en-GB"/>
        </w:rPr>
        <w:drawing>
          <wp:inline distT="0" distB="0" distL="0" distR="0" wp14:anchorId="70ED5ADD" wp14:editId="2FC9C68A">
            <wp:extent cx="3357023" cy="1820092"/>
            <wp:effectExtent l="0" t="0" r="0" b="0"/>
            <wp:docPr id="275801494" name="Picture 1" descr="A diagram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01494" name="Picture 1" descr="A diagram of a country&#10;&#10;AI-generated content may be incorrect."/>
                    <pic:cNvPicPr/>
                  </pic:nvPicPr>
                  <pic:blipFill>
                    <a:blip r:embed="rId31"/>
                    <a:stretch>
                      <a:fillRect/>
                    </a:stretch>
                  </pic:blipFill>
                  <pic:spPr>
                    <a:xfrm>
                      <a:off x="0" y="0"/>
                      <a:ext cx="3452036" cy="1871605"/>
                    </a:xfrm>
                    <a:prstGeom prst="rect">
                      <a:avLst/>
                    </a:prstGeom>
                  </pic:spPr>
                </pic:pic>
              </a:graphicData>
            </a:graphic>
          </wp:inline>
        </w:drawing>
      </w:r>
    </w:p>
    <w:p w14:paraId="3B47042D" w14:textId="69E057EF" w:rsidR="00E61374" w:rsidRPr="0094755A" w:rsidRDefault="00E61374" w:rsidP="00A14194">
      <w:pPr>
        <w:spacing w:before="120"/>
        <w:rPr>
          <w:noProof/>
        </w:rPr>
      </w:pPr>
      <w:r>
        <w:rPr>
          <w:noProof/>
        </w:rPr>
        <w:t xml:space="preserve">PO1-A could be combined with both PO1-B and PO1-C. However, PO1-B and PO-C are designed as mutually exclusive. PO1-B packages measures that put Member States in the driving seat, whereas PO1-C places the implementation at the EU-level. See also </w:t>
      </w:r>
      <w:r w:rsidR="00ED33ED">
        <w:rPr>
          <w:noProof/>
        </w:rPr>
        <w:t>section</w:t>
      </w:r>
      <w:r>
        <w:rPr>
          <w:noProof/>
        </w:rPr>
        <w:t xml:space="preserve"> 7.7.</w:t>
      </w:r>
    </w:p>
    <w:p w14:paraId="2E7816E7" w14:textId="77777777" w:rsidR="00E61374" w:rsidRPr="00A14194" w:rsidRDefault="00E61374" w:rsidP="00A14194">
      <w:pPr>
        <w:spacing w:before="120"/>
        <w:rPr>
          <w:b/>
          <w:bCs/>
          <w:noProof/>
          <w:u w:val="single"/>
        </w:rPr>
      </w:pPr>
      <w:r w:rsidRPr="00A14194">
        <w:rPr>
          <w:b/>
          <w:bCs/>
          <w:noProof/>
          <w:u w:val="single"/>
        </w:rPr>
        <w:t xml:space="preserve">Policy Option PO1-A: Enhancing the existing collaborative framework </w:t>
      </w:r>
    </w:p>
    <w:p w14:paraId="50136C9D" w14:textId="5AA4A06D" w:rsidR="00E61374" w:rsidRPr="00D37004" w:rsidRDefault="00E61374" w:rsidP="00106DBB">
      <w:pPr>
        <w:spacing w:after="0"/>
        <w:rPr>
          <w:noProof/>
        </w:rPr>
      </w:pPr>
      <w:r>
        <w:rPr>
          <w:noProof/>
        </w:rPr>
        <w:t xml:space="preserve">This policy option strengthens existing collaborative mechanisms between Member States, EU institutions, industry stakeholders and research bodies to support </w:t>
      </w:r>
      <w:r w:rsidR="00372EDF">
        <w:rPr>
          <w:noProof/>
        </w:rPr>
        <w:t>DC</w:t>
      </w:r>
      <w:r>
        <w:rPr>
          <w:noProof/>
        </w:rPr>
        <w:t xml:space="preserve"> expansion.</w:t>
      </w:r>
      <w:r w:rsidR="0078BBBD">
        <w:rPr>
          <w:noProof/>
        </w:rPr>
        <w:t xml:space="preserve"> It </w:t>
      </w:r>
      <w:r w:rsidR="10B569D5">
        <w:rPr>
          <w:noProof/>
        </w:rPr>
        <w:t>addresses the</w:t>
      </w:r>
      <w:r w:rsidR="7B1C150B">
        <w:rPr>
          <w:noProof/>
        </w:rPr>
        <w:t xml:space="preserve"> </w:t>
      </w:r>
      <w:r w:rsidR="32464EC4">
        <w:rPr>
          <w:noProof/>
        </w:rPr>
        <w:t xml:space="preserve">identified </w:t>
      </w:r>
      <w:r w:rsidR="7B1C150B">
        <w:rPr>
          <w:noProof/>
        </w:rPr>
        <w:t>regulatory and coordination failures through soft measures.</w:t>
      </w:r>
      <w:r>
        <w:rPr>
          <w:noProof/>
        </w:rPr>
        <w:t xml:space="preserve"> Participation and adherence to produced guidelines would remain voluntary. </w:t>
      </w:r>
    </w:p>
    <w:p w14:paraId="143AB4EE" w14:textId="7C20653E" w:rsidR="00E61374" w:rsidRPr="00D37004" w:rsidRDefault="00E61374" w:rsidP="008F5449">
      <w:pPr>
        <w:pStyle w:val="ListBullet"/>
        <w:spacing w:before="120" w:after="120"/>
        <w:ind w:left="284" w:hanging="284"/>
        <w:rPr>
          <w:noProof/>
        </w:rPr>
      </w:pPr>
      <w:r w:rsidRPr="00D37004">
        <w:rPr>
          <w:b/>
          <w:noProof/>
        </w:rPr>
        <w:t>Policy Measure 1</w:t>
      </w:r>
      <w:r w:rsidRPr="00D37004">
        <w:rPr>
          <w:noProof/>
        </w:rPr>
        <w:t xml:space="preserve"> </w:t>
      </w:r>
      <w:r w:rsidRPr="00D37004">
        <w:rPr>
          <w:b/>
          <w:noProof/>
        </w:rPr>
        <w:t>(</w:t>
      </w:r>
      <w:r w:rsidRPr="00D37004">
        <w:rPr>
          <w:b/>
          <w:noProof/>
          <w:u w:val="single"/>
        </w:rPr>
        <w:t>PM1</w:t>
      </w:r>
      <w:r w:rsidRPr="00D37004">
        <w:rPr>
          <w:noProof/>
        </w:rPr>
        <w:t xml:space="preserve">) creates a new working group for </w:t>
      </w:r>
      <w:r w:rsidR="00372EDF">
        <w:rPr>
          <w:noProof/>
        </w:rPr>
        <w:t>DC</w:t>
      </w:r>
      <w:r w:rsidRPr="00D37004">
        <w:rPr>
          <w:noProof/>
        </w:rPr>
        <w:t xml:space="preserve"> operators in the existing Alliance for Industrial Data, Edge and Cloud, enabling exchange of best practices on deployment, and regular institutionalised dialogue between </w:t>
      </w:r>
      <w:r w:rsidR="00372EDF">
        <w:rPr>
          <w:noProof/>
        </w:rPr>
        <w:t>DC</w:t>
      </w:r>
      <w:r w:rsidRPr="00D37004">
        <w:rPr>
          <w:noProof/>
        </w:rPr>
        <w:t xml:space="preserve"> operators, Member State representatives and European CSPs. The working group would be chaired by a representative of the </w:t>
      </w:r>
      <w:r w:rsidR="00372EDF">
        <w:rPr>
          <w:noProof/>
        </w:rPr>
        <w:t>DC</w:t>
      </w:r>
      <w:r w:rsidRPr="00D37004">
        <w:rPr>
          <w:noProof/>
        </w:rPr>
        <w:t xml:space="preserve"> industry, with the Commission providing the secretariat. </w:t>
      </w:r>
    </w:p>
    <w:p w14:paraId="2B3BC589" w14:textId="110D3677" w:rsidR="00E61374" w:rsidRPr="00D37004" w:rsidRDefault="00E61374" w:rsidP="008F5449">
      <w:pPr>
        <w:pStyle w:val="ListBullet"/>
        <w:spacing w:before="120" w:after="120"/>
        <w:ind w:left="284" w:hanging="284"/>
        <w:rPr>
          <w:noProof/>
        </w:rPr>
      </w:pPr>
      <w:r w:rsidRPr="00D37004">
        <w:rPr>
          <w:b/>
          <w:noProof/>
        </w:rPr>
        <w:t>Policy Measure 2 (</w:t>
      </w:r>
      <w:r w:rsidRPr="00D37004">
        <w:rPr>
          <w:b/>
          <w:noProof/>
          <w:u w:val="single"/>
        </w:rPr>
        <w:t>PM2</w:t>
      </w:r>
      <w:r w:rsidRPr="00D37004">
        <w:rPr>
          <w:b/>
          <w:noProof/>
        </w:rPr>
        <w:t xml:space="preserve">) </w:t>
      </w:r>
      <w:r w:rsidRPr="00D37004">
        <w:rPr>
          <w:noProof/>
        </w:rPr>
        <w:t xml:space="preserve">establishes a broader forum for public-private stakeholders </w:t>
      </w:r>
      <w:r>
        <w:rPr>
          <w:noProof/>
        </w:rPr>
        <w:t>(</w:t>
      </w:r>
      <w:r w:rsidR="00372EDF">
        <w:rPr>
          <w:noProof/>
        </w:rPr>
        <w:t>DC</w:t>
      </w:r>
      <w:r w:rsidRPr="00D37004">
        <w:rPr>
          <w:noProof/>
        </w:rPr>
        <w:t xml:space="preserve"> operators, TSOs, connectivity providers, equipment manufacturers, and local authorities</w:t>
      </w:r>
      <w:r>
        <w:rPr>
          <w:noProof/>
        </w:rPr>
        <w:t>),</w:t>
      </w:r>
      <w:r w:rsidRPr="00D37004" w:rsidDel="00FB4976">
        <w:rPr>
          <w:noProof/>
        </w:rPr>
        <w:t xml:space="preserve"> </w:t>
      </w:r>
      <w:r w:rsidRPr="00D37004">
        <w:rPr>
          <w:noProof/>
        </w:rPr>
        <w:t xml:space="preserve">enabling coordination and dialogue on </w:t>
      </w:r>
      <w:r w:rsidR="000436CB">
        <w:rPr>
          <w:noProof/>
        </w:rPr>
        <w:t>DC</w:t>
      </w:r>
      <w:r w:rsidRPr="00D37004">
        <w:rPr>
          <w:noProof/>
        </w:rPr>
        <w:t xml:space="preserve"> projects and on the integration of innovative solutions in </w:t>
      </w:r>
      <w:r w:rsidR="00372EDF">
        <w:rPr>
          <w:noProof/>
        </w:rPr>
        <w:t>DCs</w:t>
      </w:r>
      <w:r w:rsidRPr="00D37004">
        <w:rPr>
          <w:noProof/>
        </w:rPr>
        <w:t>. It would be convened by the Commission and can build on existin</w:t>
      </w:r>
      <w:r>
        <w:rPr>
          <w:noProof/>
        </w:rPr>
        <w:t xml:space="preserve">g ad hoc </w:t>
      </w:r>
      <w:r w:rsidR="00372EDF">
        <w:rPr>
          <w:noProof/>
        </w:rPr>
        <w:t>DC grid</w:t>
      </w:r>
      <w:r w:rsidRPr="00D37004">
        <w:rPr>
          <w:noProof/>
        </w:rPr>
        <w:t xml:space="preserve"> integration roundtables.</w:t>
      </w:r>
    </w:p>
    <w:p w14:paraId="2F15DFA7" w14:textId="16E8AABC" w:rsidR="00E61374" w:rsidRPr="00D37004" w:rsidRDefault="00E61374" w:rsidP="008F5449">
      <w:pPr>
        <w:pStyle w:val="ListBullet"/>
        <w:spacing w:before="120" w:after="120"/>
        <w:ind w:left="284" w:hanging="284"/>
        <w:rPr>
          <w:noProof/>
        </w:rPr>
      </w:pPr>
      <w:r w:rsidRPr="294AF3FA">
        <w:rPr>
          <w:b/>
          <w:bCs/>
          <w:noProof/>
        </w:rPr>
        <w:t>Policy Measure 3 (</w:t>
      </w:r>
      <w:r w:rsidRPr="294AF3FA">
        <w:rPr>
          <w:b/>
          <w:bCs/>
          <w:noProof/>
          <w:u w:val="single"/>
        </w:rPr>
        <w:t>PM3</w:t>
      </w:r>
      <w:r w:rsidRPr="294AF3FA">
        <w:rPr>
          <w:b/>
          <w:bCs/>
          <w:noProof/>
        </w:rPr>
        <w:t xml:space="preserve">) </w:t>
      </w:r>
      <w:r w:rsidRPr="00D37004">
        <w:rPr>
          <w:noProof/>
        </w:rPr>
        <w:t xml:space="preserve">consists of </w:t>
      </w:r>
      <w:r>
        <w:rPr>
          <w:noProof/>
        </w:rPr>
        <w:t xml:space="preserve">adopting </w:t>
      </w:r>
      <w:r w:rsidRPr="00D37004">
        <w:rPr>
          <w:noProof/>
        </w:rPr>
        <w:t xml:space="preserve">EU-level guidelines for deploying sustainable </w:t>
      </w:r>
      <w:r w:rsidR="00372EDF">
        <w:rPr>
          <w:noProof/>
        </w:rPr>
        <w:t>DCs</w:t>
      </w:r>
      <w:r w:rsidRPr="00D37004">
        <w:rPr>
          <w:noProof/>
        </w:rPr>
        <w:t>. These would go beyond best practices on energy efficiency</w:t>
      </w:r>
      <w:r w:rsidRPr="00D37004">
        <w:rPr>
          <w:rStyle w:val="EndnoteReference"/>
          <w:noProof/>
        </w:rPr>
        <w:endnoteReference w:id="165"/>
      </w:r>
      <w:r w:rsidRPr="00D37004">
        <w:rPr>
          <w:noProof/>
        </w:rPr>
        <w:t xml:space="preserve"> and would offer guidance on deploying a sustainable </w:t>
      </w:r>
      <w:r w:rsidR="00372EDF">
        <w:rPr>
          <w:noProof/>
        </w:rPr>
        <w:t>DC</w:t>
      </w:r>
      <w:r w:rsidRPr="00D37004">
        <w:rPr>
          <w:noProof/>
        </w:rPr>
        <w:t xml:space="preserve">. They would include recommendations on identifying suitable </w:t>
      </w:r>
      <w:r w:rsidR="0090581D">
        <w:rPr>
          <w:noProof/>
        </w:rPr>
        <w:t>land</w:t>
      </w:r>
      <w:r w:rsidR="0090581D" w:rsidRPr="00D37004">
        <w:rPr>
          <w:noProof/>
        </w:rPr>
        <w:t xml:space="preserve"> </w:t>
      </w:r>
      <w:r w:rsidRPr="00D37004">
        <w:rPr>
          <w:noProof/>
        </w:rPr>
        <w:t>for deployment. Leveraging the forum created under PM2, the guidelines would be co-developed by its participants and subject to periodic review.</w:t>
      </w:r>
    </w:p>
    <w:p w14:paraId="0DF45A28" w14:textId="1054C61E" w:rsidR="0028382E" w:rsidRDefault="0028382E" w:rsidP="00E61374">
      <w:pPr>
        <w:rPr>
          <w:noProof/>
        </w:rPr>
      </w:pPr>
      <w:r>
        <w:rPr>
          <w:noProof/>
        </w:rPr>
        <w:t xml:space="preserve">This option is a soft way of addressing PD2 (bottlenecks </w:t>
      </w:r>
      <w:r w:rsidR="00A51B41">
        <w:rPr>
          <w:noProof/>
        </w:rPr>
        <w:t>slowing down data centre build-out)</w:t>
      </w:r>
      <w:r w:rsidR="002A1EA6">
        <w:rPr>
          <w:noProof/>
        </w:rPr>
        <w:t xml:space="preserve"> </w:t>
      </w:r>
      <w:r w:rsidR="002A1EA6" w:rsidRPr="009F2DE7">
        <w:rPr>
          <w:noProof/>
        </w:rPr>
        <w:t xml:space="preserve">While they do not directly change factors like permitting or access to energy, they intend to make them less of a bottleneck by </w:t>
      </w:r>
      <w:r w:rsidR="006007E7">
        <w:rPr>
          <w:noProof/>
        </w:rPr>
        <w:t>establishing direct links between the actors that are crucial for driving data centre build-out</w:t>
      </w:r>
      <w:r w:rsidR="006007E7" w:rsidRPr="009F2DE7">
        <w:rPr>
          <w:noProof/>
        </w:rPr>
        <w:t xml:space="preserve"> </w:t>
      </w:r>
      <w:r w:rsidR="006007E7">
        <w:rPr>
          <w:noProof/>
        </w:rPr>
        <w:t xml:space="preserve">and </w:t>
      </w:r>
      <w:r w:rsidR="002A1EA6" w:rsidRPr="009F2DE7">
        <w:rPr>
          <w:noProof/>
        </w:rPr>
        <w:t xml:space="preserve">improving information flows between </w:t>
      </w:r>
      <w:r w:rsidR="006007E7">
        <w:rPr>
          <w:noProof/>
        </w:rPr>
        <w:t>them</w:t>
      </w:r>
      <w:r w:rsidR="002A1EA6" w:rsidRPr="009F2DE7">
        <w:rPr>
          <w:noProof/>
        </w:rPr>
        <w:t xml:space="preserve"> (e.g. between data centre operators and TSOs</w:t>
      </w:r>
      <w:r w:rsidR="006007E7">
        <w:rPr>
          <w:noProof/>
        </w:rPr>
        <w:t xml:space="preserve"> on grid capacity needs</w:t>
      </w:r>
      <w:r w:rsidR="002A1EA6" w:rsidRPr="009F2DE7">
        <w:rPr>
          <w:noProof/>
        </w:rPr>
        <w:t>). The exchange of best practices among data centre operators will help the industry better navigate the deployment environment in the EU and guidelines will help industry identify, for example, the areas in which data centre deployment may unfold more quickly due to available grid capacity.</w:t>
      </w:r>
      <w:r w:rsidR="009949E4" w:rsidRPr="009949E4">
        <w:rPr>
          <w:noProof/>
        </w:rPr>
        <w:t xml:space="preserve"> </w:t>
      </w:r>
      <w:r w:rsidR="009949E4">
        <w:rPr>
          <w:noProof/>
        </w:rPr>
        <w:t xml:space="preserve">Beyond specific projects, the interactions between relevant parties would feed into guidelines for data centre deployment – a collection of best practices to be leveraged for faster data centre build-out across the EU. This option would improve the connection between European CSPs (existing Alliance members) and key data centre players (future Alliance members under this option). This would improve opportunities for European CSPs to access data centre capacity or participate directly in the build-out. </w:t>
      </w:r>
    </w:p>
    <w:p w14:paraId="14FA8F06" w14:textId="02FFEE4B" w:rsidR="00E61374" w:rsidRPr="00210E7C" w:rsidRDefault="00E61374" w:rsidP="00E61374">
      <w:pPr>
        <w:rPr>
          <w:noProof/>
        </w:rPr>
      </w:pPr>
      <w:r w:rsidRPr="00210E7C">
        <w:rPr>
          <w:noProof/>
        </w:rPr>
        <w:t>The existing Cloud Alliance is a vibrant community of cloud companies wh</w:t>
      </w:r>
      <w:r w:rsidR="00380689">
        <w:rPr>
          <w:noProof/>
        </w:rPr>
        <w:t>ich</w:t>
      </w:r>
      <w:r w:rsidRPr="00210E7C">
        <w:rPr>
          <w:noProof/>
        </w:rPr>
        <w:t xml:space="preserve"> collaborate around projects of common interest</w:t>
      </w:r>
      <w:r>
        <w:rPr>
          <w:noProof/>
        </w:rPr>
        <w:t xml:space="preserve"> and </w:t>
      </w:r>
      <w:r w:rsidRPr="00210E7C">
        <w:rPr>
          <w:noProof/>
        </w:rPr>
        <w:t>are generally eager to extend membership up/downstream</w:t>
      </w:r>
      <w:r>
        <w:rPr>
          <w:noProof/>
        </w:rPr>
        <w:t xml:space="preserve">, i.e. to </w:t>
      </w:r>
      <w:r w:rsidR="00372EDF">
        <w:rPr>
          <w:noProof/>
        </w:rPr>
        <w:t>DC</w:t>
      </w:r>
      <w:r>
        <w:rPr>
          <w:noProof/>
        </w:rPr>
        <w:t xml:space="preserve"> operators and their equipment manufacturers</w:t>
      </w:r>
      <w:r w:rsidRPr="00210E7C">
        <w:rPr>
          <w:noProof/>
        </w:rPr>
        <w:t xml:space="preserve">. </w:t>
      </w:r>
      <w:r>
        <w:rPr>
          <w:noProof/>
        </w:rPr>
        <w:t xml:space="preserve">As part of the public consultation, 85% of business respondents (n=52) supported the development of </w:t>
      </w:r>
      <w:r w:rsidR="00F307FF">
        <w:rPr>
          <w:noProof/>
        </w:rPr>
        <w:t>EU</w:t>
      </w:r>
      <w:r>
        <w:rPr>
          <w:noProof/>
        </w:rPr>
        <w:t xml:space="preserve"> guidelines. </w:t>
      </w:r>
    </w:p>
    <w:p w14:paraId="6B4D9558" w14:textId="77777777" w:rsidR="00E61374" w:rsidRPr="00A14194" w:rsidRDefault="00E61374" w:rsidP="00A14194">
      <w:pPr>
        <w:spacing w:before="120"/>
        <w:rPr>
          <w:b/>
          <w:bCs/>
          <w:noProof/>
          <w:u w:val="single"/>
        </w:rPr>
      </w:pPr>
      <w:bookmarkStart w:id="43" w:name="_Hlk213431638"/>
      <w:r w:rsidRPr="00A14194">
        <w:rPr>
          <w:b/>
          <w:bCs/>
          <w:noProof/>
          <w:u w:val="single"/>
        </w:rPr>
        <w:t xml:space="preserve">Policy Option PO1-B: Legislative and financial intervention enforced nationally </w:t>
      </w:r>
    </w:p>
    <w:p w14:paraId="1A674BB4" w14:textId="77777777" w:rsidR="00E61374" w:rsidRPr="00D37004" w:rsidRDefault="00E61374" w:rsidP="00106DBB">
      <w:pPr>
        <w:spacing w:after="0"/>
        <w:rPr>
          <w:noProof/>
        </w:rPr>
      </w:pPr>
      <w:r w:rsidRPr="00D37004">
        <w:rPr>
          <w:noProof/>
        </w:rPr>
        <w:t>This second policy option consists of legislative and financial intervention</w:t>
      </w:r>
      <w:r w:rsidRPr="00D37004" w:rsidDel="000820A7">
        <w:rPr>
          <w:noProof/>
        </w:rPr>
        <w:t xml:space="preserve"> </w:t>
      </w:r>
      <w:r w:rsidRPr="00D37004">
        <w:rPr>
          <w:noProof/>
        </w:rPr>
        <w:t>implemented at national level, w</w:t>
      </w:r>
      <w:r>
        <w:rPr>
          <w:noProof/>
        </w:rPr>
        <w:t>here</w:t>
      </w:r>
      <w:r w:rsidRPr="00D37004">
        <w:rPr>
          <w:noProof/>
        </w:rPr>
        <w:t xml:space="preserve"> the EU-level intervention is limited to a coordination role.</w:t>
      </w:r>
    </w:p>
    <w:p w14:paraId="07D00040" w14:textId="552DCDB1" w:rsidR="00E61374" w:rsidRPr="00CE08DD" w:rsidRDefault="00E61374" w:rsidP="008F5449">
      <w:pPr>
        <w:pStyle w:val="ListBullet"/>
        <w:spacing w:before="120" w:after="120"/>
        <w:ind w:left="284" w:hanging="284"/>
        <w:rPr>
          <w:noProof/>
        </w:rPr>
      </w:pPr>
      <w:r w:rsidRPr="009367F6">
        <w:rPr>
          <w:b/>
          <w:bCs/>
          <w:noProof/>
        </w:rPr>
        <w:t>Policy Measure 4 (</w:t>
      </w:r>
      <w:r w:rsidRPr="009367F6">
        <w:rPr>
          <w:b/>
          <w:bCs/>
          <w:noProof/>
          <w:u w:val="single"/>
        </w:rPr>
        <w:t>PM4</w:t>
      </w:r>
      <w:r w:rsidRPr="009367F6">
        <w:rPr>
          <w:b/>
          <w:bCs/>
          <w:noProof/>
        </w:rPr>
        <w:t>)</w:t>
      </w:r>
      <w:r w:rsidRPr="00CE08DD">
        <w:rPr>
          <w:noProof/>
        </w:rPr>
        <w:t xml:space="preserve"> obliges Member States to designate a national facilitator for all </w:t>
      </w:r>
      <w:r w:rsidR="00372EDF">
        <w:rPr>
          <w:noProof/>
        </w:rPr>
        <w:t>DC</w:t>
      </w:r>
      <w:r w:rsidRPr="00CE08DD">
        <w:rPr>
          <w:noProof/>
        </w:rPr>
        <w:t xml:space="preserve"> projects. Member States would be free to designate as facilitator the entity that suits the task best within their own national structures, for example a service within their central administration or an agency. The</w:t>
      </w:r>
      <w:r w:rsidRPr="00CE08DD" w:rsidDel="00C82B8F">
        <w:rPr>
          <w:noProof/>
        </w:rPr>
        <w:t xml:space="preserve"> </w:t>
      </w:r>
      <w:r w:rsidRPr="00CE08DD">
        <w:rPr>
          <w:noProof/>
        </w:rPr>
        <w:t xml:space="preserve">facilitator would accompany the applicants from start to finish of the </w:t>
      </w:r>
      <w:r w:rsidR="00372EDF">
        <w:rPr>
          <w:noProof/>
        </w:rPr>
        <w:t>DC</w:t>
      </w:r>
      <w:r w:rsidRPr="00CE08DD">
        <w:rPr>
          <w:noProof/>
        </w:rPr>
        <w:t xml:space="preserve"> project for all authorisations relevant to </w:t>
      </w:r>
      <w:r w:rsidR="00372EDF">
        <w:rPr>
          <w:noProof/>
        </w:rPr>
        <w:t>DC</w:t>
      </w:r>
      <w:r w:rsidRPr="00CE08DD">
        <w:rPr>
          <w:noProof/>
        </w:rPr>
        <w:t xml:space="preserve"> rollout, i.e. planning and building permits, environmental assessments, water and heat use authorisations, and grid connections. Where needed, the facilitator would escalate issues for rapid resolution and interact with the designated facilitator in another Member State if needed for a specific </w:t>
      </w:r>
      <w:r w:rsidR="00372EDF">
        <w:rPr>
          <w:noProof/>
        </w:rPr>
        <w:t>DC</w:t>
      </w:r>
      <w:r w:rsidRPr="00CE08DD">
        <w:rPr>
          <w:noProof/>
        </w:rPr>
        <w:t xml:space="preserve">. </w:t>
      </w:r>
    </w:p>
    <w:p w14:paraId="51A65225" w14:textId="7B37A929" w:rsidR="00E61374" w:rsidRPr="00CE08DD" w:rsidRDefault="00E61374" w:rsidP="008F5449">
      <w:pPr>
        <w:pStyle w:val="ListBullet"/>
        <w:spacing w:before="120" w:after="120"/>
        <w:ind w:left="284" w:hanging="284"/>
        <w:rPr>
          <w:noProof/>
        </w:rPr>
      </w:pPr>
      <w:r w:rsidRPr="009367F6">
        <w:rPr>
          <w:b/>
          <w:bCs/>
          <w:noProof/>
        </w:rPr>
        <w:t>Policy Measure 5 (</w:t>
      </w:r>
      <w:r w:rsidRPr="009367F6">
        <w:rPr>
          <w:b/>
          <w:bCs/>
          <w:noProof/>
          <w:u w:val="single"/>
        </w:rPr>
        <w:t>PM5</w:t>
      </w:r>
      <w:r w:rsidRPr="009367F6">
        <w:rPr>
          <w:b/>
          <w:bCs/>
          <w:noProof/>
        </w:rPr>
        <w:t>)</w:t>
      </w:r>
      <w:r w:rsidRPr="00CE08DD">
        <w:rPr>
          <w:noProof/>
        </w:rPr>
        <w:t xml:space="preserve"> </w:t>
      </w:r>
      <w:r w:rsidR="00307C7D">
        <w:rPr>
          <w:noProof/>
        </w:rPr>
        <w:t xml:space="preserve">on the basis of </w:t>
      </w:r>
      <w:r w:rsidR="00A811D1">
        <w:rPr>
          <w:noProof/>
        </w:rPr>
        <w:t xml:space="preserve">a </w:t>
      </w:r>
      <w:r w:rsidR="008803A0">
        <w:rPr>
          <w:noProof/>
        </w:rPr>
        <w:t xml:space="preserve">national </w:t>
      </w:r>
      <w:r w:rsidR="00A811D1">
        <w:rPr>
          <w:noProof/>
        </w:rPr>
        <w:t>data centre</w:t>
      </w:r>
      <w:r w:rsidR="008803A0">
        <w:rPr>
          <w:noProof/>
        </w:rPr>
        <w:t xml:space="preserve"> </w:t>
      </w:r>
      <w:r w:rsidR="00A811D1">
        <w:rPr>
          <w:noProof/>
        </w:rPr>
        <w:t>strategy</w:t>
      </w:r>
      <w:r w:rsidR="008803A0">
        <w:rPr>
          <w:noProof/>
        </w:rPr>
        <w:t>,</w:t>
      </w:r>
      <w:r w:rsidRPr="00CE08DD">
        <w:rPr>
          <w:noProof/>
        </w:rPr>
        <w:t xml:space="preserve"> obliges Member States to identify </w:t>
      </w:r>
      <w:r w:rsidR="005071CD">
        <w:rPr>
          <w:noProof/>
        </w:rPr>
        <w:t xml:space="preserve">suitable </w:t>
      </w:r>
      <w:r w:rsidRPr="00CE08DD">
        <w:rPr>
          <w:noProof/>
        </w:rPr>
        <w:t>areas</w:t>
      </w:r>
      <w:r w:rsidRPr="00CE08DD" w:rsidDel="00B234C6">
        <w:rPr>
          <w:noProof/>
        </w:rPr>
        <w:t xml:space="preserve"> </w:t>
      </w:r>
      <w:r w:rsidRPr="00CE08DD">
        <w:rPr>
          <w:noProof/>
        </w:rPr>
        <w:t xml:space="preserve">to fast-track the deployment of </w:t>
      </w:r>
      <w:r w:rsidR="00372EDF">
        <w:rPr>
          <w:noProof/>
        </w:rPr>
        <w:t>DCs</w:t>
      </w:r>
      <w:r w:rsidRPr="00CE08DD">
        <w:rPr>
          <w:noProof/>
        </w:rPr>
        <w:t xml:space="preserve">. The identification process would follow commonly defined EU-level criteria and ensure that the area displays the necessary characteristics for </w:t>
      </w:r>
      <w:r w:rsidR="00372EDF">
        <w:rPr>
          <w:noProof/>
        </w:rPr>
        <w:t>DC</w:t>
      </w:r>
      <w:r w:rsidRPr="00CE08DD">
        <w:rPr>
          <w:noProof/>
        </w:rPr>
        <w:t xml:space="preserve"> deployment, e.g. connectivity and guaranteed existing or future grid availability. Within these areas, Member States would be required to enact – based on their choice - measures for accelerated </w:t>
      </w:r>
      <w:r w:rsidR="00372EDF">
        <w:rPr>
          <w:noProof/>
        </w:rPr>
        <w:t>DC</w:t>
      </w:r>
      <w:r w:rsidRPr="00CE08DD">
        <w:rPr>
          <w:noProof/>
        </w:rPr>
        <w:t xml:space="preserve"> deployment, beyond administrative acceleration for environmental screenings</w:t>
      </w:r>
      <w:r w:rsidR="000361E1">
        <w:rPr>
          <w:noProof/>
        </w:rPr>
        <w:t xml:space="preserve"> and communicate clearly on the applicable procedures</w:t>
      </w:r>
      <w:r w:rsidR="00FA4B6B">
        <w:rPr>
          <w:noProof/>
        </w:rPr>
        <w:t xml:space="preserve"> and criteria</w:t>
      </w:r>
      <w:r w:rsidR="008B5A8D">
        <w:rPr>
          <w:noProof/>
        </w:rPr>
        <w:t>. This</w:t>
      </w:r>
      <w:r w:rsidR="00E76D5E">
        <w:rPr>
          <w:noProof/>
        </w:rPr>
        <w:t xml:space="preserve"> could include a particular </w:t>
      </w:r>
      <w:r w:rsidR="008C4F7B">
        <w:rPr>
          <w:noProof/>
        </w:rPr>
        <w:t xml:space="preserve">end use for the Data Centre </w:t>
      </w:r>
      <w:r w:rsidR="008B5A8D">
        <w:rPr>
          <w:noProof/>
        </w:rPr>
        <w:t xml:space="preserve">such as being part of a broader </w:t>
      </w:r>
      <w:r w:rsidR="006626AF">
        <w:rPr>
          <w:noProof/>
        </w:rPr>
        <w:t xml:space="preserve">digital </w:t>
      </w:r>
      <w:r w:rsidR="008B5A8D">
        <w:rPr>
          <w:noProof/>
        </w:rPr>
        <w:t>ecosystem</w:t>
      </w:r>
      <w:r w:rsidR="006626AF">
        <w:rPr>
          <w:noProof/>
        </w:rPr>
        <w:t xml:space="preserve"> implementing the Apply AI objectives of the </w:t>
      </w:r>
      <w:r w:rsidR="00471267">
        <w:rPr>
          <w:noProof/>
        </w:rPr>
        <w:t>Union.</w:t>
      </w:r>
      <w:r w:rsidRPr="00CE08DD">
        <w:rPr>
          <w:noProof/>
        </w:rPr>
        <w:t xml:space="preserve"> The toolbox established in the new Regulation on speeding-up environmental assessments would be leveraged for designated areas, to allow them to benefit from the additional favourable provisions in environmental assessments. In designating the area and designing the related acceleration measures, Member States would receive support from an EU-level coordination hub. </w:t>
      </w:r>
      <w:r w:rsidR="00627E7C" w:rsidRPr="00CE08DD">
        <w:rPr>
          <w:noProof/>
        </w:rPr>
        <w:t>Established within the Commission, the hub will offer technical assistance to Member States.</w:t>
      </w:r>
      <w:r w:rsidR="00627E7C">
        <w:rPr>
          <w:noProof/>
        </w:rPr>
        <w:t xml:space="preserve"> </w:t>
      </w:r>
      <w:r w:rsidR="000906B5">
        <w:rPr>
          <w:noProof/>
        </w:rPr>
        <w:t xml:space="preserve">The </w:t>
      </w:r>
      <w:r w:rsidR="00662E3B">
        <w:rPr>
          <w:noProof/>
        </w:rPr>
        <w:t>designation of</w:t>
      </w:r>
      <w:r w:rsidR="000906B5">
        <w:rPr>
          <w:noProof/>
        </w:rPr>
        <w:t xml:space="preserve"> acceleration zones </w:t>
      </w:r>
      <w:r w:rsidR="005933AF">
        <w:rPr>
          <w:noProof/>
        </w:rPr>
        <w:t>could include a</w:t>
      </w:r>
      <w:r w:rsidR="00E56313">
        <w:rPr>
          <w:noProof/>
        </w:rPr>
        <w:t>n EU-level</w:t>
      </w:r>
      <w:r w:rsidR="005933AF">
        <w:rPr>
          <w:noProof/>
        </w:rPr>
        <w:t xml:space="preserve"> mechanism</w:t>
      </w:r>
      <w:r w:rsidR="000906B5">
        <w:rPr>
          <w:noProof/>
        </w:rPr>
        <w:t xml:space="preserve"> </w:t>
      </w:r>
      <w:r w:rsidR="00EB2152">
        <w:rPr>
          <w:noProof/>
        </w:rPr>
        <w:t>to a</w:t>
      </w:r>
      <w:r w:rsidR="00857236">
        <w:rPr>
          <w:noProof/>
        </w:rPr>
        <w:t xml:space="preserve">ttract smaller </w:t>
      </w:r>
      <w:r w:rsidR="00D742CA">
        <w:rPr>
          <w:noProof/>
        </w:rPr>
        <w:t>users of collocation capacity.</w:t>
      </w:r>
      <w:r w:rsidRPr="00CE08DD">
        <w:rPr>
          <w:noProof/>
        </w:rPr>
        <w:t xml:space="preserve"> Where such status exists in the national context and beyond environmental assessments, </w:t>
      </w:r>
      <w:r w:rsidR="00372EDF">
        <w:rPr>
          <w:noProof/>
        </w:rPr>
        <w:t>DCs</w:t>
      </w:r>
      <w:r w:rsidRPr="00CE08DD">
        <w:rPr>
          <w:noProof/>
        </w:rPr>
        <w:t xml:space="preserve"> would receive favourable status in administrative procedures as projects of highest national significance. In identified suitable sites, Member States would be bound to the target of reaching a maximum timeline of 18 months for all relevant permits beyond environmental assessments</w:t>
      </w:r>
      <w:r w:rsidRPr="00A14194">
        <w:rPr>
          <w:rStyle w:val="FootnoteReference"/>
          <w:noProof/>
        </w:rPr>
        <w:footnoteReference w:id="91"/>
      </w:r>
      <w:r w:rsidRPr="00CE08DD">
        <w:rPr>
          <w:noProof/>
        </w:rPr>
        <w:t xml:space="preserve">. Some </w:t>
      </w:r>
      <w:r w:rsidRPr="00CE08DD" w:rsidDel="00DC2289">
        <w:rPr>
          <w:noProof/>
        </w:rPr>
        <w:t>f</w:t>
      </w:r>
      <w:r w:rsidRPr="00CE08DD" w:rsidDel="009603E2">
        <w:rPr>
          <w:noProof/>
        </w:rPr>
        <w:t>ast</w:t>
      </w:r>
      <w:r w:rsidRPr="00CE08DD">
        <w:rPr>
          <w:noProof/>
        </w:rPr>
        <w:t xml:space="preserve">-track areas would be reserved to </w:t>
      </w:r>
      <w:r w:rsidR="00372EDF">
        <w:rPr>
          <w:noProof/>
        </w:rPr>
        <w:t>DCs</w:t>
      </w:r>
      <w:r w:rsidRPr="00CE08DD">
        <w:rPr>
          <w:noProof/>
        </w:rPr>
        <w:t xml:space="preserve"> that are of a particular added value to the EU, for examples based on their innovation or sustainability performance (measured in line with the upcoming rating scheme under the </w:t>
      </w:r>
      <w:r w:rsidR="0013014D">
        <w:rPr>
          <w:noProof/>
        </w:rPr>
        <w:t>EED</w:t>
      </w:r>
      <w:r w:rsidRPr="00CE08DD">
        <w:rPr>
          <w:noProof/>
        </w:rPr>
        <w:t xml:space="preserve">) or because of the users they will serve. Accordingly, access requirements in terms of sustainability would be defined at EU level but would leave freedom to Member States to add criteria. </w:t>
      </w:r>
    </w:p>
    <w:p w14:paraId="74AA2670" w14:textId="1365F365" w:rsidR="00E61374" w:rsidRPr="00CE08DD" w:rsidRDefault="00E61374" w:rsidP="008F5449">
      <w:pPr>
        <w:pStyle w:val="ListBullet"/>
        <w:spacing w:before="120" w:after="120"/>
        <w:ind w:left="284" w:hanging="284"/>
        <w:rPr>
          <w:noProof/>
        </w:rPr>
      </w:pPr>
      <w:r w:rsidRPr="009367F6">
        <w:rPr>
          <w:b/>
          <w:bCs/>
          <w:noProof/>
        </w:rPr>
        <w:t>Policy Measure 6 (</w:t>
      </w:r>
      <w:r w:rsidRPr="009367F6">
        <w:rPr>
          <w:b/>
          <w:bCs/>
          <w:noProof/>
          <w:u w:val="single"/>
        </w:rPr>
        <w:t>PM6</w:t>
      </w:r>
      <w:r w:rsidRPr="009367F6">
        <w:rPr>
          <w:b/>
          <w:bCs/>
          <w:noProof/>
        </w:rPr>
        <w:t>)</w:t>
      </w:r>
      <w:r w:rsidRPr="00CE08DD">
        <w:rPr>
          <w:noProof/>
        </w:rPr>
        <w:t xml:space="preserve"> consists of </w:t>
      </w:r>
      <w:r w:rsidR="00971291">
        <w:rPr>
          <w:noProof/>
        </w:rPr>
        <w:t xml:space="preserve">the possibility </w:t>
      </w:r>
      <w:r w:rsidR="003F336C">
        <w:rPr>
          <w:noProof/>
        </w:rPr>
        <w:t>of</w:t>
      </w:r>
      <w:r w:rsidRPr="00CE08DD">
        <w:rPr>
          <w:noProof/>
        </w:rPr>
        <w:t xml:space="preserve"> Member States to voluntarily grant public support in line with applicable State aid rules to particularly innovative and sustainable </w:t>
      </w:r>
      <w:r w:rsidR="00372EDF">
        <w:rPr>
          <w:noProof/>
        </w:rPr>
        <w:t>DC</w:t>
      </w:r>
      <w:r w:rsidRPr="00CE08DD">
        <w:rPr>
          <w:noProof/>
        </w:rPr>
        <w:t xml:space="preserve"> projects located in the fast-track areas of PM5 (as with PM5, the sustainability performance would be in line with</w:t>
      </w:r>
      <w:r w:rsidRPr="00CE08DD" w:rsidDel="00B32594">
        <w:rPr>
          <w:noProof/>
        </w:rPr>
        <w:t xml:space="preserve"> the </w:t>
      </w:r>
      <w:r w:rsidR="0013014D">
        <w:rPr>
          <w:noProof/>
        </w:rPr>
        <w:t>EED’s</w:t>
      </w:r>
      <w:r w:rsidRPr="00CE08DD">
        <w:rPr>
          <w:noProof/>
        </w:rPr>
        <w:t xml:space="preserve"> rating scheme). Public support could take the form of tax incentives and consider rewarding </w:t>
      </w:r>
      <w:r w:rsidR="00372EDF">
        <w:rPr>
          <w:noProof/>
        </w:rPr>
        <w:t>DCs</w:t>
      </w:r>
      <w:r w:rsidRPr="00CE08DD">
        <w:rPr>
          <w:noProof/>
        </w:rPr>
        <w:t xml:space="preserve"> which contribute positively to grid flexibility and stability.</w:t>
      </w:r>
    </w:p>
    <w:p w14:paraId="3E917E17" w14:textId="5DD836EA" w:rsidR="00E61374" w:rsidRPr="00CE08DD" w:rsidRDefault="00E61374" w:rsidP="008F5449">
      <w:pPr>
        <w:pStyle w:val="ListBullet"/>
        <w:spacing w:before="120" w:after="120"/>
        <w:ind w:left="284" w:hanging="284"/>
        <w:rPr>
          <w:noProof/>
        </w:rPr>
      </w:pPr>
      <w:r w:rsidRPr="009367F6">
        <w:rPr>
          <w:b/>
          <w:bCs/>
          <w:noProof/>
        </w:rPr>
        <w:t>Policy Measure 7 (</w:t>
      </w:r>
      <w:r w:rsidRPr="009367F6">
        <w:rPr>
          <w:b/>
          <w:bCs/>
          <w:noProof/>
          <w:u w:val="single"/>
        </w:rPr>
        <w:t>PM7</w:t>
      </w:r>
      <w:r w:rsidRPr="009367F6">
        <w:rPr>
          <w:b/>
          <w:bCs/>
          <w:noProof/>
        </w:rPr>
        <w:t>)</w:t>
      </w:r>
      <w:r w:rsidRPr="00CE08DD">
        <w:rPr>
          <w:noProof/>
        </w:rPr>
        <w:t xml:space="preserve"> sets an EU-wide </w:t>
      </w:r>
      <w:r w:rsidR="00372EDF">
        <w:rPr>
          <w:noProof/>
        </w:rPr>
        <w:t>DC</w:t>
      </w:r>
      <w:r w:rsidRPr="00CE08DD">
        <w:rPr>
          <w:noProof/>
        </w:rPr>
        <w:t xml:space="preserve"> capacity target which Member States must collectively reach by 2035 and an EU-level monitoring of the progress towards reaching the target. The capacity target would be formulated in MW of </w:t>
      </w:r>
      <w:r w:rsidR="00372EDF">
        <w:rPr>
          <w:noProof/>
        </w:rPr>
        <w:t>DC</w:t>
      </w:r>
      <w:r w:rsidRPr="00CE08DD">
        <w:rPr>
          <w:noProof/>
        </w:rPr>
        <w:t xml:space="preserve"> capacity and would aim to close the compute capacity gap while monitoring of capacity growth in underserved regions, thereby fostering a more geographically balanced distribution of such capacity over time. The monitoring would be integrated into the existing </w:t>
      </w:r>
      <w:r w:rsidR="00217F2B">
        <w:rPr>
          <w:noProof/>
        </w:rPr>
        <w:t>digital decade</w:t>
      </w:r>
      <w:r w:rsidRPr="00CE08DD">
        <w:rPr>
          <w:noProof/>
        </w:rPr>
        <w:t xml:space="preserve"> cycle which would result in an annual report on progress – both at EU and Member State level. </w:t>
      </w:r>
    </w:p>
    <w:p w14:paraId="30EE484A" w14:textId="415EF5A9" w:rsidR="00C45CAD" w:rsidRDefault="00C45CAD" w:rsidP="00E61374">
      <w:pPr>
        <w:rPr>
          <w:noProof/>
        </w:rPr>
      </w:pPr>
      <w:r>
        <w:rPr>
          <w:noProof/>
        </w:rPr>
        <w:t xml:space="preserve">This policy option would help </w:t>
      </w:r>
      <w:r w:rsidR="000578F6">
        <w:rPr>
          <w:noProof/>
        </w:rPr>
        <w:t>overcome the identified bottlenecks currently slowing down data centre deployment (PD2)</w:t>
      </w:r>
      <w:r w:rsidR="00C33B97">
        <w:rPr>
          <w:noProof/>
        </w:rPr>
        <w:t xml:space="preserve">: </w:t>
      </w:r>
      <w:r w:rsidR="00915A78">
        <w:rPr>
          <w:noProof/>
        </w:rPr>
        <w:t xml:space="preserve">The </w:t>
      </w:r>
      <w:r w:rsidR="00702EA9">
        <w:rPr>
          <w:noProof/>
        </w:rPr>
        <w:t xml:space="preserve">identification of suitable sites </w:t>
      </w:r>
      <w:r w:rsidR="004D2931">
        <w:rPr>
          <w:noProof/>
        </w:rPr>
        <w:t xml:space="preserve">for DC deployment </w:t>
      </w:r>
      <w:r w:rsidR="00127A7F">
        <w:rPr>
          <w:noProof/>
        </w:rPr>
        <w:t>is a time-consuming and cumberso</w:t>
      </w:r>
      <w:r w:rsidR="00AE60D2">
        <w:rPr>
          <w:noProof/>
        </w:rPr>
        <w:t xml:space="preserve">me step </w:t>
      </w:r>
      <w:r w:rsidR="00C75257">
        <w:rPr>
          <w:noProof/>
        </w:rPr>
        <w:t>usually undertaken solely by DC investors</w:t>
      </w:r>
      <w:r w:rsidR="00127A7F">
        <w:rPr>
          <w:noProof/>
        </w:rPr>
        <w:t xml:space="preserve"> </w:t>
      </w:r>
      <w:r w:rsidR="005A4780">
        <w:rPr>
          <w:noProof/>
        </w:rPr>
        <w:t xml:space="preserve">who work on the basis of incomplete or inaccessible data (e.g. </w:t>
      </w:r>
      <w:r w:rsidR="005E1754">
        <w:rPr>
          <w:noProof/>
        </w:rPr>
        <w:t xml:space="preserve">there’s no publicly accessible repository of </w:t>
      </w:r>
      <w:r w:rsidR="0063650F">
        <w:rPr>
          <w:noProof/>
        </w:rPr>
        <w:t xml:space="preserve">areas with </w:t>
      </w:r>
      <w:r w:rsidR="0077627F">
        <w:rPr>
          <w:noProof/>
        </w:rPr>
        <w:t>electricity a</w:t>
      </w:r>
      <w:r w:rsidR="00B26E13">
        <w:rPr>
          <w:noProof/>
        </w:rPr>
        <w:t>vailability</w:t>
      </w:r>
      <w:r w:rsidR="006C63F9">
        <w:rPr>
          <w:noProof/>
        </w:rPr>
        <w:t>).</w:t>
      </w:r>
      <w:r w:rsidR="004D2931">
        <w:rPr>
          <w:noProof/>
        </w:rPr>
        <w:t xml:space="preserve"> </w:t>
      </w:r>
      <w:r w:rsidR="00915A78">
        <w:rPr>
          <w:noProof/>
        </w:rPr>
        <w:t xml:space="preserve">The national facilitator would help data centre operators navigate permitting requirements and help </w:t>
      </w:r>
      <w:r w:rsidR="00A241E4">
        <w:rPr>
          <w:noProof/>
        </w:rPr>
        <w:t>relevant authorities process requests</w:t>
      </w:r>
      <w:r w:rsidR="00915A78">
        <w:rPr>
          <w:noProof/>
        </w:rPr>
        <w:t xml:space="preserve"> as efficiently as possible</w:t>
      </w:r>
      <w:r w:rsidR="00721B58">
        <w:rPr>
          <w:noProof/>
        </w:rPr>
        <w:t xml:space="preserve">. </w:t>
      </w:r>
      <w:r w:rsidR="009222F8">
        <w:rPr>
          <w:noProof/>
        </w:rPr>
        <w:t>Rather than altering permitting procedures</w:t>
      </w:r>
      <w:r w:rsidR="00DC10E4">
        <w:rPr>
          <w:noProof/>
        </w:rPr>
        <w:t xml:space="preserve"> and</w:t>
      </w:r>
      <w:r w:rsidR="009222F8">
        <w:rPr>
          <w:noProof/>
        </w:rPr>
        <w:t xml:space="preserve"> </w:t>
      </w:r>
      <w:r w:rsidR="00B054A2">
        <w:rPr>
          <w:noProof/>
        </w:rPr>
        <w:t xml:space="preserve">changing local requirements, </w:t>
      </w:r>
      <w:r w:rsidR="00D300AB">
        <w:rPr>
          <w:noProof/>
        </w:rPr>
        <w:t xml:space="preserve">this option </w:t>
      </w:r>
      <w:r w:rsidR="00303455">
        <w:rPr>
          <w:noProof/>
        </w:rPr>
        <w:t>addresses regulatory complexity by making it more navigable for data centre operators</w:t>
      </w:r>
      <w:r w:rsidR="00A5762D">
        <w:rPr>
          <w:noProof/>
        </w:rPr>
        <w:t xml:space="preserve"> and ensuring fastest possible treatment w</w:t>
      </w:r>
      <w:r w:rsidR="0055401C">
        <w:rPr>
          <w:noProof/>
        </w:rPr>
        <w:t xml:space="preserve">ithin </w:t>
      </w:r>
      <w:r w:rsidR="00A5762D">
        <w:rPr>
          <w:noProof/>
        </w:rPr>
        <w:t xml:space="preserve">fast-track areas. The designation of fast-track areas </w:t>
      </w:r>
      <w:r w:rsidR="006A3603">
        <w:rPr>
          <w:noProof/>
        </w:rPr>
        <w:t>would</w:t>
      </w:r>
      <w:r w:rsidR="00A5762D">
        <w:rPr>
          <w:noProof/>
        </w:rPr>
        <w:t xml:space="preserve"> help data centre operators </w:t>
      </w:r>
      <w:r w:rsidR="0036172E">
        <w:rPr>
          <w:noProof/>
        </w:rPr>
        <w:t>identify suitable land</w:t>
      </w:r>
      <w:r w:rsidR="00151671">
        <w:rPr>
          <w:noProof/>
        </w:rPr>
        <w:t xml:space="preserve">. </w:t>
      </w:r>
      <w:r w:rsidR="002E672E">
        <w:rPr>
          <w:noProof/>
        </w:rPr>
        <w:t>Th</w:t>
      </w:r>
      <w:r w:rsidR="00CC4735">
        <w:rPr>
          <w:noProof/>
        </w:rPr>
        <w:t>e</w:t>
      </w:r>
      <w:r w:rsidR="002E672E">
        <w:rPr>
          <w:noProof/>
        </w:rPr>
        <w:t>s</w:t>
      </w:r>
      <w:r w:rsidR="00CC4735">
        <w:rPr>
          <w:noProof/>
        </w:rPr>
        <w:t>e</w:t>
      </w:r>
      <w:r w:rsidR="002E672E" w:rsidDel="002E672E">
        <w:rPr>
          <w:noProof/>
        </w:rPr>
        <w:t xml:space="preserve"> </w:t>
      </w:r>
      <w:r w:rsidR="002E672E">
        <w:rPr>
          <w:noProof/>
        </w:rPr>
        <w:t>measures would also aim to improve transparency and coordination around zoning and grid access to facilitate more contestable access to key inputs.</w:t>
      </w:r>
      <w:r w:rsidR="002E672E" w:rsidRPr="00D37004">
        <w:rPr>
          <w:noProof/>
        </w:rPr>
        <w:t xml:space="preserve"> </w:t>
      </w:r>
      <w:r w:rsidR="006A3603">
        <w:rPr>
          <w:noProof/>
        </w:rPr>
        <w:t xml:space="preserve">Through the option for national funding, this option allows the de-risking of </w:t>
      </w:r>
      <w:r w:rsidR="00E62499">
        <w:rPr>
          <w:noProof/>
        </w:rPr>
        <w:t>investments in strategic data centre projects</w:t>
      </w:r>
      <w:r w:rsidR="002D0405">
        <w:rPr>
          <w:noProof/>
        </w:rPr>
        <w:t>, helping overcome access-to-capital issues.</w:t>
      </w:r>
      <w:r w:rsidR="000578F6">
        <w:rPr>
          <w:noProof/>
        </w:rPr>
        <w:t xml:space="preserve"> </w:t>
      </w:r>
      <w:r w:rsidR="00B032F5">
        <w:rPr>
          <w:noProof/>
        </w:rPr>
        <w:t xml:space="preserve">This can prove particularly beneficial </w:t>
      </w:r>
      <w:r w:rsidR="00D35B8E">
        <w:rPr>
          <w:noProof/>
        </w:rPr>
        <w:t xml:space="preserve">for </w:t>
      </w:r>
      <w:r w:rsidR="00194CDE">
        <w:rPr>
          <w:noProof/>
        </w:rPr>
        <w:t>European providers to gain access to data centre capacity</w:t>
      </w:r>
      <w:r w:rsidR="00263505">
        <w:rPr>
          <w:noProof/>
        </w:rPr>
        <w:t xml:space="preserve"> or participate in the build-out themselves, which can </w:t>
      </w:r>
      <w:r w:rsidR="005B0D98">
        <w:rPr>
          <w:noProof/>
        </w:rPr>
        <w:t xml:space="preserve">boost the scale and scope of services provided by Europeans (PD1). </w:t>
      </w:r>
      <w:r w:rsidR="00194CDE">
        <w:rPr>
          <w:noProof/>
        </w:rPr>
        <w:t xml:space="preserve"> </w:t>
      </w:r>
    </w:p>
    <w:p w14:paraId="659B7014" w14:textId="481B8FE9" w:rsidR="00E61374" w:rsidRPr="00D37004" w:rsidRDefault="00E61374" w:rsidP="00E61374">
      <w:pPr>
        <w:rPr>
          <w:noProof/>
        </w:rPr>
      </w:pPr>
      <w:r w:rsidRPr="7EADE243">
        <w:rPr>
          <w:i/>
          <w:iCs/>
          <w:noProof/>
        </w:rPr>
        <w:t>Respondent</w:t>
      </w:r>
      <w:r w:rsidRPr="00D37004">
        <w:rPr>
          <w:i/>
          <w:noProof/>
        </w:rPr>
        <w:t xml:space="preserve"> views on Policy Option PO1-B</w:t>
      </w:r>
      <w:r w:rsidRPr="00D37004">
        <w:rPr>
          <w:noProof/>
        </w:rPr>
        <w:t xml:space="preserve">. Feedback from </w:t>
      </w:r>
      <w:r w:rsidR="00217F2B">
        <w:rPr>
          <w:noProof/>
        </w:rPr>
        <w:t>DC</w:t>
      </w:r>
      <w:r w:rsidRPr="00D37004">
        <w:rPr>
          <w:noProof/>
        </w:rPr>
        <w:t xml:space="preserve"> operators from the public consultation (n=30 respondents) on measures under this policy option:</w:t>
      </w:r>
    </w:p>
    <w:tbl>
      <w:tblPr>
        <w:tblStyle w:val="HTG1"/>
        <w:tblW w:w="5000" w:type="pct"/>
        <w:tblInd w:w="0" w:type="dxa"/>
        <w:tblLook w:val="04A0" w:firstRow="1" w:lastRow="0" w:firstColumn="1" w:lastColumn="0" w:noHBand="0" w:noVBand="1"/>
      </w:tblPr>
      <w:tblGrid>
        <w:gridCol w:w="6405"/>
        <w:gridCol w:w="3092"/>
      </w:tblGrid>
      <w:tr w:rsidR="00E61374" w:rsidRPr="001D34DB" w14:paraId="684067D4" w14:textId="77777777" w:rsidTr="001D34DB">
        <w:trPr>
          <w:trHeight w:val="212"/>
        </w:trPr>
        <w:tc>
          <w:tcPr>
            <w:tcW w:w="3372" w:type="pct"/>
          </w:tcPr>
          <w:p w14:paraId="17279B17" w14:textId="55CDB022" w:rsidR="00E61374" w:rsidRPr="001D34DB" w:rsidRDefault="00E61374" w:rsidP="008E6EC7">
            <w:pPr>
              <w:spacing w:after="0"/>
              <w:jc w:val="center"/>
              <w:rPr>
                <w:b/>
                <w:bCs/>
                <w:noProof/>
                <w:sz w:val="20"/>
                <w:szCs w:val="20"/>
              </w:rPr>
            </w:pPr>
            <w:r w:rsidRPr="001D34DB">
              <w:rPr>
                <w:b/>
                <w:bCs/>
                <w:noProof/>
                <w:sz w:val="20"/>
                <w:szCs w:val="20"/>
              </w:rPr>
              <w:t>Measure</w:t>
            </w:r>
          </w:p>
        </w:tc>
        <w:tc>
          <w:tcPr>
            <w:tcW w:w="1628" w:type="pct"/>
          </w:tcPr>
          <w:p w14:paraId="65758371" w14:textId="77777777" w:rsidR="00E61374" w:rsidRPr="001D34DB" w:rsidRDefault="00E61374" w:rsidP="008E6EC7">
            <w:pPr>
              <w:spacing w:after="0"/>
              <w:jc w:val="center"/>
              <w:rPr>
                <w:b/>
                <w:bCs/>
                <w:noProof/>
                <w:sz w:val="20"/>
                <w:szCs w:val="20"/>
              </w:rPr>
            </w:pPr>
            <w:r w:rsidRPr="001D34DB">
              <w:rPr>
                <w:b/>
                <w:bCs/>
                <w:noProof/>
                <w:sz w:val="20"/>
                <w:szCs w:val="20"/>
              </w:rPr>
              <w:t>Overall support</w:t>
            </w:r>
          </w:p>
        </w:tc>
      </w:tr>
      <w:tr w:rsidR="00E61374" w:rsidRPr="001D34DB" w14:paraId="40DE708C" w14:textId="77777777" w:rsidTr="001D34DB">
        <w:tc>
          <w:tcPr>
            <w:tcW w:w="3372" w:type="pct"/>
            <w:shd w:val="clear" w:color="auto" w:fill="F2F2F2" w:themeFill="background1" w:themeFillShade="F2"/>
          </w:tcPr>
          <w:p w14:paraId="09DC31CC" w14:textId="77777777" w:rsidR="00E61374" w:rsidRPr="001D34DB" w:rsidRDefault="00E61374" w:rsidP="00332C5D">
            <w:pPr>
              <w:spacing w:after="0"/>
              <w:rPr>
                <w:noProof/>
                <w:sz w:val="20"/>
                <w:szCs w:val="20"/>
              </w:rPr>
            </w:pPr>
            <w:r w:rsidRPr="001D34DB">
              <w:rPr>
                <w:noProof/>
                <w:sz w:val="20"/>
                <w:szCs w:val="20"/>
              </w:rPr>
              <w:t>One-stop-shop service to simplify infrastructure permitting procedures</w:t>
            </w:r>
          </w:p>
        </w:tc>
        <w:tc>
          <w:tcPr>
            <w:tcW w:w="1628" w:type="pct"/>
            <w:shd w:val="clear" w:color="auto" w:fill="F2F2F2" w:themeFill="background1" w:themeFillShade="F2"/>
          </w:tcPr>
          <w:p w14:paraId="5F6F034C" w14:textId="77777777" w:rsidR="00E61374" w:rsidRPr="008E6EC7" w:rsidRDefault="00E61374" w:rsidP="008E6EC7">
            <w:pPr>
              <w:spacing w:after="0"/>
              <w:jc w:val="center"/>
              <w:rPr>
                <w:b/>
                <w:bCs/>
                <w:noProof/>
                <w:sz w:val="20"/>
                <w:szCs w:val="20"/>
              </w:rPr>
            </w:pPr>
            <w:r w:rsidRPr="008E6EC7">
              <w:rPr>
                <w:b/>
                <w:bCs/>
                <w:noProof/>
                <w:sz w:val="20"/>
                <w:szCs w:val="20"/>
              </w:rPr>
              <w:t>83%</w:t>
            </w:r>
          </w:p>
        </w:tc>
      </w:tr>
      <w:tr w:rsidR="00E61374" w:rsidRPr="001D34DB" w14:paraId="201135E3" w14:textId="77777777" w:rsidTr="001D34DB">
        <w:tc>
          <w:tcPr>
            <w:tcW w:w="3372" w:type="pct"/>
          </w:tcPr>
          <w:p w14:paraId="309080F4" w14:textId="77777777" w:rsidR="00E61374" w:rsidRPr="001D34DB" w:rsidRDefault="00E61374" w:rsidP="00332C5D">
            <w:pPr>
              <w:spacing w:after="0"/>
              <w:rPr>
                <w:noProof/>
                <w:sz w:val="20"/>
                <w:szCs w:val="20"/>
              </w:rPr>
            </w:pPr>
            <w:r w:rsidRPr="001D34DB">
              <w:rPr>
                <w:noProof/>
                <w:sz w:val="20"/>
                <w:szCs w:val="20"/>
              </w:rPr>
              <w:t>Expedited approval mechanisms and clear conditions for strategic or critical projects</w:t>
            </w:r>
          </w:p>
        </w:tc>
        <w:tc>
          <w:tcPr>
            <w:tcW w:w="1628" w:type="pct"/>
          </w:tcPr>
          <w:p w14:paraId="32AFDF2B" w14:textId="77777777" w:rsidR="00E61374" w:rsidRPr="008E6EC7" w:rsidRDefault="00E61374" w:rsidP="008E6EC7">
            <w:pPr>
              <w:spacing w:after="0"/>
              <w:jc w:val="center"/>
              <w:rPr>
                <w:b/>
                <w:bCs/>
                <w:noProof/>
                <w:sz w:val="20"/>
                <w:szCs w:val="20"/>
              </w:rPr>
            </w:pPr>
            <w:r w:rsidRPr="008E6EC7">
              <w:rPr>
                <w:b/>
                <w:bCs/>
                <w:noProof/>
                <w:sz w:val="20"/>
                <w:szCs w:val="20"/>
              </w:rPr>
              <w:t>97%</w:t>
            </w:r>
          </w:p>
        </w:tc>
      </w:tr>
      <w:tr w:rsidR="00E61374" w:rsidRPr="001D34DB" w14:paraId="754B3165" w14:textId="77777777" w:rsidTr="008E6EC7">
        <w:tc>
          <w:tcPr>
            <w:tcW w:w="3372" w:type="pct"/>
            <w:shd w:val="clear" w:color="auto" w:fill="F2F2F2" w:themeFill="background1" w:themeFillShade="F2"/>
          </w:tcPr>
          <w:p w14:paraId="4F4D00F5" w14:textId="77777777" w:rsidR="00E61374" w:rsidRPr="001D34DB" w:rsidRDefault="00E61374" w:rsidP="00332C5D">
            <w:pPr>
              <w:spacing w:after="0"/>
              <w:rPr>
                <w:noProof/>
                <w:sz w:val="20"/>
                <w:szCs w:val="20"/>
              </w:rPr>
            </w:pPr>
            <w:r w:rsidRPr="001D34DB">
              <w:rPr>
                <w:noProof/>
                <w:sz w:val="20"/>
                <w:szCs w:val="20"/>
              </w:rPr>
              <w:t>Public-private partnerships for large-scale data centres</w:t>
            </w:r>
          </w:p>
        </w:tc>
        <w:tc>
          <w:tcPr>
            <w:tcW w:w="1628" w:type="pct"/>
            <w:shd w:val="clear" w:color="auto" w:fill="F2F2F2" w:themeFill="background1" w:themeFillShade="F2"/>
          </w:tcPr>
          <w:p w14:paraId="582A9962" w14:textId="77777777" w:rsidR="00E61374" w:rsidRPr="008E6EC7" w:rsidRDefault="00E61374" w:rsidP="008E6EC7">
            <w:pPr>
              <w:spacing w:after="0"/>
              <w:jc w:val="center"/>
              <w:rPr>
                <w:b/>
                <w:bCs/>
                <w:noProof/>
                <w:sz w:val="20"/>
                <w:szCs w:val="20"/>
              </w:rPr>
            </w:pPr>
            <w:r w:rsidRPr="008E6EC7">
              <w:rPr>
                <w:b/>
                <w:bCs/>
                <w:noProof/>
                <w:sz w:val="20"/>
                <w:szCs w:val="20"/>
              </w:rPr>
              <w:t>63%</w:t>
            </w:r>
          </w:p>
        </w:tc>
      </w:tr>
      <w:tr w:rsidR="00E61374" w:rsidRPr="001D34DB" w14:paraId="75FE3EFA" w14:textId="77777777" w:rsidTr="001D34DB">
        <w:tc>
          <w:tcPr>
            <w:tcW w:w="3372" w:type="pct"/>
          </w:tcPr>
          <w:p w14:paraId="60B2E600" w14:textId="77777777" w:rsidR="00E61374" w:rsidRPr="001D34DB" w:rsidRDefault="00E61374" w:rsidP="00332C5D">
            <w:pPr>
              <w:spacing w:after="0"/>
              <w:rPr>
                <w:noProof/>
                <w:sz w:val="20"/>
                <w:szCs w:val="20"/>
              </w:rPr>
            </w:pPr>
            <w:r w:rsidRPr="001D34DB">
              <w:rPr>
                <w:noProof/>
                <w:sz w:val="20"/>
                <w:szCs w:val="20"/>
              </w:rPr>
              <w:t>Tax incentives for using sustainable technologies</w:t>
            </w:r>
          </w:p>
        </w:tc>
        <w:tc>
          <w:tcPr>
            <w:tcW w:w="1628" w:type="pct"/>
          </w:tcPr>
          <w:p w14:paraId="4A2E8702" w14:textId="77777777" w:rsidR="00E61374" w:rsidRPr="008E6EC7" w:rsidRDefault="00E61374" w:rsidP="008E6EC7">
            <w:pPr>
              <w:spacing w:after="0"/>
              <w:jc w:val="center"/>
              <w:rPr>
                <w:b/>
                <w:bCs/>
                <w:noProof/>
                <w:sz w:val="20"/>
                <w:szCs w:val="20"/>
              </w:rPr>
            </w:pPr>
            <w:r w:rsidRPr="008E6EC7">
              <w:rPr>
                <w:b/>
                <w:bCs/>
                <w:noProof/>
                <w:sz w:val="20"/>
                <w:szCs w:val="20"/>
              </w:rPr>
              <w:t>73%</w:t>
            </w:r>
          </w:p>
        </w:tc>
      </w:tr>
    </w:tbl>
    <w:p w14:paraId="106C8F3A" w14:textId="4B473047" w:rsidR="00E61374" w:rsidRPr="00D37004" w:rsidRDefault="002D2EB7" w:rsidP="008E6EC7">
      <w:pPr>
        <w:spacing w:before="120"/>
        <w:rPr>
          <w:noProof/>
        </w:rPr>
      </w:pPr>
      <w:r>
        <w:rPr>
          <w:noProof/>
        </w:rPr>
        <w:t>T</w:t>
      </w:r>
      <w:r w:rsidR="00E61374" w:rsidRPr="00D37004">
        <w:rPr>
          <w:noProof/>
        </w:rPr>
        <w:t xml:space="preserve">here has been noticeable support in the </w:t>
      </w:r>
      <w:r w:rsidR="00F03FEC">
        <w:rPr>
          <w:noProof/>
        </w:rPr>
        <w:t>Call</w:t>
      </w:r>
      <w:r w:rsidR="00E61374" w:rsidRPr="00D37004">
        <w:rPr>
          <w:noProof/>
        </w:rPr>
        <w:t xml:space="preserve"> for </w:t>
      </w:r>
      <w:r w:rsidR="00F03FEC">
        <w:rPr>
          <w:noProof/>
        </w:rPr>
        <w:t>Evidence (</w:t>
      </w:r>
      <w:r w:rsidR="00E61374" w:rsidRPr="00D37004">
        <w:rPr>
          <w:noProof/>
        </w:rPr>
        <w:t>CfE</w:t>
      </w:r>
      <w:r w:rsidR="00F03FEC">
        <w:rPr>
          <w:noProof/>
        </w:rPr>
        <w:t>)</w:t>
      </w:r>
      <w:r w:rsidR="00E61374" w:rsidRPr="00D37004">
        <w:rPr>
          <w:noProof/>
        </w:rPr>
        <w:t xml:space="preserve"> for measures within PO1-B. Most companies and business associations favour simplification of permitting requirements, introducing </w:t>
      </w:r>
      <w:r w:rsidR="00E61374">
        <w:rPr>
          <w:noProof/>
        </w:rPr>
        <w:t xml:space="preserve">a national facilitator for </w:t>
      </w:r>
      <w:r w:rsidR="00217F2B">
        <w:rPr>
          <w:noProof/>
        </w:rPr>
        <w:t>DC</w:t>
      </w:r>
      <w:r w:rsidR="00E61374">
        <w:rPr>
          <w:noProof/>
        </w:rPr>
        <w:t xml:space="preserve"> projects</w:t>
      </w:r>
      <w:r w:rsidR="00E61374" w:rsidRPr="00D37004">
        <w:rPr>
          <w:noProof/>
        </w:rPr>
        <w:t>, and fast</w:t>
      </w:r>
      <w:r w:rsidR="00E61374">
        <w:rPr>
          <w:noProof/>
        </w:rPr>
        <w:t>-</w:t>
      </w:r>
      <w:r w:rsidR="00E61374" w:rsidRPr="00D37004">
        <w:rPr>
          <w:noProof/>
        </w:rPr>
        <w:t xml:space="preserve">track mechanisms. Some </w:t>
      </w:r>
      <w:r w:rsidR="00E61374" w:rsidRPr="0053604B">
        <w:rPr>
          <w:noProof/>
        </w:rPr>
        <w:t>respondents</w:t>
      </w:r>
      <w:r w:rsidR="00E61374" w:rsidRPr="00D37004">
        <w:rPr>
          <w:noProof/>
        </w:rPr>
        <w:t xml:space="preserve"> suggested faster grid connection and the creation of special </w:t>
      </w:r>
      <w:r w:rsidR="00217F2B">
        <w:rPr>
          <w:noProof/>
        </w:rPr>
        <w:t>DC</w:t>
      </w:r>
      <w:r w:rsidR="00E61374" w:rsidRPr="00D37004">
        <w:rPr>
          <w:noProof/>
        </w:rPr>
        <w:t xml:space="preserve"> deployment </w:t>
      </w:r>
      <w:r w:rsidR="00E61374">
        <w:rPr>
          <w:noProof/>
        </w:rPr>
        <w:t>areas</w:t>
      </w:r>
      <w:r w:rsidR="00E61374" w:rsidRPr="00D37004">
        <w:rPr>
          <w:noProof/>
        </w:rPr>
        <w:t xml:space="preserve"> established at national level. </w:t>
      </w:r>
    </w:p>
    <w:p w14:paraId="2FBF6F99" w14:textId="77777777" w:rsidR="00E61374" w:rsidRPr="00AC1DF5" w:rsidRDefault="00E61374" w:rsidP="00AC1DF5">
      <w:pPr>
        <w:spacing w:before="120"/>
        <w:rPr>
          <w:b/>
          <w:bCs/>
          <w:noProof/>
          <w:u w:val="single"/>
        </w:rPr>
      </w:pPr>
      <w:r w:rsidRPr="00AC1DF5">
        <w:rPr>
          <w:b/>
          <w:bCs/>
          <w:noProof/>
          <w:u w:val="single"/>
        </w:rPr>
        <w:t xml:space="preserve">Policy Option PO1-C: Legislative and financial intervention enforced at EU-level </w:t>
      </w:r>
    </w:p>
    <w:p w14:paraId="5E291E04" w14:textId="77777777" w:rsidR="00E61374" w:rsidRPr="00D37004" w:rsidRDefault="00E61374" w:rsidP="00106DBB">
      <w:pPr>
        <w:spacing w:after="0"/>
        <w:rPr>
          <w:b/>
          <w:noProof/>
          <w:u w:val="single"/>
        </w:rPr>
      </w:pPr>
      <w:r w:rsidRPr="00D37004">
        <w:rPr>
          <w:noProof/>
        </w:rPr>
        <w:t xml:space="preserve">This third policy option introduces binding acceleration measures enacted at EU-level and supported with EU funding. </w:t>
      </w:r>
    </w:p>
    <w:p w14:paraId="6A716CB2" w14:textId="78FAB020" w:rsidR="00E61374" w:rsidRPr="00D37004" w:rsidRDefault="00E61374" w:rsidP="008F5449">
      <w:pPr>
        <w:pStyle w:val="ListBullet"/>
        <w:spacing w:before="120" w:after="120"/>
        <w:ind w:left="284" w:hanging="284"/>
        <w:rPr>
          <w:noProof/>
        </w:rPr>
      </w:pPr>
      <w:r w:rsidRPr="294AF3FA">
        <w:rPr>
          <w:b/>
          <w:bCs/>
          <w:noProof/>
        </w:rPr>
        <w:t>Policy Measure 8 (</w:t>
      </w:r>
      <w:r w:rsidRPr="2A6A1A3F">
        <w:rPr>
          <w:b/>
          <w:bCs/>
          <w:noProof/>
          <w:u w:val="single"/>
        </w:rPr>
        <w:t>PM8</w:t>
      </w:r>
      <w:r w:rsidRPr="294AF3FA">
        <w:rPr>
          <w:b/>
          <w:bCs/>
          <w:noProof/>
        </w:rPr>
        <w:t>)</w:t>
      </w:r>
      <w:r w:rsidRPr="00310BE8">
        <w:rPr>
          <w:noProof/>
        </w:rPr>
        <w:t xml:space="preserve"> </w:t>
      </w:r>
      <w:r>
        <w:rPr>
          <w:noProof/>
        </w:rPr>
        <w:t>identifies the key EU-level R&amp;D funding challenges to</w:t>
      </w:r>
      <w:r w:rsidRPr="00D37004">
        <w:rPr>
          <w:noProof/>
        </w:rPr>
        <w:t xml:space="preserve"> the development of energy-</w:t>
      </w:r>
      <w:r>
        <w:rPr>
          <w:noProof/>
        </w:rPr>
        <w:t xml:space="preserve"> and resource-</w:t>
      </w:r>
      <w:r w:rsidRPr="00D37004">
        <w:rPr>
          <w:noProof/>
        </w:rPr>
        <w:t>efficient</w:t>
      </w:r>
      <w:r w:rsidRPr="00D37004" w:rsidDel="00B97108">
        <w:rPr>
          <w:noProof/>
        </w:rPr>
        <w:t xml:space="preserve"> </w:t>
      </w:r>
      <w:r w:rsidRPr="00D37004">
        <w:rPr>
          <w:noProof/>
        </w:rPr>
        <w:t xml:space="preserve">and secure </w:t>
      </w:r>
      <w:r w:rsidR="00217F2B">
        <w:rPr>
          <w:noProof/>
        </w:rPr>
        <w:t>DC</w:t>
      </w:r>
      <w:r w:rsidRPr="00D37004">
        <w:rPr>
          <w:noProof/>
        </w:rPr>
        <w:t xml:space="preserve"> technologies, including advanced cooling, renewable energy and storage integration, and AI-based optimisation tools</w:t>
      </w:r>
      <w:r w:rsidRPr="00372BFE">
        <w:rPr>
          <w:noProof/>
          <w:vertAlign w:val="superscript"/>
        </w:rPr>
        <w:footnoteReference w:id="92"/>
      </w:r>
      <w:r w:rsidRPr="00D37004">
        <w:rPr>
          <w:noProof/>
        </w:rPr>
        <w:t xml:space="preserve">. While a fictitious amount is </w:t>
      </w:r>
      <w:r>
        <w:rPr>
          <w:noProof/>
        </w:rPr>
        <w:t>set</w:t>
      </w:r>
      <w:r w:rsidRPr="00D37004">
        <w:rPr>
          <w:noProof/>
        </w:rPr>
        <w:t xml:space="preserve"> for modelling purposes, the initiative would not mention a specific amount, </w:t>
      </w:r>
      <w:r>
        <w:rPr>
          <w:noProof/>
        </w:rPr>
        <w:t>thus not</w:t>
      </w:r>
      <w:r w:rsidRPr="00D37004">
        <w:rPr>
          <w:noProof/>
        </w:rPr>
        <w:t xml:space="preserve"> pre-empting the MFF discussions.</w:t>
      </w:r>
    </w:p>
    <w:p w14:paraId="1C63E26D" w14:textId="497598B6" w:rsidR="00E61374" w:rsidRPr="00D37004" w:rsidRDefault="00E61374" w:rsidP="008F5449">
      <w:pPr>
        <w:pStyle w:val="ListBullet"/>
        <w:spacing w:before="120" w:after="120"/>
        <w:ind w:left="284" w:hanging="284"/>
        <w:rPr>
          <w:noProof/>
        </w:rPr>
      </w:pPr>
      <w:bookmarkStart w:id="44" w:name="_Hlk221217904"/>
      <w:r w:rsidRPr="294AF3FA">
        <w:rPr>
          <w:b/>
          <w:bCs/>
          <w:noProof/>
        </w:rPr>
        <w:t xml:space="preserve">Policy Measure 9 </w:t>
      </w:r>
      <w:r w:rsidRPr="00A828E3">
        <w:rPr>
          <w:b/>
          <w:noProof/>
        </w:rPr>
        <w:t>(</w:t>
      </w:r>
      <w:r w:rsidRPr="002138DC">
        <w:rPr>
          <w:b/>
          <w:noProof/>
          <w:u w:val="single"/>
        </w:rPr>
        <w:t>PM9</w:t>
      </w:r>
      <w:r w:rsidRPr="00A828E3">
        <w:rPr>
          <w:b/>
          <w:noProof/>
        </w:rPr>
        <w:t>)</w:t>
      </w:r>
      <w:r w:rsidRPr="00310BE8">
        <w:rPr>
          <w:noProof/>
        </w:rPr>
        <w:t xml:space="preserve"> </w:t>
      </w:r>
      <w:r w:rsidRPr="00A828E3">
        <w:rPr>
          <w:noProof/>
        </w:rPr>
        <w:t xml:space="preserve">creates the possibility, without prejudice to the outcome of the negotiations on the next MFF proposal, </w:t>
      </w:r>
      <w:r>
        <w:rPr>
          <w:noProof/>
        </w:rPr>
        <w:t xml:space="preserve">for </w:t>
      </w:r>
      <w:r w:rsidRPr="00A828E3">
        <w:rPr>
          <w:noProof/>
        </w:rPr>
        <w:t xml:space="preserve">strategic </w:t>
      </w:r>
      <w:r w:rsidR="00217F2B">
        <w:rPr>
          <w:noProof/>
        </w:rPr>
        <w:t>DC</w:t>
      </w:r>
      <w:r>
        <w:rPr>
          <w:noProof/>
        </w:rPr>
        <w:t xml:space="preserve"> deployment </w:t>
      </w:r>
      <w:r w:rsidRPr="00A828E3">
        <w:rPr>
          <w:noProof/>
        </w:rPr>
        <w:t xml:space="preserve">projects </w:t>
      </w:r>
      <w:r>
        <w:rPr>
          <w:noProof/>
        </w:rPr>
        <w:t>to</w:t>
      </w:r>
      <w:r w:rsidRPr="00A828E3">
        <w:rPr>
          <w:noProof/>
        </w:rPr>
        <w:t xml:space="preserve"> be supported by Union programmes, funds and financial instruments, in accordance with the objectives set out in the regulations establishing those funds and programmes</w:t>
      </w:r>
      <w:r w:rsidR="005E1BFF">
        <w:rPr>
          <w:noProof/>
        </w:rPr>
        <w:t xml:space="preserve">, in particular those implementing </w:t>
      </w:r>
      <w:r w:rsidR="006C7540">
        <w:rPr>
          <w:noProof/>
        </w:rPr>
        <w:t>the EU’s vision for an AI continent / Apply AI</w:t>
      </w:r>
      <w:r w:rsidRPr="00A828E3">
        <w:rPr>
          <w:noProof/>
        </w:rPr>
        <w:t>.</w:t>
      </w:r>
      <w:r>
        <w:rPr>
          <w:noProof/>
        </w:rPr>
        <w:t xml:space="preserve"> The Cloud and AI Development Act would specify binding EU-level criteria in accordance with which strategic projects would be identified by the </w:t>
      </w:r>
      <w:r w:rsidR="0055171D">
        <w:rPr>
          <w:noProof/>
        </w:rPr>
        <w:t>EC</w:t>
      </w:r>
      <w:r>
        <w:rPr>
          <w:noProof/>
        </w:rPr>
        <w:t xml:space="preserve">. </w:t>
      </w:r>
      <w:r w:rsidRPr="00D37004">
        <w:rPr>
          <w:noProof/>
        </w:rPr>
        <w:t>As with PM8, a fictitious amount is used for modelling, while the initiative would only be declarative.</w:t>
      </w:r>
    </w:p>
    <w:bookmarkEnd w:id="44"/>
    <w:p w14:paraId="3EF22971" w14:textId="6FC3468E" w:rsidR="00E61374" w:rsidRPr="00D37004" w:rsidRDefault="00E61374" w:rsidP="008F5449">
      <w:pPr>
        <w:pStyle w:val="ListBullet"/>
        <w:spacing w:before="120" w:after="120"/>
        <w:ind w:left="284" w:hanging="284"/>
        <w:rPr>
          <w:noProof/>
        </w:rPr>
      </w:pPr>
      <w:r w:rsidRPr="00D37004">
        <w:rPr>
          <w:b/>
          <w:noProof/>
        </w:rPr>
        <w:t xml:space="preserve">Policy Measure 10 </w:t>
      </w:r>
      <w:r w:rsidRPr="00D37004">
        <w:rPr>
          <w:b/>
          <w:noProof/>
          <w:u w:val="single"/>
        </w:rPr>
        <w:t>(PM10)</w:t>
      </w:r>
      <w:r w:rsidRPr="00D37004">
        <w:rPr>
          <w:noProof/>
        </w:rPr>
        <w:t xml:space="preserve"> empowers the Commission to designate suitable areas for accelerated </w:t>
      </w:r>
      <w:r w:rsidR="00217F2B">
        <w:rPr>
          <w:noProof/>
        </w:rPr>
        <w:t>DC</w:t>
      </w:r>
      <w:r w:rsidRPr="00D37004">
        <w:rPr>
          <w:noProof/>
        </w:rPr>
        <w:t xml:space="preserve"> deployment following EU-level criteria and in consultation with Member States experts within an</w:t>
      </w:r>
      <w:r w:rsidRPr="00D37004" w:rsidDel="00616F17">
        <w:rPr>
          <w:noProof/>
        </w:rPr>
        <w:t xml:space="preserve"> </w:t>
      </w:r>
      <w:r w:rsidRPr="00D37004">
        <w:rPr>
          <w:noProof/>
        </w:rPr>
        <w:t xml:space="preserve">EU </w:t>
      </w:r>
      <w:r w:rsidR="00217F2B">
        <w:rPr>
          <w:noProof/>
        </w:rPr>
        <w:t>DC</w:t>
      </w:r>
      <w:r w:rsidRPr="00D37004">
        <w:rPr>
          <w:noProof/>
        </w:rPr>
        <w:t xml:space="preserve"> Acceleration Board</w:t>
      </w:r>
      <w:r>
        <w:rPr>
          <w:noProof/>
        </w:rPr>
        <w:t xml:space="preserve">. This Board would be created as a dedicated committee (comitology). </w:t>
      </w:r>
      <w:r w:rsidRPr="00D37004">
        <w:rPr>
          <w:noProof/>
        </w:rPr>
        <w:t xml:space="preserve">Permit granting for </w:t>
      </w:r>
      <w:r w:rsidR="00217F2B">
        <w:rPr>
          <w:noProof/>
        </w:rPr>
        <w:t>DC</w:t>
      </w:r>
      <w:r w:rsidRPr="00D37004">
        <w:rPr>
          <w:noProof/>
        </w:rPr>
        <w:t xml:space="preserve"> projects would follow EU-wide rules and require approval from the Board. </w:t>
      </w:r>
      <w:r>
        <w:rPr>
          <w:noProof/>
        </w:rPr>
        <w:t xml:space="preserve">For these areas, Member States would be required to enact a set of acceleration measures prescribed at EU level. The toolbox established in the new Regulation on speeding-up environmental assessments would be leveraged for </w:t>
      </w:r>
      <w:r w:rsidR="00217F2B">
        <w:rPr>
          <w:noProof/>
        </w:rPr>
        <w:t>DC</w:t>
      </w:r>
      <w:r>
        <w:rPr>
          <w:noProof/>
        </w:rPr>
        <w:t xml:space="preserve"> projects deployed in these areas, to benefit from the additional favourable provisions in environmental assessments.</w:t>
      </w:r>
    </w:p>
    <w:p w14:paraId="022B7466" w14:textId="23E7B0FF" w:rsidR="00263505" w:rsidRPr="00B032F5" w:rsidRDefault="00E61374" w:rsidP="00263505">
      <w:pPr>
        <w:rPr>
          <w:bCs/>
          <w:iCs/>
          <w:noProof/>
        </w:rPr>
      </w:pPr>
      <w:r w:rsidRPr="00D37004">
        <w:rPr>
          <w:noProof/>
        </w:rPr>
        <w:t xml:space="preserve">By centralising </w:t>
      </w:r>
      <w:r>
        <w:rPr>
          <w:noProof/>
        </w:rPr>
        <w:t xml:space="preserve">the </w:t>
      </w:r>
      <w:r w:rsidRPr="00D37004">
        <w:rPr>
          <w:noProof/>
        </w:rPr>
        <w:t xml:space="preserve">designation of areas and processes for accelerated deployment under an EU expert body, this policy option would tackle the bottlenecks to </w:t>
      </w:r>
      <w:r w:rsidR="00217F2B">
        <w:rPr>
          <w:noProof/>
        </w:rPr>
        <w:t>DC</w:t>
      </w:r>
      <w:r w:rsidRPr="00D37004">
        <w:rPr>
          <w:noProof/>
        </w:rPr>
        <w:t xml:space="preserve"> expansion (PD2). Direct funding for the development of sustainable </w:t>
      </w:r>
      <w:r w:rsidR="00217F2B">
        <w:rPr>
          <w:noProof/>
        </w:rPr>
        <w:t>DC</w:t>
      </w:r>
      <w:r w:rsidRPr="00D37004">
        <w:rPr>
          <w:noProof/>
        </w:rPr>
        <w:t xml:space="preserve"> technologies and support to </w:t>
      </w:r>
      <w:r w:rsidR="00217F2B">
        <w:rPr>
          <w:noProof/>
        </w:rPr>
        <w:t>DC</w:t>
      </w:r>
      <w:r w:rsidRPr="00D37004">
        <w:rPr>
          <w:noProof/>
        </w:rPr>
        <w:t xml:space="preserve"> integrating such technologies would increase sustainable capacity. </w:t>
      </w:r>
      <w:r w:rsidR="0011134A">
        <w:rPr>
          <w:noProof/>
        </w:rPr>
        <w:t xml:space="preserve">In terms of substance, this option has roughly the same thrust as </w:t>
      </w:r>
      <w:r w:rsidR="008A6827">
        <w:rPr>
          <w:noProof/>
        </w:rPr>
        <w:t xml:space="preserve">PO1-B, but with EU-level decision-making and the use of EU funds for R&amp;D and the deployment of strategic data centres. </w:t>
      </w:r>
      <w:r w:rsidR="00263505" w:rsidRPr="00B032F5">
        <w:rPr>
          <w:bCs/>
          <w:iCs/>
          <w:noProof/>
        </w:rPr>
        <w:t>While open to all data centre operators</w:t>
      </w:r>
      <w:r w:rsidR="00263505" w:rsidRPr="00263505">
        <w:rPr>
          <w:bCs/>
          <w:iCs/>
          <w:noProof/>
        </w:rPr>
        <w:t xml:space="preserve">, </w:t>
      </w:r>
      <w:r w:rsidR="00263505" w:rsidRPr="00D27116">
        <w:rPr>
          <w:noProof/>
        </w:rPr>
        <w:t>this option</w:t>
      </w:r>
      <w:r w:rsidR="00263505" w:rsidRPr="00B032F5">
        <w:rPr>
          <w:bCs/>
          <w:iCs/>
          <w:noProof/>
        </w:rPr>
        <w:t xml:space="preserve"> will also benefit European cloud and AI service providers where they themselves seek to build data centres or rent newly created co-location capacity. The measures thus also contribute to addressing the lack of scale and scope of EU cloud service providers</w:t>
      </w:r>
      <w:r w:rsidR="00263505">
        <w:rPr>
          <w:bCs/>
          <w:iCs/>
          <w:noProof/>
        </w:rPr>
        <w:t xml:space="preserve"> (PD1)</w:t>
      </w:r>
      <w:r w:rsidR="00263505" w:rsidRPr="00B032F5">
        <w:rPr>
          <w:bCs/>
          <w:iCs/>
          <w:noProof/>
        </w:rPr>
        <w:t xml:space="preserve"> whose ability to scale, as described in section 2.2.1., is – among other factors – restricted by their limited infrastructure presence and the high costs of expanding it. </w:t>
      </w:r>
    </w:p>
    <w:p w14:paraId="194A30AA" w14:textId="1A06BAA9" w:rsidR="00AC3533" w:rsidRPr="00D37004" w:rsidRDefault="00E61374" w:rsidP="00E61374">
      <w:pPr>
        <w:rPr>
          <w:noProof/>
        </w:rPr>
      </w:pPr>
      <w:r w:rsidRPr="00D37004">
        <w:rPr>
          <w:noProof/>
        </w:rPr>
        <w:t xml:space="preserve">In </w:t>
      </w:r>
      <w:r>
        <w:rPr>
          <w:noProof/>
        </w:rPr>
        <w:t xml:space="preserve">response to </w:t>
      </w:r>
      <w:r w:rsidRPr="00D37004">
        <w:rPr>
          <w:noProof/>
        </w:rPr>
        <w:t xml:space="preserve">the </w:t>
      </w:r>
      <w:r w:rsidRPr="00D37004" w:rsidDel="00DB615D">
        <w:rPr>
          <w:noProof/>
        </w:rPr>
        <w:t>CfE</w:t>
      </w:r>
      <w:r w:rsidRPr="00D37004">
        <w:rPr>
          <w:noProof/>
        </w:rPr>
        <w:t xml:space="preserve">, several companies, business associations and a Member State expressed support for R&amp;D funding at national and EU level. </w:t>
      </w:r>
      <w:r w:rsidRPr="0053604B">
        <w:rPr>
          <w:noProof/>
        </w:rPr>
        <w:t>Respondents</w:t>
      </w:r>
      <w:r>
        <w:rPr>
          <w:i/>
          <w:noProof/>
        </w:rPr>
        <w:t xml:space="preserve"> </w:t>
      </w:r>
      <w:r w:rsidRPr="00D37004">
        <w:rPr>
          <w:noProof/>
        </w:rPr>
        <w:t xml:space="preserve">generally showed strong support for </w:t>
      </w:r>
      <w:r w:rsidR="00092582">
        <w:rPr>
          <w:noProof/>
        </w:rPr>
        <w:t xml:space="preserve">measures that would advance the </w:t>
      </w:r>
      <w:r w:rsidRPr="00D37004">
        <w:rPr>
          <w:noProof/>
        </w:rPr>
        <w:t xml:space="preserve">energy efficiency </w:t>
      </w:r>
      <w:r w:rsidR="004D4374">
        <w:rPr>
          <w:noProof/>
        </w:rPr>
        <w:t>performance of data centres</w:t>
      </w:r>
      <w:r w:rsidRPr="00D37004">
        <w:rPr>
          <w:noProof/>
        </w:rPr>
        <w:t>. In the questionnaire (n=243), 70% of respondents supported funding for R&amp;D of energy-efficient technologies.</w:t>
      </w:r>
    </w:p>
    <w:p w14:paraId="214E645C" w14:textId="76703CAD" w:rsidR="00E61374" w:rsidRPr="00D37004" w:rsidRDefault="00E61374" w:rsidP="006B5183">
      <w:pPr>
        <w:pStyle w:val="Heading3"/>
        <w:rPr>
          <w:noProof/>
        </w:rPr>
      </w:pPr>
      <w:bookmarkStart w:id="45" w:name="_Ref207895089"/>
      <w:r w:rsidRPr="00D37004">
        <w:rPr>
          <w:noProof/>
        </w:rPr>
        <w:t xml:space="preserve">Policy Options to address the </w:t>
      </w:r>
      <w:r w:rsidRPr="00C64902">
        <w:rPr>
          <w:noProof/>
        </w:rPr>
        <w:t>dependence on cloud and AI computing services supplied by non-European providers</w:t>
      </w:r>
      <w:bookmarkEnd w:id="45"/>
      <w:r>
        <w:rPr>
          <w:noProof/>
        </w:rPr>
        <w:t xml:space="preserve"> </w:t>
      </w:r>
    </w:p>
    <w:p w14:paraId="576CD850" w14:textId="212DDDB0" w:rsidR="00E61374" w:rsidRPr="00D37004" w:rsidRDefault="00E61374" w:rsidP="00AD6305">
      <w:pPr>
        <w:pStyle w:val="Caption"/>
        <w:spacing w:after="0"/>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5</w:t>
      </w:r>
      <w:r w:rsidRPr="00D37004">
        <w:rPr>
          <w:noProof/>
        </w:rPr>
        <w:fldChar w:fldCharType="end"/>
      </w:r>
      <w:r w:rsidRPr="00D37004">
        <w:rPr>
          <w:noProof/>
        </w:rPr>
        <w:t>. Overview of the second set of policy options</w:t>
      </w:r>
      <w:r>
        <w:rPr>
          <w:noProof/>
        </w:rPr>
        <w:t xml:space="preserve"> responding to problem 2</w:t>
      </w:r>
    </w:p>
    <w:tbl>
      <w:tblPr>
        <w:tblStyle w:val="GridTable4-Accent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3238"/>
        <w:gridCol w:w="3236"/>
      </w:tblGrid>
      <w:tr w:rsidR="00E61374" w:rsidRPr="00D37004" w14:paraId="782AAE00" w14:textId="77777777" w:rsidTr="00BD6CED">
        <w:trPr>
          <w:cnfStyle w:val="100000000000" w:firstRow="1" w:lastRow="0" w:firstColumn="0" w:lastColumn="0" w:oddVBand="0" w:evenVBand="0" w:oddHBand="0" w:evenHBand="0" w:firstRowFirstColumn="0" w:firstRowLastColumn="0" w:lastRowFirstColumn="0" w:lastRowLastColumn="0"/>
          <w:trHeight w:val="410"/>
          <w:tblHeader/>
        </w:trPr>
        <w:tc>
          <w:tcPr>
            <w:cnfStyle w:val="001000000000" w:firstRow="0" w:lastRow="0" w:firstColumn="1" w:lastColumn="0" w:oddVBand="0" w:evenVBand="0" w:oddHBand="0" w:evenHBand="0" w:firstRowFirstColumn="0" w:firstRowLastColumn="0" w:lastRowFirstColumn="0" w:lastRowLastColumn="0"/>
            <w:tcW w:w="0" w:type="pct"/>
            <w:shd w:val="clear" w:color="auto" w:fill="0070C0"/>
            <w:vAlign w:val="center"/>
          </w:tcPr>
          <w:p w14:paraId="05B36C6D" w14:textId="77777777" w:rsidR="00E61374" w:rsidRPr="00AC1DF5" w:rsidRDefault="00E61374" w:rsidP="00AC1DF5">
            <w:pPr>
              <w:pStyle w:val="Text2"/>
              <w:spacing w:after="0"/>
              <w:ind w:left="0"/>
              <w:jc w:val="center"/>
              <w:rPr>
                <w:noProof/>
                <w:sz w:val="20"/>
                <w:szCs w:val="18"/>
              </w:rPr>
            </w:pPr>
            <w:r w:rsidRPr="00AC1DF5">
              <w:rPr>
                <w:noProof/>
                <w:sz w:val="20"/>
                <w:szCs w:val="18"/>
              </w:rPr>
              <w:t>Policy Option PO2-A</w:t>
            </w:r>
          </w:p>
        </w:tc>
        <w:tc>
          <w:tcPr>
            <w:tcW w:w="0" w:type="pct"/>
            <w:shd w:val="clear" w:color="auto" w:fill="0070C0"/>
            <w:vAlign w:val="center"/>
          </w:tcPr>
          <w:p w14:paraId="4F5352A3" w14:textId="77777777" w:rsidR="00E61374" w:rsidRPr="00AC1DF5" w:rsidRDefault="00E61374" w:rsidP="00AC1DF5">
            <w:pPr>
              <w:pStyle w:val="Text2"/>
              <w:spacing w:after="0"/>
              <w:ind w:left="0"/>
              <w:jc w:val="center"/>
              <w:cnfStyle w:val="100000000000" w:firstRow="1"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Policy Option PO2-B</w:t>
            </w:r>
          </w:p>
        </w:tc>
        <w:tc>
          <w:tcPr>
            <w:tcW w:w="0" w:type="pct"/>
            <w:shd w:val="clear" w:color="auto" w:fill="0070C0"/>
            <w:vAlign w:val="center"/>
          </w:tcPr>
          <w:p w14:paraId="4A96042A" w14:textId="77777777" w:rsidR="00E61374" w:rsidRPr="00AC1DF5" w:rsidRDefault="00E61374" w:rsidP="00AC1DF5">
            <w:pPr>
              <w:pStyle w:val="Text2"/>
              <w:spacing w:after="0"/>
              <w:ind w:left="0"/>
              <w:jc w:val="center"/>
              <w:cnfStyle w:val="100000000000" w:firstRow="1"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Policy Option PO2-C</w:t>
            </w:r>
          </w:p>
        </w:tc>
      </w:tr>
      <w:tr w:rsidR="00E61374" w:rsidRPr="00D37004" w14:paraId="0DE57CF4" w14:textId="77777777" w:rsidTr="0021631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667" w:type="pct"/>
            <w:shd w:val="clear" w:color="auto" w:fill="F2F2F2" w:themeFill="background1" w:themeFillShade="F2"/>
          </w:tcPr>
          <w:p w14:paraId="186221AD" w14:textId="77777777" w:rsidR="00E61374" w:rsidRPr="00B922B9" w:rsidRDefault="00E61374" w:rsidP="00AC1DF5">
            <w:pPr>
              <w:pStyle w:val="Text2"/>
              <w:spacing w:after="0"/>
              <w:ind w:left="0"/>
              <w:jc w:val="center"/>
              <w:rPr>
                <w:b w:val="0"/>
                <w:bCs w:val="0"/>
                <w:i/>
                <w:iCs/>
                <w:noProof/>
                <w:sz w:val="20"/>
                <w:szCs w:val="18"/>
              </w:rPr>
            </w:pPr>
            <w:r w:rsidRPr="00B922B9">
              <w:rPr>
                <w:b w:val="0"/>
                <w:bCs w:val="0"/>
                <w:i/>
                <w:iCs/>
                <w:noProof/>
                <w:sz w:val="20"/>
                <w:szCs w:val="18"/>
              </w:rPr>
              <w:t>Supporting measures to increase transparency and visibility of sovereign cloud and AI computing services</w:t>
            </w:r>
          </w:p>
        </w:tc>
        <w:tc>
          <w:tcPr>
            <w:tcW w:w="1667" w:type="pct"/>
            <w:shd w:val="clear" w:color="auto" w:fill="F2F2F2" w:themeFill="background1" w:themeFillShade="F2"/>
          </w:tcPr>
          <w:p w14:paraId="07B29E14" w14:textId="77777777" w:rsidR="00E61374" w:rsidRPr="00B922B9" w:rsidRDefault="00E61374" w:rsidP="00AC1DF5">
            <w:pPr>
              <w:pStyle w:val="Text2"/>
              <w:spacing w:after="0"/>
              <w:ind w:left="0"/>
              <w:jc w:val="center"/>
              <w:cnfStyle w:val="000000100000" w:firstRow="0" w:lastRow="0" w:firstColumn="0" w:lastColumn="0" w:oddVBand="0" w:evenVBand="0" w:oddHBand="1" w:evenHBand="0" w:firstRowFirstColumn="0" w:firstRowLastColumn="0" w:lastRowFirstColumn="0" w:lastRowLastColumn="0"/>
              <w:rPr>
                <w:i/>
                <w:iCs/>
                <w:noProof/>
                <w:sz w:val="20"/>
                <w:szCs w:val="18"/>
              </w:rPr>
            </w:pPr>
            <w:r w:rsidRPr="00B922B9">
              <w:rPr>
                <w:i/>
                <w:iCs/>
                <w:noProof/>
                <w:sz w:val="20"/>
                <w:szCs w:val="18"/>
              </w:rPr>
              <w:t xml:space="preserve"> Voluntary framework for advancing sovereign cloud and AI computing services</w:t>
            </w:r>
          </w:p>
        </w:tc>
        <w:tc>
          <w:tcPr>
            <w:tcW w:w="1667" w:type="pct"/>
            <w:shd w:val="clear" w:color="auto" w:fill="F2F2F2" w:themeFill="background1" w:themeFillShade="F2"/>
          </w:tcPr>
          <w:p w14:paraId="6A670987" w14:textId="77777777" w:rsidR="00E61374" w:rsidRPr="00B922B9" w:rsidRDefault="00E61374" w:rsidP="00AC1DF5">
            <w:pPr>
              <w:pStyle w:val="Text2"/>
              <w:spacing w:after="0"/>
              <w:ind w:left="0"/>
              <w:jc w:val="center"/>
              <w:cnfStyle w:val="000000100000" w:firstRow="0" w:lastRow="0" w:firstColumn="0" w:lastColumn="0" w:oddVBand="0" w:evenVBand="0" w:oddHBand="1" w:evenHBand="0" w:firstRowFirstColumn="0" w:firstRowLastColumn="0" w:lastRowFirstColumn="0" w:lastRowLastColumn="0"/>
              <w:rPr>
                <w:i/>
                <w:iCs/>
                <w:noProof/>
                <w:sz w:val="20"/>
                <w:szCs w:val="18"/>
              </w:rPr>
            </w:pPr>
            <w:r w:rsidRPr="00B922B9">
              <w:rPr>
                <w:i/>
                <w:iCs/>
                <w:noProof/>
                <w:sz w:val="20"/>
                <w:szCs w:val="18"/>
              </w:rPr>
              <w:t xml:space="preserve"> EU-coordinated procurement and support framework for sovereign cloud and AI computing services</w:t>
            </w:r>
          </w:p>
        </w:tc>
      </w:tr>
      <w:tr w:rsidR="00E61374" w:rsidRPr="00D37004" w14:paraId="23782AE1" w14:textId="77777777" w:rsidTr="0021631D">
        <w:trPr>
          <w:trHeight w:val="119"/>
        </w:trPr>
        <w:tc>
          <w:tcPr>
            <w:cnfStyle w:val="001000000000" w:firstRow="0" w:lastRow="0" w:firstColumn="1" w:lastColumn="0" w:oddVBand="0" w:evenVBand="0" w:oddHBand="0" w:evenHBand="0" w:firstRowFirstColumn="0" w:firstRowLastColumn="0" w:lastRowFirstColumn="0" w:lastRowLastColumn="0"/>
            <w:tcW w:w="1667" w:type="pct"/>
          </w:tcPr>
          <w:p w14:paraId="37F74840" w14:textId="324D1FCD" w:rsidR="00E61374" w:rsidRPr="00AC1DF5" w:rsidRDefault="00E61374" w:rsidP="00AC1DF5">
            <w:pPr>
              <w:pStyle w:val="Text2"/>
              <w:spacing w:after="0"/>
              <w:ind w:left="0"/>
              <w:jc w:val="left"/>
              <w:rPr>
                <w:b w:val="0"/>
                <w:bCs w:val="0"/>
                <w:noProof/>
                <w:sz w:val="20"/>
                <w:szCs w:val="18"/>
              </w:rPr>
            </w:pPr>
            <w:r w:rsidRPr="00AC1DF5">
              <w:rPr>
                <w:b w:val="0"/>
                <w:bCs w:val="0"/>
                <w:noProof/>
                <w:sz w:val="20"/>
                <w:szCs w:val="18"/>
              </w:rPr>
              <w:t xml:space="preserve">PM11 – Creating EU-level </w:t>
            </w:r>
            <w:r w:rsidR="002E6A42">
              <w:rPr>
                <w:b w:val="0"/>
                <w:bCs w:val="0"/>
                <w:noProof/>
                <w:sz w:val="20"/>
                <w:szCs w:val="18"/>
              </w:rPr>
              <w:t>harmoni</w:t>
            </w:r>
            <w:r w:rsidR="003F3C6E">
              <w:rPr>
                <w:b w:val="0"/>
                <w:bCs w:val="0"/>
                <w:noProof/>
                <w:sz w:val="20"/>
                <w:szCs w:val="18"/>
              </w:rPr>
              <w:t>s</w:t>
            </w:r>
            <w:r w:rsidR="002E6A42">
              <w:rPr>
                <w:b w:val="0"/>
                <w:bCs w:val="0"/>
                <w:noProof/>
                <w:sz w:val="20"/>
                <w:szCs w:val="18"/>
              </w:rPr>
              <w:t>ed criteria</w:t>
            </w:r>
            <w:r w:rsidR="002E6A42" w:rsidRPr="00AC1DF5">
              <w:rPr>
                <w:b w:val="0"/>
                <w:bCs w:val="0"/>
                <w:noProof/>
                <w:sz w:val="20"/>
                <w:szCs w:val="18"/>
              </w:rPr>
              <w:t xml:space="preserve"> </w:t>
            </w:r>
            <w:r w:rsidR="00BC608E">
              <w:rPr>
                <w:b w:val="0"/>
                <w:bCs w:val="0"/>
                <w:noProof/>
                <w:sz w:val="20"/>
                <w:szCs w:val="18"/>
              </w:rPr>
              <w:t>for</w:t>
            </w:r>
            <w:r w:rsidRPr="00AC1DF5">
              <w:rPr>
                <w:b w:val="0"/>
                <w:bCs w:val="0"/>
                <w:noProof/>
                <w:sz w:val="20"/>
                <w:szCs w:val="18"/>
              </w:rPr>
              <w:t xml:space="preserve"> sovereign cloud and AI computing services</w:t>
            </w:r>
          </w:p>
          <w:p w14:paraId="249B8E27" w14:textId="77777777" w:rsidR="00E61374" w:rsidRPr="00AC1DF5" w:rsidRDefault="00E61374" w:rsidP="00AC1DF5">
            <w:pPr>
              <w:pStyle w:val="Text2"/>
              <w:spacing w:after="0"/>
              <w:ind w:left="0"/>
              <w:jc w:val="left"/>
              <w:rPr>
                <w:b w:val="0"/>
                <w:bCs w:val="0"/>
                <w:noProof/>
                <w:sz w:val="20"/>
                <w:szCs w:val="18"/>
              </w:rPr>
            </w:pPr>
            <w:r w:rsidRPr="00AC1DF5">
              <w:rPr>
                <w:b w:val="0"/>
                <w:bCs w:val="0"/>
                <w:noProof/>
                <w:sz w:val="20"/>
                <w:szCs w:val="18"/>
              </w:rPr>
              <w:t>PM12 – EU guidelines on the requirements to be fulfilled by sovereign cloud and AI computing services</w:t>
            </w:r>
          </w:p>
          <w:p w14:paraId="7EA92BE8" w14:textId="77777777" w:rsidR="00E61374" w:rsidRPr="00AC1DF5" w:rsidRDefault="00E61374" w:rsidP="00AC1DF5">
            <w:pPr>
              <w:pStyle w:val="Text2"/>
              <w:spacing w:after="0"/>
              <w:ind w:left="0"/>
              <w:jc w:val="left"/>
              <w:rPr>
                <w:b w:val="0"/>
                <w:bCs w:val="0"/>
                <w:noProof/>
                <w:sz w:val="20"/>
                <w:szCs w:val="18"/>
              </w:rPr>
            </w:pPr>
            <w:r w:rsidRPr="00AC1DF5">
              <w:rPr>
                <w:b w:val="0"/>
                <w:bCs w:val="0"/>
                <w:noProof/>
                <w:sz w:val="20"/>
                <w:szCs w:val="18"/>
              </w:rPr>
              <w:t>PM13 – Annual conference on EU Digital Sovereignty</w:t>
            </w:r>
          </w:p>
          <w:p w14:paraId="3B0656E5" w14:textId="77777777" w:rsidR="00E61374" w:rsidRPr="00AC1DF5" w:rsidRDefault="00E61374" w:rsidP="00AC1DF5">
            <w:pPr>
              <w:pStyle w:val="Text2"/>
              <w:spacing w:after="0"/>
              <w:ind w:left="0"/>
              <w:jc w:val="left"/>
              <w:rPr>
                <w:b w:val="0"/>
                <w:bCs w:val="0"/>
                <w:noProof/>
                <w:sz w:val="20"/>
                <w:szCs w:val="18"/>
              </w:rPr>
            </w:pPr>
            <w:r w:rsidRPr="00AC1DF5">
              <w:rPr>
                <w:b w:val="0"/>
                <w:bCs w:val="0"/>
                <w:noProof/>
                <w:sz w:val="20"/>
                <w:szCs w:val="18"/>
              </w:rPr>
              <w:t>PM14 – Interoperability flanking measures</w:t>
            </w:r>
          </w:p>
          <w:p w14:paraId="7D407384" w14:textId="77777777" w:rsidR="00E61374" w:rsidRPr="00AC1DF5" w:rsidRDefault="00E61374" w:rsidP="00AC1DF5">
            <w:pPr>
              <w:pStyle w:val="Text2"/>
              <w:spacing w:after="0"/>
              <w:ind w:left="0"/>
              <w:jc w:val="left"/>
              <w:rPr>
                <w:b w:val="0"/>
                <w:bCs w:val="0"/>
                <w:noProof/>
                <w:sz w:val="20"/>
                <w:szCs w:val="18"/>
              </w:rPr>
            </w:pPr>
          </w:p>
        </w:tc>
        <w:tc>
          <w:tcPr>
            <w:tcW w:w="1667" w:type="pct"/>
          </w:tcPr>
          <w:p w14:paraId="2C9C9779" w14:textId="14447F99"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 xml:space="preserve">PM15 – </w:t>
            </w:r>
            <w:r w:rsidR="008D2A11">
              <w:rPr>
                <w:noProof/>
                <w:sz w:val="20"/>
                <w:szCs w:val="18"/>
              </w:rPr>
              <w:t xml:space="preserve">Voluntary </w:t>
            </w:r>
            <w:r w:rsidR="00964C4E">
              <w:rPr>
                <w:noProof/>
                <w:sz w:val="20"/>
                <w:szCs w:val="18"/>
              </w:rPr>
              <w:t xml:space="preserve">sovereign </w:t>
            </w:r>
            <w:r w:rsidR="00056226">
              <w:rPr>
                <w:noProof/>
                <w:sz w:val="20"/>
                <w:szCs w:val="18"/>
              </w:rPr>
              <w:t xml:space="preserve">risk assessments </w:t>
            </w:r>
            <w:r w:rsidR="00055C27">
              <w:rPr>
                <w:noProof/>
                <w:sz w:val="20"/>
                <w:szCs w:val="18"/>
              </w:rPr>
              <w:t xml:space="preserve">for the use of </w:t>
            </w:r>
            <w:r w:rsidR="00964C4E">
              <w:rPr>
                <w:noProof/>
                <w:sz w:val="20"/>
                <w:szCs w:val="18"/>
              </w:rPr>
              <w:t xml:space="preserve">cloud </w:t>
            </w:r>
            <w:r w:rsidR="00A525BD">
              <w:rPr>
                <w:noProof/>
                <w:sz w:val="20"/>
                <w:szCs w:val="18"/>
              </w:rPr>
              <w:t>&amp;</w:t>
            </w:r>
            <w:r w:rsidR="00964C4E">
              <w:rPr>
                <w:noProof/>
                <w:sz w:val="20"/>
                <w:szCs w:val="18"/>
              </w:rPr>
              <w:t xml:space="preserve"> AI computing services </w:t>
            </w:r>
            <w:r w:rsidR="007D2118">
              <w:rPr>
                <w:noProof/>
                <w:sz w:val="20"/>
                <w:szCs w:val="18"/>
              </w:rPr>
              <w:t>in the</w:t>
            </w:r>
            <w:r w:rsidR="00964C4E">
              <w:rPr>
                <w:noProof/>
                <w:sz w:val="20"/>
                <w:szCs w:val="18"/>
              </w:rPr>
              <w:t xml:space="preserve"> public </w:t>
            </w:r>
            <w:r w:rsidR="007D2118">
              <w:rPr>
                <w:noProof/>
                <w:sz w:val="20"/>
                <w:szCs w:val="18"/>
              </w:rPr>
              <w:t>sector</w:t>
            </w:r>
            <w:r w:rsidRPr="00AC1DF5">
              <w:rPr>
                <w:noProof/>
                <w:sz w:val="20"/>
                <w:szCs w:val="18"/>
              </w:rPr>
              <w:t xml:space="preserve"> </w:t>
            </w:r>
          </w:p>
          <w:p w14:paraId="0E6BD500"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PM16 – Voluntary award criteria</w:t>
            </w:r>
          </w:p>
          <w:p w14:paraId="59D724E2"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PM17 – Public sector cloud federation and EU broker</w:t>
            </w:r>
          </w:p>
          <w:p w14:paraId="2DAEE1AC"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PM18 – Vendor-neutral cloud and AI training programme</w:t>
            </w:r>
          </w:p>
          <w:p w14:paraId="291448B8" w14:textId="391282CD"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p>
        </w:tc>
        <w:tc>
          <w:tcPr>
            <w:tcW w:w="1667" w:type="pct"/>
          </w:tcPr>
          <w:p w14:paraId="6A6E1B79" w14:textId="3DAFD49D" w:rsidR="00F848A0" w:rsidRDefault="00F848A0"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Pr>
                <w:noProof/>
                <w:sz w:val="20"/>
                <w:szCs w:val="18"/>
              </w:rPr>
              <w:t xml:space="preserve">PM19 - </w:t>
            </w:r>
            <w:r w:rsidRPr="00F848A0">
              <w:rPr>
                <w:noProof/>
                <w:sz w:val="20"/>
                <w:szCs w:val="18"/>
              </w:rPr>
              <w:t>Mandatory award criteria</w:t>
            </w:r>
          </w:p>
          <w:p w14:paraId="0A368E64"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PM20 – Open Source use in the public sector</w:t>
            </w:r>
          </w:p>
          <w:p w14:paraId="6A015A1B" w14:textId="1C4A1B81"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 xml:space="preserve">PM21 – Mandatory </w:t>
            </w:r>
            <w:r w:rsidR="007D2118">
              <w:rPr>
                <w:noProof/>
                <w:sz w:val="20"/>
                <w:szCs w:val="18"/>
              </w:rPr>
              <w:t xml:space="preserve">sovereign </w:t>
            </w:r>
            <w:r w:rsidR="005373BB">
              <w:rPr>
                <w:noProof/>
                <w:sz w:val="20"/>
                <w:szCs w:val="18"/>
              </w:rPr>
              <w:t xml:space="preserve">risk assessments for the use of </w:t>
            </w:r>
            <w:r w:rsidR="007D2118">
              <w:rPr>
                <w:noProof/>
                <w:sz w:val="20"/>
                <w:szCs w:val="18"/>
              </w:rPr>
              <w:t xml:space="preserve">cloud and AI computing services </w:t>
            </w:r>
          </w:p>
          <w:p w14:paraId="50EABE76"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 xml:space="preserve">PM22 – Joint EU-level procurement of cloud and AI </w:t>
            </w:r>
          </w:p>
          <w:p w14:paraId="589989FC" w14:textId="7777777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PM23 – SME cloud and AI support scheme</w:t>
            </w:r>
          </w:p>
          <w:p w14:paraId="154F6F94" w14:textId="77C79FB7" w:rsidR="00E61374" w:rsidRPr="00AC1DF5" w:rsidRDefault="00E61374" w:rsidP="00AC1DF5">
            <w:pPr>
              <w:pStyle w:val="Text2"/>
              <w:spacing w:after="0"/>
              <w:ind w:left="0"/>
              <w:jc w:val="left"/>
              <w:cnfStyle w:val="000000000000" w:firstRow="0" w:lastRow="0" w:firstColumn="0" w:lastColumn="0" w:oddVBand="0" w:evenVBand="0" w:oddHBand="0" w:evenHBand="0" w:firstRowFirstColumn="0" w:firstRowLastColumn="0" w:lastRowFirstColumn="0" w:lastRowLastColumn="0"/>
              <w:rPr>
                <w:noProof/>
                <w:sz w:val="20"/>
                <w:szCs w:val="18"/>
              </w:rPr>
            </w:pPr>
            <w:r w:rsidRPr="00AC1DF5">
              <w:rPr>
                <w:noProof/>
                <w:sz w:val="20"/>
                <w:szCs w:val="18"/>
              </w:rPr>
              <w:t xml:space="preserve">PM24 – Cloud and AI </w:t>
            </w:r>
            <w:r w:rsidR="00C810A5">
              <w:rPr>
                <w:noProof/>
                <w:sz w:val="20"/>
                <w:szCs w:val="18"/>
              </w:rPr>
              <w:t>toolbox</w:t>
            </w:r>
          </w:p>
        </w:tc>
      </w:tr>
    </w:tbl>
    <w:p w14:paraId="5411B05C" w14:textId="310C44DC" w:rsidR="00E61374" w:rsidRPr="006A505B" w:rsidRDefault="00E61374" w:rsidP="0021631D">
      <w:pPr>
        <w:spacing w:before="120"/>
        <w:rPr>
          <w:noProof/>
        </w:rPr>
      </w:pPr>
      <w:bookmarkStart w:id="46" w:name="_Hlk204350713"/>
      <w:r w:rsidRPr="006A505B">
        <w:rPr>
          <w:noProof/>
        </w:rPr>
        <w:t>PO2-A packages measures which require EU action but without binding effects. PO2-A can be implemented together with both PO2-B and PO2-C. PO2-B represents an increasing level of EU involvement. PO2-C strengthens this further and covers binding measures. PO2-B and PO2-C are not per se mutually exclusive but some measures in PO2-C represent a different gradient of intervention from similar measures in PO2-</w:t>
      </w:r>
      <w:r w:rsidRPr="006A505B">
        <w:rPr>
          <w:bCs/>
          <w:noProof/>
        </w:rPr>
        <w:t>B</w:t>
      </w:r>
      <w:r w:rsidRPr="006A505B">
        <w:rPr>
          <w:noProof/>
        </w:rPr>
        <w:t xml:space="preserve">. </w:t>
      </w:r>
      <w:r w:rsidR="00CB0635">
        <w:rPr>
          <w:noProof/>
        </w:rPr>
        <w:fldChar w:fldCharType="begin"/>
      </w:r>
      <w:r w:rsidR="00CB0635">
        <w:rPr>
          <w:noProof/>
        </w:rPr>
        <w:instrText xml:space="preserve"> REF _Ref230792947 \h </w:instrText>
      </w:r>
      <w:r w:rsidR="00CB0635">
        <w:rPr>
          <w:noProof/>
        </w:rPr>
      </w:r>
      <w:r w:rsidR="00CB0635">
        <w:rPr>
          <w:noProof/>
        </w:rPr>
        <w:fldChar w:fldCharType="separate"/>
      </w:r>
      <w:r w:rsidR="00137E65" w:rsidRPr="00434A0B">
        <w:rPr>
          <w:noProof/>
        </w:rPr>
        <w:t xml:space="preserve">Figure </w:t>
      </w:r>
      <w:r w:rsidR="00137E65">
        <w:rPr>
          <w:noProof/>
        </w:rPr>
        <w:t>9</w:t>
      </w:r>
      <w:r w:rsidR="00CB0635">
        <w:rPr>
          <w:noProof/>
        </w:rPr>
        <w:fldChar w:fldCharType="end"/>
      </w:r>
      <w:r w:rsidR="00CB0635">
        <w:rPr>
          <w:noProof/>
        </w:rPr>
        <w:t xml:space="preserve"> </w:t>
      </w:r>
      <w:r w:rsidRPr="006A505B">
        <w:rPr>
          <w:noProof/>
        </w:rPr>
        <w:t xml:space="preserve">illustrates how individual measures from each PO build on each other, making them mutually exclusive. </w:t>
      </w:r>
      <w:r w:rsidR="0093413F">
        <w:rPr>
          <w:noProof/>
        </w:rPr>
        <w:t xml:space="preserve">The </w:t>
      </w:r>
      <w:r w:rsidR="00B23114">
        <w:rPr>
          <w:noProof/>
        </w:rPr>
        <w:t xml:space="preserve">relationship between </w:t>
      </w:r>
      <w:r w:rsidR="001D3355">
        <w:rPr>
          <w:noProof/>
        </w:rPr>
        <w:t xml:space="preserve">the options below and the identified problem drivers is discussed jointly at the end of this section. </w:t>
      </w:r>
    </w:p>
    <w:p w14:paraId="45A7A338" w14:textId="77777777" w:rsidR="00E61374" w:rsidRPr="004C3E0E" w:rsidRDefault="00E61374" w:rsidP="004C3E0E">
      <w:pPr>
        <w:spacing w:before="120"/>
        <w:rPr>
          <w:b/>
          <w:bCs/>
          <w:noProof/>
          <w:u w:val="single"/>
        </w:rPr>
      </w:pPr>
      <w:r w:rsidRPr="004C3E0E">
        <w:rPr>
          <w:b/>
          <w:bCs/>
          <w:noProof/>
          <w:u w:val="single"/>
        </w:rPr>
        <w:t xml:space="preserve">Policy Option </w:t>
      </w:r>
      <w:bookmarkEnd w:id="46"/>
      <w:r w:rsidRPr="004C3E0E">
        <w:rPr>
          <w:b/>
          <w:bCs/>
          <w:noProof/>
          <w:u w:val="single"/>
        </w:rPr>
        <w:t xml:space="preserve">PO2-A: Supporting measures to increase transparency and visibility of sovereign cloud and AI computing services </w:t>
      </w:r>
    </w:p>
    <w:p w14:paraId="4B2D8777" w14:textId="1879EF6D" w:rsidR="00E61374" w:rsidRPr="00D37004" w:rsidRDefault="00E61374" w:rsidP="00E61374">
      <w:pPr>
        <w:rPr>
          <w:noProof/>
        </w:rPr>
      </w:pPr>
      <w:r w:rsidRPr="00D37004">
        <w:rPr>
          <w:noProof/>
        </w:rPr>
        <w:t xml:space="preserve">This policy option aims at establishing a common understanding of the notion of sovereignty for cloud and AI </w:t>
      </w:r>
      <w:r>
        <w:rPr>
          <w:noProof/>
        </w:rPr>
        <w:t xml:space="preserve">computing </w:t>
      </w:r>
      <w:r w:rsidRPr="00D37004">
        <w:rPr>
          <w:noProof/>
        </w:rPr>
        <w:t xml:space="preserve">services and increasing their visibility on the market. </w:t>
      </w:r>
      <w:r>
        <w:rPr>
          <w:noProof/>
        </w:rPr>
        <w:t xml:space="preserve">It is complemented by a flanking measure to ensure the participation of European providers in the development of interoperability standards. </w:t>
      </w:r>
    </w:p>
    <w:p w14:paraId="6EE29F42" w14:textId="350095DE" w:rsidR="00D26ACC" w:rsidRDefault="00D26ACC" w:rsidP="003D7B81">
      <w:pPr>
        <w:pStyle w:val="ListBullet"/>
        <w:spacing w:after="0"/>
        <w:rPr>
          <w:noProof/>
        </w:rPr>
      </w:pPr>
      <w:r w:rsidRPr="7C222729">
        <w:rPr>
          <w:b/>
          <w:bCs/>
          <w:noProof/>
        </w:rPr>
        <w:t xml:space="preserve">Policy Measure 11 </w:t>
      </w:r>
      <w:r w:rsidRPr="7C222729">
        <w:rPr>
          <w:b/>
          <w:bCs/>
          <w:noProof/>
          <w:u w:val="single"/>
        </w:rPr>
        <w:t>(PM11</w:t>
      </w:r>
      <w:r w:rsidRPr="7C222729">
        <w:rPr>
          <w:b/>
          <w:bCs/>
          <w:noProof/>
        </w:rPr>
        <w:t>)</w:t>
      </w:r>
      <w:r>
        <w:rPr>
          <w:noProof/>
        </w:rPr>
        <w:t xml:space="preserve"> establishes a harmonised Union-level framework for sovereign cloud and AI computing services. AI systems </w:t>
      </w:r>
      <w:r w:rsidR="3C347C26">
        <w:rPr>
          <w:noProof/>
        </w:rPr>
        <w:t xml:space="preserve">(which are products and not services) </w:t>
      </w:r>
      <w:r>
        <w:rPr>
          <w:noProof/>
        </w:rPr>
        <w:t>are not concerned by the measure, as they are already subject to the AI Act. Acknowledging that different use cases require varying degrees of ‘sovereignty’, the framework provides for four levels of sovereignty assurance.</w:t>
      </w:r>
      <w:r w:rsidR="3FE80ADB">
        <w:rPr>
          <w:noProof/>
        </w:rPr>
        <w:t xml:space="preserve"> </w:t>
      </w:r>
      <w:r w:rsidR="4948D6CB">
        <w:rPr>
          <w:noProof/>
        </w:rPr>
        <w:t>Services not meeting any of the conditions would not be classified with any sovereignty level but would obviously remain available in the market.</w:t>
      </w:r>
      <w:r w:rsidR="7C2891D5">
        <w:rPr>
          <w:noProof/>
        </w:rPr>
        <w:t xml:space="preserve"> </w:t>
      </w:r>
    </w:p>
    <w:p w14:paraId="271D2FE8" w14:textId="77777777" w:rsidR="00F24016" w:rsidRDefault="00F24016" w:rsidP="003866E0">
      <w:pPr>
        <w:pStyle w:val="ListBullet"/>
        <w:numPr>
          <w:ilvl w:val="0"/>
          <w:numId w:val="0"/>
        </w:numPr>
        <w:spacing w:after="0"/>
        <w:ind w:left="283"/>
        <w:rPr>
          <w:bCs/>
          <w:noProof/>
        </w:rPr>
      </w:pPr>
    </w:p>
    <w:p w14:paraId="07048C35" w14:textId="7989660E" w:rsidR="00D26ACC" w:rsidRDefault="00D26ACC" w:rsidP="003866E0">
      <w:pPr>
        <w:pStyle w:val="ListBullet"/>
        <w:numPr>
          <w:ilvl w:val="0"/>
          <w:numId w:val="0"/>
        </w:numPr>
        <w:spacing w:after="0"/>
        <w:ind w:left="283"/>
        <w:rPr>
          <w:noProof/>
        </w:rPr>
      </w:pPr>
      <w:r w:rsidRPr="007720CB">
        <w:rPr>
          <w:bCs/>
          <w:noProof/>
        </w:rPr>
        <w:t>To</w:t>
      </w:r>
      <w:r>
        <w:rPr>
          <w:noProof/>
        </w:rPr>
        <w:t xml:space="preserve"> be considered ‘</w:t>
      </w:r>
      <w:r w:rsidRPr="005A5620">
        <w:rPr>
          <w:b/>
          <w:i/>
          <w:noProof/>
          <w:u w:val="single"/>
        </w:rPr>
        <w:t>sovereign level 1’</w:t>
      </w:r>
      <w:r>
        <w:rPr>
          <w:noProof/>
        </w:rPr>
        <w:t>, a service must meet the following cumulative criteria:</w:t>
      </w:r>
    </w:p>
    <w:p w14:paraId="3D989E3C" w14:textId="004AEC59" w:rsidR="004E3D12" w:rsidRDefault="004E3D12" w:rsidP="004E3D12">
      <w:pPr>
        <w:pStyle w:val="ListBullet"/>
        <w:numPr>
          <w:ilvl w:val="0"/>
          <w:numId w:val="36"/>
        </w:numPr>
        <w:tabs>
          <w:tab w:val="left" w:pos="567"/>
        </w:tabs>
        <w:spacing w:after="0"/>
        <w:ind w:left="1211" w:hanging="491"/>
        <w:rPr>
          <w:noProof/>
        </w:rPr>
      </w:pPr>
      <w:r>
        <w:rPr>
          <w:noProof/>
        </w:rPr>
        <w:t xml:space="preserve">the service provider must be </w:t>
      </w:r>
      <w:r w:rsidRPr="00FA0787">
        <w:rPr>
          <w:b/>
          <w:noProof/>
        </w:rPr>
        <w:t>established</w:t>
      </w:r>
      <w:r>
        <w:rPr>
          <w:noProof/>
        </w:rPr>
        <w:t xml:space="preserve"> in the Union; and</w:t>
      </w:r>
    </w:p>
    <w:p w14:paraId="29CFCFAD" w14:textId="3EBA774D" w:rsidR="001028D3" w:rsidRDefault="001028D3" w:rsidP="001028D3">
      <w:pPr>
        <w:pStyle w:val="ListBullet"/>
        <w:numPr>
          <w:ilvl w:val="0"/>
          <w:numId w:val="36"/>
        </w:numPr>
        <w:tabs>
          <w:tab w:val="left" w:pos="567"/>
        </w:tabs>
        <w:spacing w:after="0"/>
        <w:ind w:left="1211" w:hanging="491"/>
        <w:rPr>
          <w:noProof/>
        </w:rPr>
      </w:pPr>
      <w:r>
        <w:rPr>
          <w:noProof/>
        </w:rPr>
        <w:t>the service must be fully operated from computing infrastructure</w:t>
      </w:r>
      <w:r w:rsidR="00AA0F70">
        <w:rPr>
          <w:noProof/>
        </w:rPr>
        <w:t>, personnel and assets</w:t>
      </w:r>
      <w:r>
        <w:rPr>
          <w:noProof/>
        </w:rPr>
        <w:t xml:space="preserve"> </w:t>
      </w:r>
      <w:r w:rsidRPr="00DD564F">
        <w:rPr>
          <w:b/>
          <w:bCs/>
          <w:noProof/>
        </w:rPr>
        <w:t>located</w:t>
      </w:r>
      <w:r>
        <w:rPr>
          <w:noProof/>
        </w:rPr>
        <w:t xml:space="preserve"> in the Union (meaning the EEA)</w:t>
      </w:r>
      <w:r w:rsidR="005104BA">
        <w:rPr>
          <w:noProof/>
        </w:rPr>
        <w:t>; and</w:t>
      </w:r>
    </w:p>
    <w:p w14:paraId="7EC5389D" w14:textId="47BEF45A" w:rsidR="00C95A81" w:rsidRDefault="005B6F27" w:rsidP="001028D3">
      <w:pPr>
        <w:pStyle w:val="ListBullet"/>
        <w:numPr>
          <w:ilvl w:val="0"/>
          <w:numId w:val="36"/>
        </w:numPr>
        <w:tabs>
          <w:tab w:val="left" w:pos="567"/>
        </w:tabs>
        <w:spacing w:after="0"/>
        <w:ind w:left="1211" w:hanging="491"/>
        <w:rPr>
          <w:noProof/>
        </w:rPr>
      </w:pPr>
      <w:r>
        <w:rPr>
          <w:noProof/>
        </w:rPr>
        <w:t>c</w:t>
      </w:r>
      <w:r w:rsidR="00C95A81">
        <w:rPr>
          <w:noProof/>
        </w:rPr>
        <w:t xml:space="preserve">ustomer data, including metadata and telemetry data, </w:t>
      </w:r>
      <w:r w:rsidR="00FF1A98">
        <w:rPr>
          <w:noProof/>
        </w:rPr>
        <w:t>is in the EU unless the customer explicitly requires otherwise</w:t>
      </w:r>
      <w:r w:rsidR="005104BA">
        <w:rPr>
          <w:noProof/>
        </w:rPr>
        <w:t>; and</w:t>
      </w:r>
    </w:p>
    <w:p w14:paraId="0E434C66" w14:textId="099BB793" w:rsidR="00FF1A98" w:rsidRDefault="005104BA" w:rsidP="001028D3">
      <w:pPr>
        <w:pStyle w:val="ListBullet"/>
        <w:numPr>
          <w:ilvl w:val="0"/>
          <w:numId w:val="36"/>
        </w:numPr>
        <w:tabs>
          <w:tab w:val="left" w:pos="567"/>
        </w:tabs>
        <w:spacing w:after="0"/>
        <w:ind w:left="1211" w:hanging="491"/>
        <w:rPr>
          <w:noProof/>
        </w:rPr>
      </w:pPr>
      <w:r>
        <w:rPr>
          <w:noProof/>
        </w:rPr>
        <w:t>the service provider demonstrates that it complies with state-of-the-art cybersecurity standards;</w:t>
      </w:r>
      <w:r w:rsidR="003327F0">
        <w:rPr>
          <w:noProof/>
        </w:rPr>
        <w:t xml:space="preserve"> and</w:t>
      </w:r>
    </w:p>
    <w:p w14:paraId="7CB791CB" w14:textId="67A3E2DB" w:rsidR="001E06A2" w:rsidRDefault="001E06A2" w:rsidP="001028D3">
      <w:pPr>
        <w:pStyle w:val="ListBullet"/>
        <w:numPr>
          <w:ilvl w:val="0"/>
          <w:numId w:val="36"/>
        </w:numPr>
        <w:tabs>
          <w:tab w:val="left" w:pos="567"/>
        </w:tabs>
        <w:spacing w:after="0"/>
        <w:ind w:left="1211" w:hanging="491"/>
        <w:rPr>
          <w:noProof/>
        </w:rPr>
      </w:pPr>
      <w:r>
        <w:rPr>
          <w:noProof/>
        </w:rPr>
        <w:t xml:space="preserve">if </w:t>
      </w:r>
      <w:r w:rsidR="00E766FD">
        <w:rPr>
          <w:noProof/>
        </w:rPr>
        <w:t xml:space="preserve">technical and </w:t>
      </w:r>
      <w:r>
        <w:rPr>
          <w:noProof/>
        </w:rPr>
        <w:t>operational support is</w:t>
      </w:r>
      <w:r w:rsidR="00E766FD">
        <w:rPr>
          <w:noProof/>
        </w:rPr>
        <w:t xml:space="preserve"> outsourced</w:t>
      </w:r>
      <w:r w:rsidR="006604C6">
        <w:rPr>
          <w:noProof/>
        </w:rPr>
        <w:t xml:space="preserve"> to third-party providers outside of the Union, </w:t>
      </w:r>
      <w:r w:rsidR="00C45021">
        <w:rPr>
          <w:noProof/>
        </w:rPr>
        <w:t>necessary measure are put in place</w:t>
      </w:r>
      <w:r w:rsidR="001C35B2">
        <w:rPr>
          <w:noProof/>
        </w:rPr>
        <w:t xml:space="preserve"> to ensure that would not compromise</w:t>
      </w:r>
      <w:r w:rsidR="00CB3ED1">
        <w:rPr>
          <w:noProof/>
        </w:rPr>
        <w:t xml:space="preserve"> the provider’s operational autonomy; and</w:t>
      </w:r>
    </w:p>
    <w:p w14:paraId="5FDA8345" w14:textId="436FB515" w:rsidR="003327F0" w:rsidRDefault="003327F0" w:rsidP="001028D3">
      <w:pPr>
        <w:pStyle w:val="ListBullet"/>
        <w:numPr>
          <w:ilvl w:val="0"/>
          <w:numId w:val="36"/>
        </w:numPr>
        <w:tabs>
          <w:tab w:val="left" w:pos="567"/>
        </w:tabs>
        <w:spacing w:after="0"/>
        <w:ind w:left="1211" w:hanging="491"/>
        <w:rPr>
          <w:noProof/>
        </w:rPr>
      </w:pPr>
      <w:r>
        <w:rPr>
          <w:noProof/>
        </w:rPr>
        <w:t>there is full transparencey around the use of subcontractors</w:t>
      </w:r>
      <w:r w:rsidR="002876D7">
        <w:rPr>
          <w:noProof/>
        </w:rPr>
        <w:t xml:space="preserve">, for which the cloud service provider </w:t>
      </w:r>
      <w:r w:rsidR="009118C3">
        <w:rPr>
          <w:noProof/>
        </w:rPr>
        <w:t>assesses that they meet Union legal obligations</w:t>
      </w:r>
      <w:r w:rsidR="00EE25B7">
        <w:rPr>
          <w:noProof/>
        </w:rPr>
        <w:t>; and</w:t>
      </w:r>
    </w:p>
    <w:p w14:paraId="7BDE1BEB" w14:textId="64C0A146" w:rsidR="00EE25B7" w:rsidRDefault="00E07570" w:rsidP="001028D3">
      <w:pPr>
        <w:pStyle w:val="ListBullet"/>
        <w:numPr>
          <w:ilvl w:val="0"/>
          <w:numId w:val="36"/>
        </w:numPr>
        <w:tabs>
          <w:tab w:val="left" w:pos="567"/>
        </w:tabs>
        <w:spacing w:after="0"/>
        <w:ind w:left="1211" w:hanging="491"/>
        <w:rPr>
          <w:noProof/>
        </w:rPr>
      </w:pPr>
      <w:r>
        <w:rPr>
          <w:noProof/>
        </w:rPr>
        <w:t xml:space="preserve">where </w:t>
      </w:r>
      <w:r w:rsidR="00A61434">
        <w:rPr>
          <w:noProof/>
        </w:rPr>
        <w:t>the cloud service provider</w:t>
      </w:r>
      <w:r>
        <w:rPr>
          <w:noProof/>
        </w:rPr>
        <w:t xml:space="preserve"> is </w:t>
      </w:r>
      <w:r w:rsidR="000E41D1">
        <w:rPr>
          <w:noProof/>
        </w:rPr>
        <w:t>subject to the control of a third country or a third country entity, it</w:t>
      </w:r>
      <w:r w:rsidR="00A61434">
        <w:rPr>
          <w:noProof/>
        </w:rPr>
        <w:t xml:space="preserve"> </w:t>
      </w:r>
      <w:r w:rsidR="00A61434" w:rsidRPr="00A61434">
        <w:rPr>
          <w:noProof/>
        </w:rPr>
        <w:t>must be able to prove that the laws and government practices in that country do not require the provider to tell that country's authorities about software vulnerabilities before those vulnerabilities have been publicly discovered</w:t>
      </w:r>
    </w:p>
    <w:p w14:paraId="593AC70A" w14:textId="32FAD776" w:rsidR="00D26ACC" w:rsidRDefault="00D26ACC" w:rsidP="003D7B81">
      <w:pPr>
        <w:pStyle w:val="ListBullet"/>
        <w:numPr>
          <w:ilvl w:val="0"/>
          <w:numId w:val="0"/>
        </w:numPr>
        <w:tabs>
          <w:tab w:val="left" w:pos="567"/>
        </w:tabs>
        <w:spacing w:after="0"/>
        <w:ind w:left="360"/>
        <w:rPr>
          <w:noProof/>
        </w:rPr>
      </w:pPr>
      <w:r>
        <w:rPr>
          <w:noProof/>
        </w:rPr>
        <w:t xml:space="preserve">These requirements </w:t>
      </w:r>
      <w:r w:rsidRPr="00FA0787">
        <w:rPr>
          <w:b/>
          <w:noProof/>
        </w:rPr>
        <w:t>would allow</w:t>
      </w:r>
      <w:r>
        <w:rPr>
          <w:noProof/>
        </w:rPr>
        <w:t xml:space="preserve"> service providers with a parent company headquartered outside of the Union to be considered as ‘sovereign level 1’.</w:t>
      </w:r>
    </w:p>
    <w:p w14:paraId="5D975924" w14:textId="77777777" w:rsidR="00F24016" w:rsidRDefault="00F24016" w:rsidP="003866E0">
      <w:pPr>
        <w:pStyle w:val="ListBullet"/>
        <w:numPr>
          <w:ilvl w:val="0"/>
          <w:numId w:val="0"/>
        </w:numPr>
        <w:spacing w:after="0"/>
        <w:ind w:left="360"/>
        <w:rPr>
          <w:noProof/>
        </w:rPr>
      </w:pPr>
    </w:p>
    <w:p w14:paraId="3EF2AA04" w14:textId="25C3A4D5" w:rsidR="00D26ACC" w:rsidRDefault="00D26ACC" w:rsidP="003866E0">
      <w:pPr>
        <w:pStyle w:val="ListBullet"/>
        <w:numPr>
          <w:ilvl w:val="0"/>
          <w:numId w:val="0"/>
        </w:numPr>
        <w:spacing w:after="0"/>
        <w:ind w:left="360"/>
        <w:rPr>
          <w:noProof/>
        </w:rPr>
      </w:pPr>
      <w:r>
        <w:rPr>
          <w:noProof/>
        </w:rPr>
        <w:t>To be considered ‘</w:t>
      </w:r>
      <w:r w:rsidRPr="005A5620">
        <w:rPr>
          <w:b/>
          <w:i/>
          <w:noProof/>
          <w:u w:val="single"/>
        </w:rPr>
        <w:t>sovereign level 2</w:t>
      </w:r>
      <w:r w:rsidRPr="005A5620">
        <w:rPr>
          <w:noProof/>
          <w:u w:val="single"/>
        </w:rPr>
        <w:t>’</w:t>
      </w:r>
      <w:r>
        <w:rPr>
          <w:noProof/>
        </w:rPr>
        <w:t>, a service must meet the following cumulative criteria:</w:t>
      </w:r>
    </w:p>
    <w:p w14:paraId="259639E7" w14:textId="42B68D97" w:rsidR="00D735FB" w:rsidRDefault="00D735FB" w:rsidP="006A2969">
      <w:pPr>
        <w:pStyle w:val="ListBullet"/>
        <w:numPr>
          <w:ilvl w:val="0"/>
          <w:numId w:val="37"/>
        </w:numPr>
        <w:tabs>
          <w:tab w:val="left" w:pos="567"/>
        </w:tabs>
        <w:spacing w:after="0"/>
        <w:ind w:left="1211" w:hanging="491"/>
        <w:rPr>
          <w:noProof/>
        </w:rPr>
      </w:pPr>
      <w:r>
        <w:rPr>
          <w:noProof/>
        </w:rPr>
        <w:t>the service provider</w:t>
      </w:r>
      <w:r w:rsidR="00F91104">
        <w:rPr>
          <w:noProof/>
        </w:rPr>
        <w:t xml:space="preserve"> and subcontractors </w:t>
      </w:r>
      <w:r>
        <w:rPr>
          <w:noProof/>
        </w:rPr>
        <w:t xml:space="preserve">must be </w:t>
      </w:r>
      <w:r w:rsidRPr="00DD564F">
        <w:rPr>
          <w:b/>
          <w:bCs/>
          <w:noProof/>
        </w:rPr>
        <w:t>established</w:t>
      </w:r>
      <w:r>
        <w:rPr>
          <w:noProof/>
        </w:rPr>
        <w:t xml:space="preserve"> in the Union; and</w:t>
      </w:r>
    </w:p>
    <w:p w14:paraId="583B9C0C" w14:textId="0D2C22B2" w:rsidR="00DD564F" w:rsidRDefault="00DD564F" w:rsidP="00DD564F">
      <w:pPr>
        <w:pStyle w:val="ListBullet"/>
        <w:numPr>
          <w:ilvl w:val="0"/>
          <w:numId w:val="37"/>
        </w:numPr>
        <w:tabs>
          <w:tab w:val="left" w:pos="567"/>
        </w:tabs>
        <w:spacing w:after="0"/>
        <w:ind w:left="1211" w:hanging="491"/>
        <w:rPr>
          <w:noProof/>
        </w:rPr>
      </w:pPr>
      <w:r>
        <w:rPr>
          <w:noProof/>
        </w:rPr>
        <w:t>the service must be fully operated from computing infrastructure</w:t>
      </w:r>
      <w:r w:rsidR="00885D44">
        <w:rPr>
          <w:noProof/>
        </w:rPr>
        <w:t>, personnel and assets</w:t>
      </w:r>
      <w:r>
        <w:rPr>
          <w:noProof/>
        </w:rPr>
        <w:t xml:space="preserve"> </w:t>
      </w:r>
      <w:r w:rsidRPr="00DD564F">
        <w:rPr>
          <w:b/>
          <w:bCs/>
          <w:noProof/>
        </w:rPr>
        <w:t>located</w:t>
      </w:r>
      <w:r>
        <w:rPr>
          <w:noProof/>
        </w:rPr>
        <w:t xml:space="preserve"> in the Union; and</w:t>
      </w:r>
    </w:p>
    <w:p w14:paraId="55B260AB" w14:textId="7062AA7A" w:rsidR="007549F5" w:rsidRPr="005205ED" w:rsidRDefault="001325FC" w:rsidP="007549F5">
      <w:pPr>
        <w:pStyle w:val="ListBullet"/>
        <w:numPr>
          <w:ilvl w:val="0"/>
          <w:numId w:val="37"/>
        </w:numPr>
        <w:tabs>
          <w:tab w:val="left" w:pos="567"/>
        </w:tabs>
        <w:spacing w:after="0"/>
        <w:ind w:left="1211" w:hanging="491"/>
        <w:rPr>
          <w:noProof/>
        </w:rPr>
      </w:pPr>
      <w:r w:rsidRPr="005205ED">
        <w:rPr>
          <w:noProof/>
          <w:lang w:val="en-IE" w:eastAsia="ja-JP"/>
        </w:rPr>
        <w:t xml:space="preserve">provide available personnel </w:t>
      </w:r>
      <w:r w:rsidR="00740470" w:rsidRPr="005205ED">
        <w:rPr>
          <w:noProof/>
          <w:lang w:val="en-IE" w:eastAsia="ja-JP"/>
        </w:rPr>
        <w:t>complying with</w:t>
      </w:r>
      <w:r w:rsidR="003E646D" w:rsidRPr="005205ED">
        <w:rPr>
          <w:noProof/>
          <w:lang w:val="en-IE" w:eastAsia="ja-JP"/>
        </w:rPr>
        <w:t xml:space="preserve"> </w:t>
      </w:r>
      <w:r w:rsidRPr="005205ED">
        <w:rPr>
          <w:noProof/>
          <w:lang w:val="en-IE" w:eastAsia="ja-JP"/>
        </w:rPr>
        <w:t>additional personnel screening and Union citizenship requirements</w:t>
      </w:r>
      <w:r w:rsidR="00292ABD" w:rsidRPr="005205ED">
        <w:rPr>
          <w:noProof/>
          <w:lang w:val="en-IE" w:eastAsia="ja-JP"/>
        </w:rPr>
        <w:t xml:space="preserve">, </w:t>
      </w:r>
      <w:r w:rsidR="004A1FAB" w:rsidRPr="005205ED">
        <w:rPr>
          <w:noProof/>
          <w:lang w:val="en-IE" w:eastAsia="ja-JP"/>
        </w:rPr>
        <w:t xml:space="preserve">if the customer determines that imposing </w:t>
      </w:r>
      <w:r w:rsidRPr="005205ED">
        <w:rPr>
          <w:noProof/>
          <w:lang w:val="en-IE" w:eastAsia="ja-JP"/>
        </w:rPr>
        <w:t>these additional</w:t>
      </w:r>
      <w:r w:rsidR="004A1FAB" w:rsidRPr="005205ED">
        <w:rPr>
          <w:noProof/>
          <w:lang w:val="en-IE" w:eastAsia="ja-JP"/>
        </w:rPr>
        <w:t xml:space="preserve"> requirements </w:t>
      </w:r>
      <w:r w:rsidR="00740470" w:rsidRPr="005205ED">
        <w:rPr>
          <w:noProof/>
          <w:lang w:val="en-IE" w:eastAsia="ja-JP"/>
        </w:rPr>
        <w:t>is</w:t>
      </w:r>
      <w:r w:rsidR="004A1FAB" w:rsidRPr="005205ED">
        <w:rPr>
          <w:noProof/>
          <w:lang w:val="en-IE" w:eastAsia="ja-JP"/>
        </w:rPr>
        <w:t xml:space="preserve"> necessary</w:t>
      </w:r>
      <w:r w:rsidR="007549F5" w:rsidRPr="005205ED">
        <w:rPr>
          <w:noProof/>
        </w:rPr>
        <w:t>; and</w:t>
      </w:r>
    </w:p>
    <w:p w14:paraId="51545579" w14:textId="5F22D87A" w:rsidR="001C59D2" w:rsidRDefault="001C59D2" w:rsidP="001C59D2">
      <w:pPr>
        <w:pStyle w:val="ListBullet"/>
        <w:numPr>
          <w:ilvl w:val="0"/>
          <w:numId w:val="37"/>
        </w:numPr>
        <w:tabs>
          <w:tab w:val="left" w:pos="567"/>
        </w:tabs>
        <w:spacing w:after="0"/>
        <w:ind w:left="1211" w:hanging="491"/>
        <w:rPr>
          <w:noProof/>
        </w:rPr>
      </w:pPr>
      <w:r>
        <w:rPr>
          <w:noProof/>
        </w:rPr>
        <w:t xml:space="preserve">the service provider must be </w:t>
      </w:r>
      <w:r w:rsidRPr="00FA0787">
        <w:rPr>
          <w:b/>
          <w:noProof/>
        </w:rPr>
        <w:t>controlled</w:t>
      </w:r>
      <w:r>
        <w:rPr>
          <w:noProof/>
        </w:rPr>
        <w:t xml:space="preserve"> by a legal entity in the Union. Alternatively, if the service </w:t>
      </w:r>
      <w:r w:rsidRPr="00FA0787">
        <w:rPr>
          <w:b/>
          <w:noProof/>
        </w:rPr>
        <w:t>is controlled by a third</w:t>
      </w:r>
      <w:r>
        <w:rPr>
          <w:b/>
          <w:noProof/>
        </w:rPr>
        <w:t>-</w:t>
      </w:r>
      <w:r w:rsidRPr="00FA0787">
        <w:rPr>
          <w:b/>
          <w:noProof/>
        </w:rPr>
        <w:t>country</w:t>
      </w:r>
      <w:r>
        <w:rPr>
          <w:b/>
          <w:bCs/>
          <w:noProof/>
        </w:rPr>
        <w:t xml:space="preserve"> legal entity</w:t>
      </w:r>
      <w:r>
        <w:rPr>
          <w:noProof/>
        </w:rPr>
        <w:t xml:space="preserve">, it must demonstrate that it has in place </w:t>
      </w:r>
      <w:r w:rsidR="00C50432">
        <w:rPr>
          <w:noProof/>
        </w:rPr>
        <w:t>the necessary technical, legal and organisational</w:t>
      </w:r>
      <w:r>
        <w:rPr>
          <w:noProof/>
        </w:rPr>
        <w:t xml:space="preserve"> measures necessary to prevent third-country governmental access and transfer of data stored in the Union</w:t>
      </w:r>
      <w:r w:rsidR="00CF7220">
        <w:rPr>
          <w:noProof/>
        </w:rPr>
        <w:t>,</w:t>
      </w:r>
      <w:r>
        <w:rPr>
          <w:noProof/>
        </w:rPr>
        <w:t xml:space="preserve"> to prevent or refuse any request from a third-country government</w:t>
      </w:r>
      <w:r w:rsidR="002E7CF7">
        <w:rPr>
          <w:noProof/>
        </w:rPr>
        <w:t>, ensure that the control of the third-country or third-country entity is not exercised in a manner that restricts</w:t>
      </w:r>
      <w:r w:rsidR="00313924">
        <w:rPr>
          <w:noProof/>
        </w:rPr>
        <w:t xml:space="preserve"> the provider’s ability to deliver the service, </w:t>
      </w:r>
      <w:r w:rsidR="00EB5CC8">
        <w:rPr>
          <w:noProof/>
        </w:rPr>
        <w:t xml:space="preserve">and to </w:t>
      </w:r>
      <w:r w:rsidR="00193B2B">
        <w:rPr>
          <w:noProof/>
        </w:rPr>
        <w:t>prevent the service disruption and/or degradation of the service by a third</w:t>
      </w:r>
      <w:r w:rsidR="00120983">
        <w:rPr>
          <w:noProof/>
        </w:rPr>
        <w:t>-</w:t>
      </w:r>
      <w:r w:rsidR="00193B2B">
        <w:rPr>
          <w:noProof/>
        </w:rPr>
        <w:t>country</w:t>
      </w:r>
      <w:r w:rsidR="00120983">
        <w:rPr>
          <w:noProof/>
        </w:rPr>
        <w:t xml:space="preserve"> government</w:t>
      </w:r>
      <w:r w:rsidR="0008151C">
        <w:rPr>
          <w:rStyle w:val="FootnoteReference"/>
          <w:noProof/>
        </w:rPr>
        <w:footnoteReference w:id="93"/>
      </w:r>
      <w:r>
        <w:rPr>
          <w:noProof/>
        </w:rPr>
        <w:t>;</w:t>
      </w:r>
      <w:r w:rsidR="007549F5">
        <w:rPr>
          <w:noProof/>
        </w:rPr>
        <w:t xml:space="preserve"> and</w:t>
      </w:r>
    </w:p>
    <w:p w14:paraId="2BF8B23D" w14:textId="01F72D29" w:rsidR="001F4913" w:rsidRDefault="001F4913" w:rsidP="001F4913">
      <w:pPr>
        <w:pStyle w:val="ListBullet"/>
        <w:numPr>
          <w:ilvl w:val="0"/>
          <w:numId w:val="37"/>
        </w:numPr>
        <w:tabs>
          <w:tab w:val="left" w:pos="567"/>
        </w:tabs>
        <w:spacing w:after="0"/>
        <w:ind w:left="1211" w:hanging="491"/>
        <w:rPr>
          <w:noProof/>
        </w:rPr>
      </w:pPr>
      <w:r>
        <w:rPr>
          <w:noProof/>
        </w:rPr>
        <w:t xml:space="preserve">the </w:t>
      </w:r>
      <w:r w:rsidR="00CC72A3">
        <w:rPr>
          <w:noProof/>
        </w:rPr>
        <w:t>data generated by using the audited service</w:t>
      </w:r>
      <w:r>
        <w:rPr>
          <w:noProof/>
        </w:rPr>
        <w:t xml:space="preserve"> </w:t>
      </w:r>
      <w:r w:rsidR="00CC72A3">
        <w:rPr>
          <w:noProof/>
        </w:rPr>
        <w:t>shall</w:t>
      </w:r>
      <w:r>
        <w:rPr>
          <w:noProof/>
        </w:rPr>
        <w:t xml:space="preserve"> not be re-used for the training or fine-tuning of an AI system </w:t>
      </w:r>
      <w:r w:rsidRPr="00FA0787">
        <w:rPr>
          <w:b/>
          <w:noProof/>
        </w:rPr>
        <w:t>operated by an entity outside the EEA</w:t>
      </w:r>
      <w:r w:rsidR="00265E69">
        <w:rPr>
          <w:b/>
          <w:noProof/>
        </w:rPr>
        <w:t xml:space="preserve"> and in any case are not transferred outside the Union</w:t>
      </w:r>
      <w:r w:rsidR="00F37EF2">
        <w:rPr>
          <w:noProof/>
        </w:rPr>
        <w:t>;</w:t>
      </w:r>
      <w:r w:rsidR="007549F5">
        <w:rPr>
          <w:noProof/>
        </w:rPr>
        <w:t xml:space="preserve"> and</w:t>
      </w:r>
    </w:p>
    <w:p w14:paraId="2CD8FB38" w14:textId="5F9C0773" w:rsidR="00DC6213" w:rsidRDefault="00DC6213" w:rsidP="001F4913">
      <w:pPr>
        <w:pStyle w:val="ListBullet"/>
        <w:numPr>
          <w:ilvl w:val="0"/>
          <w:numId w:val="37"/>
        </w:numPr>
        <w:tabs>
          <w:tab w:val="left" w:pos="567"/>
        </w:tabs>
        <w:spacing w:after="0"/>
        <w:ind w:left="1211" w:hanging="491"/>
        <w:rPr>
          <w:noProof/>
        </w:rPr>
      </w:pPr>
      <w:r>
        <w:rPr>
          <w:noProof/>
        </w:rPr>
        <w:t xml:space="preserve">the customer data, including metadata and telemetry data, </w:t>
      </w:r>
      <w:r w:rsidR="000E4D3A">
        <w:rPr>
          <w:noProof/>
        </w:rPr>
        <w:t>remain in the Union unless the customer explicitly requests otherwise; and</w:t>
      </w:r>
    </w:p>
    <w:p w14:paraId="7E713E0E" w14:textId="3DF6634F" w:rsidR="00D26ACC" w:rsidRDefault="00D26ACC" w:rsidP="003866E0">
      <w:pPr>
        <w:pStyle w:val="ListBullet"/>
        <w:numPr>
          <w:ilvl w:val="0"/>
          <w:numId w:val="37"/>
        </w:numPr>
        <w:tabs>
          <w:tab w:val="left" w:pos="567"/>
        </w:tabs>
        <w:spacing w:after="0"/>
        <w:ind w:left="1211" w:hanging="491"/>
        <w:rPr>
          <w:noProof/>
        </w:rPr>
      </w:pPr>
      <w:r>
        <w:rPr>
          <w:noProof/>
        </w:rPr>
        <w:t>the service must demonstrate a high level of cybersecurity by being certified at least at level ‘</w:t>
      </w:r>
      <w:r w:rsidRPr="00FA0787">
        <w:rPr>
          <w:b/>
          <w:noProof/>
        </w:rPr>
        <w:t>substantial</w:t>
      </w:r>
      <w:r>
        <w:rPr>
          <w:noProof/>
        </w:rPr>
        <w:t>’</w:t>
      </w:r>
      <w:r w:rsidR="0062213D">
        <w:rPr>
          <w:noProof/>
        </w:rPr>
        <w:t xml:space="preserve"> </w:t>
      </w:r>
      <w:r>
        <w:rPr>
          <w:noProof/>
        </w:rPr>
        <w:t>under the European Cybersecurity Certification Scheme for Cloud Services (EUCS)</w:t>
      </w:r>
      <w:r w:rsidR="00D52C5D" w:rsidRPr="00D52C5D">
        <w:rPr>
          <w:rStyle w:val="Heading3Char"/>
          <w:noProof/>
        </w:rPr>
        <w:t xml:space="preserve"> </w:t>
      </w:r>
      <w:r w:rsidR="00D52C5D">
        <w:rPr>
          <w:rStyle w:val="FootnoteReference"/>
          <w:noProof/>
        </w:rPr>
        <w:footnoteReference w:id="94"/>
      </w:r>
      <w:r>
        <w:rPr>
          <w:noProof/>
        </w:rPr>
        <w:t>; and</w:t>
      </w:r>
    </w:p>
    <w:p w14:paraId="64C69347" w14:textId="1586FC01" w:rsidR="00B52A31" w:rsidRDefault="00C719B3" w:rsidP="003D7B81">
      <w:pPr>
        <w:pStyle w:val="ListBullet"/>
        <w:numPr>
          <w:ilvl w:val="0"/>
          <w:numId w:val="37"/>
        </w:numPr>
        <w:tabs>
          <w:tab w:val="left" w:pos="567"/>
        </w:tabs>
        <w:spacing w:after="0"/>
        <w:ind w:left="1211" w:hanging="491"/>
        <w:rPr>
          <w:noProof/>
        </w:rPr>
      </w:pPr>
      <w:r>
        <w:rPr>
          <w:noProof/>
        </w:rPr>
        <w:t xml:space="preserve"> </w:t>
      </w:r>
      <w:r w:rsidR="00F529CC" w:rsidRPr="004840CF">
        <w:rPr>
          <w:noProof/>
        </w:rPr>
        <w:t xml:space="preserve">the service provider must demonstrate a </w:t>
      </w:r>
      <w:r w:rsidR="00F529CC" w:rsidRPr="004840CF">
        <w:rPr>
          <w:b/>
          <w:noProof/>
        </w:rPr>
        <w:t>high degree of control</w:t>
      </w:r>
      <w:r w:rsidR="00F529CC" w:rsidRPr="004840CF">
        <w:rPr>
          <w:noProof/>
        </w:rPr>
        <w:t xml:space="preserve"> over the </w:t>
      </w:r>
      <w:r w:rsidR="00826256" w:rsidRPr="004840CF">
        <w:rPr>
          <w:noProof/>
        </w:rPr>
        <w:t>software components</w:t>
      </w:r>
      <w:r w:rsidR="00F529CC" w:rsidRPr="004840CF">
        <w:rPr>
          <w:noProof/>
        </w:rPr>
        <w:t xml:space="preserve"> that underpins the service. This notably implies that</w:t>
      </w:r>
      <w:r w:rsidR="009A2DAC">
        <w:rPr>
          <w:noProof/>
        </w:rPr>
        <w:t xml:space="preserve"> there exists a list of identified dependencies related to the provision of the service,</w:t>
      </w:r>
      <w:r w:rsidR="006B2D60">
        <w:rPr>
          <w:noProof/>
        </w:rPr>
        <w:t xml:space="preserve"> and where the software components are provided by a third-country entity</w:t>
      </w:r>
      <w:r w:rsidR="006612F9">
        <w:rPr>
          <w:noProof/>
        </w:rPr>
        <w:t>,</w:t>
      </w:r>
      <w:r w:rsidR="00F529CC" w:rsidRPr="004840CF">
        <w:rPr>
          <w:noProof/>
        </w:rPr>
        <w:t xml:space="preserve"> </w:t>
      </w:r>
      <w:r w:rsidR="00F529CC" w:rsidRPr="004840CF">
        <w:rPr>
          <w:b/>
          <w:noProof/>
        </w:rPr>
        <w:t xml:space="preserve">the relevant </w:t>
      </w:r>
      <w:r w:rsidR="0010228D" w:rsidRPr="004840CF">
        <w:rPr>
          <w:b/>
          <w:noProof/>
        </w:rPr>
        <w:t>code</w:t>
      </w:r>
      <w:r w:rsidR="0010228D" w:rsidRPr="004840CF">
        <w:rPr>
          <w:noProof/>
        </w:rPr>
        <w:t xml:space="preserve"> </w:t>
      </w:r>
      <w:r w:rsidR="0010228D">
        <w:rPr>
          <w:noProof/>
        </w:rPr>
        <w:t xml:space="preserve">of the </w:t>
      </w:r>
      <w:r w:rsidR="006612F9">
        <w:rPr>
          <w:b/>
          <w:noProof/>
        </w:rPr>
        <w:t>security relevant components</w:t>
      </w:r>
      <w:r w:rsidR="006612F9" w:rsidRPr="004840CF">
        <w:rPr>
          <w:b/>
          <w:noProof/>
        </w:rPr>
        <w:t xml:space="preserve"> </w:t>
      </w:r>
      <w:r w:rsidR="00F529CC" w:rsidRPr="004840CF">
        <w:rPr>
          <w:noProof/>
        </w:rPr>
        <w:t>of the service stack can be audited</w:t>
      </w:r>
      <w:r w:rsidR="00E43F24">
        <w:rPr>
          <w:noProof/>
        </w:rPr>
        <w:t xml:space="preserve">, </w:t>
      </w:r>
      <w:r w:rsidR="005117F9">
        <w:rPr>
          <w:noProof/>
        </w:rPr>
        <w:t xml:space="preserve">and </w:t>
      </w:r>
      <w:r w:rsidR="00E43F24">
        <w:rPr>
          <w:noProof/>
        </w:rPr>
        <w:t>there exists a migration plan</w:t>
      </w:r>
      <w:r w:rsidR="00030D96">
        <w:rPr>
          <w:noProof/>
        </w:rPr>
        <w:t xml:space="preserve"> in the event a vendor fails or a third-country imposes restrictions</w:t>
      </w:r>
      <w:r w:rsidR="00B52A31">
        <w:rPr>
          <w:noProof/>
        </w:rPr>
        <w:t>;</w:t>
      </w:r>
      <w:r w:rsidR="005A63B7">
        <w:rPr>
          <w:noProof/>
        </w:rPr>
        <w:t xml:space="preserve"> and</w:t>
      </w:r>
    </w:p>
    <w:p w14:paraId="52499EA8" w14:textId="028C2503" w:rsidR="00F97D6C" w:rsidRDefault="005A6DE3" w:rsidP="003D7B81">
      <w:pPr>
        <w:pStyle w:val="ListBullet"/>
        <w:numPr>
          <w:ilvl w:val="0"/>
          <w:numId w:val="37"/>
        </w:numPr>
        <w:tabs>
          <w:tab w:val="left" w:pos="567"/>
        </w:tabs>
        <w:spacing w:after="0"/>
        <w:ind w:left="1211" w:hanging="491"/>
        <w:rPr>
          <w:noProof/>
        </w:rPr>
      </w:pPr>
      <w:r>
        <w:rPr>
          <w:noProof/>
        </w:rPr>
        <w:t>i</w:t>
      </w:r>
      <w:r w:rsidR="00716B07">
        <w:rPr>
          <w:noProof/>
        </w:rPr>
        <w:t xml:space="preserve">f </w:t>
      </w:r>
      <w:r w:rsidR="00F97D6C">
        <w:rPr>
          <w:noProof/>
        </w:rPr>
        <w:t xml:space="preserve">the </w:t>
      </w:r>
      <w:r w:rsidR="00B045CC">
        <w:rPr>
          <w:noProof/>
        </w:rPr>
        <w:t xml:space="preserve">subcontractors </w:t>
      </w:r>
      <w:r w:rsidR="00716B07">
        <w:rPr>
          <w:noProof/>
        </w:rPr>
        <w:t xml:space="preserve">are from a third country or a third country entity, </w:t>
      </w:r>
      <w:r w:rsidR="00E66EF2">
        <w:rPr>
          <w:noProof/>
        </w:rPr>
        <w:t xml:space="preserve">appropriate measures in place to demonstrate the </w:t>
      </w:r>
      <w:r w:rsidR="00E60E34">
        <w:rPr>
          <w:noProof/>
        </w:rPr>
        <w:t>absence of control; and</w:t>
      </w:r>
    </w:p>
    <w:p w14:paraId="3B41D603" w14:textId="55749086" w:rsidR="00D26ACC" w:rsidRDefault="00B52A31" w:rsidP="003D7B81">
      <w:pPr>
        <w:pStyle w:val="ListBullet"/>
        <w:numPr>
          <w:ilvl w:val="0"/>
          <w:numId w:val="37"/>
        </w:numPr>
        <w:tabs>
          <w:tab w:val="left" w:pos="567"/>
        </w:tabs>
        <w:spacing w:after="0"/>
        <w:ind w:left="1211" w:hanging="491"/>
        <w:rPr>
          <w:noProof/>
        </w:rPr>
      </w:pPr>
      <w:r>
        <w:rPr>
          <w:noProof/>
        </w:rPr>
        <w:t>operational and technical support</w:t>
      </w:r>
      <w:r w:rsidR="00DC6954">
        <w:rPr>
          <w:noProof/>
        </w:rPr>
        <w:t>, including outsourcing, are initiated and performed exclusively within the Union</w:t>
      </w:r>
      <w:r w:rsidR="00C86483">
        <w:rPr>
          <w:noProof/>
        </w:rPr>
        <w:t xml:space="preserve">; and </w:t>
      </w:r>
    </w:p>
    <w:p w14:paraId="7A20DB9D" w14:textId="77777777" w:rsidR="00C86483" w:rsidRDefault="00C86483" w:rsidP="00C86483">
      <w:pPr>
        <w:pStyle w:val="ListBullet"/>
        <w:numPr>
          <w:ilvl w:val="0"/>
          <w:numId w:val="37"/>
        </w:numPr>
        <w:tabs>
          <w:tab w:val="left" w:pos="567"/>
        </w:tabs>
        <w:spacing w:after="0"/>
        <w:ind w:left="1211" w:hanging="491"/>
        <w:rPr>
          <w:noProof/>
        </w:rPr>
      </w:pPr>
      <w:r>
        <w:rPr>
          <w:noProof/>
        </w:rPr>
        <w:t xml:space="preserve">where the cloud service provider is subject to the control of a third country or a third country entity, it </w:t>
      </w:r>
      <w:r w:rsidRPr="00A61434">
        <w:rPr>
          <w:noProof/>
        </w:rPr>
        <w:t>must be able to prove that the laws and government practices in that country do not require the provider to tell that country's authorities about software vulnerabilities before those vulnerabilities have been publicly discovered</w:t>
      </w:r>
    </w:p>
    <w:p w14:paraId="6936E5F5" w14:textId="77777777" w:rsidR="00C86483" w:rsidRDefault="00C86483" w:rsidP="00F20D70">
      <w:pPr>
        <w:pStyle w:val="ListBullet"/>
        <w:numPr>
          <w:ilvl w:val="0"/>
          <w:numId w:val="0"/>
        </w:numPr>
        <w:tabs>
          <w:tab w:val="left" w:pos="567"/>
        </w:tabs>
        <w:spacing w:after="0"/>
        <w:ind w:left="1211"/>
        <w:rPr>
          <w:noProof/>
        </w:rPr>
      </w:pPr>
    </w:p>
    <w:p w14:paraId="31D436F7" w14:textId="69CD2078" w:rsidR="00D26ACC" w:rsidRDefault="00D26ACC" w:rsidP="003D7B81">
      <w:pPr>
        <w:pStyle w:val="ListBullet"/>
        <w:numPr>
          <w:ilvl w:val="0"/>
          <w:numId w:val="0"/>
        </w:numPr>
        <w:tabs>
          <w:tab w:val="left" w:pos="567"/>
        </w:tabs>
        <w:spacing w:after="0"/>
        <w:ind w:left="360"/>
        <w:rPr>
          <w:noProof/>
        </w:rPr>
      </w:pPr>
      <w:r>
        <w:rPr>
          <w:noProof/>
        </w:rPr>
        <w:t xml:space="preserve">These requirements </w:t>
      </w:r>
      <w:r w:rsidRPr="00FA0787">
        <w:rPr>
          <w:b/>
          <w:noProof/>
        </w:rPr>
        <w:t>would allow</w:t>
      </w:r>
      <w:r>
        <w:rPr>
          <w:noProof/>
        </w:rPr>
        <w:t xml:space="preserve"> service providers controlled by a third-country or third-country entity to be considered as ‘sovereign level 2’</w:t>
      </w:r>
      <w:r w:rsidR="3233776A">
        <w:rPr>
          <w:noProof/>
        </w:rPr>
        <w:t xml:space="preserve">, but </w:t>
      </w:r>
      <w:bookmarkStart w:id="47" w:name="_Int_V0xiAdLD"/>
      <w:r w:rsidR="3233776A">
        <w:rPr>
          <w:noProof/>
        </w:rPr>
        <w:t>on the basis of</w:t>
      </w:r>
      <w:bookmarkEnd w:id="47"/>
      <w:r w:rsidR="3233776A">
        <w:rPr>
          <w:noProof/>
        </w:rPr>
        <w:t xml:space="preserve"> some organisational efforts</w:t>
      </w:r>
      <w:r>
        <w:rPr>
          <w:noProof/>
        </w:rPr>
        <w:t xml:space="preserve">. </w:t>
      </w:r>
      <w:r w:rsidR="63DC4CFD">
        <w:rPr>
          <w:noProof/>
        </w:rPr>
        <w:t>S</w:t>
      </w:r>
      <w:r>
        <w:rPr>
          <w:noProof/>
        </w:rPr>
        <w:t>ervice providers owned and controlled by a legal entity in the Union would face less difficult</w:t>
      </w:r>
      <w:r w:rsidR="006521FC">
        <w:rPr>
          <w:noProof/>
        </w:rPr>
        <w:t>ies</w:t>
      </w:r>
      <w:r>
        <w:rPr>
          <w:noProof/>
        </w:rPr>
        <w:t xml:space="preserve"> in complying with these criteria.</w:t>
      </w:r>
    </w:p>
    <w:p w14:paraId="098ACD24" w14:textId="77777777" w:rsidR="005A5620" w:rsidRDefault="005A5620" w:rsidP="003D7B81">
      <w:pPr>
        <w:pStyle w:val="ListBullet"/>
        <w:numPr>
          <w:ilvl w:val="0"/>
          <w:numId w:val="0"/>
        </w:numPr>
        <w:tabs>
          <w:tab w:val="left" w:pos="567"/>
        </w:tabs>
        <w:spacing w:after="0"/>
        <w:ind w:left="360"/>
        <w:rPr>
          <w:noProof/>
        </w:rPr>
      </w:pPr>
    </w:p>
    <w:p w14:paraId="354D6CBC" w14:textId="77777777" w:rsidR="00D26ACC" w:rsidRDefault="00D26ACC" w:rsidP="003866E0">
      <w:pPr>
        <w:pStyle w:val="ListBullet"/>
        <w:numPr>
          <w:ilvl w:val="0"/>
          <w:numId w:val="0"/>
        </w:numPr>
        <w:spacing w:after="0"/>
        <w:ind w:left="360"/>
        <w:rPr>
          <w:noProof/>
        </w:rPr>
      </w:pPr>
      <w:r>
        <w:rPr>
          <w:noProof/>
        </w:rPr>
        <w:t xml:space="preserve">To be considered </w:t>
      </w:r>
      <w:r w:rsidRPr="005A5620">
        <w:rPr>
          <w:noProof/>
          <w:u w:val="single"/>
        </w:rPr>
        <w:t>‘</w:t>
      </w:r>
      <w:r w:rsidRPr="005A5620">
        <w:rPr>
          <w:b/>
          <w:i/>
          <w:noProof/>
          <w:u w:val="single"/>
        </w:rPr>
        <w:t>sovereign level 3</w:t>
      </w:r>
      <w:r w:rsidRPr="005A5620">
        <w:rPr>
          <w:noProof/>
          <w:u w:val="single"/>
        </w:rPr>
        <w:t>’</w:t>
      </w:r>
      <w:r>
        <w:rPr>
          <w:noProof/>
        </w:rPr>
        <w:t>, a service must meet the following cumulative criteria:</w:t>
      </w:r>
    </w:p>
    <w:p w14:paraId="7DFB7A64" w14:textId="720C034A" w:rsidR="00200282" w:rsidRDefault="00200282" w:rsidP="009A53BE">
      <w:pPr>
        <w:pStyle w:val="ListBullet"/>
        <w:numPr>
          <w:ilvl w:val="0"/>
          <w:numId w:val="38"/>
        </w:numPr>
        <w:tabs>
          <w:tab w:val="left" w:pos="567"/>
        </w:tabs>
        <w:spacing w:after="0"/>
        <w:ind w:left="1211" w:hanging="491"/>
        <w:rPr>
          <w:noProof/>
        </w:rPr>
      </w:pPr>
      <w:r>
        <w:rPr>
          <w:noProof/>
        </w:rPr>
        <w:t>the service provider</w:t>
      </w:r>
      <w:r w:rsidR="005567B2">
        <w:rPr>
          <w:noProof/>
        </w:rPr>
        <w:t xml:space="preserve"> and subcontractors</w:t>
      </w:r>
      <w:r>
        <w:rPr>
          <w:noProof/>
        </w:rPr>
        <w:t xml:space="preserve"> must be </w:t>
      </w:r>
      <w:r w:rsidRPr="004307B1">
        <w:rPr>
          <w:b/>
          <w:bCs/>
          <w:noProof/>
        </w:rPr>
        <w:t>established</w:t>
      </w:r>
      <w:r>
        <w:rPr>
          <w:noProof/>
        </w:rPr>
        <w:t xml:space="preserve"> in the Union; and</w:t>
      </w:r>
    </w:p>
    <w:p w14:paraId="477E80C4" w14:textId="51821B3E" w:rsidR="00200282" w:rsidRDefault="0069092F" w:rsidP="004307B1">
      <w:pPr>
        <w:pStyle w:val="ListBullet"/>
        <w:numPr>
          <w:ilvl w:val="0"/>
          <w:numId w:val="38"/>
        </w:numPr>
        <w:tabs>
          <w:tab w:val="left" w:pos="567"/>
        </w:tabs>
        <w:spacing w:after="0"/>
        <w:ind w:left="1211" w:hanging="491"/>
        <w:rPr>
          <w:noProof/>
        </w:rPr>
      </w:pPr>
      <w:r>
        <w:rPr>
          <w:noProof/>
        </w:rPr>
        <w:t>the service must be fully operated from computing infrastructure</w:t>
      </w:r>
      <w:r w:rsidR="00885D44">
        <w:rPr>
          <w:noProof/>
        </w:rPr>
        <w:t xml:space="preserve"> and assets</w:t>
      </w:r>
      <w:r>
        <w:rPr>
          <w:noProof/>
        </w:rPr>
        <w:t xml:space="preserve"> </w:t>
      </w:r>
      <w:r w:rsidRPr="004307B1">
        <w:rPr>
          <w:b/>
          <w:bCs/>
          <w:noProof/>
        </w:rPr>
        <w:t>located</w:t>
      </w:r>
      <w:r>
        <w:rPr>
          <w:noProof/>
        </w:rPr>
        <w:t xml:space="preserve"> in the Union; </w:t>
      </w:r>
      <w:r w:rsidR="00682920">
        <w:rPr>
          <w:noProof/>
        </w:rPr>
        <w:t>and</w:t>
      </w:r>
    </w:p>
    <w:p w14:paraId="3424C45A" w14:textId="51E71236" w:rsidR="00C21CC2" w:rsidRDefault="007140C4">
      <w:pPr>
        <w:pStyle w:val="ListBullet"/>
        <w:numPr>
          <w:ilvl w:val="0"/>
          <w:numId w:val="38"/>
        </w:numPr>
        <w:tabs>
          <w:tab w:val="left" w:pos="567"/>
        </w:tabs>
        <w:spacing w:after="0"/>
        <w:ind w:left="1211" w:hanging="491"/>
        <w:rPr>
          <w:noProof/>
        </w:rPr>
      </w:pPr>
      <w:r>
        <w:rPr>
          <w:noProof/>
        </w:rPr>
        <w:t xml:space="preserve">members of the board, executive team and personnel operating the service are Union nationals, located in the Union, </w:t>
      </w:r>
      <w:r w:rsidRPr="007140C4">
        <w:rPr>
          <w:b/>
          <w:noProof/>
        </w:rPr>
        <w:t>and are security cleared</w:t>
      </w:r>
      <w:r w:rsidRPr="007140C4">
        <w:rPr>
          <w:b/>
          <w:bCs/>
          <w:noProof/>
        </w:rPr>
        <w:t xml:space="preserve"> where </w:t>
      </w:r>
      <w:r w:rsidR="004777AD">
        <w:rPr>
          <w:b/>
          <w:bCs/>
          <w:noProof/>
        </w:rPr>
        <w:t>appropriate</w:t>
      </w:r>
      <w:r>
        <w:rPr>
          <w:noProof/>
        </w:rPr>
        <w:t xml:space="preserve">; </w:t>
      </w:r>
      <w:r w:rsidR="00C21CC2">
        <w:rPr>
          <w:noProof/>
        </w:rPr>
        <w:t>and</w:t>
      </w:r>
    </w:p>
    <w:p w14:paraId="3F1521DB" w14:textId="6378FAB0" w:rsidR="00FE7F90" w:rsidRDefault="00FE7F90" w:rsidP="00051E7E">
      <w:pPr>
        <w:pStyle w:val="ListBullet"/>
        <w:numPr>
          <w:ilvl w:val="0"/>
          <w:numId w:val="38"/>
        </w:numPr>
        <w:tabs>
          <w:tab w:val="left" w:pos="567"/>
        </w:tabs>
        <w:spacing w:after="0"/>
        <w:ind w:left="1211" w:hanging="491"/>
        <w:rPr>
          <w:noProof/>
        </w:rPr>
      </w:pPr>
      <w:r>
        <w:rPr>
          <w:noProof/>
        </w:rPr>
        <w:t xml:space="preserve">the service provider </w:t>
      </w:r>
      <w:r w:rsidR="26E36BC6">
        <w:rPr>
          <w:noProof/>
        </w:rPr>
        <w:t>must</w:t>
      </w:r>
      <w:r>
        <w:rPr>
          <w:noProof/>
        </w:rPr>
        <w:t xml:space="preserve"> be </w:t>
      </w:r>
      <w:r w:rsidRPr="00FA0787">
        <w:rPr>
          <w:b/>
          <w:noProof/>
        </w:rPr>
        <w:t>owned and controlled</w:t>
      </w:r>
      <w:r>
        <w:rPr>
          <w:noProof/>
        </w:rPr>
        <w:t xml:space="preserve"> by a Union legal entity</w:t>
      </w:r>
      <w:r w:rsidR="002D61C0" w:rsidRPr="002D61C0">
        <w:rPr>
          <w:noProof/>
        </w:rPr>
        <w:t xml:space="preserve"> </w:t>
      </w:r>
      <w:r w:rsidR="002D61C0">
        <w:rPr>
          <w:noProof/>
        </w:rPr>
        <w:t>and the subcontractors are not subject to the control of a third country or a third-country entity</w:t>
      </w:r>
      <w:r w:rsidR="003E1762">
        <w:rPr>
          <w:noProof/>
        </w:rPr>
        <w:t>. A</w:t>
      </w:r>
      <w:r w:rsidR="00166603" w:rsidRPr="003F1746">
        <w:rPr>
          <w:noProof/>
        </w:rPr>
        <w:t xml:space="preserve"> cloud computing service subject to the control of a third country or a legal entity established in a third-country can still be audited against the audit criteria where the third country has implemented specific safeguards that ensure that there is no risk of unauthorised access to Union data or possible disruption of service quality or continuity</w:t>
      </w:r>
      <w:r w:rsidR="003E1762">
        <w:rPr>
          <w:noProof/>
        </w:rPr>
        <w:t>;</w:t>
      </w:r>
      <w:r>
        <w:rPr>
          <w:noProof/>
        </w:rPr>
        <w:t xml:space="preserve"> and</w:t>
      </w:r>
    </w:p>
    <w:p w14:paraId="459C4436" w14:textId="40EF2398" w:rsidR="00F85FE2" w:rsidRDefault="00DF4208" w:rsidP="00051E7E">
      <w:pPr>
        <w:pStyle w:val="ListBullet"/>
        <w:numPr>
          <w:ilvl w:val="0"/>
          <w:numId w:val="38"/>
        </w:numPr>
        <w:tabs>
          <w:tab w:val="left" w:pos="567"/>
        </w:tabs>
        <w:spacing w:after="0"/>
        <w:ind w:left="1211" w:hanging="491"/>
        <w:rPr>
          <w:noProof/>
        </w:rPr>
      </w:pPr>
      <w:r>
        <w:rPr>
          <w:noProof/>
        </w:rPr>
        <w:t xml:space="preserve">the </w:t>
      </w:r>
      <w:r w:rsidR="001868D4">
        <w:rPr>
          <w:noProof/>
        </w:rPr>
        <w:t>data generated by using the audited service shall</w:t>
      </w:r>
      <w:r w:rsidR="00F85FE2">
        <w:rPr>
          <w:noProof/>
        </w:rPr>
        <w:t xml:space="preserve"> not be re-used for the </w:t>
      </w:r>
      <w:r w:rsidR="00F85FE2" w:rsidRPr="00E02726">
        <w:rPr>
          <w:b/>
          <w:bCs/>
          <w:noProof/>
        </w:rPr>
        <w:t>training or fine-tuning of an AI system</w:t>
      </w:r>
      <w:r w:rsidR="00F85FE2">
        <w:rPr>
          <w:noProof/>
        </w:rPr>
        <w:t xml:space="preserve"> </w:t>
      </w:r>
      <w:r w:rsidR="00F85FE2" w:rsidRPr="00F85FE2">
        <w:rPr>
          <w:noProof/>
        </w:rPr>
        <w:t>operated by an entity outside the</w:t>
      </w:r>
      <w:r w:rsidR="00F85FE2" w:rsidRPr="00F85FE2" w:rsidDel="00422FED">
        <w:rPr>
          <w:noProof/>
        </w:rPr>
        <w:t xml:space="preserve"> </w:t>
      </w:r>
      <w:r w:rsidR="00422FED">
        <w:rPr>
          <w:noProof/>
        </w:rPr>
        <w:t xml:space="preserve">Union and </w:t>
      </w:r>
      <w:r w:rsidR="00422FED">
        <w:rPr>
          <w:b/>
          <w:noProof/>
        </w:rPr>
        <w:t>in any case are not transferred outside of the Union</w:t>
      </w:r>
      <w:r w:rsidR="00F85FE2">
        <w:rPr>
          <w:noProof/>
        </w:rPr>
        <w:t>, and</w:t>
      </w:r>
    </w:p>
    <w:p w14:paraId="2B59DCD2" w14:textId="77777777" w:rsidR="00964732" w:rsidRDefault="00964732" w:rsidP="00964732">
      <w:pPr>
        <w:pStyle w:val="ListBullet"/>
        <w:numPr>
          <w:ilvl w:val="0"/>
          <w:numId w:val="38"/>
        </w:numPr>
        <w:tabs>
          <w:tab w:val="left" w:pos="567"/>
        </w:tabs>
        <w:spacing w:after="0"/>
        <w:ind w:left="1211" w:hanging="491"/>
        <w:rPr>
          <w:noProof/>
        </w:rPr>
      </w:pPr>
      <w:r>
        <w:rPr>
          <w:noProof/>
        </w:rPr>
        <w:t>the customer data, including metadata and telemetry data, remain in the Union unless the customer explicitly requests otherwise; and</w:t>
      </w:r>
    </w:p>
    <w:p w14:paraId="76513B50" w14:textId="42A8C878" w:rsidR="00D26ACC" w:rsidRDefault="00D26ACC" w:rsidP="009A53BE">
      <w:pPr>
        <w:pStyle w:val="ListBullet"/>
        <w:numPr>
          <w:ilvl w:val="0"/>
          <w:numId w:val="38"/>
        </w:numPr>
        <w:tabs>
          <w:tab w:val="left" w:pos="567"/>
        </w:tabs>
        <w:spacing w:after="0"/>
        <w:ind w:left="1211" w:hanging="491"/>
        <w:rPr>
          <w:noProof/>
        </w:rPr>
      </w:pPr>
      <w:r>
        <w:rPr>
          <w:noProof/>
        </w:rPr>
        <w:t>the service must demonstrate a high level of cybersecurity by being certified at least at level ‘</w:t>
      </w:r>
      <w:r w:rsidRPr="009A53BE">
        <w:rPr>
          <w:noProof/>
        </w:rPr>
        <w:t>substantial</w:t>
      </w:r>
      <w:r>
        <w:rPr>
          <w:noProof/>
        </w:rPr>
        <w:t>’</w:t>
      </w:r>
      <w:r w:rsidR="00A519DE">
        <w:rPr>
          <w:noProof/>
        </w:rPr>
        <w:t xml:space="preserve"> </w:t>
      </w:r>
      <w:r>
        <w:rPr>
          <w:noProof/>
        </w:rPr>
        <w:t>under the European Cybersecurity Certification Scheme for Cloud Services (EUCS); and</w:t>
      </w:r>
    </w:p>
    <w:p w14:paraId="3FE7D767" w14:textId="3135658C" w:rsidR="000F173E" w:rsidRDefault="00D26ACC" w:rsidP="003D7B81">
      <w:pPr>
        <w:pStyle w:val="ListBullet"/>
        <w:numPr>
          <w:ilvl w:val="0"/>
          <w:numId w:val="38"/>
        </w:numPr>
        <w:tabs>
          <w:tab w:val="left" w:pos="567"/>
        </w:tabs>
        <w:spacing w:after="0"/>
        <w:ind w:left="1211" w:hanging="491"/>
        <w:rPr>
          <w:noProof/>
        </w:rPr>
      </w:pPr>
      <w:r w:rsidRPr="004840CF">
        <w:rPr>
          <w:noProof/>
        </w:rPr>
        <w:t xml:space="preserve">the service provider must demonstrate </w:t>
      </w:r>
      <w:r w:rsidR="007414B7" w:rsidRPr="004840CF">
        <w:rPr>
          <w:b/>
          <w:noProof/>
        </w:rPr>
        <w:t>a high degree of</w:t>
      </w:r>
      <w:r w:rsidRPr="004840CF">
        <w:rPr>
          <w:b/>
          <w:noProof/>
        </w:rPr>
        <w:t xml:space="preserve"> control</w:t>
      </w:r>
      <w:r w:rsidRPr="004840CF">
        <w:rPr>
          <w:noProof/>
        </w:rPr>
        <w:t xml:space="preserve"> over the </w:t>
      </w:r>
      <w:r w:rsidR="00A43930" w:rsidRPr="004840CF">
        <w:rPr>
          <w:noProof/>
        </w:rPr>
        <w:t>software components</w:t>
      </w:r>
      <w:r w:rsidRPr="004840CF">
        <w:rPr>
          <w:noProof/>
        </w:rPr>
        <w:t xml:space="preserve"> that underpin the service</w:t>
      </w:r>
      <w:r w:rsidR="00285EC5">
        <w:rPr>
          <w:noProof/>
        </w:rPr>
        <w:t xml:space="preserve"> (software stack)</w:t>
      </w:r>
      <w:r w:rsidR="00A43930">
        <w:rPr>
          <w:noProof/>
        </w:rPr>
        <w:t>.</w:t>
      </w:r>
      <w:r w:rsidRPr="004840CF">
        <w:rPr>
          <w:noProof/>
        </w:rPr>
        <w:t xml:space="preserve"> </w:t>
      </w:r>
      <w:r w:rsidR="005D14FB" w:rsidRPr="004840CF">
        <w:rPr>
          <w:noProof/>
        </w:rPr>
        <w:t>This notably implies</w:t>
      </w:r>
      <w:r w:rsidRPr="004840CF">
        <w:rPr>
          <w:noProof/>
        </w:rPr>
        <w:t xml:space="preserve"> that </w:t>
      </w:r>
      <w:r w:rsidR="00AD6164">
        <w:rPr>
          <w:noProof/>
        </w:rPr>
        <w:t xml:space="preserve">there exists a list of identified dependencies related to the provision of the service, and where the software components are provided by a third-country entity, </w:t>
      </w:r>
      <w:r w:rsidRPr="004840CF">
        <w:rPr>
          <w:noProof/>
        </w:rPr>
        <w:t xml:space="preserve">the </w:t>
      </w:r>
      <w:r w:rsidR="005D14FB" w:rsidRPr="004840CF">
        <w:rPr>
          <w:b/>
          <w:noProof/>
        </w:rPr>
        <w:t>relevant</w:t>
      </w:r>
      <w:r w:rsidR="00300F8E" w:rsidRPr="004840CF">
        <w:rPr>
          <w:b/>
          <w:noProof/>
        </w:rPr>
        <w:t xml:space="preserve"> </w:t>
      </w:r>
      <w:r w:rsidR="00AD6164" w:rsidRPr="004840CF">
        <w:rPr>
          <w:b/>
          <w:noProof/>
        </w:rPr>
        <w:t>code</w:t>
      </w:r>
      <w:r w:rsidR="00AD6164" w:rsidRPr="004840CF">
        <w:rPr>
          <w:noProof/>
        </w:rPr>
        <w:t xml:space="preserve"> </w:t>
      </w:r>
      <w:r w:rsidR="00AD6164">
        <w:rPr>
          <w:noProof/>
        </w:rPr>
        <w:t xml:space="preserve">of the </w:t>
      </w:r>
      <w:r w:rsidR="00AD6164">
        <w:rPr>
          <w:b/>
          <w:noProof/>
        </w:rPr>
        <w:t>security relevant components</w:t>
      </w:r>
      <w:r w:rsidR="00AD6164" w:rsidRPr="004840CF">
        <w:rPr>
          <w:b/>
          <w:noProof/>
        </w:rPr>
        <w:t xml:space="preserve"> </w:t>
      </w:r>
      <w:r w:rsidRPr="004840CF">
        <w:rPr>
          <w:noProof/>
        </w:rPr>
        <w:t>of the service stack can be audited</w:t>
      </w:r>
      <w:r w:rsidR="00C25CB9">
        <w:rPr>
          <w:noProof/>
        </w:rPr>
        <w:t>, and there exists a migration plan in the event a vendor fails or a third-country imposes restrictions;</w:t>
      </w:r>
      <w:r w:rsidR="000F173E">
        <w:rPr>
          <w:noProof/>
        </w:rPr>
        <w:t xml:space="preserve"> and</w:t>
      </w:r>
    </w:p>
    <w:p w14:paraId="2113B184" w14:textId="77777777" w:rsidR="004A1A69" w:rsidRDefault="00392482">
      <w:pPr>
        <w:pStyle w:val="ListBullet"/>
        <w:numPr>
          <w:ilvl w:val="0"/>
          <w:numId w:val="38"/>
        </w:numPr>
        <w:tabs>
          <w:tab w:val="left" w:pos="567"/>
        </w:tabs>
        <w:spacing w:after="0"/>
        <w:ind w:left="1211" w:hanging="491"/>
        <w:rPr>
          <w:noProof/>
        </w:rPr>
      </w:pPr>
      <w:r>
        <w:rPr>
          <w:noProof/>
        </w:rPr>
        <w:t xml:space="preserve">operational and technical support, including outsourcing, are initiated and performed exclusively within the Union and by Union citizens, and by </w:t>
      </w:r>
      <w:r w:rsidRPr="008775E6">
        <w:rPr>
          <w:noProof/>
          <w:lang w:val="en-IE" w:eastAsia="ja-JP"/>
        </w:rPr>
        <w:t>third parties that are not subject to the control of a third country or third country entity</w:t>
      </w:r>
      <w:r w:rsidR="004A1A69">
        <w:rPr>
          <w:noProof/>
        </w:rPr>
        <w:t>; and</w:t>
      </w:r>
    </w:p>
    <w:p w14:paraId="32D7FD6A" w14:textId="644BBCA2" w:rsidR="004A1A69" w:rsidRDefault="004A1A69" w:rsidP="00F20D70">
      <w:pPr>
        <w:pStyle w:val="ListBullet"/>
        <w:numPr>
          <w:ilvl w:val="0"/>
          <w:numId w:val="38"/>
        </w:numPr>
        <w:tabs>
          <w:tab w:val="left" w:pos="567"/>
        </w:tabs>
        <w:spacing w:after="0"/>
        <w:ind w:left="1211" w:hanging="491"/>
        <w:rPr>
          <w:noProof/>
        </w:rPr>
      </w:pPr>
      <w:r>
        <w:rPr>
          <w:noProof/>
        </w:rPr>
        <w:t xml:space="preserve">where the cloud service provider is subject to the control of a third country or a third country entity, it </w:t>
      </w:r>
      <w:r w:rsidRPr="00A61434">
        <w:rPr>
          <w:noProof/>
        </w:rPr>
        <w:t>must be able to prove that the laws and government practices in that country do not require the provider to tell that country's authorities about software vulnerabilities before those vulnerabilities have been publicly discovered</w:t>
      </w:r>
      <w:r w:rsidR="00B4307C">
        <w:rPr>
          <w:noProof/>
        </w:rPr>
        <w:t>.</w:t>
      </w:r>
    </w:p>
    <w:p w14:paraId="5D5342C6" w14:textId="626D37F8" w:rsidR="000A55B2" w:rsidRDefault="000A55B2" w:rsidP="00F20D70">
      <w:pPr>
        <w:pStyle w:val="ListBullet"/>
        <w:numPr>
          <w:ilvl w:val="0"/>
          <w:numId w:val="0"/>
        </w:numPr>
        <w:tabs>
          <w:tab w:val="left" w:pos="567"/>
        </w:tabs>
        <w:spacing w:after="0"/>
        <w:ind w:left="1211"/>
        <w:rPr>
          <w:noProof/>
        </w:rPr>
      </w:pPr>
    </w:p>
    <w:p w14:paraId="2768CC71" w14:textId="77777777" w:rsidR="000A55B2" w:rsidRDefault="000A55B2" w:rsidP="00DF16AF">
      <w:pPr>
        <w:pStyle w:val="ListBullet"/>
        <w:numPr>
          <w:ilvl w:val="0"/>
          <w:numId w:val="0"/>
        </w:numPr>
        <w:tabs>
          <w:tab w:val="left" w:pos="567"/>
        </w:tabs>
        <w:spacing w:after="0"/>
        <w:ind w:left="283" w:hanging="283"/>
        <w:rPr>
          <w:noProof/>
        </w:rPr>
      </w:pPr>
    </w:p>
    <w:p w14:paraId="11FE6812" w14:textId="77777777" w:rsidR="003F1746" w:rsidRDefault="003F1746" w:rsidP="003D7B81">
      <w:pPr>
        <w:pStyle w:val="ListBullet"/>
        <w:numPr>
          <w:ilvl w:val="0"/>
          <w:numId w:val="0"/>
        </w:numPr>
        <w:tabs>
          <w:tab w:val="left" w:pos="567"/>
        </w:tabs>
        <w:spacing w:after="0"/>
        <w:ind w:left="360"/>
        <w:rPr>
          <w:noProof/>
        </w:rPr>
      </w:pPr>
    </w:p>
    <w:p w14:paraId="742CF4FC" w14:textId="09A45A01" w:rsidR="00D26ACC" w:rsidRDefault="00D26ACC" w:rsidP="003D7B81">
      <w:pPr>
        <w:pStyle w:val="ListBullet"/>
        <w:numPr>
          <w:ilvl w:val="0"/>
          <w:numId w:val="0"/>
        </w:numPr>
        <w:tabs>
          <w:tab w:val="left" w:pos="567"/>
        </w:tabs>
        <w:spacing w:after="0"/>
        <w:ind w:left="360"/>
        <w:rPr>
          <w:noProof/>
        </w:rPr>
      </w:pPr>
      <w:r>
        <w:rPr>
          <w:noProof/>
        </w:rPr>
        <w:t xml:space="preserve">These requirements </w:t>
      </w:r>
      <w:r w:rsidRPr="00FA0787">
        <w:rPr>
          <w:b/>
          <w:noProof/>
        </w:rPr>
        <w:t xml:space="preserve">would </w:t>
      </w:r>
      <w:r w:rsidRPr="007F7910">
        <w:rPr>
          <w:b/>
          <w:noProof/>
          <w:u w:val="single"/>
        </w:rPr>
        <w:t>not</w:t>
      </w:r>
      <w:r w:rsidRPr="00FA0787">
        <w:rPr>
          <w:b/>
          <w:noProof/>
        </w:rPr>
        <w:t xml:space="preserve"> allow</w:t>
      </w:r>
      <w:r>
        <w:rPr>
          <w:noProof/>
        </w:rPr>
        <w:t xml:space="preserve"> service providers whose parent company is headquartered outside of the Union to be considered as ‘sovereign level 3’.</w:t>
      </w:r>
    </w:p>
    <w:p w14:paraId="06897210" w14:textId="77777777" w:rsidR="005A5620" w:rsidRDefault="005A5620" w:rsidP="003866E0">
      <w:pPr>
        <w:pStyle w:val="ListBullet"/>
        <w:numPr>
          <w:ilvl w:val="0"/>
          <w:numId w:val="0"/>
        </w:numPr>
        <w:spacing w:after="0"/>
        <w:ind w:left="360"/>
        <w:rPr>
          <w:noProof/>
        </w:rPr>
      </w:pPr>
    </w:p>
    <w:p w14:paraId="7BBF656C" w14:textId="0E985F37" w:rsidR="00D26ACC" w:rsidRDefault="00D26ACC" w:rsidP="003866E0">
      <w:pPr>
        <w:pStyle w:val="ListBullet"/>
        <w:numPr>
          <w:ilvl w:val="0"/>
          <w:numId w:val="0"/>
        </w:numPr>
        <w:spacing w:after="0"/>
        <w:ind w:left="360"/>
        <w:rPr>
          <w:noProof/>
        </w:rPr>
      </w:pPr>
      <w:r>
        <w:rPr>
          <w:noProof/>
        </w:rPr>
        <w:t xml:space="preserve">To be considered </w:t>
      </w:r>
      <w:r w:rsidRPr="005A5620">
        <w:rPr>
          <w:noProof/>
          <w:u w:val="single"/>
        </w:rPr>
        <w:t>‘</w:t>
      </w:r>
      <w:r w:rsidRPr="005A5620">
        <w:rPr>
          <w:b/>
          <w:i/>
          <w:noProof/>
          <w:u w:val="single"/>
        </w:rPr>
        <w:t>sovereign level 4’</w:t>
      </w:r>
      <w:r>
        <w:rPr>
          <w:noProof/>
        </w:rPr>
        <w:t>, a service must meet the following cumulative criteria:</w:t>
      </w:r>
    </w:p>
    <w:p w14:paraId="123CF67A" w14:textId="13091065" w:rsidR="00847E1A" w:rsidRDefault="00847E1A" w:rsidP="007F7910">
      <w:pPr>
        <w:pStyle w:val="ListBullet"/>
        <w:numPr>
          <w:ilvl w:val="0"/>
          <w:numId w:val="46"/>
        </w:numPr>
        <w:tabs>
          <w:tab w:val="left" w:pos="567"/>
        </w:tabs>
        <w:spacing w:after="0"/>
        <w:ind w:left="1276" w:hanging="567"/>
        <w:rPr>
          <w:noProof/>
        </w:rPr>
      </w:pPr>
      <w:r>
        <w:rPr>
          <w:noProof/>
        </w:rPr>
        <w:t>the service provider</w:t>
      </w:r>
      <w:r w:rsidR="005C2A09">
        <w:rPr>
          <w:noProof/>
        </w:rPr>
        <w:t>, and subcontractors</w:t>
      </w:r>
      <w:r>
        <w:rPr>
          <w:noProof/>
        </w:rPr>
        <w:t xml:space="preserve"> must be </w:t>
      </w:r>
      <w:r w:rsidRPr="004307B1">
        <w:rPr>
          <w:b/>
          <w:bCs/>
          <w:noProof/>
        </w:rPr>
        <w:t>established</w:t>
      </w:r>
      <w:r>
        <w:rPr>
          <w:noProof/>
        </w:rPr>
        <w:t xml:space="preserve"> in the Union; and</w:t>
      </w:r>
    </w:p>
    <w:p w14:paraId="47C86842" w14:textId="706176A7" w:rsidR="00847E1A" w:rsidRDefault="00847E1A" w:rsidP="00847E1A">
      <w:pPr>
        <w:pStyle w:val="ListBullet"/>
        <w:numPr>
          <w:ilvl w:val="0"/>
          <w:numId w:val="46"/>
        </w:numPr>
        <w:tabs>
          <w:tab w:val="left" w:pos="567"/>
        </w:tabs>
        <w:spacing w:after="0"/>
        <w:ind w:left="1211" w:hanging="491"/>
        <w:rPr>
          <w:noProof/>
        </w:rPr>
      </w:pPr>
      <w:r>
        <w:rPr>
          <w:noProof/>
        </w:rPr>
        <w:t>the service must be fully operated from computing infrastructure</w:t>
      </w:r>
      <w:r w:rsidR="00D245A3">
        <w:rPr>
          <w:noProof/>
        </w:rPr>
        <w:t xml:space="preserve"> and assets</w:t>
      </w:r>
      <w:r>
        <w:rPr>
          <w:noProof/>
        </w:rPr>
        <w:t xml:space="preserve"> </w:t>
      </w:r>
      <w:r w:rsidRPr="004307B1">
        <w:rPr>
          <w:b/>
          <w:bCs/>
          <w:noProof/>
        </w:rPr>
        <w:t>located</w:t>
      </w:r>
      <w:r>
        <w:rPr>
          <w:noProof/>
        </w:rPr>
        <w:t xml:space="preserve"> in the Union; </w:t>
      </w:r>
      <w:r w:rsidR="004B7646">
        <w:rPr>
          <w:noProof/>
        </w:rPr>
        <w:t>and</w:t>
      </w:r>
    </w:p>
    <w:p w14:paraId="6E547FD2" w14:textId="5DC6AA5D" w:rsidR="00847E1A" w:rsidRDefault="00847E1A" w:rsidP="00847E1A">
      <w:pPr>
        <w:pStyle w:val="ListBullet"/>
        <w:numPr>
          <w:ilvl w:val="0"/>
          <w:numId w:val="46"/>
        </w:numPr>
        <w:tabs>
          <w:tab w:val="left" w:pos="567"/>
        </w:tabs>
        <w:spacing w:after="0"/>
        <w:ind w:left="1211" w:hanging="491"/>
        <w:rPr>
          <w:noProof/>
        </w:rPr>
      </w:pPr>
      <w:r>
        <w:rPr>
          <w:noProof/>
        </w:rPr>
        <w:t xml:space="preserve">members of the board, executive team and personnel operating the service are Union nationals, located in the Union, </w:t>
      </w:r>
      <w:r w:rsidRPr="007140C4">
        <w:rPr>
          <w:b/>
          <w:noProof/>
        </w:rPr>
        <w:t>and are security cleared</w:t>
      </w:r>
      <w:r w:rsidRPr="007140C4">
        <w:rPr>
          <w:b/>
          <w:bCs/>
          <w:noProof/>
        </w:rPr>
        <w:t xml:space="preserve"> where </w:t>
      </w:r>
      <w:r w:rsidR="009B23A8">
        <w:rPr>
          <w:b/>
          <w:bCs/>
          <w:noProof/>
        </w:rPr>
        <w:t>appropriate</w:t>
      </w:r>
      <w:r>
        <w:rPr>
          <w:noProof/>
        </w:rPr>
        <w:t>; and</w:t>
      </w:r>
    </w:p>
    <w:p w14:paraId="3AB87EF2" w14:textId="29828A0D" w:rsidR="00847E1A" w:rsidRDefault="00847E1A" w:rsidP="00D00591">
      <w:pPr>
        <w:pStyle w:val="ListBullet"/>
        <w:numPr>
          <w:ilvl w:val="0"/>
          <w:numId w:val="46"/>
        </w:numPr>
        <w:tabs>
          <w:tab w:val="left" w:pos="567"/>
        </w:tabs>
        <w:spacing w:after="0"/>
        <w:ind w:left="1211" w:hanging="491"/>
        <w:rPr>
          <w:noProof/>
        </w:rPr>
      </w:pPr>
      <w:r>
        <w:rPr>
          <w:noProof/>
        </w:rPr>
        <w:t xml:space="preserve">the service provider </w:t>
      </w:r>
      <w:r w:rsidR="406EF20B">
        <w:rPr>
          <w:noProof/>
        </w:rPr>
        <w:t>must</w:t>
      </w:r>
      <w:r>
        <w:rPr>
          <w:noProof/>
        </w:rPr>
        <w:t xml:space="preserve"> be </w:t>
      </w:r>
      <w:r w:rsidRPr="00FA0787">
        <w:rPr>
          <w:b/>
          <w:noProof/>
        </w:rPr>
        <w:t>owned and controlled</w:t>
      </w:r>
      <w:r>
        <w:rPr>
          <w:noProof/>
        </w:rPr>
        <w:t xml:space="preserve"> by a Union legal entity</w:t>
      </w:r>
      <w:r w:rsidR="00E30BC8">
        <w:rPr>
          <w:noProof/>
        </w:rPr>
        <w:t xml:space="preserve"> and the subcontractors</w:t>
      </w:r>
      <w:r w:rsidR="00AF6710">
        <w:rPr>
          <w:noProof/>
        </w:rPr>
        <w:t xml:space="preserve"> involved in the provision of the service</w:t>
      </w:r>
      <w:r w:rsidR="00E30BC8">
        <w:rPr>
          <w:noProof/>
        </w:rPr>
        <w:t xml:space="preserve"> are </w:t>
      </w:r>
      <w:r w:rsidR="002D61C0">
        <w:rPr>
          <w:noProof/>
        </w:rPr>
        <w:t>located in the Union</w:t>
      </w:r>
      <w:r w:rsidR="00916BBA">
        <w:rPr>
          <w:noProof/>
        </w:rPr>
        <w:t>, owned</w:t>
      </w:r>
      <w:r w:rsidR="00B21049">
        <w:rPr>
          <w:noProof/>
        </w:rPr>
        <w:t xml:space="preserve"> and</w:t>
      </w:r>
      <w:r w:rsidR="006179DC">
        <w:rPr>
          <w:noProof/>
        </w:rPr>
        <w:t xml:space="preserve"> </w:t>
      </w:r>
      <w:r w:rsidR="00916BBA">
        <w:rPr>
          <w:noProof/>
        </w:rPr>
        <w:t>controlled by a Union legal entity</w:t>
      </w:r>
      <w:r>
        <w:rPr>
          <w:noProof/>
        </w:rPr>
        <w:t>; and</w:t>
      </w:r>
    </w:p>
    <w:p w14:paraId="438A4993" w14:textId="42E40193" w:rsidR="00AB6A94" w:rsidRDefault="00847E1A" w:rsidP="00D00591">
      <w:pPr>
        <w:pStyle w:val="ListBullet"/>
        <w:numPr>
          <w:ilvl w:val="0"/>
          <w:numId w:val="46"/>
        </w:numPr>
        <w:tabs>
          <w:tab w:val="left" w:pos="567"/>
        </w:tabs>
        <w:spacing w:after="0"/>
        <w:ind w:left="1211" w:hanging="491"/>
        <w:rPr>
          <w:noProof/>
        </w:rPr>
      </w:pPr>
      <w:r>
        <w:rPr>
          <w:noProof/>
        </w:rPr>
        <w:t xml:space="preserve">the </w:t>
      </w:r>
      <w:r w:rsidR="00BE5BBC">
        <w:rPr>
          <w:noProof/>
        </w:rPr>
        <w:t>data generated by using the audited service shall</w:t>
      </w:r>
      <w:r>
        <w:rPr>
          <w:noProof/>
        </w:rPr>
        <w:t xml:space="preserve"> not be re-used for the training or fine-tuning of an AI system </w:t>
      </w:r>
      <w:r w:rsidRPr="00FA0787">
        <w:rPr>
          <w:b/>
          <w:noProof/>
        </w:rPr>
        <w:t xml:space="preserve">operated by </w:t>
      </w:r>
      <w:r w:rsidRPr="00FA0787">
        <w:rPr>
          <w:b/>
          <w:bCs/>
          <w:noProof/>
        </w:rPr>
        <w:t>a</w:t>
      </w:r>
      <w:r w:rsidRPr="00FA0787">
        <w:rPr>
          <w:b/>
          <w:noProof/>
        </w:rPr>
        <w:t xml:space="preserve"> </w:t>
      </w:r>
      <w:r>
        <w:rPr>
          <w:b/>
          <w:bCs/>
          <w:noProof/>
        </w:rPr>
        <w:t xml:space="preserve">third-country legal </w:t>
      </w:r>
      <w:r w:rsidRPr="00FA0787">
        <w:rPr>
          <w:b/>
          <w:noProof/>
        </w:rPr>
        <w:t>entity</w:t>
      </w:r>
      <w:r w:rsidR="00273E0F">
        <w:rPr>
          <w:b/>
          <w:noProof/>
        </w:rPr>
        <w:t xml:space="preserve"> and in any case are not transferred outside of the Union</w:t>
      </w:r>
      <w:r w:rsidR="00AB6A94">
        <w:rPr>
          <w:noProof/>
        </w:rPr>
        <w:t>; and</w:t>
      </w:r>
    </w:p>
    <w:p w14:paraId="7B0AB016" w14:textId="393E5998" w:rsidR="00AB6A94" w:rsidRDefault="00AB6A94" w:rsidP="00F20D70">
      <w:pPr>
        <w:pStyle w:val="ListBullet"/>
        <w:numPr>
          <w:ilvl w:val="0"/>
          <w:numId w:val="46"/>
        </w:numPr>
        <w:tabs>
          <w:tab w:val="left" w:pos="567"/>
        </w:tabs>
        <w:spacing w:after="0"/>
        <w:ind w:left="1211" w:hanging="491"/>
        <w:rPr>
          <w:noProof/>
        </w:rPr>
      </w:pPr>
      <w:r>
        <w:rPr>
          <w:noProof/>
        </w:rPr>
        <w:t xml:space="preserve">the customer data, including metadata and telemetry data, remain </w:t>
      </w:r>
      <w:r w:rsidR="007244A4">
        <w:rPr>
          <w:noProof/>
        </w:rPr>
        <w:t>exclusively</w:t>
      </w:r>
      <w:r>
        <w:rPr>
          <w:noProof/>
        </w:rPr>
        <w:t xml:space="preserve"> in the Union; and</w:t>
      </w:r>
    </w:p>
    <w:p w14:paraId="3A162B97" w14:textId="783AE0D4" w:rsidR="00847E1A" w:rsidRDefault="00847E1A" w:rsidP="00D00591">
      <w:pPr>
        <w:pStyle w:val="ListBullet"/>
        <w:numPr>
          <w:ilvl w:val="0"/>
          <w:numId w:val="46"/>
        </w:numPr>
        <w:tabs>
          <w:tab w:val="left" w:pos="567"/>
        </w:tabs>
        <w:spacing w:after="0"/>
        <w:ind w:left="1211" w:hanging="491"/>
        <w:rPr>
          <w:noProof/>
        </w:rPr>
      </w:pPr>
      <w:r>
        <w:rPr>
          <w:noProof/>
        </w:rPr>
        <w:t>the service must demonstrate a high level of cybersecurity by being certified at least at level ‘</w:t>
      </w:r>
      <w:r w:rsidRPr="009A53BE">
        <w:rPr>
          <w:noProof/>
        </w:rPr>
        <w:t>high’</w:t>
      </w:r>
      <w:r>
        <w:rPr>
          <w:noProof/>
        </w:rPr>
        <w:t xml:space="preserve"> under the European Cybersecurity Certification Scheme for Cloud Services (EUCS); and</w:t>
      </w:r>
    </w:p>
    <w:p w14:paraId="69C919D0" w14:textId="69DD6A8E" w:rsidR="00D26ACC" w:rsidRDefault="000F57A7" w:rsidP="003D7B81">
      <w:pPr>
        <w:pStyle w:val="ListBullet"/>
        <w:numPr>
          <w:ilvl w:val="0"/>
          <w:numId w:val="46"/>
        </w:numPr>
        <w:tabs>
          <w:tab w:val="left" w:pos="567"/>
        </w:tabs>
        <w:spacing w:after="0"/>
        <w:ind w:left="1211" w:hanging="491"/>
        <w:rPr>
          <w:noProof/>
        </w:rPr>
      </w:pPr>
      <w:r>
        <w:rPr>
          <w:noProof/>
        </w:rPr>
        <w:t xml:space="preserve"> </w:t>
      </w:r>
      <w:r w:rsidR="00847E1A" w:rsidRPr="004840CF">
        <w:rPr>
          <w:noProof/>
        </w:rPr>
        <w:t xml:space="preserve">the service provider must demonstrate </w:t>
      </w:r>
      <w:r w:rsidR="005C79D5">
        <w:rPr>
          <w:b/>
          <w:noProof/>
        </w:rPr>
        <w:t>effective</w:t>
      </w:r>
      <w:r w:rsidR="00847E1A" w:rsidRPr="004840CF">
        <w:rPr>
          <w:b/>
          <w:noProof/>
        </w:rPr>
        <w:t xml:space="preserve"> control</w:t>
      </w:r>
      <w:r w:rsidR="00847E1A" w:rsidRPr="004840CF">
        <w:rPr>
          <w:noProof/>
        </w:rPr>
        <w:t xml:space="preserve"> over the </w:t>
      </w:r>
      <w:r w:rsidR="00535BB5" w:rsidRPr="004840CF">
        <w:rPr>
          <w:noProof/>
        </w:rPr>
        <w:t>software components that underpin the service</w:t>
      </w:r>
      <w:r w:rsidR="00535BB5">
        <w:rPr>
          <w:noProof/>
        </w:rPr>
        <w:t xml:space="preserve"> (software stack)</w:t>
      </w:r>
      <w:r w:rsidR="00AB5965">
        <w:rPr>
          <w:noProof/>
        </w:rPr>
        <w:t xml:space="preserve"> by demonstrating that a third country or a third country entity</w:t>
      </w:r>
      <w:r w:rsidR="001E0F93">
        <w:rPr>
          <w:noProof/>
        </w:rPr>
        <w:t xml:space="preserve"> does not have excessive control over the software lifecycle</w:t>
      </w:r>
      <w:r w:rsidR="00847E1A" w:rsidRPr="004840CF">
        <w:rPr>
          <w:noProof/>
        </w:rPr>
        <w:t xml:space="preserve">. This notably implies that the </w:t>
      </w:r>
      <w:r w:rsidR="00847E1A" w:rsidRPr="004840CF">
        <w:rPr>
          <w:b/>
          <w:noProof/>
        </w:rPr>
        <w:t>relevant code</w:t>
      </w:r>
      <w:r w:rsidR="00847E1A" w:rsidRPr="004840CF">
        <w:rPr>
          <w:noProof/>
        </w:rPr>
        <w:t xml:space="preserve"> of the service stack can be audited and that </w:t>
      </w:r>
      <w:r w:rsidR="00916BBA">
        <w:rPr>
          <w:noProof/>
        </w:rPr>
        <w:t xml:space="preserve">effective control </w:t>
      </w:r>
      <w:r w:rsidR="005305F0">
        <w:rPr>
          <w:noProof/>
        </w:rPr>
        <w:t>of the code exist</w:t>
      </w:r>
      <w:r w:rsidR="004532AC">
        <w:rPr>
          <w:noProof/>
        </w:rPr>
        <w:t>s</w:t>
      </w:r>
      <w:r w:rsidR="00847E1A" w:rsidRPr="004840CF">
        <w:rPr>
          <w:noProof/>
        </w:rPr>
        <w:t xml:space="preserve"> by a Union legal entity</w:t>
      </w:r>
      <w:r w:rsidR="004B7646">
        <w:rPr>
          <w:noProof/>
        </w:rPr>
        <w:t>; and</w:t>
      </w:r>
      <w:r w:rsidR="00847E1A" w:rsidRPr="004840CF">
        <w:rPr>
          <w:noProof/>
        </w:rPr>
        <w:t xml:space="preserve"> </w:t>
      </w:r>
    </w:p>
    <w:p w14:paraId="195EADCC" w14:textId="686D6400" w:rsidR="004A1A69" w:rsidRDefault="000F57A7" w:rsidP="002C3E8E">
      <w:pPr>
        <w:pStyle w:val="ListBullet"/>
        <w:numPr>
          <w:ilvl w:val="0"/>
          <w:numId w:val="46"/>
        </w:numPr>
        <w:tabs>
          <w:tab w:val="left" w:pos="567"/>
        </w:tabs>
        <w:spacing w:after="0"/>
        <w:rPr>
          <w:noProof/>
        </w:rPr>
      </w:pPr>
      <w:r>
        <w:rPr>
          <w:noProof/>
        </w:rPr>
        <w:t xml:space="preserve"> </w:t>
      </w:r>
      <w:r w:rsidR="002C3E8E">
        <w:rPr>
          <w:noProof/>
        </w:rPr>
        <w:t xml:space="preserve">operational and technical support, including outsourcing, are initiated and performed exclusively within the Union and by Union citizens, and by </w:t>
      </w:r>
      <w:r w:rsidR="002C3E8E" w:rsidRPr="008775E6">
        <w:rPr>
          <w:noProof/>
          <w:lang w:val="en-IE" w:eastAsia="ja-JP"/>
        </w:rPr>
        <w:t>third parties that are not subject to the control of a third country or third country entity</w:t>
      </w:r>
      <w:r w:rsidR="004A1A69">
        <w:rPr>
          <w:noProof/>
        </w:rPr>
        <w:t>; and</w:t>
      </w:r>
    </w:p>
    <w:p w14:paraId="0714349B" w14:textId="77777777" w:rsidR="004A1A69" w:rsidRDefault="004A1A69" w:rsidP="004A1A69">
      <w:pPr>
        <w:pStyle w:val="ListBullet"/>
        <w:numPr>
          <w:ilvl w:val="0"/>
          <w:numId w:val="46"/>
        </w:numPr>
        <w:tabs>
          <w:tab w:val="left" w:pos="567"/>
        </w:tabs>
        <w:spacing w:after="0"/>
        <w:rPr>
          <w:noProof/>
        </w:rPr>
      </w:pPr>
      <w:r>
        <w:rPr>
          <w:noProof/>
        </w:rPr>
        <w:t xml:space="preserve">where the cloud service provider is subject to the control of a third country or a third country entity, it </w:t>
      </w:r>
      <w:r w:rsidRPr="00A61434">
        <w:rPr>
          <w:noProof/>
        </w:rPr>
        <w:t>must be able to prove that the laws and government practices in that country do not require the provider to tell that country's authorities about software vulnerabilities before those vulnerabilities have been publicly discovered</w:t>
      </w:r>
    </w:p>
    <w:p w14:paraId="32DAB2D0" w14:textId="6E4DA825" w:rsidR="002C3E8E" w:rsidRDefault="002C3E8E" w:rsidP="00F20D70">
      <w:pPr>
        <w:pStyle w:val="ListBullet"/>
        <w:numPr>
          <w:ilvl w:val="0"/>
          <w:numId w:val="0"/>
        </w:numPr>
        <w:tabs>
          <w:tab w:val="left" w:pos="567"/>
        </w:tabs>
        <w:spacing w:after="0"/>
        <w:ind w:left="1080"/>
        <w:rPr>
          <w:noProof/>
        </w:rPr>
      </w:pPr>
    </w:p>
    <w:p w14:paraId="6D08F018" w14:textId="1F52D096" w:rsidR="00E729C0" w:rsidRDefault="00D26ACC" w:rsidP="00AE2F4C">
      <w:pPr>
        <w:pStyle w:val="ListBullet"/>
        <w:numPr>
          <w:ilvl w:val="0"/>
          <w:numId w:val="0"/>
        </w:numPr>
        <w:tabs>
          <w:tab w:val="left" w:pos="567"/>
        </w:tabs>
        <w:spacing w:after="0"/>
        <w:rPr>
          <w:noProof/>
        </w:rPr>
      </w:pPr>
      <w:r>
        <w:rPr>
          <w:noProof/>
        </w:rPr>
        <w:t xml:space="preserve">These requirements </w:t>
      </w:r>
      <w:r w:rsidRPr="00FA0787">
        <w:rPr>
          <w:b/>
          <w:noProof/>
        </w:rPr>
        <w:t xml:space="preserve">would </w:t>
      </w:r>
      <w:r w:rsidRPr="00F0221A">
        <w:rPr>
          <w:b/>
          <w:noProof/>
          <w:u w:val="single"/>
        </w:rPr>
        <w:t>not</w:t>
      </w:r>
      <w:r w:rsidRPr="00FA0787">
        <w:rPr>
          <w:b/>
          <w:noProof/>
        </w:rPr>
        <w:t xml:space="preserve"> allow</w:t>
      </w:r>
      <w:r>
        <w:rPr>
          <w:noProof/>
        </w:rPr>
        <w:t xml:space="preserve"> </w:t>
      </w:r>
      <w:r w:rsidRPr="00DE198E">
        <w:rPr>
          <w:noProof/>
        </w:rPr>
        <w:t xml:space="preserve">providers headquartered outside of the </w:t>
      </w:r>
      <w:r>
        <w:rPr>
          <w:noProof/>
        </w:rPr>
        <w:t>Union to be considered as ‘sovereign level 4’.</w:t>
      </w:r>
    </w:p>
    <w:p w14:paraId="407BC2BA" w14:textId="77777777" w:rsidR="00AB1E85" w:rsidRDefault="00AB1E85" w:rsidP="00AE2F4C">
      <w:pPr>
        <w:pStyle w:val="ListBullet"/>
        <w:numPr>
          <w:ilvl w:val="0"/>
          <w:numId w:val="0"/>
        </w:numPr>
        <w:tabs>
          <w:tab w:val="left" w:pos="567"/>
        </w:tabs>
        <w:spacing w:after="0"/>
        <w:rPr>
          <w:noProof/>
        </w:rPr>
      </w:pPr>
    </w:p>
    <w:p w14:paraId="77001EA8" w14:textId="4343BC64" w:rsidR="00FF5F0A" w:rsidRDefault="00E729C0" w:rsidP="008021DE">
      <w:pPr>
        <w:spacing w:after="240"/>
        <w:rPr>
          <w:noProof/>
        </w:rPr>
      </w:pPr>
      <w:r>
        <w:rPr>
          <w:noProof/>
        </w:rPr>
        <w:t xml:space="preserve">These criteria above deal with sovereignty. </w:t>
      </w:r>
      <w:r w:rsidRPr="00744D0A">
        <w:rPr>
          <w:noProof/>
          <w:lang w:val="en-US"/>
        </w:rPr>
        <w:t xml:space="preserve">Cybersecurity and sovereignty are closely related and </w:t>
      </w:r>
      <w:r>
        <w:rPr>
          <w:noProof/>
          <w:lang w:val="en-US"/>
        </w:rPr>
        <w:t xml:space="preserve">are </w:t>
      </w:r>
      <w:r w:rsidRPr="00744D0A">
        <w:rPr>
          <w:noProof/>
          <w:lang w:val="en-US"/>
        </w:rPr>
        <w:t>complementary</w:t>
      </w:r>
      <w:r>
        <w:rPr>
          <w:noProof/>
          <w:lang w:val="en-US"/>
        </w:rPr>
        <w:t xml:space="preserve">. However, </w:t>
      </w:r>
      <w:r w:rsidRPr="00744D0A">
        <w:rPr>
          <w:noProof/>
          <w:lang w:val="en-US"/>
        </w:rPr>
        <w:t xml:space="preserve">they do not focus on the same aspects nor pursue identical </w:t>
      </w:r>
      <w:r w:rsidRPr="00CC3D69">
        <w:rPr>
          <w:noProof/>
        </w:rPr>
        <w:t xml:space="preserve">objectives. </w:t>
      </w:r>
      <w:r w:rsidR="37E6CADA">
        <w:rPr>
          <w:noProof/>
        </w:rPr>
        <w:t xml:space="preserve">The Commission, through its own tendering for EUR 180 </w:t>
      </w:r>
      <w:r w:rsidR="00471CC5">
        <w:rPr>
          <w:noProof/>
        </w:rPr>
        <w:t xml:space="preserve">m </w:t>
      </w:r>
      <w:r w:rsidR="37E6CADA">
        <w:rPr>
          <w:noProof/>
        </w:rPr>
        <w:t xml:space="preserve">of sovereign cloud services, was able to test the feasibility of such definitions established in different </w:t>
      </w:r>
      <w:r w:rsidR="00AB1E85">
        <w:rPr>
          <w:noProof/>
        </w:rPr>
        <w:t>levels and</w:t>
      </w:r>
      <w:r w:rsidR="37E6CADA">
        <w:rPr>
          <w:noProof/>
        </w:rPr>
        <w:t xml:space="preserve"> could verify that it </w:t>
      </w:r>
      <w:r w:rsidR="4EDA96E4">
        <w:rPr>
          <w:noProof/>
        </w:rPr>
        <w:t xml:space="preserve">can be implemented. </w:t>
      </w:r>
    </w:p>
    <w:p w14:paraId="01785F41" w14:textId="352D1055" w:rsidR="00CD26E6" w:rsidRDefault="004908B0" w:rsidP="008021DE">
      <w:pPr>
        <w:spacing w:after="240"/>
        <w:rPr>
          <w:noProof/>
        </w:rPr>
      </w:pPr>
      <w:r>
        <w:rPr>
          <w:noProof/>
          <w:lang w:eastAsia="en-GB"/>
        </w:rPr>
        <w:drawing>
          <wp:inline distT="0" distB="0" distL="0" distR="0" wp14:anchorId="568A2F0B" wp14:editId="2486BC0D">
            <wp:extent cx="6224567" cy="3140075"/>
            <wp:effectExtent l="0" t="0" r="0" b="0"/>
            <wp:docPr id="1338802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45630" cy="3150701"/>
                    </a:xfrm>
                    <a:prstGeom prst="rect">
                      <a:avLst/>
                    </a:prstGeom>
                    <a:noFill/>
                  </pic:spPr>
                </pic:pic>
              </a:graphicData>
            </a:graphic>
          </wp:inline>
        </w:drawing>
      </w:r>
    </w:p>
    <w:p w14:paraId="261561FC" w14:textId="77777777" w:rsidR="001A0255" w:rsidRDefault="001A0255" w:rsidP="002C2B9B">
      <w:pPr>
        <w:pStyle w:val="ListBullet"/>
        <w:numPr>
          <w:ilvl w:val="0"/>
          <w:numId w:val="0"/>
        </w:numPr>
        <w:spacing w:after="0"/>
        <w:ind w:left="283"/>
        <w:rPr>
          <w:noProof/>
        </w:rPr>
      </w:pPr>
    </w:p>
    <w:tbl>
      <w:tblPr>
        <w:tblStyle w:val="TableGrid"/>
        <w:tblW w:w="0" w:type="auto"/>
        <w:tblInd w:w="283" w:type="dxa"/>
        <w:tblLook w:val="04A0" w:firstRow="1" w:lastRow="0" w:firstColumn="1" w:lastColumn="0" w:noHBand="0" w:noVBand="1"/>
      </w:tblPr>
      <w:tblGrid>
        <w:gridCol w:w="9430"/>
      </w:tblGrid>
      <w:tr w:rsidR="001A0255" w14:paraId="04DFCC56" w14:textId="77777777" w:rsidTr="001A0255">
        <w:tc>
          <w:tcPr>
            <w:tcW w:w="9713" w:type="dxa"/>
          </w:tcPr>
          <w:p w14:paraId="0860985C" w14:textId="78C465DD" w:rsidR="001A0255" w:rsidRPr="00033E83" w:rsidRDefault="001A0255" w:rsidP="001A0255">
            <w:pPr>
              <w:pStyle w:val="ListBullet"/>
              <w:numPr>
                <w:ilvl w:val="0"/>
                <w:numId w:val="0"/>
              </w:numPr>
              <w:spacing w:before="240" w:after="240"/>
              <w:ind w:left="284"/>
              <w:rPr>
                <w:i/>
                <w:iCs/>
                <w:noProof/>
                <w:u w:val="single"/>
              </w:rPr>
            </w:pPr>
            <w:r w:rsidRPr="00033E83">
              <w:rPr>
                <w:i/>
                <w:iCs/>
                <w:noProof/>
                <w:u w:val="single"/>
              </w:rPr>
              <w:t xml:space="preserve">Types of providers whose </w:t>
            </w:r>
            <w:r>
              <w:rPr>
                <w:i/>
                <w:iCs/>
                <w:noProof/>
                <w:u w:val="single"/>
              </w:rPr>
              <w:t>services</w:t>
            </w:r>
            <w:r w:rsidRPr="00033E83">
              <w:rPr>
                <w:i/>
                <w:iCs/>
                <w:noProof/>
                <w:u w:val="single"/>
              </w:rPr>
              <w:t xml:space="preserve"> c</w:t>
            </w:r>
            <w:r>
              <w:rPr>
                <w:i/>
                <w:iCs/>
                <w:noProof/>
                <w:u w:val="single"/>
              </w:rPr>
              <w:t>ould</w:t>
            </w:r>
            <w:r w:rsidRPr="00033E83">
              <w:rPr>
                <w:i/>
                <w:iCs/>
                <w:noProof/>
                <w:u w:val="single"/>
              </w:rPr>
              <w:t xml:space="preserve"> currently </w:t>
            </w:r>
            <w:r>
              <w:rPr>
                <w:i/>
                <w:iCs/>
                <w:noProof/>
                <w:u w:val="single"/>
              </w:rPr>
              <w:t>reach</w:t>
            </w:r>
            <w:r w:rsidRPr="00033E83">
              <w:rPr>
                <w:i/>
                <w:iCs/>
                <w:noProof/>
                <w:u w:val="single"/>
              </w:rPr>
              <w:t xml:space="preserve"> sovereign</w:t>
            </w:r>
            <w:r>
              <w:rPr>
                <w:i/>
                <w:iCs/>
                <w:noProof/>
                <w:u w:val="single"/>
              </w:rPr>
              <w:t>ty</w:t>
            </w:r>
            <w:r w:rsidRPr="00033E83">
              <w:rPr>
                <w:i/>
                <w:iCs/>
                <w:noProof/>
                <w:u w:val="single"/>
              </w:rPr>
              <w:t xml:space="preserve"> </w:t>
            </w:r>
            <w:r>
              <w:rPr>
                <w:i/>
                <w:iCs/>
                <w:noProof/>
                <w:u w:val="single"/>
              </w:rPr>
              <w:t>L</w:t>
            </w:r>
            <w:r w:rsidRPr="00033E83">
              <w:rPr>
                <w:i/>
                <w:iCs/>
                <w:noProof/>
                <w:u w:val="single"/>
              </w:rPr>
              <w:t>evel</w:t>
            </w:r>
            <w:r>
              <w:rPr>
                <w:i/>
                <w:iCs/>
                <w:noProof/>
                <w:u w:val="single"/>
              </w:rPr>
              <w:t>s</w:t>
            </w:r>
            <w:r w:rsidRPr="00033E83">
              <w:rPr>
                <w:i/>
                <w:iCs/>
                <w:noProof/>
                <w:u w:val="single"/>
              </w:rPr>
              <w:t xml:space="preserve"> 1-4</w:t>
            </w:r>
          </w:p>
          <w:p w14:paraId="7004230C" w14:textId="53D8C514" w:rsidR="003A6D2F" w:rsidRDefault="001A0255" w:rsidP="00AE2F4C">
            <w:pPr>
              <w:pStyle w:val="ListBullet"/>
              <w:numPr>
                <w:ilvl w:val="0"/>
                <w:numId w:val="0"/>
              </w:numPr>
              <w:spacing w:after="240"/>
              <w:ind w:left="284" w:right="424"/>
              <w:rPr>
                <w:i/>
                <w:iCs/>
                <w:noProof/>
              </w:rPr>
            </w:pPr>
            <w:r w:rsidRPr="00AE2F4C">
              <w:rPr>
                <w:b/>
                <w:bCs/>
                <w:noProof/>
              </w:rPr>
              <w:t>Level 1:</w:t>
            </w:r>
            <w:r>
              <w:rPr>
                <w:noProof/>
              </w:rPr>
              <w:t xml:space="preserve"> US hyperscalers </w:t>
            </w:r>
            <w:r w:rsidR="001D3038">
              <w:rPr>
                <w:noProof/>
              </w:rPr>
              <w:t xml:space="preserve">generally all </w:t>
            </w:r>
            <w:r>
              <w:rPr>
                <w:noProof/>
              </w:rPr>
              <w:t xml:space="preserve">have </w:t>
            </w:r>
            <w:r w:rsidR="00C91CCA">
              <w:rPr>
                <w:noProof/>
              </w:rPr>
              <w:t xml:space="preserve">offerings that </w:t>
            </w:r>
            <w:r w:rsidR="00F558C8">
              <w:rPr>
                <w:noProof/>
              </w:rPr>
              <w:t>would</w:t>
            </w:r>
            <w:r>
              <w:rPr>
                <w:noProof/>
              </w:rPr>
              <w:t xml:space="preserve"> allow them to qualify under Level 1.</w:t>
            </w:r>
            <w:r w:rsidR="00125B7B">
              <w:rPr>
                <w:noProof/>
              </w:rPr>
              <w:t xml:space="preserve"> </w:t>
            </w:r>
            <w:r w:rsidR="00C6379E">
              <w:rPr>
                <w:noProof/>
              </w:rPr>
              <w:t xml:space="preserve">They offer dedicated </w:t>
            </w:r>
            <w:r w:rsidR="003A6D2F" w:rsidRPr="00AE2F4C">
              <w:rPr>
                <w:noProof/>
              </w:rPr>
              <w:t>EU-based cloud service</w:t>
            </w:r>
            <w:r w:rsidR="00742F52">
              <w:rPr>
                <w:noProof/>
              </w:rPr>
              <w:t>s with strong cybersecurity credentials</w:t>
            </w:r>
            <w:r w:rsidR="003A6D2F" w:rsidRPr="00AE2F4C">
              <w:rPr>
                <w:noProof/>
              </w:rPr>
              <w:t xml:space="preserve"> which rel</w:t>
            </w:r>
            <w:r w:rsidR="00742F52">
              <w:rPr>
                <w:noProof/>
              </w:rPr>
              <w:t>y</w:t>
            </w:r>
            <w:r w:rsidR="003A6D2F" w:rsidRPr="00AE2F4C">
              <w:rPr>
                <w:noProof/>
              </w:rPr>
              <w:t xml:space="preserve"> exclusively on </w:t>
            </w:r>
            <w:r w:rsidR="00F73E54">
              <w:rPr>
                <w:noProof/>
              </w:rPr>
              <w:t>(</w:t>
            </w:r>
            <w:r w:rsidR="003A6D2F" w:rsidRPr="00AE2F4C">
              <w:rPr>
                <w:noProof/>
              </w:rPr>
              <w:t>data</w:t>
            </w:r>
            <w:r w:rsidR="00F73E54">
              <w:rPr>
                <w:noProof/>
              </w:rPr>
              <w:t>)</w:t>
            </w:r>
            <w:r w:rsidR="003A6D2F" w:rsidRPr="00AE2F4C">
              <w:rPr>
                <w:noProof/>
              </w:rPr>
              <w:t xml:space="preserve"> </w:t>
            </w:r>
            <w:r w:rsidR="00F73E54">
              <w:rPr>
                <w:noProof/>
              </w:rPr>
              <w:t>‘</w:t>
            </w:r>
            <w:r w:rsidR="003A6D2F" w:rsidRPr="00AE2F4C">
              <w:rPr>
                <w:noProof/>
              </w:rPr>
              <w:t>regions</w:t>
            </w:r>
            <w:r w:rsidR="00F73E54">
              <w:rPr>
                <w:noProof/>
              </w:rPr>
              <w:t>’ located</w:t>
            </w:r>
            <w:r w:rsidR="003A6D2F" w:rsidRPr="00AE2F4C">
              <w:rPr>
                <w:noProof/>
              </w:rPr>
              <w:t xml:space="preserve"> in </w:t>
            </w:r>
            <w:r w:rsidR="00EB1889">
              <w:rPr>
                <w:noProof/>
              </w:rPr>
              <w:t>the EU</w:t>
            </w:r>
            <w:r w:rsidR="003A6D2F" w:rsidRPr="00AE2F4C">
              <w:rPr>
                <w:noProof/>
              </w:rPr>
              <w:t>, including for redundancy.</w:t>
            </w:r>
          </w:p>
          <w:p w14:paraId="2260BBF0" w14:textId="0BA566E0" w:rsidR="004B48EA" w:rsidRDefault="00125B7B" w:rsidP="007849C0">
            <w:pPr>
              <w:spacing w:after="240"/>
              <w:ind w:left="284" w:right="425"/>
              <w:rPr>
                <w:noProof/>
              </w:rPr>
            </w:pPr>
            <w:r w:rsidRPr="00AE2F4C">
              <w:rPr>
                <w:b/>
                <w:bCs/>
                <w:noProof/>
                <w:szCs w:val="20"/>
              </w:rPr>
              <w:t xml:space="preserve">Level 2: </w:t>
            </w:r>
            <w:r w:rsidR="004B48EA">
              <w:rPr>
                <w:noProof/>
              </w:rPr>
              <w:t>Several US hyperscalers have partnered with EU companies to provide additional sovereignty assurances – these partnerships are often called “sovereign joint ventures”. While the implementation models differ, such partnerships generally rely on majority EU ownership, operation by EU personnel, data centre region limited to a particular Member State, cloud software stack provided by a hyperscaler, with security layer controlled by the EU partner</w:t>
            </w:r>
            <w:r w:rsidR="00DC57C1">
              <w:rPr>
                <w:noProof/>
              </w:rPr>
              <w:t xml:space="preserve">, </w:t>
            </w:r>
            <w:r w:rsidR="004A1DCB">
              <w:rPr>
                <w:noProof/>
              </w:rPr>
              <w:t>auditable core software,</w:t>
            </w:r>
            <w:r w:rsidR="00DC57C1">
              <w:rPr>
                <w:noProof/>
              </w:rPr>
              <w:t xml:space="preserve"> with some </w:t>
            </w:r>
            <w:r w:rsidR="00D04E84">
              <w:rPr>
                <w:noProof/>
              </w:rPr>
              <w:t>reach</w:t>
            </w:r>
            <w:r w:rsidR="00DC57C1">
              <w:rPr>
                <w:noProof/>
              </w:rPr>
              <w:t>ing</w:t>
            </w:r>
            <w:r w:rsidR="00D04E84">
              <w:rPr>
                <w:noProof/>
              </w:rPr>
              <w:t xml:space="preserve"> certification under the SecNumCloud</w:t>
            </w:r>
            <w:r w:rsidR="009962B2">
              <w:rPr>
                <w:noProof/>
              </w:rPr>
              <w:t xml:space="preserve"> scheme.</w:t>
            </w:r>
            <w:r w:rsidR="00305DAD">
              <w:rPr>
                <w:noProof/>
              </w:rPr>
              <w:t xml:space="preserve"> </w:t>
            </w:r>
            <w:r w:rsidR="007C5B48">
              <w:rPr>
                <w:noProof/>
              </w:rPr>
              <w:t>N</w:t>
            </w:r>
            <w:r w:rsidR="002B01F3">
              <w:rPr>
                <w:noProof/>
              </w:rPr>
              <w:t>on-European companies</w:t>
            </w:r>
            <w:r w:rsidR="007C5B48">
              <w:rPr>
                <w:noProof/>
              </w:rPr>
              <w:t>, outside of joint ventures,</w:t>
            </w:r>
            <w:r w:rsidR="002B01F3">
              <w:rPr>
                <w:noProof/>
              </w:rPr>
              <w:t xml:space="preserve"> could also </w:t>
            </w:r>
            <w:r w:rsidR="007C5B48">
              <w:rPr>
                <w:noProof/>
              </w:rPr>
              <w:t xml:space="preserve">qualify </w:t>
            </w:r>
            <w:r w:rsidR="00712786">
              <w:rPr>
                <w:noProof/>
              </w:rPr>
              <w:t xml:space="preserve">provided they </w:t>
            </w:r>
            <w:r w:rsidR="002E213F">
              <w:rPr>
                <w:noProof/>
              </w:rPr>
              <w:t>demonstrate the absence of 3</w:t>
            </w:r>
            <w:r w:rsidR="002E213F" w:rsidRPr="00AE2F4C">
              <w:rPr>
                <w:noProof/>
                <w:vertAlign w:val="superscript"/>
              </w:rPr>
              <w:t>rd</w:t>
            </w:r>
            <w:r w:rsidR="002E213F">
              <w:rPr>
                <w:noProof/>
              </w:rPr>
              <w:t xml:space="preserve"> country interference.</w:t>
            </w:r>
          </w:p>
          <w:p w14:paraId="79AE7200" w14:textId="099DA9AB" w:rsidR="004F56A8" w:rsidRDefault="004F56A8" w:rsidP="007849C0">
            <w:pPr>
              <w:spacing w:after="240"/>
              <w:ind w:left="284" w:right="425"/>
              <w:rPr>
                <w:noProof/>
              </w:rPr>
            </w:pPr>
            <w:r w:rsidRPr="00AE2F4C">
              <w:rPr>
                <w:b/>
                <w:bCs/>
                <w:noProof/>
              </w:rPr>
              <w:t>Level 3:</w:t>
            </w:r>
            <w:r>
              <w:rPr>
                <w:noProof/>
              </w:rPr>
              <w:t xml:space="preserve"> </w:t>
            </w:r>
            <w:r w:rsidR="00942DCD">
              <w:rPr>
                <w:noProof/>
              </w:rPr>
              <w:t xml:space="preserve">EU providers would easily satisfy the control criteria. </w:t>
            </w:r>
            <w:r w:rsidR="00AB308C">
              <w:rPr>
                <w:noProof/>
              </w:rPr>
              <w:t>They</w:t>
            </w:r>
            <w:r w:rsidR="00DD53BE">
              <w:rPr>
                <w:noProof/>
              </w:rPr>
              <w:t xml:space="preserve"> </w:t>
            </w:r>
            <w:r w:rsidR="0064591B">
              <w:rPr>
                <w:noProof/>
              </w:rPr>
              <w:t>would</w:t>
            </w:r>
            <w:r w:rsidR="00AB308C">
              <w:rPr>
                <w:noProof/>
              </w:rPr>
              <w:t xml:space="preserve"> </w:t>
            </w:r>
            <w:r w:rsidR="0064591B">
              <w:rPr>
                <w:noProof/>
              </w:rPr>
              <w:t>have to pass the</w:t>
            </w:r>
            <w:r w:rsidR="004D0238">
              <w:rPr>
                <w:noProof/>
              </w:rPr>
              <w:t xml:space="preserve"> </w:t>
            </w:r>
            <w:r w:rsidR="00C94C06">
              <w:rPr>
                <w:noProof/>
              </w:rPr>
              <w:t xml:space="preserve">necessary </w:t>
            </w:r>
            <w:r w:rsidR="004D0238">
              <w:rPr>
                <w:noProof/>
              </w:rPr>
              <w:t xml:space="preserve">cybersecurity </w:t>
            </w:r>
            <w:r w:rsidR="00C94C06">
              <w:rPr>
                <w:noProof/>
              </w:rPr>
              <w:t xml:space="preserve">controls </w:t>
            </w:r>
            <w:r w:rsidR="004D0238">
              <w:rPr>
                <w:noProof/>
              </w:rPr>
              <w:t xml:space="preserve">to achieve the future EUCS certification at assurance level Substantial or High. </w:t>
            </w:r>
            <w:r w:rsidR="00231A9B">
              <w:rPr>
                <w:noProof/>
              </w:rPr>
              <w:t xml:space="preserve">The other difficulty would </w:t>
            </w:r>
            <w:r w:rsidR="00241A6E">
              <w:rPr>
                <w:noProof/>
              </w:rPr>
              <w:t>be</w:t>
            </w:r>
            <w:r w:rsidR="00231A9B">
              <w:rPr>
                <w:noProof/>
              </w:rPr>
              <w:t xml:space="preserve"> </w:t>
            </w:r>
            <w:r w:rsidR="00380141">
              <w:rPr>
                <w:noProof/>
              </w:rPr>
              <w:t>to demonstrate a ‘very high’ control over the</w:t>
            </w:r>
            <w:r w:rsidR="00D40D85">
              <w:rPr>
                <w:noProof/>
              </w:rPr>
              <w:t>ir</w:t>
            </w:r>
            <w:r w:rsidR="00380141">
              <w:rPr>
                <w:noProof/>
              </w:rPr>
              <w:t xml:space="preserve"> software supply chain,</w:t>
            </w:r>
            <w:r w:rsidR="00231A9B">
              <w:rPr>
                <w:noProof/>
              </w:rPr>
              <w:t xml:space="preserve"> </w:t>
            </w:r>
            <w:r w:rsidR="00A96F3F">
              <w:rPr>
                <w:noProof/>
              </w:rPr>
              <w:t xml:space="preserve">something </w:t>
            </w:r>
            <w:r w:rsidR="00FC2AAD">
              <w:rPr>
                <w:noProof/>
              </w:rPr>
              <w:t>demonstrated in</w:t>
            </w:r>
            <w:r w:rsidR="00A96F3F">
              <w:rPr>
                <w:noProof/>
              </w:rPr>
              <w:t xml:space="preserve"> the recently awarded contract by the Commission for sovereign cloud services.</w:t>
            </w:r>
          </w:p>
          <w:p w14:paraId="77558DF8" w14:textId="214D04E5" w:rsidR="00304DBB" w:rsidRDefault="00305DAD" w:rsidP="00AE2F4C">
            <w:pPr>
              <w:ind w:left="281" w:right="424"/>
              <w:rPr>
                <w:noProof/>
              </w:rPr>
            </w:pPr>
            <w:r w:rsidRPr="00AE2F4C">
              <w:rPr>
                <w:rFonts w:eastAsiaTheme="minorHAnsi"/>
                <w:b/>
                <w:bCs/>
                <w:noProof/>
              </w:rPr>
              <w:t>Level 4:</w:t>
            </w:r>
            <w:r w:rsidR="0050416E">
              <w:rPr>
                <w:noProof/>
              </w:rPr>
              <w:t xml:space="preserve"> </w:t>
            </w:r>
            <w:r w:rsidR="006644B8">
              <w:rPr>
                <w:noProof/>
              </w:rPr>
              <w:t>This level differs from level 3 in stricter cybersecurity certification and</w:t>
            </w:r>
            <w:r w:rsidR="0050416E">
              <w:rPr>
                <w:noProof/>
              </w:rPr>
              <w:t xml:space="preserve"> </w:t>
            </w:r>
            <w:r w:rsidR="002C0226">
              <w:rPr>
                <w:noProof/>
              </w:rPr>
              <w:t xml:space="preserve">full control </w:t>
            </w:r>
            <w:r w:rsidR="000E0EC1">
              <w:rPr>
                <w:noProof/>
              </w:rPr>
              <w:t>over</w:t>
            </w:r>
            <w:r w:rsidR="002C0226">
              <w:rPr>
                <w:noProof/>
              </w:rPr>
              <w:t xml:space="preserve"> the </w:t>
            </w:r>
            <w:r w:rsidR="00BA52FF">
              <w:rPr>
                <w:noProof/>
              </w:rPr>
              <w:t>software supply chain</w:t>
            </w:r>
            <w:r w:rsidR="00B25422">
              <w:rPr>
                <w:noProof/>
              </w:rPr>
              <w:t xml:space="preserve">, </w:t>
            </w:r>
            <w:r w:rsidR="00BB3B81">
              <w:rPr>
                <w:noProof/>
              </w:rPr>
              <w:t xml:space="preserve">something </w:t>
            </w:r>
            <w:r w:rsidR="00ED3241">
              <w:rPr>
                <w:noProof/>
              </w:rPr>
              <w:t>that</w:t>
            </w:r>
            <w:r w:rsidR="00BB3B81">
              <w:rPr>
                <w:noProof/>
              </w:rPr>
              <w:t xml:space="preserve"> some emerging EU offer</w:t>
            </w:r>
            <w:r w:rsidR="00BD5927">
              <w:rPr>
                <w:noProof/>
              </w:rPr>
              <w:t xml:space="preserve">ings propose, at least for some </w:t>
            </w:r>
            <w:r w:rsidR="00B57660">
              <w:rPr>
                <w:noProof/>
              </w:rPr>
              <w:t>type of cloud services.</w:t>
            </w:r>
          </w:p>
          <w:p w14:paraId="3CB19CF9" w14:textId="77777777" w:rsidR="001A0255" w:rsidRDefault="001A0255" w:rsidP="002C2B9B">
            <w:pPr>
              <w:pStyle w:val="ListBullet"/>
              <w:numPr>
                <w:ilvl w:val="0"/>
                <w:numId w:val="0"/>
              </w:numPr>
              <w:spacing w:after="0"/>
              <w:rPr>
                <w:noProof/>
              </w:rPr>
            </w:pPr>
          </w:p>
        </w:tc>
      </w:tr>
    </w:tbl>
    <w:p w14:paraId="203B69CF" w14:textId="77777777" w:rsidR="001A0255" w:rsidRPr="002C2B9B" w:rsidRDefault="001A0255" w:rsidP="002C2B9B">
      <w:pPr>
        <w:pStyle w:val="ListBullet"/>
        <w:numPr>
          <w:ilvl w:val="0"/>
          <w:numId w:val="0"/>
        </w:numPr>
        <w:spacing w:after="0"/>
        <w:ind w:left="283"/>
        <w:rPr>
          <w:noProof/>
        </w:rPr>
      </w:pPr>
    </w:p>
    <w:p w14:paraId="1CC3AB24" w14:textId="460E803C" w:rsidR="00876166" w:rsidRPr="00D37004" w:rsidRDefault="00E61374" w:rsidP="008F5449">
      <w:pPr>
        <w:pStyle w:val="ListBullet"/>
        <w:spacing w:before="120" w:after="120"/>
        <w:ind w:left="284" w:hanging="284"/>
        <w:rPr>
          <w:noProof/>
        </w:rPr>
      </w:pPr>
      <w:r w:rsidRPr="00D37004">
        <w:rPr>
          <w:b/>
          <w:noProof/>
        </w:rPr>
        <w:t xml:space="preserve">Policy Measure 12 </w:t>
      </w:r>
      <w:r w:rsidRPr="00D37004">
        <w:rPr>
          <w:b/>
          <w:noProof/>
          <w:u w:val="single"/>
        </w:rPr>
        <w:t>(PM12</w:t>
      </w:r>
      <w:r w:rsidRPr="00D37004">
        <w:rPr>
          <w:b/>
          <w:noProof/>
        </w:rPr>
        <w:t>)</w:t>
      </w:r>
      <w:r w:rsidRPr="00D37004">
        <w:rPr>
          <w:noProof/>
        </w:rPr>
        <w:t xml:space="preserve"> foresees the adoption of guidelines </w:t>
      </w:r>
      <w:r w:rsidR="00B2048B">
        <w:rPr>
          <w:noProof/>
        </w:rPr>
        <w:t>on the</w:t>
      </w:r>
      <w:r w:rsidR="00606F11">
        <w:rPr>
          <w:noProof/>
        </w:rPr>
        <w:t xml:space="preserve"> harmonised</w:t>
      </w:r>
      <w:r w:rsidR="00B2048B">
        <w:rPr>
          <w:noProof/>
        </w:rPr>
        <w:t xml:space="preserve"> </w:t>
      </w:r>
      <w:r w:rsidR="00056D7C">
        <w:rPr>
          <w:noProof/>
        </w:rPr>
        <w:t xml:space="preserve">EU-level </w:t>
      </w:r>
      <w:r w:rsidR="00B2048B">
        <w:rPr>
          <w:noProof/>
        </w:rPr>
        <w:t xml:space="preserve">criteria </w:t>
      </w:r>
      <w:r w:rsidR="00606F11">
        <w:rPr>
          <w:noProof/>
        </w:rPr>
        <w:t xml:space="preserve">for sovereign cloud and AI computing services </w:t>
      </w:r>
      <w:r w:rsidR="00B2048B">
        <w:rPr>
          <w:noProof/>
        </w:rPr>
        <w:t>defined under PM11</w:t>
      </w:r>
      <w:r w:rsidR="00BE4905">
        <w:rPr>
          <w:noProof/>
        </w:rPr>
        <w:t xml:space="preserve"> to help</w:t>
      </w:r>
      <w:r w:rsidR="7A102E4A">
        <w:rPr>
          <w:noProof/>
        </w:rPr>
        <w:t xml:space="preserve"> implementation</w:t>
      </w:r>
      <w:r w:rsidR="00B2048B">
        <w:rPr>
          <w:noProof/>
        </w:rPr>
        <w:t xml:space="preserve">. These guidelines </w:t>
      </w:r>
      <w:r w:rsidR="0079083D">
        <w:rPr>
          <w:noProof/>
        </w:rPr>
        <w:t>would</w:t>
      </w:r>
      <w:r w:rsidR="00B2048B">
        <w:rPr>
          <w:noProof/>
        </w:rPr>
        <w:t xml:space="preserve"> be adopted </w:t>
      </w:r>
      <w:r w:rsidRPr="00D37004">
        <w:rPr>
          <w:noProof/>
        </w:rPr>
        <w:t xml:space="preserve">by the Commission, </w:t>
      </w:r>
      <w:r w:rsidR="00606F11">
        <w:rPr>
          <w:noProof/>
        </w:rPr>
        <w:t>addressing</w:t>
      </w:r>
      <w:r w:rsidR="00606F11" w:rsidRPr="00D37004">
        <w:rPr>
          <w:noProof/>
        </w:rPr>
        <w:t xml:space="preserve"> </w:t>
      </w:r>
      <w:r>
        <w:rPr>
          <w:noProof/>
        </w:rPr>
        <w:t>expectations towards</w:t>
      </w:r>
      <w:r w:rsidRPr="00D37004">
        <w:rPr>
          <w:noProof/>
        </w:rPr>
        <w:t xml:space="preserve"> providers</w:t>
      </w:r>
      <w:r w:rsidR="00CB340C">
        <w:rPr>
          <w:noProof/>
        </w:rPr>
        <w:t xml:space="preserve"> and users</w:t>
      </w:r>
      <w:r w:rsidR="00D9620D">
        <w:rPr>
          <w:noProof/>
        </w:rPr>
        <w:t xml:space="preserve"> </w:t>
      </w:r>
      <w:r w:rsidR="0082638B">
        <w:rPr>
          <w:noProof/>
        </w:rPr>
        <w:t>about what constitutes a sovereign service</w:t>
      </w:r>
      <w:r w:rsidR="00F42BB7">
        <w:rPr>
          <w:noProof/>
        </w:rPr>
        <w:t>.</w:t>
      </w:r>
    </w:p>
    <w:p w14:paraId="7697A337" w14:textId="6EDF40CF" w:rsidR="00E61374" w:rsidRPr="00D37004" w:rsidRDefault="00E61374" w:rsidP="008F5449">
      <w:pPr>
        <w:pStyle w:val="ListBullet"/>
        <w:spacing w:before="120" w:after="120"/>
        <w:ind w:left="284" w:hanging="284"/>
        <w:rPr>
          <w:noProof/>
        </w:rPr>
      </w:pPr>
      <w:r w:rsidRPr="4058FE4E">
        <w:rPr>
          <w:b/>
          <w:bCs/>
          <w:noProof/>
        </w:rPr>
        <w:t>Policy Measure 13</w:t>
      </w:r>
      <w:r>
        <w:rPr>
          <w:noProof/>
        </w:rPr>
        <w:t xml:space="preserve"> </w:t>
      </w:r>
      <w:r w:rsidRPr="4058FE4E">
        <w:rPr>
          <w:b/>
          <w:bCs/>
          <w:noProof/>
          <w:u w:val="single"/>
        </w:rPr>
        <w:t>(PM13)</w:t>
      </w:r>
      <w:r>
        <w:rPr>
          <w:noProof/>
        </w:rPr>
        <w:t xml:space="preserve"> </w:t>
      </w:r>
      <w:r w:rsidR="61143C71">
        <w:rPr>
          <w:noProof/>
        </w:rPr>
        <w:t xml:space="preserve">addresses information asymmetries through awareness raising for the sovereignty </w:t>
      </w:r>
      <w:r w:rsidR="008E5C8F">
        <w:rPr>
          <w:noProof/>
        </w:rPr>
        <w:t xml:space="preserve">common understanding </w:t>
      </w:r>
      <w:r w:rsidR="61143C71">
        <w:rPr>
          <w:noProof/>
        </w:rPr>
        <w:t>and other measures. In particular,</w:t>
      </w:r>
      <w:r>
        <w:rPr>
          <w:noProof/>
        </w:rPr>
        <w:t xml:space="preserve"> an annual week-long EU-organised conference on digital sovereignty, bringing together academic institutions, researchers, and overall public and private stakeholders to foster collaboration in cloud and AI innovation and the development of sovereign cloud and AI computing services. The EU-organised </w:t>
      </w:r>
      <w:r w:rsidR="500F96A3">
        <w:rPr>
          <w:noProof/>
        </w:rPr>
        <w:t>awareness raising efforts</w:t>
      </w:r>
      <w:r>
        <w:rPr>
          <w:noProof/>
        </w:rPr>
        <w:t xml:space="preserve"> would centralise the currently scattered efforts of private sector entities to enhance the visibility of sovereign services and create a forum for providers to connect with prospective buyers from the private and public sector.</w:t>
      </w:r>
    </w:p>
    <w:p w14:paraId="40F65CA0" w14:textId="08EF8A5A" w:rsidR="00E61374" w:rsidRPr="00D37004" w:rsidRDefault="00E61374" w:rsidP="008F5449">
      <w:pPr>
        <w:pStyle w:val="ListBullet"/>
        <w:spacing w:before="120" w:after="120"/>
        <w:ind w:left="284" w:hanging="284"/>
        <w:rPr>
          <w:noProof/>
        </w:rPr>
      </w:pPr>
      <w:r w:rsidRPr="00D37004">
        <w:rPr>
          <w:b/>
          <w:noProof/>
        </w:rPr>
        <w:t xml:space="preserve">Policy Measure 14 </w:t>
      </w:r>
      <w:r w:rsidRPr="00D37004">
        <w:rPr>
          <w:b/>
          <w:noProof/>
          <w:u w:val="single"/>
        </w:rPr>
        <w:t>(PM14)</w:t>
      </w:r>
      <w:r w:rsidRPr="00D37004">
        <w:rPr>
          <w:noProof/>
        </w:rPr>
        <w:t xml:space="preserve"> sets up measures ensuring the effectiveness of the interoperability provisions of the Data Act</w:t>
      </w:r>
      <w:r>
        <w:rPr>
          <w:noProof/>
        </w:rPr>
        <w:t>: A</w:t>
      </w:r>
      <w:r w:rsidRPr="00D37004">
        <w:rPr>
          <w:noProof/>
        </w:rPr>
        <w:t xml:space="preserve"> Commission-led coordination group with Member States and industry to </w:t>
      </w:r>
      <w:r>
        <w:rPr>
          <w:noProof/>
        </w:rPr>
        <w:t>drive progress on the development of interoperability standards. This would serve as a preparatory step to the standardisation requests which the Commission can issue under the Data Act. In addition, the measure creates</w:t>
      </w:r>
      <w:r w:rsidRPr="00D37004" w:rsidDel="004A41C2">
        <w:rPr>
          <w:noProof/>
        </w:rPr>
        <w:t xml:space="preserve"> </w:t>
      </w:r>
      <w:r w:rsidR="00FF19B8">
        <w:rPr>
          <w:noProof/>
        </w:rPr>
        <w:t xml:space="preserve">a hook for possible </w:t>
      </w:r>
      <w:r>
        <w:rPr>
          <w:noProof/>
        </w:rPr>
        <w:t>f</w:t>
      </w:r>
      <w:r w:rsidRPr="00D37004">
        <w:rPr>
          <w:noProof/>
        </w:rPr>
        <w:t>inancial support</w:t>
      </w:r>
      <w:r w:rsidR="00FD3253">
        <w:rPr>
          <w:noProof/>
        </w:rPr>
        <w:t xml:space="preserve">, </w:t>
      </w:r>
      <w:r w:rsidR="004004FC">
        <w:rPr>
          <w:noProof/>
        </w:rPr>
        <w:t xml:space="preserve">in the </w:t>
      </w:r>
      <w:r w:rsidR="00FF19B8">
        <w:rPr>
          <w:noProof/>
        </w:rPr>
        <w:t>context</w:t>
      </w:r>
      <w:r w:rsidR="004004FC">
        <w:rPr>
          <w:noProof/>
        </w:rPr>
        <w:t xml:space="preserve"> of the</w:t>
      </w:r>
      <w:r w:rsidR="00FD3253">
        <w:rPr>
          <w:noProof/>
        </w:rPr>
        <w:t xml:space="preserve"> </w:t>
      </w:r>
      <w:r w:rsidR="00FF19B8">
        <w:rPr>
          <w:noProof/>
        </w:rPr>
        <w:t xml:space="preserve">next </w:t>
      </w:r>
      <w:r w:rsidR="00FD3253">
        <w:rPr>
          <w:noProof/>
        </w:rPr>
        <w:t>MFF</w:t>
      </w:r>
      <w:r w:rsidR="00194BF3">
        <w:rPr>
          <w:noProof/>
        </w:rPr>
        <w:t xml:space="preserve"> (but without </w:t>
      </w:r>
      <w:r w:rsidR="00B96E9F">
        <w:rPr>
          <w:noProof/>
        </w:rPr>
        <w:t>prejudging the outcome of such negotiations)</w:t>
      </w:r>
      <w:r w:rsidR="00FD3253">
        <w:rPr>
          <w:noProof/>
        </w:rPr>
        <w:t>,</w:t>
      </w:r>
      <w:r w:rsidRPr="00D37004">
        <w:rPr>
          <w:noProof/>
        </w:rPr>
        <w:t xml:space="preserve"> for EU industry participation in EU standardisation </w:t>
      </w:r>
      <w:r>
        <w:rPr>
          <w:noProof/>
        </w:rPr>
        <w:t>organisations to ensure that the perspective of smaller European service providers is represented when these organisations work on a standardisation request issued under the Data Act</w:t>
      </w:r>
      <w:r w:rsidRPr="00D37004">
        <w:rPr>
          <w:noProof/>
        </w:rPr>
        <w:t>.</w:t>
      </w:r>
    </w:p>
    <w:p w14:paraId="2189A583" w14:textId="1E8A21F8" w:rsidR="00A17FE1" w:rsidRPr="00D37004" w:rsidRDefault="00E61374" w:rsidP="00E61374">
      <w:pPr>
        <w:rPr>
          <w:noProof/>
        </w:rPr>
      </w:pPr>
      <w:r w:rsidRPr="00D37004">
        <w:rPr>
          <w:noProof/>
        </w:rPr>
        <w:t xml:space="preserve">In </w:t>
      </w:r>
      <w:r>
        <w:rPr>
          <w:noProof/>
        </w:rPr>
        <w:t>response to</w:t>
      </w:r>
      <w:r w:rsidRPr="00D37004">
        <w:rPr>
          <w:noProof/>
        </w:rPr>
        <w:t xml:space="preserve"> the CfE, many European companies favoured a harmonised </w:t>
      </w:r>
      <w:r>
        <w:rPr>
          <w:noProof/>
        </w:rPr>
        <w:t xml:space="preserve">sovereignty </w:t>
      </w:r>
      <w:r w:rsidR="003B64C6">
        <w:rPr>
          <w:noProof/>
        </w:rPr>
        <w:t>criteria</w:t>
      </w:r>
      <w:r w:rsidR="003B64C6" w:rsidRPr="00D37004">
        <w:rPr>
          <w:noProof/>
        </w:rPr>
        <w:t xml:space="preserve"> </w:t>
      </w:r>
      <w:r w:rsidRPr="00D37004">
        <w:rPr>
          <w:noProof/>
        </w:rPr>
        <w:t xml:space="preserve">at EU level. Public authorities showed strong support for the development of operational sovereignty criteria. Some companies and business associations, especially located outside the EU, stressed that such </w:t>
      </w:r>
      <w:r w:rsidR="003B64C6">
        <w:rPr>
          <w:noProof/>
        </w:rPr>
        <w:t>criteria</w:t>
      </w:r>
      <w:r w:rsidRPr="00D37004">
        <w:rPr>
          <w:noProof/>
        </w:rPr>
        <w:t xml:space="preserve"> should not exclude providers merely based on headquarters location.</w:t>
      </w:r>
    </w:p>
    <w:p w14:paraId="35451C93" w14:textId="77777777" w:rsidR="00E61374" w:rsidRPr="004C3E0E" w:rsidRDefault="00E61374" w:rsidP="004C3E0E">
      <w:pPr>
        <w:spacing w:before="120"/>
        <w:rPr>
          <w:b/>
          <w:bCs/>
          <w:noProof/>
          <w:u w:val="single"/>
        </w:rPr>
      </w:pPr>
      <w:r w:rsidRPr="004C3E0E">
        <w:rPr>
          <w:b/>
          <w:bCs/>
          <w:noProof/>
          <w:u w:val="single"/>
        </w:rPr>
        <w:t>Policy Option PO2-B: Voluntary framework for advancing sovereign cloud and AI computing services</w:t>
      </w:r>
    </w:p>
    <w:p w14:paraId="62DBB842" w14:textId="1F4A4271" w:rsidR="00911750" w:rsidRPr="00D37004" w:rsidRDefault="00E61374" w:rsidP="00E61374">
      <w:pPr>
        <w:rPr>
          <w:noProof/>
        </w:rPr>
      </w:pPr>
      <w:r>
        <w:rPr>
          <w:noProof/>
        </w:rPr>
        <w:t>This option contains measures which go beyond defining and making more visible sovereign services. They create a legislative framework for identifying such services, leaving its use voluntary. The measures also target the broader uptake of a more diverse set cloud and AI computing services in the public and private sector.</w:t>
      </w:r>
    </w:p>
    <w:p w14:paraId="21D8ACD7" w14:textId="625FA64D" w:rsidR="000C3B72" w:rsidRPr="0076772B" w:rsidRDefault="00E61374" w:rsidP="00D00591">
      <w:pPr>
        <w:pStyle w:val="ListBullet"/>
        <w:spacing w:before="120" w:after="120"/>
        <w:ind w:left="284" w:hanging="284"/>
        <w:rPr>
          <w:bCs/>
          <w:noProof/>
        </w:rPr>
      </w:pPr>
      <w:r w:rsidRPr="005F5937">
        <w:rPr>
          <w:b/>
          <w:bCs/>
          <w:noProof/>
        </w:rPr>
        <w:t>Policy Measure 15</w:t>
      </w:r>
      <w:r w:rsidRPr="008872BC">
        <w:rPr>
          <w:noProof/>
        </w:rPr>
        <w:t xml:space="preserve"> </w:t>
      </w:r>
      <w:r w:rsidRPr="005F5937">
        <w:rPr>
          <w:b/>
          <w:bCs/>
          <w:noProof/>
          <w:u w:val="single"/>
        </w:rPr>
        <w:t>(PM15)</w:t>
      </w:r>
      <w:r w:rsidRPr="008872BC">
        <w:rPr>
          <w:noProof/>
        </w:rPr>
        <w:t xml:space="preserve"> </w:t>
      </w:r>
      <w:r w:rsidR="002B503F">
        <w:rPr>
          <w:noProof/>
        </w:rPr>
        <w:t xml:space="preserve">would </w:t>
      </w:r>
      <w:r w:rsidR="002B503F" w:rsidRPr="005F5937">
        <w:rPr>
          <w:b/>
          <w:bCs/>
          <w:noProof/>
          <w:u w:val="single"/>
        </w:rPr>
        <w:t>recommend</w:t>
      </w:r>
      <w:r w:rsidR="002B503F">
        <w:rPr>
          <w:noProof/>
        </w:rPr>
        <w:t xml:space="preserve"> Member States to carry at least one sovereignty risk assessment and repeat it at least every four years but more frequent if deemed necessary. The purpose of the sovereignty risk assessment is to identify which </w:t>
      </w:r>
      <w:r w:rsidR="00DA6458">
        <w:rPr>
          <w:noProof/>
        </w:rPr>
        <w:t>public sector</w:t>
      </w:r>
      <w:r w:rsidR="002B503F">
        <w:rPr>
          <w:noProof/>
        </w:rPr>
        <w:t xml:space="preserve"> use cases within a Member State require the use of which sovereignty level as described under </w:t>
      </w:r>
      <w:r w:rsidR="002B503F" w:rsidRPr="005F5937">
        <w:rPr>
          <w:bCs/>
          <w:noProof/>
        </w:rPr>
        <w:t xml:space="preserve">PM11. The sovereignty risk assessment would assess, </w:t>
      </w:r>
      <w:r w:rsidR="002B503F" w:rsidRPr="005F5937">
        <w:rPr>
          <w:i/>
          <w:noProof/>
        </w:rPr>
        <w:t>inter alia</w:t>
      </w:r>
      <w:r w:rsidR="002B503F" w:rsidRPr="005F5937">
        <w:rPr>
          <w:bCs/>
          <w:noProof/>
        </w:rPr>
        <w:t>, the risks induced by the access to such data by a third-country authority or third-country legal entity; or the risk of possible service disruption due to dependence on a single or limited number of third-country services providers.</w:t>
      </w:r>
    </w:p>
    <w:p w14:paraId="118DB35F" w14:textId="735CDDEF" w:rsidR="00BB1199" w:rsidRPr="00BB1199" w:rsidRDefault="00BB1199" w:rsidP="00AE2F4C">
      <w:pPr>
        <w:pStyle w:val="ListBullet"/>
        <w:numPr>
          <w:ilvl w:val="0"/>
          <w:numId w:val="0"/>
        </w:numPr>
        <w:spacing w:after="240"/>
        <w:ind w:left="284"/>
        <w:rPr>
          <w:bCs/>
          <w:noProof/>
        </w:rPr>
      </w:pPr>
      <w:r w:rsidRPr="00BB1199">
        <w:rPr>
          <w:bCs/>
          <w:noProof/>
        </w:rPr>
        <w:t>On the basis of dedicated discussions conducted with 3 different public authorities representing about 200</w:t>
      </w:r>
      <w:r w:rsidR="00942B52">
        <w:rPr>
          <w:bCs/>
          <w:noProof/>
        </w:rPr>
        <w:t xml:space="preserve"> NIS2</w:t>
      </w:r>
      <w:r w:rsidR="001D43F1">
        <w:rPr>
          <w:bCs/>
          <w:noProof/>
        </w:rPr>
        <w:t>-Annex 1</w:t>
      </w:r>
      <w:r w:rsidRPr="00BB1199">
        <w:rPr>
          <w:bCs/>
          <w:noProof/>
        </w:rPr>
        <w:t xml:space="preserve"> contracting authorities, </w:t>
      </w:r>
      <w:r w:rsidR="00942B52">
        <w:rPr>
          <w:bCs/>
          <w:noProof/>
        </w:rPr>
        <w:t xml:space="preserve">operating at regional, national and European level (out of an estimate of 6 400 NIS2 entities across the EU), </w:t>
      </w:r>
      <w:r w:rsidRPr="00BB1199">
        <w:rPr>
          <w:bCs/>
          <w:noProof/>
        </w:rPr>
        <w:t>this assessment assumes that the matching of sovereignty levels to public sector demand follows the following pattern: 70% of use cases would require a sovereignty level 1; 20% for level 2; 9% for level 3; and 1% for level 4. Even though the scheme is novel and does not correspond to existing frameworks, this assessment fits with broad orders of magnitude that can be inferred from existing analyses conducted in several Member States that have introduced risk assessments for their public sector clouds, such as France, Poland</w:t>
      </w:r>
      <w:r w:rsidRPr="00AE2F4C">
        <w:rPr>
          <w:bCs/>
          <w:noProof/>
          <w:vertAlign w:val="superscript"/>
        </w:rPr>
        <w:footnoteReference w:id="95"/>
      </w:r>
      <w:r w:rsidRPr="00BB1199">
        <w:rPr>
          <w:bCs/>
          <w:noProof/>
        </w:rPr>
        <w:t xml:space="preserve"> or Italy</w:t>
      </w:r>
      <w:r w:rsidRPr="00AE2F4C">
        <w:rPr>
          <w:bCs/>
          <w:noProof/>
          <w:vertAlign w:val="superscript"/>
        </w:rPr>
        <w:footnoteReference w:id="96"/>
      </w:r>
      <w:r w:rsidRPr="00BB1199">
        <w:rPr>
          <w:bCs/>
          <w:noProof/>
        </w:rPr>
        <w:t>.</w:t>
      </w:r>
    </w:p>
    <w:p w14:paraId="04270CCC" w14:textId="64E3E49C" w:rsidR="00BB1199" w:rsidRDefault="00BB1199" w:rsidP="00BB1199">
      <w:pPr>
        <w:pStyle w:val="ListBullet"/>
        <w:numPr>
          <w:ilvl w:val="0"/>
          <w:numId w:val="0"/>
        </w:numPr>
        <w:spacing w:after="240"/>
        <w:ind w:left="284"/>
        <w:rPr>
          <w:bCs/>
          <w:noProof/>
        </w:rPr>
      </w:pPr>
      <w:r w:rsidRPr="00BB1199">
        <w:rPr>
          <w:bCs/>
          <w:noProof/>
        </w:rPr>
        <w:t>This approximation is anchored in the idea that a layered and progressively more demanding criteria is designed to tackle a progressively smaller amount of use cases. For instance, a water supply public company might have separate IT systems to deal with non-critical use cases, but fewer to manage critical systems.</w:t>
      </w:r>
    </w:p>
    <w:p w14:paraId="6C028285" w14:textId="531722B6" w:rsidR="009706CA" w:rsidRPr="009706CA" w:rsidRDefault="009706CA" w:rsidP="00AE2F4C">
      <w:pPr>
        <w:pStyle w:val="Caption"/>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6</w:t>
      </w:r>
      <w:r w:rsidRPr="00D37004">
        <w:rPr>
          <w:noProof/>
        </w:rPr>
        <w:fldChar w:fldCharType="end"/>
      </w:r>
      <w:r w:rsidRPr="00D37004">
        <w:rPr>
          <w:noProof/>
        </w:rPr>
        <w:t xml:space="preserve">. </w:t>
      </w:r>
      <w:r w:rsidR="00081AA4">
        <w:rPr>
          <w:noProof/>
        </w:rPr>
        <w:t xml:space="preserve">Illustrative distribution of criticality </w:t>
      </w:r>
      <w:r w:rsidR="0039394B">
        <w:rPr>
          <w:noProof/>
        </w:rPr>
        <w:t xml:space="preserve">of </w:t>
      </w:r>
      <w:r w:rsidR="00081AA4">
        <w:rPr>
          <w:noProof/>
        </w:rPr>
        <w:t xml:space="preserve">IT systems </w:t>
      </w:r>
      <w:r w:rsidR="0039394B">
        <w:rPr>
          <w:noProof/>
        </w:rPr>
        <w:t>within a ficti</w:t>
      </w:r>
      <w:r w:rsidR="009231FC">
        <w:rPr>
          <w:noProof/>
        </w:rPr>
        <w:t xml:space="preserve">tious </w:t>
      </w:r>
      <w:r w:rsidR="0059410F">
        <w:rPr>
          <w:noProof/>
        </w:rPr>
        <w:t>public sector water company</w:t>
      </w:r>
    </w:p>
    <w:tbl>
      <w:tblPr>
        <w:tblStyle w:val="ListTable4-Accent5"/>
        <w:tblW w:w="0" w:type="auto"/>
        <w:tblInd w:w="534" w:type="dxa"/>
        <w:tblLook w:val="04A0" w:firstRow="1" w:lastRow="0" w:firstColumn="1" w:lastColumn="0" w:noHBand="0" w:noVBand="1"/>
      </w:tblPr>
      <w:tblGrid>
        <w:gridCol w:w="4322"/>
        <w:gridCol w:w="4608"/>
      </w:tblGrid>
      <w:tr w:rsidR="001710F8" w14:paraId="3A057D2E" w14:textId="77777777" w:rsidTr="00AE2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2" w:type="dxa"/>
            <w:tcBorders>
              <w:top w:val="single" w:sz="4" w:space="0" w:color="000000"/>
              <w:left w:val="single" w:sz="4" w:space="0" w:color="000000"/>
              <w:bottom w:val="single" w:sz="4" w:space="0" w:color="000000"/>
              <w:right w:val="single" w:sz="4" w:space="0" w:color="000000"/>
            </w:tcBorders>
            <w:shd w:val="clear" w:color="auto" w:fill="0070C0"/>
          </w:tcPr>
          <w:p w14:paraId="606B26C5" w14:textId="77777777" w:rsidR="001447F8" w:rsidRDefault="001447F8" w:rsidP="00AE2F4C">
            <w:pPr>
              <w:pStyle w:val="ListBullet"/>
              <w:numPr>
                <w:ilvl w:val="0"/>
                <w:numId w:val="0"/>
              </w:numPr>
              <w:spacing w:after="0"/>
              <w:jc w:val="center"/>
              <w:rPr>
                <w:b w:val="0"/>
                <w:bCs w:val="0"/>
                <w:noProof/>
              </w:rPr>
            </w:pPr>
            <w:r>
              <w:rPr>
                <w:bCs w:val="0"/>
                <w:noProof/>
              </w:rPr>
              <w:t>N</w:t>
            </w:r>
            <w:r w:rsidR="00516C58" w:rsidRPr="00BB1199">
              <w:rPr>
                <w:noProof/>
              </w:rPr>
              <w:t>on</w:t>
            </w:r>
            <w:r w:rsidR="00516C58" w:rsidRPr="00BB1199">
              <w:rPr>
                <w:bCs w:val="0"/>
                <w:noProof/>
              </w:rPr>
              <w:t>-critical use cases</w:t>
            </w:r>
          </w:p>
          <w:p w14:paraId="794E89AF" w14:textId="54767B75" w:rsidR="001710F8" w:rsidRDefault="00457B35" w:rsidP="001447F8">
            <w:pPr>
              <w:pStyle w:val="ListBullet"/>
              <w:numPr>
                <w:ilvl w:val="0"/>
                <w:numId w:val="0"/>
              </w:numPr>
              <w:spacing w:after="0"/>
              <w:jc w:val="center"/>
              <w:rPr>
                <w:bCs w:val="0"/>
                <w:noProof/>
              </w:rPr>
            </w:pPr>
            <w:r>
              <w:rPr>
                <w:bCs w:val="0"/>
                <w:noProof/>
              </w:rPr>
              <w:t xml:space="preserve"> (candidate for level 1)</w:t>
            </w:r>
          </w:p>
        </w:tc>
        <w:tc>
          <w:tcPr>
            <w:tcW w:w="4608" w:type="dxa"/>
            <w:tcBorders>
              <w:top w:val="single" w:sz="4" w:space="0" w:color="000000"/>
              <w:left w:val="single" w:sz="4" w:space="0" w:color="000000"/>
              <w:bottom w:val="single" w:sz="4" w:space="0" w:color="000000"/>
              <w:right w:val="single" w:sz="4" w:space="0" w:color="000000"/>
            </w:tcBorders>
            <w:shd w:val="clear" w:color="auto" w:fill="0070C0"/>
          </w:tcPr>
          <w:p w14:paraId="502ECDF9" w14:textId="77777777" w:rsidR="001447F8" w:rsidRDefault="009706CA" w:rsidP="00AE2F4C">
            <w:pPr>
              <w:pStyle w:val="ListBullet"/>
              <w:numPr>
                <w:ilvl w:val="0"/>
                <w:numId w:val="0"/>
              </w:numPr>
              <w:spacing w:after="0"/>
              <w:jc w:val="center"/>
              <w:cnfStyle w:val="100000000000" w:firstRow="1" w:lastRow="0" w:firstColumn="0" w:lastColumn="0" w:oddVBand="0" w:evenVBand="0" w:oddHBand="0" w:evenHBand="0" w:firstRowFirstColumn="0" w:firstRowLastColumn="0" w:lastRowFirstColumn="0" w:lastRowLastColumn="0"/>
              <w:rPr>
                <w:b w:val="0"/>
                <w:noProof/>
              </w:rPr>
            </w:pPr>
            <w:r>
              <w:rPr>
                <w:bCs w:val="0"/>
                <w:noProof/>
              </w:rPr>
              <w:t>Critical use case</w:t>
            </w:r>
          </w:p>
          <w:p w14:paraId="5504F3B0" w14:textId="63EE8345" w:rsidR="001710F8" w:rsidRDefault="009706CA" w:rsidP="001447F8">
            <w:pPr>
              <w:pStyle w:val="ListBullet"/>
              <w:numPr>
                <w:ilvl w:val="0"/>
                <w:numId w:val="0"/>
              </w:numPr>
              <w:spacing w:after="0"/>
              <w:jc w:val="center"/>
              <w:cnfStyle w:val="100000000000" w:firstRow="1" w:lastRow="0" w:firstColumn="0" w:lastColumn="0" w:oddVBand="0" w:evenVBand="0" w:oddHBand="0" w:evenHBand="0" w:firstRowFirstColumn="0" w:firstRowLastColumn="0" w:lastRowFirstColumn="0" w:lastRowLastColumn="0"/>
              <w:rPr>
                <w:bCs w:val="0"/>
                <w:noProof/>
              </w:rPr>
            </w:pPr>
            <w:r>
              <w:rPr>
                <w:bCs w:val="0"/>
                <w:noProof/>
              </w:rPr>
              <w:t xml:space="preserve"> (candidate for levels 2-4)</w:t>
            </w:r>
          </w:p>
        </w:tc>
      </w:tr>
      <w:tr w:rsidR="001710F8" w14:paraId="1E9A2DD5" w14:textId="77777777" w:rsidTr="00AE2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2" w:type="dxa"/>
            <w:tcBorders>
              <w:top w:val="single" w:sz="4" w:space="0" w:color="000000"/>
              <w:left w:val="single" w:sz="4" w:space="0" w:color="000000"/>
              <w:bottom w:val="single" w:sz="4" w:space="0" w:color="000000"/>
              <w:right w:val="single" w:sz="4" w:space="0" w:color="000000"/>
            </w:tcBorders>
            <w:shd w:val="clear" w:color="auto" w:fill="auto"/>
          </w:tcPr>
          <w:p w14:paraId="587B8043" w14:textId="7F9A0008" w:rsidR="0059410F" w:rsidRPr="008F009B" w:rsidRDefault="0059410F" w:rsidP="000C739E">
            <w:pPr>
              <w:pStyle w:val="ListBullet"/>
              <w:numPr>
                <w:ilvl w:val="0"/>
                <w:numId w:val="64"/>
              </w:numPr>
              <w:spacing w:after="0"/>
              <w:ind w:left="714" w:hanging="357"/>
              <w:rPr>
                <w:b w:val="0"/>
                <w:bCs w:val="0"/>
                <w:noProof/>
              </w:rPr>
            </w:pPr>
            <w:r w:rsidRPr="008F009B">
              <w:rPr>
                <w:noProof/>
              </w:rPr>
              <w:t>Procurement</w:t>
            </w:r>
          </w:p>
          <w:p w14:paraId="7B92B674" w14:textId="38E27540" w:rsidR="0059410F" w:rsidRPr="008F009B" w:rsidRDefault="0026703B" w:rsidP="000C739E">
            <w:pPr>
              <w:pStyle w:val="ListBullet"/>
              <w:numPr>
                <w:ilvl w:val="0"/>
                <w:numId w:val="64"/>
              </w:numPr>
              <w:spacing w:after="0"/>
              <w:ind w:left="714" w:hanging="357"/>
              <w:rPr>
                <w:b w:val="0"/>
                <w:bCs w:val="0"/>
                <w:noProof/>
              </w:rPr>
            </w:pPr>
            <w:r w:rsidRPr="008F009B">
              <w:rPr>
                <w:noProof/>
              </w:rPr>
              <w:t>S</w:t>
            </w:r>
            <w:r w:rsidR="0059410F" w:rsidRPr="008F009B">
              <w:rPr>
                <w:noProof/>
              </w:rPr>
              <w:t>tock management</w:t>
            </w:r>
          </w:p>
          <w:p w14:paraId="541F29B3" w14:textId="24C7534A" w:rsidR="0059410F" w:rsidRPr="008F009B" w:rsidRDefault="0026703B" w:rsidP="000C739E">
            <w:pPr>
              <w:pStyle w:val="ListBullet"/>
              <w:numPr>
                <w:ilvl w:val="0"/>
                <w:numId w:val="64"/>
              </w:numPr>
              <w:spacing w:after="0"/>
              <w:ind w:left="714" w:hanging="357"/>
              <w:rPr>
                <w:b w:val="0"/>
                <w:bCs w:val="0"/>
                <w:noProof/>
              </w:rPr>
            </w:pPr>
            <w:r w:rsidRPr="008F009B">
              <w:rPr>
                <w:noProof/>
              </w:rPr>
              <w:t>I</w:t>
            </w:r>
            <w:r w:rsidR="0059410F" w:rsidRPr="008F009B">
              <w:rPr>
                <w:noProof/>
              </w:rPr>
              <w:t>nventory</w:t>
            </w:r>
          </w:p>
          <w:p w14:paraId="7DFA21BF" w14:textId="2B4CB180" w:rsidR="0059410F" w:rsidRPr="008F009B" w:rsidRDefault="0026703B" w:rsidP="000C739E">
            <w:pPr>
              <w:pStyle w:val="ListBullet"/>
              <w:numPr>
                <w:ilvl w:val="0"/>
                <w:numId w:val="64"/>
              </w:numPr>
              <w:spacing w:after="0"/>
              <w:ind w:left="714" w:hanging="357"/>
              <w:rPr>
                <w:b w:val="0"/>
                <w:bCs w:val="0"/>
                <w:noProof/>
              </w:rPr>
            </w:pPr>
            <w:r w:rsidRPr="008F009B">
              <w:rPr>
                <w:noProof/>
              </w:rPr>
              <w:t>H</w:t>
            </w:r>
            <w:r w:rsidR="0059410F" w:rsidRPr="008F009B">
              <w:rPr>
                <w:noProof/>
              </w:rPr>
              <w:t>elpdesk</w:t>
            </w:r>
          </w:p>
          <w:p w14:paraId="75ADEDB9" w14:textId="6F820787" w:rsidR="0059410F" w:rsidRPr="008F009B" w:rsidRDefault="0026703B" w:rsidP="000C739E">
            <w:pPr>
              <w:pStyle w:val="ListBullet"/>
              <w:numPr>
                <w:ilvl w:val="0"/>
                <w:numId w:val="64"/>
              </w:numPr>
              <w:spacing w:after="0"/>
              <w:ind w:left="714" w:hanging="357"/>
              <w:rPr>
                <w:b w:val="0"/>
                <w:bCs w:val="0"/>
                <w:noProof/>
              </w:rPr>
            </w:pPr>
            <w:r w:rsidRPr="008F009B">
              <w:rPr>
                <w:noProof/>
              </w:rPr>
              <w:t>B</w:t>
            </w:r>
            <w:r w:rsidR="0059410F" w:rsidRPr="008F009B">
              <w:rPr>
                <w:noProof/>
              </w:rPr>
              <w:t>illing system</w:t>
            </w:r>
          </w:p>
          <w:p w14:paraId="73BD37D7" w14:textId="7E66132B" w:rsidR="001447F8" w:rsidRPr="008F009B" w:rsidRDefault="001447F8" w:rsidP="00AE2F4C">
            <w:pPr>
              <w:pStyle w:val="ListBullet"/>
              <w:numPr>
                <w:ilvl w:val="0"/>
                <w:numId w:val="64"/>
              </w:numPr>
              <w:spacing w:after="0"/>
              <w:ind w:left="714" w:hanging="357"/>
              <w:rPr>
                <w:b w:val="0"/>
                <w:bCs w:val="0"/>
                <w:noProof/>
              </w:rPr>
            </w:pPr>
            <w:r w:rsidRPr="008F009B">
              <w:rPr>
                <w:noProof/>
              </w:rPr>
              <w:t>Accounting system</w:t>
            </w:r>
          </w:p>
          <w:p w14:paraId="13C193F3" w14:textId="5CC256F9" w:rsidR="0026703B" w:rsidRPr="008F009B" w:rsidRDefault="0026703B" w:rsidP="000C739E">
            <w:pPr>
              <w:pStyle w:val="ListBullet"/>
              <w:numPr>
                <w:ilvl w:val="0"/>
                <w:numId w:val="64"/>
              </w:numPr>
              <w:spacing w:after="0"/>
              <w:ind w:left="714" w:hanging="357"/>
              <w:rPr>
                <w:b w:val="0"/>
                <w:bCs w:val="0"/>
                <w:noProof/>
              </w:rPr>
            </w:pPr>
            <w:r w:rsidRPr="008F009B">
              <w:rPr>
                <w:noProof/>
              </w:rPr>
              <w:t>CRM</w:t>
            </w:r>
          </w:p>
          <w:p w14:paraId="3DDAD27B" w14:textId="77777777" w:rsidR="00CA4F83" w:rsidRPr="008F009B" w:rsidRDefault="0026703B" w:rsidP="000C739E">
            <w:pPr>
              <w:pStyle w:val="ListBullet"/>
              <w:numPr>
                <w:ilvl w:val="0"/>
                <w:numId w:val="64"/>
              </w:numPr>
              <w:spacing w:after="0"/>
              <w:ind w:left="714" w:hanging="357"/>
              <w:rPr>
                <w:b w:val="0"/>
                <w:bCs w:val="0"/>
                <w:noProof/>
              </w:rPr>
            </w:pPr>
            <w:r w:rsidRPr="008F009B">
              <w:rPr>
                <w:noProof/>
              </w:rPr>
              <w:t>W</w:t>
            </w:r>
            <w:r w:rsidR="0059410F" w:rsidRPr="008F009B">
              <w:rPr>
                <w:noProof/>
              </w:rPr>
              <w:t>orkforce management</w:t>
            </w:r>
            <w:r w:rsidR="00CA4F83" w:rsidRPr="008F009B">
              <w:rPr>
                <w:b w:val="0"/>
                <w:bCs w:val="0"/>
                <w:noProof/>
              </w:rPr>
              <w:t>:</w:t>
            </w:r>
          </w:p>
          <w:p w14:paraId="13CF1ABD" w14:textId="6BC43033" w:rsidR="00CA4F83" w:rsidRPr="000903C3" w:rsidRDefault="00CA4F83" w:rsidP="00CA4F83">
            <w:pPr>
              <w:pStyle w:val="ListBullet"/>
              <w:numPr>
                <w:ilvl w:val="1"/>
                <w:numId w:val="64"/>
              </w:numPr>
              <w:spacing w:after="0"/>
              <w:rPr>
                <w:b w:val="0"/>
                <w:noProof/>
              </w:rPr>
            </w:pPr>
            <w:r w:rsidRPr="000903C3">
              <w:rPr>
                <w:b w:val="0"/>
                <w:noProof/>
              </w:rPr>
              <w:t>P</w:t>
            </w:r>
            <w:r w:rsidR="0059410F" w:rsidRPr="000903C3">
              <w:rPr>
                <w:noProof/>
              </w:rPr>
              <w:t>ayroll</w:t>
            </w:r>
          </w:p>
          <w:p w14:paraId="5F6BD732" w14:textId="77777777" w:rsidR="00CA4F83" w:rsidRPr="000903C3" w:rsidRDefault="00CA4F83" w:rsidP="00CA4F83">
            <w:pPr>
              <w:pStyle w:val="ListBullet"/>
              <w:numPr>
                <w:ilvl w:val="1"/>
                <w:numId w:val="64"/>
              </w:numPr>
              <w:spacing w:after="0"/>
              <w:rPr>
                <w:b w:val="0"/>
                <w:noProof/>
              </w:rPr>
            </w:pPr>
            <w:r w:rsidRPr="000903C3">
              <w:rPr>
                <w:b w:val="0"/>
                <w:noProof/>
              </w:rPr>
              <w:t>T</w:t>
            </w:r>
            <w:r w:rsidR="0059410F" w:rsidRPr="000903C3">
              <w:rPr>
                <w:noProof/>
              </w:rPr>
              <w:t>imesheets</w:t>
            </w:r>
          </w:p>
          <w:p w14:paraId="7EEE5CC0" w14:textId="77777777" w:rsidR="00CA4F83" w:rsidRPr="000903C3" w:rsidRDefault="00CA4F83" w:rsidP="00CA4F83">
            <w:pPr>
              <w:pStyle w:val="ListBullet"/>
              <w:numPr>
                <w:ilvl w:val="1"/>
                <w:numId w:val="64"/>
              </w:numPr>
              <w:spacing w:after="0"/>
              <w:rPr>
                <w:b w:val="0"/>
                <w:noProof/>
              </w:rPr>
            </w:pPr>
            <w:r w:rsidRPr="000903C3">
              <w:rPr>
                <w:b w:val="0"/>
                <w:noProof/>
              </w:rPr>
              <w:t>T</w:t>
            </w:r>
            <w:r w:rsidR="0059410F" w:rsidRPr="000903C3">
              <w:rPr>
                <w:noProof/>
              </w:rPr>
              <w:t>raining</w:t>
            </w:r>
          </w:p>
          <w:p w14:paraId="33F16270" w14:textId="77777777" w:rsidR="00CA4F83" w:rsidRPr="000903C3" w:rsidRDefault="00CA4F83" w:rsidP="00CA4F83">
            <w:pPr>
              <w:pStyle w:val="ListBullet"/>
              <w:numPr>
                <w:ilvl w:val="1"/>
                <w:numId w:val="64"/>
              </w:numPr>
              <w:spacing w:after="0"/>
              <w:rPr>
                <w:b w:val="0"/>
                <w:noProof/>
              </w:rPr>
            </w:pPr>
            <w:r w:rsidRPr="000903C3">
              <w:rPr>
                <w:b w:val="0"/>
                <w:noProof/>
              </w:rPr>
              <w:t>H</w:t>
            </w:r>
            <w:r w:rsidR="0026703B" w:rsidRPr="000903C3">
              <w:rPr>
                <w:noProof/>
              </w:rPr>
              <w:t>olidays</w:t>
            </w:r>
          </w:p>
          <w:p w14:paraId="683D55DB" w14:textId="015AD6CD" w:rsidR="0059410F" w:rsidRPr="000903C3" w:rsidRDefault="00CA4F83" w:rsidP="00CA4F83">
            <w:pPr>
              <w:pStyle w:val="ListBullet"/>
              <w:numPr>
                <w:ilvl w:val="1"/>
                <w:numId w:val="64"/>
              </w:numPr>
              <w:spacing w:after="0"/>
              <w:rPr>
                <w:b w:val="0"/>
                <w:noProof/>
              </w:rPr>
            </w:pPr>
            <w:r w:rsidRPr="000903C3">
              <w:rPr>
                <w:b w:val="0"/>
                <w:noProof/>
              </w:rPr>
              <w:t>R</w:t>
            </w:r>
            <w:r w:rsidR="0026703B" w:rsidRPr="000903C3">
              <w:rPr>
                <w:noProof/>
              </w:rPr>
              <w:t>ecruitmen</w:t>
            </w:r>
            <w:r w:rsidRPr="000903C3">
              <w:rPr>
                <w:b w:val="0"/>
                <w:noProof/>
              </w:rPr>
              <w:t>t</w:t>
            </w:r>
          </w:p>
          <w:p w14:paraId="18787D45" w14:textId="38C0158B" w:rsidR="00CA4F83" w:rsidRPr="00AE2F4C" w:rsidRDefault="00CA4F83" w:rsidP="00AE2F4C">
            <w:pPr>
              <w:pStyle w:val="ListBullet"/>
              <w:numPr>
                <w:ilvl w:val="1"/>
                <w:numId w:val="64"/>
              </w:numPr>
              <w:spacing w:after="0"/>
              <w:rPr>
                <w:b w:val="0"/>
                <w:noProof/>
              </w:rPr>
            </w:pPr>
            <w:r>
              <w:rPr>
                <w:b w:val="0"/>
                <w:noProof/>
              </w:rPr>
              <w:t>…</w:t>
            </w:r>
          </w:p>
          <w:p w14:paraId="7FA02A2B" w14:textId="292988FA" w:rsidR="001710F8" w:rsidRDefault="0059410F" w:rsidP="000C739E">
            <w:pPr>
              <w:pStyle w:val="ListBullet"/>
              <w:numPr>
                <w:ilvl w:val="0"/>
                <w:numId w:val="64"/>
              </w:numPr>
              <w:spacing w:after="0"/>
              <w:ind w:left="714" w:hanging="357"/>
              <w:rPr>
                <w:bCs w:val="0"/>
                <w:noProof/>
              </w:rPr>
            </w:pPr>
            <w:r w:rsidRPr="00197156">
              <w:rPr>
                <w:noProof/>
              </w:rPr>
              <w:t>…</w:t>
            </w:r>
          </w:p>
        </w:tc>
        <w:tc>
          <w:tcPr>
            <w:tcW w:w="4608" w:type="dxa"/>
            <w:tcBorders>
              <w:top w:val="single" w:sz="4" w:space="0" w:color="000000"/>
              <w:left w:val="single" w:sz="4" w:space="0" w:color="000000"/>
              <w:bottom w:val="single" w:sz="4" w:space="0" w:color="000000"/>
              <w:right w:val="single" w:sz="4" w:space="0" w:color="000000"/>
            </w:tcBorders>
            <w:shd w:val="clear" w:color="auto" w:fill="auto"/>
          </w:tcPr>
          <w:p w14:paraId="6C0AD339" w14:textId="77777777" w:rsidR="001710F8" w:rsidRDefault="0059410F" w:rsidP="000C739E">
            <w:pPr>
              <w:pStyle w:val="ListBullet"/>
              <w:numPr>
                <w:ilvl w:val="0"/>
                <w:numId w:val="65"/>
              </w:numPr>
              <w:spacing w:after="0"/>
              <w:ind w:left="714" w:hanging="357"/>
              <w:cnfStyle w:val="000000100000" w:firstRow="0" w:lastRow="0" w:firstColumn="0" w:lastColumn="0" w:oddVBand="0" w:evenVBand="0" w:oddHBand="1" w:evenHBand="0" w:firstRowFirstColumn="0" w:firstRowLastColumn="0" w:lastRowFirstColumn="0" w:lastRowLastColumn="0"/>
              <w:rPr>
                <w:bCs/>
                <w:noProof/>
              </w:rPr>
            </w:pPr>
            <w:r>
              <w:rPr>
                <w:bCs/>
                <w:noProof/>
              </w:rPr>
              <w:t>Water monitoring system</w:t>
            </w:r>
          </w:p>
          <w:p w14:paraId="66DEA6F5" w14:textId="77777777" w:rsidR="00196C42" w:rsidRDefault="00196C42" w:rsidP="000C739E">
            <w:pPr>
              <w:pStyle w:val="ListBullet"/>
              <w:numPr>
                <w:ilvl w:val="0"/>
                <w:numId w:val="65"/>
              </w:numPr>
              <w:spacing w:after="0"/>
              <w:ind w:left="714" w:hanging="357"/>
              <w:cnfStyle w:val="000000100000" w:firstRow="0" w:lastRow="0" w:firstColumn="0" w:lastColumn="0" w:oddVBand="0" w:evenVBand="0" w:oddHBand="1" w:evenHBand="0" w:firstRowFirstColumn="0" w:firstRowLastColumn="0" w:lastRowFirstColumn="0" w:lastRowLastColumn="0"/>
              <w:rPr>
                <w:bCs/>
                <w:noProof/>
              </w:rPr>
            </w:pPr>
            <w:r>
              <w:rPr>
                <w:bCs/>
                <w:noProof/>
              </w:rPr>
              <w:t>Incident response system</w:t>
            </w:r>
          </w:p>
          <w:p w14:paraId="3E7EB95E" w14:textId="697AE551" w:rsidR="008F1B0D" w:rsidRDefault="008F1B0D" w:rsidP="000C739E">
            <w:pPr>
              <w:pStyle w:val="ListBullet"/>
              <w:numPr>
                <w:ilvl w:val="0"/>
                <w:numId w:val="65"/>
              </w:numPr>
              <w:spacing w:after="0"/>
              <w:ind w:left="714" w:hanging="357"/>
              <w:cnfStyle w:val="000000100000" w:firstRow="0" w:lastRow="0" w:firstColumn="0" w:lastColumn="0" w:oddVBand="0" w:evenVBand="0" w:oddHBand="1" w:evenHBand="0" w:firstRowFirstColumn="0" w:firstRowLastColumn="0" w:lastRowFirstColumn="0" w:lastRowLastColumn="0"/>
              <w:rPr>
                <w:bCs/>
                <w:noProof/>
              </w:rPr>
            </w:pPr>
            <w:r>
              <w:rPr>
                <w:bCs/>
                <w:noProof/>
              </w:rPr>
              <w:t>Early warning system</w:t>
            </w:r>
          </w:p>
        </w:tc>
      </w:tr>
    </w:tbl>
    <w:p w14:paraId="3B0595AB" w14:textId="77777777" w:rsidR="009706CA" w:rsidRPr="00BB1199" w:rsidRDefault="009706CA" w:rsidP="00AE2F4C">
      <w:pPr>
        <w:pStyle w:val="ListBullet"/>
        <w:numPr>
          <w:ilvl w:val="0"/>
          <w:numId w:val="0"/>
        </w:numPr>
        <w:spacing w:after="240"/>
        <w:rPr>
          <w:bCs/>
          <w:noProof/>
        </w:rPr>
      </w:pPr>
    </w:p>
    <w:p w14:paraId="692293F2" w14:textId="531518E6" w:rsidR="00BB1199" w:rsidRPr="00BB1199" w:rsidRDefault="00BB1199" w:rsidP="00AE2F4C">
      <w:pPr>
        <w:pStyle w:val="ListBullet"/>
        <w:numPr>
          <w:ilvl w:val="0"/>
          <w:numId w:val="0"/>
        </w:numPr>
        <w:spacing w:after="240"/>
        <w:ind w:left="284"/>
        <w:rPr>
          <w:bCs/>
          <w:noProof/>
        </w:rPr>
      </w:pPr>
      <w:r w:rsidRPr="00BB1199">
        <w:rPr>
          <w:bCs/>
          <w:noProof/>
        </w:rPr>
        <w:t>In concrete terms, France’s SecNumCloud, the closest scheme to this sovereignty framework</w:t>
      </w:r>
      <w:r w:rsidR="00B75B9E">
        <w:rPr>
          <w:bCs/>
          <w:noProof/>
        </w:rPr>
        <w:t>,</w:t>
      </w:r>
      <w:r w:rsidRPr="00BB1199">
        <w:rPr>
          <w:bCs/>
          <w:noProof/>
        </w:rPr>
        <w:t xml:space="preserve"> was developed acknowledging that there is demand for even higher levels of sovereignty for the most sensitive use cases, estimated at 10% of all public sector use cases (which here correspond to sovereignty level 3 and level 4). Conversely, out of the remaining use cases (90% of all public sector use cases), the scheme was designed to address approximately only ⅕ to ¼ of them (that is approximately 18% to 22.5% of all public sector use cases). While the individual criteria under SecNumCloud are not the same, the compound effect of level 2 criteria under CADA allows the same type of providers (having implemented the same type of mitigating measures) to qualify for this level. The proportion of 20% (rounded up mean value of 18% and 22.5%) </w:t>
      </w:r>
      <w:r w:rsidR="00C60C73">
        <w:rPr>
          <w:bCs/>
          <w:noProof/>
        </w:rPr>
        <w:t xml:space="preserve">was </w:t>
      </w:r>
      <w:r w:rsidRPr="00BB1199">
        <w:rPr>
          <w:bCs/>
          <w:noProof/>
        </w:rPr>
        <w:t xml:space="preserve">therefore retained as a first approximation for the proportion of all public sector use cases where conformity with level 2 would be required. </w:t>
      </w:r>
    </w:p>
    <w:p w14:paraId="505D61FA" w14:textId="75ED29BF" w:rsidR="00C67489" w:rsidRDefault="00BB1199" w:rsidP="00BB1199">
      <w:pPr>
        <w:pStyle w:val="ListBullet"/>
        <w:numPr>
          <w:ilvl w:val="0"/>
          <w:numId w:val="0"/>
        </w:numPr>
        <w:spacing w:after="240"/>
        <w:ind w:left="284"/>
        <w:rPr>
          <w:noProof/>
        </w:rPr>
      </w:pPr>
      <w:r>
        <w:rPr>
          <w:bCs/>
          <w:noProof/>
        </w:rPr>
        <w:t xml:space="preserve">Critical use cases, defined as the use cases whose disruption would affect operational autonomy or public order, correspond to use cases covered by level 2, 3 and 4, so 30%. </w:t>
      </w:r>
      <w:r>
        <w:rPr>
          <w:noProof/>
        </w:rPr>
        <w:t>The risk assessment would have to consider the reality of the supply market to avoid unrealistic outcomes, such as mandating the use of services that don’t exist (yet) in the market. The measure targets critical use cases, not individual public authorities, but it is likely that Member States would focus on the public sector entities of high criticality (as defined in NIS2 annex 1), which amount to 6 400 throughout the EU, an amount retained in this assessment where such data point is needed.</w:t>
      </w:r>
      <w:r w:rsidR="00E67707">
        <w:rPr>
          <w:noProof/>
        </w:rPr>
        <w:t xml:space="preserve"> </w:t>
      </w:r>
      <w:r w:rsidR="00C67489">
        <w:rPr>
          <w:noProof/>
        </w:rPr>
        <w:t xml:space="preserve">This figure </w:t>
      </w:r>
      <w:r w:rsidR="00F3350D">
        <w:rPr>
          <w:noProof/>
        </w:rPr>
        <w:t xml:space="preserve">results from </w:t>
      </w:r>
      <w:r w:rsidR="00656CF4">
        <w:rPr>
          <w:noProof/>
        </w:rPr>
        <w:t xml:space="preserve">the amount of NIS 2 </w:t>
      </w:r>
      <w:r w:rsidR="00F53CB4">
        <w:rPr>
          <w:noProof/>
        </w:rPr>
        <w:t>entities</w:t>
      </w:r>
      <w:r w:rsidR="008F67E1">
        <w:rPr>
          <w:noProof/>
        </w:rPr>
        <w:t xml:space="preserve"> in Europe (160 000</w:t>
      </w:r>
      <w:r w:rsidR="00EF7EC4">
        <w:rPr>
          <w:rStyle w:val="FootnoteReference"/>
          <w:noProof/>
        </w:rPr>
        <w:footnoteReference w:id="97"/>
      </w:r>
      <w:r w:rsidR="008F67E1">
        <w:rPr>
          <w:noProof/>
        </w:rPr>
        <w:t>)</w:t>
      </w:r>
      <w:r w:rsidR="00496ACB">
        <w:rPr>
          <w:noProof/>
        </w:rPr>
        <w:t xml:space="preserve">, from which 20% are </w:t>
      </w:r>
      <w:r w:rsidR="00910C47">
        <w:rPr>
          <w:noProof/>
        </w:rPr>
        <w:t>essential entities under Annex I</w:t>
      </w:r>
      <w:r w:rsidR="00704E6D">
        <w:rPr>
          <w:rStyle w:val="FootnoteReference"/>
          <w:noProof/>
        </w:rPr>
        <w:footnoteReference w:id="98"/>
      </w:r>
      <w:r w:rsidR="00803FAB">
        <w:rPr>
          <w:noProof/>
        </w:rPr>
        <w:t xml:space="preserve">, </w:t>
      </w:r>
      <w:r w:rsidR="00E5080F">
        <w:rPr>
          <w:noProof/>
        </w:rPr>
        <w:t xml:space="preserve">from which 20% are </w:t>
      </w:r>
      <w:r w:rsidR="00765F1D">
        <w:rPr>
          <w:noProof/>
        </w:rPr>
        <w:t>assumed to be public entities:</w:t>
      </w:r>
      <w:r w:rsidR="00704E6D">
        <w:rPr>
          <w:noProof/>
        </w:rPr>
        <w:t xml:space="preserve"> </w:t>
      </w:r>
      <w:r w:rsidR="00A46B3D">
        <w:rPr>
          <w:noProof/>
        </w:rPr>
        <w:t>160 000 * 20% * 20% = 6 400</w:t>
      </w:r>
      <w:r w:rsidR="005C16EE">
        <w:rPr>
          <w:noProof/>
        </w:rPr>
        <w:t xml:space="preserve"> </w:t>
      </w:r>
      <w:r w:rsidR="001424AE" w:rsidRPr="002964AC">
        <w:rPr>
          <w:noProof/>
        </w:rPr>
        <w:t>NIS2 Annex 1 public sector entities</w:t>
      </w:r>
      <w:r w:rsidR="001424AE">
        <w:rPr>
          <w:noProof/>
        </w:rPr>
        <w:t>.</w:t>
      </w:r>
      <w:r w:rsidR="00A46B3D">
        <w:rPr>
          <w:noProof/>
        </w:rPr>
        <w:t xml:space="preserve"> </w:t>
      </w:r>
    </w:p>
    <w:p w14:paraId="320E8440" w14:textId="2A087762" w:rsidR="002B503F" w:rsidRDefault="002B503F" w:rsidP="008F5449">
      <w:pPr>
        <w:pStyle w:val="ListBullet"/>
        <w:numPr>
          <w:ilvl w:val="0"/>
          <w:numId w:val="0"/>
        </w:numPr>
        <w:spacing w:after="0"/>
        <w:ind w:left="283"/>
        <w:rPr>
          <w:noProof/>
        </w:rPr>
      </w:pPr>
      <w:r>
        <w:rPr>
          <w:noProof/>
        </w:rPr>
        <w:t>To facilitate appropriate and coherent sovereignty risk assessments, the European Commission would develop guidelines for Member States to conduct such assessments and provide a sample risk assessment</w:t>
      </w:r>
      <w:r w:rsidR="732DB419">
        <w:rPr>
          <w:noProof/>
        </w:rPr>
        <w:t xml:space="preserve"> methodology</w:t>
      </w:r>
      <w:r w:rsidR="005E1B89">
        <w:rPr>
          <w:noProof/>
        </w:rPr>
        <w:t xml:space="preserve"> (note that these guidelines concern the conduct of risk assessments and differ from PM12</w:t>
      </w:r>
      <w:r w:rsidR="00C02DCC">
        <w:rPr>
          <w:noProof/>
        </w:rPr>
        <w:t>,</w:t>
      </w:r>
      <w:r w:rsidR="005E1B89">
        <w:rPr>
          <w:noProof/>
        </w:rPr>
        <w:t xml:space="preserve"> which </w:t>
      </w:r>
      <w:r w:rsidR="007F4E66">
        <w:rPr>
          <w:noProof/>
        </w:rPr>
        <w:t>consist in</w:t>
      </w:r>
      <w:r w:rsidR="005E1B89">
        <w:rPr>
          <w:noProof/>
        </w:rPr>
        <w:t xml:space="preserve"> </w:t>
      </w:r>
      <w:r w:rsidR="006B5C79">
        <w:rPr>
          <w:noProof/>
        </w:rPr>
        <w:t>explaining</w:t>
      </w:r>
      <w:r w:rsidR="003C2671">
        <w:rPr>
          <w:noProof/>
        </w:rPr>
        <w:t xml:space="preserve"> the </w:t>
      </w:r>
      <w:r w:rsidR="0084607F">
        <w:rPr>
          <w:noProof/>
        </w:rPr>
        <w:t xml:space="preserve">different </w:t>
      </w:r>
      <w:r w:rsidR="003C2671">
        <w:rPr>
          <w:noProof/>
        </w:rPr>
        <w:t>levels of sovereignty)</w:t>
      </w:r>
      <w:r>
        <w:rPr>
          <w:noProof/>
        </w:rPr>
        <w:t xml:space="preserve">. For Member States to have </w:t>
      </w:r>
      <w:r w:rsidR="45099139">
        <w:rPr>
          <w:noProof/>
        </w:rPr>
        <w:t>up-to-date</w:t>
      </w:r>
      <w:r>
        <w:rPr>
          <w:noProof/>
        </w:rPr>
        <w:t xml:space="preserve"> information about the market </w:t>
      </w:r>
      <w:r w:rsidR="7E427D3D">
        <w:rPr>
          <w:noProof/>
        </w:rPr>
        <w:t xml:space="preserve">conditions </w:t>
      </w:r>
      <w:r>
        <w:rPr>
          <w:noProof/>
        </w:rPr>
        <w:t xml:space="preserve">of cloud and AI sovereign solutions, the Commission would </w:t>
      </w:r>
      <w:r w:rsidR="00A96EB1">
        <w:rPr>
          <w:noProof/>
        </w:rPr>
        <w:t xml:space="preserve">also </w:t>
      </w:r>
      <w:r>
        <w:rPr>
          <w:noProof/>
        </w:rPr>
        <w:t>produce market monitoring reports that will point Member States to possible gaps in the coverage of some services</w:t>
      </w:r>
      <w:r w:rsidRPr="00000BEA">
        <w:rPr>
          <w:noProof/>
        </w:rPr>
        <w:t>.</w:t>
      </w:r>
    </w:p>
    <w:p w14:paraId="499EE6CE" w14:textId="77777777" w:rsidR="00241708" w:rsidRDefault="00241708" w:rsidP="008F5449">
      <w:pPr>
        <w:pStyle w:val="ListBullet"/>
        <w:numPr>
          <w:ilvl w:val="0"/>
          <w:numId w:val="0"/>
        </w:numPr>
        <w:spacing w:after="0"/>
        <w:ind w:left="283"/>
        <w:rPr>
          <w:noProof/>
        </w:rPr>
      </w:pPr>
    </w:p>
    <w:p w14:paraId="71F44E4F" w14:textId="64AA0F97" w:rsidR="002B503F" w:rsidRDefault="002B503F" w:rsidP="00316F50">
      <w:pPr>
        <w:pStyle w:val="ListBullet"/>
        <w:numPr>
          <w:ilvl w:val="0"/>
          <w:numId w:val="0"/>
        </w:numPr>
        <w:spacing w:after="0"/>
        <w:ind w:left="283"/>
        <w:rPr>
          <w:noProof/>
        </w:rPr>
      </w:pPr>
      <w:r>
        <w:rPr>
          <w:noProof/>
        </w:rPr>
        <w:t xml:space="preserve">The Member State would </w:t>
      </w:r>
      <w:r w:rsidR="00F075D4">
        <w:rPr>
          <w:noProof/>
        </w:rPr>
        <w:t xml:space="preserve">be </w:t>
      </w:r>
      <w:r w:rsidR="00F075D4" w:rsidRPr="00F075D4">
        <w:rPr>
          <w:b/>
          <w:bCs/>
          <w:noProof/>
          <w:u w:val="single"/>
        </w:rPr>
        <w:t>recommended</w:t>
      </w:r>
      <w:r w:rsidR="00F075D4">
        <w:rPr>
          <w:noProof/>
        </w:rPr>
        <w:t xml:space="preserve"> </w:t>
      </w:r>
      <w:r>
        <w:rPr>
          <w:noProof/>
        </w:rPr>
        <w:t xml:space="preserve">to reflect the outcome of the risk assessment in applicable public tenders, unless duly justified. </w:t>
      </w:r>
    </w:p>
    <w:p w14:paraId="3F764A5B" w14:textId="77777777" w:rsidR="00013EEA" w:rsidRDefault="00013EEA" w:rsidP="00316F50">
      <w:pPr>
        <w:pStyle w:val="ListBullet"/>
        <w:numPr>
          <w:ilvl w:val="0"/>
          <w:numId w:val="0"/>
        </w:numPr>
        <w:spacing w:after="0"/>
        <w:ind w:left="283"/>
        <w:rPr>
          <w:noProof/>
        </w:rPr>
      </w:pPr>
    </w:p>
    <w:p w14:paraId="45B6453F" w14:textId="5672FFD3" w:rsidR="003873F5" w:rsidRDefault="00AD6E9E" w:rsidP="003873F5">
      <w:pPr>
        <w:pStyle w:val="ListBullet"/>
        <w:numPr>
          <w:ilvl w:val="0"/>
          <w:numId w:val="0"/>
        </w:numPr>
        <w:spacing w:after="0"/>
        <w:ind w:left="283"/>
        <w:rPr>
          <w:rFonts w:eastAsia="Aptos"/>
          <w:noProof/>
          <w:lang w:val="en-US"/>
        </w:rPr>
      </w:pPr>
      <w:r>
        <w:rPr>
          <w:noProof/>
        </w:rPr>
        <w:t>While PM11</w:t>
      </w:r>
      <w:r w:rsidR="00383004">
        <w:rPr>
          <w:noProof/>
        </w:rPr>
        <w:t xml:space="preserve"> only put</w:t>
      </w:r>
      <w:r w:rsidR="0F736811">
        <w:rPr>
          <w:noProof/>
        </w:rPr>
        <w:t>s</w:t>
      </w:r>
      <w:r w:rsidR="00383004">
        <w:rPr>
          <w:noProof/>
        </w:rPr>
        <w:t xml:space="preserve"> forward </w:t>
      </w:r>
      <w:r w:rsidR="005273C5">
        <w:rPr>
          <w:noProof/>
        </w:rPr>
        <w:t xml:space="preserve">the definition of </w:t>
      </w:r>
      <w:r w:rsidR="003548C3">
        <w:rPr>
          <w:noProof/>
        </w:rPr>
        <w:t>sovereignty level</w:t>
      </w:r>
      <w:r w:rsidR="005273C5">
        <w:rPr>
          <w:noProof/>
        </w:rPr>
        <w:t xml:space="preserve">s, PM15 </w:t>
      </w:r>
      <w:r w:rsidR="00066235">
        <w:rPr>
          <w:noProof/>
        </w:rPr>
        <w:t>goes further by putting forward</w:t>
      </w:r>
      <w:r w:rsidR="005273C5">
        <w:rPr>
          <w:noProof/>
        </w:rPr>
        <w:t xml:space="preserve"> </w:t>
      </w:r>
      <w:r w:rsidR="00F01B44" w:rsidRPr="00F01B44">
        <w:rPr>
          <w:noProof/>
        </w:rPr>
        <w:t>a</w:t>
      </w:r>
      <w:r w:rsidR="00542C73">
        <w:rPr>
          <w:noProof/>
        </w:rPr>
        <w:t xml:space="preserve"> framework through which </w:t>
      </w:r>
      <w:r w:rsidR="00F01B44" w:rsidRPr="00F01B44">
        <w:rPr>
          <w:noProof/>
        </w:rPr>
        <w:t xml:space="preserve">the </w:t>
      </w:r>
      <w:r w:rsidR="00D253CC">
        <w:rPr>
          <w:noProof/>
        </w:rPr>
        <w:t>respective levels of sovereignty can be assessed</w:t>
      </w:r>
      <w:r w:rsidR="00F01B44" w:rsidRPr="00F01B44">
        <w:rPr>
          <w:noProof/>
        </w:rPr>
        <w:t xml:space="preserve">. </w:t>
      </w:r>
      <w:r w:rsidR="00E543C6">
        <w:rPr>
          <w:noProof/>
        </w:rPr>
        <w:t>Verifying compliance against sovereignty level 1 would be based on self-assessments conducted by the service provider.</w:t>
      </w:r>
      <w:r w:rsidR="00F01B44" w:rsidRPr="00F01B44">
        <w:rPr>
          <w:noProof/>
        </w:rPr>
        <w:t xml:space="preserve"> </w:t>
      </w:r>
      <w:r w:rsidR="00A60039" w:rsidRPr="00DA10C2">
        <w:rPr>
          <w:noProof/>
        </w:rPr>
        <w:t xml:space="preserve">Cloud computing service providers qualifying as SMEs </w:t>
      </w:r>
      <w:r w:rsidR="00A60039">
        <w:rPr>
          <w:noProof/>
        </w:rPr>
        <w:t>would</w:t>
      </w:r>
      <w:r w:rsidR="00A60039" w:rsidRPr="00DA10C2">
        <w:rPr>
          <w:noProof/>
        </w:rPr>
        <w:t xml:space="preserve"> not be required to undergo the </w:t>
      </w:r>
      <w:r w:rsidR="00A60039">
        <w:rPr>
          <w:noProof/>
        </w:rPr>
        <w:t>validation by the national competent authority.</w:t>
      </w:r>
      <w:r w:rsidR="00B0495C" w:rsidRPr="00D241A2">
        <w:rPr>
          <w:rFonts w:eastAsia="Aptos"/>
          <w:noProof/>
          <w:lang w:val="en-US"/>
        </w:rPr>
        <w:t>Verifying compliance of service against sovereignty level 2-3-4 would be done through third party’s auditors and verified by national competent authorities designated by Member States</w:t>
      </w:r>
      <w:r w:rsidR="006C4686">
        <w:rPr>
          <w:rFonts w:eastAsia="Aptos"/>
          <w:noProof/>
          <w:lang w:val="en-US"/>
        </w:rPr>
        <w:t>.</w:t>
      </w:r>
      <w:r w:rsidR="00B0495C" w:rsidRPr="00D241A2">
        <w:rPr>
          <w:rFonts w:eastAsia="Aptos"/>
          <w:noProof/>
          <w:lang w:val="en-US"/>
        </w:rPr>
        <w:t xml:space="preserve">. </w:t>
      </w:r>
      <w:r w:rsidR="003873F5" w:rsidRPr="00D241A2">
        <w:rPr>
          <w:rFonts w:eastAsia="Aptos"/>
          <w:noProof/>
          <w:lang w:val="en-US"/>
        </w:rPr>
        <w:t xml:space="preserve">The competent authorities will then verify the </w:t>
      </w:r>
      <w:r w:rsidR="00E543C6">
        <w:rPr>
          <w:rFonts w:eastAsia="Aptos"/>
          <w:noProof/>
          <w:lang w:val="en-US"/>
        </w:rPr>
        <w:t>audit</w:t>
      </w:r>
      <w:r w:rsidR="003873F5" w:rsidRPr="00D241A2">
        <w:rPr>
          <w:rFonts w:eastAsia="Aptos"/>
          <w:noProof/>
          <w:lang w:val="en-US"/>
        </w:rPr>
        <w:t xml:space="preserve"> report</w:t>
      </w:r>
      <w:r w:rsidR="00997173">
        <w:rPr>
          <w:rFonts w:eastAsia="Aptos"/>
          <w:noProof/>
          <w:lang w:val="en-US"/>
        </w:rPr>
        <w:t>, opinion and evidence</w:t>
      </w:r>
      <w:r w:rsidR="003873F5" w:rsidRPr="00D241A2">
        <w:rPr>
          <w:rFonts w:eastAsia="Aptos"/>
          <w:noProof/>
          <w:lang w:val="en-US"/>
        </w:rPr>
        <w:t xml:space="preserve"> and will provide the </w:t>
      </w:r>
      <w:r w:rsidR="00B54381">
        <w:rPr>
          <w:rFonts w:eastAsia="Aptos"/>
          <w:noProof/>
          <w:lang w:val="en-US"/>
        </w:rPr>
        <w:t>decision</w:t>
      </w:r>
      <w:r w:rsidR="00B54381" w:rsidRPr="00D241A2">
        <w:rPr>
          <w:rFonts w:eastAsia="Aptos"/>
          <w:noProof/>
          <w:lang w:val="en-US"/>
        </w:rPr>
        <w:t xml:space="preserve"> </w:t>
      </w:r>
      <w:r w:rsidR="003873F5" w:rsidRPr="00D241A2">
        <w:rPr>
          <w:rFonts w:eastAsia="Aptos"/>
          <w:noProof/>
          <w:lang w:val="en-US"/>
        </w:rPr>
        <w:t xml:space="preserve">that </w:t>
      </w:r>
      <w:r w:rsidR="00B54381">
        <w:rPr>
          <w:rFonts w:eastAsia="Aptos"/>
          <w:noProof/>
          <w:lang w:val="en-US"/>
        </w:rPr>
        <w:t>would</w:t>
      </w:r>
      <w:r w:rsidR="00B54381" w:rsidRPr="00D241A2">
        <w:rPr>
          <w:rFonts w:eastAsia="Aptos"/>
          <w:noProof/>
          <w:lang w:val="en-US"/>
        </w:rPr>
        <w:t xml:space="preserve"> </w:t>
      </w:r>
      <w:r w:rsidR="003873F5" w:rsidRPr="00D241A2">
        <w:rPr>
          <w:rFonts w:eastAsia="Aptos"/>
          <w:noProof/>
          <w:lang w:val="en-US"/>
        </w:rPr>
        <w:t xml:space="preserve">allow the service provider </w:t>
      </w:r>
      <w:r w:rsidR="004B756D">
        <w:rPr>
          <w:rFonts w:eastAsia="Aptos"/>
          <w:noProof/>
          <w:lang w:val="en-US"/>
        </w:rPr>
        <w:t xml:space="preserve">to </w:t>
      </w:r>
      <w:r w:rsidR="003873F5" w:rsidRPr="00D241A2">
        <w:rPr>
          <w:rFonts w:eastAsia="Aptos"/>
          <w:noProof/>
          <w:lang w:val="en-US"/>
        </w:rPr>
        <w:t>participate in procurement procedure</w:t>
      </w:r>
      <w:r w:rsidR="004B756D">
        <w:rPr>
          <w:rFonts w:eastAsia="Aptos"/>
          <w:noProof/>
          <w:lang w:val="en-US"/>
        </w:rPr>
        <w:t>s</w:t>
      </w:r>
      <w:r w:rsidR="003873F5" w:rsidRPr="00D241A2">
        <w:rPr>
          <w:rFonts w:eastAsia="Aptos"/>
          <w:noProof/>
          <w:lang w:val="en-US"/>
        </w:rPr>
        <w:t xml:space="preserve"> across the Union</w:t>
      </w:r>
      <w:r w:rsidR="004B756D">
        <w:rPr>
          <w:rFonts w:eastAsia="Aptos"/>
          <w:noProof/>
          <w:lang w:val="en-US"/>
        </w:rPr>
        <w:t xml:space="preserve"> that are limited to</w:t>
      </w:r>
      <w:r w:rsidR="003873F5" w:rsidRPr="00D241A2">
        <w:rPr>
          <w:rFonts w:eastAsia="Aptos"/>
          <w:noProof/>
          <w:lang w:val="en-US"/>
        </w:rPr>
        <w:t xml:space="preserve"> the </w:t>
      </w:r>
      <w:r w:rsidR="004B756D">
        <w:rPr>
          <w:rFonts w:eastAsia="Aptos"/>
          <w:noProof/>
          <w:lang w:val="en-US"/>
        </w:rPr>
        <w:t xml:space="preserve">respective </w:t>
      </w:r>
      <w:r w:rsidR="003873F5" w:rsidRPr="00D241A2">
        <w:rPr>
          <w:rFonts w:eastAsia="Aptos"/>
          <w:noProof/>
          <w:lang w:val="en-US"/>
        </w:rPr>
        <w:t>assurance level.</w:t>
      </w:r>
      <w:r w:rsidR="00BD29A0">
        <w:rPr>
          <w:rFonts w:eastAsia="Aptos"/>
          <w:noProof/>
          <w:lang w:val="en-US"/>
        </w:rPr>
        <w:t xml:space="preserve"> Other Member States shall be notified </w:t>
      </w:r>
      <w:r w:rsidR="00EA49A5">
        <w:rPr>
          <w:rFonts w:eastAsia="Aptos"/>
          <w:noProof/>
          <w:lang w:val="en-US"/>
        </w:rPr>
        <w:t>of the draft decision, to which they can object within 60 days. If continued objections occur, the Commission will adopt a binding decision.</w:t>
      </w:r>
    </w:p>
    <w:p w14:paraId="424ADD1F" w14:textId="77777777" w:rsidR="00013EEA" w:rsidRPr="00D241A2" w:rsidRDefault="00013EEA" w:rsidP="003873F5">
      <w:pPr>
        <w:pStyle w:val="ListBullet"/>
        <w:numPr>
          <w:ilvl w:val="0"/>
          <w:numId w:val="0"/>
        </w:numPr>
        <w:spacing w:after="0"/>
        <w:ind w:left="283"/>
        <w:rPr>
          <w:rFonts w:eastAsia="Aptos"/>
          <w:noProof/>
          <w:lang w:val="en-US"/>
        </w:rPr>
      </w:pPr>
    </w:p>
    <w:p w14:paraId="33F91113" w14:textId="4C98D164" w:rsidR="00251013" w:rsidRDefault="00251013" w:rsidP="00251013">
      <w:pPr>
        <w:pStyle w:val="ListBullet"/>
        <w:numPr>
          <w:ilvl w:val="0"/>
          <w:numId w:val="0"/>
        </w:numPr>
        <w:spacing w:after="0"/>
        <w:ind w:left="283"/>
        <w:rPr>
          <w:rFonts w:eastAsia="Aptos"/>
          <w:noProof/>
          <w:lang w:val="en-US"/>
        </w:rPr>
      </w:pPr>
      <w:r w:rsidRPr="00D241A2">
        <w:rPr>
          <w:rFonts w:eastAsia="Aptos"/>
          <w:noProof/>
          <w:lang w:val="en-US"/>
        </w:rPr>
        <w:t xml:space="preserve">The competent authorities </w:t>
      </w:r>
      <w:r w:rsidR="00D712A4">
        <w:rPr>
          <w:rFonts w:eastAsia="Aptos"/>
          <w:noProof/>
          <w:lang w:val="en-US"/>
        </w:rPr>
        <w:t>should</w:t>
      </w:r>
      <w:r w:rsidRPr="00D241A2">
        <w:rPr>
          <w:rFonts w:eastAsia="Aptos"/>
          <w:noProof/>
          <w:lang w:val="en-US"/>
        </w:rPr>
        <w:t xml:space="preserve"> </w:t>
      </w:r>
      <w:r w:rsidR="004B756D">
        <w:rPr>
          <w:rFonts w:eastAsia="Aptos"/>
          <w:noProof/>
          <w:lang w:val="en-US"/>
        </w:rPr>
        <w:t xml:space="preserve">also </w:t>
      </w:r>
      <w:r w:rsidR="00D712A4">
        <w:rPr>
          <w:rFonts w:eastAsia="Aptos"/>
          <w:noProof/>
          <w:lang w:val="en-US"/>
        </w:rPr>
        <w:t>register</w:t>
      </w:r>
      <w:r w:rsidRPr="00D241A2">
        <w:rPr>
          <w:rFonts w:eastAsia="Aptos"/>
          <w:noProof/>
          <w:lang w:val="en-US"/>
        </w:rPr>
        <w:t xml:space="preserve"> the </w:t>
      </w:r>
      <w:r w:rsidR="00D712A4">
        <w:rPr>
          <w:rFonts w:eastAsia="Aptos"/>
          <w:noProof/>
          <w:lang w:val="en-US"/>
        </w:rPr>
        <w:t>audit approval</w:t>
      </w:r>
      <w:r w:rsidRPr="00D241A2">
        <w:rPr>
          <w:rFonts w:eastAsia="Aptos"/>
          <w:noProof/>
          <w:lang w:val="en-US"/>
        </w:rPr>
        <w:t xml:space="preserve"> in </w:t>
      </w:r>
      <w:r w:rsidR="00D712A4">
        <w:rPr>
          <w:rFonts w:eastAsia="Aptos"/>
          <w:noProof/>
          <w:lang w:val="en-US"/>
        </w:rPr>
        <w:t>a</w:t>
      </w:r>
      <w:r w:rsidRPr="00D241A2">
        <w:rPr>
          <w:rFonts w:eastAsia="Aptos"/>
          <w:noProof/>
          <w:lang w:val="en-US"/>
        </w:rPr>
        <w:t xml:space="preserve"> Union repository</w:t>
      </w:r>
      <w:r w:rsidR="00F85636">
        <w:rPr>
          <w:rFonts w:eastAsia="Aptos"/>
          <w:noProof/>
          <w:lang w:val="en-US"/>
        </w:rPr>
        <w:t>, maintained by the Commission</w:t>
      </w:r>
      <w:r w:rsidR="00EA49A5">
        <w:rPr>
          <w:rFonts w:eastAsia="Aptos"/>
          <w:noProof/>
          <w:lang w:val="en-US"/>
        </w:rPr>
        <w:t>.</w:t>
      </w:r>
      <w:r w:rsidRPr="00D241A2">
        <w:rPr>
          <w:rFonts w:eastAsia="Aptos"/>
          <w:noProof/>
          <w:lang w:val="en-US"/>
        </w:rPr>
        <w:t xml:space="preserve"> The repository of sovereign cloud and AI computing services will be a public list of </w:t>
      </w:r>
      <w:r w:rsidR="00D712A4">
        <w:rPr>
          <w:rFonts w:eastAsia="Aptos"/>
          <w:noProof/>
          <w:lang w:val="en-US"/>
        </w:rPr>
        <w:t>audited</w:t>
      </w:r>
      <w:r w:rsidRPr="00D241A2">
        <w:rPr>
          <w:rFonts w:eastAsia="Aptos"/>
          <w:noProof/>
          <w:lang w:val="en-US"/>
        </w:rPr>
        <w:t xml:space="preserve"> sovereign cloud and AI computing services that </w:t>
      </w:r>
      <w:r w:rsidR="00D712A4">
        <w:rPr>
          <w:rFonts w:eastAsia="Aptos"/>
          <w:noProof/>
          <w:lang w:val="en-US"/>
        </w:rPr>
        <w:t>verifiably</w:t>
      </w:r>
      <w:r w:rsidRPr="00D241A2">
        <w:rPr>
          <w:rFonts w:eastAsia="Aptos"/>
          <w:noProof/>
          <w:lang w:val="en-US"/>
        </w:rPr>
        <w:t xml:space="preserve"> comply with the sovereignty requirements. The benefits are for providers and users alike</w:t>
      </w:r>
      <w:r w:rsidR="00F85636">
        <w:rPr>
          <w:rFonts w:eastAsia="Aptos"/>
          <w:noProof/>
          <w:lang w:val="en-US"/>
        </w:rPr>
        <w:t>:</w:t>
      </w:r>
      <w:r w:rsidRPr="00D241A2">
        <w:rPr>
          <w:rFonts w:eastAsia="Aptos"/>
          <w:noProof/>
          <w:lang w:val="en-US"/>
        </w:rPr>
        <w:t xml:space="preserve"> providers will enhance their visibility and users their </w:t>
      </w:r>
      <w:r w:rsidR="00F85636">
        <w:rPr>
          <w:rFonts w:eastAsia="Aptos"/>
          <w:noProof/>
          <w:lang w:val="en-US"/>
        </w:rPr>
        <w:t>market research.</w:t>
      </w:r>
    </w:p>
    <w:p w14:paraId="3DEBA27B" w14:textId="77777777" w:rsidR="00013EEA" w:rsidRPr="00D241A2" w:rsidRDefault="00013EEA" w:rsidP="00251013">
      <w:pPr>
        <w:pStyle w:val="ListBullet"/>
        <w:numPr>
          <w:ilvl w:val="0"/>
          <w:numId w:val="0"/>
        </w:numPr>
        <w:spacing w:after="0"/>
        <w:ind w:left="283"/>
        <w:rPr>
          <w:rFonts w:eastAsia="Aptos"/>
          <w:noProof/>
          <w:lang w:val="en-US"/>
        </w:rPr>
      </w:pPr>
    </w:p>
    <w:p w14:paraId="1300EB43" w14:textId="69E60944" w:rsidR="00F01B44" w:rsidRDefault="00F01B44" w:rsidP="00316F50">
      <w:pPr>
        <w:pStyle w:val="ListBullet"/>
        <w:numPr>
          <w:ilvl w:val="0"/>
          <w:numId w:val="0"/>
        </w:numPr>
        <w:spacing w:after="0"/>
        <w:ind w:left="283"/>
        <w:rPr>
          <w:noProof/>
        </w:rPr>
      </w:pPr>
      <w:r w:rsidRPr="00F01B44">
        <w:rPr>
          <w:noProof/>
        </w:rPr>
        <w:t>To cater for market evolutions, the</w:t>
      </w:r>
      <w:r w:rsidR="00F85636">
        <w:rPr>
          <w:noProof/>
        </w:rPr>
        <w:t xml:space="preserve"> sovereignty</w:t>
      </w:r>
      <w:r w:rsidRPr="00F01B44">
        <w:rPr>
          <w:noProof/>
        </w:rPr>
        <w:t xml:space="preserve"> criteria </w:t>
      </w:r>
      <w:r w:rsidR="00F85636">
        <w:rPr>
          <w:noProof/>
        </w:rPr>
        <w:t>of all levels</w:t>
      </w:r>
      <w:r w:rsidRPr="00F01B44">
        <w:rPr>
          <w:noProof/>
        </w:rPr>
        <w:t xml:space="preserve"> and evaluation methodology would be modifiable by comitology. This evaluation methodology would help third party auditors in their assessment of the service and ensure full harmonisation in the way different auditors conduct their assessment and for Member States to ensure that the procedures have been followed</w:t>
      </w:r>
      <w:r w:rsidR="009551E6">
        <w:rPr>
          <w:noProof/>
        </w:rPr>
        <w:t>.</w:t>
      </w:r>
    </w:p>
    <w:p w14:paraId="0B884ED7" w14:textId="77777777" w:rsidR="00013EEA" w:rsidRDefault="00013EEA" w:rsidP="00316F50">
      <w:pPr>
        <w:pStyle w:val="ListBullet"/>
        <w:numPr>
          <w:ilvl w:val="0"/>
          <w:numId w:val="0"/>
        </w:numPr>
        <w:spacing w:after="0"/>
        <w:ind w:left="283"/>
        <w:rPr>
          <w:noProof/>
        </w:rPr>
      </w:pPr>
    </w:p>
    <w:p w14:paraId="1EA03C22" w14:textId="63391715" w:rsidR="009551E6" w:rsidRDefault="009551E6" w:rsidP="009551E6">
      <w:pPr>
        <w:pStyle w:val="ListBullet"/>
        <w:numPr>
          <w:ilvl w:val="0"/>
          <w:numId w:val="0"/>
        </w:numPr>
        <w:spacing w:after="0"/>
        <w:ind w:left="283"/>
        <w:rPr>
          <w:rFonts w:eastAsia="Aptos"/>
          <w:noProof/>
          <w:lang w:val="en-US"/>
        </w:rPr>
      </w:pPr>
      <w:r w:rsidRPr="00D241A2">
        <w:rPr>
          <w:rFonts w:eastAsia="Aptos"/>
          <w:noProof/>
          <w:lang w:val="en-US"/>
        </w:rPr>
        <w:t xml:space="preserve">The outcome of the audit would be valid across the Union, with a recourse possibility for providers and Member States. </w:t>
      </w:r>
      <w:r w:rsidR="008069E4" w:rsidRPr="00D241A2">
        <w:rPr>
          <w:rFonts w:eastAsia="Aptos"/>
          <w:noProof/>
          <w:lang w:val="en-US"/>
        </w:rPr>
        <w:t xml:space="preserve">Other Member States and the European Commission shall also have the possibility to request clarifications about </w:t>
      </w:r>
      <w:r w:rsidR="00EC6ABF">
        <w:rPr>
          <w:rFonts w:eastAsia="Aptos"/>
          <w:noProof/>
          <w:lang w:val="en-US"/>
        </w:rPr>
        <w:t>certifications</w:t>
      </w:r>
      <w:r w:rsidR="008069E4" w:rsidRPr="00D241A2">
        <w:rPr>
          <w:rFonts w:eastAsia="Aptos"/>
          <w:noProof/>
          <w:lang w:val="en-US"/>
        </w:rPr>
        <w:t xml:space="preserve"> granted by other MS.</w:t>
      </w:r>
      <w:r w:rsidR="008069E4">
        <w:rPr>
          <w:rFonts w:eastAsia="Aptos"/>
          <w:noProof/>
          <w:lang w:val="en-US"/>
        </w:rPr>
        <w:t xml:space="preserve"> </w:t>
      </w:r>
      <w:r w:rsidRPr="00D241A2">
        <w:rPr>
          <w:rFonts w:eastAsia="Aptos"/>
          <w:noProof/>
          <w:lang w:val="en-US"/>
        </w:rPr>
        <w:t xml:space="preserve">The assessment would be renewable following the same evaluation methodology. </w:t>
      </w:r>
    </w:p>
    <w:p w14:paraId="73CEF073" w14:textId="77777777" w:rsidR="0000020C" w:rsidRPr="009551E6" w:rsidRDefault="0000020C" w:rsidP="009551E6">
      <w:pPr>
        <w:pStyle w:val="ListBullet"/>
        <w:numPr>
          <w:ilvl w:val="0"/>
          <w:numId w:val="0"/>
        </w:numPr>
        <w:spacing w:after="0"/>
        <w:ind w:left="283"/>
        <w:rPr>
          <w:rFonts w:eastAsia="Aptos"/>
          <w:noProof/>
          <w:lang w:val="en-US"/>
        </w:rPr>
      </w:pPr>
    </w:p>
    <w:p w14:paraId="55870353" w14:textId="2EBC516C" w:rsidR="00D241A2" w:rsidRPr="008069E4" w:rsidRDefault="0020073F" w:rsidP="00D241A2">
      <w:pPr>
        <w:pStyle w:val="ListBullet"/>
        <w:numPr>
          <w:ilvl w:val="0"/>
          <w:numId w:val="0"/>
        </w:numPr>
        <w:spacing w:after="0"/>
        <w:ind w:left="283"/>
        <w:rPr>
          <w:rFonts w:eastAsia="Aptos"/>
          <w:noProof/>
        </w:rPr>
      </w:pPr>
      <w:r>
        <w:rPr>
          <w:noProof/>
        </w:rPr>
        <w:t>T</w:t>
      </w:r>
      <w:r w:rsidR="002B503F">
        <w:rPr>
          <w:noProof/>
        </w:rPr>
        <w:t xml:space="preserve">his measure is primarily designed to contribute to the protection of public order by enhancing the resilience in the public sector, which is SO4. Nevertheless, European providers would </w:t>
      </w:r>
      <w:r w:rsidR="2D610F44">
        <w:rPr>
          <w:noProof/>
        </w:rPr>
        <w:t xml:space="preserve">face less costs and efforts to </w:t>
      </w:r>
      <w:r w:rsidR="25FDB193">
        <w:rPr>
          <w:noProof/>
        </w:rPr>
        <w:t>meet sovereignty conditions. W</w:t>
      </w:r>
      <w:r w:rsidR="002B503F">
        <w:rPr>
          <w:noProof/>
        </w:rPr>
        <w:t>hen it comes to meeting the criteria to demonstrate sovereignty level 1 and 2</w:t>
      </w:r>
      <w:r w:rsidR="6C96441F">
        <w:rPr>
          <w:noProof/>
        </w:rPr>
        <w:t xml:space="preserve">, </w:t>
      </w:r>
      <w:r w:rsidR="0E7741F9">
        <w:rPr>
          <w:noProof/>
        </w:rPr>
        <w:t>EU providers</w:t>
      </w:r>
      <w:r w:rsidR="002B503F">
        <w:rPr>
          <w:noProof/>
        </w:rPr>
        <w:t xml:space="preserve"> can more readily substantiate that they are not affected by third-country policies affecting data access or limiting service continuity. As well, level 3 and level 4 sovereignty can only be served by service providers owned and controlled </w:t>
      </w:r>
      <w:r w:rsidR="70ABB5F5">
        <w:rPr>
          <w:noProof/>
        </w:rPr>
        <w:t>by</w:t>
      </w:r>
      <w:r w:rsidR="002B503F">
        <w:rPr>
          <w:noProof/>
        </w:rPr>
        <w:t xml:space="preserve"> EU</w:t>
      </w:r>
      <w:r w:rsidR="69221863">
        <w:rPr>
          <w:noProof/>
        </w:rPr>
        <w:t xml:space="preserve"> entities</w:t>
      </w:r>
      <w:r w:rsidR="002B503F">
        <w:rPr>
          <w:noProof/>
        </w:rPr>
        <w:t>. This implies that PM</w:t>
      </w:r>
      <w:r>
        <w:rPr>
          <w:noProof/>
        </w:rPr>
        <w:t>15</w:t>
      </w:r>
      <w:r w:rsidR="002B503F">
        <w:rPr>
          <w:noProof/>
        </w:rPr>
        <w:t xml:space="preserve"> will also contribute to decreasing the overall reliance on non-European cloud and AI computing services, which is SO3.</w:t>
      </w:r>
    </w:p>
    <w:p w14:paraId="55319F18" w14:textId="39593970" w:rsidR="00B061B4" w:rsidRPr="00510D3E" w:rsidRDefault="00E61374" w:rsidP="008F5449">
      <w:pPr>
        <w:pStyle w:val="ListBullet"/>
        <w:spacing w:before="120" w:after="120"/>
        <w:ind w:left="284" w:hanging="284"/>
        <w:rPr>
          <w:noProof/>
        </w:rPr>
      </w:pPr>
      <w:r w:rsidRPr="108C5CA3">
        <w:rPr>
          <w:b/>
          <w:bCs/>
          <w:noProof/>
        </w:rPr>
        <w:t xml:space="preserve">Policy Measure 16 </w:t>
      </w:r>
      <w:r w:rsidRPr="108C5CA3">
        <w:rPr>
          <w:b/>
          <w:bCs/>
          <w:noProof/>
          <w:u w:val="single"/>
        </w:rPr>
        <w:t>(PM16)</w:t>
      </w:r>
      <w:r>
        <w:rPr>
          <w:noProof/>
        </w:rPr>
        <w:t xml:space="preserve">, </w:t>
      </w:r>
      <w:r w:rsidR="006C6AFC">
        <w:rPr>
          <w:noProof/>
        </w:rPr>
        <w:t xml:space="preserve">with a view to </w:t>
      </w:r>
      <w:r w:rsidR="00290A2F">
        <w:rPr>
          <w:noProof/>
        </w:rPr>
        <w:t xml:space="preserve">support the EU added value </w:t>
      </w:r>
      <w:r w:rsidR="004B29E4">
        <w:rPr>
          <w:noProof/>
        </w:rPr>
        <w:t>provided by</w:t>
      </w:r>
      <w:r w:rsidR="00290A2F">
        <w:rPr>
          <w:noProof/>
        </w:rPr>
        <w:t xml:space="preserve"> public procurement of cloud and AI computing services</w:t>
      </w:r>
      <w:r w:rsidR="00F56E09">
        <w:rPr>
          <w:noProof/>
        </w:rPr>
        <w:t>, this measure</w:t>
      </w:r>
      <w:r w:rsidR="00C5135C">
        <w:rPr>
          <w:noProof/>
        </w:rPr>
        <w:t xml:space="preserve"> </w:t>
      </w:r>
      <w:r w:rsidR="000C0409">
        <w:rPr>
          <w:noProof/>
        </w:rPr>
        <w:t xml:space="preserve">establishes a set of </w:t>
      </w:r>
      <w:r w:rsidR="0036058F" w:rsidRPr="00911750">
        <w:rPr>
          <w:b/>
          <w:noProof/>
        </w:rPr>
        <w:t>voluntary</w:t>
      </w:r>
      <w:r w:rsidR="00C5135C">
        <w:rPr>
          <w:noProof/>
        </w:rPr>
        <w:t xml:space="preserve"> </w:t>
      </w:r>
      <w:r w:rsidR="00947238">
        <w:rPr>
          <w:noProof/>
        </w:rPr>
        <w:t>non-price</w:t>
      </w:r>
      <w:r w:rsidR="007E68FD">
        <w:rPr>
          <w:noProof/>
        </w:rPr>
        <w:t xml:space="preserve"> award criteria</w:t>
      </w:r>
      <w:r w:rsidR="002B6E0C">
        <w:rPr>
          <w:noProof/>
        </w:rPr>
        <w:t xml:space="preserve"> for </w:t>
      </w:r>
      <w:r w:rsidR="003E5D88">
        <w:rPr>
          <w:noProof/>
        </w:rPr>
        <w:t xml:space="preserve">the </w:t>
      </w:r>
      <w:r w:rsidR="000D302A">
        <w:rPr>
          <w:noProof/>
        </w:rPr>
        <w:t xml:space="preserve">public </w:t>
      </w:r>
      <w:r w:rsidR="003E5D88">
        <w:rPr>
          <w:noProof/>
        </w:rPr>
        <w:t xml:space="preserve">procurement of cloud and AI </w:t>
      </w:r>
      <w:r w:rsidR="00CA163F">
        <w:rPr>
          <w:noProof/>
        </w:rPr>
        <w:t xml:space="preserve">computing </w:t>
      </w:r>
      <w:r w:rsidR="00924AFA">
        <w:rPr>
          <w:noProof/>
        </w:rPr>
        <w:t>services</w:t>
      </w:r>
      <w:r w:rsidR="00595F45">
        <w:rPr>
          <w:noProof/>
        </w:rPr>
        <w:t>. Th</w:t>
      </w:r>
      <w:r w:rsidR="000339AB">
        <w:rPr>
          <w:noProof/>
        </w:rPr>
        <w:t>e</w:t>
      </w:r>
      <w:r w:rsidR="00595F45">
        <w:rPr>
          <w:noProof/>
        </w:rPr>
        <w:t xml:space="preserve"> criteria </w:t>
      </w:r>
      <w:r w:rsidR="008A799D">
        <w:rPr>
          <w:noProof/>
        </w:rPr>
        <w:t>should be of ancillary and non-decisive value in view of the overall tender</w:t>
      </w:r>
      <w:r w:rsidR="00595F45">
        <w:rPr>
          <w:noProof/>
        </w:rPr>
        <w:t xml:space="preserve"> </w:t>
      </w:r>
      <w:r w:rsidR="00DF3CD5">
        <w:rPr>
          <w:noProof/>
        </w:rPr>
        <w:t xml:space="preserve">and </w:t>
      </w:r>
      <w:r w:rsidR="00595F45">
        <w:rPr>
          <w:noProof/>
        </w:rPr>
        <w:t>are to be included, voluntarily, by contracting authorities</w:t>
      </w:r>
      <w:r w:rsidR="001B4CFC">
        <w:rPr>
          <w:noProof/>
        </w:rPr>
        <w:t xml:space="preserve"> in the procurement of cloud and AI computing services</w:t>
      </w:r>
      <w:r w:rsidR="00AC5BA2">
        <w:rPr>
          <w:noProof/>
        </w:rPr>
        <w:t xml:space="preserve"> </w:t>
      </w:r>
      <w:r w:rsidR="00AC5BA2">
        <w:rPr>
          <w:noProof/>
          <w:lang w:val="en-IE" w:eastAsia="ja-JP"/>
        </w:rPr>
        <w:t>that are not off the shelf, standardised or commercially available services</w:t>
      </w:r>
      <w:r w:rsidR="001B4CFC">
        <w:rPr>
          <w:noProof/>
        </w:rPr>
        <w:t xml:space="preserve">. </w:t>
      </w:r>
      <w:r w:rsidR="001B4CFC" w:rsidRPr="00510D3E">
        <w:rPr>
          <w:noProof/>
        </w:rPr>
        <w:t>These criteria will earn</w:t>
      </w:r>
      <w:r w:rsidR="005A7795" w:rsidRPr="00510D3E">
        <w:rPr>
          <w:noProof/>
        </w:rPr>
        <w:t xml:space="preserve"> additional points to tenderers that demonstrate</w:t>
      </w:r>
      <w:r w:rsidR="00AB2E0A" w:rsidRPr="00510D3E">
        <w:rPr>
          <w:noProof/>
        </w:rPr>
        <w:t>:</w:t>
      </w:r>
      <w:r w:rsidR="001B4CFC" w:rsidRPr="00510D3E">
        <w:rPr>
          <w:noProof/>
        </w:rPr>
        <w:t xml:space="preserve"> </w:t>
      </w:r>
    </w:p>
    <w:p w14:paraId="70E1A653" w14:textId="26DFF477" w:rsidR="00DE099F" w:rsidRDefault="002767F3" w:rsidP="008F5449">
      <w:pPr>
        <w:pStyle w:val="ListBullet"/>
        <w:numPr>
          <w:ilvl w:val="0"/>
          <w:numId w:val="44"/>
        </w:numPr>
        <w:tabs>
          <w:tab w:val="left" w:pos="567"/>
        </w:tabs>
        <w:spacing w:after="0"/>
        <w:ind w:left="1077" w:hanging="357"/>
        <w:rPr>
          <w:noProof/>
        </w:rPr>
      </w:pPr>
      <w:r>
        <w:rPr>
          <w:noProof/>
          <w:lang w:val="en-IE" w:eastAsia="ja-JP"/>
        </w:rPr>
        <w:t xml:space="preserve">That the </w:t>
      </w:r>
      <w:r w:rsidR="00DE099F" w:rsidRPr="00C86B47">
        <w:rPr>
          <w:noProof/>
          <w:lang w:val="en-IE" w:eastAsia="ja-JP"/>
        </w:rPr>
        <w:t>tenderer contributes to reinforcing the digital technology supply chain in the Union, including the use of software or hardware designed or manufactured in the Union</w:t>
      </w:r>
      <w:r w:rsidR="00DE099F" w:rsidRPr="00510D3E" w:rsidDel="00DE099F">
        <w:rPr>
          <w:noProof/>
        </w:rPr>
        <w:t xml:space="preserve"> </w:t>
      </w:r>
    </w:p>
    <w:p w14:paraId="7275B0DD" w14:textId="46BA770A" w:rsidR="00A1059F" w:rsidRPr="00510D3E" w:rsidRDefault="002767F3" w:rsidP="008F5449">
      <w:pPr>
        <w:pStyle w:val="ListBullet"/>
        <w:numPr>
          <w:ilvl w:val="0"/>
          <w:numId w:val="44"/>
        </w:numPr>
        <w:tabs>
          <w:tab w:val="left" w:pos="567"/>
        </w:tabs>
        <w:spacing w:after="0"/>
        <w:ind w:left="1077" w:hanging="357"/>
        <w:rPr>
          <w:noProof/>
        </w:rPr>
      </w:pPr>
      <w:r>
        <w:rPr>
          <w:noProof/>
          <w:lang w:val="en-IE" w:eastAsia="ja-JP"/>
        </w:rPr>
        <w:t xml:space="preserve">That the </w:t>
      </w:r>
      <w:r w:rsidRPr="00C86B47">
        <w:rPr>
          <w:noProof/>
          <w:lang w:val="en-IE" w:eastAsia="ja-JP"/>
        </w:rPr>
        <w:t>tenderer has integrated Union technologies, including the uptake of research and development results stemming from EU-funded research and development programs</w:t>
      </w:r>
      <w:r w:rsidR="00181235">
        <w:rPr>
          <w:noProof/>
        </w:rPr>
        <w:t>;</w:t>
      </w:r>
    </w:p>
    <w:p w14:paraId="4DE38506" w14:textId="196AEBCB" w:rsidR="00F64FD2" w:rsidRPr="00510D3E" w:rsidRDefault="00F64FD2" w:rsidP="008F5449">
      <w:pPr>
        <w:pStyle w:val="ListBullet"/>
        <w:numPr>
          <w:ilvl w:val="0"/>
          <w:numId w:val="44"/>
        </w:numPr>
        <w:tabs>
          <w:tab w:val="left" w:pos="567"/>
        </w:tabs>
        <w:spacing w:after="0"/>
        <w:ind w:left="1077" w:hanging="357"/>
        <w:rPr>
          <w:noProof/>
        </w:rPr>
      </w:pPr>
      <w:r>
        <w:rPr>
          <w:noProof/>
          <w:lang w:val="en-IE" w:eastAsia="ja-JP"/>
        </w:rPr>
        <w:t xml:space="preserve">That the </w:t>
      </w:r>
      <w:r w:rsidRPr="00C86B47">
        <w:rPr>
          <w:noProof/>
          <w:lang w:val="en-IE" w:eastAsia="ja-JP"/>
        </w:rPr>
        <w:t xml:space="preserve">innovation required to deliver the service </w:t>
      </w:r>
      <w:r>
        <w:rPr>
          <w:noProof/>
          <w:lang w:val="en-IE" w:eastAsia="ja-JP"/>
        </w:rPr>
        <w:t xml:space="preserve">being procured </w:t>
      </w:r>
      <w:r w:rsidRPr="00C86B47">
        <w:rPr>
          <w:noProof/>
          <w:lang w:val="en-IE" w:eastAsia="ja-JP"/>
        </w:rPr>
        <w:t>is conducted in the Union or in a third country that contributes to the development of a European cloud and AI ecosystem</w:t>
      </w:r>
      <w:r>
        <w:rPr>
          <w:noProof/>
          <w:lang w:val="en-IE" w:eastAsia="ja-JP"/>
        </w:rPr>
        <w:t>;</w:t>
      </w:r>
    </w:p>
    <w:p w14:paraId="41C49F9A" w14:textId="203771EC" w:rsidR="00342D2F" w:rsidRPr="00911750" w:rsidRDefault="00CE13D2" w:rsidP="008F5449">
      <w:pPr>
        <w:pStyle w:val="ListBullet"/>
        <w:numPr>
          <w:ilvl w:val="0"/>
          <w:numId w:val="44"/>
        </w:numPr>
        <w:tabs>
          <w:tab w:val="left" w:pos="567"/>
        </w:tabs>
        <w:spacing w:after="0"/>
        <w:ind w:left="1077" w:hanging="357"/>
        <w:rPr>
          <w:noProof/>
        </w:rPr>
      </w:pPr>
      <w:r>
        <w:rPr>
          <w:noProof/>
          <w:lang w:val="en-IE" w:eastAsia="ja-JP"/>
        </w:rPr>
        <w:t xml:space="preserve">That </w:t>
      </w:r>
      <w:r w:rsidRPr="00C86B47">
        <w:rPr>
          <w:noProof/>
          <w:lang w:val="en-IE" w:eastAsia="ja-JP"/>
        </w:rPr>
        <w:t>the service is delivered, to the greatest extent feasible with regard to market availability or technical requirements, through critical [computing, storage and networking] hardware components designed in the Union or manufactured in the Union, or both, or, where this is not feasible, through hardware components from a country or countries that contribute to strengthening security of supply and developing a European cloud and AI ecosystem</w:t>
      </w:r>
      <w:r w:rsidR="00B474E1" w:rsidRPr="00911750">
        <w:rPr>
          <w:noProof/>
        </w:rPr>
        <w:t xml:space="preserve">; </w:t>
      </w:r>
    </w:p>
    <w:p w14:paraId="5FE39805" w14:textId="175EEBAD" w:rsidR="00E61374" w:rsidRPr="00D37004" w:rsidRDefault="00E61374" w:rsidP="008F5449">
      <w:pPr>
        <w:pStyle w:val="ListBullet"/>
        <w:spacing w:before="120" w:after="120"/>
        <w:rPr>
          <w:noProof/>
        </w:rPr>
      </w:pPr>
      <w:r w:rsidRPr="00D37004">
        <w:rPr>
          <w:b/>
          <w:noProof/>
        </w:rPr>
        <w:t xml:space="preserve">Policy Measure 17 </w:t>
      </w:r>
      <w:r w:rsidRPr="00D37004">
        <w:rPr>
          <w:b/>
          <w:noProof/>
          <w:u w:val="single"/>
        </w:rPr>
        <w:t>(PM17)</w:t>
      </w:r>
      <w:r w:rsidRPr="00D37004">
        <w:rPr>
          <w:noProof/>
        </w:rPr>
        <w:t xml:space="preserve"> establishes a </w:t>
      </w:r>
      <w:r>
        <w:rPr>
          <w:noProof/>
        </w:rPr>
        <w:t xml:space="preserve">voluntary </w:t>
      </w:r>
      <w:r w:rsidRPr="00D37004">
        <w:rPr>
          <w:noProof/>
        </w:rPr>
        <w:t xml:space="preserve">public sector cloud federation of </w:t>
      </w:r>
      <w:r>
        <w:rPr>
          <w:noProof/>
        </w:rPr>
        <w:t>EU</w:t>
      </w:r>
      <w:r w:rsidRPr="00D37004">
        <w:rPr>
          <w:noProof/>
        </w:rPr>
        <w:t xml:space="preserve"> institutions, bodies and agencies, Member States and other public sector bodies. Members of the federation would be allowed to share the </w:t>
      </w:r>
      <w:r w:rsidR="00217F2B">
        <w:rPr>
          <w:noProof/>
        </w:rPr>
        <w:t>DC</w:t>
      </w:r>
      <w:r w:rsidRPr="00D37004">
        <w:rPr>
          <w:noProof/>
        </w:rPr>
        <w:t xml:space="preserve"> services, cloud and AI </w:t>
      </w:r>
      <w:r>
        <w:rPr>
          <w:noProof/>
        </w:rPr>
        <w:t>computing</w:t>
      </w:r>
      <w:r w:rsidRPr="00D37004">
        <w:rPr>
          <w:noProof/>
        </w:rPr>
        <w:t xml:space="preserve"> services </w:t>
      </w:r>
      <w:r>
        <w:rPr>
          <w:noProof/>
        </w:rPr>
        <w:t xml:space="preserve">which </w:t>
      </w:r>
      <w:r w:rsidRPr="00D37004">
        <w:rPr>
          <w:noProof/>
        </w:rPr>
        <w:t>they own and control.</w:t>
      </w:r>
      <w:r w:rsidRPr="00D37004" w:rsidDel="00FC6CF1">
        <w:rPr>
          <w:noProof/>
        </w:rPr>
        <w:t xml:space="preserve"> This measure requires the </w:t>
      </w:r>
      <w:r w:rsidRPr="00D37004">
        <w:rPr>
          <w:noProof/>
        </w:rPr>
        <w:t xml:space="preserve">Commission to create a platform providing a brokering service. The Commission and the Member States would adopt the required </w:t>
      </w:r>
      <w:r w:rsidR="005710BF">
        <w:rPr>
          <w:noProof/>
        </w:rPr>
        <w:t>non-functional</w:t>
      </w:r>
      <w:r w:rsidRPr="00D37004">
        <w:rPr>
          <w:noProof/>
        </w:rPr>
        <w:t xml:space="preserve"> service level agreements </w:t>
      </w:r>
      <w:r w:rsidR="005710BF">
        <w:rPr>
          <w:noProof/>
        </w:rPr>
        <w:t>(e.g. uptime)</w:t>
      </w:r>
      <w:r w:rsidRPr="00D37004">
        <w:rPr>
          <w:noProof/>
        </w:rPr>
        <w:t xml:space="preserve"> and the harmonised technical specifications.</w:t>
      </w:r>
    </w:p>
    <w:p w14:paraId="7E19B0B2" w14:textId="05E3B2F8" w:rsidR="00E61374" w:rsidRPr="00D37004" w:rsidRDefault="00E61374" w:rsidP="008F5449">
      <w:pPr>
        <w:pStyle w:val="ListBullet"/>
        <w:spacing w:before="120" w:after="120"/>
        <w:rPr>
          <w:noProof/>
        </w:rPr>
      </w:pPr>
      <w:r w:rsidRPr="00D37004">
        <w:rPr>
          <w:b/>
          <w:noProof/>
        </w:rPr>
        <w:t xml:space="preserve">Policy Measure 18 </w:t>
      </w:r>
      <w:r w:rsidRPr="00D37004">
        <w:rPr>
          <w:b/>
          <w:noProof/>
          <w:u w:val="single"/>
        </w:rPr>
        <w:t>(PM18)</w:t>
      </w:r>
      <w:r w:rsidRPr="00D37004">
        <w:rPr>
          <w:noProof/>
        </w:rPr>
        <w:t xml:space="preserve"> creates a vendor-neutral cloud and AI training programme to upskill workers in the single market, particularly addressing the interconnection between these </w:t>
      </w:r>
      <w:r>
        <w:rPr>
          <w:noProof/>
        </w:rPr>
        <w:t>services and their underlying technologies</w:t>
      </w:r>
      <w:r w:rsidRPr="00D37004">
        <w:rPr>
          <w:noProof/>
        </w:rPr>
        <w:t>. This implies developing curricula and certification mechanism and funding the institutions delivering the training. The initiative would be declarative, without financial commitments.</w:t>
      </w:r>
    </w:p>
    <w:p w14:paraId="336E00FF" w14:textId="1682BEED" w:rsidR="00876166" w:rsidRPr="00D37004" w:rsidRDefault="00E61374" w:rsidP="008F5449">
      <w:pPr>
        <w:spacing w:before="120" w:after="120"/>
        <w:rPr>
          <w:noProof/>
        </w:rPr>
      </w:pPr>
      <w:r w:rsidRPr="00D37004">
        <w:rPr>
          <w:noProof/>
        </w:rPr>
        <w:t xml:space="preserve">Among public authorities that replied to the public consultations, 77% support mechanisms to allow the federation of cloud </w:t>
      </w:r>
      <w:r>
        <w:rPr>
          <w:noProof/>
        </w:rPr>
        <w:t xml:space="preserve">and AI computing </w:t>
      </w:r>
      <w:r w:rsidRPr="00D37004">
        <w:rPr>
          <w:noProof/>
        </w:rPr>
        <w:t>services between public administrations within and across Member States. In terms of EU-level action, 53% of total respondents support the inclusion of a criterion ensuring sovereignty, autonomy, resilience and availability to help public administrations in their procurement process. This measure was supported by 77% of public authorities.</w:t>
      </w:r>
      <w:r w:rsidRPr="00D37004" w:rsidDel="006A6AF8">
        <w:rPr>
          <w:noProof/>
        </w:rPr>
        <w:t xml:space="preserve"> </w:t>
      </w:r>
      <w:r w:rsidRPr="00D37004">
        <w:rPr>
          <w:noProof/>
        </w:rPr>
        <w:t xml:space="preserve">85% were in favour of guidelines with standard criteria for procuring cloud </w:t>
      </w:r>
      <w:r>
        <w:rPr>
          <w:noProof/>
        </w:rPr>
        <w:t xml:space="preserve">and AI computing </w:t>
      </w:r>
      <w:r w:rsidRPr="00D37004">
        <w:rPr>
          <w:noProof/>
        </w:rPr>
        <w:t xml:space="preserve">services. Several </w:t>
      </w:r>
      <w:r w:rsidRPr="00E30C28">
        <w:rPr>
          <w:noProof/>
        </w:rPr>
        <w:t>respondents</w:t>
      </w:r>
      <w:r w:rsidRPr="7EADE243">
        <w:rPr>
          <w:i/>
          <w:noProof/>
        </w:rPr>
        <w:t xml:space="preserve"> </w:t>
      </w:r>
      <w:r w:rsidRPr="00D37004">
        <w:rPr>
          <w:noProof/>
        </w:rPr>
        <w:t>expressed support for skills training programs in both the public and private sectors.</w:t>
      </w:r>
    </w:p>
    <w:p w14:paraId="2F92F33E" w14:textId="77777777" w:rsidR="00E61374" w:rsidRPr="004C3E0E" w:rsidRDefault="00E61374" w:rsidP="004C3E0E">
      <w:pPr>
        <w:spacing w:before="120"/>
        <w:rPr>
          <w:b/>
          <w:bCs/>
          <w:noProof/>
          <w:u w:val="single"/>
        </w:rPr>
      </w:pPr>
      <w:r w:rsidRPr="004C3E0E">
        <w:rPr>
          <w:b/>
          <w:bCs/>
          <w:noProof/>
          <w:u w:val="single"/>
        </w:rPr>
        <w:t>Policy Option PO2-C: EU-coordinated procurement and support framework for sovereign cloud and AI computing services</w:t>
      </w:r>
    </w:p>
    <w:p w14:paraId="338A56FC" w14:textId="2AB4A4DF" w:rsidR="00E61374" w:rsidRPr="00D37004" w:rsidRDefault="00E61374" w:rsidP="00E61374">
      <w:pPr>
        <w:rPr>
          <w:noProof/>
        </w:rPr>
      </w:pPr>
      <w:r w:rsidRPr="00D37004">
        <w:rPr>
          <w:noProof/>
        </w:rPr>
        <w:t>This option leverages</w:t>
      </w:r>
      <w:r>
        <w:rPr>
          <w:noProof/>
        </w:rPr>
        <w:t xml:space="preserve"> </w:t>
      </w:r>
      <w:r w:rsidRPr="00D37004">
        <w:rPr>
          <w:noProof/>
        </w:rPr>
        <w:t>PO2-B</w:t>
      </w:r>
      <w:r>
        <w:rPr>
          <w:noProof/>
        </w:rPr>
        <w:t xml:space="preserve"> (and by extension one element from PO2-A, see </w:t>
      </w:r>
      <w:r w:rsidR="00717A96">
        <w:rPr>
          <w:noProof/>
        </w:rPr>
        <w:fldChar w:fldCharType="begin"/>
      </w:r>
      <w:r w:rsidR="00717A96">
        <w:rPr>
          <w:noProof/>
        </w:rPr>
        <w:instrText xml:space="preserve"> REF _Ref230792947 \h </w:instrText>
      </w:r>
      <w:r w:rsidR="00717A96">
        <w:rPr>
          <w:noProof/>
        </w:rPr>
      </w:r>
      <w:r w:rsidR="00717A96">
        <w:rPr>
          <w:noProof/>
        </w:rPr>
        <w:fldChar w:fldCharType="separate"/>
      </w:r>
      <w:r w:rsidR="00137E65" w:rsidRPr="00434A0B">
        <w:rPr>
          <w:noProof/>
        </w:rPr>
        <w:t xml:space="preserve">Figure </w:t>
      </w:r>
      <w:r w:rsidR="00137E65">
        <w:rPr>
          <w:noProof/>
        </w:rPr>
        <w:t>9</w:t>
      </w:r>
      <w:r w:rsidR="00717A96">
        <w:rPr>
          <w:noProof/>
        </w:rPr>
        <w:fldChar w:fldCharType="end"/>
      </w:r>
      <w:r>
        <w:rPr>
          <w:noProof/>
        </w:rPr>
        <w:t>)</w:t>
      </w:r>
      <w:r w:rsidRPr="00D37004">
        <w:rPr>
          <w:noProof/>
        </w:rPr>
        <w:t xml:space="preserve"> to foster the uptake of cloud and AI </w:t>
      </w:r>
      <w:r>
        <w:rPr>
          <w:noProof/>
        </w:rPr>
        <w:t>computing</w:t>
      </w:r>
      <w:r w:rsidRPr="00D37004">
        <w:rPr>
          <w:noProof/>
        </w:rPr>
        <w:t xml:space="preserve"> services in the public and private sector, with a higher level of EU intervention </w:t>
      </w:r>
      <w:r>
        <w:rPr>
          <w:noProof/>
        </w:rPr>
        <w:t xml:space="preserve">and mandatory requirements for </w:t>
      </w:r>
      <w:r w:rsidRPr="00D37004">
        <w:rPr>
          <w:noProof/>
        </w:rPr>
        <w:t>the public sector.</w:t>
      </w:r>
    </w:p>
    <w:p w14:paraId="7E711DC4" w14:textId="0F8F62D5" w:rsidR="00E47493" w:rsidRPr="00DA629C" w:rsidRDefault="00E47493" w:rsidP="00E47493">
      <w:pPr>
        <w:pStyle w:val="ListBullet"/>
        <w:spacing w:before="120" w:after="120"/>
        <w:rPr>
          <w:noProof/>
        </w:rPr>
      </w:pPr>
      <w:r w:rsidRPr="00950406">
        <w:rPr>
          <w:b/>
          <w:noProof/>
        </w:rPr>
        <w:t xml:space="preserve">Policy Measure </w:t>
      </w:r>
      <w:r>
        <w:rPr>
          <w:b/>
          <w:noProof/>
        </w:rPr>
        <w:t>19</w:t>
      </w:r>
      <w:r w:rsidRPr="00950406">
        <w:rPr>
          <w:b/>
          <w:noProof/>
        </w:rPr>
        <w:t xml:space="preserve"> (</w:t>
      </w:r>
      <w:r w:rsidRPr="003E6F96">
        <w:rPr>
          <w:b/>
          <w:noProof/>
          <w:u w:val="single"/>
        </w:rPr>
        <w:t>PM</w:t>
      </w:r>
      <w:r>
        <w:rPr>
          <w:b/>
          <w:noProof/>
          <w:u w:val="single"/>
        </w:rPr>
        <w:t>19</w:t>
      </w:r>
      <w:r w:rsidRPr="00950406">
        <w:rPr>
          <w:b/>
          <w:noProof/>
        </w:rPr>
        <w:t>)</w:t>
      </w:r>
      <w:r w:rsidRPr="00612226">
        <w:rPr>
          <w:b/>
          <w:noProof/>
        </w:rPr>
        <w:t xml:space="preserve">: </w:t>
      </w:r>
      <w:r>
        <w:rPr>
          <w:b/>
          <w:noProof/>
        </w:rPr>
        <w:t>First</w:t>
      </w:r>
      <w:r w:rsidRPr="00612226">
        <w:rPr>
          <w:b/>
          <w:noProof/>
        </w:rPr>
        <w:t xml:space="preserve">, </w:t>
      </w:r>
      <w:r w:rsidRPr="006360BC">
        <w:rPr>
          <w:bCs/>
          <w:noProof/>
        </w:rPr>
        <w:t>with a view to reducing critical dependencies, this measure makes</w:t>
      </w:r>
      <w:r>
        <w:rPr>
          <w:noProof/>
        </w:rPr>
        <w:t xml:space="preserve"> the use of the non-price award criteria under PM16 mandatory. When procuring cloud and AI computing services for which the EU has been assessed as dependent, contracting authorities would be obliged to apply the award criteria established under PM16.</w:t>
      </w:r>
    </w:p>
    <w:p w14:paraId="15D09858" w14:textId="5A321EF4" w:rsidR="00E47493" w:rsidRPr="00E47493" w:rsidRDefault="00E47493" w:rsidP="00E47493">
      <w:pPr>
        <w:pStyle w:val="ListBullet"/>
        <w:numPr>
          <w:ilvl w:val="0"/>
          <w:numId w:val="0"/>
        </w:numPr>
        <w:spacing w:before="120" w:after="120"/>
        <w:ind w:left="283"/>
        <w:rPr>
          <w:noProof/>
        </w:rPr>
      </w:pPr>
      <w:r w:rsidRPr="009E161E">
        <w:rPr>
          <w:b/>
          <w:noProof/>
        </w:rPr>
        <w:t>Second</w:t>
      </w:r>
      <w:r>
        <w:rPr>
          <w:noProof/>
        </w:rPr>
        <w:t xml:space="preserve">, Member States would have to draft an action plan to explain how they intend to use public procurement, notably through pre-commercial procurement and procurement of innovation instruments, to increase the uptake of highly innovative cloud and AI computing services from small-cap companies, notably start-ups and scale-ups. </w:t>
      </w:r>
      <w:r w:rsidRPr="009E161E">
        <w:rPr>
          <w:noProof/>
          <w:lang w:val="en-IE"/>
        </w:rPr>
        <w:t>As a follow-up, the uptake of such services, would be monitored through a centralised, Commission-led monitoring exercise. This would avoid the need for separate reporting obligations and create synergies with other measures within this Policy Option that are aimed at assessing the market presence of EU providers (cf. PM21).</w:t>
      </w:r>
      <w:r>
        <w:rPr>
          <w:noProof/>
        </w:rPr>
        <w:t xml:space="preserve"> PM</w:t>
      </w:r>
      <w:r w:rsidR="00290D5C">
        <w:rPr>
          <w:noProof/>
        </w:rPr>
        <w:t>19</w:t>
      </w:r>
      <w:r>
        <w:rPr>
          <w:noProof/>
        </w:rPr>
        <w:t xml:space="preserve"> will contribute to decreasing the overall reliance on non-European cloud and AI computing services, which is SO3.</w:t>
      </w:r>
    </w:p>
    <w:p w14:paraId="7E7345AE" w14:textId="4DD77E18" w:rsidR="003B7889" w:rsidRPr="003B7889" w:rsidRDefault="00E61374" w:rsidP="0058324B">
      <w:pPr>
        <w:pStyle w:val="ListBullet"/>
        <w:spacing w:before="120" w:after="120"/>
        <w:rPr>
          <w:noProof/>
        </w:rPr>
      </w:pPr>
      <w:r w:rsidRPr="00577B3E">
        <w:rPr>
          <w:b/>
          <w:noProof/>
        </w:rPr>
        <w:t>Policy Measure 20 (</w:t>
      </w:r>
      <w:r w:rsidRPr="00577B3E">
        <w:rPr>
          <w:b/>
          <w:noProof/>
          <w:u w:val="single"/>
        </w:rPr>
        <w:t>PM20</w:t>
      </w:r>
      <w:r w:rsidRPr="00577B3E">
        <w:rPr>
          <w:b/>
          <w:noProof/>
        </w:rPr>
        <w:t xml:space="preserve">) </w:t>
      </w:r>
      <w:r w:rsidRPr="00577B3E">
        <w:rPr>
          <w:bCs/>
          <w:noProof/>
        </w:rPr>
        <w:t xml:space="preserve">aims to </w:t>
      </w:r>
      <w:r w:rsidR="009D6B60" w:rsidRPr="00577B3E">
        <w:rPr>
          <w:bCs/>
          <w:noProof/>
        </w:rPr>
        <w:t xml:space="preserve">encourage the </w:t>
      </w:r>
      <w:r w:rsidR="000C06B7">
        <w:rPr>
          <w:bCs/>
          <w:noProof/>
        </w:rPr>
        <w:t>share and</w:t>
      </w:r>
      <w:r w:rsidRPr="00577B3E">
        <w:rPr>
          <w:bCs/>
          <w:noProof/>
        </w:rPr>
        <w:t>, reuse of open source assets by the public sector.</w:t>
      </w:r>
      <w:r w:rsidR="00434956" w:rsidRPr="00AA6001">
        <w:rPr>
          <w:bCs/>
          <w:noProof/>
        </w:rPr>
        <w:t xml:space="preserve"> </w:t>
      </w:r>
      <w:r w:rsidR="009D280E" w:rsidRPr="00577B3E">
        <w:rPr>
          <w:bCs/>
          <w:noProof/>
        </w:rPr>
        <w:t xml:space="preserve">Under this </w:t>
      </w:r>
      <w:r w:rsidR="0043773D" w:rsidRPr="00577B3E">
        <w:rPr>
          <w:bCs/>
          <w:noProof/>
        </w:rPr>
        <w:t>measure</w:t>
      </w:r>
      <w:r w:rsidR="009D280E" w:rsidRPr="00577B3E">
        <w:rPr>
          <w:bCs/>
          <w:noProof/>
        </w:rPr>
        <w:t xml:space="preserve">, </w:t>
      </w:r>
      <w:r w:rsidR="005E4790" w:rsidRPr="00577B3E">
        <w:rPr>
          <w:bCs/>
          <w:noProof/>
        </w:rPr>
        <w:t>public</w:t>
      </w:r>
      <w:r w:rsidR="00434956" w:rsidRPr="00577B3E">
        <w:rPr>
          <w:noProof/>
          <w:lang w:val="en-IE"/>
        </w:rPr>
        <w:t xml:space="preserve"> authorities are encouraged to </w:t>
      </w:r>
      <w:r w:rsidR="006912C9">
        <w:rPr>
          <w:noProof/>
          <w:lang w:val="en-IE"/>
        </w:rPr>
        <w:t xml:space="preserve">promote the </w:t>
      </w:r>
      <w:r w:rsidR="00434956" w:rsidRPr="00577B3E">
        <w:rPr>
          <w:noProof/>
          <w:lang w:val="en-IE"/>
        </w:rPr>
        <w:t xml:space="preserve">use </w:t>
      </w:r>
      <w:r w:rsidR="001F7011">
        <w:rPr>
          <w:noProof/>
          <w:lang w:val="en-IE"/>
        </w:rPr>
        <w:t xml:space="preserve">of open standards and </w:t>
      </w:r>
      <w:r w:rsidR="00434956" w:rsidRPr="00577B3E">
        <w:rPr>
          <w:noProof/>
          <w:lang w:val="en-IE"/>
        </w:rPr>
        <w:t>available open source solutions where these demonstrate comparative merit to proprietary solutions</w:t>
      </w:r>
      <w:r w:rsidR="00D20DC0">
        <w:rPr>
          <w:noProof/>
          <w:lang w:val="en-IE"/>
        </w:rPr>
        <w:t xml:space="preserve"> and</w:t>
      </w:r>
      <w:r w:rsidR="00434956" w:rsidRPr="00577B3E">
        <w:rPr>
          <w:noProof/>
          <w:lang w:val="en-IE"/>
        </w:rPr>
        <w:t xml:space="preserve"> reuse digital assets, including code, configurations, </w:t>
      </w:r>
      <w:r w:rsidR="00127778" w:rsidRPr="00577B3E">
        <w:rPr>
          <w:noProof/>
          <w:lang w:val="en-IE"/>
        </w:rPr>
        <w:t xml:space="preserve">and </w:t>
      </w:r>
      <w:r w:rsidR="00434956" w:rsidRPr="00577B3E">
        <w:rPr>
          <w:noProof/>
          <w:lang w:val="en-IE"/>
        </w:rPr>
        <w:t>documentation, developed by other public administrations rather than commissioning similar solutions from scratch, thereby eliminating duplication of efforts and redundant expenditure on functionally similar solutions; and to share software into a common repository, ensuring that investments made by public administrations in the EU contributes to a pool of collectively maintained sovereign solutions.</w:t>
      </w:r>
      <w:r w:rsidR="000E1E5B" w:rsidRPr="00577B3E">
        <w:rPr>
          <w:noProof/>
          <w:lang w:val="en-IE"/>
        </w:rPr>
        <w:t xml:space="preserve"> </w:t>
      </w:r>
      <w:r w:rsidRPr="00577B3E">
        <w:rPr>
          <w:bCs/>
          <w:noProof/>
        </w:rPr>
        <w:t xml:space="preserve"> </w:t>
      </w:r>
    </w:p>
    <w:p w14:paraId="244BF096" w14:textId="0A619B71" w:rsidR="005D181B" w:rsidRPr="005D181B" w:rsidRDefault="00A51080" w:rsidP="00B85ED2">
      <w:pPr>
        <w:pStyle w:val="ListBullet"/>
        <w:numPr>
          <w:ilvl w:val="0"/>
          <w:numId w:val="0"/>
        </w:numPr>
        <w:spacing w:before="120" w:after="120"/>
        <w:ind w:left="283"/>
        <w:rPr>
          <w:noProof/>
        </w:rPr>
      </w:pPr>
      <w:r>
        <w:rPr>
          <w:bCs/>
          <w:noProof/>
        </w:rPr>
        <w:t xml:space="preserve">Therefore, </w:t>
      </w:r>
      <w:r>
        <w:rPr>
          <w:b/>
          <w:noProof/>
        </w:rPr>
        <w:t>f</w:t>
      </w:r>
      <w:r w:rsidR="00B91674" w:rsidRPr="00577B3E">
        <w:rPr>
          <w:b/>
          <w:noProof/>
        </w:rPr>
        <w:t>irst</w:t>
      </w:r>
      <w:r w:rsidR="00B91674" w:rsidRPr="00577B3E">
        <w:rPr>
          <w:bCs/>
          <w:noProof/>
        </w:rPr>
        <w:t xml:space="preserve">, </w:t>
      </w:r>
      <w:r w:rsidR="007B74F8" w:rsidRPr="00577B3E">
        <w:rPr>
          <w:bCs/>
          <w:noProof/>
        </w:rPr>
        <w:t xml:space="preserve">this policy measure </w:t>
      </w:r>
      <w:r w:rsidR="00E61374" w:rsidRPr="00577B3E">
        <w:rPr>
          <w:bCs/>
          <w:noProof/>
        </w:rPr>
        <w:t xml:space="preserve">requires </w:t>
      </w:r>
      <w:r w:rsidR="00B85ED2">
        <w:rPr>
          <w:bCs/>
          <w:noProof/>
        </w:rPr>
        <w:t xml:space="preserve">Member States to take the necessary measures to encourage the use of open standards and </w:t>
      </w:r>
      <w:r w:rsidR="00525CAA">
        <w:rPr>
          <w:bCs/>
          <w:noProof/>
        </w:rPr>
        <w:t>open source</w:t>
      </w:r>
      <w:r w:rsidR="00714A0A">
        <w:rPr>
          <w:bCs/>
          <w:noProof/>
        </w:rPr>
        <w:t xml:space="preserve"> software</w:t>
      </w:r>
      <w:r w:rsidR="00525CAA">
        <w:rPr>
          <w:bCs/>
          <w:noProof/>
        </w:rPr>
        <w:t xml:space="preserve"> by </w:t>
      </w:r>
      <w:r w:rsidR="00E61374" w:rsidRPr="00577B3E">
        <w:rPr>
          <w:bCs/>
          <w:noProof/>
        </w:rPr>
        <w:t xml:space="preserve">public sector organisations </w:t>
      </w:r>
      <w:r w:rsidR="00656683">
        <w:rPr>
          <w:bCs/>
          <w:noProof/>
        </w:rPr>
        <w:t xml:space="preserve">taking into consideration aspects such as </w:t>
      </w:r>
      <w:r w:rsidR="008C34BA" w:rsidRPr="00577B3E">
        <w:rPr>
          <w:bCs/>
          <w:noProof/>
        </w:rPr>
        <w:t>functionalities, total cost</w:t>
      </w:r>
      <w:r w:rsidR="00EA697E" w:rsidRPr="00577B3E">
        <w:rPr>
          <w:bCs/>
          <w:noProof/>
        </w:rPr>
        <w:t>, user</w:t>
      </w:r>
      <w:r w:rsidR="008C34BA" w:rsidRPr="00577B3E">
        <w:rPr>
          <w:bCs/>
          <w:noProof/>
        </w:rPr>
        <w:t>-</w:t>
      </w:r>
      <w:r w:rsidR="00EA697E" w:rsidRPr="00577B3E">
        <w:rPr>
          <w:bCs/>
          <w:noProof/>
        </w:rPr>
        <w:t>centricity</w:t>
      </w:r>
      <w:r w:rsidR="008C34BA" w:rsidRPr="00577B3E">
        <w:rPr>
          <w:bCs/>
          <w:noProof/>
        </w:rPr>
        <w:t>,</w:t>
      </w:r>
      <w:r w:rsidR="00941774">
        <w:rPr>
          <w:bCs/>
          <w:noProof/>
        </w:rPr>
        <w:t xml:space="preserve"> </w:t>
      </w:r>
      <w:r w:rsidR="008C34BA" w:rsidRPr="00577B3E">
        <w:rPr>
          <w:bCs/>
          <w:noProof/>
        </w:rPr>
        <w:t>cybersecurity</w:t>
      </w:r>
      <w:r w:rsidR="00941774">
        <w:rPr>
          <w:bCs/>
          <w:noProof/>
        </w:rPr>
        <w:t xml:space="preserve"> </w:t>
      </w:r>
      <w:r w:rsidR="008C34BA" w:rsidRPr="00577B3E">
        <w:rPr>
          <w:bCs/>
          <w:noProof/>
        </w:rPr>
        <w:t xml:space="preserve">or other relevant </w:t>
      </w:r>
      <w:r w:rsidR="00360B23">
        <w:rPr>
          <w:bCs/>
          <w:noProof/>
        </w:rPr>
        <w:t xml:space="preserve">justified </w:t>
      </w:r>
      <w:r w:rsidR="008C34BA" w:rsidRPr="00577B3E">
        <w:rPr>
          <w:bCs/>
          <w:noProof/>
        </w:rPr>
        <w:t>objective criteria</w:t>
      </w:r>
      <w:r w:rsidR="001B5501" w:rsidRPr="00577B3E">
        <w:rPr>
          <w:bCs/>
          <w:noProof/>
        </w:rPr>
        <w:t>.</w:t>
      </w:r>
    </w:p>
    <w:p w14:paraId="54EB83CA" w14:textId="6F25CF68" w:rsidR="005D181B" w:rsidRDefault="00CB7C89" w:rsidP="005D181B">
      <w:pPr>
        <w:pStyle w:val="ListBullet"/>
        <w:numPr>
          <w:ilvl w:val="0"/>
          <w:numId w:val="0"/>
        </w:numPr>
        <w:ind w:left="283"/>
        <w:rPr>
          <w:noProof/>
        </w:rPr>
      </w:pPr>
      <w:r w:rsidRPr="00434F21">
        <w:rPr>
          <w:b/>
          <w:bCs/>
          <w:noProof/>
        </w:rPr>
        <w:t xml:space="preserve">Second, </w:t>
      </w:r>
      <w:r>
        <w:rPr>
          <w:noProof/>
        </w:rPr>
        <w:t xml:space="preserve">public organisations </w:t>
      </w:r>
      <w:r w:rsidR="000D4DD6">
        <w:rPr>
          <w:noProof/>
        </w:rPr>
        <w:t>will have to</w:t>
      </w:r>
      <w:r w:rsidR="00FB6A18">
        <w:rPr>
          <w:noProof/>
        </w:rPr>
        <w:t xml:space="preserve"> </w:t>
      </w:r>
      <w:r w:rsidR="00760534">
        <w:rPr>
          <w:noProof/>
        </w:rPr>
        <w:t>consider</w:t>
      </w:r>
      <w:r>
        <w:rPr>
          <w:noProof/>
        </w:rPr>
        <w:t xml:space="preserve"> </w:t>
      </w:r>
      <w:r w:rsidR="002C39F9">
        <w:rPr>
          <w:noProof/>
        </w:rPr>
        <w:t>making</w:t>
      </w:r>
      <w:r>
        <w:rPr>
          <w:noProof/>
        </w:rPr>
        <w:t xml:space="preserve"> the software for which they hold rights publicly available on </w:t>
      </w:r>
      <w:r w:rsidR="00536008">
        <w:rPr>
          <w:noProof/>
        </w:rPr>
        <w:t xml:space="preserve">an </w:t>
      </w:r>
      <w:r>
        <w:rPr>
          <w:noProof/>
        </w:rPr>
        <w:t>open source repositor</w:t>
      </w:r>
      <w:r w:rsidR="00536008">
        <w:rPr>
          <w:noProof/>
        </w:rPr>
        <w:t>y connected to the EU OSS catalogue</w:t>
      </w:r>
      <w:r w:rsidR="008A4FE1">
        <w:rPr>
          <w:noProof/>
        </w:rPr>
        <w:t xml:space="preserve"> maintained by the Commission. The released software should put in place </w:t>
      </w:r>
      <w:r>
        <w:rPr>
          <w:noProof/>
        </w:rPr>
        <w:t>the appropriate safeguards to protect security or intellectual property rights.</w:t>
      </w:r>
      <w:r w:rsidR="002C337D">
        <w:rPr>
          <w:noProof/>
        </w:rPr>
        <w:t xml:space="preserve"> To ensure the quality and security of publicly released code, open source repositories will have clear governance and operational mechanisms, such as quality assurance (e.g. DevOps) and the continuous assessment of the cybersecurity posture of the components (e.g. static and dynamic security testing) complemented by a Software Bill of Materials.</w:t>
      </w:r>
      <w:r w:rsidR="00852E1D">
        <w:rPr>
          <w:noProof/>
        </w:rPr>
        <w:t xml:space="preserve"> </w:t>
      </w:r>
      <w:r w:rsidR="00794057">
        <w:rPr>
          <w:noProof/>
        </w:rPr>
        <w:t xml:space="preserve">The release of </w:t>
      </w:r>
      <w:r w:rsidR="007245FB">
        <w:rPr>
          <w:noProof/>
        </w:rPr>
        <w:t xml:space="preserve">software as open source </w:t>
      </w:r>
      <w:r w:rsidR="00F45133">
        <w:rPr>
          <w:noProof/>
        </w:rPr>
        <w:t xml:space="preserve">shall not </w:t>
      </w:r>
      <w:r w:rsidR="006C2B8C">
        <w:rPr>
          <w:noProof/>
        </w:rPr>
        <w:t>be made in the case in which the cost</w:t>
      </w:r>
      <w:r w:rsidR="00B23015">
        <w:rPr>
          <w:noProof/>
        </w:rPr>
        <w:t xml:space="preserve"> of doing it would be disproportionate, there is a risk to </w:t>
      </w:r>
      <w:r w:rsidR="00E54615">
        <w:rPr>
          <w:noProof/>
        </w:rPr>
        <w:t xml:space="preserve">the security of information systems of the Union or </w:t>
      </w:r>
      <w:r w:rsidR="00043BBD">
        <w:rPr>
          <w:noProof/>
        </w:rPr>
        <w:t>there is public order restri</w:t>
      </w:r>
      <w:r w:rsidR="003A482D">
        <w:rPr>
          <w:noProof/>
        </w:rPr>
        <w:t>ction.</w:t>
      </w:r>
    </w:p>
    <w:p w14:paraId="1DA94ECC" w14:textId="69420A8B" w:rsidR="006360BC" w:rsidRPr="00D37004" w:rsidRDefault="00532852" w:rsidP="005D181B">
      <w:pPr>
        <w:pStyle w:val="ListBullet"/>
        <w:numPr>
          <w:ilvl w:val="0"/>
          <w:numId w:val="0"/>
        </w:numPr>
        <w:ind w:left="283"/>
        <w:rPr>
          <w:noProof/>
        </w:rPr>
      </w:pPr>
      <w:r>
        <w:rPr>
          <w:b/>
          <w:bCs/>
          <w:noProof/>
        </w:rPr>
        <w:t xml:space="preserve">Third, </w:t>
      </w:r>
      <w:r>
        <w:rPr>
          <w:noProof/>
        </w:rPr>
        <w:t>th</w:t>
      </w:r>
      <w:r w:rsidR="002C337D">
        <w:rPr>
          <w:noProof/>
        </w:rPr>
        <w:t xml:space="preserve">is measure </w:t>
      </w:r>
      <w:r>
        <w:rPr>
          <w:noProof/>
        </w:rPr>
        <w:t>includes</w:t>
      </w:r>
      <w:r w:rsidR="002C337D">
        <w:rPr>
          <w:noProof/>
        </w:rPr>
        <w:t xml:space="preserve"> the creation and maintenance of Open Source Programme Offices (OSPOs) within the public sector to support the implementation and management of open source software.</w:t>
      </w:r>
      <w:r w:rsidR="00886B6E">
        <w:rPr>
          <w:noProof/>
        </w:rPr>
        <w:t xml:space="preserve"> T</w:t>
      </w:r>
      <w:r w:rsidR="00EA0A6B">
        <w:rPr>
          <w:noProof/>
        </w:rPr>
        <w:t>o facilitate the cooperation among these OSPOs, the Commission will establish a Network of OSPOs.</w:t>
      </w:r>
    </w:p>
    <w:p w14:paraId="09C4F30F" w14:textId="79EF0F53" w:rsidR="00747F71" w:rsidRDefault="00E61374" w:rsidP="00316F50">
      <w:pPr>
        <w:pStyle w:val="ListBullet"/>
        <w:rPr>
          <w:noProof/>
        </w:rPr>
      </w:pPr>
      <w:r w:rsidRPr="00434F21">
        <w:rPr>
          <w:b/>
          <w:bCs/>
          <w:noProof/>
        </w:rPr>
        <w:t>Policy Measure 21 (</w:t>
      </w:r>
      <w:r w:rsidRPr="00434F21">
        <w:rPr>
          <w:b/>
          <w:bCs/>
          <w:noProof/>
          <w:u w:val="single"/>
        </w:rPr>
        <w:t>PM21</w:t>
      </w:r>
      <w:r w:rsidRPr="004F15F9">
        <w:rPr>
          <w:noProof/>
        </w:rPr>
        <w:t>)</w:t>
      </w:r>
      <w:r w:rsidR="0012168F" w:rsidRPr="004F15F9">
        <w:rPr>
          <w:noProof/>
        </w:rPr>
        <w:t xml:space="preserve"> consists of </w:t>
      </w:r>
      <w:r w:rsidR="00F625F4" w:rsidRPr="004F15F9">
        <w:rPr>
          <w:noProof/>
        </w:rPr>
        <w:t xml:space="preserve">two </w:t>
      </w:r>
      <w:r w:rsidR="0012168F" w:rsidRPr="004F15F9">
        <w:rPr>
          <w:noProof/>
        </w:rPr>
        <w:t>elements.</w:t>
      </w:r>
      <w:r w:rsidR="008E66EB" w:rsidRPr="00434F21">
        <w:rPr>
          <w:b/>
          <w:noProof/>
        </w:rPr>
        <w:t xml:space="preserve"> </w:t>
      </w:r>
      <w:r w:rsidR="00153D65" w:rsidRPr="009E161E">
        <w:rPr>
          <w:b/>
          <w:noProof/>
        </w:rPr>
        <w:t>First</w:t>
      </w:r>
      <w:r w:rsidR="00153D65" w:rsidRPr="004F15F9">
        <w:rPr>
          <w:noProof/>
        </w:rPr>
        <w:t xml:space="preserve">, </w:t>
      </w:r>
      <w:r w:rsidR="008E66EB">
        <w:rPr>
          <w:noProof/>
        </w:rPr>
        <w:t>it</w:t>
      </w:r>
      <w:r w:rsidR="00AA29F6">
        <w:rPr>
          <w:noProof/>
        </w:rPr>
        <w:t xml:space="preserve"> </w:t>
      </w:r>
      <w:r w:rsidR="0072201C">
        <w:rPr>
          <w:noProof/>
        </w:rPr>
        <w:t>turn</w:t>
      </w:r>
      <w:r w:rsidR="00191880">
        <w:rPr>
          <w:noProof/>
        </w:rPr>
        <w:t>s</w:t>
      </w:r>
      <w:r w:rsidR="00AA29F6">
        <w:rPr>
          <w:noProof/>
        </w:rPr>
        <w:t xml:space="preserve"> what is only </w:t>
      </w:r>
      <w:r w:rsidR="00090473">
        <w:rPr>
          <w:noProof/>
        </w:rPr>
        <w:t xml:space="preserve">a </w:t>
      </w:r>
      <w:r w:rsidR="0028607A">
        <w:rPr>
          <w:noProof/>
        </w:rPr>
        <w:t>Recommendation</w:t>
      </w:r>
      <w:r w:rsidR="00AA29F6">
        <w:rPr>
          <w:noProof/>
        </w:rPr>
        <w:t xml:space="preserve"> under policy measure 15</w:t>
      </w:r>
      <w:r w:rsidR="0028607A">
        <w:rPr>
          <w:noProof/>
        </w:rPr>
        <w:t xml:space="preserve"> into </w:t>
      </w:r>
      <w:r w:rsidR="0028607A" w:rsidRPr="0028607A">
        <w:rPr>
          <w:b/>
          <w:bCs/>
          <w:noProof/>
        </w:rPr>
        <w:t>a binding requirement</w:t>
      </w:r>
      <w:r w:rsidR="0028607A">
        <w:rPr>
          <w:noProof/>
        </w:rPr>
        <w:t xml:space="preserve"> for Member States</w:t>
      </w:r>
      <w:r w:rsidR="00AA29F6">
        <w:rPr>
          <w:noProof/>
        </w:rPr>
        <w:t>.</w:t>
      </w:r>
      <w:r w:rsidR="00153D65" w:rsidRPr="004F15F9">
        <w:rPr>
          <w:noProof/>
        </w:rPr>
        <w:t xml:space="preserve"> </w:t>
      </w:r>
    </w:p>
    <w:p w14:paraId="5E998DCA" w14:textId="6B7AF48E" w:rsidR="004E3AFF" w:rsidRDefault="00747F71">
      <w:pPr>
        <w:pStyle w:val="ListBullet"/>
        <w:numPr>
          <w:ilvl w:val="0"/>
          <w:numId w:val="0"/>
        </w:numPr>
        <w:ind w:left="283"/>
        <w:rPr>
          <w:bCs/>
          <w:noProof/>
        </w:rPr>
      </w:pPr>
      <w:r>
        <w:rPr>
          <w:noProof/>
        </w:rPr>
        <w:t xml:space="preserve">Member States </w:t>
      </w:r>
      <w:r w:rsidRPr="005F0841">
        <w:rPr>
          <w:b/>
          <w:noProof/>
          <w:u w:val="single"/>
        </w:rPr>
        <w:t>shall carry</w:t>
      </w:r>
      <w:r>
        <w:rPr>
          <w:noProof/>
        </w:rPr>
        <w:t xml:space="preserve"> at least one sovereignty risk assessment and repeat it at least every four years but more frequent if deemed necessary. The purpose of the sovereignty risk assessment is to identify which public sector use cases within a Member State require the use of which sovereignty level as described under </w:t>
      </w:r>
      <w:r w:rsidRPr="00673AEF">
        <w:rPr>
          <w:bCs/>
          <w:noProof/>
        </w:rPr>
        <w:t xml:space="preserve">PM11. The sovereignty risk assessment would assess, </w:t>
      </w:r>
      <w:r w:rsidRPr="008F5449">
        <w:rPr>
          <w:i/>
          <w:noProof/>
        </w:rPr>
        <w:t>inter alia</w:t>
      </w:r>
      <w:r w:rsidRPr="00673AEF">
        <w:rPr>
          <w:bCs/>
          <w:noProof/>
        </w:rPr>
        <w:t>, the risks induced by the access to such data by a third-country authority or third-country legal entity; or the risk of possible service disruption due to dependence on a single or limited number of third-country services providers</w:t>
      </w:r>
      <w:r>
        <w:rPr>
          <w:bCs/>
          <w:noProof/>
        </w:rPr>
        <w:t xml:space="preserve">. On the basis of dedicated discussions conducted with 3 different public authorities representing about 200 contracting authorities, this assessment </w:t>
      </w:r>
      <w:r w:rsidR="002B3B29" w:rsidRPr="002B3B29">
        <w:rPr>
          <w:bCs/>
          <w:noProof/>
        </w:rPr>
        <w:t>is based on the finding</w:t>
      </w:r>
      <w:r>
        <w:rPr>
          <w:bCs/>
          <w:noProof/>
        </w:rPr>
        <w:t xml:space="preserve"> that the matching of sovereignty levels to public sector demand follows the following pattern: 70% of use cases would require a sovereignty level 1; 20% for level 2; 9% for level 3; and 1% for level 4. </w:t>
      </w:r>
      <w:r w:rsidR="002B3B29" w:rsidRPr="002B3B29">
        <w:rPr>
          <w:bCs/>
          <w:noProof/>
        </w:rPr>
        <w:t>Even though the scheme is novel and does not correspond to existing frameworks, this assessment fits with broad orders of magnitude</w:t>
      </w:r>
      <w:r w:rsidR="002B5135">
        <w:rPr>
          <w:bCs/>
          <w:noProof/>
        </w:rPr>
        <w:t xml:space="preserve"> that</w:t>
      </w:r>
      <w:r w:rsidR="002B3B29" w:rsidRPr="002B3B29">
        <w:rPr>
          <w:bCs/>
          <w:noProof/>
        </w:rPr>
        <w:t xml:space="preserve"> can be inferred from existing analyses conducted in several Member States that have introduced risk assessments for their public sector clouds, such as France, </w:t>
      </w:r>
      <w:r w:rsidR="00445D2C">
        <w:rPr>
          <w:bCs/>
          <w:noProof/>
        </w:rPr>
        <w:t>Poland</w:t>
      </w:r>
      <w:r w:rsidR="00445D2C">
        <w:rPr>
          <w:rStyle w:val="FootnoteReference"/>
          <w:bCs/>
          <w:noProof/>
        </w:rPr>
        <w:footnoteReference w:id="99"/>
      </w:r>
      <w:r w:rsidR="005F7430">
        <w:rPr>
          <w:bCs/>
          <w:noProof/>
        </w:rPr>
        <w:t xml:space="preserve"> or</w:t>
      </w:r>
      <w:r w:rsidR="00445D2C">
        <w:rPr>
          <w:bCs/>
          <w:noProof/>
        </w:rPr>
        <w:t xml:space="preserve"> </w:t>
      </w:r>
      <w:r w:rsidR="001611C9">
        <w:rPr>
          <w:bCs/>
          <w:noProof/>
        </w:rPr>
        <w:t>Italy</w:t>
      </w:r>
      <w:r w:rsidR="001611C9">
        <w:rPr>
          <w:rStyle w:val="FootnoteReference"/>
          <w:bCs/>
          <w:noProof/>
        </w:rPr>
        <w:footnoteReference w:id="100"/>
      </w:r>
      <w:r w:rsidR="002B3B29" w:rsidRPr="002B3B29">
        <w:rPr>
          <w:bCs/>
          <w:noProof/>
        </w:rPr>
        <w:t xml:space="preserve">. </w:t>
      </w:r>
      <w:r w:rsidR="00B306CC" w:rsidRPr="005F5937">
        <w:rPr>
          <w:bCs/>
          <w:noProof/>
        </w:rPr>
        <w:t xml:space="preserve">This approximation is anchored in the idea that a layered and progressively more demanding criteria </w:t>
      </w:r>
      <w:r w:rsidR="007F159C">
        <w:rPr>
          <w:bCs/>
          <w:noProof/>
        </w:rPr>
        <w:t>is designed to</w:t>
      </w:r>
      <w:r w:rsidR="007F159C" w:rsidRPr="005F5937">
        <w:rPr>
          <w:bCs/>
          <w:noProof/>
        </w:rPr>
        <w:t xml:space="preserve"> tackl</w:t>
      </w:r>
      <w:r w:rsidR="007F159C">
        <w:rPr>
          <w:bCs/>
          <w:noProof/>
        </w:rPr>
        <w:t>e</w:t>
      </w:r>
      <w:r w:rsidR="007F159C" w:rsidRPr="005F5937">
        <w:rPr>
          <w:bCs/>
          <w:noProof/>
        </w:rPr>
        <w:t xml:space="preserve"> </w:t>
      </w:r>
      <w:r w:rsidR="00B306CC" w:rsidRPr="005F5937">
        <w:rPr>
          <w:bCs/>
          <w:noProof/>
        </w:rPr>
        <w:t>a progressively smaller amount of use cases.</w:t>
      </w:r>
      <w:r w:rsidR="00B306CC">
        <w:rPr>
          <w:bCs/>
          <w:noProof/>
        </w:rPr>
        <w:t xml:space="preserve"> For instance, a water supply public company might have separate IT systems to deal with non-critical use cases (e.g. procurement, stock management, inventory, helpdesk, billing system, workforce management, </w:t>
      </w:r>
      <w:r w:rsidR="00D13F30">
        <w:rPr>
          <w:bCs/>
          <w:noProof/>
        </w:rPr>
        <w:t>fleet management</w:t>
      </w:r>
      <w:r w:rsidR="00A37CBF">
        <w:rPr>
          <w:bCs/>
          <w:noProof/>
        </w:rPr>
        <w:t xml:space="preserve">, </w:t>
      </w:r>
      <w:r w:rsidR="00B306CC">
        <w:rPr>
          <w:bCs/>
          <w:noProof/>
        </w:rPr>
        <w:t xml:space="preserve">etc), but fewer to manage critical systems (e.g. water monitoring system). </w:t>
      </w:r>
      <w:r w:rsidR="002B3B29" w:rsidRPr="002B3B29">
        <w:rPr>
          <w:bCs/>
          <w:noProof/>
        </w:rPr>
        <w:t xml:space="preserve">For instance, </w:t>
      </w:r>
      <w:r w:rsidR="00C50D38">
        <w:rPr>
          <w:bCs/>
          <w:noProof/>
        </w:rPr>
        <w:t>France’s</w:t>
      </w:r>
      <w:r w:rsidR="00E73DBC">
        <w:rPr>
          <w:bCs/>
          <w:noProof/>
        </w:rPr>
        <w:t xml:space="preserve"> SecNumCloud, the closest scheme </w:t>
      </w:r>
      <w:r w:rsidR="00B414A6">
        <w:rPr>
          <w:bCs/>
          <w:noProof/>
        </w:rPr>
        <w:t xml:space="preserve">to this sovereignty framework </w:t>
      </w:r>
      <w:r w:rsidR="004455C4">
        <w:rPr>
          <w:bCs/>
          <w:noProof/>
        </w:rPr>
        <w:t xml:space="preserve">was developed </w:t>
      </w:r>
      <w:r w:rsidR="005F6C5B">
        <w:rPr>
          <w:bCs/>
          <w:noProof/>
        </w:rPr>
        <w:t xml:space="preserve">acknowledging that </w:t>
      </w:r>
      <w:r w:rsidR="00B02589">
        <w:rPr>
          <w:bCs/>
          <w:noProof/>
        </w:rPr>
        <w:t xml:space="preserve">there’s demand for </w:t>
      </w:r>
      <w:r w:rsidR="00E4199C">
        <w:rPr>
          <w:bCs/>
          <w:noProof/>
        </w:rPr>
        <w:t>even higher levels of sovereignty</w:t>
      </w:r>
      <w:r w:rsidR="00444DE2">
        <w:rPr>
          <w:bCs/>
          <w:noProof/>
        </w:rPr>
        <w:t>, estimated at 10% (</w:t>
      </w:r>
      <w:r w:rsidR="006E1CB6">
        <w:rPr>
          <w:bCs/>
          <w:noProof/>
        </w:rPr>
        <w:t>which here correspond to level 3 and level 4)</w:t>
      </w:r>
      <w:r w:rsidR="0071033B">
        <w:rPr>
          <w:bCs/>
          <w:noProof/>
        </w:rPr>
        <w:t xml:space="preserve">, and that </w:t>
      </w:r>
      <w:r w:rsidR="00710B61">
        <w:rPr>
          <w:bCs/>
          <w:noProof/>
        </w:rPr>
        <w:t>for the remaining 90%, SecNumCloud was designed to cover 1/5 to 1/</w:t>
      </w:r>
      <w:r w:rsidR="002B3B29" w:rsidRPr="002B3B29">
        <w:rPr>
          <w:bCs/>
          <w:noProof/>
        </w:rPr>
        <w:t>4</w:t>
      </w:r>
      <w:r w:rsidR="00710B61">
        <w:rPr>
          <w:bCs/>
          <w:noProof/>
        </w:rPr>
        <w:t xml:space="preserve"> of the </w:t>
      </w:r>
      <w:r w:rsidR="0036587A">
        <w:rPr>
          <w:bCs/>
          <w:noProof/>
        </w:rPr>
        <w:t xml:space="preserve">use cases, so </w:t>
      </w:r>
      <w:r w:rsidR="006E4795">
        <w:rPr>
          <w:bCs/>
          <w:noProof/>
        </w:rPr>
        <w:t>somewhere in between 90% * 1/5 = 18</w:t>
      </w:r>
      <w:r w:rsidR="00AE01F6">
        <w:rPr>
          <w:bCs/>
          <w:noProof/>
        </w:rPr>
        <w:t>% and 90% * 1/</w:t>
      </w:r>
      <w:r w:rsidR="00C53AFA">
        <w:rPr>
          <w:bCs/>
          <w:noProof/>
        </w:rPr>
        <w:t>4</w:t>
      </w:r>
      <w:r w:rsidR="00AE01F6">
        <w:rPr>
          <w:bCs/>
          <w:noProof/>
        </w:rPr>
        <w:t xml:space="preserve"> = </w:t>
      </w:r>
      <w:r w:rsidR="00F97DBE">
        <w:rPr>
          <w:bCs/>
          <w:noProof/>
        </w:rPr>
        <w:t>22.</w:t>
      </w:r>
      <w:r w:rsidR="00C53AFA">
        <w:rPr>
          <w:bCs/>
          <w:noProof/>
        </w:rPr>
        <w:t>5%</w:t>
      </w:r>
      <w:r w:rsidR="004A4FED">
        <w:rPr>
          <w:bCs/>
          <w:noProof/>
        </w:rPr>
        <w:t>.</w:t>
      </w:r>
      <w:r w:rsidR="00500A34">
        <w:rPr>
          <w:bCs/>
          <w:noProof/>
        </w:rPr>
        <w:t xml:space="preserve"> While the </w:t>
      </w:r>
      <w:r w:rsidR="002F719B">
        <w:rPr>
          <w:bCs/>
          <w:noProof/>
        </w:rPr>
        <w:t xml:space="preserve">criteria </w:t>
      </w:r>
      <w:r w:rsidR="00596C14">
        <w:rPr>
          <w:bCs/>
          <w:noProof/>
        </w:rPr>
        <w:t xml:space="preserve">for </w:t>
      </w:r>
      <w:r w:rsidR="005D1639">
        <w:rPr>
          <w:bCs/>
          <w:noProof/>
        </w:rPr>
        <w:t xml:space="preserve">SecNumCloud and level 2 differ, this </w:t>
      </w:r>
      <w:r w:rsidR="006D62E5">
        <w:rPr>
          <w:bCs/>
          <w:noProof/>
        </w:rPr>
        <w:t>figure is nevertheless retained as a first approximation.</w:t>
      </w:r>
      <w:r w:rsidR="001611C9">
        <w:rPr>
          <w:bCs/>
          <w:noProof/>
        </w:rPr>
        <w:t xml:space="preserve"> </w:t>
      </w:r>
    </w:p>
    <w:p w14:paraId="18414670" w14:textId="0062851E" w:rsidR="00747F71" w:rsidRPr="002B4116" w:rsidRDefault="00747F71" w:rsidP="00747F71">
      <w:pPr>
        <w:pStyle w:val="ListBullet"/>
        <w:numPr>
          <w:ilvl w:val="0"/>
          <w:numId w:val="0"/>
        </w:numPr>
        <w:ind w:left="283"/>
        <w:rPr>
          <w:noProof/>
        </w:rPr>
      </w:pPr>
      <w:r>
        <w:rPr>
          <w:bCs/>
          <w:noProof/>
        </w:rPr>
        <w:t xml:space="preserve">Critical use cases, defined as the use cases whose disruption would affect operational autonomy or public order, correspond to use cases covered by level 2, 3 and 4. </w:t>
      </w:r>
      <w:r>
        <w:rPr>
          <w:noProof/>
        </w:rPr>
        <w:t>The risk assessment would have to consider the reality of the supply market to avoid unrealistic outcomes, such as mandating the use of services that don’t exist (yet) in the market.</w:t>
      </w:r>
    </w:p>
    <w:p w14:paraId="1FF1E0AF" w14:textId="77777777" w:rsidR="00322192" w:rsidRDefault="00322192" w:rsidP="00322192">
      <w:pPr>
        <w:pStyle w:val="ListBullet"/>
        <w:numPr>
          <w:ilvl w:val="0"/>
          <w:numId w:val="0"/>
        </w:numPr>
        <w:spacing w:after="240"/>
        <w:ind w:left="284"/>
        <w:rPr>
          <w:noProof/>
        </w:rPr>
      </w:pPr>
      <w:r>
        <w:rPr>
          <w:noProof/>
        </w:rPr>
        <w:t>The measure targets critical use cases, not individual public authorities, but it is likely that Member States would focus on the public sector entities of high criticality (as defined in NIS2 annex 1), which amount to 6 400 throughout the EU, an amount retained in this assessment where such data point is needed. This figure results from the amount of NIS 2 entities in Europe (160 000</w:t>
      </w:r>
      <w:r>
        <w:rPr>
          <w:rStyle w:val="FootnoteReference"/>
          <w:noProof/>
        </w:rPr>
        <w:footnoteReference w:id="101"/>
      </w:r>
      <w:r>
        <w:rPr>
          <w:noProof/>
        </w:rPr>
        <w:t>), from which 20% are essential entities under Annex I</w:t>
      </w:r>
      <w:r>
        <w:rPr>
          <w:rStyle w:val="FootnoteReference"/>
          <w:noProof/>
        </w:rPr>
        <w:footnoteReference w:id="102"/>
      </w:r>
      <w:r>
        <w:rPr>
          <w:noProof/>
        </w:rPr>
        <w:t xml:space="preserve">, from which 20% are assumed to be public entities: 160 000 * 20% * 20% = 6 400 </w:t>
      </w:r>
      <w:r w:rsidRPr="002964AC">
        <w:rPr>
          <w:noProof/>
        </w:rPr>
        <w:t>NIS2 Annex 1 public sector entities</w:t>
      </w:r>
      <w:r>
        <w:rPr>
          <w:noProof/>
        </w:rPr>
        <w:t xml:space="preserve">. </w:t>
      </w:r>
    </w:p>
    <w:p w14:paraId="1B37F807" w14:textId="2F7D306E" w:rsidR="00747F71" w:rsidRDefault="00747F71" w:rsidP="005F0841">
      <w:pPr>
        <w:pStyle w:val="ListBullet"/>
        <w:numPr>
          <w:ilvl w:val="0"/>
          <w:numId w:val="0"/>
        </w:numPr>
        <w:ind w:left="283"/>
        <w:rPr>
          <w:noProof/>
        </w:rPr>
      </w:pPr>
      <w:r>
        <w:rPr>
          <w:noProof/>
        </w:rPr>
        <w:t>To facilitate appropriate and coherent sovereignty risk assessments, the European Commission would develop guidelines for Member States to conduct such assessments and provide a sample risk assessment methodology (note that these guidelines concern the conduct of risk assessments and differ from PM12, which consist in explaining the different levels of sovereignty). For Member States to have up-to-date information about the market conditions of cloud and AI sovereign solutions, the Commission would also produce market monitoring reports that will point Member States to possible gaps in the coverage of some services</w:t>
      </w:r>
      <w:r w:rsidRPr="00000BEA">
        <w:rPr>
          <w:noProof/>
        </w:rPr>
        <w:t>.</w:t>
      </w:r>
    </w:p>
    <w:p w14:paraId="3B644939" w14:textId="77777777" w:rsidR="000C20FF" w:rsidRDefault="000C20FF" w:rsidP="005F0841">
      <w:pPr>
        <w:pStyle w:val="ListBullet"/>
        <w:numPr>
          <w:ilvl w:val="0"/>
          <w:numId w:val="0"/>
        </w:numPr>
        <w:ind w:left="283"/>
        <w:rPr>
          <w:noProof/>
        </w:rPr>
      </w:pPr>
    </w:p>
    <w:p w14:paraId="6F09DD28" w14:textId="77777777" w:rsidR="00747F71" w:rsidRPr="00747F71" w:rsidRDefault="00747F71" w:rsidP="005F0841">
      <w:pPr>
        <w:pStyle w:val="ListBullet"/>
        <w:numPr>
          <w:ilvl w:val="0"/>
          <w:numId w:val="0"/>
        </w:numPr>
        <w:ind w:left="283"/>
        <w:rPr>
          <w:rFonts w:eastAsia="Aptos"/>
          <w:noProof/>
          <w:lang w:val="en-US"/>
        </w:rPr>
      </w:pPr>
      <w:r w:rsidRPr="008B030B">
        <w:rPr>
          <w:noProof/>
          <w:lang w:val="en-US"/>
        </w:rPr>
        <w:t xml:space="preserve">The Member States </w:t>
      </w:r>
      <w:r w:rsidRPr="008B030B">
        <w:rPr>
          <w:b/>
          <w:noProof/>
          <w:u w:val="single"/>
          <w:lang w:val="en-US"/>
        </w:rPr>
        <w:t>would have to</w:t>
      </w:r>
      <w:r w:rsidRPr="008B030B">
        <w:rPr>
          <w:noProof/>
          <w:lang w:val="en-US"/>
        </w:rPr>
        <w:t xml:space="preserve"> determine which public authorities are required to procure specific levels of sovereignty and make this mandatory at national level, ensuring that procurement aligns with the risk assessment, unless duly justified. </w:t>
      </w:r>
    </w:p>
    <w:p w14:paraId="78552047" w14:textId="77777777" w:rsidR="000C20FF" w:rsidRDefault="000C20FF" w:rsidP="005F0841">
      <w:pPr>
        <w:pStyle w:val="ListBullet"/>
        <w:numPr>
          <w:ilvl w:val="0"/>
          <w:numId w:val="0"/>
        </w:numPr>
        <w:ind w:left="283"/>
        <w:rPr>
          <w:noProof/>
        </w:rPr>
      </w:pPr>
    </w:p>
    <w:p w14:paraId="7C7E3EAE" w14:textId="1892C52A" w:rsidR="00594A38" w:rsidRDefault="00747F71" w:rsidP="005F0841">
      <w:pPr>
        <w:pStyle w:val="ListBullet"/>
        <w:numPr>
          <w:ilvl w:val="0"/>
          <w:numId w:val="0"/>
        </w:numPr>
        <w:ind w:left="283"/>
        <w:rPr>
          <w:rFonts w:eastAsia="Aptos"/>
          <w:noProof/>
          <w:lang w:val="en-US"/>
        </w:rPr>
      </w:pPr>
      <w:r>
        <w:rPr>
          <w:noProof/>
        </w:rPr>
        <w:t xml:space="preserve">While PM11 only puts forward the definition of sovereignty levels, PM15 goes further by putting forward </w:t>
      </w:r>
      <w:r w:rsidRPr="00F01B44">
        <w:rPr>
          <w:noProof/>
        </w:rPr>
        <w:t>a</w:t>
      </w:r>
      <w:r>
        <w:rPr>
          <w:noProof/>
        </w:rPr>
        <w:t xml:space="preserve"> framework through which the respective levels of sovereignty can </w:t>
      </w:r>
      <w:r w:rsidR="00DF69C1">
        <w:rPr>
          <w:noProof/>
        </w:rPr>
        <w:t xml:space="preserve">be </w:t>
      </w:r>
      <w:r w:rsidR="00DF69C1" w:rsidRPr="00F01B44">
        <w:rPr>
          <w:noProof/>
        </w:rPr>
        <w:t>assessed</w:t>
      </w:r>
      <w:r w:rsidRPr="00F01B44">
        <w:rPr>
          <w:noProof/>
        </w:rPr>
        <w:t xml:space="preserve">. </w:t>
      </w:r>
      <w:r w:rsidR="00EF75E2" w:rsidRPr="00DA10C2">
        <w:rPr>
          <w:noProof/>
        </w:rPr>
        <w:t xml:space="preserve">Cloud computing service providers qualifying as SMEs </w:t>
      </w:r>
      <w:r w:rsidR="00EF75E2">
        <w:rPr>
          <w:noProof/>
        </w:rPr>
        <w:t>would</w:t>
      </w:r>
      <w:r w:rsidR="00EF75E2" w:rsidRPr="00DA10C2">
        <w:rPr>
          <w:noProof/>
        </w:rPr>
        <w:t xml:space="preserve"> not be required to undergo the </w:t>
      </w:r>
      <w:r w:rsidR="00EF75E2">
        <w:rPr>
          <w:noProof/>
        </w:rPr>
        <w:t>validation by the national competent authority</w:t>
      </w:r>
      <w:r w:rsidR="006F4A0F">
        <w:rPr>
          <w:noProof/>
        </w:rPr>
        <w:t>.</w:t>
      </w:r>
      <w:r w:rsidR="00EF75E2">
        <w:rPr>
          <w:noProof/>
        </w:rPr>
        <w:t xml:space="preserve"> </w:t>
      </w:r>
      <w:r>
        <w:rPr>
          <w:noProof/>
        </w:rPr>
        <w:t>Verifying compliance against sovereignty level 1 would be based on self-assessments conducted by the service provider</w:t>
      </w:r>
      <w:r w:rsidR="009B402F">
        <w:rPr>
          <w:noProof/>
        </w:rPr>
        <w:t xml:space="preserve"> itself, while </w:t>
      </w:r>
      <w:r w:rsidR="009B402F">
        <w:rPr>
          <w:rFonts w:eastAsia="Aptos"/>
          <w:noProof/>
          <w:lang w:val="en-US"/>
        </w:rPr>
        <w:t>assessing the</w:t>
      </w:r>
      <w:r w:rsidRPr="00D241A2">
        <w:rPr>
          <w:rFonts w:eastAsia="Aptos"/>
          <w:noProof/>
          <w:lang w:val="en-US"/>
        </w:rPr>
        <w:t xml:space="preserve"> compliance of </w:t>
      </w:r>
      <w:r w:rsidR="009B402F">
        <w:rPr>
          <w:rFonts w:eastAsia="Aptos"/>
          <w:noProof/>
          <w:lang w:val="en-US"/>
        </w:rPr>
        <w:t xml:space="preserve">the </w:t>
      </w:r>
      <w:r w:rsidRPr="00D241A2">
        <w:rPr>
          <w:rFonts w:eastAsia="Aptos"/>
          <w:noProof/>
          <w:lang w:val="en-US"/>
        </w:rPr>
        <w:t>service against sovereignty level</w:t>
      </w:r>
      <w:r w:rsidR="009B402F">
        <w:rPr>
          <w:rFonts w:eastAsia="Aptos"/>
          <w:noProof/>
          <w:lang w:val="en-US"/>
        </w:rPr>
        <w:t>s</w:t>
      </w:r>
      <w:r w:rsidRPr="00D241A2">
        <w:rPr>
          <w:rFonts w:eastAsia="Aptos"/>
          <w:noProof/>
          <w:lang w:val="en-US"/>
        </w:rPr>
        <w:t xml:space="preserve"> 2-3-4 would be </w:t>
      </w:r>
      <w:r w:rsidR="009B402F">
        <w:rPr>
          <w:rFonts w:eastAsia="Aptos"/>
          <w:noProof/>
          <w:lang w:val="en-US"/>
        </w:rPr>
        <w:t>performed</w:t>
      </w:r>
      <w:r w:rsidR="009B402F" w:rsidRPr="00D241A2">
        <w:rPr>
          <w:rFonts w:eastAsia="Aptos"/>
          <w:noProof/>
          <w:lang w:val="en-US"/>
        </w:rPr>
        <w:t xml:space="preserve"> </w:t>
      </w:r>
      <w:r w:rsidRPr="00D241A2">
        <w:rPr>
          <w:rFonts w:eastAsia="Aptos"/>
          <w:noProof/>
          <w:lang w:val="en-US"/>
        </w:rPr>
        <w:t xml:space="preserve">through </w:t>
      </w:r>
      <w:r w:rsidR="009B402F">
        <w:rPr>
          <w:rFonts w:eastAsia="Aptos"/>
          <w:noProof/>
          <w:lang w:val="en-US"/>
        </w:rPr>
        <w:t xml:space="preserve">independent </w:t>
      </w:r>
      <w:r w:rsidRPr="00D241A2">
        <w:rPr>
          <w:rFonts w:eastAsia="Aptos"/>
          <w:noProof/>
          <w:lang w:val="en-US"/>
        </w:rPr>
        <w:t xml:space="preserve">third party’s auditors and verified by national competent authorities designated by </w:t>
      </w:r>
      <w:r w:rsidR="00DF5384">
        <w:rPr>
          <w:rFonts w:eastAsia="Aptos"/>
          <w:noProof/>
          <w:lang w:val="en-US"/>
        </w:rPr>
        <w:t xml:space="preserve">the </w:t>
      </w:r>
      <w:r w:rsidRPr="00D241A2">
        <w:rPr>
          <w:rFonts w:eastAsia="Aptos"/>
          <w:noProof/>
          <w:lang w:val="en-US"/>
        </w:rPr>
        <w:t>Member States</w:t>
      </w:r>
      <w:r w:rsidR="00DF5384">
        <w:rPr>
          <w:rFonts w:eastAsia="Aptos"/>
          <w:noProof/>
          <w:lang w:val="en-US"/>
        </w:rPr>
        <w:t>.</w:t>
      </w:r>
      <w:r>
        <w:rPr>
          <w:rFonts w:eastAsia="Aptos"/>
          <w:noProof/>
          <w:lang w:val="en-US"/>
        </w:rPr>
        <w:t xml:space="preserve"> </w:t>
      </w:r>
      <w:r w:rsidRPr="00D241A2">
        <w:rPr>
          <w:rFonts w:eastAsia="Aptos"/>
          <w:noProof/>
          <w:lang w:val="en-US"/>
        </w:rPr>
        <w:t>The competent authorities will then verify the</w:t>
      </w:r>
      <w:r w:rsidR="00DF5384">
        <w:rPr>
          <w:rFonts w:eastAsia="Aptos"/>
          <w:noProof/>
          <w:lang w:val="en-US"/>
        </w:rPr>
        <w:t xml:space="preserve"> evidence pr</w:t>
      </w:r>
      <w:r w:rsidR="009638CA">
        <w:rPr>
          <w:rFonts w:eastAsia="Aptos"/>
          <w:noProof/>
          <w:lang w:val="en-US"/>
        </w:rPr>
        <w:t>ovided by the service providers, the</w:t>
      </w:r>
      <w:r w:rsidRPr="00D241A2">
        <w:rPr>
          <w:rFonts w:eastAsia="Aptos"/>
          <w:noProof/>
          <w:lang w:val="en-US"/>
        </w:rPr>
        <w:t xml:space="preserve"> </w:t>
      </w:r>
      <w:r>
        <w:rPr>
          <w:rFonts w:eastAsia="Aptos"/>
          <w:noProof/>
          <w:lang w:val="en-US"/>
        </w:rPr>
        <w:t xml:space="preserve">audit </w:t>
      </w:r>
      <w:r w:rsidRPr="00D241A2">
        <w:rPr>
          <w:rFonts w:eastAsia="Aptos"/>
          <w:noProof/>
          <w:lang w:val="en-US"/>
        </w:rPr>
        <w:t xml:space="preserve">report </w:t>
      </w:r>
      <w:r w:rsidR="009638CA">
        <w:rPr>
          <w:rFonts w:eastAsia="Aptos"/>
          <w:noProof/>
          <w:lang w:val="en-US"/>
        </w:rPr>
        <w:t>and opinion and</w:t>
      </w:r>
      <w:r w:rsidRPr="00D241A2">
        <w:rPr>
          <w:rFonts w:eastAsia="Aptos"/>
          <w:noProof/>
          <w:lang w:val="en-US"/>
        </w:rPr>
        <w:t xml:space="preserve"> will provide </w:t>
      </w:r>
      <w:r w:rsidR="006029C6">
        <w:rPr>
          <w:rFonts w:eastAsia="Aptos"/>
          <w:noProof/>
          <w:lang w:val="en-US"/>
        </w:rPr>
        <w:t>a decision</w:t>
      </w:r>
      <w:r w:rsidR="002302FD">
        <w:rPr>
          <w:rFonts w:eastAsia="Aptos"/>
          <w:noProof/>
          <w:lang w:val="en-US"/>
        </w:rPr>
        <w:t xml:space="preserve">: acceptance, rejection or request for further information. If positive, </w:t>
      </w:r>
      <w:r w:rsidR="00173FC8">
        <w:rPr>
          <w:rFonts w:eastAsia="Aptos"/>
          <w:noProof/>
          <w:lang w:val="en-US"/>
        </w:rPr>
        <w:t xml:space="preserve">the competent authority of the </w:t>
      </w:r>
      <w:r w:rsidR="00D304EF">
        <w:rPr>
          <w:rFonts w:eastAsia="Aptos"/>
          <w:noProof/>
          <w:lang w:val="en-US"/>
        </w:rPr>
        <w:t>establishment</w:t>
      </w:r>
      <w:r w:rsidR="00173FC8">
        <w:rPr>
          <w:rFonts w:eastAsia="Aptos"/>
          <w:noProof/>
          <w:lang w:val="en-US"/>
        </w:rPr>
        <w:t xml:space="preserve"> of the service provider</w:t>
      </w:r>
      <w:r w:rsidR="00594A38">
        <w:rPr>
          <w:rFonts w:eastAsia="Aptos"/>
          <w:noProof/>
          <w:lang w:val="en-US"/>
        </w:rPr>
        <w:t xml:space="preserve"> shall </w:t>
      </w:r>
      <w:r w:rsidR="00173FC8">
        <w:rPr>
          <w:rFonts w:eastAsia="Aptos"/>
          <w:noProof/>
          <w:lang w:val="en-US"/>
        </w:rPr>
        <w:t>notify</w:t>
      </w:r>
      <w:r w:rsidR="00594A38">
        <w:rPr>
          <w:rFonts w:eastAsia="Aptos"/>
          <w:noProof/>
          <w:lang w:val="en-US"/>
        </w:rPr>
        <w:t xml:space="preserve"> other MS for </w:t>
      </w:r>
      <w:r w:rsidR="00173FC8">
        <w:rPr>
          <w:rFonts w:eastAsia="Aptos"/>
          <w:noProof/>
          <w:lang w:val="en-US"/>
        </w:rPr>
        <w:t>objection</w:t>
      </w:r>
      <w:r w:rsidR="00B91377">
        <w:rPr>
          <w:rFonts w:eastAsia="Aptos"/>
          <w:noProof/>
          <w:lang w:val="en-US"/>
        </w:rPr>
        <w:t>s</w:t>
      </w:r>
      <w:r w:rsidR="00EE6204">
        <w:rPr>
          <w:rFonts w:eastAsia="Aptos"/>
          <w:noProof/>
          <w:lang w:val="en-US"/>
        </w:rPr>
        <w:t>, which</w:t>
      </w:r>
      <w:r w:rsidR="00F04901">
        <w:rPr>
          <w:rFonts w:eastAsia="Aptos"/>
          <w:noProof/>
          <w:lang w:val="en-US"/>
        </w:rPr>
        <w:t xml:space="preserve"> the</w:t>
      </w:r>
      <w:r w:rsidR="00AA6E07">
        <w:rPr>
          <w:rFonts w:eastAsia="Aptos"/>
          <w:noProof/>
          <w:lang w:val="en-US"/>
        </w:rPr>
        <w:t xml:space="preserve"> </w:t>
      </w:r>
      <w:r w:rsidR="004803AB">
        <w:rPr>
          <w:rFonts w:eastAsia="Aptos"/>
          <w:noProof/>
          <w:lang w:val="en-US"/>
        </w:rPr>
        <w:t>evaluating competent authority will have to take into consideration</w:t>
      </w:r>
      <w:r w:rsidR="0039575B">
        <w:rPr>
          <w:rFonts w:eastAsia="Aptos"/>
          <w:noProof/>
          <w:lang w:val="en-US"/>
        </w:rPr>
        <w:t xml:space="preserve"> for the final decision</w:t>
      </w:r>
      <w:r w:rsidR="00D304EF">
        <w:rPr>
          <w:rFonts w:eastAsia="Aptos"/>
          <w:noProof/>
          <w:lang w:val="en-US"/>
        </w:rPr>
        <w:t xml:space="preserve">. This decision will allow </w:t>
      </w:r>
      <w:r w:rsidR="00D2256C">
        <w:rPr>
          <w:rFonts w:eastAsia="Aptos"/>
          <w:noProof/>
          <w:lang w:val="en-US"/>
        </w:rPr>
        <w:t>the service provider to participate in procurement procedures across the Union</w:t>
      </w:r>
      <w:r w:rsidR="004803AB">
        <w:rPr>
          <w:rFonts w:eastAsia="Aptos"/>
          <w:noProof/>
          <w:lang w:val="en-US"/>
        </w:rPr>
        <w:t xml:space="preserve">. </w:t>
      </w:r>
      <w:r w:rsidR="00C92DBB">
        <w:rPr>
          <w:rFonts w:eastAsia="Aptos"/>
          <w:noProof/>
          <w:lang w:val="en-US"/>
        </w:rPr>
        <w:t xml:space="preserve">In </w:t>
      </w:r>
      <w:r w:rsidR="00CE5C10">
        <w:rPr>
          <w:rFonts w:eastAsia="Aptos"/>
          <w:noProof/>
          <w:lang w:val="en-US"/>
        </w:rPr>
        <w:t xml:space="preserve">the case of </w:t>
      </w:r>
      <w:r w:rsidR="00004795">
        <w:rPr>
          <w:rFonts w:eastAsia="Aptos"/>
          <w:noProof/>
          <w:lang w:val="en-US"/>
        </w:rPr>
        <w:t>continued</w:t>
      </w:r>
      <w:r w:rsidR="00C92DBB">
        <w:rPr>
          <w:rFonts w:eastAsia="Aptos"/>
          <w:noProof/>
          <w:lang w:val="en-US"/>
        </w:rPr>
        <w:t xml:space="preserve"> objections, the Commission will assess it and adopt a bi</w:t>
      </w:r>
      <w:r w:rsidR="000811A2">
        <w:rPr>
          <w:rFonts w:eastAsia="Aptos"/>
          <w:noProof/>
          <w:lang w:val="en-US"/>
        </w:rPr>
        <w:t xml:space="preserve">nding decision to settle the dispute. </w:t>
      </w:r>
      <w:r w:rsidR="0066409D">
        <w:rPr>
          <w:rFonts w:eastAsia="Aptos"/>
          <w:noProof/>
          <w:lang w:val="en-US"/>
        </w:rPr>
        <w:t>If the evaluating competent authority determines that there is not enough information</w:t>
      </w:r>
      <w:r w:rsidR="007D6718">
        <w:rPr>
          <w:rFonts w:eastAsia="Aptos"/>
          <w:noProof/>
          <w:lang w:val="en-US"/>
        </w:rPr>
        <w:t xml:space="preserve"> to </w:t>
      </w:r>
      <w:r w:rsidR="00472AEB">
        <w:rPr>
          <w:rFonts w:eastAsia="Aptos"/>
          <w:noProof/>
          <w:lang w:val="en-US"/>
        </w:rPr>
        <w:t>take a decision, it shall request the provider for additional information.</w:t>
      </w:r>
      <w:r w:rsidR="00E02DD6">
        <w:rPr>
          <w:rFonts w:eastAsia="Aptos"/>
          <w:noProof/>
          <w:lang w:val="en-US"/>
        </w:rPr>
        <w:t xml:space="preserve"> Finally, in the case of a rejection, the cloud service provider will have the possibility to </w:t>
      </w:r>
      <w:r w:rsidR="008E4FEE">
        <w:rPr>
          <w:rFonts w:eastAsia="Aptos"/>
          <w:noProof/>
          <w:lang w:val="en-US"/>
        </w:rPr>
        <w:t>recourse</w:t>
      </w:r>
      <w:r w:rsidR="0026570C">
        <w:rPr>
          <w:rFonts w:eastAsia="Aptos"/>
          <w:noProof/>
          <w:lang w:val="en-US"/>
        </w:rPr>
        <w:t>, which the evaluating competent authority will have to ta</w:t>
      </w:r>
      <w:r w:rsidR="00457FF8">
        <w:rPr>
          <w:rFonts w:eastAsia="Aptos"/>
          <w:noProof/>
          <w:lang w:val="en-US"/>
        </w:rPr>
        <w:t>ke into account for the final decision.</w:t>
      </w:r>
    </w:p>
    <w:p w14:paraId="50D13B5E" w14:textId="77777777" w:rsidR="00065186" w:rsidRDefault="00065186" w:rsidP="005F0841">
      <w:pPr>
        <w:pStyle w:val="ListBullet"/>
        <w:numPr>
          <w:ilvl w:val="0"/>
          <w:numId w:val="0"/>
        </w:numPr>
        <w:ind w:left="283"/>
        <w:rPr>
          <w:rFonts w:eastAsia="Aptos"/>
          <w:noProof/>
          <w:lang w:val="en-US"/>
        </w:rPr>
      </w:pPr>
    </w:p>
    <w:p w14:paraId="67F993EE" w14:textId="661CD25F" w:rsidR="00747F71" w:rsidRDefault="00457FF8" w:rsidP="005F0841">
      <w:pPr>
        <w:pStyle w:val="ListBullet"/>
        <w:numPr>
          <w:ilvl w:val="0"/>
          <w:numId w:val="0"/>
        </w:numPr>
        <w:ind w:left="283"/>
        <w:rPr>
          <w:rFonts w:eastAsia="Aptos"/>
          <w:noProof/>
          <w:lang w:val="en-US"/>
        </w:rPr>
      </w:pPr>
      <w:r>
        <w:rPr>
          <w:rFonts w:eastAsia="Aptos"/>
          <w:noProof/>
          <w:lang w:val="en-US"/>
        </w:rPr>
        <w:t>C</w:t>
      </w:r>
      <w:r w:rsidR="00747F71" w:rsidRPr="00D241A2">
        <w:rPr>
          <w:rFonts w:eastAsia="Aptos"/>
          <w:noProof/>
          <w:lang w:val="en-US"/>
        </w:rPr>
        <w:t xml:space="preserve">ompetent authorities </w:t>
      </w:r>
      <w:r w:rsidR="00747F71">
        <w:rPr>
          <w:rFonts w:eastAsia="Aptos"/>
          <w:noProof/>
          <w:lang w:val="en-US"/>
        </w:rPr>
        <w:t>should</w:t>
      </w:r>
      <w:r w:rsidR="00747F71" w:rsidRPr="00D241A2">
        <w:rPr>
          <w:rFonts w:eastAsia="Aptos"/>
          <w:noProof/>
          <w:lang w:val="en-US"/>
        </w:rPr>
        <w:t xml:space="preserve"> </w:t>
      </w:r>
      <w:r w:rsidR="00747F71">
        <w:rPr>
          <w:rFonts w:eastAsia="Aptos"/>
          <w:noProof/>
          <w:lang w:val="en-US"/>
        </w:rPr>
        <w:t xml:space="preserve">also register the audit approval </w:t>
      </w:r>
      <w:r w:rsidR="00747F71" w:rsidRPr="00D241A2">
        <w:rPr>
          <w:rFonts w:eastAsia="Aptos"/>
          <w:noProof/>
          <w:lang w:val="en-US"/>
        </w:rPr>
        <w:t xml:space="preserve">in </w:t>
      </w:r>
      <w:r w:rsidR="00747F71">
        <w:rPr>
          <w:rFonts w:eastAsia="Aptos"/>
          <w:noProof/>
          <w:lang w:val="en-US"/>
        </w:rPr>
        <w:t>a</w:t>
      </w:r>
      <w:r w:rsidR="00747F71" w:rsidRPr="00D241A2">
        <w:rPr>
          <w:rFonts w:eastAsia="Aptos"/>
          <w:noProof/>
          <w:lang w:val="en-US"/>
        </w:rPr>
        <w:t xml:space="preserve"> Union repository</w:t>
      </w:r>
      <w:r w:rsidR="00747F71">
        <w:rPr>
          <w:rFonts w:eastAsia="Aptos"/>
          <w:noProof/>
          <w:lang w:val="en-US"/>
        </w:rPr>
        <w:t>, maintained by the Commission,</w:t>
      </w:r>
      <w:r w:rsidR="00747F71" w:rsidRPr="00D241A2">
        <w:rPr>
          <w:rFonts w:eastAsia="Aptos"/>
          <w:noProof/>
          <w:lang w:val="en-US"/>
        </w:rPr>
        <w:t xml:space="preserve"> as well as on the Digital Wallet</w:t>
      </w:r>
      <w:r w:rsidR="00747F71">
        <w:rPr>
          <w:rFonts w:eastAsia="Aptos"/>
          <w:noProof/>
          <w:lang w:val="en-US"/>
        </w:rPr>
        <w:t xml:space="preserve"> of the service provider</w:t>
      </w:r>
      <w:r w:rsidR="00747F71" w:rsidRPr="00D241A2">
        <w:rPr>
          <w:rFonts w:eastAsia="Aptos"/>
          <w:noProof/>
          <w:lang w:val="en-US"/>
        </w:rPr>
        <w:t xml:space="preserve">. The repository of sovereign cloud and AI computing services will be a public list of </w:t>
      </w:r>
      <w:r w:rsidR="00747F71">
        <w:rPr>
          <w:rFonts w:eastAsia="Aptos"/>
          <w:noProof/>
          <w:lang w:val="en-US"/>
        </w:rPr>
        <w:t>audited</w:t>
      </w:r>
      <w:r w:rsidR="00747F71" w:rsidRPr="00D241A2">
        <w:rPr>
          <w:rFonts w:eastAsia="Aptos"/>
          <w:noProof/>
          <w:lang w:val="en-US"/>
        </w:rPr>
        <w:t xml:space="preserve"> sovereign cloud and AI computing services that </w:t>
      </w:r>
      <w:r w:rsidR="00747F71">
        <w:rPr>
          <w:rFonts w:eastAsia="Aptos"/>
          <w:noProof/>
          <w:lang w:val="en-US"/>
        </w:rPr>
        <w:t xml:space="preserve">verifiably </w:t>
      </w:r>
      <w:r w:rsidR="00747F71" w:rsidRPr="00D241A2">
        <w:rPr>
          <w:rFonts w:eastAsia="Aptos"/>
          <w:noProof/>
          <w:lang w:val="en-US"/>
        </w:rPr>
        <w:t>comply with the sovereignty requirements. The benefits are for providers and users alike</w:t>
      </w:r>
      <w:r w:rsidR="00747F71">
        <w:rPr>
          <w:rFonts w:eastAsia="Aptos"/>
          <w:noProof/>
          <w:lang w:val="en-US"/>
        </w:rPr>
        <w:t xml:space="preserve">: </w:t>
      </w:r>
      <w:r w:rsidR="00747F71" w:rsidRPr="00D241A2">
        <w:rPr>
          <w:rFonts w:eastAsia="Aptos"/>
          <w:noProof/>
          <w:lang w:val="en-US"/>
        </w:rPr>
        <w:t xml:space="preserve">providers will enhance their visibility </w:t>
      </w:r>
      <w:r w:rsidR="00747F71">
        <w:rPr>
          <w:rFonts w:eastAsia="Aptos"/>
          <w:noProof/>
          <w:lang w:val="en-US"/>
        </w:rPr>
        <w:t>and users their market research.</w:t>
      </w:r>
    </w:p>
    <w:p w14:paraId="01CF92C3" w14:textId="77777777" w:rsidR="00065186" w:rsidRPr="00D241A2" w:rsidRDefault="00065186" w:rsidP="005F0841">
      <w:pPr>
        <w:pStyle w:val="ListBullet"/>
        <w:numPr>
          <w:ilvl w:val="0"/>
          <w:numId w:val="0"/>
        </w:numPr>
        <w:ind w:left="283"/>
        <w:rPr>
          <w:rFonts w:eastAsia="Aptos"/>
          <w:noProof/>
          <w:lang w:val="en-US"/>
        </w:rPr>
      </w:pPr>
    </w:p>
    <w:p w14:paraId="6CAD0440" w14:textId="77777777" w:rsidR="00747F71" w:rsidRDefault="00747F71" w:rsidP="005F0841">
      <w:pPr>
        <w:pStyle w:val="ListBullet"/>
        <w:numPr>
          <w:ilvl w:val="0"/>
          <w:numId w:val="0"/>
        </w:numPr>
        <w:ind w:left="283"/>
        <w:rPr>
          <w:noProof/>
        </w:rPr>
      </w:pPr>
      <w:r w:rsidRPr="00F01B44">
        <w:rPr>
          <w:noProof/>
        </w:rPr>
        <w:t>To cater for market evolutions, the</w:t>
      </w:r>
      <w:r>
        <w:rPr>
          <w:noProof/>
        </w:rPr>
        <w:t xml:space="preserve"> sovereignty</w:t>
      </w:r>
      <w:r w:rsidRPr="00F01B44">
        <w:rPr>
          <w:noProof/>
        </w:rPr>
        <w:t xml:space="preserve"> criteria</w:t>
      </w:r>
      <w:r>
        <w:rPr>
          <w:noProof/>
        </w:rPr>
        <w:t xml:space="preserve"> of all levels</w:t>
      </w:r>
      <w:r w:rsidRPr="00F01B44">
        <w:rPr>
          <w:noProof/>
        </w:rPr>
        <w:t xml:space="preserve"> and evaluation methodology would be modifiable by comitology. This evaluation methodology would help third party auditors in their assessment of the service and ensure full harmonisation in the way different auditors conduct their assessment and for Member States to ensure that the procedures have been followed</w:t>
      </w:r>
      <w:r>
        <w:rPr>
          <w:noProof/>
        </w:rPr>
        <w:t>.</w:t>
      </w:r>
    </w:p>
    <w:p w14:paraId="4488EF94" w14:textId="0B3F20FB" w:rsidR="00065186" w:rsidRPr="009551E6" w:rsidRDefault="00065186" w:rsidP="005F0841">
      <w:pPr>
        <w:pStyle w:val="ListBullet"/>
        <w:numPr>
          <w:ilvl w:val="0"/>
          <w:numId w:val="0"/>
        </w:numPr>
        <w:ind w:left="283"/>
        <w:rPr>
          <w:rFonts w:eastAsia="Aptos"/>
          <w:noProof/>
          <w:lang w:val="en-US"/>
        </w:rPr>
      </w:pPr>
    </w:p>
    <w:p w14:paraId="545BE2FF" w14:textId="0FE0FB01" w:rsidR="00747F71" w:rsidRPr="008069E4" w:rsidRDefault="00747F71" w:rsidP="005F0841">
      <w:pPr>
        <w:pStyle w:val="ListBullet"/>
        <w:numPr>
          <w:ilvl w:val="0"/>
          <w:numId w:val="0"/>
        </w:numPr>
        <w:ind w:left="283"/>
        <w:rPr>
          <w:rFonts w:eastAsia="Aptos"/>
          <w:noProof/>
        </w:rPr>
      </w:pPr>
      <w:r>
        <w:rPr>
          <w:noProof/>
        </w:rPr>
        <w:t xml:space="preserve">This measure is primarily designed to contribute to the protection of public order by enhancing the resilience in the public sector, which is SO4. Nevertheless, European providers would face less costs and efforts to meet sovereignty conditions. When it comes to meeting the criteria to demonstrate sovereignty level 1 and 2, EU providers can more readily substantiate that they are not affected by third-country policies affecting data access or limiting service continuity. As well, level 3 and level 4 sovereignty can only be served by service providers owned and controlled by EU entities. This implies that </w:t>
      </w:r>
      <w:r w:rsidR="00DA2F30">
        <w:rPr>
          <w:noProof/>
        </w:rPr>
        <w:t xml:space="preserve">PM21 </w:t>
      </w:r>
      <w:r>
        <w:rPr>
          <w:noProof/>
        </w:rPr>
        <w:t>will also contribute to decreasing the overall reliance on non-European cloud and AI computing services, which is SO3.</w:t>
      </w:r>
    </w:p>
    <w:p w14:paraId="68126ABC" w14:textId="77777777" w:rsidR="00C33CEC" w:rsidRDefault="00C33CEC" w:rsidP="003E6F96">
      <w:pPr>
        <w:pStyle w:val="ListBullet"/>
        <w:numPr>
          <w:ilvl w:val="0"/>
          <w:numId w:val="0"/>
        </w:numPr>
        <w:spacing w:after="0"/>
        <w:ind w:left="284"/>
        <w:rPr>
          <w:b/>
          <w:bCs/>
          <w:noProof/>
        </w:rPr>
      </w:pPr>
    </w:p>
    <w:p w14:paraId="16730FBC" w14:textId="450A0338" w:rsidR="00876166" w:rsidRPr="00D37004" w:rsidDel="00C35A65" w:rsidRDefault="00524857" w:rsidP="003E6F96">
      <w:pPr>
        <w:pStyle w:val="ListBullet"/>
        <w:numPr>
          <w:ilvl w:val="0"/>
          <w:numId w:val="0"/>
        </w:numPr>
        <w:spacing w:after="0"/>
        <w:ind w:left="284"/>
        <w:rPr>
          <w:noProof/>
        </w:rPr>
      </w:pPr>
      <w:r w:rsidRPr="00434F21">
        <w:rPr>
          <w:b/>
          <w:bCs/>
          <w:noProof/>
        </w:rPr>
        <w:t>Second</w:t>
      </w:r>
      <w:r w:rsidRPr="008E66EB">
        <w:rPr>
          <w:noProof/>
        </w:rPr>
        <w:t>,</w:t>
      </w:r>
      <w:r>
        <w:rPr>
          <w:noProof/>
        </w:rPr>
        <w:t xml:space="preserve"> private sector essential entities listed under Annex I of NIS 2 </w:t>
      </w:r>
      <w:r w:rsidR="002F3413">
        <w:rPr>
          <w:noProof/>
        </w:rPr>
        <w:t>are encouraged</w:t>
      </w:r>
      <w:r>
        <w:rPr>
          <w:noProof/>
        </w:rPr>
        <w:t xml:space="preserve"> to integrate into the cybersecurity risk assessment they already conduct, the </w:t>
      </w:r>
      <w:r w:rsidR="00685CBF">
        <w:rPr>
          <w:noProof/>
        </w:rPr>
        <w:t xml:space="preserve">assessment of the </w:t>
      </w:r>
      <w:r>
        <w:rPr>
          <w:noProof/>
        </w:rPr>
        <w:t xml:space="preserve">risks stemming from </w:t>
      </w:r>
      <w:r w:rsidR="00F50B84">
        <w:rPr>
          <w:noProof/>
        </w:rPr>
        <w:t>their use of</w:t>
      </w:r>
      <w:r>
        <w:rPr>
          <w:noProof/>
        </w:rPr>
        <w:t xml:space="preserve"> </w:t>
      </w:r>
      <w:r w:rsidR="00680E15">
        <w:rPr>
          <w:noProof/>
        </w:rPr>
        <w:t>cloud and AI computing services</w:t>
      </w:r>
      <w:r w:rsidR="00A92D8A">
        <w:rPr>
          <w:noProof/>
        </w:rPr>
        <w:t xml:space="preserve">. This includes an </w:t>
      </w:r>
      <w:r w:rsidR="0084431E">
        <w:rPr>
          <w:noProof/>
        </w:rPr>
        <w:t>analys</w:t>
      </w:r>
      <w:r w:rsidR="00A92D8A">
        <w:rPr>
          <w:noProof/>
        </w:rPr>
        <w:t>is of</w:t>
      </w:r>
      <w:r w:rsidR="00D61D12">
        <w:rPr>
          <w:noProof/>
        </w:rPr>
        <w:t xml:space="preserve"> </w:t>
      </w:r>
      <w:r w:rsidR="00CA3383">
        <w:rPr>
          <w:noProof/>
        </w:rPr>
        <w:t xml:space="preserve">the laws </w:t>
      </w:r>
      <w:r w:rsidR="00D61D12">
        <w:rPr>
          <w:noProof/>
        </w:rPr>
        <w:t xml:space="preserve">applicable </w:t>
      </w:r>
      <w:r w:rsidR="00CA3383">
        <w:rPr>
          <w:noProof/>
        </w:rPr>
        <w:t xml:space="preserve">to the computing service </w:t>
      </w:r>
      <w:r w:rsidR="00D61D12">
        <w:rPr>
          <w:noProof/>
        </w:rPr>
        <w:t>and the extraterritorial reach of such laws;</w:t>
      </w:r>
      <w:r w:rsidR="00CA3383">
        <w:rPr>
          <w:noProof/>
        </w:rPr>
        <w:t xml:space="preserve"> the </w:t>
      </w:r>
      <w:r w:rsidR="00B4493E">
        <w:rPr>
          <w:noProof/>
        </w:rPr>
        <w:t xml:space="preserve">risks associated to the possible </w:t>
      </w:r>
      <w:r w:rsidR="00D61D12">
        <w:rPr>
          <w:noProof/>
        </w:rPr>
        <w:t>unauthorised third country government access to and transfer of data;</w:t>
      </w:r>
      <w:r w:rsidR="00B4493E">
        <w:rPr>
          <w:noProof/>
        </w:rPr>
        <w:t xml:space="preserve"> the </w:t>
      </w:r>
      <w:r w:rsidR="00160C0B">
        <w:rPr>
          <w:noProof/>
        </w:rPr>
        <w:t>risks associated to</w:t>
      </w:r>
      <w:r w:rsidR="00D61D12">
        <w:rPr>
          <w:noProof/>
        </w:rPr>
        <w:t xml:space="preserve"> service continuity and quality;</w:t>
      </w:r>
      <w:r w:rsidR="00160C0B">
        <w:rPr>
          <w:noProof/>
        </w:rPr>
        <w:t xml:space="preserve"> the </w:t>
      </w:r>
      <w:r w:rsidR="00D61D12">
        <w:rPr>
          <w:noProof/>
        </w:rPr>
        <w:t>operational dependency and possible loss of autonomy.</w:t>
      </w:r>
    </w:p>
    <w:p w14:paraId="2F76283D" w14:textId="27BEF30A" w:rsidR="00876166" w:rsidRPr="00D37004" w:rsidDel="00876166" w:rsidRDefault="00E61374" w:rsidP="003E6F96">
      <w:pPr>
        <w:pStyle w:val="ListBullet"/>
        <w:spacing w:before="120" w:after="120"/>
        <w:rPr>
          <w:noProof/>
        </w:rPr>
      </w:pPr>
      <w:r w:rsidRPr="00D37004">
        <w:rPr>
          <w:b/>
          <w:noProof/>
        </w:rPr>
        <w:t>Policy Measure 22 (</w:t>
      </w:r>
      <w:r w:rsidRPr="00D37004">
        <w:rPr>
          <w:b/>
          <w:noProof/>
          <w:u w:val="single"/>
        </w:rPr>
        <w:t>PM22</w:t>
      </w:r>
      <w:r w:rsidRPr="00D37004">
        <w:rPr>
          <w:noProof/>
        </w:rPr>
        <w:t xml:space="preserve">) establishes a </w:t>
      </w:r>
      <w:r w:rsidR="00A25F4C" w:rsidRPr="00A25F4C">
        <w:rPr>
          <w:noProof/>
        </w:rPr>
        <w:t>voluntary framework for EU-level public procurement of cloud and AI computing services for EU institutions, bodies and agencies, and Member States public sector organisations. The intention of the joint procurement framework is to enable participants to procure with a common voice. The joint procurement framework would complement Member States’ existing procurement practices. This measure is about creating a framework enabling joint procurement, but the participating contracting authorities are left with the power to decide the details of what they ultimately want to procure. This measure builds on the common platform under PM17.</w:t>
      </w:r>
      <w:r w:rsidR="00487DB3">
        <w:rPr>
          <w:noProof/>
        </w:rPr>
        <w:t xml:space="preserve"> </w:t>
      </w:r>
      <w:r w:rsidR="00DC41B5">
        <w:rPr>
          <w:noProof/>
        </w:rPr>
        <w:t>It</w:t>
      </w:r>
      <w:r w:rsidR="00487DB3">
        <w:rPr>
          <w:noProof/>
        </w:rPr>
        <w:t xml:space="preserve"> </w:t>
      </w:r>
      <w:r w:rsidR="0095572D" w:rsidRPr="00E50E2B">
        <w:rPr>
          <w:noProof/>
          <w:lang w:val="en-US"/>
        </w:rPr>
        <w:t>will a</w:t>
      </w:r>
      <w:r w:rsidR="0095572D">
        <w:rPr>
          <w:noProof/>
          <w:lang w:val="en-US"/>
        </w:rPr>
        <w:t xml:space="preserve">llow aggregation of demand for innovative solutions, allowing the EU to do what the US has done with a lot of success in the past, i.e. award large contracts which support early innovation and uptake (see PD1) and </w:t>
      </w:r>
      <w:r w:rsidR="002B1D42">
        <w:rPr>
          <w:noProof/>
          <w:lang w:val="en-US"/>
        </w:rPr>
        <w:t>mitigate the lack of stable contracts holding European providers back from scaling up (see PD3)</w:t>
      </w:r>
      <w:r w:rsidR="0095572D">
        <w:rPr>
          <w:noProof/>
          <w:lang w:val="en-US"/>
        </w:rPr>
        <w:t>.</w:t>
      </w:r>
    </w:p>
    <w:p w14:paraId="457BEECF" w14:textId="721C5BE0" w:rsidR="00E61374" w:rsidRPr="00D37004" w:rsidRDefault="00E61374" w:rsidP="003E6F96">
      <w:pPr>
        <w:pStyle w:val="ListBullet"/>
        <w:spacing w:before="120" w:after="120"/>
        <w:rPr>
          <w:noProof/>
        </w:rPr>
      </w:pPr>
      <w:r w:rsidRPr="00D37004">
        <w:rPr>
          <w:b/>
          <w:noProof/>
        </w:rPr>
        <w:t>Policy Measure 23 (</w:t>
      </w:r>
      <w:r w:rsidRPr="00D37004">
        <w:rPr>
          <w:b/>
          <w:noProof/>
          <w:u w:val="single"/>
        </w:rPr>
        <w:t>PM23</w:t>
      </w:r>
      <w:r w:rsidRPr="00D37004">
        <w:rPr>
          <w:noProof/>
        </w:rPr>
        <w:t xml:space="preserve">) </w:t>
      </w:r>
      <w:r>
        <w:rPr>
          <w:noProof/>
        </w:rPr>
        <w:t xml:space="preserve">creates a support scheme for SMEs to support through consultancy </w:t>
      </w:r>
      <w:r w:rsidRPr="00D37004">
        <w:rPr>
          <w:noProof/>
        </w:rPr>
        <w:t xml:space="preserve">the adoption of cloud and AI </w:t>
      </w:r>
      <w:r>
        <w:rPr>
          <w:noProof/>
        </w:rPr>
        <w:t xml:space="preserve">computing </w:t>
      </w:r>
      <w:r w:rsidRPr="00D37004">
        <w:rPr>
          <w:noProof/>
        </w:rPr>
        <w:t>services by SMEs</w:t>
      </w:r>
      <w:r w:rsidR="007B6E31">
        <w:rPr>
          <w:noProof/>
        </w:rPr>
        <w:t>, including European CSPs</w:t>
      </w:r>
      <w:r w:rsidRPr="00D37004">
        <w:rPr>
          <w:noProof/>
        </w:rPr>
        <w:t>. While technically independent, this measure presents synergies with PM18.</w:t>
      </w:r>
      <w:r w:rsidRPr="00D37004" w:rsidDel="00352C03">
        <w:rPr>
          <w:noProof/>
        </w:rPr>
        <w:t xml:space="preserve"> </w:t>
      </w:r>
      <w:r w:rsidRPr="00D37004">
        <w:rPr>
          <w:noProof/>
        </w:rPr>
        <w:t>As with other measures</w:t>
      </w:r>
      <w:r>
        <w:rPr>
          <w:noProof/>
        </w:rPr>
        <w:t xml:space="preserve"> that imply funding, this does not pre-empt the next MFF.</w:t>
      </w:r>
    </w:p>
    <w:p w14:paraId="6EC5E4DC" w14:textId="426E98A7" w:rsidR="00612226" w:rsidRPr="009E161E" w:rsidRDefault="00E61374" w:rsidP="003E6F96">
      <w:pPr>
        <w:pStyle w:val="ListBullet"/>
        <w:spacing w:before="120" w:after="120"/>
        <w:rPr>
          <w:iCs/>
          <w:noProof/>
        </w:rPr>
      </w:pPr>
      <w:r w:rsidRPr="00CA6849">
        <w:rPr>
          <w:b/>
          <w:noProof/>
        </w:rPr>
        <w:t>Policy Measure 24 (</w:t>
      </w:r>
      <w:r w:rsidRPr="00CA6849">
        <w:rPr>
          <w:b/>
          <w:noProof/>
          <w:u w:val="single"/>
        </w:rPr>
        <w:t>PM24</w:t>
      </w:r>
      <w:r w:rsidRPr="00F7021F">
        <w:rPr>
          <w:noProof/>
        </w:rPr>
        <w:t>)</w:t>
      </w:r>
      <w:r>
        <w:rPr>
          <w:noProof/>
        </w:rPr>
        <w:t xml:space="preserve"> </w:t>
      </w:r>
      <w:r w:rsidR="00F7021F">
        <w:rPr>
          <w:noProof/>
        </w:rPr>
        <w:t xml:space="preserve">would imply that the Commission </w:t>
      </w:r>
      <w:r>
        <w:rPr>
          <w:noProof/>
        </w:rPr>
        <w:t xml:space="preserve">sets up an online </w:t>
      </w:r>
      <w:r w:rsidR="003836FC">
        <w:rPr>
          <w:noProof/>
        </w:rPr>
        <w:t>toolbox</w:t>
      </w:r>
      <w:r w:rsidR="00F674F5">
        <w:rPr>
          <w:noProof/>
        </w:rPr>
        <w:t xml:space="preserve"> for the private </w:t>
      </w:r>
      <w:r w:rsidR="00A86319">
        <w:rPr>
          <w:noProof/>
        </w:rPr>
        <w:t xml:space="preserve">sector service providers to easily identify </w:t>
      </w:r>
      <w:r w:rsidR="00215906">
        <w:rPr>
          <w:noProof/>
        </w:rPr>
        <w:t xml:space="preserve">software </w:t>
      </w:r>
      <w:r w:rsidR="00A86319">
        <w:rPr>
          <w:noProof/>
        </w:rPr>
        <w:t>tools, in particular open source</w:t>
      </w:r>
      <w:r w:rsidR="00EF732F">
        <w:rPr>
          <w:noProof/>
        </w:rPr>
        <w:t xml:space="preserve"> ones,</w:t>
      </w:r>
      <w:r w:rsidR="00DC615F">
        <w:rPr>
          <w:noProof/>
        </w:rPr>
        <w:t xml:space="preserve"> with the specific aim to </w:t>
      </w:r>
      <w:r w:rsidR="00F062FE">
        <w:rPr>
          <w:noProof/>
        </w:rPr>
        <w:t xml:space="preserve">help them in complementing their </w:t>
      </w:r>
      <w:r w:rsidR="00CA6849">
        <w:rPr>
          <w:noProof/>
        </w:rPr>
        <w:t xml:space="preserve">service offering. This toolbox would </w:t>
      </w:r>
      <w:r w:rsidR="00B21588">
        <w:rPr>
          <w:noProof/>
        </w:rPr>
        <w:t>create visibility for</w:t>
      </w:r>
      <w:r w:rsidR="00E96AFB">
        <w:rPr>
          <w:noProof/>
        </w:rPr>
        <w:t xml:space="preserve"> lesser known </w:t>
      </w:r>
      <w:r w:rsidR="00215906" w:rsidDel="009E161E">
        <w:rPr>
          <w:noProof/>
        </w:rPr>
        <w:t>tools</w:t>
      </w:r>
      <w:r w:rsidR="009E161E">
        <w:rPr>
          <w:noProof/>
        </w:rPr>
        <w:t xml:space="preserve"> and</w:t>
      </w:r>
      <w:r w:rsidR="00D638E1">
        <w:rPr>
          <w:noProof/>
        </w:rPr>
        <w:t xml:space="preserve"> serve as a final repository for the outcome of </w:t>
      </w:r>
      <w:r w:rsidR="006360BC">
        <w:rPr>
          <w:noProof/>
        </w:rPr>
        <w:t>projects funded by European programmes.</w:t>
      </w:r>
    </w:p>
    <w:p w14:paraId="48D7EA51" w14:textId="27BE2959" w:rsidR="00E61374" w:rsidRPr="00D37004" w:rsidRDefault="00E61374" w:rsidP="00E61374">
      <w:pPr>
        <w:rPr>
          <w:noProof/>
        </w:rPr>
      </w:pPr>
      <w:r w:rsidRPr="00D37004">
        <w:rPr>
          <w:noProof/>
        </w:rPr>
        <w:t xml:space="preserve">Overall, all </w:t>
      </w:r>
      <w:r>
        <w:rPr>
          <w:noProof/>
        </w:rPr>
        <w:t>the</w:t>
      </w:r>
      <w:r w:rsidRPr="7EADE243">
        <w:rPr>
          <w:i/>
          <w:iCs/>
          <w:noProof/>
        </w:rPr>
        <w:t xml:space="preserve"> </w:t>
      </w:r>
      <w:r>
        <w:rPr>
          <w:noProof/>
        </w:rPr>
        <w:t>categories of respondents</w:t>
      </w:r>
      <w:r w:rsidRPr="00D37004">
        <w:rPr>
          <w:noProof/>
        </w:rPr>
        <w:t xml:space="preserve"> showed strong support for measures that would promote open source, including to achieve sovereignty. Most EU citizens, public authorities and academic institutions would favour an obligation to release the code developed with public money </w:t>
      </w:r>
      <w:r w:rsidR="008F7FD3">
        <w:rPr>
          <w:noProof/>
        </w:rPr>
        <w:t>in</w:t>
      </w:r>
      <w:r w:rsidRPr="00D37004">
        <w:rPr>
          <w:noProof/>
        </w:rPr>
        <w:t xml:space="preserve"> open</w:t>
      </w:r>
      <w:r>
        <w:rPr>
          <w:noProof/>
        </w:rPr>
        <w:t xml:space="preserve"> </w:t>
      </w:r>
      <w:r w:rsidRPr="00D37004">
        <w:rPr>
          <w:noProof/>
        </w:rPr>
        <w:t xml:space="preserve">source repositories, as well as a common </w:t>
      </w:r>
      <w:r w:rsidR="008F7FD3">
        <w:rPr>
          <w:noProof/>
        </w:rPr>
        <w:t xml:space="preserve">EU </w:t>
      </w:r>
      <w:r w:rsidRPr="00D37004">
        <w:rPr>
          <w:noProof/>
        </w:rPr>
        <w:t>open</w:t>
      </w:r>
      <w:r>
        <w:rPr>
          <w:noProof/>
        </w:rPr>
        <w:t xml:space="preserve"> </w:t>
      </w:r>
      <w:r w:rsidRPr="00D37004">
        <w:rPr>
          <w:noProof/>
        </w:rPr>
        <w:t xml:space="preserve">source licensing schema. Public authorities showed strong support for a marketplace for cloud and AI </w:t>
      </w:r>
      <w:r>
        <w:rPr>
          <w:noProof/>
        </w:rPr>
        <w:t>computing servic</w:t>
      </w:r>
      <w:r w:rsidR="008F7FD3">
        <w:rPr>
          <w:noProof/>
        </w:rPr>
        <w:t>es</w:t>
      </w:r>
      <w:r w:rsidRPr="00D37004">
        <w:rPr>
          <w:noProof/>
        </w:rPr>
        <w:t xml:space="preserve">. In terms of EU-level action to prevent unlawful access to data, several public authorities favoured </w:t>
      </w:r>
      <w:r>
        <w:rPr>
          <w:noProof/>
        </w:rPr>
        <w:t xml:space="preserve">common </w:t>
      </w:r>
      <w:r w:rsidRPr="00D37004">
        <w:rPr>
          <w:noProof/>
        </w:rPr>
        <w:t xml:space="preserve">criteria to help them during the procurement process to identify highly critical use cases. Several companies also supported </w:t>
      </w:r>
      <w:r w:rsidR="008F7FD3">
        <w:rPr>
          <w:noProof/>
        </w:rPr>
        <w:t>this</w:t>
      </w:r>
      <w:r w:rsidRPr="00D37004">
        <w:rPr>
          <w:noProof/>
        </w:rPr>
        <w:t xml:space="preserve">. Over 60 position papers received through the </w:t>
      </w:r>
      <w:r>
        <w:rPr>
          <w:noProof/>
        </w:rPr>
        <w:t>CfE</w:t>
      </w:r>
      <w:r w:rsidRPr="00D37004">
        <w:rPr>
          <w:noProof/>
        </w:rPr>
        <w:t xml:space="preserve"> stressed the importance of public procurement, including joint procurement and the strategic role the public sector could play as an anchor client</w:t>
      </w:r>
      <w:r w:rsidRPr="00D37004" w:rsidDel="25F9B616">
        <w:rPr>
          <w:noProof/>
        </w:rPr>
        <w:t>.</w:t>
      </w:r>
      <w:r w:rsidRPr="00D37004">
        <w:rPr>
          <w:noProof/>
        </w:rPr>
        <w:t xml:space="preserve"> </w:t>
      </w:r>
    </w:p>
    <w:p w14:paraId="1E44F3F4" w14:textId="612C15BA" w:rsidR="00E61374" w:rsidRPr="00D37004" w:rsidRDefault="00E61374" w:rsidP="00E61374">
      <w:pPr>
        <w:pStyle w:val="Caption"/>
        <w:rPr>
          <w:noProof/>
        </w:rPr>
      </w:pPr>
      <w:bookmarkStart w:id="48" w:name="_Ref230792947"/>
      <w:bookmarkEnd w:id="43"/>
      <w:r w:rsidRPr="00434A0B">
        <w:rPr>
          <w:noProof/>
        </w:rPr>
        <w:t xml:space="preserve">Figure </w:t>
      </w:r>
      <w:r w:rsidRPr="00434A0B">
        <w:rPr>
          <w:noProof/>
        </w:rPr>
        <w:fldChar w:fldCharType="begin"/>
      </w:r>
      <w:r w:rsidRPr="00434A0B">
        <w:rPr>
          <w:noProof/>
        </w:rPr>
        <w:instrText xml:space="preserve"> SEQ Figure \* ARABIC </w:instrText>
      </w:r>
      <w:r w:rsidRPr="00434A0B">
        <w:rPr>
          <w:noProof/>
        </w:rPr>
        <w:fldChar w:fldCharType="separate"/>
      </w:r>
      <w:r w:rsidR="00137E65">
        <w:rPr>
          <w:noProof/>
        </w:rPr>
        <w:t>9</w:t>
      </w:r>
      <w:r w:rsidRPr="00434A0B">
        <w:rPr>
          <w:noProof/>
        </w:rPr>
        <w:fldChar w:fldCharType="end"/>
      </w:r>
      <w:bookmarkEnd w:id="48"/>
      <w:r w:rsidRPr="00434A0B">
        <w:rPr>
          <w:noProof/>
        </w:rPr>
        <w:t xml:space="preserve">. </w:t>
      </w:r>
      <w:r w:rsidR="008F7FD3" w:rsidRPr="00434A0B">
        <w:rPr>
          <w:noProof/>
        </w:rPr>
        <w:t>Illustrations</w:t>
      </w:r>
      <w:r w:rsidRPr="00434A0B">
        <w:rPr>
          <w:noProof/>
        </w:rPr>
        <w:t xml:space="preserve"> of </w:t>
      </w:r>
      <w:r w:rsidR="008F7FD3" w:rsidRPr="00434A0B">
        <w:rPr>
          <w:noProof/>
        </w:rPr>
        <w:t>Policy Options</w:t>
      </w:r>
      <w:r w:rsidRPr="00434A0B">
        <w:rPr>
          <w:noProof/>
        </w:rPr>
        <w:t xml:space="preserve"> to address the dependence on cloud and AI computing services supplied by non-European providers</w:t>
      </w:r>
    </w:p>
    <w:p w14:paraId="3619E579" w14:textId="18F881E6" w:rsidR="00E61374" w:rsidRDefault="00E96621" w:rsidP="00A81C86">
      <w:pPr>
        <w:jc w:val="center"/>
        <w:rPr>
          <w:noProof/>
        </w:rPr>
      </w:pPr>
      <w:r>
        <w:rPr>
          <w:noProof/>
          <w:lang w:eastAsia="en-GB"/>
        </w:rPr>
        <w:drawing>
          <wp:inline distT="0" distB="0" distL="0" distR="0" wp14:anchorId="64E39AD1" wp14:editId="2DAFCA19">
            <wp:extent cx="4572000" cy="1899902"/>
            <wp:effectExtent l="0" t="0" r="0" b="0"/>
            <wp:docPr id="10919455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83853" cy="1904828"/>
                    </a:xfrm>
                    <a:prstGeom prst="rect">
                      <a:avLst/>
                    </a:prstGeom>
                    <a:noFill/>
                  </pic:spPr>
                </pic:pic>
              </a:graphicData>
            </a:graphic>
          </wp:inline>
        </w:drawing>
      </w:r>
    </w:p>
    <w:p w14:paraId="348E79BC" w14:textId="176179AF" w:rsidR="00443198" w:rsidRDefault="004F52FF" w:rsidP="00057F83">
      <w:pPr>
        <w:rPr>
          <w:noProof/>
        </w:rPr>
      </w:pPr>
      <w:r>
        <w:rPr>
          <w:noProof/>
        </w:rPr>
        <w:t xml:space="preserve">In relation to the identified problem drivers, the above-mentioned measures </w:t>
      </w:r>
      <w:r w:rsidR="009E5F13">
        <w:rPr>
          <w:noProof/>
        </w:rPr>
        <w:t xml:space="preserve">are expected to </w:t>
      </w:r>
      <w:r>
        <w:rPr>
          <w:noProof/>
        </w:rPr>
        <w:t xml:space="preserve">intervene as follows: </w:t>
      </w:r>
      <w:r w:rsidRPr="009F2DE7">
        <w:rPr>
          <w:noProof/>
        </w:rPr>
        <w:t xml:space="preserve">PM11 &amp; PM12 </w:t>
      </w:r>
      <w:r w:rsidR="009E5F13">
        <w:rPr>
          <w:noProof/>
        </w:rPr>
        <w:t xml:space="preserve">would </w:t>
      </w:r>
      <w:r w:rsidRPr="009F2DE7">
        <w:rPr>
          <w:noProof/>
        </w:rPr>
        <w:t xml:space="preserve">allow users of cloud and AI computing services to reliably identify </w:t>
      </w:r>
      <w:r w:rsidR="00527CC0" w:rsidRPr="00645EEC">
        <w:rPr>
          <w:noProof/>
        </w:rPr>
        <w:t xml:space="preserve">the level of sovereignty of </w:t>
      </w:r>
      <w:r w:rsidRPr="009F2DE7">
        <w:rPr>
          <w:noProof/>
        </w:rPr>
        <w:t>a service</w:t>
      </w:r>
      <w:r w:rsidRPr="00645EEC">
        <w:rPr>
          <w:noProof/>
        </w:rPr>
        <w:t>.</w:t>
      </w:r>
      <w:r w:rsidRPr="009F2DE7">
        <w:rPr>
          <w:noProof/>
        </w:rPr>
        <w:t xml:space="preserve"> </w:t>
      </w:r>
      <w:r w:rsidRPr="00645EEC">
        <w:rPr>
          <w:noProof/>
        </w:rPr>
        <w:t xml:space="preserve">PM15 and PM21 add </w:t>
      </w:r>
      <w:r w:rsidR="00E00EF2" w:rsidRPr="00645EEC">
        <w:rPr>
          <w:noProof/>
        </w:rPr>
        <w:t xml:space="preserve">a sovereignty </w:t>
      </w:r>
      <w:r w:rsidR="00527CC0" w:rsidRPr="00645EEC">
        <w:rPr>
          <w:noProof/>
        </w:rPr>
        <w:t>risk assessment</w:t>
      </w:r>
      <w:r w:rsidRPr="00645EEC">
        <w:rPr>
          <w:noProof/>
        </w:rPr>
        <w:t xml:space="preserve"> for the public sector</w:t>
      </w:r>
      <w:r w:rsidR="00645EEC" w:rsidRPr="00645EEC">
        <w:rPr>
          <w:noProof/>
        </w:rPr>
        <w:t xml:space="preserve"> to identify its sovereignty needs</w:t>
      </w:r>
      <w:r w:rsidRPr="00645EEC">
        <w:rPr>
          <w:noProof/>
        </w:rPr>
        <w:t>.</w:t>
      </w:r>
      <w:r w:rsidRPr="009F2DE7">
        <w:rPr>
          <w:noProof/>
        </w:rPr>
        <w:t xml:space="preserve"> These measures </w:t>
      </w:r>
      <w:r w:rsidR="00E34671">
        <w:rPr>
          <w:noProof/>
        </w:rPr>
        <w:t>directly</w:t>
      </w:r>
      <w:r w:rsidRPr="009F2DE7">
        <w:rPr>
          <w:noProof/>
        </w:rPr>
        <w:t xml:space="preserve"> address PD4 (absence of clarity around the concept of sovereign cloud and AI computing services), with growing degrees of intensity. As European providers of cloud and AI computing services can be considered to be in a good starting position for meeting the benchmark of sovereignty, and because of the public sector’s particular interest in relying on sovereign services, these measures also address PD3 (limited public sector uptake of cloud and AI computing services supplied by European providers) – with </w:t>
      </w:r>
      <w:r w:rsidR="00290D5C">
        <w:rPr>
          <w:noProof/>
        </w:rPr>
        <w:t xml:space="preserve">PM19 and </w:t>
      </w:r>
      <w:r w:rsidRPr="009F2DE7">
        <w:rPr>
          <w:noProof/>
        </w:rPr>
        <w:t xml:space="preserve">PM21 being the most direct. </w:t>
      </w:r>
      <w:r w:rsidR="009A7598">
        <w:rPr>
          <w:noProof/>
        </w:rPr>
        <w:t xml:space="preserve">PD3 refers in particular to the </w:t>
      </w:r>
      <w:r w:rsidR="00C33A41">
        <w:rPr>
          <w:noProof/>
        </w:rPr>
        <w:t xml:space="preserve">lack of stable contracts for European CSPs, which would be mitigated </w:t>
      </w:r>
      <w:r w:rsidR="005E64B9">
        <w:rPr>
          <w:noProof/>
        </w:rPr>
        <w:t>through PM15 and, more directly, through PM21</w:t>
      </w:r>
      <w:r w:rsidR="00260BCB">
        <w:rPr>
          <w:noProof/>
        </w:rPr>
        <w:t xml:space="preserve"> and PM</w:t>
      </w:r>
      <w:r w:rsidR="00290D5C">
        <w:rPr>
          <w:noProof/>
        </w:rPr>
        <w:t>19</w:t>
      </w:r>
      <w:r w:rsidR="005E64B9">
        <w:rPr>
          <w:noProof/>
        </w:rPr>
        <w:t>.</w:t>
      </w:r>
      <w:r w:rsidRPr="009F2DE7">
        <w:rPr>
          <w:noProof/>
        </w:rPr>
        <w:t xml:space="preserve"> PM13, PM18, PM23 and PM24 enhance the visibility and usability of services provided by a more diverse set of cloud and AI computing service providers, including European ones. They make it more likely for users, including the public sector, to choose these solutions (meaning a contribution to tackling PD3) and contribute to addressing the factors summarised under PD1 (lack of scale and scope of EU cloud service providers). PM14 contributes to interoperability, thus addressing PD1 (enhanced interoperability is a way of arriving at more integrated service offerings and lower the threshold for users to combine multiple offerings from European providers). </w:t>
      </w:r>
      <w:r w:rsidR="00C828BB">
        <w:rPr>
          <w:noProof/>
        </w:rPr>
        <w:t xml:space="preserve">PM16 and </w:t>
      </w:r>
      <w:r w:rsidR="006F5518">
        <w:rPr>
          <w:noProof/>
        </w:rPr>
        <w:t>PM</w:t>
      </w:r>
      <w:r w:rsidR="00890D1D">
        <w:rPr>
          <w:noProof/>
        </w:rPr>
        <w:t>19</w:t>
      </w:r>
      <w:r w:rsidR="006F5518">
        <w:rPr>
          <w:noProof/>
        </w:rPr>
        <w:t>,</w:t>
      </w:r>
      <w:r w:rsidRPr="009F2DE7">
        <w:rPr>
          <w:noProof/>
        </w:rPr>
        <w:t xml:space="preserve"> allows for the recognition of an EU-added value in public procurement and PM1</w:t>
      </w:r>
      <w:r w:rsidR="00890D1D">
        <w:rPr>
          <w:noProof/>
        </w:rPr>
        <w:t>5 and PM21</w:t>
      </w:r>
      <w:r w:rsidRPr="009F2DE7">
        <w:rPr>
          <w:noProof/>
        </w:rPr>
        <w:t xml:space="preserve"> will shed light on sovereignty vulnerabilities in the public sector, likely to result in a growing turn towards sovereign, including European services and thus addressing PD1 (more public contracts can be expected to help European providers grow the scale and scope of their service offer). PM17 and PM22 will boost public sector uptake, including to the benefit of European providers. They can thus be seen as addressing PD3. </w:t>
      </w:r>
      <w:r w:rsidR="00137FEB">
        <w:rPr>
          <w:noProof/>
        </w:rPr>
        <w:t xml:space="preserve">PM22 </w:t>
      </w:r>
      <w:r w:rsidR="006D24EE">
        <w:rPr>
          <w:noProof/>
        </w:rPr>
        <w:t xml:space="preserve">would </w:t>
      </w:r>
      <w:r w:rsidR="006D24EE" w:rsidRPr="00E50E2B">
        <w:rPr>
          <w:noProof/>
          <w:lang w:val="en-US"/>
        </w:rPr>
        <w:t>a</w:t>
      </w:r>
      <w:r w:rsidR="006D24EE">
        <w:rPr>
          <w:noProof/>
          <w:lang w:val="en-US"/>
        </w:rPr>
        <w:t>llow aggregation of demand for innovative solutions, allowing</w:t>
      </w:r>
      <w:r w:rsidR="00137FEB">
        <w:rPr>
          <w:noProof/>
          <w:lang w:val="en-US"/>
        </w:rPr>
        <w:t xml:space="preserve"> the </w:t>
      </w:r>
      <w:r w:rsidR="006D24EE">
        <w:rPr>
          <w:noProof/>
          <w:lang w:val="en-US"/>
        </w:rPr>
        <w:t>EU</w:t>
      </w:r>
      <w:r w:rsidR="00137FEB">
        <w:rPr>
          <w:noProof/>
          <w:lang w:val="en-US"/>
        </w:rPr>
        <w:t xml:space="preserve"> to </w:t>
      </w:r>
      <w:r w:rsidR="006D24EE">
        <w:rPr>
          <w:noProof/>
          <w:lang w:val="en-US"/>
        </w:rPr>
        <w:t>do what</w:t>
      </w:r>
      <w:r w:rsidR="00137FEB">
        <w:rPr>
          <w:noProof/>
          <w:lang w:val="en-US"/>
        </w:rPr>
        <w:t xml:space="preserve"> the </w:t>
      </w:r>
      <w:r w:rsidR="006D24EE">
        <w:rPr>
          <w:noProof/>
          <w:lang w:val="en-US"/>
        </w:rPr>
        <w:t>US has done</w:t>
      </w:r>
      <w:r w:rsidR="00137FEB">
        <w:rPr>
          <w:noProof/>
          <w:lang w:val="en-US"/>
        </w:rPr>
        <w:t xml:space="preserve"> with </w:t>
      </w:r>
      <w:r w:rsidR="006D24EE">
        <w:rPr>
          <w:noProof/>
          <w:lang w:val="en-US"/>
        </w:rPr>
        <w:t>a lot of success in the past, i.e. award large contracts which support early innovation and uptake (see PD1).</w:t>
      </w:r>
      <w:r>
        <w:rPr>
          <w:noProof/>
          <w:lang w:val="en-US"/>
        </w:rPr>
        <w:t xml:space="preserve"> </w:t>
      </w:r>
      <w:r w:rsidRPr="009F2DE7">
        <w:rPr>
          <w:noProof/>
        </w:rPr>
        <w:t xml:space="preserve">PM20 boosts the public sector’s use of/contribution to open source, </w:t>
      </w:r>
      <w:r w:rsidR="00135F26">
        <w:rPr>
          <w:noProof/>
        </w:rPr>
        <w:t xml:space="preserve">creating opportunities for smaller players, because open source allows for a faster development of new solutions and allows new ideas to challenge existing market silos. </w:t>
      </w:r>
      <w:r w:rsidR="000958E2">
        <w:rPr>
          <w:noProof/>
        </w:rPr>
        <w:t xml:space="preserve">It thus contributes to both PD3 and PD1. </w:t>
      </w:r>
      <w:r w:rsidR="000343E7">
        <w:rPr>
          <w:noProof/>
        </w:rPr>
        <w:t xml:space="preserve">PM24 </w:t>
      </w:r>
      <w:r w:rsidR="001B76CC">
        <w:rPr>
          <w:noProof/>
        </w:rPr>
        <w:t>addresses the information imbalance currently affecting the cloud market by allowing for better visibility of smaller providers and comparability across provider ecosystems.</w:t>
      </w:r>
    </w:p>
    <w:p w14:paraId="0A42BF57" w14:textId="77777777" w:rsidR="00443198" w:rsidRDefault="00443198" w:rsidP="00E61374">
      <w:pPr>
        <w:rPr>
          <w:noProof/>
        </w:rPr>
        <w:sectPr w:rsidR="00443198" w:rsidSect="00F66054">
          <w:headerReference w:type="default" r:id="rId34"/>
          <w:footerReference w:type="default" r:id="rId35"/>
          <w:footerReference w:type="first" r:id="rId36"/>
          <w:pgSz w:w="11906" w:h="16838"/>
          <w:pgMar w:top="1266" w:right="1133" w:bottom="1560" w:left="1276" w:header="601" w:footer="0" w:gutter="0"/>
          <w:cols w:space="720"/>
          <w:docGrid w:linePitch="326"/>
        </w:sectPr>
      </w:pPr>
    </w:p>
    <w:p w14:paraId="0DC7A20D" w14:textId="0F2EBFB3" w:rsidR="004F52FF" w:rsidRDefault="004F52FF" w:rsidP="00E61374">
      <w:pPr>
        <w:rPr>
          <w:noProof/>
        </w:rPr>
      </w:pPr>
    </w:p>
    <w:p w14:paraId="66AB36B4" w14:textId="5A16DBFD" w:rsidR="003330B7" w:rsidRPr="003330B7" w:rsidRDefault="00E61374" w:rsidP="00DF4C82">
      <w:pPr>
        <w:pStyle w:val="Heading3"/>
        <w:rPr>
          <w:noProof/>
        </w:rPr>
      </w:pPr>
      <w:bookmarkStart w:id="49" w:name="_Ref207968671"/>
      <w:r w:rsidRPr="00D37004">
        <w:rPr>
          <w:noProof/>
        </w:rPr>
        <w:t>Relationship between policy options and policy measures</w:t>
      </w:r>
    </w:p>
    <w:p w14:paraId="1AFE087F" w14:textId="7684CDF7" w:rsidR="00E61374" w:rsidRPr="00D37004" w:rsidRDefault="00E61374" w:rsidP="00E61374">
      <w:pPr>
        <w:pStyle w:val="Caption"/>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7</w:t>
      </w:r>
      <w:r w:rsidRPr="00D37004">
        <w:rPr>
          <w:noProof/>
        </w:rPr>
        <w:fldChar w:fldCharType="end"/>
      </w:r>
      <w:bookmarkEnd w:id="49"/>
      <w:r w:rsidRPr="00D37004">
        <w:rPr>
          <w:noProof/>
        </w:rPr>
        <w:t>. Overview of the Policy Options and links with the Problems, Problem Drivers, and Specific Objectives</w:t>
      </w:r>
    </w:p>
    <w:tbl>
      <w:tblPr>
        <w:tblStyle w:val="GridTable4-Accent1"/>
        <w:tblW w:w="1507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64"/>
        <w:gridCol w:w="937"/>
        <w:gridCol w:w="1644"/>
        <w:gridCol w:w="1470"/>
        <w:gridCol w:w="8688"/>
        <w:gridCol w:w="709"/>
        <w:gridCol w:w="759"/>
      </w:tblGrid>
      <w:tr w:rsidR="00D73CD3" w:rsidRPr="00016EA4" w14:paraId="525409CD" w14:textId="77777777" w:rsidTr="00207B4F">
        <w:trPr>
          <w:cnfStyle w:val="100000000000" w:firstRow="1" w:lastRow="0" w:firstColumn="0" w:lastColumn="0" w:oddVBand="0" w:evenVBand="0" w:oddHBand="0" w:evenHBand="0" w:firstRowFirstColumn="0" w:firstRowLastColumn="0" w:lastRowFirstColumn="0" w:lastRowLastColumn="0"/>
          <w:trHeight w:val="557"/>
          <w:tblHeader/>
        </w:trPr>
        <w:tc>
          <w:tcPr>
            <w:cnfStyle w:val="001000000000" w:firstRow="0" w:lastRow="0" w:firstColumn="1" w:lastColumn="0" w:oddVBand="0" w:evenVBand="0" w:oddHBand="0" w:evenHBand="0" w:firstRowFirstColumn="0" w:firstRowLastColumn="0" w:lastRowFirstColumn="0" w:lastRowLastColumn="0"/>
            <w:tcW w:w="1801" w:type="dxa"/>
            <w:gridSpan w:val="2"/>
            <w:tcBorders>
              <w:top w:val="single" w:sz="4" w:space="0" w:color="auto"/>
              <w:bottom w:val="single" w:sz="4" w:space="0" w:color="auto"/>
            </w:tcBorders>
            <w:shd w:val="clear" w:color="auto" w:fill="DDD9C3" w:themeFill="background2" w:themeFillShade="E6"/>
            <w:vAlign w:val="center"/>
          </w:tcPr>
          <w:p w14:paraId="1E98C016" w14:textId="7D84DF29" w:rsidR="00E61374" w:rsidRPr="00016EA4" w:rsidRDefault="00E61374" w:rsidP="00E130CB">
            <w:pPr>
              <w:jc w:val="center"/>
              <w:rPr>
                <w:noProof/>
                <w:color w:val="auto"/>
                <w:sz w:val="24"/>
                <w:szCs w:val="24"/>
              </w:rPr>
            </w:pPr>
            <w:r w:rsidRPr="00016EA4">
              <w:rPr>
                <w:noProof/>
                <w:color w:val="auto"/>
                <w:sz w:val="24"/>
                <w:szCs w:val="24"/>
              </w:rPr>
              <w:t>Problem driver(s)</w:t>
            </w:r>
          </w:p>
        </w:tc>
        <w:tc>
          <w:tcPr>
            <w:tcW w:w="1644" w:type="dxa"/>
            <w:vMerge w:val="restart"/>
            <w:tcBorders>
              <w:top w:val="single" w:sz="4" w:space="0" w:color="auto"/>
            </w:tcBorders>
            <w:shd w:val="clear" w:color="auto" w:fill="DDD9C3" w:themeFill="background2" w:themeFillShade="E6"/>
            <w:vAlign w:val="center"/>
          </w:tcPr>
          <w:p w14:paraId="650DDE90" w14:textId="77777777" w:rsidR="00E61374" w:rsidRPr="00016EA4" w:rsidRDefault="00E61374" w:rsidP="00016EA4">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Problem</w:t>
            </w:r>
          </w:p>
        </w:tc>
        <w:tc>
          <w:tcPr>
            <w:tcW w:w="1470" w:type="dxa"/>
            <w:vMerge w:val="restart"/>
            <w:tcBorders>
              <w:top w:val="single" w:sz="4" w:space="0" w:color="auto"/>
              <w:bottom w:val="single" w:sz="4" w:space="0" w:color="auto"/>
            </w:tcBorders>
            <w:shd w:val="clear" w:color="auto" w:fill="DDD9C3" w:themeFill="background2" w:themeFillShade="E6"/>
            <w:vAlign w:val="center"/>
          </w:tcPr>
          <w:p w14:paraId="60201A98" w14:textId="77777777" w:rsidR="00E61374" w:rsidRPr="00016EA4" w:rsidRDefault="00E61374" w:rsidP="00016EA4">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Policy Option</w:t>
            </w:r>
          </w:p>
        </w:tc>
        <w:tc>
          <w:tcPr>
            <w:tcW w:w="8688" w:type="dxa"/>
            <w:vMerge w:val="restart"/>
            <w:tcBorders>
              <w:top w:val="single" w:sz="4" w:space="0" w:color="auto"/>
              <w:bottom w:val="single" w:sz="4" w:space="0" w:color="auto"/>
            </w:tcBorders>
            <w:shd w:val="clear" w:color="auto" w:fill="DDD9C3" w:themeFill="background2" w:themeFillShade="E6"/>
            <w:vAlign w:val="center"/>
          </w:tcPr>
          <w:p w14:paraId="4AA922B8" w14:textId="77777777" w:rsidR="00E61374" w:rsidRPr="00016EA4" w:rsidRDefault="00E61374" w:rsidP="00016EA4">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Policy Measures</w:t>
            </w:r>
          </w:p>
        </w:tc>
        <w:tc>
          <w:tcPr>
            <w:tcW w:w="1468" w:type="dxa"/>
            <w:gridSpan w:val="2"/>
            <w:tcBorders>
              <w:top w:val="single" w:sz="4" w:space="0" w:color="auto"/>
              <w:bottom w:val="single" w:sz="4" w:space="0" w:color="EEECE1" w:themeColor="background2"/>
              <w:right w:val="single" w:sz="4" w:space="0" w:color="auto"/>
            </w:tcBorders>
            <w:shd w:val="clear" w:color="auto" w:fill="DDD9C3" w:themeFill="background2" w:themeFillShade="E6"/>
            <w:vAlign w:val="center"/>
          </w:tcPr>
          <w:p w14:paraId="55A5BD17" w14:textId="77777777" w:rsidR="00E61374" w:rsidRPr="00016EA4" w:rsidRDefault="00E61374" w:rsidP="00016EA4">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Specific objectives*</w:t>
            </w:r>
          </w:p>
        </w:tc>
      </w:tr>
      <w:tr w:rsidR="00D73CD3" w:rsidRPr="00016EA4" w14:paraId="40547A5C" w14:textId="77777777" w:rsidTr="0021498B">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auto"/>
            </w:tcBorders>
            <w:shd w:val="clear" w:color="auto" w:fill="DDD9C3" w:themeFill="background2" w:themeFillShade="E6"/>
            <w:vAlign w:val="center"/>
          </w:tcPr>
          <w:p w14:paraId="7D08CD45" w14:textId="140770FD" w:rsidR="00E61374" w:rsidRPr="00920DE4" w:rsidRDefault="0056537F" w:rsidP="00920DE4">
            <w:pPr>
              <w:jc w:val="center"/>
              <w:rPr>
                <w:b w:val="0"/>
                <w:noProof/>
                <w:color w:val="auto"/>
              </w:rPr>
            </w:pPr>
            <w:r w:rsidRPr="00920DE4">
              <w:rPr>
                <w:b w:val="0"/>
                <w:noProof/>
                <w:color w:val="auto"/>
              </w:rPr>
              <w:t>PD1</w:t>
            </w:r>
          </w:p>
        </w:tc>
        <w:tc>
          <w:tcPr>
            <w:tcW w:w="937" w:type="dxa"/>
            <w:tcBorders>
              <w:bottom w:val="single" w:sz="4" w:space="0" w:color="auto"/>
            </w:tcBorders>
            <w:shd w:val="clear" w:color="auto" w:fill="DDD9C3" w:themeFill="background2" w:themeFillShade="E6"/>
            <w:vAlign w:val="center"/>
          </w:tcPr>
          <w:p w14:paraId="45EF3F02" w14:textId="3AB98F17" w:rsidR="0056537F" w:rsidRPr="0056537F" w:rsidRDefault="0056537F" w:rsidP="00920DE4">
            <w:pPr>
              <w:jc w:val="center"/>
              <w:cnfStyle w:val="100000000000" w:firstRow="1" w:lastRow="0" w:firstColumn="0" w:lastColumn="0" w:oddVBand="0" w:evenVBand="0" w:oddHBand="0" w:evenHBand="0" w:firstRowFirstColumn="0" w:firstRowLastColumn="0" w:lastRowFirstColumn="0" w:lastRowLastColumn="0"/>
              <w:rPr>
                <w:b w:val="0"/>
                <w:noProof/>
                <w:color w:val="auto"/>
              </w:rPr>
            </w:pPr>
            <w:r w:rsidRPr="0056537F">
              <w:rPr>
                <w:b w:val="0"/>
                <w:bCs w:val="0"/>
                <w:noProof/>
                <w:color w:val="auto"/>
              </w:rPr>
              <w:t>PD2</w:t>
            </w:r>
          </w:p>
        </w:tc>
        <w:tc>
          <w:tcPr>
            <w:tcW w:w="1644" w:type="dxa"/>
            <w:vMerge/>
            <w:shd w:val="clear" w:color="auto" w:fill="DDD9C3" w:themeFill="background2" w:themeFillShade="E6"/>
          </w:tcPr>
          <w:p w14:paraId="55B7BB10" w14:textId="77777777" w:rsidR="00E61374" w:rsidRPr="00016EA4" w:rsidRDefault="00E61374">
            <w:pP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1470" w:type="dxa"/>
            <w:vMerge/>
            <w:shd w:val="clear" w:color="auto" w:fill="DDD9C3" w:themeFill="background2" w:themeFillShade="E6"/>
            <w:vAlign w:val="center"/>
          </w:tcPr>
          <w:p w14:paraId="04903D57" w14:textId="77777777" w:rsidR="00E61374" w:rsidRPr="00016EA4" w:rsidRDefault="00E61374">
            <w:pP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8688" w:type="dxa"/>
            <w:vMerge/>
            <w:shd w:val="clear" w:color="auto" w:fill="DDD9C3" w:themeFill="background2" w:themeFillShade="E6"/>
            <w:vAlign w:val="center"/>
          </w:tcPr>
          <w:p w14:paraId="2C8DF4FE" w14:textId="77777777" w:rsidR="00E61374" w:rsidRPr="00016EA4" w:rsidRDefault="00E61374" w:rsidP="00016EA4">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709" w:type="dxa"/>
            <w:tcBorders>
              <w:top w:val="single" w:sz="4" w:space="0" w:color="EEECE1" w:themeColor="background2"/>
              <w:bottom w:val="single" w:sz="4" w:space="0" w:color="auto"/>
            </w:tcBorders>
            <w:shd w:val="clear" w:color="auto" w:fill="DDD9C3" w:themeFill="background2" w:themeFillShade="E6"/>
            <w:vAlign w:val="center"/>
          </w:tcPr>
          <w:p w14:paraId="5CFC8B90" w14:textId="77777777" w:rsidR="00E61374" w:rsidRPr="009909BD" w:rsidRDefault="00E61374" w:rsidP="00016EA4">
            <w:pPr>
              <w:jc w:val="center"/>
              <w:cnfStyle w:val="100000000000" w:firstRow="1" w:lastRow="0" w:firstColumn="0" w:lastColumn="0" w:oddVBand="0" w:evenVBand="0" w:oddHBand="0" w:evenHBand="0" w:firstRowFirstColumn="0" w:firstRowLastColumn="0" w:lastRowFirstColumn="0" w:lastRowLastColumn="0"/>
              <w:rPr>
                <w:b w:val="0"/>
                <w:bCs w:val="0"/>
                <w:noProof/>
                <w:color w:val="auto"/>
              </w:rPr>
            </w:pPr>
            <w:r w:rsidRPr="009909BD">
              <w:rPr>
                <w:b w:val="0"/>
                <w:bCs w:val="0"/>
                <w:noProof/>
                <w:color w:val="auto"/>
              </w:rPr>
              <w:t>SO1</w:t>
            </w:r>
          </w:p>
        </w:tc>
        <w:tc>
          <w:tcPr>
            <w:tcW w:w="759" w:type="dxa"/>
            <w:tcBorders>
              <w:top w:val="single" w:sz="4" w:space="0" w:color="EEECE1" w:themeColor="background2"/>
              <w:bottom w:val="single" w:sz="4" w:space="0" w:color="auto"/>
            </w:tcBorders>
            <w:shd w:val="clear" w:color="auto" w:fill="DDD9C3" w:themeFill="background2" w:themeFillShade="E6"/>
            <w:vAlign w:val="center"/>
          </w:tcPr>
          <w:p w14:paraId="5F83049A" w14:textId="77777777" w:rsidR="00E61374" w:rsidRPr="009909BD" w:rsidRDefault="00E61374" w:rsidP="00016EA4">
            <w:pPr>
              <w:jc w:val="center"/>
              <w:cnfStyle w:val="100000000000" w:firstRow="1" w:lastRow="0" w:firstColumn="0" w:lastColumn="0" w:oddVBand="0" w:evenVBand="0" w:oddHBand="0" w:evenHBand="0" w:firstRowFirstColumn="0" w:firstRowLastColumn="0" w:lastRowFirstColumn="0" w:lastRowLastColumn="0"/>
              <w:rPr>
                <w:b w:val="0"/>
                <w:bCs w:val="0"/>
                <w:noProof/>
                <w:color w:val="auto"/>
              </w:rPr>
            </w:pPr>
            <w:r w:rsidRPr="009909BD">
              <w:rPr>
                <w:b w:val="0"/>
                <w:bCs w:val="0"/>
                <w:noProof/>
                <w:color w:val="auto"/>
              </w:rPr>
              <w:t>SO2</w:t>
            </w:r>
          </w:p>
        </w:tc>
      </w:tr>
      <w:tr w:rsidR="002253AE" w:rsidRPr="00016EA4" w14:paraId="50361B2A" w14:textId="77777777" w:rsidTr="009C69F1">
        <w:trPr>
          <w:trHeight w:val="604"/>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auto"/>
              <w:bottom w:val="dotted" w:sz="4" w:space="0" w:color="auto"/>
            </w:tcBorders>
            <w:vAlign w:val="center"/>
          </w:tcPr>
          <w:p w14:paraId="42A9EF09" w14:textId="5CF689DA" w:rsidR="00E61374" w:rsidRPr="00016EA4" w:rsidRDefault="006A57E1" w:rsidP="0027022D">
            <w:pPr>
              <w:jc w:val="center"/>
              <w:rPr>
                <w:noProof/>
                <w:sz w:val="24"/>
                <w:szCs w:val="24"/>
              </w:rPr>
            </w:pPr>
            <w:r w:rsidRPr="00D37004">
              <w:rPr>
                <w:rFonts w:ascii="Wingdings" w:eastAsia="Wingdings" w:hAnsi="Wingdings" w:cs="Wingdings"/>
                <w:noProof/>
              </w:rPr>
              <w:t></w:t>
            </w:r>
          </w:p>
        </w:tc>
        <w:tc>
          <w:tcPr>
            <w:tcW w:w="937" w:type="dxa"/>
            <w:tcBorders>
              <w:top w:val="single" w:sz="4" w:space="0" w:color="auto"/>
              <w:bottom w:val="dotted" w:sz="4" w:space="0" w:color="auto"/>
            </w:tcBorders>
            <w:vAlign w:val="center"/>
          </w:tcPr>
          <w:p w14:paraId="18812735" w14:textId="13421B0C" w:rsidR="0056537F" w:rsidRPr="00016EA4" w:rsidRDefault="0056537F" w:rsidP="0027022D">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1644" w:type="dxa"/>
            <w:vMerge w:val="restart"/>
            <w:tcBorders>
              <w:top w:val="single" w:sz="4" w:space="0" w:color="auto"/>
            </w:tcBorders>
            <w:shd w:val="clear" w:color="auto" w:fill="C2D69B" w:themeFill="accent3" w:themeFillTint="99"/>
            <w:vAlign w:val="center"/>
          </w:tcPr>
          <w:p w14:paraId="0C43F3D4" w14:textId="77777777" w:rsidR="00E61374" w:rsidRPr="00016EA4" w:rsidRDefault="00E61374" w:rsidP="00E130CB">
            <w:pPr>
              <w:jc w:val="left"/>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P1</w:t>
            </w:r>
            <w:r w:rsidRPr="00016EA4">
              <w:rPr>
                <w:noProof/>
                <w:sz w:val="24"/>
                <w:szCs w:val="24"/>
              </w:rPr>
              <w:t>: Limited and geographically concentrated availability of computing capacity in the EU</w:t>
            </w:r>
          </w:p>
        </w:tc>
        <w:tc>
          <w:tcPr>
            <w:tcW w:w="1470" w:type="dxa"/>
            <w:vMerge w:val="restart"/>
            <w:tcBorders>
              <w:top w:val="single" w:sz="4" w:space="0" w:color="auto"/>
            </w:tcBorders>
            <w:shd w:val="clear" w:color="auto" w:fill="D6E3BC" w:themeFill="accent3" w:themeFillTint="66"/>
            <w:vAlign w:val="center"/>
          </w:tcPr>
          <w:p w14:paraId="2F87178A" w14:textId="77901BA4" w:rsidR="00E61374" w:rsidRPr="00016EA4" w:rsidRDefault="00E61374" w:rsidP="00897EE1">
            <w:pPr>
              <w:cnfStyle w:val="000000000000" w:firstRow="0" w:lastRow="0" w:firstColumn="0" w:lastColumn="0" w:oddVBand="0" w:evenVBand="0" w:oddHBand="0" w:evenHBand="0" w:firstRowFirstColumn="0" w:firstRowLastColumn="0" w:lastRowFirstColumn="0" w:lastRowLastColumn="0"/>
              <w:rPr>
                <w:noProof/>
                <w:sz w:val="24"/>
                <w:szCs w:val="24"/>
              </w:rPr>
            </w:pPr>
            <w:r w:rsidRPr="00E130CB">
              <w:rPr>
                <w:b/>
                <w:bCs/>
                <w:noProof/>
                <w:sz w:val="24"/>
                <w:szCs w:val="24"/>
              </w:rPr>
              <w:t xml:space="preserve">1A: </w:t>
            </w:r>
            <w:r w:rsidRPr="00016EA4">
              <w:rPr>
                <w:noProof/>
                <w:sz w:val="24"/>
                <w:szCs w:val="24"/>
              </w:rPr>
              <w:t xml:space="preserve">Enhancing the existing collaborative framework </w:t>
            </w:r>
          </w:p>
        </w:tc>
        <w:tc>
          <w:tcPr>
            <w:tcW w:w="8688" w:type="dxa"/>
            <w:tcBorders>
              <w:top w:val="single" w:sz="4" w:space="0" w:color="auto"/>
              <w:bottom w:val="nil"/>
            </w:tcBorders>
            <w:vAlign w:val="center"/>
          </w:tcPr>
          <w:p w14:paraId="6C9EC8AB"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r w:rsidRPr="00016EA4">
              <w:rPr>
                <w:b/>
                <w:noProof/>
                <w:sz w:val="24"/>
                <w:szCs w:val="24"/>
              </w:rPr>
              <w:t>PM1</w:t>
            </w:r>
            <w:r w:rsidRPr="00016EA4">
              <w:rPr>
                <w:noProof/>
                <w:sz w:val="24"/>
                <w:szCs w:val="24"/>
              </w:rPr>
              <w:t>: Expanding the Alliance for Industrial Data, Edge and Cloud with a workgroup on data centres and extending membership to relevant players</w:t>
            </w:r>
          </w:p>
        </w:tc>
        <w:tc>
          <w:tcPr>
            <w:tcW w:w="709" w:type="dxa"/>
            <w:tcBorders>
              <w:bottom w:val="dotted" w:sz="4" w:space="0" w:color="auto"/>
            </w:tcBorders>
            <w:vAlign w:val="center"/>
          </w:tcPr>
          <w:p w14:paraId="22854986" w14:textId="77777777" w:rsidR="00E61374" w:rsidRPr="00016EA4" w:rsidRDefault="00E61374" w:rsidP="00897EE1">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p>
        </w:tc>
        <w:tc>
          <w:tcPr>
            <w:tcW w:w="759" w:type="dxa"/>
            <w:tcBorders>
              <w:bottom w:val="dotted" w:sz="4" w:space="0" w:color="auto"/>
            </w:tcBorders>
            <w:vAlign w:val="center"/>
          </w:tcPr>
          <w:p w14:paraId="6E6267D4" w14:textId="0EBCB90E"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2253AE" w:rsidRPr="00016EA4" w14:paraId="4D381B11" w14:textId="77777777" w:rsidTr="0021498B">
        <w:trPr>
          <w:trHeight w:val="506"/>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bottom w:val="dotted" w:sz="4" w:space="0" w:color="auto"/>
            </w:tcBorders>
            <w:vAlign w:val="center"/>
          </w:tcPr>
          <w:p w14:paraId="46BCEA82" w14:textId="372B3F98" w:rsidR="00E61374" w:rsidRPr="00016EA4" w:rsidRDefault="006A57E1"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bottom w:val="dotted" w:sz="4" w:space="0" w:color="auto"/>
            </w:tcBorders>
            <w:vAlign w:val="center"/>
          </w:tcPr>
          <w:p w14:paraId="44305391" w14:textId="7086A8B2"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587D454E"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58D8B77F"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bottom w:val="nil"/>
            </w:tcBorders>
            <w:vAlign w:val="center"/>
          </w:tcPr>
          <w:p w14:paraId="0D046E23"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r w:rsidRPr="00016EA4">
              <w:rPr>
                <w:b/>
                <w:noProof/>
                <w:sz w:val="24"/>
                <w:szCs w:val="24"/>
              </w:rPr>
              <w:t>PM2</w:t>
            </w:r>
            <w:r w:rsidRPr="00016EA4">
              <w:rPr>
                <w:noProof/>
                <w:sz w:val="24"/>
                <w:szCs w:val="24"/>
              </w:rPr>
              <w:t>: Creating a forum for exchanges between relevant public and private stakeholders involved in the buildout of data centres</w:t>
            </w:r>
          </w:p>
        </w:tc>
        <w:tc>
          <w:tcPr>
            <w:tcW w:w="709" w:type="dxa"/>
            <w:tcBorders>
              <w:top w:val="dotted" w:sz="4" w:space="0" w:color="auto"/>
              <w:bottom w:val="dotted" w:sz="4" w:space="0" w:color="auto"/>
            </w:tcBorders>
            <w:vAlign w:val="center"/>
          </w:tcPr>
          <w:p w14:paraId="7E01F6E0" w14:textId="77777777" w:rsidR="00E61374" w:rsidRPr="00016EA4" w:rsidRDefault="00E61374" w:rsidP="00897EE1">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p>
        </w:tc>
        <w:tc>
          <w:tcPr>
            <w:tcW w:w="759" w:type="dxa"/>
            <w:tcBorders>
              <w:top w:val="dotted" w:sz="4" w:space="0" w:color="auto"/>
              <w:bottom w:val="dotted" w:sz="4" w:space="0" w:color="auto"/>
            </w:tcBorders>
            <w:vAlign w:val="center"/>
          </w:tcPr>
          <w:p w14:paraId="2C68D820" w14:textId="490F2B82"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r>
      <w:tr w:rsidR="002253AE" w:rsidRPr="00016EA4" w14:paraId="6FD06ADE" w14:textId="77777777" w:rsidTr="0021498B">
        <w:trPr>
          <w:trHeight w:val="506"/>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bottom w:val="single" w:sz="4" w:space="0" w:color="auto"/>
            </w:tcBorders>
            <w:vAlign w:val="center"/>
          </w:tcPr>
          <w:p w14:paraId="7C73340A" w14:textId="240F2959" w:rsidR="00E61374" w:rsidRPr="00016EA4" w:rsidRDefault="006A57E1"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bottom w:val="single" w:sz="4" w:space="0" w:color="auto"/>
            </w:tcBorders>
            <w:vAlign w:val="center"/>
          </w:tcPr>
          <w:p w14:paraId="0D23EFEB" w14:textId="15894A41"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6AA04DCE"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22D5C083"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bottom w:val="single" w:sz="4" w:space="0" w:color="auto"/>
            </w:tcBorders>
            <w:vAlign w:val="center"/>
          </w:tcPr>
          <w:p w14:paraId="7D4731E9"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PM3:</w:t>
            </w:r>
            <w:r w:rsidRPr="00016EA4">
              <w:rPr>
                <w:noProof/>
                <w:sz w:val="24"/>
                <w:szCs w:val="24"/>
              </w:rPr>
              <w:t xml:space="preserve"> Adopting guidelines on building sustainable data centres in the EU</w:t>
            </w:r>
          </w:p>
        </w:tc>
        <w:tc>
          <w:tcPr>
            <w:tcW w:w="709" w:type="dxa"/>
            <w:tcBorders>
              <w:top w:val="dotted" w:sz="4" w:space="0" w:color="auto"/>
              <w:bottom w:val="single" w:sz="4" w:space="0" w:color="auto"/>
            </w:tcBorders>
            <w:vAlign w:val="center"/>
          </w:tcPr>
          <w:p w14:paraId="2F52AD0F" w14:textId="344BE28B"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tcBorders>
              <w:top w:val="dotted" w:sz="4" w:space="0" w:color="auto"/>
              <w:bottom w:val="single" w:sz="4" w:space="0" w:color="auto"/>
            </w:tcBorders>
            <w:vAlign w:val="center"/>
          </w:tcPr>
          <w:p w14:paraId="11C5E434" w14:textId="4A2DD339"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r>
      <w:tr w:rsidR="002253AE" w:rsidRPr="00016EA4" w14:paraId="0086FD5F" w14:textId="77777777" w:rsidTr="0021498B">
        <w:trPr>
          <w:trHeight w:val="437"/>
        </w:trPr>
        <w:tc>
          <w:tcPr>
            <w:cnfStyle w:val="001000000000" w:firstRow="0" w:lastRow="0" w:firstColumn="1" w:lastColumn="0" w:oddVBand="0" w:evenVBand="0" w:oddHBand="0" w:evenHBand="0" w:firstRowFirstColumn="0" w:firstRowLastColumn="0" w:lastRowFirstColumn="0" w:lastRowLastColumn="0"/>
            <w:tcW w:w="864" w:type="dxa"/>
            <w:tcBorders>
              <w:bottom w:val="dotted" w:sz="4" w:space="0" w:color="auto"/>
            </w:tcBorders>
            <w:vAlign w:val="center"/>
          </w:tcPr>
          <w:p w14:paraId="29A0A788" w14:textId="085C081C" w:rsidR="00E61374" w:rsidRPr="00016EA4" w:rsidRDefault="00823451" w:rsidP="0027022D">
            <w:pPr>
              <w:jc w:val="center"/>
              <w:rPr>
                <w:noProof/>
                <w:sz w:val="24"/>
                <w:szCs w:val="24"/>
              </w:rPr>
            </w:pPr>
            <w:r w:rsidRPr="00D37004">
              <w:rPr>
                <w:rFonts w:ascii="Wingdings" w:eastAsia="Wingdings" w:hAnsi="Wingdings" w:cs="Wingdings"/>
                <w:noProof/>
              </w:rPr>
              <w:t></w:t>
            </w:r>
          </w:p>
        </w:tc>
        <w:tc>
          <w:tcPr>
            <w:tcW w:w="937" w:type="dxa"/>
            <w:tcBorders>
              <w:bottom w:val="dotted" w:sz="4" w:space="0" w:color="auto"/>
            </w:tcBorders>
            <w:vAlign w:val="center"/>
          </w:tcPr>
          <w:p w14:paraId="748B57A5" w14:textId="5F4EFC50"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1347E101"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val="restart"/>
            <w:shd w:val="clear" w:color="auto" w:fill="D6E3BC" w:themeFill="accent3" w:themeFillTint="66"/>
            <w:vAlign w:val="center"/>
          </w:tcPr>
          <w:p w14:paraId="6B04E2FD" w14:textId="79B29FCA" w:rsidR="00E61374" w:rsidRPr="00016EA4" w:rsidRDefault="00E61374" w:rsidP="00897EE1">
            <w:pPr>
              <w:cnfStyle w:val="000000000000" w:firstRow="0" w:lastRow="0" w:firstColumn="0" w:lastColumn="0" w:oddVBand="0" w:evenVBand="0" w:oddHBand="0" w:evenHBand="0" w:firstRowFirstColumn="0" w:firstRowLastColumn="0" w:lastRowFirstColumn="0" w:lastRowLastColumn="0"/>
              <w:rPr>
                <w:noProof/>
                <w:sz w:val="24"/>
                <w:szCs w:val="24"/>
              </w:rPr>
            </w:pPr>
            <w:r w:rsidRPr="00E130CB">
              <w:rPr>
                <w:b/>
                <w:bCs/>
                <w:noProof/>
                <w:sz w:val="24"/>
                <w:szCs w:val="24"/>
              </w:rPr>
              <w:t>1B:</w:t>
            </w:r>
            <w:r w:rsidR="00897EE1">
              <w:rPr>
                <w:b/>
                <w:bCs/>
                <w:noProof/>
                <w:sz w:val="24"/>
                <w:szCs w:val="24"/>
              </w:rPr>
              <w:t xml:space="preserve"> </w:t>
            </w:r>
            <w:r w:rsidRPr="00016EA4">
              <w:rPr>
                <w:noProof/>
                <w:sz w:val="24"/>
                <w:szCs w:val="24"/>
              </w:rPr>
              <w:t>Legislative and financial intervention enforced nationally</w:t>
            </w:r>
          </w:p>
        </w:tc>
        <w:tc>
          <w:tcPr>
            <w:tcW w:w="8688" w:type="dxa"/>
            <w:tcBorders>
              <w:bottom w:val="nil"/>
            </w:tcBorders>
            <w:vAlign w:val="center"/>
          </w:tcPr>
          <w:p w14:paraId="358504A3"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 xml:space="preserve">PM4: </w:t>
            </w:r>
            <w:r w:rsidRPr="00016EA4">
              <w:rPr>
                <w:noProof/>
                <w:sz w:val="24"/>
                <w:szCs w:val="24"/>
              </w:rPr>
              <w:t>National facilitator for data centre projects</w:t>
            </w:r>
          </w:p>
        </w:tc>
        <w:tc>
          <w:tcPr>
            <w:tcW w:w="709" w:type="dxa"/>
            <w:tcBorders>
              <w:bottom w:val="dotted" w:sz="4" w:space="0" w:color="auto"/>
            </w:tcBorders>
            <w:vAlign w:val="center"/>
          </w:tcPr>
          <w:p w14:paraId="4B0FBD74" w14:textId="77777777" w:rsidR="00E61374" w:rsidRPr="00016EA4" w:rsidRDefault="00E61374"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p>
        </w:tc>
        <w:tc>
          <w:tcPr>
            <w:tcW w:w="759" w:type="dxa"/>
            <w:tcBorders>
              <w:bottom w:val="dotted" w:sz="4" w:space="0" w:color="auto"/>
            </w:tcBorders>
            <w:vAlign w:val="center"/>
          </w:tcPr>
          <w:p w14:paraId="35E3D59F" w14:textId="512427BA"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2253AE" w:rsidRPr="00016EA4" w14:paraId="0F915843" w14:textId="77777777" w:rsidTr="006C45D8">
        <w:trPr>
          <w:trHeight w:val="63"/>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bottom w:val="dotted" w:sz="4" w:space="0" w:color="auto"/>
            </w:tcBorders>
            <w:vAlign w:val="center"/>
          </w:tcPr>
          <w:p w14:paraId="55B2D95C" w14:textId="6F05825B" w:rsidR="00E61374" w:rsidRPr="00016EA4" w:rsidRDefault="00823451"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bottom w:val="dotted" w:sz="4" w:space="0" w:color="auto"/>
            </w:tcBorders>
            <w:vAlign w:val="center"/>
          </w:tcPr>
          <w:p w14:paraId="50818EFB" w14:textId="6D2EF314"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494992F0"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2696D170"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bottom w:val="nil"/>
            </w:tcBorders>
            <w:vAlign w:val="center"/>
          </w:tcPr>
          <w:p w14:paraId="02ED7DC6"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 xml:space="preserve">PM5: </w:t>
            </w:r>
            <w:r w:rsidRPr="00016EA4">
              <w:rPr>
                <w:noProof/>
                <w:sz w:val="24"/>
                <w:szCs w:val="24"/>
              </w:rPr>
              <w:t>Mechanism for Member States to identify areas for fast-track data centre deployment</w:t>
            </w:r>
          </w:p>
        </w:tc>
        <w:tc>
          <w:tcPr>
            <w:tcW w:w="709" w:type="dxa"/>
            <w:tcBorders>
              <w:top w:val="dotted" w:sz="4" w:space="0" w:color="auto"/>
              <w:bottom w:val="dotted" w:sz="4" w:space="0" w:color="auto"/>
            </w:tcBorders>
            <w:vAlign w:val="center"/>
          </w:tcPr>
          <w:p w14:paraId="6BFEBE5D" w14:textId="6E5ACEA1"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tcBorders>
              <w:top w:val="dotted" w:sz="4" w:space="0" w:color="auto"/>
              <w:bottom w:val="dotted" w:sz="4" w:space="0" w:color="auto"/>
            </w:tcBorders>
            <w:vAlign w:val="center"/>
          </w:tcPr>
          <w:p w14:paraId="26D9E0C9" w14:textId="392AE50C"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2253AE" w:rsidRPr="00016EA4" w14:paraId="4CCAF412" w14:textId="77777777" w:rsidTr="006C45D8">
        <w:trPr>
          <w:trHeight w:val="533"/>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bottom w:val="dotted" w:sz="4" w:space="0" w:color="auto"/>
            </w:tcBorders>
            <w:vAlign w:val="center"/>
          </w:tcPr>
          <w:p w14:paraId="55F3C2A1" w14:textId="54DD20A0" w:rsidR="00E61374" w:rsidRPr="00016EA4" w:rsidRDefault="00161CDE"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bottom w:val="dotted" w:sz="4" w:space="0" w:color="auto"/>
            </w:tcBorders>
            <w:vAlign w:val="center"/>
          </w:tcPr>
          <w:p w14:paraId="63291F27" w14:textId="5E974FA5"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037E6E7D"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24615647"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vMerge w:val="restart"/>
            <w:tcBorders>
              <w:top w:val="nil"/>
            </w:tcBorders>
            <w:vAlign w:val="center"/>
          </w:tcPr>
          <w:p w14:paraId="4537A35B"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 xml:space="preserve">PM6: </w:t>
            </w:r>
            <w:r w:rsidRPr="00016EA4">
              <w:rPr>
                <w:noProof/>
                <w:sz w:val="24"/>
                <w:szCs w:val="24"/>
              </w:rPr>
              <w:t>Possibility for</w:t>
            </w:r>
            <w:r w:rsidRPr="00016EA4">
              <w:rPr>
                <w:b/>
                <w:noProof/>
                <w:sz w:val="24"/>
                <w:szCs w:val="24"/>
              </w:rPr>
              <w:t xml:space="preserve"> </w:t>
            </w:r>
            <w:r w:rsidRPr="00016EA4">
              <w:rPr>
                <w:noProof/>
                <w:sz w:val="24"/>
                <w:szCs w:val="24"/>
              </w:rPr>
              <w:t>public</w:t>
            </w:r>
            <w:r w:rsidRPr="00016EA4" w:rsidDel="00594927">
              <w:rPr>
                <w:noProof/>
                <w:sz w:val="24"/>
                <w:szCs w:val="24"/>
              </w:rPr>
              <w:t xml:space="preserve"> </w:t>
            </w:r>
            <w:r w:rsidRPr="00016EA4">
              <w:rPr>
                <w:noProof/>
                <w:sz w:val="24"/>
                <w:szCs w:val="24"/>
              </w:rPr>
              <w:t>support for data centres</w:t>
            </w:r>
          </w:p>
        </w:tc>
        <w:tc>
          <w:tcPr>
            <w:tcW w:w="709" w:type="dxa"/>
            <w:vMerge w:val="restart"/>
            <w:tcBorders>
              <w:top w:val="dotted" w:sz="4" w:space="0" w:color="auto"/>
              <w:bottom w:val="dotted" w:sz="4" w:space="0" w:color="auto"/>
            </w:tcBorders>
            <w:vAlign w:val="center"/>
          </w:tcPr>
          <w:p w14:paraId="0282B16E" w14:textId="6A68D76D"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vMerge w:val="restart"/>
            <w:tcBorders>
              <w:top w:val="dotted" w:sz="4" w:space="0" w:color="auto"/>
              <w:bottom w:val="dotted" w:sz="4" w:space="0" w:color="auto"/>
            </w:tcBorders>
            <w:vAlign w:val="center"/>
          </w:tcPr>
          <w:p w14:paraId="6ADD747E" w14:textId="1812325F"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2253AE" w:rsidRPr="00016EA4" w14:paraId="15CE51F5" w14:textId="77777777" w:rsidTr="0021498B">
        <w:trPr>
          <w:trHeight w:val="313"/>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dotted" w:sz="4" w:space="0" w:color="auto"/>
            </w:tcBorders>
            <w:vAlign w:val="center"/>
          </w:tcPr>
          <w:p w14:paraId="072E4FA0" w14:textId="77777777" w:rsidR="00920DE4" w:rsidRPr="00016EA4" w:rsidRDefault="00920DE4" w:rsidP="0027022D">
            <w:pPr>
              <w:jc w:val="center"/>
              <w:rPr>
                <w:noProof/>
              </w:rPr>
            </w:pPr>
          </w:p>
        </w:tc>
        <w:tc>
          <w:tcPr>
            <w:tcW w:w="937" w:type="dxa"/>
            <w:vMerge w:val="restart"/>
            <w:tcBorders>
              <w:top w:val="dotted" w:sz="4" w:space="0" w:color="auto"/>
            </w:tcBorders>
            <w:vAlign w:val="center"/>
          </w:tcPr>
          <w:p w14:paraId="16B15DFB" w14:textId="1B2BB015" w:rsidR="00920DE4"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2D6F2A25" w14:textId="77777777" w:rsidR="00920DE4" w:rsidRPr="00016EA4" w:rsidRDefault="00920DE4">
            <w:pPr>
              <w:cnfStyle w:val="000000000000" w:firstRow="0" w:lastRow="0" w:firstColumn="0" w:lastColumn="0" w:oddVBand="0" w:evenVBand="0" w:oddHBand="0" w:evenHBand="0" w:firstRowFirstColumn="0" w:firstRowLastColumn="0" w:lastRowFirstColumn="0" w:lastRowLastColumn="0"/>
              <w:rPr>
                <w:noProof/>
              </w:rPr>
            </w:pPr>
          </w:p>
        </w:tc>
        <w:tc>
          <w:tcPr>
            <w:tcW w:w="1470" w:type="dxa"/>
            <w:vMerge/>
            <w:shd w:val="clear" w:color="auto" w:fill="D6E3BC" w:themeFill="accent3" w:themeFillTint="66"/>
            <w:vAlign w:val="center"/>
          </w:tcPr>
          <w:p w14:paraId="1CB09D9E" w14:textId="77777777" w:rsidR="00920DE4" w:rsidRPr="00016EA4" w:rsidRDefault="00920DE4">
            <w:pPr>
              <w:cnfStyle w:val="000000000000" w:firstRow="0" w:lastRow="0" w:firstColumn="0" w:lastColumn="0" w:oddVBand="0" w:evenVBand="0" w:oddHBand="0" w:evenHBand="0" w:firstRowFirstColumn="0" w:firstRowLastColumn="0" w:lastRowFirstColumn="0" w:lastRowLastColumn="0"/>
              <w:rPr>
                <w:noProof/>
              </w:rPr>
            </w:pPr>
          </w:p>
        </w:tc>
        <w:tc>
          <w:tcPr>
            <w:tcW w:w="8688" w:type="dxa"/>
            <w:vMerge/>
            <w:tcBorders>
              <w:bottom w:val="nil"/>
            </w:tcBorders>
            <w:vAlign w:val="center"/>
          </w:tcPr>
          <w:p w14:paraId="3E9B7783" w14:textId="77777777" w:rsidR="00920DE4" w:rsidRPr="00016EA4" w:rsidRDefault="00920DE4">
            <w:pPr>
              <w:cnfStyle w:val="000000000000" w:firstRow="0" w:lastRow="0" w:firstColumn="0" w:lastColumn="0" w:oddVBand="0" w:evenVBand="0" w:oddHBand="0" w:evenHBand="0" w:firstRowFirstColumn="0" w:firstRowLastColumn="0" w:lastRowFirstColumn="0" w:lastRowLastColumn="0"/>
              <w:rPr>
                <w:b/>
                <w:noProof/>
              </w:rPr>
            </w:pPr>
          </w:p>
        </w:tc>
        <w:tc>
          <w:tcPr>
            <w:tcW w:w="709" w:type="dxa"/>
            <w:vMerge/>
            <w:tcBorders>
              <w:bottom w:val="dotted" w:sz="4" w:space="0" w:color="auto"/>
            </w:tcBorders>
            <w:vAlign w:val="center"/>
          </w:tcPr>
          <w:p w14:paraId="6D44B082" w14:textId="77777777" w:rsidR="00920DE4" w:rsidRPr="00D37004" w:rsidRDefault="00920DE4" w:rsidP="00897EE1">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c>
          <w:tcPr>
            <w:tcW w:w="759" w:type="dxa"/>
            <w:vMerge/>
            <w:tcBorders>
              <w:bottom w:val="dotted" w:sz="4" w:space="0" w:color="auto"/>
            </w:tcBorders>
            <w:vAlign w:val="center"/>
          </w:tcPr>
          <w:p w14:paraId="7F3455D9" w14:textId="77777777" w:rsidR="00920DE4" w:rsidRPr="00D37004" w:rsidRDefault="00920DE4" w:rsidP="00897EE1">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r>
      <w:tr w:rsidR="002253AE" w:rsidRPr="00016EA4" w14:paraId="5910E024" w14:textId="77777777" w:rsidTr="0021498B">
        <w:trPr>
          <w:trHeight w:val="144"/>
        </w:trPr>
        <w:tc>
          <w:tcPr>
            <w:cnfStyle w:val="001000000000" w:firstRow="0" w:lastRow="0" w:firstColumn="1" w:lastColumn="0" w:oddVBand="0" w:evenVBand="0" w:oddHBand="0" w:evenHBand="0" w:firstRowFirstColumn="0" w:firstRowLastColumn="0" w:lastRowFirstColumn="0" w:lastRowLastColumn="0"/>
            <w:tcW w:w="864" w:type="dxa"/>
            <w:vMerge/>
            <w:tcBorders>
              <w:bottom w:val="single" w:sz="4" w:space="0" w:color="auto"/>
            </w:tcBorders>
            <w:vAlign w:val="center"/>
          </w:tcPr>
          <w:p w14:paraId="21022F7B" w14:textId="77777777" w:rsidR="00E61374" w:rsidRPr="00016EA4" w:rsidRDefault="00E61374" w:rsidP="0027022D">
            <w:pPr>
              <w:jc w:val="center"/>
              <w:rPr>
                <w:noProof/>
                <w:sz w:val="24"/>
                <w:szCs w:val="24"/>
              </w:rPr>
            </w:pPr>
          </w:p>
        </w:tc>
        <w:tc>
          <w:tcPr>
            <w:tcW w:w="937" w:type="dxa"/>
            <w:vMerge/>
            <w:tcBorders>
              <w:bottom w:val="single" w:sz="4" w:space="0" w:color="auto"/>
            </w:tcBorders>
            <w:vAlign w:val="center"/>
          </w:tcPr>
          <w:p w14:paraId="0C8421A1" w14:textId="77777777" w:rsidR="0056537F" w:rsidRPr="00016EA4" w:rsidRDefault="0056537F" w:rsidP="0027022D">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1644" w:type="dxa"/>
            <w:vMerge/>
            <w:shd w:val="clear" w:color="auto" w:fill="C2D69B" w:themeFill="accent3" w:themeFillTint="99"/>
          </w:tcPr>
          <w:p w14:paraId="6BE44C76"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30562F59"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bottom w:val="single" w:sz="4" w:space="0" w:color="auto"/>
            </w:tcBorders>
            <w:vAlign w:val="center"/>
          </w:tcPr>
          <w:p w14:paraId="75633322"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PM7:</w:t>
            </w:r>
            <w:r w:rsidRPr="00016EA4">
              <w:rPr>
                <w:noProof/>
                <w:sz w:val="24"/>
                <w:szCs w:val="24"/>
              </w:rPr>
              <w:t xml:space="preserve"> Set deployment targets and monitor progress</w:t>
            </w:r>
          </w:p>
        </w:tc>
        <w:tc>
          <w:tcPr>
            <w:tcW w:w="709" w:type="dxa"/>
            <w:tcBorders>
              <w:top w:val="dotted" w:sz="4" w:space="0" w:color="auto"/>
              <w:bottom w:val="single" w:sz="4" w:space="0" w:color="auto"/>
            </w:tcBorders>
            <w:vAlign w:val="center"/>
          </w:tcPr>
          <w:p w14:paraId="79AD9C54" w14:textId="1E018436"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tcBorders>
              <w:top w:val="dotted" w:sz="4" w:space="0" w:color="auto"/>
              <w:bottom w:val="single" w:sz="4" w:space="0" w:color="auto"/>
            </w:tcBorders>
            <w:vAlign w:val="center"/>
          </w:tcPr>
          <w:p w14:paraId="145341D2" w14:textId="77777777" w:rsidR="00E61374" w:rsidRPr="00016EA4" w:rsidRDefault="00E61374"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p>
        </w:tc>
      </w:tr>
      <w:tr w:rsidR="002253AE" w:rsidRPr="00016EA4" w14:paraId="1E00B8DD" w14:textId="77777777" w:rsidTr="0021498B">
        <w:trPr>
          <w:trHeight w:val="506"/>
        </w:trPr>
        <w:tc>
          <w:tcPr>
            <w:cnfStyle w:val="001000000000" w:firstRow="0" w:lastRow="0" w:firstColumn="1" w:lastColumn="0" w:oddVBand="0" w:evenVBand="0" w:oddHBand="0" w:evenHBand="0" w:firstRowFirstColumn="0" w:firstRowLastColumn="0" w:lastRowFirstColumn="0" w:lastRowLastColumn="0"/>
            <w:tcW w:w="864" w:type="dxa"/>
            <w:tcBorders>
              <w:bottom w:val="dotted" w:sz="4" w:space="0" w:color="auto"/>
            </w:tcBorders>
            <w:vAlign w:val="center"/>
          </w:tcPr>
          <w:p w14:paraId="7773B086" w14:textId="644E5D23" w:rsidR="00E61374" w:rsidRPr="00016EA4" w:rsidRDefault="00077BA5" w:rsidP="0027022D">
            <w:pPr>
              <w:jc w:val="center"/>
              <w:rPr>
                <w:noProof/>
                <w:sz w:val="24"/>
                <w:szCs w:val="24"/>
              </w:rPr>
            </w:pPr>
            <w:r w:rsidRPr="00D37004">
              <w:rPr>
                <w:rFonts w:ascii="Wingdings" w:eastAsia="Wingdings" w:hAnsi="Wingdings" w:cs="Wingdings"/>
                <w:noProof/>
              </w:rPr>
              <w:t></w:t>
            </w:r>
          </w:p>
        </w:tc>
        <w:tc>
          <w:tcPr>
            <w:tcW w:w="937" w:type="dxa"/>
            <w:tcBorders>
              <w:bottom w:val="dotted" w:sz="4" w:space="0" w:color="auto"/>
            </w:tcBorders>
            <w:vAlign w:val="center"/>
          </w:tcPr>
          <w:p w14:paraId="1969CBFD" w14:textId="43398128"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2C47F0A7"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val="restart"/>
            <w:shd w:val="clear" w:color="auto" w:fill="D6E3BC" w:themeFill="accent3" w:themeFillTint="66"/>
            <w:vAlign w:val="center"/>
          </w:tcPr>
          <w:p w14:paraId="5EE806C4"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1C:</w:t>
            </w:r>
            <w:r w:rsidR="00897EE1">
              <w:rPr>
                <w:b/>
                <w:noProof/>
                <w:sz w:val="24"/>
                <w:szCs w:val="24"/>
              </w:rPr>
              <w:t xml:space="preserve"> </w:t>
            </w:r>
            <w:r w:rsidRPr="00016EA4">
              <w:rPr>
                <w:noProof/>
                <w:sz w:val="24"/>
                <w:szCs w:val="24"/>
              </w:rPr>
              <w:t>Legislative and financial intervention enforced at EU level</w:t>
            </w:r>
          </w:p>
        </w:tc>
        <w:tc>
          <w:tcPr>
            <w:tcW w:w="8688" w:type="dxa"/>
            <w:tcBorders>
              <w:bottom w:val="nil"/>
            </w:tcBorders>
            <w:vAlign w:val="center"/>
          </w:tcPr>
          <w:p w14:paraId="06586DB7"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lang w:val="es-ES"/>
              </w:rPr>
            </w:pPr>
            <w:r w:rsidRPr="00016EA4">
              <w:rPr>
                <w:b/>
                <w:noProof/>
                <w:sz w:val="24"/>
                <w:szCs w:val="24"/>
                <w:lang w:val="es-ES"/>
              </w:rPr>
              <w:t xml:space="preserve">PM8: </w:t>
            </w:r>
            <w:r w:rsidRPr="00016EA4">
              <w:rPr>
                <w:noProof/>
                <w:sz w:val="24"/>
                <w:szCs w:val="24"/>
                <w:lang w:val="es-ES"/>
              </w:rPr>
              <w:t>EU R&amp;D funding</w:t>
            </w:r>
            <w:r w:rsidRPr="00016EA4">
              <w:rPr>
                <w:b/>
                <w:noProof/>
                <w:sz w:val="24"/>
                <w:szCs w:val="24"/>
                <w:lang w:val="es-ES"/>
              </w:rPr>
              <w:t xml:space="preserve"> </w:t>
            </w:r>
          </w:p>
        </w:tc>
        <w:tc>
          <w:tcPr>
            <w:tcW w:w="709" w:type="dxa"/>
            <w:tcBorders>
              <w:bottom w:val="dotted" w:sz="4" w:space="0" w:color="auto"/>
            </w:tcBorders>
            <w:vAlign w:val="center"/>
          </w:tcPr>
          <w:p w14:paraId="0975B729" w14:textId="38260E4D"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tcBorders>
              <w:bottom w:val="dotted" w:sz="4" w:space="0" w:color="auto"/>
            </w:tcBorders>
            <w:vAlign w:val="center"/>
          </w:tcPr>
          <w:p w14:paraId="040063C9" w14:textId="77777777" w:rsidR="00E61374" w:rsidRPr="00016EA4" w:rsidRDefault="00E61374"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p>
        </w:tc>
      </w:tr>
      <w:tr w:rsidR="002253AE" w:rsidRPr="00016EA4" w14:paraId="0D16F0E6" w14:textId="77777777" w:rsidTr="0021498B">
        <w:trPr>
          <w:trHeight w:val="506"/>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bottom w:val="dotted" w:sz="4" w:space="0" w:color="auto"/>
            </w:tcBorders>
            <w:vAlign w:val="center"/>
          </w:tcPr>
          <w:p w14:paraId="1CC0BB85" w14:textId="2FFDB0AE" w:rsidR="00E61374" w:rsidRPr="00016EA4" w:rsidRDefault="00EF2A3A"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bottom w:val="dotted" w:sz="4" w:space="0" w:color="auto"/>
            </w:tcBorders>
            <w:vAlign w:val="center"/>
          </w:tcPr>
          <w:p w14:paraId="0DC1D5F3" w14:textId="21DA38C6"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28E6B0DD"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351BD611"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bottom w:val="nil"/>
            </w:tcBorders>
            <w:vAlign w:val="center"/>
          </w:tcPr>
          <w:p w14:paraId="07F02478"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 xml:space="preserve">PM9: </w:t>
            </w:r>
            <w:r w:rsidRPr="00016EA4">
              <w:rPr>
                <w:noProof/>
                <w:sz w:val="24"/>
                <w:szCs w:val="24"/>
              </w:rPr>
              <w:t>EU deployment funding for strategic projects</w:t>
            </w:r>
          </w:p>
        </w:tc>
        <w:tc>
          <w:tcPr>
            <w:tcW w:w="709" w:type="dxa"/>
            <w:tcBorders>
              <w:top w:val="dotted" w:sz="4" w:space="0" w:color="auto"/>
              <w:bottom w:val="dotted" w:sz="4" w:space="0" w:color="auto"/>
            </w:tcBorders>
            <w:vAlign w:val="center"/>
          </w:tcPr>
          <w:p w14:paraId="22B3BE5A" w14:textId="2AA4CB6A"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759" w:type="dxa"/>
            <w:tcBorders>
              <w:top w:val="dotted" w:sz="4" w:space="0" w:color="auto"/>
              <w:bottom w:val="dotted" w:sz="4" w:space="0" w:color="auto"/>
            </w:tcBorders>
            <w:vAlign w:val="center"/>
          </w:tcPr>
          <w:p w14:paraId="649A435B" w14:textId="5F07E083"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2253AE" w:rsidRPr="00016EA4" w14:paraId="39E5F284" w14:textId="77777777" w:rsidTr="0021498B">
        <w:trPr>
          <w:trHeight w:val="395"/>
        </w:trPr>
        <w:tc>
          <w:tcPr>
            <w:cnfStyle w:val="001000000000" w:firstRow="0" w:lastRow="0" w:firstColumn="1" w:lastColumn="0" w:oddVBand="0" w:evenVBand="0" w:oddHBand="0" w:evenHBand="0" w:firstRowFirstColumn="0" w:firstRowLastColumn="0" w:lastRowFirstColumn="0" w:lastRowLastColumn="0"/>
            <w:tcW w:w="864" w:type="dxa"/>
            <w:tcBorders>
              <w:top w:val="dotted" w:sz="4" w:space="0" w:color="auto"/>
            </w:tcBorders>
            <w:vAlign w:val="center"/>
          </w:tcPr>
          <w:p w14:paraId="44245E2D" w14:textId="4BA71559" w:rsidR="00E61374" w:rsidRPr="00016EA4" w:rsidRDefault="00AF01DE" w:rsidP="0027022D">
            <w:pPr>
              <w:jc w:val="center"/>
              <w:rPr>
                <w:noProof/>
                <w:sz w:val="24"/>
                <w:szCs w:val="24"/>
              </w:rPr>
            </w:pPr>
            <w:r w:rsidRPr="00D37004">
              <w:rPr>
                <w:rFonts w:ascii="Wingdings" w:eastAsia="Wingdings" w:hAnsi="Wingdings" w:cs="Wingdings"/>
                <w:noProof/>
              </w:rPr>
              <w:t></w:t>
            </w:r>
          </w:p>
        </w:tc>
        <w:tc>
          <w:tcPr>
            <w:tcW w:w="937" w:type="dxa"/>
            <w:tcBorders>
              <w:top w:val="dotted" w:sz="4" w:space="0" w:color="auto"/>
            </w:tcBorders>
            <w:vAlign w:val="center"/>
          </w:tcPr>
          <w:p w14:paraId="5728FF57" w14:textId="54170C0F" w:rsidR="0056537F" w:rsidRPr="00016EA4" w:rsidRDefault="0069262F" w:rsidP="0027022D">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1644" w:type="dxa"/>
            <w:vMerge/>
            <w:shd w:val="clear" w:color="auto" w:fill="C2D69B" w:themeFill="accent3" w:themeFillTint="99"/>
          </w:tcPr>
          <w:p w14:paraId="423DCE26"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1470" w:type="dxa"/>
            <w:vMerge/>
            <w:shd w:val="clear" w:color="auto" w:fill="D6E3BC" w:themeFill="accent3" w:themeFillTint="66"/>
            <w:vAlign w:val="center"/>
          </w:tcPr>
          <w:p w14:paraId="581A4D90"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8688" w:type="dxa"/>
            <w:tcBorders>
              <w:top w:val="nil"/>
            </w:tcBorders>
            <w:vAlign w:val="center"/>
          </w:tcPr>
          <w:p w14:paraId="041E6B47" w14:textId="77777777" w:rsidR="00E61374" w:rsidRPr="00016EA4" w:rsidRDefault="00E61374">
            <w:pPr>
              <w:cnfStyle w:val="000000000000" w:firstRow="0" w:lastRow="0" w:firstColumn="0" w:lastColumn="0" w:oddVBand="0" w:evenVBand="0" w:oddHBand="0" w:evenHBand="0" w:firstRowFirstColumn="0" w:firstRowLastColumn="0" w:lastRowFirstColumn="0" w:lastRowLastColumn="0"/>
              <w:rPr>
                <w:b/>
                <w:noProof/>
                <w:sz w:val="24"/>
                <w:szCs w:val="24"/>
              </w:rPr>
            </w:pPr>
            <w:r w:rsidRPr="00016EA4">
              <w:rPr>
                <w:b/>
                <w:noProof/>
                <w:sz w:val="24"/>
                <w:szCs w:val="24"/>
              </w:rPr>
              <w:t xml:space="preserve">PM10: </w:t>
            </w:r>
            <w:r w:rsidRPr="00016EA4">
              <w:rPr>
                <w:noProof/>
                <w:sz w:val="24"/>
                <w:szCs w:val="24"/>
              </w:rPr>
              <w:t>EU-level</w:t>
            </w:r>
            <w:r w:rsidRPr="00016EA4">
              <w:rPr>
                <w:b/>
                <w:noProof/>
                <w:sz w:val="24"/>
                <w:szCs w:val="24"/>
              </w:rPr>
              <w:t xml:space="preserve"> </w:t>
            </w:r>
            <w:r w:rsidRPr="00016EA4">
              <w:rPr>
                <w:noProof/>
                <w:sz w:val="24"/>
                <w:szCs w:val="24"/>
              </w:rPr>
              <w:t>identification of areas for fast-track data centre deployment</w:t>
            </w:r>
          </w:p>
        </w:tc>
        <w:tc>
          <w:tcPr>
            <w:tcW w:w="709" w:type="dxa"/>
            <w:tcBorders>
              <w:top w:val="dotted" w:sz="4" w:space="0" w:color="auto"/>
            </w:tcBorders>
            <w:vAlign w:val="center"/>
          </w:tcPr>
          <w:p w14:paraId="1E062DBB" w14:textId="1649B6C3"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c>
          <w:tcPr>
            <w:tcW w:w="759" w:type="dxa"/>
            <w:tcBorders>
              <w:top w:val="dotted" w:sz="4" w:space="0" w:color="auto"/>
            </w:tcBorders>
            <w:vAlign w:val="center"/>
          </w:tcPr>
          <w:p w14:paraId="6E15157B" w14:textId="6E5D5387" w:rsidR="00E61374" w:rsidRPr="00016EA4" w:rsidRDefault="00897EE1" w:rsidP="00897EE1">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bl>
    <w:p w14:paraId="134DF3DE" w14:textId="080278BC" w:rsidR="005302CF" w:rsidRPr="0043759C" w:rsidRDefault="00E61374" w:rsidP="0043759C">
      <w:pPr>
        <w:spacing w:before="120" w:after="0"/>
        <w:ind w:left="-567" w:hanging="142"/>
        <w:rPr>
          <w:noProof/>
          <w:sz w:val="18"/>
          <w:szCs w:val="18"/>
        </w:rPr>
      </w:pPr>
      <w:r w:rsidRPr="0043759C">
        <w:rPr>
          <w:noProof/>
          <w:sz w:val="18"/>
          <w:szCs w:val="18"/>
        </w:rPr>
        <w:t>*</w:t>
      </w:r>
      <w:r w:rsidR="00715CF9" w:rsidRPr="0043759C">
        <w:rPr>
          <w:noProof/>
          <w:sz w:val="18"/>
          <w:szCs w:val="18"/>
        </w:rPr>
        <w:t xml:space="preserve"> </w:t>
      </w:r>
      <w:r w:rsidRPr="0043759C">
        <w:rPr>
          <w:b/>
          <w:bCs/>
          <w:noProof/>
          <w:sz w:val="18"/>
          <w:szCs w:val="18"/>
        </w:rPr>
        <w:t>SO1</w:t>
      </w:r>
      <w:r w:rsidRPr="0043759C">
        <w:rPr>
          <w:noProof/>
          <w:sz w:val="18"/>
          <w:szCs w:val="18"/>
        </w:rPr>
        <w:t xml:space="preserve">: Increase computing capacity </w:t>
      </w:r>
      <w:r w:rsidR="007A4984" w:rsidRPr="0043759C">
        <w:rPr>
          <w:noProof/>
          <w:sz w:val="18"/>
          <w:szCs w:val="18"/>
        </w:rPr>
        <w:t xml:space="preserve">deployed </w:t>
      </w:r>
      <w:r w:rsidRPr="0043759C">
        <w:rPr>
          <w:noProof/>
          <w:sz w:val="18"/>
          <w:szCs w:val="18"/>
        </w:rPr>
        <w:t xml:space="preserve">in the EU through innovative and sustainable technologies                                                                                                                                                                                   </w:t>
      </w:r>
    </w:p>
    <w:p w14:paraId="45957BE8" w14:textId="6B4E9290" w:rsidR="003A6524" w:rsidRPr="0043759C" w:rsidRDefault="00897EE1" w:rsidP="0043759C">
      <w:pPr>
        <w:spacing w:after="0"/>
        <w:ind w:hanging="709"/>
        <w:rPr>
          <w:noProof/>
          <w:sz w:val="18"/>
          <w:szCs w:val="18"/>
        </w:rPr>
      </w:pPr>
      <w:r w:rsidRPr="0043759C">
        <w:rPr>
          <w:b/>
          <w:bCs/>
          <w:noProof/>
          <w:sz w:val="18"/>
          <w:szCs w:val="18"/>
        </w:rPr>
        <w:t xml:space="preserve">   </w:t>
      </w:r>
      <w:r w:rsidR="00E61374" w:rsidRPr="0043759C">
        <w:rPr>
          <w:b/>
          <w:bCs/>
          <w:noProof/>
          <w:sz w:val="18"/>
          <w:szCs w:val="18"/>
        </w:rPr>
        <w:t>SO2</w:t>
      </w:r>
      <w:r w:rsidR="00E61374" w:rsidRPr="0043759C">
        <w:rPr>
          <w:noProof/>
          <w:sz w:val="18"/>
          <w:szCs w:val="18"/>
        </w:rPr>
        <w:t>: Ensure attractive conditions for the deployment of sustainable and innovative computing capacity</w:t>
      </w:r>
    </w:p>
    <w:p w14:paraId="6D36DC27" w14:textId="4A558F32" w:rsidR="0056537F" w:rsidRPr="0043759C" w:rsidRDefault="00920DE4" w:rsidP="0043759C">
      <w:pPr>
        <w:spacing w:after="0"/>
        <w:ind w:hanging="709"/>
        <w:rPr>
          <w:noProof/>
          <w:sz w:val="18"/>
          <w:szCs w:val="18"/>
        </w:rPr>
      </w:pPr>
      <w:r w:rsidRPr="0043759C">
        <w:rPr>
          <w:b/>
          <w:bCs/>
          <w:noProof/>
          <w:sz w:val="18"/>
          <w:szCs w:val="18"/>
        </w:rPr>
        <w:t xml:space="preserve">   </w:t>
      </w:r>
      <w:r w:rsidR="0056537F" w:rsidRPr="0043759C">
        <w:rPr>
          <w:b/>
          <w:noProof/>
          <w:sz w:val="18"/>
          <w:szCs w:val="18"/>
        </w:rPr>
        <w:t>PD1:</w:t>
      </w:r>
      <w:r w:rsidR="0056537F" w:rsidRPr="0043759C">
        <w:rPr>
          <w:noProof/>
          <w:sz w:val="18"/>
          <w:szCs w:val="18"/>
        </w:rPr>
        <w:t xml:space="preserve"> Lack of scale and scope of European cloud and AI computing service providers</w:t>
      </w:r>
    </w:p>
    <w:p w14:paraId="3AE161F5" w14:textId="61ECB4FD" w:rsidR="00420614" w:rsidRPr="0043759C" w:rsidRDefault="00920DE4" w:rsidP="0043759C">
      <w:pPr>
        <w:spacing w:after="0"/>
        <w:ind w:hanging="709"/>
        <w:rPr>
          <w:b/>
          <w:noProof/>
          <w:sz w:val="18"/>
          <w:szCs w:val="18"/>
        </w:rPr>
      </w:pPr>
      <w:r w:rsidRPr="0043759C">
        <w:rPr>
          <w:b/>
          <w:bCs/>
          <w:noProof/>
          <w:sz w:val="18"/>
          <w:szCs w:val="18"/>
        </w:rPr>
        <w:t xml:space="preserve">   </w:t>
      </w:r>
      <w:r w:rsidR="0056537F" w:rsidRPr="0043759C">
        <w:rPr>
          <w:b/>
          <w:noProof/>
          <w:sz w:val="18"/>
          <w:szCs w:val="18"/>
        </w:rPr>
        <w:t>PD2:</w:t>
      </w:r>
      <w:r w:rsidR="0056537F" w:rsidRPr="0043759C">
        <w:rPr>
          <w:noProof/>
          <w:sz w:val="18"/>
          <w:szCs w:val="18"/>
        </w:rPr>
        <w:t xml:space="preserve"> Bottlenecks </w:t>
      </w:r>
      <w:r w:rsidR="00E150CE" w:rsidRPr="0043759C">
        <w:rPr>
          <w:noProof/>
          <w:sz w:val="18"/>
          <w:szCs w:val="18"/>
        </w:rPr>
        <w:t>slowing down</w:t>
      </w:r>
      <w:r w:rsidR="0056537F" w:rsidRPr="0043759C">
        <w:rPr>
          <w:noProof/>
          <w:sz w:val="18"/>
          <w:szCs w:val="18"/>
        </w:rPr>
        <w:t xml:space="preserve"> data centre </w:t>
      </w:r>
      <w:r w:rsidR="00B36361" w:rsidRPr="0043759C">
        <w:rPr>
          <w:noProof/>
          <w:sz w:val="18"/>
          <w:szCs w:val="18"/>
        </w:rPr>
        <w:t>expansion</w:t>
      </w:r>
    </w:p>
    <w:p w14:paraId="226BBDA3" w14:textId="77777777" w:rsidR="00420614" w:rsidRDefault="00420614" w:rsidP="00897EE1">
      <w:pPr>
        <w:spacing w:after="0"/>
        <w:rPr>
          <w:noProof/>
          <w:sz w:val="20"/>
          <w:szCs w:val="20"/>
        </w:rPr>
      </w:pPr>
    </w:p>
    <w:p w14:paraId="1CFAD61C" w14:textId="77777777" w:rsidR="00F1546E" w:rsidRDefault="00F1546E" w:rsidP="00897EE1">
      <w:pPr>
        <w:spacing w:after="0"/>
        <w:rPr>
          <w:noProof/>
          <w:sz w:val="20"/>
          <w:szCs w:val="20"/>
        </w:rPr>
      </w:pPr>
    </w:p>
    <w:p w14:paraId="22BD343D" w14:textId="77777777" w:rsidR="00F1546E" w:rsidRDefault="00F1546E" w:rsidP="00897EE1">
      <w:pPr>
        <w:spacing w:after="0"/>
        <w:rPr>
          <w:noProof/>
          <w:sz w:val="20"/>
          <w:szCs w:val="20"/>
        </w:rPr>
      </w:pP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09"/>
        <w:gridCol w:w="609"/>
        <w:gridCol w:w="620"/>
        <w:gridCol w:w="1768"/>
        <w:gridCol w:w="1606"/>
        <w:gridCol w:w="7404"/>
        <w:gridCol w:w="651"/>
        <w:gridCol w:w="698"/>
      </w:tblGrid>
      <w:tr w:rsidR="005E7161" w:rsidRPr="00016EA4" w14:paraId="455D36BC" w14:textId="77777777" w:rsidTr="008B3901">
        <w:trPr>
          <w:cnfStyle w:val="100000000000" w:firstRow="1" w:lastRow="0" w:firstColumn="0" w:lastColumn="0" w:oddVBand="0" w:evenVBand="0" w:oddHBand="0" w:evenHBand="0" w:firstRowFirstColumn="0" w:firstRowLastColumn="0" w:lastRowFirstColumn="0" w:lastRowLastColumn="0"/>
          <w:trHeight w:val="557"/>
          <w:tblHeader/>
        </w:trPr>
        <w:tc>
          <w:tcPr>
            <w:cnfStyle w:val="001000000000" w:firstRow="0" w:lastRow="0" w:firstColumn="1" w:lastColumn="0" w:oddVBand="0" w:evenVBand="0" w:oddHBand="0" w:evenHBand="0" w:firstRowFirstColumn="0" w:firstRowLastColumn="0" w:lastRowFirstColumn="0" w:lastRowLastColumn="0"/>
            <w:tcW w:w="657" w:type="pct"/>
            <w:gridSpan w:val="3"/>
            <w:tcBorders>
              <w:top w:val="single" w:sz="4" w:space="0" w:color="auto"/>
              <w:bottom w:val="single" w:sz="4" w:space="0" w:color="auto"/>
            </w:tcBorders>
            <w:shd w:val="clear" w:color="auto" w:fill="DDD9C3" w:themeFill="background2" w:themeFillShade="E6"/>
            <w:vAlign w:val="center"/>
          </w:tcPr>
          <w:p w14:paraId="68240724" w14:textId="642EED35" w:rsidR="003239BA" w:rsidRPr="00016EA4" w:rsidRDefault="003239BA" w:rsidP="00C32B47">
            <w:pPr>
              <w:jc w:val="center"/>
              <w:rPr>
                <w:noProof/>
              </w:rPr>
            </w:pPr>
            <w:r w:rsidRPr="00016EA4">
              <w:rPr>
                <w:noProof/>
                <w:color w:val="auto"/>
                <w:sz w:val="24"/>
                <w:szCs w:val="24"/>
              </w:rPr>
              <w:t>Problem driver(s)</w:t>
            </w:r>
          </w:p>
        </w:tc>
        <w:tc>
          <w:tcPr>
            <w:tcW w:w="633" w:type="pct"/>
            <w:vMerge w:val="restart"/>
            <w:tcBorders>
              <w:top w:val="single" w:sz="4" w:space="0" w:color="auto"/>
            </w:tcBorders>
            <w:shd w:val="clear" w:color="auto" w:fill="DDD9C3" w:themeFill="background2" w:themeFillShade="E6"/>
            <w:vAlign w:val="center"/>
          </w:tcPr>
          <w:p w14:paraId="6851326C" w14:textId="3506FCFB" w:rsidR="003239BA" w:rsidRPr="00016EA4" w:rsidRDefault="003239BA" w:rsidP="00C32B47">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Problem</w:t>
            </w:r>
          </w:p>
        </w:tc>
        <w:tc>
          <w:tcPr>
            <w:tcW w:w="575" w:type="pct"/>
            <w:vMerge w:val="restart"/>
            <w:tcBorders>
              <w:top w:val="single" w:sz="4" w:space="0" w:color="auto"/>
              <w:bottom w:val="single" w:sz="4" w:space="0" w:color="auto"/>
            </w:tcBorders>
            <w:shd w:val="clear" w:color="auto" w:fill="DDD9C3" w:themeFill="background2" w:themeFillShade="E6"/>
            <w:vAlign w:val="center"/>
          </w:tcPr>
          <w:p w14:paraId="0E084044" w14:textId="77777777" w:rsidR="003239BA" w:rsidRPr="00016EA4" w:rsidRDefault="003239BA" w:rsidP="00C32B47">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Policy Option</w:t>
            </w:r>
          </w:p>
        </w:tc>
        <w:tc>
          <w:tcPr>
            <w:tcW w:w="2651" w:type="pct"/>
            <w:vMerge w:val="restart"/>
            <w:tcBorders>
              <w:top w:val="single" w:sz="4" w:space="0" w:color="auto"/>
              <w:bottom w:val="single" w:sz="4" w:space="0" w:color="auto"/>
            </w:tcBorders>
            <w:shd w:val="clear" w:color="auto" w:fill="DDD9C3" w:themeFill="background2" w:themeFillShade="E6"/>
            <w:vAlign w:val="center"/>
          </w:tcPr>
          <w:p w14:paraId="6D961ACF" w14:textId="77777777" w:rsidR="003239BA" w:rsidRPr="00016EA4" w:rsidRDefault="003239BA" w:rsidP="00C32B47">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Policy Measures</w:t>
            </w:r>
          </w:p>
        </w:tc>
        <w:tc>
          <w:tcPr>
            <w:tcW w:w="483" w:type="pct"/>
            <w:gridSpan w:val="2"/>
            <w:tcBorders>
              <w:top w:val="single" w:sz="4" w:space="0" w:color="auto"/>
              <w:bottom w:val="single" w:sz="4" w:space="0" w:color="EEECE1" w:themeColor="background2"/>
              <w:right w:val="single" w:sz="4" w:space="0" w:color="auto"/>
            </w:tcBorders>
            <w:shd w:val="clear" w:color="auto" w:fill="DDD9C3" w:themeFill="background2" w:themeFillShade="E6"/>
            <w:vAlign w:val="center"/>
          </w:tcPr>
          <w:p w14:paraId="328F7A8D" w14:textId="77777777" w:rsidR="003239BA" w:rsidRPr="00016EA4" w:rsidRDefault="003239BA" w:rsidP="00C32B47">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r w:rsidRPr="00016EA4">
              <w:rPr>
                <w:noProof/>
                <w:color w:val="auto"/>
                <w:sz w:val="24"/>
                <w:szCs w:val="24"/>
              </w:rPr>
              <w:t>Specific objectives*</w:t>
            </w:r>
          </w:p>
        </w:tc>
      </w:tr>
      <w:tr w:rsidR="005E7161" w:rsidRPr="00016EA4" w14:paraId="208DF8F7" w14:textId="77777777" w:rsidTr="00A3612D">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218" w:type="pct"/>
            <w:tcBorders>
              <w:bottom w:val="single" w:sz="4" w:space="0" w:color="auto"/>
            </w:tcBorders>
            <w:shd w:val="clear" w:color="auto" w:fill="DDD9C3" w:themeFill="background2" w:themeFillShade="E6"/>
            <w:vAlign w:val="center"/>
          </w:tcPr>
          <w:p w14:paraId="24099707" w14:textId="77777777" w:rsidR="003239BA" w:rsidRPr="00920DE4" w:rsidRDefault="003239BA" w:rsidP="00C32B47">
            <w:pPr>
              <w:jc w:val="center"/>
              <w:rPr>
                <w:b w:val="0"/>
                <w:noProof/>
                <w:color w:val="auto"/>
              </w:rPr>
            </w:pPr>
            <w:r w:rsidRPr="00920DE4">
              <w:rPr>
                <w:b w:val="0"/>
                <w:noProof/>
                <w:color w:val="auto"/>
              </w:rPr>
              <w:t>PD1</w:t>
            </w:r>
          </w:p>
        </w:tc>
        <w:tc>
          <w:tcPr>
            <w:tcW w:w="218" w:type="pct"/>
            <w:tcBorders>
              <w:bottom w:val="single" w:sz="4" w:space="0" w:color="auto"/>
            </w:tcBorders>
            <w:shd w:val="clear" w:color="auto" w:fill="DDD9C3" w:themeFill="background2" w:themeFillShade="E6"/>
            <w:vAlign w:val="center"/>
          </w:tcPr>
          <w:p w14:paraId="1EF39B05" w14:textId="0366665F" w:rsidR="003239BA" w:rsidRPr="0056537F" w:rsidRDefault="003239BA" w:rsidP="00C32B47">
            <w:pPr>
              <w:jc w:val="center"/>
              <w:cnfStyle w:val="100000000000" w:firstRow="1" w:lastRow="0" w:firstColumn="0" w:lastColumn="0" w:oddVBand="0" w:evenVBand="0" w:oddHBand="0" w:evenHBand="0" w:firstRowFirstColumn="0" w:firstRowLastColumn="0" w:lastRowFirstColumn="0" w:lastRowLastColumn="0"/>
              <w:rPr>
                <w:b w:val="0"/>
                <w:noProof/>
                <w:color w:val="auto"/>
              </w:rPr>
            </w:pPr>
            <w:r w:rsidRPr="0056537F">
              <w:rPr>
                <w:b w:val="0"/>
                <w:bCs w:val="0"/>
                <w:noProof/>
                <w:color w:val="auto"/>
              </w:rPr>
              <w:t>PD</w:t>
            </w:r>
            <w:r w:rsidR="00132151">
              <w:rPr>
                <w:b w:val="0"/>
                <w:bCs w:val="0"/>
                <w:noProof/>
                <w:color w:val="auto"/>
              </w:rPr>
              <w:t>3</w:t>
            </w:r>
          </w:p>
        </w:tc>
        <w:tc>
          <w:tcPr>
            <w:tcW w:w="222" w:type="pct"/>
            <w:shd w:val="clear" w:color="auto" w:fill="DDD9C3" w:themeFill="background2" w:themeFillShade="E6"/>
          </w:tcPr>
          <w:p w14:paraId="034075E5" w14:textId="12727326" w:rsidR="003239BA" w:rsidRPr="00215838" w:rsidRDefault="003239BA" w:rsidP="00215838">
            <w:pPr>
              <w:jc w:val="center"/>
              <w:cnfStyle w:val="100000000000" w:firstRow="1" w:lastRow="0" w:firstColumn="0" w:lastColumn="0" w:oddVBand="0" w:evenVBand="0" w:oddHBand="0" w:evenHBand="0" w:firstRowFirstColumn="0" w:firstRowLastColumn="0" w:lastRowFirstColumn="0" w:lastRowLastColumn="0"/>
              <w:rPr>
                <w:b w:val="0"/>
                <w:noProof/>
                <w:color w:val="000000" w:themeColor="text1"/>
              </w:rPr>
            </w:pPr>
            <w:r w:rsidRPr="00132151">
              <w:rPr>
                <w:b w:val="0"/>
                <w:noProof/>
                <w:color w:val="000000" w:themeColor="text1"/>
              </w:rPr>
              <w:t>PD4</w:t>
            </w:r>
          </w:p>
        </w:tc>
        <w:tc>
          <w:tcPr>
            <w:tcW w:w="633" w:type="pct"/>
            <w:vMerge/>
            <w:shd w:val="clear" w:color="auto" w:fill="DDD9C3" w:themeFill="background2" w:themeFillShade="E6"/>
          </w:tcPr>
          <w:p w14:paraId="028EE07E" w14:textId="7C9535DE" w:rsidR="003239BA" w:rsidRPr="00016EA4" w:rsidRDefault="003239BA" w:rsidP="00C32B47">
            <w:pP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575" w:type="pct"/>
            <w:vMerge/>
            <w:shd w:val="clear" w:color="auto" w:fill="DDD9C3" w:themeFill="background2" w:themeFillShade="E6"/>
            <w:vAlign w:val="center"/>
          </w:tcPr>
          <w:p w14:paraId="3E46F4CD" w14:textId="77777777" w:rsidR="003239BA" w:rsidRPr="00016EA4" w:rsidRDefault="003239BA" w:rsidP="00C32B47">
            <w:pP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2651" w:type="pct"/>
            <w:vMerge/>
            <w:tcBorders>
              <w:bottom w:val="single" w:sz="4" w:space="0" w:color="auto"/>
            </w:tcBorders>
            <w:shd w:val="clear" w:color="auto" w:fill="DDD9C3" w:themeFill="background2" w:themeFillShade="E6"/>
            <w:vAlign w:val="center"/>
          </w:tcPr>
          <w:p w14:paraId="432A2AB3" w14:textId="77777777" w:rsidR="003239BA" w:rsidRPr="00016EA4" w:rsidRDefault="003239BA" w:rsidP="00C32B47">
            <w:pPr>
              <w:jc w:val="center"/>
              <w:cnfStyle w:val="100000000000" w:firstRow="1" w:lastRow="0" w:firstColumn="0" w:lastColumn="0" w:oddVBand="0" w:evenVBand="0" w:oddHBand="0" w:evenHBand="0" w:firstRowFirstColumn="0" w:firstRowLastColumn="0" w:lastRowFirstColumn="0" w:lastRowLastColumn="0"/>
              <w:rPr>
                <w:noProof/>
                <w:color w:val="auto"/>
                <w:sz w:val="24"/>
                <w:szCs w:val="24"/>
              </w:rPr>
            </w:pPr>
          </w:p>
        </w:tc>
        <w:tc>
          <w:tcPr>
            <w:tcW w:w="233" w:type="pct"/>
            <w:tcBorders>
              <w:top w:val="single" w:sz="4" w:space="0" w:color="EEECE1" w:themeColor="background2"/>
              <w:bottom w:val="single" w:sz="4" w:space="0" w:color="auto"/>
            </w:tcBorders>
            <w:shd w:val="clear" w:color="auto" w:fill="DDD9C3" w:themeFill="background2" w:themeFillShade="E6"/>
            <w:vAlign w:val="center"/>
          </w:tcPr>
          <w:p w14:paraId="43B4F7C8" w14:textId="329FA19F" w:rsidR="003239BA" w:rsidRPr="009909BD" w:rsidRDefault="003239BA" w:rsidP="00C32B47">
            <w:pPr>
              <w:jc w:val="center"/>
              <w:cnfStyle w:val="100000000000" w:firstRow="1" w:lastRow="0" w:firstColumn="0" w:lastColumn="0" w:oddVBand="0" w:evenVBand="0" w:oddHBand="0" w:evenHBand="0" w:firstRowFirstColumn="0" w:firstRowLastColumn="0" w:lastRowFirstColumn="0" w:lastRowLastColumn="0"/>
              <w:rPr>
                <w:b w:val="0"/>
                <w:bCs w:val="0"/>
                <w:noProof/>
                <w:color w:val="auto"/>
              </w:rPr>
            </w:pPr>
            <w:r w:rsidRPr="009909BD">
              <w:rPr>
                <w:b w:val="0"/>
                <w:bCs w:val="0"/>
                <w:noProof/>
                <w:color w:val="auto"/>
              </w:rPr>
              <w:t>SO</w:t>
            </w:r>
            <w:r w:rsidR="00187DC6">
              <w:rPr>
                <w:b w:val="0"/>
                <w:bCs w:val="0"/>
                <w:noProof/>
                <w:color w:val="auto"/>
              </w:rPr>
              <w:t>3</w:t>
            </w:r>
          </w:p>
        </w:tc>
        <w:tc>
          <w:tcPr>
            <w:tcW w:w="250" w:type="pct"/>
            <w:tcBorders>
              <w:top w:val="single" w:sz="4" w:space="0" w:color="EEECE1" w:themeColor="background2"/>
              <w:bottom w:val="single" w:sz="4" w:space="0" w:color="auto"/>
            </w:tcBorders>
            <w:shd w:val="clear" w:color="auto" w:fill="DDD9C3" w:themeFill="background2" w:themeFillShade="E6"/>
            <w:vAlign w:val="center"/>
          </w:tcPr>
          <w:p w14:paraId="10929CEF" w14:textId="6443681B" w:rsidR="003239BA" w:rsidRPr="009909BD" w:rsidRDefault="003239BA" w:rsidP="00C32B47">
            <w:pPr>
              <w:jc w:val="center"/>
              <w:cnfStyle w:val="100000000000" w:firstRow="1" w:lastRow="0" w:firstColumn="0" w:lastColumn="0" w:oddVBand="0" w:evenVBand="0" w:oddHBand="0" w:evenHBand="0" w:firstRowFirstColumn="0" w:firstRowLastColumn="0" w:lastRowFirstColumn="0" w:lastRowLastColumn="0"/>
              <w:rPr>
                <w:b w:val="0"/>
                <w:bCs w:val="0"/>
                <w:noProof/>
                <w:color w:val="auto"/>
              </w:rPr>
            </w:pPr>
            <w:r w:rsidRPr="009909BD">
              <w:rPr>
                <w:b w:val="0"/>
                <w:bCs w:val="0"/>
                <w:noProof/>
                <w:color w:val="auto"/>
              </w:rPr>
              <w:t>SO</w:t>
            </w:r>
            <w:r w:rsidR="00187DC6">
              <w:rPr>
                <w:b w:val="0"/>
                <w:bCs w:val="0"/>
                <w:noProof/>
                <w:color w:val="auto"/>
              </w:rPr>
              <w:t>4</w:t>
            </w:r>
          </w:p>
        </w:tc>
      </w:tr>
      <w:tr w:rsidR="00381745" w:rsidRPr="00016EA4" w14:paraId="13DFF850" w14:textId="77777777" w:rsidTr="00A3612D">
        <w:trPr>
          <w:trHeight w:val="604"/>
        </w:trPr>
        <w:tc>
          <w:tcPr>
            <w:cnfStyle w:val="001000000000" w:firstRow="0" w:lastRow="0" w:firstColumn="1" w:lastColumn="0" w:oddVBand="0" w:evenVBand="0" w:oddHBand="0" w:evenHBand="0" w:firstRowFirstColumn="0" w:firstRowLastColumn="0" w:lastRowFirstColumn="0" w:lastRowLastColumn="0"/>
            <w:tcW w:w="218" w:type="pct"/>
            <w:tcBorders>
              <w:top w:val="single" w:sz="4" w:space="0" w:color="auto"/>
              <w:bottom w:val="dotted" w:sz="4" w:space="0" w:color="auto"/>
            </w:tcBorders>
            <w:vAlign w:val="center"/>
          </w:tcPr>
          <w:p w14:paraId="4B155A07" w14:textId="77777777" w:rsidR="00381745" w:rsidRPr="00D37004" w:rsidRDefault="00381745" w:rsidP="006B6433">
            <w:pPr>
              <w:jc w:val="center"/>
              <w:rPr>
                <w:rFonts w:ascii="Wingdings" w:eastAsia="Wingdings" w:hAnsi="Wingdings" w:cs="Wingdings"/>
                <w:noProof/>
              </w:rPr>
            </w:pPr>
          </w:p>
        </w:tc>
        <w:tc>
          <w:tcPr>
            <w:tcW w:w="218" w:type="pct"/>
            <w:tcBorders>
              <w:top w:val="single" w:sz="4" w:space="0" w:color="auto"/>
              <w:bottom w:val="dotted" w:sz="4" w:space="0" w:color="auto"/>
            </w:tcBorders>
            <w:vAlign w:val="center"/>
          </w:tcPr>
          <w:p w14:paraId="0D2B88E0"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222" w:type="pct"/>
            <w:tcBorders>
              <w:top w:val="single" w:sz="4" w:space="0" w:color="auto"/>
              <w:bottom w:val="dotted" w:sz="4" w:space="0" w:color="auto"/>
            </w:tcBorders>
            <w:vAlign w:val="center"/>
          </w:tcPr>
          <w:p w14:paraId="5A2EB40B" w14:textId="3F871DA7" w:rsidR="00381745" w:rsidRPr="003239BA"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215838">
              <w:rPr>
                <w:rFonts w:ascii="Wingdings" w:eastAsia="Wingdings" w:hAnsi="Wingdings" w:cs="Wingdings"/>
                <w:b/>
                <w:noProof/>
              </w:rPr>
              <w:t></w:t>
            </w:r>
          </w:p>
        </w:tc>
        <w:tc>
          <w:tcPr>
            <w:tcW w:w="633" w:type="pct"/>
            <w:vMerge w:val="restart"/>
            <w:tcBorders>
              <w:top w:val="single" w:sz="4" w:space="0" w:color="auto"/>
            </w:tcBorders>
            <w:shd w:val="clear" w:color="auto" w:fill="8DB3E2" w:themeFill="text2" w:themeFillTint="66"/>
            <w:vAlign w:val="center"/>
          </w:tcPr>
          <w:p w14:paraId="4CBDEC74" w14:textId="52133C7E" w:rsidR="00381745" w:rsidRPr="00016EA4" w:rsidRDefault="00381745" w:rsidP="00187DC6">
            <w:pPr>
              <w:jc w:val="left"/>
              <w:cnfStyle w:val="000000000000" w:firstRow="0" w:lastRow="0" w:firstColumn="0" w:lastColumn="0" w:oddVBand="0" w:evenVBand="0" w:oddHBand="0" w:evenHBand="0" w:firstRowFirstColumn="0" w:firstRowLastColumn="0" w:lastRowFirstColumn="0" w:lastRowLastColumn="0"/>
              <w:rPr>
                <w:b/>
                <w:noProof/>
              </w:rPr>
            </w:pPr>
            <w:r w:rsidRPr="00016EA4">
              <w:rPr>
                <w:b/>
                <w:noProof/>
                <w:sz w:val="24"/>
                <w:szCs w:val="24"/>
              </w:rPr>
              <w:t>P</w:t>
            </w:r>
            <w:r>
              <w:rPr>
                <w:b/>
                <w:noProof/>
                <w:sz w:val="24"/>
                <w:szCs w:val="24"/>
              </w:rPr>
              <w:t>2</w:t>
            </w:r>
            <w:r w:rsidRPr="00016EA4">
              <w:rPr>
                <w:noProof/>
                <w:sz w:val="24"/>
                <w:szCs w:val="24"/>
              </w:rPr>
              <w:t xml:space="preserve">: </w:t>
            </w:r>
            <w:r w:rsidRPr="00897EE1">
              <w:rPr>
                <w:noProof/>
                <w:sz w:val="24"/>
                <w:szCs w:val="24"/>
              </w:rPr>
              <w:t xml:space="preserve">Dependence on cloud and AI computing services supplied by non-European providers  </w:t>
            </w:r>
          </w:p>
        </w:tc>
        <w:tc>
          <w:tcPr>
            <w:tcW w:w="575" w:type="pct"/>
            <w:vMerge w:val="restart"/>
            <w:tcBorders>
              <w:top w:val="single" w:sz="4" w:space="0" w:color="auto"/>
              <w:right w:val="single" w:sz="4" w:space="0" w:color="auto"/>
            </w:tcBorders>
            <w:shd w:val="clear" w:color="auto" w:fill="C6D9F1" w:themeFill="text2" w:themeFillTint="33"/>
            <w:vAlign w:val="center"/>
          </w:tcPr>
          <w:p w14:paraId="2D24EB8B" w14:textId="028265DF" w:rsidR="00381745" w:rsidRPr="00897EE1" w:rsidRDefault="00381745" w:rsidP="00187DC6">
            <w:pPr>
              <w:cnfStyle w:val="000000000000" w:firstRow="0" w:lastRow="0" w:firstColumn="0" w:lastColumn="0" w:oddVBand="0" w:evenVBand="0" w:oddHBand="0" w:evenHBand="0" w:firstRowFirstColumn="0" w:firstRowLastColumn="0" w:lastRowFirstColumn="0" w:lastRowLastColumn="0"/>
              <w:rPr>
                <w:b/>
                <w:bCs/>
                <w:noProof/>
              </w:rPr>
            </w:pPr>
            <w:r w:rsidRPr="00897EE1">
              <w:rPr>
                <w:b/>
                <w:bCs/>
                <w:noProof/>
                <w:sz w:val="24"/>
                <w:szCs w:val="24"/>
              </w:rPr>
              <w:t>2A:</w:t>
            </w:r>
            <w:r>
              <w:rPr>
                <w:noProof/>
                <w:sz w:val="24"/>
                <w:szCs w:val="24"/>
              </w:rPr>
              <w:t xml:space="preserve"> </w:t>
            </w:r>
            <w:r w:rsidRPr="00897EE1">
              <w:rPr>
                <w:noProof/>
                <w:sz w:val="24"/>
                <w:szCs w:val="24"/>
              </w:rPr>
              <w:t>measures to increase transparency and visibility of sovereign cloud and AI computing services</w:t>
            </w:r>
          </w:p>
        </w:tc>
        <w:tc>
          <w:tcPr>
            <w:tcW w:w="2651" w:type="pct"/>
            <w:tcBorders>
              <w:top w:val="single" w:sz="4" w:space="0" w:color="auto"/>
              <w:left w:val="single" w:sz="4" w:space="0" w:color="auto"/>
              <w:bottom w:val="nil"/>
              <w:right w:val="single" w:sz="4" w:space="0" w:color="auto"/>
            </w:tcBorders>
            <w:vAlign w:val="center"/>
          </w:tcPr>
          <w:p w14:paraId="7C6CFF52" w14:textId="7C563AF3" w:rsidR="00381745" w:rsidRPr="00897EE1" w:rsidRDefault="00381745" w:rsidP="00187DC6">
            <w:pPr>
              <w:cnfStyle w:val="000000000000" w:firstRow="0" w:lastRow="0" w:firstColumn="0" w:lastColumn="0" w:oddVBand="0" w:evenVBand="0" w:oddHBand="0" w:evenHBand="0" w:firstRowFirstColumn="0" w:firstRowLastColumn="0" w:lastRowFirstColumn="0" w:lastRowLastColumn="0"/>
              <w:rPr>
                <w:b/>
                <w:noProof/>
              </w:rPr>
            </w:pPr>
            <w:r w:rsidRPr="00897EE1">
              <w:rPr>
                <w:b/>
                <w:noProof/>
                <w:sz w:val="24"/>
                <w:szCs w:val="24"/>
              </w:rPr>
              <w:t xml:space="preserve">PM11: </w:t>
            </w:r>
            <w:r w:rsidRPr="00897EE1">
              <w:rPr>
                <w:noProof/>
                <w:sz w:val="24"/>
                <w:szCs w:val="24"/>
              </w:rPr>
              <w:t xml:space="preserve">Creating an EU-level </w:t>
            </w:r>
            <w:r>
              <w:rPr>
                <w:noProof/>
                <w:sz w:val="24"/>
                <w:szCs w:val="24"/>
              </w:rPr>
              <w:t>harmonized criteria for</w:t>
            </w:r>
            <w:r w:rsidRPr="00897EE1">
              <w:rPr>
                <w:noProof/>
                <w:sz w:val="24"/>
                <w:szCs w:val="24"/>
              </w:rPr>
              <w:t xml:space="preserve"> sovereign cloud and AI computing services</w:t>
            </w:r>
          </w:p>
        </w:tc>
        <w:tc>
          <w:tcPr>
            <w:tcW w:w="233" w:type="pct"/>
            <w:tcBorders>
              <w:left w:val="single" w:sz="4" w:space="0" w:color="auto"/>
              <w:bottom w:val="dotted" w:sz="4" w:space="0" w:color="auto"/>
            </w:tcBorders>
            <w:vAlign w:val="center"/>
          </w:tcPr>
          <w:p w14:paraId="7C8BE618" w14:textId="0E9DD6B0"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rPr>
            </w:pPr>
            <w:r w:rsidRPr="00D37004">
              <w:rPr>
                <w:rFonts w:ascii="Wingdings" w:eastAsia="Wingdings" w:hAnsi="Wingdings" w:cs="Wingdings"/>
                <w:b/>
                <w:noProof/>
              </w:rPr>
              <w:t></w:t>
            </w:r>
          </w:p>
        </w:tc>
        <w:tc>
          <w:tcPr>
            <w:tcW w:w="250" w:type="pct"/>
            <w:tcBorders>
              <w:bottom w:val="dotted" w:sz="4" w:space="0" w:color="auto"/>
            </w:tcBorders>
            <w:vAlign w:val="center"/>
          </w:tcPr>
          <w:p w14:paraId="1E0729EC" w14:textId="5841DF46" w:rsidR="00381745" w:rsidRPr="00D37004" w:rsidRDefault="00381745" w:rsidP="00187DC6">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r w:rsidRPr="00D37004">
              <w:rPr>
                <w:rFonts w:ascii="Wingdings" w:eastAsia="Wingdings" w:hAnsi="Wingdings" w:cs="Wingdings"/>
                <w:b/>
                <w:noProof/>
              </w:rPr>
              <w:t></w:t>
            </w:r>
          </w:p>
        </w:tc>
      </w:tr>
      <w:tr w:rsidR="00381745" w:rsidRPr="00016EA4" w14:paraId="22B6D5EC" w14:textId="77777777" w:rsidTr="00A3612D">
        <w:trPr>
          <w:trHeight w:val="604"/>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54C69E10" w14:textId="53488511" w:rsidR="00381745" w:rsidRPr="00016EA4" w:rsidRDefault="00381745" w:rsidP="006B6433">
            <w:pPr>
              <w:jc w:val="center"/>
              <w:rPr>
                <w:noProof/>
                <w:sz w:val="24"/>
                <w:szCs w:val="24"/>
              </w:rPr>
            </w:pPr>
          </w:p>
        </w:tc>
        <w:tc>
          <w:tcPr>
            <w:tcW w:w="218" w:type="pct"/>
            <w:tcBorders>
              <w:top w:val="dotted" w:sz="4" w:space="0" w:color="auto"/>
              <w:bottom w:val="dotted" w:sz="4" w:space="0" w:color="auto"/>
            </w:tcBorders>
            <w:vAlign w:val="center"/>
          </w:tcPr>
          <w:p w14:paraId="62AAC0D9"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222" w:type="pct"/>
            <w:tcBorders>
              <w:top w:val="dotted" w:sz="4" w:space="0" w:color="auto"/>
              <w:bottom w:val="dotted" w:sz="4" w:space="0" w:color="auto"/>
            </w:tcBorders>
            <w:vAlign w:val="center"/>
          </w:tcPr>
          <w:p w14:paraId="5C5432C8" w14:textId="5DE8F7A5" w:rsidR="00381745" w:rsidRPr="003239BA"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215838">
              <w:rPr>
                <w:rFonts w:ascii="Wingdings" w:eastAsia="Wingdings" w:hAnsi="Wingdings" w:cs="Wingdings"/>
                <w:b/>
                <w:noProof/>
              </w:rPr>
              <w:t></w:t>
            </w:r>
          </w:p>
        </w:tc>
        <w:tc>
          <w:tcPr>
            <w:tcW w:w="633" w:type="pct"/>
            <w:vMerge/>
            <w:shd w:val="clear" w:color="auto" w:fill="8DB3E2" w:themeFill="text2" w:themeFillTint="66"/>
            <w:vAlign w:val="center"/>
          </w:tcPr>
          <w:p w14:paraId="4BB53A65" w14:textId="314FC588" w:rsidR="00381745" w:rsidRPr="00016EA4" w:rsidRDefault="00381745" w:rsidP="00187DC6">
            <w:pPr>
              <w:jc w:val="left"/>
              <w:cnfStyle w:val="000000000000" w:firstRow="0" w:lastRow="0" w:firstColumn="0" w:lastColumn="0" w:oddVBand="0" w:evenVBand="0" w:oddHBand="0" w:evenHBand="0" w:firstRowFirstColumn="0" w:firstRowLastColumn="0" w:lastRowFirstColumn="0" w:lastRowLastColumn="0"/>
              <w:rPr>
                <w:b/>
                <w:noProof/>
                <w:sz w:val="24"/>
                <w:szCs w:val="24"/>
              </w:rPr>
            </w:pPr>
          </w:p>
        </w:tc>
        <w:tc>
          <w:tcPr>
            <w:tcW w:w="575" w:type="pct"/>
            <w:vMerge/>
            <w:tcBorders>
              <w:right w:val="single" w:sz="4" w:space="0" w:color="auto"/>
            </w:tcBorders>
            <w:shd w:val="clear" w:color="auto" w:fill="C6D9F1" w:themeFill="text2" w:themeFillTint="33"/>
            <w:vAlign w:val="center"/>
          </w:tcPr>
          <w:p w14:paraId="028E0E4F" w14:textId="1F54DAB4"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1EC7A978" w14:textId="37851F7C"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r w:rsidRPr="00897EE1">
              <w:rPr>
                <w:b/>
                <w:noProof/>
                <w:sz w:val="24"/>
                <w:szCs w:val="24"/>
              </w:rPr>
              <w:t xml:space="preserve">PM12: </w:t>
            </w:r>
            <w:r w:rsidRPr="00897EE1">
              <w:rPr>
                <w:noProof/>
                <w:sz w:val="24"/>
                <w:szCs w:val="24"/>
              </w:rPr>
              <w:t>EU guidelines on the requirements to be fulfilled by sovereign cloud and AI computing service providers</w:t>
            </w:r>
          </w:p>
        </w:tc>
        <w:tc>
          <w:tcPr>
            <w:tcW w:w="233" w:type="pct"/>
            <w:tcBorders>
              <w:top w:val="dotted" w:sz="4" w:space="0" w:color="auto"/>
              <w:left w:val="single" w:sz="4" w:space="0" w:color="auto"/>
              <w:bottom w:val="dotted" w:sz="4" w:space="0" w:color="auto"/>
            </w:tcBorders>
            <w:vAlign w:val="center"/>
          </w:tcPr>
          <w:p w14:paraId="6CBD1FFC" w14:textId="721F6940"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2E80EAA7" w14:textId="6F951854"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6EF4EDED" w14:textId="77777777" w:rsidTr="00A3612D">
        <w:trPr>
          <w:trHeight w:val="506"/>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5B397CA0"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476EE150" w14:textId="7BEE2004"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222" w:type="pct"/>
            <w:tcBorders>
              <w:top w:val="dotted" w:sz="4" w:space="0" w:color="auto"/>
              <w:bottom w:val="dotted" w:sz="4" w:space="0" w:color="auto"/>
            </w:tcBorders>
            <w:vAlign w:val="center"/>
          </w:tcPr>
          <w:p w14:paraId="001B95EB" w14:textId="660FD68E"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r w:rsidRPr="00D37004">
              <w:rPr>
                <w:rFonts w:ascii="Wingdings" w:eastAsia="Wingdings" w:hAnsi="Wingdings" w:cs="Wingdings"/>
                <w:b/>
                <w:noProof/>
              </w:rPr>
              <w:t></w:t>
            </w:r>
          </w:p>
        </w:tc>
        <w:tc>
          <w:tcPr>
            <w:tcW w:w="633" w:type="pct"/>
            <w:vMerge/>
            <w:tcBorders>
              <w:top w:val="dotted" w:sz="4" w:space="0" w:color="auto"/>
            </w:tcBorders>
            <w:shd w:val="clear" w:color="auto" w:fill="8DB3E2" w:themeFill="text2" w:themeFillTint="66"/>
          </w:tcPr>
          <w:p w14:paraId="03C69614" w14:textId="41D0BE26"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top w:val="dotted" w:sz="4" w:space="0" w:color="auto"/>
              <w:right w:val="single" w:sz="4" w:space="0" w:color="auto"/>
            </w:tcBorders>
            <w:shd w:val="clear" w:color="auto" w:fill="C6D9F1" w:themeFill="text2" w:themeFillTint="33"/>
            <w:vAlign w:val="center"/>
          </w:tcPr>
          <w:p w14:paraId="747832D6" w14:textId="77777777"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42433713" w14:textId="26BD1150"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r w:rsidRPr="4058FE4E">
              <w:rPr>
                <w:b/>
                <w:bCs/>
                <w:noProof/>
                <w:sz w:val="24"/>
                <w:szCs w:val="24"/>
              </w:rPr>
              <w:t>PM13</w:t>
            </w:r>
            <w:r w:rsidRPr="4058FE4E">
              <w:rPr>
                <w:noProof/>
                <w:sz w:val="24"/>
                <w:szCs w:val="24"/>
              </w:rPr>
              <w:t>: Awareness raising on EU digital sovereignty</w:t>
            </w:r>
          </w:p>
        </w:tc>
        <w:tc>
          <w:tcPr>
            <w:tcW w:w="233" w:type="pct"/>
            <w:tcBorders>
              <w:top w:val="dotted" w:sz="4" w:space="0" w:color="auto"/>
              <w:left w:val="single" w:sz="4" w:space="0" w:color="auto"/>
              <w:bottom w:val="dotted" w:sz="4" w:space="0" w:color="auto"/>
            </w:tcBorders>
            <w:vAlign w:val="center"/>
          </w:tcPr>
          <w:p w14:paraId="27A4AD25" w14:textId="45D34F3E"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739324BA" w14:textId="0115D853"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r>
      <w:tr w:rsidR="00381745" w:rsidRPr="00016EA4" w14:paraId="16AD7AF3" w14:textId="77777777" w:rsidTr="00A3612D">
        <w:trPr>
          <w:trHeight w:val="506"/>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single" w:sz="4" w:space="0" w:color="auto"/>
            </w:tcBorders>
            <w:vAlign w:val="center"/>
          </w:tcPr>
          <w:p w14:paraId="45588EC4"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single" w:sz="4" w:space="0" w:color="auto"/>
            </w:tcBorders>
            <w:vAlign w:val="center"/>
          </w:tcPr>
          <w:p w14:paraId="7169BDCE" w14:textId="52D6941C"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p>
        </w:tc>
        <w:tc>
          <w:tcPr>
            <w:tcW w:w="222" w:type="pct"/>
            <w:tcBorders>
              <w:top w:val="dotted" w:sz="4" w:space="0" w:color="auto"/>
            </w:tcBorders>
            <w:vAlign w:val="center"/>
          </w:tcPr>
          <w:p w14:paraId="4987749B"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00A3886B" w14:textId="637CE5C4" w:rsidR="00381745" w:rsidRPr="00016EA4" w:rsidRDefault="00381745" w:rsidP="00C32B47">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right w:val="single" w:sz="4" w:space="0" w:color="auto"/>
            </w:tcBorders>
            <w:shd w:val="clear" w:color="auto" w:fill="C6D9F1" w:themeFill="text2" w:themeFillTint="33"/>
            <w:vAlign w:val="center"/>
          </w:tcPr>
          <w:p w14:paraId="1CB518A9" w14:textId="77777777" w:rsidR="00381745" w:rsidRPr="00016EA4" w:rsidRDefault="00381745" w:rsidP="00C32B47">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single" w:sz="4" w:space="0" w:color="auto"/>
              <w:right w:val="single" w:sz="4" w:space="0" w:color="auto"/>
            </w:tcBorders>
            <w:vAlign w:val="center"/>
          </w:tcPr>
          <w:p w14:paraId="6A7FD02D" w14:textId="31F59372" w:rsidR="00381745" w:rsidRPr="00016EA4" w:rsidRDefault="00381745" w:rsidP="00C32B47">
            <w:pPr>
              <w:cnfStyle w:val="000000000000" w:firstRow="0" w:lastRow="0" w:firstColumn="0" w:lastColumn="0" w:oddVBand="0" w:evenVBand="0" w:oddHBand="0" w:evenHBand="0" w:firstRowFirstColumn="0" w:firstRowLastColumn="0" w:lastRowFirstColumn="0" w:lastRowLastColumn="0"/>
              <w:rPr>
                <w:b/>
                <w:noProof/>
                <w:sz w:val="24"/>
                <w:szCs w:val="24"/>
              </w:rPr>
            </w:pPr>
            <w:r w:rsidRPr="00897EE1">
              <w:rPr>
                <w:b/>
                <w:noProof/>
                <w:sz w:val="24"/>
                <w:szCs w:val="24"/>
              </w:rPr>
              <w:t>PM14:</w:t>
            </w:r>
            <w:r w:rsidRPr="00897EE1">
              <w:rPr>
                <w:noProof/>
                <w:sz w:val="24"/>
                <w:szCs w:val="24"/>
              </w:rPr>
              <w:t xml:space="preserve"> Measures for effective interoperability of cloud and AI computing services</w:t>
            </w:r>
          </w:p>
        </w:tc>
        <w:tc>
          <w:tcPr>
            <w:tcW w:w="233" w:type="pct"/>
            <w:tcBorders>
              <w:top w:val="dotted" w:sz="4" w:space="0" w:color="auto"/>
              <w:left w:val="single" w:sz="4" w:space="0" w:color="auto"/>
              <w:bottom w:val="single" w:sz="4" w:space="0" w:color="auto"/>
            </w:tcBorders>
            <w:vAlign w:val="center"/>
          </w:tcPr>
          <w:p w14:paraId="44625050" w14:textId="77777777" w:rsidR="00381745" w:rsidRPr="00016EA4" w:rsidRDefault="00381745" w:rsidP="00C32B47">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top w:val="dotted" w:sz="4" w:space="0" w:color="auto"/>
              <w:bottom w:val="single" w:sz="4" w:space="0" w:color="auto"/>
            </w:tcBorders>
            <w:vAlign w:val="center"/>
          </w:tcPr>
          <w:p w14:paraId="0AAFD5E5" w14:textId="1A5F878D" w:rsidR="00381745" w:rsidRPr="00016EA4" w:rsidRDefault="00381745" w:rsidP="00C32B47">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p>
        </w:tc>
      </w:tr>
      <w:tr w:rsidR="00381745" w:rsidRPr="00016EA4" w14:paraId="1361EB8E" w14:textId="77777777" w:rsidTr="00A3612D">
        <w:trPr>
          <w:trHeight w:val="228"/>
        </w:trPr>
        <w:tc>
          <w:tcPr>
            <w:cnfStyle w:val="001000000000" w:firstRow="0" w:lastRow="0" w:firstColumn="1" w:lastColumn="0" w:oddVBand="0" w:evenVBand="0" w:oddHBand="0" w:evenHBand="0" w:firstRowFirstColumn="0" w:firstRowLastColumn="0" w:lastRowFirstColumn="0" w:lastRowLastColumn="0"/>
            <w:tcW w:w="218" w:type="pct"/>
            <w:tcBorders>
              <w:bottom w:val="dotted" w:sz="4" w:space="0" w:color="auto"/>
            </w:tcBorders>
            <w:vAlign w:val="center"/>
          </w:tcPr>
          <w:p w14:paraId="18527E11"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bottom w:val="dotted" w:sz="4" w:space="0" w:color="auto"/>
            </w:tcBorders>
            <w:vAlign w:val="center"/>
          </w:tcPr>
          <w:p w14:paraId="2FBB1816"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bottom w:val="dotted" w:sz="4" w:space="0" w:color="auto"/>
            </w:tcBorders>
            <w:vAlign w:val="center"/>
          </w:tcPr>
          <w:p w14:paraId="1908AD73" w14:textId="7FDE1E9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r w:rsidRPr="00D37004">
              <w:rPr>
                <w:rFonts w:ascii="Wingdings" w:eastAsia="Wingdings" w:hAnsi="Wingdings" w:cs="Wingdings"/>
                <w:b/>
                <w:noProof/>
              </w:rPr>
              <w:t></w:t>
            </w:r>
          </w:p>
        </w:tc>
        <w:tc>
          <w:tcPr>
            <w:tcW w:w="633" w:type="pct"/>
            <w:vMerge/>
            <w:shd w:val="clear" w:color="auto" w:fill="8DB3E2" w:themeFill="text2" w:themeFillTint="66"/>
          </w:tcPr>
          <w:p w14:paraId="3797C987" w14:textId="4CC4128E"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val="restart"/>
            <w:tcBorders>
              <w:right w:val="single" w:sz="4" w:space="0" w:color="auto"/>
            </w:tcBorders>
            <w:shd w:val="clear" w:color="auto" w:fill="C6D9F1" w:themeFill="text2" w:themeFillTint="33"/>
            <w:vAlign w:val="center"/>
          </w:tcPr>
          <w:p w14:paraId="551B0919" w14:textId="45832FF1"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r w:rsidRPr="00897EE1">
              <w:rPr>
                <w:b/>
                <w:bCs/>
                <w:noProof/>
                <w:sz w:val="24"/>
                <w:szCs w:val="24"/>
              </w:rPr>
              <w:t>2B:</w:t>
            </w:r>
            <w:r w:rsidRPr="00897EE1">
              <w:rPr>
                <w:noProof/>
                <w:sz w:val="24"/>
                <w:szCs w:val="24"/>
              </w:rPr>
              <w:t xml:space="preserve"> Voluntary framework for advancing sovereign cloud and AI computing services</w:t>
            </w:r>
          </w:p>
        </w:tc>
        <w:tc>
          <w:tcPr>
            <w:tcW w:w="2651" w:type="pct"/>
            <w:tcBorders>
              <w:top w:val="single" w:sz="4" w:space="0" w:color="auto"/>
              <w:left w:val="single" w:sz="4" w:space="0" w:color="auto"/>
              <w:bottom w:val="nil"/>
              <w:right w:val="single" w:sz="4" w:space="0" w:color="auto"/>
            </w:tcBorders>
            <w:vAlign w:val="center"/>
          </w:tcPr>
          <w:p w14:paraId="0938E1BF" w14:textId="583B1F36"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b/>
                <w:noProof/>
                <w:sz w:val="24"/>
                <w:szCs w:val="24"/>
              </w:rPr>
            </w:pPr>
            <w:r w:rsidRPr="00897EE1">
              <w:rPr>
                <w:b/>
                <w:noProof/>
                <w:sz w:val="24"/>
                <w:szCs w:val="24"/>
              </w:rPr>
              <w:t>PM15</w:t>
            </w:r>
            <w:r w:rsidRPr="00897EE1">
              <w:rPr>
                <w:noProof/>
                <w:sz w:val="24"/>
                <w:szCs w:val="24"/>
              </w:rPr>
              <w:t xml:space="preserve">: </w:t>
            </w:r>
            <w:r w:rsidRPr="0009444A">
              <w:rPr>
                <w:noProof/>
                <w:sz w:val="24"/>
                <w:szCs w:val="24"/>
              </w:rPr>
              <w:t>Voluntary sovereign risk assessments for the use of cloud and AI computing services in the public sector</w:t>
            </w:r>
          </w:p>
        </w:tc>
        <w:tc>
          <w:tcPr>
            <w:tcW w:w="233" w:type="pct"/>
            <w:tcBorders>
              <w:left w:val="single" w:sz="4" w:space="0" w:color="auto"/>
              <w:bottom w:val="dotted" w:sz="4" w:space="0" w:color="auto"/>
            </w:tcBorders>
            <w:vAlign w:val="center"/>
          </w:tcPr>
          <w:p w14:paraId="663911CF" w14:textId="09C7EF98"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bottom w:val="dotted" w:sz="4" w:space="0" w:color="auto"/>
            </w:tcBorders>
            <w:vAlign w:val="center"/>
          </w:tcPr>
          <w:p w14:paraId="366D1F98" w14:textId="5764C0D3"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55889DA4" w14:textId="77777777" w:rsidTr="00A3612D">
        <w:trPr>
          <w:trHeight w:val="307"/>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2E965831"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58C20CB7"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top w:val="dotted" w:sz="4" w:space="0" w:color="auto"/>
              <w:bottom w:val="dotted" w:sz="4" w:space="0" w:color="auto"/>
            </w:tcBorders>
            <w:vAlign w:val="center"/>
          </w:tcPr>
          <w:p w14:paraId="1C77D4A7"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276EBC2C" w14:textId="59293234"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right w:val="single" w:sz="4" w:space="0" w:color="auto"/>
            </w:tcBorders>
            <w:shd w:val="clear" w:color="auto" w:fill="C6D9F1" w:themeFill="text2" w:themeFillTint="33"/>
            <w:vAlign w:val="center"/>
          </w:tcPr>
          <w:p w14:paraId="5E35A8D8" w14:textId="77777777"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4B9B3D89" w14:textId="03368347"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b/>
                <w:noProof/>
                <w:sz w:val="24"/>
                <w:szCs w:val="24"/>
              </w:rPr>
            </w:pPr>
            <w:r w:rsidRPr="00897EE1">
              <w:rPr>
                <w:b/>
                <w:noProof/>
                <w:sz w:val="24"/>
                <w:szCs w:val="24"/>
              </w:rPr>
              <w:t xml:space="preserve">PM16: </w:t>
            </w:r>
            <w:r w:rsidRPr="00897EE1">
              <w:rPr>
                <w:noProof/>
                <w:sz w:val="24"/>
                <w:szCs w:val="24"/>
              </w:rPr>
              <w:t>Voluntary award criteria rewarding a European added value</w:t>
            </w:r>
          </w:p>
        </w:tc>
        <w:tc>
          <w:tcPr>
            <w:tcW w:w="233" w:type="pct"/>
            <w:tcBorders>
              <w:top w:val="dotted" w:sz="4" w:space="0" w:color="auto"/>
              <w:left w:val="single" w:sz="4" w:space="0" w:color="auto"/>
              <w:bottom w:val="dotted" w:sz="4" w:space="0" w:color="auto"/>
            </w:tcBorders>
            <w:vAlign w:val="center"/>
          </w:tcPr>
          <w:p w14:paraId="1D948D29" w14:textId="577E6294"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66F80FF2" w14:textId="48BBC623"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3A40B7D4" w14:textId="77777777" w:rsidTr="00A3612D">
        <w:trPr>
          <w:trHeight w:val="578"/>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4C89ECAA" w14:textId="60AFDCF9" w:rsidR="00381745" w:rsidRPr="00F3098F" w:rsidRDefault="00381745" w:rsidP="006B6433">
            <w:pPr>
              <w:jc w:val="center"/>
              <w:rPr>
                <w:b w:val="0"/>
                <w:bCs w:val="0"/>
                <w:noProof/>
              </w:rPr>
            </w:pPr>
          </w:p>
        </w:tc>
        <w:tc>
          <w:tcPr>
            <w:tcW w:w="218" w:type="pct"/>
            <w:tcBorders>
              <w:top w:val="dotted" w:sz="4" w:space="0" w:color="auto"/>
              <w:bottom w:val="dotted" w:sz="4" w:space="0" w:color="auto"/>
            </w:tcBorders>
            <w:vAlign w:val="center"/>
          </w:tcPr>
          <w:p w14:paraId="3997E0C0" w14:textId="71A11AB1"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r w:rsidRPr="00D37004">
              <w:rPr>
                <w:rFonts w:ascii="Wingdings" w:eastAsia="Wingdings" w:hAnsi="Wingdings" w:cs="Wingdings"/>
                <w:b/>
                <w:noProof/>
              </w:rPr>
              <w:t></w:t>
            </w:r>
          </w:p>
        </w:tc>
        <w:tc>
          <w:tcPr>
            <w:tcW w:w="222" w:type="pct"/>
            <w:tcBorders>
              <w:top w:val="dotted" w:sz="4" w:space="0" w:color="auto"/>
              <w:bottom w:val="dotted" w:sz="4" w:space="0" w:color="auto"/>
            </w:tcBorders>
            <w:vAlign w:val="center"/>
          </w:tcPr>
          <w:p w14:paraId="5AD3C884" w14:textId="30C9679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4547BA52" w14:textId="2AB41D46"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bottom w:val="single" w:sz="4" w:space="0" w:color="auto"/>
              <w:right w:val="single" w:sz="4" w:space="0" w:color="auto"/>
            </w:tcBorders>
            <w:shd w:val="clear" w:color="auto" w:fill="C6D9F1" w:themeFill="text2" w:themeFillTint="33"/>
            <w:vAlign w:val="center"/>
          </w:tcPr>
          <w:p w14:paraId="6BC3B69A" w14:textId="77777777"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4E41117A" w14:textId="207326CE"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b/>
                <w:noProof/>
                <w:sz w:val="24"/>
                <w:szCs w:val="24"/>
              </w:rPr>
            </w:pPr>
            <w:r w:rsidRPr="00897EE1">
              <w:rPr>
                <w:b/>
                <w:noProof/>
                <w:sz w:val="24"/>
                <w:szCs w:val="24"/>
              </w:rPr>
              <w:t>PM17:</w:t>
            </w:r>
            <w:r w:rsidRPr="00897EE1">
              <w:rPr>
                <w:noProof/>
                <w:sz w:val="24"/>
                <w:szCs w:val="24"/>
              </w:rPr>
              <w:t xml:space="preserve"> Public sector cloud federation and EU broker</w:t>
            </w:r>
          </w:p>
        </w:tc>
        <w:tc>
          <w:tcPr>
            <w:tcW w:w="233" w:type="pct"/>
            <w:tcBorders>
              <w:top w:val="dotted" w:sz="4" w:space="0" w:color="auto"/>
              <w:left w:val="single" w:sz="4" w:space="0" w:color="auto"/>
              <w:bottom w:val="dotted" w:sz="4" w:space="0" w:color="auto"/>
            </w:tcBorders>
            <w:vAlign w:val="center"/>
          </w:tcPr>
          <w:p w14:paraId="314865F0" w14:textId="0ADD0EC5"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50" w:type="pct"/>
            <w:tcBorders>
              <w:top w:val="dotted" w:sz="4" w:space="0" w:color="auto"/>
              <w:bottom w:val="dotted" w:sz="4" w:space="0" w:color="auto"/>
            </w:tcBorders>
            <w:vAlign w:val="center"/>
          </w:tcPr>
          <w:p w14:paraId="417B8240" w14:textId="1A7B2572"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355A50E1" w14:textId="77777777" w:rsidTr="008B3901">
        <w:trPr>
          <w:trHeight w:val="75"/>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single" w:sz="4" w:space="0" w:color="auto"/>
            </w:tcBorders>
            <w:vAlign w:val="center"/>
          </w:tcPr>
          <w:p w14:paraId="20EB1217" w14:textId="4D7B53E0" w:rsidR="00381745" w:rsidRPr="00016EA4" w:rsidRDefault="00381745" w:rsidP="006B6433">
            <w:pPr>
              <w:jc w:val="center"/>
              <w:rPr>
                <w:noProof/>
              </w:rPr>
            </w:pPr>
            <w:r w:rsidRPr="00D37004">
              <w:rPr>
                <w:rFonts w:ascii="Wingdings" w:eastAsia="Wingdings" w:hAnsi="Wingdings" w:cs="Wingdings"/>
                <w:noProof/>
              </w:rPr>
              <w:t></w:t>
            </w:r>
          </w:p>
        </w:tc>
        <w:tc>
          <w:tcPr>
            <w:tcW w:w="218" w:type="pct"/>
            <w:tcBorders>
              <w:top w:val="dotted" w:sz="4" w:space="0" w:color="auto"/>
              <w:bottom w:val="single" w:sz="4" w:space="0" w:color="auto"/>
            </w:tcBorders>
            <w:vAlign w:val="center"/>
          </w:tcPr>
          <w:p w14:paraId="7521B79F" w14:textId="4C2F94A9"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r w:rsidRPr="00D37004">
              <w:rPr>
                <w:rFonts w:ascii="Wingdings" w:eastAsia="Wingdings" w:hAnsi="Wingdings" w:cs="Wingdings"/>
                <w:b/>
                <w:noProof/>
              </w:rPr>
              <w:t></w:t>
            </w:r>
          </w:p>
        </w:tc>
        <w:tc>
          <w:tcPr>
            <w:tcW w:w="222" w:type="pct"/>
            <w:tcBorders>
              <w:top w:val="dotted" w:sz="4" w:space="0" w:color="auto"/>
              <w:bottom w:val="single" w:sz="4" w:space="0" w:color="auto"/>
            </w:tcBorders>
            <w:vAlign w:val="center"/>
          </w:tcPr>
          <w:p w14:paraId="68BFE3CC" w14:textId="6F54BD32"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tcBorders>
              <w:bottom w:val="single" w:sz="4" w:space="0" w:color="auto"/>
            </w:tcBorders>
            <w:shd w:val="clear" w:color="auto" w:fill="8DB3E2" w:themeFill="text2" w:themeFillTint="66"/>
          </w:tcPr>
          <w:p w14:paraId="7E9629FA" w14:textId="6CA09D4F"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bottom w:val="single" w:sz="4" w:space="0" w:color="auto"/>
              <w:right w:val="single" w:sz="4" w:space="0" w:color="auto"/>
            </w:tcBorders>
            <w:shd w:val="clear" w:color="auto" w:fill="C6D9F1" w:themeFill="text2" w:themeFillTint="33"/>
            <w:vAlign w:val="center"/>
          </w:tcPr>
          <w:p w14:paraId="61D552A8" w14:textId="77777777"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single" w:sz="4" w:space="0" w:color="auto"/>
              <w:right w:val="single" w:sz="4" w:space="0" w:color="auto"/>
            </w:tcBorders>
            <w:vAlign w:val="center"/>
          </w:tcPr>
          <w:p w14:paraId="4FD0D42B" w14:textId="2F2A610E" w:rsidR="00381745" w:rsidRPr="00016EA4" w:rsidRDefault="00381745" w:rsidP="00187DC6">
            <w:pPr>
              <w:cnfStyle w:val="000000000000" w:firstRow="0" w:lastRow="0" w:firstColumn="0" w:lastColumn="0" w:oddVBand="0" w:evenVBand="0" w:oddHBand="0" w:evenHBand="0" w:firstRowFirstColumn="0" w:firstRowLastColumn="0" w:lastRowFirstColumn="0" w:lastRowLastColumn="0"/>
              <w:rPr>
                <w:b/>
                <w:noProof/>
                <w:sz w:val="24"/>
                <w:szCs w:val="24"/>
              </w:rPr>
            </w:pPr>
            <w:r w:rsidRPr="00897EE1">
              <w:rPr>
                <w:b/>
                <w:noProof/>
                <w:sz w:val="24"/>
                <w:szCs w:val="24"/>
              </w:rPr>
              <w:t xml:space="preserve">PM18: </w:t>
            </w:r>
            <w:r w:rsidRPr="00897EE1">
              <w:rPr>
                <w:noProof/>
                <w:sz w:val="24"/>
                <w:szCs w:val="24"/>
              </w:rPr>
              <w:t>Creating vendor-neutral cloud and AI training</w:t>
            </w:r>
          </w:p>
        </w:tc>
        <w:tc>
          <w:tcPr>
            <w:tcW w:w="233" w:type="pct"/>
            <w:tcBorders>
              <w:top w:val="dotted" w:sz="4" w:space="0" w:color="auto"/>
              <w:left w:val="single" w:sz="4" w:space="0" w:color="auto"/>
              <w:bottom w:val="single" w:sz="4" w:space="0" w:color="auto"/>
            </w:tcBorders>
            <w:vAlign w:val="center"/>
          </w:tcPr>
          <w:p w14:paraId="196846FF" w14:textId="77777777"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top w:val="dotted" w:sz="4" w:space="0" w:color="auto"/>
              <w:bottom w:val="single" w:sz="4" w:space="0" w:color="auto"/>
            </w:tcBorders>
            <w:vAlign w:val="center"/>
          </w:tcPr>
          <w:p w14:paraId="50786227" w14:textId="77777777" w:rsidR="00381745" w:rsidRPr="00016EA4" w:rsidRDefault="00381745" w:rsidP="00187DC6">
            <w:pPr>
              <w:jc w:val="center"/>
              <w:cnfStyle w:val="000000000000" w:firstRow="0" w:lastRow="0" w:firstColumn="0" w:lastColumn="0" w:oddVBand="0" w:evenVBand="0" w:oddHBand="0" w:evenHBand="0" w:firstRowFirstColumn="0" w:firstRowLastColumn="0" w:lastRowFirstColumn="0" w:lastRowLastColumn="0"/>
              <w:rPr>
                <w:noProof/>
                <w:sz w:val="24"/>
                <w:szCs w:val="24"/>
              </w:rPr>
            </w:pPr>
          </w:p>
        </w:tc>
      </w:tr>
      <w:tr w:rsidR="00381745" w:rsidRPr="00016EA4" w14:paraId="54840755" w14:textId="77777777" w:rsidTr="007B3660">
        <w:trPr>
          <w:trHeight w:val="144"/>
        </w:trPr>
        <w:tc>
          <w:tcPr>
            <w:cnfStyle w:val="001000000000" w:firstRow="0" w:lastRow="0" w:firstColumn="1" w:lastColumn="0" w:oddVBand="0" w:evenVBand="0" w:oddHBand="0" w:evenHBand="0" w:firstRowFirstColumn="0" w:firstRowLastColumn="0" w:lastRowFirstColumn="0" w:lastRowLastColumn="0"/>
            <w:tcW w:w="218" w:type="pct"/>
            <w:tcBorders>
              <w:top w:val="single" w:sz="4" w:space="0" w:color="auto"/>
              <w:bottom w:val="dotted" w:sz="4" w:space="0" w:color="auto"/>
            </w:tcBorders>
            <w:vAlign w:val="center"/>
          </w:tcPr>
          <w:p w14:paraId="20BD676B" w14:textId="53CE31C0" w:rsidR="00381745" w:rsidRPr="00016EA4" w:rsidRDefault="00132151" w:rsidP="006B6433">
            <w:pPr>
              <w:jc w:val="center"/>
              <w:rPr>
                <w:noProof/>
              </w:rPr>
            </w:pPr>
            <w:r w:rsidRPr="00D37004">
              <w:rPr>
                <w:rFonts w:ascii="Wingdings" w:eastAsia="Wingdings" w:hAnsi="Wingdings" w:cs="Wingdings"/>
                <w:noProof/>
              </w:rPr>
              <w:t></w:t>
            </w:r>
          </w:p>
        </w:tc>
        <w:tc>
          <w:tcPr>
            <w:tcW w:w="218" w:type="pct"/>
            <w:tcBorders>
              <w:top w:val="single" w:sz="4" w:space="0" w:color="auto"/>
              <w:bottom w:val="dotted" w:sz="4" w:space="0" w:color="auto"/>
            </w:tcBorders>
            <w:vAlign w:val="center"/>
          </w:tcPr>
          <w:p w14:paraId="1D3547DE" w14:textId="21A678B5"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top w:val="single" w:sz="4" w:space="0" w:color="auto"/>
              <w:bottom w:val="dotted" w:sz="4" w:space="0" w:color="auto"/>
            </w:tcBorders>
            <w:vAlign w:val="center"/>
          </w:tcPr>
          <w:p w14:paraId="2012DAE1" w14:textId="285769E5"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tcBorders>
              <w:top w:val="single" w:sz="4" w:space="0" w:color="auto"/>
              <w:bottom w:val="dotted" w:sz="4" w:space="0" w:color="auto"/>
            </w:tcBorders>
            <w:shd w:val="clear" w:color="auto" w:fill="8DB3E2" w:themeFill="text2" w:themeFillTint="66"/>
          </w:tcPr>
          <w:p w14:paraId="0E63AB4E"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rPr>
            </w:pPr>
          </w:p>
        </w:tc>
        <w:tc>
          <w:tcPr>
            <w:tcW w:w="575" w:type="pct"/>
            <w:vMerge w:val="restart"/>
            <w:tcBorders>
              <w:top w:val="single" w:sz="4" w:space="0" w:color="auto"/>
              <w:bottom w:val="dotted" w:sz="4" w:space="0" w:color="auto"/>
              <w:right w:val="single" w:sz="4" w:space="0" w:color="auto"/>
            </w:tcBorders>
            <w:shd w:val="clear" w:color="auto" w:fill="C6D9F1" w:themeFill="text2" w:themeFillTint="33"/>
            <w:vAlign w:val="center"/>
          </w:tcPr>
          <w:p w14:paraId="20AF8057" w14:textId="31117EF6" w:rsidR="00381745" w:rsidRPr="00016EA4" w:rsidRDefault="008B3901" w:rsidP="00731605">
            <w:pPr>
              <w:cnfStyle w:val="000000000000" w:firstRow="0" w:lastRow="0" w:firstColumn="0" w:lastColumn="0" w:oddVBand="0" w:evenVBand="0" w:oddHBand="0" w:evenHBand="0" w:firstRowFirstColumn="0" w:firstRowLastColumn="0" w:lastRowFirstColumn="0" w:lastRowLastColumn="0"/>
              <w:rPr>
                <w:noProof/>
              </w:rPr>
            </w:pPr>
            <w:r w:rsidRPr="00897EE1">
              <w:rPr>
                <w:b/>
                <w:bCs/>
                <w:noProof/>
                <w:sz w:val="24"/>
                <w:szCs w:val="24"/>
              </w:rPr>
              <w:t>2C:</w:t>
            </w:r>
            <w:r>
              <w:rPr>
                <w:noProof/>
                <w:sz w:val="24"/>
                <w:szCs w:val="24"/>
              </w:rPr>
              <w:t xml:space="preserve"> </w:t>
            </w:r>
            <w:r w:rsidRPr="00897EE1">
              <w:rPr>
                <w:noProof/>
                <w:sz w:val="24"/>
                <w:szCs w:val="24"/>
              </w:rPr>
              <w:t>EU-coordinated procurement and support framework for sovereign cloud and AI computing services</w:t>
            </w:r>
          </w:p>
        </w:tc>
        <w:tc>
          <w:tcPr>
            <w:tcW w:w="2651" w:type="pct"/>
            <w:tcBorders>
              <w:top w:val="single" w:sz="4" w:space="0" w:color="auto"/>
              <w:left w:val="single" w:sz="4" w:space="0" w:color="auto"/>
              <w:bottom w:val="nil"/>
              <w:right w:val="single" w:sz="4" w:space="0" w:color="auto"/>
            </w:tcBorders>
            <w:vAlign w:val="center"/>
          </w:tcPr>
          <w:p w14:paraId="07DB5B81" w14:textId="728D32F8" w:rsidR="00381745" w:rsidRPr="00016EA4" w:rsidRDefault="008B3901" w:rsidP="00731605">
            <w:pPr>
              <w:cnfStyle w:val="000000000000" w:firstRow="0" w:lastRow="0" w:firstColumn="0" w:lastColumn="0" w:oddVBand="0" w:evenVBand="0" w:oddHBand="0" w:evenHBand="0" w:firstRowFirstColumn="0" w:firstRowLastColumn="0" w:lastRowFirstColumn="0" w:lastRowLastColumn="0"/>
              <w:rPr>
                <w:b/>
                <w:noProof/>
              </w:rPr>
            </w:pPr>
            <w:r w:rsidRPr="00897EE1">
              <w:rPr>
                <w:b/>
                <w:noProof/>
                <w:sz w:val="24"/>
                <w:szCs w:val="24"/>
              </w:rPr>
              <w:t>PM19</w:t>
            </w:r>
            <w:r w:rsidRPr="00897EE1">
              <w:rPr>
                <w:noProof/>
                <w:sz w:val="24"/>
                <w:szCs w:val="24"/>
              </w:rPr>
              <w:t xml:space="preserve">: </w:t>
            </w:r>
            <w:r w:rsidR="007B3660" w:rsidRPr="007B3660">
              <w:rPr>
                <w:noProof/>
                <w:sz w:val="24"/>
                <w:szCs w:val="24"/>
              </w:rPr>
              <w:t>Mandatory specific award criteria for the procurement of cloud and AI computing services</w:t>
            </w:r>
          </w:p>
        </w:tc>
        <w:tc>
          <w:tcPr>
            <w:tcW w:w="233" w:type="pct"/>
            <w:tcBorders>
              <w:top w:val="single" w:sz="4" w:space="0" w:color="auto"/>
              <w:left w:val="single" w:sz="4" w:space="0" w:color="auto"/>
              <w:bottom w:val="dotted" w:sz="4" w:space="0" w:color="auto"/>
            </w:tcBorders>
            <w:vAlign w:val="center"/>
          </w:tcPr>
          <w:p w14:paraId="05522BCC" w14:textId="2634AC30" w:rsidR="00381745" w:rsidRPr="00D37004" w:rsidRDefault="007B3660" w:rsidP="00731605">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r w:rsidRPr="00D37004">
              <w:rPr>
                <w:rFonts w:ascii="Wingdings" w:eastAsia="Wingdings" w:hAnsi="Wingdings" w:cs="Wingdings"/>
                <w:b/>
                <w:noProof/>
              </w:rPr>
              <w:t></w:t>
            </w:r>
          </w:p>
        </w:tc>
        <w:tc>
          <w:tcPr>
            <w:tcW w:w="250" w:type="pct"/>
            <w:tcBorders>
              <w:top w:val="single" w:sz="4" w:space="0" w:color="auto"/>
              <w:bottom w:val="dotted" w:sz="4" w:space="0" w:color="auto"/>
            </w:tcBorders>
            <w:vAlign w:val="center"/>
          </w:tcPr>
          <w:p w14:paraId="3C66F2F9" w14:textId="2DE948D5"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rPr>
            </w:pPr>
          </w:p>
        </w:tc>
      </w:tr>
      <w:tr w:rsidR="00381745" w:rsidRPr="00016EA4" w14:paraId="3B0E058D" w14:textId="77777777" w:rsidTr="007B3660">
        <w:trPr>
          <w:trHeight w:val="506"/>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64DD91FE"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23369757"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top w:val="dotted" w:sz="4" w:space="0" w:color="auto"/>
              <w:bottom w:val="dotted" w:sz="4" w:space="0" w:color="auto"/>
            </w:tcBorders>
            <w:vAlign w:val="center"/>
          </w:tcPr>
          <w:p w14:paraId="4C681AAE"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tcBorders>
              <w:top w:val="dotted" w:sz="4" w:space="0" w:color="auto"/>
            </w:tcBorders>
            <w:shd w:val="clear" w:color="auto" w:fill="8DB3E2" w:themeFill="text2" w:themeFillTint="66"/>
          </w:tcPr>
          <w:p w14:paraId="0058A4D3" w14:textId="4204C78C"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top w:val="dotted" w:sz="4" w:space="0" w:color="auto"/>
              <w:right w:val="single" w:sz="4" w:space="0" w:color="auto"/>
            </w:tcBorders>
            <w:shd w:val="clear" w:color="auto" w:fill="C6D9F1" w:themeFill="text2" w:themeFillTint="33"/>
            <w:vAlign w:val="center"/>
          </w:tcPr>
          <w:p w14:paraId="63B7D950" w14:textId="0252FA89"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b/>
                <w:noProof/>
                <w:sz w:val="24"/>
                <w:szCs w:val="24"/>
              </w:rPr>
            </w:pPr>
          </w:p>
        </w:tc>
        <w:tc>
          <w:tcPr>
            <w:tcW w:w="2651" w:type="pct"/>
            <w:tcBorders>
              <w:top w:val="nil"/>
              <w:left w:val="single" w:sz="4" w:space="0" w:color="auto"/>
              <w:bottom w:val="nil"/>
              <w:right w:val="single" w:sz="4" w:space="0" w:color="auto"/>
            </w:tcBorders>
            <w:vAlign w:val="center"/>
          </w:tcPr>
          <w:p w14:paraId="1F18C7C7" w14:textId="06899204" w:rsidR="00381745" w:rsidRPr="00D61D12" w:rsidRDefault="00381745" w:rsidP="00731605">
            <w:pPr>
              <w:cnfStyle w:val="000000000000" w:firstRow="0" w:lastRow="0" w:firstColumn="0" w:lastColumn="0" w:oddVBand="0" w:evenVBand="0" w:oddHBand="0" w:evenHBand="0" w:firstRowFirstColumn="0" w:firstRowLastColumn="0" w:lastRowFirstColumn="0" w:lastRowLastColumn="0"/>
              <w:rPr>
                <w:b/>
                <w:noProof/>
                <w:sz w:val="24"/>
                <w:szCs w:val="24"/>
                <w:lang w:val="en-US"/>
              </w:rPr>
            </w:pPr>
            <w:r w:rsidRPr="00897EE1">
              <w:rPr>
                <w:b/>
                <w:noProof/>
                <w:sz w:val="24"/>
                <w:szCs w:val="24"/>
              </w:rPr>
              <w:t xml:space="preserve">PM20: </w:t>
            </w:r>
            <w:r w:rsidRPr="00897EE1">
              <w:rPr>
                <w:noProof/>
                <w:sz w:val="24"/>
                <w:szCs w:val="24"/>
              </w:rPr>
              <w:t>Boosting open source use in and by public administrations</w:t>
            </w:r>
          </w:p>
        </w:tc>
        <w:tc>
          <w:tcPr>
            <w:tcW w:w="233" w:type="pct"/>
            <w:tcBorders>
              <w:top w:val="dotted" w:sz="4" w:space="0" w:color="auto"/>
              <w:left w:val="single" w:sz="4" w:space="0" w:color="auto"/>
              <w:bottom w:val="dotted" w:sz="4" w:space="0" w:color="auto"/>
            </w:tcBorders>
            <w:vAlign w:val="center"/>
          </w:tcPr>
          <w:p w14:paraId="14B4ECDF" w14:textId="77777777"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7BEFD6BD" w14:textId="339379AB"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37C8234F" w14:textId="77777777" w:rsidTr="00A3612D">
        <w:trPr>
          <w:trHeight w:val="506"/>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23F7B37D"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70AD7DE7"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top w:val="dotted" w:sz="4" w:space="0" w:color="auto"/>
              <w:bottom w:val="dotted" w:sz="4" w:space="0" w:color="auto"/>
            </w:tcBorders>
            <w:vAlign w:val="center"/>
          </w:tcPr>
          <w:p w14:paraId="41DED730" w14:textId="1AB981C6"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r w:rsidRPr="00D37004">
              <w:rPr>
                <w:rFonts w:ascii="Wingdings" w:eastAsia="Wingdings" w:hAnsi="Wingdings" w:cs="Wingdings"/>
                <w:b/>
                <w:noProof/>
              </w:rPr>
              <w:t></w:t>
            </w:r>
          </w:p>
        </w:tc>
        <w:tc>
          <w:tcPr>
            <w:tcW w:w="633" w:type="pct"/>
            <w:vMerge/>
            <w:shd w:val="clear" w:color="auto" w:fill="8DB3E2" w:themeFill="text2" w:themeFillTint="66"/>
          </w:tcPr>
          <w:p w14:paraId="4AC3E94C" w14:textId="5489B483"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right w:val="single" w:sz="4" w:space="0" w:color="auto"/>
            </w:tcBorders>
            <w:shd w:val="clear" w:color="auto" w:fill="C6D9F1" w:themeFill="text2" w:themeFillTint="33"/>
            <w:vAlign w:val="center"/>
          </w:tcPr>
          <w:p w14:paraId="58D9F57B"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3CAB469A" w14:textId="2B27306E"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b/>
                <w:noProof/>
                <w:sz w:val="24"/>
                <w:szCs w:val="24"/>
              </w:rPr>
            </w:pPr>
            <w:r w:rsidRPr="00A57771">
              <w:rPr>
                <w:b/>
                <w:noProof/>
                <w:sz w:val="24"/>
                <w:szCs w:val="24"/>
              </w:rPr>
              <w:t>PM21:</w:t>
            </w:r>
            <w:r w:rsidRPr="00A57771" w:rsidDel="00D3558E">
              <w:rPr>
                <w:b/>
                <w:noProof/>
                <w:sz w:val="24"/>
                <w:szCs w:val="24"/>
              </w:rPr>
              <w:t xml:space="preserve"> </w:t>
            </w:r>
            <w:r w:rsidRPr="00215838">
              <w:rPr>
                <w:noProof/>
              </w:rPr>
              <w:t xml:space="preserve">Mandatory sovereignty risk assessment for the </w:t>
            </w:r>
            <w:r w:rsidRPr="00A57771">
              <w:rPr>
                <w:noProof/>
                <w:sz w:val="24"/>
                <w:szCs w:val="24"/>
              </w:rPr>
              <w:t>procurement</w:t>
            </w:r>
            <w:r w:rsidRPr="00215838">
              <w:rPr>
                <w:noProof/>
              </w:rPr>
              <w:t xml:space="preserve"> of cloud and AI computing services </w:t>
            </w:r>
          </w:p>
        </w:tc>
        <w:tc>
          <w:tcPr>
            <w:tcW w:w="233" w:type="pct"/>
            <w:tcBorders>
              <w:top w:val="dotted" w:sz="4" w:space="0" w:color="auto"/>
              <w:left w:val="single" w:sz="4" w:space="0" w:color="auto"/>
              <w:bottom w:val="dotted" w:sz="4" w:space="0" w:color="auto"/>
            </w:tcBorders>
            <w:vAlign w:val="center"/>
          </w:tcPr>
          <w:p w14:paraId="11C05066" w14:textId="77777777"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19D9135A" w14:textId="77777777"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15169C71" w14:textId="77777777" w:rsidTr="00A3612D">
        <w:trPr>
          <w:trHeight w:val="395"/>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13FF6FB5" w14:textId="77777777" w:rsidR="00381745" w:rsidRPr="00016EA4" w:rsidRDefault="00381745" w:rsidP="006B6433">
            <w:pPr>
              <w:jc w:val="center"/>
              <w:rPr>
                <w:noProof/>
                <w:sz w:val="24"/>
                <w:szCs w:val="24"/>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496D3CB5"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b/>
                <w:bCs/>
                <w:noProof/>
              </w:rPr>
            </w:pPr>
            <w:r w:rsidRPr="00D37004">
              <w:rPr>
                <w:rFonts w:ascii="Wingdings" w:eastAsia="Wingdings" w:hAnsi="Wingdings" w:cs="Wingdings"/>
                <w:b/>
                <w:noProof/>
              </w:rPr>
              <w:t></w:t>
            </w:r>
          </w:p>
        </w:tc>
        <w:tc>
          <w:tcPr>
            <w:tcW w:w="222" w:type="pct"/>
            <w:tcBorders>
              <w:top w:val="dotted" w:sz="4" w:space="0" w:color="auto"/>
              <w:bottom w:val="dotted" w:sz="4" w:space="0" w:color="auto"/>
            </w:tcBorders>
            <w:vAlign w:val="center"/>
          </w:tcPr>
          <w:p w14:paraId="2ED16EEA"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7EBED04E" w14:textId="22F51272"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575" w:type="pct"/>
            <w:vMerge/>
            <w:tcBorders>
              <w:right w:val="single" w:sz="4" w:space="0" w:color="auto"/>
            </w:tcBorders>
            <w:shd w:val="clear" w:color="auto" w:fill="C6D9F1" w:themeFill="text2" w:themeFillTint="33"/>
            <w:vAlign w:val="center"/>
          </w:tcPr>
          <w:p w14:paraId="794A3765"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sz w:val="24"/>
                <w:szCs w:val="24"/>
              </w:rPr>
            </w:pPr>
          </w:p>
        </w:tc>
        <w:tc>
          <w:tcPr>
            <w:tcW w:w="2651" w:type="pct"/>
            <w:tcBorders>
              <w:top w:val="nil"/>
              <w:left w:val="single" w:sz="4" w:space="0" w:color="auto"/>
              <w:bottom w:val="nil"/>
              <w:right w:val="single" w:sz="4" w:space="0" w:color="auto"/>
            </w:tcBorders>
            <w:vAlign w:val="center"/>
          </w:tcPr>
          <w:p w14:paraId="2F3C0FA9" w14:textId="6B92AA16"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b/>
                <w:noProof/>
                <w:sz w:val="24"/>
                <w:szCs w:val="24"/>
              </w:rPr>
            </w:pPr>
            <w:r w:rsidRPr="00434A0B">
              <w:rPr>
                <w:b/>
                <w:noProof/>
                <w:sz w:val="24"/>
                <w:szCs w:val="24"/>
              </w:rPr>
              <w:t xml:space="preserve">PM22: </w:t>
            </w:r>
            <w:r>
              <w:rPr>
                <w:noProof/>
                <w:sz w:val="24"/>
                <w:szCs w:val="24"/>
              </w:rPr>
              <w:t xml:space="preserve">Joint </w:t>
            </w:r>
            <w:r w:rsidRPr="00434A0B" w:rsidDel="002D5FFF">
              <w:rPr>
                <w:noProof/>
                <w:sz w:val="24"/>
                <w:szCs w:val="24"/>
              </w:rPr>
              <w:t>E</w:t>
            </w:r>
            <w:r w:rsidRPr="00434A0B">
              <w:rPr>
                <w:noProof/>
                <w:sz w:val="24"/>
                <w:szCs w:val="24"/>
              </w:rPr>
              <w:t>U-level public procurement of cloud and AI computing services</w:t>
            </w:r>
          </w:p>
        </w:tc>
        <w:tc>
          <w:tcPr>
            <w:tcW w:w="233" w:type="pct"/>
            <w:tcBorders>
              <w:top w:val="dotted" w:sz="4" w:space="0" w:color="auto"/>
              <w:left w:val="single" w:sz="4" w:space="0" w:color="auto"/>
              <w:bottom w:val="dotted" w:sz="4" w:space="0" w:color="auto"/>
            </w:tcBorders>
            <w:vAlign w:val="center"/>
          </w:tcPr>
          <w:p w14:paraId="2E318483" w14:textId="77777777"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rFonts w:ascii="Segoe UI Symbol" w:hAnsi="Segoe UI Symbol"/>
                <w:noProof/>
                <w:sz w:val="24"/>
                <w:szCs w:val="24"/>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3CB55F52" w14:textId="77777777" w:rsidR="00381745" w:rsidRPr="00016EA4" w:rsidRDefault="00381745" w:rsidP="00731605">
            <w:pPr>
              <w:jc w:val="center"/>
              <w:cnfStyle w:val="000000000000" w:firstRow="0" w:lastRow="0" w:firstColumn="0" w:lastColumn="0" w:oddVBand="0" w:evenVBand="0" w:oddHBand="0" w:evenHBand="0" w:firstRowFirstColumn="0" w:firstRowLastColumn="0" w:lastRowFirstColumn="0" w:lastRowLastColumn="0"/>
              <w:rPr>
                <w:noProof/>
                <w:sz w:val="24"/>
                <w:szCs w:val="24"/>
              </w:rPr>
            </w:pPr>
            <w:r w:rsidRPr="00D37004">
              <w:rPr>
                <w:rFonts w:ascii="Wingdings" w:eastAsia="Wingdings" w:hAnsi="Wingdings" w:cs="Wingdings"/>
                <w:b/>
                <w:noProof/>
              </w:rPr>
              <w:t></w:t>
            </w:r>
          </w:p>
        </w:tc>
      </w:tr>
      <w:tr w:rsidR="00381745" w:rsidRPr="00016EA4" w14:paraId="638881EF" w14:textId="77777777" w:rsidTr="008B3901">
        <w:trPr>
          <w:trHeight w:val="395"/>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bottom w:val="dotted" w:sz="4" w:space="0" w:color="auto"/>
            </w:tcBorders>
            <w:vAlign w:val="center"/>
          </w:tcPr>
          <w:p w14:paraId="2B83C422" w14:textId="2A7E85A1" w:rsidR="00381745" w:rsidRPr="00D37004" w:rsidRDefault="00381745" w:rsidP="006B6433">
            <w:pPr>
              <w:jc w:val="center"/>
              <w:rPr>
                <w:rFonts w:ascii="Wingdings" w:eastAsia="Wingdings" w:hAnsi="Wingdings" w:cs="Wingdings"/>
                <w:noProof/>
              </w:rPr>
            </w:pPr>
            <w:r w:rsidRPr="00D37004">
              <w:rPr>
                <w:rFonts w:ascii="Wingdings" w:eastAsia="Wingdings" w:hAnsi="Wingdings" w:cs="Wingdings"/>
                <w:noProof/>
              </w:rPr>
              <w:t></w:t>
            </w:r>
          </w:p>
        </w:tc>
        <w:tc>
          <w:tcPr>
            <w:tcW w:w="218" w:type="pct"/>
            <w:tcBorders>
              <w:top w:val="dotted" w:sz="4" w:space="0" w:color="auto"/>
              <w:bottom w:val="dotted" w:sz="4" w:space="0" w:color="auto"/>
            </w:tcBorders>
            <w:vAlign w:val="center"/>
          </w:tcPr>
          <w:p w14:paraId="79080572" w14:textId="77777777" w:rsidR="00381745" w:rsidRPr="00D37004" w:rsidRDefault="00381745" w:rsidP="006B6433">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c>
          <w:tcPr>
            <w:tcW w:w="222" w:type="pct"/>
            <w:tcBorders>
              <w:top w:val="dotted" w:sz="4" w:space="0" w:color="auto"/>
              <w:bottom w:val="dotted" w:sz="4" w:space="0" w:color="auto"/>
            </w:tcBorders>
            <w:vAlign w:val="center"/>
          </w:tcPr>
          <w:p w14:paraId="43C5CFFD"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16C8F434"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rPr>
            </w:pPr>
          </w:p>
        </w:tc>
        <w:tc>
          <w:tcPr>
            <w:tcW w:w="575" w:type="pct"/>
            <w:vMerge/>
            <w:tcBorders>
              <w:right w:val="single" w:sz="4" w:space="0" w:color="auto"/>
            </w:tcBorders>
            <w:shd w:val="clear" w:color="auto" w:fill="C6D9F1" w:themeFill="text2" w:themeFillTint="33"/>
            <w:vAlign w:val="center"/>
          </w:tcPr>
          <w:p w14:paraId="364D39D2"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rPr>
            </w:pPr>
          </w:p>
        </w:tc>
        <w:tc>
          <w:tcPr>
            <w:tcW w:w="2651" w:type="pct"/>
            <w:tcBorders>
              <w:top w:val="nil"/>
              <w:left w:val="single" w:sz="4" w:space="0" w:color="auto"/>
              <w:bottom w:val="nil"/>
              <w:right w:val="single" w:sz="4" w:space="0" w:color="auto"/>
            </w:tcBorders>
            <w:vAlign w:val="center"/>
          </w:tcPr>
          <w:p w14:paraId="4BAFF957" w14:textId="5F0F966A" w:rsidR="00381745" w:rsidRPr="00016EA4" w:rsidRDefault="008B3901" w:rsidP="00731605">
            <w:pPr>
              <w:cnfStyle w:val="000000000000" w:firstRow="0" w:lastRow="0" w:firstColumn="0" w:lastColumn="0" w:oddVBand="0" w:evenVBand="0" w:oddHBand="0" w:evenHBand="0" w:firstRowFirstColumn="0" w:firstRowLastColumn="0" w:lastRowFirstColumn="0" w:lastRowLastColumn="0"/>
              <w:rPr>
                <w:b/>
                <w:noProof/>
              </w:rPr>
            </w:pPr>
            <w:r w:rsidRPr="00434A0B">
              <w:rPr>
                <w:b/>
                <w:noProof/>
                <w:sz w:val="24"/>
                <w:szCs w:val="24"/>
              </w:rPr>
              <w:t>PM2</w:t>
            </w:r>
            <w:r w:rsidR="002D6890">
              <w:rPr>
                <w:b/>
                <w:noProof/>
                <w:sz w:val="24"/>
                <w:szCs w:val="24"/>
              </w:rPr>
              <w:t>3</w:t>
            </w:r>
            <w:r w:rsidRPr="00434A0B">
              <w:rPr>
                <w:b/>
                <w:noProof/>
                <w:sz w:val="24"/>
                <w:szCs w:val="24"/>
              </w:rPr>
              <w:t xml:space="preserve">: </w:t>
            </w:r>
            <w:r w:rsidR="00F848A0" w:rsidRPr="00F848A0">
              <w:rPr>
                <w:bCs/>
                <w:noProof/>
                <w:sz w:val="24"/>
                <w:szCs w:val="24"/>
              </w:rPr>
              <w:t>SME cloud and AI support scheme</w:t>
            </w:r>
          </w:p>
        </w:tc>
        <w:tc>
          <w:tcPr>
            <w:tcW w:w="233" w:type="pct"/>
            <w:tcBorders>
              <w:top w:val="dotted" w:sz="4" w:space="0" w:color="auto"/>
              <w:left w:val="single" w:sz="4" w:space="0" w:color="auto"/>
              <w:bottom w:val="dotted" w:sz="4" w:space="0" w:color="auto"/>
            </w:tcBorders>
            <w:vAlign w:val="center"/>
          </w:tcPr>
          <w:p w14:paraId="38FD6675" w14:textId="2518628F" w:rsidR="00381745" w:rsidRPr="00D37004" w:rsidRDefault="00381745" w:rsidP="00731605">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r w:rsidRPr="00D37004">
              <w:rPr>
                <w:rFonts w:ascii="Wingdings" w:eastAsia="Wingdings" w:hAnsi="Wingdings" w:cs="Wingdings"/>
                <w:b/>
                <w:noProof/>
              </w:rPr>
              <w:t></w:t>
            </w:r>
          </w:p>
        </w:tc>
        <w:tc>
          <w:tcPr>
            <w:tcW w:w="250" w:type="pct"/>
            <w:tcBorders>
              <w:top w:val="dotted" w:sz="4" w:space="0" w:color="auto"/>
              <w:bottom w:val="dotted" w:sz="4" w:space="0" w:color="auto"/>
            </w:tcBorders>
            <w:vAlign w:val="center"/>
          </w:tcPr>
          <w:p w14:paraId="6C5066E6" w14:textId="77777777" w:rsidR="00381745" w:rsidRPr="00D37004" w:rsidRDefault="00381745" w:rsidP="00731605">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r>
      <w:tr w:rsidR="00381745" w:rsidRPr="00016EA4" w14:paraId="66384B07" w14:textId="77777777" w:rsidTr="00A3612D">
        <w:trPr>
          <w:trHeight w:val="395"/>
        </w:trPr>
        <w:tc>
          <w:tcPr>
            <w:cnfStyle w:val="001000000000" w:firstRow="0" w:lastRow="0" w:firstColumn="1" w:lastColumn="0" w:oddVBand="0" w:evenVBand="0" w:oddHBand="0" w:evenHBand="0" w:firstRowFirstColumn="0" w:firstRowLastColumn="0" w:lastRowFirstColumn="0" w:lastRowLastColumn="0"/>
            <w:tcW w:w="218" w:type="pct"/>
            <w:tcBorders>
              <w:top w:val="dotted" w:sz="4" w:space="0" w:color="auto"/>
            </w:tcBorders>
            <w:vAlign w:val="center"/>
          </w:tcPr>
          <w:p w14:paraId="64D36A9E" w14:textId="54C3C762" w:rsidR="00381745" w:rsidRPr="00D37004" w:rsidRDefault="00381745" w:rsidP="006B6433">
            <w:pPr>
              <w:jc w:val="center"/>
              <w:rPr>
                <w:rFonts w:ascii="Wingdings" w:eastAsia="Wingdings" w:hAnsi="Wingdings" w:cs="Wingdings"/>
                <w:noProof/>
              </w:rPr>
            </w:pPr>
            <w:r w:rsidRPr="00D37004">
              <w:rPr>
                <w:rFonts w:ascii="Wingdings" w:eastAsia="Wingdings" w:hAnsi="Wingdings" w:cs="Wingdings"/>
                <w:noProof/>
              </w:rPr>
              <w:t></w:t>
            </w:r>
          </w:p>
        </w:tc>
        <w:tc>
          <w:tcPr>
            <w:tcW w:w="218" w:type="pct"/>
            <w:tcBorders>
              <w:top w:val="dotted" w:sz="4" w:space="0" w:color="auto"/>
            </w:tcBorders>
            <w:vAlign w:val="center"/>
          </w:tcPr>
          <w:p w14:paraId="1DAE1647" w14:textId="0A4EA589" w:rsidR="00381745" w:rsidRPr="00D37004" w:rsidRDefault="00381745" w:rsidP="006B6433">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c>
          <w:tcPr>
            <w:tcW w:w="222" w:type="pct"/>
            <w:tcBorders>
              <w:top w:val="dotted" w:sz="4" w:space="0" w:color="auto"/>
            </w:tcBorders>
            <w:vAlign w:val="center"/>
          </w:tcPr>
          <w:p w14:paraId="3A996454" w14:textId="77777777" w:rsidR="00381745" w:rsidRPr="00016EA4" w:rsidRDefault="00381745" w:rsidP="006B6433">
            <w:pPr>
              <w:jc w:val="center"/>
              <w:cnfStyle w:val="000000000000" w:firstRow="0" w:lastRow="0" w:firstColumn="0" w:lastColumn="0" w:oddVBand="0" w:evenVBand="0" w:oddHBand="0" w:evenHBand="0" w:firstRowFirstColumn="0" w:firstRowLastColumn="0" w:lastRowFirstColumn="0" w:lastRowLastColumn="0"/>
              <w:rPr>
                <w:noProof/>
              </w:rPr>
            </w:pPr>
          </w:p>
        </w:tc>
        <w:tc>
          <w:tcPr>
            <w:tcW w:w="633" w:type="pct"/>
            <w:vMerge/>
            <w:shd w:val="clear" w:color="auto" w:fill="8DB3E2" w:themeFill="text2" w:themeFillTint="66"/>
          </w:tcPr>
          <w:p w14:paraId="29AACFBF"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rPr>
            </w:pPr>
          </w:p>
        </w:tc>
        <w:tc>
          <w:tcPr>
            <w:tcW w:w="575" w:type="pct"/>
            <w:vMerge/>
            <w:tcBorders>
              <w:right w:val="single" w:sz="4" w:space="0" w:color="auto"/>
            </w:tcBorders>
            <w:shd w:val="clear" w:color="auto" w:fill="C6D9F1" w:themeFill="text2" w:themeFillTint="33"/>
            <w:vAlign w:val="center"/>
          </w:tcPr>
          <w:p w14:paraId="18F09513" w14:textId="77777777" w:rsidR="00381745" w:rsidRPr="00016EA4" w:rsidRDefault="00381745" w:rsidP="00731605">
            <w:pPr>
              <w:cnfStyle w:val="000000000000" w:firstRow="0" w:lastRow="0" w:firstColumn="0" w:lastColumn="0" w:oddVBand="0" w:evenVBand="0" w:oddHBand="0" w:evenHBand="0" w:firstRowFirstColumn="0" w:firstRowLastColumn="0" w:lastRowFirstColumn="0" w:lastRowLastColumn="0"/>
              <w:rPr>
                <w:noProof/>
              </w:rPr>
            </w:pPr>
          </w:p>
        </w:tc>
        <w:tc>
          <w:tcPr>
            <w:tcW w:w="2651" w:type="pct"/>
            <w:tcBorders>
              <w:top w:val="nil"/>
              <w:left w:val="single" w:sz="4" w:space="0" w:color="auto"/>
              <w:bottom w:val="single" w:sz="4" w:space="0" w:color="auto"/>
              <w:right w:val="single" w:sz="4" w:space="0" w:color="auto"/>
            </w:tcBorders>
            <w:vAlign w:val="center"/>
          </w:tcPr>
          <w:p w14:paraId="6093C6B4" w14:textId="4F4E8A92" w:rsidR="00381745" w:rsidRPr="00016EA4" w:rsidRDefault="008B3901" w:rsidP="00731605">
            <w:pPr>
              <w:cnfStyle w:val="000000000000" w:firstRow="0" w:lastRow="0" w:firstColumn="0" w:lastColumn="0" w:oddVBand="0" w:evenVBand="0" w:oddHBand="0" w:evenHBand="0" w:firstRowFirstColumn="0" w:firstRowLastColumn="0" w:lastRowFirstColumn="0" w:lastRowLastColumn="0"/>
              <w:rPr>
                <w:b/>
                <w:noProof/>
              </w:rPr>
            </w:pPr>
            <w:r w:rsidRPr="002154BA">
              <w:rPr>
                <w:b/>
                <w:noProof/>
                <w:sz w:val="24"/>
                <w:szCs w:val="24"/>
              </w:rPr>
              <w:t>PM2</w:t>
            </w:r>
            <w:r w:rsidR="002D6890">
              <w:rPr>
                <w:b/>
                <w:noProof/>
                <w:sz w:val="24"/>
                <w:szCs w:val="24"/>
              </w:rPr>
              <w:t>4</w:t>
            </w:r>
            <w:r w:rsidRPr="003769A8">
              <w:rPr>
                <w:noProof/>
                <w:sz w:val="24"/>
                <w:szCs w:val="24"/>
              </w:rPr>
              <w:t>:</w:t>
            </w:r>
            <w:r>
              <w:rPr>
                <w:noProof/>
                <w:sz w:val="24"/>
                <w:szCs w:val="24"/>
              </w:rPr>
              <w:t xml:space="preserve"> </w:t>
            </w:r>
            <w:r w:rsidR="00F848A0" w:rsidRPr="00F848A0">
              <w:rPr>
                <w:noProof/>
                <w:sz w:val="24"/>
                <w:szCs w:val="24"/>
              </w:rPr>
              <w:t>Cloud and AI toolbox</w:t>
            </w:r>
          </w:p>
        </w:tc>
        <w:tc>
          <w:tcPr>
            <w:tcW w:w="233" w:type="pct"/>
            <w:tcBorders>
              <w:top w:val="dotted" w:sz="4" w:space="0" w:color="auto"/>
              <w:left w:val="single" w:sz="4" w:space="0" w:color="auto"/>
            </w:tcBorders>
            <w:vAlign w:val="center"/>
          </w:tcPr>
          <w:p w14:paraId="203AC833" w14:textId="10401F17" w:rsidR="00381745" w:rsidRPr="00D37004" w:rsidRDefault="00381745" w:rsidP="00731605">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r w:rsidRPr="00D37004">
              <w:rPr>
                <w:rFonts w:ascii="Wingdings" w:eastAsia="Wingdings" w:hAnsi="Wingdings" w:cs="Wingdings"/>
                <w:b/>
                <w:noProof/>
              </w:rPr>
              <w:t></w:t>
            </w:r>
          </w:p>
        </w:tc>
        <w:tc>
          <w:tcPr>
            <w:tcW w:w="250" w:type="pct"/>
            <w:tcBorders>
              <w:top w:val="dotted" w:sz="4" w:space="0" w:color="auto"/>
            </w:tcBorders>
            <w:vAlign w:val="center"/>
          </w:tcPr>
          <w:p w14:paraId="0A1F1A15" w14:textId="197AD308" w:rsidR="00381745" w:rsidRPr="00D37004" w:rsidRDefault="00381745" w:rsidP="00731605">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b/>
                <w:noProof/>
              </w:rPr>
            </w:pPr>
          </w:p>
        </w:tc>
      </w:tr>
    </w:tbl>
    <w:p w14:paraId="1ACD4637" w14:textId="77777777" w:rsidR="009C5863" w:rsidRPr="0043759C" w:rsidRDefault="00E61374" w:rsidP="0043759C">
      <w:pPr>
        <w:spacing w:before="120" w:after="0"/>
        <w:ind w:hanging="709"/>
        <w:rPr>
          <w:noProof/>
          <w:sz w:val="18"/>
          <w:szCs w:val="18"/>
        </w:rPr>
      </w:pPr>
      <w:r w:rsidRPr="0043759C">
        <w:rPr>
          <w:noProof/>
          <w:sz w:val="18"/>
          <w:szCs w:val="18"/>
        </w:rPr>
        <w:t>*</w:t>
      </w:r>
      <w:r w:rsidRPr="0043759C">
        <w:rPr>
          <w:b/>
          <w:bCs/>
          <w:noProof/>
          <w:sz w:val="18"/>
          <w:szCs w:val="18"/>
        </w:rPr>
        <w:t>SO3:</w:t>
      </w:r>
      <w:r w:rsidRPr="0043759C">
        <w:rPr>
          <w:noProof/>
          <w:sz w:val="18"/>
          <w:szCs w:val="18"/>
        </w:rPr>
        <w:t xml:space="preserve"> Decrease the overall reliance on non-European cloud and AI computing service providers</w:t>
      </w:r>
      <w:r w:rsidR="00363683" w:rsidRPr="0043759C">
        <w:rPr>
          <w:noProof/>
          <w:sz w:val="18"/>
          <w:szCs w:val="18"/>
        </w:rPr>
        <w:t xml:space="preserve"> </w:t>
      </w:r>
    </w:p>
    <w:p w14:paraId="493F9CB4" w14:textId="2A839DFD" w:rsidR="00435D11" w:rsidRPr="0043759C" w:rsidRDefault="009C5863" w:rsidP="0043759C">
      <w:pPr>
        <w:spacing w:after="0"/>
        <w:ind w:hanging="709"/>
        <w:rPr>
          <w:noProof/>
          <w:sz w:val="18"/>
          <w:szCs w:val="18"/>
        </w:rPr>
      </w:pPr>
      <w:r w:rsidRPr="0043759C">
        <w:rPr>
          <w:noProof/>
          <w:sz w:val="18"/>
          <w:szCs w:val="18"/>
        </w:rPr>
        <w:t xml:space="preserve">  </w:t>
      </w:r>
      <w:r w:rsidR="00E61374" w:rsidRPr="0043759C">
        <w:rPr>
          <w:b/>
          <w:bCs/>
          <w:noProof/>
          <w:sz w:val="18"/>
          <w:szCs w:val="18"/>
        </w:rPr>
        <w:t>SO4</w:t>
      </w:r>
      <w:r w:rsidR="00E61374" w:rsidRPr="0043759C">
        <w:rPr>
          <w:noProof/>
          <w:sz w:val="18"/>
          <w:szCs w:val="18"/>
        </w:rPr>
        <w:t xml:space="preserve">: Contribute to the protection of </w:t>
      </w:r>
      <w:r w:rsidR="00F405F7" w:rsidRPr="0043759C">
        <w:rPr>
          <w:noProof/>
          <w:sz w:val="18"/>
          <w:szCs w:val="18"/>
        </w:rPr>
        <w:t>public order</w:t>
      </w:r>
      <w:r w:rsidR="00E61374" w:rsidRPr="0043759C">
        <w:rPr>
          <w:noProof/>
          <w:sz w:val="18"/>
          <w:szCs w:val="18"/>
        </w:rPr>
        <w:t xml:space="preserve"> by enhancing the resilience of supply of cloud and AI computing services</w:t>
      </w:r>
      <w:r w:rsidR="00982AAC" w:rsidRPr="0043759C">
        <w:rPr>
          <w:noProof/>
          <w:sz w:val="18"/>
          <w:szCs w:val="18"/>
        </w:rPr>
        <w:t>,</w:t>
      </w:r>
      <w:r w:rsidR="009356E0" w:rsidRPr="0043759C">
        <w:rPr>
          <w:noProof/>
          <w:sz w:val="18"/>
          <w:szCs w:val="18"/>
        </w:rPr>
        <w:t xml:space="preserve"> in particular</w:t>
      </w:r>
      <w:r w:rsidR="00982AAC" w:rsidRPr="0043759C">
        <w:rPr>
          <w:noProof/>
          <w:sz w:val="18"/>
          <w:szCs w:val="18"/>
        </w:rPr>
        <w:t xml:space="preserve"> </w:t>
      </w:r>
      <w:r w:rsidR="00F94A13" w:rsidRPr="0043759C">
        <w:rPr>
          <w:noProof/>
          <w:sz w:val="18"/>
          <w:szCs w:val="18"/>
        </w:rPr>
        <w:t>in</w:t>
      </w:r>
      <w:r w:rsidR="00982AAC" w:rsidRPr="0043759C">
        <w:rPr>
          <w:noProof/>
          <w:sz w:val="18"/>
          <w:szCs w:val="18"/>
        </w:rPr>
        <w:t xml:space="preserve"> the public sector</w:t>
      </w:r>
    </w:p>
    <w:p w14:paraId="78C06C1B" w14:textId="37CC7333" w:rsidR="00DE6FF2" w:rsidRPr="0043759C" w:rsidRDefault="00DE6FF2" w:rsidP="0043759C">
      <w:pPr>
        <w:spacing w:after="0"/>
        <w:ind w:hanging="709"/>
        <w:rPr>
          <w:noProof/>
          <w:sz w:val="18"/>
          <w:szCs w:val="18"/>
        </w:rPr>
      </w:pPr>
      <w:r w:rsidRPr="0043759C">
        <w:rPr>
          <w:b/>
          <w:bCs/>
          <w:noProof/>
          <w:sz w:val="18"/>
          <w:szCs w:val="18"/>
        </w:rPr>
        <w:t xml:space="preserve">  PD1:</w:t>
      </w:r>
      <w:r w:rsidRPr="0043759C">
        <w:rPr>
          <w:noProof/>
          <w:sz w:val="18"/>
          <w:szCs w:val="18"/>
        </w:rPr>
        <w:t xml:space="preserve"> Lack of scale and scope of European cloud and AI computing service providers</w:t>
      </w:r>
    </w:p>
    <w:p w14:paraId="3DF3FDFE" w14:textId="6D9E1137" w:rsidR="00DE6FF2" w:rsidRPr="0043759C" w:rsidRDefault="00DE6FF2" w:rsidP="0043759C">
      <w:pPr>
        <w:spacing w:after="0"/>
        <w:ind w:hanging="709"/>
        <w:rPr>
          <w:noProof/>
          <w:sz w:val="18"/>
          <w:szCs w:val="18"/>
        </w:rPr>
      </w:pPr>
      <w:r w:rsidRPr="0043759C">
        <w:rPr>
          <w:noProof/>
          <w:sz w:val="18"/>
          <w:szCs w:val="18"/>
        </w:rPr>
        <w:t xml:space="preserve">  </w:t>
      </w:r>
      <w:r w:rsidRPr="0043759C">
        <w:rPr>
          <w:b/>
          <w:bCs/>
          <w:noProof/>
          <w:sz w:val="18"/>
          <w:szCs w:val="18"/>
        </w:rPr>
        <w:t>PD3</w:t>
      </w:r>
      <w:r w:rsidRPr="0043759C">
        <w:rPr>
          <w:noProof/>
          <w:sz w:val="18"/>
          <w:szCs w:val="18"/>
        </w:rPr>
        <w:t xml:space="preserve">: Limited public sector uptake of cloud and AI computing services supplied by European providers </w:t>
      </w:r>
    </w:p>
    <w:p w14:paraId="7257E90C" w14:textId="7C4D7184" w:rsidR="00E162FC" w:rsidRPr="0043759C" w:rsidRDefault="00DE6FF2" w:rsidP="0043759C">
      <w:pPr>
        <w:spacing w:after="0"/>
        <w:ind w:hanging="709"/>
        <w:rPr>
          <w:noProof/>
          <w:sz w:val="18"/>
          <w:szCs w:val="18"/>
        </w:rPr>
      </w:pPr>
      <w:r w:rsidRPr="0043759C">
        <w:rPr>
          <w:b/>
          <w:bCs/>
          <w:noProof/>
          <w:sz w:val="18"/>
          <w:szCs w:val="18"/>
        </w:rPr>
        <w:t xml:space="preserve">  PD4</w:t>
      </w:r>
      <w:r w:rsidRPr="0043759C">
        <w:rPr>
          <w:noProof/>
          <w:sz w:val="18"/>
          <w:szCs w:val="18"/>
        </w:rPr>
        <w:t>: Absence of clarity around the concept of sovereign cloud and AI computing services</w:t>
      </w:r>
    </w:p>
    <w:p w14:paraId="0A8E1A85" w14:textId="3FCE959F" w:rsidR="00117D63" w:rsidRDefault="00117D63" w:rsidP="0019054D">
      <w:pPr>
        <w:pStyle w:val="Heading3"/>
        <w:ind w:left="720"/>
        <w:rPr>
          <w:noProof/>
        </w:rPr>
      </w:pPr>
      <w:r>
        <w:rPr>
          <w:noProof/>
        </w:rPr>
        <w:t>Relationship between Problem Drivers and Policy Measures</w:t>
      </w:r>
    </w:p>
    <w:p w14:paraId="2F06B12A" w14:textId="7B1A4199" w:rsidR="00030C9B" w:rsidRDefault="00030C9B" w:rsidP="00030C9B">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8</w:t>
      </w:r>
      <w:r>
        <w:rPr>
          <w:noProof/>
        </w:rPr>
        <w:fldChar w:fldCharType="end"/>
      </w:r>
      <w:r>
        <w:rPr>
          <w:noProof/>
        </w:rPr>
        <w:t xml:space="preserve">. Aspects </w:t>
      </w:r>
      <w:r w:rsidR="00052FBE">
        <w:rPr>
          <w:noProof/>
        </w:rPr>
        <w:t xml:space="preserve">of the </w:t>
      </w:r>
      <w:r>
        <w:rPr>
          <w:noProof/>
        </w:rPr>
        <w:t xml:space="preserve">Problem Drivers </w:t>
      </w:r>
      <w:r w:rsidR="00052FBE">
        <w:rPr>
          <w:noProof/>
        </w:rPr>
        <w:t>addressed by the</w:t>
      </w:r>
      <w:r>
        <w:rPr>
          <w:noProof/>
        </w:rPr>
        <w:t xml:space="preserve"> Policy Measures</w:t>
      </w:r>
    </w:p>
    <w:tbl>
      <w:tblPr>
        <w:tblStyle w:val="TableGrid"/>
        <w:tblW w:w="14743" w:type="dxa"/>
        <w:tblInd w:w="-601" w:type="dxa"/>
        <w:tblLayout w:type="fixed"/>
        <w:tblLook w:val="04A0" w:firstRow="1" w:lastRow="0" w:firstColumn="1" w:lastColumn="0" w:noHBand="0" w:noVBand="1"/>
      </w:tblPr>
      <w:tblGrid>
        <w:gridCol w:w="2836"/>
        <w:gridCol w:w="2976"/>
        <w:gridCol w:w="2977"/>
        <w:gridCol w:w="2977"/>
        <w:gridCol w:w="2977"/>
      </w:tblGrid>
      <w:tr w:rsidR="002253AE" w:rsidRPr="008915A0" w14:paraId="1FC183FF" w14:textId="77777777" w:rsidTr="4058FE4E">
        <w:trPr>
          <w:trHeight w:val="940"/>
          <w:tblHeader/>
        </w:trPr>
        <w:tc>
          <w:tcPr>
            <w:tcW w:w="2836" w:type="dxa"/>
          </w:tcPr>
          <w:p w14:paraId="3D85CC9C" w14:textId="52F30D65" w:rsidR="00A94A64" w:rsidRPr="008915A0" w:rsidRDefault="00A94A64" w:rsidP="00DE5121">
            <w:pPr>
              <w:jc w:val="center"/>
              <w:rPr>
                <w:b/>
                <w:bCs/>
                <w:noProof/>
                <w:sz w:val="22"/>
                <w:szCs w:val="22"/>
              </w:rPr>
            </w:pPr>
          </w:p>
        </w:tc>
        <w:tc>
          <w:tcPr>
            <w:tcW w:w="2976" w:type="dxa"/>
            <w:shd w:val="clear" w:color="auto" w:fill="227ACB"/>
          </w:tcPr>
          <w:p w14:paraId="510753BD" w14:textId="77777777" w:rsidR="00A94A64" w:rsidRPr="008915A0" w:rsidRDefault="00A94A64">
            <w:pPr>
              <w:spacing w:after="0"/>
              <w:rPr>
                <w:noProof/>
                <w:color w:val="FFFFFF"/>
                <w:sz w:val="22"/>
                <w:szCs w:val="22"/>
              </w:rPr>
            </w:pPr>
            <w:r w:rsidRPr="008915A0">
              <w:rPr>
                <w:noProof/>
                <w:color w:val="FFFFFF"/>
                <w:sz w:val="22"/>
                <w:szCs w:val="22"/>
              </w:rPr>
              <w:t>PD1: Lack of scale and scope of EU CSPs</w:t>
            </w:r>
          </w:p>
        </w:tc>
        <w:tc>
          <w:tcPr>
            <w:tcW w:w="2977" w:type="dxa"/>
            <w:shd w:val="clear" w:color="auto" w:fill="227ACB"/>
          </w:tcPr>
          <w:p w14:paraId="2124560D" w14:textId="77777777" w:rsidR="00A94A64" w:rsidRPr="008915A0" w:rsidRDefault="00A94A64">
            <w:pPr>
              <w:spacing w:after="0"/>
              <w:rPr>
                <w:noProof/>
                <w:color w:val="FFFFFF"/>
                <w:sz w:val="22"/>
                <w:szCs w:val="22"/>
              </w:rPr>
            </w:pPr>
            <w:r w:rsidRPr="008915A0">
              <w:rPr>
                <w:noProof/>
                <w:color w:val="FFFFFF"/>
                <w:sz w:val="22"/>
                <w:szCs w:val="22"/>
              </w:rPr>
              <w:t>PD2: Bottlenecks slowing down data centre expansion</w:t>
            </w:r>
          </w:p>
        </w:tc>
        <w:tc>
          <w:tcPr>
            <w:tcW w:w="2977" w:type="dxa"/>
            <w:shd w:val="clear" w:color="auto" w:fill="227ACB"/>
          </w:tcPr>
          <w:p w14:paraId="0A05E2C7" w14:textId="4030E1B5" w:rsidR="00A94A64" w:rsidRPr="008915A0" w:rsidRDefault="00A94A64">
            <w:pPr>
              <w:spacing w:after="0"/>
              <w:rPr>
                <w:noProof/>
                <w:color w:val="FFFFFF"/>
                <w:sz w:val="22"/>
                <w:szCs w:val="22"/>
              </w:rPr>
            </w:pPr>
            <w:r w:rsidRPr="008915A0">
              <w:rPr>
                <w:noProof/>
                <w:color w:val="FFFFFF"/>
                <w:sz w:val="22"/>
                <w:szCs w:val="22"/>
              </w:rPr>
              <w:t xml:space="preserve">PD3: Limited public sector uptake of cloud and AI computing services supplied by European providers   </w:t>
            </w:r>
            <w:r w:rsidR="00A6206B">
              <w:rPr>
                <w:noProof/>
                <w:color w:val="FFFFFF"/>
                <w:sz w:val="22"/>
                <w:szCs w:val="22"/>
              </w:rPr>
              <w:t>and diverging procurement practices</w:t>
            </w:r>
          </w:p>
        </w:tc>
        <w:tc>
          <w:tcPr>
            <w:tcW w:w="2977" w:type="dxa"/>
            <w:shd w:val="clear" w:color="auto" w:fill="227ACB"/>
          </w:tcPr>
          <w:p w14:paraId="1ED9ACA9" w14:textId="77777777" w:rsidR="00A94A64" w:rsidRPr="008915A0" w:rsidRDefault="00A94A64">
            <w:pPr>
              <w:spacing w:after="0"/>
              <w:rPr>
                <w:noProof/>
                <w:color w:val="FFFFFF"/>
                <w:sz w:val="22"/>
                <w:szCs w:val="22"/>
              </w:rPr>
            </w:pPr>
            <w:r w:rsidRPr="008915A0">
              <w:rPr>
                <w:noProof/>
                <w:color w:val="FFFFFF"/>
                <w:sz w:val="22"/>
                <w:szCs w:val="22"/>
              </w:rPr>
              <w:t>PD4: Absence of clarity around the concept of sovereign cloud and AI computing services</w:t>
            </w:r>
          </w:p>
        </w:tc>
      </w:tr>
      <w:tr w:rsidR="005F0C81" w:rsidRPr="008915A0" w14:paraId="09691B88" w14:textId="77777777" w:rsidTr="4058FE4E">
        <w:tc>
          <w:tcPr>
            <w:tcW w:w="2836" w:type="dxa"/>
            <w:shd w:val="clear" w:color="auto" w:fill="DBE5F1" w:themeFill="accent1" w:themeFillTint="33"/>
          </w:tcPr>
          <w:p w14:paraId="5DF194BE" w14:textId="77777777" w:rsidR="00A94A64" w:rsidRPr="008915A0" w:rsidRDefault="00A94A64">
            <w:pPr>
              <w:rPr>
                <w:noProof/>
                <w:sz w:val="22"/>
                <w:szCs w:val="22"/>
              </w:rPr>
            </w:pPr>
            <w:r w:rsidRPr="008915A0">
              <w:rPr>
                <w:noProof/>
                <w:sz w:val="22"/>
                <w:szCs w:val="22"/>
              </w:rPr>
              <w:t>PM1 - Cloud Alliance expansion</w:t>
            </w:r>
          </w:p>
        </w:tc>
        <w:tc>
          <w:tcPr>
            <w:tcW w:w="2976" w:type="dxa"/>
            <w:vMerge w:val="restart"/>
            <w:vAlign w:val="center"/>
          </w:tcPr>
          <w:p w14:paraId="2678B500" w14:textId="6EB8E07A" w:rsidR="00A94A64" w:rsidRPr="008915A0" w:rsidRDefault="00A94A64">
            <w:pPr>
              <w:jc w:val="center"/>
              <w:rPr>
                <w:i/>
                <w:iCs/>
                <w:noProof/>
                <w:sz w:val="22"/>
                <w:szCs w:val="22"/>
              </w:rPr>
            </w:pPr>
            <w:r w:rsidRPr="008915A0">
              <w:rPr>
                <w:i/>
                <w:iCs/>
                <w:noProof/>
                <w:sz w:val="22"/>
                <w:szCs w:val="22"/>
              </w:rPr>
              <w:t xml:space="preserve">Improved </w:t>
            </w:r>
            <w:r w:rsidR="006A3EC2">
              <w:rPr>
                <w:i/>
                <w:iCs/>
                <w:noProof/>
                <w:sz w:val="22"/>
                <w:szCs w:val="22"/>
              </w:rPr>
              <w:t>networking</w:t>
            </w:r>
            <w:r w:rsidRPr="008915A0">
              <w:rPr>
                <w:i/>
                <w:iCs/>
                <w:noProof/>
                <w:sz w:val="22"/>
                <w:szCs w:val="22"/>
              </w:rPr>
              <w:t xml:space="preserve"> between colocation operators and European CSPs</w:t>
            </w:r>
          </w:p>
        </w:tc>
        <w:tc>
          <w:tcPr>
            <w:tcW w:w="2977" w:type="dxa"/>
          </w:tcPr>
          <w:p w14:paraId="302DCD0D" w14:textId="329E243E" w:rsidR="00A94A64" w:rsidRPr="008915A0" w:rsidRDefault="00A94A64">
            <w:pPr>
              <w:jc w:val="center"/>
              <w:rPr>
                <w:i/>
                <w:iCs/>
                <w:noProof/>
                <w:sz w:val="22"/>
                <w:szCs w:val="22"/>
              </w:rPr>
            </w:pPr>
          </w:p>
        </w:tc>
        <w:tc>
          <w:tcPr>
            <w:tcW w:w="2977" w:type="dxa"/>
          </w:tcPr>
          <w:p w14:paraId="6820426A" w14:textId="77777777" w:rsidR="00A94A64" w:rsidRPr="008915A0" w:rsidRDefault="00A94A64">
            <w:pPr>
              <w:jc w:val="center"/>
              <w:rPr>
                <w:noProof/>
                <w:sz w:val="22"/>
                <w:szCs w:val="22"/>
              </w:rPr>
            </w:pPr>
          </w:p>
        </w:tc>
        <w:tc>
          <w:tcPr>
            <w:tcW w:w="2977" w:type="dxa"/>
          </w:tcPr>
          <w:p w14:paraId="38A0BC6B" w14:textId="77777777" w:rsidR="00A94A64" w:rsidRPr="008915A0" w:rsidRDefault="00A94A64">
            <w:pPr>
              <w:jc w:val="center"/>
              <w:rPr>
                <w:noProof/>
                <w:sz w:val="22"/>
                <w:szCs w:val="22"/>
              </w:rPr>
            </w:pPr>
          </w:p>
        </w:tc>
      </w:tr>
      <w:tr w:rsidR="00715A88" w:rsidRPr="008915A0" w14:paraId="44BF3C74" w14:textId="77777777" w:rsidTr="4058FE4E">
        <w:tc>
          <w:tcPr>
            <w:tcW w:w="2836" w:type="dxa"/>
            <w:shd w:val="clear" w:color="auto" w:fill="DBE5F1" w:themeFill="accent1" w:themeFillTint="33"/>
          </w:tcPr>
          <w:p w14:paraId="2051EEE6" w14:textId="77777777" w:rsidR="00A94A64" w:rsidRPr="008915A0" w:rsidRDefault="00A94A64">
            <w:pPr>
              <w:rPr>
                <w:noProof/>
                <w:sz w:val="22"/>
                <w:szCs w:val="22"/>
              </w:rPr>
            </w:pPr>
            <w:r w:rsidRPr="008915A0">
              <w:rPr>
                <w:noProof/>
                <w:sz w:val="22"/>
                <w:szCs w:val="22"/>
              </w:rPr>
              <w:t>PM2 - Data Centre Forum</w:t>
            </w:r>
          </w:p>
        </w:tc>
        <w:tc>
          <w:tcPr>
            <w:tcW w:w="2976" w:type="dxa"/>
            <w:vMerge/>
          </w:tcPr>
          <w:p w14:paraId="0246B3C4" w14:textId="77777777" w:rsidR="00A94A64" w:rsidRPr="008915A0" w:rsidRDefault="00A94A64">
            <w:pPr>
              <w:jc w:val="center"/>
              <w:rPr>
                <w:noProof/>
                <w:sz w:val="22"/>
                <w:szCs w:val="22"/>
              </w:rPr>
            </w:pPr>
          </w:p>
        </w:tc>
        <w:tc>
          <w:tcPr>
            <w:tcW w:w="2977" w:type="dxa"/>
          </w:tcPr>
          <w:p w14:paraId="41E74CD3" w14:textId="77777777" w:rsidR="00A94A64" w:rsidRPr="008915A0" w:rsidRDefault="00A94A64">
            <w:pPr>
              <w:jc w:val="center"/>
              <w:rPr>
                <w:i/>
                <w:iCs/>
                <w:noProof/>
                <w:sz w:val="22"/>
                <w:szCs w:val="22"/>
              </w:rPr>
            </w:pPr>
            <w:r w:rsidRPr="008915A0">
              <w:rPr>
                <w:i/>
                <w:iCs/>
                <w:noProof/>
                <w:sz w:val="22"/>
                <w:szCs w:val="22"/>
              </w:rPr>
              <w:t>Identification of suitable land; improved administrative awareness for individual DC projects; improved awareness for electricity grid needs</w:t>
            </w:r>
          </w:p>
        </w:tc>
        <w:tc>
          <w:tcPr>
            <w:tcW w:w="2977" w:type="dxa"/>
          </w:tcPr>
          <w:p w14:paraId="617B0A73" w14:textId="77777777" w:rsidR="00A94A64" w:rsidRPr="008915A0" w:rsidRDefault="00A94A64">
            <w:pPr>
              <w:jc w:val="center"/>
              <w:rPr>
                <w:noProof/>
                <w:sz w:val="22"/>
                <w:szCs w:val="22"/>
              </w:rPr>
            </w:pPr>
          </w:p>
        </w:tc>
        <w:tc>
          <w:tcPr>
            <w:tcW w:w="2977" w:type="dxa"/>
          </w:tcPr>
          <w:p w14:paraId="484CC8C6" w14:textId="77777777" w:rsidR="00A94A64" w:rsidRPr="008915A0" w:rsidRDefault="00A94A64">
            <w:pPr>
              <w:jc w:val="center"/>
              <w:rPr>
                <w:noProof/>
                <w:sz w:val="22"/>
                <w:szCs w:val="22"/>
              </w:rPr>
            </w:pPr>
          </w:p>
        </w:tc>
      </w:tr>
      <w:tr w:rsidR="00A94A64" w:rsidRPr="008915A0" w14:paraId="6ADFF5DC" w14:textId="77777777" w:rsidTr="4058FE4E">
        <w:tc>
          <w:tcPr>
            <w:tcW w:w="2836" w:type="dxa"/>
            <w:shd w:val="clear" w:color="auto" w:fill="DBE5F1" w:themeFill="accent1" w:themeFillTint="33"/>
          </w:tcPr>
          <w:p w14:paraId="777F16E3" w14:textId="77777777" w:rsidR="00A94A64" w:rsidRPr="008915A0" w:rsidRDefault="00A94A64">
            <w:pPr>
              <w:rPr>
                <w:noProof/>
                <w:sz w:val="22"/>
                <w:szCs w:val="22"/>
              </w:rPr>
            </w:pPr>
            <w:r w:rsidRPr="008915A0">
              <w:rPr>
                <w:noProof/>
                <w:sz w:val="22"/>
                <w:szCs w:val="22"/>
              </w:rPr>
              <w:t>PM3 - Data Centre guidelines</w:t>
            </w:r>
          </w:p>
        </w:tc>
        <w:tc>
          <w:tcPr>
            <w:tcW w:w="2976" w:type="dxa"/>
          </w:tcPr>
          <w:p w14:paraId="619E001E" w14:textId="04C11FFF" w:rsidR="00A94A64" w:rsidRPr="000763C3" w:rsidRDefault="000C5EF8">
            <w:pPr>
              <w:jc w:val="center"/>
              <w:rPr>
                <w:i/>
                <w:noProof/>
                <w:sz w:val="22"/>
                <w:szCs w:val="22"/>
              </w:rPr>
            </w:pPr>
            <w:r w:rsidRPr="000763C3">
              <w:rPr>
                <w:i/>
                <w:noProof/>
                <w:sz w:val="22"/>
                <w:szCs w:val="22"/>
              </w:rPr>
              <w:t xml:space="preserve">Easier access to best practices </w:t>
            </w:r>
            <w:r w:rsidR="001604B1" w:rsidRPr="000763C3">
              <w:rPr>
                <w:i/>
                <w:noProof/>
                <w:sz w:val="22"/>
                <w:szCs w:val="22"/>
              </w:rPr>
              <w:t>by smaller scale operators</w:t>
            </w:r>
          </w:p>
        </w:tc>
        <w:tc>
          <w:tcPr>
            <w:tcW w:w="2977" w:type="dxa"/>
          </w:tcPr>
          <w:p w14:paraId="521AB3B9" w14:textId="77777777" w:rsidR="00A94A64" w:rsidRPr="008915A0" w:rsidRDefault="00A94A64">
            <w:pPr>
              <w:jc w:val="center"/>
              <w:rPr>
                <w:i/>
                <w:iCs/>
                <w:noProof/>
                <w:sz w:val="22"/>
                <w:szCs w:val="22"/>
              </w:rPr>
            </w:pPr>
            <w:r w:rsidRPr="008915A0">
              <w:rPr>
                <w:i/>
                <w:iCs/>
                <w:noProof/>
                <w:sz w:val="22"/>
                <w:szCs w:val="22"/>
              </w:rPr>
              <w:t>Identification of suitable land; best practices on fast deployment</w:t>
            </w:r>
          </w:p>
        </w:tc>
        <w:tc>
          <w:tcPr>
            <w:tcW w:w="2977" w:type="dxa"/>
          </w:tcPr>
          <w:p w14:paraId="656DA3EF" w14:textId="77777777" w:rsidR="00A94A64" w:rsidRPr="008915A0" w:rsidRDefault="00A94A64">
            <w:pPr>
              <w:jc w:val="center"/>
              <w:rPr>
                <w:noProof/>
                <w:sz w:val="22"/>
                <w:szCs w:val="22"/>
              </w:rPr>
            </w:pPr>
          </w:p>
        </w:tc>
        <w:tc>
          <w:tcPr>
            <w:tcW w:w="2977" w:type="dxa"/>
          </w:tcPr>
          <w:p w14:paraId="3A36FEF6" w14:textId="77777777" w:rsidR="00A94A64" w:rsidRPr="008915A0" w:rsidRDefault="00A94A64">
            <w:pPr>
              <w:jc w:val="center"/>
              <w:rPr>
                <w:noProof/>
                <w:sz w:val="22"/>
                <w:szCs w:val="22"/>
              </w:rPr>
            </w:pPr>
          </w:p>
        </w:tc>
      </w:tr>
      <w:tr w:rsidR="00A94A64" w:rsidRPr="008915A0" w14:paraId="416AC292" w14:textId="77777777" w:rsidTr="4058FE4E">
        <w:tc>
          <w:tcPr>
            <w:tcW w:w="2836" w:type="dxa"/>
            <w:shd w:val="clear" w:color="auto" w:fill="DBE5F1" w:themeFill="accent1" w:themeFillTint="33"/>
          </w:tcPr>
          <w:p w14:paraId="2CE7F89A" w14:textId="77777777" w:rsidR="00A94A64" w:rsidRPr="008915A0" w:rsidRDefault="00A94A64">
            <w:pPr>
              <w:rPr>
                <w:noProof/>
                <w:sz w:val="22"/>
                <w:szCs w:val="22"/>
              </w:rPr>
            </w:pPr>
            <w:r w:rsidRPr="008915A0">
              <w:rPr>
                <w:noProof/>
                <w:sz w:val="22"/>
                <w:szCs w:val="22"/>
              </w:rPr>
              <w:t>PM4 - National facilitator</w:t>
            </w:r>
          </w:p>
        </w:tc>
        <w:tc>
          <w:tcPr>
            <w:tcW w:w="2976" w:type="dxa"/>
          </w:tcPr>
          <w:p w14:paraId="55D6E1C3" w14:textId="77777777" w:rsidR="00A94A64" w:rsidRPr="008915A0" w:rsidRDefault="00A94A64">
            <w:pPr>
              <w:jc w:val="center"/>
              <w:rPr>
                <w:i/>
                <w:iCs/>
                <w:noProof/>
                <w:sz w:val="22"/>
                <w:szCs w:val="22"/>
              </w:rPr>
            </w:pPr>
            <w:r w:rsidRPr="008915A0">
              <w:rPr>
                <w:i/>
                <w:iCs/>
                <w:noProof/>
                <w:sz w:val="22"/>
                <w:szCs w:val="22"/>
              </w:rPr>
              <w:t xml:space="preserve">Being accompanied through administrative processes is of particular benefit to smaller, including European, CSPs </w:t>
            </w:r>
          </w:p>
        </w:tc>
        <w:tc>
          <w:tcPr>
            <w:tcW w:w="2977" w:type="dxa"/>
          </w:tcPr>
          <w:p w14:paraId="248CAE3E" w14:textId="77777777" w:rsidR="00A94A64" w:rsidRPr="008915A0" w:rsidRDefault="00A94A64">
            <w:pPr>
              <w:jc w:val="center"/>
              <w:rPr>
                <w:i/>
                <w:iCs/>
                <w:noProof/>
                <w:sz w:val="22"/>
                <w:szCs w:val="22"/>
              </w:rPr>
            </w:pPr>
            <w:r w:rsidRPr="008915A0">
              <w:rPr>
                <w:i/>
                <w:iCs/>
                <w:noProof/>
                <w:sz w:val="22"/>
                <w:szCs w:val="22"/>
              </w:rPr>
              <w:t>Acceleration of administrative processes; making regulatory environment easier to navigate</w:t>
            </w:r>
          </w:p>
        </w:tc>
        <w:tc>
          <w:tcPr>
            <w:tcW w:w="2977" w:type="dxa"/>
          </w:tcPr>
          <w:p w14:paraId="44054349" w14:textId="77777777" w:rsidR="00A94A64" w:rsidRPr="008915A0" w:rsidRDefault="00A94A64">
            <w:pPr>
              <w:jc w:val="center"/>
              <w:rPr>
                <w:noProof/>
                <w:sz w:val="22"/>
                <w:szCs w:val="22"/>
              </w:rPr>
            </w:pPr>
          </w:p>
        </w:tc>
        <w:tc>
          <w:tcPr>
            <w:tcW w:w="2977" w:type="dxa"/>
          </w:tcPr>
          <w:p w14:paraId="18F31B4B" w14:textId="77777777" w:rsidR="00A94A64" w:rsidRPr="008915A0" w:rsidRDefault="00A94A64">
            <w:pPr>
              <w:jc w:val="center"/>
              <w:rPr>
                <w:noProof/>
                <w:sz w:val="22"/>
                <w:szCs w:val="22"/>
              </w:rPr>
            </w:pPr>
          </w:p>
        </w:tc>
      </w:tr>
      <w:tr w:rsidR="00A94A64" w:rsidRPr="008915A0" w14:paraId="500C8C17" w14:textId="77777777" w:rsidTr="4058FE4E">
        <w:tc>
          <w:tcPr>
            <w:tcW w:w="2836" w:type="dxa"/>
            <w:shd w:val="clear" w:color="auto" w:fill="DBE5F1" w:themeFill="accent1" w:themeFillTint="33"/>
          </w:tcPr>
          <w:p w14:paraId="37B728F7" w14:textId="77777777" w:rsidR="00A94A64" w:rsidRPr="008915A0" w:rsidRDefault="00A94A64">
            <w:pPr>
              <w:rPr>
                <w:noProof/>
                <w:sz w:val="22"/>
                <w:szCs w:val="22"/>
              </w:rPr>
            </w:pPr>
            <w:r w:rsidRPr="008915A0">
              <w:rPr>
                <w:noProof/>
                <w:sz w:val="22"/>
                <w:szCs w:val="22"/>
              </w:rPr>
              <w:t>PM5 - Fast-track areas</w:t>
            </w:r>
          </w:p>
        </w:tc>
        <w:tc>
          <w:tcPr>
            <w:tcW w:w="2976" w:type="dxa"/>
          </w:tcPr>
          <w:p w14:paraId="31DA69EB" w14:textId="266B0D6C" w:rsidR="00A94A64" w:rsidRPr="000763C3" w:rsidRDefault="000176B1">
            <w:pPr>
              <w:jc w:val="center"/>
              <w:rPr>
                <w:i/>
                <w:noProof/>
                <w:sz w:val="22"/>
                <w:szCs w:val="22"/>
              </w:rPr>
            </w:pPr>
            <w:r w:rsidRPr="000763C3">
              <w:rPr>
                <w:i/>
                <w:noProof/>
                <w:sz w:val="22"/>
                <w:szCs w:val="22"/>
              </w:rPr>
              <w:t xml:space="preserve">Smaller scale operators stand to benefit </w:t>
            </w:r>
            <w:r w:rsidR="00F07262" w:rsidRPr="000763C3">
              <w:rPr>
                <w:i/>
                <w:noProof/>
                <w:sz w:val="22"/>
                <w:szCs w:val="22"/>
              </w:rPr>
              <w:t>proportionally</w:t>
            </w:r>
            <w:r w:rsidRPr="000763C3">
              <w:rPr>
                <w:i/>
                <w:noProof/>
                <w:sz w:val="22"/>
                <w:szCs w:val="22"/>
              </w:rPr>
              <w:t xml:space="preserve"> more from </w:t>
            </w:r>
            <w:r w:rsidR="009314EF" w:rsidRPr="000763C3">
              <w:rPr>
                <w:i/>
                <w:noProof/>
                <w:sz w:val="22"/>
                <w:szCs w:val="22"/>
              </w:rPr>
              <w:t>accelerated administrative processes</w:t>
            </w:r>
          </w:p>
        </w:tc>
        <w:tc>
          <w:tcPr>
            <w:tcW w:w="2977" w:type="dxa"/>
          </w:tcPr>
          <w:p w14:paraId="59E73DB8" w14:textId="77777777" w:rsidR="00A94A64" w:rsidRPr="008915A0" w:rsidRDefault="00A94A64">
            <w:pPr>
              <w:jc w:val="center"/>
              <w:rPr>
                <w:i/>
                <w:iCs/>
                <w:noProof/>
                <w:sz w:val="22"/>
                <w:szCs w:val="22"/>
              </w:rPr>
            </w:pPr>
            <w:r w:rsidRPr="008915A0">
              <w:rPr>
                <w:i/>
                <w:iCs/>
                <w:noProof/>
                <w:sz w:val="22"/>
                <w:szCs w:val="22"/>
              </w:rPr>
              <w:t>Identification of suitable land; acceleration of administrative processes; making regulatory environment easier to navigate</w:t>
            </w:r>
          </w:p>
        </w:tc>
        <w:tc>
          <w:tcPr>
            <w:tcW w:w="2977" w:type="dxa"/>
          </w:tcPr>
          <w:p w14:paraId="1737972F" w14:textId="77777777" w:rsidR="00A94A64" w:rsidRPr="008915A0" w:rsidRDefault="00A94A64">
            <w:pPr>
              <w:jc w:val="center"/>
              <w:rPr>
                <w:noProof/>
                <w:sz w:val="22"/>
                <w:szCs w:val="22"/>
              </w:rPr>
            </w:pPr>
          </w:p>
        </w:tc>
        <w:tc>
          <w:tcPr>
            <w:tcW w:w="2977" w:type="dxa"/>
          </w:tcPr>
          <w:p w14:paraId="4AAFA9A9" w14:textId="77777777" w:rsidR="00A94A64" w:rsidRPr="008915A0" w:rsidRDefault="00A94A64">
            <w:pPr>
              <w:jc w:val="center"/>
              <w:rPr>
                <w:noProof/>
                <w:sz w:val="22"/>
                <w:szCs w:val="22"/>
              </w:rPr>
            </w:pPr>
          </w:p>
        </w:tc>
      </w:tr>
      <w:tr w:rsidR="00A94A64" w:rsidRPr="008915A0" w14:paraId="6868D5CC" w14:textId="77777777" w:rsidTr="4058FE4E">
        <w:tc>
          <w:tcPr>
            <w:tcW w:w="2836" w:type="dxa"/>
            <w:shd w:val="clear" w:color="auto" w:fill="DBE5F1" w:themeFill="accent1" w:themeFillTint="33"/>
          </w:tcPr>
          <w:p w14:paraId="0C672414" w14:textId="77777777" w:rsidR="00A94A64" w:rsidRPr="008915A0" w:rsidRDefault="00A94A64">
            <w:pPr>
              <w:rPr>
                <w:noProof/>
                <w:sz w:val="22"/>
                <w:szCs w:val="22"/>
              </w:rPr>
            </w:pPr>
            <w:r w:rsidRPr="008915A0">
              <w:rPr>
                <w:noProof/>
                <w:sz w:val="22"/>
                <w:szCs w:val="22"/>
              </w:rPr>
              <w:t>PM6 - National funding support</w:t>
            </w:r>
          </w:p>
        </w:tc>
        <w:tc>
          <w:tcPr>
            <w:tcW w:w="2976" w:type="dxa"/>
          </w:tcPr>
          <w:p w14:paraId="01AD4626" w14:textId="77777777" w:rsidR="00A94A64" w:rsidRPr="008915A0" w:rsidRDefault="00A94A64">
            <w:pPr>
              <w:jc w:val="center"/>
              <w:rPr>
                <w:i/>
                <w:iCs/>
                <w:noProof/>
                <w:sz w:val="22"/>
                <w:szCs w:val="22"/>
              </w:rPr>
            </w:pPr>
            <w:r w:rsidRPr="008915A0">
              <w:rPr>
                <w:i/>
                <w:iCs/>
                <w:noProof/>
                <w:sz w:val="22"/>
                <w:szCs w:val="22"/>
              </w:rPr>
              <w:t>Lowering the infrastructure entry barrier</w:t>
            </w:r>
          </w:p>
        </w:tc>
        <w:tc>
          <w:tcPr>
            <w:tcW w:w="2977" w:type="dxa"/>
          </w:tcPr>
          <w:p w14:paraId="246FB7F8" w14:textId="77777777" w:rsidR="00A94A64" w:rsidRPr="008915A0" w:rsidRDefault="00A94A64">
            <w:pPr>
              <w:jc w:val="center"/>
              <w:rPr>
                <w:i/>
                <w:iCs/>
                <w:noProof/>
                <w:sz w:val="22"/>
                <w:szCs w:val="22"/>
              </w:rPr>
            </w:pPr>
            <w:r w:rsidRPr="008915A0">
              <w:rPr>
                <w:i/>
                <w:iCs/>
                <w:noProof/>
                <w:sz w:val="22"/>
                <w:szCs w:val="22"/>
              </w:rPr>
              <w:t>Access to capital</w:t>
            </w:r>
          </w:p>
        </w:tc>
        <w:tc>
          <w:tcPr>
            <w:tcW w:w="2977" w:type="dxa"/>
          </w:tcPr>
          <w:p w14:paraId="6CF16E4C" w14:textId="77777777" w:rsidR="00A94A64" w:rsidRPr="008915A0" w:rsidRDefault="00A94A64">
            <w:pPr>
              <w:jc w:val="center"/>
              <w:rPr>
                <w:noProof/>
                <w:sz w:val="22"/>
                <w:szCs w:val="22"/>
              </w:rPr>
            </w:pPr>
          </w:p>
        </w:tc>
        <w:tc>
          <w:tcPr>
            <w:tcW w:w="2977" w:type="dxa"/>
          </w:tcPr>
          <w:p w14:paraId="05214536" w14:textId="77777777" w:rsidR="00A94A64" w:rsidRPr="008915A0" w:rsidRDefault="00A94A64">
            <w:pPr>
              <w:jc w:val="center"/>
              <w:rPr>
                <w:noProof/>
                <w:sz w:val="22"/>
                <w:szCs w:val="22"/>
              </w:rPr>
            </w:pPr>
          </w:p>
        </w:tc>
      </w:tr>
      <w:tr w:rsidR="00A94A64" w:rsidRPr="008915A0" w14:paraId="0950E5EA" w14:textId="77777777" w:rsidTr="4058FE4E">
        <w:tc>
          <w:tcPr>
            <w:tcW w:w="2836" w:type="dxa"/>
            <w:shd w:val="clear" w:color="auto" w:fill="DBE5F1" w:themeFill="accent1" w:themeFillTint="33"/>
          </w:tcPr>
          <w:p w14:paraId="18DEE142" w14:textId="77777777" w:rsidR="00A94A64" w:rsidRPr="008915A0" w:rsidRDefault="00A94A64">
            <w:pPr>
              <w:rPr>
                <w:noProof/>
                <w:sz w:val="22"/>
                <w:szCs w:val="22"/>
              </w:rPr>
            </w:pPr>
            <w:r w:rsidRPr="008915A0">
              <w:rPr>
                <w:noProof/>
                <w:sz w:val="22"/>
                <w:szCs w:val="22"/>
              </w:rPr>
              <w:t>PM7 - Deployment targets</w:t>
            </w:r>
          </w:p>
        </w:tc>
        <w:tc>
          <w:tcPr>
            <w:tcW w:w="2976" w:type="dxa"/>
          </w:tcPr>
          <w:p w14:paraId="397454E7" w14:textId="77777777" w:rsidR="00A94A64" w:rsidRPr="008915A0" w:rsidRDefault="00A94A64">
            <w:pPr>
              <w:jc w:val="center"/>
              <w:rPr>
                <w:noProof/>
                <w:sz w:val="22"/>
                <w:szCs w:val="22"/>
              </w:rPr>
            </w:pPr>
          </w:p>
        </w:tc>
        <w:tc>
          <w:tcPr>
            <w:tcW w:w="2977" w:type="dxa"/>
          </w:tcPr>
          <w:p w14:paraId="30B6FB4C" w14:textId="77777777" w:rsidR="00A94A64" w:rsidRPr="008915A0" w:rsidRDefault="00A94A64">
            <w:pPr>
              <w:jc w:val="center"/>
              <w:rPr>
                <w:i/>
                <w:iCs/>
                <w:noProof/>
                <w:sz w:val="22"/>
                <w:szCs w:val="22"/>
              </w:rPr>
            </w:pPr>
            <w:r w:rsidRPr="008915A0">
              <w:rPr>
                <w:i/>
                <w:iCs/>
                <w:noProof/>
                <w:sz w:val="22"/>
                <w:szCs w:val="22"/>
              </w:rPr>
              <w:t>Recognition of strategic importance</w:t>
            </w:r>
          </w:p>
        </w:tc>
        <w:tc>
          <w:tcPr>
            <w:tcW w:w="2977" w:type="dxa"/>
          </w:tcPr>
          <w:p w14:paraId="76D36314" w14:textId="77777777" w:rsidR="00A94A64" w:rsidRPr="008915A0" w:rsidRDefault="00A94A64">
            <w:pPr>
              <w:jc w:val="center"/>
              <w:rPr>
                <w:noProof/>
                <w:sz w:val="22"/>
                <w:szCs w:val="22"/>
              </w:rPr>
            </w:pPr>
          </w:p>
        </w:tc>
        <w:tc>
          <w:tcPr>
            <w:tcW w:w="2977" w:type="dxa"/>
          </w:tcPr>
          <w:p w14:paraId="268CF99E" w14:textId="77777777" w:rsidR="00A94A64" w:rsidRPr="008915A0" w:rsidRDefault="00A94A64">
            <w:pPr>
              <w:jc w:val="center"/>
              <w:rPr>
                <w:noProof/>
                <w:sz w:val="22"/>
                <w:szCs w:val="22"/>
              </w:rPr>
            </w:pPr>
          </w:p>
        </w:tc>
      </w:tr>
      <w:tr w:rsidR="00A94A64" w:rsidRPr="008915A0" w14:paraId="02724D18" w14:textId="77777777" w:rsidTr="4058FE4E">
        <w:tc>
          <w:tcPr>
            <w:tcW w:w="2836" w:type="dxa"/>
            <w:shd w:val="clear" w:color="auto" w:fill="DBE5F1" w:themeFill="accent1" w:themeFillTint="33"/>
          </w:tcPr>
          <w:p w14:paraId="7F90E85E" w14:textId="77777777" w:rsidR="00A94A64" w:rsidRPr="008915A0" w:rsidRDefault="00A94A64">
            <w:pPr>
              <w:rPr>
                <w:noProof/>
                <w:sz w:val="22"/>
                <w:szCs w:val="22"/>
                <w:lang w:val="es-ES"/>
              </w:rPr>
            </w:pPr>
            <w:r w:rsidRPr="008915A0">
              <w:rPr>
                <w:noProof/>
                <w:sz w:val="22"/>
                <w:szCs w:val="22"/>
                <w:lang w:val="es-ES"/>
              </w:rPr>
              <w:t>PM8 - EU R&amp;D funding</w:t>
            </w:r>
          </w:p>
        </w:tc>
        <w:tc>
          <w:tcPr>
            <w:tcW w:w="2976" w:type="dxa"/>
          </w:tcPr>
          <w:p w14:paraId="35437471" w14:textId="77777777" w:rsidR="00A94A64" w:rsidRPr="0019054D" w:rsidRDefault="00A94A64">
            <w:pPr>
              <w:jc w:val="center"/>
              <w:rPr>
                <w:i/>
                <w:noProof/>
                <w:sz w:val="22"/>
                <w:szCs w:val="22"/>
                <w:lang w:val="en-US"/>
              </w:rPr>
            </w:pPr>
            <w:r w:rsidRPr="0019054D">
              <w:rPr>
                <w:i/>
                <w:noProof/>
                <w:sz w:val="22"/>
                <w:szCs w:val="22"/>
                <w:lang w:val="en-US"/>
              </w:rPr>
              <w:t>Lowering the infrastructure/innovation entry barrier</w:t>
            </w:r>
          </w:p>
        </w:tc>
        <w:tc>
          <w:tcPr>
            <w:tcW w:w="2977" w:type="dxa"/>
          </w:tcPr>
          <w:p w14:paraId="0C47AD1F" w14:textId="77777777" w:rsidR="00A94A64" w:rsidRPr="008915A0" w:rsidRDefault="00A94A64">
            <w:pPr>
              <w:jc w:val="center"/>
              <w:rPr>
                <w:i/>
                <w:iCs/>
                <w:noProof/>
                <w:sz w:val="22"/>
                <w:szCs w:val="22"/>
                <w:lang w:val="es-ES"/>
              </w:rPr>
            </w:pPr>
            <w:r w:rsidRPr="008915A0">
              <w:rPr>
                <w:i/>
                <w:iCs/>
                <w:noProof/>
                <w:sz w:val="22"/>
                <w:szCs w:val="22"/>
                <w:lang w:val="es-ES"/>
              </w:rPr>
              <w:t>Access to capital</w:t>
            </w:r>
          </w:p>
        </w:tc>
        <w:tc>
          <w:tcPr>
            <w:tcW w:w="2977" w:type="dxa"/>
          </w:tcPr>
          <w:p w14:paraId="34C9466B" w14:textId="77777777" w:rsidR="00A94A64" w:rsidRPr="008915A0" w:rsidRDefault="00A94A64">
            <w:pPr>
              <w:jc w:val="center"/>
              <w:rPr>
                <w:noProof/>
                <w:sz w:val="22"/>
                <w:szCs w:val="22"/>
                <w:lang w:val="es-ES"/>
              </w:rPr>
            </w:pPr>
          </w:p>
        </w:tc>
        <w:tc>
          <w:tcPr>
            <w:tcW w:w="2977" w:type="dxa"/>
          </w:tcPr>
          <w:p w14:paraId="289F4DA4" w14:textId="77777777" w:rsidR="00A94A64" w:rsidRPr="008915A0" w:rsidRDefault="00A94A64">
            <w:pPr>
              <w:jc w:val="center"/>
              <w:rPr>
                <w:noProof/>
                <w:sz w:val="22"/>
                <w:szCs w:val="22"/>
                <w:lang w:val="es-ES"/>
              </w:rPr>
            </w:pPr>
          </w:p>
        </w:tc>
      </w:tr>
      <w:tr w:rsidR="00A94A64" w:rsidRPr="008915A0" w14:paraId="24DBB439" w14:textId="77777777" w:rsidTr="4058FE4E">
        <w:tc>
          <w:tcPr>
            <w:tcW w:w="2836" w:type="dxa"/>
            <w:shd w:val="clear" w:color="auto" w:fill="DBE5F1" w:themeFill="accent1" w:themeFillTint="33"/>
          </w:tcPr>
          <w:p w14:paraId="76045441" w14:textId="77777777" w:rsidR="00A94A64" w:rsidRPr="008915A0" w:rsidRDefault="00A94A64">
            <w:pPr>
              <w:rPr>
                <w:noProof/>
                <w:sz w:val="22"/>
                <w:szCs w:val="22"/>
              </w:rPr>
            </w:pPr>
            <w:r w:rsidRPr="008915A0">
              <w:rPr>
                <w:noProof/>
                <w:sz w:val="22"/>
                <w:szCs w:val="22"/>
              </w:rPr>
              <w:t>PM9 - EU deployment funding for strategic projects</w:t>
            </w:r>
          </w:p>
        </w:tc>
        <w:tc>
          <w:tcPr>
            <w:tcW w:w="2976" w:type="dxa"/>
          </w:tcPr>
          <w:p w14:paraId="55DC0628" w14:textId="77777777" w:rsidR="00A94A64" w:rsidRPr="008915A0" w:rsidRDefault="00A94A64">
            <w:pPr>
              <w:jc w:val="center"/>
              <w:rPr>
                <w:i/>
                <w:iCs/>
                <w:noProof/>
                <w:sz w:val="22"/>
                <w:szCs w:val="22"/>
              </w:rPr>
            </w:pPr>
            <w:r w:rsidRPr="008915A0">
              <w:rPr>
                <w:i/>
                <w:iCs/>
                <w:noProof/>
                <w:sz w:val="22"/>
                <w:szCs w:val="22"/>
              </w:rPr>
              <w:t>Lowering the infrastructure entry barrier</w:t>
            </w:r>
          </w:p>
        </w:tc>
        <w:tc>
          <w:tcPr>
            <w:tcW w:w="2977" w:type="dxa"/>
          </w:tcPr>
          <w:p w14:paraId="13A2001F" w14:textId="77777777" w:rsidR="00A94A64" w:rsidRPr="008915A0" w:rsidRDefault="00A94A64">
            <w:pPr>
              <w:jc w:val="center"/>
              <w:rPr>
                <w:i/>
                <w:iCs/>
                <w:noProof/>
                <w:sz w:val="22"/>
                <w:szCs w:val="22"/>
              </w:rPr>
            </w:pPr>
            <w:r w:rsidRPr="008915A0">
              <w:rPr>
                <w:i/>
                <w:iCs/>
                <w:noProof/>
                <w:sz w:val="22"/>
                <w:szCs w:val="22"/>
              </w:rPr>
              <w:t xml:space="preserve">Access to capital </w:t>
            </w:r>
          </w:p>
        </w:tc>
        <w:tc>
          <w:tcPr>
            <w:tcW w:w="2977" w:type="dxa"/>
          </w:tcPr>
          <w:p w14:paraId="48EB72D0" w14:textId="77777777" w:rsidR="00A94A64" w:rsidRPr="008915A0" w:rsidRDefault="00A94A64">
            <w:pPr>
              <w:jc w:val="center"/>
              <w:rPr>
                <w:noProof/>
                <w:sz w:val="22"/>
                <w:szCs w:val="22"/>
              </w:rPr>
            </w:pPr>
          </w:p>
        </w:tc>
        <w:tc>
          <w:tcPr>
            <w:tcW w:w="2977" w:type="dxa"/>
          </w:tcPr>
          <w:p w14:paraId="0BA06F55" w14:textId="77777777" w:rsidR="00A94A64" w:rsidRPr="008915A0" w:rsidRDefault="00A94A64">
            <w:pPr>
              <w:jc w:val="center"/>
              <w:rPr>
                <w:noProof/>
                <w:sz w:val="22"/>
                <w:szCs w:val="22"/>
              </w:rPr>
            </w:pPr>
          </w:p>
        </w:tc>
      </w:tr>
      <w:tr w:rsidR="00A94A64" w:rsidRPr="008915A0" w14:paraId="25A8404C" w14:textId="77777777" w:rsidTr="4058FE4E">
        <w:tc>
          <w:tcPr>
            <w:tcW w:w="2836" w:type="dxa"/>
            <w:shd w:val="clear" w:color="auto" w:fill="DBE5F1" w:themeFill="accent1" w:themeFillTint="33"/>
          </w:tcPr>
          <w:p w14:paraId="1B9DA5DB" w14:textId="77777777" w:rsidR="00A94A64" w:rsidRPr="008915A0" w:rsidRDefault="00A94A64">
            <w:pPr>
              <w:rPr>
                <w:noProof/>
                <w:sz w:val="22"/>
                <w:szCs w:val="22"/>
              </w:rPr>
            </w:pPr>
            <w:r w:rsidRPr="008915A0">
              <w:rPr>
                <w:noProof/>
                <w:sz w:val="22"/>
                <w:szCs w:val="22"/>
              </w:rPr>
              <w:t xml:space="preserve">PM10 - EU-level fast-track </w:t>
            </w:r>
          </w:p>
        </w:tc>
        <w:tc>
          <w:tcPr>
            <w:tcW w:w="2976" w:type="dxa"/>
          </w:tcPr>
          <w:p w14:paraId="09F0906A" w14:textId="5B77AB39" w:rsidR="00A94A64" w:rsidRPr="008915A0" w:rsidRDefault="00AF01DE">
            <w:pPr>
              <w:jc w:val="center"/>
              <w:rPr>
                <w:noProof/>
                <w:sz w:val="22"/>
                <w:szCs w:val="22"/>
              </w:rPr>
            </w:pPr>
            <w:r w:rsidRPr="000763C3">
              <w:rPr>
                <w:i/>
                <w:iCs/>
                <w:noProof/>
                <w:sz w:val="22"/>
                <w:szCs w:val="22"/>
              </w:rPr>
              <w:t>Smaller scale operators stand to benefit proportionally more from accelerated administrative processes</w:t>
            </w:r>
          </w:p>
        </w:tc>
        <w:tc>
          <w:tcPr>
            <w:tcW w:w="2977" w:type="dxa"/>
          </w:tcPr>
          <w:p w14:paraId="094E7875" w14:textId="77777777" w:rsidR="00A94A64" w:rsidRPr="008915A0" w:rsidRDefault="00A94A64">
            <w:pPr>
              <w:jc w:val="center"/>
              <w:rPr>
                <w:noProof/>
                <w:sz w:val="22"/>
                <w:szCs w:val="22"/>
              </w:rPr>
            </w:pPr>
            <w:r w:rsidRPr="008915A0">
              <w:rPr>
                <w:i/>
                <w:iCs/>
                <w:noProof/>
                <w:sz w:val="22"/>
                <w:szCs w:val="22"/>
              </w:rPr>
              <w:t>Identification of suitable land; acceleration of administrative processes; making regulatory environment easier to navigate</w:t>
            </w:r>
          </w:p>
        </w:tc>
        <w:tc>
          <w:tcPr>
            <w:tcW w:w="2977" w:type="dxa"/>
          </w:tcPr>
          <w:p w14:paraId="226FD93A" w14:textId="77777777" w:rsidR="00A94A64" w:rsidRPr="008915A0" w:rsidRDefault="00A94A64">
            <w:pPr>
              <w:jc w:val="center"/>
              <w:rPr>
                <w:noProof/>
                <w:sz w:val="22"/>
                <w:szCs w:val="22"/>
              </w:rPr>
            </w:pPr>
          </w:p>
        </w:tc>
        <w:tc>
          <w:tcPr>
            <w:tcW w:w="2977" w:type="dxa"/>
          </w:tcPr>
          <w:p w14:paraId="37ED4CCE" w14:textId="77777777" w:rsidR="00A94A64" w:rsidRPr="008915A0" w:rsidRDefault="00A94A64">
            <w:pPr>
              <w:jc w:val="center"/>
              <w:rPr>
                <w:noProof/>
                <w:sz w:val="22"/>
                <w:szCs w:val="22"/>
              </w:rPr>
            </w:pPr>
          </w:p>
        </w:tc>
      </w:tr>
      <w:tr w:rsidR="00A94A64" w:rsidRPr="008915A0" w14:paraId="1BFF3168" w14:textId="77777777" w:rsidTr="4058FE4E">
        <w:tc>
          <w:tcPr>
            <w:tcW w:w="2836" w:type="dxa"/>
            <w:shd w:val="clear" w:color="auto" w:fill="DBE5F1" w:themeFill="accent1" w:themeFillTint="33"/>
          </w:tcPr>
          <w:p w14:paraId="42B765B2" w14:textId="17617A59" w:rsidR="00A94A64" w:rsidRPr="008915A0" w:rsidRDefault="00A94A64">
            <w:pPr>
              <w:rPr>
                <w:noProof/>
                <w:sz w:val="22"/>
                <w:szCs w:val="22"/>
              </w:rPr>
            </w:pPr>
            <w:r w:rsidRPr="008915A0">
              <w:rPr>
                <w:noProof/>
                <w:sz w:val="22"/>
                <w:szCs w:val="22"/>
              </w:rPr>
              <w:t xml:space="preserve">PM11 - EU-level </w:t>
            </w:r>
            <w:r w:rsidR="0003093B">
              <w:rPr>
                <w:noProof/>
                <w:sz w:val="22"/>
                <w:szCs w:val="22"/>
              </w:rPr>
              <w:t>harmonized criteria</w:t>
            </w:r>
            <w:r w:rsidR="0003093B" w:rsidRPr="008915A0">
              <w:rPr>
                <w:noProof/>
                <w:sz w:val="22"/>
                <w:szCs w:val="22"/>
              </w:rPr>
              <w:t xml:space="preserve"> </w:t>
            </w:r>
            <w:r w:rsidR="0003093B">
              <w:rPr>
                <w:noProof/>
                <w:sz w:val="22"/>
                <w:szCs w:val="22"/>
              </w:rPr>
              <w:t>for</w:t>
            </w:r>
            <w:r w:rsidRPr="008915A0">
              <w:rPr>
                <w:noProof/>
                <w:sz w:val="22"/>
                <w:szCs w:val="22"/>
              </w:rPr>
              <w:t xml:space="preserve"> sovereign cloud and AI computing services</w:t>
            </w:r>
          </w:p>
        </w:tc>
        <w:tc>
          <w:tcPr>
            <w:tcW w:w="2976" w:type="dxa"/>
          </w:tcPr>
          <w:p w14:paraId="10C53F73" w14:textId="77777777" w:rsidR="00A94A64" w:rsidRPr="008915A0" w:rsidRDefault="00A94A64">
            <w:pPr>
              <w:jc w:val="center"/>
              <w:rPr>
                <w:noProof/>
                <w:sz w:val="22"/>
                <w:szCs w:val="22"/>
              </w:rPr>
            </w:pPr>
          </w:p>
        </w:tc>
        <w:tc>
          <w:tcPr>
            <w:tcW w:w="2977" w:type="dxa"/>
          </w:tcPr>
          <w:p w14:paraId="7A1FD3D3" w14:textId="77777777" w:rsidR="00A94A64" w:rsidRPr="008915A0" w:rsidRDefault="00A94A64">
            <w:pPr>
              <w:jc w:val="center"/>
              <w:rPr>
                <w:noProof/>
                <w:sz w:val="22"/>
                <w:szCs w:val="22"/>
              </w:rPr>
            </w:pPr>
          </w:p>
        </w:tc>
        <w:tc>
          <w:tcPr>
            <w:tcW w:w="2977" w:type="dxa"/>
          </w:tcPr>
          <w:p w14:paraId="320E3692" w14:textId="77777777" w:rsidR="00A94A64" w:rsidRPr="008915A0" w:rsidRDefault="00A94A64">
            <w:pPr>
              <w:jc w:val="center"/>
              <w:rPr>
                <w:noProof/>
                <w:sz w:val="22"/>
                <w:szCs w:val="22"/>
              </w:rPr>
            </w:pPr>
          </w:p>
        </w:tc>
        <w:tc>
          <w:tcPr>
            <w:tcW w:w="2977" w:type="dxa"/>
          </w:tcPr>
          <w:p w14:paraId="31E79300" w14:textId="77777777" w:rsidR="00A94A64" w:rsidRPr="008915A0" w:rsidRDefault="00A94A64">
            <w:pPr>
              <w:jc w:val="center"/>
              <w:rPr>
                <w:i/>
                <w:iCs/>
                <w:noProof/>
                <w:sz w:val="22"/>
                <w:szCs w:val="22"/>
              </w:rPr>
            </w:pPr>
            <w:r w:rsidRPr="008915A0">
              <w:rPr>
                <w:i/>
                <w:iCs/>
                <w:noProof/>
                <w:sz w:val="22"/>
                <w:szCs w:val="22"/>
              </w:rPr>
              <w:t>Improved identification of sovereign services</w:t>
            </w:r>
          </w:p>
        </w:tc>
      </w:tr>
      <w:tr w:rsidR="00A94A64" w:rsidRPr="008915A0" w14:paraId="5EC5B1E2" w14:textId="77777777" w:rsidTr="4058FE4E">
        <w:tc>
          <w:tcPr>
            <w:tcW w:w="2836" w:type="dxa"/>
            <w:shd w:val="clear" w:color="auto" w:fill="DBE5F1" w:themeFill="accent1" w:themeFillTint="33"/>
          </w:tcPr>
          <w:p w14:paraId="2817246C" w14:textId="77777777" w:rsidR="00A94A64" w:rsidRPr="008915A0" w:rsidRDefault="00A94A64">
            <w:pPr>
              <w:rPr>
                <w:noProof/>
                <w:sz w:val="22"/>
                <w:szCs w:val="22"/>
              </w:rPr>
            </w:pPr>
            <w:r w:rsidRPr="008915A0">
              <w:rPr>
                <w:noProof/>
                <w:sz w:val="22"/>
                <w:szCs w:val="22"/>
              </w:rPr>
              <w:t>PM12 – EU guidelines on requirements to be fulfilled by sovereign cloud and AI computing services</w:t>
            </w:r>
          </w:p>
        </w:tc>
        <w:tc>
          <w:tcPr>
            <w:tcW w:w="2976" w:type="dxa"/>
          </w:tcPr>
          <w:p w14:paraId="1ADCFB35" w14:textId="77777777" w:rsidR="00A94A64" w:rsidRPr="008915A0" w:rsidRDefault="00A94A64">
            <w:pPr>
              <w:jc w:val="center"/>
              <w:rPr>
                <w:noProof/>
                <w:sz w:val="22"/>
                <w:szCs w:val="22"/>
              </w:rPr>
            </w:pPr>
          </w:p>
        </w:tc>
        <w:tc>
          <w:tcPr>
            <w:tcW w:w="2977" w:type="dxa"/>
          </w:tcPr>
          <w:p w14:paraId="2A9DEE08" w14:textId="77777777" w:rsidR="00A94A64" w:rsidRPr="008915A0" w:rsidRDefault="00A94A64">
            <w:pPr>
              <w:jc w:val="center"/>
              <w:rPr>
                <w:noProof/>
                <w:sz w:val="22"/>
                <w:szCs w:val="22"/>
              </w:rPr>
            </w:pPr>
          </w:p>
        </w:tc>
        <w:tc>
          <w:tcPr>
            <w:tcW w:w="2977" w:type="dxa"/>
          </w:tcPr>
          <w:p w14:paraId="07C17137" w14:textId="77777777" w:rsidR="00A94A64" w:rsidRPr="008915A0" w:rsidRDefault="00A94A64">
            <w:pPr>
              <w:jc w:val="center"/>
              <w:rPr>
                <w:noProof/>
                <w:sz w:val="22"/>
                <w:szCs w:val="22"/>
              </w:rPr>
            </w:pPr>
          </w:p>
        </w:tc>
        <w:tc>
          <w:tcPr>
            <w:tcW w:w="2977" w:type="dxa"/>
          </w:tcPr>
          <w:p w14:paraId="456F6D6C" w14:textId="77777777" w:rsidR="00A94A64" w:rsidRPr="008915A0" w:rsidRDefault="00A94A64">
            <w:pPr>
              <w:jc w:val="center"/>
              <w:rPr>
                <w:i/>
                <w:iCs/>
                <w:noProof/>
                <w:sz w:val="22"/>
                <w:szCs w:val="22"/>
              </w:rPr>
            </w:pPr>
            <w:r w:rsidRPr="008915A0">
              <w:rPr>
                <w:i/>
                <w:iCs/>
                <w:noProof/>
                <w:sz w:val="22"/>
                <w:szCs w:val="22"/>
              </w:rPr>
              <w:t>Improved identification of sovereign services</w:t>
            </w:r>
          </w:p>
        </w:tc>
      </w:tr>
      <w:tr w:rsidR="00A94A64" w:rsidRPr="008915A0" w14:paraId="034221B8" w14:textId="77777777" w:rsidTr="4058FE4E">
        <w:tc>
          <w:tcPr>
            <w:tcW w:w="2836" w:type="dxa"/>
            <w:shd w:val="clear" w:color="auto" w:fill="DBE5F1" w:themeFill="accent1" w:themeFillTint="33"/>
          </w:tcPr>
          <w:p w14:paraId="61460949" w14:textId="161C045D" w:rsidR="00A94A64" w:rsidRPr="008915A0" w:rsidRDefault="13494B55">
            <w:pPr>
              <w:rPr>
                <w:noProof/>
                <w:sz w:val="22"/>
                <w:szCs w:val="22"/>
              </w:rPr>
            </w:pPr>
            <w:r w:rsidRPr="4058FE4E">
              <w:rPr>
                <w:noProof/>
                <w:sz w:val="22"/>
                <w:szCs w:val="22"/>
              </w:rPr>
              <w:t>PM13 – A</w:t>
            </w:r>
            <w:r w:rsidR="485B5CB5" w:rsidRPr="4058FE4E">
              <w:rPr>
                <w:noProof/>
                <w:sz w:val="22"/>
                <w:szCs w:val="22"/>
              </w:rPr>
              <w:t>wareness raising</w:t>
            </w:r>
            <w:r w:rsidRPr="4058FE4E">
              <w:rPr>
                <w:noProof/>
                <w:sz w:val="22"/>
                <w:szCs w:val="22"/>
              </w:rPr>
              <w:t xml:space="preserve"> on EU Digital Sovereignty</w:t>
            </w:r>
          </w:p>
        </w:tc>
        <w:tc>
          <w:tcPr>
            <w:tcW w:w="2976" w:type="dxa"/>
          </w:tcPr>
          <w:p w14:paraId="483758C1" w14:textId="77777777" w:rsidR="00A94A64" w:rsidRPr="008915A0" w:rsidRDefault="00A94A64">
            <w:pPr>
              <w:jc w:val="center"/>
              <w:rPr>
                <w:i/>
                <w:iCs/>
                <w:noProof/>
                <w:sz w:val="22"/>
                <w:szCs w:val="22"/>
              </w:rPr>
            </w:pPr>
            <w:r w:rsidRPr="008915A0">
              <w:rPr>
                <w:i/>
                <w:iCs/>
                <w:noProof/>
                <w:sz w:val="22"/>
                <w:szCs w:val="22"/>
              </w:rPr>
              <w:t>Enhanced visibility and drive uptake of sovereign, including European, CSPs</w:t>
            </w:r>
          </w:p>
        </w:tc>
        <w:tc>
          <w:tcPr>
            <w:tcW w:w="2977" w:type="dxa"/>
          </w:tcPr>
          <w:p w14:paraId="0E54C812" w14:textId="77777777" w:rsidR="00A94A64" w:rsidRPr="008915A0" w:rsidRDefault="00A94A64">
            <w:pPr>
              <w:jc w:val="center"/>
              <w:rPr>
                <w:noProof/>
                <w:sz w:val="22"/>
                <w:szCs w:val="22"/>
              </w:rPr>
            </w:pPr>
          </w:p>
        </w:tc>
        <w:tc>
          <w:tcPr>
            <w:tcW w:w="2977" w:type="dxa"/>
          </w:tcPr>
          <w:p w14:paraId="658C19DA" w14:textId="77777777" w:rsidR="00A94A64" w:rsidRPr="008915A0" w:rsidRDefault="00A94A64">
            <w:pPr>
              <w:jc w:val="center"/>
              <w:rPr>
                <w:noProof/>
                <w:sz w:val="22"/>
                <w:szCs w:val="22"/>
              </w:rPr>
            </w:pPr>
          </w:p>
        </w:tc>
        <w:tc>
          <w:tcPr>
            <w:tcW w:w="2977" w:type="dxa"/>
          </w:tcPr>
          <w:p w14:paraId="0F95DCBE" w14:textId="77777777" w:rsidR="00A94A64" w:rsidRPr="008915A0" w:rsidRDefault="00A94A64">
            <w:pPr>
              <w:jc w:val="center"/>
              <w:rPr>
                <w:i/>
                <w:iCs/>
                <w:noProof/>
                <w:sz w:val="22"/>
                <w:szCs w:val="22"/>
              </w:rPr>
            </w:pPr>
            <w:r w:rsidRPr="008915A0">
              <w:rPr>
                <w:i/>
                <w:iCs/>
                <w:noProof/>
                <w:sz w:val="22"/>
                <w:szCs w:val="22"/>
              </w:rPr>
              <w:t>Improved identification and visibility of sovereign services</w:t>
            </w:r>
          </w:p>
        </w:tc>
      </w:tr>
      <w:tr w:rsidR="00A94A64" w:rsidRPr="008915A0" w14:paraId="4DEEAC22" w14:textId="77777777" w:rsidTr="4058FE4E">
        <w:tc>
          <w:tcPr>
            <w:tcW w:w="2836" w:type="dxa"/>
            <w:shd w:val="clear" w:color="auto" w:fill="DBE5F1" w:themeFill="accent1" w:themeFillTint="33"/>
          </w:tcPr>
          <w:p w14:paraId="1B144844" w14:textId="77777777" w:rsidR="00A94A64" w:rsidRPr="008915A0" w:rsidRDefault="00A94A64">
            <w:pPr>
              <w:rPr>
                <w:noProof/>
                <w:sz w:val="22"/>
                <w:szCs w:val="22"/>
              </w:rPr>
            </w:pPr>
            <w:r w:rsidRPr="008915A0">
              <w:rPr>
                <w:noProof/>
                <w:sz w:val="22"/>
                <w:szCs w:val="22"/>
              </w:rPr>
              <w:t>PM14 – Interoperability flanking measures</w:t>
            </w:r>
          </w:p>
        </w:tc>
        <w:tc>
          <w:tcPr>
            <w:tcW w:w="2976" w:type="dxa"/>
          </w:tcPr>
          <w:p w14:paraId="50C6560B" w14:textId="77777777" w:rsidR="00A94A64" w:rsidRPr="008915A0" w:rsidRDefault="00A94A64">
            <w:pPr>
              <w:jc w:val="center"/>
              <w:rPr>
                <w:i/>
                <w:iCs/>
                <w:noProof/>
                <w:sz w:val="22"/>
                <w:szCs w:val="22"/>
              </w:rPr>
            </w:pPr>
            <w:r w:rsidRPr="008915A0">
              <w:rPr>
                <w:i/>
                <w:iCs/>
                <w:noProof/>
                <w:sz w:val="22"/>
                <w:szCs w:val="22"/>
              </w:rPr>
              <w:t>Improved opportunities for building integrated offers</w:t>
            </w:r>
          </w:p>
        </w:tc>
        <w:tc>
          <w:tcPr>
            <w:tcW w:w="2977" w:type="dxa"/>
          </w:tcPr>
          <w:p w14:paraId="63DFC207" w14:textId="77777777" w:rsidR="00A94A64" w:rsidRPr="008915A0" w:rsidRDefault="00A94A64">
            <w:pPr>
              <w:jc w:val="center"/>
              <w:rPr>
                <w:noProof/>
                <w:sz w:val="22"/>
                <w:szCs w:val="22"/>
              </w:rPr>
            </w:pPr>
          </w:p>
        </w:tc>
        <w:tc>
          <w:tcPr>
            <w:tcW w:w="2977" w:type="dxa"/>
          </w:tcPr>
          <w:p w14:paraId="1A23852D" w14:textId="77777777" w:rsidR="00A94A64" w:rsidRPr="008915A0" w:rsidRDefault="00A94A64">
            <w:pPr>
              <w:jc w:val="center"/>
              <w:rPr>
                <w:noProof/>
                <w:sz w:val="22"/>
                <w:szCs w:val="22"/>
              </w:rPr>
            </w:pPr>
          </w:p>
        </w:tc>
        <w:tc>
          <w:tcPr>
            <w:tcW w:w="2977" w:type="dxa"/>
          </w:tcPr>
          <w:p w14:paraId="5FB8C1C6" w14:textId="77777777" w:rsidR="00A94A64" w:rsidRPr="008915A0" w:rsidRDefault="00A94A64">
            <w:pPr>
              <w:jc w:val="center"/>
              <w:rPr>
                <w:noProof/>
                <w:sz w:val="22"/>
                <w:szCs w:val="22"/>
              </w:rPr>
            </w:pPr>
          </w:p>
        </w:tc>
      </w:tr>
      <w:tr w:rsidR="00A94A64" w:rsidRPr="008915A0" w14:paraId="5DD29E4B" w14:textId="77777777" w:rsidTr="4058FE4E">
        <w:tc>
          <w:tcPr>
            <w:tcW w:w="2836" w:type="dxa"/>
            <w:shd w:val="clear" w:color="auto" w:fill="DBE5F1" w:themeFill="accent1" w:themeFillTint="33"/>
          </w:tcPr>
          <w:p w14:paraId="584E8112" w14:textId="6CBA3170" w:rsidR="00A94A64" w:rsidRPr="008915A0" w:rsidRDefault="00A94A64">
            <w:pPr>
              <w:rPr>
                <w:noProof/>
                <w:sz w:val="22"/>
                <w:szCs w:val="22"/>
              </w:rPr>
            </w:pPr>
            <w:r w:rsidRPr="00F55C46">
              <w:rPr>
                <w:noProof/>
                <w:sz w:val="22"/>
                <w:szCs w:val="22"/>
              </w:rPr>
              <w:t xml:space="preserve">PM15 – </w:t>
            </w:r>
            <w:r w:rsidR="000F721C" w:rsidRPr="000F721C">
              <w:rPr>
                <w:noProof/>
                <w:sz w:val="22"/>
                <w:szCs w:val="22"/>
              </w:rPr>
              <w:t xml:space="preserve">Voluntary </w:t>
            </w:r>
            <w:r w:rsidRPr="00F55C46">
              <w:rPr>
                <w:noProof/>
                <w:sz w:val="22"/>
                <w:szCs w:val="22"/>
              </w:rPr>
              <w:t xml:space="preserve">sovereign </w:t>
            </w:r>
            <w:r w:rsidR="000F721C" w:rsidRPr="000F721C">
              <w:rPr>
                <w:noProof/>
                <w:sz w:val="22"/>
                <w:szCs w:val="22"/>
              </w:rPr>
              <w:t xml:space="preserve">risk assessments for the use of </w:t>
            </w:r>
            <w:r w:rsidRPr="00F55C46">
              <w:rPr>
                <w:noProof/>
                <w:sz w:val="22"/>
                <w:szCs w:val="22"/>
              </w:rPr>
              <w:t>cloud and AI computing services</w:t>
            </w:r>
            <w:r w:rsidRPr="008915A0">
              <w:rPr>
                <w:noProof/>
                <w:sz w:val="22"/>
                <w:szCs w:val="22"/>
              </w:rPr>
              <w:t xml:space="preserve"> </w:t>
            </w:r>
            <w:r w:rsidR="000F721C" w:rsidRPr="000F721C">
              <w:rPr>
                <w:noProof/>
                <w:sz w:val="22"/>
                <w:szCs w:val="22"/>
              </w:rPr>
              <w:t>in the public sector</w:t>
            </w:r>
          </w:p>
        </w:tc>
        <w:tc>
          <w:tcPr>
            <w:tcW w:w="2976" w:type="dxa"/>
          </w:tcPr>
          <w:p w14:paraId="4BA27ACB" w14:textId="77777777" w:rsidR="00A94A64" w:rsidRPr="008915A0" w:rsidRDefault="00A94A64">
            <w:pPr>
              <w:jc w:val="center"/>
              <w:rPr>
                <w:noProof/>
                <w:sz w:val="22"/>
                <w:szCs w:val="22"/>
              </w:rPr>
            </w:pPr>
            <w:r w:rsidRPr="008915A0">
              <w:rPr>
                <w:i/>
                <w:iCs/>
                <w:noProof/>
                <w:sz w:val="22"/>
                <w:szCs w:val="22"/>
              </w:rPr>
              <w:t>Improved commercial opportunities for providers of sovereign services, including Europeans</w:t>
            </w:r>
          </w:p>
        </w:tc>
        <w:tc>
          <w:tcPr>
            <w:tcW w:w="2977" w:type="dxa"/>
          </w:tcPr>
          <w:p w14:paraId="334D9DA8" w14:textId="77777777" w:rsidR="00A94A64" w:rsidRPr="008915A0" w:rsidRDefault="00A94A64">
            <w:pPr>
              <w:jc w:val="center"/>
              <w:rPr>
                <w:noProof/>
                <w:sz w:val="22"/>
                <w:szCs w:val="22"/>
              </w:rPr>
            </w:pPr>
          </w:p>
        </w:tc>
        <w:tc>
          <w:tcPr>
            <w:tcW w:w="2977" w:type="dxa"/>
          </w:tcPr>
          <w:p w14:paraId="51DBD0CA" w14:textId="77777777" w:rsidR="00A94A64" w:rsidRPr="008915A0" w:rsidRDefault="00A94A64">
            <w:pPr>
              <w:jc w:val="center"/>
              <w:rPr>
                <w:i/>
                <w:iCs/>
                <w:noProof/>
                <w:sz w:val="22"/>
                <w:szCs w:val="22"/>
              </w:rPr>
            </w:pPr>
            <w:r w:rsidRPr="008915A0">
              <w:rPr>
                <w:i/>
                <w:iCs/>
                <w:noProof/>
                <w:sz w:val="22"/>
                <w:szCs w:val="22"/>
              </w:rPr>
              <w:t>Recommended uptake of sovereign services, including those provided by European CSPs, for highly critical use cases</w:t>
            </w:r>
          </w:p>
        </w:tc>
        <w:tc>
          <w:tcPr>
            <w:tcW w:w="2977" w:type="dxa"/>
          </w:tcPr>
          <w:p w14:paraId="214E8F0D" w14:textId="77777777" w:rsidR="00A94A64" w:rsidRPr="008915A0" w:rsidRDefault="00A94A64">
            <w:pPr>
              <w:jc w:val="center"/>
              <w:rPr>
                <w:noProof/>
                <w:sz w:val="22"/>
                <w:szCs w:val="22"/>
              </w:rPr>
            </w:pPr>
            <w:r w:rsidRPr="008915A0">
              <w:rPr>
                <w:i/>
                <w:iCs/>
                <w:noProof/>
                <w:sz w:val="22"/>
                <w:szCs w:val="22"/>
              </w:rPr>
              <w:t>Improved identification and visibility of sovereign services</w:t>
            </w:r>
          </w:p>
        </w:tc>
      </w:tr>
      <w:tr w:rsidR="00A94A64" w:rsidRPr="008915A0" w14:paraId="518E72A8" w14:textId="77777777" w:rsidTr="4058FE4E">
        <w:tc>
          <w:tcPr>
            <w:tcW w:w="2836" w:type="dxa"/>
            <w:shd w:val="clear" w:color="auto" w:fill="DBE5F1" w:themeFill="accent1" w:themeFillTint="33"/>
          </w:tcPr>
          <w:p w14:paraId="740F8267" w14:textId="77777777" w:rsidR="00A94A64" w:rsidRPr="008915A0" w:rsidRDefault="00A94A64">
            <w:pPr>
              <w:rPr>
                <w:noProof/>
                <w:sz w:val="22"/>
                <w:szCs w:val="22"/>
              </w:rPr>
            </w:pPr>
            <w:r w:rsidRPr="008915A0">
              <w:rPr>
                <w:noProof/>
                <w:sz w:val="22"/>
                <w:szCs w:val="22"/>
              </w:rPr>
              <w:t>PM16 – Voluntary award criteria</w:t>
            </w:r>
          </w:p>
        </w:tc>
        <w:tc>
          <w:tcPr>
            <w:tcW w:w="2976" w:type="dxa"/>
          </w:tcPr>
          <w:p w14:paraId="3C485F76" w14:textId="147152F9" w:rsidR="00A94A64" w:rsidRPr="008915A0" w:rsidRDefault="00A94A64">
            <w:pPr>
              <w:jc w:val="center"/>
              <w:rPr>
                <w:noProof/>
                <w:sz w:val="22"/>
                <w:szCs w:val="22"/>
              </w:rPr>
            </w:pPr>
            <w:r w:rsidRPr="008915A0">
              <w:rPr>
                <w:i/>
                <w:iCs/>
                <w:noProof/>
                <w:sz w:val="22"/>
                <w:szCs w:val="22"/>
              </w:rPr>
              <w:t xml:space="preserve">Improved commercial opportunities for providers </w:t>
            </w:r>
            <w:r w:rsidR="009F74F2">
              <w:rPr>
                <w:i/>
                <w:iCs/>
                <w:noProof/>
                <w:sz w:val="22"/>
                <w:szCs w:val="22"/>
              </w:rPr>
              <w:t xml:space="preserve">from the EU </w:t>
            </w:r>
            <w:r w:rsidR="00530717">
              <w:rPr>
                <w:i/>
                <w:iCs/>
                <w:noProof/>
                <w:sz w:val="22"/>
                <w:szCs w:val="22"/>
              </w:rPr>
              <w:t>(</w:t>
            </w:r>
            <w:r w:rsidR="009F74F2">
              <w:rPr>
                <w:i/>
                <w:iCs/>
                <w:noProof/>
                <w:sz w:val="22"/>
                <w:szCs w:val="22"/>
              </w:rPr>
              <w:t>and countries with which the EU has no dependency</w:t>
            </w:r>
            <w:r w:rsidR="00530717">
              <w:rPr>
                <w:i/>
                <w:iCs/>
                <w:noProof/>
                <w:sz w:val="22"/>
                <w:szCs w:val="22"/>
              </w:rPr>
              <w:t>)</w:t>
            </w:r>
          </w:p>
        </w:tc>
        <w:tc>
          <w:tcPr>
            <w:tcW w:w="2977" w:type="dxa"/>
          </w:tcPr>
          <w:p w14:paraId="3F82FB4C" w14:textId="77777777" w:rsidR="00A94A64" w:rsidRPr="008915A0" w:rsidRDefault="00A94A64">
            <w:pPr>
              <w:jc w:val="center"/>
              <w:rPr>
                <w:noProof/>
                <w:sz w:val="22"/>
                <w:szCs w:val="22"/>
              </w:rPr>
            </w:pPr>
          </w:p>
        </w:tc>
        <w:tc>
          <w:tcPr>
            <w:tcW w:w="2977" w:type="dxa"/>
          </w:tcPr>
          <w:p w14:paraId="622BC8EE" w14:textId="358FBB6F" w:rsidR="00A94A64" w:rsidRPr="008915A0" w:rsidRDefault="00466F32">
            <w:pPr>
              <w:jc w:val="center"/>
              <w:rPr>
                <w:noProof/>
                <w:sz w:val="22"/>
                <w:szCs w:val="22"/>
              </w:rPr>
            </w:pPr>
            <w:r>
              <w:rPr>
                <w:i/>
                <w:iCs/>
                <w:noProof/>
                <w:sz w:val="22"/>
                <w:szCs w:val="22"/>
              </w:rPr>
              <w:t>Facilitated a</w:t>
            </w:r>
            <w:r w:rsidR="00530717">
              <w:rPr>
                <w:i/>
                <w:iCs/>
                <w:noProof/>
                <w:sz w:val="22"/>
                <w:szCs w:val="22"/>
              </w:rPr>
              <w:t xml:space="preserve">ccess to EU providers (and </w:t>
            </w:r>
            <w:r w:rsidR="00A843A3">
              <w:rPr>
                <w:i/>
                <w:iCs/>
                <w:noProof/>
                <w:sz w:val="22"/>
                <w:szCs w:val="22"/>
              </w:rPr>
              <w:t>from countries with which the EU has no dependency)</w:t>
            </w:r>
          </w:p>
        </w:tc>
        <w:tc>
          <w:tcPr>
            <w:tcW w:w="2977" w:type="dxa"/>
          </w:tcPr>
          <w:p w14:paraId="44C841BB" w14:textId="77777777" w:rsidR="00A94A64" w:rsidRPr="008915A0" w:rsidRDefault="00A94A64">
            <w:pPr>
              <w:jc w:val="center"/>
              <w:rPr>
                <w:noProof/>
                <w:sz w:val="22"/>
                <w:szCs w:val="22"/>
              </w:rPr>
            </w:pPr>
          </w:p>
        </w:tc>
      </w:tr>
      <w:tr w:rsidR="00A94A64" w:rsidRPr="008915A0" w14:paraId="06DD5308" w14:textId="77777777" w:rsidTr="4058FE4E">
        <w:tc>
          <w:tcPr>
            <w:tcW w:w="2836" w:type="dxa"/>
            <w:shd w:val="clear" w:color="auto" w:fill="DBE5F1" w:themeFill="accent1" w:themeFillTint="33"/>
          </w:tcPr>
          <w:p w14:paraId="60D17B0F" w14:textId="77777777" w:rsidR="00A94A64" w:rsidRPr="008915A0" w:rsidRDefault="00A94A64">
            <w:pPr>
              <w:rPr>
                <w:noProof/>
                <w:sz w:val="22"/>
                <w:szCs w:val="22"/>
              </w:rPr>
            </w:pPr>
            <w:r w:rsidRPr="008915A0">
              <w:rPr>
                <w:noProof/>
                <w:sz w:val="22"/>
                <w:szCs w:val="22"/>
              </w:rPr>
              <w:t>PM17 – Public sector cloud federation and EU broker</w:t>
            </w:r>
          </w:p>
        </w:tc>
        <w:tc>
          <w:tcPr>
            <w:tcW w:w="2976" w:type="dxa"/>
          </w:tcPr>
          <w:p w14:paraId="5F6ADB18" w14:textId="77777777" w:rsidR="00A94A64" w:rsidRPr="008915A0" w:rsidRDefault="00A94A64">
            <w:pPr>
              <w:jc w:val="center"/>
              <w:rPr>
                <w:noProof/>
                <w:sz w:val="22"/>
                <w:szCs w:val="22"/>
              </w:rPr>
            </w:pPr>
          </w:p>
        </w:tc>
        <w:tc>
          <w:tcPr>
            <w:tcW w:w="2977" w:type="dxa"/>
          </w:tcPr>
          <w:p w14:paraId="21641019" w14:textId="77777777" w:rsidR="00A94A64" w:rsidRPr="008915A0" w:rsidRDefault="00A94A64">
            <w:pPr>
              <w:jc w:val="center"/>
              <w:rPr>
                <w:noProof/>
                <w:sz w:val="22"/>
                <w:szCs w:val="22"/>
              </w:rPr>
            </w:pPr>
          </w:p>
        </w:tc>
        <w:tc>
          <w:tcPr>
            <w:tcW w:w="2977" w:type="dxa"/>
          </w:tcPr>
          <w:p w14:paraId="688D97F0" w14:textId="77777777" w:rsidR="00A94A64" w:rsidRPr="008915A0" w:rsidRDefault="00A94A64">
            <w:pPr>
              <w:jc w:val="center"/>
              <w:rPr>
                <w:i/>
                <w:iCs/>
                <w:noProof/>
                <w:sz w:val="22"/>
                <w:szCs w:val="22"/>
              </w:rPr>
            </w:pPr>
            <w:r w:rsidRPr="008915A0">
              <w:rPr>
                <w:i/>
                <w:iCs/>
                <w:noProof/>
                <w:sz w:val="22"/>
                <w:szCs w:val="22"/>
              </w:rPr>
              <w:t>Boosts uptake</w:t>
            </w:r>
          </w:p>
        </w:tc>
        <w:tc>
          <w:tcPr>
            <w:tcW w:w="2977" w:type="dxa"/>
          </w:tcPr>
          <w:p w14:paraId="1B0AC2BB" w14:textId="77777777" w:rsidR="00A94A64" w:rsidRPr="008915A0" w:rsidRDefault="00A94A64">
            <w:pPr>
              <w:jc w:val="center"/>
              <w:rPr>
                <w:noProof/>
                <w:sz w:val="22"/>
                <w:szCs w:val="22"/>
              </w:rPr>
            </w:pPr>
          </w:p>
        </w:tc>
      </w:tr>
      <w:tr w:rsidR="00A94A64" w:rsidRPr="008915A0" w14:paraId="74EAB0EF" w14:textId="77777777" w:rsidTr="4058FE4E">
        <w:tc>
          <w:tcPr>
            <w:tcW w:w="2836" w:type="dxa"/>
            <w:shd w:val="clear" w:color="auto" w:fill="DBE5F1" w:themeFill="accent1" w:themeFillTint="33"/>
          </w:tcPr>
          <w:p w14:paraId="73C71E3D" w14:textId="77777777" w:rsidR="00A94A64" w:rsidRPr="008915A0" w:rsidRDefault="00A94A64">
            <w:pPr>
              <w:rPr>
                <w:noProof/>
                <w:sz w:val="22"/>
                <w:szCs w:val="22"/>
              </w:rPr>
            </w:pPr>
            <w:r w:rsidRPr="008915A0">
              <w:rPr>
                <w:noProof/>
                <w:sz w:val="22"/>
                <w:szCs w:val="22"/>
              </w:rPr>
              <w:t>PM18 – Vendor-neutral cloud and AI training programme</w:t>
            </w:r>
          </w:p>
        </w:tc>
        <w:tc>
          <w:tcPr>
            <w:tcW w:w="2976" w:type="dxa"/>
          </w:tcPr>
          <w:p w14:paraId="04007A4C" w14:textId="77777777" w:rsidR="00A94A64" w:rsidRPr="008915A0" w:rsidRDefault="00A94A64">
            <w:pPr>
              <w:jc w:val="center"/>
              <w:rPr>
                <w:noProof/>
                <w:sz w:val="22"/>
                <w:szCs w:val="22"/>
              </w:rPr>
            </w:pPr>
            <w:r w:rsidRPr="008915A0">
              <w:rPr>
                <w:i/>
                <w:iCs/>
                <w:noProof/>
                <w:sz w:val="22"/>
                <w:szCs w:val="22"/>
              </w:rPr>
              <w:t>Increased likelihood of uptake of services provided by smaller CSPs</w:t>
            </w:r>
          </w:p>
        </w:tc>
        <w:tc>
          <w:tcPr>
            <w:tcW w:w="2977" w:type="dxa"/>
          </w:tcPr>
          <w:p w14:paraId="21606C02" w14:textId="77777777" w:rsidR="00A94A64" w:rsidRPr="008915A0" w:rsidRDefault="00A94A64">
            <w:pPr>
              <w:jc w:val="center"/>
              <w:rPr>
                <w:noProof/>
                <w:sz w:val="22"/>
                <w:szCs w:val="22"/>
              </w:rPr>
            </w:pPr>
          </w:p>
        </w:tc>
        <w:tc>
          <w:tcPr>
            <w:tcW w:w="2977" w:type="dxa"/>
          </w:tcPr>
          <w:p w14:paraId="0B1C5DA0" w14:textId="37F111CE" w:rsidR="00A94A64" w:rsidRPr="008915A0" w:rsidRDefault="00B641EE">
            <w:pPr>
              <w:jc w:val="center"/>
              <w:rPr>
                <w:noProof/>
                <w:sz w:val="22"/>
                <w:szCs w:val="22"/>
              </w:rPr>
            </w:pPr>
            <w:r>
              <w:rPr>
                <w:noProof/>
                <w:sz w:val="22"/>
                <w:szCs w:val="22"/>
              </w:rPr>
              <w:t>Upskilled workforce</w:t>
            </w:r>
            <w:r w:rsidR="002E4822">
              <w:rPr>
                <w:noProof/>
                <w:sz w:val="22"/>
                <w:szCs w:val="22"/>
              </w:rPr>
              <w:t xml:space="preserve"> </w:t>
            </w:r>
            <w:r w:rsidR="00554959">
              <w:rPr>
                <w:noProof/>
                <w:sz w:val="22"/>
                <w:szCs w:val="22"/>
              </w:rPr>
              <w:t>increases likelihood of switching</w:t>
            </w:r>
            <w:r w:rsidR="002E4822">
              <w:rPr>
                <w:noProof/>
                <w:sz w:val="22"/>
                <w:szCs w:val="22"/>
              </w:rPr>
              <w:t xml:space="preserve"> </w:t>
            </w:r>
          </w:p>
        </w:tc>
        <w:tc>
          <w:tcPr>
            <w:tcW w:w="2977" w:type="dxa"/>
          </w:tcPr>
          <w:p w14:paraId="5A406EE2" w14:textId="77777777" w:rsidR="00A94A64" w:rsidRPr="008915A0" w:rsidRDefault="00A94A64">
            <w:pPr>
              <w:jc w:val="center"/>
              <w:rPr>
                <w:noProof/>
                <w:sz w:val="22"/>
                <w:szCs w:val="22"/>
              </w:rPr>
            </w:pPr>
          </w:p>
        </w:tc>
      </w:tr>
      <w:tr w:rsidR="00A94A64" w:rsidRPr="008915A0" w14:paraId="64DBE95C" w14:textId="77777777" w:rsidTr="4058FE4E">
        <w:tc>
          <w:tcPr>
            <w:tcW w:w="2836" w:type="dxa"/>
            <w:shd w:val="clear" w:color="auto" w:fill="DBE5F1" w:themeFill="accent1" w:themeFillTint="33"/>
          </w:tcPr>
          <w:p w14:paraId="6A92C30C" w14:textId="5DA70122" w:rsidR="00A94A64" w:rsidRPr="008915A0" w:rsidRDefault="00A94A64">
            <w:pPr>
              <w:rPr>
                <w:noProof/>
                <w:sz w:val="22"/>
                <w:szCs w:val="22"/>
              </w:rPr>
            </w:pPr>
            <w:r w:rsidRPr="008915A0">
              <w:rPr>
                <w:noProof/>
                <w:sz w:val="22"/>
                <w:szCs w:val="22"/>
              </w:rPr>
              <w:t xml:space="preserve">PM19 – </w:t>
            </w:r>
            <w:r w:rsidR="006872D2">
              <w:rPr>
                <w:noProof/>
                <w:sz w:val="22"/>
                <w:szCs w:val="22"/>
              </w:rPr>
              <w:t xml:space="preserve">Mandatory </w:t>
            </w:r>
            <w:r w:rsidR="006872D2" w:rsidRPr="008915A0">
              <w:rPr>
                <w:noProof/>
                <w:sz w:val="22"/>
                <w:szCs w:val="22"/>
              </w:rPr>
              <w:t>award criteria</w:t>
            </w:r>
          </w:p>
        </w:tc>
        <w:tc>
          <w:tcPr>
            <w:tcW w:w="2976" w:type="dxa"/>
          </w:tcPr>
          <w:p w14:paraId="1B5197E0" w14:textId="1A1F5DAB" w:rsidR="00A94A64" w:rsidRPr="008915A0" w:rsidRDefault="006872D2">
            <w:pPr>
              <w:rPr>
                <w:noProof/>
                <w:sz w:val="22"/>
                <w:szCs w:val="22"/>
              </w:rPr>
            </w:pPr>
            <w:r w:rsidRPr="008915A0">
              <w:rPr>
                <w:i/>
                <w:iCs/>
                <w:noProof/>
                <w:sz w:val="22"/>
                <w:szCs w:val="22"/>
              </w:rPr>
              <w:t xml:space="preserve">Improved commercial opportunities for providers </w:t>
            </w:r>
            <w:r>
              <w:rPr>
                <w:i/>
                <w:iCs/>
                <w:noProof/>
                <w:sz w:val="22"/>
                <w:szCs w:val="22"/>
              </w:rPr>
              <w:t>from the EU and countries with which the EU has no dependency</w:t>
            </w:r>
          </w:p>
        </w:tc>
        <w:tc>
          <w:tcPr>
            <w:tcW w:w="2977" w:type="dxa"/>
          </w:tcPr>
          <w:p w14:paraId="243C3129" w14:textId="77777777" w:rsidR="00A94A64" w:rsidRPr="008915A0" w:rsidRDefault="00A94A64">
            <w:pPr>
              <w:jc w:val="center"/>
              <w:rPr>
                <w:noProof/>
                <w:sz w:val="22"/>
                <w:szCs w:val="22"/>
              </w:rPr>
            </w:pPr>
          </w:p>
        </w:tc>
        <w:tc>
          <w:tcPr>
            <w:tcW w:w="2977" w:type="dxa"/>
          </w:tcPr>
          <w:p w14:paraId="33BD0DC8" w14:textId="1BB13A5A" w:rsidR="00A94A64" w:rsidRPr="008915A0" w:rsidRDefault="006872D2">
            <w:pPr>
              <w:jc w:val="center"/>
              <w:rPr>
                <w:i/>
                <w:iCs/>
                <w:noProof/>
                <w:sz w:val="22"/>
                <w:szCs w:val="22"/>
              </w:rPr>
            </w:pPr>
            <w:r>
              <w:rPr>
                <w:i/>
                <w:iCs/>
                <w:noProof/>
                <w:sz w:val="22"/>
                <w:szCs w:val="22"/>
              </w:rPr>
              <w:t>Facilitated access to EU providers (and from countries with which the EU has no dependency)</w:t>
            </w:r>
          </w:p>
        </w:tc>
        <w:tc>
          <w:tcPr>
            <w:tcW w:w="2977" w:type="dxa"/>
          </w:tcPr>
          <w:p w14:paraId="399D5BEA" w14:textId="06312475" w:rsidR="00A94A64" w:rsidRPr="008915A0" w:rsidRDefault="00A94A64">
            <w:pPr>
              <w:jc w:val="center"/>
              <w:rPr>
                <w:i/>
                <w:iCs/>
                <w:noProof/>
                <w:sz w:val="22"/>
                <w:szCs w:val="22"/>
              </w:rPr>
            </w:pPr>
          </w:p>
        </w:tc>
      </w:tr>
      <w:tr w:rsidR="00A94A64" w:rsidRPr="008915A0" w14:paraId="2E1F9252" w14:textId="77777777" w:rsidTr="4058FE4E">
        <w:tc>
          <w:tcPr>
            <w:tcW w:w="2836" w:type="dxa"/>
            <w:shd w:val="clear" w:color="auto" w:fill="DBE5F1" w:themeFill="accent1" w:themeFillTint="33"/>
          </w:tcPr>
          <w:p w14:paraId="639467F4" w14:textId="77777777" w:rsidR="00A94A64" w:rsidRPr="008915A0" w:rsidRDefault="00A94A64">
            <w:pPr>
              <w:rPr>
                <w:noProof/>
                <w:sz w:val="22"/>
                <w:szCs w:val="22"/>
              </w:rPr>
            </w:pPr>
            <w:r w:rsidRPr="008915A0">
              <w:rPr>
                <w:noProof/>
                <w:sz w:val="22"/>
                <w:szCs w:val="22"/>
              </w:rPr>
              <w:t>PM20 – Open Source use in the public sector</w:t>
            </w:r>
          </w:p>
        </w:tc>
        <w:tc>
          <w:tcPr>
            <w:tcW w:w="2976" w:type="dxa"/>
          </w:tcPr>
          <w:p w14:paraId="6DF0B83A" w14:textId="77777777" w:rsidR="00A94A64" w:rsidRPr="008915A0" w:rsidRDefault="00A94A64">
            <w:pPr>
              <w:jc w:val="center"/>
              <w:rPr>
                <w:i/>
                <w:iCs/>
                <w:noProof/>
                <w:sz w:val="22"/>
                <w:szCs w:val="22"/>
              </w:rPr>
            </w:pPr>
            <w:r w:rsidRPr="008915A0">
              <w:rPr>
                <w:i/>
                <w:iCs/>
                <w:noProof/>
                <w:sz w:val="22"/>
                <w:szCs w:val="22"/>
              </w:rPr>
              <w:t xml:space="preserve">Creates opportunities for smaller providers </w:t>
            </w:r>
          </w:p>
        </w:tc>
        <w:tc>
          <w:tcPr>
            <w:tcW w:w="2977" w:type="dxa"/>
          </w:tcPr>
          <w:p w14:paraId="46D882AE" w14:textId="77777777" w:rsidR="00A94A64" w:rsidRPr="008915A0" w:rsidRDefault="00A94A64">
            <w:pPr>
              <w:jc w:val="center"/>
              <w:rPr>
                <w:noProof/>
                <w:sz w:val="22"/>
                <w:szCs w:val="22"/>
              </w:rPr>
            </w:pPr>
          </w:p>
        </w:tc>
        <w:tc>
          <w:tcPr>
            <w:tcW w:w="2977" w:type="dxa"/>
          </w:tcPr>
          <w:p w14:paraId="34397C54" w14:textId="21C133E8" w:rsidR="00A94A64" w:rsidRPr="008915A0" w:rsidRDefault="00A94A64">
            <w:pPr>
              <w:jc w:val="center"/>
              <w:rPr>
                <w:i/>
                <w:iCs/>
                <w:noProof/>
                <w:sz w:val="22"/>
                <w:szCs w:val="22"/>
              </w:rPr>
            </w:pPr>
            <w:r w:rsidRPr="008915A0">
              <w:rPr>
                <w:i/>
                <w:iCs/>
                <w:noProof/>
                <w:sz w:val="22"/>
                <w:szCs w:val="22"/>
              </w:rPr>
              <w:t>Boosts uptake</w:t>
            </w:r>
          </w:p>
        </w:tc>
        <w:tc>
          <w:tcPr>
            <w:tcW w:w="2977" w:type="dxa"/>
          </w:tcPr>
          <w:p w14:paraId="1C63722B" w14:textId="77777777" w:rsidR="00A94A64" w:rsidRPr="008915A0" w:rsidRDefault="00A94A64">
            <w:pPr>
              <w:jc w:val="center"/>
              <w:rPr>
                <w:noProof/>
                <w:sz w:val="22"/>
                <w:szCs w:val="22"/>
              </w:rPr>
            </w:pPr>
          </w:p>
        </w:tc>
      </w:tr>
      <w:tr w:rsidR="00A94A64" w:rsidRPr="008915A0" w14:paraId="03AEDCA0" w14:textId="77777777" w:rsidTr="4058FE4E">
        <w:tc>
          <w:tcPr>
            <w:tcW w:w="2836" w:type="dxa"/>
            <w:shd w:val="clear" w:color="auto" w:fill="DBE5F1" w:themeFill="accent1" w:themeFillTint="33"/>
          </w:tcPr>
          <w:p w14:paraId="0C3D1E32" w14:textId="01958EFA" w:rsidR="00A94A64" w:rsidRPr="008915A0" w:rsidRDefault="00A94A64">
            <w:pPr>
              <w:rPr>
                <w:noProof/>
                <w:sz w:val="22"/>
                <w:szCs w:val="22"/>
              </w:rPr>
            </w:pPr>
            <w:r w:rsidRPr="00810112">
              <w:rPr>
                <w:noProof/>
                <w:sz w:val="22"/>
                <w:szCs w:val="22"/>
              </w:rPr>
              <w:t xml:space="preserve">PM21 – Mandatory </w:t>
            </w:r>
            <w:r w:rsidR="00A56199" w:rsidRPr="00A56199">
              <w:rPr>
                <w:noProof/>
                <w:sz w:val="22"/>
                <w:szCs w:val="22"/>
              </w:rPr>
              <w:t xml:space="preserve">sovereign risk assessments for the </w:t>
            </w:r>
            <w:r w:rsidRPr="00810112">
              <w:rPr>
                <w:noProof/>
                <w:sz w:val="22"/>
                <w:szCs w:val="22"/>
              </w:rPr>
              <w:t>use of cloud and AI computing services</w:t>
            </w:r>
          </w:p>
        </w:tc>
        <w:tc>
          <w:tcPr>
            <w:tcW w:w="2976" w:type="dxa"/>
          </w:tcPr>
          <w:p w14:paraId="100307D0" w14:textId="77777777" w:rsidR="00A94A64" w:rsidRPr="008915A0" w:rsidRDefault="00A94A64">
            <w:pPr>
              <w:jc w:val="center"/>
              <w:rPr>
                <w:noProof/>
                <w:sz w:val="22"/>
                <w:szCs w:val="22"/>
              </w:rPr>
            </w:pPr>
            <w:r w:rsidRPr="008915A0">
              <w:rPr>
                <w:i/>
                <w:iCs/>
                <w:noProof/>
                <w:sz w:val="22"/>
                <w:szCs w:val="22"/>
              </w:rPr>
              <w:t>Improved commercial opportunities for providers of sovereign services, including Europeans</w:t>
            </w:r>
          </w:p>
        </w:tc>
        <w:tc>
          <w:tcPr>
            <w:tcW w:w="2977" w:type="dxa"/>
          </w:tcPr>
          <w:p w14:paraId="5F4F5DF9" w14:textId="77777777" w:rsidR="00A94A64" w:rsidRPr="008915A0" w:rsidRDefault="00A94A64">
            <w:pPr>
              <w:jc w:val="center"/>
              <w:rPr>
                <w:noProof/>
                <w:sz w:val="22"/>
                <w:szCs w:val="22"/>
              </w:rPr>
            </w:pPr>
          </w:p>
        </w:tc>
        <w:tc>
          <w:tcPr>
            <w:tcW w:w="2977" w:type="dxa"/>
          </w:tcPr>
          <w:p w14:paraId="41A59854" w14:textId="3CBFA444" w:rsidR="00A94A64" w:rsidRPr="008915A0" w:rsidRDefault="00A94A64">
            <w:pPr>
              <w:jc w:val="center"/>
              <w:rPr>
                <w:noProof/>
                <w:sz w:val="22"/>
                <w:szCs w:val="22"/>
              </w:rPr>
            </w:pPr>
            <w:r w:rsidRPr="008915A0">
              <w:rPr>
                <w:i/>
                <w:iCs/>
                <w:noProof/>
                <w:sz w:val="22"/>
                <w:szCs w:val="22"/>
              </w:rPr>
              <w:t>Mandatory uptake of sovereign services, including those provided by European CSPs</w:t>
            </w:r>
          </w:p>
        </w:tc>
        <w:tc>
          <w:tcPr>
            <w:tcW w:w="2977" w:type="dxa"/>
          </w:tcPr>
          <w:p w14:paraId="6EEC8B74" w14:textId="77777777" w:rsidR="00A94A64" w:rsidRPr="008915A0" w:rsidRDefault="00A94A64">
            <w:pPr>
              <w:jc w:val="center"/>
              <w:rPr>
                <w:noProof/>
                <w:sz w:val="22"/>
                <w:szCs w:val="22"/>
              </w:rPr>
            </w:pPr>
            <w:r w:rsidRPr="008915A0">
              <w:rPr>
                <w:i/>
                <w:iCs/>
                <w:noProof/>
                <w:sz w:val="22"/>
                <w:szCs w:val="22"/>
              </w:rPr>
              <w:t>Improved identification and visibility of sovereign services</w:t>
            </w:r>
          </w:p>
        </w:tc>
      </w:tr>
      <w:tr w:rsidR="00A94A64" w:rsidRPr="008915A0" w14:paraId="3C2A9965" w14:textId="77777777" w:rsidTr="4058FE4E">
        <w:tc>
          <w:tcPr>
            <w:tcW w:w="2836" w:type="dxa"/>
            <w:shd w:val="clear" w:color="auto" w:fill="DBE5F1" w:themeFill="accent1" w:themeFillTint="33"/>
          </w:tcPr>
          <w:p w14:paraId="6652A6C9" w14:textId="77777777" w:rsidR="00A94A64" w:rsidRPr="008915A0" w:rsidRDefault="00A94A64">
            <w:pPr>
              <w:rPr>
                <w:noProof/>
                <w:sz w:val="22"/>
                <w:szCs w:val="22"/>
              </w:rPr>
            </w:pPr>
            <w:r w:rsidRPr="008915A0">
              <w:rPr>
                <w:noProof/>
                <w:sz w:val="22"/>
                <w:szCs w:val="22"/>
              </w:rPr>
              <w:t xml:space="preserve">PM22 – Joint EU-level procurement of cloud and AI </w:t>
            </w:r>
          </w:p>
        </w:tc>
        <w:tc>
          <w:tcPr>
            <w:tcW w:w="2976" w:type="dxa"/>
          </w:tcPr>
          <w:p w14:paraId="1464A58C" w14:textId="77777777" w:rsidR="00A94A64" w:rsidRPr="008915A0" w:rsidRDefault="00A94A64">
            <w:pPr>
              <w:jc w:val="center"/>
              <w:rPr>
                <w:i/>
                <w:iCs/>
                <w:noProof/>
                <w:sz w:val="22"/>
                <w:szCs w:val="22"/>
              </w:rPr>
            </w:pPr>
            <w:r w:rsidRPr="008915A0">
              <w:rPr>
                <w:i/>
                <w:iCs/>
                <w:noProof/>
                <w:sz w:val="22"/>
                <w:szCs w:val="22"/>
              </w:rPr>
              <w:t>Enhanced possibilities for large contracts supporting early innovation and uptake</w:t>
            </w:r>
          </w:p>
        </w:tc>
        <w:tc>
          <w:tcPr>
            <w:tcW w:w="2977" w:type="dxa"/>
          </w:tcPr>
          <w:p w14:paraId="742FAF4B" w14:textId="77777777" w:rsidR="00A94A64" w:rsidRPr="008915A0" w:rsidRDefault="00A94A64">
            <w:pPr>
              <w:jc w:val="center"/>
              <w:rPr>
                <w:noProof/>
                <w:sz w:val="22"/>
                <w:szCs w:val="22"/>
              </w:rPr>
            </w:pPr>
          </w:p>
        </w:tc>
        <w:tc>
          <w:tcPr>
            <w:tcW w:w="2977" w:type="dxa"/>
          </w:tcPr>
          <w:p w14:paraId="079B4030" w14:textId="77777777" w:rsidR="00A94A64" w:rsidRPr="008915A0" w:rsidRDefault="00A94A64">
            <w:pPr>
              <w:jc w:val="center"/>
              <w:rPr>
                <w:noProof/>
                <w:sz w:val="22"/>
                <w:szCs w:val="22"/>
              </w:rPr>
            </w:pPr>
            <w:r w:rsidRPr="008915A0">
              <w:rPr>
                <w:i/>
                <w:iCs/>
                <w:noProof/>
                <w:sz w:val="22"/>
                <w:szCs w:val="22"/>
              </w:rPr>
              <w:t>Boosts uptake</w:t>
            </w:r>
          </w:p>
        </w:tc>
        <w:tc>
          <w:tcPr>
            <w:tcW w:w="2977" w:type="dxa"/>
          </w:tcPr>
          <w:p w14:paraId="69FA2356" w14:textId="77777777" w:rsidR="00A94A64" w:rsidRPr="008915A0" w:rsidRDefault="00A94A64">
            <w:pPr>
              <w:jc w:val="center"/>
              <w:rPr>
                <w:noProof/>
                <w:sz w:val="22"/>
                <w:szCs w:val="22"/>
              </w:rPr>
            </w:pPr>
          </w:p>
        </w:tc>
      </w:tr>
      <w:tr w:rsidR="00A94A64" w:rsidRPr="008915A0" w14:paraId="55D5323D" w14:textId="77777777" w:rsidTr="4058FE4E">
        <w:tc>
          <w:tcPr>
            <w:tcW w:w="2836" w:type="dxa"/>
            <w:shd w:val="clear" w:color="auto" w:fill="DBE5F1" w:themeFill="accent1" w:themeFillTint="33"/>
          </w:tcPr>
          <w:p w14:paraId="494B9AE5" w14:textId="77777777" w:rsidR="00A94A64" w:rsidRPr="008915A0" w:rsidRDefault="00A94A64">
            <w:pPr>
              <w:rPr>
                <w:noProof/>
                <w:sz w:val="22"/>
                <w:szCs w:val="22"/>
              </w:rPr>
            </w:pPr>
            <w:r w:rsidRPr="008915A0">
              <w:rPr>
                <w:noProof/>
                <w:sz w:val="22"/>
                <w:szCs w:val="22"/>
              </w:rPr>
              <w:t>PM23 – SME cloud and AI support scheme</w:t>
            </w:r>
          </w:p>
        </w:tc>
        <w:tc>
          <w:tcPr>
            <w:tcW w:w="2976" w:type="dxa"/>
          </w:tcPr>
          <w:p w14:paraId="4174ECFD" w14:textId="77777777" w:rsidR="00A94A64" w:rsidRPr="008915A0" w:rsidRDefault="00A94A64">
            <w:pPr>
              <w:jc w:val="center"/>
              <w:rPr>
                <w:i/>
                <w:iCs/>
                <w:noProof/>
                <w:sz w:val="22"/>
                <w:szCs w:val="22"/>
              </w:rPr>
            </w:pPr>
            <w:r w:rsidRPr="008915A0">
              <w:rPr>
                <w:i/>
                <w:iCs/>
                <w:noProof/>
                <w:sz w:val="22"/>
                <w:szCs w:val="22"/>
              </w:rPr>
              <w:t>Enhanced commercial opportunities for SME providers, including Europeans</w:t>
            </w:r>
          </w:p>
        </w:tc>
        <w:tc>
          <w:tcPr>
            <w:tcW w:w="2977" w:type="dxa"/>
          </w:tcPr>
          <w:p w14:paraId="3DB47CC1" w14:textId="77777777" w:rsidR="00A94A64" w:rsidRPr="008915A0" w:rsidRDefault="00A94A64">
            <w:pPr>
              <w:jc w:val="center"/>
              <w:rPr>
                <w:noProof/>
                <w:sz w:val="22"/>
                <w:szCs w:val="22"/>
              </w:rPr>
            </w:pPr>
          </w:p>
        </w:tc>
        <w:tc>
          <w:tcPr>
            <w:tcW w:w="2977" w:type="dxa"/>
          </w:tcPr>
          <w:p w14:paraId="5022BF98" w14:textId="77777777" w:rsidR="00A94A64" w:rsidRPr="008915A0" w:rsidRDefault="00A94A64">
            <w:pPr>
              <w:jc w:val="center"/>
              <w:rPr>
                <w:noProof/>
                <w:sz w:val="22"/>
                <w:szCs w:val="22"/>
              </w:rPr>
            </w:pPr>
          </w:p>
        </w:tc>
        <w:tc>
          <w:tcPr>
            <w:tcW w:w="2977" w:type="dxa"/>
          </w:tcPr>
          <w:p w14:paraId="601D0EFF" w14:textId="77777777" w:rsidR="00A94A64" w:rsidRPr="008915A0" w:rsidRDefault="00A94A64">
            <w:pPr>
              <w:jc w:val="center"/>
              <w:rPr>
                <w:noProof/>
                <w:sz w:val="22"/>
                <w:szCs w:val="22"/>
              </w:rPr>
            </w:pPr>
          </w:p>
        </w:tc>
      </w:tr>
      <w:tr w:rsidR="00A94A64" w:rsidRPr="008915A0" w14:paraId="64B7A1DC" w14:textId="77777777" w:rsidTr="4058FE4E">
        <w:tc>
          <w:tcPr>
            <w:tcW w:w="2836" w:type="dxa"/>
            <w:shd w:val="clear" w:color="auto" w:fill="DBE5F1" w:themeFill="accent1" w:themeFillTint="33"/>
          </w:tcPr>
          <w:p w14:paraId="6EF533AF" w14:textId="71EEAE14" w:rsidR="00A94A64" w:rsidRPr="008915A0" w:rsidRDefault="00A94A64">
            <w:pPr>
              <w:rPr>
                <w:noProof/>
                <w:sz w:val="22"/>
                <w:szCs w:val="22"/>
              </w:rPr>
            </w:pPr>
            <w:r w:rsidRPr="00810112">
              <w:rPr>
                <w:noProof/>
                <w:sz w:val="22"/>
                <w:szCs w:val="22"/>
              </w:rPr>
              <w:t xml:space="preserve">PM24 – Cloud and AI </w:t>
            </w:r>
            <w:r w:rsidR="00A50739">
              <w:rPr>
                <w:noProof/>
                <w:sz w:val="22"/>
                <w:szCs w:val="22"/>
              </w:rPr>
              <w:t>toolbox</w:t>
            </w:r>
            <w:r w:rsidRPr="008915A0">
              <w:rPr>
                <w:noProof/>
                <w:sz w:val="22"/>
                <w:szCs w:val="22"/>
              </w:rPr>
              <w:t xml:space="preserve"> </w:t>
            </w:r>
          </w:p>
        </w:tc>
        <w:tc>
          <w:tcPr>
            <w:tcW w:w="2976" w:type="dxa"/>
          </w:tcPr>
          <w:p w14:paraId="7DC17BF7" w14:textId="77777777" w:rsidR="00A94A64" w:rsidRPr="008915A0" w:rsidRDefault="00A94A64">
            <w:pPr>
              <w:jc w:val="center"/>
              <w:rPr>
                <w:noProof/>
                <w:sz w:val="22"/>
                <w:szCs w:val="22"/>
              </w:rPr>
            </w:pPr>
            <w:r w:rsidRPr="008915A0">
              <w:rPr>
                <w:i/>
                <w:iCs/>
                <w:noProof/>
                <w:sz w:val="22"/>
                <w:szCs w:val="22"/>
              </w:rPr>
              <w:t>Enhanced visibility and comparability, including for European providers</w:t>
            </w:r>
          </w:p>
        </w:tc>
        <w:tc>
          <w:tcPr>
            <w:tcW w:w="2977" w:type="dxa"/>
          </w:tcPr>
          <w:p w14:paraId="02BDA2FA" w14:textId="77777777" w:rsidR="00A94A64" w:rsidRPr="008915A0" w:rsidRDefault="00A94A64">
            <w:pPr>
              <w:jc w:val="center"/>
              <w:rPr>
                <w:noProof/>
                <w:sz w:val="22"/>
                <w:szCs w:val="22"/>
              </w:rPr>
            </w:pPr>
          </w:p>
        </w:tc>
        <w:tc>
          <w:tcPr>
            <w:tcW w:w="2977" w:type="dxa"/>
          </w:tcPr>
          <w:p w14:paraId="40220831" w14:textId="77777777" w:rsidR="00A94A64" w:rsidRPr="008915A0" w:rsidRDefault="00A94A64">
            <w:pPr>
              <w:jc w:val="center"/>
              <w:rPr>
                <w:noProof/>
                <w:sz w:val="22"/>
                <w:szCs w:val="22"/>
              </w:rPr>
            </w:pPr>
          </w:p>
        </w:tc>
        <w:tc>
          <w:tcPr>
            <w:tcW w:w="2977" w:type="dxa"/>
          </w:tcPr>
          <w:p w14:paraId="74A1228E" w14:textId="77777777" w:rsidR="00A94A64" w:rsidRPr="008915A0" w:rsidRDefault="00A94A64">
            <w:pPr>
              <w:jc w:val="center"/>
              <w:rPr>
                <w:noProof/>
                <w:sz w:val="22"/>
                <w:szCs w:val="22"/>
              </w:rPr>
            </w:pPr>
          </w:p>
        </w:tc>
      </w:tr>
    </w:tbl>
    <w:p w14:paraId="6BF24117" w14:textId="7F92D591" w:rsidR="00A87392" w:rsidRDefault="00A87392" w:rsidP="00E61374">
      <w:pPr>
        <w:rPr>
          <w:noProof/>
        </w:rPr>
        <w:sectPr w:rsidR="00A87392" w:rsidSect="0068335B">
          <w:headerReference w:type="even" r:id="rId37"/>
          <w:headerReference w:type="default" r:id="rId38"/>
          <w:footerReference w:type="even" r:id="rId39"/>
          <w:footerReference w:type="default" r:id="rId40"/>
          <w:headerReference w:type="first" r:id="rId41"/>
          <w:footerReference w:type="first" r:id="rId42"/>
          <w:pgSz w:w="16838" w:h="11906" w:orient="landscape"/>
          <w:pgMar w:top="725" w:right="1529" w:bottom="707" w:left="1560" w:header="601" w:footer="78" w:gutter="0"/>
          <w:cols w:space="720"/>
          <w:docGrid w:linePitch="326"/>
        </w:sectPr>
      </w:pPr>
    </w:p>
    <w:p w14:paraId="7225544D" w14:textId="77777777" w:rsidR="006B087E" w:rsidRPr="00F92EAE" w:rsidRDefault="006B087E" w:rsidP="000E3086">
      <w:pPr>
        <w:pStyle w:val="Heading2"/>
        <w:rPr>
          <w:noProof/>
        </w:rPr>
      </w:pPr>
      <w:bookmarkStart w:id="50" w:name="_Toc230792737"/>
      <w:r w:rsidRPr="00F92EAE">
        <w:rPr>
          <w:noProof/>
        </w:rPr>
        <w:t>Options discarded at an early stage</w:t>
      </w:r>
      <w:bookmarkEnd w:id="50"/>
    </w:p>
    <w:p w14:paraId="57C98597" w14:textId="0CE7B5DB" w:rsidR="00E61374" w:rsidRPr="00D37004" w:rsidRDefault="00E61374" w:rsidP="00106DBB">
      <w:pPr>
        <w:pStyle w:val="ListParagraph"/>
        <w:numPr>
          <w:ilvl w:val="0"/>
          <w:numId w:val="25"/>
        </w:numPr>
        <w:spacing w:after="0"/>
        <w:rPr>
          <w:noProof/>
        </w:rPr>
      </w:pPr>
      <w:r w:rsidRPr="00D37004">
        <w:rPr>
          <w:noProof/>
        </w:rPr>
        <w:t xml:space="preserve">Mandating the digitalisation of permitting processes for </w:t>
      </w:r>
      <w:r w:rsidR="00217F2B">
        <w:rPr>
          <w:noProof/>
        </w:rPr>
        <w:t>DCs</w:t>
      </w:r>
      <w:r w:rsidRPr="00D37004">
        <w:rPr>
          <w:noProof/>
        </w:rPr>
        <w:t xml:space="preserve"> throughout the EU. While the Inter-institutional Better Regulation encourages to consider the digitalisation of processes when defining policies, digitalising the permitting process is intuitively perceived as something better tackled in a horizontal measure covering the whole spectrum of industrial installations rather than through a sectoral basis.</w:t>
      </w:r>
    </w:p>
    <w:p w14:paraId="6916DA01" w14:textId="7345FAF4" w:rsidR="00E61374" w:rsidRPr="0032492E" w:rsidRDefault="00E61374" w:rsidP="00106DBB">
      <w:pPr>
        <w:pStyle w:val="ListParagraph"/>
        <w:numPr>
          <w:ilvl w:val="0"/>
          <w:numId w:val="25"/>
        </w:numPr>
        <w:spacing w:after="0"/>
        <w:rPr>
          <w:noProof/>
        </w:rPr>
      </w:pPr>
      <w:r w:rsidRPr="007A354A">
        <w:rPr>
          <w:noProof/>
        </w:rPr>
        <w:t xml:space="preserve">Introducing measures on tackling the lack of grid capacity: As the issue with the lack of available grids capacity in certain locations is not unique to </w:t>
      </w:r>
      <w:r w:rsidR="00217F2B">
        <w:rPr>
          <w:noProof/>
        </w:rPr>
        <w:t>DCs</w:t>
      </w:r>
      <w:r w:rsidRPr="007A354A">
        <w:rPr>
          <w:noProof/>
        </w:rPr>
        <w:t>, and grid access is regulated by energy legislation, option introducing sector specific measures to tackle lack of grid capacity was discarded. Ensuring grids will be in place and ready to uptake future loads is dealt by</w:t>
      </w:r>
      <w:r>
        <w:rPr>
          <w:noProof/>
        </w:rPr>
        <w:t xml:space="preserve"> on a horizontal level </w:t>
      </w:r>
      <w:r w:rsidRPr="007A354A">
        <w:rPr>
          <w:noProof/>
        </w:rPr>
        <w:t>under the European Grids package</w:t>
      </w:r>
      <w:r>
        <w:rPr>
          <w:noProof/>
        </w:rPr>
        <w:t>.</w:t>
      </w:r>
    </w:p>
    <w:p w14:paraId="2CB644A3" w14:textId="0CC366EA" w:rsidR="00E61374" w:rsidRPr="00D37004" w:rsidRDefault="00E61374" w:rsidP="00106DBB">
      <w:pPr>
        <w:pStyle w:val="ListParagraph"/>
        <w:numPr>
          <w:ilvl w:val="0"/>
          <w:numId w:val="25"/>
        </w:numPr>
        <w:spacing w:after="0"/>
        <w:rPr>
          <w:noProof/>
        </w:rPr>
      </w:pPr>
      <w:r w:rsidRPr="00D37004">
        <w:rPr>
          <w:noProof/>
        </w:rPr>
        <w:t xml:space="preserve">Options to directly improve the availability of private capital have been discarded. First, because the policy measures under PO1-A/B/C, by simplifying and accelerating the deployment of </w:t>
      </w:r>
      <w:r w:rsidR="00217F2B">
        <w:rPr>
          <w:noProof/>
        </w:rPr>
        <w:t>DCs</w:t>
      </w:r>
      <w:r w:rsidRPr="00D37004">
        <w:rPr>
          <w:noProof/>
        </w:rPr>
        <w:t>, are already conducive to an improved investment landscape.</w:t>
      </w:r>
    </w:p>
    <w:p w14:paraId="6773E6BF" w14:textId="688D1BD5" w:rsidR="00E61374" w:rsidRPr="00D37004" w:rsidRDefault="00E61374" w:rsidP="00106DBB">
      <w:pPr>
        <w:pStyle w:val="ListParagraph"/>
        <w:numPr>
          <w:ilvl w:val="0"/>
          <w:numId w:val="25"/>
        </w:numPr>
        <w:spacing w:after="0"/>
        <w:rPr>
          <w:noProof/>
        </w:rPr>
      </w:pPr>
      <w:r w:rsidRPr="00D37004">
        <w:rPr>
          <w:noProof/>
        </w:rPr>
        <w:t xml:space="preserve">Creation of a national central and public repository where Member States can include all relevant information on areas designated for </w:t>
      </w:r>
      <w:r w:rsidR="00217F2B">
        <w:rPr>
          <w:noProof/>
        </w:rPr>
        <w:t>DC</w:t>
      </w:r>
      <w:r w:rsidRPr="00D37004">
        <w:rPr>
          <w:noProof/>
        </w:rPr>
        <w:t xml:space="preserve"> deployment. This option is discarded as it would favour real estate speculation and overall bring little benefit for </w:t>
      </w:r>
      <w:r w:rsidR="00217F2B">
        <w:rPr>
          <w:noProof/>
        </w:rPr>
        <w:t>DC</w:t>
      </w:r>
      <w:r w:rsidRPr="00D37004">
        <w:rPr>
          <w:noProof/>
        </w:rPr>
        <w:t xml:space="preserve"> investors.</w:t>
      </w:r>
    </w:p>
    <w:p w14:paraId="64681CCE" w14:textId="77777777" w:rsidR="00E61374" w:rsidRPr="00D37004" w:rsidRDefault="00E61374" w:rsidP="00106DBB">
      <w:pPr>
        <w:pStyle w:val="ListParagraph"/>
        <w:numPr>
          <w:ilvl w:val="0"/>
          <w:numId w:val="25"/>
        </w:numPr>
        <w:spacing w:after="0"/>
        <w:rPr>
          <w:noProof/>
        </w:rPr>
      </w:pPr>
      <w:r w:rsidRPr="00D37004">
        <w:rPr>
          <w:noProof/>
        </w:rPr>
        <w:t xml:space="preserve">Common Procurement Vocabulary (CPV) i.e. standardised tender vocabulary at EU-level for procuring cloud and AI </w:t>
      </w:r>
      <w:r>
        <w:rPr>
          <w:noProof/>
        </w:rPr>
        <w:t xml:space="preserve">computing </w:t>
      </w:r>
      <w:r w:rsidRPr="00D37004">
        <w:rPr>
          <w:noProof/>
        </w:rPr>
        <w:t xml:space="preserve">services for a more precise monitoring of public sector capacity and demand. The existing CPV codes do not include a specific entry for cloud </w:t>
      </w:r>
      <w:r>
        <w:rPr>
          <w:noProof/>
        </w:rPr>
        <w:t xml:space="preserve">and AI computing </w:t>
      </w:r>
      <w:r w:rsidRPr="00D37004">
        <w:rPr>
          <w:noProof/>
        </w:rPr>
        <w:t xml:space="preserve">services and are instead classified as ICT services or ICT infrastructure. </w:t>
      </w:r>
      <w:r>
        <w:rPr>
          <w:noProof/>
        </w:rPr>
        <w:t xml:space="preserve">This option is discarded as adding such a code would require a full re-think of the codes related to the procurement of ICT in general, something that is beyond the scope of this intervention. </w:t>
      </w:r>
    </w:p>
    <w:p w14:paraId="0925E880" w14:textId="77777777" w:rsidR="00E61374" w:rsidRPr="00D37004" w:rsidRDefault="00E61374" w:rsidP="00106DBB">
      <w:pPr>
        <w:pStyle w:val="ListParagraph"/>
        <w:numPr>
          <w:ilvl w:val="0"/>
          <w:numId w:val="25"/>
        </w:numPr>
        <w:spacing w:after="0"/>
        <w:rPr>
          <w:noProof/>
        </w:rPr>
      </w:pPr>
      <w:r w:rsidRPr="00D37004">
        <w:rPr>
          <w:noProof/>
        </w:rPr>
        <w:t>The set up of an agency to implement several of the PMs laid down in this assessment, such as the operating the coordination hub from PM5, operating the broker from PM17, conducting the procurements from PM22 or running the marketplace from PM24. This option was discarded at an early stage as perceived as institutionally difficult to deliver.</w:t>
      </w:r>
    </w:p>
    <w:p w14:paraId="0E552BED" w14:textId="693C3CCF" w:rsidR="00E61374" w:rsidRDefault="00E61374" w:rsidP="00106DBB">
      <w:pPr>
        <w:pStyle w:val="ListParagraph"/>
        <w:numPr>
          <w:ilvl w:val="0"/>
          <w:numId w:val="25"/>
        </w:numPr>
        <w:spacing w:after="0"/>
        <w:rPr>
          <w:noProof/>
        </w:rPr>
      </w:pPr>
      <w:r w:rsidRPr="00D37004">
        <w:rPr>
          <w:noProof/>
        </w:rPr>
        <w:t xml:space="preserve">In the context of PM15/21, </w:t>
      </w:r>
      <w:r>
        <w:rPr>
          <w:noProof/>
        </w:rPr>
        <w:t xml:space="preserve">reverse the logic of </w:t>
      </w:r>
      <w:r w:rsidRPr="00D37004">
        <w:rPr>
          <w:noProof/>
        </w:rPr>
        <w:t xml:space="preserve">the </w:t>
      </w:r>
      <w:r w:rsidR="00F92FF4">
        <w:rPr>
          <w:noProof/>
        </w:rPr>
        <w:t xml:space="preserve">sovereignty framework </w:t>
      </w:r>
      <w:r>
        <w:rPr>
          <w:noProof/>
        </w:rPr>
        <w:t>where it would fall on</w:t>
      </w:r>
      <w:r w:rsidRPr="00D37004">
        <w:rPr>
          <w:noProof/>
        </w:rPr>
        <w:t xml:space="preserve"> contracting authorities </w:t>
      </w:r>
      <w:r>
        <w:rPr>
          <w:noProof/>
        </w:rPr>
        <w:t xml:space="preserve">to trigger </w:t>
      </w:r>
      <w:r w:rsidR="00911722">
        <w:rPr>
          <w:noProof/>
        </w:rPr>
        <w:t xml:space="preserve">sovereignty audits </w:t>
      </w:r>
      <w:r w:rsidRPr="00D37004">
        <w:rPr>
          <w:noProof/>
        </w:rPr>
        <w:t xml:space="preserve">in </w:t>
      </w:r>
      <w:r>
        <w:rPr>
          <w:noProof/>
        </w:rPr>
        <w:t>the context of</w:t>
      </w:r>
      <w:r w:rsidRPr="00D37004">
        <w:rPr>
          <w:noProof/>
        </w:rPr>
        <w:t xml:space="preserve"> public tenders and only if a similar service is not already </w:t>
      </w:r>
      <w:r w:rsidR="00FE2562">
        <w:rPr>
          <w:noProof/>
        </w:rPr>
        <w:t>audited</w:t>
      </w:r>
      <w:r w:rsidRPr="00D37004">
        <w:rPr>
          <w:noProof/>
        </w:rPr>
        <w:t xml:space="preserve"> (as currently the case under FedRAMP). This option has been discarded as it would limit the number of services</w:t>
      </w:r>
      <w:r w:rsidR="00561173">
        <w:rPr>
          <w:noProof/>
        </w:rPr>
        <w:t xml:space="preserve"> under level</w:t>
      </w:r>
      <w:r w:rsidR="00415C18">
        <w:rPr>
          <w:noProof/>
        </w:rPr>
        <w:t>s 2, 3 or 4</w:t>
      </w:r>
      <w:r w:rsidRPr="00D37004">
        <w:rPr>
          <w:noProof/>
        </w:rPr>
        <w:t>, at least initially</w:t>
      </w:r>
      <w:r>
        <w:rPr>
          <w:noProof/>
        </w:rPr>
        <w:t>,</w:t>
      </w:r>
      <w:r w:rsidRPr="00D37004">
        <w:rPr>
          <w:noProof/>
        </w:rPr>
        <w:t xml:space="preserve"> and create an artificial barrier for providers to </w:t>
      </w:r>
      <w:r w:rsidR="00061F56">
        <w:rPr>
          <w:noProof/>
        </w:rPr>
        <w:t xml:space="preserve">have </w:t>
      </w:r>
      <w:r w:rsidRPr="00D37004">
        <w:rPr>
          <w:noProof/>
        </w:rPr>
        <w:t>their services</w:t>
      </w:r>
      <w:r w:rsidR="00061F56">
        <w:rPr>
          <w:noProof/>
        </w:rPr>
        <w:t xml:space="preserve"> assessed against the sovereignty framework</w:t>
      </w:r>
      <w:r w:rsidRPr="00D37004">
        <w:rPr>
          <w:noProof/>
        </w:rPr>
        <w:t xml:space="preserve">. It also delays procurement procedures where a new service needs to </w:t>
      </w:r>
      <w:r w:rsidR="00A15501">
        <w:rPr>
          <w:noProof/>
        </w:rPr>
        <w:t>go through the whole evaluation process</w:t>
      </w:r>
      <w:r w:rsidRPr="00D37004">
        <w:rPr>
          <w:noProof/>
        </w:rPr>
        <w:t xml:space="preserve">. </w:t>
      </w:r>
    </w:p>
    <w:p w14:paraId="24C93D60" w14:textId="77777777" w:rsidR="00F60F10" w:rsidRPr="00D37004" w:rsidRDefault="00F60F10" w:rsidP="00F60F10">
      <w:pPr>
        <w:pStyle w:val="Heading2"/>
        <w:rPr>
          <w:noProof/>
        </w:rPr>
      </w:pPr>
      <w:bookmarkStart w:id="51" w:name="_Toc230792738"/>
      <w:r w:rsidRPr="00D37004">
        <w:rPr>
          <w:noProof/>
        </w:rPr>
        <w:t>Possible combination of options</w:t>
      </w:r>
      <w:bookmarkEnd w:id="51"/>
    </w:p>
    <w:p w14:paraId="57444C3D" w14:textId="208DC1E2" w:rsidR="00F60F10" w:rsidRPr="00D37004" w:rsidRDefault="00F60F10" w:rsidP="00F60F10">
      <w:pPr>
        <w:rPr>
          <w:noProof/>
        </w:rPr>
      </w:pPr>
      <w:r w:rsidRPr="00D37004">
        <w:rPr>
          <w:noProof/>
        </w:rPr>
        <w:t xml:space="preserve">As discussed </w:t>
      </w:r>
      <w:r>
        <w:rPr>
          <w:noProof/>
        </w:rPr>
        <w:t>above</w:t>
      </w:r>
      <w:r w:rsidRPr="00D37004">
        <w:rPr>
          <w:noProof/>
        </w:rPr>
        <w:t>, the first set of PMs are grouped by their regulatory nature and governance level, i.e. non-regulatory vs regulatory</w:t>
      </w:r>
      <w:r w:rsidRPr="00D37004" w:rsidDel="005C0497">
        <w:rPr>
          <w:noProof/>
        </w:rPr>
        <w:t xml:space="preserve"> </w:t>
      </w:r>
      <w:r w:rsidRPr="00D37004">
        <w:rPr>
          <w:noProof/>
        </w:rPr>
        <w:t xml:space="preserve">and national vs EU action. </w:t>
      </w:r>
      <w:r w:rsidRPr="00D37004">
        <w:rPr>
          <w:b/>
          <w:noProof/>
        </w:rPr>
        <w:t>PO1-A</w:t>
      </w:r>
      <w:r w:rsidRPr="00D37004">
        <w:rPr>
          <w:noProof/>
        </w:rPr>
        <w:t xml:space="preserve"> focuses only on soft, non-regulatory instruments, whereas </w:t>
      </w:r>
      <w:r w:rsidRPr="00D37004">
        <w:rPr>
          <w:b/>
          <w:noProof/>
        </w:rPr>
        <w:t>PO1-B</w:t>
      </w:r>
      <w:r w:rsidRPr="00D37004">
        <w:rPr>
          <w:noProof/>
        </w:rPr>
        <w:t xml:space="preserve"> and </w:t>
      </w:r>
      <w:r w:rsidRPr="00D37004">
        <w:rPr>
          <w:b/>
          <w:noProof/>
        </w:rPr>
        <w:t>PO1-C</w:t>
      </w:r>
      <w:r w:rsidRPr="00D37004">
        <w:rPr>
          <w:noProof/>
        </w:rPr>
        <w:t xml:space="preserve"> are of a regulatory nature, enforced at national and EU level respectively. As such, some combinations of measures are mutually exclusive, e.g</w:t>
      </w:r>
      <w:r w:rsidRPr="003F73E0">
        <w:rPr>
          <w:noProof/>
        </w:rPr>
        <w:t xml:space="preserve">. PM4 and PM5 (national regulation under PO1-B) cannot coexist with PM10 (EU-level regulation under PO1-C) as they address at different levels the </w:t>
      </w:r>
      <w:r>
        <w:rPr>
          <w:noProof/>
        </w:rPr>
        <w:t>bottlenecks to</w:t>
      </w:r>
      <w:r w:rsidRPr="003F73E0">
        <w:rPr>
          <w:noProof/>
        </w:rPr>
        <w:t xml:space="preserve"> </w:t>
      </w:r>
      <w:r>
        <w:rPr>
          <w:noProof/>
        </w:rPr>
        <w:t>expand DC capacity in the EU</w:t>
      </w:r>
      <w:r w:rsidRPr="003F73E0">
        <w:rPr>
          <w:noProof/>
        </w:rPr>
        <w:t xml:space="preserve">. However, other measures under PO1-B and PO1-C can be complementary, for example </w:t>
      </w:r>
      <w:r>
        <w:rPr>
          <w:noProof/>
        </w:rPr>
        <w:t>potential public support</w:t>
      </w:r>
      <w:r w:rsidRPr="003F73E0">
        <w:rPr>
          <w:noProof/>
        </w:rPr>
        <w:t xml:space="preserve"> for </w:t>
      </w:r>
      <w:r>
        <w:rPr>
          <w:noProof/>
        </w:rPr>
        <w:t>DC</w:t>
      </w:r>
      <w:r w:rsidRPr="003F73E0">
        <w:rPr>
          <w:noProof/>
        </w:rPr>
        <w:t>s (PM6) could align with EU-level instruments, such as those under PM8 and PM9, creating a multi-level financing framework</w:t>
      </w:r>
      <w:r>
        <w:rPr>
          <w:noProof/>
        </w:rPr>
        <w:t xml:space="preserve"> to addresses a critical dependency from the EU</w:t>
      </w:r>
      <w:r w:rsidRPr="003F73E0">
        <w:rPr>
          <w:noProof/>
        </w:rPr>
        <w:t xml:space="preserve">. Similarly, all or selected elements of PO1-A </w:t>
      </w:r>
      <w:r>
        <w:rPr>
          <w:noProof/>
        </w:rPr>
        <w:t>(e.g. guidelines, forum)</w:t>
      </w:r>
      <w:r w:rsidRPr="003F73E0">
        <w:rPr>
          <w:noProof/>
        </w:rPr>
        <w:t xml:space="preserve"> could be combined with either PO1-B or PO1-C to enhance regulatory action</w:t>
      </w:r>
      <w:r>
        <w:rPr>
          <w:noProof/>
        </w:rPr>
        <w:t xml:space="preserve"> with </w:t>
      </w:r>
      <w:r w:rsidRPr="003F73E0">
        <w:rPr>
          <w:noProof/>
        </w:rPr>
        <w:t>soft support. The deployment targets</w:t>
      </w:r>
      <w:r>
        <w:rPr>
          <w:noProof/>
        </w:rPr>
        <w:t xml:space="preserve"> to monitor the expansion of capacity in the EU</w:t>
      </w:r>
      <w:r w:rsidRPr="003F73E0">
        <w:rPr>
          <w:noProof/>
        </w:rPr>
        <w:t xml:space="preserve"> under PM7</w:t>
      </w:r>
      <w:r w:rsidRPr="00D37004">
        <w:rPr>
          <w:noProof/>
        </w:rPr>
        <w:t xml:space="preserve"> could also be adopted independently of PO1-B, either in combination with PO1-A, PO1-C or in the context of the forthcoming review of the Digital Decade </w:t>
      </w:r>
      <w:r>
        <w:rPr>
          <w:noProof/>
        </w:rPr>
        <w:t xml:space="preserve">Policy </w:t>
      </w:r>
      <w:r w:rsidRPr="00D37004">
        <w:rPr>
          <w:noProof/>
        </w:rPr>
        <w:t xml:space="preserve">Programme. </w:t>
      </w:r>
    </w:p>
    <w:p w14:paraId="7A890A5D" w14:textId="4DCEF5AD" w:rsidR="00F60F10" w:rsidRPr="00D37004" w:rsidRDefault="00F60F10" w:rsidP="00CE3286">
      <w:pPr>
        <w:spacing w:after="0"/>
        <w:rPr>
          <w:noProof/>
        </w:rPr>
      </w:pPr>
      <w:r w:rsidRPr="00D37004">
        <w:rPr>
          <w:noProof/>
        </w:rPr>
        <w:t xml:space="preserve">By contrast, </w:t>
      </w:r>
      <w:r w:rsidRPr="00F60F10">
        <w:rPr>
          <w:b/>
          <w:noProof/>
        </w:rPr>
        <w:t>PO2-A/B/C</w:t>
      </w:r>
      <w:r w:rsidRPr="00D37004">
        <w:rPr>
          <w:noProof/>
        </w:rPr>
        <w:t xml:space="preserve"> follow a deliberately</w:t>
      </w:r>
      <w:r w:rsidRPr="00D37004" w:rsidDel="005E7304">
        <w:rPr>
          <w:noProof/>
        </w:rPr>
        <w:t xml:space="preserve"> </w:t>
      </w:r>
      <w:r w:rsidRPr="00D37004">
        <w:rPr>
          <w:noProof/>
        </w:rPr>
        <w:t xml:space="preserve">incremental approach to intervention along sovereignty and federation of public resources (see section 5 and annex 4 for details). The related PMs are not designed to be combined with one another, but rather reflect the degree of intervention, with the higher levels of intervention building on the mechanisms established in the preceding one. </w:t>
      </w:r>
      <w:r w:rsidRPr="003F73E0">
        <w:rPr>
          <w:noProof/>
        </w:rPr>
        <w:t>As best visualised in the graph at the end of section 5.2.2, PM15 builds on PM11; in turn, PM21 builds on PM15</w:t>
      </w:r>
      <w:r w:rsidR="00112431">
        <w:rPr>
          <w:noProof/>
        </w:rPr>
        <w:t xml:space="preserve">. </w:t>
      </w:r>
      <w:r w:rsidR="00294CF5">
        <w:rPr>
          <w:noProof/>
        </w:rPr>
        <w:t>PM</w:t>
      </w:r>
      <w:r w:rsidR="00290D5C">
        <w:rPr>
          <w:noProof/>
        </w:rPr>
        <w:t>19</w:t>
      </w:r>
      <w:r w:rsidR="00294CF5">
        <w:rPr>
          <w:noProof/>
        </w:rPr>
        <w:t xml:space="preserve"> builds on</w:t>
      </w:r>
      <w:r w:rsidRPr="003F73E0">
        <w:rPr>
          <w:noProof/>
        </w:rPr>
        <w:t xml:space="preserve"> PM16. Similarly, PM22 builds on PM17. Finally, PM23 has clear synergies with PM18. The remaining PMs, i.e. PM12, PM13 and PM14 under PO2-A </w:t>
      </w:r>
      <w:r w:rsidRPr="00D37004">
        <w:rPr>
          <w:noProof/>
        </w:rPr>
        <w:t>are stand-alone measures that could be retained independently</w:t>
      </w:r>
    </w:p>
    <w:p w14:paraId="6DFE31DC" w14:textId="77777777" w:rsidR="006B087E" w:rsidRPr="002562E0" w:rsidRDefault="006B087E" w:rsidP="000E3086">
      <w:pPr>
        <w:pStyle w:val="Heading1"/>
        <w:rPr>
          <w:noProof/>
        </w:rPr>
      </w:pPr>
      <w:bookmarkStart w:id="52" w:name="_Toc230792739"/>
      <w:r w:rsidRPr="002562E0">
        <w:rPr>
          <w:noProof/>
        </w:rPr>
        <w:t>What are the impacts of the policy options?</w:t>
      </w:r>
      <w:bookmarkEnd w:id="52"/>
    </w:p>
    <w:p w14:paraId="45A2129E" w14:textId="6AA7CC55" w:rsidR="00E61374" w:rsidRPr="00D37004" w:rsidRDefault="000401D4" w:rsidP="00D24152">
      <w:pPr>
        <w:rPr>
          <w:noProof/>
        </w:rPr>
      </w:pPr>
      <w:r>
        <w:rPr>
          <w:noProof/>
        </w:rPr>
        <w:t xml:space="preserve">This section summarises the main expected economic, social and environmental impacts of each Policy Option (PO) compared to the baseline. The assessment draws on multiple data sources, including stakeholder </w:t>
      </w:r>
      <w:r w:rsidR="0063225B">
        <w:rPr>
          <w:noProof/>
        </w:rPr>
        <w:t>consultations</w:t>
      </w:r>
      <w:r>
        <w:rPr>
          <w:noProof/>
        </w:rPr>
        <w:t xml:space="preserve"> (interviews and surveys)</w:t>
      </w:r>
      <w:r w:rsidR="0063225B">
        <w:rPr>
          <w:noProof/>
        </w:rPr>
        <w:t xml:space="preserve"> and desk resear</w:t>
      </w:r>
      <w:r w:rsidR="007A7152">
        <w:rPr>
          <w:noProof/>
        </w:rPr>
        <w:t xml:space="preserve">ch in the context of the supporting study. </w:t>
      </w:r>
      <w:r w:rsidR="00376B40" w:rsidRPr="00D37004">
        <w:rPr>
          <w:noProof/>
          <w:color w:val="000000" w:themeColor="text1"/>
        </w:rPr>
        <w:t>To the extent possible, the impacts are quantified based on available assessments or modelling. Where dedicated modelling</w:t>
      </w:r>
      <w:r w:rsidR="00B2657E">
        <w:rPr>
          <w:noProof/>
          <w:color w:val="000000" w:themeColor="text1"/>
        </w:rPr>
        <w:t>/monetisation</w:t>
      </w:r>
      <w:r w:rsidR="00376B40" w:rsidRPr="00D37004">
        <w:rPr>
          <w:noProof/>
          <w:color w:val="000000" w:themeColor="text1"/>
        </w:rPr>
        <w:t xml:space="preserve"> was not possible due to the lack </w:t>
      </w:r>
      <w:r w:rsidR="00B2657E">
        <w:rPr>
          <w:noProof/>
          <w:color w:val="000000" w:themeColor="text1"/>
        </w:rPr>
        <w:t>of</w:t>
      </w:r>
      <w:r w:rsidR="00376B40" w:rsidRPr="00D37004">
        <w:rPr>
          <w:noProof/>
          <w:color w:val="000000" w:themeColor="text1"/>
        </w:rPr>
        <w:t xml:space="preserve"> data, a qualitative assessment was performed</w:t>
      </w:r>
      <w:r w:rsidR="00F01787">
        <w:rPr>
          <w:noProof/>
          <w:color w:val="000000" w:themeColor="text1"/>
        </w:rPr>
        <w:t xml:space="preserve">, drawing on </w:t>
      </w:r>
      <w:r w:rsidR="00F01787" w:rsidRPr="00D37004">
        <w:rPr>
          <w:noProof/>
          <w:color w:val="000000" w:themeColor="text1"/>
        </w:rPr>
        <w:t>existing studies and input from stakeholders</w:t>
      </w:r>
      <w:r w:rsidR="00F01787">
        <w:rPr>
          <w:noProof/>
          <w:color w:val="000000" w:themeColor="text1"/>
        </w:rPr>
        <w:t>,</w:t>
      </w:r>
      <w:r w:rsidR="00B2657E" w:rsidRPr="00B2657E">
        <w:rPr>
          <w:noProof/>
          <w:color w:val="000000" w:themeColor="text1"/>
        </w:rPr>
        <w:t xml:space="preserve"> </w:t>
      </w:r>
      <w:r w:rsidR="00B2657E">
        <w:rPr>
          <w:noProof/>
          <w:color w:val="000000" w:themeColor="text1"/>
        </w:rPr>
        <w:t xml:space="preserve">to ensure transparency on the full range of potential effects. </w:t>
      </w:r>
      <w:r w:rsidR="007226BC">
        <w:rPr>
          <w:noProof/>
          <w:color w:val="000000" w:themeColor="text1"/>
        </w:rPr>
        <w:t>A sensitivity analysis</w:t>
      </w:r>
      <w:r w:rsidR="00B2657E">
        <w:rPr>
          <w:noProof/>
          <w:color w:val="000000" w:themeColor="text1"/>
        </w:rPr>
        <w:t xml:space="preserve"> </w:t>
      </w:r>
      <w:r w:rsidR="009D7510">
        <w:rPr>
          <w:noProof/>
          <w:color w:val="000000" w:themeColor="text1"/>
        </w:rPr>
        <w:t>is</w:t>
      </w:r>
      <w:r w:rsidR="00376B40" w:rsidRPr="00D37004">
        <w:rPr>
          <w:noProof/>
          <w:color w:val="000000" w:themeColor="text1"/>
        </w:rPr>
        <w:t xml:space="preserve"> </w:t>
      </w:r>
      <w:r w:rsidR="00BA5713">
        <w:rPr>
          <w:noProof/>
          <w:color w:val="000000" w:themeColor="text1"/>
        </w:rPr>
        <w:t>provided in section 7.5 to indicate the potential range of error and uncertainty for selected key estimates. Where central values were not sufficiently informative, or relied on an excessive number of assumptions, illustrative ranges are provided to</w:t>
      </w:r>
      <w:r w:rsidR="00D31272">
        <w:rPr>
          <w:noProof/>
          <w:color w:val="000000" w:themeColor="text1"/>
        </w:rPr>
        <w:t xml:space="preserve"> inform of the expected consequences and impacts of the proposed measures.</w:t>
      </w:r>
      <w:r w:rsidR="00376B40" w:rsidRPr="00D37004">
        <w:rPr>
          <w:noProof/>
          <w:color w:val="000000" w:themeColor="text1"/>
        </w:rPr>
        <w:t xml:space="preserve"> </w:t>
      </w:r>
      <w:r w:rsidR="00E61374" w:rsidRPr="00D37004">
        <w:rPr>
          <w:noProof/>
        </w:rPr>
        <w:t>Annex</w:t>
      </w:r>
      <w:r w:rsidR="00E61374">
        <w:rPr>
          <w:noProof/>
        </w:rPr>
        <w:t>es 3</w:t>
      </w:r>
      <w:r w:rsidR="009A1DD9">
        <w:rPr>
          <w:noProof/>
        </w:rPr>
        <w:t xml:space="preserve">, </w:t>
      </w:r>
      <w:r w:rsidR="00E61374" w:rsidRPr="00D37004">
        <w:rPr>
          <w:noProof/>
        </w:rPr>
        <w:t>4</w:t>
      </w:r>
      <w:r w:rsidR="009A1DD9">
        <w:rPr>
          <w:noProof/>
        </w:rPr>
        <w:t xml:space="preserve"> and 12</w:t>
      </w:r>
      <w:r w:rsidR="00E61374" w:rsidRPr="00D37004">
        <w:rPr>
          <w:noProof/>
        </w:rPr>
        <w:t xml:space="preserve"> provide</w:t>
      </w:r>
      <w:r w:rsidR="00366BFE">
        <w:rPr>
          <w:noProof/>
        </w:rPr>
        <w:t xml:space="preserve"> further</w:t>
      </w:r>
      <w:r w:rsidR="00E61374" w:rsidRPr="00D37004">
        <w:rPr>
          <w:noProof/>
        </w:rPr>
        <w:t xml:space="preserve"> details on the methodological approach, detailed tables and estimates.</w:t>
      </w:r>
      <w:r w:rsidR="35C4BA67">
        <w:rPr>
          <w:noProof/>
        </w:rPr>
        <w:t xml:space="preserve"> </w:t>
      </w:r>
    </w:p>
    <w:p w14:paraId="276831B2" w14:textId="5080BB24" w:rsidR="35C4BA67" w:rsidRPr="00FC5A87" w:rsidRDefault="35C4BA67">
      <w:pPr>
        <w:rPr>
          <w:rFonts w:asciiTheme="minorHAnsi" w:eastAsiaTheme="minorEastAsia" w:hAnsiTheme="minorHAnsi" w:cstheme="minorBidi"/>
          <w:noProof/>
        </w:rPr>
      </w:pPr>
      <w:r>
        <w:rPr>
          <w:noProof/>
        </w:rPr>
        <w:t>In addition, it is worth mentioning that th</w:t>
      </w:r>
      <w:r w:rsidR="00ED1308">
        <w:rPr>
          <w:noProof/>
        </w:rPr>
        <w:t xml:space="preserve">is assessment </w:t>
      </w:r>
      <w:r w:rsidR="00E944FE">
        <w:rPr>
          <w:noProof/>
        </w:rPr>
        <w:t xml:space="preserve">found practical </w:t>
      </w:r>
      <w:r w:rsidR="002419A9">
        <w:rPr>
          <w:noProof/>
        </w:rPr>
        <w:t xml:space="preserve">experience in </w:t>
      </w:r>
      <w:r>
        <w:rPr>
          <w:noProof/>
        </w:rPr>
        <w:t xml:space="preserve">the </w:t>
      </w:r>
      <w:r w:rsidRPr="00E41A4A">
        <w:rPr>
          <w:noProof/>
          <w:color w:val="000000" w:themeColor="text1"/>
        </w:rPr>
        <w:t xml:space="preserve">public procurement </w:t>
      </w:r>
      <w:r w:rsidR="001710C7">
        <w:rPr>
          <w:noProof/>
          <w:color w:val="000000" w:themeColor="text1"/>
        </w:rPr>
        <w:t xml:space="preserve">for sovereign cloud services </w:t>
      </w:r>
      <w:r w:rsidRPr="00E41A4A">
        <w:rPr>
          <w:noProof/>
          <w:color w:val="000000" w:themeColor="text1"/>
        </w:rPr>
        <w:t>conducted by the E</w:t>
      </w:r>
      <w:r w:rsidR="6E10CD11" w:rsidRPr="00E41A4A">
        <w:rPr>
          <w:noProof/>
          <w:color w:val="000000" w:themeColor="text1"/>
        </w:rPr>
        <w:t>uropean Commission</w:t>
      </w:r>
      <w:r w:rsidR="00BD3055">
        <w:rPr>
          <w:noProof/>
          <w:color w:val="000000" w:themeColor="text1"/>
        </w:rPr>
        <w:t>.</w:t>
      </w:r>
      <w:r w:rsidR="6E10CD11" w:rsidRPr="00E41A4A">
        <w:rPr>
          <w:noProof/>
          <w:color w:val="000000" w:themeColor="text1"/>
        </w:rPr>
        <w:t xml:space="preserve"> </w:t>
      </w:r>
      <w:r w:rsidR="1D139636" w:rsidRPr="00E41A4A">
        <w:rPr>
          <w:noProof/>
          <w:color w:val="000000" w:themeColor="text1"/>
        </w:rPr>
        <w:t xml:space="preserve">The tender was launched in October 2025, as part of Commission’s efforts to strengthen the digital sovereignty posture of the </w:t>
      </w:r>
      <w:r w:rsidR="00B021AA" w:rsidRPr="00B021AA">
        <w:rPr>
          <w:noProof/>
          <w:color w:val="000000" w:themeColor="text1"/>
        </w:rPr>
        <w:t>European Union Interinstitutional Bodies and Agencies</w:t>
      </w:r>
      <w:r w:rsidR="1D139636" w:rsidRPr="00E41A4A">
        <w:rPr>
          <w:noProof/>
          <w:color w:val="000000" w:themeColor="text1"/>
        </w:rPr>
        <w:t xml:space="preserve">. </w:t>
      </w:r>
      <w:r w:rsidR="008819BB">
        <w:rPr>
          <w:noProof/>
          <w:color w:val="000000" w:themeColor="text1"/>
        </w:rPr>
        <w:t xml:space="preserve">Even though they </w:t>
      </w:r>
      <w:r w:rsidR="009E7DCF">
        <w:rPr>
          <w:noProof/>
          <w:color w:val="000000" w:themeColor="text1"/>
        </w:rPr>
        <w:t xml:space="preserve">exist in different contexts, the sovereign non price award criteria used in the tender </w:t>
      </w:r>
      <w:r w:rsidR="00684A5A">
        <w:rPr>
          <w:noProof/>
          <w:color w:val="000000" w:themeColor="text1"/>
        </w:rPr>
        <w:t>has some resemblance</w:t>
      </w:r>
      <w:r w:rsidR="4FE4D2AA" w:rsidRPr="00E41A4A">
        <w:rPr>
          <w:noProof/>
          <w:color w:val="000000" w:themeColor="text1"/>
        </w:rPr>
        <w:t xml:space="preserve"> to the proposed sovereignty framework in PM15</w:t>
      </w:r>
      <w:r w:rsidR="00684A5A">
        <w:rPr>
          <w:noProof/>
          <w:color w:val="000000" w:themeColor="text1"/>
        </w:rPr>
        <w:t>/PM21</w:t>
      </w:r>
      <w:r w:rsidR="006140C7">
        <w:rPr>
          <w:rStyle w:val="FootnoteReference"/>
          <w:noProof/>
          <w:color w:val="000000" w:themeColor="text1"/>
        </w:rPr>
        <w:footnoteReference w:id="103"/>
      </w:r>
      <w:r w:rsidR="4FE4D2AA" w:rsidRPr="00E41A4A">
        <w:rPr>
          <w:noProof/>
          <w:color w:val="000000" w:themeColor="text1"/>
        </w:rPr>
        <w:t>.</w:t>
      </w:r>
    </w:p>
    <w:p w14:paraId="75B11F52" w14:textId="2B0E381D" w:rsidR="00E61374" w:rsidRDefault="00E61374" w:rsidP="006B5183">
      <w:pPr>
        <w:pStyle w:val="Heading2"/>
        <w:rPr>
          <w:noProof/>
        </w:rPr>
      </w:pPr>
      <w:bookmarkStart w:id="53" w:name="_Toc214902956"/>
      <w:bookmarkStart w:id="54" w:name="_Toc216084080"/>
      <w:bookmarkStart w:id="55" w:name="_Toc216129273"/>
      <w:bookmarkStart w:id="56" w:name="_Toc230792740"/>
      <w:bookmarkEnd w:id="53"/>
      <w:bookmarkEnd w:id="54"/>
      <w:r w:rsidRPr="00D37004">
        <w:rPr>
          <w:noProof/>
        </w:rPr>
        <w:t>Economic impact</w:t>
      </w:r>
      <w:bookmarkEnd w:id="55"/>
      <w:bookmarkEnd w:id="56"/>
    </w:p>
    <w:p w14:paraId="5914284C" w14:textId="4F8B312B" w:rsidR="00BC5053" w:rsidRPr="00D37004" w:rsidRDefault="00BC5053" w:rsidP="00BC5053">
      <w:pPr>
        <w:pStyle w:val="Text2"/>
        <w:ind w:left="0"/>
        <w:rPr>
          <w:noProof/>
        </w:rPr>
      </w:pPr>
      <w:r w:rsidRPr="00D37004">
        <w:rPr>
          <w:noProof/>
        </w:rPr>
        <w:t>This section</w:t>
      </w:r>
      <w:r w:rsidRPr="00D37004" w:rsidDel="00C25062">
        <w:rPr>
          <w:noProof/>
        </w:rPr>
        <w:t xml:space="preserve"> </w:t>
      </w:r>
      <w:r w:rsidRPr="00D37004">
        <w:rPr>
          <w:noProof/>
        </w:rPr>
        <w:t xml:space="preserve">describes </w:t>
      </w:r>
      <w:r w:rsidR="00717AEC">
        <w:rPr>
          <w:noProof/>
        </w:rPr>
        <w:t>first the</w:t>
      </w:r>
      <w:r w:rsidR="00717AEC" w:rsidRPr="00D37004">
        <w:rPr>
          <w:noProof/>
        </w:rPr>
        <w:t xml:space="preserve"> </w:t>
      </w:r>
      <w:r w:rsidRPr="00D37004">
        <w:rPr>
          <w:noProof/>
        </w:rPr>
        <w:t>expected direct</w:t>
      </w:r>
      <w:r w:rsidR="00C844A5">
        <w:rPr>
          <w:noProof/>
        </w:rPr>
        <w:t xml:space="preserve">, quantifiable </w:t>
      </w:r>
      <w:r w:rsidRPr="00D37004">
        <w:rPr>
          <w:noProof/>
        </w:rPr>
        <w:t xml:space="preserve">economic impact of the policy options on </w:t>
      </w:r>
      <w:r w:rsidR="00910BC0">
        <w:rPr>
          <w:noProof/>
        </w:rPr>
        <w:t xml:space="preserve">key identified stakeholders, i.e. </w:t>
      </w:r>
      <w:r w:rsidR="00B2609E">
        <w:rPr>
          <w:noProof/>
        </w:rPr>
        <w:t>industry</w:t>
      </w:r>
      <w:r w:rsidRPr="00D37004">
        <w:rPr>
          <w:noProof/>
        </w:rPr>
        <w:t>, including SMEs, public authorities</w:t>
      </w:r>
      <w:r>
        <w:rPr>
          <w:noProof/>
        </w:rPr>
        <w:t>,</w:t>
      </w:r>
      <w:r w:rsidRPr="00D37004">
        <w:rPr>
          <w:noProof/>
        </w:rPr>
        <w:t xml:space="preserve"> and the European Commission</w:t>
      </w:r>
      <w:r w:rsidRPr="00D37004" w:rsidDel="00952C0B">
        <w:rPr>
          <w:noProof/>
        </w:rPr>
        <w:t>.</w:t>
      </w:r>
      <w:r w:rsidRPr="00D37004">
        <w:rPr>
          <w:noProof/>
        </w:rPr>
        <w:t xml:space="preserve"> </w:t>
      </w:r>
      <w:r w:rsidR="00650E67">
        <w:rPr>
          <w:noProof/>
        </w:rPr>
        <w:t xml:space="preserve">As part of the analysis, </w:t>
      </w:r>
      <w:r w:rsidR="00391709">
        <w:rPr>
          <w:noProof/>
        </w:rPr>
        <w:t xml:space="preserve">an assessment of </w:t>
      </w:r>
      <w:r w:rsidR="00954784">
        <w:rPr>
          <w:noProof/>
        </w:rPr>
        <w:t>wider economic effects</w:t>
      </w:r>
      <w:r w:rsidR="00910BC0">
        <w:rPr>
          <w:noProof/>
        </w:rPr>
        <w:t xml:space="preserve"> is then provided</w:t>
      </w:r>
      <w:r w:rsidR="00954784">
        <w:rPr>
          <w:noProof/>
        </w:rPr>
        <w:t>, including impacts on innovation</w:t>
      </w:r>
      <w:r w:rsidR="00350B93">
        <w:rPr>
          <w:noProof/>
        </w:rPr>
        <w:t xml:space="preserve"> and</w:t>
      </w:r>
      <w:r w:rsidR="00954784">
        <w:rPr>
          <w:noProof/>
        </w:rPr>
        <w:t xml:space="preserve"> technological sovereignty</w:t>
      </w:r>
      <w:r w:rsidR="00910BC0">
        <w:rPr>
          <w:noProof/>
        </w:rPr>
        <w:t>. This impact is</w:t>
      </w:r>
      <w:r w:rsidR="00954784">
        <w:rPr>
          <w:noProof/>
        </w:rPr>
        <w:t xml:space="preserve"> assessed mainly </w:t>
      </w:r>
      <w:r w:rsidR="00CA3754">
        <w:rPr>
          <w:noProof/>
        </w:rPr>
        <w:t>based on</w:t>
      </w:r>
      <w:r w:rsidR="00954784">
        <w:rPr>
          <w:noProof/>
        </w:rPr>
        <w:t xml:space="preserve"> literature</w:t>
      </w:r>
      <w:r w:rsidR="00136F51">
        <w:rPr>
          <w:noProof/>
        </w:rPr>
        <w:t xml:space="preserve">, desk research and stakeholder evidence. </w:t>
      </w:r>
      <w:r w:rsidRPr="00D37004">
        <w:rPr>
          <w:noProof/>
          <w:color w:val="000000" w:themeColor="text1"/>
        </w:rPr>
        <w:t xml:space="preserve"> </w:t>
      </w:r>
    </w:p>
    <w:p w14:paraId="270B8A85" w14:textId="559BA2ED" w:rsidR="00E61374" w:rsidRPr="00D37004" w:rsidRDefault="00E61374" w:rsidP="006B5183">
      <w:pPr>
        <w:pStyle w:val="Heading3"/>
        <w:rPr>
          <w:noProof/>
        </w:rPr>
      </w:pPr>
      <w:r w:rsidRPr="00D37004">
        <w:rPr>
          <w:noProof/>
        </w:rPr>
        <w:t xml:space="preserve">Impact on </w:t>
      </w:r>
      <w:r>
        <w:rPr>
          <w:noProof/>
        </w:rPr>
        <w:t>industry</w:t>
      </w:r>
      <w:r w:rsidRPr="00D37004">
        <w:rPr>
          <w:noProof/>
        </w:rPr>
        <w:t>, including SMEs</w:t>
      </w:r>
      <w:r w:rsidR="00EC369B">
        <w:rPr>
          <w:noProof/>
        </w:rPr>
        <w:t xml:space="preserve"> and </w:t>
      </w:r>
      <w:r w:rsidR="00013D70">
        <w:rPr>
          <w:noProof/>
        </w:rPr>
        <w:t>private sector essential entities</w:t>
      </w:r>
    </w:p>
    <w:p w14:paraId="00CDE25E" w14:textId="4956175A" w:rsidR="00E61374" w:rsidRPr="00D37004" w:rsidRDefault="00E61374" w:rsidP="009D6B10">
      <w:pPr>
        <w:rPr>
          <w:noProof/>
          <w:color w:val="000000" w:themeColor="text1"/>
        </w:rPr>
      </w:pPr>
      <w:r w:rsidRPr="00D37004">
        <w:rPr>
          <w:noProof/>
        </w:rPr>
        <w:t xml:space="preserve">The impact of the policy options on </w:t>
      </w:r>
      <w:r>
        <w:rPr>
          <w:b/>
          <w:bCs/>
          <w:noProof/>
        </w:rPr>
        <w:t>industry</w:t>
      </w:r>
      <w:r w:rsidRPr="00D37004">
        <w:rPr>
          <w:noProof/>
        </w:rPr>
        <w:t xml:space="preserve"> was assessed based on</w:t>
      </w:r>
      <w:r w:rsidR="00133012">
        <w:rPr>
          <w:noProof/>
        </w:rPr>
        <w:t xml:space="preserve"> the quantifiable</w:t>
      </w:r>
      <w:r w:rsidRPr="00D37004">
        <w:rPr>
          <w:noProof/>
        </w:rPr>
        <w:t xml:space="preserve"> expected costs and </w:t>
      </w:r>
      <w:r w:rsidR="00133012">
        <w:rPr>
          <w:noProof/>
        </w:rPr>
        <w:t>benefits</w:t>
      </w:r>
      <w:r w:rsidR="00133012" w:rsidRPr="00D37004">
        <w:rPr>
          <w:noProof/>
        </w:rPr>
        <w:t xml:space="preserve"> </w:t>
      </w:r>
      <w:r w:rsidRPr="00D37004">
        <w:rPr>
          <w:noProof/>
        </w:rPr>
        <w:t xml:space="preserve">for key </w:t>
      </w:r>
      <w:r>
        <w:rPr>
          <w:noProof/>
        </w:rPr>
        <w:t xml:space="preserve">business </w:t>
      </w:r>
      <w:r w:rsidRPr="00D37004">
        <w:rPr>
          <w:noProof/>
        </w:rPr>
        <w:t>stakeholders. First,</w:t>
      </w:r>
      <w:r w:rsidRPr="00D37004" w:rsidDel="00370E09">
        <w:rPr>
          <w:noProof/>
        </w:rPr>
        <w:t xml:space="preserve"> </w:t>
      </w:r>
      <w:r w:rsidRPr="00D37004">
        <w:rPr>
          <w:noProof/>
        </w:rPr>
        <w:t>improving the availability of computing capacity in PO1-A, PO1-B, PO1-C,</w:t>
      </w:r>
      <w:r w:rsidR="00133012">
        <w:rPr>
          <w:noProof/>
        </w:rPr>
        <w:t xml:space="preserve"> directly</w:t>
      </w:r>
      <w:r w:rsidRPr="00D37004">
        <w:rPr>
          <w:noProof/>
        </w:rPr>
        <w:t xml:space="preserve"> impacts </w:t>
      </w:r>
      <w:r w:rsidR="00217F2B">
        <w:rPr>
          <w:b/>
          <w:bCs/>
          <w:noProof/>
        </w:rPr>
        <w:t>DC</w:t>
      </w:r>
      <w:r w:rsidRPr="294AF3FA">
        <w:rPr>
          <w:b/>
          <w:bCs/>
          <w:noProof/>
        </w:rPr>
        <w:t xml:space="preserve"> operators</w:t>
      </w:r>
      <w:r w:rsidRPr="00D37004">
        <w:rPr>
          <w:noProof/>
        </w:rPr>
        <w:t xml:space="preserve"> and other enterprises building </w:t>
      </w:r>
      <w:r w:rsidR="00217F2B">
        <w:rPr>
          <w:noProof/>
        </w:rPr>
        <w:t>DC</w:t>
      </w:r>
      <w:r w:rsidRPr="00D37004">
        <w:rPr>
          <w:noProof/>
        </w:rPr>
        <w:t xml:space="preserve">s. Second, </w:t>
      </w:r>
      <w:r>
        <w:rPr>
          <w:noProof/>
        </w:rPr>
        <w:t>reducing the dependence on cloud and AI computing services provided by non-EU cloud and AI service providers</w:t>
      </w:r>
      <w:r w:rsidRPr="00D37004">
        <w:rPr>
          <w:noProof/>
        </w:rPr>
        <w:t xml:space="preserve"> in PO2-A, PO2-B, PO2-C, </w:t>
      </w:r>
      <w:r w:rsidR="002F4D0E">
        <w:rPr>
          <w:noProof/>
        </w:rPr>
        <w:t>is expected to have a direct</w:t>
      </w:r>
      <w:r w:rsidR="007624B7">
        <w:rPr>
          <w:noProof/>
        </w:rPr>
        <w:t xml:space="preserve"> </w:t>
      </w:r>
      <w:r w:rsidRPr="00D37004">
        <w:rPr>
          <w:noProof/>
        </w:rPr>
        <w:t>impact</w:t>
      </w:r>
      <w:r>
        <w:rPr>
          <w:noProof/>
        </w:rPr>
        <w:t xml:space="preserve"> </w:t>
      </w:r>
      <w:r w:rsidR="002F4D0E">
        <w:rPr>
          <w:noProof/>
        </w:rPr>
        <w:t>on</w:t>
      </w:r>
      <w:r>
        <w:rPr>
          <w:noProof/>
        </w:rPr>
        <w:t xml:space="preserve"> </w:t>
      </w:r>
      <w:r w:rsidRPr="294AF3FA">
        <w:rPr>
          <w:b/>
          <w:bCs/>
          <w:noProof/>
          <w:color w:val="000000" w:themeColor="text1"/>
        </w:rPr>
        <w:t>cloud and AI computing service providers</w:t>
      </w:r>
      <w:r w:rsidR="005F7CEE">
        <w:rPr>
          <w:b/>
          <w:bCs/>
          <w:noProof/>
          <w:color w:val="000000" w:themeColor="text1"/>
        </w:rPr>
        <w:t xml:space="preserve">, </w:t>
      </w:r>
      <w:r w:rsidR="00421D6B">
        <w:rPr>
          <w:b/>
          <w:bCs/>
          <w:noProof/>
          <w:color w:val="000000" w:themeColor="text1"/>
        </w:rPr>
        <w:t xml:space="preserve">on the </w:t>
      </w:r>
      <w:r w:rsidR="005F7CEE">
        <w:rPr>
          <w:b/>
          <w:bCs/>
          <w:noProof/>
          <w:color w:val="000000" w:themeColor="text1"/>
        </w:rPr>
        <w:t xml:space="preserve">public sector </w:t>
      </w:r>
      <w:r w:rsidR="005F7CEE" w:rsidRPr="006F3FA5">
        <w:rPr>
          <w:b/>
          <w:noProof/>
          <w:color w:val="000000" w:themeColor="text1"/>
        </w:rPr>
        <w:t xml:space="preserve">and </w:t>
      </w:r>
      <w:r w:rsidR="00421D6B">
        <w:rPr>
          <w:b/>
          <w:noProof/>
          <w:color w:val="000000" w:themeColor="text1"/>
        </w:rPr>
        <w:t xml:space="preserve">on </w:t>
      </w:r>
      <w:r w:rsidR="00282809" w:rsidRPr="006F3FA5">
        <w:rPr>
          <w:b/>
          <w:noProof/>
          <w:color w:val="000000" w:themeColor="text1"/>
        </w:rPr>
        <w:t xml:space="preserve">private sector essential entities </w:t>
      </w:r>
      <w:r w:rsidR="00410EA4" w:rsidRPr="006F3FA5">
        <w:rPr>
          <w:b/>
          <w:noProof/>
          <w:color w:val="000000" w:themeColor="text1"/>
        </w:rPr>
        <w:t>in accordance to Annex I of NIS2</w:t>
      </w:r>
      <w:r w:rsidRPr="006F3FA5">
        <w:rPr>
          <w:noProof/>
          <w:color w:val="000000" w:themeColor="text1"/>
        </w:rPr>
        <w:t>.</w:t>
      </w:r>
      <w:r w:rsidRPr="00D37004">
        <w:rPr>
          <w:noProof/>
          <w:color w:val="000000" w:themeColor="text1"/>
        </w:rPr>
        <w:t xml:space="preserve"> This section outlines the quantifiable and expected direct costs and benefits </w:t>
      </w:r>
      <w:r w:rsidRPr="00D37004" w:rsidDel="007B4D66">
        <w:rPr>
          <w:noProof/>
          <w:color w:val="000000" w:themeColor="text1"/>
        </w:rPr>
        <w:t>for</w:t>
      </w:r>
      <w:r w:rsidRPr="00D37004">
        <w:rPr>
          <w:noProof/>
          <w:color w:val="000000" w:themeColor="text1"/>
        </w:rPr>
        <w:t xml:space="preserve"> these stakeholders in present value over the next 10 years, while section 6.1.5 </w:t>
      </w:r>
      <w:r w:rsidRPr="002A4495">
        <w:rPr>
          <w:noProof/>
          <w:color w:val="000000" w:themeColor="text1"/>
        </w:rPr>
        <w:t xml:space="preserve">presents the anticipated </w:t>
      </w:r>
      <w:r w:rsidR="00502C2E" w:rsidRPr="002A4495">
        <w:rPr>
          <w:noProof/>
          <w:color w:val="000000" w:themeColor="text1"/>
        </w:rPr>
        <w:t xml:space="preserve">wider </w:t>
      </w:r>
      <w:r w:rsidRPr="002A4495">
        <w:rPr>
          <w:noProof/>
          <w:color w:val="000000" w:themeColor="text1"/>
        </w:rPr>
        <w:t xml:space="preserve">economic </w:t>
      </w:r>
      <w:r w:rsidR="00084F28">
        <w:rPr>
          <w:noProof/>
          <w:color w:val="000000" w:themeColor="text1"/>
        </w:rPr>
        <w:t>effects</w:t>
      </w:r>
      <w:r w:rsidR="00084F28" w:rsidRPr="002A4495">
        <w:rPr>
          <w:noProof/>
          <w:color w:val="000000" w:themeColor="text1"/>
        </w:rPr>
        <w:t xml:space="preserve"> </w:t>
      </w:r>
      <w:r w:rsidR="00421BD6" w:rsidRPr="002A4495">
        <w:rPr>
          <w:noProof/>
          <w:color w:val="000000" w:themeColor="text1"/>
        </w:rPr>
        <w:t xml:space="preserve">that </w:t>
      </w:r>
      <w:r w:rsidRPr="002A4495">
        <w:rPr>
          <w:noProof/>
          <w:color w:val="000000" w:themeColor="text1"/>
        </w:rPr>
        <w:t xml:space="preserve">the proposed </w:t>
      </w:r>
      <w:r w:rsidRPr="002A4495" w:rsidDel="00084F28">
        <w:rPr>
          <w:noProof/>
          <w:color w:val="000000" w:themeColor="text1"/>
        </w:rPr>
        <w:t>measures</w:t>
      </w:r>
      <w:r w:rsidR="00421BD6" w:rsidRPr="002A4495" w:rsidDel="00084F28">
        <w:rPr>
          <w:noProof/>
          <w:color w:val="000000" w:themeColor="text1"/>
        </w:rPr>
        <w:t xml:space="preserve"> </w:t>
      </w:r>
      <w:r w:rsidR="00421BD6" w:rsidRPr="002A4495">
        <w:rPr>
          <w:noProof/>
          <w:color w:val="000000" w:themeColor="text1"/>
        </w:rPr>
        <w:t>could have</w:t>
      </w:r>
      <w:r w:rsidRPr="002A4495">
        <w:rPr>
          <w:noProof/>
          <w:color w:val="000000" w:themeColor="text1"/>
        </w:rPr>
        <w:t>.</w:t>
      </w:r>
      <w:r w:rsidRPr="00D37004">
        <w:rPr>
          <w:noProof/>
          <w:color w:val="000000" w:themeColor="text1"/>
        </w:rPr>
        <w:t xml:space="preserve"> </w:t>
      </w:r>
      <w:r>
        <w:rPr>
          <w:noProof/>
          <w:color w:val="000000" w:themeColor="text1"/>
        </w:rPr>
        <w:t xml:space="preserve">The detailed explanations for the </w:t>
      </w:r>
      <w:r w:rsidR="00F13377">
        <w:rPr>
          <w:noProof/>
          <w:color w:val="000000" w:themeColor="text1"/>
        </w:rPr>
        <w:t xml:space="preserve">assumptions </w:t>
      </w:r>
      <w:r w:rsidR="00B72B86">
        <w:rPr>
          <w:noProof/>
          <w:color w:val="000000" w:themeColor="text1"/>
        </w:rPr>
        <w:t xml:space="preserve">behind these estimates </w:t>
      </w:r>
      <w:r>
        <w:rPr>
          <w:noProof/>
          <w:color w:val="000000" w:themeColor="text1"/>
        </w:rPr>
        <w:t>can be found in Annex 4, sections 2 and 3</w:t>
      </w:r>
      <w:r w:rsidRPr="00D37004">
        <w:rPr>
          <w:rStyle w:val="FootnoteReference"/>
          <w:noProof/>
          <w:color w:val="000000" w:themeColor="text1"/>
        </w:rPr>
        <w:footnoteReference w:id="104"/>
      </w:r>
      <w:r>
        <w:rPr>
          <w:noProof/>
          <w:color w:val="000000" w:themeColor="text1"/>
        </w:rPr>
        <w:t>.</w:t>
      </w:r>
    </w:p>
    <w:p w14:paraId="7571DFA6" w14:textId="74828F63" w:rsidR="00E61374" w:rsidRDefault="00086728" w:rsidP="009D6B10">
      <w:pPr>
        <w:rPr>
          <w:noProof/>
        </w:rPr>
      </w:pPr>
      <w:r>
        <w:rPr>
          <w:b/>
          <w:i/>
          <w:noProof/>
        </w:rPr>
        <w:t>Adjustment and administrative c</w:t>
      </w:r>
      <w:r w:rsidR="00E61374" w:rsidRPr="00D37004">
        <w:rPr>
          <w:b/>
          <w:i/>
          <w:noProof/>
        </w:rPr>
        <w:t>osts</w:t>
      </w:r>
      <w:r w:rsidR="00E61374">
        <w:rPr>
          <w:b/>
          <w:i/>
          <w:noProof/>
        </w:rPr>
        <w:t xml:space="preserve"> for data centre operators</w:t>
      </w:r>
      <w:r w:rsidR="00E61374" w:rsidRPr="00D37004">
        <w:rPr>
          <w:noProof/>
        </w:rPr>
        <w:t>.</w:t>
      </w:r>
      <w:r w:rsidR="00E61374">
        <w:rPr>
          <w:noProof/>
        </w:rPr>
        <w:t xml:space="preserve"> </w:t>
      </w:r>
      <w:r w:rsidR="00E61374" w:rsidRPr="00D37004">
        <w:rPr>
          <w:b/>
          <w:noProof/>
        </w:rPr>
        <w:t>PO1-A</w:t>
      </w:r>
      <w:r w:rsidR="00E61374">
        <w:rPr>
          <w:noProof/>
        </w:rPr>
        <w:t xml:space="preserve"> </w:t>
      </w:r>
      <w:r w:rsidR="009B0399">
        <w:rPr>
          <w:noProof/>
        </w:rPr>
        <w:t>would</w:t>
      </w:r>
      <w:r w:rsidR="00E61374">
        <w:rPr>
          <w:noProof/>
        </w:rPr>
        <w:t xml:space="preserve"> only foresee adjustment costs for </w:t>
      </w:r>
      <w:r w:rsidR="00217F2B">
        <w:rPr>
          <w:noProof/>
        </w:rPr>
        <w:t>DC</w:t>
      </w:r>
      <w:r w:rsidR="00E61374">
        <w:rPr>
          <w:noProof/>
        </w:rPr>
        <w:t xml:space="preserve"> operators’ stemming from their participation in the new </w:t>
      </w:r>
      <w:r w:rsidR="00E61374" w:rsidRPr="00D37004">
        <w:rPr>
          <w:noProof/>
        </w:rPr>
        <w:t>Alliance Working Group</w:t>
      </w:r>
      <w:r w:rsidR="00E61374">
        <w:rPr>
          <w:noProof/>
        </w:rPr>
        <w:t xml:space="preserve"> (PM1), forum for exchanges (PM2) and from their potential uptake and discussion of the guidelines on building sustainable </w:t>
      </w:r>
      <w:r w:rsidR="00217F2B">
        <w:rPr>
          <w:noProof/>
        </w:rPr>
        <w:t>DCs</w:t>
      </w:r>
      <w:r w:rsidR="00E61374">
        <w:rPr>
          <w:noProof/>
        </w:rPr>
        <w:t xml:space="preserve"> (PM3).</w:t>
      </w:r>
      <w:r w:rsidR="00E61374" w:rsidRPr="00D37004">
        <w:rPr>
          <w:noProof/>
        </w:rPr>
        <w:t xml:space="preserve"> </w:t>
      </w:r>
      <w:r w:rsidR="00E61374">
        <w:rPr>
          <w:noProof/>
        </w:rPr>
        <w:t xml:space="preserve">These costs have been estimated </w:t>
      </w:r>
      <w:r w:rsidR="00C0354B">
        <w:rPr>
          <w:noProof/>
        </w:rPr>
        <w:t xml:space="preserve">as ranging </w:t>
      </w:r>
      <w:r w:rsidR="00F41031">
        <w:rPr>
          <w:noProof/>
        </w:rPr>
        <w:t>between</w:t>
      </w:r>
      <w:r w:rsidR="00A35FD3">
        <w:rPr>
          <w:noProof/>
        </w:rPr>
        <w:t xml:space="preserve"> </w:t>
      </w:r>
      <w:r w:rsidR="00E61374" w:rsidRPr="00C045A4">
        <w:rPr>
          <w:b/>
          <w:noProof/>
        </w:rPr>
        <w:t xml:space="preserve">EUR </w:t>
      </w:r>
      <w:r w:rsidR="00F41031">
        <w:rPr>
          <w:b/>
          <w:noProof/>
        </w:rPr>
        <w:t>8</w:t>
      </w:r>
      <w:r w:rsidR="00C0354B">
        <w:rPr>
          <w:b/>
          <w:noProof/>
        </w:rPr>
        <w:t>-18 m</w:t>
      </w:r>
      <w:r w:rsidR="00E61374">
        <w:rPr>
          <w:noProof/>
        </w:rPr>
        <w:t xml:space="preserve">. </w:t>
      </w:r>
      <w:r w:rsidR="00E61374" w:rsidRPr="00D37004">
        <w:rPr>
          <w:noProof/>
        </w:rPr>
        <w:t xml:space="preserve">Under </w:t>
      </w:r>
      <w:r w:rsidR="00E61374" w:rsidRPr="00D37004">
        <w:rPr>
          <w:b/>
          <w:noProof/>
        </w:rPr>
        <w:t>PO1-B</w:t>
      </w:r>
      <w:r w:rsidR="00E61374">
        <w:rPr>
          <w:b/>
          <w:noProof/>
        </w:rPr>
        <w:t>,</w:t>
      </w:r>
      <w:r w:rsidR="00E61374" w:rsidRPr="00D37004">
        <w:rPr>
          <w:i/>
          <w:noProof/>
        </w:rPr>
        <w:t xml:space="preserve"> </w:t>
      </w:r>
      <w:r w:rsidR="00E753A8">
        <w:rPr>
          <w:iCs/>
          <w:noProof/>
        </w:rPr>
        <w:t xml:space="preserve">400 estimated </w:t>
      </w:r>
      <w:r w:rsidR="00217F2B">
        <w:rPr>
          <w:noProof/>
        </w:rPr>
        <w:t>DC</w:t>
      </w:r>
      <w:r w:rsidR="00E61374">
        <w:rPr>
          <w:noProof/>
        </w:rPr>
        <w:t xml:space="preserve"> operators</w:t>
      </w:r>
      <w:r w:rsidR="00E753A8">
        <w:rPr>
          <w:noProof/>
        </w:rPr>
        <w:t xml:space="preserve"> and CSPs active in building data centres</w:t>
      </w:r>
      <w:r w:rsidR="00E61374">
        <w:rPr>
          <w:noProof/>
        </w:rPr>
        <w:t xml:space="preserve"> are expected to face one-off administrative costs to comply with the conditions to </w:t>
      </w:r>
      <w:r w:rsidR="00E61374" w:rsidRPr="00D37004">
        <w:rPr>
          <w:noProof/>
        </w:rPr>
        <w:t xml:space="preserve">access fast-track </w:t>
      </w:r>
      <w:r w:rsidR="00E61374">
        <w:rPr>
          <w:noProof/>
        </w:rPr>
        <w:t>areas (PM5)</w:t>
      </w:r>
      <w:r w:rsidR="00E61374" w:rsidRPr="00D37004">
        <w:rPr>
          <w:noProof/>
        </w:rPr>
        <w:t xml:space="preserve">, </w:t>
      </w:r>
      <w:r w:rsidR="00E61374">
        <w:rPr>
          <w:noProof/>
        </w:rPr>
        <w:t>i.e. preparing the application file, completing standardised templates and submitting evidence of compliance with areas conditions</w:t>
      </w:r>
      <w:r w:rsidR="00E753A8">
        <w:rPr>
          <w:noProof/>
        </w:rPr>
        <w:t xml:space="preserve">. The total costs for this activity are </w:t>
      </w:r>
      <w:r w:rsidR="00E61374">
        <w:rPr>
          <w:noProof/>
        </w:rPr>
        <w:t xml:space="preserve">estimated </w:t>
      </w:r>
      <w:r w:rsidR="00767DE5">
        <w:rPr>
          <w:noProof/>
        </w:rPr>
        <w:t xml:space="preserve">between </w:t>
      </w:r>
      <w:r w:rsidR="00E61374" w:rsidRPr="00636FA0">
        <w:rPr>
          <w:b/>
          <w:noProof/>
        </w:rPr>
        <w:t xml:space="preserve">EUR </w:t>
      </w:r>
      <w:r w:rsidR="00CF2880" w:rsidRPr="00636FA0">
        <w:rPr>
          <w:b/>
          <w:bCs/>
          <w:noProof/>
        </w:rPr>
        <w:t>1</w:t>
      </w:r>
      <w:r w:rsidR="00CF2880" w:rsidRPr="00636FA0">
        <w:rPr>
          <w:b/>
          <w:noProof/>
        </w:rPr>
        <w:t>-3</w:t>
      </w:r>
      <w:r w:rsidR="00E61374" w:rsidRPr="00636FA0">
        <w:rPr>
          <w:b/>
          <w:noProof/>
        </w:rPr>
        <w:t xml:space="preserve"> m</w:t>
      </w:r>
      <w:r w:rsidR="00E61374">
        <w:rPr>
          <w:noProof/>
        </w:rPr>
        <w:t xml:space="preserve"> at present value over 10-years. Operators are also expected to face adjustment costs to adapt new projects for </w:t>
      </w:r>
      <w:r w:rsidR="00217F2B">
        <w:rPr>
          <w:noProof/>
        </w:rPr>
        <w:t>DC</w:t>
      </w:r>
      <w:r w:rsidR="00E61374">
        <w:rPr>
          <w:noProof/>
        </w:rPr>
        <w:t xml:space="preserve"> build out and</w:t>
      </w:r>
      <w:r w:rsidR="00E61374" w:rsidDel="00640801">
        <w:rPr>
          <w:noProof/>
        </w:rPr>
        <w:t xml:space="preserve"> </w:t>
      </w:r>
      <w:r w:rsidR="00E61374">
        <w:rPr>
          <w:noProof/>
        </w:rPr>
        <w:t>comply with the related requirements</w:t>
      </w:r>
      <w:r w:rsidR="006E4192">
        <w:rPr>
          <w:noProof/>
        </w:rPr>
        <w:t xml:space="preserve">. These adjustment costs </w:t>
      </w:r>
      <w:r w:rsidR="000D4DD2">
        <w:rPr>
          <w:noProof/>
        </w:rPr>
        <w:t>are</w:t>
      </w:r>
      <w:r w:rsidR="006E4192">
        <w:rPr>
          <w:noProof/>
        </w:rPr>
        <w:t xml:space="preserve"> </w:t>
      </w:r>
      <w:r w:rsidR="00E61374">
        <w:rPr>
          <w:noProof/>
        </w:rPr>
        <w:t xml:space="preserve">estimated </w:t>
      </w:r>
      <w:r w:rsidR="006E4192">
        <w:rPr>
          <w:noProof/>
        </w:rPr>
        <w:t xml:space="preserve">to be approximately </w:t>
      </w:r>
      <w:r w:rsidR="003B602B">
        <w:rPr>
          <w:noProof/>
        </w:rPr>
        <w:t xml:space="preserve">between </w:t>
      </w:r>
      <w:r w:rsidR="00E61374">
        <w:rPr>
          <w:noProof/>
        </w:rPr>
        <w:t xml:space="preserve">EUR </w:t>
      </w:r>
      <w:r w:rsidR="006E4192">
        <w:rPr>
          <w:noProof/>
        </w:rPr>
        <w:t>6 and 26</w:t>
      </w:r>
      <w:r w:rsidR="00E61374">
        <w:rPr>
          <w:noProof/>
        </w:rPr>
        <w:t xml:space="preserve"> m </w:t>
      </w:r>
      <w:r w:rsidR="000D4DD2">
        <w:rPr>
          <w:noProof/>
        </w:rPr>
        <w:t xml:space="preserve">for these stakeholders </w:t>
      </w:r>
      <w:r w:rsidR="00E61374">
        <w:rPr>
          <w:noProof/>
        </w:rPr>
        <w:t>over the assessment period.</w:t>
      </w:r>
      <w:r w:rsidR="00E61374" w:rsidRPr="00D37004">
        <w:rPr>
          <w:noProof/>
        </w:rPr>
        <w:t xml:space="preserve"> </w:t>
      </w:r>
      <w:r w:rsidR="00E61374">
        <w:rPr>
          <w:noProof/>
        </w:rPr>
        <w:t>The participation in</w:t>
      </w:r>
      <w:r w:rsidR="00E61374" w:rsidDel="005B446A">
        <w:rPr>
          <w:noProof/>
        </w:rPr>
        <w:t xml:space="preserve"> </w:t>
      </w:r>
      <w:r w:rsidR="005B446A">
        <w:rPr>
          <w:noProof/>
        </w:rPr>
        <w:t xml:space="preserve">a potential </w:t>
      </w:r>
      <w:r w:rsidR="00E61374">
        <w:rPr>
          <w:noProof/>
        </w:rPr>
        <w:t xml:space="preserve">funding scheme under PM6 would also </w:t>
      </w:r>
      <w:r w:rsidR="00E61374" w:rsidRPr="00F2244B">
        <w:rPr>
          <w:noProof/>
        </w:rPr>
        <w:t xml:space="preserve">generate </w:t>
      </w:r>
      <w:r w:rsidR="00E61374" w:rsidRPr="00BC2E55">
        <w:rPr>
          <w:noProof/>
        </w:rPr>
        <w:t>administrative</w:t>
      </w:r>
      <w:r w:rsidR="00E61374" w:rsidRPr="00F2244B">
        <w:rPr>
          <w:noProof/>
        </w:rPr>
        <w:t xml:space="preserve"> costs</w:t>
      </w:r>
      <w:r w:rsidR="00E61374">
        <w:rPr>
          <w:noProof/>
        </w:rPr>
        <w:t xml:space="preserve"> to account for the staff time spent on preparing applications to benefit from funding. Under PM7, businesses would face minor administrative costs to respond to surveys and/or provide additional information for </w:t>
      </w:r>
      <w:r w:rsidR="00E61374" w:rsidRPr="00D37004">
        <w:rPr>
          <w:noProof/>
        </w:rPr>
        <w:t xml:space="preserve">reporting on </w:t>
      </w:r>
      <w:r w:rsidR="00217F2B">
        <w:rPr>
          <w:noProof/>
        </w:rPr>
        <w:t>DC</w:t>
      </w:r>
      <w:r w:rsidR="00E61374">
        <w:rPr>
          <w:noProof/>
        </w:rPr>
        <w:t xml:space="preserve"> capacity</w:t>
      </w:r>
      <w:r w:rsidR="00FE1DAD">
        <w:rPr>
          <w:noProof/>
        </w:rPr>
        <w:t xml:space="preserve">. </w:t>
      </w:r>
      <w:r w:rsidR="001902CA">
        <w:rPr>
          <w:noProof/>
        </w:rPr>
        <w:t>T</w:t>
      </w:r>
      <w:r w:rsidR="00FE1DAD">
        <w:rPr>
          <w:noProof/>
        </w:rPr>
        <w:t>otal</w:t>
      </w:r>
      <w:r w:rsidR="00E61374" w:rsidRPr="00D37004" w:rsidDel="00FE1DAD">
        <w:rPr>
          <w:noProof/>
        </w:rPr>
        <w:t xml:space="preserve"> </w:t>
      </w:r>
      <w:r w:rsidR="00E61374" w:rsidRPr="00D37004">
        <w:rPr>
          <w:noProof/>
        </w:rPr>
        <w:t xml:space="preserve">costs </w:t>
      </w:r>
      <w:r w:rsidR="00E61374">
        <w:rPr>
          <w:noProof/>
        </w:rPr>
        <w:t>under this option</w:t>
      </w:r>
      <w:r w:rsidR="00E61374" w:rsidRPr="00D37004">
        <w:rPr>
          <w:noProof/>
        </w:rPr>
        <w:t xml:space="preserve"> </w:t>
      </w:r>
      <w:r w:rsidR="00FE1DAD">
        <w:rPr>
          <w:noProof/>
        </w:rPr>
        <w:t xml:space="preserve">for data centre operators </w:t>
      </w:r>
      <w:r w:rsidR="001902CA">
        <w:rPr>
          <w:noProof/>
        </w:rPr>
        <w:t xml:space="preserve">are thus estimated between </w:t>
      </w:r>
      <w:r w:rsidR="00E61374" w:rsidRPr="00C045A4">
        <w:rPr>
          <w:b/>
          <w:noProof/>
        </w:rPr>
        <w:t>EUR</w:t>
      </w:r>
      <w:r w:rsidR="00E61374" w:rsidRPr="00C045A4" w:rsidDel="006D54D4">
        <w:rPr>
          <w:b/>
          <w:noProof/>
        </w:rPr>
        <w:t xml:space="preserve"> </w:t>
      </w:r>
      <w:r w:rsidR="00FE1DAD">
        <w:rPr>
          <w:b/>
          <w:noProof/>
        </w:rPr>
        <w:t>7 and 31</w:t>
      </w:r>
      <w:r w:rsidR="00E61374" w:rsidRPr="00C045A4" w:rsidDel="00A4710A">
        <w:rPr>
          <w:b/>
          <w:noProof/>
        </w:rPr>
        <w:t xml:space="preserve"> </w:t>
      </w:r>
      <w:r w:rsidR="00E61374" w:rsidRPr="00C045A4">
        <w:rPr>
          <w:b/>
          <w:noProof/>
        </w:rPr>
        <w:t>m</w:t>
      </w:r>
      <w:r w:rsidR="00E61374" w:rsidRPr="00D37004">
        <w:rPr>
          <w:noProof/>
        </w:rPr>
        <w:t xml:space="preserve">. Under </w:t>
      </w:r>
      <w:r w:rsidR="00E61374" w:rsidRPr="00D37004">
        <w:rPr>
          <w:b/>
          <w:noProof/>
        </w:rPr>
        <w:t>PO1-C</w:t>
      </w:r>
      <w:r w:rsidR="00E61374" w:rsidRPr="00D37004">
        <w:rPr>
          <w:noProof/>
        </w:rPr>
        <w:t>,</w:t>
      </w:r>
      <w:r w:rsidR="00E61374" w:rsidRPr="00D37004">
        <w:rPr>
          <w:b/>
          <w:noProof/>
        </w:rPr>
        <w:t xml:space="preserve"> </w:t>
      </w:r>
      <w:r w:rsidR="00E61374" w:rsidRPr="00D37004">
        <w:rPr>
          <w:noProof/>
        </w:rPr>
        <w:t xml:space="preserve">similar activities </w:t>
      </w:r>
      <w:r w:rsidR="00612A2E">
        <w:rPr>
          <w:noProof/>
        </w:rPr>
        <w:t xml:space="preserve">would </w:t>
      </w:r>
      <w:r w:rsidR="00E61374" w:rsidRPr="00D37004">
        <w:rPr>
          <w:noProof/>
        </w:rPr>
        <w:t xml:space="preserve">occur </w:t>
      </w:r>
      <w:r w:rsidR="00E61374">
        <w:rPr>
          <w:noProof/>
        </w:rPr>
        <w:t>at</w:t>
      </w:r>
      <w:r w:rsidR="00E61374" w:rsidRPr="00D37004">
        <w:rPr>
          <w:noProof/>
        </w:rPr>
        <w:t xml:space="preserve"> EU level</w:t>
      </w:r>
      <w:r w:rsidR="00EC603E">
        <w:rPr>
          <w:noProof/>
        </w:rPr>
        <w:t>. C</w:t>
      </w:r>
      <w:r w:rsidR="00E61374">
        <w:rPr>
          <w:noProof/>
        </w:rPr>
        <w:t>ompanies</w:t>
      </w:r>
      <w:r w:rsidR="00E61374" w:rsidRPr="00D37004">
        <w:rPr>
          <w:noProof/>
        </w:rPr>
        <w:t xml:space="preserve"> participating in EU funding programmes </w:t>
      </w:r>
      <w:r w:rsidR="00E61374">
        <w:rPr>
          <w:noProof/>
        </w:rPr>
        <w:t>(PM8, PM9)</w:t>
      </w:r>
      <w:r w:rsidR="00EC603E">
        <w:rPr>
          <w:noProof/>
        </w:rPr>
        <w:t xml:space="preserve"> </w:t>
      </w:r>
      <w:r w:rsidR="00584567">
        <w:rPr>
          <w:noProof/>
        </w:rPr>
        <w:t>would face</w:t>
      </w:r>
      <w:r w:rsidR="00EC603E">
        <w:rPr>
          <w:noProof/>
        </w:rPr>
        <w:t xml:space="preserve"> </w:t>
      </w:r>
      <w:r w:rsidR="00E61374">
        <w:rPr>
          <w:noProof/>
        </w:rPr>
        <w:t>administrative costs for preparing and managing proposals</w:t>
      </w:r>
      <w:r w:rsidR="002441BE">
        <w:rPr>
          <w:noProof/>
        </w:rPr>
        <w:t xml:space="preserve">. </w:t>
      </w:r>
      <w:r w:rsidR="00EC603E">
        <w:rPr>
          <w:noProof/>
        </w:rPr>
        <w:t xml:space="preserve">20 proposals every two years have been estimated for such purposes, leading to costs ranging </w:t>
      </w:r>
      <w:r w:rsidR="00667E96">
        <w:rPr>
          <w:noProof/>
        </w:rPr>
        <w:t xml:space="preserve">between </w:t>
      </w:r>
      <w:r w:rsidR="00E61374">
        <w:rPr>
          <w:noProof/>
        </w:rPr>
        <w:t>EUR 1</w:t>
      </w:r>
      <w:r w:rsidR="00667E96">
        <w:rPr>
          <w:noProof/>
        </w:rPr>
        <w:t xml:space="preserve"> and 3</w:t>
      </w:r>
      <w:r w:rsidR="00472707">
        <w:rPr>
          <w:noProof/>
        </w:rPr>
        <w:t xml:space="preserve"> </w:t>
      </w:r>
      <w:r w:rsidR="00E61374">
        <w:rPr>
          <w:noProof/>
        </w:rPr>
        <w:t xml:space="preserve">m. As in </w:t>
      </w:r>
      <w:r w:rsidR="004F6C06">
        <w:rPr>
          <w:noProof/>
        </w:rPr>
        <w:t>PO1</w:t>
      </w:r>
      <w:r w:rsidR="00E61374">
        <w:rPr>
          <w:noProof/>
        </w:rPr>
        <w:t xml:space="preserve">-B, providers </w:t>
      </w:r>
      <w:r w:rsidR="00E96E61">
        <w:rPr>
          <w:noProof/>
        </w:rPr>
        <w:t xml:space="preserve">would </w:t>
      </w:r>
      <w:r w:rsidR="00E61374">
        <w:rPr>
          <w:noProof/>
        </w:rPr>
        <w:t xml:space="preserve">also </w:t>
      </w:r>
      <w:r w:rsidR="00E96E61">
        <w:rPr>
          <w:noProof/>
        </w:rPr>
        <w:t>be</w:t>
      </w:r>
      <w:r w:rsidR="00E61374">
        <w:rPr>
          <w:noProof/>
        </w:rPr>
        <w:t xml:space="preserve"> expected to face both administrative and adjustment costs to</w:t>
      </w:r>
      <w:r w:rsidR="00E61374" w:rsidRPr="00D37004">
        <w:rPr>
          <w:noProof/>
        </w:rPr>
        <w:t xml:space="preserve"> </w:t>
      </w:r>
      <w:r w:rsidR="00E61374">
        <w:rPr>
          <w:noProof/>
        </w:rPr>
        <w:t>access the areas and</w:t>
      </w:r>
      <w:r w:rsidR="00E61374" w:rsidRPr="00D37004">
        <w:rPr>
          <w:noProof/>
        </w:rPr>
        <w:t xml:space="preserve"> benefit from accelerated </w:t>
      </w:r>
      <w:r w:rsidR="00217F2B">
        <w:rPr>
          <w:noProof/>
        </w:rPr>
        <w:t>DC</w:t>
      </w:r>
      <w:r w:rsidR="00E61374" w:rsidRPr="00D37004">
        <w:rPr>
          <w:noProof/>
        </w:rPr>
        <w:t xml:space="preserve"> deployment</w:t>
      </w:r>
      <w:r w:rsidR="00E61374">
        <w:rPr>
          <w:noProof/>
        </w:rPr>
        <w:t xml:space="preserve"> under PM10</w:t>
      </w:r>
      <w:r w:rsidR="00BD2548">
        <w:rPr>
          <w:noProof/>
        </w:rPr>
        <w:t>. These costs have been estimated to range between</w:t>
      </w:r>
      <w:r w:rsidR="00E61374" w:rsidRPr="00D37004">
        <w:rPr>
          <w:noProof/>
        </w:rPr>
        <w:t xml:space="preserve"> </w:t>
      </w:r>
      <w:r w:rsidR="00AD633D">
        <w:rPr>
          <w:noProof/>
        </w:rPr>
        <w:t xml:space="preserve">EUR 5 and 25 </w:t>
      </w:r>
      <w:r w:rsidR="00E61374">
        <w:rPr>
          <w:noProof/>
        </w:rPr>
        <w:t>m</w:t>
      </w:r>
      <w:r w:rsidR="008E0C14">
        <w:rPr>
          <w:noProof/>
        </w:rPr>
        <w:t xml:space="preserve">, </w:t>
      </w:r>
      <w:r w:rsidR="001B77E5">
        <w:rPr>
          <w:noProof/>
        </w:rPr>
        <w:t>catering for</w:t>
      </w:r>
      <w:r w:rsidR="008E0C14">
        <w:rPr>
          <w:noProof/>
        </w:rPr>
        <w:t xml:space="preserve"> </w:t>
      </w:r>
      <w:r w:rsidR="001B77E5">
        <w:rPr>
          <w:noProof/>
        </w:rPr>
        <w:t>some</w:t>
      </w:r>
      <w:r w:rsidR="008E0C14">
        <w:rPr>
          <w:noProof/>
        </w:rPr>
        <w:t xml:space="preserve"> uncertainty in</w:t>
      </w:r>
      <w:r w:rsidR="005B7AC7">
        <w:rPr>
          <w:noProof/>
        </w:rPr>
        <w:t xml:space="preserve"> the effort dedicated to such administrative and</w:t>
      </w:r>
      <w:r w:rsidR="001B77E5">
        <w:rPr>
          <w:noProof/>
        </w:rPr>
        <w:t xml:space="preserve"> adjustment activities</w:t>
      </w:r>
      <w:r w:rsidR="00E61374" w:rsidRPr="00D37004">
        <w:rPr>
          <w:i/>
          <w:noProof/>
        </w:rPr>
        <w:t>.</w:t>
      </w:r>
      <w:r w:rsidR="00E61374" w:rsidRPr="00D37004">
        <w:rPr>
          <w:noProof/>
        </w:rPr>
        <w:t xml:space="preserve"> </w:t>
      </w:r>
      <w:r w:rsidR="00E61374">
        <w:rPr>
          <w:noProof/>
        </w:rPr>
        <w:t xml:space="preserve">The total value of costs for </w:t>
      </w:r>
      <w:r w:rsidR="00217F2B">
        <w:rPr>
          <w:noProof/>
        </w:rPr>
        <w:t>DC</w:t>
      </w:r>
      <w:r w:rsidR="00E61374">
        <w:rPr>
          <w:noProof/>
        </w:rPr>
        <w:t xml:space="preserve"> operators</w:t>
      </w:r>
      <w:r w:rsidR="001B77E5">
        <w:rPr>
          <w:noProof/>
        </w:rPr>
        <w:t xml:space="preserve"> and CSPs active in building data centres</w:t>
      </w:r>
      <w:r w:rsidR="00F16A51">
        <w:rPr>
          <w:noProof/>
        </w:rPr>
        <w:t xml:space="preserve"> are thus estimated to range between </w:t>
      </w:r>
      <w:r w:rsidR="00F16A51" w:rsidRPr="00EA762E">
        <w:rPr>
          <w:b/>
          <w:noProof/>
        </w:rPr>
        <w:t>EUR</w:t>
      </w:r>
      <w:r w:rsidR="00F014DA" w:rsidRPr="00EA762E">
        <w:rPr>
          <w:b/>
          <w:noProof/>
        </w:rPr>
        <w:t xml:space="preserve"> 7 and 27</w:t>
      </w:r>
      <w:r w:rsidR="00F014DA">
        <w:rPr>
          <w:b/>
          <w:bCs/>
          <w:noProof/>
        </w:rPr>
        <w:t xml:space="preserve"> </w:t>
      </w:r>
      <w:r w:rsidR="00F014DA" w:rsidRPr="00EA762E">
        <w:rPr>
          <w:b/>
          <w:noProof/>
        </w:rPr>
        <w:t>m</w:t>
      </w:r>
      <w:r w:rsidR="00E61374">
        <w:rPr>
          <w:noProof/>
        </w:rPr>
        <w:t xml:space="preserve"> under this option</w:t>
      </w:r>
      <w:r w:rsidR="00F16A51">
        <w:rPr>
          <w:noProof/>
        </w:rPr>
        <w:t xml:space="preserve"> (</w:t>
      </w:r>
      <w:r w:rsidR="00E61374">
        <w:rPr>
          <w:noProof/>
        </w:rPr>
        <w:t xml:space="preserve">discounted </w:t>
      </w:r>
      <w:r w:rsidR="00F16A51">
        <w:rPr>
          <w:noProof/>
        </w:rPr>
        <w:t xml:space="preserve">values </w:t>
      </w:r>
      <w:r w:rsidR="00E61374">
        <w:rPr>
          <w:noProof/>
        </w:rPr>
        <w:t>over the 10-year assessment period</w:t>
      </w:r>
      <w:r w:rsidR="00F16A51">
        <w:rPr>
          <w:noProof/>
        </w:rPr>
        <w:t>)</w:t>
      </w:r>
      <w:r w:rsidR="00E61374">
        <w:rPr>
          <w:noProof/>
        </w:rPr>
        <w:t xml:space="preserve">. </w:t>
      </w:r>
    </w:p>
    <w:p w14:paraId="6D6ABD63" w14:textId="0C6B8C09" w:rsidR="00C20DE2" w:rsidRDefault="00086728" w:rsidP="00307140">
      <w:pPr>
        <w:rPr>
          <w:noProof/>
        </w:rPr>
      </w:pPr>
      <w:r>
        <w:rPr>
          <w:b/>
          <w:i/>
          <w:noProof/>
          <w:color w:val="000000" w:themeColor="text1"/>
        </w:rPr>
        <w:t>Adjustment and administrative c</w:t>
      </w:r>
      <w:r w:rsidR="00E61374" w:rsidRPr="009E649E">
        <w:rPr>
          <w:b/>
          <w:i/>
          <w:noProof/>
          <w:color w:val="000000" w:themeColor="text1"/>
        </w:rPr>
        <w:t>osts for cloud and AI computing service providers</w:t>
      </w:r>
      <w:r w:rsidR="00E61374" w:rsidRPr="00C126DA">
        <w:rPr>
          <w:i/>
          <w:iCs/>
          <w:noProof/>
        </w:rPr>
        <w:t>.</w:t>
      </w:r>
      <w:r w:rsidR="00E61374" w:rsidRPr="00D37004">
        <w:rPr>
          <w:noProof/>
        </w:rPr>
        <w:t xml:space="preserve"> Under</w:t>
      </w:r>
      <w:r w:rsidR="00E61374" w:rsidRPr="00D37004">
        <w:rPr>
          <w:b/>
          <w:noProof/>
        </w:rPr>
        <w:t xml:space="preserve"> PO2-A</w:t>
      </w:r>
      <w:r w:rsidR="00E61374" w:rsidRPr="00D37004">
        <w:rPr>
          <w:noProof/>
        </w:rPr>
        <w:t xml:space="preserve">, </w:t>
      </w:r>
      <w:r w:rsidR="00E61374">
        <w:rPr>
          <w:noProof/>
        </w:rPr>
        <w:t>cloud and AI computing service</w:t>
      </w:r>
      <w:r w:rsidR="00E61374" w:rsidRPr="00D37004">
        <w:rPr>
          <w:noProof/>
        </w:rPr>
        <w:t xml:space="preserve"> </w:t>
      </w:r>
      <w:r w:rsidR="00E61374">
        <w:rPr>
          <w:noProof/>
        </w:rPr>
        <w:t>providers</w:t>
      </w:r>
      <w:r w:rsidR="00E61374" w:rsidRPr="00D37004">
        <w:rPr>
          <w:noProof/>
        </w:rPr>
        <w:t xml:space="preserve"> </w:t>
      </w:r>
      <w:r w:rsidR="00E96E61">
        <w:rPr>
          <w:noProof/>
        </w:rPr>
        <w:t xml:space="preserve">would </w:t>
      </w:r>
      <w:r w:rsidR="00E61374" w:rsidRPr="00D37004">
        <w:rPr>
          <w:noProof/>
        </w:rPr>
        <w:t xml:space="preserve">face </w:t>
      </w:r>
      <w:r w:rsidR="00E61374">
        <w:rPr>
          <w:noProof/>
        </w:rPr>
        <w:t>adjustment costs, estimated as additional effort to discuss the new guidelines (PM12), participating to the annual conference (PM13) and in setting up and participating to the coordination group for standard</w:t>
      </w:r>
      <w:r w:rsidR="00A15D7E">
        <w:rPr>
          <w:noProof/>
        </w:rPr>
        <w:t>s</w:t>
      </w:r>
      <w:r w:rsidR="00E61374">
        <w:rPr>
          <w:noProof/>
        </w:rPr>
        <w:t xml:space="preserve"> development (PM14). </w:t>
      </w:r>
      <w:r w:rsidR="00700C5F">
        <w:rPr>
          <w:noProof/>
        </w:rPr>
        <w:t>These activities are expected to</w:t>
      </w:r>
      <w:r w:rsidR="00E61374" w:rsidDel="00700C5F">
        <w:rPr>
          <w:noProof/>
        </w:rPr>
        <w:t xml:space="preserve"> </w:t>
      </w:r>
      <w:r w:rsidR="00E61374">
        <w:rPr>
          <w:noProof/>
        </w:rPr>
        <w:t xml:space="preserve">generate </w:t>
      </w:r>
      <w:r w:rsidR="00161409">
        <w:rPr>
          <w:noProof/>
        </w:rPr>
        <w:t xml:space="preserve">total </w:t>
      </w:r>
      <w:r w:rsidR="00E61374">
        <w:rPr>
          <w:noProof/>
        </w:rPr>
        <w:t xml:space="preserve">costs </w:t>
      </w:r>
      <w:r w:rsidR="00700C5F">
        <w:rPr>
          <w:noProof/>
        </w:rPr>
        <w:t xml:space="preserve">for providers ranging between </w:t>
      </w:r>
      <w:r w:rsidR="00E61374" w:rsidRPr="00161409">
        <w:rPr>
          <w:b/>
          <w:noProof/>
        </w:rPr>
        <w:t xml:space="preserve">EUR </w:t>
      </w:r>
      <w:r w:rsidR="00086E73">
        <w:rPr>
          <w:b/>
          <w:noProof/>
        </w:rPr>
        <w:t>16 and 19</w:t>
      </w:r>
      <w:r w:rsidR="00E61374" w:rsidRPr="00161409">
        <w:rPr>
          <w:b/>
          <w:noProof/>
        </w:rPr>
        <w:t xml:space="preserve"> m</w:t>
      </w:r>
      <w:r w:rsidR="00E61374">
        <w:rPr>
          <w:noProof/>
        </w:rPr>
        <w:t xml:space="preserve">. Most of these costs would derive from PM13, where 300 participants have been accounted for. </w:t>
      </w:r>
      <w:r w:rsidR="00E61374" w:rsidRPr="00FD321C">
        <w:rPr>
          <w:noProof/>
        </w:rPr>
        <w:t xml:space="preserve">Under </w:t>
      </w:r>
      <w:r w:rsidR="00E61374" w:rsidRPr="00FD321C">
        <w:rPr>
          <w:b/>
          <w:noProof/>
        </w:rPr>
        <w:t>PO2-B</w:t>
      </w:r>
      <w:r w:rsidR="00E61374" w:rsidRPr="00FD321C">
        <w:rPr>
          <w:noProof/>
        </w:rPr>
        <w:t xml:space="preserve">, recurrent adjustment costs </w:t>
      </w:r>
      <w:r w:rsidR="00D428F9" w:rsidRPr="00FD321C">
        <w:rPr>
          <w:noProof/>
        </w:rPr>
        <w:t xml:space="preserve">for providers </w:t>
      </w:r>
      <w:r w:rsidR="009F2EB7" w:rsidRPr="00FD321C">
        <w:rPr>
          <w:noProof/>
        </w:rPr>
        <w:t xml:space="preserve">would </w:t>
      </w:r>
      <w:r w:rsidR="00E61374" w:rsidRPr="00FD321C">
        <w:rPr>
          <w:noProof/>
        </w:rPr>
        <w:t xml:space="preserve">emerge mainly from complying </w:t>
      </w:r>
      <w:r w:rsidR="00D428F9" w:rsidRPr="00FD321C">
        <w:rPr>
          <w:noProof/>
        </w:rPr>
        <w:t xml:space="preserve">voluntarily </w:t>
      </w:r>
      <w:r w:rsidR="00E61374" w:rsidRPr="00FD321C">
        <w:rPr>
          <w:noProof/>
        </w:rPr>
        <w:t xml:space="preserve">with the </w:t>
      </w:r>
      <w:r w:rsidR="00D428F9" w:rsidRPr="00FD321C">
        <w:rPr>
          <w:noProof/>
        </w:rPr>
        <w:t>sovereignty risk assessment framework</w:t>
      </w:r>
      <w:r w:rsidR="00E61374" w:rsidRPr="00FD321C">
        <w:rPr>
          <w:noProof/>
        </w:rPr>
        <w:t xml:space="preserve"> (PM15). </w:t>
      </w:r>
      <w:r w:rsidR="00BA11D3" w:rsidRPr="00FD321C">
        <w:rPr>
          <w:noProof/>
        </w:rPr>
        <w:t>These are estimated at service level because the audit procedure would apply to individual cloud and AI computing services</w:t>
      </w:r>
      <w:r w:rsidR="00D470D3" w:rsidRPr="00FD321C">
        <w:rPr>
          <w:noProof/>
        </w:rPr>
        <w:t xml:space="preserve">, i.e. providers incur costs for each service </w:t>
      </w:r>
      <w:r w:rsidR="00FC6E4E" w:rsidRPr="00FD321C">
        <w:rPr>
          <w:noProof/>
        </w:rPr>
        <w:t>that undergoes an a</w:t>
      </w:r>
      <w:r w:rsidR="00FF4E91" w:rsidRPr="00FD321C">
        <w:rPr>
          <w:noProof/>
        </w:rPr>
        <w:t>udit</w:t>
      </w:r>
      <w:r w:rsidR="00E23552" w:rsidRPr="00FD321C">
        <w:rPr>
          <w:noProof/>
        </w:rPr>
        <w:t xml:space="preserve">. These costs </w:t>
      </w:r>
      <w:r w:rsidR="0025377A" w:rsidRPr="00FD321C">
        <w:rPr>
          <w:noProof/>
        </w:rPr>
        <w:t>emerge from the</w:t>
      </w:r>
      <w:r w:rsidR="00A77E18" w:rsidRPr="00FD321C">
        <w:rPr>
          <w:noProof/>
        </w:rPr>
        <w:t xml:space="preserve"> one-off </w:t>
      </w:r>
      <w:r w:rsidR="00E61374" w:rsidRPr="00FD321C">
        <w:rPr>
          <w:noProof/>
          <w:color w:val="000000" w:themeColor="text1"/>
        </w:rPr>
        <w:t xml:space="preserve">effort </w:t>
      </w:r>
      <w:r w:rsidR="00D96634" w:rsidRPr="00FD321C">
        <w:rPr>
          <w:noProof/>
          <w:color w:val="000000" w:themeColor="text1"/>
        </w:rPr>
        <w:t xml:space="preserve">required to </w:t>
      </w:r>
      <w:r w:rsidR="0025377A" w:rsidRPr="00FD321C">
        <w:rPr>
          <w:noProof/>
          <w:color w:val="000000" w:themeColor="text1"/>
        </w:rPr>
        <w:t>meet</w:t>
      </w:r>
      <w:r w:rsidR="00D96634" w:rsidRPr="00FD321C">
        <w:rPr>
          <w:noProof/>
          <w:color w:val="000000" w:themeColor="text1"/>
        </w:rPr>
        <w:t xml:space="preserve"> the necessary legal, organisational and technical </w:t>
      </w:r>
      <w:r w:rsidR="000C2505" w:rsidRPr="00FD321C">
        <w:rPr>
          <w:noProof/>
          <w:color w:val="000000" w:themeColor="text1"/>
        </w:rPr>
        <w:t>conditions</w:t>
      </w:r>
      <w:r w:rsidR="00D96634" w:rsidRPr="00FD321C">
        <w:rPr>
          <w:noProof/>
          <w:color w:val="000000" w:themeColor="text1"/>
        </w:rPr>
        <w:t xml:space="preserve"> </w:t>
      </w:r>
      <w:r w:rsidR="005978C2" w:rsidRPr="00FD321C">
        <w:rPr>
          <w:noProof/>
          <w:color w:val="000000" w:themeColor="text1"/>
        </w:rPr>
        <w:t xml:space="preserve">to reach the </w:t>
      </w:r>
      <w:r w:rsidR="007365F4" w:rsidRPr="00FD321C">
        <w:rPr>
          <w:noProof/>
          <w:color w:val="000000" w:themeColor="text1"/>
        </w:rPr>
        <w:t>sovereignty assurance levels 2-4</w:t>
      </w:r>
      <w:r w:rsidR="00B13C53" w:rsidRPr="00FD321C">
        <w:rPr>
          <w:noProof/>
          <w:color w:val="000000" w:themeColor="text1"/>
        </w:rPr>
        <w:t xml:space="preserve">, undergo </w:t>
      </w:r>
      <w:r w:rsidR="00D96634" w:rsidRPr="00FD321C">
        <w:rPr>
          <w:noProof/>
          <w:color w:val="000000" w:themeColor="text1"/>
        </w:rPr>
        <w:t xml:space="preserve">third-party audit, </w:t>
      </w:r>
      <w:r w:rsidR="00B13C53" w:rsidRPr="00FD321C">
        <w:rPr>
          <w:noProof/>
          <w:color w:val="000000" w:themeColor="text1"/>
        </w:rPr>
        <w:t xml:space="preserve">and pay audit and renewal </w:t>
      </w:r>
      <w:r w:rsidR="00B07294" w:rsidRPr="00FD321C">
        <w:rPr>
          <w:noProof/>
          <w:color w:val="000000" w:themeColor="text1"/>
        </w:rPr>
        <w:t xml:space="preserve">fees. </w:t>
      </w:r>
      <w:r w:rsidR="00E61374" w:rsidRPr="00FD321C">
        <w:rPr>
          <w:noProof/>
        </w:rPr>
        <w:t xml:space="preserve">Recurrent </w:t>
      </w:r>
      <w:r w:rsidR="00B8120D" w:rsidRPr="00FD321C">
        <w:rPr>
          <w:noProof/>
          <w:color w:val="000000" w:themeColor="text1"/>
        </w:rPr>
        <w:t xml:space="preserve">audit-related </w:t>
      </w:r>
      <w:r w:rsidR="00E61374" w:rsidRPr="00FD321C">
        <w:rPr>
          <w:noProof/>
        </w:rPr>
        <w:t>administrative costs are also expected in subsequent years.</w:t>
      </w:r>
      <w:r w:rsidR="00E61374" w:rsidRPr="00D37004" w:rsidDel="00674455">
        <w:rPr>
          <w:noProof/>
          <w:color w:val="000000" w:themeColor="text1"/>
        </w:rPr>
        <w:t xml:space="preserve"> </w:t>
      </w:r>
      <w:r w:rsidR="00A43A53">
        <w:rPr>
          <w:noProof/>
          <w:color w:val="000000" w:themeColor="text1"/>
        </w:rPr>
        <w:t xml:space="preserve">Moreover, </w:t>
      </w:r>
      <w:r w:rsidR="007B21FE">
        <w:rPr>
          <w:noProof/>
          <w:color w:val="000000" w:themeColor="text1"/>
        </w:rPr>
        <w:t>EU-based cloud and AI computing service p</w:t>
      </w:r>
      <w:r w:rsidR="00E61374">
        <w:rPr>
          <w:noProof/>
          <w:color w:val="000000" w:themeColor="text1"/>
        </w:rPr>
        <w:t>roviders</w:t>
      </w:r>
      <w:r w:rsidR="00AC7BBA">
        <w:rPr>
          <w:noProof/>
          <w:color w:val="000000" w:themeColor="text1"/>
        </w:rPr>
        <w:t xml:space="preserve"> </w:t>
      </w:r>
      <w:r w:rsidR="00E61374">
        <w:rPr>
          <w:noProof/>
          <w:color w:val="000000" w:themeColor="text1"/>
        </w:rPr>
        <w:t>are expected to incur one-off a</w:t>
      </w:r>
      <w:r w:rsidR="00E61374" w:rsidRPr="00D37004">
        <w:rPr>
          <w:noProof/>
          <w:color w:val="000000" w:themeColor="text1"/>
        </w:rPr>
        <w:t xml:space="preserve">djustment costs </w:t>
      </w:r>
      <w:r w:rsidR="00E61374">
        <w:rPr>
          <w:noProof/>
          <w:color w:val="000000" w:themeColor="text1"/>
        </w:rPr>
        <w:t xml:space="preserve">to comply with the </w:t>
      </w:r>
      <w:r w:rsidR="00AC7BBA">
        <w:rPr>
          <w:noProof/>
          <w:color w:val="000000" w:themeColor="text1"/>
        </w:rPr>
        <w:t>non-price</w:t>
      </w:r>
      <w:r w:rsidR="00E61374">
        <w:rPr>
          <w:noProof/>
          <w:color w:val="000000" w:themeColor="text1"/>
        </w:rPr>
        <w:t xml:space="preserve"> award criteria (PM16),</w:t>
      </w:r>
      <w:r w:rsidR="00E61374" w:rsidRPr="00652709">
        <w:rPr>
          <w:noProof/>
          <w:color w:val="000000" w:themeColor="text1"/>
        </w:rPr>
        <w:t xml:space="preserve"> </w:t>
      </w:r>
      <w:r w:rsidR="00AC7BBA">
        <w:rPr>
          <w:noProof/>
          <w:color w:val="000000" w:themeColor="text1"/>
        </w:rPr>
        <w:t>e.g.</w:t>
      </w:r>
      <w:r w:rsidR="00E61374" w:rsidRPr="00D37004">
        <w:rPr>
          <w:noProof/>
          <w:color w:val="000000" w:themeColor="text1"/>
        </w:rPr>
        <w:t xml:space="preserve"> rewarding EU-based R&amp;D&amp;I for innovative services, </w:t>
      </w:r>
      <w:r w:rsidR="00E61374" w:rsidDel="001903A6">
        <w:rPr>
          <w:noProof/>
          <w:color w:val="000000" w:themeColor="text1"/>
        </w:rPr>
        <w:t xml:space="preserve">by </w:t>
      </w:r>
      <w:r w:rsidR="00E61374">
        <w:rPr>
          <w:noProof/>
          <w:color w:val="000000" w:themeColor="text1"/>
        </w:rPr>
        <w:t xml:space="preserve">altering their systems and processes to be able to participate </w:t>
      </w:r>
      <w:r w:rsidR="00E61374" w:rsidRPr="00D37004">
        <w:rPr>
          <w:noProof/>
          <w:color w:val="000000" w:themeColor="text1"/>
        </w:rPr>
        <w:t>in public procurement procedures</w:t>
      </w:r>
      <w:r w:rsidR="00E61374">
        <w:rPr>
          <w:noProof/>
          <w:color w:val="000000" w:themeColor="text1"/>
        </w:rPr>
        <w:t>. Additional administrative costs have been estimated as providers prepare their bids</w:t>
      </w:r>
      <w:r w:rsidR="00A43A53">
        <w:rPr>
          <w:noProof/>
          <w:color w:val="000000" w:themeColor="text1"/>
        </w:rPr>
        <w:t>. Summing these costs leads</w:t>
      </w:r>
      <w:r w:rsidR="00E61374" w:rsidRPr="00D37004">
        <w:rPr>
          <w:noProof/>
          <w:color w:val="000000" w:themeColor="text1"/>
        </w:rPr>
        <w:t xml:space="preserve"> to total costs </w:t>
      </w:r>
      <w:r w:rsidR="008D66CA">
        <w:rPr>
          <w:noProof/>
          <w:color w:val="000000" w:themeColor="text1"/>
        </w:rPr>
        <w:t>ranging from</w:t>
      </w:r>
      <w:r w:rsidR="00E61374">
        <w:rPr>
          <w:noProof/>
          <w:color w:val="000000" w:themeColor="text1"/>
        </w:rPr>
        <w:t xml:space="preserve"> </w:t>
      </w:r>
      <w:r w:rsidR="00E61374" w:rsidRPr="00A43A53">
        <w:rPr>
          <w:b/>
          <w:noProof/>
        </w:rPr>
        <w:t xml:space="preserve">EUR </w:t>
      </w:r>
      <w:r w:rsidR="00FF60AC">
        <w:rPr>
          <w:b/>
          <w:bCs/>
          <w:noProof/>
        </w:rPr>
        <w:t>67</w:t>
      </w:r>
      <w:r w:rsidR="00445AC4">
        <w:rPr>
          <w:b/>
          <w:noProof/>
        </w:rPr>
        <w:t xml:space="preserve"> m</w:t>
      </w:r>
      <w:r w:rsidR="00FF60AC">
        <w:rPr>
          <w:b/>
          <w:noProof/>
        </w:rPr>
        <w:t xml:space="preserve"> to EUR </w:t>
      </w:r>
      <w:r w:rsidR="00445AC4">
        <w:rPr>
          <w:b/>
          <w:noProof/>
        </w:rPr>
        <w:t>160 m</w:t>
      </w:r>
      <w:r w:rsidR="00E61374" w:rsidRPr="00D37004">
        <w:rPr>
          <w:i/>
          <w:noProof/>
        </w:rPr>
        <w:t>.</w:t>
      </w:r>
      <w:r w:rsidR="00E61374" w:rsidRPr="00D37004" w:rsidDel="00880798">
        <w:rPr>
          <w:noProof/>
        </w:rPr>
        <w:t xml:space="preserve"> </w:t>
      </w:r>
      <w:r w:rsidR="0080396B">
        <w:rPr>
          <w:noProof/>
        </w:rPr>
        <w:t xml:space="preserve">Under </w:t>
      </w:r>
      <w:r w:rsidR="00E61374" w:rsidRPr="00D37004">
        <w:rPr>
          <w:b/>
          <w:noProof/>
        </w:rPr>
        <w:t>PO2-C</w:t>
      </w:r>
      <w:r w:rsidR="0080396B">
        <w:rPr>
          <w:b/>
          <w:noProof/>
        </w:rPr>
        <w:t xml:space="preserve">, </w:t>
      </w:r>
      <w:r w:rsidR="0080396B">
        <w:rPr>
          <w:bCs/>
          <w:noProof/>
        </w:rPr>
        <w:t>the measures</w:t>
      </w:r>
      <w:r w:rsidR="00E61374">
        <w:rPr>
          <w:noProof/>
        </w:rPr>
        <w:t xml:space="preserve"> </w:t>
      </w:r>
      <w:r w:rsidR="002753AB">
        <w:rPr>
          <w:bCs/>
          <w:noProof/>
        </w:rPr>
        <w:t xml:space="preserve">are estimated to </w:t>
      </w:r>
      <w:r w:rsidR="002753AB">
        <w:rPr>
          <w:noProof/>
        </w:rPr>
        <w:t>generate</w:t>
      </w:r>
      <w:r w:rsidR="00E61374" w:rsidRPr="00D37004">
        <w:rPr>
          <w:noProof/>
        </w:rPr>
        <w:t xml:space="preserve"> similar administrative </w:t>
      </w:r>
      <w:r w:rsidR="00E61374">
        <w:rPr>
          <w:noProof/>
        </w:rPr>
        <w:t>and adjustment</w:t>
      </w:r>
      <w:r w:rsidR="00E61374" w:rsidRPr="00D37004">
        <w:rPr>
          <w:noProof/>
        </w:rPr>
        <w:t xml:space="preserve"> costs </w:t>
      </w:r>
      <w:r w:rsidR="009C2AA8">
        <w:rPr>
          <w:noProof/>
        </w:rPr>
        <w:t xml:space="preserve">for providers </w:t>
      </w:r>
      <w:r w:rsidR="00E61374" w:rsidRPr="00D37004">
        <w:rPr>
          <w:noProof/>
        </w:rPr>
        <w:t xml:space="preserve">as PO2-B, but more services </w:t>
      </w:r>
      <w:r w:rsidR="00E61374">
        <w:rPr>
          <w:noProof/>
        </w:rPr>
        <w:t xml:space="preserve">(600 compared to 150 in PO2-B) </w:t>
      </w:r>
      <w:r w:rsidR="00E61374" w:rsidRPr="0080396B">
        <w:rPr>
          <w:noProof/>
        </w:rPr>
        <w:t xml:space="preserve">are expected to </w:t>
      </w:r>
      <w:r w:rsidR="005C07EB" w:rsidRPr="0080396B">
        <w:rPr>
          <w:noProof/>
        </w:rPr>
        <w:t>undergo third-party audits</w:t>
      </w:r>
      <w:r w:rsidR="00E61374" w:rsidRPr="0080396B">
        <w:rPr>
          <w:noProof/>
        </w:rPr>
        <w:t xml:space="preserve"> to participate in public procurement procedures </w:t>
      </w:r>
      <w:r w:rsidR="00E61374">
        <w:rPr>
          <w:noProof/>
        </w:rPr>
        <w:t>(PM21)</w:t>
      </w:r>
      <w:r w:rsidR="00E61374" w:rsidRPr="00D37004">
        <w:rPr>
          <w:noProof/>
        </w:rPr>
        <w:t xml:space="preserve">. This </w:t>
      </w:r>
      <w:r w:rsidR="00E61374">
        <w:rPr>
          <w:noProof/>
        </w:rPr>
        <w:t>lead</w:t>
      </w:r>
      <w:r w:rsidR="0080396B">
        <w:rPr>
          <w:noProof/>
        </w:rPr>
        <w:t>s</w:t>
      </w:r>
      <w:r w:rsidR="00E61374">
        <w:rPr>
          <w:noProof/>
        </w:rPr>
        <w:t xml:space="preserve"> to higher costs </w:t>
      </w:r>
      <w:r w:rsidR="00E61374">
        <w:rPr>
          <w:noProof/>
          <w:color w:val="000000" w:themeColor="text1"/>
        </w:rPr>
        <w:t xml:space="preserve">for cloud and AI service providers across the EU </w:t>
      </w:r>
      <w:r w:rsidR="00ED7F1D">
        <w:rPr>
          <w:noProof/>
          <w:color w:val="000000" w:themeColor="text1"/>
        </w:rPr>
        <w:t xml:space="preserve">that are estimated to range between </w:t>
      </w:r>
      <w:r w:rsidR="00E61374" w:rsidRPr="006074D5">
        <w:rPr>
          <w:b/>
          <w:noProof/>
          <w:color w:val="000000" w:themeColor="text1"/>
        </w:rPr>
        <w:t xml:space="preserve">EUR </w:t>
      </w:r>
      <w:r w:rsidR="00970ABB">
        <w:rPr>
          <w:b/>
          <w:bCs/>
          <w:noProof/>
          <w:color w:val="000000" w:themeColor="text1"/>
        </w:rPr>
        <w:t>23</w:t>
      </w:r>
      <w:r w:rsidR="001E27E5">
        <w:rPr>
          <w:b/>
          <w:bCs/>
          <w:noProof/>
          <w:color w:val="000000" w:themeColor="text1"/>
        </w:rPr>
        <w:t>3</w:t>
      </w:r>
      <w:r w:rsidR="00970ABB">
        <w:rPr>
          <w:b/>
          <w:bCs/>
          <w:noProof/>
          <w:color w:val="000000" w:themeColor="text1"/>
        </w:rPr>
        <w:t xml:space="preserve"> </w:t>
      </w:r>
      <w:r w:rsidR="00ED7F1D">
        <w:rPr>
          <w:b/>
          <w:bCs/>
          <w:noProof/>
          <w:color w:val="000000" w:themeColor="text1"/>
        </w:rPr>
        <w:t xml:space="preserve">and EUR </w:t>
      </w:r>
      <w:r w:rsidR="006F611C">
        <w:rPr>
          <w:b/>
          <w:bCs/>
          <w:noProof/>
          <w:color w:val="000000" w:themeColor="text1"/>
        </w:rPr>
        <w:t>48</w:t>
      </w:r>
      <w:r w:rsidR="00EA54E6">
        <w:rPr>
          <w:b/>
          <w:bCs/>
          <w:noProof/>
          <w:color w:val="000000" w:themeColor="text1"/>
        </w:rPr>
        <w:t>4</w:t>
      </w:r>
      <w:r w:rsidR="00925676" w:rsidRPr="006074D5">
        <w:rPr>
          <w:b/>
          <w:bCs/>
          <w:noProof/>
          <w:color w:val="000000" w:themeColor="text1"/>
        </w:rPr>
        <w:t xml:space="preserve"> </w:t>
      </w:r>
      <w:r w:rsidR="005451ED" w:rsidRPr="006074D5">
        <w:rPr>
          <w:b/>
          <w:bCs/>
          <w:noProof/>
          <w:color w:val="000000" w:themeColor="text1"/>
        </w:rPr>
        <w:t>m</w:t>
      </w:r>
      <w:r w:rsidR="00E61374" w:rsidRPr="00D37004">
        <w:rPr>
          <w:noProof/>
        </w:rPr>
        <w:t>.</w:t>
      </w:r>
      <w:r w:rsidR="00E61374">
        <w:rPr>
          <w:noProof/>
        </w:rPr>
        <w:t xml:space="preserve"> </w:t>
      </w:r>
      <w:r w:rsidR="005426B6">
        <w:rPr>
          <w:noProof/>
        </w:rPr>
        <w:t>As above, these</w:t>
      </w:r>
      <w:r w:rsidR="00D25F51">
        <w:rPr>
          <w:noProof/>
        </w:rPr>
        <w:t xml:space="preserve"> adjustment costs are personnel related, </w:t>
      </w:r>
      <w:r w:rsidR="005426B6">
        <w:rPr>
          <w:noProof/>
        </w:rPr>
        <w:t>i.e. the</w:t>
      </w:r>
      <w:r w:rsidR="000C588C">
        <w:rPr>
          <w:noProof/>
        </w:rPr>
        <w:t xml:space="preserve"> effort needed to modify the </w:t>
      </w:r>
      <w:r w:rsidR="00664F48">
        <w:rPr>
          <w:noProof/>
        </w:rPr>
        <w:t xml:space="preserve">providers’ </w:t>
      </w:r>
      <w:r w:rsidR="000C588C">
        <w:rPr>
          <w:noProof/>
        </w:rPr>
        <w:t xml:space="preserve">policies and procedures and </w:t>
      </w:r>
      <w:r w:rsidR="0020273A">
        <w:rPr>
          <w:noProof/>
        </w:rPr>
        <w:t>adjust</w:t>
      </w:r>
      <w:r w:rsidR="000C588C">
        <w:rPr>
          <w:noProof/>
        </w:rPr>
        <w:t xml:space="preserve"> the legal and organisational safeguards to be </w:t>
      </w:r>
      <w:r w:rsidR="005426B6">
        <w:rPr>
          <w:noProof/>
        </w:rPr>
        <w:t>able to meet the criteria under</w:t>
      </w:r>
      <w:r w:rsidR="000C588C">
        <w:rPr>
          <w:noProof/>
        </w:rPr>
        <w:t xml:space="preserve"> sovereign</w:t>
      </w:r>
      <w:r w:rsidR="007C25C9">
        <w:rPr>
          <w:noProof/>
        </w:rPr>
        <w:t>ty assurance levels 2-4</w:t>
      </w:r>
      <w:r w:rsidR="000C588C">
        <w:rPr>
          <w:noProof/>
        </w:rPr>
        <w:t>.</w:t>
      </w:r>
      <w:r w:rsidR="000C588C" w:rsidDel="00EE5E24">
        <w:rPr>
          <w:noProof/>
        </w:rPr>
        <w:t xml:space="preserve"> </w:t>
      </w:r>
    </w:p>
    <w:p w14:paraId="0B0C9EF0" w14:textId="570DC88E" w:rsidR="00E61374" w:rsidRPr="00D37004" w:rsidRDefault="00C20DE2" w:rsidP="009358FE">
      <w:pPr>
        <w:rPr>
          <w:noProof/>
        </w:rPr>
      </w:pPr>
      <w:r>
        <w:rPr>
          <w:noProof/>
        </w:rPr>
        <w:t>On top of this</w:t>
      </w:r>
      <w:r w:rsidR="0057759E">
        <w:rPr>
          <w:noProof/>
        </w:rPr>
        <w:t xml:space="preserve">, </w:t>
      </w:r>
      <w:r w:rsidR="0042061B">
        <w:rPr>
          <w:noProof/>
        </w:rPr>
        <w:t xml:space="preserve">private sector essential entities identified under </w:t>
      </w:r>
      <w:r w:rsidR="00451C9C">
        <w:rPr>
          <w:noProof/>
        </w:rPr>
        <w:t>A</w:t>
      </w:r>
      <w:r w:rsidR="0042061B">
        <w:rPr>
          <w:noProof/>
        </w:rPr>
        <w:t>nnex 1 of NIS2</w:t>
      </w:r>
      <w:r w:rsidR="0030775D">
        <w:rPr>
          <w:noProof/>
        </w:rPr>
        <w:t xml:space="preserve"> </w:t>
      </w:r>
      <w:r w:rsidR="00074B77">
        <w:rPr>
          <w:noProof/>
        </w:rPr>
        <w:t xml:space="preserve">would have to incur </w:t>
      </w:r>
      <w:r w:rsidR="00357E26">
        <w:rPr>
          <w:noProof/>
        </w:rPr>
        <w:t xml:space="preserve">administrative costs </w:t>
      </w:r>
      <w:r w:rsidR="0030775D">
        <w:rPr>
          <w:noProof/>
        </w:rPr>
        <w:t xml:space="preserve">to include non-technical risks </w:t>
      </w:r>
      <w:r w:rsidR="006204F2">
        <w:rPr>
          <w:noProof/>
        </w:rPr>
        <w:t>in their risk assessments</w:t>
      </w:r>
      <w:r w:rsidR="00102327">
        <w:rPr>
          <w:noProof/>
        </w:rPr>
        <w:t xml:space="preserve">, i.e. adding sovereignty elements on their existing </w:t>
      </w:r>
      <w:r w:rsidR="00481041">
        <w:rPr>
          <w:noProof/>
        </w:rPr>
        <w:t xml:space="preserve">risk assessment </w:t>
      </w:r>
      <w:r w:rsidR="00102327">
        <w:rPr>
          <w:noProof/>
        </w:rPr>
        <w:t>activit</w:t>
      </w:r>
      <w:r w:rsidR="00481041">
        <w:rPr>
          <w:noProof/>
        </w:rPr>
        <w:t>ies</w:t>
      </w:r>
      <w:r w:rsidR="00102327">
        <w:rPr>
          <w:noProof/>
        </w:rPr>
        <w:t xml:space="preserve">. </w:t>
      </w:r>
      <w:r w:rsidR="00357E26">
        <w:rPr>
          <w:noProof/>
        </w:rPr>
        <w:t xml:space="preserve">These costs </w:t>
      </w:r>
      <w:r w:rsidR="00CD60C6">
        <w:rPr>
          <w:noProof/>
        </w:rPr>
        <w:t xml:space="preserve">could range between </w:t>
      </w:r>
      <w:r w:rsidR="00741495" w:rsidRPr="00451C9C">
        <w:rPr>
          <w:b/>
          <w:bCs/>
          <w:noProof/>
        </w:rPr>
        <w:t>EUR</w:t>
      </w:r>
      <w:r w:rsidR="00741495" w:rsidRPr="00A6756B">
        <w:rPr>
          <w:b/>
          <w:noProof/>
        </w:rPr>
        <w:t xml:space="preserve"> </w:t>
      </w:r>
      <w:r w:rsidR="00F46BC1">
        <w:rPr>
          <w:b/>
          <w:noProof/>
        </w:rPr>
        <w:t>486</w:t>
      </w:r>
      <w:r w:rsidR="00741495" w:rsidRPr="00A6756B">
        <w:rPr>
          <w:b/>
          <w:noProof/>
        </w:rPr>
        <w:t xml:space="preserve"> </w:t>
      </w:r>
      <w:r w:rsidR="00F46BC1">
        <w:rPr>
          <w:b/>
          <w:noProof/>
        </w:rPr>
        <w:t xml:space="preserve">m </w:t>
      </w:r>
      <w:r w:rsidR="00CD60C6">
        <w:rPr>
          <w:b/>
          <w:noProof/>
        </w:rPr>
        <w:t xml:space="preserve">and </w:t>
      </w:r>
      <w:r w:rsidR="00F46BC1">
        <w:rPr>
          <w:b/>
          <w:noProof/>
        </w:rPr>
        <w:t xml:space="preserve">2.6 </w:t>
      </w:r>
      <w:r w:rsidR="00741495" w:rsidRPr="00A6756B">
        <w:rPr>
          <w:b/>
          <w:noProof/>
        </w:rPr>
        <w:t>b</w:t>
      </w:r>
      <w:r w:rsidR="00661FBC" w:rsidRPr="00A6756B">
        <w:rPr>
          <w:b/>
          <w:noProof/>
        </w:rPr>
        <w:t>n</w:t>
      </w:r>
      <w:r w:rsidR="003D58C0">
        <w:rPr>
          <w:b/>
          <w:bCs/>
          <w:noProof/>
        </w:rPr>
        <w:t xml:space="preserve">, </w:t>
      </w:r>
      <w:r w:rsidR="000D40A1">
        <w:rPr>
          <w:noProof/>
        </w:rPr>
        <w:t xml:space="preserve">i.e. </w:t>
      </w:r>
      <w:r w:rsidR="00F46BC1">
        <w:rPr>
          <w:noProof/>
        </w:rPr>
        <w:t xml:space="preserve">corresponding to the effort required </w:t>
      </w:r>
      <w:r w:rsidR="002911EE">
        <w:rPr>
          <w:noProof/>
        </w:rPr>
        <w:t xml:space="preserve">per entity </w:t>
      </w:r>
      <w:r w:rsidR="00F46BC1">
        <w:rPr>
          <w:noProof/>
        </w:rPr>
        <w:t>(from a minimum of 20 to a maximum of 110 days)</w:t>
      </w:r>
      <w:r w:rsidR="00451C9C">
        <w:rPr>
          <w:noProof/>
        </w:rPr>
        <w:t xml:space="preserve"> and taking into account</w:t>
      </w:r>
      <w:r w:rsidR="00F46BC1">
        <w:rPr>
          <w:noProof/>
        </w:rPr>
        <w:t xml:space="preserve"> </w:t>
      </w:r>
      <w:r w:rsidR="002102E1" w:rsidRPr="00A6756B">
        <w:rPr>
          <w:noProof/>
        </w:rPr>
        <w:t>25 600 private entities</w:t>
      </w:r>
      <w:r w:rsidR="00481041">
        <w:rPr>
          <w:noProof/>
        </w:rPr>
        <w:t xml:space="preserve"> </w:t>
      </w:r>
      <w:r w:rsidR="00451C9C">
        <w:rPr>
          <w:noProof/>
        </w:rPr>
        <w:t>operating in sectors of high criticality across the EU</w:t>
      </w:r>
      <w:r w:rsidR="00481041">
        <w:rPr>
          <w:noProof/>
        </w:rPr>
        <w:t>.</w:t>
      </w:r>
      <w:r w:rsidR="00FA7182">
        <w:rPr>
          <w:noProof/>
        </w:rPr>
        <w:t xml:space="preserve"> </w:t>
      </w:r>
    </w:p>
    <w:tbl>
      <w:tblPr>
        <w:tblStyle w:val="TableGrid"/>
        <w:tblW w:w="0" w:type="auto"/>
        <w:tblLook w:val="04A0" w:firstRow="1" w:lastRow="0" w:firstColumn="1" w:lastColumn="0" w:noHBand="0" w:noVBand="1"/>
      </w:tblPr>
      <w:tblGrid>
        <w:gridCol w:w="9713"/>
      </w:tblGrid>
      <w:tr w:rsidR="0038313B" w14:paraId="43D3929F" w14:textId="77777777" w:rsidTr="0038313B">
        <w:tc>
          <w:tcPr>
            <w:tcW w:w="9713" w:type="dxa"/>
          </w:tcPr>
          <w:p w14:paraId="06411229" w14:textId="563497CD" w:rsidR="0038313B" w:rsidRDefault="0038313B" w:rsidP="0038313B">
            <w:pPr>
              <w:spacing w:before="120"/>
              <w:jc w:val="center"/>
              <w:rPr>
                <w:b/>
                <w:bCs/>
                <w:i/>
                <w:iCs/>
                <w:noProof/>
                <w:sz w:val="28"/>
                <w:szCs w:val="28"/>
              </w:rPr>
            </w:pPr>
            <w:r w:rsidRPr="000250F8">
              <w:rPr>
                <w:b/>
                <w:bCs/>
                <w:i/>
                <w:iCs/>
                <w:noProof/>
                <w:sz w:val="28"/>
                <w:szCs w:val="28"/>
              </w:rPr>
              <w:t>Focus box</w:t>
            </w:r>
            <w:r>
              <w:rPr>
                <w:b/>
                <w:bCs/>
                <w:i/>
                <w:iCs/>
                <w:noProof/>
                <w:sz w:val="28"/>
                <w:szCs w:val="28"/>
              </w:rPr>
              <w:t xml:space="preserve"> #1</w:t>
            </w:r>
            <w:r w:rsidRPr="000250F8">
              <w:rPr>
                <w:b/>
                <w:bCs/>
                <w:i/>
                <w:iCs/>
                <w:noProof/>
                <w:sz w:val="28"/>
                <w:szCs w:val="28"/>
              </w:rPr>
              <w:t xml:space="preserve">: costs for </w:t>
            </w:r>
            <w:r w:rsidR="006A7C92">
              <w:rPr>
                <w:b/>
                <w:bCs/>
                <w:i/>
                <w:iCs/>
                <w:noProof/>
                <w:sz w:val="28"/>
                <w:szCs w:val="28"/>
              </w:rPr>
              <w:t>service providers</w:t>
            </w:r>
            <w:r w:rsidRPr="000250F8">
              <w:rPr>
                <w:b/>
                <w:bCs/>
                <w:i/>
                <w:iCs/>
                <w:noProof/>
                <w:sz w:val="28"/>
                <w:szCs w:val="28"/>
              </w:rPr>
              <w:t xml:space="preserve"> to </w:t>
            </w:r>
            <w:r w:rsidR="006A7C92">
              <w:rPr>
                <w:b/>
                <w:bCs/>
                <w:i/>
                <w:iCs/>
                <w:noProof/>
                <w:sz w:val="28"/>
                <w:szCs w:val="28"/>
              </w:rPr>
              <w:t>develop sovereign</w:t>
            </w:r>
            <w:r w:rsidRPr="000250F8">
              <w:rPr>
                <w:b/>
                <w:bCs/>
                <w:i/>
                <w:iCs/>
                <w:noProof/>
                <w:sz w:val="28"/>
                <w:szCs w:val="28"/>
              </w:rPr>
              <w:t xml:space="preserve"> </w:t>
            </w:r>
            <w:r w:rsidR="006A7C92">
              <w:rPr>
                <w:b/>
                <w:bCs/>
                <w:i/>
                <w:iCs/>
                <w:noProof/>
                <w:sz w:val="28"/>
                <w:szCs w:val="28"/>
              </w:rPr>
              <w:t>services</w:t>
            </w:r>
          </w:p>
          <w:p w14:paraId="46AB5826" w14:textId="77777777" w:rsidR="00C004B3" w:rsidRDefault="00C004B3" w:rsidP="00C004B3">
            <w:pPr>
              <w:pStyle w:val="Reply"/>
              <w:spacing w:line="240" w:lineRule="auto"/>
              <w:rPr>
                <w:noProof/>
                <w:kern w:val="0"/>
              </w:rPr>
            </w:pPr>
            <w:r w:rsidRPr="0025103C">
              <w:rPr>
                <w:noProof/>
                <w:kern w:val="0"/>
              </w:rPr>
              <w:t>Assessing the cost and benefits for providers to provide sovereign services is a complex task that involves many parameters and differs greatly from provider to provider. As well, in the absence of an established market for sovereign services, data sources are rather anchored in providers’ business plans, not in ex post analysis of established businesses. Such data is confidential to companies, and the below considerations are based on targeted discussions with stakeholders that requested to remain anonymous. A first consideration is that the consulted companies unanimously indicated that</w:t>
            </w:r>
            <w:r>
              <w:rPr>
                <w:noProof/>
                <w:kern w:val="0"/>
              </w:rPr>
              <w:t>, in developing the business plan for these new services,</w:t>
            </w:r>
            <w:r w:rsidRPr="0025103C">
              <w:rPr>
                <w:noProof/>
                <w:kern w:val="0"/>
              </w:rPr>
              <w:t xml:space="preserve"> </w:t>
            </w:r>
            <w:r>
              <w:rPr>
                <w:noProof/>
                <w:kern w:val="0"/>
              </w:rPr>
              <w:t xml:space="preserve">they count on new </w:t>
            </w:r>
            <w:r w:rsidRPr="0025103C">
              <w:rPr>
                <w:noProof/>
                <w:kern w:val="0"/>
              </w:rPr>
              <w:t xml:space="preserve">large critical use cases </w:t>
            </w:r>
            <w:r>
              <w:rPr>
                <w:noProof/>
                <w:kern w:val="0"/>
              </w:rPr>
              <w:t xml:space="preserve">that </w:t>
            </w:r>
            <w:r w:rsidRPr="0025103C">
              <w:rPr>
                <w:noProof/>
                <w:kern w:val="0"/>
              </w:rPr>
              <w:t>are today not in the cloud</w:t>
            </w:r>
            <w:r>
              <w:rPr>
                <w:noProof/>
                <w:kern w:val="0"/>
              </w:rPr>
              <w:t xml:space="preserve">; in other words, they see sovereign services to generate </w:t>
            </w:r>
            <w:r w:rsidRPr="0025103C">
              <w:rPr>
                <w:noProof/>
                <w:kern w:val="0"/>
              </w:rPr>
              <w:t xml:space="preserve">a new source of income, </w:t>
            </w:r>
            <w:r>
              <w:rPr>
                <w:noProof/>
                <w:kern w:val="0"/>
              </w:rPr>
              <w:t>but not to</w:t>
            </w:r>
            <w:r w:rsidRPr="0025103C">
              <w:rPr>
                <w:noProof/>
                <w:kern w:val="0"/>
              </w:rPr>
              <w:t xml:space="preserve"> substitut</w:t>
            </w:r>
            <w:r>
              <w:rPr>
                <w:noProof/>
                <w:kern w:val="0"/>
              </w:rPr>
              <w:t>e</w:t>
            </w:r>
            <w:r w:rsidRPr="0025103C">
              <w:rPr>
                <w:noProof/>
                <w:kern w:val="0"/>
              </w:rPr>
              <w:t xml:space="preserve"> existing.</w:t>
            </w:r>
            <w:r>
              <w:rPr>
                <w:noProof/>
                <w:kern w:val="0"/>
              </w:rPr>
              <w:t xml:space="preserve"> </w:t>
            </w:r>
          </w:p>
          <w:p w14:paraId="121C10C0" w14:textId="77777777" w:rsidR="00C004B3" w:rsidRDefault="00C004B3" w:rsidP="00C004B3">
            <w:pPr>
              <w:pStyle w:val="Reply"/>
              <w:spacing w:line="240" w:lineRule="auto"/>
              <w:rPr>
                <w:noProof/>
                <w:kern w:val="0"/>
              </w:rPr>
            </w:pPr>
            <w:r w:rsidRPr="0025103C">
              <w:rPr>
                <w:noProof/>
                <w:kern w:val="0"/>
              </w:rPr>
              <w:t xml:space="preserve">Cost wise, </w:t>
            </w:r>
            <w:r w:rsidRPr="007A3B01">
              <w:rPr>
                <w:noProof/>
                <w:kern w:val="0"/>
              </w:rPr>
              <w:t>new costs</w:t>
            </w:r>
            <w:r w:rsidRPr="0025103C">
              <w:rPr>
                <w:noProof/>
                <w:kern w:val="0"/>
              </w:rPr>
              <w:t xml:space="preserve"> notably include the amortisation of all </w:t>
            </w:r>
            <w:r w:rsidRPr="007A3B01">
              <w:rPr>
                <w:noProof/>
                <w:kern w:val="0"/>
              </w:rPr>
              <w:t>one-off adjustment costs</w:t>
            </w:r>
            <w:r w:rsidRPr="0025103C">
              <w:rPr>
                <w:noProof/>
                <w:kern w:val="0"/>
              </w:rPr>
              <w:t xml:space="preserve"> such as the additional cost induced by </w:t>
            </w:r>
            <w:r w:rsidRPr="00C004B3">
              <w:rPr>
                <w:noProof/>
                <w:kern w:val="0"/>
              </w:rPr>
              <w:t>using</w:t>
            </w:r>
            <w:r w:rsidRPr="007A3B01">
              <w:rPr>
                <w:noProof/>
                <w:kern w:val="0"/>
              </w:rPr>
              <w:t xml:space="preserve"> EU-located infrastructure, </w:t>
            </w:r>
            <w:r w:rsidRPr="00C004B3">
              <w:rPr>
                <w:noProof/>
                <w:kern w:val="0"/>
              </w:rPr>
              <w:t>the additional</w:t>
            </w:r>
            <w:r w:rsidRPr="007A3B01">
              <w:rPr>
                <w:noProof/>
                <w:kern w:val="0"/>
              </w:rPr>
              <w:t xml:space="preserve"> compliance costs induced by the audits, </w:t>
            </w:r>
            <w:r w:rsidRPr="00C004B3">
              <w:rPr>
                <w:noProof/>
                <w:kern w:val="0"/>
              </w:rPr>
              <w:t>the additional</w:t>
            </w:r>
            <w:r w:rsidRPr="007A3B01">
              <w:rPr>
                <w:noProof/>
                <w:kern w:val="0"/>
              </w:rPr>
              <w:t xml:space="preserve"> costs of being certified under EUCS</w:t>
            </w:r>
            <w:r w:rsidRPr="0025103C">
              <w:rPr>
                <w:noProof/>
                <w:kern w:val="0"/>
              </w:rPr>
              <w:t xml:space="preserve">; and proper recurrent costs such as the </w:t>
            </w:r>
            <w:r w:rsidRPr="007A3B01">
              <w:rPr>
                <w:noProof/>
                <w:kern w:val="0"/>
              </w:rPr>
              <w:t>higher salaries of employing EU workforce</w:t>
            </w:r>
            <w:r w:rsidRPr="0025103C">
              <w:rPr>
                <w:noProof/>
                <w:kern w:val="0"/>
              </w:rPr>
              <w:t xml:space="preserve">. </w:t>
            </w:r>
          </w:p>
          <w:p w14:paraId="50BA2E44" w14:textId="235FC384" w:rsidR="00BB523E" w:rsidRDefault="00C004B3" w:rsidP="00C004B3">
            <w:pPr>
              <w:pStyle w:val="Reply"/>
              <w:spacing w:line="240" w:lineRule="auto"/>
              <w:rPr>
                <w:noProof/>
                <w:kern w:val="0"/>
              </w:rPr>
            </w:pPr>
            <w:r w:rsidRPr="0025103C">
              <w:rPr>
                <w:noProof/>
                <w:kern w:val="0"/>
              </w:rPr>
              <w:t xml:space="preserve">As an illustration, speaking under the condition of anonymity for business secrecy reasons, </w:t>
            </w:r>
            <w:r w:rsidR="0092055F">
              <w:rPr>
                <w:noProof/>
                <w:kern w:val="0"/>
              </w:rPr>
              <w:t>a</w:t>
            </w:r>
            <w:r w:rsidR="00897397">
              <w:rPr>
                <w:noProof/>
                <w:kern w:val="0"/>
              </w:rPr>
              <w:t>n EU</w:t>
            </w:r>
            <w:r w:rsidR="0092055F">
              <w:rPr>
                <w:noProof/>
                <w:kern w:val="0"/>
              </w:rPr>
              <w:t xml:space="preserve"> service provider </w:t>
            </w:r>
            <w:r w:rsidR="00E12496">
              <w:rPr>
                <w:noProof/>
                <w:kern w:val="0"/>
              </w:rPr>
              <w:t>specialised in</w:t>
            </w:r>
            <w:r w:rsidRPr="0025103C">
              <w:rPr>
                <w:noProof/>
                <w:kern w:val="0"/>
              </w:rPr>
              <w:t xml:space="preserve"> sovereign services speaks of an </w:t>
            </w:r>
            <w:r w:rsidRPr="00244796">
              <w:rPr>
                <w:noProof/>
                <w:kern w:val="0"/>
              </w:rPr>
              <w:t>overall investment of EUR 1.5 bn, including hardware, for a broad range of IaaS and PaaS services</w:t>
            </w:r>
            <w:r>
              <w:rPr>
                <w:noProof/>
                <w:kern w:val="0"/>
              </w:rPr>
              <w:t xml:space="preserve"> (</w:t>
            </w:r>
            <w:r w:rsidRPr="0025103C">
              <w:rPr>
                <w:noProof/>
                <w:kern w:val="0"/>
              </w:rPr>
              <w:t>for an unspecified computing capacity</w:t>
            </w:r>
            <w:r>
              <w:rPr>
                <w:noProof/>
                <w:kern w:val="0"/>
              </w:rPr>
              <w:t>)</w:t>
            </w:r>
            <w:r w:rsidRPr="0025103C">
              <w:rPr>
                <w:noProof/>
                <w:kern w:val="0"/>
              </w:rPr>
              <w:t>.</w:t>
            </w:r>
          </w:p>
          <w:p w14:paraId="1E11D579" w14:textId="77777777" w:rsidR="00BA17D1" w:rsidRDefault="00BB523E" w:rsidP="00BB523E">
            <w:pPr>
              <w:pStyle w:val="Reply"/>
              <w:spacing w:line="240" w:lineRule="auto"/>
              <w:rPr>
                <w:noProof/>
                <w:kern w:val="0"/>
              </w:rPr>
            </w:pPr>
            <w:r>
              <w:rPr>
                <w:noProof/>
                <w:kern w:val="0"/>
              </w:rPr>
              <w:t xml:space="preserve">Conversely, another </w:t>
            </w:r>
            <w:r w:rsidR="003638CE">
              <w:rPr>
                <w:noProof/>
                <w:kern w:val="0"/>
              </w:rPr>
              <w:t xml:space="preserve">EU service provider with an established range of non-sovereign </w:t>
            </w:r>
            <w:r w:rsidR="00F836A4">
              <w:rPr>
                <w:noProof/>
                <w:kern w:val="0"/>
              </w:rPr>
              <w:t xml:space="preserve">services speaks of an overall investment in the </w:t>
            </w:r>
            <w:r w:rsidR="00622E1D">
              <w:rPr>
                <w:noProof/>
                <w:kern w:val="0"/>
              </w:rPr>
              <w:t xml:space="preserve">range of EUR </w:t>
            </w:r>
            <w:r w:rsidR="00E87615">
              <w:rPr>
                <w:noProof/>
                <w:kern w:val="0"/>
              </w:rPr>
              <w:t>20-40</w:t>
            </w:r>
            <w:r w:rsidR="00622E1D">
              <w:rPr>
                <w:noProof/>
                <w:kern w:val="0"/>
              </w:rPr>
              <w:t xml:space="preserve"> m</w:t>
            </w:r>
            <w:r w:rsidR="00CA66A3">
              <w:rPr>
                <w:noProof/>
                <w:kern w:val="0"/>
              </w:rPr>
              <w:t xml:space="preserve"> to </w:t>
            </w:r>
            <w:r w:rsidR="002E6611">
              <w:rPr>
                <w:noProof/>
                <w:kern w:val="0"/>
              </w:rPr>
              <w:t xml:space="preserve">adjust existing hardware and software to the </w:t>
            </w:r>
            <w:r w:rsidR="003C34A2">
              <w:rPr>
                <w:noProof/>
                <w:kern w:val="0"/>
              </w:rPr>
              <w:t xml:space="preserve">stricter norms </w:t>
            </w:r>
            <w:r w:rsidR="00837FF2">
              <w:rPr>
                <w:noProof/>
                <w:kern w:val="0"/>
              </w:rPr>
              <w:t>that a sovereign service entails</w:t>
            </w:r>
            <w:r w:rsidR="00D263BD">
              <w:rPr>
                <w:noProof/>
                <w:kern w:val="0"/>
              </w:rPr>
              <w:t xml:space="preserve">, with plans to </w:t>
            </w:r>
            <w:r w:rsidR="00FE27FB">
              <w:rPr>
                <w:noProof/>
                <w:kern w:val="0"/>
              </w:rPr>
              <w:t>invest progressively should the market d</w:t>
            </w:r>
            <w:r w:rsidR="00BA17D1">
              <w:rPr>
                <w:noProof/>
                <w:kern w:val="0"/>
              </w:rPr>
              <w:t>evelops</w:t>
            </w:r>
            <w:r w:rsidR="00837FF2">
              <w:rPr>
                <w:noProof/>
                <w:kern w:val="0"/>
              </w:rPr>
              <w:t>.</w:t>
            </w:r>
          </w:p>
          <w:p w14:paraId="1B1305D6" w14:textId="36533BFD" w:rsidR="0038313B" w:rsidRPr="0012250C" w:rsidRDefault="00BA17D1" w:rsidP="009358FE">
            <w:pPr>
              <w:pStyle w:val="Reply"/>
              <w:spacing w:line="240" w:lineRule="auto"/>
              <w:rPr>
                <w:noProof/>
                <w:kern w:val="0"/>
              </w:rPr>
            </w:pPr>
            <w:r>
              <w:rPr>
                <w:noProof/>
                <w:kern w:val="0"/>
              </w:rPr>
              <w:t xml:space="preserve">The benefits for </w:t>
            </w:r>
            <w:r w:rsidR="0012250C">
              <w:rPr>
                <w:noProof/>
                <w:kern w:val="0"/>
              </w:rPr>
              <w:t>service providers to develop sovereign services are covered under section 6.1.5.</w:t>
            </w:r>
            <w:r w:rsidR="00837FF2">
              <w:rPr>
                <w:noProof/>
                <w:kern w:val="0"/>
              </w:rPr>
              <w:t xml:space="preserve"> </w:t>
            </w:r>
          </w:p>
        </w:tc>
      </w:tr>
    </w:tbl>
    <w:p w14:paraId="40361F37" w14:textId="0575ADE0" w:rsidR="00F57130" w:rsidRDefault="00E61374" w:rsidP="00A6756B">
      <w:pPr>
        <w:spacing w:before="120"/>
        <w:rPr>
          <w:noProof/>
        </w:rPr>
      </w:pPr>
      <w:r w:rsidRPr="2A6A1A3F">
        <w:rPr>
          <w:b/>
          <w:bCs/>
          <w:i/>
          <w:iCs/>
          <w:noProof/>
        </w:rPr>
        <w:t>Economic benefits and cost savings for data centre operators</w:t>
      </w:r>
      <w:r w:rsidRPr="00D37004">
        <w:rPr>
          <w:noProof/>
        </w:rPr>
        <w:t xml:space="preserve">. </w:t>
      </w:r>
      <w:r w:rsidRPr="294AF3FA">
        <w:rPr>
          <w:b/>
          <w:bCs/>
          <w:noProof/>
        </w:rPr>
        <w:t>PO1-A</w:t>
      </w:r>
      <w:r w:rsidRPr="2A6A1A3F" w:rsidDel="00BC6E01">
        <w:rPr>
          <w:b/>
          <w:bCs/>
          <w:noProof/>
        </w:rPr>
        <w:t xml:space="preserve"> </w:t>
      </w:r>
      <w:r w:rsidR="00BC6E01">
        <w:rPr>
          <w:noProof/>
        </w:rPr>
        <w:t>would be</w:t>
      </w:r>
      <w:r w:rsidRPr="00D37004">
        <w:rPr>
          <w:noProof/>
        </w:rPr>
        <w:t xml:space="preserve"> expected to generate </w:t>
      </w:r>
      <w:r>
        <w:rPr>
          <w:noProof/>
        </w:rPr>
        <w:t xml:space="preserve">direct cost savings, via improved information and administrative burden reductions. Although voluntary, </w:t>
      </w:r>
      <w:r w:rsidRPr="00D37004">
        <w:rPr>
          <w:noProof/>
        </w:rPr>
        <w:t xml:space="preserve">the new guidelines </w:t>
      </w:r>
      <w:r>
        <w:rPr>
          <w:noProof/>
        </w:rPr>
        <w:t>(PM3)</w:t>
      </w:r>
      <w:r w:rsidRPr="00D37004" w:rsidDel="00285056">
        <w:rPr>
          <w:noProof/>
        </w:rPr>
        <w:t xml:space="preserve"> </w:t>
      </w:r>
      <w:r w:rsidR="00F755EB">
        <w:rPr>
          <w:noProof/>
        </w:rPr>
        <w:t>would contribute</w:t>
      </w:r>
      <w:r>
        <w:rPr>
          <w:noProof/>
        </w:rPr>
        <w:t xml:space="preserve"> to</w:t>
      </w:r>
      <w:r w:rsidRPr="00D37004">
        <w:rPr>
          <w:noProof/>
        </w:rPr>
        <w:t xml:space="preserve"> increase clarity</w:t>
      </w:r>
      <w:r>
        <w:rPr>
          <w:noProof/>
        </w:rPr>
        <w:t>, simplify procedures</w:t>
      </w:r>
      <w:r w:rsidRPr="00D37004">
        <w:rPr>
          <w:noProof/>
        </w:rPr>
        <w:t xml:space="preserve"> and reduce</w:t>
      </w:r>
      <w:r w:rsidRPr="00D37004" w:rsidDel="008B2325">
        <w:rPr>
          <w:noProof/>
        </w:rPr>
        <w:t xml:space="preserve"> </w:t>
      </w:r>
      <w:r>
        <w:rPr>
          <w:noProof/>
        </w:rPr>
        <w:t xml:space="preserve">the incidence of mistakes, saving time for operators during the pre-operation phase of building a new </w:t>
      </w:r>
      <w:r w:rsidR="00217F2B">
        <w:rPr>
          <w:noProof/>
        </w:rPr>
        <w:t>DC</w:t>
      </w:r>
      <w:r>
        <w:rPr>
          <w:noProof/>
        </w:rPr>
        <w:t xml:space="preserve">, modelled as a central 10-day time saving. When multiplied by the expected number of facilities that could benefit from this time and consequent cost saving, the guidelines </w:t>
      </w:r>
      <w:r w:rsidR="007F4E54">
        <w:rPr>
          <w:noProof/>
        </w:rPr>
        <w:t>would</w:t>
      </w:r>
      <w:r>
        <w:rPr>
          <w:noProof/>
        </w:rPr>
        <w:t xml:space="preserve"> generate discounted </w:t>
      </w:r>
      <w:r w:rsidRPr="00D37004">
        <w:rPr>
          <w:noProof/>
        </w:rPr>
        <w:t xml:space="preserve">savings </w:t>
      </w:r>
      <w:r w:rsidR="007F4E54">
        <w:rPr>
          <w:noProof/>
        </w:rPr>
        <w:t xml:space="preserve">ranging </w:t>
      </w:r>
      <w:r w:rsidR="007F4E54" w:rsidRPr="002675D7">
        <w:rPr>
          <w:b/>
          <w:noProof/>
        </w:rPr>
        <w:t>between</w:t>
      </w:r>
      <w:r w:rsidRPr="002675D7">
        <w:rPr>
          <w:b/>
          <w:noProof/>
        </w:rPr>
        <w:t xml:space="preserve"> EUR </w:t>
      </w:r>
      <w:r w:rsidR="007F4E54" w:rsidRPr="002675D7">
        <w:rPr>
          <w:b/>
          <w:noProof/>
        </w:rPr>
        <w:t>1 and 3.5</w:t>
      </w:r>
      <w:r w:rsidRPr="002675D7">
        <w:rPr>
          <w:b/>
          <w:noProof/>
        </w:rPr>
        <w:t xml:space="preserve"> m</w:t>
      </w:r>
      <w:r w:rsidRPr="00D37004" w:rsidDel="005D0AB2">
        <w:rPr>
          <w:noProof/>
        </w:rPr>
        <w:t xml:space="preserve"> </w:t>
      </w:r>
      <w:r w:rsidRPr="00D37004">
        <w:rPr>
          <w:noProof/>
        </w:rPr>
        <w:t xml:space="preserve">over the assessment period. </w:t>
      </w:r>
      <w:r w:rsidRPr="294AF3FA">
        <w:rPr>
          <w:b/>
          <w:bCs/>
          <w:noProof/>
        </w:rPr>
        <w:t>PO1-B</w:t>
      </w:r>
      <w:r w:rsidRPr="00D37004">
        <w:rPr>
          <w:noProof/>
        </w:rPr>
        <w:t xml:space="preserve"> </w:t>
      </w:r>
      <w:r w:rsidR="005A518C">
        <w:rPr>
          <w:noProof/>
        </w:rPr>
        <w:t>would</w:t>
      </w:r>
      <w:r w:rsidRPr="00D37004">
        <w:rPr>
          <w:noProof/>
        </w:rPr>
        <w:t xml:space="preserve"> bring the largest </w:t>
      </w:r>
      <w:r>
        <w:rPr>
          <w:noProof/>
        </w:rPr>
        <w:t>direct economic impact</w:t>
      </w:r>
      <w:r w:rsidRPr="00D37004">
        <w:rPr>
          <w:noProof/>
        </w:rPr>
        <w:t xml:space="preserve"> for </w:t>
      </w:r>
      <w:r w:rsidR="00217F2B">
        <w:rPr>
          <w:noProof/>
        </w:rPr>
        <w:t>DC</w:t>
      </w:r>
      <w:r w:rsidRPr="00D37004">
        <w:rPr>
          <w:noProof/>
        </w:rPr>
        <w:t xml:space="preserve"> operators</w:t>
      </w:r>
      <w:r>
        <w:rPr>
          <w:noProof/>
        </w:rPr>
        <w:t xml:space="preserve">, modelled through a Net Present Value approach which compared the baseline permitting duration with the accelerated scenario to estimate the economic value of bringing constructions and commercial operations of a </w:t>
      </w:r>
      <w:r w:rsidR="00217F2B">
        <w:rPr>
          <w:noProof/>
        </w:rPr>
        <w:t>DC</w:t>
      </w:r>
      <w:r>
        <w:rPr>
          <w:noProof/>
        </w:rPr>
        <w:t xml:space="preserve"> facility forward in time</w:t>
      </w:r>
      <w:r w:rsidRPr="00D37004">
        <w:rPr>
          <w:noProof/>
        </w:rPr>
        <w:t xml:space="preserve">. </w:t>
      </w:r>
      <w:r w:rsidR="0045040D">
        <w:rPr>
          <w:noProof/>
        </w:rPr>
        <w:t xml:space="preserve">Based on the evidence collected, the </w:t>
      </w:r>
      <w:r>
        <w:rPr>
          <w:noProof/>
        </w:rPr>
        <w:t>project facilitator</w:t>
      </w:r>
      <w:r w:rsidRPr="00D37004">
        <w:rPr>
          <w:noProof/>
        </w:rPr>
        <w:t xml:space="preserve"> for </w:t>
      </w:r>
      <w:r w:rsidR="00217F2B">
        <w:rPr>
          <w:noProof/>
        </w:rPr>
        <w:t>DC</w:t>
      </w:r>
      <w:r w:rsidRPr="00D37004">
        <w:rPr>
          <w:noProof/>
        </w:rPr>
        <w:t xml:space="preserve"> roll-out </w:t>
      </w:r>
      <w:r>
        <w:rPr>
          <w:noProof/>
        </w:rPr>
        <w:t>(PM4) combined with</w:t>
      </w:r>
      <w:r w:rsidRPr="00D37004">
        <w:rPr>
          <w:noProof/>
        </w:rPr>
        <w:t xml:space="preserve"> access to fast-track areas </w:t>
      </w:r>
      <w:r>
        <w:rPr>
          <w:noProof/>
        </w:rPr>
        <w:t>(PM5)</w:t>
      </w:r>
      <w:r w:rsidRPr="00D37004">
        <w:rPr>
          <w:noProof/>
        </w:rPr>
        <w:t xml:space="preserve"> are </w:t>
      </w:r>
      <w:r w:rsidR="0045040D">
        <w:rPr>
          <w:noProof/>
        </w:rPr>
        <w:t>expected</w:t>
      </w:r>
      <w:r w:rsidR="0045040D" w:rsidRPr="00D37004">
        <w:rPr>
          <w:noProof/>
        </w:rPr>
        <w:t xml:space="preserve"> </w:t>
      </w:r>
      <w:r w:rsidRPr="00D37004">
        <w:rPr>
          <w:noProof/>
        </w:rPr>
        <w:t>to reduce uncertainty on investment locations by excluding non-viable sites</w:t>
      </w:r>
      <w:r>
        <w:rPr>
          <w:noProof/>
        </w:rPr>
        <w:t xml:space="preserve"> and</w:t>
      </w:r>
      <w:r w:rsidRPr="00D37004">
        <w:rPr>
          <w:noProof/>
        </w:rPr>
        <w:t xml:space="preserve"> decreas</w:t>
      </w:r>
      <w:r w:rsidR="0045040D">
        <w:rPr>
          <w:noProof/>
        </w:rPr>
        <w:t>e</w:t>
      </w:r>
      <w:r w:rsidRPr="00D37004">
        <w:rPr>
          <w:noProof/>
        </w:rPr>
        <w:t xml:space="preserve"> time to market for </w:t>
      </w:r>
      <w:r w:rsidR="00217F2B">
        <w:rPr>
          <w:noProof/>
        </w:rPr>
        <w:t>DC</w:t>
      </w:r>
      <w:r w:rsidRPr="00D37004">
        <w:rPr>
          <w:noProof/>
        </w:rPr>
        <w:t xml:space="preserve"> projects </w:t>
      </w:r>
      <w:r>
        <w:rPr>
          <w:noProof/>
        </w:rPr>
        <w:t>by</w:t>
      </w:r>
      <w:r w:rsidR="0045040D">
        <w:rPr>
          <w:noProof/>
        </w:rPr>
        <w:t xml:space="preserve"> on average</w:t>
      </w:r>
      <w:r>
        <w:rPr>
          <w:noProof/>
        </w:rPr>
        <w:t xml:space="preserve"> 14 months</w:t>
      </w:r>
      <w:r w:rsidRPr="00D37004">
        <w:rPr>
          <w:noProof/>
        </w:rPr>
        <w:t>. Under the baseline scenario, the</w:t>
      </w:r>
      <w:r w:rsidR="00627F00">
        <w:rPr>
          <w:noProof/>
        </w:rPr>
        <w:t xml:space="preserve"> total</w:t>
      </w:r>
      <w:r w:rsidRPr="00D37004">
        <w:rPr>
          <w:noProof/>
        </w:rPr>
        <w:t xml:space="preserve"> time </w:t>
      </w:r>
      <w:r w:rsidR="00F41C08">
        <w:rPr>
          <w:noProof/>
        </w:rPr>
        <w:t>to build a DC, i.e.</w:t>
      </w:r>
      <w:r w:rsidR="00F41C08" w:rsidRPr="00D37004">
        <w:rPr>
          <w:noProof/>
        </w:rPr>
        <w:t xml:space="preserve"> </w:t>
      </w:r>
      <w:r w:rsidRPr="00D37004">
        <w:rPr>
          <w:noProof/>
        </w:rPr>
        <w:t>from planning to entry into operation</w:t>
      </w:r>
      <w:r w:rsidR="00F41C08">
        <w:rPr>
          <w:noProof/>
        </w:rPr>
        <w:t>,</w:t>
      </w:r>
      <w:r w:rsidRPr="00D37004" w:rsidDel="00F41C08">
        <w:rPr>
          <w:noProof/>
        </w:rPr>
        <w:t xml:space="preserve"> </w:t>
      </w:r>
      <w:r>
        <w:rPr>
          <w:noProof/>
        </w:rPr>
        <w:t>was</w:t>
      </w:r>
      <w:r w:rsidRPr="00D37004">
        <w:rPr>
          <w:noProof/>
        </w:rPr>
        <w:t xml:space="preserve"> estimated at 32 months</w:t>
      </w:r>
      <w:r>
        <w:rPr>
          <w:noProof/>
        </w:rPr>
        <w:t xml:space="preserve"> on average across the EU</w:t>
      </w:r>
      <w:r w:rsidRPr="00D37004">
        <w:rPr>
          <w:noProof/>
        </w:rPr>
        <w:t>.</w:t>
      </w:r>
      <w:r w:rsidRPr="00D37004" w:rsidDel="0005019A">
        <w:rPr>
          <w:noProof/>
        </w:rPr>
        <w:t xml:space="preserve"> </w:t>
      </w:r>
      <w:r w:rsidRPr="00D37004">
        <w:rPr>
          <w:noProof/>
        </w:rPr>
        <w:t>This time</w:t>
      </w:r>
      <w:r w:rsidRPr="00D37004" w:rsidDel="00C34BC3">
        <w:rPr>
          <w:noProof/>
        </w:rPr>
        <w:t xml:space="preserve"> </w:t>
      </w:r>
      <w:r w:rsidRPr="00D37004">
        <w:rPr>
          <w:noProof/>
        </w:rPr>
        <w:t xml:space="preserve">is expected to decrease by </w:t>
      </w:r>
      <w:r>
        <w:rPr>
          <w:noProof/>
        </w:rPr>
        <w:t>6</w:t>
      </w:r>
      <w:r w:rsidRPr="00D37004">
        <w:rPr>
          <w:noProof/>
        </w:rPr>
        <w:t xml:space="preserve"> months from 2027 onwards due to </w:t>
      </w:r>
      <w:r>
        <w:rPr>
          <w:noProof/>
        </w:rPr>
        <w:t>the project facilitator</w:t>
      </w:r>
      <w:r w:rsidRPr="00D37004">
        <w:rPr>
          <w:noProof/>
        </w:rPr>
        <w:t xml:space="preserve"> and by an additional </w:t>
      </w:r>
      <w:r>
        <w:rPr>
          <w:noProof/>
        </w:rPr>
        <w:t>8</w:t>
      </w:r>
      <w:r w:rsidRPr="00D37004">
        <w:rPr>
          <w:noProof/>
        </w:rPr>
        <w:t xml:space="preserve"> months due to </w:t>
      </w:r>
      <w:r>
        <w:rPr>
          <w:noProof/>
        </w:rPr>
        <w:t xml:space="preserve">streamlined </w:t>
      </w:r>
      <w:r w:rsidRPr="00D37004">
        <w:rPr>
          <w:noProof/>
        </w:rPr>
        <w:t>access to fast-track areas</w:t>
      </w:r>
      <w:r w:rsidRPr="00D37004">
        <w:rPr>
          <w:rStyle w:val="FootnoteReference"/>
          <w:noProof/>
        </w:rPr>
        <w:footnoteReference w:id="105"/>
      </w:r>
      <w:r w:rsidRPr="00D37004">
        <w:rPr>
          <w:noProof/>
        </w:rPr>
        <w:t xml:space="preserve">. </w:t>
      </w:r>
      <w:r w:rsidRPr="005E02F6">
        <w:rPr>
          <w:noProof/>
        </w:rPr>
        <w:t>The</w:t>
      </w:r>
      <w:r>
        <w:rPr>
          <w:noProof/>
        </w:rPr>
        <w:t xml:space="preserve"> estimated</w:t>
      </w:r>
      <w:r w:rsidRPr="005E02F6">
        <w:rPr>
          <w:noProof/>
        </w:rPr>
        <w:t xml:space="preserve"> NPV gain </w:t>
      </w:r>
      <w:r>
        <w:rPr>
          <w:noProof/>
        </w:rPr>
        <w:t xml:space="preserve">is also </w:t>
      </w:r>
      <w:r w:rsidRPr="005E02F6">
        <w:rPr>
          <w:noProof/>
        </w:rPr>
        <w:t xml:space="preserve">associated with </w:t>
      </w:r>
      <w:r>
        <w:rPr>
          <w:noProof/>
        </w:rPr>
        <w:t xml:space="preserve">the </w:t>
      </w:r>
      <w:r w:rsidR="009F6E56">
        <w:rPr>
          <w:noProof/>
        </w:rPr>
        <w:t xml:space="preserve">expected </w:t>
      </w:r>
      <w:r>
        <w:rPr>
          <w:noProof/>
        </w:rPr>
        <w:t xml:space="preserve">reduction in PUE foreseen under this measure, as only the most sustainable </w:t>
      </w:r>
      <w:r w:rsidR="00217F2B">
        <w:rPr>
          <w:noProof/>
        </w:rPr>
        <w:t>DCs</w:t>
      </w:r>
      <w:r>
        <w:rPr>
          <w:noProof/>
        </w:rPr>
        <w:t xml:space="preserve"> would be able to benefit from the fast-tracking.</w:t>
      </w:r>
      <w:r w:rsidRPr="005E02F6">
        <w:rPr>
          <w:noProof/>
        </w:rPr>
        <w:t xml:space="preserve"> </w:t>
      </w:r>
      <w:r>
        <w:rPr>
          <w:noProof/>
        </w:rPr>
        <w:t>The</w:t>
      </w:r>
      <w:r w:rsidR="004665CB">
        <w:rPr>
          <w:noProof/>
        </w:rPr>
        <w:t xml:space="preserve">refore, the </w:t>
      </w:r>
      <w:r>
        <w:rPr>
          <w:noProof/>
        </w:rPr>
        <w:t>expected i</w:t>
      </w:r>
      <w:r w:rsidRPr="000E0291">
        <w:rPr>
          <w:noProof/>
        </w:rPr>
        <w:t>mprovements in energy efficiency</w:t>
      </w:r>
      <w:r>
        <w:rPr>
          <w:noProof/>
        </w:rPr>
        <w:t xml:space="preserve">, modelled as </w:t>
      </w:r>
      <w:r w:rsidRPr="000E0291">
        <w:rPr>
          <w:noProof/>
        </w:rPr>
        <w:t>a declining PUE</w:t>
      </w:r>
      <w:r>
        <w:rPr>
          <w:noProof/>
        </w:rPr>
        <w:t xml:space="preserve">, </w:t>
      </w:r>
      <w:r w:rsidR="00087628">
        <w:rPr>
          <w:noProof/>
        </w:rPr>
        <w:t xml:space="preserve">would </w:t>
      </w:r>
      <w:r>
        <w:rPr>
          <w:noProof/>
        </w:rPr>
        <w:t xml:space="preserve">also contribute to reducing </w:t>
      </w:r>
      <w:r w:rsidRPr="000E0291">
        <w:rPr>
          <w:noProof/>
        </w:rPr>
        <w:t>operating costs over time</w:t>
      </w:r>
      <w:r w:rsidRPr="005E02F6">
        <w:rPr>
          <w:noProof/>
        </w:rPr>
        <w:t xml:space="preserve">. </w:t>
      </w:r>
      <w:r>
        <w:rPr>
          <w:noProof/>
        </w:rPr>
        <w:t xml:space="preserve">Over the 10-year assessment, this option </w:t>
      </w:r>
      <w:r w:rsidR="00592AEE">
        <w:rPr>
          <w:noProof/>
        </w:rPr>
        <w:t xml:space="preserve">could </w:t>
      </w:r>
      <w:r>
        <w:rPr>
          <w:noProof/>
        </w:rPr>
        <w:t xml:space="preserve">result in discounted economic benefits </w:t>
      </w:r>
      <w:r w:rsidR="006070EC">
        <w:rPr>
          <w:noProof/>
        </w:rPr>
        <w:t xml:space="preserve">ranging between </w:t>
      </w:r>
      <w:r w:rsidRPr="00987901">
        <w:rPr>
          <w:b/>
          <w:noProof/>
        </w:rPr>
        <w:t xml:space="preserve">EUR </w:t>
      </w:r>
      <w:r w:rsidR="006070EC" w:rsidRPr="00987901">
        <w:rPr>
          <w:b/>
          <w:noProof/>
        </w:rPr>
        <w:t>8 and 27</w:t>
      </w:r>
      <w:r w:rsidRPr="00987901">
        <w:rPr>
          <w:b/>
          <w:noProof/>
        </w:rPr>
        <w:t xml:space="preserve"> bn</w:t>
      </w:r>
      <w:r w:rsidR="007739BF">
        <w:rPr>
          <w:noProof/>
        </w:rPr>
        <w:t>, considering the uncertainty related to these time savings and their compounded impact on project value</w:t>
      </w:r>
      <w:r w:rsidRPr="00D37004" w:rsidDel="00F916DB">
        <w:rPr>
          <w:noProof/>
        </w:rPr>
        <w:t>.</w:t>
      </w:r>
      <w:r w:rsidRPr="00D37004">
        <w:rPr>
          <w:noProof/>
        </w:rPr>
        <w:t xml:space="preserve"> Under </w:t>
      </w:r>
      <w:r w:rsidRPr="294AF3FA">
        <w:rPr>
          <w:b/>
          <w:bCs/>
          <w:noProof/>
        </w:rPr>
        <w:t>PO1-C</w:t>
      </w:r>
      <w:r w:rsidRPr="00D37004">
        <w:rPr>
          <w:noProof/>
        </w:rPr>
        <w:t>, similar</w:t>
      </w:r>
      <w:r w:rsidRPr="00D37004" w:rsidDel="00C05AA7">
        <w:rPr>
          <w:noProof/>
        </w:rPr>
        <w:t xml:space="preserve"> </w:t>
      </w:r>
      <w:r>
        <w:rPr>
          <w:noProof/>
        </w:rPr>
        <w:t>direct economic benefits</w:t>
      </w:r>
      <w:r w:rsidRPr="00D37004">
        <w:rPr>
          <w:noProof/>
        </w:rPr>
        <w:t xml:space="preserve"> are foreseen for operators thanks to the EU-level identification of fast-track areas</w:t>
      </w:r>
      <w:r>
        <w:rPr>
          <w:noProof/>
        </w:rPr>
        <w:t xml:space="preserve"> (PM10)</w:t>
      </w:r>
      <w:r w:rsidRPr="00D37004">
        <w:rPr>
          <w:noProof/>
        </w:rPr>
        <w:t xml:space="preserve">. </w:t>
      </w:r>
      <w:r>
        <w:rPr>
          <w:noProof/>
        </w:rPr>
        <w:t>Based on discussions with industry and following the validation by the sector in the targeted workshop, t</w:t>
      </w:r>
      <w:r w:rsidRPr="00D37004">
        <w:rPr>
          <w:noProof/>
        </w:rPr>
        <w:t>hese savings are expected to be less consistent than under PO1-B</w:t>
      </w:r>
      <w:r w:rsidR="00B367D2">
        <w:rPr>
          <w:noProof/>
        </w:rPr>
        <w:t xml:space="preserve">, with an </w:t>
      </w:r>
      <w:r w:rsidRPr="00D37004">
        <w:rPr>
          <w:noProof/>
        </w:rPr>
        <w:t xml:space="preserve">EU-level management of fast-track </w:t>
      </w:r>
      <w:r>
        <w:rPr>
          <w:noProof/>
        </w:rPr>
        <w:t>area</w:t>
      </w:r>
      <w:r w:rsidRPr="00D37004">
        <w:rPr>
          <w:noProof/>
        </w:rPr>
        <w:t xml:space="preserve">s </w:t>
      </w:r>
      <w:r>
        <w:rPr>
          <w:noProof/>
        </w:rPr>
        <w:t xml:space="preserve">expected to produce time-savings of </w:t>
      </w:r>
      <w:r w:rsidRPr="00D37004">
        <w:rPr>
          <w:noProof/>
        </w:rPr>
        <w:t>3</w:t>
      </w:r>
      <w:r>
        <w:rPr>
          <w:noProof/>
        </w:rPr>
        <w:t xml:space="preserve"> months</w:t>
      </w:r>
      <w:r w:rsidR="00B367D2">
        <w:rPr>
          <w:noProof/>
        </w:rPr>
        <w:t xml:space="preserve">. This would in turn still generate consistent economic benefits that would range </w:t>
      </w:r>
      <w:r w:rsidR="00B367D2" w:rsidRPr="009A28F6">
        <w:rPr>
          <w:b/>
          <w:noProof/>
        </w:rPr>
        <w:t xml:space="preserve">between </w:t>
      </w:r>
      <w:r w:rsidRPr="009A28F6">
        <w:rPr>
          <w:b/>
          <w:noProof/>
        </w:rPr>
        <w:t xml:space="preserve">EUR </w:t>
      </w:r>
      <w:r w:rsidR="00C72845" w:rsidRPr="009A28F6">
        <w:rPr>
          <w:b/>
          <w:noProof/>
        </w:rPr>
        <w:t>5 and 12</w:t>
      </w:r>
      <w:r w:rsidR="001A0D92" w:rsidRPr="009A28F6">
        <w:rPr>
          <w:b/>
          <w:noProof/>
        </w:rPr>
        <w:t xml:space="preserve"> </w:t>
      </w:r>
      <w:r w:rsidRPr="009A28F6">
        <w:rPr>
          <w:b/>
          <w:noProof/>
        </w:rPr>
        <w:t>bn</w:t>
      </w:r>
      <w:r>
        <w:rPr>
          <w:noProof/>
        </w:rPr>
        <w:t xml:space="preserve"> over the 10-year period</w:t>
      </w:r>
      <w:r w:rsidRPr="00D37004">
        <w:rPr>
          <w:noProof/>
        </w:rPr>
        <w:t>.</w:t>
      </w:r>
    </w:p>
    <w:p w14:paraId="7E3A0AD1" w14:textId="5085CD8C" w:rsidR="00E61374" w:rsidRPr="00D37004" w:rsidRDefault="00E61374" w:rsidP="00E61374">
      <w:pPr>
        <w:rPr>
          <w:noProof/>
        </w:rPr>
      </w:pPr>
      <w:r>
        <w:rPr>
          <w:noProof/>
        </w:rPr>
        <w:fldChar w:fldCharType="begin"/>
      </w:r>
      <w:r>
        <w:rPr>
          <w:noProof/>
        </w:rPr>
        <w:instrText xml:space="preserve"> REF _Ref215736369 \h </w:instrText>
      </w:r>
      <w:r>
        <w:rPr>
          <w:noProof/>
        </w:rPr>
      </w:r>
      <w:r>
        <w:rPr>
          <w:noProof/>
        </w:rPr>
        <w:fldChar w:fldCharType="separate"/>
      </w:r>
      <w:r w:rsidR="00137E65" w:rsidRPr="00D37004">
        <w:rPr>
          <w:noProof/>
        </w:rPr>
        <w:t xml:space="preserve">Figure </w:t>
      </w:r>
      <w:r w:rsidR="00137E65">
        <w:rPr>
          <w:noProof/>
        </w:rPr>
        <w:t>10</w:t>
      </w:r>
      <w:r>
        <w:rPr>
          <w:noProof/>
        </w:rPr>
        <w:fldChar w:fldCharType="end"/>
      </w:r>
      <w:r w:rsidRPr="00D37004">
        <w:rPr>
          <w:noProof/>
        </w:rPr>
        <w:t xml:space="preserve"> shows the potential evolution of </w:t>
      </w:r>
      <w:r w:rsidR="00217F2B">
        <w:rPr>
          <w:noProof/>
        </w:rPr>
        <w:t>DC</w:t>
      </w:r>
      <w:r w:rsidRPr="00D37004">
        <w:rPr>
          <w:noProof/>
        </w:rPr>
        <w:t xml:space="preserve"> supply under each policy option</w:t>
      </w:r>
      <w:r w:rsidR="00F35953" w:rsidRPr="00F35953">
        <w:rPr>
          <w:noProof/>
        </w:rPr>
        <w:t xml:space="preserve"> </w:t>
      </w:r>
      <w:r w:rsidR="00F35953">
        <w:rPr>
          <w:noProof/>
        </w:rPr>
        <w:t>and the expected reduction in the gap against projected demand in the baseline scenario</w:t>
      </w:r>
      <w:r w:rsidR="00F35953">
        <w:rPr>
          <w:rStyle w:val="FootnoteReference"/>
          <w:noProof/>
        </w:rPr>
        <w:footnoteReference w:id="106"/>
      </w:r>
      <w:r w:rsidR="00F35953">
        <w:rPr>
          <w:noProof/>
        </w:rPr>
        <w:t>.</w:t>
      </w:r>
      <w:r w:rsidRPr="00D37004">
        <w:rPr>
          <w:noProof/>
        </w:rPr>
        <w:t xml:space="preserve"> </w:t>
      </w:r>
    </w:p>
    <w:p w14:paraId="13BDE585" w14:textId="1EBCBB22" w:rsidR="00E61374" w:rsidRPr="00027917" w:rsidRDefault="00E61374" w:rsidP="006662F4">
      <w:pPr>
        <w:pStyle w:val="Caption"/>
        <w:keepNext/>
        <w:rPr>
          <w:rStyle w:val="normaltextrun"/>
          <w:noProof/>
        </w:rPr>
      </w:pPr>
      <w:bookmarkStart w:id="57" w:name="_Ref215736369"/>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10</w:t>
      </w:r>
      <w:r w:rsidRPr="00D37004">
        <w:rPr>
          <w:noProof/>
        </w:rPr>
        <w:fldChar w:fldCharType="end"/>
      </w:r>
      <w:bookmarkEnd w:id="57"/>
      <w:r w:rsidRPr="00D37004">
        <w:rPr>
          <w:noProof/>
        </w:rPr>
        <w:t>. Forecasted evolution of data centre capacity (GW) under each PO, with respect to the baseline</w:t>
      </w:r>
    </w:p>
    <w:p w14:paraId="771AE0E0" w14:textId="77777777" w:rsidR="00E61374" w:rsidRDefault="00E61374" w:rsidP="28123D7F">
      <w:pPr>
        <w:jc w:val="center"/>
        <w:rPr>
          <w:rStyle w:val="normaltextrun"/>
          <w:i/>
          <w:iCs/>
          <w:noProof/>
          <w:color w:val="000000"/>
          <w:sz w:val="20"/>
          <w:szCs w:val="20"/>
          <w:shd w:val="clear" w:color="auto" w:fill="FFFFFF"/>
        </w:rPr>
      </w:pPr>
      <w:r>
        <w:rPr>
          <w:noProof/>
          <w:lang w:eastAsia="en-GB"/>
        </w:rPr>
        <w:drawing>
          <wp:inline distT="0" distB="0" distL="0" distR="0" wp14:anchorId="33806489" wp14:editId="71FEBB08">
            <wp:extent cx="5927725" cy="2881423"/>
            <wp:effectExtent l="0" t="0" r="0" b="0"/>
            <wp:docPr id="1534347591" name="Chart 1">
              <a:extLst xmlns:a="http://schemas.openxmlformats.org/drawingml/2006/main">
                <a:ext uri="{FF2B5EF4-FFF2-40B4-BE49-F238E27FC236}">
                  <a16:creationId xmlns:a16="http://schemas.microsoft.com/office/drawing/2014/main" id="{358F2123-830E-4639-B97B-A4761D531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D31EF1A" w14:textId="77777777" w:rsidR="00E61374" w:rsidRPr="00D37004" w:rsidRDefault="00E61374" w:rsidP="006B5183">
      <w:pPr>
        <w:pStyle w:val="Source"/>
        <w:rPr>
          <w:noProof/>
        </w:rPr>
      </w:pPr>
      <w:r w:rsidRPr="1FC8885A">
        <w:rPr>
          <w:rStyle w:val="normaltextrun"/>
          <w:noProof/>
          <w:color w:val="000000"/>
          <w:sz w:val="20"/>
          <w:szCs w:val="20"/>
          <w:shd w:val="clear" w:color="auto" w:fill="FFFFFF"/>
        </w:rPr>
        <w:t xml:space="preserve">Source: </w:t>
      </w:r>
      <w:r w:rsidRPr="20A6A233">
        <w:rPr>
          <w:noProof/>
        </w:rPr>
        <w:t>Technopolis</w:t>
      </w:r>
      <w:r w:rsidRPr="1FC8885A">
        <w:rPr>
          <w:noProof/>
        </w:rPr>
        <w:t xml:space="preserve"> et al. (2025)</w:t>
      </w:r>
      <w:r w:rsidRPr="1FC8885A">
        <w:rPr>
          <w:rStyle w:val="normaltextrun"/>
          <w:noProof/>
          <w:color w:val="000000"/>
          <w:sz w:val="20"/>
          <w:szCs w:val="20"/>
          <w:shd w:val="clear" w:color="auto" w:fill="FFFFFF"/>
          <w:vertAlign w:val="superscript"/>
        </w:rPr>
        <w:footnoteReference w:id="107"/>
      </w:r>
      <w:r w:rsidRPr="6AADD0FA">
        <w:rPr>
          <w:rStyle w:val="EndnoteReference"/>
          <w:noProof/>
          <w:sz w:val="20"/>
          <w:szCs w:val="20"/>
        </w:rPr>
        <w:endnoteReference w:id="166"/>
      </w:r>
    </w:p>
    <w:p w14:paraId="68CE9CC9" w14:textId="65A90F54" w:rsidR="00C04BC4" w:rsidRPr="00D37004" w:rsidRDefault="001C5F1D" w:rsidP="00C04BC4">
      <w:pPr>
        <w:rPr>
          <w:noProof/>
          <w:shd w:val="clear" w:color="auto" w:fill="FFFFFF"/>
        </w:rPr>
      </w:pPr>
      <w:r>
        <w:rPr>
          <w:b/>
          <w:bCs/>
          <w:i/>
          <w:iCs/>
          <w:noProof/>
          <w:color w:val="000000" w:themeColor="text1"/>
        </w:rPr>
        <w:t>C</w:t>
      </w:r>
      <w:r w:rsidR="00E61374">
        <w:rPr>
          <w:b/>
          <w:bCs/>
          <w:i/>
          <w:iCs/>
          <w:noProof/>
          <w:color w:val="000000" w:themeColor="text1"/>
        </w:rPr>
        <w:t>ost savings</w:t>
      </w:r>
      <w:r w:rsidR="00E61374" w:rsidRPr="0007748B">
        <w:rPr>
          <w:b/>
          <w:bCs/>
          <w:i/>
          <w:iCs/>
          <w:noProof/>
          <w:color w:val="000000" w:themeColor="text1"/>
        </w:rPr>
        <w:t xml:space="preserve"> for cloud and AI computing service providers</w:t>
      </w:r>
      <w:r w:rsidR="00E61374">
        <w:rPr>
          <w:noProof/>
        </w:rPr>
        <w:t xml:space="preserve">. </w:t>
      </w:r>
      <w:r w:rsidR="00E61374" w:rsidRPr="00D37004">
        <w:rPr>
          <w:rFonts w:eastAsia="Times New Roman"/>
          <w:noProof/>
        </w:rPr>
        <w:t xml:space="preserve">Under </w:t>
      </w:r>
      <w:r w:rsidR="00E61374" w:rsidRPr="00D37004">
        <w:rPr>
          <w:rFonts w:eastAsia="Times New Roman"/>
          <w:b/>
          <w:noProof/>
        </w:rPr>
        <w:t xml:space="preserve">PO2-A, </w:t>
      </w:r>
      <w:r w:rsidR="00E61374">
        <w:rPr>
          <w:rFonts w:eastAsia="Times New Roman"/>
          <w:noProof/>
        </w:rPr>
        <w:t xml:space="preserve">administrative cost </w:t>
      </w:r>
      <w:r w:rsidR="00E61374" w:rsidRPr="00D37004">
        <w:rPr>
          <w:rFonts w:eastAsia="Times New Roman"/>
          <w:noProof/>
        </w:rPr>
        <w:t>savings</w:t>
      </w:r>
      <w:r w:rsidR="0061542E">
        <w:rPr>
          <w:rFonts w:eastAsia="Times New Roman"/>
          <w:noProof/>
        </w:rPr>
        <w:t xml:space="preserve"> for providers</w:t>
      </w:r>
      <w:r w:rsidR="00E61374" w:rsidRPr="00D37004">
        <w:rPr>
          <w:rFonts w:eastAsia="Times New Roman"/>
          <w:noProof/>
        </w:rPr>
        <w:t xml:space="preserve"> </w:t>
      </w:r>
      <w:r w:rsidR="00E61374">
        <w:rPr>
          <w:rFonts w:eastAsia="Times New Roman"/>
          <w:noProof/>
        </w:rPr>
        <w:t>would mainly stem from the use of the guidelines (PM12), saving</w:t>
      </w:r>
      <w:r w:rsidR="00E61374">
        <w:rPr>
          <w:noProof/>
        </w:rPr>
        <w:t xml:space="preserve"> time for operators during procurement, modelled as a modest 0.5 days saved per tender procedure</w:t>
      </w:r>
      <w:r w:rsidR="00E61374">
        <w:rPr>
          <w:rFonts w:eastAsia="Times New Roman"/>
          <w:noProof/>
        </w:rPr>
        <w:t xml:space="preserve">, </w:t>
      </w:r>
      <w:r w:rsidR="00E61374" w:rsidRPr="00D37004">
        <w:rPr>
          <w:noProof/>
          <w:color w:val="000000" w:themeColor="text1"/>
        </w:rPr>
        <w:t xml:space="preserve">leading to </w:t>
      </w:r>
      <w:r w:rsidR="00E61374" w:rsidRPr="00D37004">
        <w:rPr>
          <w:noProof/>
        </w:rPr>
        <w:t xml:space="preserve">total costs savings </w:t>
      </w:r>
      <w:r w:rsidR="00D82A2A">
        <w:rPr>
          <w:noProof/>
        </w:rPr>
        <w:t>that could range between</w:t>
      </w:r>
      <w:r w:rsidR="00D82A2A" w:rsidRPr="00D37004">
        <w:rPr>
          <w:noProof/>
        </w:rPr>
        <w:t xml:space="preserve"> </w:t>
      </w:r>
      <w:r w:rsidR="00E61374" w:rsidRPr="00CD0141">
        <w:rPr>
          <w:b/>
          <w:noProof/>
        </w:rPr>
        <w:t xml:space="preserve">EUR </w:t>
      </w:r>
      <w:r w:rsidR="001F1F50">
        <w:rPr>
          <w:b/>
          <w:bCs/>
          <w:noProof/>
        </w:rPr>
        <w:t>2</w:t>
      </w:r>
      <w:r w:rsidR="00D82A2A">
        <w:rPr>
          <w:b/>
          <w:bCs/>
          <w:noProof/>
        </w:rPr>
        <w:t xml:space="preserve"> and </w:t>
      </w:r>
      <w:r w:rsidR="001F1F50">
        <w:rPr>
          <w:b/>
          <w:bCs/>
          <w:noProof/>
        </w:rPr>
        <w:t>15</w:t>
      </w:r>
      <w:r w:rsidR="00E61374" w:rsidRPr="00CD0141">
        <w:rPr>
          <w:b/>
          <w:noProof/>
        </w:rPr>
        <w:t xml:space="preserve"> m</w:t>
      </w:r>
      <w:r w:rsidR="00E61374" w:rsidRPr="00A16FC7">
        <w:rPr>
          <w:b/>
          <w:noProof/>
        </w:rPr>
        <w:t xml:space="preserve"> </w:t>
      </w:r>
      <w:r w:rsidR="00E61374" w:rsidRPr="00892A4E">
        <w:rPr>
          <w:noProof/>
        </w:rPr>
        <w:t>(</w:t>
      </w:r>
      <w:r w:rsidR="00E61374">
        <w:rPr>
          <w:noProof/>
        </w:rPr>
        <w:t>10-year, NPV)</w:t>
      </w:r>
      <w:r w:rsidR="00E61374" w:rsidRPr="00D37004">
        <w:rPr>
          <w:rFonts w:eastAsia="Times New Roman"/>
          <w:noProof/>
        </w:rPr>
        <w:t xml:space="preserve">. </w:t>
      </w:r>
      <w:r w:rsidR="00E61374" w:rsidRPr="00F56352">
        <w:rPr>
          <w:rFonts w:eastAsia="Times New Roman"/>
          <w:noProof/>
        </w:rPr>
        <w:t xml:space="preserve">Under </w:t>
      </w:r>
      <w:r w:rsidR="00E61374" w:rsidRPr="00F56352">
        <w:rPr>
          <w:rFonts w:eastAsia="Times New Roman"/>
          <w:b/>
          <w:noProof/>
        </w:rPr>
        <w:t>PO2-B</w:t>
      </w:r>
      <w:r w:rsidR="00E61374" w:rsidRPr="00F56352">
        <w:rPr>
          <w:rFonts w:eastAsia="Times New Roman"/>
          <w:noProof/>
        </w:rPr>
        <w:t xml:space="preserve">, providers </w:t>
      </w:r>
      <w:r w:rsidR="00ED3377" w:rsidRPr="00F56352">
        <w:rPr>
          <w:rFonts w:eastAsia="Times New Roman"/>
          <w:noProof/>
        </w:rPr>
        <w:t>would</w:t>
      </w:r>
      <w:r w:rsidR="00E61374" w:rsidRPr="00F56352">
        <w:rPr>
          <w:rFonts w:eastAsia="Times New Roman"/>
          <w:noProof/>
        </w:rPr>
        <w:t xml:space="preserve"> face </w:t>
      </w:r>
      <w:r w:rsidR="00B064CC" w:rsidRPr="000522F5">
        <w:rPr>
          <w:rFonts w:eastAsia="Times New Roman"/>
          <w:noProof/>
        </w:rPr>
        <w:t>recurrent</w:t>
      </w:r>
      <w:r w:rsidR="00B064CC" w:rsidRPr="00F56352">
        <w:rPr>
          <w:rFonts w:eastAsia="Times New Roman"/>
          <w:noProof/>
        </w:rPr>
        <w:t xml:space="preserve"> </w:t>
      </w:r>
      <w:r w:rsidR="00E61374" w:rsidRPr="00F56352">
        <w:rPr>
          <w:rFonts w:eastAsia="Times New Roman"/>
          <w:noProof/>
        </w:rPr>
        <w:t xml:space="preserve">cost savings from the introduction of </w:t>
      </w:r>
      <w:r w:rsidR="00B064CC" w:rsidRPr="000522F5">
        <w:rPr>
          <w:rFonts w:eastAsia="Times New Roman"/>
          <w:noProof/>
        </w:rPr>
        <w:t>a clear and predictable</w:t>
      </w:r>
      <w:r w:rsidR="00B064CC" w:rsidRPr="00F56352">
        <w:rPr>
          <w:rFonts w:eastAsia="Times New Roman"/>
          <w:noProof/>
        </w:rPr>
        <w:t xml:space="preserve"> </w:t>
      </w:r>
      <w:r w:rsidR="008E3E3A" w:rsidRPr="000522F5">
        <w:rPr>
          <w:rFonts w:eastAsia="Times New Roman"/>
          <w:noProof/>
        </w:rPr>
        <w:t xml:space="preserve">sovereignty </w:t>
      </w:r>
      <w:r w:rsidR="009133FC" w:rsidRPr="000522F5">
        <w:rPr>
          <w:rFonts w:eastAsia="Times New Roman"/>
          <w:noProof/>
        </w:rPr>
        <w:t xml:space="preserve">risk assessment framework </w:t>
      </w:r>
      <w:r w:rsidR="00E61374" w:rsidRPr="00F56352">
        <w:rPr>
          <w:rFonts w:eastAsia="Times New Roman"/>
          <w:noProof/>
        </w:rPr>
        <w:t xml:space="preserve">across </w:t>
      </w:r>
      <w:r w:rsidR="00F82FED">
        <w:rPr>
          <w:rFonts w:eastAsia="Times New Roman"/>
          <w:noProof/>
        </w:rPr>
        <w:t>several</w:t>
      </w:r>
      <w:r w:rsidR="00F82FED" w:rsidRPr="00F56352">
        <w:rPr>
          <w:rFonts w:eastAsia="Times New Roman"/>
          <w:noProof/>
        </w:rPr>
        <w:t xml:space="preserve"> </w:t>
      </w:r>
      <w:r w:rsidR="00E61374" w:rsidRPr="00F56352">
        <w:rPr>
          <w:rFonts w:eastAsia="Times New Roman"/>
          <w:noProof/>
        </w:rPr>
        <w:t xml:space="preserve">Member States (PM15). </w:t>
      </w:r>
      <w:r w:rsidR="001E4C3F" w:rsidRPr="000522F5">
        <w:rPr>
          <w:rFonts w:eastAsia="Times New Roman"/>
          <w:noProof/>
        </w:rPr>
        <w:t>Instead of responding to different requirements,</w:t>
      </w:r>
      <w:r w:rsidR="0069013A" w:rsidRPr="000522F5">
        <w:rPr>
          <w:rFonts w:eastAsia="Times New Roman"/>
          <w:noProof/>
        </w:rPr>
        <w:t xml:space="preserve"> controls or evidence requests from individual public authorities,</w:t>
      </w:r>
      <w:r w:rsidR="001E4C3F" w:rsidRPr="000522F5">
        <w:rPr>
          <w:rFonts w:eastAsia="Times New Roman"/>
          <w:noProof/>
        </w:rPr>
        <w:t xml:space="preserve"> s</w:t>
      </w:r>
      <w:r w:rsidR="001E4C3F" w:rsidRPr="00F56352">
        <w:rPr>
          <w:rFonts w:eastAsia="Times New Roman"/>
          <w:noProof/>
        </w:rPr>
        <w:t xml:space="preserve">ervice </w:t>
      </w:r>
      <w:r w:rsidR="00E61374" w:rsidRPr="00F56352">
        <w:rPr>
          <w:rFonts w:eastAsia="Times New Roman"/>
          <w:noProof/>
        </w:rPr>
        <w:t xml:space="preserve">providers would benefit from a </w:t>
      </w:r>
      <w:r w:rsidR="0069013A" w:rsidRPr="000522F5">
        <w:rPr>
          <w:rFonts w:eastAsia="Times New Roman"/>
          <w:noProof/>
        </w:rPr>
        <w:t>common</w:t>
      </w:r>
      <w:r w:rsidR="0069013A" w:rsidRPr="00F56352">
        <w:rPr>
          <w:rFonts w:eastAsia="Times New Roman"/>
          <w:noProof/>
        </w:rPr>
        <w:t xml:space="preserve"> </w:t>
      </w:r>
      <w:r w:rsidR="001E4C3F" w:rsidRPr="000522F5">
        <w:rPr>
          <w:rFonts w:eastAsia="Times New Roman"/>
          <w:noProof/>
        </w:rPr>
        <w:t>audit</w:t>
      </w:r>
      <w:r w:rsidR="001E4C3F" w:rsidRPr="00F56352">
        <w:rPr>
          <w:rFonts w:eastAsia="Times New Roman"/>
          <w:noProof/>
        </w:rPr>
        <w:t xml:space="preserve"> </w:t>
      </w:r>
      <w:r w:rsidR="00E61374" w:rsidRPr="00F56352">
        <w:rPr>
          <w:rFonts w:eastAsia="Times New Roman"/>
          <w:noProof/>
        </w:rPr>
        <w:t xml:space="preserve">procedure </w:t>
      </w:r>
      <w:r w:rsidR="00651AAA">
        <w:rPr>
          <w:rFonts w:eastAsia="Times New Roman"/>
          <w:noProof/>
        </w:rPr>
        <w:t xml:space="preserve">and </w:t>
      </w:r>
      <w:r w:rsidR="0069013A" w:rsidRPr="00BF362C">
        <w:rPr>
          <w:rFonts w:eastAsia="Times New Roman"/>
          <w:noProof/>
        </w:rPr>
        <w:t>recognised assurance levels</w:t>
      </w:r>
      <w:r w:rsidR="004C2359">
        <w:rPr>
          <w:rFonts w:eastAsia="Times New Roman"/>
          <w:noProof/>
        </w:rPr>
        <w:t xml:space="preserve"> with savings ranging from</w:t>
      </w:r>
      <w:r w:rsidR="004C2359" w:rsidRPr="004C2359">
        <w:rPr>
          <w:b/>
          <w:bCs/>
          <w:noProof/>
          <w:shd w:val="clear" w:color="auto" w:fill="FFFFFF"/>
        </w:rPr>
        <w:t xml:space="preserve"> </w:t>
      </w:r>
      <w:r w:rsidR="004C2359" w:rsidRPr="008337C0">
        <w:rPr>
          <w:noProof/>
          <w:shd w:val="clear" w:color="auto" w:fill="FFFFFF"/>
        </w:rPr>
        <w:t xml:space="preserve">EUR 5 to 16 m per service, under an assumption that the provider operates in 3 to </w:t>
      </w:r>
      <w:r w:rsidR="00CF2220">
        <w:rPr>
          <w:noProof/>
          <w:shd w:val="clear" w:color="auto" w:fill="FFFFFF"/>
        </w:rPr>
        <w:t>1</w:t>
      </w:r>
      <w:r w:rsidR="004C2359" w:rsidRPr="008337C0">
        <w:rPr>
          <w:noProof/>
          <w:shd w:val="clear" w:color="auto" w:fill="FFFFFF"/>
        </w:rPr>
        <w:t>0 markets</w:t>
      </w:r>
      <w:r w:rsidR="0069013A" w:rsidRPr="004C2359">
        <w:rPr>
          <w:rFonts w:eastAsia="Times New Roman"/>
          <w:noProof/>
        </w:rPr>
        <w:t>.</w:t>
      </w:r>
      <w:r w:rsidR="0069013A" w:rsidRPr="00BF362C">
        <w:rPr>
          <w:rFonts w:eastAsia="Times New Roman"/>
          <w:noProof/>
        </w:rPr>
        <w:t xml:space="preserve"> </w:t>
      </w:r>
      <w:r w:rsidR="00A27803" w:rsidRPr="00BF362C">
        <w:rPr>
          <w:rFonts w:eastAsia="Times New Roman"/>
          <w:noProof/>
        </w:rPr>
        <w:t>This would reduce duplication and simplify procurement procedures,</w:t>
      </w:r>
      <w:r w:rsidR="00E61374" w:rsidRPr="008F5449">
        <w:rPr>
          <w:rFonts w:eastAsia="Times New Roman"/>
          <w:noProof/>
        </w:rPr>
        <w:t xml:space="preserve"> </w:t>
      </w:r>
      <w:r w:rsidR="00E61374" w:rsidRPr="00F56352">
        <w:rPr>
          <w:rFonts w:eastAsia="Times New Roman"/>
          <w:noProof/>
        </w:rPr>
        <w:t>while reducing costs related to tender documentation.</w:t>
      </w:r>
      <w:r w:rsidR="00E61374" w:rsidRPr="004B5D44">
        <w:rPr>
          <w:rFonts w:eastAsia="Times New Roman"/>
          <w:noProof/>
        </w:rPr>
        <w:t xml:space="preserve"> </w:t>
      </w:r>
      <w:r w:rsidR="00F56352">
        <w:rPr>
          <w:rFonts w:eastAsia="Times New Roman"/>
          <w:noProof/>
        </w:rPr>
        <w:t xml:space="preserve">Over time, this is expected to lower compliance costs and make it easier for providers to offer the same audited services to a wider public sector market. </w:t>
      </w:r>
      <w:r w:rsidR="00E61374" w:rsidRPr="00F16792">
        <w:rPr>
          <w:rFonts w:eastAsia="Times New Roman"/>
          <w:noProof/>
        </w:rPr>
        <w:t xml:space="preserve">This </w:t>
      </w:r>
      <w:r w:rsidR="00204DA1">
        <w:rPr>
          <w:rFonts w:eastAsia="Times New Roman"/>
          <w:noProof/>
        </w:rPr>
        <w:t>is expected to</w:t>
      </w:r>
      <w:r w:rsidR="00204DA1" w:rsidRPr="00F16792">
        <w:rPr>
          <w:rFonts w:eastAsia="Times New Roman"/>
          <w:noProof/>
        </w:rPr>
        <w:t xml:space="preserve"> </w:t>
      </w:r>
      <w:r w:rsidR="00E61374" w:rsidRPr="00F16792">
        <w:rPr>
          <w:rFonts w:eastAsia="Times New Roman"/>
          <w:noProof/>
        </w:rPr>
        <w:t xml:space="preserve">lead to </w:t>
      </w:r>
      <w:r w:rsidR="00E61374" w:rsidRPr="004B5D44">
        <w:rPr>
          <w:noProof/>
        </w:rPr>
        <w:t xml:space="preserve">total </w:t>
      </w:r>
      <w:r w:rsidR="00651AAA">
        <w:rPr>
          <w:noProof/>
        </w:rPr>
        <w:t>benefits</w:t>
      </w:r>
      <w:r w:rsidR="00D97071">
        <w:rPr>
          <w:noProof/>
        </w:rPr>
        <w:t xml:space="preserve"> for providers</w:t>
      </w:r>
      <w:r w:rsidR="00E61374" w:rsidRPr="004B5D44">
        <w:rPr>
          <w:noProof/>
        </w:rPr>
        <w:t xml:space="preserve"> </w:t>
      </w:r>
      <w:r w:rsidR="00651AAA">
        <w:rPr>
          <w:noProof/>
        </w:rPr>
        <w:t>ranging between</w:t>
      </w:r>
      <w:r w:rsidR="00204DA1">
        <w:rPr>
          <w:noProof/>
        </w:rPr>
        <w:t xml:space="preserve"> </w:t>
      </w:r>
      <w:r w:rsidR="00E61374" w:rsidRPr="006F7F29">
        <w:rPr>
          <w:b/>
          <w:noProof/>
        </w:rPr>
        <w:t xml:space="preserve">EUR </w:t>
      </w:r>
      <w:r w:rsidR="00827147">
        <w:rPr>
          <w:b/>
          <w:bCs/>
          <w:noProof/>
        </w:rPr>
        <w:t>200</w:t>
      </w:r>
      <w:r w:rsidR="00D97071" w:rsidRPr="000E2300">
        <w:rPr>
          <w:b/>
          <w:noProof/>
        </w:rPr>
        <w:t xml:space="preserve"> and </w:t>
      </w:r>
      <w:r w:rsidR="00F5480B">
        <w:rPr>
          <w:b/>
          <w:bCs/>
          <w:noProof/>
        </w:rPr>
        <w:t>7</w:t>
      </w:r>
      <w:r w:rsidR="007B261C">
        <w:rPr>
          <w:b/>
          <w:bCs/>
          <w:noProof/>
        </w:rPr>
        <w:t>00</w:t>
      </w:r>
      <w:r w:rsidR="00D97071" w:rsidRPr="000E2300">
        <w:rPr>
          <w:b/>
          <w:noProof/>
        </w:rPr>
        <w:t xml:space="preserve"> </w:t>
      </w:r>
      <w:r w:rsidR="00D719C3">
        <w:rPr>
          <w:b/>
          <w:bCs/>
          <w:noProof/>
        </w:rPr>
        <w:t>m</w:t>
      </w:r>
      <w:r w:rsidR="00D97071">
        <w:rPr>
          <w:noProof/>
        </w:rPr>
        <w:t>,</w:t>
      </w:r>
      <w:r w:rsidR="00E61374">
        <w:rPr>
          <w:noProof/>
        </w:rPr>
        <w:t xml:space="preserve"> when discounted across 10 years</w:t>
      </w:r>
      <w:r w:rsidR="00F56352">
        <w:rPr>
          <w:rFonts w:eastAsia="Times New Roman"/>
          <w:noProof/>
        </w:rPr>
        <w:t>.</w:t>
      </w:r>
      <w:r w:rsidR="006220EC" w:rsidRPr="00D37004">
        <w:rPr>
          <w:rFonts w:eastAsia="Times New Roman"/>
          <w:noProof/>
        </w:rPr>
        <w:t xml:space="preserve"> </w:t>
      </w:r>
      <w:r w:rsidR="00E61374" w:rsidRPr="00D37004">
        <w:rPr>
          <w:rFonts w:eastAsia="Times New Roman"/>
          <w:noProof/>
        </w:rPr>
        <w:t xml:space="preserve">Under </w:t>
      </w:r>
      <w:r w:rsidR="00E61374" w:rsidRPr="004B5D44">
        <w:rPr>
          <w:rFonts w:eastAsia="Times New Roman"/>
          <w:b/>
          <w:noProof/>
        </w:rPr>
        <w:t>PO2-C</w:t>
      </w:r>
      <w:r w:rsidR="00E61374" w:rsidRPr="00F16792">
        <w:rPr>
          <w:rFonts w:eastAsia="Times New Roman"/>
          <w:noProof/>
        </w:rPr>
        <w:t>,</w:t>
      </w:r>
      <w:r w:rsidR="00E61374" w:rsidRPr="004B5D44">
        <w:rPr>
          <w:rFonts w:eastAsia="Times New Roman"/>
          <w:noProof/>
        </w:rPr>
        <w:t xml:space="preserve"> direct costs savings </w:t>
      </w:r>
      <w:r w:rsidR="009A312D">
        <w:rPr>
          <w:rFonts w:eastAsia="Times New Roman"/>
          <w:noProof/>
        </w:rPr>
        <w:t xml:space="preserve">would </w:t>
      </w:r>
      <w:r w:rsidR="00E61374" w:rsidRPr="004B5D44">
        <w:rPr>
          <w:rFonts w:eastAsia="Times New Roman"/>
          <w:noProof/>
        </w:rPr>
        <w:t xml:space="preserve">stem from the </w:t>
      </w:r>
      <w:r w:rsidR="00E61374">
        <w:rPr>
          <w:rFonts w:eastAsia="Times New Roman"/>
          <w:noProof/>
        </w:rPr>
        <w:t xml:space="preserve">same </w:t>
      </w:r>
      <w:r w:rsidR="00E61374" w:rsidRPr="004B5D44">
        <w:rPr>
          <w:rFonts w:eastAsia="Times New Roman"/>
          <w:noProof/>
        </w:rPr>
        <w:t xml:space="preserve">mechanism explained above, but extended to </w:t>
      </w:r>
      <w:r w:rsidR="00F82FED">
        <w:rPr>
          <w:rFonts w:eastAsia="Times New Roman"/>
          <w:noProof/>
        </w:rPr>
        <w:t>all</w:t>
      </w:r>
      <w:r w:rsidR="00E61374" w:rsidRPr="004B5D44">
        <w:rPr>
          <w:rFonts w:eastAsia="Times New Roman"/>
          <w:noProof/>
        </w:rPr>
        <w:t xml:space="preserve"> MS, </w:t>
      </w:r>
      <w:r w:rsidR="00E61374">
        <w:rPr>
          <w:rFonts w:eastAsia="Times New Roman"/>
          <w:noProof/>
        </w:rPr>
        <w:t xml:space="preserve">and an increased number of services being </w:t>
      </w:r>
      <w:r w:rsidR="00A6162E">
        <w:rPr>
          <w:rFonts w:eastAsia="Times New Roman"/>
          <w:noProof/>
        </w:rPr>
        <w:t>audited</w:t>
      </w:r>
      <w:r w:rsidR="00E61374">
        <w:rPr>
          <w:rFonts w:eastAsia="Times New Roman"/>
          <w:noProof/>
        </w:rPr>
        <w:t xml:space="preserve"> </w:t>
      </w:r>
      <w:r w:rsidR="00E61374" w:rsidRPr="004B5D44">
        <w:rPr>
          <w:rFonts w:eastAsia="Times New Roman"/>
          <w:noProof/>
        </w:rPr>
        <w:t>by providers</w:t>
      </w:r>
      <w:r w:rsidR="00E61374">
        <w:rPr>
          <w:rFonts w:eastAsia="Times New Roman"/>
          <w:noProof/>
        </w:rPr>
        <w:t xml:space="preserve"> under PM21</w:t>
      </w:r>
      <w:r w:rsidR="002A12A2">
        <w:rPr>
          <w:rFonts w:eastAsia="Times New Roman"/>
          <w:noProof/>
        </w:rPr>
        <w:t>, compared to PM15</w:t>
      </w:r>
      <w:r w:rsidR="00BF0753">
        <w:rPr>
          <w:rFonts w:eastAsia="Times New Roman"/>
          <w:noProof/>
        </w:rPr>
        <w:t xml:space="preserve">, leading to </w:t>
      </w:r>
      <w:r w:rsidR="00635F17">
        <w:rPr>
          <w:rFonts w:eastAsia="Times New Roman"/>
          <w:noProof/>
        </w:rPr>
        <w:t xml:space="preserve">total expected </w:t>
      </w:r>
      <w:r w:rsidR="00050409">
        <w:rPr>
          <w:rFonts w:eastAsia="Times New Roman"/>
          <w:noProof/>
        </w:rPr>
        <w:t xml:space="preserve">benefits ranging between </w:t>
      </w:r>
      <w:r w:rsidR="00BF0753" w:rsidRPr="00BF30BE">
        <w:rPr>
          <w:rFonts w:eastAsia="Times New Roman"/>
          <w:b/>
          <w:bCs/>
          <w:noProof/>
        </w:rPr>
        <w:t xml:space="preserve">EUR </w:t>
      </w:r>
      <w:r w:rsidR="00D014AC">
        <w:rPr>
          <w:rFonts w:eastAsia="Times New Roman"/>
          <w:b/>
          <w:bCs/>
          <w:noProof/>
        </w:rPr>
        <w:t xml:space="preserve">2 </w:t>
      </w:r>
      <w:r w:rsidR="003A071A">
        <w:rPr>
          <w:rFonts w:eastAsia="Times New Roman"/>
          <w:b/>
          <w:bCs/>
          <w:noProof/>
        </w:rPr>
        <w:t xml:space="preserve">and </w:t>
      </w:r>
      <w:r w:rsidR="00185AF9">
        <w:rPr>
          <w:rFonts w:eastAsia="Times New Roman"/>
          <w:b/>
          <w:bCs/>
          <w:noProof/>
        </w:rPr>
        <w:t>5.1</w:t>
      </w:r>
      <w:r w:rsidR="006F1802">
        <w:rPr>
          <w:rFonts w:eastAsia="Times New Roman"/>
          <w:b/>
          <w:bCs/>
          <w:noProof/>
        </w:rPr>
        <w:t xml:space="preserve"> </w:t>
      </w:r>
      <w:r w:rsidR="00BF0753" w:rsidRPr="00BF30BE">
        <w:rPr>
          <w:rFonts w:eastAsia="Times New Roman"/>
          <w:b/>
          <w:bCs/>
          <w:noProof/>
        </w:rPr>
        <w:t>bn</w:t>
      </w:r>
      <w:r w:rsidR="00C516B9" w:rsidRPr="000E6A58">
        <w:rPr>
          <w:rFonts w:eastAsia="Times New Roman"/>
          <w:noProof/>
        </w:rPr>
        <w:t xml:space="preserve">, </w:t>
      </w:r>
      <w:r w:rsidR="00BD2572">
        <w:rPr>
          <w:rFonts w:eastAsia="Times New Roman"/>
          <w:noProof/>
        </w:rPr>
        <w:t xml:space="preserve">including those savings </w:t>
      </w:r>
      <w:r w:rsidR="00C516B9" w:rsidRPr="000E6A58">
        <w:rPr>
          <w:rFonts w:eastAsia="Times New Roman"/>
          <w:noProof/>
        </w:rPr>
        <w:t xml:space="preserve">coming </w:t>
      </w:r>
      <w:r w:rsidR="00C516B9">
        <w:rPr>
          <w:rFonts w:eastAsia="Times New Roman"/>
          <w:noProof/>
        </w:rPr>
        <w:t xml:space="preserve">from </w:t>
      </w:r>
      <w:r w:rsidR="000E6A58">
        <w:rPr>
          <w:rFonts w:eastAsia="Times New Roman"/>
          <w:noProof/>
        </w:rPr>
        <w:t>savings</w:t>
      </w:r>
      <w:r w:rsidR="00C516B9">
        <w:rPr>
          <w:rFonts w:eastAsia="Times New Roman"/>
          <w:noProof/>
        </w:rPr>
        <w:t xml:space="preserve"> of</w:t>
      </w:r>
      <w:r w:rsidR="00C516B9" w:rsidRPr="000E6A58">
        <w:rPr>
          <w:rFonts w:eastAsia="Times New Roman"/>
          <w:noProof/>
        </w:rPr>
        <w:t xml:space="preserve"> 1 to 3 </w:t>
      </w:r>
      <w:r w:rsidR="000E6A58">
        <w:rPr>
          <w:rFonts w:eastAsia="Times New Roman"/>
          <w:noProof/>
        </w:rPr>
        <w:t>working days per bid when drafting specifications</w:t>
      </w:r>
      <w:r w:rsidR="008F7279" w:rsidRPr="000E6A58">
        <w:rPr>
          <w:rFonts w:eastAsia="Times New Roman"/>
          <w:noProof/>
        </w:rPr>
        <w:t xml:space="preserve"> by using standard non</w:t>
      </w:r>
      <w:r w:rsidR="00BD2572">
        <w:rPr>
          <w:rFonts w:eastAsia="Times New Roman"/>
          <w:noProof/>
        </w:rPr>
        <w:t>-</w:t>
      </w:r>
      <w:r w:rsidR="008F7279" w:rsidRPr="000E6A58">
        <w:rPr>
          <w:rFonts w:eastAsia="Times New Roman"/>
          <w:noProof/>
        </w:rPr>
        <w:t>specific award criteria</w:t>
      </w:r>
      <w:r w:rsidR="00BD2572">
        <w:rPr>
          <w:rFonts w:eastAsia="Times New Roman"/>
          <w:noProof/>
        </w:rPr>
        <w:t xml:space="preserve"> (PM19)</w:t>
      </w:r>
      <w:r w:rsidR="00E61374" w:rsidRPr="004B5D44">
        <w:rPr>
          <w:rFonts w:eastAsia="Times New Roman"/>
          <w:noProof/>
        </w:rPr>
        <w:t>.</w:t>
      </w:r>
      <w:r w:rsidR="00E61374">
        <w:rPr>
          <w:rFonts w:eastAsia="Times New Roman"/>
          <w:noProof/>
        </w:rPr>
        <w:t xml:space="preserve"> </w:t>
      </w:r>
      <w:r w:rsidR="00C04BC4">
        <w:rPr>
          <w:noProof/>
          <w:shd w:val="clear" w:color="auto" w:fill="FFFFFF"/>
        </w:rPr>
        <w:t xml:space="preserve">In the case of PO2-C, savings in the audit process would range from </w:t>
      </w:r>
      <w:r w:rsidR="00C04BC4" w:rsidRPr="00871CA8">
        <w:rPr>
          <w:noProof/>
          <w:shd w:val="clear" w:color="auto" w:fill="FFFFFF"/>
        </w:rPr>
        <w:t>EUR 8 to 25 m</w:t>
      </w:r>
      <w:r w:rsidR="004C7102">
        <w:rPr>
          <w:noProof/>
          <w:shd w:val="clear" w:color="auto" w:fill="FFFFFF"/>
        </w:rPr>
        <w:t xml:space="preserve"> per service</w:t>
      </w:r>
      <w:r w:rsidR="00C04BC4" w:rsidRPr="00871CA8">
        <w:rPr>
          <w:noProof/>
          <w:shd w:val="clear" w:color="auto" w:fill="FFFFFF"/>
        </w:rPr>
        <w:t xml:space="preserve">, </w:t>
      </w:r>
      <w:r w:rsidR="007E0192" w:rsidRPr="00871CA8">
        <w:rPr>
          <w:noProof/>
          <w:shd w:val="clear" w:color="auto" w:fill="FFFFFF"/>
        </w:rPr>
        <w:t xml:space="preserve">assuming each provider </w:t>
      </w:r>
      <w:r w:rsidR="002026BD">
        <w:rPr>
          <w:noProof/>
          <w:shd w:val="clear" w:color="auto" w:fill="FFFFFF"/>
        </w:rPr>
        <w:t>run its business</w:t>
      </w:r>
      <w:r w:rsidR="004C7102" w:rsidRPr="00871CA8">
        <w:rPr>
          <w:noProof/>
          <w:shd w:val="clear" w:color="auto" w:fill="FFFFFF"/>
        </w:rPr>
        <w:t xml:space="preserve"> in 5 to 15 member states</w:t>
      </w:r>
      <w:r w:rsidR="00C04BC4" w:rsidRPr="00871CA8">
        <w:rPr>
          <w:noProof/>
          <w:shd w:val="clear" w:color="auto" w:fill="FFFFFF"/>
        </w:rPr>
        <w:t>.</w:t>
      </w:r>
    </w:p>
    <w:p w14:paraId="56A9F1C1" w14:textId="65664E62" w:rsidR="00E61374" w:rsidRPr="00D37004" w:rsidRDefault="00E61374" w:rsidP="001C5F1D">
      <w:pPr>
        <w:spacing w:before="120"/>
        <w:rPr>
          <w:noProof/>
        </w:rPr>
      </w:pPr>
      <w:r w:rsidRPr="00D37004">
        <w:rPr>
          <w:b/>
          <w:i/>
          <w:noProof/>
          <w:u w:val="single"/>
        </w:rPr>
        <w:t>Impact on SMEs.</w:t>
      </w:r>
      <w:r w:rsidRPr="00D37004">
        <w:rPr>
          <w:b/>
          <w:i/>
          <w:noProof/>
        </w:rPr>
        <w:t xml:space="preserve"> </w:t>
      </w:r>
      <w:r w:rsidRPr="00D37004">
        <w:rPr>
          <w:noProof/>
        </w:rPr>
        <w:t xml:space="preserve">Though large businesses dominate the </w:t>
      </w:r>
      <w:r w:rsidR="00217F2B">
        <w:rPr>
          <w:noProof/>
        </w:rPr>
        <w:t>DC</w:t>
      </w:r>
      <w:r w:rsidRPr="00D37004">
        <w:rPr>
          <w:noProof/>
        </w:rPr>
        <w:t>, cloud and AI markets, many SMEs in the EU still play a relevant role, particularly providers of</w:t>
      </w:r>
      <w:r w:rsidRPr="00D37004">
        <w:rPr>
          <w:noProof/>
          <w:color w:val="000000" w:themeColor="text1"/>
        </w:rPr>
        <w:t xml:space="preserve"> cloud and AI services</w:t>
      </w:r>
      <w:r w:rsidRPr="00D37004">
        <w:rPr>
          <w:noProof/>
        </w:rPr>
        <w:t xml:space="preserve">. Thus, the initiative is </w:t>
      </w:r>
      <w:r w:rsidR="00B90567">
        <w:rPr>
          <w:noProof/>
        </w:rPr>
        <w:t xml:space="preserve">considered </w:t>
      </w:r>
      <w:r w:rsidRPr="00D37004">
        <w:rPr>
          <w:noProof/>
        </w:rPr>
        <w:t xml:space="preserve">“relevant” for SMEs. Annex 6 contains the SME test. Given the lack of quantitative data, the impact on SMEs is assessed qualitatively below. </w:t>
      </w:r>
    </w:p>
    <w:p w14:paraId="50AC59D8" w14:textId="2D2B604D" w:rsidR="00E61374" w:rsidRPr="00F53B5F" w:rsidRDefault="00E61374" w:rsidP="00E61374">
      <w:pPr>
        <w:rPr>
          <w:noProof/>
          <w:lang w:val="en-IE"/>
        </w:rPr>
      </w:pPr>
      <w:r w:rsidRPr="294AF3FA">
        <w:rPr>
          <w:b/>
          <w:bCs/>
          <w:noProof/>
        </w:rPr>
        <w:t>PO1-A</w:t>
      </w:r>
      <w:r>
        <w:rPr>
          <w:noProof/>
        </w:rPr>
        <w:t xml:space="preserve"> would generate value for SMEs with improved access to information and clearer frameworks, notably through the guidelines. Early visibility and clarity on applicable requirements and collective voicing of SMEs would reduce costs linked to information asymmetries and coordination failures. As smaller operators, SMEs are disproportionately affected by complex permitting procedures and would benefit from administrative simplification. In </w:t>
      </w:r>
      <w:r w:rsidRPr="294AF3FA">
        <w:rPr>
          <w:b/>
          <w:bCs/>
          <w:noProof/>
        </w:rPr>
        <w:t>PO1-B</w:t>
      </w:r>
      <w:r>
        <w:rPr>
          <w:noProof/>
        </w:rPr>
        <w:t xml:space="preserve"> streamlined procedures are expected to reduce legal and consultancy expenses and </w:t>
      </w:r>
      <w:r w:rsidR="000C4363">
        <w:rPr>
          <w:noProof/>
        </w:rPr>
        <w:t xml:space="preserve">would </w:t>
      </w:r>
      <w:r>
        <w:rPr>
          <w:noProof/>
        </w:rPr>
        <w:t xml:space="preserve">accelerate timelines, lowering entry barriers, reducing administrative costs and opening opportunities for SMEs in the </w:t>
      </w:r>
      <w:r w:rsidR="00217F2B">
        <w:rPr>
          <w:noProof/>
        </w:rPr>
        <w:t>DC</w:t>
      </w:r>
      <w:r>
        <w:rPr>
          <w:noProof/>
        </w:rPr>
        <w:t xml:space="preserve"> value chain. The impacts of </w:t>
      </w:r>
      <w:r w:rsidRPr="294AF3FA">
        <w:rPr>
          <w:b/>
          <w:bCs/>
          <w:noProof/>
        </w:rPr>
        <w:t xml:space="preserve">PO1-C </w:t>
      </w:r>
      <w:r>
        <w:rPr>
          <w:noProof/>
        </w:rPr>
        <w:t xml:space="preserve">on SMEs align to those of PO1-B, though EU-level approval might be perceived as more “distant”, raising language considerations of such mechanism. In addition, public funding for R&amp;D and innovation would enhance SME participation in advanced projects without requiring large upfront capital. Public funding for strategic deployment projects would improve SMEs’ access to contracts for large-scale projects, either directly or within a consortium. </w:t>
      </w:r>
      <w:r w:rsidRPr="294AF3FA">
        <w:rPr>
          <w:rFonts w:eastAsia="Times New Roman"/>
          <w:noProof/>
        </w:rPr>
        <w:t>PO2</w:t>
      </w:r>
      <w:r w:rsidRPr="294AF3FA" w:rsidDel="00B73D4C">
        <w:rPr>
          <w:rFonts w:eastAsia="Times New Roman"/>
          <w:noProof/>
        </w:rPr>
        <w:t xml:space="preserve"> </w:t>
      </w:r>
      <w:r w:rsidR="00B73D4C">
        <w:rPr>
          <w:rFonts w:eastAsia="Times New Roman"/>
          <w:noProof/>
        </w:rPr>
        <w:t>would</w:t>
      </w:r>
      <w:r w:rsidRPr="294AF3FA">
        <w:rPr>
          <w:rFonts w:eastAsia="Times New Roman"/>
          <w:noProof/>
        </w:rPr>
        <w:t xml:space="preserve"> impact SMEs as providers of</w:t>
      </w:r>
      <w:r w:rsidRPr="294AF3FA">
        <w:rPr>
          <w:noProof/>
          <w:color w:val="000000" w:themeColor="text1"/>
        </w:rPr>
        <w:t xml:space="preserve"> cloud and AI computing services</w:t>
      </w:r>
      <w:r w:rsidRPr="294AF3FA">
        <w:rPr>
          <w:rFonts w:eastAsia="Times New Roman"/>
          <w:noProof/>
        </w:rPr>
        <w:t xml:space="preserve">, but also as consumers of these services. Under </w:t>
      </w:r>
      <w:r w:rsidRPr="294AF3FA">
        <w:rPr>
          <w:rFonts w:eastAsia="Times New Roman"/>
          <w:b/>
          <w:noProof/>
        </w:rPr>
        <w:t>PO2-A</w:t>
      </w:r>
      <w:r w:rsidRPr="294AF3FA">
        <w:rPr>
          <w:rFonts w:eastAsia="Times New Roman"/>
          <w:noProof/>
        </w:rPr>
        <w:t xml:space="preserve">, the non-prescriptive EU </w:t>
      </w:r>
      <w:r w:rsidR="00A15CDF">
        <w:rPr>
          <w:rFonts w:eastAsia="Times New Roman"/>
          <w:noProof/>
        </w:rPr>
        <w:t>criteria</w:t>
      </w:r>
      <w:r w:rsidR="00A15CDF" w:rsidRPr="294AF3FA">
        <w:rPr>
          <w:rFonts w:eastAsia="Times New Roman"/>
          <w:noProof/>
        </w:rPr>
        <w:t xml:space="preserve"> </w:t>
      </w:r>
      <w:r w:rsidRPr="294AF3FA">
        <w:rPr>
          <w:rFonts w:eastAsia="Times New Roman"/>
          <w:noProof/>
        </w:rPr>
        <w:t>of sovereign cloud and AI computing service</w:t>
      </w:r>
      <w:r w:rsidR="00A15CDF">
        <w:rPr>
          <w:rFonts w:eastAsia="Times New Roman"/>
          <w:noProof/>
        </w:rPr>
        <w:t>s</w:t>
      </w:r>
      <w:r w:rsidRPr="294AF3FA">
        <w:rPr>
          <w:rFonts w:eastAsia="Times New Roman"/>
          <w:noProof/>
        </w:rPr>
        <w:t xml:space="preserve"> and the guidelines would </w:t>
      </w:r>
      <w:r>
        <w:rPr>
          <w:rFonts w:eastAsia="Times New Roman"/>
          <w:noProof/>
        </w:rPr>
        <w:t>reduce</w:t>
      </w:r>
      <w:r w:rsidRPr="294AF3FA">
        <w:rPr>
          <w:rFonts w:eastAsia="Times New Roman"/>
          <w:noProof/>
        </w:rPr>
        <w:t xml:space="preserve"> administrative burdens on SMEs while increasing clarity and transparency for sovereign services.</w:t>
      </w:r>
      <w:r w:rsidRPr="294AF3FA">
        <w:rPr>
          <w:rFonts w:eastAsia="Times New Roman"/>
          <w:b/>
          <w:noProof/>
        </w:rPr>
        <w:t xml:space="preserve"> </w:t>
      </w:r>
      <w:r w:rsidRPr="294AF3FA">
        <w:rPr>
          <w:rFonts w:eastAsia="Times New Roman"/>
          <w:noProof/>
        </w:rPr>
        <w:t xml:space="preserve">The annual conference on EU digital sovereignty would allow SMEs to showcase their services and raise concerns collectively at lower costs. SMEs would also be the greatest beneficiaries of the interoperability measures as it simplifies the re-use of existing technology they lack. Under </w:t>
      </w:r>
      <w:r w:rsidRPr="294AF3FA">
        <w:rPr>
          <w:rFonts w:eastAsia="Times New Roman"/>
          <w:b/>
          <w:noProof/>
        </w:rPr>
        <w:t>PO2-B</w:t>
      </w:r>
      <w:r w:rsidRPr="294AF3FA">
        <w:rPr>
          <w:rFonts w:eastAsia="Times New Roman"/>
          <w:noProof/>
        </w:rPr>
        <w:t xml:space="preserve">, the </w:t>
      </w:r>
      <w:r w:rsidR="000F1986">
        <w:rPr>
          <w:rFonts w:eastAsia="Times New Roman"/>
          <w:noProof/>
        </w:rPr>
        <w:t xml:space="preserve">sovereignty </w:t>
      </w:r>
      <w:r w:rsidR="00E37664">
        <w:rPr>
          <w:rFonts w:eastAsia="Times New Roman"/>
          <w:noProof/>
        </w:rPr>
        <w:t>audit</w:t>
      </w:r>
      <w:r w:rsidRPr="294AF3FA">
        <w:rPr>
          <w:rFonts w:eastAsia="Times New Roman"/>
          <w:noProof/>
        </w:rPr>
        <w:t xml:space="preserve"> procedure with </w:t>
      </w:r>
      <w:r>
        <w:rPr>
          <w:rFonts w:eastAsia="Times New Roman"/>
          <w:noProof/>
        </w:rPr>
        <w:t>validity throughout the EU</w:t>
      </w:r>
      <w:r w:rsidRPr="294AF3FA">
        <w:rPr>
          <w:rFonts w:eastAsia="Times New Roman"/>
          <w:noProof/>
        </w:rPr>
        <w:t xml:space="preserve"> </w:t>
      </w:r>
      <w:r w:rsidR="00A21CCD">
        <w:rPr>
          <w:rFonts w:eastAsia="Times New Roman"/>
          <w:noProof/>
        </w:rPr>
        <w:t>would</w:t>
      </w:r>
      <w:r w:rsidRPr="294AF3FA">
        <w:rPr>
          <w:rFonts w:eastAsia="Times New Roman"/>
          <w:noProof/>
        </w:rPr>
        <w:t xml:space="preserve"> reduce verification costs, especially for SMEs offering their services in critical sectors to public administrations in different Member States</w:t>
      </w:r>
      <w:r>
        <w:rPr>
          <w:rFonts w:eastAsia="Times New Roman"/>
          <w:noProof/>
        </w:rPr>
        <w:t xml:space="preserve">, albeit </w:t>
      </w:r>
      <w:r w:rsidRPr="294AF3FA">
        <w:rPr>
          <w:rFonts w:eastAsia="Times New Roman"/>
          <w:noProof/>
        </w:rPr>
        <w:t>fac</w:t>
      </w:r>
      <w:r>
        <w:rPr>
          <w:rFonts w:eastAsia="Times New Roman"/>
          <w:noProof/>
        </w:rPr>
        <w:t>ing more</w:t>
      </w:r>
      <w:r w:rsidRPr="294AF3FA">
        <w:rPr>
          <w:rFonts w:eastAsia="Times New Roman"/>
          <w:noProof/>
        </w:rPr>
        <w:t xml:space="preserve"> burdensome compliance costs</w:t>
      </w:r>
      <w:r>
        <w:rPr>
          <w:rFonts w:eastAsia="Times New Roman"/>
          <w:noProof/>
        </w:rPr>
        <w:t>,</w:t>
      </w:r>
      <w:r w:rsidRPr="294AF3FA">
        <w:rPr>
          <w:rFonts w:eastAsia="Times New Roman"/>
          <w:noProof/>
        </w:rPr>
        <w:t xml:space="preserve"> </w:t>
      </w:r>
      <w:r w:rsidR="004C44D6">
        <w:rPr>
          <w:rFonts w:eastAsia="Times New Roman"/>
          <w:noProof/>
        </w:rPr>
        <w:t>v</w:t>
      </w:r>
      <w:r w:rsidRPr="294AF3FA">
        <w:rPr>
          <w:rFonts w:eastAsia="Times New Roman"/>
          <w:noProof/>
        </w:rPr>
        <w:t xml:space="preserve">oluntary public procurement criteria favouring specific characteristics could boost SME participation. Additionally, a vendor-neutral training would provide SMEs with a highly qualified workforce, capable of using and developing advanced cloud and AI solutions. </w:t>
      </w:r>
      <w:r w:rsidRPr="294AF3FA">
        <w:rPr>
          <w:rFonts w:eastAsia="Times New Roman"/>
          <w:b/>
          <w:noProof/>
        </w:rPr>
        <w:t xml:space="preserve">PO2-C </w:t>
      </w:r>
      <w:r w:rsidR="00B07292">
        <w:rPr>
          <w:rFonts w:eastAsia="Times New Roman"/>
          <w:noProof/>
        </w:rPr>
        <w:t>would</w:t>
      </w:r>
      <w:r w:rsidRPr="294AF3FA">
        <w:rPr>
          <w:rFonts w:eastAsia="Times New Roman"/>
          <w:noProof/>
        </w:rPr>
        <w:t xml:space="preserve"> entail the greatest direct and indirect net benefits for SMEs. </w:t>
      </w:r>
      <w:r w:rsidR="000370CE">
        <w:rPr>
          <w:rFonts w:eastAsia="Times New Roman"/>
          <w:noProof/>
        </w:rPr>
        <w:t>T</w:t>
      </w:r>
      <w:r>
        <w:rPr>
          <w:rFonts w:eastAsia="Times New Roman"/>
          <w:noProof/>
        </w:rPr>
        <w:t xml:space="preserve">he validity of </w:t>
      </w:r>
      <w:r w:rsidR="00E37664">
        <w:rPr>
          <w:rFonts w:eastAsia="Times New Roman"/>
          <w:noProof/>
        </w:rPr>
        <w:t xml:space="preserve">audit reports </w:t>
      </w:r>
      <w:r>
        <w:rPr>
          <w:rFonts w:eastAsia="Times New Roman"/>
          <w:noProof/>
        </w:rPr>
        <w:t>across the EU</w:t>
      </w:r>
      <w:r w:rsidRPr="294AF3FA">
        <w:rPr>
          <w:rFonts w:eastAsia="Times New Roman"/>
          <w:noProof/>
        </w:rPr>
        <w:t xml:space="preserve"> </w:t>
      </w:r>
      <w:r w:rsidR="00A35040">
        <w:rPr>
          <w:rFonts w:eastAsia="Times New Roman"/>
          <w:noProof/>
        </w:rPr>
        <w:t>would</w:t>
      </w:r>
      <w:r w:rsidR="00A35040" w:rsidRPr="294AF3FA">
        <w:rPr>
          <w:rFonts w:eastAsia="Times New Roman"/>
          <w:noProof/>
        </w:rPr>
        <w:t xml:space="preserve"> </w:t>
      </w:r>
      <w:r w:rsidRPr="294AF3FA">
        <w:rPr>
          <w:rFonts w:eastAsia="Times New Roman"/>
          <w:noProof/>
        </w:rPr>
        <w:t xml:space="preserve">allow SMEs’ services </w:t>
      </w:r>
      <w:r w:rsidR="000214B6">
        <w:rPr>
          <w:rFonts w:eastAsia="Times New Roman"/>
          <w:noProof/>
        </w:rPr>
        <w:t>would allow</w:t>
      </w:r>
      <w:r w:rsidR="00A65FAF">
        <w:rPr>
          <w:rFonts w:eastAsia="Times New Roman"/>
          <w:noProof/>
        </w:rPr>
        <w:t xml:space="preserve"> them to extend their commercial offers</w:t>
      </w:r>
      <w:r w:rsidR="00986531">
        <w:rPr>
          <w:rFonts w:eastAsia="Times New Roman"/>
          <w:noProof/>
        </w:rPr>
        <w:t xml:space="preserve"> otherwise hindered</w:t>
      </w:r>
      <w:r w:rsidRPr="294AF3FA">
        <w:rPr>
          <w:rFonts w:eastAsia="Times New Roman"/>
          <w:noProof/>
        </w:rPr>
        <w:t>. Beyond</w:t>
      </w:r>
      <w:r w:rsidR="00187CBD">
        <w:rPr>
          <w:rFonts w:eastAsia="Times New Roman"/>
          <w:noProof/>
        </w:rPr>
        <w:t>,</w:t>
      </w:r>
      <w:r w:rsidRPr="294AF3FA">
        <w:rPr>
          <w:rFonts w:eastAsia="Times New Roman"/>
          <w:noProof/>
        </w:rPr>
        <w:t xml:space="preserve"> remaining costs includ</w:t>
      </w:r>
      <w:r w:rsidR="00C11F28">
        <w:rPr>
          <w:rFonts w:eastAsia="Times New Roman"/>
          <w:noProof/>
        </w:rPr>
        <w:t>e</w:t>
      </w:r>
      <w:r w:rsidRPr="294AF3FA">
        <w:rPr>
          <w:rFonts w:eastAsia="Times New Roman"/>
          <w:noProof/>
        </w:rPr>
        <w:t xml:space="preserve"> funding programmes participation, </w:t>
      </w:r>
      <w:r w:rsidR="00C11F28">
        <w:rPr>
          <w:rFonts w:eastAsia="Times New Roman"/>
          <w:noProof/>
        </w:rPr>
        <w:t xml:space="preserve">which </w:t>
      </w:r>
      <w:r>
        <w:rPr>
          <w:rFonts w:eastAsia="Times New Roman"/>
          <w:noProof/>
        </w:rPr>
        <w:t>is also expected to</w:t>
      </w:r>
      <w:r w:rsidRPr="294AF3FA">
        <w:rPr>
          <w:rFonts w:eastAsia="Times New Roman"/>
          <w:noProof/>
        </w:rPr>
        <w:t xml:space="preserve"> enhance SMEs’ competitiveness. Open</w:t>
      </w:r>
      <w:r>
        <w:rPr>
          <w:rFonts w:eastAsia="Times New Roman"/>
          <w:noProof/>
        </w:rPr>
        <w:t xml:space="preserve"> </w:t>
      </w:r>
      <w:r w:rsidRPr="294AF3FA">
        <w:rPr>
          <w:rFonts w:eastAsia="Times New Roman"/>
          <w:noProof/>
        </w:rPr>
        <w:t xml:space="preserve">source access </w:t>
      </w:r>
      <w:r w:rsidR="00AF5B62">
        <w:rPr>
          <w:rFonts w:eastAsia="Times New Roman"/>
          <w:noProof/>
        </w:rPr>
        <w:t xml:space="preserve">would </w:t>
      </w:r>
      <w:r w:rsidRPr="294AF3FA">
        <w:rPr>
          <w:rFonts w:eastAsia="Times New Roman"/>
          <w:noProof/>
        </w:rPr>
        <w:t xml:space="preserve">reduce entry barriers, </w:t>
      </w:r>
      <w:r w:rsidR="00C90623">
        <w:rPr>
          <w:rFonts w:eastAsia="Times New Roman"/>
          <w:noProof/>
        </w:rPr>
        <w:t>where solutions are evaluated on their merits</w:t>
      </w:r>
      <w:r w:rsidR="00C30124">
        <w:rPr>
          <w:rFonts w:eastAsia="Times New Roman"/>
          <w:noProof/>
        </w:rPr>
        <w:t>.</w:t>
      </w:r>
      <w:r w:rsidR="00C208C8" w:rsidRPr="00C208C8">
        <w:rPr>
          <w:noProof/>
          <w:lang w:val="en-IE"/>
        </w:rPr>
        <w:t xml:space="preserve"> </w:t>
      </w:r>
      <w:r w:rsidR="00C208C8">
        <w:rPr>
          <w:noProof/>
          <w:lang w:val="en-IE"/>
        </w:rPr>
        <w:t>Encouraging open source would not disadvantage proprietary solutions where these genuinely represent the option on the best-value for money, but this would need to be properly demonstrated. Similarly, for companies</w:t>
      </w:r>
      <w:r w:rsidR="00E50C33">
        <w:rPr>
          <w:noProof/>
          <w:lang w:val="en-IE"/>
        </w:rPr>
        <w:t>, notably SMEs</w:t>
      </w:r>
      <w:r w:rsidR="00C208C8">
        <w:rPr>
          <w:noProof/>
          <w:lang w:val="en-IE"/>
        </w:rPr>
        <w:t xml:space="preserve"> whose business models are built around the delivery of open source solutions and related services, this measure would provide them with the opportunity to present their solutions on equal terms removing barriers that have historically limited open source participation in public procurement procedures.</w:t>
      </w:r>
      <w:r w:rsidR="009C3BDD">
        <w:rPr>
          <w:rFonts w:eastAsia="Times New Roman"/>
          <w:noProof/>
        </w:rPr>
        <w:t>Similarly, f</w:t>
      </w:r>
      <w:r w:rsidRPr="294AF3FA">
        <w:rPr>
          <w:rFonts w:eastAsia="Times New Roman"/>
          <w:noProof/>
        </w:rPr>
        <w:t xml:space="preserve">inancial support </w:t>
      </w:r>
      <w:r w:rsidR="00AF5B62">
        <w:rPr>
          <w:rFonts w:eastAsia="Times New Roman"/>
          <w:noProof/>
        </w:rPr>
        <w:t xml:space="preserve">would </w:t>
      </w:r>
      <w:r w:rsidRPr="294AF3FA">
        <w:rPr>
          <w:rFonts w:eastAsia="Times New Roman"/>
          <w:noProof/>
        </w:rPr>
        <w:t xml:space="preserve">include improved funding rates for SMEs, and the service </w:t>
      </w:r>
      <w:r w:rsidR="00E37664">
        <w:rPr>
          <w:rFonts w:eastAsia="Times New Roman"/>
          <w:noProof/>
        </w:rPr>
        <w:t>toolbox</w:t>
      </w:r>
      <w:r w:rsidR="00E37664" w:rsidRPr="294AF3FA">
        <w:rPr>
          <w:rFonts w:eastAsia="Times New Roman"/>
          <w:noProof/>
        </w:rPr>
        <w:t xml:space="preserve"> </w:t>
      </w:r>
      <w:r w:rsidR="00A3702C">
        <w:rPr>
          <w:rFonts w:eastAsia="Times New Roman"/>
          <w:noProof/>
        </w:rPr>
        <w:t xml:space="preserve">would help </w:t>
      </w:r>
      <w:r w:rsidRPr="294AF3FA">
        <w:rPr>
          <w:rFonts w:eastAsia="Times New Roman"/>
          <w:noProof/>
        </w:rPr>
        <w:t>smaller providers</w:t>
      </w:r>
      <w:r w:rsidR="00E37664">
        <w:rPr>
          <w:rFonts w:eastAsia="Times New Roman"/>
          <w:noProof/>
        </w:rPr>
        <w:t xml:space="preserve"> find complementary solutions to their service offering</w:t>
      </w:r>
      <w:r w:rsidRPr="294AF3FA">
        <w:rPr>
          <w:rFonts w:eastAsia="Times New Roman"/>
          <w:noProof/>
        </w:rPr>
        <w:t xml:space="preserve">. Ultimately, this </w:t>
      </w:r>
      <w:r w:rsidR="00652A85">
        <w:rPr>
          <w:rFonts w:eastAsia="Times New Roman"/>
          <w:noProof/>
        </w:rPr>
        <w:t>would</w:t>
      </w:r>
      <w:r w:rsidRPr="294AF3FA">
        <w:rPr>
          <w:rFonts w:eastAsia="Times New Roman"/>
          <w:noProof/>
        </w:rPr>
        <w:t xml:space="preserve"> foster SMEs</w:t>
      </w:r>
      <w:r>
        <w:rPr>
          <w:rFonts w:eastAsia="Times New Roman"/>
          <w:noProof/>
        </w:rPr>
        <w:t>’</w:t>
      </w:r>
      <w:r w:rsidRPr="294AF3FA">
        <w:rPr>
          <w:rFonts w:eastAsia="Times New Roman"/>
          <w:noProof/>
        </w:rPr>
        <w:t xml:space="preserve"> access to innovation</w:t>
      </w:r>
      <w:r w:rsidR="00953EAD">
        <w:rPr>
          <w:rFonts w:eastAsia="Times New Roman"/>
          <w:noProof/>
        </w:rPr>
        <w:t xml:space="preserve">, </w:t>
      </w:r>
      <w:r w:rsidR="00C14BE4">
        <w:rPr>
          <w:rFonts w:eastAsia="Times New Roman"/>
          <w:noProof/>
        </w:rPr>
        <w:t xml:space="preserve">seeking to </w:t>
      </w:r>
      <w:r w:rsidR="00953EAD">
        <w:rPr>
          <w:rFonts w:eastAsia="Times New Roman"/>
          <w:noProof/>
        </w:rPr>
        <w:t>increase their competitiveness</w:t>
      </w:r>
      <w:r w:rsidRPr="294AF3FA">
        <w:rPr>
          <w:rFonts w:eastAsia="Times New Roman"/>
          <w:noProof/>
        </w:rPr>
        <w:t xml:space="preserve"> and reduc</w:t>
      </w:r>
      <w:r>
        <w:rPr>
          <w:rFonts w:eastAsia="Times New Roman"/>
          <w:noProof/>
        </w:rPr>
        <w:t>e their</w:t>
      </w:r>
      <w:r w:rsidRPr="294AF3FA">
        <w:rPr>
          <w:rFonts w:eastAsia="Times New Roman"/>
          <w:noProof/>
        </w:rPr>
        <w:t xml:space="preserve"> upfront costs. The SME cloud and AI adoption scheme </w:t>
      </w:r>
      <w:r>
        <w:rPr>
          <w:rFonts w:eastAsia="Times New Roman"/>
          <w:noProof/>
        </w:rPr>
        <w:t xml:space="preserve">would </w:t>
      </w:r>
      <w:r w:rsidRPr="294AF3FA">
        <w:rPr>
          <w:rFonts w:eastAsia="Times New Roman"/>
          <w:noProof/>
        </w:rPr>
        <w:t xml:space="preserve">bring direct </w:t>
      </w:r>
      <w:r>
        <w:rPr>
          <w:rFonts w:eastAsia="Times New Roman"/>
          <w:noProof/>
        </w:rPr>
        <w:t>economic</w:t>
      </w:r>
      <w:r w:rsidRPr="294AF3FA">
        <w:rPr>
          <w:rFonts w:eastAsia="Times New Roman"/>
          <w:noProof/>
        </w:rPr>
        <w:t xml:space="preserve"> gains for SMEs applying cloud and AI technologies through improved competitiveness, and indirect gains for IT SMEs offering consultancy, reinforcing the ecosystem to drive </w:t>
      </w:r>
      <w:r w:rsidR="0034278C">
        <w:rPr>
          <w:rFonts w:eastAsia="Times New Roman"/>
          <w:noProof/>
        </w:rPr>
        <w:t xml:space="preserve">a </w:t>
      </w:r>
      <w:r w:rsidRPr="294AF3FA">
        <w:rPr>
          <w:rFonts w:eastAsia="Times New Roman"/>
          <w:noProof/>
        </w:rPr>
        <w:t>broader SME digital transformation.</w:t>
      </w:r>
    </w:p>
    <w:p w14:paraId="7EFFA069" w14:textId="77777777" w:rsidR="00E61374" w:rsidRPr="00D37004" w:rsidRDefault="00E61374" w:rsidP="00E61374">
      <w:pPr>
        <w:rPr>
          <w:noProof/>
        </w:rPr>
      </w:pPr>
      <w:r w:rsidRPr="00D37004">
        <w:rPr>
          <w:i/>
          <w:noProof/>
        </w:rPr>
        <w:t>SMEs’ views on Policy Measures</w:t>
      </w:r>
      <w:r w:rsidRPr="00D37004">
        <w:rPr>
          <w:noProof/>
        </w:rPr>
        <w:t>. Feedback from the public consultation shows the following</w:t>
      </w:r>
      <w:r>
        <w:rPr>
          <w:noProof/>
        </w:rPr>
        <w:t>:</w:t>
      </w:r>
    </w:p>
    <w:p w14:paraId="08F50B0B" w14:textId="6B246CD5" w:rsidR="00052FBE" w:rsidRDefault="00052FBE" w:rsidP="00052FBE">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9</w:t>
      </w:r>
      <w:r>
        <w:rPr>
          <w:noProof/>
        </w:rPr>
        <w:fldChar w:fldCharType="end"/>
      </w:r>
      <w:r>
        <w:rPr>
          <w:noProof/>
        </w:rPr>
        <w:t>. SMEs and large companies views on Policy Measures</w:t>
      </w:r>
    </w:p>
    <w:tbl>
      <w:tblPr>
        <w:tblStyle w:val="GridTable4-Accent1"/>
        <w:tblW w:w="5000" w:type="pct"/>
        <w:tblLook w:val="04A0" w:firstRow="1" w:lastRow="0" w:firstColumn="1" w:lastColumn="0" w:noHBand="0" w:noVBand="1"/>
      </w:tblPr>
      <w:tblGrid>
        <w:gridCol w:w="6261"/>
        <w:gridCol w:w="1391"/>
        <w:gridCol w:w="2061"/>
      </w:tblGrid>
      <w:tr w:rsidR="00E61374" w:rsidRPr="00833C7F" w14:paraId="62AE662D" w14:textId="77777777" w:rsidTr="007F1D5A">
        <w:trPr>
          <w:cnfStyle w:val="100000000000" w:firstRow="1" w:lastRow="0" w:firstColumn="0" w:lastColumn="0" w:oddVBand="0" w:evenVBand="0" w:oddHBand="0" w:evenHBand="0" w:firstRowFirstColumn="0" w:firstRowLastColumn="0" w:lastRowFirstColumn="0" w:lastRowLastColumn="0"/>
          <w:trHeight w:val="423"/>
          <w:tblHeader/>
        </w:trPr>
        <w:tc>
          <w:tcPr>
            <w:cnfStyle w:val="001000000000" w:firstRow="0" w:lastRow="0" w:firstColumn="1" w:lastColumn="0" w:oddVBand="0" w:evenVBand="0" w:oddHBand="0" w:evenHBand="0" w:firstRowFirstColumn="0" w:firstRowLastColumn="0" w:lastRowFirstColumn="0" w:lastRowLastColumn="0"/>
            <w:tcW w:w="3222" w:type="pct"/>
            <w:tcBorders>
              <w:bottom w:val="single" w:sz="4" w:space="0" w:color="auto"/>
            </w:tcBorders>
            <w:vAlign w:val="center"/>
          </w:tcPr>
          <w:p w14:paraId="2FB9E065" w14:textId="77777777" w:rsidR="00E61374" w:rsidRPr="00833C7F" w:rsidRDefault="00E61374" w:rsidP="00833C7F">
            <w:pPr>
              <w:spacing w:after="0"/>
              <w:jc w:val="center"/>
              <w:rPr>
                <w:b w:val="0"/>
                <w:i/>
                <w:iCs/>
                <w:noProof/>
                <w:color w:val="auto"/>
                <w:sz w:val="20"/>
                <w:szCs w:val="20"/>
              </w:rPr>
            </w:pPr>
            <w:r w:rsidRPr="00833C7F">
              <w:rPr>
                <w:i/>
                <w:iCs/>
                <w:noProof/>
                <w:color w:val="auto"/>
                <w:sz w:val="20"/>
                <w:szCs w:val="20"/>
              </w:rPr>
              <w:t>Measure</w:t>
            </w:r>
          </w:p>
        </w:tc>
        <w:tc>
          <w:tcPr>
            <w:tcW w:w="716" w:type="pct"/>
            <w:tcBorders>
              <w:bottom w:val="single" w:sz="4" w:space="0" w:color="auto"/>
            </w:tcBorders>
            <w:vAlign w:val="center"/>
          </w:tcPr>
          <w:p w14:paraId="08E24D19" w14:textId="77777777" w:rsidR="00E61374" w:rsidRPr="00833C7F" w:rsidRDefault="00E61374" w:rsidP="00833C7F">
            <w:pPr>
              <w:spacing w:after="0"/>
              <w:jc w:val="center"/>
              <w:cnfStyle w:val="100000000000" w:firstRow="1" w:lastRow="0" w:firstColumn="0" w:lastColumn="0" w:oddVBand="0" w:evenVBand="0" w:oddHBand="0" w:evenHBand="0" w:firstRowFirstColumn="0" w:firstRowLastColumn="0" w:lastRowFirstColumn="0" w:lastRowLastColumn="0"/>
              <w:rPr>
                <w:b w:val="0"/>
                <w:i/>
                <w:iCs/>
                <w:noProof/>
                <w:color w:val="auto"/>
                <w:sz w:val="20"/>
                <w:szCs w:val="20"/>
              </w:rPr>
            </w:pPr>
            <w:r w:rsidRPr="00833C7F">
              <w:rPr>
                <w:i/>
                <w:iCs/>
                <w:noProof/>
                <w:color w:val="auto"/>
                <w:sz w:val="20"/>
                <w:szCs w:val="20"/>
              </w:rPr>
              <w:t>Support from SMEs*</w:t>
            </w:r>
          </w:p>
        </w:tc>
        <w:tc>
          <w:tcPr>
            <w:tcW w:w="1061" w:type="pct"/>
            <w:tcBorders>
              <w:bottom w:val="single" w:sz="4" w:space="0" w:color="auto"/>
            </w:tcBorders>
            <w:vAlign w:val="center"/>
          </w:tcPr>
          <w:p w14:paraId="6CB479B8" w14:textId="77777777" w:rsidR="00E61374" w:rsidRPr="00833C7F" w:rsidRDefault="00E61374" w:rsidP="00833C7F">
            <w:pPr>
              <w:spacing w:after="0"/>
              <w:jc w:val="center"/>
              <w:cnfStyle w:val="100000000000" w:firstRow="1" w:lastRow="0" w:firstColumn="0" w:lastColumn="0" w:oddVBand="0" w:evenVBand="0" w:oddHBand="0" w:evenHBand="0" w:firstRowFirstColumn="0" w:firstRowLastColumn="0" w:lastRowFirstColumn="0" w:lastRowLastColumn="0"/>
              <w:rPr>
                <w:i/>
                <w:iCs/>
                <w:noProof/>
                <w:color w:val="auto"/>
                <w:sz w:val="20"/>
                <w:szCs w:val="20"/>
              </w:rPr>
            </w:pPr>
            <w:r w:rsidRPr="00833C7F">
              <w:rPr>
                <w:i/>
                <w:iCs/>
                <w:noProof/>
                <w:color w:val="auto"/>
                <w:sz w:val="20"/>
                <w:szCs w:val="20"/>
              </w:rPr>
              <w:t>Support from large companies**</w:t>
            </w:r>
          </w:p>
        </w:tc>
      </w:tr>
      <w:tr w:rsidR="00E61374" w:rsidRPr="00833C7F" w14:paraId="605E41E9" w14:textId="77777777" w:rsidTr="006A267B">
        <w:trPr>
          <w:trHeight w:val="300"/>
        </w:trPr>
        <w:tc>
          <w:tcPr>
            <w:cnfStyle w:val="001000000000" w:firstRow="0" w:lastRow="0" w:firstColumn="1" w:lastColumn="0" w:oddVBand="0" w:evenVBand="0" w:oddHBand="0" w:evenHBand="0" w:firstRowFirstColumn="0" w:firstRowLastColumn="0" w:lastRowFirstColumn="0" w:lastRowLastColumn="0"/>
            <w:tcW w:w="3222" w:type="pct"/>
            <w:tcBorders>
              <w:top w:val="single" w:sz="4" w:space="0" w:color="auto"/>
            </w:tcBorders>
            <w:shd w:val="clear" w:color="auto" w:fill="F2F2F2" w:themeFill="background1" w:themeFillShade="F2"/>
          </w:tcPr>
          <w:p w14:paraId="5792C08F" w14:textId="349F96F8" w:rsidR="00E61374" w:rsidRPr="00833C7F" w:rsidRDefault="00E61374" w:rsidP="00833C7F">
            <w:pPr>
              <w:spacing w:after="0"/>
              <w:rPr>
                <w:b w:val="0"/>
                <w:bCs w:val="0"/>
                <w:noProof/>
                <w:sz w:val="20"/>
                <w:szCs w:val="20"/>
              </w:rPr>
            </w:pPr>
            <w:r w:rsidRPr="00833C7F">
              <w:rPr>
                <w:b w:val="0"/>
                <w:bCs w:val="0"/>
                <w:noProof/>
                <w:sz w:val="20"/>
                <w:szCs w:val="20"/>
              </w:rPr>
              <w:t xml:space="preserve">Criterion ensuring sovereignty, autonomy, resilience for administrations procuring cloud and AI computing services </w:t>
            </w:r>
          </w:p>
        </w:tc>
        <w:tc>
          <w:tcPr>
            <w:tcW w:w="716" w:type="pct"/>
            <w:tcBorders>
              <w:top w:val="single" w:sz="4" w:space="0" w:color="auto"/>
            </w:tcBorders>
            <w:shd w:val="clear" w:color="auto" w:fill="F2F2F2" w:themeFill="background1" w:themeFillShade="F2"/>
            <w:vAlign w:val="center"/>
          </w:tcPr>
          <w:p w14:paraId="33F22396"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88%</w:t>
            </w:r>
          </w:p>
        </w:tc>
        <w:tc>
          <w:tcPr>
            <w:tcW w:w="1061" w:type="pct"/>
            <w:tcBorders>
              <w:top w:val="single" w:sz="4" w:space="0" w:color="auto"/>
            </w:tcBorders>
            <w:shd w:val="clear" w:color="auto" w:fill="F2F2F2" w:themeFill="background1" w:themeFillShade="F2"/>
            <w:vAlign w:val="center"/>
          </w:tcPr>
          <w:p w14:paraId="6B4C1213"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31%</w:t>
            </w:r>
          </w:p>
        </w:tc>
      </w:tr>
      <w:tr w:rsidR="00E61374" w:rsidRPr="00833C7F" w14:paraId="47CE6447" w14:textId="77777777" w:rsidTr="00B30495">
        <w:trPr>
          <w:trHeight w:val="196"/>
        </w:trPr>
        <w:tc>
          <w:tcPr>
            <w:cnfStyle w:val="001000000000" w:firstRow="0" w:lastRow="0" w:firstColumn="1" w:lastColumn="0" w:oddVBand="0" w:evenVBand="0" w:oddHBand="0" w:evenHBand="0" w:firstRowFirstColumn="0" w:firstRowLastColumn="0" w:lastRowFirstColumn="0" w:lastRowLastColumn="0"/>
            <w:tcW w:w="3222" w:type="pct"/>
          </w:tcPr>
          <w:p w14:paraId="1B136DC6" w14:textId="2148BB54" w:rsidR="00E61374" w:rsidRPr="00833C7F" w:rsidRDefault="00E61374" w:rsidP="00833C7F">
            <w:pPr>
              <w:spacing w:after="0"/>
              <w:rPr>
                <w:b w:val="0"/>
                <w:bCs w:val="0"/>
                <w:noProof/>
                <w:sz w:val="20"/>
                <w:szCs w:val="20"/>
              </w:rPr>
            </w:pPr>
            <w:r w:rsidRPr="00833C7F">
              <w:rPr>
                <w:b w:val="0"/>
                <w:bCs w:val="0"/>
                <w:noProof/>
                <w:sz w:val="20"/>
                <w:szCs w:val="20"/>
              </w:rPr>
              <w:t>Supporting an open source software ecosystem</w:t>
            </w:r>
          </w:p>
        </w:tc>
        <w:tc>
          <w:tcPr>
            <w:tcW w:w="716" w:type="pct"/>
            <w:vAlign w:val="center"/>
          </w:tcPr>
          <w:p w14:paraId="53670E82"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82%</w:t>
            </w:r>
          </w:p>
        </w:tc>
        <w:tc>
          <w:tcPr>
            <w:tcW w:w="1061" w:type="pct"/>
            <w:vAlign w:val="center"/>
          </w:tcPr>
          <w:p w14:paraId="33A4794E"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55%</w:t>
            </w:r>
          </w:p>
        </w:tc>
      </w:tr>
      <w:tr w:rsidR="00E61374" w:rsidRPr="00833C7F" w14:paraId="3DA737F8" w14:textId="77777777" w:rsidTr="006A267B">
        <w:trPr>
          <w:trHeight w:val="300"/>
        </w:trPr>
        <w:tc>
          <w:tcPr>
            <w:cnfStyle w:val="001000000000" w:firstRow="0" w:lastRow="0" w:firstColumn="1" w:lastColumn="0" w:oddVBand="0" w:evenVBand="0" w:oddHBand="0" w:evenHBand="0" w:firstRowFirstColumn="0" w:firstRowLastColumn="0" w:lastRowFirstColumn="0" w:lastRowLastColumn="0"/>
            <w:tcW w:w="3222" w:type="pct"/>
            <w:shd w:val="clear" w:color="auto" w:fill="F2F2F2" w:themeFill="background1" w:themeFillShade="F2"/>
          </w:tcPr>
          <w:p w14:paraId="53E9C172" w14:textId="77777777" w:rsidR="00E61374" w:rsidRPr="00833C7F" w:rsidRDefault="00E61374" w:rsidP="00833C7F">
            <w:pPr>
              <w:spacing w:after="0"/>
              <w:rPr>
                <w:b w:val="0"/>
                <w:bCs w:val="0"/>
                <w:noProof/>
                <w:sz w:val="20"/>
                <w:szCs w:val="20"/>
              </w:rPr>
            </w:pPr>
            <w:r w:rsidRPr="00833C7F">
              <w:rPr>
                <w:b w:val="0"/>
                <w:bCs w:val="0"/>
                <w:noProof/>
                <w:sz w:val="20"/>
                <w:szCs w:val="20"/>
              </w:rPr>
              <w:t>Guidelines with standard criteria to procure cloud and AI computing services for public administrations</w:t>
            </w:r>
          </w:p>
        </w:tc>
        <w:tc>
          <w:tcPr>
            <w:tcW w:w="716" w:type="pct"/>
            <w:shd w:val="clear" w:color="auto" w:fill="F2F2F2" w:themeFill="background1" w:themeFillShade="F2"/>
            <w:vAlign w:val="center"/>
          </w:tcPr>
          <w:p w14:paraId="49AF2175"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82%</w:t>
            </w:r>
          </w:p>
        </w:tc>
        <w:tc>
          <w:tcPr>
            <w:tcW w:w="1061" w:type="pct"/>
            <w:shd w:val="clear" w:color="auto" w:fill="F2F2F2" w:themeFill="background1" w:themeFillShade="F2"/>
            <w:vAlign w:val="center"/>
          </w:tcPr>
          <w:p w14:paraId="5EA366AF"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39%</w:t>
            </w:r>
          </w:p>
        </w:tc>
      </w:tr>
      <w:tr w:rsidR="00E61374" w:rsidRPr="00833C7F" w14:paraId="5195764E" w14:textId="77777777" w:rsidTr="00B30495">
        <w:trPr>
          <w:trHeight w:val="143"/>
        </w:trPr>
        <w:tc>
          <w:tcPr>
            <w:cnfStyle w:val="001000000000" w:firstRow="0" w:lastRow="0" w:firstColumn="1" w:lastColumn="0" w:oddVBand="0" w:evenVBand="0" w:oddHBand="0" w:evenHBand="0" w:firstRowFirstColumn="0" w:firstRowLastColumn="0" w:lastRowFirstColumn="0" w:lastRowLastColumn="0"/>
            <w:tcW w:w="3222" w:type="pct"/>
          </w:tcPr>
          <w:p w14:paraId="531AEA40" w14:textId="77777777" w:rsidR="00E61374" w:rsidRPr="00833C7F" w:rsidRDefault="00E61374" w:rsidP="00833C7F">
            <w:pPr>
              <w:spacing w:after="0"/>
              <w:rPr>
                <w:b w:val="0"/>
                <w:bCs w:val="0"/>
                <w:noProof/>
                <w:sz w:val="20"/>
                <w:szCs w:val="20"/>
              </w:rPr>
            </w:pPr>
            <w:r w:rsidRPr="00833C7F">
              <w:rPr>
                <w:b w:val="0"/>
                <w:bCs w:val="0"/>
                <w:noProof/>
                <w:sz w:val="20"/>
                <w:szCs w:val="20"/>
              </w:rPr>
              <w:t xml:space="preserve">Tax incentives for using sustainable technologies </w:t>
            </w:r>
          </w:p>
        </w:tc>
        <w:tc>
          <w:tcPr>
            <w:tcW w:w="716" w:type="pct"/>
            <w:vAlign w:val="center"/>
          </w:tcPr>
          <w:p w14:paraId="4A998C31"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76%</w:t>
            </w:r>
          </w:p>
        </w:tc>
        <w:tc>
          <w:tcPr>
            <w:tcW w:w="1061" w:type="pct"/>
            <w:vAlign w:val="center"/>
          </w:tcPr>
          <w:p w14:paraId="7FA3FFB3"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39%</w:t>
            </w:r>
          </w:p>
        </w:tc>
      </w:tr>
      <w:tr w:rsidR="00E61374" w:rsidRPr="00833C7F" w14:paraId="517228FA" w14:textId="77777777" w:rsidTr="006A267B">
        <w:trPr>
          <w:trHeight w:val="300"/>
        </w:trPr>
        <w:tc>
          <w:tcPr>
            <w:cnfStyle w:val="001000000000" w:firstRow="0" w:lastRow="0" w:firstColumn="1" w:lastColumn="0" w:oddVBand="0" w:evenVBand="0" w:oddHBand="0" w:evenHBand="0" w:firstRowFirstColumn="0" w:firstRowLastColumn="0" w:lastRowFirstColumn="0" w:lastRowLastColumn="0"/>
            <w:tcW w:w="3222" w:type="pct"/>
            <w:shd w:val="clear" w:color="auto" w:fill="F2F2F2" w:themeFill="background1" w:themeFillShade="F2"/>
          </w:tcPr>
          <w:p w14:paraId="6DE866F9" w14:textId="6FABE0A8" w:rsidR="00E61374" w:rsidRPr="00833C7F" w:rsidRDefault="00E61374" w:rsidP="00833C7F">
            <w:pPr>
              <w:spacing w:after="0"/>
              <w:rPr>
                <w:b w:val="0"/>
                <w:bCs w:val="0"/>
                <w:noProof/>
                <w:sz w:val="20"/>
                <w:szCs w:val="20"/>
              </w:rPr>
            </w:pPr>
            <w:r w:rsidRPr="00833C7F">
              <w:rPr>
                <w:b w:val="0"/>
                <w:bCs w:val="0"/>
                <w:noProof/>
                <w:sz w:val="20"/>
                <w:szCs w:val="20"/>
              </w:rPr>
              <w:t>Funding for R&amp;D of energy-efficient technologies, standardised energy efficiency benchmarks; addressing energy availability for data centres</w:t>
            </w:r>
          </w:p>
        </w:tc>
        <w:tc>
          <w:tcPr>
            <w:tcW w:w="716" w:type="pct"/>
            <w:shd w:val="clear" w:color="auto" w:fill="F2F2F2" w:themeFill="background1" w:themeFillShade="F2"/>
            <w:vAlign w:val="center"/>
          </w:tcPr>
          <w:p w14:paraId="07C35A18"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71%</w:t>
            </w:r>
          </w:p>
        </w:tc>
        <w:tc>
          <w:tcPr>
            <w:tcW w:w="1061" w:type="pct"/>
            <w:shd w:val="clear" w:color="auto" w:fill="F2F2F2" w:themeFill="background1" w:themeFillShade="F2"/>
            <w:vAlign w:val="center"/>
          </w:tcPr>
          <w:p w14:paraId="6C63F31A"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59%</w:t>
            </w:r>
          </w:p>
        </w:tc>
      </w:tr>
      <w:tr w:rsidR="00E61374" w:rsidRPr="00833C7F" w14:paraId="4810F38C" w14:textId="77777777" w:rsidTr="00B30495">
        <w:trPr>
          <w:trHeight w:val="309"/>
        </w:trPr>
        <w:tc>
          <w:tcPr>
            <w:cnfStyle w:val="001000000000" w:firstRow="0" w:lastRow="0" w:firstColumn="1" w:lastColumn="0" w:oddVBand="0" w:evenVBand="0" w:oddHBand="0" w:evenHBand="0" w:firstRowFirstColumn="0" w:firstRowLastColumn="0" w:lastRowFirstColumn="0" w:lastRowLastColumn="0"/>
            <w:tcW w:w="3222" w:type="pct"/>
          </w:tcPr>
          <w:p w14:paraId="239AD477" w14:textId="4BEC726E" w:rsidR="00E61374" w:rsidRPr="00833C7F" w:rsidRDefault="00E61374" w:rsidP="00833C7F">
            <w:pPr>
              <w:spacing w:after="0"/>
              <w:rPr>
                <w:b w:val="0"/>
                <w:bCs w:val="0"/>
                <w:noProof/>
                <w:sz w:val="20"/>
                <w:szCs w:val="20"/>
              </w:rPr>
            </w:pPr>
            <w:r w:rsidRPr="00833C7F">
              <w:rPr>
                <w:b w:val="0"/>
                <w:bCs w:val="0"/>
                <w:noProof/>
                <w:sz w:val="20"/>
                <w:szCs w:val="20"/>
              </w:rPr>
              <w:t>Expedited approval mechanisms and clear conditions for strategic projects</w:t>
            </w:r>
          </w:p>
        </w:tc>
        <w:tc>
          <w:tcPr>
            <w:tcW w:w="716" w:type="pct"/>
            <w:vAlign w:val="center"/>
          </w:tcPr>
          <w:p w14:paraId="05D5A450"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70%</w:t>
            </w:r>
          </w:p>
        </w:tc>
        <w:tc>
          <w:tcPr>
            <w:tcW w:w="1061" w:type="pct"/>
            <w:vAlign w:val="center"/>
          </w:tcPr>
          <w:p w14:paraId="700D44AF" w14:textId="77777777" w:rsidR="00E61374" w:rsidRPr="00833C7F" w:rsidRDefault="00E61374" w:rsidP="00833C7F">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33C7F">
              <w:rPr>
                <w:noProof/>
                <w:sz w:val="20"/>
                <w:szCs w:val="20"/>
              </w:rPr>
              <w:t>81%</w:t>
            </w:r>
          </w:p>
        </w:tc>
      </w:tr>
    </w:tbl>
    <w:p w14:paraId="4D5C1302" w14:textId="77777777" w:rsidR="00E61374" w:rsidRPr="000656F1" w:rsidRDefault="00E61374" w:rsidP="000656F1">
      <w:pPr>
        <w:spacing w:after="0"/>
        <w:rPr>
          <w:noProof/>
          <w:sz w:val="16"/>
          <w:szCs w:val="16"/>
        </w:rPr>
      </w:pPr>
      <w:r w:rsidRPr="000656F1">
        <w:rPr>
          <w:caps/>
          <w:noProof/>
          <w:sz w:val="16"/>
          <w:szCs w:val="16"/>
        </w:rPr>
        <w:t xml:space="preserve">*17 </w:t>
      </w:r>
      <w:r w:rsidRPr="000656F1">
        <w:rPr>
          <w:noProof/>
          <w:sz w:val="16"/>
          <w:szCs w:val="16"/>
        </w:rPr>
        <w:t>SMEs replied to the public consultation questionnaire</w:t>
      </w:r>
    </w:p>
    <w:p w14:paraId="453E781A" w14:textId="7D480995" w:rsidR="00E61374" w:rsidRDefault="00E61374" w:rsidP="000656F1">
      <w:pPr>
        <w:spacing w:after="0"/>
        <w:rPr>
          <w:noProof/>
          <w:sz w:val="16"/>
          <w:szCs w:val="16"/>
        </w:rPr>
      </w:pPr>
      <w:r w:rsidRPr="000656F1">
        <w:rPr>
          <w:caps/>
          <w:noProof/>
          <w:sz w:val="16"/>
          <w:szCs w:val="16"/>
        </w:rPr>
        <w:t xml:space="preserve">** 49 </w:t>
      </w:r>
      <w:r w:rsidRPr="000656F1">
        <w:rPr>
          <w:noProof/>
          <w:sz w:val="16"/>
          <w:szCs w:val="16"/>
        </w:rPr>
        <w:t>Large companies replied to the public consultation questionnaire</w:t>
      </w:r>
    </w:p>
    <w:p w14:paraId="79D195A8" w14:textId="77777777" w:rsidR="000656F1" w:rsidRPr="000656F1" w:rsidRDefault="000656F1" w:rsidP="000656F1">
      <w:pPr>
        <w:spacing w:after="0"/>
        <w:rPr>
          <w:noProof/>
          <w:sz w:val="16"/>
          <w:szCs w:val="16"/>
        </w:rPr>
      </w:pPr>
    </w:p>
    <w:p w14:paraId="08924694" w14:textId="161B4AB1" w:rsidR="00E61374" w:rsidRPr="00480242" w:rsidRDefault="00E61374" w:rsidP="006B5183">
      <w:pPr>
        <w:pStyle w:val="Heading3"/>
        <w:rPr>
          <w:noProof/>
        </w:rPr>
      </w:pPr>
      <w:r w:rsidRPr="00480242">
        <w:rPr>
          <w:noProof/>
        </w:rPr>
        <w:t>Impact on public authorities</w:t>
      </w:r>
    </w:p>
    <w:p w14:paraId="0DDB9F53" w14:textId="08EF8494" w:rsidR="0081735A" w:rsidRDefault="00E61374" w:rsidP="00667A62">
      <w:pPr>
        <w:rPr>
          <w:noProof/>
        </w:rPr>
      </w:pPr>
      <w:r>
        <w:rPr>
          <w:b/>
          <w:i/>
          <w:noProof/>
        </w:rPr>
        <w:t>C</w:t>
      </w:r>
      <w:r w:rsidRPr="00D37004">
        <w:rPr>
          <w:b/>
          <w:i/>
          <w:noProof/>
        </w:rPr>
        <w:t>osts</w:t>
      </w:r>
      <w:r>
        <w:rPr>
          <w:b/>
          <w:i/>
          <w:noProof/>
        </w:rPr>
        <w:t xml:space="preserve"> for public authorities</w:t>
      </w:r>
      <w:r w:rsidRPr="00D37004">
        <w:rPr>
          <w:b/>
          <w:i/>
          <w:noProof/>
        </w:rPr>
        <w:t>.</w:t>
      </w:r>
      <w:r w:rsidRPr="00D37004" w:rsidDel="00465947">
        <w:rPr>
          <w:noProof/>
        </w:rPr>
        <w:t xml:space="preserve"> </w:t>
      </w:r>
      <w:r w:rsidRPr="00D37004">
        <w:rPr>
          <w:noProof/>
        </w:rPr>
        <w:t xml:space="preserve">In </w:t>
      </w:r>
      <w:r w:rsidRPr="00D37004">
        <w:rPr>
          <w:b/>
          <w:noProof/>
        </w:rPr>
        <w:t>PO1-A,</w:t>
      </w:r>
      <w:r w:rsidRPr="00D37004">
        <w:rPr>
          <w:noProof/>
        </w:rPr>
        <w:t xml:space="preserve"> </w:t>
      </w:r>
      <w:r>
        <w:rPr>
          <w:noProof/>
        </w:rPr>
        <w:t xml:space="preserve">costs for </w:t>
      </w:r>
      <w:r w:rsidRPr="00D37004">
        <w:rPr>
          <w:noProof/>
        </w:rPr>
        <w:t xml:space="preserve">authorities are </w:t>
      </w:r>
      <w:r w:rsidR="005A2CDB">
        <w:rPr>
          <w:noProof/>
        </w:rPr>
        <w:t xml:space="preserve">estimated </w:t>
      </w:r>
      <w:r w:rsidR="005B3280">
        <w:rPr>
          <w:noProof/>
        </w:rPr>
        <w:t xml:space="preserve">to be </w:t>
      </w:r>
      <w:r w:rsidRPr="00D37004">
        <w:rPr>
          <w:noProof/>
        </w:rPr>
        <w:t xml:space="preserve">modest and </w:t>
      </w:r>
      <w:r w:rsidR="005A2CDB">
        <w:rPr>
          <w:noProof/>
        </w:rPr>
        <w:t xml:space="preserve">would be </w:t>
      </w:r>
      <w:r w:rsidRPr="00D37004">
        <w:rPr>
          <w:noProof/>
        </w:rPr>
        <w:t>limited to the</w:t>
      </w:r>
      <w:r>
        <w:rPr>
          <w:noProof/>
        </w:rPr>
        <w:t xml:space="preserve">ir </w:t>
      </w:r>
      <w:r w:rsidRPr="00D37004">
        <w:rPr>
          <w:noProof/>
        </w:rPr>
        <w:t xml:space="preserve">participation in </w:t>
      </w:r>
      <w:r>
        <w:rPr>
          <w:noProof/>
        </w:rPr>
        <w:t xml:space="preserve">the forum (PM2) </w:t>
      </w:r>
      <w:r w:rsidR="00653FCE">
        <w:rPr>
          <w:noProof/>
        </w:rPr>
        <w:t>as well as to their</w:t>
      </w:r>
      <w:r w:rsidR="00653FCE" w:rsidRPr="00D37004">
        <w:rPr>
          <w:noProof/>
        </w:rPr>
        <w:t xml:space="preserve"> </w:t>
      </w:r>
      <w:r>
        <w:rPr>
          <w:noProof/>
        </w:rPr>
        <w:t xml:space="preserve">contribution to </w:t>
      </w:r>
      <w:r w:rsidRPr="00D37004">
        <w:rPr>
          <w:noProof/>
        </w:rPr>
        <w:t xml:space="preserve">drafting </w:t>
      </w:r>
      <w:r>
        <w:rPr>
          <w:noProof/>
        </w:rPr>
        <w:t>the</w:t>
      </w:r>
      <w:r w:rsidRPr="00D37004">
        <w:rPr>
          <w:noProof/>
        </w:rPr>
        <w:t xml:space="preserve"> guidelines</w:t>
      </w:r>
      <w:r>
        <w:rPr>
          <w:noProof/>
        </w:rPr>
        <w:t xml:space="preserve"> (PM3)</w:t>
      </w:r>
      <w:r w:rsidRPr="00D37004">
        <w:rPr>
          <w:noProof/>
        </w:rPr>
        <w:t xml:space="preserve">, leading to total expected costs </w:t>
      </w:r>
      <w:r w:rsidR="005B3280">
        <w:rPr>
          <w:noProof/>
        </w:rPr>
        <w:t>ranging between</w:t>
      </w:r>
      <w:r w:rsidR="005B3280" w:rsidRPr="00D37004">
        <w:rPr>
          <w:noProof/>
        </w:rPr>
        <w:t xml:space="preserve"> </w:t>
      </w:r>
      <w:r w:rsidRPr="006613AA">
        <w:rPr>
          <w:b/>
          <w:noProof/>
        </w:rPr>
        <w:t xml:space="preserve">EUR </w:t>
      </w:r>
      <w:r w:rsidRPr="006613AA" w:rsidDel="003B37A1">
        <w:rPr>
          <w:b/>
          <w:noProof/>
        </w:rPr>
        <w:t>1</w:t>
      </w:r>
      <w:r w:rsidR="003B37A1" w:rsidRPr="006613AA">
        <w:rPr>
          <w:b/>
          <w:noProof/>
        </w:rPr>
        <w:t xml:space="preserve"> and 2</w:t>
      </w:r>
      <w:r w:rsidRPr="006613AA">
        <w:rPr>
          <w:b/>
          <w:noProof/>
        </w:rPr>
        <w:t xml:space="preserve"> m</w:t>
      </w:r>
      <w:r w:rsidR="003B37A1">
        <w:rPr>
          <w:b/>
          <w:bCs/>
          <w:noProof/>
        </w:rPr>
        <w:t xml:space="preserve"> </w:t>
      </w:r>
      <w:r w:rsidR="008B2081" w:rsidRPr="006613AA">
        <w:rPr>
          <w:noProof/>
        </w:rPr>
        <w:t>over 10 years</w:t>
      </w:r>
      <w:r w:rsidR="00C727CA">
        <w:rPr>
          <w:noProof/>
        </w:rPr>
        <w:t>, assuming one authority representative per MS would participate in each activity</w:t>
      </w:r>
      <w:r w:rsidRPr="00D37004">
        <w:rPr>
          <w:noProof/>
        </w:rPr>
        <w:t>.</w:t>
      </w:r>
      <w:r w:rsidRPr="00D37004">
        <w:rPr>
          <w:rFonts w:eastAsiaTheme="minorEastAsia"/>
          <w:noProof/>
        </w:rPr>
        <w:t xml:space="preserve"> </w:t>
      </w:r>
      <w:r w:rsidRPr="00D37004">
        <w:rPr>
          <w:noProof/>
        </w:rPr>
        <w:t xml:space="preserve">Under </w:t>
      </w:r>
      <w:r w:rsidRPr="00D37004">
        <w:rPr>
          <w:b/>
          <w:noProof/>
        </w:rPr>
        <w:t>PO1-B,</w:t>
      </w:r>
      <w:r w:rsidRPr="00D37004">
        <w:rPr>
          <w:noProof/>
        </w:rPr>
        <w:t xml:space="preserve"> authorities are expected to face </w:t>
      </w:r>
      <w:r>
        <w:rPr>
          <w:noProof/>
        </w:rPr>
        <w:t xml:space="preserve">adjustment </w:t>
      </w:r>
      <w:r w:rsidR="00B97926">
        <w:rPr>
          <w:noProof/>
        </w:rPr>
        <w:t xml:space="preserve">and administrative </w:t>
      </w:r>
      <w:r w:rsidRPr="00D37004">
        <w:rPr>
          <w:noProof/>
        </w:rPr>
        <w:t>costs to</w:t>
      </w:r>
      <w:r>
        <w:rPr>
          <w:noProof/>
        </w:rPr>
        <w:t xml:space="preserve"> establish and operate the project facilitator (PM4)</w:t>
      </w:r>
      <w:r w:rsidR="00D72E01">
        <w:rPr>
          <w:rStyle w:val="FootnoteReference"/>
          <w:noProof/>
        </w:rPr>
        <w:footnoteReference w:id="108"/>
      </w:r>
      <w:r>
        <w:rPr>
          <w:noProof/>
        </w:rPr>
        <w:t xml:space="preserve"> and</w:t>
      </w:r>
      <w:r w:rsidRPr="00D37004">
        <w:rPr>
          <w:noProof/>
        </w:rPr>
        <w:t xml:space="preserve"> identify areas for fast-track deployment </w:t>
      </w:r>
      <w:r w:rsidR="00B97926">
        <w:rPr>
          <w:noProof/>
        </w:rPr>
        <w:t xml:space="preserve">as part of their national strategies for data centre deployment </w:t>
      </w:r>
      <w:r>
        <w:rPr>
          <w:noProof/>
        </w:rPr>
        <w:t>(PM5</w:t>
      </w:r>
      <w:r w:rsidR="00B97926">
        <w:rPr>
          <w:noProof/>
        </w:rPr>
        <w:t xml:space="preserve">). This would lead to </w:t>
      </w:r>
      <w:r>
        <w:rPr>
          <w:noProof/>
        </w:rPr>
        <w:t xml:space="preserve">an estimated </w:t>
      </w:r>
      <w:r w:rsidR="001B1064">
        <w:rPr>
          <w:noProof/>
        </w:rPr>
        <w:t xml:space="preserve">cumulative </w:t>
      </w:r>
      <w:r>
        <w:rPr>
          <w:noProof/>
        </w:rPr>
        <w:t xml:space="preserve">cost </w:t>
      </w:r>
      <w:r w:rsidR="001B1064">
        <w:rPr>
          <w:noProof/>
        </w:rPr>
        <w:t>over 10-years</w:t>
      </w:r>
      <w:r w:rsidR="001B1064" w:rsidDel="0053646B">
        <w:rPr>
          <w:noProof/>
        </w:rPr>
        <w:t xml:space="preserve"> </w:t>
      </w:r>
      <w:r w:rsidR="00A42905">
        <w:rPr>
          <w:noProof/>
        </w:rPr>
        <w:t>ranging between 4 and</w:t>
      </w:r>
      <w:r w:rsidR="0053646B">
        <w:rPr>
          <w:noProof/>
        </w:rPr>
        <w:t xml:space="preserve"> </w:t>
      </w:r>
      <w:r w:rsidR="009C6D58">
        <w:rPr>
          <w:noProof/>
        </w:rPr>
        <w:t>8</w:t>
      </w:r>
      <w:r w:rsidR="009A7BDE">
        <w:rPr>
          <w:noProof/>
        </w:rPr>
        <w:t xml:space="preserve"> </w:t>
      </w:r>
      <w:r>
        <w:rPr>
          <w:noProof/>
        </w:rPr>
        <w:t>m</w:t>
      </w:r>
      <w:r w:rsidR="001B1064">
        <w:rPr>
          <w:noProof/>
        </w:rPr>
        <w:t xml:space="preserve"> per national authority</w:t>
      </w:r>
      <w:r>
        <w:rPr>
          <w:noProof/>
        </w:rPr>
        <w:t>.</w:t>
      </w:r>
      <w:r w:rsidRPr="00D37004" w:rsidDel="0001705B">
        <w:rPr>
          <w:noProof/>
        </w:rPr>
        <w:t xml:space="preserve"> </w:t>
      </w:r>
      <w:r w:rsidRPr="00D37004">
        <w:rPr>
          <w:noProof/>
        </w:rPr>
        <w:t xml:space="preserve">Additional costs are </w:t>
      </w:r>
      <w:r>
        <w:rPr>
          <w:noProof/>
        </w:rPr>
        <w:t>estimated</w:t>
      </w:r>
      <w:r w:rsidRPr="00D37004" w:rsidDel="0001705B">
        <w:rPr>
          <w:noProof/>
        </w:rPr>
        <w:t xml:space="preserve"> </w:t>
      </w:r>
      <w:r w:rsidRPr="00D37004">
        <w:rPr>
          <w:noProof/>
        </w:rPr>
        <w:t xml:space="preserve">for </w:t>
      </w:r>
      <w:r>
        <w:rPr>
          <w:noProof/>
        </w:rPr>
        <w:t>setting up and</w:t>
      </w:r>
      <w:r w:rsidRPr="00D37004">
        <w:rPr>
          <w:noProof/>
        </w:rPr>
        <w:t xml:space="preserve"> managing</w:t>
      </w:r>
      <w:r w:rsidRPr="00D37004" w:rsidDel="003A3F10">
        <w:rPr>
          <w:noProof/>
        </w:rPr>
        <w:t xml:space="preserve"> </w:t>
      </w:r>
      <w:r w:rsidR="003A3F10">
        <w:rPr>
          <w:noProof/>
        </w:rPr>
        <w:t>a potential</w:t>
      </w:r>
      <w:r w:rsidR="003A3F10" w:rsidRPr="00D37004">
        <w:rPr>
          <w:noProof/>
        </w:rPr>
        <w:t xml:space="preserve"> </w:t>
      </w:r>
      <w:r w:rsidRPr="00D37004">
        <w:rPr>
          <w:noProof/>
        </w:rPr>
        <w:t xml:space="preserve">support programme for strategic </w:t>
      </w:r>
      <w:r w:rsidR="00217F2B">
        <w:rPr>
          <w:noProof/>
        </w:rPr>
        <w:t>DC</w:t>
      </w:r>
      <w:r w:rsidRPr="00D37004">
        <w:rPr>
          <w:noProof/>
        </w:rPr>
        <w:t xml:space="preserve"> roll-out</w:t>
      </w:r>
      <w:r>
        <w:rPr>
          <w:noProof/>
        </w:rPr>
        <w:t xml:space="preserve"> (PM6)</w:t>
      </w:r>
      <w:r w:rsidRPr="00D37004">
        <w:rPr>
          <w:noProof/>
        </w:rPr>
        <w:t xml:space="preserve">. </w:t>
      </w:r>
      <w:r>
        <w:rPr>
          <w:noProof/>
        </w:rPr>
        <w:t>Finally, authorities would face minor enforcement costs for periodic checks to verify data on</w:t>
      </w:r>
      <w:r w:rsidRPr="00D37004">
        <w:rPr>
          <w:noProof/>
        </w:rPr>
        <w:t xml:space="preserve"> compute capacity</w:t>
      </w:r>
      <w:r>
        <w:rPr>
          <w:noProof/>
        </w:rPr>
        <w:t xml:space="preserve"> </w:t>
      </w:r>
      <w:r w:rsidR="008E3181">
        <w:rPr>
          <w:noProof/>
        </w:rPr>
        <w:t xml:space="preserve">as well as the implementation of national data centre strategies </w:t>
      </w:r>
      <w:r>
        <w:rPr>
          <w:noProof/>
        </w:rPr>
        <w:t xml:space="preserve">under PM7. </w:t>
      </w:r>
      <w:r w:rsidR="005D56B9">
        <w:rPr>
          <w:noProof/>
        </w:rPr>
        <w:t>The</w:t>
      </w:r>
      <w:r>
        <w:rPr>
          <w:noProof/>
        </w:rPr>
        <w:t xml:space="preserve"> option </w:t>
      </w:r>
      <w:r w:rsidR="00044812">
        <w:rPr>
          <w:noProof/>
        </w:rPr>
        <w:t xml:space="preserve">is expected to </w:t>
      </w:r>
      <w:r>
        <w:rPr>
          <w:noProof/>
        </w:rPr>
        <w:t xml:space="preserve">generate </w:t>
      </w:r>
      <w:r w:rsidR="005D56B9">
        <w:rPr>
          <w:noProof/>
        </w:rPr>
        <w:t xml:space="preserve">total </w:t>
      </w:r>
      <w:r>
        <w:rPr>
          <w:noProof/>
        </w:rPr>
        <w:t xml:space="preserve">costs </w:t>
      </w:r>
      <w:r w:rsidR="005D56B9">
        <w:rPr>
          <w:noProof/>
        </w:rPr>
        <w:t xml:space="preserve">for 27 national authorities </w:t>
      </w:r>
      <w:r w:rsidR="00044812">
        <w:rPr>
          <w:noProof/>
        </w:rPr>
        <w:t xml:space="preserve">ranging </w:t>
      </w:r>
      <w:r w:rsidR="00E14F0B">
        <w:rPr>
          <w:noProof/>
        </w:rPr>
        <w:t xml:space="preserve">between </w:t>
      </w:r>
      <w:r w:rsidR="00E14F0B" w:rsidRPr="00A578B4">
        <w:rPr>
          <w:b/>
          <w:bCs/>
          <w:noProof/>
        </w:rPr>
        <w:t>EUR 106 m and 236 m</w:t>
      </w:r>
      <w:r w:rsidR="005D56B9" w:rsidRPr="0041156D">
        <w:rPr>
          <w:b/>
          <w:noProof/>
        </w:rPr>
        <w:t xml:space="preserve"> over ten years</w:t>
      </w:r>
      <w:r w:rsidRPr="00D37004">
        <w:rPr>
          <w:noProof/>
        </w:rPr>
        <w:t xml:space="preserve">. In </w:t>
      </w:r>
      <w:r w:rsidRPr="00D37004">
        <w:rPr>
          <w:b/>
          <w:noProof/>
        </w:rPr>
        <w:t>PO1-C,</w:t>
      </w:r>
      <w:r w:rsidRPr="00D37004">
        <w:rPr>
          <w:noProof/>
        </w:rPr>
        <w:t xml:space="preserve"> authorities</w:t>
      </w:r>
      <w:r w:rsidRPr="00D37004" w:rsidDel="00931A01">
        <w:rPr>
          <w:noProof/>
        </w:rPr>
        <w:t xml:space="preserve"> </w:t>
      </w:r>
      <w:r>
        <w:rPr>
          <w:noProof/>
        </w:rPr>
        <w:t>are expected</w:t>
      </w:r>
      <w:r w:rsidRPr="00D37004">
        <w:rPr>
          <w:noProof/>
        </w:rPr>
        <w:t xml:space="preserve"> to </w:t>
      </w:r>
      <w:r>
        <w:rPr>
          <w:noProof/>
        </w:rPr>
        <w:t xml:space="preserve">incur adjustment costs </w:t>
      </w:r>
      <w:r w:rsidRPr="00D37004">
        <w:rPr>
          <w:noProof/>
        </w:rPr>
        <w:t xml:space="preserve">to adapt to the EU-level </w:t>
      </w:r>
      <w:r w:rsidR="00217F2B">
        <w:rPr>
          <w:noProof/>
        </w:rPr>
        <w:t>DC</w:t>
      </w:r>
      <w:r w:rsidRPr="00D37004">
        <w:rPr>
          <w:noProof/>
        </w:rPr>
        <w:t xml:space="preserve"> fast track platform</w:t>
      </w:r>
      <w:r>
        <w:rPr>
          <w:noProof/>
        </w:rPr>
        <w:t xml:space="preserve"> (PM10), including the appointment of national representatives to the new board</w:t>
      </w:r>
      <w:r w:rsidRPr="00D37004">
        <w:rPr>
          <w:noProof/>
        </w:rPr>
        <w:t xml:space="preserve"> and </w:t>
      </w:r>
      <w:r>
        <w:rPr>
          <w:noProof/>
        </w:rPr>
        <w:t>periodic provision of</w:t>
      </w:r>
      <w:r w:rsidRPr="00D37004">
        <w:rPr>
          <w:noProof/>
        </w:rPr>
        <w:t xml:space="preserve"> data for identifying suitable fast-track areas</w:t>
      </w:r>
      <w:r w:rsidR="003A7DEA">
        <w:rPr>
          <w:noProof/>
        </w:rPr>
        <w:t xml:space="preserve">. This is expected to generate costs ranging between </w:t>
      </w:r>
      <w:r w:rsidRPr="00A578B4" w:rsidDel="003A7DEA">
        <w:rPr>
          <w:b/>
          <w:bCs/>
          <w:noProof/>
        </w:rPr>
        <w:t>EUR</w:t>
      </w:r>
      <w:r w:rsidRPr="00A578B4">
        <w:rPr>
          <w:b/>
          <w:bCs/>
          <w:noProof/>
        </w:rPr>
        <w:t xml:space="preserve"> </w:t>
      </w:r>
      <w:r w:rsidR="00AF0D4C" w:rsidRPr="00A578B4">
        <w:rPr>
          <w:b/>
          <w:bCs/>
          <w:noProof/>
        </w:rPr>
        <w:t>8</w:t>
      </w:r>
      <w:r w:rsidR="003A7DEA" w:rsidRPr="00A578B4">
        <w:rPr>
          <w:b/>
          <w:bCs/>
          <w:noProof/>
        </w:rPr>
        <w:t>4 and 90</w:t>
      </w:r>
      <w:r w:rsidRPr="00A578B4">
        <w:rPr>
          <w:b/>
          <w:bCs/>
          <w:noProof/>
        </w:rPr>
        <w:t xml:space="preserve"> m</w:t>
      </w:r>
      <w:r w:rsidR="0034170F">
        <w:rPr>
          <w:noProof/>
        </w:rPr>
        <w:t xml:space="preserve"> </w:t>
      </w:r>
      <w:r w:rsidR="0034170F" w:rsidRPr="00D4043B">
        <w:rPr>
          <w:b/>
          <w:noProof/>
        </w:rPr>
        <w:t>over ten years</w:t>
      </w:r>
      <w:r w:rsidRPr="00D37004">
        <w:rPr>
          <w:noProof/>
        </w:rPr>
        <w:t xml:space="preserve">. Under </w:t>
      </w:r>
      <w:r w:rsidRPr="00D37004">
        <w:rPr>
          <w:b/>
          <w:noProof/>
        </w:rPr>
        <w:t>PO2-A</w:t>
      </w:r>
      <w:r w:rsidRPr="00D37004">
        <w:rPr>
          <w:noProof/>
        </w:rPr>
        <w:t xml:space="preserve">, the measures </w:t>
      </w:r>
      <w:r w:rsidR="004D0877">
        <w:rPr>
          <w:noProof/>
        </w:rPr>
        <w:t>would</w:t>
      </w:r>
      <w:r w:rsidRPr="00D37004">
        <w:rPr>
          <w:noProof/>
        </w:rPr>
        <w:t xml:space="preserve"> generate modest </w:t>
      </w:r>
      <w:r>
        <w:rPr>
          <w:noProof/>
        </w:rPr>
        <w:t>adjustment</w:t>
      </w:r>
      <w:r w:rsidRPr="00D37004">
        <w:rPr>
          <w:noProof/>
        </w:rPr>
        <w:t xml:space="preserve"> costs</w:t>
      </w:r>
      <w:r>
        <w:rPr>
          <w:noProof/>
        </w:rPr>
        <w:t xml:space="preserve"> for national authorities</w:t>
      </w:r>
      <w:r w:rsidRPr="00D37004">
        <w:rPr>
          <w:noProof/>
        </w:rPr>
        <w:t xml:space="preserve">. </w:t>
      </w:r>
      <w:r>
        <w:rPr>
          <w:noProof/>
        </w:rPr>
        <w:t>The</w:t>
      </w:r>
      <w:r w:rsidRPr="00D37004">
        <w:rPr>
          <w:noProof/>
        </w:rPr>
        <w:t xml:space="preserve"> EU-level </w:t>
      </w:r>
      <w:r w:rsidR="00A15CDF">
        <w:rPr>
          <w:noProof/>
        </w:rPr>
        <w:t>criteria</w:t>
      </w:r>
      <w:r w:rsidR="00A15CDF" w:rsidRPr="00D37004">
        <w:rPr>
          <w:noProof/>
        </w:rPr>
        <w:t xml:space="preserve"> </w:t>
      </w:r>
      <w:r w:rsidRPr="00D37004">
        <w:rPr>
          <w:noProof/>
        </w:rPr>
        <w:t>of sovereign</w:t>
      </w:r>
      <w:r w:rsidRPr="00D37004">
        <w:rPr>
          <w:noProof/>
          <w:color w:val="000000" w:themeColor="text1"/>
        </w:rPr>
        <w:t xml:space="preserve"> cloud and AI </w:t>
      </w:r>
      <w:r>
        <w:rPr>
          <w:noProof/>
          <w:color w:val="000000" w:themeColor="text1"/>
        </w:rPr>
        <w:t>computing</w:t>
      </w:r>
      <w:r w:rsidRPr="00D37004" w:rsidDel="00CE08EB">
        <w:rPr>
          <w:noProof/>
          <w:color w:val="000000" w:themeColor="text1"/>
        </w:rPr>
        <w:t xml:space="preserve"> </w:t>
      </w:r>
      <w:r w:rsidRPr="00D37004">
        <w:rPr>
          <w:noProof/>
          <w:color w:val="000000" w:themeColor="text1"/>
        </w:rPr>
        <w:t>service</w:t>
      </w:r>
      <w:r w:rsidR="00A15CDF">
        <w:rPr>
          <w:noProof/>
          <w:color w:val="000000" w:themeColor="text1"/>
        </w:rPr>
        <w:t>s</w:t>
      </w:r>
      <w:r w:rsidRPr="00D37004">
        <w:rPr>
          <w:noProof/>
          <w:color w:val="000000" w:themeColor="text1"/>
        </w:rPr>
        <w:t xml:space="preserve"> </w:t>
      </w:r>
      <w:r>
        <w:rPr>
          <w:noProof/>
        </w:rPr>
        <w:t xml:space="preserve">(PM11) </w:t>
      </w:r>
      <w:r w:rsidR="00B167E3">
        <w:rPr>
          <w:noProof/>
        </w:rPr>
        <w:t xml:space="preserve">are </w:t>
      </w:r>
      <w:r>
        <w:rPr>
          <w:noProof/>
        </w:rPr>
        <w:t xml:space="preserve">expected to </w:t>
      </w:r>
      <w:r w:rsidRPr="00D37004">
        <w:rPr>
          <w:noProof/>
        </w:rPr>
        <w:t xml:space="preserve">generate adjustment costs related to the review of national procurement templates, while guidelines </w:t>
      </w:r>
      <w:r>
        <w:rPr>
          <w:noProof/>
        </w:rPr>
        <w:t>(PM12) are expected</w:t>
      </w:r>
      <w:r w:rsidRPr="00D37004">
        <w:rPr>
          <w:noProof/>
        </w:rPr>
        <w:t xml:space="preserve"> </w:t>
      </w:r>
      <w:r>
        <w:rPr>
          <w:noProof/>
        </w:rPr>
        <w:t xml:space="preserve">to generate costs in relation to </w:t>
      </w:r>
      <w:r w:rsidRPr="00D37004">
        <w:rPr>
          <w:noProof/>
        </w:rPr>
        <w:t>the</w:t>
      </w:r>
      <w:r>
        <w:rPr>
          <w:noProof/>
        </w:rPr>
        <w:t>ir</w:t>
      </w:r>
      <w:r w:rsidRPr="00D37004">
        <w:rPr>
          <w:noProof/>
        </w:rPr>
        <w:t xml:space="preserve"> adoption </w:t>
      </w:r>
      <w:r>
        <w:rPr>
          <w:noProof/>
        </w:rPr>
        <w:t>and prior</w:t>
      </w:r>
      <w:r w:rsidRPr="00D37004">
        <w:rPr>
          <w:noProof/>
        </w:rPr>
        <w:t xml:space="preserve"> consultation process. This would lead to total expected costs </w:t>
      </w:r>
      <w:r w:rsidR="00B167E3">
        <w:rPr>
          <w:noProof/>
        </w:rPr>
        <w:t xml:space="preserve">for authorities </w:t>
      </w:r>
      <w:r w:rsidR="00DA1E93">
        <w:rPr>
          <w:noProof/>
        </w:rPr>
        <w:t>ranging from</w:t>
      </w:r>
      <w:r w:rsidRPr="00D37004">
        <w:rPr>
          <w:noProof/>
        </w:rPr>
        <w:t xml:space="preserve"> </w:t>
      </w:r>
      <w:r w:rsidRPr="001B4A9D">
        <w:rPr>
          <w:b/>
          <w:bCs/>
          <w:noProof/>
        </w:rPr>
        <w:t xml:space="preserve">EUR </w:t>
      </w:r>
      <w:r w:rsidR="00DA1E93" w:rsidRPr="001B4A9D">
        <w:rPr>
          <w:b/>
          <w:bCs/>
          <w:noProof/>
        </w:rPr>
        <w:t>1</w:t>
      </w:r>
      <w:r w:rsidRPr="001B4A9D">
        <w:rPr>
          <w:b/>
          <w:bCs/>
          <w:noProof/>
        </w:rPr>
        <w:t>4</w:t>
      </w:r>
      <w:r w:rsidR="00DA1E93" w:rsidRPr="001B4A9D">
        <w:rPr>
          <w:b/>
          <w:bCs/>
          <w:noProof/>
        </w:rPr>
        <w:t xml:space="preserve"> to 15</w:t>
      </w:r>
      <w:r w:rsidRPr="001B4A9D">
        <w:rPr>
          <w:b/>
          <w:bCs/>
          <w:noProof/>
        </w:rPr>
        <w:t xml:space="preserve"> m</w:t>
      </w:r>
      <w:r>
        <w:rPr>
          <w:noProof/>
        </w:rPr>
        <w:t xml:space="preserve"> in discounted terms</w:t>
      </w:r>
      <w:r w:rsidR="00B167E3">
        <w:rPr>
          <w:noProof/>
        </w:rPr>
        <w:t xml:space="preserve"> over 10 years</w:t>
      </w:r>
      <w:r w:rsidRPr="00D37004">
        <w:rPr>
          <w:noProof/>
        </w:rPr>
        <w:t xml:space="preserve">. Under </w:t>
      </w:r>
      <w:r w:rsidRPr="00D37004">
        <w:rPr>
          <w:b/>
          <w:noProof/>
        </w:rPr>
        <w:t>PO2-B</w:t>
      </w:r>
      <w:r w:rsidRPr="00D37004">
        <w:rPr>
          <w:noProof/>
        </w:rPr>
        <w:t xml:space="preserve">, authorities </w:t>
      </w:r>
      <w:r w:rsidR="00A74199">
        <w:rPr>
          <w:noProof/>
        </w:rPr>
        <w:t>would</w:t>
      </w:r>
      <w:r w:rsidRPr="00D37004">
        <w:rPr>
          <w:noProof/>
        </w:rPr>
        <w:t xml:space="preserve"> face increasing costs regarding the </w:t>
      </w:r>
      <w:r w:rsidR="003B685D">
        <w:rPr>
          <w:noProof/>
        </w:rPr>
        <w:t xml:space="preserve">sovereignty </w:t>
      </w:r>
      <w:r w:rsidR="00332CFB">
        <w:rPr>
          <w:noProof/>
        </w:rPr>
        <w:t xml:space="preserve">risk </w:t>
      </w:r>
      <w:r w:rsidR="00701C7C">
        <w:rPr>
          <w:noProof/>
        </w:rPr>
        <w:t xml:space="preserve">assessment </w:t>
      </w:r>
      <w:r w:rsidR="00701C7C" w:rsidRPr="00D37004">
        <w:rPr>
          <w:noProof/>
        </w:rPr>
        <w:t>s</w:t>
      </w:r>
      <w:r w:rsidRPr="00D37004">
        <w:rPr>
          <w:noProof/>
        </w:rPr>
        <w:t>cheme</w:t>
      </w:r>
      <w:r>
        <w:rPr>
          <w:noProof/>
        </w:rPr>
        <w:t xml:space="preserve"> (PM15)</w:t>
      </w:r>
      <w:r w:rsidRPr="00D37004">
        <w:rPr>
          <w:noProof/>
        </w:rPr>
        <w:t>, the award criteria</w:t>
      </w:r>
      <w:r>
        <w:rPr>
          <w:noProof/>
        </w:rPr>
        <w:t xml:space="preserve"> (PM16)</w:t>
      </w:r>
      <w:r w:rsidRPr="00D37004">
        <w:rPr>
          <w:noProof/>
        </w:rPr>
        <w:t>, participation in the public sector cloud federation</w:t>
      </w:r>
      <w:r>
        <w:rPr>
          <w:noProof/>
        </w:rPr>
        <w:t xml:space="preserve"> (PM17)</w:t>
      </w:r>
      <w:r w:rsidRPr="00D37004">
        <w:rPr>
          <w:noProof/>
        </w:rPr>
        <w:t xml:space="preserve">. </w:t>
      </w:r>
      <w:r w:rsidR="0073265B">
        <w:rPr>
          <w:noProof/>
        </w:rPr>
        <w:t xml:space="preserve">First, </w:t>
      </w:r>
      <w:r w:rsidR="0073265B" w:rsidRPr="00CE0A00">
        <w:rPr>
          <w:noProof/>
        </w:rPr>
        <w:t>a</w:t>
      </w:r>
      <w:r w:rsidRPr="00CE0A00">
        <w:rPr>
          <w:noProof/>
        </w:rPr>
        <w:t xml:space="preserve">uthorities </w:t>
      </w:r>
      <w:r w:rsidR="00CE0A00" w:rsidRPr="00CE0A00">
        <w:rPr>
          <w:noProof/>
        </w:rPr>
        <w:t>would</w:t>
      </w:r>
      <w:r w:rsidRPr="00CE0A00">
        <w:rPr>
          <w:noProof/>
        </w:rPr>
        <w:t xml:space="preserve"> face </w:t>
      </w:r>
      <w:r w:rsidR="00710A18">
        <w:rPr>
          <w:noProof/>
        </w:rPr>
        <w:t xml:space="preserve">one-off </w:t>
      </w:r>
      <w:r w:rsidRPr="00CE0A00">
        <w:rPr>
          <w:noProof/>
        </w:rPr>
        <w:t>adjustment costs to carry out</w:t>
      </w:r>
      <w:r w:rsidRPr="00CE0A00" w:rsidDel="00AF79AD">
        <w:rPr>
          <w:noProof/>
        </w:rPr>
        <w:t xml:space="preserve"> the </w:t>
      </w:r>
      <w:r w:rsidR="00997F97" w:rsidRPr="00CE0A00">
        <w:rPr>
          <w:noProof/>
        </w:rPr>
        <w:t>sovereignty risk assessment to map sovereignty assurance leve</w:t>
      </w:r>
      <w:r w:rsidR="008A0E9B" w:rsidRPr="00CE0A00">
        <w:rPr>
          <w:noProof/>
        </w:rPr>
        <w:t>l</w:t>
      </w:r>
      <w:r w:rsidR="00CC7292">
        <w:rPr>
          <w:noProof/>
        </w:rPr>
        <w:t>s</w:t>
      </w:r>
      <w:r w:rsidR="008A0E9B" w:rsidRPr="00CE0A00">
        <w:rPr>
          <w:noProof/>
        </w:rPr>
        <w:t xml:space="preserve"> to cloud and AI computing services used in the public sector</w:t>
      </w:r>
      <w:r w:rsidR="00584868">
        <w:rPr>
          <w:noProof/>
        </w:rPr>
        <w:t xml:space="preserve">. They would face </w:t>
      </w:r>
      <w:r w:rsidR="00B60CA8">
        <w:rPr>
          <w:noProof/>
        </w:rPr>
        <w:t xml:space="preserve">recurrent costs for their </w:t>
      </w:r>
      <w:r w:rsidR="00710A18">
        <w:rPr>
          <w:noProof/>
        </w:rPr>
        <w:t>periodic renewals</w:t>
      </w:r>
      <w:r w:rsidR="00584868">
        <w:rPr>
          <w:noProof/>
        </w:rPr>
        <w:t xml:space="preserve"> and for revision of the audit reports </w:t>
      </w:r>
      <w:r w:rsidR="00B60CA8">
        <w:rPr>
          <w:noProof/>
        </w:rPr>
        <w:t>(PM15)</w:t>
      </w:r>
      <w:r w:rsidR="00710A18">
        <w:rPr>
          <w:noProof/>
        </w:rPr>
        <w:t xml:space="preserve">. </w:t>
      </w:r>
      <w:r w:rsidR="00B60CA8" w:rsidRPr="002B7856">
        <w:rPr>
          <w:noProof/>
        </w:rPr>
        <w:t xml:space="preserve">These are relatively modest and estimated </w:t>
      </w:r>
      <w:r w:rsidR="00CE67DE">
        <w:rPr>
          <w:noProof/>
        </w:rPr>
        <w:t>in a range of</w:t>
      </w:r>
      <w:r w:rsidRPr="00307140">
        <w:rPr>
          <w:noProof/>
        </w:rPr>
        <w:t xml:space="preserve"> </w:t>
      </w:r>
      <w:r w:rsidRPr="00A93B5F">
        <w:rPr>
          <w:b/>
          <w:bCs/>
          <w:noProof/>
        </w:rPr>
        <w:t xml:space="preserve">EUR </w:t>
      </w:r>
      <w:r w:rsidR="00CE67DE" w:rsidRPr="00A93B5F">
        <w:rPr>
          <w:b/>
          <w:bCs/>
          <w:noProof/>
        </w:rPr>
        <w:t>2</w:t>
      </w:r>
      <w:r w:rsidR="00C25C5F">
        <w:rPr>
          <w:b/>
          <w:bCs/>
          <w:noProof/>
        </w:rPr>
        <w:t>5</w:t>
      </w:r>
      <w:r w:rsidR="00CE67DE" w:rsidRPr="00A93B5F">
        <w:rPr>
          <w:b/>
          <w:bCs/>
          <w:noProof/>
        </w:rPr>
        <w:t xml:space="preserve"> to </w:t>
      </w:r>
      <w:r w:rsidR="00C25C5F">
        <w:rPr>
          <w:b/>
          <w:bCs/>
          <w:noProof/>
        </w:rPr>
        <w:t>99</w:t>
      </w:r>
      <w:r w:rsidR="00B21DEF" w:rsidRPr="00A93B5F">
        <w:rPr>
          <w:b/>
          <w:bCs/>
          <w:noProof/>
        </w:rPr>
        <w:t xml:space="preserve"> </w:t>
      </w:r>
      <w:r w:rsidRPr="00A93B5F">
        <w:rPr>
          <w:b/>
          <w:bCs/>
          <w:noProof/>
        </w:rPr>
        <w:t>m</w:t>
      </w:r>
      <w:r w:rsidRPr="00307140">
        <w:rPr>
          <w:noProof/>
        </w:rPr>
        <w:t xml:space="preserve">. </w:t>
      </w:r>
      <w:r w:rsidR="00A17895">
        <w:rPr>
          <w:noProof/>
        </w:rPr>
        <w:t>Under this measure, c</w:t>
      </w:r>
      <w:r w:rsidR="002B7856">
        <w:rPr>
          <w:noProof/>
        </w:rPr>
        <w:t xml:space="preserve">ontracting authorities </w:t>
      </w:r>
      <w:r w:rsidR="00622F54">
        <w:rPr>
          <w:noProof/>
        </w:rPr>
        <w:t>could con</w:t>
      </w:r>
      <w:r w:rsidR="00960D25">
        <w:rPr>
          <w:noProof/>
        </w:rPr>
        <w:t xml:space="preserve">sider using the sovereignty </w:t>
      </w:r>
      <w:r w:rsidR="00A17895">
        <w:rPr>
          <w:noProof/>
        </w:rPr>
        <w:t>framework</w:t>
      </w:r>
      <w:r w:rsidR="00960D25">
        <w:rPr>
          <w:noProof/>
        </w:rPr>
        <w:t xml:space="preserve"> for their procurement decisions</w:t>
      </w:r>
      <w:r w:rsidR="00A17895">
        <w:rPr>
          <w:noProof/>
        </w:rPr>
        <w:t xml:space="preserve">. </w:t>
      </w:r>
      <w:r w:rsidR="003B685D" w:rsidRPr="00307140">
        <w:rPr>
          <w:noProof/>
        </w:rPr>
        <w:t xml:space="preserve">See the box below for </w:t>
      </w:r>
      <w:r w:rsidR="00A17895" w:rsidRPr="00232EC2">
        <w:rPr>
          <w:noProof/>
        </w:rPr>
        <w:t xml:space="preserve">the </w:t>
      </w:r>
      <w:r w:rsidR="003B685D" w:rsidRPr="00307140">
        <w:rPr>
          <w:noProof/>
        </w:rPr>
        <w:t xml:space="preserve">assessment </w:t>
      </w:r>
      <w:r w:rsidR="002B2A51" w:rsidRPr="00232EC2">
        <w:rPr>
          <w:noProof/>
        </w:rPr>
        <w:t>of</w:t>
      </w:r>
      <w:r w:rsidR="003B685D" w:rsidRPr="00307140">
        <w:rPr>
          <w:noProof/>
        </w:rPr>
        <w:t xml:space="preserve"> the </w:t>
      </w:r>
      <w:r w:rsidR="00232EC2">
        <w:rPr>
          <w:noProof/>
        </w:rPr>
        <w:t>potential</w:t>
      </w:r>
      <w:r w:rsidR="00123B27" w:rsidRPr="00307140">
        <w:rPr>
          <w:noProof/>
        </w:rPr>
        <w:t xml:space="preserve"> costs for public authorities related to </w:t>
      </w:r>
      <w:r w:rsidR="00A17895" w:rsidRPr="00232EC2">
        <w:rPr>
          <w:noProof/>
        </w:rPr>
        <w:t>porting and migrating cloud services</w:t>
      </w:r>
      <w:r w:rsidR="00123B27" w:rsidRPr="00232EC2">
        <w:rPr>
          <w:noProof/>
        </w:rPr>
        <w:t>.</w:t>
      </w:r>
      <w:r w:rsidR="00123B27">
        <w:rPr>
          <w:noProof/>
        </w:rPr>
        <w:t xml:space="preserve"> </w:t>
      </w:r>
      <w:r w:rsidR="000503F5">
        <w:rPr>
          <w:noProof/>
        </w:rPr>
        <w:t xml:space="preserve">Under this option, </w:t>
      </w:r>
      <w:r w:rsidR="001A1CB1">
        <w:rPr>
          <w:noProof/>
        </w:rPr>
        <w:t xml:space="preserve">since the measure is not mandatory, </w:t>
      </w:r>
      <w:r w:rsidR="00ED5598">
        <w:rPr>
          <w:noProof/>
        </w:rPr>
        <w:t xml:space="preserve">a smaller group of public authorities has been considered </w:t>
      </w:r>
      <w:r w:rsidR="00FD63CF">
        <w:rPr>
          <w:noProof/>
        </w:rPr>
        <w:t xml:space="preserve">to use the sovereignty framework. </w:t>
      </w:r>
      <w:r w:rsidR="00E2374E">
        <w:rPr>
          <w:noProof/>
        </w:rPr>
        <w:t xml:space="preserve">The intervention could accelerate the porting of a limited subset of critical </w:t>
      </w:r>
      <w:r w:rsidR="00E353D5">
        <w:rPr>
          <w:noProof/>
        </w:rPr>
        <w:t xml:space="preserve">cloud </w:t>
      </w:r>
      <w:r w:rsidR="00E2374E">
        <w:rPr>
          <w:noProof/>
        </w:rPr>
        <w:t xml:space="preserve">applications to </w:t>
      </w:r>
      <w:r w:rsidR="00365ED9">
        <w:rPr>
          <w:noProof/>
        </w:rPr>
        <w:t>sovereign</w:t>
      </w:r>
      <w:r w:rsidR="00E353D5">
        <w:rPr>
          <w:noProof/>
        </w:rPr>
        <w:t xml:space="preserve"> levels 3-4</w:t>
      </w:r>
      <w:r w:rsidR="009850A6">
        <w:rPr>
          <w:noProof/>
        </w:rPr>
        <w:t>.</w:t>
      </w:r>
      <w:r w:rsidR="00BB65A7">
        <w:rPr>
          <w:noProof/>
        </w:rPr>
        <w:t xml:space="preserve"> Based on this, the anticipated porting is assumed to concern only between 1% and 6% of the relevant application ba</w:t>
      </w:r>
      <w:r w:rsidR="00AC6D2B">
        <w:rPr>
          <w:noProof/>
        </w:rPr>
        <w:t>se</w:t>
      </w:r>
      <w:r w:rsidR="00BB65A7">
        <w:rPr>
          <w:noProof/>
        </w:rPr>
        <w:t xml:space="preserve">, resulting in discounted costs </w:t>
      </w:r>
      <w:r w:rsidR="00B0543A">
        <w:rPr>
          <w:noProof/>
        </w:rPr>
        <w:t xml:space="preserve">ranging from </w:t>
      </w:r>
      <w:r w:rsidR="00B0543A" w:rsidRPr="0067511B">
        <w:rPr>
          <w:b/>
          <w:bCs/>
          <w:noProof/>
        </w:rPr>
        <w:t xml:space="preserve">EUR </w:t>
      </w:r>
      <w:r w:rsidR="00F17A8A">
        <w:rPr>
          <w:b/>
          <w:bCs/>
          <w:noProof/>
        </w:rPr>
        <w:t>620 m</w:t>
      </w:r>
      <w:r w:rsidR="00B0543A" w:rsidRPr="0067511B">
        <w:rPr>
          <w:b/>
          <w:bCs/>
          <w:noProof/>
        </w:rPr>
        <w:t xml:space="preserve"> to EUR </w:t>
      </w:r>
      <w:r w:rsidR="00F17A8A">
        <w:rPr>
          <w:b/>
          <w:bCs/>
          <w:noProof/>
        </w:rPr>
        <w:t>4</w:t>
      </w:r>
      <w:r w:rsidR="00B0543A" w:rsidRPr="0067511B">
        <w:rPr>
          <w:b/>
          <w:bCs/>
          <w:noProof/>
        </w:rPr>
        <w:t xml:space="preserve"> bn</w:t>
      </w:r>
      <w:r w:rsidR="002C5CE4">
        <w:rPr>
          <w:b/>
          <w:bCs/>
          <w:noProof/>
        </w:rPr>
        <w:t xml:space="preserve">, </w:t>
      </w:r>
      <w:r w:rsidR="002C5CE4">
        <w:rPr>
          <w:noProof/>
        </w:rPr>
        <w:t>over three years from 2030</w:t>
      </w:r>
      <w:r w:rsidR="00B0543A" w:rsidRPr="0067511B">
        <w:rPr>
          <w:b/>
          <w:bCs/>
          <w:noProof/>
        </w:rPr>
        <w:t>.</w:t>
      </w:r>
      <w:r w:rsidR="009850A6">
        <w:rPr>
          <w:noProof/>
        </w:rPr>
        <w:t xml:space="preserve"> </w:t>
      </w:r>
      <w:r>
        <w:rPr>
          <w:noProof/>
        </w:rPr>
        <w:t xml:space="preserve">Minor </w:t>
      </w:r>
      <w:r w:rsidR="00307140">
        <w:rPr>
          <w:noProof/>
        </w:rPr>
        <w:t>costs</w:t>
      </w:r>
      <w:r>
        <w:rPr>
          <w:noProof/>
        </w:rPr>
        <w:t xml:space="preserve"> are estimated for a</w:t>
      </w:r>
      <w:r w:rsidRPr="00D37004">
        <w:rPr>
          <w:noProof/>
        </w:rPr>
        <w:t xml:space="preserve">uthorities </w:t>
      </w:r>
      <w:r>
        <w:rPr>
          <w:noProof/>
        </w:rPr>
        <w:t xml:space="preserve">voluntarily </w:t>
      </w:r>
      <w:r w:rsidRPr="00D37004">
        <w:rPr>
          <w:noProof/>
        </w:rPr>
        <w:t>updat</w:t>
      </w:r>
      <w:r>
        <w:rPr>
          <w:noProof/>
        </w:rPr>
        <w:t xml:space="preserve">ing </w:t>
      </w:r>
      <w:r w:rsidRPr="00D37004">
        <w:rPr>
          <w:noProof/>
        </w:rPr>
        <w:t xml:space="preserve">their procurement templates </w:t>
      </w:r>
      <w:r>
        <w:rPr>
          <w:noProof/>
        </w:rPr>
        <w:t>with</w:t>
      </w:r>
      <w:r w:rsidRPr="00D37004">
        <w:rPr>
          <w:noProof/>
        </w:rPr>
        <w:t xml:space="preserve"> the </w:t>
      </w:r>
      <w:r>
        <w:rPr>
          <w:noProof/>
          <w:color w:val="000000" w:themeColor="text1"/>
        </w:rPr>
        <w:t>new</w:t>
      </w:r>
      <w:r w:rsidRPr="00D37004">
        <w:rPr>
          <w:noProof/>
          <w:color w:val="000000" w:themeColor="text1"/>
        </w:rPr>
        <w:t xml:space="preserve"> procurement criteria</w:t>
      </w:r>
      <w:r w:rsidR="00307140">
        <w:rPr>
          <w:noProof/>
          <w:color w:val="000000" w:themeColor="text1"/>
        </w:rPr>
        <w:t xml:space="preserve"> (PM16)</w:t>
      </w:r>
      <w:r w:rsidRPr="00D37004">
        <w:rPr>
          <w:noProof/>
        </w:rPr>
        <w:t xml:space="preserve">. The platform for public sector cloud federation </w:t>
      </w:r>
      <w:r>
        <w:rPr>
          <w:noProof/>
        </w:rPr>
        <w:t xml:space="preserve">is expected to generate the costs </w:t>
      </w:r>
      <w:r w:rsidR="001F771C">
        <w:rPr>
          <w:noProof/>
        </w:rPr>
        <w:t>ranging between</w:t>
      </w:r>
      <w:r>
        <w:rPr>
          <w:noProof/>
        </w:rPr>
        <w:t xml:space="preserve"> </w:t>
      </w:r>
      <w:r w:rsidRPr="00082A62">
        <w:rPr>
          <w:b/>
          <w:bCs/>
          <w:noProof/>
        </w:rPr>
        <w:t xml:space="preserve">EUR </w:t>
      </w:r>
      <w:r w:rsidR="00B23B47" w:rsidRPr="00082A62">
        <w:rPr>
          <w:b/>
          <w:bCs/>
          <w:noProof/>
        </w:rPr>
        <w:t>17</w:t>
      </w:r>
      <w:r w:rsidR="009348E3" w:rsidRPr="00082A62">
        <w:rPr>
          <w:b/>
          <w:bCs/>
          <w:noProof/>
        </w:rPr>
        <w:t>0</w:t>
      </w:r>
      <w:r w:rsidR="00B23B47" w:rsidRPr="00082A62">
        <w:rPr>
          <w:b/>
          <w:bCs/>
          <w:noProof/>
        </w:rPr>
        <w:t xml:space="preserve"> to 260</w:t>
      </w:r>
      <w:r w:rsidRPr="00082A62">
        <w:rPr>
          <w:b/>
          <w:bCs/>
          <w:noProof/>
        </w:rPr>
        <w:t xml:space="preserve"> m</w:t>
      </w:r>
      <w:r>
        <w:rPr>
          <w:noProof/>
        </w:rPr>
        <w:t xml:space="preserve"> in discounted terms</w:t>
      </w:r>
      <w:r w:rsidR="009348E3">
        <w:rPr>
          <w:noProof/>
        </w:rPr>
        <w:t xml:space="preserve">. Summing all these activities leads to </w:t>
      </w:r>
      <w:r>
        <w:rPr>
          <w:noProof/>
        </w:rPr>
        <w:t>total costs u</w:t>
      </w:r>
      <w:r w:rsidRPr="00D37004">
        <w:rPr>
          <w:noProof/>
        </w:rPr>
        <w:t xml:space="preserve">nder this option </w:t>
      </w:r>
      <w:r w:rsidR="00CB35E7">
        <w:rPr>
          <w:noProof/>
        </w:rPr>
        <w:t xml:space="preserve">to range between </w:t>
      </w:r>
      <w:r w:rsidRPr="00463BBD">
        <w:rPr>
          <w:b/>
          <w:bCs/>
          <w:noProof/>
        </w:rPr>
        <w:t xml:space="preserve">EUR </w:t>
      </w:r>
      <w:r w:rsidR="00233468">
        <w:rPr>
          <w:b/>
          <w:bCs/>
          <w:noProof/>
        </w:rPr>
        <w:t>82</w:t>
      </w:r>
      <w:r w:rsidR="00EC2C1C">
        <w:rPr>
          <w:b/>
          <w:bCs/>
          <w:noProof/>
        </w:rPr>
        <w:t>0</w:t>
      </w:r>
      <w:r w:rsidR="00233468">
        <w:rPr>
          <w:b/>
          <w:bCs/>
          <w:noProof/>
        </w:rPr>
        <w:t xml:space="preserve"> m</w:t>
      </w:r>
      <w:r w:rsidR="003955C1" w:rsidRPr="00463BBD">
        <w:rPr>
          <w:b/>
          <w:bCs/>
          <w:noProof/>
        </w:rPr>
        <w:t xml:space="preserve"> and </w:t>
      </w:r>
      <w:r w:rsidR="00233468">
        <w:rPr>
          <w:b/>
          <w:bCs/>
          <w:noProof/>
        </w:rPr>
        <w:t>4.4 bn</w:t>
      </w:r>
      <w:r w:rsidRPr="00463BBD">
        <w:rPr>
          <w:noProof/>
        </w:rPr>
        <w:t>.</w:t>
      </w:r>
      <w:r w:rsidRPr="00D37004">
        <w:rPr>
          <w:noProof/>
        </w:rPr>
        <w:t xml:space="preserve"> </w:t>
      </w:r>
      <w:r w:rsidRPr="00D37004">
        <w:rPr>
          <w:b/>
          <w:noProof/>
        </w:rPr>
        <w:t>PO2-C</w:t>
      </w:r>
      <w:r w:rsidRPr="00D37004">
        <w:rPr>
          <w:noProof/>
        </w:rPr>
        <w:t xml:space="preserve"> </w:t>
      </w:r>
      <w:r w:rsidR="00BE58C5">
        <w:rPr>
          <w:noProof/>
        </w:rPr>
        <w:t>foresees</w:t>
      </w:r>
      <w:r w:rsidR="006B03C5">
        <w:rPr>
          <w:noProof/>
        </w:rPr>
        <w:t xml:space="preserve"> </w:t>
      </w:r>
      <w:r w:rsidR="00386A3A">
        <w:rPr>
          <w:noProof/>
        </w:rPr>
        <w:t>costs previously described but</w:t>
      </w:r>
      <w:r w:rsidR="006B03C5">
        <w:rPr>
          <w:noProof/>
        </w:rPr>
        <w:t xml:space="preserve"> scaled </w:t>
      </w:r>
      <w:r w:rsidR="003A01D5">
        <w:rPr>
          <w:noProof/>
        </w:rPr>
        <w:t>upwards</w:t>
      </w:r>
      <w:r w:rsidR="006B03C5">
        <w:rPr>
          <w:noProof/>
        </w:rPr>
        <w:t xml:space="preserve"> </w:t>
      </w:r>
      <w:r w:rsidR="0077593D">
        <w:rPr>
          <w:noProof/>
        </w:rPr>
        <w:t xml:space="preserve">as well as </w:t>
      </w:r>
      <w:r w:rsidR="006B03C5">
        <w:rPr>
          <w:noProof/>
        </w:rPr>
        <w:t xml:space="preserve">new ones. </w:t>
      </w:r>
      <w:r w:rsidR="003A01D5">
        <w:rPr>
          <w:noProof/>
        </w:rPr>
        <w:t>For</w:t>
      </w:r>
      <w:r w:rsidR="006B03C5">
        <w:rPr>
          <w:noProof/>
        </w:rPr>
        <w:t xml:space="preserve"> the former, </w:t>
      </w:r>
      <w:r w:rsidR="006B03C5" w:rsidRPr="009F2DE7">
        <w:rPr>
          <w:noProof/>
        </w:rPr>
        <w:t xml:space="preserve">elements include both the one-off and recurring costs for the </w:t>
      </w:r>
      <w:r w:rsidR="006E040E">
        <w:rPr>
          <w:noProof/>
        </w:rPr>
        <w:t>sovereignty risk assessment</w:t>
      </w:r>
      <w:r w:rsidR="006B03C5" w:rsidRPr="009F2DE7">
        <w:rPr>
          <w:noProof/>
        </w:rPr>
        <w:t xml:space="preserve"> scheme, reflecting the higher number </w:t>
      </w:r>
      <w:r w:rsidR="00A06934">
        <w:rPr>
          <w:noProof/>
        </w:rPr>
        <w:t xml:space="preserve">of </w:t>
      </w:r>
      <w:r w:rsidR="00020D73">
        <w:rPr>
          <w:noProof/>
        </w:rPr>
        <w:t xml:space="preserve">public authorities </w:t>
      </w:r>
      <w:r w:rsidR="006B03C5" w:rsidRPr="009F2DE7">
        <w:rPr>
          <w:noProof/>
        </w:rPr>
        <w:t xml:space="preserve">that </w:t>
      </w:r>
      <w:r w:rsidR="001405DC">
        <w:rPr>
          <w:noProof/>
        </w:rPr>
        <w:t>would</w:t>
      </w:r>
      <w:r w:rsidR="001405DC" w:rsidRPr="009F2DE7">
        <w:rPr>
          <w:noProof/>
        </w:rPr>
        <w:t xml:space="preserve"> </w:t>
      </w:r>
      <w:r w:rsidR="00020D73">
        <w:rPr>
          <w:noProof/>
        </w:rPr>
        <w:t>perform the</w:t>
      </w:r>
      <w:r w:rsidR="00886C00">
        <w:rPr>
          <w:noProof/>
        </w:rPr>
        <w:t xml:space="preserve">m </w:t>
      </w:r>
      <w:r w:rsidR="006B03C5" w:rsidRPr="009F2DE7">
        <w:rPr>
          <w:noProof/>
        </w:rPr>
        <w:t>compared with PM15</w:t>
      </w:r>
      <w:r w:rsidR="00020D73">
        <w:rPr>
          <w:noProof/>
        </w:rPr>
        <w:t xml:space="preserve">. </w:t>
      </w:r>
      <w:r w:rsidR="006B03C5" w:rsidRPr="009F2DE7">
        <w:rPr>
          <w:noProof/>
        </w:rPr>
        <w:t xml:space="preserve">Under PM15, around 150 </w:t>
      </w:r>
      <w:r w:rsidR="00E211EB">
        <w:rPr>
          <w:noProof/>
        </w:rPr>
        <w:t xml:space="preserve">audited </w:t>
      </w:r>
      <w:r w:rsidR="006B03C5" w:rsidRPr="009F2DE7">
        <w:rPr>
          <w:noProof/>
        </w:rPr>
        <w:t xml:space="preserve">services are expected to be </w:t>
      </w:r>
      <w:r w:rsidR="00E211EB">
        <w:rPr>
          <w:noProof/>
        </w:rPr>
        <w:t>verified</w:t>
      </w:r>
      <w:r w:rsidR="00450B9C" w:rsidRPr="009F2DE7">
        <w:rPr>
          <w:noProof/>
        </w:rPr>
        <w:t xml:space="preserve"> </w:t>
      </w:r>
      <w:r w:rsidR="006B03C5" w:rsidRPr="009F2DE7">
        <w:rPr>
          <w:noProof/>
        </w:rPr>
        <w:t xml:space="preserve">by 2036, while under the mandatory approach in PM21 this figure is projected to rise to 600 </w:t>
      </w:r>
      <w:r w:rsidR="00BC7BFA">
        <w:rPr>
          <w:noProof/>
        </w:rPr>
        <w:t>in the same period</w:t>
      </w:r>
      <w:r w:rsidR="006B03C5" w:rsidRPr="009F2DE7">
        <w:rPr>
          <w:noProof/>
        </w:rPr>
        <w:t xml:space="preserve">, which is broadly consistent with benchmarks such as FedRAMP. Also, in the case of PM15, given the voluntary nature of the scheme, only a limited number of Member States </w:t>
      </w:r>
      <w:r w:rsidR="00B16D68">
        <w:rPr>
          <w:noProof/>
        </w:rPr>
        <w:t>would</w:t>
      </w:r>
      <w:r w:rsidR="00B16D68" w:rsidRPr="009F2DE7">
        <w:rPr>
          <w:noProof/>
        </w:rPr>
        <w:t xml:space="preserve"> </w:t>
      </w:r>
      <w:r w:rsidR="000F5B00">
        <w:rPr>
          <w:noProof/>
        </w:rPr>
        <w:t xml:space="preserve">perform the risk assessment </w:t>
      </w:r>
      <w:r w:rsidR="001E16DD">
        <w:rPr>
          <w:noProof/>
        </w:rPr>
        <w:t xml:space="preserve">and the consequent </w:t>
      </w:r>
      <w:r w:rsidR="00E64FBB">
        <w:rPr>
          <w:noProof/>
        </w:rPr>
        <w:t>verification</w:t>
      </w:r>
      <w:r w:rsidR="001E16DD">
        <w:rPr>
          <w:noProof/>
        </w:rPr>
        <w:t xml:space="preserve"> of audited services</w:t>
      </w:r>
      <w:r w:rsidR="006B03C5" w:rsidRPr="009F2DE7">
        <w:rPr>
          <w:noProof/>
        </w:rPr>
        <w:t xml:space="preserve">. </w:t>
      </w:r>
      <w:r w:rsidR="001E16DD">
        <w:rPr>
          <w:noProof/>
        </w:rPr>
        <w:t>Under this option</w:t>
      </w:r>
      <w:r w:rsidR="006B03C5" w:rsidRPr="009F2DE7">
        <w:rPr>
          <w:noProof/>
        </w:rPr>
        <w:t xml:space="preserve">, the mandatory nature of PM21 assumes that all MS </w:t>
      </w:r>
      <w:r w:rsidR="00B16D68">
        <w:rPr>
          <w:noProof/>
        </w:rPr>
        <w:t>would</w:t>
      </w:r>
      <w:r w:rsidR="00B16D68" w:rsidRPr="009F2DE7">
        <w:rPr>
          <w:noProof/>
        </w:rPr>
        <w:t xml:space="preserve"> </w:t>
      </w:r>
      <w:r w:rsidR="006B03C5" w:rsidRPr="009F2DE7">
        <w:rPr>
          <w:noProof/>
        </w:rPr>
        <w:t xml:space="preserve">prepare the personnel and the infrastructure </w:t>
      </w:r>
      <w:r w:rsidR="00C24CA0" w:rsidRPr="009F2DE7">
        <w:rPr>
          <w:noProof/>
        </w:rPr>
        <w:t>to</w:t>
      </w:r>
      <w:r w:rsidR="006B03C5" w:rsidRPr="009F2DE7">
        <w:rPr>
          <w:noProof/>
        </w:rPr>
        <w:t xml:space="preserve"> run the scheme. Hence, the changes of PM15 and PM21 </w:t>
      </w:r>
      <w:r w:rsidR="004A2585">
        <w:rPr>
          <w:noProof/>
        </w:rPr>
        <w:t xml:space="preserve">would </w:t>
      </w:r>
      <w:r w:rsidR="006B03C5" w:rsidRPr="009F2DE7">
        <w:rPr>
          <w:noProof/>
        </w:rPr>
        <w:t xml:space="preserve">need to be seen in combination: increase </w:t>
      </w:r>
      <w:r w:rsidR="0075548B">
        <w:rPr>
          <w:noProof/>
        </w:rPr>
        <w:t>in the number of</w:t>
      </w:r>
      <w:r w:rsidR="0075548B" w:rsidRPr="009F2DE7">
        <w:rPr>
          <w:noProof/>
        </w:rPr>
        <w:t xml:space="preserve"> </w:t>
      </w:r>
      <w:r w:rsidR="0075548B">
        <w:rPr>
          <w:noProof/>
        </w:rPr>
        <w:t>authorities</w:t>
      </w:r>
      <w:r w:rsidR="0075548B" w:rsidRPr="009F2DE7">
        <w:rPr>
          <w:noProof/>
        </w:rPr>
        <w:t xml:space="preserve"> </w:t>
      </w:r>
      <w:r w:rsidR="006B03C5" w:rsidRPr="009F2DE7">
        <w:rPr>
          <w:noProof/>
        </w:rPr>
        <w:t xml:space="preserve">adapting their </w:t>
      </w:r>
      <w:r w:rsidR="004D463B">
        <w:rPr>
          <w:noProof/>
        </w:rPr>
        <w:t xml:space="preserve">processes </w:t>
      </w:r>
      <w:r w:rsidR="002B299C">
        <w:rPr>
          <w:noProof/>
        </w:rPr>
        <w:t xml:space="preserve">to </w:t>
      </w:r>
      <w:r w:rsidR="00037198">
        <w:rPr>
          <w:noProof/>
        </w:rPr>
        <w:t>perform</w:t>
      </w:r>
      <w:r w:rsidR="006B03C5" w:rsidRPr="009F2DE7">
        <w:rPr>
          <w:noProof/>
        </w:rPr>
        <w:t xml:space="preserve"> </w:t>
      </w:r>
      <w:r w:rsidR="00037198">
        <w:rPr>
          <w:noProof/>
        </w:rPr>
        <w:t xml:space="preserve">the </w:t>
      </w:r>
      <w:r w:rsidR="001E16DD">
        <w:rPr>
          <w:noProof/>
        </w:rPr>
        <w:t>sove</w:t>
      </w:r>
      <w:r w:rsidR="0075548B">
        <w:rPr>
          <w:noProof/>
        </w:rPr>
        <w:t xml:space="preserve">reignty </w:t>
      </w:r>
      <w:r w:rsidR="00037198">
        <w:rPr>
          <w:noProof/>
        </w:rPr>
        <w:t>risk assessment</w:t>
      </w:r>
      <w:r w:rsidR="001E16DD" w:rsidRPr="009F2DE7">
        <w:rPr>
          <w:noProof/>
        </w:rPr>
        <w:t xml:space="preserve"> </w:t>
      </w:r>
      <w:r w:rsidR="006B03C5" w:rsidRPr="009F2DE7">
        <w:rPr>
          <w:noProof/>
        </w:rPr>
        <w:t xml:space="preserve">and an increase in </w:t>
      </w:r>
      <w:r w:rsidR="00037198">
        <w:rPr>
          <w:noProof/>
        </w:rPr>
        <w:t>the number of audit reports</w:t>
      </w:r>
      <w:r w:rsidR="004543D1">
        <w:rPr>
          <w:noProof/>
        </w:rPr>
        <w:t xml:space="preserve"> to be </w:t>
      </w:r>
      <w:r w:rsidR="000532CC">
        <w:rPr>
          <w:noProof/>
        </w:rPr>
        <w:t>verified</w:t>
      </w:r>
      <w:r w:rsidR="006B03C5" w:rsidRPr="009F2DE7">
        <w:rPr>
          <w:noProof/>
        </w:rPr>
        <w:t>.</w:t>
      </w:r>
      <w:r w:rsidR="007764D8">
        <w:rPr>
          <w:noProof/>
        </w:rPr>
        <w:t xml:space="preserve"> </w:t>
      </w:r>
      <w:r w:rsidR="00700277">
        <w:rPr>
          <w:noProof/>
        </w:rPr>
        <w:t xml:space="preserve">Therefore, </w:t>
      </w:r>
      <w:r w:rsidR="00D20416">
        <w:rPr>
          <w:noProof/>
        </w:rPr>
        <w:t>under this option</w:t>
      </w:r>
      <w:r w:rsidR="000F12F4">
        <w:rPr>
          <w:noProof/>
        </w:rPr>
        <w:t xml:space="preserve">, the cost for authorities assumes that the policy intervention would accelerate the porting </w:t>
      </w:r>
      <w:r w:rsidR="00FF4133">
        <w:rPr>
          <w:noProof/>
        </w:rPr>
        <w:t xml:space="preserve">of the limited subset of critical applications across the full population of 6 400 </w:t>
      </w:r>
      <w:r w:rsidR="00AB0B94">
        <w:rPr>
          <w:noProof/>
        </w:rPr>
        <w:t xml:space="preserve">public entities considered in scope. </w:t>
      </w:r>
      <w:r w:rsidR="00E65811">
        <w:rPr>
          <w:noProof/>
        </w:rPr>
        <w:t>This would result in</w:t>
      </w:r>
      <w:r w:rsidR="0091250C">
        <w:rPr>
          <w:noProof/>
        </w:rPr>
        <w:t xml:space="preserve"> total</w:t>
      </w:r>
      <w:r w:rsidR="00E65811">
        <w:rPr>
          <w:noProof/>
        </w:rPr>
        <w:t xml:space="preserve"> discounted costs of around </w:t>
      </w:r>
      <w:r w:rsidR="00E65811" w:rsidRPr="00D110FC">
        <w:rPr>
          <w:b/>
          <w:bCs/>
          <w:noProof/>
        </w:rPr>
        <w:t xml:space="preserve">EUR </w:t>
      </w:r>
      <w:r w:rsidR="0091250C" w:rsidRPr="00D110FC">
        <w:rPr>
          <w:b/>
          <w:bCs/>
          <w:noProof/>
        </w:rPr>
        <w:t>3 to 15 bn</w:t>
      </w:r>
      <w:r w:rsidR="0091250C">
        <w:rPr>
          <w:b/>
          <w:bCs/>
          <w:noProof/>
        </w:rPr>
        <w:t xml:space="preserve">, </w:t>
      </w:r>
      <w:r w:rsidR="0091250C">
        <w:rPr>
          <w:noProof/>
        </w:rPr>
        <w:t xml:space="preserve">over the same period. </w:t>
      </w:r>
      <w:r w:rsidR="007764D8">
        <w:rPr>
          <w:noProof/>
        </w:rPr>
        <w:t xml:space="preserve">Under PM19, authorities would also </w:t>
      </w:r>
      <w:r w:rsidR="00BE4B0B">
        <w:rPr>
          <w:noProof/>
        </w:rPr>
        <w:t xml:space="preserve">face some costs to </w:t>
      </w:r>
      <w:r w:rsidR="00BE4B0B" w:rsidRPr="00D37004">
        <w:rPr>
          <w:noProof/>
        </w:rPr>
        <w:t>updat</w:t>
      </w:r>
      <w:r w:rsidR="00BE4B0B">
        <w:rPr>
          <w:noProof/>
        </w:rPr>
        <w:t xml:space="preserve">e </w:t>
      </w:r>
      <w:r w:rsidR="00BE4B0B" w:rsidRPr="00D37004">
        <w:rPr>
          <w:noProof/>
        </w:rPr>
        <w:t xml:space="preserve">their procurement templates </w:t>
      </w:r>
      <w:r w:rsidR="00BE4B0B">
        <w:rPr>
          <w:noProof/>
        </w:rPr>
        <w:t>with</w:t>
      </w:r>
      <w:r w:rsidR="00BE4B0B" w:rsidRPr="00D37004">
        <w:rPr>
          <w:noProof/>
        </w:rPr>
        <w:t xml:space="preserve"> the </w:t>
      </w:r>
      <w:r w:rsidR="00BE4B0B">
        <w:rPr>
          <w:noProof/>
          <w:color w:val="000000" w:themeColor="text1"/>
        </w:rPr>
        <w:t>new</w:t>
      </w:r>
      <w:r w:rsidR="00BE4B0B" w:rsidRPr="00D37004">
        <w:rPr>
          <w:noProof/>
          <w:color w:val="000000" w:themeColor="text1"/>
        </w:rPr>
        <w:t xml:space="preserve"> procurement criteria</w:t>
      </w:r>
      <w:r w:rsidR="00BE4B0B">
        <w:rPr>
          <w:noProof/>
          <w:color w:val="000000" w:themeColor="text1"/>
        </w:rPr>
        <w:t xml:space="preserve">, alongside minor effort to </w:t>
      </w:r>
      <w:r w:rsidR="000774DE" w:rsidRPr="004D5245">
        <w:rPr>
          <w:noProof/>
        </w:rPr>
        <w:t xml:space="preserve">draft an action plan or light touch strategic note outlining </w:t>
      </w:r>
      <w:r w:rsidR="000774DE" w:rsidRPr="0086144B">
        <w:rPr>
          <w:noProof/>
          <w:lang w:val="en-IE"/>
        </w:rPr>
        <w:t xml:space="preserve">how they intend to use public procurement to increase the </w:t>
      </w:r>
      <w:r w:rsidR="000774DE" w:rsidRPr="00C15052">
        <w:rPr>
          <w:noProof/>
          <w:lang w:val="en-IE"/>
        </w:rPr>
        <w:t>uptake</w:t>
      </w:r>
      <w:r w:rsidR="000774DE" w:rsidRPr="0086144B">
        <w:rPr>
          <w:noProof/>
          <w:lang w:val="en-IE"/>
        </w:rPr>
        <w:t xml:space="preserve"> of highly innovative cloud and AI computing services</w:t>
      </w:r>
      <w:r w:rsidR="007764D8">
        <w:rPr>
          <w:noProof/>
        </w:rPr>
        <w:t>.</w:t>
      </w:r>
      <w:r w:rsidR="007764D8" w:rsidRPr="00D37004">
        <w:rPr>
          <w:noProof/>
        </w:rPr>
        <w:t xml:space="preserve"> </w:t>
      </w:r>
      <w:r w:rsidR="006B03C5" w:rsidRPr="009F2DE7">
        <w:rPr>
          <w:noProof/>
        </w:rPr>
        <w:t>PM20, which aims to boost open source in public administrations</w:t>
      </w:r>
      <w:r w:rsidR="008C4657">
        <w:rPr>
          <w:noProof/>
        </w:rPr>
        <w:t xml:space="preserve"> is expected to produce </w:t>
      </w:r>
      <w:r w:rsidR="002A3084">
        <w:rPr>
          <w:noProof/>
        </w:rPr>
        <w:t>several</w:t>
      </w:r>
      <w:r w:rsidR="006B03C5" w:rsidRPr="009F2DE7">
        <w:rPr>
          <w:noProof/>
        </w:rPr>
        <w:t xml:space="preserve"> costs </w:t>
      </w:r>
      <w:r w:rsidR="008C4657">
        <w:rPr>
          <w:noProof/>
        </w:rPr>
        <w:t>for public authorities</w:t>
      </w:r>
      <w:r w:rsidR="002A3084">
        <w:rPr>
          <w:noProof/>
        </w:rPr>
        <w:t xml:space="preserve">, i.e. related to </w:t>
      </w:r>
      <w:r w:rsidR="006B03C5" w:rsidRPr="009F2DE7">
        <w:rPr>
          <w:noProof/>
        </w:rPr>
        <w:t xml:space="preserve">(i) the creation and maintenance of the Open Source Programme Offices (OSPOs), (ii) </w:t>
      </w:r>
      <w:r w:rsidR="002A3084">
        <w:rPr>
          <w:noProof/>
        </w:rPr>
        <w:t xml:space="preserve">setting up </w:t>
      </w:r>
      <w:r w:rsidR="006B03C5" w:rsidRPr="009F2DE7">
        <w:rPr>
          <w:rFonts w:eastAsia="Times New Roman"/>
          <w:noProof/>
        </w:rPr>
        <w:t xml:space="preserve">open source repositories and </w:t>
      </w:r>
      <w:r w:rsidR="006B03C5" w:rsidRPr="009F2DE7">
        <w:rPr>
          <w:noProof/>
        </w:rPr>
        <w:t xml:space="preserve">governance mechanisms </w:t>
      </w:r>
      <w:r w:rsidR="006B03C5" w:rsidRPr="009F2DE7">
        <w:rPr>
          <w:rFonts w:eastAsia="Times New Roman"/>
          <w:noProof/>
        </w:rPr>
        <w:t>defining contribution, review, and acceptance procedures, (iii) the continuous maintenance and set-up of additional repositories,</w:t>
      </w:r>
      <w:r w:rsidR="006B03C5">
        <w:rPr>
          <w:rFonts w:eastAsia="Times New Roman"/>
          <w:noProof/>
        </w:rPr>
        <w:t xml:space="preserve"> </w:t>
      </w:r>
      <w:r w:rsidR="006B03C5" w:rsidRPr="009F2DE7">
        <w:rPr>
          <w:rFonts w:eastAsia="Times New Roman"/>
          <w:noProof/>
        </w:rPr>
        <w:t>(iv) the activities needed to release code as open source</w:t>
      </w:r>
      <w:r w:rsidR="00D30567">
        <w:rPr>
          <w:rFonts w:eastAsia="Times New Roman"/>
          <w:noProof/>
        </w:rPr>
        <w:t xml:space="preserve"> and (v) the comparative assessments of proprietary </w:t>
      </w:r>
      <w:r w:rsidR="00011676">
        <w:rPr>
          <w:rFonts w:eastAsia="Times New Roman"/>
          <w:noProof/>
        </w:rPr>
        <w:t>and open source solutions for their procurement procedures</w:t>
      </w:r>
      <w:r w:rsidR="002014A2" w:rsidRPr="009F2DE7">
        <w:rPr>
          <w:noProof/>
        </w:rPr>
        <w:t>.</w:t>
      </w:r>
      <w:r w:rsidR="002014A2" w:rsidRPr="00D37004">
        <w:rPr>
          <w:noProof/>
        </w:rPr>
        <w:t xml:space="preserve"> </w:t>
      </w:r>
      <w:r w:rsidR="002014A2">
        <w:rPr>
          <w:rFonts w:eastAsia="Times New Roman"/>
          <w:noProof/>
        </w:rPr>
        <w:t xml:space="preserve">While currently </w:t>
      </w:r>
      <w:r w:rsidR="005D7B3F">
        <w:rPr>
          <w:rFonts w:eastAsia="Times New Roman"/>
          <w:noProof/>
        </w:rPr>
        <w:t>public authorities may not have this</w:t>
      </w:r>
      <w:r w:rsidR="00055A92">
        <w:rPr>
          <w:rFonts w:eastAsia="Times New Roman"/>
          <w:noProof/>
        </w:rPr>
        <w:t xml:space="preserve"> knowledge in-house,</w:t>
      </w:r>
      <w:r w:rsidR="00297F06">
        <w:rPr>
          <w:rFonts w:eastAsia="Times New Roman"/>
          <w:noProof/>
        </w:rPr>
        <w:t xml:space="preserve"> t</w:t>
      </w:r>
      <w:r w:rsidR="00297F06">
        <w:rPr>
          <w:noProof/>
          <w:lang w:val="en-IE"/>
        </w:rPr>
        <w:t xml:space="preserve">he initial comparative assessments and the </w:t>
      </w:r>
      <w:r w:rsidR="00384F38">
        <w:rPr>
          <w:noProof/>
          <w:lang w:val="en-IE"/>
        </w:rPr>
        <w:t>set</w:t>
      </w:r>
      <w:r w:rsidR="00140697">
        <w:rPr>
          <w:noProof/>
          <w:lang w:val="en-IE"/>
        </w:rPr>
        <w:t>-</w:t>
      </w:r>
      <w:r w:rsidR="00384F38">
        <w:rPr>
          <w:noProof/>
          <w:lang w:val="en-IE"/>
        </w:rPr>
        <w:t>up</w:t>
      </w:r>
      <w:r w:rsidR="00297F06">
        <w:rPr>
          <w:noProof/>
          <w:lang w:val="en-IE"/>
        </w:rPr>
        <w:t xml:space="preserve"> of the repositories may require certain investment in staff training and in the development of training evaluation capacity in the contracting authorities. However, these administrative costs are expected to be mitigated thanks to the deployment of the Open Source Programme Offices (OSPO). OSPOs, as part of their role in their </w:t>
      </w:r>
      <w:r w:rsidR="00297F06" w:rsidRPr="00AA3EFF">
        <w:rPr>
          <w:noProof/>
          <w:lang w:val="en-US"/>
        </w:rPr>
        <w:t xml:space="preserve">technical, legal, procedural and strategic </w:t>
      </w:r>
      <w:r w:rsidR="00297F06">
        <w:rPr>
          <w:noProof/>
        </w:rPr>
        <w:t xml:space="preserve">– related tasks, </w:t>
      </w:r>
      <w:r w:rsidR="00297F06">
        <w:rPr>
          <w:noProof/>
          <w:lang w:val="en-IE"/>
        </w:rPr>
        <w:t xml:space="preserve">may provide contracting authorities with standardised evaluation frameworks, scoring methodologies or advisory support thereby sharing expertise costs across the public sector rather than requiring each authority to develop this capacity independently. </w:t>
      </w:r>
      <w:r w:rsidR="00AF773E">
        <w:rPr>
          <w:noProof/>
          <w:lang w:val="en-IE"/>
        </w:rPr>
        <w:t xml:space="preserve">Finally, </w:t>
      </w:r>
      <w:r w:rsidR="00976ED0">
        <w:rPr>
          <w:noProof/>
          <w:lang w:val="en-IE"/>
        </w:rPr>
        <w:t xml:space="preserve">in PM22 </w:t>
      </w:r>
      <w:r w:rsidR="00E0125C">
        <w:rPr>
          <w:noProof/>
          <w:lang w:val="en-IE"/>
        </w:rPr>
        <w:t xml:space="preserve">for the public sector cloud federation, </w:t>
      </w:r>
      <w:r w:rsidR="00976ED0">
        <w:rPr>
          <w:noProof/>
          <w:lang w:val="en-IE"/>
        </w:rPr>
        <w:t xml:space="preserve">national public authorities will have the same costs as </w:t>
      </w:r>
      <w:r w:rsidR="00D3417C">
        <w:rPr>
          <w:noProof/>
          <w:lang w:val="en-IE"/>
        </w:rPr>
        <w:t>described for PM17</w:t>
      </w:r>
      <w:r w:rsidR="00522449">
        <w:rPr>
          <w:noProof/>
          <w:lang w:val="en-IE"/>
        </w:rPr>
        <w:t xml:space="preserve"> above</w:t>
      </w:r>
      <w:r w:rsidR="00976ED0">
        <w:rPr>
          <w:noProof/>
          <w:lang w:val="en-IE"/>
        </w:rPr>
        <w:t>, as it builds on top of it</w:t>
      </w:r>
      <w:r w:rsidR="00D3417C">
        <w:rPr>
          <w:noProof/>
          <w:lang w:val="en-IE"/>
        </w:rPr>
        <w:t xml:space="preserve">. </w:t>
      </w:r>
      <w:r w:rsidR="000774DE" w:rsidRPr="00D37004">
        <w:rPr>
          <w:noProof/>
        </w:rPr>
        <w:t xml:space="preserve">These measures </w:t>
      </w:r>
      <w:r w:rsidR="000774DE">
        <w:rPr>
          <w:noProof/>
        </w:rPr>
        <w:t>would</w:t>
      </w:r>
      <w:r w:rsidR="000774DE" w:rsidRPr="00D37004">
        <w:rPr>
          <w:noProof/>
        </w:rPr>
        <w:t xml:space="preserve"> result in total costs for public authorities amounting to</w:t>
      </w:r>
      <w:r w:rsidR="000774DE">
        <w:rPr>
          <w:noProof/>
        </w:rPr>
        <w:t xml:space="preserve"> </w:t>
      </w:r>
      <w:r w:rsidR="001B3351">
        <w:rPr>
          <w:noProof/>
        </w:rPr>
        <w:t>a range of</w:t>
      </w:r>
      <w:r w:rsidR="000774DE" w:rsidRPr="00D37004">
        <w:rPr>
          <w:noProof/>
        </w:rPr>
        <w:t xml:space="preserve"> </w:t>
      </w:r>
      <w:r w:rsidR="000774DE" w:rsidRPr="00463BBD">
        <w:rPr>
          <w:b/>
          <w:bCs/>
          <w:noProof/>
        </w:rPr>
        <w:t xml:space="preserve">EUR </w:t>
      </w:r>
      <w:r w:rsidR="00F23A17">
        <w:rPr>
          <w:b/>
          <w:bCs/>
          <w:noProof/>
        </w:rPr>
        <w:t>4</w:t>
      </w:r>
      <w:r w:rsidR="003D1426">
        <w:rPr>
          <w:b/>
          <w:bCs/>
          <w:noProof/>
        </w:rPr>
        <w:t xml:space="preserve"> </w:t>
      </w:r>
      <w:r w:rsidR="00E231C4" w:rsidRPr="00463BBD">
        <w:rPr>
          <w:b/>
          <w:bCs/>
          <w:noProof/>
        </w:rPr>
        <w:t xml:space="preserve">to </w:t>
      </w:r>
      <w:r w:rsidR="00F23A17">
        <w:rPr>
          <w:b/>
          <w:bCs/>
          <w:noProof/>
        </w:rPr>
        <w:t>1</w:t>
      </w:r>
      <w:r w:rsidR="00CE7AA5">
        <w:rPr>
          <w:b/>
          <w:bCs/>
          <w:noProof/>
        </w:rPr>
        <w:t>8</w:t>
      </w:r>
      <w:r w:rsidR="003D1426">
        <w:rPr>
          <w:b/>
          <w:bCs/>
          <w:noProof/>
        </w:rPr>
        <w:t xml:space="preserve"> </w:t>
      </w:r>
      <w:r w:rsidR="000774DE" w:rsidRPr="00463BBD">
        <w:rPr>
          <w:b/>
          <w:bCs/>
          <w:noProof/>
        </w:rPr>
        <w:t>bn</w:t>
      </w:r>
      <w:r w:rsidR="000774DE">
        <w:rPr>
          <w:noProof/>
        </w:rPr>
        <w:t xml:space="preserve"> for this </w:t>
      </w:r>
      <w:r w:rsidR="001F4100">
        <w:rPr>
          <w:noProof/>
        </w:rPr>
        <w:t>option</w:t>
      </w:r>
      <w:r w:rsidR="000774DE" w:rsidRPr="00D37004">
        <w:rPr>
          <w:noProof/>
        </w:rPr>
        <w:t>.</w:t>
      </w:r>
    </w:p>
    <w:tbl>
      <w:tblPr>
        <w:tblStyle w:val="TableGrid"/>
        <w:tblW w:w="0" w:type="auto"/>
        <w:tblLook w:val="04A0" w:firstRow="1" w:lastRow="0" w:firstColumn="1" w:lastColumn="0" w:noHBand="0" w:noVBand="1"/>
      </w:tblPr>
      <w:tblGrid>
        <w:gridCol w:w="9713"/>
      </w:tblGrid>
      <w:tr w:rsidR="0081735A" w14:paraId="6EBFF605" w14:textId="77777777" w:rsidTr="00DA5A99">
        <w:tc>
          <w:tcPr>
            <w:tcW w:w="9713" w:type="dxa"/>
          </w:tcPr>
          <w:p w14:paraId="5249F412" w14:textId="0A0F4783" w:rsidR="0081735A" w:rsidRPr="000250F8" w:rsidRDefault="0081735A" w:rsidP="00C52E62">
            <w:pPr>
              <w:spacing w:before="120"/>
              <w:jc w:val="center"/>
              <w:rPr>
                <w:b/>
                <w:i/>
                <w:noProof/>
                <w:sz w:val="28"/>
                <w:szCs w:val="28"/>
              </w:rPr>
            </w:pPr>
            <w:r w:rsidRPr="000250F8">
              <w:rPr>
                <w:b/>
                <w:i/>
                <w:noProof/>
                <w:sz w:val="28"/>
                <w:szCs w:val="28"/>
              </w:rPr>
              <w:t>Focus box</w:t>
            </w:r>
            <w:r w:rsidR="00A327B2">
              <w:rPr>
                <w:b/>
                <w:bCs/>
                <w:i/>
                <w:iCs/>
                <w:noProof/>
                <w:sz w:val="28"/>
                <w:szCs w:val="28"/>
              </w:rPr>
              <w:t xml:space="preserve"> #2</w:t>
            </w:r>
            <w:r w:rsidRPr="000250F8">
              <w:rPr>
                <w:b/>
                <w:i/>
                <w:noProof/>
                <w:sz w:val="28"/>
                <w:szCs w:val="28"/>
              </w:rPr>
              <w:t xml:space="preserve">: costs for authorities to port </w:t>
            </w:r>
            <w:r w:rsidR="00AF3A9B">
              <w:rPr>
                <w:b/>
                <w:bCs/>
                <w:i/>
                <w:iCs/>
                <w:noProof/>
                <w:sz w:val="28"/>
                <w:szCs w:val="28"/>
              </w:rPr>
              <w:t>and</w:t>
            </w:r>
            <w:r w:rsidRPr="000250F8">
              <w:rPr>
                <w:b/>
                <w:i/>
                <w:noProof/>
                <w:sz w:val="28"/>
                <w:szCs w:val="28"/>
              </w:rPr>
              <w:t xml:space="preserve"> migrate services</w:t>
            </w:r>
          </w:p>
          <w:p w14:paraId="7C9F897E" w14:textId="434EDF30" w:rsidR="00BE3174" w:rsidRDefault="00B169D1" w:rsidP="00DA5A99">
            <w:pPr>
              <w:rPr>
                <w:noProof/>
                <w:lang w:val="en-IE"/>
              </w:rPr>
            </w:pPr>
            <w:r>
              <w:rPr>
                <w:noProof/>
                <w:lang w:val="en-IE"/>
              </w:rPr>
              <w:t>Th</w:t>
            </w:r>
            <w:r w:rsidR="00DF0ACA">
              <w:rPr>
                <w:noProof/>
                <w:lang w:val="en-IE"/>
              </w:rPr>
              <w:t>is</w:t>
            </w:r>
            <w:r>
              <w:rPr>
                <w:noProof/>
                <w:lang w:val="en-IE"/>
              </w:rPr>
              <w:t xml:space="preserve"> box makes the distinction in between</w:t>
            </w:r>
            <w:r w:rsidR="00E46951">
              <w:rPr>
                <w:noProof/>
                <w:lang w:val="en-IE"/>
              </w:rPr>
              <w:t>:</w:t>
            </w:r>
          </w:p>
          <w:p w14:paraId="00D09D30" w14:textId="42B8150E" w:rsidR="00E46951" w:rsidRDefault="00E46951" w:rsidP="00E46951">
            <w:pPr>
              <w:pStyle w:val="ListParagraph"/>
              <w:numPr>
                <w:ilvl w:val="0"/>
                <w:numId w:val="54"/>
              </w:numPr>
              <w:rPr>
                <w:noProof/>
                <w:lang w:val="en-IE"/>
              </w:rPr>
            </w:pPr>
            <w:r>
              <w:rPr>
                <w:noProof/>
                <w:lang w:val="en-IE"/>
              </w:rPr>
              <w:t xml:space="preserve">Cloud </w:t>
            </w:r>
            <w:r w:rsidRPr="00156F52">
              <w:rPr>
                <w:b/>
                <w:bCs/>
                <w:noProof/>
                <w:lang w:val="en-IE"/>
              </w:rPr>
              <w:t>porting</w:t>
            </w:r>
            <w:r>
              <w:rPr>
                <w:noProof/>
                <w:lang w:val="en-IE"/>
              </w:rPr>
              <w:t xml:space="preserve">, </w:t>
            </w:r>
            <w:r w:rsidR="00611CC6">
              <w:rPr>
                <w:noProof/>
                <w:lang w:val="en-IE"/>
              </w:rPr>
              <w:t>i.e.</w:t>
            </w:r>
            <w:r>
              <w:rPr>
                <w:noProof/>
                <w:lang w:val="en-IE"/>
              </w:rPr>
              <w:t xml:space="preserve"> </w:t>
            </w:r>
            <w:r w:rsidR="002C7973">
              <w:rPr>
                <w:noProof/>
                <w:lang w:val="en-IE"/>
              </w:rPr>
              <w:t xml:space="preserve">moving a service </w:t>
            </w:r>
            <w:r>
              <w:rPr>
                <w:noProof/>
                <w:lang w:val="en-IE"/>
              </w:rPr>
              <w:t>from one cloud provider to another</w:t>
            </w:r>
            <w:r w:rsidR="00210B78">
              <w:rPr>
                <w:noProof/>
                <w:lang w:val="en-IE"/>
              </w:rPr>
              <w:t xml:space="preserve"> cloud </w:t>
            </w:r>
            <w:r w:rsidR="00DF0ACA">
              <w:rPr>
                <w:noProof/>
                <w:lang w:val="en-IE"/>
              </w:rPr>
              <w:t>provider</w:t>
            </w:r>
          </w:p>
          <w:p w14:paraId="0684CE61" w14:textId="1B20ED75" w:rsidR="00E46951" w:rsidRPr="00E46951" w:rsidRDefault="00E46951" w:rsidP="00E46951">
            <w:pPr>
              <w:pStyle w:val="ListParagraph"/>
              <w:numPr>
                <w:ilvl w:val="0"/>
                <w:numId w:val="54"/>
              </w:numPr>
              <w:rPr>
                <w:noProof/>
                <w:lang w:val="en-IE"/>
              </w:rPr>
            </w:pPr>
            <w:r>
              <w:rPr>
                <w:noProof/>
                <w:lang w:val="en-IE"/>
              </w:rPr>
              <w:t xml:space="preserve">Cloud </w:t>
            </w:r>
            <w:r w:rsidRPr="00156F52">
              <w:rPr>
                <w:b/>
                <w:bCs/>
                <w:noProof/>
                <w:lang w:val="en-IE"/>
              </w:rPr>
              <w:t>migrating</w:t>
            </w:r>
            <w:r w:rsidR="00210B78">
              <w:rPr>
                <w:noProof/>
                <w:lang w:val="en-IE"/>
              </w:rPr>
              <w:t xml:space="preserve">, </w:t>
            </w:r>
            <w:r w:rsidR="00611CC6">
              <w:rPr>
                <w:noProof/>
                <w:lang w:val="en-IE"/>
              </w:rPr>
              <w:t>i.e.</w:t>
            </w:r>
            <w:r w:rsidR="00210B78">
              <w:rPr>
                <w:noProof/>
                <w:lang w:val="en-IE"/>
              </w:rPr>
              <w:t xml:space="preserve"> </w:t>
            </w:r>
            <w:r w:rsidR="002C7973">
              <w:rPr>
                <w:noProof/>
                <w:lang w:val="en-IE"/>
              </w:rPr>
              <w:t xml:space="preserve">moving a service </w:t>
            </w:r>
            <w:r w:rsidR="00210B78">
              <w:rPr>
                <w:noProof/>
                <w:lang w:val="en-IE"/>
              </w:rPr>
              <w:t>from on-premises to cloud</w:t>
            </w:r>
          </w:p>
          <w:p w14:paraId="0897B572" w14:textId="7732FC29" w:rsidR="009E2DB1" w:rsidRDefault="0081735A" w:rsidP="00DA5A99">
            <w:pPr>
              <w:rPr>
                <w:noProof/>
                <w:lang w:val="en-IE"/>
              </w:rPr>
            </w:pPr>
            <w:r>
              <w:rPr>
                <w:noProof/>
                <w:lang w:val="en-IE"/>
              </w:rPr>
              <w:t>None of the proposed policy measures</w:t>
            </w:r>
            <w:r w:rsidRPr="00941923">
              <w:rPr>
                <w:noProof/>
                <w:lang w:val="en-IE"/>
              </w:rPr>
              <w:t xml:space="preserve"> </w:t>
            </w:r>
            <w:r w:rsidR="00EF7D32">
              <w:rPr>
                <w:noProof/>
                <w:lang w:val="en-IE"/>
              </w:rPr>
              <w:t>obliges</w:t>
            </w:r>
            <w:r w:rsidRPr="00941923">
              <w:rPr>
                <w:noProof/>
                <w:lang w:val="en-IE"/>
              </w:rPr>
              <w:t xml:space="preserve"> public authorit</w:t>
            </w:r>
            <w:r w:rsidR="00D22BF1">
              <w:rPr>
                <w:noProof/>
                <w:lang w:val="en-IE"/>
              </w:rPr>
              <w:t>ies</w:t>
            </w:r>
            <w:r w:rsidRPr="00941923">
              <w:rPr>
                <w:noProof/>
                <w:lang w:val="en-IE"/>
              </w:rPr>
              <w:t xml:space="preserve"> </w:t>
            </w:r>
            <w:r w:rsidR="00D22BF1">
              <w:rPr>
                <w:noProof/>
                <w:lang w:val="en-IE"/>
              </w:rPr>
              <w:t xml:space="preserve">to </w:t>
            </w:r>
            <w:r w:rsidR="00E21958">
              <w:rPr>
                <w:noProof/>
                <w:lang w:val="en-IE"/>
              </w:rPr>
              <w:t xml:space="preserve">port </w:t>
            </w:r>
            <w:r w:rsidR="009E2DB1" w:rsidRPr="00941923">
              <w:rPr>
                <w:noProof/>
                <w:lang w:val="en-IE"/>
              </w:rPr>
              <w:t>an existing cloud service from one provider to another</w:t>
            </w:r>
            <w:r w:rsidR="009E2DB1">
              <w:rPr>
                <w:noProof/>
                <w:lang w:val="en-IE"/>
              </w:rPr>
              <w:t xml:space="preserve">, or to </w:t>
            </w:r>
            <w:r w:rsidRPr="00941923">
              <w:rPr>
                <w:noProof/>
                <w:lang w:val="en-IE"/>
              </w:rPr>
              <w:t xml:space="preserve">migrate on-premises service to the cloud or </w:t>
            </w:r>
            <w:r w:rsidR="00D22BF1">
              <w:rPr>
                <w:noProof/>
                <w:lang w:val="en-IE"/>
              </w:rPr>
              <w:t xml:space="preserve">to </w:t>
            </w:r>
            <w:r>
              <w:rPr>
                <w:noProof/>
                <w:lang w:val="en-IE"/>
              </w:rPr>
              <w:t>port</w:t>
            </w:r>
            <w:r w:rsidRPr="00941923">
              <w:rPr>
                <w:noProof/>
                <w:lang w:val="en-IE"/>
              </w:rPr>
              <w:t>.</w:t>
            </w:r>
            <w:r w:rsidR="00182BA7" w:rsidRPr="00941923">
              <w:rPr>
                <w:noProof/>
                <w:lang w:val="en-IE"/>
              </w:rPr>
              <w:t xml:space="preserve"> These decisions are made on a </w:t>
            </w:r>
            <w:r w:rsidR="00182BA7" w:rsidRPr="00941923">
              <w:rPr>
                <w:b/>
                <w:bCs/>
                <w:noProof/>
                <w:lang w:val="en-IE"/>
              </w:rPr>
              <w:t>case-by-case basis</w:t>
            </w:r>
            <w:r w:rsidR="0094220D">
              <w:rPr>
                <w:noProof/>
                <w:lang w:val="en-IE"/>
              </w:rPr>
              <w:t xml:space="preserve"> by public authorities alone</w:t>
            </w:r>
            <w:r w:rsidR="003240EA">
              <w:rPr>
                <w:noProof/>
                <w:lang w:val="en-IE"/>
              </w:rPr>
              <w:t>,</w:t>
            </w:r>
            <w:r w:rsidR="00182BA7" w:rsidRPr="00941923">
              <w:rPr>
                <w:noProof/>
                <w:lang w:val="en-IE"/>
              </w:rPr>
              <w:t xml:space="preserve"> considering the authority's specific needs, existing systems, and procurement cycle.</w:t>
            </w:r>
          </w:p>
          <w:p w14:paraId="7A25491A" w14:textId="509F5432" w:rsidR="0081735A" w:rsidRDefault="009B6CD0" w:rsidP="00DA5A99">
            <w:pPr>
              <w:rPr>
                <w:noProof/>
                <w:lang w:val="en-IE"/>
              </w:rPr>
            </w:pPr>
            <w:r>
              <w:rPr>
                <w:noProof/>
                <w:lang w:val="en-IE"/>
              </w:rPr>
              <w:t>Examining costs is however relevant since</w:t>
            </w:r>
            <w:r w:rsidR="0081735A">
              <w:rPr>
                <w:noProof/>
                <w:lang w:val="en-IE"/>
              </w:rPr>
              <w:t xml:space="preserve"> </w:t>
            </w:r>
            <w:r w:rsidR="0081735A" w:rsidRPr="008F3EDF">
              <w:rPr>
                <w:noProof/>
                <w:lang w:val="en-IE"/>
              </w:rPr>
              <w:t>the results of Member States'</w:t>
            </w:r>
            <w:r w:rsidR="0081735A">
              <w:rPr>
                <w:noProof/>
                <w:lang w:val="en-IE"/>
              </w:rPr>
              <w:t xml:space="preserve"> sovereignty </w:t>
            </w:r>
            <w:r w:rsidR="0081735A" w:rsidRPr="008F3EDF">
              <w:rPr>
                <w:noProof/>
                <w:lang w:val="en-IE"/>
              </w:rPr>
              <w:t xml:space="preserve">risk assessments </w:t>
            </w:r>
            <w:r w:rsidR="0081735A">
              <w:rPr>
                <w:noProof/>
                <w:lang w:val="en-IE"/>
              </w:rPr>
              <w:t>are expected to</w:t>
            </w:r>
            <w:r w:rsidR="0081735A" w:rsidRPr="008F3EDF">
              <w:rPr>
                <w:noProof/>
                <w:lang w:val="en-IE"/>
              </w:rPr>
              <w:t xml:space="preserve"> </w:t>
            </w:r>
            <w:r w:rsidR="00387205">
              <w:rPr>
                <w:noProof/>
                <w:lang w:val="en-IE"/>
              </w:rPr>
              <w:t xml:space="preserve">induce </w:t>
            </w:r>
            <w:r w:rsidR="003530DB">
              <w:rPr>
                <w:noProof/>
                <w:lang w:val="en-IE"/>
              </w:rPr>
              <w:t>cloud porting decisions</w:t>
            </w:r>
            <w:r w:rsidR="008A7D56">
              <w:rPr>
                <w:rStyle w:val="FootnoteReference"/>
                <w:noProof/>
                <w:lang w:val="en-IE"/>
              </w:rPr>
              <w:footnoteReference w:id="109"/>
            </w:r>
            <w:r w:rsidR="003D0B19">
              <w:rPr>
                <w:noProof/>
                <w:lang w:val="en-IE"/>
              </w:rPr>
              <w:t>.</w:t>
            </w:r>
            <w:r w:rsidR="000C6153">
              <w:rPr>
                <w:noProof/>
                <w:lang w:val="en-IE"/>
              </w:rPr>
              <w:t xml:space="preserve"> </w:t>
            </w:r>
            <w:r w:rsidR="006A4D47">
              <w:rPr>
                <w:noProof/>
                <w:lang w:val="en-IE"/>
              </w:rPr>
              <w:t xml:space="preserve">As well, the expected increase in trust resulting from </w:t>
            </w:r>
            <w:r w:rsidR="00F2378F">
              <w:rPr>
                <w:noProof/>
                <w:lang w:val="en-IE"/>
              </w:rPr>
              <w:t xml:space="preserve">the existence of </w:t>
            </w:r>
            <w:r w:rsidR="00A970E5">
              <w:rPr>
                <w:noProof/>
                <w:lang w:val="en-IE"/>
              </w:rPr>
              <w:t>a sovereignty framework</w:t>
            </w:r>
            <w:r w:rsidR="006A4D47">
              <w:rPr>
                <w:noProof/>
                <w:lang w:val="en-IE"/>
              </w:rPr>
              <w:t xml:space="preserve"> </w:t>
            </w:r>
            <w:r w:rsidR="00694CE3">
              <w:rPr>
                <w:noProof/>
                <w:lang w:val="en-IE"/>
              </w:rPr>
              <w:t>is</w:t>
            </w:r>
            <w:r w:rsidR="006A4D47">
              <w:rPr>
                <w:noProof/>
                <w:lang w:val="en-IE"/>
              </w:rPr>
              <w:t xml:space="preserve"> expected to increase </w:t>
            </w:r>
            <w:r w:rsidR="00A25FA3">
              <w:rPr>
                <w:noProof/>
                <w:lang w:val="en-IE"/>
              </w:rPr>
              <w:t>or anticipate</w:t>
            </w:r>
            <w:r w:rsidR="006A4D47">
              <w:rPr>
                <w:noProof/>
                <w:lang w:val="en-IE"/>
              </w:rPr>
              <w:t xml:space="preserve"> cloud migration </w:t>
            </w:r>
            <w:r w:rsidR="00694CE3">
              <w:rPr>
                <w:noProof/>
                <w:lang w:val="en-IE"/>
              </w:rPr>
              <w:t>decisions.</w:t>
            </w:r>
            <w:r w:rsidR="0081735A">
              <w:rPr>
                <w:noProof/>
                <w:lang w:val="en-IE"/>
              </w:rPr>
              <w:t xml:space="preserve"> These costs </w:t>
            </w:r>
            <w:r w:rsidR="0081735A" w:rsidRPr="00CC448B">
              <w:rPr>
                <w:noProof/>
                <w:lang w:val="en-IE"/>
              </w:rPr>
              <w:t xml:space="preserve">are </w:t>
            </w:r>
            <w:r w:rsidR="0081735A" w:rsidRPr="00374BE2">
              <w:rPr>
                <w:noProof/>
                <w:lang w:val="en-IE"/>
              </w:rPr>
              <w:t>not</w:t>
            </w:r>
            <w:r w:rsidR="0081735A" w:rsidRPr="00CC448B">
              <w:rPr>
                <w:noProof/>
                <w:lang w:val="en-IE"/>
              </w:rPr>
              <w:t xml:space="preserve"> immediate consequences of the intervention's entry into force, but rather potential future expenses that may arise during the normal course of business.</w:t>
            </w:r>
            <w:r w:rsidR="0081735A">
              <w:rPr>
                <w:noProof/>
                <w:lang w:val="en-IE"/>
              </w:rPr>
              <w:t xml:space="preserve"> These costs are thus presented for illustrative purposes</w:t>
            </w:r>
            <w:r w:rsidR="0081735A" w:rsidRPr="00683746">
              <w:rPr>
                <w:noProof/>
                <w:lang w:val="en-IE"/>
              </w:rPr>
              <w:t>.</w:t>
            </w:r>
            <w:r w:rsidR="0081735A">
              <w:rPr>
                <w:noProof/>
                <w:lang w:val="en-IE"/>
              </w:rPr>
              <w:t xml:space="preserve"> </w:t>
            </w:r>
          </w:p>
          <w:p w14:paraId="0372603D" w14:textId="77777777" w:rsidR="0081735A" w:rsidRPr="004160F5" w:rsidRDefault="0081735A" w:rsidP="00DA5A99">
            <w:pPr>
              <w:spacing w:before="120"/>
              <w:rPr>
                <w:b/>
                <w:noProof/>
                <w:u w:val="single"/>
                <w:lang w:val="en-IE"/>
              </w:rPr>
            </w:pPr>
            <w:r w:rsidRPr="004160F5">
              <w:rPr>
                <w:b/>
                <w:noProof/>
                <w:u w:val="single"/>
                <w:lang w:val="en-IE"/>
              </w:rPr>
              <w:t>Porting an existing workload from one cloud provider to another (cloud-to-sovereign cloud)</w:t>
            </w:r>
          </w:p>
          <w:p w14:paraId="55E2A5F4" w14:textId="254E099E" w:rsidR="0081735A" w:rsidRDefault="0081735A" w:rsidP="00DA5A99">
            <w:pPr>
              <w:rPr>
                <w:noProof/>
              </w:rPr>
            </w:pPr>
            <w:r w:rsidRPr="00DD44BA">
              <w:rPr>
                <w:noProof/>
              </w:rPr>
              <w:t xml:space="preserve">Porting refers to </w:t>
            </w:r>
            <w:r>
              <w:rPr>
                <w:noProof/>
              </w:rPr>
              <w:t>moving</w:t>
            </w:r>
            <w:r w:rsidRPr="00DD44BA">
              <w:rPr>
                <w:noProof/>
              </w:rPr>
              <w:t xml:space="preserve"> an existing cloud-based service from one cloud provider </w:t>
            </w:r>
            <w:r w:rsidR="000C7537">
              <w:rPr>
                <w:noProof/>
              </w:rPr>
              <w:t>to another</w:t>
            </w:r>
            <w:r w:rsidR="00B14D25">
              <w:rPr>
                <w:noProof/>
              </w:rPr>
              <w:t xml:space="preserve">, in this case to a </w:t>
            </w:r>
            <w:r w:rsidRPr="00DD44BA">
              <w:rPr>
                <w:noProof/>
              </w:rPr>
              <w:t>sovereign cloud service. This concerns services that are already cloudified but may need to be moved</w:t>
            </w:r>
            <w:r w:rsidR="00AE66F3">
              <w:rPr>
                <w:noProof/>
              </w:rPr>
              <w:t>/ported</w:t>
            </w:r>
            <w:r w:rsidRPr="00DD44BA">
              <w:rPr>
                <w:noProof/>
              </w:rPr>
              <w:t xml:space="preserve"> if </w:t>
            </w:r>
            <w:r w:rsidR="00B43093">
              <w:rPr>
                <w:noProof/>
              </w:rPr>
              <w:t>sovereignty risk assessments conclude so</w:t>
            </w:r>
            <w:r w:rsidR="00525266">
              <w:rPr>
                <w:noProof/>
              </w:rPr>
              <w:t>. It is worth noting</w:t>
            </w:r>
            <w:r w:rsidR="00B30146">
              <w:rPr>
                <w:noProof/>
              </w:rPr>
              <w:t xml:space="preserve"> that </w:t>
            </w:r>
            <w:r w:rsidR="00525266">
              <w:rPr>
                <w:noProof/>
              </w:rPr>
              <w:t xml:space="preserve">this is something </w:t>
            </w:r>
            <w:r w:rsidR="00E05FA8">
              <w:rPr>
                <w:noProof/>
              </w:rPr>
              <w:t xml:space="preserve">that </w:t>
            </w:r>
            <w:r w:rsidR="00B54C58">
              <w:rPr>
                <w:noProof/>
              </w:rPr>
              <w:t xml:space="preserve">anyway </w:t>
            </w:r>
            <w:r w:rsidR="00E05FA8">
              <w:rPr>
                <w:noProof/>
              </w:rPr>
              <w:t xml:space="preserve">happens naturally as </w:t>
            </w:r>
            <w:r w:rsidR="007970B5">
              <w:rPr>
                <w:noProof/>
              </w:rPr>
              <w:t>existing contracts come to an end and are re-tendered.</w:t>
            </w:r>
            <w:r>
              <w:rPr>
                <w:noProof/>
              </w:rPr>
              <w:t xml:space="preserve"> </w:t>
            </w:r>
            <w:r w:rsidRPr="00683746">
              <w:rPr>
                <w:noProof/>
                <w:lang w:val="en-IE"/>
              </w:rPr>
              <w:t xml:space="preserve">To </w:t>
            </w:r>
            <w:r>
              <w:rPr>
                <w:noProof/>
                <w:lang w:val="en-IE"/>
              </w:rPr>
              <w:t xml:space="preserve">port an existing service, costs include a feasibility assessment, strategy and planning, target environment setup, migration, testing and validation, cutover, DNS switching, and recurrent activities linked to operating the service in the new environment, including performance optimisation and maintenance. These activities mainly involve personnel costs and parallel running costs. </w:t>
            </w:r>
          </w:p>
          <w:p w14:paraId="73055868" w14:textId="3AE40112" w:rsidR="0081735A" w:rsidRPr="00FD07A9" w:rsidRDefault="0081735A" w:rsidP="00DA5A99">
            <w:pPr>
              <w:rPr>
                <w:noProof/>
              </w:rPr>
            </w:pPr>
            <w:r>
              <w:rPr>
                <w:noProof/>
              </w:rPr>
              <w:t xml:space="preserve">It is important to underline that the </w:t>
            </w:r>
            <w:r w:rsidRPr="00481B57">
              <w:rPr>
                <w:noProof/>
              </w:rPr>
              <w:t xml:space="preserve">cost of </w:t>
            </w:r>
            <w:r w:rsidR="000445E6">
              <w:rPr>
                <w:noProof/>
              </w:rPr>
              <w:t>porting</w:t>
            </w:r>
            <w:r w:rsidRPr="00481B57">
              <w:rPr>
                <w:noProof/>
              </w:rPr>
              <w:t xml:space="preserve"> is comparable when systems are </w:t>
            </w:r>
            <w:r w:rsidR="000445E6">
              <w:rPr>
                <w:noProof/>
              </w:rPr>
              <w:t>ported</w:t>
            </w:r>
            <w:r w:rsidRPr="00481B57">
              <w:rPr>
                <w:noProof/>
              </w:rPr>
              <w:t xml:space="preserve"> from one cloud providers to another or to a sovereign cloud environment</w:t>
            </w:r>
            <w:r>
              <w:rPr>
                <w:noProof/>
              </w:rPr>
              <w:t xml:space="preserve">. </w:t>
            </w:r>
            <w:r w:rsidR="00481B57">
              <w:rPr>
                <w:noProof/>
              </w:rPr>
              <w:t xml:space="preserve">In other words: the </w:t>
            </w:r>
            <w:r w:rsidR="00455DB9">
              <w:rPr>
                <w:noProof/>
              </w:rPr>
              <w:t xml:space="preserve">fact that the end cloud is sovereign does not per se affect the </w:t>
            </w:r>
            <w:r w:rsidR="005A5FEB">
              <w:rPr>
                <w:noProof/>
              </w:rPr>
              <w:t>cost of porting.</w:t>
            </w:r>
          </w:p>
          <w:p w14:paraId="4D098C90" w14:textId="013D156D" w:rsidR="00D36B22" w:rsidRPr="002336E8" w:rsidRDefault="00D36B22" w:rsidP="00DA5A99">
            <w:pPr>
              <w:rPr>
                <w:i/>
                <w:iCs/>
                <w:noProof/>
                <w:u w:val="single"/>
                <w:lang w:val="en-IE"/>
              </w:rPr>
            </w:pPr>
            <w:r w:rsidRPr="002336E8">
              <w:rPr>
                <w:i/>
                <w:iCs/>
                <w:noProof/>
                <w:u w:val="single"/>
                <w:lang w:val="en-IE"/>
              </w:rPr>
              <w:t>The porting of a single system</w:t>
            </w:r>
          </w:p>
          <w:p w14:paraId="2F1D74A9" w14:textId="3A679F79" w:rsidR="0081735A" w:rsidRDefault="0081735A" w:rsidP="00DA5A99">
            <w:pPr>
              <w:rPr>
                <w:noProof/>
                <w:lang w:val="en-IE"/>
              </w:rPr>
            </w:pPr>
            <w:r>
              <w:rPr>
                <w:noProof/>
                <w:lang w:val="en-IE"/>
              </w:rPr>
              <w:t xml:space="preserve">To estimate the cost of porting an IT system, applications can be grouped into small, medium-sized and large, based on their size, complexity, business case and infrastructure needs. </w:t>
            </w:r>
            <w:r w:rsidR="006A64C3">
              <w:rPr>
                <w:noProof/>
                <w:lang w:val="en-IE"/>
              </w:rPr>
              <w:t>Annex 12 provides an in-depth analysis of</w:t>
            </w:r>
            <w:r w:rsidR="000248E0">
              <w:rPr>
                <w:noProof/>
                <w:lang w:val="en-IE"/>
              </w:rPr>
              <w:t xml:space="preserve"> the cost categories and their magnitudes</w:t>
            </w:r>
            <w:r w:rsidR="005D2E8B">
              <w:rPr>
                <w:noProof/>
                <w:lang w:val="en-IE"/>
              </w:rPr>
              <w:t xml:space="preserve">, which can be </w:t>
            </w:r>
            <w:r w:rsidR="00B41CFF">
              <w:rPr>
                <w:noProof/>
                <w:lang w:val="en-IE"/>
              </w:rPr>
              <w:t>grouped in the following categories</w:t>
            </w:r>
            <w:r w:rsidR="004857C1">
              <w:rPr>
                <w:noProof/>
                <w:lang w:val="en-IE"/>
              </w:rPr>
              <w:t>:</w:t>
            </w:r>
            <w:r>
              <w:rPr>
                <w:noProof/>
                <w:lang w:val="en-IE"/>
              </w:rPr>
              <w:t xml:space="preserve"> </w:t>
            </w:r>
          </w:p>
          <w:tbl>
            <w:tblPr>
              <w:tblStyle w:val="TableGrid"/>
              <w:tblW w:w="9498" w:type="dxa"/>
              <w:tblBorders>
                <w:top w:val="none" w:sz="0" w:space="0" w:color="auto"/>
                <w:left w:val="none" w:sz="0" w:space="0" w:color="auto"/>
                <w:bottom w:val="none" w:sz="0" w:space="0" w:color="auto"/>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3166"/>
              <w:gridCol w:w="3166"/>
              <w:gridCol w:w="3166"/>
            </w:tblGrid>
            <w:tr w:rsidR="0081735A" w14:paraId="1C0592EB" w14:textId="77777777" w:rsidTr="00DA5A99">
              <w:tc>
                <w:tcPr>
                  <w:tcW w:w="3166" w:type="dxa"/>
                  <w:shd w:val="clear" w:color="auto" w:fill="1F497D" w:themeFill="text2"/>
                </w:tcPr>
                <w:p w14:paraId="18113A02" w14:textId="77777777" w:rsidR="0081735A" w:rsidRPr="00AF1447" w:rsidRDefault="0081735A" w:rsidP="00DA5A99">
                  <w:pPr>
                    <w:rPr>
                      <w:noProof/>
                      <w:color w:val="FFFFFF" w:themeColor="background1"/>
                      <w:sz w:val="22"/>
                      <w:szCs w:val="22"/>
                      <w:lang w:val="en-IE"/>
                    </w:rPr>
                  </w:pPr>
                  <w:r w:rsidRPr="00AF1447">
                    <w:rPr>
                      <w:noProof/>
                      <w:color w:val="FFFFFF" w:themeColor="background1"/>
                      <w:sz w:val="22"/>
                      <w:szCs w:val="22"/>
                      <w:lang w:val="en-IE"/>
                    </w:rPr>
                    <w:t>Application type</w:t>
                  </w:r>
                </w:p>
              </w:tc>
              <w:tc>
                <w:tcPr>
                  <w:tcW w:w="3166" w:type="dxa"/>
                  <w:shd w:val="clear" w:color="auto" w:fill="1F497D" w:themeFill="text2"/>
                </w:tcPr>
                <w:p w14:paraId="67EB248F" w14:textId="77777777" w:rsidR="0081735A" w:rsidRPr="00AF1447" w:rsidRDefault="0081735A" w:rsidP="00DA5A99">
                  <w:pPr>
                    <w:rPr>
                      <w:noProof/>
                      <w:color w:val="FFFFFF" w:themeColor="background1"/>
                      <w:sz w:val="22"/>
                      <w:szCs w:val="22"/>
                      <w:lang w:val="en-IE"/>
                    </w:rPr>
                  </w:pPr>
                  <w:r w:rsidRPr="00AF1447">
                    <w:rPr>
                      <w:noProof/>
                      <w:color w:val="FFFFFF" w:themeColor="background1"/>
                      <w:sz w:val="22"/>
                      <w:szCs w:val="22"/>
                      <w:lang w:val="en-IE"/>
                    </w:rPr>
                    <w:t xml:space="preserve">Indicative effort </w:t>
                  </w:r>
                </w:p>
              </w:tc>
              <w:tc>
                <w:tcPr>
                  <w:tcW w:w="3166" w:type="dxa"/>
                  <w:shd w:val="clear" w:color="auto" w:fill="1F497D" w:themeFill="text2"/>
                </w:tcPr>
                <w:p w14:paraId="42E666E1" w14:textId="77777777" w:rsidR="0081735A" w:rsidRPr="00AF1447" w:rsidRDefault="0081735A" w:rsidP="00DA5A99">
                  <w:pPr>
                    <w:rPr>
                      <w:noProof/>
                      <w:color w:val="FFFFFF" w:themeColor="background1"/>
                      <w:sz w:val="22"/>
                      <w:szCs w:val="22"/>
                      <w:lang w:val="en-IE"/>
                    </w:rPr>
                  </w:pPr>
                  <w:r w:rsidRPr="00AF1447">
                    <w:rPr>
                      <w:noProof/>
                      <w:color w:val="FFFFFF" w:themeColor="background1"/>
                      <w:sz w:val="22"/>
                      <w:szCs w:val="22"/>
                      <w:lang w:val="en-IE"/>
                    </w:rPr>
                    <w:t>Estimated cost</w:t>
                  </w:r>
                </w:p>
              </w:tc>
            </w:tr>
            <w:tr w:rsidR="0081735A" w14:paraId="0071F52B" w14:textId="77777777" w:rsidTr="00DA5A99">
              <w:tc>
                <w:tcPr>
                  <w:tcW w:w="3166" w:type="dxa"/>
                </w:tcPr>
                <w:p w14:paraId="1CE1F84C" w14:textId="77777777" w:rsidR="0081735A" w:rsidRPr="00AF1447" w:rsidRDefault="0081735A" w:rsidP="00DA5A99">
                  <w:pPr>
                    <w:rPr>
                      <w:noProof/>
                      <w:sz w:val="22"/>
                      <w:szCs w:val="22"/>
                      <w:lang w:val="en-IE"/>
                    </w:rPr>
                  </w:pPr>
                  <w:r w:rsidRPr="00AF1447">
                    <w:rPr>
                      <w:noProof/>
                      <w:sz w:val="22"/>
                      <w:szCs w:val="22"/>
                      <w:lang w:val="en-IE"/>
                    </w:rPr>
                    <w:t>Small application</w:t>
                  </w:r>
                </w:p>
              </w:tc>
              <w:tc>
                <w:tcPr>
                  <w:tcW w:w="3166" w:type="dxa"/>
                </w:tcPr>
                <w:p w14:paraId="23FF348F" w14:textId="77777777" w:rsidR="0081735A" w:rsidRPr="00AF1447" w:rsidRDefault="0081735A" w:rsidP="00DA5A99">
                  <w:pPr>
                    <w:rPr>
                      <w:noProof/>
                      <w:sz w:val="22"/>
                      <w:szCs w:val="22"/>
                      <w:lang w:val="en-IE"/>
                    </w:rPr>
                  </w:pPr>
                  <w:r w:rsidRPr="00AF1447">
                    <w:rPr>
                      <w:noProof/>
                      <w:sz w:val="22"/>
                      <w:szCs w:val="22"/>
                      <w:lang w:val="en-IE"/>
                    </w:rPr>
                    <w:t>50 days</w:t>
                  </w:r>
                </w:p>
              </w:tc>
              <w:tc>
                <w:tcPr>
                  <w:tcW w:w="3166" w:type="dxa"/>
                </w:tcPr>
                <w:p w14:paraId="1090073A" w14:textId="77777777" w:rsidR="0081735A" w:rsidRPr="00AF1447" w:rsidRDefault="0081735A" w:rsidP="00DA5A99">
                  <w:pPr>
                    <w:rPr>
                      <w:noProof/>
                      <w:sz w:val="22"/>
                      <w:szCs w:val="22"/>
                      <w:lang w:val="en-IE"/>
                    </w:rPr>
                  </w:pPr>
                  <w:r w:rsidRPr="00AF1447">
                    <w:rPr>
                      <w:noProof/>
                      <w:sz w:val="22"/>
                      <w:szCs w:val="22"/>
                      <w:lang w:val="en-IE"/>
                    </w:rPr>
                    <w:t>EUR 20 000 – 50 000</w:t>
                  </w:r>
                </w:p>
              </w:tc>
            </w:tr>
            <w:tr w:rsidR="0081735A" w14:paraId="1F1288D2" w14:textId="77777777" w:rsidTr="00DA5A99">
              <w:tc>
                <w:tcPr>
                  <w:tcW w:w="3166" w:type="dxa"/>
                </w:tcPr>
                <w:p w14:paraId="2ED735D5" w14:textId="77777777" w:rsidR="0081735A" w:rsidRPr="00AF1447" w:rsidRDefault="0081735A" w:rsidP="00DA5A99">
                  <w:pPr>
                    <w:rPr>
                      <w:noProof/>
                      <w:sz w:val="22"/>
                      <w:szCs w:val="22"/>
                      <w:lang w:val="en-IE"/>
                    </w:rPr>
                  </w:pPr>
                  <w:r w:rsidRPr="00AF1447">
                    <w:rPr>
                      <w:noProof/>
                      <w:sz w:val="22"/>
                      <w:szCs w:val="22"/>
                      <w:lang w:val="en-IE"/>
                    </w:rPr>
                    <w:t>Medium-sized application</w:t>
                  </w:r>
                </w:p>
              </w:tc>
              <w:tc>
                <w:tcPr>
                  <w:tcW w:w="3166" w:type="dxa"/>
                </w:tcPr>
                <w:p w14:paraId="1139039A" w14:textId="77777777" w:rsidR="0081735A" w:rsidRPr="00AF1447" w:rsidRDefault="0081735A" w:rsidP="00DA5A99">
                  <w:pPr>
                    <w:rPr>
                      <w:noProof/>
                      <w:sz w:val="22"/>
                      <w:szCs w:val="22"/>
                      <w:lang w:val="en-IE"/>
                    </w:rPr>
                  </w:pPr>
                  <w:r w:rsidRPr="00AF1447">
                    <w:rPr>
                      <w:noProof/>
                      <w:sz w:val="22"/>
                      <w:szCs w:val="22"/>
                      <w:lang w:val="en-IE"/>
                    </w:rPr>
                    <w:t>400 days</w:t>
                  </w:r>
                </w:p>
              </w:tc>
              <w:tc>
                <w:tcPr>
                  <w:tcW w:w="3166" w:type="dxa"/>
                </w:tcPr>
                <w:p w14:paraId="534BD40B" w14:textId="77777777" w:rsidR="0081735A" w:rsidRPr="00AF1447" w:rsidRDefault="0081735A" w:rsidP="00DA5A99">
                  <w:pPr>
                    <w:rPr>
                      <w:noProof/>
                      <w:sz w:val="22"/>
                      <w:szCs w:val="22"/>
                      <w:lang w:val="en-IE"/>
                    </w:rPr>
                  </w:pPr>
                  <w:r w:rsidRPr="00AF1447">
                    <w:rPr>
                      <w:noProof/>
                      <w:sz w:val="22"/>
                      <w:szCs w:val="22"/>
                      <w:lang w:val="en-IE"/>
                    </w:rPr>
                    <w:t>EUR 200 000</w:t>
                  </w:r>
                </w:p>
              </w:tc>
            </w:tr>
            <w:tr w:rsidR="0081735A" w14:paraId="5E5ED458" w14:textId="77777777" w:rsidTr="00DA5A99">
              <w:tc>
                <w:tcPr>
                  <w:tcW w:w="3166" w:type="dxa"/>
                </w:tcPr>
                <w:p w14:paraId="2517A1C7" w14:textId="77777777" w:rsidR="0081735A" w:rsidRPr="00AF1447" w:rsidRDefault="0081735A" w:rsidP="00DA5A99">
                  <w:pPr>
                    <w:rPr>
                      <w:noProof/>
                      <w:sz w:val="22"/>
                      <w:szCs w:val="22"/>
                      <w:lang w:val="en-IE"/>
                    </w:rPr>
                  </w:pPr>
                  <w:r w:rsidRPr="00AF1447">
                    <w:rPr>
                      <w:noProof/>
                      <w:sz w:val="22"/>
                      <w:szCs w:val="22"/>
                      <w:lang w:val="en-IE"/>
                    </w:rPr>
                    <w:t>Large application</w:t>
                  </w:r>
                </w:p>
              </w:tc>
              <w:tc>
                <w:tcPr>
                  <w:tcW w:w="3166" w:type="dxa"/>
                </w:tcPr>
                <w:p w14:paraId="16A61FB2" w14:textId="48355156" w:rsidR="0081735A" w:rsidRPr="00AF1447" w:rsidRDefault="0081735A" w:rsidP="00DA5A99">
                  <w:pPr>
                    <w:rPr>
                      <w:noProof/>
                      <w:sz w:val="22"/>
                      <w:szCs w:val="22"/>
                      <w:lang w:val="en-IE"/>
                    </w:rPr>
                  </w:pPr>
                  <w:r w:rsidRPr="00AF1447">
                    <w:rPr>
                      <w:noProof/>
                      <w:sz w:val="22"/>
                      <w:szCs w:val="22"/>
                      <w:lang w:val="en-IE"/>
                    </w:rPr>
                    <w:t>1000 days</w:t>
                  </w:r>
                  <w:r w:rsidR="00222E88">
                    <w:rPr>
                      <w:noProof/>
                      <w:sz w:val="22"/>
                      <w:szCs w:val="22"/>
                      <w:lang w:val="en-IE"/>
                    </w:rPr>
                    <w:t xml:space="preserve"> </w:t>
                  </w:r>
                </w:p>
              </w:tc>
              <w:tc>
                <w:tcPr>
                  <w:tcW w:w="3166" w:type="dxa"/>
                </w:tcPr>
                <w:p w14:paraId="7E1A9F51" w14:textId="77777777" w:rsidR="0081735A" w:rsidRPr="00AF1447" w:rsidRDefault="0081735A" w:rsidP="00DA5A99">
                  <w:pPr>
                    <w:rPr>
                      <w:noProof/>
                      <w:sz w:val="22"/>
                      <w:szCs w:val="22"/>
                      <w:lang w:val="en-IE"/>
                    </w:rPr>
                  </w:pPr>
                  <w:r w:rsidRPr="00AF1447">
                    <w:rPr>
                      <w:noProof/>
                      <w:sz w:val="22"/>
                      <w:szCs w:val="22"/>
                      <w:lang w:val="en-IE"/>
                    </w:rPr>
                    <w:t>EUR 500 000</w:t>
                  </w:r>
                </w:p>
              </w:tc>
            </w:tr>
          </w:tbl>
          <w:p w14:paraId="54504B63" w14:textId="77777777" w:rsidR="004A62D3" w:rsidRPr="002336E8" w:rsidRDefault="004A62D3" w:rsidP="0083739A">
            <w:pPr>
              <w:pStyle w:val="ListBullet"/>
              <w:numPr>
                <w:ilvl w:val="0"/>
                <w:numId w:val="0"/>
              </w:numPr>
              <w:spacing w:before="240"/>
              <w:rPr>
                <w:i/>
                <w:noProof/>
                <w:lang w:val="en-IE"/>
              </w:rPr>
            </w:pPr>
            <w:r w:rsidRPr="002336E8">
              <w:rPr>
                <w:i/>
                <w:noProof/>
                <w:lang w:val="en-IE"/>
              </w:rPr>
              <w:t>Real-life use case 1: a porting of a high usage application to a sovereign PaaS</w:t>
            </w:r>
          </w:p>
          <w:p w14:paraId="2768EE5B" w14:textId="77777777" w:rsidR="004A62D3" w:rsidRDefault="004A62D3" w:rsidP="004A62D3">
            <w:pPr>
              <w:rPr>
                <w:noProof/>
                <w:lang w:val="en-IE"/>
              </w:rPr>
            </w:pPr>
            <w:r>
              <w:rPr>
                <w:noProof/>
                <w:lang w:val="en-IE"/>
              </w:rPr>
              <w:t xml:space="preserve">One real-life example concerns the porting of an existing application from a cloud to a sovereign Platform-as-a-Service environment. </w:t>
            </w:r>
          </w:p>
          <w:p w14:paraId="7F8CE748" w14:textId="77777777" w:rsidR="004A62D3" w:rsidRDefault="004A62D3" w:rsidP="004A62D3">
            <w:pPr>
              <w:pStyle w:val="ListParagraph"/>
              <w:numPr>
                <w:ilvl w:val="0"/>
                <w:numId w:val="51"/>
              </w:numPr>
              <w:rPr>
                <w:noProof/>
                <w:lang w:val="en-IE"/>
              </w:rPr>
            </w:pPr>
            <w:r w:rsidRPr="001A715C">
              <w:rPr>
                <w:noProof/>
                <w:lang w:val="en-IE"/>
              </w:rPr>
              <w:t xml:space="preserve">In the current situation, the service costs approximately </w:t>
            </w:r>
            <w:r w:rsidRPr="001A561F">
              <w:rPr>
                <w:noProof/>
                <w:lang w:val="en-IE"/>
              </w:rPr>
              <w:t>EUR 2 m per year</w:t>
            </w:r>
            <w:r w:rsidRPr="001A715C">
              <w:rPr>
                <w:noProof/>
                <w:lang w:val="en-IE"/>
              </w:rPr>
              <w:t xml:space="preserve"> with a large commercial cloud provider. </w:t>
            </w:r>
          </w:p>
          <w:p w14:paraId="5B91A745" w14:textId="77777777" w:rsidR="004A62D3" w:rsidRDefault="004A62D3" w:rsidP="004A62D3">
            <w:pPr>
              <w:pStyle w:val="ListParagraph"/>
              <w:numPr>
                <w:ilvl w:val="0"/>
                <w:numId w:val="51"/>
              </w:numPr>
              <w:rPr>
                <w:noProof/>
                <w:lang w:val="en-IE"/>
              </w:rPr>
            </w:pPr>
            <w:r w:rsidRPr="001A715C">
              <w:rPr>
                <w:noProof/>
                <w:lang w:val="en-IE"/>
              </w:rPr>
              <w:t>The target scenario is porting the application to a sovereign PaaS environment</w:t>
            </w:r>
            <w:r>
              <w:rPr>
                <w:noProof/>
                <w:lang w:val="en-IE"/>
              </w:rPr>
              <w:t>.</w:t>
            </w:r>
          </w:p>
          <w:p w14:paraId="7DCAF47A" w14:textId="77777777" w:rsidR="004A62D3" w:rsidRPr="00E8734A" w:rsidRDefault="004A62D3" w:rsidP="004A62D3">
            <w:pPr>
              <w:pStyle w:val="ListParagraph"/>
              <w:numPr>
                <w:ilvl w:val="0"/>
                <w:numId w:val="51"/>
              </w:numPr>
              <w:rPr>
                <w:noProof/>
                <w:lang w:val="en-IE"/>
              </w:rPr>
            </w:pPr>
            <w:r>
              <w:rPr>
                <w:noProof/>
                <w:lang w:val="en-IE"/>
              </w:rPr>
              <w:t>T</w:t>
            </w:r>
            <w:r w:rsidRPr="00E8734A">
              <w:rPr>
                <w:noProof/>
                <w:lang w:val="en-IE"/>
              </w:rPr>
              <w:t xml:space="preserve">he application is a monolithic Laravel application with a large-scale MySQL database and several large Elasticsearch clusters. </w:t>
            </w:r>
          </w:p>
          <w:p w14:paraId="6E11FA88" w14:textId="77777777" w:rsidR="004A62D3" w:rsidRDefault="004A62D3" w:rsidP="004A62D3">
            <w:pPr>
              <w:pStyle w:val="ListParagraph"/>
              <w:numPr>
                <w:ilvl w:val="0"/>
                <w:numId w:val="51"/>
              </w:numPr>
              <w:rPr>
                <w:noProof/>
                <w:lang w:val="en-IE"/>
              </w:rPr>
            </w:pPr>
            <w:r w:rsidRPr="001A715C">
              <w:rPr>
                <w:noProof/>
                <w:lang w:val="en-IE"/>
              </w:rPr>
              <w:t xml:space="preserve">It does not process or store personal data, but it has a high usage profile, with sustained traffic and high-intensity connections. </w:t>
            </w:r>
          </w:p>
          <w:p w14:paraId="42C52A51" w14:textId="77777777" w:rsidR="004A62D3" w:rsidRDefault="004A62D3" w:rsidP="004A62D3">
            <w:pPr>
              <w:pStyle w:val="ListParagraph"/>
              <w:numPr>
                <w:ilvl w:val="0"/>
                <w:numId w:val="51"/>
              </w:numPr>
              <w:rPr>
                <w:noProof/>
                <w:lang w:val="en-IE"/>
              </w:rPr>
            </w:pPr>
            <w:r w:rsidRPr="001A715C">
              <w:rPr>
                <w:noProof/>
                <w:lang w:val="en-IE"/>
              </w:rPr>
              <w:t xml:space="preserve">Its criticality is mainly reputational, as an incident could have a high public impact, although the service is not considered real-time critical from a business continuity perspective. </w:t>
            </w:r>
          </w:p>
          <w:p w14:paraId="20F54975" w14:textId="77777777" w:rsidR="004A62D3" w:rsidRPr="001A715C" w:rsidRDefault="004A62D3" w:rsidP="004A62D3">
            <w:pPr>
              <w:rPr>
                <w:noProof/>
                <w:lang w:val="en-IE"/>
              </w:rPr>
            </w:pPr>
            <w:r w:rsidRPr="001A715C">
              <w:rPr>
                <w:noProof/>
                <w:lang w:val="en-IE"/>
              </w:rPr>
              <w:t xml:space="preserve">The </w:t>
            </w:r>
            <w:r w:rsidRPr="00011413">
              <w:rPr>
                <w:noProof/>
                <w:lang w:val="en-IE"/>
              </w:rPr>
              <w:t>estimated transition effort</w:t>
            </w:r>
            <w:r w:rsidRPr="001A715C">
              <w:rPr>
                <w:noProof/>
                <w:lang w:val="en-IE"/>
              </w:rPr>
              <w:t xml:space="preserve"> is around </w:t>
            </w:r>
            <w:r w:rsidRPr="00011413">
              <w:rPr>
                <w:noProof/>
                <w:lang w:val="en-IE"/>
              </w:rPr>
              <w:t>2 FTEs over six months</w:t>
            </w:r>
            <w:r w:rsidRPr="001A715C">
              <w:rPr>
                <w:noProof/>
                <w:lang w:val="en-IE"/>
              </w:rPr>
              <w:t xml:space="preserve">, broken down as follows: </w:t>
            </w:r>
          </w:p>
          <w:tbl>
            <w:tblPr>
              <w:tblStyle w:val="TableGrid"/>
              <w:tblW w:w="9498" w:type="dxa"/>
              <w:tblBorders>
                <w:top w:val="none" w:sz="0" w:space="0" w:color="auto"/>
                <w:left w:val="none" w:sz="0" w:space="0" w:color="auto"/>
                <w:bottom w:val="none" w:sz="0" w:space="0" w:color="auto"/>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6413"/>
              <w:gridCol w:w="3085"/>
            </w:tblGrid>
            <w:tr w:rsidR="004A62D3" w14:paraId="29FB3395" w14:textId="77777777">
              <w:trPr>
                <w:tblHeader/>
              </w:trPr>
              <w:tc>
                <w:tcPr>
                  <w:tcW w:w="3376" w:type="pct"/>
                  <w:shd w:val="clear" w:color="auto" w:fill="4F6228" w:themeFill="accent3" w:themeFillShade="80"/>
                </w:tcPr>
                <w:p w14:paraId="7D0FD3C9" w14:textId="77777777" w:rsidR="004A62D3" w:rsidRPr="00AF1447" w:rsidRDefault="004A62D3" w:rsidP="004A62D3">
                  <w:pPr>
                    <w:rPr>
                      <w:noProof/>
                      <w:color w:val="FFFFFF" w:themeColor="background1"/>
                      <w:sz w:val="22"/>
                      <w:szCs w:val="22"/>
                      <w:lang w:val="en-IE"/>
                    </w:rPr>
                  </w:pPr>
                  <w:r w:rsidRPr="00AF1447">
                    <w:rPr>
                      <w:noProof/>
                      <w:color w:val="FFFFFF" w:themeColor="background1"/>
                      <w:sz w:val="22"/>
                      <w:szCs w:val="22"/>
                      <w:lang w:val="en-IE"/>
                    </w:rPr>
                    <w:t>Workstream</w:t>
                  </w:r>
                </w:p>
              </w:tc>
              <w:tc>
                <w:tcPr>
                  <w:tcW w:w="1624" w:type="pct"/>
                  <w:shd w:val="clear" w:color="auto" w:fill="4F6228" w:themeFill="accent3" w:themeFillShade="80"/>
                </w:tcPr>
                <w:p w14:paraId="633CAE65" w14:textId="77777777" w:rsidR="004A62D3" w:rsidRPr="00AF1447" w:rsidRDefault="004A62D3" w:rsidP="004A62D3">
                  <w:pPr>
                    <w:rPr>
                      <w:noProof/>
                      <w:color w:val="FFFFFF" w:themeColor="background1"/>
                      <w:sz w:val="22"/>
                      <w:szCs w:val="22"/>
                      <w:lang w:val="en-IE"/>
                    </w:rPr>
                  </w:pPr>
                  <w:r w:rsidRPr="00AF1447">
                    <w:rPr>
                      <w:noProof/>
                      <w:color w:val="FFFFFF" w:themeColor="background1"/>
                      <w:sz w:val="22"/>
                      <w:szCs w:val="22"/>
                      <w:lang w:val="en-IE"/>
                    </w:rPr>
                    <w:t>Estimated cost</w:t>
                  </w:r>
                </w:p>
              </w:tc>
            </w:tr>
            <w:tr w:rsidR="004A62D3" w14:paraId="1BD3DB19" w14:textId="77777777">
              <w:tc>
                <w:tcPr>
                  <w:tcW w:w="3376" w:type="pct"/>
                </w:tcPr>
                <w:p w14:paraId="24F69B45" w14:textId="77777777" w:rsidR="004A62D3" w:rsidRPr="00AF1447" w:rsidRDefault="004A62D3" w:rsidP="004A62D3">
                  <w:pPr>
                    <w:rPr>
                      <w:noProof/>
                      <w:sz w:val="22"/>
                      <w:szCs w:val="22"/>
                      <w:lang w:val="en-IE"/>
                    </w:rPr>
                  </w:pPr>
                  <w:r w:rsidRPr="00AF1447">
                    <w:rPr>
                      <w:noProof/>
                      <w:sz w:val="22"/>
                      <w:szCs w:val="22"/>
                      <w:lang w:val="en-IE"/>
                    </w:rPr>
                    <w:t>Application adaptation, migration and validation</w:t>
                  </w:r>
                </w:p>
              </w:tc>
              <w:tc>
                <w:tcPr>
                  <w:tcW w:w="1624" w:type="pct"/>
                </w:tcPr>
                <w:p w14:paraId="23AF6C20" w14:textId="77777777" w:rsidR="004A62D3" w:rsidRPr="00AF1447" w:rsidRDefault="004A62D3" w:rsidP="004A62D3">
                  <w:pPr>
                    <w:jc w:val="right"/>
                    <w:rPr>
                      <w:noProof/>
                      <w:sz w:val="22"/>
                      <w:szCs w:val="22"/>
                      <w:lang w:val="en-IE"/>
                    </w:rPr>
                  </w:pPr>
                  <w:r w:rsidRPr="00AF1447">
                    <w:rPr>
                      <w:noProof/>
                      <w:sz w:val="22"/>
                      <w:szCs w:val="22"/>
                      <w:lang w:val="en-IE"/>
                    </w:rPr>
                    <w:t>1 FTE</w:t>
                  </w:r>
                </w:p>
              </w:tc>
            </w:tr>
            <w:tr w:rsidR="004A62D3" w14:paraId="3A33F9B1" w14:textId="77777777">
              <w:tc>
                <w:tcPr>
                  <w:tcW w:w="3376" w:type="pct"/>
                </w:tcPr>
                <w:p w14:paraId="29890EE6" w14:textId="77777777" w:rsidR="004A62D3" w:rsidRPr="00AF1447" w:rsidRDefault="004A62D3" w:rsidP="004A62D3">
                  <w:pPr>
                    <w:rPr>
                      <w:noProof/>
                      <w:sz w:val="22"/>
                      <w:szCs w:val="22"/>
                      <w:lang w:val="en-IE"/>
                    </w:rPr>
                  </w:pPr>
                  <w:r w:rsidRPr="00AF1447">
                    <w:rPr>
                      <w:noProof/>
                      <w:sz w:val="22"/>
                      <w:szCs w:val="22"/>
                      <w:lang w:val="en-IE"/>
                    </w:rPr>
                    <w:t>Infrastructure provisioning, platform adaptation and automation</w:t>
                  </w:r>
                </w:p>
              </w:tc>
              <w:tc>
                <w:tcPr>
                  <w:tcW w:w="1624" w:type="pct"/>
                </w:tcPr>
                <w:p w14:paraId="0A0D459B" w14:textId="77777777" w:rsidR="004A62D3" w:rsidRPr="00AF1447" w:rsidRDefault="004A62D3" w:rsidP="004A62D3">
                  <w:pPr>
                    <w:jc w:val="right"/>
                    <w:rPr>
                      <w:noProof/>
                      <w:sz w:val="22"/>
                      <w:szCs w:val="22"/>
                      <w:lang w:val="en-IE"/>
                    </w:rPr>
                  </w:pPr>
                  <w:r w:rsidRPr="00AF1447">
                    <w:rPr>
                      <w:noProof/>
                      <w:sz w:val="22"/>
                      <w:szCs w:val="22"/>
                      <w:lang w:val="en-IE"/>
                    </w:rPr>
                    <w:t>0.5 FTE</w:t>
                  </w:r>
                </w:p>
              </w:tc>
            </w:tr>
            <w:tr w:rsidR="004A62D3" w14:paraId="23A3EFD1" w14:textId="77777777">
              <w:tc>
                <w:tcPr>
                  <w:tcW w:w="3376" w:type="pct"/>
                </w:tcPr>
                <w:p w14:paraId="76FEBF7C" w14:textId="77777777" w:rsidR="004A62D3" w:rsidRPr="00AF1447" w:rsidRDefault="004A62D3" w:rsidP="004A62D3">
                  <w:pPr>
                    <w:rPr>
                      <w:noProof/>
                      <w:sz w:val="22"/>
                      <w:szCs w:val="22"/>
                      <w:lang w:val="en-IE"/>
                    </w:rPr>
                  </w:pPr>
                  <w:r w:rsidRPr="00AF1447">
                    <w:rPr>
                      <w:noProof/>
                      <w:sz w:val="22"/>
                      <w:szCs w:val="22"/>
                      <w:lang w:val="en-IE"/>
                    </w:rPr>
                    <w:t>Security and compliance alignment</w:t>
                  </w:r>
                </w:p>
              </w:tc>
              <w:tc>
                <w:tcPr>
                  <w:tcW w:w="1624" w:type="pct"/>
                </w:tcPr>
                <w:p w14:paraId="2604DD21" w14:textId="77777777" w:rsidR="004A62D3" w:rsidRPr="00AF1447" w:rsidRDefault="004A62D3" w:rsidP="004A62D3">
                  <w:pPr>
                    <w:jc w:val="right"/>
                    <w:rPr>
                      <w:noProof/>
                      <w:sz w:val="22"/>
                      <w:szCs w:val="22"/>
                      <w:lang w:val="en-IE"/>
                    </w:rPr>
                  </w:pPr>
                  <w:r w:rsidRPr="00AF1447">
                    <w:rPr>
                      <w:noProof/>
                      <w:sz w:val="22"/>
                      <w:szCs w:val="22"/>
                      <w:lang w:val="en-IE"/>
                    </w:rPr>
                    <w:t>0.5 FTE</w:t>
                  </w:r>
                </w:p>
              </w:tc>
            </w:tr>
            <w:tr w:rsidR="004A62D3" w14:paraId="76207F92" w14:textId="77777777">
              <w:tc>
                <w:tcPr>
                  <w:tcW w:w="3376" w:type="pct"/>
                </w:tcPr>
                <w:p w14:paraId="6333DA93" w14:textId="77777777" w:rsidR="004A62D3" w:rsidRPr="00AF1447" w:rsidRDefault="004A62D3" w:rsidP="004A62D3">
                  <w:pPr>
                    <w:rPr>
                      <w:noProof/>
                      <w:sz w:val="22"/>
                      <w:szCs w:val="22"/>
                      <w:lang w:val="en-IE"/>
                    </w:rPr>
                  </w:pPr>
                  <w:r w:rsidRPr="00AF1447">
                    <w:rPr>
                      <w:b/>
                      <w:bCs/>
                      <w:noProof/>
                      <w:sz w:val="22"/>
                      <w:szCs w:val="22"/>
                      <w:lang w:val="en-IE"/>
                    </w:rPr>
                    <w:t>Total</w:t>
                  </w:r>
                </w:p>
              </w:tc>
              <w:tc>
                <w:tcPr>
                  <w:tcW w:w="1624" w:type="pct"/>
                </w:tcPr>
                <w:p w14:paraId="57551557" w14:textId="77777777" w:rsidR="004A62D3" w:rsidRPr="00AF1447" w:rsidRDefault="004A62D3" w:rsidP="004A62D3">
                  <w:pPr>
                    <w:jc w:val="right"/>
                    <w:rPr>
                      <w:b/>
                      <w:bCs/>
                      <w:noProof/>
                      <w:sz w:val="22"/>
                      <w:szCs w:val="22"/>
                      <w:lang w:val="en-IE"/>
                    </w:rPr>
                  </w:pPr>
                  <w:r w:rsidRPr="00AF1447">
                    <w:rPr>
                      <w:b/>
                      <w:bCs/>
                      <w:noProof/>
                      <w:sz w:val="22"/>
                      <w:szCs w:val="22"/>
                      <w:lang w:val="en-IE"/>
                    </w:rPr>
                    <w:t>2 FTEs over 6 months</w:t>
                  </w:r>
                </w:p>
              </w:tc>
            </w:tr>
          </w:tbl>
          <w:p w14:paraId="57CB037E" w14:textId="77777777" w:rsidR="004A62D3" w:rsidRPr="00A921B8" w:rsidRDefault="004A62D3" w:rsidP="004A62D3">
            <w:pPr>
              <w:spacing w:before="240"/>
              <w:rPr>
                <w:noProof/>
                <w:lang w:val="en-IE"/>
              </w:rPr>
            </w:pPr>
            <w:r>
              <w:rPr>
                <w:noProof/>
                <w:lang w:val="en-IE"/>
              </w:rPr>
              <w:t xml:space="preserve">This example shows that the </w:t>
            </w:r>
            <w:r w:rsidRPr="00994F77">
              <w:rPr>
                <w:noProof/>
                <w:lang w:val="en-IE"/>
              </w:rPr>
              <w:t>initial migration</w:t>
            </w:r>
            <w:r>
              <w:rPr>
                <w:noProof/>
                <w:lang w:val="en-IE"/>
              </w:rPr>
              <w:t xml:space="preserve"> requires a structured investment to adapt the application, infrastructure and security posture to a sovereign environment. </w:t>
            </w:r>
            <w:r w:rsidRPr="005B1983">
              <w:rPr>
                <w:noProof/>
              </w:rPr>
              <w:t>However,</w:t>
            </w:r>
            <w:r>
              <w:rPr>
                <w:noProof/>
              </w:rPr>
              <w:t xml:space="preserve"> </w:t>
            </w:r>
            <w:r w:rsidRPr="005B1983">
              <w:rPr>
                <w:noProof/>
              </w:rPr>
              <w:t xml:space="preserve">part of this effort </w:t>
            </w:r>
            <w:r>
              <w:rPr>
                <w:noProof/>
              </w:rPr>
              <w:t>can</w:t>
            </w:r>
            <w:r w:rsidRPr="005B1983">
              <w:rPr>
                <w:noProof/>
              </w:rPr>
              <w:t xml:space="preserve"> be </w:t>
            </w:r>
            <w:r w:rsidRPr="00D3690E">
              <w:rPr>
                <w:noProof/>
              </w:rPr>
              <w:t>reusable</w:t>
            </w:r>
            <w:r w:rsidRPr="005B1983">
              <w:rPr>
                <w:noProof/>
              </w:rPr>
              <w:t xml:space="preserve"> for future migrations, particularly infrastructure patterns, deployment practices and security baselines. The </w:t>
            </w:r>
            <w:r w:rsidRPr="00D3690E">
              <w:rPr>
                <w:noProof/>
              </w:rPr>
              <w:t>learning curve is therefore front-loaded</w:t>
            </w:r>
            <w:r w:rsidRPr="005B1983">
              <w:rPr>
                <w:noProof/>
              </w:rPr>
              <w:t xml:space="preserve">, meaning that subsequent migrations of similar systems could </w:t>
            </w:r>
            <w:r w:rsidRPr="001C3768">
              <w:rPr>
                <w:noProof/>
              </w:rPr>
              <w:t>benefit from the developed experience and skills</w:t>
            </w:r>
            <w:r w:rsidRPr="005B1983">
              <w:rPr>
                <w:noProof/>
              </w:rPr>
              <w:t>.</w:t>
            </w:r>
            <w:r>
              <w:rPr>
                <w:noProof/>
              </w:rPr>
              <w:t xml:space="preserve"> </w:t>
            </w:r>
            <w:r>
              <w:rPr>
                <w:noProof/>
                <w:lang w:val="en-IE"/>
              </w:rPr>
              <w:t xml:space="preserve">The actual effort may vary based on the application’s technological stack, its dependence on cloud-specific services and its overall architecture complexity. </w:t>
            </w:r>
          </w:p>
          <w:p w14:paraId="22F45B20" w14:textId="77777777" w:rsidR="004A62D3" w:rsidRDefault="004A62D3" w:rsidP="004A62D3">
            <w:pPr>
              <w:pStyle w:val="ListBullet"/>
              <w:numPr>
                <w:ilvl w:val="0"/>
                <w:numId w:val="0"/>
              </w:numPr>
              <w:rPr>
                <w:i/>
                <w:noProof/>
                <w:lang w:val="en-IE"/>
              </w:rPr>
            </w:pPr>
          </w:p>
          <w:p w14:paraId="37E16485" w14:textId="77777777" w:rsidR="004A62D3" w:rsidRPr="002336E8" w:rsidRDefault="004A62D3" w:rsidP="004A62D3">
            <w:pPr>
              <w:pStyle w:val="ListBullet"/>
              <w:numPr>
                <w:ilvl w:val="0"/>
                <w:numId w:val="0"/>
              </w:numPr>
              <w:rPr>
                <w:i/>
                <w:noProof/>
                <w:lang w:val="en-IE"/>
              </w:rPr>
            </w:pPr>
            <w:r w:rsidRPr="002336E8">
              <w:rPr>
                <w:i/>
                <w:noProof/>
                <w:lang w:val="en-IE"/>
              </w:rPr>
              <w:t>Real-life use case 2: transition of an application based on a high-volume database to a sovereign PaaS</w:t>
            </w:r>
          </w:p>
          <w:p w14:paraId="5CDA08AC" w14:textId="77777777" w:rsidR="004A62D3" w:rsidRPr="006A6E90" w:rsidRDefault="004A62D3" w:rsidP="004A62D3">
            <w:pPr>
              <w:rPr>
                <w:noProof/>
                <w:u w:val="single"/>
                <w:lang w:val="en-IE"/>
              </w:rPr>
            </w:pPr>
            <w:r w:rsidRPr="00C4374E">
              <w:rPr>
                <w:noProof/>
                <w:lang w:val="en-IE"/>
              </w:rPr>
              <w:t>Another real-life example of a transition of an existing application to a sovereign Platform-as-a-Service environmen</w:t>
            </w:r>
            <w:r w:rsidRPr="0033466F">
              <w:rPr>
                <w:noProof/>
                <w:lang w:val="en-IE"/>
              </w:rPr>
              <w:t>t</w:t>
            </w:r>
            <w:r w:rsidRPr="006D10CB">
              <w:rPr>
                <w:noProof/>
                <w:lang w:val="en-IE"/>
              </w:rPr>
              <w:t>:</w:t>
            </w:r>
          </w:p>
          <w:p w14:paraId="338B9DD4" w14:textId="38544943" w:rsidR="004A62D3" w:rsidRPr="00AF397F" w:rsidRDefault="004A62D3" w:rsidP="004A62D3">
            <w:pPr>
              <w:pStyle w:val="ListParagraph"/>
              <w:numPr>
                <w:ilvl w:val="0"/>
                <w:numId w:val="51"/>
              </w:numPr>
              <w:rPr>
                <w:noProof/>
                <w:lang w:val="en-IE"/>
              </w:rPr>
            </w:pPr>
            <w:r w:rsidRPr="00AF397F">
              <w:rPr>
                <w:noProof/>
                <w:lang w:val="en-IE"/>
              </w:rPr>
              <w:t>The application, based on a few tenths of large scale microservices managing a very high-volume document database (1</w:t>
            </w:r>
            <w:r w:rsidR="00B6157C">
              <w:rPr>
                <w:noProof/>
                <w:lang w:val="en-IE"/>
              </w:rPr>
              <w:t>.</w:t>
            </w:r>
            <w:r w:rsidRPr="00AF397F">
              <w:rPr>
                <w:noProof/>
                <w:lang w:val="en-IE"/>
              </w:rPr>
              <w:t>5</w:t>
            </w:r>
            <w:r w:rsidRPr="00AF397F" w:rsidDel="00B6157C">
              <w:rPr>
                <w:noProof/>
                <w:lang w:val="en-IE"/>
              </w:rPr>
              <w:t xml:space="preserve"> </w:t>
            </w:r>
            <w:r w:rsidR="00B6157C">
              <w:rPr>
                <w:noProof/>
                <w:lang w:val="en-IE"/>
              </w:rPr>
              <w:t>bn</w:t>
            </w:r>
            <w:r w:rsidR="00B6157C" w:rsidRPr="00AF397F">
              <w:rPr>
                <w:noProof/>
                <w:lang w:val="en-IE"/>
              </w:rPr>
              <w:t xml:space="preserve"> </w:t>
            </w:r>
            <w:r w:rsidRPr="00AF397F">
              <w:rPr>
                <w:noProof/>
                <w:lang w:val="en-IE"/>
              </w:rPr>
              <w:t>records), is hosted by a large commercial cloud provider and is migrated to a sovereign PaaS environment.</w:t>
            </w:r>
          </w:p>
          <w:p w14:paraId="0E32A4B6" w14:textId="4873B912" w:rsidR="004A62D3" w:rsidRPr="00AF397F" w:rsidRDefault="004A62D3" w:rsidP="004A62D3">
            <w:pPr>
              <w:pStyle w:val="ListParagraph"/>
              <w:numPr>
                <w:ilvl w:val="0"/>
                <w:numId w:val="51"/>
              </w:numPr>
              <w:rPr>
                <w:noProof/>
                <w:lang w:val="en-IE"/>
              </w:rPr>
            </w:pPr>
            <w:r w:rsidRPr="00AF397F">
              <w:rPr>
                <w:noProof/>
                <w:lang w:val="en-IE"/>
              </w:rPr>
              <w:t xml:space="preserve">The application is monolithic with a large-scale </w:t>
            </w:r>
            <w:r w:rsidR="00670984">
              <w:rPr>
                <w:noProof/>
                <w:lang w:val="en-IE"/>
              </w:rPr>
              <w:t>relational</w:t>
            </w:r>
            <w:r w:rsidRPr="00AF397F">
              <w:rPr>
                <w:noProof/>
                <w:lang w:val="en-IE"/>
              </w:rPr>
              <w:t xml:space="preserve"> database, WebLogic application server and proprietary monitoring tools.</w:t>
            </w:r>
          </w:p>
          <w:p w14:paraId="47E593A9" w14:textId="42CD9602" w:rsidR="004A62D3" w:rsidRPr="00AF397F" w:rsidRDefault="004A62D3" w:rsidP="004A62D3">
            <w:pPr>
              <w:pStyle w:val="ListParagraph"/>
              <w:numPr>
                <w:ilvl w:val="0"/>
                <w:numId w:val="51"/>
              </w:numPr>
              <w:rPr>
                <w:noProof/>
                <w:lang w:val="en-IE"/>
              </w:rPr>
            </w:pPr>
            <w:r w:rsidRPr="00AF397F">
              <w:rPr>
                <w:noProof/>
                <w:lang w:val="en-IE"/>
              </w:rPr>
              <w:t>It does not store or process personal data, just public documents, but it has a high usage profile, with more than 100 m visits and around 20 m documents consulted every year.</w:t>
            </w:r>
          </w:p>
          <w:p w14:paraId="4D5EA76A" w14:textId="77777777" w:rsidR="004A62D3" w:rsidRPr="00AF397F" w:rsidRDefault="004A62D3" w:rsidP="004A62D3">
            <w:pPr>
              <w:pStyle w:val="ListParagraph"/>
              <w:numPr>
                <w:ilvl w:val="0"/>
                <w:numId w:val="51"/>
              </w:numPr>
              <w:rPr>
                <w:noProof/>
                <w:lang w:val="en-IE"/>
              </w:rPr>
            </w:pPr>
            <w:r w:rsidRPr="00AF397F">
              <w:rPr>
                <w:noProof/>
                <w:lang w:val="en-IE"/>
              </w:rPr>
              <w:t>Its criticality is mainly reputational, as an incident could have high public visibility, although the service is not considered real-time critical from a business continuity perspective.</w:t>
            </w:r>
          </w:p>
          <w:p w14:paraId="4349725D" w14:textId="77777777" w:rsidR="004A62D3" w:rsidRDefault="004A62D3" w:rsidP="004A62D3">
            <w:pPr>
              <w:pStyle w:val="ListParagraph"/>
              <w:numPr>
                <w:ilvl w:val="0"/>
                <w:numId w:val="51"/>
              </w:numPr>
              <w:rPr>
                <w:noProof/>
                <w:lang w:val="en-IE"/>
              </w:rPr>
            </w:pPr>
            <w:r w:rsidRPr="00AF397F">
              <w:rPr>
                <w:noProof/>
                <w:lang w:val="en-IE"/>
              </w:rPr>
              <w:t>The chosen migration strategy was re-platforming, i.e. migrating the application and the database, and moving from proprietary solutions to open-source solutions (e.g. Apache Tomcat, Postgre SQL, Virtuoso) which entails refactoring code to eliminate dependencies to the deprecated technologies and to align it with the new technological choices, while maintaining the same performance.</w:t>
            </w:r>
          </w:p>
          <w:p w14:paraId="73B51FFD" w14:textId="08A56F57" w:rsidR="004A62D3" w:rsidRPr="002E3D2B" w:rsidRDefault="004A62D3" w:rsidP="004A62D3">
            <w:pPr>
              <w:pStyle w:val="ListParagraph"/>
              <w:numPr>
                <w:ilvl w:val="0"/>
                <w:numId w:val="51"/>
              </w:numPr>
              <w:spacing w:before="240"/>
              <w:rPr>
                <w:b/>
                <w:noProof/>
                <w:u w:val="single"/>
                <w:lang w:val="en-IE"/>
              </w:rPr>
            </w:pPr>
            <w:r w:rsidRPr="00AF397F">
              <w:rPr>
                <w:noProof/>
                <w:lang w:val="en-IE"/>
              </w:rPr>
              <w:t xml:space="preserve">The </w:t>
            </w:r>
            <w:r w:rsidRPr="002E3D2B">
              <w:rPr>
                <w:b/>
                <w:noProof/>
                <w:lang w:val="en-IE"/>
              </w:rPr>
              <w:t xml:space="preserve">estimated </w:t>
            </w:r>
            <w:r w:rsidRPr="00AF397F">
              <w:rPr>
                <w:b/>
                <w:bCs/>
                <w:noProof/>
                <w:lang w:val="en-IE"/>
              </w:rPr>
              <w:t>transition effort</w:t>
            </w:r>
            <w:r w:rsidRPr="002E3D2B">
              <w:rPr>
                <w:b/>
                <w:noProof/>
                <w:lang w:val="en-IE"/>
              </w:rPr>
              <w:t xml:space="preserve"> is around </w:t>
            </w:r>
            <w:r w:rsidRPr="00AF397F">
              <w:rPr>
                <w:b/>
                <w:bCs/>
                <w:noProof/>
                <w:lang w:val="en-IE"/>
              </w:rPr>
              <w:t>8</w:t>
            </w:r>
            <w:r w:rsidRPr="006B61DA">
              <w:rPr>
                <w:b/>
                <w:bCs/>
                <w:noProof/>
                <w:lang w:val="en-IE"/>
              </w:rPr>
              <w:t xml:space="preserve"> </w:t>
            </w:r>
            <w:r w:rsidRPr="00AF397F">
              <w:rPr>
                <w:b/>
                <w:bCs/>
                <w:noProof/>
                <w:lang w:val="en-IE"/>
              </w:rPr>
              <w:t>000 hours</w:t>
            </w:r>
            <w:r w:rsidR="002E3D2B" w:rsidRPr="002E3D2B">
              <w:rPr>
                <w:b/>
                <w:bCs/>
                <w:noProof/>
                <w:lang w:val="en-IE"/>
              </w:rPr>
              <w:t>,</w:t>
            </w:r>
            <w:r w:rsidRPr="002E3D2B">
              <w:rPr>
                <w:b/>
                <w:noProof/>
                <w:lang w:val="en-IE"/>
              </w:rPr>
              <w:t xml:space="preserve"> or </w:t>
            </w:r>
            <w:r w:rsidRPr="00AF397F">
              <w:rPr>
                <w:b/>
                <w:noProof/>
                <w:lang w:val="en-IE"/>
              </w:rPr>
              <w:t>4</w:t>
            </w:r>
            <w:r w:rsidR="003A58DF" w:rsidRPr="002E3D2B">
              <w:rPr>
                <w:b/>
                <w:bCs/>
                <w:noProof/>
                <w:lang w:val="en-IE"/>
              </w:rPr>
              <w:t>.</w:t>
            </w:r>
            <w:r w:rsidRPr="00AF397F">
              <w:rPr>
                <w:b/>
                <w:noProof/>
                <w:lang w:val="en-IE"/>
              </w:rPr>
              <w:t>5 FTEs over a year</w:t>
            </w:r>
            <w:r w:rsidRPr="002E3D2B">
              <w:rPr>
                <w:b/>
                <w:noProof/>
                <w:lang w:val="en-IE"/>
              </w:rPr>
              <w:t>.</w:t>
            </w:r>
          </w:p>
          <w:p w14:paraId="77051FCA" w14:textId="63AC529E" w:rsidR="0081735A" w:rsidRPr="00861026" w:rsidRDefault="0081735A" w:rsidP="00DA5A99">
            <w:pPr>
              <w:spacing w:before="240"/>
              <w:rPr>
                <w:i/>
                <w:iCs/>
                <w:noProof/>
                <w:u w:val="single"/>
              </w:rPr>
            </w:pPr>
            <w:r>
              <w:rPr>
                <w:i/>
                <w:iCs/>
                <w:noProof/>
                <w:u w:val="single"/>
              </w:rPr>
              <w:t>What would sovereign cloud porting cost for a typical public authority?</w:t>
            </w:r>
          </w:p>
          <w:p w14:paraId="7A86430F" w14:textId="7E52B09B" w:rsidR="00712D1F" w:rsidRDefault="002D7230" w:rsidP="00DA5A99">
            <w:pPr>
              <w:spacing w:before="120"/>
              <w:rPr>
                <w:noProof/>
              </w:rPr>
            </w:pPr>
            <w:r>
              <w:rPr>
                <w:noProof/>
              </w:rPr>
              <w:t xml:space="preserve">Extrapolating </w:t>
            </w:r>
            <w:r w:rsidR="003A58DF">
              <w:rPr>
                <w:noProof/>
              </w:rPr>
              <w:t>the individual</w:t>
            </w:r>
            <w:r>
              <w:rPr>
                <w:noProof/>
              </w:rPr>
              <w:t xml:space="preserve"> costs </w:t>
            </w:r>
            <w:r w:rsidR="003A58DF">
              <w:rPr>
                <w:noProof/>
              </w:rPr>
              <w:t>of porting different types of applications to the full set of public authorities potentially affected by the policy measures 15 and 21</w:t>
            </w:r>
            <w:r w:rsidR="007C4F78">
              <w:rPr>
                <w:noProof/>
              </w:rPr>
              <w:t xml:space="preserve"> would require </w:t>
            </w:r>
            <w:r w:rsidR="00F20721">
              <w:rPr>
                <w:noProof/>
              </w:rPr>
              <w:t>considering</w:t>
            </w:r>
            <w:r w:rsidR="003A58DF">
              <w:rPr>
                <w:noProof/>
              </w:rPr>
              <w:t xml:space="preserve"> several</w:t>
            </w:r>
            <w:r w:rsidR="007C4F78">
              <w:rPr>
                <w:noProof/>
              </w:rPr>
              <w:t xml:space="preserve"> </w:t>
            </w:r>
            <w:r w:rsidR="00712D1F">
              <w:rPr>
                <w:noProof/>
              </w:rPr>
              <w:t>parameters</w:t>
            </w:r>
            <w:r w:rsidR="003A58DF">
              <w:rPr>
                <w:noProof/>
              </w:rPr>
              <w:t>. These include</w:t>
            </w:r>
            <w:r w:rsidR="00712D1F">
              <w:rPr>
                <w:noProof/>
              </w:rPr>
              <w:t>:</w:t>
            </w:r>
          </w:p>
          <w:p w14:paraId="5B61E258" w14:textId="58E3A1C4" w:rsidR="00712D1F" w:rsidRDefault="00712D1F" w:rsidP="00712D1F">
            <w:pPr>
              <w:pStyle w:val="ListParagraph"/>
              <w:numPr>
                <w:ilvl w:val="0"/>
                <w:numId w:val="54"/>
              </w:numPr>
              <w:spacing w:before="120"/>
              <w:rPr>
                <w:noProof/>
              </w:rPr>
            </w:pPr>
            <w:r>
              <w:rPr>
                <w:noProof/>
              </w:rPr>
              <w:t xml:space="preserve">The outcome of the risk </w:t>
            </w:r>
            <w:r w:rsidR="003A58DF">
              <w:rPr>
                <w:noProof/>
              </w:rPr>
              <w:t>assessment</w:t>
            </w:r>
            <w:r w:rsidR="00F834BF">
              <w:rPr>
                <w:noProof/>
              </w:rPr>
              <w:t xml:space="preserve"> with the sovereignty assurance level applicable to the concerned applications</w:t>
            </w:r>
          </w:p>
          <w:p w14:paraId="008A8CD5" w14:textId="5B9FC061" w:rsidR="005873F5" w:rsidRDefault="00712D1F" w:rsidP="00712D1F">
            <w:pPr>
              <w:pStyle w:val="ListParagraph"/>
              <w:numPr>
                <w:ilvl w:val="0"/>
                <w:numId w:val="54"/>
              </w:numPr>
              <w:spacing w:before="120"/>
              <w:rPr>
                <w:noProof/>
              </w:rPr>
            </w:pPr>
            <w:r>
              <w:rPr>
                <w:noProof/>
              </w:rPr>
              <w:t xml:space="preserve">The </w:t>
            </w:r>
            <w:r w:rsidR="003A58DF">
              <w:rPr>
                <w:noProof/>
              </w:rPr>
              <w:t>number and complexity of</w:t>
            </w:r>
            <w:r w:rsidR="005873F5">
              <w:rPr>
                <w:noProof/>
              </w:rPr>
              <w:t xml:space="preserve"> IT systems managed by </w:t>
            </w:r>
            <w:r w:rsidR="00D40BEF">
              <w:rPr>
                <w:noProof/>
              </w:rPr>
              <w:t>each public authority</w:t>
            </w:r>
          </w:p>
          <w:p w14:paraId="1BE7984D" w14:textId="3A7B6B6E" w:rsidR="00D40BEF" w:rsidRDefault="00D40BEF" w:rsidP="00712D1F">
            <w:pPr>
              <w:pStyle w:val="ListParagraph"/>
              <w:numPr>
                <w:ilvl w:val="0"/>
                <w:numId w:val="54"/>
              </w:numPr>
              <w:spacing w:before="120"/>
              <w:rPr>
                <w:noProof/>
              </w:rPr>
            </w:pPr>
            <w:r>
              <w:rPr>
                <w:noProof/>
              </w:rPr>
              <w:t xml:space="preserve">The </w:t>
            </w:r>
            <w:r w:rsidR="00B55A75">
              <w:rPr>
                <w:noProof/>
              </w:rPr>
              <w:t>current level</w:t>
            </w:r>
            <w:r>
              <w:rPr>
                <w:noProof/>
              </w:rPr>
              <w:t xml:space="preserve"> of </w:t>
            </w:r>
            <w:r w:rsidR="00B55A75">
              <w:rPr>
                <w:noProof/>
              </w:rPr>
              <w:t>cloudification</w:t>
            </w:r>
            <w:r>
              <w:rPr>
                <w:noProof/>
              </w:rPr>
              <w:t xml:space="preserve"> of each authority</w:t>
            </w:r>
          </w:p>
          <w:p w14:paraId="40412CF6" w14:textId="69965BAB" w:rsidR="006C0ECC" w:rsidRPr="006C0ECC" w:rsidRDefault="006C0ECC" w:rsidP="006C0ECC">
            <w:pPr>
              <w:pStyle w:val="ListParagraph"/>
              <w:numPr>
                <w:ilvl w:val="0"/>
                <w:numId w:val="54"/>
              </w:numPr>
              <w:spacing w:before="120"/>
              <w:rPr>
                <w:noProof/>
              </w:rPr>
            </w:pPr>
            <w:r>
              <w:rPr>
                <w:noProof/>
              </w:rPr>
              <w:t>Whether the public authority</w:t>
            </w:r>
            <w:r w:rsidR="00E008D7">
              <w:rPr>
                <w:noProof/>
              </w:rPr>
              <w:t>’</w:t>
            </w:r>
            <w:r w:rsidR="00F834BF">
              <w:rPr>
                <w:noProof/>
              </w:rPr>
              <w:t>s data are already hosted in the EU under their existing cloud arrangement</w:t>
            </w:r>
            <w:r w:rsidR="002F3FE9">
              <w:rPr>
                <w:noProof/>
              </w:rPr>
              <w:t>.</w:t>
            </w:r>
          </w:p>
          <w:p w14:paraId="54761E2C" w14:textId="06144730" w:rsidR="001768FF" w:rsidRPr="00735F7A" w:rsidRDefault="00992EAD" w:rsidP="00EF0015">
            <w:pPr>
              <w:pStyle w:val="ListBullet"/>
              <w:numPr>
                <w:ilvl w:val="0"/>
                <w:numId w:val="0"/>
              </w:numPr>
              <w:rPr>
                <w:i/>
                <w:noProof/>
                <w:u w:val="single"/>
              </w:rPr>
            </w:pPr>
            <w:r>
              <w:rPr>
                <w:noProof/>
              </w:rPr>
              <w:t xml:space="preserve">On this basis, </w:t>
            </w:r>
            <w:r w:rsidR="001768FF" w:rsidDel="007D0FF4">
              <w:rPr>
                <w:noProof/>
              </w:rPr>
              <w:t xml:space="preserve">three </w:t>
            </w:r>
            <w:r w:rsidR="007D0FF4">
              <w:rPr>
                <w:noProof/>
              </w:rPr>
              <w:t>illustrative</w:t>
            </w:r>
            <w:r w:rsidR="001768FF">
              <w:rPr>
                <w:noProof/>
              </w:rPr>
              <w:t xml:space="preserve"> cases </w:t>
            </w:r>
            <w:r w:rsidR="007D0FF4">
              <w:rPr>
                <w:noProof/>
              </w:rPr>
              <w:t>are presented to show how costs can vary across different types of public authorities</w:t>
            </w:r>
            <w:r w:rsidR="00592B89">
              <w:rPr>
                <w:noProof/>
              </w:rPr>
              <w:t>. These</w:t>
            </w:r>
            <w:r w:rsidR="00592B89" w:rsidRPr="0084013B">
              <w:rPr>
                <w:noProof/>
              </w:rPr>
              <w:t xml:space="preserve"> scenario</w:t>
            </w:r>
            <w:r w:rsidR="00592B89">
              <w:rPr>
                <w:noProof/>
              </w:rPr>
              <w:t>s</w:t>
            </w:r>
            <w:r w:rsidR="00592B89" w:rsidRPr="0084013B">
              <w:rPr>
                <w:noProof/>
              </w:rPr>
              <w:t xml:space="preserve"> provide a benchmark for individual authorities, while the aggregated cost across public entities possibly in scope </w:t>
            </w:r>
            <w:r w:rsidR="009C3346">
              <w:rPr>
                <w:noProof/>
              </w:rPr>
              <w:t xml:space="preserve">under PO2-B and PO2-C </w:t>
            </w:r>
            <w:r w:rsidR="00592B89" w:rsidRPr="0084013B">
              <w:rPr>
                <w:noProof/>
              </w:rPr>
              <w:t xml:space="preserve">is </w:t>
            </w:r>
            <w:r w:rsidR="007B7A0D">
              <w:rPr>
                <w:noProof/>
              </w:rPr>
              <w:t>detailed</w:t>
            </w:r>
            <w:r w:rsidR="007B7A0D" w:rsidRPr="0084013B">
              <w:rPr>
                <w:noProof/>
              </w:rPr>
              <w:t xml:space="preserve"> </w:t>
            </w:r>
            <w:r w:rsidR="00592B89" w:rsidRPr="0084013B">
              <w:rPr>
                <w:noProof/>
              </w:rPr>
              <w:t>under Annex 12.</w:t>
            </w:r>
            <w:r w:rsidR="00592B89">
              <w:rPr>
                <w:noProof/>
              </w:rPr>
              <w:t xml:space="preserve"> </w:t>
            </w:r>
            <w:r w:rsidR="005C37D1">
              <w:rPr>
                <w:noProof/>
              </w:rPr>
              <w:t xml:space="preserve">The estimates cover the additional anticipated porting of a limited subset of critical applications to levels </w:t>
            </w:r>
            <w:r w:rsidR="00533795">
              <w:rPr>
                <w:noProof/>
              </w:rPr>
              <w:t xml:space="preserve">3-4 </w:t>
            </w:r>
            <w:r w:rsidR="00E6452E">
              <w:rPr>
                <w:noProof/>
              </w:rPr>
              <w:t>where such porting could be directly accelerated by the intervention.</w:t>
            </w:r>
          </w:p>
          <w:p w14:paraId="4BBA6F87" w14:textId="58180DA6" w:rsidR="00DC36E1" w:rsidRPr="00DC36E1" w:rsidRDefault="007D0FF4" w:rsidP="005873F5">
            <w:pPr>
              <w:spacing w:before="120"/>
              <w:rPr>
                <w:i/>
                <w:iCs/>
                <w:noProof/>
              </w:rPr>
            </w:pPr>
            <w:r w:rsidRPr="00DC36E1">
              <w:rPr>
                <w:i/>
                <w:iCs/>
                <w:noProof/>
              </w:rPr>
              <w:t>Small public authority</w:t>
            </w:r>
          </w:p>
          <w:p w14:paraId="0882A455" w14:textId="782CF7E4" w:rsidR="009A4B44" w:rsidRDefault="007D0FF4" w:rsidP="005873F5">
            <w:pPr>
              <w:spacing w:before="120"/>
              <w:rPr>
                <w:noProof/>
              </w:rPr>
            </w:pPr>
            <w:r>
              <w:rPr>
                <w:noProof/>
              </w:rPr>
              <w:t>A small public authority</w:t>
            </w:r>
            <w:r w:rsidR="00D84A95">
              <w:rPr>
                <w:noProof/>
              </w:rPr>
              <w:t xml:space="preserve">, e.g. a </w:t>
            </w:r>
            <w:r w:rsidR="007F7A54">
              <w:rPr>
                <w:noProof/>
              </w:rPr>
              <w:t>mid-size</w:t>
            </w:r>
            <w:r w:rsidR="00D84A95">
              <w:rPr>
                <w:noProof/>
              </w:rPr>
              <w:t xml:space="preserve"> municipality,</w:t>
            </w:r>
            <w:r>
              <w:rPr>
                <w:noProof/>
              </w:rPr>
              <w:t xml:space="preserve"> manage</w:t>
            </w:r>
            <w:r w:rsidR="00E97A90">
              <w:rPr>
                <w:noProof/>
              </w:rPr>
              <w:t>s</w:t>
            </w:r>
            <w:r>
              <w:rPr>
                <w:noProof/>
              </w:rPr>
              <w:t xml:space="preserve"> </w:t>
            </w:r>
            <w:r w:rsidR="0059629A">
              <w:rPr>
                <w:noProof/>
              </w:rPr>
              <w:t xml:space="preserve">200 </w:t>
            </w:r>
            <w:r>
              <w:rPr>
                <w:noProof/>
              </w:rPr>
              <w:t xml:space="preserve">IT systems, with limited use of cloud services. </w:t>
            </w:r>
            <w:r w:rsidR="00312143">
              <w:rPr>
                <w:noProof/>
              </w:rPr>
              <w:t>A</w:t>
            </w:r>
            <w:r>
              <w:rPr>
                <w:noProof/>
              </w:rPr>
              <w:t xml:space="preserve">round </w:t>
            </w:r>
            <w:r w:rsidR="00572AC3">
              <w:rPr>
                <w:noProof/>
              </w:rPr>
              <w:t>30%</w:t>
            </w:r>
            <w:r w:rsidR="003151D6">
              <w:rPr>
                <w:noProof/>
              </w:rPr>
              <w:t xml:space="preserve"> of the systems, i.e. </w:t>
            </w:r>
            <w:r w:rsidR="00572AC3">
              <w:rPr>
                <w:noProof/>
              </w:rPr>
              <w:t>60</w:t>
            </w:r>
            <w:r w:rsidR="003151D6">
              <w:rPr>
                <w:noProof/>
              </w:rPr>
              <w:t xml:space="preserve">, would need to be ported to a sovereign cloud environment. </w:t>
            </w:r>
            <w:r w:rsidR="00244796">
              <w:rPr>
                <w:noProof/>
              </w:rPr>
              <w:t>M</w:t>
            </w:r>
            <w:r w:rsidR="003151D6">
              <w:rPr>
                <w:noProof/>
              </w:rPr>
              <w:t xml:space="preserve">ost of these systems </w:t>
            </w:r>
            <w:r w:rsidR="009A4B44">
              <w:rPr>
                <w:noProof/>
              </w:rPr>
              <w:t>would be small applications</w:t>
            </w:r>
            <w:r w:rsidR="00244796">
              <w:rPr>
                <w:noProof/>
              </w:rPr>
              <w:t xml:space="preserve"> (70%)</w:t>
            </w:r>
            <w:r w:rsidR="009A4B44">
              <w:rPr>
                <w:noProof/>
              </w:rPr>
              <w:t xml:space="preserve">, </w:t>
            </w:r>
            <w:r w:rsidR="00FD7507">
              <w:rPr>
                <w:noProof/>
              </w:rPr>
              <w:t xml:space="preserve">e.g. standard administrative tools, </w:t>
            </w:r>
            <w:r w:rsidR="009A4B44">
              <w:rPr>
                <w:noProof/>
              </w:rPr>
              <w:t xml:space="preserve">with only limited number of medium </w:t>
            </w:r>
            <w:r w:rsidR="00244796">
              <w:rPr>
                <w:noProof/>
              </w:rPr>
              <w:t xml:space="preserve">(29%) </w:t>
            </w:r>
            <w:r w:rsidR="009A4B44">
              <w:rPr>
                <w:noProof/>
              </w:rPr>
              <w:t>or large platforms</w:t>
            </w:r>
            <w:r w:rsidR="00244796">
              <w:rPr>
                <w:noProof/>
              </w:rPr>
              <w:t xml:space="preserve"> (1%)</w:t>
            </w:r>
            <w:r w:rsidR="009A4B44">
              <w:rPr>
                <w:noProof/>
              </w:rPr>
              <w:t xml:space="preserve">. </w:t>
            </w:r>
            <w:r w:rsidR="00244796">
              <w:rPr>
                <w:noProof/>
              </w:rPr>
              <w:t xml:space="preserve">In this scenario, </w:t>
            </w:r>
            <w:r w:rsidR="00CA1CEC">
              <w:rPr>
                <w:noProof/>
              </w:rPr>
              <w:t xml:space="preserve">following the risk assessment outcomes, </w:t>
            </w:r>
            <w:r w:rsidR="00244796">
              <w:rPr>
                <w:noProof/>
              </w:rPr>
              <w:t xml:space="preserve">all </w:t>
            </w:r>
            <w:r w:rsidR="00CA1CEC">
              <w:rPr>
                <w:noProof/>
              </w:rPr>
              <w:t xml:space="preserve">IT </w:t>
            </w:r>
            <w:r w:rsidR="00244796">
              <w:rPr>
                <w:noProof/>
              </w:rPr>
              <w:t xml:space="preserve">systems </w:t>
            </w:r>
            <w:r w:rsidR="00BE16F6">
              <w:rPr>
                <w:noProof/>
              </w:rPr>
              <w:t xml:space="preserve">(60) </w:t>
            </w:r>
            <w:r w:rsidR="00244796">
              <w:rPr>
                <w:noProof/>
              </w:rPr>
              <w:t>are subject to sovereignty requirements, as the authority never consider</w:t>
            </w:r>
            <w:r w:rsidR="00BE16F6">
              <w:rPr>
                <w:noProof/>
              </w:rPr>
              <w:t>ed</w:t>
            </w:r>
            <w:r w:rsidR="00244796">
              <w:rPr>
                <w:noProof/>
              </w:rPr>
              <w:t xml:space="preserve"> </w:t>
            </w:r>
            <w:r w:rsidR="00D17E8B">
              <w:rPr>
                <w:noProof/>
              </w:rPr>
              <w:t xml:space="preserve">sovereignty criteria </w:t>
            </w:r>
            <w:r w:rsidR="00BE16F6">
              <w:rPr>
                <w:noProof/>
              </w:rPr>
              <w:t xml:space="preserve">in previous tenders. </w:t>
            </w:r>
            <w:r w:rsidR="00CA1CEC">
              <w:rPr>
                <w:noProof/>
              </w:rPr>
              <w:t>M</w:t>
            </w:r>
            <w:r w:rsidR="00D17E8B">
              <w:rPr>
                <w:noProof/>
              </w:rPr>
              <w:t xml:space="preserve">ost applications (70%) </w:t>
            </w:r>
            <w:r w:rsidR="009A4B44">
              <w:rPr>
                <w:noProof/>
              </w:rPr>
              <w:t>fall under lower sovereignty assurance levels</w:t>
            </w:r>
            <w:r w:rsidR="00930CD3">
              <w:rPr>
                <w:noProof/>
              </w:rPr>
              <w:t xml:space="preserve"> (level 1)</w:t>
            </w:r>
            <w:r w:rsidR="004252E1">
              <w:rPr>
                <w:noProof/>
              </w:rPr>
              <w:t xml:space="preserve"> while </w:t>
            </w:r>
            <w:r w:rsidR="0031346F">
              <w:rPr>
                <w:noProof/>
              </w:rPr>
              <w:t>2</w:t>
            </w:r>
            <w:r w:rsidR="004252E1">
              <w:rPr>
                <w:noProof/>
              </w:rPr>
              <w:t>0%</w:t>
            </w:r>
            <w:r w:rsidR="0031346F">
              <w:rPr>
                <w:noProof/>
              </w:rPr>
              <w:t xml:space="preserve"> need to be moved to sovereignty level </w:t>
            </w:r>
            <w:r w:rsidR="00D95FCA">
              <w:rPr>
                <w:noProof/>
              </w:rPr>
              <w:t>2 and 10% at least sovereignty level 3</w:t>
            </w:r>
            <w:r w:rsidR="009A4B44">
              <w:rPr>
                <w:noProof/>
              </w:rPr>
              <w:t>. Based on this, the</w:t>
            </w:r>
            <w:r w:rsidR="00DF6012">
              <w:rPr>
                <w:noProof/>
              </w:rPr>
              <w:t xml:space="preserve"> cost </w:t>
            </w:r>
            <w:r w:rsidR="00704800">
              <w:rPr>
                <w:noProof/>
              </w:rPr>
              <w:t xml:space="preserve">of porting </w:t>
            </w:r>
            <w:r w:rsidR="00D95FCA">
              <w:rPr>
                <w:noProof/>
              </w:rPr>
              <w:t xml:space="preserve">for the authority </w:t>
            </w:r>
            <w:r w:rsidR="00D17E8B">
              <w:rPr>
                <w:noProof/>
              </w:rPr>
              <w:t>is</w:t>
            </w:r>
            <w:r w:rsidR="00704800" w:rsidDel="00D95FCA">
              <w:rPr>
                <w:noProof/>
              </w:rPr>
              <w:t xml:space="preserve"> </w:t>
            </w:r>
            <w:r w:rsidR="00704800">
              <w:rPr>
                <w:noProof/>
              </w:rPr>
              <w:t xml:space="preserve">expected to reach around </w:t>
            </w:r>
            <w:r w:rsidR="00704800" w:rsidRPr="00CD2A15">
              <w:rPr>
                <w:noProof/>
              </w:rPr>
              <w:t xml:space="preserve">EUR </w:t>
            </w:r>
            <w:r w:rsidR="00FB4501" w:rsidRPr="00CD2A15">
              <w:rPr>
                <w:noProof/>
              </w:rPr>
              <w:t>4</w:t>
            </w:r>
            <w:r w:rsidR="00A53F9E" w:rsidRPr="00CD2A15">
              <w:rPr>
                <w:noProof/>
              </w:rPr>
              <w:t>.</w:t>
            </w:r>
            <w:r w:rsidR="00FB4501" w:rsidRPr="00CD2A15">
              <w:rPr>
                <w:noProof/>
              </w:rPr>
              <w:t>7-6</w:t>
            </w:r>
            <w:r w:rsidR="00A53F9E" w:rsidRPr="00CD2A15">
              <w:rPr>
                <w:noProof/>
              </w:rPr>
              <w:t>.</w:t>
            </w:r>
            <w:r w:rsidR="00FB4501" w:rsidRPr="00CD2A15">
              <w:rPr>
                <w:noProof/>
              </w:rPr>
              <w:t>0</w:t>
            </w:r>
            <w:r w:rsidR="00E42236" w:rsidRPr="00CD2A15">
              <w:rPr>
                <w:noProof/>
              </w:rPr>
              <w:t xml:space="preserve"> m</w:t>
            </w:r>
            <w:r w:rsidR="00704800" w:rsidRPr="00CD2A15">
              <w:rPr>
                <w:noProof/>
              </w:rPr>
              <w:t xml:space="preserve"> over five years</w:t>
            </w:r>
            <w:r w:rsidR="00704800">
              <w:rPr>
                <w:noProof/>
              </w:rPr>
              <w:t xml:space="preserve">, </w:t>
            </w:r>
            <w:r w:rsidR="00935A43">
              <w:rPr>
                <w:noProof/>
              </w:rPr>
              <w:t xml:space="preserve">corresponding to around </w:t>
            </w:r>
            <w:r w:rsidR="00935A43" w:rsidRPr="00CD2A15">
              <w:rPr>
                <w:noProof/>
              </w:rPr>
              <w:t xml:space="preserve">EUR </w:t>
            </w:r>
            <w:r w:rsidR="004F745C" w:rsidRPr="00CD2A15">
              <w:rPr>
                <w:noProof/>
              </w:rPr>
              <w:t xml:space="preserve">1 </w:t>
            </w:r>
            <w:r w:rsidR="00935A43" w:rsidRPr="00CD2A15">
              <w:rPr>
                <w:noProof/>
              </w:rPr>
              <w:t>m per year</w:t>
            </w:r>
            <w:r w:rsidR="00935A43">
              <w:rPr>
                <w:noProof/>
              </w:rPr>
              <w:t>.</w:t>
            </w:r>
          </w:p>
          <w:p w14:paraId="5B9762FF" w14:textId="60907E9B" w:rsidR="00E97A90" w:rsidRPr="00900895" w:rsidRDefault="00935A43" w:rsidP="005873F5">
            <w:pPr>
              <w:spacing w:before="120"/>
              <w:rPr>
                <w:i/>
                <w:iCs/>
                <w:noProof/>
              </w:rPr>
            </w:pPr>
            <w:r w:rsidRPr="00900895">
              <w:rPr>
                <w:i/>
                <w:iCs/>
                <w:noProof/>
              </w:rPr>
              <w:t>Medium public authority</w:t>
            </w:r>
            <w:r w:rsidR="00E97A90" w:rsidRPr="00900895">
              <w:rPr>
                <w:i/>
                <w:iCs/>
                <w:noProof/>
              </w:rPr>
              <w:t xml:space="preserve"> </w:t>
            </w:r>
          </w:p>
          <w:p w14:paraId="0FDB8913" w14:textId="0FF1B201" w:rsidR="00935A43" w:rsidRPr="0053087B" w:rsidRDefault="0053087B" w:rsidP="005873F5">
            <w:pPr>
              <w:spacing w:before="120"/>
              <w:rPr>
                <w:noProof/>
              </w:rPr>
            </w:pPr>
            <w:r>
              <w:rPr>
                <w:noProof/>
              </w:rPr>
              <w:t>A medium</w:t>
            </w:r>
            <w:r w:rsidR="00D95FCA">
              <w:rPr>
                <w:noProof/>
              </w:rPr>
              <w:t xml:space="preserve"> sized</w:t>
            </w:r>
            <w:r>
              <w:rPr>
                <w:noProof/>
              </w:rPr>
              <w:t xml:space="preserve"> public authority</w:t>
            </w:r>
            <w:r w:rsidR="00D95FCA">
              <w:rPr>
                <w:noProof/>
              </w:rPr>
              <w:t xml:space="preserve">, e.g. </w:t>
            </w:r>
            <w:r w:rsidR="003E1C90">
              <w:rPr>
                <w:noProof/>
              </w:rPr>
              <w:t>a national agency,</w:t>
            </w:r>
            <w:r>
              <w:rPr>
                <w:noProof/>
              </w:rPr>
              <w:t xml:space="preserve"> manage</w:t>
            </w:r>
            <w:r w:rsidR="00E97A90">
              <w:rPr>
                <w:noProof/>
              </w:rPr>
              <w:t>s</w:t>
            </w:r>
            <w:r>
              <w:rPr>
                <w:noProof/>
              </w:rPr>
              <w:t xml:space="preserve"> around </w:t>
            </w:r>
            <w:r w:rsidR="004F745C">
              <w:rPr>
                <w:noProof/>
              </w:rPr>
              <w:t>800</w:t>
            </w:r>
            <w:r>
              <w:rPr>
                <w:noProof/>
              </w:rPr>
              <w:t xml:space="preserve"> IT systems, </w:t>
            </w:r>
            <w:r w:rsidR="00131AB6">
              <w:rPr>
                <w:noProof/>
              </w:rPr>
              <w:t>with a medium intensity cloud-user profile</w:t>
            </w:r>
            <w:r>
              <w:rPr>
                <w:noProof/>
              </w:rPr>
              <w:t>. Around 30% of its systems</w:t>
            </w:r>
            <w:r w:rsidR="00D23B17">
              <w:rPr>
                <w:noProof/>
              </w:rPr>
              <w:t xml:space="preserve"> are cloudified</w:t>
            </w:r>
            <w:r>
              <w:rPr>
                <w:noProof/>
              </w:rPr>
              <w:t xml:space="preserve">, i.e. </w:t>
            </w:r>
            <w:r w:rsidR="00772BE5">
              <w:rPr>
                <w:noProof/>
              </w:rPr>
              <w:t>240</w:t>
            </w:r>
            <w:r w:rsidR="00700A58">
              <w:rPr>
                <w:noProof/>
              </w:rPr>
              <w:t xml:space="preserve">, </w:t>
            </w:r>
            <w:r w:rsidR="00A53F9E">
              <w:rPr>
                <w:noProof/>
              </w:rPr>
              <w:t xml:space="preserve">and </w:t>
            </w:r>
            <w:r w:rsidR="00772BE5">
              <w:rPr>
                <w:noProof/>
              </w:rPr>
              <w:t>c</w:t>
            </w:r>
            <w:r w:rsidR="00700A58">
              <w:rPr>
                <w:noProof/>
              </w:rPr>
              <w:t xml:space="preserve">ould be subject to higher </w:t>
            </w:r>
            <w:r w:rsidR="0087399E">
              <w:rPr>
                <w:noProof/>
              </w:rPr>
              <w:t>sovereignty</w:t>
            </w:r>
            <w:r w:rsidR="00700A58">
              <w:rPr>
                <w:noProof/>
              </w:rPr>
              <w:t xml:space="preserve"> requirements</w:t>
            </w:r>
            <w:r w:rsidR="00134192">
              <w:rPr>
                <w:noProof/>
              </w:rPr>
              <w:t xml:space="preserve">, i.e. </w:t>
            </w:r>
            <w:r w:rsidR="007A5AFA">
              <w:rPr>
                <w:noProof/>
              </w:rPr>
              <w:t>level 2 and above</w:t>
            </w:r>
            <w:r w:rsidR="00A53F9E">
              <w:rPr>
                <w:noProof/>
              </w:rPr>
              <w:t xml:space="preserve">. </w:t>
            </w:r>
            <w:r w:rsidR="00D33C71">
              <w:rPr>
                <w:noProof/>
              </w:rPr>
              <w:t>Based on the</w:t>
            </w:r>
            <w:r w:rsidR="004620A3">
              <w:rPr>
                <w:noProof/>
              </w:rPr>
              <w:t xml:space="preserve"> outcome of the risk assessment</w:t>
            </w:r>
            <w:r w:rsidR="00673327">
              <w:rPr>
                <w:noProof/>
              </w:rPr>
              <w:t>, only</w:t>
            </w:r>
            <w:r w:rsidR="00134192">
              <w:rPr>
                <w:noProof/>
              </w:rPr>
              <w:t xml:space="preserve"> </w:t>
            </w:r>
            <w:r w:rsidR="001E6C00">
              <w:rPr>
                <w:noProof/>
              </w:rPr>
              <w:t>30%</w:t>
            </w:r>
            <w:r w:rsidR="00134192">
              <w:rPr>
                <w:noProof/>
              </w:rPr>
              <w:t xml:space="preserve"> of these IT</w:t>
            </w:r>
            <w:r w:rsidR="00673327">
              <w:rPr>
                <w:noProof/>
              </w:rPr>
              <w:t xml:space="preserve"> systems would require porting</w:t>
            </w:r>
            <w:r w:rsidR="00A53F9E">
              <w:rPr>
                <w:noProof/>
              </w:rPr>
              <w:t xml:space="preserve"> to a sovereign cloud environment</w:t>
            </w:r>
            <w:r w:rsidR="00673327">
              <w:rPr>
                <w:noProof/>
              </w:rPr>
              <w:t>, i.e. around</w:t>
            </w:r>
            <w:r w:rsidR="004566F0">
              <w:rPr>
                <w:noProof/>
              </w:rPr>
              <w:t xml:space="preserve"> </w:t>
            </w:r>
            <w:r w:rsidR="00772BE5">
              <w:rPr>
                <w:noProof/>
              </w:rPr>
              <w:t>72</w:t>
            </w:r>
            <w:r w:rsidR="004566F0">
              <w:rPr>
                <w:noProof/>
              </w:rPr>
              <w:t xml:space="preserve"> systems</w:t>
            </w:r>
            <w:r w:rsidR="001E0E26">
              <w:rPr>
                <w:noProof/>
              </w:rPr>
              <w:t xml:space="preserve">. Most of these systems </w:t>
            </w:r>
            <w:r w:rsidR="001E6C00">
              <w:rPr>
                <w:noProof/>
              </w:rPr>
              <w:t>are</w:t>
            </w:r>
            <w:r w:rsidR="001E0E26">
              <w:rPr>
                <w:noProof/>
              </w:rPr>
              <w:t xml:space="preserve"> small </w:t>
            </w:r>
            <w:r w:rsidR="001E6C00">
              <w:rPr>
                <w:noProof/>
              </w:rPr>
              <w:t xml:space="preserve">(60%) </w:t>
            </w:r>
            <w:r w:rsidR="001E0E26">
              <w:rPr>
                <w:noProof/>
              </w:rPr>
              <w:t>or medium applications</w:t>
            </w:r>
            <w:r w:rsidR="00772BE5">
              <w:rPr>
                <w:noProof/>
              </w:rPr>
              <w:t xml:space="preserve"> (</w:t>
            </w:r>
            <w:r w:rsidR="001E6C00">
              <w:rPr>
                <w:noProof/>
              </w:rPr>
              <w:t>3</w:t>
            </w:r>
            <w:r w:rsidR="00772BE5">
              <w:rPr>
                <w:noProof/>
              </w:rPr>
              <w:t>7%)</w:t>
            </w:r>
            <w:r w:rsidR="001E0E26">
              <w:rPr>
                <w:noProof/>
              </w:rPr>
              <w:t>, with a limited number of large and complex platforms</w:t>
            </w:r>
            <w:r w:rsidR="00772BE5">
              <w:rPr>
                <w:noProof/>
              </w:rPr>
              <w:t xml:space="preserve"> (3%)</w:t>
            </w:r>
            <w:r w:rsidR="001E0E26">
              <w:rPr>
                <w:noProof/>
              </w:rPr>
              <w:t xml:space="preserve">. On this basis, the cost of porting for this authority would reach around </w:t>
            </w:r>
            <w:r w:rsidR="001E0E26" w:rsidRPr="00E97A90">
              <w:rPr>
                <w:noProof/>
              </w:rPr>
              <w:t xml:space="preserve">EUR </w:t>
            </w:r>
            <w:r w:rsidR="00A53F9E" w:rsidRPr="00E97A90">
              <w:rPr>
                <w:noProof/>
              </w:rPr>
              <w:t>7.3-8.6 m</w:t>
            </w:r>
            <w:r w:rsidR="00B6157C" w:rsidRPr="00E97A90">
              <w:rPr>
                <w:noProof/>
              </w:rPr>
              <w:t xml:space="preserve"> over five years</w:t>
            </w:r>
            <w:r w:rsidR="00B6157C">
              <w:rPr>
                <w:noProof/>
              </w:rPr>
              <w:t xml:space="preserve">, or </w:t>
            </w:r>
            <w:r w:rsidR="00A53F9E">
              <w:rPr>
                <w:noProof/>
              </w:rPr>
              <w:t xml:space="preserve">around </w:t>
            </w:r>
            <w:r w:rsidR="00B6157C">
              <w:rPr>
                <w:noProof/>
              </w:rPr>
              <w:t xml:space="preserve">EUR </w:t>
            </w:r>
            <w:r w:rsidR="00A53F9E">
              <w:rPr>
                <w:noProof/>
              </w:rPr>
              <w:t>1.6</w:t>
            </w:r>
            <w:r w:rsidR="00B6157C">
              <w:rPr>
                <w:noProof/>
              </w:rPr>
              <w:t xml:space="preserve"> m per year. </w:t>
            </w:r>
          </w:p>
          <w:p w14:paraId="6FF86232" w14:textId="2255FD24" w:rsidR="007F1112" w:rsidRPr="007F1112" w:rsidRDefault="00B6157C" w:rsidP="006C13A9">
            <w:pPr>
              <w:pStyle w:val="ListBullet"/>
              <w:numPr>
                <w:ilvl w:val="0"/>
                <w:numId w:val="0"/>
              </w:numPr>
              <w:rPr>
                <w:i/>
                <w:iCs/>
                <w:noProof/>
              </w:rPr>
            </w:pPr>
            <w:r w:rsidRPr="007F1112">
              <w:rPr>
                <w:i/>
                <w:noProof/>
              </w:rPr>
              <w:t>Large public authority</w:t>
            </w:r>
          </w:p>
          <w:p w14:paraId="00BE8EA4" w14:textId="4A734A75" w:rsidR="00592B89" w:rsidRDefault="00112F75" w:rsidP="006C13A9">
            <w:pPr>
              <w:pStyle w:val="ListBullet"/>
              <w:numPr>
                <w:ilvl w:val="0"/>
                <w:numId w:val="0"/>
              </w:numPr>
              <w:rPr>
                <w:noProof/>
              </w:rPr>
            </w:pPr>
            <w:r>
              <w:rPr>
                <w:noProof/>
              </w:rPr>
              <w:t>A large public authority</w:t>
            </w:r>
            <w:r w:rsidR="008F768F">
              <w:rPr>
                <w:noProof/>
              </w:rPr>
              <w:t xml:space="preserve">, e.g. </w:t>
            </w:r>
            <w:r w:rsidR="00F85942">
              <w:rPr>
                <w:noProof/>
              </w:rPr>
              <w:t>a large ministry</w:t>
            </w:r>
            <w:r w:rsidR="008F768F">
              <w:rPr>
                <w:noProof/>
              </w:rPr>
              <w:t>, manages</w:t>
            </w:r>
            <w:r w:rsidDel="008F768F">
              <w:rPr>
                <w:noProof/>
              </w:rPr>
              <w:t xml:space="preserve"> </w:t>
            </w:r>
            <w:r w:rsidR="00A53F9E">
              <w:rPr>
                <w:noProof/>
              </w:rPr>
              <w:t>1500</w:t>
            </w:r>
            <w:r>
              <w:rPr>
                <w:noProof/>
              </w:rPr>
              <w:t xml:space="preserve"> IT systems, with intensive use of cloud services</w:t>
            </w:r>
            <w:r w:rsidR="008F768F">
              <w:rPr>
                <w:noProof/>
              </w:rPr>
              <w:t xml:space="preserve">, e.g. mission-critical platforms </w:t>
            </w:r>
            <w:r w:rsidR="009305BE">
              <w:rPr>
                <w:noProof/>
              </w:rPr>
              <w:t>used by citizens,</w:t>
            </w:r>
            <w:r w:rsidDel="008F768F">
              <w:rPr>
                <w:noProof/>
              </w:rPr>
              <w:t xml:space="preserve"> </w:t>
            </w:r>
            <w:r>
              <w:rPr>
                <w:noProof/>
              </w:rPr>
              <w:t xml:space="preserve">and a higher number of systems subject to sovereignty requirements. Compared to the medium case, it would manage a larger and more complex portfolio, including a larger share of medium </w:t>
            </w:r>
            <w:r w:rsidR="00D17E8B">
              <w:rPr>
                <w:noProof/>
              </w:rPr>
              <w:t xml:space="preserve">(45%) </w:t>
            </w:r>
            <w:r>
              <w:rPr>
                <w:noProof/>
              </w:rPr>
              <w:t xml:space="preserve">and large </w:t>
            </w:r>
            <w:r w:rsidR="00D17E8B">
              <w:rPr>
                <w:noProof/>
              </w:rPr>
              <w:t xml:space="preserve">(5%) </w:t>
            </w:r>
            <w:r>
              <w:rPr>
                <w:noProof/>
              </w:rPr>
              <w:t>applications</w:t>
            </w:r>
            <w:r w:rsidR="00CF4D98">
              <w:rPr>
                <w:noProof/>
              </w:rPr>
              <w:t>. For this scenario, only</w:t>
            </w:r>
            <w:r w:rsidR="003A0EF8">
              <w:rPr>
                <w:noProof/>
              </w:rPr>
              <w:t xml:space="preserve"> critical</w:t>
            </w:r>
            <w:r w:rsidR="00CF4D98">
              <w:rPr>
                <w:noProof/>
              </w:rPr>
              <w:t xml:space="preserve"> systems falling under Level 2 and above are expected to require porting to a sovereign cloud environment as the authority may already be hosting </w:t>
            </w:r>
            <w:r w:rsidR="00531F56">
              <w:rPr>
                <w:noProof/>
              </w:rPr>
              <w:t>most of</w:t>
            </w:r>
            <w:r w:rsidR="00CF4D98">
              <w:rPr>
                <w:noProof/>
              </w:rPr>
              <w:t xml:space="preserve"> its </w:t>
            </w:r>
            <w:r w:rsidR="008041B3">
              <w:rPr>
                <w:noProof/>
              </w:rPr>
              <w:t xml:space="preserve">IT </w:t>
            </w:r>
            <w:r w:rsidR="00CF4D98">
              <w:rPr>
                <w:noProof/>
              </w:rPr>
              <w:t>solutions with a cloud service falling under level 1</w:t>
            </w:r>
            <w:r w:rsidR="008041B3">
              <w:rPr>
                <w:noProof/>
              </w:rPr>
              <w:t xml:space="preserve"> or on-premises</w:t>
            </w:r>
            <w:r w:rsidR="00CF4D98">
              <w:rPr>
                <w:noProof/>
              </w:rPr>
              <w:t xml:space="preserve">. </w:t>
            </w:r>
            <w:r w:rsidR="00007EE2">
              <w:rPr>
                <w:noProof/>
              </w:rPr>
              <w:t>The cost of porting would</w:t>
            </w:r>
            <w:r w:rsidR="00007EE2" w:rsidDel="008041B3">
              <w:rPr>
                <w:noProof/>
              </w:rPr>
              <w:t xml:space="preserve"> </w:t>
            </w:r>
            <w:r w:rsidR="00007EE2">
              <w:rPr>
                <w:noProof/>
              </w:rPr>
              <w:t xml:space="preserve">reach around EUR </w:t>
            </w:r>
            <w:r w:rsidR="00D17E8B">
              <w:rPr>
                <w:noProof/>
              </w:rPr>
              <w:t xml:space="preserve">16.6-18.6 m </w:t>
            </w:r>
            <w:r w:rsidR="00007EE2">
              <w:rPr>
                <w:noProof/>
              </w:rPr>
              <w:t xml:space="preserve">over five years, i.e. </w:t>
            </w:r>
            <w:r w:rsidR="00D17E8B">
              <w:rPr>
                <w:noProof/>
              </w:rPr>
              <w:t xml:space="preserve">around </w:t>
            </w:r>
            <w:r w:rsidR="007359F6">
              <w:rPr>
                <w:noProof/>
              </w:rPr>
              <w:t xml:space="preserve">EUR </w:t>
            </w:r>
            <w:r w:rsidR="00D17E8B">
              <w:rPr>
                <w:noProof/>
              </w:rPr>
              <w:t xml:space="preserve">3.5 </w:t>
            </w:r>
            <w:r w:rsidR="007359F6">
              <w:rPr>
                <w:noProof/>
              </w:rPr>
              <w:t>m</w:t>
            </w:r>
            <w:r w:rsidR="00007EE2">
              <w:rPr>
                <w:noProof/>
              </w:rPr>
              <w:t xml:space="preserve"> per year. </w:t>
            </w:r>
          </w:p>
          <w:p w14:paraId="584BE19E" w14:textId="09235FAB" w:rsidR="0081735A" w:rsidRDefault="0081735A" w:rsidP="002C0C14">
            <w:pPr>
              <w:pStyle w:val="ListBullet"/>
              <w:numPr>
                <w:ilvl w:val="0"/>
                <w:numId w:val="0"/>
              </w:numPr>
              <w:spacing w:before="240"/>
              <w:rPr>
                <w:noProof/>
              </w:rPr>
            </w:pPr>
            <w:r w:rsidRPr="00C04129">
              <w:rPr>
                <w:noProof/>
              </w:rPr>
              <w:t>It is important to distinguish this cost of porting from the price of cloud services</w:t>
            </w:r>
            <w:r w:rsidR="00C04129" w:rsidRPr="00C04129">
              <w:rPr>
                <w:noProof/>
              </w:rPr>
              <w:t>,</w:t>
            </w:r>
            <w:r w:rsidR="00C04129">
              <w:rPr>
                <w:noProof/>
              </w:rPr>
              <w:t xml:space="preserve"> which can be affected by</w:t>
            </w:r>
            <w:r w:rsidR="00632508">
              <w:rPr>
                <w:noProof/>
              </w:rPr>
              <w:t xml:space="preserve"> </w:t>
            </w:r>
            <w:r w:rsidR="00787F79">
              <w:rPr>
                <w:noProof/>
              </w:rPr>
              <w:t>a premium</w:t>
            </w:r>
            <w:r w:rsidR="00916505">
              <w:rPr>
                <w:noProof/>
              </w:rPr>
              <w:t>, something discussed under section 2.3.4.</w:t>
            </w:r>
          </w:p>
          <w:p w14:paraId="61DC89C6" w14:textId="1C55DFBC" w:rsidR="0081735A" w:rsidRDefault="0081735A" w:rsidP="00DA5A99">
            <w:pPr>
              <w:spacing w:before="240"/>
              <w:rPr>
                <w:noProof/>
                <w:u w:val="single"/>
                <w:lang w:val="en-IE"/>
              </w:rPr>
            </w:pPr>
            <w:r w:rsidRPr="008F04E1">
              <w:rPr>
                <w:noProof/>
                <w:u w:val="single"/>
                <w:lang w:val="en-IE"/>
              </w:rPr>
              <w:t xml:space="preserve">Migration of </w:t>
            </w:r>
            <w:r w:rsidR="008B407B">
              <w:rPr>
                <w:noProof/>
                <w:u w:val="single"/>
                <w:lang w:val="en-IE"/>
              </w:rPr>
              <w:t>legacy applications to the cloud</w:t>
            </w:r>
          </w:p>
          <w:p w14:paraId="6F5F2BEE" w14:textId="77777777" w:rsidR="001B7B40" w:rsidRDefault="0081735A" w:rsidP="00DA5A99">
            <w:pPr>
              <w:rPr>
                <w:noProof/>
                <w:lang w:val="en-IE"/>
              </w:rPr>
            </w:pPr>
            <w:r>
              <w:rPr>
                <w:noProof/>
                <w:lang w:val="en-IE"/>
              </w:rPr>
              <w:t>Most public sector use cases are not cloud-based today</w:t>
            </w:r>
            <w:r w:rsidR="000A1DDF">
              <w:rPr>
                <w:noProof/>
                <w:lang w:val="en-IE"/>
              </w:rPr>
              <w:t xml:space="preserve"> with</w:t>
            </w:r>
            <w:r>
              <w:rPr>
                <w:noProof/>
                <w:lang w:val="en-IE"/>
              </w:rPr>
              <w:t xml:space="preserve"> </w:t>
            </w:r>
            <w:r w:rsidRPr="00683746">
              <w:rPr>
                <w:noProof/>
                <w:lang w:val="en-IE"/>
              </w:rPr>
              <w:t>70% estimated to be on-premises</w:t>
            </w:r>
            <w:r>
              <w:rPr>
                <w:noProof/>
                <w:lang w:val="en-IE"/>
              </w:rPr>
              <w:t xml:space="preserve">. </w:t>
            </w:r>
            <w:r w:rsidR="006909B3">
              <w:rPr>
                <w:noProof/>
                <w:lang w:val="en-IE"/>
              </w:rPr>
              <w:t xml:space="preserve">This can be further split, in between 30% that are on premises and could be migrated to the cloud, and a leftover of 40% of </w:t>
            </w:r>
            <w:r w:rsidR="00C97EE7">
              <w:rPr>
                <w:noProof/>
                <w:lang w:val="en-IE"/>
              </w:rPr>
              <w:t xml:space="preserve">on-premises that are legacy applications being phased out (sometimes long periods of time), or that are too small to </w:t>
            </w:r>
            <w:r w:rsidR="000C3488">
              <w:rPr>
                <w:noProof/>
                <w:lang w:val="en-IE"/>
              </w:rPr>
              <w:t>deserve</w:t>
            </w:r>
            <w:r w:rsidR="001B7B40">
              <w:rPr>
                <w:noProof/>
                <w:lang w:val="en-IE"/>
              </w:rPr>
              <w:t xml:space="preserve"> particular attention.</w:t>
            </w:r>
          </w:p>
          <w:p w14:paraId="649E509C" w14:textId="2E116BC3" w:rsidR="0081735A" w:rsidRDefault="0081735A" w:rsidP="00DA5A99">
            <w:pPr>
              <w:rPr>
                <w:noProof/>
                <w:lang w:val="en-IE"/>
              </w:rPr>
            </w:pPr>
            <w:r>
              <w:rPr>
                <w:noProof/>
                <w:lang w:val="en-IE"/>
              </w:rPr>
              <w:t xml:space="preserve">To migrate services from </w:t>
            </w:r>
            <w:r w:rsidRPr="00683746">
              <w:rPr>
                <w:b/>
                <w:bCs/>
                <w:noProof/>
                <w:lang w:val="en-IE"/>
              </w:rPr>
              <w:t xml:space="preserve">on-premises </w:t>
            </w:r>
            <w:r>
              <w:rPr>
                <w:b/>
                <w:bCs/>
                <w:noProof/>
                <w:lang w:val="en-IE"/>
              </w:rPr>
              <w:t>infrastructure</w:t>
            </w:r>
            <w:r w:rsidRPr="00683746">
              <w:rPr>
                <w:b/>
                <w:bCs/>
                <w:noProof/>
                <w:lang w:val="en-IE"/>
              </w:rPr>
              <w:t xml:space="preserve"> to the cloud</w:t>
            </w:r>
            <w:r>
              <w:rPr>
                <w:noProof/>
                <w:lang w:val="en-IE"/>
              </w:rPr>
              <w:t xml:space="preserve">, public authorities face adjustment costs associated mainly with staff time and migration activities. </w:t>
            </w:r>
            <w:r w:rsidRPr="00A800CE">
              <w:rPr>
                <w:noProof/>
                <w:lang w:val="en-IE"/>
              </w:rPr>
              <w:t xml:space="preserve">The effort to migrate a legacy-to-cloud application </w:t>
            </w:r>
            <w:r w:rsidR="00457156">
              <w:rPr>
                <w:noProof/>
                <w:lang w:val="en-IE"/>
              </w:rPr>
              <w:t xml:space="preserve">are harder to estimate than </w:t>
            </w:r>
            <w:r w:rsidR="00F877CE">
              <w:rPr>
                <w:noProof/>
                <w:lang w:val="en-IE"/>
              </w:rPr>
              <w:t>the ones for</w:t>
            </w:r>
            <w:r w:rsidR="00457156">
              <w:rPr>
                <w:noProof/>
                <w:lang w:val="en-IE"/>
              </w:rPr>
              <w:t xml:space="preserve"> porting because the range of </w:t>
            </w:r>
            <w:r w:rsidR="007B2A06">
              <w:rPr>
                <w:noProof/>
                <w:lang w:val="en-IE"/>
              </w:rPr>
              <w:t xml:space="preserve">situations </w:t>
            </w:r>
            <w:r w:rsidRPr="00A800CE">
              <w:rPr>
                <w:noProof/>
                <w:lang w:val="en-IE"/>
              </w:rPr>
              <w:t xml:space="preserve">is </w:t>
            </w:r>
            <w:r w:rsidR="00BB4384">
              <w:rPr>
                <w:noProof/>
                <w:lang w:val="en-IE"/>
              </w:rPr>
              <w:t xml:space="preserve">much </w:t>
            </w:r>
            <w:r w:rsidR="00BB4384" w:rsidDel="00D27017">
              <w:rPr>
                <w:noProof/>
                <w:lang w:val="en-IE"/>
              </w:rPr>
              <w:t>broader</w:t>
            </w:r>
            <w:r w:rsidR="00FB0437">
              <w:rPr>
                <w:noProof/>
                <w:lang w:val="en-IE"/>
              </w:rPr>
              <w:t>. Annex 12 details the</w:t>
            </w:r>
            <w:r w:rsidR="007A6C8B">
              <w:rPr>
                <w:noProof/>
                <w:lang w:val="en-IE"/>
              </w:rPr>
              <w:t>m further, leading</w:t>
            </w:r>
            <w:r w:rsidRPr="00A800CE">
              <w:rPr>
                <w:noProof/>
                <w:lang w:val="en-IE"/>
              </w:rPr>
              <w:t xml:space="preserve"> to </w:t>
            </w:r>
            <w:r w:rsidR="007A6C8B">
              <w:rPr>
                <w:noProof/>
                <w:lang w:val="en-IE"/>
              </w:rPr>
              <w:t>an estimate</w:t>
            </w:r>
            <w:r w:rsidRPr="00A800CE">
              <w:rPr>
                <w:noProof/>
                <w:lang w:val="en-IE"/>
              </w:rPr>
              <w:t xml:space="preserve"> 1.5x the effort </w:t>
            </w:r>
            <w:r w:rsidR="000E452C">
              <w:rPr>
                <w:noProof/>
                <w:lang w:val="en-IE"/>
              </w:rPr>
              <w:t>compared</w:t>
            </w:r>
            <w:r w:rsidRPr="00A800CE">
              <w:rPr>
                <w:noProof/>
                <w:lang w:val="en-IE"/>
              </w:rPr>
              <w:t xml:space="preserve"> to </w:t>
            </w:r>
            <w:r w:rsidR="000E452C">
              <w:rPr>
                <w:noProof/>
                <w:lang w:val="en-IE"/>
              </w:rPr>
              <w:t>porting</w:t>
            </w:r>
            <w:r w:rsidRPr="00A800CE">
              <w:rPr>
                <w:noProof/>
                <w:lang w:val="en-IE"/>
              </w:rPr>
              <w:t xml:space="preserve"> a service from cloud-to-cloud.</w:t>
            </w:r>
          </w:p>
          <w:p w14:paraId="28876F27" w14:textId="22C7F881" w:rsidR="0081735A" w:rsidRDefault="00B54996" w:rsidP="00DA5A99">
            <w:pPr>
              <w:rPr>
                <w:noProof/>
              </w:rPr>
            </w:pPr>
            <w:r>
              <w:rPr>
                <w:noProof/>
              </w:rPr>
              <w:t>T</w:t>
            </w:r>
            <w:r w:rsidR="0081735A" w:rsidRPr="008B7365">
              <w:rPr>
                <w:noProof/>
              </w:rPr>
              <w:t>he</w:t>
            </w:r>
            <w:r w:rsidR="0081735A">
              <w:rPr>
                <w:noProof/>
              </w:rPr>
              <w:t>se</w:t>
            </w:r>
            <w:r w:rsidR="0081735A" w:rsidRPr="008B7365">
              <w:rPr>
                <w:noProof/>
              </w:rPr>
              <w:t xml:space="preserve"> </w:t>
            </w:r>
            <w:r>
              <w:rPr>
                <w:noProof/>
              </w:rPr>
              <w:t>migration</w:t>
            </w:r>
            <w:r w:rsidR="0081735A" w:rsidRPr="008B7365">
              <w:rPr>
                <w:noProof/>
              </w:rPr>
              <w:t xml:space="preserve"> costs </w:t>
            </w:r>
            <w:r w:rsidR="00115335">
              <w:rPr>
                <w:noProof/>
              </w:rPr>
              <w:t>need to be put in perspective with</w:t>
            </w:r>
            <w:r w:rsidR="0081735A" w:rsidRPr="008B7365">
              <w:rPr>
                <w:noProof/>
              </w:rPr>
              <w:t xml:space="preserve"> the </w:t>
            </w:r>
            <w:r w:rsidR="00115335">
              <w:rPr>
                <w:noProof/>
              </w:rPr>
              <w:t xml:space="preserve">benefits </w:t>
            </w:r>
            <w:r w:rsidR="00A337ED">
              <w:rPr>
                <w:noProof/>
              </w:rPr>
              <w:t>of</w:t>
            </w:r>
            <w:r w:rsidR="0081735A" w:rsidRPr="008B7365">
              <w:rPr>
                <w:noProof/>
              </w:rPr>
              <w:t xml:space="preserve"> cloudification. Literature points to potential benefits such as lower infrastructure costs, greater scalability and flexibility, improved service quality, and access to more advanced security and analytical capabilities. The</w:t>
            </w:r>
            <w:r w:rsidR="0081735A">
              <w:rPr>
                <w:noProof/>
              </w:rPr>
              <w:t>s</w:t>
            </w:r>
            <w:r w:rsidR="0081735A" w:rsidRPr="008B7365">
              <w:rPr>
                <w:noProof/>
              </w:rPr>
              <w:t>e potential benefits are discussed further in Section 6</w:t>
            </w:r>
            <w:r w:rsidR="0081735A">
              <w:rPr>
                <w:noProof/>
              </w:rPr>
              <w:t>.1.5</w:t>
            </w:r>
            <w:r w:rsidR="0081735A" w:rsidRPr="008B7365">
              <w:rPr>
                <w:noProof/>
              </w:rPr>
              <w:t>.</w:t>
            </w:r>
          </w:p>
        </w:tc>
      </w:tr>
    </w:tbl>
    <w:p w14:paraId="75BC4257" w14:textId="35CAA0D8" w:rsidR="00E61374" w:rsidRDefault="00E61374" w:rsidP="009D6B10">
      <w:pPr>
        <w:rPr>
          <w:b/>
          <w:i/>
          <w:noProof/>
        </w:rPr>
      </w:pPr>
    </w:p>
    <w:p w14:paraId="3D7B1C56" w14:textId="66E0A81C" w:rsidR="00E61374" w:rsidRPr="00D37004" w:rsidRDefault="00086728" w:rsidP="0048650A">
      <w:pPr>
        <w:rPr>
          <w:noProof/>
        </w:rPr>
      </w:pPr>
      <w:r>
        <w:rPr>
          <w:b/>
          <w:bCs/>
          <w:i/>
          <w:iCs/>
          <w:noProof/>
        </w:rPr>
        <w:t>Cost</w:t>
      </w:r>
      <w:r w:rsidR="00E61374" w:rsidRPr="294AF3FA">
        <w:rPr>
          <w:b/>
          <w:bCs/>
          <w:i/>
          <w:iCs/>
          <w:noProof/>
        </w:rPr>
        <w:t xml:space="preserve"> savings</w:t>
      </w:r>
      <w:r>
        <w:rPr>
          <w:b/>
          <w:bCs/>
          <w:i/>
          <w:iCs/>
          <w:noProof/>
        </w:rPr>
        <w:t xml:space="preserve"> for </w:t>
      </w:r>
      <w:r>
        <w:rPr>
          <w:b/>
          <w:i/>
          <w:noProof/>
        </w:rPr>
        <w:t>national public authorities</w:t>
      </w:r>
      <w:r w:rsidR="00E61374" w:rsidRPr="294AF3FA">
        <w:rPr>
          <w:b/>
          <w:bCs/>
          <w:i/>
          <w:iCs/>
          <w:noProof/>
        </w:rPr>
        <w:t xml:space="preserve">. </w:t>
      </w:r>
      <w:r w:rsidR="00E61374" w:rsidRPr="294AF3FA">
        <w:rPr>
          <w:b/>
          <w:bCs/>
          <w:noProof/>
        </w:rPr>
        <w:t>PO1-A</w:t>
      </w:r>
      <w:r w:rsidR="00E61374">
        <w:rPr>
          <w:noProof/>
        </w:rPr>
        <w:t xml:space="preserve"> is expected to realise </w:t>
      </w:r>
      <w:r w:rsidR="00ED7482">
        <w:rPr>
          <w:noProof/>
        </w:rPr>
        <w:t xml:space="preserve">direct </w:t>
      </w:r>
      <w:r w:rsidR="00E61374" w:rsidRPr="00D37004">
        <w:rPr>
          <w:noProof/>
        </w:rPr>
        <w:t>cost savings</w:t>
      </w:r>
      <w:r w:rsidR="00E61374">
        <w:rPr>
          <w:noProof/>
        </w:rPr>
        <w:t xml:space="preserve"> for authorities</w:t>
      </w:r>
      <w:r w:rsidR="00E61374" w:rsidRPr="00D37004">
        <w:rPr>
          <w:noProof/>
        </w:rPr>
        <w:t xml:space="preserve"> </w:t>
      </w:r>
      <w:r w:rsidR="00E61374">
        <w:rPr>
          <w:noProof/>
        </w:rPr>
        <w:t>in terms of administrative burden reduction</w:t>
      </w:r>
      <w:r w:rsidR="00E61374" w:rsidRPr="00D37004">
        <w:rPr>
          <w:noProof/>
        </w:rPr>
        <w:t xml:space="preserve"> from harmonised EU guidelines that </w:t>
      </w:r>
      <w:r w:rsidR="00697714">
        <w:rPr>
          <w:noProof/>
        </w:rPr>
        <w:t xml:space="preserve">would </w:t>
      </w:r>
      <w:r w:rsidR="00E61374" w:rsidRPr="00D37004">
        <w:rPr>
          <w:noProof/>
        </w:rPr>
        <w:t>limit divergent interpretation</w:t>
      </w:r>
      <w:r w:rsidR="00E61374">
        <w:rPr>
          <w:noProof/>
        </w:rPr>
        <w:t>s</w:t>
      </w:r>
      <w:r w:rsidR="00E61374" w:rsidRPr="00D37004">
        <w:rPr>
          <w:noProof/>
        </w:rPr>
        <w:t xml:space="preserve"> of permitting requirements</w:t>
      </w:r>
      <w:r w:rsidR="00E61374">
        <w:rPr>
          <w:noProof/>
        </w:rPr>
        <w:t xml:space="preserve"> (PM3)</w:t>
      </w:r>
      <w:r w:rsidR="00E61374" w:rsidRPr="00D37004">
        <w:rPr>
          <w:noProof/>
        </w:rPr>
        <w:t xml:space="preserve">, leading to savings </w:t>
      </w:r>
      <w:r w:rsidR="00DB3EC0">
        <w:rPr>
          <w:noProof/>
        </w:rPr>
        <w:t>that would range between</w:t>
      </w:r>
      <w:r w:rsidR="00DB3EC0" w:rsidRPr="00D37004">
        <w:rPr>
          <w:noProof/>
        </w:rPr>
        <w:t xml:space="preserve"> </w:t>
      </w:r>
      <w:r w:rsidR="00E61374" w:rsidRPr="00847DE0">
        <w:rPr>
          <w:b/>
          <w:noProof/>
        </w:rPr>
        <w:t xml:space="preserve">EUR </w:t>
      </w:r>
      <w:r w:rsidR="00176CEE" w:rsidRPr="00847DE0">
        <w:rPr>
          <w:b/>
          <w:noProof/>
        </w:rPr>
        <w:t>0.</w:t>
      </w:r>
      <w:r w:rsidR="00DB3EC0" w:rsidRPr="00847DE0">
        <w:rPr>
          <w:b/>
          <w:noProof/>
        </w:rPr>
        <w:t xml:space="preserve">1 and </w:t>
      </w:r>
      <w:r w:rsidR="0015549B" w:rsidRPr="00847DE0">
        <w:rPr>
          <w:b/>
          <w:noProof/>
        </w:rPr>
        <w:t>0.6</w:t>
      </w:r>
      <w:r w:rsidR="00E61374" w:rsidRPr="00847DE0">
        <w:rPr>
          <w:b/>
          <w:noProof/>
        </w:rPr>
        <w:t xml:space="preserve"> m</w:t>
      </w:r>
      <w:r w:rsidR="00E61374">
        <w:rPr>
          <w:noProof/>
        </w:rPr>
        <w:t>, modelled as a 2-day saving per new project adopting the guidelines</w:t>
      </w:r>
      <w:r w:rsidR="00E61374" w:rsidRPr="00D37004">
        <w:rPr>
          <w:noProof/>
        </w:rPr>
        <w:t xml:space="preserve">. Under </w:t>
      </w:r>
      <w:r w:rsidR="00E61374" w:rsidRPr="294AF3FA">
        <w:rPr>
          <w:b/>
          <w:bCs/>
          <w:noProof/>
        </w:rPr>
        <w:t>PO1-B,</w:t>
      </w:r>
      <w:r w:rsidR="00E61374" w:rsidRPr="00D37004">
        <w:rPr>
          <w:noProof/>
        </w:rPr>
        <w:t xml:space="preserve"> recurrent savings </w:t>
      </w:r>
      <w:r w:rsidR="007D6419">
        <w:rPr>
          <w:noProof/>
        </w:rPr>
        <w:t>would</w:t>
      </w:r>
      <w:r w:rsidR="00E61374" w:rsidRPr="00D37004">
        <w:rPr>
          <w:noProof/>
        </w:rPr>
        <w:t xml:space="preserve"> stem from administrative simplification</w:t>
      </w:r>
      <w:r w:rsidR="00E61374" w:rsidRPr="00D37004" w:rsidDel="00D53183">
        <w:rPr>
          <w:noProof/>
        </w:rPr>
        <w:t xml:space="preserve"> </w:t>
      </w:r>
      <w:r w:rsidR="00E61374" w:rsidRPr="00D37004">
        <w:rPr>
          <w:noProof/>
        </w:rPr>
        <w:t xml:space="preserve">for </w:t>
      </w:r>
      <w:r w:rsidR="00217F2B">
        <w:rPr>
          <w:noProof/>
        </w:rPr>
        <w:t>DC</w:t>
      </w:r>
      <w:r w:rsidR="00E61374" w:rsidRPr="00D37004">
        <w:rPr>
          <w:noProof/>
        </w:rPr>
        <w:t xml:space="preserve"> buildout</w:t>
      </w:r>
      <w:r w:rsidR="00E61374">
        <w:rPr>
          <w:noProof/>
        </w:rPr>
        <w:t xml:space="preserve"> (PM4)</w:t>
      </w:r>
      <w:r w:rsidR="00E61374" w:rsidRPr="00D37004">
        <w:rPr>
          <w:noProof/>
        </w:rPr>
        <w:t xml:space="preserve">, combined with </w:t>
      </w:r>
      <w:r w:rsidR="00E61374">
        <w:rPr>
          <w:noProof/>
        </w:rPr>
        <w:t>the</w:t>
      </w:r>
      <w:r w:rsidR="00E61374" w:rsidRPr="00D37004">
        <w:rPr>
          <w:noProof/>
        </w:rPr>
        <w:t xml:space="preserve"> central mechanism to identify fast-track areas</w:t>
      </w:r>
      <w:r w:rsidR="00E61374">
        <w:rPr>
          <w:noProof/>
        </w:rPr>
        <w:t xml:space="preserve"> (PM5), which</w:t>
      </w:r>
      <w:r w:rsidR="00E61374" w:rsidRPr="00D37004">
        <w:rPr>
          <w:noProof/>
        </w:rPr>
        <w:t xml:space="preserve"> would avoid duplication</w:t>
      </w:r>
      <w:r w:rsidR="00E61374">
        <w:rPr>
          <w:noProof/>
        </w:rPr>
        <w:t xml:space="preserve"> and back and forth interactions with economic operators,</w:t>
      </w:r>
      <w:r w:rsidR="00E61374" w:rsidRPr="00D37004">
        <w:rPr>
          <w:noProof/>
        </w:rPr>
        <w:t xml:space="preserve"> lead</w:t>
      </w:r>
      <w:r w:rsidR="00E61374">
        <w:rPr>
          <w:noProof/>
        </w:rPr>
        <w:t>ing</w:t>
      </w:r>
      <w:r w:rsidR="00E61374" w:rsidRPr="00D37004">
        <w:rPr>
          <w:noProof/>
        </w:rPr>
        <w:t xml:space="preserve"> to total </w:t>
      </w:r>
      <w:r w:rsidR="00E61374">
        <w:rPr>
          <w:noProof/>
        </w:rPr>
        <w:t xml:space="preserve">expected administrative </w:t>
      </w:r>
      <w:r w:rsidR="00E61374" w:rsidRPr="00D37004">
        <w:rPr>
          <w:noProof/>
        </w:rPr>
        <w:t>cost saving</w:t>
      </w:r>
      <w:r w:rsidR="00E61374">
        <w:rPr>
          <w:noProof/>
        </w:rPr>
        <w:t>s under this option</w:t>
      </w:r>
      <w:r w:rsidR="00E61374" w:rsidRPr="00D37004">
        <w:rPr>
          <w:noProof/>
        </w:rPr>
        <w:t xml:space="preserve"> </w:t>
      </w:r>
      <w:r w:rsidR="00E05EF9">
        <w:rPr>
          <w:noProof/>
        </w:rPr>
        <w:t>ranging between</w:t>
      </w:r>
      <w:r w:rsidR="00E61374" w:rsidRPr="00D37004">
        <w:rPr>
          <w:noProof/>
        </w:rPr>
        <w:t xml:space="preserve"> </w:t>
      </w:r>
      <w:r w:rsidR="00E61374" w:rsidRPr="00BB2F30">
        <w:rPr>
          <w:b/>
          <w:noProof/>
        </w:rPr>
        <w:t xml:space="preserve">EUR </w:t>
      </w:r>
      <w:r w:rsidR="00E05EF9" w:rsidRPr="00BB2F30">
        <w:rPr>
          <w:b/>
          <w:noProof/>
        </w:rPr>
        <w:t>166</w:t>
      </w:r>
      <w:r w:rsidR="005815C8" w:rsidRPr="00BB2F30">
        <w:rPr>
          <w:b/>
          <w:noProof/>
        </w:rPr>
        <w:t xml:space="preserve"> and 277</w:t>
      </w:r>
      <w:r w:rsidR="00E61374" w:rsidRPr="00BB2F30">
        <w:rPr>
          <w:b/>
          <w:noProof/>
        </w:rPr>
        <w:t xml:space="preserve"> m</w:t>
      </w:r>
      <w:r w:rsidR="00E61374" w:rsidRPr="00D37004">
        <w:rPr>
          <w:noProof/>
        </w:rPr>
        <w:t xml:space="preserve">. In </w:t>
      </w:r>
      <w:r w:rsidR="00E61374" w:rsidRPr="294AF3FA">
        <w:rPr>
          <w:b/>
          <w:bCs/>
          <w:noProof/>
        </w:rPr>
        <w:t>PO1-C</w:t>
      </w:r>
      <w:r w:rsidR="00E61374" w:rsidRPr="00D37004">
        <w:rPr>
          <w:noProof/>
        </w:rPr>
        <w:t>,</w:t>
      </w:r>
      <w:r w:rsidR="00E61374" w:rsidRPr="294AF3FA">
        <w:rPr>
          <w:b/>
          <w:bCs/>
          <w:noProof/>
        </w:rPr>
        <w:t xml:space="preserve"> </w:t>
      </w:r>
      <w:r w:rsidR="00E61374" w:rsidRPr="00D37004">
        <w:rPr>
          <w:noProof/>
        </w:rPr>
        <w:t xml:space="preserve">savings </w:t>
      </w:r>
      <w:r w:rsidR="004C4E53">
        <w:rPr>
          <w:noProof/>
        </w:rPr>
        <w:t>would</w:t>
      </w:r>
      <w:r w:rsidR="00E61374" w:rsidRPr="00D37004">
        <w:rPr>
          <w:noProof/>
        </w:rPr>
        <w:t xml:space="preserve"> result from a centralised EU-level structure reducing national efforts</w:t>
      </w:r>
      <w:r w:rsidR="00E61374">
        <w:rPr>
          <w:noProof/>
        </w:rPr>
        <w:t xml:space="preserve"> (PM10)</w:t>
      </w:r>
      <w:r w:rsidR="00355CE9">
        <w:rPr>
          <w:noProof/>
        </w:rPr>
        <w:t xml:space="preserve">. Consequently, </w:t>
      </w:r>
      <w:r w:rsidR="00EE6357">
        <w:rPr>
          <w:noProof/>
        </w:rPr>
        <w:t xml:space="preserve">total </w:t>
      </w:r>
      <w:r w:rsidR="00355CE9">
        <w:rPr>
          <w:noProof/>
        </w:rPr>
        <w:t>cost savings for</w:t>
      </w:r>
      <w:r w:rsidR="00EE6357">
        <w:rPr>
          <w:noProof/>
        </w:rPr>
        <w:t xml:space="preserve"> 27</w:t>
      </w:r>
      <w:r w:rsidR="00355CE9">
        <w:rPr>
          <w:noProof/>
        </w:rPr>
        <w:t xml:space="preserve"> public authorities could </w:t>
      </w:r>
      <w:r w:rsidR="001E4B67">
        <w:rPr>
          <w:noProof/>
        </w:rPr>
        <w:t>be</w:t>
      </w:r>
      <w:r w:rsidR="00355CE9">
        <w:rPr>
          <w:noProof/>
        </w:rPr>
        <w:t xml:space="preserve"> between </w:t>
      </w:r>
      <w:r w:rsidR="00355CE9" w:rsidRPr="001E4B67">
        <w:rPr>
          <w:b/>
          <w:noProof/>
        </w:rPr>
        <w:t>6 and 19</w:t>
      </w:r>
      <w:r w:rsidR="00E61374" w:rsidRPr="001E4B67" w:rsidDel="00355CE9">
        <w:rPr>
          <w:b/>
          <w:noProof/>
        </w:rPr>
        <w:t xml:space="preserve"> m</w:t>
      </w:r>
      <w:r w:rsidR="00D55105">
        <w:rPr>
          <w:noProof/>
        </w:rPr>
        <w:t>, based on the</w:t>
      </w:r>
      <w:r w:rsidR="001F7B83">
        <w:rPr>
          <w:noProof/>
        </w:rPr>
        <w:t xml:space="preserve"> </w:t>
      </w:r>
      <w:r w:rsidR="004E62CA">
        <w:rPr>
          <w:noProof/>
        </w:rPr>
        <w:t xml:space="preserve">variability in the </w:t>
      </w:r>
      <w:r w:rsidR="00EF0B90">
        <w:rPr>
          <w:noProof/>
        </w:rPr>
        <w:t xml:space="preserve">actual </w:t>
      </w:r>
      <w:r w:rsidR="00CB5226">
        <w:rPr>
          <w:noProof/>
        </w:rPr>
        <w:t xml:space="preserve">effort </w:t>
      </w:r>
      <w:r w:rsidR="00EF0B90">
        <w:rPr>
          <w:noProof/>
        </w:rPr>
        <w:t>saved by using a central EU-based database and avoid</w:t>
      </w:r>
      <w:r w:rsidR="00CB5226">
        <w:rPr>
          <w:noProof/>
        </w:rPr>
        <w:t>ing repeated clarifications with operators on siting rules</w:t>
      </w:r>
      <w:r w:rsidR="00E61374" w:rsidRPr="00D37004">
        <w:rPr>
          <w:noProof/>
        </w:rPr>
        <w:t>.</w:t>
      </w:r>
      <w:r w:rsidR="00E61374" w:rsidRPr="294AF3FA">
        <w:rPr>
          <w:b/>
          <w:bCs/>
          <w:i/>
          <w:iCs/>
          <w:noProof/>
        </w:rPr>
        <w:t xml:space="preserve"> </w:t>
      </w:r>
      <w:r w:rsidR="00E61374" w:rsidRPr="00D37004">
        <w:rPr>
          <w:noProof/>
        </w:rPr>
        <w:t xml:space="preserve">Under </w:t>
      </w:r>
      <w:r w:rsidR="00E61374" w:rsidRPr="294AF3FA">
        <w:rPr>
          <w:b/>
          <w:bCs/>
          <w:noProof/>
        </w:rPr>
        <w:t>PO2-A</w:t>
      </w:r>
      <w:r w:rsidR="00E61374" w:rsidRPr="00D37004">
        <w:rPr>
          <w:noProof/>
        </w:rPr>
        <w:t xml:space="preserve">, cost savings are expected to arise from clearer information used in procurement processes. </w:t>
      </w:r>
      <w:r w:rsidR="00E61374" w:rsidRPr="00BD0302">
        <w:rPr>
          <w:noProof/>
        </w:rPr>
        <w:t xml:space="preserve">However, the scale of this effect </w:t>
      </w:r>
      <w:r w:rsidR="00BD0302" w:rsidRPr="00BD0302">
        <w:rPr>
          <w:noProof/>
        </w:rPr>
        <w:t>appears to be very limited</w:t>
      </w:r>
      <w:r w:rsidR="00D91330">
        <w:rPr>
          <w:noProof/>
        </w:rPr>
        <w:t xml:space="preserve"> to be quantified</w:t>
      </w:r>
      <w:r w:rsidR="00E61374" w:rsidRPr="00BD0302">
        <w:rPr>
          <w:noProof/>
        </w:rPr>
        <w:t>.</w:t>
      </w:r>
      <w:r w:rsidR="00E61374" w:rsidRPr="00D37004">
        <w:rPr>
          <w:noProof/>
        </w:rPr>
        <w:t xml:space="preserve"> Under</w:t>
      </w:r>
      <w:r w:rsidR="00E61374" w:rsidRPr="294AF3FA">
        <w:rPr>
          <w:b/>
          <w:bCs/>
          <w:noProof/>
        </w:rPr>
        <w:t xml:space="preserve"> PO2-B</w:t>
      </w:r>
      <w:r w:rsidR="00E61374" w:rsidRPr="00D37004">
        <w:rPr>
          <w:noProof/>
        </w:rPr>
        <w:t>,</w:t>
      </w:r>
      <w:r w:rsidR="00E61374" w:rsidRPr="294AF3FA">
        <w:rPr>
          <w:b/>
          <w:bCs/>
          <w:noProof/>
        </w:rPr>
        <w:t xml:space="preserve"> </w:t>
      </w:r>
      <w:r w:rsidR="00E61374" w:rsidRPr="00D37004">
        <w:rPr>
          <w:noProof/>
        </w:rPr>
        <w:t>the</w:t>
      </w:r>
      <w:r w:rsidR="00E61374" w:rsidRPr="000D3047" w:rsidDel="003250E0">
        <w:rPr>
          <w:noProof/>
        </w:rPr>
        <w:t xml:space="preserve"> </w:t>
      </w:r>
      <w:r w:rsidR="003250E0" w:rsidRPr="00BD0302">
        <w:rPr>
          <w:noProof/>
        </w:rPr>
        <w:t>sovereignty</w:t>
      </w:r>
      <w:r w:rsidR="00E61374" w:rsidRPr="000D3047">
        <w:rPr>
          <w:noProof/>
        </w:rPr>
        <w:t xml:space="preserve"> scheme</w:t>
      </w:r>
      <w:r w:rsidR="00E61374" w:rsidRPr="00D37004">
        <w:rPr>
          <w:noProof/>
        </w:rPr>
        <w:t xml:space="preserve"> and repository </w:t>
      </w:r>
      <w:r w:rsidR="00E61374">
        <w:rPr>
          <w:noProof/>
        </w:rPr>
        <w:t xml:space="preserve">(PM15) </w:t>
      </w:r>
      <w:r w:rsidR="00827968">
        <w:rPr>
          <w:noProof/>
        </w:rPr>
        <w:t>would help</w:t>
      </w:r>
      <w:r w:rsidR="00E61374" w:rsidRPr="00D37004">
        <w:rPr>
          <w:noProof/>
        </w:rPr>
        <w:t xml:space="preserve"> streamline compliance verification by providing information in a single place.</w:t>
      </w:r>
      <w:r w:rsidR="00E61374" w:rsidRPr="00D37004" w:rsidDel="00614CE9">
        <w:rPr>
          <w:noProof/>
        </w:rPr>
        <w:t xml:space="preserve"> </w:t>
      </w:r>
      <w:r w:rsidR="00E61374" w:rsidRPr="00D37004">
        <w:rPr>
          <w:noProof/>
        </w:rPr>
        <w:t>Participation in the public sector cloud</w:t>
      </w:r>
      <w:r w:rsidR="00E61374">
        <w:rPr>
          <w:noProof/>
        </w:rPr>
        <w:t xml:space="preserve"> and AI computing service </w:t>
      </w:r>
      <w:r w:rsidR="00E61374" w:rsidRPr="00D37004">
        <w:rPr>
          <w:noProof/>
        </w:rPr>
        <w:t>federation</w:t>
      </w:r>
      <w:r w:rsidR="00E61374">
        <w:rPr>
          <w:noProof/>
        </w:rPr>
        <w:t xml:space="preserve"> (PM17)</w:t>
      </w:r>
      <w:r w:rsidR="00E61374" w:rsidRPr="00D37004">
        <w:rPr>
          <w:noProof/>
        </w:rPr>
        <w:t xml:space="preserve"> is expected to </w:t>
      </w:r>
      <w:r w:rsidR="00E61374">
        <w:rPr>
          <w:noProof/>
        </w:rPr>
        <w:t xml:space="preserve">generate considerable resource savings </w:t>
      </w:r>
      <w:r w:rsidR="00E61374" w:rsidRPr="00D37004">
        <w:rPr>
          <w:noProof/>
        </w:rPr>
        <w:t xml:space="preserve">through an optimised use of compute capacity. Finally, the use of standard award criteria </w:t>
      </w:r>
      <w:r w:rsidR="00E61374">
        <w:rPr>
          <w:noProof/>
        </w:rPr>
        <w:t xml:space="preserve">(PM16) </w:t>
      </w:r>
      <w:r w:rsidR="00E61374" w:rsidRPr="00D37004">
        <w:rPr>
          <w:noProof/>
        </w:rPr>
        <w:t xml:space="preserve">is </w:t>
      </w:r>
      <w:r w:rsidR="00E61374">
        <w:rPr>
          <w:noProof/>
        </w:rPr>
        <w:t xml:space="preserve">also </w:t>
      </w:r>
      <w:r w:rsidR="00E61374" w:rsidRPr="00D37004">
        <w:rPr>
          <w:noProof/>
        </w:rPr>
        <w:t xml:space="preserve">expected to save authorities time in procurement processes, leading to total expected savings </w:t>
      </w:r>
      <w:r w:rsidR="00CB0A8D">
        <w:rPr>
          <w:noProof/>
        </w:rPr>
        <w:t>ranging between</w:t>
      </w:r>
      <w:r w:rsidR="00E61374">
        <w:rPr>
          <w:noProof/>
        </w:rPr>
        <w:t xml:space="preserve"> </w:t>
      </w:r>
      <w:r w:rsidR="00E61374" w:rsidRPr="00D37004">
        <w:rPr>
          <w:noProof/>
        </w:rPr>
        <w:t xml:space="preserve">EUR </w:t>
      </w:r>
      <w:r w:rsidR="00213A2C">
        <w:rPr>
          <w:noProof/>
        </w:rPr>
        <w:t>8 and 17</w:t>
      </w:r>
      <w:r w:rsidR="007640B4">
        <w:rPr>
          <w:noProof/>
        </w:rPr>
        <w:t xml:space="preserve"> </w:t>
      </w:r>
      <w:r w:rsidR="00E61374">
        <w:rPr>
          <w:noProof/>
        </w:rPr>
        <w:t>bn</w:t>
      </w:r>
      <w:r w:rsidR="00E61374" w:rsidRPr="00D37004">
        <w:rPr>
          <w:noProof/>
        </w:rPr>
        <w:t xml:space="preserve">. Under </w:t>
      </w:r>
      <w:r w:rsidR="00E61374" w:rsidRPr="294AF3FA">
        <w:rPr>
          <w:b/>
          <w:bCs/>
          <w:noProof/>
        </w:rPr>
        <w:t>PO2-C</w:t>
      </w:r>
      <w:r w:rsidR="00E61374" w:rsidRPr="00D37004">
        <w:rPr>
          <w:noProof/>
        </w:rPr>
        <w:t>,</w:t>
      </w:r>
      <w:r w:rsidR="00E61374" w:rsidRPr="294AF3FA" w:rsidDel="00C704CF">
        <w:rPr>
          <w:b/>
          <w:bCs/>
          <w:noProof/>
        </w:rPr>
        <w:t xml:space="preserve"> </w:t>
      </w:r>
      <w:r w:rsidR="00E61374" w:rsidRPr="00D37004">
        <w:rPr>
          <w:noProof/>
        </w:rPr>
        <w:t xml:space="preserve">cost savings derive from standardisation and automation at scale. Mandating </w:t>
      </w:r>
      <w:r w:rsidR="00307A62">
        <w:rPr>
          <w:noProof/>
        </w:rPr>
        <w:t xml:space="preserve">sovereignty risk assessments </w:t>
      </w:r>
      <w:r w:rsidR="00E61374">
        <w:rPr>
          <w:noProof/>
        </w:rPr>
        <w:t xml:space="preserve">(PM21) </w:t>
      </w:r>
      <w:r w:rsidR="00116835">
        <w:rPr>
          <w:noProof/>
        </w:rPr>
        <w:t>are</w:t>
      </w:r>
      <w:r w:rsidR="00E61374" w:rsidRPr="00D37004">
        <w:rPr>
          <w:noProof/>
        </w:rPr>
        <w:t xml:space="preserve"> expected to </w:t>
      </w:r>
      <w:r w:rsidR="00323641">
        <w:rPr>
          <w:noProof/>
        </w:rPr>
        <w:t xml:space="preserve">create a more </w:t>
      </w:r>
      <w:r w:rsidR="000A2035">
        <w:rPr>
          <w:noProof/>
        </w:rPr>
        <w:t xml:space="preserve">systematic and trustful </w:t>
      </w:r>
      <w:r w:rsidR="006E4E60">
        <w:rPr>
          <w:noProof/>
        </w:rPr>
        <w:t>manner</w:t>
      </w:r>
      <w:r w:rsidR="00323641" w:rsidRPr="00D37004">
        <w:rPr>
          <w:noProof/>
        </w:rPr>
        <w:t xml:space="preserve"> to </w:t>
      </w:r>
      <w:r w:rsidR="00983C25">
        <w:rPr>
          <w:noProof/>
        </w:rPr>
        <w:t xml:space="preserve">assess </w:t>
      </w:r>
      <w:r w:rsidR="00436E2A">
        <w:rPr>
          <w:noProof/>
        </w:rPr>
        <w:t xml:space="preserve">needs for </w:t>
      </w:r>
      <w:r w:rsidR="00323641">
        <w:rPr>
          <w:noProof/>
        </w:rPr>
        <w:t>cloud and AI computing</w:t>
      </w:r>
      <w:r w:rsidR="00323641" w:rsidRPr="00D37004">
        <w:rPr>
          <w:noProof/>
        </w:rPr>
        <w:t xml:space="preserve"> services</w:t>
      </w:r>
      <w:r w:rsidR="00323641">
        <w:rPr>
          <w:noProof/>
        </w:rPr>
        <w:t xml:space="preserve"> and</w:t>
      </w:r>
      <w:r w:rsidR="00E61374" w:rsidDel="00323641">
        <w:rPr>
          <w:noProof/>
        </w:rPr>
        <w:t xml:space="preserve"> </w:t>
      </w:r>
      <w:r w:rsidR="00E61374" w:rsidRPr="00D37004">
        <w:rPr>
          <w:noProof/>
        </w:rPr>
        <w:t xml:space="preserve">reduce </w:t>
      </w:r>
      <w:r w:rsidR="00436E2A">
        <w:rPr>
          <w:noProof/>
        </w:rPr>
        <w:t xml:space="preserve">their </w:t>
      </w:r>
      <w:r w:rsidR="00E61374" w:rsidRPr="00D37004">
        <w:rPr>
          <w:noProof/>
        </w:rPr>
        <w:t>time for procurement</w:t>
      </w:r>
      <w:r w:rsidR="00436E2A">
        <w:rPr>
          <w:noProof/>
        </w:rPr>
        <w:t xml:space="preserve"> thanks to the comfort o</w:t>
      </w:r>
      <w:r w:rsidR="00F947A1">
        <w:rPr>
          <w:noProof/>
        </w:rPr>
        <w:t xml:space="preserve">f </w:t>
      </w:r>
      <w:r w:rsidR="004902CF">
        <w:rPr>
          <w:noProof/>
        </w:rPr>
        <w:t>having</w:t>
      </w:r>
      <w:r w:rsidR="00323641">
        <w:rPr>
          <w:noProof/>
        </w:rPr>
        <w:t xml:space="preserve"> compliance </w:t>
      </w:r>
      <w:r w:rsidR="001F6F84">
        <w:rPr>
          <w:noProof/>
        </w:rPr>
        <w:t>with</w:t>
      </w:r>
      <w:r w:rsidR="00323641">
        <w:rPr>
          <w:noProof/>
        </w:rPr>
        <w:t xml:space="preserve"> sovereignty requirements</w:t>
      </w:r>
      <w:r w:rsidR="001F6F84">
        <w:rPr>
          <w:noProof/>
        </w:rPr>
        <w:t xml:space="preserve"> verified ex-ante</w:t>
      </w:r>
      <w:r w:rsidR="00E61374" w:rsidRPr="00D37004">
        <w:rPr>
          <w:noProof/>
        </w:rPr>
        <w:t xml:space="preserve">. </w:t>
      </w:r>
      <w:r w:rsidR="55D849FB" w:rsidRPr="00D37004">
        <w:rPr>
          <w:noProof/>
        </w:rPr>
        <w:t>Today, there are in several Member States (ex: France, Italy, Finland) some schemes and methodologies used at national level for the overall security and resilience of cloud c</w:t>
      </w:r>
      <w:r w:rsidR="13621AD8" w:rsidRPr="00D37004">
        <w:rPr>
          <w:noProof/>
        </w:rPr>
        <w:t xml:space="preserve">omputing services. Whereas a voluntary approach may not lead to convergence between them, a compulsory system as proposed in this measure, combined with Commission’s support and oversight, will have more </w:t>
      </w:r>
      <w:r w:rsidR="55128B23" w:rsidRPr="00D37004">
        <w:rPr>
          <w:noProof/>
        </w:rPr>
        <w:t xml:space="preserve">benefits in terms of synergies between Member States, and will also complement other measures proposed to consolidate efforts. </w:t>
      </w:r>
      <w:r w:rsidR="55128B23">
        <w:rPr>
          <w:noProof/>
        </w:rPr>
        <w:t>Notably</w:t>
      </w:r>
      <w:r w:rsidR="00E61374">
        <w:rPr>
          <w:noProof/>
        </w:rPr>
        <w:t>, p</w:t>
      </w:r>
      <w:r w:rsidR="00E61374" w:rsidRPr="00D37004">
        <w:rPr>
          <w:noProof/>
        </w:rPr>
        <w:t>articipation in the public sector cloud</w:t>
      </w:r>
      <w:r w:rsidR="00E61374">
        <w:rPr>
          <w:noProof/>
        </w:rPr>
        <w:t xml:space="preserve"> and AI computing service </w:t>
      </w:r>
      <w:r w:rsidR="00E61374" w:rsidRPr="00D37004">
        <w:rPr>
          <w:noProof/>
        </w:rPr>
        <w:t xml:space="preserve">federation </w:t>
      </w:r>
      <w:r w:rsidR="00E61374">
        <w:rPr>
          <w:noProof/>
        </w:rPr>
        <w:t xml:space="preserve">alongside </w:t>
      </w:r>
      <w:r w:rsidR="00512E13">
        <w:rPr>
          <w:noProof/>
        </w:rPr>
        <w:t>voluntary</w:t>
      </w:r>
      <w:r w:rsidR="00E61374">
        <w:rPr>
          <w:noProof/>
        </w:rPr>
        <w:t xml:space="preserve"> </w:t>
      </w:r>
      <w:r w:rsidR="00E61374" w:rsidRPr="00DB2E5B">
        <w:rPr>
          <w:noProof/>
        </w:rPr>
        <w:t xml:space="preserve">EU-level </w:t>
      </w:r>
      <w:r w:rsidR="008304FC">
        <w:rPr>
          <w:noProof/>
        </w:rPr>
        <w:t xml:space="preserve">joint </w:t>
      </w:r>
      <w:r w:rsidR="00E61374" w:rsidRPr="00DB2E5B">
        <w:rPr>
          <w:noProof/>
        </w:rPr>
        <w:t>procurement (PM22)</w:t>
      </w:r>
      <w:r w:rsidR="00E61374">
        <w:rPr>
          <w:noProof/>
        </w:rPr>
        <w:t xml:space="preserve"> </w:t>
      </w:r>
      <w:r w:rsidR="0068626B">
        <w:rPr>
          <w:noProof/>
        </w:rPr>
        <w:t>are</w:t>
      </w:r>
      <w:r w:rsidR="00E61374" w:rsidRPr="00D37004">
        <w:rPr>
          <w:noProof/>
        </w:rPr>
        <w:t xml:space="preserve"> expected to </w:t>
      </w:r>
      <w:r w:rsidR="00E61374">
        <w:rPr>
          <w:noProof/>
        </w:rPr>
        <w:t xml:space="preserve">generate </w:t>
      </w:r>
      <w:r w:rsidR="00AC14E7">
        <w:rPr>
          <w:noProof/>
        </w:rPr>
        <w:t>significant</w:t>
      </w:r>
      <w:r w:rsidR="00E61374">
        <w:rPr>
          <w:noProof/>
        </w:rPr>
        <w:t xml:space="preserve"> savings </w:t>
      </w:r>
      <w:r w:rsidR="00E61374" w:rsidRPr="00D37004">
        <w:rPr>
          <w:noProof/>
        </w:rPr>
        <w:t>through an optimised use of compute capacity</w:t>
      </w:r>
      <w:r w:rsidR="00A2188F">
        <w:rPr>
          <w:noProof/>
        </w:rPr>
        <w:t xml:space="preserve">, a </w:t>
      </w:r>
      <w:r w:rsidR="00E61374">
        <w:rPr>
          <w:noProof/>
        </w:rPr>
        <w:t>more cost-efficient procurement</w:t>
      </w:r>
      <w:r w:rsidR="00A2188F">
        <w:rPr>
          <w:noProof/>
        </w:rPr>
        <w:t xml:space="preserve"> and </w:t>
      </w:r>
      <w:r w:rsidR="004304E4">
        <w:rPr>
          <w:noProof/>
        </w:rPr>
        <w:t>improved economies of scale</w:t>
      </w:r>
      <w:r w:rsidR="00E61374" w:rsidRPr="00D37004">
        <w:rPr>
          <w:noProof/>
        </w:rPr>
        <w:t xml:space="preserve">. </w:t>
      </w:r>
      <w:r w:rsidR="00E61374" w:rsidRPr="00D37004">
        <w:rPr>
          <w:noProof/>
          <w:color w:val="000000" w:themeColor="text1"/>
        </w:rPr>
        <w:t>G</w:t>
      </w:r>
      <w:r w:rsidR="00E61374" w:rsidRPr="00D37004">
        <w:rPr>
          <w:noProof/>
        </w:rPr>
        <w:t xml:space="preserve">reater use of open source </w:t>
      </w:r>
      <w:r w:rsidR="00E61374">
        <w:rPr>
          <w:noProof/>
        </w:rPr>
        <w:t xml:space="preserve">(PM20) </w:t>
      </w:r>
      <w:r w:rsidR="00E61374" w:rsidRPr="00D37004">
        <w:rPr>
          <w:noProof/>
        </w:rPr>
        <w:t>is expected to reduce proprietary license expenditures,</w:t>
      </w:r>
      <w:r w:rsidR="00E61374" w:rsidRPr="00D37004" w:rsidDel="00F4129C">
        <w:rPr>
          <w:noProof/>
        </w:rPr>
        <w:t xml:space="preserve"> </w:t>
      </w:r>
      <w:r w:rsidR="00E61374" w:rsidRPr="00D37004">
        <w:rPr>
          <w:noProof/>
        </w:rPr>
        <w:t xml:space="preserve">lowering licensing costs and </w:t>
      </w:r>
      <w:r w:rsidR="00E61374" w:rsidRPr="00D37004">
        <w:rPr>
          <w:noProof/>
          <w:color w:val="000000" w:themeColor="text1"/>
        </w:rPr>
        <w:t>total cost of ownership for IT systems</w:t>
      </w:r>
      <w:r w:rsidR="00E61374" w:rsidRPr="00D37004">
        <w:rPr>
          <w:noProof/>
          <w:color w:val="000000" w:themeColor="text1"/>
          <w:vertAlign w:val="superscript"/>
        </w:rPr>
        <w:endnoteReference w:id="167"/>
      </w:r>
      <w:r w:rsidR="00E61374" w:rsidRPr="00D37004">
        <w:rPr>
          <w:noProof/>
        </w:rPr>
        <w:t>.</w:t>
      </w:r>
      <w:r w:rsidR="00E61374" w:rsidRPr="00D37004">
        <w:rPr>
          <w:noProof/>
          <w:color w:val="000000" w:themeColor="text1"/>
        </w:rPr>
        <w:t xml:space="preserve"> These measures </w:t>
      </w:r>
      <w:r w:rsidR="00687989">
        <w:rPr>
          <w:noProof/>
          <w:color w:val="000000" w:themeColor="text1"/>
        </w:rPr>
        <w:t>c</w:t>
      </w:r>
      <w:r w:rsidR="00E61374" w:rsidRPr="00D37004">
        <w:rPr>
          <w:noProof/>
          <w:color w:val="000000" w:themeColor="text1"/>
        </w:rPr>
        <w:t xml:space="preserve">ould altogether lead to </w:t>
      </w:r>
      <w:r w:rsidR="00687989">
        <w:rPr>
          <w:noProof/>
          <w:color w:val="000000" w:themeColor="text1"/>
        </w:rPr>
        <w:t xml:space="preserve">considerable </w:t>
      </w:r>
      <w:r w:rsidR="00E61374" w:rsidRPr="00D37004">
        <w:rPr>
          <w:noProof/>
          <w:color w:val="000000" w:themeColor="text1"/>
        </w:rPr>
        <w:t xml:space="preserve">cost savings for authorities </w:t>
      </w:r>
      <w:r w:rsidR="00687989">
        <w:rPr>
          <w:noProof/>
          <w:color w:val="000000" w:themeColor="text1"/>
        </w:rPr>
        <w:t xml:space="preserve">ranging </w:t>
      </w:r>
      <w:r w:rsidR="00687989" w:rsidRPr="000F089F">
        <w:rPr>
          <w:b/>
          <w:noProof/>
          <w:color w:val="000000" w:themeColor="text1"/>
        </w:rPr>
        <w:t xml:space="preserve">between </w:t>
      </w:r>
      <w:r w:rsidR="00E61374" w:rsidRPr="000F089F">
        <w:rPr>
          <w:b/>
          <w:noProof/>
          <w:color w:val="000000" w:themeColor="text1"/>
        </w:rPr>
        <w:t xml:space="preserve">EUR </w:t>
      </w:r>
      <w:r w:rsidR="00581F18" w:rsidRPr="000F089F">
        <w:rPr>
          <w:b/>
          <w:bCs/>
          <w:noProof/>
          <w:color w:val="000000" w:themeColor="text1"/>
        </w:rPr>
        <w:t>2</w:t>
      </w:r>
      <w:r w:rsidR="00376489">
        <w:rPr>
          <w:b/>
          <w:bCs/>
          <w:noProof/>
          <w:color w:val="000000" w:themeColor="text1"/>
        </w:rPr>
        <w:t>1</w:t>
      </w:r>
      <w:r w:rsidR="00687989" w:rsidRPr="000F089F">
        <w:rPr>
          <w:b/>
          <w:noProof/>
          <w:color w:val="000000" w:themeColor="text1"/>
        </w:rPr>
        <w:t xml:space="preserve"> and </w:t>
      </w:r>
      <w:r w:rsidR="00581F18" w:rsidRPr="000F089F">
        <w:rPr>
          <w:b/>
          <w:bCs/>
          <w:noProof/>
          <w:color w:val="000000" w:themeColor="text1"/>
        </w:rPr>
        <w:t>6</w:t>
      </w:r>
      <w:r w:rsidR="006A6850">
        <w:rPr>
          <w:b/>
          <w:bCs/>
          <w:noProof/>
          <w:color w:val="000000" w:themeColor="text1"/>
        </w:rPr>
        <w:t>1</w:t>
      </w:r>
      <w:r w:rsidR="007640B4" w:rsidRPr="000F089F">
        <w:rPr>
          <w:b/>
          <w:noProof/>
          <w:color w:val="000000" w:themeColor="text1"/>
        </w:rPr>
        <w:t xml:space="preserve"> </w:t>
      </w:r>
      <w:r w:rsidR="00E61374" w:rsidRPr="000F089F">
        <w:rPr>
          <w:b/>
          <w:noProof/>
          <w:color w:val="000000" w:themeColor="text1"/>
        </w:rPr>
        <w:t>bn</w:t>
      </w:r>
      <w:r w:rsidR="00687989">
        <w:rPr>
          <w:noProof/>
          <w:color w:val="000000" w:themeColor="text1"/>
        </w:rPr>
        <w:t xml:space="preserve"> over 10 years</w:t>
      </w:r>
      <w:r w:rsidR="00E61374" w:rsidRPr="00D37004">
        <w:rPr>
          <w:noProof/>
          <w:color w:val="000000" w:themeColor="text1"/>
        </w:rPr>
        <w:t>.</w:t>
      </w:r>
      <w:r w:rsidR="000F089F">
        <w:rPr>
          <w:noProof/>
          <w:color w:val="000000" w:themeColor="text1"/>
        </w:rPr>
        <w:t xml:space="preserve"> </w:t>
      </w:r>
      <w:r w:rsidR="005442DE">
        <w:rPr>
          <w:noProof/>
          <w:color w:val="000000" w:themeColor="text1"/>
        </w:rPr>
        <w:t>A significant part</w:t>
      </w:r>
      <w:r w:rsidR="00685FA2">
        <w:rPr>
          <w:noProof/>
          <w:color w:val="000000" w:themeColor="text1"/>
        </w:rPr>
        <w:t xml:space="preserve"> of these savings come from </w:t>
      </w:r>
      <w:r w:rsidR="00661F8F">
        <w:rPr>
          <w:noProof/>
          <w:color w:val="000000" w:themeColor="text1"/>
        </w:rPr>
        <w:t>the EU-level joint procurement</w:t>
      </w:r>
      <w:r w:rsidR="006C59F1">
        <w:rPr>
          <w:noProof/>
          <w:color w:val="000000" w:themeColor="text1"/>
        </w:rPr>
        <w:t xml:space="preserve"> that </w:t>
      </w:r>
      <w:r w:rsidR="005B7BFE">
        <w:rPr>
          <w:noProof/>
          <w:color w:val="000000" w:themeColor="text1"/>
        </w:rPr>
        <w:t xml:space="preserve">starts </w:t>
      </w:r>
      <w:r w:rsidR="00661F8F">
        <w:rPr>
          <w:noProof/>
          <w:color w:val="000000" w:themeColor="text1"/>
        </w:rPr>
        <w:t>managing</w:t>
      </w:r>
      <w:r w:rsidR="005B7BFE">
        <w:rPr>
          <w:noProof/>
          <w:color w:val="000000" w:themeColor="text1"/>
        </w:rPr>
        <w:t xml:space="preserve"> 2% of the </w:t>
      </w:r>
      <w:r w:rsidR="007240EC">
        <w:rPr>
          <w:noProof/>
          <w:color w:val="000000" w:themeColor="text1"/>
        </w:rPr>
        <w:t xml:space="preserve">total </w:t>
      </w:r>
      <w:r w:rsidR="005B7BFE">
        <w:rPr>
          <w:noProof/>
          <w:color w:val="000000" w:themeColor="text1"/>
        </w:rPr>
        <w:t>cloud</w:t>
      </w:r>
      <w:r w:rsidR="0069731B">
        <w:rPr>
          <w:noProof/>
          <w:color w:val="000000" w:themeColor="text1"/>
        </w:rPr>
        <w:t xml:space="preserve"> and AI</w:t>
      </w:r>
      <w:r w:rsidR="005B7BFE">
        <w:rPr>
          <w:noProof/>
          <w:color w:val="000000" w:themeColor="text1"/>
        </w:rPr>
        <w:t xml:space="preserve"> procurement volume </w:t>
      </w:r>
      <w:r w:rsidR="003907DE">
        <w:rPr>
          <w:noProof/>
          <w:color w:val="000000" w:themeColor="text1"/>
        </w:rPr>
        <w:t xml:space="preserve">of </w:t>
      </w:r>
      <w:r w:rsidR="00E62C37">
        <w:rPr>
          <w:noProof/>
          <w:color w:val="000000" w:themeColor="text1"/>
        </w:rPr>
        <w:t>national</w:t>
      </w:r>
      <w:r w:rsidR="003907DE">
        <w:rPr>
          <w:noProof/>
          <w:color w:val="000000" w:themeColor="text1"/>
        </w:rPr>
        <w:t xml:space="preserve"> contracting authorities </w:t>
      </w:r>
      <w:r w:rsidR="007240EC">
        <w:rPr>
          <w:noProof/>
          <w:color w:val="000000" w:themeColor="text1"/>
        </w:rPr>
        <w:t>reaching 20%</w:t>
      </w:r>
      <w:r w:rsidR="00B105D2">
        <w:rPr>
          <w:noProof/>
          <w:color w:val="000000" w:themeColor="text1"/>
        </w:rPr>
        <w:t xml:space="preserve"> at the end of the 10</w:t>
      </w:r>
      <w:r w:rsidR="00EB517B">
        <w:rPr>
          <w:noProof/>
          <w:color w:val="000000" w:themeColor="text1"/>
        </w:rPr>
        <w:t>-</w:t>
      </w:r>
      <w:r w:rsidR="00B105D2">
        <w:rPr>
          <w:noProof/>
          <w:color w:val="000000" w:themeColor="text1"/>
        </w:rPr>
        <w:t>year period and moving from 10% savings in first year to a range of 20-40% at the end of the period</w:t>
      </w:r>
      <w:r w:rsidR="00D83B26">
        <w:rPr>
          <w:noProof/>
          <w:color w:val="000000" w:themeColor="text1"/>
        </w:rPr>
        <w:t xml:space="preserve"> as economies of scale</w:t>
      </w:r>
      <w:r w:rsidR="00940E82">
        <w:rPr>
          <w:noProof/>
          <w:color w:val="000000" w:themeColor="text1"/>
        </w:rPr>
        <w:t xml:space="preserve"> increase</w:t>
      </w:r>
      <w:r w:rsidR="00B105D2">
        <w:rPr>
          <w:noProof/>
          <w:color w:val="000000" w:themeColor="text1"/>
        </w:rPr>
        <w:t>.</w:t>
      </w:r>
    </w:p>
    <w:p w14:paraId="36FAEA48" w14:textId="77777777" w:rsidR="00E61374" w:rsidRPr="00D37004" w:rsidRDefault="00E61374" w:rsidP="00ED1280">
      <w:pPr>
        <w:pStyle w:val="Heading3"/>
        <w:spacing w:before="240"/>
        <w:rPr>
          <w:noProof/>
        </w:rPr>
      </w:pPr>
      <w:r w:rsidRPr="00D37004">
        <w:rPr>
          <w:noProof/>
        </w:rPr>
        <w:t xml:space="preserve">Impact on the European Commission </w:t>
      </w:r>
    </w:p>
    <w:p w14:paraId="3C403441" w14:textId="1817A7B3" w:rsidR="00E61374" w:rsidRPr="00D37004" w:rsidRDefault="00E61374" w:rsidP="006E6674">
      <w:pPr>
        <w:rPr>
          <w:noProof/>
        </w:rPr>
      </w:pPr>
      <w:r w:rsidRPr="00D37004">
        <w:rPr>
          <w:b/>
          <w:i/>
          <w:noProof/>
        </w:rPr>
        <w:t>Administrative and adjustment costs.</w:t>
      </w:r>
      <w:r w:rsidRPr="00D37004">
        <w:rPr>
          <w:noProof/>
        </w:rPr>
        <w:t xml:space="preserve"> </w:t>
      </w:r>
      <w:r w:rsidRPr="00D37004">
        <w:rPr>
          <w:b/>
          <w:noProof/>
        </w:rPr>
        <w:t>PO1-A</w:t>
      </w:r>
      <w:r w:rsidRPr="00D37004">
        <w:rPr>
          <w:noProof/>
        </w:rPr>
        <w:t xml:space="preserve"> is expected to generate one-off and recurrent</w:t>
      </w:r>
      <w:r w:rsidRPr="00D37004">
        <w:rPr>
          <w:b/>
          <w:noProof/>
        </w:rPr>
        <w:t xml:space="preserve"> </w:t>
      </w:r>
      <w:r w:rsidRPr="00D37004">
        <w:rPr>
          <w:noProof/>
        </w:rPr>
        <w:t>administrative costs, regarding the development of guidelines</w:t>
      </w:r>
      <w:r>
        <w:rPr>
          <w:noProof/>
        </w:rPr>
        <w:t xml:space="preserve"> (PM3)</w:t>
      </w:r>
      <w:r w:rsidRPr="00D37004">
        <w:rPr>
          <w:noProof/>
        </w:rPr>
        <w:t xml:space="preserve">, the establishment of the new Alliance Working Group </w:t>
      </w:r>
      <w:r>
        <w:rPr>
          <w:noProof/>
        </w:rPr>
        <w:t xml:space="preserve">(PM1) </w:t>
      </w:r>
      <w:r w:rsidRPr="00D37004">
        <w:rPr>
          <w:noProof/>
        </w:rPr>
        <w:t>and</w:t>
      </w:r>
      <w:r w:rsidRPr="00D37004" w:rsidDel="009473B8">
        <w:rPr>
          <w:noProof/>
        </w:rPr>
        <w:t xml:space="preserve"> </w:t>
      </w:r>
      <w:r w:rsidR="00217F2B">
        <w:rPr>
          <w:noProof/>
        </w:rPr>
        <w:t>DC</w:t>
      </w:r>
      <w:r w:rsidRPr="00D37004">
        <w:rPr>
          <w:noProof/>
        </w:rPr>
        <w:t xml:space="preserve"> forum</w:t>
      </w:r>
      <w:r>
        <w:rPr>
          <w:noProof/>
        </w:rPr>
        <w:t xml:space="preserve"> (PM2)</w:t>
      </w:r>
      <w:r w:rsidRPr="00D37004">
        <w:rPr>
          <w:noProof/>
        </w:rPr>
        <w:t xml:space="preserve">, leading to modest additional costs with respect to the baseline of </w:t>
      </w:r>
      <w:r>
        <w:rPr>
          <w:noProof/>
        </w:rPr>
        <w:t xml:space="preserve">around </w:t>
      </w:r>
      <w:r w:rsidRPr="00B51305">
        <w:rPr>
          <w:b/>
          <w:noProof/>
        </w:rPr>
        <w:t>EUR 0.5 m</w:t>
      </w:r>
      <w:r w:rsidRPr="00D37004">
        <w:rPr>
          <w:noProof/>
        </w:rPr>
        <w:t xml:space="preserve">. </w:t>
      </w:r>
      <w:r w:rsidRPr="00D37004">
        <w:rPr>
          <w:b/>
          <w:noProof/>
        </w:rPr>
        <w:t>PO1-B</w:t>
      </w:r>
      <w:r w:rsidRPr="00D37004">
        <w:rPr>
          <w:noProof/>
        </w:rPr>
        <w:t xml:space="preserve"> </w:t>
      </w:r>
      <w:r w:rsidR="00EC21DF">
        <w:rPr>
          <w:noProof/>
        </w:rPr>
        <w:t>would</w:t>
      </w:r>
      <w:r w:rsidRPr="00D37004">
        <w:rPr>
          <w:noProof/>
        </w:rPr>
        <w:t xml:space="preserve"> entail one-off </w:t>
      </w:r>
      <w:r>
        <w:rPr>
          <w:noProof/>
        </w:rPr>
        <w:t>adjustment</w:t>
      </w:r>
      <w:r w:rsidRPr="00D37004">
        <w:rPr>
          <w:noProof/>
        </w:rPr>
        <w:t xml:space="preserve"> </w:t>
      </w:r>
      <w:r>
        <w:rPr>
          <w:noProof/>
        </w:rPr>
        <w:t xml:space="preserve">costs </w:t>
      </w:r>
      <w:r w:rsidRPr="00D37004">
        <w:rPr>
          <w:noProof/>
        </w:rPr>
        <w:t xml:space="preserve">and recurrent </w:t>
      </w:r>
      <w:r>
        <w:rPr>
          <w:noProof/>
        </w:rPr>
        <w:t xml:space="preserve">ones </w:t>
      </w:r>
      <w:r w:rsidRPr="00D37004">
        <w:rPr>
          <w:noProof/>
        </w:rPr>
        <w:t xml:space="preserve">for establishing </w:t>
      </w:r>
      <w:r>
        <w:rPr>
          <w:noProof/>
        </w:rPr>
        <w:t xml:space="preserve">and subsequently managing </w:t>
      </w:r>
      <w:r w:rsidRPr="00D37004">
        <w:rPr>
          <w:noProof/>
        </w:rPr>
        <w:t xml:space="preserve">the coordination hub supporting Member States in identifying fast-track areas </w:t>
      </w:r>
      <w:r>
        <w:rPr>
          <w:noProof/>
        </w:rPr>
        <w:t xml:space="preserve">(PM5), </w:t>
      </w:r>
      <w:r w:rsidRPr="00D37004">
        <w:rPr>
          <w:noProof/>
        </w:rPr>
        <w:t xml:space="preserve">as well as </w:t>
      </w:r>
      <w:r>
        <w:rPr>
          <w:noProof/>
        </w:rPr>
        <w:t xml:space="preserve">adjustment effort to </w:t>
      </w:r>
      <w:r w:rsidRPr="00D37004">
        <w:rPr>
          <w:noProof/>
        </w:rPr>
        <w:t>monitor and coordinat</w:t>
      </w:r>
      <w:r>
        <w:rPr>
          <w:noProof/>
        </w:rPr>
        <w:t>e</w:t>
      </w:r>
      <w:r w:rsidRPr="00D37004">
        <w:rPr>
          <w:noProof/>
        </w:rPr>
        <w:t xml:space="preserve"> </w:t>
      </w:r>
      <w:r>
        <w:rPr>
          <w:noProof/>
        </w:rPr>
        <w:t xml:space="preserve">the </w:t>
      </w:r>
      <w:r w:rsidRPr="00D37004">
        <w:rPr>
          <w:noProof/>
        </w:rPr>
        <w:t>monitoring and reporting on computing capacity</w:t>
      </w:r>
      <w:r>
        <w:rPr>
          <w:noProof/>
        </w:rPr>
        <w:t xml:space="preserve"> (PM7)</w:t>
      </w:r>
      <w:r w:rsidRPr="00D37004">
        <w:rPr>
          <w:noProof/>
        </w:rPr>
        <w:t xml:space="preserve">, leading to expected total </w:t>
      </w:r>
      <w:r>
        <w:rPr>
          <w:noProof/>
        </w:rPr>
        <w:t xml:space="preserve">discounted </w:t>
      </w:r>
      <w:r w:rsidRPr="00D37004">
        <w:rPr>
          <w:noProof/>
        </w:rPr>
        <w:t>costs</w:t>
      </w:r>
      <w:r>
        <w:rPr>
          <w:noProof/>
        </w:rPr>
        <w:t xml:space="preserve"> over 10-years</w:t>
      </w:r>
      <w:r w:rsidRPr="00D37004">
        <w:rPr>
          <w:noProof/>
        </w:rPr>
        <w:t xml:space="preserve"> </w:t>
      </w:r>
      <w:r w:rsidRPr="00D37004" w:rsidDel="00C66AAF">
        <w:rPr>
          <w:noProof/>
        </w:rPr>
        <w:t xml:space="preserve">of </w:t>
      </w:r>
      <w:r w:rsidR="008D0221">
        <w:rPr>
          <w:noProof/>
        </w:rPr>
        <w:t>around</w:t>
      </w:r>
      <w:r w:rsidR="00C66AAF" w:rsidRPr="00D37004">
        <w:rPr>
          <w:noProof/>
        </w:rPr>
        <w:t xml:space="preserve"> </w:t>
      </w:r>
      <w:r w:rsidRPr="00B51305">
        <w:rPr>
          <w:b/>
          <w:noProof/>
        </w:rPr>
        <w:t xml:space="preserve">EUR </w:t>
      </w:r>
      <w:r w:rsidDel="008D0221">
        <w:rPr>
          <w:b/>
          <w:noProof/>
        </w:rPr>
        <w:t>1</w:t>
      </w:r>
      <w:r w:rsidRPr="00B51305">
        <w:rPr>
          <w:b/>
          <w:noProof/>
        </w:rPr>
        <w:t xml:space="preserve"> m</w:t>
      </w:r>
      <w:r w:rsidRPr="00D37004">
        <w:rPr>
          <w:noProof/>
        </w:rPr>
        <w:t xml:space="preserve">. </w:t>
      </w:r>
      <w:r w:rsidRPr="00D37004">
        <w:rPr>
          <w:b/>
          <w:noProof/>
        </w:rPr>
        <w:t xml:space="preserve">PO1-C </w:t>
      </w:r>
      <w:r w:rsidR="00335701" w:rsidRPr="00720714">
        <w:rPr>
          <w:noProof/>
        </w:rPr>
        <w:t>would</w:t>
      </w:r>
      <w:r w:rsidRPr="00D37004">
        <w:rPr>
          <w:b/>
          <w:noProof/>
        </w:rPr>
        <w:t xml:space="preserve"> </w:t>
      </w:r>
      <w:r w:rsidRPr="00D37004">
        <w:rPr>
          <w:noProof/>
        </w:rPr>
        <w:t>generate the highest economic burden</w:t>
      </w:r>
      <w:r>
        <w:rPr>
          <w:noProof/>
        </w:rPr>
        <w:t xml:space="preserve"> for the Commission</w:t>
      </w:r>
      <w:r w:rsidRPr="00D37004">
        <w:rPr>
          <w:noProof/>
        </w:rPr>
        <w:t xml:space="preserve">, with adjustment costs linked to </w:t>
      </w:r>
      <w:r>
        <w:rPr>
          <w:noProof/>
        </w:rPr>
        <w:t>setting-up and</w:t>
      </w:r>
      <w:r w:rsidRPr="00D37004">
        <w:rPr>
          <w:noProof/>
        </w:rPr>
        <w:t xml:space="preserve"> </w:t>
      </w:r>
      <w:r>
        <w:rPr>
          <w:noProof/>
        </w:rPr>
        <w:t>operating</w:t>
      </w:r>
      <w:r w:rsidRPr="00D37004">
        <w:rPr>
          <w:noProof/>
        </w:rPr>
        <w:t xml:space="preserve"> the 7-year funding programme for R&amp;D and innovation ecosystems </w:t>
      </w:r>
      <w:r>
        <w:rPr>
          <w:noProof/>
        </w:rPr>
        <w:t xml:space="preserve">(PM8) </w:t>
      </w:r>
      <w:r w:rsidRPr="00D37004">
        <w:rPr>
          <w:noProof/>
        </w:rPr>
        <w:t>and for</w:t>
      </w:r>
      <w:r w:rsidRPr="00D37004" w:rsidDel="007876DD">
        <w:rPr>
          <w:noProof/>
        </w:rPr>
        <w:t xml:space="preserve"> </w:t>
      </w:r>
      <w:r w:rsidRPr="00D37004">
        <w:rPr>
          <w:noProof/>
        </w:rPr>
        <w:t>funding the deployment of strategic projects</w:t>
      </w:r>
      <w:r>
        <w:rPr>
          <w:noProof/>
        </w:rPr>
        <w:t xml:space="preserve"> (PM9)</w:t>
      </w:r>
      <w:r w:rsidRPr="00D37004">
        <w:rPr>
          <w:noProof/>
        </w:rPr>
        <w:t xml:space="preserve">. </w:t>
      </w:r>
      <w:r>
        <w:rPr>
          <w:noProof/>
        </w:rPr>
        <w:t xml:space="preserve">Finally, the EU-level identification of fast-track areas (PM10) would entail one-off adjustment costs to set up the mechanism and procuring a supporting digital tool, along with recurrent </w:t>
      </w:r>
      <w:r w:rsidRPr="00D37004">
        <w:rPr>
          <w:noProof/>
        </w:rPr>
        <w:t xml:space="preserve">costs to manage the mechanism to identify areas for fast-tracked </w:t>
      </w:r>
      <w:r w:rsidR="00217F2B">
        <w:rPr>
          <w:noProof/>
        </w:rPr>
        <w:t>DC</w:t>
      </w:r>
      <w:r w:rsidRPr="00D37004">
        <w:rPr>
          <w:noProof/>
        </w:rPr>
        <w:t xml:space="preserve"> deployment and biennial adjustment costs for outsourced studies and expert meetings, leading to total costs of </w:t>
      </w:r>
      <w:r w:rsidRPr="00B51305">
        <w:rPr>
          <w:b/>
          <w:noProof/>
        </w:rPr>
        <w:t xml:space="preserve">EUR </w:t>
      </w:r>
      <w:r w:rsidR="008D0221" w:rsidRPr="00B51305">
        <w:rPr>
          <w:b/>
          <w:bCs/>
          <w:noProof/>
        </w:rPr>
        <w:t>17</w:t>
      </w:r>
      <w:r w:rsidR="008D0221" w:rsidRPr="00B51305">
        <w:rPr>
          <w:b/>
          <w:noProof/>
        </w:rPr>
        <w:t xml:space="preserve"> and 19</w:t>
      </w:r>
      <w:r w:rsidR="001C7827" w:rsidRPr="00B51305">
        <w:rPr>
          <w:b/>
          <w:noProof/>
        </w:rPr>
        <w:t xml:space="preserve"> </w:t>
      </w:r>
      <w:r w:rsidRPr="00B51305">
        <w:rPr>
          <w:b/>
          <w:noProof/>
        </w:rPr>
        <w:t>m</w:t>
      </w:r>
      <w:r w:rsidRPr="00D37004">
        <w:rPr>
          <w:noProof/>
        </w:rPr>
        <w:t xml:space="preserve">. </w:t>
      </w:r>
      <w:r w:rsidRPr="00D37004">
        <w:rPr>
          <w:b/>
          <w:noProof/>
        </w:rPr>
        <w:t>PO2-A</w:t>
      </w:r>
      <w:r w:rsidRPr="00D37004">
        <w:rPr>
          <w:noProof/>
        </w:rPr>
        <w:t xml:space="preserve"> is expected to generate </w:t>
      </w:r>
      <w:r>
        <w:rPr>
          <w:noProof/>
        </w:rPr>
        <w:t xml:space="preserve">one-off </w:t>
      </w:r>
      <w:r w:rsidRPr="00D37004">
        <w:rPr>
          <w:noProof/>
        </w:rPr>
        <w:t>adjustment costs for the Commission</w:t>
      </w:r>
      <w:r w:rsidRPr="00D37004" w:rsidDel="00787F1E">
        <w:rPr>
          <w:noProof/>
        </w:rPr>
        <w:t xml:space="preserve"> </w:t>
      </w:r>
      <w:r w:rsidRPr="00D37004">
        <w:rPr>
          <w:noProof/>
        </w:rPr>
        <w:t>from drafting and consultation for the development of an</w:t>
      </w:r>
      <w:r w:rsidRPr="00D37004" w:rsidDel="00C8150C">
        <w:rPr>
          <w:noProof/>
        </w:rPr>
        <w:t xml:space="preserve"> </w:t>
      </w:r>
      <w:r w:rsidRPr="00D37004">
        <w:rPr>
          <w:noProof/>
        </w:rPr>
        <w:t>EU-</w:t>
      </w:r>
      <w:r w:rsidR="0051724E">
        <w:rPr>
          <w:noProof/>
        </w:rPr>
        <w:t>criteria</w:t>
      </w:r>
      <w:r w:rsidR="0051724E" w:rsidRPr="00D37004">
        <w:rPr>
          <w:noProof/>
        </w:rPr>
        <w:t xml:space="preserve"> </w:t>
      </w:r>
      <w:r w:rsidRPr="00D37004">
        <w:rPr>
          <w:noProof/>
        </w:rPr>
        <w:t>and guidelines on the notion of sovereign</w:t>
      </w:r>
      <w:r w:rsidRPr="00D37004">
        <w:rPr>
          <w:noProof/>
          <w:color w:val="000000" w:themeColor="text1"/>
        </w:rPr>
        <w:t xml:space="preserve"> cloud and AI</w:t>
      </w:r>
      <w:r>
        <w:rPr>
          <w:noProof/>
          <w:color w:val="000000" w:themeColor="text1"/>
        </w:rPr>
        <w:t xml:space="preserve"> computing</w:t>
      </w:r>
      <w:r w:rsidRPr="00D37004">
        <w:rPr>
          <w:noProof/>
          <w:color w:val="000000" w:themeColor="text1"/>
        </w:rPr>
        <w:t xml:space="preserve"> services</w:t>
      </w:r>
      <w:r>
        <w:rPr>
          <w:noProof/>
          <w:color w:val="000000" w:themeColor="text1"/>
        </w:rPr>
        <w:t xml:space="preserve"> (PM12)</w:t>
      </w:r>
      <w:r w:rsidRPr="00D37004">
        <w:rPr>
          <w:noProof/>
        </w:rPr>
        <w:t xml:space="preserve">. The annual </w:t>
      </w:r>
      <w:r w:rsidRPr="00D37004">
        <w:rPr>
          <w:noProof/>
          <w:color w:val="000000" w:themeColor="text1"/>
        </w:rPr>
        <w:t>week-long conference on digital sovereignty</w:t>
      </w:r>
      <w:r w:rsidRPr="00D37004">
        <w:rPr>
          <w:noProof/>
        </w:rPr>
        <w:t xml:space="preserve"> </w:t>
      </w:r>
      <w:r>
        <w:rPr>
          <w:noProof/>
        </w:rPr>
        <w:t xml:space="preserve">(PM13) </w:t>
      </w:r>
      <w:r w:rsidR="00331B2E">
        <w:rPr>
          <w:noProof/>
        </w:rPr>
        <w:t>would</w:t>
      </w:r>
      <w:r>
        <w:rPr>
          <w:noProof/>
        </w:rPr>
        <w:t xml:space="preserve"> </w:t>
      </w:r>
      <w:r w:rsidRPr="00D37004">
        <w:rPr>
          <w:noProof/>
        </w:rPr>
        <w:t xml:space="preserve">also entail recurrent </w:t>
      </w:r>
      <w:r>
        <w:rPr>
          <w:noProof/>
        </w:rPr>
        <w:t xml:space="preserve">adjustment </w:t>
      </w:r>
      <w:r w:rsidRPr="00D37004">
        <w:rPr>
          <w:noProof/>
        </w:rPr>
        <w:t xml:space="preserve">costs for preparation time and event budget. Finally, the increased standardisation efforts on interoperability </w:t>
      </w:r>
      <w:r>
        <w:rPr>
          <w:noProof/>
        </w:rPr>
        <w:t>(PM14)</w:t>
      </w:r>
      <w:r w:rsidRPr="00D37004">
        <w:rPr>
          <w:noProof/>
        </w:rPr>
        <w:t xml:space="preserve"> are expected to </w:t>
      </w:r>
      <w:r>
        <w:rPr>
          <w:noProof/>
        </w:rPr>
        <w:t xml:space="preserve">generate modest one-off adjustment costs for </w:t>
      </w:r>
      <w:r>
        <w:rPr>
          <w:rFonts w:eastAsia="Times New Roman"/>
          <w:noProof/>
        </w:rPr>
        <w:t>procuring ad hoc studies and setting up the coordination group,</w:t>
      </w:r>
      <w:r>
        <w:rPr>
          <w:noProof/>
        </w:rPr>
        <w:t xml:space="preserve"> </w:t>
      </w:r>
      <w:r w:rsidRPr="00D37004">
        <w:rPr>
          <w:rFonts w:eastAsia="Times New Roman"/>
          <w:noProof/>
        </w:rPr>
        <w:t xml:space="preserve">and </w:t>
      </w:r>
      <w:r>
        <w:rPr>
          <w:noProof/>
        </w:rPr>
        <w:t xml:space="preserve">recurrent </w:t>
      </w:r>
      <w:r w:rsidRPr="00D37004">
        <w:rPr>
          <w:rFonts w:eastAsia="Times New Roman"/>
          <w:noProof/>
        </w:rPr>
        <w:t xml:space="preserve">costs for participating and supporting </w:t>
      </w:r>
      <w:r w:rsidRPr="00D37004">
        <w:rPr>
          <w:noProof/>
        </w:rPr>
        <w:t>discussions</w:t>
      </w:r>
      <w:r>
        <w:rPr>
          <w:noProof/>
        </w:rPr>
        <w:t xml:space="preserve">. This would lead to total costs of </w:t>
      </w:r>
      <w:r w:rsidR="003610B6" w:rsidRPr="00BC62A6">
        <w:rPr>
          <w:noProof/>
        </w:rPr>
        <w:t>around</w:t>
      </w:r>
      <w:r w:rsidR="003610B6" w:rsidRPr="00B51305">
        <w:rPr>
          <w:b/>
          <w:noProof/>
        </w:rPr>
        <w:t xml:space="preserve"> </w:t>
      </w:r>
      <w:r w:rsidRPr="00B51305">
        <w:rPr>
          <w:b/>
          <w:noProof/>
        </w:rPr>
        <w:t xml:space="preserve">EUR </w:t>
      </w:r>
      <w:r w:rsidR="003610B6" w:rsidRPr="00B51305">
        <w:rPr>
          <w:b/>
          <w:noProof/>
        </w:rPr>
        <w:t>7</w:t>
      </w:r>
      <w:r w:rsidRPr="00B51305">
        <w:rPr>
          <w:b/>
          <w:noProof/>
        </w:rPr>
        <w:t xml:space="preserve"> m</w:t>
      </w:r>
      <w:r w:rsidRPr="00D37004">
        <w:rPr>
          <w:noProof/>
        </w:rPr>
        <w:t xml:space="preserve">. Under </w:t>
      </w:r>
      <w:r w:rsidRPr="00D37004">
        <w:rPr>
          <w:b/>
          <w:noProof/>
        </w:rPr>
        <w:t>PO2-B</w:t>
      </w:r>
      <w:r w:rsidRPr="00D37004">
        <w:rPr>
          <w:noProof/>
        </w:rPr>
        <w:t>, costs are expected to arise from establishing and managing the repository</w:t>
      </w:r>
      <w:r>
        <w:rPr>
          <w:noProof/>
        </w:rPr>
        <w:t xml:space="preserve"> </w:t>
      </w:r>
      <w:r w:rsidR="00A149DD">
        <w:rPr>
          <w:noProof/>
        </w:rPr>
        <w:t>of</w:t>
      </w:r>
      <w:r w:rsidR="00117534" w:rsidRPr="000D3047" w:rsidDel="000D3047">
        <w:rPr>
          <w:noProof/>
        </w:rPr>
        <w:t xml:space="preserve"> </w:t>
      </w:r>
      <w:r w:rsidR="000D3047" w:rsidRPr="00B53105">
        <w:rPr>
          <w:noProof/>
        </w:rPr>
        <w:t>sovereign</w:t>
      </w:r>
      <w:r w:rsidR="00117534" w:rsidRPr="000D3047">
        <w:rPr>
          <w:noProof/>
        </w:rPr>
        <w:t xml:space="preserve"> services</w:t>
      </w:r>
      <w:r w:rsidRPr="000D3047">
        <w:rPr>
          <w:noProof/>
        </w:rPr>
        <w:t xml:space="preserve"> (PM15</w:t>
      </w:r>
      <w:r>
        <w:rPr>
          <w:noProof/>
        </w:rPr>
        <w:t>)</w:t>
      </w:r>
      <w:r w:rsidRPr="00D37004">
        <w:rPr>
          <w:noProof/>
        </w:rPr>
        <w:t>, setting up the public sector cloud federation platform</w:t>
      </w:r>
      <w:r>
        <w:rPr>
          <w:noProof/>
        </w:rPr>
        <w:t xml:space="preserve"> (PM17)</w:t>
      </w:r>
      <w:r w:rsidRPr="00D37004">
        <w:rPr>
          <w:noProof/>
        </w:rPr>
        <w:t xml:space="preserve">, </w:t>
      </w:r>
      <w:r w:rsidR="000D3047">
        <w:rPr>
          <w:noProof/>
        </w:rPr>
        <w:t xml:space="preserve">and </w:t>
      </w:r>
      <w:r w:rsidR="00CE0765" w:rsidRPr="00D37004">
        <w:rPr>
          <w:noProof/>
        </w:rPr>
        <w:t>develop</w:t>
      </w:r>
      <w:r w:rsidRPr="00D37004">
        <w:rPr>
          <w:noProof/>
        </w:rPr>
        <w:t xml:space="preserve"> the training programme </w:t>
      </w:r>
      <w:r>
        <w:rPr>
          <w:noProof/>
        </w:rPr>
        <w:t>(PM18)</w:t>
      </w:r>
      <w:r w:rsidRPr="00D37004">
        <w:rPr>
          <w:noProof/>
        </w:rPr>
        <w:t xml:space="preserve">. These measures are expected to amount to </w:t>
      </w:r>
      <w:r>
        <w:rPr>
          <w:noProof/>
        </w:rPr>
        <w:t xml:space="preserve">discounted total costs of </w:t>
      </w:r>
      <w:r w:rsidR="00BC62A6">
        <w:rPr>
          <w:noProof/>
        </w:rPr>
        <w:t xml:space="preserve">approximately </w:t>
      </w:r>
      <w:r w:rsidRPr="00B51305">
        <w:rPr>
          <w:b/>
          <w:noProof/>
        </w:rPr>
        <w:t xml:space="preserve">EUR </w:t>
      </w:r>
      <w:r w:rsidR="00BC62A6" w:rsidRPr="00B51305">
        <w:rPr>
          <w:b/>
          <w:bCs/>
          <w:noProof/>
        </w:rPr>
        <w:t>130</w:t>
      </w:r>
      <w:r w:rsidR="0017095A" w:rsidRPr="00B51305">
        <w:rPr>
          <w:b/>
          <w:noProof/>
        </w:rPr>
        <w:t xml:space="preserve"> </w:t>
      </w:r>
      <w:r w:rsidRPr="00B51305">
        <w:rPr>
          <w:b/>
          <w:noProof/>
        </w:rPr>
        <w:t>m</w:t>
      </w:r>
      <w:r w:rsidRPr="00D37004">
        <w:rPr>
          <w:noProof/>
        </w:rPr>
        <w:t xml:space="preserve">. </w:t>
      </w:r>
      <w:r w:rsidRPr="00D37004" w:rsidDel="00703CBC">
        <w:rPr>
          <w:noProof/>
        </w:rPr>
        <w:t xml:space="preserve">In </w:t>
      </w:r>
      <w:r w:rsidRPr="00D37004">
        <w:rPr>
          <w:b/>
          <w:noProof/>
        </w:rPr>
        <w:t>PO2-C</w:t>
      </w:r>
      <w:r w:rsidRPr="00D37004">
        <w:rPr>
          <w:noProof/>
        </w:rPr>
        <w:t>,</w:t>
      </w:r>
      <w:r w:rsidRPr="00D37004">
        <w:rPr>
          <w:b/>
          <w:noProof/>
        </w:rPr>
        <w:t xml:space="preserve"> </w:t>
      </w:r>
      <w:r w:rsidRPr="00D37004">
        <w:rPr>
          <w:noProof/>
        </w:rPr>
        <w:t xml:space="preserve">costs for the mandatory </w:t>
      </w:r>
      <w:r w:rsidR="00F512E1">
        <w:rPr>
          <w:noProof/>
        </w:rPr>
        <w:t>sovereignty risk assessment</w:t>
      </w:r>
      <w:r w:rsidRPr="00D37004">
        <w:rPr>
          <w:noProof/>
        </w:rPr>
        <w:t xml:space="preserve"> </w:t>
      </w:r>
      <w:r>
        <w:rPr>
          <w:noProof/>
        </w:rPr>
        <w:t>(PM21)</w:t>
      </w:r>
      <w:r w:rsidRPr="00D37004">
        <w:rPr>
          <w:noProof/>
        </w:rPr>
        <w:t xml:space="preserve"> </w:t>
      </w:r>
      <w:r w:rsidR="0000157F">
        <w:rPr>
          <w:noProof/>
        </w:rPr>
        <w:t xml:space="preserve">would </w:t>
      </w:r>
      <w:r w:rsidRPr="00D37004">
        <w:rPr>
          <w:noProof/>
        </w:rPr>
        <w:t xml:space="preserve">mirror those listed under </w:t>
      </w:r>
      <w:r w:rsidRPr="00D37004" w:rsidDel="008D31C2">
        <w:rPr>
          <w:noProof/>
        </w:rPr>
        <w:t>PO2-</w:t>
      </w:r>
      <w:r w:rsidRPr="00D37004">
        <w:rPr>
          <w:noProof/>
        </w:rPr>
        <w:t xml:space="preserve">B and comprise the procedures for setting up the repository. EU-level procurement </w:t>
      </w:r>
      <w:r>
        <w:rPr>
          <w:noProof/>
        </w:rPr>
        <w:t>(PM22)</w:t>
      </w:r>
      <w:r w:rsidR="00270A3C">
        <w:rPr>
          <w:noProof/>
        </w:rPr>
        <w:t xml:space="preserve"> would</w:t>
      </w:r>
      <w:r w:rsidRPr="00D37004" w:rsidDel="00E76A58">
        <w:rPr>
          <w:noProof/>
        </w:rPr>
        <w:t xml:space="preserve"> </w:t>
      </w:r>
      <w:r w:rsidRPr="00D37004">
        <w:rPr>
          <w:noProof/>
        </w:rPr>
        <w:t xml:space="preserve">generate </w:t>
      </w:r>
      <w:r>
        <w:rPr>
          <w:noProof/>
        </w:rPr>
        <w:t xml:space="preserve">adjustment </w:t>
      </w:r>
      <w:r w:rsidRPr="00D37004">
        <w:rPr>
          <w:noProof/>
        </w:rPr>
        <w:t>costs related to hosting and maintaining the platform</w:t>
      </w:r>
      <w:r>
        <w:rPr>
          <w:noProof/>
        </w:rPr>
        <w:t>, and recurrent ones for operating it for joint procurement</w:t>
      </w:r>
      <w:r w:rsidRPr="00D37004" w:rsidDel="002C739D">
        <w:rPr>
          <w:noProof/>
        </w:rPr>
        <w:t xml:space="preserve">. The </w:t>
      </w:r>
      <w:r w:rsidRPr="00D37004">
        <w:rPr>
          <w:noProof/>
        </w:rPr>
        <w:t>development, set-up and administration of the adoption scheme for SMEs</w:t>
      </w:r>
      <w:r>
        <w:rPr>
          <w:noProof/>
        </w:rPr>
        <w:t xml:space="preserve"> (PM23)</w:t>
      </w:r>
      <w:r w:rsidRPr="00D37004">
        <w:rPr>
          <w:noProof/>
        </w:rPr>
        <w:t xml:space="preserve"> is expected to generate</w:t>
      </w:r>
      <w:r w:rsidRPr="00D37004" w:rsidDel="000708B9">
        <w:rPr>
          <w:noProof/>
        </w:rPr>
        <w:t xml:space="preserve"> </w:t>
      </w:r>
      <w:r>
        <w:rPr>
          <w:noProof/>
        </w:rPr>
        <w:t xml:space="preserve">the highest adjustment </w:t>
      </w:r>
      <w:r w:rsidRPr="00D37004">
        <w:rPr>
          <w:noProof/>
        </w:rPr>
        <w:t>costs</w:t>
      </w:r>
      <w:r>
        <w:rPr>
          <w:noProof/>
        </w:rPr>
        <w:t xml:space="preserve"> under this option</w:t>
      </w:r>
      <w:r w:rsidRPr="006133BD">
        <w:rPr>
          <w:noProof/>
        </w:rPr>
        <w:t>.</w:t>
      </w:r>
      <w:r>
        <w:rPr>
          <w:noProof/>
        </w:rPr>
        <w:t xml:space="preserve"> </w:t>
      </w:r>
      <w:r w:rsidRPr="008D1295">
        <w:rPr>
          <w:noProof/>
        </w:rPr>
        <w:t>Finally, the</w:t>
      </w:r>
      <w:r w:rsidRPr="00D37004">
        <w:rPr>
          <w:noProof/>
        </w:rPr>
        <w:t xml:space="preserve"> </w:t>
      </w:r>
      <w:r w:rsidR="00F512E1">
        <w:rPr>
          <w:noProof/>
        </w:rPr>
        <w:t xml:space="preserve">online toolbox for service providers to easily identify software tools to help them in complementing their service </w:t>
      </w:r>
      <w:r w:rsidR="00F512E1" w:rsidRPr="000F1986">
        <w:rPr>
          <w:noProof/>
        </w:rPr>
        <w:t>offering</w:t>
      </w:r>
      <w:r w:rsidRPr="000F1986">
        <w:rPr>
          <w:noProof/>
          <w:color w:val="000000" w:themeColor="text1"/>
        </w:rPr>
        <w:t xml:space="preserve"> (PM24) is expected to </w:t>
      </w:r>
      <w:r w:rsidRPr="000F1986">
        <w:rPr>
          <w:noProof/>
        </w:rPr>
        <w:t>generate</w:t>
      </w:r>
      <w:r w:rsidRPr="000F1986" w:rsidDel="002C739D">
        <w:rPr>
          <w:noProof/>
        </w:rPr>
        <w:t xml:space="preserve"> </w:t>
      </w:r>
      <w:r w:rsidRPr="000F1986">
        <w:rPr>
          <w:noProof/>
        </w:rPr>
        <w:t xml:space="preserve">costs related to the </w:t>
      </w:r>
      <w:r w:rsidR="000F1986" w:rsidRPr="0049152F">
        <w:rPr>
          <w:noProof/>
        </w:rPr>
        <w:t xml:space="preserve">development and </w:t>
      </w:r>
      <w:r w:rsidRPr="000F1986">
        <w:rPr>
          <w:noProof/>
        </w:rPr>
        <w:t xml:space="preserve">management of the </w:t>
      </w:r>
      <w:r w:rsidR="000F1986" w:rsidRPr="0049152F">
        <w:rPr>
          <w:noProof/>
        </w:rPr>
        <w:t>toolbox</w:t>
      </w:r>
      <w:r w:rsidRPr="000F1986">
        <w:rPr>
          <w:noProof/>
        </w:rPr>
        <w:t>.</w:t>
      </w:r>
      <w:r w:rsidRPr="00D37004">
        <w:rPr>
          <w:noProof/>
        </w:rPr>
        <w:t xml:space="preserve"> The measures are</w:t>
      </w:r>
      <w:r>
        <w:rPr>
          <w:noProof/>
        </w:rPr>
        <w:t xml:space="preserve"> altogether</w:t>
      </w:r>
      <w:r w:rsidRPr="00D37004">
        <w:rPr>
          <w:noProof/>
        </w:rPr>
        <w:t xml:space="preserve"> expected to generate</w:t>
      </w:r>
      <w:r w:rsidRPr="00D37004" w:rsidDel="000708B9">
        <w:rPr>
          <w:noProof/>
        </w:rPr>
        <w:t xml:space="preserve"> </w:t>
      </w:r>
      <w:r w:rsidRPr="00D37004">
        <w:rPr>
          <w:noProof/>
        </w:rPr>
        <w:t xml:space="preserve">costs for the Commission </w:t>
      </w:r>
      <w:r w:rsidR="12F0798D">
        <w:rPr>
          <w:noProof/>
        </w:rPr>
        <w:t>a</w:t>
      </w:r>
      <w:r>
        <w:rPr>
          <w:noProof/>
        </w:rPr>
        <w:t>mounting</w:t>
      </w:r>
      <w:r w:rsidRPr="00D37004">
        <w:rPr>
          <w:noProof/>
        </w:rPr>
        <w:t xml:space="preserve"> </w:t>
      </w:r>
      <w:r w:rsidR="06A21CDD">
        <w:rPr>
          <w:noProof/>
        </w:rPr>
        <w:t xml:space="preserve">to </w:t>
      </w:r>
      <w:r w:rsidR="00F85CDE">
        <w:rPr>
          <w:noProof/>
        </w:rPr>
        <w:t>in</w:t>
      </w:r>
      <w:r w:rsidR="0E1AE619">
        <w:rPr>
          <w:noProof/>
        </w:rPr>
        <w:t>-</w:t>
      </w:r>
      <w:r w:rsidR="00F85CDE">
        <w:rPr>
          <w:noProof/>
        </w:rPr>
        <w:t xml:space="preserve"> between</w:t>
      </w:r>
      <w:r>
        <w:rPr>
          <w:noProof/>
        </w:rPr>
        <w:t xml:space="preserve"> </w:t>
      </w:r>
      <w:r w:rsidRPr="00B51305">
        <w:rPr>
          <w:b/>
          <w:noProof/>
        </w:rPr>
        <w:t xml:space="preserve">EUR </w:t>
      </w:r>
      <w:r w:rsidR="006D2EE2" w:rsidRPr="00B51305">
        <w:rPr>
          <w:b/>
          <w:noProof/>
        </w:rPr>
        <w:t xml:space="preserve">470 and </w:t>
      </w:r>
      <w:r w:rsidR="004028F5" w:rsidRPr="00B51305">
        <w:rPr>
          <w:b/>
          <w:noProof/>
        </w:rPr>
        <w:t>760</w:t>
      </w:r>
      <w:r w:rsidR="006D2EE2" w:rsidRPr="00B51305">
        <w:rPr>
          <w:b/>
          <w:noProof/>
        </w:rPr>
        <w:t xml:space="preserve"> </w:t>
      </w:r>
      <w:r w:rsidRPr="00B51305">
        <w:rPr>
          <w:b/>
          <w:noProof/>
        </w:rPr>
        <w:t>m</w:t>
      </w:r>
      <w:r w:rsidRPr="00D37004">
        <w:rPr>
          <w:noProof/>
        </w:rPr>
        <w:t xml:space="preserve"> at present value over the next 10 years.</w:t>
      </w:r>
    </w:p>
    <w:p w14:paraId="062181C0" w14:textId="77777777" w:rsidR="00E61374" w:rsidRPr="00D37004" w:rsidRDefault="00E61374" w:rsidP="00ED1280">
      <w:pPr>
        <w:pStyle w:val="Heading3"/>
        <w:spacing w:before="240"/>
        <w:rPr>
          <w:noProof/>
        </w:rPr>
      </w:pPr>
      <w:r w:rsidRPr="00D37004">
        <w:rPr>
          <w:noProof/>
        </w:rPr>
        <w:t>Impact on innovation and technological sovereignty</w:t>
      </w:r>
    </w:p>
    <w:p w14:paraId="4E7B57F3" w14:textId="3FEB9BE4" w:rsidR="00E61374" w:rsidRPr="00D37004" w:rsidRDefault="00E61374" w:rsidP="009D6B10">
      <w:pPr>
        <w:rPr>
          <w:noProof/>
          <w:color w:val="000000" w:themeColor="text1"/>
        </w:rPr>
      </w:pPr>
      <w:r w:rsidRPr="294AF3FA">
        <w:rPr>
          <w:b/>
          <w:bCs/>
          <w:noProof/>
        </w:rPr>
        <w:t>PO1-A</w:t>
      </w:r>
      <w:r w:rsidRPr="00D37004" w:rsidDel="000C151B">
        <w:rPr>
          <w:noProof/>
        </w:rPr>
        <w:t xml:space="preserve"> </w:t>
      </w:r>
      <w:r w:rsidR="000C151B">
        <w:rPr>
          <w:noProof/>
        </w:rPr>
        <w:t>would</w:t>
      </w:r>
      <w:r w:rsidRPr="00D37004">
        <w:rPr>
          <w:noProof/>
        </w:rPr>
        <w:t xml:space="preserve"> not expand the supply chain or balance dependencies on non-EU providers. Innovation effects would also be limited. </w:t>
      </w:r>
      <w:r w:rsidRPr="294AF3FA">
        <w:rPr>
          <w:b/>
          <w:bCs/>
          <w:noProof/>
        </w:rPr>
        <w:t>PO1-B</w:t>
      </w:r>
      <w:r w:rsidRPr="294AF3FA" w:rsidDel="007B2FA5">
        <w:rPr>
          <w:b/>
          <w:noProof/>
        </w:rPr>
        <w:t xml:space="preserve"> </w:t>
      </w:r>
      <w:r w:rsidR="007B2FA5">
        <w:rPr>
          <w:noProof/>
        </w:rPr>
        <w:t>would</w:t>
      </w:r>
      <w:r w:rsidRPr="00D37004">
        <w:rPr>
          <w:noProof/>
        </w:rPr>
        <w:t xml:space="preserve"> be </w:t>
      </w:r>
      <w:r>
        <w:rPr>
          <w:noProof/>
        </w:rPr>
        <w:t>very</w:t>
      </w:r>
      <w:r w:rsidRPr="00D37004">
        <w:rPr>
          <w:noProof/>
        </w:rPr>
        <w:t xml:space="preserve"> impactful in terms of technological sovereignty and innovation. The funding of strategic projects</w:t>
      </w:r>
      <w:r w:rsidDel="00B53374">
        <w:rPr>
          <w:noProof/>
        </w:rPr>
        <w:t xml:space="preserve"> </w:t>
      </w:r>
      <w:r w:rsidR="00B53374">
        <w:rPr>
          <w:noProof/>
        </w:rPr>
        <w:t xml:space="preserve">would </w:t>
      </w:r>
      <w:r>
        <w:rPr>
          <w:noProof/>
        </w:rPr>
        <w:t>allow</w:t>
      </w:r>
      <w:r w:rsidRPr="00D37004">
        <w:rPr>
          <w:noProof/>
        </w:rPr>
        <w:t xml:space="preserve"> national public authorities to steer the development of infrastructure</w:t>
      </w:r>
      <w:r>
        <w:rPr>
          <w:noProof/>
        </w:rPr>
        <w:t xml:space="preserve"> to sectors relevant to sovereignty and to </w:t>
      </w:r>
      <w:r w:rsidR="00217F2B">
        <w:rPr>
          <w:noProof/>
        </w:rPr>
        <w:t>DCs</w:t>
      </w:r>
      <w:r w:rsidRPr="00D37004">
        <w:rPr>
          <w:noProof/>
        </w:rPr>
        <w:t xml:space="preserve"> </w:t>
      </w:r>
      <w:r>
        <w:rPr>
          <w:noProof/>
        </w:rPr>
        <w:t>that</w:t>
      </w:r>
      <w:r w:rsidRPr="00D37004">
        <w:rPr>
          <w:noProof/>
        </w:rPr>
        <w:t xml:space="preserve"> </w:t>
      </w:r>
      <w:r>
        <w:rPr>
          <w:noProof/>
        </w:rPr>
        <w:t>deploy</w:t>
      </w:r>
      <w:r w:rsidRPr="00D37004">
        <w:rPr>
          <w:noProof/>
        </w:rPr>
        <w:t xml:space="preserve"> novel technologies </w:t>
      </w:r>
      <w:r>
        <w:rPr>
          <w:noProof/>
        </w:rPr>
        <w:t>for</w:t>
      </w:r>
      <w:r w:rsidRPr="00D37004">
        <w:rPr>
          <w:noProof/>
        </w:rPr>
        <w:t xml:space="preserve"> resource efficiency.</w:t>
      </w:r>
      <w:r w:rsidRPr="294AF3FA">
        <w:rPr>
          <w:rFonts w:eastAsiaTheme="minorEastAsia"/>
          <w:noProof/>
        </w:rPr>
        <w:t xml:space="preserve"> </w:t>
      </w:r>
      <w:r w:rsidRPr="294AF3FA">
        <w:rPr>
          <w:b/>
          <w:bCs/>
          <w:noProof/>
        </w:rPr>
        <w:t>PO1-C</w:t>
      </w:r>
      <w:r w:rsidRPr="00D37004">
        <w:rPr>
          <w:noProof/>
        </w:rPr>
        <w:t xml:space="preserve"> </w:t>
      </w:r>
      <w:r w:rsidR="00761A2E">
        <w:rPr>
          <w:noProof/>
        </w:rPr>
        <w:t>would have</w:t>
      </w:r>
      <w:r w:rsidR="00761A2E" w:rsidRPr="00D37004">
        <w:rPr>
          <w:noProof/>
        </w:rPr>
        <w:t xml:space="preserve"> </w:t>
      </w:r>
      <w:r w:rsidRPr="00D37004">
        <w:rPr>
          <w:noProof/>
        </w:rPr>
        <w:t>a higher innovation impact than PO1-B. Funding the development and deployment</w:t>
      </w:r>
      <w:r w:rsidRPr="00D37004" w:rsidDel="00395215">
        <w:rPr>
          <w:noProof/>
        </w:rPr>
        <w:t xml:space="preserve"> of </w:t>
      </w:r>
      <w:r w:rsidRPr="00D37004">
        <w:rPr>
          <w:noProof/>
        </w:rPr>
        <w:t xml:space="preserve">novel technologies </w:t>
      </w:r>
      <w:r w:rsidR="00D623DB">
        <w:rPr>
          <w:noProof/>
        </w:rPr>
        <w:t>would</w:t>
      </w:r>
      <w:r w:rsidR="00D623DB" w:rsidRPr="00D37004">
        <w:rPr>
          <w:noProof/>
        </w:rPr>
        <w:t xml:space="preserve"> </w:t>
      </w:r>
      <w:r w:rsidRPr="00D37004">
        <w:rPr>
          <w:noProof/>
        </w:rPr>
        <w:t xml:space="preserve">give an edge to </w:t>
      </w:r>
      <w:r>
        <w:rPr>
          <w:noProof/>
        </w:rPr>
        <w:t xml:space="preserve">the </w:t>
      </w:r>
      <w:r w:rsidRPr="00D37004">
        <w:rPr>
          <w:noProof/>
        </w:rPr>
        <w:t xml:space="preserve">European </w:t>
      </w:r>
      <w:r w:rsidR="00217F2B">
        <w:rPr>
          <w:noProof/>
        </w:rPr>
        <w:t>DC</w:t>
      </w:r>
      <w:r w:rsidRPr="00D37004">
        <w:rPr>
          <w:noProof/>
        </w:rPr>
        <w:t xml:space="preserve"> ecosystem. </w:t>
      </w:r>
      <w:r w:rsidRPr="294AF3FA">
        <w:rPr>
          <w:b/>
          <w:bCs/>
          <w:noProof/>
          <w:color w:val="000000" w:themeColor="text1"/>
        </w:rPr>
        <w:t>PO2-A</w:t>
      </w:r>
      <w:r w:rsidRPr="294AF3FA">
        <w:rPr>
          <w:b/>
          <w:noProof/>
          <w:color w:val="000000" w:themeColor="text1"/>
        </w:rPr>
        <w:t xml:space="preserve"> </w:t>
      </w:r>
      <w:r w:rsidR="00D623DB">
        <w:rPr>
          <w:noProof/>
          <w:color w:val="000000" w:themeColor="text1"/>
        </w:rPr>
        <w:t>would have</w:t>
      </w:r>
      <w:r w:rsidR="00D623DB" w:rsidRPr="00D37004">
        <w:rPr>
          <w:noProof/>
          <w:color w:val="000000" w:themeColor="text1"/>
        </w:rPr>
        <w:t xml:space="preserve"> </w:t>
      </w:r>
      <w:r w:rsidRPr="00D37004">
        <w:rPr>
          <w:noProof/>
          <w:color w:val="000000" w:themeColor="text1"/>
        </w:rPr>
        <w:t xml:space="preserve">moderate impact on technological sovereignty. Soft harmonisation </w:t>
      </w:r>
      <w:r w:rsidRPr="00D37004">
        <w:rPr>
          <w:noProof/>
        </w:rPr>
        <w:t>measures</w:t>
      </w:r>
      <w:r w:rsidRPr="00D37004">
        <w:rPr>
          <w:noProof/>
          <w:color w:val="000000" w:themeColor="text1"/>
        </w:rPr>
        <w:t xml:space="preserve"> </w:t>
      </w:r>
      <w:r w:rsidRPr="00D37004">
        <w:rPr>
          <w:noProof/>
        </w:rPr>
        <w:t>like</w:t>
      </w:r>
      <w:r w:rsidRPr="00D37004">
        <w:rPr>
          <w:noProof/>
          <w:color w:val="000000" w:themeColor="text1"/>
        </w:rPr>
        <w:t xml:space="preserve"> defining a sovereign cloud and AI </w:t>
      </w:r>
      <w:r>
        <w:rPr>
          <w:noProof/>
          <w:color w:val="000000" w:themeColor="text1"/>
        </w:rPr>
        <w:t xml:space="preserve">computing </w:t>
      </w:r>
      <w:r w:rsidRPr="00D37004">
        <w:rPr>
          <w:noProof/>
          <w:color w:val="000000" w:themeColor="text1"/>
        </w:rPr>
        <w:t xml:space="preserve">services, guidelines, </w:t>
      </w:r>
      <w:r w:rsidRPr="00D37004">
        <w:rPr>
          <w:noProof/>
        </w:rPr>
        <w:t>and establishing an</w:t>
      </w:r>
      <w:r w:rsidRPr="00D37004">
        <w:rPr>
          <w:noProof/>
          <w:color w:val="000000" w:themeColor="text1"/>
        </w:rPr>
        <w:t xml:space="preserve"> annual conference on digital sovereignty </w:t>
      </w:r>
      <w:r w:rsidR="00D623DB">
        <w:rPr>
          <w:noProof/>
          <w:color w:val="000000" w:themeColor="text1"/>
        </w:rPr>
        <w:t xml:space="preserve">would </w:t>
      </w:r>
      <w:r w:rsidR="00750DB7">
        <w:rPr>
          <w:noProof/>
          <w:color w:val="000000" w:themeColor="text1"/>
        </w:rPr>
        <w:t xml:space="preserve">indeed </w:t>
      </w:r>
      <w:r w:rsidRPr="00D37004">
        <w:rPr>
          <w:noProof/>
          <w:color w:val="000000" w:themeColor="text1"/>
        </w:rPr>
        <w:t xml:space="preserve">create a common understanding </w:t>
      </w:r>
      <w:r w:rsidRPr="00D37004" w:rsidDel="00101527">
        <w:rPr>
          <w:noProof/>
          <w:color w:val="000000" w:themeColor="text1"/>
        </w:rPr>
        <w:t xml:space="preserve">of </w:t>
      </w:r>
      <w:r w:rsidRPr="00D37004">
        <w:rPr>
          <w:noProof/>
          <w:color w:val="000000" w:themeColor="text1"/>
        </w:rPr>
        <w:t xml:space="preserve">sovereignty but would </w:t>
      </w:r>
      <w:r w:rsidRPr="00D37004">
        <w:rPr>
          <w:noProof/>
        </w:rPr>
        <w:t>have limited impact</w:t>
      </w:r>
      <w:r w:rsidRPr="00D37004">
        <w:rPr>
          <w:noProof/>
          <w:color w:val="000000" w:themeColor="text1"/>
        </w:rPr>
        <w:t>. The development of harmonised interoperability standards would enhance the uptake of sovereign technologies.</w:t>
      </w:r>
      <w:r w:rsidRPr="00D37004" w:rsidDel="000B1892">
        <w:rPr>
          <w:noProof/>
          <w:color w:val="000000" w:themeColor="text1"/>
        </w:rPr>
        <w:t xml:space="preserve"> </w:t>
      </w:r>
      <w:r w:rsidRPr="294AF3FA">
        <w:rPr>
          <w:b/>
          <w:bCs/>
          <w:noProof/>
          <w:color w:val="000000" w:themeColor="text1"/>
        </w:rPr>
        <w:t xml:space="preserve">PO2-B </w:t>
      </w:r>
      <w:r w:rsidRPr="00D37004">
        <w:rPr>
          <w:noProof/>
          <w:color w:val="000000" w:themeColor="text1"/>
        </w:rPr>
        <w:t xml:space="preserve">would have greater impact than </w:t>
      </w:r>
      <w:r w:rsidRPr="006F58AE">
        <w:rPr>
          <w:noProof/>
          <w:color w:val="000000" w:themeColor="text1"/>
        </w:rPr>
        <w:t>PO2-A</w:t>
      </w:r>
      <w:r w:rsidRPr="00D37004">
        <w:rPr>
          <w:noProof/>
          <w:color w:val="000000" w:themeColor="text1"/>
        </w:rPr>
        <w:t xml:space="preserve"> </w:t>
      </w:r>
      <w:r w:rsidR="00EB166A">
        <w:rPr>
          <w:noProof/>
          <w:color w:val="000000" w:themeColor="text1"/>
        </w:rPr>
        <w:t>on</w:t>
      </w:r>
      <w:r w:rsidR="00010652">
        <w:rPr>
          <w:noProof/>
          <w:color w:val="000000" w:themeColor="text1"/>
        </w:rPr>
        <w:t xml:space="preserve"> technological sovereignty in the Union, </w:t>
      </w:r>
      <w:r w:rsidRPr="00D37004">
        <w:rPr>
          <w:noProof/>
        </w:rPr>
        <w:t>as</w:t>
      </w:r>
      <w:r w:rsidRPr="00D37004">
        <w:rPr>
          <w:noProof/>
          <w:color w:val="000000" w:themeColor="text1"/>
        </w:rPr>
        <w:t xml:space="preserve"> the </w:t>
      </w:r>
      <w:r w:rsidRPr="00B0701D">
        <w:rPr>
          <w:noProof/>
          <w:color w:val="000000" w:themeColor="text1"/>
        </w:rPr>
        <w:t xml:space="preserve">voluntary </w:t>
      </w:r>
      <w:r w:rsidR="007F147E" w:rsidRPr="00966B28">
        <w:rPr>
          <w:noProof/>
          <w:color w:val="000000" w:themeColor="text1"/>
        </w:rPr>
        <w:t xml:space="preserve">sovereignty risk assessment </w:t>
      </w:r>
      <w:r w:rsidRPr="00B0701D">
        <w:rPr>
          <w:noProof/>
          <w:color w:val="000000" w:themeColor="text1"/>
        </w:rPr>
        <w:t xml:space="preserve">would </w:t>
      </w:r>
      <w:r w:rsidR="00B0701D">
        <w:rPr>
          <w:noProof/>
          <w:color w:val="000000" w:themeColor="text1"/>
        </w:rPr>
        <w:t>allow</w:t>
      </w:r>
      <w:r w:rsidR="00B0701D" w:rsidRPr="00B0701D">
        <w:rPr>
          <w:noProof/>
          <w:color w:val="000000" w:themeColor="text1"/>
        </w:rPr>
        <w:t xml:space="preserve"> </w:t>
      </w:r>
      <w:r w:rsidR="00010652">
        <w:rPr>
          <w:noProof/>
          <w:color w:val="000000" w:themeColor="text1"/>
        </w:rPr>
        <w:t>public authorities to procure</w:t>
      </w:r>
      <w:r w:rsidRPr="00B0701D" w:rsidDel="00010652">
        <w:rPr>
          <w:noProof/>
          <w:color w:val="000000" w:themeColor="text1"/>
        </w:rPr>
        <w:t xml:space="preserve"> </w:t>
      </w:r>
      <w:r w:rsidRPr="00B0701D">
        <w:rPr>
          <w:noProof/>
          <w:color w:val="000000" w:themeColor="text1"/>
        </w:rPr>
        <w:t>cloud and AI comput</w:t>
      </w:r>
      <w:r>
        <w:rPr>
          <w:noProof/>
          <w:color w:val="000000" w:themeColor="text1"/>
        </w:rPr>
        <w:t>ing service</w:t>
      </w:r>
      <w:r w:rsidR="00010652">
        <w:rPr>
          <w:noProof/>
          <w:color w:val="000000" w:themeColor="text1"/>
        </w:rPr>
        <w:t>s</w:t>
      </w:r>
      <w:r w:rsidRPr="00D37004">
        <w:rPr>
          <w:noProof/>
          <w:color w:val="000000" w:themeColor="text1"/>
        </w:rPr>
        <w:t xml:space="preserve"> </w:t>
      </w:r>
      <w:r w:rsidR="00010652">
        <w:rPr>
          <w:noProof/>
          <w:color w:val="000000" w:themeColor="text1"/>
        </w:rPr>
        <w:t>that comply</w:t>
      </w:r>
      <w:r w:rsidR="00010652" w:rsidRPr="00D37004">
        <w:rPr>
          <w:noProof/>
          <w:color w:val="000000" w:themeColor="text1"/>
        </w:rPr>
        <w:t xml:space="preserve"> </w:t>
      </w:r>
      <w:r w:rsidRPr="00D37004">
        <w:rPr>
          <w:noProof/>
          <w:color w:val="000000" w:themeColor="text1"/>
        </w:rPr>
        <w:t>with the sovereignty criteria.</w:t>
      </w:r>
      <w:r w:rsidRPr="00D37004" w:rsidDel="00B1189F">
        <w:rPr>
          <w:noProof/>
          <w:color w:val="000000" w:themeColor="text1"/>
        </w:rPr>
        <w:t xml:space="preserve"> </w:t>
      </w:r>
      <w:r w:rsidRPr="00D37004">
        <w:rPr>
          <w:noProof/>
          <w:color w:val="000000" w:themeColor="text1"/>
        </w:rPr>
        <w:t xml:space="preserve">The federation </w:t>
      </w:r>
      <w:r w:rsidRPr="00D37004">
        <w:rPr>
          <w:noProof/>
        </w:rPr>
        <w:t>would ensure that</w:t>
      </w:r>
      <w:r w:rsidRPr="00D37004">
        <w:rPr>
          <w:noProof/>
          <w:color w:val="000000" w:themeColor="text1"/>
        </w:rPr>
        <w:t xml:space="preserve"> authorities benefit from de facto sovereign cloud and AI resources shared by other public bodies and would enhance resilience by </w:t>
      </w:r>
      <w:r w:rsidRPr="00D37004">
        <w:rPr>
          <w:noProof/>
        </w:rPr>
        <w:t>allowing access to</w:t>
      </w:r>
      <w:r w:rsidRPr="00D37004">
        <w:rPr>
          <w:noProof/>
          <w:color w:val="000000" w:themeColor="text1"/>
        </w:rPr>
        <w:t xml:space="preserve"> capacity located in other Member States.</w:t>
      </w:r>
      <w:r w:rsidRPr="00D37004" w:rsidDel="00911099">
        <w:rPr>
          <w:noProof/>
          <w:color w:val="000000" w:themeColor="text1"/>
        </w:rPr>
        <w:t xml:space="preserve"> </w:t>
      </w:r>
      <w:r w:rsidRPr="00D37004">
        <w:rPr>
          <w:noProof/>
          <w:color w:val="000000" w:themeColor="text1"/>
        </w:rPr>
        <w:t xml:space="preserve">The voluntary award criteria on R&amp;D investment and supply chain reinforcement </w:t>
      </w:r>
      <w:r w:rsidR="0053227C">
        <w:rPr>
          <w:noProof/>
          <w:color w:val="000000" w:themeColor="text1"/>
        </w:rPr>
        <w:t>are expected to</w:t>
      </w:r>
      <w:r w:rsidR="0053227C" w:rsidRPr="00D37004">
        <w:rPr>
          <w:noProof/>
          <w:color w:val="000000" w:themeColor="text1"/>
        </w:rPr>
        <w:t xml:space="preserve"> </w:t>
      </w:r>
      <w:r>
        <w:rPr>
          <w:noProof/>
          <w:color w:val="000000" w:themeColor="text1"/>
        </w:rPr>
        <w:t>encourage the development of an</w:t>
      </w:r>
      <w:r w:rsidRPr="00D37004">
        <w:rPr>
          <w:noProof/>
          <w:color w:val="000000" w:themeColor="text1"/>
        </w:rPr>
        <w:t xml:space="preserve"> </w:t>
      </w:r>
      <w:r>
        <w:rPr>
          <w:noProof/>
          <w:color w:val="000000" w:themeColor="text1"/>
        </w:rPr>
        <w:t>EU located innovation ecosystem</w:t>
      </w:r>
      <w:r w:rsidRPr="00D37004">
        <w:rPr>
          <w:noProof/>
          <w:color w:val="000000" w:themeColor="text1"/>
        </w:rPr>
        <w:t xml:space="preserve">. </w:t>
      </w:r>
      <w:r w:rsidRPr="294AF3FA">
        <w:rPr>
          <w:b/>
          <w:bCs/>
          <w:noProof/>
          <w:color w:val="000000" w:themeColor="text1"/>
        </w:rPr>
        <w:t>PO2-C</w:t>
      </w:r>
      <w:r w:rsidRPr="00D37004">
        <w:rPr>
          <w:noProof/>
          <w:color w:val="000000" w:themeColor="text1"/>
        </w:rPr>
        <w:t>,</w:t>
      </w:r>
      <w:r w:rsidRPr="294AF3FA">
        <w:rPr>
          <w:b/>
          <w:bCs/>
          <w:noProof/>
          <w:color w:val="000000" w:themeColor="text1"/>
        </w:rPr>
        <w:t xml:space="preserve"> </w:t>
      </w:r>
      <w:r w:rsidRPr="00D37004">
        <w:rPr>
          <w:noProof/>
          <w:color w:val="000000" w:themeColor="text1"/>
        </w:rPr>
        <w:t>which builds on PO2-B, is expected to have the greatest impact in terms of innovation and technological sovereignty</w:t>
      </w:r>
      <w:r w:rsidR="7EB4F290" w:rsidRPr="7C65F7FE">
        <w:rPr>
          <w:noProof/>
          <w:color w:val="000000" w:themeColor="text1"/>
        </w:rPr>
        <w:t xml:space="preserve">. </w:t>
      </w:r>
      <w:r w:rsidR="7943BDBC" w:rsidRPr="009F41CD">
        <w:rPr>
          <w:noProof/>
        </w:rPr>
        <w:t xml:space="preserve">The </w:t>
      </w:r>
      <w:r w:rsidR="7943BDBC">
        <w:rPr>
          <w:noProof/>
        </w:rPr>
        <w:t>sovereignty risk assessments performed by the public and private sectors will improve the overall</w:t>
      </w:r>
      <w:r w:rsidR="245EA7C8">
        <w:rPr>
          <w:noProof/>
        </w:rPr>
        <w:t xml:space="preserve"> sovereignty level of the EU economy and will provide additional opportunities and incentives to procure from European providers that are more immune to risks linked notably to data access or throttling of service quality</w:t>
      </w:r>
      <w:r w:rsidR="11D6264F" w:rsidRPr="073B9F3D">
        <w:rPr>
          <w:b/>
          <w:bCs/>
          <w:noProof/>
        </w:rPr>
        <w:t xml:space="preserve">. </w:t>
      </w:r>
      <w:r w:rsidR="11D6264F" w:rsidRPr="009F41CD">
        <w:rPr>
          <w:noProof/>
        </w:rPr>
        <w:t>This in turn will encourage</w:t>
      </w:r>
      <w:r w:rsidR="11D6264F">
        <w:rPr>
          <w:noProof/>
        </w:rPr>
        <w:t xml:space="preserve"> investment to improve innovation and technological sovereignty</w:t>
      </w:r>
      <w:r w:rsidR="5061C781">
        <w:rPr>
          <w:noProof/>
        </w:rPr>
        <w:t xml:space="preserve"> in the EU</w:t>
      </w:r>
      <w:r w:rsidRPr="57B94EEB">
        <w:rPr>
          <w:noProof/>
          <w:color w:val="000000" w:themeColor="text1"/>
        </w:rPr>
        <w:t>.</w:t>
      </w:r>
      <w:r w:rsidRPr="00D37004">
        <w:rPr>
          <w:noProof/>
          <w:color w:val="000000" w:themeColor="text1"/>
        </w:rPr>
        <w:t xml:space="preserve"> </w:t>
      </w:r>
      <w:r w:rsidRPr="00D37004">
        <w:rPr>
          <w:noProof/>
        </w:rPr>
        <w:t>The</w:t>
      </w:r>
      <w:r w:rsidRPr="00D37004">
        <w:rPr>
          <w:noProof/>
          <w:color w:val="000000" w:themeColor="text1"/>
        </w:rPr>
        <w:t xml:space="preserve"> establishment of a framework for joint procurement </w:t>
      </w:r>
      <w:r w:rsidR="008F77E2">
        <w:rPr>
          <w:noProof/>
          <w:color w:val="000000" w:themeColor="text1"/>
        </w:rPr>
        <w:t>would</w:t>
      </w:r>
      <w:r w:rsidR="008F77E2" w:rsidRPr="00D37004">
        <w:rPr>
          <w:noProof/>
          <w:color w:val="000000" w:themeColor="text1"/>
        </w:rPr>
        <w:t xml:space="preserve"> </w:t>
      </w:r>
      <w:r w:rsidRPr="00D37004">
        <w:rPr>
          <w:noProof/>
          <w:color w:val="000000" w:themeColor="text1"/>
        </w:rPr>
        <w:t>allow public authorities to increase their autonomy and resilience while funding innovative solutions in Europe</w:t>
      </w:r>
      <w:r w:rsidR="0055618F">
        <w:rPr>
          <w:noProof/>
          <w:color w:val="000000" w:themeColor="text1"/>
        </w:rPr>
        <w:t>. The</w:t>
      </w:r>
      <w:r>
        <w:rPr>
          <w:noProof/>
          <w:color w:val="000000" w:themeColor="text1"/>
        </w:rPr>
        <w:t xml:space="preserve"> </w:t>
      </w:r>
      <w:r w:rsidR="0055618F">
        <w:rPr>
          <w:noProof/>
          <w:color w:val="000000" w:themeColor="text1"/>
        </w:rPr>
        <w:t xml:space="preserve">non-price award </w:t>
      </w:r>
      <w:r w:rsidR="00356BC2">
        <w:rPr>
          <w:noProof/>
          <w:color w:val="000000" w:themeColor="text1"/>
        </w:rPr>
        <w:t>criteria</w:t>
      </w:r>
      <w:r w:rsidR="00356BC2">
        <w:rPr>
          <w:bCs/>
          <w:noProof/>
        </w:rPr>
        <w:t xml:space="preserve"> would</w:t>
      </w:r>
      <w:r w:rsidR="0055618F">
        <w:rPr>
          <w:bCs/>
          <w:noProof/>
        </w:rPr>
        <w:t xml:space="preserve"> allow contracting authorities to procure</w:t>
      </w:r>
      <w:r w:rsidR="0055618F">
        <w:rPr>
          <w:noProof/>
        </w:rPr>
        <w:t xml:space="preserve"> cloud and AI computing services </w:t>
      </w:r>
      <w:r w:rsidR="00356BC2">
        <w:rPr>
          <w:noProof/>
        </w:rPr>
        <w:t xml:space="preserve">to favour </w:t>
      </w:r>
      <w:r>
        <w:rPr>
          <w:noProof/>
          <w:color w:val="000000" w:themeColor="text1"/>
        </w:rPr>
        <w:t>investment in innovative cloud and AI computing services</w:t>
      </w:r>
      <w:r w:rsidR="00356BC2">
        <w:rPr>
          <w:noProof/>
          <w:color w:val="000000" w:themeColor="text1"/>
        </w:rPr>
        <w:t xml:space="preserve">, while </w:t>
      </w:r>
      <w:r w:rsidR="00356BC2">
        <w:rPr>
          <w:bCs/>
          <w:noProof/>
        </w:rPr>
        <w:t xml:space="preserve">reducing </w:t>
      </w:r>
      <w:r w:rsidR="00356BC2" w:rsidRPr="006360BC">
        <w:rPr>
          <w:bCs/>
          <w:noProof/>
        </w:rPr>
        <w:t>critical dependencies</w:t>
      </w:r>
      <w:r w:rsidRPr="00D37004">
        <w:rPr>
          <w:noProof/>
          <w:color w:val="000000" w:themeColor="text1"/>
        </w:rPr>
        <w:t>.</w:t>
      </w:r>
      <w:r>
        <w:rPr>
          <w:noProof/>
          <w:color w:val="000000" w:themeColor="text1"/>
        </w:rPr>
        <w:t xml:space="preserve"> The open source principles</w:t>
      </w:r>
      <w:r w:rsidDel="00430ED3">
        <w:rPr>
          <w:noProof/>
          <w:color w:val="000000" w:themeColor="text1"/>
        </w:rPr>
        <w:t xml:space="preserve"> </w:t>
      </w:r>
      <w:r w:rsidR="00430ED3">
        <w:rPr>
          <w:noProof/>
          <w:color w:val="000000" w:themeColor="text1"/>
        </w:rPr>
        <w:t>would</w:t>
      </w:r>
      <w:r>
        <w:rPr>
          <w:noProof/>
          <w:color w:val="000000" w:themeColor="text1"/>
        </w:rPr>
        <w:t xml:space="preserve"> also play a role in the increase of the Union’s operational autonomy, particularly in the public sector</w:t>
      </w:r>
      <w:r w:rsidRPr="00D37004">
        <w:rPr>
          <w:noProof/>
          <w:color w:val="000000" w:themeColor="text1"/>
        </w:rPr>
        <w:t xml:space="preserve">. </w:t>
      </w:r>
      <w:r w:rsidRPr="00C73AA4">
        <w:rPr>
          <w:noProof/>
          <w:color w:val="000000" w:themeColor="text1"/>
        </w:rPr>
        <w:t xml:space="preserve">Finally, the </w:t>
      </w:r>
      <w:r w:rsidR="006477CA" w:rsidRPr="009B0872">
        <w:rPr>
          <w:noProof/>
          <w:color w:val="000000" w:themeColor="text1"/>
        </w:rPr>
        <w:t xml:space="preserve">toolbox for </w:t>
      </w:r>
      <w:r w:rsidRPr="00C73AA4">
        <w:rPr>
          <w:noProof/>
          <w:color w:val="000000" w:themeColor="text1"/>
        </w:rPr>
        <w:t>cloud and AI</w:t>
      </w:r>
      <w:r w:rsidRPr="00C73AA4" w:rsidDel="00A011FC">
        <w:rPr>
          <w:noProof/>
          <w:color w:val="000000" w:themeColor="text1"/>
        </w:rPr>
        <w:t xml:space="preserve"> </w:t>
      </w:r>
      <w:r w:rsidRPr="00C73AA4">
        <w:rPr>
          <w:noProof/>
          <w:color w:val="000000" w:themeColor="text1"/>
        </w:rPr>
        <w:t xml:space="preserve">computing service would </w:t>
      </w:r>
      <w:r w:rsidR="00AB01AF" w:rsidRPr="00E74EB3">
        <w:rPr>
          <w:noProof/>
          <w:color w:val="000000" w:themeColor="text1"/>
        </w:rPr>
        <w:t>support</w:t>
      </w:r>
      <w:r w:rsidR="00AB01AF" w:rsidRPr="00C73AA4">
        <w:rPr>
          <w:noProof/>
          <w:color w:val="000000" w:themeColor="text1"/>
        </w:rPr>
        <w:t xml:space="preserve"> </w:t>
      </w:r>
      <w:r w:rsidRPr="00C73AA4">
        <w:rPr>
          <w:noProof/>
          <w:color w:val="000000" w:themeColor="text1"/>
        </w:rPr>
        <w:t xml:space="preserve">European cloud and AI computing service providers </w:t>
      </w:r>
      <w:r w:rsidR="00005E3D" w:rsidRPr="009B0872">
        <w:rPr>
          <w:noProof/>
          <w:color w:val="000000" w:themeColor="text1"/>
        </w:rPr>
        <w:t xml:space="preserve">in complementing their service offerings and </w:t>
      </w:r>
      <w:r w:rsidRPr="00C73AA4">
        <w:rPr>
          <w:noProof/>
          <w:color w:val="000000" w:themeColor="text1"/>
        </w:rPr>
        <w:t xml:space="preserve">increasing their </w:t>
      </w:r>
      <w:r w:rsidR="00005E3D" w:rsidRPr="009B0872">
        <w:rPr>
          <w:noProof/>
          <w:color w:val="000000" w:themeColor="text1"/>
        </w:rPr>
        <w:t xml:space="preserve">market </w:t>
      </w:r>
      <w:r w:rsidRPr="00C73AA4">
        <w:rPr>
          <w:noProof/>
          <w:color w:val="000000" w:themeColor="text1"/>
        </w:rPr>
        <w:t xml:space="preserve">visibility, </w:t>
      </w:r>
      <w:r w:rsidR="00342AFA" w:rsidRPr="009B0872">
        <w:rPr>
          <w:noProof/>
          <w:color w:val="000000" w:themeColor="text1"/>
        </w:rPr>
        <w:t>by addressing fragmentation and lack of discoverability in the cloud market</w:t>
      </w:r>
      <w:r w:rsidRPr="00D37004">
        <w:rPr>
          <w:noProof/>
          <w:color w:val="000000" w:themeColor="text1"/>
        </w:rPr>
        <w:t>.</w:t>
      </w:r>
      <w:r w:rsidR="0015319D">
        <w:rPr>
          <w:noProof/>
          <w:color w:val="000000" w:themeColor="text1"/>
        </w:rPr>
        <w:t xml:space="preserve"> Therefore, the toolbox is expected to</w:t>
      </w:r>
      <w:r w:rsidR="00551CD6">
        <w:rPr>
          <w:noProof/>
          <w:color w:val="000000" w:themeColor="text1"/>
        </w:rPr>
        <w:t xml:space="preserve"> contribute to reducing dependency on a limited number of dominant solutions. </w:t>
      </w:r>
    </w:p>
    <w:p w14:paraId="6CE9DDC4" w14:textId="4C5DE67A" w:rsidR="00E61374" w:rsidRPr="00D37004" w:rsidRDefault="00D56E5D" w:rsidP="002B63D2">
      <w:pPr>
        <w:pStyle w:val="Heading3"/>
        <w:spacing w:before="240"/>
        <w:rPr>
          <w:noProof/>
        </w:rPr>
      </w:pPr>
      <w:r>
        <w:rPr>
          <w:noProof/>
        </w:rPr>
        <w:t>W</w:t>
      </w:r>
      <w:r w:rsidR="00A46936">
        <w:rPr>
          <w:noProof/>
        </w:rPr>
        <w:t>ider economic effects</w:t>
      </w:r>
      <w:r w:rsidR="00E21B24">
        <w:rPr>
          <w:noProof/>
        </w:rPr>
        <w:t xml:space="preserve"> </w:t>
      </w:r>
    </w:p>
    <w:p w14:paraId="034DDAEC" w14:textId="2192D7D8" w:rsidR="00774EF2" w:rsidRPr="00050F60" w:rsidRDefault="006D512B" w:rsidP="002B63D2">
      <w:pPr>
        <w:rPr>
          <w:b/>
          <w:noProof/>
          <w:color w:val="000000" w:themeColor="text1"/>
        </w:rPr>
      </w:pPr>
      <w:r>
        <w:rPr>
          <w:noProof/>
        </w:rPr>
        <w:t xml:space="preserve">Beyond the direct costs and benefits </w:t>
      </w:r>
      <w:r w:rsidR="001001E0">
        <w:rPr>
          <w:noProof/>
        </w:rPr>
        <w:t>quantified</w:t>
      </w:r>
      <w:r>
        <w:rPr>
          <w:noProof/>
        </w:rPr>
        <w:t xml:space="preserve"> above, the proposed measures may generate wider economic effects thr</w:t>
      </w:r>
      <w:r w:rsidR="008F6414">
        <w:rPr>
          <w:noProof/>
        </w:rPr>
        <w:t xml:space="preserve">ough two main channels: first, support the deployment of </w:t>
      </w:r>
      <w:r w:rsidR="001001E0">
        <w:rPr>
          <w:noProof/>
        </w:rPr>
        <w:t xml:space="preserve">data centres, with a focus on strategic ones prioritising innovation and sustainability, and second, by increasing the adoption of sovereign cloud and AI computing services. These effects are </w:t>
      </w:r>
      <w:r w:rsidR="00B06244">
        <w:rPr>
          <w:noProof/>
        </w:rPr>
        <w:t xml:space="preserve">difficult to quantify because they relate to resilience, autonomy, avoided disruption and </w:t>
      </w:r>
      <w:r w:rsidR="00C1511F">
        <w:rPr>
          <w:noProof/>
        </w:rPr>
        <w:t>long</w:t>
      </w:r>
      <w:r w:rsidR="00B06244">
        <w:rPr>
          <w:noProof/>
        </w:rPr>
        <w:t xml:space="preserve">-term competitiveness. However, given their economic relevance, </w:t>
      </w:r>
      <w:r w:rsidR="00774EF2">
        <w:rPr>
          <w:noProof/>
        </w:rPr>
        <w:t>the main evidence collected is summarised</w:t>
      </w:r>
      <w:r w:rsidR="00B06244">
        <w:rPr>
          <w:noProof/>
        </w:rPr>
        <w:t xml:space="preserve"> </w:t>
      </w:r>
      <w:r w:rsidR="00774EF2">
        <w:rPr>
          <w:noProof/>
        </w:rPr>
        <w:t xml:space="preserve">here as part of the overall assessment. </w:t>
      </w:r>
    </w:p>
    <w:p w14:paraId="6F459DC8" w14:textId="29A19F50" w:rsidR="00794D01" w:rsidRDefault="00F36A9A" w:rsidP="00FA56BF">
      <w:pPr>
        <w:pStyle w:val="Reply"/>
        <w:spacing w:line="240" w:lineRule="auto"/>
        <w:rPr>
          <w:noProof/>
          <w:color w:val="000000" w:themeColor="text1"/>
        </w:rPr>
      </w:pPr>
      <w:r w:rsidRPr="00F36A9A">
        <w:rPr>
          <w:i/>
          <w:iCs w:val="0"/>
          <w:noProof/>
          <w:color w:val="000000" w:themeColor="text1"/>
        </w:rPr>
        <w:t>Compute Capacity.</w:t>
      </w:r>
      <w:r>
        <w:rPr>
          <w:noProof/>
          <w:color w:val="000000" w:themeColor="text1"/>
        </w:rPr>
        <w:t xml:space="preserve"> </w:t>
      </w:r>
      <w:r w:rsidR="437AD64C" w:rsidRPr="5B485D9F">
        <w:rPr>
          <w:noProof/>
          <w:color w:val="000000" w:themeColor="text1"/>
        </w:rPr>
        <w:t>T</w:t>
      </w:r>
      <w:r w:rsidR="4C9EB268" w:rsidRPr="5B485D9F">
        <w:rPr>
          <w:noProof/>
          <w:color w:val="000000" w:themeColor="text1"/>
        </w:rPr>
        <w:t>he</w:t>
      </w:r>
      <w:r w:rsidR="008804EA">
        <w:rPr>
          <w:noProof/>
          <w:color w:val="000000" w:themeColor="text1"/>
        </w:rPr>
        <w:t xml:space="preserve"> overall macroeconomic impact of </w:t>
      </w:r>
      <w:r w:rsidR="004F09A8">
        <w:rPr>
          <w:noProof/>
          <w:color w:val="000000" w:themeColor="text1"/>
        </w:rPr>
        <w:t>constructing new data centres</w:t>
      </w:r>
      <w:r w:rsidR="16AF2BB8" w:rsidRPr="5B485D9F">
        <w:rPr>
          <w:noProof/>
          <w:color w:val="000000" w:themeColor="text1"/>
        </w:rPr>
        <w:t xml:space="preserve"> is best analysed qualitatively</w:t>
      </w:r>
      <w:r w:rsidR="005603F5" w:rsidRPr="5B485D9F">
        <w:rPr>
          <w:noProof/>
          <w:color w:val="000000" w:themeColor="text1"/>
        </w:rPr>
        <w:t>.</w:t>
      </w:r>
      <w:r w:rsidR="005603F5">
        <w:rPr>
          <w:noProof/>
          <w:color w:val="000000" w:themeColor="text1"/>
        </w:rPr>
        <w:t xml:space="preserve"> T</w:t>
      </w:r>
      <w:r w:rsidR="00F52342">
        <w:rPr>
          <w:noProof/>
          <w:color w:val="000000" w:themeColor="text1"/>
        </w:rPr>
        <w:t>he</w:t>
      </w:r>
      <w:r w:rsidR="007104A5">
        <w:rPr>
          <w:noProof/>
          <w:color w:val="000000" w:themeColor="text1"/>
        </w:rPr>
        <w:t xml:space="preserve"> </w:t>
      </w:r>
      <w:r w:rsidR="000075FB">
        <w:rPr>
          <w:noProof/>
          <w:color w:val="000000" w:themeColor="text1"/>
        </w:rPr>
        <w:t>evidence base remains fragmented</w:t>
      </w:r>
      <w:r w:rsidR="006D15DB">
        <w:rPr>
          <w:noProof/>
          <w:color w:val="000000" w:themeColor="text1"/>
        </w:rPr>
        <w:t xml:space="preserve"> </w:t>
      </w:r>
      <w:r w:rsidR="00964996">
        <w:rPr>
          <w:noProof/>
          <w:color w:val="000000" w:themeColor="text1"/>
        </w:rPr>
        <w:t xml:space="preserve">in part because official statistics often fail to categorise data centres as a distinct sector, </w:t>
      </w:r>
      <w:r w:rsidR="008C0D0F">
        <w:rPr>
          <w:noProof/>
          <w:color w:val="000000" w:themeColor="text1"/>
        </w:rPr>
        <w:t xml:space="preserve">and in part because </w:t>
      </w:r>
      <w:r w:rsidR="005D6DEF">
        <w:rPr>
          <w:noProof/>
          <w:color w:val="000000" w:themeColor="text1"/>
        </w:rPr>
        <w:t xml:space="preserve">several studies </w:t>
      </w:r>
      <w:r w:rsidR="00FC144B">
        <w:rPr>
          <w:noProof/>
          <w:color w:val="000000" w:themeColor="text1"/>
        </w:rPr>
        <w:t>rely on project-</w:t>
      </w:r>
      <w:r w:rsidR="007E6CD1">
        <w:rPr>
          <w:noProof/>
          <w:color w:val="000000" w:themeColor="text1"/>
        </w:rPr>
        <w:t>specific case studies</w:t>
      </w:r>
      <w:r w:rsidR="00B94142">
        <w:rPr>
          <w:noProof/>
          <w:color w:val="000000" w:themeColor="text1"/>
        </w:rPr>
        <w:t xml:space="preserve">, surveys or modelling that cannot be </w:t>
      </w:r>
      <w:r w:rsidR="001F6979">
        <w:rPr>
          <w:noProof/>
          <w:color w:val="000000" w:themeColor="text1"/>
        </w:rPr>
        <w:t>scaled to the whole European context</w:t>
      </w:r>
      <w:r w:rsidR="00952DF7">
        <w:rPr>
          <w:noProof/>
          <w:color w:val="000000" w:themeColor="text1"/>
        </w:rPr>
        <w:t xml:space="preserve"> without </w:t>
      </w:r>
      <w:r w:rsidR="004D1C1C">
        <w:rPr>
          <w:noProof/>
          <w:color w:val="000000" w:themeColor="text1"/>
        </w:rPr>
        <w:t>large multipliers</w:t>
      </w:r>
      <w:r w:rsidR="001F6979">
        <w:rPr>
          <w:noProof/>
          <w:color w:val="000000" w:themeColor="text1"/>
        </w:rPr>
        <w:t xml:space="preserve">. </w:t>
      </w:r>
      <w:r w:rsidR="009C79B0">
        <w:rPr>
          <w:noProof/>
          <w:color w:val="000000" w:themeColor="text1"/>
        </w:rPr>
        <w:t xml:space="preserve">Existing literature suggests that </w:t>
      </w:r>
      <w:r w:rsidR="009C79B0" w:rsidRPr="002B63D2">
        <w:rPr>
          <w:b/>
          <w:noProof/>
          <w:color w:val="000000" w:themeColor="text1"/>
        </w:rPr>
        <w:t>the construction and deployment of new data centres</w:t>
      </w:r>
      <w:r w:rsidR="00D7160E" w:rsidRPr="002B63D2">
        <w:rPr>
          <w:b/>
          <w:noProof/>
          <w:color w:val="000000" w:themeColor="text1"/>
        </w:rPr>
        <w:t xml:space="preserve"> have a positive impact on th</w:t>
      </w:r>
      <w:r w:rsidR="00565902" w:rsidRPr="002B63D2">
        <w:rPr>
          <w:b/>
          <w:noProof/>
          <w:color w:val="000000" w:themeColor="text1"/>
        </w:rPr>
        <w:t>e economy in the short to medium term</w:t>
      </w:r>
      <w:r w:rsidR="00565902">
        <w:rPr>
          <w:noProof/>
          <w:color w:val="000000" w:themeColor="text1"/>
        </w:rPr>
        <w:t xml:space="preserve">. </w:t>
      </w:r>
      <w:r w:rsidR="002D72E3">
        <w:rPr>
          <w:noProof/>
          <w:color w:val="000000" w:themeColor="text1"/>
        </w:rPr>
        <w:t>The development of new data centre projects generates demand for various goods and services, including construction, engineering, electrical equipment</w:t>
      </w:r>
      <w:r w:rsidR="001A6D2E">
        <w:rPr>
          <w:noProof/>
          <w:color w:val="000000" w:themeColor="text1"/>
        </w:rPr>
        <w:t xml:space="preserve"> and professional services</w:t>
      </w:r>
      <w:r w:rsidR="0028072C">
        <w:rPr>
          <w:noProof/>
          <w:color w:val="000000" w:themeColor="text1"/>
        </w:rPr>
        <w:t>. These in turn can have ripple effect</w:t>
      </w:r>
      <w:r w:rsidR="004558E8">
        <w:rPr>
          <w:noProof/>
          <w:color w:val="000000" w:themeColor="text1"/>
        </w:rPr>
        <w:t>s</w:t>
      </w:r>
      <w:r w:rsidR="0028072C">
        <w:rPr>
          <w:noProof/>
          <w:color w:val="000000" w:themeColor="text1"/>
        </w:rPr>
        <w:t xml:space="preserve"> </w:t>
      </w:r>
      <w:r w:rsidR="00D817EB">
        <w:rPr>
          <w:noProof/>
          <w:color w:val="000000" w:themeColor="text1"/>
        </w:rPr>
        <w:t xml:space="preserve">on </w:t>
      </w:r>
      <w:r w:rsidR="004558E8">
        <w:rPr>
          <w:noProof/>
          <w:color w:val="000000" w:themeColor="text1"/>
        </w:rPr>
        <w:t>local economies through related supply-chain</w:t>
      </w:r>
      <w:r w:rsidR="00A74B37">
        <w:rPr>
          <w:noProof/>
          <w:color w:val="000000" w:themeColor="text1"/>
        </w:rPr>
        <w:t>s</w:t>
      </w:r>
      <w:r w:rsidR="007B1A29">
        <w:rPr>
          <w:noProof/>
          <w:color w:val="000000" w:themeColor="text1"/>
        </w:rPr>
        <w:t xml:space="preserve"> and induced household spending. </w:t>
      </w:r>
      <w:r w:rsidR="00D25F84">
        <w:rPr>
          <w:noProof/>
          <w:color w:val="000000" w:themeColor="text1"/>
        </w:rPr>
        <w:t>However, the extent of these</w:t>
      </w:r>
      <w:r w:rsidR="009C5BC4">
        <w:rPr>
          <w:noProof/>
          <w:color w:val="000000" w:themeColor="text1"/>
        </w:rPr>
        <w:t xml:space="preserve"> effects is heavily in</w:t>
      </w:r>
      <w:r w:rsidR="0088002F">
        <w:rPr>
          <w:noProof/>
          <w:color w:val="000000" w:themeColor="text1"/>
        </w:rPr>
        <w:t>fluence</w:t>
      </w:r>
      <w:r w:rsidR="00BC71A8">
        <w:rPr>
          <w:noProof/>
          <w:color w:val="000000" w:themeColor="text1"/>
        </w:rPr>
        <w:t>d</w:t>
      </w:r>
      <w:r w:rsidR="0088002F">
        <w:rPr>
          <w:noProof/>
          <w:color w:val="000000" w:themeColor="text1"/>
        </w:rPr>
        <w:t xml:space="preserve"> by</w:t>
      </w:r>
      <w:r w:rsidR="0076493A">
        <w:rPr>
          <w:noProof/>
          <w:color w:val="000000" w:themeColor="text1"/>
        </w:rPr>
        <w:t xml:space="preserve"> local </w:t>
      </w:r>
      <w:r w:rsidR="00171ED2">
        <w:rPr>
          <w:noProof/>
          <w:color w:val="000000" w:themeColor="text1"/>
        </w:rPr>
        <w:t>procurement</w:t>
      </w:r>
      <w:r w:rsidR="00232061">
        <w:rPr>
          <w:noProof/>
          <w:color w:val="000000" w:themeColor="text1"/>
        </w:rPr>
        <w:t xml:space="preserve"> patterns, labour market conditions,</w:t>
      </w:r>
      <w:r w:rsidR="00876001">
        <w:rPr>
          <w:noProof/>
          <w:color w:val="000000" w:themeColor="text1"/>
        </w:rPr>
        <w:t xml:space="preserve"> and degree to which these expenditures are retained domesticall</w:t>
      </w:r>
      <w:r w:rsidR="00D97ED0">
        <w:rPr>
          <w:noProof/>
          <w:color w:val="000000" w:themeColor="text1"/>
        </w:rPr>
        <w:t xml:space="preserve">y. </w:t>
      </w:r>
      <w:r w:rsidR="00171ED2">
        <w:rPr>
          <w:noProof/>
          <w:color w:val="000000" w:themeColor="text1"/>
        </w:rPr>
        <w:t>S</w:t>
      </w:r>
      <w:r w:rsidR="00322B9C">
        <w:rPr>
          <w:noProof/>
          <w:color w:val="000000" w:themeColor="text1"/>
        </w:rPr>
        <w:t>tudies</w:t>
      </w:r>
      <w:r w:rsidR="00736EB5">
        <w:rPr>
          <w:noProof/>
          <w:color w:val="000000" w:themeColor="text1"/>
        </w:rPr>
        <w:t xml:space="preserve"> indicate </w:t>
      </w:r>
      <w:r w:rsidR="00193C8C">
        <w:rPr>
          <w:noProof/>
          <w:color w:val="000000" w:themeColor="text1"/>
        </w:rPr>
        <w:t xml:space="preserve">that investing in additional data centre capacity can stimulate economic activity during the construction phase, but the magnitude of this effect </w:t>
      </w:r>
      <w:r w:rsidR="00794D01">
        <w:rPr>
          <w:noProof/>
          <w:color w:val="000000" w:themeColor="text1"/>
        </w:rPr>
        <w:t>depends</w:t>
      </w:r>
      <w:r w:rsidR="00193C8C">
        <w:rPr>
          <w:noProof/>
          <w:color w:val="000000" w:themeColor="text1"/>
        </w:rPr>
        <w:t xml:space="preserve"> on the specific context</w:t>
      </w:r>
      <w:r w:rsidR="0064556A">
        <w:rPr>
          <w:rStyle w:val="FootnoteReference"/>
          <w:noProof/>
          <w:color w:val="000000" w:themeColor="text1"/>
        </w:rPr>
        <w:footnoteReference w:id="110"/>
      </w:r>
      <w:r w:rsidR="00193C8C">
        <w:rPr>
          <w:noProof/>
          <w:color w:val="000000" w:themeColor="text1"/>
        </w:rPr>
        <w:t xml:space="preserve">. </w:t>
      </w:r>
      <w:r w:rsidR="00242F05">
        <w:rPr>
          <w:noProof/>
          <w:color w:val="000000" w:themeColor="text1"/>
        </w:rPr>
        <w:t xml:space="preserve">Some </w:t>
      </w:r>
      <w:r w:rsidR="008204CB">
        <w:rPr>
          <w:noProof/>
          <w:color w:val="000000" w:themeColor="text1"/>
        </w:rPr>
        <w:t xml:space="preserve">have </w:t>
      </w:r>
      <w:r w:rsidR="00242F05">
        <w:rPr>
          <w:noProof/>
          <w:color w:val="000000" w:themeColor="text1"/>
        </w:rPr>
        <w:t>attempted to quantify the contribution of data centres to GDP or value added.</w:t>
      </w:r>
      <w:r w:rsidR="00397797">
        <w:rPr>
          <w:noProof/>
          <w:color w:val="000000" w:themeColor="text1"/>
        </w:rPr>
        <w:t xml:space="preserve"> For example, in the UK, it has been estimated that the data centre sector generates around GBP</w:t>
      </w:r>
      <w:r w:rsidR="00064A8B">
        <w:rPr>
          <w:noProof/>
          <w:color w:val="000000" w:themeColor="text1"/>
        </w:rPr>
        <w:t xml:space="preserve"> 4.7 bn in annual G</w:t>
      </w:r>
      <w:r w:rsidR="00B50711">
        <w:rPr>
          <w:noProof/>
          <w:color w:val="000000" w:themeColor="text1"/>
        </w:rPr>
        <w:t>ross Value Added</w:t>
      </w:r>
      <w:r w:rsidR="00492985">
        <w:rPr>
          <w:noProof/>
          <w:color w:val="000000" w:themeColor="text1"/>
        </w:rPr>
        <w:t xml:space="preserve">. </w:t>
      </w:r>
      <w:r w:rsidR="00E95F30">
        <w:rPr>
          <w:noProof/>
          <w:color w:val="000000" w:themeColor="text1"/>
        </w:rPr>
        <w:t>Similarly</w:t>
      </w:r>
      <w:r w:rsidR="00492985">
        <w:rPr>
          <w:noProof/>
          <w:color w:val="000000" w:themeColor="text1"/>
        </w:rPr>
        <w:t xml:space="preserve">, a 2025 study by Copenhagen Economics </w:t>
      </w:r>
      <w:r w:rsidR="00E95F30">
        <w:rPr>
          <w:noProof/>
          <w:color w:val="000000" w:themeColor="text1"/>
        </w:rPr>
        <w:t>estimates</w:t>
      </w:r>
      <w:r w:rsidR="00492985">
        <w:rPr>
          <w:noProof/>
          <w:color w:val="000000" w:themeColor="text1"/>
        </w:rPr>
        <w:t xml:space="preserve"> </w:t>
      </w:r>
      <w:r w:rsidR="002F20F7">
        <w:rPr>
          <w:noProof/>
          <w:color w:val="000000" w:themeColor="text1"/>
        </w:rPr>
        <w:t xml:space="preserve">that </w:t>
      </w:r>
      <w:r w:rsidR="006915C6">
        <w:rPr>
          <w:noProof/>
          <w:color w:val="000000" w:themeColor="text1"/>
        </w:rPr>
        <w:t>in Portugal</w:t>
      </w:r>
      <w:r w:rsidR="002F20F7">
        <w:rPr>
          <w:noProof/>
          <w:color w:val="000000" w:themeColor="text1"/>
        </w:rPr>
        <w:t xml:space="preserve"> the data centre sector </w:t>
      </w:r>
      <w:r w:rsidR="00E95F30">
        <w:rPr>
          <w:noProof/>
          <w:color w:val="000000" w:themeColor="text1"/>
        </w:rPr>
        <w:t>contributed</w:t>
      </w:r>
      <w:r w:rsidR="002F20F7">
        <w:rPr>
          <w:noProof/>
          <w:color w:val="000000" w:themeColor="text1"/>
        </w:rPr>
        <w:t xml:space="preserve"> EUR 311 m</w:t>
      </w:r>
      <w:r w:rsidR="00E95F30">
        <w:rPr>
          <w:noProof/>
          <w:color w:val="000000" w:themeColor="text1"/>
        </w:rPr>
        <w:t xml:space="preserve"> to GDP between 2022 and 2024, with potential cumulative contributions ranging from EUR 6.1 bn to EUR 26.2 bn between 2025 and 2030, depending on the investment scenario</w:t>
      </w:r>
      <w:r w:rsidR="00713EFB">
        <w:rPr>
          <w:rStyle w:val="FootnoteReference"/>
          <w:noProof/>
          <w:color w:val="000000" w:themeColor="text1"/>
        </w:rPr>
        <w:footnoteReference w:id="111"/>
      </w:r>
      <w:r w:rsidR="00E95F30">
        <w:rPr>
          <w:noProof/>
          <w:color w:val="000000" w:themeColor="text1"/>
        </w:rPr>
        <w:t>.</w:t>
      </w:r>
    </w:p>
    <w:p w14:paraId="2F38AD54" w14:textId="3C810745" w:rsidR="00E61374" w:rsidRDefault="00E61374" w:rsidP="00FA56BF">
      <w:pPr>
        <w:pStyle w:val="Reply"/>
        <w:spacing w:line="240" w:lineRule="auto"/>
        <w:rPr>
          <w:noProof/>
        </w:rPr>
      </w:pPr>
      <w:r w:rsidRPr="00D37004" w:rsidDel="00FA56BF">
        <w:rPr>
          <w:noProof/>
        </w:rPr>
        <w:t>W</w:t>
      </w:r>
      <w:r w:rsidRPr="00D37004">
        <w:rPr>
          <w:noProof/>
        </w:rPr>
        <w:t xml:space="preserve">hen looking at </w:t>
      </w:r>
      <w:r w:rsidRPr="002B63D2">
        <w:rPr>
          <w:noProof/>
        </w:rPr>
        <w:t>international trade</w:t>
      </w:r>
      <w:r w:rsidRPr="00652B7B">
        <w:rPr>
          <w:bCs w:val="0"/>
          <w:noProof/>
        </w:rPr>
        <w:t>,</w:t>
      </w:r>
      <w:r w:rsidRPr="00D37004">
        <w:rPr>
          <w:noProof/>
        </w:rPr>
        <w:t xml:space="preserve"> expanding EU </w:t>
      </w:r>
      <w:r w:rsidR="00217F2B">
        <w:rPr>
          <w:noProof/>
        </w:rPr>
        <w:t>DC</w:t>
      </w:r>
      <w:r w:rsidRPr="00D37004">
        <w:rPr>
          <w:noProof/>
        </w:rPr>
        <w:t xml:space="preserve"> capacity </w:t>
      </w:r>
      <w:r w:rsidR="008756BC">
        <w:rPr>
          <w:noProof/>
        </w:rPr>
        <w:t>is also expected to</w:t>
      </w:r>
      <w:r w:rsidR="00DD5DAB" w:rsidRPr="00D37004">
        <w:rPr>
          <w:noProof/>
        </w:rPr>
        <w:t xml:space="preserve"> </w:t>
      </w:r>
      <w:r>
        <w:rPr>
          <w:noProof/>
        </w:rPr>
        <w:t>affect</w:t>
      </w:r>
      <w:r w:rsidRPr="00D37004">
        <w:rPr>
          <w:noProof/>
        </w:rPr>
        <w:t xml:space="preserve"> the EU’s external trade balance </w:t>
      </w:r>
      <w:r>
        <w:rPr>
          <w:noProof/>
        </w:rPr>
        <w:t xml:space="preserve">by </w:t>
      </w:r>
      <w:r w:rsidRPr="002B63D2">
        <w:rPr>
          <w:b/>
          <w:noProof/>
        </w:rPr>
        <w:t>increasing imports</w:t>
      </w:r>
      <w:r w:rsidRPr="002B63D2" w:rsidDel="003110AF">
        <w:rPr>
          <w:b/>
          <w:noProof/>
        </w:rPr>
        <w:t xml:space="preserve"> </w:t>
      </w:r>
      <w:r w:rsidRPr="002B63D2">
        <w:rPr>
          <w:b/>
          <w:noProof/>
        </w:rPr>
        <w:t>of semiconductors and ICT components</w:t>
      </w:r>
      <w:r w:rsidRPr="00D37004">
        <w:rPr>
          <w:noProof/>
        </w:rPr>
        <w:t xml:space="preserve">. Today, </w:t>
      </w:r>
      <w:r>
        <w:rPr>
          <w:noProof/>
        </w:rPr>
        <w:t xml:space="preserve">Europe has a structural import dependency on semiconductors and the most advanced AI chips used in </w:t>
      </w:r>
      <w:r w:rsidR="00217F2B">
        <w:rPr>
          <w:noProof/>
        </w:rPr>
        <w:t>DCs</w:t>
      </w:r>
      <w:r>
        <w:rPr>
          <w:noProof/>
        </w:rPr>
        <w:t xml:space="preserve"> are designed and fabricated outside the EU, mainly in </w:t>
      </w:r>
      <w:r w:rsidRPr="00D37004">
        <w:rPr>
          <w:noProof/>
        </w:rPr>
        <w:t>the U</w:t>
      </w:r>
      <w:r>
        <w:rPr>
          <w:noProof/>
        </w:rPr>
        <w:t>S</w:t>
      </w:r>
      <w:r w:rsidRPr="00D37004">
        <w:rPr>
          <w:noProof/>
        </w:rPr>
        <w:t>, Taiwan, South Korea and China</w:t>
      </w:r>
      <w:r>
        <w:rPr>
          <w:rStyle w:val="EndnoteReference"/>
          <w:noProof/>
        </w:rPr>
        <w:endnoteReference w:id="168"/>
      </w:r>
      <w:r w:rsidRPr="00D37004">
        <w:rPr>
          <w:noProof/>
        </w:rPr>
        <w:t xml:space="preserve">. Each new GW of installed capacity requires several </w:t>
      </w:r>
      <w:r>
        <w:rPr>
          <w:noProof/>
        </w:rPr>
        <w:t>millions of</w:t>
      </w:r>
      <w:r w:rsidRPr="00D37004">
        <w:rPr>
          <w:noProof/>
        </w:rPr>
        <w:t xml:space="preserve"> components, representing between EUR 3 to 4 </w:t>
      </w:r>
      <w:r>
        <w:rPr>
          <w:noProof/>
        </w:rPr>
        <w:t>bn</w:t>
      </w:r>
      <w:r w:rsidRPr="00D37004">
        <w:rPr>
          <w:noProof/>
        </w:rPr>
        <w:t xml:space="preserve"> </w:t>
      </w:r>
      <w:r>
        <w:rPr>
          <w:noProof/>
        </w:rPr>
        <w:t>of</w:t>
      </w:r>
      <w:r w:rsidRPr="00D37004">
        <w:rPr>
          <w:noProof/>
        </w:rPr>
        <w:t xml:space="preserve"> ICT hardware expenditure per GW</w:t>
      </w:r>
      <w:r>
        <w:rPr>
          <w:rStyle w:val="EndnoteReference"/>
          <w:noProof/>
        </w:rPr>
        <w:endnoteReference w:id="169"/>
      </w:r>
      <w:r w:rsidRPr="00D37004">
        <w:rPr>
          <w:noProof/>
        </w:rPr>
        <w:t xml:space="preserve">. Applying this ratio to the EU’s projected 2025-2030 buildout, </w:t>
      </w:r>
      <w:r w:rsidRPr="00794D01">
        <w:rPr>
          <w:noProof/>
        </w:rPr>
        <w:t>total chip and server imports could reach EUR 47 to 83 bn over this period.</w:t>
      </w:r>
      <w:r w:rsidRPr="00794D01" w:rsidDel="00277CA4">
        <w:rPr>
          <w:noProof/>
        </w:rPr>
        <w:t xml:space="preserve"> </w:t>
      </w:r>
      <w:r w:rsidRPr="00794D01">
        <w:rPr>
          <w:noProof/>
        </w:rPr>
        <w:t>This dependency i</w:t>
      </w:r>
      <w:r>
        <w:rPr>
          <w:noProof/>
        </w:rPr>
        <w:t>s expected to further</w:t>
      </w:r>
      <w:r w:rsidRPr="00D37004">
        <w:rPr>
          <w:noProof/>
        </w:rPr>
        <w:t xml:space="preserve"> </w:t>
      </w:r>
      <w:r>
        <w:rPr>
          <w:noProof/>
        </w:rPr>
        <w:t>catalyse</w:t>
      </w:r>
      <w:r w:rsidRPr="00D37004">
        <w:rPr>
          <w:noProof/>
        </w:rPr>
        <w:t xml:space="preserve"> foreign direct investment (FDI) and </w:t>
      </w:r>
      <w:r>
        <w:rPr>
          <w:noProof/>
        </w:rPr>
        <w:t>technology upgrades</w:t>
      </w:r>
      <w:r w:rsidRPr="00D37004">
        <w:rPr>
          <w:noProof/>
        </w:rPr>
        <w:t xml:space="preserve"> within the EU, with </w:t>
      </w:r>
      <w:r>
        <w:rPr>
          <w:noProof/>
        </w:rPr>
        <w:t>technology firms</w:t>
      </w:r>
      <w:r w:rsidRPr="00D37004">
        <w:rPr>
          <w:noProof/>
        </w:rPr>
        <w:t xml:space="preserve"> </w:t>
      </w:r>
      <w:r>
        <w:rPr>
          <w:noProof/>
        </w:rPr>
        <w:t xml:space="preserve">potentially contributing to the development of clusters around the growing </w:t>
      </w:r>
      <w:r w:rsidR="00217F2B">
        <w:rPr>
          <w:noProof/>
        </w:rPr>
        <w:t>DC</w:t>
      </w:r>
      <w:r>
        <w:rPr>
          <w:noProof/>
        </w:rPr>
        <w:t xml:space="preserve"> sector</w:t>
      </w:r>
      <w:r>
        <w:rPr>
          <w:rStyle w:val="EndnoteReference"/>
          <w:noProof/>
        </w:rPr>
        <w:endnoteReference w:id="170"/>
      </w:r>
      <w:r w:rsidRPr="00D37004">
        <w:rPr>
          <w:noProof/>
        </w:rPr>
        <w:t xml:space="preserve">. </w:t>
      </w:r>
      <w:r>
        <w:rPr>
          <w:noProof/>
        </w:rPr>
        <w:t>At</w:t>
      </w:r>
      <w:r w:rsidRPr="00D37004">
        <w:rPr>
          <w:noProof/>
        </w:rPr>
        <w:t xml:space="preserve"> EU level, </w:t>
      </w:r>
      <w:r>
        <w:rPr>
          <w:noProof/>
        </w:rPr>
        <w:t xml:space="preserve">in 2024, investors announced </w:t>
      </w:r>
      <w:r w:rsidRPr="00D37004">
        <w:rPr>
          <w:noProof/>
        </w:rPr>
        <w:t xml:space="preserve">FDI </w:t>
      </w:r>
      <w:r>
        <w:rPr>
          <w:noProof/>
        </w:rPr>
        <w:t>projects worth around</w:t>
      </w:r>
      <w:r w:rsidRPr="00D37004">
        <w:rPr>
          <w:noProof/>
        </w:rPr>
        <w:t xml:space="preserve"> EUR </w:t>
      </w:r>
      <w:r>
        <w:rPr>
          <w:noProof/>
        </w:rPr>
        <w:t>60</w:t>
      </w:r>
      <w:r w:rsidRPr="00D37004">
        <w:rPr>
          <w:noProof/>
        </w:rPr>
        <w:t xml:space="preserve"> </w:t>
      </w:r>
      <w:r>
        <w:rPr>
          <w:noProof/>
        </w:rPr>
        <w:t>bn</w:t>
      </w:r>
      <w:r>
        <w:rPr>
          <w:rStyle w:val="EndnoteReference"/>
          <w:noProof/>
        </w:rPr>
        <w:endnoteReference w:id="171"/>
      </w:r>
      <w:r w:rsidRPr="00D37004">
        <w:rPr>
          <w:noProof/>
        </w:rPr>
        <w:t>.</w:t>
      </w:r>
    </w:p>
    <w:p w14:paraId="0B08983D" w14:textId="084527E9" w:rsidR="006E54EB" w:rsidRDefault="00F74550" w:rsidP="006E54EB">
      <w:pPr>
        <w:rPr>
          <w:noProof/>
        </w:rPr>
      </w:pPr>
      <w:r w:rsidRPr="00F74550">
        <w:rPr>
          <w:noProof/>
        </w:rPr>
        <w:t xml:space="preserve">From a broader economic perspective, the development of additional compute capacity serves as an </w:t>
      </w:r>
      <w:r w:rsidRPr="002B63D2">
        <w:rPr>
          <w:b/>
          <w:noProof/>
        </w:rPr>
        <w:t>important enabler for cloud computing, AI and other data-intensive activities</w:t>
      </w:r>
      <w:r w:rsidRPr="00F74550">
        <w:rPr>
          <w:noProof/>
        </w:rPr>
        <w:t xml:space="preserve">. </w:t>
      </w:r>
      <w:r w:rsidR="00627617">
        <w:rPr>
          <w:noProof/>
        </w:rPr>
        <w:t>The primary</w:t>
      </w:r>
      <w:r w:rsidR="00627617" w:rsidRPr="0053580E">
        <w:rPr>
          <w:noProof/>
        </w:rPr>
        <w:t xml:space="preserve"> economic </w:t>
      </w:r>
      <w:r w:rsidR="00627617">
        <w:rPr>
          <w:noProof/>
        </w:rPr>
        <w:t xml:space="preserve">benefit is </w:t>
      </w:r>
      <w:r w:rsidR="00627617" w:rsidRPr="0053580E">
        <w:rPr>
          <w:noProof/>
        </w:rPr>
        <w:t>likely to arise</w:t>
      </w:r>
      <w:r w:rsidR="00627617">
        <w:rPr>
          <w:noProof/>
        </w:rPr>
        <w:t xml:space="preserve"> from the downstream </w:t>
      </w:r>
      <w:r w:rsidR="00627617" w:rsidRPr="002036CD">
        <w:rPr>
          <w:b/>
          <w:noProof/>
        </w:rPr>
        <w:t>effects on productivity and innovation</w:t>
      </w:r>
      <w:r w:rsidR="00627617">
        <w:rPr>
          <w:noProof/>
        </w:rPr>
        <w:t xml:space="preserve">, rather than </w:t>
      </w:r>
      <w:r w:rsidR="00627617" w:rsidRPr="0053580E">
        <w:rPr>
          <w:noProof/>
        </w:rPr>
        <w:t>the construction and operation of the data centres</w:t>
      </w:r>
      <w:r w:rsidR="00627617">
        <w:rPr>
          <w:noProof/>
        </w:rPr>
        <w:t xml:space="preserve"> themselves</w:t>
      </w:r>
      <w:r w:rsidR="00627617" w:rsidRPr="0053580E">
        <w:rPr>
          <w:noProof/>
        </w:rPr>
        <w:t>.</w:t>
      </w:r>
      <w:r w:rsidR="00627617">
        <w:rPr>
          <w:noProof/>
        </w:rPr>
        <w:t xml:space="preserve"> </w:t>
      </w:r>
      <w:r w:rsidRPr="00F74550">
        <w:rPr>
          <w:noProof/>
        </w:rPr>
        <w:t>This in turn can have a positive impact of the economy by supporting growth</w:t>
      </w:r>
      <w:r w:rsidR="00627617">
        <w:rPr>
          <w:noProof/>
        </w:rPr>
        <w:t xml:space="preserve"> and </w:t>
      </w:r>
      <w:r w:rsidRPr="00F74550">
        <w:rPr>
          <w:noProof/>
        </w:rPr>
        <w:t xml:space="preserve">regional digital development. </w:t>
      </w:r>
      <w:r w:rsidR="005E2006">
        <w:rPr>
          <w:noProof/>
        </w:rPr>
        <w:t>According to the</w:t>
      </w:r>
      <w:r w:rsidR="005E2006" w:rsidRPr="0053580E">
        <w:rPr>
          <w:noProof/>
        </w:rPr>
        <w:t xml:space="preserve"> OECD</w:t>
      </w:r>
      <w:r w:rsidR="005E2006">
        <w:rPr>
          <w:noProof/>
        </w:rPr>
        <w:t xml:space="preserve">, cloud services play a key role in </w:t>
      </w:r>
      <w:r w:rsidR="005E2006" w:rsidRPr="0053580E">
        <w:rPr>
          <w:noProof/>
        </w:rPr>
        <w:t xml:space="preserve">the value chain for many digital technologies used by businesses and governments, and can </w:t>
      </w:r>
      <w:r w:rsidR="005E2006" w:rsidRPr="00F5336F">
        <w:rPr>
          <w:b/>
          <w:bCs/>
          <w:noProof/>
        </w:rPr>
        <w:t>enhance innovation and productivity, particularly for SMEs</w:t>
      </w:r>
      <w:r w:rsidR="005E2006" w:rsidRPr="0053580E">
        <w:rPr>
          <w:noProof/>
        </w:rPr>
        <w:t xml:space="preserve"> that would otherwise face high fixed costs in acquiring advanced ICT capacity</w:t>
      </w:r>
      <w:r w:rsidR="005E2006">
        <w:rPr>
          <w:rStyle w:val="EndnoteReference"/>
          <w:noProof/>
        </w:rPr>
        <w:endnoteReference w:id="172"/>
      </w:r>
      <w:r w:rsidR="005E2006" w:rsidRPr="0053580E">
        <w:rPr>
          <w:noProof/>
        </w:rPr>
        <w:t>.</w:t>
      </w:r>
      <w:r w:rsidR="005E2006" w:rsidRPr="000E6942">
        <w:rPr>
          <w:noProof/>
        </w:rPr>
        <w:t xml:space="preserve"> </w:t>
      </w:r>
      <w:r w:rsidRPr="00F74550">
        <w:rPr>
          <w:noProof/>
        </w:rPr>
        <w:t xml:space="preserve">Scalable and secure compute and cloud-based services can empower enterprises and public authorities to access advanced technologies without having to </w:t>
      </w:r>
      <w:r w:rsidR="0095148E">
        <w:rPr>
          <w:noProof/>
        </w:rPr>
        <w:t>build the</w:t>
      </w:r>
      <w:r w:rsidRPr="00F74550">
        <w:rPr>
          <w:noProof/>
        </w:rPr>
        <w:t xml:space="preserve"> infrastructure in-house</w:t>
      </w:r>
      <w:r w:rsidR="0095148E">
        <w:rPr>
          <w:noProof/>
        </w:rPr>
        <w:t>, something which requires time, a particular skill set and large upfront investments</w:t>
      </w:r>
      <w:r w:rsidRPr="00F74550">
        <w:rPr>
          <w:noProof/>
        </w:rPr>
        <w:t>. Better access to digital infrastructure can improve the conditions for technology diffusion and digitalisation across sectors, ultimately giving rise to data-driven business models, including AI-enabled services.</w:t>
      </w:r>
      <w:r w:rsidR="00344C26">
        <w:rPr>
          <w:noProof/>
        </w:rPr>
        <w:t xml:space="preserve"> </w:t>
      </w:r>
      <w:r w:rsidR="000E6942">
        <w:rPr>
          <w:noProof/>
        </w:rPr>
        <w:t>In</w:t>
      </w:r>
      <w:r w:rsidR="000E6942" w:rsidRPr="00E76464">
        <w:rPr>
          <w:noProof/>
        </w:rPr>
        <w:t xml:space="preserve"> the EU context, this is consistent with the policy objective of ensuring that strategic data</w:t>
      </w:r>
      <w:r w:rsidR="000E6942">
        <w:rPr>
          <w:noProof/>
        </w:rPr>
        <w:t xml:space="preserve"> </w:t>
      </w:r>
      <w:r w:rsidR="000E6942" w:rsidRPr="00E76464">
        <w:rPr>
          <w:noProof/>
        </w:rPr>
        <w:t>centre capacity supports public</w:t>
      </w:r>
      <w:r w:rsidR="000E6942">
        <w:rPr>
          <w:noProof/>
        </w:rPr>
        <w:t xml:space="preserve"> </w:t>
      </w:r>
      <w:r w:rsidR="000E6942" w:rsidRPr="00E76464">
        <w:rPr>
          <w:noProof/>
        </w:rPr>
        <w:t xml:space="preserve">interest use cases, </w:t>
      </w:r>
      <w:r w:rsidR="000E6942">
        <w:rPr>
          <w:noProof/>
        </w:rPr>
        <w:t>such as</w:t>
      </w:r>
      <w:r w:rsidR="000E6942" w:rsidRPr="00E76464">
        <w:rPr>
          <w:noProof/>
        </w:rPr>
        <w:t xml:space="preserve"> healthcare, public administration, research, security, critical infrastructure and AI-enabled public services. The </w:t>
      </w:r>
      <w:r w:rsidR="000E6942">
        <w:rPr>
          <w:noProof/>
        </w:rPr>
        <w:t>ultimate</w:t>
      </w:r>
      <w:r w:rsidR="000E6942" w:rsidRPr="00E76464">
        <w:rPr>
          <w:noProof/>
        </w:rPr>
        <w:t xml:space="preserve"> benefit</w:t>
      </w:r>
      <w:r w:rsidR="000E6942">
        <w:rPr>
          <w:noProof/>
        </w:rPr>
        <w:t xml:space="preserve"> of fostering this deployment would reside</w:t>
      </w:r>
      <w:r w:rsidR="000E6942" w:rsidRPr="00E76464">
        <w:rPr>
          <w:noProof/>
        </w:rPr>
        <w:t xml:space="preserve"> </w:t>
      </w:r>
      <w:r w:rsidR="000E6942">
        <w:rPr>
          <w:noProof/>
        </w:rPr>
        <w:t xml:space="preserve">not in the creation of more data centres, but in the availability of </w:t>
      </w:r>
      <w:r w:rsidR="000E6942" w:rsidRPr="002B63D2">
        <w:rPr>
          <w:b/>
          <w:noProof/>
        </w:rPr>
        <w:t>strategically located and appropriately governed compute capacity for economically and socially important workloads</w:t>
      </w:r>
      <w:r w:rsidR="000E6942" w:rsidRPr="00E76464">
        <w:rPr>
          <w:noProof/>
        </w:rPr>
        <w:t>.</w:t>
      </w:r>
      <w:r w:rsidR="00C477A0">
        <w:rPr>
          <w:noProof/>
        </w:rPr>
        <w:t xml:space="preserve"> As noted above in Section </w:t>
      </w:r>
      <w:r w:rsidR="00DB543F">
        <w:rPr>
          <w:noProof/>
        </w:rPr>
        <w:t>2.2.1, t</w:t>
      </w:r>
      <w:r w:rsidR="00C477A0">
        <w:rPr>
          <w:noProof/>
        </w:rPr>
        <w:t>he availability of local data centre access can also have an impact on latency, reliability and cost conditions, which can encourage greater cloud adoption</w:t>
      </w:r>
      <w:r w:rsidR="0080235D">
        <w:rPr>
          <w:rStyle w:val="EndnoteReference"/>
          <w:noProof/>
        </w:rPr>
        <w:endnoteReference w:id="173"/>
      </w:r>
      <w:r w:rsidR="00C477A0">
        <w:rPr>
          <w:noProof/>
        </w:rPr>
        <w:t>. Furthermore,</w:t>
      </w:r>
      <w:r w:rsidR="00C477A0" w:rsidRPr="0053580E">
        <w:rPr>
          <w:noProof/>
        </w:rPr>
        <w:t xml:space="preserve"> </w:t>
      </w:r>
      <w:r w:rsidR="00C477A0" w:rsidRPr="002B63D2">
        <w:rPr>
          <w:b/>
          <w:noProof/>
        </w:rPr>
        <w:t>local data centres can enable more advanced AI applications</w:t>
      </w:r>
      <w:r w:rsidR="00C477A0" w:rsidRPr="0053580E">
        <w:rPr>
          <w:noProof/>
        </w:rPr>
        <w:t xml:space="preserve"> by reducing latency and improving internet traffic, while insufficient domestic compute capacity can create or deepen dependence on external providers</w:t>
      </w:r>
      <w:r w:rsidR="006E54EB">
        <w:rPr>
          <w:noProof/>
        </w:rPr>
        <w:t>. With respect to the impact of AI, recent literature highlights its potential to generate economic benefits</w:t>
      </w:r>
      <w:r w:rsidR="006E54EB" w:rsidRPr="008A14EE">
        <w:rPr>
          <w:noProof/>
        </w:rPr>
        <w:t xml:space="preserve">, </w:t>
      </w:r>
      <w:r w:rsidR="006E54EB">
        <w:rPr>
          <w:noProof/>
        </w:rPr>
        <w:t>particularly</w:t>
      </w:r>
      <w:r w:rsidR="006E54EB" w:rsidRPr="008A14EE">
        <w:rPr>
          <w:noProof/>
        </w:rPr>
        <w:t xml:space="preserve"> through productivity</w:t>
      </w:r>
      <w:r w:rsidR="006E54EB">
        <w:rPr>
          <w:noProof/>
        </w:rPr>
        <w:t xml:space="preserve"> gains</w:t>
      </w:r>
      <w:r w:rsidR="006E54EB" w:rsidRPr="008A14EE">
        <w:rPr>
          <w:noProof/>
        </w:rPr>
        <w:t xml:space="preserve">, innovation, scientific discovery and new business models. However, the evidence is strongest for </w:t>
      </w:r>
      <w:r w:rsidR="006E54EB" w:rsidRPr="00E50296">
        <w:rPr>
          <w:noProof/>
        </w:rPr>
        <w:t>task-level productivity gains</w:t>
      </w:r>
      <w:r w:rsidR="006E54EB" w:rsidRPr="008A14EE">
        <w:rPr>
          <w:noProof/>
        </w:rPr>
        <w:t xml:space="preserve"> and more uncertain at </w:t>
      </w:r>
      <w:r w:rsidR="006E54EB" w:rsidRPr="00E50296">
        <w:rPr>
          <w:noProof/>
        </w:rPr>
        <w:t>enterprise, sector and macroeconomic level.</w:t>
      </w:r>
      <w:r w:rsidR="006E54EB" w:rsidRPr="008A14EE">
        <w:rPr>
          <w:noProof/>
        </w:rPr>
        <w:t xml:space="preserve"> </w:t>
      </w:r>
    </w:p>
    <w:p w14:paraId="536E940C" w14:textId="1224059A" w:rsidR="001F40B3" w:rsidRDefault="00EE1743" w:rsidP="001F40B3">
      <w:pPr>
        <w:rPr>
          <w:noProof/>
        </w:rPr>
      </w:pPr>
      <w:r w:rsidRPr="00EE1743">
        <w:rPr>
          <w:i/>
          <w:iCs/>
          <w:noProof/>
        </w:rPr>
        <w:t>Cloud and AI computing services.</w:t>
      </w:r>
      <w:r>
        <w:rPr>
          <w:noProof/>
        </w:rPr>
        <w:t xml:space="preserve"> </w:t>
      </w:r>
      <w:r w:rsidR="001F40B3" w:rsidRPr="00397395">
        <w:rPr>
          <w:noProof/>
        </w:rPr>
        <w:t xml:space="preserve">The second </w:t>
      </w:r>
      <w:r w:rsidR="001F40B3">
        <w:rPr>
          <w:noProof/>
        </w:rPr>
        <w:t>channel</w:t>
      </w:r>
      <w:r w:rsidR="001F40B3" w:rsidRPr="00397395">
        <w:rPr>
          <w:noProof/>
        </w:rPr>
        <w:t xml:space="preserve"> of wider </w:t>
      </w:r>
      <w:r w:rsidR="00F52F3D">
        <w:rPr>
          <w:noProof/>
        </w:rPr>
        <w:t>effects</w:t>
      </w:r>
      <w:r w:rsidR="001F40B3" w:rsidRPr="00397395">
        <w:rPr>
          <w:noProof/>
        </w:rPr>
        <w:t xml:space="preserve"> </w:t>
      </w:r>
      <w:r w:rsidR="001F40B3">
        <w:rPr>
          <w:noProof/>
        </w:rPr>
        <w:t>relates to the</w:t>
      </w:r>
      <w:r w:rsidR="001F40B3" w:rsidRPr="00397395">
        <w:rPr>
          <w:noProof/>
        </w:rPr>
        <w:t xml:space="preserve"> </w:t>
      </w:r>
      <w:r w:rsidR="001F40B3" w:rsidRPr="002B63D2">
        <w:rPr>
          <w:b/>
          <w:noProof/>
        </w:rPr>
        <w:t>increased adoption of</w:t>
      </w:r>
      <w:r w:rsidR="001F40B3" w:rsidRPr="00397395">
        <w:rPr>
          <w:noProof/>
        </w:rPr>
        <w:t xml:space="preserve"> </w:t>
      </w:r>
      <w:r w:rsidR="001F40B3" w:rsidRPr="00CA1B18">
        <w:rPr>
          <w:b/>
          <w:bCs/>
          <w:noProof/>
        </w:rPr>
        <w:t>sovereign cloud and AI computing services.</w:t>
      </w:r>
      <w:r w:rsidR="001F40B3" w:rsidRPr="00397395">
        <w:rPr>
          <w:noProof/>
        </w:rPr>
        <w:t xml:space="preserve"> </w:t>
      </w:r>
      <w:r w:rsidR="00F02695">
        <w:rPr>
          <w:noProof/>
        </w:rPr>
        <w:t>B</w:t>
      </w:r>
      <w:r w:rsidR="001F40B3" w:rsidRPr="00397395">
        <w:rPr>
          <w:noProof/>
        </w:rPr>
        <w:t>enefits include</w:t>
      </w:r>
      <w:r w:rsidR="001F40B3">
        <w:rPr>
          <w:noProof/>
        </w:rPr>
        <w:t xml:space="preserve"> </w:t>
      </w:r>
      <w:r w:rsidR="00335D73">
        <w:rPr>
          <w:noProof/>
        </w:rPr>
        <w:t>enhanced</w:t>
      </w:r>
      <w:r w:rsidR="001F40B3" w:rsidRPr="00397395">
        <w:rPr>
          <w:noProof/>
        </w:rPr>
        <w:t xml:space="preserve"> autonomy, </w:t>
      </w:r>
      <w:r w:rsidR="001F40B3">
        <w:rPr>
          <w:noProof/>
        </w:rPr>
        <w:t xml:space="preserve">improved </w:t>
      </w:r>
      <w:r w:rsidR="001F40B3" w:rsidRPr="00397395">
        <w:rPr>
          <w:noProof/>
        </w:rPr>
        <w:t xml:space="preserve">resilience, reduced dependency, </w:t>
      </w:r>
      <w:r w:rsidR="001F40B3">
        <w:rPr>
          <w:noProof/>
        </w:rPr>
        <w:t>stronger</w:t>
      </w:r>
      <w:r w:rsidR="001F40B3" w:rsidRPr="00397395">
        <w:rPr>
          <w:noProof/>
        </w:rPr>
        <w:t xml:space="preserve"> legal and operational control, and </w:t>
      </w:r>
      <w:r w:rsidR="001F40B3">
        <w:rPr>
          <w:noProof/>
        </w:rPr>
        <w:t>better</w:t>
      </w:r>
      <w:r w:rsidR="001F40B3" w:rsidRPr="00397395">
        <w:rPr>
          <w:noProof/>
        </w:rPr>
        <w:t xml:space="preserve"> conditions for AI-enabled innovation.</w:t>
      </w:r>
      <w:r w:rsidR="001F40B3">
        <w:rPr>
          <w:noProof/>
        </w:rPr>
        <w:t xml:space="preserve"> Even though several of these effects are hard to monetise, they are economically relevant as cloud and AI computing services increasingly support </w:t>
      </w:r>
      <w:r w:rsidR="001F40B3" w:rsidRPr="00397395">
        <w:rPr>
          <w:noProof/>
        </w:rPr>
        <w:t>public administration, healthcare, research, education, justice</w:t>
      </w:r>
      <w:r w:rsidR="00985CDB">
        <w:rPr>
          <w:noProof/>
        </w:rPr>
        <w:t xml:space="preserve"> and law enforcement</w:t>
      </w:r>
      <w:r w:rsidR="001F40B3" w:rsidRPr="00397395">
        <w:rPr>
          <w:noProof/>
        </w:rPr>
        <w:t xml:space="preserve">, cybersecurity and industrial competitiveness. </w:t>
      </w:r>
      <w:r w:rsidR="001F40B3">
        <w:rPr>
          <w:noProof/>
        </w:rPr>
        <w:t>If</w:t>
      </w:r>
      <w:r w:rsidR="001F40B3" w:rsidRPr="00397395">
        <w:rPr>
          <w:noProof/>
        </w:rPr>
        <w:t xml:space="preserve"> public authorities depend heavily on a small number of external providers or non-EU jurisdictions, they may face legal, operational, geopolitical and continuity risks. </w:t>
      </w:r>
      <w:r w:rsidR="001F40B3">
        <w:rPr>
          <w:noProof/>
        </w:rPr>
        <w:t>S</w:t>
      </w:r>
      <w:r w:rsidR="001F40B3" w:rsidRPr="00397395">
        <w:rPr>
          <w:noProof/>
        </w:rPr>
        <w:t>overeign cloud and AI services can reduce these risks by providing more diverse supply options, clearer governance,</w:t>
      </w:r>
      <w:r w:rsidR="001F40B3">
        <w:rPr>
          <w:noProof/>
        </w:rPr>
        <w:t xml:space="preserve"> and ensuring </w:t>
      </w:r>
      <w:r w:rsidR="001F40B3" w:rsidRPr="00397395">
        <w:rPr>
          <w:noProof/>
        </w:rPr>
        <w:t>stronger alignment with EU and Member State requirements.</w:t>
      </w:r>
    </w:p>
    <w:p w14:paraId="6B15D708" w14:textId="1B5281DC" w:rsidR="00344C26" w:rsidRPr="00582DA3" w:rsidRDefault="00E368DB" w:rsidP="001B303B">
      <w:pPr>
        <w:rPr>
          <w:noProof/>
        </w:rPr>
      </w:pPr>
      <w:r w:rsidRPr="006853F5">
        <w:rPr>
          <w:noProof/>
        </w:rPr>
        <w:t xml:space="preserve">A </w:t>
      </w:r>
      <w:r>
        <w:rPr>
          <w:noProof/>
        </w:rPr>
        <w:t>key</w:t>
      </w:r>
      <w:r w:rsidRPr="006853F5">
        <w:rPr>
          <w:noProof/>
        </w:rPr>
        <w:t xml:space="preserve"> benefit</w:t>
      </w:r>
      <w:r>
        <w:rPr>
          <w:noProof/>
        </w:rPr>
        <w:t xml:space="preserve"> is therefore</w:t>
      </w:r>
      <w:r w:rsidRPr="006853F5">
        <w:rPr>
          <w:noProof/>
        </w:rPr>
        <w:t xml:space="preserve"> </w:t>
      </w:r>
      <w:r w:rsidRPr="006853F5">
        <w:rPr>
          <w:b/>
          <w:bCs/>
          <w:noProof/>
        </w:rPr>
        <w:t>greater resilience and continuity of public services</w:t>
      </w:r>
      <w:r w:rsidRPr="006853F5">
        <w:rPr>
          <w:noProof/>
        </w:rPr>
        <w:t xml:space="preserve">. </w:t>
      </w:r>
      <w:r>
        <w:rPr>
          <w:noProof/>
        </w:rPr>
        <w:t>Dependence</w:t>
      </w:r>
      <w:r w:rsidRPr="006853F5">
        <w:rPr>
          <w:noProof/>
        </w:rPr>
        <w:t xml:space="preserve"> on a limited number of cloud infrastructures</w:t>
      </w:r>
      <w:r>
        <w:rPr>
          <w:noProof/>
        </w:rPr>
        <w:t xml:space="preserve"> can create systemic risks, as </w:t>
      </w:r>
      <w:r w:rsidRPr="006853F5">
        <w:rPr>
          <w:noProof/>
        </w:rPr>
        <w:t xml:space="preserve">disruption in a major provider can affect many services at the same time. </w:t>
      </w:r>
      <w:r w:rsidRPr="00CA1B18">
        <w:rPr>
          <w:noProof/>
        </w:rPr>
        <w:t>The October 2025 AWS outage</w:t>
      </w:r>
      <w:r>
        <w:rPr>
          <w:noProof/>
        </w:rPr>
        <w:t>, for example,</w:t>
      </w:r>
      <w:r w:rsidRPr="00CA1B18">
        <w:rPr>
          <w:noProof/>
        </w:rPr>
        <w:t xml:space="preserve"> disrupted businesses</w:t>
      </w:r>
      <w:r>
        <w:rPr>
          <w:noProof/>
        </w:rPr>
        <w:t xml:space="preserve"> and digital </w:t>
      </w:r>
      <w:r w:rsidRPr="00CA1B18">
        <w:rPr>
          <w:noProof/>
        </w:rPr>
        <w:t xml:space="preserve">services globally, highlighting </w:t>
      </w:r>
      <w:r>
        <w:rPr>
          <w:noProof/>
        </w:rPr>
        <w:t>this</w:t>
      </w:r>
      <w:r w:rsidRPr="00CA1B18">
        <w:rPr>
          <w:noProof/>
        </w:rPr>
        <w:t xml:space="preserve"> vulnerability</w:t>
      </w:r>
      <w:r w:rsidR="000B5CDE">
        <w:rPr>
          <w:rStyle w:val="EndnoteReference"/>
          <w:noProof/>
        </w:rPr>
        <w:endnoteReference w:id="174"/>
      </w:r>
      <w:r w:rsidRPr="00CA1B18">
        <w:rPr>
          <w:noProof/>
        </w:rPr>
        <w:t xml:space="preserve">. The World Economic Forum estimated that the 2024 global </w:t>
      </w:r>
      <w:r w:rsidR="004D1DA8">
        <w:rPr>
          <w:noProof/>
        </w:rPr>
        <w:t>CrowdStrike</w:t>
      </w:r>
      <w:r w:rsidRPr="00CA1B18">
        <w:rPr>
          <w:noProof/>
        </w:rPr>
        <w:t xml:space="preserve"> outage caused around USD 5 billion in losses</w:t>
      </w:r>
      <w:r w:rsidR="002C27AE">
        <w:rPr>
          <w:noProof/>
        </w:rPr>
        <w:t>,</w:t>
      </w:r>
      <w:r>
        <w:rPr>
          <w:noProof/>
        </w:rPr>
        <w:t xml:space="preserve"> </w:t>
      </w:r>
      <w:r w:rsidRPr="007671C8">
        <w:rPr>
          <w:noProof/>
        </w:rPr>
        <w:t>disrupted airlines, banks, healthcare providers, retail payment systems and ATMs worldwide</w:t>
      </w:r>
      <w:r w:rsidRPr="00CA1B18">
        <w:rPr>
          <w:noProof/>
        </w:rPr>
        <w:t xml:space="preserve">, underlining </w:t>
      </w:r>
      <w:r w:rsidR="002C27AE">
        <w:rPr>
          <w:noProof/>
        </w:rPr>
        <w:t>these</w:t>
      </w:r>
      <w:r w:rsidRPr="00CA1B18">
        <w:rPr>
          <w:noProof/>
        </w:rPr>
        <w:t xml:space="preserve"> system-wide economic consequences</w:t>
      </w:r>
      <w:r w:rsidR="002C27AE">
        <w:rPr>
          <w:rStyle w:val="EndnoteReference"/>
          <w:noProof/>
        </w:rPr>
        <w:endnoteReference w:id="175"/>
      </w:r>
      <w:r w:rsidRPr="00CA1B18">
        <w:rPr>
          <w:noProof/>
        </w:rPr>
        <w:t xml:space="preserve">. </w:t>
      </w:r>
      <w:r w:rsidRPr="007671C8">
        <w:rPr>
          <w:noProof/>
        </w:rPr>
        <w:t>These examples do not imply that sovereign providers are immune from disruption. Rather, they show the economic relevance of resilience, provider diversity, and reduced single-provider dependency.</w:t>
      </w:r>
      <w:r w:rsidR="001B303B">
        <w:rPr>
          <w:noProof/>
        </w:rPr>
        <w:t xml:space="preserve"> Indeed, s</w:t>
      </w:r>
      <w:r w:rsidR="001B303B" w:rsidRPr="006853F5">
        <w:rPr>
          <w:noProof/>
        </w:rPr>
        <w:t xml:space="preserve">overeign cloud </w:t>
      </w:r>
      <w:r w:rsidR="001B303B">
        <w:rPr>
          <w:noProof/>
        </w:rPr>
        <w:t>services</w:t>
      </w:r>
      <w:r w:rsidR="001B303B" w:rsidRPr="006853F5">
        <w:rPr>
          <w:noProof/>
        </w:rPr>
        <w:t xml:space="preserve"> </w:t>
      </w:r>
      <w:r w:rsidR="001B303B" w:rsidRPr="002B63D2">
        <w:rPr>
          <w:b/>
          <w:noProof/>
        </w:rPr>
        <w:t>strengthen operational control.</w:t>
      </w:r>
      <w:r w:rsidR="001B303B" w:rsidRPr="00CA1B18">
        <w:rPr>
          <w:noProof/>
        </w:rPr>
        <w:t xml:space="preserve"> </w:t>
      </w:r>
      <w:r w:rsidR="001B303B" w:rsidRPr="006853F5">
        <w:rPr>
          <w:noProof/>
        </w:rPr>
        <w:t>Sovereignty does not only mean storing data in the EU. It also concerns who operate</w:t>
      </w:r>
      <w:r w:rsidR="001B303B">
        <w:rPr>
          <w:noProof/>
        </w:rPr>
        <w:t>s</w:t>
      </w:r>
      <w:r w:rsidR="001B303B" w:rsidRPr="006853F5">
        <w:rPr>
          <w:noProof/>
        </w:rPr>
        <w:t xml:space="preserve"> the service, who can access systems, which jurisdiction applies, and whether public authorities retain effective control over sensitive workloads. These are particularly relevant for strategic public</w:t>
      </w:r>
      <w:r w:rsidR="001B303B">
        <w:rPr>
          <w:noProof/>
        </w:rPr>
        <w:t xml:space="preserve"> </w:t>
      </w:r>
      <w:r w:rsidR="001B303B" w:rsidRPr="006853F5">
        <w:rPr>
          <w:noProof/>
        </w:rPr>
        <w:t xml:space="preserve">sector </w:t>
      </w:r>
      <w:r w:rsidR="001B303B">
        <w:rPr>
          <w:noProof/>
        </w:rPr>
        <w:t>use cases</w:t>
      </w:r>
      <w:r w:rsidR="001B303B" w:rsidRPr="006853F5">
        <w:rPr>
          <w:noProof/>
        </w:rPr>
        <w:t xml:space="preserve">, such as hospitals, emergency services, tax systems, justice systems or critical infrastructure, where continuity and trust </w:t>
      </w:r>
      <w:r w:rsidR="00420FC1">
        <w:rPr>
          <w:noProof/>
        </w:rPr>
        <w:t>outweigh</w:t>
      </w:r>
      <w:r w:rsidR="001B303B" w:rsidRPr="006853F5">
        <w:rPr>
          <w:noProof/>
        </w:rPr>
        <w:t xml:space="preserve"> marginal cost optimisation.</w:t>
      </w:r>
      <w:r w:rsidR="00D17E77" w:rsidRPr="00D17E77">
        <w:rPr>
          <w:noProof/>
        </w:rPr>
        <w:t xml:space="preserve"> </w:t>
      </w:r>
      <w:r w:rsidR="00D17E77" w:rsidRPr="005335D8">
        <w:rPr>
          <w:noProof/>
        </w:rPr>
        <w:t>In addition, greater availability of credible EU alternatives may have competition and cost benefits</w:t>
      </w:r>
      <w:r w:rsidR="00D17E77">
        <w:rPr>
          <w:noProof/>
        </w:rPr>
        <w:t xml:space="preserve">. </w:t>
      </w:r>
      <w:r w:rsidR="00D17E77" w:rsidRPr="00453BC6">
        <w:rPr>
          <w:noProof/>
        </w:rPr>
        <w:t xml:space="preserve">Moving part of its services to EU providers would give public administration the capacity to </w:t>
      </w:r>
      <w:r w:rsidR="00D17E77" w:rsidRPr="002B63D2">
        <w:rPr>
          <w:b/>
          <w:noProof/>
        </w:rPr>
        <w:t xml:space="preserve">improve their negotiating power </w:t>
      </w:r>
      <w:r w:rsidR="00D17E77" w:rsidRPr="00582DA3">
        <w:rPr>
          <w:noProof/>
        </w:rPr>
        <w:t>and contribute to decreasing this market concentration.</w:t>
      </w:r>
    </w:p>
    <w:p w14:paraId="600EF6AC" w14:textId="77777777" w:rsidR="00BE55B3" w:rsidRDefault="00D17E77" w:rsidP="00E25B44">
      <w:pPr>
        <w:rPr>
          <w:noProof/>
        </w:rPr>
      </w:pPr>
      <w:r>
        <w:rPr>
          <w:noProof/>
        </w:rPr>
        <w:t xml:space="preserve">Another relevant potential wider economic effect concerns the </w:t>
      </w:r>
      <w:r w:rsidRPr="002B63D2">
        <w:rPr>
          <w:b/>
          <w:noProof/>
        </w:rPr>
        <w:t>domestic value added through import substitution.</w:t>
      </w:r>
      <w:r w:rsidRPr="00CA1B18">
        <w:rPr>
          <w:noProof/>
        </w:rPr>
        <w:t xml:space="preserve"> A higher market share for EU providers would shift part of existing and future cloud and AI spending towards services produced within the Union. This would increase the share of wages, profits, reinvestment and tax revenues retained in the EU rather than accruing </w:t>
      </w:r>
      <w:r w:rsidR="00503497">
        <w:rPr>
          <w:noProof/>
        </w:rPr>
        <w:t xml:space="preserve">them </w:t>
      </w:r>
      <w:r w:rsidRPr="00CA1B18">
        <w:rPr>
          <w:noProof/>
        </w:rPr>
        <w:t>abroad.</w:t>
      </w:r>
      <w:r>
        <w:rPr>
          <w:noProof/>
        </w:rPr>
        <w:t xml:space="preserve"> </w:t>
      </w:r>
      <w:r w:rsidRPr="00157FD5">
        <w:rPr>
          <w:noProof/>
        </w:rPr>
        <w:t xml:space="preserve">This, in turn, could stimulate additional investment in cloud and AI infrastructure within the EU, </w:t>
      </w:r>
      <w:r>
        <w:rPr>
          <w:noProof/>
        </w:rPr>
        <w:t>enabling</w:t>
      </w:r>
      <w:r w:rsidRPr="00157FD5">
        <w:rPr>
          <w:noProof/>
        </w:rPr>
        <w:t xml:space="preserve"> European providers </w:t>
      </w:r>
      <w:r>
        <w:rPr>
          <w:noProof/>
        </w:rPr>
        <w:t xml:space="preserve">to scale up their offerings and strengthen their </w:t>
      </w:r>
      <w:r w:rsidRPr="00157FD5">
        <w:rPr>
          <w:noProof/>
        </w:rPr>
        <w:t>competitiveness</w:t>
      </w:r>
      <w:r>
        <w:rPr>
          <w:noProof/>
        </w:rPr>
        <w:t>.</w:t>
      </w:r>
      <w:r w:rsidRPr="00CA1B18">
        <w:rPr>
          <w:noProof/>
        </w:rPr>
        <w:t xml:space="preserve"> An illustrative calculation shows the possible order of magnitude. </w:t>
      </w:r>
    </w:p>
    <w:p w14:paraId="467E84E9" w14:textId="47E19D6B" w:rsidR="00BE55B3" w:rsidRDefault="00D17E77" w:rsidP="00E25B44">
      <w:pPr>
        <w:rPr>
          <w:noProof/>
        </w:rPr>
      </w:pPr>
      <w:r w:rsidRPr="0033669D">
        <w:rPr>
          <w:noProof/>
        </w:rPr>
        <w:t xml:space="preserve">Considering that the EU-27 public cloud revenues </w:t>
      </w:r>
      <w:r w:rsidR="0033669D" w:rsidRPr="0033669D">
        <w:rPr>
          <w:noProof/>
        </w:rPr>
        <w:t>could</w:t>
      </w:r>
      <w:r w:rsidR="003E0196" w:rsidRPr="0033669D">
        <w:rPr>
          <w:noProof/>
        </w:rPr>
        <w:t xml:space="preserve"> </w:t>
      </w:r>
      <w:r w:rsidRPr="0033669D">
        <w:rPr>
          <w:noProof/>
        </w:rPr>
        <w:t xml:space="preserve">reach </w:t>
      </w:r>
      <w:r w:rsidR="0033669D" w:rsidRPr="0033669D">
        <w:rPr>
          <w:noProof/>
        </w:rPr>
        <w:t>around EUR 320</w:t>
      </w:r>
      <w:r w:rsidRPr="0033669D">
        <w:rPr>
          <w:noProof/>
        </w:rPr>
        <w:t xml:space="preserve"> bn by </w:t>
      </w:r>
      <w:r w:rsidR="0033669D" w:rsidRPr="0033669D">
        <w:rPr>
          <w:noProof/>
        </w:rPr>
        <w:t>2030</w:t>
      </w:r>
      <w:r w:rsidR="00557867">
        <w:rPr>
          <w:rStyle w:val="FootnoteReference"/>
          <w:noProof/>
        </w:rPr>
        <w:footnoteReference w:id="112"/>
      </w:r>
      <w:r w:rsidR="00D46C51" w:rsidRPr="0033669D">
        <w:rPr>
          <w:noProof/>
        </w:rPr>
        <w:t>, that</w:t>
      </w:r>
      <w:r w:rsidRPr="0033669D">
        <w:rPr>
          <w:noProof/>
        </w:rPr>
        <w:t xml:space="preserve"> the public sector represents around </w:t>
      </w:r>
      <w:r w:rsidRPr="0033669D">
        <w:rPr>
          <w:b/>
          <w:noProof/>
        </w:rPr>
        <w:t>1</w:t>
      </w:r>
      <w:r w:rsidR="00FF76AD" w:rsidRPr="0033669D">
        <w:rPr>
          <w:b/>
          <w:noProof/>
        </w:rPr>
        <w:t>4</w:t>
      </w:r>
      <w:r w:rsidRPr="0033669D">
        <w:rPr>
          <w:b/>
          <w:noProof/>
        </w:rPr>
        <w:t>%</w:t>
      </w:r>
      <w:r w:rsidR="0033669D" w:rsidRPr="0033669D">
        <w:rPr>
          <w:noProof/>
        </w:rPr>
        <w:t xml:space="preserve"> of</w:t>
      </w:r>
      <w:r w:rsidRPr="0033669D">
        <w:rPr>
          <w:noProof/>
        </w:rPr>
        <w:t xml:space="preserve"> demand, </w:t>
      </w:r>
      <w:r w:rsidR="2F1EDC0A" w:rsidRPr="0033669D">
        <w:rPr>
          <w:noProof/>
        </w:rPr>
        <w:t xml:space="preserve">and that </w:t>
      </w:r>
      <w:r w:rsidR="007429C4" w:rsidRPr="0033669D">
        <w:rPr>
          <w:noProof/>
        </w:rPr>
        <w:t>level 3 and 4</w:t>
      </w:r>
      <w:r w:rsidR="050BD748" w:rsidRPr="0033669D">
        <w:rPr>
          <w:noProof/>
        </w:rPr>
        <w:t xml:space="preserve"> sovereignty </w:t>
      </w:r>
      <w:r w:rsidR="00040682" w:rsidRPr="0033669D">
        <w:rPr>
          <w:noProof/>
        </w:rPr>
        <w:t>levels correspond</w:t>
      </w:r>
      <w:r w:rsidR="050BD748" w:rsidRPr="0033669D">
        <w:rPr>
          <w:noProof/>
        </w:rPr>
        <w:t xml:space="preserve"> to 10</w:t>
      </w:r>
      <w:r w:rsidR="543B5AAE" w:rsidRPr="0033669D">
        <w:rPr>
          <w:noProof/>
        </w:rPr>
        <w:t xml:space="preserve">% of </w:t>
      </w:r>
      <w:r w:rsidR="00040682" w:rsidRPr="0033669D">
        <w:rPr>
          <w:noProof/>
        </w:rPr>
        <w:t>these needs</w:t>
      </w:r>
      <w:r w:rsidR="009D37D7" w:rsidRPr="0033669D">
        <w:rPr>
          <w:noProof/>
        </w:rPr>
        <w:t xml:space="preserve"> (see description of policy </w:t>
      </w:r>
      <w:r w:rsidR="0033669D" w:rsidRPr="0033669D">
        <w:rPr>
          <w:noProof/>
        </w:rPr>
        <w:t>measure</w:t>
      </w:r>
      <w:r w:rsidR="009D37D7" w:rsidRPr="0033669D">
        <w:rPr>
          <w:noProof/>
        </w:rPr>
        <w:t xml:space="preserve"> 21 </w:t>
      </w:r>
      <w:r w:rsidR="0033669D" w:rsidRPr="0033669D">
        <w:rPr>
          <w:noProof/>
        </w:rPr>
        <w:t xml:space="preserve">here </w:t>
      </w:r>
      <w:r w:rsidR="009D37D7" w:rsidRPr="0033669D">
        <w:rPr>
          <w:noProof/>
        </w:rPr>
        <w:t xml:space="preserve">above), this </w:t>
      </w:r>
      <w:r w:rsidR="005A5989" w:rsidRPr="0033669D">
        <w:rPr>
          <w:noProof/>
        </w:rPr>
        <w:t>means a marke</w:t>
      </w:r>
      <w:r w:rsidR="00A53073" w:rsidRPr="0033669D">
        <w:rPr>
          <w:noProof/>
        </w:rPr>
        <w:t xml:space="preserve">t of </w:t>
      </w:r>
      <w:r w:rsidR="00084862" w:rsidRPr="0033669D">
        <w:rPr>
          <w:noProof/>
        </w:rPr>
        <w:t xml:space="preserve">EUR </w:t>
      </w:r>
      <w:r w:rsidR="0033669D" w:rsidRPr="0033669D">
        <w:rPr>
          <w:noProof/>
        </w:rPr>
        <w:t>320 bn * 14% * 10% = EUR 4.48 bn</w:t>
      </w:r>
      <w:r w:rsidR="001773E2" w:rsidRPr="0033669D">
        <w:rPr>
          <w:noProof/>
        </w:rPr>
        <w:t xml:space="preserve"> only addressable by EU </w:t>
      </w:r>
      <w:r w:rsidR="0073625B" w:rsidRPr="0033669D">
        <w:rPr>
          <w:noProof/>
        </w:rPr>
        <w:t>controlled providers</w:t>
      </w:r>
      <w:r w:rsidR="007A281F">
        <w:rPr>
          <w:noProof/>
        </w:rPr>
        <w:t xml:space="preserve"> by 2030</w:t>
      </w:r>
      <w:r w:rsidR="00BC4055">
        <w:rPr>
          <w:rStyle w:val="FootnoteReference"/>
          <w:noProof/>
        </w:rPr>
        <w:footnoteReference w:id="113"/>
      </w:r>
      <w:r w:rsidR="543B5AAE" w:rsidRPr="0033669D">
        <w:rPr>
          <w:noProof/>
        </w:rPr>
        <w:t>.</w:t>
      </w:r>
      <w:r w:rsidR="543B5AAE">
        <w:rPr>
          <w:noProof/>
        </w:rPr>
        <w:t xml:space="preserve"> </w:t>
      </w:r>
    </w:p>
    <w:p w14:paraId="63F2AF6F" w14:textId="7D825818" w:rsidR="00E25B44" w:rsidRPr="00CA1B18" w:rsidRDefault="65CD23BD" w:rsidP="00E25B44">
      <w:pPr>
        <w:rPr>
          <w:noProof/>
        </w:rPr>
      </w:pPr>
      <w:r>
        <w:rPr>
          <w:noProof/>
        </w:rPr>
        <w:t xml:space="preserve">On top of this, it is likely that the signalling effect of European providers being selected for </w:t>
      </w:r>
      <w:r w:rsidR="04B4889F">
        <w:rPr>
          <w:noProof/>
        </w:rPr>
        <w:t>highly sensitive applications will give them increased opportunities in the market</w:t>
      </w:r>
      <w:r w:rsidR="00D273BD">
        <w:rPr>
          <w:noProof/>
        </w:rPr>
        <w:t>, and i</w:t>
      </w:r>
      <w:r w:rsidR="65835422">
        <w:rPr>
          <w:noProof/>
        </w:rPr>
        <w:t xml:space="preserve">t can therefore be expected that European providers would increase their </w:t>
      </w:r>
      <w:r w:rsidR="00DB0237">
        <w:rPr>
          <w:noProof/>
        </w:rPr>
        <w:t xml:space="preserve">market </w:t>
      </w:r>
      <w:r w:rsidR="65835422">
        <w:rPr>
          <w:noProof/>
        </w:rPr>
        <w:t>shares</w:t>
      </w:r>
      <w:r w:rsidR="04B4889F">
        <w:rPr>
          <w:noProof/>
        </w:rPr>
        <w:t xml:space="preserve"> </w:t>
      </w:r>
      <w:r w:rsidR="65835422">
        <w:rPr>
          <w:noProof/>
        </w:rPr>
        <w:t xml:space="preserve">also for </w:t>
      </w:r>
      <w:r w:rsidR="2EBFC53A">
        <w:rPr>
          <w:noProof/>
        </w:rPr>
        <w:t xml:space="preserve">lower sovereignty levels. Similarly, in the private sector, as regards sensitive sectors subject to a new obligation to pay attention to sovereignty issues, it can be expected that a number </w:t>
      </w:r>
      <w:r w:rsidR="2F34BB92">
        <w:rPr>
          <w:noProof/>
        </w:rPr>
        <w:t>of entities will consider giving new business to European entities, which will have less difficult</w:t>
      </w:r>
      <w:r w:rsidR="2B064DD9">
        <w:rPr>
          <w:noProof/>
        </w:rPr>
        <w:t>y</w:t>
      </w:r>
      <w:r w:rsidR="2F34BB92">
        <w:rPr>
          <w:noProof/>
        </w:rPr>
        <w:t xml:space="preserve"> in demonstrating their </w:t>
      </w:r>
      <w:r w:rsidR="3516B60B">
        <w:rPr>
          <w:noProof/>
        </w:rPr>
        <w:t xml:space="preserve">sovereignty levels. </w:t>
      </w:r>
      <w:r w:rsidR="00E25B44">
        <w:rPr>
          <w:noProof/>
        </w:rPr>
        <w:t>S</w:t>
      </w:r>
      <w:r w:rsidR="00E25B44" w:rsidRPr="00CA1B18">
        <w:rPr>
          <w:noProof/>
        </w:rPr>
        <w:t xml:space="preserve">overeign cloud and AI adoption may support productivity gains, although these are still uncertain. McKinsey estimates that Europe could unlock up to </w:t>
      </w:r>
      <w:r w:rsidR="00E25B44" w:rsidRPr="00CA1B18">
        <w:rPr>
          <w:b/>
          <w:bCs/>
          <w:noProof/>
        </w:rPr>
        <w:t>EUR 480 billion annually by 2030</w:t>
      </w:r>
      <w:r w:rsidR="00E25B44" w:rsidRPr="00CA1B18">
        <w:rPr>
          <w:noProof/>
        </w:rPr>
        <w:t xml:space="preserve"> in a “European digital sovereignty” scenario, where AI adoption is high and European providers capture most of the value. In a high</w:t>
      </w:r>
      <w:r w:rsidR="00E25B44">
        <w:rPr>
          <w:noProof/>
        </w:rPr>
        <w:t xml:space="preserve"> </w:t>
      </w:r>
      <w:r w:rsidR="00E25B44" w:rsidRPr="00CA1B18">
        <w:rPr>
          <w:noProof/>
        </w:rPr>
        <w:t xml:space="preserve">adoption but externally dependent scenario, the estimated impact is lower, at around </w:t>
      </w:r>
      <w:r w:rsidR="00E25B44" w:rsidRPr="00CA1B18">
        <w:rPr>
          <w:b/>
          <w:bCs/>
          <w:noProof/>
        </w:rPr>
        <w:t>EUR 375 billion</w:t>
      </w:r>
      <w:r w:rsidR="00E25B44" w:rsidRPr="00CA1B18">
        <w:rPr>
          <w:noProof/>
        </w:rPr>
        <w:t xml:space="preserve">. In lower-adoption scenarios, the estimated impact falls </w:t>
      </w:r>
      <w:r w:rsidR="00E25B44" w:rsidRPr="001B3D39">
        <w:rPr>
          <w:noProof/>
        </w:rPr>
        <w:t xml:space="preserve">to around </w:t>
      </w:r>
      <w:r w:rsidR="00E25B44" w:rsidRPr="001B3D39">
        <w:rPr>
          <w:b/>
          <w:noProof/>
        </w:rPr>
        <w:t xml:space="preserve">EUR </w:t>
      </w:r>
      <w:r w:rsidR="00CB0637" w:rsidRPr="001B3D39">
        <w:rPr>
          <w:b/>
          <w:noProof/>
        </w:rPr>
        <w:t>8</w:t>
      </w:r>
      <w:r w:rsidR="00E25B44" w:rsidRPr="001B3D39">
        <w:rPr>
          <w:b/>
          <w:noProof/>
        </w:rPr>
        <w:t xml:space="preserve">0 </w:t>
      </w:r>
      <w:r w:rsidR="00B9046C" w:rsidRPr="001B3D39">
        <w:rPr>
          <w:b/>
          <w:noProof/>
        </w:rPr>
        <w:t>to</w:t>
      </w:r>
      <w:r w:rsidR="00E25B44" w:rsidRPr="001B3D39">
        <w:rPr>
          <w:b/>
          <w:noProof/>
        </w:rPr>
        <w:t xml:space="preserve"> 100 billion</w:t>
      </w:r>
      <w:r w:rsidR="00B56069" w:rsidRPr="001B3D39">
        <w:rPr>
          <w:rStyle w:val="EndnoteReference"/>
          <w:b/>
          <w:noProof/>
        </w:rPr>
        <w:endnoteReference w:id="176"/>
      </w:r>
      <w:r w:rsidR="00E25B44" w:rsidRPr="001B3D39">
        <w:rPr>
          <w:noProof/>
        </w:rPr>
        <w:t>.</w:t>
      </w:r>
    </w:p>
    <w:p w14:paraId="62C19E99" w14:textId="77777777" w:rsidR="0075290F" w:rsidRDefault="00BA5008" w:rsidP="00485912">
      <w:pPr>
        <w:rPr>
          <w:noProof/>
        </w:rPr>
      </w:pPr>
      <w:r w:rsidRPr="00BA5008">
        <w:rPr>
          <w:noProof/>
        </w:rPr>
        <w:t xml:space="preserve">Increased availability of sovereign cloud and AI services may also increase trust among public authorities and thereby </w:t>
      </w:r>
      <w:r w:rsidRPr="002B63D2">
        <w:rPr>
          <w:b/>
          <w:noProof/>
        </w:rPr>
        <w:t>support greater cloudification as a side effect of the intervention</w:t>
      </w:r>
      <w:r w:rsidRPr="00BA5008">
        <w:rPr>
          <w:noProof/>
        </w:rPr>
        <w:t>. While for public administrations</w:t>
      </w:r>
      <w:r w:rsidR="00216504">
        <w:rPr>
          <w:noProof/>
        </w:rPr>
        <w:t xml:space="preserve">, </w:t>
      </w:r>
      <w:r w:rsidRPr="00BA5008">
        <w:rPr>
          <w:noProof/>
        </w:rPr>
        <w:t xml:space="preserve">the costs of porting or migration are one-off, several benefits may accumulate over time. These include a reduced need to own and manage infrastructure, greater scalability, faster deployment of new functionalities, more flexible cost structures, improved service quality and easier access to advanced analytics and AI tools. Cloud migration is often part of a broader modernisation effort: once the project is completed, the public authority may be freed from managing some underlying IT infrastructure and may be able to add new functionalities more easily. Some literature and case-study evidence </w:t>
      </w:r>
      <w:r w:rsidR="002F1A5A" w:rsidRPr="00BA5008">
        <w:rPr>
          <w:noProof/>
        </w:rPr>
        <w:t>point</w:t>
      </w:r>
      <w:r w:rsidRPr="00BA5008">
        <w:rPr>
          <w:noProof/>
        </w:rPr>
        <w:t xml:space="preserve"> to </w:t>
      </w:r>
      <w:r w:rsidRPr="002B63D2">
        <w:rPr>
          <w:b/>
          <w:noProof/>
        </w:rPr>
        <w:t>total cost of ownership savings in the range of 20–50% for cloudification projects</w:t>
      </w:r>
      <w:r w:rsidRPr="00BA5008">
        <w:rPr>
          <w:noProof/>
        </w:rPr>
        <w:t>, although these estimates remain highly context-specific</w:t>
      </w:r>
      <w:r w:rsidR="00703371">
        <w:rPr>
          <w:rStyle w:val="EndnoteReference"/>
          <w:noProof/>
        </w:rPr>
        <w:endnoteReference w:id="177"/>
      </w:r>
      <w:r w:rsidRPr="00BA5008">
        <w:rPr>
          <w:noProof/>
        </w:rPr>
        <w:t>.</w:t>
      </w:r>
      <w:r>
        <w:rPr>
          <w:noProof/>
        </w:rPr>
        <w:t xml:space="preserve"> </w:t>
      </w:r>
    </w:p>
    <w:p w14:paraId="51450328" w14:textId="0443838A" w:rsidR="00DF46EC" w:rsidRPr="00FD4307" w:rsidRDefault="00EE5E24" w:rsidP="00485912">
      <w:pPr>
        <w:rPr>
          <w:noProof/>
          <w:lang w:val="en-US"/>
        </w:rPr>
      </w:pPr>
      <w:r>
        <w:rPr>
          <w:noProof/>
        </w:rPr>
        <w:t xml:space="preserve">At the same time, </w:t>
      </w:r>
      <w:r w:rsidR="00B97655" w:rsidRPr="007835B3">
        <w:rPr>
          <w:noProof/>
        </w:rPr>
        <w:t xml:space="preserve">these benefits must be balanced against the potential price premium </w:t>
      </w:r>
      <w:r w:rsidR="00A541D3">
        <w:rPr>
          <w:noProof/>
        </w:rPr>
        <w:t>(mark-up)</w:t>
      </w:r>
      <w:r w:rsidR="00B97655" w:rsidRPr="007835B3">
        <w:rPr>
          <w:noProof/>
        </w:rPr>
        <w:t xml:space="preserve"> of sovereign services. </w:t>
      </w:r>
      <w:r w:rsidR="00B97655">
        <w:rPr>
          <w:noProof/>
        </w:rPr>
        <w:t>Any</w:t>
      </w:r>
      <w:r w:rsidR="00B97655" w:rsidRPr="00AF56F4">
        <w:rPr>
          <w:noProof/>
        </w:rPr>
        <w:t xml:space="preserve"> additional</w:t>
      </w:r>
      <w:r w:rsidRPr="00AF56F4">
        <w:rPr>
          <w:noProof/>
        </w:rPr>
        <w:t xml:space="preserve"> costs </w:t>
      </w:r>
      <w:r>
        <w:rPr>
          <w:noProof/>
        </w:rPr>
        <w:t xml:space="preserve">linked to providing sovereign services </w:t>
      </w:r>
      <w:r w:rsidR="00B97655">
        <w:rPr>
          <w:noProof/>
        </w:rPr>
        <w:t xml:space="preserve">- </w:t>
      </w:r>
      <w:r w:rsidR="00B97655" w:rsidRPr="00AF56F4">
        <w:rPr>
          <w:noProof/>
        </w:rPr>
        <w:t xml:space="preserve">compliance costs </w:t>
      </w:r>
      <w:r w:rsidR="00B97655">
        <w:rPr>
          <w:noProof/>
        </w:rPr>
        <w:t>linked to audits</w:t>
      </w:r>
      <w:r w:rsidR="00B97655" w:rsidRPr="00AF56F4">
        <w:rPr>
          <w:noProof/>
        </w:rPr>
        <w:t>, EUCS</w:t>
      </w:r>
      <w:r w:rsidR="00B97655">
        <w:rPr>
          <w:noProof/>
        </w:rPr>
        <w:t xml:space="preserve"> certification costs</w:t>
      </w:r>
      <w:r w:rsidR="00B97655" w:rsidRPr="00AF56F4">
        <w:rPr>
          <w:noProof/>
        </w:rPr>
        <w:t xml:space="preserve">, the </w:t>
      </w:r>
      <w:r w:rsidR="00B97655">
        <w:rPr>
          <w:noProof/>
        </w:rPr>
        <w:t>use of</w:t>
      </w:r>
      <w:r w:rsidR="00B97655" w:rsidRPr="00AF56F4">
        <w:rPr>
          <w:noProof/>
        </w:rPr>
        <w:t xml:space="preserve"> EU-</w:t>
      </w:r>
      <w:r w:rsidR="00B97655">
        <w:rPr>
          <w:noProof/>
        </w:rPr>
        <w:t>based</w:t>
      </w:r>
      <w:r w:rsidR="00B97655" w:rsidRPr="00AF56F4">
        <w:rPr>
          <w:noProof/>
        </w:rPr>
        <w:t xml:space="preserve"> infrastructure, higher </w:t>
      </w:r>
      <w:r w:rsidR="00B97655">
        <w:rPr>
          <w:noProof/>
        </w:rPr>
        <w:t xml:space="preserve">labour costs for </w:t>
      </w:r>
      <w:r w:rsidR="00B97655" w:rsidRPr="00AF56F4">
        <w:rPr>
          <w:noProof/>
        </w:rPr>
        <w:t>EU</w:t>
      </w:r>
      <w:r w:rsidR="00B97655">
        <w:rPr>
          <w:noProof/>
        </w:rPr>
        <w:t xml:space="preserve">-based staff - </w:t>
      </w:r>
      <w:r>
        <w:rPr>
          <w:noProof/>
        </w:rPr>
        <w:t>would be passed on to customers through higher prices</w:t>
      </w:r>
      <w:r w:rsidRPr="00AF56F4">
        <w:rPr>
          <w:noProof/>
        </w:rPr>
        <w:t>.</w:t>
      </w:r>
    </w:p>
    <w:p w14:paraId="76E9FD1A" w14:textId="77777777" w:rsidR="00E61374" w:rsidRPr="00D37004" w:rsidRDefault="00E61374" w:rsidP="006B5183">
      <w:pPr>
        <w:pStyle w:val="Heading2"/>
        <w:rPr>
          <w:noProof/>
        </w:rPr>
      </w:pPr>
      <w:bookmarkStart w:id="58" w:name="_Toc207833668"/>
      <w:bookmarkStart w:id="59" w:name="_Toc216129274"/>
      <w:bookmarkStart w:id="60" w:name="_Toc230792741"/>
      <w:r w:rsidRPr="00D37004" w:rsidDel="00CC67FE">
        <w:rPr>
          <w:noProof/>
        </w:rPr>
        <w:t>Social impact</w:t>
      </w:r>
      <w:bookmarkEnd w:id="58"/>
      <w:bookmarkEnd w:id="59"/>
      <w:bookmarkEnd w:id="60"/>
    </w:p>
    <w:p w14:paraId="099FB3FA" w14:textId="7F26F20D" w:rsidR="00E61374" w:rsidRPr="00D37004" w:rsidRDefault="00E61374" w:rsidP="009D6B10">
      <w:pPr>
        <w:rPr>
          <w:noProof/>
        </w:rPr>
      </w:pPr>
      <w:r w:rsidRPr="294AF3FA">
        <w:rPr>
          <w:b/>
          <w:bCs/>
          <w:i/>
          <w:iCs/>
          <w:noProof/>
        </w:rPr>
        <w:t>Employment.</w:t>
      </w:r>
      <w:r w:rsidRPr="00D37004">
        <w:rPr>
          <w:noProof/>
        </w:rPr>
        <w:t xml:space="preserve"> </w:t>
      </w:r>
      <w:r w:rsidR="00217F2B">
        <w:rPr>
          <w:noProof/>
        </w:rPr>
        <w:t>DCs</w:t>
      </w:r>
      <w:r w:rsidRPr="00D37004">
        <w:rPr>
          <w:noProof/>
        </w:rPr>
        <w:t xml:space="preserve"> are highly automated facilities, and the effect on employment is greater during their construction phase than their operational phases. As reported by stakeholders, construction is typically undertaken by </w:t>
      </w:r>
      <w:r>
        <w:rPr>
          <w:noProof/>
        </w:rPr>
        <w:t>large</w:t>
      </w:r>
      <w:r w:rsidRPr="00D37004">
        <w:rPr>
          <w:noProof/>
        </w:rPr>
        <w:t xml:space="preserve"> multi-national construction companies with participation of local teams for the initial phases and non-local specialised teams for fit-out phases. For a 100</w:t>
      </w:r>
      <w:r>
        <w:rPr>
          <w:noProof/>
        </w:rPr>
        <w:t xml:space="preserve"> </w:t>
      </w:r>
      <w:r w:rsidRPr="00D37004">
        <w:rPr>
          <w:noProof/>
        </w:rPr>
        <w:t>MW site, around 1</w:t>
      </w:r>
      <w:r>
        <w:rPr>
          <w:noProof/>
        </w:rPr>
        <w:t xml:space="preserve"> </w:t>
      </w:r>
      <w:r w:rsidRPr="00D37004">
        <w:rPr>
          <w:noProof/>
        </w:rPr>
        <w:t>500 – 2</w:t>
      </w:r>
      <w:r>
        <w:rPr>
          <w:noProof/>
        </w:rPr>
        <w:t xml:space="preserve"> </w:t>
      </w:r>
      <w:r w:rsidRPr="00D37004">
        <w:rPr>
          <w:noProof/>
        </w:rPr>
        <w:t xml:space="preserve">000 construction employees would typically be on site per day. During the operational phase, approximately 6-8 full time jobs are created for every 1 MW of capacity, with economies of scale appearing as </w:t>
      </w:r>
      <w:r w:rsidR="00217F2B">
        <w:rPr>
          <w:noProof/>
        </w:rPr>
        <w:t>DCs</w:t>
      </w:r>
      <w:r w:rsidRPr="00D37004">
        <w:rPr>
          <w:noProof/>
        </w:rPr>
        <w:t xml:space="preserve"> </w:t>
      </w:r>
      <w:r>
        <w:rPr>
          <w:noProof/>
        </w:rPr>
        <w:t>measure</w:t>
      </w:r>
      <w:r w:rsidRPr="00D37004">
        <w:rPr>
          <w:noProof/>
        </w:rPr>
        <w:t xml:space="preserve"> beyond 50 MW. Some interviewees also highlighted that they provide offices for some of their larger customers, converting </w:t>
      </w:r>
      <w:r w:rsidR="00217F2B">
        <w:rPr>
          <w:noProof/>
        </w:rPr>
        <w:t>DCs</w:t>
      </w:r>
      <w:r w:rsidRPr="00D37004">
        <w:rPr>
          <w:noProof/>
        </w:rPr>
        <w:t xml:space="preserve"> into co-working hubs. </w:t>
      </w:r>
      <w:r>
        <w:rPr>
          <w:noProof/>
        </w:rPr>
        <w:t xml:space="preserve">When it comes to providing </w:t>
      </w:r>
      <w:r w:rsidRPr="00D37004">
        <w:rPr>
          <w:noProof/>
        </w:rPr>
        <w:t xml:space="preserve">cloud </w:t>
      </w:r>
      <w:r>
        <w:rPr>
          <w:noProof/>
        </w:rPr>
        <w:t>and AI</w:t>
      </w:r>
      <w:r w:rsidRPr="00D37004">
        <w:rPr>
          <w:noProof/>
        </w:rPr>
        <w:t xml:space="preserve"> </w:t>
      </w:r>
      <w:r>
        <w:rPr>
          <w:noProof/>
        </w:rPr>
        <w:t>computing services</w:t>
      </w:r>
      <w:r w:rsidRPr="00D37004">
        <w:rPr>
          <w:noProof/>
        </w:rPr>
        <w:t xml:space="preserve">, the </w:t>
      </w:r>
      <w:r>
        <w:rPr>
          <w:noProof/>
        </w:rPr>
        <w:t>EU’s</w:t>
      </w:r>
      <w:r w:rsidRPr="00D37004">
        <w:rPr>
          <w:noProof/>
        </w:rPr>
        <w:t xml:space="preserve"> shortage in ICT skills can hamper </w:t>
      </w:r>
      <w:r>
        <w:rPr>
          <w:noProof/>
        </w:rPr>
        <w:t xml:space="preserve">the </w:t>
      </w:r>
      <w:r w:rsidRPr="00D37004">
        <w:rPr>
          <w:noProof/>
        </w:rPr>
        <w:t xml:space="preserve">development of cloud and </w:t>
      </w:r>
      <w:r>
        <w:rPr>
          <w:noProof/>
        </w:rPr>
        <w:t>AI</w:t>
      </w:r>
      <w:r w:rsidRPr="00D37004">
        <w:rPr>
          <w:noProof/>
        </w:rPr>
        <w:t xml:space="preserve"> ecosystem</w:t>
      </w:r>
      <w:r>
        <w:rPr>
          <w:noProof/>
        </w:rPr>
        <w:t>s</w:t>
      </w:r>
      <w:r w:rsidRPr="00D37004">
        <w:rPr>
          <w:noProof/>
        </w:rPr>
        <w:t xml:space="preserve">, with a limited availability of experts creating a significant gap in an already limited specialist workforce. </w:t>
      </w:r>
      <w:r>
        <w:rPr>
          <w:noProof/>
        </w:rPr>
        <w:t>For AI, only a small proportion of specialists</w:t>
      </w:r>
      <w:r w:rsidRPr="00D37004">
        <w:rPr>
          <w:noProof/>
        </w:rPr>
        <w:t xml:space="preserve"> are actively involved in the industry</w:t>
      </w:r>
      <w:r w:rsidRPr="00D37004">
        <w:rPr>
          <w:rStyle w:val="EndnoteReference"/>
          <w:noProof/>
        </w:rPr>
        <w:endnoteReference w:id="178"/>
      </w:r>
      <w:r w:rsidRPr="00D37004">
        <w:rPr>
          <w:noProof/>
        </w:rPr>
        <w:t xml:space="preserve">, with </w:t>
      </w:r>
      <w:r>
        <w:rPr>
          <w:noProof/>
        </w:rPr>
        <w:t xml:space="preserve">many </w:t>
      </w:r>
      <w:r w:rsidRPr="00D37004">
        <w:rPr>
          <w:noProof/>
        </w:rPr>
        <w:t xml:space="preserve">remaining in academia. This results in </w:t>
      </w:r>
      <w:r>
        <w:rPr>
          <w:noProof/>
        </w:rPr>
        <w:t>a</w:t>
      </w:r>
      <w:r w:rsidRPr="00D37004">
        <w:rPr>
          <w:noProof/>
        </w:rPr>
        <w:t xml:space="preserve"> low transferability of results to the market and</w:t>
      </w:r>
      <w:r>
        <w:rPr>
          <w:noProof/>
        </w:rPr>
        <w:t xml:space="preserve">, where transfer is successful, companies lack </w:t>
      </w:r>
      <w:r w:rsidRPr="00D37004">
        <w:rPr>
          <w:noProof/>
        </w:rPr>
        <w:t>the means to scale up or retain talent. Beyond</w:t>
      </w:r>
      <w:r>
        <w:rPr>
          <w:noProof/>
        </w:rPr>
        <w:t xml:space="preserve"> these direct impacts, cloud and AI computing services</w:t>
      </w:r>
      <w:r w:rsidRPr="00D37004">
        <w:rPr>
          <w:noProof/>
        </w:rPr>
        <w:t xml:space="preserve"> play an important role in the digitalisation of </w:t>
      </w:r>
      <w:r>
        <w:rPr>
          <w:noProof/>
        </w:rPr>
        <w:t>other sectors</w:t>
      </w:r>
      <w:r w:rsidRPr="00D37004">
        <w:rPr>
          <w:noProof/>
        </w:rPr>
        <w:t>, which has a complex effect on employment</w:t>
      </w:r>
      <w:r w:rsidRPr="00D37004">
        <w:rPr>
          <w:rStyle w:val="EndnoteReference"/>
          <w:noProof/>
        </w:rPr>
        <w:endnoteReference w:id="179"/>
      </w:r>
      <w:r w:rsidRPr="00D37004">
        <w:rPr>
          <w:noProof/>
        </w:rPr>
        <w:t>.</w:t>
      </w:r>
      <w:r>
        <w:rPr>
          <w:noProof/>
        </w:rPr>
        <w:t xml:space="preserve"> With respect to the contribution of technological sovereignty, 71% of citizens from the three biggest Member States believe that </w:t>
      </w:r>
      <w:r w:rsidRPr="00F17486">
        <w:rPr>
          <w:noProof/>
        </w:rPr>
        <w:t xml:space="preserve">sovereignty </w:t>
      </w:r>
      <w:r>
        <w:rPr>
          <w:noProof/>
        </w:rPr>
        <w:t xml:space="preserve">can </w:t>
      </w:r>
      <w:r w:rsidRPr="00F17486">
        <w:rPr>
          <w:noProof/>
        </w:rPr>
        <w:t>help create and protect local jobs</w:t>
      </w:r>
      <w:r>
        <w:rPr>
          <w:rStyle w:val="EndnoteReference"/>
          <w:noProof/>
        </w:rPr>
        <w:endnoteReference w:id="180"/>
      </w:r>
      <w:r>
        <w:rPr>
          <w:noProof/>
        </w:rPr>
        <w:t>.</w:t>
      </w:r>
    </w:p>
    <w:p w14:paraId="4EC83617" w14:textId="5A904E41" w:rsidR="00E61374" w:rsidRDefault="00E61374" w:rsidP="009D6B10">
      <w:pPr>
        <w:rPr>
          <w:noProof/>
        </w:rPr>
      </w:pPr>
      <w:r w:rsidRPr="294AF3FA">
        <w:rPr>
          <w:b/>
          <w:bCs/>
          <w:i/>
          <w:iCs/>
          <w:noProof/>
        </w:rPr>
        <w:t>Citizens.</w:t>
      </w:r>
      <w:r w:rsidRPr="00D37004">
        <w:rPr>
          <w:noProof/>
        </w:rPr>
        <w:t xml:space="preserve"> With regards to </w:t>
      </w:r>
      <w:r w:rsidR="00217F2B">
        <w:rPr>
          <w:noProof/>
        </w:rPr>
        <w:t>DCs</w:t>
      </w:r>
      <w:r w:rsidRPr="00D37004">
        <w:rPr>
          <w:noProof/>
        </w:rPr>
        <w:t>, there are documented instances of public resistance against the</w:t>
      </w:r>
      <w:r>
        <w:rPr>
          <w:noProof/>
        </w:rPr>
        <w:t>ir</w:t>
      </w:r>
      <w:r w:rsidRPr="00D37004">
        <w:rPr>
          <w:noProof/>
        </w:rPr>
        <w:t xml:space="preserve"> construction due to environmental concerns</w:t>
      </w:r>
      <w:r w:rsidR="006010E4">
        <w:rPr>
          <w:noProof/>
        </w:rPr>
        <w:t xml:space="preserve">, e.g. energy consumption and water security and potential consequences on </w:t>
      </w:r>
      <w:r w:rsidR="0057138D">
        <w:rPr>
          <w:noProof/>
        </w:rPr>
        <w:t xml:space="preserve">related </w:t>
      </w:r>
      <w:r w:rsidR="006010E4">
        <w:rPr>
          <w:noProof/>
        </w:rPr>
        <w:t>prices</w:t>
      </w:r>
      <w:r w:rsidRPr="00D37004">
        <w:rPr>
          <w:rStyle w:val="EndnoteReference"/>
          <w:noProof/>
        </w:rPr>
        <w:endnoteReference w:id="181"/>
      </w:r>
      <w:r w:rsidRPr="00D37004">
        <w:rPr>
          <w:noProof/>
        </w:rPr>
        <w:t xml:space="preserve">. </w:t>
      </w:r>
      <w:r>
        <w:rPr>
          <w:noProof/>
        </w:rPr>
        <w:t>However, c</w:t>
      </w:r>
      <w:r w:rsidRPr="00D37004">
        <w:rPr>
          <w:noProof/>
        </w:rPr>
        <w:t>itizens increasingly use digital services in their daily lives</w:t>
      </w:r>
      <w:r w:rsidRPr="00D37004">
        <w:rPr>
          <w:rStyle w:val="EndnoteReference"/>
          <w:noProof/>
        </w:rPr>
        <w:endnoteReference w:id="182"/>
      </w:r>
      <w:r w:rsidRPr="00D37004">
        <w:rPr>
          <w:noProof/>
        </w:rPr>
        <w:t>, where cloud and AI computing services and their underlying infrastructure play a vital enabling role. AI, while nascent, is already pervasive</w:t>
      </w:r>
      <w:r w:rsidRPr="00D37004">
        <w:rPr>
          <w:rStyle w:val="EndnoteReference"/>
          <w:noProof/>
        </w:rPr>
        <w:endnoteReference w:id="183"/>
      </w:r>
      <w:r w:rsidRPr="00D37004">
        <w:rPr>
          <w:noProof/>
        </w:rPr>
        <w:t>. Citizens</w:t>
      </w:r>
      <w:r w:rsidRPr="00D37004" w:rsidDel="009074D2">
        <w:rPr>
          <w:noProof/>
        </w:rPr>
        <w:t xml:space="preserve"> </w:t>
      </w:r>
      <w:r w:rsidRPr="00D37004">
        <w:rPr>
          <w:noProof/>
        </w:rPr>
        <w:t>stand to benefit from accelerated deployment of nearby compute capacity for low-latency applications like automated driving, decentralised energy grids or assisted surgeries</w:t>
      </w:r>
      <w:r>
        <w:rPr>
          <w:noProof/>
        </w:rPr>
        <w:t xml:space="preserve"> or living. These growing social benefits should help increase the long-term public acceptance of the facilities that power these technologies. Concerning sovereign cloud and AI computing services, a strong majority of citizens from the three biggest Member States </w:t>
      </w:r>
      <w:r w:rsidRPr="008E7EF5">
        <w:rPr>
          <w:noProof/>
        </w:rPr>
        <w:t>support greater sovereignty even if this increases costs</w:t>
      </w:r>
      <w:r>
        <w:rPr>
          <w:noProof/>
        </w:rPr>
        <w:t xml:space="preserve"> and argue that g</w:t>
      </w:r>
      <w:r w:rsidRPr="002E7CC7">
        <w:rPr>
          <w:noProof/>
        </w:rPr>
        <w:t xml:space="preserve">overnments should lead </w:t>
      </w:r>
      <w:r>
        <w:rPr>
          <w:noProof/>
        </w:rPr>
        <w:t>the investment and</w:t>
      </w:r>
      <w:r w:rsidRPr="002E7CC7">
        <w:rPr>
          <w:noProof/>
        </w:rPr>
        <w:t xml:space="preserve"> development to </w:t>
      </w:r>
      <w:r>
        <w:rPr>
          <w:noProof/>
        </w:rPr>
        <w:t xml:space="preserve">achieve this objective. The support drops, however, should this result into a </w:t>
      </w:r>
      <w:r w:rsidRPr="00474B8E">
        <w:rPr>
          <w:noProof/>
        </w:rPr>
        <w:t>lower spending on public services</w:t>
      </w:r>
      <w:r>
        <w:rPr>
          <w:rStyle w:val="EndnoteReference"/>
          <w:noProof/>
        </w:rPr>
        <w:endnoteReference w:id="184"/>
      </w:r>
      <w:r w:rsidR="009116C5">
        <w:rPr>
          <w:noProof/>
        </w:rPr>
        <w:t>.</w:t>
      </w:r>
    </w:p>
    <w:p w14:paraId="71CFFA00" w14:textId="79EF074E" w:rsidR="00E61374" w:rsidRPr="00D37004" w:rsidRDefault="00E61374" w:rsidP="009D6B10">
      <w:pPr>
        <w:rPr>
          <w:noProof/>
        </w:rPr>
      </w:pPr>
      <w:r w:rsidRPr="00D37004">
        <w:rPr>
          <w:noProof/>
        </w:rPr>
        <w:t>Some POs</w:t>
      </w:r>
      <w:r w:rsidRPr="00D37004" w:rsidDel="002174E1">
        <w:rPr>
          <w:noProof/>
        </w:rPr>
        <w:t xml:space="preserve"> </w:t>
      </w:r>
      <w:r w:rsidRPr="00D37004">
        <w:rPr>
          <w:noProof/>
        </w:rPr>
        <w:t xml:space="preserve">have particular social impacts. Under </w:t>
      </w:r>
      <w:r w:rsidRPr="00D37004">
        <w:rPr>
          <w:b/>
          <w:noProof/>
        </w:rPr>
        <w:t>PO1-A</w:t>
      </w:r>
      <w:r w:rsidRPr="00D37004">
        <w:rPr>
          <w:noProof/>
        </w:rPr>
        <w:t xml:space="preserve">, the public guidelines and the yearly forum with the involvement of local municipalities, would help increase community trust and engagement. Under </w:t>
      </w:r>
      <w:r w:rsidRPr="00D37004">
        <w:rPr>
          <w:b/>
          <w:noProof/>
        </w:rPr>
        <w:t>PO1-B</w:t>
      </w:r>
      <w:r w:rsidRPr="00D37004">
        <w:rPr>
          <w:noProof/>
        </w:rPr>
        <w:t>,</w:t>
      </w:r>
      <w:r w:rsidRPr="00D37004">
        <w:rPr>
          <w:b/>
          <w:noProof/>
        </w:rPr>
        <w:t xml:space="preserve"> </w:t>
      </w:r>
      <w:r w:rsidRPr="00D37004">
        <w:rPr>
          <w:noProof/>
        </w:rPr>
        <w:t xml:space="preserve">the social acceptance of </w:t>
      </w:r>
      <w:r w:rsidR="00217F2B">
        <w:rPr>
          <w:noProof/>
        </w:rPr>
        <w:t>DC</w:t>
      </w:r>
      <w:r w:rsidRPr="00D37004">
        <w:rPr>
          <w:noProof/>
        </w:rPr>
        <w:t xml:space="preserve">s is expected to be the greatest, as decisions on </w:t>
      </w:r>
      <w:r w:rsidR="00217F2B">
        <w:rPr>
          <w:noProof/>
        </w:rPr>
        <w:t>DC</w:t>
      </w:r>
      <w:r w:rsidRPr="00D37004">
        <w:rPr>
          <w:noProof/>
        </w:rPr>
        <w:t xml:space="preserve"> build-out </w:t>
      </w:r>
      <w:r>
        <w:rPr>
          <w:noProof/>
        </w:rPr>
        <w:t>give a greater role to local authorities</w:t>
      </w:r>
      <w:r w:rsidRPr="00D37004">
        <w:rPr>
          <w:noProof/>
        </w:rPr>
        <w:t xml:space="preserve"> and</w:t>
      </w:r>
      <w:r>
        <w:rPr>
          <w:noProof/>
        </w:rPr>
        <w:t xml:space="preserve"> are</w:t>
      </w:r>
      <w:r w:rsidRPr="00D37004">
        <w:rPr>
          <w:noProof/>
        </w:rPr>
        <w:t xml:space="preserve"> thus</w:t>
      </w:r>
      <w:r>
        <w:rPr>
          <w:noProof/>
        </w:rPr>
        <w:t xml:space="preserve"> taken</w:t>
      </w:r>
      <w:r w:rsidRPr="00D37004">
        <w:rPr>
          <w:noProof/>
        </w:rPr>
        <w:t xml:space="preserve"> closer to citizens</w:t>
      </w:r>
      <w:r>
        <w:rPr>
          <w:noProof/>
        </w:rPr>
        <w:t xml:space="preserve">. Acceptance can be expected to be particularly high when </w:t>
      </w:r>
      <w:r w:rsidR="00B02E52">
        <w:rPr>
          <w:noProof/>
        </w:rPr>
        <w:t>DCs</w:t>
      </w:r>
      <w:r>
        <w:rPr>
          <w:noProof/>
        </w:rPr>
        <w:t xml:space="preserve"> demonstrably contribute to local communities, for example through waste heat reused in local energy systems</w:t>
      </w:r>
      <w:r w:rsidDel="00103766">
        <w:rPr>
          <w:noProof/>
        </w:rPr>
        <w:t>.</w:t>
      </w:r>
      <w:r w:rsidRPr="00D37004">
        <w:rPr>
          <w:noProof/>
        </w:rPr>
        <w:t xml:space="preserve"> Social acceptance should also be a core attention point of the coordination hub wh</w:t>
      </w:r>
      <w:r>
        <w:rPr>
          <w:noProof/>
        </w:rPr>
        <w:t>ich</w:t>
      </w:r>
      <w:r w:rsidRPr="00D37004">
        <w:rPr>
          <w:noProof/>
        </w:rPr>
        <w:t xml:space="preserve"> would disseminate best practices </w:t>
      </w:r>
      <w:r>
        <w:rPr>
          <w:noProof/>
        </w:rPr>
        <w:t>on deployment</w:t>
      </w:r>
      <w:r w:rsidRPr="00D37004">
        <w:rPr>
          <w:noProof/>
        </w:rPr>
        <w:t xml:space="preserve">. Conversely, </w:t>
      </w:r>
      <w:r w:rsidRPr="00D37004">
        <w:rPr>
          <w:b/>
          <w:noProof/>
        </w:rPr>
        <w:t xml:space="preserve">PO1-C </w:t>
      </w:r>
      <w:r w:rsidRPr="00D37004">
        <w:rPr>
          <w:noProof/>
        </w:rPr>
        <w:t xml:space="preserve">is expected to have a detrimental social impact as EU-level decision making on </w:t>
      </w:r>
      <w:r w:rsidR="00B02E52">
        <w:rPr>
          <w:noProof/>
        </w:rPr>
        <w:t>DC</w:t>
      </w:r>
      <w:r w:rsidRPr="00D37004">
        <w:rPr>
          <w:noProof/>
        </w:rPr>
        <w:t xml:space="preserve"> deployment is perceived as further away from the citizen. PM18, which belongs to </w:t>
      </w:r>
      <w:r w:rsidRPr="00D37004">
        <w:rPr>
          <w:b/>
          <w:noProof/>
        </w:rPr>
        <w:t xml:space="preserve">PO2-B </w:t>
      </w:r>
      <w:r w:rsidRPr="00D37004">
        <w:rPr>
          <w:noProof/>
        </w:rPr>
        <w:t xml:space="preserve">and is then picked up in </w:t>
      </w:r>
      <w:r w:rsidRPr="00D37004">
        <w:rPr>
          <w:b/>
          <w:noProof/>
        </w:rPr>
        <w:t>PO2-C</w:t>
      </w:r>
      <w:r w:rsidRPr="00A92A5F">
        <w:rPr>
          <w:noProof/>
        </w:rPr>
        <w:t>,</w:t>
      </w:r>
      <w:r w:rsidRPr="00D37004">
        <w:rPr>
          <w:b/>
          <w:noProof/>
        </w:rPr>
        <w:t xml:space="preserve"> </w:t>
      </w:r>
      <w:r w:rsidRPr="00D37004">
        <w:rPr>
          <w:noProof/>
        </w:rPr>
        <w:t xml:space="preserve">would have direct social impacts since it focusses on the development of ICT skills where Europe is lagging, resulting in higher employability of citizens. </w:t>
      </w:r>
      <w:r>
        <w:rPr>
          <w:noProof/>
        </w:rPr>
        <w:t>For PO1-A/B/C, the possible effects on consumer electricity prices have not been considered as this would require too many unverifiable assumptions (see next section).</w:t>
      </w:r>
    </w:p>
    <w:p w14:paraId="52B6D68C" w14:textId="77777777" w:rsidR="00E61374" w:rsidRPr="00D37004" w:rsidRDefault="00E61374" w:rsidP="006B5183">
      <w:pPr>
        <w:pStyle w:val="Heading2"/>
        <w:rPr>
          <w:noProof/>
        </w:rPr>
      </w:pPr>
      <w:bookmarkStart w:id="61" w:name="_Toc207833669"/>
      <w:bookmarkStart w:id="62" w:name="_Toc216129275"/>
      <w:bookmarkStart w:id="63" w:name="_Toc230792742"/>
      <w:bookmarkStart w:id="64" w:name="_Ref207898657"/>
      <w:r w:rsidRPr="00D37004">
        <w:rPr>
          <w:noProof/>
        </w:rPr>
        <w:t>Environmental impact</w:t>
      </w:r>
      <w:bookmarkEnd w:id="61"/>
      <w:bookmarkEnd w:id="62"/>
      <w:bookmarkEnd w:id="63"/>
      <w:r w:rsidRPr="00D37004">
        <w:rPr>
          <w:noProof/>
        </w:rPr>
        <w:t xml:space="preserve"> </w:t>
      </w:r>
    </w:p>
    <w:bookmarkEnd w:id="64"/>
    <w:p w14:paraId="454FFE0B" w14:textId="419F2740" w:rsidR="005D38EC" w:rsidRDefault="00B02E52" w:rsidP="009D6B10">
      <w:pPr>
        <w:rPr>
          <w:noProof/>
        </w:rPr>
      </w:pPr>
      <w:r>
        <w:rPr>
          <w:noProof/>
        </w:rPr>
        <w:t>DCs</w:t>
      </w:r>
      <w:r w:rsidR="00E61374" w:rsidRPr="00D37004">
        <w:rPr>
          <w:noProof/>
        </w:rPr>
        <w:t xml:space="preserve"> in the EU currently </w:t>
      </w:r>
      <w:r w:rsidR="00E61374">
        <w:rPr>
          <w:noProof/>
        </w:rPr>
        <w:t xml:space="preserve">are projected to </w:t>
      </w:r>
      <w:r w:rsidR="00E61374" w:rsidRPr="00D37004">
        <w:rPr>
          <w:noProof/>
        </w:rPr>
        <w:t xml:space="preserve">consume </w:t>
      </w:r>
      <w:r w:rsidR="00E61374">
        <w:rPr>
          <w:noProof/>
        </w:rPr>
        <w:t>around 99</w:t>
      </w:r>
      <w:r w:rsidR="00E61374" w:rsidRPr="00D37004">
        <w:rPr>
          <w:noProof/>
        </w:rPr>
        <w:t xml:space="preserve"> TWh of electricity in 2025, equivalent to roughly 3 % of total EU power generation. Over the next decade, rising capacity will be the primary driver of increased electricity use, though its effect will differ depending on the pace of expansion and the success of energy-efficiency. </w:t>
      </w:r>
      <w:r w:rsidR="004A3C24" w:rsidRPr="00C76F8A">
        <w:rPr>
          <w:noProof/>
        </w:rPr>
        <w:t xml:space="preserve">Electricity consumption and </w:t>
      </w:r>
      <w:r w:rsidR="006C20DC">
        <w:rPr>
          <w:noProof/>
        </w:rPr>
        <w:t>its</w:t>
      </w:r>
      <w:r w:rsidR="004A3C24" w:rsidRPr="00C76F8A">
        <w:rPr>
          <w:noProof/>
        </w:rPr>
        <w:t xml:space="preserve"> associated CO₂ emissions represent the dominant environmental impact of DCs and are therefore used as a key proxy</w:t>
      </w:r>
      <w:r w:rsidR="004A3C24">
        <w:rPr>
          <w:noProof/>
        </w:rPr>
        <w:t xml:space="preserve"> for quantifying the environmental impact of additional data centre capacity</w:t>
      </w:r>
      <w:r w:rsidR="004A3C24" w:rsidRPr="00C76F8A">
        <w:rPr>
          <w:noProof/>
        </w:rPr>
        <w:t xml:space="preserve">. </w:t>
      </w:r>
      <w:r w:rsidR="004A3C24">
        <w:rPr>
          <w:noProof/>
        </w:rPr>
        <w:t xml:space="preserve">Beyond electricity consumption and associated </w:t>
      </w:r>
      <w:r w:rsidR="004A3C24" w:rsidRPr="00D37004">
        <w:rPr>
          <w:noProof/>
        </w:rPr>
        <w:t>CO₂</w:t>
      </w:r>
      <w:r w:rsidR="004A3C24">
        <w:rPr>
          <w:noProof/>
        </w:rPr>
        <w:t xml:space="preserve"> emissions, data centres generate environmental impacts across several additional dimensions. W</w:t>
      </w:r>
      <w:r w:rsidR="004A3C24" w:rsidRPr="00C76F8A">
        <w:rPr>
          <w:noProof/>
        </w:rPr>
        <w:t>ater consumption, embodied emissions in equipment and buildings, refrigerant leakage, and local environmental externalities are also relevant</w:t>
      </w:r>
      <w:r w:rsidR="004A3C24">
        <w:rPr>
          <w:noProof/>
        </w:rPr>
        <w:t xml:space="preserve"> measures of environmental impact</w:t>
      </w:r>
      <w:r w:rsidR="004A3C24">
        <w:rPr>
          <w:rStyle w:val="FootnoteReference"/>
          <w:noProof/>
        </w:rPr>
        <w:footnoteReference w:id="114"/>
      </w:r>
      <w:r w:rsidR="004A3C24">
        <w:rPr>
          <w:noProof/>
        </w:rPr>
        <w:t>.</w:t>
      </w:r>
      <w:r w:rsidR="004A3C24" w:rsidRPr="00C76F8A">
        <w:rPr>
          <w:noProof/>
        </w:rPr>
        <w:t xml:space="preserve"> </w:t>
      </w:r>
    </w:p>
    <w:p w14:paraId="3AD5DB88" w14:textId="21CBF66D" w:rsidR="00A93733" w:rsidRDefault="054D021C" w:rsidP="009D6B10">
      <w:pPr>
        <w:rPr>
          <w:noProof/>
        </w:rPr>
      </w:pPr>
      <w:r>
        <w:rPr>
          <w:noProof/>
        </w:rPr>
        <w:t>The European Climate Law (ECL) consistency check was performed by comparing the projected electricity use and associated CO</w:t>
      </w:r>
      <w:r w:rsidRPr="10903CC5">
        <w:rPr>
          <w:noProof/>
          <w:vertAlign w:val="subscript"/>
        </w:rPr>
        <w:t xml:space="preserve">2e </w:t>
      </w:r>
      <w:r>
        <w:rPr>
          <w:noProof/>
        </w:rPr>
        <w:t xml:space="preserve">emissions under each policy scenario with the EU’s declining grid-emission trajectory toward a 55% GHG </w:t>
      </w:r>
      <w:r w:rsidR="073A2C17">
        <w:rPr>
          <w:noProof/>
        </w:rPr>
        <w:t xml:space="preserve">emissions </w:t>
      </w:r>
      <w:r>
        <w:rPr>
          <w:noProof/>
        </w:rPr>
        <w:t xml:space="preserve">reduction </w:t>
      </w:r>
      <w:r w:rsidR="49D8E3F5">
        <w:rPr>
          <w:noProof/>
        </w:rPr>
        <w:t xml:space="preserve">target </w:t>
      </w:r>
      <w:r>
        <w:rPr>
          <w:noProof/>
        </w:rPr>
        <w:t>by 2030 and climate-neutrality by 2050. The first subsection presents the quantification of environmental impact in terms of increased energy consumption and CO₂ emissions under the different policy options</w:t>
      </w:r>
      <w:r w:rsidR="76AF75A7">
        <w:rPr>
          <w:noProof/>
        </w:rPr>
        <w:t>, with considerations on the interaction between data centre deployment and impacts on the electricity system.</w:t>
      </w:r>
      <w:r>
        <w:rPr>
          <w:noProof/>
        </w:rPr>
        <w:t xml:space="preserve"> </w:t>
      </w:r>
      <w:r w:rsidR="08B973E6">
        <w:rPr>
          <w:noProof/>
        </w:rPr>
        <w:t>I</w:t>
      </w:r>
      <w:r>
        <w:rPr>
          <w:noProof/>
        </w:rPr>
        <w:t xml:space="preserve">mplications of increased data centre capacity on water consumption are </w:t>
      </w:r>
      <w:r w:rsidR="08B973E6">
        <w:rPr>
          <w:noProof/>
        </w:rPr>
        <w:t xml:space="preserve">then </w:t>
      </w:r>
      <w:r>
        <w:rPr>
          <w:noProof/>
        </w:rPr>
        <w:t xml:space="preserve">discussed in section 6.3.2. </w:t>
      </w:r>
    </w:p>
    <w:p w14:paraId="2FBDC6C3" w14:textId="77777777" w:rsidR="009A7DD1" w:rsidRPr="00FE09F0" w:rsidRDefault="009A7DD1" w:rsidP="009A7DD1">
      <w:pPr>
        <w:pStyle w:val="Heading3"/>
        <w:spacing w:before="120"/>
        <w:rPr>
          <w:rFonts w:eastAsiaTheme="minorEastAsia"/>
          <w:noProof/>
        </w:rPr>
      </w:pPr>
      <w:r>
        <w:rPr>
          <w:noProof/>
        </w:rPr>
        <w:t xml:space="preserve">Impact on electricity use and </w:t>
      </w:r>
      <w:r w:rsidRPr="00D37004">
        <w:rPr>
          <w:noProof/>
        </w:rPr>
        <w:t>CO₂</w:t>
      </w:r>
      <w:r>
        <w:rPr>
          <w:noProof/>
        </w:rPr>
        <w:t xml:space="preserve"> emissions</w:t>
      </w:r>
    </w:p>
    <w:p w14:paraId="4B519F23" w14:textId="6FA7D3E3" w:rsidR="00E61374" w:rsidRPr="00D37004" w:rsidRDefault="00E61374" w:rsidP="009D6B10">
      <w:pPr>
        <w:rPr>
          <w:noProof/>
        </w:rPr>
      </w:pPr>
      <w:r w:rsidRPr="00D37004">
        <w:rPr>
          <w:noProof/>
        </w:rPr>
        <w:t xml:space="preserve">Under the baseline scenario, total capacity </w:t>
      </w:r>
      <w:r>
        <w:rPr>
          <w:noProof/>
        </w:rPr>
        <w:t>is expected to expand</w:t>
      </w:r>
      <w:r w:rsidRPr="00D37004">
        <w:rPr>
          <w:noProof/>
        </w:rPr>
        <w:t xml:space="preserve"> to </w:t>
      </w:r>
      <w:r w:rsidR="00C3778A">
        <w:rPr>
          <w:noProof/>
        </w:rPr>
        <w:t>46.3</w:t>
      </w:r>
      <w:r w:rsidR="00AE15F3">
        <w:rPr>
          <w:noProof/>
        </w:rPr>
        <w:t xml:space="preserve"> </w:t>
      </w:r>
      <w:r w:rsidRPr="00D37004">
        <w:rPr>
          <w:noProof/>
        </w:rPr>
        <w:t>GW</w:t>
      </w:r>
      <w:r w:rsidR="00AE15F3">
        <w:rPr>
          <w:rStyle w:val="FootnoteReference"/>
          <w:noProof/>
        </w:rPr>
        <w:footnoteReference w:id="115"/>
      </w:r>
      <w:r w:rsidRPr="00D37004" w:rsidDel="00AE15F3">
        <w:rPr>
          <w:noProof/>
        </w:rPr>
        <w:t xml:space="preserve"> </w:t>
      </w:r>
      <w:r w:rsidRPr="00D37004">
        <w:rPr>
          <w:noProof/>
        </w:rPr>
        <w:t>in 2036 with an expected modest PUE improvement from 1.29 down to 1.23</w:t>
      </w:r>
      <w:r w:rsidR="00B207DF">
        <w:rPr>
          <w:rStyle w:val="FootnoteReference"/>
          <w:noProof/>
        </w:rPr>
        <w:footnoteReference w:id="116"/>
      </w:r>
      <w:r w:rsidRPr="00D37004">
        <w:rPr>
          <w:noProof/>
        </w:rPr>
        <w:t xml:space="preserve">. Annual electricity use </w:t>
      </w:r>
      <w:r w:rsidR="00B207DF">
        <w:rPr>
          <w:noProof/>
        </w:rPr>
        <w:t>is expected to rise</w:t>
      </w:r>
      <w:r w:rsidR="00B207DF" w:rsidRPr="00D37004">
        <w:rPr>
          <w:noProof/>
        </w:rPr>
        <w:t xml:space="preserve"> </w:t>
      </w:r>
      <w:r w:rsidRPr="00D37004">
        <w:rPr>
          <w:noProof/>
        </w:rPr>
        <w:t xml:space="preserve">from </w:t>
      </w:r>
      <w:r>
        <w:rPr>
          <w:noProof/>
        </w:rPr>
        <w:t>99</w:t>
      </w:r>
      <w:r w:rsidRPr="00D37004">
        <w:rPr>
          <w:noProof/>
        </w:rPr>
        <w:t xml:space="preserve"> TWh in 2025 to </w:t>
      </w:r>
      <w:r>
        <w:rPr>
          <w:noProof/>
        </w:rPr>
        <w:t>around</w:t>
      </w:r>
      <w:r w:rsidRPr="00D37004">
        <w:rPr>
          <w:noProof/>
        </w:rPr>
        <w:t xml:space="preserve"> </w:t>
      </w:r>
      <w:r>
        <w:rPr>
          <w:noProof/>
        </w:rPr>
        <w:t>314</w:t>
      </w:r>
      <w:r w:rsidRPr="00D37004">
        <w:rPr>
          <w:noProof/>
        </w:rPr>
        <w:t xml:space="preserve"> TWh in 2036, i.e. an average increase of 11% per year. The cumulative electricity demand over 2025–2036 </w:t>
      </w:r>
      <w:r w:rsidR="000854A3">
        <w:rPr>
          <w:noProof/>
        </w:rPr>
        <w:t>would amount</w:t>
      </w:r>
      <w:r w:rsidR="000854A3" w:rsidRPr="00D37004">
        <w:rPr>
          <w:noProof/>
        </w:rPr>
        <w:t xml:space="preserve"> </w:t>
      </w:r>
      <w:r w:rsidRPr="00D37004">
        <w:rPr>
          <w:noProof/>
        </w:rPr>
        <w:t xml:space="preserve">to 2 </w:t>
      </w:r>
      <w:r>
        <w:rPr>
          <w:noProof/>
        </w:rPr>
        <w:t>571</w:t>
      </w:r>
      <w:r w:rsidRPr="00D37004">
        <w:rPr>
          <w:noProof/>
        </w:rPr>
        <w:t xml:space="preserve"> TWh. </w:t>
      </w:r>
      <w:r>
        <w:rPr>
          <w:noProof/>
        </w:rPr>
        <w:t>Assuming an evolution in the</w:t>
      </w:r>
      <w:r w:rsidRPr="00D37004">
        <w:rPr>
          <w:noProof/>
        </w:rPr>
        <w:t xml:space="preserve"> EU grid carbon intensity </w:t>
      </w:r>
      <w:r>
        <w:rPr>
          <w:noProof/>
        </w:rPr>
        <w:t xml:space="preserve">from </w:t>
      </w:r>
      <w:r w:rsidRPr="00D37004">
        <w:rPr>
          <w:noProof/>
        </w:rPr>
        <w:t>0.</w:t>
      </w:r>
      <w:r>
        <w:rPr>
          <w:noProof/>
        </w:rPr>
        <w:t>25</w:t>
      </w:r>
      <w:r w:rsidRPr="00D37004">
        <w:rPr>
          <w:noProof/>
        </w:rPr>
        <w:t xml:space="preserve"> kg CO</w:t>
      </w:r>
      <w:r w:rsidRPr="001A05AE">
        <w:rPr>
          <w:noProof/>
          <w:vertAlign w:val="subscript"/>
        </w:rPr>
        <w:t>₂e</w:t>
      </w:r>
      <w:r w:rsidRPr="00D37004">
        <w:rPr>
          <w:noProof/>
        </w:rPr>
        <w:t>/kWh</w:t>
      </w:r>
      <w:r>
        <w:rPr>
          <w:noProof/>
        </w:rPr>
        <w:t xml:space="preserve"> today to </w:t>
      </w:r>
      <w:r w:rsidRPr="00D37004">
        <w:rPr>
          <w:noProof/>
        </w:rPr>
        <w:t>0.</w:t>
      </w:r>
      <w:r>
        <w:rPr>
          <w:noProof/>
        </w:rPr>
        <w:t>16</w:t>
      </w:r>
      <w:r w:rsidRPr="00D37004">
        <w:rPr>
          <w:noProof/>
        </w:rPr>
        <w:t xml:space="preserve"> kg CO</w:t>
      </w:r>
      <w:r w:rsidRPr="00EF2AE6">
        <w:rPr>
          <w:noProof/>
          <w:vertAlign w:val="subscript"/>
        </w:rPr>
        <w:t>₂e</w:t>
      </w:r>
      <w:r w:rsidRPr="00D37004">
        <w:rPr>
          <w:noProof/>
        </w:rPr>
        <w:t>/kWh</w:t>
      </w:r>
      <w:r>
        <w:rPr>
          <w:noProof/>
        </w:rPr>
        <w:t xml:space="preserve"> in 2036</w:t>
      </w:r>
      <w:r>
        <w:rPr>
          <w:rStyle w:val="EndnoteReference"/>
          <w:noProof/>
        </w:rPr>
        <w:endnoteReference w:id="185"/>
      </w:r>
      <w:r w:rsidRPr="00D37004">
        <w:rPr>
          <w:noProof/>
        </w:rPr>
        <w:t xml:space="preserve">, this </w:t>
      </w:r>
      <w:r>
        <w:rPr>
          <w:noProof/>
        </w:rPr>
        <w:t xml:space="preserve">would </w:t>
      </w:r>
      <w:r w:rsidRPr="00D37004">
        <w:rPr>
          <w:noProof/>
        </w:rPr>
        <w:t xml:space="preserve">correspond to </w:t>
      </w:r>
      <w:r>
        <w:rPr>
          <w:noProof/>
        </w:rPr>
        <w:t>50</w:t>
      </w:r>
      <w:r w:rsidRPr="00D37004">
        <w:rPr>
          <w:noProof/>
        </w:rPr>
        <w:t xml:space="preserve"> Mt CO₂</w:t>
      </w:r>
      <w:r>
        <w:rPr>
          <w:noProof/>
        </w:rPr>
        <w:t>e</w:t>
      </w:r>
      <w:r w:rsidRPr="00D37004">
        <w:rPr>
          <w:noProof/>
        </w:rPr>
        <w:t xml:space="preserve"> in 2036. The environmental impact of </w:t>
      </w:r>
      <w:r>
        <w:rPr>
          <w:noProof/>
        </w:rPr>
        <w:t>PO1-A/B/C</w:t>
      </w:r>
      <w:r w:rsidRPr="00D37004">
        <w:rPr>
          <w:noProof/>
        </w:rPr>
        <w:t xml:space="preserve"> is assessed against the increase in electricity demand (in TWh) and CO</w:t>
      </w:r>
      <w:r w:rsidRPr="00D37004">
        <w:rPr>
          <w:noProof/>
          <w:vertAlign w:val="subscript"/>
        </w:rPr>
        <w:t>2</w:t>
      </w:r>
      <w:r w:rsidRPr="00D37004">
        <w:rPr>
          <w:noProof/>
        </w:rPr>
        <w:t xml:space="preserve"> emissions resulting from additional </w:t>
      </w:r>
      <w:r w:rsidR="00B02E52">
        <w:rPr>
          <w:noProof/>
        </w:rPr>
        <w:t>DC</w:t>
      </w:r>
      <w:r w:rsidRPr="00D37004">
        <w:rPr>
          <w:noProof/>
        </w:rPr>
        <w:t xml:space="preserve"> deployment under the different scenarios</w:t>
      </w:r>
      <w:r w:rsidRPr="00D37004">
        <w:rPr>
          <w:rStyle w:val="FootnoteReference"/>
          <w:noProof/>
        </w:rPr>
        <w:footnoteReference w:id="117"/>
      </w:r>
      <w:r w:rsidRPr="00D37004">
        <w:rPr>
          <w:noProof/>
        </w:rPr>
        <w:t xml:space="preserve">. </w:t>
      </w:r>
    </w:p>
    <w:p w14:paraId="1552D93C" w14:textId="45AFFDBE" w:rsidR="00E61374" w:rsidRPr="00D37004" w:rsidRDefault="00E61374" w:rsidP="00D1309E">
      <w:pPr>
        <w:pStyle w:val="Caption"/>
        <w:spacing w:after="0"/>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10</w:t>
      </w:r>
      <w:r w:rsidRPr="00D37004">
        <w:rPr>
          <w:noProof/>
        </w:rPr>
        <w:fldChar w:fldCharType="end"/>
      </w:r>
      <w:r w:rsidRPr="00D37004">
        <w:rPr>
          <w:noProof/>
        </w:rPr>
        <w:t>. EU-27 data centre capacity in 2036: electricity and CO</w:t>
      </w:r>
      <w:r w:rsidRPr="00D37004">
        <w:rPr>
          <w:noProof/>
          <w:vertAlign w:val="subscript"/>
        </w:rPr>
        <w:t>2</w:t>
      </w:r>
      <w:r w:rsidRPr="00D37004">
        <w:rPr>
          <w:noProof/>
        </w:rPr>
        <w:t xml:space="preserve"> impacts vs baseline</w:t>
      </w:r>
    </w:p>
    <w:tbl>
      <w:tblPr>
        <w:tblStyle w:val="GridTable7Colorful"/>
        <w:tblW w:w="0" w:type="auto"/>
        <w:tblLook w:val="04A0" w:firstRow="1" w:lastRow="0" w:firstColumn="1" w:lastColumn="0" w:noHBand="0" w:noVBand="1"/>
      </w:tblPr>
      <w:tblGrid>
        <w:gridCol w:w="928"/>
        <w:gridCol w:w="1415"/>
        <w:gridCol w:w="616"/>
        <w:gridCol w:w="1741"/>
        <w:gridCol w:w="1902"/>
        <w:gridCol w:w="1227"/>
        <w:gridCol w:w="1884"/>
      </w:tblGrid>
      <w:tr w:rsidR="00AA1012" w:rsidRPr="00D37004" w14:paraId="5C9F2454" w14:textId="77777777" w:rsidTr="00901AD2">
        <w:trPr>
          <w:cnfStyle w:val="100000000000" w:firstRow="1" w:lastRow="0" w:firstColumn="0" w:lastColumn="0" w:oddVBand="0" w:evenVBand="0" w:oddHBand="0" w:evenHBand="0" w:firstRowFirstColumn="0" w:firstRowLastColumn="0" w:lastRowFirstColumn="0" w:lastRowLastColumn="0"/>
          <w:trHeight w:val="695"/>
          <w:tblHead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FFFFFF" w:themeFill="background1"/>
            <w:vAlign w:val="center"/>
            <w:hideMark/>
          </w:tcPr>
          <w:p w14:paraId="26648C45" w14:textId="77777777" w:rsidR="00E61374" w:rsidRPr="00B236C6" w:rsidRDefault="00E61374" w:rsidP="00B236C6">
            <w:pPr>
              <w:spacing w:after="0"/>
              <w:jc w:val="center"/>
              <w:rPr>
                <w:b w:val="0"/>
                <w:bCs w:val="0"/>
                <w:noProof/>
                <w:color w:val="auto"/>
                <w:kern w:val="2"/>
                <w:sz w:val="20"/>
                <w:szCs w:val="20"/>
                <w:lang w:val="en-IE"/>
              </w:rPr>
            </w:pPr>
            <w:r w:rsidRPr="00B236C6">
              <w:rPr>
                <w:b w:val="0"/>
                <w:bCs w:val="0"/>
                <w:noProof/>
                <w:color w:val="auto"/>
                <w:kern w:val="2"/>
                <w:sz w:val="20"/>
                <w:szCs w:val="20"/>
                <w:lang w:val="en-IE"/>
              </w:rPr>
              <w:t>Scenario</w:t>
            </w:r>
          </w:p>
        </w:tc>
        <w:tc>
          <w:tcPr>
            <w:tcW w:w="0" w:type="auto"/>
            <w:tcBorders>
              <w:bottom w:val="single" w:sz="4" w:space="0" w:color="auto"/>
            </w:tcBorders>
            <w:shd w:val="clear" w:color="auto" w:fill="FFFFFF" w:themeFill="background1"/>
            <w:vAlign w:val="center"/>
            <w:hideMark/>
          </w:tcPr>
          <w:p w14:paraId="7A65F2C1"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2036 Capacity (GW)</w:t>
            </w:r>
          </w:p>
        </w:tc>
        <w:tc>
          <w:tcPr>
            <w:tcW w:w="0" w:type="auto"/>
            <w:tcBorders>
              <w:bottom w:val="single" w:sz="4" w:space="0" w:color="auto"/>
            </w:tcBorders>
            <w:shd w:val="clear" w:color="auto" w:fill="FFFFFF" w:themeFill="background1"/>
            <w:vAlign w:val="center"/>
            <w:hideMark/>
          </w:tcPr>
          <w:p w14:paraId="341EBF17"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PUE</w:t>
            </w:r>
          </w:p>
          <w:p w14:paraId="1A959B44"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2036</w:t>
            </w:r>
          </w:p>
        </w:tc>
        <w:tc>
          <w:tcPr>
            <w:tcW w:w="0" w:type="auto"/>
            <w:tcBorders>
              <w:bottom w:val="single" w:sz="4" w:space="0" w:color="auto"/>
            </w:tcBorders>
            <w:shd w:val="clear" w:color="auto" w:fill="FFFFFF" w:themeFill="background1"/>
            <w:vAlign w:val="center"/>
            <w:hideMark/>
          </w:tcPr>
          <w:p w14:paraId="7872453C"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Electricity Use 2036 (TWh)</w:t>
            </w:r>
          </w:p>
        </w:tc>
        <w:tc>
          <w:tcPr>
            <w:tcW w:w="0" w:type="auto"/>
            <w:tcBorders>
              <w:bottom w:val="single" w:sz="4" w:space="0" w:color="auto"/>
            </w:tcBorders>
            <w:shd w:val="clear" w:color="auto" w:fill="FFFFFF" w:themeFill="background1"/>
            <w:vAlign w:val="center"/>
            <w:hideMark/>
          </w:tcPr>
          <w:p w14:paraId="52D6FE37"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Cumulative 2025–2036 (TWh)</w:t>
            </w:r>
          </w:p>
        </w:tc>
        <w:tc>
          <w:tcPr>
            <w:tcW w:w="0" w:type="auto"/>
            <w:tcBorders>
              <w:bottom w:val="single" w:sz="4" w:space="0" w:color="auto"/>
            </w:tcBorders>
            <w:shd w:val="clear" w:color="auto" w:fill="FFFFFF" w:themeFill="background1"/>
            <w:vAlign w:val="center"/>
          </w:tcPr>
          <w:p w14:paraId="1CE361B8"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CO</w:t>
            </w:r>
            <w:r w:rsidRPr="00B236C6" w:rsidDel="006B4A85">
              <w:rPr>
                <w:b w:val="0"/>
                <w:bCs w:val="0"/>
                <w:i/>
                <w:iCs/>
                <w:noProof/>
                <w:color w:val="auto"/>
                <w:kern w:val="2"/>
                <w:sz w:val="20"/>
                <w:szCs w:val="20"/>
                <w:lang w:val="en-IE"/>
              </w:rPr>
              <w:t>₂</w:t>
            </w:r>
            <w:r w:rsidRPr="00B236C6">
              <w:rPr>
                <w:b w:val="0"/>
                <w:bCs w:val="0"/>
                <w:i/>
                <w:iCs/>
                <w:noProof/>
                <w:color w:val="auto"/>
                <w:kern w:val="2"/>
                <w:sz w:val="20"/>
                <w:szCs w:val="20"/>
                <w:lang w:val="en-IE"/>
              </w:rPr>
              <w:t>e /GW 2036</w:t>
            </w:r>
          </w:p>
          <w:p w14:paraId="5A288C3C"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(Mt/GW)</w:t>
            </w:r>
          </w:p>
        </w:tc>
        <w:tc>
          <w:tcPr>
            <w:tcW w:w="0" w:type="auto"/>
            <w:tcBorders>
              <w:bottom w:val="single" w:sz="4" w:space="0" w:color="auto"/>
            </w:tcBorders>
            <w:shd w:val="clear" w:color="auto" w:fill="FFFFFF" w:themeFill="background1"/>
          </w:tcPr>
          <w:p w14:paraId="6098C312"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 xml:space="preserve">Cumulative CO₂e  2025–2036  </w:t>
            </w:r>
          </w:p>
          <w:p w14:paraId="5F806B3E" w14:textId="77777777" w:rsidR="00E61374" w:rsidRPr="00B236C6" w:rsidRDefault="00E61374" w:rsidP="00B236C6">
            <w:pPr>
              <w:spacing w:after="0"/>
              <w:jc w:val="center"/>
              <w:cnfStyle w:val="100000000000" w:firstRow="1" w:lastRow="0" w:firstColumn="0" w:lastColumn="0" w:oddVBand="0" w:evenVBand="0" w:oddHBand="0" w:evenHBand="0" w:firstRowFirstColumn="0" w:firstRowLastColumn="0" w:lastRowFirstColumn="0" w:lastRowLastColumn="0"/>
              <w:rPr>
                <w:b w:val="0"/>
                <w:bCs w:val="0"/>
                <w:i/>
                <w:iCs/>
                <w:noProof/>
                <w:color w:val="auto"/>
                <w:kern w:val="2"/>
                <w:sz w:val="20"/>
                <w:szCs w:val="20"/>
                <w:lang w:val="en-IE"/>
              </w:rPr>
            </w:pPr>
            <w:r w:rsidRPr="00B236C6">
              <w:rPr>
                <w:b w:val="0"/>
                <w:bCs w:val="0"/>
                <w:i/>
                <w:iCs/>
                <w:noProof/>
                <w:color w:val="auto"/>
                <w:kern w:val="2"/>
                <w:sz w:val="20"/>
                <w:szCs w:val="20"/>
                <w:lang w:val="en-IE"/>
              </w:rPr>
              <w:t>(Mt)</w:t>
            </w:r>
          </w:p>
        </w:tc>
      </w:tr>
      <w:tr w:rsidR="00251A0E" w:rsidRPr="00D37004" w14:paraId="036F24BE" w14:textId="77777777" w:rsidTr="007F1D5A">
        <w:trPr>
          <w:trHeight w:val="136"/>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60419F8D" w14:textId="77777777" w:rsidR="00E61374" w:rsidRPr="00B236C6" w:rsidRDefault="00E61374" w:rsidP="00B236C6">
            <w:pPr>
              <w:spacing w:after="0"/>
              <w:jc w:val="center"/>
              <w:rPr>
                <w:b/>
                <w:bCs/>
                <w:noProof/>
                <w:color w:val="auto"/>
                <w:kern w:val="2"/>
                <w:sz w:val="20"/>
                <w:szCs w:val="20"/>
                <w:lang w:val="en-IE"/>
              </w:rPr>
            </w:pPr>
            <w:r w:rsidRPr="00B236C6">
              <w:rPr>
                <w:b/>
                <w:bCs/>
                <w:noProof/>
                <w:color w:val="auto"/>
                <w:kern w:val="2"/>
                <w:sz w:val="20"/>
                <w:szCs w:val="20"/>
                <w:lang w:val="en-IE"/>
              </w:rPr>
              <w:t>Baseline</w:t>
            </w:r>
          </w:p>
        </w:tc>
        <w:tc>
          <w:tcPr>
            <w:tcW w:w="0" w:type="auto"/>
            <w:tcBorders>
              <w:top w:val="single" w:sz="4" w:space="0" w:color="auto"/>
            </w:tcBorders>
            <w:shd w:val="clear" w:color="auto" w:fill="F2F2F2" w:themeFill="background1" w:themeFillShade="F2"/>
            <w:hideMark/>
          </w:tcPr>
          <w:p w14:paraId="5092D9C9" w14:textId="74EE4A66"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Pr>
                <w:noProof/>
                <w:color w:val="auto"/>
                <w:kern w:val="2"/>
                <w:sz w:val="20"/>
                <w:szCs w:val="20"/>
                <w:lang w:val="en-IE"/>
              </w:rPr>
              <w:t>46.3</w:t>
            </w:r>
          </w:p>
        </w:tc>
        <w:tc>
          <w:tcPr>
            <w:tcW w:w="0" w:type="auto"/>
            <w:tcBorders>
              <w:top w:val="single" w:sz="4" w:space="0" w:color="auto"/>
            </w:tcBorders>
            <w:shd w:val="clear" w:color="auto" w:fill="F2F2F2" w:themeFill="background1" w:themeFillShade="F2"/>
            <w:hideMark/>
          </w:tcPr>
          <w:p w14:paraId="2CB9CDA3"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1.23</w:t>
            </w:r>
          </w:p>
        </w:tc>
        <w:tc>
          <w:tcPr>
            <w:tcW w:w="0" w:type="auto"/>
            <w:tcBorders>
              <w:top w:val="single" w:sz="4" w:space="0" w:color="auto"/>
            </w:tcBorders>
            <w:shd w:val="clear" w:color="auto" w:fill="F2F2F2" w:themeFill="background1" w:themeFillShade="F2"/>
            <w:hideMark/>
          </w:tcPr>
          <w:p w14:paraId="6F12A2FB"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314</w:t>
            </w:r>
          </w:p>
        </w:tc>
        <w:tc>
          <w:tcPr>
            <w:tcW w:w="0" w:type="auto"/>
            <w:tcBorders>
              <w:top w:val="single" w:sz="4" w:space="0" w:color="auto"/>
            </w:tcBorders>
            <w:shd w:val="clear" w:color="auto" w:fill="F2F2F2" w:themeFill="background1" w:themeFillShade="F2"/>
            <w:hideMark/>
          </w:tcPr>
          <w:p w14:paraId="39035CF0"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2 571</w:t>
            </w:r>
          </w:p>
        </w:tc>
        <w:tc>
          <w:tcPr>
            <w:tcW w:w="0" w:type="auto"/>
            <w:tcBorders>
              <w:top w:val="single" w:sz="4" w:space="0" w:color="auto"/>
            </w:tcBorders>
            <w:shd w:val="clear" w:color="auto" w:fill="F2F2F2" w:themeFill="background1" w:themeFillShade="F2"/>
          </w:tcPr>
          <w:p w14:paraId="51113070"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1.18</w:t>
            </w:r>
          </w:p>
        </w:tc>
        <w:tc>
          <w:tcPr>
            <w:tcW w:w="0" w:type="auto"/>
            <w:tcBorders>
              <w:top w:val="single" w:sz="4" w:space="0" w:color="auto"/>
            </w:tcBorders>
            <w:shd w:val="clear" w:color="auto" w:fill="F2F2F2" w:themeFill="background1" w:themeFillShade="F2"/>
          </w:tcPr>
          <w:p w14:paraId="1B7C1CF2"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495</w:t>
            </w:r>
          </w:p>
        </w:tc>
      </w:tr>
      <w:tr w:rsidR="00E61374" w:rsidRPr="00D37004" w14:paraId="7D188EAC" w14:textId="77777777" w:rsidTr="007F1D5A">
        <w:trPr>
          <w:trHeight w:val="234"/>
        </w:trPr>
        <w:tc>
          <w:tcPr>
            <w:cnfStyle w:val="001000000000" w:firstRow="0" w:lastRow="0" w:firstColumn="1" w:lastColumn="0" w:oddVBand="0" w:evenVBand="0" w:oddHBand="0" w:evenHBand="0" w:firstRowFirstColumn="0" w:firstRowLastColumn="0" w:lastRowFirstColumn="0" w:lastRowLastColumn="0"/>
            <w:tcW w:w="0" w:type="auto"/>
            <w:hideMark/>
          </w:tcPr>
          <w:p w14:paraId="59E142AC" w14:textId="77777777" w:rsidR="00E61374" w:rsidRPr="00B236C6" w:rsidRDefault="00E61374" w:rsidP="00B236C6">
            <w:pPr>
              <w:spacing w:after="0"/>
              <w:jc w:val="center"/>
              <w:rPr>
                <w:b/>
                <w:bCs/>
                <w:noProof/>
                <w:color w:val="auto"/>
                <w:kern w:val="2"/>
                <w:sz w:val="20"/>
                <w:szCs w:val="20"/>
                <w:lang w:val="en-IE"/>
              </w:rPr>
            </w:pPr>
            <w:r w:rsidRPr="00B236C6">
              <w:rPr>
                <w:b/>
                <w:bCs/>
                <w:noProof/>
                <w:color w:val="auto"/>
                <w:kern w:val="2"/>
                <w:sz w:val="20"/>
                <w:szCs w:val="20"/>
                <w:lang w:val="en-IE"/>
              </w:rPr>
              <w:t xml:space="preserve">PO1-A </w:t>
            </w:r>
          </w:p>
        </w:tc>
        <w:tc>
          <w:tcPr>
            <w:tcW w:w="0" w:type="auto"/>
            <w:hideMark/>
          </w:tcPr>
          <w:p w14:paraId="31C79C6C" w14:textId="74A92389"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5</w:t>
            </w:r>
            <w:r>
              <w:rPr>
                <w:noProof/>
                <w:color w:val="auto"/>
                <w:kern w:val="2"/>
                <w:sz w:val="20"/>
                <w:szCs w:val="20"/>
                <w:lang w:val="en-IE"/>
              </w:rPr>
              <w:t>2</w:t>
            </w:r>
            <w:r w:rsidR="00E61374" w:rsidRPr="00B236C6">
              <w:rPr>
                <w:noProof/>
                <w:color w:val="auto"/>
                <w:kern w:val="2"/>
                <w:sz w:val="20"/>
                <w:szCs w:val="20"/>
                <w:lang w:val="en-IE"/>
              </w:rPr>
              <w:t>.2</w:t>
            </w:r>
          </w:p>
        </w:tc>
        <w:tc>
          <w:tcPr>
            <w:tcW w:w="0" w:type="auto"/>
            <w:hideMark/>
          </w:tcPr>
          <w:p w14:paraId="51C8B034"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1.18</w:t>
            </w:r>
          </w:p>
        </w:tc>
        <w:tc>
          <w:tcPr>
            <w:tcW w:w="0" w:type="auto"/>
            <w:hideMark/>
          </w:tcPr>
          <w:p w14:paraId="1B1C93FC" w14:textId="17C541F9"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3</w:t>
            </w:r>
            <w:r>
              <w:rPr>
                <w:noProof/>
                <w:color w:val="auto"/>
                <w:kern w:val="2"/>
                <w:sz w:val="20"/>
                <w:szCs w:val="20"/>
                <w:lang w:val="en-IE"/>
              </w:rPr>
              <w:t>39</w:t>
            </w:r>
          </w:p>
        </w:tc>
        <w:tc>
          <w:tcPr>
            <w:tcW w:w="0" w:type="auto"/>
            <w:hideMark/>
          </w:tcPr>
          <w:p w14:paraId="3265DCE6" w14:textId="7ED72E98"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 xml:space="preserve">2 </w:t>
            </w:r>
            <w:r w:rsidR="000854A3" w:rsidRPr="00B236C6">
              <w:rPr>
                <w:noProof/>
                <w:color w:val="auto"/>
                <w:kern w:val="2"/>
                <w:sz w:val="20"/>
                <w:szCs w:val="20"/>
                <w:lang w:val="en-IE"/>
              </w:rPr>
              <w:t>7</w:t>
            </w:r>
            <w:r w:rsidR="000854A3">
              <w:rPr>
                <w:noProof/>
                <w:color w:val="auto"/>
                <w:kern w:val="2"/>
                <w:sz w:val="20"/>
                <w:szCs w:val="20"/>
                <w:lang w:val="en-IE"/>
              </w:rPr>
              <w:t>01</w:t>
            </w:r>
          </w:p>
        </w:tc>
        <w:tc>
          <w:tcPr>
            <w:tcW w:w="0" w:type="auto"/>
          </w:tcPr>
          <w:p w14:paraId="08D83FCC"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1.13</w:t>
            </w:r>
          </w:p>
        </w:tc>
        <w:tc>
          <w:tcPr>
            <w:tcW w:w="0" w:type="auto"/>
          </w:tcPr>
          <w:p w14:paraId="6B141939" w14:textId="20236ED0"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5</w:t>
            </w:r>
            <w:r>
              <w:rPr>
                <w:noProof/>
                <w:color w:val="auto"/>
                <w:kern w:val="2"/>
                <w:sz w:val="20"/>
                <w:szCs w:val="20"/>
                <w:lang w:val="en-IE"/>
              </w:rPr>
              <w:t>18</w:t>
            </w:r>
          </w:p>
        </w:tc>
      </w:tr>
      <w:tr w:rsidR="00251A0E" w:rsidRPr="00D37004" w14:paraId="6FAFB951" w14:textId="77777777" w:rsidTr="007F1D5A">
        <w:trPr>
          <w:trHeight w:val="236"/>
        </w:trPr>
        <w:tc>
          <w:tcPr>
            <w:cnfStyle w:val="001000000000" w:firstRow="0" w:lastRow="0" w:firstColumn="1" w:lastColumn="0" w:oddVBand="0" w:evenVBand="0" w:oddHBand="0" w:evenHBand="0" w:firstRowFirstColumn="0" w:firstRowLastColumn="0" w:lastRowFirstColumn="0" w:lastRowLastColumn="0"/>
            <w:tcW w:w="0" w:type="auto"/>
          </w:tcPr>
          <w:p w14:paraId="32265D23" w14:textId="77777777" w:rsidR="00E61374" w:rsidRPr="00B236C6" w:rsidRDefault="00E61374" w:rsidP="00B236C6">
            <w:pPr>
              <w:spacing w:after="0"/>
              <w:jc w:val="center"/>
              <w:rPr>
                <w:b/>
                <w:bCs/>
                <w:noProof/>
                <w:color w:val="auto"/>
                <w:kern w:val="2"/>
                <w:sz w:val="20"/>
                <w:szCs w:val="20"/>
                <w:lang w:val="en-IE"/>
              </w:rPr>
            </w:pPr>
            <w:r w:rsidRPr="00B236C6">
              <w:rPr>
                <w:b/>
                <w:bCs/>
                <w:noProof/>
                <w:color w:val="auto"/>
                <w:kern w:val="2"/>
                <w:sz w:val="20"/>
                <w:szCs w:val="20"/>
                <w:lang w:val="en-IE"/>
              </w:rPr>
              <w:t xml:space="preserve">PO1-B </w:t>
            </w:r>
          </w:p>
        </w:tc>
        <w:tc>
          <w:tcPr>
            <w:tcW w:w="0" w:type="auto"/>
            <w:shd w:val="clear" w:color="auto" w:fill="F2F2F2" w:themeFill="background1" w:themeFillShade="F2"/>
          </w:tcPr>
          <w:p w14:paraId="04CFDCEA" w14:textId="753C19FD"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6</w:t>
            </w:r>
            <w:r>
              <w:rPr>
                <w:noProof/>
                <w:color w:val="auto"/>
                <w:kern w:val="2"/>
                <w:sz w:val="20"/>
                <w:szCs w:val="20"/>
                <w:lang w:val="en-IE"/>
              </w:rPr>
              <w:t>5</w:t>
            </w:r>
            <w:r w:rsidR="00E61374" w:rsidRPr="00B236C6">
              <w:rPr>
                <w:noProof/>
                <w:color w:val="auto"/>
                <w:kern w:val="2"/>
                <w:sz w:val="20"/>
                <w:szCs w:val="20"/>
                <w:lang w:val="en-IE"/>
              </w:rPr>
              <w:t>.</w:t>
            </w:r>
            <w:r>
              <w:rPr>
                <w:noProof/>
                <w:color w:val="auto"/>
                <w:kern w:val="2"/>
                <w:sz w:val="20"/>
                <w:szCs w:val="20"/>
                <w:lang w:val="en-IE"/>
              </w:rPr>
              <w:t>9</w:t>
            </w:r>
          </w:p>
        </w:tc>
        <w:tc>
          <w:tcPr>
            <w:tcW w:w="0" w:type="auto"/>
            <w:shd w:val="clear" w:color="auto" w:fill="F2F2F2" w:themeFill="background1" w:themeFillShade="F2"/>
          </w:tcPr>
          <w:p w14:paraId="355A9E47"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1.12</w:t>
            </w:r>
          </w:p>
        </w:tc>
        <w:tc>
          <w:tcPr>
            <w:tcW w:w="0" w:type="auto"/>
            <w:shd w:val="clear" w:color="auto" w:fill="F2F2F2" w:themeFill="background1" w:themeFillShade="F2"/>
          </w:tcPr>
          <w:p w14:paraId="7076D624"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408</w:t>
            </w:r>
          </w:p>
        </w:tc>
        <w:tc>
          <w:tcPr>
            <w:tcW w:w="0" w:type="auto"/>
            <w:shd w:val="clear" w:color="auto" w:fill="F2F2F2" w:themeFill="background1" w:themeFillShade="F2"/>
          </w:tcPr>
          <w:p w14:paraId="1A0226CE"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3 028</w:t>
            </w:r>
          </w:p>
        </w:tc>
        <w:tc>
          <w:tcPr>
            <w:tcW w:w="0" w:type="auto"/>
            <w:shd w:val="clear" w:color="auto" w:fill="F2F2F2" w:themeFill="background1" w:themeFillShade="F2"/>
          </w:tcPr>
          <w:p w14:paraId="5F976CE6"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1.09</w:t>
            </w:r>
          </w:p>
        </w:tc>
        <w:tc>
          <w:tcPr>
            <w:tcW w:w="0" w:type="auto"/>
            <w:shd w:val="clear" w:color="auto" w:fill="F2F2F2" w:themeFill="background1" w:themeFillShade="F2"/>
          </w:tcPr>
          <w:p w14:paraId="4F399902"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576</w:t>
            </w:r>
          </w:p>
        </w:tc>
      </w:tr>
      <w:tr w:rsidR="00251A0E" w:rsidRPr="00D37004" w14:paraId="5B5824D4" w14:textId="77777777" w:rsidTr="007F1D5A">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43653F3A" w14:textId="77777777" w:rsidR="00E61374" w:rsidRPr="00B236C6" w:rsidRDefault="00E61374" w:rsidP="00B236C6">
            <w:pPr>
              <w:spacing w:after="0"/>
              <w:jc w:val="center"/>
              <w:rPr>
                <w:b/>
                <w:bCs/>
                <w:noProof/>
                <w:color w:val="auto"/>
                <w:kern w:val="2"/>
                <w:sz w:val="20"/>
                <w:szCs w:val="20"/>
                <w:lang w:val="en-IE"/>
              </w:rPr>
            </w:pPr>
            <w:r w:rsidRPr="00B236C6">
              <w:rPr>
                <w:b/>
                <w:bCs/>
                <w:noProof/>
                <w:color w:val="auto"/>
                <w:kern w:val="2"/>
                <w:sz w:val="20"/>
                <w:szCs w:val="20"/>
                <w:lang w:val="en-IE"/>
              </w:rPr>
              <w:t xml:space="preserve">PO1-C </w:t>
            </w:r>
          </w:p>
        </w:tc>
        <w:tc>
          <w:tcPr>
            <w:tcW w:w="0" w:type="auto"/>
            <w:shd w:val="clear" w:color="auto" w:fill="FFFFFF" w:themeFill="background1"/>
            <w:hideMark/>
          </w:tcPr>
          <w:p w14:paraId="1E377601" w14:textId="1DBDF72C"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58.</w:t>
            </w:r>
            <w:r w:rsidR="000854A3">
              <w:rPr>
                <w:noProof/>
                <w:color w:val="auto"/>
                <w:kern w:val="2"/>
                <w:sz w:val="20"/>
                <w:szCs w:val="20"/>
                <w:lang w:val="en-IE"/>
              </w:rPr>
              <w:t>7</w:t>
            </w:r>
          </w:p>
        </w:tc>
        <w:tc>
          <w:tcPr>
            <w:tcW w:w="0" w:type="auto"/>
            <w:shd w:val="clear" w:color="auto" w:fill="FFFFFF" w:themeFill="background1"/>
            <w:hideMark/>
          </w:tcPr>
          <w:p w14:paraId="50B6C759"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1.05</w:t>
            </w:r>
          </w:p>
        </w:tc>
        <w:tc>
          <w:tcPr>
            <w:tcW w:w="0" w:type="auto"/>
            <w:shd w:val="clear" w:color="auto" w:fill="FFFFFF" w:themeFill="background1"/>
            <w:hideMark/>
          </w:tcPr>
          <w:p w14:paraId="0F0A8A03" w14:textId="1BC01AFE" w:rsidR="00E61374" w:rsidRPr="00B236C6" w:rsidRDefault="000854A3"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3</w:t>
            </w:r>
            <w:r>
              <w:rPr>
                <w:noProof/>
                <w:color w:val="auto"/>
                <w:kern w:val="2"/>
                <w:sz w:val="20"/>
                <w:szCs w:val="20"/>
                <w:lang w:val="en-IE"/>
              </w:rPr>
              <w:t>40</w:t>
            </w:r>
          </w:p>
        </w:tc>
        <w:tc>
          <w:tcPr>
            <w:tcW w:w="0" w:type="auto"/>
            <w:shd w:val="clear" w:color="auto" w:fill="FFFFFF" w:themeFill="background1"/>
            <w:hideMark/>
          </w:tcPr>
          <w:p w14:paraId="225D3F0D" w14:textId="7C394C76"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 xml:space="preserve">2 </w:t>
            </w:r>
            <w:r w:rsidR="00207EFE" w:rsidRPr="00B236C6">
              <w:rPr>
                <w:noProof/>
                <w:color w:val="auto"/>
                <w:kern w:val="2"/>
                <w:sz w:val="20"/>
                <w:szCs w:val="20"/>
                <w:lang w:val="en-IE"/>
              </w:rPr>
              <w:t>7</w:t>
            </w:r>
            <w:r w:rsidR="00207EFE">
              <w:rPr>
                <w:noProof/>
                <w:color w:val="auto"/>
                <w:kern w:val="2"/>
                <w:sz w:val="20"/>
                <w:szCs w:val="20"/>
                <w:lang w:val="en-IE"/>
              </w:rPr>
              <w:t>37</w:t>
            </w:r>
          </w:p>
        </w:tc>
        <w:tc>
          <w:tcPr>
            <w:tcW w:w="0" w:type="auto"/>
            <w:shd w:val="clear" w:color="auto" w:fill="FFFFFF" w:themeFill="background1"/>
          </w:tcPr>
          <w:p w14:paraId="6E48A4C5" w14:textId="77777777" w:rsidR="00E61374" w:rsidRPr="00B236C6" w:rsidRDefault="00E61374"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1.01</w:t>
            </w:r>
          </w:p>
        </w:tc>
        <w:tc>
          <w:tcPr>
            <w:tcW w:w="0" w:type="auto"/>
            <w:shd w:val="clear" w:color="auto" w:fill="FFFFFF" w:themeFill="background1"/>
          </w:tcPr>
          <w:p w14:paraId="73E60B9B" w14:textId="7E654FDE" w:rsidR="00E61374" w:rsidRPr="00B236C6" w:rsidRDefault="00466B79" w:rsidP="00B236C6">
            <w:pPr>
              <w:spacing w:after="0"/>
              <w:jc w:val="center"/>
              <w:cnfStyle w:val="000000000000" w:firstRow="0" w:lastRow="0" w:firstColumn="0" w:lastColumn="0" w:oddVBand="0" w:evenVBand="0" w:oddHBand="0" w:evenHBand="0" w:firstRowFirstColumn="0" w:firstRowLastColumn="0" w:lastRowFirstColumn="0" w:lastRowLastColumn="0"/>
              <w:rPr>
                <w:noProof/>
                <w:color w:val="auto"/>
                <w:kern w:val="2"/>
                <w:sz w:val="20"/>
                <w:szCs w:val="20"/>
                <w:lang w:val="en-IE"/>
              </w:rPr>
            </w:pPr>
            <w:r w:rsidRPr="00B236C6">
              <w:rPr>
                <w:noProof/>
                <w:color w:val="auto"/>
                <w:kern w:val="2"/>
                <w:sz w:val="20"/>
                <w:szCs w:val="20"/>
                <w:lang w:val="en-IE"/>
              </w:rPr>
              <w:t>5</w:t>
            </w:r>
            <w:r>
              <w:rPr>
                <w:noProof/>
                <w:color w:val="auto"/>
                <w:kern w:val="2"/>
                <w:sz w:val="20"/>
                <w:szCs w:val="20"/>
                <w:lang w:val="en-IE"/>
              </w:rPr>
              <w:t>25</w:t>
            </w:r>
          </w:p>
        </w:tc>
      </w:tr>
    </w:tbl>
    <w:p w14:paraId="5F89CC07" w14:textId="0EDCEDFA" w:rsidR="00E61374" w:rsidRPr="00D37004" w:rsidRDefault="00E61374" w:rsidP="003738F2">
      <w:pPr>
        <w:spacing w:before="120"/>
        <w:rPr>
          <w:noProof/>
          <w:color w:val="000000" w:themeColor="text1"/>
        </w:rPr>
      </w:pPr>
      <w:r w:rsidRPr="00D37004">
        <w:rPr>
          <w:noProof/>
        </w:rPr>
        <w:t xml:space="preserve">In </w:t>
      </w:r>
      <w:r w:rsidRPr="2A6A1A3F">
        <w:rPr>
          <w:b/>
          <w:bCs/>
          <w:noProof/>
        </w:rPr>
        <w:t xml:space="preserve">PO1-A, </w:t>
      </w:r>
      <w:r w:rsidRPr="00D37004">
        <w:rPr>
          <w:noProof/>
        </w:rPr>
        <w:t>the guidelines would encourage early integration of resource-efficient features</w:t>
      </w:r>
      <w:r>
        <w:rPr>
          <w:noProof/>
        </w:rPr>
        <w:t>,</w:t>
      </w:r>
      <w:r w:rsidRPr="00D37004">
        <w:rPr>
          <w:noProof/>
        </w:rPr>
        <w:t xml:space="preserve"> the adoption of</w:t>
      </w:r>
      <w:r>
        <w:rPr>
          <w:noProof/>
        </w:rPr>
        <w:t xml:space="preserve"> renewables and</w:t>
      </w:r>
      <w:r w:rsidRPr="00D37004">
        <w:rPr>
          <w:noProof/>
        </w:rPr>
        <w:t xml:space="preserve"> best practices in energy management, while </w:t>
      </w:r>
      <w:r>
        <w:rPr>
          <w:noProof/>
        </w:rPr>
        <w:t xml:space="preserve">the </w:t>
      </w:r>
      <w:r w:rsidRPr="00D37004">
        <w:rPr>
          <w:noProof/>
        </w:rPr>
        <w:t>coordination</w:t>
      </w:r>
      <w:r>
        <w:rPr>
          <w:noProof/>
        </w:rPr>
        <w:t xml:space="preserve"> </w:t>
      </w:r>
      <w:r w:rsidRPr="00D37004">
        <w:rPr>
          <w:noProof/>
        </w:rPr>
        <w:t>for</w:t>
      </w:r>
      <w:r>
        <w:rPr>
          <w:noProof/>
        </w:rPr>
        <w:t>um</w:t>
      </w:r>
      <w:r w:rsidRPr="00D37004">
        <w:rPr>
          <w:noProof/>
        </w:rPr>
        <w:t xml:space="preserve"> would facilitate dialogue with energy providers. These measures are expected to improve the PUE of new </w:t>
      </w:r>
      <w:r w:rsidR="00B02E52">
        <w:rPr>
          <w:noProof/>
        </w:rPr>
        <w:t>DCs</w:t>
      </w:r>
      <w:r w:rsidRPr="00D37004">
        <w:rPr>
          <w:noProof/>
        </w:rPr>
        <w:t xml:space="preserve"> by around </w:t>
      </w:r>
      <w:r>
        <w:rPr>
          <w:noProof/>
        </w:rPr>
        <w:t>4</w:t>
      </w:r>
      <w:r w:rsidRPr="00D37004">
        <w:rPr>
          <w:noProof/>
        </w:rPr>
        <w:t>% by 2036</w:t>
      </w:r>
      <w:r>
        <w:rPr>
          <w:noProof/>
        </w:rPr>
        <w:t xml:space="preserve"> compared to the baseline</w:t>
      </w:r>
      <w:r w:rsidRPr="00D37004">
        <w:rPr>
          <w:noProof/>
        </w:rPr>
        <w:t xml:space="preserve">, reaching 1.18. Total installed capacity would increase to </w:t>
      </w:r>
      <w:r w:rsidR="000854A3">
        <w:rPr>
          <w:noProof/>
        </w:rPr>
        <w:t>52</w:t>
      </w:r>
      <w:r>
        <w:rPr>
          <w:noProof/>
        </w:rPr>
        <w:t>.2</w:t>
      </w:r>
      <w:r w:rsidRPr="00D37004">
        <w:rPr>
          <w:noProof/>
        </w:rPr>
        <w:t xml:space="preserve"> GW</w:t>
      </w:r>
      <w:r>
        <w:rPr>
          <w:noProof/>
        </w:rPr>
        <w:t xml:space="preserve"> and e</w:t>
      </w:r>
      <w:r w:rsidRPr="00D37004">
        <w:rPr>
          <w:noProof/>
        </w:rPr>
        <w:t xml:space="preserve">lectricity demand would reach </w:t>
      </w:r>
      <w:r w:rsidR="000A10D4">
        <w:rPr>
          <w:noProof/>
        </w:rPr>
        <w:t>339</w:t>
      </w:r>
      <w:r w:rsidR="000A10D4" w:rsidRPr="00D37004">
        <w:rPr>
          <w:noProof/>
        </w:rPr>
        <w:t xml:space="preserve"> </w:t>
      </w:r>
      <w:r w:rsidRPr="00D37004">
        <w:rPr>
          <w:noProof/>
        </w:rPr>
        <w:t xml:space="preserve">TWh in 2036, or about </w:t>
      </w:r>
      <w:r w:rsidR="00CA7FD1">
        <w:rPr>
          <w:noProof/>
        </w:rPr>
        <w:t>8</w:t>
      </w:r>
      <w:r w:rsidRPr="00D37004">
        <w:rPr>
          <w:noProof/>
        </w:rPr>
        <w:t>% higher than the baseline and cumulative consumption over 2025-2036 would total 2</w:t>
      </w:r>
      <w:r w:rsidRPr="00D37004" w:rsidDel="0051341F">
        <w:rPr>
          <w:noProof/>
        </w:rPr>
        <w:t xml:space="preserve"> </w:t>
      </w:r>
      <w:r w:rsidR="0051341F">
        <w:rPr>
          <w:noProof/>
        </w:rPr>
        <w:t>701</w:t>
      </w:r>
      <w:r w:rsidR="0051341F" w:rsidRPr="00D37004">
        <w:rPr>
          <w:noProof/>
        </w:rPr>
        <w:t xml:space="preserve"> </w:t>
      </w:r>
      <w:r w:rsidRPr="00D37004">
        <w:rPr>
          <w:noProof/>
        </w:rPr>
        <w:t xml:space="preserve">TWh, or </w:t>
      </w:r>
      <w:r w:rsidR="0051341F" w:rsidRPr="00D37004">
        <w:rPr>
          <w:noProof/>
        </w:rPr>
        <w:t>1</w:t>
      </w:r>
      <w:r w:rsidR="0051341F">
        <w:rPr>
          <w:noProof/>
        </w:rPr>
        <w:t>30</w:t>
      </w:r>
      <w:r w:rsidR="0051341F" w:rsidRPr="00D37004">
        <w:rPr>
          <w:noProof/>
        </w:rPr>
        <w:t xml:space="preserve"> </w:t>
      </w:r>
      <w:r w:rsidRPr="00D37004">
        <w:rPr>
          <w:noProof/>
        </w:rPr>
        <w:t xml:space="preserve">TWh more than the baseline. </w:t>
      </w:r>
      <w:r>
        <w:rPr>
          <w:noProof/>
        </w:rPr>
        <w:t xml:space="preserve">Increased </w:t>
      </w:r>
      <w:r w:rsidRPr="00D37004">
        <w:rPr>
          <w:noProof/>
        </w:rPr>
        <w:t xml:space="preserve">expansion </w:t>
      </w:r>
      <w:r>
        <w:rPr>
          <w:noProof/>
        </w:rPr>
        <w:t xml:space="preserve">of capacity under this option </w:t>
      </w:r>
      <w:r w:rsidR="006218FD">
        <w:rPr>
          <w:noProof/>
        </w:rPr>
        <w:t>would</w:t>
      </w:r>
      <w:r>
        <w:rPr>
          <w:noProof/>
        </w:rPr>
        <w:t xml:space="preserve"> </w:t>
      </w:r>
      <w:r w:rsidRPr="00D37004">
        <w:rPr>
          <w:noProof/>
        </w:rPr>
        <w:t xml:space="preserve">push up </w:t>
      </w:r>
      <w:r>
        <w:rPr>
          <w:noProof/>
        </w:rPr>
        <w:t>cumulative</w:t>
      </w:r>
      <w:r w:rsidRPr="00D37004">
        <w:rPr>
          <w:noProof/>
        </w:rPr>
        <w:t xml:space="preserve"> </w:t>
      </w:r>
      <w:r>
        <w:rPr>
          <w:noProof/>
        </w:rPr>
        <w:t xml:space="preserve">carbon emissions by </w:t>
      </w:r>
      <w:r w:rsidR="006F194B">
        <w:rPr>
          <w:noProof/>
        </w:rPr>
        <w:t xml:space="preserve">23 </w:t>
      </w:r>
      <w:r>
        <w:rPr>
          <w:noProof/>
        </w:rPr>
        <w:t>Mt with respect to the baseline.</w:t>
      </w:r>
      <w:r w:rsidRPr="00D37004" w:rsidDel="00C9699B">
        <w:rPr>
          <w:noProof/>
        </w:rPr>
        <w:t xml:space="preserve"> </w:t>
      </w:r>
      <w:r w:rsidRPr="00D37004">
        <w:rPr>
          <w:noProof/>
        </w:rPr>
        <w:t xml:space="preserve">In </w:t>
      </w:r>
      <w:r w:rsidRPr="2A6A1A3F">
        <w:rPr>
          <w:b/>
          <w:bCs/>
          <w:noProof/>
        </w:rPr>
        <w:t>PO1-B</w:t>
      </w:r>
      <w:r w:rsidRPr="00D37004">
        <w:rPr>
          <w:noProof/>
        </w:rPr>
        <w:t>,</w:t>
      </w:r>
      <w:r w:rsidRPr="2A6A1A3F">
        <w:rPr>
          <w:b/>
          <w:bCs/>
          <w:noProof/>
        </w:rPr>
        <w:t xml:space="preserve"> </w:t>
      </w:r>
      <w:r w:rsidRPr="00D37004">
        <w:rPr>
          <w:noProof/>
          <w:color w:val="000000" w:themeColor="text1"/>
        </w:rPr>
        <w:t xml:space="preserve">owing to fast-track area identification, Member States </w:t>
      </w:r>
      <w:r w:rsidR="00160078">
        <w:rPr>
          <w:noProof/>
          <w:color w:val="000000" w:themeColor="text1"/>
        </w:rPr>
        <w:t>would</w:t>
      </w:r>
      <w:r w:rsidRPr="00D37004">
        <w:rPr>
          <w:noProof/>
          <w:color w:val="000000" w:themeColor="text1"/>
        </w:rPr>
        <w:t xml:space="preserve"> have a stronger hand at linking </w:t>
      </w:r>
      <w:r w:rsidR="00B02E52">
        <w:rPr>
          <w:noProof/>
          <w:color w:val="000000" w:themeColor="text1"/>
        </w:rPr>
        <w:t>DC</w:t>
      </w:r>
      <w:r w:rsidRPr="00D37004">
        <w:rPr>
          <w:noProof/>
          <w:color w:val="000000" w:themeColor="text1"/>
        </w:rPr>
        <w:t xml:space="preserve"> development to sustainable energy availability and avoiding environmentally sensitive sites. </w:t>
      </w:r>
      <w:r w:rsidRPr="00D37004">
        <w:rPr>
          <w:noProof/>
        </w:rPr>
        <w:t>EU-level discussions with national authorities are also expected to favour a fast uptake across M</w:t>
      </w:r>
      <w:r>
        <w:rPr>
          <w:noProof/>
        </w:rPr>
        <w:t xml:space="preserve">ember </w:t>
      </w:r>
      <w:r w:rsidRPr="00D37004">
        <w:rPr>
          <w:noProof/>
        </w:rPr>
        <w:t>S</w:t>
      </w:r>
      <w:r>
        <w:rPr>
          <w:noProof/>
        </w:rPr>
        <w:t>tates</w:t>
      </w:r>
      <w:r w:rsidRPr="00D37004">
        <w:rPr>
          <w:noProof/>
        </w:rPr>
        <w:t xml:space="preserve"> of sustainability best practices</w:t>
      </w:r>
      <w:r>
        <w:rPr>
          <w:noProof/>
        </w:rPr>
        <w:t xml:space="preserve"> in </w:t>
      </w:r>
      <w:r w:rsidR="00B02E52">
        <w:rPr>
          <w:noProof/>
        </w:rPr>
        <w:t>DC</w:t>
      </w:r>
      <w:r>
        <w:rPr>
          <w:noProof/>
        </w:rPr>
        <w:t xml:space="preserve"> build-out</w:t>
      </w:r>
      <w:r w:rsidRPr="00D37004">
        <w:rPr>
          <w:noProof/>
        </w:rPr>
        <w:t xml:space="preserve">. Altogether, this policy option is expected to deliver an improvement in PUE of </w:t>
      </w:r>
      <w:r>
        <w:rPr>
          <w:noProof/>
        </w:rPr>
        <w:t>9</w:t>
      </w:r>
      <w:r w:rsidRPr="00D37004">
        <w:rPr>
          <w:noProof/>
        </w:rPr>
        <w:t>% by 2036.</w:t>
      </w:r>
      <w:r w:rsidRPr="2A6A1A3F">
        <w:rPr>
          <w:rFonts w:eastAsiaTheme="minorEastAsia"/>
          <w:noProof/>
        </w:rPr>
        <w:t xml:space="preserve"> </w:t>
      </w:r>
      <w:r w:rsidRPr="00D37004">
        <w:rPr>
          <w:noProof/>
        </w:rPr>
        <w:t xml:space="preserve">In this scenario, </w:t>
      </w:r>
      <w:r w:rsidR="00B02E52">
        <w:rPr>
          <w:noProof/>
        </w:rPr>
        <w:t>DC</w:t>
      </w:r>
      <w:r w:rsidRPr="00D37004">
        <w:rPr>
          <w:noProof/>
        </w:rPr>
        <w:t xml:space="preserve"> capacity is expected to increase fastest, reaching </w:t>
      </w:r>
      <w:r w:rsidR="00E02262" w:rsidRPr="00D37004">
        <w:rPr>
          <w:noProof/>
        </w:rPr>
        <w:t>6</w:t>
      </w:r>
      <w:r w:rsidR="00E02262">
        <w:rPr>
          <w:noProof/>
        </w:rPr>
        <w:t>5.9</w:t>
      </w:r>
      <w:r w:rsidR="00E02262" w:rsidRPr="00D37004">
        <w:rPr>
          <w:noProof/>
        </w:rPr>
        <w:t xml:space="preserve"> </w:t>
      </w:r>
      <w:r w:rsidRPr="00D37004">
        <w:rPr>
          <w:noProof/>
        </w:rPr>
        <w:t xml:space="preserve">GW by 2036, while annual electricity use </w:t>
      </w:r>
      <w:r w:rsidR="00F37EDB">
        <w:rPr>
          <w:noProof/>
        </w:rPr>
        <w:t xml:space="preserve">would </w:t>
      </w:r>
      <w:r w:rsidRPr="00D37004">
        <w:rPr>
          <w:noProof/>
        </w:rPr>
        <w:t>reach 4</w:t>
      </w:r>
      <w:r>
        <w:rPr>
          <w:noProof/>
        </w:rPr>
        <w:t>08</w:t>
      </w:r>
      <w:r w:rsidRPr="00D37004">
        <w:rPr>
          <w:noProof/>
        </w:rPr>
        <w:t xml:space="preserve"> TWh by 2036, the highest among all scenarios. Cumulative 2025–2036 demand </w:t>
      </w:r>
      <w:r w:rsidR="00F37EDB">
        <w:rPr>
          <w:noProof/>
        </w:rPr>
        <w:t xml:space="preserve">would </w:t>
      </w:r>
      <w:r w:rsidRPr="00D37004">
        <w:rPr>
          <w:noProof/>
        </w:rPr>
        <w:t>exceed 3</w:t>
      </w:r>
      <w:r w:rsidR="006F194B">
        <w:rPr>
          <w:noProof/>
        </w:rPr>
        <w:t xml:space="preserve"> </w:t>
      </w:r>
      <w:r>
        <w:rPr>
          <w:noProof/>
        </w:rPr>
        <w:t>000</w:t>
      </w:r>
      <w:r w:rsidRPr="00D37004">
        <w:rPr>
          <w:noProof/>
        </w:rPr>
        <w:t xml:space="preserve"> TWh, approximately </w:t>
      </w:r>
      <w:r>
        <w:rPr>
          <w:noProof/>
        </w:rPr>
        <w:t>30</w:t>
      </w:r>
      <w:r w:rsidRPr="00D37004">
        <w:rPr>
          <w:noProof/>
        </w:rPr>
        <w:t xml:space="preserve">% above the baseline. Even with continuous efficiency gains, the speed of expansion </w:t>
      </w:r>
      <w:r w:rsidR="00F37EDB">
        <w:rPr>
          <w:noProof/>
        </w:rPr>
        <w:t xml:space="preserve">would </w:t>
      </w:r>
      <w:r w:rsidRPr="00D37004">
        <w:rPr>
          <w:noProof/>
        </w:rPr>
        <w:t xml:space="preserve">push up total energy and resource requirements. </w:t>
      </w:r>
      <w:r>
        <w:rPr>
          <w:noProof/>
        </w:rPr>
        <w:t xml:space="preserve">Cumulative </w:t>
      </w:r>
      <w:r w:rsidRPr="00D37004">
        <w:rPr>
          <w:noProof/>
        </w:rPr>
        <w:t xml:space="preserve">CO₂ emissions </w:t>
      </w:r>
      <w:r>
        <w:rPr>
          <w:noProof/>
        </w:rPr>
        <w:t>are expected to be</w:t>
      </w:r>
      <w:r w:rsidRPr="00D37004">
        <w:rPr>
          <w:noProof/>
        </w:rPr>
        <w:t xml:space="preserve"> </w:t>
      </w:r>
      <w:r>
        <w:rPr>
          <w:noProof/>
        </w:rPr>
        <w:t>82 Mt higher</w:t>
      </w:r>
      <w:r w:rsidRPr="00D37004">
        <w:rPr>
          <w:noProof/>
        </w:rPr>
        <w:t xml:space="preserve"> </w:t>
      </w:r>
      <w:r>
        <w:rPr>
          <w:noProof/>
        </w:rPr>
        <w:t xml:space="preserve">than the baseline </w:t>
      </w:r>
      <w:r w:rsidRPr="00D37004">
        <w:rPr>
          <w:noProof/>
        </w:rPr>
        <w:t>over the decade.</w:t>
      </w:r>
      <w:r>
        <w:rPr>
          <w:noProof/>
        </w:rPr>
        <w:t xml:space="preserve"> However, average CO</w:t>
      </w:r>
      <w:r w:rsidRPr="005B0534">
        <w:rPr>
          <w:noProof/>
          <w:vertAlign w:val="subscript"/>
        </w:rPr>
        <w:t>2e</w:t>
      </w:r>
      <w:r>
        <w:rPr>
          <w:noProof/>
        </w:rPr>
        <w:t xml:space="preserve"> emissions/GW decline 12% faster than in the baseline scenario due to the expected improvements in PUE. </w:t>
      </w:r>
      <w:r w:rsidRPr="00D37004">
        <w:rPr>
          <w:noProof/>
          <w:color w:val="000000" w:themeColor="text1"/>
        </w:rPr>
        <w:t xml:space="preserve">With </w:t>
      </w:r>
      <w:r w:rsidRPr="2A6A1A3F">
        <w:rPr>
          <w:b/>
          <w:bCs/>
          <w:noProof/>
          <w:color w:val="000000" w:themeColor="text1"/>
        </w:rPr>
        <w:t xml:space="preserve">PO1-C, </w:t>
      </w:r>
      <w:r w:rsidRPr="00D37004">
        <w:rPr>
          <w:noProof/>
        </w:rPr>
        <w:t xml:space="preserve">EU R&amp;D funding </w:t>
      </w:r>
      <w:r w:rsidR="00963F73">
        <w:rPr>
          <w:noProof/>
        </w:rPr>
        <w:t xml:space="preserve">(PM8) is expected to </w:t>
      </w:r>
      <w:r w:rsidR="00335441">
        <w:rPr>
          <w:noProof/>
        </w:rPr>
        <w:t>support the development and gradual uptake</w:t>
      </w:r>
      <w:r w:rsidRPr="00D37004">
        <w:rPr>
          <w:noProof/>
        </w:rPr>
        <w:t xml:space="preserve"> of </w:t>
      </w:r>
      <w:r>
        <w:rPr>
          <w:noProof/>
        </w:rPr>
        <w:t>sustainable</w:t>
      </w:r>
      <w:r w:rsidRPr="00D37004">
        <w:rPr>
          <w:noProof/>
        </w:rPr>
        <w:t xml:space="preserve"> innovations, </w:t>
      </w:r>
      <w:r w:rsidR="00D82BAD">
        <w:rPr>
          <w:noProof/>
        </w:rPr>
        <w:t xml:space="preserve">especially after </w:t>
      </w:r>
      <w:r w:rsidR="00335441">
        <w:rPr>
          <w:noProof/>
        </w:rPr>
        <w:t>an initial phase of testing and demonstration. These may include</w:t>
      </w:r>
      <w:r w:rsidRPr="00D37004" w:rsidDel="00335441">
        <w:rPr>
          <w:noProof/>
        </w:rPr>
        <w:t xml:space="preserve"> </w:t>
      </w:r>
      <w:r w:rsidRPr="00D37004">
        <w:rPr>
          <w:noProof/>
        </w:rPr>
        <w:t xml:space="preserve">AI-driven energy management, </w:t>
      </w:r>
      <w:r w:rsidRPr="00D37004">
        <w:rPr>
          <w:noProof/>
          <w:color w:val="000000" w:themeColor="text1"/>
        </w:rPr>
        <w:t xml:space="preserve">advanced cooling systems, solutions for waste heat reuse and renewable </w:t>
      </w:r>
      <w:r w:rsidRPr="3EA5041C">
        <w:rPr>
          <w:noProof/>
          <w:color w:val="000000" w:themeColor="text1"/>
        </w:rPr>
        <w:t xml:space="preserve">and storage </w:t>
      </w:r>
      <w:r w:rsidRPr="00D37004">
        <w:rPr>
          <w:noProof/>
          <w:color w:val="000000" w:themeColor="text1"/>
        </w:rPr>
        <w:t xml:space="preserve">integration. Strategic funding for deployment </w:t>
      </w:r>
      <w:r w:rsidR="00963F73">
        <w:rPr>
          <w:noProof/>
          <w:color w:val="000000" w:themeColor="text1"/>
        </w:rPr>
        <w:t xml:space="preserve">(PM9) </w:t>
      </w:r>
      <w:r w:rsidRPr="00D37004">
        <w:rPr>
          <w:noProof/>
          <w:color w:val="000000" w:themeColor="text1"/>
        </w:rPr>
        <w:t>would also</w:t>
      </w:r>
      <w:r w:rsidR="00BD169F">
        <w:rPr>
          <w:noProof/>
          <w:color w:val="000000" w:themeColor="text1"/>
        </w:rPr>
        <w:t xml:space="preserve"> be used to</w:t>
      </w:r>
      <w:r w:rsidRPr="00D37004">
        <w:rPr>
          <w:noProof/>
          <w:color w:val="000000" w:themeColor="text1"/>
        </w:rPr>
        <w:t xml:space="preserve"> incentivise projects incorporating highly sustainable features, making eligibility conditional on sustainability criteria. </w:t>
      </w:r>
      <w:r w:rsidR="001344D9">
        <w:rPr>
          <w:noProof/>
          <w:color w:val="000000" w:themeColor="text1"/>
        </w:rPr>
        <w:t>These two measures</w:t>
      </w:r>
      <w:r w:rsidR="001024F1">
        <w:rPr>
          <w:noProof/>
          <w:color w:val="000000" w:themeColor="text1"/>
        </w:rPr>
        <w:t xml:space="preserve"> focusing on targeted grants or technical support</w:t>
      </w:r>
      <w:r w:rsidR="001344D9">
        <w:rPr>
          <w:noProof/>
          <w:color w:val="000000" w:themeColor="text1"/>
        </w:rPr>
        <w:t xml:space="preserve"> will be designed to stimulate the development, testing and market uptake of advanced solutions with the objective of </w:t>
      </w:r>
      <w:r w:rsidR="009C4EC5">
        <w:rPr>
          <w:noProof/>
          <w:color w:val="000000" w:themeColor="text1"/>
        </w:rPr>
        <w:t xml:space="preserve">considerably reducing PUE and WUE levels over a 10-year horizon. </w:t>
      </w:r>
      <w:r w:rsidR="00687CCA">
        <w:rPr>
          <w:noProof/>
          <w:color w:val="000000" w:themeColor="text1"/>
        </w:rPr>
        <w:t>This type of intervention could help smaller colocation providers reduce</w:t>
      </w:r>
      <w:r w:rsidR="001A28C8">
        <w:rPr>
          <w:noProof/>
          <w:color w:val="000000" w:themeColor="text1"/>
        </w:rPr>
        <w:t xml:space="preserve"> PUE a</w:t>
      </w:r>
      <w:r w:rsidR="0098720D">
        <w:rPr>
          <w:noProof/>
          <w:color w:val="000000" w:themeColor="text1"/>
        </w:rPr>
        <w:t xml:space="preserve">s they would aim to </w:t>
      </w:r>
      <w:r w:rsidR="003C6636">
        <w:rPr>
          <w:noProof/>
          <w:color w:val="000000" w:themeColor="text1"/>
        </w:rPr>
        <w:t>facilitate upfront R&amp;D investments, pilots and CAPEX</w:t>
      </w:r>
      <w:r w:rsidR="005B7EF0">
        <w:rPr>
          <w:noProof/>
          <w:color w:val="000000" w:themeColor="text1"/>
        </w:rPr>
        <w:t xml:space="preserve"> into innovative technologies</w:t>
      </w:r>
      <w:r w:rsidR="003C6636">
        <w:rPr>
          <w:noProof/>
          <w:color w:val="000000" w:themeColor="text1"/>
        </w:rPr>
        <w:t xml:space="preserve"> that small operators struggle to finance</w:t>
      </w:r>
      <w:r w:rsidR="00E508B2">
        <w:rPr>
          <w:noProof/>
          <w:color w:val="000000" w:themeColor="text1"/>
        </w:rPr>
        <w:t xml:space="preserve"> compared</w:t>
      </w:r>
      <w:r w:rsidR="005B7EF0">
        <w:rPr>
          <w:noProof/>
          <w:color w:val="000000" w:themeColor="text1"/>
        </w:rPr>
        <w:t xml:space="preserve"> to hyperscalers</w:t>
      </w:r>
      <w:r w:rsidR="008975FC">
        <w:rPr>
          <w:rStyle w:val="EndnoteReference"/>
          <w:noProof/>
          <w:color w:val="000000" w:themeColor="text1"/>
        </w:rPr>
        <w:endnoteReference w:id="186"/>
      </w:r>
      <w:r w:rsidR="003C6636">
        <w:rPr>
          <w:noProof/>
          <w:color w:val="000000" w:themeColor="text1"/>
        </w:rPr>
        <w:t xml:space="preserve">. </w:t>
      </w:r>
      <w:r w:rsidRPr="00D37004">
        <w:rPr>
          <w:noProof/>
          <w:color w:val="000000" w:themeColor="text1"/>
        </w:rPr>
        <w:t xml:space="preserve">EU-level identification of fast-track areas </w:t>
      </w:r>
      <w:r w:rsidR="00273B88">
        <w:rPr>
          <w:noProof/>
          <w:color w:val="000000" w:themeColor="text1"/>
        </w:rPr>
        <w:t xml:space="preserve">(PM10) </w:t>
      </w:r>
      <w:r w:rsidRPr="00D37004">
        <w:rPr>
          <w:noProof/>
          <w:color w:val="000000" w:themeColor="text1"/>
        </w:rPr>
        <w:t xml:space="preserve">would ensure that facilities are deployed where they are least environmentally damaging at continent level. Capacity </w:t>
      </w:r>
      <w:r w:rsidR="00B84DE5">
        <w:rPr>
          <w:noProof/>
          <w:color w:val="000000" w:themeColor="text1"/>
        </w:rPr>
        <w:t xml:space="preserve">under this option </w:t>
      </w:r>
      <w:r>
        <w:rPr>
          <w:noProof/>
          <w:color w:val="000000" w:themeColor="text1"/>
        </w:rPr>
        <w:t>is expected to</w:t>
      </w:r>
      <w:r w:rsidRPr="00D37004">
        <w:rPr>
          <w:noProof/>
          <w:color w:val="000000" w:themeColor="text1"/>
        </w:rPr>
        <w:t xml:space="preserve"> reach 5</w:t>
      </w:r>
      <w:r>
        <w:rPr>
          <w:noProof/>
          <w:color w:val="000000" w:themeColor="text1"/>
        </w:rPr>
        <w:t>8.</w:t>
      </w:r>
      <w:r w:rsidR="00DD1CDF">
        <w:rPr>
          <w:noProof/>
          <w:color w:val="000000" w:themeColor="text1"/>
        </w:rPr>
        <w:t>7</w:t>
      </w:r>
      <w:r w:rsidR="00DD1CDF" w:rsidRPr="00D37004">
        <w:rPr>
          <w:noProof/>
          <w:color w:val="000000" w:themeColor="text1"/>
        </w:rPr>
        <w:t xml:space="preserve"> </w:t>
      </w:r>
      <w:r w:rsidRPr="00D37004">
        <w:rPr>
          <w:noProof/>
          <w:color w:val="000000" w:themeColor="text1"/>
        </w:rPr>
        <w:t>GW by 2036, with the strongest efficiency gains: PUE falls to 1.05 (–</w:t>
      </w:r>
      <w:r>
        <w:rPr>
          <w:noProof/>
          <w:color w:val="000000" w:themeColor="text1"/>
        </w:rPr>
        <w:t>15</w:t>
      </w:r>
      <w:r w:rsidRPr="00D37004">
        <w:rPr>
          <w:noProof/>
          <w:color w:val="000000" w:themeColor="text1"/>
        </w:rPr>
        <w:t>%</w:t>
      </w:r>
      <w:r w:rsidR="00556330">
        <w:rPr>
          <w:noProof/>
          <w:color w:val="000000" w:themeColor="text1"/>
        </w:rPr>
        <w:t xml:space="preserve"> with respect to the baseline</w:t>
      </w:r>
      <w:r w:rsidRPr="00D37004">
        <w:rPr>
          <w:noProof/>
          <w:color w:val="000000" w:themeColor="text1"/>
        </w:rPr>
        <w:t xml:space="preserve">). Despite </w:t>
      </w:r>
      <w:r w:rsidR="00995E04">
        <w:rPr>
          <w:noProof/>
          <w:color w:val="000000" w:themeColor="text1"/>
        </w:rPr>
        <w:t>27</w:t>
      </w:r>
      <w:r w:rsidRPr="00D37004">
        <w:rPr>
          <w:noProof/>
          <w:color w:val="000000" w:themeColor="text1"/>
        </w:rPr>
        <w:t xml:space="preserve">% higher capacity than the baseline, total electricity use remains </w:t>
      </w:r>
      <w:r>
        <w:rPr>
          <w:noProof/>
          <w:color w:val="000000" w:themeColor="text1"/>
        </w:rPr>
        <w:t>close</w:t>
      </w:r>
      <w:r w:rsidRPr="00D37004">
        <w:rPr>
          <w:noProof/>
          <w:color w:val="000000" w:themeColor="text1"/>
        </w:rPr>
        <w:t xml:space="preserve"> to PO1</w:t>
      </w:r>
      <w:r w:rsidR="00666493">
        <w:rPr>
          <w:noProof/>
          <w:color w:val="000000" w:themeColor="text1"/>
        </w:rPr>
        <w:t>-</w:t>
      </w:r>
      <w:r w:rsidRPr="00D37004">
        <w:rPr>
          <w:noProof/>
          <w:color w:val="000000" w:themeColor="text1"/>
        </w:rPr>
        <w:t xml:space="preserve">A at </w:t>
      </w:r>
      <w:r w:rsidR="000304FA" w:rsidRPr="00D37004">
        <w:rPr>
          <w:noProof/>
          <w:color w:val="000000" w:themeColor="text1"/>
        </w:rPr>
        <w:t>3</w:t>
      </w:r>
      <w:r w:rsidR="000304FA">
        <w:rPr>
          <w:noProof/>
          <w:color w:val="000000" w:themeColor="text1"/>
        </w:rPr>
        <w:t>40</w:t>
      </w:r>
      <w:r w:rsidR="000304FA" w:rsidRPr="00D37004">
        <w:rPr>
          <w:noProof/>
          <w:color w:val="000000" w:themeColor="text1"/>
        </w:rPr>
        <w:t xml:space="preserve"> </w:t>
      </w:r>
      <w:r w:rsidRPr="00D37004">
        <w:rPr>
          <w:noProof/>
          <w:color w:val="000000" w:themeColor="text1"/>
        </w:rPr>
        <w:t>TWh, so is the cumulative consumption over 2025–2036.</w:t>
      </w:r>
      <w:r>
        <w:rPr>
          <w:noProof/>
          <w:color w:val="000000" w:themeColor="text1"/>
        </w:rPr>
        <w:t xml:space="preserve"> Due</w:t>
      </w:r>
      <w:r w:rsidRPr="0030740A">
        <w:rPr>
          <w:noProof/>
          <w:color w:val="000000" w:themeColor="text1"/>
        </w:rPr>
        <w:t xml:space="preserve"> to cleaner electricity sourcing</w:t>
      </w:r>
      <w:r>
        <w:rPr>
          <w:noProof/>
          <w:color w:val="000000" w:themeColor="text1"/>
        </w:rPr>
        <w:t xml:space="preserve">, </w:t>
      </w:r>
      <w:r w:rsidRPr="0030740A">
        <w:rPr>
          <w:noProof/>
          <w:color w:val="000000" w:themeColor="text1"/>
        </w:rPr>
        <w:t xml:space="preserve">stronger </w:t>
      </w:r>
      <w:r>
        <w:rPr>
          <w:noProof/>
          <w:color w:val="000000" w:themeColor="text1"/>
        </w:rPr>
        <w:t>PUE reductions</w:t>
      </w:r>
      <w:r w:rsidRPr="0030740A">
        <w:rPr>
          <w:noProof/>
          <w:color w:val="000000" w:themeColor="text1"/>
        </w:rPr>
        <w:t xml:space="preserve"> and </w:t>
      </w:r>
      <w:r>
        <w:rPr>
          <w:noProof/>
          <w:color w:val="000000" w:themeColor="text1"/>
        </w:rPr>
        <w:t xml:space="preserve">general forecasted </w:t>
      </w:r>
      <w:r w:rsidRPr="0030740A">
        <w:rPr>
          <w:noProof/>
          <w:color w:val="000000" w:themeColor="text1"/>
        </w:rPr>
        <w:t xml:space="preserve">decarbonisation of the grid mix, </w:t>
      </w:r>
      <w:r>
        <w:rPr>
          <w:noProof/>
        </w:rPr>
        <w:t xml:space="preserve">average </w:t>
      </w:r>
      <w:r w:rsidRPr="00D37004">
        <w:rPr>
          <w:noProof/>
        </w:rPr>
        <w:t>CO₂</w:t>
      </w:r>
      <w:r w:rsidRPr="00FD3DDF">
        <w:rPr>
          <w:noProof/>
          <w:vertAlign w:val="subscript"/>
        </w:rPr>
        <w:t>e</w:t>
      </w:r>
      <w:r>
        <w:rPr>
          <w:noProof/>
        </w:rPr>
        <w:t xml:space="preserve"> emissions/GW are expected to decline </w:t>
      </w:r>
      <w:r w:rsidR="00D80187">
        <w:rPr>
          <w:noProof/>
        </w:rPr>
        <w:t>21</w:t>
      </w:r>
      <w:r>
        <w:rPr>
          <w:noProof/>
        </w:rPr>
        <w:t>% faster than in the baseline scenario</w:t>
      </w:r>
      <w:r>
        <w:rPr>
          <w:rStyle w:val="FootnoteReference"/>
          <w:noProof/>
        </w:rPr>
        <w:footnoteReference w:id="118"/>
      </w:r>
      <w:r w:rsidRPr="0030740A">
        <w:rPr>
          <w:noProof/>
          <w:color w:val="000000" w:themeColor="text1"/>
        </w:rPr>
        <w:t>.</w:t>
      </w:r>
      <w:r>
        <w:rPr>
          <w:noProof/>
          <w:color w:val="000000" w:themeColor="text1"/>
        </w:rPr>
        <w:t xml:space="preserve"> </w:t>
      </w:r>
      <w:r w:rsidRPr="00D37004">
        <w:rPr>
          <w:noProof/>
          <w:color w:val="000000" w:themeColor="text1"/>
        </w:rPr>
        <w:t xml:space="preserve">Across all scenarios, electricity use at least triples between 2025 and 2036. However, with policy measures under PO1-C, stronger efficiency standards and renewable integration </w:t>
      </w:r>
      <w:r w:rsidR="004529DE">
        <w:rPr>
          <w:noProof/>
          <w:color w:val="000000" w:themeColor="text1"/>
        </w:rPr>
        <w:t>are expected to</w:t>
      </w:r>
      <w:r w:rsidR="004529DE" w:rsidRPr="00D37004">
        <w:rPr>
          <w:noProof/>
          <w:color w:val="000000" w:themeColor="text1"/>
        </w:rPr>
        <w:t xml:space="preserve"> </w:t>
      </w:r>
      <w:r w:rsidRPr="00D37004">
        <w:rPr>
          <w:noProof/>
          <w:color w:val="000000" w:themeColor="text1"/>
        </w:rPr>
        <w:t xml:space="preserve">contain </w:t>
      </w:r>
      <w:r w:rsidR="00B02E52">
        <w:rPr>
          <w:noProof/>
          <w:color w:val="000000" w:themeColor="text1"/>
        </w:rPr>
        <w:t>DC</w:t>
      </w:r>
      <w:r w:rsidRPr="00D37004">
        <w:rPr>
          <w:noProof/>
          <w:color w:val="000000" w:themeColor="text1"/>
        </w:rPr>
        <w:t xml:space="preserve"> power demand to around 1</w:t>
      </w:r>
      <w:r>
        <w:rPr>
          <w:noProof/>
          <w:color w:val="000000" w:themeColor="text1"/>
        </w:rPr>
        <w:t>3</w:t>
      </w:r>
      <w:r w:rsidRPr="00D37004">
        <w:rPr>
          <w:noProof/>
          <w:color w:val="000000" w:themeColor="text1"/>
        </w:rPr>
        <w:t>% of EU electricity generation.</w:t>
      </w:r>
    </w:p>
    <w:p w14:paraId="14DA778A" w14:textId="4069E8D3" w:rsidR="00E61374" w:rsidRDefault="00E61374" w:rsidP="00E77D95">
      <w:pPr>
        <w:rPr>
          <w:noProof/>
        </w:rPr>
      </w:pPr>
      <w:r w:rsidRPr="294AF3FA">
        <w:rPr>
          <w:noProof/>
          <w:color w:val="000000" w:themeColor="text1"/>
        </w:rPr>
        <w:t xml:space="preserve">Finally, </w:t>
      </w:r>
      <w:r>
        <w:rPr>
          <w:noProof/>
        </w:rPr>
        <w:t xml:space="preserve">under </w:t>
      </w:r>
      <w:r w:rsidRPr="294AF3FA">
        <w:rPr>
          <w:b/>
          <w:bCs/>
          <w:noProof/>
        </w:rPr>
        <w:t>PO2-B</w:t>
      </w:r>
      <w:r>
        <w:rPr>
          <w:noProof/>
        </w:rPr>
        <w:t xml:space="preserve"> and </w:t>
      </w:r>
      <w:r w:rsidRPr="294AF3FA">
        <w:rPr>
          <w:b/>
          <w:bCs/>
          <w:noProof/>
        </w:rPr>
        <w:t>PO2-C</w:t>
      </w:r>
      <w:r>
        <w:rPr>
          <w:noProof/>
        </w:rPr>
        <w:t xml:space="preserve">, the cross-border re-use of cloud and AI capacity among Member States through the federation </w:t>
      </w:r>
      <w:r w:rsidR="00377929">
        <w:rPr>
          <w:noProof/>
        </w:rPr>
        <w:t xml:space="preserve">would be </w:t>
      </w:r>
      <w:r>
        <w:rPr>
          <w:noProof/>
        </w:rPr>
        <w:t>inducive of environmental savings: a rough estimation points to 5% energy efficiency improvement for 10% increase in server utilisation rate</w:t>
      </w:r>
      <w:r w:rsidRPr="6DD635DA">
        <w:rPr>
          <w:rStyle w:val="EndnoteReference"/>
          <w:noProof/>
        </w:rPr>
        <w:endnoteReference w:id="187"/>
      </w:r>
      <w:r>
        <w:rPr>
          <w:noProof/>
        </w:rPr>
        <w:t>.</w:t>
      </w:r>
    </w:p>
    <w:p w14:paraId="74D5E7A9" w14:textId="069A0890" w:rsidR="00775E60" w:rsidRDefault="00775E60" w:rsidP="00775E60">
      <w:pPr>
        <w:rPr>
          <w:noProof/>
        </w:rPr>
      </w:pPr>
      <w:r>
        <w:rPr>
          <w:noProof/>
        </w:rPr>
        <w:t xml:space="preserve">The resulting emissions </w:t>
      </w:r>
      <w:r w:rsidR="00BF7FB3">
        <w:rPr>
          <w:noProof/>
        </w:rPr>
        <w:t>would</w:t>
      </w:r>
      <w:r>
        <w:rPr>
          <w:noProof/>
        </w:rPr>
        <w:t xml:space="preserve"> increase across all scenarios due to growing DC electricity demand. However, CO</w:t>
      </w:r>
      <w:r w:rsidRPr="004F7679">
        <w:rPr>
          <w:noProof/>
          <w:vertAlign w:val="subscript"/>
        </w:rPr>
        <w:t>2</w:t>
      </w:r>
      <w:r w:rsidRPr="004F7679" w:rsidDel="00784E87">
        <w:rPr>
          <w:noProof/>
          <w:vertAlign w:val="subscript"/>
        </w:rPr>
        <w:t>e</w:t>
      </w:r>
      <w:r>
        <w:rPr>
          <w:noProof/>
        </w:rPr>
        <w:t xml:space="preserve"> emissions per GW of added capacity </w:t>
      </w:r>
      <w:r w:rsidR="00B42682">
        <w:rPr>
          <w:noProof/>
        </w:rPr>
        <w:t>would</w:t>
      </w:r>
      <w:r>
        <w:rPr>
          <w:noProof/>
        </w:rPr>
        <w:t xml:space="preserve"> decline much faster under PO1-C than under the baseline, owing to the stronger reduction in PUE and </w:t>
      </w:r>
      <w:r w:rsidR="004841AE">
        <w:rPr>
          <w:noProof/>
        </w:rPr>
        <w:t xml:space="preserve">gradual </w:t>
      </w:r>
      <w:r>
        <w:rPr>
          <w:noProof/>
        </w:rPr>
        <w:t xml:space="preserve">adoption of </w:t>
      </w:r>
      <w:r w:rsidR="00D85149">
        <w:rPr>
          <w:noProof/>
        </w:rPr>
        <w:t>sustainable</w:t>
      </w:r>
      <w:r>
        <w:rPr>
          <w:noProof/>
        </w:rPr>
        <w:t xml:space="preserve"> energy integration measures. The baseline pathway is not compatible with long-term climate neutrality goals, as it leads to increased energy demand without integrating sustainability requirements. Policy intervention is essential to uphold consistency with the ECL and ensure that possible national DC acceleration policies do not result in a race-to-the-bottom in terms of sustainability and minimise environmental impacts and grid strain</w:t>
      </w:r>
      <w:r w:rsidR="00943C0E">
        <w:rPr>
          <w:rStyle w:val="EndnoteReference"/>
          <w:noProof/>
        </w:rPr>
        <w:endnoteReference w:id="188"/>
      </w:r>
      <w:r>
        <w:rPr>
          <w:noProof/>
        </w:rPr>
        <w:t>.</w:t>
      </w:r>
      <w:r w:rsidRPr="00A86A32">
        <w:rPr>
          <w:noProof/>
        </w:rPr>
        <w:t xml:space="preserve"> </w:t>
      </w:r>
    </w:p>
    <w:p w14:paraId="4D25336F" w14:textId="2DF383B7" w:rsidR="00775E60" w:rsidRDefault="00775E60" w:rsidP="00775E60">
      <w:pPr>
        <w:rPr>
          <w:noProof/>
        </w:rPr>
      </w:pPr>
      <w:r>
        <w:rPr>
          <w:noProof/>
        </w:rPr>
        <w:t>As mentioned under section 2.2.2., grid capacity</w:t>
      </w:r>
      <w:r w:rsidRPr="00A008C5">
        <w:rPr>
          <w:noProof/>
        </w:rPr>
        <w:t xml:space="preserve"> limitations </w:t>
      </w:r>
      <w:r>
        <w:rPr>
          <w:noProof/>
        </w:rPr>
        <w:t>are also real and increasing barriers for the development of data centre capacity</w:t>
      </w:r>
      <w:r w:rsidRPr="00A008C5">
        <w:rPr>
          <w:noProof/>
        </w:rPr>
        <w:t xml:space="preserve">. </w:t>
      </w:r>
      <w:r>
        <w:rPr>
          <w:noProof/>
        </w:rPr>
        <w:t>The International Energy Agency highlighted that waiting times for grid connection in key data centre hubs range from two to ten years due to capacity limits and congestion, thus slowing down project development and diverting investment to regions with available grid capacity</w:t>
      </w:r>
      <w:r>
        <w:rPr>
          <w:rStyle w:val="EndnoteReference"/>
          <w:noProof/>
        </w:rPr>
        <w:endnoteReference w:id="189"/>
      </w:r>
      <w:r>
        <w:rPr>
          <w:noProof/>
        </w:rPr>
        <w:t>.</w:t>
      </w:r>
      <w:r w:rsidR="00A67D17" w:rsidRPr="00A67D17">
        <w:rPr>
          <w:noProof/>
        </w:rPr>
        <w:t xml:space="preserve"> </w:t>
      </w:r>
      <w:r w:rsidR="00A67D17">
        <w:rPr>
          <w:noProof/>
        </w:rPr>
        <w:t>In this context, it is important to note the positive contribution which DCs – if properly leveraged – can make to grid stability, notably by offering flexibility services</w:t>
      </w:r>
      <w:r w:rsidR="00A67D17">
        <w:rPr>
          <w:rStyle w:val="FootnoteReference"/>
          <w:noProof/>
        </w:rPr>
        <w:footnoteReference w:id="119"/>
      </w:r>
      <w:r w:rsidR="00A67D17">
        <w:rPr>
          <w:noProof/>
        </w:rPr>
        <w:t>. The co-location of energy generation on a DC site can help reduce grid stress and DC investments have the potential to also boost investments in grid infrastructure.</w:t>
      </w:r>
    </w:p>
    <w:p w14:paraId="50A6AAF4" w14:textId="25E8DACF" w:rsidR="007476AB" w:rsidRPr="00D46B6E" w:rsidRDefault="007476AB" w:rsidP="007476AB">
      <w:pPr>
        <w:pStyle w:val="Heading3"/>
        <w:spacing w:before="120"/>
        <w:rPr>
          <w:rFonts w:eastAsiaTheme="minorEastAsia"/>
          <w:noProof/>
        </w:rPr>
      </w:pPr>
      <w:r>
        <w:rPr>
          <w:noProof/>
        </w:rPr>
        <w:t>Impact on water consumption</w:t>
      </w:r>
      <w:r w:rsidR="00881741">
        <w:rPr>
          <w:noProof/>
        </w:rPr>
        <w:t xml:space="preserve"> </w:t>
      </w:r>
    </w:p>
    <w:p w14:paraId="24F93FF7" w14:textId="3AE8D126" w:rsidR="007476AB" w:rsidRDefault="007476AB" w:rsidP="007476AB">
      <w:pPr>
        <w:rPr>
          <w:noProof/>
        </w:rPr>
      </w:pPr>
      <w:r>
        <w:rPr>
          <w:noProof/>
        </w:rPr>
        <w:t>Data centres</w:t>
      </w:r>
      <w:r w:rsidRPr="00C76F8A">
        <w:rPr>
          <w:noProof/>
        </w:rPr>
        <w:t xml:space="preserve"> are </w:t>
      </w:r>
      <w:r>
        <w:rPr>
          <w:noProof/>
        </w:rPr>
        <w:t xml:space="preserve">also </w:t>
      </w:r>
      <w:r w:rsidRPr="00C76F8A">
        <w:rPr>
          <w:noProof/>
        </w:rPr>
        <w:t xml:space="preserve">becoming a significant and rapidly growing source of </w:t>
      </w:r>
      <w:r w:rsidRPr="00FE09F0">
        <w:rPr>
          <w:b/>
          <w:bCs/>
          <w:noProof/>
        </w:rPr>
        <w:t>water consumption</w:t>
      </w:r>
      <w:r w:rsidRPr="00C76F8A">
        <w:rPr>
          <w:noProof/>
        </w:rPr>
        <w:t xml:space="preserve">, with implications for regional water security and climate resilience. </w:t>
      </w:r>
      <w:r w:rsidR="00AA0A2E">
        <w:rPr>
          <w:noProof/>
        </w:rPr>
        <w:t>Depe</w:t>
      </w:r>
      <w:r w:rsidR="00B7341A">
        <w:rPr>
          <w:noProof/>
        </w:rPr>
        <w:t>n</w:t>
      </w:r>
      <w:r w:rsidR="00AA0A2E">
        <w:rPr>
          <w:noProof/>
        </w:rPr>
        <w:t>ding on the</w:t>
      </w:r>
      <w:r w:rsidR="00B7341A">
        <w:rPr>
          <w:noProof/>
        </w:rPr>
        <w:t xml:space="preserve"> cooling technology used, t</w:t>
      </w:r>
      <w:r w:rsidRPr="00C76F8A">
        <w:rPr>
          <w:noProof/>
        </w:rPr>
        <w:t xml:space="preserve">heir cooling systems can require large volumes of freshwater, often millions of litres per day for hyperscale facilities, placing pressure on local supplies, especially in drought-prone or water-stressed areas. As demand for cloud services and AI model training accelerates, water use is expected to rise unless mitigated through efficiency measures, site-specific resource planning, and low-water or water-free cooling technologies. </w:t>
      </w:r>
      <w:r>
        <w:rPr>
          <w:noProof/>
        </w:rPr>
        <w:t xml:space="preserve">Estimates suggest that data centres across the EU consumed around 76 </w:t>
      </w:r>
      <w:r w:rsidR="009E12DC">
        <w:rPr>
          <w:noProof/>
        </w:rPr>
        <w:t xml:space="preserve">bn </w:t>
      </w:r>
      <w:r>
        <w:rPr>
          <w:noProof/>
        </w:rPr>
        <w:t xml:space="preserve">litres of water in 2025. At global level, the International Energy Agency estimates that water consumption by data centres amounts to approximately 560 </w:t>
      </w:r>
      <w:r w:rsidR="009E12DC">
        <w:rPr>
          <w:noProof/>
        </w:rPr>
        <w:t xml:space="preserve">bn </w:t>
      </w:r>
      <w:r>
        <w:rPr>
          <w:noProof/>
        </w:rPr>
        <w:t>litres per year</w:t>
      </w:r>
      <w:r>
        <w:rPr>
          <w:rStyle w:val="EndnoteReference"/>
          <w:noProof/>
        </w:rPr>
        <w:endnoteReference w:id="190"/>
      </w:r>
      <w:r>
        <w:rPr>
          <w:noProof/>
        </w:rPr>
        <w:t>, implying that the EU-27 accounts for around 14% of global data centre water consumption. When assessed against broader metrics related to water use, data centres represent a relatively small share of overall water pressure. Total freshwater abstraction in the EU has decreased by 19% between 2000 and 2022, corresponding to a compound annual growth rate of -0.8%, according to the European Environment Agency</w:t>
      </w:r>
      <w:r>
        <w:rPr>
          <w:rStyle w:val="EndnoteReference"/>
          <w:noProof/>
        </w:rPr>
        <w:endnoteReference w:id="191"/>
      </w:r>
      <w:r>
        <w:rPr>
          <w:noProof/>
        </w:rPr>
        <w:t xml:space="preserve">. Extrapolating this rate to 2025 suggests that, out of an estimated 192,000 </w:t>
      </w:r>
      <w:r w:rsidDel="00595486">
        <w:rPr>
          <w:noProof/>
        </w:rPr>
        <w:t>million</w:t>
      </w:r>
      <w:r w:rsidR="00595486">
        <w:rPr>
          <w:noProof/>
        </w:rPr>
        <w:t xml:space="preserve"> m</w:t>
      </w:r>
      <w:r w:rsidRPr="00EF0DC6">
        <w:rPr>
          <w:noProof/>
        </w:rPr>
        <w:t>³</w:t>
      </w:r>
      <w:r>
        <w:rPr>
          <w:noProof/>
        </w:rPr>
        <w:t xml:space="preserve"> of freshwater abstracted annually in the EU-27, data centres accounted for 0.04%, i.e. remaining well below the levels observed in international counterparts. As data centre capacity is expected to grow in the next years, overall water consumption by data centres is also foreseen to increase. However, this trend could be alleviated by an industry shift towards more sustainable and resource-efficient operations. The adoption of advanced cooling technologies and improved practices is expected to consistently reduce water intensity over time. A reduction in Water Usage Effectiveness (WUE) from current levels of 1.8 to 0.6 litres per kWh over the next decade, in line with the Climate Neutral Data Centre Pact’s target of WUE levels below 0.4 litres per kWh by 2040, and ongoing efficiency improvements by hyperscalers</w:t>
      </w:r>
      <w:r w:rsidR="005C4A4F">
        <w:rPr>
          <w:noProof/>
        </w:rPr>
        <w:t xml:space="preserve">, </w:t>
      </w:r>
      <w:r>
        <w:rPr>
          <w:noProof/>
        </w:rPr>
        <w:t xml:space="preserve">could substantially limit water demand. Under these assumptions, water consumption growth could be reduced by around 8 percentage points in CAGR, resulting in total water consumption that is approximately half of what would be observed in the absence of comparable efficiency oriented measures. </w:t>
      </w:r>
    </w:p>
    <w:p w14:paraId="09179ABC" w14:textId="48BC381F" w:rsidR="007476AB" w:rsidRDefault="007476AB" w:rsidP="007476AB">
      <w:pPr>
        <w:rPr>
          <w:noProof/>
        </w:rPr>
      </w:pPr>
      <w:r>
        <w:rPr>
          <w:noProof/>
        </w:rPr>
        <w:t xml:space="preserve">Against the sector’s continued growth, measures that incentivise resource-efficient investments, technological improvements and a balanced distribution of new data centre capacity across Member States, with particular attention to water-stressed regions, are </w:t>
      </w:r>
      <w:r w:rsidR="008676DB">
        <w:rPr>
          <w:noProof/>
        </w:rPr>
        <w:t>key</w:t>
      </w:r>
      <w:r>
        <w:rPr>
          <w:noProof/>
        </w:rPr>
        <w:t xml:space="preserve"> to reduce the environmental impact also in terms of water consumption. </w:t>
      </w:r>
      <w:r w:rsidR="000B65BC">
        <w:rPr>
          <w:noProof/>
        </w:rPr>
        <w:t xml:space="preserve">As </w:t>
      </w:r>
      <w:r w:rsidR="005C73E4">
        <w:rPr>
          <w:noProof/>
        </w:rPr>
        <w:t xml:space="preserve">noted above, </w:t>
      </w:r>
      <w:r w:rsidR="00374417">
        <w:rPr>
          <w:noProof/>
        </w:rPr>
        <w:t>overseeing</w:t>
      </w:r>
      <w:r w:rsidR="005C73E4">
        <w:rPr>
          <w:noProof/>
        </w:rPr>
        <w:t xml:space="preserve"> the water use of data centres is </w:t>
      </w:r>
      <w:r w:rsidR="00374417">
        <w:rPr>
          <w:noProof/>
        </w:rPr>
        <w:t xml:space="preserve">crucial </w:t>
      </w:r>
      <w:r w:rsidR="005C73E4">
        <w:rPr>
          <w:noProof/>
        </w:rPr>
        <w:t xml:space="preserve">not only </w:t>
      </w:r>
      <w:r w:rsidR="00374417">
        <w:rPr>
          <w:noProof/>
        </w:rPr>
        <w:t>for</w:t>
      </w:r>
      <w:r w:rsidR="000D300D">
        <w:rPr>
          <w:noProof/>
        </w:rPr>
        <w:t xml:space="preserve"> environmental </w:t>
      </w:r>
      <w:r w:rsidR="00374417">
        <w:rPr>
          <w:noProof/>
        </w:rPr>
        <w:t>sustainability</w:t>
      </w:r>
      <w:r w:rsidR="000D300D">
        <w:rPr>
          <w:noProof/>
        </w:rPr>
        <w:t xml:space="preserve"> but </w:t>
      </w:r>
      <w:r w:rsidR="00374417">
        <w:rPr>
          <w:noProof/>
        </w:rPr>
        <w:t>also for</w:t>
      </w:r>
      <w:r w:rsidR="000D300D">
        <w:rPr>
          <w:noProof/>
        </w:rPr>
        <w:t xml:space="preserve"> social equity</w:t>
      </w:r>
      <w:r w:rsidR="00374417">
        <w:rPr>
          <w:noProof/>
        </w:rPr>
        <w:t xml:space="preserve"> and economic stability</w:t>
      </w:r>
      <w:r w:rsidR="000D300D">
        <w:rPr>
          <w:noProof/>
        </w:rPr>
        <w:t>.</w:t>
      </w:r>
      <w:r w:rsidR="00374417">
        <w:rPr>
          <w:noProof/>
        </w:rPr>
        <w:t xml:space="preserve"> </w:t>
      </w:r>
      <w:r w:rsidR="0093595B">
        <w:rPr>
          <w:noProof/>
        </w:rPr>
        <w:t>Given the local nature of water systems,</w:t>
      </w:r>
      <w:r w:rsidR="008E3BB5">
        <w:rPr>
          <w:noProof/>
        </w:rPr>
        <w:t xml:space="preserve"> the increase in data centre capacity can impact water supply </w:t>
      </w:r>
      <w:r w:rsidR="000340BE">
        <w:rPr>
          <w:noProof/>
        </w:rPr>
        <w:t xml:space="preserve">reliability and influence drought resilience in specific areas. </w:t>
      </w:r>
      <w:r w:rsidRPr="00C76F8A">
        <w:rPr>
          <w:noProof/>
        </w:rPr>
        <w:t>Th</w:t>
      </w:r>
      <w:r>
        <w:rPr>
          <w:noProof/>
        </w:rPr>
        <w:t>e analysis</w:t>
      </w:r>
      <w:r w:rsidRPr="00C76F8A">
        <w:rPr>
          <w:noProof/>
        </w:rPr>
        <w:t xml:space="preserve"> </w:t>
      </w:r>
      <w:r>
        <w:rPr>
          <w:noProof/>
        </w:rPr>
        <w:t>highlights</w:t>
      </w:r>
      <w:r w:rsidRPr="00C76F8A">
        <w:rPr>
          <w:noProof/>
        </w:rPr>
        <w:t xml:space="preserve"> the need for governance mechanisms that ensure new infrastructure aligns with sustainable water management, transparent reporting, and equitable access to shared water resources.</w:t>
      </w:r>
      <w:r>
        <w:rPr>
          <w:noProof/>
        </w:rPr>
        <w:t xml:space="preserve"> </w:t>
      </w:r>
    </w:p>
    <w:p w14:paraId="0CCE84B8" w14:textId="6A58F94A" w:rsidR="0088611A" w:rsidRPr="00D46B6E" w:rsidRDefault="003D269D" w:rsidP="0088611A">
      <w:pPr>
        <w:pStyle w:val="Heading3"/>
        <w:spacing w:before="120"/>
        <w:rPr>
          <w:rFonts w:eastAsiaTheme="minorEastAsia"/>
          <w:noProof/>
        </w:rPr>
      </w:pPr>
      <w:r>
        <w:rPr>
          <w:noProof/>
        </w:rPr>
        <w:t xml:space="preserve">Other </w:t>
      </w:r>
      <w:r w:rsidR="00D309CF">
        <w:rPr>
          <w:noProof/>
        </w:rPr>
        <w:t>key metrics concerning environmental footprint</w:t>
      </w:r>
    </w:p>
    <w:p w14:paraId="6F41AA44" w14:textId="74F8A5B3" w:rsidR="003D269D" w:rsidRDefault="00A523E0" w:rsidP="003D269D">
      <w:pPr>
        <w:rPr>
          <w:noProof/>
        </w:rPr>
      </w:pPr>
      <w:r>
        <w:rPr>
          <w:noProof/>
        </w:rPr>
        <w:t>Research has shown that focusing uniquely on electricity, CO</w:t>
      </w:r>
      <w:r w:rsidRPr="00B331FF">
        <w:rPr>
          <w:noProof/>
          <w:vertAlign w:val="subscript"/>
        </w:rPr>
        <w:t>2</w:t>
      </w:r>
      <w:r>
        <w:rPr>
          <w:noProof/>
        </w:rPr>
        <w:t xml:space="preserve"> and water usage overlooks key environmental impact categories linked to building new data centre capacity, in particular as grids are expected to become more sustainable in the future. Studies have highlighted the importance of </w:t>
      </w:r>
      <w:r w:rsidR="00943D3E">
        <w:rPr>
          <w:noProof/>
        </w:rPr>
        <w:t>embodie</w:t>
      </w:r>
      <w:r w:rsidR="00916C0C">
        <w:rPr>
          <w:noProof/>
        </w:rPr>
        <w:t>d</w:t>
      </w:r>
      <w:r w:rsidR="00943D3E">
        <w:rPr>
          <w:noProof/>
        </w:rPr>
        <w:t xml:space="preserve"> impacts, i.e. environmental impacts associated with construction materials, mechanical and electrical equipment and IT hardware maintenance, which can be</w:t>
      </w:r>
      <w:r w:rsidR="00E53BF6">
        <w:rPr>
          <w:noProof/>
        </w:rPr>
        <w:t>come a</w:t>
      </w:r>
      <w:r w:rsidR="00EC43E0">
        <w:rPr>
          <w:noProof/>
        </w:rPr>
        <w:t xml:space="preserve"> relevant</w:t>
      </w:r>
      <w:r w:rsidR="00E53BF6">
        <w:rPr>
          <w:noProof/>
        </w:rPr>
        <w:t xml:space="preserve"> portion of the overall </w:t>
      </w:r>
      <w:r w:rsidR="00EC43E0">
        <w:rPr>
          <w:noProof/>
        </w:rPr>
        <w:t xml:space="preserve">data centre </w:t>
      </w:r>
      <w:r w:rsidR="00916C0C">
        <w:rPr>
          <w:noProof/>
        </w:rPr>
        <w:t>footprint over time</w:t>
      </w:r>
      <w:r w:rsidR="006717C7">
        <w:rPr>
          <w:rStyle w:val="EndnoteReference"/>
          <w:noProof/>
        </w:rPr>
        <w:endnoteReference w:id="192"/>
      </w:r>
      <w:r w:rsidR="00916C0C">
        <w:rPr>
          <w:noProof/>
        </w:rPr>
        <w:t xml:space="preserve">. </w:t>
      </w:r>
      <w:r w:rsidR="005C034D">
        <w:rPr>
          <w:noProof/>
        </w:rPr>
        <w:t>A recent p</w:t>
      </w:r>
      <w:r w:rsidR="00916C0C">
        <w:rPr>
          <w:noProof/>
        </w:rPr>
        <w:t xml:space="preserve">eer-reviewed </w:t>
      </w:r>
      <w:r w:rsidR="005C034D">
        <w:rPr>
          <w:noProof/>
        </w:rPr>
        <w:t>paper</w:t>
      </w:r>
      <w:r w:rsidR="00916C0C">
        <w:rPr>
          <w:noProof/>
        </w:rPr>
        <w:t xml:space="preserve"> similarly </w:t>
      </w:r>
      <w:r w:rsidR="005822D4">
        <w:rPr>
          <w:noProof/>
        </w:rPr>
        <w:t>highlight</w:t>
      </w:r>
      <w:r w:rsidR="005C034D">
        <w:rPr>
          <w:noProof/>
        </w:rPr>
        <w:t>s</w:t>
      </w:r>
      <w:r w:rsidR="005822D4">
        <w:rPr>
          <w:noProof/>
        </w:rPr>
        <w:t xml:space="preserve"> the need for comprehensive </w:t>
      </w:r>
      <w:r w:rsidR="005C034D">
        <w:rPr>
          <w:noProof/>
        </w:rPr>
        <w:t>life cycle assessments of cloud infrastructure to measure environmental impact</w:t>
      </w:r>
      <w:r w:rsidR="0010529E">
        <w:rPr>
          <w:rStyle w:val="EndnoteReference"/>
          <w:noProof/>
        </w:rPr>
        <w:endnoteReference w:id="193"/>
      </w:r>
      <w:r w:rsidR="005C034D">
        <w:rPr>
          <w:noProof/>
        </w:rPr>
        <w:t xml:space="preserve">. </w:t>
      </w:r>
      <w:r w:rsidR="0037335E" w:rsidRPr="0037335E">
        <w:rPr>
          <w:noProof/>
        </w:rPr>
        <w:t>Several equipment and IT hardware pieces needed in data centres, especially if in constant use, may need replacing upon reaching end-of-life. The proper collection and treatment of these waste electrical and electronic equipment (WEEE) from data centres is necessary to protect human health and the environment, in particular as regards depollution and hazardous substances, as well as the recovery of materials from recycling</w:t>
      </w:r>
      <w:r w:rsidR="00052665">
        <w:rPr>
          <w:rStyle w:val="FootnoteReference"/>
          <w:noProof/>
        </w:rPr>
        <w:footnoteReference w:id="120"/>
      </w:r>
      <w:r w:rsidR="0037335E">
        <w:rPr>
          <w:noProof/>
        </w:rPr>
        <w:t>.</w:t>
      </w:r>
    </w:p>
    <w:p w14:paraId="132C2592" w14:textId="31BA17E0" w:rsidR="00775E60" w:rsidRDefault="6178F52E" w:rsidP="00E523E3">
      <w:pPr>
        <w:rPr>
          <w:noProof/>
        </w:rPr>
      </w:pPr>
      <w:r w:rsidRPr="00502120">
        <w:rPr>
          <w:noProof/>
        </w:rPr>
        <w:t xml:space="preserve">Another environmental factor in DC development remains sustainable cooling. While powering the cooling is an integral part of overall energy consumption, using low </w:t>
      </w:r>
      <w:r w:rsidR="3C1268A4">
        <w:rPr>
          <w:noProof/>
        </w:rPr>
        <w:t xml:space="preserve">global </w:t>
      </w:r>
      <w:r w:rsidRPr="00502120">
        <w:rPr>
          <w:noProof/>
        </w:rPr>
        <w:t>warming</w:t>
      </w:r>
      <w:r>
        <w:rPr>
          <w:noProof/>
        </w:rPr>
        <w:t xml:space="preserve"> </w:t>
      </w:r>
      <w:r w:rsidR="5182800C">
        <w:rPr>
          <w:noProof/>
        </w:rPr>
        <w:t>(GWP)</w:t>
      </w:r>
      <w:r w:rsidR="32F8DC87" w:rsidRPr="00502120">
        <w:rPr>
          <w:noProof/>
        </w:rPr>
        <w:t xml:space="preserve"> </w:t>
      </w:r>
      <w:r w:rsidRPr="00502120">
        <w:rPr>
          <w:noProof/>
        </w:rPr>
        <w:t>potential refrigerants remain</w:t>
      </w:r>
      <w:r w:rsidR="2D579D1D">
        <w:rPr>
          <w:noProof/>
        </w:rPr>
        <w:t>s</w:t>
      </w:r>
      <w:r w:rsidRPr="00502120">
        <w:rPr>
          <w:noProof/>
        </w:rPr>
        <w:t xml:space="preserve"> </w:t>
      </w:r>
      <w:r w:rsidR="2D579D1D">
        <w:rPr>
          <w:noProof/>
        </w:rPr>
        <w:t>important</w:t>
      </w:r>
      <w:r w:rsidRPr="00502120">
        <w:rPr>
          <w:noProof/>
        </w:rPr>
        <w:t xml:space="preserve">. </w:t>
      </w:r>
      <w:r w:rsidR="5A4409A6">
        <w:rPr>
          <w:noProof/>
        </w:rPr>
        <w:t xml:space="preserve">Refrigerants used in cooling systems </w:t>
      </w:r>
      <w:r w:rsidR="043058C5">
        <w:rPr>
          <w:noProof/>
        </w:rPr>
        <w:t>can</w:t>
      </w:r>
      <w:r w:rsidR="5A4409A6">
        <w:rPr>
          <w:noProof/>
        </w:rPr>
        <w:t xml:space="preserve"> pose significant climate challenges due to leaks of high-</w:t>
      </w:r>
      <w:r w:rsidR="65583262">
        <w:rPr>
          <w:noProof/>
        </w:rPr>
        <w:t>global warming potential</w:t>
      </w:r>
      <w:r w:rsidR="5A4409A6">
        <w:rPr>
          <w:noProof/>
        </w:rPr>
        <w:t xml:space="preserve"> fluorinated gases</w:t>
      </w:r>
      <w:r w:rsidR="65583262">
        <w:rPr>
          <w:noProof/>
        </w:rPr>
        <w:t xml:space="preserve"> (F-gases)</w:t>
      </w:r>
      <w:r w:rsidR="5A4409A6">
        <w:rPr>
          <w:noProof/>
        </w:rPr>
        <w:t>. The European Environment Agency outlines why fluorinated greenhouse gases are a key focus for mitigation and tracks EU actions in this area</w:t>
      </w:r>
      <w:r w:rsidR="00F94A1B">
        <w:rPr>
          <w:rStyle w:val="FootnoteReference"/>
          <w:noProof/>
        </w:rPr>
        <w:footnoteReference w:id="121"/>
      </w:r>
      <w:r w:rsidR="5A4409A6">
        <w:rPr>
          <w:noProof/>
        </w:rPr>
        <w:t xml:space="preserve">. Moreover, at EU level, </w:t>
      </w:r>
      <w:r w:rsidR="50468C0A">
        <w:rPr>
          <w:noProof/>
        </w:rPr>
        <w:t>the</w:t>
      </w:r>
      <w:r w:rsidR="3DA4361F">
        <w:rPr>
          <w:noProof/>
        </w:rPr>
        <w:t xml:space="preserve"> </w:t>
      </w:r>
      <w:r w:rsidR="0B60BB31">
        <w:rPr>
          <w:noProof/>
        </w:rPr>
        <w:t>recast</w:t>
      </w:r>
      <w:r w:rsidR="50468C0A">
        <w:rPr>
          <w:noProof/>
        </w:rPr>
        <w:t xml:space="preserve"> </w:t>
      </w:r>
      <w:r w:rsidRPr="00502120">
        <w:rPr>
          <w:noProof/>
        </w:rPr>
        <w:t>F-gas regulation</w:t>
      </w:r>
      <w:r w:rsidRPr="00502120" w:rsidDel="00B51256">
        <w:rPr>
          <w:noProof/>
        </w:rPr>
        <w:t xml:space="preserve"> </w:t>
      </w:r>
      <w:r w:rsidR="6BB5041F">
        <w:rPr>
          <w:noProof/>
        </w:rPr>
        <w:t>combined with the</w:t>
      </w:r>
      <w:r w:rsidRPr="00502120">
        <w:rPr>
          <w:noProof/>
        </w:rPr>
        <w:t xml:space="preserve"> ICT Taxonomy provide guidance on the types of sustainable refrigerants to be used for cooling EU DCs</w:t>
      </w:r>
      <w:r w:rsidR="00502120">
        <w:rPr>
          <w:rStyle w:val="FootnoteReference"/>
          <w:noProof/>
        </w:rPr>
        <w:footnoteReference w:id="122"/>
      </w:r>
      <w:r w:rsidRPr="00502120">
        <w:rPr>
          <w:noProof/>
        </w:rPr>
        <w:t xml:space="preserve">. </w:t>
      </w:r>
    </w:p>
    <w:p w14:paraId="1DBEE6EB" w14:textId="16E458C8" w:rsidR="006E3430" w:rsidRPr="00265216" w:rsidRDefault="006E3430" w:rsidP="00E523E3">
      <w:pPr>
        <w:rPr>
          <w:noProof/>
          <w:lang w:val="en-IE"/>
        </w:rPr>
      </w:pPr>
      <w:r w:rsidRPr="006E3430">
        <w:rPr>
          <w:noProof/>
          <w:lang w:val="en-IE"/>
        </w:rPr>
        <w:t>Lastly, environmental assessments and Scope-3 frameworks</w:t>
      </w:r>
      <w:r w:rsidR="00EC5012">
        <w:rPr>
          <w:rStyle w:val="EndnoteReference"/>
          <w:noProof/>
          <w:lang w:val="en-IE"/>
        </w:rPr>
        <w:endnoteReference w:id="194"/>
      </w:r>
      <w:r w:rsidRPr="006E3430">
        <w:rPr>
          <w:noProof/>
          <w:lang w:val="en-IE"/>
        </w:rPr>
        <w:t xml:space="preserve"> </w:t>
      </w:r>
      <w:r w:rsidR="00DC6087">
        <w:rPr>
          <w:noProof/>
          <w:lang w:val="en-IE"/>
        </w:rPr>
        <w:t>bring attention to</w:t>
      </w:r>
      <w:r w:rsidRPr="006E3430">
        <w:rPr>
          <w:noProof/>
          <w:lang w:val="en-IE"/>
        </w:rPr>
        <w:t xml:space="preserve"> other </w:t>
      </w:r>
      <w:r w:rsidR="002241CE">
        <w:rPr>
          <w:noProof/>
          <w:lang w:val="en-IE"/>
        </w:rPr>
        <w:t>impactful areas, e.g.</w:t>
      </w:r>
      <w:r w:rsidRPr="006E3430">
        <w:rPr>
          <w:noProof/>
          <w:lang w:val="en-IE"/>
        </w:rPr>
        <w:t xml:space="preserve"> supply-chain emissions and waste </w:t>
      </w:r>
      <w:r w:rsidR="0050443D">
        <w:rPr>
          <w:noProof/>
          <w:lang w:val="en-IE"/>
        </w:rPr>
        <w:t>fr</w:t>
      </w:r>
      <w:r w:rsidRPr="006E3430">
        <w:rPr>
          <w:noProof/>
          <w:lang w:val="en-IE"/>
        </w:rPr>
        <w:t xml:space="preserve">om equipment and infrastructure (Scope 3), </w:t>
      </w:r>
      <w:r w:rsidR="0050443D">
        <w:rPr>
          <w:noProof/>
          <w:lang w:val="en-IE"/>
        </w:rPr>
        <w:t>emphasising the need</w:t>
      </w:r>
      <w:r w:rsidR="002F2940">
        <w:rPr>
          <w:noProof/>
          <w:lang w:val="en-IE"/>
        </w:rPr>
        <w:t xml:space="preserve"> to consider other parameters beyond electricity usage for accurately monitoring the environmental footprint of data centres in the future</w:t>
      </w:r>
      <w:r w:rsidRPr="006E3430">
        <w:rPr>
          <w:noProof/>
          <w:lang w:val="en-IE"/>
        </w:rPr>
        <w:t>.</w:t>
      </w:r>
    </w:p>
    <w:p w14:paraId="52F826AF" w14:textId="441DE839" w:rsidR="006B087E" w:rsidRDefault="006B087E" w:rsidP="000E3086">
      <w:pPr>
        <w:pStyle w:val="Heading1"/>
        <w:rPr>
          <w:noProof/>
        </w:rPr>
      </w:pPr>
      <w:bookmarkStart w:id="65" w:name="_Toc230792743"/>
      <w:r w:rsidRPr="00F92EAE">
        <w:rPr>
          <w:noProof/>
        </w:rPr>
        <w:t>How do the options compare?</w:t>
      </w:r>
      <w:bookmarkEnd w:id="65"/>
    </w:p>
    <w:p w14:paraId="24475CE6" w14:textId="6C8A9E62" w:rsidR="00A40624" w:rsidRPr="00A40624" w:rsidRDefault="002977BA" w:rsidP="00A76893">
      <w:pPr>
        <w:pStyle w:val="Text1"/>
        <w:ind w:left="0"/>
        <w:rPr>
          <w:noProof/>
        </w:rPr>
      </w:pPr>
      <w:r>
        <w:rPr>
          <w:noProof/>
        </w:rPr>
        <w:t xml:space="preserve">This chapter evaluates the policy options in terms of their effectiveness, efficiency, coherence, subsidiarity and proportionality. It brings together the results of the preceding impact analysis to examine how each option performs against these criteria and highlight their relative strengths and </w:t>
      </w:r>
      <w:r w:rsidR="000E1882">
        <w:rPr>
          <w:noProof/>
        </w:rPr>
        <w:t>weaknesses</w:t>
      </w:r>
      <w:r>
        <w:rPr>
          <w:noProof/>
        </w:rPr>
        <w:t>.</w:t>
      </w:r>
      <w:r w:rsidR="00EA5B68">
        <w:rPr>
          <w:noProof/>
        </w:rPr>
        <w:t xml:space="preserve"> It then presents</w:t>
      </w:r>
      <w:r w:rsidR="00A05C7E">
        <w:rPr>
          <w:noProof/>
        </w:rPr>
        <w:t xml:space="preserve"> the results of the sensitivity analysis conducted, using best</w:t>
      </w:r>
      <w:r w:rsidR="53B4DC5F">
        <w:rPr>
          <w:noProof/>
        </w:rPr>
        <w:t>-</w:t>
      </w:r>
      <w:r w:rsidR="00A05C7E">
        <w:rPr>
          <w:noProof/>
        </w:rPr>
        <w:t xml:space="preserve"> and worst</w:t>
      </w:r>
      <w:r w:rsidR="29B6509B">
        <w:rPr>
          <w:noProof/>
        </w:rPr>
        <w:t>-</w:t>
      </w:r>
      <w:r w:rsidR="00A05C7E">
        <w:rPr>
          <w:noProof/>
        </w:rPr>
        <w:t xml:space="preserve">case scenarios to derive confidence intervals for testing the robustness of the cost-benefit results under varying assumptions. </w:t>
      </w:r>
      <w:r w:rsidR="003F271D">
        <w:rPr>
          <w:noProof/>
        </w:rPr>
        <w:t>The final section then focu</w:t>
      </w:r>
      <w:r w:rsidR="00BE39D4">
        <w:rPr>
          <w:noProof/>
        </w:rPr>
        <w:t>ses on the comparison of the options, presenting their</w:t>
      </w:r>
      <w:r w:rsidR="006E5E95">
        <w:rPr>
          <w:noProof/>
        </w:rPr>
        <w:t xml:space="preserve"> overall</w:t>
      </w:r>
      <w:r w:rsidR="00BE39D4">
        <w:rPr>
          <w:noProof/>
        </w:rPr>
        <w:t xml:space="preserve"> performance across</w:t>
      </w:r>
      <w:r w:rsidR="006E5E95">
        <w:rPr>
          <w:noProof/>
        </w:rPr>
        <w:t xml:space="preserve"> the</w:t>
      </w:r>
      <w:r w:rsidR="00BE39D4">
        <w:rPr>
          <w:noProof/>
        </w:rPr>
        <w:t xml:space="preserve"> different criteria</w:t>
      </w:r>
      <w:r w:rsidR="006E5E95">
        <w:rPr>
          <w:noProof/>
        </w:rPr>
        <w:t>.</w:t>
      </w:r>
    </w:p>
    <w:p w14:paraId="43F5390A" w14:textId="77777777" w:rsidR="00E61374" w:rsidRDefault="00E61374" w:rsidP="006B5183">
      <w:pPr>
        <w:pStyle w:val="Heading2"/>
        <w:rPr>
          <w:noProof/>
        </w:rPr>
      </w:pPr>
      <w:bookmarkStart w:id="66" w:name="_Toc216129277"/>
      <w:bookmarkStart w:id="67" w:name="_Toc230792744"/>
      <w:r w:rsidRPr="00D37004">
        <w:rPr>
          <w:noProof/>
        </w:rPr>
        <w:t>Effectiveness</w:t>
      </w:r>
      <w:bookmarkEnd w:id="66"/>
      <w:bookmarkEnd w:id="67"/>
    </w:p>
    <w:p w14:paraId="672FA378" w14:textId="77A0654C" w:rsidR="009A2BC9" w:rsidRDefault="00B11498" w:rsidP="00977E6D">
      <w:pPr>
        <w:pStyle w:val="Text2"/>
        <w:ind w:left="0"/>
        <w:rPr>
          <w:noProof/>
        </w:rPr>
      </w:pPr>
      <w:r>
        <w:rPr>
          <w:noProof/>
        </w:rPr>
        <w:t>The analysis of effectiveness examine</w:t>
      </w:r>
      <w:r w:rsidR="001D4B73">
        <w:rPr>
          <w:noProof/>
        </w:rPr>
        <w:t>s</w:t>
      </w:r>
      <w:r>
        <w:rPr>
          <w:noProof/>
        </w:rPr>
        <w:t xml:space="preserve"> the extent to which the policy options under consideration are expected to contribute to the achievement of the</w:t>
      </w:r>
      <w:r w:rsidR="00E310B0">
        <w:rPr>
          <w:noProof/>
        </w:rPr>
        <w:t xml:space="preserve"> general and </w:t>
      </w:r>
      <w:r>
        <w:rPr>
          <w:noProof/>
        </w:rPr>
        <w:t>specific objectives</w:t>
      </w:r>
      <w:r w:rsidR="002E660C">
        <w:rPr>
          <w:noProof/>
        </w:rPr>
        <w:t xml:space="preserve"> </w:t>
      </w:r>
      <w:r w:rsidR="00E310B0">
        <w:rPr>
          <w:noProof/>
        </w:rPr>
        <w:t xml:space="preserve">of this </w:t>
      </w:r>
      <w:r w:rsidR="00237475">
        <w:rPr>
          <w:noProof/>
        </w:rPr>
        <w:t>initiative</w:t>
      </w:r>
      <w:r>
        <w:rPr>
          <w:noProof/>
        </w:rPr>
        <w:t>. As out</w:t>
      </w:r>
      <w:r w:rsidR="00645437">
        <w:rPr>
          <w:noProof/>
        </w:rPr>
        <w:t>lined in section 5.2., the first set of option</w:t>
      </w:r>
      <w:r w:rsidR="00833E9F">
        <w:rPr>
          <w:noProof/>
        </w:rPr>
        <w:t>s</w:t>
      </w:r>
      <w:r w:rsidR="00645437">
        <w:rPr>
          <w:noProof/>
        </w:rPr>
        <w:t xml:space="preserve"> primarily addresses SO1 and SO2</w:t>
      </w:r>
      <w:r w:rsidR="00BC4259">
        <w:rPr>
          <w:noProof/>
        </w:rPr>
        <w:t xml:space="preserve">, while the second set </w:t>
      </w:r>
      <w:r w:rsidR="00D54539">
        <w:rPr>
          <w:noProof/>
        </w:rPr>
        <w:t xml:space="preserve">has been designed to better address </w:t>
      </w:r>
      <w:r w:rsidR="00BC4259">
        <w:rPr>
          <w:noProof/>
        </w:rPr>
        <w:t>SO</w:t>
      </w:r>
      <w:r w:rsidR="00D54539">
        <w:rPr>
          <w:noProof/>
        </w:rPr>
        <w:t xml:space="preserve">3 and SO4. </w:t>
      </w:r>
      <w:r w:rsidR="00157624">
        <w:rPr>
          <w:noProof/>
        </w:rPr>
        <w:t>The table below</w:t>
      </w:r>
      <w:r w:rsidR="00157624" w:rsidRPr="00157624">
        <w:rPr>
          <w:noProof/>
        </w:rPr>
        <w:t xml:space="preserve"> illustrates the relationship between the policy objectives and the assessment criteria, which served as </w:t>
      </w:r>
      <w:r w:rsidR="00676B24">
        <w:rPr>
          <w:noProof/>
        </w:rPr>
        <w:t>initial</w:t>
      </w:r>
      <w:r w:rsidR="00676B24" w:rsidRPr="00157624">
        <w:rPr>
          <w:noProof/>
        </w:rPr>
        <w:t xml:space="preserve"> </w:t>
      </w:r>
      <w:r w:rsidR="00157624" w:rsidRPr="00157624">
        <w:rPr>
          <w:noProof/>
        </w:rPr>
        <w:t xml:space="preserve">benchmarks for evaluating the potential effectiveness of the options. </w:t>
      </w:r>
    </w:p>
    <w:p w14:paraId="6BF35483" w14:textId="15624E82" w:rsidR="00DF1ECC" w:rsidRPr="00DF1ECC" w:rsidRDefault="00157624" w:rsidP="00915BAF">
      <w:pPr>
        <w:pStyle w:val="Text2"/>
        <w:ind w:left="0"/>
        <w:rPr>
          <w:noProof/>
        </w:rPr>
      </w:pPr>
      <w:r w:rsidRPr="00157624">
        <w:rPr>
          <w:noProof/>
        </w:rPr>
        <w:t xml:space="preserve">The assessment draws primarily on evidence gathered through literature review and desk research, complemented by interviews, </w:t>
      </w:r>
      <w:r>
        <w:rPr>
          <w:noProof/>
        </w:rPr>
        <w:t>the</w:t>
      </w:r>
      <w:r w:rsidRPr="00157624">
        <w:rPr>
          <w:noProof/>
        </w:rPr>
        <w:t xml:space="preserve"> CATI survey, and validation workshops.</w:t>
      </w:r>
      <w:r>
        <w:rPr>
          <w:noProof/>
        </w:rPr>
        <w:t xml:space="preserve"> </w:t>
      </w:r>
      <w:r w:rsidR="00862E55" w:rsidRPr="00862E55">
        <w:rPr>
          <w:noProof/>
        </w:rPr>
        <w:t>While this section presents the analysis</w:t>
      </w:r>
      <w:r w:rsidR="003542CA">
        <w:rPr>
          <w:noProof/>
        </w:rPr>
        <w:t xml:space="preserve"> mostly</w:t>
      </w:r>
      <w:r w:rsidR="00862E55" w:rsidRPr="00862E55">
        <w:rPr>
          <w:noProof/>
        </w:rPr>
        <w:t xml:space="preserve"> in qualitative terms, the same evidence base</w:t>
      </w:r>
      <w:r w:rsidR="00862E55">
        <w:rPr>
          <w:noProof/>
        </w:rPr>
        <w:t xml:space="preserve">, </w:t>
      </w:r>
      <w:r w:rsidR="00862E55" w:rsidRPr="00862E55">
        <w:rPr>
          <w:noProof/>
        </w:rPr>
        <w:t>including survey results</w:t>
      </w:r>
      <w:r w:rsidR="00862E55">
        <w:rPr>
          <w:noProof/>
        </w:rPr>
        <w:t xml:space="preserve">, </w:t>
      </w:r>
      <w:r w:rsidR="00C255BC">
        <w:rPr>
          <w:noProof/>
        </w:rPr>
        <w:t>was</w:t>
      </w:r>
      <w:r w:rsidR="00862E55" w:rsidRPr="00862E55">
        <w:rPr>
          <w:noProof/>
        </w:rPr>
        <w:t xml:space="preserve"> integrated into a multi-criteria decision analysis</w:t>
      </w:r>
      <w:r w:rsidR="00426A52">
        <w:rPr>
          <w:noProof/>
        </w:rPr>
        <w:t xml:space="preserve"> (see </w:t>
      </w:r>
      <w:r w:rsidR="003542CA">
        <w:rPr>
          <w:noProof/>
        </w:rPr>
        <w:t>A</w:t>
      </w:r>
      <w:r w:rsidR="00426A52">
        <w:rPr>
          <w:noProof/>
        </w:rPr>
        <w:t>nnex 4</w:t>
      </w:r>
      <w:r w:rsidR="003542CA">
        <w:rPr>
          <w:noProof/>
        </w:rPr>
        <w:t>,</w:t>
      </w:r>
      <w:r w:rsidR="00426A52">
        <w:rPr>
          <w:noProof/>
        </w:rPr>
        <w:t xml:space="preserve"> </w:t>
      </w:r>
      <w:r w:rsidR="00426A52" w:rsidRPr="002C25D1">
        <w:rPr>
          <w:noProof/>
        </w:rPr>
        <w:t xml:space="preserve">section </w:t>
      </w:r>
      <w:r w:rsidR="00CA33E2" w:rsidRPr="002C25D1">
        <w:rPr>
          <w:noProof/>
        </w:rPr>
        <w:t>6</w:t>
      </w:r>
      <w:r w:rsidR="00CA33E2">
        <w:rPr>
          <w:noProof/>
        </w:rPr>
        <w:t>)</w:t>
      </w:r>
      <w:r w:rsidR="00C255BC">
        <w:rPr>
          <w:noProof/>
        </w:rPr>
        <w:t xml:space="preserve"> </w:t>
      </w:r>
      <w:r w:rsidR="003542CA">
        <w:rPr>
          <w:noProof/>
        </w:rPr>
        <w:t>to evaluate the</w:t>
      </w:r>
      <w:r w:rsidR="003542CA" w:rsidRPr="00862E55">
        <w:rPr>
          <w:noProof/>
        </w:rPr>
        <w:t xml:space="preserve"> </w:t>
      </w:r>
      <w:r w:rsidR="00862E55" w:rsidRPr="00862E55">
        <w:rPr>
          <w:noProof/>
        </w:rPr>
        <w:t xml:space="preserve">effectiveness </w:t>
      </w:r>
      <w:r w:rsidR="00862E55" w:rsidRPr="00862E55" w:rsidDel="003542CA">
        <w:rPr>
          <w:noProof/>
        </w:rPr>
        <w:t xml:space="preserve">of </w:t>
      </w:r>
      <w:r w:rsidR="00FB336D" w:rsidDel="003542CA">
        <w:rPr>
          <w:noProof/>
        </w:rPr>
        <w:t>the</w:t>
      </w:r>
      <w:r w:rsidR="003542CA">
        <w:rPr>
          <w:noProof/>
        </w:rPr>
        <w:t xml:space="preserve"> proposed measures, alongside other assessment criteria</w:t>
      </w:r>
      <w:r w:rsidR="00862E55" w:rsidRPr="00862E55">
        <w:rPr>
          <w:noProof/>
        </w:rPr>
        <w:t>.</w:t>
      </w:r>
    </w:p>
    <w:p w14:paraId="319A0EFF" w14:textId="1D2B16FF" w:rsidR="00E61374" w:rsidRPr="00D37004" w:rsidRDefault="00E61374" w:rsidP="00750B44">
      <w:pPr>
        <w:pStyle w:val="Caption"/>
        <w:spacing w:before="0"/>
        <w:rPr>
          <w:noProof/>
        </w:rPr>
      </w:pPr>
      <w:bookmarkStart w:id="68" w:name="_Ref207968940"/>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11</w:t>
      </w:r>
      <w:r w:rsidRPr="00D37004">
        <w:rPr>
          <w:noProof/>
        </w:rPr>
        <w:fldChar w:fldCharType="end"/>
      </w:r>
      <w:bookmarkEnd w:id="68"/>
      <w:r w:rsidRPr="00D37004">
        <w:rPr>
          <w:noProof/>
        </w:rPr>
        <w:t>. Links between objectives and assessment criteria</w:t>
      </w:r>
    </w:p>
    <w:tbl>
      <w:tblPr>
        <w:tblStyle w:val="GridTable5Dark-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2687"/>
        <w:gridCol w:w="5210"/>
      </w:tblGrid>
      <w:tr w:rsidR="00E61374" w:rsidRPr="00950FBD" w14:paraId="2CF2B211" w14:textId="77777777" w:rsidTr="007974A0">
        <w:trPr>
          <w:cnfStyle w:val="100000000000" w:firstRow="1" w:lastRow="0" w:firstColumn="0" w:lastColumn="0" w:oddVBand="0" w:evenVBand="0" w:oddHBand="0" w:evenHBand="0" w:firstRowFirstColumn="0" w:firstRowLastColumn="0" w:lastRowFirstColumn="0" w:lastRowLastColumn="0"/>
          <w:trHeight w:val="357"/>
          <w:tblHeader/>
        </w:trPr>
        <w:tc>
          <w:tcPr>
            <w:cnfStyle w:val="001000000000" w:firstRow="0" w:lastRow="0" w:firstColumn="1" w:lastColumn="0" w:oddVBand="0" w:evenVBand="0" w:oddHBand="0" w:evenHBand="0" w:firstRowFirstColumn="0" w:firstRowLastColumn="0" w:lastRowFirstColumn="0" w:lastRowLastColumn="0"/>
            <w:tcW w:w="935" w:type="pct"/>
            <w:tcBorders>
              <w:top w:val="single" w:sz="4" w:space="0" w:color="auto"/>
              <w:left w:val="single" w:sz="4" w:space="0" w:color="auto"/>
              <w:bottom w:val="single" w:sz="4" w:space="0" w:color="auto"/>
            </w:tcBorders>
            <w:shd w:val="clear" w:color="auto" w:fill="0070C0"/>
            <w:vAlign w:val="center"/>
          </w:tcPr>
          <w:p w14:paraId="7E3E28B8" w14:textId="77777777" w:rsidR="00E61374" w:rsidRPr="00950FBD" w:rsidRDefault="00E61374">
            <w:pPr>
              <w:rPr>
                <w:noProof/>
                <w:sz w:val="20"/>
                <w:szCs w:val="20"/>
              </w:rPr>
            </w:pPr>
            <w:r w:rsidRPr="00950FBD">
              <w:rPr>
                <w:noProof/>
                <w:sz w:val="20"/>
                <w:szCs w:val="20"/>
              </w:rPr>
              <w:t>General objective</w:t>
            </w:r>
          </w:p>
        </w:tc>
        <w:tc>
          <w:tcPr>
            <w:tcW w:w="1383" w:type="pct"/>
            <w:tcBorders>
              <w:top w:val="single" w:sz="4" w:space="0" w:color="auto"/>
            </w:tcBorders>
            <w:shd w:val="clear" w:color="auto" w:fill="0070C0"/>
            <w:vAlign w:val="center"/>
          </w:tcPr>
          <w:p w14:paraId="31AD241D" w14:textId="77777777" w:rsidR="00E61374" w:rsidRPr="00950FBD" w:rsidRDefault="00E61374">
            <w:pPr>
              <w:cnfStyle w:val="100000000000" w:firstRow="1"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Specific objectives</w:t>
            </w:r>
          </w:p>
        </w:tc>
        <w:tc>
          <w:tcPr>
            <w:tcW w:w="2682" w:type="pct"/>
            <w:tcBorders>
              <w:top w:val="single" w:sz="4" w:space="0" w:color="auto"/>
              <w:right w:val="single" w:sz="4" w:space="0" w:color="auto"/>
            </w:tcBorders>
            <w:shd w:val="clear" w:color="auto" w:fill="0070C0"/>
            <w:vAlign w:val="center"/>
          </w:tcPr>
          <w:p w14:paraId="5A4F3D62" w14:textId="6623F0A6" w:rsidR="00E61374" w:rsidRPr="00950FBD" w:rsidRDefault="00E61374">
            <w:pPr>
              <w:cnfStyle w:val="100000000000" w:firstRow="1"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Assessment criteria</w:t>
            </w:r>
          </w:p>
        </w:tc>
      </w:tr>
      <w:tr w:rsidR="00E61374" w:rsidRPr="00950FBD" w14:paraId="0815EE8D" w14:textId="77777777" w:rsidTr="007974A0">
        <w:tc>
          <w:tcPr>
            <w:cnfStyle w:val="001000000000" w:firstRow="0" w:lastRow="0" w:firstColumn="1" w:lastColumn="0" w:oddVBand="0" w:evenVBand="0" w:oddHBand="0" w:evenHBand="0" w:firstRowFirstColumn="0" w:firstRowLastColumn="0" w:lastRowFirstColumn="0" w:lastRowLastColumn="0"/>
            <w:tcW w:w="935" w:type="pct"/>
            <w:vMerge w:val="restart"/>
            <w:tcBorders>
              <w:left w:val="single" w:sz="4" w:space="0" w:color="auto"/>
            </w:tcBorders>
            <w:shd w:val="clear" w:color="auto" w:fill="FFFFFF" w:themeFill="background1"/>
            <w:vAlign w:val="center"/>
          </w:tcPr>
          <w:p w14:paraId="75A60B5E" w14:textId="0D789BDD" w:rsidR="00E61374" w:rsidRPr="00950FBD" w:rsidRDefault="00AA29B9" w:rsidP="00AA29B9">
            <w:pPr>
              <w:jc w:val="left"/>
              <w:rPr>
                <w:noProof/>
                <w:color w:val="auto"/>
                <w:sz w:val="20"/>
                <w:szCs w:val="20"/>
              </w:rPr>
            </w:pPr>
            <w:r>
              <w:rPr>
                <w:noProof/>
                <w:color w:val="auto"/>
                <w:sz w:val="20"/>
                <w:szCs w:val="20"/>
              </w:rPr>
              <w:t>E</w:t>
            </w:r>
            <w:r w:rsidRPr="00AA29B9">
              <w:rPr>
                <w:noProof/>
                <w:color w:val="auto"/>
                <w:sz w:val="20"/>
                <w:szCs w:val="20"/>
              </w:rPr>
              <w:t>nsure the functioning of the internal market for cloud and AI computing services and secure the conditions necessary for the competitiveness of the Union’s industry and the resilience of its public sector as users of such services</w:t>
            </w:r>
          </w:p>
        </w:tc>
        <w:tc>
          <w:tcPr>
            <w:tcW w:w="1383" w:type="pct"/>
            <w:shd w:val="clear" w:color="auto" w:fill="FFFFFF" w:themeFill="background1"/>
            <w:vAlign w:val="center"/>
          </w:tcPr>
          <w:p w14:paraId="7E0F0324" w14:textId="3A15CAD5" w:rsidR="00E61374" w:rsidRPr="00950FBD" w:rsidRDefault="00E61374" w:rsidP="007001EF">
            <w:pPr>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b/>
                <w:noProof/>
                <w:sz w:val="20"/>
                <w:szCs w:val="20"/>
              </w:rPr>
              <w:t>SO1</w:t>
            </w:r>
            <w:r w:rsidRPr="00950FBD">
              <w:rPr>
                <w:noProof/>
                <w:sz w:val="20"/>
                <w:szCs w:val="20"/>
              </w:rPr>
              <w:t xml:space="preserve"> </w:t>
            </w:r>
            <w:r w:rsidR="007001EF" w:rsidRPr="00950FBD">
              <w:rPr>
                <w:noProof/>
                <w:sz w:val="20"/>
                <w:szCs w:val="20"/>
              </w:rPr>
              <w:t>–</w:t>
            </w:r>
            <w:r w:rsidR="007001EF">
              <w:rPr>
                <w:noProof/>
                <w:sz w:val="20"/>
                <w:szCs w:val="20"/>
              </w:rPr>
              <w:t xml:space="preserve"> </w:t>
            </w:r>
            <w:r w:rsidRPr="00950FBD">
              <w:rPr>
                <w:noProof/>
                <w:sz w:val="20"/>
                <w:szCs w:val="20"/>
              </w:rPr>
              <w:t xml:space="preserve">Increase computing capacity in the EU through innovative and sustainable technologies </w:t>
            </w:r>
          </w:p>
        </w:tc>
        <w:tc>
          <w:tcPr>
            <w:tcW w:w="2682" w:type="pct"/>
            <w:shd w:val="clear" w:color="auto" w:fill="FFFFFF" w:themeFill="background1"/>
            <w:vAlign w:val="center"/>
          </w:tcPr>
          <w:p w14:paraId="20F86ECC" w14:textId="30AF9808" w:rsidR="00E61374" w:rsidRPr="00950FBD" w:rsidRDefault="00E6137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Expected increase in EU installed computing capacity (</w:t>
            </w:r>
            <w:r w:rsidR="00500BAF">
              <w:rPr>
                <w:noProof/>
                <w:sz w:val="20"/>
                <w:szCs w:val="20"/>
              </w:rPr>
              <w:t>M</w:t>
            </w:r>
            <w:r w:rsidRPr="00950FBD">
              <w:rPr>
                <w:noProof/>
                <w:sz w:val="20"/>
                <w:szCs w:val="20"/>
              </w:rPr>
              <w:t>W)</w:t>
            </w:r>
          </w:p>
          <w:p w14:paraId="3CE88B89" w14:textId="77777777" w:rsidR="00E61374" w:rsidRDefault="00E6137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1A218A">
              <w:rPr>
                <w:noProof/>
                <w:sz w:val="20"/>
                <w:szCs w:val="20"/>
              </w:rPr>
              <w:t>Expected improved PUE of new data centres</w:t>
            </w:r>
          </w:p>
          <w:p w14:paraId="44E7B4F5" w14:textId="2B3704B5" w:rsidR="008F1A36" w:rsidRPr="001C115E" w:rsidRDefault="008F1A36" w:rsidP="00A63B7C">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Increase in the number of pilots launched and innovative technologies, e.g. immersion cooling for energy efficiency, </w:t>
            </w:r>
            <w:r w:rsidR="00A63B7C">
              <w:rPr>
                <w:noProof/>
                <w:sz w:val="20"/>
                <w:szCs w:val="20"/>
              </w:rPr>
              <w:t xml:space="preserve">adopted in new </w:t>
            </w:r>
            <w:r w:rsidR="00BD4CAC">
              <w:rPr>
                <w:noProof/>
                <w:sz w:val="20"/>
                <w:szCs w:val="20"/>
              </w:rPr>
              <w:t xml:space="preserve">data centre </w:t>
            </w:r>
            <w:r w:rsidR="00A63B7C">
              <w:rPr>
                <w:noProof/>
                <w:sz w:val="20"/>
                <w:szCs w:val="20"/>
              </w:rPr>
              <w:t>projects</w:t>
            </w:r>
            <w:r>
              <w:rPr>
                <w:noProof/>
                <w:sz w:val="20"/>
                <w:szCs w:val="20"/>
              </w:rPr>
              <w:t xml:space="preserve">. </w:t>
            </w:r>
          </w:p>
        </w:tc>
      </w:tr>
      <w:tr w:rsidR="00E61374" w:rsidRPr="00950FBD" w14:paraId="29FD700C" w14:textId="77777777" w:rsidTr="007974A0">
        <w:tc>
          <w:tcPr>
            <w:cnfStyle w:val="001000000000" w:firstRow="0" w:lastRow="0" w:firstColumn="1" w:lastColumn="0" w:oddVBand="0" w:evenVBand="0" w:oddHBand="0" w:evenHBand="0" w:firstRowFirstColumn="0" w:firstRowLastColumn="0" w:lastRowFirstColumn="0" w:lastRowLastColumn="0"/>
            <w:tcW w:w="935" w:type="pct"/>
            <w:vMerge/>
            <w:vAlign w:val="center"/>
          </w:tcPr>
          <w:p w14:paraId="4C6D5F01" w14:textId="77777777" w:rsidR="00E61374" w:rsidRPr="00950FBD" w:rsidRDefault="00E61374">
            <w:pPr>
              <w:rPr>
                <w:noProof/>
                <w:sz w:val="20"/>
                <w:szCs w:val="20"/>
              </w:rPr>
            </w:pPr>
          </w:p>
        </w:tc>
        <w:tc>
          <w:tcPr>
            <w:tcW w:w="1383" w:type="pct"/>
            <w:shd w:val="clear" w:color="auto" w:fill="FFFFFF" w:themeFill="background1"/>
            <w:vAlign w:val="center"/>
          </w:tcPr>
          <w:p w14:paraId="1AE283A8" w14:textId="7E494B85" w:rsidR="00E61374" w:rsidRPr="00950FBD" w:rsidRDefault="00E61374" w:rsidP="007001EF">
            <w:pPr>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b/>
                <w:noProof/>
                <w:sz w:val="20"/>
                <w:szCs w:val="20"/>
              </w:rPr>
              <w:t>SO2</w:t>
            </w:r>
            <w:r w:rsidRPr="00950FBD">
              <w:rPr>
                <w:noProof/>
                <w:sz w:val="20"/>
                <w:szCs w:val="20"/>
              </w:rPr>
              <w:t xml:space="preserve"> – </w:t>
            </w:r>
            <w:r w:rsidR="001E16B3" w:rsidRPr="001E16B3">
              <w:rPr>
                <w:noProof/>
                <w:sz w:val="20"/>
                <w:szCs w:val="20"/>
              </w:rPr>
              <w:t>Ensure attractive conditions for the deployment of sustainable and innovative computing capacity</w:t>
            </w:r>
          </w:p>
        </w:tc>
        <w:tc>
          <w:tcPr>
            <w:tcW w:w="2682" w:type="pct"/>
            <w:shd w:val="clear" w:color="auto" w:fill="FFFFFF" w:themeFill="background1"/>
            <w:vAlign w:val="center"/>
          </w:tcPr>
          <w:p w14:paraId="7E7C1C7F" w14:textId="1E7D0C61" w:rsidR="00E61374" w:rsidRDefault="00E6137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 xml:space="preserve">Expected reduction in the time needed for data centre permitting </w:t>
            </w:r>
            <w:r w:rsidR="00076451">
              <w:rPr>
                <w:noProof/>
                <w:sz w:val="20"/>
                <w:szCs w:val="20"/>
              </w:rPr>
              <w:t xml:space="preserve">and total administrative </w:t>
            </w:r>
            <w:r w:rsidR="00520E23">
              <w:rPr>
                <w:noProof/>
                <w:sz w:val="20"/>
                <w:szCs w:val="20"/>
              </w:rPr>
              <w:t>proceedings</w:t>
            </w:r>
            <w:r w:rsidR="00E97BD7">
              <w:rPr>
                <w:noProof/>
                <w:sz w:val="20"/>
                <w:szCs w:val="20"/>
              </w:rPr>
              <w:t>.</w:t>
            </w:r>
          </w:p>
          <w:p w14:paraId="44A8B490" w14:textId="3E509844" w:rsidR="009908E9" w:rsidRDefault="009908E9"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Expected reduction in underutilised land</w:t>
            </w:r>
            <w:r w:rsidR="003A3A6A">
              <w:rPr>
                <w:noProof/>
                <w:sz w:val="20"/>
                <w:szCs w:val="20"/>
              </w:rPr>
              <w:t xml:space="preserve"> (share of identified viable sites used)</w:t>
            </w:r>
            <w:r w:rsidR="00E97BD7">
              <w:rPr>
                <w:noProof/>
                <w:sz w:val="20"/>
                <w:szCs w:val="20"/>
              </w:rPr>
              <w:t>.</w:t>
            </w:r>
          </w:p>
          <w:p w14:paraId="0C1000DF" w14:textId="31BE1437" w:rsidR="00762EF0" w:rsidRDefault="00165DB5" w:rsidP="00153794">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Share of new capacity deployed outside existing hubs</w:t>
            </w:r>
            <w:r w:rsidR="007E7E30">
              <w:rPr>
                <w:noProof/>
                <w:sz w:val="20"/>
                <w:szCs w:val="20"/>
              </w:rPr>
              <w:t>/underserved areas</w:t>
            </w:r>
            <w:r w:rsidR="00E97BD7">
              <w:rPr>
                <w:noProof/>
                <w:sz w:val="20"/>
                <w:szCs w:val="20"/>
              </w:rPr>
              <w:t>.</w:t>
            </w:r>
          </w:p>
          <w:p w14:paraId="7EE172C8" w14:textId="641A4DF5" w:rsidR="00EE71A2" w:rsidRPr="001C115E" w:rsidRDefault="00EE71A2" w:rsidP="00EE71A2">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Additional investment in data centre capacity</w:t>
            </w:r>
            <w:r w:rsidR="00097ECA">
              <w:rPr>
                <w:noProof/>
                <w:sz w:val="20"/>
                <w:szCs w:val="20"/>
              </w:rPr>
              <w:t xml:space="preserve"> driven by better investment conditions for data centre projects</w:t>
            </w:r>
            <w:r w:rsidR="00E97BD7">
              <w:rPr>
                <w:noProof/>
                <w:sz w:val="20"/>
                <w:szCs w:val="20"/>
              </w:rPr>
              <w:t>.</w:t>
            </w:r>
          </w:p>
        </w:tc>
      </w:tr>
      <w:tr w:rsidR="00E61374" w:rsidRPr="00950FBD" w14:paraId="3F736E3A" w14:textId="77777777" w:rsidTr="007974A0">
        <w:tc>
          <w:tcPr>
            <w:cnfStyle w:val="001000000000" w:firstRow="0" w:lastRow="0" w:firstColumn="1" w:lastColumn="0" w:oddVBand="0" w:evenVBand="0" w:oddHBand="0" w:evenHBand="0" w:firstRowFirstColumn="0" w:firstRowLastColumn="0" w:lastRowFirstColumn="0" w:lastRowLastColumn="0"/>
            <w:tcW w:w="935" w:type="pct"/>
            <w:vMerge/>
            <w:vAlign w:val="center"/>
          </w:tcPr>
          <w:p w14:paraId="7AC04CE7" w14:textId="77777777" w:rsidR="00E61374" w:rsidRPr="00950FBD" w:rsidRDefault="00E61374">
            <w:pPr>
              <w:rPr>
                <w:noProof/>
                <w:sz w:val="20"/>
                <w:szCs w:val="20"/>
              </w:rPr>
            </w:pPr>
          </w:p>
        </w:tc>
        <w:tc>
          <w:tcPr>
            <w:tcW w:w="1383" w:type="pct"/>
            <w:shd w:val="clear" w:color="auto" w:fill="FFFFFF" w:themeFill="background1"/>
            <w:vAlign w:val="center"/>
          </w:tcPr>
          <w:p w14:paraId="3E53443C" w14:textId="2B1192DA" w:rsidR="00E61374" w:rsidRPr="00950FBD" w:rsidRDefault="00E61374" w:rsidP="007001EF">
            <w:pPr>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b/>
                <w:noProof/>
                <w:sz w:val="20"/>
                <w:szCs w:val="20"/>
              </w:rPr>
              <w:t>SO3</w:t>
            </w:r>
            <w:r w:rsidRPr="00950FBD">
              <w:rPr>
                <w:noProof/>
                <w:sz w:val="20"/>
                <w:szCs w:val="20"/>
              </w:rPr>
              <w:t xml:space="preserve"> – Decrease the overall reliance on non-European cloud and AI computing service</w:t>
            </w:r>
            <w:r w:rsidR="00A2781E">
              <w:rPr>
                <w:noProof/>
                <w:sz w:val="20"/>
                <w:szCs w:val="20"/>
              </w:rPr>
              <w:t>s</w:t>
            </w:r>
          </w:p>
        </w:tc>
        <w:tc>
          <w:tcPr>
            <w:tcW w:w="2682" w:type="pct"/>
            <w:shd w:val="clear" w:color="auto" w:fill="FFFFFF" w:themeFill="background1"/>
            <w:vAlign w:val="center"/>
          </w:tcPr>
          <w:p w14:paraId="565EA932" w14:textId="4903EE2F" w:rsidR="00E61374" w:rsidRDefault="008B679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Expected increase </w:t>
            </w:r>
            <w:r w:rsidR="00253D29">
              <w:rPr>
                <w:noProof/>
                <w:sz w:val="20"/>
                <w:szCs w:val="20"/>
              </w:rPr>
              <w:t xml:space="preserve">in the market share of </w:t>
            </w:r>
            <w:r w:rsidR="00E61374" w:rsidRPr="00950FBD">
              <w:rPr>
                <w:noProof/>
                <w:sz w:val="20"/>
                <w:szCs w:val="20"/>
              </w:rPr>
              <w:t>European cloud and AI computing service providers</w:t>
            </w:r>
            <w:r w:rsidR="00AD5696">
              <w:rPr>
                <w:noProof/>
                <w:sz w:val="20"/>
                <w:szCs w:val="20"/>
              </w:rPr>
              <w:t xml:space="preserve"> serving highly critical use cases</w:t>
            </w:r>
          </w:p>
          <w:p w14:paraId="088DB55D" w14:textId="06F1FA56" w:rsidR="00E61374" w:rsidRPr="002B1F98" w:rsidRDefault="00D91662"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Expected reduction in dependency concentration on non-EU providers</w:t>
            </w:r>
          </w:p>
        </w:tc>
      </w:tr>
      <w:tr w:rsidR="00E61374" w:rsidRPr="00950FBD" w14:paraId="1E7BBD97" w14:textId="77777777" w:rsidTr="007974A0">
        <w:tc>
          <w:tcPr>
            <w:cnfStyle w:val="001000000000" w:firstRow="0" w:lastRow="0" w:firstColumn="1" w:lastColumn="0" w:oddVBand="0" w:evenVBand="0" w:oddHBand="0" w:evenHBand="0" w:firstRowFirstColumn="0" w:firstRowLastColumn="0" w:lastRowFirstColumn="0" w:lastRowLastColumn="0"/>
            <w:tcW w:w="935" w:type="pct"/>
            <w:vMerge/>
            <w:vAlign w:val="center"/>
          </w:tcPr>
          <w:p w14:paraId="4A587ED0" w14:textId="77777777" w:rsidR="00E61374" w:rsidRPr="00950FBD" w:rsidRDefault="00E61374">
            <w:pPr>
              <w:rPr>
                <w:noProof/>
                <w:sz w:val="20"/>
                <w:szCs w:val="20"/>
              </w:rPr>
            </w:pPr>
          </w:p>
        </w:tc>
        <w:tc>
          <w:tcPr>
            <w:tcW w:w="1383" w:type="pct"/>
            <w:tcBorders>
              <w:bottom w:val="single" w:sz="4" w:space="0" w:color="auto"/>
            </w:tcBorders>
            <w:shd w:val="clear" w:color="auto" w:fill="FFFFFF" w:themeFill="background1"/>
            <w:vAlign w:val="center"/>
          </w:tcPr>
          <w:p w14:paraId="4005BFF0" w14:textId="1B6EB38F" w:rsidR="00E61374" w:rsidRPr="00950FBD" w:rsidRDefault="00E61374" w:rsidP="007001EF">
            <w:pPr>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b/>
                <w:noProof/>
                <w:sz w:val="20"/>
                <w:szCs w:val="20"/>
              </w:rPr>
              <w:t>SO4</w:t>
            </w:r>
            <w:r w:rsidRPr="00950FBD">
              <w:rPr>
                <w:noProof/>
                <w:sz w:val="20"/>
                <w:szCs w:val="20"/>
              </w:rPr>
              <w:t xml:space="preserve"> –</w:t>
            </w:r>
            <w:r w:rsidR="00A2781E" w:rsidRPr="00A2781E">
              <w:rPr>
                <w:noProof/>
                <w:sz w:val="20"/>
                <w:szCs w:val="20"/>
              </w:rPr>
              <w:t xml:space="preserve"> </w:t>
            </w:r>
            <w:r w:rsidR="001615D7">
              <w:rPr>
                <w:noProof/>
                <w:sz w:val="20"/>
                <w:szCs w:val="20"/>
              </w:rPr>
              <w:t>E</w:t>
            </w:r>
            <w:r w:rsidR="001615D7" w:rsidRPr="00A2781E">
              <w:rPr>
                <w:noProof/>
                <w:sz w:val="20"/>
                <w:szCs w:val="20"/>
              </w:rPr>
              <w:t>nhanc</w:t>
            </w:r>
            <w:r w:rsidR="001615D7">
              <w:rPr>
                <w:noProof/>
                <w:sz w:val="20"/>
                <w:szCs w:val="20"/>
              </w:rPr>
              <w:t xml:space="preserve">e </w:t>
            </w:r>
            <w:r w:rsidR="00A2781E" w:rsidRPr="00A2781E">
              <w:rPr>
                <w:noProof/>
                <w:sz w:val="20"/>
                <w:szCs w:val="20"/>
              </w:rPr>
              <w:t>the resilience of supply of cloud and AI computing services, in particular in the public sector</w:t>
            </w:r>
          </w:p>
        </w:tc>
        <w:tc>
          <w:tcPr>
            <w:tcW w:w="2682" w:type="pct"/>
            <w:tcBorders>
              <w:bottom w:val="single" w:sz="4" w:space="0" w:color="auto"/>
            </w:tcBorders>
            <w:shd w:val="clear" w:color="auto" w:fill="FFFFFF" w:themeFill="background1"/>
            <w:vAlign w:val="center"/>
          </w:tcPr>
          <w:p w14:paraId="37A133E1" w14:textId="732ABCD9" w:rsidR="00E61374" w:rsidRPr="00950FBD" w:rsidRDefault="00E6137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 xml:space="preserve">Expected increase in the number of public sector </w:t>
            </w:r>
            <w:r w:rsidR="00E5783A">
              <w:rPr>
                <w:noProof/>
                <w:sz w:val="20"/>
                <w:szCs w:val="20"/>
              </w:rPr>
              <w:t>contracts supplied by providers meeting the sovereign services</w:t>
            </w:r>
            <w:r w:rsidR="00E5783A" w:rsidRPr="00950FBD">
              <w:rPr>
                <w:noProof/>
                <w:sz w:val="20"/>
                <w:szCs w:val="20"/>
              </w:rPr>
              <w:t xml:space="preserve"> </w:t>
            </w:r>
            <w:r w:rsidR="002D1FB2">
              <w:rPr>
                <w:noProof/>
                <w:sz w:val="20"/>
                <w:szCs w:val="20"/>
              </w:rPr>
              <w:t>at leve</w:t>
            </w:r>
            <w:r w:rsidR="00BF2C43">
              <w:rPr>
                <w:noProof/>
                <w:sz w:val="20"/>
                <w:szCs w:val="20"/>
              </w:rPr>
              <w:t xml:space="preserve">l 2, 3 or 4 </w:t>
            </w:r>
            <w:r w:rsidR="0006402E">
              <w:rPr>
                <w:noProof/>
                <w:sz w:val="20"/>
                <w:szCs w:val="20"/>
              </w:rPr>
              <w:t xml:space="preserve">scored under level </w:t>
            </w:r>
            <w:r w:rsidR="00D4799B">
              <w:rPr>
                <w:noProof/>
                <w:sz w:val="20"/>
                <w:szCs w:val="20"/>
              </w:rPr>
              <w:t>2,</w:t>
            </w:r>
            <w:r w:rsidR="0006402E">
              <w:rPr>
                <w:noProof/>
                <w:sz w:val="20"/>
                <w:szCs w:val="20"/>
              </w:rPr>
              <w:t xml:space="preserve"> level 3 or 4</w:t>
            </w:r>
          </w:p>
          <w:p w14:paraId="2ACBBCDB" w14:textId="77777777" w:rsidR="00E61374" w:rsidRDefault="00E6137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Expected increase in the (re-)use and sharing of open source solutions</w:t>
            </w:r>
          </w:p>
          <w:p w14:paraId="3E500279" w14:textId="7E222ACB" w:rsidR="00E61374" w:rsidRPr="00950FBD" w:rsidRDefault="00A27C34" w:rsidP="001A218A">
            <w:pPr>
              <w:pStyle w:val="ListParagraph"/>
              <w:numPr>
                <w:ilvl w:val="0"/>
                <w:numId w:val="14"/>
              </w:numPr>
              <w:ind w:left="167" w:hanging="167"/>
              <w:cnfStyle w:val="000000000000" w:firstRow="0" w:lastRow="0" w:firstColumn="0" w:lastColumn="0" w:oddVBand="0" w:evenVBand="0" w:oddHBand="0" w:evenHBand="0" w:firstRowFirstColumn="0" w:firstRowLastColumn="0" w:lastRowFirstColumn="0" w:lastRowLastColumn="0"/>
              <w:rPr>
                <w:noProof/>
                <w:sz w:val="20"/>
                <w:szCs w:val="20"/>
              </w:rPr>
            </w:pPr>
            <w:r w:rsidRPr="00950FBD">
              <w:rPr>
                <w:noProof/>
                <w:sz w:val="20"/>
                <w:szCs w:val="20"/>
              </w:rPr>
              <w:t>Expected increase of federated resources across the public sector and use of the joint procurement of cloud and AI services</w:t>
            </w:r>
          </w:p>
        </w:tc>
      </w:tr>
    </w:tbl>
    <w:p w14:paraId="16352CF1" w14:textId="5E314DCE" w:rsidR="00FD7DB1" w:rsidRDefault="00E61374" w:rsidP="0077786F">
      <w:pPr>
        <w:pStyle w:val="Reply"/>
        <w:spacing w:line="240" w:lineRule="auto"/>
        <w:rPr>
          <w:noProof/>
        </w:rPr>
      </w:pPr>
      <w:r w:rsidRPr="00D37004">
        <w:rPr>
          <w:noProof/>
        </w:rPr>
        <w:t xml:space="preserve">Regarding </w:t>
      </w:r>
      <w:r w:rsidRPr="294AF3FA">
        <w:rPr>
          <w:b/>
          <w:noProof/>
        </w:rPr>
        <w:t>SO1</w:t>
      </w:r>
      <w:r w:rsidR="004B7B1F">
        <w:rPr>
          <w:noProof/>
        </w:rPr>
        <w:t xml:space="preserve"> (</w:t>
      </w:r>
      <w:r w:rsidR="004B7B1F" w:rsidRPr="00FB2757">
        <w:rPr>
          <w:b/>
          <w:noProof/>
        </w:rPr>
        <w:t>increase computing capacity in the EU through innovative and sustainable technologies</w:t>
      </w:r>
      <w:r w:rsidR="004B7B1F">
        <w:rPr>
          <w:noProof/>
        </w:rPr>
        <w:t>),</w:t>
      </w:r>
      <w:r w:rsidRPr="00D37004">
        <w:rPr>
          <w:noProof/>
        </w:rPr>
        <w:t xml:space="preserve"> </w:t>
      </w:r>
      <w:r w:rsidRPr="294AF3FA">
        <w:rPr>
          <w:b/>
          <w:noProof/>
        </w:rPr>
        <w:t>PO1-A</w:t>
      </w:r>
      <w:r w:rsidRPr="00D37004">
        <w:rPr>
          <w:noProof/>
        </w:rPr>
        <w:t xml:space="preserve"> </w:t>
      </w:r>
      <w:r w:rsidR="0094429D">
        <w:rPr>
          <w:noProof/>
        </w:rPr>
        <w:t>would</w:t>
      </w:r>
      <w:r w:rsidRPr="00D37004">
        <w:rPr>
          <w:noProof/>
        </w:rPr>
        <w:t xml:space="preserve"> provide a limited effect. </w:t>
      </w:r>
      <w:r w:rsidR="00962CEB">
        <w:rPr>
          <w:noProof/>
        </w:rPr>
        <w:t xml:space="preserve">An expanded working group and structured forum </w:t>
      </w:r>
      <w:r w:rsidR="0080752D">
        <w:rPr>
          <w:noProof/>
        </w:rPr>
        <w:t>are</w:t>
      </w:r>
      <w:r w:rsidR="00962CEB">
        <w:rPr>
          <w:noProof/>
        </w:rPr>
        <w:t xml:space="preserve"> expected to </w:t>
      </w:r>
      <w:r w:rsidR="00331B40">
        <w:rPr>
          <w:noProof/>
        </w:rPr>
        <w:t>reduc</w:t>
      </w:r>
      <w:r w:rsidR="00962CEB">
        <w:rPr>
          <w:noProof/>
        </w:rPr>
        <w:t>e</w:t>
      </w:r>
      <w:r w:rsidR="00331B40">
        <w:rPr>
          <w:noProof/>
        </w:rPr>
        <w:t xml:space="preserve"> coordination and information frictions</w:t>
      </w:r>
      <w:r w:rsidR="00962CEB">
        <w:rPr>
          <w:noProof/>
        </w:rPr>
        <w:t xml:space="preserve"> </w:t>
      </w:r>
      <w:r w:rsidR="0080752D">
        <w:rPr>
          <w:noProof/>
        </w:rPr>
        <w:t xml:space="preserve">mainly </w:t>
      </w:r>
      <w:r w:rsidR="00962CEB">
        <w:rPr>
          <w:noProof/>
        </w:rPr>
        <w:t xml:space="preserve">linked to inconsistent permitting </w:t>
      </w:r>
      <w:r w:rsidR="008E3544">
        <w:rPr>
          <w:noProof/>
        </w:rPr>
        <w:t xml:space="preserve">and zoning </w:t>
      </w:r>
      <w:r w:rsidR="00962CEB">
        <w:rPr>
          <w:noProof/>
        </w:rPr>
        <w:t>procedures across Member States</w:t>
      </w:r>
      <w:r w:rsidR="00DE4E23">
        <w:rPr>
          <w:noProof/>
        </w:rPr>
        <w:t xml:space="preserve">. </w:t>
      </w:r>
      <w:r w:rsidR="00D85EE2">
        <w:rPr>
          <w:noProof/>
        </w:rPr>
        <w:t xml:space="preserve">The guidelines focused on sustainability </w:t>
      </w:r>
      <w:r w:rsidR="0080752D">
        <w:rPr>
          <w:noProof/>
        </w:rPr>
        <w:t>would be designed</w:t>
      </w:r>
      <w:r w:rsidR="00D85EE2">
        <w:rPr>
          <w:noProof/>
        </w:rPr>
        <w:t xml:space="preserve"> to translate “innovative and sustainable” technologies into </w:t>
      </w:r>
      <w:r w:rsidR="0080752D">
        <w:rPr>
          <w:noProof/>
        </w:rPr>
        <w:t xml:space="preserve">best practices </w:t>
      </w:r>
      <w:r w:rsidR="00D85EE2">
        <w:rPr>
          <w:noProof/>
        </w:rPr>
        <w:t>for data centres</w:t>
      </w:r>
      <w:r w:rsidR="005A6EF7">
        <w:rPr>
          <w:noProof/>
        </w:rPr>
        <w:t>.</w:t>
      </w:r>
      <w:r w:rsidR="00D85EE2">
        <w:rPr>
          <w:noProof/>
        </w:rPr>
        <w:t xml:space="preserve"> </w:t>
      </w:r>
      <w:r w:rsidR="00A44971">
        <w:rPr>
          <w:noProof/>
        </w:rPr>
        <w:t>Th</w:t>
      </w:r>
      <w:r w:rsidR="0080752D">
        <w:rPr>
          <w:noProof/>
        </w:rPr>
        <w:t xml:space="preserve">ese </w:t>
      </w:r>
      <w:r w:rsidR="00A44971">
        <w:rPr>
          <w:noProof/>
        </w:rPr>
        <w:t xml:space="preserve">would </w:t>
      </w:r>
      <w:r w:rsidR="001E4DF5">
        <w:rPr>
          <w:noProof/>
        </w:rPr>
        <w:t xml:space="preserve">aim to </w:t>
      </w:r>
      <w:r w:rsidR="00A44971">
        <w:rPr>
          <w:noProof/>
        </w:rPr>
        <w:t>complement the existing reporting</w:t>
      </w:r>
      <w:r w:rsidR="001E4DF5">
        <w:rPr>
          <w:noProof/>
        </w:rPr>
        <w:t xml:space="preserve"> obligations under the EED with concrete instruments to improve compliance with sustainability </w:t>
      </w:r>
      <w:r w:rsidR="00EA0E97">
        <w:rPr>
          <w:noProof/>
        </w:rPr>
        <w:t>requirements</w:t>
      </w:r>
      <w:r w:rsidR="00605723">
        <w:rPr>
          <w:noProof/>
        </w:rPr>
        <w:t xml:space="preserve"> </w:t>
      </w:r>
      <w:r w:rsidR="002A6576">
        <w:rPr>
          <w:noProof/>
        </w:rPr>
        <w:t>and</w:t>
      </w:r>
      <w:r w:rsidR="00605723">
        <w:rPr>
          <w:noProof/>
        </w:rPr>
        <w:t xml:space="preserve"> allow</w:t>
      </w:r>
      <w:r w:rsidR="002A6576">
        <w:rPr>
          <w:noProof/>
        </w:rPr>
        <w:t xml:space="preserve"> an earlier integration of efficiency-related considerations in project design</w:t>
      </w:r>
      <w:r w:rsidR="00EA0E97">
        <w:rPr>
          <w:noProof/>
        </w:rPr>
        <w:t>. At the same time, being voluntary instruments</w:t>
      </w:r>
      <w:r w:rsidR="00E321A1">
        <w:rPr>
          <w:noProof/>
        </w:rPr>
        <w:t xml:space="preserve"> based on ad hoc participation</w:t>
      </w:r>
      <w:r w:rsidR="00A56171">
        <w:rPr>
          <w:noProof/>
        </w:rPr>
        <w:t xml:space="preserve"> or adoption</w:t>
      </w:r>
      <w:r w:rsidR="00E321A1">
        <w:rPr>
          <w:noProof/>
        </w:rPr>
        <w:t xml:space="preserve"> by businesses</w:t>
      </w:r>
      <w:r w:rsidR="00EA0E97">
        <w:rPr>
          <w:noProof/>
        </w:rPr>
        <w:t>, the</w:t>
      </w:r>
      <w:r w:rsidR="00E321A1">
        <w:rPr>
          <w:noProof/>
        </w:rPr>
        <w:t>se measures</w:t>
      </w:r>
      <w:r w:rsidRPr="00D37004">
        <w:rPr>
          <w:noProof/>
        </w:rPr>
        <w:t xml:space="preserve"> are expected to indirectly and slightly increase computing capacity in the EU </w:t>
      </w:r>
      <w:r w:rsidR="00FE61C3">
        <w:rPr>
          <w:noProof/>
        </w:rPr>
        <w:t>and</w:t>
      </w:r>
      <w:r w:rsidDel="00FE61C3">
        <w:rPr>
          <w:noProof/>
        </w:rPr>
        <w:t xml:space="preserve"> </w:t>
      </w:r>
      <w:r w:rsidRPr="00D37004">
        <w:rPr>
          <w:noProof/>
        </w:rPr>
        <w:t>reduce PUE</w:t>
      </w:r>
      <w:r>
        <w:rPr>
          <w:noProof/>
        </w:rPr>
        <w:t xml:space="preserve"> </w:t>
      </w:r>
      <w:r w:rsidR="00A876DA">
        <w:rPr>
          <w:noProof/>
        </w:rPr>
        <w:t>with respect to the status</w:t>
      </w:r>
      <w:r w:rsidRPr="00D37004">
        <w:rPr>
          <w:noProof/>
        </w:rPr>
        <w:t xml:space="preserve"> quo scenario.</w:t>
      </w:r>
      <w:r w:rsidR="00125174">
        <w:rPr>
          <w:noProof/>
        </w:rPr>
        <w:t xml:space="preserve"> While the option is expected to improve the quality of new capacity</w:t>
      </w:r>
      <w:r w:rsidR="00FD7DB1">
        <w:rPr>
          <w:noProof/>
        </w:rPr>
        <w:t>,</w:t>
      </w:r>
      <w:r w:rsidR="00125174">
        <w:rPr>
          <w:noProof/>
        </w:rPr>
        <w:t xml:space="preserve"> its concrete contribution to additional MW</w:t>
      </w:r>
      <w:r w:rsidR="00B86515">
        <w:rPr>
          <w:noProof/>
        </w:rPr>
        <w:t xml:space="preserve"> or innovative technologies for </w:t>
      </w:r>
      <w:r w:rsidR="00733A01">
        <w:rPr>
          <w:noProof/>
        </w:rPr>
        <w:t>energy-efficiency</w:t>
      </w:r>
      <w:r w:rsidR="00125174">
        <w:rPr>
          <w:noProof/>
        </w:rPr>
        <w:t xml:space="preserve"> is </w:t>
      </w:r>
      <w:r w:rsidR="00FD7DB1">
        <w:rPr>
          <w:noProof/>
        </w:rPr>
        <w:t xml:space="preserve">expected to be </w:t>
      </w:r>
      <w:r w:rsidR="00125174">
        <w:rPr>
          <w:noProof/>
        </w:rPr>
        <w:t>moderate</w:t>
      </w:r>
      <w:r w:rsidR="0065282B">
        <w:rPr>
          <w:noProof/>
        </w:rPr>
        <w:t>.</w:t>
      </w:r>
      <w:r w:rsidRPr="00D37004">
        <w:rPr>
          <w:noProof/>
        </w:rPr>
        <w:t xml:space="preserve"> </w:t>
      </w:r>
      <w:r w:rsidRPr="294AF3FA">
        <w:rPr>
          <w:b/>
          <w:noProof/>
        </w:rPr>
        <w:t>PO1-B</w:t>
      </w:r>
      <w:r w:rsidRPr="00D37004">
        <w:rPr>
          <w:noProof/>
        </w:rPr>
        <w:t xml:space="preserve"> is expected to be more effective at increasing </w:t>
      </w:r>
      <w:r w:rsidR="009474BF" w:rsidRPr="00D37004">
        <w:rPr>
          <w:noProof/>
        </w:rPr>
        <w:t xml:space="preserve">EU-based </w:t>
      </w:r>
      <w:r w:rsidRPr="00D37004">
        <w:rPr>
          <w:noProof/>
        </w:rPr>
        <w:t>computing capacity</w:t>
      </w:r>
      <w:r w:rsidR="0065282B">
        <w:rPr>
          <w:noProof/>
        </w:rPr>
        <w:t>, with the strongest direct impact on additional data centre deployment</w:t>
      </w:r>
      <w:r w:rsidRPr="00D37004">
        <w:rPr>
          <w:noProof/>
        </w:rPr>
        <w:t xml:space="preserve">. </w:t>
      </w:r>
      <w:r w:rsidR="009474BF" w:rsidRPr="00D37004">
        <w:rPr>
          <w:noProof/>
        </w:rPr>
        <w:t>Th</w:t>
      </w:r>
      <w:r w:rsidR="009474BF">
        <w:rPr>
          <w:noProof/>
        </w:rPr>
        <w:t>is is expected as the result of more favourable growth conditions, driven by</w:t>
      </w:r>
      <w:r w:rsidR="009474BF" w:rsidRPr="00D37004" w:rsidDel="009474BF">
        <w:rPr>
          <w:noProof/>
        </w:rPr>
        <w:t xml:space="preserve"> </w:t>
      </w:r>
      <w:r w:rsidRPr="00D37004">
        <w:rPr>
          <w:noProof/>
        </w:rPr>
        <w:t xml:space="preserve">simplification measures, faster permitting and </w:t>
      </w:r>
      <w:r>
        <w:rPr>
          <w:noProof/>
        </w:rPr>
        <w:t xml:space="preserve">potential public support </w:t>
      </w:r>
      <w:r w:rsidRPr="00D37004">
        <w:rPr>
          <w:noProof/>
        </w:rPr>
        <w:t>by Member States</w:t>
      </w:r>
      <w:r w:rsidR="0086607A">
        <w:rPr>
          <w:noProof/>
        </w:rPr>
        <w:t xml:space="preserve">. </w:t>
      </w:r>
      <w:r w:rsidR="00FF73A1">
        <w:rPr>
          <w:noProof/>
        </w:rPr>
        <w:t xml:space="preserve">The national facilitator (PM4) and nationally defined </w:t>
      </w:r>
      <w:r w:rsidR="00212F49">
        <w:rPr>
          <w:noProof/>
        </w:rPr>
        <w:t xml:space="preserve">strategies, including </w:t>
      </w:r>
      <w:r w:rsidR="00FF73A1">
        <w:rPr>
          <w:noProof/>
        </w:rPr>
        <w:t>fast-track areas (PM5)</w:t>
      </w:r>
      <w:r>
        <w:rPr>
          <w:noProof/>
        </w:rPr>
        <w:t xml:space="preserve"> </w:t>
      </w:r>
      <w:r w:rsidR="00E11365">
        <w:rPr>
          <w:noProof/>
        </w:rPr>
        <w:t>are expected</w:t>
      </w:r>
      <w:r w:rsidR="00BA63AE">
        <w:rPr>
          <w:noProof/>
        </w:rPr>
        <w:t xml:space="preserve"> to </w:t>
      </w:r>
      <w:r w:rsidR="00E11365">
        <w:rPr>
          <w:noProof/>
        </w:rPr>
        <w:t>reduce</w:t>
      </w:r>
      <w:r w:rsidR="00607F84">
        <w:rPr>
          <w:noProof/>
        </w:rPr>
        <w:t xml:space="preserve"> permitting time</w:t>
      </w:r>
      <w:r w:rsidR="00577651">
        <w:rPr>
          <w:noProof/>
        </w:rPr>
        <w:t>lines</w:t>
      </w:r>
      <w:r w:rsidR="00607F84">
        <w:rPr>
          <w:noProof/>
        </w:rPr>
        <w:t xml:space="preserve"> and time </w:t>
      </w:r>
      <w:r w:rsidR="00003ADF">
        <w:rPr>
          <w:noProof/>
        </w:rPr>
        <w:t xml:space="preserve">needed </w:t>
      </w:r>
      <w:r w:rsidR="00607F84">
        <w:rPr>
          <w:noProof/>
        </w:rPr>
        <w:t xml:space="preserve">for </w:t>
      </w:r>
      <w:r w:rsidR="00003ADF">
        <w:rPr>
          <w:noProof/>
        </w:rPr>
        <w:t xml:space="preserve">data centres to connect </w:t>
      </w:r>
      <w:r w:rsidR="00607F84">
        <w:rPr>
          <w:noProof/>
        </w:rPr>
        <w:t>to the grid, while ensuring that projects also locate where grid capacity, land</w:t>
      </w:r>
      <w:r w:rsidR="00802E15">
        <w:rPr>
          <w:noProof/>
        </w:rPr>
        <w:t xml:space="preserve"> and water constraints make sustainable expansion of capacity technically feasible. </w:t>
      </w:r>
      <w:r w:rsidR="009F755A">
        <w:rPr>
          <w:noProof/>
        </w:rPr>
        <w:t>This would foster</w:t>
      </w:r>
      <w:r w:rsidRPr="00D37004" w:rsidDel="008C1149">
        <w:rPr>
          <w:noProof/>
        </w:rPr>
        <w:t xml:space="preserve"> </w:t>
      </w:r>
      <w:r w:rsidR="00C66A4F">
        <w:rPr>
          <w:noProof/>
        </w:rPr>
        <w:t>lower</w:t>
      </w:r>
      <w:r w:rsidR="008C1149">
        <w:rPr>
          <w:noProof/>
        </w:rPr>
        <w:t xml:space="preserve"> </w:t>
      </w:r>
      <w:r w:rsidRPr="00D37004">
        <w:rPr>
          <w:noProof/>
        </w:rPr>
        <w:t xml:space="preserve">PUE </w:t>
      </w:r>
      <w:r w:rsidR="00C66A4F">
        <w:rPr>
          <w:noProof/>
        </w:rPr>
        <w:t xml:space="preserve">levels </w:t>
      </w:r>
      <w:r w:rsidR="009F755A">
        <w:rPr>
          <w:noProof/>
        </w:rPr>
        <w:t>across the EU</w:t>
      </w:r>
      <w:r w:rsidR="00C66A4F">
        <w:rPr>
          <w:noProof/>
        </w:rPr>
        <w:t xml:space="preserve"> as access to the zones would </w:t>
      </w:r>
      <w:r w:rsidR="009F755A">
        <w:rPr>
          <w:noProof/>
        </w:rPr>
        <w:t xml:space="preserve">also </w:t>
      </w:r>
      <w:r w:rsidR="00AD552C">
        <w:rPr>
          <w:noProof/>
        </w:rPr>
        <w:t>be linked to sustainability performance</w:t>
      </w:r>
      <w:r w:rsidRPr="00D37004" w:rsidDel="00C66A4F">
        <w:rPr>
          <w:noProof/>
        </w:rPr>
        <w:t>.</w:t>
      </w:r>
      <w:r w:rsidRPr="00D37004">
        <w:rPr>
          <w:noProof/>
        </w:rPr>
        <w:t xml:space="preserve"> </w:t>
      </w:r>
      <w:r w:rsidR="004E206B">
        <w:rPr>
          <w:noProof/>
        </w:rPr>
        <w:t>Without this linkage, adv</w:t>
      </w:r>
      <w:r w:rsidR="002159D5">
        <w:rPr>
          <w:noProof/>
        </w:rPr>
        <w:t xml:space="preserve">erse consequences linked to excess grid stress or carbon-intensive expansion would undermine SO1. </w:t>
      </w:r>
      <w:r w:rsidR="00B35278">
        <w:rPr>
          <w:noProof/>
        </w:rPr>
        <w:t>The</w:t>
      </w:r>
      <w:r w:rsidR="008C792D">
        <w:rPr>
          <w:noProof/>
        </w:rPr>
        <w:t xml:space="preserve"> regular monitoring </w:t>
      </w:r>
      <w:r w:rsidR="00B35278">
        <w:rPr>
          <w:noProof/>
        </w:rPr>
        <w:t>of compute</w:t>
      </w:r>
      <w:r w:rsidRPr="00D37004" w:rsidDel="008C792D">
        <w:rPr>
          <w:noProof/>
        </w:rPr>
        <w:t xml:space="preserve"> </w:t>
      </w:r>
      <w:r w:rsidRPr="00D37004">
        <w:rPr>
          <w:noProof/>
        </w:rPr>
        <w:t>capacity</w:t>
      </w:r>
      <w:r w:rsidR="000E167A">
        <w:rPr>
          <w:noProof/>
        </w:rPr>
        <w:t xml:space="preserve"> and national strategies</w:t>
      </w:r>
      <w:r w:rsidRPr="00D37004">
        <w:rPr>
          <w:noProof/>
        </w:rPr>
        <w:t xml:space="preserve"> would </w:t>
      </w:r>
      <w:r w:rsidR="008C792D">
        <w:rPr>
          <w:noProof/>
        </w:rPr>
        <w:t>ensure that the</w:t>
      </w:r>
      <w:r w:rsidR="008C792D" w:rsidDel="00C929EF">
        <w:rPr>
          <w:noProof/>
        </w:rPr>
        <w:t xml:space="preserve"> </w:t>
      </w:r>
      <w:r w:rsidR="00C929EF">
        <w:rPr>
          <w:noProof/>
        </w:rPr>
        <w:t xml:space="preserve">intervention </w:t>
      </w:r>
      <w:r w:rsidR="00771530">
        <w:rPr>
          <w:noProof/>
        </w:rPr>
        <w:t xml:space="preserve">is effective </w:t>
      </w:r>
      <w:r w:rsidRPr="00D37004">
        <w:rPr>
          <w:noProof/>
        </w:rPr>
        <w:t>in closing the demand-supply gap</w:t>
      </w:r>
      <w:r w:rsidR="00771530">
        <w:rPr>
          <w:noProof/>
        </w:rPr>
        <w:t>, without under or over supply</w:t>
      </w:r>
      <w:r w:rsidR="004379F2">
        <w:rPr>
          <w:noProof/>
        </w:rPr>
        <w:t>ing capacity</w:t>
      </w:r>
      <w:r w:rsidR="00771530">
        <w:rPr>
          <w:noProof/>
        </w:rPr>
        <w:t xml:space="preserve"> across the EU</w:t>
      </w:r>
      <w:r w:rsidRPr="00D37004">
        <w:rPr>
          <w:noProof/>
        </w:rPr>
        <w:t xml:space="preserve">. </w:t>
      </w:r>
      <w:r w:rsidRPr="294AF3FA">
        <w:rPr>
          <w:b/>
          <w:noProof/>
        </w:rPr>
        <w:t>PO1-C</w:t>
      </w:r>
      <w:r w:rsidRPr="00D37004">
        <w:rPr>
          <w:noProof/>
        </w:rPr>
        <w:t xml:space="preserve"> is </w:t>
      </w:r>
      <w:r w:rsidR="004379F2">
        <w:rPr>
          <w:noProof/>
        </w:rPr>
        <w:t xml:space="preserve">expected to be </w:t>
      </w:r>
      <w:r w:rsidR="009474BF" w:rsidRPr="00D37004">
        <w:rPr>
          <w:noProof/>
        </w:rPr>
        <w:t xml:space="preserve">less </w:t>
      </w:r>
      <w:r w:rsidRPr="00D37004">
        <w:rPr>
          <w:noProof/>
        </w:rPr>
        <w:t xml:space="preserve">effective </w:t>
      </w:r>
      <w:r>
        <w:rPr>
          <w:noProof/>
        </w:rPr>
        <w:t>than PO1-B, due to</w:t>
      </w:r>
      <w:r w:rsidRPr="00D37004" w:rsidDel="00A822DB">
        <w:rPr>
          <w:noProof/>
        </w:rPr>
        <w:t xml:space="preserve"> </w:t>
      </w:r>
      <w:r w:rsidRPr="00D37004">
        <w:rPr>
          <w:noProof/>
        </w:rPr>
        <w:t xml:space="preserve">the addition of a decision step at EU-level over what is </w:t>
      </w:r>
      <w:r w:rsidR="002159D5">
        <w:rPr>
          <w:noProof/>
        </w:rPr>
        <w:t>currently</w:t>
      </w:r>
      <w:r w:rsidR="002159D5" w:rsidRPr="00D37004">
        <w:rPr>
          <w:noProof/>
        </w:rPr>
        <w:t xml:space="preserve"> </w:t>
      </w:r>
      <w:r w:rsidRPr="00D37004">
        <w:rPr>
          <w:noProof/>
        </w:rPr>
        <w:t>decided at national or regional level</w:t>
      </w:r>
      <w:r>
        <w:rPr>
          <w:noProof/>
        </w:rPr>
        <w:t xml:space="preserve">. </w:t>
      </w:r>
      <w:r w:rsidR="00CC1563" w:rsidRPr="009F2DE7">
        <w:rPr>
          <w:noProof/>
        </w:rPr>
        <w:t>PM10 consolidates the 27 national permitting and fast-tracking systems for data centre deployment into a single EU-level decision framework.</w:t>
      </w:r>
      <w:r w:rsidR="00CC1563">
        <w:rPr>
          <w:noProof/>
        </w:rPr>
        <w:t xml:space="preserve"> </w:t>
      </w:r>
      <w:r w:rsidR="002159D5">
        <w:rPr>
          <w:noProof/>
        </w:rPr>
        <w:t>T</w:t>
      </w:r>
      <w:r w:rsidR="00D43795">
        <w:rPr>
          <w:noProof/>
        </w:rPr>
        <w:t xml:space="preserve">his </w:t>
      </w:r>
      <w:r w:rsidR="007848CB" w:rsidRPr="009F2DE7">
        <w:rPr>
          <w:noProof/>
        </w:rPr>
        <w:t>centralisation is expected to create different types of inefficiencies for data centre deployment. The first one</w:t>
      </w:r>
      <w:r w:rsidR="007848CB" w:rsidRPr="009F2DE7" w:rsidDel="007F4AB9">
        <w:rPr>
          <w:noProof/>
        </w:rPr>
        <w:t xml:space="preserve"> </w:t>
      </w:r>
      <w:r w:rsidR="007F4AB9">
        <w:rPr>
          <w:noProof/>
        </w:rPr>
        <w:t>would be</w:t>
      </w:r>
      <w:r w:rsidR="007848CB" w:rsidRPr="009F2DE7">
        <w:rPr>
          <w:noProof/>
        </w:rPr>
        <w:t xml:space="preserve"> related to the number of projects that would be processed in parallel. While under PO1-B access to fast-track areas can be authorised in parallel across MS, under PO1-C projects must pass through a common EU-level decision layer, which is likely to limit the throughput of projects that can be supported. </w:t>
      </w:r>
      <w:r w:rsidR="001B2A88">
        <w:rPr>
          <w:noProof/>
        </w:rPr>
        <w:t>The</w:t>
      </w:r>
      <w:r w:rsidR="007848CB" w:rsidRPr="009F2DE7">
        <w:rPr>
          <w:noProof/>
        </w:rPr>
        <w:t xml:space="preserve"> lower effectiveness of </w:t>
      </w:r>
      <w:r w:rsidR="001B2A88">
        <w:rPr>
          <w:noProof/>
        </w:rPr>
        <w:t>this option</w:t>
      </w:r>
      <w:r w:rsidR="007848CB" w:rsidRPr="009F2DE7">
        <w:rPr>
          <w:noProof/>
        </w:rPr>
        <w:t xml:space="preserve"> was also strongly raised by stakeholders during workshops and interviews, where several operators and public authorities expressed their concerns that an EU-coordinated process would slow down procedures rather than accelerat</w:t>
      </w:r>
      <w:r w:rsidR="00B417AB">
        <w:rPr>
          <w:noProof/>
        </w:rPr>
        <w:t>e</w:t>
      </w:r>
      <w:r w:rsidR="007848CB" w:rsidRPr="009F2DE7">
        <w:rPr>
          <w:noProof/>
        </w:rPr>
        <w:t xml:space="preserve"> deployment. They specifically mentioned that top-level identification of fast-track areas for projects would be less able to reflect geographical and local specificities, e.g. related to grid conditions or community impacts. </w:t>
      </w:r>
      <w:r w:rsidR="00203C7E">
        <w:rPr>
          <w:noProof/>
        </w:rPr>
        <w:t>While u</w:t>
      </w:r>
      <w:r w:rsidR="007848CB" w:rsidRPr="009F2DE7">
        <w:rPr>
          <w:noProof/>
        </w:rPr>
        <w:t xml:space="preserve">nder </w:t>
      </w:r>
      <w:r w:rsidR="007848CB" w:rsidRPr="009F2DE7">
        <w:rPr>
          <w:bCs w:val="0"/>
          <w:noProof/>
        </w:rPr>
        <w:t>PO1-B</w:t>
      </w:r>
      <w:r w:rsidR="007848CB" w:rsidRPr="009F2DE7">
        <w:rPr>
          <w:noProof/>
        </w:rPr>
        <w:t>,</w:t>
      </w:r>
      <w:r w:rsidR="007848CB" w:rsidRPr="009F2DE7">
        <w:rPr>
          <w:b/>
          <w:noProof/>
        </w:rPr>
        <w:t xml:space="preserve"> </w:t>
      </w:r>
      <w:r w:rsidR="007848CB" w:rsidRPr="009F2DE7">
        <w:rPr>
          <w:noProof/>
        </w:rPr>
        <w:t xml:space="preserve">the social acceptance of DCs is expected to be the greatest, as decisions on build-out </w:t>
      </w:r>
      <w:r w:rsidR="00484E51">
        <w:rPr>
          <w:noProof/>
        </w:rPr>
        <w:t xml:space="preserve">would </w:t>
      </w:r>
      <w:r w:rsidR="007848CB" w:rsidRPr="009F2DE7">
        <w:rPr>
          <w:noProof/>
        </w:rPr>
        <w:t>give a greater role to local authorities and are thus taken closer to citizens, EU-level decision making on DC deployment will likely be perceived as taken far away from citizens.</w:t>
      </w:r>
      <w:r w:rsidR="0077786F">
        <w:rPr>
          <w:noProof/>
        </w:rPr>
        <w:t xml:space="preserve"> </w:t>
      </w:r>
      <w:r w:rsidR="00C77B89">
        <w:rPr>
          <w:noProof/>
        </w:rPr>
        <w:t>This</w:t>
      </w:r>
      <w:r w:rsidRPr="00D37004">
        <w:rPr>
          <w:noProof/>
        </w:rPr>
        <w:t xml:space="preserve"> option is expected to be </w:t>
      </w:r>
      <w:r w:rsidR="002704E8">
        <w:rPr>
          <w:noProof/>
        </w:rPr>
        <w:t>mostly</w:t>
      </w:r>
      <w:r w:rsidRPr="00D37004" w:rsidDel="002704E8">
        <w:rPr>
          <w:noProof/>
        </w:rPr>
        <w:t xml:space="preserve"> </w:t>
      </w:r>
      <w:r w:rsidRPr="00D37004">
        <w:rPr>
          <w:noProof/>
        </w:rPr>
        <w:t xml:space="preserve">effective </w:t>
      </w:r>
      <w:r w:rsidR="002704E8">
        <w:rPr>
          <w:noProof/>
        </w:rPr>
        <w:t>in</w:t>
      </w:r>
      <w:r w:rsidR="002704E8" w:rsidRPr="00D37004">
        <w:rPr>
          <w:noProof/>
        </w:rPr>
        <w:t xml:space="preserve"> </w:t>
      </w:r>
      <w:r w:rsidRPr="00D37004">
        <w:rPr>
          <w:noProof/>
        </w:rPr>
        <w:t xml:space="preserve">promoting sustainable technologies through </w:t>
      </w:r>
      <w:r w:rsidR="00A657AA">
        <w:rPr>
          <w:noProof/>
        </w:rPr>
        <w:t>EU R&amp;D funding (</w:t>
      </w:r>
      <w:r w:rsidRPr="00D37004">
        <w:rPr>
          <w:noProof/>
        </w:rPr>
        <w:t>PM8</w:t>
      </w:r>
      <w:r w:rsidR="00A657AA">
        <w:rPr>
          <w:noProof/>
        </w:rPr>
        <w:t>)</w:t>
      </w:r>
      <w:r w:rsidRPr="00D37004">
        <w:rPr>
          <w:noProof/>
        </w:rPr>
        <w:t xml:space="preserve"> and </w:t>
      </w:r>
      <w:r w:rsidR="004C1E67">
        <w:rPr>
          <w:noProof/>
        </w:rPr>
        <w:t>EU deployment funding (</w:t>
      </w:r>
      <w:r w:rsidRPr="00D37004">
        <w:rPr>
          <w:noProof/>
        </w:rPr>
        <w:t>PM9</w:t>
      </w:r>
      <w:r w:rsidR="004C1E67">
        <w:rPr>
          <w:noProof/>
        </w:rPr>
        <w:t>)</w:t>
      </w:r>
      <w:r w:rsidR="00A657AA">
        <w:rPr>
          <w:noProof/>
        </w:rPr>
        <w:t>.</w:t>
      </w:r>
      <w:r w:rsidR="004C1E67">
        <w:rPr>
          <w:noProof/>
        </w:rPr>
        <w:t xml:space="preserve"> These measures are expected to improve technology readiness, e.g. in advanced cooling or energy management, while also de</w:t>
      </w:r>
      <w:r w:rsidR="00B4666A">
        <w:rPr>
          <w:noProof/>
        </w:rPr>
        <w:t>-risking first-of-a-kind projects of a strategic interest.</w:t>
      </w:r>
      <w:r w:rsidR="00FD25AA" w:rsidRPr="00FD25AA">
        <w:rPr>
          <w:noProof/>
        </w:rPr>
        <w:t xml:space="preserve"> </w:t>
      </w:r>
      <w:r w:rsidR="00FD25AA">
        <w:rPr>
          <w:noProof/>
        </w:rPr>
        <w:t xml:space="preserve">Therefore, this option is expected to perform better </w:t>
      </w:r>
      <w:r w:rsidR="00134791">
        <w:rPr>
          <w:noProof/>
        </w:rPr>
        <w:t xml:space="preserve">than the other options and the baseline </w:t>
      </w:r>
      <w:r w:rsidR="00FD25AA">
        <w:rPr>
          <w:noProof/>
        </w:rPr>
        <w:t>on long-term sustainable computing capacity</w:t>
      </w:r>
      <w:r w:rsidR="001E6949">
        <w:rPr>
          <w:noProof/>
        </w:rPr>
        <w:t xml:space="preserve">, while below them in terms of </w:t>
      </w:r>
      <w:r w:rsidR="00FD25AA">
        <w:rPr>
          <w:noProof/>
        </w:rPr>
        <w:t>short to medium-term deliver</w:t>
      </w:r>
      <w:r w:rsidR="001E6949">
        <w:rPr>
          <w:noProof/>
        </w:rPr>
        <w:t>y of additional data centres</w:t>
      </w:r>
      <w:r w:rsidR="00FD25AA">
        <w:rPr>
          <w:noProof/>
        </w:rPr>
        <w:t>.</w:t>
      </w:r>
      <w:r w:rsidRPr="00D37004">
        <w:rPr>
          <w:noProof/>
        </w:rPr>
        <w:t xml:space="preserve"> </w:t>
      </w:r>
    </w:p>
    <w:p w14:paraId="0CA96CAD" w14:textId="5FD78E15" w:rsidR="00E61374" w:rsidRPr="00D37004" w:rsidRDefault="00E61374" w:rsidP="00E824BA">
      <w:pPr>
        <w:pStyle w:val="Reply"/>
        <w:spacing w:line="240" w:lineRule="auto"/>
        <w:rPr>
          <w:noProof/>
        </w:rPr>
      </w:pPr>
      <w:r w:rsidRPr="00D37004">
        <w:rPr>
          <w:noProof/>
        </w:rPr>
        <w:t xml:space="preserve">All POs dealing with the </w:t>
      </w:r>
      <w:r>
        <w:rPr>
          <w:noProof/>
        </w:rPr>
        <w:t>dependence on cloud and AI computing services provided by non-EU providers</w:t>
      </w:r>
      <w:r w:rsidRPr="00D37004">
        <w:rPr>
          <w:noProof/>
          <w:color w:val="000000" w:themeColor="text1"/>
        </w:rPr>
        <w:t xml:space="preserve"> </w:t>
      </w:r>
      <w:r w:rsidRPr="00D37004">
        <w:rPr>
          <w:noProof/>
        </w:rPr>
        <w:t>(</w:t>
      </w:r>
      <w:r w:rsidRPr="294AF3FA">
        <w:rPr>
          <w:b/>
          <w:noProof/>
        </w:rPr>
        <w:t>PO2-A, PO2-B and PO2-C</w:t>
      </w:r>
      <w:r w:rsidRPr="00D37004">
        <w:rPr>
          <w:noProof/>
        </w:rPr>
        <w:t xml:space="preserve">) are expected to have an indirect impact on </w:t>
      </w:r>
      <w:r w:rsidR="00B02E52">
        <w:rPr>
          <w:noProof/>
        </w:rPr>
        <w:t>DC</w:t>
      </w:r>
      <w:r w:rsidRPr="00D37004">
        <w:rPr>
          <w:noProof/>
        </w:rPr>
        <w:t xml:space="preserve"> capacity in the EU, particularly </w:t>
      </w:r>
      <w:r w:rsidR="00687745" w:rsidRPr="00FA519E">
        <w:rPr>
          <w:b/>
          <w:noProof/>
        </w:rPr>
        <w:t>PO2-C</w:t>
      </w:r>
      <w:r w:rsidR="00687745">
        <w:rPr>
          <w:b/>
          <w:bCs w:val="0"/>
          <w:noProof/>
        </w:rPr>
        <w:t xml:space="preserve"> </w:t>
      </w:r>
      <w:r w:rsidR="00687745">
        <w:rPr>
          <w:noProof/>
        </w:rPr>
        <w:t xml:space="preserve">as </w:t>
      </w:r>
      <w:r w:rsidR="0072737D">
        <w:rPr>
          <w:noProof/>
        </w:rPr>
        <w:t xml:space="preserve">one of </w:t>
      </w:r>
      <w:r w:rsidRPr="00D37004">
        <w:rPr>
          <w:noProof/>
        </w:rPr>
        <w:t>the criteria to identify sovereign services</w:t>
      </w:r>
      <w:r w:rsidR="0072737D">
        <w:rPr>
          <w:noProof/>
        </w:rPr>
        <w:t xml:space="preserve"> across all levels</w:t>
      </w:r>
      <w:r w:rsidRPr="00D37004">
        <w:rPr>
          <w:noProof/>
        </w:rPr>
        <w:t xml:space="preserve"> include</w:t>
      </w:r>
      <w:r w:rsidR="0072737D">
        <w:rPr>
          <w:noProof/>
        </w:rPr>
        <w:t>s the need for</w:t>
      </w:r>
      <w:r w:rsidRPr="00D37004">
        <w:rPr>
          <w:noProof/>
        </w:rPr>
        <w:t xml:space="preserve"> </w:t>
      </w:r>
      <w:r w:rsidR="0072737D">
        <w:rPr>
          <w:noProof/>
        </w:rPr>
        <w:t>infrastructure to be located in</w:t>
      </w:r>
      <w:r w:rsidRPr="00D37004">
        <w:rPr>
          <w:noProof/>
        </w:rPr>
        <w:t xml:space="preserve"> the EU</w:t>
      </w:r>
      <w:r w:rsidR="0072737D">
        <w:rPr>
          <w:noProof/>
        </w:rPr>
        <w:t xml:space="preserve">. Therefore, </w:t>
      </w:r>
      <w:r w:rsidR="00E95881">
        <w:rPr>
          <w:noProof/>
        </w:rPr>
        <w:t xml:space="preserve">if </w:t>
      </w:r>
      <w:r w:rsidR="0072737D">
        <w:rPr>
          <w:noProof/>
        </w:rPr>
        <w:t>the demand for</w:t>
      </w:r>
      <w:r w:rsidR="00E95881">
        <w:rPr>
          <w:noProof/>
        </w:rPr>
        <w:t xml:space="preserve"> sovereign services</w:t>
      </w:r>
      <w:r w:rsidR="0072737D">
        <w:rPr>
          <w:noProof/>
        </w:rPr>
        <w:t xml:space="preserve"> increases</w:t>
      </w:r>
      <w:r w:rsidR="00E95881">
        <w:rPr>
          <w:noProof/>
        </w:rPr>
        <w:t xml:space="preserve">, the infrastructure in the EU will </w:t>
      </w:r>
      <w:r w:rsidR="0072737D">
        <w:rPr>
          <w:noProof/>
        </w:rPr>
        <w:t xml:space="preserve">also </w:t>
      </w:r>
      <w:r w:rsidR="00E95881">
        <w:rPr>
          <w:noProof/>
        </w:rPr>
        <w:t>have to increase</w:t>
      </w:r>
      <w:r w:rsidRPr="00D37004" w:rsidDel="00E95881">
        <w:rPr>
          <w:noProof/>
        </w:rPr>
        <w:t>.</w:t>
      </w:r>
    </w:p>
    <w:p w14:paraId="5ABAE9BC" w14:textId="1A57CB9C" w:rsidR="00E61374" w:rsidRDefault="00E61374" w:rsidP="000B15CF">
      <w:pPr>
        <w:spacing w:before="120"/>
        <w:rPr>
          <w:noProof/>
        </w:rPr>
      </w:pPr>
      <w:r w:rsidRPr="00D37004">
        <w:rPr>
          <w:noProof/>
        </w:rPr>
        <w:t xml:space="preserve">Looking at </w:t>
      </w:r>
      <w:r w:rsidRPr="2A6A1A3F">
        <w:rPr>
          <w:b/>
          <w:bCs/>
          <w:noProof/>
        </w:rPr>
        <w:t>SO2</w:t>
      </w:r>
      <w:r w:rsidR="0072737D">
        <w:rPr>
          <w:b/>
          <w:bCs/>
          <w:noProof/>
        </w:rPr>
        <w:t xml:space="preserve"> </w:t>
      </w:r>
      <w:r w:rsidR="0072737D" w:rsidRPr="00245C9A">
        <w:rPr>
          <w:noProof/>
        </w:rPr>
        <w:t>(</w:t>
      </w:r>
      <w:r w:rsidR="0072737D" w:rsidRPr="00245C9A">
        <w:rPr>
          <w:b/>
          <w:noProof/>
        </w:rPr>
        <w:t>ensure attractive conditions for the deployment of sustainable and innovative computing capacity</w:t>
      </w:r>
      <w:r w:rsidR="0072737D" w:rsidRPr="00245C9A">
        <w:rPr>
          <w:noProof/>
        </w:rPr>
        <w:t>)</w:t>
      </w:r>
      <w:r w:rsidRPr="00245C9A">
        <w:rPr>
          <w:noProof/>
        </w:rPr>
        <w:t>,</w:t>
      </w:r>
      <w:r w:rsidRPr="00D37004">
        <w:rPr>
          <w:noProof/>
        </w:rPr>
        <w:t xml:space="preserve"> </w:t>
      </w:r>
      <w:r w:rsidRPr="2A6A1A3F">
        <w:rPr>
          <w:b/>
          <w:bCs/>
          <w:noProof/>
        </w:rPr>
        <w:t>PO1-A</w:t>
      </w:r>
      <w:r w:rsidR="007B497B" w:rsidRPr="2A6A1A3F">
        <w:rPr>
          <w:b/>
          <w:bCs/>
          <w:noProof/>
        </w:rPr>
        <w:t xml:space="preserve"> </w:t>
      </w:r>
      <w:r w:rsidR="007B497B" w:rsidRPr="2A6A1A3F">
        <w:rPr>
          <w:noProof/>
        </w:rPr>
        <w:t>would</w:t>
      </w:r>
      <w:r w:rsidRPr="00D37004">
        <w:rPr>
          <w:noProof/>
        </w:rPr>
        <w:t xml:space="preserve"> provide a relatively low-cost way to address the bottlenecks that affect </w:t>
      </w:r>
      <w:r w:rsidR="00B02E52">
        <w:rPr>
          <w:noProof/>
        </w:rPr>
        <w:t xml:space="preserve">DC </w:t>
      </w:r>
      <w:r w:rsidRPr="00D37004">
        <w:rPr>
          <w:noProof/>
        </w:rPr>
        <w:t xml:space="preserve">build-out in the EU. However, </w:t>
      </w:r>
      <w:r w:rsidR="00431129">
        <w:rPr>
          <w:noProof/>
        </w:rPr>
        <w:t>it is</w:t>
      </w:r>
      <w:r w:rsidRPr="00D37004">
        <w:rPr>
          <w:noProof/>
        </w:rPr>
        <w:t xml:space="preserve"> expected to have a limited effect on addressing permitting delays, access to resources and capital for strategic projects. Under this scenario, </w:t>
      </w:r>
      <w:r w:rsidR="00817C26">
        <w:rPr>
          <w:noProof/>
        </w:rPr>
        <w:t>attractive conditions for data centre deployment are built through structured dialogue and guidelines, which contribute to reduce uncertainty for businesses and investors during site selection and project design. The reduced transaction costs allow operators to face fewer project redes</w:t>
      </w:r>
      <w:r w:rsidR="00FB3AD1">
        <w:rPr>
          <w:noProof/>
        </w:rPr>
        <w:t xml:space="preserve">igns, while authorities also rely on shared benchmarks. This is expected to somehow reduce </w:t>
      </w:r>
      <w:r w:rsidRPr="00D37004">
        <w:rPr>
          <w:noProof/>
        </w:rPr>
        <w:t>permitting timelines</w:t>
      </w:r>
      <w:r w:rsidRPr="00D37004" w:rsidDel="00FB3AD1">
        <w:rPr>
          <w:noProof/>
        </w:rPr>
        <w:t xml:space="preserve"> </w:t>
      </w:r>
      <w:r w:rsidRPr="00D37004">
        <w:rPr>
          <w:noProof/>
        </w:rPr>
        <w:t>by a few weeks</w:t>
      </w:r>
      <w:r w:rsidDel="00FB3AD1">
        <w:rPr>
          <w:noProof/>
        </w:rPr>
        <w:t xml:space="preserve"> </w:t>
      </w:r>
      <w:r w:rsidR="00094E8B">
        <w:rPr>
          <w:noProof/>
        </w:rPr>
        <w:t>and lower regulatory risks</w:t>
      </w:r>
      <w:r w:rsidR="002254A1">
        <w:rPr>
          <w:noProof/>
        </w:rPr>
        <w:t xml:space="preserve"> but</w:t>
      </w:r>
      <w:r w:rsidR="00094E8B">
        <w:rPr>
          <w:noProof/>
        </w:rPr>
        <w:t xml:space="preserve"> </w:t>
      </w:r>
      <w:r w:rsidR="00802079">
        <w:rPr>
          <w:noProof/>
        </w:rPr>
        <w:t xml:space="preserve">would </w:t>
      </w:r>
      <w:r w:rsidR="00094E8B">
        <w:rPr>
          <w:noProof/>
        </w:rPr>
        <w:t xml:space="preserve">not consistently </w:t>
      </w:r>
      <w:r w:rsidR="00802079">
        <w:rPr>
          <w:noProof/>
        </w:rPr>
        <w:t xml:space="preserve">change </w:t>
      </w:r>
      <w:r w:rsidR="00094E8B">
        <w:rPr>
          <w:noProof/>
        </w:rPr>
        <w:t>the economics of new data centre projects</w:t>
      </w:r>
      <w:r w:rsidRPr="00D37004">
        <w:rPr>
          <w:noProof/>
        </w:rPr>
        <w:t xml:space="preserve">. </w:t>
      </w:r>
      <w:r w:rsidR="00246ECB">
        <w:rPr>
          <w:noProof/>
        </w:rPr>
        <w:t>Similarly, this option</w:t>
      </w:r>
      <w:r w:rsidR="00246ECB" w:rsidRPr="009F2DE7">
        <w:rPr>
          <w:noProof/>
        </w:rPr>
        <w:t xml:space="preserve"> is expected to lead to improvement</w:t>
      </w:r>
      <w:r w:rsidR="00246ECB">
        <w:rPr>
          <w:noProof/>
        </w:rPr>
        <w:t>s</w:t>
      </w:r>
      <w:r w:rsidR="00246ECB" w:rsidRPr="009F2DE7">
        <w:rPr>
          <w:noProof/>
        </w:rPr>
        <w:t xml:space="preserve"> in established markets, without unlocking significant capacity deployment in other regions</w:t>
      </w:r>
      <w:r w:rsidR="00A7210E">
        <w:rPr>
          <w:noProof/>
        </w:rPr>
        <w:t xml:space="preserve"> or alternative locations</w:t>
      </w:r>
      <w:r w:rsidR="00246ECB" w:rsidRPr="009F2DE7">
        <w:rPr>
          <w:noProof/>
        </w:rPr>
        <w:t>, other than through natural market dynamics</w:t>
      </w:r>
      <w:r w:rsidR="00246ECB">
        <w:rPr>
          <w:noProof/>
        </w:rPr>
        <w:t>.</w:t>
      </w:r>
      <w:r w:rsidR="00246ECB" w:rsidRPr="2A6A1A3F">
        <w:rPr>
          <w:b/>
          <w:bCs/>
          <w:noProof/>
        </w:rPr>
        <w:t xml:space="preserve"> </w:t>
      </w:r>
      <w:r w:rsidRPr="2A6A1A3F">
        <w:rPr>
          <w:b/>
          <w:bCs/>
          <w:noProof/>
        </w:rPr>
        <w:t>PO1-B</w:t>
      </w:r>
      <w:r w:rsidRPr="00D37004">
        <w:rPr>
          <w:noProof/>
        </w:rPr>
        <w:t xml:space="preserve"> shows a significant potential to reduce bottlenecks for </w:t>
      </w:r>
      <w:r w:rsidR="00B02E52">
        <w:rPr>
          <w:noProof/>
        </w:rPr>
        <w:t>DC</w:t>
      </w:r>
      <w:r w:rsidRPr="00D37004">
        <w:rPr>
          <w:noProof/>
        </w:rPr>
        <w:t xml:space="preserve"> buildout</w:t>
      </w:r>
      <w:r w:rsidR="008879CF">
        <w:rPr>
          <w:noProof/>
        </w:rPr>
        <w:t xml:space="preserve">, thus </w:t>
      </w:r>
      <w:r w:rsidR="00CC32DD">
        <w:rPr>
          <w:noProof/>
        </w:rPr>
        <w:t>ensuring more attractive</w:t>
      </w:r>
      <w:r w:rsidR="008879CF">
        <w:rPr>
          <w:noProof/>
        </w:rPr>
        <w:t xml:space="preserve"> investment</w:t>
      </w:r>
      <w:r w:rsidR="00CC32DD">
        <w:rPr>
          <w:noProof/>
        </w:rPr>
        <w:t xml:space="preserve"> conditions</w:t>
      </w:r>
      <w:r w:rsidRPr="00D37004" w:rsidDel="00CC32DD">
        <w:rPr>
          <w:noProof/>
        </w:rPr>
        <w:t>.</w:t>
      </w:r>
      <w:r w:rsidRPr="00D37004">
        <w:rPr>
          <w:noProof/>
        </w:rPr>
        <w:t xml:space="preserve"> The introduction of fast-track </w:t>
      </w:r>
      <w:r>
        <w:rPr>
          <w:noProof/>
        </w:rPr>
        <w:t>area</w:t>
      </w:r>
      <w:r w:rsidRPr="00D37004">
        <w:rPr>
          <w:noProof/>
        </w:rPr>
        <w:t xml:space="preserve">s </w:t>
      </w:r>
      <w:r w:rsidR="004F2242">
        <w:rPr>
          <w:noProof/>
        </w:rPr>
        <w:t>would</w:t>
      </w:r>
      <w:r w:rsidRPr="00D37004">
        <w:rPr>
          <w:noProof/>
        </w:rPr>
        <w:t xml:space="preserve"> address inefficient procedures, uncertainty in approval processes and delays that operators cite as critical barriers</w:t>
      </w:r>
      <w:r w:rsidR="000B715D">
        <w:rPr>
          <w:noProof/>
        </w:rPr>
        <w:t>. The systematic mapping of suitable sites</w:t>
      </w:r>
      <w:r w:rsidR="00D05C81">
        <w:rPr>
          <w:noProof/>
        </w:rPr>
        <w:t xml:space="preserve"> and </w:t>
      </w:r>
      <w:r w:rsidR="000B715D">
        <w:rPr>
          <w:noProof/>
        </w:rPr>
        <w:t xml:space="preserve">removal of zoning uncertainty </w:t>
      </w:r>
      <w:r w:rsidR="00D05C81">
        <w:rPr>
          <w:noProof/>
        </w:rPr>
        <w:t>are expected to make land investment-ready and reduce underutilised yet suitable sites. In parallel,</w:t>
      </w:r>
      <w:r w:rsidRPr="00D37004" w:rsidDel="00D05C81">
        <w:rPr>
          <w:noProof/>
        </w:rPr>
        <w:t xml:space="preserve"> the </w:t>
      </w:r>
      <w:r w:rsidRPr="00D37004">
        <w:rPr>
          <w:noProof/>
        </w:rPr>
        <w:t xml:space="preserve">creation of a </w:t>
      </w:r>
      <w:r>
        <w:rPr>
          <w:noProof/>
        </w:rPr>
        <w:t xml:space="preserve">project </w:t>
      </w:r>
      <w:r w:rsidR="00CC32DD">
        <w:rPr>
          <w:noProof/>
        </w:rPr>
        <w:t>facilitator</w:t>
      </w:r>
      <w:r w:rsidRPr="00D37004" w:rsidDel="00543D62">
        <w:rPr>
          <w:noProof/>
        </w:rPr>
        <w:t xml:space="preserve"> </w:t>
      </w:r>
      <w:r w:rsidR="00543D62">
        <w:rPr>
          <w:noProof/>
        </w:rPr>
        <w:t xml:space="preserve">aims to </w:t>
      </w:r>
      <w:r w:rsidR="00450842">
        <w:rPr>
          <w:noProof/>
        </w:rPr>
        <w:t>accelerate administrative processes and</w:t>
      </w:r>
      <w:r w:rsidR="007F5E17">
        <w:rPr>
          <w:noProof/>
        </w:rPr>
        <w:t xml:space="preserve"> is expected to</w:t>
      </w:r>
      <w:r w:rsidR="00450842">
        <w:rPr>
          <w:noProof/>
        </w:rPr>
        <w:t xml:space="preserve"> </w:t>
      </w:r>
      <w:r>
        <w:rPr>
          <w:noProof/>
        </w:rPr>
        <w:t xml:space="preserve">decrease the time for building a new </w:t>
      </w:r>
      <w:r w:rsidR="00B02E52">
        <w:rPr>
          <w:noProof/>
        </w:rPr>
        <w:t>DC</w:t>
      </w:r>
      <w:r>
        <w:rPr>
          <w:noProof/>
        </w:rPr>
        <w:t xml:space="preserve"> facility by at least 6 months</w:t>
      </w:r>
      <w:r w:rsidR="00A831DB">
        <w:rPr>
          <w:rStyle w:val="FootnoteReference"/>
          <w:noProof/>
        </w:rPr>
        <w:footnoteReference w:id="123"/>
      </w:r>
      <w:r w:rsidRPr="00D37004">
        <w:rPr>
          <w:noProof/>
        </w:rPr>
        <w:t xml:space="preserve">. </w:t>
      </w:r>
      <w:r w:rsidR="009F755A">
        <w:rPr>
          <w:noProof/>
        </w:rPr>
        <w:t>This</w:t>
      </w:r>
      <w:r w:rsidR="00CC32DD">
        <w:rPr>
          <w:noProof/>
        </w:rPr>
        <w:t xml:space="preserve"> improved timeline reliability is translated </w:t>
      </w:r>
      <w:r w:rsidR="00582EA7">
        <w:rPr>
          <w:noProof/>
        </w:rPr>
        <w:t xml:space="preserve">as </w:t>
      </w:r>
      <w:r w:rsidR="009F755A">
        <w:rPr>
          <w:noProof/>
        </w:rPr>
        <w:t>higher project Net Present Value and Internal Rates of Return</w:t>
      </w:r>
      <w:r w:rsidR="00582EA7">
        <w:rPr>
          <w:noProof/>
        </w:rPr>
        <w:t xml:space="preserve"> </w:t>
      </w:r>
      <w:r w:rsidR="00C33367">
        <w:rPr>
          <w:noProof/>
        </w:rPr>
        <w:t xml:space="preserve">(IRR) </w:t>
      </w:r>
      <w:r w:rsidR="00582EA7">
        <w:rPr>
          <w:noProof/>
        </w:rPr>
        <w:t>for investors</w:t>
      </w:r>
      <w:r w:rsidR="003D0B25">
        <w:rPr>
          <w:noProof/>
        </w:rPr>
        <w:t>, with an expected increase in private capital mobilisation</w:t>
      </w:r>
      <w:r w:rsidR="00E22B6E">
        <w:rPr>
          <w:noProof/>
        </w:rPr>
        <w:t>.</w:t>
      </w:r>
      <w:r w:rsidR="00D06AAE">
        <w:rPr>
          <w:noProof/>
        </w:rPr>
        <w:t xml:space="preserve"> </w:t>
      </w:r>
      <w:r w:rsidR="00C33367">
        <w:rPr>
          <w:noProof/>
        </w:rPr>
        <w:t xml:space="preserve">Under this option, projects’ IRR would rise by over 80 basis points with respect to the baseline, increasing from 9.86% to </w:t>
      </w:r>
      <w:r w:rsidR="00497E6E">
        <w:rPr>
          <w:noProof/>
        </w:rPr>
        <w:t xml:space="preserve">10.70%. This shift is expected to enhance investor </w:t>
      </w:r>
      <w:r w:rsidR="00210D4B">
        <w:rPr>
          <w:noProof/>
        </w:rPr>
        <w:t xml:space="preserve">appetite, as confirmed by interviews </w:t>
      </w:r>
      <w:r w:rsidR="005F6C09">
        <w:rPr>
          <w:noProof/>
        </w:rPr>
        <w:t>with investors</w:t>
      </w:r>
      <w:r w:rsidR="007540D1">
        <w:rPr>
          <w:noProof/>
        </w:rPr>
        <w:t xml:space="preserve">, </w:t>
      </w:r>
      <w:r w:rsidR="007A4902">
        <w:rPr>
          <w:noProof/>
        </w:rPr>
        <w:t>who highlighted that</w:t>
      </w:r>
      <w:r w:rsidR="00645B61">
        <w:rPr>
          <w:noProof/>
        </w:rPr>
        <w:t xml:space="preserve"> this shift in IRR can reposition assets within investor target bands, improving competitiveness against alternative infrastructure investments and affecting bankability</w:t>
      </w:r>
      <w:r w:rsidR="009C3C81">
        <w:rPr>
          <w:rStyle w:val="FootnoteReference"/>
          <w:noProof/>
        </w:rPr>
        <w:footnoteReference w:id="124"/>
      </w:r>
      <w:r w:rsidR="009C3C81">
        <w:rPr>
          <w:noProof/>
        </w:rPr>
        <w:t>.</w:t>
      </w:r>
      <w:r w:rsidR="005F6C09">
        <w:rPr>
          <w:noProof/>
        </w:rPr>
        <w:t xml:space="preserve"> </w:t>
      </w:r>
      <w:r w:rsidR="00FE2D50" w:rsidRPr="00FE2D50">
        <w:rPr>
          <w:noProof/>
          <w:lang w:val="en-IE"/>
        </w:rPr>
        <w:t xml:space="preserve">This is particularly relevant for mid-sized European data centres (typically 5–25 MW), which are aligned with institutional investment ticket sizes but face tighter margins and higher relative development risk than hyperscaler projects. </w:t>
      </w:r>
      <w:r w:rsidR="007F5E17">
        <w:rPr>
          <w:noProof/>
        </w:rPr>
        <w:t>Where needed, n</w:t>
      </w:r>
      <w:r w:rsidR="006D6B43">
        <w:rPr>
          <w:noProof/>
        </w:rPr>
        <w:t xml:space="preserve">ational funding support (PM6) </w:t>
      </w:r>
      <w:r w:rsidR="007F5E17">
        <w:rPr>
          <w:noProof/>
        </w:rPr>
        <w:t>can help lower</w:t>
      </w:r>
      <w:r w:rsidR="006D6B43">
        <w:rPr>
          <w:noProof/>
        </w:rPr>
        <w:t xml:space="preserve"> capital and operating costs, improving project bankability and investment decisions</w:t>
      </w:r>
      <w:r w:rsidR="00E579ED">
        <w:rPr>
          <w:noProof/>
        </w:rPr>
        <w:t>,</w:t>
      </w:r>
      <w:r w:rsidR="00B84CEB">
        <w:rPr>
          <w:noProof/>
        </w:rPr>
        <w:t xml:space="preserve"> </w:t>
      </w:r>
      <w:r w:rsidR="006D6B43">
        <w:rPr>
          <w:noProof/>
        </w:rPr>
        <w:t xml:space="preserve">especially for smaller providers, thus </w:t>
      </w:r>
      <w:r w:rsidR="00FB12C4">
        <w:rPr>
          <w:noProof/>
        </w:rPr>
        <w:t xml:space="preserve">lowering </w:t>
      </w:r>
      <w:r w:rsidR="008D0F52">
        <w:rPr>
          <w:noProof/>
        </w:rPr>
        <w:t xml:space="preserve">their </w:t>
      </w:r>
      <w:r w:rsidR="00FB12C4">
        <w:rPr>
          <w:noProof/>
        </w:rPr>
        <w:t>entry barriers</w:t>
      </w:r>
      <w:r w:rsidR="0006794F">
        <w:rPr>
          <w:noProof/>
        </w:rPr>
        <w:t xml:space="preserve"> in the market</w:t>
      </w:r>
      <w:r w:rsidR="006D6B43">
        <w:rPr>
          <w:noProof/>
        </w:rPr>
        <w:t xml:space="preserve">. Sweden has provided a useful example of how tax incentives could be poorly managed if not linked to specific energy objectives and subsequent </w:t>
      </w:r>
      <w:r w:rsidR="004A1A48">
        <w:rPr>
          <w:noProof/>
        </w:rPr>
        <w:t>evaluation</w:t>
      </w:r>
      <w:r w:rsidR="006D6B43">
        <w:rPr>
          <w:rStyle w:val="EndnoteReference"/>
          <w:noProof/>
        </w:rPr>
        <w:endnoteReference w:id="195"/>
      </w:r>
      <w:r w:rsidR="006D6B43">
        <w:rPr>
          <w:noProof/>
        </w:rPr>
        <w:t xml:space="preserve">. </w:t>
      </w:r>
      <w:r w:rsidR="00D06AAE">
        <w:rPr>
          <w:noProof/>
        </w:rPr>
        <w:t xml:space="preserve">Monitoring deployment is also expected to increase policy credibility and </w:t>
      </w:r>
      <w:r w:rsidR="00693EA0">
        <w:rPr>
          <w:noProof/>
        </w:rPr>
        <w:t>transparent information for investors.</w:t>
      </w:r>
      <w:r w:rsidRPr="00D37004">
        <w:rPr>
          <w:noProof/>
        </w:rPr>
        <w:t xml:space="preserve"> </w:t>
      </w:r>
      <w:r w:rsidR="00A7210E">
        <w:rPr>
          <w:noProof/>
        </w:rPr>
        <w:t>By targeting the drivers of geographic clustering</w:t>
      </w:r>
      <w:r w:rsidR="00580459">
        <w:rPr>
          <w:noProof/>
        </w:rPr>
        <w:t xml:space="preserve"> </w:t>
      </w:r>
      <w:r w:rsidR="000B16E4">
        <w:rPr>
          <w:noProof/>
        </w:rPr>
        <w:t>(i.e.</w:t>
      </w:r>
      <w:r w:rsidR="009375BA">
        <w:rPr>
          <w:noProof/>
        </w:rPr>
        <w:t xml:space="preserve"> </w:t>
      </w:r>
      <w:r w:rsidR="002854AD">
        <w:rPr>
          <w:noProof/>
        </w:rPr>
        <w:t xml:space="preserve">divergent frameworks, </w:t>
      </w:r>
      <w:r w:rsidR="009375BA">
        <w:rPr>
          <w:noProof/>
        </w:rPr>
        <w:t>path dependency</w:t>
      </w:r>
      <w:r w:rsidR="002854AD">
        <w:rPr>
          <w:noProof/>
        </w:rPr>
        <w:t>, uninternalized externalities</w:t>
      </w:r>
      <w:r w:rsidR="00DC53E3">
        <w:rPr>
          <w:noProof/>
        </w:rPr>
        <w:t>)</w:t>
      </w:r>
      <w:r w:rsidR="000B16E4">
        <w:rPr>
          <w:noProof/>
        </w:rPr>
        <w:t xml:space="preserve"> </w:t>
      </w:r>
      <w:r w:rsidR="00580459">
        <w:rPr>
          <w:noProof/>
        </w:rPr>
        <w:t>and lowering entry barriers in underutilised regions, this</w:t>
      </w:r>
      <w:r w:rsidR="003C532E">
        <w:rPr>
          <w:noProof/>
        </w:rPr>
        <w:t xml:space="preserve"> option is expected to unlock </w:t>
      </w:r>
      <w:r w:rsidR="00AE1863" w:rsidRPr="009F2DE7">
        <w:rPr>
          <w:noProof/>
        </w:rPr>
        <w:t>investment in secondary markets, e.g. Italy or Portugal, and in developing regions, e.g. Bulgaria</w:t>
      </w:r>
      <w:r w:rsidR="00AE1863">
        <w:rPr>
          <w:rStyle w:val="FootnoteReference"/>
          <w:noProof/>
        </w:rPr>
        <w:footnoteReference w:id="125"/>
      </w:r>
      <w:r w:rsidR="00265ABF">
        <w:rPr>
          <w:noProof/>
        </w:rPr>
        <w:t>, leading to</w:t>
      </w:r>
      <w:r w:rsidR="000B16E4">
        <w:rPr>
          <w:noProof/>
        </w:rPr>
        <w:t xml:space="preserve"> a rebalancing of capacity across the EU</w:t>
      </w:r>
      <w:r w:rsidR="00AE1863" w:rsidRPr="009F2DE7">
        <w:rPr>
          <w:noProof/>
        </w:rPr>
        <w:t>.</w:t>
      </w:r>
      <w:r w:rsidR="00B84CEB">
        <w:rPr>
          <w:noProof/>
        </w:rPr>
        <w:t xml:space="preserve"> </w:t>
      </w:r>
      <w:r w:rsidRPr="2A6A1A3F">
        <w:rPr>
          <w:b/>
          <w:bCs/>
          <w:noProof/>
        </w:rPr>
        <w:t xml:space="preserve">PO1-C, </w:t>
      </w:r>
      <w:r w:rsidRPr="00D37004">
        <w:rPr>
          <w:noProof/>
        </w:rPr>
        <w:t>although effective</w:t>
      </w:r>
      <w:r w:rsidRPr="2A6A1A3F">
        <w:rPr>
          <w:b/>
          <w:bCs/>
          <w:noProof/>
        </w:rPr>
        <w:t xml:space="preserve"> </w:t>
      </w:r>
      <w:r w:rsidRPr="00D37004">
        <w:rPr>
          <w:noProof/>
        </w:rPr>
        <w:t xml:space="preserve">at addressing fragmentation and promoting harmonisation through EU-level coordination, </w:t>
      </w:r>
      <w:r w:rsidR="0072737D">
        <w:rPr>
          <w:noProof/>
        </w:rPr>
        <w:t>is expected to be</w:t>
      </w:r>
      <w:r w:rsidRPr="00D37004">
        <w:rPr>
          <w:noProof/>
        </w:rPr>
        <w:t xml:space="preserve"> less effective in achieving relevant reductions in permitting duration</w:t>
      </w:r>
      <w:r w:rsidR="004D51F9">
        <w:rPr>
          <w:noProof/>
        </w:rPr>
        <w:t xml:space="preserve"> and financing conditions of projects</w:t>
      </w:r>
      <w:r w:rsidRPr="00D37004">
        <w:rPr>
          <w:noProof/>
        </w:rPr>
        <w:t xml:space="preserve">. </w:t>
      </w:r>
      <w:r w:rsidR="004D51F9">
        <w:rPr>
          <w:noProof/>
        </w:rPr>
        <w:t xml:space="preserve">On one hand, </w:t>
      </w:r>
      <w:r w:rsidR="009F0A6E">
        <w:rPr>
          <w:noProof/>
        </w:rPr>
        <w:t xml:space="preserve">R&amp;D funding and deployment </w:t>
      </w:r>
      <w:r w:rsidR="006502B8">
        <w:rPr>
          <w:noProof/>
        </w:rPr>
        <w:t xml:space="preserve">funding would be a relevant political signal towards the development of sustainable digital infrastructure. </w:t>
      </w:r>
      <w:r w:rsidR="002E40F4">
        <w:rPr>
          <w:noProof/>
        </w:rPr>
        <w:t>EU-level coordination would</w:t>
      </w:r>
      <w:r w:rsidR="004D51F9">
        <w:rPr>
          <w:noProof/>
        </w:rPr>
        <w:t xml:space="preserve"> also</w:t>
      </w:r>
      <w:r w:rsidR="002E40F4">
        <w:rPr>
          <w:noProof/>
        </w:rPr>
        <w:t xml:space="preserve"> help minimise regulatory hurdles for cross-border investors</w:t>
      </w:r>
      <w:r w:rsidR="00981900">
        <w:rPr>
          <w:noProof/>
        </w:rPr>
        <w:t xml:space="preserve">. </w:t>
      </w:r>
      <w:r w:rsidR="00D90FDC">
        <w:rPr>
          <w:noProof/>
        </w:rPr>
        <w:t>With respect to promoting</w:t>
      </w:r>
      <w:r w:rsidR="00617B60">
        <w:rPr>
          <w:noProof/>
        </w:rPr>
        <w:t xml:space="preserve"> a more geographically balanced distribution of capacity</w:t>
      </w:r>
      <w:r w:rsidR="005E009D">
        <w:rPr>
          <w:noProof/>
        </w:rPr>
        <w:t xml:space="preserve"> and</w:t>
      </w:r>
      <w:r w:rsidR="00640722">
        <w:rPr>
          <w:noProof/>
        </w:rPr>
        <w:t xml:space="preserve"> increase land optimisation</w:t>
      </w:r>
      <w:r w:rsidR="00617B60">
        <w:rPr>
          <w:noProof/>
        </w:rPr>
        <w:t xml:space="preserve">, </w:t>
      </w:r>
      <w:r w:rsidR="00617B60" w:rsidRPr="009F2DE7">
        <w:rPr>
          <w:noProof/>
        </w:rPr>
        <w:t>EU-level decision making is</w:t>
      </w:r>
      <w:r w:rsidR="006E5211">
        <w:rPr>
          <w:noProof/>
        </w:rPr>
        <w:t xml:space="preserve">, in principle, </w:t>
      </w:r>
      <w:r w:rsidR="009E2953">
        <w:rPr>
          <w:noProof/>
        </w:rPr>
        <w:t xml:space="preserve">best </w:t>
      </w:r>
      <w:r w:rsidR="00617B60" w:rsidRPr="009F2DE7">
        <w:rPr>
          <w:noProof/>
        </w:rPr>
        <w:t xml:space="preserve">placed to steer </w:t>
      </w:r>
      <w:r w:rsidR="009E2953">
        <w:rPr>
          <w:noProof/>
        </w:rPr>
        <w:t>deployment</w:t>
      </w:r>
      <w:r w:rsidR="00EB33DF">
        <w:rPr>
          <w:noProof/>
        </w:rPr>
        <w:t xml:space="preserve"> towards an</w:t>
      </w:r>
      <w:r w:rsidR="00617B60" w:rsidRPr="009F2DE7">
        <w:rPr>
          <w:noProof/>
        </w:rPr>
        <w:t xml:space="preserve"> optimal </w:t>
      </w:r>
      <w:r w:rsidR="00EB33DF">
        <w:rPr>
          <w:noProof/>
        </w:rPr>
        <w:t xml:space="preserve">territorial </w:t>
      </w:r>
      <w:r w:rsidR="008C586E">
        <w:rPr>
          <w:noProof/>
        </w:rPr>
        <w:t>allocation</w:t>
      </w:r>
      <w:r w:rsidR="00617B60" w:rsidRPr="009F2DE7">
        <w:rPr>
          <w:noProof/>
        </w:rPr>
        <w:t xml:space="preserve"> of computing </w:t>
      </w:r>
      <w:r w:rsidR="008C586E">
        <w:rPr>
          <w:noProof/>
        </w:rPr>
        <w:t>infrastructure. However, its</w:t>
      </w:r>
      <w:r w:rsidR="005D046F">
        <w:rPr>
          <w:noProof/>
        </w:rPr>
        <w:t xml:space="preserve"> effectiveness in reaching this objective is contingent on</w:t>
      </w:r>
      <w:r w:rsidR="00617B60" w:rsidRPr="009F2DE7">
        <w:rPr>
          <w:noProof/>
        </w:rPr>
        <w:t xml:space="preserve"> local </w:t>
      </w:r>
      <w:r w:rsidR="00640722">
        <w:rPr>
          <w:noProof/>
        </w:rPr>
        <w:t>engagement</w:t>
      </w:r>
      <w:r w:rsidR="00E102C1">
        <w:rPr>
          <w:noProof/>
        </w:rPr>
        <w:t>,</w:t>
      </w:r>
      <w:r w:rsidR="00617B60" w:rsidRPr="009F2DE7">
        <w:rPr>
          <w:noProof/>
        </w:rPr>
        <w:t xml:space="preserve"> which </w:t>
      </w:r>
      <w:r w:rsidR="002E361D">
        <w:rPr>
          <w:noProof/>
        </w:rPr>
        <w:t xml:space="preserve">may </w:t>
      </w:r>
      <w:r w:rsidR="00135127">
        <w:rPr>
          <w:noProof/>
        </w:rPr>
        <w:t>be harder</w:t>
      </w:r>
      <w:r w:rsidR="002E361D">
        <w:rPr>
          <w:noProof/>
        </w:rPr>
        <w:t xml:space="preserve"> to secure than</w:t>
      </w:r>
      <w:r w:rsidR="00617B60" w:rsidRPr="009F2DE7">
        <w:rPr>
          <w:noProof/>
        </w:rPr>
        <w:t xml:space="preserve"> under PO1-B.</w:t>
      </w:r>
      <w:r w:rsidR="00617B60">
        <w:rPr>
          <w:noProof/>
        </w:rPr>
        <w:t xml:space="preserve"> </w:t>
      </w:r>
      <w:r>
        <w:rPr>
          <w:noProof/>
        </w:rPr>
        <w:t>Industry consultations highlighted that the</w:t>
      </w:r>
      <w:r w:rsidRPr="00D37004">
        <w:rPr>
          <w:noProof/>
        </w:rPr>
        <w:t xml:space="preserve"> creation of additional governance layers could slow down decision-making processes, especially if still requiring national or local review. Thus, this option is expected to be less effective than PO1-B in addressing barriers to deployment.</w:t>
      </w:r>
    </w:p>
    <w:p w14:paraId="029347D5" w14:textId="1D0E5CCE" w:rsidR="001615D7" w:rsidRDefault="00E61374" w:rsidP="001615D7">
      <w:pPr>
        <w:rPr>
          <w:noProof/>
        </w:rPr>
      </w:pPr>
      <w:r w:rsidRPr="00D37004">
        <w:rPr>
          <w:noProof/>
        </w:rPr>
        <w:t xml:space="preserve">For </w:t>
      </w:r>
      <w:r w:rsidRPr="2A6A1A3F">
        <w:rPr>
          <w:b/>
          <w:bCs/>
          <w:noProof/>
        </w:rPr>
        <w:t>SO3</w:t>
      </w:r>
      <w:r w:rsidR="005D1C5F">
        <w:rPr>
          <w:b/>
          <w:bCs/>
          <w:noProof/>
        </w:rPr>
        <w:t xml:space="preserve"> </w:t>
      </w:r>
      <w:r w:rsidR="005D1C5F" w:rsidRPr="00820428">
        <w:rPr>
          <w:noProof/>
        </w:rPr>
        <w:t>(</w:t>
      </w:r>
      <w:r w:rsidR="005D1C5F" w:rsidRPr="008C296E">
        <w:rPr>
          <w:b/>
          <w:noProof/>
        </w:rPr>
        <w:t>decrease the overall reliance on non-European cloud and AI computing services</w:t>
      </w:r>
      <w:r w:rsidR="005D1C5F" w:rsidRPr="00820428">
        <w:rPr>
          <w:noProof/>
        </w:rPr>
        <w:t>)</w:t>
      </w:r>
      <w:r w:rsidRPr="2A6A1A3F">
        <w:rPr>
          <w:b/>
          <w:bCs/>
          <w:noProof/>
        </w:rPr>
        <w:t>,</w:t>
      </w:r>
      <w:r w:rsidRPr="2A6A1A3F">
        <w:rPr>
          <w:i/>
          <w:iCs/>
          <w:noProof/>
        </w:rPr>
        <w:t xml:space="preserve"> </w:t>
      </w:r>
      <w:r w:rsidRPr="2A6A1A3F">
        <w:rPr>
          <w:b/>
          <w:bCs/>
          <w:noProof/>
        </w:rPr>
        <w:t xml:space="preserve">PO2-A </w:t>
      </w:r>
      <w:r w:rsidRPr="00D37004">
        <w:rPr>
          <w:noProof/>
        </w:rPr>
        <w:t xml:space="preserve">is expected to have limited </w:t>
      </w:r>
      <w:r w:rsidR="00392133">
        <w:rPr>
          <w:noProof/>
        </w:rPr>
        <w:t>effectiveness relative to the baseline</w:t>
      </w:r>
      <w:r w:rsidRPr="00D37004">
        <w:rPr>
          <w:noProof/>
        </w:rPr>
        <w:t xml:space="preserve">. </w:t>
      </w:r>
      <w:r w:rsidR="00392133">
        <w:rPr>
          <w:noProof/>
        </w:rPr>
        <w:t>Harmonised</w:t>
      </w:r>
      <w:r w:rsidR="001A7558">
        <w:rPr>
          <w:noProof/>
        </w:rPr>
        <w:t xml:space="preserve"> criteria</w:t>
      </w:r>
      <w:r w:rsidRPr="00D37004">
        <w:rPr>
          <w:noProof/>
        </w:rPr>
        <w:t xml:space="preserve">, guidelines and a dedicated conference, </w:t>
      </w:r>
      <w:r w:rsidR="007B6DD5">
        <w:rPr>
          <w:noProof/>
        </w:rPr>
        <w:t xml:space="preserve">are expected to </w:t>
      </w:r>
      <w:r w:rsidRPr="00D37004">
        <w:rPr>
          <w:noProof/>
        </w:rPr>
        <w:t xml:space="preserve">increase clarity </w:t>
      </w:r>
      <w:r w:rsidR="007B6DD5">
        <w:rPr>
          <w:noProof/>
        </w:rPr>
        <w:t>and promote a more coherent understanding of</w:t>
      </w:r>
      <w:r w:rsidRPr="00D37004">
        <w:rPr>
          <w:noProof/>
        </w:rPr>
        <w:t xml:space="preserve"> the concept of sovereignty. </w:t>
      </w:r>
      <w:r w:rsidR="007B6DD5">
        <w:rPr>
          <w:noProof/>
        </w:rPr>
        <w:t xml:space="preserve">This may reduce information asymmetries and improve comparability of service offerings, especially in public procurement. </w:t>
      </w:r>
      <w:r w:rsidRPr="00D37004">
        <w:rPr>
          <w:noProof/>
        </w:rPr>
        <w:t>However,</w:t>
      </w:r>
      <w:r w:rsidRPr="00D37004" w:rsidDel="007B6DD5">
        <w:rPr>
          <w:noProof/>
        </w:rPr>
        <w:t xml:space="preserve"> </w:t>
      </w:r>
      <w:r w:rsidR="007B6DD5">
        <w:rPr>
          <w:noProof/>
        </w:rPr>
        <w:t xml:space="preserve">these measures are unlikely, on their own, to shift demand away from non-European cloud and AI computing services. </w:t>
      </w:r>
      <w:r w:rsidRPr="00D37004">
        <w:rPr>
          <w:noProof/>
        </w:rPr>
        <w:t xml:space="preserve">In the absence of clear </w:t>
      </w:r>
      <w:r w:rsidR="003109CA">
        <w:rPr>
          <w:noProof/>
        </w:rPr>
        <w:t xml:space="preserve">and robust </w:t>
      </w:r>
      <w:r w:rsidRPr="00D37004">
        <w:rPr>
          <w:noProof/>
        </w:rPr>
        <w:t xml:space="preserve">assessment </w:t>
      </w:r>
      <w:r w:rsidR="00215259">
        <w:rPr>
          <w:noProof/>
        </w:rPr>
        <w:t>mechanisms</w:t>
      </w:r>
      <w:r w:rsidR="00215259" w:rsidRPr="00D37004">
        <w:rPr>
          <w:noProof/>
        </w:rPr>
        <w:t xml:space="preserve"> </w:t>
      </w:r>
      <w:r w:rsidRPr="00D37004">
        <w:rPr>
          <w:noProof/>
        </w:rPr>
        <w:t xml:space="preserve">to verify </w:t>
      </w:r>
      <w:r w:rsidR="00215259">
        <w:rPr>
          <w:noProof/>
        </w:rPr>
        <w:t>the harmoni</w:t>
      </w:r>
      <w:r w:rsidR="003109CA">
        <w:rPr>
          <w:noProof/>
        </w:rPr>
        <w:t>s</w:t>
      </w:r>
      <w:r w:rsidR="00215259">
        <w:rPr>
          <w:noProof/>
        </w:rPr>
        <w:t>ed criteria</w:t>
      </w:r>
      <w:r w:rsidRPr="00D37004">
        <w:rPr>
          <w:noProof/>
        </w:rPr>
        <w:t xml:space="preserve">, </w:t>
      </w:r>
      <w:r w:rsidR="006F71A6">
        <w:rPr>
          <w:noProof/>
        </w:rPr>
        <w:t>sovereignty claims would remain self-declared and the notion of sovereignty</w:t>
      </w:r>
      <w:r w:rsidRPr="00D37004">
        <w:rPr>
          <w:noProof/>
        </w:rPr>
        <w:t xml:space="preserve"> risks remaining a marketing tool with little or no effect </w:t>
      </w:r>
      <w:r w:rsidR="00245586">
        <w:rPr>
          <w:noProof/>
        </w:rPr>
        <w:t>i</w:t>
      </w:r>
      <w:r w:rsidRPr="00D37004">
        <w:rPr>
          <w:noProof/>
        </w:rPr>
        <w:t>n trust building.</w:t>
      </w:r>
      <w:r w:rsidR="001B53E2">
        <w:rPr>
          <w:noProof/>
        </w:rPr>
        <w:t xml:space="preserve"> </w:t>
      </w:r>
      <w:r w:rsidR="007D60A2">
        <w:rPr>
          <w:noProof/>
        </w:rPr>
        <w:t>E</w:t>
      </w:r>
      <w:r w:rsidR="001B53E2" w:rsidRPr="00D37004">
        <w:rPr>
          <w:noProof/>
        </w:rPr>
        <w:t>nsuring the effectiveness of the interoperability provisions of the Data Act</w:t>
      </w:r>
      <w:r w:rsidR="001B53E2">
        <w:rPr>
          <w:noProof/>
        </w:rPr>
        <w:t xml:space="preserve"> would contribute to </w:t>
      </w:r>
      <w:r w:rsidR="007D60A2">
        <w:rPr>
          <w:noProof/>
        </w:rPr>
        <w:t>creating</w:t>
      </w:r>
      <w:r w:rsidR="001B53E2" w:rsidRPr="001B53E2">
        <w:rPr>
          <w:noProof/>
        </w:rPr>
        <w:t xml:space="preserve"> opportunities for </w:t>
      </w:r>
      <w:r w:rsidR="001B53E2">
        <w:rPr>
          <w:noProof/>
        </w:rPr>
        <w:t xml:space="preserve">EU providers to </w:t>
      </w:r>
      <w:r w:rsidR="001B53E2" w:rsidRPr="001B53E2">
        <w:rPr>
          <w:noProof/>
        </w:rPr>
        <w:t>buil</w:t>
      </w:r>
      <w:r w:rsidR="001B53E2">
        <w:rPr>
          <w:noProof/>
        </w:rPr>
        <w:t>d</w:t>
      </w:r>
      <w:r w:rsidR="001B53E2" w:rsidRPr="001B53E2">
        <w:rPr>
          <w:noProof/>
        </w:rPr>
        <w:t xml:space="preserve"> integrated offers</w:t>
      </w:r>
      <w:r w:rsidR="007D60A2">
        <w:rPr>
          <w:noProof/>
        </w:rPr>
        <w:t xml:space="preserve">. </w:t>
      </w:r>
      <w:r w:rsidR="007D60A2" w:rsidRPr="00DF383E">
        <w:rPr>
          <w:noProof/>
        </w:rPr>
        <w:t xml:space="preserve">However, </w:t>
      </w:r>
      <w:r w:rsidR="007D60A2" w:rsidRPr="00205116">
        <w:rPr>
          <w:noProof/>
        </w:rPr>
        <w:t>t</w:t>
      </w:r>
      <w:r w:rsidR="00954D52" w:rsidRPr="00DF383E">
        <w:rPr>
          <w:noProof/>
        </w:rPr>
        <w:t>he Data Act’s effects</w:t>
      </w:r>
      <w:r w:rsidR="00A63BC9" w:rsidRPr="00DF383E">
        <w:rPr>
          <w:noProof/>
        </w:rPr>
        <w:t xml:space="preserve"> remain to be seen, given its recent adoption</w:t>
      </w:r>
      <w:r w:rsidR="003C71AE">
        <w:rPr>
          <w:noProof/>
        </w:rPr>
        <w:t>.</w:t>
      </w:r>
      <w:r w:rsidR="003C71AE" w:rsidRPr="00DF383E">
        <w:rPr>
          <w:noProof/>
        </w:rPr>
        <w:t xml:space="preserve"> </w:t>
      </w:r>
      <w:r w:rsidR="001F596D" w:rsidRPr="00DF383E">
        <w:rPr>
          <w:noProof/>
        </w:rPr>
        <w:t>The main consequences of this</w:t>
      </w:r>
      <w:r w:rsidR="001F596D">
        <w:rPr>
          <w:noProof/>
        </w:rPr>
        <w:t xml:space="preserve"> option would reside in the gradual standardisation of </w:t>
      </w:r>
      <w:r w:rsidR="00185D8B">
        <w:rPr>
          <w:noProof/>
        </w:rPr>
        <w:t>the services</w:t>
      </w:r>
      <w:r w:rsidR="001F596D">
        <w:rPr>
          <w:noProof/>
        </w:rPr>
        <w:t xml:space="preserve">, </w:t>
      </w:r>
      <w:r w:rsidR="00ED7170">
        <w:rPr>
          <w:noProof/>
        </w:rPr>
        <w:t xml:space="preserve">coupled with measures to promote interoperability, rather than a structural change </w:t>
      </w:r>
      <w:r w:rsidR="00E00E2A">
        <w:rPr>
          <w:noProof/>
        </w:rPr>
        <w:t xml:space="preserve">in procurement or deployment choices, which would alter </w:t>
      </w:r>
      <w:r w:rsidR="00EF60A6">
        <w:rPr>
          <w:noProof/>
        </w:rPr>
        <w:t xml:space="preserve">existing </w:t>
      </w:r>
      <w:r w:rsidR="00E00E2A">
        <w:rPr>
          <w:noProof/>
        </w:rPr>
        <w:t xml:space="preserve">market dynamics. </w:t>
      </w:r>
      <w:r w:rsidRPr="2A6A1A3F">
        <w:rPr>
          <w:b/>
          <w:bCs/>
          <w:noProof/>
        </w:rPr>
        <w:t xml:space="preserve">PO2-B </w:t>
      </w:r>
      <w:r w:rsidRPr="00D37004">
        <w:rPr>
          <w:noProof/>
        </w:rPr>
        <w:t>is expected to be</w:t>
      </w:r>
      <w:r w:rsidRPr="00D37004" w:rsidDel="00981F68">
        <w:rPr>
          <w:noProof/>
        </w:rPr>
        <w:t xml:space="preserve"> </w:t>
      </w:r>
      <w:r w:rsidR="00981F68">
        <w:rPr>
          <w:noProof/>
        </w:rPr>
        <w:t>moderately</w:t>
      </w:r>
      <w:r w:rsidR="00981F68" w:rsidRPr="00D37004">
        <w:rPr>
          <w:noProof/>
        </w:rPr>
        <w:t xml:space="preserve"> </w:t>
      </w:r>
      <w:r w:rsidRPr="00D37004">
        <w:rPr>
          <w:noProof/>
        </w:rPr>
        <w:t>effective in meeting this objective.</w:t>
      </w:r>
      <w:r w:rsidRPr="00D37004" w:rsidDel="00245586">
        <w:rPr>
          <w:noProof/>
        </w:rPr>
        <w:t xml:space="preserve"> </w:t>
      </w:r>
      <w:r w:rsidR="00981F68">
        <w:rPr>
          <w:noProof/>
        </w:rPr>
        <w:t>A</w:t>
      </w:r>
      <w:r>
        <w:rPr>
          <w:noProof/>
        </w:rPr>
        <w:t xml:space="preserve"> </w:t>
      </w:r>
      <w:r w:rsidRPr="00D15999">
        <w:rPr>
          <w:noProof/>
        </w:rPr>
        <w:t xml:space="preserve">voluntary </w:t>
      </w:r>
      <w:r w:rsidR="00981F68" w:rsidRPr="000C072D">
        <w:rPr>
          <w:noProof/>
        </w:rPr>
        <w:t xml:space="preserve">sovereignty framework </w:t>
      </w:r>
      <w:r w:rsidR="00D15999" w:rsidRPr="00D15999">
        <w:rPr>
          <w:noProof/>
        </w:rPr>
        <w:t>combined</w:t>
      </w:r>
      <w:r w:rsidR="00D15999">
        <w:rPr>
          <w:noProof/>
        </w:rPr>
        <w:t xml:space="preserve"> with</w:t>
      </w:r>
      <w:r w:rsidRPr="00D37004">
        <w:rPr>
          <w:noProof/>
        </w:rPr>
        <w:t xml:space="preserve"> </w:t>
      </w:r>
      <w:r w:rsidR="00C57AF0">
        <w:rPr>
          <w:noProof/>
        </w:rPr>
        <w:t xml:space="preserve">voluntary </w:t>
      </w:r>
      <w:r w:rsidRPr="00D37004">
        <w:rPr>
          <w:noProof/>
        </w:rPr>
        <w:t xml:space="preserve">award criteria </w:t>
      </w:r>
      <w:r>
        <w:rPr>
          <w:noProof/>
        </w:rPr>
        <w:t xml:space="preserve">that </w:t>
      </w:r>
      <w:r w:rsidR="009F7A6C">
        <w:rPr>
          <w:noProof/>
        </w:rPr>
        <w:t>give weights to factors such as the</w:t>
      </w:r>
      <w:r>
        <w:rPr>
          <w:noProof/>
        </w:rPr>
        <w:t xml:space="preserve"> resilience of the EU cloud supply chain </w:t>
      </w:r>
      <w:r w:rsidR="009F7A6C">
        <w:rPr>
          <w:noProof/>
        </w:rPr>
        <w:t xml:space="preserve">are expected to </w:t>
      </w:r>
      <w:r w:rsidRPr="00D37004">
        <w:rPr>
          <w:noProof/>
        </w:rPr>
        <w:t xml:space="preserve">strengthen trust in </w:t>
      </w:r>
      <w:r>
        <w:rPr>
          <w:noProof/>
        </w:rPr>
        <w:t>cloud and AI computing technologies</w:t>
      </w:r>
      <w:r w:rsidRPr="00D37004">
        <w:rPr>
          <w:noProof/>
        </w:rPr>
        <w:t>, especially for the public sector</w:t>
      </w:r>
      <w:r w:rsidR="009F7A6C">
        <w:rPr>
          <w:noProof/>
        </w:rPr>
        <w:t>.</w:t>
      </w:r>
      <w:r w:rsidR="00EB6497">
        <w:rPr>
          <w:noProof/>
        </w:rPr>
        <w:t xml:space="preserve"> </w:t>
      </w:r>
      <w:r w:rsidR="009F7A6C">
        <w:rPr>
          <w:noProof/>
        </w:rPr>
        <w:t>Th</w:t>
      </w:r>
      <w:r w:rsidR="00781C1A">
        <w:rPr>
          <w:noProof/>
        </w:rPr>
        <w:t>r</w:t>
      </w:r>
      <w:r w:rsidR="003A0659">
        <w:rPr>
          <w:noProof/>
        </w:rPr>
        <w:t>ough spillover</w:t>
      </w:r>
      <w:r w:rsidR="00EB6497">
        <w:rPr>
          <w:noProof/>
        </w:rPr>
        <w:t>s</w:t>
      </w:r>
      <w:r w:rsidR="003A0659">
        <w:rPr>
          <w:noProof/>
        </w:rPr>
        <w:t>, parts of the private sector could also be impacted</w:t>
      </w:r>
      <w:r w:rsidR="00C93BEB">
        <w:rPr>
          <w:noProof/>
        </w:rPr>
        <w:t xml:space="preserve">, notably in </w:t>
      </w:r>
      <w:r w:rsidR="00CD61FE">
        <w:rPr>
          <w:noProof/>
        </w:rPr>
        <w:t>sectors</w:t>
      </w:r>
      <w:r w:rsidR="006F6B7A">
        <w:rPr>
          <w:noProof/>
        </w:rPr>
        <w:t xml:space="preserve"> where sovereignty </w:t>
      </w:r>
      <w:r w:rsidR="003A0659">
        <w:rPr>
          <w:noProof/>
        </w:rPr>
        <w:t>considerations are strategically important</w:t>
      </w:r>
      <w:r w:rsidRPr="00D37004">
        <w:rPr>
          <w:noProof/>
        </w:rPr>
        <w:t>. By enabling the federation of</w:t>
      </w:r>
      <w:r w:rsidRPr="00D37004" w:rsidDel="001508C2">
        <w:rPr>
          <w:noProof/>
        </w:rPr>
        <w:t xml:space="preserve"> </w:t>
      </w:r>
      <w:r w:rsidRPr="00D37004">
        <w:rPr>
          <w:noProof/>
        </w:rPr>
        <w:t xml:space="preserve">computing capacity, as opposed to procuring from </w:t>
      </w:r>
      <w:r w:rsidRPr="00D37004" w:rsidDel="003A0659">
        <w:rPr>
          <w:noProof/>
        </w:rPr>
        <w:t xml:space="preserve">external </w:t>
      </w:r>
      <w:r w:rsidRPr="00D37004">
        <w:rPr>
          <w:noProof/>
        </w:rPr>
        <w:t xml:space="preserve">providers, </w:t>
      </w:r>
      <w:r w:rsidR="003A0659">
        <w:rPr>
          <w:noProof/>
        </w:rPr>
        <w:t>the option would produce more concrete substitution effects than PO2-A or the baseline</w:t>
      </w:r>
      <w:r w:rsidRPr="00D37004">
        <w:rPr>
          <w:noProof/>
        </w:rPr>
        <w:t xml:space="preserve">. </w:t>
      </w:r>
      <w:r w:rsidR="0055488E">
        <w:rPr>
          <w:noProof/>
        </w:rPr>
        <w:t>The</w:t>
      </w:r>
      <w:r w:rsidR="00215CF3">
        <w:rPr>
          <w:noProof/>
        </w:rPr>
        <w:t xml:space="preserve"> option is expected to broaden the range of eligible procurement models for public authorities, e.g. in terms of tender design, vendor evaluation, without mandating a universal switch to sovereign solutions.</w:t>
      </w:r>
      <w:r w:rsidR="00EB6497">
        <w:rPr>
          <w:noProof/>
        </w:rPr>
        <w:t xml:space="preserve"> The vendor-neutral cloud and AI computing services training programme </w:t>
      </w:r>
      <w:r w:rsidR="00485842">
        <w:rPr>
          <w:noProof/>
        </w:rPr>
        <w:t>is also expected to reduce the reliance on few, vendor-specific training and certification programmes. The overall effe</w:t>
      </w:r>
      <w:r w:rsidR="0055488E">
        <w:rPr>
          <w:noProof/>
        </w:rPr>
        <w:t xml:space="preserve">ctiveness </w:t>
      </w:r>
      <w:r w:rsidR="00485842">
        <w:rPr>
          <w:noProof/>
        </w:rPr>
        <w:t xml:space="preserve">of the option in decreasing the reliance </w:t>
      </w:r>
      <w:r w:rsidR="001A311B">
        <w:rPr>
          <w:noProof/>
        </w:rPr>
        <w:t>on non-European cloud and AI computing services would depend</w:t>
      </w:r>
      <w:r w:rsidR="0055488E">
        <w:rPr>
          <w:noProof/>
        </w:rPr>
        <w:t xml:space="preserve"> on </w:t>
      </w:r>
      <w:r w:rsidR="00215CF3">
        <w:rPr>
          <w:noProof/>
        </w:rPr>
        <w:t>authorities’</w:t>
      </w:r>
      <w:r w:rsidR="0055488E">
        <w:rPr>
          <w:noProof/>
        </w:rPr>
        <w:t xml:space="preserve"> administrative capacity</w:t>
      </w:r>
      <w:r w:rsidR="00F20D8C">
        <w:rPr>
          <w:noProof/>
        </w:rPr>
        <w:t>, procurement design</w:t>
      </w:r>
      <w:r w:rsidR="0055488E">
        <w:rPr>
          <w:noProof/>
        </w:rPr>
        <w:t xml:space="preserve"> and</w:t>
      </w:r>
      <w:r w:rsidR="00215CF3">
        <w:rPr>
          <w:noProof/>
        </w:rPr>
        <w:t xml:space="preserve"> consequent</w:t>
      </w:r>
      <w:r w:rsidR="0055488E">
        <w:rPr>
          <w:noProof/>
        </w:rPr>
        <w:t xml:space="preserve"> market responsi</w:t>
      </w:r>
      <w:r w:rsidR="00BE040E">
        <w:rPr>
          <w:noProof/>
        </w:rPr>
        <w:t>veness</w:t>
      </w:r>
      <w:r w:rsidR="00F20D8C">
        <w:rPr>
          <w:noProof/>
        </w:rPr>
        <w:t xml:space="preserve">. </w:t>
      </w:r>
      <w:r w:rsidR="00215CF3">
        <w:rPr>
          <w:noProof/>
        </w:rPr>
        <w:t xml:space="preserve">It could reduce some exposure to third country </w:t>
      </w:r>
      <w:r w:rsidR="00160BBB">
        <w:rPr>
          <w:noProof/>
        </w:rPr>
        <w:t xml:space="preserve">dependencies if contracting authorities choose services with stronger EU control features. </w:t>
      </w:r>
      <w:r w:rsidRPr="00D37004">
        <w:rPr>
          <w:noProof/>
        </w:rPr>
        <w:t xml:space="preserve">This PO’s weakness lies in the voluntary nature of </w:t>
      </w:r>
      <w:r w:rsidR="00B560FD">
        <w:rPr>
          <w:noProof/>
        </w:rPr>
        <w:t>the proposed measures</w:t>
      </w:r>
      <w:r w:rsidRPr="00D37004">
        <w:rPr>
          <w:noProof/>
        </w:rPr>
        <w:t xml:space="preserve">, which could result in uneven adoption across </w:t>
      </w:r>
      <w:r w:rsidR="00B560FD">
        <w:rPr>
          <w:noProof/>
        </w:rPr>
        <w:t>Member States</w:t>
      </w:r>
      <w:r w:rsidRPr="00D37004">
        <w:rPr>
          <w:noProof/>
        </w:rPr>
        <w:t xml:space="preserve">. </w:t>
      </w:r>
      <w:r w:rsidRPr="2A6A1A3F">
        <w:rPr>
          <w:b/>
          <w:bCs/>
          <w:noProof/>
        </w:rPr>
        <w:t xml:space="preserve">PO2-C </w:t>
      </w:r>
      <w:r w:rsidRPr="00D37004">
        <w:rPr>
          <w:noProof/>
        </w:rPr>
        <w:t xml:space="preserve">is </w:t>
      </w:r>
      <w:r w:rsidR="00101CC3">
        <w:rPr>
          <w:noProof/>
        </w:rPr>
        <w:t xml:space="preserve">expected to be </w:t>
      </w:r>
      <w:r w:rsidRPr="00D37004">
        <w:rPr>
          <w:noProof/>
        </w:rPr>
        <w:t xml:space="preserve">the most effective </w:t>
      </w:r>
      <w:r w:rsidR="00101CC3">
        <w:rPr>
          <w:noProof/>
        </w:rPr>
        <w:t xml:space="preserve">option </w:t>
      </w:r>
      <w:r w:rsidRPr="00D37004">
        <w:rPr>
          <w:noProof/>
        </w:rPr>
        <w:t xml:space="preserve">in </w:t>
      </w:r>
      <w:r w:rsidR="00101CC3">
        <w:rPr>
          <w:noProof/>
        </w:rPr>
        <w:t>reducing the reliance on non-EU cloud and AI services</w:t>
      </w:r>
      <w:r w:rsidR="00032C52">
        <w:rPr>
          <w:noProof/>
        </w:rPr>
        <w:t>. The combination of</w:t>
      </w:r>
      <w:r w:rsidR="00846B81">
        <w:rPr>
          <w:noProof/>
        </w:rPr>
        <w:t xml:space="preserve"> j</w:t>
      </w:r>
      <w:r w:rsidRPr="00D37004">
        <w:rPr>
          <w:noProof/>
        </w:rPr>
        <w:t>oint procurement</w:t>
      </w:r>
      <w:r w:rsidR="004F069F">
        <w:rPr>
          <w:noProof/>
        </w:rPr>
        <w:t xml:space="preserve"> mechanism</w:t>
      </w:r>
      <w:r w:rsidRPr="00D37004">
        <w:rPr>
          <w:noProof/>
        </w:rPr>
        <w:t xml:space="preserve">, the </w:t>
      </w:r>
      <w:r w:rsidRPr="00032C52">
        <w:rPr>
          <w:noProof/>
        </w:rPr>
        <w:t xml:space="preserve">mandatory </w:t>
      </w:r>
      <w:r w:rsidR="00032C52">
        <w:rPr>
          <w:noProof/>
        </w:rPr>
        <w:t xml:space="preserve">sovereignty risk assessment and </w:t>
      </w:r>
      <w:r w:rsidR="005871B7">
        <w:rPr>
          <w:noProof/>
        </w:rPr>
        <w:t xml:space="preserve">mandatory </w:t>
      </w:r>
      <w:r w:rsidR="00032C52">
        <w:rPr>
          <w:noProof/>
        </w:rPr>
        <w:t>award criteria</w:t>
      </w:r>
      <w:r w:rsidRPr="00D37004">
        <w:rPr>
          <w:noProof/>
        </w:rPr>
        <w:t xml:space="preserve">, </w:t>
      </w:r>
      <w:r w:rsidR="00D0605C">
        <w:rPr>
          <w:noProof/>
        </w:rPr>
        <w:t>along with the promotion of open source solutions is</w:t>
      </w:r>
      <w:r w:rsidRPr="00D37004">
        <w:rPr>
          <w:noProof/>
        </w:rPr>
        <w:t xml:space="preserve"> expected to </w:t>
      </w:r>
      <w:r w:rsidR="00D0605C">
        <w:rPr>
          <w:noProof/>
        </w:rPr>
        <w:t>have more substantial impact on market outcomes</w:t>
      </w:r>
      <w:r w:rsidR="00DC6D72">
        <w:rPr>
          <w:noProof/>
        </w:rPr>
        <w:t xml:space="preserve"> compared to other options and the baseline. </w:t>
      </w:r>
      <w:r w:rsidR="005B3FB0" w:rsidRPr="0005764B">
        <w:rPr>
          <w:noProof/>
        </w:rPr>
        <w:t xml:space="preserve">Unlike softer </w:t>
      </w:r>
      <w:r w:rsidR="005B3FB0">
        <w:rPr>
          <w:noProof/>
        </w:rPr>
        <w:t>or voluntary measures</w:t>
      </w:r>
      <w:r w:rsidR="005B3FB0" w:rsidRPr="0005764B">
        <w:rPr>
          <w:noProof/>
        </w:rPr>
        <w:t>, this package embed</w:t>
      </w:r>
      <w:r w:rsidR="005B3FB0">
        <w:rPr>
          <w:noProof/>
        </w:rPr>
        <w:t>s</w:t>
      </w:r>
      <w:r w:rsidR="005B3FB0" w:rsidRPr="0005764B">
        <w:rPr>
          <w:noProof/>
        </w:rPr>
        <w:t xml:space="preserve"> </w:t>
      </w:r>
      <w:r w:rsidR="005B3FB0">
        <w:rPr>
          <w:noProof/>
        </w:rPr>
        <w:t xml:space="preserve">an approach to </w:t>
      </w:r>
      <w:r w:rsidR="005B3FB0" w:rsidRPr="0005764B">
        <w:rPr>
          <w:noProof/>
        </w:rPr>
        <w:t>sovereignty into market access and purchasing decisions</w:t>
      </w:r>
      <w:r w:rsidR="005B3FB0">
        <w:rPr>
          <w:noProof/>
        </w:rPr>
        <w:t>, going beyond mere clarification or incentives</w:t>
      </w:r>
      <w:r w:rsidR="005B3FB0" w:rsidRPr="0005764B">
        <w:rPr>
          <w:noProof/>
        </w:rPr>
        <w:t>.</w:t>
      </w:r>
      <w:r w:rsidR="005B3FB0">
        <w:rPr>
          <w:noProof/>
        </w:rPr>
        <w:t xml:space="preserve"> First, </w:t>
      </w:r>
      <w:r w:rsidR="005B3FB0" w:rsidRPr="005B3FB0">
        <w:rPr>
          <w:noProof/>
        </w:rPr>
        <w:t xml:space="preserve">the </w:t>
      </w:r>
      <w:r w:rsidR="005B3FB0" w:rsidRPr="0060109F">
        <w:rPr>
          <w:b/>
          <w:bCs/>
          <w:noProof/>
        </w:rPr>
        <w:t>mandatory sovereignty risk assessment</w:t>
      </w:r>
      <w:r w:rsidR="005B3FB0" w:rsidRPr="0005764B">
        <w:rPr>
          <w:noProof/>
        </w:rPr>
        <w:t xml:space="preserve"> </w:t>
      </w:r>
      <w:r w:rsidR="005B3FB0">
        <w:rPr>
          <w:noProof/>
        </w:rPr>
        <w:t>for procuring cloud and AI services plays a crucial role in embedding sovereignty and dependency-related considerations into procurement decisions. This measure ensures that contracting authorities procure services considering the sovereignty implications of decisions, leading to more informed choices. By bringing clarity with respect to the u</w:t>
      </w:r>
      <w:r w:rsidR="005B3FB0" w:rsidRPr="00F53CD5">
        <w:rPr>
          <w:noProof/>
        </w:rPr>
        <w:t xml:space="preserve">se cases </w:t>
      </w:r>
      <w:r w:rsidR="005B3FB0">
        <w:rPr>
          <w:noProof/>
        </w:rPr>
        <w:t xml:space="preserve">for which </w:t>
      </w:r>
      <w:r w:rsidR="005B3FB0" w:rsidRPr="00F53CD5">
        <w:rPr>
          <w:noProof/>
        </w:rPr>
        <w:t xml:space="preserve">cloud and AI computing services </w:t>
      </w:r>
      <w:r w:rsidR="005B3FB0">
        <w:rPr>
          <w:noProof/>
        </w:rPr>
        <w:t xml:space="preserve">shall be procured </w:t>
      </w:r>
      <w:r w:rsidR="005B3FB0" w:rsidRPr="00F53CD5">
        <w:rPr>
          <w:noProof/>
        </w:rPr>
        <w:t xml:space="preserve">under </w:t>
      </w:r>
      <w:r w:rsidR="005B3FB0">
        <w:rPr>
          <w:noProof/>
        </w:rPr>
        <w:t xml:space="preserve">specific </w:t>
      </w:r>
      <w:r w:rsidR="005B3FB0" w:rsidRPr="00F53CD5">
        <w:rPr>
          <w:noProof/>
        </w:rPr>
        <w:t>sovereign level</w:t>
      </w:r>
      <w:r w:rsidR="005B3FB0">
        <w:rPr>
          <w:noProof/>
        </w:rPr>
        <w:t>s, the approach contributes to reducing the reliance on non-EU cloud and AI services</w:t>
      </w:r>
      <w:r w:rsidR="005B3FB0" w:rsidRPr="00F53CD5">
        <w:rPr>
          <w:noProof/>
        </w:rPr>
        <w:t xml:space="preserve">. </w:t>
      </w:r>
      <w:r w:rsidR="005B3FB0">
        <w:rPr>
          <w:noProof/>
        </w:rPr>
        <w:t>In fact, levels 3-4, which are estimated to cover 10% of the public sector’s needs, would need to be served by EU providers to address and ensure the protection of public order in the public sector.</w:t>
      </w:r>
      <w:r w:rsidR="00FE13ED">
        <w:rPr>
          <w:noProof/>
        </w:rPr>
        <w:t xml:space="preserve"> </w:t>
      </w:r>
      <w:r w:rsidR="00A96DC1">
        <w:rPr>
          <w:noProof/>
        </w:rPr>
        <w:t>M</w:t>
      </w:r>
      <w:r w:rsidR="005B3FB0" w:rsidRPr="00B54D83">
        <w:rPr>
          <w:noProof/>
        </w:rPr>
        <w:t xml:space="preserve">ost procurement cases </w:t>
      </w:r>
      <w:r w:rsidR="005B3FB0">
        <w:rPr>
          <w:noProof/>
        </w:rPr>
        <w:t>would fall</w:t>
      </w:r>
      <w:r w:rsidR="005B3FB0" w:rsidRPr="00B54D83">
        <w:rPr>
          <w:noProof/>
        </w:rPr>
        <w:t xml:space="preserve"> under intermediate levels of sovereignty, where non-EU providers </w:t>
      </w:r>
      <w:r w:rsidR="00104B87">
        <w:rPr>
          <w:noProof/>
        </w:rPr>
        <w:t>can participate</w:t>
      </w:r>
      <w:r w:rsidR="005B3FB0" w:rsidRPr="00B54D83">
        <w:rPr>
          <w:noProof/>
        </w:rPr>
        <w:t>. However, EU providers are likely to face fewer difficulties in complying with the sovereignty requirements, giving them a competitive edge</w:t>
      </w:r>
      <w:r w:rsidR="004626DC">
        <w:rPr>
          <w:noProof/>
        </w:rPr>
        <w:t xml:space="preserve"> (the reasoning for these numbers is presented under the descriptions of policy measures PM15 and PM21 in section 5.2.</w:t>
      </w:r>
      <w:r w:rsidR="006A6964">
        <w:rPr>
          <w:noProof/>
        </w:rPr>
        <w:t>2</w:t>
      </w:r>
      <w:r w:rsidR="00CC03AA">
        <w:rPr>
          <w:noProof/>
        </w:rPr>
        <w:t xml:space="preserve">, and the coverage of </w:t>
      </w:r>
      <w:r w:rsidR="00FE3706">
        <w:rPr>
          <w:noProof/>
        </w:rPr>
        <w:t xml:space="preserve">the necessary range of </w:t>
      </w:r>
      <w:r w:rsidR="00361171">
        <w:rPr>
          <w:noProof/>
        </w:rPr>
        <w:t xml:space="preserve">services by </w:t>
      </w:r>
      <w:r w:rsidR="00D77836">
        <w:rPr>
          <w:noProof/>
        </w:rPr>
        <w:t>EU providers in section</w:t>
      </w:r>
      <w:r w:rsidR="00302FD4">
        <w:rPr>
          <w:noProof/>
        </w:rPr>
        <w:t xml:space="preserve"> 2.3.1</w:t>
      </w:r>
      <w:r w:rsidR="006A6964">
        <w:rPr>
          <w:noProof/>
        </w:rPr>
        <w:t>)</w:t>
      </w:r>
      <w:r w:rsidR="005B3FB0" w:rsidRPr="00B54D83">
        <w:rPr>
          <w:noProof/>
        </w:rPr>
        <w:t xml:space="preserve">. </w:t>
      </w:r>
      <w:r w:rsidR="00E95E82">
        <w:rPr>
          <w:noProof/>
        </w:rPr>
        <w:t xml:space="preserve">Moreover, with a view to reducing critical dependencies, the </w:t>
      </w:r>
      <w:r w:rsidR="00E95E82" w:rsidRPr="00043295">
        <w:rPr>
          <w:b/>
          <w:noProof/>
        </w:rPr>
        <w:t>non-price award criteria</w:t>
      </w:r>
      <w:r w:rsidR="00E95E82">
        <w:rPr>
          <w:noProof/>
        </w:rPr>
        <w:t xml:space="preserve"> would allow public authorities to procure cloud and AI computing services </w:t>
      </w:r>
      <w:r w:rsidR="00ED597F">
        <w:rPr>
          <w:noProof/>
        </w:rPr>
        <w:t>with a higher l</w:t>
      </w:r>
      <w:r w:rsidR="00433A9D">
        <w:rPr>
          <w:noProof/>
        </w:rPr>
        <w:t>evel of</w:t>
      </w:r>
      <w:r w:rsidR="00645940">
        <w:rPr>
          <w:noProof/>
        </w:rPr>
        <w:t xml:space="preserve"> </w:t>
      </w:r>
      <w:r w:rsidR="00410DC3">
        <w:rPr>
          <w:noProof/>
        </w:rPr>
        <w:t>local</w:t>
      </w:r>
      <w:r w:rsidR="00645940">
        <w:rPr>
          <w:noProof/>
        </w:rPr>
        <w:t xml:space="preserve"> </w:t>
      </w:r>
      <w:r w:rsidR="00043295">
        <w:rPr>
          <w:noProof/>
        </w:rPr>
        <w:t>added value</w:t>
      </w:r>
      <w:r w:rsidR="00E95E82">
        <w:rPr>
          <w:noProof/>
        </w:rPr>
        <w:t xml:space="preserve">. The overall monitoring framework managed by the Commission would support Member States in assessing the market presence of EU providers. By advancing an EU-coordinated procurement and support framework for sovereign services, the option is also expected to increase trust in cloud and AI computing services and accelerate the cloudification of on-premises solutions of the most critical use cases, while creating market opportunities for sovereign European cloud providers. This approach is also expected to create broader spillover effects beyond the public sector. </w:t>
      </w:r>
      <w:r w:rsidR="001E7644">
        <w:rPr>
          <w:noProof/>
        </w:rPr>
        <w:t xml:space="preserve">Notably, the </w:t>
      </w:r>
      <w:r w:rsidR="000526ED">
        <w:rPr>
          <w:noProof/>
        </w:rPr>
        <w:t xml:space="preserve">mandatory nature of the </w:t>
      </w:r>
      <w:r w:rsidR="003B3F30">
        <w:rPr>
          <w:noProof/>
        </w:rPr>
        <w:t>sovereignty framework</w:t>
      </w:r>
      <w:r w:rsidR="000526ED">
        <w:rPr>
          <w:noProof/>
        </w:rPr>
        <w:t xml:space="preserve"> </w:t>
      </w:r>
      <w:r w:rsidR="005553DE">
        <w:rPr>
          <w:noProof/>
        </w:rPr>
        <w:t xml:space="preserve">as well as the proposed extended risk assessment for essential entities of the private sector listed under Annex I NIS 2 to address </w:t>
      </w:r>
      <w:r w:rsidR="001C5089">
        <w:rPr>
          <w:noProof/>
        </w:rPr>
        <w:t>sovereignty-related</w:t>
      </w:r>
      <w:r w:rsidR="005553DE">
        <w:rPr>
          <w:noProof/>
        </w:rPr>
        <w:t xml:space="preserve"> risks </w:t>
      </w:r>
      <w:r w:rsidR="007F2B70">
        <w:rPr>
          <w:noProof/>
        </w:rPr>
        <w:t>are</w:t>
      </w:r>
      <w:r w:rsidR="000526ED">
        <w:rPr>
          <w:noProof/>
        </w:rPr>
        <w:t xml:space="preserve"> expected to create a wider spillover effect compared to that of PO2-B</w:t>
      </w:r>
      <w:r w:rsidR="005150FA">
        <w:rPr>
          <w:noProof/>
        </w:rPr>
        <w:t>.</w:t>
      </w:r>
      <w:r w:rsidR="00FC765E">
        <w:rPr>
          <w:noProof/>
        </w:rPr>
        <w:t xml:space="preserve"> The main challenge that could hinder the adoption of sovereign services in the private sector could </w:t>
      </w:r>
      <w:r w:rsidR="6B89B72A">
        <w:rPr>
          <w:noProof/>
        </w:rPr>
        <w:t xml:space="preserve">be </w:t>
      </w:r>
      <w:r w:rsidR="00271AE2">
        <w:rPr>
          <w:noProof/>
        </w:rPr>
        <w:t xml:space="preserve">a </w:t>
      </w:r>
      <w:r w:rsidR="00FC765E">
        <w:rPr>
          <w:noProof/>
        </w:rPr>
        <w:t xml:space="preserve">“sovereignty-premium price” </w:t>
      </w:r>
      <w:r w:rsidR="00324E91">
        <w:rPr>
          <w:noProof/>
        </w:rPr>
        <w:t xml:space="preserve">whose range remains subject </w:t>
      </w:r>
      <w:r w:rsidR="001B0591">
        <w:rPr>
          <w:noProof/>
        </w:rPr>
        <w:t>to be established (see discussion un</w:t>
      </w:r>
      <w:r w:rsidR="000C1D12">
        <w:rPr>
          <w:noProof/>
        </w:rPr>
        <w:t>der section 2.3.4)</w:t>
      </w:r>
      <w:r w:rsidR="00D90805">
        <w:rPr>
          <w:noProof/>
        </w:rPr>
        <w:t xml:space="preserve">. However, several companies </w:t>
      </w:r>
      <w:r w:rsidR="00366AE4">
        <w:rPr>
          <w:noProof/>
        </w:rPr>
        <w:t xml:space="preserve">in critical sectors </w:t>
      </w:r>
      <w:r w:rsidR="00D90805">
        <w:rPr>
          <w:noProof/>
        </w:rPr>
        <w:t>have already</w:t>
      </w:r>
      <w:r w:rsidR="00366AE4">
        <w:rPr>
          <w:noProof/>
        </w:rPr>
        <w:t xml:space="preserve"> publicly</w:t>
      </w:r>
      <w:r w:rsidR="00D90805">
        <w:rPr>
          <w:noProof/>
        </w:rPr>
        <w:t xml:space="preserve"> </w:t>
      </w:r>
      <w:r w:rsidR="00366AE4">
        <w:rPr>
          <w:noProof/>
        </w:rPr>
        <w:t>manifested their interest in those solutions and are moving towards that direction</w:t>
      </w:r>
      <w:r w:rsidR="006E4E99">
        <w:rPr>
          <w:rStyle w:val="FootnoteReference"/>
          <w:noProof/>
        </w:rPr>
        <w:footnoteReference w:id="126"/>
      </w:r>
      <w:r w:rsidR="005553DE">
        <w:rPr>
          <w:noProof/>
        </w:rPr>
        <w:t xml:space="preserve">. </w:t>
      </w:r>
      <w:r w:rsidRPr="00D37004">
        <w:rPr>
          <w:noProof/>
        </w:rPr>
        <w:t xml:space="preserve">This would be amplified through the </w:t>
      </w:r>
      <w:r>
        <w:rPr>
          <w:noProof/>
        </w:rPr>
        <w:t>SME</w:t>
      </w:r>
      <w:r w:rsidRPr="00D37004">
        <w:rPr>
          <w:noProof/>
        </w:rPr>
        <w:t xml:space="preserve"> </w:t>
      </w:r>
      <w:r>
        <w:rPr>
          <w:noProof/>
        </w:rPr>
        <w:t>support</w:t>
      </w:r>
      <w:r w:rsidRPr="00D37004">
        <w:rPr>
          <w:noProof/>
        </w:rPr>
        <w:t xml:space="preserve"> scheme fostering</w:t>
      </w:r>
      <w:r w:rsidRPr="00D37004" w:rsidDel="007835E0">
        <w:rPr>
          <w:noProof/>
        </w:rPr>
        <w:t xml:space="preserve"> </w:t>
      </w:r>
      <w:r w:rsidRPr="00D37004">
        <w:rPr>
          <w:noProof/>
        </w:rPr>
        <w:t xml:space="preserve">cloud and AI adoption among SMEs, </w:t>
      </w:r>
      <w:r w:rsidRPr="00DF383E">
        <w:rPr>
          <w:noProof/>
        </w:rPr>
        <w:t xml:space="preserve">and the creation of </w:t>
      </w:r>
      <w:r w:rsidR="00DF383E" w:rsidRPr="00A56F99">
        <w:rPr>
          <w:noProof/>
        </w:rPr>
        <w:t>toolbox</w:t>
      </w:r>
      <w:r w:rsidR="006708FD" w:rsidRPr="00DF383E">
        <w:rPr>
          <w:noProof/>
        </w:rPr>
        <w:t xml:space="preserve"> for the integration of EU providers solutions</w:t>
      </w:r>
      <w:r w:rsidRPr="00DF383E">
        <w:rPr>
          <w:noProof/>
        </w:rPr>
        <w:t>, which</w:t>
      </w:r>
      <w:r w:rsidRPr="00D37004">
        <w:rPr>
          <w:noProof/>
        </w:rPr>
        <w:t xml:space="preserve"> is expected to increase the visibility of EU</w:t>
      </w:r>
      <w:r w:rsidR="006B25A5">
        <w:rPr>
          <w:noProof/>
        </w:rPr>
        <w:t xml:space="preserve"> sovereign</w:t>
      </w:r>
      <w:r w:rsidRPr="00D37004">
        <w:rPr>
          <w:noProof/>
        </w:rPr>
        <w:t xml:space="preserve"> services. </w:t>
      </w:r>
      <w:r w:rsidR="009C63D2">
        <w:rPr>
          <w:noProof/>
        </w:rPr>
        <w:t xml:space="preserve">Building on this, </w:t>
      </w:r>
      <w:r w:rsidR="009C63D2" w:rsidRPr="001615D7">
        <w:rPr>
          <w:noProof/>
        </w:rPr>
        <w:t xml:space="preserve">the </w:t>
      </w:r>
      <w:r w:rsidR="009C63D2" w:rsidRPr="00023066">
        <w:rPr>
          <w:b/>
          <w:bCs/>
          <w:noProof/>
        </w:rPr>
        <w:t>joint procurement mechanism</w:t>
      </w:r>
      <w:r w:rsidR="009C63D2">
        <w:rPr>
          <w:noProof/>
        </w:rPr>
        <w:t xml:space="preserve"> allows public sector organisations to pool their purchasing power, creating a larger and more stable market for </w:t>
      </w:r>
      <w:r w:rsidR="003B3379">
        <w:rPr>
          <w:i/>
          <w:iCs/>
          <w:noProof/>
        </w:rPr>
        <w:t>inter alia</w:t>
      </w:r>
      <w:r w:rsidR="009C63D2">
        <w:rPr>
          <w:noProof/>
        </w:rPr>
        <w:t xml:space="preserve"> EU providers. </w:t>
      </w:r>
      <w:r w:rsidR="00061ABC">
        <w:rPr>
          <w:noProof/>
        </w:rPr>
        <w:t>This mechanism is also expected to attract more investment, reduce costs and improve the overall competitiveness of EU providers, making them comparable alternatives to non-E</w:t>
      </w:r>
      <w:r w:rsidR="384FEAD0">
        <w:rPr>
          <w:noProof/>
        </w:rPr>
        <w:t>U</w:t>
      </w:r>
      <w:r w:rsidR="00061ABC">
        <w:rPr>
          <w:noProof/>
        </w:rPr>
        <w:t xml:space="preserve"> providers</w:t>
      </w:r>
      <w:r w:rsidR="00061ABC">
        <w:rPr>
          <w:rStyle w:val="FootnoteReference"/>
          <w:noProof/>
        </w:rPr>
        <w:footnoteReference w:id="127"/>
      </w:r>
      <w:r w:rsidR="00061ABC">
        <w:rPr>
          <w:noProof/>
        </w:rPr>
        <w:t xml:space="preserve">. </w:t>
      </w:r>
      <w:r w:rsidR="009C63D2">
        <w:rPr>
          <w:noProof/>
        </w:rPr>
        <w:t>Moreover, t</w:t>
      </w:r>
      <w:r w:rsidR="009C63D2" w:rsidRPr="00D37004">
        <w:rPr>
          <w:noProof/>
        </w:rPr>
        <w:t>he</w:t>
      </w:r>
      <w:r w:rsidRPr="00D37004">
        <w:rPr>
          <w:noProof/>
        </w:rPr>
        <w:t xml:space="preserve"> promotion of open</w:t>
      </w:r>
      <w:r>
        <w:rPr>
          <w:noProof/>
        </w:rPr>
        <w:t xml:space="preserve"> </w:t>
      </w:r>
      <w:r w:rsidRPr="00D37004">
        <w:rPr>
          <w:noProof/>
        </w:rPr>
        <w:t xml:space="preserve">source solutions within public administrations would </w:t>
      </w:r>
      <w:r w:rsidR="003D5E30">
        <w:rPr>
          <w:noProof/>
        </w:rPr>
        <w:t xml:space="preserve">further </w:t>
      </w:r>
      <w:r w:rsidRPr="00D37004">
        <w:rPr>
          <w:noProof/>
        </w:rPr>
        <w:t xml:space="preserve">reinforce </w:t>
      </w:r>
      <w:r w:rsidR="00DE4A35">
        <w:rPr>
          <w:noProof/>
        </w:rPr>
        <w:t>this objective by</w:t>
      </w:r>
      <w:r w:rsidR="00E830C5">
        <w:rPr>
          <w:noProof/>
        </w:rPr>
        <w:t xml:space="preserve"> improving fairness and transparency</w:t>
      </w:r>
      <w:r w:rsidR="00FE3364">
        <w:rPr>
          <w:noProof/>
        </w:rPr>
        <w:t>,</w:t>
      </w:r>
      <w:r w:rsidR="00DE4A35">
        <w:rPr>
          <w:noProof/>
        </w:rPr>
        <w:t xml:space="preserve"> reducing </w:t>
      </w:r>
      <w:r w:rsidRPr="00D37004">
        <w:rPr>
          <w:noProof/>
        </w:rPr>
        <w:t xml:space="preserve">vendor lock-in, </w:t>
      </w:r>
      <w:r w:rsidR="001615D7">
        <w:rPr>
          <w:noProof/>
        </w:rPr>
        <w:t>stimulating</w:t>
      </w:r>
      <w:r w:rsidR="001615D7" w:rsidRPr="00327B75">
        <w:rPr>
          <w:noProof/>
        </w:rPr>
        <w:t xml:space="preserve"> competition among providers</w:t>
      </w:r>
      <w:r w:rsidR="001615D7">
        <w:rPr>
          <w:noProof/>
        </w:rPr>
        <w:t>, and opening the market to alternative solutions</w:t>
      </w:r>
      <w:r w:rsidR="00370706">
        <w:rPr>
          <w:noProof/>
        </w:rPr>
        <w:t xml:space="preserve"> and </w:t>
      </w:r>
      <w:r w:rsidR="00155E74">
        <w:rPr>
          <w:noProof/>
        </w:rPr>
        <w:t>to</w:t>
      </w:r>
      <w:r w:rsidR="00370706">
        <w:rPr>
          <w:noProof/>
        </w:rPr>
        <w:t xml:space="preserve"> new entrants</w:t>
      </w:r>
      <w:r w:rsidR="001615D7">
        <w:rPr>
          <w:noProof/>
        </w:rPr>
        <w:t>.</w:t>
      </w:r>
      <w:r w:rsidR="001615D7" w:rsidRPr="00B54D83">
        <w:rPr>
          <w:rFonts w:eastAsia="Times New Roman"/>
          <w:noProof/>
          <w:lang w:eastAsia="en-IE"/>
        </w:rPr>
        <w:t xml:space="preserve"> </w:t>
      </w:r>
      <w:r w:rsidR="001615D7" w:rsidRPr="00B54D83">
        <w:rPr>
          <w:noProof/>
        </w:rPr>
        <w:t>This measure encourages innovation and local development, creating opportunities for European companies to thrive in the cloud and AI market</w:t>
      </w:r>
      <w:r w:rsidR="00294309">
        <w:rPr>
          <w:noProof/>
        </w:rPr>
        <w:t>, and</w:t>
      </w:r>
      <w:r w:rsidR="009D077B">
        <w:rPr>
          <w:noProof/>
        </w:rPr>
        <w:t xml:space="preserve"> contributing to the grow</w:t>
      </w:r>
      <w:r w:rsidR="00DE40DF">
        <w:rPr>
          <w:noProof/>
        </w:rPr>
        <w:t>t</w:t>
      </w:r>
      <w:r w:rsidR="009D077B">
        <w:rPr>
          <w:noProof/>
        </w:rPr>
        <w:t xml:space="preserve">h </w:t>
      </w:r>
      <w:r w:rsidR="00B233FE">
        <w:rPr>
          <w:noProof/>
          <w:lang w:val="en-IE"/>
        </w:rPr>
        <w:t>of the open source services sector in Europe</w:t>
      </w:r>
      <w:r w:rsidR="001615D7" w:rsidRPr="001615D7">
        <w:rPr>
          <w:noProof/>
        </w:rPr>
        <w:t>.</w:t>
      </w:r>
      <w:r w:rsidR="001615D7" w:rsidRPr="00087FF2">
        <w:rPr>
          <w:noProof/>
        </w:rPr>
        <w:t xml:space="preserve"> Overall,</w:t>
      </w:r>
      <w:r w:rsidR="001615D7" w:rsidRPr="001615D7">
        <w:rPr>
          <w:noProof/>
        </w:rPr>
        <w:t xml:space="preserve"> the</w:t>
      </w:r>
      <w:r w:rsidR="001615D7" w:rsidRPr="00B54D83">
        <w:rPr>
          <w:noProof/>
        </w:rPr>
        <w:t xml:space="preserve"> measures included in policy option PO2-C work together to reduce the reliance on non-EU cloud and AI services, promote European sovereignty, and foster a robust and competitive European cloud and AI ecosystem. By addressing the risks associated with dependency on non-EU providers</w:t>
      </w:r>
      <w:r w:rsidR="001615D7">
        <w:rPr>
          <w:noProof/>
        </w:rPr>
        <w:t xml:space="preserve"> with a granular, </w:t>
      </w:r>
      <w:r w:rsidR="00087FF2">
        <w:rPr>
          <w:noProof/>
        </w:rPr>
        <w:t>layered</w:t>
      </w:r>
      <w:r w:rsidR="001615D7">
        <w:rPr>
          <w:noProof/>
        </w:rPr>
        <w:t xml:space="preserve"> sovereignty framework</w:t>
      </w:r>
      <w:r w:rsidR="001615D7" w:rsidRPr="00B54D83">
        <w:rPr>
          <w:noProof/>
        </w:rPr>
        <w:t xml:space="preserve"> and promoting the development of European solutions, this option is expected to have a lasting impact on the market, creating a more sustainable and resilient foundation for the public sector's digital transformation.</w:t>
      </w:r>
      <w:r w:rsidR="001615D7" w:rsidRPr="000E4F2E">
        <w:rPr>
          <w:noProof/>
        </w:rPr>
        <w:t xml:space="preserve"> </w:t>
      </w:r>
    </w:p>
    <w:p w14:paraId="235DDB79" w14:textId="37DCD7FD" w:rsidR="00E61374" w:rsidRDefault="00E61374" w:rsidP="00E61374">
      <w:pPr>
        <w:rPr>
          <w:noProof/>
        </w:rPr>
      </w:pPr>
      <w:r w:rsidRPr="00D37004">
        <w:rPr>
          <w:noProof/>
        </w:rPr>
        <w:t xml:space="preserve">For </w:t>
      </w:r>
      <w:r w:rsidRPr="00D37004">
        <w:rPr>
          <w:b/>
          <w:noProof/>
        </w:rPr>
        <w:t>SO4</w:t>
      </w:r>
      <w:r w:rsidR="001615D7" w:rsidRPr="002F56E9">
        <w:rPr>
          <w:b/>
          <w:noProof/>
        </w:rPr>
        <w:t xml:space="preserve"> </w:t>
      </w:r>
      <w:r w:rsidR="001615D7" w:rsidRPr="00645266">
        <w:rPr>
          <w:noProof/>
        </w:rPr>
        <w:t>(</w:t>
      </w:r>
      <w:r w:rsidR="001615D7" w:rsidRPr="008C296E">
        <w:rPr>
          <w:b/>
          <w:noProof/>
        </w:rPr>
        <w:t>enhance the resilience of supply of cloud and AI computing services, in particular in the public sector</w:t>
      </w:r>
      <w:r w:rsidR="001615D7" w:rsidRPr="007D5C63">
        <w:rPr>
          <w:noProof/>
        </w:rPr>
        <w:t>)</w:t>
      </w:r>
      <w:r w:rsidRPr="00D37004">
        <w:rPr>
          <w:b/>
          <w:noProof/>
        </w:rPr>
        <w:t>,</w:t>
      </w:r>
      <w:r w:rsidRPr="00D37004">
        <w:rPr>
          <w:noProof/>
        </w:rPr>
        <w:t xml:space="preserve"> </w:t>
      </w:r>
      <w:r w:rsidRPr="00D37004">
        <w:rPr>
          <w:b/>
          <w:noProof/>
        </w:rPr>
        <w:t>PO2-A</w:t>
      </w:r>
      <w:r w:rsidRPr="00D37004">
        <w:rPr>
          <w:noProof/>
        </w:rPr>
        <w:t xml:space="preserve"> </w:t>
      </w:r>
      <w:r w:rsidR="00DF495E">
        <w:rPr>
          <w:noProof/>
        </w:rPr>
        <w:t>is e</w:t>
      </w:r>
      <w:r w:rsidR="00DA3B11">
        <w:rPr>
          <w:noProof/>
        </w:rPr>
        <w:t>xpected to</w:t>
      </w:r>
      <w:r w:rsidR="00DF495E" w:rsidRPr="00D37004">
        <w:rPr>
          <w:noProof/>
        </w:rPr>
        <w:t xml:space="preserve"> </w:t>
      </w:r>
      <w:r w:rsidRPr="00D37004">
        <w:rPr>
          <w:noProof/>
        </w:rPr>
        <w:t xml:space="preserve">have a very limited effect </w:t>
      </w:r>
      <w:r w:rsidR="00DA3B11">
        <w:rPr>
          <w:noProof/>
        </w:rPr>
        <w:t>due to</w:t>
      </w:r>
      <w:r w:rsidR="00DA3B11" w:rsidRPr="00D37004">
        <w:rPr>
          <w:noProof/>
        </w:rPr>
        <w:t xml:space="preserve"> </w:t>
      </w:r>
      <w:r w:rsidRPr="00D37004">
        <w:rPr>
          <w:noProof/>
        </w:rPr>
        <w:t xml:space="preserve">the soft nature of the measures. </w:t>
      </w:r>
      <w:r w:rsidR="00DA3B11">
        <w:rPr>
          <w:noProof/>
        </w:rPr>
        <w:t>While common criteria and guidance may improve awareness of relevant risks and encourage the use of more coherent definitions by public authorities, they would not materially increase switching capacity, supply redundancy or operational continuity in the event of disruption. The option thus addresses only part of the information problem but not the structural sources of fragility and trust</w:t>
      </w:r>
      <w:r w:rsidR="00342EE4">
        <w:rPr>
          <w:noProof/>
        </w:rPr>
        <w:t>. This would result</w:t>
      </w:r>
      <w:r w:rsidR="00C36F59">
        <w:rPr>
          <w:noProof/>
        </w:rPr>
        <w:t xml:space="preserve"> in having a marginal effect on reducing exposure to service disruption, or non-EU dependencies, especially in the public sector.</w:t>
      </w:r>
      <w:r w:rsidR="00DA3B11">
        <w:rPr>
          <w:noProof/>
        </w:rPr>
        <w:t xml:space="preserve"> </w:t>
      </w:r>
      <w:r w:rsidRPr="00D37004">
        <w:rPr>
          <w:b/>
          <w:noProof/>
        </w:rPr>
        <w:t>PO2-B</w:t>
      </w:r>
      <w:r w:rsidRPr="00D37004">
        <w:rPr>
          <w:noProof/>
        </w:rPr>
        <w:t xml:space="preserve"> </w:t>
      </w:r>
      <w:r w:rsidRPr="00D37004" w:rsidDel="00FB27B0">
        <w:rPr>
          <w:noProof/>
        </w:rPr>
        <w:t>is</w:t>
      </w:r>
      <w:r w:rsidRPr="00D37004">
        <w:rPr>
          <w:noProof/>
        </w:rPr>
        <w:t xml:space="preserve"> </w:t>
      </w:r>
      <w:r w:rsidR="00C36F59">
        <w:rPr>
          <w:noProof/>
        </w:rPr>
        <w:t>expected to be</w:t>
      </w:r>
      <w:r w:rsidR="00C36F59" w:rsidRPr="00D37004">
        <w:rPr>
          <w:noProof/>
        </w:rPr>
        <w:t xml:space="preserve"> </w:t>
      </w:r>
      <w:r w:rsidRPr="00D37004">
        <w:rPr>
          <w:noProof/>
        </w:rPr>
        <w:t xml:space="preserve">moderately effective </w:t>
      </w:r>
      <w:r w:rsidR="00C36F59">
        <w:rPr>
          <w:noProof/>
        </w:rPr>
        <w:t>in</w:t>
      </w:r>
      <w:r w:rsidR="00C36F59" w:rsidRPr="00D37004">
        <w:rPr>
          <w:noProof/>
        </w:rPr>
        <w:t xml:space="preserve"> </w:t>
      </w:r>
      <w:r w:rsidRPr="00D37004">
        <w:rPr>
          <w:noProof/>
        </w:rPr>
        <w:t xml:space="preserve">improving the resilience of supply of </w:t>
      </w:r>
      <w:r w:rsidRPr="00D37004">
        <w:rPr>
          <w:noProof/>
          <w:color w:val="000000" w:themeColor="text1"/>
        </w:rPr>
        <w:t xml:space="preserve">cloud and AI </w:t>
      </w:r>
      <w:r>
        <w:rPr>
          <w:noProof/>
          <w:color w:val="000000" w:themeColor="text1"/>
        </w:rPr>
        <w:t xml:space="preserve">computing </w:t>
      </w:r>
      <w:r w:rsidRPr="00D37004">
        <w:rPr>
          <w:noProof/>
          <w:color w:val="000000" w:themeColor="text1"/>
        </w:rPr>
        <w:t>services</w:t>
      </w:r>
      <w:r w:rsidRPr="00D37004">
        <w:rPr>
          <w:noProof/>
        </w:rPr>
        <w:t xml:space="preserve">. </w:t>
      </w:r>
      <w:r w:rsidRPr="00400712">
        <w:rPr>
          <w:noProof/>
        </w:rPr>
        <w:t xml:space="preserve">The </w:t>
      </w:r>
      <w:r w:rsidRPr="00DF383E">
        <w:rPr>
          <w:noProof/>
        </w:rPr>
        <w:t>federation</w:t>
      </w:r>
      <w:r w:rsidRPr="00D37004">
        <w:rPr>
          <w:noProof/>
        </w:rPr>
        <w:t xml:space="preserve"> would contribute to ensuring that </w:t>
      </w:r>
      <w:r w:rsidR="00C36F59">
        <w:rPr>
          <w:noProof/>
        </w:rPr>
        <w:t xml:space="preserve">specific </w:t>
      </w:r>
      <w:r w:rsidRPr="00D37004">
        <w:rPr>
          <w:noProof/>
        </w:rPr>
        <w:t>use cases are served by services</w:t>
      </w:r>
      <w:r w:rsidR="005F661D">
        <w:rPr>
          <w:noProof/>
        </w:rPr>
        <w:t xml:space="preserve"> with increased EU control</w:t>
      </w:r>
      <w:r w:rsidRPr="00D37004">
        <w:rPr>
          <w:noProof/>
        </w:rPr>
        <w:t xml:space="preserve">. </w:t>
      </w:r>
      <w:r w:rsidR="005F661D">
        <w:rPr>
          <w:noProof/>
        </w:rPr>
        <w:t xml:space="preserve">Federation is especially relevant from a </w:t>
      </w:r>
      <w:r w:rsidR="007A12B7">
        <w:rPr>
          <w:noProof/>
        </w:rPr>
        <w:t>resilience perspective as it supports the diversification of dependencies, and reduces the risks associated with reliance on a single external provider. T</w:t>
      </w:r>
      <w:r w:rsidRPr="00D37004">
        <w:rPr>
          <w:noProof/>
        </w:rPr>
        <w:t xml:space="preserve">he training programme on vendor–agnostic technologies and voluntary award criteria </w:t>
      </w:r>
      <w:r w:rsidR="007A12B7">
        <w:rPr>
          <w:noProof/>
        </w:rPr>
        <w:t xml:space="preserve">are also expected to </w:t>
      </w:r>
      <w:r w:rsidRPr="00D37004">
        <w:rPr>
          <w:noProof/>
        </w:rPr>
        <w:t>expand the market for resilient and locally managed</w:t>
      </w:r>
      <w:r w:rsidRPr="00D37004">
        <w:rPr>
          <w:noProof/>
          <w:color w:val="000000" w:themeColor="text1"/>
        </w:rPr>
        <w:t xml:space="preserve"> cloud and AI</w:t>
      </w:r>
      <w:r>
        <w:rPr>
          <w:noProof/>
          <w:color w:val="000000" w:themeColor="text1"/>
        </w:rPr>
        <w:t xml:space="preserve"> computing</w:t>
      </w:r>
      <w:r w:rsidRPr="00D37004">
        <w:rPr>
          <w:noProof/>
          <w:color w:val="000000" w:themeColor="text1"/>
        </w:rPr>
        <w:t xml:space="preserve"> services</w:t>
      </w:r>
      <w:r>
        <w:rPr>
          <w:noProof/>
          <w:color w:val="000000" w:themeColor="text1"/>
        </w:rPr>
        <w:t>.</w:t>
      </w:r>
      <w:r w:rsidRPr="00D37004">
        <w:rPr>
          <w:noProof/>
        </w:rPr>
        <w:t xml:space="preserve"> Nonetheless, </w:t>
      </w:r>
      <w:r w:rsidR="007A12B7">
        <w:rPr>
          <w:noProof/>
        </w:rPr>
        <w:t>as mentioned above,</w:t>
      </w:r>
      <w:r w:rsidRPr="00D37004">
        <w:rPr>
          <w:noProof/>
        </w:rPr>
        <w:t xml:space="preserve"> the voluntary implementation </w:t>
      </w:r>
      <w:r w:rsidR="007A12B7">
        <w:rPr>
          <w:noProof/>
        </w:rPr>
        <w:t xml:space="preserve">of these measures </w:t>
      </w:r>
      <w:r w:rsidRPr="00D37004">
        <w:rPr>
          <w:noProof/>
        </w:rPr>
        <w:t xml:space="preserve">could limit </w:t>
      </w:r>
      <w:r w:rsidR="00E95FEA">
        <w:rPr>
          <w:noProof/>
        </w:rPr>
        <w:t xml:space="preserve">their consistent implementation </w:t>
      </w:r>
      <w:r w:rsidRPr="00D37004">
        <w:rPr>
          <w:noProof/>
        </w:rPr>
        <w:t xml:space="preserve">across the EU. </w:t>
      </w:r>
      <w:r w:rsidR="00E95FEA">
        <w:rPr>
          <w:noProof/>
        </w:rPr>
        <w:t>This would result in uneven resilience gains: authorities with higher procurement maturity would likely benefit more, while others may not implement the framework in a way that changes their risk exposure.</w:t>
      </w:r>
      <w:r w:rsidRPr="00D37004">
        <w:rPr>
          <w:noProof/>
        </w:rPr>
        <w:t xml:space="preserve"> </w:t>
      </w:r>
      <w:r w:rsidRPr="00D37004">
        <w:rPr>
          <w:b/>
          <w:noProof/>
        </w:rPr>
        <w:t>PO2-C</w:t>
      </w:r>
      <w:r w:rsidRPr="00D37004">
        <w:rPr>
          <w:noProof/>
        </w:rPr>
        <w:t xml:space="preserve"> </w:t>
      </w:r>
      <w:r w:rsidR="00E95FEA">
        <w:rPr>
          <w:noProof/>
        </w:rPr>
        <w:t>is expected to</w:t>
      </w:r>
      <w:r w:rsidR="00E95FEA" w:rsidRPr="00D37004">
        <w:rPr>
          <w:noProof/>
        </w:rPr>
        <w:t xml:space="preserve"> </w:t>
      </w:r>
      <w:r w:rsidRPr="00D37004">
        <w:rPr>
          <w:noProof/>
        </w:rPr>
        <w:t xml:space="preserve">have the biggest effect on resilience. </w:t>
      </w:r>
      <w:r w:rsidR="00E95FEA">
        <w:rPr>
          <w:noProof/>
        </w:rPr>
        <w:t>Th</w:t>
      </w:r>
      <w:r w:rsidRPr="00D37004">
        <w:rPr>
          <w:noProof/>
        </w:rPr>
        <w:t xml:space="preserve">e establishment of </w:t>
      </w:r>
      <w:r w:rsidR="00E95FEA">
        <w:rPr>
          <w:noProof/>
        </w:rPr>
        <w:t xml:space="preserve">an actionable and comprehensive sovereignty assessment framework provides national authorities </w:t>
      </w:r>
      <w:r w:rsidR="00E04C84">
        <w:rPr>
          <w:noProof/>
        </w:rPr>
        <w:t xml:space="preserve">with a more robust </w:t>
      </w:r>
      <w:r w:rsidRPr="00D37004">
        <w:rPr>
          <w:noProof/>
        </w:rPr>
        <w:t xml:space="preserve">mechanism to </w:t>
      </w:r>
      <w:r w:rsidR="00E04C84">
        <w:rPr>
          <w:noProof/>
        </w:rPr>
        <w:t>procure and u</w:t>
      </w:r>
      <w:r w:rsidRPr="00D37004">
        <w:rPr>
          <w:noProof/>
        </w:rPr>
        <w:t xml:space="preserve">ptake </w:t>
      </w:r>
      <w:r w:rsidR="00E04C84">
        <w:rPr>
          <w:noProof/>
        </w:rPr>
        <w:t>cloud and AI computing</w:t>
      </w:r>
      <w:r w:rsidRPr="00D37004">
        <w:rPr>
          <w:noProof/>
        </w:rPr>
        <w:t xml:space="preserve"> services,</w:t>
      </w:r>
      <w:r w:rsidR="00E04C84">
        <w:rPr>
          <w:noProof/>
        </w:rPr>
        <w:t xml:space="preserve"> protecting critical use cases where public order is at stake</w:t>
      </w:r>
      <w:r w:rsidRPr="00D37004">
        <w:rPr>
          <w:noProof/>
        </w:rPr>
        <w:t xml:space="preserve">. </w:t>
      </w:r>
      <w:r w:rsidR="00E04C84">
        <w:rPr>
          <w:noProof/>
        </w:rPr>
        <w:t xml:space="preserve">The framework allows for the diversification of dependencies, and services from non-European providers would still be able to qualify for 90% of the public sector’s needs. </w:t>
      </w:r>
      <w:r w:rsidR="00084C57">
        <w:rPr>
          <w:noProof/>
        </w:rPr>
        <w:t>The use of harmonised public procurement award criteria would also contribute to the public sector’s resilience for specific services</w:t>
      </w:r>
      <w:r w:rsidR="008E5329">
        <w:rPr>
          <w:noProof/>
        </w:rPr>
        <w:t xml:space="preserve"> since procured services would have a higher EU added value</w:t>
      </w:r>
      <w:r w:rsidR="00084C57">
        <w:rPr>
          <w:noProof/>
        </w:rPr>
        <w:t>.</w:t>
      </w:r>
      <w:r w:rsidR="00FA76B0">
        <w:rPr>
          <w:noProof/>
        </w:rPr>
        <w:t xml:space="preserve"> Moreover, the j</w:t>
      </w:r>
      <w:r w:rsidRPr="00D37004">
        <w:rPr>
          <w:noProof/>
        </w:rPr>
        <w:t>oint procurement</w:t>
      </w:r>
      <w:r w:rsidRPr="00D37004" w:rsidDel="00FA76B0">
        <w:rPr>
          <w:noProof/>
        </w:rPr>
        <w:t xml:space="preserve"> </w:t>
      </w:r>
      <w:r w:rsidR="00FA76B0">
        <w:rPr>
          <w:noProof/>
        </w:rPr>
        <w:t xml:space="preserve">mechanism is expected to simplify the procurement of cloud and AI computing </w:t>
      </w:r>
      <w:r w:rsidR="009B02BA">
        <w:rPr>
          <w:noProof/>
        </w:rPr>
        <w:t>services</w:t>
      </w:r>
      <w:r w:rsidR="009B02BA" w:rsidRPr="00D37004">
        <w:rPr>
          <w:noProof/>
        </w:rPr>
        <w:t xml:space="preserve"> </w:t>
      </w:r>
      <w:r w:rsidR="009B02BA">
        <w:rPr>
          <w:noProof/>
        </w:rPr>
        <w:t>and</w:t>
      </w:r>
      <w:r w:rsidR="00857E02">
        <w:rPr>
          <w:noProof/>
        </w:rPr>
        <w:t xml:space="preserve"> allow public authorities – especially the smaller ones – to achieve better commercial and contractual terms. Finally</w:t>
      </w:r>
      <w:r w:rsidR="009B02BA">
        <w:rPr>
          <w:noProof/>
        </w:rPr>
        <w:t>, the promotion</w:t>
      </w:r>
      <w:r w:rsidRPr="00D37004">
        <w:rPr>
          <w:noProof/>
        </w:rPr>
        <w:t xml:space="preserve"> of open</w:t>
      </w:r>
      <w:r>
        <w:rPr>
          <w:noProof/>
        </w:rPr>
        <w:t xml:space="preserve"> </w:t>
      </w:r>
      <w:r w:rsidRPr="00D37004">
        <w:rPr>
          <w:noProof/>
        </w:rPr>
        <w:t xml:space="preserve">source technologies would further strengthen resilience by reducing dependencies on proprietary systems. Altogether, these measures would </w:t>
      </w:r>
      <w:r w:rsidR="009B02BA">
        <w:rPr>
          <w:noProof/>
        </w:rPr>
        <w:t xml:space="preserve">directly reduce exposure to non-EU dependencies and single provider concentration risks, </w:t>
      </w:r>
      <w:r w:rsidRPr="00D37004">
        <w:rPr>
          <w:noProof/>
        </w:rPr>
        <w:t>strengthen</w:t>
      </w:r>
      <w:r w:rsidR="009B02BA">
        <w:rPr>
          <w:noProof/>
        </w:rPr>
        <w:t>ing</w:t>
      </w:r>
      <w:r w:rsidRPr="00D37004">
        <w:rPr>
          <w:noProof/>
        </w:rPr>
        <w:t xml:space="preserve"> the resilience and autonomy of cloud and AI</w:t>
      </w:r>
      <w:r w:rsidR="009B02BA">
        <w:rPr>
          <w:noProof/>
        </w:rPr>
        <w:t xml:space="preserve"> services</w:t>
      </w:r>
      <w:r w:rsidR="00A51817">
        <w:rPr>
          <w:noProof/>
        </w:rPr>
        <w:t>, particularly</w:t>
      </w:r>
      <w:r w:rsidRPr="00D37004">
        <w:rPr>
          <w:noProof/>
        </w:rPr>
        <w:t xml:space="preserve"> in the public sector. </w:t>
      </w:r>
    </w:p>
    <w:p w14:paraId="1BFF1442" w14:textId="6EAEC4E7" w:rsidR="00FC0A60" w:rsidRDefault="00B77EBC" w:rsidP="00E61374">
      <w:pPr>
        <w:rPr>
          <w:noProof/>
        </w:rPr>
      </w:pPr>
      <w:r w:rsidRPr="00B77EBC">
        <w:rPr>
          <w:noProof/>
        </w:rPr>
        <w:t xml:space="preserve">With respect to the </w:t>
      </w:r>
      <w:r w:rsidRPr="00A90A26">
        <w:rPr>
          <w:b/>
          <w:noProof/>
        </w:rPr>
        <w:t>general objective of promoting competitiveness while strengthening strategic autonomy</w:t>
      </w:r>
      <w:r w:rsidRPr="00A90A26">
        <w:rPr>
          <w:noProof/>
        </w:rPr>
        <w:t>,</w:t>
      </w:r>
      <w:r w:rsidRPr="00B77EBC">
        <w:rPr>
          <w:noProof/>
        </w:rPr>
        <w:t xml:space="preserve"> the options differ in effectiveness and in the balance they strike between the two dimensions.</w:t>
      </w:r>
      <w:r>
        <w:rPr>
          <w:noProof/>
        </w:rPr>
        <w:t xml:space="preserve"> I</w:t>
      </w:r>
      <w:r w:rsidRPr="007305F5">
        <w:rPr>
          <w:noProof/>
        </w:rPr>
        <w:t xml:space="preserve">n terms of promoting competitiveness, the </w:t>
      </w:r>
      <w:r>
        <w:rPr>
          <w:noProof/>
        </w:rPr>
        <w:t>first set of</w:t>
      </w:r>
      <w:r w:rsidRPr="007305F5">
        <w:rPr>
          <w:noProof/>
        </w:rPr>
        <w:t xml:space="preserve"> options differ</w:t>
      </w:r>
      <w:r>
        <w:rPr>
          <w:noProof/>
        </w:rPr>
        <w:t>s</w:t>
      </w:r>
      <w:r w:rsidRPr="007305F5">
        <w:rPr>
          <w:noProof/>
        </w:rPr>
        <w:t xml:space="preserve"> in </w:t>
      </w:r>
      <w:r>
        <w:rPr>
          <w:noProof/>
        </w:rPr>
        <w:t>the</w:t>
      </w:r>
      <w:r w:rsidRPr="007305F5">
        <w:rPr>
          <w:noProof/>
        </w:rPr>
        <w:t xml:space="preserve"> expected ability to accelerate data centre deployment and reduce investment barriers. </w:t>
      </w:r>
      <w:r w:rsidRPr="007305F5">
        <w:rPr>
          <w:b/>
          <w:bCs/>
          <w:noProof/>
        </w:rPr>
        <w:t>PO1-A</w:t>
      </w:r>
      <w:r w:rsidRPr="007305F5">
        <w:rPr>
          <w:noProof/>
        </w:rPr>
        <w:t xml:space="preserve"> would have a limited but positive effect by improving coordination and sharing good practices, although its voluntary nature means that it may not significantly reduce permitting, infrastructure or investment bottlenecks. </w:t>
      </w:r>
      <w:r w:rsidRPr="007305F5">
        <w:rPr>
          <w:b/>
          <w:bCs/>
          <w:noProof/>
        </w:rPr>
        <w:t>PO</w:t>
      </w:r>
      <w:r>
        <w:rPr>
          <w:b/>
          <w:bCs/>
          <w:noProof/>
        </w:rPr>
        <w:t>1-</w:t>
      </w:r>
      <w:r w:rsidRPr="007305F5">
        <w:rPr>
          <w:b/>
          <w:bCs/>
          <w:noProof/>
        </w:rPr>
        <w:t>B</w:t>
      </w:r>
      <w:r w:rsidRPr="007305F5">
        <w:rPr>
          <w:noProof/>
        </w:rPr>
        <w:t xml:space="preserve"> would be the most effective option, as national-level legislative and financial measures could be tailored to local conditions, including designated areas, fast-track procedures, public support for projects and capacity monitoring. This would directly support faster deployment and investment certainty. </w:t>
      </w:r>
      <w:r w:rsidRPr="007305F5">
        <w:rPr>
          <w:b/>
          <w:bCs/>
          <w:noProof/>
        </w:rPr>
        <w:t>PO</w:t>
      </w:r>
      <w:r>
        <w:rPr>
          <w:b/>
          <w:bCs/>
          <w:noProof/>
        </w:rPr>
        <w:t>1-</w:t>
      </w:r>
      <w:r w:rsidRPr="007305F5">
        <w:rPr>
          <w:b/>
          <w:bCs/>
          <w:noProof/>
        </w:rPr>
        <w:t>C</w:t>
      </w:r>
      <w:r w:rsidRPr="007305F5">
        <w:rPr>
          <w:noProof/>
        </w:rPr>
        <w:t xml:space="preserve"> could also support competitiveness through EU-level funding and fast-tracking, but may be less responsive to local permitting, energy and land-use constraints. Strategic autonomy would be strengthened under all options to the extent that additional capacity is built in the EU, with the greatest practical effect expected under PO</w:t>
      </w:r>
      <w:r>
        <w:rPr>
          <w:noProof/>
        </w:rPr>
        <w:t>1-</w:t>
      </w:r>
      <w:r w:rsidRPr="007305F5">
        <w:rPr>
          <w:noProof/>
        </w:rPr>
        <w:t xml:space="preserve">B. </w:t>
      </w:r>
      <w:r w:rsidRPr="00514904">
        <w:rPr>
          <w:b/>
          <w:bCs/>
          <w:noProof/>
        </w:rPr>
        <w:t>PO</w:t>
      </w:r>
      <w:r>
        <w:rPr>
          <w:b/>
          <w:bCs/>
          <w:noProof/>
        </w:rPr>
        <w:t>2</w:t>
      </w:r>
      <w:r w:rsidRPr="00514904">
        <w:rPr>
          <w:b/>
          <w:bCs/>
          <w:noProof/>
        </w:rPr>
        <w:t>-A</w:t>
      </w:r>
      <w:r w:rsidRPr="00514904">
        <w:rPr>
          <w:noProof/>
        </w:rPr>
        <w:t xml:space="preserve"> </w:t>
      </w:r>
      <w:r>
        <w:rPr>
          <w:noProof/>
        </w:rPr>
        <w:t>is expected to</w:t>
      </w:r>
      <w:r w:rsidRPr="00514904">
        <w:rPr>
          <w:noProof/>
        </w:rPr>
        <w:t xml:space="preserve"> make a modest contribution to competitiveness by reducing information frictions and clarifying </w:t>
      </w:r>
      <w:r>
        <w:rPr>
          <w:noProof/>
        </w:rPr>
        <w:t>some notions</w:t>
      </w:r>
      <w:r w:rsidRPr="00514904">
        <w:rPr>
          <w:noProof/>
        </w:rPr>
        <w:t>, but it is unlikely to improve the competitive position of EU-based providers or to alter the dependency structure of the market. Its contribution to strategic autonomy would therefore</w:t>
      </w:r>
      <w:r>
        <w:rPr>
          <w:noProof/>
        </w:rPr>
        <w:t xml:space="preserve"> also</w:t>
      </w:r>
      <w:r w:rsidRPr="00514904">
        <w:rPr>
          <w:noProof/>
        </w:rPr>
        <w:t xml:space="preserve"> be limited. In practice, it would preserve the status quo in market structure while improving transparency. As a result, it is unlikely to achieve the general objective. </w:t>
      </w:r>
      <w:r w:rsidRPr="00514904">
        <w:rPr>
          <w:b/>
          <w:bCs/>
          <w:noProof/>
        </w:rPr>
        <w:t>PO</w:t>
      </w:r>
      <w:r>
        <w:rPr>
          <w:b/>
          <w:bCs/>
          <w:noProof/>
        </w:rPr>
        <w:t>2</w:t>
      </w:r>
      <w:r w:rsidRPr="00514904">
        <w:rPr>
          <w:b/>
          <w:bCs/>
          <w:noProof/>
        </w:rPr>
        <w:t>-B</w:t>
      </w:r>
      <w:r w:rsidR="53E03B13" w:rsidDel="005B7C7D">
        <w:rPr>
          <w:noProof/>
        </w:rPr>
        <w:t xml:space="preserve"> is </w:t>
      </w:r>
      <w:r w:rsidR="53E03B13">
        <w:rPr>
          <w:noProof/>
        </w:rPr>
        <w:t>based</w:t>
      </w:r>
      <w:r w:rsidR="005B7C7D">
        <w:rPr>
          <w:noProof/>
        </w:rPr>
        <w:t xml:space="preserve"> </w:t>
      </w:r>
      <w:r>
        <w:rPr>
          <w:noProof/>
        </w:rPr>
        <w:t xml:space="preserve">on </w:t>
      </w:r>
      <w:r w:rsidR="6B8AD3EF">
        <w:rPr>
          <w:noProof/>
        </w:rPr>
        <w:t>a more comprehensive set of measures that may impact competitiveness and strategic autonomy</w:t>
      </w:r>
      <w:r w:rsidR="77CAD9EA">
        <w:rPr>
          <w:noProof/>
        </w:rPr>
        <w:t>.</w:t>
      </w:r>
      <w:r w:rsidRPr="00514904">
        <w:rPr>
          <w:noProof/>
        </w:rPr>
        <w:t xml:space="preserve"> </w:t>
      </w:r>
      <w:r w:rsidR="72806102">
        <w:rPr>
          <w:noProof/>
        </w:rPr>
        <w:t>I</w:t>
      </w:r>
      <w:r>
        <w:rPr>
          <w:noProof/>
        </w:rPr>
        <w:t>ts</w:t>
      </w:r>
      <w:r w:rsidRPr="00514904">
        <w:rPr>
          <w:noProof/>
        </w:rPr>
        <w:t xml:space="preserve"> contribution to competitiveness would come from stronger demand for sovereignty-</w:t>
      </w:r>
      <w:r w:rsidR="002B5E0C">
        <w:rPr>
          <w:noProof/>
        </w:rPr>
        <w:t>audited</w:t>
      </w:r>
      <w:r w:rsidRPr="00514904">
        <w:rPr>
          <w:noProof/>
        </w:rPr>
        <w:t xml:space="preserve"> services, greater contestability through federation and interoperability, and reduced lock-in. Its contribution to strategic autonomy would come from lower dependency in </w:t>
      </w:r>
      <w:r w:rsidRPr="001A2D98">
        <w:rPr>
          <w:noProof/>
        </w:rPr>
        <w:t>sensitive use cases and a</w:t>
      </w:r>
      <w:r w:rsidRPr="00514904">
        <w:rPr>
          <w:noProof/>
        </w:rPr>
        <w:t xml:space="preserve"> gradual expansion of EU-controlled capacity. </w:t>
      </w:r>
      <w:r>
        <w:rPr>
          <w:noProof/>
        </w:rPr>
        <w:t>However, t</w:t>
      </w:r>
      <w:r w:rsidRPr="00514904">
        <w:rPr>
          <w:noProof/>
        </w:rPr>
        <w:t xml:space="preserve">he option may not be strong enough to overcome incumbent scale advantages, so both competitiveness and autonomy gains may remain incomplete. </w:t>
      </w:r>
      <w:r w:rsidRPr="00514904">
        <w:rPr>
          <w:b/>
          <w:bCs/>
          <w:noProof/>
        </w:rPr>
        <w:t>PO</w:t>
      </w:r>
      <w:r>
        <w:rPr>
          <w:b/>
          <w:bCs/>
          <w:noProof/>
        </w:rPr>
        <w:t>2</w:t>
      </w:r>
      <w:r w:rsidRPr="00514904">
        <w:rPr>
          <w:b/>
          <w:bCs/>
          <w:noProof/>
        </w:rPr>
        <w:t>-C</w:t>
      </w:r>
      <w:r w:rsidRPr="00514904">
        <w:rPr>
          <w:noProof/>
        </w:rPr>
        <w:t xml:space="preserve"> is likely to deliver the strongest gains in strategic autonomy. It is the option most likely to expand the market position, scale and credibility of sovereignty-qualified providers, and therefore the most likely to change the structure of the market in favour of strategic autonomy.</w:t>
      </w:r>
      <w:r w:rsidR="005B7C7D">
        <w:rPr>
          <w:noProof/>
        </w:rPr>
        <w:t xml:space="preserve"> </w:t>
      </w:r>
      <w:r w:rsidRPr="00514904">
        <w:rPr>
          <w:noProof/>
        </w:rPr>
        <w:t xml:space="preserve">Over time, this could support competitiveness if stronger EU demand fosters scale, innovation capacity, local value creation, and broader ecosystems around interoperable and open solutions. </w:t>
      </w:r>
      <w:r>
        <w:rPr>
          <w:noProof/>
        </w:rPr>
        <w:t xml:space="preserve">In terms of achieving autonomy, this is the option which most effectively prevents unlawful access to European data through non-European laws that have an extraterritorial reach, but in a proportionate way. In </w:t>
      </w:r>
      <w:r w:rsidR="003668AA">
        <w:rPr>
          <w:noProof/>
        </w:rPr>
        <w:t>fact,</w:t>
      </w:r>
      <w:r>
        <w:rPr>
          <w:noProof/>
        </w:rPr>
        <w:t xml:space="preserve"> MS </w:t>
      </w:r>
      <w:r w:rsidR="00AB4189">
        <w:rPr>
          <w:noProof/>
        </w:rPr>
        <w:t>can</w:t>
      </w:r>
      <w:r>
        <w:rPr>
          <w:noProof/>
        </w:rPr>
        <w:t xml:space="preserve"> decide which use cases should fall under higher levels of sovereignty assurance, based on their considerations. To support the Single Mark</w:t>
      </w:r>
      <w:r w:rsidR="6DB24283">
        <w:rPr>
          <w:noProof/>
        </w:rPr>
        <w:t>e</w:t>
      </w:r>
      <w:r>
        <w:rPr>
          <w:noProof/>
        </w:rPr>
        <w:t xml:space="preserve">t, the Commission would issue EU-level guidance for MS to conduct their risk sovereignty assessments. While not ensuring a unique outcome, this would be a signal for authorities to converge towards a unique approach. Doing this would allow providers to operate more easily across the EU, thanks to common criteria and approaches to which services can be served under different sovereignty levels. Competitiveness is also preserved because the sovereignty framework is devised in a way to better </w:t>
      </w:r>
      <w:r w:rsidR="00956A9D">
        <w:rPr>
          <w:noProof/>
        </w:rPr>
        <w:t>align</w:t>
      </w:r>
      <w:r>
        <w:rPr>
          <w:noProof/>
        </w:rPr>
        <w:t xml:space="preserve"> MS with the available offer from European operators thanks to the market monitoring reports</w:t>
      </w:r>
      <w:r w:rsidRPr="002807C8">
        <w:rPr>
          <w:noProof/>
        </w:rPr>
        <w:t xml:space="preserve"> provided by the Commission</w:t>
      </w:r>
      <w:r>
        <w:rPr>
          <w:noProof/>
        </w:rPr>
        <w:t>. These would allow</w:t>
      </w:r>
      <w:r w:rsidRPr="002807C8">
        <w:rPr>
          <w:noProof/>
        </w:rPr>
        <w:t xml:space="preserve"> Member States to integrate a market reality check in their risk assessments, avoiding situations such as tendering at Level 3 where competition is limited </w:t>
      </w:r>
      <w:r w:rsidR="006866FD">
        <w:rPr>
          <w:noProof/>
        </w:rPr>
        <w:t>or</w:t>
      </w:r>
      <w:r w:rsidRPr="002807C8">
        <w:rPr>
          <w:noProof/>
        </w:rPr>
        <w:t xml:space="preserve"> no solution exist</w:t>
      </w:r>
      <w:r w:rsidR="006866FD">
        <w:rPr>
          <w:noProof/>
        </w:rPr>
        <w:t>s</w:t>
      </w:r>
      <w:r>
        <w:rPr>
          <w:noProof/>
        </w:rPr>
        <w:t>. These</w:t>
      </w:r>
      <w:r w:rsidRPr="002807C8">
        <w:rPr>
          <w:noProof/>
        </w:rPr>
        <w:t xml:space="preserve"> market monitoring reports would </w:t>
      </w:r>
      <w:r w:rsidR="006866FD">
        <w:rPr>
          <w:noProof/>
        </w:rPr>
        <w:t xml:space="preserve">also </w:t>
      </w:r>
      <w:r w:rsidRPr="002807C8">
        <w:rPr>
          <w:noProof/>
        </w:rPr>
        <w:t xml:space="preserve">act as a powerful guidance for EU providers to prioritise the development of their offering, thus incentivising the emergence of a competitive European </w:t>
      </w:r>
      <w:r w:rsidR="006866FD" w:rsidRPr="002807C8">
        <w:rPr>
          <w:noProof/>
        </w:rPr>
        <w:t>alternative</w:t>
      </w:r>
      <w:r w:rsidR="006866FD">
        <w:rPr>
          <w:noProof/>
        </w:rPr>
        <w:t>. In</w:t>
      </w:r>
      <w:r>
        <w:rPr>
          <w:noProof/>
        </w:rPr>
        <w:t xml:space="preserve"> terms of long run competitiveness, the use of clear sovereignty levels for different use cases based on a risk sovereignty assessment </w:t>
      </w:r>
      <w:r w:rsidR="006866FD">
        <w:rPr>
          <w:noProof/>
        </w:rPr>
        <w:t>is also expected to</w:t>
      </w:r>
      <w:r>
        <w:rPr>
          <w:noProof/>
        </w:rPr>
        <w:t xml:space="preserve"> reinforce trust and the uptake of cloud and AI technology across the EU economy and society</w:t>
      </w:r>
      <w:r w:rsidR="006866FD">
        <w:rPr>
          <w:rStyle w:val="FootnoteReference"/>
          <w:noProof/>
        </w:rPr>
        <w:footnoteReference w:id="128"/>
      </w:r>
      <w:r>
        <w:rPr>
          <w:noProof/>
        </w:rPr>
        <w:t>.</w:t>
      </w:r>
    </w:p>
    <w:p w14:paraId="16BD3DF6" w14:textId="0D794422" w:rsidR="00295095" w:rsidRDefault="00632238" w:rsidP="008D5073">
      <w:pPr>
        <w:rPr>
          <w:noProof/>
        </w:rPr>
      </w:pPr>
      <w:r>
        <w:rPr>
          <w:noProof/>
        </w:rPr>
        <w:t xml:space="preserve">The overall effectiveness assessment </w:t>
      </w:r>
      <w:r w:rsidR="006F017C">
        <w:rPr>
          <w:noProof/>
        </w:rPr>
        <w:t xml:space="preserve">with respect to each specific objective </w:t>
      </w:r>
      <w:r>
        <w:rPr>
          <w:noProof/>
        </w:rPr>
        <w:t>is</w:t>
      </w:r>
      <w:r w:rsidR="007C0E1B">
        <w:rPr>
          <w:noProof/>
        </w:rPr>
        <w:t xml:space="preserve"> presented below using a symbolic scoring, </w:t>
      </w:r>
      <w:r w:rsidR="000B4B4F">
        <w:rPr>
          <w:noProof/>
        </w:rPr>
        <w:t>using ranking indicators that go from “</w:t>
      </w:r>
      <w:r w:rsidR="007C4A5D">
        <w:rPr>
          <w:noProof/>
        </w:rPr>
        <w:t xml:space="preserve">o” no </w:t>
      </w:r>
      <w:r w:rsidR="00C10852">
        <w:rPr>
          <w:noProof/>
        </w:rPr>
        <w:t>relevance</w:t>
      </w:r>
      <w:r w:rsidR="007C4A5D">
        <w:rPr>
          <w:noProof/>
        </w:rPr>
        <w:t xml:space="preserve"> to “</w:t>
      </w:r>
      <w:r w:rsidR="009F20F1">
        <w:rPr>
          <w:noProof/>
        </w:rPr>
        <w:t>very effective”</w:t>
      </w:r>
      <w:r w:rsidR="00C10852">
        <w:rPr>
          <w:noProof/>
        </w:rPr>
        <w:t>, with respect to the baseline.</w:t>
      </w:r>
      <w:r w:rsidR="00A6138D">
        <w:rPr>
          <w:noProof/>
        </w:rPr>
        <w:t xml:space="preserve"> </w:t>
      </w:r>
    </w:p>
    <w:p w14:paraId="18007D8F" w14:textId="65192041" w:rsidR="00C5653A" w:rsidRPr="00D37004" w:rsidRDefault="00C5653A" w:rsidP="00C5653A">
      <w:pPr>
        <w:pStyle w:val="Caption"/>
        <w:rPr>
          <w:noProof/>
        </w:rPr>
      </w:pPr>
      <w:r w:rsidRPr="00D37004">
        <w:rPr>
          <w:noProof/>
        </w:rPr>
        <w:t xml:space="preserve">Table </w:t>
      </w:r>
      <w:r w:rsidRPr="00D37004">
        <w:rPr>
          <w:noProof/>
        </w:rPr>
        <w:fldChar w:fldCharType="begin"/>
      </w:r>
      <w:r w:rsidRPr="00D37004">
        <w:rPr>
          <w:noProof/>
        </w:rPr>
        <w:instrText xml:space="preserve"> SEQ Table \* ARABIC </w:instrText>
      </w:r>
      <w:r w:rsidRPr="00D37004">
        <w:rPr>
          <w:noProof/>
        </w:rPr>
        <w:fldChar w:fldCharType="separate"/>
      </w:r>
      <w:r w:rsidR="00137E65">
        <w:rPr>
          <w:noProof/>
        </w:rPr>
        <w:t>12</w:t>
      </w:r>
      <w:r w:rsidRPr="00D37004">
        <w:rPr>
          <w:noProof/>
        </w:rPr>
        <w:fldChar w:fldCharType="end"/>
      </w:r>
      <w:r w:rsidRPr="00D37004">
        <w:rPr>
          <w:noProof/>
        </w:rPr>
        <w:t>. Effectiveness of the Policy Options against the Specific Objectives</w:t>
      </w:r>
    </w:p>
    <w:tbl>
      <w:tblPr>
        <w:tblStyle w:val="TableGrid"/>
        <w:tblW w:w="5000" w:type="pct"/>
        <w:tblLook w:val="04A0" w:firstRow="1" w:lastRow="0" w:firstColumn="1" w:lastColumn="0" w:noHBand="0" w:noVBand="1"/>
      </w:tblPr>
      <w:tblGrid>
        <w:gridCol w:w="1905"/>
        <w:gridCol w:w="99"/>
        <w:gridCol w:w="1826"/>
        <w:gridCol w:w="1791"/>
        <w:gridCol w:w="115"/>
        <w:gridCol w:w="1809"/>
        <w:gridCol w:w="89"/>
        <w:gridCol w:w="2079"/>
      </w:tblGrid>
      <w:tr w:rsidR="00660A85" w:rsidRPr="007974A0" w14:paraId="79085958" w14:textId="77777777">
        <w:trPr>
          <w:trHeight w:val="300"/>
          <w:tblHeader/>
        </w:trPr>
        <w:tc>
          <w:tcPr>
            <w:tcW w:w="1032" w:type="pct"/>
            <w:gridSpan w:val="2"/>
            <w:tcBorders>
              <w:top w:val="single" w:sz="4" w:space="0" w:color="auto"/>
              <w:left w:val="single" w:sz="4" w:space="0" w:color="auto"/>
              <w:bottom w:val="single" w:sz="4" w:space="0" w:color="auto"/>
              <w:right w:val="single" w:sz="4" w:space="0" w:color="0070C0"/>
            </w:tcBorders>
            <w:shd w:val="clear" w:color="auto" w:fill="0070C0"/>
          </w:tcPr>
          <w:p w14:paraId="65DD97C3" w14:textId="77777777" w:rsidR="00660A85" w:rsidRPr="007974A0" w:rsidRDefault="00660A85" w:rsidP="00660A85">
            <w:pPr>
              <w:spacing w:after="0"/>
              <w:rPr>
                <w:noProof/>
                <w:sz w:val="20"/>
                <w:szCs w:val="20"/>
              </w:rPr>
            </w:pPr>
          </w:p>
        </w:tc>
        <w:tc>
          <w:tcPr>
            <w:tcW w:w="940" w:type="pct"/>
            <w:tcBorders>
              <w:top w:val="single" w:sz="4" w:space="0" w:color="auto"/>
              <w:left w:val="single" w:sz="4" w:space="0" w:color="0070C0"/>
              <w:bottom w:val="single" w:sz="4" w:space="0" w:color="auto"/>
              <w:right w:val="single" w:sz="4" w:space="0" w:color="0070C0"/>
            </w:tcBorders>
            <w:shd w:val="clear" w:color="auto" w:fill="0070C0"/>
            <w:vAlign w:val="center"/>
          </w:tcPr>
          <w:p w14:paraId="0113F241" w14:textId="1ED21993" w:rsidR="00660A85" w:rsidRPr="007974A0" w:rsidRDefault="00660A85" w:rsidP="00660A85">
            <w:pPr>
              <w:spacing w:after="0"/>
              <w:jc w:val="left"/>
              <w:rPr>
                <w:b/>
                <w:noProof/>
                <w:color w:val="FFFFFF" w:themeColor="background1"/>
                <w:sz w:val="20"/>
                <w:szCs w:val="20"/>
              </w:rPr>
            </w:pPr>
            <w:r w:rsidRPr="00331AEF">
              <w:rPr>
                <w:b/>
                <w:noProof/>
                <w:color w:val="FFFFFF" w:themeColor="background1"/>
                <w:sz w:val="20"/>
                <w:szCs w:val="20"/>
              </w:rPr>
              <w:t>SO1</w:t>
            </w:r>
            <w:r>
              <w:rPr>
                <w:b/>
                <w:noProof/>
                <w:color w:val="FFFFFF" w:themeColor="background1"/>
                <w:sz w:val="20"/>
                <w:szCs w:val="20"/>
              </w:rPr>
              <w:t>:</w:t>
            </w:r>
            <w:r w:rsidRPr="008B59CF">
              <w:rPr>
                <w:noProof/>
                <w:color w:val="FFFFFF" w:themeColor="background1"/>
                <w:sz w:val="20"/>
                <w:szCs w:val="20"/>
              </w:rPr>
              <w:t xml:space="preserve"> </w:t>
            </w:r>
            <w:r w:rsidRPr="00331AEF">
              <w:rPr>
                <w:noProof/>
                <w:color w:val="FFFFFF" w:themeColor="background1"/>
                <w:sz w:val="20"/>
                <w:szCs w:val="20"/>
              </w:rPr>
              <w:t>Increase</w:t>
            </w:r>
            <w:r>
              <w:rPr>
                <w:bCs/>
                <w:noProof/>
                <w:color w:val="FFFFFF" w:themeColor="background1"/>
                <w:sz w:val="20"/>
                <w:szCs w:val="20"/>
              </w:rPr>
              <w:t xml:space="preserve">d </w:t>
            </w:r>
            <w:r w:rsidRPr="00331AEF">
              <w:rPr>
                <w:noProof/>
                <w:color w:val="FFFFFF" w:themeColor="background1"/>
                <w:sz w:val="20"/>
                <w:szCs w:val="20"/>
              </w:rPr>
              <w:t xml:space="preserve">computing capacity </w:t>
            </w:r>
            <w:r w:rsidRPr="008B59CF">
              <w:rPr>
                <w:noProof/>
                <w:color w:val="FFFFFF" w:themeColor="background1"/>
                <w:sz w:val="20"/>
                <w:szCs w:val="20"/>
              </w:rPr>
              <w:t>through innovative and sustainable technologies</w:t>
            </w:r>
            <w:r w:rsidRPr="008B59CF">
              <w:rPr>
                <w:b/>
                <w:noProof/>
                <w:color w:val="FFFFFF" w:themeColor="background1"/>
                <w:sz w:val="20"/>
                <w:szCs w:val="20"/>
              </w:rPr>
              <w:t xml:space="preserve">   </w:t>
            </w:r>
          </w:p>
        </w:tc>
        <w:tc>
          <w:tcPr>
            <w:tcW w:w="981" w:type="pct"/>
            <w:gridSpan w:val="2"/>
            <w:tcBorders>
              <w:top w:val="single" w:sz="4" w:space="0" w:color="auto"/>
              <w:left w:val="single" w:sz="4" w:space="0" w:color="0070C0"/>
              <w:bottom w:val="single" w:sz="4" w:space="0" w:color="auto"/>
              <w:right w:val="single" w:sz="4" w:space="0" w:color="0070C0"/>
            </w:tcBorders>
            <w:shd w:val="clear" w:color="auto" w:fill="0070C0"/>
            <w:vAlign w:val="center"/>
          </w:tcPr>
          <w:p w14:paraId="754155FE" w14:textId="70DB9AB8" w:rsidR="00660A85" w:rsidRPr="007974A0" w:rsidRDefault="00660A85" w:rsidP="00660A85">
            <w:pPr>
              <w:spacing w:after="0"/>
              <w:jc w:val="left"/>
              <w:rPr>
                <w:b/>
                <w:noProof/>
                <w:color w:val="FFFFFF" w:themeColor="background1"/>
                <w:sz w:val="20"/>
                <w:szCs w:val="20"/>
              </w:rPr>
            </w:pPr>
            <w:r>
              <w:rPr>
                <w:b/>
                <w:noProof/>
                <w:color w:val="FFFFFF" w:themeColor="background1"/>
                <w:sz w:val="20"/>
                <w:szCs w:val="20"/>
              </w:rPr>
              <w:t xml:space="preserve">SO2: </w:t>
            </w:r>
            <w:r w:rsidRPr="008B59CF">
              <w:rPr>
                <w:noProof/>
                <w:color w:val="FFFFFF" w:themeColor="background1"/>
                <w:sz w:val="20"/>
                <w:szCs w:val="20"/>
              </w:rPr>
              <w:t>Attractive conditions for the deployment of computing capacity</w:t>
            </w:r>
          </w:p>
        </w:tc>
        <w:tc>
          <w:tcPr>
            <w:tcW w:w="977" w:type="pct"/>
            <w:gridSpan w:val="2"/>
            <w:tcBorders>
              <w:top w:val="single" w:sz="4" w:space="0" w:color="auto"/>
              <w:left w:val="single" w:sz="4" w:space="0" w:color="0070C0"/>
              <w:bottom w:val="single" w:sz="4" w:space="0" w:color="auto"/>
              <w:right w:val="single" w:sz="4" w:space="0" w:color="0070C0"/>
            </w:tcBorders>
            <w:shd w:val="clear" w:color="auto" w:fill="0070C0"/>
            <w:vAlign w:val="center"/>
          </w:tcPr>
          <w:p w14:paraId="668CDBD2" w14:textId="77777777" w:rsidR="00660A85" w:rsidRPr="007974A0" w:rsidRDefault="00660A85" w:rsidP="00660A85">
            <w:pPr>
              <w:spacing w:after="0"/>
              <w:jc w:val="left"/>
              <w:rPr>
                <w:b/>
                <w:noProof/>
                <w:color w:val="FFFFFF" w:themeColor="background1"/>
                <w:sz w:val="20"/>
                <w:szCs w:val="20"/>
              </w:rPr>
            </w:pPr>
            <w:r w:rsidRPr="007974A0">
              <w:rPr>
                <w:b/>
                <w:noProof/>
                <w:color w:val="FFFFFF" w:themeColor="background1"/>
                <w:sz w:val="20"/>
                <w:szCs w:val="20"/>
              </w:rPr>
              <w:t xml:space="preserve">SO3: </w:t>
            </w:r>
            <w:r w:rsidRPr="007974A0">
              <w:rPr>
                <w:noProof/>
                <w:color w:val="FFFFFF" w:themeColor="background1"/>
                <w:sz w:val="20"/>
                <w:szCs w:val="20"/>
              </w:rPr>
              <w:t>Reduced reliance on non-EU providers</w:t>
            </w:r>
            <w:r w:rsidRPr="007974A0">
              <w:rPr>
                <w:b/>
                <w:noProof/>
                <w:color w:val="FFFFFF" w:themeColor="background1"/>
                <w:sz w:val="20"/>
                <w:szCs w:val="20"/>
                <w:highlight w:val="yellow"/>
              </w:rPr>
              <w:t xml:space="preserve"> </w:t>
            </w:r>
          </w:p>
        </w:tc>
        <w:tc>
          <w:tcPr>
            <w:tcW w:w="1070" w:type="pct"/>
            <w:tcBorders>
              <w:top w:val="single" w:sz="4" w:space="0" w:color="auto"/>
              <w:left w:val="single" w:sz="4" w:space="0" w:color="0070C0"/>
              <w:bottom w:val="single" w:sz="4" w:space="0" w:color="auto"/>
              <w:right w:val="single" w:sz="4" w:space="0" w:color="auto"/>
            </w:tcBorders>
            <w:shd w:val="clear" w:color="auto" w:fill="0070C0"/>
            <w:vAlign w:val="center"/>
          </w:tcPr>
          <w:p w14:paraId="44D9F7E8" w14:textId="77777777" w:rsidR="00660A85" w:rsidRPr="007974A0" w:rsidRDefault="00660A85" w:rsidP="00660A85">
            <w:pPr>
              <w:spacing w:after="0"/>
              <w:jc w:val="left"/>
              <w:rPr>
                <w:b/>
                <w:noProof/>
                <w:color w:val="FFFFFF" w:themeColor="background1"/>
                <w:sz w:val="20"/>
                <w:szCs w:val="20"/>
              </w:rPr>
            </w:pPr>
            <w:r w:rsidRPr="007974A0">
              <w:rPr>
                <w:b/>
                <w:noProof/>
                <w:color w:val="FFFFFF" w:themeColor="background1"/>
                <w:sz w:val="20"/>
                <w:szCs w:val="20"/>
              </w:rPr>
              <w:t xml:space="preserve">SO4: </w:t>
            </w:r>
            <w:r w:rsidRPr="007974A0">
              <w:rPr>
                <w:noProof/>
                <w:color w:val="FFFFFF" w:themeColor="background1"/>
                <w:sz w:val="20"/>
                <w:szCs w:val="20"/>
              </w:rPr>
              <w:t xml:space="preserve">Enhanced resilience of supply of cloud and AI computing services </w:t>
            </w:r>
          </w:p>
        </w:tc>
      </w:tr>
      <w:tr w:rsidR="00C5653A" w:rsidRPr="007974A0" w14:paraId="3F07041B" w14:textId="77777777">
        <w:trPr>
          <w:trHeight w:val="300"/>
        </w:trPr>
        <w:tc>
          <w:tcPr>
            <w:tcW w:w="981" w:type="pct"/>
            <w:tcBorders>
              <w:top w:val="single" w:sz="4" w:space="0" w:color="auto"/>
              <w:left w:val="single" w:sz="4" w:space="0" w:color="auto"/>
              <w:bottom w:val="single" w:sz="4" w:space="0" w:color="auto"/>
              <w:right w:val="nil"/>
            </w:tcBorders>
            <w:vAlign w:val="center"/>
          </w:tcPr>
          <w:p w14:paraId="50586B8B" w14:textId="77777777" w:rsidR="00C5653A" w:rsidRPr="007974A0" w:rsidRDefault="00C5653A">
            <w:pPr>
              <w:spacing w:after="0"/>
              <w:jc w:val="center"/>
              <w:rPr>
                <w:b/>
                <w:bCs/>
                <w:noProof/>
                <w:sz w:val="20"/>
                <w:szCs w:val="20"/>
              </w:rPr>
            </w:pPr>
            <w:r w:rsidRPr="007974A0">
              <w:rPr>
                <w:b/>
                <w:bCs/>
                <w:noProof/>
                <w:sz w:val="20"/>
                <w:szCs w:val="20"/>
              </w:rPr>
              <w:t>Policy option 1A</w:t>
            </w:r>
          </w:p>
        </w:tc>
        <w:tc>
          <w:tcPr>
            <w:tcW w:w="991" w:type="pct"/>
            <w:gridSpan w:val="2"/>
            <w:tcBorders>
              <w:top w:val="single" w:sz="4" w:space="0" w:color="auto"/>
              <w:left w:val="nil"/>
              <w:bottom w:val="single" w:sz="4" w:space="0" w:color="auto"/>
              <w:right w:val="nil"/>
            </w:tcBorders>
            <w:vAlign w:val="center"/>
          </w:tcPr>
          <w:p w14:paraId="6B22A6F5" w14:textId="77777777" w:rsidR="00C5653A" w:rsidRPr="007974A0" w:rsidRDefault="00C5653A">
            <w:pPr>
              <w:spacing w:after="0"/>
              <w:jc w:val="center"/>
              <w:rPr>
                <w:noProof/>
                <w:sz w:val="20"/>
                <w:szCs w:val="20"/>
              </w:rPr>
            </w:pPr>
            <w:r w:rsidRPr="007974A0">
              <w:rPr>
                <w:noProof/>
                <w:sz w:val="20"/>
                <w:szCs w:val="20"/>
              </w:rPr>
              <w:t>+</w:t>
            </w:r>
          </w:p>
        </w:tc>
        <w:tc>
          <w:tcPr>
            <w:tcW w:w="922" w:type="pct"/>
            <w:tcBorders>
              <w:top w:val="single" w:sz="4" w:space="0" w:color="auto"/>
              <w:left w:val="nil"/>
              <w:bottom w:val="single" w:sz="4" w:space="0" w:color="auto"/>
              <w:right w:val="nil"/>
            </w:tcBorders>
            <w:vAlign w:val="center"/>
          </w:tcPr>
          <w:p w14:paraId="2B6C01B0" w14:textId="77777777" w:rsidR="00C5653A" w:rsidRPr="007974A0" w:rsidRDefault="00C5653A">
            <w:pPr>
              <w:spacing w:after="0"/>
              <w:jc w:val="center"/>
              <w:rPr>
                <w:noProof/>
                <w:sz w:val="20"/>
                <w:szCs w:val="20"/>
              </w:rPr>
            </w:pPr>
            <w:r w:rsidRPr="007974A0">
              <w:rPr>
                <w:noProof/>
                <w:sz w:val="20"/>
                <w:szCs w:val="20"/>
              </w:rPr>
              <w:t>++</w:t>
            </w:r>
          </w:p>
        </w:tc>
        <w:tc>
          <w:tcPr>
            <w:tcW w:w="990" w:type="pct"/>
            <w:gridSpan w:val="2"/>
            <w:tcBorders>
              <w:top w:val="single" w:sz="4" w:space="0" w:color="auto"/>
              <w:left w:val="nil"/>
              <w:bottom w:val="single" w:sz="4" w:space="0" w:color="auto"/>
              <w:right w:val="nil"/>
            </w:tcBorders>
            <w:vAlign w:val="center"/>
          </w:tcPr>
          <w:p w14:paraId="69897A00" w14:textId="77777777" w:rsidR="00C5653A" w:rsidRPr="007974A0" w:rsidRDefault="00C5653A">
            <w:pPr>
              <w:spacing w:after="0"/>
              <w:jc w:val="center"/>
              <w:rPr>
                <w:noProof/>
                <w:sz w:val="20"/>
                <w:szCs w:val="20"/>
              </w:rPr>
            </w:pPr>
            <w:r w:rsidRPr="007974A0">
              <w:rPr>
                <w:noProof/>
                <w:sz w:val="20"/>
                <w:szCs w:val="20"/>
              </w:rPr>
              <w:t>o</w:t>
            </w:r>
          </w:p>
        </w:tc>
        <w:tc>
          <w:tcPr>
            <w:tcW w:w="1116" w:type="pct"/>
            <w:gridSpan w:val="2"/>
            <w:tcBorders>
              <w:top w:val="single" w:sz="4" w:space="0" w:color="auto"/>
              <w:left w:val="nil"/>
              <w:bottom w:val="single" w:sz="4" w:space="0" w:color="auto"/>
              <w:right w:val="single" w:sz="4" w:space="0" w:color="auto"/>
            </w:tcBorders>
            <w:vAlign w:val="center"/>
          </w:tcPr>
          <w:p w14:paraId="5A1A53A0" w14:textId="77777777" w:rsidR="00C5653A" w:rsidRPr="007974A0" w:rsidRDefault="00C5653A">
            <w:pPr>
              <w:spacing w:after="0"/>
              <w:jc w:val="center"/>
              <w:rPr>
                <w:noProof/>
                <w:sz w:val="20"/>
                <w:szCs w:val="20"/>
              </w:rPr>
            </w:pPr>
            <w:r w:rsidRPr="007974A0">
              <w:rPr>
                <w:noProof/>
                <w:sz w:val="20"/>
                <w:szCs w:val="20"/>
              </w:rPr>
              <w:t>o</w:t>
            </w:r>
          </w:p>
        </w:tc>
      </w:tr>
      <w:tr w:rsidR="00C5653A" w:rsidRPr="007974A0" w14:paraId="5DA0CD35" w14:textId="77777777">
        <w:trPr>
          <w:trHeight w:val="300"/>
        </w:trPr>
        <w:tc>
          <w:tcPr>
            <w:tcW w:w="981" w:type="pct"/>
            <w:tcBorders>
              <w:top w:val="single" w:sz="4" w:space="0" w:color="auto"/>
              <w:left w:val="single" w:sz="4" w:space="0" w:color="auto"/>
              <w:bottom w:val="single" w:sz="4" w:space="0" w:color="auto"/>
              <w:right w:val="nil"/>
            </w:tcBorders>
            <w:vAlign w:val="center"/>
          </w:tcPr>
          <w:p w14:paraId="0B3557A1" w14:textId="77777777" w:rsidR="00C5653A" w:rsidRPr="007974A0" w:rsidRDefault="00C5653A">
            <w:pPr>
              <w:spacing w:after="0"/>
              <w:jc w:val="center"/>
              <w:rPr>
                <w:b/>
                <w:bCs/>
                <w:noProof/>
                <w:sz w:val="20"/>
                <w:szCs w:val="20"/>
              </w:rPr>
            </w:pPr>
            <w:r w:rsidRPr="007974A0">
              <w:rPr>
                <w:b/>
                <w:bCs/>
                <w:noProof/>
                <w:sz w:val="20"/>
                <w:szCs w:val="20"/>
              </w:rPr>
              <w:t>Policy option 1B</w:t>
            </w:r>
          </w:p>
        </w:tc>
        <w:tc>
          <w:tcPr>
            <w:tcW w:w="991" w:type="pct"/>
            <w:gridSpan w:val="2"/>
            <w:tcBorders>
              <w:top w:val="single" w:sz="4" w:space="0" w:color="auto"/>
              <w:left w:val="nil"/>
              <w:bottom w:val="single" w:sz="4" w:space="0" w:color="auto"/>
              <w:right w:val="nil"/>
            </w:tcBorders>
            <w:vAlign w:val="center"/>
          </w:tcPr>
          <w:p w14:paraId="186F6A79" w14:textId="77777777" w:rsidR="00C5653A" w:rsidRPr="007974A0" w:rsidRDefault="00C5653A">
            <w:pPr>
              <w:spacing w:after="0"/>
              <w:jc w:val="center"/>
              <w:rPr>
                <w:noProof/>
                <w:sz w:val="20"/>
                <w:szCs w:val="20"/>
              </w:rPr>
            </w:pPr>
            <w:r w:rsidRPr="007974A0">
              <w:rPr>
                <w:noProof/>
                <w:sz w:val="20"/>
                <w:szCs w:val="20"/>
              </w:rPr>
              <w:t>+++</w:t>
            </w:r>
          </w:p>
        </w:tc>
        <w:tc>
          <w:tcPr>
            <w:tcW w:w="922" w:type="pct"/>
            <w:tcBorders>
              <w:top w:val="single" w:sz="4" w:space="0" w:color="auto"/>
              <w:left w:val="nil"/>
              <w:bottom w:val="single" w:sz="4" w:space="0" w:color="auto"/>
              <w:right w:val="nil"/>
            </w:tcBorders>
            <w:vAlign w:val="center"/>
          </w:tcPr>
          <w:p w14:paraId="0554532A" w14:textId="77777777" w:rsidR="00C5653A" w:rsidRPr="007974A0" w:rsidRDefault="00C5653A">
            <w:pPr>
              <w:spacing w:after="0"/>
              <w:jc w:val="center"/>
              <w:rPr>
                <w:noProof/>
                <w:sz w:val="20"/>
                <w:szCs w:val="20"/>
              </w:rPr>
            </w:pPr>
            <w:r w:rsidRPr="007974A0">
              <w:rPr>
                <w:noProof/>
                <w:sz w:val="20"/>
                <w:szCs w:val="20"/>
              </w:rPr>
              <w:t>+++</w:t>
            </w:r>
          </w:p>
        </w:tc>
        <w:tc>
          <w:tcPr>
            <w:tcW w:w="990" w:type="pct"/>
            <w:gridSpan w:val="2"/>
            <w:tcBorders>
              <w:top w:val="single" w:sz="4" w:space="0" w:color="auto"/>
              <w:left w:val="nil"/>
              <w:bottom w:val="single" w:sz="4" w:space="0" w:color="auto"/>
              <w:right w:val="nil"/>
            </w:tcBorders>
            <w:vAlign w:val="center"/>
          </w:tcPr>
          <w:p w14:paraId="0F07365F" w14:textId="77777777" w:rsidR="00C5653A" w:rsidRPr="007974A0" w:rsidRDefault="00C5653A">
            <w:pPr>
              <w:spacing w:after="0"/>
              <w:jc w:val="center"/>
              <w:rPr>
                <w:noProof/>
                <w:sz w:val="20"/>
                <w:szCs w:val="20"/>
              </w:rPr>
            </w:pPr>
            <w:r w:rsidRPr="007974A0">
              <w:rPr>
                <w:noProof/>
                <w:sz w:val="20"/>
                <w:szCs w:val="20"/>
              </w:rPr>
              <w:t>o</w:t>
            </w:r>
          </w:p>
        </w:tc>
        <w:tc>
          <w:tcPr>
            <w:tcW w:w="1116" w:type="pct"/>
            <w:gridSpan w:val="2"/>
            <w:tcBorders>
              <w:top w:val="single" w:sz="4" w:space="0" w:color="auto"/>
              <w:left w:val="nil"/>
              <w:bottom w:val="single" w:sz="4" w:space="0" w:color="auto"/>
              <w:right w:val="single" w:sz="4" w:space="0" w:color="auto"/>
            </w:tcBorders>
            <w:vAlign w:val="center"/>
          </w:tcPr>
          <w:p w14:paraId="22BD9243" w14:textId="77777777" w:rsidR="00C5653A" w:rsidRPr="007974A0" w:rsidRDefault="00C5653A">
            <w:pPr>
              <w:spacing w:after="0"/>
              <w:jc w:val="center"/>
              <w:rPr>
                <w:noProof/>
                <w:sz w:val="20"/>
                <w:szCs w:val="20"/>
              </w:rPr>
            </w:pPr>
            <w:r w:rsidRPr="007974A0">
              <w:rPr>
                <w:noProof/>
                <w:sz w:val="20"/>
                <w:szCs w:val="20"/>
              </w:rPr>
              <w:t>o</w:t>
            </w:r>
          </w:p>
        </w:tc>
      </w:tr>
      <w:tr w:rsidR="00C5653A" w:rsidRPr="007974A0" w14:paraId="6F97B6FA" w14:textId="77777777">
        <w:trPr>
          <w:trHeight w:val="300"/>
        </w:trPr>
        <w:tc>
          <w:tcPr>
            <w:tcW w:w="981" w:type="pct"/>
            <w:tcBorders>
              <w:top w:val="single" w:sz="4" w:space="0" w:color="auto"/>
              <w:left w:val="single" w:sz="4" w:space="0" w:color="auto"/>
              <w:bottom w:val="single" w:sz="4" w:space="0" w:color="auto"/>
              <w:right w:val="nil"/>
            </w:tcBorders>
            <w:vAlign w:val="center"/>
          </w:tcPr>
          <w:p w14:paraId="7CED6548" w14:textId="77777777" w:rsidR="00C5653A" w:rsidRPr="007974A0" w:rsidRDefault="00C5653A">
            <w:pPr>
              <w:spacing w:after="0"/>
              <w:jc w:val="center"/>
              <w:rPr>
                <w:b/>
                <w:bCs/>
                <w:noProof/>
                <w:sz w:val="20"/>
                <w:szCs w:val="20"/>
              </w:rPr>
            </w:pPr>
            <w:r w:rsidRPr="007974A0">
              <w:rPr>
                <w:b/>
                <w:bCs/>
                <w:noProof/>
                <w:sz w:val="20"/>
                <w:szCs w:val="20"/>
              </w:rPr>
              <w:t>Policy option 1C</w:t>
            </w:r>
          </w:p>
        </w:tc>
        <w:tc>
          <w:tcPr>
            <w:tcW w:w="991" w:type="pct"/>
            <w:gridSpan w:val="2"/>
            <w:tcBorders>
              <w:top w:val="single" w:sz="4" w:space="0" w:color="auto"/>
              <w:left w:val="nil"/>
              <w:bottom w:val="single" w:sz="4" w:space="0" w:color="auto"/>
              <w:right w:val="nil"/>
            </w:tcBorders>
            <w:vAlign w:val="center"/>
          </w:tcPr>
          <w:p w14:paraId="3A53851A" w14:textId="77777777" w:rsidR="00C5653A" w:rsidRPr="007974A0" w:rsidRDefault="00C5653A">
            <w:pPr>
              <w:spacing w:after="0"/>
              <w:jc w:val="center"/>
              <w:rPr>
                <w:noProof/>
                <w:sz w:val="20"/>
                <w:szCs w:val="20"/>
              </w:rPr>
            </w:pPr>
            <w:r w:rsidRPr="007974A0">
              <w:rPr>
                <w:noProof/>
                <w:sz w:val="20"/>
                <w:szCs w:val="20"/>
              </w:rPr>
              <w:t>++</w:t>
            </w:r>
          </w:p>
        </w:tc>
        <w:tc>
          <w:tcPr>
            <w:tcW w:w="922" w:type="pct"/>
            <w:tcBorders>
              <w:top w:val="single" w:sz="4" w:space="0" w:color="auto"/>
              <w:left w:val="nil"/>
              <w:bottom w:val="single" w:sz="4" w:space="0" w:color="auto"/>
              <w:right w:val="nil"/>
            </w:tcBorders>
            <w:vAlign w:val="center"/>
          </w:tcPr>
          <w:p w14:paraId="3125F95C" w14:textId="77777777" w:rsidR="00C5653A" w:rsidRPr="007974A0" w:rsidRDefault="00C5653A">
            <w:pPr>
              <w:spacing w:after="0"/>
              <w:jc w:val="center"/>
              <w:rPr>
                <w:noProof/>
                <w:sz w:val="20"/>
                <w:szCs w:val="20"/>
              </w:rPr>
            </w:pPr>
            <w:r w:rsidRPr="007974A0">
              <w:rPr>
                <w:noProof/>
                <w:sz w:val="20"/>
                <w:szCs w:val="20"/>
              </w:rPr>
              <w:t>++</w:t>
            </w:r>
          </w:p>
        </w:tc>
        <w:tc>
          <w:tcPr>
            <w:tcW w:w="990" w:type="pct"/>
            <w:gridSpan w:val="2"/>
            <w:tcBorders>
              <w:top w:val="single" w:sz="4" w:space="0" w:color="auto"/>
              <w:left w:val="nil"/>
              <w:bottom w:val="single" w:sz="4" w:space="0" w:color="auto"/>
              <w:right w:val="nil"/>
            </w:tcBorders>
            <w:vAlign w:val="center"/>
          </w:tcPr>
          <w:p w14:paraId="18DBF9C5" w14:textId="77777777" w:rsidR="00C5653A" w:rsidRPr="007974A0" w:rsidRDefault="00C5653A">
            <w:pPr>
              <w:spacing w:after="0"/>
              <w:jc w:val="center"/>
              <w:rPr>
                <w:noProof/>
                <w:sz w:val="20"/>
                <w:szCs w:val="20"/>
              </w:rPr>
            </w:pPr>
            <w:r w:rsidRPr="007974A0">
              <w:rPr>
                <w:noProof/>
                <w:sz w:val="20"/>
                <w:szCs w:val="20"/>
              </w:rPr>
              <w:t>o</w:t>
            </w:r>
          </w:p>
        </w:tc>
        <w:tc>
          <w:tcPr>
            <w:tcW w:w="1116" w:type="pct"/>
            <w:gridSpan w:val="2"/>
            <w:tcBorders>
              <w:top w:val="single" w:sz="4" w:space="0" w:color="auto"/>
              <w:left w:val="nil"/>
              <w:bottom w:val="single" w:sz="4" w:space="0" w:color="auto"/>
              <w:right w:val="single" w:sz="4" w:space="0" w:color="auto"/>
            </w:tcBorders>
            <w:vAlign w:val="center"/>
          </w:tcPr>
          <w:p w14:paraId="4A09A8A6" w14:textId="77777777" w:rsidR="00C5653A" w:rsidRPr="007974A0" w:rsidRDefault="00C5653A">
            <w:pPr>
              <w:spacing w:after="0"/>
              <w:jc w:val="center"/>
              <w:rPr>
                <w:noProof/>
                <w:sz w:val="20"/>
                <w:szCs w:val="20"/>
              </w:rPr>
            </w:pPr>
            <w:r w:rsidRPr="007974A0">
              <w:rPr>
                <w:noProof/>
                <w:sz w:val="20"/>
                <w:szCs w:val="20"/>
              </w:rPr>
              <w:t>o</w:t>
            </w:r>
          </w:p>
        </w:tc>
      </w:tr>
      <w:tr w:rsidR="00C5653A" w:rsidRPr="007974A0" w14:paraId="1C290E37" w14:textId="77777777">
        <w:trPr>
          <w:trHeight w:val="300"/>
        </w:trPr>
        <w:tc>
          <w:tcPr>
            <w:tcW w:w="981" w:type="pct"/>
            <w:tcBorders>
              <w:top w:val="single" w:sz="4" w:space="0" w:color="auto"/>
              <w:left w:val="single" w:sz="4" w:space="0" w:color="auto"/>
              <w:bottom w:val="single" w:sz="4" w:space="0" w:color="auto"/>
              <w:right w:val="nil"/>
            </w:tcBorders>
            <w:vAlign w:val="center"/>
          </w:tcPr>
          <w:p w14:paraId="2A538A62" w14:textId="77777777" w:rsidR="00C5653A" w:rsidRPr="007974A0" w:rsidRDefault="00C5653A">
            <w:pPr>
              <w:spacing w:after="0"/>
              <w:jc w:val="center"/>
              <w:rPr>
                <w:b/>
                <w:bCs/>
                <w:noProof/>
                <w:sz w:val="20"/>
                <w:szCs w:val="20"/>
              </w:rPr>
            </w:pPr>
            <w:r w:rsidRPr="007974A0">
              <w:rPr>
                <w:b/>
                <w:bCs/>
                <w:noProof/>
                <w:sz w:val="20"/>
                <w:szCs w:val="20"/>
              </w:rPr>
              <w:t>Policy option 2A</w:t>
            </w:r>
          </w:p>
        </w:tc>
        <w:tc>
          <w:tcPr>
            <w:tcW w:w="991" w:type="pct"/>
            <w:gridSpan w:val="2"/>
            <w:tcBorders>
              <w:top w:val="single" w:sz="4" w:space="0" w:color="auto"/>
              <w:left w:val="nil"/>
              <w:bottom w:val="single" w:sz="4" w:space="0" w:color="auto"/>
              <w:right w:val="nil"/>
            </w:tcBorders>
            <w:vAlign w:val="center"/>
          </w:tcPr>
          <w:p w14:paraId="61F0AB4A" w14:textId="77777777" w:rsidR="00C5653A" w:rsidRPr="007974A0" w:rsidRDefault="00C5653A">
            <w:pPr>
              <w:spacing w:after="0"/>
              <w:jc w:val="center"/>
              <w:rPr>
                <w:noProof/>
                <w:sz w:val="20"/>
                <w:szCs w:val="20"/>
              </w:rPr>
            </w:pPr>
            <w:r w:rsidRPr="007974A0">
              <w:rPr>
                <w:noProof/>
                <w:sz w:val="20"/>
                <w:szCs w:val="20"/>
              </w:rPr>
              <w:t>+</w:t>
            </w:r>
          </w:p>
        </w:tc>
        <w:tc>
          <w:tcPr>
            <w:tcW w:w="922" w:type="pct"/>
            <w:tcBorders>
              <w:top w:val="single" w:sz="4" w:space="0" w:color="auto"/>
              <w:left w:val="nil"/>
              <w:bottom w:val="single" w:sz="4" w:space="0" w:color="auto"/>
              <w:right w:val="nil"/>
            </w:tcBorders>
            <w:vAlign w:val="center"/>
          </w:tcPr>
          <w:p w14:paraId="68E81FFB" w14:textId="77777777" w:rsidR="00C5653A" w:rsidRPr="007974A0" w:rsidRDefault="00C5653A">
            <w:pPr>
              <w:spacing w:after="0"/>
              <w:jc w:val="center"/>
              <w:rPr>
                <w:noProof/>
                <w:sz w:val="20"/>
                <w:szCs w:val="20"/>
              </w:rPr>
            </w:pPr>
            <w:r w:rsidRPr="007974A0">
              <w:rPr>
                <w:noProof/>
                <w:sz w:val="20"/>
                <w:szCs w:val="20"/>
              </w:rPr>
              <w:t>o</w:t>
            </w:r>
          </w:p>
        </w:tc>
        <w:tc>
          <w:tcPr>
            <w:tcW w:w="990" w:type="pct"/>
            <w:gridSpan w:val="2"/>
            <w:tcBorders>
              <w:top w:val="single" w:sz="4" w:space="0" w:color="auto"/>
              <w:left w:val="nil"/>
              <w:bottom w:val="single" w:sz="4" w:space="0" w:color="auto"/>
              <w:right w:val="nil"/>
            </w:tcBorders>
            <w:vAlign w:val="center"/>
          </w:tcPr>
          <w:p w14:paraId="2C1FC1D1" w14:textId="77777777" w:rsidR="00C5653A" w:rsidRPr="007974A0" w:rsidRDefault="00C5653A">
            <w:pPr>
              <w:spacing w:after="0"/>
              <w:jc w:val="center"/>
              <w:rPr>
                <w:noProof/>
                <w:sz w:val="20"/>
                <w:szCs w:val="20"/>
              </w:rPr>
            </w:pPr>
            <w:r w:rsidRPr="007974A0">
              <w:rPr>
                <w:noProof/>
                <w:sz w:val="20"/>
                <w:szCs w:val="20"/>
              </w:rPr>
              <w:t>+</w:t>
            </w:r>
          </w:p>
        </w:tc>
        <w:tc>
          <w:tcPr>
            <w:tcW w:w="1116" w:type="pct"/>
            <w:gridSpan w:val="2"/>
            <w:tcBorders>
              <w:top w:val="single" w:sz="4" w:space="0" w:color="auto"/>
              <w:left w:val="nil"/>
              <w:bottom w:val="single" w:sz="4" w:space="0" w:color="auto"/>
              <w:right w:val="single" w:sz="4" w:space="0" w:color="auto"/>
            </w:tcBorders>
            <w:vAlign w:val="center"/>
          </w:tcPr>
          <w:p w14:paraId="595B3C67" w14:textId="77777777" w:rsidR="00C5653A" w:rsidRPr="007974A0" w:rsidRDefault="00C5653A">
            <w:pPr>
              <w:spacing w:after="0"/>
              <w:jc w:val="center"/>
              <w:rPr>
                <w:noProof/>
                <w:sz w:val="20"/>
                <w:szCs w:val="20"/>
              </w:rPr>
            </w:pPr>
            <w:r w:rsidRPr="007974A0">
              <w:rPr>
                <w:noProof/>
                <w:sz w:val="20"/>
                <w:szCs w:val="20"/>
              </w:rPr>
              <w:t>+</w:t>
            </w:r>
          </w:p>
        </w:tc>
      </w:tr>
      <w:tr w:rsidR="00C5653A" w:rsidRPr="007974A0" w14:paraId="3059E744" w14:textId="77777777">
        <w:trPr>
          <w:trHeight w:val="300"/>
        </w:trPr>
        <w:tc>
          <w:tcPr>
            <w:tcW w:w="981" w:type="pct"/>
            <w:tcBorders>
              <w:top w:val="single" w:sz="4" w:space="0" w:color="auto"/>
              <w:left w:val="single" w:sz="4" w:space="0" w:color="auto"/>
              <w:bottom w:val="single" w:sz="4" w:space="0" w:color="auto"/>
              <w:right w:val="nil"/>
            </w:tcBorders>
            <w:vAlign w:val="center"/>
          </w:tcPr>
          <w:p w14:paraId="6E1322CD" w14:textId="77777777" w:rsidR="00C5653A" w:rsidRPr="007974A0" w:rsidRDefault="00C5653A">
            <w:pPr>
              <w:spacing w:after="0"/>
              <w:jc w:val="center"/>
              <w:rPr>
                <w:b/>
                <w:bCs/>
                <w:noProof/>
                <w:sz w:val="20"/>
                <w:szCs w:val="20"/>
              </w:rPr>
            </w:pPr>
            <w:r w:rsidRPr="007974A0">
              <w:rPr>
                <w:b/>
                <w:bCs/>
                <w:noProof/>
                <w:sz w:val="20"/>
                <w:szCs w:val="20"/>
              </w:rPr>
              <w:t>Policy option 2B</w:t>
            </w:r>
          </w:p>
        </w:tc>
        <w:tc>
          <w:tcPr>
            <w:tcW w:w="991" w:type="pct"/>
            <w:gridSpan w:val="2"/>
            <w:tcBorders>
              <w:top w:val="single" w:sz="4" w:space="0" w:color="auto"/>
              <w:left w:val="nil"/>
              <w:bottom w:val="single" w:sz="4" w:space="0" w:color="auto"/>
              <w:right w:val="nil"/>
            </w:tcBorders>
            <w:vAlign w:val="center"/>
          </w:tcPr>
          <w:p w14:paraId="6F2B15F8" w14:textId="77777777" w:rsidR="00C5653A" w:rsidRPr="007974A0" w:rsidRDefault="00C5653A">
            <w:pPr>
              <w:spacing w:after="0"/>
              <w:jc w:val="center"/>
              <w:rPr>
                <w:noProof/>
                <w:sz w:val="20"/>
                <w:szCs w:val="20"/>
              </w:rPr>
            </w:pPr>
            <w:r w:rsidRPr="007974A0">
              <w:rPr>
                <w:noProof/>
                <w:sz w:val="20"/>
                <w:szCs w:val="20"/>
              </w:rPr>
              <w:t>+</w:t>
            </w:r>
          </w:p>
        </w:tc>
        <w:tc>
          <w:tcPr>
            <w:tcW w:w="922" w:type="pct"/>
            <w:tcBorders>
              <w:top w:val="single" w:sz="4" w:space="0" w:color="auto"/>
              <w:left w:val="nil"/>
              <w:bottom w:val="single" w:sz="4" w:space="0" w:color="auto"/>
              <w:right w:val="nil"/>
            </w:tcBorders>
            <w:vAlign w:val="center"/>
          </w:tcPr>
          <w:p w14:paraId="62F6C2E7" w14:textId="77777777" w:rsidR="00C5653A" w:rsidRPr="007974A0" w:rsidRDefault="00C5653A">
            <w:pPr>
              <w:spacing w:after="0"/>
              <w:jc w:val="center"/>
              <w:rPr>
                <w:noProof/>
                <w:sz w:val="20"/>
                <w:szCs w:val="20"/>
              </w:rPr>
            </w:pPr>
            <w:r w:rsidRPr="007974A0">
              <w:rPr>
                <w:noProof/>
                <w:sz w:val="20"/>
                <w:szCs w:val="20"/>
              </w:rPr>
              <w:t>o</w:t>
            </w:r>
          </w:p>
        </w:tc>
        <w:tc>
          <w:tcPr>
            <w:tcW w:w="990" w:type="pct"/>
            <w:gridSpan w:val="2"/>
            <w:tcBorders>
              <w:top w:val="single" w:sz="4" w:space="0" w:color="auto"/>
              <w:left w:val="nil"/>
              <w:bottom w:val="single" w:sz="4" w:space="0" w:color="auto"/>
              <w:right w:val="nil"/>
            </w:tcBorders>
            <w:vAlign w:val="center"/>
          </w:tcPr>
          <w:p w14:paraId="2FA002D8" w14:textId="77777777" w:rsidR="00C5653A" w:rsidRPr="007974A0" w:rsidRDefault="00C5653A">
            <w:pPr>
              <w:spacing w:after="0"/>
              <w:jc w:val="center"/>
              <w:rPr>
                <w:noProof/>
                <w:sz w:val="20"/>
                <w:szCs w:val="20"/>
              </w:rPr>
            </w:pPr>
            <w:r w:rsidRPr="007974A0">
              <w:rPr>
                <w:noProof/>
                <w:sz w:val="20"/>
                <w:szCs w:val="20"/>
              </w:rPr>
              <w:t>++</w:t>
            </w:r>
          </w:p>
        </w:tc>
        <w:tc>
          <w:tcPr>
            <w:tcW w:w="1116" w:type="pct"/>
            <w:gridSpan w:val="2"/>
            <w:tcBorders>
              <w:top w:val="single" w:sz="4" w:space="0" w:color="auto"/>
              <w:left w:val="nil"/>
              <w:bottom w:val="single" w:sz="4" w:space="0" w:color="auto"/>
              <w:right w:val="single" w:sz="4" w:space="0" w:color="auto"/>
            </w:tcBorders>
            <w:vAlign w:val="center"/>
          </w:tcPr>
          <w:p w14:paraId="2899D3AA" w14:textId="77777777" w:rsidR="00C5653A" w:rsidRPr="007974A0" w:rsidRDefault="00C5653A">
            <w:pPr>
              <w:spacing w:after="0"/>
              <w:jc w:val="center"/>
              <w:rPr>
                <w:noProof/>
                <w:sz w:val="20"/>
                <w:szCs w:val="20"/>
              </w:rPr>
            </w:pPr>
            <w:r w:rsidRPr="007974A0">
              <w:rPr>
                <w:noProof/>
                <w:sz w:val="20"/>
                <w:szCs w:val="20"/>
              </w:rPr>
              <w:t>++</w:t>
            </w:r>
          </w:p>
        </w:tc>
      </w:tr>
      <w:tr w:rsidR="00C5653A" w:rsidRPr="007974A0" w14:paraId="12CF0936" w14:textId="77777777">
        <w:trPr>
          <w:trHeight w:val="300"/>
        </w:trPr>
        <w:tc>
          <w:tcPr>
            <w:tcW w:w="981" w:type="pct"/>
            <w:tcBorders>
              <w:top w:val="single" w:sz="4" w:space="0" w:color="auto"/>
              <w:left w:val="single" w:sz="4" w:space="0" w:color="auto"/>
              <w:bottom w:val="single" w:sz="4" w:space="0" w:color="auto"/>
              <w:right w:val="nil"/>
            </w:tcBorders>
            <w:vAlign w:val="center"/>
          </w:tcPr>
          <w:p w14:paraId="0409F2A0" w14:textId="77777777" w:rsidR="00C5653A" w:rsidRPr="007974A0" w:rsidRDefault="00C5653A">
            <w:pPr>
              <w:spacing w:after="0"/>
              <w:jc w:val="center"/>
              <w:rPr>
                <w:b/>
                <w:bCs/>
                <w:noProof/>
                <w:sz w:val="20"/>
                <w:szCs w:val="20"/>
              </w:rPr>
            </w:pPr>
            <w:r w:rsidRPr="007974A0">
              <w:rPr>
                <w:b/>
                <w:bCs/>
                <w:noProof/>
                <w:sz w:val="20"/>
                <w:szCs w:val="20"/>
              </w:rPr>
              <w:t>Policy option 2C</w:t>
            </w:r>
          </w:p>
        </w:tc>
        <w:tc>
          <w:tcPr>
            <w:tcW w:w="991" w:type="pct"/>
            <w:gridSpan w:val="2"/>
            <w:tcBorders>
              <w:top w:val="single" w:sz="4" w:space="0" w:color="auto"/>
              <w:left w:val="nil"/>
              <w:bottom w:val="single" w:sz="4" w:space="0" w:color="auto"/>
              <w:right w:val="nil"/>
            </w:tcBorders>
            <w:vAlign w:val="center"/>
          </w:tcPr>
          <w:p w14:paraId="0CAD8C37" w14:textId="242E0B3A" w:rsidR="00C5653A" w:rsidRPr="007974A0" w:rsidRDefault="00C5653A">
            <w:pPr>
              <w:spacing w:after="0"/>
              <w:jc w:val="center"/>
              <w:rPr>
                <w:noProof/>
                <w:sz w:val="20"/>
                <w:szCs w:val="20"/>
              </w:rPr>
            </w:pPr>
            <w:r w:rsidRPr="007974A0">
              <w:rPr>
                <w:noProof/>
                <w:sz w:val="20"/>
                <w:szCs w:val="20"/>
              </w:rPr>
              <w:t>+</w:t>
            </w:r>
            <w:r w:rsidR="006B4514">
              <w:rPr>
                <w:noProof/>
                <w:sz w:val="20"/>
                <w:szCs w:val="20"/>
              </w:rPr>
              <w:t>+</w:t>
            </w:r>
          </w:p>
        </w:tc>
        <w:tc>
          <w:tcPr>
            <w:tcW w:w="922" w:type="pct"/>
            <w:tcBorders>
              <w:top w:val="single" w:sz="4" w:space="0" w:color="auto"/>
              <w:left w:val="nil"/>
              <w:bottom w:val="single" w:sz="4" w:space="0" w:color="auto"/>
              <w:right w:val="nil"/>
            </w:tcBorders>
            <w:vAlign w:val="center"/>
          </w:tcPr>
          <w:p w14:paraId="78E8D446" w14:textId="77777777" w:rsidR="00C5653A" w:rsidRPr="007974A0" w:rsidRDefault="00C5653A">
            <w:pPr>
              <w:spacing w:after="0"/>
              <w:jc w:val="center"/>
              <w:rPr>
                <w:noProof/>
                <w:sz w:val="20"/>
                <w:szCs w:val="20"/>
              </w:rPr>
            </w:pPr>
            <w:r w:rsidRPr="007974A0">
              <w:rPr>
                <w:noProof/>
                <w:sz w:val="20"/>
                <w:szCs w:val="20"/>
              </w:rPr>
              <w:t>o</w:t>
            </w:r>
          </w:p>
        </w:tc>
        <w:tc>
          <w:tcPr>
            <w:tcW w:w="990" w:type="pct"/>
            <w:gridSpan w:val="2"/>
            <w:tcBorders>
              <w:top w:val="single" w:sz="4" w:space="0" w:color="auto"/>
              <w:left w:val="nil"/>
              <w:bottom w:val="single" w:sz="4" w:space="0" w:color="auto"/>
              <w:right w:val="nil"/>
            </w:tcBorders>
            <w:vAlign w:val="center"/>
          </w:tcPr>
          <w:p w14:paraId="17246769" w14:textId="77777777" w:rsidR="00C5653A" w:rsidRPr="007974A0" w:rsidRDefault="00C5653A">
            <w:pPr>
              <w:spacing w:after="0"/>
              <w:jc w:val="center"/>
              <w:rPr>
                <w:noProof/>
                <w:sz w:val="20"/>
                <w:szCs w:val="20"/>
              </w:rPr>
            </w:pPr>
            <w:r w:rsidRPr="007974A0">
              <w:rPr>
                <w:noProof/>
                <w:sz w:val="20"/>
                <w:szCs w:val="20"/>
              </w:rPr>
              <w:t>+++</w:t>
            </w:r>
          </w:p>
        </w:tc>
        <w:tc>
          <w:tcPr>
            <w:tcW w:w="1116" w:type="pct"/>
            <w:gridSpan w:val="2"/>
            <w:tcBorders>
              <w:top w:val="single" w:sz="4" w:space="0" w:color="auto"/>
              <w:left w:val="nil"/>
              <w:bottom w:val="single" w:sz="4" w:space="0" w:color="auto"/>
              <w:right w:val="single" w:sz="4" w:space="0" w:color="auto"/>
            </w:tcBorders>
            <w:vAlign w:val="center"/>
          </w:tcPr>
          <w:p w14:paraId="6A9FE2DC" w14:textId="77777777" w:rsidR="00C5653A" w:rsidRPr="007974A0" w:rsidRDefault="00C5653A">
            <w:pPr>
              <w:spacing w:after="0"/>
              <w:jc w:val="center"/>
              <w:rPr>
                <w:noProof/>
                <w:sz w:val="20"/>
                <w:szCs w:val="20"/>
              </w:rPr>
            </w:pPr>
            <w:r w:rsidRPr="007974A0">
              <w:rPr>
                <w:noProof/>
                <w:sz w:val="20"/>
                <w:szCs w:val="20"/>
              </w:rPr>
              <w:t>+++</w:t>
            </w:r>
          </w:p>
        </w:tc>
      </w:tr>
    </w:tbl>
    <w:p w14:paraId="2BA116B0" w14:textId="77777777" w:rsidR="00C5653A" w:rsidRPr="007974A0" w:rsidRDefault="00C5653A" w:rsidP="00C5653A">
      <w:pPr>
        <w:jc w:val="center"/>
        <w:rPr>
          <w:i/>
          <w:iCs/>
          <w:noProof/>
          <w:sz w:val="20"/>
          <w:szCs w:val="20"/>
        </w:rPr>
      </w:pPr>
      <w:r w:rsidRPr="007974A0">
        <w:rPr>
          <w:i/>
          <w:iCs/>
          <w:noProof/>
          <w:sz w:val="20"/>
          <w:szCs w:val="20"/>
        </w:rPr>
        <w:t>Legend: o no relevance; + limited effectiveness; ++ effective; +++ very effective</w:t>
      </w:r>
    </w:p>
    <w:p w14:paraId="62B97584" w14:textId="64FAA5A7" w:rsidR="00E61374" w:rsidRPr="00AB4189" w:rsidRDefault="00E61374" w:rsidP="006B5183">
      <w:pPr>
        <w:pStyle w:val="Heading2"/>
        <w:rPr>
          <w:noProof/>
        </w:rPr>
      </w:pPr>
      <w:bookmarkStart w:id="69" w:name="_Toc216129278"/>
      <w:bookmarkStart w:id="70" w:name="_Toc230792745"/>
      <w:r w:rsidRPr="00AB4189">
        <w:rPr>
          <w:noProof/>
        </w:rPr>
        <w:t>Efficiency</w:t>
      </w:r>
      <w:bookmarkEnd w:id="69"/>
      <w:bookmarkEnd w:id="70"/>
      <w:r w:rsidRPr="00AB4189">
        <w:rPr>
          <w:noProof/>
        </w:rPr>
        <w:t xml:space="preserve"> </w:t>
      </w:r>
    </w:p>
    <w:p w14:paraId="4ACEFCB6" w14:textId="48B34440" w:rsidR="006006EF" w:rsidRPr="003A7C1B" w:rsidRDefault="006006EF" w:rsidP="006006EF">
      <w:pPr>
        <w:pStyle w:val="Text2"/>
        <w:ind w:left="0"/>
        <w:rPr>
          <w:noProof/>
        </w:rPr>
      </w:pPr>
      <w:r>
        <w:rPr>
          <w:noProof/>
        </w:rPr>
        <w:t xml:space="preserve">The table below presents </w:t>
      </w:r>
      <w:r w:rsidR="001359C5">
        <w:rPr>
          <w:noProof/>
        </w:rPr>
        <w:t xml:space="preserve">a </w:t>
      </w:r>
      <w:r w:rsidR="00AC3CBB">
        <w:rPr>
          <w:noProof/>
        </w:rPr>
        <w:t>qualitative</w:t>
      </w:r>
      <w:r w:rsidR="001359C5">
        <w:rPr>
          <w:noProof/>
        </w:rPr>
        <w:t xml:space="preserve"> </w:t>
      </w:r>
      <w:r>
        <w:rPr>
          <w:noProof/>
        </w:rPr>
        <w:t>summary of</w:t>
      </w:r>
      <w:r w:rsidR="00592AE7" w:rsidDel="001359C5">
        <w:rPr>
          <w:noProof/>
        </w:rPr>
        <w:t xml:space="preserve"> </w:t>
      </w:r>
      <w:r>
        <w:rPr>
          <w:noProof/>
        </w:rPr>
        <w:t xml:space="preserve">costs and benefits of the Policy Options </w:t>
      </w:r>
      <w:r w:rsidR="00592AE7">
        <w:rPr>
          <w:noProof/>
        </w:rPr>
        <w:t xml:space="preserve">borne by </w:t>
      </w:r>
      <w:r>
        <w:rPr>
          <w:noProof/>
        </w:rPr>
        <w:t>the main stakeholder groups analysed under section 6.1., i.e. data centre operators, cloud and AI service providers,</w:t>
      </w:r>
      <w:r w:rsidR="003509AA">
        <w:rPr>
          <w:noProof/>
        </w:rPr>
        <w:t xml:space="preserve"> essential entities of the private </w:t>
      </w:r>
      <w:r w:rsidR="006A7E4B">
        <w:rPr>
          <w:noProof/>
        </w:rPr>
        <w:t>sector, public</w:t>
      </w:r>
      <w:r>
        <w:rPr>
          <w:noProof/>
        </w:rPr>
        <w:t xml:space="preserve"> authorities and the European Commission</w:t>
      </w:r>
      <w:r w:rsidR="00B73BFC">
        <w:rPr>
          <w:noProof/>
        </w:rPr>
        <w:t xml:space="preserve">, </w:t>
      </w:r>
      <w:r w:rsidR="00671694">
        <w:rPr>
          <w:noProof/>
        </w:rPr>
        <w:t xml:space="preserve">mostly </w:t>
      </w:r>
      <w:r w:rsidR="00B73BFC">
        <w:rPr>
          <w:noProof/>
        </w:rPr>
        <w:t xml:space="preserve">calculated using the standard cost </w:t>
      </w:r>
      <w:r w:rsidR="002260BD">
        <w:rPr>
          <w:noProof/>
        </w:rPr>
        <w:t>model and net present value framework</w:t>
      </w:r>
      <w:r>
        <w:rPr>
          <w:rStyle w:val="FootnoteReference"/>
          <w:noProof/>
        </w:rPr>
        <w:footnoteReference w:id="129"/>
      </w:r>
      <w:r>
        <w:rPr>
          <w:noProof/>
        </w:rPr>
        <w:t xml:space="preserve">. </w:t>
      </w:r>
      <w:r w:rsidR="009F33EC">
        <w:rPr>
          <w:noProof/>
        </w:rPr>
        <w:t>G</w:t>
      </w:r>
      <w:r w:rsidR="009F33EC" w:rsidRPr="009F33EC">
        <w:rPr>
          <w:noProof/>
        </w:rPr>
        <w:t xml:space="preserve">iven the uncertainty around the estimates, the results are presented using </w:t>
      </w:r>
      <w:r w:rsidR="0075717C">
        <w:rPr>
          <w:noProof/>
        </w:rPr>
        <w:t>“+” and “-”, which reflect indicative</w:t>
      </w:r>
      <w:r w:rsidR="009F33EC" w:rsidRPr="009F33EC">
        <w:rPr>
          <w:noProof/>
        </w:rPr>
        <w:t xml:space="preserve"> ranges rather than precise values</w:t>
      </w:r>
      <w:r w:rsidR="0075717C">
        <w:rPr>
          <w:noProof/>
        </w:rPr>
        <w:t>. The objective is</w:t>
      </w:r>
      <w:r w:rsidR="00406C62">
        <w:rPr>
          <w:noProof/>
        </w:rPr>
        <w:t xml:space="preserve"> to present the likely direction and scale of each option compared to the baseline</w:t>
      </w:r>
      <w:r w:rsidR="009F33EC" w:rsidRPr="009F33EC">
        <w:rPr>
          <w:noProof/>
        </w:rPr>
        <w:t xml:space="preserve">. </w:t>
      </w:r>
      <w:r w:rsidR="00EF3687">
        <w:rPr>
          <w:noProof/>
        </w:rPr>
        <w:t>Positive signs indicate benefits, while negative ones indicate costs</w:t>
      </w:r>
      <w:r w:rsidR="00EE6E97">
        <w:rPr>
          <w:noProof/>
        </w:rPr>
        <w:t xml:space="preserve">, while the number reflects the order of magnitude of the quantified impact. </w:t>
      </w:r>
      <w:r w:rsidR="00546763">
        <w:rPr>
          <w:noProof/>
        </w:rPr>
        <w:t xml:space="preserve">The table does not </w:t>
      </w:r>
      <w:r w:rsidR="0064740E">
        <w:rPr>
          <w:noProof/>
        </w:rPr>
        <w:t xml:space="preserve">incorporate </w:t>
      </w:r>
      <w:r w:rsidR="00F06D61">
        <w:rPr>
          <w:noProof/>
        </w:rPr>
        <w:t>non-market social and environmental externalities.</w:t>
      </w:r>
      <w:r w:rsidR="00B85797">
        <w:rPr>
          <w:noProof/>
        </w:rPr>
        <w:t xml:space="preserve"> These </w:t>
      </w:r>
      <w:r w:rsidR="00573DCD">
        <w:rPr>
          <w:noProof/>
        </w:rPr>
        <w:t xml:space="preserve">effects are discussed </w:t>
      </w:r>
      <w:r w:rsidR="00333659">
        <w:rPr>
          <w:noProof/>
        </w:rPr>
        <w:t xml:space="preserve">in the respective sections 6.2, 6.3 and further below as a relevant part of this impact assessment. </w:t>
      </w:r>
    </w:p>
    <w:p w14:paraId="7FDE2A82" w14:textId="6B189FE8" w:rsidR="00E61374" w:rsidRPr="00D37004" w:rsidRDefault="00E61374" w:rsidP="00750B44">
      <w:pPr>
        <w:pStyle w:val="Caption"/>
        <w:spacing w:after="60"/>
        <w:rPr>
          <w:noProof/>
        </w:rPr>
      </w:pPr>
      <w:r w:rsidRPr="001C321A">
        <w:rPr>
          <w:noProof/>
        </w:rPr>
        <w:t xml:space="preserve">Table </w:t>
      </w:r>
      <w:r w:rsidRPr="001C321A">
        <w:rPr>
          <w:noProof/>
        </w:rPr>
        <w:fldChar w:fldCharType="begin"/>
      </w:r>
      <w:r w:rsidRPr="001C321A">
        <w:rPr>
          <w:noProof/>
        </w:rPr>
        <w:instrText xml:space="preserve"> SEQ Table \* ARABIC </w:instrText>
      </w:r>
      <w:r w:rsidRPr="001C321A">
        <w:rPr>
          <w:noProof/>
        </w:rPr>
        <w:fldChar w:fldCharType="separate"/>
      </w:r>
      <w:r w:rsidR="00137E65">
        <w:rPr>
          <w:noProof/>
        </w:rPr>
        <w:t>13</w:t>
      </w:r>
      <w:r w:rsidRPr="001C321A">
        <w:rPr>
          <w:noProof/>
        </w:rPr>
        <w:fldChar w:fldCharType="end"/>
      </w:r>
      <w:r w:rsidRPr="001C321A">
        <w:rPr>
          <w:noProof/>
        </w:rPr>
        <w:t xml:space="preserve">. Summary of costs and benefits of the policy options – </w:t>
      </w:r>
      <w:r w:rsidR="00566E85" w:rsidRPr="001C321A">
        <w:rPr>
          <w:noProof/>
        </w:rPr>
        <w:t xml:space="preserve">indicative ranges based on central estimates of NPV </w:t>
      </w:r>
      <w:r w:rsidRPr="001C321A">
        <w:rPr>
          <w:noProof/>
        </w:rPr>
        <w:t>for 2027-2036</w:t>
      </w:r>
      <w:r w:rsidR="005D2354">
        <w:rPr>
          <w:noProof/>
        </w:rPr>
        <w:t xml:space="preserve"> and qualitative estimates</w:t>
      </w:r>
      <w:r w:rsidRPr="001C321A">
        <w:rPr>
          <w:noProof/>
        </w:rPr>
        <w:t>, compared to the baseline</w:t>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2357"/>
        <w:gridCol w:w="1226"/>
        <w:gridCol w:w="1226"/>
        <w:gridCol w:w="1226"/>
        <w:gridCol w:w="1226"/>
        <w:gridCol w:w="1226"/>
        <w:gridCol w:w="1226"/>
      </w:tblGrid>
      <w:tr w:rsidR="009B425B" w:rsidRPr="00D37004" w14:paraId="65BAA652" w14:textId="77777777" w:rsidTr="008021DE">
        <w:trPr>
          <w:trHeight w:val="67"/>
          <w:tblHeader/>
        </w:trPr>
        <w:tc>
          <w:tcPr>
            <w:tcW w:w="1214" w:type="pct"/>
            <w:tcBorders>
              <w:top w:val="single" w:sz="4" w:space="0" w:color="auto"/>
            </w:tcBorders>
            <w:shd w:val="clear" w:color="auto" w:fill="0070C0"/>
          </w:tcPr>
          <w:p w14:paraId="0911AA1A" w14:textId="77777777" w:rsidR="00E61374" w:rsidRPr="004C57EE" w:rsidRDefault="00E61374" w:rsidP="004C57EE">
            <w:pPr>
              <w:spacing w:after="0"/>
              <w:ind w:left="-142" w:firstLine="142"/>
              <w:jc w:val="left"/>
              <w:rPr>
                <w:b/>
                <w:bCs/>
                <w:noProof/>
                <w:sz w:val="20"/>
                <w:szCs w:val="20"/>
              </w:rPr>
            </w:pPr>
          </w:p>
        </w:tc>
        <w:tc>
          <w:tcPr>
            <w:tcW w:w="3786" w:type="pct"/>
            <w:gridSpan w:val="6"/>
            <w:tcBorders>
              <w:top w:val="single" w:sz="4" w:space="0" w:color="auto"/>
            </w:tcBorders>
            <w:shd w:val="clear" w:color="auto" w:fill="0070C0"/>
          </w:tcPr>
          <w:p w14:paraId="05B75814"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Difference to the Baseline</w:t>
            </w:r>
          </w:p>
        </w:tc>
      </w:tr>
      <w:tr w:rsidR="007A358D" w:rsidRPr="00D37004" w14:paraId="29257FD9" w14:textId="77777777" w:rsidTr="007A358D">
        <w:trPr>
          <w:trHeight w:val="172"/>
          <w:tblHeader/>
        </w:trPr>
        <w:tc>
          <w:tcPr>
            <w:tcW w:w="1214" w:type="pct"/>
            <w:shd w:val="clear" w:color="auto" w:fill="0070C0"/>
          </w:tcPr>
          <w:p w14:paraId="448B7453" w14:textId="77777777" w:rsidR="00E61374" w:rsidRPr="004C57EE" w:rsidRDefault="00E61374" w:rsidP="004C57EE">
            <w:pPr>
              <w:spacing w:after="0"/>
              <w:ind w:left="-142" w:firstLine="142"/>
              <w:jc w:val="left"/>
              <w:rPr>
                <w:b/>
                <w:bCs/>
                <w:noProof/>
                <w:sz w:val="20"/>
                <w:szCs w:val="20"/>
              </w:rPr>
            </w:pPr>
          </w:p>
        </w:tc>
        <w:tc>
          <w:tcPr>
            <w:tcW w:w="631" w:type="pct"/>
            <w:shd w:val="clear" w:color="auto" w:fill="0070C0"/>
            <w:vAlign w:val="center"/>
          </w:tcPr>
          <w:p w14:paraId="34FA7A81"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PO1-A</w:t>
            </w:r>
          </w:p>
        </w:tc>
        <w:tc>
          <w:tcPr>
            <w:tcW w:w="631" w:type="pct"/>
            <w:shd w:val="clear" w:color="auto" w:fill="0070C0"/>
            <w:vAlign w:val="center"/>
          </w:tcPr>
          <w:p w14:paraId="083A855A"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PO1-B</w:t>
            </w:r>
          </w:p>
        </w:tc>
        <w:tc>
          <w:tcPr>
            <w:tcW w:w="631" w:type="pct"/>
            <w:shd w:val="clear" w:color="auto" w:fill="0070C0"/>
            <w:vAlign w:val="center"/>
          </w:tcPr>
          <w:p w14:paraId="481A830B"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PO1-C</w:t>
            </w:r>
          </w:p>
        </w:tc>
        <w:tc>
          <w:tcPr>
            <w:tcW w:w="631" w:type="pct"/>
            <w:shd w:val="clear" w:color="auto" w:fill="0070C0"/>
            <w:vAlign w:val="center"/>
          </w:tcPr>
          <w:p w14:paraId="3C22236C"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PO2-A</w:t>
            </w:r>
          </w:p>
        </w:tc>
        <w:tc>
          <w:tcPr>
            <w:tcW w:w="631" w:type="pct"/>
            <w:shd w:val="clear" w:color="auto" w:fill="0070C0"/>
            <w:vAlign w:val="center"/>
          </w:tcPr>
          <w:p w14:paraId="04B5CBB1"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PO2-B</w:t>
            </w:r>
          </w:p>
        </w:tc>
        <w:tc>
          <w:tcPr>
            <w:tcW w:w="631" w:type="pct"/>
            <w:shd w:val="clear" w:color="auto" w:fill="0070C0"/>
            <w:vAlign w:val="center"/>
          </w:tcPr>
          <w:p w14:paraId="4D53F687" w14:textId="77777777" w:rsidR="00E61374" w:rsidRPr="004C57EE" w:rsidRDefault="00E61374" w:rsidP="004C57EE">
            <w:pPr>
              <w:spacing w:after="0"/>
              <w:ind w:left="-142" w:firstLine="142"/>
              <w:jc w:val="center"/>
              <w:rPr>
                <w:b/>
                <w:bCs/>
                <w:noProof/>
                <w:color w:val="FFFFFF" w:themeColor="background1"/>
                <w:sz w:val="20"/>
                <w:szCs w:val="20"/>
              </w:rPr>
            </w:pPr>
            <w:r w:rsidRPr="004C57EE">
              <w:rPr>
                <w:b/>
                <w:bCs/>
                <w:noProof/>
                <w:color w:val="FFFFFF" w:themeColor="background1"/>
                <w:sz w:val="20"/>
                <w:szCs w:val="20"/>
              </w:rPr>
              <w:t>PO2-C</w:t>
            </w:r>
          </w:p>
        </w:tc>
      </w:tr>
      <w:tr w:rsidR="007A358D" w:rsidRPr="00D37004" w14:paraId="3380D6F4" w14:textId="77777777" w:rsidTr="007A358D">
        <w:trPr>
          <w:trHeight w:val="108"/>
        </w:trPr>
        <w:tc>
          <w:tcPr>
            <w:tcW w:w="1214" w:type="pct"/>
            <w:shd w:val="clear" w:color="auto" w:fill="C6D9F1" w:themeFill="text2" w:themeFillTint="33"/>
          </w:tcPr>
          <w:p w14:paraId="1EA66367" w14:textId="77777777" w:rsidR="00E61374" w:rsidRPr="004C57EE" w:rsidRDefault="00E61374" w:rsidP="004C57EE">
            <w:pPr>
              <w:spacing w:after="0"/>
              <w:jc w:val="left"/>
              <w:rPr>
                <w:b/>
                <w:bCs/>
                <w:noProof/>
                <w:sz w:val="20"/>
                <w:szCs w:val="20"/>
              </w:rPr>
            </w:pPr>
            <w:r w:rsidRPr="004C57EE">
              <w:rPr>
                <w:b/>
                <w:bCs/>
                <w:noProof/>
                <w:sz w:val="20"/>
                <w:szCs w:val="20"/>
              </w:rPr>
              <w:t>Data centre operators</w:t>
            </w:r>
          </w:p>
        </w:tc>
        <w:tc>
          <w:tcPr>
            <w:tcW w:w="631" w:type="pct"/>
            <w:shd w:val="clear" w:color="auto" w:fill="C6D9F1" w:themeFill="text2" w:themeFillTint="33"/>
          </w:tcPr>
          <w:p w14:paraId="70402967" w14:textId="77777777" w:rsidR="00E61374" w:rsidRPr="004C57EE" w:rsidRDefault="00E61374" w:rsidP="004C57EE">
            <w:pPr>
              <w:spacing w:after="0"/>
              <w:rPr>
                <w:noProof/>
                <w:sz w:val="20"/>
                <w:szCs w:val="20"/>
              </w:rPr>
            </w:pPr>
          </w:p>
        </w:tc>
        <w:tc>
          <w:tcPr>
            <w:tcW w:w="631" w:type="pct"/>
            <w:shd w:val="clear" w:color="auto" w:fill="C6D9F1" w:themeFill="text2" w:themeFillTint="33"/>
          </w:tcPr>
          <w:p w14:paraId="68813D17" w14:textId="77777777" w:rsidR="00E61374" w:rsidRPr="004C57EE" w:rsidRDefault="00E61374" w:rsidP="004C57EE">
            <w:pPr>
              <w:spacing w:after="0"/>
              <w:rPr>
                <w:noProof/>
                <w:sz w:val="20"/>
                <w:szCs w:val="20"/>
              </w:rPr>
            </w:pPr>
          </w:p>
        </w:tc>
        <w:tc>
          <w:tcPr>
            <w:tcW w:w="631" w:type="pct"/>
            <w:shd w:val="clear" w:color="auto" w:fill="C6D9F1" w:themeFill="text2" w:themeFillTint="33"/>
          </w:tcPr>
          <w:p w14:paraId="4111921E" w14:textId="77777777" w:rsidR="00E61374" w:rsidRPr="004C57EE" w:rsidRDefault="00E61374" w:rsidP="004C57EE">
            <w:pPr>
              <w:spacing w:after="0"/>
              <w:rPr>
                <w:noProof/>
                <w:sz w:val="20"/>
                <w:szCs w:val="20"/>
              </w:rPr>
            </w:pPr>
          </w:p>
        </w:tc>
        <w:tc>
          <w:tcPr>
            <w:tcW w:w="631" w:type="pct"/>
            <w:shd w:val="clear" w:color="auto" w:fill="C6D9F1" w:themeFill="text2" w:themeFillTint="33"/>
          </w:tcPr>
          <w:p w14:paraId="5A1F5EEA" w14:textId="77777777" w:rsidR="00E61374" w:rsidRPr="004C57EE" w:rsidRDefault="00E61374" w:rsidP="004C57EE">
            <w:pPr>
              <w:spacing w:after="0"/>
              <w:rPr>
                <w:noProof/>
                <w:sz w:val="20"/>
                <w:szCs w:val="20"/>
              </w:rPr>
            </w:pPr>
          </w:p>
        </w:tc>
        <w:tc>
          <w:tcPr>
            <w:tcW w:w="631" w:type="pct"/>
            <w:shd w:val="clear" w:color="auto" w:fill="C6D9F1" w:themeFill="text2" w:themeFillTint="33"/>
          </w:tcPr>
          <w:p w14:paraId="008924EF" w14:textId="77777777" w:rsidR="00E61374" w:rsidRPr="004C57EE" w:rsidRDefault="00E61374" w:rsidP="004C57EE">
            <w:pPr>
              <w:spacing w:after="0"/>
              <w:rPr>
                <w:noProof/>
                <w:sz w:val="20"/>
                <w:szCs w:val="20"/>
              </w:rPr>
            </w:pPr>
          </w:p>
        </w:tc>
        <w:tc>
          <w:tcPr>
            <w:tcW w:w="631" w:type="pct"/>
            <w:shd w:val="clear" w:color="auto" w:fill="C6D9F1" w:themeFill="text2" w:themeFillTint="33"/>
          </w:tcPr>
          <w:p w14:paraId="285A83D9" w14:textId="77777777" w:rsidR="00E61374" w:rsidRPr="004C57EE" w:rsidRDefault="00E61374" w:rsidP="004C57EE">
            <w:pPr>
              <w:spacing w:after="0"/>
              <w:rPr>
                <w:noProof/>
                <w:sz w:val="20"/>
                <w:szCs w:val="20"/>
              </w:rPr>
            </w:pPr>
          </w:p>
        </w:tc>
      </w:tr>
      <w:tr w:rsidR="007A358D" w:rsidRPr="00D37004" w14:paraId="5EBF51FF" w14:textId="77777777" w:rsidTr="007A358D">
        <w:tc>
          <w:tcPr>
            <w:tcW w:w="1214" w:type="pct"/>
            <w:shd w:val="clear" w:color="auto" w:fill="FFFFFF" w:themeFill="background1"/>
          </w:tcPr>
          <w:p w14:paraId="67A5D8F0" w14:textId="77777777" w:rsidR="00E61374" w:rsidRPr="00C55E1B" w:rsidRDefault="00E61374" w:rsidP="004C57EE">
            <w:pPr>
              <w:spacing w:after="0"/>
              <w:jc w:val="left"/>
              <w:rPr>
                <w:noProof/>
                <w:sz w:val="20"/>
                <w:szCs w:val="20"/>
              </w:rPr>
            </w:pPr>
            <w:r w:rsidRPr="00C55E1B">
              <w:rPr>
                <w:noProof/>
                <w:sz w:val="20"/>
                <w:szCs w:val="20"/>
              </w:rPr>
              <w:t xml:space="preserve">Benefits </w:t>
            </w:r>
          </w:p>
        </w:tc>
        <w:tc>
          <w:tcPr>
            <w:tcW w:w="631" w:type="pct"/>
            <w:shd w:val="clear" w:color="auto" w:fill="FFFFFF" w:themeFill="background1"/>
            <w:vAlign w:val="center"/>
          </w:tcPr>
          <w:p w14:paraId="60806439" w14:textId="0A348D91" w:rsidR="00E61374" w:rsidRPr="004C57EE" w:rsidRDefault="00E04CAF" w:rsidP="004C57EE">
            <w:pPr>
              <w:spacing w:after="0"/>
              <w:jc w:val="right"/>
              <w:rPr>
                <w:noProof/>
                <w:sz w:val="20"/>
                <w:szCs w:val="20"/>
              </w:rPr>
            </w:pPr>
            <w:r>
              <w:rPr>
                <w:noProof/>
                <w:sz w:val="20"/>
                <w:szCs w:val="20"/>
              </w:rPr>
              <w:t>+</w:t>
            </w:r>
          </w:p>
        </w:tc>
        <w:tc>
          <w:tcPr>
            <w:tcW w:w="631" w:type="pct"/>
            <w:shd w:val="clear" w:color="auto" w:fill="FFFFFF" w:themeFill="background1"/>
            <w:vAlign w:val="center"/>
          </w:tcPr>
          <w:p w14:paraId="3891D445" w14:textId="496BD99C" w:rsidR="00E61374" w:rsidRPr="004C57EE" w:rsidRDefault="00E04CAF" w:rsidP="004C57EE">
            <w:pPr>
              <w:spacing w:after="0"/>
              <w:jc w:val="right"/>
              <w:rPr>
                <w:noProof/>
                <w:sz w:val="20"/>
                <w:szCs w:val="20"/>
              </w:rPr>
            </w:pPr>
            <w:r>
              <w:rPr>
                <w:noProof/>
                <w:sz w:val="20"/>
                <w:szCs w:val="20"/>
              </w:rPr>
              <w:t>+++</w:t>
            </w:r>
          </w:p>
        </w:tc>
        <w:tc>
          <w:tcPr>
            <w:tcW w:w="631" w:type="pct"/>
            <w:shd w:val="clear" w:color="auto" w:fill="FFFFFF" w:themeFill="background1"/>
            <w:vAlign w:val="center"/>
          </w:tcPr>
          <w:p w14:paraId="4D8934AE" w14:textId="39FBC349" w:rsidR="00E61374" w:rsidRPr="004C57EE" w:rsidRDefault="00E04CAF" w:rsidP="004C57EE">
            <w:pPr>
              <w:spacing w:after="0"/>
              <w:jc w:val="right"/>
              <w:rPr>
                <w:noProof/>
                <w:sz w:val="20"/>
                <w:szCs w:val="20"/>
              </w:rPr>
            </w:pPr>
            <w:r>
              <w:rPr>
                <w:noProof/>
                <w:sz w:val="20"/>
                <w:szCs w:val="20"/>
              </w:rPr>
              <w:t>+++</w:t>
            </w:r>
          </w:p>
        </w:tc>
        <w:tc>
          <w:tcPr>
            <w:tcW w:w="631" w:type="pct"/>
            <w:shd w:val="clear" w:color="auto" w:fill="FFFFFF" w:themeFill="background1"/>
            <w:vAlign w:val="center"/>
          </w:tcPr>
          <w:p w14:paraId="23B6DA58" w14:textId="1A9E3901" w:rsidR="00E61374" w:rsidRPr="004C57EE" w:rsidRDefault="0016617A" w:rsidP="004C57EE">
            <w:pPr>
              <w:spacing w:after="0"/>
              <w:jc w:val="right"/>
              <w:rPr>
                <w:noProof/>
                <w:sz w:val="20"/>
                <w:szCs w:val="20"/>
              </w:rPr>
            </w:pPr>
            <w:r>
              <w:rPr>
                <w:noProof/>
                <w:sz w:val="20"/>
                <w:szCs w:val="20"/>
              </w:rPr>
              <w:t>N/A</w:t>
            </w:r>
          </w:p>
        </w:tc>
        <w:tc>
          <w:tcPr>
            <w:tcW w:w="631" w:type="pct"/>
            <w:shd w:val="clear" w:color="auto" w:fill="FFFFFF" w:themeFill="background1"/>
            <w:vAlign w:val="center"/>
          </w:tcPr>
          <w:p w14:paraId="38E3215C" w14:textId="42FDA7B7" w:rsidR="00E61374" w:rsidRPr="004C57EE" w:rsidRDefault="0016617A" w:rsidP="004C57EE">
            <w:pPr>
              <w:spacing w:after="0"/>
              <w:jc w:val="right"/>
              <w:rPr>
                <w:noProof/>
                <w:sz w:val="20"/>
                <w:szCs w:val="20"/>
              </w:rPr>
            </w:pPr>
            <w:r>
              <w:rPr>
                <w:noProof/>
                <w:sz w:val="20"/>
                <w:szCs w:val="20"/>
              </w:rPr>
              <w:t>N/A</w:t>
            </w:r>
          </w:p>
        </w:tc>
        <w:tc>
          <w:tcPr>
            <w:tcW w:w="631" w:type="pct"/>
            <w:shd w:val="clear" w:color="auto" w:fill="FFFFFF" w:themeFill="background1"/>
            <w:vAlign w:val="center"/>
          </w:tcPr>
          <w:p w14:paraId="7C839385" w14:textId="1817F4D8" w:rsidR="00E61374" w:rsidRPr="004C57EE" w:rsidRDefault="0016617A" w:rsidP="004C57EE">
            <w:pPr>
              <w:spacing w:after="0"/>
              <w:jc w:val="right"/>
              <w:rPr>
                <w:noProof/>
                <w:sz w:val="20"/>
                <w:szCs w:val="20"/>
              </w:rPr>
            </w:pPr>
            <w:r>
              <w:rPr>
                <w:noProof/>
                <w:sz w:val="20"/>
                <w:szCs w:val="20"/>
              </w:rPr>
              <w:t>N/A</w:t>
            </w:r>
          </w:p>
        </w:tc>
      </w:tr>
      <w:tr w:rsidR="007A358D" w:rsidRPr="00D37004" w14:paraId="0B97822F" w14:textId="77777777" w:rsidTr="007A358D">
        <w:trPr>
          <w:trHeight w:val="60"/>
        </w:trPr>
        <w:tc>
          <w:tcPr>
            <w:tcW w:w="1214" w:type="pct"/>
            <w:shd w:val="clear" w:color="auto" w:fill="FFFFFF" w:themeFill="background1"/>
          </w:tcPr>
          <w:p w14:paraId="1A24C2FE" w14:textId="77777777" w:rsidR="009F5F72" w:rsidRPr="00C55E1B" w:rsidRDefault="009F5F72">
            <w:pPr>
              <w:spacing w:after="0"/>
              <w:jc w:val="left"/>
              <w:rPr>
                <w:noProof/>
                <w:sz w:val="20"/>
                <w:szCs w:val="20"/>
              </w:rPr>
            </w:pPr>
            <w:r w:rsidRPr="00C55E1B">
              <w:rPr>
                <w:noProof/>
                <w:sz w:val="20"/>
                <w:szCs w:val="20"/>
              </w:rPr>
              <w:t>Costs</w:t>
            </w:r>
          </w:p>
        </w:tc>
        <w:tc>
          <w:tcPr>
            <w:tcW w:w="631" w:type="pct"/>
            <w:shd w:val="clear" w:color="auto" w:fill="FFFFFF" w:themeFill="background1"/>
            <w:vAlign w:val="center"/>
          </w:tcPr>
          <w:p w14:paraId="0F594E3D" w14:textId="5CC5BBBB" w:rsidR="009F5F72" w:rsidRPr="004C57EE" w:rsidRDefault="009F5F72">
            <w:pPr>
              <w:spacing w:after="0"/>
              <w:jc w:val="right"/>
              <w:rPr>
                <w:noProof/>
                <w:sz w:val="20"/>
                <w:szCs w:val="20"/>
              </w:rPr>
            </w:pPr>
            <w:r w:rsidRPr="004C57EE">
              <w:rPr>
                <w:noProof/>
                <w:sz w:val="20"/>
                <w:szCs w:val="20"/>
              </w:rPr>
              <w:t xml:space="preserve"> </w:t>
            </w:r>
            <w:r w:rsidR="005176AD" w:rsidRPr="005176AD">
              <w:rPr>
                <w:noProof/>
                <w:color w:val="000000" w:themeColor="text1"/>
                <w:sz w:val="20"/>
                <w:szCs w:val="20"/>
              </w:rPr>
              <w:t>−</w:t>
            </w:r>
          </w:p>
        </w:tc>
        <w:tc>
          <w:tcPr>
            <w:tcW w:w="631" w:type="pct"/>
            <w:shd w:val="clear" w:color="auto" w:fill="FFFFFF" w:themeFill="background1"/>
            <w:vAlign w:val="center"/>
          </w:tcPr>
          <w:p w14:paraId="701B23F8" w14:textId="4AA58083" w:rsidR="009F5F72" w:rsidRPr="004C57EE" w:rsidRDefault="005176AD">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5C3FC891" w14:textId="5C78640F" w:rsidR="009F5F72" w:rsidRPr="004C57EE" w:rsidRDefault="005176AD">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15FE5D09" w14:textId="11A372C3" w:rsidR="009F5F72" w:rsidRPr="004C57EE" w:rsidRDefault="0016617A">
            <w:pPr>
              <w:spacing w:after="0"/>
              <w:jc w:val="right"/>
              <w:rPr>
                <w:noProof/>
                <w:sz w:val="20"/>
                <w:szCs w:val="20"/>
              </w:rPr>
            </w:pPr>
            <w:r>
              <w:rPr>
                <w:noProof/>
                <w:sz w:val="20"/>
                <w:szCs w:val="20"/>
              </w:rPr>
              <w:t>N/A</w:t>
            </w:r>
          </w:p>
        </w:tc>
        <w:tc>
          <w:tcPr>
            <w:tcW w:w="631" w:type="pct"/>
            <w:shd w:val="clear" w:color="auto" w:fill="FFFFFF" w:themeFill="background1"/>
            <w:vAlign w:val="center"/>
          </w:tcPr>
          <w:p w14:paraId="5A43ED7F" w14:textId="4676581D" w:rsidR="009F5F72" w:rsidRPr="004C57EE" w:rsidRDefault="0016617A">
            <w:pPr>
              <w:spacing w:after="0"/>
              <w:jc w:val="right"/>
              <w:rPr>
                <w:noProof/>
                <w:sz w:val="20"/>
                <w:szCs w:val="20"/>
              </w:rPr>
            </w:pPr>
            <w:r>
              <w:rPr>
                <w:noProof/>
                <w:sz w:val="20"/>
                <w:szCs w:val="20"/>
              </w:rPr>
              <w:t>N/A</w:t>
            </w:r>
          </w:p>
        </w:tc>
        <w:tc>
          <w:tcPr>
            <w:tcW w:w="631" w:type="pct"/>
            <w:shd w:val="clear" w:color="auto" w:fill="FFFFFF" w:themeFill="background1"/>
            <w:vAlign w:val="center"/>
          </w:tcPr>
          <w:p w14:paraId="7AFB090F" w14:textId="451F2FFE" w:rsidR="009F5F72" w:rsidRPr="004C57EE" w:rsidRDefault="0016617A">
            <w:pPr>
              <w:spacing w:after="0"/>
              <w:jc w:val="right"/>
              <w:rPr>
                <w:noProof/>
                <w:sz w:val="20"/>
                <w:szCs w:val="20"/>
              </w:rPr>
            </w:pPr>
            <w:r>
              <w:rPr>
                <w:noProof/>
                <w:sz w:val="20"/>
                <w:szCs w:val="20"/>
              </w:rPr>
              <w:t>N/A</w:t>
            </w:r>
          </w:p>
        </w:tc>
      </w:tr>
      <w:tr w:rsidR="007A358D" w:rsidRPr="00D37004" w14:paraId="62831A62" w14:textId="77777777" w:rsidTr="007A358D">
        <w:trPr>
          <w:trHeight w:val="57"/>
        </w:trPr>
        <w:tc>
          <w:tcPr>
            <w:tcW w:w="1214" w:type="pct"/>
            <w:shd w:val="clear" w:color="auto" w:fill="C6D9F1" w:themeFill="text2" w:themeFillTint="33"/>
          </w:tcPr>
          <w:p w14:paraId="6CB98710" w14:textId="1990545F" w:rsidR="00E61374" w:rsidRPr="00B30495" w:rsidRDefault="00E61374" w:rsidP="004C57EE">
            <w:pPr>
              <w:spacing w:after="0"/>
              <w:jc w:val="left"/>
              <w:rPr>
                <w:b/>
                <w:bCs/>
                <w:noProof/>
                <w:color w:val="FFFFFF" w:themeColor="background1"/>
                <w:sz w:val="20"/>
                <w:szCs w:val="20"/>
              </w:rPr>
            </w:pPr>
            <w:r w:rsidRPr="00B30495">
              <w:rPr>
                <w:b/>
                <w:bCs/>
                <w:noProof/>
                <w:sz w:val="20"/>
                <w:szCs w:val="20"/>
              </w:rPr>
              <w:t>Cloud &amp; AI service providers</w:t>
            </w:r>
          </w:p>
        </w:tc>
        <w:tc>
          <w:tcPr>
            <w:tcW w:w="631" w:type="pct"/>
            <w:shd w:val="clear" w:color="auto" w:fill="C6D9F1" w:themeFill="text2" w:themeFillTint="33"/>
            <w:vAlign w:val="center"/>
          </w:tcPr>
          <w:p w14:paraId="247F7271" w14:textId="77777777" w:rsidR="00E61374" w:rsidRPr="004C57EE" w:rsidRDefault="00E61374" w:rsidP="004C57EE">
            <w:pPr>
              <w:spacing w:after="0"/>
              <w:jc w:val="right"/>
              <w:rPr>
                <w:noProof/>
                <w:sz w:val="20"/>
                <w:szCs w:val="20"/>
              </w:rPr>
            </w:pPr>
          </w:p>
        </w:tc>
        <w:tc>
          <w:tcPr>
            <w:tcW w:w="631" w:type="pct"/>
            <w:shd w:val="clear" w:color="auto" w:fill="C6D9F1" w:themeFill="text2" w:themeFillTint="33"/>
            <w:vAlign w:val="center"/>
          </w:tcPr>
          <w:p w14:paraId="485615D1" w14:textId="77777777" w:rsidR="00E61374" w:rsidRPr="004C57EE" w:rsidRDefault="00E61374" w:rsidP="004C57EE">
            <w:pPr>
              <w:spacing w:after="0"/>
              <w:jc w:val="right"/>
              <w:rPr>
                <w:noProof/>
                <w:sz w:val="20"/>
                <w:szCs w:val="20"/>
              </w:rPr>
            </w:pPr>
          </w:p>
        </w:tc>
        <w:tc>
          <w:tcPr>
            <w:tcW w:w="631" w:type="pct"/>
            <w:shd w:val="clear" w:color="auto" w:fill="C6D9F1" w:themeFill="text2" w:themeFillTint="33"/>
            <w:vAlign w:val="center"/>
          </w:tcPr>
          <w:p w14:paraId="298FD8AE" w14:textId="77777777" w:rsidR="00E61374" w:rsidRPr="004C57EE" w:rsidRDefault="00E61374" w:rsidP="004C57EE">
            <w:pPr>
              <w:spacing w:after="0"/>
              <w:jc w:val="right"/>
              <w:rPr>
                <w:noProof/>
                <w:sz w:val="20"/>
                <w:szCs w:val="20"/>
              </w:rPr>
            </w:pPr>
          </w:p>
        </w:tc>
        <w:tc>
          <w:tcPr>
            <w:tcW w:w="631" w:type="pct"/>
            <w:shd w:val="clear" w:color="auto" w:fill="C6D9F1" w:themeFill="text2" w:themeFillTint="33"/>
            <w:vAlign w:val="center"/>
          </w:tcPr>
          <w:p w14:paraId="0E785851" w14:textId="77777777" w:rsidR="00E61374" w:rsidRPr="004C57EE" w:rsidRDefault="00E61374" w:rsidP="004C57EE">
            <w:pPr>
              <w:spacing w:after="0"/>
              <w:jc w:val="right"/>
              <w:rPr>
                <w:noProof/>
                <w:sz w:val="20"/>
                <w:szCs w:val="20"/>
              </w:rPr>
            </w:pPr>
          </w:p>
        </w:tc>
        <w:tc>
          <w:tcPr>
            <w:tcW w:w="631" w:type="pct"/>
            <w:shd w:val="clear" w:color="auto" w:fill="C6D9F1" w:themeFill="text2" w:themeFillTint="33"/>
            <w:vAlign w:val="center"/>
          </w:tcPr>
          <w:p w14:paraId="39E0CB61" w14:textId="77777777" w:rsidR="00E61374" w:rsidRPr="004C57EE" w:rsidRDefault="00E61374" w:rsidP="004C57EE">
            <w:pPr>
              <w:spacing w:after="0"/>
              <w:jc w:val="right"/>
              <w:rPr>
                <w:noProof/>
                <w:sz w:val="20"/>
                <w:szCs w:val="20"/>
              </w:rPr>
            </w:pPr>
          </w:p>
        </w:tc>
        <w:tc>
          <w:tcPr>
            <w:tcW w:w="631" w:type="pct"/>
            <w:shd w:val="clear" w:color="auto" w:fill="C6D9F1" w:themeFill="text2" w:themeFillTint="33"/>
            <w:vAlign w:val="center"/>
          </w:tcPr>
          <w:p w14:paraId="7FE72BAA" w14:textId="77777777" w:rsidR="00E61374" w:rsidRPr="004C57EE" w:rsidRDefault="00E61374" w:rsidP="004C57EE">
            <w:pPr>
              <w:spacing w:after="0"/>
              <w:jc w:val="right"/>
              <w:rPr>
                <w:noProof/>
                <w:sz w:val="20"/>
                <w:szCs w:val="20"/>
              </w:rPr>
            </w:pPr>
          </w:p>
        </w:tc>
      </w:tr>
      <w:tr w:rsidR="007A358D" w:rsidRPr="00D37004" w14:paraId="2711DBB3" w14:textId="77777777" w:rsidTr="007A358D">
        <w:tc>
          <w:tcPr>
            <w:tcW w:w="1214" w:type="pct"/>
            <w:shd w:val="clear" w:color="auto" w:fill="FFFFFF" w:themeFill="background1"/>
          </w:tcPr>
          <w:p w14:paraId="0D5BF4A1" w14:textId="77777777" w:rsidR="00E61374" w:rsidRPr="00C55E1B" w:rsidRDefault="00E61374" w:rsidP="004C57EE">
            <w:pPr>
              <w:spacing w:after="0"/>
              <w:jc w:val="left"/>
              <w:rPr>
                <w:noProof/>
                <w:sz w:val="20"/>
                <w:szCs w:val="20"/>
              </w:rPr>
            </w:pPr>
            <w:r w:rsidRPr="00C55E1B">
              <w:rPr>
                <w:noProof/>
                <w:sz w:val="20"/>
                <w:szCs w:val="20"/>
              </w:rPr>
              <w:t>Benefits</w:t>
            </w:r>
          </w:p>
        </w:tc>
        <w:tc>
          <w:tcPr>
            <w:tcW w:w="631" w:type="pct"/>
            <w:shd w:val="clear" w:color="auto" w:fill="FFFFFF" w:themeFill="background1"/>
            <w:vAlign w:val="center"/>
          </w:tcPr>
          <w:p w14:paraId="1BC48D79" w14:textId="58810CD9" w:rsidR="00E61374" w:rsidRPr="004C57EE" w:rsidRDefault="0016617A" w:rsidP="004C57EE">
            <w:pPr>
              <w:spacing w:after="0"/>
              <w:jc w:val="right"/>
              <w:rPr>
                <w:noProof/>
                <w:sz w:val="20"/>
                <w:szCs w:val="20"/>
              </w:rPr>
            </w:pPr>
            <w:r>
              <w:rPr>
                <w:noProof/>
                <w:sz w:val="20"/>
                <w:szCs w:val="20"/>
              </w:rPr>
              <w:t>N/A</w:t>
            </w:r>
          </w:p>
        </w:tc>
        <w:tc>
          <w:tcPr>
            <w:tcW w:w="631" w:type="pct"/>
            <w:shd w:val="clear" w:color="auto" w:fill="FFFFFF" w:themeFill="background1"/>
            <w:vAlign w:val="center"/>
          </w:tcPr>
          <w:p w14:paraId="5E740B49" w14:textId="69D6B80C" w:rsidR="00E61374" w:rsidRPr="004C57EE" w:rsidRDefault="0016617A" w:rsidP="004C57EE">
            <w:pPr>
              <w:spacing w:after="0"/>
              <w:jc w:val="right"/>
              <w:rPr>
                <w:noProof/>
                <w:sz w:val="20"/>
                <w:szCs w:val="20"/>
              </w:rPr>
            </w:pPr>
            <w:r>
              <w:rPr>
                <w:noProof/>
                <w:sz w:val="20"/>
                <w:szCs w:val="20"/>
              </w:rPr>
              <w:t>N/A</w:t>
            </w:r>
          </w:p>
        </w:tc>
        <w:tc>
          <w:tcPr>
            <w:tcW w:w="631" w:type="pct"/>
            <w:shd w:val="clear" w:color="auto" w:fill="FFFFFF" w:themeFill="background1"/>
            <w:vAlign w:val="center"/>
          </w:tcPr>
          <w:p w14:paraId="24E1CF6E" w14:textId="6D5F8EAE" w:rsidR="00E61374" w:rsidRPr="004C57EE" w:rsidRDefault="0016617A" w:rsidP="004C57EE">
            <w:pPr>
              <w:spacing w:after="0"/>
              <w:jc w:val="right"/>
              <w:rPr>
                <w:noProof/>
                <w:sz w:val="20"/>
                <w:szCs w:val="20"/>
              </w:rPr>
            </w:pPr>
            <w:r>
              <w:rPr>
                <w:noProof/>
                <w:sz w:val="20"/>
                <w:szCs w:val="20"/>
              </w:rPr>
              <w:t>N/A</w:t>
            </w:r>
          </w:p>
        </w:tc>
        <w:tc>
          <w:tcPr>
            <w:tcW w:w="631" w:type="pct"/>
            <w:shd w:val="clear" w:color="auto" w:fill="FFFFFF" w:themeFill="background1"/>
            <w:vAlign w:val="center"/>
          </w:tcPr>
          <w:p w14:paraId="05DF759F" w14:textId="05F19FC0" w:rsidR="00E61374" w:rsidRPr="004C57EE" w:rsidRDefault="00FE2F08" w:rsidP="004C57EE">
            <w:pPr>
              <w:spacing w:after="0"/>
              <w:jc w:val="right"/>
              <w:rPr>
                <w:noProof/>
                <w:sz w:val="20"/>
                <w:szCs w:val="20"/>
              </w:rPr>
            </w:pPr>
            <w:r>
              <w:rPr>
                <w:noProof/>
                <w:sz w:val="20"/>
                <w:szCs w:val="20"/>
              </w:rPr>
              <w:t>+</w:t>
            </w:r>
          </w:p>
        </w:tc>
        <w:tc>
          <w:tcPr>
            <w:tcW w:w="631" w:type="pct"/>
            <w:shd w:val="clear" w:color="auto" w:fill="FFFFFF" w:themeFill="background1"/>
            <w:vAlign w:val="center"/>
          </w:tcPr>
          <w:p w14:paraId="68B01340" w14:textId="217C657D" w:rsidR="00E61374" w:rsidRPr="004C57EE" w:rsidRDefault="00FE2F08" w:rsidP="004C57EE">
            <w:pPr>
              <w:spacing w:after="0"/>
              <w:jc w:val="right"/>
              <w:rPr>
                <w:noProof/>
                <w:sz w:val="20"/>
                <w:szCs w:val="20"/>
              </w:rPr>
            </w:pPr>
            <w:r>
              <w:rPr>
                <w:noProof/>
                <w:sz w:val="20"/>
                <w:szCs w:val="20"/>
              </w:rPr>
              <w:t>++</w:t>
            </w:r>
          </w:p>
        </w:tc>
        <w:tc>
          <w:tcPr>
            <w:tcW w:w="631" w:type="pct"/>
            <w:shd w:val="clear" w:color="auto" w:fill="FFFFFF" w:themeFill="background1"/>
            <w:vAlign w:val="center"/>
          </w:tcPr>
          <w:p w14:paraId="45DF6AD2" w14:textId="49881CEC" w:rsidR="00E61374" w:rsidRPr="004C57EE" w:rsidRDefault="00FE2F08" w:rsidP="004C57EE">
            <w:pPr>
              <w:spacing w:after="0"/>
              <w:jc w:val="right"/>
              <w:rPr>
                <w:noProof/>
                <w:sz w:val="20"/>
                <w:szCs w:val="20"/>
              </w:rPr>
            </w:pPr>
            <w:r>
              <w:rPr>
                <w:noProof/>
                <w:sz w:val="20"/>
                <w:szCs w:val="20"/>
              </w:rPr>
              <w:t>++</w:t>
            </w:r>
          </w:p>
        </w:tc>
      </w:tr>
      <w:tr w:rsidR="007A358D" w:rsidRPr="00D37004" w14:paraId="0B0F08D1" w14:textId="77777777" w:rsidTr="007A358D">
        <w:tc>
          <w:tcPr>
            <w:tcW w:w="1214" w:type="pct"/>
            <w:shd w:val="clear" w:color="auto" w:fill="FFFFFF" w:themeFill="background1"/>
          </w:tcPr>
          <w:p w14:paraId="268A29D8" w14:textId="77777777" w:rsidR="009F5F72" w:rsidRPr="00C55E1B" w:rsidRDefault="009F5F72">
            <w:pPr>
              <w:spacing w:after="0"/>
              <w:jc w:val="left"/>
              <w:rPr>
                <w:noProof/>
                <w:sz w:val="20"/>
                <w:szCs w:val="20"/>
              </w:rPr>
            </w:pPr>
            <w:r w:rsidRPr="00C55E1B">
              <w:rPr>
                <w:noProof/>
                <w:sz w:val="20"/>
                <w:szCs w:val="20"/>
              </w:rPr>
              <w:t>Costs</w:t>
            </w:r>
          </w:p>
        </w:tc>
        <w:tc>
          <w:tcPr>
            <w:tcW w:w="631" w:type="pct"/>
            <w:shd w:val="clear" w:color="auto" w:fill="FFFFFF" w:themeFill="background1"/>
            <w:vAlign w:val="center"/>
          </w:tcPr>
          <w:p w14:paraId="1D73F85F" w14:textId="438B2DED" w:rsidR="009F5F72" w:rsidRPr="004C57EE" w:rsidRDefault="0016617A">
            <w:pPr>
              <w:spacing w:after="0"/>
              <w:jc w:val="right"/>
              <w:rPr>
                <w:noProof/>
                <w:sz w:val="20"/>
                <w:szCs w:val="20"/>
              </w:rPr>
            </w:pPr>
            <w:r>
              <w:rPr>
                <w:noProof/>
                <w:sz w:val="20"/>
                <w:szCs w:val="20"/>
              </w:rPr>
              <w:t>N/A</w:t>
            </w:r>
          </w:p>
        </w:tc>
        <w:tc>
          <w:tcPr>
            <w:tcW w:w="631" w:type="pct"/>
            <w:shd w:val="clear" w:color="auto" w:fill="FFFFFF" w:themeFill="background1"/>
            <w:vAlign w:val="center"/>
          </w:tcPr>
          <w:p w14:paraId="050C1122" w14:textId="4D6DA301" w:rsidR="009F5F72" w:rsidRPr="004C57EE" w:rsidRDefault="0016617A">
            <w:pPr>
              <w:spacing w:after="0"/>
              <w:jc w:val="right"/>
              <w:rPr>
                <w:noProof/>
                <w:sz w:val="20"/>
                <w:szCs w:val="20"/>
              </w:rPr>
            </w:pPr>
            <w:r>
              <w:rPr>
                <w:noProof/>
                <w:sz w:val="20"/>
                <w:szCs w:val="20"/>
              </w:rPr>
              <w:t>N/A</w:t>
            </w:r>
          </w:p>
        </w:tc>
        <w:tc>
          <w:tcPr>
            <w:tcW w:w="631" w:type="pct"/>
            <w:shd w:val="clear" w:color="auto" w:fill="FFFFFF" w:themeFill="background1"/>
            <w:vAlign w:val="center"/>
          </w:tcPr>
          <w:p w14:paraId="3AF9F6CE" w14:textId="02134944" w:rsidR="009F5F72" w:rsidRPr="004C57EE" w:rsidRDefault="0016617A">
            <w:pPr>
              <w:spacing w:after="0"/>
              <w:jc w:val="right"/>
              <w:rPr>
                <w:noProof/>
                <w:sz w:val="20"/>
                <w:szCs w:val="20"/>
              </w:rPr>
            </w:pPr>
            <w:r>
              <w:rPr>
                <w:noProof/>
                <w:sz w:val="20"/>
                <w:szCs w:val="20"/>
              </w:rPr>
              <w:t>N/A</w:t>
            </w:r>
          </w:p>
        </w:tc>
        <w:tc>
          <w:tcPr>
            <w:tcW w:w="631" w:type="pct"/>
            <w:shd w:val="clear" w:color="auto" w:fill="FFFFFF" w:themeFill="background1"/>
            <w:vAlign w:val="center"/>
          </w:tcPr>
          <w:p w14:paraId="227E122E" w14:textId="6E61877C" w:rsidR="009F5F72" w:rsidRPr="004C57EE" w:rsidRDefault="005176AD">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598C4447" w14:textId="089E01B6" w:rsidR="009F5F72" w:rsidRPr="004C57EE" w:rsidRDefault="005176AD">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75244243" w14:textId="7247D9DF" w:rsidR="009F5F72" w:rsidRPr="004C57EE" w:rsidRDefault="005176AD">
            <w:pPr>
              <w:spacing w:after="0"/>
              <w:jc w:val="right"/>
              <w:rPr>
                <w:noProof/>
                <w:sz w:val="20"/>
                <w:szCs w:val="20"/>
              </w:rPr>
            </w:pPr>
            <w:r w:rsidRPr="005176AD">
              <w:rPr>
                <w:noProof/>
                <w:color w:val="000000" w:themeColor="text1"/>
                <w:sz w:val="20"/>
                <w:szCs w:val="20"/>
              </w:rPr>
              <w:t>−−</w:t>
            </w:r>
          </w:p>
        </w:tc>
      </w:tr>
      <w:tr w:rsidR="007A358D" w:rsidRPr="00D37004" w14:paraId="3081C6A2" w14:textId="77777777" w:rsidTr="007A358D">
        <w:tc>
          <w:tcPr>
            <w:tcW w:w="1214" w:type="pct"/>
            <w:shd w:val="clear" w:color="auto" w:fill="C6D9F1" w:themeFill="text2" w:themeFillTint="33"/>
          </w:tcPr>
          <w:p w14:paraId="276D7031" w14:textId="05FC3E8E" w:rsidR="00A36C59" w:rsidRPr="004C57EE" w:rsidRDefault="004A3BFC">
            <w:pPr>
              <w:spacing w:after="0"/>
              <w:jc w:val="left"/>
              <w:rPr>
                <w:b/>
                <w:bCs/>
                <w:noProof/>
                <w:sz w:val="20"/>
                <w:szCs w:val="20"/>
              </w:rPr>
            </w:pPr>
            <w:r>
              <w:rPr>
                <w:b/>
                <w:bCs/>
                <w:noProof/>
                <w:sz w:val="20"/>
                <w:szCs w:val="20"/>
              </w:rPr>
              <w:t>Essential entities of the private sector</w:t>
            </w:r>
          </w:p>
        </w:tc>
        <w:tc>
          <w:tcPr>
            <w:tcW w:w="631" w:type="pct"/>
            <w:shd w:val="clear" w:color="auto" w:fill="C6D9F1" w:themeFill="text2" w:themeFillTint="33"/>
            <w:vAlign w:val="center"/>
          </w:tcPr>
          <w:p w14:paraId="2C75C817" w14:textId="77777777" w:rsidR="00A36C59" w:rsidRPr="004C57EE" w:rsidRDefault="00A36C59">
            <w:pPr>
              <w:spacing w:after="0"/>
              <w:jc w:val="right"/>
              <w:rPr>
                <w:noProof/>
                <w:sz w:val="20"/>
                <w:szCs w:val="20"/>
              </w:rPr>
            </w:pPr>
          </w:p>
        </w:tc>
        <w:tc>
          <w:tcPr>
            <w:tcW w:w="631" w:type="pct"/>
            <w:shd w:val="clear" w:color="auto" w:fill="C6D9F1" w:themeFill="text2" w:themeFillTint="33"/>
            <w:vAlign w:val="center"/>
          </w:tcPr>
          <w:p w14:paraId="3D89EE5A" w14:textId="77777777" w:rsidR="00A36C59" w:rsidRPr="004C57EE" w:rsidRDefault="00A36C59">
            <w:pPr>
              <w:spacing w:after="0"/>
              <w:jc w:val="right"/>
              <w:rPr>
                <w:noProof/>
                <w:sz w:val="20"/>
                <w:szCs w:val="20"/>
              </w:rPr>
            </w:pPr>
          </w:p>
        </w:tc>
        <w:tc>
          <w:tcPr>
            <w:tcW w:w="631" w:type="pct"/>
            <w:shd w:val="clear" w:color="auto" w:fill="C6D9F1" w:themeFill="text2" w:themeFillTint="33"/>
            <w:vAlign w:val="center"/>
          </w:tcPr>
          <w:p w14:paraId="6F89BDEC" w14:textId="77777777" w:rsidR="00A36C59" w:rsidRPr="004C57EE" w:rsidRDefault="00A36C59">
            <w:pPr>
              <w:spacing w:after="0"/>
              <w:jc w:val="right"/>
              <w:rPr>
                <w:noProof/>
                <w:sz w:val="20"/>
                <w:szCs w:val="20"/>
              </w:rPr>
            </w:pPr>
          </w:p>
        </w:tc>
        <w:tc>
          <w:tcPr>
            <w:tcW w:w="631" w:type="pct"/>
            <w:shd w:val="clear" w:color="auto" w:fill="C6D9F1" w:themeFill="text2" w:themeFillTint="33"/>
            <w:vAlign w:val="center"/>
          </w:tcPr>
          <w:p w14:paraId="1247EEAA" w14:textId="77777777" w:rsidR="00A36C59" w:rsidRDefault="00A36C59">
            <w:pPr>
              <w:spacing w:after="0"/>
              <w:jc w:val="right"/>
              <w:rPr>
                <w:noProof/>
                <w:sz w:val="20"/>
                <w:szCs w:val="20"/>
              </w:rPr>
            </w:pPr>
          </w:p>
        </w:tc>
        <w:tc>
          <w:tcPr>
            <w:tcW w:w="631" w:type="pct"/>
            <w:shd w:val="clear" w:color="auto" w:fill="C6D9F1" w:themeFill="text2" w:themeFillTint="33"/>
            <w:vAlign w:val="center"/>
          </w:tcPr>
          <w:p w14:paraId="6C9BA0D5" w14:textId="77777777" w:rsidR="00A36C59" w:rsidRDefault="00A36C59">
            <w:pPr>
              <w:spacing w:after="0"/>
              <w:jc w:val="right"/>
              <w:rPr>
                <w:noProof/>
                <w:sz w:val="20"/>
                <w:szCs w:val="20"/>
              </w:rPr>
            </w:pPr>
          </w:p>
        </w:tc>
        <w:tc>
          <w:tcPr>
            <w:tcW w:w="631" w:type="pct"/>
            <w:shd w:val="clear" w:color="auto" w:fill="C6D9F1" w:themeFill="text2" w:themeFillTint="33"/>
            <w:vAlign w:val="center"/>
          </w:tcPr>
          <w:p w14:paraId="29760A9C" w14:textId="77777777" w:rsidR="00A36C59" w:rsidRDefault="00A36C59">
            <w:pPr>
              <w:spacing w:after="0"/>
              <w:jc w:val="right"/>
              <w:rPr>
                <w:noProof/>
                <w:sz w:val="20"/>
                <w:szCs w:val="20"/>
              </w:rPr>
            </w:pPr>
          </w:p>
        </w:tc>
      </w:tr>
      <w:tr w:rsidR="007A358D" w:rsidRPr="00D37004" w14:paraId="6EAC15C0" w14:textId="77777777" w:rsidTr="007A358D">
        <w:tc>
          <w:tcPr>
            <w:tcW w:w="1214" w:type="pct"/>
            <w:shd w:val="clear" w:color="auto" w:fill="FFFFFF" w:themeFill="background1"/>
          </w:tcPr>
          <w:p w14:paraId="1A289970" w14:textId="7F30756F" w:rsidR="004A3BFC" w:rsidRPr="00C55E1B" w:rsidRDefault="004A3BFC" w:rsidP="004A3BFC">
            <w:pPr>
              <w:spacing w:after="0"/>
              <w:jc w:val="left"/>
              <w:rPr>
                <w:noProof/>
                <w:sz w:val="20"/>
                <w:szCs w:val="20"/>
              </w:rPr>
            </w:pPr>
            <w:r w:rsidRPr="00C55E1B">
              <w:rPr>
                <w:noProof/>
                <w:sz w:val="20"/>
                <w:szCs w:val="20"/>
              </w:rPr>
              <w:t>Costs</w:t>
            </w:r>
          </w:p>
        </w:tc>
        <w:tc>
          <w:tcPr>
            <w:tcW w:w="631" w:type="pct"/>
            <w:tcBorders>
              <w:bottom w:val="nil"/>
            </w:tcBorders>
            <w:shd w:val="clear" w:color="auto" w:fill="FFFFFF" w:themeFill="background1"/>
            <w:vAlign w:val="center"/>
          </w:tcPr>
          <w:p w14:paraId="22933056" w14:textId="497E2D68" w:rsidR="004A3BFC" w:rsidRPr="004C57EE" w:rsidRDefault="0016617A"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03B21422" w14:textId="08A0D01E" w:rsidR="004A3BFC" w:rsidRPr="004C57EE" w:rsidRDefault="0016617A"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61BB1B5D" w14:textId="1C5CC081" w:rsidR="004A3BFC" w:rsidRPr="004C57EE" w:rsidRDefault="0016617A"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6215B5C5" w14:textId="2D51D1C8" w:rsidR="004A3BFC" w:rsidRDefault="0016617A"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75EB317C" w14:textId="36E9B2FC" w:rsidR="004A3BFC" w:rsidRDefault="0016617A"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5AD669F7" w14:textId="0E336A82" w:rsidR="004A3BFC" w:rsidRDefault="002B1E13" w:rsidP="004A3BFC">
            <w:pPr>
              <w:spacing w:after="0"/>
              <w:jc w:val="right"/>
              <w:rPr>
                <w:noProof/>
                <w:sz w:val="20"/>
                <w:szCs w:val="20"/>
              </w:rPr>
            </w:pPr>
            <w:r w:rsidRPr="005176AD">
              <w:rPr>
                <w:noProof/>
                <w:color w:val="000000" w:themeColor="text1"/>
                <w:sz w:val="20"/>
                <w:szCs w:val="20"/>
              </w:rPr>
              <w:t>−−</w:t>
            </w:r>
          </w:p>
        </w:tc>
      </w:tr>
      <w:tr w:rsidR="007A358D" w:rsidRPr="00D37004" w14:paraId="656F9E76" w14:textId="77777777" w:rsidTr="007A358D">
        <w:tc>
          <w:tcPr>
            <w:tcW w:w="1214" w:type="pct"/>
            <w:shd w:val="clear" w:color="auto" w:fill="C6D9F1" w:themeFill="text2" w:themeFillTint="33"/>
          </w:tcPr>
          <w:p w14:paraId="73261A98" w14:textId="61F888A8" w:rsidR="004A3BFC" w:rsidRPr="004C57EE" w:rsidRDefault="004A3BFC" w:rsidP="004A3BFC">
            <w:pPr>
              <w:spacing w:after="0"/>
              <w:jc w:val="left"/>
              <w:rPr>
                <w:b/>
                <w:bCs/>
                <w:noProof/>
                <w:sz w:val="20"/>
                <w:szCs w:val="20"/>
              </w:rPr>
            </w:pPr>
            <w:r>
              <w:rPr>
                <w:b/>
                <w:bCs/>
                <w:noProof/>
                <w:sz w:val="20"/>
                <w:szCs w:val="20"/>
              </w:rPr>
              <w:t>P</w:t>
            </w:r>
            <w:r w:rsidRPr="004C57EE">
              <w:rPr>
                <w:b/>
                <w:bCs/>
                <w:noProof/>
                <w:sz w:val="20"/>
                <w:szCs w:val="20"/>
              </w:rPr>
              <w:t>ublic authorities</w:t>
            </w:r>
          </w:p>
        </w:tc>
        <w:tc>
          <w:tcPr>
            <w:tcW w:w="631" w:type="pct"/>
            <w:tcBorders>
              <w:top w:val="nil"/>
              <w:bottom w:val="nil"/>
            </w:tcBorders>
            <w:shd w:val="clear" w:color="auto" w:fill="C6D9F1" w:themeFill="text2" w:themeFillTint="33"/>
            <w:vAlign w:val="center"/>
          </w:tcPr>
          <w:p w14:paraId="17D73EBE"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378ECCE0"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7C567CA5"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1CF8CCE4"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0FD8FF8D"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12D08AF5" w14:textId="77777777" w:rsidR="004A3BFC" w:rsidRPr="004C57EE" w:rsidRDefault="004A3BFC" w:rsidP="004A3BFC">
            <w:pPr>
              <w:spacing w:after="0"/>
              <w:jc w:val="right"/>
              <w:rPr>
                <w:noProof/>
                <w:sz w:val="20"/>
                <w:szCs w:val="20"/>
              </w:rPr>
            </w:pPr>
          </w:p>
        </w:tc>
      </w:tr>
      <w:tr w:rsidR="007A358D" w:rsidRPr="00D37004" w14:paraId="146FFA53" w14:textId="77777777" w:rsidTr="007A358D">
        <w:tc>
          <w:tcPr>
            <w:tcW w:w="1214" w:type="pct"/>
            <w:shd w:val="clear" w:color="auto" w:fill="FFFFFF" w:themeFill="background1"/>
          </w:tcPr>
          <w:p w14:paraId="5797A6D5" w14:textId="77777777" w:rsidR="004A3BFC" w:rsidRPr="00B0667E" w:rsidRDefault="004A3BFC" w:rsidP="004A3BFC">
            <w:pPr>
              <w:spacing w:after="0"/>
              <w:jc w:val="left"/>
              <w:rPr>
                <w:noProof/>
                <w:sz w:val="20"/>
                <w:szCs w:val="20"/>
              </w:rPr>
            </w:pPr>
            <w:r w:rsidRPr="00B0667E">
              <w:rPr>
                <w:noProof/>
                <w:sz w:val="20"/>
                <w:szCs w:val="20"/>
              </w:rPr>
              <w:t xml:space="preserve">Benefits </w:t>
            </w:r>
          </w:p>
        </w:tc>
        <w:tc>
          <w:tcPr>
            <w:tcW w:w="631" w:type="pct"/>
            <w:tcBorders>
              <w:top w:val="nil"/>
            </w:tcBorders>
            <w:shd w:val="clear" w:color="auto" w:fill="FFFFFF" w:themeFill="background1"/>
            <w:vAlign w:val="center"/>
          </w:tcPr>
          <w:p w14:paraId="6FE81BC2" w14:textId="58064156" w:rsidR="004A3BFC" w:rsidRPr="004C57EE" w:rsidRDefault="001E5328" w:rsidP="004A3BFC">
            <w:pPr>
              <w:spacing w:after="0"/>
              <w:jc w:val="right"/>
              <w:rPr>
                <w:noProof/>
                <w:sz w:val="20"/>
                <w:szCs w:val="20"/>
              </w:rPr>
            </w:pPr>
            <w:r>
              <w:rPr>
                <w:noProof/>
                <w:color w:val="000000" w:themeColor="text1"/>
                <w:sz w:val="20"/>
                <w:szCs w:val="20"/>
              </w:rPr>
              <w:t>+</w:t>
            </w:r>
          </w:p>
        </w:tc>
        <w:tc>
          <w:tcPr>
            <w:tcW w:w="631" w:type="pct"/>
            <w:shd w:val="clear" w:color="auto" w:fill="FFFFFF" w:themeFill="background1"/>
            <w:vAlign w:val="center"/>
          </w:tcPr>
          <w:p w14:paraId="367DCE46" w14:textId="00B3B9EA" w:rsidR="004A3BFC" w:rsidRPr="004C57EE" w:rsidRDefault="001E5328" w:rsidP="004A3BFC">
            <w:pPr>
              <w:spacing w:after="0"/>
              <w:jc w:val="right"/>
              <w:rPr>
                <w:noProof/>
                <w:sz w:val="20"/>
                <w:szCs w:val="20"/>
              </w:rPr>
            </w:pPr>
            <w:r>
              <w:rPr>
                <w:noProof/>
                <w:sz w:val="20"/>
                <w:szCs w:val="20"/>
              </w:rPr>
              <w:t>++</w:t>
            </w:r>
          </w:p>
        </w:tc>
        <w:tc>
          <w:tcPr>
            <w:tcW w:w="631" w:type="pct"/>
            <w:shd w:val="clear" w:color="auto" w:fill="FFFFFF" w:themeFill="background1"/>
            <w:vAlign w:val="center"/>
          </w:tcPr>
          <w:p w14:paraId="135F2362" w14:textId="09F0015B" w:rsidR="004A3BFC" w:rsidRPr="004C57EE" w:rsidRDefault="001E5328" w:rsidP="004A3BFC">
            <w:pPr>
              <w:spacing w:after="0"/>
              <w:jc w:val="right"/>
              <w:rPr>
                <w:noProof/>
                <w:sz w:val="20"/>
                <w:szCs w:val="20"/>
              </w:rPr>
            </w:pPr>
            <w:r>
              <w:rPr>
                <w:noProof/>
                <w:sz w:val="20"/>
                <w:szCs w:val="20"/>
              </w:rPr>
              <w:t>+</w:t>
            </w:r>
          </w:p>
        </w:tc>
        <w:tc>
          <w:tcPr>
            <w:tcW w:w="631" w:type="pct"/>
            <w:shd w:val="clear" w:color="auto" w:fill="FFFFFF" w:themeFill="background1"/>
            <w:vAlign w:val="center"/>
          </w:tcPr>
          <w:p w14:paraId="43DD12CF" w14:textId="5770C523" w:rsidR="004A3BFC" w:rsidRPr="004C57EE" w:rsidRDefault="001E5328" w:rsidP="004A3BFC">
            <w:pPr>
              <w:spacing w:after="0"/>
              <w:jc w:val="right"/>
              <w:rPr>
                <w:noProof/>
                <w:sz w:val="20"/>
                <w:szCs w:val="20"/>
              </w:rPr>
            </w:pPr>
            <w:r>
              <w:rPr>
                <w:noProof/>
                <w:sz w:val="20"/>
                <w:szCs w:val="20"/>
              </w:rPr>
              <w:t>N/A</w:t>
            </w:r>
          </w:p>
        </w:tc>
        <w:tc>
          <w:tcPr>
            <w:tcW w:w="631" w:type="pct"/>
            <w:shd w:val="clear" w:color="auto" w:fill="FFFFFF" w:themeFill="background1"/>
            <w:vAlign w:val="center"/>
          </w:tcPr>
          <w:p w14:paraId="13276F7C" w14:textId="791EC472" w:rsidR="004A3BFC" w:rsidRPr="004C57EE" w:rsidRDefault="00352380" w:rsidP="004A3BFC">
            <w:pPr>
              <w:spacing w:after="0"/>
              <w:jc w:val="right"/>
              <w:rPr>
                <w:noProof/>
                <w:sz w:val="20"/>
                <w:szCs w:val="20"/>
              </w:rPr>
            </w:pPr>
            <w:r>
              <w:rPr>
                <w:noProof/>
                <w:sz w:val="20"/>
                <w:szCs w:val="20"/>
              </w:rPr>
              <w:t>++</w:t>
            </w:r>
          </w:p>
        </w:tc>
        <w:tc>
          <w:tcPr>
            <w:tcW w:w="631" w:type="pct"/>
            <w:shd w:val="clear" w:color="auto" w:fill="FFFFFF" w:themeFill="background1"/>
            <w:vAlign w:val="center"/>
          </w:tcPr>
          <w:p w14:paraId="6AECAB2E" w14:textId="3B1974CC" w:rsidR="004A3BFC" w:rsidRPr="004C57EE" w:rsidRDefault="00352380" w:rsidP="004A3BFC">
            <w:pPr>
              <w:spacing w:after="0"/>
              <w:jc w:val="right"/>
              <w:rPr>
                <w:noProof/>
                <w:sz w:val="20"/>
                <w:szCs w:val="20"/>
              </w:rPr>
            </w:pPr>
            <w:r>
              <w:rPr>
                <w:noProof/>
                <w:sz w:val="20"/>
                <w:szCs w:val="20"/>
              </w:rPr>
              <w:t>++++</w:t>
            </w:r>
          </w:p>
        </w:tc>
      </w:tr>
      <w:tr w:rsidR="007A358D" w:rsidRPr="00D37004" w14:paraId="71ECD244" w14:textId="77777777" w:rsidTr="007A358D">
        <w:trPr>
          <w:trHeight w:val="142"/>
        </w:trPr>
        <w:tc>
          <w:tcPr>
            <w:tcW w:w="1214" w:type="pct"/>
            <w:shd w:val="clear" w:color="auto" w:fill="FFFFFF" w:themeFill="background1"/>
          </w:tcPr>
          <w:p w14:paraId="5681B933" w14:textId="77777777" w:rsidR="004A3BFC" w:rsidRPr="00B0667E" w:rsidRDefault="004A3BFC" w:rsidP="004A3BFC">
            <w:pPr>
              <w:spacing w:after="0"/>
              <w:jc w:val="left"/>
              <w:rPr>
                <w:noProof/>
                <w:sz w:val="20"/>
                <w:szCs w:val="20"/>
              </w:rPr>
            </w:pPr>
            <w:r w:rsidRPr="00B0667E">
              <w:rPr>
                <w:noProof/>
                <w:sz w:val="20"/>
                <w:szCs w:val="20"/>
              </w:rPr>
              <w:t>Costs</w:t>
            </w:r>
          </w:p>
        </w:tc>
        <w:tc>
          <w:tcPr>
            <w:tcW w:w="631" w:type="pct"/>
            <w:shd w:val="clear" w:color="auto" w:fill="FFFFFF" w:themeFill="background1"/>
            <w:vAlign w:val="center"/>
          </w:tcPr>
          <w:p w14:paraId="49AAC5B9" w14:textId="40E40FAC"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37702F23" w14:textId="7C85587A"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65CD1EE4" w14:textId="3521C138"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0926EE1E" w14:textId="78161F5F"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3589ADD8" w14:textId="29B9E4E3"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shd w:val="clear" w:color="auto" w:fill="FFFFFF" w:themeFill="background1"/>
            <w:vAlign w:val="center"/>
          </w:tcPr>
          <w:p w14:paraId="7DDF131A" w14:textId="1F2443A1" w:rsidR="004A3BFC" w:rsidRPr="004C57EE" w:rsidRDefault="005176AD" w:rsidP="004A3BFC">
            <w:pPr>
              <w:spacing w:after="0"/>
              <w:jc w:val="right"/>
              <w:rPr>
                <w:noProof/>
                <w:sz w:val="20"/>
                <w:szCs w:val="20"/>
              </w:rPr>
            </w:pPr>
            <w:r w:rsidRPr="005176AD">
              <w:rPr>
                <w:noProof/>
                <w:color w:val="000000" w:themeColor="text1"/>
                <w:sz w:val="20"/>
                <w:szCs w:val="20"/>
              </w:rPr>
              <w:t>−−</w:t>
            </w:r>
          </w:p>
        </w:tc>
      </w:tr>
      <w:tr w:rsidR="007A358D" w:rsidRPr="00D37004" w14:paraId="216528A2" w14:textId="77777777" w:rsidTr="007A358D">
        <w:tc>
          <w:tcPr>
            <w:tcW w:w="1214" w:type="pct"/>
            <w:shd w:val="clear" w:color="auto" w:fill="C6D9F1" w:themeFill="text2" w:themeFillTint="33"/>
          </w:tcPr>
          <w:p w14:paraId="26E30A4F" w14:textId="77777777" w:rsidR="004A3BFC" w:rsidRPr="004C57EE" w:rsidRDefault="004A3BFC" w:rsidP="004A3BFC">
            <w:pPr>
              <w:spacing w:after="0"/>
              <w:ind w:right="-84"/>
              <w:jc w:val="left"/>
              <w:rPr>
                <w:b/>
                <w:bCs/>
                <w:noProof/>
                <w:sz w:val="20"/>
                <w:szCs w:val="20"/>
              </w:rPr>
            </w:pPr>
            <w:r w:rsidRPr="004C57EE">
              <w:rPr>
                <w:b/>
                <w:bCs/>
                <w:noProof/>
                <w:sz w:val="20"/>
                <w:szCs w:val="20"/>
              </w:rPr>
              <w:t xml:space="preserve">European Commission </w:t>
            </w:r>
          </w:p>
        </w:tc>
        <w:tc>
          <w:tcPr>
            <w:tcW w:w="631" w:type="pct"/>
            <w:shd w:val="clear" w:color="auto" w:fill="C6D9F1" w:themeFill="text2" w:themeFillTint="33"/>
            <w:vAlign w:val="center"/>
          </w:tcPr>
          <w:p w14:paraId="6F0F4F77"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39686F1C"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767B47C8"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727DAFDA"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5AD0231F" w14:textId="77777777" w:rsidR="004A3BFC" w:rsidRPr="004C57EE" w:rsidRDefault="004A3BFC" w:rsidP="004A3BFC">
            <w:pPr>
              <w:spacing w:after="0"/>
              <w:jc w:val="right"/>
              <w:rPr>
                <w:noProof/>
                <w:sz w:val="20"/>
                <w:szCs w:val="20"/>
              </w:rPr>
            </w:pPr>
          </w:p>
        </w:tc>
        <w:tc>
          <w:tcPr>
            <w:tcW w:w="631" w:type="pct"/>
            <w:shd w:val="clear" w:color="auto" w:fill="C6D9F1" w:themeFill="text2" w:themeFillTint="33"/>
            <w:vAlign w:val="center"/>
          </w:tcPr>
          <w:p w14:paraId="7DE04FDF" w14:textId="77777777" w:rsidR="004A3BFC" w:rsidRPr="004C57EE" w:rsidRDefault="004A3BFC" w:rsidP="004A3BFC">
            <w:pPr>
              <w:spacing w:after="0"/>
              <w:jc w:val="right"/>
              <w:rPr>
                <w:noProof/>
                <w:sz w:val="20"/>
                <w:szCs w:val="20"/>
              </w:rPr>
            </w:pPr>
          </w:p>
        </w:tc>
      </w:tr>
      <w:tr w:rsidR="007A358D" w:rsidRPr="00D37004" w14:paraId="3AD04CC3" w14:textId="77777777" w:rsidTr="007A358D">
        <w:tc>
          <w:tcPr>
            <w:tcW w:w="1214" w:type="pct"/>
            <w:tcBorders>
              <w:bottom w:val="nil"/>
            </w:tcBorders>
            <w:shd w:val="clear" w:color="auto" w:fill="FFFFFF" w:themeFill="background1"/>
          </w:tcPr>
          <w:p w14:paraId="40D483D3" w14:textId="77777777" w:rsidR="004A3BFC" w:rsidRPr="00880541" w:rsidRDefault="004A3BFC" w:rsidP="004A3BFC">
            <w:pPr>
              <w:spacing w:after="0"/>
              <w:jc w:val="left"/>
              <w:rPr>
                <w:noProof/>
                <w:sz w:val="20"/>
                <w:szCs w:val="20"/>
              </w:rPr>
            </w:pPr>
            <w:r w:rsidRPr="00880541">
              <w:rPr>
                <w:noProof/>
                <w:sz w:val="20"/>
                <w:szCs w:val="20"/>
              </w:rPr>
              <w:t xml:space="preserve">Costs </w:t>
            </w:r>
          </w:p>
        </w:tc>
        <w:tc>
          <w:tcPr>
            <w:tcW w:w="631" w:type="pct"/>
            <w:tcBorders>
              <w:bottom w:val="nil"/>
            </w:tcBorders>
            <w:shd w:val="clear" w:color="auto" w:fill="FFFFFF" w:themeFill="background1"/>
            <w:vAlign w:val="center"/>
          </w:tcPr>
          <w:p w14:paraId="33D21F9A" w14:textId="7E5BEE46"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bottom w:val="nil"/>
            </w:tcBorders>
            <w:shd w:val="clear" w:color="auto" w:fill="FFFFFF" w:themeFill="background1"/>
            <w:vAlign w:val="center"/>
          </w:tcPr>
          <w:p w14:paraId="1F132AA4" w14:textId="0DFE2D27"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bottom w:val="nil"/>
            </w:tcBorders>
            <w:shd w:val="clear" w:color="auto" w:fill="FFFFFF" w:themeFill="background1"/>
            <w:vAlign w:val="center"/>
          </w:tcPr>
          <w:p w14:paraId="3D57AB4C" w14:textId="6F2791A4"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bottom w:val="nil"/>
            </w:tcBorders>
            <w:shd w:val="clear" w:color="auto" w:fill="FFFFFF" w:themeFill="background1"/>
            <w:vAlign w:val="center"/>
          </w:tcPr>
          <w:p w14:paraId="675354A7" w14:textId="0B411108"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bottom w:val="nil"/>
            </w:tcBorders>
            <w:shd w:val="clear" w:color="auto" w:fill="FFFFFF" w:themeFill="background1"/>
            <w:vAlign w:val="center"/>
          </w:tcPr>
          <w:p w14:paraId="02E386E7" w14:textId="637D6368"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bottom w:val="nil"/>
            </w:tcBorders>
            <w:shd w:val="clear" w:color="auto" w:fill="FFFFFF" w:themeFill="background1"/>
            <w:vAlign w:val="center"/>
          </w:tcPr>
          <w:p w14:paraId="6DBB0589" w14:textId="658DBF91" w:rsidR="004A3BFC" w:rsidRPr="004C57EE" w:rsidRDefault="005176AD" w:rsidP="004A3BFC">
            <w:pPr>
              <w:spacing w:after="0"/>
              <w:jc w:val="right"/>
              <w:rPr>
                <w:noProof/>
                <w:sz w:val="20"/>
                <w:szCs w:val="20"/>
              </w:rPr>
            </w:pPr>
            <w:r w:rsidRPr="005176AD">
              <w:rPr>
                <w:noProof/>
                <w:color w:val="000000" w:themeColor="text1"/>
                <w:sz w:val="20"/>
                <w:szCs w:val="20"/>
              </w:rPr>
              <w:t>−−</w:t>
            </w:r>
          </w:p>
        </w:tc>
      </w:tr>
      <w:tr w:rsidR="00A2149A" w:rsidRPr="00D37004" w14:paraId="75DD7902" w14:textId="77777777" w:rsidTr="00B84134">
        <w:tc>
          <w:tcPr>
            <w:tcW w:w="1214" w:type="pct"/>
            <w:tcBorders>
              <w:top w:val="nil"/>
              <w:left w:val="single" w:sz="4" w:space="0" w:color="auto"/>
              <w:bottom w:val="nil"/>
            </w:tcBorders>
            <w:shd w:val="clear" w:color="auto" w:fill="C6D9F1" w:themeFill="text2" w:themeFillTint="33"/>
          </w:tcPr>
          <w:p w14:paraId="0043797B" w14:textId="20F83267" w:rsidR="00D84C28" w:rsidRPr="00A2149A" w:rsidRDefault="005C5755" w:rsidP="00A2149A">
            <w:pPr>
              <w:spacing w:after="0"/>
              <w:ind w:right="-84"/>
              <w:jc w:val="left"/>
              <w:rPr>
                <w:b/>
                <w:bCs/>
                <w:noProof/>
                <w:sz w:val="20"/>
                <w:szCs w:val="20"/>
              </w:rPr>
            </w:pPr>
            <w:r>
              <w:rPr>
                <w:b/>
                <w:bCs/>
                <w:noProof/>
                <w:sz w:val="20"/>
                <w:szCs w:val="20"/>
              </w:rPr>
              <w:t xml:space="preserve">Wider economic </w:t>
            </w:r>
            <w:r w:rsidR="00D810C4">
              <w:rPr>
                <w:b/>
                <w:bCs/>
                <w:noProof/>
                <w:sz w:val="20"/>
                <w:szCs w:val="20"/>
              </w:rPr>
              <w:t>effects</w:t>
            </w:r>
          </w:p>
        </w:tc>
        <w:tc>
          <w:tcPr>
            <w:tcW w:w="631" w:type="pct"/>
            <w:tcBorders>
              <w:top w:val="nil"/>
              <w:bottom w:val="nil"/>
            </w:tcBorders>
            <w:shd w:val="clear" w:color="auto" w:fill="C6D9F1" w:themeFill="text2" w:themeFillTint="33"/>
            <w:vAlign w:val="center"/>
          </w:tcPr>
          <w:p w14:paraId="3798033B" w14:textId="639CF6D6" w:rsidR="00D84C28" w:rsidRPr="00D810C4" w:rsidRDefault="00D810C4" w:rsidP="00D810C4">
            <w:pPr>
              <w:spacing w:after="0"/>
              <w:jc w:val="right"/>
              <w:rPr>
                <w:noProof/>
                <w:color w:val="000000" w:themeColor="text1"/>
                <w:sz w:val="20"/>
                <w:szCs w:val="20"/>
              </w:rPr>
            </w:pPr>
            <w:r w:rsidRPr="00A2149A">
              <w:rPr>
                <w:noProof/>
                <w:color w:val="000000" w:themeColor="text1"/>
                <w:sz w:val="20"/>
                <w:szCs w:val="20"/>
              </w:rPr>
              <w:t xml:space="preserve">      +  </w:t>
            </w:r>
          </w:p>
        </w:tc>
        <w:tc>
          <w:tcPr>
            <w:tcW w:w="631" w:type="pct"/>
            <w:tcBorders>
              <w:top w:val="nil"/>
              <w:bottom w:val="nil"/>
            </w:tcBorders>
            <w:shd w:val="clear" w:color="auto" w:fill="C6D9F1" w:themeFill="text2" w:themeFillTint="33"/>
            <w:vAlign w:val="center"/>
          </w:tcPr>
          <w:p w14:paraId="5DC0B3F8" w14:textId="2B60A50A" w:rsidR="00D84C28" w:rsidRPr="00D810C4" w:rsidRDefault="00D810C4" w:rsidP="00A2149A">
            <w:pPr>
              <w:spacing w:after="0"/>
              <w:jc w:val="center"/>
              <w:rPr>
                <w:noProof/>
                <w:color w:val="000000" w:themeColor="text1"/>
                <w:sz w:val="20"/>
                <w:szCs w:val="20"/>
              </w:rPr>
            </w:pPr>
            <w:r>
              <w:rPr>
                <w:noProof/>
                <w:color w:val="000000" w:themeColor="text1"/>
                <w:sz w:val="20"/>
                <w:szCs w:val="20"/>
              </w:rPr>
              <w:t xml:space="preserve">     </w:t>
            </w:r>
            <w:r w:rsidR="00A75583">
              <w:rPr>
                <w:noProof/>
                <w:color w:val="000000" w:themeColor="text1"/>
                <w:sz w:val="20"/>
                <w:szCs w:val="20"/>
              </w:rPr>
              <w:t xml:space="preserve">     </w:t>
            </w:r>
            <w:r w:rsidR="0002071D">
              <w:rPr>
                <w:noProof/>
                <w:color w:val="000000" w:themeColor="text1"/>
                <w:sz w:val="20"/>
                <w:szCs w:val="20"/>
              </w:rPr>
              <w:t xml:space="preserve"> +</w:t>
            </w:r>
            <w:r w:rsidR="00BD0319">
              <w:rPr>
                <w:noProof/>
                <w:color w:val="000000" w:themeColor="text1"/>
                <w:sz w:val="20"/>
                <w:szCs w:val="20"/>
              </w:rPr>
              <w:t>+</w:t>
            </w:r>
            <w:r>
              <w:rPr>
                <w:noProof/>
                <w:color w:val="000000" w:themeColor="text1"/>
                <w:sz w:val="20"/>
                <w:szCs w:val="20"/>
              </w:rPr>
              <w:t>++</w:t>
            </w:r>
          </w:p>
        </w:tc>
        <w:tc>
          <w:tcPr>
            <w:tcW w:w="631" w:type="pct"/>
            <w:tcBorders>
              <w:top w:val="nil"/>
              <w:bottom w:val="nil"/>
            </w:tcBorders>
            <w:shd w:val="clear" w:color="auto" w:fill="C6D9F1" w:themeFill="text2" w:themeFillTint="33"/>
            <w:vAlign w:val="center"/>
          </w:tcPr>
          <w:p w14:paraId="44C50889" w14:textId="322A30DC" w:rsidR="00D84C28" w:rsidRPr="00D810C4" w:rsidRDefault="0002071D" w:rsidP="00A2149A">
            <w:pPr>
              <w:spacing w:after="0"/>
              <w:jc w:val="center"/>
              <w:rPr>
                <w:noProof/>
                <w:color w:val="000000" w:themeColor="text1"/>
                <w:sz w:val="20"/>
                <w:szCs w:val="20"/>
              </w:rPr>
            </w:pPr>
            <w:r>
              <w:rPr>
                <w:noProof/>
                <w:color w:val="000000" w:themeColor="text1"/>
                <w:sz w:val="20"/>
                <w:szCs w:val="20"/>
              </w:rPr>
              <w:t xml:space="preserve">     </w:t>
            </w:r>
            <w:r w:rsidR="00A12CA1">
              <w:rPr>
                <w:noProof/>
                <w:color w:val="000000" w:themeColor="text1"/>
                <w:sz w:val="20"/>
                <w:szCs w:val="20"/>
              </w:rPr>
              <w:t xml:space="preserve">    </w:t>
            </w:r>
            <w:r>
              <w:rPr>
                <w:noProof/>
                <w:color w:val="000000" w:themeColor="text1"/>
                <w:sz w:val="20"/>
                <w:szCs w:val="20"/>
              </w:rPr>
              <w:t xml:space="preserve">    +++ </w:t>
            </w:r>
          </w:p>
        </w:tc>
        <w:tc>
          <w:tcPr>
            <w:tcW w:w="631" w:type="pct"/>
            <w:tcBorders>
              <w:top w:val="nil"/>
              <w:bottom w:val="nil"/>
            </w:tcBorders>
            <w:shd w:val="clear" w:color="auto" w:fill="C6D9F1" w:themeFill="text2" w:themeFillTint="33"/>
            <w:vAlign w:val="center"/>
          </w:tcPr>
          <w:p w14:paraId="55E548A2" w14:textId="1C57B0CB" w:rsidR="00D84C28" w:rsidRPr="00D810C4" w:rsidRDefault="005B1700" w:rsidP="00A2149A">
            <w:pPr>
              <w:spacing w:after="0"/>
              <w:jc w:val="center"/>
              <w:rPr>
                <w:noProof/>
                <w:color w:val="000000" w:themeColor="text1"/>
                <w:sz w:val="20"/>
                <w:szCs w:val="20"/>
              </w:rPr>
            </w:pPr>
            <w:r>
              <w:rPr>
                <w:noProof/>
                <w:sz w:val="20"/>
                <w:szCs w:val="20"/>
              </w:rPr>
              <w:t xml:space="preserve">             </w:t>
            </w:r>
            <w:r w:rsidR="009518F7">
              <w:rPr>
                <w:noProof/>
                <w:sz w:val="20"/>
                <w:szCs w:val="20"/>
              </w:rPr>
              <w:t xml:space="preserve">    </w:t>
            </w:r>
            <w:r>
              <w:rPr>
                <w:noProof/>
                <w:sz w:val="20"/>
                <w:szCs w:val="20"/>
              </w:rPr>
              <w:t>+</w:t>
            </w:r>
          </w:p>
        </w:tc>
        <w:tc>
          <w:tcPr>
            <w:tcW w:w="631" w:type="pct"/>
            <w:tcBorders>
              <w:top w:val="nil"/>
              <w:bottom w:val="nil"/>
            </w:tcBorders>
            <w:shd w:val="clear" w:color="auto" w:fill="C6D9F1" w:themeFill="text2" w:themeFillTint="33"/>
            <w:vAlign w:val="center"/>
          </w:tcPr>
          <w:p w14:paraId="58205906" w14:textId="14C283DD" w:rsidR="00D84C28" w:rsidRPr="00D810C4" w:rsidRDefault="0003768C" w:rsidP="00A2149A">
            <w:pPr>
              <w:spacing w:after="0"/>
              <w:jc w:val="center"/>
              <w:rPr>
                <w:noProof/>
                <w:color w:val="000000" w:themeColor="text1"/>
                <w:sz w:val="20"/>
                <w:szCs w:val="20"/>
              </w:rPr>
            </w:pPr>
            <w:r>
              <w:rPr>
                <w:noProof/>
                <w:color w:val="000000" w:themeColor="text1"/>
                <w:sz w:val="20"/>
                <w:szCs w:val="20"/>
              </w:rPr>
              <w:t xml:space="preserve">   </w:t>
            </w:r>
            <w:r w:rsidR="00A12CA1">
              <w:rPr>
                <w:noProof/>
                <w:color w:val="000000" w:themeColor="text1"/>
                <w:sz w:val="20"/>
                <w:szCs w:val="20"/>
              </w:rPr>
              <w:t xml:space="preserve">     </w:t>
            </w:r>
            <w:r>
              <w:rPr>
                <w:noProof/>
                <w:color w:val="000000" w:themeColor="text1"/>
                <w:sz w:val="20"/>
                <w:szCs w:val="20"/>
              </w:rPr>
              <w:t xml:space="preserve">   ++++</w:t>
            </w:r>
          </w:p>
        </w:tc>
        <w:tc>
          <w:tcPr>
            <w:tcW w:w="631" w:type="pct"/>
            <w:tcBorders>
              <w:top w:val="nil"/>
              <w:bottom w:val="nil"/>
              <w:right w:val="single" w:sz="4" w:space="0" w:color="auto"/>
            </w:tcBorders>
            <w:shd w:val="clear" w:color="auto" w:fill="C6D9F1" w:themeFill="text2" w:themeFillTint="33"/>
            <w:vAlign w:val="center"/>
          </w:tcPr>
          <w:p w14:paraId="6C0423C7" w14:textId="7163E7E3" w:rsidR="00D84C28" w:rsidRPr="00D810C4" w:rsidRDefault="0003768C" w:rsidP="00A2149A">
            <w:pPr>
              <w:spacing w:after="0"/>
              <w:jc w:val="center"/>
              <w:rPr>
                <w:noProof/>
                <w:color w:val="000000" w:themeColor="text1"/>
                <w:sz w:val="20"/>
                <w:szCs w:val="20"/>
              </w:rPr>
            </w:pPr>
            <w:r>
              <w:rPr>
                <w:noProof/>
                <w:color w:val="000000" w:themeColor="text1"/>
                <w:sz w:val="20"/>
                <w:szCs w:val="20"/>
              </w:rPr>
              <w:t xml:space="preserve">    </w:t>
            </w:r>
            <w:r w:rsidR="00A12CA1">
              <w:rPr>
                <w:noProof/>
                <w:color w:val="000000" w:themeColor="text1"/>
                <w:sz w:val="20"/>
                <w:szCs w:val="20"/>
              </w:rPr>
              <w:t xml:space="preserve">  </w:t>
            </w:r>
            <w:r>
              <w:rPr>
                <w:noProof/>
                <w:color w:val="000000" w:themeColor="text1"/>
                <w:sz w:val="20"/>
                <w:szCs w:val="20"/>
              </w:rPr>
              <w:t xml:space="preserve">     ++++</w:t>
            </w:r>
          </w:p>
        </w:tc>
      </w:tr>
      <w:tr w:rsidR="007A358D" w:rsidRPr="00D37004" w14:paraId="63C9D705" w14:textId="77777777" w:rsidTr="007A358D">
        <w:trPr>
          <w:trHeight w:val="227"/>
        </w:trPr>
        <w:tc>
          <w:tcPr>
            <w:tcW w:w="1214" w:type="pct"/>
            <w:tcBorders>
              <w:top w:val="single" w:sz="4" w:space="0" w:color="auto"/>
              <w:left w:val="single" w:sz="4" w:space="0" w:color="auto"/>
              <w:bottom w:val="nil"/>
            </w:tcBorders>
            <w:shd w:val="clear" w:color="auto" w:fill="FFFFFF" w:themeFill="background1"/>
          </w:tcPr>
          <w:p w14:paraId="13F1E680" w14:textId="77777777" w:rsidR="004A3BFC" w:rsidRPr="004C57EE" w:rsidRDefault="004A3BFC" w:rsidP="004A3BFC">
            <w:pPr>
              <w:spacing w:after="0"/>
              <w:jc w:val="left"/>
              <w:rPr>
                <w:b/>
                <w:bCs/>
                <w:noProof/>
                <w:sz w:val="20"/>
                <w:szCs w:val="20"/>
              </w:rPr>
            </w:pPr>
            <w:r w:rsidRPr="004C57EE">
              <w:rPr>
                <w:b/>
                <w:bCs/>
                <w:noProof/>
                <w:sz w:val="20"/>
                <w:szCs w:val="20"/>
              </w:rPr>
              <w:t xml:space="preserve">Total benefits </w:t>
            </w:r>
          </w:p>
        </w:tc>
        <w:tc>
          <w:tcPr>
            <w:tcW w:w="631" w:type="pct"/>
            <w:tcBorders>
              <w:top w:val="single" w:sz="4" w:space="0" w:color="auto"/>
              <w:bottom w:val="nil"/>
            </w:tcBorders>
            <w:shd w:val="clear" w:color="auto" w:fill="FFFFFF" w:themeFill="background1"/>
            <w:vAlign w:val="center"/>
          </w:tcPr>
          <w:p w14:paraId="42247A64" w14:textId="7C6F0F31" w:rsidR="004A3BFC" w:rsidRPr="004C57EE" w:rsidRDefault="003A2DD2" w:rsidP="004A3BFC">
            <w:pPr>
              <w:spacing w:after="0"/>
              <w:jc w:val="right"/>
              <w:rPr>
                <w:noProof/>
                <w:sz w:val="20"/>
                <w:szCs w:val="20"/>
              </w:rPr>
            </w:pPr>
            <w:r>
              <w:rPr>
                <w:noProof/>
                <w:sz w:val="20"/>
                <w:szCs w:val="20"/>
              </w:rPr>
              <w:t>+</w:t>
            </w:r>
          </w:p>
        </w:tc>
        <w:tc>
          <w:tcPr>
            <w:tcW w:w="631" w:type="pct"/>
            <w:tcBorders>
              <w:top w:val="single" w:sz="4" w:space="0" w:color="auto"/>
              <w:bottom w:val="nil"/>
            </w:tcBorders>
            <w:shd w:val="clear" w:color="auto" w:fill="FFFFFF" w:themeFill="background1"/>
            <w:vAlign w:val="center"/>
          </w:tcPr>
          <w:p w14:paraId="0C782985" w14:textId="42157C28" w:rsidR="004A3BFC" w:rsidRPr="004C57EE" w:rsidRDefault="003A2DD2" w:rsidP="004A3BFC">
            <w:pPr>
              <w:spacing w:after="0"/>
              <w:jc w:val="right"/>
              <w:rPr>
                <w:noProof/>
                <w:sz w:val="20"/>
                <w:szCs w:val="20"/>
              </w:rPr>
            </w:pPr>
            <w:r>
              <w:rPr>
                <w:noProof/>
                <w:sz w:val="20"/>
                <w:szCs w:val="20"/>
              </w:rPr>
              <w:t>+++</w:t>
            </w:r>
          </w:p>
        </w:tc>
        <w:tc>
          <w:tcPr>
            <w:tcW w:w="631" w:type="pct"/>
            <w:tcBorders>
              <w:top w:val="single" w:sz="4" w:space="0" w:color="auto"/>
              <w:bottom w:val="nil"/>
            </w:tcBorders>
            <w:shd w:val="clear" w:color="auto" w:fill="FFFFFF" w:themeFill="background1"/>
            <w:vAlign w:val="center"/>
          </w:tcPr>
          <w:p w14:paraId="78DD88F6" w14:textId="5B1B6D5F" w:rsidR="004A3BFC" w:rsidRPr="004C57EE" w:rsidRDefault="003A2DD2" w:rsidP="004A3BFC">
            <w:pPr>
              <w:spacing w:after="0"/>
              <w:jc w:val="right"/>
              <w:rPr>
                <w:noProof/>
                <w:sz w:val="20"/>
                <w:szCs w:val="20"/>
              </w:rPr>
            </w:pPr>
            <w:r>
              <w:rPr>
                <w:noProof/>
                <w:sz w:val="20"/>
                <w:szCs w:val="20"/>
              </w:rPr>
              <w:t>+++</w:t>
            </w:r>
          </w:p>
        </w:tc>
        <w:tc>
          <w:tcPr>
            <w:tcW w:w="631" w:type="pct"/>
            <w:tcBorders>
              <w:top w:val="single" w:sz="4" w:space="0" w:color="auto"/>
              <w:bottom w:val="nil"/>
            </w:tcBorders>
            <w:shd w:val="clear" w:color="auto" w:fill="FFFFFF" w:themeFill="background1"/>
            <w:vAlign w:val="center"/>
          </w:tcPr>
          <w:p w14:paraId="65DC47AA" w14:textId="176FDC41" w:rsidR="004A3BFC" w:rsidRPr="004C57EE" w:rsidRDefault="003A2DD2" w:rsidP="004A3BFC">
            <w:pPr>
              <w:spacing w:after="0"/>
              <w:jc w:val="right"/>
              <w:rPr>
                <w:noProof/>
                <w:sz w:val="20"/>
                <w:szCs w:val="20"/>
              </w:rPr>
            </w:pPr>
            <w:r>
              <w:rPr>
                <w:noProof/>
                <w:sz w:val="20"/>
                <w:szCs w:val="20"/>
              </w:rPr>
              <w:t>+</w:t>
            </w:r>
          </w:p>
        </w:tc>
        <w:tc>
          <w:tcPr>
            <w:tcW w:w="631" w:type="pct"/>
            <w:tcBorders>
              <w:top w:val="single" w:sz="4" w:space="0" w:color="auto"/>
              <w:bottom w:val="nil"/>
            </w:tcBorders>
            <w:shd w:val="clear" w:color="auto" w:fill="FFFFFF" w:themeFill="background1"/>
            <w:vAlign w:val="center"/>
          </w:tcPr>
          <w:p w14:paraId="4EB6402A" w14:textId="4D48F574" w:rsidR="004A3BFC" w:rsidRPr="004C57EE" w:rsidRDefault="003A2DD2" w:rsidP="004A3BFC">
            <w:pPr>
              <w:spacing w:after="0"/>
              <w:jc w:val="right"/>
              <w:rPr>
                <w:noProof/>
                <w:sz w:val="20"/>
                <w:szCs w:val="20"/>
              </w:rPr>
            </w:pPr>
            <w:r>
              <w:rPr>
                <w:noProof/>
                <w:sz w:val="20"/>
                <w:szCs w:val="20"/>
              </w:rPr>
              <w:t>+++</w:t>
            </w:r>
          </w:p>
        </w:tc>
        <w:tc>
          <w:tcPr>
            <w:tcW w:w="631" w:type="pct"/>
            <w:tcBorders>
              <w:top w:val="single" w:sz="4" w:space="0" w:color="auto"/>
              <w:bottom w:val="nil"/>
              <w:right w:val="single" w:sz="4" w:space="0" w:color="auto"/>
            </w:tcBorders>
            <w:shd w:val="clear" w:color="auto" w:fill="FFFFFF" w:themeFill="background1"/>
            <w:vAlign w:val="center"/>
          </w:tcPr>
          <w:p w14:paraId="40C86B51" w14:textId="1F7F02F3" w:rsidR="004A3BFC" w:rsidRPr="004C57EE" w:rsidRDefault="003A2DD2" w:rsidP="004A3BFC">
            <w:pPr>
              <w:spacing w:after="0"/>
              <w:jc w:val="right"/>
              <w:rPr>
                <w:noProof/>
                <w:sz w:val="20"/>
                <w:szCs w:val="20"/>
              </w:rPr>
            </w:pPr>
            <w:r>
              <w:rPr>
                <w:noProof/>
                <w:sz w:val="20"/>
                <w:szCs w:val="20"/>
              </w:rPr>
              <w:t>++++</w:t>
            </w:r>
          </w:p>
        </w:tc>
      </w:tr>
      <w:tr w:rsidR="007A358D" w:rsidRPr="00D37004" w14:paraId="4AC08CF1" w14:textId="77777777" w:rsidTr="007A358D">
        <w:trPr>
          <w:trHeight w:val="227"/>
        </w:trPr>
        <w:tc>
          <w:tcPr>
            <w:tcW w:w="1214" w:type="pct"/>
            <w:tcBorders>
              <w:top w:val="nil"/>
              <w:left w:val="single" w:sz="4" w:space="0" w:color="auto"/>
              <w:bottom w:val="single" w:sz="4" w:space="0" w:color="auto"/>
            </w:tcBorders>
            <w:shd w:val="clear" w:color="auto" w:fill="FFFFFF" w:themeFill="background1"/>
          </w:tcPr>
          <w:p w14:paraId="6266782E" w14:textId="77777777" w:rsidR="004A3BFC" w:rsidRPr="004C57EE" w:rsidRDefault="004A3BFC" w:rsidP="004A3BFC">
            <w:pPr>
              <w:spacing w:after="0"/>
              <w:jc w:val="left"/>
              <w:rPr>
                <w:b/>
                <w:bCs/>
                <w:noProof/>
                <w:sz w:val="20"/>
                <w:szCs w:val="20"/>
              </w:rPr>
            </w:pPr>
            <w:r w:rsidRPr="004C57EE">
              <w:rPr>
                <w:b/>
                <w:bCs/>
                <w:noProof/>
                <w:sz w:val="20"/>
                <w:szCs w:val="20"/>
              </w:rPr>
              <w:t>Total costs</w:t>
            </w:r>
          </w:p>
        </w:tc>
        <w:tc>
          <w:tcPr>
            <w:tcW w:w="631" w:type="pct"/>
            <w:tcBorders>
              <w:top w:val="nil"/>
              <w:bottom w:val="single" w:sz="4" w:space="0" w:color="auto"/>
            </w:tcBorders>
            <w:shd w:val="clear" w:color="auto" w:fill="FFFFFF" w:themeFill="background1"/>
            <w:vAlign w:val="center"/>
          </w:tcPr>
          <w:p w14:paraId="101D5701" w14:textId="66A0F8CB"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top w:val="nil"/>
              <w:bottom w:val="single" w:sz="4" w:space="0" w:color="auto"/>
            </w:tcBorders>
            <w:shd w:val="clear" w:color="auto" w:fill="FFFFFF" w:themeFill="background1"/>
            <w:vAlign w:val="center"/>
          </w:tcPr>
          <w:p w14:paraId="509F701E" w14:textId="0E6963CB"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top w:val="nil"/>
              <w:bottom w:val="single" w:sz="4" w:space="0" w:color="auto"/>
            </w:tcBorders>
            <w:shd w:val="clear" w:color="auto" w:fill="FFFFFF" w:themeFill="background1"/>
            <w:vAlign w:val="center"/>
          </w:tcPr>
          <w:p w14:paraId="0F9D15EE" w14:textId="4AD8EE49"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top w:val="nil"/>
              <w:bottom w:val="single" w:sz="4" w:space="0" w:color="auto"/>
            </w:tcBorders>
            <w:shd w:val="clear" w:color="auto" w:fill="FFFFFF" w:themeFill="background1"/>
            <w:vAlign w:val="center"/>
          </w:tcPr>
          <w:p w14:paraId="185EF593" w14:textId="22BCD3DA"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top w:val="nil"/>
              <w:bottom w:val="single" w:sz="4" w:space="0" w:color="auto"/>
            </w:tcBorders>
            <w:shd w:val="clear" w:color="auto" w:fill="FFFFFF" w:themeFill="background1"/>
            <w:vAlign w:val="center"/>
          </w:tcPr>
          <w:p w14:paraId="0DFFBF07" w14:textId="06286EF5" w:rsidR="004A3BFC" w:rsidRPr="004C57EE" w:rsidRDefault="005176AD" w:rsidP="004A3BFC">
            <w:pPr>
              <w:spacing w:after="0"/>
              <w:jc w:val="right"/>
              <w:rPr>
                <w:noProof/>
                <w:sz w:val="20"/>
                <w:szCs w:val="20"/>
              </w:rPr>
            </w:pPr>
            <w:r w:rsidRPr="005176AD">
              <w:rPr>
                <w:noProof/>
                <w:color w:val="000000" w:themeColor="text1"/>
                <w:sz w:val="20"/>
                <w:szCs w:val="20"/>
              </w:rPr>
              <w:t>−−</w:t>
            </w:r>
          </w:p>
        </w:tc>
        <w:tc>
          <w:tcPr>
            <w:tcW w:w="631" w:type="pct"/>
            <w:tcBorders>
              <w:top w:val="nil"/>
              <w:bottom w:val="single" w:sz="4" w:space="0" w:color="auto"/>
              <w:right w:val="single" w:sz="4" w:space="0" w:color="auto"/>
            </w:tcBorders>
            <w:shd w:val="clear" w:color="auto" w:fill="FFFFFF" w:themeFill="background1"/>
            <w:vAlign w:val="center"/>
          </w:tcPr>
          <w:p w14:paraId="275032FB" w14:textId="39378013" w:rsidR="004A3BFC" w:rsidRPr="004C57EE" w:rsidRDefault="005176AD" w:rsidP="004A3BFC">
            <w:pPr>
              <w:spacing w:after="0"/>
              <w:jc w:val="right"/>
              <w:rPr>
                <w:noProof/>
                <w:sz w:val="20"/>
                <w:szCs w:val="20"/>
              </w:rPr>
            </w:pPr>
            <w:r w:rsidRPr="005176AD">
              <w:rPr>
                <w:noProof/>
                <w:color w:val="000000" w:themeColor="text1"/>
                <w:sz w:val="20"/>
                <w:szCs w:val="20"/>
              </w:rPr>
              <w:t>−−</w:t>
            </w:r>
          </w:p>
        </w:tc>
      </w:tr>
      <w:tr w:rsidR="007A358D" w:rsidRPr="00D37004" w14:paraId="2814D558" w14:textId="77777777" w:rsidTr="007A358D">
        <w:trPr>
          <w:trHeight w:val="248"/>
        </w:trPr>
        <w:tc>
          <w:tcPr>
            <w:tcW w:w="1214" w:type="pct"/>
            <w:tcBorders>
              <w:top w:val="single" w:sz="4" w:space="0" w:color="auto"/>
              <w:bottom w:val="single" w:sz="4" w:space="0" w:color="auto"/>
            </w:tcBorders>
            <w:shd w:val="clear" w:color="auto" w:fill="F2F2F2" w:themeFill="background1" w:themeFillShade="F2"/>
          </w:tcPr>
          <w:p w14:paraId="514AB76D" w14:textId="77777777" w:rsidR="004A3BFC" w:rsidRPr="004C57EE" w:rsidRDefault="004A3BFC" w:rsidP="004A3BFC">
            <w:pPr>
              <w:spacing w:after="0"/>
              <w:jc w:val="left"/>
              <w:rPr>
                <w:b/>
                <w:bCs/>
                <w:noProof/>
                <w:sz w:val="20"/>
                <w:szCs w:val="20"/>
              </w:rPr>
            </w:pPr>
            <w:r w:rsidRPr="004C57EE">
              <w:rPr>
                <w:b/>
                <w:bCs/>
                <w:noProof/>
                <w:sz w:val="20"/>
                <w:szCs w:val="20"/>
              </w:rPr>
              <w:t>Net benefits</w:t>
            </w:r>
          </w:p>
        </w:tc>
        <w:tc>
          <w:tcPr>
            <w:tcW w:w="631" w:type="pct"/>
            <w:tcBorders>
              <w:top w:val="single" w:sz="4" w:space="0" w:color="auto"/>
              <w:bottom w:val="single" w:sz="4" w:space="0" w:color="auto"/>
            </w:tcBorders>
            <w:shd w:val="clear" w:color="auto" w:fill="F2F2F2" w:themeFill="background1" w:themeFillShade="F2"/>
            <w:vAlign w:val="center"/>
          </w:tcPr>
          <w:p w14:paraId="3A6BBDEB" w14:textId="7720C4A0" w:rsidR="004A3BFC" w:rsidRPr="00880541" w:rsidRDefault="005176AD" w:rsidP="004A3BFC">
            <w:pPr>
              <w:spacing w:after="0"/>
              <w:jc w:val="right"/>
              <w:rPr>
                <w:b/>
                <w:noProof/>
                <w:sz w:val="20"/>
                <w:szCs w:val="20"/>
              </w:rPr>
            </w:pPr>
            <w:r w:rsidRPr="00880541">
              <w:rPr>
                <w:b/>
                <w:bCs/>
                <w:noProof/>
                <w:color w:val="000000" w:themeColor="text1"/>
                <w:sz w:val="20"/>
                <w:szCs w:val="20"/>
              </w:rPr>
              <w:t>−</w:t>
            </w:r>
          </w:p>
        </w:tc>
        <w:tc>
          <w:tcPr>
            <w:tcW w:w="631" w:type="pct"/>
            <w:tcBorders>
              <w:top w:val="single" w:sz="4" w:space="0" w:color="auto"/>
              <w:bottom w:val="single" w:sz="4" w:space="0" w:color="auto"/>
            </w:tcBorders>
            <w:shd w:val="clear" w:color="auto" w:fill="F2F2F2" w:themeFill="background1" w:themeFillShade="F2"/>
            <w:vAlign w:val="center"/>
          </w:tcPr>
          <w:p w14:paraId="5261BABC" w14:textId="02FD44B4" w:rsidR="004A3BFC" w:rsidRPr="00880541" w:rsidRDefault="00955F80" w:rsidP="004A3BFC">
            <w:pPr>
              <w:spacing w:after="0"/>
              <w:jc w:val="right"/>
              <w:rPr>
                <w:b/>
                <w:noProof/>
                <w:sz w:val="20"/>
                <w:szCs w:val="20"/>
              </w:rPr>
            </w:pPr>
            <w:r w:rsidRPr="00880541">
              <w:rPr>
                <w:b/>
                <w:noProof/>
                <w:sz w:val="20"/>
                <w:szCs w:val="20"/>
              </w:rPr>
              <w:t>+++</w:t>
            </w:r>
          </w:p>
        </w:tc>
        <w:tc>
          <w:tcPr>
            <w:tcW w:w="631" w:type="pct"/>
            <w:tcBorders>
              <w:top w:val="single" w:sz="4" w:space="0" w:color="auto"/>
              <w:bottom w:val="single" w:sz="4" w:space="0" w:color="auto"/>
            </w:tcBorders>
            <w:shd w:val="clear" w:color="auto" w:fill="F2F2F2" w:themeFill="background1" w:themeFillShade="F2"/>
            <w:vAlign w:val="center"/>
          </w:tcPr>
          <w:p w14:paraId="0A459A63" w14:textId="555E3110" w:rsidR="004A3BFC" w:rsidRPr="00880541" w:rsidRDefault="00955F80" w:rsidP="004A3BFC">
            <w:pPr>
              <w:spacing w:after="0"/>
              <w:jc w:val="right"/>
              <w:rPr>
                <w:b/>
                <w:noProof/>
                <w:sz w:val="20"/>
                <w:szCs w:val="20"/>
              </w:rPr>
            </w:pPr>
            <w:r w:rsidRPr="00880541">
              <w:rPr>
                <w:b/>
                <w:noProof/>
                <w:sz w:val="20"/>
                <w:szCs w:val="20"/>
              </w:rPr>
              <w:t>++</w:t>
            </w:r>
            <w:r w:rsidR="008436EC">
              <w:rPr>
                <w:b/>
                <w:noProof/>
                <w:sz w:val="20"/>
                <w:szCs w:val="20"/>
              </w:rPr>
              <w:t>+</w:t>
            </w:r>
          </w:p>
        </w:tc>
        <w:tc>
          <w:tcPr>
            <w:tcW w:w="631" w:type="pct"/>
            <w:tcBorders>
              <w:top w:val="single" w:sz="4" w:space="0" w:color="auto"/>
              <w:bottom w:val="single" w:sz="4" w:space="0" w:color="auto"/>
            </w:tcBorders>
            <w:shd w:val="clear" w:color="auto" w:fill="F2F2F2" w:themeFill="background1" w:themeFillShade="F2"/>
            <w:vAlign w:val="center"/>
          </w:tcPr>
          <w:p w14:paraId="2B408482" w14:textId="479F55F0" w:rsidR="004A3BFC" w:rsidRPr="00880541" w:rsidRDefault="005176AD" w:rsidP="004A3BFC">
            <w:pPr>
              <w:spacing w:after="0"/>
              <w:jc w:val="right"/>
              <w:rPr>
                <w:b/>
                <w:noProof/>
                <w:sz w:val="20"/>
                <w:szCs w:val="20"/>
              </w:rPr>
            </w:pPr>
            <w:r w:rsidRPr="00880541">
              <w:rPr>
                <w:b/>
                <w:bCs/>
                <w:noProof/>
                <w:color w:val="000000" w:themeColor="text1"/>
                <w:sz w:val="20"/>
                <w:szCs w:val="20"/>
              </w:rPr>
              <w:t>−</w:t>
            </w:r>
          </w:p>
        </w:tc>
        <w:tc>
          <w:tcPr>
            <w:tcW w:w="631" w:type="pct"/>
            <w:tcBorders>
              <w:top w:val="single" w:sz="4" w:space="0" w:color="auto"/>
              <w:bottom w:val="single" w:sz="4" w:space="0" w:color="auto"/>
            </w:tcBorders>
            <w:shd w:val="clear" w:color="auto" w:fill="F2F2F2" w:themeFill="background1" w:themeFillShade="F2"/>
            <w:vAlign w:val="center"/>
          </w:tcPr>
          <w:p w14:paraId="65284012" w14:textId="49414D89" w:rsidR="004A3BFC" w:rsidRPr="00880541" w:rsidRDefault="00246282" w:rsidP="004A3BFC">
            <w:pPr>
              <w:spacing w:after="0"/>
              <w:jc w:val="right"/>
              <w:rPr>
                <w:b/>
                <w:noProof/>
                <w:sz w:val="20"/>
                <w:szCs w:val="20"/>
              </w:rPr>
            </w:pPr>
            <w:r w:rsidRPr="00880541">
              <w:rPr>
                <w:b/>
                <w:bCs/>
                <w:noProof/>
                <w:sz w:val="20"/>
                <w:szCs w:val="20"/>
              </w:rPr>
              <w:t>+++</w:t>
            </w:r>
          </w:p>
        </w:tc>
        <w:tc>
          <w:tcPr>
            <w:tcW w:w="631" w:type="pct"/>
            <w:tcBorders>
              <w:top w:val="single" w:sz="4" w:space="0" w:color="auto"/>
              <w:bottom w:val="single" w:sz="4" w:space="0" w:color="auto"/>
            </w:tcBorders>
            <w:shd w:val="clear" w:color="auto" w:fill="F2F2F2" w:themeFill="background1" w:themeFillShade="F2"/>
            <w:vAlign w:val="center"/>
          </w:tcPr>
          <w:p w14:paraId="542EF25E" w14:textId="071DCCD1" w:rsidR="004A3BFC" w:rsidRPr="00880541" w:rsidRDefault="007F5838" w:rsidP="004A3BFC">
            <w:pPr>
              <w:spacing w:after="0"/>
              <w:jc w:val="right"/>
              <w:rPr>
                <w:b/>
                <w:noProof/>
                <w:sz w:val="20"/>
                <w:szCs w:val="20"/>
              </w:rPr>
            </w:pPr>
            <w:r>
              <w:rPr>
                <w:b/>
                <w:bCs/>
                <w:noProof/>
                <w:sz w:val="20"/>
                <w:szCs w:val="20"/>
              </w:rPr>
              <w:t>+</w:t>
            </w:r>
            <w:r w:rsidR="00246282" w:rsidRPr="00880541">
              <w:rPr>
                <w:b/>
                <w:bCs/>
                <w:noProof/>
                <w:sz w:val="20"/>
                <w:szCs w:val="20"/>
              </w:rPr>
              <w:t>+++</w:t>
            </w:r>
          </w:p>
        </w:tc>
      </w:tr>
    </w:tbl>
    <w:p w14:paraId="4268D41C" w14:textId="164CF857" w:rsidR="0021078B" w:rsidRPr="00880541" w:rsidRDefault="00E03873" w:rsidP="00880541">
      <w:pPr>
        <w:jc w:val="center"/>
        <w:rPr>
          <w:noProof/>
          <w:sz w:val="20"/>
          <w:szCs w:val="20"/>
        </w:rPr>
      </w:pPr>
      <w:r w:rsidRPr="00F65BD0">
        <w:rPr>
          <w:i/>
          <w:noProof/>
          <w:sz w:val="20"/>
          <w:szCs w:val="20"/>
        </w:rPr>
        <w:t xml:space="preserve">Legend: </w:t>
      </w:r>
      <w:r>
        <w:rPr>
          <w:i/>
          <w:iCs/>
          <w:noProof/>
          <w:sz w:val="20"/>
          <w:szCs w:val="20"/>
        </w:rPr>
        <w:t>N</w:t>
      </w:r>
      <w:r w:rsidR="00B105AC">
        <w:rPr>
          <w:i/>
          <w:iCs/>
          <w:noProof/>
          <w:sz w:val="20"/>
          <w:szCs w:val="20"/>
        </w:rPr>
        <w:t>/A not applicable</w:t>
      </w:r>
      <w:r w:rsidRPr="00F65BD0">
        <w:rPr>
          <w:i/>
          <w:noProof/>
          <w:sz w:val="20"/>
          <w:szCs w:val="20"/>
        </w:rPr>
        <w:t xml:space="preserve">; </w:t>
      </w:r>
      <w:r w:rsidRPr="00F65BD0" w:rsidDel="000545B8">
        <w:rPr>
          <w:i/>
          <w:noProof/>
          <w:sz w:val="20"/>
          <w:szCs w:val="20"/>
        </w:rPr>
        <w:t xml:space="preserve">+ </w:t>
      </w:r>
      <w:r w:rsidR="00B105AC" w:rsidDel="000545B8">
        <w:rPr>
          <w:i/>
          <w:noProof/>
          <w:sz w:val="20"/>
          <w:szCs w:val="20"/>
        </w:rPr>
        <w:t xml:space="preserve">small benefit </w:t>
      </w:r>
      <w:r w:rsidR="00130DDA" w:rsidDel="000545B8">
        <w:rPr>
          <w:i/>
          <w:noProof/>
          <w:sz w:val="20"/>
          <w:szCs w:val="20"/>
        </w:rPr>
        <w:t xml:space="preserve">&lt;€100m; </w:t>
      </w:r>
      <w:r w:rsidR="00C83D14">
        <w:rPr>
          <w:i/>
          <w:noProof/>
          <w:sz w:val="20"/>
          <w:szCs w:val="20"/>
        </w:rPr>
        <w:t>++</w:t>
      </w:r>
      <w:r w:rsidR="008D7E86">
        <w:rPr>
          <w:i/>
          <w:noProof/>
          <w:sz w:val="20"/>
          <w:szCs w:val="20"/>
        </w:rPr>
        <w:t xml:space="preserve"> </w:t>
      </w:r>
      <w:r w:rsidR="00130DDA">
        <w:rPr>
          <w:i/>
          <w:noProof/>
          <w:sz w:val="20"/>
          <w:szCs w:val="20"/>
        </w:rPr>
        <w:t>moderate benefit</w:t>
      </w:r>
      <w:r w:rsidR="006961AF">
        <w:rPr>
          <w:i/>
          <w:noProof/>
          <w:sz w:val="20"/>
          <w:szCs w:val="20"/>
        </w:rPr>
        <w:t xml:space="preserve"> €100m-</w:t>
      </w:r>
      <w:r w:rsidR="000545B8">
        <w:rPr>
          <w:i/>
          <w:noProof/>
          <w:sz w:val="20"/>
          <w:szCs w:val="20"/>
        </w:rPr>
        <w:t>5bn</w:t>
      </w:r>
      <w:r w:rsidR="006961AF">
        <w:rPr>
          <w:i/>
          <w:noProof/>
          <w:sz w:val="20"/>
          <w:szCs w:val="20"/>
        </w:rPr>
        <w:t>; ++</w:t>
      </w:r>
      <w:r w:rsidR="00C83D14">
        <w:rPr>
          <w:i/>
          <w:noProof/>
          <w:sz w:val="20"/>
          <w:szCs w:val="20"/>
        </w:rPr>
        <w:t>+</w:t>
      </w:r>
      <w:r w:rsidR="006961AF">
        <w:rPr>
          <w:i/>
          <w:noProof/>
          <w:sz w:val="20"/>
          <w:szCs w:val="20"/>
        </w:rPr>
        <w:t xml:space="preserve"> large bene</w:t>
      </w:r>
      <w:r w:rsidR="00D001A1">
        <w:rPr>
          <w:i/>
          <w:noProof/>
          <w:sz w:val="20"/>
          <w:szCs w:val="20"/>
        </w:rPr>
        <w:t>fit €</w:t>
      </w:r>
      <w:r w:rsidR="000545B8">
        <w:rPr>
          <w:i/>
          <w:noProof/>
          <w:sz w:val="20"/>
          <w:szCs w:val="20"/>
        </w:rPr>
        <w:t>5</w:t>
      </w:r>
      <w:r w:rsidR="00D001A1">
        <w:rPr>
          <w:i/>
          <w:noProof/>
          <w:sz w:val="20"/>
          <w:szCs w:val="20"/>
        </w:rPr>
        <w:t>-</w:t>
      </w:r>
      <w:r w:rsidR="000545B8">
        <w:rPr>
          <w:i/>
          <w:noProof/>
          <w:sz w:val="20"/>
          <w:szCs w:val="20"/>
        </w:rPr>
        <w:t>20bn</w:t>
      </w:r>
      <w:r w:rsidR="00D001A1">
        <w:rPr>
          <w:i/>
          <w:noProof/>
          <w:sz w:val="20"/>
          <w:szCs w:val="20"/>
        </w:rPr>
        <w:t>; +++</w:t>
      </w:r>
      <w:r w:rsidR="00C83D14">
        <w:rPr>
          <w:i/>
          <w:noProof/>
          <w:sz w:val="20"/>
          <w:szCs w:val="20"/>
        </w:rPr>
        <w:t>+</w:t>
      </w:r>
      <w:r w:rsidR="00D001A1">
        <w:rPr>
          <w:i/>
          <w:noProof/>
          <w:sz w:val="20"/>
          <w:szCs w:val="20"/>
        </w:rPr>
        <w:t xml:space="preserve"> very large benefit</w:t>
      </w:r>
      <w:r w:rsidR="00442771">
        <w:rPr>
          <w:i/>
          <w:noProof/>
          <w:sz w:val="20"/>
          <w:szCs w:val="20"/>
        </w:rPr>
        <w:t xml:space="preserve"> &gt;€</w:t>
      </w:r>
      <w:r w:rsidR="000545B8">
        <w:rPr>
          <w:i/>
          <w:noProof/>
          <w:sz w:val="20"/>
          <w:szCs w:val="20"/>
        </w:rPr>
        <w:t>20bn</w:t>
      </w:r>
      <w:r w:rsidR="00442771">
        <w:rPr>
          <w:i/>
          <w:noProof/>
          <w:sz w:val="20"/>
          <w:szCs w:val="20"/>
        </w:rPr>
        <w:t xml:space="preserve">; - small cost &lt;€ 100m; </w:t>
      </w:r>
      <w:r w:rsidR="006C01AD">
        <w:rPr>
          <w:i/>
          <w:noProof/>
          <w:sz w:val="20"/>
          <w:szCs w:val="20"/>
        </w:rPr>
        <w:t>--</w:t>
      </w:r>
      <w:r w:rsidR="00442771">
        <w:rPr>
          <w:i/>
          <w:noProof/>
          <w:sz w:val="20"/>
          <w:szCs w:val="20"/>
        </w:rPr>
        <w:t xml:space="preserve"> moderate cost €100m-</w:t>
      </w:r>
      <w:r w:rsidR="007471C4">
        <w:rPr>
          <w:i/>
          <w:noProof/>
          <w:sz w:val="20"/>
          <w:szCs w:val="20"/>
        </w:rPr>
        <w:t>5bn</w:t>
      </w:r>
      <w:r w:rsidR="0016617A">
        <w:rPr>
          <w:i/>
          <w:noProof/>
          <w:sz w:val="20"/>
          <w:szCs w:val="20"/>
        </w:rPr>
        <w:t xml:space="preserve">; </w:t>
      </w:r>
      <w:r w:rsidR="006C01AD">
        <w:rPr>
          <w:i/>
          <w:noProof/>
          <w:sz w:val="20"/>
          <w:szCs w:val="20"/>
        </w:rPr>
        <w:t>---</w:t>
      </w:r>
      <w:r w:rsidR="0016617A">
        <w:rPr>
          <w:i/>
          <w:noProof/>
          <w:sz w:val="20"/>
          <w:szCs w:val="20"/>
        </w:rPr>
        <w:t xml:space="preserve"> large cost €</w:t>
      </w:r>
      <w:r w:rsidR="007471C4">
        <w:rPr>
          <w:i/>
          <w:noProof/>
          <w:sz w:val="20"/>
          <w:szCs w:val="20"/>
        </w:rPr>
        <w:t>5</w:t>
      </w:r>
      <w:r w:rsidR="0016617A">
        <w:rPr>
          <w:i/>
          <w:noProof/>
          <w:sz w:val="20"/>
          <w:szCs w:val="20"/>
        </w:rPr>
        <w:t>-</w:t>
      </w:r>
      <w:r w:rsidR="007471C4">
        <w:rPr>
          <w:i/>
          <w:noProof/>
          <w:sz w:val="20"/>
          <w:szCs w:val="20"/>
        </w:rPr>
        <w:t>20bn</w:t>
      </w:r>
      <w:r w:rsidR="0016617A">
        <w:rPr>
          <w:i/>
          <w:noProof/>
          <w:sz w:val="20"/>
          <w:szCs w:val="20"/>
        </w:rPr>
        <w:t xml:space="preserve">; </w:t>
      </w:r>
      <w:r w:rsidR="006C01AD">
        <w:rPr>
          <w:i/>
          <w:noProof/>
          <w:sz w:val="20"/>
          <w:szCs w:val="20"/>
        </w:rPr>
        <w:t>----</w:t>
      </w:r>
      <w:r w:rsidR="0016617A">
        <w:rPr>
          <w:i/>
          <w:noProof/>
          <w:sz w:val="20"/>
          <w:szCs w:val="20"/>
        </w:rPr>
        <w:t xml:space="preserve"> very large cost &gt;€</w:t>
      </w:r>
      <w:r w:rsidR="007471C4">
        <w:rPr>
          <w:i/>
          <w:noProof/>
          <w:sz w:val="20"/>
          <w:szCs w:val="20"/>
        </w:rPr>
        <w:t>20bn</w:t>
      </w:r>
    </w:p>
    <w:p w14:paraId="231E77BD" w14:textId="197521DE" w:rsidR="00E61374" w:rsidRPr="00D37004" w:rsidRDefault="008C194F" w:rsidP="00ED5E2F">
      <w:pPr>
        <w:spacing w:before="120"/>
        <w:rPr>
          <w:noProof/>
        </w:rPr>
      </w:pPr>
      <w:r w:rsidRPr="00F01291">
        <w:rPr>
          <w:noProof/>
        </w:rPr>
        <w:t xml:space="preserve">Overall, </w:t>
      </w:r>
      <w:r w:rsidR="00284C72" w:rsidRPr="00F01291">
        <w:rPr>
          <w:noProof/>
        </w:rPr>
        <w:t>all the options</w:t>
      </w:r>
      <w:r w:rsidR="00E61374" w:rsidRPr="00F01291" w:rsidDel="00D043D5">
        <w:rPr>
          <w:noProof/>
        </w:rPr>
        <w:t xml:space="preserve"> </w:t>
      </w:r>
      <w:r w:rsidR="00E61374" w:rsidRPr="00F01291">
        <w:rPr>
          <w:noProof/>
        </w:rPr>
        <w:t>except for PO-2A</w:t>
      </w:r>
      <w:r w:rsidR="00E2251F" w:rsidRPr="00F01291">
        <w:rPr>
          <w:noProof/>
        </w:rPr>
        <w:t xml:space="preserve"> and PO1-A</w:t>
      </w:r>
      <w:r w:rsidR="00E61374" w:rsidRPr="00F01291">
        <w:rPr>
          <w:noProof/>
        </w:rPr>
        <w:t xml:space="preserve"> </w:t>
      </w:r>
      <w:r w:rsidR="00284C72" w:rsidRPr="00F01291">
        <w:rPr>
          <w:noProof/>
        </w:rPr>
        <w:t xml:space="preserve">are expected to generate positive </w:t>
      </w:r>
      <w:r w:rsidR="00E61374" w:rsidRPr="00F01291">
        <w:rPr>
          <w:noProof/>
        </w:rPr>
        <w:t>net</w:t>
      </w:r>
      <w:r w:rsidR="00284C72" w:rsidRPr="00F01291">
        <w:rPr>
          <w:noProof/>
        </w:rPr>
        <w:t xml:space="preserve"> </w:t>
      </w:r>
      <w:r w:rsidR="00E61374" w:rsidRPr="00F01291">
        <w:rPr>
          <w:noProof/>
        </w:rPr>
        <w:t>benefits relative to the baseline.</w:t>
      </w:r>
      <w:r w:rsidR="00B37971" w:rsidRPr="00F01291">
        <w:rPr>
          <w:noProof/>
        </w:rPr>
        <w:t xml:space="preserve"> </w:t>
      </w:r>
      <w:r w:rsidR="001F682F">
        <w:rPr>
          <w:noProof/>
        </w:rPr>
        <w:t>For</w:t>
      </w:r>
      <w:r w:rsidR="00B37971" w:rsidRPr="00F01291">
        <w:rPr>
          <w:noProof/>
        </w:rPr>
        <w:t xml:space="preserve"> these options the expected benefits outweigh the expected costs.</w:t>
      </w:r>
      <w:r w:rsidR="00E61374" w:rsidRPr="00F01291">
        <w:rPr>
          <w:noProof/>
        </w:rPr>
        <w:t xml:space="preserve"> PO2-C</w:t>
      </w:r>
      <w:r w:rsidR="00E61374" w:rsidRPr="00F01291" w:rsidDel="003F6D0A">
        <w:rPr>
          <w:noProof/>
        </w:rPr>
        <w:t xml:space="preserve"> </w:t>
      </w:r>
      <w:r w:rsidR="003F6D0A" w:rsidRPr="00F01291">
        <w:rPr>
          <w:noProof/>
        </w:rPr>
        <w:t xml:space="preserve">is expected to generate </w:t>
      </w:r>
      <w:r w:rsidR="00E61374" w:rsidRPr="00F01291" w:rsidDel="003F6D0A">
        <w:rPr>
          <w:noProof/>
        </w:rPr>
        <w:t>the</w:t>
      </w:r>
      <w:r w:rsidR="00E61374" w:rsidRPr="00F01291">
        <w:rPr>
          <w:noProof/>
        </w:rPr>
        <w:t xml:space="preserve"> highest net benefits</w:t>
      </w:r>
      <w:r w:rsidR="00DF786E" w:rsidRPr="00F01291">
        <w:rPr>
          <w:noProof/>
        </w:rPr>
        <w:t xml:space="preserve"> among all options. Although it also entails higher quantified costs, these remain lower than the expected benefits. </w:t>
      </w:r>
      <w:r w:rsidR="00E61374" w:rsidRPr="008436EC">
        <w:rPr>
          <w:noProof/>
        </w:rPr>
        <w:t>PO1-B</w:t>
      </w:r>
      <w:r w:rsidR="008436EC">
        <w:rPr>
          <w:noProof/>
        </w:rPr>
        <w:t>, PO1-C</w:t>
      </w:r>
      <w:r w:rsidR="00E61374" w:rsidRPr="008436EC" w:rsidDel="007F5838">
        <w:rPr>
          <w:noProof/>
        </w:rPr>
        <w:t xml:space="preserve"> and </w:t>
      </w:r>
      <w:r w:rsidR="00E61374" w:rsidRPr="008436EC">
        <w:rPr>
          <w:noProof/>
        </w:rPr>
        <w:t xml:space="preserve">PO2-B </w:t>
      </w:r>
      <w:r w:rsidR="008E2452" w:rsidRPr="008436EC">
        <w:rPr>
          <w:noProof/>
        </w:rPr>
        <w:t>also</w:t>
      </w:r>
      <w:r w:rsidR="0015477E" w:rsidRPr="008436EC">
        <w:rPr>
          <w:noProof/>
        </w:rPr>
        <w:t xml:space="preserve"> show strong efficiency, with </w:t>
      </w:r>
      <w:r w:rsidR="00050BEA" w:rsidRPr="008436EC">
        <w:rPr>
          <w:noProof/>
        </w:rPr>
        <w:t>large, expected</w:t>
      </w:r>
      <w:r w:rsidR="0015477E" w:rsidRPr="008436EC">
        <w:rPr>
          <w:noProof/>
        </w:rPr>
        <w:t xml:space="preserve"> benefits relative to the </w:t>
      </w:r>
      <w:r w:rsidR="00856BBA" w:rsidRPr="008436EC">
        <w:rPr>
          <w:noProof/>
        </w:rPr>
        <w:t>expected costs</w:t>
      </w:r>
      <w:r w:rsidR="00576A38">
        <w:rPr>
          <w:noProof/>
        </w:rPr>
        <w:t>.</w:t>
      </w:r>
    </w:p>
    <w:p w14:paraId="62E44C39" w14:textId="60AB1D43" w:rsidR="00E61374" w:rsidRPr="009F04ED" w:rsidRDefault="00E61374" w:rsidP="006B5183">
      <w:pPr>
        <w:pStyle w:val="Heading2"/>
        <w:rPr>
          <w:noProof/>
        </w:rPr>
      </w:pPr>
      <w:bookmarkStart w:id="71" w:name="_Toc216129279"/>
      <w:bookmarkStart w:id="72" w:name="_Toc230792746"/>
      <w:r w:rsidRPr="009F04ED">
        <w:rPr>
          <w:noProof/>
        </w:rPr>
        <w:t>Coherence</w:t>
      </w:r>
      <w:bookmarkEnd w:id="71"/>
      <w:bookmarkEnd w:id="72"/>
      <w:r w:rsidRPr="009F04ED">
        <w:rPr>
          <w:noProof/>
        </w:rPr>
        <w:t xml:space="preserve"> </w:t>
      </w:r>
    </w:p>
    <w:p w14:paraId="6B4D1A3E" w14:textId="09AA7F13" w:rsidR="00E61374" w:rsidRPr="00D37004" w:rsidRDefault="00E61374" w:rsidP="00E61374">
      <w:pPr>
        <w:rPr>
          <w:noProof/>
        </w:rPr>
      </w:pPr>
      <w:r w:rsidRPr="00D37004">
        <w:rPr>
          <w:noProof/>
        </w:rPr>
        <w:t xml:space="preserve">In terms of </w:t>
      </w:r>
      <w:r w:rsidRPr="00D37004">
        <w:rPr>
          <w:b/>
          <w:noProof/>
        </w:rPr>
        <w:t>external coherence</w:t>
      </w:r>
      <w:r w:rsidRPr="00D37004">
        <w:rPr>
          <w:noProof/>
        </w:rPr>
        <w:t>, the proposed POs are consistent with existing initiatives. They seek to close remaining gaps with respect to reaching the objectives.</w:t>
      </w:r>
      <w:r>
        <w:rPr>
          <w:noProof/>
        </w:rPr>
        <w:t xml:space="preserve"> See annex 7 for </w:t>
      </w:r>
      <w:r w:rsidR="00742053">
        <w:rPr>
          <w:noProof/>
        </w:rPr>
        <w:t>details</w:t>
      </w:r>
      <w:r>
        <w:rPr>
          <w:noProof/>
        </w:rPr>
        <w:t xml:space="preserve">. </w:t>
      </w:r>
    </w:p>
    <w:p w14:paraId="07F4C02D" w14:textId="6CD9A124" w:rsidR="00E61374" w:rsidRPr="00D37004" w:rsidRDefault="00E61374" w:rsidP="00E61374">
      <w:pPr>
        <w:rPr>
          <w:noProof/>
        </w:rPr>
      </w:pPr>
      <w:r w:rsidRPr="294AF3FA">
        <w:rPr>
          <w:b/>
          <w:bCs/>
          <w:noProof/>
        </w:rPr>
        <w:t>PO1-A/B/C</w:t>
      </w:r>
      <w:r w:rsidRPr="00033837">
        <w:rPr>
          <w:noProof/>
        </w:rPr>
        <w:t xml:space="preserve"> complement and leverage other initiatives: </w:t>
      </w:r>
      <w:r>
        <w:rPr>
          <w:noProof/>
        </w:rPr>
        <w:t>PO1-A expands the existing Alliance on Industrial Data, Edge and Cloud. PO1-B/C builds on t</w:t>
      </w:r>
      <w:r w:rsidRPr="00033837">
        <w:rPr>
          <w:noProof/>
        </w:rPr>
        <w:t>he future Regulation on accelerating and streamlining environmental assessments</w:t>
      </w:r>
      <w:r>
        <w:rPr>
          <w:noProof/>
        </w:rPr>
        <w:t>, which</w:t>
      </w:r>
      <w:r w:rsidRPr="00033837">
        <w:rPr>
          <w:noProof/>
        </w:rPr>
        <w:t xml:space="preserve"> will simplify and speed up environmental screenings and assessments. </w:t>
      </w:r>
      <w:r>
        <w:rPr>
          <w:noProof/>
        </w:rPr>
        <w:t>It</w:t>
      </w:r>
      <w:r w:rsidRPr="00033837">
        <w:rPr>
          <w:noProof/>
        </w:rPr>
        <w:t xml:space="preserve"> allows for sectoral legislation to reference a toolbox </w:t>
      </w:r>
      <w:r>
        <w:rPr>
          <w:noProof/>
        </w:rPr>
        <w:t xml:space="preserve">with </w:t>
      </w:r>
      <w:r w:rsidRPr="00033837">
        <w:rPr>
          <w:noProof/>
        </w:rPr>
        <w:t xml:space="preserve">additional favourable provisions </w:t>
      </w:r>
      <w:r>
        <w:rPr>
          <w:noProof/>
        </w:rPr>
        <w:t xml:space="preserve">for </w:t>
      </w:r>
      <w:r w:rsidRPr="00033837">
        <w:rPr>
          <w:noProof/>
        </w:rPr>
        <w:t xml:space="preserve">strategic </w:t>
      </w:r>
      <w:r>
        <w:rPr>
          <w:noProof/>
        </w:rPr>
        <w:t>sectors or categories, which</w:t>
      </w:r>
      <w:r w:rsidRPr="00033837">
        <w:rPr>
          <w:noProof/>
        </w:rPr>
        <w:t xml:space="preserve"> </w:t>
      </w:r>
      <w:r>
        <w:rPr>
          <w:noProof/>
        </w:rPr>
        <w:t xml:space="preserve">CADA will do for </w:t>
      </w:r>
      <w:r w:rsidR="00B02E52">
        <w:rPr>
          <w:noProof/>
        </w:rPr>
        <w:t>DC</w:t>
      </w:r>
      <w:r>
        <w:rPr>
          <w:noProof/>
        </w:rPr>
        <w:t xml:space="preserve"> projects built in </w:t>
      </w:r>
      <w:r w:rsidRPr="00033837">
        <w:rPr>
          <w:noProof/>
        </w:rPr>
        <w:t xml:space="preserve">acceleration </w:t>
      </w:r>
      <w:r>
        <w:rPr>
          <w:noProof/>
        </w:rPr>
        <w:t>areas</w:t>
      </w:r>
      <w:r w:rsidRPr="00033837">
        <w:rPr>
          <w:rStyle w:val="FootnoteReference"/>
          <w:noProof/>
        </w:rPr>
        <w:footnoteReference w:id="130"/>
      </w:r>
      <w:r>
        <w:rPr>
          <w:noProof/>
        </w:rPr>
        <w:t>.</w:t>
      </w:r>
      <w:r w:rsidRPr="00033837">
        <w:rPr>
          <w:noProof/>
        </w:rPr>
        <w:t xml:space="preserve"> These additional </w:t>
      </w:r>
      <w:r w:rsidR="00B02E52">
        <w:rPr>
          <w:noProof/>
        </w:rPr>
        <w:t>DC</w:t>
      </w:r>
      <w:r w:rsidRPr="00033837">
        <w:rPr>
          <w:noProof/>
        </w:rPr>
        <w:t xml:space="preserve">-specific support measures are necessary to rapidly close the capacity gap and can only be delivered in a dedicated instrument. Similarly, </w:t>
      </w:r>
      <w:r>
        <w:rPr>
          <w:noProof/>
        </w:rPr>
        <w:t>PO1-B/C</w:t>
      </w:r>
      <w:r w:rsidRPr="00033837">
        <w:rPr>
          <w:noProof/>
        </w:rPr>
        <w:t xml:space="preserve"> </w:t>
      </w:r>
      <w:r>
        <w:rPr>
          <w:noProof/>
        </w:rPr>
        <w:t>uses</w:t>
      </w:r>
      <w:r w:rsidRPr="00033837">
        <w:rPr>
          <w:noProof/>
        </w:rPr>
        <w:t xml:space="preserve"> the rating scheme for </w:t>
      </w:r>
      <w:r w:rsidR="00B02E52">
        <w:rPr>
          <w:noProof/>
        </w:rPr>
        <w:t>DC</w:t>
      </w:r>
      <w:r w:rsidRPr="00033837">
        <w:rPr>
          <w:noProof/>
        </w:rPr>
        <w:t xml:space="preserve"> sustainability under the </w:t>
      </w:r>
      <w:r w:rsidR="00B02E52">
        <w:rPr>
          <w:noProof/>
        </w:rPr>
        <w:t>EED</w:t>
      </w:r>
      <w:r w:rsidRPr="00033837">
        <w:rPr>
          <w:noProof/>
        </w:rPr>
        <w:t xml:space="preserve"> to identify which </w:t>
      </w:r>
      <w:r w:rsidR="00B02E52">
        <w:rPr>
          <w:noProof/>
        </w:rPr>
        <w:t>DCs</w:t>
      </w:r>
      <w:r w:rsidRPr="00033837">
        <w:rPr>
          <w:noProof/>
        </w:rPr>
        <w:t xml:space="preserve"> are sustainable and </w:t>
      </w:r>
      <w:r>
        <w:rPr>
          <w:noProof/>
        </w:rPr>
        <w:t>can benefit from acceleration measures.</w:t>
      </w:r>
      <w:r w:rsidRPr="00033837">
        <w:rPr>
          <w:noProof/>
        </w:rPr>
        <w:t xml:space="preserve"> </w:t>
      </w:r>
      <w:r>
        <w:rPr>
          <w:noProof/>
        </w:rPr>
        <w:t xml:space="preserve">In the same vein, </w:t>
      </w:r>
      <w:r w:rsidRPr="00E3411E">
        <w:rPr>
          <w:noProof/>
        </w:rPr>
        <w:t>PO</w:t>
      </w:r>
      <w:r>
        <w:rPr>
          <w:noProof/>
        </w:rPr>
        <w:t>1-B/C</w:t>
      </w:r>
      <w:r w:rsidRPr="00E3411E">
        <w:rPr>
          <w:noProof/>
        </w:rPr>
        <w:t xml:space="preserve"> complement</w:t>
      </w:r>
      <w:r>
        <w:rPr>
          <w:noProof/>
        </w:rPr>
        <w:t>s</w:t>
      </w:r>
      <w:r w:rsidRPr="00E3411E">
        <w:rPr>
          <w:noProof/>
        </w:rPr>
        <w:t xml:space="preserve"> the Grids package by ensuring </w:t>
      </w:r>
      <w:r w:rsidR="00B02E52">
        <w:rPr>
          <w:noProof/>
        </w:rPr>
        <w:t>DC</w:t>
      </w:r>
      <w:r w:rsidRPr="00E3411E">
        <w:rPr>
          <w:noProof/>
        </w:rPr>
        <w:t xml:space="preserve"> location considers grid availability, information is exchanged sufficiently in advance to feed into grid planning and</w:t>
      </w:r>
      <w:r w:rsidRPr="00EA0014">
        <w:rPr>
          <w:noProof/>
        </w:rPr>
        <w:t xml:space="preserve"> </w:t>
      </w:r>
      <w:r w:rsidRPr="00C17F8D">
        <w:rPr>
          <w:noProof/>
        </w:rPr>
        <w:t>hence</w:t>
      </w:r>
      <w:r w:rsidRPr="00E3411E">
        <w:rPr>
          <w:noProof/>
        </w:rPr>
        <w:t xml:space="preserve"> ensure timely connection of </w:t>
      </w:r>
      <w:r w:rsidR="00B02E52">
        <w:rPr>
          <w:noProof/>
        </w:rPr>
        <w:t>DC</w:t>
      </w:r>
      <w:r w:rsidRPr="00E3411E">
        <w:rPr>
          <w:noProof/>
        </w:rPr>
        <w:t>s.</w:t>
      </w:r>
      <w:r>
        <w:rPr>
          <w:noProof/>
        </w:rPr>
        <w:t xml:space="preserve"> </w:t>
      </w:r>
      <w:r w:rsidRPr="00033837">
        <w:rPr>
          <w:noProof/>
        </w:rPr>
        <w:t xml:space="preserve">Finally, </w:t>
      </w:r>
      <w:r>
        <w:rPr>
          <w:noProof/>
        </w:rPr>
        <w:t>none of the PO1</w:t>
      </w:r>
      <w:r w:rsidR="00B02E52">
        <w:rPr>
          <w:noProof/>
        </w:rPr>
        <w:t>s</w:t>
      </w:r>
      <w:r w:rsidRPr="00033837">
        <w:rPr>
          <w:noProof/>
        </w:rPr>
        <w:t xml:space="preserve"> will overlap with the Industrial Accelerator Act which focusses on </w:t>
      </w:r>
      <w:r>
        <w:rPr>
          <w:noProof/>
        </w:rPr>
        <w:t>the industrial</w:t>
      </w:r>
      <w:r w:rsidRPr="00033837">
        <w:rPr>
          <w:noProof/>
        </w:rPr>
        <w:t xml:space="preserve"> manufacturing sector </w:t>
      </w:r>
      <w:r>
        <w:rPr>
          <w:noProof/>
        </w:rPr>
        <w:t xml:space="preserve">to which </w:t>
      </w:r>
      <w:r w:rsidR="00B02E52">
        <w:rPr>
          <w:noProof/>
        </w:rPr>
        <w:t>DCs</w:t>
      </w:r>
      <w:r>
        <w:rPr>
          <w:noProof/>
        </w:rPr>
        <w:t xml:space="preserve"> do not belong</w:t>
      </w:r>
      <w:r w:rsidRPr="00033837">
        <w:rPr>
          <w:noProof/>
        </w:rPr>
        <w:t>.</w:t>
      </w:r>
    </w:p>
    <w:p w14:paraId="66525EA5" w14:textId="4595C54B" w:rsidR="00D449F6" w:rsidRDefault="4467ED47" w:rsidP="0071147E">
      <w:pPr>
        <w:pStyle w:val="ListBullet"/>
        <w:numPr>
          <w:ilvl w:val="0"/>
          <w:numId w:val="0"/>
        </w:numPr>
        <w:rPr>
          <w:noProof/>
        </w:rPr>
      </w:pPr>
      <w:r w:rsidRPr="10903CC5">
        <w:rPr>
          <w:b/>
          <w:bCs/>
          <w:noProof/>
        </w:rPr>
        <w:t>PO2-B/C</w:t>
      </w:r>
      <w:r>
        <w:rPr>
          <w:noProof/>
        </w:rPr>
        <w:t xml:space="preserve"> will complement the Public Procurement Directives</w:t>
      </w:r>
      <w:r w:rsidR="4FD72E7A">
        <w:rPr>
          <w:noProof/>
        </w:rPr>
        <w:t xml:space="preserve"> </w:t>
      </w:r>
      <w:r w:rsidR="08726EA2" w:rsidRPr="418F819C">
        <w:rPr>
          <w:rFonts w:eastAsia="Calibri"/>
          <w:noProof/>
        </w:rPr>
        <w:t>2014/23, 2014/24 and 2014/25</w:t>
      </w:r>
      <w:r w:rsidRPr="418F819C">
        <w:rPr>
          <w:rFonts w:eastAsia="Calibri"/>
          <w:noProof/>
        </w:rPr>
        <w:t xml:space="preserve"> </w:t>
      </w:r>
      <w:r>
        <w:rPr>
          <w:noProof/>
        </w:rPr>
        <w:t>by</w:t>
      </w:r>
      <w:r w:rsidR="00461D66">
        <w:rPr>
          <w:noProof/>
        </w:rPr>
        <w:t xml:space="preserve"> </w:t>
      </w:r>
      <w:r>
        <w:rPr>
          <w:noProof/>
        </w:rPr>
        <w:t>ensuring that the public procurement of</w:t>
      </w:r>
      <w:r w:rsidRPr="10903CC5">
        <w:rPr>
          <w:noProof/>
          <w:color w:val="000000" w:themeColor="text1"/>
        </w:rPr>
        <w:t xml:space="preserve"> cloud and AI computing services </w:t>
      </w:r>
      <w:r w:rsidR="28EB2C0E">
        <w:rPr>
          <w:noProof/>
        </w:rPr>
        <w:t xml:space="preserve">is </w:t>
      </w:r>
      <w:r>
        <w:rPr>
          <w:noProof/>
        </w:rPr>
        <w:t xml:space="preserve">covered by a specific sectoral approach </w:t>
      </w:r>
      <w:r w:rsidR="2C0056D4">
        <w:rPr>
          <w:noProof/>
        </w:rPr>
        <w:t xml:space="preserve">which </w:t>
      </w:r>
      <w:r>
        <w:rPr>
          <w:noProof/>
        </w:rPr>
        <w:t>caters for its specificities</w:t>
      </w:r>
      <w:r w:rsidR="2C0056D4">
        <w:rPr>
          <w:noProof/>
        </w:rPr>
        <w:t xml:space="preserve">: </w:t>
      </w:r>
      <w:r w:rsidR="37A77425">
        <w:rPr>
          <w:noProof/>
        </w:rPr>
        <w:t xml:space="preserve">For example, </w:t>
      </w:r>
      <w:r w:rsidR="366D3230">
        <w:rPr>
          <w:noProof/>
        </w:rPr>
        <w:t xml:space="preserve">for reasons of strategic autonomy, it is of utmost importance to ensure that highly critical public sector use cases of cloud and AI computing services </w:t>
      </w:r>
      <w:r w:rsidR="45F97266">
        <w:rPr>
          <w:noProof/>
        </w:rPr>
        <w:t>rely on services which are shielded from third-country data access and possible interference with service continuity</w:t>
      </w:r>
      <w:r w:rsidR="03746997">
        <w:rPr>
          <w:noProof/>
        </w:rPr>
        <w:t xml:space="preserve"> (PO2-B/C)</w:t>
      </w:r>
      <w:r w:rsidR="45F97266">
        <w:rPr>
          <w:noProof/>
        </w:rPr>
        <w:t xml:space="preserve">. </w:t>
      </w:r>
      <w:r w:rsidR="750CE91E">
        <w:rPr>
          <w:noProof/>
        </w:rPr>
        <w:t xml:space="preserve">This is different from a blanket ‘Buy European’ approach, </w:t>
      </w:r>
      <w:r w:rsidR="22C4BA61">
        <w:rPr>
          <w:noProof/>
        </w:rPr>
        <w:t xml:space="preserve">which may </w:t>
      </w:r>
      <w:r w:rsidR="1383317E">
        <w:rPr>
          <w:noProof/>
        </w:rPr>
        <w:t xml:space="preserve">be considered </w:t>
      </w:r>
      <w:r w:rsidR="22C4BA61">
        <w:rPr>
          <w:noProof/>
        </w:rPr>
        <w:t xml:space="preserve">as part of the </w:t>
      </w:r>
      <w:r w:rsidR="62CC8439">
        <w:rPr>
          <w:noProof/>
        </w:rPr>
        <w:t xml:space="preserve">ongoing revision of the </w:t>
      </w:r>
      <w:r w:rsidR="22C4BA61">
        <w:rPr>
          <w:noProof/>
        </w:rPr>
        <w:t xml:space="preserve">Public Procurement Directives. </w:t>
      </w:r>
      <w:r w:rsidR="1383317E">
        <w:rPr>
          <w:noProof/>
        </w:rPr>
        <w:t>D</w:t>
      </w:r>
      <w:r w:rsidR="19D31EFE">
        <w:rPr>
          <w:noProof/>
        </w:rPr>
        <w:t xml:space="preserve">ue to </w:t>
      </w:r>
      <w:r w:rsidR="7666B60B">
        <w:rPr>
          <w:noProof/>
        </w:rPr>
        <w:t xml:space="preserve">today’s </w:t>
      </w:r>
      <w:r w:rsidR="301FA5ED">
        <w:rPr>
          <w:noProof/>
        </w:rPr>
        <w:t xml:space="preserve">strong reliance on non-European CSPs, </w:t>
      </w:r>
      <w:r w:rsidR="1708231A">
        <w:rPr>
          <w:noProof/>
        </w:rPr>
        <w:t xml:space="preserve">a </w:t>
      </w:r>
      <w:r w:rsidR="4EB021C4">
        <w:rPr>
          <w:noProof/>
        </w:rPr>
        <w:t xml:space="preserve">blanket ‘Buy European’ approach </w:t>
      </w:r>
      <w:r w:rsidR="5CD3C4E7">
        <w:rPr>
          <w:noProof/>
        </w:rPr>
        <w:t xml:space="preserve">would not be suitable for </w:t>
      </w:r>
      <w:r w:rsidR="37A77425">
        <w:rPr>
          <w:noProof/>
        </w:rPr>
        <w:t>public procurement. Instead</w:t>
      </w:r>
      <w:r w:rsidR="37A77425" w:rsidRPr="00A577B2">
        <w:rPr>
          <w:noProof/>
        </w:rPr>
        <w:t>,</w:t>
      </w:r>
      <w:r w:rsidR="4AD310F2" w:rsidRPr="75410AB5">
        <w:rPr>
          <w:noProof/>
        </w:rPr>
        <w:t xml:space="preserve"> </w:t>
      </w:r>
      <w:r w:rsidR="211D8789" w:rsidRPr="0071147E">
        <w:rPr>
          <w:noProof/>
        </w:rPr>
        <w:t>for reasons of public order protection</w:t>
      </w:r>
      <w:r w:rsidR="37A77425" w:rsidRPr="008A485E">
        <w:rPr>
          <w:noProof/>
        </w:rPr>
        <w:t xml:space="preserve">, </w:t>
      </w:r>
      <w:r w:rsidR="014D130C">
        <w:rPr>
          <w:noProof/>
        </w:rPr>
        <w:t xml:space="preserve">PO2-B/C put forward ways of </w:t>
      </w:r>
      <w:r w:rsidR="6C1EF3AF">
        <w:rPr>
          <w:noProof/>
        </w:rPr>
        <w:t xml:space="preserve">mitigating </w:t>
      </w:r>
      <w:r w:rsidR="4F986422">
        <w:rPr>
          <w:noProof/>
        </w:rPr>
        <w:t>incrementally</w:t>
      </w:r>
      <w:r w:rsidR="014D130C">
        <w:rPr>
          <w:noProof/>
        </w:rPr>
        <w:t xml:space="preserve"> </w:t>
      </w:r>
      <w:r w:rsidR="0A87D096">
        <w:rPr>
          <w:noProof/>
        </w:rPr>
        <w:t>existing</w:t>
      </w:r>
      <w:r w:rsidR="04615F65">
        <w:rPr>
          <w:noProof/>
        </w:rPr>
        <w:t xml:space="preserve"> dependencies</w:t>
      </w:r>
      <w:r w:rsidR="56ACE531">
        <w:rPr>
          <w:noProof/>
        </w:rPr>
        <w:t xml:space="preserve"> through award criteria rewarding, for example, the integration hard- or </w:t>
      </w:r>
      <w:r w:rsidDel="56ACE531">
        <w:rPr>
          <w:noProof/>
        </w:rPr>
        <w:t>software</w:t>
      </w:r>
      <w:r w:rsidR="17C7AA95">
        <w:rPr>
          <w:noProof/>
        </w:rPr>
        <w:t xml:space="preserve"> from outside the countries of dependencies</w:t>
      </w:r>
      <w:r w:rsidR="00515A11">
        <w:rPr>
          <w:noProof/>
        </w:rPr>
        <w:t>.</w:t>
      </w:r>
      <w:r w:rsidR="56ACE531">
        <w:rPr>
          <w:noProof/>
        </w:rPr>
        <w:t xml:space="preserve"> </w:t>
      </w:r>
      <w:r w:rsidR="22888379">
        <w:rPr>
          <w:noProof/>
        </w:rPr>
        <w:t xml:space="preserve">On the side of contracting authorities, this approach implies that they will have to comply with the horizontal requirements laid down in the Public Procurement Directives </w:t>
      </w:r>
      <w:r w:rsidR="7B17DA0E">
        <w:rPr>
          <w:noProof/>
        </w:rPr>
        <w:t xml:space="preserve">as well as the </w:t>
      </w:r>
      <w:r w:rsidR="7D5173D6" w:rsidRPr="10903CC5">
        <w:rPr>
          <w:i/>
          <w:iCs/>
          <w:noProof/>
        </w:rPr>
        <w:t>lex specialis</w:t>
      </w:r>
      <w:r w:rsidR="7D5173D6">
        <w:rPr>
          <w:noProof/>
        </w:rPr>
        <w:t xml:space="preserve"> of CADA</w:t>
      </w:r>
      <w:r w:rsidR="64615D76">
        <w:rPr>
          <w:noProof/>
        </w:rPr>
        <w:t>, especially under PO2-C</w:t>
      </w:r>
      <w:r w:rsidR="7D5173D6">
        <w:rPr>
          <w:noProof/>
        </w:rPr>
        <w:t>.</w:t>
      </w:r>
      <w:r w:rsidR="64615D76">
        <w:rPr>
          <w:noProof/>
        </w:rPr>
        <w:t xml:space="preserve"> </w:t>
      </w:r>
      <w:r w:rsidR="001B6A52">
        <w:rPr>
          <w:noProof/>
        </w:rPr>
        <w:t>In view of the ongo</w:t>
      </w:r>
      <w:r w:rsidR="00627294">
        <w:rPr>
          <w:noProof/>
        </w:rPr>
        <w:t>ing review of the Public Procurement Directives</w:t>
      </w:r>
      <w:r w:rsidR="00951304">
        <w:rPr>
          <w:noProof/>
        </w:rPr>
        <w:t xml:space="preserve">, </w:t>
      </w:r>
      <w:r w:rsidR="00EE3436">
        <w:rPr>
          <w:noProof/>
        </w:rPr>
        <w:t>t</w:t>
      </w:r>
      <w:r w:rsidR="00D23137">
        <w:rPr>
          <w:noProof/>
        </w:rPr>
        <w:t>he preparatory work on the impact assessment supporting the formulation of a Public Procurement Act</w:t>
      </w:r>
      <w:r w:rsidR="007A4DEC">
        <w:rPr>
          <w:noProof/>
        </w:rPr>
        <w:t xml:space="preserve"> includes </w:t>
      </w:r>
      <w:r w:rsidR="007A4DEC" w:rsidRPr="007A4DEC">
        <w:rPr>
          <w:noProof/>
        </w:rPr>
        <w:t>a framework regulating the use of ‘EU preference’ provisions in sectorial legislations</w:t>
      </w:r>
      <w:r w:rsidR="007A4DEC">
        <w:rPr>
          <w:noProof/>
        </w:rPr>
        <w:t xml:space="preserve">. </w:t>
      </w:r>
      <w:r w:rsidR="00ED7EBF">
        <w:rPr>
          <w:noProof/>
        </w:rPr>
        <w:t>Th</w:t>
      </w:r>
      <w:r w:rsidR="00C502D7">
        <w:rPr>
          <w:noProof/>
        </w:rPr>
        <w:t>e</w:t>
      </w:r>
      <w:r w:rsidR="00E36639">
        <w:rPr>
          <w:noProof/>
        </w:rPr>
        <w:t xml:space="preserve"> measures foreseen in the impact assessment supporting the Public Procurement Act </w:t>
      </w:r>
      <w:r w:rsidR="00E36639" w:rsidRPr="00E36639">
        <w:rPr>
          <w:noProof/>
        </w:rPr>
        <w:t>would underpin the approach taken in CADA both in terms of tools (award criteria) and justification (demonstrable relation to public order and proportionate approach to risk mitigation).</w:t>
      </w:r>
      <w:r w:rsidR="00E36639">
        <w:rPr>
          <w:noProof/>
        </w:rPr>
        <w:t xml:space="preserve"> </w:t>
      </w:r>
      <w:r w:rsidR="73296B48">
        <w:rPr>
          <w:noProof/>
        </w:rPr>
        <w:t xml:space="preserve">To </w:t>
      </w:r>
      <w:r w:rsidR="004F2BC9">
        <w:rPr>
          <w:noProof/>
        </w:rPr>
        <w:t>prepare the grounds</w:t>
      </w:r>
      <w:r w:rsidR="007D6D04">
        <w:rPr>
          <w:noProof/>
        </w:rPr>
        <w:t xml:space="preserve"> for </w:t>
      </w:r>
      <w:r w:rsidR="00011CD4">
        <w:rPr>
          <w:noProof/>
        </w:rPr>
        <w:t>a faster</w:t>
      </w:r>
      <w:r w:rsidR="4F1624BD">
        <w:rPr>
          <w:noProof/>
        </w:rPr>
        <w:t xml:space="preserve"> </w:t>
      </w:r>
      <w:r w:rsidR="004758CE">
        <w:rPr>
          <w:noProof/>
        </w:rPr>
        <w:t xml:space="preserve">uptake of cloud services by the public sector, </w:t>
      </w:r>
      <w:r w:rsidR="4F1624BD">
        <w:rPr>
          <w:noProof/>
        </w:rPr>
        <w:t>CADA will be accompanied by</w:t>
      </w:r>
      <w:r w:rsidR="0DDDA324">
        <w:rPr>
          <w:noProof/>
        </w:rPr>
        <w:t xml:space="preserve"> a Recommendation on a single EU-wide cloud and AI policy for public administrations and public procurement</w:t>
      </w:r>
      <w:r w:rsidR="0DDDA324" w:rsidRPr="10903CC5">
        <w:rPr>
          <w:b/>
          <w:bCs/>
          <w:noProof/>
        </w:rPr>
        <w:t xml:space="preserve"> </w:t>
      </w:r>
      <w:r w:rsidR="0DDDA324">
        <w:rPr>
          <w:noProof/>
        </w:rPr>
        <w:t>translating the Regulation’s approach to public procurement into ready-made tender specifications.</w:t>
      </w:r>
      <w:r w:rsidR="4F1624BD">
        <w:rPr>
          <w:noProof/>
        </w:rPr>
        <w:t xml:space="preserve"> </w:t>
      </w:r>
      <w:r w:rsidR="73296B48">
        <w:rPr>
          <w:noProof/>
        </w:rPr>
        <w:t xml:space="preserve"> </w:t>
      </w:r>
      <w:r w:rsidR="7D5173D6">
        <w:rPr>
          <w:noProof/>
        </w:rPr>
        <w:t xml:space="preserve"> </w:t>
      </w:r>
    </w:p>
    <w:p w14:paraId="04A898D7" w14:textId="260C9B46" w:rsidR="003F6D0D" w:rsidRDefault="00E61374" w:rsidP="00E61374">
      <w:pPr>
        <w:rPr>
          <w:noProof/>
        </w:rPr>
      </w:pPr>
      <w:r w:rsidRPr="00D37004">
        <w:rPr>
          <w:noProof/>
        </w:rPr>
        <w:t>While the Data Act opens the path to a possible reduction of dependencies on non-EU providers by enabling switching, it does not directly incentivise the development of more sovereign</w:t>
      </w:r>
      <w:r w:rsidRPr="00D37004">
        <w:rPr>
          <w:noProof/>
          <w:color w:val="000000" w:themeColor="text1"/>
        </w:rPr>
        <w:t xml:space="preserve"> cloud and AI </w:t>
      </w:r>
      <w:r>
        <w:rPr>
          <w:noProof/>
          <w:color w:val="000000" w:themeColor="text1"/>
        </w:rPr>
        <w:t xml:space="preserve">computing </w:t>
      </w:r>
      <w:r w:rsidRPr="00D37004">
        <w:rPr>
          <w:noProof/>
          <w:color w:val="000000" w:themeColor="text1"/>
        </w:rPr>
        <w:t>services</w:t>
      </w:r>
      <w:r>
        <w:rPr>
          <w:noProof/>
          <w:color w:val="000000" w:themeColor="text1"/>
        </w:rPr>
        <w:t xml:space="preserve">, something that </w:t>
      </w:r>
      <w:r>
        <w:rPr>
          <w:noProof/>
        </w:rPr>
        <w:t xml:space="preserve">PO2-A/B/C will do with different intensities. </w:t>
      </w:r>
      <w:r w:rsidR="0089747A">
        <w:rPr>
          <w:noProof/>
        </w:rPr>
        <w:t xml:space="preserve">These options indirectly build on the Data Act’s </w:t>
      </w:r>
      <w:r w:rsidR="00263AAD">
        <w:rPr>
          <w:noProof/>
        </w:rPr>
        <w:t>right to switch</w:t>
      </w:r>
      <w:r w:rsidR="00BA2525">
        <w:rPr>
          <w:noProof/>
        </w:rPr>
        <w:t xml:space="preserve"> and multi-cloud</w:t>
      </w:r>
      <w:r w:rsidR="00263AAD">
        <w:rPr>
          <w:noProof/>
        </w:rPr>
        <w:t xml:space="preserve">, which all cloud service providers must enable and which all cloud users, including public administrations, can make use of, for example to switch to </w:t>
      </w:r>
      <w:r w:rsidR="00BA2525">
        <w:rPr>
          <w:noProof/>
        </w:rPr>
        <w:t>a sovereign service</w:t>
      </w:r>
      <w:r w:rsidR="00263AAD">
        <w:rPr>
          <w:noProof/>
        </w:rPr>
        <w:t>.</w:t>
      </w:r>
      <w:r w:rsidR="00FF1BE8">
        <w:rPr>
          <w:noProof/>
        </w:rPr>
        <w:t xml:space="preserve"> </w:t>
      </w:r>
      <w:r w:rsidR="00667805">
        <w:rPr>
          <w:noProof/>
        </w:rPr>
        <w:t>In laying down and using a</w:t>
      </w:r>
      <w:r w:rsidR="009B17D9">
        <w:rPr>
          <w:noProof/>
        </w:rPr>
        <w:t xml:space="preserve"> </w:t>
      </w:r>
      <w:r w:rsidR="00EF1028">
        <w:rPr>
          <w:noProof/>
        </w:rPr>
        <w:t>harmonized criteria for</w:t>
      </w:r>
      <w:r w:rsidR="00667805">
        <w:rPr>
          <w:noProof/>
        </w:rPr>
        <w:t xml:space="preserve"> sovereign cloud and AI computing services,</w:t>
      </w:r>
      <w:r w:rsidR="00FF1BE8">
        <w:rPr>
          <w:noProof/>
        </w:rPr>
        <w:t xml:space="preserve"> PO</w:t>
      </w:r>
      <w:r w:rsidR="00667805">
        <w:rPr>
          <w:noProof/>
        </w:rPr>
        <w:t xml:space="preserve">2-A/B/C build on an existing obligation of cloud service providers under the Data Act: To take technical, organisational and legal measures to prevent international and third-country governmental access and transfer of non-personal data </w:t>
      </w:r>
      <w:r w:rsidR="00657368">
        <w:rPr>
          <w:noProof/>
        </w:rPr>
        <w:t>held in the Union, outside of recognised international law enforcement cooperation, where this would conflict with Union or national law.</w:t>
      </w:r>
      <w:r w:rsidR="00667805">
        <w:rPr>
          <w:noProof/>
        </w:rPr>
        <w:t xml:space="preserve"> </w:t>
      </w:r>
      <w:r w:rsidR="00EA00C0">
        <w:rPr>
          <w:noProof/>
        </w:rPr>
        <w:t xml:space="preserve">The </w:t>
      </w:r>
      <w:r w:rsidR="009B17D9">
        <w:rPr>
          <w:noProof/>
        </w:rPr>
        <w:t>harmonized criteria for</w:t>
      </w:r>
      <w:r w:rsidR="00EA00C0">
        <w:rPr>
          <w:noProof/>
        </w:rPr>
        <w:t xml:space="preserve"> a sovereign service employed across PO2-A, B and C </w:t>
      </w:r>
      <w:r w:rsidR="009A14C8">
        <w:rPr>
          <w:noProof/>
        </w:rPr>
        <w:t xml:space="preserve">goes further </w:t>
      </w:r>
      <w:r w:rsidR="00517292">
        <w:rPr>
          <w:noProof/>
        </w:rPr>
        <w:t>by also capturing immunity to third-country policies affecting service continuity</w:t>
      </w:r>
      <w:r w:rsidR="006420AC">
        <w:rPr>
          <w:noProof/>
        </w:rPr>
        <w:t xml:space="preserve">. This </w:t>
      </w:r>
      <w:r w:rsidR="00671247">
        <w:rPr>
          <w:noProof/>
        </w:rPr>
        <w:t xml:space="preserve">initiative thus </w:t>
      </w:r>
      <w:r w:rsidR="006420AC">
        <w:rPr>
          <w:noProof/>
        </w:rPr>
        <w:t xml:space="preserve">does not </w:t>
      </w:r>
      <w:r w:rsidR="00671247">
        <w:rPr>
          <w:noProof/>
        </w:rPr>
        <w:t>create</w:t>
      </w:r>
      <w:r w:rsidR="006420AC">
        <w:rPr>
          <w:noProof/>
        </w:rPr>
        <w:t xml:space="preserve"> a new compliance burden for providers</w:t>
      </w:r>
      <w:r w:rsidR="00671247">
        <w:rPr>
          <w:noProof/>
        </w:rPr>
        <w:t xml:space="preserve"> but rather enables those providers wishing </w:t>
      </w:r>
      <w:r w:rsidR="00332968">
        <w:rPr>
          <w:noProof/>
        </w:rPr>
        <w:t>for their services to reach</w:t>
      </w:r>
      <w:r w:rsidR="00671247">
        <w:rPr>
          <w:noProof/>
        </w:rPr>
        <w:t xml:space="preserve"> a sovereign</w:t>
      </w:r>
      <w:r w:rsidR="00332968">
        <w:rPr>
          <w:noProof/>
        </w:rPr>
        <w:t>ty</w:t>
      </w:r>
      <w:r w:rsidR="00671247">
        <w:rPr>
          <w:noProof/>
        </w:rPr>
        <w:t xml:space="preserve"> </w:t>
      </w:r>
      <w:r w:rsidR="00332968">
        <w:rPr>
          <w:noProof/>
        </w:rPr>
        <w:t xml:space="preserve">label </w:t>
      </w:r>
      <w:r w:rsidR="002B5060">
        <w:rPr>
          <w:noProof/>
        </w:rPr>
        <w:t>to build on existing compliance work under the Data Act</w:t>
      </w:r>
      <w:r w:rsidR="00517292">
        <w:rPr>
          <w:noProof/>
        </w:rPr>
        <w:t xml:space="preserve">. </w:t>
      </w:r>
      <w:r w:rsidR="00263AAD">
        <w:rPr>
          <w:noProof/>
          <w:lang w:val="en-US"/>
        </w:rPr>
        <w:t>The</w:t>
      </w:r>
      <w:r>
        <w:rPr>
          <w:noProof/>
          <w:lang w:val="en-US"/>
        </w:rPr>
        <w:t xml:space="preserve"> AI Act already sets requirements </w:t>
      </w:r>
      <w:r>
        <w:rPr>
          <w:noProof/>
        </w:rPr>
        <w:t xml:space="preserve">for AI </w:t>
      </w:r>
      <w:r w:rsidRPr="0000196D">
        <w:rPr>
          <w:noProof/>
        </w:rPr>
        <w:t>systems</w:t>
      </w:r>
      <w:r>
        <w:rPr>
          <w:noProof/>
        </w:rPr>
        <w:t xml:space="preserve"> and general-purpose AI </w:t>
      </w:r>
      <w:r w:rsidRPr="0000196D">
        <w:rPr>
          <w:noProof/>
        </w:rPr>
        <w:t>models</w:t>
      </w:r>
      <w:r>
        <w:rPr>
          <w:noProof/>
        </w:rPr>
        <w:t xml:space="preserve"> ensuring a high-level protection of safety, health and fundamental rights, thus harmonising rules for the internal market. As detailed in annex 8, PO2-A/B/C and more generally CADA, focusses </w:t>
      </w:r>
      <w:r w:rsidR="00065674">
        <w:rPr>
          <w:noProof/>
        </w:rPr>
        <w:t xml:space="preserve">on cloud and </w:t>
      </w:r>
      <w:r>
        <w:rPr>
          <w:noProof/>
        </w:rPr>
        <w:t>AI computing services exclusively</w:t>
      </w:r>
      <w:r w:rsidRPr="005952BD">
        <w:rPr>
          <w:noProof/>
        </w:rPr>
        <w:t>.</w:t>
      </w:r>
      <w:r w:rsidR="00742053">
        <w:rPr>
          <w:noProof/>
        </w:rPr>
        <w:t xml:space="preserve"> </w:t>
      </w:r>
    </w:p>
    <w:p w14:paraId="05C1F3C2" w14:textId="5B9C9649" w:rsidR="00E61374" w:rsidRDefault="00C91A91" w:rsidP="00E61374">
      <w:pPr>
        <w:rPr>
          <w:noProof/>
        </w:rPr>
      </w:pPr>
      <w:r>
        <w:rPr>
          <w:noProof/>
        </w:rPr>
        <w:t xml:space="preserve">The </w:t>
      </w:r>
      <w:r w:rsidR="001E05EF">
        <w:rPr>
          <w:noProof/>
        </w:rPr>
        <w:t xml:space="preserve">Commission proposal for </w:t>
      </w:r>
      <w:r w:rsidR="00750D3F">
        <w:rPr>
          <w:noProof/>
        </w:rPr>
        <w:t>the C</w:t>
      </w:r>
      <w:r w:rsidR="00421308">
        <w:rPr>
          <w:noProof/>
        </w:rPr>
        <w:t>ybersecurity Act</w:t>
      </w:r>
      <w:r w:rsidR="00750D3F">
        <w:rPr>
          <w:noProof/>
        </w:rPr>
        <w:t xml:space="preserve"> 2</w:t>
      </w:r>
      <w:r>
        <w:rPr>
          <w:noProof/>
        </w:rPr>
        <w:t xml:space="preserve"> </w:t>
      </w:r>
      <w:r w:rsidR="00696482" w:rsidRPr="00934D21">
        <w:rPr>
          <w:noProof/>
          <w:lang w:val="en-IE"/>
        </w:rPr>
        <w:t>e</w:t>
      </w:r>
      <w:r w:rsidR="00360E3D" w:rsidRPr="00934D21">
        <w:rPr>
          <w:noProof/>
          <w:lang w:val="en-IE"/>
        </w:rPr>
        <w:t>mpower</w:t>
      </w:r>
      <w:r w:rsidR="00696482" w:rsidRPr="00934D21">
        <w:rPr>
          <w:noProof/>
          <w:lang w:val="en-IE"/>
        </w:rPr>
        <w:t>s</w:t>
      </w:r>
      <w:r w:rsidR="00360E3D" w:rsidRPr="00934D21">
        <w:rPr>
          <w:noProof/>
          <w:lang w:val="en-IE"/>
        </w:rPr>
        <w:t xml:space="preserve"> the Commission to </w:t>
      </w:r>
      <w:r w:rsidR="00696482" w:rsidRPr="00934D21">
        <w:rPr>
          <w:noProof/>
          <w:lang w:val="en-IE"/>
        </w:rPr>
        <w:t>i</w:t>
      </w:r>
      <w:r w:rsidR="00360E3D" w:rsidRPr="00934D21">
        <w:rPr>
          <w:noProof/>
          <w:lang w:val="en-IE"/>
        </w:rPr>
        <w:t xml:space="preserve">mpose </w:t>
      </w:r>
      <w:r w:rsidR="00696482" w:rsidRPr="00934D21">
        <w:rPr>
          <w:noProof/>
          <w:lang w:val="en-IE"/>
        </w:rPr>
        <w:t>p</w:t>
      </w:r>
      <w:r w:rsidR="00360E3D" w:rsidRPr="00934D21">
        <w:rPr>
          <w:noProof/>
          <w:lang w:val="en-IE"/>
        </w:rPr>
        <w:t xml:space="preserve">rohibitions and </w:t>
      </w:r>
      <w:r w:rsidR="00696482" w:rsidRPr="00934D21">
        <w:rPr>
          <w:noProof/>
          <w:lang w:val="en-IE"/>
        </w:rPr>
        <w:t>m</w:t>
      </w:r>
      <w:r w:rsidR="00360E3D" w:rsidRPr="00934D21">
        <w:rPr>
          <w:noProof/>
          <w:lang w:val="en-IE"/>
        </w:rPr>
        <w:t xml:space="preserve">itigation </w:t>
      </w:r>
      <w:r w:rsidR="00696482" w:rsidRPr="00934D21">
        <w:rPr>
          <w:noProof/>
          <w:lang w:val="en-IE"/>
        </w:rPr>
        <w:t>m</w:t>
      </w:r>
      <w:r w:rsidR="00360E3D" w:rsidRPr="00934D21">
        <w:rPr>
          <w:noProof/>
          <w:lang w:val="en-IE"/>
        </w:rPr>
        <w:t>easures</w:t>
      </w:r>
      <w:r w:rsidR="008335DB">
        <w:rPr>
          <w:noProof/>
          <w:lang w:val="en-IE"/>
        </w:rPr>
        <w:t xml:space="preserve"> by means of adopting</w:t>
      </w:r>
      <w:r w:rsidR="00360E3D" w:rsidRPr="00360E3D">
        <w:rPr>
          <w:noProof/>
          <w:lang w:val="en-IE"/>
        </w:rPr>
        <w:t xml:space="preserve"> implementing acts</w:t>
      </w:r>
      <w:r w:rsidR="008335DB">
        <w:rPr>
          <w:noProof/>
          <w:lang w:val="en-IE"/>
        </w:rPr>
        <w:t xml:space="preserve"> (1) p</w:t>
      </w:r>
      <w:r w:rsidR="00360E3D" w:rsidRPr="008335DB">
        <w:rPr>
          <w:noProof/>
          <w:lang w:val="en-IE"/>
        </w:rPr>
        <w:t>rohibiting</w:t>
      </w:r>
      <w:r w:rsidR="00360E3D" w:rsidRPr="00360E3D">
        <w:rPr>
          <w:noProof/>
          <w:lang w:val="en-IE"/>
        </w:rPr>
        <w:t xml:space="preserve"> specific types of NIS2 entities from using, installing or integrating ICT components from high</w:t>
      </w:r>
      <w:r w:rsidR="00360E3D" w:rsidRPr="00360E3D">
        <w:rPr>
          <w:noProof/>
          <w:lang w:val="en-IE"/>
        </w:rPr>
        <w:noBreakHyphen/>
        <w:t>risk suppliers in key ICT assets; and</w:t>
      </w:r>
      <w:r w:rsidR="008335DB" w:rsidRPr="00934D21">
        <w:rPr>
          <w:noProof/>
          <w:lang w:val="en-IE"/>
        </w:rPr>
        <w:t xml:space="preserve"> (2) r</w:t>
      </w:r>
      <w:r w:rsidR="00360E3D" w:rsidRPr="008335DB">
        <w:rPr>
          <w:noProof/>
          <w:lang w:val="en-IE"/>
        </w:rPr>
        <w:t>equiring</w:t>
      </w:r>
      <w:r w:rsidR="00360E3D" w:rsidRPr="00360E3D">
        <w:rPr>
          <w:noProof/>
          <w:lang w:val="en-IE"/>
        </w:rPr>
        <w:t xml:space="preserve"> such entities to apply targeted ICT</w:t>
      </w:r>
      <w:r w:rsidR="00063D6F">
        <w:rPr>
          <w:noProof/>
          <w:lang w:val="en-IE"/>
        </w:rPr>
        <w:t xml:space="preserve"> </w:t>
      </w:r>
      <w:r w:rsidR="00360E3D" w:rsidRPr="00360E3D">
        <w:rPr>
          <w:noProof/>
          <w:lang w:val="en-IE"/>
        </w:rPr>
        <w:t>supply</w:t>
      </w:r>
      <w:r w:rsidR="00063D6F">
        <w:rPr>
          <w:noProof/>
          <w:lang w:val="en-IE"/>
        </w:rPr>
        <w:t xml:space="preserve"> </w:t>
      </w:r>
      <w:r w:rsidR="00360E3D" w:rsidRPr="00360E3D">
        <w:rPr>
          <w:noProof/>
          <w:lang w:val="en-IE"/>
        </w:rPr>
        <w:t>chain mitigation measures, including supplier</w:t>
      </w:r>
      <w:r w:rsidR="00063D6F">
        <w:rPr>
          <w:noProof/>
          <w:lang w:val="en-IE"/>
        </w:rPr>
        <w:t xml:space="preserve"> </w:t>
      </w:r>
      <w:r w:rsidR="00360E3D" w:rsidRPr="00360E3D">
        <w:rPr>
          <w:noProof/>
          <w:lang w:val="en-IE"/>
        </w:rPr>
        <w:t>transparency obligations, restrictions on transfers or remote processing from third countries, third</w:t>
      </w:r>
      <w:r w:rsidR="00360E3D" w:rsidRPr="00360E3D">
        <w:rPr>
          <w:noProof/>
          <w:lang w:val="en-IE"/>
        </w:rPr>
        <w:noBreakHyphen/>
        <w:t>party</w:t>
      </w:r>
      <w:r w:rsidR="00360E3D" w:rsidRPr="00360E3D">
        <w:rPr>
          <w:noProof/>
          <w:lang w:val="en-IE"/>
        </w:rPr>
        <w:noBreakHyphen/>
        <w:t>audited technical safeguards, limits on outsourcing or supplier contracting, requirements for personnel vetting by national authorities, or diversification of supply.</w:t>
      </w:r>
      <w:r w:rsidR="00063D6F">
        <w:rPr>
          <w:noProof/>
          <w:lang w:val="en-IE"/>
        </w:rPr>
        <w:t xml:space="preserve"> </w:t>
      </w:r>
      <w:r w:rsidR="00CF2964">
        <w:rPr>
          <w:noProof/>
          <w:lang w:val="en-IE"/>
        </w:rPr>
        <w:t xml:space="preserve">CADA </w:t>
      </w:r>
      <w:r w:rsidR="00002748">
        <w:rPr>
          <w:noProof/>
          <w:lang w:val="en-IE"/>
        </w:rPr>
        <w:t>relies</w:t>
      </w:r>
      <w:r w:rsidR="00CF2964">
        <w:rPr>
          <w:noProof/>
          <w:lang w:val="en-IE"/>
        </w:rPr>
        <w:t xml:space="preserve"> on the CSA 2</w:t>
      </w:r>
      <w:r w:rsidR="00E13F34">
        <w:rPr>
          <w:noProof/>
          <w:lang w:val="en-IE"/>
        </w:rPr>
        <w:t xml:space="preserve"> for the exclusion of high-risk </w:t>
      </w:r>
      <w:r w:rsidR="00813575">
        <w:rPr>
          <w:noProof/>
          <w:lang w:val="en-IE"/>
        </w:rPr>
        <w:t xml:space="preserve">cloud and AI </w:t>
      </w:r>
      <w:r w:rsidR="00E13F34">
        <w:rPr>
          <w:noProof/>
          <w:lang w:val="en-IE"/>
        </w:rPr>
        <w:t>vendors</w:t>
      </w:r>
      <w:r w:rsidR="004F2FF6">
        <w:rPr>
          <w:noProof/>
          <w:lang w:val="en-IE"/>
        </w:rPr>
        <w:t xml:space="preserve"> from EU critical sectors. </w:t>
      </w:r>
      <w:r w:rsidR="005C3876">
        <w:rPr>
          <w:noProof/>
          <w:lang w:val="en-IE"/>
        </w:rPr>
        <w:t>At the same time, CADA goes further than the CSA 2</w:t>
      </w:r>
      <w:r w:rsidR="00002748" w:rsidRPr="00002748">
        <w:rPr>
          <w:noProof/>
          <w:lang w:val="en-IE"/>
        </w:rPr>
        <w:t xml:space="preserve"> </w:t>
      </w:r>
      <w:r w:rsidR="004F2FF6">
        <w:rPr>
          <w:noProof/>
          <w:lang w:val="en-IE"/>
        </w:rPr>
        <w:t xml:space="preserve">and introduces a </w:t>
      </w:r>
      <w:r w:rsidR="001D574D">
        <w:rPr>
          <w:noProof/>
          <w:lang w:val="en-IE"/>
        </w:rPr>
        <w:t>targeted</w:t>
      </w:r>
      <w:r w:rsidR="003C56E3">
        <w:rPr>
          <w:noProof/>
          <w:lang w:val="en-IE"/>
        </w:rPr>
        <w:t xml:space="preserve"> approach to mitigating </w:t>
      </w:r>
      <w:r w:rsidR="00803B89">
        <w:rPr>
          <w:noProof/>
          <w:lang w:val="en-IE"/>
        </w:rPr>
        <w:t xml:space="preserve">sovereignty </w:t>
      </w:r>
      <w:r w:rsidR="003C56E3">
        <w:rPr>
          <w:noProof/>
          <w:lang w:val="en-IE"/>
        </w:rPr>
        <w:t>risks specific to the provision and use of cloud and AI</w:t>
      </w:r>
      <w:r w:rsidR="004F2FF6">
        <w:rPr>
          <w:noProof/>
          <w:lang w:val="en-IE"/>
        </w:rPr>
        <w:t xml:space="preserve"> </w:t>
      </w:r>
      <w:r w:rsidR="00A83BE3">
        <w:rPr>
          <w:noProof/>
          <w:lang w:val="en-IE"/>
        </w:rPr>
        <w:t>computing services</w:t>
      </w:r>
      <w:r w:rsidR="000B08EA">
        <w:rPr>
          <w:noProof/>
          <w:lang w:val="en-IE"/>
        </w:rPr>
        <w:t>.</w:t>
      </w:r>
      <w:r w:rsidR="005C3876">
        <w:rPr>
          <w:noProof/>
          <w:lang w:val="en-IE"/>
        </w:rPr>
        <w:t xml:space="preserve"> In</w:t>
      </w:r>
      <w:r w:rsidR="002F481F">
        <w:rPr>
          <w:noProof/>
          <w:lang w:val="en-IE"/>
        </w:rPr>
        <w:t xml:space="preserve"> </w:t>
      </w:r>
      <w:r w:rsidR="002F481F">
        <w:rPr>
          <w:noProof/>
        </w:rPr>
        <w:t>defining what constitutes a sovereign service</w:t>
      </w:r>
      <w:r w:rsidR="00362668">
        <w:rPr>
          <w:noProof/>
        </w:rPr>
        <w:t xml:space="preserve"> under </w:t>
      </w:r>
      <w:r w:rsidR="002F481F">
        <w:rPr>
          <w:noProof/>
        </w:rPr>
        <w:t xml:space="preserve">PM11, </w:t>
      </w:r>
      <w:r w:rsidR="00362668">
        <w:rPr>
          <w:noProof/>
        </w:rPr>
        <w:t>PM</w:t>
      </w:r>
      <w:r w:rsidR="002F481F">
        <w:rPr>
          <w:noProof/>
        </w:rPr>
        <w:t xml:space="preserve">15 and </w:t>
      </w:r>
      <w:r w:rsidR="00362668">
        <w:rPr>
          <w:noProof/>
        </w:rPr>
        <w:t>PM</w:t>
      </w:r>
      <w:r w:rsidR="002F481F">
        <w:rPr>
          <w:noProof/>
        </w:rPr>
        <w:t>21</w:t>
      </w:r>
      <w:r w:rsidR="00652ACA">
        <w:rPr>
          <w:noProof/>
        </w:rPr>
        <w:t xml:space="preserve">, CADA </w:t>
      </w:r>
      <w:r w:rsidR="00E01053">
        <w:rPr>
          <w:noProof/>
        </w:rPr>
        <w:t>leverage</w:t>
      </w:r>
      <w:r w:rsidR="00366519">
        <w:rPr>
          <w:noProof/>
        </w:rPr>
        <w:t>s</w:t>
      </w:r>
      <w:r w:rsidR="00E01053">
        <w:rPr>
          <w:noProof/>
        </w:rPr>
        <w:t xml:space="preserve"> the future cybersecurity certification scheme for cloud services </w:t>
      </w:r>
      <w:r w:rsidR="00581B93">
        <w:rPr>
          <w:noProof/>
        </w:rPr>
        <w:t>(EUCS)</w:t>
      </w:r>
      <w:r w:rsidR="00A37B20">
        <w:rPr>
          <w:noProof/>
        </w:rPr>
        <w:t xml:space="preserve">, where </w:t>
      </w:r>
      <w:r w:rsidR="005C448D">
        <w:rPr>
          <w:noProof/>
        </w:rPr>
        <w:t xml:space="preserve">the sovereignty </w:t>
      </w:r>
      <w:r w:rsidR="006628AF">
        <w:rPr>
          <w:noProof/>
        </w:rPr>
        <w:t>levels under CADA require a gradual con</w:t>
      </w:r>
      <w:r w:rsidR="002F5430">
        <w:rPr>
          <w:noProof/>
        </w:rPr>
        <w:t>formity against the EUCS assurance levels</w:t>
      </w:r>
      <w:r w:rsidR="00E01053">
        <w:rPr>
          <w:noProof/>
        </w:rPr>
        <w:t xml:space="preserve">. </w:t>
      </w:r>
      <w:r w:rsidR="00A37B20">
        <w:rPr>
          <w:noProof/>
        </w:rPr>
        <w:t>The</w:t>
      </w:r>
      <w:r w:rsidR="002F5430">
        <w:rPr>
          <w:noProof/>
        </w:rPr>
        <w:t xml:space="preserve">re is no overlap between the requirements of the </w:t>
      </w:r>
      <w:r w:rsidR="00FE5AD1">
        <w:rPr>
          <w:noProof/>
        </w:rPr>
        <w:t>CADA sovereignty levels and the applicable requirements and those assessed under the EUCS, which</w:t>
      </w:r>
      <w:r w:rsidR="00E01053">
        <w:rPr>
          <w:noProof/>
        </w:rPr>
        <w:t xml:space="preserve"> </w:t>
      </w:r>
      <w:r w:rsidR="00A37B20">
        <w:rPr>
          <w:noProof/>
        </w:rPr>
        <w:t xml:space="preserve">covers </w:t>
      </w:r>
      <w:r w:rsidR="00E01053">
        <w:rPr>
          <w:noProof/>
        </w:rPr>
        <w:t>exclusively technical cybersecurity aspects.</w:t>
      </w:r>
      <w:r w:rsidR="00AD7520">
        <w:rPr>
          <w:noProof/>
        </w:rPr>
        <w:t xml:space="preserve"> </w:t>
      </w:r>
    </w:p>
    <w:p w14:paraId="7CB10E73" w14:textId="35CFA61F" w:rsidR="00E61374" w:rsidRPr="00D37004" w:rsidRDefault="00E61374" w:rsidP="00E61374">
      <w:pPr>
        <w:pStyle w:val="Caption"/>
        <w:rPr>
          <w:noProof/>
        </w:rPr>
      </w:pPr>
      <w:r w:rsidRPr="00D37004">
        <w:rPr>
          <w:noProof/>
        </w:rPr>
        <w:t xml:space="preserve">Figure </w:t>
      </w:r>
      <w:r w:rsidRPr="00D37004">
        <w:rPr>
          <w:noProof/>
        </w:rPr>
        <w:fldChar w:fldCharType="begin"/>
      </w:r>
      <w:r w:rsidRPr="00D37004">
        <w:rPr>
          <w:noProof/>
        </w:rPr>
        <w:instrText xml:space="preserve"> SEQ Figure \* ARABIC </w:instrText>
      </w:r>
      <w:r w:rsidRPr="00D37004">
        <w:rPr>
          <w:noProof/>
        </w:rPr>
        <w:fldChar w:fldCharType="separate"/>
      </w:r>
      <w:r w:rsidR="00137E65">
        <w:rPr>
          <w:noProof/>
        </w:rPr>
        <w:t>11</w:t>
      </w:r>
      <w:r w:rsidRPr="00D37004">
        <w:rPr>
          <w:noProof/>
        </w:rPr>
        <w:fldChar w:fldCharType="end"/>
      </w:r>
      <w:r w:rsidRPr="00D37004">
        <w:rPr>
          <w:noProof/>
        </w:rPr>
        <w:t xml:space="preserve">. </w:t>
      </w:r>
      <w:r>
        <w:rPr>
          <w:noProof/>
        </w:rPr>
        <w:t>External coherence with most relevant ongoing legislative initiatives</w:t>
      </w:r>
    </w:p>
    <w:p w14:paraId="2F843BBA" w14:textId="77777777" w:rsidR="00E61374" w:rsidRPr="00A670B7" w:rsidRDefault="00E61374" w:rsidP="00583302">
      <w:pPr>
        <w:jc w:val="center"/>
        <w:rPr>
          <w:noProof/>
        </w:rPr>
      </w:pPr>
      <w:r>
        <w:rPr>
          <w:noProof/>
          <w:lang w:eastAsia="en-GB"/>
        </w:rPr>
        <w:drawing>
          <wp:inline distT="0" distB="0" distL="0" distR="0" wp14:anchorId="2BADE55E" wp14:editId="4C9248B0">
            <wp:extent cx="5983242" cy="2872182"/>
            <wp:effectExtent l="0" t="0" r="0" b="0"/>
            <wp:docPr id="1766638826"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38826" name="Picture 1" descr="A diagram of a company&#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92850" cy="3020806"/>
                    </a:xfrm>
                    <a:prstGeom prst="rect">
                      <a:avLst/>
                    </a:prstGeom>
                    <a:noFill/>
                  </pic:spPr>
                </pic:pic>
              </a:graphicData>
            </a:graphic>
          </wp:inline>
        </w:drawing>
      </w:r>
    </w:p>
    <w:p w14:paraId="7EF42269" w14:textId="2D9ACAC3" w:rsidR="00E61374" w:rsidRPr="00BC20D8" w:rsidRDefault="00E61374" w:rsidP="00BC20D8">
      <w:pPr>
        <w:spacing w:before="120"/>
        <w:rPr>
          <w:noProof/>
          <w:lang w:val="en-IE"/>
        </w:rPr>
      </w:pPr>
      <w:r w:rsidRPr="00D37004">
        <w:rPr>
          <w:noProof/>
        </w:rPr>
        <w:t xml:space="preserve">In terms of </w:t>
      </w:r>
      <w:r w:rsidRPr="00D37004">
        <w:rPr>
          <w:b/>
          <w:noProof/>
        </w:rPr>
        <w:t>internal coherence</w:t>
      </w:r>
      <w:r w:rsidRPr="00D37004">
        <w:rPr>
          <w:noProof/>
        </w:rPr>
        <w:t>, all POs are designed to be coherent with the objectives of the EU and address the identified problem drivers</w:t>
      </w:r>
      <w:r>
        <w:rPr>
          <w:noProof/>
        </w:rPr>
        <w:t xml:space="preserve"> (see also section 5.2.3)</w:t>
      </w:r>
      <w:r w:rsidRPr="00D37004">
        <w:rPr>
          <w:noProof/>
        </w:rPr>
        <w:t>. The measures under each PO are compatible with each other</w:t>
      </w:r>
      <w:r>
        <w:rPr>
          <w:noProof/>
        </w:rPr>
        <w:t>, see Annex 7</w:t>
      </w:r>
      <w:r w:rsidRPr="00D37004">
        <w:rPr>
          <w:noProof/>
        </w:rPr>
        <w:t xml:space="preserve">. </w:t>
      </w:r>
      <w:r w:rsidR="00484B33">
        <w:rPr>
          <w:noProof/>
          <w:lang w:val="en-IE"/>
        </w:rPr>
        <w:t xml:space="preserve">Sovereignty related measures respond to the needs of ensuring public order while the measures targeting critical dependencies focus on </w:t>
      </w:r>
      <w:r w:rsidR="00484B33" w:rsidRPr="00850123">
        <w:rPr>
          <w:noProof/>
          <w:lang w:val="en-US"/>
        </w:rPr>
        <w:t>EU added value measures</w:t>
      </w:r>
      <w:r w:rsidR="00484B33">
        <w:rPr>
          <w:noProof/>
        </w:rPr>
        <w:t>, notably</w:t>
      </w:r>
      <w:r w:rsidR="00484B33" w:rsidRPr="00850123">
        <w:rPr>
          <w:noProof/>
          <w:lang w:val="en-US"/>
        </w:rPr>
        <w:t xml:space="preserve"> in the context of innovation procurement.</w:t>
      </w:r>
      <w:r w:rsidR="00484B33">
        <w:rPr>
          <w:noProof/>
          <w:lang w:val="en-IE"/>
        </w:rPr>
        <w:t xml:space="preserve"> The promotion of open source solutions aims to build a foundation for auditable, open and interoperable services and products. The publicly auditable code provides a level of transparency and verifiability that is not possible in proprietary solutions, enabling authorities to independently assess security properties and verify the absence of undisclosed data flows or access mechanisms. Open source licensing removes the legal mechanisms that make vendor lock-in so difficult to escape in practice. The leverage that proprietary vendors have for the maintenance of the software is diminished with open source, reducing therefore the dependencies. The collaborative and distributed development models of open source create a form of supply chain resilience that is different from the proprietary solutions: open source communities distribute the maintenance and burden across a wide base of contributors, none of which can unilaterally determine the future of the project.</w:t>
      </w:r>
    </w:p>
    <w:p w14:paraId="76D92029" w14:textId="77777777" w:rsidR="00E61374" w:rsidRPr="00D37004" w:rsidRDefault="00E61374" w:rsidP="006B5183">
      <w:pPr>
        <w:pStyle w:val="Heading2"/>
        <w:rPr>
          <w:rFonts w:eastAsiaTheme="minorEastAsia"/>
          <w:noProof/>
        </w:rPr>
      </w:pPr>
      <w:bookmarkStart w:id="73" w:name="_Toc216129280"/>
      <w:bookmarkStart w:id="74" w:name="_Toc230792747"/>
      <w:r w:rsidRPr="00F564C4">
        <w:rPr>
          <w:rFonts w:eastAsiaTheme="minorEastAsia"/>
          <w:noProof/>
        </w:rPr>
        <w:t>Subsidiarity</w:t>
      </w:r>
      <w:r w:rsidRPr="00D37004">
        <w:rPr>
          <w:rFonts w:eastAsiaTheme="minorEastAsia"/>
          <w:noProof/>
        </w:rPr>
        <w:t xml:space="preserve"> and proportionality</w:t>
      </w:r>
      <w:bookmarkEnd w:id="73"/>
      <w:bookmarkEnd w:id="74"/>
    </w:p>
    <w:p w14:paraId="02B3B537" w14:textId="4A2D0AB0" w:rsidR="00E61374" w:rsidRPr="00D37004" w:rsidRDefault="00E61374" w:rsidP="009D3B3F">
      <w:pPr>
        <w:tabs>
          <w:tab w:val="left" w:pos="2268"/>
        </w:tabs>
        <w:rPr>
          <w:noProof/>
        </w:rPr>
      </w:pPr>
      <w:r w:rsidRPr="00D37004">
        <w:rPr>
          <w:noProof/>
        </w:rPr>
        <w:t xml:space="preserve">As highlighted in sections 3.2 and 3.3, there is a clear need for action at </w:t>
      </w:r>
      <w:r>
        <w:rPr>
          <w:noProof/>
        </w:rPr>
        <w:t>EU</w:t>
      </w:r>
      <w:r w:rsidRPr="00D37004">
        <w:rPr>
          <w:noProof/>
        </w:rPr>
        <w:t xml:space="preserve"> level to address the identified problems and their drivers. All policy options respect the </w:t>
      </w:r>
      <w:r w:rsidRPr="00D37004">
        <w:rPr>
          <w:b/>
          <w:noProof/>
        </w:rPr>
        <w:t>subsidiarity</w:t>
      </w:r>
      <w:r w:rsidRPr="00D37004">
        <w:rPr>
          <w:noProof/>
        </w:rPr>
        <w:t xml:space="preserve"> principle. In PO1-A, the Commission uses its convening powers to enhance the existing collaborative framework between Member States to stimulate compute capacity and remove deployment barriers. PO1-B </w:t>
      </w:r>
      <w:r>
        <w:rPr>
          <w:noProof/>
        </w:rPr>
        <w:t xml:space="preserve">contains EU-level rules but </w:t>
      </w:r>
      <w:r w:rsidRPr="00D37004">
        <w:rPr>
          <w:noProof/>
        </w:rPr>
        <w:t xml:space="preserve">is designed with subsidiarity at its core since it entails decisions and financial incentives enforced at national level. PO1-C entails the most </w:t>
      </w:r>
      <w:r>
        <w:rPr>
          <w:noProof/>
        </w:rPr>
        <w:t>centralised</w:t>
      </w:r>
      <w:r w:rsidRPr="00D37004">
        <w:rPr>
          <w:noProof/>
        </w:rPr>
        <w:t xml:space="preserve"> EU action, with decisions and financial intervention enforced at EU-level</w:t>
      </w:r>
      <w:r>
        <w:rPr>
          <w:noProof/>
        </w:rPr>
        <w:t>, at</w:t>
      </w:r>
      <w:r w:rsidRPr="00D37004">
        <w:rPr>
          <w:noProof/>
        </w:rPr>
        <w:t xml:space="preserve"> the </w:t>
      </w:r>
      <w:r>
        <w:rPr>
          <w:noProof/>
        </w:rPr>
        <w:t>expense of less subsidiarity.</w:t>
      </w:r>
      <w:r w:rsidRPr="00D37004">
        <w:rPr>
          <w:noProof/>
        </w:rPr>
        <w:t xml:space="preserve"> In PO2-A, the EU’s involvement is limited to be a mere convenor of national actors</w:t>
      </w:r>
      <w:r>
        <w:rPr>
          <w:noProof/>
        </w:rPr>
        <w:t>, hence highly respectful of subsidiarity</w:t>
      </w:r>
      <w:r w:rsidRPr="00D37004">
        <w:rPr>
          <w:noProof/>
        </w:rPr>
        <w:t>. PO2-B requires more EU-level intervention, following a traditional Single Market logic through an EU-defined and Member State</w:t>
      </w:r>
      <w:r w:rsidR="00962498">
        <w:rPr>
          <w:noProof/>
        </w:rPr>
        <w:t xml:space="preserve"> </w:t>
      </w:r>
      <w:r w:rsidRPr="00D37004">
        <w:rPr>
          <w:noProof/>
        </w:rPr>
        <w:t xml:space="preserve">enforced </w:t>
      </w:r>
      <w:r w:rsidR="001624B2" w:rsidRPr="000235A6">
        <w:rPr>
          <w:noProof/>
        </w:rPr>
        <w:t>sovereignty</w:t>
      </w:r>
      <w:r w:rsidR="001624B2">
        <w:rPr>
          <w:noProof/>
        </w:rPr>
        <w:t xml:space="preserve"> risk assessment</w:t>
      </w:r>
      <w:r w:rsidR="001624B2" w:rsidRPr="001624B2">
        <w:rPr>
          <w:noProof/>
        </w:rPr>
        <w:t xml:space="preserve"> </w:t>
      </w:r>
      <w:r w:rsidRPr="001624B2">
        <w:rPr>
          <w:noProof/>
        </w:rPr>
        <w:t>mechanism,</w:t>
      </w:r>
      <w:r w:rsidRPr="00D37004">
        <w:rPr>
          <w:noProof/>
        </w:rPr>
        <w:t xml:space="preserve"> </w:t>
      </w:r>
      <w:r w:rsidR="001624B2">
        <w:rPr>
          <w:noProof/>
        </w:rPr>
        <w:t>third-party</w:t>
      </w:r>
      <w:r w:rsidDel="001624B2">
        <w:rPr>
          <w:noProof/>
        </w:rPr>
        <w:t xml:space="preserve"> </w:t>
      </w:r>
      <w:r w:rsidRPr="00443103">
        <w:rPr>
          <w:noProof/>
        </w:rPr>
        <w:t>audits</w:t>
      </w:r>
      <w:r w:rsidRPr="001624B2">
        <w:rPr>
          <w:noProof/>
        </w:rPr>
        <w:t>,</w:t>
      </w:r>
      <w:r>
        <w:rPr>
          <w:noProof/>
        </w:rPr>
        <w:t xml:space="preserve"> </w:t>
      </w:r>
      <w:r w:rsidRPr="00D37004">
        <w:rPr>
          <w:noProof/>
        </w:rPr>
        <w:t xml:space="preserve">voluntary award criteria used </w:t>
      </w:r>
      <w:r>
        <w:rPr>
          <w:noProof/>
        </w:rPr>
        <w:t xml:space="preserve">for procurement of cloud and AI computing services </w:t>
      </w:r>
      <w:r w:rsidRPr="00D37004">
        <w:rPr>
          <w:noProof/>
        </w:rPr>
        <w:t xml:space="preserve">in the public sector, and the vendor-neutral cloud and AI training programme. PO2-C adds further EU-level intervention, but in domains where no Member State can act alone, in particular </w:t>
      </w:r>
      <w:r>
        <w:rPr>
          <w:noProof/>
        </w:rPr>
        <w:t>as regards</w:t>
      </w:r>
      <w:r w:rsidRPr="00D37004">
        <w:rPr>
          <w:noProof/>
        </w:rPr>
        <w:t xml:space="preserve"> joint procurement. </w:t>
      </w:r>
      <w:r w:rsidR="008F4D6F" w:rsidRPr="008F4D6F">
        <w:rPr>
          <w:noProof/>
          <w:lang w:val="en-IE"/>
        </w:rPr>
        <w:t>Moreover, it leaves to national authorities the ability to determine the sovereignty risk assessment outcome, while only producing guidelines to support a uniform implementation across MS.</w:t>
      </w:r>
    </w:p>
    <w:p w14:paraId="3C999E57" w14:textId="4DB691D8" w:rsidR="00DD3DB1" w:rsidRPr="005D2C73" w:rsidRDefault="00E61374" w:rsidP="00DD3DB1">
      <w:pPr>
        <w:rPr>
          <w:rFonts w:eastAsia="Times New Roman"/>
          <w:noProof/>
          <w:lang w:val="en-IE"/>
        </w:rPr>
      </w:pPr>
      <w:r w:rsidRPr="00D37004">
        <w:rPr>
          <w:noProof/>
        </w:rPr>
        <w:t xml:space="preserve">All policy options are assessed to be </w:t>
      </w:r>
      <w:r w:rsidRPr="00D37004">
        <w:rPr>
          <w:b/>
          <w:noProof/>
        </w:rPr>
        <w:t>proportionate</w:t>
      </w:r>
      <w:r w:rsidRPr="00D37004">
        <w:rPr>
          <w:noProof/>
        </w:rPr>
        <w:t xml:space="preserve">, as EU-level action is limited to what is necessary to </w:t>
      </w:r>
      <w:r>
        <w:rPr>
          <w:noProof/>
        </w:rPr>
        <w:t>advance</w:t>
      </w:r>
      <w:r w:rsidRPr="00D37004">
        <w:rPr>
          <w:noProof/>
        </w:rPr>
        <w:t xml:space="preserve"> the </w:t>
      </w:r>
      <w:r>
        <w:rPr>
          <w:noProof/>
        </w:rPr>
        <w:t>EU’s capacity, capability</w:t>
      </w:r>
      <w:r w:rsidRPr="00D37004">
        <w:rPr>
          <w:noProof/>
        </w:rPr>
        <w:t xml:space="preserve"> and </w:t>
      </w:r>
      <w:r>
        <w:rPr>
          <w:noProof/>
        </w:rPr>
        <w:t>autonomy in cloud and AI computing</w:t>
      </w:r>
      <w:r w:rsidRPr="00D37004">
        <w:rPr>
          <w:noProof/>
        </w:rPr>
        <w:t xml:space="preserve">. PO1-A represents the lowest level of intervention </w:t>
      </w:r>
      <w:r>
        <w:rPr>
          <w:noProof/>
        </w:rPr>
        <w:t>and</w:t>
      </w:r>
      <w:r w:rsidRPr="00D37004">
        <w:rPr>
          <w:noProof/>
        </w:rPr>
        <w:t xml:space="preserve"> is less effective</w:t>
      </w:r>
      <w:r w:rsidRPr="00D37004" w:rsidDel="00137AF6">
        <w:rPr>
          <w:noProof/>
        </w:rPr>
        <w:t xml:space="preserve">, </w:t>
      </w:r>
      <w:r w:rsidRPr="00D37004">
        <w:rPr>
          <w:noProof/>
        </w:rPr>
        <w:t xml:space="preserve">while PO1-B entails the necessary and most effective EU-level intervention to address bottlenecks in the deployment of </w:t>
      </w:r>
      <w:r w:rsidR="000436CB">
        <w:rPr>
          <w:noProof/>
        </w:rPr>
        <w:t>DCs</w:t>
      </w:r>
      <w:r w:rsidRPr="00D37004">
        <w:rPr>
          <w:noProof/>
        </w:rPr>
        <w:t xml:space="preserve"> by requiring that Member States implement national procedures. PO1-C is more ambitious and would entail additional administrative implications in terms of coordination with Member States. PO2-A introduces transparency measures that have limited prospects of changing current trends.</w:t>
      </w:r>
      <w:r w:rsidR="00B468AD">
        <w:rPr>
          <w:noProof/>
        </w:rPr>
        <w:t xml:space="preserve"> It is proportionate to its ambition, as it imposes low compliance costs but its capacity to effectively achieve the intervention’s objectives</w:t>
      </w:r>
      <w:r w:rsidR="005B5B26">
        <w:rPr>
          <w:noProof/>
        </w:rPr>
        <w:t xml:space="preserve"> is limited.</w:t>
      </w:r>
      <w:r w:rsidRPr="00D37004">
        <w:rPr>
          <w:noProof/>
        </w:rPr>
        <w:t xml:space="preserve"> PO2-B further improves market openness with additional compliance mechanisms that would increase impacts and the expected benefits but may not be sufficient due to their voluntary nature. PO2-C is the most ambitious option as it proposes structural changes, through a tailored approach in existing public procurement practices and organise</w:t>
      </w:r>
      <w:r w:rsidR="00265E33">
        <w:rPr>
          <w:noProof/>
        </w:rPr>
        <w:t>d</w:t>
      </w:r>
      <w:r w:rsidRPr="00D37004">
        <w:rPr>
          <w:noProof/>
        </w:rPr>
        <w:t xml:space="preserve"> joint efforts. It is the most </w:t>
      </w:r>
      <w:r>
        <w:rPr>
          <w:noProof/>
        </w:rPr>
        <w:t xml:space="preserve">proportionate </w:t>
      </w:r>
      <w:r w:rsidRPr="00D37004">
        <w:rPr>
          <w:noProof/>
        </w:rPr>
        <w:t xml:space="preserve">option </w:t>
      </w:r>
      <w:r>
        <w:rPr>
          <w:noProof/>
        </w:rPr>
        <w:t>given</w:t>
      </w:r>
      <w:r w:rsidRPr="00D37004">
        <w:rPr>
          <w:noProof/>
        </w:rPr>
        <w:t xml:space="preserve"> the magnitude of the problem</w:t>
      </w:r>
      <w:r w:rsidR="00DD3DB1">
        <w:rPr>
          <w:noProof/>
        </w:rPr>
        <w:t xml:space="preserve"> and</w:t>
      </w:r>
      <w:r w:rsidR="00ED4122">
        <w:rPr>
          <w:noProof/>
        </w:rPr>
        <w:t xml:space="preserve"> the intervention’s</w:t>
      </w:r>
      <w:r w:rsidR="00DD3DB1">
        <w:rPr>
          <w:noProof/>
        </w:rPr>
        <w:t xml:space="preserve"> </w:t>
      </w:r>
      <w:r w:rsidR="00ED4122">
        <w:rPr>
          <w:noProof/>
        </w:rPr>
        <w:t>goal</w:t>
      </w:r>
      <w:r w:rsidR="00DD3DB1">
        <w:rPr>
          <w:noProof/>
        </w:rPr>
        <w:t xml:space="preserve"> </w:t>
      </w:r>
      <w:r w:rsidR="00ED4122">
        <w:rPr>
          <w:noProof/>
        </w:rPr>
        <w:t xml:space="preserve">to secure the necessary </w:t>
      </w:r>
      <w:r w:rsidR="00DD3DB1" w:rsidRPr="00E92236">
        <w:rPr>
          <w:rFonts w:eastAsia="Times New Roman"/>
          <w:noProof/>
        </w:rPr>
        <w:t xml:space="preserve">conditions for the </w:t>
      </w:r>
      <w:r w:rsidR="00DD3DB1">
        <w:rPr>
          <w:rFonts w:eastAsia="Times New Roman"/>
          <w:noProof/>
        </w:rPr>
        <w:t xml:space="preserve">Union’s </w:t>
      </w:r>
      <w:r w:rsidR="00DD3DB1" w:rsidRPr="00E92236">
        <w:rPr>
          <w:rFonts w:eastAsia="Times New Roman"/>
          <w:noProof/>
        </w:rPr>
        <w:t xml:space="preserve">competitiveness and </w:t>
      </w:r>
      <w:r w:rsidR="00DD3DB1">
        <w:rPr>
          <w:rFonts w:eastAsia="Times New Roman"/>
          <w:noProof/>
        </w:rPr>
        <w:t>strategic autonomy</w:t>
      </w:r>
      <w:r w:rsidR="00DD3DB1" w:rsidRPr="00E92236">
        <w:rPr>
          <w:rFonts w:eastAsia="Times New Roman"/>
          <w:noProof/>
        </w:rPr>
        <w:t>.</w:t>
      </w:r>
      <w:r w:rsidR="001311A0" w:rsidRPr="00F431F6">
        <w:rPr>
          <w:rFonts w:eastAsia="Times New Roman"/>
          <w:noProof/>
          <w:lang w:val="en-IE" w:eastAsia="en-IE"/>
        </w:rPr>
        <w:t xml:space="preserve"> </w:t>
      </w:r>
      <w:r w:rsidR="001311A0">
        <w:rPr>
          <w:rFonts w:eastAsia="Times New Roman"/>
          <w:noProof/>
          <w:lang w:val="en-IE"/>
        </w:rPr>
        <w:t>It</w:t>
      </w:r>
      <w:r w:rsidR="001311A0" w:rsidRPr="00F431F6">
        <w:rPr>
          <w:rFonts w:eastAsia="Times New Roman"/>
          <w:noProof/>
          <w:lang w:val="en-IE"/>
        </w:rPr>
        <w:t xml:space="preserve"> strikes a balance between the need for effective sovereignty and the need to minimi</w:t>
      </w:r>
      <w:r w:rsidR="001311A0">
        <w:rPr>
          <w:rFonts w:eastAsia="Times New Roman"/>
          <w:noProof/>
          <w:lang w:val="en-IE"/>
        </w:rPr>
        <w:t>s</w:t>
      </w:r>
      <w:r w:rsidR="001311A0" w:rsidRPr="00F431F6">
        <w:rPr>
          <w:rFonts w:eastAsia="Times New Roman"/>
          <w:noProof/>
          <w:lang w:val="en-IE"/>
        </w:rPr>
        <w:t>e unnecessary burdens.</w:t>
      </w:r>
      <w:r w:rsidR="00F431F6" w:rsidRPr="00F431F6">
        <w:rPr>
          <w:rFonts w:eastAsia="Times New Roman"/>
          <w:noProof/>
          <w:lang w:val="en-IE" w:eastAsia="en-IE"/>
        </w:rPr>
        <w:t xml:space="preserve"> </w:t>
      </w:r>
      <w:r w:rsidR="00F431F6" w:rsidRPr="00F431F6">
        <w:rPr>
          <w:noProof/>
          <w:lang w:val="en-IE"/>
        </w:rPr>
        <w:t>By establishing a granular framework with four levels of sovereignty, this option provides a nuanced and targeted approach to addressing the needs of both the public and private sectors. This tiered approach is justified, as it reflects the varying degrees of sensitivity and criticality of different use cases, and ensures that restrictions are proportionate to the risks involved.</w:t>
      </w:r>
      <w:r w:rsidR="00F431F6">
        <w:rPr>
          <w:noProof/>
          <w:lang w:val="en-IE"/>
        </w:rPr>
        <w:t xml:space="preserve"> </w:t>
      </w:r>
      <w:r w:rsidR="00F431F6" w:rsidRPr="00F431F6">
        <w:rPr>
          <w:rFonts w:eastAsia="Times New Roman"/>
          <w:noProof/>
          <w:lang w:val="en-IE"/>
        </w:rPr>
        <w:t xml:space="preserve">The addition of attestations of qualification to the Business Wallet of service providers and the establishment of a publicly available repository of qualified services facilitate transparency, reuse, and sharing </w:t>
      </w:r>
      <w:r w:rsidR="00F431F6">
        <w:rPr>
          <w:rFonts w:eastAsia="Times New Roman"/>
          <w:noProof/>
          <w:lang w:val="en-IE"/>
        </w:rPr>
        <w:t>among stakeholders</w:t>
      </w:r>
      <w:r w:rsidR="00F431F6" w:rsidRPr="00F431F6">
        <w:rPr>
          <w:rFonts w:eastAsia="Times New Roman"/>
          <w:noProof/>
          <w:lang w:val="en-IE"/>
        </w:rPr>
        <w:t xml:space="preserve">. </w:t>
      </w:r>
    </w:p>
    <w:p w14:paraId="65D7F18E" w14:textId="530F076C" w:rsidR="00E61374" w:rsidRPr="00265E33" w:rsidRDefault="00E61374" w:rsidP="006B5183">
      <w:pPr>
        <w:pStyle w:val="Heading2"/>
        <w:rPr>
          <w:noProof/>
        </w:rPr>
      </w:pPr>
      <w:bookmarkStart w:id="75" w:name="_Toc216129281"/>
      <w:bookmarkStart w:id="76" w:name="_Toc230792748"/>
      <w:r w:rsidRPr="00265E33">
        <w:rPr>
          <w:noProof/>
        </w:rPr>
        <w:t>Sensitivity analysis</w:t>
      </w:r>
      <w:bookmarkEnd w:id="75"/>
      <w:bookmarkEnd w:id="76"/>
    </w:p>
    <w:p w14:paraId="6025F983" w14:textId="78A7751E" w:rsidR="008728F7" w:rsidRPr="00D37004" w:rsidRDefault="00F50B06" w:rsidP="001B2475">
      <w:pPr>
        <w:rPr>
          <w:noProof/>
        </w:rPr>
      </w:pPr>
      <w:r>
        <w:rPr>
          <w:rFonts w:eastAsia="Times New Roman"/>
          <w:noProof/>
        </w:rPr>
        <w:t xml:space="preserve">The analysis has been designed to account for uncertainty and the multidimensional nature of policy impacts. </w:t>
      </w:r>
      <w:r w:rsidR="00E61374" w:rsidRPr="00D37004">
        <w:rPr>
          <w:noProof/>
        </w:rPr>
        <w:t>A</w:t>
      </w:r>
      <w:r w:rsidR="00613B35">
        <w:rPr>
          <w:noProof/>
        </w:rPr>
        <w:t>s further</w:t>
      </w:r>
      <w:r w:rsidR="00613B35" w:rsidDel="00F50B06">
        <w:rPr>
          <w:noProof/>
        </w:rPr>
        <w:t xml:space="preserve"> </w:t>
      </w:r>
      <w:r>
        <w:rPr>
          <w:noProof/>
        </w:rPr>
        <w:t xml:space="preserve">detailed </w:t>
      </w:r>
      <w:r w:rsidR="00613B35">
        <w:rPr>
          <w:noProof/>
        </w:rPr>
        <w:t xml:space="preserve">in Annex 4, a scenario-based sensitivity </w:t>
      </w:r>
      <w:r w:rsidR="00E61374" w:rsidRPr="00D37004">
        <w:rPr>
          <w:noProof/>
        </w:rPr>
        <w:t>analysis was carried out</w:t>
      </w:r>
      <w:r w:rsidR="00E61374" w:rsidRPr="00D37004" w:rsidDel="0023237C">
        <w:rPr>
          <w:noProof/>
        </w:rPr>
        <w:t xml:space="preserve"> </w:t>
      </w:r>
      <w:r w:rsidR="00E61374" w:rsidRPr="00D37004">
        <w:rPr>
          <w:noProof/>
        </w:rPr>
        <w:t xml:space="preserve">to understand how the output of the cost-benefit analysis </w:t>
      </w:r>
      <w:r w:rsidR="0023237C">
        <w:rPr>
          <w:noProof/>
        </w:rPr>
        <w:t xml:space="preserve">(CBA) </w:t>
      </w:r>
      <w:r w:rsidR="00E61374" w:rsidRPr="00D37004">
        <w:rPr>
          <w:noProof/>
        </w:rPr>
        <w:t xml:space="preserve">behaves in response to changes in its inputs </w:t>
      </w:r>
      <w:r w:rsidR="0023237C">
        <w:rPr>
          <w:noProof/>
        </w:rPr>
        <w:t>and assumptions</w:t>
      </w:r>
      <w:r w:rsidR="00E61374" w:rsidRPr="00D37004">
        <w:rPr>
          <w:noProof/>
        </w:rPr>
        <w:t xml:space="preserve">. </w:t>
      </w:r>
      <w:r w:rsidR="0023237C">
        <w:rPr>
          <w:noProof/>
        </w:rPr>
        <w:t xml:space="preserve">It was conducted to verify the uncertainty range (confidence </w:t>
      </w:r>
      <w:r w:rsidR="00424117">
        <w:rPr>
          <w:noProof/>
        </w:rPr>
        <w:t>interval</w:t>
      </w:r>
      <w:r w:rsidR="0023237C">
        <w:rPr>
          <w:noProof/>
        </w:rPr>
        <w:t xml:space="preserve">) of the values estimated in the CBA </w:t>
      </w:r>
      <w:r w:rsidR="00173973">
        <w:rPr>
          <w:noProof/>
        </w:rPr>
        <w:t>for the most impactful policy measures</w:t>
      </w:r>
      <w:r w:rsidR="00E53610">
        <w:rPr>
          <w:noProof/>
        </w:rPr>
        <w:t xml:space="preserve">. </w:t>
      </w:r>
      <w:r w:rsidR="00BA6ED3">
        <w:rPr>
          <w:noProof/>
        </w:rPr>
        <w:t>Given</w:t>
      </w:r>
      <w:r w:rsidR="00E6197E">
        <w:rPr>
          <w:noProof/>
        </w:rPr>
        <w:t xml:space="preserve"> the different design, target</w:t>
      </w:r>
      <w:r w:rsidR="004626B3">
        <w:rPr>
          <w:noProof/>
        </w:rPr>
        <w:t xml:space="preserve"> stakeholders, and the type of impacts generated, the variables under scrutiny are not uniform or comparable. Therefore, r</w:t>
      </w:r>
      <w:r w:rsidR="0037144A">
        <w:rPr>
          <w:noProof/>
        </w:rPr>
        <w:t>ather than applying a full sensitivity analysis</w:t>
      </w:r>
      <w:r w:rsidR="004626B3">
        <w:rPr>
          <w:noProof/>
        </w:rPr>
        <w:t xml:space="preserve">, </w:t>
      </w:r>
      <w:r w:rsidR="006A2F61">
        <w:rPr>
          <w:noProof/>
        </w:rPr>
        <w:t xml:space="preserve">a </w:t>
      </w:r>
      <w:r w:rsidR="004D4910">
        <w:rPr>
          <w:noProof/>
        </w:rPr>
        <w:t>b</w:t>
      </w:r>
      <w:r w:rsidR="005C36DE">
        <w:rPr>
          <w:noProof/>
        </w:rPr>
        <w:t>o</w:t>
      </w:r>
      <w:r w:rsidR="004D4910">
        <w:rPr>
          <w:noProof/>
        </w:rPr>
        <w:t>unded variation assessment</w:t>
      </w:r>
      <w:r w:rsidR="00947485">
        <w:rPr>
          <w:noProof/>
        </w:rPr>
        <w:t xml:space="preserve"> was per</w:t>
      </w:r>
      <w:r w:rsidR="00E540A5">
        <w:rPr>
          <w:noProof/>
        </w:rPr>
        <w:t xml:space="preserve">formed </w:t>
      </w:r>
      <w:r w:rsidR="00E53610">
        <w:rPr>
          <w:noProof/>
        </w:rPr>
        <w:t xml:space="preserve">by introducing minimum and maximum variation to </w:t>
      </w:r>
      <w:r w:rsidR="001B3162">
        <w:rPr>
          <w:noProof/>
        </w:rPr>
        <w:t>relevant</w:t>
      </w:r>
      <w:r w:rsidR="00E53610">
        <w:rPr>
          <w:noProof/>
        </w:rPr>
        <w:t xml:space="preserve"> parameters,</w:t>
      </w:r>
      <w:r w:rsidR="00E540A5">
        <w:rPr>
          <w:noProof/>
        </w:rPr>
        <w:t xml:space="preserve"> thus creating wor</w:t>
      </w:r>
      <w:r w:rsidR="005C36DE">
        <w:rPr>
          <w:noProof/>
        </w:rPr>
        <w:t>st</w:t>
      </w:r>
      <w:r w:rsidR="00E540A5">
        <w:rPr>
          <w:noProof/>
        </w:rPr>
        <w:t xml:space="preserve"> and best case scenario for each measure</w:t>
      </w:r>
      <w:r w:rsidR="00A16F69">
        <w:rPr>
          <w:rStyle w:val="FootnoteReference"/>
          <w:noProof/>
        </w:rPr>
        <w:footnoteReference w:id="131"/>
      </w:r>
      <w:r w:rsidR="00E540A5">
        <w:rPr>
          <w:noProof/>
        </w:rPr>
        <w:t>.</w:t>
      </w:r>
      <w:r w:rsidR="009C4286">
        <w:rPr>
          <w:noProof/>
        </w:rPr>
        <w:t xml:space="preserve"> </w:t>
      </w:r>
    </w:p>
    <w:p w14:paraId="4CDB8436" w14:textId="32878D71" w:rsidR="00E61374" w:rsidRPr="009B5B91" w:rsidRDefault="00E61374" w:rsidP="002D6F60">
      <w:pPr>
        <w:pStyle w:val="Heading2"/>
        <w:rPr>
          <w:rFonts w:eastAsiaTheme="minorEastAsia"/>
          <w:noProof/>
        </w:rPr>
      </w:pPr>
      <w:bookmarkStart w:id="77" w:name="_Toc216129282"/>
      <w:bookmarkStart w:id="78" w:name="_Toc230792749"/>
      <w:r w:rsidRPr="009B5B91">
        <w:rPr>
          <w:rFonts w:eastAsiaTheme="minorEastAsia"/>
          <w:noProof/>
        </w:rPr>
        <w:t>Comparison per criteria</w:t>
      </w:r>
      <w:bookmarkEnd w:id="77"/>
      <w:bookmarkEnd w:id="78"/>
      <w:r w:rsidRPr="009B5B91">
        <w:rPr>
          <w:rFonts w:eastAsiaTheme="minorEastAsia"/>
          <w:noProof/>
        </w:rPr>
        <w:t xml:space="preserve"> </w:t>
      </w:r>
    </w:p>
    <w:p w14:paraId="31EF47CB" w14:textId="5AF67826" w:rsidR="00442BEE" w:rsidRDefault="008922A2" w:rsidP="00E61374">
      <w:pPr>
        <w:rPr>
          <w:noProof/>
        </w:rPr>
      </w:pPr>
      <w:r>
        <w:rPr>
          <w:noProof/>
        </w:rPr>
        <w:t xml:space="preserve">The following </w:t>
      </w:r>
      <w:r w:rsidR="0079557A">
        <w:rPr>
          <w:noProof/>
        </w:rPr>
        <w:t>t</w:t>
      </w:r>
      <w:r>
        <w:rPr>
          <w:noProof/>
        </w:rPr>
        <w:t xml:space="preserve">able </w:t>
      </w:r>
      <w:r w:rsidR="0018192E">
        <w:rPr>
          <w:noProof/>
        </w:rPr>
        <w:t>synthesises</w:t>
      </w:r>
      <w:r>
        <w:rPr>
          <w:noProof/>
        </w:rPr>
        <w:t xml:space="preserve"> the qualitative and quantitative analysis </w:t>
      </w:r>
      <w:r w:rsidR="00CF1E5E">
        <w:rPr>
          <w:noProof/>
        </w:rPr>
        <w:t xml:space="preserve">presented in Section 6, summarising the potential impacts of the policy options </w:t>
      </w:r>
      <w:r w:rsidR="0018192E">
        <w:rPr>
          <w:noProof/>
        </w:rPr>
        <w:t>across economic, social and environmental dimensions.</w:t>
      </w:r>
    </w:p>
    <w:p w14:paraId="0B7917FF" w14:textId="2BA93390" w:rsidR="006A1098" w:rsidRDefault="006A1098" w:rsidP="006A1098">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14</w:t>
      </w:r>
      <w:r>
        <w:rPr>
          <w:noProof/>
        </w:rPr>
        <w:fldChar w:fldCharType="end"/>
      </w:r>
      <w:r>
        <w:rPr>
          <w:noProof/>
        </w:rPr>
        <w:t xml:space="preserve">. </w:t>
      </w:r>
      <w:r w:rsidR="00C62F15">
        <w:rPr>
          <w:noProof/>
        </w:rPr>
        <w:t>Summary of e</w:t>
      </w:r>
      <w:r>
        <w:rPr>
          <w:noProof/>
        </w:rPr>
        <w:t>conomic, social and environmental impact of the Policy Options</w:t>
      </w:r>
      <w:r w:rsidR="000F7801">
        <w:rPr>
          <w:noProof/>
        </w:rPr>
        <w:t>, relative to the baseline</w:t>
      </w:r>
    </w:p>
    <w:tbl>
      <w:tblPr>
        <w:tblStyle w:val="TableGrid"/>
        <w:tblW w:w="5000" w:type="pct"/>
        <w:tblLook w:val="04A0" w:firstRow="1" w:lastRow="0" w:firstColumn="1" w:lastColumn="0" w:noHBand="0" w:noVBand="1"/>
      </w:tblPr>
      <w:tblGrid>
        <w:gridCol w:w="3937"/>
        <w:gridCol w:w="961"/>
        <w:gridCol w:w="963"/>
        <w:gridCol w:w="964"/>
        <w:gridCol w:w="962"/>
        <w:gridCol w:w="964"/>
        <w:gridCol w:w="962"/>
      </w:tblGrid>
      <w:tr w:rsidR="0003244F" w:rsidRPr="00ED5E2F" w14:paraId="768DBD50" w14:textId="77777777" w:rsidTr="00DF16AF">
        <w:trPr>
          <w:tblHeader/>
        </w:trPr>
        <w:tc>
          <w:tcPr>
            <w:tcW w:w="2027" w:type="pct"/>
            <w:shd w:val="clear" w:color="auto" w:fill="0070C0"/>
          </w:tcPr>
          <w:p w14:paraId="6911FC38"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Criteria</w:t>
            </w:r>
          </w:p>
        </w:tc>
        <w:tc>
          <w:tcPr>
            <w:tcW w:w="495" w:type="pct"/>
            <w:shd w:val="clear" w:color="auto" w:fill="0070C0"/>
          </w:tcPr>
          <w:p w14:paraId="7205EB26"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PO1-A</w:t>
            </w:r>
          </w:p>
        </w:tc>
        <w:tc>
          <w:tcPr>
            <w:tcW w:w="496" w:type="pct"/>
            <w:shd w:val="clear" w:color="auto" w:fill="0070C0"/>
          </w:tcPr>
          <w:p w14:paraId="681B05D7"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PO1-B</w:t>
            </w:r>
          </w:p>
        </w:tc>
        <w:tc>
          <w:tcPr>
            <w:tcW w:w="496" w:type="pct"/>
            <w:shd w:val="clear" w:color="auto" w:fill="0070C0"/>
          </w:tcPr>
          <w:p w14:paraId="6FBBFED1"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PO1-C</w:t>
            </w:r>
          </w:p>
        </w:tc>
        <w:tc>
          <w:tcPr>
            <w:tcW w:w="495" w:type="pct"/>
            <w:shd w:val="clear" w:color="auto" w:fill="0070C0"/>
          </w:tcPr>
          <w:p w14:paraId="1A2B7F7B"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PO2-A</w:t>
            </w:r>
          </w:p>
        </w:tc>
        <w:tc>
          <w:tcPr>
            <w:tcW w:w="496" w:type="pct"/>
            <w:shd w:val="clear" w:color="auto" w:fill="0070C0"/>
          </w:tcPr>
          <w:p w14:paraId="11C6465D"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PO2-B</w:t>
            </w:r>
          </w:p>
        </w:tc>
        <w:tc>
          <w:tcPr>
            <w:tcW w:w="495" w:type="pct"/>
            <w:shd w:val="clear" w:color="auto" w:fill="0070C0"/>
          </w:tcPr>
          <w:p w14:paraId="7E86057E" w14:textId="77777777" w:rsidR="003F76D1" w:rsidRPr="00ED5E2F" w:rsidRDefault="003F76D1">
            <w:pPr>
              <w:spacing w:after="0"/>
              <w:rPr>
                <w:noProof/>
                <w:color w:val="FFFFFF" w:themeColor="background1"/>
                <w:sz w:val="20"/>
                <w:szCs w:val="20"/>
              </w:rPr>
            </w:pPr>
            <w:r w:rsidRPr="00ED5E2F">
              <w:rPr>
                <w:noProof/>
                <w:color w:val="FFFFFF" w:themeColor="background1"/>
                <w:sz w:val="20"/>
                <w:szCs w:val="20"/>
              </w:rPr>
              <w:t>PO2-C</w:t>
            </w:r>
          </w:p>
        </w:tc>
      </w:tr>
      <w:tr w:rsidR="0003244F" w:rsidRPr="00ED5E2F" w14:paraId="734D90D3" w14:textId="77777777" w:rsidTr="00DF16AF">
        <w:tc>
          <w:tcPr>
            <w:tcW w:w="2027" w:type="pct"/>
          </w:tcPr>
          <w:p w14:paraId="36A4A0B9" w14:textId="317B1157" w:rsidR="003F76D1" w:rsidRPr="00ED5E2F" w:rsidRDefault="5D228A66">
            <w:pPr>
              <w:spacing w:after="0"/>
              <w:rPr>
                <w:noProof/>
                <w:sz w:val="20"/>
                <w:szCs w:val="20"/>
              </w:rPr>
            </w:pPr>
            <w:r w:rsidRPr="008B21C6">
              <w:rPr>
                <w:b/>
                <w:bCs/>
                <w:noProof/>
                <w:sz w:val="20"/>
                <w:szCs w:val="20"/>
              </w:rPr>
              <w:t>Economic impact</w:t>
            </w:r>
          </w:p>
        </w:tc>
        <w:tc>
          <w:tcPr>
            <w:tcW w:w="495" w:type="pct"/>
          </w:tcPr>
          <w:p w14:paraId="64B69A05" w14:textId="36B9FEFA" w:rsidR="003F76D1" w:rsidRPr="00ED5E2F" w:rsidRDefault="00B36E66">
            <w:pPr>
              <w:spacing w:after="0"/>
              <w:jc w:val="center"/>
              <w:rPr>
                <w:noProof/>
                <w:sz w:val="20"/>
                <w:szCs w:val="20"/>
              </w:rPr>
            </w:pPr>
            <w:r>
              <w:rPr>
                <w:noProof/>
                <w:sz w:val="20"/>
                <w:szCs w:val="20"/>
              </w:rPr>
              <w:t>+</w:t>
            </w:r>
          </w:p>
        </w:tc>
        <w:tc>
          <w:tcPr>
            <w:tcW w:w="496" w:type="pct"/>
          </w:tcPr>
          <w:p w14:paraId="4C3F903A" w14:textId="24939469" w:rsidR="003F76D1" w:rsidRPr="00ED5E2F" w:rsidRDefault="00B36E66">
            <w:pPr>
              <w:spacing w:after="0"/>
              <w:jc w:val="center"/>
              <w:rPr>
                <w:noProof/>
                <w:sz w:val="20"/>
                <w:szCs w:val="20"/>
              </w:rPr>
            </w:pPr>
            <w:r>
              <w:rPr>
                <w:noProof/>
                <w:sz w:val="20"/>
                <w:szCs w:val="20"/>
              </w:rPr>
              <w:t>+++</w:t>
            </w:r>
          </w:p>
        </w:tc>
        <w:tc>
          <w:tcPr>
            <w:tcW w:w="496" w:type="pct"/>
          </w:tcPr>
          <w:p w14:paraId="3D8CD5D1" w14:textId="5D6AA037" w:rsidR="003F76D1" w:rsidRPr="00ED5E2F" w:rsidRDefault="00B36E66">
            <w:pPr>
              <w:spacing w:after="0"/>
              <w:jc w:val="center"/>
              <w:rPr>
                <w:noProof/>
                <w:sz w:val="20"/>
                <w:szCs w:val="20"/>
              </w:rPr>
            </w:pPr>
            <w:r>
              <w:rPr>
                <w:noProof/>
                <w:sz w:val="20"/>
                <w:szCs w:val="20"/>
              </w:rPr>
              <w:t>++</w:t>
            </w:r>
          </w:p>
        </w:tc>
        <w:tc>
          <w:tcPr>
            <w:tcW w:w="495" w:type="pct"/>
          </w:tcPr>
          <w:p w14:paraId="5EF3771C" w14:textId="4E8322D3" w:rsidR="003F76D1" w:rsidRPr="00ED5E2F" w:rsidRDefault="00B36E66">
            <w:pPr>
              <w:spacing w:after="0"/>
              <w:jc w:val="center"/>
              <w:rPr>
                <w:noProof/>
                <w:sz w:val="20"/>
                <w:szCs w:val="20"/>
              </w:rPr>
            </w:pPr>
            <w:r>
              <w:rPr>
                <w:noProof/>
                <w:sz w:val="20"/>
                <w:szCs w:val="20"/>
              </w:rPr>
              <w:t>+</w:t>
            </w:r>
          </w:p>
        </w:tc>
        <w:tc>
          <w:tcPr>
            <w:tcW w:w="496" w:type="pct"/>
          </w:tcPr>
          <w:p w14:paraId="3D2D5240" w14:textId="30E2F6A6" w:rsidR="003F76D1" w:rsidRPr="00ED5E2F" w:rsidRDefault="00B36E66">
            <w:pPr>
              <w:spacing w:after="0"/>
              <w:jc w:val="center"/>
              <w:rPr>
                <w:noProof/>
                <w:sz w:val="20"/>
                <w:szCs w:val="20"/>
              </w:rPr>
            </w:pPr>
            <w:r>
              <w:rPr>
                <w:noProof/>
                <w:sz w:val="20"/>
                <w:szCs w:val="20"/>
              </w:rPr>
              <w:t>++</w:t>
            </w:r>
          </w:p>
        </w:tc>
        <w:tc>
          <w:tcPr>
            <w:tcW w:w="495" w:type="pct"/>
          </w:tcPr>
          <w:p w14:paraId="0EB93C5E" w14:textId="4D44451C" w:rsidR="003F76D1" w:rsidRPr="00ED5E2F" w:rsidRDefault="00B36E66">
            <w:pPr>
              <w:spacing w:after="0"/>
              <w:jc w:val="center"/>
              <w:rPr>
                <w:noProof/>
                <w:sz w:val="20"/>
                <w:szCs w:val="20"/>
              </w:rPr>
            </w:pPr>
            <w:r>
              <w:rPr>
                <w:noProof/>
                <w:sz w:val="20"/>
                <w:szCs w:val="20"/>
              </w:rPr>
              <w:t>+++</w:t>
            </w:r>
          </w:p>
        </w:tc>
      </w:tr>
      <w:tr w:rsidR="0003244F" w:rsidRPr="00ED5E2F" w14:paraId="1E873195" w14:textId="77777777" w:rsidTr="00DF16AF">
        <w:tc>
          <w:tcPr>
            <w:tcW w:w="2027" w:type="pct"/>
          </w:tcPr>
          <w:p w14:paraId="01B9F514" w14:textId="4F66DDCD" w:rsidR="003F76D1" w:rsidRPr="008B21C6" w:rsidRDefault="00F120DD">
            <w:pPr>
              <w:spacing w:after="0"/>
              <w:rPr>
                <w:b/>
                <w:bCs/>
                <w:noProof/>
                <w:sz w:val="20"/>
                <w:szCs w:val="20"/>
              </w:rPr>
            </w:pPr>
            <w:r w:rsidRPr="008B21C6">
              <w:rPr>
                <w:b/>
                <w:bCs/>
                <w:noProof/>
                <w:sz w:val="20"/>
                <w:szCs w:val="20"/>
              </w:rPr>
              <w:t>Social impact</w:t>
            </w:r>
          </w:p>
        </w:tc>
        <w:tc>
          <w:tcPr>
            <w:tcW w:w="495" w:type="pct"/>
          </w:tcPr>
          <w:p w14:paraId="55FBAEA5" w14:textId="616E1C36" w:rsidR="003F76D1" w:rsidRPr="00ED5E2F" w:rsidRDefault="00DF2163">
            <w:pPr>
              <w:spacing w:after="0"/>
              <w:jc w:val="center"/>
              <w:rPr>
                <w:noProof/>
                <w:sz w:val="20"/>
                <w:szCs w:val="20"/>
              </w:rPr>
            </w:pPr>
            <w:r>
              <w:rPr>
                <w:noProof/>
                <w:sz w:val="20"/>
                <w:szCs w:val="20"/>
              </w:rPr>
              <w:t>+</w:t>
            </w:r>
          </w:p>
        </w:tc>
        <w:tc>
          <w:tcPr>
            <w:tcW w:w="496" w:type="pct"/>
          </w:tcPr>
          <w:p w14:paraId="3367DA7E" w14:textId="197DF4B3" w:rsidR="003F76D1" w:rsidRPr="00ED5E2F" w:rsidRDefault="00DF2163">
            <w:pPr>
              <w:spacing w:after="0"/>
              <w:jc w:val="center"/>
              <w:rPr>
                <w:noProof/>
                <w:sz w:val="20"/>
                <w:szCs w:val="20"/>
              </w:rPr>
            </w:pPr>
            <w:r>
              <w:rPr>
                <w:noProof/>
                <w:sz w:val="20"/>
                <w:szCs w:val="20"/>
              </w:rPr>
              <w:t>++</w:t>
            </w:r>
          </w:p>
        </w:tc>
        <w:tc>
          <w:tcPr>
            <w:tcW w:w="496" w:type="pct"/>
          </w:tcPr>
          <w:p w14:paraId="3235E97E" w14:textId="3E021086" w:rsidR="003F76D1" w:rsidRPr="00ED5E2F" w:rsidRDefault="00DF2163">
            <w:pPr>
              <w:spacing w:after="0"/>
              <w:jc w:val="center"/>
              <w:rPr>
                <w:noProof/>
                <w:sz w:val="20"/>
                <w:szCs w:val="20"/>
              </w:rPr>
            </w:pPr>
            <w:r>
              <w:rPr>
                <w:noProof/>
                <w:sz w:val="20"/>
                <w:szCs w:val="20"/>
              </w:rPr>
              <w:t>-</w:t>
            </w:r>
          </w:p>
        </w:tc>
        <w:tc>
          <w:tcPr>
            <w:tcW w:w="495" w:type="pct"/>
          </w:tcPr>
          <w:p w14:paraId="594B58D2" w14:textId="26613DF3" w:rsidR="003F76D1" w:rsidRPr="00ED5E2F" w:rsidRDefault="00D53E8B">
            <w:pPr>
              <w:spacing w:after="0"/>
              <w:jc w:val="center"/>
              <w:rPr>
                <w:noProof/>
                <w:sz w:val="20"/>
                <w:szCs w:val="20"/>
              </w:rPr>
            </w:pPr>
            <w:r>
              <w:rPr>
                <w:noProof/>
                <w:sz w:val="20"/>
                <w:szCs w:val="20"/>
              </w:rPr>
              <w:t>+</w:t>
            </w:r>
          </w:p>
        </w:tc>
        <w:tc>
          <w:tcPr>
            <w:tcW w:w="496" w:type="pct"/>
          </w:tcPr>
          <w:p w14:paraId="3A9B4628" w14:textId="6ABBF8BB" w:rsidR="003F76D1" w:rsidRPr="00ED5E2F" w:rsidRDefault="00D53E8B">
            <w:pPr>
              <w:spacing w:after="0"/>
              <w:jc w:val="center"/>
              <w:rPr>
                <w:noProof/>
                <w:sz w:val="20"/>
                <w:szCs w:val="20"/>
              </w:rPr>
            </w:pPr>
            <w:r>
              <w:rPr>
                <w:noProof/>
                <w:sz w:val="20"/>
                <w:szCs w:val="20"/>
              </w:rPr>
              <w:t>++</w:t>
            </w:r>
          </w:p>
        </w:tc>
        <w:tc>
          <w:tcPr>
            <w:tcW w:w="495" w:type="pct"/>
          </w:tcPr>
          <w:p w14:paraId="71DF4C83" w14:textId="2DBEDAB4" w:rsidR="003F76D1" w:rsidRPr="00ED5E2F" w:rsidRDefault="003516BF">
            <w:pPr>
              <w:spacing w:after="0"/>
              <w:jc w:val="center"/>
              <w:rPr>
                <w:noProof/>
                <w:sz w:val="20"/>
                <w:szCs w:val="20"/>
              </w:rPr>
            </w:pPr>
            <w:r>
              <w:rPr>
                <w:noProof/>
                <w:sz w:val="20"/>
                <w:szCs w:val="20"/>
              </w:rPr>
              <w:t>++</w:t>
            </w:r>
            <w:r w:rsidR="00C30168">
              <w:rPr>
                <w:noProof/>
                <w:sz w:val="20"/>
                <w:szCs w:val="20"/>
              </w:rPr>
              <w:t>+</w:t>
            </w:r>
          </w:p>
        </w:tc>
      </w:tr>
      <w:tr w:rsidR="0003244F" w:rsidRPr="00ED5E2F" w14:paraId="4690D746" w14:textId="77777777" w:rsidTr="00DF16AF">
        <w:tc>
          <w:tcPr>
            <w:tcW w:w="2027" w:type="pct"/>
          </w:tcPr>
          <w:p w14:paraId="4385DB80" w14:textId="5664AD78" w:rsidR="003F76D1" w:rsidRPr="008B21C6" w:rsidRDefault="00F120DD">
            <w:pPr>
              <w:spacing w:after="0"/>
              <w:rPr>
                <w:b/>
                <w:bCs/>
                <w:noProof/>
                <w:sz w:val="20"/>
                <w:szCs w:val="20"/>
              </w:rPr>
            </w:pPr>
            <w:r w:rsidRPr="008B21C6">
              <w:rPr>
                <w:b/>
                <w:bCs/>
                <w:noProof/>
                <w:sz w:val="20"/>
                <w:szCs w:val="20"/>
              </w:rPr>
              <w:t>Environmental impact</w:t>
            </w:r>
          </w:p>
        </w:tc>
        <w:tc>
          <w:tcPr>
            <w:tcW w:w="495" w:type="pct"/>
          </w:tcPr>
          <w:p w14:paraId="01428416" w14:textId="2B599404" w:rsidR="003F76D1" w:rsidRPr="00ED5E2F" w:rsidRDefault="00C543C2">
            <w:pPr>
              <w:spacing w:after="0"/>
              <w:jc w:val="center"/>
              <w:rPr>
                <w:noProof/>
                <w:sz w:val="20"/>
                <w:szCs w:val="20"/>
              </w:rPr>
            </w:pPr>
            <w:r>
              <w:rPr>
                <w:noProof/>
                <w:sz w:val="20"/>
                <w:szCs w:val="20"/>
              </w:rPr>
              <w:t>+</w:t>
            </w:r>
          </w:p>
        </w:tc>
        <w:tc>
          <w:tcPr>
            <w:tcW w:w="496" w:type="pct"/>
          </w:tcPr>
          <w:p w14:paraId="6FD1F783" w14:textId="0B845597" w:rsidR="003F76D1" w:rsidRPr="00ED5E2F" w:rsidRDefault="00C543C2">
            <w:pPr>
              <w:spacing w:after="0"/>
              <w:jc w:val="center"/>
              <w:rPr>
                <w:noProof/>
                <w:sz w:val="20"/>
                <w:szCs w:val="20"/>
              </w:rPr>
            </w:pPr>
            <w:r>
              <w:rPr>
                <w:noProof/>
                <w:sz w:val="20"/>
                <w:szCs w:val="20"/>
              </w:rPr>
              <w:t>-</w:t>
            </w:r>
          </w:p>
        </w:tc>
        <w:tc>
          <w:tcPr>
            <w:tcW w:w="496" w:type="pct"/>
          </w:tcPr>
          <w:p w14:paraId="65114D48" w14:textId="03D24726" w:rsidR="003F76D1" w:rsidRPr="00ED5E2F" w:rsidRDefault="00C543C2">
            <w:pPr>
              <w:spacing w:after="0"/>
              <w:jc w:val="center"/>
              <w:rPr>
                <w:noProof/>
                <w:sz w:val="20"/>
                <w:szCs w:val="20"/>
              </w:rPr>
            </w:pPr>
            <w:r>
              <w:rPr>
                <w:noProof/>
                <w:sz w:val="20"/>
                <w:szCs w:val="20"/>
              </w:rPr>
              <w:t>++</w:t>
            </w:r>
          </w:p>
        </w:tc>
        <w:tc>
          <w:tcPr>
            <w:tcW w:w="495" w:type="pct"/>
          </w:tcPr>
          <w:p w14:paraId="63CEAFBA" w14:textId="6C1FD083" w:rsidR="003F76D1" w:rsidRPr="00ED5E2F" w:rsidRDefault="00E82DDC">
            <w:pPr>
              <w:spacing w:after="0"/>
              <w:jc w:val="center"/>
              <w:rPr>
                <w:noProof/>
                <w:sz w:val="20"/>
                <w:szCs w:val="20"/>
              </w:rPr>
            </w:pPr>
            <w:r>
              <w:rPr>
                <w:noProof/>
                <w:sz w:val="20"/>
                <w:szCs w:val="20"/>
              </w:rPr>
              <w:t>o</w:t>
            </w:r>
          </w:p>
        </w:tc>
        <w:tc>
          <w:tcPr>
            <w:tcW w:w="496" w:type="pct"/>
          </w:tcPr>
          <w:p w14:paraId="0B3853FB" w14:textId="196A3B19" w:rsidR="003F76D1" w:rsidRPr="00ED5E2F" w:rsidRDefault="00D01D6D">
            <w:pPr>
              <w:spacing w:after="0"/>
              <w:jc w:val="center"/>
              <w:rPr>
                <w:noProof/>
                <w:sz w:val="20"/>
                <w:szCs w:val="20"/>
              </w:rPr>
            </w:pPr>
            <w:r>
              <w:rPr>
                <w:noProof/>
                <w:sz w:val="20"/>
                <w:szCs w:val="20"/>
              </w:rPr>
              <w:t>+</w:t>
            </w:r>
          </w:p>
        </w:tc>
        <w:tc>
          <w:tcPr>
            <w:tcW w:w="495" w:type="pct"/>
          </w:tcPr>
          <w:p w14:paraId="0AFA7CC2" w14:textId="3DD83AC1" w:rsidR="003F76D1" w:rsidRPr="00ED5E2F" w:rsidRDefault="00D01D6D">
            <w:pPr>
              <w:spacing w:after="0"/>
              <w:jc w:val="center"/>
              <w:rPr>
                <w:noProof/>
                <w:sz w:val="20"/>
                <w:szCs w:val="20"/>
              </w:rPr>
            </w:pPr>
            <w:r>
              <w:rPr>
                <w:noProof/>
                <w:sz w:val="20"/>
                <w:szCs w:val="20"/>
              </w:rPr>
              <w:t>+</w:t>
            </w:r>
          </w:p>
        </w:tc>
      </w:tr>
    </w:tbl>
    <w:p w14:paraId="0D611A97" w14:textId="08DEB648" w:rsidR="00B963DA" w:rsidRPr="00F65BD0" w:rsidRDefault="00B963DA" w:rsidP="00F65BD0">
      <w:pPr>
        <w:jc w:val="center"/>
        <w:rPr>
          <w:i/>
          <w:noProof/>
          <w:sz w:val="20"/>
          <w:szCs w:val="20"/>
        </w:rPr>
      </w:pPr>
      <w:r w:rsidRPr="00F65BD0">
        <w:rPr>
          <w:i/>
          <w:noProof/>
          <w:sz w:val="20"/>
          <w:szCs w:val="20"/>
        </w:rPr>
        <w:t xml:space="preserve">Legend: </w:t>
      </w:r>
      <w:r>
        <w:rPr>
          <w:i/>
          <w:iCs/>
          <w:noProof/>
          <w:sz w:val="20"/>
          <w:szCs w:val="20"/>
        </w:rPr>
        <w:t>o</w:t>
      </w:r>
      <w:r w:rsidRPr="00F65BD0">
        <w:rPr>
          <w:i/>
          <w:noProof/>
          <w:sz w:val="20"/>
          <w:szCs w:val="20"/>
        </w:rPr>
        <w:t xml:space="preserve"> neutral impact; + minor positive; ++ positive; +++ significant positive; - minor negative; -- negative impact; --- significant negative</w:t>
      </w:r>
      <w:r w:rsidR="009E226A">
        <w:rPr>
          <w:i/>
          <w:noProof/>
          <w:sz w:val="20"/>
          <w:szCs w:val="20"/>
        </w:rPr>
        <w:t>, all with respect to the baseline</w:t>
      </w:r>
      <w:r w:rsidRPr="00F65BD0">
        <w:rPr>
          <w:i/>
          <w:noProof/>
          <w:sz w:val="20"/>
          <w:szCs w:val="20"/>
        </w:rPr>
        <w:t xml:space="preserve"> </w:t>
      </w:r>
    </w:p>
    <w:p w14:paraId="4593ABC8" w14:textId="64F8F7EC" w:rsidR="00111280" w:rsidRDefault="00957FE1" w:rsidP="003F76D1">
      <w:pPr>
        <w:spacing w:before="120"/>
        <w:rPr>
          <w:noProof/>
        </w:rPr>
      </w:pPr>
      <w:r>
        <w:rPr>
          <w:noProof/>
        </w:rPr>
        <w:t xml:space="preserve">With respect to their </w:t>
      </w:r>
      <w:r w:rsidRPr="00521C7C">
        <w:rPr>
          <w:b/>
          <w:bCs/>
          <w:noProof/>
        </w:rPr>
        <w:t>economic impact</w:t>
      </w:r>
      <w:r w:rsidR="002A01D0">
        <w:rPr>
          <w:rStyle w:val="FootnoteReference"/>
          <w:noProof/>
          <w:sz w:val="20"/>
          <w:szCs w:val="20"/>
        </w:rPr>
        <w:footnoteReference w:id="132"/>
      </w:r>
      <w:r w:rsidR="00856E27">
        <w:rPr>
          <w:noProof/>
        </w:rPr>
        <w:t xml:space="preserve">, PO1-B and PO2-C </w:t>
      </w:r>
      <w:r w:rsidR="005B7C7D">
        <w:rPr>
          <w:noProof/>
        </w:rPr>
        <w:t xml:space="preserve">are expected to </w:t>
      </w:r>
      <w:r w:rsidR="00856E27">
        <w:rPr>
          <w:noProof/>
        </w:rPr>
        <w:t xml:space="preserve">deliver the strongest outcomes, </w:t>
      </w:r>
      <w:r>
        <w:rPr>
          <w:noProof/>
        </w:rPr>
        <w:t xml:space="preserve">mainly </w:t>
      </w:r>
      <w:r w:rsidR="00856E27">
        <w:rPr>
          <w:noProof/>
        </w:rPr>
        <w:t xml:space="preserve">driven by </w:t>
      </w:r>
      <w:r w:rsidR="00D32B23">
        <w:rPr>
          <w:noProof/>
        </w:rPr>
        <w:t>long-term benefits</w:t>
      </w:r>
      <w:r w:rsidR="002F1D24">
        <w:rPr>
          <w:noProof/>
        </w:rPr>
        <w:t xml:space="preserve"> due to </w:t>
      </w:r>
      <w:r w:rsidR="00856E27">
        <w:rPr>
          <w:noProof/>
        </w:rPr>
        <w:t>accelerated infrastructure developmen</w:t>
      </w:r>
      <w:r w:rsidR="001E21D7">
        <w:rPr>
          <w:noProof/>
        </w:rPr>
        <w:t>t, joint procurement and cloud federation among Member States</w:t>
      </w:r>
      <w:r w:rsidR="00856E27">
        <w:rPr>
          <w:noProof/>
        </w:rPr>
        <w:t>.</w:t>
      </w:r>
      <w:r w:rsidR="00017C6C">
        <w:rPr>
          <w:noProof/>
        </w:rPr>
        <w:t xml:space="preserve"> </w:t>
      </w:r>
      <w:r w:rsidR="007B2755">
        <w:rPr>
          <w:noProof/>
        </w:rPr>
        <w:t xml:space="preserve">PO1-A delivers only modest benefits, limited to administrative simplification and minor efficiency. </w:t>
      </w:r>
      <w:r w:rsidR="00DB07AF">
        <w:rPr>
          <w:noProof/>
        </w:rPr>
        <w:t xml:space="preserve">By issuing guidelines and reinforcing the current </w:t>
      </w:r>
      <w:r w:rsidR="00D84D93">
        <w:rPr>
          <w:noProof/>
        </w:rPr>
        <w:t xml:space="preserve">collaborative framework between data centre developers, cloud service providers, energy actors, public authorities and other relevant stakeholders, the option would reduce some uncertainty around data centre planning and deployment. Data centre operators and authorities would benefit from greater predictability in permitting and common engagement. However, because this option would not introduce binding legal changes, dedicated support or formal deployment mechanisms, its impact on investment decisions would remain modest. </w:t>
      </w:r>
      <w:r w:rsidR="002A3516">
        <w:rPr>
          <w:noProof/>
        </w:rPr>
        <w:t xml:space="preserve">In terms of innovation and technological sovereignty, this option </w:t>
      </w:r>
      <w:r w:rsidR="000B3132">
        <w:rPr>
          <w:noProof/>
        </w:rPr>
        <w:t>could help create a more predictable environment for data centre development but would not change Europe’s ability to scale cloud computing capacity</w:t>
      </w:r>
      <w:r w:rsidR="002F190D">
        <w:rPr>
          <w:noProof/>
        </w:rPr>
        <w:t>. Wider economic effects would also be positive but limited</w:t>
      </w:r>
      <w:r w:rsidR="00662E93">
        <w:rPr>
          <w:noProof/>
        </w:rPr>
        <w:t xml:space="preserve">, considering the reduced friction, better information flows and improvements in investment conditions. </w:t>
      </w:r>
      <w:r w:rsidR="007B2755">
        <w:rPr>
          <w:noProof/>
        </w:rPr>
        <w:t xml:space="preserve">PO1-B </w:t>
      </w:r>
      <w:r w:rsidR="004B1341">
        <w:rPr>
          <w:noProof/>
        </w:rPr>
        <w:t xml:space="preserve">is expected to have a more significant economic impact, as it would </w:t>
      </w:r>
      <w:r w:rsidR="007B2755">
        <w:rPr>
          <w:noProof/>
        </w:rPr>
        <w:t>generate the strongest</w:t>
      </w:r>
      <w:r w:rsidR="00540005">
        <w:rPr>
          <w:noProof/>
        </w:rPr>
        <w:t xml:space="preserve"> </w:t>
      </w:r>
      <w:r w:rsidR="00311639">
        <w:rPr>
          <w:noProof/>
        </w:rPr>
        <w:t>infrastructure</w:t>
      </w:r>
      <w:r w:rsidR="00540005">
        <w:rPr>
          <w:noProof/>
        </w:rPr>
        <w:t xml:space="preserve"> related</w:t>
      </w:r>
      <w:r w:rsidR="007B2755">
        <w:rPr>
          <w:noProof/>
        </w:rPr>
        <w:t xml:space="preserve"> </w:t>
      </w:r>
      <w:r w:rsidR="000C7E17">
        <w:rPr>
          <w:noProof/>
        </w:rPr>
        <w:t>economic benefits</w:t>
      </w:r>
      <w:r w:rsidR="00540005">
        <w:rPr>
          <w:noProof/>
        </w:rPr>
        <w:t>, driven by increased computing capacity</w:t>
      </w:r>
      <w:r w:rsidR="00EF1E8D">
        <w:rPr>
          <w:noProof/>
        </w:rPr>
        <w:t xml:space="preserve">. </w:t>
      </w:r>
      <w:r w:rsidR="003D6E10">
        <w:rPr>
          <w:noProof/>
        </w:rPr>
        <w:t>By promoting legislative and financial measures in the form of project facilitators</w:t>
      </w:r>
      <w:r w:rsidR="00911DE1">
        <w:rPr>
          <w:noProof/>
        </w:rPr>
        <w:t xml:space="preserve"> for data centre deployment, areas for fast-track sustainable development,</w:t>
      </w:r>
      <w:r w:rsidR="00C54F96">
        <w:rPr>
          <w:noProof/>
        </w:rPr>
        <w:t xml:space="preserve"> possible national funding mechanisms for priority projects</w:t>
      </w:r>
      <w:r w:rsidR="00D764C1">
        <w:rPr>
          <w:noProof/>
        </w:rPr>
        <w:t xml:space="preserve"> and monitoring of capacity, this option would create stronger incentives for investment</w:t>
      </w:r>
      <w:r w:rsidR="002A2796">
        <w:rPr>
          <w:noProof/>
        </w:rPr>
        <w:t xml:space="preserve">. Reducing </w:t>
      </w:r>
      <w:r w:rsidR="00D764C1">
        <w:rPr>
          <w:noProof/>
        </w:rPr>
        <w:t xml:space="preserve">delays linked to data centre deployment </w:t>
      </w:r>
      <w:r w:rsidR="002A2796">
        <w:rPr>
          <w:noProof/>
        </w:rPr>
        <w:t>would consequently decrease their</w:t>
      </w:r>
      <w:r w:rsidR="00D9017C">
        <w:rPr>
          <w:noProof/>
        </w:rPr>
        <w:t xml:space="preserve"> time to market and </w:t>
      </w:r>
      <w:r w:rsidR="002A2796">
        <w:rPr>
          <w:noProof/>
        </w:rPr>
        <w:t>potentially further</w:t>
      </w:r>
      <w:r w:rsidR="00D9017C">
        <w:rPr>
          <w:noProof/>
        </w:rPr>
        <w:t xml:space="preserve"> crowd in private investment. </w:t>
      </w:r>
      <w:r w:rsidR="006D38BD">
        <w:rPr>
          <w:noProof/>
        </w:rPr>
        <w:t xml:space="preserve">For data centre operators the main benefits would stem from more predictable permitting procedures, clearer administrative pathways </w:t>
      </w:r>
      <w:r w:rsidR="00391BE8">
        <w:rPr>
          <w:noProof/>
        </w:rPr>
        <w:t>and potentially lower risks</w:t>
      </w:r>
      <w:r w:rsidR="00B2281D">
        <w:rPr>
          <w:noProof/>
        </w:rPr>
        <w:t>.</w:t>
      </w:r>
      <w:r w:rsidR="00717952">
        <w:rPr>
          <w:noProof/>
        </w:rPr>
        <w:t xml:space="preserve"> </w:t>
      </w:r>
      <w:r w:rsidR="005B0B0B">
        <w:rPr>
          <w:noProof/>
        </w:rPr>
        <w:t xml:space="preserve">Increased attractiveness of the Union for investment decisions would also help address regional capacity gaps. </w:t>
      </w:r>
      <w:r w:rsidR="003E1D5A">
        <w:rPr>
          <w:noProof/>
        </w:rPr>
        <w:t>For public authorities, this option would involve higher administrative responsibilities than PO1-A, as they would need to designate these zones</w:t>
      </w:r>
      <w:r w:rsidR="00196F1A">
        <w:rPr>
          <w:noProof/>
        </w:rPr>
        <w:t xml:space="preserve"> and contribute to setting up project facilitators</w:t>
      </w:r>
      <w:r w:rsidR="00942CC3">
        <w:rPr>
          <w:noProof/>
        </w:rPr>
        <w:t>. These costs are expected to be offset by broader economic benefits</w:t>
      </w:r>
      <w:r w:rsidR="007D0806">
        <w:rPr>
          <w:noProof/>
        </w:rPr>
        <w:t>, including increased investment</w:t>
      </w:r>
      <w:r w:rsidR="00D72D1E">
        <w:rPr>
          <w:noProof/>
        </w:rPr>
        <w:t>, job creation and local infrastructure development.</w:t>
      </w:r>
      <w:r w:rsidR="00C12677">
        <w:rPr>
          <w:noProof/>
        </w:rPr>
        <w:t xml:space="preserve"> This would also contribute </w:t>
      </w:r>
      <w:r w:rsidR="00AC66F9">
        <w:rPr>
          <w:noProof/>
        </w:rPr>
        <w:t>to strengthen the infrastructure based needed to develop cloud solutions, AI and support digitalisation in the public and private sector.</w:t>
      </w:r>
      <w:r w:rsidR="00192768">
        <w:rPr>
          <w:noProof/>
        </w:rPr>
        <w:t xml:space="preserve"> </w:t>
      </w:r>
      <w:r w:rsidR="00D77509">
        <w:rPr>
          <w:noProof/>
        </w:rPr>
        <w:t xml:space="preserve">Under this option the Commission’s role would focus on monitoring capacity, supporting coordination across Member States and ensuring consistency with other EU-level objectives. </w:t>
      </w:r>
      <w:r w:rsidR="003D6E18" w:rsidRPr="003D6E18">
        <w:rPr>
          <w:noProof/>
        </w:rPr>
        <w:t xml:space="preserve">PO1-C also produces gains through EU-level fast-tracking and funding, but these remain below PO1-B due to smaller </w:t>
      </w:r>
      <w:r w:rsidR="003D6E18">
        <w:rPr>
          <w:noProof/>
        </w:rPr>
        <w:t xml:space="preserve">expected </w:t>
      </w:r>
      <w:r w:rsidR="003D6E18" w:rsidRPr="003D6E18">
        <w:rPr>
          <w:noProof/>
        </w:rPr>
        <w:t xml:space="preserve">time savings and </w:t>
      </w:r>
      <w:r w:rsidR="003D6E18">
        <w:rPr>
          <w:noProof/>
        </w:rPr>
        <w:t xml:space="preserve">a </w:t>
      </w:r>
      <w:r w:rsidR="003D6E18" w:rsidRPr="003D6E18">
        <w:rPr>
          <w:noProof/>
        </w:rPr>
        <w:t>more centralised implementation</w:t>
      </w:r>
      <w:r w:rsidR="003D6E18">
        <w:rPr>
          <w:noProof/>
        </w:rPr>
        <w:t xml:space="preserve">, </w:t>
      </w:r>
      <w:r w:rsidR="00EB444F">
        <w:rPr>
          <w:noProof/>
        </w:rPr>
        <w:t>which is expected to reduce</w:t>
      </w:r>
      <w:r w:rsidR="003D6E18">
        <w:rPr>
          <w:noProof/>
        </w:rPr>
        <w:t xml:space="preserve"> its effectiveness</w:t>
      </w:r>
      <w:r w:rsidR="003D6E18" w:rsidRPr="003D6E18">
        <w:rPr>
          <w:noProof/>
        </w:rPr>
        <w:t>.</w:t>
      </w:r>
      <w:r w:rsidR="00005482">
        <w:rPr>
          <w:noProof/>
        </w:rPr>
        <w:t xml:space="preserve"> </w:t>
      </w:r>
      <w:r w:rsidR="00F8748D">
        <w:rPr>
          <w:noProof/>
        </w:rPr>
        <w:t xml:space="preserve">The evidence collected suggests that the expected economic benefits under this option would be weakened by implementation </w:t>
      </w:r>
      <w:r w:rsidR="00C72C63">
        <w:rPr>
          <w:noProof/>
        </w:rPr>
        <w:t xml:space="preserve">delays due to the additional coordination and </w:t>
      </w:r>
      <w:r w:rsidR="0057303F">
        <w:rPr>
          <w:noProof/>
        </w:rPr>
        <w:t xml:space="preserve">governance arrangements. </w:t>
      </w:r>
      <w:r w:rsidR="001D03E0">
        <w:rPr>
          <w:noProof/>
        </w:rPr>
        <w:t>For operators</w:t>
      </w:r>
      <w:r w:rsidR="00D123D4">
        <w:rPr>
          <w:noProof/>
        </w:rPr>
        <w:t xml:space="preserve"> this would reduce the value of EU-level deployment and support.</w:t>
      </w:r>
      <w:r w:rsidR="00E12118">
        <w:rPr>
          <w:noProof/>
        </w:rPr>
        <w:t xml:space="preserve"> For public authorities, the option</w:t>
      </w:r>
      <w:r w:rsidR="007B51AA">
        <w:rPr>
          <w:noProof/>
        </w:rPr>
        <w:t xml:space="preserve"> could offer long-term benefits by creating a more coherent EU-level mechanism for data centre deployment</w:t>
      </w:r>
      <w:r w:rsidR="00691E43">
        <w:rPr>
          <w:noProof/>
        </w:rPr>
        <w:t xml:space="preserve">. However, the need to coordinate </w:t>
      </w:r>
      <w:r w:rsidR="002C190E">
        <w:rPr>
          <w:noProof/>
        </w:rPr>
        <w:t>at EU level is expected to create administrative complexity</w:t>
      </w:r>
      <w:r w:rsidR="00F70FA0">
        <w:rPr>
          <w:noProof/>
        </w:rPr>
        <w:t xml:space="preserve">, as national authorities would still need to </w:t>
      </w:r>
      <w:r w:rsidR="00693299">
        <w:rPr>
          <w:noProof/>
        </w:rPr>
        <w:t>be involved in permitting, zoning</w:t>
      </w:r>
      <w:r w:rsidR="00FB5A66">
        <w:rPr>
          <w:noProof/>
        </w:rPr>
        <w:t>, energy coordination, environmental assessments and</w:t>
      </w:r>
      <w:r w:rsidR="00513153">
        <w:rPr>
          <w:noProof/>
        </w:rPr>
        <w:t xml:space="preserve"> local processes, including community engagement. </w:t>
      </w:r>
      <w:r w:rsidR="00C362C2">
        <w:rPr>
          <w:noProof/>
        </w:rPr>
        <w:t>The option could still have a relevant economic impact but the evidence collected suggests that this would be slower to materialise and less effective in addressing deployment bottlenecks and national decision making procedures.</w:t>
      </w:r>
      <w:r w:rsidR="00005482" w:rsidRPr="00005482">
        <w:rPr>
          <w:noProof/>
        </w:rPr>
        <w:t xml:space="preserve"> PO2-A yields limited economic benefits</w:t>
      </w:r>
      <w:r w:rsidR="002808BE">
        <w:rPr>
          <w:noProof/>
        </w:rPr>
        <w:t xml:space="preserve"> by increasing transparency and visibility of sovereign cloud and AI computing services</w:t>
      </w:r>
      <w:r w:rsidR="00005482" w:rsidRPr="00005482">
        <w:rPr>
          <w:noProof/>
        </w:rPr>
        <w:t xml:space="preserve">, </w:t>
      </w:r>
      <w:r w:rsidR="00F106C0">
        <w:rPr>
          <w:noProof/>
        </w:rPr>
        <w:t>with</w:t>
      </w:r>
      <w:r w:rsidR="00005482" w:rsidRPr="00005482">
        <w:rPr>
          <w:noProof/>
        </w:rPr>
        <w:t xml:space="preserve"> </w:t>
      </w:r>
      <w:r w:rsidR="003808FA">
        <w:rPr>
          <w:noProof/>
        </w:rPr>
        <w:t xml:space="preserve">overall </w:t>
      </w:r>
      <w:r w:rsidR="00DB0DF6">
        <w:rPr>
          <w:noProof/>
        </w:rPr>
        <w:t>net costs aggregated across stakeholders</w:t>
      </w:r>
      <w:r w:rsidR="00005482" w:rsidRPr="00005482">
        <w:rPr>
          <w:noProof/>
        </w:rPr>
        <w:t xml:space="preserve">. </w:t>
      </w:r>
      <w:r w:rsidR="000E5901">
        <w:rPr>
          <w:noProof/>
        </w:rPr>
        <w:t xml:space="preserve">For cloud service providers, especially smaller European ones, this option could still reduce barriers to market entry and help </w:t>
      </w:r>
      <w:r w:rsidR="005A4140">
        <w:rPr>
          <w:noProof/>
        </w:rPr>
        <w:t>users better understand available services. However, due to the non-binding nature of the measures, the impact on actual demand and procurement behaviour would be limited.</w:t>
      </w:r>
      <w:r w:rsidR="005D4806">
        <w:rPr>
          <w:noProof/>
        </w:rPr>
        <w:t xml:space="preserve"> Similarly, the impact on technological sovereignty would be positive but modest</w:t>
      </w:r>
      <w:r w:rsidR="003E7B2F">
        <w:rPr>
          <w:noProof/>
        </w:rPr>
        <w:t xml:space="preserve">, contributing the overall positive but minor economic impact of this option. </w:t>
      </w:r>
      <w:r w:rsidR="00005482" w:rsidRPr="00005482">
        <w:rPr>
          <w:noProof/>
        </w:rPr>
        <w:t xml:space="preserve">PO2-B </w:t>
      </w:r>
      <w:r w:rsidR="000F1C94">
        <w:rPr>
          <w:noProof/>
        </w:rPr>
        <w:t>is expected to improve</w:t>
      </w:r>
      <w:r w:rsidR="00005482" w:rsidRPr="00005482">
        <w:rPr>
          <w:noProof/>
        </w:rPr>
        <w:t xml:space="preserve"> </w:t>
      </w:r>
      <w:r w:rsidR="000F1C94">
        <w:rPr>
          <w:noProof/>
        </w:rPr>
        <w:t>economic</w:t>
      </w:r>
      <w:r w:rsidR="00005482" w:rsidRPr="00005482">
        <w:rPr>
          <w:noProof/>
        </w:rPr>
        <w:t xml:space="preserve"> outcomes by reducing cross-border compliance costs and increasing trust in sovereign services, generating </w:t>
      </w:r>
      <w:r w:rsidR="00DB0DF6">
        <w:rPr>
          <w:noProof/>
        </w:rPr>
        <w:t>net benefits</w:t>
      </w:r>
      <w:r w:rsidR="00005482" w:rsidRPr="00005482">
        <w:rPr>
          <w:noProof/>
        </w:rPr>
        <w:t xml:space="preserve">. </w:t>
      </w:r>
      <w:r w:rsidR="004F445A">
        <w:rPr>
          <w:noProof/>
        </w:rPr>
        <w:t>Providers would be able to leverage the voluntary frameworks to</w:t>
      </w:r>
      <w:r w:rsidR="007531C6">
        <w:rPr>
          <w:noProof/>
        </w:rPr>
        <w:t xml:space="preserve"> create reputational and market benefits</w:t>
      </w:r>
      <w:r w:rsidR="00643B2C">
        <w:rPr>
          <w:noProof/>
        </w:rPr>
        <w:t xml:space="preserve">. </w:t>
      </w:r>
      <w:r w:rsidR="005F5BB7">
        <w:rPr>
          <w:noProof/>
        </w:rPr>
        <w:t xml:space="preserve">Wider economic benefits are expected and </w:t>
      </w:r>
      <w:r w:rsidR="0091015A">
        <w:rPr>
          <w:noProof/>
        </w:rPr>
        <w:t>could include increased demand for sovereign services</w:t>
      </w:r>
      <w:r w:rsidR="00A52029">
        <w:rPr>
          <w:noProof/>
        </w:rPr>
        <w:t xml:space="preserve"> and overall</w:t>
      </w:r>
      <w:r w:rsidR="0091015A">
        <w:rPr>
          <w:noProof/>
        </w:rPr>
        <w:t xml:space="preserve"> stronger</w:t>
      </w:r>
      <w:r w:rsidR="00A52029">
        <w:rPr>
          <w:noProof/>
        </w:rPr>
        <w:t xml:space="preserve"> market</w:t>
      </w:r>
      <w:r w:rsidR="0091015A">
        <w:rPr>
          <w:noProof/>
        </w:rPr>
        <w:t xml:space="preserve"> competition</w:t>
      </w:r>
      <w:r w:rsidR="00A52029">
        <w:rPr>
          <w:noProof/>
        </w:rPr>
        <w:t xml:space="preserve">. </w:t>
      </w:r>
      <w:r w:rsidR="001C73B9">
        <w:rPr>
          <w:noProof/>
        </w:rPr>
        <w:t xml:space="preserve">However, while recognising the positive economic impact of the option on different stakeholders, its effectiveness in achieving these results would ultimately depend on market uptake and public sector adoption. </w:t>
      </w:r>
      <w:r w:rsidR="00005482" w:rsidRPr="00005482">
        <w:rPr>
          <w:noProof/>
        </w:rPr>
        <w:t>PO2-C</w:t>
      </w:r>
      <w:r w:rsidR="00005482" w:rsidDel="00D32B23">
        <w:rPr>
          <w:noProof/>
        </w:rPr>
        <w:t xml:space="preserve"> </w:t>
      </w:r>
      <w:r w:rsidR="00D32B23">
        <w:rPr>
          <w:noProof/>
        </w:rPr>
        <w:t xml:space="preserve">builds on PO2-B and is thus </w:t>
      </w:r>
      <w:r w:rsidR="00005482">
        <w:rPr>
          <w:noProof/>
        </w:rPr>
        <w:t>expected to deliver</w:t>
      </w:r>
      <w:r w:rsidR="00005482" w:rsidRPr="00005482">
        <w:rPr>
          <w:noProof/>
        </w:rPr>
        <w:t xml:space="preserve"> the largest economic impact, despite higher costs</w:t>
      </w:r>
      <w:r w:rsidR="00D32B23">
        <w:rPr>
          <w:noProof/>
        </w:rPr>
        <w:t xml:space="preserve">. The </w:t>
      </w:r>
      <w:r w:rsidR="00B3428A">
        <w:rPr>
          <w:noProof/>
        </w:rPr>
        <w:t>sovereignty risk assessment is expected to enable a once-only audit process across MS</w:t>
      </w:r>
      <w:r w:rsidR="00D32B23">
        <w:rPr>
          <w:noProof/>
        </w:rPr>
        <w:t xml:space="preserve"> with significant savings for providers</w:t>
      </w:r>
      <w:r w:rsidR="00005482" w:rsidRPr="00005482">
        <w:rPr>
          <w:noProof/>
        </w:rPr>
        <w:t xml:space="preserve">, </w:t>
      </w:r>
      <w:r w:rsidR="00D32B23">
        <w:rPr>
          <w:noProof/>
        </w:rPr>
        <w:t xml:space="preserve">whereas the </w:t>
      </w:r>
      <w:r w:rsidR="00005482" w:rsidRPr="00005482">
        <w:rPr>
          <w:noProof/>
        </w:rPr>
        <w:t>joint procurement</w:t>
      </w:r>
      <w:r w:rsidR="00005482" w:rsidRPr="00005482" w:rsidDel="003740A5">
        <w:rPr>
          <w:noProof/>
        </w:rPr>
        <w:t xml:space="preserve"> and </w:t>
      </w:r>
      <w:r w:rsidR="001311D7">
        <w:rPr>
          <w:noProof/>
        </w:rPr>
        <w:t>federation</w:t>
      </w:r>
      <w:r w:rsidR="00D32B23">
        <w:rPr>
          <w:noProof/>
        </w:rPr>
        <w:t xml:space="preserve"> mechanism are expected </w:t>
      </w:r>
      <w:r w:rsidR="00383B19">
        <w:rPr>
          <w:noProof/>
        </w:rPr>
        <w:t>to enable savings for authorities</w:t>
      </w:r>
      <w:r w:rsidR="00CD7DB5">
        <w:rPr>
          <w:noProof/>
        </w:rPr>
        <w:t xml:space="preserve"> procuring cloud and AI computing services and exchanging their idle compute capacity. </w:t>
      </w:r>
      <w:r w:rsidR="009D2BFA">
        <w:rPr>
          <w:noProof/>
        </w:rPr>
        <w:t xml:space="preserve">The impact of this option on innovation and technological sovereignty is expected to be substantial. By using public demand strategically, the </w:t>
      </w:r>
      <w:r w:rsidR="005012B4">
        <w:rPr>
          <w:noProof/>
        </w:rPr>
        <w:t>public sector could support the development and scaling of sovereign cloud and AI computing services, while</w:t>
      </w:r>
      <w:r w:rsidR="00F14D93">
        <w:rPr>
          <w:noProof/>
        </w:rPr>
        <w:t xml:space="preserve"> still</w:t>
      </w:r>
      <w:r w:rsidR="005012B4">
        <w:rPr>
          <w:noProof/>
        </w:rPr>
        <w:t xml:space="preserve"> leaving</w:t>
      </w:r>
      <w:r w:rsidR="00F14D93">
        <w:rPr>
          <w:noProof/>
        </w:rPr>
        <w:t xml:space="preserve"> to</w:t>
      </w:r>
      <w:r w:rsidR="005012B4">
        <w:rPr>
          <w:noProof/>
        </w:rPr>
        <w:t xml:space="preserve"> </w:t>
      </w:r>
      <w:r w:rsidR="00F14D93">
        <w:rPr>
          <w:noProof/>
        </w:rPr>
        <w:t>non-European providers a relevant share of the market, based on MS needs and individual assessments.</w:t>
      </w:r>
      <w:r w:rsidR="005012B4">
        <w:rPr>
          <w:noProof/>
        </w:rPr>
        <w:t xml:space="preserve"> </w:t>
      </w:r>
      <w:r w:rsidR="00EF2E7D">
        <w:rPr>
          <w:noProof/>
        </w:rPr>
        <w:t>Wider economic effects would include increased competition,</w:t>
      </w:r>
      <w:r w:rsidR="0095111C">
        <w:rPr>
          <w:noProof/>
        </w:rPr>
        <w:t xml:space="preserve"> higher productivity through broader adoption of advanced cloud and AI computing services, greater resilience of digital supply chains and stronger opportunity for European SMEs. </w:t>
      </w:r>
      <w:r w:rsidR="00F26B74">
        <w:rPr>
          <w:noProof/>
        </w:rPr>
        <w:t>While dire</w:t>
      </w:r>
      <w:r w:rsidR="001957C2">
        <w:rPr>
          <w:noProof/>
        </w:rPr>
        <w:t xml:space="preserve">ct economic impacts were more robustly quantifiable, </w:t>
      </w:r>
      <w:r w:rsidR="001957C2" w:rsidRPr="00521C7C">
        <w:rPr>
          <w:b/>
          <w:bCs/>
          <w:noProof/>
        </w:rPr>
        <w:t xml:space="preserve">social impacts </w:t>
      </w:r>
      <w:r w:rsidR="001957C2">
        <w:rPr>
          <w:noProof/>
        </w:rPr>
        <w:t xml:space="preserve">were not monetised due to the absence of data on willingness to pay or stated preferences. </w:t>
      </w:r>
      <w:r w:rsidR="006F2AD7">
        <w:rPr>
          <w:noProof/>
        </w:rPr>
        <w:t xml:space="preserve">The </w:t>
      </w:r>
      <w:r w:rsidR="00224137" w:rsidRPr="00AC64E7">
        <w:rPr>
          <w:noProof/>
        </w:rPr>
        <w:t>impacts</w:t>
      </w:r>
      <w:r w:rsidR="00224137" w:rsidRPr="00224137">
        <w:rPr>
          <w:noProof/>
        </w:rPr>
        <w:t xml:space="preserve"> </w:t>
      </w:r>
      <w:r w:rsidR="00C503D5">
        <w:rPr>
          <w:noProof/>
        </w:rPr>
        <w:t>considered</w:t>
      </w:r>
      <w:r w:rsidR="005637A3">
        <w:rPr>
          <w:noProof/>
        </w:rPr>
        <w:t xml:space="preserve"> </w:t>
      </w:r>
      <w:r w:rsidR="006F2AD7">
        <w:rPr>
          <w:noProof/>
        </w:rPr>
        <w:t xml:space="preserve">include </w:t>
      </w:r>
      <w:r w:rsidR="005637A3">
        <w:rPr>
          <w:noProof/>
        </w:rPr>
        <w:t>differences in employment</w:t>
      </w:r>
      <w:r w:rsidR="00224137" w:rsidRPr="00224137">
        <w:rPr>
          <w:noProof/>
        </w:rPr>
        <w:t xml:space="preserve">, skills development, and </w:t>
      </w:r>
      <w:r w:rsidR="005637A3">
        <w:rPr>
          <w:noProof/>
        </w:rPr>
        <w:t>public acceptance of the different options</w:t>
      </w:r>
      <w:r w:rsidR="00224137" w:rsidRPr="00224137">
        <w:rPr>
          <w:noProof/>
        </w:rPr>
        <w:t xml:space="preserve">. </w:t>
      </w:r>
      <w:r w:rsidR="00E82DDC" w:rsidRPr="00E82DDC">
        <w:rPr>
          <w:noProof/>
        </w:rPr>
        <w:t>PO1-B</w:t>
      </w:r>
      <w:r w:rsidR="00F02A90">
        <w:rPr>
          <w:noProof/>
        </w:rPr>
        <w:t xml:space="preserve"> in combination with PM8 and PM9</w:t>
      </w:r>
      <w:r w:rsidR="00E82DDC" w:rsidRPr="00E82DDC">
        <w:rPr>
          <w:noProof/>
        </w:rPr>
        <w:t xml:space="preserve"> </w:t>
      </w:r>
      <w:r w:rsidR="009A0368">
        <w:rPr>
          <w:noProof/>
        </w:rPr>
        <w:t>is expected</w:t>
      </w:r>
      <w:r w:rsidR="00E82DDC" w:rsidRPr="00E82DDC">
        <w:rPr>
          <w:noProof/>
        </w:rPr>
        <w:t xml:space="preserve"> </w:t>
      </w:r>
      <w:r w:rsidR="00D8072B">
        <w:rPr>
          <w:noProof/>
        </w:rPr>
        <w:t xml:space="preserve">to </w:t>
      </w:r>
      <w:r w:rsidR="00EA48AF">
        <w:rPr>
          <w:noProof/>
        </w:rPr>
        <w:t xml:space="preserve">produce the </w:t>
      </w:r>
      <w:r w:rsidR="00E82DDC" w:rsidRPr="00E82DDC">
        <w:rPr>
          <w:noProof/>
        </w:rPr>
        <w:t xml:space="preserve">best </w:t>
      </w:r>
      <w:r w:rsidR="00EA48AF">
        <w:rPr>
          <w:noProof/>
        </w:rPr>
        <w:t xml:space="preserve">outcome </w:t>
      </w:r>
      <w:r w:rsidR="00E82DDC" w:rsidRPr="00E82DDC">
        <w:rPr>
          <w:noProof/>
        </w:rPr>
        <w:t xml:space="preserve">among </w:t>
      </w:r>
      <w:r w:rsidR="00E82DDC">
        <w:rPr>
          <w:noProof/>
        </w:rPr>
        <w:t>the first set of</w:t>
      </w:r>
      <w:r w:rsidR="00E82DDC" w:rsidRPr="00E82DDC">
        <w:rPr>
          <w:noProof/>
        </w:rPr>
        <w:t xml:space="preserve"> options</w:t>
      </w:r>
      <w:r w:rsidR="008478D8">
        <w:rPr>
          <w:noProof/>
        </w:rPr>
        <w:t>, especially</w:t>
      </w:r>
      <w:r w:rsidR="00F02A90">
        <w:rPr>
          <w:noProof/>
        </w:rPr>
        <w:t xml:space="preserve"> in terms of additional employment</w:t>
      </w:r>
      <w:r w:rsidR="008478D8">
        <w:rPr>
          <w:noProof/>
        </w:rPr>
        <w:t xml:space="preserve"> created</w:t>
      </w:r>
      <w:r w:rsidR="00F02A90">
        <w:rPr>
          <w:noProof/>
        </w:rPr>
        <w:t xml:space="preserve"> and public acceptance</w:t>
      </w:r>
      <w:r w:rsidR="006518D3">
        <w:rPr>
          <w:noProof/>
        </w:rPr>
        <w:t xml:space="preserve"> of new data centre projects</w:t>
      </w:r>
      <w:r w:rsidR="00F02A90">
        <w:rPr>
          <w:noProof/>
        </w:rPr>
        <w:t>.</w:t>
      </w:r>
      <w:r w:rsidR="00E82DDC" w:rsidRPr="00E82DDC">
        <w:rPr>
          <w:noProof/>
        </w:rPr>
        <w:t xml:space="preserve"> </w:t>
      </w:r>
      <w:r w:rsidR="008478D8">
        <w:rPr>
          <w:noProof/>
        </w:rPr>
        <w:t xml:space="preserve">The option </w:t>
      </w:r>
      <w:r w:rsidR="001E786B">
        <w:rPr>
          <w:noProof/>
        </w:rPr>
        <w:t>empowers</w:t>
      </w:r>
      <w:r w:rsidR="00E82DDC" w:rsidRPr="00E82DDC">
        <w:rPr>
          <w:noProof/>
        </w:rPr>
        <w:t xml:space="preserve"> local authorities in siting decisions</w:t>
      </w:r>
      <w:r w:rsidR="00466352">
        <w:rPr>
          <w:noProof/>
        </w:rPr>
        <w:t xml:space="preserve">, </w:t>
      </w:r>
      <w:r w:rsidR="00466352" w:rsidRPr="00D37004">
        <w:rPr>
          <w:noProof/>
        </w:rPr>
        <w:t>thus</w:t>
      </w:r>
      <w:r w:rsidR="00466352">
        <w:rPr>
          <w:noProof/>
        </w:rPr>
        <w:t xml:space="preserve"> </w:t>
      </w:r>
      <w:r w:rsidR="008D2A8A">
        <w:rPr>
          <w:noProof/>
        </w:rPr>
        <w:t>fostering decision-making processes</w:t>
      </w:r>
      <w:r w:rsidR="00466352" w:rsidRPr="00D37004">
        <w:rPr>
          <w:noProof/>
        </w:rPr>
        <w:t xml:space="preserve"> closer to citizens</w:t>
      </w:r>
      <w:r w:rsidR="00466352">
        <w:rPr>
          <w:noProof/>
        </w:rPr>
        <w:t xml:space="preserve">. </w:t>
      </w:r>
      <w:r w:rsidR="00B71FB3">
        <w:rPr>
          <w:noProof/>
        </w:rPr>
        <w:t xml:space="preserve">Positive social impacts are also expected as this option focuses on shaping data centre development </w:t>
      </w:r>
      <w:r w:rsidR="009E11CB">
        <w:rPr>
          <w:noProof/>
        </w:rPr>
        <w:t>towards sustainable, innovative and strategic projects</w:t>
      </w:r>
      <w:r w:rsidR="00466352">
        <w:rPr>
          <w:noProof/>
        </w:rPr>
        <w:t xml:space="preserve">, </w:t>
      </w:r>
      <w:r w:rsidR="00AC6D2B">
        <w:rPr>
          <w:noProof/>
        </w:rPr>
        <w:t>e.g.</w:t>
      </w:r>
      <w:r w:rsidR="00466352">
        <w:rPr>
          <w:noProof/>
        </w:rPr>
        <w:t xml:space="preserve"> </w:t>
      </w:r>
      <w:r w:rsidR="009E11CB">
        <w:rPr>
          <w:noProof/>
        </w:rPr>
        <w:t>facilities</w:t>
      </w:r>
      <w:r w:rsidR="00A96714">
        <w:rPr>
          <w:noProof/>
        </w:rPr>
        <w:t xml:space="preserve"> </w:t>
      </w:r>
      <w:r w:rsidR="003125BE">
        <w:rPr>
          <w:noProof/>
        </w:rPr>
        <w:t>contributing to</w:t>
      </w:r>
      <w:r w:rsidR="00E82DDC" w:rsidRPr="00E82DDC">
        <w:rPr>
          <w:noProof/>
        </w:rPr>
        <w:t xml:space="preserve"> </w:t>
      </w:r>
      <w:r w:rsidR="00E82DDC" w:rsidRPr="00224137">
        <w:rPr>
          <w:noProof/>
        </w:rPr>
        <w:t>tangible community benefits such as waste heat reuse</w:t>
      </w:r>
      <w:r w:rsidR="00AC6D2B">
        <w:rPr>
          <w:noProof/>
        </w:rPr>
        <w:t xml:space="preserve"> and overall development of local economies</w:t>
      </w:r>
      <w:r w:rsidR="00E82DDC" w:rsidRPr="00E82DDC">
        <w:rPr>
          <w:noProof/>
        </w:rPr>
        <w:t xml:space="preserve">. </w:t>
      </w:r>
      <w:r w:rsidR="00C34D54">
        <w:rPr>
          <w:noProof/>
        </w:rPr>
        <w:t>Conversely</w:t>
      </w:r>
      <w:r w:rsidR="003125BE">
        <w:rPr>
          <w:noProof/>
        </w:rPr>
        <w:t xml:space="preserve">, </w:t>
      </w:r>
      <w:r w:rsidR="00E82DDC" w:rsidRPr="00E82DDC">
        <w:rPr>
          <w:noProof/>
        </w:rPr>
        <w:t>PO1-A delivers limited engagement gains, while PO1-C weakens perceived proximity to decision-making. For cloud and AI services, PO2-B and PO2-C address skills shortages and employability, supporting broader societal acceptance of technological sovereignty</w:t>
      </w:r>
      <w:r w:rsidR="00224137">
        <w:rPr>
          <w:noProof/>
        </w:rPr>
        <w:t>.</w:t>
      </w:r>
      <w:r w:rsidR="00E82DDC">
        <w:rPr>
          <w:noProof/>
        </w:rPr>
        <w:t xml:space="preserve"> Finally,</w:t>
      </w:r>
      <w:r w:rsidR="001B2B54">
        <w:rPr>
          <w:noProof/>
        </w:rPr>
        <w:t xml:space="preserve"> </w:t>
      </w:r>
      <w:r w:rsidR="001B2B54" w:rsidRPr="00521C7C">
        <w:rPr>
          <w:b/>
          <w:bCs/>
          <w:noProof/>
        </w:rPr>
        <w:t xml:space="preserve">environmental </w:t>
      </w:r>
      <w:r w:rsidR="00AA030D" w:rsidRPr="00521C7C">
        <w:rPr>
          <w:b/>
          <w:bCs/>
          <w:noProof/>
        </w:rPr>
        <w:t>impacts</w:t>
      </w:r>
      <w:r w:rsidR="00AA030D">
        <w:rPr>
          <w:noProof/>
        </w:rPr>
        <w:t xml:space="preserve"> were assessed in environmental terms but not monetised to ensure consistency across impact categories and avoid bias from uncertain valuation assumptions. In this context</w:t>
      </w:r>
      <w:r w:rsidR="00E82DDC">
        <w:rPr>
          <w:noProof/>
        </w:rPr>
        <w:t xml:space="preserve">, </w:t>
      </w:r>
      <w:r w:rsidR="006B1908" w:rsidRPr="006B1908">
        <w:rPr>
          <w:noProof/>
        </w:rPr>
        <w:t xml:space="preserve">PO1-C </w:t>
      </w:r>
      <w:r w:rsidR="00300C69">
        <w:rPr>
          <w:noProof/>
        </w:rPr>
        <w:t>would achieve</w:t>
      </w:r>
      <w:r w:rsidR="006B1908" w:rsidRPr="006B1908">
        <w:rPr>
          <w:noProof/>
        </w:rPr>
        <w:t xml:space="preserve"> the strongest performance by combining efficiency-driven innovation, sustainable siting, and renewable integration, substantially reducing emissions intensity while </w:t>
      </w:r>
      <w:r w:rsidR="00300C69">
        <w:rPr>
          <w:noProof/>
        </w:rPr>
        <w:t>limiting</w:t>
      </w:r>
      <w:r w:rsidR="006B1908" w:rsidRPr="006B1908">
        <w:rPr>
          <w:noProof/>
        </w:rPr>
        <w:t xml:space="preserve"> energy growth. By contrast, PO1-B’s capacity expansion outweighs efficiency gains, resulting in the highest absolute increases in electricity demand and CO₂ emissions. PO2-B and PO2-C provide modest environmental benefits through improved server utilisation and reduced duplication of infrastructure</w:t>
      </w:r>
      <w:r w:rsidR="009C0238">
        <w:rPr>
          <w:noProof/>
        </w:rPr>
        <w:t xml:space="preserve"> under the cloud federation</w:t>
      </w:r>
      <w:r w:rsidR="006B1908" w:rsidRPr="006B1908">
        <w:rPr>
          <w:noProof/>
        </w:rPr>
        <w:t>.</w:t>
      </w:r>
    </w:p>
    <w:p w14:paraId="15186FCA" w14:textId="0A2E7857" w:rsidR="008552D6" w:rsidRDefault="008552D6" w:rsidP="00E320A3">
      <w:pPr>
        <w:spacing w:before="120"/>
        <w:rPr>
          <w:noProof/>
        </w:rPr>
      </w:pPr>
      <w:r w:rsidRPr="00D37004">
        <w:rPr>
          <w:noProof/>
        </w:rPr>
        <w:t>The multi-criteria analysis (MCDA)</w:t>
      </w:r>
      <w:r w:rsidR="00C34D54">
        <w:rPr>
          <w:noProof/>
        </w:rPr>
        <w:t xml:space="preserve"> </w:t>
      </w:r>
      <w:r w:rsidR="00271C97">
        <w:rPr>
          <w:noProof/>
        </w:rPr>
        <w:t xml:space="preserve">was used to </w:t>
      </w:r>
      <w:r w:rsidR="00B319F7">
        <w:rPr>
          <w:noProof/>
        </w:rPr>
        <w:t>complement the CBA by integrating</w:t>
      </w:r>
      <w:r w:rsidR="00CF3F9D">
        <w:rPr>
          <w:noProof/>
        </w:rPr>
        <w:t xml:space="preserve"> survey-based evidence on the </w:t>
      </w:r>
      <w:r w:rsidR="00E71475">
        <w:rPr>
          <w:noProof/>
        </w:rPr>
        <w:t xml:space="preserve">perceived </w:t>
      </w:r>
      <w:r w:rsidR="00CF3F9D">
        <w:rPr>
          <w:noProof/>
        </w:rPr>
        <w:t xml:space="preserve">effectiveness of the measures, </w:t>
      </w:r>
      <w:r w:rsidR="004465CF">
        <w:rPr>
          <w:noProof/>
        </w:rPr>
        <w:t xml:space="preserve">as well as their expected </w:t>
      </w:r>
      <w:r w:rsidR="00CF3F9D">
        <w:rPr>
          <w:noProof/>
        </w:rPr>
        <w:t xml:space="preserve">environmental and social impacts. </w:t>
      </w:r>
      <w:r w:rsidR="00E33677">
        <w:rPr>
          <w:noProof/>
        </w:rPr>
        <w:t>It provided an</w:t>
      </w:r>
      <w:r w:rsidR="00CF62EF">
        <w:rPr>
          <w:noProof/>
        </w:rPr>
        <w:t xml:space="preserve"> alternative </w:t>
      </w:r>
      <w:r w:rsidR="00E33677">
        <w:rPr>
          <w:noProof/>
        </w:rPr>
        <w:t>analytical lens</w:t>
      </w:r>
      <w:r w:rsidR="00F55C69">
        <w:rPr>
          <w:noProof/>
        </w:rPr>
        <w:t xml:space="preserve">, particularly </w:t>
      </w:r>
      <w:r w:rsidR="00570A9A">
        <w:rPr>
          <w:noProof/>
        </w:rPr>
        <w:t>through its</w:t>
      </w:r>
      <w:r w:rsidR="00F55C69">
        <w:rPr>
          <w:noProof/>
        </w:rPr>
        <w:t xml:space="preserve"> underlying components, i.e. stakeholder responses of the proposed measures.</w:t>
      </w:r>
      <w:r w:rsidR="00E54C88">
        <w:rPr>
          <w:noProof/>
        </w:rPr>
        <w:t xml:space="preserve"> The aggregate results</w:t>
      </w:r>
      <w:r w:rsidR="003B458B">
        <w:rPr>
          <w:noProof/>
        </w:rPr>
        <w:t xml:space="preserve"> </w:t>
      </w:r>
      <w:r w:rsidR="00A617B9">
        <w:rPr>
          <w:noProof/>
        </w:rPr>
        <w:t>were</w:t>
      </w:r>
      <w:r w:rsidR="003B458B">
        <w:rPr>
          <w:noProof/>
        </w:rPr>
        <w:t xml:space="preserve"> interpreted with caution, as they reflect the original configuration of measures and options, which was partly superseded by subsequent refinements. </w:t>
      </w:r>
      <w:r w:rsidR="00714B4B">
        <w:rPr>
          <w:noProof/>
        </w:rPr>
        <w:t>Overall, the</w:t>
      </w:r>
      <w:r w:rsidRPr="00D37004">
        <w:rPr>
          <w:noProof/>
        </w:rPr>
        <w:t xml:space="preserve"> weighted aggregate scores across the different </w:t>
      </w:r>
      <w:r w:rsidR="00DC046E">
        <w:rPr>
          <w:noProof/>
        </w:rPr>
        <w:t xml:space="preserve">assessment </w:t>
      </w:r>
      <w:r w:rsidRPr="00D37004">
        <w:rPr>
          <w:noProof/>
        </w:rPr>
        <w:t>dimensions confirm</w:t>
      </w:r>
      <w:r w:rsidR="001C5C0F">
        <w:rPr>
          <w:noProof/>
        </w:rPr>
        <w:t>ed</w:t>
      </w:r>
      <w:r w:rsidRPr="00D37004">
        <w:rPr>
          <w:noProof/>
        </w:rPr>
        <w:t xml:space="preserve"> the consistency of the </w:t>
      </w:r>
      <w:r w:rsidR="00740E24">
        <w:rPr>
          <w:noProof/>
        </w:rPr>
        <w:t xml:space="preserve">initial </w:t>
      </w:r>
      <w:r w:rsidRPr="00D37004">
        <w:rPr>
          <w:noProof/>
        </w:rPr>
        <w:t>comparative assessment</w:t>
      </w:r>
      <w:r>
        <w:rPr>
          <w:noProof/>
        </w:rPr>
        <w:t xml:space="preserve"> (see annex 4 section 6)</w:t>
      </w:r>
      <w:r w:rsidRPr="00D37004">
        <w:rPr>
          <w:noProof/>
        </w:rPr>
        <w:t xml:space="preserve">. </w:t>
      </w:r>
      <w:r w:rsidR="00B96A47">
        <w:rPr>
          <w:noProof/>
        </w:rPr>
        <w:t xml:space="preserve">With respect to </w:t>
      </w:r>
      <w:r w:rsidR="00084DEC">
        <w:rPr>
          <w:noProof/>
        </w:rPr>
        <w:t>P</w:t>
      </w:r>
      <w:r w:rsidR="003E3CE0">
        <w:rPr>
          <w:noProof/>
        </w:rPr>
        <w:t>roblem 1</w:t>
      </w:r>
      <w:r w:rsidR="000E041E">
        <w:rPr>
          <w:noProof/>
        </w:rPr>
        <w:t xml:space="preserve"> -</w:t>
      </w:r>
      <w:r w:rsidR="003E3CE0">
        <w:rPr>
          <w:noProof/>
        </w:rPr>
        <w:t xml:space="preserve"> </w:t>
      </w:r>
      <w:r w:rsidR="00B96A47" w:rsidRPr="00084DEC">
        <w:rPr>
          <w:noProof/>
        </w:rPr>
        <w:t>limited and geographically concentrated availability of computing capacity in the EU</w:t>
      </w:r>
      <w:r w:rsidR="000E041E">
        <w:rPr>
          <w:noProof/>
        </w:rPr>
        <w:t xml:space="preserve"> -</w:t>
      </w:r>
      <w:r w:rsidR="00B96A47" w:rsidRPr="00D37004">
        <w:rPr>
          <w:noProof/>
        </w:rPr>
        <w:t xml:space="preserve"> </w:t>
      </w:r>
      <w:r w:rsidR="00271BE0">
        <w:rPr>
          <w:noProof/>
        </w:rPr>
        <w:t>economic operators</w:t>
      </w:r>
      <w:r w:rsidR="004249C1">
        <w:rPr>
          <w:noProof/>
        </w:rPr>
        <w:t xml:space="preserve"> </w:t>
      </w:r>
      <w:r w:rsidR="00FF2017">
        <w:rPr>
          <w:noProof/>
        </w:rPr>
        <w:t>showed a preference for</w:t>
      </w:r>
      <w:r w:rsidR="002E3249">
        <w:rPr>
          <w:noProof/>
        </w:rPr>
        <w:t xml:space="preserve"> PO1-B over PO1-C</w:t>
      </w:r>
      <w:r w:rsidR="00C2111E">
        <w:rPr>
          <w:noProof/>
        </w:rPr>
        <w:t xml:space="preserve">. Similarly, </w:t>
      </w:r>
      <w:r w:rsidR="001D65EE">
        <w:rPr>
          <w:noProof/>
        </w:rPr>
        <w:t>PO1-</w:t>
      </w:r>
      <w:r w:rsidR="00C2111E">
        <w:rPr>
          <w:noProof/>
        </w:rPr>
        <w:t xml:space="preserve">B </w:t>
      </w:r>
      <w:r w:rsidR="001D65EE">
        <w:rPr>
          <w:noProof/>
        </w:rPr>
        <w:t xml:space="preserve">scores higher </w:t>
      </w:r>
      <w:r w:rsidR="00330015">
        <w:rPr>
          <w:noProof/>
        </w:rPr>
        <w:t>for</w:t>
      </w:r>
      <w:r w:rsidR="001D65EE">
        <w:rPr>
          <w:noProof/>
        </w:rPr>
        <w:t xml:space="preserve"> </w:t>
      </w:r>
      <w:r w:rsidR="002E3249">
        <w:rPr>
          <w:noProof/>
        </w:rPr>
        <w:t>national public authorities</w:t>
      </w:r>
      <w:r w:rsidR="00330015">
        <w:rPr>
          <w:noProof/>
        </w:rPr>
        <w:t xml:space="preserve">, driven mainly by </w:t>
      </w:r>
      <w:r w:rsidR="003409D3">
        <w:rPr>
          <w:noProof/>
        </w:rPr>
        <w:t>better cost outcomes</w:t>
      </w:r>
      <w:r w:rsidR="00EF2E8F">
        <w:rPr>
          <w:noProof/>
        </w:rPr>
        <w:t xml:space="preserve"> and perceived </w:t>
      </w:r>
      <w:r w:rsidR="003409D3">
        <w:rPr>
          <w:noProof/>
        </w:rPr>
        <w:t xml:space="preserve">social and environmental </w:t>
      </w:r>
      <w:r w:rsidR="00EF4377">
        <w:rPr>
          <w:noProof/>
        </w:rPr>
        <w:t>effects</w:t>
      </w:r>
      <w:r w:rsidR="003409D3">
        <w:rPr>
          <w:noProof/>
        </w:rPr>
        <w:t>.</w:t>
      </w:r>
      <w:r w:rsidR="002E3249">
        <w:rPr>
          <w:noProof/>
        </w:rPr>
        <w:t xml:space="preserve"> </w:t>
      </w:r>
      <w:r w:rsidR="00084DEC">
        <w:rPr>
          <w:noProof/>
        </w:rPr>
        <w:t>With respect to</w:t>
      </w:r>
      <w:r w:rsidR="009A220C">
        <w:rPr>
          <w:noProof/>
        </w:rPr>
        <w:t xml:space="preserve"> Problem 2</w:t>
      </w:r>
      <w:r w:rsidR="00084DEC">
        <w:rPr>
          <w:noProof/>
        </w:rPr>
        <w:t xml:space="preserve"> - Dependence on cloud and AI computing services supplied by non-</w:t>
      </w:r>
      <w:r w:rsidR="00084DEC" w:rsidRPr="00D37004">
        <w:rPr>
          <w:noProof/>
        </w:rPr>
        <w:t>European</w:t>
      </w:r>
      <w:r w:rsidR="00084DEC">
        <w:rPr>
          <w:noProof/>
        </w:rPr>
        <w:t xml:space="preserve"> providers </w:t>
      </w:r>
      <w:r w:rsidR="00FF465F">
        <w:rPr>
          <w:noProof/>
        </w:rPr>
        <w:t>–</w:t>
      </w:r>
      <w:r w:rsidR="00084DEC" w:rsidRPr="00D37004">
        <w:rPr>
          <w:noProof/>
        </w:rPr>
        <w:t xml:space="preserve"> </w:t>
      </w:r>
      <w:r w:rsidR="00FF465F">
        <w:rPr>
          <w:noProof/>
        </w:rPr>
        <w:t>the results</w:t>
      </w:r>
      <w:r w:rsidR="00157886">
        <w:rPr>
          <w:noProof/>
        </w:rPr>
        <w:t xml:space="preserve"> pointed to a</w:t>
      </w:r>
      <w:r w:rsidR="00084DEC">
        <w:rPr>
          <w:noProof/>
        </w:rPr>
        <w:t xml:space="preserve"> </w:t>
      </w:r>
      <w:r w:rsidR="00882D34">
        <w:rPr>
          <w:noProof/>
        </w:rPr>
        <w:t xml:space="preserve">clear preference </w:t>
      </w:r>
      <w:r w:rsidR="00084DEC">
        <w:rPr>
          <w:noProof/>
        </w:rPr>
        <w:t>for</w:t>
      </w:r>
      <w:r w:rsidR="00882D34">
        <w:rPr>
          <w:noProof/>
        </w:rPr>
        <w:t xml:space="preserve"> PO2-C </w:t>
      </w:r>
      <w:r w:rsidR="00BC2850">
        <w:rPr>
          <w:noProof/>
        </w:rPr>
        <w:t>because of its expected</w:t>
      </w:r>
      <w:r w:rsidR="00882D34">
        <w:rPr>
          <w:noProof/>
        </w:rPr>
        <w:t xml:space="preserve"> economic and social </w:t>
      </w:r>
      <w:r w:rsidR="005E36B1">
        <w:rPr>
          <w:noProof/>
        </w:rPr>
        <w:t xml:space="preserve">benefits, including potential effects on </w:t>
      </w:r>
      <w:r w:rsidR="00656782">
        <w:rPr>
          <w:noProof/>
        </w:rPr>
        <w:t>transparency and citizen trust</w:t>
      </w:r>
      <w:r w:rsidR="00882D34">
        <w:rPr>
          <w:noProof/>
        </w:rPr>
        <w:t>.</w:t>
      </w:r>
      <w:r w:rsidR="008C72A5">
        <w:rPr>
          <w:noProof/>
        </w:rPr>
        <w:t xml:space="preserve"> </w:t>
      </w:r>
      <w:r w:rsidR="00937D57">
        <w:rPr>
          <w:noProof/>
        </w:rPr>
        <w:t>On the other hand, na</w:t>
      </w:r>
      <w:r w:rsidR="003A6632">
        <w:rPr>
          <w:noProof/>
        </w:rPr>
        <w:t xml:space="preserve">tional public authorities </w:t>
      </w:r>
      <w:r w:rsidR="00C10BAD">
        <w:rPr>
          <w:noProof/>
        </w:rPr>
        <w:t>appeared to favour</w:t>
      </w:r>
      <w:r w:rsidR="00E84924">
        <w:rPr>
          <w:noProof/>
        </w:rPr>
        <w:t xml:space="preserve"> PO2-B</w:t>
      </w:r>
      <w:r w:rsidR="00213C3E">
        <w:rPr>
          <w:noProof/>
        </w:rPr>
        <w:t xml:space="preserve"> due to the voluntary nature of most of the measures. </w:t>
      </w:r>
      <w:r w:rsidR="00D87DA6">
        <w:rPr>
          <w:noProof/>
        </w:rPr>
        <w:t xml:space="preserve">This should be nevertheless interpreted with caution as national authorities represented a limited share of survey responses, which may have affected the robustness of the aggregate scores. </w:t>
      </w:r>
    </w:p>
    <w:p w14:paraId="1C6BE29D" w14:textId="08A714B8" w:rsidR="00E61374" w:rsidRPr="00D37004" w:rsidRDefault="00E61374" w:rsidP="00E61374">
      <w:pPr>
        <w:rPr>
          <w:noProof/>
        </w:rPr>
      </w:pPr>
      <w:r>
        <w:rPr>
          <w:noProof/>
        </w:rPr>
        <w:t>Table 1</w:t>
      </w:r>
      <w:r w:rsidR="00021D37">
        <w:rPr>
          <w:noProof/>
        </w:rPr>
        <w:t>8</w:t>
      </w:r>
      <w:r>
        <w:rPr>
          <w:noProof/>
        </w:rPr>
        <w:t xml:space="preserve"> compares</w:t>
      </w:r>
      <w:r w:rsidRPr="00D37004">
        <w:rPr>
          <w:noProof/>
        </w:rPr>
        <w:t xml:space="preserve"> the </w:t>
      </w:r>
      <w:r>
        <w:rPr>
          <w:noProof/>
        </w:rPr>
        <w:t xml:space="preserve">different POs against the criteria </w:t>
      </w:r>
      <w:r w:rsidRPr="00D37004">
        <w:rPr>
          <w:noProof/>
        </w:rPr>
        <w:t xml:space="preserve">presented </w:t>
      </w:r>
      <w:r w:rsidRPr="00D37004" w:rsidDel="007F369A">
        <w:rPr>
          <w:noProof/>
        </w:rPr>
        <w:t xml:space="preserve">in </w:t>
      </w:r>
      <w:r w:rsidR="00C6164E">
        <w:rPr>
          <w:noProof/>
        </w:rPr>
        <w:t>Section 7</w:t>
      </w:r>
      <w:r>
        <w:rPr>
          <w:noProof/>
        </w:rPr>
        <w:t xml:space="preserve">, </w:t>
      </w:r>
      <w:r w:rsidRPr="00D37004">
        <w:rPr>
          <w:noProof/>
        </w:rPr>
        <w:t>summaris</w:t>
      </w:r>
      <w:r>
        <w:rPr>
          <w:noProof/>
        </w:rPr>
        <w:t>ing</w:t>
      </w:r>
      <w:r w:rsidRPr="00D37004">
        <w:rPr>
          <w:noProof/>
        </w:rPr>
        <w:t xml:space="preserve"> the relative performance of each option against the baseline scenario in terms of effectiveness, efficiency, coherence, subsidiarity and proportionality. </w:t>
      </w:r>
    </w:p>
    <w:p w14:paraId="71E15016" w14:textId="4C131B47" w:rsidR="00E61374" w:rsidRPr="00D37004" w:rsidRDefault="00E61374" w:rsidP="00ED5E2F">
      <w:pPr>
        <w:pStyle w:val="Table"/>
        <w:rPr>
          <w:noProof/>
          <w:highlight w:val="yellow"/>
        </w:rPr>
      </w:pPr>
      <w:r w:rsidRPr="294AF3FA">
        <w:rPr>
          <w:noProof/>
        </w:rPr>
        <w:t xml:space="preserve">Table </w:t>
      </w:r>
      <w:r w:rsidRPr="294AF3FA">
        <w:rPr>
          <w:noProof/>
        </w:rPr>
        <w:fldChar w:fldCharType="begin"/>
      </w:r>
      <w:r w:rsidRPr="294AF3FA">
        <w:rPr>
          <w:noProof/>
        </w:rPr>
        <w:instrText xml:space="preserve"> SEQ Table \* ARABIC </w:instrText>
      </w:r>
      <w:r w:rsidRPr="294AF3FA">
        <w:rPr>
          <w:noProof/>
        </w:rPr>
        <w:fldChar w:fldCharType="separate"/>
      </w:r>
      <w:r w:rsidR="00137E65">
        <w:rPr>
          <w:noProof/>
        </w:rPr>
        <w:t>15</w:t>
      </w:r>
      <w:r w:rsidRPr="294AF3FA">
        <w:rPr>
          <w:noProof/>
        </w:rPr>
        <w:fldChar w:fldCharType="end"/>
      </w:r>
      <w:r w:rsidRPr="294AF3FA">
        <w:rPr>
          <w:noProof/>
        </w:rPr>
        <w:t xml:space="preserve">. Comparison of the </w:t>
      </w:r>
      <w:r w:rsidRPr="00507214">
        <w:rPr>
          <w:noProof/>
        </w:rPr>
        <w:t xml:space="preserve">options </w:t>
      </w:r>
      <w:r w:rsidR="00507214" w:rsidRPr="00507214">
        <w:rPr>
          <w:noProof/>
        </w:rPr>
        <w:t>per criteria,</w:t>
      </w:r>
      <w:r w:rsidR="00507214" w:rsidRPr="2A6A1A3F">
        <w:rPr>
          <w:b w:val="0"/>
          <w:noProof/>
        </w:rPr>
        <w:t xml:space="preserve"> </w:t>
      </w:r>
      <w:r w:rsidRPr="294AF3FA">
        <w:rPr>
          <w:noProof/>
        </w:rPr>
        <w:t>relative to the baseline</w:t>
      </w:r>
      <w:r w:rsidRPr="7912BC30">
        <w:rPr>
          <w:rStyle w:val="FootnoteReference"/>
          <w:noProof/>
        </w:rPr>
        <w:footnoteReference w:id="133"/>
      </w:r>
    </w:p>
    <w:tbl>
      <w:tblPr>
        <w:tblStyle w:val="TableGrid"/>
        <w:tblW w:w="5000" w:type="pct"/>
        <w:tblLook w:val="04A0" w:firstRow="1" w:lastRow="0" w:firstColumn="1" w:lastColumn="0" w:noHBand="0" w:noVBand="1"/>
      </w:tblPr>
      <w:tblGrid>
        <w:gridCol w:w="3274"/>
        <w:gridCol w:w="1073"/>
        <w:gridCol w:w="1074"/>
        <w:gridCol w:w="1074"/>
        <w:gridCol w:w="1074"/>
        <w:gridCol w:w="1074"/>
        <w:gridCol w:w="1070"/>
      </w:tblGrid>
      <w:tr w:rsidR="00E61374" w:rsidRPr="00ED5E2F" w14:paraId="10AC7FCE" w14:textId="77777777" w:rsidTr="009D3AD5">
        <w:trPr>
          <w:tblHeader/>
        </w:trPr>
        <w:tc>
          <w:tcPr>
            <w:tcW w:w="1685" w:type="pct"/>
            <w:shd w:val="clear" w:color="auto" w:fill="0070C0"/>
          </w:tcPr>
          <w:p w14:paraId="6BCA5EE4"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Criteria</w:t>
            </w:r>
          </w:p>
        </w:tc>
        <w:tc>
          <w:tcPr>
            <w:tcW w:w="552" w:type="pct"/>
            <w:shd w:val="clear" w:color="auto" w:fill="0070C0"/>
          </w:tcPr>
          <w:p w14:paraId="4DA73741"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PO1-A</w:t>
            </w:r>
          </w:p>
        </w:tc>
        <w:tc>
          <w:tcPr>
            <w:tcW w:w="553" w:type="pct"/>
            <w:shd w:val="clear" w:color="auto" w:fill="0070C0"/>
          </w:tcPr>
          <w:p w14:paraId="22FF9E25"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PO1-B</w:t>
            </w:r>
          </w:p>
        </w:tc>
        <w:tc>
          <w:tcPr>
            <w:tcW w:w="553" w:type="pct"/>
            <w:shd w:val="clear" w:color="auto" w:fill="0070C0"/>
          </w:tcPr>
          <w:p w14:paraId="4362A9A3"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PO1-C</w:t>
            </w:r>
          </w:p>
        </w:tc>
        <w:tc>
          <w:tcPr>
            <w:tcW w:w="553" w:type="pct"/>
            <w:shd w:val="clear" w:color="auto" w:fill="0070C0"/>
          </w:tcPr>
          <w:p w14:paraId="3B12B4E5"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PO2-A</w:t>
            </w:r>
          </w:p>
        </w:tc>
        <w:tc>
          <w:tcPr>
            <w:tcW w:w="553" w:type="pct"/>
            <w:shd w:val="clear" w:color="auto" w:fill="0070C0"/>
          </w:tcPr>
          <w:p w14:paraId="57B2977F"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PO2-B</w:t>
            </w:r>
          </w:p>
        </w:tc>
        <w:tc>
          <w:tcPr>
            <w:tcW w:w="551" w:type="pct"/>
            <w:shd w:val="clear" w:color="auto" w:fill="0070C0"/>
          </w:tcPr>
          <w:p w14:paraId="796AC8F6" w14:textId="77777777" w:rsidR="00E61374" w:rsidRPr="00ED5E2F" w:rsidRDefault="00E61374" w:rsidP="00ED5E2F">
            <w:pPr>
              <w:spacing w:after="0"/>
              <w:rPr>
                <w:noProof/>
                <w:color w:val="FFFFFF" w:themeColor="background1"/>
                <w:sz w:val="20"/>
                <w:szCs w:val="20"/>
              </w:rPr>
            </w:pPr>
            <w:r w:rsidRPr="00ED5E2F">
              <w:rPr>
                <w:noProof/>
                <w:color w:val="FFFFFF" w:themeColor="background1"/>
                <w:sz w:val="20"/>
                <w:szCs w:val="20"/>
              </w:rPr>
              <w:t>PO2-C</w:t>
            </w:r>
          </w:p>
        </w:tc>
      </w:tr>
      <w:tr w:rsidR="00E61374" w:rsidRPr="00ED5E2F" w14:paraId="5B2E30A8" w14:textId="77777777" w:rsidTr="00CE025C">
        <w:tc>
          <w:tcPr>
            <w:tcW w:w="1685" w:type="pct"/>
          </w:tcPr>
          <w:p w14:paraId="44AFADD2" w14:textId="77777777" w:rsidR="00E61374" w:rsidRPr="00ED5E2F" w:rsidRDefault="00E61374" w:rsidP="00ED5E2F">
            <w:pPr>
              <w:spacing w:after="0"/>
              <w:rPr>
                <w:noProof/>
                <w:sz w:val="20"/>
                <w:szCs w:val="20"/>
              </w:rPr>
            </w:pPr>
            <w:r w:rsidRPr="00ED5E2F">
              <w:rPr>
                <w:noProof/>
                <w:sz w:val="20"/>
                <w:szCs w:val="20"/>
              </w:rPr>
              <w:t>Effectiveness</w:t>
            </w:r>
          </w:p>
        </w:tc>
        <w:tc>
          <w:tcPr>
            <w:tcW w:w="552" w:type="pct"/>
          </w:tcPr>
          <w:p w14:paraId="22AC1CAB"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3FD49B9F"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5A62F1E2"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20E6641D"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419B6D6C" w14:textId="77777777" w:rsidR="00E61374" w:rsidRPr="00ED5E2F" w:rsidRDefault="00E61374" w:rsidP="00ED5E2F">
            <w:pPr>
              <w:spacing w:after="0"/>
              <w:jc w:val="center"/>
              <w:rPr>
                <w:noProof/>
                <w:sz w:val="20"/>
                <w:szCs w:val="20"/>
              </w:rPr>
            </w:pPr>
            <w:r w:rsidRPr="00ED5E2F">
              <w:rPr>
                <w:noProof/>
                <w:sz w:val="20"/>
                <w:szCs w:val="20"/>
              </w:rPr>
              <w:t>++</w:t>
            </w:r>
          </w:p>
        </w:tc>
        <w:tc>
          <w:tcPr>
            <w:tcW w:w="551" w:type="pct"/>
          </w:tcPr>
          <w:p w14:paraId="02C1AD9E" w14:textId="77777777" w:rsidR="00E61374" w:rsidRPr="00ED5E2F" w:rsidRDefault="00E61374" w:rsidP="00ED5E2F">
            <w:pPr>
              <w:spacing w:after="0"/>
              <w:jc w:val="center"/>
              <w:rPr>
                <w:noProof/>
                <w:sz w:val="20"/>
                <w:szCs w:val="20"/>
              </w:rPr>
            </w:pPr>
            <w:r w:rsidRPr="00ED5E2F">
              <w:rPr>
                <w:noProof/>
                <w:sz w:val="20"/>
                <w:szCs w:val="20"/>
              </w:rPr>
              <w:t>+++</w:t>
            </w:r>
          </w:p>
        </w:tc>
      </w:tr>
      <w:tr w:rsidR="005E0A44" w:rsidRPr="00ED5E2F" w14:paraId="6B123095" w14:textId="77777777" w:rsidTr="008B21C6">
        <w:tc>
          <w:tcPr>
            <w:tcW w:w="1685" w:type="pct"/>
          </w:tcPr>
          <w:p w14:paraId="160D87F6" w14:textId="77777777" w:rsidR="005E0A44" w:rsidRPr="005E0A44" w:rsidRDefault="005E0A44" w:rsidP="005E0A44">
            <w:pPr>
              <w:spacing w:after="0"/>
              <w:rPr>
                <w:noProof/>
                <w:sz w:val="20"/>
                <w:szCs w:val="20"/>
              </w:rPr>
            </w:pPr>
            <w:r w:rsidRPr="005E0A44">
              <w:rPr>
                <w:noProof/>
                <w:sz w:val="20"/>
                <w:szCs w:val="20"/>
              </w:rPr>
              <w:t>Efficiency</w:t>
            </w:r>
          </w:p>
        </w:tc>
        <w:tc>
          <w:tcPr>
            <w:tcW w:w="552" w:type="pct"/>
            <w:vAlign w:val="center"/>
          </w:tcPr>
          <w:p w14:paraId="20259434" w14:textId="2E0DC0C8" w:rsidR="005E0A44" w:rsidRPr="005E0A44" w:rsidRDefault="005E0A44" w:rsidP="005E0A44">
            <w:pPr>
              <w:spacing w:after="0"/>
              <w:jc w:val="center"/>
              <w:rPr>
                <w:noProof/>
                <w:sz w:val="20"/>
                <w:szCs w:val="20"/>
              </w:rPr>
            </w:pPr>
            <w:r w:rsidRPr="008B21C6">
              <w:rPr>
                <w:noProof/>
                <w:color w:val="000000" w:themeColor="text1"/>
                <w:sz w:val="20"/>
                <w:szCs w:val="20"/>
              </w:rPr>
              <w:t>−</w:t>
            </w:r>
          </w:p>
        </w:tc>
        <w:tc>
          <w:tcPr>
            <w:tcW w:w="553" w:type="pct"/>
            <w:vAlign w:val="center"/>
          </w:tcPr>
          <w:p w14:paraId="5CB34C55" w14:textId="550E2BA3" w:rsidR="005E0A44" w:rsidRPr="005E0A44" w:rsidRDefault="005E0A44" w:rsidP="005E0A44">
            <w:pPr>
              <w:spacing w:after="0"/>
              <w:jc w:val="center"/>
              <w:rPr>
                <w:noProof/>
                <w:sz w:val="20"/>
                <w:szCs w:val="20"/>
              </w:rPr>
            </w:pPr>
            <w:r w:rsidRPr="008B21C6">
              <w:rPr>
                <w:noProof/>
                <w:sz w:val="20"/>
                <w:szCs w:val="20"/>
              </w:rPr>
              <w:t>+++</w:t>
            </w:r>
          </w:p>
        </w:tc>
        <w:tc>
          <w:tcPr>
            <w:tcW w:w="553" w:type="pct"/>
            <w:vAlign w:val="center"/>
          </w:tcPr>
          <w:p w14:paraId="6584309E" w14:textId="6CA84FC1" w:rsidR="005E0A44" w:rsidRPr="005E0A44" w:rsidRDefault="005E0A44" w:rsidP="005E0A44">
            <w:pPr>
              <w:spacing w:after="0"/>
              <w:jc w:val="center"/>
              <w:rPr>
                <w:noProof/>
                <w:sz w:val="20"/>
                <w:szCs w:val="20"/>
              </w:rPr>
            </w:pPr>
            <w:r w:rsidRPr="001E375D">
              <w:rPr>
                <w:noProof/>
                <w:sz w:val="20"/>
                <w:szCs w:val="20"/>
              </w:rPr>
              <w:t>+++</w:t>
            </w:r>
          </w:p>
        </w:tc>
        <w:tc>
          <w:tcPr>
            <w:tcW w:w="553" w:type="pct"/>
            <w:vAlign w:val="center"/>
          </w:tcPr>
          <w:p w14:paraId="1B4A1224" w14:textId="7F3A7493" w:rsidR="005E0A44" w:rsidRPr="005E0A44" w:rsidRDefault="005E0A44" w:rsidP="005E0A44">
            <w:pPr>
              <w:spacing w:after="0"/>
              <w:jc w:val="center"/>
              <w:rPr>
                <w:noProof/>
                <w:sz w:val="20"/>
                <w:szCs w:val="20"/>
              </w:rPr>
            </w:pPr>
            <w:r w:rsidRPr="008B21C6">
              <w:rPr>
                <w:noProof/>
                <w:color w:val="000000" w:themeColor="text1"/>
                <w:sz w:val="20"/>
                <w:szCs w:val="20"/>
              </w:rPr>
              <w:t>−</w:t>
            </w:r>
          </w:p>
        </w:tc>
        <w:tc>
          <w:tcPr>
            <w:tcW w:w="553" w:type="pct"/>
            <w:vAlign w:val="center"/>
          </w:tcPr>
          <w:p w14:paraId="03A6A268" w14:textId="3CCC001E" w:rsidR="005E0A44" w:rsidRPr="005E0A44" w:rsidRDefault="005E0A44" w:rsidP="005E0A44">
            <w:pPr>
              <w:spacing w:after="0"/>
              <w:jc w:val="center"/>
              <w:rPr>
                <w:noProof/>
                <w:sz w:val="20"/>
                <w:szCs w:val="20"/>
              </w:rPr>
            </w:pPr>
            <w:r w:rsidRPr="008B21C6">
              <w:rPr>
                <w:noProof/>
                <w:sz w:val="20"/>
                <w:szCs w:val="20"/>
              </w:rPr>
              <w:t>+++</w:t>
            </w:r>
          </w:p>
        </w:tc>
        <w:tc>
          <w:tcPr>
            <w:tcW w:w="551" w:type="pct"/>
            <w:vAlign w:val="center"/>
          </w:tcPr>
          <w:p w14:paraId="2AB13385" w14:textId="314C6F89" w:rsidR="005E0A44" w:rsidRPr="005E0A44" w:rsidRDefault="005E0A44" w:rsidP="005E0A44">
            <w:pPr>
              <w:spacing w:after="0"/>
              <w:jc w:val="center"/>
              <w:rPr>
                <w:noProof/>
                <w:sz w:val="20"/>
                <w:szCs w:val="20"/>
              </w:rPr>
            </w:pPr>
            <w:r w:rsidRPr="008B21C6">
              <w:rPr>
                <w:noProof/>
                <w:sz w:val="20"/>
                <w:szCs w:val="20"/>
              </w:rPr>
              <w:t>++++</w:t>
            </w:r>
          </w:p>
        </w:tc>
      </w:tr>
      <w:tr w:rsidR="00E61374" w:rsidRPr="00ED5E2F" w14:paraId="19262785" w14:textId="77777777" w:rsidTr="00CE025C">
        <w:tc>
          <w:tcPr>
            <w:tcW w:w="1685" w:type="pct"/>
          </w:tcPr>
          <w:p w14:paraId="33DEB7F8" w14:textId="77777777" w:rsidR="00E61374" w:rsidRPr="00ED5E2F" w:rsidRDefault="00E61374" w:rsidP="00ED5E2F">
            <w:pPr>
              <w:spacing w:after="0"/>
              <w:rPr>
                <w:noProof/>
                <w:sz w:val="20"/>
                <w:szCs w:val="20"/>
              </w:rPr>
            </w:pPr>
            <w:r w:rsidRPr="00ED5E2F">
              <w:rPr>
                <w:noProof/>
                <w:sz w:val="20"/>
                <w:szCs w:val="20"/>
              </w:rPr>
              <w:t>Coherence</w:t>
            </w:r>
          </w:p>
        </w:tc>
        <w:tc>
          <w:tcPr>
            <w:tcW w:w="552" w:type="pct"/>
          </w:tcPr>
          <w:p w14:paraId="0244780B"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17BDF466"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6D559B96"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083EB29F"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68572B3E" w14:textId="77777777" w:rsidR="00E61374" w:rsidRPr="00ED5E2F" w:rsidRDefault="00E61374" w:rsidP="00ED5E2F">
            <w:pPr>
              <w:spacing w:after="0"/>
              <w:jc w:val="center"/>
              <w:rPr>
                <w:noProof/>
                <w:sz w:val="20"/>
                <w:szCs w:val="20"/>
              </w:rPr>
            </w:pPr>
            <w:r w:rsidRPr="00ED5E2F">
              <w:rPr>
                <w:noProof/>
                <w:sz w:val="20"/>
                <w:szCs w:val="20"/>
              </w:rPr>
              <w:t>++</w:t>
            </w:r>
          </w:p>
        </w:tc>
        <w:tc>
          <w:tcPr>
            <w:tcW w:w="551" w:type="pct"/>
          </w:tcPr>
          <w:p w14:paraId="7322CD2D" w14:textId="77777777" w:rsidR="00E61374" w:rsidRPr="00ED5E2F" w:rsidRDefault="00E61374" w:rsidP="00ED5E2F">
            <w:pPr>
              <w:spacing w:after="0"/>
              <w:jc w:val="center"/>
              <w:rPr>
                <w:noProof/>
                <w:sz w:val="20"/>
                <w:szCs w:val="20"/>
              </w:rPr>
            </w:pPr>
            <w:r w:rsidRPr="00ED5E2F">
              <w:rPr>
                <w:noProof/>
                <w:sz w:val="20"/>
                <w:szCs w:val="20"/>
              </w:rPr>
              <w:t>+++</w:t>
            </w:r>
          </w:p>
        </w:tc>
      </w:tr>
      <w:tr w:rsidR="00E61374" w:rsidRPr="00ED5E2F" w14:paraId="3CA5AA2E" w14:textId="77777777" w:rsidTr="00CE025C">
        <w:tc>
          <w:tcPr>
            <w:tcW w:w="1685" w:type="pct"/>
          </w:tcPr>
          <w:p w14:paraId="67C6C9A5" w14:textId="782D7449" w:rsidR="00E61374" w:rsidRPr="00ED5E2F" w:rsidRDefault="00E61374" w:rsidP="00ED5E2F">
            <w:pPr>
              <w:spacing w:after="0"/>
              <w:rPr>
                <w:noProof/>
                <w:sz w:val="20"/>
                <w:szCs w:val="20"/>
              </w:rPr>
            </w:pPr>
            <w:r w:rsidRPr="00ED5E2F">
              <w:rPr>
                <w:noProof/>
                <w:sz w:val="20"/>
                <w:szCs w:val="20"/>
              </w:rPr>
              <w:t>Subsidiarity</w:t>
            </w:r>
            <w:r w:rsidR="00620350">
              <w:rPr>
                <w:noProof/>
                <w:sz w:val="20"/>
                <w:szCs w:val="20"/>
              </w:rPr>
              <w:t xml:space="preserve"> and </w:t>
            </w:r>
            <w:r w:rsidR="00705145">
              <w:rPr>
                <w:noProof/>
                <w:sz w:val="20"/>
                <w:szCs w:val="20"/>
              </w:rPr>
              <w:t>proportionality</w:t>
            </w:r>
          </w:p>
        </w:tc>
        <w:tc>
          <w:tcPr>
            <w:tcW w:w="552" w:type="pct"/>
          </w:tcPr>
          <w:p w14:paraId="50329ED9"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4104D7DA" w14:textId="4B13E917" w:rsidR="00E61374" w:rsidRPr="00ED5E2F" w:rsidRDefault="00E61374" w:rsidP="00ED5E2F">
            <w:pPr>
              <w:spacing w:after="0"/>
              <w:jc w:val="center"/>
              <w:rPr>
                <w:noProof/>
                <w:sz w:val="20"/>
                <w:szCs w:val="20"/>
              </w:rPr>
            </w:pPr>
            <w:r w:rsidRPr="00ED5E2F">
              <w:rPr>
                <w:noProof/>
                <w:sz w:val="20"/>
                <w:szCs w:val="20"/>
              </w:rPr>
              <w:t>++</w:t>
            </w:r>
            <w:r w:rsidR="00705145">
              <w:rPr>
                <w:noProof/>
                <w:sz w:val="20"/>
                <w:szCs w:val="20"/>
              </w:rPr>
              <w:t>+</w:t>
            </w:r>
          </w:p>
        </w:tc>
        <w:tc>
          <w:tcPr>
            <w:tcW w:w="553" w:type="pct"/>
          </w:tcPr>
          <w:p w14:paraId="71D9AB0C" w14:textId="23B95BA8" w:rsidR="00E61374" w:rsidRPr="00ED5E2F" w:rsidRDefault="00E61374" w:rsidP="00ED5E2F">
            <w:pPr>
              <w:spacing w:after="0"/>
              <w:jc w:val="center"/>
              <w:rPr>
                <w:noProof/>
                <w:sz w:val="20"/>
                <w:szCs w:val="20"/>
              </w:rPr>
            </w:pPr>
            <w:r w:rsidRPr="00ED5E2F">
              <w:rPr>
                <w:noProof/>
                <w:sz w:val="20"/>
                <w:szCs w:val="20"/>
              </w:rPr>
              <w:t>+</w:t>
            </w:r>
            <w:r w:rsidR="00705145">
              <w:rPr>
                <w:noProof/>
                <w:sz w:val="20"/>
                <w:szCs w:val="20"/>
              </w:rPr>
              <w:t>+</w:t>
            </w:r>
          </w:p>
        </w:tc>
        <w:tc>
          <w:tcPr>
            <w:tcW w:w="553" w:type="pct"/>
          </w:tcPr>
          <w:p w14:paraId="4683D7EE" w14:textId="77777777" w:rsidR="00E61374" w:rsidRPr="00ED5E2F" w:rsidRDefault="00E61374" w:rsidP="00ED5E2F">
            <w:pPr>
              <w:spacing w:after="0"/>
              <w:jc w:val="center"/>
              <w:rPr>
                <w:noProof/>
                <w:sz w:val="20"/>
                <w:szCs w:val="20"/>
              </w:rPr>
            </w:pPr>
            <w:r w:rsidRPr="00ED5E2F">
              <w:rPr>
                <w:noProof/>
                <w:sz w:val="20"/>
                <w:szCs w:val="20"/>
              </w:rPr>
              <w:t>+++</w:t>
            </w:r>
          </w:p>
        </w:tc>
        <w:tc>
          <w:tcPr>
            <w:tcW w:w="553" w:type="pct"/>
          </w:tcPr>
          <w:p w14:paraId="4AFFA6F1" w14:textId="77777777" w:rsidR="00E61374" w:rsidRPr="00ED5E2F" w:rsidRDefault="00E61374" w:rsidP="00ED5E2F">
            <w:pPr>
              <w:spacing w:after="0"/>
              <w:jc w:val="center"/>
              <w:rPr>
                <w:noProof/>
                <w:sz w:val="20"/>
                <w:szCs w:val="20"/>
              </w:rPr>
            </w:pPr>
            <w:r w:rsidRPr="00ED5E2F">
              <w:rPr>
                <w:noProof/>
                <w:sz w:val="20"/>
                <w:szCs w:val="20"/>
              </w:rPr>
              <w:t>++</w:t>
            </w:r>
          </w:p>
        </w:tc>
        <w:tc>
          <w:tcPr>
            <w:tcW w:w="551" w:type="pct"/>
          </w:tcPr>
          <w:p w14:paraId="4CB45174" w14:textId="111AD89D" w:rsidR="00E61374" w:rsidRPr="00ED5E2F" w:rsidRDefault="00E61374" w:rsidP="00ED5E2F">
            <w:pPr>
              <w:spacing w:after="0"/>
              <w:jc w:val="center"/>
              <w:rPr>
                <w:noProof/>
                <w:sz w:val="20"/>
                <w:szCs w:val="20"/>
              </w:rPr>
            </w:pPr>
            <w:r w:rsidRPr="00ED5E2F">
              <w:rPr>
                <w:noProof/>
                <w:sz w:val="20"/>
                <w:szCs w:val="20"/>
              </w:rPr>
              <w:t>++</w:t>
            </w:r>
            <w:r w:rsidR="00705145">
              <w:rPr>
                <w:noProof/>
                <w:sz w:val="20"/>
                <w:szCs w:val="20"/>
              </w:rPr>
              <w:t>+</w:t>
            </w:r>
          </w:p>
        </w:tc>
      </w:tr>
    </w:tbl>
    <w:p w14:paraId="1E3F1789" w14:textId="6E552582" w:rsidR="00921EC8" w:rsidRPr="006526CE" w:rsidRDefault="00921EC8" w:rsidP="00921EC8">
      <w:pPr>
        <w:jc w:val="center"/>
        <w:rPr>
          <w:i/>
          <w:iCs/>
          <w:noProof/>
          <w:sz w:val="20"/>
          <w:szCs w:val="20"/>
        </w:rPr>
      </w:pPr>
      <w:r w:rsidRPr="006526CE">
        <w:rPr>
          <w:i/>
          <w:iCs/>
          <w:noProof/>
          <w:sz w:val="20"/>
          <w:szCs w:val="20"/>
        </w:rPr>
        <w:t xml:space="preserve">Legend: </w:t>
      </w:r>
      <w:r>
        <w:rPr>
          <w:i/>
          <w:iCs/>
          <w:noProof/>
          <w:sz w:val="20"/>
          <w:szCs w:val="20"/>
        </w:rPr>
        <w:t>o</w:t>
      </w:r>
      <w:r w:rsidRPr="006526CE">
        <w:rPr>
          <w:i/>
          <w:iCs/>
          <w:noProof/>
          <w:sz w:val="20"/>
          <w:szCs w:val="20"/>
        </w:rPr>
        <w:t xml:space="preserve"> </w:t>
      </w:r>
      <w:r>
        <w:rPr>
          <w:i/>
          <w:iCs/>
          <w:noProof/>
          <w:sz w:val="20"/>
          <w:szCs w:val="20"/>
        </w:rPr>
        <w:t>no relevance</w:t>
      </w:r>
      <w:r w:rsidRPr="006526CE">
        <w:rPr>
          <w:i/>
          <w:iCs/>
          <w:noProof/>
          <w:sz w:val="20"/>
          <w:szCs w:val="20"/>
        </w:rPr>
        <w:t xml:space="preserve">; + </w:t>
      </w:r>
      <w:r w:rsidR="00B61130">
        <w:rPr>
          <w:i/>
          <w:iCs/>
          <w:noProof/>
          <w:sz w:val="20"/>
          <w:szCs w:val="20"/>
        </w:rPr>
        <w:t>more effective/efficient/coherent/proportionate than the baseline</w:t>
      </w:r>
      <w:r w:rsidRPr="006526CE">
        <w:rPr>
          <w:i/>
          <w:iCs/>
          <w:noProof/>
          <w:sz w:val="20"/>
          <w:szCs w:val="20"/>
        </w:rPr>
        <w:t>; ++</w:t>
      </w:r>
      <w:r w:rsidR="005F6C76">
        <w:rPr>
          <w:i/>
          <w:iCs/>
          <w:noProof/>
          <w:sz w:val="20"/>
          <w:szCs w:val="20"/>
        </w:rPr>
        <w:t>+</w:t>
      </w:r>
      <w:r w:rsidRPr="006526CE">
        <w:rPr>
          <w:i/>
          <w:iCs/>
          <w:noProof/>
          <w:sz w:val="20"/>
          <w:szCs w:val="20"/>
        </w:rPr>
        <w:t xml:space="preserve"> </w:t>
      </w:r>
      <w:r w:rsidR="005F6C76">
        <w:rPr>
          <w:i/>
          <w:iCs/>
          <w:noProof/>
          <w:sz w:val="20"/>
          <w:szCs w:val="20"/>
        </w:rPr>
        <w:t>much more effective/efficient/coherent/proportionate than the baseline</w:t>
      </w:r>
      <w:r w:rsidRPr="006526CE">
        <w:rPr>
          <w:i/>
          <w:iCs/>
          <w:noProof/>
          <w:sz w:val="20"/>
          <w:szCs w:val="20"/>
        </w:rPr>
        <w:t xml:space="preserve">; - </w:t>
      </w:r>
      <w:r w:rsidR="005F6C76">
        <w:rPr>
          <w:i/>
          <w:iCs/>
          <w:noProof/>
          <w:sz w:val="20"/>
          <w:szCs w:val="20"/>
        </w:rPr>
        <w:t>less effective/efficient/coherent/proportionate than the baseline</w:t>
      </w:r>
      <w:r w:rsidRPr="006526CE">
        <w:rPr>
          <w:i/>
          <w:iCs/>
          <w:noProof/>
          <w:sz w:val="20"/>
          <w:szCs w:val="20"/>
        </w:rPr>
        <w:t xml:space="preserve">; --- </w:t>
      </w:r>
      <w:r w:rsidR="005F6C76">
        <w:rPr>
          <w:i/>
          <w:iCs/>
          <w:noProof/>
          <w:sz w:val="20"/>
          <w:szCs w:val="20"/>
        </w:rPr>
        <w:t>much less effective/efficient/coherent/proportionate than the baseline</w:t>
      </w:r>
    </w:p>
    <w:p w14:paraId="7996DF12" w14:textId="241C3BEB" w:rsidR="006B087E" w:rsidRPr="00F92EAE" w:rsidRDefault="00E61374" w:rsidP="0095514F">
      <w:pPr>
        <w:spacing w:before="120"/>
        <w:rPr>
          <w:noProof/>
        </w:rPr>
      </w:pPr>
      <w:r w:rsidRPr="00D37004">
        <w:rPr>
          <w:noProof/>
        </w:rPr>
        <w:t>PO1-A’s soft measures contribute to making it a cost-effective and coherent option but limit its effectiveness</w:t>
      </w:r>
      <w:r w:rsidR="00EA6CD5">
        <w:rPr>
          <w:noProof/>
        </w:rPr>
        <w:t>, as it contributes to the specific and general objectives only to a limited extent with respect to the status quo.</w:t>
      </w:r>
      <w:r w:rsidRPr="00D37004">
        <w:rPr>
          <w:noProof/>
        </w:rPr>
        <w:t xml:space="preserve"> PO1-B’s administrative simplification and fast-track </w:t>
      </w:r>
      <w:r>
        <w:rPr>
          <w:noProof/>
        </w:rPr>
        <w:t>area</w:t>
      </w:r>
      <w:r w:rsidRPr="00D37004">
        <w:rPr>
          <w:noProof/>
        </w:rPr>
        <w:t xml:space="preserve">s strengthen its effectiveness by achieving the greatest expected increase in compute capacity and reduction of bottlenecks for </w:t>
      </w:r>
      <w:r w:rsidR="000436CB">
        <w:rPr>
          <w:noProof/>
        </w:rPr>
        <w:t>DC</w:t>
      </w:r>
      <w:r w:rsidRPr="00D37004">
        <w:rPr>
          <w:noProof/>
        </w:rPr>
        <w:t xml:space="preserve"> deployment, while being proportionate to solve the issue and leaving implementation within Member States. PO1-C’s EU-level measures improve effectiveness</w:t>
      </w:r>
      <w:r w:rsidR="0086301B">
        <w:rPr>
          <w:noProof/>
        </w:rPr>
        <w:t xml:space="preserve"> and efficiency, given the EU-level centralisation of efforts,</w:t>
      </w:r>
      <w:r w:rsidRPr="00D37004">
        <w:rPr>
          <w:noProof/>
        </w:rPr>
        <w:t xml:space="preserve"> but constrain subsidiarity through centralised enforcement. PO2-A improves effectiveness in reaching the specific objectives but presents overall net costs</w:t>
      </w:r>
      <w:r>
        <w:rPr>
          <w:noProof/>
        </w:rPr>
        <w:t xml:space="preserve"> and falls short of the challenge at hand</w:t>
      </w:r>
      <w:r w:rsidRPr="00D37004">
        <w:rPr>
          <w:noProof/>
        </w:rPr>
        <w:t xml:space="preserve">. PO2-B’s design balances coherence and efficiency, while achieving only moderate effectiveness given the magnitude of the problems to be addressed and the voluntary nature of its measures. </w:t>
      </w:r>
      <w:r w:rsidR="00EC21E0">
        <w:rPr>
          <w:noProof/>
        </w:rPr>
        <w:t>By encouraging rather than mandating a gradual shift towards more sovereign solutions in the public sector, PO2-B may accelerate some porting and migration costs</w:t>
      </w:r>
      <w:r w:rsidR="00826F02">
        <w:rPr>
          <w:noProof/>
        </w:rPr>
        <w:t xml:space="preserve"> for users and providers</w:t>
      </w:r>
      <w:r w:rsidR="006374EB">
        <w:rPr>
          <w:noProof/>
        </w:rPr>
        <w:t>, although they are expected to remain relatively contained and market-driven</w:t>
      </w:r>
      <w:r w:rsidR="007B7A97">
        <w:rPr>
          <w:noProof/>
        </w:rPr>
        <w:t xml:space="preserve">. </w:t>
      </w:r>
      <w:r w:rsidRPr="00D37004">
        <w:rPr>
          <w:noProof/>
        </w:rPr>
        <w:t>Finally, PO2-C generates strong synergies across all criteria, with the highest costs and savings over ten years, reflecting high ambition a</w:t>
      </w:r>
      <w:r>
        <w:rPr>
          <w:noProof/>
        </w:rPr>
        <w:t>t the expense of increased</w:t>
      </w:r>
      <w:r w:rsidRPr="00D37004">
        <w:rPr>
          <w:noProof/>
        </w:rPr>
        <w:t xml:space="preserve"> operational complexity. </w:t>
      </w:r>
      <w:r w:rsidR="00426DF0">
        <w:rPr>
          <w:noProof/>
        </w:rPr>
        <w:t>It is likely to accelerate porting</w:t>
      </w:r>
      <w:r w:rsidR="007D3225">
        <w:rPr>
          <w:noProof/>
        </w:rPr>
        <w:t xml:space="preserve"> and transition costs</w:t>
      </w:r>
      <w:r w:rsidR="00F01659">
        <w:rPr>
          <w:noProof/>
        </w:rPr>
        <w:t xml:space="preserve"> more significantly,</w:t>
      </w:r>
      <w:r w:rsidR="00BE752A">
        <w:rPr>
          <w:noProof/>
        </w:rPr>
        <w:t xml:space="preserve"> particularly for entities deciding to move workloads and applications to the highest levels of sovereignty assurance.</w:t>
      </w:r>
      <w:r w:rsidR="00D42862">
        <w:rPr>
          <w:noProof/>
        </w:rPr>
        <w:t xml:space="preserve"> While the option could increase operational complexity and short to medium-term costs, </w:t>
      </w:r>
      <w:r w:rsidR="00094577">
        <w:rPr>
          <w:noProof/>
        </w:rPr>
        <w:t>it would be more proportionate and coherent</w:t>
      </w:r>
      <w:r w:rsidR="00C47113">
        <w:rPr>
          <w:noProof/>
        </w:rPr>
        <w:t xml:space="preserve"> than other options as it matches the scale of the interventions to the nature of the challenge. Moreover, the expected</w:t>
      </w:r>
      <w:r w:rsidR="00BE752A">
        <w:rPr>
          <w:noProof/>
        </w:rPr>
        <w:t xml:space="preserve"> upfront and operational costs should still be weigh</w:t>
      </w:r>
      <w:r w:rsidR="00582B85">
        <w:rPr>
          <w:noProof/>
        </w:rPr>
        <w:t>ed against long-term and less easily quantifiable benefits, including reduced strategic dependencies, increased</w:t>
      </w:r>
      <w:r w:rsidR="00432C57">
        <w:rPr>
          <w:noProof/>
        </w:rPr>
        <w:t xml:space="preserve"> control over critical digital infrastructure, improved resilience and greater European technological sovereignty. </w:t>
      </w:r>
    </w:p>
    <w:p w14:paraId="35745ABC" w14:textId="77777777" w:rsidR="006B087E" w:rsidRPr="0040796A" w:rsidRDefault="006B087E" w:rsidP="000E3086">
      <w:pPr>
        <w:pStyle w:val="Heading1"/>
        <w:rPr>
          <w:noProof/>
        </w:rPr>
      </w:pPr>
      <w:bookmarkStart w:id="79" w:name="_Toc230792750"/>
      <w:r w:rsidRPr="0040796A">
        <w:rPr>
          <w:noProof/>
        </w:rPr>
        <w:t>Preferred option</w:t>
      </w:r>
      <w:bookmarkEnd w:id="79"/>
    </w:p>
    <w:p w14:paraId="02E56E9F" w14:textId="77777777" w:rsidR="00E61374" w:rsidRPr="00D37004" w:rsidRDefault="00E61374" w:rsidP="00E61374">
      <w:pPr>
        <w:pStyle w:val="Heading2"/>
        <w:rPr>
          <w:noProof/>
        </w:rPr>
      </w:pPr>
      <w:bookmarkStart w:id="80" w:name="_Toc216129285"/>
      <w:bookmarkStart w:id="81" w:name="_Toc230792751"/>
      <w:r w:rsidRPr="00D37004">
        <w:rPr>
          <w:noProof/>
        </w:rPr>
        <w:t>Outcome of comparison of policy options</w:t>
      </w:r>
      <w:bookmarkEnd w:id="80"/>
      <w:bookmarkEnd w:id="81"/>
    </w:p>
    <w:p w14:paraId="6DF498A5" w14:textId="690F95B4" w:rsidR="007F0A11" w:rsidRDefault="007F0A11" w:rsidP="007F0A11">
      <w:pPr>
        <w:rPr>
          <w:rFonts w:eastAsia="Times New Roman"/>
          <w:noProof/>
        </w:rPr>
      </w:pPr>
      <w:r>
        <w:rPr>
          <w:rFonts w:eastAsia="Times New Roman"/>
          <w:noProof/>
        </w:rPr>
        <w:t xml:space="preserve">Structuring the policy options into blocks addressing individual problems has allowed to </w:t>
      </w:r>
      <w:r w:rsidR="001058C6">
        <w:rPr>
          <w:rFonts w:eastAsia="Times New Roman"/>
          <w:noProof/>
        </w:rPr>
        <w:t>evaluate</w:t>
      </w:r>
      <w:r>
        <w:rPr>
          <w:rFonts w:eastAsia="Times New Roman"/>
          <w:noProof/>
        </w:rPr>
        <w:t xml:space="preserve"> the most effective, efficient, and proportionate measures from each block of options, while also analysing </w:t>
      </w:r>
      <w:r w:rsidR="000F653F">
        <w:rPr>
          <w:rFonts w:eastAsia="Times New Roman"/>
          <w:noProof/>
        </w:rPr>
        <w:t xml:space="preserve">the package’s </w:t>
      </w:r>
      <w:r>
        <w:rPr>
          <w:rFonts w:eastAsia="Times New Roman"/>
          <w:noProof/>
        </w:rPr>
        <w:t xml:space="preserve">comprehensiveness in addressing both problems and their underlying drivers. </w:t>
      </w:r>
      <w:r w:rsidR="006F4D52">
        <w:rPr>
          <w:rFonts w:eastAsia="Times New Roman"/>
          <w:noProof/>
        </w:rPr>
        <w:t>Th</w:t>
      </w:r>
      <w:r w:rsidR="00B64DEE">
        <w:rPr>
          <w:rFonts w:eastAsia="Times New Roman"/>
          <w:noProof/>
        </w:rPr>
        <w:t>is</w:t>
      </w:r>
      <w:r w:rsidR="006F4D52">
        <w:rPr>
          <w:rFonts w:eastAsia="Times New Roman"/>
          <w:noProof/>
        </w:rPr>
        <w:t xml:space="preserve"> </w:t>
      </w:r>
      <w:r w:rsidR="004960FB">
        <w:rPr>
          <w:rFonts w:eastAsia="Times New Roman"/>
          <w:noProof/>
        </w:rPr>
        <w:t xml:space="preserve">section </w:t>
      </w:r>
      <w:r w:rsidR="007D4369">
        <w:rPr>
          <w:rFonts w:eastAsia="Times New Roman"/>
          <w:noProof/>
        </w:rPr>
        <w:t xml:space="preserve">brings together the </w:t>
      </w:r>
      <w:r w:rsidR="005A070E">
        <w:rPr>
          <w:rFonts w:eastAsia="Times New Roman"/>
          <w:noProof/>
        </w:rPr>
        <w:t>evidence acr</w:t>
      </w:r>
      <w:r w:rsidR="00F4318E">
        <w:rPr>
          <w:rFonts w:eastAsia="Times New Roman"/>
          <w:noProof/>
        </w:rPr>
        <w:t>oss criteria</w:t>
      </w:r>
      <w:r w:rsidR="007D4369">
        <w:rPr>
          <w:rFonts w:eastAsia="Times New Roman"/>
          <w:noProof/>
        </w:rPr>
        <w:t xml:space="preserve"> to assess the relative merits of the policy options in addressing the identified problems and objectives.</w:t>
      </w:r>
      <w:r w:rsidR="00EC2791">
        <w:rPr>
          <w:rFonts w:eastAsia="Times New Roman"/>
          <w:noProof/>
        </w:rPr>
        <w:t xml:space="preserve"> </w:t>
      </w:r>
    </w:p>
    <w:p w14:paraId="36D1779E" w14:textId="20FCB648" w:rsidR="00E61374" w:rsidRPr="00D37004" w:rsidRDefault="00E61374" w:rsidP="00E61374">
      <w:pPr>
        <w:rPr>
          <w:rFonts w:eastAsia="Times New Roman"/>
          <w:noProof/>
        </w:rPr>
      </w:pPr>
      <w:r w:rsidRPr="00D37004">
        <w:rPr>
          <w:rFonts w:eastAsia="Times New Roman"/>
          <w:noProof/>
        </w:rPr>
        <w:t>For the first problem</w:t>
      </w:r>
      <w:r w:rsidRPr="001A695B">
        <w:rPr>
          <w:rFonts w:eastAsia="Times New Roman"/>
          <w:b/>
          <w:noProof/>
        </w:rPr>
        <w:t xml:space="preserve">, </w:t>
      </w:r>
      <w:r w:rsidRPr="00E25462">
        <w:rPr>
          <w:rFonts w:eastAsia="Times New Roman"/>
          <w:noProof/>
        </w:rPr>
        <w:t>PO1-B</w:t>
      </w:r>
      <w:r w:rsidRPr="003F73E0">
        <w:rPr>
          <w:rFonts w:eastAsia="Times New Roman"/>
          <w:noProof/>
        </w:rPr>
        <w:t xml:space="preserve"> </w:t>
      </w:r>
      <w:r w:rsidR="008022F9">
        <w:rPr>
          <w:rFonts w:eastAsia="Times New Roman"/>
          <w:noProof/>
        </w:rPr>
        <w:t xml:space="preserve">performs </w:t>
      </w:r>
      <w:r w:rsidR="00135501">
        <w:rPr>
          <w:rFonts w:eastAsia="Times New Roman"/>
          <w:noProof/>
        </w:rPr>
        <w:t>as the option</w:t>
      </w:r>
      <w:r w:rsidRPr="003F73E0">
        <w:rPr>
          <w:rFonts w:eastAsia="Times New Roman"/>
          <w:noProof/>
        </w:rPr>
        <w:t xml:space="preserve"> that most effectively improves the limited availability of computing capacity in the EU</w:t>
      </w:r>
      <w:r w:rsidR="00B847E6">
        <w:rPr>
          <w:rFonts w:eastAsia="Times New Roman"/>
          <w:noProof/>
        </w:rPr>
        <w:t xml:space="preserve"> relative to the baseline and alternative options</w:t>
      </w:r>
      <w:r w:rsidRPr="003F73E0">
        <w:rPr>
          <w:rFonts w:eastAsia="Times New Roman"/>
          <w:noProof/>
        </w:rPr>
        <w:t xml:space="preserve">. </w:t>
      </w:r>
      <w:r w:rsidR="00F129F1">
        <w:rPr>
          <w:rFonts w:eastAsia="Times New Roman"/>
          <w:noProof/>
        </w:rPr>
        <w:t>A</w:t>
      </w:r>
      <w:r w:rsidR="00F129F1" w:rsidRPr="003F73E0">
        <w:rPr>
          <w:rFonts w:eastAsia="Times New Roman"/>
          <w:noProof/>
        </w:rPr>
        <w:t>dministrative streamlining and fast-track permitting at national level</w:t>
      </w:r>
      <w:r w:rsidR="000B21D5">
        <w:rPr>
          <w:rFonts w:eastAsia="Times New Roman"/>
          <w:noProof/>
        </w:rPr>
        <w:t>, coupled with strategic funding and</w:t>
      </w:r>
      <w:r w:rsidR="00C757AE">
        <w:rPr>
          <w:rFonts w:eastAsia="Times New Roman"/>
          <w:noProof/>
        </w:rPr>
        <w:t xml:space="preserve"> monitoring of capacity, </w:t>
      </w:r>
      <w:r w:rsidR="00753A8B">
        <w:rPr>
          <w:rFonts w:eastAsia="Times New Roman"/>
          <w:noProof/>
        </w:rPr>
        <w:t>appear</w:t>
      </w:r>
      <w:r w:rsidR="00C757AE">
        <w:rPr>
          <w:rFonts w:eastAsia="Times New Roman"/>
          <w:noProof/>
        </w:rPr>
        <w:t xml:space="preserve"> as the most impactful options </w:t>
      </w:r>
      <w:r w:rsidR="00B847E6">
        <w:rPr>
          <w:rFonts w:eastAsia="Times New Roman"/>
          <w:noProof/>
        </w:rPr>
        <w:t>to</w:t>
      </w:r>
      <w:r w:rsidR="00F129F1">
        <w:rPr>
          <w:rFonts w:eastAsia="Times New Roman"/>
          <w:noProof/>
        </w:rPr>
        <w:t xml:space="preserve"> tackle the bottlenecks for expanding such capacity in the EU</w:t>
      </w:r>
      <w:r w:rsidRPr="003F73E0">
        <w:rPr>
          <w:rFonts w:eastAsia="Times New Roman"/>
          <w:noProof/>
        </w:rPr>
        <w:t xml:space="preserve">. </w:t>
      </w:r>
      <w:r w:rsidR="00323BBA">
        <w:rPr>
          <w:rFonts w:eastAsia="Times New Roman"/>
          <w:noProof/>
        </w:rPr>
        <w:t xml:space="preserve">The option is expected to </w:t>
      </w:r>
      <w:r w:rsidR="00753A8B">
        <w:rPr>
          <w:rFonts w:eastAsia="Times New Roman"/>
          <w:noProof/>
        </w:rPr>
        <w:t xml:space="preserve">generate </w:t>
      </w:r>
      <w:r w:rsidR="00A079CA">
        <w:rPr>
          <w:rFonts w:eastAsia="Times New Roman"/>
          <w:noProof/>
        </w:rPr>
        <w:t xml:space="preserve">greater benefits than costs for both private sector and public sector stakeholders. </w:t>
      </w:r>
      <w:r w:rsidR="000452F8">
        <w:rPr>
          <w:rFonts w:eastAsia="Times New Roman"/>
          <w:noProof/>
        </w:rPr>
        <w:t>Moreover, p</w:t>
      </w:r>
      <w:r w:rsidR="000452F8" w:rsidRPr="000452F8">
        <w:rPr>
          <w:rFonts w:eastAsia="Times New Roman"/>
          <w:noProof/>
        </w:rPr>
        <w:t>ublic acceptance of data centres is expected to be highest because local authorities would have a stronger role in decisions on where and how they are built. This means</w:t>
      </w:r>
      <w:r w:rsidR="000452F8">
        <w:rPr>
          <w:rFonts w:eastAsia="Times New Roman"/>
          <w:noProof/>
        </w:rPr>
        <w:t xml:space="preserve"> that</w:t>
      </w:r>
      <w:r w:rsidR="000452F8" w:rsidRPr="000452F8">
        <w:rPr>
          <w:rFonts w:eastAsia="Times New Roman"/>
          <w:noProof/>
        </w:rPr>
        <w:t xml:space="preserve"> decisions would be made closer to the people affected by them.</w:t>
      </w:r>
      <w:r w:rsidR="000452F8">
        <w:rPr>
          <w:rFonts w:eastAsia="Times New Roman"/>
          <w:noProof/>
        </w:rPr>
        <w:t xml:space="preserve"> </w:t>
      </w:r>
      <w:r w:rsidR="004316A3">
        <w:rPr>
          <w:rFonts w:eastAsia="Times New Roman"/>
          <w:noProof/>
        </w:rPr>
        <w:t xml:space="preserve">By contrast, </w:t>
      </w:r>
      <w:r w:rsidRPr="003F73E0">
        <w:rPr>
          <w:rFonts w:eastAsia="Times New Roman"/>
          <w:noProof/>
        </w:rPr>
        <w:t xml:space="preserve">PO1-C </w:t>
      </w:r>
      <w:r w:rsidR="004316A3">
        <w:rPr>
          <w:rFonts w:eastAsia="Times New Roman"/>
          <w:noProof/>
        </w:rPr>
        <w:t>is expected</w:t>
      </w:r>
      <w:r w:rsidR="004316A3" w:rsidRPr="00D37004">
        <w:rPr>
          <w:rFonts w:eastAsia="Times New Roman"/>
          <w:noProof/>
        </w:rPr>
        <w:t xml:space="preserve"> </w:t>
      </w:r>
      <w:r w:rsidRPr="00D37004">
        <w:rPr>
          <w:rFonts w:eastAsia="Times New Roman"/>
          <w:noProof/>
        </w:rPr>
        <w:t xml:space="preserve">to reach </w:t>
      </w:r>
      <w:r w:rsidR="004316A3">
        <w:rPr>
          <w:rFonts w:eastAsia="Times New Roman"/>
          <w:noProof/>
        </w:rPr>
        <w:t>a lower</w:t>
      </w:r>
      <w:r w:rsidRPr="00D37004">
        <w:rPr>
          <w:rFonts w:eastAsia="Times New Roman"/>
          <w:noProof/>
        </w:rPr>
        <w:t xml:space="preserve"> level of computing infrastructure deployment than PO1-B, because PM10 adds a layer of decision-making at EU-level. Nevertheless, PO1-C reaches </w:t>
      </w:r>
      <w:r w:rsidR="00991E61">
        <w:rPr>
          <w:rFonts w:eastAsia="Times New Roman"/>
          <w:noProof/>
        </w:rPr>
        <w:t>the best environmental impact</w:t>
      </w:r>
      <w:r w:rsidR="00C76A54" w:rsidDel="008566FB">
        <w:rPr>
          <w:rFonts w:eastAsia="Times New Roman"/>
          <w:noProof/>
        </w:rPr>
        <w:t xml:space="preserve"> </w:t>
      </w:r>
      <w:r w:rsidR="00C76A54">
        <w:rPr>
          <w:rFonts w:eastAsia="Times New Roman"/>
          <w:noProof/>
        </w:rPr>
        <w:t>due</w:t>
      </w:r>
      <w:r w:rsidRPr="00D37004">
        <w:rPr>
          <w:rFonts w:eastAsia="Times New Roman"/>
          <w:noProof/>
        </w:rPr>
        <w:t xml:space="preserve"> to</w:t>
      </w:r>
      <w:r w:rsidR="00C76A54">
        <w:rPr>
          <w:rFonts w:eastAsia="Times New Roman"/>
          <w:noProof/>
        </w:rPr>
        <w:t xml:space="preserve"> the </w:t>
      </w:r>
      <w:r w:rsidR="00BC520E">
        <w:rPr>
          <w:rFonts w:eastAsia="Times New Roman"/>
          <w:noProof/>
        </w:rPr>
        <w:t xml:space="preserve">expected positive </w:t>
      </w:r>
      <w:r w:rsidR="00C76A54">
        <w:rPr>
          <w:rFonts w:eastAsia="Times New Roman"/>
          <w:noProof/>
        </w:rPr>
        <w:t>contribution of</w:t>
      </w:r>
      <w:r w:rsidRPr="00D37004">
        <w:rPr>
          <w:rFonts w:eastAsia="Times New Roman"/>
          <w:noProof/>
        </w:rPr>
        <w:t xml:space="preserve"> EU-level funding (PM8 and PM9)</w:t>
      </w:r>
      <w:r w:rsidR="00C76A54">
        <w:rPr>
          <w:rFonts w:eastAsia="Times New Roman"/>
          <w:noProof/>
        </w:rPr>
        <w:t xml:space="preserve"> </w:t>
      </w:r>
      <w:r w:rsidR="00BC520E">
        <w:rPr>
          <w:rFonts w:eastAsia="Times New Roman"/>
          <w:noProof/>
        </w:rPr>
        <w:t xml:space="preserve">to </w:t>
      </w:r>
      <w:r w:rsidR="00C76A54" w:rsidRPr="003401EC">
        <w:rPr>
          <w:noProof/>
        </w:rPr>
        <w:t>R&amp;D and innovation in sustainable technologies</w:t>
      </w:r>
      <w:r w:rsidRPr="00D37004">
        <w:rPr>
          <w:rFonts w:eastAsia="Times New Roman"/>
          <w:noProof/>
        </w:rPr>
        <w:t xml:space="preserve">. </w:t>
      </w:r>
      <w:r w:rsidR="00A079CA">
        <w:rPr>
          <w:rFonts w:eastAsia="Times New Roman"/>
          <w:noProof/>
        </w:rPr>
        <w:t>Given the importance of fostering deployment of data centres with a focus on sustainability and reducing environmental impacts,</w:t>
      </w:r>
      <w:r w:rsidR="00A079CA">
        <w:rPr>
          <w:rFonts w:eastAsia="Times New Roman"/>
          <w:b/>
          <w:noProof/>
        </w:rPr>
        <w:t xml:space="preserve"> f</w:t>
      </w:r>
      <w:r w:rsidRPr="00D37004">
        <w:rPr>
          <w:rFonts w:eastAsia="Times New Roman"/>
          <w:b/>
          <w:noProof/>
        </w:rPr>
        <w:t>or the first problem, the</w:t>
      </w:r>
      <w:r w:rsidR="00016E66">
        <w:rPr>
          <w:rFonts w:eastAsia="Times New Roman"/>
          <w:b/>
          <w:noProof/>
        </w:rPr>
        <w:t xml:space="preserve"> analysis points towards a package centre</w:t>
      </w:r>
      <w:r w:rsidR="009B4848">
        <w:rPr>
          <w:rFonts w:eastAsia="Times New Roman"/>
          <w:b/>
          <w:noProof/>
        </w:rPr>
        <w:t>d</w:t>
      </w:r>
      <w:r w:rsidR="00016E66">
        <w:rPr>
          <w:rFonts w:eastAsia="Times New Roman"/>
          <w:b/>
          <w:noProof/>
        </w:rPr>
        <w:t xml:space="preserve"> </w:t>
      </w:r>
      <w:r w:rsidR="00016E66" w:rsidDel="00B070B0">
        <w:rPr>
          <w:rFonts w:eastAsia="Times New Roman"/>
          <w:b/>
          <w:noProof/>
        </w:rPr>
        <w:t xml:space="preserve">on </w:t>
      </w:r>
      <w:r w:rsidR="00B070B0" w:rsidRPr="00D37004">
        <w:rPr>
          <w:rFonts w:eastAsia="Times New Roman"/>
          <w:b/>
          <w:noProof/>
        </w:rPr>
        <w:t>PO</w:t>
      </w:r>
      <w:r w:rsidRPr="00D37004">
        <w:rPr>
          <w:rFonts w:eastAsia="Times New Roman"/>
          <w:b/>
          <w:noProof/>
        </w:rPr>
        <w:t>1-B</w:t>
      </w:r>
      <w:r w:rsidR="00016E66">
        <w:rPr>
          <w:rFonts w:eastAsia="Times New Roman"/>
          <w:b/>
          <w:noProof/>
        </w:rPr>
        <w:t xml:space="preserve">, supplemented by </w:t>
      </w:r>
      <w:r w:rsidRPr="00D37004">
        <w:rPr>
          <w:rFonts w:eastAsia="Times New Roman"/>
          <w:b/>
          <w:noProof/>
        </w:rPr>
        <w:t>PM8 and PM9</w:t>
      </w:r>
      <w:r w:rsidR="00BC2870">
        <w:rPr>
          <w:rFonts w:eastAsia="Times New Roman"/>
          <w:b/>
          <w:noProof/>
        </w:rPr>
        <w:t xml:space="preserve"> </w:t>
      </w:r>
      <w:r w:rsidR="00BC2870">
        <w:rPr>
          <w:rFonts w:eastAsia="Times New Roman"/>
          <w:bCs/>
          <w:noProof/>
        </w:rPr>
        <w:t xml:space="preserve">as a proportionate response. This combination is expected to offer a favourable balance </w:t>
      </w:r>
      <w:r w:rsidR="007C0A15">
        <w:rPr>
          <w:rFonts w:eastAsia="Times New Roman"/>
          <w:bCs/>
          <w:noProof/>
        </w:rPr>
        <w:t>between</w:t>
      </w:r>
      <w:r w:rsidRPr="00D37004">
        <w:rPr>
          <w:rFonts w:eastAsia="Times New Roman"/>
          <w:noProof/>
        </w:rPr>
        <w:t xml:space="preserve"> </w:t>
      </w:r>
      <w:r w:rsidR="007C0A15">
        <w:rPr>
          <w:rFonts w:eastAsia="Times New Roman"/>
          <w:noProof/>
        </w:rPr>
        <w:t>supporting</w:t>
      </w:r>
      <w:r w:rsidRPr="00D37004">
        <w:rPr>
          <w:rFonts w:eastAsia="Times New Roman"/>
          <w:noProof/>
        </w:rPr>
        <w:t xml:space="preserve"> deployment of capacity and </w:t>
      </w:r>
      <w:r w:rsidR="00D553EA">
        <w:rPr>
          <w:rFonts w:eastAsia="Times New Roman"/>
          <w:noProof/>
        </w:rPr>
        <w:t>better</w:t>
      </w:r>
      <w:r w:rsidRPr="00D37004" w:rsidDel="007C0A15">
        <w:rPr>
          <w:rFonts w:eastAsia="Times New Roman"/>
          <w:noProof/>
        </w:rPr>
        <w:t xml:space="preserve"> </w:t>
      </w:r>
      <w:r w:rsidRPr="00D37004">
        <w:rPr>
          <w:rFonts w:eastAsia="Times New Roman"/>
          <w:noProof/>
        </w:rPr>
        <w:t xml:space="preserve">energy efficiency and environmental </w:t>
      </w:r>
      <w:r w:rsidR="007C0A15">
        <w:rPr>
          <w:rFonts w:eastAsia="Times New Roman"/>
          <w:noProof/>
        </w:rPr>
        <w:t>performance</w:t>
      </w:r>
      <w:r w:rsidR="007C0A15" w:rsidRPr="00D37004">
        <w:rPr>
          <w:rFonts w:eastAsia="Times New Roman"/>
          <w:noProof/>
        </w:rPr>
        <w:t xml:space="preserve"> </w:t>
      </w:r>
      <w:r w:rsidRPr="00D37004">
        <w:rPr>
          <w:rFonts w:eastAsia="Times New Roman"/>
          <w:noProof/>
        </w:rPr>
        <w:t xml:space="preserve">per </w:t>
      </w:r>
      <w:r w:rsidR="007C0A15">
        <w:rPr>
          <w:rFonts w:eastAsia="Times New Roman"/>
          <w:noProof/>
        </w:rPr>
        <w:t>unit of new</w:t>
      </w:r>
      <w:r w:rsidRPr="00D37004">
        <w:rPr>
          <w:rFonts w:eastAsia="Times New Roman"/>
          <w:noProof/>
        </w:rPr>
        <w:t xml:space="preserve"> capacity.</w:t>
      </w:r>
    </w:p>
    <w:p w14:paraId="1CE6C889" w14:textId="13691FCD" w:rsidR="00E61374" w:rsidRPr="00F54489" w:rsidRDefault="001C5177" w:rsidP="00FB3D94">
      <w:pPr>
        <w:rPr>
          <w:rFonts w:eastAsia="Times New Roman"/>
          <w:noProof/>
        </w:rPr>
      </w:pPr>
      <w:r>
        <w:rPr>
          <w:rFonts w:eastAsia="Times New Roman"/>
          <w:noProof/>
        </w:rPr>
        <w:t>With respect to</w:t>
      </w:r>
      <w:r w:rsidRPr="00D37004">
        <w:rPr>
          <w:rFonts w:eastAsia="Times New Roman"/>
          <w:noProof/>
        </w:rPr>
        <w:t xml:space="preserve"> </w:t>
      </w:r>
      <w:r w:rsidR="00E61374" w:rsidRPr="00D37004">
        <w:rPr>
          <w:rFonts w:eastAsia="Times New Roman"/>
          <w:noProof/>
        </w:rPr>
        <w:t xml:space="preserve">the second problem, </w:t>
      </w:r>
      <w:r w:rsidR="00E61374" w:rsidRPr="003F73E0">
        <w:rPr>
          <w:rFonts w:eastAsia="Times New Roman"/>
          <w:noProof/>
        </w:rPr>
        <w:t xml:space="preserve">PO2-C </w:t>
      </w:r>
      <w:r>
        <w:rPr>
          <w:rFonts w:eastAsia="Times New Roman"/>
          <w:noProof/>
        </w:rPr>
        <w:t xml:space="preserve">emerges as the best performing option </w:t>
      </w:r>
      <w:r w:rsidR="00E61374" w:rsidRPr="003F73E0">
        <w:rPr>
          <w:rFonts w:eastAsia="Times New Roman"/>
          <w:noProof/>
        </w:rPr>
        <w:t xml:space="preserve">across the comparison criteria. </w:t>
      </w:r>
      <w:r w:rsidR="42862271" w:rsidRPr="576205D6">
        <w:rPr>
          <w:rFonts w:eastAsia="Times New Roman"/>
          <w:noProof/>
        </w:rPr>
        <w:t xml:space="preserve">Through clarity in the definition of </w:t>
      </w:r>
      <w:r w:rsidR="42862271" w:rsidRPr="553D396E">
        <w:rPr>
          <w:rFonts w:eastAsia="Times New Roman"/>
          <w:noProof/>
        </w:rPr>
        <w:t xml:space="preserve">sovereignty, which is also defined in a proportionate manner, combined with </w:t>
      </w:r>
      <w:r w:rsidR="42862271" w:rsidRPr="096F2BA1">
        <w:rPr>
          <w:rFonts w:eastAsia="Times New Roman"/>
          <w:noProof/>
        </w:rPr>
        <w:t>complementary measures</w:t>
      </w:r>
      <w:r w:rsidR="067CB1CF" w:rsidRPr="52EDA0CD">
        <w:rPr>
          <w:rFonts w:eastAsia="Times New Roman"/>
          <w:noProof/>
        </w:rPr>
        <w:t xml:space="preserve"> </w:t>
      </w:r>
      <w:r w:rsidR="067CB1CF" w:rsidRPr="5200F5D1">
        <w:rPr>
          <w:rFonts w:eastAsia="Times New Roman"/>
          <w:noProof/>
        </w:rPr>
        <w:t xml:space="preserve">addressing </w:t>
      </w:r>
      <w:r w:rsidR="067CB1CF" w:rsidRPr="469E275C">
        <w:rPr>
          <w:rFonts w:eastAsia="Times New Roman"/>
          <w:noProof/>
        </w:rPr>
        <w:t>procurement and open source</w:t>
      </w:r>
      <w:r w:rsidR="067CB1CF" w:rsidRPr="19687B40">
        <w:rPr>
          <w:rFonts w:eastAsia="Times New Roman"/>
          <w:noProof/>
        </w:rPr>
        <w:t>, it</w:t>
      </w:r>
      <w:r w:rsidR="42862271" w:rsidRPr="096F2BA1">
        <w:rPr>
          <w:rFonts w:eastAsia="Times New Roman"/>
          <w:noProof/>
        </w:rPr>
        <w:t xml:space="preserve"> will facilitate </w:t>
      </w:r>
      <w:r w:rsidR="42862271" w:rsidRPr="54B42C6D">
        <w:rPr>
          <w:rFonts w:eastAsia="Times New Roman"/>
          <w:noProof/>
        </w:rPr>
        <w:t xml:space="preserve">the uptake </w:t>
      </w:r>
      <w:r w:rsidR="6649505D" w:rsidRPr="54B42C6D">
        <w:rPr>
          <w:rFonts w:eastAsia="Times New Roman"/>
          <w:noProof/>
        </w:rPr>
        <w:t xml:space="preserve">of </w:t>
      </w:r>
      <w:r w:rsidR="6649505D" w:rsidRPr="0FE4E5E0">
        <w:rPr>
          <w:rFonts w:eastAsia="Times New Roman"/>
          <w:noProof/>
        </w:rPr>
        <w:t>solutions that meet desired sovereignty levels</w:t>
      </w:r>
      <w:r w:rsidR="6649505D" w:rsidRPr="170DC06D">
        <w:rPr>
          <w:rFonts w:eastAsia="Times New Roman"/>
          <w:noProof/>
        </w:rPr>
        <w:t>,</w:t>
      </w:r>
      <w:r w:rsidR="6649505D" w:rsidRPr="0FE4E5E0">
        <w:rPr>
          <w:rFonts w:eastAsia="Times New Roman"/>
          <w:noProof/>
        </w:rPr>
        <w:t xml:space="preserve"> </w:t>
      </w:r>
      <w:r w:rsidR="6649505D" w:rsidRPr="07BD260E">
        <w:rPr>
          <w:rFonts w:eastAsia="Times New Roman"/>
          <w:noProof/>
        </w:rPr>
        <w:t xml:space="preserve">and provide opportunities for European providers. </w:t>
      </w:r>
      <w:r w:rsidR="00E61374" w:rsidRPr="07BD260E">
        <w:rPr>
          <w:rFonts w:eastAsia="Times New Roman"/>
          <w:noProof/>
        </w:rPr>
        <w:t>It</w:t>
      </w:r>
      <w:r w:rsidR="008F0103" w:rsidDel="00D37495">
        <w:rPr>
          <w:rFonts w:eastAsia="Times New Roman"/>
          <w:noProof/>
        </w:rPr>
        <w:t xml:space="preserve"> </w:t>
      </w:r>
      <w:r w:rsidR="008F0103">
        <w:rPr>
          <w:rFonts w:eastAsia="Times New Roman"/>
          <w:noProof/>
        </w:rPr>
        <w:t xml:space="preserve">incorporates, in an </w:t>
      </w:r>
      <w:r w:rsidR="00E61374" w:rsidRPr="003F73E0">
        <w:rPr>
          <w:rFonts w:eastAsia="Times New Roman"/>
          <w:noProof/>
        </w:rPr>
        <w:t>incremental</w:t>
      </w:r>
      <w:r w:rsidR="008F0103">
        <w:rPr>
          <w:rFonts w:eastAsia="Times New Roman"/>
          <w:noProof/>
        </w:rPr>
        <w:t xml:space="preserve"> way</w:t>
      </w:r>
      <w:r w:rsidR="003D0CCD">
        <w:rPr>
          <w:rFonts w:eastAsia="Times New Roman"/>
          <w:noProof/>
        </w:rPr>
        <w:t xml:space="preserve">, </w:t>
      </w:r>
      <w:r w:rsidR="00256ED9">
        <w:rPr>
          <w:rFonts w:eastAsia="Times New Roman"/>
          <w:noProof/>
        </w:rPr>
        <w:t xml:space="preserve">several </w:t>
      </w:r>
      <w:r w:rsidR="003D0CCD">
        <w:rPr>
          <w:rFonts w:eastAsia="Times New Roman"/>
          <w:noProof/>
        </w:rPr>
        <w:t xml:space="preserve">elements of the </w:t>
      </w:r>
      <w:r w:rsidR="003D0CCD" w:rsidDel="00DC4E37">
        <w:rPr>
          <w:rFonts w:eastAsia="Times New Roman"/>
          <w:noProof/>
        </w:rPr>
        <w:t xml:space="preserve">other </w:t>
      </w:r>
      <w:r w:rsidR="00DC4E37" w:rsidRPr="003F73E0">
        <w:rPr>
          <w:rFonts w:eastAsia="Times New Roman"/>
          <w:noProof/>
        </w:rPr>
        <w:t>PO</w:t>
      </w:r>
      <w:r w:rsidR="00E61374" w:rsidRPr="003F73E0">
        <w:rPr>
          <w:rFonts w:eastAsia="Times New Roman"/>
          <w:noProof/>
        </w:rPr>
        <w:t xml:space="preserve">2 policy options. </w:t>
      </w:r>
      <w:r w:rsidR="003D0CCD">
        <w:rPr>
          <w:rFonts w:eastAsia="Times New Roman"/>
          <w:noProof/>
        </w:rPr>
        <w:t>Additional</w:t>
      </w:r>
      <w:r w:rsidR="003D0CCD" w:rsidRPr="003F73E0">
        <w:rPr>
          <w:rFonts w:eastAsia="Times New Roman"/>
          <w:noProof/>
        </w:rPr>
        <w:t xml:space="preserve"> </w:t>
      </w:r>
      <w:r w:rsidR="00E61374" w:rsidRPr="003F73E0">
        <w:rPr>
          <w:rFonts w:eastAsia="Times New Roman"/>
          <w:noProof/>
        </w:rPr>
        <w:t xml:space="preserve">individual PMs </w:t>
      </w:r>
      <w:r w:rsidR="003D0CCD">
        <w:rPr>
          <w:rFonts w:eastAsia="Times New Roman"/>
          <w:noProof/>
        </w:rPr>
        <w:t>are expected to deliver only</w:t>
      </w:r>
      <w:r w:rsidR="00144A71">
        <w:rPr>
          <w:rFonts w:eastAsia="Times New Roman"/>
          <w:noProof/>
        </w:rPr>
        <w:t xml:space="preserve"> limited </w:t>
      </w:r>
      <w:r w:rsidR="00E61374" w:rsidRPr="003F73E0">
        <w:rPr>
          <w:rFonts w:eastAsia="Times New Roman"/>
          <w:noProof/>
        </w:rPr>
        <w:t>marginal gains: PM12 and PM13 are soft measures that the Commission could decide to undertake in the future should the need arise; PM14 lacks perspective on how effective the enforcement of</w:t>
      </w:r>
      <w:r w:rsidR="00E61374" w:rsidRPr="00D37004">
        <w:rPr>
          <w:rFonts w:eastAsia="Times New Roman"/>
          <w:noProof/>
        </w:rPr>
        <w:t xml:space="preserve"> the </w:t>
      </w:r>
      <w:r w:rsidR="00E61374">
        <w:rPr>
          <w:rFonts w:eastAsia="Times New Roman"/>
          <w:noProof/>
        </w:rPr>
        <w:t>D</w:t>
      </w:r>
      <w:r w:rsidR="00E61374" w:rsidRPr="00D37004">
        <w:rPr>
          <w:rFonts w:eastAsia="Times New Roman"/>
          <w:noProof/>
        </w:rPr>
        <w:t xml:space="preserve">ata </w:t>
      </w:r>
      <w:r w:rsidR="00E61374">
        <w:rPr>
          <w:rFonts w:eastAsia="Times New Roman"/>
          <w:noProof/>
        </w:rPr>
        <w:t>A</w:t>
      </w:r>
      <w:r w:rsidR="00E61374" w:rsidRPr="00D37004">
        <w:rPr>
          <w:rFonts w:eastAsia="Times New Roman"/>
          <w:noProof/>
        </w:rPr>
        <w:t xml:space="preserve">ct will be (see annex 4). </w:t>
      </w:r>
      <w:r w:rsidR="00EE11E2">
        <w:rPr>
          <w:rFonts w:eastAsia="Times New Roman"/>
          <w:b/>
          <w:noProof/>
        </w:rPr>
        <w:t xml:space="preserve">On this basis, PO2-C is retained as </w:t>
      </w:r>
      <w:r w:rsidR="00E61374" w:rsidRPr="00D37004">
        <w:rPr>
          <w:rFonts w:eastAsia="Times New Roman"/>
          <w:b/>
          <w:noProof/>
        </w:rPr>
        <w:t>the preferred package</w:t>
      </w:r>
      <w:r w:rsidR="00EE11E2">
        <w:rPr>
          <w:rFonts w:eastAsia="Times New Roman"/>
          <w:b/>
          <w:noProof/>
        </w:rPr>
        <w:t xml:space="preserve"> </w:t>
      </w:r>
      <w:r w:rsidR="00EE11E2" w:rsidRPr="002B1A9F">
        <w:rPr>
          <w:rFonts w:eastAsia="Times New Roman"/>
          <w:b/>
          <w:bCs/>
          <w:noProof/>
        </w:rPr>
        <w:t>addressing the second problem.</w:t>
      </w:r>
      <w:r w:rsidR="00EE11E2" w:rsidRPr="00F54489">
        <w:rPr>
          <w:rFonts w:eastAsia="Times New Roman"/>
          <w:noProof/>
        </w:rPr>
        <w:t xml:space="preserve"> </w:t>
      </w:r>
    </w:p>
    <w:p w14:paraId="337A4EE2" w14:textId="599A4758" w:rsidR="00E61374" w:rsidRPr="00D37004" w:rsidRDefault="00E25462" w:rsidP="00FB3D94">
      <w:pPr>
        <w:rPr>
          <w:rFonts w:eastAsia="Times New Roman"/>
          <w:noProof/>
        </w:rPr>
      </w:pPr>
      <w:r w:rsidRPr="002D392D">
        <w:rPr>
          <w:rFonts w:eastAsia="Times New Roman"/>
          <w:noProof/>
        </w:rPr>
        <w:t xml:space="preserve">As outlined </w:t>
      </w:r>
      <w:r>
        <w:rPr>
          <w:rFonts w:eastAsia="Times New Roman"/>
          <w:noProof/>
        </w:rPr>
        <w:t>above</w:t>
      </w:r>
      <w:r w:rsidRPr="002D392D">
        <w:rPr>
          <w:rFonts w:eastAsia="Times New Roman"/>
          <w:noProof/>
        </w:rPr>
        <w:t>, the first set of options primarily addresses SO1 and SO2, while the second set is more directly aligned wit</w:t>
      </w:r>
      <w:r w:rsidR="00483667">
        <w:rPr>
          <w:rFonts w:eastAsia="Times New Roman"/>
          <w:noProof/>
        </w:rPr>
        <w:t>h</w:t>
      </w:r>
      <w:r w:rsidRPr="002D392D">
        <w:rPr>
          <w:rFonts w:eastAsia="Times New Roman"/>
          <w:noProof/>
        </w:rPr>
        <w:t xml:space="preserve"> </w:t>
      </w:r>
      <w:r w:rsidR="00D33CD7">
        <w:rPr>
          <w:rFonts w:eastAsia="Times New Roman"/>
          <w:noProof/>
        </w:rPr>
        <w:t xml:space="preserve">SO3 and </w:t>
      </w:r>
      <w:r w:rsidRPr="002D392D">
        <w:rPr>
          <w:rFonts w:eastAsia="Times New Roman"/>
          <w:noProof/>
        </w:rPr>
        <w:t xml:space="preserve">SO4. Given this differentiated contribution, a combined application of </w:t>
      </w:r>
      <w:r>
        <w:rPr>
          <w:rFonts w:eastAsia="Times New Roman"/>
          <w:noProof/>
        </w:rPr>
        <w:t>the best performing options among the two</w:t>
      </w:r>
      <w:r w:rsidRPr="002D392D">
        <w:rPr>
          <w:rFonts w:eastAsia="Times New Roman"/>
          <w:noProof/>
        </w:rPr>
        <w:t xml:space="preserve"> sets is expected to be the most effective approach to tackl</w:t>
      </w:r>
      <w:r w:rsidR="005C10BA">
        <w:rPr>
          <w:rFonts w:eastAsia="Times New Roman"/>
          <w:noProof/>
        </w:rPr>
        <w:t>e</w:t>
      </w:r>
      <w:r w:rsidRPr="002D392D">
        <w:rPr>
          <w:rFonts w:eastAsia="Times New Roman"/>
          <w:noProof/>
        </w:rPr>
        <w:t xml:space="preserve"> the </w:t>
      </w:r>
      <w:r w:rsidRPr="000C7735">
        <w:rPr>
          <w:rFonts w:eastAsia="Times New Roman"/>
          <w:b/>
          <w:noProof/>
        </w:rPr>
        <w:t>full range of problems and underlying drivers</w:t>
      </w:r>
      <w:r w:rsidRPr="002D392D">
        <w:rPr>
          <w:rFonts w:eastAsia="Times New Roman"/>
          <w:noProof/>
        </w:rPr>
        <w:t xml:space="preserve"> identified in the problem definition, which are heterogeneous in nature. Taken together, these options </w:t>
      </w:r>
      <w:r w:rsidR="001B3C5B">
        <w:rPr>
          <w:rFonts w:eastAsia="Times New Roman"/>
          <w:noProof/>
        </w:rPr>
        <w:t xml:space="preserve">would </w:t>
      </w:r>
      <w:r w:rsidRPr="002D392D">
        <w:rPr>
          <w:rFonts w:eastAsia="Times New Roman"/>
          <w:noProof/>
        </w:rPr>
        <w:t xml:space="preserve">also support the achievement of the </w:t>
      </w:r>
      <w:r w:rsidRPr="000C7735">
        <w:rPr>
          <w:rFonts w:eastAsia="Times New Roman"/>
          <w:b/>
          <w:noProof/>
        </w:rPr>
        <w:t>general objective</w:t>
      </w:r>
      <w:r w:rsidRPr="002D392D">
        <w:rPr>
          <w:rFonts w:eastAsia="Times New Roman"/>
          <w:noProof/>
        </w:rPr>
        <w:t xml:space="preserve"> </w:t>
      </w:r>
      <w:r w:rsidR="00A035A6">
        <w:rPr>
          <w:rFonts w:eastAsia="Times New Roman"/>
          <w:noProof/>
        </w:rPr>
        <w:t xml:space="preserve">of </w:t>
      </w:r>
      <w:r w:rsidR="00A035A6" w:rsidRPr="00BF0834">
        <w:rPr>
          <w:rFonts w:eastAsia="Times New Roman"/>
          <w:noProof/>
          <w:lang w:val="en-US"/>
        </w:rPr>
        <w:t>ensuring</w:t>
      </w:r>
      <w:r w:rsidR="00A035A6">
        <w:rPr>
          <w:rFonts w:eastAsia="Times New Roman"/>
          <w:b/>
          <w:bCs/>
          <w:noProof/>
          <w:lang w:val="en-US"/>
        </w:rPr>
        <w:t xml:space="preserve"> </w:t>
      </w:r>
      <w:r w:rsidR="00A035A6" w:rsidRPr="00BF0834">
        <w:rPr>
          <w:rFonts w:eastAsia="Times New Roman"/>
          <w:noProof/>
          <w:lang w:val="en-US"/>
        </w:rPr>
        <w:t>the functioning of the internal market for cloud and AI computing services and secur</w:t>
      </w:r>
      <w:r w:rsidR="006B65F9">
        <w:rPr>
          <w:rFonts w:eastAsia="Times New Roman"/>
          <w:noProof/>
          <w:lang w:val="en-US"/>
        </w:rPr>
        <w:t>ing</w:t>
      </w:r>
      <w:r w:rsidR="00A035A6" w:rsidRPr="00BF0834">
        <w:rPr>
          <w:rFonts w:eastAsia="Times New Roman"/>
          <w:noProof/>
          <w:lang w:val="en-US"/>
        </w:rPr>
        <w:t xml:space="preserve"> the necessary conditions for the Union’s competitiveness and strategic autonomy</w:t>
      </w:r>
      <w:r w:rsidR="00A035A6">
        <w:rPr>
          <w:rFonts w:eastAsia="Times New Roman"/>
          <w:noProof/>
          <w:lang w:val="en-US"/>
        </w:rPr>
        <w:t xml:space="preserve">, </w:t>
      </w:r>
      <w:r w:rsidRPr="002D392D">
        <w:rPr>
          <w:rFonts w:eastAsia="Times New Roman"/>
          <w:noProof/>
        </w:rPr>
        <w:t xml:space="preserve">by </w:t>
      </w:r>
      <w:r w:rsidRPr="002D392D" w:rsidDel="006B65F9">
        <w:rPr>
          <w:rFonts w:eastAsia="Times New Roman"/>
          <w:noProof/>
        </w:rPr>
        <w:t xml:space="preserve">providing </w:t>
      </w:r>
      <w:r w:rsidRPr="002D392D">
        <w:rPr>
          <w:rFonts w:eastAsia="Times New Roman"/>
          <w:noProof/>
        </w:rPr>
        <w:t>a coherent response to the interconnected challenges identified.</w:t>
      </w:r>
      <w:r>
        <w:rPr>
          <w:rFonts w:eastAsia="Times New Roman"/>
          <w:noProof/>
        </w:rPr>
        <w:t xml:space="preserve"> Therefore,</w:t>
      </w:r>
      <w:r w:rsidR="00E61374" w:rsidRPr="003F73E0" w:rsidDel="00E25462">
        <w:rPr>
          <w:rFonts w:eastAsia="Times New Roman"/>
          <w:noProof/>
        </w:rPr>
        <w:t xml:space="preserve"> with </w:t>
      </w:r>
      <w:r w:rsidR="00E61374" w:rsidRPr="00D37004">
        <w:rPr>
          <w:rFonts w:eastAsia="Times New Roman"/>
          <w:noProof/>
        </w:rPr>
        <w:t xml:space="preserve">regards to </w:t>
      </w:r>
      <w:r w:rsidR="00E61374" w:rsidRPr="00D37004">
        <w:rPr>
          <w:rFonts w:eastAsia="Times New Roman"/>
          <w:b/>
          <w:noProof/>
        </w:rPr>
        <w:t>effectiveness</w:t>
      </w:r>
      <w:r w:rsidR="00E61374" w:rsidRPr="00D37004">
        <w:rPr>
          <w:rFonts w:eastAsia="Times New Roman"/>
          <w:noProof/>
        </w:rPr>
        <w:t>, the preferred package</w:t>
      </w:r>
      <w:r>
        <w:rPr>
          <w:rFonts w:eastAsia="Times New Roman"/>
          <w:noProof/>
        </w:rPr>
        <w:t xml:space="preserve"> is expected to </w:t>
      </w:r>
      <w:r w:rsidR="00E61374" w:rsidRPr="00D37004">
        <w:rPr>
          <w:rFonts w:eastAsia="Times New Roman"/>
          <w:noProof/>
        </w:rPr>
        <w:t>address</w:t>
      </w:r>
      <w:r w:rsidR="00E61374" w:rsidRPr="00D37004" w:rsidDel="00F3449B">
        <w:rPr>
          <w:rFonts w:eastAsia="Times New Roman"/>
          <w:noProof/>
        </w:rPr>
        <w:t xml:space="preserve"> </w:t>
      </w:r>
      <w:r w:rsidR="00E61374" w:rsidRPr="00D37004">
        <w:rPr>
          <w:rFonts w:eastAsia="Times New Roman"/>
          <w:noProof/>
        </w:rPr>
        <w:t>the</w:t>
      </w:r>
      <w:r w:rsidR="00674550">
        <w:rPr>
          <w:rFonts w:eastAsia="Times New Roman"/>
          <w:noProof/>
        </w:rPr>
        <w:t xml:space="preserve"> identified</w:t>
      </w:r>
      <w:r w:rsidR="00E61374" w:rsidRPr="00D37004">
        <w:rPr>
          <w:rFonts w:eastAsia="Times New Roman"/>
          <w:noProof/>
        </w:rPr>
        <w:t xml:space="preserve"> problem drivers </w:t>
      </w:r>
      <w:r w:rsidR="00F3449B">
        <w:rPr>
          <w:rFonts w:eastAsia="Times New Roman"/>
          <w:noProof/>
        </w:rPr>
        <w:t xml:space="preserve">in a comprehensive manner </w:t>
      </w:r>
      <w:r w:rsidR="00E61374" w:rsidRPr="00D37004">
        <w:rPr>
          <w:rFonts w:eastAsia="Times New Roman"/>
          <w:noProof/>
        </w:rPr>
        <w:t>and</w:t>
      </w:r>
      <w:r w:rsidR="00674550">
        <w:rPr>
          <w:rFonts w:eastAsia="Times New Roman"/>
          <w:noProof/>
        </w:rPr>
        <w:t>, relative to the baseline, achieve</w:t>
      </w:r>
      <w:r w:rsidR="00E61374" w:rsidRPr="00D37004" w:rsidDel="00674550">
        <w:rPr>
          <w:rFonts w:eastAsia="Times New Roman"/>
          <w:noProof/>
        </w:rPr>
        <w:t xml:space="preserve"> </w:t>
      </w:r>
      <w:r w:rsidR="00674550" w:rsidDel="00A85042">
        <w:rPr>
          <w:rFonts w:eastAsia="Times New Roman"/>
          <w:noProof/>
        </w:rPr>
        <w:t xml:space="preserve">a </w:t>
      </w:r>
      <w:r w:rsidR="00A85042" w:rsidRPr="00D37004" w:rsidDel="00674550">
        <w:rPr>
          <w:rFonts w:eastAsia="Times New Roman"/>
          <w:noProof/>
        </w:rPr>
        <w:t>“</w:t>
      </w:r>
      <w:r w:rsidR="00E61374" w:rsidRPr="00D37004">
        <w:rPr>
          <w:rFonts w:eastAsia="Times New Roman"/>
          <w:noProof/>
        </w:rPr>
        <w:t>very effective (“+++”)</w:t>
      </w:r>
      <w:r w:rsidR="00E61374" w:rsidRPr="00D37004" w:rsidDel="00F3449B">
        <w:rPr>
          <w:rFonts w:eastAsia="Times New Roman"/>
          <w:noProof/>
        </w:rPr>
        <w:t xml:space="preserve"> </w:t>
      </w:r>
      <w:r w:rsidR="00674550">
        <w:rPr>
          <w:rFonts w:eastAsia="Times New Roman"/>
          <w:noProof/>
        </w:rPr>
        <w:t xml:space="preserve">score </w:t>
      </w:r>
      <w:r w:rsidR="00E61374" w:rsidRPr="00D37004">
        <w:rPr>
          <w:rFonts w:eastAsia="Times New Roman"/>
          <w:noProof/>
        </w:rPr>
        <w:t>against all Specific Objectives</w:t>
      </w:r>
      <w:r w:rsidR="00E61374">
        <w:rPr>
          <w:rFonts w:eastAsia="Times New Roman"/>
          <w:noProof/>
        </w:rPr>
        <w:t>.</w:t>
      </w:r>
    </w:p>
    <w:tbl>
      <w:tblPr>
        <w:tblStyle w:val="TableGrid"/>
        <w:tblW w:w="5000" w:type="pct"/>
        <w:tblLook w:val="04A0" w:firstRow="1" w:lastRow="0" w:firstColumn="1" w:lastColumn="0" w:noHBand="0" w:noVBand="1"/>
      </w:tblPr>
      <w:tblGrid>
        <w:gridCol w:w="2014"/>
        <w:gridCol w:w="74"/>
        <w:gridCol w:w="1754"/>
        <w:gridCol w:w="1776"/>
        <w:gridCol w:w="82"/>
        <w:gridCol w:w="1791"/>
        <w:gridCol w:w="99"/>
        <w:gridCol w:w="2123"/>
      </w:tblGrid>
      <w:tr w:rsidR="00E61374" w:rsidRPr="00ED5E2F" w14:paraId="4223CB9B" w14:textId="77777777" w:rsidTr="008B21C6">
        <w:trPr>
          <w:trHeight w:val="794"/>
        </w:trPr>
        <w:tc>
          <w:tcPr>
            <w:tcW w:w="1037" w:type="pct"/>
            <w:tcBorders>
              <w:bottom w:val="single" w:sz="4" w:space="0" w:color="auto"/>
              <w:right w:val="single" w:sz="4" w:space="0" w:color="0070C0"/>
            </w:tcBorders>
            <w:shd w:val="clear" w:color="auto" w:fill="0070C0"/>
          </w:tcPr>
          <w:p w14:paraId="7630FC41" w14:textId="77777777" w:rsidR="00E61374" w:rsidRPr="00ED5E2F" w:rsidRDefault="00E61374" w:rsidP="00ED5E2F">
            <w:pPr>
              <w:spacing w:after="0"/>
              <w:rPr>
                <w:noProof/>
                <w:sz w:val="20"/>
                <w:szCs w:val="20"/>
              </w:rPr>
            </w:pPr>
          </w:p>
        </w:tc>
        <w:tc>
          <w:tcPr>
            <w:tcW w:w="941" w:type="pct"/>
            <w:gridSpan w:val="2"/>
            <w:tcBorders>
              <w:left w:val="single" w:sz="4" w:space="0" w:color="0070C0"/>
              <w:bottom w:val="single" w:sz="4" w:space="0" w:color="auto"/>
              <w:right w:val="single" w:sz="4" w:space="0" w:color="0070C0"/>
            </w:tcBorders>
            <w:shd w:val="clear" w:color="auto" w:fill="0070C0"/>
            <w:vAlign w:val="center"/>
          </w:tcPr>
          <w:p w14:paraId="504A46BE" w14:textId="77777777" w:rsidR="00E61374" w:rsidRPr="00ED5E2F" w:rsidRDefault="00E61374" w:rsidP="00ED5E2F">
            <w:pPr>
              <w:spacing w:after="0"/>
              <w:jc w:val="left"/>
              <w:rPr>
                <w:b/>
                <w:noProof/>
                <w:color w:val="FFFFFF" w:themeColor="background1"/>
                <w:sz w:val="20"/>
                <w:szCs w:val="20"/>
              </w:rPr>
            </w:pPr>
            <w:r w:rsidRPr="00ED5E2F">
              <w:rPr>
                <w:b/>
                <w:noProof/>
                <w:color w:val="FFFFFF" w:themeColor="background1"/>
                <w:sz w:val="20"/>
                <w:szCs w:val="20"/>
              </w:rPr>
              <w:t xml:space="preserve">SO1: </w:t>
            </w:r>
            <w:r w:rsidRPr="00ED5E2F">
              <w:rPr>
                <w:noProof/>
                <w:color w:val="FFFFFF" w:themeColor="background1"/>
                <w:sz w:val="20"/>
                <w:szCs w:val="20"/>
              </w:rPr>
              <w:t xml:space="preserve">Increased computing capacity </w:t>
            </w:r>
          </w:p>
        </w:tc>
        <w:tc>
          <w:tcPr>
            <w:tcW w:w="956" w:type="pct"/>
            <w:gridSpan w:val="2"/>
            <w:tcBorders>
              <w:left w:val="single" w:sz="4" w:space="0" w:color="0070C0"/>
              <w:bottom w:val="single" w:sz="4" w:space="0" w:color="auto"/>
              <w:right w:val="single" w:sz="4" w:space="0" w:color="0070C0"/>
            </w:tcBorders>
            <w:shd w:val="clear" w:color="auto" w:fill="0070C0"/>
            <w:vAlign w:val="center"/>
          </w:tcPr>
          <w:p w14:paraId="4C88CE0D" w14:textId="7A7D7620" w:rsidR="00E61374" w:rsidRPr="00ED5E2F" w:rsidRDefault="00E61374" w:rsidP="00ED5E2F">
            <w:pPr>
              <w:spacing w:after="0"/>
              <w:jc w:val="left"/>
              <w:rPr>
                <w:b/>
                <w:noProof/>
                <w:color w:val="FFFFFF" w:themeColor="background1"/>
                <w:sz w:val="20"/>
                <w:szCs w:val="20"/>
              </w:rPr>
            </w:pPr>
            <w:r w:rsidRPr="00ED5E2F">
              <w:rPr>
                <w:b/>
                <w:noProof/>
                <w:color w:val="FFFFFF" w:themeColor="background1"/>
                <w:sz w:val="20"/>
                <w:szCs w:val="20"/>
              </w:rPr>
              <w:t>SO2: C</w:t>
            </w:r>
            <w:r w:rsidRPr="00ED5E2F">
              <w:rPr>
                <w:noProof/>
                <w:color w:val="FFFFFF" w:themeColor="background1"/>
                <w:sz w:val="20"/>
                <w:szCs w:val="20"/>
              </w:rPr>
              <w:t xml:space="preserve">onditions for </w:t>
            </w:r>
            <w:r w:rsidR="00B36E61">
              <w:rPr>
                <w:noProof/>
                <w:color w:val="FFFFFF" w:themeColor="background1"/>
                <w:sz w:val="20"/>
                <w:szCs w:val="20"/>
              </w:rPr>
              <w:t>sustainable and innovative capacity</w:t>
            </w:r>
            <w:r w:rsidRPr="00ED5E2F">
              <w:rPr>
                <w:noProof/>
                <w:color w:val="FFFFFF" w:themeColor="background1"/>
                <w:sz w:val="20"/>
                <w:szCs w:val="20"/>
              </w:rPr>
              <w:t xml:space="preserve"> </w:t>
            </w:r>
          </w:p>
        </w:tc>
        <w:tc>
          <w:tcPr>
            <w:tcW w:w="973" w:type="pct"/>
            <w:gridSpan w:val="2"/>
            <w:tcBorders>
              <w:left w:val="single" w:sz="4" w:space="0" w:color="0070C0"/>
              <w:bottom w:val="single" w:sz="4" w:space="0" w:color="auto"/>
              <w:right w:val="single" w:sz="4" w:space="0" w:color="0070C0"/>
            </w:tcBorders>
            <w:shd w:val="clear" w:color="auto" w:fill="0070C0"/>
            <w:vAlign w:val="center"/>
          </w:tcPr>
          <w:p w14:paraId="37559932" w14:textId="77777777" w:rsidR="00E61374" w:rsidRPr="00ED5E2F" w:rsidRDefault="00E61374" w:rsidP="00ED5E2F">
            <w:pPr>
              <w:spacing w:after="0"/>
              <w:jc w:val="left"/>
              <w:rPr>
                <w:b/>
                <w:noProof/>
                <w:color w:val="FFFFFF" w:themeColor="background1"/>
                <w:sz w:val="20"/>
                <w:szCs w:val="20"/>
              </w:rPr>
            </w:pPr>
            <w:r w:rsidRPr="00ED5E2F">
              <w:rPr>
                <w:b/>
                <w:noProof/>
                <w:color w:val="FFFFFF" w:themeColor="background1"/>
                <w:sz w:val="20"/>
                <w:szCs w:val="20"/>
              </w:rPr>
              <w:t xml:space="preserve">SO3: </w:t>
            </w:r>
            <w:r w:rsidRPr="00ED5E2F">
              <w:rPr>
                <w:noProof/>
                <w:color w:val="FFFFFF" w:themeColor="background1"/>
                <w:sz w:val="20"/>
                <w:szCs w:val="20"/>
              </w:rPr>
              <w:t>Decreased reliance on non-EU providers</w:t>
            </w:r>
            <w:r w:rsidRPr="00ED5E2F">
              <w:rPr>
                <w:b/>
                <w:noProof/>
                <w:color w:val="FFFFFF" w:themeColor="background1"/>
                <w:sz w:val="20"/>
                <w:szCs w:val="20"/>
                <w:highlight w:val="yellow"/>
              </w:rPr>
              <w:t xml:space="preserve"> </w:t>
            </w:r>
          </w:p>
        </w:tc>
        <w:tc>
          <w:tcPr>
            <w:tcW w:w="1093" w:type="pct"/>
            <w:tcBorders>
              <w:left w:val="single" w:sz="4" w:space="0" w:color="0070C0"/>
              <w:bottom w:val="single" w:sz="4" w:space="0" w:color="auto"/>
            </w:tcBorders>
            <w:shd w:val="clear" w:color="auto" w:fill="0070C0"/>
            <w:vAlign w:val="center"/>
          </w:tcPr>
          <w:p w14:paraId="69E2F026" w14:textId="77777777" w:rsidR="00E61374" w:rsidRPr="00ED5E2F" w:rsidRDefault="00E61374" w:rsidP="00ED5E2F">
            <w:pPr>
              <w:spacing w:after="0"/>
              <w:jc w:val="left"/>
              <w:rPr>
                <w:b/>
                <w:noProof/>
                <w:color w:val="FFFFFF" w:themeColor="background1"/>
                <w:sz w:val="20"/>
                <w:szCs w:val="20"/>
              </w:rPr>
            </w:pPr>
            <w:r w:rsidRPr="00ED5E2F">
              <w:rPr>
                <w:b/>
                <w:noProof/>
                <w:color w:val="FFFFFF" w:themeColor="background1"/>
                <w:sz w:val="20"/>
                <w:szCs w:val="20"/>
              </w:rPr>
              <w:t xml:space="preserve">SO4: </w:t>
            </w:r>
            <w:r w:rsidRPr="00ED5E2F">
              <w:rPr>
                <w:noProof/>
                <w:color w:val="FFFFFF" w:themeColor="background1"/>
                <w:sz w:val="20"/>
                <w:szCs w:val="20"/>
              </w:rPr>
              <w:t xml:space="preserve">Enhanced resilience of supply of cloud and AI computing services </w:t>
            </w:r>
          </w:p>
        </w:tc>
      </w:tr>
      <w:tr w:rsidR="00E61374" w:rsidRPr="00ED5E2F" w14:paraId="115BECAB" w14:textId="77777777" w:rsidTr="008B21C6">
        <w:trPr>
          <w:trHeight w:val="204"/>
        </w:trPr>
        <w:tc>
          <w:tcPr>
            <w:tcW w:w="1075" w:type="pct"/>
            <w:gridSpan w:val="2"/>
            <w:tcBorders>
              <w:bottom w:val="nil"/>
              <w:right w:val="nil"/>
            </w:tcBorders>
            <w:vAlign w:val="center"/>
          </w:tcPr>
          <w:p w14:paraId="7246BF10" w14:textId="77777777" w:rsidR="00E61374" w:rsidRPr="00ED5E2F" w:rsidRDefault="00E61374" w:rsidP="00ED5E2F">
            <w:pPr>
              <w:spacing w:after="0"/>
              <w:rPr>
                <w:b/>
                <w:bCs/>
                <w:noProof/>
                <w:sz w:val="20"/>
                <w:szCs w:val="20"/>
              </w:rPr>
            </w:pPr>
            <w:r w:rsidRPr="00ED5E2F">
              <w:rPr>
                <w:b/>
                <w:bCs/>
                <w:noProof/>
                <w:sz w:val="20"/>
                <w:szCs w:val="20"/>
              </w:rPr>
              <w:t>Policy option 1A</w:t>
            </w:r>
          </w:p>
        </w:tc>
        <w:tc>
          <w:tcPr>
            <w:tcW w:w="903" w:type="pct"/>
            <w:tcBorders>
              <w:left w:val="nil"/>
              <w:bottom w:val="nil"/>
              <w:right w:val="nil"/>
            </w:tcBorders>
            <w:vAlign w:val="center"/>
          </w:tcPr>
          <w:p w14:paraId="1F1CCD23"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left w:val="nil"/>
              <w:bottom w:val="nil"/>
              <w:right w:val="nil"/>
            </w:tcBorders>
            <w:vAlign w:val="center"/>
          </w:tcPr>
          <w:p w14:paraId="2EF6892A" w14:textId="77777777" w:rsidR="00E61374" w:rsidRPr="00ED5E2F" w:rsidRDefault="00E61374" w:rsidP="00ED5E2F">
            <w:pPr>
              <w:spacing w:after="0"/>
              <w:jc w:val="center"/>
              <w:rPr>
                <w:noProof/>
                <w:sz w:val="20"/>
                <w:szCs w:val="20"/>
              </w:rPr>
            </w:pPr>
            <w:r w:rsidRPr="00ED5E2F">
              <w:rPr>
                <w:noProof/>
                <w:sz w:val="20"/>
                <w:szCs w:val="20"/>
              </w:rPr>
              <w:t>++</w:t>
            </w:r>
          </w:p>
        </w:tc>
        <w:tc>
          <w:tcPr>
            <w:tcW w:w="964" w:type="pct"/>
            <w:gridSpan w:val="2"/>
            <w:tcBorders>
              <w:left w:val="nil"/>
              <w:bottom w:val="nil"/>
              <w:right w:val="nil"/>
            </w:tcBorders>
            <w:vAlign w:val="center"/>
          </w:tcPr>
          <w:p w14:paraId="42F8D4BE"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1144" w:type="pct"/>
            <w:gridSpan w:val="2"/>
            <w:tcBorders>
              <w:left w:val="nil"/>
              <w:bottom w:val="nil"/>
            </w:tcBorders>
            <w:vAlign w:val="center"/>
          </w:tcPr>
          <w:p w14:paraId="5F06579C" w14:textId="77777777" w:rsidR="00E61374" w:rsidRPr="00ED5E2F" w:rsidRDefault="00E61374" w:rsidP="00ED5E2F">
            <w:pPr>
              <w:spacing w:after="0"/>
              <w:jc w:val="center"/>
              <w:rPr>
                <w:i/>
                <w:iCs/>
                <w:noProof/>
                <w:sz w:val="20"/>
                <w:szCs w:val="20"/>
              </w:rPr>
            </w:pPr>
            <w:r w:rsidRPr="00ED5E2F">
              <w:rPr>
                <w:i/>
                <w:iCs/>
                <w:noProof/>
                <w:sz w:val="20"/>
                <w:szCs w:val="20"/>
              </w:rPr>
              <w:t>n.r.</w:t>
            </w:r>
          </w:p>
        </w:tc>
      </w:tr>
      <w:tr w:rsidR="00E61374" w:rsidRPr="00ED5E2F" w14:paraId="5C6041D7" w14:textId="77777777" w:rsidTr="008B21C6">
        <w:trPr>
          <w:trHeight w:val="62"/>
        </w:trPr>
        <w:tc>
          <w:tcPr>
            <w:tcW w:w="1075" w:type="pct"/>
            <w:gridSpan w:val="2"/>
            <w:tcBorders>
              <w:top w:val="nil"/>
              <w:bottom w:val="nil"/>
              <w:right w:val="nil"/>
            </w:tcBorders>
            <w:vAlign w:val="center"/>
          </w:tcPr>
          <w:p w14:paraId="0E930C4E" w14:textId="77777777" w:rsidR="00E61374" w:rsidRPr="00ED5E2F" w:rsidRDefault="00E61374" w:rsidP="00ED5E2F">
            <w:pPr>
              <w:spacing w:after="0"/>
              <w:rPr>
                <w:b/>
                <w:bCs/>
                <w:noProof/>
                <w:sz w:val="20"/>
                <w:szCs w:val="20"/>
              </w:rPr>
            </w:pPr>
            <w:r w:rsidRPr="00ED5E2F">
              <w:rPr>
                <w:b/>
                <w:bCs/>
                <w:noProof/>
                <w:sz w:val="20"/>
                <w:szCs w:val="20"/>
              </w:rPr>
              <w:t>Policy option 1B</w:t>
            </w:r>
          </w:p>
        </w:tc>
        <w:tc>
          <w:tcPr>
            <w:tcW w:w="903" w:type="pct"/>
            <w:tcBorders>
              <w:top w:val="nil"/>
              <w:left w:val="nil"/>
              <w:bottom w:val="nil"/>
              <w:right w:val="nil"/>
            </w:tcBorders>
            <w:vAlign w:val="center"/>
          </w:tcPr>
          <w:p w14:paraId="3A4BB7F2"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nil"/>
              <w:left w:val="nil"/>
              <w:bottom w:val="nil"/>
              <w:right w:val="nil"/>
            </w:tcBorders>
            <w:vAlign w:val="center"/>
          </w:tcPr>
          <w:p w14:paraId="05DC8DD1" w14:textId="77777777" w:rsidR="00E61374" w:rsidRPr="00ED5E2F" w:rsidRDefault="00E61374" w:rsidP="00ED5E2F">
            <w:pPr>
              <w:spacing w:after="0"/>
              <w:jc w:val="center"/>
              <w:rPr>
                <w:noProof/>
                <w:sz w:val="20"/>
                <w:szCs w:val="20"/>
              </w:rPr>
            </w:pPr>
            <w:r w:rsidRPr="00ED5E2F">
              <w:rPr>
                <w:noProof/>
                <w:sz w:val="20"/>
                <w:szCs w:val="20"/>
              </w:rPr>
              <w:t>+++</w:t>
            </w:r>
          </w:p>
        </w:tc>
        <w:tc>
          <w:tcPr>
            <w:tcW w:w="964" w:type="pct"/>
            <w:gridSpan w:val="2"/>
            <w:tcBorders>
              <w:top w:val="nil"/>
              <w:left w:val="nil"/>
              <w:bottom w:val="nil"/>
              <w:right w:val="nil"/>
            </w:tcBorders>
            <w:vAlign w:val="center"/>
          </w:tcPr>
          <w:p w14:paraId="793948AA"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1144" w:type="pct"/>
            <w:gridSpan w:val="2"/>
            <w:tcBorders>
              <w:top w:val="nil"/>
              <w:left w:val="nil"/>
              <w:bottom w:val="nil"/>
            </w:tcBorders>
            <w:vAlign w:val="center"/>
          </w:tcPr>
          <w:p w14:paraId="25A59560" w14:textId="77777777" w:rsidR="00E61374" w:rsidRPr="00ED5E2F" w:rsidRDefault="00E61374" w:rsidP="00ED5E2F">
            <w:pPr>
              <w:spacing w:after="0"/>
              <w:jc w:val="center"/>
              <w:rPr>
                <w:i/>
                <w:iCs/>
                <w:noProof/>
                <w:sz w:val="20"/>
                <w:szCs w:val="20"/>
              </w:rPr>
            </w:pPr>
            <w:r w:rsidRPr="00ED5E2F">
              <w:rPr>
                <w:i/>
                <w:iCs/>
                <w:noProof/>
                <w:sz w:val="20"/>
                <w:szCs w:val="20"/>
              </w:rPr>
              <w:t>n.r.</w:t>
            </w:r>
          </w:p>
        </w:tc>
      </w:tr>
      <w:tr w:rsidR="00E61374" w:rsidRPr="00ED5E2F" w14:paraId="2A98F5DD" w14:textId="77777777" w:rsidTr="008B21C6">
        <w:trPr>
          <w:trHeight w:val="136"/>
        </w:trPr>
        <w:tc>
          <w:tcPr>
            <w:tcW w:w="1075" w:type="pct"/>
            <w:gridSpan w:val="2"/>
            <w:tcBorders>
              <w:top w:val="nil"/>
              <w:bottom w:val="nil"/>
              <w:right w:val="nil"/>
            </w:tcBorders>
            <w:vAlign w:val="center"/>
          </w:tcPr>
          <w:p w14:paraId="73CAB742" w14:textId="77777777" w:rsidR="00E61374" w:rsidRPr="00ED5E2F" w:rsidRDefault="00E61374" w:rsidP="00ED5E2F">
            <w:pPr>
              <w:spacing w:after="0"/>
              <w:rPr>
                <w:b/>
                <w:bCs/>
                <w:noProof/>
                <w:sz w:val="20"/>
                <w:szCs w:val="20"/>
              </w:rPr>
            </w:pPr>
            <w:r w:rsidRPr="00ED5E2F">
              <w:rPr>
                <w:b/>
                <w:bCs/>
                <w:noProof/>
                <w:sz w:val="20"/>
                <w:szCs w:val="20"/>
              </w:rPr>
              <w:t>Policy option 1C</w:t>
            </w:r>
          </w:p>
        </w:tc>
        <w:tc>
          <w:tcPr>
            <w:tcW w:w="903" w:type="pct"/>
            <w:tcBorders>
              <w:top w:val="nil"/>
              <w:left w:val="nil"/>
              <w:bottom w:val="nil"/>
              <w:right w:val="nil"/>
            </w:tcBorders>
            <w:vAlign w:val="center"/>
          </w:tcPr>
          <w:p w14:paraId="42E55D3B"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nil"/>
              <w:left w:val="nil"/>
              <w:bottom w:val="nil"/>
              <w:right w:val="nil"/>
            </w:tcBorders>
            <w:vAlign w:val="center"/>
          </w:tcPr>
          <w:p w14:paraId="74367CD1" w14:textId="77777777" w:rsidR="00E61374" w:rsidRPr="00ED5E2F" w:rsidRDefault="00E61374" w:rsidP="00ED5E2F">
            <w:pPr>
              <w:spacing w:after="0"/>
              <w:jc w:val="center"/>
              <w:rPr>
                <w:noProof/>
                <w:sz w:val="20"/>
                <w:szCs w:val="20"/>
              </w:rPr>
            </w:pPr>
            <w:r w:rsidRPr="00ED5E2F">
              <w:rPr>
                <w:noProof/>
                <w:sz w:val="20"/>
                <w:szCs w:val="20"/>
              </w:rPr>
              <w:t>++</w:t>
            </w:r>
          </w:p>
        </w:tc>
        <w:tc>
          <w:tcPr>
            <w:tcW w:w="964" w:type="pct"/>
            <w:gridSpan w:val="2"/>
            <w:tcBorders>
              <w:top w:val="nil"/>
              <w:left w:val="nil"/>
              <w:bottom w:val="nil"/>
              <w:right w:val="nil"/>
            </w:tcBorders>
            <w:vAlign w:val="center"/>
          </w:tcPr>
          <w:p w14:paraId="695F5CB4"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1144" w:type="pct"/>
            <w:gridSpan w:val="2"/>
            <w:tcBorders>
              <w:top w:val="nil"/>
              <w:left w:val="nil"/>
              <w:bottom w:val="nil"/>
            </w:tcBorders>
            <w:vAlign w:val="center"/>
          </w:tcPr>
          <w:p w14:paraId="0A744C1F" w14:textId="77777777" w:rsidR="00E61374" w:rsidRPr="00ED5E2F" w:rsidRDefault="00E61374" w:rsidP="00ED5E2F">
            <w:pPr>
              <w:spacing w:after="0"/>
              <w:jc w:val="center"/>
              <w:rPr>
                <w:i/>
                <w:iCs/>
                <w:noProof/>
                <w:sz w:val="20"/>
                <w:szCs w:val="20"/>
              </w:rPr>
            </w:pPr>
            <w:r w:rsidRPr="00ED5E2F">
              <w:rPr>
                <w:i/>
                <w:iCs/>
                <w:noProof/>
                <w:sz w:val="20"/>
                <w:szCs w:val="20"/>
              </w:rPr>
              <w:t>n.r.</w:t>
            </w:r>
          </w:p>
        </w:tc>
      </w:tr>
      <w:tr w:rsidR="00E61374" w:rsidRPr="00ED5E2F" w14:paraId="024E0ACA" w14:textId="77777777" w:rsidTr="008B21C6">
        <w:trPr>
          <w:trHeight w:val="100"/>
        </w:trPr>
        <w:tc>
          <w:tcPr>
            <w:tcW w:w="1075" w:type="pct"/>
            <w:gridSpan w:val="2"/>
            <w:tcBorders>
              <w:top w:val="nil"/>
              <w:bottom w:val="nil"/>
              <w:right w:val="nil"/>
            </w:tcBorders>
            <w:vAlign w:val="center"/>
          </w:tcPr>
          <w:p w14:paraId="491CE664" w14:textId="77777777" w:rsidR="00E61374" w:rsidRPr="00ED5E2F" w:rsidRDefault="00E61374" w:rsidP="00ED5E2F">
            <w:pPr>
              <w:spacing w:after="0"/>
              <w:rPr>
                <w:b/>
                <w:bCs/>
                <w:noProof/>
                <w:sz w:val="20"/>
                <w:szCs w:val="20"/>
              </w:rPr>
            </w:pPr>
            <w:r w:rsidRPr="00ED5E2F">
              <w:rPr>
                <w:b/>
                <w:bCs/>
                <w:noProof/>
                <w:sz w:val="20"/>
                <w:szCs w:val="20"/>
              </w:rPr>
              <w:t>Policy option 2A</w:t>
            </w:r>
          </w:p>
        </w:tc>
        <w:tc>
          <w:tcPr>
            <w:tcW w:w="903" w:type="pct"/>
            <w:tcBorders>
              <w:top w:val="nil"/>
              <w:left w:val="nil"/>
              <w:bottom w:val="nil"/>
              <w:right w:val="nil"/>
            </w:tcBorders>
            <w:vAlign w:val="center"/>
          </w:tcPr>
          <w:p w14:paraId="74BF72A0"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nil"/>
              <w:left w:val="nil"/>
              <w:bottom w:val="nil"/>
              <w:right w:val="nil"/>
            </w:tcBorders>
            <w:vAlign w:val="center"/>
          </w:tcPr>
          <w:p w14:paraId="6F9D5E55"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964" w:type="pct"/>
            <w:gridSpan w:val="2"/>
            <w:tcBorders>
              <w:top w:val="nil"/>
              <w:left w:val="nil"/>
              <w:bottom w:val="nil"/>
              <w:right w:val="nil"/>
            </w:tcBorders>
            <w:vAlign w:val="center"/>
          </w:tcPr>
          <w:p w14:paraId="0338C69D" w14:textId="77777777" w:rsidR="00E61374" w:rsidRPr="00ED5E2F" w:rsidRDefault="00E61374" w:rsidP="00ED5E2F">
            <w:pPr>
              <w:spacing w:after="0"/>
              <w:jc w:val="center"/>
              <w:rPr>
                <w:noProof/>
                <w:sz w:val="20"/>
                <w:szCs w:val="20"/>
              </w:rPr>
            </w:pPr>
            <w:r w:rsidRPr="00ED5E2F">
              <w:rPr>
                <w:noProof/>
                <w:sz w:val="20"/>
                <w:szCs w:val="20"/>
              </w:rPr>
              <w:t>+</w:t>
            </w:r>
          </w:p>
        </w:tc>
        <w:tc>
          <w:tcPr>
            <w:tcW w:w="1144" w:type="pct"/>
            <w:gridSpan w:val="2"/>
            <w:tcBorders>
              <w:top w:val="nil"/>
              <w:left w:val="nil"/>
              <w:bottom w:val="nil"/>
            </w:tcBorders>
            <w:vAlign w:val="center"/>
          </w:tcPr>
          <w:p w14:paraId="34281F85" w14:textId="77777777" w:rsidR="00E61374" w:rsidRPr="00ED5E2F" w:rsidRDefault="00E61374" w:rsidP="00ED5E2F">
            <w:pPr>
              <w:spacing w:after="0"/>
              <w:jc w:val="center"/>
              <w:rPr>
                <w:noProof/>
                <w:sz w:val="20"/>
                <w:szCs w:val="20"/>
              </w:rPr>
            </w:pPr>
            <w:r w:rsidRPr="00ED5E2F">
              <w:rPr>
                <w:noProof/>
                <w:sz w:val="20"/>
                <w:szCs w:val="20"/>
              </w:rPr>
              <w:t>+</w:t>
            </w:r>
          </w:p>
        </w:tc>
      </w:tr>
      <w:tr w:rsidR="00E61374" w:rsidRPr="00ED5E2F" w14:paraId="6045573F" w14:textId="77777777" w:rsidTr="008B21C6">
        <w:trPr>
          <w:trHeight w:val="43"/>
        </w:trPr>
        <w:tc>
          <w:tcPr>
            <w:tcW w:w="1075" w:type="pct"/>
            <w:gridSpan w:val="2"/>
            <w:tcBorders>
              <w:top w:val="nil"/>
              <w:bottom w:val="nil"/>
              <w:right w:val="nil"/>
            </w:tcBorders>
            <w:vAlign w:val="center"/>
          </w:tcPr>
          <w:p w14:paraId="070086DB" w14:textId="77777777" w:rsidR="00E61374" w:rsidRPr="00ED5E2F" w:rsidRDefault="00E61374" w:rsidP="00ED5E2F">
            <w:pPr>
              <w:spacing w:after="0"/>
              <w:rPr>
                <w:b/>
                <w:bCs/>
                <w:noProof/>
                <w:sz w:val="20"/>
                <w:szCs w:val="20"/>
              </w:rPr>
            </w:pPr>
            <w:r w:rsidRPr="00ED5E2F">
              <w:rPr>
                <w:b/>
                <w:bCs/>
                <w:noProof/>
                <w:sz w:val="20"/>
                <w:szCs w:val="20"/>
              </w:rPr>
              <w:t>Policy option 2B</w:t>
            </w:r>
          </w:p>
        </w:tc>
        <w:tc>
          <w:tcPr>
            <w:tcW w:w="903" w:type="pct"/>
            <w:tcBorders>
              <w:top w:val="nil"/>
              <w:left w:val="nil"/>
              <w:bottom w:val="nil"/>
              <w:right w:val="nil"/>
            </w:tcBorders>
            <w:vAlign w:val="center"/>
          </w:tcPr>
          <w:p w14:paraId="3A423E20"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nil"/>
              <w:left w:val="nil"/>
              <w:bottom w:val="nil"/>
              <w:right w:val="nil"/>
            </w:tcBorders>
            <w:vAlign w:val="center"/>
          </w:tcPr>
          <w:p w14:paraId="1A5635CC"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964" w:type="pct"/>
            <w:gridSpan w:val="2"/>
            <w:tcBorders>
              <w:top w:val="nil"/>
              <w:left w:val="nil"/>
              <w:bottom w:val="nil"/>
              <w:right w:val="nil"/>
            </w:tcBorders>
            <w:vAlign w:val="center"/>
          </w:tcPr>
          <w:p w14:paraId="785A980A" w14:textId="77777777" w:rsidR="00E61374" w:rsidRPr="00ED5E2F" w:rsidRDefault="00E61374" w:rsidP="00ED5E2F">
            <w:pPr>
              <w:spacing w:after="0"/>
              <w:jc w:val="center"/>
              <w:rPr>
                <w:noProof/>
                <w:sz w:val="20"/>
                <w:szCs w:val="20"/>
              </w:rPr>
            </w:pPr>
            <w:r w:rsidRPr="00ED5E2F">
              <w:rPr>
                <w:noProof/>
                <w:sz w:val="20"/>
                <w:szCs w:val="20"/>
              </w:rPr>
              <w:t>++</w:t>
            </w:r>
          </w:p>
        </w:tc>
        <w:tc>
          <w:tcPr>
            <w:tcW w:w="1144" w:type="pct"/>
            <w:gridSpan w:val="2"/>
            <w:tcBorders>
              <w:top w:val="nil"/>
              <w:left w:val="nil"/>
              <w:bottom w:val="nil"/>
            </w:tcBorders>
            <w:vAlign w:val="center"/>
          </w:tcPr>
          <w:p w14:paraId="4687BC08" w14:textId="77777777" w:rsidR="00E61374" w:rsidRPr="00ED5E2F" w:rsidRDefault="00E61374" w:rsidP="00ED5E2F">
            <w:pPr>
              <w:spacing w:after="0"/>
              <w:jc w:val="center"/>
              <w:rPr>
                <w:noProof/>
                <w:sz w:val="20"/>
                <w:szCs w:val="20"/>
              </w:rPr>
            </w:pPr>
            <w:r w:rsidRPr="00ED5E2F">
              <w:rPr>
                <w:noProof/>
                <w:sz w:val="20"/>
                <w:szCs w:val="20"/>
              </w:rPr>
              <w:t>++</w:t>
            </w:r>
          </w:p>
        </w:tc>
      </w:tr>
      <w:tr w:rsidR="00E61374" w:rsidRPr="00ED5E2F" w14:paraId="1C4FDFF6" w14:textId="77777777" w:rsidTr="008B21C6">
        <w:trPr>
          <w:trHeight w:val="120"/>
        </w:trPr>
        <w:tc>
          <w:tcPr>
            <w:tcW w:w="1075" w:type="pct"/>
            <w:gridSpan w:val="2"/>
            <w:tcBorders>
              <w:top w:val="nil"/>
              <w:bottom w:val="single" w:sz="12" w:space="0" w:color="auto"/>
              <w:right w:val="nil"/>
            </w:tcBorders>
            <w:vAlign w:val="center"/>
          </w:tcPr>
          <w:p w14:paraId="5F30EBA5" w14:textId="77777777" w:rsidR="00E61374" w:rsidRPr="00ED5E2F" w:rsidRDefault="00E61374" w:rsidP="00ED5E2F">
            <w:pPr>
              <w:spacing w:after="0"/>
              <w:rPr>
                <w:b/>
                <w:bCs/>
                <w:noProof/>
                <w:sz w:val="20"/>
                <w:szCs w:val="20"/>
              </w:rPr>
            </w:pPr>
            <w:r w:rsidRPr="00ED5E2F">
              <w:rPr>
                <w:b/>
                <w:bCs/>
                <w:noProof/>
                <w:sz w:val="20"/>
                <w:szCs w:val="20"/>
              </w:rPr>
              <w:t>Policy option 2C</w:t>
            </w:r>
          </w:p>
        </w:tc>
        <w:tc>
          <w:tcPr>
            <w:tcW w:w="903" w:type="pct"/>
            <w:tcBorders>
              <w:top w:val="nil"/>
              <w:left w:val="nil"/>
              <w:bottom w:val="single" w:sz="12" w:space="0" w:color="auto"/>
              <w:right w:val="nil"/>
            </w:tcBorders>
            <w:vAlign w:val="center"/>
          </w:tcPr>
          <w:p w14:paraId="72CCF806"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nil"/>
              <w:left w:val="nil"/>
              <w:bottom w:val="single" w:sz="12" w:space="0" w:color="auto"/>
              <w:right w:val="nil"/>
            </w:tcBorders>
            <w:vAlign w:val="center"/>
          </w:tcPr>
          <w:p w14:paraId="3C53EB47" w14:textId="77777777" w:rsidR="00E61374" w:rsidRPr="00ED5E2F" w:rsidRDefault="00E61374" w:rsidP="00ED5E2F">
            <w:pPr>
              <w:spacing w:after="0"/>
              <w:jc w:val="center"/>
              <w:rPr>
                <w:i/>
                <w:iCs/>
                <w:noProof/>
                <w:sz w:val="20"/>
                <w:szCs w:val="20"/>
              </w:rPr>
            </w:pPr>
            <w:r w:rsidRPr="00ED5E2F">
              <w:rPr>
                <w:i/>
                <w:iCs/>
                <w:noProof/>
                <w:sz w:val="20"/>
                <w:szCs w:val="20"/>
              </w:rPr>
              <w:t>n.r.</w:t>
            </w:r>
          </w:p>
        </w:tc>
        <w:tc>
          <w:tcPr>
            <w:tcW w:w="964" w:type="pct"/>
            <w:gridSpan w:val="2"/>
            <w:tcBorders>
              <w:top w:val="nil"/>
              <w:left w:val="nil"/>
              <w:bottom w:val="single" w:sz="12" w:space="0" w:color="auto"/>
              <w:right w:val="nil"/>
            </w:tcBorders>
            <w:vAlign w:val="center"/>
          </w:tcPr>
          <w:p w14:paraId="7A75C840" w14:textId="77777777" w:rsidR="00E61374" w:rsidRPr="00ED5E2F" w:rsidRDefault="00E61374" w:rsidP="00ED5E2F">
            <w:pPr>
              <w:spacing w:after="0"/>
              <w:jc w:val="center"/>
              <w:rPr>
                <w:noProof/>
                <w:sz w:val="20"/>
                <w:szCs w:val="20"/>
              </w:rPr>
            </w:pPr>
            <w:r w:rsidRPr="00ED5E2F">
              <w:rPr>
                <w:noProof/>
                <w:sz w:val="20"/>
                <w:szCs w:val="20"/>
              </w:rPr>
              <w:t>+++</w:t>
            </w:r>
          </w:p>
        </w:tc>
        <w:tc>
          <w:tcPr>
            <w:tcW w:w="1144" w:type="pct"/>
            <w:gridSpan w:val="2"/>
            <w:tcBorders>
              <w:top w:val="nil"/>
              <w:left w:val="nil"/>
              <w:bottom w:val="single" w:sz="12" w:space="0" w:color="auto"/>
            </w:tcBorders>
            <w:vAlign w:val="center"/>
          </w:tcPr>
          <w:p w14:paraId="139027B4" w14:textId="77777777" w:rsidR="00E61374" w:rsidRPr="00ED5E2F" w:rsidRDefault="00E61374" w:rsidP="00ED5E2F">
            <w:pPr>
              <w:spacing w:after="0"/>
              <w:jc w:val="center"/>
              <w:rPr>
                <w:noProof/>
                <w:sz w:val="20"/>
                <w:szCs w:val="20"/>
              </w:rPr>
            </w:pPr>
            <w:r w:rsidRPr="00ED5E2F">
              <w:rPr>
                <w:noProof/>
                <w:sz w:val="20"/>
                <w:szCs w:val="20"/>
              </w:rPr>
              <w:t>+++</w:t>
            </w:r>
          </w:p>
        </w:tc>
      </w:tr>
      <w:tr w:rsidR="008B21C6" w:rsidRPr="00ED5E2F" w14:paraId="4A1D6D7A" w14:textId="77777777" w:rsidTr="008B21C6">
        <w:trPr>
          <w:trHeight w:val="235"/>
        </w:trPr>
        <w:tc>
          <w:tcPr>
            <w:tcW w:w="1075" w:type="pct"/>
            <w:gridSpan w:val="2"/>
            <w:tcBorders>
              <w:top w:val="single" w:sz="12" w:space="0" w:color="auto"/>
              <w:left w:val="single" w:sz="12" w:space="0" w:color="auto"/>
              <w:bottom w:val="single" w:sz="12" w:space="0" w:color="auto"/>
              <w:right w:val="nil"/>
            </w:tcBorders>
            <w:shd w:val="clear" w:color="auto" w:fill="DBE5F1" w:themeFill="accent1" w:themeFillTint="33"/>
            <w:vAlign w:val="center"/>
          </w:tcPr>
          <w:p w14:paraId="3F4FA35A" w14:textId="77777777" w:rsidR="00E61374" w:rsidRPr="00ED5E2F" w:rsidRDefault="00E61374" w:rsidP="00ED5E2F">
            <w:pPr>
              <w:spacing w:after="0"/>
              <w:rPr>
                <w:noProof/>
                <w:sz w:val="20"/>
                <w:szCs w:val="20"/>
              </w:rPr>
            </w:pPr>
            <w:r w:rsidRPr="00ED5E2F">
              <w:rPr>
                <w:noProof/>
                <w:sz w:val="20"/>
                <w:szCs w:val="20"/>
              </w:rPr>
              <w:t>Preferred Package</w:t>
            </w:r>
          </w:p>
        </w:tc>
        <w:tc>
          <w:tcPr>
            <w:tcW w:w="903" w:type="pct"/>
            <w:tcBorders>
              <w:top w:val="single" w:sz="12" w:space="0" w:color="auto"/>
              <w:left w:val="nil"/>
              <w:bottom w:val="single" w:sz="12" w:space="0" w:color="auto"/>
              <w:right w:val="nil"/>
            </w:tcBorders>
            <w:shd w:val="clear" w:color="auto" w:fill="DBE5F1" w:themeFill="accent1" w:themeFillTint="33"/>
            <w:vAlign w:val="center"/>
          </w:tcPr>
          <w:p w14:paraId="6D3A9C5E" w14:textId="77777777" w:rsidR="00E61374" w:rsidRPr="00ED5E2F" w:rsidRDefault="00E61374" w:rsidP="00ED5E2F">
            <w:pPr>
              <w:spacing w:after="0"/>
              <w:jc w:val="center"/>
              <w:rPr>
                <w:noProof/>
                <w:sz w:val="20"/>
                <w:szCs w:val="20"/>
              </w:rPr>
            </w:pPr>
            <w:r w:rsidRPr="00ED5E2F">
              <w:rPr>
                <w:noProof/>
                <w:sz w:val="20"/>
                <w:szCs w:val="20"/>
              </w:rPr>
              <w:t>+++</w:t>
            </w:r>
          </w:p>
        </w:tc>
        <w:tc>
          <w:tcPr>
            <w:tcW w:w="914" w:type="pct"/>
            <w:tcBorders>
              <w:top w:val="single" w:sz="12" w:space="0" w:color="auto"/>
              <w:left w:val="nil"/>
              <w:bottom w:val="single" w:sz="12" w:space="0" w:color="auto"/>
              <w:right w:val="nil"/>
            </w:tcBorders>
            <w:shd w:val="clear" w:color="auto" w:fill="DBE5F1" w:themeFill="accent1" w:themeFillTint="33"/>
            <w:vAlign w:val="center"/>
          </w:tcPr>
          <w:p w14:paraId="7C8DB8D5" w14:textId="77777777" w:rsidR="00E61374" w:rsidRPr="00ED5E2F" w:rsidRDefault="00E61374" w:rsidP="00ED5E2F">
            <w:pPr>
              <w:spacing w:after="0"/>
              <w:jc w:val="center"/>
              <w:rPr>
                <w:noProof/>
                <w:sz w:val="20"/>
                <w:szCs w:val="20"/>
              </w:rPr>
            </w:pPr>
            <w:r w:rsidRPr="00ED5E2F">
              <w:rPr>
                <w:noProof/>
                <w:sz w:val="20"/>
                <w:szCs w:val="20"/>
              </w:rPr>
              <w:t>+++</w:t>
            </w:r>
          </w:p>
        </w:tc>
        <w:tc>
          <w:tcPr>
            <w:tcW w:w="964" w:type="pct"/>
            <w:gridSpan w:val="2"/>
            <w:tcBorders>
              <w:top w:val="single" w:sz="12" w:space="0" w:color="auto"/>
              <w:left w:val="nil"/>
              <w:bottom w:val="single" w:sz="12" w:space="0" w:color="auto"/>
              <w:right w:val="nil"/>
            </w:tcBorders>
            <w:shd w:val="clear" w:color="auto" w:fill="DBE5F1" w:themeFill="accent1" w:themeFillTint="33"/>
            <w:vAlign w:val="center"/>
          </w:tcPr>
          <w:p w14:paraId="63F8B8CA" w14:textId="77777777" w:rsidR="00E61374" w:rsidRPr="00ED5E2F" w:rsidRDefault="00E61374" w:rsidP="00ED5E2F">
            <w:pPr>
              <w:spacing w:after="0"/>
              <w:jc w:val="center"/>
              <w:rPr>
                <w:noProof/>
                <w:sz w:val="20"/>
                <w:szCs w:val="20"/>
              </w:rPr>
            </w:pPr>
            <w:r w:rsidRPr="00ED5E2F">
              <w:rPr>
                <w:noProof/>
                <w:sz w:val="20"/>
                <w:szCs w:val="20"/>
              </w:rPr>
              <w:t>+++</w:t>
            </w:r>
          </w:p>
        </w:tc>
        <w:tc>
          <w:tcPr>
            <w:tcW w:w="1144" w:type="pct"/>
            <w:gridSpan w:val="2"/>
            <w:tcBorders>
              <w:top w:val="single" w:sz="12" w:space="0" w:color="auto"/>
              <w:left w:val="nil"/>
              <w:bottom w:val="single" w:sz="12" w:space="0" w:color="auto"/>
              <w:right w:val="single" w:sz="12" w:space="0" w:color="auto"/>
            </w:tcBorders>
            <w:shd w:val="clear" w:color="auto" w:fill="DBE5F1" w:themeFill="accent1" w:themeFillTint="33"/>
            <w:vAlign w:val="center"/>
          </w:tcPr>
          <w:p w14:paraId="57D60F7F" w14:textId="77777777" w:rsidR="00E61374" w:rsidRPr="00ED5E2F" w:rsidRDefault="00E61374" w:rsidP="00ED5E2F">
            <w:pPr>
              <w:spacing w:after="0"/>
              <w:jc w:val="center"/>
              <w:rPr>
                <w:noProof/>
                <w:sz w:val="20"/>
                <w:szCs w:val="20"/>
              </w:rPr>
            </w:pPr>
            <w:r w:rsidRPr="00ED5E2F">
              <w:rPr>
                <w:noProof/>
                <w:sz w:val="20"/>
                <w:szCs w:val="20"/>
              </w:rPr>
              <w:t>+++</w:t>
            </w:r>
          </w:p>
        </w:tc>
      </w:tr>
      <w:tr w:rsidR="000A6910" w14:paraId="7FBEB92C" w14:textId="77777777" w:rsidTr="008B21C6">
        <w:tc>
          <w:tcPr>
            <w:tcW w:w="5000" w:type="pct"/>
            <w:gridSpan w:val="8"/>
          </w:tcPr>
          <w:p w14:paraId="5907EB90" w14:textId="77777777" w:rsidR="000A6910" w:rsidRPr="00F54489" w:rsidRDefault="000A6910">
            <w:pPr>
              <w:rPr>
                <w:b/>
                <w:bCs/>
                <w:noProof/>
                <w:sz w:val="20"/>
                <w:szCs w:val="20"/>
                <w:u w:val="single"/>
              </w:rPr>
            </w:pPr>
            <w:r w:rsidRPr="00F54489">
              <w:rPr>
                <w:b/>
                <w:bCs/>
                <w:noProof/>
                <w:sz w:val="20"/>
                <w:szCs w:val="20"/>
                <w:u w:val="single"/>
              </w:rPr>
              <w:t>The retained package is hence made of the following policy measures:</w:t>
            </w:r>
          </w:p>
          <w:p w14:paraId="773D7E96" w14:textId="77777777" w:rsidR="00050671" w:rsidRPr="00F54489" w:rsidRDefault="00050671" w:rsidP="00F54489">
            <w:pPr>
              <w:pStyle w:val="Text2"/>
              <w:spacing w:after="0"/>
              <w:ind w:left="0" w:firstLine="284"/>
              <w:jc w:val="left"/>
              <w:rPr>
                <w:b/>
                <w:bCs/>
                <w:noProof/>
                <w:sz w:val="20"/>
                <w:szCs w:val="18"/>
              </w:rPr>
            </w:pPr>
            <w:r w:rsidRPr="00F54489">
              <w:rPr>
                <w:b/>
                <w:bCs/>
                <w:noProof/>
                <w:sz w:val="20"/>
                <w:szCs w:val="18"/>
              </w:rPr>
              <w:t>PO1-B:</w:t>
            </w:r>
          </w:p>
          <w:p w14:paraId="1FE4DA57" w14:textId="77777777" w:rsidR="000A6910" w:rsidRPr="00EE56DE" w:rsidRDefault="000A6910" w:rsidP="00F54489">
            <w:pPr>
              <w:pStyle w:val="Text2"/>
              <w:numPr>
                <w:ilvl w:val="0"/>
                <w:numId w:val="62"/>
              </w:numPr>
              <w:spacing w:after="0"/>
              <w:ind w:left="714" w:hanging="357"/>
              <w:jc w:val="left"/>
              <w:rPr>
                <w:noProof/>
                <w:sz w:val="20"/>
                <w:szCs w:val="18"/>
              </w:rPr>
            </w:pPr>
            <w:r w:rsidRPr="00EE56DE">
              <w:rPr>
                <w:noProof/>
                <w:sz w:val="20"/>
                <w:szCs w:val="18"/>
              </w:rPr>
              <w:t xml:space="preserve">PM4 </w:t>
            </w:r>
            <w:r>
              <w:rPr>
                <w:noProof/>
                <w:sz w:val="20"/>
                <w:szCs w:val="18"/>
              </w:rPr>
              <w:t>-</w:t>
            </w:r>
            <w:r w:rsidRPr="00EE56DE">
              <w:rPr>
                <w:noProof/>
                <w:sz w:val="20"/>
                <w:szCs w:val="18"/>
              </w:rPr>
              <w:t xml:space="preserve"> National facilitator</w:t>
            </w:r>
          </w:p>
          <w:p w14:paraId="29990C15" w14:textId="77777777" w:rsidR="000A6910" w:rsidRPr="00EE56DE" w:rsidRDefault="000A6910" w:rsidP="00F54489">
            <w:pPr>
              <w:pStyle w:val="Text2"/>
              <w:numPr>
                <w:ilvl w:val="0"/>
                <w:numId w:val="62"/>
              </w:numPr>
              <w:spacing w:after="0"/>
              <w:ind w:left="714" w:hanging="357"/>
              <w:jc w:val="left"/>
              <w:rPr>
                <w:noProof/>
                <w:sz w:val="20"/>
                <w:szCs w:val="18"/>
              </w:rPr>
            </w:pPr>
            <w:r w:rsidRPr="00EE56DE">
              <w:rPr>
                <w:noProof/>
                <w:sz w:val="20"/>
                <w:szCs w:val="18"/>
              </w:rPr>
              <w:t>PM5 - Fast-track areas</w:t>
            </w:r>
          </w:p>
          <w:p w14:paraId="6F713840" w14:textId="77777777" w:rsidR="000A6910" w:rsidRPr="00EE56DE" w:rsidRDefault="000A6910" w:rsidP="00F54489">
            <w:pPr>
              <w:pStyle w:val="Text2"/>
              <w:numPr>
                <w:ilvl w:val="0"/>
                <w:numId w:val="62"/>
              </w:numPr>
              <w:spacing w:after="0"/>
              <w:ind w:left="714" w:hanging="357"/>
              <w:jc w:val="left"/>
              <w:rPr>
                <w:noProof/>
                <w:sz w:val="20"/>
                <w:szCs w:val="18"/>
              </w:rPr>
            </w:pPr>
            <w:r w:rsidRPr="00EE56DE">
              <w:rPr>
                <w:noProof/>
                <w:sz w:val="20"/>
                <w:szCs w:val="18"/>
              </w:rPr>
              <w:t>PM6 - National funding support</w:t>
            </w:r>
          </w:p>
          <w:p w14:paraId="0FB8C9DB" w14:textId="5198275D" w:rsidR="00050671" w:rsidRPr="00415BC2" w:rsidRDefault="000A6910" w:rsidP="00F54489">
            <w:pPr>
              <w:pStyle w:val="Text2"/>
              <w:numPr>
                <w:ilvl w:val="0"/>
                <w:numId w:val="62"/>
              </w:numPr>
              <w:ind w:left="714" w:hanging="357"/>
              <w:jc w:val="left"/>
              <w:rPr>
                <w:noProof/>
                <w:sz w:val="20"/>
                <w:szCs w:val="18"/>
              </w:rPr>
            </w:pPr>
            <w:r w:rsidRPr="00AE2F4C">
              <w:rPr>
                <w:noProof/>
                <w:sz w:val="20"/>
                <w:szCs w:val="18"/>
              </w:rPr>
              <w:t>PM7 - Deployment targets</w:t>
            </w:r>
          </w:p>
          <w:p w14:paraId="279E8D7C" w14:textId="77777777" w:rsidR="000A6910" w:rsidRPr="00EE56DE" w:rsidRDefault="000A6910" w:rsidP="00F54489">
            <w:pPr>
              <w:pStyle w:val="Text2"/>
              <w:numPr>
                <w:ilvl w:val="0"/>
                <w:numId w:val="62"/>
              </w:numPr>
              <w:spacing w:after="0"/>
              <w:ind w:left="714" w:hanging="357"/>
              <w:jc w:val="left"/>
              <w:rPr>
                <w:noProof/>
                <w:sz w:val="20"/>
                <w:szCs w:val="18"/>
              </w:rPr>
            </w:pPr>
            <w:r w:rsidRPr="00EE56DE">
              <w:rPr>
                <w:noProof/>
                <w:sz w:val="20"/>
                <w:szCs w:val="18"/>
              </w:rPr>
              <w:t>PM8 - EU R&amp;D funding</w:t>
            </w:r>
          </w:p>
          <w:p w14:paraId="4E5832DC" w14:textId="1F6D13A8" w:rsidR="00050671" w:rsidRPr="005257D9" w:rsidRDefault="000A6910" w:rsidP="00F54489">
            <w:pPr>
              <w:pStyle w:val="Text2"/>
              <w:numPr>
                <w:ilvl w:val="0"/>
                <w:numId w:val="62"/>
              </w:numPr>
              <w:ind w:left="714" w:hanging="357"/>
              <w:jc w:val="left"/>
              <w:rPr>
                <w:noProof/>
                <w:sz w:val="20"/>
                <w:szCs w:val="18"/>
              </w:rPr>
            </w:pPr>
            <w:r w:rsidRPr="00EE56DE">
              <w:rPr>
                <w:noProof/>
                <w:sz w:val="20"/>
                <w:szCs w:val="18"/>
              </w:rPr>
              <w:t>PM9 - EU deployment funding for strategic projects</w:t>
            </w:r>
          </w:p>
          <w:p w14:paraId="6E64E516" w14:textId="221910FB" w:rsidR="00050671" w:rsidRPr="00F54489" w:rsidRDefault="00050671" w:rsidP="00F54489">
            <w:pPr>
              <w:pStyle w:val="Text2"/>
              <w:spacing w:after="0"/>
              <w:ind w:left="0" w:firstLine="284"/>
              <w:jc w:val="left"/>
              <w:rPr>
                <w:b/>
                <w:bCs/>
                <w:noProof/>
                <w:sz w:val="20"/>
                <w:szCs w:val="18"/>
              </w:rPr>
            </w:pPr>
            <w:r w:rsidRPr="00F26F4F">
              <w:rPr>
                <w:b/>
                <w:bCs/>
                <w:noProof/>
                <w:sz w:val="20"/>
                <w:szCs w:val="18"/>
              </w:rPr>
              <w:t>PO</w:t>
            </w:r>
            <w:r>
              <w:rPr>
                <w:b/>
                <w:bCs/>
                <w:noProof/>
                <w:sz w:val="20"/>
                <w:szCs w:val="18"/>
              </w:rPr>
              <w:t>2</w:t>
            </w:r>
            <w:r w:rsidRPr="00F26F4F">
              <w:rPr>
                <w:b/>
                <w:bCs/>
                <w:noProof/>
                <w:sz w:val="20"/>
                <w:szCs w:val="18"/>
              </w:rPr>
              <w:t>-</w:t>
            </w:r>
            <w:r>
              <w:rPr>
                <w:b/>
                <w:bCs/>
                <w:noProof/>
                <w:sz w:val="20"/>
                <w:szCs w:val="18"/>
              </w:rPr>
              <w:t>C</w:t>
            </w:r>
            <w:r w:rsidRPr="00F26F4F">
              <w:rPr>
                <w:b/>
                <w:bCs/>
                <w:noProof/>
                <w:sz w:val="20"/>
                <w:szCs w:val="18"/>
              </w:rPr>
              <w:t>:</w:t>
            </w:r>
          </w:p>
          <w:p w14:paraId="7761DC3C" w14:textId="77777777" w:rsidR="000A6910" w:rsidRDefault="000A6910" w:rsidP="00F54489">
            <w:pPr>
              <w:pStyle w:val="Text2"/>
              <w:numPr>
                <w:ilvl w:val="0"/>
                <w:numId w:val="62"/>
              </w:numPr>
              <w:spacing w:after="0"/>
              <w:ind w:left="714" w:hanging="357"/>
              <w:jc w:val="left"/>
              <w:rPr>
                <w:noProof/>
                <w:sz w:val="20"/>
                <w:szCs w:val="18"/>
              </w:rPr>
            </w:pPr>
            <w:r>
              <w:rPr>
                <w:noProof/>
                <w:sz w:val="20"/>
                <w:szCs w:val="18"/>
              </w:rPr>
              <w:t xml:space="preserve">PM19 - </w:t>
            </w:r>
            <w:r w:rsidRPr="00F848A0">
              <w:rPr>
                <w:noProof/>
                <w:sz w:val="20"/>
                <w:szCs w:val="18"/>
              </w:rPr>
              <w:t>Mandatory award criteria</w:t>
            </w:r>
            <w:r>
              <w:rPr>
                <w:noProof/>
                <w:sz w:val="20"/>
                <w:szCs w:val="18"/>
              </w:rPr>
              <w:t xml:space="preserve"> (which builds over PM16)</w:t>
            </w:r>
          </w:p>
          <w:p w14:paraId="004AED13" w14:textId="77777777" w:rsidR="000A6910" w:rsidRPr="00AC1DF5" w:rsidRDefault="000A6910" w:rsidP="00F54489">
            <w:pPr>
              <w:pStyle w:val="Text2"/>
              <w:numPr>
                <w:ilvl w:val="0"/>
                <w:numId w:val="62"/>
              </w:numPr>
              <w:spacing w:after="0"/>
              <w:ind w:left="714" w:hanging="357"/>
              <w:jc w:val="left"/>
              <w:rPr>
                <w:noProof/>
                <w:sz w:val="20"/>
                <w:szCs w:val="18"/>
              </w:rPr>
            </w:pPr>
            <w:r w:rsidRPr="00AC1DF5">
              <w:rPr>
                <w:noProof/>
                <w:sz w:val="20"/>
                <w:szCs w:val="18"/>
              </w:rPr>
              <w:t>PM20 – Open Source use in the public sector</w:t>
            </w:r>
          </w:p>
          <w:p w14:paraId="5575AE5E" w14:textId="77777777" w:rsidR="000A6910" w:rsidRPr="00AC1DF5" w:rsidRDefault="000A6910" w:rsidP="00F54489">
            <w:pPr>
              <w:pStyle w:val="Text2"/>
              <w:numPr>
                <w:ilvl w:val="0"/>
                <w:numId w:val="62"/>
              </w:numPr>
              <w:spacing w:after="0"/>
              <w:ind w:left="714" w:hanging="357"/>
              <w:jc w:val="left"/>
              <w:rPr>
                <w:noProof/>
                <w:sz w:val="20"/>
                <w:szCs w:val="18"/>
              </w:rPr>
            </w:pPr>
            <w:r w:rsidRPr="00AC1DF5">
              <w:rPr>
                <w:noProof/>
                <w:sz w:val="20"/>
                <w:szCs w:val="18"/>
              </w:rPr>
              <w:t xml:space="preserve">PM21 – Mandatory </w:t>
            </w:r>
            <w:r>
              <w:rPr>
                <w:noProof/>
                <w:sz w:val="20"/>
                <w:szCs w:val="18"/>
              </w:rPr>
              <w:t>sovereign risk assessments for the use of cloud and AI computing services (which builds over PM11 and PM15)</w:t>
            </w:r>
          </w:p>
          <w:p w14:paraId="1EAF3C65" w14:textId="55CAE1DE" w:rsidR="000A6910" w:rsidRPr="00AC1DF5" w:rsidRDefault="000A6910" w:rsidP="00F54489">
            <w:pPr>
              <w:pStyle w:val="Text2"/>
              <w:numPr>
                <w:ilvl w:val="0"/>
                <w:numId w:val="62"/>
              </w:numPr>
              <w:spacing w:after="0"/>
              <w:ind w:left="714" w:hanging="357"/>
              <w:jc w:val="left"/>
              <w:rPr>
                <w:noProof/>
                <w:sz w:val="20"/>
                <w:szCs w:val="18"/>
              </w:rPr>
            </w:pPr>
            <w:r w:rsidRPr="00AC1DF5">
              <w:rPr>
                <w:noProof/>
                <w:sz w:val="20"/>
                <w:szCs w:val="18"/>
              </w:rPr>
              <w:t xml:space="preserve">PM22 – Joint EU-level procurement of cloud and AI </w:t>
            </w:r>
            <w:r>
              <w:rPr>
                <w:noProof/>
                <w:sz w:val="20"/>
                <w:szCs w:val="18"/>
              </w:rPr>
              <w:t>(which build</w:t>
            </w:r>
            <w:r w:rsidR="007B0B65">
              <w:rPr>
                <w:noProof/>
                <w:sz w:val="20"/>
                <w:szCs w:val="18"/>
              </w:rPr>
              <w:t>s</w:t>
            </w:r>
            <w:r>
              <w:rPr>
                <w:noProof/>
                <w:sz w:val="20"/>
                <w:szCs w:val="18"/>
              </w:rPr>
              <w:t xml:space="preserve"> over PM17)</w:t>
            </w:r>
          </w:p>
          <w:p w14:paraId="245584EC" w14:textId="77777777" w:rsidR="007B0B65" w:rsidRDefault="000A6910" w:rsidP="00466448">
            <w:pPr>
              <w:pStyle w:val="Text2"/>
              <w:numPr>
                <w:ilvl w:val="0"/>
                <w:numId w:val="62"/>
              </w:numPr>
              <w:spacing w:after="0"/>
              <w:ind w:left="714" w:hanging="357"/>
              <w:jc w:val="left"/>
              <w:rPr>
                <w:noProof/>
                <w:sz w:val="20"/>
                <w:szCs w:val="18"/>
              </w:rPr>
            </w:pPr>
            <w:r w:rsidRPr="00AC1DF5">
              <w:rPr>
                <w:noProof/>
                <w:sz w:val="20"/>
                <w:szCs w:val="18"/>
              </w:rPr>
              <w:t>PM23 – SME cloud and AI support scheme</w:t>
            </w:r>
            <w:r>
              <w:rPr>
                <w:noProof/>
                <w:sz w:val="20"/>
                <w:szCs w:val="18"/>
              </w:rPr>
              <w:t xml:space="preserve"> (which has synergies with PM18)</w:t>
            </w:r>
          </w:p>
          <w:p w14:paraId="538DBDFF" w14:textId="5B9954C2" w:rsidR="000A6910" w:rsidRPr="00F54489" w:rsidRDefault="000A6910" w:rsidP="00F54489">
            <w:pPr>
              <w:pStyle w:val="Text2"/>
              <w:numPr>
                <w:ilvl w:val="0"/>
                <w:numId w:val="62"/>
              </w:numPr>
              <w:spacing w:after="120"/>
              <w:ind w:left="714" w:hanging="357"/>
              <w:jc w:val="left"/>
              <w:rPr>
                <w:noProof/>
                <w:sz w:val="20"/>
                <w:szCs w:val="18"/>
              </w:rPr>
            </w:pPr>
            <w:r w:rsidRPr="007B0B65">
              <w:rPr>
                <w:noProof/>
                <w:sz w:val="20"/>
                <w:szCs w:val="18"/>
              </w:rPr>
              <w:t>PM24 – Cloud and AI toolbox</w:t>
            </w:r>
          </w:p>
        </w:tc>
      </w:tr>
    </w:tbl>
    <w:p w14:paraId="53E78E5D" w14:textId="67BC336B" w:rsidR="00E300A6" w:rsidRDefault="00E300A6" w:rsidP="00D74DE5">
      <w:pPr>
        <w:spacing w:before="120"/>
        <w:rPr>
          <w:noProof/>
        </w:rPr>
      </w:pPr>
      <w:r w:rsidRPr="00C6164E">
        <w:rPr>
          <w:noProof/>
        </w:rPr>
        <w:t xml:space="preserve">Overall, </w:t>
      </w:r>
      <w:r w:rsidR="00732885">
        <w:rPr>
          <w:noProof/>
        </w:rPr>
        <w:t xml:space="preserve">the analysis suggests that </w:t>
      </w:r>
      <w:r w:rsidRPr="00C6164E">
        <w:rPr>
          <w:noProof/>
        </w:rPr>
        <w:t xml:space="preserve">PO1-B and PO2-C </w:t>
      </w:r>
      <w:r w:rsidR="006B3745">
        <w:rPr>
          <w:noProof/>
        </w:rPr>
        <w:t xml:space="preserve">perform relatively strongly in terms of </w:t>
      </w:r>
      <w:r w:rsidRPr="00094432">
        <w:rPr>
          <w:b/>
          <w:noProof/>
        </w:rPr>
        <w:t>economic and social benefits</w:t>
      </w:r>
      <w:r w:rsidRPr="00C6164E">
        <w:rPr>
          <w:noProof/>
        </w:rPr>
        <w:t xml:space="preserve">, while </w:t>
      </w:r>
      <w:r>
        <w:rPr>
          <w:noProof/>
        </w:rPr>
        <w:t xml:space="preserve">PM8 and PM9 </w:t>
      </w:r>
      <w:r w:rsidR="00C65B9F">
        <w:rPr>
          <w:noProof/>
        </w:rPr>
        <w:t xml:space="preserve">play an important role in supporting </w:t>
      </w:r>
      <w:r w:rsidRPr="00094432">
        <w:rPr>
          <w:b/>
          <w:noProof/>
        </w:rPr>
        <w:t>environmental sustainability</w:t>
      </w:r>
      <w:r w:rsidR="00A715EC">
        <w:rPr>
          <w:noProof/>
        </w:rPr>
        <w:t xml:space="preserve">. This </w:t>
      </w:r>
      <w:r w:rsidRPr="00C6164E">
        <w:rPr>
          <w:noProof/>
        </w:rPr>
        <w:t>highlight</w:t>
      </w:r>
      <w:r w:rsidR="00A715EC">
        <w:rPr>
          <w:noProof/>
        </w:rPr>
        <w:t>s</w:t>
      </w:r>
      <w:r w:rsidRPr="00C6164E">
        <w:rPr>
          <w:noProof/>
        </w:rPr>
        <w:t xml:space="preserve"> the importance of combining </w:t>
      </w:r>
      <w:r>
        <w:rPr>
          <w:noProof/>
        </w:rPr>
        <w:t xml:space="preserve">such </w:t>
      </w:r>
      <w:r w:rsidRPr="00C6164E">
        <w:rPr>
          <w:noProof/>
        </w:rPr>
        <w:t>options to balance growth, sovereignty, and climate objectives</w:t>
      </w:r>
      <w:r w:rsidR="00A715EC">
        <w:rPr>
          <w:noProof/>
        </w:rPr>
        <w:t xml:space="preserve"> in a balanced manner</w:t>
      </w:r>
      <w:r w:rsidRPr="00C6164E">
        <w:rPr>
          <w:noProof/>
        </w:rPr>
        <w:t>.</w:t>
      </w:r>
      <w:r>
        <w:rPr>
          <w:noProof/>
        </w:rPr>
        <w:t xml:space="preserve"> </w:t>
      </w:r>
    </w:p>
    <w:p w14:paraId="4C1406F4" w14:textId="4382EDB4" w:rsidR="00C62368" w:rsidRDefault="00C62368" w:rsidP="00D74DE5">
      <w:pPr>
        <w:spacing w:before="120"/>
        <w:rPr>
          <w:noProof/>
        </w:rPr>
      </w:pPr>
      <w:r>
        <w:rPr>
          <w:noProof/>
        </w:rPr>
        <w:t>Th</w:t>
      </w:r>
      <w:r w:rsidR="003D1146">
        <w:rPr>
          <w:noProof/>
        </w:rPr>
        <w:t xml:space="preserve">is package combining PO1-B, PM8 and PM9, is expected to generate </w:t>
      </w:r>
      <w:r w:rsidR="003F3098" w:rsidRPr="003F3098">
        <w:rPr>
          <w:b/>
          <w:bCs/>
          <w:noProof/>
        </w:rPr>
        <w:t>positive efficiency effects</w:t>
      </w:r>
      <w:r w:rsidR="003F3098">
        <w:rPr>
          <w:noProof/>
        </w:rPr>
        <w:t xml:space="preserve">, as the expected </w:t>
      </w:r>
      <w:r w:rsidR="008238F0">
        <w:rPr>
          <w:noProof/>
        </w:rPr>
        <w:t>benefits in the short and medium term</w:t>
      </w:r>
      <w:r w:rsidR="003F3098">
        <w:rPr>
          <w:noProof/>
        </w:rPr>
        <w:t xml:space="preserve"> seem to outweigh the generated</w:t>
      </w:r>
      <w:r w:rsidR="008238F0">
        <w:rPr>
          <w:noProof/>
        </w:rPr>
        <w:t xml:space="preserve"> costs over the assessment period</w:t>
      </w:r>
      <w:r w:rsidR="003F3098">
        <w:rPr>
          <w:noProof/>
        </w:rPr>
        <w:t xml:space="preserve"> </w:t>
      </w:r>
      <w:r w:rsidR="00F07899">
        <w:rPr>
          <w:noProof/>
        </w:rPr>
        <w:t>for</w:t>
      </w:r>
      <w:r w:rsidR="003F3098">
        <w:rPr>
          <w:noProof/>
        </w:rPr>
        <w:t xml:space="preserve"> different stakeholders</w:t>
      </w:r>
      <w:r w:rsidR="008238F0">
        <w:rPr>
          <w:noProof/>
        </w:rPr>
        <w:t xml:space="preserve">. </w:t>
      </w:r>
      <w:r w:rsidR="00436E61">
        <w:rPr>
          <w:noProof/>
        </w:rPr>
        <w:t>The main expected benefits under PO1-</w:t>
      </w:r>
      <w:r w:rsidR="00D940C1">
        <w:rPr>
          <w:noProof/>
        </w:rPr>
        <w:t>B</w:t>
      </w:r>
      <w:r w:rsidR="00436E61">
        <w:rPr>
          <w:noProof/>
        </w:rPr>
        <w:t xml:space="preserve"> </w:t>
      </w:r>
      <w:r w:rsidR="00D940C1">
        <w:rPr>
          <w:noProof/>
        </w:rPr>
        <w:t xml:space="preserve">arise from the measures that simplify procedures and reduce fragmentation across Member States. </w:t>
      </w:r>
      <w:r w:rsidR="00F07899">
        <w:rPr>
          <w:noProof/>
        </w:rPr>
        <w:t xml:space="preserve">Similarly, under PO2-C key benefits are expected for public authorities under the joint procurement scheme and the federation of capacity. </w:t>
      </w:r>
      <w:r w:rsidR="00D940C1">
        <w:rPr>
          <w:noProof/>
        </w:rPr>
        <w:t>These are</w:t>
      </w:r>
      <w:r w:rsidR="00F07899">
        <w:rPr>
          <w:noProof/>
        </w:rPr>
        <w:t xml:space="preserve"> altogether</w:t>
      </w:r>
      <w:r w:rsidR="00D940C1">
        <w:rPr>
          <w:noProof/>
        </w:rPr>
        <w:t xml:space="preserve"> expected to reduce administrative burdens, shorten timelines and improve legal certainty for </w:t>
      </w:r>
      <w:r w:rsidR="008A023D">
        <w:rPr>
          <w:noProof/>
        </w:rPr>
        <w:t>private operators</w:t>
      </w:r>
      <w:r w:rsidR="00D940C1">
        <w:rPr>
          <w:noProof/>
        </w:rPr>
        <w:t xml:space="preserve"> and public authorities.</w:t>
      </w:r>
      <w:r w:rsidR="005177E8">
        <w:rPr>
          <w:noProof/>
        </w:rPr>
        <w:t xml:space="preserve"> </w:t>
      </w:r>
      <w:r w:rsidR="00665DC3">
        <w:rPr>
          <w:noProof/>
        </w:rPr>
        <w:t xml:space="preserve">This combination of options also entails implementation and transition costs. There are mainly linked to adapting systems and procedures, familiarising stakeholders with the new requirements and ensuring compliance. </w:t>
      </w:r>
      <w:r w:rsidR="00D04B19">
        <w:rPr>
          <w:noProof/>
        </w:rPr>
        <w:t xml:space="preserve">Most of these costs are one-off or transitional in nature, while several of the expected benefits are recurring over time. </w:t>
      </w:r>
      <w:r w:rsidR="003415DF">
        <w:rPr>
          <w:noProof/>
        </w:rPr>
        <w:t>This combination of options is expected</w:t>
      </w:r>
      <w:r w:rsidR="00EA51A3">
        <w:rPr>
          <w:noProof/>
        </w:rPr>
        <w:t xml:space="preserve"> to deliver a positive balance of costs and benefits, while achieving the objectives in a proportionate and cost effective manner. </w:t>
      </w:r>
    </w:p>
    <w:p w14:paraId="66F7283D" w14:textId="6BEE0038" w:rsidR="00E61374" w:rsidRPr="00D37004" w:rsidRDefault="00E61374" w:rsidP="00E61374">
      <w:pPr>
        <w:rPr>
          <w:rFonts w:eastAsia="Times New Roman"/>
          <w:noProof/>
        </w:rPr>
      </w:pPr>
      <w:r w:rsidRPr="00D37004">
        <w:rPr>
          <w:rFonts w:eastAsia="Times New Roman"/>
          <w:noProof/>
        </w:rPr>
        <w:t xml:space="preserve">In terms of </w:t>
      </w:r>
      <w:r w:rsidRPr="00D37004">
        <w:rPr>
          <w:rFonts w:eastAsia="Times New Roman"/>
          <w:b/>
          <w:noProof/>
        </w:rPr>
        <w:t>coherence</w:t>
      </w:r>
      <w:r w:rsidRPr="00D37004">
        <w:rPr>
          <w:rFonts w:eastAsia="Times New Roman"/>
          <w:noProof/>
        </w:rPr>
        <w:t xml:space="preserve">, the package is consistent with the policies described under section </w:t>
      </w:r>
      <w:r w:rsidRPr="00D37004">
        <w:rPr>
          <w:rFonts w:eastAsia="Times New Roman"/>
          <w:noProof/>
        </w:rPr>
        <w:fldChar w:fldCharType="begin"/>
      </w:r>
      <w:r w:rsidRPr="00D37004">
        <w:rPr>
          <w:rFonts w:eastAsia="Times New Roman"/>
          <w:noProof/>
        </w:rPr>
        <w:instrText xml:space="preserve"> REF _Ref207383504 \r \h  \* MERGEFORMAT </w:instrText>
      </w:r>
      <w:r w:rsidRPr="00D37004">
        <w:rPr>
          <w:rFonts w:eastAsia="Times New Roman"/>
          <w:noProof/>
        </w:rPr>
      </w:r>
      <w:r w:rsidRPr="00D37004">
        <w:rPr>
          <w:rFonts w:eastAsia="Times New Roman"/>
          <w:noProof/>
        </w:rPr>
        <w:fldChar w:fldCharType="separate"/>
      </w:r>
      <w:r w:rsidR="00137E65">
        <w:rPr>
          <w:rFonts w:eastAsia="Times New Roman"/>
          <w:noProof/>
        </w:rPr>
        <w:t>1.2</w:t>
      </w:r>
      <w:r w:rsidRPr="00D37004">
        <w:rPr>
          <w:rFonts w:eastAsia="Times New Roman"/>
          <w:noProof/>
        </w:rPr>
        <w:fldChar w:fldCharType="end"/>
      </w:r>
      <w:r w:rsidRPr="00D37004">
        <w:rPr>
          <w:rFonts w:eastAsia="Times New Roman"/>
          <w:noProof/>
        </w:rPr>
        <w:t>. The</w:t>
      </w:r>
      <w:r w:rsidR="00521D9F">
        <w:rPr>
          <w:rFonts w:eastAsia="Times New Roman"/>
          <w:noProof/>
        </w:rPr>
        <w:t xml:space="preserve"> analysis does not indicate </w:t>
      </w:r>
      <w:r w:rsidR="00D5409C">
        <w:rPr>
          <w:rFonts w:eastAsia="Times New Roman"/>
          <w:noProof/>
        </w:rPr>
        <w:t>significant</w:t>
      </w:r>
      <w:r w:rsidRPr="00D37004">
        <w:rPr>
          <w:rFonts w:eastAsia="Times New Roman"/>
          <w:noProof/>
        </w:rPr>
        <w:t xml:space="preserve"> overlaps, as </w:t>
      </w:r>
      <w:r w:rsidR="00D5409C">
        <w:rPr>
          <w:rFonts w:eastAsia="Times New Roman"/>
          <w:noProof/>
        </w:rPr>
        <w:t>the measures</w:t>
      </w:r>
      <w:r w:rsidR="00D5409C" w:rsidRPr="00D37004">
        <w:rPr>
          <w:rFonts w:eastAsia="Times New Roman"/>
          <w:noProof/>
        </w:rPr>
        <w:t xml:space="preserve"> </w:t>
      </w:r>
      <w:r w:rsidRPr="00D37004">
        <w:rPr>
          <w:rFonts w:eastAsia="Times New Roman"/>
          <w:noProof/>
        </w:rPr>
        <w:t xml:space="preserve">tackle the </w:t>
      </w:r>
      <w:r w:rsidR="000436CB">
        <w:rPr>
          <w:rFonts w:eastAsia="Times New Roman"/>
          <w:noProof/>
        </w:rPr>
        <w:t>DC,</w:t>
      </w:r>
      <w:r w:rsidRPr="00D37004">
        <w:rPr>
          <w:rFonts w:eastAsia="Times New Roman"/>
          <w:noProof/>
        </w:rPr>
        <w:t xml:space="preserve"> cloud and AI markets from different perspectives. Instead, they address the objectives pursued, while securing the </w:t>
      </w:r>
      <w:r>
        <w:rPr>
          <w:rFonts w:eastAsia="Times New Roman"/>
          <w:noProof/>
        </w:rPr>
        <w:t>EU’s</w:t>
      </w:r>
      <w:r w:rsidRPr="00D37004">
        <w:rPr>
          <w:rFonts w:eastAsia="Times New Roman"/>
          <w:noProof/>
        </w:rPr>
        <w:t xml:space="preserve"> digital competitiveness and resilience.</w:t>
      </w:r>
    </w:p>
    <w:p w14:paraId="32CF8FD1" w14:textId="0B14FCEF" w:rsidR="00E61374" w:rsidRDefault="00FA76B3" w:rsidP="00E61374">
      <w:pPr>
        <w:rPr>
          <w:rFonts w:eastAsia="Times New Roman"/>
          <w:noProof/>
        </w:rPr>
      </w:pPr>
      <w:r>
        <w:rPr>
          <w:rFonts w:eastAsia="Times New Roman"/>
          <w:noProof/>
        </w:rPr>
        <w:t>This</w:t>
      </w:r>
      <w:r w:rsidR="00E61374" w:rsidRPr="00D37004">
        <w:rPr>
          <w:rFonts w:eastAsia="Times New Roman"/>
          <w:noProof/>
        </w:rPr>
        <w:t xml:space="preserve"> package is </w:t>
      </w:r>
      <w:r>
        <w:rPr>
          <w:rFonts w:eastAsia="Times New Roman"/>
          <w:noProof/>
        </w:rPr>
        <w:t xml:space="preserve">also </w:t>
      </w:r>
      <w:r w:rsidR="00E61374" w:rsidRPr="00D37004">
        <w:rPr>
          <w:rFonts w:eastAsia="Times New Roman"/>
          <w:noProof/>
        </w:rPr>
        <w:t xml:space="preserve">respectful of </w:t>
      </w:r>
      <w:r w:rsidR="00E61374" w:rsidRPr="00D37004">
        <w:rPr>
          <w:rFonts w:eastAsia="Times New Roman"/>
          <w:b/>
          <w:noProof/>
        </w:rPr>
        <w:t>subsidiarity and proportionality</w:t>
      </w:r>
      <w:r w:rsidR="00E61374" w:rsidRPr="00D37004">
        <w:rPr>
          <w:rFonts w:eastAsia="Times New Roman"/>
          <w:noProof/>
        </w:rPr>
        <w:t xml:space="preserve"> principles. While Member States in principle can enact at national level many of the measures, both problems</w:t>
      </w:r>
      <w:r w:rsidR="00C309DE">
        <w:rPr>
          <w:rFonts w:eastAsia="Times New Roman"/>
          <w:noProof/>
        </w:rPr>
        <w:t xml:space="preserve"> addressed</w:t>
      </w:r>
      <w:r w:rsidR="00E61374" w:rsidRPr="00D37004">
        <w:rPr>
          <w:rFonts w:eastAsia="Times New Roman"/>
          <w:noProof/>
        </w:rPr>
        <w:t xml:space="preserve"> </w:t>
      </w:r>
      <w:r w:rsidR="00C309DE">
        <w:rPr>
          <w:rFonts w:eastAsia="Times New Roman"/>
          <w:noProof/>
        </w:rPr>
        <w:t>are characterised by common</w:t>
      </w:r>
      <w:r w:rsidR="00E61374" w:rsidRPr="00D37004" w:rsidDel="00C309DE">
        <w:rPr>
          <w:rFonts w:eastAsia="Times New Roman"/>
          <w:noProof/>
        </w:rPr>
        <w:t xml:space="preserve"> </w:t>
      </w:r>
      <w:r w:rsidR="00E61374" w:rsidRPr="00D37004">
        <w:rPr>
          <w:rFonts w:eastAsia="Times New Roman"/>
          <w:noProof/>
        </w:rPr>
        <w:t xml:space="preserve">underlying </w:t>
      </w:r>
      <w:r w:rsidR="00C309DE">
        <w:rPr>
          <w:rFonts w:eastAsia="Times New Roman"/>
          <w:noProof/>
        </w:rPr>
        <w:t>drivers</w:t>
      </w:r>
      <w:r w:rsidR="00C309DE" w:rsidRPr="00D37004">
        <w:rPr>
          <w:rFonts w:eastAsia="Times New Roman"/>
          <w:noProof/>
        </w:rPr>
        <w:t xml:space="preserve"> </w:t>
      </w:r>
      <w:r w:rsidR="00E61374" w:rsidRPr="00D37004">
        <w:rPr>
          <w:rFonts w:eastAsia="Times New Roman"/>
          <w:noProof/>
        </w:rPr>
        <w:t xml:space="preserve">across the EU and </w:t>
      </w:r>
      <w:r w:rsidR="00B1487F">
        <w:rPr>
          <w:rFonts w:eastAsia="Times New Roman"/>
          <w:noProof/>
        </w:rPr>
        <w:t xml:space="preserve">would </w:t>
      </w:r>
      <w:r w:rsidR="00E61374" w:rsidRPr="00D37004">
        <w:rPr>
          <w:rFonts w:eastAsia="Times New Roman"/>
          <w:noProof/>
        </w:rPr>
        <w:t xml:space="preserve">require </w:t>
      </w:r>
      <w:r w:rsidR="00B1487F">
        <w:rPr>
          <w:rFonts w:eastAsia="Times New Roman"/>
          <w:noProof/>
        </w:rPr>
        <w:t>a</w:t>
      </w:r>
      <w:r w:rsidR="00E61374" w:rsidRPr="00D37004">
        <w:rPr>
          <w:rFonts w:eastAsia="Times New Roman"/>
          <w:noProof/>
        </w:rPr>
        <w:t xml:space="preserve"> degree of coordination and harmonisation</w:t>
      </w:r>
      <w:r w:rsidR="009E21FD">
        <w:rPr>
          <w:rFonts w:eastAsia="Times New Roman"/>
          <w:noProof/>
        </w:rPr>
        <w:t xml:space="preserve"> that cannot be ensured through national action</w:t>
      </w:r>
      <w:r w:rsidR="000E59C3">
        <w:rPr>
          <w:rFonts w:eastAsia="Times New Roman"/>
          <w:noProof/>
        </w:rPr>
        <w:t xml:space="preserve"> only</w:t>
      </w:r>
      <w:r w:rsidR="00E61374" w:rsidRPr="00D37004">
        <w:rPr>
          <w:rFonts w:eastAsia="Times New Roman"/>
          <w:noProof/>
        </w:rPr>
        <w:t xml:space="preserve">. </w:t>
      </w:r>
      <w:r w:rsidR="009E21FD">
        <w:rPr>
          <w:rFonts w:eastAsia="Times New Roman"/>
          <w:noProof/>
        </w:rPr>
        <w:t>EU-level intervention is therefore expected to offer</w:t>
      </w:r>
      <w:r w:rsidR="00E61374" w:rsidRPr="00D37004">
        <w:rPr>
          <w:rFonts w:eastAsia="Times New Roman"/>
          <w:noProof/>
        </w:rPr>
        <w:t xml:space="preserve"> clear added value</w:t>
      </w:r>
      <w:r w:rsidR="00161E83">
        <w:rPr>
          <w:rFonts w:eastAsia="Times New Roman"/>
          <w:noProof/>
        </w:rPr>
        <w:t>, as the</w:t>
      </w:r>
      <w:r w:rsidR="00E61374" w:rsidRPr="00D37004">
        <w:rPr>
          <w:rFonts w:eastAsia="Times New Roman"/>
          <w:noProof/>
        </w:rPr>
        <w:t xml:space="preserve"> objectives of this initiative seem impossible to be achieved sufficiently by Member States alone</w:t>
      </w:r>
      <w:r w:rsidR="00585792">
        <w:rPr>
          <w:rFonts w:eastAsia="Times New Roman"/>
          <w:noProof/>
        </w:rPr>
        <w:t xml:space="preserve">. At the same time, </w:t>
      </w:r>
      <w:r w:rsidR="00865104">
        <w:rPr>
          <w:rFonts w:eastAsia="Times New Roman"/>
          <w:noProof/>
        </w:rPr>
        <w:t xml:space="preserve">the </w:t>
      </w:r>
      <w:r w:rsidR="002817EA">
        <w:rPr>
          <w:rFonts w:eastAsia="Times New Roman"/>
          <w:noProof/>
        </w:rPr>
        <w:t>achievement</w:t>
      </w:r>
      <w:r w:rsidR="0003209A">
        <w:rPr>
          <w:rFonts w:eastAsia="Times New Roman"/>
          <w:noProof/>
        </w:rPr>
        <w:t xml:space="preserve"> of the expected impacts will be shaped by n</w:t>
      </w:r>
      <w:r w:rsidR="00585792">
        <w:rPr>
          <w:rFonts w:eastAsia="Times New Roman"/>
          <w:noProof/>
        </w:rPr>
        <w:t>ational implementation</w:t>
      </w:r>
      <w:r w:rsidR="0003209A">
        <w:rPr>
          <w:rFonts w:eastAsia="Times New Roman"/>
          <w:noProof/>
        </w:rPr>
        <w:t xml:space="preserve"> choices and contextual factors</w:t>
      </w:r>
      <w:r w:rsidR="00585792">
        <w:rPr>
          <w:rFonts w:eastAsia="Times New Roman"/>
          <w:noProof/>
        </w:rPr>
        <w:t xml:space="preserve">, underlining the key role of Member States in </w:t>
      </w:r>
      <w:r w:rsidR="00E61374" w:rsidRPr="00D37004">
        <w:rPr>
          <w:rFonts w:eastAsia="Times New Roman"/>
          <w:noProof/>
        </w:rPr>
        <w:t>materialising the initiative.</w:t>
      </w:r>
      <w:r w:rsidR="00C50E9E">
        <w:rPr>
          <w:rFonts w:eastAsia="Times New Roman"/>
          <w:noProof/>
        </w:rPr>
        <w:t xml:space="preserve"> </w:t>
      </w:r>
    </w:p>
    <w:p w14:paraId="3FA0A81C" w14:textId="1716BE08" w:rsidR="00FA76B3" w:rsidRPr="00D37004" w:rsidRDefault="00835491" w:rsidP="00E61374">
      <w:pPr>
        <w:rPr>
          <w:rFonts w:eastAsia="Times New Roman"/>
          <w:noProof/>
        </w:rPr>
      </w:pPr>
      <w:r>
        <w:rPr>
          <w:rFonts w:eastAsia="Times New Roman"/>
          <w:noProof/>
        </w:rPr>
        <w:t>The MCDA was also used to examine the options and measures from an additional perspective. While it assessed the</w:t>
      </w:r>
      <w:r w:rsidR="00FA76B3">
        <w:rPr>
          <w:rFonts w:eastAsia="Times New Roman"/>
          <w:noProof/>
        </w:rPr>
        <w:t xml:space="preserve"> options</w:t>
      </w:r>
      <w:r>
        <w:rPr>
          <w:rFonts w:eastAsia="Times New Roman"/>
          <w:noProof/>
        </w:rPr>
        <w:t xml:space="preserve"> separately</w:t>
      </w:r>
      <w:r w:rsidR="00FA76B3">
        <w:rPr>
          <w:rFonts w:eastAsia="Times New Roman"/>
          <w:noProof/>
        </w:rPr>
        <w:t xml:space="preserve"> for each problem area, </w:t>
      </w:r>
      <w:r w:rsidR="00386983">
        <w:rPr>
          <w:rFonts w:eastAsia="Times New Roman"/>
          <w:noProof/>
        </w:rPr>
        <w:t xml:space="preserve">it provided a wat to consider their performance across </w:t>
      </w:r>
      <w:r w:rsidR="00FA76B3">
        <w:rPr>
          <w:rFonts w:eastAsia="Times New Roman"/>
          <w:noProof/>
        </w:rPr>
        <w:t>effectiveness, environmental and social impact</w:t>
      </w:r>
      <w:r w:rsidR="00363CB5">
        <w:rPr>
          <w:rFonts w:eastAsia="Times New Roman"/>
          <w:noProof/>
        </w:rPr>
        <w:t xml:space="preserve"> dimensions</w:t>
      </w:r>
      <w:r w:rsidR="00FA76B3" w:rsidRPr="00D37004">
        <w:rPr>
          <w:rFonts w:eastAsia="Times New Roman"/>
          <w:noProof/>
        </w:rPr>
        <w:t xml:space="preserve">. </w:t>
      </w:r>
      <w:r w:rsidR="00FA76B3">
        <w:rPr>
          <w:rFonts w:eastAsia="Times New Roman"/>
          <w:noProof/>
        </w:rPr>
        <w:t xml:space="preserve">This approach allowed us to </w:t>
      </w:r>
      <w:r w:rsidR="00FB1FDF">
        <w:rPr>
          <w:rFonts w:eastAsia="Times New Roman"/>
          <w:noProof/>
        </w:rPr>
        <w:t>capture</w:t>
      </w:r>
      <w:r w:rsidR="00FA76B3">
        <w:rPr>
          <w:rFonts w:eastAsia="Times New Roman"/>
          <w:noProof/>
        </w:rPr>
        <w:t xml:space="preserve"> additional social and environmental </w:t>
      </w:r>
      <w:r w:rsidR="00120101">
        <w:rPr>
          <w:rFonts w:eastAsia="Times New Roman"/>
          <w:noProof/>
        </w:rPr>
        <w:t>effects</w:t>
      </w:r>
      <w:r w:rsidR="00001C46">
        <w:rPr>
          <w:rFonts w:eastAsia="Times New Roman"/>
          <w:noProof/>
        </w:rPr>
        <w:t>, for which</w:t>
      </w:r>
      <w:r w:rsidR="00FA76B3">
        <w:rPr>
          <w:rFonts w:eastAsia="Times New Roman"/>
          <w:noProof/>
        </w:rPr>
        <w:t xml:space="preserve"> robust monetary valuation </w:t>
      </w:r>
      <w:r w:rsidR="00120101">
        <w:rPr>
          <w:rFonts w:eastAsia="Times New Roman"/>
          <w:noProof/>
        </w:rPr>
        <w:t>such</w:t>
      </w:r>
      <w:r w:rsidR="00FA76B3">
        <w:rPr>
          <w:rFonts w:eastAsia="Times New Roman"/>
          <w:noProof/>
        </w:rPr>
        <w:t xml:space="preserve"> </w:t>
      </w:r>
      <w:r w:rsidR="00001C46">
        <w:rPr>
          <w:rFonts w:eastAsia="Times New Roman"/>
          <w:noProof/>
        </w:rPr>
        <w:t xml:space="preserve">as </w:t>
      </w:r>
      <w:r w:rsidR="00FA76B3">
        <w:rPr>
          <w:rFonts w:eastAsia="Times New Roman"/>
          <w:noProof/>
        </w:rPr>
        <w:t>willingness to pay or shadow price estimates</w:t>
      </w:r>
      <w:r w:rsidR="00001C46">
        <w:rPr>
          <w:rFonts w:eastAsia="Times New Roman"/>
          <w:noProof/>
        </w:rPr>
        <w:t>,</w:t>
      </w:r>
      <w:r w:rsidR="00FA76B3">
        <w:rPr>
          <w:rFonts w:eastAsia="Times New Roman"/>
          <w:noProof/>
        </w:rPr>
        <w:t xml:space="preserve"> was not available. </w:t>
      </w:r>
    </w:p>
    <w:p w14:paraId="683F4F3E" w14:textId="559893C9" w:rsidR="00E61374" w:rsidRPr="005C70D8" w:rsidRDefault="00E61374" w:rsidP="007D4E71">
      <w:pPr>
        <w:pStyle w:val="Heading2"/>
        <w:rPr>
          <w:noProof/>
        </w:rPr>
      </w:pPr>
      <w:bookmarkStart w:id="82" w:name="_Toc216129286"/>
      <w:bookmarkStart w:id="83" w:name="_Toc230792752"/>
      <w:r w:rsidRPr="005C70D8">
        <w:rPr>
          <w:noProof/>
        </w:rPr>
        <w:t xml:space="preserve">Application of the “One In One Out” (OIOO) </w:t>
      </w:r>
      <w:bookmarkEnd w:id="82"/>
      <w:r w:rsidRPr="005C70D8">
        <w:rPr>
          <w:noProof/>
        </w:rPr>
        <w:t>Approach</w:t>
      </w:r>
      <w:bookmarkEnd w:id="83"/>
    </w:p>
    <w:p w14:paraId="16F7E42A" w14:textId="77777777" w:rsidR="00E61374" w:rsidRPr="00690EFD" w:rsidRDefault="00E61374" w:rsidP="00D74DE5">
      <w:pPr>
        <w:pStyle w:val="Text1"/>
        <w:ind w:left="0"/>
        <w:rPr>
          <w:noProof/>
        </w:rPr>
      </w:pPr>
      <w:r>
        <w:rPr>
          <w:noProof/>
        </w:rPr>
        <w:t>The preferred policy package is expected to lead to both administrative cost savings and administrative costs for businesses and national public authorities. The details of how these administrative costs and savings have been quantified, including the underlying assumptions can be found in Annex 4, section 3. The table below summarizes the main administrative costs and savings, including details on the related activities, who is affected and their quantification.</w:t>
      </w:r>
    </w:p>
    <w:p w14:paraId="3EF8EA09" w14:textId="768BBB12" w:rsidR="00E61374" w:rsidRDefault="00E61374" w:rsidP="005C0958">
      <w:pPr>
        <w:pStyle w:val="Caption"/>
        <w:spacing w:after="60"/>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16</w:t>
      </w:r>
      <w:r>
        <w:rPr>
          <w:noProof/>
        </w:rPr>
        <w:fldChar w:fldCharType="end"/>
      </w:r>
      <w:r>
        <w:rPr>
          <w:noProof/>
        </w:rPr>
        <w:t xml:space="preserve">. </w:t>
      </w:r>
      <w:r w:rsidR="0048470D">
        <w:rPr>
          <w:noProof/>
        </w:rPr>
        <w:t>Application of the OIOO approach - Businesses</w:t>
      </w:r>
    </w:p>
    <w:tbl>
      <w:tblPr>
        <w:tblStyle w:val="TableGrid"/>
        <w:tblW w:w="5000" w:type="pct"/>
        <w:tblLook w:val="04A0" w:firstRow="1" w:lastRow="0" w:firstColumn="1" w:lastColumn="0" w:noHBand="0" w:noVBand="1"/>
      </w:tblPr>
      <w:tblGrid>
        <w:gridCol w:w="1383"/>
        <w:gridCol w:w="4254"/>
        <w:gridCol w:w="1842"/>
        <w:gridCol w:w="2234"/>
      </w:tblGrid>
      <w:tr w:rsidR="00330797" w:rsidRPr="00D74DE5" w14:paraId="4B3A638D" w14:textId="77777777" w:rsidTr="0025084E">
        <w:trPr>
          <w:tblHeader/>
        </w:trPr>
        <w:tc>
          <w:tcPr>
            <w:tcW w:w="712" w:type="pct"/>
            <w:shd w:val="clear" w:color="auto" w:fill="227ACB"/>
            <w:vAlign w:val="center"/>
          </w:tcPr>
          <w:p w14:paraId="45AC2FD3" w14:textId="77777777" w:rsidR="00330797" w:rsidRPr="00D74DE5" w:rsidRDefault="00330797" w:rsidP="00330797">
            <w:pPr>
              <w:spacing w:after="0"/>
              <w:rPr>
                <w:noProof/>
                <w:color w:val="FFFFFF" w:themeColor="background1"/>
                <w:sz w:val="20"/>
                <w:szCs w:val="20"/>
              </w:rPr>
            </w:pPr>
            <w:r w:rsidRPr="00D74DE5">
              <w:rPr>
                <w:noProof/>
                <w:color w:val="FFFFFF" w:themeColor="background1"/>
                <w:sz w:val="20"/>
                <w:szCs w:val="20"/>
              </w:rPr>
              <w:t>Preferred package</w:t>
            </w:r>
          </w:p>
        </w:tc>
        <w:tc>
          <w:tcPr>
            <w:tcW w:w="2190" w:type="pct"/>
            <w:shd w:val="clear" w:color="auto" w:fill="227ACB"/>
            <w:vAlign w:val="center"/>
          </w:tcPr>
          <w:p w14:paraId="79B396BA" w14:textId="77777777" w:rsidR="00330797" w:rsidRPr="00D74DE5" w:rsidRDefault="00330797" w:rsidP="00330797">
            <w:pPr>
              <w:spacing w:after="0"/>
              <w:rPr>
                <w:noProof/>
                <w:color w:val="FFFFFF" w:themeColor="background1"/>
                <w:sz w:val="20"/>
                <w:szCs w:val="20"/>
              </w:rPr>
            </w:pPr>
            <w:r w:rsidRPr="00D74DE5">
              <w:rPr>
                <w:noProof/>
                <w:color w:val="FFFFFF" w:themeColor="background1"/>
                <w:sz w:val="20"/>
                <w:szCs w:val="20"/>
              </w:rPr>
              <w:t xml:space="preserve">Activities </w:t>
            </w:r>
          </w:p>
        </w:tc>
        <w:tc>
          <w:tcPr>
            <w:tcW w:w="948" w:type="pct"/>
            <w:shd w:val="clear" w:color="auto" w:fill="227ACB"/>
            <w:vAlign w:val="center"/>
          </w:tcPr>
          <w:p w14:paraId="79AA5F0B" w14:textId="77777777" w:rsidR="00330797" w:rsidRPr="00D74DE5" w:rsidRDefault="00330797" w:rsidP="00330797">
            <w:pPr>
              <w:spacing w:after="0"/>
              <w:rPr>
                <w:noProof/>
                <w:color w:val="FFFFFF" w:themeColor="background1"/>
                <w:sz w:val="20"/>
                <w:szCs w:val="20"/>
              </w:rPr>
            </w:pPr>
            <w:r w:rsidRPr="00D74DE5">
              <w:rPr>
                <w:noProof/>
                <w:color w:val="FFFFFF" w:themeColor="background1"/>
                <w:sz w:val="20"/>
                <w:szCs w:val="20"/>
              </w:rPr>
              <w:t>Economic operators affected</w:t>
            </w:r>
          </w:p>
        </w:tc>
        <w:tc>
          <w:tcPr>
            <w:tcW w:w="1150" w:type="pct"/>
            <w:shd w:val="clear" w:color="auto" w:fill="227ACB"/>
            <w:vAlign w:val="center"/>
          </w:tcPr>
          <w:p w14:paraId="180D2468" w14:textId="3B39AECE" w:rsidR="00330797" w:rsidRPr="00D74DE5" w:rsidRDefault="00330797" w:rsidP="00330797">
            <w:pPr>
              <w:spacing w:after="0"/>
              <w:rPr>
                <w:noProof/>
                <w:color w:val="FFFFFF" w:themeColor="background1"/>
                <w:sz w:val="20"/>
                <w:szCs w:val="20"/>
              </w:rPr>
            </w:pPr>
            <w:r w:rsidRPr="00017BD1">
              <w:rPr>
                <w:bCs/>
                <w:noProof/>
                <w:color w:val="FFFFFF" w:themeColor="background1"/>
                <w:sz w:val="20"/>
                <w:szCs w:val="20"/>
              </w:rPr>
              <w:t>Monetization</w:t>
            </w:r>
            <w:r w:rsidRPr="00D74DE5">
              <w:rPr>
                <w:b/>
                <w:noProof/>
                <w:color w:val="FFFFFF" w:themeColor="background1"/>
                <w:sz w:val="20"/>
                <w:szCs w:val="20"/>
              </w:rPr>
              <w:t xml:space="preserve"> </w:t>
            </w:r>
            <w:r w:rsidR="00017BD1">
              <w:rPr>
                <w:b/>
                <w:noProof/>
                <w:color w:val="FFFFFF" w:themeColor="background1"/>
                <w:sz w:val="20"/>
                <w:szCs w:val="20"/>
              </w:rPr>
              <w:t xml:space="preserve">                </w:t>
            </w:r>
            <w:r w:rsidRPr="00D74DE5">
              <w:rPr>
                <w:noProof/>
                <w:color w:val="FFFFFF" w:themeColor="background1"/>
                <w:sz w:val="20"/>
                <w:szCs w:val="20"/>
              </w:rPr>
              <w:t>(NPV 2027 – 2036)</w:t>
            </w:r>
          </w:p>
        </w:tc>
      </w:tr>
      <w:tr w:rsidR="00330797" w:rsidRPr="00D74DE5" w14:paraId="454AB752" w14:textId="77777777" w:rsidTr="00022927">
        <w:tc>
          <w:tcPr>
            <w:tcW w:w="712" w:type="pct"/>
            <w:shd w:val="clear" w:color="auto" w:fill="DBE5F1" w:themeFill="accent1" w:themeFillTint="33"/>
          </w:tcPr>
          <w:p w14:paraId="1A09F3CA" w14:textId="77777777" w:rsidR="00330797" w:rsidRPr="00D74DE5" w:rsidRDefault="00330797" w:rsidP="00330797">
            <w:pPr>
              <w:spacing w:after="0"/>
              <w:rPr>
                <w:noProof/>
                <w:sz w:val="20"/>
                <w:szCs w:val="20"/>
              </w:rPr>
            </w:pPr>
            <w:r w:rsidRPr="00D74DE5">
              <w:rPr>
                <w:noProof/>
                <w:sz w:val="20"/>
                <w:szCs w:val="20"/>
              </w:rPr>
              <w:t>PO1-B PM5*</w:t>
            </w:r>
          </w:p>
        </w:tc>
        <w:tc>
          <w:tcPr>
            <w:tcW w:w="2190" w:type="pct"/>
          </w:tcPr>
          <w:p w14:paraId="0ADA3E83" w14:textId="77777777" w:rsidR="00330797" w:rsidRPr="00D74DE5" w:rsidRDefault="00330797" w:rsidP="00330797">
            <w:pPr>
              <w:spacing w:after="0"/>
              <w:rPr>
                <w:noProof/>
                <w:sz w:val="20"/>
                <w:szCs w:val="20"/>
              </w:rPr>
            </w:pPr>
            <w:r>
              <w:rPr>
                <w:noProof/>
                <w:sz w:val="20"/>
                <w:szCs w:val="20"/>
              </w:rPr>
              <w:t xml:space="preserve">One-off administrative costs of preparing </w:t>
            </w:r>
            <w:r w:rsidRPr="00D74DE5">
              <w:rPr>
                <w:noProof/>
                <w:sz w:val="20"/>
                <w:szCs w:val="20"/>
              </w:rPr>
              <w:t>the application file to access the fast-track area</w:t>
            </w:r>
            <w:r>
              <w:rPr>
                <w:noProof/>
                <w:sz w:val="20"/>
                <w:szCs w:val="20"/>
              </w:rPr>
              <w:t>s</w:t>
            </w:r>
          </w:p>
        </w:tc>
        <w:tc>
          <w:tcPr>
            <w:tcW w:w="948" w:type="pct"/>
            <w:vMerge w:val="restart"/>
            <w:vAlign w:val="center"/>
          </w:tcPr>
          <w:p w14:paraId="719CEEEB" w14:textId="77777777" w:rsidR="00330797" w:rsidRPr="00D74DE5" w:rsidRDefault="00330797" w:rsidP="00022927">
            <w:pPr>
              <w:spacing w:after="0"/>
              <w:jc w:val="left"/>
              <w:rPr>
                <w:noProof/>
                <w:sz w:val="20"/>
                <w:szCs w:val="20"/>
              </w:rPr>
            </w:pPr>
            <w:r w:rsidRPr="00D74DE5">
              <w:rPr>
                <w:noProof/>
                <w:sz w:val="20"/>
                <w:szCs w:val="20"/>
              </w:rPr>
              <w:t>Data centre operators</w:t>
            </w:r>
          </w:p>
        </w:tc>
        <w:tc>
          <w:tcPr>
            <w:tcW w:w="1150" w:type="pct"/>
            <w:vAlign w:val="center"/>
          </w:tcPr>
          <w:p w14:paraId="2C86AA94" w14:textId="31023CE5" w:rsidR="00330797" w:rsidRPr="00D74DE5" w:rsidRDefault="00330797" w:rsidP="00330797">
            <w:pPr>
              <w:spacing w:after="0"/>
              <w:jc w:val="right"/>
              <w:rPr>
                <w:noProof/>
                <w:sz w:val="20"/>
                <w:szCs w:val="20"/>
              </w:rPr>
            </w:pPr>
            <w:r w:rsidRPr="00D74DE5">
              <w:rPr>
                <w:noProof/>
                <w:sz w:val="20"/>
                <w:szCs w:val="20"/>
              </w:rPr>
              <w:t xml:space="preserve"> </w:t>
            </w:r>
            <w:r w:rsidR="003C6A00">
              <w:rPr>
                <w:noProof/>
                <w:sz w:val="20"/>
                <w:szCs w:val="20"/>
              </w:rPr>
              <w:t xml:space="preserve"> EUR </w:t>
            </w:r>
            <w:r w:rsidR="0013342B">
              <w:rPr>
                <w:noProof/>
                <w:sz w:val="20"/>
                <w:szCs w:val="20"/>
              </w:rPr>
              <w:t>0.8</w:t>
            </w:r>
            <w:r w:rsidR="00D46DA5">
              <w:rPr>
                <w:noProof/>
                <w:sz w:val="20"/>
                <w:szCs w:val="20"/>
              </w:rPr>
              <w:t xml:space="preserve"> – </w:t>
            </w:r>
            <w:r w:rsidR="0013342B">
              <w:rPr>
                <w:noProof/>
                <w:sz w:val="20"/>
                <w:szCs w:val="20"/>
              </w:rPr>
              <w:t>2.8</w:t>
            </w:r>
            <w:r w:rsidR="003C6A00">
              <w:rPr>
                <w:noProof/>
                <w:sz w:val="20"/>
                <w:szCs w:val="20"/>
              </w:rPr>
              <w:t xml:space="preserve"> m</w:t>
            </w:r>
          </w:p>
        </w:tc>
      </w:tr>
      <w:tr w:rsidR="00330797" w:rsidRPr="00D74DE5" w14:paraId="5088A854" w14:textId="77777777" w:rsidTr="00022927">
        <w:tc>
          <w:tcPr>
            <w:tcW w:w="712" w:type="pct"/>
            <w:shd w:val="clear" w:color="auto" w:fill="DBE5F1" w:themeFill="accent1" w:themeFillTint="33"/>
          </w:tcPr>
          <w:p w14:paraId="5E67B089" w14:textId="77777777" w:rsidR="00330797" w:rsidRPr="00D74DE5" w:rsidRDefault="00330797" w:rsidP="00330797">
            <w:pPr>
              <w:spacing w:after="0"/>
              <w:rPr>
                <w:noProof/>
                <w:sz w:val="20"/>
                <w:szCs w:val="20"/>
              </w:rPr>
            </w:pPr>
            <w:r w:rsidRPr="00D74DE5">
              <w:rPr>
                <w:noProof/>
                <w:sz w:val="20"/>
                <w:szCs w:val="20"/>
              </w:rPr>
              <w:t>PO1-B PM6</w:t>
            </w:r>
          </w:p>
        </w:tc>
        <w:tc>
          <w:tcPr>
            <w:tcW w:w="2190" w:type="pct"/>
          </w:tcPr>
          <w:p w14:paraId="4AEC5940" w14:textId="77777777" w:rsidR="00330797" w:rsidRPr="00D74DE5" w:rsidRDefault="00330797" w:rsidP="00330797">
            <w:pPr>
              <w:spacing w:after="0"/>
              <w:rPr>
                <w:noProof/>
                <w:sz w:val="20"/>
                <w:szCs w:val="20"/>
              </w:rPr>
            </w:pPr>
            <w:r>
              <w:rPr>
                <w:noProof/>
                <w:sz w:val="20"/>
                <w:szCs w:val="20"/>
              </w:rPr>
              <w:t xml:space="preserve">One-off administrative costs of preparing </w:t>
            </w:r>
            <w:r w:rsidRPr="00D74DE5">
              <w:rPr>
                <w:noProof/>
                <w:sz w:val="20"/>
                <w:szCs w:val="20"/>
              </w:rPr>
              <w:t>the application to respond to the calls (est.12 applications every two years)</w:t>
            </w:r>
          </w:p>
        </w:tc>
        <w:tc>
          <w:tcPr>
            <w:tcW w:w="948" w:type="pct"/>
            <w:vMerge/>
            <w:vAlign w:val="center"/>
          </w:tcPr>
          <w:p w14:paraId="6828D226" w14:textId="77777777" w:rsidR="00330797" w:rsidRPr="00D74DE5" w:rsidRDefault="00330797" w:rsidP="00022927">
            <w:pPr>
              <w:spacing w:after="0"/>
              <w:jc w:val="left"/>
              <w:rPr>
                <w:noProof/>
                <w:sz w:val="20"/>
                <w:szCs w:val="20"/>
              </w:rPr>
            </w:pPr>
          </w:p>
        </w:tc>
        <w:tc>
          <w:tcPr>
            <w:tcW w:w="1150" w:type="pct"/>
            <w:vAlign w:val="center"/>
          </w:tcPr>
          <w:p w14:paraId="0112FD36" w14:textId="5ACBFAD6" w:rsidR="00330797" w:rsidRPr="00D74DE5" w:rsidRDefault="00330797" w:rsidP="00330797">
            <w:pPr>
              <w:spacing w:after="0"/>
              <w:jc w:val="right"/>
              <w:rPr>
                <w:noProof/>
                <w:sz w:val="20"/>
                <w:szCs w:val="20"/>
              </w:rPr>
            </w:pPr>
            <w:r w:rsidRPr="00D74DE5">
              <w:rPr>
                <w:noProof/>
                <w:sz w:val="20"/>
                <w:szCs w:val="20"/>
              </w:rPr>
              <w:t xml:space="preserve"> </w:t>
            </w:r>
            <w:r w:rsidR="00761749">
              <w:rPr>
                <w:noProof/>
                <w:sz w:val="20"/>
                <w:szCs w:val="20"/>
              </w:rPr>
              <w:t xml:space="preserve">EUR </w:t>
            </w:r>
            <w:r w:rsidR="003C6A00">
              <w:rPr>
                <w:noProof/>
                <w:sz w:val="20"/>
                <w:szCs w:val="20"/>
              </w:rPr>
              <w:t>0.2 – 1.3</w:t>
            </w:r>
            <w:r w:rsidR="00761749">
              <w:rPr>
                <w:noProof/>
                <w:sz w:val="20"/>
                <w:szCs w:val="20"/>
              </w:rPr>
              <w:t xml:space="preserve"> m</w:t>
            </w:r>
          </w:p>
        </w:tc>
      </w:tr>
      <w:tr w:rsidR="00330797" w:rsidRPr="00D74DE5" w14:paraId="626135EF" w14:textId="77777777" w:rsidTr="00022927">
        <w:tc>
          <w:tcPr>
            <w:tcW w:w="712" w:type="pct"/>
            <w:shd w:val="clear" w:color="auto" w:fill="DBE5F1" w:themeFill="accent1" w:themeFillTint="33"/>
          </w:tcPr>
          <w:p w14:paraId="25AE82B3" w14:textId="77777777" w:rsidR="00330797" w:rsidRPr="00D74DE5" w:rsidRDefault="00330797" w:rsidP="00330797">
            <w:pPr>
              <w:spacing w:after="0"/>
              <w:rPr>
                <w:noProof/>
                <w:sz w:val="20"/>
                <w:szCs w:val="20"/>
              </w:rPr>
            </w:pPr>
            <w:r w:rsidRPr="00D74DE5">
              <w:rPr>
                <w:noProof/>
                <w:sz w:val="20"/>
                <w:szCs w:val="20"/>
              </w:rPr>
              <w:t>PO1-B PM7</w:t>
            </w:r>
          </w:p>
        </w:tc>
        <w:tc>
          <w:tcPr>
            <w:tcW w:w="2190" w:type="pct"/>
          </w:tcPr>
          <w:p w14:paraId="32D8C659" w14:textId="77777777" w:rsidR="00330797" w:rsidRPr="00E354E3" w:rsidRDefault="00330797" w:rsidP="00330797">
            <w:pPr>
              <w:spacing w:after="0"/>
              <w:rPr>
                <w:noProof/>
                <w:sz w:val="20"/>
                <w:szCs w:val="20"/>
              </w:rPr>
            </w:pPr>
            <w:r w:rsidRPr="00E354E3">
              <w:rPr>
                <w:noProof/>
                <w:sz w:val="20"/>
                <w:szCs w:val="20"/>
              </w:rPr>
              <w:t xml:space="preserve">Recurrent administrative costs of survey response time and eventual periodic verification of data </w:t>
            </w:r>
            <w:r w:rsidRPr="00E354E3" w:rsidDel="003C2A73">
              <w:rPr>
                <w:noProof/>
                <w:sz w:val="20"/>
                <w:szCs w:val="20"/>
              </w:rPr>
              <w:t xml:space="preserve">on </w:t>
            </w:r>
            <w:r w:rsidRPr="00E354E3">
              <w:rPr>
                <w:noProof/>
                <w:sz w:val="20"/>
                <w:szCs w:val="20"/>
              </w:rPr>
              <w:t>compute capacity</w:t>
            </w:r>
          </w:p>
        </w:tc>
        <w:tc>
          <w:tcPr>
            <w:tcW w:w="948" w:type="pct"/>
            <w:vMerge/>
            <w:vAlign w:val="center"/>
          </w:tcPr>
          <w:p w14:paraId="413E1C73" w14:textId="77777777" w:rsidR="00330797" w:rsidRPr="00D74DE5" w:rsidRDefault="00330797" w:rsidP="00022927">
            <w:pPr>
              <w:spacing w:after="0"/>
              <w:jc w:val="left"/>
              <w:rPr>
                <w:noProof/>
                <w:sz w:val="20"/>
                <w:szCs w:val="20"/>
              </w:rPr>
            </w:pPr>
          </w:p>
        </w:tc>
        <w:tc>
          <w:tcPr>
            <w:tcW w:w="1150" w:type="pct"/>
            <w:vAlign w:val="center"/>
          </w:tcPr>
          <w:p w14:paraId="06D632A2" w14:textId="3F2AB2D9" w:rsidR="00330797" w:rsidRPr="00D74DE5" w:rsidRDefault="00330797" w:rsidP="00330797">
            <w:pPr>
              <w:spacing w:after="0"/>
              <w:jc w:val="right"/>
              <w:rPr>
                <w:noProof/>
                <w:sz w:val="20"/>
                <w:szCs w:val="20"/>
              </w:rPr>
            </w:pPr>
            <w:r w:rsidRPr="00D74DE5">
              <w:rPr>
                <w:noProof/>
                <w:sz w:val="20"/>
                <w:szCs w:val="20"/>
              </w:rPr>
              <w:t xml:space="preserve"> </w:t>
            </w:r>
            <w:r w:rsidR="00761749">
              <w:rPr>
                <w:noProof/>
                <w:sz w:val="20"/>
                <w:szCs w:val="20"/>
              </w:rPr>
              <w:t>EUR</w:t>
            </w:r>
            <w:r w:rsidRPr="00D74DE5">
              <w:rPr>
                <w:noProof/>
                <w:sz w:val="20"/>
                <w:szCs w:val="20"/>
              </w:rPr>
              <w:t xml:space="preserve"> </w:t>
            </w:r>
            <w:r w:rsidR="00D46DA5">
              <w:rPr>
                <w:noProof/>
                <w:sz w:val="20"/>
                <w:szCs w:val="20"/>
              </w:rPr>
              <w:t>0.2 – 0.6 m</w:t>
            </w:r>
          </w:p>
        </w:tc>
      </w:tr>
      <w:tr w:rsidR="00330797" w:rsidRPr="00D74DE5" w14:paraId="42EFB1C9" w14:textId="77777777" w:rsidTr="00022927">
        <w:tc>
          <w:tcPr>
            <w:tcW w:w="712" w:type="pct"/>
            <w:shd w:val="clear" w:color="auto" w:fill="DBE5F1" w:themeFill="accent1" w:themeFillTint="33"/>
          </w:tcPr>
          <w:p w14:paraId="465EFDCC" w14:textId="77777777" w:rsidR="00330797" w:rsidRPr="00D74DE5" w:rsidRDefault="00330797" w:rsidP="00330797">
            <w:pPr>
              <w:spacing w:after="0"/>
              <w:rPr>
                <w:noProof/>
                <w:sz w:val="20"/>
                <w:szCs w:val="20"/>
              </w:rPr>
            </w:pPr>
            <w:r w:rsidRPr="00D74DE5">
              <w:rPr>
                <w:noProof/>
                <w:sz w:val="20"/>
                <w:szCs w:val="20"/>
              </w:rPr>
              <w:t>PM8</w:t>
            </w:r>
          </w:p>
        </w:tc>
        <w:tc>
          <w:tcPr>
            <w:tcW w:w="2190" w:type="pct"/>
          </w:tcPr>
          <w:p w14:paraId="453B4B22" w14:textId="77777777" w:rsidR="00330797" w:rsidRPr="00E354E3" w:rsidRDefault="00330797" w:rsidP="00330797">
            <w:pPr>
              <w:spacing w:after="0"/>
              <w:rPr>
                <w:noProof/>
                <w:sz w:val="20"/>
                <w:szCs w:val="20"/>
              </w:rPr>
            </w:pPr>
            <w:r w:rsidRPr="00E354E3">
              <w:rPr>
                <w:noProof/>
                <w:sz w:val="20"/>
                <w:szCs w:val="20"/>
              </w:rPr>
              <w:t>One-off administrative cost of preparing the application under calls for proposals (est. 20 applications every two years)</w:t>
            </w:r>
          </w:p>
        </w:tc>
        <w:tc>
          <w:tcPr>
            <w:tcW w:w="948" w:type="pct"/>
            <w:vAlign w:val="center"/>
          </w:tcPr>
          <w:p w14:paraId="0EBE30E5" w14:textId="77777777" w:rsidR="00330797" w:rsidRPr="00D74DE5" w:rsidRDefault="00330797" w:rsidP="00022927">
            <w:pPr>
              <w:spacing w:after="0"/>
              <w:jc w:val="left"/>
              <w:rPr>
                <w:noProof/>
                <w:sz w:val="20"/>
                <w:szCs w:val="20"/>
              </w:rPr>
            </w:pPr>
            <w:r w:rsidRPr="00D74DE5">
              <w:rPr>
                <w:noProof/>
                <w:sz w:val="20"/>
                <w:szCs w:val="20"/>
              </w:rPr>
              <w:t>Data centre operators</w:t>
            </w:r>
          </w:p>
        </w:tc>
        <w:tc>
          <w:tcPr>
            <w:tcW w:w="1150" w:type="pct"/>
            <w:vAlign w:val="center"/>
          </w:tcPr>
          <w:p w14:paraId="316676FE" w14:textId="73D489CE" w:rsidR="00330797" w:rsidRPr="00D74DE5" w:rsidRDefault="00330797" w:rsidP="00330797">
            <w:pPr>
              <w:spacing w:after="0"/>
              <w:jc w:val="right"/>
              <w:rPr>
                <w:noProof/>
                <w:sz w:val="20"/>
                <w:szCs w:val="20"/>
              </w:rPr>
            </w:pPr>
            <w:r w:rsidRPr="00D74DE5">
              <w:rPr>
                <w:noProof/>
                <w:sz w:val="20"/>
                <w:szCs w:val="20"/>
              </w:rPr>
              <w:t xml:space="preserve"> </w:t>
            </w:r>
            <w:r w:rsidR="005444E5">
              <w:rPr>
                <w:noProof/>
                <w:sz w:val="20"/>
                <w:szCs w:val="20"/>
              </w:rPr>
              <w:t>EUR</w:t>
            </w:r>
            <w:r w:rsidR="005444E5" w:rsidRPr="00D74DE5">
              <w:rPr>
                <w:noProof/>
                <w:sz w:val="20"/>
                <w:szCs w:val="20"/>
              </w:rPr>
              <w:t xml:space="preserve"> </w:t>
            </w:r>
            <w:r w:rsidR="005444E5">
              <w:rPr>
                <w:noProof/>
                <w:sz w:val="20"/>
                <w:szCs w:val="20"/>
              </w:rPr>
              <w:t>0.7 – 1.6 m</w:t>
            </w:r>
          </w:p>
        </w:tc>
      </w:tr>
      <w:tr w:rsidR="00330797" w:rsidRPr="00D74DE5" w14:paraId="07B44DE5" w14:textId="77777777" w:rsidTr="00022927">
        <w:tc>
          <w:tcPr>
            <w:tcW w:w="712" w:type="pct"/>
            <w:shd w:val="clear" w:color="auto" w:fill="DBE5F1" w:themeFill="accent1" w:themeFillTint="33"/>
          </w:tcPr>
          <w:p w14:paraId="008438C0" w14:textId="77777777" w:rsidR="00330797" w:rsidRPr="00D74DE5" w:rsidRDefault="00330797" w:rsidP="00330797">
            <w:pPr>
              <w:spacing w:after="0"/>
              <w:rPr>
                <w:noProof/>
                <w:sz w:val="20"/>
                <w:szCs w:val="20"/>
              </w:rPr>
            </w:pPr>
            <w:r w:rsidRPr="00D74DE5">
              <w:rPr>
                <w:noProof/>
                <w:sz w:val="20"/>
                <w:szCs w:val="20"/>
              </w:rPr>
              <w:t>PM9</w:t>
            </w:r>
          </w:p>
        </w:tc>
        <w:tc>
          <w:tcPr>
            <w:tcW w:w="2190" w:type="pct"/>
          </w:tcPr>
          <w:p w14:paraId="6B81D139" w14:textId="77777777" w:rsidR="00330797" w:rsidRPr="00E354E3" w:rsidRDefault="00330797" w:rsidP="00330797">
            <w:pPr>
              <w:spacing w:after="0"/>
              <w:rPr>
                <w:noProof/>
                <w:sz w:val="20"/>
                <w:szCs w:val="20"/>
              </w:rPr>
            </w:pPr>
            <w:r w:rsidRPr="00E354E3">
              <w:rPr>
                <w:noProof/>
                <w:sz w:val="20"/>
                <w:szCs w:val="20"/>
              </w:rPr>
              <w:t>One-off administrative cost of preparing the application under calls for proposals (est. 15 proposals every two years)</w:t>
            </w:r>
          </w:p>
        </w:tc>
        <w:tc>
          <w:tcPr>
            <w:tcW w:w="948" w:type="pct"/>
            <w:vAlign w:val="center"/>
          </w:tcPr>
          <w:p w14:paraId="6E446FBE" w14:textId="77777777" w:rsidR="00330797" w:rsidRPr="00D74DE5" w:rsidRDefault="00330797" w:rsidP="00022927">
            <w:pPr>
              <w:spacing w:after="0"/>
              <w:jc w:val="left"/>
              <w:rPr>
                <w:noProof/>
                <w:sz w:val="20"/>
                <w:szCs w:val="20"/>
              </w:rPr>
            </w:pPr>
            <w:r w:rsidRPr="00D74DE5">
              <w:rPr>
                <w:noProof/>
                <w:sz w:val="20"/>
                <w:szCs w:val="20"/>
              </w:rPr>
              <w:t>Data centre operators</w:t>
            </w:r>
          </w:p>
        </w:tc>
        <w:tc>
          <w:tcPr>
            <w:tcW w:w="1150" w:type="pct"/>
            <w:vAlign w:val="center"/>
          </w:tcPr>
          <w:p w14:paraId="527FB0F3" w14:textId="6B7D8BE6" w:rsidR="00330797" w:rsidRPr="00D74DE5" w:rsidRDefault="005A3267" w:rsidP="00330797">
            <w:pPr>
              <w:spacing w:after="0"/>
              <w:jc w:val="right"/>
              <w:rPr>
                <w:noProof/>
                <w:sz w:val="20"/>
                <w:szCs w:val="20"/>
              </w:rPr>
            </w:pPr>
            <w:r>
              <w:rPr>
                <w:noProof/>
                <w:sz w:val="20"/>
                <w:szCs w:val="20"/>
              </w:rPr>
              <w:t>EUR</w:t>
            </w:r>
            <w:r w:rsidRPr="00D74DE5">
              <w:rPr>
                <w:noProof/>
                <w:sz w:val="20"/>
                <w:szCs w:val="20"/>
              </w:rPr>
              <w:t xml:space="preserve"> </w:t>
            </w:r>
            <w:r>
              <w:rPr>
                <w:noProof/>
                <w:sz w:val="20"/>
                <w:szCs w:val="20"/>
              </w:rPr>
              <w:t>0.4 – 1.2 m</w:t>
            </w:r>
          </w:p>
        </w:tc>
      </w:tr>
      <w:tr w:rsidR="00553253" w:rsidRPr="00D74DE5" w14:paraId="2E351F9D" w14:textId="77777777" w:rsidTr="00022927">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EB07A8" w14:textId="7379DD03" w:rsidR="00553253" w:rsidRPr="004E6C42" w:rsidRDefault="001001BE" w:rsidP="00330797">
            <w:pPr>
              <w:spacing w:after="0"/>
              <w:rPr>
                <w:noProof/>
                <w:sz w:val="20"/>
                <w:szCs w:val="20"/>
              </w:rPr>
            </w:pPr>
            <w:r>
              <w:rPr>
                <w:noProof/>
                <w:sz w:val="20"/>
                <w:szCs w:val="20"/>
              </w:rPr>
              <w:t>PO2-C PM19</w:t>
            </w:r>
          </w:p>
        </w:tc>
        <w:tc>
          <w:tcPr>
            <w:tcW w:w="2190" w:type="pct"/>
            <w:tcBorders>
              <w:top w:val="single" w:sz="4" w:space="0" w:color="auto"/>
              <w:left w:val="single" w:sz="4" w:space="0" w:color="auto"/>
              <w:bottom w:val="single" w:sz="4" w:space="0" w:color="auto"/>
              <w:right w:val="single" w:sz="4" w:space="0" w:color="auto"/>
            </w:tcBorders>
          </w:tcPr>
          <w:p w14:paraId="599198C3" w14:textId="77A6FD3B" w:rsidR="00553253" w:rsidRPr="00E354E3" w:rsidRDefault="001001BE" w:rsidP="00330797">
            <w:pPr>
              <w:spacing w:after="0"/>
              <w:rPr>
                <w:noProof/>
                <w:sz w:val="20"/>
                <w:szCs w:val="20"/>
              </w:rPr>
            </w:pPr>
            <w:r>
              <w:rPr>
                <w:noProof/>
                <w:sz w:val="20"/>
                <w:szCs w:val="20"/>
              </w:rPr>
              <w:t>Recurrent administrative costs of adapting the offers to the new criteria</w:t>
            </w:r>
          </w:p>
        </w:tc>
        <w:tc>
          <w:tcPr>
            <w:tcW w:w="948" w:type="pct"/>
            <w:tcBorders>
              <w:top w:val="single" w:sz="4" w:space="0" w:color="auto"/>
              <w:left w:val="single" w:sz="4" w:space="0" w:color="auto"/>
              <w:bottom w:val="single" w:sz="4" w:space="0" w:color="auto"/>
              <w:right w:val="single" w:sz="4" w:space="0" w:color="auto"/>
            </w:tcBorders>
            <w:vAlign w:val="center"/>
          </w:tcPr>
          <w:p w14:paraId="419E5DC9" w14:textId="6356CDD0" w:rsidR="00553253" w:rsidRPr="00D74DE5" w:rsidRDefault="001001BE" w:rsidP="00022927">
            <w:pPr>
              <w:spacing w:after="0"/>
              <w:jc w:val="left"/>
              <w:rPr>
                <w:noProof/>
                <w:sz w:val="20"/>
                <w:szCs w:val="20"/>
              </w:rPr>
            </w:pPr>
            <w:r w:rsidRPr="00D74DE5">
              <w:rPr>
                <w:noProof/>
                <w:sz w:val="20"/>
                <w:szCs w:val="20"/>
              </w:rPr>
              <w:t>Cloud and AI service providers</w:t>
            </w:r>
          </w:p>
        </w:tc>
        <w:tc>
          <w:tcPr>
            <w:tcW w:w="1150" w:type="pct"/>
            <w:tcBorders>
              <w:top w:val="single" w:sz="4" w:space="0" w:color="auto"/>
              <w:left w:val="single" w:sz="4" w:space="0" w:color="auto"/>
              <w:bottom w:val="single" w:sz="4" w:space="0" w:color="auto"/>
              <w:right w:val="single" w:sz="4" w:space="0" w:color="auto"/>
            </w:tcBorders>
            <w:vAlign w:val="center"/>
          </w:tcPr>
          <w:p w14:paraId="7380C5E7" w14:textId="2D8A3994" w:rsidR="00553253" w:rsidRPr="00CB4C6D" w:rsidRDefault="001001BE" w:rsidP="00330797">
            <w:pPr>
              <w:spacing w:after="0"/>
              <w:jc w:val="right"/>
              <w:rPr>
                <w:noProof/>
                <w:sz w:val="20"/>
                <w:szCs w:val="20"/>
              </w:rPr>
            </w:pPr>
            <w:r>
              <w:rPr>
                <w:noProof/>
                <w:sz w:val="20"/>
                <w:szCs w:val="20"/>
              </w:rPr>
              <w:t xml:space="preserve">EUR </w:t>
            </w:r>
            <w:r w:rsidR="00D823C7">
              <w:rPr>
                <w:noProof/>
                <w:sz w:val="20"/>
                <w:szCs w:val="20"/>
              </w:rPr>
              <w:t>1</w:t>
            </w:r>
            <w:r w:rsidR="00617B9C">
              <w:rPr>
                <w:noProof/>
                <w:sz w:val="20"/>
                <w:szCs w:val="20"/>
              </w:rPr>
              <w:t>3</w:t>
            </w:r>
            <w:r w:rsidR="00BA528D">
              <w:rPr>
                <w:noProof/>
                <w:sz w:val="20"/>
                <w:szCs w:val="20"/>
              </w:rPr>
              <w:t>.</w:t>
            </w:r>
            <w:r w:rsidR="00617B9C">
              <w:rPr>
                <w:noProof/>
                <w:sz w:val="20"/>
                <w:szCs w:val="20"/>
              </w:rPr>
              <w:t>6</w:t>
            </w:r>
            <w:r w:rsidR="00226847">
              <w:rPr>
                <w:noProof/>
                <w:sz w:val="20"/>
                <w:szCs w:val="20"/>
              </w:rPr>
              <w:t xml:space="preserve"> – </w:t>
            </w:r>
            <w:r w:rsidR="0018240D">
              <w:rPr>
                <w:noProof/>
                <w:sz w:val="20"/>
                <w:szCs w:val="20"/>
              </w:rPr>
              <w:t>96.4</w:t>
            </w:r>
            <w:r w:rsidR="000D1269">
              <w:rPr>
                <w:noProof/>
                <w:sz w:val="20"/>
                <w:szCs w:val="20"/>
              </w:rPr>
              <w:t xml:space="preserve"> m</w:t>
            </w:r>
          </w:p>
        </w:tc>
      </w:tr>
      <w:tr w:rsidR="005103D3" w:rsidRPr="00D74DE5" w14:paraId="72C36EA9" w14:textId="77777777" w:rsidTr="0042496B">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E0168D" w14:textId="63C30E93" w:rsidR="005103D3" w:rsidRPr="004E6C42" w:rsidRDefault="005103D3" w:rsidP="005103D3">
            <w:pPr>
              <w:spacing w:after="0"/>
              <w:rPr>
                <w:noProof/>
                <w:sz w:val="20"/>
                <w:szCs w:val="20"/>
              </w:rPr>
            </w:pPr>
            <w:r w:rsidRPr="00A47B22">
              <w:rPr>
                <w:noProof/>
                <w:sz w:val="20"/>
                <w:szCs w:val="20"/>
              </w:rPr>
              <w:t>PO2-C PM21</w:t>
            </w:r>
          </w:p>
        </w:tc>
        <w:tc>
          <w:tcPr>
            <w:tcW w:w="2190" w:type="pct"/>
            <w:tcBorders>
              <w:top w:val="single" w:sz="4" w:space="0" w:color="auto"/>
              <w:left w:val="single" w:sz="4" w:space="0" w:color="auto"/>
              <w:bottom w:val="single" w:sz="4" w:space="0" w:color="auto"/>
              <w:right w:val="single" w:sz="4" w:space="0" w:color="auto"/>
            </w:tcBorders>
          </w:tcPr>
          <w:p w14:paraId="2ECDD1CD" w14:textId="7EDC5DE5" w:rsidR="005103D3" w:rsidRPr="00E354E3" w:rsidRDefault="005103D3" w:rsidP="005103D3">
            <w:pPr>
              <w:spacing w:after="0"/>
              <w:rPr>
                <w:noProof/>
                <w:sz w:val="20"/>
                <w:szCs w:val="20"/>
              </w:rPr>
            </w:pPr>
            <w:r>
              <w:rPr>
                <w:noProof/>
                <w:sz w:val="20"/>
                <w:szCs w:val="20"/>
              </w:rPr>
              <w:t>Recurrent administrative costs for new audits at assurance level 2 - 4</w:t>
            </w:r>
          </w:p>
        </w:tc>
        <w:tc>
          <w:tcPr>
            <w:tcW w:w="948" w:type="pct"/>
            <w:tcBorders>
              <w:top w:val="single" w:sz="4" w:space="0" w:color="auto"/>
              <w:left w:val="single" w:sz="4" w:space="0" w:color="auto"/>
              <w:bottom w:val="single" w:sz="4" w:space="0" w:color="auto"/>
              <w:right w:val="single" w:sz="4" w:space="0" w:color="auto"/>
            </w:tcBorders>
          </w:tcPr>
          <w:p w14:paraId="28F67041" w14:textId="499BC5A5" w:rsidR="005103D3" w:rsidRPr="00D74DE5" w:rsidRDefault="00622704" w:rsidP="005103D3">
            <w:pPr>
              <w:spacing w:after="0"/>
              <w:jc w:val="left"/>
              <w:rPr>
                <w:noProof/>
                <w:sz w:val="20"/>
                <w:szCs w:val="20"/>
              </w:rPr>
            </w:pPr>
            <w:r>
              <w:rPr>
                <w:noProof/>
                <w:sz w:val="20"/>
                <w:szCs w:val="20"/>
              </w:rPr>
              <w:t xml:space="preserve"> Private sector (independent auditors)</w:t>
            </w:r>
          </w:p>
        </w:tc>
        <w:tc>
          <w:tcPr>
            <w:tcW w:w="1150" w:type="pct"/>
            <w:tcBorders>
              <w:top w:val="single" w:sz="4" w:space="0" w:color="auto"/>
              <w:left w:val="single" w:sz="4" w:space="0" w:color="auto"/>
              <w:bottom w:val="single" w:sz="4" w:space="0" w:color="auto"/>
              <w:right w:val="single" w:sz="4" w:space="0" w:color="auto"/>
            </w:tcBorders>
            <w:vAlign w:val="center"/>
          </w:tcPr>
          <w:p w14:paraId="113D2BBB" w14:textId="10A7850E" w:rsidR="005103D3" w:rsidRPr="00CB4C6D" w:rsidRDefault="005103D3" w:rsidP="005103D3">
            <w:pPr>
              <w:spacing w:after="0"/>
              <w:jc w:val="right"/>
              <w:rPr>
                <w:noProof/>
                <w:sz w:val="20"/>
                <w:szCs w:val="20"/>
              </w:rPr>
            </w:pPr>
            <w:r>
              <w:rPr>
                <w:noProof/>
                <w:sz w:val="20"/>
                <w:szCs w:val="20"/>
              </w:rPr>
              <w:t>EUR 4.</w:t>
            </w:r>
            <w:r w:rsidR="006D36C3">
              <w:rPr>
                <w:noProof/>
                <w:sz w:val="20"/>
                <w:szCs w:val="20"/>
              </w:rPr>
              <w:t>4</w:t>
            </w:r>
            <w:r>
              <w:rPr>
                <w:noProof/>
                <w:sz w:val="20"/>
                <w:szCs w:val="20"/>
              </w:rPr>
              <w:t xml:space="preserve"> – 4.</w:t>
            </w:r>
            <w:r w:rsidR="006D36C3">
              <w:rPr>
                <w:noProof/>
                <w:sz w:val="20"/>
                <w:szCs w:val="20"/>
              </w:rPr>
              <w:t>4</w:t>
            </w:r>
            <w:r w:rsidR="000D1269">
              <w:rPr>
                <w:noProof/>
                <w:sz w:val="20"/>
                <w:szCs w:val="20"/>
              </w:rPr>
              <w:t xml:space="preserve"> m</w:t>
            </w:r>
          </w:p>
        </w:tc>
      </w:tr>
      <w:tr w:rsidR="005103D3" w:rsidRPr="00D74DE5" w14:paraId="788C56E0" w14:textId="77777777" w:rsidTr="0042496B">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496812" w14:textId="4D131583" w:rsidR="005103D3" w:rsidRPr="004E6C42" w:rsidRDefault="005103D3" w:rsidP="005103D3">
            <w:pPr>
              <w:spacing w:after="0"/>
              <w:rPr>
                <w:noProof/>
                <w:sz w:val="20"/>
                <w:szCs w:val="20"/>
              </w:rPr>
            </w:pPr>
            <w:r w:rsidRPr="00A47B22">
              <w:rPr>
                <w:noProof/>
                <w:sz w:val="20"/>
                <w:szCs w:val="20"/>
              </w:rPr>
              <w:t>PO2-C PM21</w:t>
            </w:r>
          </w:p>
        </w:tc>
        <w:tc>
          <w:tcPr>
            <w:tcW w:w="2190" w:type="pct"/>
            <w:tcBorders>
              <w:top w:val="single" w:sz="4" w:space="0" w:color="auto"/>
              <w:left w:val="single" w:sz="4" w:space="0" w:color="auto"/>
              <w:bottom w:val="single" w:sz="4" w:space="0" w:color="auto"/>
              <w:right w:val="single" w:sz="4" w:space="0" w:color="auto"/>
            </w:tcBorders>
          </w:tcPr>
          <w:p w14:paraId="062A5954" w14:textId="333EA4D9" w:rsidR="005103D3" w:rsidRPr="00E354E3" w:rsidRDefault="005103D3" w:rsidP="005103D3">
            <w:pPr>
              <w:spacing w:after="0"/>
              <w:rPr>
                <w:noProof/>
                <w:sz w:val="20"/>
                <w:szCs w:val="20"/>
              </w:rPr>
            </w:pPr>
            <w:r>
              <w:rPr>
                <w:noProof/>
                <w:sz w:val="20"/>
                <w:szCs w:val="20"/>
              </w:rPr>
              <w:t>Recurrent administrative costs for audit renewals at assurance level 2 - 4</w:t>
            </w:r>
          </w:p>
        </w:tc>
        <w:tc>
          <w:tcPr>
            <w:tcW w:w="948" w:type="pct"/>
            <w:tcBorders>
              <w:top w:val="single" w:sz="4" w:space="0" w:color="auto"/>
              <w:left w:val="single" w:sz="4" w:space="0" w:color="auto"/>
              <w:bottom w:val="single" w:sz="4" w:space="0" w:color="auto"/>
              <w:right w:val="single" w:sz="4" w:space="0" w:color="auto"/>
            </w:tcBorders>
          </w:tcPr>
          <w:p w14:paraId="21B19660" w14:textId="536A526E" w:rsidR="005103D3" w:rsidRPr="00D74DE5" w:rsidRDefault="00622704" w:rsidP="005103D3">
            <w:pPr>
              <w:spacing w:after="0"/>
              <w:jc w:val="left"/>
              <w:rPr>
                <w:noProof/>
                <w:sz w:val="20"/>
                <w:szCs w:val="20"/>
              </w:rPr>
            </w:pPr>
            <w:r>
              <w:rPr>
                <w:noProof/>
                <w:sz w:val="20"/>
                <w:szCs w:val="20"/>
              </w:rPr>
              <w:t>Private sector (independent auditors)</w:t>
            </w:r>
          </w:p>
        </w:tc>
        <w:tc>
          <w:tcPr>
            <w:tcW w:w="1150" w:type="pct"/>
            <w:tcBorders>
              <w:top w:val="single" w:sz="4" w:space="0" w:color="auto"/>
              <w:left w:val="single" w:sz="4" w:space="0" w:color="auto"/>
              <w:bottom w:val="single" w:sz="4" w:space="0" w:color="auto"/>
              <w:right w:val="single" w:sz="4" w:space="0" w:color="auto"/>
            </w:tcBorders>
            <w:vAlign w:val="center"/>
          </w:tcPr>
          <w:p w14:paraId="34E2B6D2" w14:textId="64914BD0" w:rsidR="005103D3" w:rsidRPr="00CB4C6D" w:rsidRDefault="000D1269" w:rsidP="005103D3">
            <w:pPr>
              <w:spacing w:after="0"/>
              <w:jc w:val="right"/>
              <w:rPr>
                <w:noProof/>
                <w:sz w:val="20"/>
                <w:szCs w:val="20"/>
              </w:rPr>
            </w:pPr>
            <w:r>
              <w:rPr>
                <w:noProof/>
                <w:sz w:val="20"/>
                <w:szCs w:val="20"/>
              </w:rPr>
              <w:t xml:space="preserve">EUR </w:t>
            </w:r>
            <w:r w:rsidR="006D36C3">
              <w:rPr>
                <w:noProof/>
                <w:sz w:val="20"/>
                <w:szCs w:val="20"/>
              </w:rPr>
              <w:t>7</w:t>
            </w:r>
            <w:r>
              <w:rPr>
                <w:noProof/>
                <w:sz w:val="20"/>
                <w:szCs w:val="20"/>
              </w:rPr>
              <w:t xml:space="preserve"> – </w:t>
            </w:r>
            <w:r w:rsidR="006D36C3">
              <w:rPr>
                <w:noProof/>
                <w:sz w:val="20"/>
                <w:szCs w:val="20"/>
              </w:rPr>
              <w:t>7</w:t>
            </w:r>
            <w:r>
              <w:rPr>
                <w:noProof/>
                <w:sz w:val="20"/>
                <w:szCs w:val="20"/>
              </w:rPr>
              <w:t xml:space="preserve"> m</w:t>
            </w:r>
          </w:p>
        </w:tc>
      </w:tr>
      <w:tr w:rsidR="00330797" w:rsidRPr="00D74DE5" w14:paraId="29442498" w14:textId="77777777" w:rsidTr="00022927">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1D0815" w14:textId="77777777" w:rsidR="00330797" w:rsidRPr="004E6C42" w:rsidRDefault="00330797" w:rsidP="00330797">
            <w:pPr>
              <w:spacing w:after="0"/>
              <w:rPr>
                <w:noProof/>
                <w:sz w:val="20"/>
                <w:szCs w:val="20"/>
              </w:rPr>
            </w:pPr>
            <w:r w:rsidRPr="004E6C42">
              <w:rPr>
                <w:noProof/>
                <w:sz w:val="20"/>
                <w:szCs w:val="20"/>
              </w:rPr>
              <w:t>PO2-C PM21</w:t>
            </w:r>
          </w:p>
        </w:tc>
        <w:tc>
          <w:tcPr>
            <w:tcW w:w="2190" w:type="pct"/>
            <w:tcBorders>
              <w:top w:val="single" w:sz="4" w:space="0" w:color="auto"/>
              <w:left w:val="single" w:sz="4" w:space="0" w:color="auto"/>
              <w:bottom w:val="single" w:sz="4" w:space="0" w:color="auto"/>
              <w:right w:val="single" w:sz="4" w:space="0" w:color="auto"/>
            </w:tcBorders>
          </w:tcPr>
          <w:p w14:paraId="13CBE8D2" w14:textId="37B7E1EC" w:rsidR="00330797" w:rsidRPr="00E354E3" w:rsidRDefault="00E447E1" w:rsidP="00330797">
            <w:pPr>
              <w:spacing w:after="0"/>
              <w:rPr>
                <w:noProof/>
                <w:sz w:val="20"/>
                <w:szCs w:val="20"/>
              </w:rPr>
            </w:pPr>
            <w:r w:rsidRPr="00E354E3">
              <w:rPr>
                <w:noProof/>
                <w:sz w:val="20"/>
                <w:szCs w:val="20"/>
              </w:rPr>
              <w:t>Recurrent</w:t>
            </w:r>
            <w:r w:rsidR="00330797" w:rsidRPr="00E354E3">
              <w:rPr>
                <w:noProof/>
                <w:sz w:val="20"/>
                <w:szCs w:val="20"/>
              </w:rPr>
              <w:t xml:space="preserve"> administrative costs of </w:t>
            </w:r>
            <w:r w:rsidR="009745BB">
              <w:rPr>
                <w:noProof/>
                <w:sz w:val="20"/>
                <w:szCs w:val="20"/>
              </w:rPr>
              <w:t>intermediate</w:t>
            </w:r>
            <w:r w:rsidR="009745BB" w:rsidRPr="00E354E3">
              <w:rPr>
                <w:noProof/>
                <w:sz w:val="20"/>
                <w:szCs w:val="20"/>
              </w:rPr>
              <w:t xml:space="preserve"> </w:t>
            </w:r>
            <w:r w:rsidR="009745BB">
              <w:rPr>
                <w:noProof/>
                <w:sz w:val="20"/>
                <w:szCs w:val="20"/>
              </w:rPr>
              <w:t>audits</w:t>
            </w:r>
            <w:r w:rsidR="00477F6D">
              <w:rPr>
                <w:noProof/>
                <w:sz w:val="20"/>
                <w:szCs w:val="20"/>
              </w:rPr>
              <w:t xml:space="preserve"> at assurance level 2 - 4</w:t>
            </w:r>
          </w:p>
        </w:tc>
        <w:tc>
          <w:tcPr>
            <w:tcW w:w="948" w:type="pct"/>
            <w:tcBorders>
              <w:top w:val="single" w:sz="4" w:space="0" w:color="auto"/>
              <w:left w:val="single" w:sz="4" w:space="0" w:color="auto"/>
              <w:bottom w:val="single" w:sz="4" w:space="0" w:color="auto"/>
              <w:right w:val="single" w:sz="4" w:space="0" w:color="auto"/>
            </w:tcBorders>
            <w:vAlign w:val="center"/>
          </w:tcPr>
          <w:p w14:paraId="10AF75F1" w14:textId="77777777" w:rsidR="00330797" w:rsidRPr="00D74DE5" w:rsidRDefault="00330797" w:rsidP="00022927">
            <w:pPr>
              <w:spacing w:after="0"/>
              <w:jc w:val="left"/>
              <w:rPr>
                <w:noProof/>
                <w:sz w:val="20"/>
                <w:szCs w:val="20"/>
              </w:rPr>
            </w:pPr>
            <w:r w:rsidRPr="00D74DE5">
              <w:rPr>
                <w:noProof/>
                <w:sz w:val="20"/>
                <w:szCs w:val="20"/>
              </w:rPr>
              <w:t>Cloud and AI service providers</w:t>
            </w:r>
          </w:p>
        </w:tc>
        <w:tc>
          <w:tcPr>
            <w:tcW w:w="1150" w:type="pct"/>
            <w:tcBorders>
              <w:top w:val="single" w:sz="4" w:space="0" w:color="auto"/>
              <w:left w:val="single" w:sz="4" w:space="0" w:color="auto"/>
              <w:bottom w:val="single" w:sz="4" w:space="0" w:color="auto"/>
              <w:right w:val="single" w:sz="4" w:space="0" w:color="auto"/>
            </w:tcBorders>
            <w:vAlign w:val="center"/>
          </w:tcPr>
          <w:p w14:paraId="364C5420" w14:textId="158180E5" w:rsidR="00330797" w:rsidRPr="0008315F" w:rsidRDefault="007F38E6" w:rsidP="00330797">
            <w:pPr>
              <w:spacing w:after="0"/>
              <w:jc w:val="right"/>
              <w:rPr>
                <w:noProof/>
                <w:sz w:val="20"/>
                <w:szCs w:val="20"/>
                <w:highlight w:val="yellow"/>
              </w:rPr>
            </w:pPr>
            <w:r w:rsidRPr="00CB4C6D">
              <w:rPr>
                <w:noProof/>
                <w:sz w:val="20"/>
                <w:szCs w:val="20"/>
              </w:rPr>
              <w:t xml:space="preserve">EUR 53.9 – </w:t>
            </w:r>
            <w:r w:rsidR="004E6C42" w:rsidRPr="00CB4C6D">
              <w:rPr>
                <w:noProof/>
                <w:sz w:val="20"/>
                <w:szCs w:val="20"/>
              </w:rPr>
              <w:t>134.8</w:t>
            </w:r>
            <w:r w:rsidRPr="00CB4C6D">
              <w:rPr>
                <w:noProof/>
                <w:sz w:val="20"/>
                <w:szCs w:val="20"/>
              </w:rPr>
              <w:t xml:space="preserve"> m</w:t>
            </w:r>
          </w:p>
        </w:tc>
      </w:tr>
      <w:tr w:rsidR="00FA5040" w:rsidRPr="00D74DE5" w14:paraId="294425BB" w14:textId="77777777" w:rsidTr="00022927">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D8A54F" w14:textId="29723971" w:rsidR="00FA5040" w:rsidRPr="0071147E" w:rsidRDefault="00FA5040" w:rsidP="00FA5040">
            <w:pPr>
              <w:spacing w:after="0"/>
              <w:rPr>
                <w:noProof/>
                <w:sz w:val="20"/>
                <w:szCs w:val="20"/>
                <w:highlight w:val="yellow"/>
              </w:rPr>
            </w:pPr>
            <w:r w:rsidRPr="008B5ED3">
              <w:rPr>
                <w:noProof/>
                <w:sz w:val="20"/>
                <w:szCs w:val="20"/>
              </w:rPr>
              <w:t>PO2-C PM21</w:t>
            </w:r>
          </w:p>
        </w:tc>
        <w:tc>
          <w:tcPr>
            <w:tcW w:w="2190" w:type="pct"/>
            <w:tcBorders>
              <w:top w:val="single" w:sz="4" w:space="0" w:color="auto"/>
              <w:left w:val="single" w:sz="4" w:space="0" w:color="auto"/>
              <w:bottom w:val="single" w:sz="4" w:space="0" w:color="auto"/>
              <w:right w:val="single" w:sz="4" w:space="0" w:color="auto"/>
            </w:tcBorders>
          </w:tcPr>
          <w:p w14:paraId="764A8AD5" w14:textId="37485BD3" w:rsidR="00FA5040" w:rsidRPr="00E354E3" w:rsidRDefault="00FA5040" w:rsidP="00FA5040">
            <w:pPr>
              <w:spacing w:after="0"/>
              <w:rPr>
                <w:noProof/>
                <w:sz w:val="20"/>
                <w:szCs w:val="20"/>
              </w:rPr>
            </w:pPr>
            <w:r w:rsidRPr="00E354E3">
              <w:rPr>
                <w:noProof/>
                <w:sz w:val="20"/>
                <w:szCs w:val="20"/>
              </w:rPr>
              <w:t>Recurrent administrative burden for private sector entities under NIS 2 Annex 1 to address non-technical risks</w:t>
            </w:r>
          </w:p>
        </w:tc>
        <w:tc>
          <w:tcPr>
            <w:tcW w:w="948" w:type="pct"/>
            <w:tcBorders>
              <w:top w:val="single" w:sz="4" w:space="0" w:color="auto"/>
              <w:left w:val="single" w:sz="4" w:space="0" w:color="auto"/>
              <w:bottom w:val="single" w:sz="4" w:space="0" w:color="auto"/>
              <w:right w:val="single" w:sz="4" w:space="0" w:color="auto"/>
            </w:tcBorders>
            <w:vAlign w:val="center"/>
          </w:tcPr>
          <w:p w14:paraId="24BD03FE" w14:textId="34493B3E" w:rsidR="00FA5040" w:rsidRPr="00D74DE5" w:rsidRDefault="00FA5040" w:rsidP="00022927">
            <w:pPr>
              <w:spacing w:after="0"/>
              <w:jc w:val="left"/>
              <w:rPr>
                <w:noProof/>
                <w:sz w:val="20"/>
                <w:szCs w:val="20"/>
              </w:rPr>
            </w:pPr>
            <w:r>
              <w:rPr>
                <w:noProof/>
                <w:sz w:val="20"/>
                <w:szCs w:val="20"/>
              </w:rPr>
              <w:t>Private sector entities</w:t>
            </w:r>
            <w:r w:rsidR="00844939">
              <w:rPr>
                <w:noProof/>
                <w:sz w:val="20"/>
                <w:szCs w:val="20"/>
              </w:rPr>
              <w:t xml:space="preserve"> </w:t>
            </w:r>
            <w:r w:rsidR="00844939" w:rsidRPr="00844939">
              <w:rPr>
                <w:noProof/>
                <w:sz w:val="20"/>
                <w:szCs w:val="20"/>
              </w:rPr>
              <w:t>operating in sectors listed under Annex I of NIS2</w:t>
            </w:r>
          </w:p>
        </w:tc>
        <w:tc>
          <w:tcPr>
            <w:tcW w:w="1150" w:type="pct"/>
            <w:tcBorders>
              <w:top w:val="single" w:sz="4" w:space="0" w:color="auto"/>
              <w:left w:val="single" w:sz="4" w:space="0" w:color="auto"/>
              <w:bottom w:val="single" w:sz="4" w:space="0" w:color="auto"/>
              <w:right w:val="single" w:sz="4" w:space="0" w:color="auto"/>
            </w:tcBorders>
            <w:vAlign w:val="center"/>
          </w:tcPr>
          <w:p w14:paraId="024EEF6F" w14:textId="4C1C1B8E" w:rsidR="00FA5040" w:rsidRPr="0008315F" w:rsidRDefault="00A43386" w:rsidP="00FA5040">
            <w:pPr>
              <w:spacing w:after="0"/>
              <w:jc w:val="right"/>
              <w:rPr>
                <w:noProof/>
                <w:sz w:val="20"/>
                <w:szCs w:val="20"/>
                <w:highlight w:val="yellow"/>
              </w:rPr>
            </w:pPr>
            <w:r w:rsidRPr="00EF12E2">
              <w:rPr>
                <w:noProof/>
                <w:sz w:val="20"/>
                <w:szCs w:val="20"/>
              </w:rPr>
              <w:t xml:space="preserve">EUR </w:t>
            </w:r>
            <w:r w:rsidR="005771B4" w:rsidRPr="00EF12E2">
              <w:rPr>
                <w:noProof/>
                <w:sz w:val="20"/>
                <w:szCs w:val="20"/>
              </w:rPr>
              <w:t>48</w:t>
            </w:r>
            <w:r w:rsidR="00804801">
              <w:rPr>
                <w:noProof/>
                <w:sz w:val="20"/>
                <w:szCs w:val="20"/>
              </w:rPr>
              <w:t>0</w:t>
            </w:r>
            <w:r w:rsidRPr="00EF12E2">
              <w:rPr>
                <w:noProof/>
                <w:sz w:val="20"/>
                <w:szCs w:val="20"/>
              </w:rPr>
              <w:t xml:space="preserve">– </w:t>
            </w:r>
            <w:r w:rsidR="0025084E" w:rsidRPr="00EF12E2">
              <w:rPr>
                <w:noProof/>
                <w:sz w:val="20"/>
                <w:szCs w:val="20"/>
              </w:rPr>
              <w:t>2 62</w:t>
            </w:r>
            <w:r w:rsidR="00311C28">
              <w:rPr>
                <w:noProof/>
                <w:sz w:val="20"/>
                <w:szCs w:val="20"/>
              </w:rPr>
              <w:t>0</w:t>
            </w:r>
            <w:r w:rsidR="0025084E" w:rsidRPr="00EF12E2">
              <w:rPr>
                <w:noProof/>
                <w:sz w:val="20"/>
                <w:szCs w:val="20"/>
              </w:rPr>
              <w:t xml:space="preserve"> </w:t>
            </w:r>
            <w:r w:rsidRPr="00EF12E2">
              <w:rPr>
                <w:noProof/>
                <w:sz w:val="20"/>
                <w:szCs w:val="20"/>
              </w:rPr>
              <w:t>m</w:t>
            </w:r>
          </w:p>
        </w:tc>
      </w:tr>
      <w:tr w:rsidR="00FA5040" w:rsidRPr="00D74DE5" w14:paraId="3892B3C0" w14:textId="77777777" w:rsidTr="00022927">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B9FAD4" w14:textId="77777777" w:rsidR="00FA5040" w:rsidRPr="00167B4D" w:rsidRDefault="00FA5040" w:rsidP="00FA5040">
            <w:pPr>
              <w:spacing w:after="0"/>
              <w:rPr>
                <w:noProof/>
                <w:sz w:val="20"/>
                <w:szCs w:val="20"/>
              </w:rPr>
            </w:pPr>
            <w:r w:rsidRPr="00167B4D">
              <w:rPr>
                <w:noProof/>
                <w:sz w:val="20"/>
                <w:szCs w:val="20"/>
              </w:rPr>
              <w:t>PO2-C PM21</w:t>
            </w:r>
          </w:p>
        </w:tc>
        <w:tc>
          <w:tcPr>
            <w:tcW w:w="2190" w:type="pct"/>
            <w:tcBorders>
              <w:top w:val="single" w:sz="4" w:space="0" w:color="auto"/>
              <w:left w:val="single" w:sz="4" w:space="0" w:color="auto"/>
              <w:bottom w:val="single" w:sz="4" w:space="0" w:color="auto"/>
              <w:right w:val="single" w:sz="4" w:space="0" w:color="auto"/>
            </w:tcBorders>
          </w:tcPr>
          <w:p w14:paraId="00D8652C" w14:textId="77777777" w:rsidR="00FA5040" w:rsidRPr="00167B4D" w:rsidRDefault="00FA5040" w:rsidP="00FA5040">
            <w:pPr>
              <w:spacing w:after="0"/>
              <w:rPr>
                <w:noProof/>
                <w:sz w:val="20"/>
                <w:szCs w:val="20"/>
              </w:rPr>
            </w:pPr>
            <w:r w:rsidRPr="00167B4D">
              <w:rPr>
                <w:noProof/>
                <w:sz w:val="20"/>
                <w:szCs w:val="20"/>
              </w:rPr>
              <w:t xml:space="preserve">Recurrent administrative </w:t>
            </w:r>
            <w:r w:rsidRPr="003C4A76">
              <w:rPr>
                <w:b/>
                <w:bCs/>
                <w:noProof/>
                <w:sz w:val="20"/>
                <w:szCs w:val="20"/>
              </w:rPr>
              <w:t>cost savings</w:t>
            </w:r>
            <w:r w:rsidRPr="00167B4D">
              <w:rPr>
                <w:noProof/>
                <w:sz w:val="20"/>
                <w:szCs w:val="20"/>
              </w:rPr>
              <w:t xml:space="preserve"> in intermediate audits from doing it once for all 27 MS</w:t>
            </w:r>
          </w:p>
        </w:tc>
        <w:tc>
          <w:tcPr>
            <w:tcW w:w="948" w:type="pct"/>
            <w:tcBorders>
              <w:top w:val="single" w:sz="4" w:space="0" w:color="auto"/>
              <w:left w:val="single" w:sz="4" w:space="0" w:color="auto"/>
              <w:bottom w:val="single" w:sz="4" w:space="0" w:color="auto"/>
              <w:right w:val="single" w:sz="4" w:space="0" w:color="auto"/>
            </w:tcBorders>
            <w:vAlign w:val="center"/>
          </w:tcPr>
          <w:p w14:paraId="08ADE769" w14:textId="77777777" w:rsidR="00FA5040" w:rsidRPr="00D74DE5" w:rsidRDefault="00FA5040" w:rsidP="00022927">
            <w:pPr>
              <w:spacing w:after="0"/>
              <w:jc w:val="left"/>
              <w:rPr>
                <w:noProof/>
                <w:sz w:val="20"/>
                <w:szCs w:val="20"/>
              </w:rPr>
            </w:pPr>
            <w:r w:rsidRPr="00D74DE5">
              <w:rPr>
                <w:noProof/>
                <w:sz w:val="20"/>
                <w:szCs w:val="20"/>
              </w:rPr>
              <w:t xml:space="preserve">Cloud and AI service providers </w:t>
            </w:r>
          </w:p>
        </w:tc>
        <w:tc>
          <w:tcPr>
            <w:tcW w:w="1150" w:type="pct"/>
            <w:tcBorders>
              <w:top w:val="single" w:sz="4" w:space="0" w:color="auto"/>
              <w:left w:val="single" w:sz="4" w:space="0" w:color="auto"/>
              <w:bottom w:val="single" w:sz="4" w:space="0" w:color="auto"/>
              <w:right w:val="single" w:sz="4" w:space="0" w:color="auto"/>
            </w:tcBorders>
            <w:vAlign w:val="center"/>
          </w:tcPr>
          <w:p w14:paraId="129350E2" w14:textId="591086A7" w:rsidR="00FA5040" w:rsidRPr="0008315F" w:rsidRDefault="007F2798" w:rsidP="00FA5040">
            <w:pPr>
              <w:spacing w:after="0"/>
              <w:jc w:val="right"/>
              <w:rPr>
                <w:noProof/>
                <w:sz w:val="20"/>
                <w:szCs w:val="20"/>
                <w:highlight w:val="yellow"/>
              </w:rPr>
            </w:pPr>
            <w:r w:rsidRPr="000C6692">
              <w:rPr>
                <w:noProof/>
                <w:sz w:val="20"/>
                <w:szCs w:val="20"/>
              </w:rPr>
              <w:t xml:space="preserve">EUR 404.3 – 2 </w:t>
            </w:r>
            <w:r w:rsidR="00167B4D" w:rsidRPr="000C6692">
              <w:rPr>
                <w:noProof/>
                <w:sz w:val="20"/>
                <w:szCs w:val="20"/>
              </w:rPr>
              <w:t>021.4</w:t>
            </w:r>
            <w:r w:rsidRPr="000C6692">
              <w:rPr>
                <w:noProof/>
                <w:sz w:val="20"/>
                <w:szCs w:val="20"/>
              </w:rPr>
              <w:t xml:space="preserve"> m</w:t>
            </w:r>
          </w:p>
        </w:tc>
      </w:tr>
      <w:tr w:rsidR="00FA5040" w:rsidRPr="00D74DE5" w14:paraId="28E0C416" w14:textId="77777777" w:rsidTr="00022927">
        <w:tc>
          <w:tcPr>
            <w:tcW w:w="71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068D13" w14:textId="77777777" w:rsidR="00FA5040" w:rsidRPr="00D74DE5" w:rsidRDefault="00FA5040" w:rsidP="00FA5040">
            <w:pPr>
              <w:spacing w:after="0"/>
              <w:rPr>
                <w:noProof/>
                <w:sz w:val="20"/>
                <w:szCs w:val="20"/>
              </w:rPr>
            </w:pPr>
            <w:r w:rsidRPr="00D74DE5">
              <w:rPr>
                <w:noProof/>
                <w:sz w:val="20"/>
                <w:szCs w:val="20"/>
              </w:rPr>
              <w:t>PO2-C PM23</w:t>
            </w:r>
          </w:p>
        </w:tc>
        <w:tc>
          <w:tcPr>
            <w:tcW w:w="2190" w:type="pct"/>
            <w:tcBorders>
              <w:top w:val="single" w:sz="4" w:space="0" w:color="auto"/>
              <w:left w:val="single" w:sz="4" w:space="0" w:color="auto"/>
              <w:bottom w:val="single" w:sz="4" w:space="0" w:color="auto"/>
              <w:right w:val="single" w:sz="4" w:space="0" w:color="auto"/>
            </w:tcBorders>
          </w:tcPr>
          <w:p w14:paraId="695EFC99" w14:textId="77777777" w:rsidR="00FA5040" w:rsidRPr="00D74DE5" w:rsidRDefault="00FA5040" w:rsidP="00FA5040">
            <w:pPr>
              <w:spacing w:after="0"/>
              <w:rPr>
                <w:noProof/>
                <w:sz w:val="20"/>
                <w:szCs w:val="20"/>
              </w:rPr>
            </w:pPr>
            <w:r>
              <w:rPr>
                <w:noProof/>
                <w:sz w:val="20"/>
                <w:szCs w:val="20"/>
              </w:rPr>
              <w:t xml:space="preserve">One-off administrative cost of preparing </w:t>
            </w:r>
            <w:r w:rsidRPr="00D74DE5">
              <w:rPr>
                <w:noProof/>
                <w:sz w:val="20"/>
                <w:szCs w:val="20"/>
              </w:rPr>
              <w:t>the application under call for applications (est. 16,000 applications per year)</w:t>
            </w:r>
          </w:p>
        </w:tc>
        <w:tc>
          <w:tcPr>
            <w:tcW w:w="948" w:type="pct"/>
            <w:tcBorders>
              <w:top w:val="single" w:sz="4" w:space="0" w:color="auto"/>
              <w:left w:val="single" w:sz="4" w:space="0" w:color="auto"/>
              <w:bottom w:val="single" w:sz="4" w:space="0" w:color="auto"/>
              <w:right w:val="single" w:sz="4" w:space="0" w:color="auto"/>
            </w:tcBorders>
            <w:vAlign w:val="center"/>
          </w:tcPr>
          <w:p w14:paraId="7C0D6C98" w14:textId="77777777" w:rsidR="00FA5040" w:rsidRPr="00D74DE5" w:rsidRDefault="00FA5040" w:rsidP="00022927">
            <w:pPr>
              <w:spacing w:after="0"/>
              <w:jc w:val="left"/>
              <w:rPr>
                <w:noProof/>
                <w:sz w:val="20"/>
                <w:szCs w:val="20"/>
              </w:rPr>
            </w:pPr>
            <w:r w:rsidRPr="00D74DE5">
              <w:rPr>
                <w:noProof/>
                <w:sz w:val="20"/>
                <w:szCs w:val="20"/>
              </w:rPr>
              <w:t>SMEs</w:t>
            </w:r>
          </w:p>
        </w:tc>
        <w:tc>
          <w:tcPr>
            <w:tcW w:w="1150" w:type="pct"/>
            <w:tcBorders>
              <w:top w:val="single" w:sz="4" w:space="0" w:color="auto"/>
              <w:left w:val="single" w:sz="4" w:space="0" w:color="auto"/>
              <w:bottom w:val="single" w:sz="4" w:space="0" w:color="auto"/>
              <w:right w:val="single" w:sz="4" w:space="0" w:color="auto"/>
            </w:tcBorders>
            <w:vAlign w:val="center"/>
          </w:tcPr>
          <w:p w14:paraId="2A0BFC74" w14:textId="77769924" w:rsidR="00FA5040" w:rsidRPr="0008315F" w:rsidRDefault="004C16A9" w:rsidP="00FA5040">
            <w:pPr>
              <w:spacing w:after="0"/>
              <w:jc w:val="right"/>
              <w:rPr>
                <w:noProof/>
                <w:sz w:val="20"/>
                <w:szCs w:val="20"/>
                <w:highlight w:val="yellow"/>
              </w:rPr>
            </w:pPr>
            <w:r w:rsidRPr="000C6692">
              <w:rPr>
                <w:noProof/>
                <w:sz w:val="20"/>
                <w:szCs w:val="20"/>
              </w:rPr>
              <w:t xml:space="preserve">EUR 27.7 – </w:t>
            </w:r>
            <w:r w:rsidR="00830BF1" w:rsidRPr="000C6692">
              <w:rPr>
                <w:noProof/>
                <w:sz w:val="20"/>
                <w:szCs w:val="20"/>
              </w:rPr>
              <w:t>83.4</w:t>
            </w:r>
            <w:r w:rsidRPr="000C6692">
              <w:rPr>
                <w:noProof/>
                <w:sz w:val="20"/>
                <w:szCs w:val="20"/>
              </w:rPr>
              <w:t xml:space="preserve"> m</w:t>
            </w:r>
          </w:p>
        </w:tc>
      </w:tr>
    </w:tbl>
    <w:p w14:paraId="51CF4094" w14:textId="77777777" w:rsidR="00330797" w:rsidRPr="00D71E97" w:rsidRDefault="00330797" w:rsidP="00330797">
      <w:pPr>
        <w:rPr>
          <w:i/>
          <w:noProof/>
          <w:sz w:val="16"/>
          <w:szCs w:val="16"/>
        </w:rPr>
      </w:pPr>
      <w:r w:rsidRPr="00D71E97">
        <w:rPr>
          <w:i/>
          <w:noProof/>
          <w:sz w:val="16"/>
          <w:szCs w:val="16"/>
        </w:rPr>
        <w:t xml:space="preserve">*PM4 and PM5 are expected to generate reduced administrative burdens and improved information through more consistent and predictable interactions with permitting bodies. However, these administrative savings have not been monetised due to the lack of robust data and their relative smaller scale compared to the economic benefits captured through the NPV approach. </w:t>
      </w:r>
    </w:p>
    <w:p w14:paraId="4DABED8B" w14:textId="5F11D6B9" w:rsidR="00E61374" w:rsidRPr="00690EFD" w:rsidRDefault="00E61374" w:rsidP="00E10AA2">
      <w:pPr>
        <w:pStyle w:val="Caption"/>
        <w:keepNext/>
        <w:spacing w:after="60"/>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17</w:t>
      </w:r>
      <w:r>
        <w:rPr>
          <w:noProof/>
        </w:rPr>
        <w:fldChar w:fldCharType="end"/>
      </w:r>
      <w:r>
        <w:rPr>
          <w:noProof/>
        </w:rPr>
        <w:t xml:space="preserve">. </w:t>
      </w:r>
      <w:r w:rsidR="0048470D">
        <w:rPr>
          <w:noProof/>
        </w:rPr>
        <w:t xml:space="preserve">Application of the OIOO approach - </w:t>
      </w:r>
      <w:r>
        <w:rPr>
          <w:noProof/>
        </w:rPr>
        <w:t>Public Administrations</w:t>
      </w:r>
    </w:p>
    <w:tbl>
      <w:tblPr>
        <w:tblStyle w:val="TableGrid"/>
        <w:tblW w:w="9747" w:type="dxa"/>
        <w:tblLook w:val="04A0" w:firstRow="1" w:lastRow="0" w:firstColumn="1" w:lastColumn="0" w:noHBand="0" w:noVBand="1"/>
      </w:tblPr>
      <w:tblGrid>
        <w:gridCol w:w="1395"/>
        <w:gridCol w:w="6368"/>
        <w:gridCol w:w="1984"/>
      </w:tblGrid>
      <w:tr w:rsidR="00FE0FB0" w:rsidRPr="00D74DE5" w14:paraId="5B777CCB" w14:textId="77777777" w:rsidTr="0080075C">
        <w:trPr>
          <w:tblHeader/>
        </w:trPr>
        <w:tc>
          <w:tcPr>
            <w:tcW w:w="1395" w:type="dxa"/>
            <w:shd w:val="clear" w:color="auto" w:fill="227ACB"/>
            <w:vAlign w:val="center"/>
          </w:tcPr>
          <w:p w14:paraId="57C4BA39" w14:textId="48A6D045" w:rsidR="00FE0FB0" w:rsidRPr="00D74DE5" w:rsidRDefault="00FE0FB0" w:rsidP="00FE0FB0">
            <w:pPr>
              <w:spacing w:after="0"/>
              <w:rPr>
                <w:noProof/>
                <w:color w:val="FFFFFF" w:themeColor="background1"/>
                <w:sz w:val="20"/>
                <w:szCs w:val="20"/>
              </w:rPr>
            </w:pPr>
            <w:r w:rsidRPr="00D74DE5" w:rsidDel="00FD6E23">
              <w:rPr>
                <w:noProof/>
                <w:color w:val="FFFFFF" w:themeColor="background1"/>
                <w:sz w:val="20"/>
                <w:szCs w:val="20"/>
              </w:rPr>
              <w:t>Preferred Package</w:t>
            </w:r>
          </w:p>
        </w:tc>
        <w:tc>
          <w:tcPr>
            <w:tcW w:w="6368" w:type="dxa"/>
            <w:shd w:val="clear" w:color="auto" w:fill="227ACB"/>
            <w:vAlign w:val="center"/>
          </w:tcPr>
          <w:p w14:paraId="3128F68C" w14:textId="4290BDAF" w:rsidR="00FE0FB0" w:rsidRPr="00D74DE5" w:rsidRDefault="00FE0FB0" w:rsidP="00FE0FB0">
            <w:pPr>
              <w:spacing w:after="0"/>
              <w:rPr>
                <w:noProof/>
                <w:color w:val="FFFFFF" w:themeColor="background1"/>
                <w:sz w:val="20"/>
                <w:szCs w:val="20"/>
              </w:rPr>
            </w:pPr>
            <w:r w:rsidRPr="00D74DE5" w:rsidDel="00FD6E23">
              <w:rPr>
                <w:noProof/>
                <w:color w:val="FFFFFF" w:themeColor="background1"/>
                <w:sz w:val="20"/>
                <w:szCs w:val="20"/>
              </w:rPr>
              <w:t xml:space="preserve">Activities </w:t>
            </w:r>
          </w:p>
        </w:tc>
        <w:tc>
          <w:tcPr>
            <w:tcW w:w="1984" w:type="dxa"/>
            <w:shd w:val="clear" w:color="auto" w:fill="227ACB"/>
            <w:vAlign w:val="center"/>
          </w:tcPr>
          <w:p w14:paraId="0B872A89" w14:textId="672B81BB" w:rsidR="00FE0FB0" w:rsidRPr="00D74DE5" w:rsidRDefault="00FE0FB0" w:rsidP="00FE0FB0">
            <w:pPr>
              <w:spacing w:after="0"/>
              <w:rPr>
                <w:b/>
                <w:noProof/>
                <w:color w:val="FFFFFF" w:themeColor="background1"/>
                <w:sz w:val="20"/>
                <w:szCs w:val="20"/>
              </w:rPr>
            </w:pPr>
            <w:r w:rsidRPr="00D74DE5" w:rsidDel="00FD6E23">
              <w:rPr>
                <w:b/>
                <w:noProof/>
                <w:color w:val="FFFFFF" w:themeColor="background1"/>
                <w:sz w:val="20"/>
                <w:szCs w:val="20"/>
              </w:rPr>
              <w:t xml:space="preserve">Monetization </w:t>
            </w:r>
            <w:r w:rsidRPr="00D74DE5" w:rsidDel="00FD6E23">
              <w:rPr>
                <w:noProof/>
                <w:color w:val="FFFFFF" w:themeColor="background1"/>
                <w:sz w:val="20"/>
                <w:szCs w:val="20"/>
              </w:rPr>
              <w:t>(EUR, NPV 2027 – 2036)</w:t>
            </w:r>
          </w:p>
        </w:tc>
      </w:tr>
      <w:tr w:rsidR="00FE0FB0" w:rsidRPr="00D74DE5" w14:paraId="67E0DC11" w14:textId="77777777" w:rsidTr="0080075C">
        <w:trPr>
          <w:cantSplit/>
        </w:trPr>
        <w:tc>
          <w:tcPr>
            <w:tcW w:w="1395" w:type="dxa"/>
            <w:shd w:val="clear" w:color="auto" w:fill="DBE5F1" w:themeFill="accent1" w:themeFillTint="33"/>
          </w:tcPr>
          <w:p w14:paraId="11FB6C56" w14:textId="0D7644C0" w:rsidR="00FE0FB0" w:rsidRPr="00D74DE5" w:rsidRDefault="00FE0FB0" w:rsidP="00FE0FB0">
            <w:pPr>
              <w:spacing w:after="0"/>
              <w:rPr>
                <w:noProof/>
                <w:sz w:val="20"/>
                <w:szCs w:val="20"/>
              </w:rPr>
            </w:pPr>
            <w:r w:rsidRPr="00D74DE5" w:rsidDel="00FD6E23">
              <w:rPr>
                <w:noProof/>
                <w:sz w:val="20"/>
                <w:szCs w:val="20"/>
              </w:rPr>
              <w:t>PO1-B PM4</w:t>
            </w:r>
          </w:p>
        </w:tc>
        <w:tc>
          <w:tcPr>
            <w:tcW w:w="6368" w:type="dxa"/>
          </w:tcPr>
          <w:p w14:paraId="7577EAFE" w14:textId="0D382E5A" w:rsidR="00FE0FB0" w:rsidRPr="00D74DE5" w:rsidRDefault="00FE0FB0" w:rsidP="00FE0FB0">
            <w:pPr>
              <w:spacing w:after="0"/>
              <w:rPr>
                <w:noProof/>
                <w:sz w:val="20"/>
                <w:szCs w:val="20"/>
              </w:rPr>
            </w:pPr>
            <w:r>
              <w:rPr>
                <w:noProof/>
                <w:sz w:val="20"/>
                <w:szCs w:val="20"/>
              </w:rPr>
              <w:t>Recurrent a</w:t>
            </w:r>
            <w:r w:rsidRPr="00D74DE5">
              <w:rPr>
                <w:noProof/>
                <w:sz w:val="20"/>
                <w:szCs w:val="20"/>
              </w:rPr>
              <w:t xml:space="preserve">dministrative burden reduction thanks to the project facilitator which </w:t>
            </w:r>
            <w:r>
              <w:rPr>
                <w:noProof/>
                <w:sz w:val="20"/>
                <w:szCs w:val="20"/>
              </w:rPr>
              <w:t xml:space="preserve">would </w:t>
            </w:r>
            <w:r w:rsidRPr="00D74DE5">
              <w:rPr>
                <w:noProof/>
                <w:sz w:val="20"/>
                <w:szCs w:val="20"/>
              </w:rPr>
              <w:t xml:space="preserve">reduce parallel processing and back-and-forth interactions </w:t>
            </w:r>
          </w:p>
        </w:tc>
        <w:tc>
          <w:tcPr>
            <w:tcW w:w="1984" w:type="dxa"/>
            <w:vAlign w:val="center"/>
          </w:tcPr>
          <w:p w14:paraId="147F049E" w14:textId="6ED8B080" w:rsidR="00FE0FB0" w:rsidRPr="00D74DE5" w:rsidRDefault="00372A67" w:rsidP="00FE0FB0">
            <w:pPr>
              <w:spacing w:after="0"/>
              <w:jc w:val="right"/>
              <w:rPr>
                <w:noProof/>
                <w:sz w:val="20"/>
                <w:szCs w:val="20"/>
              </w:rPr>
            </w:pPr>
            <w:r>
              <w:rPr>
                <w:noProof/>
                <w:sz w:val="20"/>
                <w:szCs w:val="20"/>
              </w:rPr>
              <w:t>EUR</w:t>
            </w:r>
            <w:r w:rsidRPr="00D74DE5">
              <w:rPr>
                <w:noProof/>
                <w:sz w:val="20"/>
                <w:szCs w:val="20"/>
              </w:rPr>
              <w:t xml:space="preserve"> </w:t>
            </w:r>
            <w:r>
              <w:rPr>
                <w:noProof/>
                <w:sz w:val="20"/>
                <w:szCs w:val="20"/>
              </w:rPr>
              <w:t xml:space="preserve">83.1 – </w:t>
            </w:r>
            <w:r w:rsidR="002524C1">
              <w:rPr>
                <w:noProof/>
                <w:sz w:val="20"/>
                <w:szCs w:val="20"/>
              </w:rPr>
              <w:t>138.6</w:t>
            </w:r>
            <w:r>
              <w:rPr>
                <w:noProof/>
                <w:sz w:val="20"/>
                <w:szCs w:val="20"/>
              </w:rPr>
              <w:t xml:space="preserve"> m</w:t>
            </w:r>
          </w:p>
        </w:tc>
      </w:tr>
      <w:tr w:rsidR="004B0120" w:rsidRPr="00D74DE5" w14:paraId="3F5F6B5E" w14:textId="77777777" w:rsidTr="0080075C">
        <w:trPr>
          <w:cantSplit/>
        </w:trPr>
        <w:tc>
          <w:tcPr>
            <w:tcW w:w="1395" w:type="dxa"/>
            <w:shd w:val="clear" w:color="auto" w:fill="DBE5F1" w:themeFill="accent1" w:themeFillTint="33"/>
          </w:tcPr>
          <w:p w14:paraId="6150AB91" w14:textId="60B722C6" w:rsidR="004B0120" w:rsidRPr="00D74DE5" w:rsidDel="00FD6E23" w:rsidRDefault="004B0120" w:rsidP="00FE0FB0">
            <w:pPr>
              <w:spacing w:after="0"/>
              <w:rPr>
                <w:noProof/>
                <w:sz w:val="20"/>
                <w:szCs w:val="20"/>
              </w:rPr>
            </w:pPr>
            <w:r>
              <w:rPr>
                <w:noProof/>
                <w:sz w:val="20"/>
                <w:szCs w:val="20"/>
              </w:rPr>
              <w:t>PO1-B PM5</w:t>
            </w:r>
          </w:p>
        </w:tc>
        <w:tc>
          <w:tcPr>
            <w:tcW w:w="6368" w:type="dxa"/>
          </w:tcPr>
          <w:p w14:paraId="6ED2CAF7" w14:textId="014BCA62" w:rsidR="004B0120" w:rsidRDefault="004B0120" w:rsidP="00FE0FB0">
            <w:pPr>
              <w:spacing w:after="0"/>
              <w:rPr>
                <w:noProof/>
                <w:sz w:val="20"/>
                <w:szCs w:val="20"/>
              </w:rPr>
            </w:pPr>
            <w:r>
              <w:rPr>
                <w:noProof/>
                <w:sz w:val="20"/>
                <w:szCs w:val="20"/>
              </w:rPr>
              <w:t xml:space="preserve">One-off administrative costs for drafting the strategies for national data centre deployment </w:t>
            </w:r>
          </w:p>
        </w:tc>
        <w:tc>
          <w:tcPr>
            <w:tcW w:w="1984" w:type="dxa"/>
            <w:vAlign w:val="center"/>
          </w:tcPr>
          <w:p w14:paraId="27C15826" w14:textId="05ACD4D8" w:rsidR="004B0120" w:rsidRPr="00D74DE5" w:rsidDel="00FD6E23" w:rsidRDefault="008D7823" w:rsidP="00FE0FB0">
            <w:pPr>
              <w:spacing w:after="0"/>
              <w:jc w:val="right"/>
              <w:rPr>
                <w:noProof/>
                <w:sz w:val="20"/>
                <w:szCs w:val="20"/>
              </w:rPr>
            </w:pPr>
            <w:r>
              <w:rPr>
                <w:noProof/>
                <w:sz w:val="20"/>
                <w:szCs w:val="20"/>
              </w:rPr>
              <w:t>EUR</w:t>
            </w:r>
            <w:r w:rsidRPr="00D74DE5">
              <w:rPr>
                <w:noProof/>
                <w:sz w:val="20"/>
                <w:szCs w:val="20"/>
              </w:rPr>
              <w:t xml:space="preserve"> </w:t>
            </w:r>
            <w:r>
              <w:rPr>
                <w:noProof/>
                <w:sz w:val="20"/>
                <w:szCs w:val="20"/>
              </w:rPr>
              <w:t xml:space="preserve">1.2 – </w:t>
            </w:r>
            <w:r w:rsidR="0082594E">
              <w:rPr>
                <w:noProof/>
                <w:sz w:val="20"/>
                <w:szCs w:val="20"/>
              </w:rPr>
              <w:t>6.1</w:t>
            </w:r>
            <w:r>
              <w:rPr>
                <w:noProof/>
                <w:sz w:val="20"/>
                <w:szCs w:val="20"/>
              </w:rPr>
              <w:t xml:space="preserve"> m</w:t>
            </w:r>
          </w:p>
        </w:tc>
      </w:tr>
      <w:tr w:rsidR="00FE0FB0" w:rsidRPr="00D74DE5" w14:paraId="6CD8FCFE" w14:textId="77777777" w:rsidTr="0080075C">
        <w:trPr>
          <w:cantSplit/>
        </w:trPr>
        <w:tc>
          <w:tcPr>
            <w:tcW w:w="1395" w:type="dxa"/>
            <w:shd w:val="clear" w:color="auto" w:fill="DBE5F1" w:themeFill="accent1" w:themeFillTint="33"/>
          </w:tcPr>
          <w:p w14:paraId="38675AA2" w14:textId="06BA15C7" w:rsidR="00FE0FB0" w:rsidRPr="00D74DE5" w:rsidRDefault="00FE0FB0" w:rsidP="00FE0FB0">
            <w:pPr>
              <w:spacing w:after="0"/>
              <w:rPr>
                <w:noProof/>
                <w:sz w:val="20"/>
                <w:szCs w:val="20"/>
              </w:rPr>
            </w:pPr>
            <w:r w:rsidRPr="00D74DE5" w:rsidDel="00FD6E23">
              <w:rPr>
                <w:noProof/>
                <w:sz w:val="20"/>
                <w:szCs w:val="20"/>
              </w:rPr>
              <w:t>PO1-B PM5</w:t>
            </w:r>
          </w:p>
        </w:tc>
        <w:tc>
          <w:tcPr>
            <w:tcW w:w="6368" w:type="dxa"/>
          </w:tcPr>
          <w:p w14:paraId="700CC640" w14:textId="5879425D" w:rsidR="00FE0FB0" w:rsidRPr="00D74DE5" w:rsidRDefault="00FE0FB0" w:rsidP="00FE0FB0">
            <w:pPr>
              <w:spacing w:after="0"/>
              <w:rPr>
                <w:noProof/>
                <w:sz w:val="20"/>
                <w:szCs w:val="20"/>
              </w:rPr>
            </w:pPr>
            <w:r>
              <w:rPr>
                <w:noProof/>
                <w:sz w:val="20"/>
                <w:szCs w:val="20"/>
              </w:rPr>
              <w:t xml:space="preserve">Recurrent administrative costs of </w:t>
            </w:r>
            <w:r w:rsidRPr="00D74DE5">
              <w:rPr>
                <w:noProof/>
                <w:sz w:val="20"/>
                <w:szCs w:val="20"/>
              </w:rPr>
              <w:t xml:space="preserve">mapping the fast-track </w:t>
            </w:r>
            <w:r w:rsidRPr="00D74DE5" w:rsidDel="00FD6E23">
              <w:rPr>
                <w:noProof/>
                <w:sz w:val="20"/>
                <w:szCs w:val="20"/>
              </w:rPr>
              <w:t>areas</w:t>
            </w:r>
            <w:r w:rsidR="007858F8">
              <w:rPr>
                <w:noProof/>
                <w:sz w:val="20"/>
                <w:szCs w:val="20"/>
              </w:rPr>
              <w:t xml:space="preserve"> and updating the strategies</w:t>
            </w:r>
          </w:p>
        </w:tc>
        <w:tc>
          <w:tcPr>
            <w:tcW w:w="1984" w:type="dxa"/>
            <w:vAlign w:val="center"/>
          </w:tcPr>
          <w:p w14:paraId="351E7771" w14:textId="13753E0B" w:rsidR="00FE0FB0" w:rsidRPr="00D74DE5" w:rsidRDefault="00FE0FB0" w:rsidP="00FE0FB0">
            <w:pPr>
              <w:spacing w:after="0"/>
              <w:jc w:val="right"/>
              <w:rPr>
                <w:noProof/>
                <w:sz w:val="20"/>
                <w:szCs w:val="20"/>
              </w:rPr>
            </w:pPr>
            <w:r w:rsidRPr="00D74DE5" w:rsidDel="00FD6E23">
              <w:rPr>
                <w:noProof/>
                <w:sz w:val="20"/>
                <w:szCs w:val="20"/>
              </w:rPr>
              <w:t xml:space="preserve"> </w:t>
            </w:r>
            <w:r w:rsidR="0082594E">
              <w:rPr>
                <w:noProof/>
                <w:sz w:val="20"/>
                <w:szCs w:val="20"/>
              </w:rPr>
              <w:t>EUR</w:t>
            </w:r>
            <w:r w:rsidR="0082594E" w:rsidRPr="00D74DE5">
              <w:rPr>
                <w:noProof/>
                <w:sz w:val="20"/>
                <w:szCs w:val="20"/>
              </w:rPr>
              <w:t xml:space="preserve"> </w:t>
            </w:r>
            <w:r w:rsidR="0082594E">
              <w:rPr>
                <w:noProof/>
                <w:sz w:val="20"/>
                <w:szCs w:val="20"/>
              </w:rPr>
              <w:t>46.4 – 86.3 m</w:t>
            </w:r>
          </w:p>
        </w:tc>
      </w:tr>
      <w:tr w:rsidR="00FE0FB0" w:rsidRPr="00D74DE5" w14:paraId="1750A5AD" w14:textId="77777777" w:rsidTr="0080075C">
        <w:trPr>
          <w:cantSplit/>
        </w:trPr>
        <w:tc>
          <w:tcPr>
            <w:tcW w:w="1395" w:type="dxa"/>
            <w:shd w:val="clear" w:color="auto" w:fill="DBE5F1" w:themeFill="accent1" w:themeFillTint="33"/>
          </w:tcPr>
          <w:p w14:paraId="5B6E9F66" w14:textId="10FE574D" w:rsidR="00FE0FB0" w:rsidRPr="00D74DE5" w:rsidRDefault="00FE0FB0" w:rsidP="00FE0FB0">
            <w:pPr>
              <w:spacing w:after="0"/>
              <w:rPr>
                <w:noProof/>
                <w:sz w:val="20"/>
                <w:szCs w:val="20"/>
              </w:rPr>
            </w:pPr>
            <w:r w:rsidRPr="00D74DE5" w:rsidDel="00FD6E23">
              <w:rPr>
                <w:noProof/>
                <w:sz w:val="20"/>
                <w:szCs w:val="20"/>
              </w:rPr>
              <w:t>PO1-B PM5</w:t>
            </w:r>
          </w:p>
        </w:tc>
        <w:tc>
          <w:tcPr>
            <w:tcW w:w="6368" w:type="dxa"/>
          </w:tcPr>
          <w:p w14:paraId="3DE5E119" w14:textId="0867D53B" w:rsidR="00FE0FB0" w:rsidRPr="00D74DE5" w:rsidRDefault="00FE0FB0" w:rsidP="00FE0FB0">
            <w:pPr>
              <w:spacing w:after="0"/>
              <w:rPr>
                <w:noProof/>
                <w:sz w:val="20"/>
                <w:szCs w:val="20"/>
              </w:rPr>
            </w:pPr>
            <w:r>
              <w:rPr>
                <w:noProof/>
                <w:sz w:val="20"/>
                <w:szCs w:val="20"/>
              </w:rPr>
              <w:t>Recurrent a</w:t>
            </w:r>
            <w:r w:rsidRPr="00D74DE5">
              <w:rPr>
                <w:noProof/>
                <w:sz w:val="20"/>
                <w:szCs w:val="20"/>
              </w:rPr>
              <w:t xml:space="preserve">dministrative burden reduction thanks to the fast-track areas with additional reduction in parallel processing and reporting </w:t>
            </w:r>
            <w:r w:rsidRPr="00D74DE5" w:rsidDel="00FD6E23">
              <w:rPr>
                <w:noProof/>
                <w:sz w:val="20"/>
                <w:szCs w:val="20"/>
              </w:rPr>
              <w:t>duties</w:t>
            </w:r>
          </w:p>
        </w:tc>
        <w:tc>
          <w:tcPr>
            <w:tcW w:w="1984" w:type="dxa"/>
            <w:vAlign w:val="center"/>
          </w:tcPr>
          <w:p w14:paraId="36F95C24" w14:textId="4473DFC9" w:rsidR="00FE0FB0" w:rsidRPr="00D74DE5" w:rsidRDefault="005F2231" w:rsidP="00FE0FB0">
            <w:pPr>
              <w:spacing w:after="0"/>
              <w:jc w:val="right"/>
              <w:rPr>
                <w:noProof/>
                <w:sz w:val="20"/>
                <w:szCs w:val="20"/>
              </w:rPr>
            </w:pPr>
            <w:r>
              <w:rPr>
                <w:noProof/>
                <w:sz w:val="20"/>
                <w:szCs w:val="20"/>
              </w:rPr>
              <w:t>EUR</w:t>
            </w:r>
            <w:r w:rsidRPr="00D74DE5">
              <w:rPr>
                <w:noProof/>
                <w:sz w:val="20"/>
                <w:szCs w:val="20"/>
              </w:rPr>
              <w:t xml:space="preserve"> </w:t>
            </w:r>
            <w:r>
              <w:rPr>
                <w:noProof/>
                <w:sz w:val="20"/>
                <w:szCs w:val="20"/>
              </w:rPr>
              <w:t>83.</w:t>
            </w:r>
            <w:r w:rsidR="00265692">
              <w:rPr>
                <w:noProof/>
                <w:sz w:val="20"/>
                <w:szCs w:val="20"/>
              </w:rPr>
              <w:t>1</w:t>
            </w:r>
            <w:r>
              <w:rPr>
                <w:noProof/>
                <w:sz w:val="20"/>
                <w:szCs w:val="20"/>
              </w:rPr>
              <w:t xml:space="preserve"> – </w:t>
            </w:r>
            <w:r w:rsidR="00265692">
              <w:rPr>
                <w:noProof/>
                <w:sz w:val="20"/>
                <w:szCs w:val="20"/>
              </w:rPr>
              <w:t>138.6</w:t>
            </w:r>
            <w:r>
              <w:rPr>
                <w:noProof/>
                <w:sz w:val="20"/>
                <w:szCs w:val="20"/>
              </w:rPr>
              <w:t xml:space="preserve"> m</w:t>
            </w:r>
          </w:p>
        </w:tc>
      </w:tr>
      <w:tr w:rsidR="001D6615" w:rsidRPr="00D74DE5" w14:paraId="1F612CD7" w14:textId="77777777" w:rsidTr="0080075C">
        <w:trPr>
          <w:cantSplit/>
        </w:trPr>
        <w:tc>
          <w:tcPr>
            <w:tcW w:w="1395" w:type="dxa"/>
            <w:shd w:val="clear" w:color="auto" w:fill="DBE5F1" w:themeFill="accent1" w:themeFillTint="33"/>
          </w:tcPr>
          <w:p w14:paraId="2E66434F" w14:textId="6CD33A46" w:rsidR="001D6615" w:rsidRPr="00D74DE5" w:rsidDel="00FD6E23" w:rsidRDefault="001D6615" w:rsidP="00FE0FB0">
            <w:pPr>
              <w:spacing w:after="0"/>
              <w:rPr>
                <w:noProof/>
                <w:sz w:val="20"/>
                <w:szCs w:val="20"/>
              </w:rPr>
            </w:pPr>
            <w:r>
              <w:rPr>
                <w:noProof/>
                <w:sz w:val="20"/>
                <w:szCs w:val="20"/>
              </w:rPr>
              <w:t>PO2-C PM19</w:t>
            </w:r>
          </w:p>
        </w:tc>
        <w:tc>
          <w:tcPr>
            <w:tcW w:w="6368" w:type="dxa"/>
          </w:tcPr>
          <w:p w14:paraId="243109DD" w14:textId="146B57F5" w:rsidR="001D6615" w:rsidRDefault="008E02A3" w:rsidP="00FE0FB0">
            <w:pPr>
              <w:spacing w:after="0"/>
              <w:rPr>
                <w:noProof/>
                <w:sz w:val="20"/>
                <w:szCs w:val="20"/>
              </w:rPr>
            </w:pPr>
            <w:r>
              <w:rPr>
                <w:noProof/>
                <w:sz w:val="20"/>
                <w:szCs w:val="20"/>
              </w:rPr>
              <w:t xml:space="preserve">Recurrent administrative cost savings from using standard non-specific award criteria when drafting the specifications </w:t>
            </w:r>
          </w:p>
        </w:tc>
        <w:tc>
          <w:tcPr>
            <w:tcW w:w="1984" w:type="dxa"/>
            <w:vAlign w:val="center"/>
          </w:tcPr>
          <w:p w14:paraId="085426CD" w14:textId="3B059233" w:rsidR="001D6615" w:rsidRPr="0008315F" w:rsidRDefault="00E53AFB" w:rsidP="00FE0FB0">
            <w:pPr>
              <w:spacing w:after="0"/>
              <w:jc w:val="right"/>
              <w:rPr>
                <w:noProof/>
                <w:sz w:val="20"/>
                <w:szCs w:val="20"/>
                <w:highlight w:val="yellow"/>
              </w:rPr>
            </w:pPr>
            <w:r w:rsidRPr="00D55527">
              <w:rPr>
                <w:noProof/>
                <w:sz w:val="20"/>
                <w:szCs w:val="20"/>
              </w:rPr>
              <w:t>EUR 4.3 – 13.1 m</w:t>
            </w:r>
          </w:p>
        </w:tc>
      </w:tr>
      <w:tr w:rsidR="00022927" w:rsidRPr="00D74DE5" w14:paraId="58B99012" w14:textId="77777777" w:rsidTr="0080075C">
        <w:trPr>
          <w:cantSplit/>
        </w:trPr>
        <w:tc>
          <w:tcPr>
            <w:tcW w:w="1395" w:type="dxa"/>
            <w:shd w:val="clear" w:color="auto" w:fill="DBE5F1" w:themeFill="accent1" w:themeFillTint="33"/>
          </w:tcPr>
          <w:p w14:paraId="26B15F1A" w14:textId="7E81AF43" w:rsidR="00022927" w:rsidRPr="00022927" w:rsidRDefault="00022927" w:rsidP="00022927">
            <w:pPr>
              <w:spacing w:after="0"/>
              <w:rPr>
                <w:noProof/>
                <w:sz w:val="20"/>
                <w:szCs w:val="20"/>
              </w:rPr>
            </w:pPr>
            <w:r w:rsidRPr="00022927" w:rsidDel="00FD6E23">
              <w:rPr>
                <w:noProof/>
                <w:sz w:val="20"/>
                <w:szCs w:val="20"/>
              </w:rPr>
              <w:t>PO2-C PM</w:t>
            </w:r>
            <w:r w:rsidRPr="00022927">
              <w:rPr>
                <w:noProof/>
                <w:sz w:val="20"/>
                <w:szCs w:val="20"/>
              </w:rPr>
              <w:t>19</w:t>
            </w:r>
          </w:p>
        </w:tc>
        <w:tc>
          <w:tcPr>
            <w:tcW w:w="6368" w:type="dxa"/>
          </w:tcPr>
          <w:p w14:paraId="7D9A1F84" w14:textId="502D997F" w:rsidR="00022927" w:rsidRPr="00022927" w:rsidRDefault="00022927" w:rsidP="00022927">
            <w:pPr>
              <w:spacing w:after="0"/>
              <w:rPr>
                <w:noProof/>
                <w:sz w:val="20"/>
                <w:szCs w:val="20"/>
              </w:rPr>
            </w:pPr>
            <w:r w:rsidRPr="00022927">
              <w:rPr>
                <w:noProof/>
                <w:sz w:val="20"/>
                <w:szCs w:val="20"/>
              </w:rPr>
              <w:t>One-off administrative cost to update the procedures related to the public procurement of cloud and AI computing services and draft plans on highly critical use cases involving the purchase of sovereign services</w:t>
            </w:r>
          </w:p>
        </w:tc>
        <w:tc>
          <w:tcPr>
            <w:tcW w:w="1984" w:type="dxa"/>
            <w:vAlign w:val="center"/>
          </w:tcPr>
          <w:p w14:paraId="1CB7F833" w14:textId="38901964" w:rsidR="00022927" w:rsidRPr="0008315F" w:rsidRDefault="00022927" w:rsidP="00022927">
            <w:pPr>
              <w:spacing w:after="0"/>
              <w:jc w:val="right"/>
              <w:rPr>
                <w:noProof/>
                <w:sz w:val="20"/>
                <w:szCs w:val="20"/>
                <w:highlight w:val="yellow"/>
              </w:rPr>
            </w:pPr>
            <w:r w:rsidRPr="006B6632">
              <w:rPr>
                <w:noProof/>
                <w:sz w:val="20"/>
                <w:szCs w:val="20"/>
              </w:rPr>
              <w:t>EUR 3.</w:t>
            </w:r>
            <w:r w:rsidR="00406115" w:rsidRPr="006B6632">
              <w:rPr>
                <w:noProof/>
                <w:sz w:val="20"/>
                <w:szCs w:val="20"/>
              </w:rPr>
              <w:t>4</w:t>
            </w:r>
            <w:r w:rsidRPr="006B6632">
              <w:rPr>
                <w:noProof/>
                <w:sz w:val="20"/>
                <w:szCs w:val="20"/>
              </w:rPr>
              <w:t xml:space="preserve"> – 13.5 m</w:t>
            </w:r>
          </w:p>
        </w:tc>
      </w:tr>
      <w:tr w:rsidR="00A311F7" w:rsidRPr="00D74DE5" w14:paraId="40F45C31" w14:textId="77777777" w:rsidTr="0080075C">
        <w:trPr>
          <w:cantSplit/>
        </w:trPr>
        <w:tc>
          <w:tcPr>
            <w:tcW w:w="1395" w:type="dxa"/>
            <w:shd w:val="clear" w:color="auto" w:fill="DBE5F1" w:themeFill="accent1" w:themeFillTint="33"/>
          </w:tcPr>
          <w:p w14:paraId="1DD390A4" w14:textId="6FC487E1" w:rsidR="00A311F7" w:rsidRPr="00A311F7" w:rsidDel="00FD6E23" w:rsidRDefault="00A311F7" w:rsidP="00A311F7">
            <w:pPr>
              <w:spacing w:after="0"/>
              <w:rPr>
                <w:noProof/>
                <w:sz w:val="20"/>
                <w:szCs w:val="20"/>
              </w:rPr>
            </w:pPr>
            <w:r w:rsidRPr="00A311F7">
              <w:rPr>
                <w:noProof/>
                <w:sz w:val="20"/>
                <w:szCs w:val="20"/>
              </w:rPr>
              <w:t>PO2-C PM19</w:t>
            </w:r>
          </w:p>
        </w:tc>
        <w:tc>
          <w:tcPr>
            <w:tcW w:w="6368" w:type="dxa"/>
          </w:tcPr>
          <w:p w14:paraId="5860B2ED" w14:textId="3E9E54DB" w:rsidR="00A311F7" w:rsidRPr="00A311F7" w:rsidRDefault="00A311F7" w:rsidP="00A311F7">
            <w:pPr>
              <w:spacing w:after="0"/>
              <w:rPr>
                <w:noProof/>
                <w:sz w:val="20"/>
                <w:szCs w:val="20"/>
              </w:rPr>
            </w:pPr>
            <w:r w:rsidRPr="00A311F7">
              <w:rPr>
                <w:noProof/>
                <w:sz w:val="20"/>
                <w:szCs w:val="20"/>
              </w:rPr>
              <w:t xml:space="preserve">Recurrent administrative costs to update the plans and track their progress </w:t>
            </w:r>
          </w:p>
        </w:tc>
        <w:tc>
          <w:tcPr>
            <w:tcW w:w="1984" w:type="dxa"/>
            <w:vAlign w:val="center"/>
          </w:tcPr>
          <w:p w14:paraId="10BD15A7" w14:textId="5B2A214F" w:rsidR="00A311F7" w:rsidRPr="0033776F" w:rsidRDefault="00A311F7" w:rsidP="00A311F7">
            <w:pPr>
              <w:spacing w:after="0"/>
              <w:jc w:val="right"/>
              <w:rPr>
                <w:noProof/>
                <w:sz w:val="20"/>
                <w:szCs w:val="20"/>
              </w:rPr>
            </w:pPr>
            <w:r w:rsidRPr="0033776F">
              <w:rPr>
                <w:noProof/>
                <w:sz w:val="20"/>
                <w:szCs w:val="20"/>
              </w:rPr>
              <w:t>EUR 46.4 – 115.4 m</w:t>
            </w:r>
          </w:p>
        </w:tc>
      </w:tr>
      <w:tr w:rsidR="00022927" w:rsidRPr="00D74DE5" w14:paraId="28D981BA" w14:textId="77777777" w:rsidTr="0080075C">
        <w:trPr>
          <w:cantSplit/>
        </w:trPr>
        <w:tc>
          <w:tcPr>
            <w:tcW w:w="1395" w:type="dxa"/>
            <w:shd w:val="clear" w:color="auto" w:fill="DBE5F1" w:themeFill="accent1" w:themeFillTint="33"/>
          </w:tcPr>
          <w:p w14:paraId="0BF09419" w14:textId="51239CDE" w:rsidR="00022927" w:rsidRPr="00D74DE5" w:rsidRDefault="00022927" w:rsidP="00022927">
            <w:pPr>
              <w:spacing w:after="0"/>
              <w:rPr>
                <w:noProof/>
                <w:sz w:val="20"/>
                <w:szCs w:val="20"/>
              </w:rPr>
            </w:pPr>
            <w:r w:rsidRPr="00D74DE5" w:rsidDel="00FD6E23">
              <w:rPr>
                <w:noProof/>
                <w:sz w:val="20"/>
                <w:szCs w:val="20"/>
              </w:rPr>
              <w:t>PO2-C PM20</w:t>
            </w:r>
          </w:p>
        </w:tc>
        <w:tc>
          <w:tcPr>
            <w:tcW w:w="6368" w:type="dxa"/>
          </w:tcPr>
          <w:p w14:paraId="276E4A0A" w14:textId="0865A21C" w:rsidR="00792444" w:rsidRPr="00D74DE5" w:rsidRDefault="00022927" w:rsidP="00022927">
            <w:pPr>
              <w:spacing w:after="0"/>
              <w:rPr>
                <w:noProof/>
                <w:sz w:val="20"/>
                <w:szCs w:val="20"/>
              </w:rPr>
            </w:pPr>
            <w:r>
              <w:rPr>
                <w:noProof/>
                <w:sz w:val="20"/>
                <w:szCs w:val="20"/>
              </w:rPr>
              <w:t>One-off administrative</w:t>
            </w:r>
            <w:r w:rsidRPr="00D74DE5">
              <w:rPr>
                <w:noProof/>
                <w:sz w:val="20"/>
                <w:szCs w:val="20"/>
              </w:rPr>
              <w:t xml:space="preserve"> costs</w:t>
            </w:r>
            <w:r>
              <w:rPr>
                <w:noProof/>
                <w:sz w:val="20"/>
                <w:szCs w:val="20"/>
              </w:rPr>
              <w:t xml:space="preserve"> to adapt the procurement templates </w:t>
            </w:r>
            <w:r w:rsidR="006A37B8">
              <w:rPr>
                <w:noProof/>
                <w:sz w:val="20"/>
                <w:szCs w:val="20"/>
              </w:rPr>
              <w:t>to promote</w:t>
            </w:r>
            <w:r>
              <w:rPr>
                <w:noProof/>
                <w:sz w:val="20"/>
                <w:szCs w:val="20"/>
              </w:rPr>
              <w:t xml:space="preserve"> open source</w:t>
            </w:r>
          </w:p>
        </w:tc>
        <w:tc>
          <w:tcPr>
            <w:tcW w:w="1984" w:type="dxa"/>
            <w:vAlign w:val="center"/>
          </w:tcPr>
          <w:p w14:paraId="4D1B3BFF" w14:textId="647EADDA" w:rsidR="00022927" w:rsidRPr="00AA2E19" w:rsidRDefault="00022927" w:rsidP="00022927">
            <w:pPr>
              <w:spacing w:after="0"/>
              <w:jc w:val="right"/>
              <w:rPr>
                <w:noProof/>
                <w:sz w:val="20"/>
                <w:szCs w:val="20"/>
              </w:rPr>
            </w:pPr>
            <w:r w:rsidRPr="00AA2E19">
              <w:rPr>
                <w:noProof/>
                <w:sz w:val="20"/>
                <w:szCs w:val="20"/>
              </w:rPr>
              <w:t>EUR 6.9 – 13.9 m</w:t>
            </w:r>
          </w:p>
        </w:tc>
      </w:tr>
      <w:tr w:rsidR="00022927" w:rsidRPr="00D74DE5" w14:paraId="5F48B45E" w14:textId="77777777" w:rsidTr="0080075C">
        <w:trPr>
          <w:cantSplit/>
        </w:trPr>
        <w:tc>
          <w:tcPr>
            <w:tcW w:w="1395" w:type="dxa"/>
            <w:shd w:val="clear" w:color="auto" w:fill="DBE5F1" w:themeFill="accent1" w:themeFillTint="33"/>
          </w:tcPr>
          <w:p w14:paraId="3B52791D" w14:textId="1F1E6026" w:rsidR="00022927" w:rsidRPr="00D74DE5" w:rsidRDefault="00022927" w:rsidP="00022927">
            <w:pPr>
              <w:spacing w:after="0"/>
              <w:rPr>
                <w:noProof/>
                <w:sz w:val="20"/>
                <w:szCs w:val="20"/>
              </w:rPr>
            </w:pPr>
            <w:r w:rsidRPr="00D74DE5">
              <w:rPr>
                <w:noProof/>
                <w:sz w:val="20"/>
                <w:szCs w:val="20"/>
              </w:rPr>
              <w:t>PO2-C PM20</w:t>
            </w:r>
          </w:p>
        </w:tc>
        <w:tc>
          <w:tcPr>
            <w:tcW w:w="6368" w:type="dxa"/>
          </w:tcPr>
          <w:p w14:paraId="65FD1E61" w14:textId="6B5B5371" w:rsidR="00022927" w:rsidRPr="00D74DE5" w:rsidRDefault="00022927" w:rsidP="00022927">
            <w:pPr>
              <w:spacing w:after="0"/>
              <w:rPr>
                <w:noProof/>
                <w:sz w:val="20"/>
                <w:szCs w:val="20"/>
              </w:rPr>
            </w:pPr>
            <w:r>
              <w:rPr>
                <w:noProof/>
                <w:sz w:val="20"/>
                <w:szCs w:val="20"/>
              </w:rPr>
              <w:t>Recurrent administrative</w:t>
            </w:r>
            <w:r w:rsidRPr="00D74DE5">
              <w:rPr>
                <w:noProof/>
                <w:sz w:val="20"/>
                <w:szCs w:val="20"/>
              </w:rPr>
              <w:t xml:space="preserve"> costs to maintain the Open Source Programme Office</w:t>
            </w:r>
            <w:r>
              <w:rPr>
                <w:noProof/>
                <w:sz w:val="20"/>
                <w:szCs w:val="20"/>
              </w:rPr>
              <w:t xml:space="preserve"> each year </w:t>
            </w:r>
          </w:p>
        </w:tc>
        <w:tc>
          <w:tcPr>
            <w:tcW w:w="1984" w:type="dxa"/>
            <w:vAlign w:val="center"/>
          </w:tcPr>
          <w:p w14:paraId="3A836F11" w14:textId="6D4694BA" w:rsidR="00022927" w:rsidRPr="00AA2E19" w:rsidRDefault="00022927" w:rsidP="00022927">
            <w:pPr>
              <w:spacing w:after="0"/>
              <w:jc w:val="right"/>
              <w:rPr>
                <w:noProof/>
                <w:sz w:val="20"/>
                <w:szCs w:val="20"/>
              </w:rPr>
            </w:pPr>
            <w:r w:rsidRPr="00AA2E19">
              <w:rPr>
                <w:noProof/>
                <w:sz w:val="20"/>
                <w:szCs w:val="20"/>
              </w:rPr>
              <w:t>EUR 60.5 – 211.7 m</w:t>
            </w:r>
          </w:p>
        </w:tc>
      </w:tr>
      <w:tr w:rsidR="00022927" w:rsidRPr="00D74DE5" w14:paraId="418D4A24" w14:textId="77777777" w:rsidTr="0080075C">
        <w:trPr>
          <w:cantSplit/>
        </w:trPr>
        <w:tc>
          <w:tcPr>
            <w:tcW w:w="1395" w:type="dxa"/>
            <w:shd w:val="clear" w:color="auto" w:fill="DBE5F1" w:themeFill="accent1" w:themeFillTint="33"/>
          </w:tcPr>
          <w:p w14:paraId="228E1FF7" w14:textId="6292B484" w:rsidR="00022927" w:rsidRPr="00B96EA3" w:rsidDel="00FD6E23" w:rsidRDefault="00780707" w:rsidP="00022927">
            <w:pPr>
              <w:spacing w:after="0"/>
              <w:rPr>
                <w:noProof/>
                <w:sz w:val="20"/>
                <w:szCs w:val="20"/>
                <w:highlight w:val="yellow"/>
              </w:rPr>
            </w:pPr>
            <w:r w:rsidRPr="00D74DE5">
              <w:rPr>
                <w:noProof/>
                <w:sz w:val="20"/>
                <w:szCs w:val="20"/>
              </w:rPr>
              <w:t>PO2-C PM2</w:t>
            </w:r>
            <w:r>
              <w:rPr>
                <w:noProof/>
                <w:sz w:val="20"/>
                <w:szCs w:val="20"/>
              </w:rPr>
              <w:t>1</w:t>
            </w:r>
          </w:p>
        </w:tc>
        <w:tc>
          <w:tcPr>
            <w:tcW w:w="6368" w:type="dxa"/>
          </w:tcPr>
          <w:p w14:paraId="416D110F" w14:textId="117ECDA3" w:rsidR="00022927" w:rsidRPr="001562C2" w:rsidRDefault="00B76E80" w:rsidP="00022927">
            <w:pPr>
              <w:spacing w:after="0"/>
              <w:rPr>
                <w:noProof/>
                <w:sz w:val="20"/>
                <w:szCs w:val="20"/>
              </w:rPr>
            </w:pPr>
            <w:r w:rsidRPr="001562C2">
              <w:rPr>
                <w:noProof/>
                <w:sz w:val="20"/>
                <w:szCs w:val="20"/>
              </w:rPr>
              <w:t xml:space="preserve">Recurrent cost savings from using the </w:t>
            </w:r>
            <w:r w:rsidR="00B46EEE" w:rsidRPr="001562C2">
              <w:rPr>
                <w:noProof/>
                <w:sz w:val="20"/>
                <w:szCs w:val="20"/>
              </w:rPr>
              <w:t>sovereignty scheme in tenders</w:t>
            </w:r>
          </w:p>
        </w:tc>
        <w:tc>
          <w:tcPr>
            <w:tcW w:w="1984" w:type="dxa"/>
            <w:vAlign w:val="center"/>
          </w:tcPr>
          <w:p w14:paraId="10344D7C" w14:textId="3208134D" w:rsidR="00022927" w:rsidRPr="001562C2" w:rsidRDefault="0035108C" w:rsidP="00022927">
            <w:pPr>
              <w:spacing w:after="0"/>
              <w:jc w:val="right"/>
              <w:rPr>
                <w:noProof/>
                <w:sz w:val="20"/>
                <w:szCs w:val="20"/>
              </w:rPr>
            </w:pPr>
            <w:r w:rsidRPr="001562C2">
              <w:rPr>
                <w:noProof/>
                <w:sz w:val="20"/>
                <w:szCs w:val="20"/>
              </w:rPr>
              <w:t xml:space="preserve">Around </w:t>
            </w:r>
            <w:r w:rsidR="00B46EEE" w:rsidRPr="001562C2">
              <w:rPr>
                <w:noProof/>
                <w:sz w:val="20"/>
                <w:szCs w:val="20"/>
              </w:rPr>
              <w:t xml:space="preserve">EUR </w:t>
            </w:r>
            <w:r w:rsidR="00F63C05" w:rsidRPr="001562C2">
              <w:rPr>
                <w:noProof/>
                <w:sz w:val="20"/>
                <w:szCs w:val="20"/>
              </w:rPr>
              <w:t>2.5</w:t>
            </w:r>
            <w:r w:rsidR="00B46EEE" w:rsidRPr="001562C2">
              <w:rPr>
                <w:noProof/>
                <w:sz w:val="20"/>
                <w:szCs w:val="20"/>
              </w:rPr>
              <w:t xml:space="preserve"> m</w:t>
            </w:r>
          </w:p>
        </w:tc>
      </w:tr>
      <w:tr w:rsidR="002A146C" w:rsidRPr="00D74DE5" w14:paraId="755E50E4" w14:textId="77777777" w:rsidTr="0080075C">
        <w:trPr>
          <w:cantSplit/>
        </w:trPr>
        <w:tc>
          <w:tcPr>
            <w:tcW w:w="1395" w:type="dxa"/>
            <w:shd w:val="clear" w:color="auto" w:fill="DBE5F1" w:themeFill="accent1" w:themeFillTint="33"/>
          </w:tcPr>
          <w:p w14:paraId="69AA5D8D" w14:textId="73A9B3E9" w:rsidR="002A146C" w:rsidRPr="00D74DE5" w:rsidRDefault="002A146C" w:rsidP="00022927">
            <w:pPr>
              <w:spacing w:after="0"/>
              <w:rPr>
                <w:noProof/>
                <w:sz w:val="20"/>
                <w:szCs w:val="20"/>
              </w:rPr>
            </w:pPr>
            <w:r w:rsidRPr="00D74DE5">
              <w:rPr>
                <w:noProof/>
                <w:sz w:val="20"/>
                <w:szCs w:val="20"/>
              </w:rPr>
              <w:t>PO2-C PM2</w:t>
            </w:r>
            <w:r>
              <w:rPr>
                <w:noProof/>
                <w:sz w:val="20"/>
                <w:szCs w:val="20"/>
              </w:rPr>
              <w:t>1</w:t>
            </w:r>
          </w:p>
        </w:tc>
        <w:tc>
          <w:tcPr>
            <w:tcW w:w="6368" w:type="dxa"/>
          </w:tcPr>
          <w:p w14:paraId="47D3CE07" w14:textId="0550C084" w:rsidR="002A146C" w:rsidRPr="001562C2" w:rsidRDefault="00CF328F" w:rsidP="00022927">
            <w:pPr>
              <w:spacing w:after="0"/>
              <w:rPr>
                <w:noProof/>
                <w:sz w:val="20"/>
                <w:szCs w:val="20"/>
              </w:rPr>
            </w:pPr>
            <w:r w:rsidRPr="001562C2">
              <w:rPr>
                <w:noProof/>
                <w:sz w:val="20"/>
                <w:szCs w:val="20"/>
              </w:rPr>
              <w:t xml:space="preserve">Recurrent administrative costs from </w:t>
            </w:r>
            <w:r w:rsidR="002F2769">
              <w:rPr>
                <w:noProof/>
                <w:sz w:val="20"/>
                <w:szCs w:val="20"/>
              </w:rPr>
              <w:t>validation of</w:t>
            </w:r>
            <w:r w:rsidR="002F2769" w:rsidRPr="001562C2">
              <w:rPr>
                <w:noProof/>
                <w:sz w:val="20"/>
                <w:szCs w:val="20"/>
              </w:rPr>
              <w:t xml:space="preserve"> </w:t>
            </w:r>
            <w:r w:rsidRPr="001562C2">
              <w:rPr>
                <w:noProof/>
                <w:sz w:val="20"/>
                <w:szCs w:val="20"/>
              </w:rPr>
              <w:t xml:space="preserve">the </w:t>
            </w:r>
            <w:r w:rsidR="002D7D01" w:rsidRPr="001562C2">
              <w:rPr>
                <w:noProof/>
                <w:sz w:val="20"/>
                <w:szCs w:val="20"/>
              </w:rPr>
              <w:t>audited services</w:t>
            </w:r>
            <w:r w:rsidR="00F7770B" w:rsidRPr="001562C2">
              <w:rPr>
                <w:noProof/>
                <w:sz w:val="20"/>
                <w:szCs w:val="20"/>
              </w:rPr>
              <w:t xml:space="preserve"> and renewals</w:t>
            </w:r>
          </w:p>
        </w:tc>
        <w:tc>
          <w:tcPr>
            <w:tcW w:w="1984" w:type="dxa"/>
            <w:vAlign w:val="center"/>
          </w:tcPr>
          <w:p w14:paraId="2393BA49" w14:textId="51B6D8B2" w:rsidR="002A146C" w:rsidRPr="001562C2" w:rsidRDefault="0030478E" w:rsidP="00022927">
            <w:pPr>
              <w:spacing w:after="0"/>
              <w:jc w:val="right"/>
              <w:rPr>
                <w:noProof/>
                <w:sz w:val="20"/>
                <w:szCs w:val="20"/>
              </w:rPr>
            </w:pPr>
            <w:r w:rsidRPr="001562C2">
              <w:rPr>
                <w:noProof/>
                <w:sz w:val="20"/>
                <w:szCs w:val="20"/>
              </w:rPr>
              <w:t>EUR 0.3 – 0.8 m</w:t>
            </w:r>
          </w:p>
        </w:tc>
      </w:tr>
    </w:tbl>
    <w:p w14:paraId="2975C9B5" w14:textId="77777777" w:rsidR="006B087E" w:rsidRPr="00F92EAE" w:rsidRDefault="006B087E" w:rsidP="000E3086">
      <w:pPr>
        <w:rPr>
          <w:noProof/>
        </w:rPr>
      </w:pPr>
    </w:p>
    <w:p w14:paraId="26C7E6B1" w14:textId="6B6D1731" w:rsidR="006B087E" w:rsidRPr="00C57B1E" w:rsidRDefault="006B087E" w:rsidP="000E3086">
      <w:pPr>
        <w:pStyle w:val="Heading1"/>
        <w:rPr>
          <w:noProof/>
        </w:rPr>
      </w:pPr>
      <w:bookmarkStart w:id="84" w:name="_Toc230792753"/>
      <w:r w:rsidRPr="00C57B1E">
        <w:rPr>
          <w:noProof/>
        </w:rPr>
        <w:t>How will actual impacts be monitored and evaluated?</w:t>
      </w:r>
      <w:bookmarkEnd w:id="84"/>
    </w:p>
    <w:p w14:paraId="02FACDE7" w14:textId="7992F37C" w:rsidR="00072463" w:rsidRDefault="4467ED47" w:rsidP="00072463">
      <w:pPr>
        <w:spacing w:after="120"/>
        <w:rPr>
          <w:noProof/>
        </w:rPr>
      </w:pPr>
      <w:r>
        <w:rPr>
          <w:noProof/>
        </w:rPr>
        <w:t xml:space="preserve">The Commission </w:t>
      </w:r>
      <w:r w:rsidR="5019B61D">
        <w:rPr>
          <w:noProof/>
        </w:rPr>
        <w:t xml:space="preserve">(DG CONNECT) </w:t>
      </w:r>
      <w:r>
        <w:rPr>
          <w:noProof/>
        </w:rPr>
        <w:t xml:space="preserve">will be responsible for monitoring the implementation of the intervention on a regular basis, possibly with the support of </w:t>
      </w:r>
      <w:r w:rsidR="00E04C59">
        <w:rPr>
          <w:noProof/>
        </w:rPr>
        <w:t xml:space="preserve">other Commission services, </w:t>
      </w:r>
      <w:r w:rsidR="5019B61D">
        <w:rPr>
          <w:noProof/>
        </w:rPr>
        <w:t xml:space="preserve">EU agencies, </w:t>
      </w:r>
      <w:r>
        <w:rPr>
          <w:noProof/>
        </w:rPr>
        <w:t xml:space="preserve">external studies, Member State and market data. </w:t>
      </w:r>
      <w:r w:rsidR="03E37AC9">
        <w:rPr>
          <w:noProof/>
        </w:rPr>
        <w:t>A</w:t>
      </w:r>
      <w:r>
        <w:rPr>
          <w:noProof/>
        </w:rPr>
        <w:t xml:space="preserve"> set of possible indicators is provided in the following table, alongside preliminary questions for the evaluation</w:t>
      </w:r>
      <w:r w:rsidR="4853F860">
        <w:rPr>
          <w:noProof/>
        </w:rPr>
        <w:t xml:space="preserve"> of the intervention, which is expected five years after implementation. Annex 11 presents the detailed monitoring framework devised for this intervention and how this will build upon existing schemes to avoid duplication and benefits from synergies.</w:t>
      </w:r>
    </w:p>
    <w:p w14:paraId="62CE7BF0" w14:textId="30E923FF" w:rsidR="00E61374" w:rsidRPr="006746F6" w:rsidRDefault="00E61374" w:rsidP="00D74DE5">
      <w:pPr>
        <w:spacing w:after="120"/>
        <w:rPr>
          <w:noProof/>
        </w:rPr>
      </w:pPr>
      <w:r>
        <w:rPr>
          <w:noProof/>
        </w:rPr>
        <w:t xml:space="preserve">With respect to the expected targets of the intervention, the data provided in this assessment presents indicative ranges, which should be interpreted as plausible trajectories. </w:t>
      </w:r>
      <w:r w:rsidR="001E563D" w:rsidRPr="009F2DE7">
        <w:rPr>
          <w:noProof/>
        </w:rPr>
        <w:t>In line with the Better Regulation Toolbox, quantitative targets were based on the problem analysis, baseline scenario, available evidence from the assessment, including validation through interviews, and the expected scale of policy impact. They were defined to quantitatively measure the effectiveness of the intervention in the next years and paired with indicators for a systematic review. They included a clear timeframe, i.e. by 2030 or 2035, expectations based on the evidence gathered and the availability of data collection systems to make this monitoring effective.</w:t>
      </w:r>
    </w:p>
    <w:p w14:paraId="3A880380" w14:textId="0C3D226D" w:rsidR="002E534E" w:rsidRDefault="002E534E" w:rsidP="002E534E">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18</w:t>
      </w:r>
      <w:r>
        <w:rPr>
          <w:noProof/>
        </w:rPr>
        <w:fldChar w:fldCharType="end"/>
      </w:r>
      <w:r>
        <w:rPr>
          <w:noProof/>
        </w:rPr>
        <w:t>. Summary of KPIs by Specific Objective</w:t>
      </w:r>
    </w:p>
    <w:tbl>
      <w:tblPr>
        <w:tblStyle w:val="ListTable3-Accent5"/>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4378"/>
        <w:gridCol w:w="2353"/>
      </w:tblGrid>
      <w:tr w:rsidR="00ED67EA" w:rsidRPr="00D74DE5" w14:paraId="7364991D" w14:textId="77777777" w:rsidTr="2A6A1A3F">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1456" w:type="pct"/>
            <w:shd w:val="clear" w:color="auto" w:fill="0070C0"/>
            <w:vAlign w:val="center"/>
          </w:tcPr>
          <w:p w14:paraId="291FDD7B" w14:textId="77777777" w:rsidR="00ED67EA" w:rsidRPr="005311CF" w:rsidRDefault="00ED67EA">
            <w:pPr>
              <w:spacing w:after="0"/>
              <w:rPr>
                <w:noProof/>
                <w:sz w:val="20"/>
                <w:szCs w:val="20"/>
              </w:rPr>
            </w:pPr>
            <w:r w:rsidRPr="005311CF">
              <w:rPr>
                <w:noProof/>
                <w:sz w:val="20"/>
                <w:szCs w:val="20"/>
              </w:rPr>
              <w:t xml:space="preserve">Operational objectives and performance thresholds </w:t>
            </w:r>
          </w:p>
        </w:tc>
        <w:tc>
          <w:tcPr>
            <w:tcW w:w="2305" w:type="pct"/>
            <w:shd w:val="clear" w:color="auto" w:fill="0070C0"/>
            <w:vAlign w:val="center"/>
          </w:tcPr>
          <w:p w14:paraId="468071FA" w14:textId="77777777" w:rsidR="00ED67EA" w:rsidRPr="005311CF" w:rsidRDefault="00ED67EA">
            <w:pPr>
              <w:spacing w:after="0"/>
              <w:cnfStyle w:val="100000000000" w:firstRow="1" w:lastRow="0" w:firstColumn="0" w:lastColumn="0" w:oddVBand="0" w:evenVBand="0" w:oddHBand="0" w:evenHBand="0" w:firstRowFirstColumn="0" w:firstRowLastColumn="0" w:lastRowFirstColumn="0" w:lastRowLastColumn="0"/>
              <w:rPr>
                <w:noProof/>
                <w:sz w:val="20"/>
                <w:szCs w:val="20"/>
              </w:rPr>
            </w:pPr>
            <w:r w:rsidRPr="005311CF">
              <w:rPr>
                <w:noProof/>
                <w:sz w:val="20"/>
                <w:szCs w:val="20"/>
              </w:rPr>
              <w:t>Possible indicators for monitoring/evaluation</w:t>
            </w:r>
          </w:p>
        </w:tc>
        <w:tc>
          <w:tcPr>
            <w:tcW w:w="1239" w:type="pct"/>
            <w:shd w:val="clear" w:color="auto" w:fill="0070C0"/>
            <w:vAlign w:val="center"/>
          </w:tcPr>
          <w:p w14:paraId="48A169CC" w14:textId="77777777" w:rsidR="00ED67EA" w:rsidRPr="005311CF" w:rsidRDefault="00ED67EA">
            <w:pPr>
              <w:spacing w:after="0"/>
              <w:cnfStyle w:val="100000000000" w:firstRow="1" w:lastRow="0" w:firstColumn="0" w:lastColumn="0" w:oddVBand="0" w:evenVBand="0" w:oddHBand="0" w:evenHBand="0" w:firstRowFirstColumn="0" w:firstRowLastColumn="0" w:lastRowFirstColumn="0" w:lastRowLastColumn="0"/>
              <w:rPr>
                <w:noProof/>
                <w:sz w:val="20"/>
                <w:szCs w:val="20"/>
              </w:rPr>
            </w:pPr>
            <w:r w:rsidRPr="005311CF">
              <w:rPr>
                <w:noProof/>
                <w:sz w:val="20"/>
                <w:szCs w:val="20"/>
              </w:rPr>
              <w:t>Main data sources and data collection methods</w:t>
            </w:r>
          </w:p>
        </w:tc>
      </w:tr>
      <w:tr w:rsidR="006F2D0A" w:rsidRPr="00F25BCB" w14:paraId="491D895F" w14:textId="77777777" w:rsidTr="2A6A1A3F">
        <w:trPr>
          <w:trHeight w:val="509"/>
        </w:trPr>
        <w:tc>
          <w:tcPr>
            <w:cnfStyle w:val="001000000000" w:firstRow="0" w:lastRow="0" w:firstColumn="1" w:lastColumn="0" w:oddVBand="0" w:evenVBand="0" w:oddHBand="0" w:evenHBand="0" w:firstRowFirstColumn="0" w:firstRowLastColumn="0" w:lastRowFirstColumn="0" w:lastRowLastColumn="0"/>
            <w:tcW w:w="1456" w:type="pct"/>
            <w:shd w:val="clear" w:color="auto" w:fill="FFFFFF" w:themeFill="background1"/>
          </w:tcPr>
          <w:p w14:paraId="7552DDDA" w14:textId="7B16C5E6" w:rsidR="00ED67EA" w:rsidRPr="00D74DE5" w:rsidRDefault="007A1D16">
            <w:pPr>
              <w:spacing w:after="0"/>
              <w:rPr>
                <w:noProof/>
                <w:sz w:val="20"/>
                <w:szCs w:val="20"/>
                <w:highlight w:val="red"/>
              </w:rPr>
            </w:pPr>
            <w:r w:rsidRPr="007A1D16">
              <w:rPr>
                <w:noProof/>
                <w:sz w:val="20"/>
                <w:szCs w:val="20"/>
              </w:rPr>
              <w:t xml:space="preserve">Increase computing capacity deployed in the EU through innovative and sustainable </w:t>
            </w:r>
            <w:r w:rsidR="6B376CC3" w:rsidRPr="00B82366" w:rsidDel="007A1D16">
              <w:rPr>
                <w:noProof/>
                <w:sz w:val="20"/>
                <w:szCs w:val="20"/>
              </w:rPr>
              <w:t>technologies</w:t>
            </w:r>
            <w:r w:rsidR="280FAA52" w:rsidRPr="005C4A4F">
              <w:rPr>
                <w:noProof/>
                <w:sz w:val="20"/>
                <w:szCs w:val="20"/>
              </w:rPr>
              <w:t xml:space="preserve">: </w:t>
            </w:r>
            <w:r w:rsidR="280FAA52" w:rsidRPr="00307521">
              <w:rPr>
                <w:b w:val="0"/>
                <w:bCs w:val="0"/>
                <w:noProof/>
                <w:sz w:val="20"/>
                <w:szCs w:val="20"/>
              </w:rPr>
              <w:t>By 2030, +200% EU computing capacity vs 2025 and ensuring that such capacity fully covers its needs by 2035</w:t>
            </w:r>
            <w:r w:rsidR="00ED67EA" w:rsidRPr="00307521">
              <w:rPr>
                <w:rStyle w:val="FootnoteReference"/>
                <w:b w:val="0"/>
                <w:bCs w:val="0"/>
                <w:noProof/>
                <w:sz w:val="20"/>
                <w:szCs w:val="20"/>
              </w:rPr>
              <w:footnoteReference w:id="134"/>
            </w:r>
            <w:r w:rsidR="280FAA52" w:rsidRPr="00307521">
              <w:rPr>
                <w:b w:val="0"/>
                <w:bCs w:val="0"/>
                <w:noProof/>
                <w:sz w:val="20"/>
                <w:szCs w:val="20"/>
              </w:rPr>
              <w:t>; ≥25% of global share</w:t>
            </w:r>
            <w:r w:rsidR="00ED67EA" w:rsidRPr="00307521">
              <w:rPr>
                <w:rStyle w:val="FootnoteReference"/>
                <w:b w:val="0"/>
                <w:bCs w:val="0"/>
                <w:noProof/>
                <w:sz w:val="20"/>
                <w:szCs w:val="20"/>
              </w:rPr>
              <w:footnoteReference w:id="135"/>
            </w:r>
            <w:r w:rsidR="280FAA52" w:rsidRPr="00307521">
              <w:rPr>
                <w:b w:val="0"/>
                <w:bCs w:val="0"/>
                <w:noProof/>
                <w:sz w:val="20"/>
                <w:szCs w:val="20"/>
              </w:rPr>
              <w:t>; energy-efficient technologies in ≥80% of new facilities</w:t>
            </w:r>
            <w:r w:rsidR="00ED67EA" w:rsidRPr="00307521">
              <w:rPr>
                <w:rStyle w:val="FootnoteReference"/>
                <w:b w:val="0"/>
                <w:bCs w:val="0"/>
                <w:noProof/>
                <w:sz w:val="20"/>
                <w:szCs w:val="20"/>
              </w:rPr>
              <w:footnoteReference w:id="136"/>
            </w:r>
            <w:r w:rsidR="280FAA52" w:rsidRPr="00307521">
              <w:rPr>
                <w:b w:val="0"/>
                <w:bCs w:val="0"/>
                <w:noProof/>
                <w:sz w:val="20"/>
                <w:szCs w:val="20"/>
              </w:rPr>
              <w:t>.</w:t>
            </w:r>
          </w:p>
        </w:tc>
        <w:tc>
          <w:tcPr>
            <w:tcW w:w="2305" w:type="pct"/>
            <w:shd w:val="clear" w:color="auto" w:fill="FFFFFF" w:themeFill="background1"/>
          </w:tcPr>
          <w:p w14:paraId="0715D8D4" w14:textId="77777777" w:rsidR="00ED67EA"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Installed computing capacity (MW IT load) by MS</w:t>
            </w:r>
          </w:p>
          <w:p w14:paraId="6C2BEE64" w14:textId="77777777" w:rsidR="00ED67EA" w:rsidRPr="007776E8"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7776E8">
              <w:rPr>
                <w:noProof/>
                <w:sz w:val="20"/>
                <w:szCs w:val="20"/>
              </w:rPr>
              <w:t>Aggregate general purpose and AI-optimised compute, shifting to a measurement by FLOPs as opposed to MW.</w:t>
            </w:r>
          </w:p>
          <w:p w14:paraId="6C656710" w14:textId="77777777"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EU share of global installed computing capacity </w:t>
            </w:r>
          </w:p>
          <w:p w14:paraId="092FD105" w14:textId="77777777"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Number</w:t>
            </w:r>
            <w:r w:rsidRPr="00D74DE5">
              <w:rPr>
                <w:noProof/>
                <w:sz w:val="20"/>
                <w:szCs w:val="20"/>
              </w:rPr>
              <w:t xml:space="preserve"> of new EU-based </w:t>
            </w:r>
            <w:r>
              <w:rPr>
                <w:noProof/>
                <w:sz w:val="20"/>
                <w:szCs w:val="20"/>
              </w:rPr>
              <w:t>DCs</w:t>
            </w:r>
            <w:r w:rsidRPr="00D74DE5">
              <w:rPr>
                <w:noProof/>
                <w:sz w:val="20"/>
                <w:szCs w:val="20"/>
              </w:rPr>
              <w:t xml:space="preserve"> operational per year</w:t>
            </w:r>
          </w:p>
          <w:p w14:paraId="0A725834" w14:textId="77777777" w:rsidR="00ED67EA"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Utilisation rate of EU computing capacity; measures on PUE, WUE, location-based emissions and related environmental impact of data centres </w:t>
            </w:r>
          </w:p>
          <w:p w14:paraId="5D0E3C65" w14:textId="6AC513CC" w:rsidR="00B91512" w:rsidRDefault="00B91512">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Deployment of innovative and energy-efficient technologies (</w:t>
            </w:r>
            <w:r w:rsidR="00EC31C1">
              <w:rPr>
                <w:noProof/>
                <w:sz w:val="20"/>
                <w:szCs w:val="20"/>
              </w:rPr>
              <w:t>pilots launched and uptake of new solutions)</w:t>
            </w:r>
          </w:p>
          <w:p w14:paraId="2F1F8664" w14:textId="77777777" w:rsidR="00B91512" w:rsidRDefault="00B91512" w:rsidP="00B91512">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Share of renewable energy in data centres and waste-hea</w:t>
            </w:r>
            <w:r>
              <w:rPr>
                <w:noProof/>
                <w:sz w:val="20"/>
                <w:szCs w:val="20"/>
              </w:rPr>
              <w:t>t</w:t>
            </w:r>
            <w:r w:rsidRPr="00D74DE5">
              <w:rPr>
                <w:noProof/>
                <w:sz w:val="20"/>
                <w:szCs w:val="20"/>
              </w:rPr>
              <w:t xml:space="preserve"> reuse</w:t>
            </w:r>
          </w:p>
          <w:p w14:paraId="69DD57AC" w14:textId="3990D113" w:rsidR="00E4019C" w:rsidRPr="005311CF" w:rsidRDefault="00E4019C" w:rsidP="00E4019C">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Total annual </w:t>
            </w:r>
            <w:r>
              <w:rPr>
                <w:noProof/>
                <w:sz w:val="20"/>
                <w:szCs w:val="20"/>
              </w:rPr>
              <w:t xml:space="preserve">public and private </w:t>
            </w:r>
            <w:r w:rsidRPr="00D74DE5">
              <w:rPr>
                <w:noProof/>
                <w:sz w:val="20"/>
                <w:szCs w:val="20"/>
              </w:rPr>
              <w:t xml:space="preserve">investment in EU-based </w:t>
            </w:r>
            <w:r>
              <w:rPr>
                <w:noProof/>
                <w:sz w:val="20"/>
                <w:szCs w:val="20"/>
              </w:rPr>
              <w:t>DCs</w:t>
            </w:r>
            <w:r w:rsidRPr="00D74DE5">
              <w:rPr>
                <w:noProof/>
                <w:sz w:val="20"/>
                <w:szCs w:val="20"/>
              </w:rPr>
              <w:t xml:space="preserve"> </w:t>
            </w:r>
          </w:p>
          <w:p w14:paraId="5FAE7CE2" w14:textId="53AB6879" w:rsidR="00B91512" w:rsidRPr="00D74DE5" w:rsidRDefault="00B91512">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Share of new data centre capacity deployed outside existing hubs and in underserved regions</w:t>
            </w:r>
          </w:p>
        </w:tc>
        <w:tc>
          <w:tcPr>
            <w:tcW w:w="1239" w:type="pct"/>
            <w:shd w:val="clear" w:color="auto" w:fill="FFFFFF" w:themeFill="background1"/>
          </w:tcPr>
          <w:p w14:paraId="43F9DA92"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Survey (and follow-up interviews) of data centre operators, national authorities and TSOs/DSOs</w:t>
            </w:r>
          </w:p>
          <w:p w14:paraId="6342DF2A"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Desk research</w:t>
            </w:r>
          </w:p>
          <w:p w14:paraId="17783D14"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EED reporting </w:t>
            </w:r>
          </w:p>
          <w:p w14:paraId="7ACBF48A"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Interviews with experts, academia, think tanks and associations</w:t>
            </w:r>
          </w:p>
          <w:p w14:paraId="7D714EE3" w14:textId="77777777" w:rsidR="00ED67EA" w:rsidRPr="00703B2E"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it-IT"/>
              </w:rPr>
            </w:pPr>
            <w:r w:rsidRPr="00703B2E">
              <w:rPr>
                <w:noProof/>
                <w:sz w:val="20"/>
                <w:szCs w:val="20"/>
                <w:lang w:val="it-IT"/>
              </w:rPr>
              <w:t>Industry dataset, e.g. Data Centre Map, EUDCA</w:t>
            </w:r>
          </w:p>
          <w:p w14:paraId="7EEC44EF" w14:textId="77777777" w:rsidR="00ED67EA" w:rsidRPr="00703B2E"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it-IT"/>
              </w:rPr>
            </w:pPr>
            <w:r w:rsidRPr="00703B2E">
              <w:rPr>
                <w:noProof/>
                <w:sz w:val="20"/>
                <w:szCs w:val="20"/>
                <w:lang w:val="it-IT"/>
              </w:rPr>
              <w:t>EEA emission data</w:t>
            </w:r>
          </w:p>
        </w:tc>
      </w:tr>
      <w:tr w:rsidR="00ED67EA" w:rsidRPr="00D74DE5" w14:paraId="66FE0A78" w14:textId="77777777" w:rsidTr="2A6A1A3F">
        <w:trPr>
          <w:trHeight w:val="367"/>
        </w:trPr>
        <w:tc>
          <w:tcPr>
            <w:cnfStyle w:val="001000000000" w:firstRow="0" w:lastRow="0" w:firstColumn="1" w:lastColumn="0" w:oddVBand="0" w:evenVBand="0" w:oddHBand="0" w:evenHBand="0" w:firstRowFirstColumn="0" w:firstRowLastColumn="0" w:lastRowFirstColumn="0" w:lastRowLastColumn="0"/>
            <w:tcW w:w="1456" w:type="pct"/>
            <w:shd w:val="clear" w:color="auto" w:fill="FFFFFF" w:themeFill="background1"/>
          </w:tcPr>
          <w:p w14:paraId="0D2BE7CB" w14:textId="6B9E37AB" w:rsidR="00ED67EA" w:rsidRPr="00D74DE5" w:rsidRDefault="280FAA52">
            <w:pPr>
              <w:spacing w:after="0"/>
              <w:rPr>
                <w:noProof/>
                <w:sz w:val="20"/>
                <w:szCs w:val="20"/>
                <w:highlight w:val="red"/>
              </w:rPr>
            </w:pPr>
            <w:r w:rsidRPr="00D74DE5">
              <w:rPr>
                <w:noProof/>
                <w:sz w:val="20"/>
                <w:szCs w:val="20"/>
              </w:rPr>
              <w:t xml:space="preserve">Ensure </w:t>
            </w:r>
            <w:r w:rsidR="59F220EA">
              <w:rPr>
                <w:noProof/>
                <w:sz w:val="20"/>
                <w:szCs w:val="20"/>
              </w:rPr>
              <w:t>attractive</w:t>
            </w:r>
            <w:r w:rsidRPr="00D74DE5">
              <w:rPr>
                <w:noProof/>
                <w:sz w:val="20"/>
                <w:szCs w:val="20"/>
              </w:rPr>
              <w:t xml:space="preserve"> conditions for </w:t>
            </w:r>
            <w:r w:rsidR="59F220EA" w:rsidRPr="00EC31C1">
              <w:rPr>
                <w:noProof/>
                <w:sz w:val="20"/>
                <w:szCs w:val="20"/>
              </w:rPr>
              <w:t>the deployment of sustainable and innovative computing capacity</w:t>
            </w:r>
            <w:r w:rsidRPr="00D74DE5">
              <w:rPr>
                <w:noProof/>
                <w:sz w:val="20"/>
                <w:szCs w:val="20"/>
              </w:rPr>
              <w:t xml:space="preserve">: </w:t>
            </w:r>
            <w:r w:rsidRPr="00307521">
              <w:rPr>
                <w:b w:val="0"/>
                <w:bCs w:val="0"/>
                <w:noProof/>
                <w:sz w:val="20"/>
                <w:szCs w:val="20"/>
              </w:rPr>
              <w:t>By 2030, overall permitting time should be &lt;18 months</w:t>
            </w:r>
            <w:r w:rsidR="00ED67EA" w:rsidRPr="00307521">
              <w:rPr>
                <w:rStyle w:val="FootnoteReference"/>
                <w:b w:val="0"/>
                <w:bCs w:val="0"/>
                <w:noProof/>
                <w:sz w:val="20"/>
                <w:szCs w:val="20"/>
              </w:rPr>
              <w:footnoteReference w:id="137"/>
            </w:r>
            <w:r w:rsidRPr="00307521">
              <w:rPr>
                <w:b w:val="0"/>
                <w:bCs w:val="0"/>
                <w:noProof/>
                <w:sz w:val="20"/>
                <w:szCs w:val="20"/>
              </w:rPr>
              <w:t>, +30% annual investment vs. 2025</w:t>
            </w:r>
            <w:r w:rsidR="00ED67EA" w:rsidRPr="00307521">
              <w:rPr>
                <w:rStyle w:val="FootnoteReference"/>
                <w:b w:val="0"/>
                <w:bCs w:val="0"/>
                <w:noProof/>
                <w:sz w:val="20"/>
                <w:szCs w:val="20"/>
              </w:rPr>
              <w:footnoteReference w:id="138"/>
            </w:r>
            <w:r w:rsidRPr="00307521">
              <w:rPr>
                <w:b w:val="0"/>
                <w:bCs w:val="0"/>
                <w:noProof/>
                <w:sz w:val="20"/>
                <w:szCs w:val="20"/>
              </w:rPr>
              <w:t>, ≥20 MS with harmonised frameworks</w:t>
            </w:r>
            <w:r w:rsidR="00ED67EA" w:rsidRPr="00307521">
              <w:rPr>
                <w:rStyle w:val="FootnoteReference"/>
                <w:b w:val="0"/>
                <w:bCs w:val="0"/>
                <w:noProof/>
                <w:sz w:val="20"/>
                <w:szCs w:val="20"/>
              </w:rPr>
              <w:footnoteReference w:id="139"/>
            </w:r>
            <w:r w:rsidRPr="00307521">
              <w:rPr>
                <w:b w:val="0"/>
                <w:bCs w:val="0"/>
                <w:noProof/>
                <w:sz w:val="20"/>
                <w:szCs w:val="20"/>
              </w:rPr>
              <w:t>.</w:t>
            </w:r>
          </w:p>
        </w:tc>
        <w:tc>
          <w:tcPr>
            <w:tcW w:w="2305" w:type="pct"/>
            <w:shd w:val="clear" w:color="auto" w:fill="FFFFFF" w:themeFill="background1"/>
          </w:tcPr>
          <w:p w14:paraId="686807E6" w14:textId="5007DF6F"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Average permitting time for </w:t>
            </w:r>
            <w:r w:rsidR="00EC31C1">
              <w:rPr>
                <w:noProof/>
                <w:sz w:val="20"/>
                <w:szCs w:val="20"/>
              </w:rPr>
              <w:t>new</w:t>
            </w:r>
            <w:r w:rsidRPr="00D74DE5">
              <w:rPr>
                <w:noProof/>
                <w:sz w:val="20"/>
                <w:szCs w:val="20"/>
              </w:rPr>
              <w:t xml:space="preserve"> data centre</w:t>
            </w:r>
            <w:r w:rsidR="00EC31C1">
              <w:rPr>
                <w:noProof/>
                <w:sz w:val="20"/>
                <w:szCs w:val="20"/>
              </w:rPr>
              <w:t xml:space="preserve"> projects</w:t>
            </w:r>
          </w:p>
          <w:p w14:paraId="4FC85710" w14:textId="77777777" w:rsidR="00EC31C1" w:rsidRDefault="00EC31C1">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Total administrative burden for operators </w:t>
            </w:r>
          </w:p>
          <w:p w14:paraId="012F1B8E" w14:textId="77777777" w:rsidR="00EC31C1" w:rsidRPr="00D74DE5" w:rsidRDefault="00EC31C1" w:rsidP="00EC31C1">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Share of projects delayed/cancelled due to regulatory or infrastructure barriers </w:t>
            </w:r>
          </w:p>
          <w:p w14:paraId="7A03E262" w14:textId="2CB8FCD6"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No.</w:t>
            </w:r>
            <w:r w:rsidRPr="00D74DE5">
              <w:rPr>
                <w:noProof/>
                <w:sz w:val="20"/>
                <w:szCs w:val="20"/>
              </w:rPr>
              <w:t xml:space="preserve"> of MS with simplified permitting frameworks </w:t>
            </w:r>
          </w:p>
          <w:p w14:paraId="278D418A" w14:textId="77777777"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Cost competitiveness index (€/MW build cost, €/MWh energy cost vs. US/Asia) </w:t>
            </w:r>
          </w:p>
        </w:tc>
        <w:tc>
          <w:tcPr>
            <w:tcW w:w="1239" w:type="pct"/>
            <w:shd w:val="clear" w:color="auto" w:fill="FFFFFF" w:themeFill="background1"/>
          </w:tcPr>
          <w:p w14:paraId="71181875"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Surveys per (and follow-up interviews) across national authorities and operators</w:t>
            </w:r>
          </w:p>
          <w:p w14:paraId="446F2BBA"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FDI statistics</w:t>
            </w:r>
          </w:p>
          <w:p w14:paraId="77ED55B5"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Eurostat</w:t>
            </w:r>
          </w:p>
        </w:tc>
      </w:tr>
      <w:tr w:rsidR="00ED67EA" w:rsidRPr="00D74DE5" w14:paraId="5B27C32F" w14:textId="77777777" w:rsidTr="2A6A1A3F">
        <w:tc>
          <w:tcPr>
            <w:cnfStyle w:val="001000000000" w:firstRow="0" w:lastRow="0" w:firstColumn="1" w:lastColumn="0" w:oddVBand="0" w:evenVBand="0" w:oddHBand="0" w:evenHBand="0" w:firstRowFirstColumn="0" w:firstRowLastColumn="0" w:lastRowFirstColumn="0" w:lastRowLastColumn="0"/>
            <w:tcW w:w="1456" w:type="pct"/>
            <w:shd w:val="clear" w:color="auto" w:fill="FFFFFF" w:themeFill="background1"/>
          </w:tcPr>
          <w:p w14:paraId="3AE49867" w14:textId="34E9DC76" w:rsidR="00ED67EA" w:rsidRPr="00D74DE5" w:rsidRDefault="007A1D16">
            <w:pPr>
              <w:spacing w:after="0"/>
              <w:rPr>
                <w:noProof/>
                <w:sz w:val="20"/>
                <w:szCs w:val="20"/>
              </w:rPr>
            </w:pPr>
            <w:r w:rsidRPr="007A1D16">
              <w:rPr>
                <w:noProof/>
                <w:sz w:val="20"/>
                <w:szCs w:val="20"/>
              </w:rPr>
              <w:t xml:space="preserve">Decrease the overall reliance on non-European cloud and AI computing </w:t>
            </w:r>
            <w:r w:rsidR="00ED67EA" w:rsidRPr="00D74DE5" w:rsidDel="007A1D16">
              <w:rPr>
                <w:noProof/>
                <w:sz w:val="20"/>
                <w:szCs w:val="20"/>
              </w:rPr>
              <w:t>services</w:t>
            </w:r>
            <w:r w:rsidR="00ED67EA" w:rsidRPr="00D74DE5">
              <w:rPr>
                <w:noProof/>
                <w:sz w:val="20"/>
                <w:szCs w:val="20"/>
              </w:rPr>
              <w:t xml:space="preserve">: </w:t>
            </w:r>
            <w:r w:rsidR="00ED67EA" w:rsidRPr="00D74DE5">
              <w:rPr>
                <w:b w:val="0"/>
                <w:bCs w:val="0"/>
                <w:noProof/>
                <w:sz w:val="20"/>
                <w:szCs w:val="20"/>
              </w:rPr>
              <w:t xml:space="preserve">By 2035, </w:t>
            </w:r>
            <w:r w:rsidR="00D9063D" w:rsidRPr="00D9063D">
              <w:rPr>
                <w:b w:val="0"/>
                <w:bCs w:val="0"/>
                <w:noProof/>
                <w:sz w:val="20"/>
                <w:szCs w:val="20"/>
              </w:rPr>
              <w:t xml:space="preserve">≥ 30% market share of </w:t>
            </w:r>
            <w:r w:rsidR="00ED67EA" w:rsidRPr="00D74DE5">
              <w:rPr>
                <w:b w:val="0"/>
                <w:bCs w:val="0"/>
                <w:noProof/>
                <w:sz w:val="20"/>
                <w:szCs w:val="20"/>
              </w:rPr>
              <w:t xml:space="preserve">EU-homegrown cloud and AI computing service </w:t>
            </w:r>
            <w:r w:rsidR="00ED67EA">
              <w:rPr>
                <w:b w:val="0"/>
                <w:noProof/>
                <w:sz w:val="20"/>
                <w:szCs w:val="20"/>
              </w:rPr>
              <w:t>providers</w:t>
            </w:r>
            <w:r w:rsidR="00ED67EA" w:rsidRPr="00D74DE5">
              <w:rPr>
                <w:b w:val="0"/>
                <w:bCs w:val="0"/>
                <w:noProof/>
                <w:sz w:val="20"/>
                <w:szCs w:val="20"/>
              </w:rPr>
              <w:t xml:space="preserve"> in the EU</w:t>
            </w:r>
            <w:r w:rsidR="004270F7">
              <w:rPr>
                <w:b w:val="0"/>
                <w:bCs w:val="0"/>
                <w:noProof/>
                <w:sz w:val="20"/>
                <w:szCs w:val="20"/>
              </w:rPr>
              <w:t>, i. e. at least doubling it against the baseline</w:t>
            </w:r>
            <w:r w:rsidR="00705603">
              <w:rPr>
                <w:b w:val="0"/>
                <w:bCs w:val="0"/>
                <w:noProof/>
                <w:sz w:val="20"/>
                <w:szCs w:val="20"/>
              </w:rPr>
              <w:t xml:space="preserve"> </w:t>
            </w:r>
          </w:p>
        </w:tc>
        <w:tc>
          <w:tcPr>
            <w:tcW w:w="2305" w:type="pct"/>
            <w:shd w:val="clear" w:color="auto" w:fill="FFFFFF" w:themeFill="background1"/>
          </w:tcPr>
          <w:p w14:paraId="6EB77617" w14:textId="2E3ECB86"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Share of total EU cloud and AI computing services revenue captured by </w:t>
            </w:r>
            <w:r w:rsidR="007A1D16" w:rsidRPr="00D74DE5">
              <w:rPr>
                <w:noProof/>
                <w:sz w:val="20"/>
                <w:szCs w:val="20"/>
              </w:rPr>
              <w:t>E</w:t>
            </w:r>
            <w:r w:rsidR="007A1D16">
              <w:rPr>
                <w:noProof/>
                <w:sz w:val="20"/>
                <w:szCs w:val="20"/>
              </w:rPr>
              <w:t>uropean</w:t>
            </w:r>
            <w:r w:rsidRPr="00D74DE5">
              <w:rPr>
                <w:noProof/>
                <w:sz w:val="20"/>
                <w:szCs w:val="20"/>
              </w:rPr>
              <w:t xml:space="preserve"> service providers </w:t>
            </w:r>
          </w:p>
          <w:p w14:paraId="0F3A45EC" w14:textId="1542DB94"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Number</w:t>
            </w:r>
            <w:r w:rsidRPr="00D74DE5">
              <w:rPr>
                <w:noProof/>
                <w:sz w:val="20"/>
                <w:szCs w:val="20"/>
              </w:rPr>
              <w:t xml:space="preserve"> of public sector </w:t>
            </w:r>
            <w:r w:rsidR="00C57B1E">
              <w:rPr>
                <w:noProof/>
                <w:sz w:val="20"/>
                <w:szCs w:val="20"/>
              </w:rPr>
              <w:t>authorities</w:t>
            </w:r>
            <w:r w:rsidRPr="00C80D7A">
              <w:rPr>
                <w:noProof/>
                <w:sz w:val="20"/>
                <w:szCs w:val="20"/>
              </w:rPr>
              <w:t xml:space="preserve"> </w:t>
            </w:r>
            <w:r w:rsidRPr="00D74DE5">
              <w:rPr>
                <w:noProof/>
                <w:sz w:val="20"/>
                <w:szCs w:val="20"/>
              </w:rPr>
              <w:t xml:space="preserve">served by sovereign providers per MS </w:t>
            </w:r>
          </w:p>
          <w:p w14:paraId="4999220F" w14:textId="581D982C"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Share of installed EU </w:t>
            </w:r>
            <w:r>
              <w:rPr>
                <w:noProof/>
                <w:sz w:val="20"/>
                <w:szCs w:val="20"/>
              </w:rPr>
              <w:t>DC</w:t>
            </w:r>
            <w:r w:rsidRPr="00C80D7A">
              <w:rPr>
                <w:noProof/>
                <w:sz w:val="20"/>
                <w:szCs w:val="20"/>
              </w:rPr>
              <w:t xml:space="preserve"> </w:t>
            </w:r>
            <w:r w:rsidRPr="00D74DE5">
              <w:rPr>
                <w:noProof/>
                <w:sz w:val="20"/>
                <w:szCs w:val="20"/>
              </w:rPr>
              <w:t>capacity owned by E</w:t>
            </w:r>
            <w:r w:rsidR="007A1D16">
              <w:rPr>
                <w:noProof/>
                <w:sz w:val="20"/>
                <w:szCs w:val="20"/>
              </w:rPr>
              <w:t>uropean</w:t>
            </w:r>
            <w:r w:rsidRPr="00D74DE5">
              <w:rPr>
                <w:noProof/>
                <w:sz w:val="20"/>
                <w:szCs w:val="20"/>
              </w:rPr>
              <w:t xml:space="preserve"> providers </w:t>
            </w:r>
          </w:p>
          <w:p w14:paraId="12BC838D" w14:textId="77777777" w:rsidR="00ED67EA" w:rsidRPr="00D74DE5" w:rsidRDefault="00ED67EA">
            <w:pPr>
              <w:pStyle w:val="ListParagraph"/>
              <w:numPr>
                <w:ilvl w:val="0"/>
                <w:numId w:val="26"/>
              </w:numPr>
              <w:spacing w:after="0"/>
              <w:ind w:left="171" w:hanging="171"/>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Share of idle capacity shared among MS</w:t>
            </w:r>
          </w:p>
        </w:tc>
        <w:tc>
          <w:tcPr>
            <w:tcW w:w="1239" w:type="pct"/>
            <w:shd w:val="clear" w:color="auto" w:fill="FFFFFF" w:themeFill="background1"/>
          </w:tcPr>
          <w:p w14:paraId="650F737D"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Survey (and follow-up interviews) of data centre operators and national authorities</w:t>
            </w:r>
          </w:p>
          <w:p w14:paraId="1CCE7640"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Desk research</w:t>
            </w:r>
          </w:p>
          <w:p w14:paraId="379B480C" w14:textId="77777777" w:rsidR="00ED67EA" w:rsidRPr="00D74DE5" w:rsidRDefault="00ED67E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Market research</w:t>
            </w:r>
          </w:p>
        </w:tc>
      </w:tr>
      <w:tr w:rsidR="00ED67EA" w:rsidRPr="00D74DE5" w14:paraId="740DDC6B" w14:textId="77777777" w:rsidTr="009B5B91">
        <w:trPr>
          <w:trHeight w:val="54"/>
        </w:trPr>
        <w:tc>
          <w:tcPr>
            <w:cnfStyle w:val="001000000000" w:firstRow="0" w:lastRow="0" w:firstColumn="1" w:lastColumn="0" w:oddVBand="0" w:evenVBand="0" w:oddHBand="0" w:evenHBand="0" w:firstRowFirstColumn="0" w:firstRowLastColumn="0" w:lastRowFirstColumn="0" w:lastRowLastColumn="0"/>
            <w:tcW w:w="1456" w:type="pct"/>
            <w:shd w:val="clear" w:color="auto" w:fill="FFFFFF" w:themeFill="background1"/>
            <w:vAlign w:val="center"/>
          </w:tcPr>
          <w:p w14:paraId="1F77BF36" w14:textId="5FAA56A1" w:rsidR="00ED67EA" w:rsidRPr="00D74DE5" w:rsidRDefault="00521C7C" w:rsidP="005311CF">
            <w:pPr>
              <w:spacing w:after="0"/>
              <w:jc w:val="left"/>
              <w:rPr>
                <w:noProof/>
                <w:sz w:val="20"/>
                <w:szCs w:val="20"/>
              </w:rPr>
            </w:pPr>
            <w:r w:rsidRPr="00521C7C">
              <w:rPr>
                <w:noProof/>
                <w:sz w:val="20"/>
                <w:szCs w:val="20"/>
              </w:rPr>
              <w:t>Contribute to the protection of public order by enhancing the resilience of supply of cloud and AI computing services, in particular in the public sector</w:t>
            </w:r>
            <w:r w:rsidR="280FAA52" w:rsidRPr="00D74DE5">
              <w:rPr>
                <w:noProof/>
                <w:sz w:val="20"/>
                <w:szCs w:val="20"/>
              </w:rPr>
              <w:t xml:space="preserve">: </w:t>
            </w:r>
            <w:r w:rsidR="280FAA52" w:rsidRPr="00D74DE5">
              <w:rPr>
                <w:b w:val="0"/>
                <w:bCs w:val="0"/>
                <w:noProof/>
                <w:sz w:val="20"/>
                <w:szCs w:val="20"/>
              </w:rPr>
              <w:t>By 203</w:t>
            </w:r>
            <w:r w:rsidR="280FAA52">
              <w:rPr>
                <w:b w:val="0"/>
                <w:bCs w:val="0"/>
                <w:noProof/>
                <w:sz w:val="20"/>
                <w:szCs w:val="20"/>
              </w:rPr>
              <w:t>5</w:t>
            </w:r>
            <w:r w:rsidR="280FAA52" w:rsidRPr="00D74DE5">
              <w:rPr>
                <w:b w:val="0"/>
                <w:bCs w:val="0"/>
                <w:noProof/>
                <w:sz w:val="20"/>
                <w:szCs w:val="20"/>
              </w:rPr>
              <w:t xml:space="preserve">, </w:t>
            </w:r>
            <w:r w:rsidR="280FAA52">
              <w:rPr>
                <w:b w:val="0"/>
                <w:bCs w:val="0"/>
                <w:noProof/>
                <w:sz w:val="20"/>
                <w:szCs w:val="20"/>
              </w:rPr>
              <w:t>100</w:t>
            </w:r>
            <w:r w:rsidR="280FAA52" w:rsidRPr="00D74DE5">
              <w:rPr>
                <w:b w:val="0"/>
                <w:bCs w:val="0"/>
                <w:noProof/>
                <w:sz w:val="20"/>
                <w:szCs w:val="20"/>
              </w:rPr>
              <w:t xml:space="preserve">% of highly critical </w:t>
            </w:r>
            <w:r w:rsidR="280FAA52">
              <w:rPr>
                <w:b w:val="0"/>
                <w:bCs w:val="0"/>
                <w:noProof/>
                <w:sz w:val="20"/>
                <w:szCs w:val="20"/>
              </w:rPr>
              <w:t>use cases in the public sector operated using sovereign cloud and AI computing services</w:t>
            </w:r>
            <w:r w:rsidR="00ED67EA">
              <w:rPr>
                <w:rStyle w:val="FootnoteReference"/>
                <w:b w:val="0"/>
                <w:bCs w:val="0"/>
                <w:noProof/>
                <w:sz w:val="20"/>
                <w:szCs w:val="20"/>
              </w:rPr>
              <w:footnoteReference w:id="140"/>
            </w:r>
          </w:p>
        </w:tc>
        <w:tc>
          <w:tcPr>
            <w:tcW w:w="2305" w:type="pct"/>
            <w:shd w:val="clear" w:color="auto" w:fill="FFFFFF" w:themeFill="background1"/>
          </w:tcPr>
          <w:p w14:paraId="00C240F0" w14:textId="45C2C154" w:rsidR="007A1D16" w:rsidRPr="00D74DE5" w:rsidRDefault="00ED67EA">
            <w:pPr>
              <w:pStyle w:val="ListParagraph"/>
              <w:numPr>
                <w:ilvl w:val="0"/>
                <w:numId w:val="26"/>
              </w:numPr>
              <w:spacing w:after="0"/>
              <w:ind w:left="171" w:hanging="171"/>
              <w:contextualSpacing w:val="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Number</w:t>
            </w:r>
            <w:r w:rsidRPr="00D74DE5">
              <w:rPr>
                <w:noProof/>
                <w:sz w:val="20"/>
                <w:szCs w:val="20"/>
              </w:rPr>
              <w:t xml:space="preserve"> of cloud and AI </w:t>
            </w:r>
            <w:r>
              <w:rPr>
                <w:noProof/>
                <w:sz w:val="20"/>
                <w:szCs w:val="20"/>
              </w:rPr>
              <w:t>services</w:t>
            </w:r>
            <w:r w:rsidRPr="00C80D7A">
              <w:rPr>
                <w:noProof/>
                <w:sz w:val="20"/>
                <w:szCs w:val="20"/>
              </w:rPr>
              <w:t xml:space="preserve"> </w:t>
            </w:r>
            <w:r w:rsidR="00F0227F">
              <w:rPr>
                <w:noProof/>
                <w:sz w:val="20"/>
                <w:szCs w:val="20"/>
              </w:rPr>
              <w:t>audited</w:t>
            </w:r>
            <w:r w:rsidR="007C0390">
              <w:rPr>
                <w:noProof/>
                <w:sz w:val="20"/>
                <w:szCs w:val="20"/>
              </w:rPr>
              <w:t xml:space="preserve"> under level</w:t>
            </w:r>
            <w:r w:rsidR="001A724D">
              <w:rPr>
                <w:noProof/>
                <w:sz w:val="20"/>
                <w:szCs w:val="20"/>
              </w:rPr>
              <w:t xml:space="preserve"> 2, 3 or 4</w:t>
            </w:r>
          </w:p>
          <w:p w14:paraId="694E8017" w14:textId="34B1C08F" w:rsidR="00ED67EA" w:rsidRPr="00A90A26" w:rsidRDefault="00ED67EA" w:rsidP="007A1D16">
            <w:pPr>
              <w:pStyle w:val="ListParagraph"/>
              <w:numPr>
                <w:ilvl w:val="0"/>
                <w:numId w:val="26"/>
              </w:numPr>
              <w:spacing w:after="0"/>
              <w:ind w:left="171" w:hanging="171"/>
              <w:contextualSpacing w:val="0"/>
              <w:cnfStyle w:val="000000000000" w:firstRow="0" w:lastRow="0" w:firstColumn="0" w:lastColumn="0" w:oddVBand="0" w:evenVBand="0" w:oddHBand="0" w:evenHBand="0" w:firstRowFirstColumn="0" w:firstRowLastColumn="0" w:lastRowFirstColumn="0" w:lastRowLastColumn="0"/>
              <w:rPr>
                <w:noProof/>
                <w:sz w:val="20"/>
                <w:szCs w:val="20"/>
              </w:rPr>
            </w:pPr>
            <w:r w:rsidRPr="00A90A26">
              <w:rPr>
                <w:noProof/>
                <w:sz w:val="20"/>
                <w:szCs w:val="20"/>
              </w:rPr>
              <w:t xml:space="preserve">Compliance rate </w:t>
            </w:r>
            <w:r w:rsidR="007A1D16" w:rsidRPr="00DD42E3">
              <w:rPr>
                <w:noProof/>
                <w:sz w:val="20"/>
                <w:szCs w:val="20"/>
              </w:rPr>
              <w:t xml:space="preserve">by contracting authorities </w:t>
            </w:r>
            <w:r w:rsidRPr="00A90A26">
              <w:rPr>
                <w:noProof/>
                <w:sz w:val="20"/>
                <w:szCs w:val="20"/>
              </w:rPr>
              <w:t xml:space="preserve">(%) with the </w:t>
            </w:r>
            <w:r w:rsidR="007A1D16" w:rsidRPr="007A1D16">
              <w:rPr>
                <w:noProof/>
                <w:sz w:val="20"/>
                <w:szCs w:val="20"/>
              </w:rPr>
              <w:t>sovereignty scheme</w:t>
            </w:r>
          </w:p>
          <w:p w14:paraId="0394E2FA" w14:textId="22350997" w:rsidR="00ED67EA" w:rsidRPr="00D74DE5" w:rsidRDefault="00ED67EA">
            <w:pPr>
              <w:pStyle w:val="ListParagraph"/>
              <w:numPr>
                <w:ilvl w:val="0"/>
                <w:numId w:val="26"/>
              </w:numPr>
              <w:spacing w:after="0"/>
              <w:ind w:left="171" w:hanging="171"/>
              <w:contextualSpacing w:val="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Annual value of EU public procurement of sovereign cloud</w:t>
            </w:r>
            <w:r w:rsidR="007A1D16">
              <w:rPr>
                <w:noProof/>
                <w:sz w:val="20"/>
                <w:szCs w:val="20"/>
              </w:rPr>
              <w:t xml:space="preserve"> and </w:t>
            </w:r>
            <w:r w:rsidRPr="00D74DE5">
              <w:rPr>
                <w:noProof/>
                <w:sz w:val="20"/>
                <w:szCs w:val="20"/>
              </w:rPr>
              <w:t xml:space="preserve">AI </w:t>
            </w:r>
            <w:r>
              <w:rPr>
                <w:noProof/>
                <w:sz w:val="20"/>
                <w:szCs w:val="20"/>
              </w:rPr>
              <w:t>computing services</w:t>
            </w:r>
          </w:p>
          <w:p w14:paraId="01D44486" w14:textId="77777777" w:rsidR="00ED67EA" w:rsidRPr="00D74DE5" w:rsidRDefault="00ED67EA">
            <w:pPr>
              <w:pStyle w:val="ListParagraph"/>
              <w:numPr>
                <w:ilvl w:val="0"/>
                <w:numId w:val="26"/>
              </w:numPr>
              <w:spacing w:after="0"/>
              <w:ind w:left="171" w:hanging="171"/>
              <w:contextualSpacing w:val="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SME share (%) in awarded public contracts </w:t>
            </w:r>
          </w:p>
          <w:p w14:paraId="37718639" w14:textId="7087B9D9" w:rsidR="00ED67EA" w:rsidRPr="00D74DE5" w:rsidRDefault="00ED67EA" w:rsidP="009B5B91">
            <w:pPr>
              <w:pStyle w:val="ListParagraph"/>
              <w:numPr>
                <w:ilvl w:val="0"/>
                <w:numId w:val="26"/>
              </w:numPr>
              <w:spacing w:after="0"/>
              <w:ind w:left="171" w:hanging="171"/>
              <w:contextualSpacing w:val="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Number</w:t>
            </w:r>
            <w:r w:rsidRPr="00D74DE5">
              <w:rPr>
                <w:noProof/>
                <w:sz w:val="20"/>
                <w:szCs w:val="20"/>
              </w:rPr>
              <w:t xml:space="preserve"> of public sector solutions released as open source in the repository, and their downloads by third parties</w:t>
            </w:r>
          </w:p>
        </w:tc>
        <w:tc>
          <w:tcPr>
            <w:tcW w:w="1239" w:type="pct"/>
            <w:shd w:val="clear" w:color="auto" w:fill="FFFFFF" w:themeFill="background1"/>
          </w:tcPr>
          <w:p w14:paraId="1936F8B3" w14:textId="51162178" w:rsidR="00ED67EA" w:rsidRPr="00D74DE5" w:rsidRDefault="00ED67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C80D7A">
              <w:rPr>
                <w:noProof/>
                <w:sz w:val="20"/>
                <w:szCs w:val="20"/>
              </w:rPr>
              <w:t>N</w:t>
            </w:r>
            <w:r>
              <w:rPr>
                <w:noProof/>
                <w:sz w:val="20"/>
                <w:szCs w:val="20"/>
              </w:rPr>
              <w:t>umber</w:t>
            </w:r>
            <w:r w:rsidRPr="00D74DE5">
              <w:rPr>
                <w:noProof/>
                <w:sz w:val="20"/>
                <w:szCs w:val="20"/>
              </w:rPr>
              <w:t xml:space="preserve"> of </w:t>
            </w:r>
            <w:r w:rsidR="00655D45">
              <w:rPr>
                <w:noProof/>
                <w:sz w:val="20"/>
                <w:szCs w:val="20"/>
              </w:rPr>
              <w:t>assessed</w:t>
            </w:r>
            <w:r w:rsidR="00D81A01">
              <w:rPr>
                <w:noProof/>
                <w:sz w:val="20"/>
                <w:szCs w:val="20"/>
              </w:rPr>
              <w:t xml:space="preserve"> and evaluated</w:t>
            </w:r>
            <w:r w:rsidR="00655D45">
              <w:rPr>
                <w:noProof/>
                <w:sz w:val="20"/>
                <w:szCs w:val="20"/>
              </w:rPr>
              <w:t xml:space="preserve"> sovereign</w:t>
            </w:r>
            <w:r w:rsidR="00655D45" w:rsidRPr="00D74DE5">
              <w:rPr>
                <w:noProof/>
                <w:sz w:val="20"/>
                <w:szCs w:val="20"/>
              </w:rPr>
              <w:t xml:space="preserve"> </w:t>
            </w:r>
            <w:r>
              <w:rPr>
                <w:noProof/>
                <w:sz w:val="20"/>
                <w:szCs w:val="20"/>
              </w:rPr>
              <w:t>services</w:t>
            </w:r>
            <w:r w:rsidRPr="00D74DE5">
              <w:rPr>
                <w:noProof/>
                <w:sz w:val="20"/>
                <w:szCs w:val="20"/>
              </w:rPr>
              <w:t xml:space="preserve"> in the repository</w:t>
            </w:r>
          </w:p>
          <w:p w14:paraId="6CEFA325" w14:textId="77777777" w:rsidR="00ED67EA" w:rsidRPr="00D74DE5" w:rsidRDefault="00ED67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 xml:space="preserve">Survey (and follow-up interviews) of </w:t>
            </w:r>
            <w:r>
              <w:rPr>
                <w:noProof/>
                <w:sz w:val="20"/>
                <w:szCs w:val="20"/>
              </w:rPr>
              <w:t>DC</w:t>
            </w:r>
            <w:r w:rsidRPr="00D74DE5">
              <w:rPr>
                <w:noProof/>
                <w:sz w:val="20"/>
                <w:szCs w:val="20"/>
              </w:rPr>
              <w:t xml:space="preserve"> operators and national authorities</w:t>
            </w:r>
          </w:p>
          <w:p w14:paraId="4052C484" w14:textId="77777777" w:rsidR="00ED67EA" w:rsidRPr="00D74DE5" w:rsidRDefault="00ED67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Desk research</w:t>
            </w:r>
          </w:p>
          <w:p w14:paraId="4249E261" w14:textId="77777777" w:rsidR="00ED67EA" w:rsidRPr="00D74DE5" w:rsidRDefault="00ED67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Market research</w:t>
            </w:r>
          </w:p>
          <w:p w14:paraId="277E88B1" w14:textId="77777777" w:rsidR="00ED67EA" w:rsidRPr="00D74DE5" w:rsidRDefault="00ED67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noProof/>
                <w:sz w:val="20"/>
                <w:szCs w:val="20"/>
              </w:rPr>
              <w:t>TED data</w:t>
            </w:r>
          </w:p>
          <w:p w14:paraId="350AA2A1" w14:textId="77777777" w:rsidR="00ED67EA" w:rsidRPr="00D74DE5" w:rsidRDefault="00ED67EA" w:rsidP="000946C7">
            <w:pPr>
              <w:spacing w:after="0"/>
              <w:cnfStyle w:val="000000000000" w:firstRow="0" w:lastRow="0" w:firstColumn="0" w:lastColumn="0" w:oddVBand="0" w:evenVBand="0" w:oddHBand="0" w:evenHBand="0" w:firstRowFirstColumn="0" w:firstRowLastColumn="0" w:lastRowFirstColumn="0" w:lastRowLastColumn="0"/>
              <w:rPr>
                <w:noProof/>
                <w:sz w:val="20"/>
                <w:szCs w:val="20"/>
              </w:rPr>
            </w:pPr>
          </w:p>
        </w:tc>
      </w:tr>
    </w:tbl>
    <w:p w14:paraId="52CC42BA" w14:textId="2DAAE9D9" w:rsidR="000C6642" w:rsidRDefault="000C6642" w:rsidP="000C6642">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137E65">
        <w:rPr>
          <w:noProof/>
        </w:rPr>
        <w:t>19</w:t>
      </w:r>
      <w:r>
        <w:rPr>
          <w:noProof/>
        </w:rPr>
        <w:fldChar w:fldCharType="end"/>
      </w:r>
      <w:r>
        <w:rPr>
          <w:noProof/>
        </w:rPr>
        <w:t>. P</w:t>
      </w:r>
      <w:r w:rsidRPr="00630445">
        <w:rPr>
          <w:noProof/>
        </w:rPr>
        <w:t>reliminary questions for the evaluation of the intervention</w:t>
      </w:r>
    </w:p>
    <w:tbl>
      <w:tblPr>
        <w:tblStyle w:val="ListTable3-Accent5"/>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8169"/>
      </w:tblGrid>
      <w:tr w:rsidR="00AD6F56" w:rsidRPr="00E339BE" w14:paraId="40C883AE" w14:textId="77777777" w:rsidTr="00261005">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699" w:type="pct"/>
            <w:shd w:val="clear" w:color="auto" w:fill="0070C0"/>
            <w:vAlign w:val="center"/>
          </w:tcPr>
          <w:p w14:paraId="47DD6482" w14:textId="77777777" w:rsidR="00E61374" w:rsidRPr="00E339BE" w:rsidRDefault="00E61374" w:rsidP="00D74DE5">
            <w:pPr>
              <w:spacing w:after="0"/>
              <w:rPr>
                <w:noProof/>
                <w:sz w:val="20"/>
                <w:szCs w:val="20"/>
              </w:rPr>
            </w:pPr>
            <w:r w:rsidRPr="00E339BE">
              <w:rPr>
                <w:noProof/>
                <w:sz w:val="20"/>
                <w:szCs w:val="20"/>
              </w:rPr>
              <w:t>Evaluation criterion</w:t>
            </w:r>
          </w:p>
        </w:tc>
        <w:tc>
          <w:tcPr>
            <w:tcW w:w="4301" w:type="pct"/>
            <w:shd w:val="clear" w:color="auto" w:fill="0070C0"/>
            <w:vAlign w:val="center"/>
          </w:tcPr>
          <w:p w14:paraId="1365BB20" w14:textId="77777777" w:rsidR="00E61374" w:rsidRPr="00E339BE" w:rsidRDefault="00E61374" w:rsidP="00D74DE5">
            <w:pPr>
              <w:spacing w:after="0"/>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E339BE">
              <w:rPr>
                <w:noProof/>
                <w:sz w:val="20"/>
                <w:szCs w:val="20"/>
              </w:rPr>
              <w:t>Assessment objective and possible evaluation questions</w:t>
            </w:r>
          </w:p>
        </w:tc>
      </w:tr>
      <w:tr w:rsidR="00AD6F56" w:rsidRPr="00E339BE" w14:paraId="5D74F232" w14:textId="77777777" w:rsidTr="00261005">
        <w:trPr>
          <w:trHeight w:val="225"/>
        </w:trPr>
        <w:tc>
          <w:tcPr>
            <w:cnfStyle w:val="001000000000" w:firstRow="0" w:lastRow="0" w:firstColumn="1" w:lastColumn="0" w:oddVBand="0" w:evenVBand="0" w:oddHBand="0" w:evenHBand="0" w:firstRowFirstColumn="0" w:firstRowLastColumn="0" w:lastRowFirstColumn="0" w:lastRowLastColumn="0"/>
            <w:tcW w:w="699" w:type="pct"/>
            <w:shd w:val="clear" w:color="auto" w:fill="FFFFFF" w:themeFill="background1"/>
            <w:vAlign w:val="center"/>
          </w:tcPr>
          <w:p w14:paraId="677087DF" w14:textId="77777777" w:rsidR="00E61374" w:rsidRPr="00E339BE" w:rsidRDefault="00E61374" w:rsidP="00D74DE5">
            <w:pPr>
              <w:spacing w:after="0"/>
              <w:jc w:val="center"/>
              <w:rPr>
                <w:noProof/>
                <w:sz w:val="20"/>
                <w:szCs w:val="20"/>
              </w:rPr>
            </w:pPr>
            <w:r w:rsidRPr="00E339BE">
              <w:rPr>
                <w:noProof/>
                <w:sz w:val="20"/>
                <w:szCs w:val="20"/>
              </w:rPr>
              <w:t>Effectiveness</w:t>
            </w:r>
          </w:p>
        </w:tc>
        <w:tc>
          <w:tcPr>
            <w:tcW w:w="4301" w:type="pct"/>
            <w:shd w:val="clear" w:color="auto" w:fill="FFFFFF" w:themeFill="background1"/>
            <w:vAlign w:val="center"/>
          </w:tcPr>
          <w:p w14:paraId="631951CC" w14:textId="77777777" w:rsidR="00E61374" w:rsidRPr="00E339BE" w:rsidRDefault="00E61374" w:rsidP="00D74DE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b/>
                <w:bCs/>
                <w:noProof/>
                <w:sz w:val="20"/>
                <w:szCs w:val="20"/>
              </w:rPr>
              <w:t>Goal:</w:t>
            </w:r>
            <w:r w:rsidRPr="00E339BE">
              <w:rPr>
                <w:noProof/>
                <w:sz w:val="20"/>
                <w:szCs w:val="20"/>
              </w:rPr>
              <w:t xml:space="preserve"> assess the extent to which the objectives of the initiative have been achieved and how benefits have accrued to different stakeholders.</w:t>
            </w:r>
          </w:p>
          <w:p w14:paraId="5D63EC81" w14:textId="3007BFB0" w:rsidR="00E61374" w:rsidRPr="00D74DE5"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i/>
                <w:iCs/>
                <w:noProof/>
                <w:sz w:val="20"/>
                <w:szCs w:val="20"/>
              </w:rPr>
              <w:t xml:space="preserve">To what extent did the intervention increase EU installed computing capacity and create the conditions for easier data centre deployment? How did it foster the development and deployment of innovative and sustainable data centres and a better use of energy sources? To what extent did it increase clarity around the concept of sovereign cloud and AI computing services? How did it improve the market share of </w:t>
            </w:r>
            <w:r w:rsidR="007A1D16">
              <w:rPr>
                <w:i/>
                <w:iCs/>
                <w:noProof/>
                <w:sz w:val="20"/>
                <w:szCs w:val="20"/>
              </w:rPr>
              <w:t xml:space="preserve">European </w:t>
            </w:r>
            <w:r w:rsidRPr="00D74DE5">
              <w:rPr>
                <w:i/>
                <w:iCs/>
                <w:noProof/>
                <w:sz w:val="20"/>
                <w:szCs w:val="20"/>
              </w:rPr>
              <w:t xml:space="preserve">cloud and AI computing service operators? </w:t>
            </w:r>
            <w:r w:rsidR="0034633C">
              <w:rPr>
                <w:i/>
                <w:iCs/>
                <w:noProof/>
                <w:sz w:val="20"/>
                <w:szCs w:val="20"/>
              </w:rPr>
              <w:t xml:space="preserve">What is their market share for </w:t>
            </w:r>
            <w:r w:rsidR="007A1D16">
              <w:rPr>
                <w:i/>
                <w:iCs/>
                <w:noProof/>
                <w:sz w:val="20"/>
                <w:szCs w:val="20"/>
              </w:rPr>
              <w:t>sovereign</w:t>
            </w:r>
            <w:r w:rsidR="0034633C">
              <w:rPr>
                <w:i/>
                <w:iCs/>
                <w:noProof/>
                <w:sz w:val="20"/>
                <w:szCs w:val="20"/>
              </w:rPr>
              <w:t xml:space="preserve"> use cases?</w:t>
            </w:r>
            <w:r w:rsidRPr="00D74DE5">
              <w:rPr>
                <w:i/>
                <w:iCs/>
                <w:noProof/>
                <w:sz w:val="20"/>
                <w:szCs w:val="20"/>
              </w:rPr>
              <w:t xml:space="preserve"> To what extent did it increase federated resources across the public sector and joint procurement for cloud and AI computing services? To what extent did it increase the use of open source solutions? </w:t>
            </w:r>
          </w:p>
        </w:tc>
      </w:tr>
      <w:tr w:rsidR="00AD6F56" w:rsidRPr="00E339BE" w14:paraId="1E8A788E" w14:textId="77777777" w:rsidTr="00261005">
        <w:trPr>
          <w:trHeight w:val="731"/>
        </w:trPr>
        <w:tc>
          <w:tcPr>
            <w:cnfStyle w:val="001000000000" w:firstRow="0" w:lastRow="0" w:firstColumn="1" w:lastColumn="0" w:oddVBand="0" w:evenVBand="0" w:oddHBand="0" w:evenHBand="0" w:firstRowFirstColumn="0" w:firstRowLastColumn="0" w:lastRowFirstColumn="0" w:lastRowLastColumn="0"/>
            <w:tcW w:w="699" w:type="pct"/>
            <w:shd w:val="clear" w:color="auto" w:fill="FFFFFF" w:themeFill="background1"/>
            <w:vAlign w:val="center"/>
          </w:tcPr>
          <w:p w14:paraId="6A7C4021" w14:textId="77777777" w:rsidR="00E61374" w:rsidRPr="00E339BE" w:rsidRDefault="00E61374" w:rsidP="00D74DE5">
            <w:pPr>
              <w:spacing w:after="0"/>
              <w:jc w:val="center"/>
              <w:rPr>
                <w:noProof/>
                <w:sz w:val="20"/>
                <w:szCs w:val="20"/>
              </w:rPr>
            </w:pPr>
            <w:r w:rsidRPr="00E339BE">
              <w:rPr>
                <w:noProof/>
                <w:sz w:val="20"/>
                <w:szCs w:val="20"/>
              </w:rPr>
              <w:t>Efficiency</w:t>
            </w:r>
          </w:p>
        </w:tc>
        <w:tc>
          <w:tcPr>
            <w:tcW w:w="4301" w:type="pct"/>
            <w:shd w:val="clear" w:color="auto" w:fill="FFFFFF" w:themeFill="background1"/>
            <w:vAlign w:val="center"/>
          </w:tcPr>
          <w:p w14:paraId="3BB51545" w14:textId="77777777" w:rsidR="00E61374" w:rsidRPr="00E339BE" w:rsidRDefault="00E61374" w:rsidP="00D74DE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b/>
                <w:bCs/>
                <w:noProof/>
                <w:sz w:val="20"/>
                <w:szCs w:val="20"/>
              </w:rPr>
              <w:t>Goal:</w:t>
            </w:r>
            <w:r w:rsidRPr="00E339BE">
              <w:rPr>
                <w:noProof/>
                <w:sz w:val="20"/>
                <w:szCs w:val="20"/>
              </w:rPr>
              <w:t xml:space="preserve"> assess the extent to which the initiative has been cost-effective, analysing the relationship between expected and actual benefits and costs. </w:t>
            </w:r>
          </w:p>
          <w:p w14:paraId="2CFDC565" w14:textId="77777777" w:rsidR="00E61374" w:rsidRPr="00D74DE5"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i/>
                <w:iCs/>
                <w:noProof/>
                <w:sz w:val="20"/>
                <w:szCs w:val="20"/>
              </w:rPr>
              <w:t xml:space="preserve">Have benefits and cost savings been achieved at proportionate costs for different stakeholders? </w:t>
            </w:r>
          </w:p>
        </w:tc>
      </w:tr>
      <w:tr w:rsidR="00AD6F56" w:rsidRPr="00E339BE" w14:paraId="43780369" w14:textId="77777777" w:rsidTr="00261005">
        <w:trPr>
          <w:trHeight w:val="567"/>
        </w:trPr>
        <w:tc>
          <w:tcPr>
            <w:cnfStyle w:val="001000000000" w:firstRow="0" w:lastRow="0" w:firstColumn="1" w:lastColumn="0" w:oddVBand="0" w:evenVBand="0" w:oddHBand="0" w:evenHBand="0" w:firstRowFirstColumn="0" w:firstRowLastColumn="0" w:lastRowFirstColumn="0" w:lastRowLastColumn="0"/>
            <w:tcW w:w="699" w:type="pct"/>
            <w:shd w:val="clear" w:color="auto" w:fill="FFFFFF" w:themeFill="background1"/>
            <w:vAlign w:val="center"/>
          </w:tcPr>
          <w:p w14:paraId="413F904A" w14:textId="77777777" w:rsidR="00E61374" w:rsidRPr="00E339BE" w:rsidRDefault="00E61374" w:rsidP="00D74DE5">
            <w:pPr>
              <w:spacing w:after="0"/>
              <w:jc w:val="center"/>
              <w:rPr>
                <w:noProof/>
                <w:sz w:val="20"/>
                <w:szCs w:val="20"/>
              </w:rPr>
            </w:pPr>
            <w:r w:rsidRPr="00E339BE">
              <w:rPr>
                <w:noProof/>
                <w:sz w:val="20"/>
                <w:szCs w:val="20"/>
              </w:rPr>
              <w:t>Relevance</w:t>
            </w:r>
          </w:p>
        </w:tc>
        <w:tc>
          <w:tcPr>
            <w:tcW w:w="4301" w:type="pct"/>
            <w:shd w:val="clear" w:color="auto" w:fill="FFFFFF" w:themeFill="background1"/>
            <w:vAlign w:val="center"/>
          </w:tcPr>
          <w:p w14:paraId="3E8F4345" w14:textId="77777777" w:rsidR="00E61374" w:rsidRPr="00E339BE"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b/>
                <w:bCs/>
                <w:noProof/>
                <w:sz w:val="20"/>
                <w:szCs w:val="20"/>
              </w:rPr>
              <w:t>Goal</w:t>
            </w:r>
            <w:r w:rsidRPr="00E339BE">
              <w:rPr>
                <w:noProof/>
                <w:sz w:val="20"/>
                <w:szCs w:val="20"/>
              </w:rPr>
              <w:t>: assess the extent to which the objectives of the initiative still reflect current and future needs</w:t>
            </w:r>
            <w:r w:rsidRPr="00E339BE">
              <w:rPr>
                <w:i/>
                <w:iCs/>
                <w:noProof/>
                <w:sz w:val="20"/>
                <w:szCs w:val="20"/>
              </w:rPr>
              <w:t xml:space="preserve">. </w:t>
            </w:r>
          </w:p>
          <w:p w14:paraId="1914867C" w14:textId="77777777" w:rsidR="00E61374" w:rsidRPr="00D74DE5"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i/>
                <w:iCs/>
                <w:noProof/>
                <w:sz w:val="20"/>
                <w:szCs w:val="20"/>
              </w:rPr>
              <w:t>To what extent the initiative still addresses relevant needs? How is it still aligned with EU priorities?</w:t>
            </w:r>
          </w:p>
        </w:tc>
      </w:tr>
      <w:tr w:rsidR="00AD6F56" w:rsidRPr="00E339BE" w14:paraId="11480F71" w14:textId="77777777" w:rsidTr="00261005">
        <w:trPr>
          <w:trHeight w:val="567"/>
        </w:trPr>
        <w:tc>
          <w:tcPr>
            <w:cnfStyle w:val="001000000000" w:firstRow="0" w:lastRow="0" w:firstColumn="1" w:lastColumn="0" w:oddVBand="0" w:evenVBand="0" w:oddHBand="0" w:evenHBand="0" w:firstRowFirstColumn="0" w:firstRowLastColumn="0" w:lastRowFirstColumn="0" w:lastRowLastColumn="0"/>
            <w:tcW w:w="699" w:type="pct"/>
            <w:shd w:val="clear" w:color="auto" w:fill="FFFFFF" w:themeFill="background1"/>
            <w:vAlign w:val="center"/>
          </w:tcPr>
          <w:p w14:paraId="6E27AE1B" w14:textId="77777777" w:rsidR="00E61374" w:rsidRPr="00E339BE" w:rsidRDefault="00E61374" w:rsidP="00D74DE5">
            <w:pPr>
              <w:spacing w:after="0"/>
              <w:jc w:val="center"/>
              <w:rPr>
                <w:noProof/>
                <w:sz w:val="20"/>
                <w:szCs w:val="20"/>
              </w:rPr>
            </w:pPr>
            <w:r w:rsidRPr="00E339BE">
              <w:rPr>
                <w:noProof/>
                <w:sz w:val="20"/>
                <w:szCs w:val="20"/>
              </w:rPr>
              <w:t>Coherence</w:t>
            </w:r>
          </w:p>
        </w:tc>
        <w:tc>
          <w:tcPr>
            <w:tcW w:w="4301" w:type="pct"/>
            <w:shd w:val="clear" w:color="auto" w:fill="FFFFFF" w:themeFill="background1"/>
            <w:vAlign w:val="center"/>
          </w:tcPr>
          <w:p w14:paraId="034F2F48" w14:textId="77777777" w:rsidR="00E61374" w:rsidRPr="00E339BE" w:rsidRDefault="00E61374" w:rsidP="00D74DE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b/>
                <w:bCs/>
                <w:noProof/>
                <w:sz w:val="20"/>
                <w:szCs w:val="20"/>
              </w:rPr>
              <w:t>Goal:</w:t>
            </w:r>
            <w:r w:rsidRPr="00E339BE">
              <w:rPr>
                <w:noProof/>
                <w:sz w:val="20"/>
                <w:szCs w:val="20"/>
              </w:rPr>
              <w:t xml:space="preserve"> assess the initiative’s internal and external coherence, i.e. if the different elements of the intervention worked together to reach the set goal and if it worked well or overlapped with other initiatives, both at EU level and national level.</w:t>
            </w:r>
          </w:p>
          <w:p w14:paraId="0FD59F2C" w14:textId="77777777" w:rsidR="00E61374" w:rsidRPr="00D74DE5"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i/>
                <w:iCs/>
                <w:noProof/>
                <w:sz w:val="20"/>
                <w:szCs w:val="20"/>
              </w:rPr>
              <w:t>To what extent is the initiative consistent with existing and future energy, digital, competition, environmental, security rules at EU level and national level?</w:t>
            </w:r>
          </w:p>
        </w:tc>
      </w:tr>
      <w:tr w:rsidR="00AD6F56" w:rsidRPr="00E339BE" w14:paraId="1E68B515" w14:textId="77777777" w:rsidTr="00261005">
        <w:trPr>
          <w:trHeight w:val="567"/>
        </w:trPr>
        <w:tc>
          <w:tcPr>
            <w:cnfStyle w:val="001000000000" w:firstRow="0" w:lastRow="0" w:firstColumn="1" w:lastColumn="0" w:oddVBand="0" w:evenVBand="0" w:oddHBand="0" w:evenHBand="0" w:firstRowFirstColumn="0" w:firstRowLastColumn="0" w:lastRowFirstColumn="0" w:lastRowLastColumn="0"/>
            <w:tcW w:w="699" w:type="pct"/>
            <w:shd w:val="clear" w:color="auto" w:fill="FFFFFF" w:themeFill="background1"/>
            <w:vAlign w:val="center"/>
          </w:tcPr>
          <w:p w14:paraId="14850BDD" w14:textId="77777777" w:rsidR="00E61374" w:rsidRPr="00E339BE" w:rsidRDefault="00E61374" w:rsidP="00D74DE5">
            <w:pPr>
              <w:spacing w:after="0"/>
              <w:jc w:val="center"/>
              <w:rPr>
                <w:noProof/>
                <w:sz w:val="20"/>
                <w:szCs w:val="20"/>
              </w:rPr>
            </w:pPr>
            <w:r w:rsidRPr="00E339BE">
              <w:rPr>
                <w:noProof/>
                <w:sz w:val="20"/>
                <w:szCs w:val="20"/>
              </w:rPr>
              <w:t>EU Added value</w:t>
            </w:r>
          </w:p>
        </w:tc>
        <w:tc>
          <w:tcPr>
            <w:tcW w:w="4301" w:type="pct"/>
            <w:shd w:val="clear" w:color="auto" w:fill="FFFFFF" w:themeFill="background1"/>
            <w:vAlign w:val="center"/>
          </w:tcPr>
          <w:p w14:paraId="4F24DE66" w14:textId="77777777" w:rsidR="00E61374" w:rsidRPr="00E339BE" w:rsidRDefault="00E61374" w:rsidP="00D74DE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74DE5">
              <w:rPr>
                <w:b/>
                <w:bCs/>
                <w:noProof/>
                <w:sz w:val="20"/>
                <w:szCs w:val="20"/>
              </w:rPr>
              <w:t>Goal</w:t>
            </w:r>
            <w:r w:rsidRPr="00E339BE">
              <w:rPr>
                <w:noProof/>
                <w:sz w:val="20"/>
                <w:szCs w:val="20"/>
              </w:rPr>
              <w:t>: assess the extent to which the initiative brought EU added value compared to what could have been achieved by Member States alone.</w:t>
            </w:r>
          </w:p>
          <w:p w14:paraId="5474C2F9" w14:textId="7B213ED4" w:rsidR="00E61374" w:rsidRPr="00D74DE5" w:rsidRDefault="00E61374" w:rsidP="00D74DE5">
            <w:pPr>
              <w:spacing w:after="0"/>
              <w:cnfStyle w:val="000000000000" w:firstRow="0" w:lastRow="0" w:firstColumn="0" w:lastColumn="0" w:oddVBand="0" w:evenVBand="0" w:oddHBand="0" w:evenHBand="0" w:firstRowFirstColumn="0" w:firstRowLastColumn="0" w:lastRowFirstColumn="0" w:lastRowLastColumn="0"/>
              <w:rPr>
                <w:i/>
                <w:iCs/>
                <w:noProof/>
                <w:sz w:val="20"/>
                <w:szCs w:val="20"/>
              </w:rPr>
            </w:pPr>
            <w:r w:rsidRPr="00D74DE5">
              <w:rPr>
                <w:i/>
                <w:iCs/>
                <w:noProof/>
                <w:sz w:val="20"/>
                <w:szCs w:val="20"/>
              </w:rPr>
              <w:t xml:space="preserve">To what extend did EU-level action prevent fragmentation of </w:t>
            </w:r>
            <w:r w:rsidR="00FF236B">
              <w:rPr>
                <w:i/>
                <w:noProof/>
                <w:sz w:val="20"/>
                <w:szCs w:val="20"/>
              </w:rPr>
              <w:t>DC</w:t>
            </w:r>
            <w:r w:rsidRPr="00D74DE5">
              <w:rPr>
                <w:i/>
                <w:iCs/>
                <w:noProof/>
                <w:sz w:val="20"/>
                <w:szCs w:val="20"/>
              </w:rPr>
              <w:t xml:space="preserve"> rules? How did it improve cross-border service delivery and competitiveness of EU providers?</w:t>
            </w:r>
          </w:p>
        </w:tc>
      </w:tr>
    </w:tbl>
    <w:p w14:paraId="319CB753" w14:textId="77777777" w:rsidR="00C57B1E" w:rsidRPr="00C57B1E" w:rsidRDefault="00C57B1E" w:rsidP="00C57B1E">
      <w:pPr>
        <w:rPr>
          <w:noProof/>
        </w:rPr>
      </w:pPr>
    </w:p>
    <w:p w14:paraId="59ED6F6A" w14:textId="77777777" w:rsidR="00C57B1E" w:rsidRDefault="00C57B1E" w:rsidP="00C57B1E">
      <w:pPr>
        <w:pStyle w:val="ABody"/>
        <w:rPr>
          <w:noProof/>
        </w:rPr>
      </w:pPr>
    </w:p>
    <w:p w14:paraId="6F953DB8" w14:textId="77777777" w:rsidR="00C57B1E" w:rsidRDefault="00C57B1E" w:rsidP="00C57B1E">
      <w:pPr>
        <w:pStyle w:val="ABody"/>
        <w:rPr>
          <w:noProof/>
        </w:rPr>
      </w:pPr>
    </w:p>
    <w:p w14:paraId="0CDA1BE1" w14:textId="77777777" w:rsidR="00AA5D89" w:rsidRDefault="00AA5D89" w:rsidP="00C57B1E">
      <w:pPr>
        <w:pStyle w:val="ABody"/>
        <w:rPr>
          <w:noProof/>
        </w:rPr>
      </w:pPr>
    </w:p>
    <w:p w14:paraId="7EF503B4" w14:textId="77777777" w:rsidR="00CA41FF" w:rsidRDefault="00CA41FF" w:rsidP="00C57B1E">
      <w:pPr>
        <w:pStyle w:val="ABody"/>
        <w:rPr>
          <w:noProof/>
        </w:rPr>
      </w:pPr>
    </w:p>
    <w:p w14:paraId="33C884E7" w14:textId="77777777" w:rsidR="00CA41FF" w:rsidRDefault="00CA41FF" w:rsidP="00C57B1E">
      <w:pPr>
        <w:pStyle w:val="ABody"/>
        <w:rPr>
          <w:noProof/>
        </w:rPr>
      </w:pPr>
    </w:p>
    <w:p w14:paraId="2090E547" w14:textId="08977471" w:rsidR="00AA5D89" w:rsidRDefault="004E59C3">
      <w:pPr>
        <w:spacing w:after="200" w:line="276" w:lineRule="auto"/>
        <w:jc w:val="left"/>
        <w:rPr>
          <w:rFonts w:ascii="Century Gothic" w:eastAsia="Times New Roman" w:hAnsi="Century Gothic" w:cstheme="minorBidi"/>
          <w:noProof/>
          <w:color w:val="000000"/>
          <w:sz w:val="20"/>
          <w:szCs w:val="20"/>
          <w:lang w:val="en-IE"/>
        </w:rPr>
      </w:pPr>
      <w:r>
        <w:rPr>
          <w:noProof/>
        </w:rPr>
        <w:br w:type="page"/>
      </w:r>
    </w:p>
    <w:p w14:paraId="355AD896" w14:textId="77777777" w:rsidR="00AA5D89" w:rsidRDefault="00AA5D89" w:rsidP="00C57B1E">
      <w:pPr>
        <w:pStyle w:val="ABody"/>
        <w:rPr>
          <w:noProof/>
        </w:rPr>
      </w:pPr>
    </w:p>
    <w:p w14:paraId="4570FBE8" w14:textId="387504CC" w:rsidR="00D20FD1" w:rsidRPr="0053316B" w:rsidRDefault="006B087E" w:rsidP="00E61374">
      <w:pPr>
        <w:pStyle w:val="AnnexTitle"/>
        <w:rPr>
          <w:noProof/>
        </w:rPr>
      </w:pPr>
      <w:bookmarkStart w:id="85" w:name="_Toc230792754"/>
      <w:r w:rsidRPr="00F92EAE">
        <w:rPr>
          <w:noProof/>
        </w:rPr>
        <w:t xml:space="preserve">Annex </w:t>
      </w:r>
      <w:r w:rsidR="00E61374">
        <w:rPr>
          <w:noProof/>
        </w:rPr>
        <w:t>0 - Endnotes</w:t>
      </w:r>
      <w:bookmarkEnd w:id="85"/>
      <w:r w:rsidRPr="00F92EAE">
        <w:rPr>
          <w:noProof/>
        </w:rPr>
        <w:t xml:space="preserve"> </w:t>
      </w:r>
    </w:p>
    <w:sectPr w:rsidR="00D20FD1" w:rsidRPr="0053316B" w:rsidSect="0008027C">
      <w:headerReference w:type="default" r:id="rId45"/>
      <w:footerReference w:type="default" r:id="rId46"/>
      <w:pgSz w:w="11906" w:h="16838"/>
      <w:pgMar w:top="1020" w:right="1133" w:bottom="1020" w:left="1276"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62E3E" w14:textId="77777777" w:rsidR="002826E3" w:rsidRDefault="002826E3" w:rsidP="000E3086">
      <w:r>
        <w:separator/>
      </w:r>
    </w:p>
  </w:endnote>
  <w:endnote w:type="continuationSeparator" w:id="0">
    <w:p w14:paraId="54CD051A" w14:textId="77777777" w:rsidR="002826E3" w:rsidRDefault="002826E3" w:rsidP="000E3086">
      <w:r>
        <w:continuationSeparator/>
      </w:r>
    </w:p>
  </w:endnote>
  <w:endnote w:type="continuationNotice" w:id="1">
    <w:p w14:paraId="198FEDED" w14:textId="77777777" w:rsidR="002826E3" w:rsidRDefault="002826E3">
      <w:pPr>
        <w:spacing w:after="0"/>
      </w:pPr>
    </w:p>
  </w:endnote>
  <w:endnote w:id="2">
    <w:p w14:paraId="18D966D3" w14:textId="77777777" w:rsidR="00E61374" w:rsidRPr="00075A26" w:rsidRDefault="00E61374" w:rsidP="00E61374">
      <w:pPr>
        <w:pStyle w:val="EndnoteText"/>
      </w:pPr>
      <w:r w:rsidRPr="00075A26">
        <w:rPr>
          <w:rStyle w:val="EndnoteReference"/>
        </w:rPr>
        <w:endnoteRef/>
      </w:r>
      <w:r w:rsidRPr="00075A26">
        <w:t xml:space="preserve"> </w:t>
      </w:r>
      <w:hyperlink r:id="rId1" w:tooltip="https://commission.europa.eu/topics/eu-competitiveness/draghi-report_en" w:history="1">
        <w:r w:rsidRPr="00075A26">
          <w:rPr>
            <w:rStyle w:val="Hyperlink"/>
          </w:rPr>
          <w:t>The Draghi Report</w:t>
        </w:r>
      </w:hyperlink>
      <w:r w:rsidRPr="00075A26">
        <w:rPr>
          <w:color w:val="0000FF" w:themeColor="hyperlink"/>
          <w:u w:val="single"/>
        </w:rPr>
        <w:t xml:space="preserve"> on competitiveness</w:t>
      </w:r>
    </w:p>
  </w:endnote>
  <w:endnote w:id="3">
    <w:p w14:paraId="674A7089" w14:textId="77777777" w:rsidR="00E61374" w:rsidRPr="00075A26" w:rsidRDefault="00E61374" w:rsidP="00E61374">
      <w:pPr>
        <w:pStyle w:val="EndnoteText"/>
      </w:pPr>
      <w:r w:rsidRPr="00075A26">
        <w:rPr>
          <w:rStyle w:val="EndnoteReference"/>
        </w:rPr>
        <w:endnoteRef/>
      </w:r>
      <w:r w:rsidRPr="00075A26">
        <w:t xml:space="preserve"> </w:t>
      </w:r>
      <w:hyperlink r:id="rId2" w:history="1">
        <w:r w:rsidRPr="00075A26">
          <w:rPr>
            <w:rStyle w:val="Hyperlink"/>
          </w:rPr>
          <w:t>Draghi report</w:t>
        </w:r>
      </w:hyperlink>
      <w:r w:rsidRPr="00075A26">
        <w:t xml:space="preserve"> </w:t>
      </w:r>
    </w:p>
  </w:endnote>
  <w:endnote w:id="4">
    <w:p w14:paraId="2DCC2757" w14:textId="77777777" w:rsidR="00E61374" w:rsidRPr="00075A26" w:rsidRDefault="00E61374" w:rsidP="00E61374">
      <w:pPr>
        <w:pStyle w:val="EndnoteText"/>
      </w:pPr>
      <w:r w:rsidRPr="00075A26">
        <w:rPr>
          <w:rStyle w:val="EndnoteReference"/>
        </w:rPr>
        <w:endnoteRef/>
      </w:r>
      <w:r w:rsidRPr="00075A26">
        <w:t xml:space="preserve"> </w:t>
      </w:r>
      <w:hyperlink r:id="rId3" w:history="1">
        <w:r w:rsidRPr="00075A26">
          <w:rPr>
            <w:rStyle w:val="Hyperlink"/>
          </w:rPr>
          <w:t>Competitiveness Compass</w:t>
        </w:r>
      </w:hyperlink>
      <w:r w:rsidRPr="00075A26">
        <w:t xml:space="preserve"> </w:t>
      </w:r>
    </w:p>
  </w:endnote>
  <w:endnote w:id="5">
    <w:p w14:paraId="0C0DF9D8" w14:textId="77777777" w:rsidR="00E61374" w:rsidRPr="00075A26" w:rsidRDefault="00E61374" w:rsidP="00E61374">
      <w:pPr>
        <w:pStyle w:val="EndnoteText"/>
      </w:pPr>
      <w:r w:rsidRPr="00075A26">
        <w:rPr>
          <w:rStyle w:val="EndnoteReference"/>
        </w:rPr>
        <w:endnoteRef/>
      </w:r>
      <w:r w:rsidRPr="00075A26">
        <w:t xml:space="preserve"> JOIN/2023/20 final </w:t>
      </w:r>
    </w:p>
  </w:endnote>
  <w:endnote w:id="6">
    <w:p w14:paraId="0F3680A7" w14:textId="77777777" w:rsidR="00E61374" w:rsidRPr="00075A26" w:rsidRDefault="00E61374" w:rsidP="00E61374">
      <w:pPr>
        <w:pStyle w:val="EndnoteText"/>
      </w:pPr>
      <w:r w:rsidRPr="00075A26">
        <w:rPr>
          <w:rStyle w:val="EndnoteReference"/>
        </w:rPr>
        <w:endnoteRef/>
      </w:r>
      <w:r w:rsidRPr="00075A26">
        <w:t xml:space="preserve"> </w:t>
      </w:r>
      <w:hyperlink r:id="rId4" w:history="1">
        <w:r w:rsidRPr="00075A26">
          <w:rPr>
            <w:rStyle w:val="Hyperlink"/>
          </w:rPr>
          <w:t>Mission letter to EVP Virkkunen</w:t>
        </w:r>
      </w:hyperlink>
      <w:r w:rsidRPr="00075A26">
        <w:t xml:space="preserve"> </w:t>
      </w:r>
    </w:p>
  </w:endnote>
  <w:endnote w:id="7">
    <w:p w14:paraId="38F24E73" w14:textId="77777777" w:rsidR="00E61374" w:rsidRPr="00075A26" w:rsidRDefault="00E61374" w:rsidP="00E61374">
      <w:pPr>
        <w:pStyle w:val="EndnoteText"/>
      </w:pPr>
    </w:p>
  </w:endnote>
  <w:endnote w:id="8">
    <w:p w14:paraId="42B86C11" w14:textId="29BD2B43" w:rsidR="00E61374" w:rsidRPr="00075A26" w:rsidRDefault="00E61374" w:rsidP="00E61374">
      <w:pPr>
        <w:pStyle w:val="EndnoteText"/>
      </w:pPr>
      <w:r w:rsidRPr="00075A26">
        <w:rPr>
          <w:rStyle w:val="EndnoteReference"/>
        </w:rPr>
        <w:endnoteRef/>
      </w:r>
      <w:r w:rsidRPr="00075A26">
        <w:t xml:space="preserve"> </w:t>
      </w:r>
      <w:hyperlink r:id="rId5" w:history="1">
        <w:r w:rsidRPr="00075A26">
          <w:rPr>
            <w:rStyle w:val="Hyperlink"/>
          </w:rPr>
          <w:t>The AI Continent Action Plan | Shaping Europe’s digital future</w:t>
        </w:r>
      </w:hyperlink>
    </w:p>
  </w:endnote>
  <w:endnote w:id="9">
    <w:p w14:paraId="38169D4C" w14:textId="77777777" w:rsidR="00E61374" w:rsidRPr="00075A26" w:rsidRDefault="00E61374" w:rsidP="00E61374">
      <w:pPr>
        <w:pStyle w:val="EndnoteText"/>
      </w:pPr>
      <w:r w:rsidRPr="00075A26">
        <w:rPr>
          <w:rStyle w:val="EndnoteReference"/>
        </w:rPr>
        <w:endnoteRef/>
      </w:r>
      <w:r w:rsidRPr="00075A26">
        <w:t xml:space="preserve"> </w:t>
      </w:r>
      <w:hyperlink r:id="rId6" w:history="1">
        <w:r w:rsidRPr="00075A26">
          <w:rPr>
            <w:rStyle w:val="Hyperlink"/>
          </w:rPr>
          <w:t>Europe’s digital decade: 2030 targets | European Commission</w:t>
        </w:r>
      </w:hyperlink>
    </w:p>
  </w:endnote>
  <w:endnote w:id="10">
    <w:p w14:paraId="569D2D45" w14:textId="77777777" w:rsidR="00E61374" w:rsidRPr="00075A26" w:rsidRDefault="00E61374" w:rsidP="00E61374">
      <w:pPr>
        <w:pStyle w:val="EndnoteText"/>
      </w:pPr>
      <w:r w:rsidRPr="00075A26">
        <w:rPr>
          <w:rStyle w:val="EndnoteReference"/>
        </w:rPr>
        <w:endnoteRef/>
      </w:r>
      <w:r w:rsidRPr="00075A26">
        <w:t xml:space="preserve"> </w:t>
      </w:r>
      <w:hyperlink r:id="rId7" w:history="1">
        <w:r w:rsidRPr="00075A26">
          <w:rPr>
            <w:rStyle w:val="Hyperlink"/>
          </w:rPr>
          <w:t>REPORT on European technological sovereignty and digital infrastructure | A10-0107/2025 | European Parliament</w:t>
        </w:r>
      </w:hyperlink>
    </w:p>
  </w:endnote>
  <w:endnote w:id="11">
    <w:p w14:paraId="66DEA6E7" w14:textId="77777777" w:rsidR="00E61374" w:rsidRPr="00FC3456" w:rsidRDefault="00E61374" w:rsidP="00E61374">
      <w:pPr>
        <w:pStyle w:val="EndnoteText"/>
      </w:pPr>
      <w:r>
        <w:rPr>
          <w:rStyle w:val="EndnoteReference"/>
        </w:rPr>
        <w:endnoteRef/>
      </w:r>
      <w:r>
        <w:t xml:space="preserve"> </w:t>
      </w:r>
      <w:hyperlink r:id="rId8" w:history="1">
        <w:r w:rsidRPr="002605E7">
          <w:rPr>
            <w:rStyle w:val="Hyperlink"/>
          </w:rPr>
          <w:t>Council Conclusions of 5 December 2025</w:t>
        </w:r>
      </w:hyperlink>
    </w:p>
  </w:endnote>
  <w:endnote w:id="12">
    <w:p w14:paraId="06B5C8E8" w14:textId="77777777" w:rsidR="00E61374" w:rsidRPr="00075A26" w:rsidRDefault="00E61374" w:rsidP="00E61374">
      <w:pPr>
        <w:pStyle w:val="EndnoteText"/>
      </w:pPr>
      <w:r w:rsidRPr="00075A26">
        <w:rPr>
          <w:rStyle w:val="EndnoteReference"/>
        </w:rPr>
        <w:endnoteRef/>
      </w:r>
      <w:r w:rsidRPr="00075A26">
        <w:t xml:space="preserve"> </w:t>
      </w:r>
      <w:hyperlink r:id="rId9" w:history="1">
        <w:r w:rsidRPr="00075A26">
          <w:rPr>
            <w:rStyle w:val="Hyperlink"/>
          </w:rPr>
          <w:t>Federal Cloud Computing Strategy, February 2011</w:t>
        </w:r>
      </w:hyperlink>
      <w:r w:rsidRPr="00075A26">
        <w:t xml:space="preserve">? </w:t>
      </w:r>
    </w:p>
  </w:endnote>
  <w:endnote w:id="13">
    <w:p w14:paraId="06E92FB8" w14:textId="77777777" w:rsidR="00E61374" w:rsidRPr="00075A26" w:rsidRDefault="00E61374" w:rsidP="00E61374">
      <w:pPr>
        <w:pStyle w:val="EndnoteText"/>
      </w:pPr>
      <w:r w:rsidRPr="00075A26">
        <w:rPr>
          <w:rStyle w:val="EndnoteReference"/>
        </w:rPr>
        <w:endnoteRef/>
      </w:r>
      <w:r w:rsidRPr="00075A26">
        <w:t xml:space="preserve"> See for example </w:t>
      </w:r>
      <w:hyperlink r:id="rId10" w:history="1">
        <w:r w:rsidRPr="00075A26">
          <w:rPr>
            <w:rStyle w:val="Hyperlink"/>
          </w:rPr>
          <w:t>Amazon's Invasion of the CIA Is a Seismic Shift in Cloud Computing</w:t>
        </w:r>
      </w:hyperlink>
      <w:r w:rsidRPr="00075A26">
        <w:t xml:space="preserve">? </w:t>
      </w:r>
    </w:p>
  </w:endnote>
  <w:endnote w:id="14">
    <w:p w14:paraId="3AD86B9A" w14:textId="77777777" w:rsidR="00E61374" w:rsidRPr="00075A26" w:rsidRDefault="00E61374" w:rsidP="00E61374">
      <w:pPr>
        <w:pStyle w:val="EndnoteText"/>
      </w:pPr>
      <w:r w:rsidRPr="00075A26">
        <w:rPr>
          <w:rStyle w:val="EndnoteReference"/>
        </w:rPr>
        <w:endnoteRef/>
      </w:r>
      <w:r w:rsidRPr="00075A26">
        <w:t xml:space="preserve"> </w:t>
      </w:r>
      <w:hyperlink r:id="rId11" w:history="1">
        <w:r w:rsidRPr="00075A26">
          <w:rPr>
            <w:rStyle w:val="Hyperlink"/>
          </w:rPr>
          <w:t>America’s AI Action Plan</w:t>
        </w:r>
      </w:hyperlink>
    </w:p>
  </w:endnote>
  <w:endnote w:id="15">
    <w:p w14:paraId="1BA4D0E8" w14:textId="77777777" w:rsidR="00E61374" w:rsidRPr="00075A26" w:rsidRDefault="00E61374" w:rsidP="00E61374">
      <w:pPr>
        <w:pStyle w:val="EndnoteText"/>
      </w:pPr>
      <w:r w:rsidRPr="00075A26">
        <w:rPr>
          <w:rStyle w:val="EndnoteReference"/>
        </w:rPr>
        <w:endnoteRef/>
      </w:r>
      <w:r w:rsidRPr="00075A26">
        <w:t xml:space="preserve"> </w:t>
      </w:r>
      <w:hyperlink r:id="rId12" w:history="1">
        <w:r w:rsidRPr="00075A26">
          <w:rPr>
            <w:rStyle w:val="Hyperlink"/>
          </w:rPr>
          <w:t>Accelerating Federal Permitting of Data Center Infrastructure – The White House</w:t>
        </w:r>
      </w:hyperlink>
    </w:p>
  </w:endnote>
  <w:endnote w:id="16">
    <w:p w14:paraId="1CEF2595" w14:textId="77777777" w:rsidR="00E61374" w:rsidRPr="00075A26" w:rsidRDefault="00E61374" w:rsidP="00E61374">
      <w:pPr>
        <w:pStyle w:val="EndnoteText"/>
      </w:pPr>
      <w:r w:rsidRPr="00075A26">
        <w:rPr>
          <w:rStyle w:val="EndnoteReference"/>
        </w:rPr>
        <w:endnoteRef/>
      </w:r>
      <w:r w:rsidRPr="00075A26">
        <w:t xml:space="preserve"> </w:t>
      </w:r>
      <w:hyperlink r:id="rId13" w:history="1">
        <w:r w:rsidRPr="00075A26">
          <w:rPr>
            <w:rStyle w:val="Hyperlink"/>
          </w:rPr>
          <w:t>Promoting The Export of the American AI Technology Stack – The White House</w:t>
        </w:r>
      </w:hyperlink>
    </w:p>
  </w:endnote>
  <w:endnote w:id="17">
    <w:p w14:paraId="1D817BAE" w14:textId="77777777" w:rsidR="00E61374" w:rsidRPr="00075A26" w:rsidRDefault="00E61374" w:rsidP="00E61374">
      <w:pPr>
        <w:pStyle w:val="EndnoteText"/>
      </w:pPr>
      <w:r w:rsidRPr="00075A26">
        <w:rPr>
          <w:rStyle w:val="EndnoteReference"/>
        </w:rPr>
        <w:endnoteRef/>
      </w:r>
      <w:r w:rsidRPr="00075A26">
        <w:t xml:space="preserve"> </w:t>
      </w:r>
      <w:hyperlink r:id="rId14" w:history="1">
        <w:r w:rsidRPr="00075A26">
          <w:rPr>
            <w:rStyle w:val="Hyperlink"/>
          </w:rPr>
          <w:t>China plans network to sell surplus computing power in crackdown on data centre glut | Reuters</w:t>
        </w:r>
      </w:hyperlink>
    </w:p>
  </w:endnote>
  <w:endnote w:id="18">
    <w:p w14:paraId="0B727EAE" w14:textId="77777777" w:rsidR="00E61374" w:rsidRPr="00075A26" w:rsidRDefault="00E61374" w:rsidP="00E61374">
      <w:pPr>
        <w:pStyle w:val="EndnoteText"/>
      </w:pPr>
      <w:r w:rsidRPr="00075A26">
        <w:rPr>
          <w:rStyle w:val="EndnoteReference"/>
        </w:rPr>
        <w:endnoteRef/>
      </w:r>
      <w:r w:rsidRPr="00075A26">
        <w:t xml:space="preserve"> </w:t>
      </w:r>
      <w:hyperlink r:id="rId15" w:history="1">
        <w:r w:rsidRPr="00075A26">
          <w:rPr>
            <w:rStyle w:val="Hyperlink"/>
          </w:rPr>
          <w:t>UK Compute Roadmap - GOV.UK</w:t>
        </w:r>
      </w:hyperlink>
    </w:p>
  </w:endnote>
  <w:endnote w:id="19">
    <w:p w14:paraId="4272A317" w14:textId="77777777" w:rsidR="00E61374" w:rsidRPr="00075A26" w:rsidRDefault="00E61374" w:rsidP="00E61374">
      <w:pPr>
        <w:pStyle w:val="EndnoteText"/>
      </w:pPr>
      <w:r w:rsidRPr="00075A26">
        <w:rPr>
          <w:rStyle w:val="EndnoteReference"/>
        </w:rPr>
        <w:endnoteRef/>
      </w:r>
      <w:r w:rsidRPr="00075A26">
        <w:t xml:space="preserve"> </w:t>
      </w:r>
      <w:hyperlink r:id="rId16" w:history="1">
        <w:r w:rsidRPr="00075A26">
          <w:rPr>
            <w:rStyle w:val="Hyperlink"/>
          </w:rPr>
          <w:t>UAE Dominates Global Data Centre Rankings as Region Becomes Digital Infrastructure Hotspot -MIT Sloan Management Review Middle East</w:t>
        </w:r>
      </w:hyperlink>
    </w:p>
  </w:endnote>
  <w:endnote w:id="20">
    <w:p w14:paraId="42E786F1" w14:textId="77777777" w:rsidR="00E61374" w:rsidRPr="00075A26" w:rsidRDefault="00E61374" w:rsidP="00E61374">
      <w:pPr>
        <w:pStyle w:val="EndnoteText"/>
        <w:rPr>
          <w:lang w:val="fr-FR"/>
        </w:rPr>
      </w:pPr>
      <w:r w:rsidRPr="00075A26">
        <w:rPr>
          <w:rStyle w:val="EndnoteReference"/>
        </w:rPr>
        <w:endnoteRef/>
      </w:r>
      <w:r w:rsidRPr="00075A26">
        <w:rPr>
          <w:lang w:val="fr-FR"/>
        </w:rPr>
        <w:t xml:space="preserve"> </w:t>
      </w:r>
      <w:hyperlink r:id="rId17" w:history="1">
        <w:r w:rsidRPr="00075A26">
          <w:rPr>
            <w:rStyle w:val="Hyperlink"/>
            <w:lang w:val="fr-FR"/>
          </w:rPr>
          <w:t>Decision - 2022/2481 - EN - EUR-Lex</w:t>
        </w:r>
      </w:hyperlink>
    </w:p>
  </w:endnote>
  <w:endnote w:id="21">
    <w:p w14:paraId="4730A05F" w14:textId="77777777" w:rsidR="00E61374" w:rsidRPr="00075A26" w:rsidRDefault="00E61374" w:rsidP="00E61374">
      <w:pPr>
        <w:pStyle w:val="EndnoteText"/>
        <w:rPr>
          <w:lang w:val="fr-FR"/>
        </w:rPr>
      </w:pPr>
      <w:r w:rsidRPr="00075A26">
        <w:rPr>
          <w:rStyle w:val="EndnoteReference"/>
        </w:rPr>
        <w:endnoteRef/>
      </w:r>
      <w:r w:rsidRPr="00075A26">
        <w:rPr>
          <w:lang w:val="fr-FR"/>
        </w:rPr>
        <w:t xml:space="preserve"> </w:t>
      </w:r>
      <w:hyperlink r:id="rId18" w:history="1">
        <w:r w:rsidRPr="00075A26">
          <w:rPr>
            <w:rStyle w:val="Hyperlink"/>
            <w:lang w:val="fr-FR"/>
          </w:rPr>
          <w:t>Directive - 2023/1791 - EN - EUR-Lex</w:t>
        </w:r>
      </w:hyperlink>
    </w:p>
  </w:endnote>
  <w:endnote w:id="22">
    <w:p w14:paraId="2F8527AB" w14:textId="77777777" w:rsidR="00E61374" w:rsidRPr="00075A26" w:rsidRDefault="00E61374" w:rsidP="00E61374">
      <w:pPr>
        <w:pStyle w:val="EndnoteText"/>
      </w:pPr>
      <w:r w:rsidRPr="00075A26">
        <w:rPr>
          <w:rStyle w:val="EndnoteReference"/>
        </w:rPr>
        <w:endnoteRef/>
      </w:r>
      <w:r w:rsidRPr="00075A26">
        <w:t xml:space="preserve"> </w:t>
      </w:r>
      <w:hyperlink r:id="rId19" w:history="1">
        <w:r w:rsidRPr="00075A26">
          <w:rPr>
            <w:rStyle w:val="Hyperlink"/>
          </w:rPr>
          <w:t>Regulation – 20200/852 – EN – EUR-Lex</w:t>
        </w:r>
      </w:hyperlink>
    </w:p>
  </w:endnote>
  <w:endnote w:id="23">
    <w:p w14:paraId="224F85B8" w14:textId="77777777" w:rsidR="00E61374" w:rsidRPr="00075A26" w:rsidRDefault="00E61374" w:rsidP="00E61374">
      <w:pPr>
        <w:pStyle w:val="EndnoteText"/>
      </w:pPr>
      <w:r w:rsidRPr="00075A26">
        <w:rPr>
          <w:rStyle w:val="EndnoteReference"/>
        </w:rPr>
        <w:endnoteRef/>
      </w:r>
      <w:r w:rsidRPr="00075A26">
        <w:t xml:space="preserve"> </w:t>
      </w:r>
      <w:hyperlink r:id="rId20" w:history="1">
        <w:r w:rsidRPr="00075A26">
          <w:rPr>
            <w:rStyle w:val="Hyperlink"/>
          </w:rPr>
          <w:t>Regulation - 2019/424 - EN - EUR-Lex</w:t>
        </w:r>
      </w:hyperlink>
      <w:r w:rsidRPr="00075A26">
        <w:t>, which is currently under review.</w:t>
      </w:r>
    </w:p>
  </w:endnote>
  <w:endnote w:id="24">
    <w:p w14:paraId="5FC998F7" w14:textId="77777777" w:rsidR="00E61374" w:rsidRPr="00075A26" w:rsidRDefault="00E61374" w:rsidP="00E61374">
      <w:pPr>
        <w:pStyle w:val="EndnoteText"/>
      </w:pPr>
      <w:r w:rsidRPr="00075A26">
        <w:rPr>
          <w:rStyle w:val="EndnoteReference"/>
        </w:rPr>
        <w:endnoteRef/>
      </w:r>
      <w:r w:rsidRPr="00075A26">
        <w:t xml:space="preserve"> Digital Networks Act, information accessed from the </w:t>
      </w:r>
      <w:hyperlink r:id="rId21" w:history="1">
        <w:r w:rsidRPr="00075A26">
          <w:rPr>
            <w:rStyle w:val="Hyperlink"/>
          </w:rPr>
          <w:t>'Have Your Say' page</w:t>
        </w:r>
      </w:hyperlink>
    </w:p>
  </w:endnote>
  <w:endnote w:id="25">
    <w:p w14:paraId="53FE339D" w14:textId="77777777" w:rsidR="00E61374" w:rsidRPr="00075A26" w:rsidRDefault="00E61374" w:rsidP="00E61374">
      <w:pPr>
        <w:pStyle w:val="EndnoteText"/>
      </w:pPr>
      <w:r w:rsidRPr="00075A26">
        <w:rPr>
          <w:rStyle w:val="EndnoteReference"/>
        </w:rPr>
        <w:endnoteRef/>
      </w:r>
      <w:r w:rsidRPr="00075A26">
        <w:t xml:space="preserve"> </w:t>
      </w:r>
      <w:hyperlink r:id="rId22" w:history="1">
        <w:r w:rsidRPr="00075A26">
          <w:rPr>
            <w:rStyle w:val="Hyperlink"/>
          </w:rPr>
          <w:t>Commission collects views in preparation of the European Grids Package - European Commission</w:t>
        </w:r>
      </w:hyperlink>
    </w:p>
  </w:endnote>
  <w:endnote w:id="26">
    <w:p w14:paraId="5A0EFFDA" w14:textId="77777777" w:rsidR="00E61374" w:rsidRPr="00075A26" w:rsidRDefault="00E61374" w:rsidP="00E61374">
      <w:pPr>
        <w:pStyle w:val="EndnoteText"/>
      </w:pPr>
      <w:r w:rsidRPr="00075A26">
        <w:rPr>
          <w:rStyle w:val="EndnoteReference"/>
        </w:rPr>
        <w:endnoteRef/>
      </w:r>
      <w:r w:rsidRPr="00075A26">
        <w:t xml:space="preserve"> </w:t>
      </w:r>
      <w:hyperlink r:id="rId23" w:history="1">
        <w:r w:rsidRPr="00075A26">
          <w:rPr>
            <w:rStyle w:val="Hyperlink"/>
          </w:rPr>
          <w:t>Savings and investments union - Finance - European Commission</w:t>
        </w:r>
      </w:hyperlink>
    </w:p>
  </w:endnote>
  <w:endnote w:id="27">
    <w:p w14:paraId="0C7A24AB" w14:textId="77777777" w:rsidR="00E61374" w:rsidRPr="00075A26" w:rsidRDefault="00E61374" w:rsidP="00E61374">
      <w:pPr>
        <w:pStyle w:val="EndnoteText"/>
      </w:pPr>
      <w:r w:rsidRPr="00075A26">
        <w:rPr>
          <w:rStyle w:val="EndnoteReference"/>
        </w:rPr>
        <w:endnoteRef/>
      </w:r>
      <w:r w:rsidRPr="00075A26">
        <w:t xml:space="preserve"> </w:t>
      </w:r>
      <w:hyperlink r:id="rId24" w:history="1">
        <w:r w:rsidRPr="00075A26">
          <w:rPr>
            <w:rStyle w:val="Hyperlink"/>
          </w:rPr>
          <w:t>Apply AI Strategy | Shaping Europe’s digital future</w:t>
        </w:r>
      </w:hyperlink>
    </w:p>
  </w:endnote>
  <w:endnote w:id="28">
    <w:p w14:paraId="44DD58C3" w14:textId="77777777" w:rsidR="00E61374" w:rsidRPr="00075A26" w:rsidRDefault="00E61374" w:rsidP="00E61374">
      <w:pPr>
        <w:pStyle w:val="EndnoteText"/>
      </w:pPr>
      <w:r w:rsidRPr="00075A26">
        <w:rPr>
          <w:rStyle w:val="EndnoteReference"/>
        </w:rPr>
        <w:endnoteRef/>
      </w:r>
      <w:r w:rsidRPr="00075A26">
        <w:t xml:space="preserve"> </w:t>
      </w:r>
      <w:hyperlink r:id="rId25" w:history="1">
        <w:r w:rsidRPr="00075A26">
          <w:rPr>
            <w:rStyle w:val="Hyperlink"/>
          </w:rPr>
          <w:t>Data Act</w:t>
        </w:r>
      </w:hyperlink>
      <w:r w:rsidRPr="00075A26">
        <w:t xml:space="preserve"> </w:t>
      </w:r>
    </w:p>
  </w:endnote>
  <w:endnote w:id="29">
    <w:p w14:paraId="7AA303DB" w14:textId="77777777" w:rsidR="00E61374" w:rsidRPr="00075A26" w:rsidRDefault="00E61374" w:rsidP="00E61374">
      <w:pPr>
        <w:pStyle w:val="EndnoteText"/>
      </w:pPr>
      <w:r w:rsidRPr="00075A26">
        <w:rPr>
          <w:rStyle w:val="EndnoteReference"/>
        </w:rPr>
        <w:endnoteRef/>
      </w:r>
      <w:r w:rsidRPr="00075A26">
        <w:t xml:space="preserve"> </w:t>
      </w:r>
      <w:hyperlink r:id="rId26" w:history="1">
        <w:r w:rsidRPr="00075A26">
          <w:rPr>
            <w:rStyle w:val="Hyperlink"/>
          </w:rPr>
          <w:t>Regulation - 2022/1925 - EN - EUR-Lex</w:t>
        </w:r>
      </w:hyperlink>
    </w:p>
  </w:endnote>
  <w:endnote w:id="30">
    <w:p w14:paraId="5AD7F2A6" w14:textId="77777777" w:rsidR="00E61374" w:rsidRPr="00075A26" w:rsidRDefault="00E61374" w:rsidP="00E61374">
      <w:pPr>
        <w:pStyle w:val="EndnoteText"/>
        <w:rPr>
          <w:lang w:val="fr-FR"/>
        </w:rPr>
      </w:pPr>
      <w:r w:rsidRPr="00075A26">
        <w:rPr>
          <w:rStyle w:val="EndnoteReference"/>
        </w:rPr>
        <w:endnoteRef/>
      </w:r>
      <w:r w:rsidRPr="00075A26">
        <w:rPr>
          <w:lang w:val="fr-FR"/>
        </w:rPr>
        <w:t xml:space="preserve"> </w:t>
      </w:r>
      <w:hyperlink r:id="rId27" w:history="1">
        <w:r w:rsidRPr="00075A26">
          <w:rPr>
            <w:rStyle w:val="Hyperlink"/>
            <w:lang w:val="fr-FR"/>
          </w:rPr>
          <w:t>Regulation - EU - 2024/1689 - EN - EUR-Lex</w:t>
        </w:r>
      </w:hyperlink>
    </w:p>
  </w:endnote>
  <w:endnote w:id="31">
    <w:p w14:paraId="2984C184" w14:textId="77777777" w:rsidR="00E61374" w:rsidRPr="00075A26" w:rsidRDefault="00E61374" w:rsidP="00E61374">
      <w:pPr>
        <w:pStyle w:val="EndnoteText"/>
        <w:rPr>
          <w:lang w:val="fr-FR"/>
        </w:rPr>
      </w:pPr>
      <w:r w:rsidRPr="00075A26">
        <w:rPr>
          <w:rStyle w:val="EndnoteReference"/>
        </w:rPr>
        <w:endnoteRef/>
      </w:r>
      <w:r w:rsidRPr="00075A26">
        <w:rPr>
          <w:lang w:val="fr-FR"/>
        </w:rPr>
        <w:t xml:space="preserve"> </w:t>
      </w:r>
      <w:hyperlink r:id="rId28" w:history="1">
        <w:r w:rsidRPr="00075A26">
          <w:rPr>
            <w:rStyle w:val="Hyperlink"/>
            <w:lang w:val="fr-FR"/>
          </w:rPr>
          <w:t>Cybersecurity Act (CSA)</w:t>
        </w:r>
      </w:hyperlink>
      <w:r w:rsidRPr="00075A26">
        <w:rPr>
          <w:lang w:val="fr-FR"/>
        </w:rPr>
        <w:t xml:space="preserve"> </w:t>
      </w:r>
    </w:p>
  </w:endnote>
  <w:endnote w:id="32">
    <w:p w14:paraId="6500BE6A" w14:textId="77777777" w:rsidR="00E61374" w:rsidRPr="005854E3" w:rsidRDefault="00E61374" w:rsidP="00E61374">
      <w:pPr>
        <w:pStyle w:val="EndnoteText"/>
        <w:rPr>
          <w:lang w:val="fr-BE"/>
        </w:rPr>
      </w:pPr>
      <w:r w:rsidRPr="00075A26">
        <w:rPr>
          <w:rStyle w:val="EndnoteReference"/>
        </w:rPr>
        <w:endnoteRef/>
      </w:r>
      <w:r w:rsidRPr="005854E3">
        <w:rPr>
          <w:lang w:val="fr-BE"/>
        </w:rPr>
        <w:t xml:space="preserve"> </w:t>
      </w:r>
      <w:hyperlink r:id="rId29" w:history="1">
        <w:r w:rsidRPr="005854E3">
          <w:rPr>
            <w:rStyle w:val="Hyperlink"/>
            <w:lang w:val="fr-BE"/>
          </w:rPr>
          <w:t>Regulation - 2022/2554 - EN - DORA - EUR-Lex</w:t>
        </w:r>
      </w:hyperlink>
    </w:p>
  </w:endnote>
  <w:endnote w:id="33">
    <w:p w14:paraId="6895E410" w14:textId="77777777" w:rsidR="00E61374" w:rsidRPr="00075A26" w:rsidRDefault="00E61374" w:rsidP="00E61374">
      <w:pPr>
        <w:pStyle w:val="EndnoteText"/>
      </w:pPr>
      <w:r w:rsidRPr="00075A26">
        <w:rPr>
          <w:rStyle w:val="EndnoteReference"/>
        </w:rPr>
        <w:endnoteRef/>
      </w:r>
      <w:r w:rsidRPr="00075A26">
        <w:t xml:space="preserve"> </w:t>
      </w:r>
      <w:hyperlink r:id="rId30" w:history="1">
        <w:r w:rsidRPr="00075A26">
          <w:rPr>
            <w:rStyle w:val="Hyperlink"/>
          </w:rPr>
          <w:t>Directive on Security of Network and Information Systems (NIS2)</w:t>
        </w:r>
      </w:hyperlink>
      <w:r w:rsidRPr="00075A26">
        <w:t xml:space="preserve"> </w:t>
      </w:r>
    </w:p>
  </w:endnote>
  <w:endnote w:id="34">
    <w:p w14:paraId="595B27CE" w14:textId="77777777" w:rsidR="00E61374" w:rsidRPr="00075A26" w:rsidRDefault="00E61374" w:rsidP="00E61374">
      <w:pPr>
        <w:pStyle w:val="EndnoteText"/>
      </w:pPr>
      <w:r w:rsidRPr="00075A26">
        <w:rPr>
          <w:rStyle w:val="EndnoteReference"/>
        </w:rPr>
        <w:endnoteRef/>
      </w:r>
      <w:r w:rsidRPr="00075A26">
        <w:t xml:space="preserve"> </w:t>
      </w:r>
      <w:hyperlink r:id="rId31" w:history="1">
        <w:r w:rsidRPr="00075A26">
          <w:rPr>
            <w:rStyle w:val="Hyperlink"/>
          </w:rPr>
          <w:t>Public Procurement Directive</w:t>
        </w:r>
      </w:hyperlink>
      <w:r w:rsidRPr="00075A26">
        <w:t xml:space="preserve"> </w:t>
      </w:r>
    </w:p>
  </w:endnote>
  <w:endnote w:id="35">
    <w:p w14:paraId="1B6DCC12" w14:textId="12C3ED6B" w:rsidR="001C759A" w:rsidRDefault="001C759A">
      <w:pPr>
        <w:pStyle w:val="EndnoteText"/>
      </w:pPr>
      <w:r>
        <w:rPr>
          <w:rStyle w:val="EndnoteReference"/>
        </w:rPr>
        <w:endnoteRef/>
      </w:r>
      <w:r>
        <w:t xml:space="preserve"> </w:t>
      </w:r>
      <w:hyperlink r:id="rId32" w:history="1">
        <w:r w:rsidRPr="001C759A">
          <w:rPr>
            <w:rStyle w:val="Hyperlink"/>
            <w:lang w:val="en-GB"/>
          </w:rPr>
          <w:t>Cloud Services Market to Exceed 68 Billion in 2010 | Security Magazine</w:t>
        </w:r>
      </w:hyperlink>
    </w:p>
  </w:endnote>
  <w:endnote w:id="36">
    <w:p w14:paraId="09F56F11" w14:textId="54C4EF26" w:rsidR="003A47FC" w:rsidRDefault="003A47FC">
      <w:pPr>
        <w:pStyle w:val="EndnoteText"/>
      </w:pPr>
      <w:r>
        <w:rPr>
          <w:rStyle w:val="EndnoteReference"/>
        </w:rPr>
        <w:endnoteRef/>
      </w:r>
      <w:r w:rsidRPr="00954A01">
        <w:rPr>
          <w:lang w:val="it-IT"/>
        </w:rPr>
        <w:t xml:space="preserve"> </w:t>
      </w:r>
      <w:r w:rsidR="009B3DDE" w:rsidRPr="00954A01">
        <w:rPr>
          <w:lang w:val="it-IT"/>
        </w:rPr>
        <w:t>Gelvanovska-Garcia, Natalija; Mačiulė, Vaiva; Rossotto, Carlo Maria. </w:t>
      </w:r>
      <w:r w:rsidR="009B3DDE" w:rsidRPr="009B3DDE">
        <w:rPr>
          <w:lang w:val="en-GB"/>
        </w:rPr>
        <w:t>2024. Advancing Cloud and Data Infrastructure Markets: Strategic Directions for Low- and Middle-Income Countries. Sustainable Infrastructure Series. © World Bank. </w:t>
      </w:r>
      <w:hyperlink r:id="rId33" w:history="1">
        <w:r w:rsidR="009B3DDE" w:rsidRPr="007C15EA">
          <w:rPr>
            <w:rStyle w:val="Hyperlink"/>
            <w:lang w:val="en-GB"/>
          </w:rPr>
          <w:t>http://hdl.handle.net/10986/41587</w:t>
        </w:r>
      </w:hyperlink>
      <w:r w:rsidR="009B3DDE">
        <w:rPr>
          <w:lang w:val="en-GB"/>
        </w:rPr>
        <w:t xml:space="preserve"> </w:t>
      </w:r>
      <w:r w:rsidR="009B3DDE" w:rsidRPr="009B3DDE">
        <w:rPr>
          <w:lang w:val="en-GB"/>
        </w:rPr>
        <w:t> License: </w:t>
      </w:r>
      <w:hyperlink r:id="rId34" w:history="1">
        <w:r w:rsidR="009B3DDE" w:rsidRPr="009B3DDE">
          <w:rPr>
            <w:rStyle w:val="Hyperlink"/>
            <w:lang w:val="en-GB"/>
          </w:rPr>
          <w:t>CC BY 3.0 IGO</w:t>
        </w:r>
      </w:hyperlink>
      <w:r w:rsidR="009B3DDE" w:rsidRPr="009B3DDE">
        <w:rPr>
          <w:lang w:val="en-GB"/>
        </w:rPr>
        <w:t>.</w:t>
      </w:r>
    </w:p>
  </w:endnote>
  <w:endnote w:id="37">
    <w:p w14:paraId="1264D4E0" w14:textId="77777777" w:rsidR="001C5BA2" w:rsidRDefault="001C5BA2" w:rsidP="001C5BA2">
      <w:pPr>
        <w:pStyle w:val="EndnoteText"/>
      </w:pPr>
      <w:r>
        <w:rPr>
          <w:rStyle w:val="EndnoteReference"/>
        </w:rPr>
        <w:endnoteRef/>
      </w:r>
      <w:r>
        <w:t xml:space="preserve"> </w:t>
      </w:r>
      <w:hyperlink r:id="rId35" w:history="1">
        <w:r w:rsidRPr="00824357">
          <w:rPr>
            <w:rStyle w:val="Hyperlink"/>
            <w:lang w:val="en-GB"/>
          </w:rPr>
          <w:t>53% EU enterprises used paid cloud services in 2025 - News articles - Eurostat</w:t>
        </w:r>
      </w:hyperlink>
    </w:p>
  </w:endnote>
  <w:endnote w:id="38">
    <w:p w14:paraId="145B3EFF" w14:textId="4DCEA466" w:rsidR="0044286F" w:rsidRDefault="0044286F">
      <w:pPr>
        <w:pStyle w:val="EndnoteText"/>
      </w:pPr>
      <w:r>
        <w:rPr>
          <w:rStyle w:val="EndnoteReference"/>
        </w:rPr>
        <w:endnoteRef/>
      </w:r>
      <w:r>
        <w:t xml:space="preserve"> </w:t>
      </w:r>
      <w:hyperlink r:id="rId36" w:history="1">
        <w:r w:rsidR="006C1E0B" w:rsidRPr="00075A26">
          <w:rPr>
            <w:rStyle w:val="Hyperlink"/>
          </w:rPr>
          <w:t>European Cloud Providers’ Local Market Share Now Holds Steady at 15% | Synergy Research Group</w:t>
        </w:r>
      </w:hyperlink>
    </w:p>
  </w:endnote>
  <w:endnote w:id="39">
    <w:p w14:paraId="538D7529" w14:textId="77777777" w:rsidR="00A42821" w:rsidRDefault="00A42821" w:rsidP="00A42821">
      <w:pPr>
        <w:pStyle w:val="EndnoteText"/>
      </w:pPr>
      <w:r>
        <w:rPr>
          <w:rStyle w:val="EndnoteReference"/>
        </w:rPr>
        <w:endnoteRef/>
      </w:r>
      <w:r>
        <w:t xml:space="preserve"> </w:t>
      </w:r>
      <w:hyperlink r:id="rId37" w:history="1">
        <w:r w:rsidRPr="008256FC">
          <w:rPr>
            <w:rStyle w:val="Hyperlink"/>
            <w:lang w:val="en-GB"/>
          </w:rPr>
          <w:t>European IT providers struggle to capitalise on continent-wide growth in cloud demand | Computer Weekly</w:t>
        </w:r>
      </w:hyperlink>
    </w:p>
  </w:endnote>
  <w:endnote w:id="40">
    <w:p w14:paraId="5A035808" w14:textId="4F486640" w:rsidR="008E21FF" w:rsidRDefault="008E21FF">
      <w:pPr>
        <w:pStyle w:val="EndnoteText"/>
      </w:pPr>
      <w:r>
        <w:rPr>
          <w:rStyle w:val="EndnoteReference"/>
        </w:rPr>
        <w:endnoteRef/>
      </w:r>
      <w:r w:rsidR="00C2156E" w:rsidRPr="00C2156E">
        <w:rPr>
          <w:lang w:val="en-GB"/>
        </w:rPr>
        <w:t>European industrial technology roadmap for the next generation cloud-edge offerin</w:t>
      </w:r>
      <w:r w:rsidR="00C2156E">
        <w:rPr>
          <w:lang w:val="en-GB"/>
        </w:rPr>
        <w:t xml:space="preserve">g, May 2021. Available at: </w:t>
      </w:r>
      <w:hyperlink r:id="rId38" w:history="1">
        <w:r w:rsidRPr="008E21FF">
          <w:rPr>
            <w:rStyle w:val="Hyperlink"/>
          </w:rPr>
          <w:t>https://ec.europa.eu/newsroom/repository/document/2021-18/European_CloudEdge_Technology_Investment_Roadmap_for_publication_pMdz85DSw6nqPppq8hE9S9RbB8_76223.pdf</w:t>
        </w:r>
      </w:hyperlink>
      <w:r>
        <w:t xml:space="preserve">  </w:t>
      </w:r>
    </w:p>
  </w:endnote>
  <w:endnote w:id="41">
    <w:p w14:paraId="2AA24629" w14:textId="77777777" w:rsidR="00455FBD" w:rsidRPr="005854E3" w:rsidRDefault="00455FBD" w:rsidP="00455FBD">
      <w:pPr>
        <w:pStyle w:val="EndnoteText"/>
      </w:pPr>
      <w:r w:rsidRPr="00075A26">
        <w:rPr>
          <w:rStyle w:val="EndnoteReference"/>
        </w:rPr>
        <w:endnoteRef/>
      </w:r>
      <w:r w:rsidRPr="005854E3">
        <w:t xml:space="preserve"> </w:t>
      </w:r>
      <w:hyperlink r:id="rId39" w:history="1">
        <w:r w:rsidRPr="005854E3">
          <w:rPr>
            <w:rStyle w:val="Hyperlink"/>
          </w:rPr>
          <w:t>CIA Awards Secret Multibillion-Dollar Cloud Contract</w:t>
        </w:r>
      </w:hyperlink>
      <w:r w:rsidRPr="005854E3">
        <w:t xml:space="preserve">; </w:t>
      </w:r>
      <w:hyperlink r:id="rId40" w:history="1">
        <w:r w:rsidRPr="005854E3">
          <w:rPr>
            <w:rStyle w:val="Hyperlink"/>
          </w:rPr>
          <w:t>CIA awards multibillion C2E cloud contract to AWS, Microsoft, Google, Oracle, and IBM</w:t>
        </w:r>
      </w:hyperlink>
      <w:r w:rsidRPr="005854E3">
        <w:t xml:space="preserve">.  </w:t>
      </w:r>
    </w:p>
  </w:endnote>
  <w:endnote w:id="42">
    <w:p w14:paraId="2E6A4E50" w14:textId="77777777" w:rsidR="00455FBD" w:rsidRPr="00075A26" w:rsidRDefault="00455FBD" w:rsidP="00455FBD">
      <w:pPr>
        <w:pStyle w:val="EndnoteText"/>
      </w:pPr>
      <w:r w:rsidRPr="00075A26">
        <w:rPr>
          <w:rStyle w:val="EndnoteReference"/>
        </w:rPr>
        <w:endnoteRef/>
      </w:r>
      <w:r w:rsidRPr="00075A26">
        <w:t xml:space="preserve"> </w:t>
      </w:r>
      <w:hyperlink r:id="rId41" w:anchor=":~:text=First%20mover%20advantage&amp;text=AWS%20was%20launched%20in%202006,build%20a%20strong%20brand%20reputation." w:history="1">
        <w:r w:rsidRPr="00075A26">
          <w:rPr>
            <w:rStyle w:val="Hyperlink"/>
          </w:rPr>
          <w:t>What made AWS the leader in the cloud industry?</w:t>
        </w:r>
      </w:hyperlink>
    </w:p>
  </w:endnote>
  <w:endnote w:id="43">
    <w:p w14:paraId="681AD770" w14:textId="47AC945B" w:rsidR="00530131" w:rsidRDefault="00530131">
      <w:pPr>
        <w:pStyle w:val="EndnoteText"/>
      </w:pPr>
      <w:r>
        <w:rPr>
          <w:rStyle w:val="EndnoteReference"/>
        </w:rPr>
        <w:endnoteRef/>
      </w:r>
      <w:r>
        <w:t xml:space="preserve"> </w:t>
      </w:r>
      <w:hyperlink r:id="rId42" w:history="1">
        <w:r w:rsidRPr="00530131">
          <w:rPr>
            <w:rStyle w:val="Hyperlink"/>
            <w:lang w:val="en-GB"/>
          </w:rPr>
          <w:t>Training and Certification for AWS Partners | Digital and Classroom Training | AWS</w:t>
        </w:r>
      </w:hyperlink>
      <w:r>
        <w:t xml:space="preserve">; </w:t>
      </w:r>
      <w:hyperlink r:id="rId43" w:history="1">
        <w:r w:rsidR="001E6F02" w:rsidRPr="001E6F02">
          <w:rPr>
            <w:rStyle w:val="Hyperlink"/>
            <w:lang w:val="en-GB"/>
          </w:rPr>
          <w:t>Top 10 AWS Consulting Partners</w:t>
        </w:r>
      </w:hyperlink>
      <w:r w:rsidR="001E6F02">
        <w:rPr>
          <w:lang w:val="en-GB"/>
        </w:rPr>
        <w:t xml:space="preserve">; </w:t>
      </w:r>
      <w:hyperlink r:id="rId44" w:history="1">
        <w:r w:rsidR="007D6833" w:rsidRPr="007D6833">
          <w:rPr>
            <w:rStyle w:val="Hyperlink"/>
            <w:lang w:val="en-GB"/>
          </w:rPr>
          <w:t>Azure Partners – Find an Azure Expert Partner | Microsoft Azure</w:t>
        </w:r>
      </w:hyperlink>
      <w:r w:rsidR="007D6833">
        <w:t xml:space="preserve">; </w:t>
      </w:r>
      <w:hyperlink r:id="rId45" w:history="1">
        <w:r w:rsidR="0032540D" w:rsidRPr="0032540D">
          <w:rPr>
            <w:rStyle w:val="Hyperlink"/>
            <w:lang w:val="en-GB"/>
          </w:rPr>
          <w:t>Microsoft partnerships drive innovation and growth in Europe in times of uncertainty – Microsoft Pulse</w:t>
        </w:r>
      </w:hyperlink>
      <w:r w:rsidR="0032540D">
        <w:rPr>
          <w:lang w:val="en-GB"/>
        </w:rPr>
        <w:t xml:space="preserve">; </w:t>
      </w:r>
      <w:hyperlink r:id="rId46" w:history="1">
        <w:r w:rsidR="00563AF4" w:rsidRPr="00563AF4">
          <w:rPr>
            <w:rStyle w:val="Hyperlink"/>
            <w:lang w:val="en-GB"/>
          </w:rPr>
          <w:t>Cloud Solution Provider program overview - Partner Center | Microsoft Learn</w:t>
        </w:r>
      </w:hyperlink>
      <w:r w:rsidR="00D517EB">
        <w:t xml:space="preserve">; </w:t>
      </w:r>
    </w:p>
  </w:endnote>
  <w:endnote w:id="44">
    <w:p w14:paraId="3DA8F228" w14:textId="77777777" w:rsidR="00583183" w:rsidRPr="00A31098" w:rsidRDefault="00583183" w:rsidP="00583183">
      <w:pPr>
        <w:pStyle w:val="EndnoteText"/>
        <w:rPr>
          <w:lang w:val="en-GB"/>
        </w:rPr>
      </w:pPr>
      <w:r>
        <w:rPr>
          <w:rStyle w:val="EndnoteReference"/>
        </w:rPr>
        <w:endnoteRef/>
      </w:r>
      <w:r>
        <w:t xml:space="preserve"> </w:t>
      </w:r>
      <w:hyperlink r:id="rId47" w:anchor=":~:text=Not%20surprisingly%2C%20the%20highest%20proportion,remediation%20sector%20(+10.56%20pp)." w:history="1">
        <w:r w:rsidRPr="00AE0641">
          <w:rPr>
            <w:rStyle w:val="Hyperlink"/>
            <w:lang w:val="en-GB"/>
          </w:rPr>
          <w:t>Cloud computing - statistics on the use by enterprises - Statistics Explained - Eurostat</w:t>
        </w:r>
      </w:hyperlink>
    </w:p>
  </w:endnote>
  <w:endnote w:id="45">
    <w:p w14:paraId="4242C8E0" w14:textId="77777777" w:rsidR="00455FBD" w:rsidRPr="00A31098" w:rsidRDefault="00455FBD" w:rsidP="00455FBD">
      <w:pPr>
        <w:pStyle w:val="EndnoteText"/>
        <w:rPr>
          <w:lang w:val="en-GB"/>
        </w:rPr>
      </w:pPr>
      <w:r>
        <w:rPr>
          <w:rStyle w:val="EndnoteReference"/>
        </w:rPr>
        <w:endnoteRef/>
      </w:r>
      <w:r>
        <w:t xml:space="preserve"> </w:t>
      </w:r>
      <w:hyperlink r:id="rId48" w:anchor=":~:text=According%20to%20the%20European%20Commission%27s%20*SVOD%20Usage,is%20less%20concentrated%20than%20TV%20content%20usage" w:history="1">
        <w:r w:rsidRPr="00A70F61">
          <w:rPr>
            <w:rStyle w:val="Hyperlink"/>
            <w:lang w:val="en-GB"/>
          </w:rPr>
          <w:t>Netflix, Prime Video and Disney+ have 85% of Europe’s SVOD market  - Mobile Europe</w:t>
        </w:r>
      </w:hyperlink>
    </w:p>
  </w:endnote>
  <w:endnote w:id="46">
    <w:p w14:paraId="2F43F9E0" w14:textId="37DACDA2" w:rsidR="00EF53EC" w:rsidRDefault="00EF53EC">
      <w:pPr>
        <w:pStyle w:val="EndnoteText"/>
      </w:pPr>
      <w:r>
        <w:rPr>
          <w:rStyle w:val="EndnoteReference"/>
        </w:rPr>
        <w:endnoteRef/>
      </w:r>
      <w:r>
        <w:t xml:space="preserve"> </w:t>
      </w:r>
      <w:hyperlink r:id="rId49" w:history="1">
        <w:r w:rsidRPr="00EF53EC">
          <w:rPr>
            <w:rStyle w:val="Hyperlink"/>
            <w:lang w:val="en-GB"/>
          </w:rPr>
          <w:t>European IT providers struggle to capitalise on continent-wide growth in cloud demand | Computer Weekly</w:t>
        </w:r>
      </w:hyperlink>
    </w:p>
  </w:endnote>
  <w:endnote w:id="47">
    <w:p w14:paraId="262E9D86" w14:textId="55DDD642" w:rsidR="00896D71" w:rsidRDefault="00896D71">
      <w:pPr>
        <w:pStyle w:val="EndnoteText"/>
      </w:pPr>
      <w:r>
        <w:rPr>
          <w:rStyle w:val="EndnoteReference"/>
        </w:rPr>
        <w:endnoteRef/>
      </w:r>
      <w:r>
        <w:t xml:space="preserve"> </w:t>
      </w:r>
      <w:r w:rsidR="007328BB" w:rsidRPr="007328BB">
        <w:rPr>
          <w:lang w:val="en-GB"/>
        </w:rPr>
        <w:t xml:space="preserve">Grassano, N., Hernandez Guevara, H., Tuebke, A., Amoroso, S., Dosso, M., Georgakaki, A. and Pasimeni, F., The 2020 EU Industrial R&amp;D Investment Scoreboard, EUR 30519 EN, Publications Office of the European Union, Luxembourg, 2020, ISBN 978- 92-76-27418-6, doi:10.2760/203793, JRC123317. </w:t>
      </w:r>
      <w:r w:rsidR="007328BB">
        <w:rPr>
          <w:lang w:val="en-GB"/>
        </w:rPr>
        <w:t xml:space="preserve"> Available here: </w:t>
      </w:r>
      <w:hyperlink r:id="rId50" w:history="1">
        <w:r w:rsidR="00633B5C" w:rsidRPr="00633B5C">
          <w:rPr>
            <w:rStyle w:val="Hyperlink"/>
            <w:lang w:val="en-GB"/>
          </w:rPr>
          <w:t>SB2020_final_16Dec2020_online.pdf</w:t>
        </w:r>
      </w:hyperlink>
      <w:r w:rsidR="007328BB">
        <w:t>.</w:t>
      </w:r>
    </w:p>
  </w:endnote>
  <w:endnote w:id="48">
    <w:p w14:paraId="46292CFC" w14:textId="77777777" w:rsidR="000629E1" w:rsidRPr="00075A26" w:rsidRDefault="000629E1" w:rsidP="000629E1">
      <w:pPr>
        <w:pStyle w:val="EndnoteText"/>
      </w:pPr>
      <w:r w:rsidRPr="00075A26">
        <w:rPr>
          <w:rStyle w:val="EndnoteReference"/>
        </w:rPr>
        <w:endnoteRef/>
      </w:r>
      <w:r w:rsidRPr="00075A26">
        <w:t xml:space="preserve"> </w:t>
      </w:r>
      <w:hyperlink r:id="rId51" w:history="1">
        <w:r w:rsidRPr="00075A26">
          <w:rPr>
            <w:rStyle w:val="Hyperlink"/>
          </w:rPr>
          <w:t>The Future of Hyperscaler Capital Expenditures: A Deep Dive into AI and Cloud Computing – HyperFRAME Research</w:t>
        </w:r>
      </w:hyperlink>
    </w:p>
  </w:endnote>
  <w:endnote w:id="49">
    <w:p w14:paraId="6989EE21" w14:textId="7EF21BB7" w:rsidR="0014745E" w:rsidRDefault="0014745E">
      <w:pPr>
        <w:pStyle w:val="EndnoteText"/>
      </w:pPr>
      <w:r>
        <w:rPr>
          <w:rStyle w:val="EndnoteReference"/>
        </w:rPr>
        <w:endnoteRef/>
      </w:r>
      <w:r>
        <w:t xml:space="preserve"> See also </w:t>
      </w:r>
      <w:r w:rsidRPr="0014745E">
        <w:rPr>
          <w:lang w:val="en-GB"/>
        </w:rPr>
        <w:t>Arnal, J. (2025). Towards Competitive Cloud Ecosystems: Strategic Responses for Europe’s Digital Future, IE Center for the Governance of Change.</w:t>
      </w:r>
      <w:r w:rsidR="00581C26">
        <w:rPr>
          <w:lang w:val="en-GB"/>
        </w:rPr>
        <w:t xml:space="preserve"> Available here: </w:t>
      </w:r>
      <w:hyperlink r:id="rId52" w:history="1">
        <w:r w:rsidR="00581C26" w:rsidRPr="00581C26">
          <w:rPr>
            <w:rStyle w:val="Hyperlink"/>
            <w:lang w:val="en-GB"/>
          </w:rPr>
          <w:t>CGC_Competitive_Cloud_Ecosystems_2025.pdf</w:t>
        </w:r>
      </w:hyperlink>
    </w:p>
  </w:endnote>
  <w:endnote w:id="50">
    <w:p w14:paraId="52FB12C3" w14:textId="77777777" w:rsidR="001B5D49" w:rsidRPr="00553CFA" w:rsidRDefault="001B5D49" w:rsidP="001B5D49">
      <w:pPr>
        <w:pStyle w:val="EndnoteText"/>
      </w:pPr>
      <w:r>
        <w:rPr>
          <w:rStyle w:val="EndnoteReference"/>
        </w:rPr>
        <w:endnoteRef/>
      </w:r>
      <w:r w:rsidRPr="0075156D">
        <w:t xml:space="preserve">  Crémer, Jacques &amp; Biglaiser, Gary &amp; Mantovani, Andrea, 2024. </w:t>
      </w:r>
      <w:r w:rsidRPr="00553CFA">
        <w:rPr>
          <w:lang w:val="en-GB"/>
        </w:rPr>
        <w:t>"</w:t>
      </w:r>
      <w:hyperlink r:id="rId53" w:history="1">
        <w:r w:rsidRPr="00553CFA">
          <w:rPr>
            <w:rStyle w:val="Hyperlink"/>
            <w:b/>
            <w:bCs/>
            <w:lang w:val="en-GB"/>
          </w:rPr>
          <w:t>The Economics of the Cloud</w:t>
        </w:r>
      </w:hyperlink>
      <w:r w:rsidRPr="00553CFA">
        <w:rPr>
          <w:lang w:val="en-GB"/>
        </w:rPr>
        <w:t>," </w:t>
      </w:r>
      <w:hyperlink r:id="rId54" w:history="1">
        <w:r w:rsidRPr="00553CFA">
          <w:rPr>
            <w:rStyle w:val="Hyperlink"/>
            <w:lang w:val="en-GB"/>
          </w:rPr>
          <w:t>TSE Working Papers</w:t>
        </w:r>
      </w:hyperlink>
      <w:r w:rsidRPr="00553CFA">
        <w:rPr>
          <w:lang w:val="en-GB"/>
        </w:rPr>
        <w:t> 24-1520, Toulouse School of Economics (TSE).</w:t>
      </w:r>
    </w:p>
  </w:endnote>
  <w:endnote w:id="51">
    <w:p w14:paraId="050BB3C3" w14:textId="77777777" w:rsidR="001B5D49" w:rsidRPr="00075A26" w:rsidRDefault="001B5D49" w:rsidP="001B5D49">
      <w:pPr>
        <w:pStyle w:val="EndnoteText"/>
      </w:pPr>
      <w:r w:rsidRPr="00075A26">
        <w:rPr>
          <w:rStyle w:val="EndnoteReference"/>
        </w:rPr>
        <w:endnoteRef/>
      </w:r>
      <w:hyperlink r:id="rId55" w:history="1">
        <w:r w:rsidRPr="00075A26">
          <w:rPr>
            <w:rStyle w:val="Hyperlink"/>
          </w:rPr>
          <w:t>The UK’s Competition and Markets Authority detail this situation in their July 2025 report</w:t>
        </w:r>
      </w:hyperlink>
      <w:r w:rsidRPr="00075A26">
        <w:t xml:space="preserve"> </w:t>
      </w:r>
    </w:p>
  </w:endnote>
  <w:endnote w:id="52">
    <w:p w14:paraId="070E4083" w14:textId="1DE39DC1" w:rsidR="00FF4A2D" w:rsidRDefault="00FF4A2D">
      <w:pPr>
        <w:pStyle w:val="EndnoteText"/>
      </w:pPr>
      <w:r>
        <w:rPr>
          <w:rStyle w:val="EndnoteReference"/>
        </w:rPr>
        <w:endnoteRef/>
      </w:r>
      <w:r>
        <w:t xml:space="preserve"> </w:t>
      </w:r>
      <w:hyperlink r:id="rId56" w:history="1">
        <w:r w:rsidR="00C96951" w:rsidRPr="00C96951">
          <w:rPr>
            <w:rStyle w:val="Hyperlink"/>
            <w:lang w:val="en-GB"/>
          </w:rPr>
          <w:t>Market study into cloud services | ACM</w:t>
        </w:r>
      </w:hyperlink>
    </w:p>
  </w:endnote>
  <w:endnote w:id="53">
    <w:p w14:paraId="74914209" w14:textId="267B3FD8" w:rsidR="00970313" w:rsidRPr="00FE3436" w:rsidRDefault="00970313">
      <w:pPr>
        <w:pStyle w:val="EndnoteText"/>
      </w:pPr>
      <w:r>
        <w:rPr>
          <w:rStyle w:val="EndnoteReference"/>
        </w:rPr>
        <w:endnoteRef/>
      </w:r>
      <w:r>
        <w:t xml:space="preserve"> </w:t>
      </w:r>
      <w:hyperlink r:id="rId57" w:anchor=":~:text=Sovereign%20Cloud%20IaaS%20Spending%20to,in%20the%2020%20percent%20range." w:history="1">
        <w:r w:rsidR="009A0519" w:rsidRPr="00AE71C6">
          <w:rPr>
            <w:rStyle w:val="Hyperlink"/>
            <w:lang w:val="en-GB"/>
          </w:rPr>
          <w:t>Gartner Says Worldwide Sovereign Cloud IaaS Spending Will Total $80 Billion in 2026</w:t>
        </w:r>
      </w:hyperlink>
      <w:r w:rsidR="009A0519" w:rsidRPr="009A0519">
        <w:rPr>
          <w:lang w:val="en-GB"/>
        </w:rPr>
        <w:t xml:space="preserve"> </w:t>
      </w:r>
    </w:p>
  </w:endnote>
  <w:endnote w:id="54">
    <w:p w14:paraId="15879350" w14:textId="77777777" w:rsidR="00E61374" w:rsidRPr="00075A26" w:rsidRDefault="00E61374" w:rsidP="00E61374">
      <w:pPr>
        <w:pStyle w:val="EndnoteText"/>
      </w:pPr>
      <w:r w:rsidRPr="00075A26">
        <w:rPr>
          <w:rStyle w:val="EndnoteReference"/>
        </w:rPr>
        <w:endnoteRef/>
      </w:r>
      <w:r w:rsidRPr="00075A26">
        <w:t xml:space="preserve"> </w:t>
      </w:r>
      <w:hyperlink r:id="rId58" w:history="1">
        <w:r w:rsidRPr="00075A26">
          <w:rPr>
            <w:rStyle w:val="Hyperlink"/>
          </w:rPr>
          <w:t>AI and Compute</w:t>
        </w:r>
      </w:hyperlink>
      <w:r w:rsidRPr="00075A26">
        <w:t xml:space="preserve">; </w:t>
      </w:r>
      <w:hyperlink r:id="rId59" w:history="1">
        <w:r w:rsidRPr="00075A26">
          <w:rPr>
            <w:rStyle w:val="Hyperlink"/>
          </w:rPr>
          <w:t xml:space="preserve"> The cost of compute power: A $7 trillion race | McKinsey</w:t>
        </w:r>
      </w:hyperlink>
      <w:r w:rsidRPr="00075A26">
        <w:t xml:space="preserve">; </w:t>
      </w:r>
      <w:hyperlink r:id="rId60" w:history="1">
        <w:r w:rsidRPr="00075A26">
          <w:rPr>
            <w:rStyle w:val="Hyperlink"/>
          </w:rPr>
          <w:t>How Can We Meet AI’s Insatiable Demand for Compute Power? | Bain &amp; Company</w:t>
        </w:r>
      </w:hyperlink>
      <w:r w:rsidRPr="00075A26">
        <w:t xml:space="preserve">; </w:t>
      </w:r>
      <w:hyperlink r:id="rId61" w:history="1">
        <w:r w:rsidRPr="00075A26">
          <w:rPr>
            <w:rStyle w:val="Hyperlink"/>
          </w:rPr>
          <w:t>AI to drive 165% increase in data center power demand by 2030 | Goldman Sachs</w:t>
        </w:r>
      </w:hyperlink>
      <w:r w:rsidRPr="00075A26">
        <w:t xml:space="preserve">; </w:t>
      </w:r>
      <w:hyperlink r:id="rId62" w:history="1">
        <w:r w:rsidRPr="00075A26">
          <w:rPr>
            <w:rStyle w:val="Hyperlink"/>
          </w:rPr>
          <w:t>The 2025 AI Index Report | Stanford HAI</w:t>
        </w:r>
      </w:hyperlink>
    </w:p>
  </w:endnote>
  <w:endnote w:id="55">
    <w:p w14:paraId="0D2B32D1" w14:textId="77777777" w:rsidR="00E61374" w:rsidRPr="00075A26" w:rsidRDefault="00E61374" w:rsidP="00E61374">
      <w:pPr>
        <w:pStyle w:val="EndnoteText"/>
      </w:pPr>
      <w:r w:rsidRPr="00075A26">
        <w:rPr>
          <w:rStyle w:val="EndnoteReference"/>
        </w:rPr>
        <w:endnoteRef/>
      </w:r>
      <w:r w:rsidRPr="00075A26">
        <w:t xml:space="preserve"> Statista Technology Market Insights, 2025. Available here: </w:t>
      </w:r>
      <w:hyperlink r:id="rId63" w:history="1">
        <w:r w:rsidRPr="00075A26">
          <w:rPr>
            <w:rStyle w:val="Hyperlink"/>
          </w:rPr>
          <w:t>Artificial Intelligence - EU-27 | Statista Market Forecast</w:t>
        </w:r>
      </w:hyperlink>
    </w:p>
  </w:endnote>
  <w:endnote w:id="56">
    <w:p w14:paraId="4D492BBB" w14:textId="77777777" w:rsidR="00E61374" w:rsidRPr="005B6512" w:rsidRDefault="00E61374" w:rsidP="00E61374">
      <w:pPr>
        <w:pStyle w:val="EndnoteText"/>
        <w:rPr>
          <w:lang w:val="it-IT"/>
        </w:rPr>
      </w:pPr>
      <w:r w:rsidRPr="00075A26">
        <w:rPr>
          <w:rStyle w:val="EndnoteReference"/>
        </w:rPr>
        <w:endnoteRef/>
      </w:r>
      <w:r w:rsidRPr="005B6512">
        <w:rPr>
          <w:lang w:val="it-IT"/>
        </w:rPr>
        <w:t xml:space="preserve"> </w:t>
      </w:r>
      <w:hyperlink r:id="rId64" w:anchor=":~:text=Rents%20will%20continue%20to%20increase,charge%20a%20premium%20rental%20rate." w:history="1">
        <w:r w:rsidRPr="005B6512">
          <w:rPr>
            <w:rStyle w:val="Hyperlink"/>
            <w:lang w:val="it-IT"/>
          </w:rPr>
          <w:t>Data Centres | CBRE</w:t>
        </w:r>
      </w:hyperlink>
    </w:p>
  </w:endnote>
  <w:endnote w:id="57">
    <w:p w14:paraId="0B1F7A6E" w14:textId="77777777" w:rsidR="00E61374" w:rsidRPr="005B6512" w:rsidRDefault="00E61374" w:rsidP="00E61374">
      <w:pPr>
        <w:pStyle w:val="EndnoteText"/>
        <w:rPr>
          <w:lang w:val="it-IT"/>
        </w:rPr>
      </w:pPr>
      <w:r w:rsidRPr="00075A26">
        <w:rPr>
          <w:rStyle w:val="EndnoteReference"/>
        </w:rPr>
        <w:endnoteRef/>
      </w:r>
      <w:r w:rsidRPr="005B6512">
        <w:rPr>
          <w:lang w:val="it-IT"/>
        </w:rPr>
        <w:t xml:space="preserve"> </w:t>
      </w:r>
      <w:hyperlink r:id="rId65" w:history="1">
        <w:r w:rsidRPr="005B6512">
          <w:rPr>
            <w:rStyle w:val="Hyperlink"/>
            <w:lang w:val="it-IT"/>
          </w:rPr>
          <w:t>Global Data Center Trends 2025 | CBRE</w:t>
        </w:r>
      </w:hyperlink>
    </w:p>
  </w:endnote>
  <w:endnote w:id="58">
    <w:p w14:paraId="7F3A80FF" w14:textId="77777777" w:rsidR="0022488F" w:rsidRPr="00075A26" w:rsidRDefault="0022488F" w:rsidP="0022488F">
      <w:pPr>
        <w:pStyle w:val="EndnoteText"/>
      </w:pPr>
      <w:r w:rsidRPr="00075A26">
        <w:rPr>
          <w:rStyle w:val="EndnoteReference"/>
        </w:rPr>
        <w:endnoteRef/>
      </w:r>
      <w:r w:rsidRPr="00075A26">
        <w:t xml:space="preserve"> </w:t>
      </w:r>
      <w:hyperlink r:id="rId66" w:history="1">
        <w:r w:rsidRPr="00075A26">
          <w:rPr>
            <w:rStyle w:val="Hyperlink"/>
          </w:rPr>
          <w:t>Big Tech's AI investments set to spike to $364 billion in 2025 as bubble fears ease</w:t>
        </w:r>
      </w:hyperlink>
      <w:r w:rsidRPr="00075A26">
        <w:t xml:space="preserve">? </w:t>
      </w:r>
    </w:p>
  </w:endnote>
  <w:endnote w:id="59">
    <w:p w14:paraId="49ED46AD" w14:textId="77777777" w:rsidR="00E61374" w:rsidRDefault="00E61374" w:rsidP="00E61374">
      <w:pPr>
        <w:pStyle w:val="EndnoteText"/>
      </w:pPr>
      <w:r w:rsidRPr="04A50E09">
        <w:rPr>
          <w:rStyle w:val="EndnoteReference"/>
        </w:rPr>
        <w:endnoteRef/>
      </w:r>
      <w:r>
        <w:t xml:space="preserve"> </w:t>
      </w:r>
      <w:r w:rsidRPr="04A50E09">
        <w:t>Technopolis Group</w:t>
      </w:r>
      <w:r>
        <w:t xml:space="preserve"> et al.</w:t>
      </w:r>
      <w:r w:rsidRPr="04A50E09">
        <w:t xml:space="preserve"> (2025), "Study: Cloud and AI".</w:t>
      </w:r>
    </w:p>
  </w:endnote>
  <w:endnote w:id="60">
    <w:p w14:paraId="2EBD39B5" w14:textId="77777777" w:rsidR="00E61374" w:rsidRDefault="00E61374" w:rsidP="00E61374">
      <w:pPr>
        <w:pStyle w:val="EndnoteText"/>
      </w:pPr>
      <w:r w:rsidRPr="48774148">
        <w:rPr>
          <w:rStyle w:val="EndnoteReference"/>
        </w:rPr>
        <w:endnoteRef/>
      </w:r>
      <w:r w:rsidRPr="48774148">
        <w:t xml:space="preserve"> Technopolis Group</w:t>
      </w:r>
      <w:r>
        <w:t xml:space="preserve"> et al.</w:t>
      </w:r>
      <w:r w:rsidRPr="48774148">
        <w:t xml:space="preserve"> (2025), "Study: Cloud and AI". </w:t>
      </w:r>
    </w:p>
  </w:endnote>
  <w:endnote w:id="61">
    <w:p w14:paraId="2C5BACF2" w14:textId="77777777" w:rsidR="00E61374" w:rsidRPr="000638B8" w:rsidRDefault="00E61374" w:rsidP="00E61374">
      <w:pPr>
        <w:pStyle w:val="EndnoteText"/>
      </w:pPr>
      <w:r>
        <w:rPr>
          <w:rStyle w:val="EndnoteReference"/>
        </w:rPr>
        <w:endnoteRef/>
      </w:r>
      <w:r>
        <w:t xml:space="preserve"> </w:t>
      </w:r>
      <w:hyperlink r:id="rId67" w:history="1">
        <w:r w:rsidRPr="001704AF">
          <w:rPr>
            <w:rStyle w:val="Hyperlink"/>
          </w:rPr>
          <w:t>KPMG | The evolving data centre landscape</w:t>
        </w:r>
      </w:hyperlink>
    </w:p>
  </w:endnote>
  <w:endnote w:id="62">
    <w:p w14:paraId="540691BC" w14:textId="77777777" w:rsidR="00E61374" w:rsidRPr="00075A26" w:rsidRDefault="00E61374" w:rsidP="00E61374">
      <w:pPr>
        <w:pStyle w:val="EndnoteText"/>
        <w:rPr>
          <w:rStyle w:val="Hyperlink"/>
        </w:rPr>
      </w:pPr>
      <w:r w:rsidRPr="00075A26">
        <w:rPr>
          <w:rStyle w:val="EndnoteReference"/>
        </w:rPr>
        <w:endnoteRef/>
      </w:r>
      <w:r w:rsidRPr="00075A26">
        <w:t xml:space="preserve"> Data coming from the Cloud and AI Study. Additional data can be found here: </w:t>
      </w:r>
      <w:hyperlink r:id="rId68" w:anchor=":~:text=A%20European%20AI%20infrastructure%20and%20insufficient%20funding&amp;text=As%20far%20as%20data%20centers,US%2012%20%2C%20a%20comparable%20economy." w:history="1">
        <w:r w:rsidRPr="00075A26">
          <w:rPr>
            <w:rStyle w:val="Hyperlink"/>
          </w:rPr>
          <w:t>Financing Infrastructure for a Competitive European AI - Groupe d'études géopolitiques</w:t>
        </w:r>
      </w:hyperlink>
    </w:p>
  </w:endnote>
  <w:endnote w:id="63">
    <w:p w14:paraId="1317801C" w14:textId="77777777" w:rsidR="00E61374" w:rsidRDefault="00E61374" w:rsidP="00E61374">
      <w:pPr>
        <w:pStyle w:val="EndnoteText"/>
      </w:pPr>
      <w:r w:rsidRPr="4057BDF9">
        <w:rPr>
          <w:rStyle w:val="EndnoteReference"/>
        </w:rPr>
        <w:endnoteRef/>
      </w:r>
      <w:r>
        <w:t xml:space="preserve"> Technopolis Group et al. (2025), "Study: Cloud and AI".</w:t>
      </w:r>
    </w:p>
  </w:endnote>
  <w:endnote w:id="64">
    <w:p w14:paraId="079A7EAD" w14:textId="77777777" w:rsidR="00E61374" w:rsidRPr="00750B8D" w:rsidRDefault="00E61374" w:rsidP="00E61374">
      <w:pPr>
        <w:pStyle w:val="EndnoteText"/>
      </w:pPr>
      <w:r>
        <w:rPr>
          <w:rStyle w:val="EndnoteReference"/>
        </w:rPr>
        <w:endnoteRef/>
      </w:r>
      <w:r>
        <w:t xml:space="preserve"> </w:t>
      </w:r>
      <w:hyperlink r:id="rId69" w:history="1">
        <w:r w:rsidRPr="003D48F3">
          <w:rPr>
            <w:rStyle w:val="Hyperlink"/>
          </w:rPr>
          <w:t>Savills | Costs on the rise</w:t>
        </w:r>
      </w:hyperlink>
    </w:p>
  </w:endnote>
  <w:endnote w:id="65">
    <w:p w14:paraId="4CFA77C8" w14:textId="77777777" w:rsidR="00E61374" w:rsidRPr="00075A26" w:rsidRDefault="00E61374" w:rsidP="00E61374">
      <w:pPr>
        <w:pStyle w:val="EndnoteText"/>
      </w:pPr>
      <w:r w:rsidRPr="00075A26">
        <w:rPr>
          <w:rStyle w:val="EndnoteReference"/>
        </w:rPr>
        <w:endnoteRef/>
      </w:r>
      <w:r w:rsidRPr="00075A26">
        <w:t xml:space="preserve"> </w:t>
      </w:r>
      <w:hyperlink r:id="rId70" w:history="1">
        <w:r w:rsidRPr="00075A26">
          <w:rPr>
            <w:rStyle w:val="Hyperlink"/>
          </w:rPr>
          <w:t>Unlocking the European AI revolution | McKinsey</w:t>
        </w:r>
      </w:hyperlink>
    </w:p>
  </w:endnote>
  <w:endnote w:id="66">
    <w:p w14:paraId="292D84A7" w14:textId="77777777" w:rsidR="00E53C54" w:rsidRPr="00E339BE" w:rsidRDefault="00E53C54" w:rsidP="00E53C54">
      <w:pPr>
        <w:pStyle w:val="EndnoteText"/>
        <w:rPr>
          <w:lang w:val="it-IT"/>
        </w:rPr>
      </w:pPr>
      <w:r>
        <w:rPr>
          <w:rStyle w:val="EndnoteReference"/>
        </w:rPr>
        <w:endnoteRef/>
      </w:r>
      <w:r w:rsidRPr="00E339BE">
        <w:rPr>
          <w:lang w:val="it-IT"/>
        </w:rPr>
        <w:t xml:space="preserve"> </w:t>
      </w:r>
      <w:hyperlink r:id="rId71" w:anchor=":~:text=Pricing%20for%20data%20centre%20space,account%20for%20higher%20build%20costs." w:history="1">
        <w:r w:rsidRPr="00E339BE">
          <w:rPr>
            <w:rStyle w:val="Hyperlink"/>
            <w:lang w:val="it-IT"/>
          </w:rPr>
          <w:t>Data Centres | CBRE</w:t>
        </w:r>
      </w:hyperlink>
    </w:p>
  </w:endnote>
  <w:endnote w:id="67">
    <w:p w14:paraId="5246C7C5" w14:textId="77777777" w:rsidR="00E53C54" w:rsidRPr="00E339BE" w:rsidRDefault="00E53C54" w:rsidP="00E53C54">
      <w:pPr>
        <w:pStyle w:val="EndnoteText"/>
        <w:rPr>
          <w:lang w:val="it-IT"/>
        </w:rPr>
      </w:pPr>
      <w:r w:rsidRPr="00075A26">
        <w:rPr>
          <w:rStyle w:val="EndnoteReference"/>
        </w:rPr>
        <w:endnoteRef/>
      </w:r>
      <w:r w:rsidRPr="00E339BE">
        <w:rPr>
          <w:lang w:val="it-IT"/>
        </w:rPr>
        <w:t xml:space="preserve"> </w:t>
      </w:r>
      <w:hyperlink r:id="rId72" w:anchor=":~:text=Pricing%20for%20data%20centre%20space,account%20for%20higher%20build%20costs." w:history="1">
        <w:r w:rsidRPr="00E339BE">
          <w:rPr>
            <w:rStyle w:val="Hyperlink"/>
            <w:lang w:val="it-IT"/>
          </w:rPr>
          <w:t>Data Centres | CBRE</w:t>
        </w:r>
      </w:hyperlink>
    </w:p>
  </w:endnote>
  <w:endnote w:id="68">
    <w:p w14:paraId="08D168EB" w14:textId="77777777" w:rsidR="00E61374" w:rsidRPr="00015359" w:rsidRDefault="00E61374" w:rsidP="00E61374">
      <w:pPr>
        <w:pStyle w:val="EndnoteText"/>
      </w:pPr>
      <w:r>
        <w:rPr>
          <w:rStyle w:val="EndnoteReference"/>
        </w:rPr>
        <w:endnoteRef/>
      </w:r>
      <w:r>
        <w:t xml:space="preserve"> </w:t>
      </w:r>
      <w:hyperlink r:id="rId73" w:history="1">
        <w:r w:rsidRPr="00015359">
          <w:rPr>
            <w:rStyle w:val="Hyperlink"/>
          </w:rPr>
          <w:t>RTE | No new data centres for the capital for the foreseeable future</w:t>
        </w:r>
      </w:hyperlink>
    </w:p>
  </w:endnote>
  <w:endnote w:id="69">
    <w:p w14:paraId="64B2C43A" w14:textId="77777777" w:rsidR="00E61374" w:rsidRPr="00075A26" w:rsidRDefault="00E61374" w:rsidP="00E61374">
      <w:pPr>
        <w:pStyle w:val="EndnoteText"/>
      </w:pPr>
      <w:r w:rsidRPr="00075A26">
        <w:rPr>
          <w:rStyle w:val="EndnoteReference"/>
        </w:rPr>
        <w:endnoteRef/>
      </w:r>
      <w:r w:rsidRPr="00075A26">
        <w:t xml:space="preserve"> </w:t>
      </w:r>
      <w:hyperlink r:id="rId74" w:history="1">
        <w:r w:rsidRPr="00075A26">
          <w:rPr>
            <w:rStyle w:val="Hyperlink"/>
          </w:rPr>
          <w:t>HOW DATA CENTERS HAVE COME TO MATTER: Governing the Spatial and Environmental Footprint of the ‘Digital Gateway to Europe’ - Monstadt - 2025 - International Journal of Urban and Regional Research - Wiley Online Library</w:t>
        </w:r>
      </w:hyperlink>
    </w:p>
  </w:endnote>
  <w:endnote w:id="70">
    <w:p w14:paraId="391EE280" w14:textId="77777777" w:rsidR="00E61374" w:rsidRPr="00D92C13" w:rsidRDefault="00E61374" w:rsidP="00E61374">
      <w:pPr>
        <w:pStyle w:val="EndnoteText"/>
      </w:pPr>
      <w:r>
        <w:rPr>
          <w:rStyle w:val="EndnoteReference"/>
        </w:rPr>
        <w:endnoteRef/>
      </w:r>
      <w:r>
        <w:t xml:space="preserve"> </w:t>
      </w:r>
      <w:hyperlink r:id="rId75" w:history="1">
        <w:r w:rsidRPr="00D92C13">
          <w:rPr>
            <w:rStyle w:val="Hyperlink"/>
          </w:rPr>
          <w:t>CREOS annual report 2021</w:t>
        </w:r>
      </w:hyperlink>
      <w:r>
        <w:t xml:space="preserve"> </w:t>
      </w:r>
    </w:p>
  </w:endnote>
  <w:endnote w:id="71">
    <w:p w14:paraId="218A8670" w14:textId="77777777" w:rsidR="00833EF8" w:rsidRPr="00580DE9" w:rsidRDefault="00833EF8" w:rsidP="00833EF8">
      <w:pPr>
        <w:pStyle w:val="EndnoteText"/>
      </w:pPr>
      <w:r>
        <w:rPr>
          <w:rStyle w:val="EndnoteReference"/>
        </w:rPr>
        <w:endnoteRef/>
      </w:r>
      <w:r w:rsidRPr="00580DE9">
        <w:t xml:space="preserve"> </w:t>
      </w:r>
      <w:hyperlink r:id="rId76" w:history="1">
        <w:r w:rsidRPr="008C6CE5">
          <w:rPr>
            <w:rStyle w:val="Hyperlink"/>
          </w:rPr>
          <w:t>ServerMania | Cloud server prices</w:t>
        </w:r>
      </w:hyperlink>
    </w:p>
  </w:endnote>
  <w:endnote w:id="72">
    <w:p w14:paraId="5A543780" w14:textId="77777777" w:rsidR="00833EF8" w:rsidRPr="00075A26" w:rsidRDefault="00833EF8" w:rsidP="00833EF8">
      <w:pPr>
        <w:pStyle w:val="EndnoteText"/>
      </w:pPr>
      <w:r w:rsidRPr="00075A26">
        <w:rPr>
          <w:rStyle w:val="EndnoteReference"/>
        </w:rPr>
        <w:endnoteRef/>
      </w:r>
      <w:r w:rsidRPr="00075A26">
        <w:t xml:space="preserve"> </w:t>
      </w:r>
      <w:hyperlink r:id="rId77" w:history="1">
        <w:r w:rsidRPr="00075A26">
          <w:rPr>
            <w:rStyle w:val="Hyperlink"/>
          </w:rPr>
          <w:t>Mistral AI warns of lack of data centres and training capacity in Europe | Euronews</w:t>
        </w:r>
      </w:hyperlink>
    </w:p>
  </w:endnote>
  <w:endnote w:id="73">
    <w:p w14:paraId="70E424E2" w14:textId="77777777" w:rsidR="00E61374" w:rsidRPr="00075A26" w:rsidRDefault="00E61374" w:rsidP="00E61374">
      <w:pPr>
        <w:pStyle w:val="EndnoteText"/>
      </w:pPr>
      <w:r w:rsidRPr="00075A26">
        <w:rPr>
          <w:rStyle w:val="EndnoteReference"/>
        </w:rPr>
        <w:endnoteRef/>
      </w:r>
      <w:r w:rsidRPr="00075A26">
        <w:t xml:space="preserve"> </w:t>
      </w:r>
      <w:hyperlink r:id="rId78" w:history="1">
        <w:r w:rsidRPr="00A519EB">
          <w:rPr>
            <w:rStyle w:val="Hyperlink"/>
          </w:rPr>
          <w:t>Public Cloud - EU-27 | Statista Market Forecast</w:t>
        </w:r>
      </w:hyperlink>
      <w:r>
        <w:t xml:space="preserve"> </w:t>
      </w:r>
    </w:p>
  </w:endnote>
  <w:endnote w:id="74">
    <w:p w14:paraId="7B67F0E0" w14:textId="77777777" w:rsidR="00E61374" w:rsidRPr="00075A26" w:rsidRDefault="00E61374" w:rsidP="00E61374">
      <w:pPr>
        <w:pStyle w:val="EndnoteText"/>
      </w:pPr>
      <w:r w:rsidRPr="00075A26">
        <w:rPr>
          <w:rStyle w:val="EndnoteReference"/>
        </w:rPr>
        <w:endnoteRef/>
      </w:r>
      <w:r w:rsidRPr="00075A26">
        <w:t xml:space="preserve"> </w:t>
      </w:r>
      <w:hyperlink r:id="rId79" w:history="1">
        <w:r w:rsidRPr="00075A26">
          <w:rPr>
            <w:rStyle w:val="Hyperlink"/>
          </w:rPr>
          <w:t>Cloud is a Global Market - Apart from China | Synergy Research Group</w:t>
        </w:r>
      </w:hyperlink>
    </w:p>
  </w:endnote>
  <w:endnote w:id="75">
    <w:p w14:paraId="5D90CE77" w14:textId="77777777" w:rsidR="00E61374" w:rsidRPr="00075A26" w:rsidRDefault="00E61374" w:rsidP="00E61374">
      <w:pPr>
        <w:pStyle w:val="EndnoteText"/>
      </w:pPr>
      <w:r w:rsidRPr="00075A26">
        <w:rPr>
          <w:rStyle w:val="EndnoteReference"/>
        </w:rPr>
        <w:endnoteRef/>
      </w:r>
      <w:r w:rsidRPr="00075A26">
        <w:t xml:space="preserve"> </w:t>
      </w:r>
      <w:hyperlink r:id="rId80" w:history="1">
        <w:r w:rsidRPr="00075A26">
          <w:rPr>
            <w:rStyle w:val="Hyperlink"/>
          </w:rPr>
          <w:t>European Cloud Providers’ Local Market Share Now Holds Steady at 15% | Synergy Research Group</w:t>
        </w:r>
      </w:hyperlink>
    </w:p>
  </w:endnote>
  <w:endnote w:id="76">
    <w:p w14:paraId="174D8645" w14:textId="09F3D316" w:rsidR="00E61374" w:rsidRPr="00075A26" w:rsidRDefault="00E61374" w:rsidP="00E61374">
      <w:pPr>
        <w:pStyle w:val="EndnoteText"/>
      </w:pPr>
      <w:r w:rsidRPr="00075A26">
        <w:rPr>
          <w:rStyle w:val="EndnoteReference"/>
        </w:rPr>
        <w:endnoteRef/>
      </w:r>
      <w:r w:rsidRPr="00075A26">
        <w:t xml:space="preserve"> </w:t>
      </w:r>
      <w:hyperlink r:id="rId81" w:history="1">
        <w:r w:rsidRPr="00075A26">
          <w:rPr>
            <w:rStyle w:val="Hyperlink"/>
          </w:rPr>
          <w:t>European Cloud Providers’ Local Market Share Now Holds Steady at 15% | Synergy Research Group</w:t>
        </w:r>
      </w:hyperlink>
      <w:r w:rsidR="0034480B" w:rsidRPr="00075A26">
        <w:t xml:space="preserve"> </w:t>
      </w:r>
    </w:p>
  </w:endnote>
  <w:endnote w:id="77">
    <w:p w14:paraId="3C2988E6" w14:textId="71A06BE1" w:rsidR="0034480B" w:rsidRDefault="0034480B">
      <w:pPr>
        <w:pStyle w:val="EndnoteText"/>
      </w:pPr>
      <w:r>
        <w:rPr>
          <w:rStyle w:val="EndnoteReference"/>
        </w:rPr>
        <w:endnoteRef/>
      </w:r>
      <w:r>
        <w:t xml:space="preserve"> </w:t>
      </w:r>
      <w:hyperlink r:id="rId82" w:history="1">
        <w:r w:rsidRPr="00A81DB9">
          <w:rPr>
            <w:rStyle w:val="Hyperlink"/>
            <w:lang w:val="en-GB"/>
          </w:rPr>
          <w:t>European Software and Cyber Dependencies</w:t>
        </w:r>
      </w:hyperlink>
    </w:p>
  </w:endnote>
  <w:endnote w:id="78">
    <w:p w14:paraId="1424D325" w14:textId="77777777" w:rsidR="00E61374" w:rsidRPr="00075A26" w:rsidRDefault="00E61374" w:rsidP="00E61374">
      <w:pPr>
        <w:pStyle w:val="EndnoteText"/>
      </w:pPr>
      <w:r w:rsidRPr="00075A26">
        <w:rPr>
          <w:rStyle w:val="EndnoteReference"/>
        </w:rPr>
        <w:endnoteRef/>
      </w:r>
      <w:r w:rsidRPr="00075A26">
        <w:t xml:space="preserve"> </w:t>
      </w:r>
      <w:hyperlink r:id="rId83" w:history="1">
        <w:r w:rsidRPr="00075A26">
          <w:rPr>
            <w:rStyle w:val="Hyperlink"/>
          </w:rPr>
          <w:t>Competition in the provision of cloud computing services (EN)</w:t>
        </w:r>
      </w:hyperlink>
    </w:p>
  </w:endnote>
  <w:endnote w:id="79">
    <w:p w14:paraId="63C4F041" w14:textId="77777777" w:rsidR="00E61374" w:rsidRPr="00DC570B" w:rsidRDefault="00E61374" w:rsidP="00E61374">
      <w:pPr>
        <w:pStyle w:val="EndnoteText"/>
      </w:pPr>
      <w:r>
        <w:rPr>
          <w:rStyle w:val="EndnoteReference"/>
        </w:rPr>
        <w:endnoteRef/>
      </w:r>
      <w:r>
        <w:t xml:space="preserve"> </w:t>
      </w:r>
      <w:hyperlink r:id="rId84" w:history="1">
        <w:r w:rsidRPr="00D52EC6">
          <w:rPr>
            <w:rStyle w:val="Hyperlink"/>
          </w:rPr>
          <w:t>Asterès | Technological dependence on American Software and Cloud services</w:t>
        </w:r>
      </w:hyperlink>
      <w:r>
        <w:t xml:space="preserve"> </w:t>
      </w:r>
    </w:p>
  </w:endnote>
  <w:endnote w:id="80">
    <w:p w14:paraId="1A29A97A" w14:textId="77777777" w:rsidR="00E61374" w:rsidRPr="00075A26" w:rsidRDefault="00E61374" w:rsidP="00E61374">
      <w:pPr>
        <w:pStyle w:val="EndnoteText"/>
      </w:pPr>
      <w:r w:rsidRPr="00075A26">
        <w:rPr>
          <w:rStyle w:val="EndnoteReference"/>
        </w:rPr>
        <w:endnoteRef/>
      </w:r>
      <w:r w:rsidRPr="00075A26">
        <w:t xml:space="preserve"> </w:t>
      </w:r>
      <w:hyperlink r:id="rId85">
        <w:r w:rsidRPr="00075A26">
          <w:rPr>
            <w:rStyle w:val="Hyperlink"/>
          </w:rPr>
          <w:t>ChatGPT in the Public Sector - overhyped or overlooked?</w:t>
        </w:r>
      </w:hyperlink>
    </w:p>
  </w:endnote>
  <w:endnote w:id="81">
    <w:p w14:paraId="4B5774A7" w14:textId="77777777" w:rsidR="00E61374" w:rsidRPr="00075A26" w:rsidRDefault="00E61374" w:rsidP="00E61374">
      <w:pPr>
        <w:pStyle w:val="EndnoteText"/>
      </w:pPr>
      <w:r w:rsidRPr="00075A26">
        <w:rPr>
          <w:rStyle w:val="EndnoteReference"/>
        </w:rPr>
        <w:endnoteRef/>
      </w:r>
      <w:r w:rsidRPr="00075A26">
        <w:t xml:space="preserve"> </w:t>
      </w:r>
      <w:hyperlink r:id="rId86" w:history="1">
        <w:r w:rsidRPr="00075A26">
          <w:rPr>
            <w:rStyle w:val="Hyperlink"/>
          </w:rPr>
          <w:t>AI in Europe: A new opportunity for growth | McKinsey</w:t>
        </w:r>
      </w:hyperlink>
    </w:p>
  </w:endnote>
  <w:endnote w:id="82">
    <w:p w14:paraId="75230182" w14:textId="77777777" w:rsidR="00E61374" w:rsidRPr="00075A26" w:rsidRDefault="00E61374" w:rsidP="00E61374">
      <w:pPr>
        <w:pStyle w:val="EndnoteText"/>
      </w:pPr>
      <w:r w:rsidRPr="00075A26">
        <w:rPr>
          <w:rStyle w:val="EndnoteReference"/>
        </w:rPr>
        <w:endnoteRef/>
      </w:r>
      <w:r w:rsidRPr="00075A26">
        <w:t xml:space="preserve"> </w:t>
      </w:r>
      <w:hyperlink r:id="rId87" w:anchor=":~:text=Financial%20losses:%20Downtime%20can%20result,for%20data%20availability%20and%20integrity." w:history="1">
        <w:r w:rsidRPr="00075A26">
          <w:rPr>
            <w:rStyle w:val="Hyperlink"/>
          </w:rPr>
          <w:t>Understanding cloud outages: Causes, consequences and mitigation strategies | HCLTech</w:t>
        </w:r>
      </w:hyperlink>
    </w:p>
  </w:endnote>
  <w:endnote w:id="83">
    <w:p w14:paraId="5AFDC612" w14:textId="77777777" w:rsidR="00E61374" w:rsidRPr="00075A26" w:rsidRDefault="00E61374" w:rsidP="00E61374">
      <w:pPr>
        <w:pStyle w:val="EndnoteText"/>
      </w:pPr>
      <w:r w:rsidRPr="00075A26">
        <w:rPr>
          <w:rStyle w:val="EndnoteReference"/>
        </w:rPr>
        <w:endnoteRef/>
      </w:r>
      <w:r w:rsidRPr="00075A26">
        <w:t xml:space="preserve"> </w:t>
      </w:r>
      <w:hyperlink r:id="rId88" w:history="1">
        <w:r w:rsidRPr="00075A26">
          <w:rPr>
            <w:rStyle w:val="Hyperlink"/>
          </w:rPr>
          <w:t>What the EU Needs to do to Challenge Big Tech Cloud Dominance | TechPolicy.Press</w:t>
        </w:r>
      </w:hyperlink>
      <w:r w:rsidRPr="00075A26">
        <w:t xml:space="preserve">; </w:t>
      </w:r>
      <w:hyperlink r:id="rId89" w:history="1">
        <w:r w:rsidRPr="00075A26">
          <w:rPr>
            <w:rStyle w:val="Hyperlink"/>
          </w:rPr>
          <w:t>Amazon web services return to 'normal operations' after mass outage, tech giant says - BBC News</w:t>
        </w:r>
      </w:hyperlink>
      <w:r w:rsidRPr="00075A26">
        <w:t xml:space="preserve">. </w:t>
      </w:r>
    </w:p>
  </w:endnote>
  <w:endnote w:id="84">
    <w:p w14:paraId="54A48577" w14:textId="77777777" w:rsidR="00E61374" w:rsidRDefault="00E61374" w:rsidP="00E61374">
      <w:pPr>
        <w:pStyle w:val="EndnoteText"/>
      </w:pPr>
      <w:r w:rsidRPr="6D54A2C2">
        <w:rPr>
          <w:rStyle w:val="EndnoteReference"/>
        </w:rPr>
        <w:endnoteRef/>
      </w:r>
      <w:r>
        <w:t xml:space="preserve"> </w:t>
      </w:r>
      <w:hyperlink r:id="rId90">
        <w:r w:rsidRPr="26D8E547">
          <w:rPr>
            <w:rStyle w:val="Hyperlink"/>
          </w:rPr>
          <w:t>Nicolas Guillou, French ICC judge sanctioned by the US: 'You are effectively blacklisted by much of the world's banking system'</w:t>
        </w:r>
      </w:hyperlink>
    </w:p>
  </w:endnote>
  <w:endnote w:id="85">
    <w:p w14:paraId="1AA37D44" w14:textId="77777777" w:rsidR="00747057" w:rsidRPr="00D42551" w:rsidRDefault="00747057" w:rsidP="00747057">
      <w:pPr>
        <w:pStyle w:val="EndnoteText"/>
      </w:pPr>
      <w:r>
        <w:rPr>
          <w:rStyle w:val="EndnoteReference"/>
        </w:rPr>
        <w:endnoteRef/>
      </w:r>
      <w:r>
        <w:t xml:space="preserve"> </w:t>
      </w:r>
      <w:hyperlink r:id="rId91" w:history="1">
        <w:r w:rsidRPr="00D42551">
          <w:rPr>
            <w:rStyle w:val="Hyperlink"/>
            <w:lang w:val="en-GB"/>
          </w:rPr>
          <w:t>Kyndryl announces agreement to purchase cloud-services provider Solvinity</w:t>
        </w:r>
      </w:hyperlink>
    </w:p>
  </w:endnote>
  <w:endnote w:id="86">
    <w:p w14:paraId="04EF88B8" w14:textId="77777777" w:rsidR="00277A40" w:rsidRPr="005854E3" w:rsidRDefault="00277A40" w:rsidP="00277A40">
      <w:pPr>
        <w:pStyle w:val="EndnoteText"/>
      </w:pPr>
      <w:r>
        <w:rPr>
          <w:rStyle w:val="EndnoteReference"/>
        </w:rPr>
        <w:endnoteRef/>
      </w:r>
      <w:r>
        <w:t xml:space="preserve"> </w:t>
      </w:r>
      <w:r w:rsidRPr="005854E3">
        <w:t>Ibid</w:t>
      </w:r>
    </w:p>
  </w:endnote>
  <w:endnote w:id="87">
    <w:p w14:paraId="745CAE77" w14:textId="77777777" w:rsidR="00277A40" w:rsidRPr="00075A26" w:rsidRDefault="00277A40" w:rsidP="00277A40">
      <w:pPr>
        <w:pStyle w:val="EndnoteText"/>
      </w:pPr>
      <w:r w:rsidRPr="00075A26">
        <w:rPr>
          <w:rStyle w:val="EndnoteReference"/>
        </w:rPr>
        <w:endnoteRef/>
      </w:r>
      <w:r w:rsidRPr="00075A26">
        <w:t xml:space="preserve"> </w:t>
      </w:r>
      <w:hyperlink r:id="rId92" w:history="1">
        <w:r w:rsidRPr="00075A26">
          <w:rPr>
            <w:rStyle w:val="Hyperlink"/>
          </w:rPr>
          <w:t>Dutch parliament calls for end to dependence on US software companies | Reuters</w:t>
        </w:r>
      </w:hyperlink>
    </w:p>
  </w:endnote>
  <w:endnote w:id="88">
    <w:p w14:paraId="229E1134" w14:textId="77777777" w:rsidR="00277A40" w:rsidRPr="00075A26" w:rsidRDefault="00277A40" w:rsidP="00277A40">
      <w:pPr>
        <w:pStyle w:val="EndnoteText"/>
      </w:pPr>
      <w:r w:rsidRPr="00075A26">
        <w:rPr>
          <w:rStyle w:val="EndnoteReference"/>
        </w:rPr>
        <w:endnoteRef/>
      </w:r>
      <w:r w:rsidRPr="00075A26">
        <w:t xml:space="preserve"> </w:t>
      </w:r>
      <w:hyperlink r:id="rId93" w:history="1">
        <w:r w:rsidRPr="00075A26">
          <w:rPr>
            <w:rStyle w:val="Hyperlink"/>
          </w:rPr>
          <w:t>ECB Guide on outsourcing cloud</w:t>
        </w:r>
      </w:hyperlink>
      <w:r w:rsidRPr="00075A26">
        <w:t xml:space="preserve"> </w:t>
      </w:r>
    </w:p>
  </w:endnote>
  <w:endnote w:id="89">
    <w:p w14:paraId="46A119C5" w14:textId="77777777" w:rsidR="00E61374" w:rsidRPr="00075A26" w:rsidRDefault="00E61374" w:rsidP="00E61374">
      <w:pPr>
        <w:pStyle w:val="EndnoteText"/>
      </w:pPr>
      <w:r w:rsidRPr="00075A26">
        <w:rPr>
          <w:rStyle w:val="EndnoteReference"/>
        </w:rPr>
        <w:endnoteRef/>
      </w:r>
      <w:r w:rsidRPr="00075A26">
        <w:t xml:space="preserve"> </w:t>
      </w:r>
      <w:hyperlink r:id="rId94" w:history="1">
        <w:r w:rsidRPr="00075A26">
          <w:rPr>
            <w:rStyle w:val="Hyperlink"/>
          </w:rPr>
          <w:t>Microsoft Can't Keep EU Data Safe From US Authorities</w:t>
        </w:r>
      </w:hyperlink>
    </w:p>
  </w:endnote>
  <w:endnote w:id="90">
    <w:p w14:paraId="2D6677DB" w14:textId="77777777" w:rsidR="00E61374" w:rsidRPr="005854E3" w:rsidRDefault="00E61374" w:rsidP="00E61374">
      <w:pPr>
        <w:pStyle w:val="EndnoteText"/>
      </w:pPr>
      <w:r>
        <w:rPr>
          <w:rStyle w:val="EndnoteReference"/>
        </w:rPr>
        <w:endnoteRef/>
      </w:r>
      <w:r>
        <w:t xml:space="preserve"> Section 3 - </w:t>
      </w:r>
      <w:hyperlink r:id="rId95" w:history="1">
        <w:r w:rsidRPr="00904EA3">
          <w:rPr>
            <w:rStyle w:val="Hyperlink"/>
          </w:rPr>
          <w:t>Capgemini. Cloud Sovereingy: the road ahead</w:t>
        </w:r>
      </w:hyperlink>
    </w:p>
  </w:endnote>
  <w:endnote w:id="91">
    <w:p w14:paraId="4F10C581" w14:textId="77777777" w:rsidR="00E61374" w:rsidRPr="00DD5FA0" w:rsidRDefault="00E61374" w:rsidP="00E61374">
      <w:pPr>
        <w:pStyle w:val="EndnoteText"/>
        <w:rPr>
          <w:lang w:val="fr-BE"/>
        </w:rPr>
      </w:pPr>
      <w:r>
        <w:rPr>
          <w:rStyle w:val="EndnoteReference"/>
        </w:rPr>
        <w:endnoteRef/>
      </w:r>
      <w:r w:rsidRPr="005854E3">
        <w:rPr>
          <w:lang w:val="fr-BE"/>
        </w:rPr>
        <w:t xml:space="preserve"> </w:t>
      </w:r>
      <w:hyperlink r:id="rId96" w:tooltip="https://cesin.fr/document.php?d=6793a1b83eb98" w:history="1">
        <w:r w:rsidRPr="005854E3">
          <w:rPr>
            <w:rStyle w:val="Hyperlink"/>
            <w:lang w:val="fr-BE"/>
          </w:rPr>
          <w:t> </w:t>
        </w:r>
        <w:r>
          <w:rPr>
            <w:rStyle w:val="Hyperlink"/>
            <w:lang w:val="fr-BE"/>
          </w:rPr>
          <w:t xml:space="preserve">Page 43 to 47 - </w:t>
        </w:r>
        <w:r w:rsidRPr="005854E3">
          <w:rPr>
            <w:rStyle w:val="Hyperlink"/>
            <w:lang w:val="fr-BE"/>
          </w:rPr>
          <w:t>Baromètre de la cybersécurité des entreprise</w:t>
        </w:r>
        <w:bookmarkStart w:id="25" w:name="_Hlt216101656"/>
        <w:bookmarkStart w:id="26" w:name="_Hlt216101657"/>
        <w:r w:rsidRPr="005854E3">
          <w:rPr>
            <w:rStyle w:val="Hyperlink"/>
            <w:lang w:val="fr-BE"/>
          </w:rPr>
          <w:t>s</w:t>
        </w:r>
        <w:bookmarkEnd w:id="25"/>
        <w:bookmarkEnd w:id="26"/>
        <w:r w:rsidRPr="005854E3">
          <w:rPr>
            <w:rStyle w:val="Hyperlink"/>
            <w:lang w:val="fr-BE"/>
          </w:rPr>
          <w:t xml:space="preserve"> du CESIN</w:t>
        </w:r>
      </w:hyperlink>
      <w:r w:rsidRPr="005854E3">
        <w:rPr>
          <w:lang w:val="fr-BE"/>
        </w:rPr>
        <w:t>,</w:t>
      </w:r>
    </w:p>
  </w:endnote>
  <w:endnote w:id="92">
    <w:p w14:paraId="046B25B1" w14:textId="77777777" w:rsidR="0013228A" w:rsidRPr="00075A26" w:rsidRDefault="0013228A" w:rsidP="0013228A">
      <w:pPr>
        <w:pStyle w:val="EndnoteText"/>
      </w:pPr>
      <w:r w:rsidRPr="00075A26">
        <w:rPr>
          <w:rStyle w:val="EndnoteReference"/>
        </w:rPr>
        <w:endnoteRef/>
      </w:r>
      <w:r w:rsidRPr="00075A26">
        <w:t xml:space="preserve"> </w:t>
      </w:r>
      <w:hyperlink r:id="rId97" w:history="1">
        <w:r w:rsidRPr="00075A26">
          <w:rPr>
            <w:rStyle w:val="Hyperlink"/>
          </w:rPr>
          <w:t>How Many Data Centers Are in the US? Latest Statistics and Trends - C&amp;C Technology Group</w:t>
        </w:r>
      </w:hyperlink>
    </w:p>
  </w:endnote>
  <w:endnote w:id="93">
    <w:p w14:paraId="4789D0F8" w14:textId="1AD3CCCA" w:rsidR="00C863F3" w:rsidRDefault="00C863F3">
      <w:pPr>
        <w:pStyle w:val="EndnoteText"/>
      </w:pPr>
      <w:r>
        <w:rPr>
          <w:rStyle w:val="EndnoteReference"/>
        </w:rPr>
        <w:endnoteRef/>
      </w:r>
      <w:r>
        <w:t xml:space="preserve"> </w:t>
      </w:r>
      <w:hyperlink r:id="rId98" w:history="1">
        <w:r w:rsidRPr="00C863F3">
          <w:rPr>
            <w:rStyle w:val="Hyperlink"/>
            <w:lang w:val="en-GB"/>
          </w:rPr>
          <w:t>Recent Trends in U.S. Services Trade: 2022 Annual Report</w:t>
        </w:r>
      </w:hyperlink>
    </w:p>
  </w:endnote>
  <w:endnote w:id="94">
    <w:p w14:paraId="3B39383D" w14:textId="77777777" w:rsidR="00E61374" w:rsidRPr="00075A26" w:rsidRDefault="00E61374" w:rsidP="00E61374">
      <w:pPr>
        <w:pStyle w:val="EndnoteText"/>
      </w:pPr>
      <w:r w:rsidRPr="00075A26">
        <w:rPr>
          <w:rStyle w:val="EndnoteReference"/>
        </w:rPr>
        <w:endnoteRef/>
      </w:r>
      <w:r w:rsidRPr="00075A26">
        <w:t xml:space="preserve"> </w:t>
      </w:r>
      <w:hyperlink r:id="rId99" w:history="1">
        <w:r w:rsidRPr="00075A26">
          <w:rPr>
            <w:rStyle w:val="Hyperlink"/>
          </w:rPr>
          <w:t>Global Infrastructure Regions &amp; AZs</w:t>
        </w:r>
      </w:hyperlink>
    </w:p>
  </w:endnote>
  <w:endnote w:id="95">
    <w:p w14:paraId="1D2F4C09" w14:textId="77777777" w:rsidR="00E61374" w:rsidRPr="00075A26" w:rsidRDefault="00E61374" w:rsidP="00E61374">
      <w:pPr>
        <w:pStyle w:val="EndnoteText"/>
      </w:pPr>
      <w:r w:rsidRPr="00075A26">
        <w:rPr>
          <w:rStyle w:val="EndnoteReference"/>
        </w:rPr>
        <w:endnoteRef/>
      </w:r>
      <w:r w:rsidRPr="00075A26">
        <w:t xml:space="preserve"> </w:t>
      </w:r>
      <w:hyperlink r:id="rId100" w:history="1">
        <w:r w:rsidRPr="00075A26">
          <w:rPr>
            <w:color w:val="0000FF"/>
            <w:u w:val="single"/>
          </w:rPr>
          <w:t>Discover more about regions and availability zones | OVHcloud Worldwide</w:t>
        </w:r>
      </w:hyperlink>
    </w:p>
  </w:endnote>
  <w:endnote w:id="96">
    <w:p w14:paraId="3EE2212A" w14:textId="12931AF3" w:rsidR="004419D6" w:rsidRDefault="004419D6">
      <w:pPr>
        <w:pStyle w:val="EndnoteText"/>
      </w:pPr>
      <w:r>
        <w:rPr>
          <w:rStyle w:val="EndnoteReference"/>
        </w:rPr>
        <w:endnoteRef/>
      </w:r>
      <w:r>
        <w:t xml:space="preserve"> </w:t>
      </w:r>
      <w:r w:rsidRPr="004419D6">
        <w:rPr>
          <w:lang w:val="en-GB"/>
        </w:rPr>
        <w:t>OECD (2025), “Competition in the provision of cloud computing services”, </w:t>
      </w:r>
      <w:r w:rsidRPr="004419D6">
        <w:rPr>
          <w:i/>
          <w:iCs/>
          <w:lang w:val="en-GB"/>
        </w:rPr>
        <w:t>OECD Roundtables on Competition Policy Papers</w:t>
      </w:r>
      <w:r w:rsidRPr="004419D6">
        <w:rPr>
          <w:lang w:val="en-GB"/>
        </w:rPr>
        <w:t>, No. 323, OECD Publishing, Paris, </w:t>
      </w:r>
      <w:hyperlink r:id="rId101" w:history="1">
        <w:r w:rsidRPr="004419D6">
          <w:rPr>
            <w:rStyle w:val="Hyperlink"/>
            <w:lang w:val="en-GB"/>
          </w:rPr>
          <w:t>https://doi.org/10.1787/595859c5-en</w:t>
        </w:r>
      </w:hyperlink>
      <w:r>
        <w:rPr>
          <w:lang w:val="en-GB"/>
        </w:rPr>
        <w:t xml:space="preserve">, pp. </w:t>
      </w:r>
      <w:r w:rsidR="00600C83">
        <w:rPr>
          <w:lang w:val="en-GB"/>
        </w:rPr>
        <w:t>23-24.</w:t>
      </w:r>
    </w:p>
  </w:endnote>
  <w:endnote w:id="97">
    <w:p w14:paraId="33CC6844" w14:textId="0822002C" w:rsidR="004341F4" w:rsidRDefault="004341F4">
      <w:pPr>
        <w:pStyle w:val="EndnoteText"/>
      </w:pPr>
      <w:r>
        <w:rPr>
          <w:rStyle w:val="EndnoteReference"/>
        </w:rPr>
        <w:endnoteRef/>
      </w:r>
      <w:r>
        <w:t xml:space="preserve"> </w:t>
      </w:r>
      <w:hyperlink r:id="rId102" w:history="1">
        <w:r w:rsidRPr="004341F4">
          <w:rPr>
            <w:rStyle w:val="Hyperlink"/>
            <w:lang w:val="en-GB"/>
          </w:rPr>
          <w:t>Oaktree-backed firm unveils $1.2 billion Amsterdam 'hyperscale' data centre project | Reuters</w:t>
        </w:r>
      </w:hyperlink>
    </w:p>
  </w:endnote>
  <w:endnote w:id="98">
    <w:p w14:paraId="0764439D" w14:textId="77777777" w:rsidR="00AD1D58" w:rsidRPr="00AA7597" w:rsidRDefault="00AD1D58" w:rsidP="00AD1D58">
      <w:pPr>
        <w:pStyle w:val="EndnoteText"/>
      </w:pPr>
      <w:r>
        <w:rPr>
          <w:rStyle w:val="EndnoteReference"/>
        </w:rPr>
        <w:endnoteRef/>
      </w:r>
      <w:r>
        <w:t xml:space="preserve"> </w:t>
      </w:r>
      <w:r w:rsidRPr="00AA7597">
        <w:t>https://www.mordorintelligence.com/industry-reports/europe-colocation-market-industry</w:t>
      </w:r>
    </w:p>
  </w:endnote>
  <w:endnote w:id="99">
    <w:p w14:paraId="1B5B52D3" w14:textId="549B8DE7" w:rsidR="00E80E08" w:rsidRDefault="00E80E08">
      <w:pPr>
        <w:pStyle w:val="EndnoteText"/>
      </w:pPr>
      <w:r>
        <w:rPr>
          <w:rStyle w:val="EndnoteReference"/>
        </w:rPr>
        <w:endnoteRef/>
      </w:r>
      <w:r>
        <w:t xml:space="preserve"> </w:t>
      </w:r>
      <w:hyperlink r:id="rId103" w:history="1">
        <w:r w:rsidRPr="00E80E08">
          <w:rPr>
            <w:rStyle w:val="Hyperlink"/>
            <w:lang w:val="en-GB"/>
          </w:rPr>
          <w:t>Data Centres | CBRE</w:t>
        </w:r>
      </w:hyperlink>
    </w:p>
  </w:endnote>
  <w:endnote w:id="100">
    <w:p w14:paraId="6FAF5F68" w14:textId="77777777" w:rsidR="00250F48" w:rsidRPr="00406692" w:rsidRDefault="00250F48" w:rsidP="00250F48">
      <w:pPr>
        <w:pStyle w:val="EndnoteText"/>
      </w:pPr>
      <w:r>
        <w:rPr>
          <w:rStyle w:val="EndnoteReference"/>
        </w:rPr>
        <w:endnoteRef/>
      </w:r>
      <w:r>
        <w:t xml:space="preserve"> </w:t>
      </w:r>
      <w:hyperlink r:id="rId104" w:history="1">
        <w:r w:rsidRPr="00406692">
          <w:rPr>
            <w:rStyle w:val="Hyperlink"/>
          </w:rPr>
          <w:t>Leitmotiv - Toward our Digital Future</w:t>
        </w:r>
      </w:hyperlink>
    </w:p>
  </w:endnote>
  <w:endnote w:id="101">
    <w:p w14:paraId="35EC00A2" w14:textId="77777777" w:rsidR="00250F48" w:rsidRPr="00AA081A" w:rsidRDefault="00250F48" w:rsidP="00250F48">
      <w:pPr>
        <w:pStyle w:val="EndnoteText"/>
      </w:pPr>
      <w:r>
        <w:rPr>
          <w:rStyle w:val="EndnoteReference"/>
        </w:rPr>
        <w:endnoteRef/>
      </w:r>
      <w:r>
        <w:t xml:space="preserve"> </w:t>
      </w:r>
      <w:hyperlink r:id="rId105" w:anchor=":~:text=Cloud%20%26%20Hybrid%20Channel-,Google%20raises%202025%20capex%20estimate%2C%20again%2C%20to%20%2491%2D93bn,data%20center%20spend%20for%202026&amp;text=Google%20has%20increased%20its%20capex%20estimates%20for%202025%20to%20%2491%2D93bn." w:history="1">
        <w:r w:rsidRPr="00AA081A">
          <w:rPr>
            <w:rStyle w:val="Hyperlink"/>
          </w:rPr>
          <w:t>Google raises 2025 capex estimate, again, to $91-93bn - plans "significant increase" in data center spend for 2026 - DCD</w:t>
        </w:r>
      </w:hyperlink>
    </w:p>
  </w:endnote>
  <w:endnote w:id="102">
    <w:p w14:paraId="39E11766" w14:textId="77777777" w:rsidR="00250F48" w:rsidRPr="001A41AF" w:rsidRDefault="00250F48" w:rsidP="00250F48">
      <w:pPr>
        <w:pStyle w:val="EndnoteText"/>
      </w:pPr>
      <w:r>
        <w:rPr>
          <w:rStyle w:val="EndnoteReference"/>
        </w:rPr>
        <w:endnoteRef/>
      </w:r>
      <w:r>
        <w:t xml:space="preserve"> </w:t>
      </w:r>
      <w:hyperlink r:id="rId106" w:history="1">
        <w:r w:rsidRPr="001A41AF">
          <w:rPr>
            <w:rStyle w:val="Hyperlink"/>
          </w:rPr>
          <w:t>OVHcloud - Results</w:t>
        </w:r>
      </w:hyperlink>
    </w:p>
  </w:endnote>
  <w:endnote w:id="103">
    <w:p w14:paraId="11E80F6B" w14:textId="77777777" w:rsidR="00E61374" w:rsidRPr="00075A26" w:rsidRDefault="00E61374" w:rsidP="00E61374">
      <w:pPr>
        <w:pStyle w:val="EndnoteText"/>
      </w:pPr>
      <w:r w:rsidRPr="00075A26">
        <w:rPr>
          <w:rStyle w:val="EndnoteReference"/>
        </w:rPr>
        <w:endnoteRef/>
      </w:r>
      <w:r w:rsidRPr="00075A26">
        <w:t xml:space="preserve"> </w:t>
      </w:r>
      <w:hyperlink r:id="rId107" w:history="1">
        <w:r w:rsidRPr="00075A26">
          <w:rPr>
            <w:rStyle w:val="Hyperlink"/>
          </w:rPr>
          <w:t>Too late to act? Europe’s quest for cloud sovereignty | Clingendael</w:t>
        </w:r>
      </w:hyperlink>
    </w:p>
  </w:endnote>
  <w:endnote w:id="104">
    <w:p w14:paraId="66075667" w14:textId="1ADA69A3" w:rsidR="002B53A3" w:rsidRPr="00340132" w:rsidRDefault="002B53A3">
      <w:pPr>
        <w:pStyle w:val="EndnoteText"/>
        <w:rPr>
          <w:lang w:val="en-GB"/>
        </w:rPr>
      </w:pPr>
      <w:r>
        <w:rPr>
          <w:rStyle w:val="EndnoteReference"/>
        </w:rPr>
        <w:endnoteRef/>
      </w:r>
      <w:r>
        <w:t xml:space="preserve"> </w:t>
      </w:r>
      <w:hyperlink r:id="rId108" w:history="1">
        <w:r w:rsidR="00EC737B" w:rsidRPr="00EC737B">
          <w:rPr>
            <w:rStyle w:val="Hyperlink"/>
            <w:lang w:val="en-GB"/>
          </w:rPr>
          <w:t>NGP Capital | The Cloud Evolution: From Hyperscaler Dominance to Modular Infrastructure</w:t>
        </w:r>
      </w:hyperlink>
    </w:p>
  </w:endnote>
  <w:endnote w:id="105">
    <w:p w14:paraId="0EA43EA3" w14:textId="739640DC" w:rsidR="00E61374" w:rsidRPr="00075A26" w:rsidRDefault="00E61374" w:rsidP="00E61374">
      <w:pPr>
        <w:pStyle w:val="EndnoteText"/>
      </w:pPr>
      <w:r w:rsidRPr="00075A26">
        <w:rPr>
          <w:rStyle w:val="EndnoteReference"/>
        </w:rPr>
        <w:endnoteRef/>
      </w:r>
      <w:r w:rsidRPr="00075A26">
        <w:t xml:space="preserve"> See here: </w:t>
      </w:r>
      <w:hyperlink r:id="rId109" w:history="1">
        <w:r w:rsidRPr="00075A26">
          <w:rPr>
            <w:rStyle w:val="Hyperlink"/>
          </w:rPr>
          <w:t>Announcing the Regional 2024 AWS Partners of the Year for Europe, Middle East, and Africa</w:t>
        </w:r>
      </w:hyperlink>
      <w:r w:rsidRPr="00075A26">
        <w:t xml:space="preserve">? </w:t>
      </w:r>
    </w:p>
  </w:endnote>
  <w:endnote w:id="106">
    <w:p w14:paraId="37FB96E1" w14:textId="77777777" w:rsidR="001E5BAE" w:rsidRPr="0070758B" w:rsidRDefault="001E5BAE" w:rsidP="001E5BAE">
      <w:pPr>
        <w:pStyle w:val="EndnoteText"/>
      </w:pPr>
      <w:r>
        <w:rPr>
          <w:rStyle w:val="EndnoteReference"/>
        </w:rPr>
        <w:endnoteRef/>
      </w:r>
      <w:r>
        <w:t xml:space="preserve"> See for instance </w:t>
      </w:r>
      <w:hyperlink r:id="rId110" w:history="1">
        <w:r w:rsidRPr="00660CE4">
          <w:rPr>
            <w:rStyle w:val="Hyperlink"/>
          </w:rPr>
          <w:t>AWS Distribution program</w:t>
        </w:r>
      </w:hyperlink>
      <w:r>
        <w:t xml:space="preserve"> or </w:t>
      </w:r>
      <w:hyperlink r:id="rId111" w:history="1">
        <w:r w:rsidRPr="008129AD">
          <w:rPr>
            <w:rStyle w:val="Hyperlink"/>
          </w:rPr>
          <w:t>Microsoft’s partner program</w:t>
        </w:r>
      </w:hyperlink>
    </w:p>
  </w:endnote>
  <w:endnote w:id="107">
    <w:p w14:paraId="3105E18E" w14:textId="77777777" w:rsidR="00763C5E" w:rsidRPr="00075A26" w:rsidRDefault="00763C5E" w:rsidP="00763C5E">
      <w:pPr>
        <w:pStyle w:val="EndnoteText"/>
      </w:pPr>
      <w:r w:rsidRPr="00075A26">
        <w:rPr>
          <w:rStyle w:val="EndnoteReference"/>
        </w:rPr>
        <w:endnoteRef/>
      </w:r>
      <w:r w:rsidRPr="00075A26">
        <w:t xml:space="preserve"> </w:t>
      </w:r>
      <w:hyperlink r:id="rId112" w:history="1">
        <w:r w:rsidRPr="00075A26">
          <w:rPr>
            <w:rStyle w:val="Hyperlink"/>
          </w:rPr>
          <w:t>The economics of the Cloud – Toulouse School of Economics – March 2024</w:t>
        </w:r>
      </w:hyperlink>
    </w:p>
  </w:endnote>
  <w:endnote w:id="108">
    <w:p w14:paraId="49AAE398" w14:textId="77777777" w:rsidR="00763C5E" w:rsidRPr="00075A26" w:rsidRDefault="00763C5E" w:rsidP="00763C5E">
      <w:pPr>
        <w:pStyle w:val="EndnoteText"/>
      </w:pPr>
      <w:r w:rsidRPr="00075A26">
        <w:rPr>
          <w:rStyle w:val="EndnoteReference"/>
        </w:rPr>
        <w:endnoteRef/>
      </w:r>
      <w:r w:rsidRPr="00075A26">
        <w:t xml:space="preserve"> </w:t>
      </w:r>
      <w:hyperlink r:id="rId113" w:history="1">
        <w:r w:rsidRPr="00075A26">
          <w:rPr>
            <w:rStyle w:val="Hyperlink"/>
          </w:rPr>
          <w:t>Partnerships Between Cloud Service Providers and AI Developers</w:t>
        </w:r>
      </w:hyperlink>
    </w:p>
  </w:endnote>
  <w:endnote w:id="109">
    <w:p w14:paraId="3BEA2459" w14:textId="77777777" w:rsidR="00763C5E" w:rsidRPr="00075A26" w:rsidRDefault="00763C5E" w:rsidP="00763C5E">
      <w:pPr>
        <w:pStyle w:val="EndnoteText"/>
      </w:pPr>
      <w:r w:rsidRPr="00075A26">
        <w:rPr>
          <w:rStyle w:val="EndnoteReference"/>
        </w:rPr>
        <w:endnoteRef/>
      </w:r>
      <w:r w:rsidRPr="00075A26">
        <w:t xml:space="preserve"> </w:t>
      </w:r>
      <w:hyperlink r:id="rId114" w:history="1">
        <w:r w:rsidRPr="00075A26">
          <w:rPr>
            <w:rStyle w:val="Hyperlink"/>
          </w:rPr>
          <w:t>Competition in the provision of cloud computing services (EN)</w:t>
        </w:r>
      </w:hyperlink>
      <w:r w:rsidRPr="00075A26">
        <w:t xml:space="preserve">; </w:t>
      </w:r>
      <w:hyperlink r:id="rId115" w:history="1">
        <w:r w:rsidRPr="00075A26">
          <w:rPr>
            <w:rStyle w:val="Hyperlink"/>
          </w:rPr>
          <w:t>Partnerships Between Cloud Service Providers and AI Developers</w:t>
        </w:r>
      </w:hyperlink>
      <w:r w:rsidRPr="00075A26">
        <w:t>.</w:t>
      </w:r>
    </w:p>
  </w:endnote>
  <w:endnote w:id="110">
    <w:p w14:paraId="7C35D072" w14:textId="77777777" w:rsidR="00E61374" w:rsidRPr="00075A26" w:rsidRDefault="00E61374" w:rsidP="00E61374">
      <w:pPr>
        <w:pStyle w:val="EndnoteText"/>
      </w:pPr>
      <w:r w:rsidRPr="00075A26">
        <w:rPr>
          <w:rStyle w:val="EndnoteReference"/>
        </w:rPr>
        <w:endnoteRef/>
      </w:r>
      <w:r w:rsidRPr="00075A26">
        <w:t xml:space="preserve"> </w:t>
      </w:r>
      <w:hyperlink r:id="rId116" w:history="1">
        <w:r w:rsidRPr="00075A26">
          <w:rPr>
            <w:rStyle w:val="Hyperlink"/>
          </w:rPr>
          <w:t>Cloud Computing &amp; Web Hosting | OVHcloud Worldwide</w:t>
        </w:r>
      </w:hyperlink>
      <w:r w:rsidRPr="00075A26">
        <w:t xml:space="preserve">; </w:t>
      </w:r>
      <w:hyperlink r:id="rId117" w:history="1">
        <w:r w:rsidRPr="00075A26">
          <w:rPr>
            <w:rStyle w:val="Hyperlink"/>
          </w:rPr>
          <w:t>Cloud Computing &amp; Web Hosting | OVHcloud Worldwide</w:t>
        </w:r>
      </w:hyperlink>
      <w:r w:rsidRPr="00075A26">
        <w:t xml:space="preserve">. </w:t>
      </w:r>
    </w:p>
  </w:endnote>
  <w:endnote w:id="111">
    <w:p w14:paraId="378A99B4" w14:textId="77777777" w:rsidR="00E61374" w:rsidRPr="0071147E" w:rsidRDefault="00E61374" w:rsidP="00E61374">
      <w:pPr>
        <w:pStyle w:val="EndnoteText"/>
        <w:rPr>
          <w:lang w:val="nl-NL"/>
        </w:rPr>
      </w:pPr>
      <w:r>
        <w:rPr>
          <w:rStyle w:val="EndnoteReference"/>
        </w:rPr>
        <w:endnoteRef/>
      </w:r>
      <w:r w:rsidRPr="0071147E">
        <w:rPr>
          <w:lang w:val="nl-NL"/>
        </w:rPr>
        <w:t xml:space="preserve"> </w:t>
      </w:r>
      <w:hyperlink r:id="rId118" w:history="1">
        <w:r w:rsidRPr="0071147E">
          <w:rPr>
            <w:rStyle w:val="Hyperlink"/>
            <w:lang w:val="nl-NL"/>
          </w:rPr>
          <w:t>Eindrapport In het kader van het quickscan-onderzoek naar technische, organisatorische en juridische gaps tussen Europese/Nederlandse cloudproviders en Amerikaanse hyperscalers voor het ministerie van Economische Zaken | Tweede Kamer der Staten-Generaal</w:t>
        </w:r>
      </w:hyperlink>
    </w:p>
  </w:endnote>
  <w:endnote w:id="112">
    <w:p w14:paraId="5B3764A2" w14:textId="77777777" w:rsidR="00E61374" w:rsidRPr="0071147E" w:rsidRDefault="00E61374" w:rsidP="00E61374">
      <w:pPr>
        <w:pStyle w:val="EndnoteText"/>
        <w:rPr>
          <w:lang w:val="nl-NL"/>
        </w:rPr>
      </w:pPr>
      <w:r>
        <w:rPr>
          <w:rStyle w:val="EndnoteReference"/>
        </w:rPr>
        <w:endnoteRef/>
      </w:r>
      <w:r w:rsidRPr="0071147E">
        <w:rPr>
          <w:lang w:val="nl-NL"/>
        </w:rPr>
        <w:t xml:space="preserve"> </w:t>
      </w:r>
      <w:hyperlink r:id="rId119" w:history="1">
        <w:r w:rsidRPr="0071147E">
          <w:rPr>
            <w:rStyle w:val="Hyperlink"/>
            <w:lang w:val="nl-NL"/>
          </w:rPr>
          <w:t>Eindrapport In het kader van het quickscan-onderzoek naar technische, organisatorische en juridische gaps tussen Europese/Nederlandse cloudproviders en Amerikaanse hyperscalers voor het ministerie van Economische Zaken | Tweede Kamer der Staten-Generaal</w:t>
        </w:r>
      </w:hyperlink>
    </w:p>
  </w:endnote>
  <w:endnote w:id="113">
    <w:p w14:paraId="771C774F" w14:textId="77777777" w:rsidR="00E61374" w:rsidRPr="00075A26" w:rsidRDefault="00E61374" w:rsidP="00E61374">
      <w:pPr>
        <w:pStyle w:val="EndnoteText"/>
      </w:pPr>
      <w:r w:rsidRPr="00075A26">
        <w:rPr>
          <w:rStyle w:val="EndnoteReference"/>
        </w:rPr>
        <w:endnoteRef/>
      </w:r>
      <w:r w:rsidRPr="00075A26">
        <w:t xml:space="preserve"> </w:t>
      </w:r>
      <w:hyperlink r:id="rId120" w:anchor=":~:text=Selecting%20a%20European%20cloud%20provider%20requires%20careful,each%20with%20different%20strengths%20and%20governance%20models." w:history="1">
        <w:r w:rsidRPr="00075A26">
          <w:rPr>
            <w:rStyle w:val="Hyperlink"/>
          </w:rPr>
          <w:t>European Cloud Providers: What Are the Options Today? - InfoQ</w:t>
        </w:r>
      </w:hyperlink>
    </w:p>
  </w:endnote>
  <w:endnote w:id="114">
    <w:p w14:paraId="40009A73" w14:textId="213D972F" w:rsidR="00020C17" w:rsidRPr="003F7DB3" w:rsidRDefault="00020C17">
      <w:pPr>
        <w:pStyle w:val="EndnoteText"/>
      </w:pPr>
      <w:r>
        <w:rPr>
          <w:rStyle w:val="EndnoteReference"/>
        </w:rPr>
        <w:endnoteRef/>
      </w:r>
      <w:r>
        <w:t xml:space="preserve"> </w:t>
      </w:r>
      <w:hyperlink r:id="rId121" w:history="1">
        <w:r w:rsidR="003F7DB3" w:rsidRPr="003F7DB3">
          <w:rPr>
            <w:rStyle w:val="Hyperlink"/>
            <w:lang w:val="en-GB"/>
          </w:rPr>
          <w:t>Best Strategic Cloud Platform Services Reviews 2026 | Gartner Peer Insights</w:t>
        </w:r>
      </w:hyperlink>
    </w:p>
  </w:endnote>
  <w:endnote w:id="115">
    <w:p w14:paraId="32FB6ECC" w14:textId="77777777" w:rsidR="00E61374" w:rsidRPr="00075A26" w:rsidRDefault="00E61374" w:rsidP="00E61374">
      <w:pPr>
        <w:pStyle w:val="EndnoteText"/>
      </w:pPr>
      <w:r w:rsidRPr="00075A26">
        <w:rPr>
          <w:rStyle w:val="EndnoteReference"/>
        </w:rPr>
        <w:endnoteRef/>
      </w:r>
      <w:r w:rsidRPr="00075A26">
        <w:t xml:space="preserve">  </w:t>
      </w:r>
      <w:hyperlink r:id="rId122" w:history="1">
        <w:r w:rsidRPr="00075A26">
          <w:rPr>
            <w:rStyle w:val="Hyperlink"/>
          </w:rPr>
          <w:t>CMS. (n.d.). Expert Guide on Real Estate Data Centre Consenting. CMS Law.</w:t>
        </w:r>
      </w:hyperlink>
      <w:r w:rsidRPr="00075A26">
        <w:t xml:space="preserve"> </w:t>
      </w:r>
    </w:p>
  </w:endnote>
  <w:endnote w:id="116">
    <w:p w14:paraId="72D65A4E" w14:textId="77777777" w:rsidR="00E61374" w:rsidRPr="00075A26" w:rsidRDefault="00E61374" w:rsidP="00E61374">
      <w:pPr>
        <w:pStyle w:val="EndnoteText"/>
      </w:pPr>
      <w:r w:rsidRPr="00075A26">
        <w:rPr>
          <w:rStyle w:val="EndnoteReference"/>
        </w:rPr>
        <w:endnoteRef/>
      </w:r>
      <w:r w:rsidRPr="00075A26">
        <w:t xml:space="preserve"> </w:t>
      </w:r>
      <w:r w:rsidRPr="00075A26">
        <w:fldChar w:fldCharType="begin"/>
      </w:r>
      <w:r w:rsidRPr="00075A26">
        <w:instrText>qq</w:instrText>
      </w:r>
      <w:r w:rsidRPr="00075A26">
        <w:fldChar w:fldCharType="separate"/>
      </w:r>
      <w:r w:rsidRPr="00075A26">
        <w:rPr>
          <w:rStyle w:val="Hyperlink"/>
        </w:rPr>
        <w:t>(2024). European data center overview 2024</w:t>
      </w:r>
      <w:r w:rsidRPr="00075A26">
        <w:fldChar w:fldCharType="end"/>
      </w:r>
    </w:p>
  </w:endnote>
  <w:endnote w:id="117">
    <w:p w14:paraId="15F2D6D1" w14:textId="77777777" w:rsidR="009326C9" w:rsidRPr="007871E9" w:rsidRDefault="009326C9" w:rsidP="009326C9">
      <w:pPr>
        <w:pStyle w:val="EndnoteText"/>
        <w:rPr>
          <w:lang w:val="en-GB"/>
        </w:rPr>
      </w:pPr>
      <w:r>
        <w:rPr>
          <w:rStyle w:val="EndnoteReference"/>
        </w:rPr>
        <w:endnoteRef/>
      </w:r>
      <w:r>
        <w:t xml:space="preserve"> </w:t>
      </w:r>
      <w:hyperlink r:id="rId123" w:history="1">
        <w:r w:rsidRPr="00FD17B3">
          <w:rPr>
            <w:rStyle w:val="Hyperlink"/>
            <w:lang w:val="en-GB"/>
          </w:rPr>
          <w:t>European Real Estate Market Outlook 2026</w:t>
        </w:r>
      </w:hyperlink>
    </w:p>
  </w:endnote>
  <w:endnote w:id="118">
    <w:p w14:paraId="5487E2A1" w14:textId="77777777" w:rsidR="0002290C" w:rsidRPr="00075A26" w:rsidRDefault="0002290C" w:rsidP="0002290C">
      <w:pPr>
        <w:pStyle w:val="EndnoteText"/>
      </w:pPr>
      <w:r w:rsidRPr="00075A26">
        <w:rPr>
          <w:rStyle w:val="EndnoteReference"/>
        </w:rPr>
        <w:endnoteRef/>
      </w:r>
      <w:r w:rsidRPr="00075A26">
        <w:t xml:space="preserve"> </w:t>
      </w:r>
      <w:hyperlink r:id="rId124" w:history="1">
        <w:r w:rsidRPr="00075A26">
          <w:rPr>
            <w:rStyle w:val="Hyperlink"/>
          </w:rPr>
          <w:t>The Real Estate Power Play Behind Europe’s Data Center Growth</w:t>
        </w:r>
      </w:hyperlink>
    </w:p>
  </w:endnote>
  <w:endnote w:id="119">
    <w:p w14:paraId="7C0E0FE7" w14:textId="77777777" w:rsidR="0002290C" w:rsidRPr="00075A26" w:rsidRDefault="0002290C" w:rsidP="0002290C">
      <w:pPr>
        <w:pStyle w:val="EndnoteText"/>
      </w:pPr>
      <w:r w:rsidRPr="00075A26">
        <w:rPr>
          <w:rStyle w:val="EndnoteReference"/>
        </w:rPr>
        <w:endnoteRef/>
      </w:r>
      <w:r w:rsidRPr="00075A26">
        <w:t xml:space="preserve"> See McKinsey: </w:t>
      </w:r>
      <w:hyperlink r:id="rId125" w:history="1">
        <w:r w:rsidRPr="00075A26">
          <w:rPr>
            <w:rStyle w:val="Hyperlink"/>
          </w:rPr>
          <w:t>Unlocking the European AI revolution | McKinsey</w:t>
        </w:r>
      </w:hyperlink>
      <w:r w:rsidRPr="00075A26">
        <w:t xml:space="preserve">; IEA: </w:t>
      </w:r>
      <w:hyperlink r:id="rId126" w:history="1">
        <w:r w:rsidRPr="00075A26">
          <w:rPr>
            <w:rStyle w:val="Hyperlink"/>
          </w:rPr>
          <w:t>Energy demand from AI – Energy and AI – Analysis - IEA</w:t>
        </w:r>
      </w:hyperlink>
      <w:r w:rsidRPr="00075A26">
        <w:t xml:space="preserve">; The Shift Project: </w:t>
      </w:r>
      <w:hyperlink r:id="rId127" w:history="1">
        <w:r w:rsidRPr="00075A26">
          <w:rPr>
            <w:rStyle w:val="Hyperlink"/>
          </w:rPr>
          <w:t>Environmental-impacts-of-digital-technology-5-year-trends-and-5G-governance_March2021.pdf</w:t>
        </w:r>
      </w:hyperlink>
      <w:r w:rsidRPr="00075A26">
        <w:t xml:space="preserve">; Ember: </w:t>
      </w:r>
      <w:hyperlink r:id="rId128" w:history="1">
        <w:r w:rsidRPr="00075A26">
          <w:rPr>
            <w:rStyle w:val="Hyperlink"/>
          </w:rPr>
          <w:t>Grids for data centres: ambitious grid planning can win Europe's AI race</w:t>
        </w:r>
      </w:hyperlink>
      <w:r w:rsidRPr="00075A26">
        <w:t xml:space="preserve"> </w:t>
      </w:r>
    </w:p>
  </w:endnote>
  <w:endnote w:id="120">
    <w:p w14:paraId="428513D1" w14:textId="38BEAEAF" w:rsidR="0002290C" w:rsidRPr="00075A26" w:rsidRDefault="0002290C" w:rsidP="0002290C">
      <w:pPr>
        <w:pStyle w:val="EndnoteText"/>
      </w:pPr>
      <w:r w:rsidRPr="00075A26">
        <w:rPr>
          <w:rStyle w:val="EndnoteReference"/>
        </w:rPr>
        <w:endnoteRef/>
      </w:r>
      <w:r w:rsidRPr="00075A26">
        <w:t xml:space="preserve"> </w:t>
      </w:r>
      <w:hyperlink r:id="rId129" w:history="1">
        <w:r w:rsidR="003B7A51" w:rsidRPr="003B7A51">
          <w:rPr>
            <w:rStyle w:val="Hyperlink"/>
            <w:lang w:val="en-GB"/>
          </w:rPr>
          <w:t>IDC Report Reveals AI-Driven Growth in Datacenter Energy Consumption, Predicts Surge in Datacenter Facility Spending Amid Rising Electricity Costs</w:t>
        </w:r>
      </w:hyperlink>
      <w:r>
        <w:t xml:space="preserve">. See also: </w:t>
      </w:r>
      <w:hyperlink r:id="rId130" w:history="1">
        <w:r w:rsidRPr="00BA53A5">
          <w:rPr>
            <w:rStyle w:val="Hyperlink"/>
          </w:rPr>
          <w:t>CERRE_Report_DCs_FinalPDF.pdf</w:t>
        </w:r>
      </w:hyperlink>
      <w:r>
        <w:t xml:space="preserve"> pp 13-15. </w:t>
      </w:r>
    </w:p>
  </w:endnote>
  <w:endnote w:id="121">
    <w:p w14:paraId="7E8D3B72" w14:textId="77777777" w:rsidR="00E61374" w:rsidRPr="00075A26" w:rsidRDefault="00E61374" w:rsidP="00E61374">
      <w:pPr>
        <w:pStyle w:val="EndnoteText"/>
      </w:pPr>
      <w:r w:rsidRPr="00075A26">
        <w:rPr>
          <w:rStyle w:val="EndnoteReference"/>
        </w:rPr>
        <w:endnoteRef/>
      </w:r>
      <w:r w:rsidRPr="00075A26">
        <w:t xml:space="preserve"> For example in Dublin: </w:t>
      </w:r>
      <w:hyperlink r:id="rId131" w:history="1">
        <w:r w:rsidRPr="00075A26">
          <w:rPr>
            <w:rStyle w:val="Hyperlink"/>
          </w:rPr>
          <w:t>Data Centres in Ireland</w:t>
        </w:r>
      </w:hyperlink>
      <w:r w:rsidRPr="00075A26">
        <w:t xml:space="preserve">, and in Amsterdam: </w:t>
      </w:r>
      <w:hyperlink r:id="rId132" w:history="1">
        <w:r w:rsidRPr="00075A26">
          <w:rPr>
            <w:rStyle w:val="Hyperlink"/>
          </w:rPr>
          <w:t>Challenges in the Dutch Data Center Market</w:t>
        </w:r>
      </w:hyperlink>
      <w:r w:rsidRPr="00075A26">
        <w:t>.</w:t>
      </w:r>
    </w:p>
  </w:endnote>
  <w:endnote w:id="122">
    <w:p w14:paraId="0B2E6E84" w14:textId="36C82A3A" w:rsidR="00E61374" w:rsidRPr="00075A26" w:rsidRDefault="00E61374" w:rsidP="00E61374">
      <w:pPr>
        <w:pStyle w:val="EndnoteText"/>
      </w:pPr>
      <w:r w:rsidRPr="00075A26">
        <w:rPr>
          <w:rStyle w:val="EndnoteReference"/>
        </w:rPr>
        <w:endnoteRef/>
      </w:r>
      <w:r w:rsidRPr="00075A26">
        <w:t xml:space="preserve"> </w:t>
      </w:r>
      <w:hyperlink r:id="rId133" w:history="1">
        <w:r w:rsidRPr="00075A26">
          <w:rPr>
            <w:rStyle w:val="Hyperlink"/>
          </w:rPr>
          <w:t>Grids for data centres: ambitious grid planning can win Europe's AI race</w:t>
        </w:r>
      </w:hyperlink>
      <w:r w:rsidRPr="00075A26">
        <w:t xml:space="preserve">; </w:t>
      </w:r>
      <w:hyperlink r:id="rId134" w:history="1">
        <w:r w:rsidRPr="00075A26">
          <w:rPr>
            <w:rStyle w:val="Hyperlink"/>
          </w:rPr>
          <w:t>Ember, 2025</w:t>
        </w:r>
      </w:hyperlink>
      <w:r w:rsidRPr="00075A26">
        <w:t xml:space="preserve">; </w:t>
      </w:r>
      <w:hyperlink r:id="rId135" w:history="1">
        <w:r w:rsidRPr="00075A26">
          <w:rPr>
            <w:rStyle w:val="Hyperlink"/>
          </w:rPr>
          <w:t>Reuters, 2025</w:t>
        </w:r>
      </w:hyperlink>
      <w:r w:rsidRPr="00075A26">
        <w:t xml:space="preserve">; </w:t>
      </w:r>
      <w:hyperlink r:id="rId136" w:history="1">
        <w:r w:rsidRPr="00075A26">
          <w:rPr>
            <w:rStyle w:val="Hyperlink"/>
          </w:rPr>
          <w:t>BCG, 2025</w:t>
        </w:r>
      </w:hyperlink>
      <w:r w:rsidRPr="00075A26">
        <w:t xml:space="preserve">; </w:t>
      </w:r>
      <w:hyperlink r:id="rId137" w:history="1">
        <w:r w:rsidRPr="00075A26">
          <w:rPr>
            <w:rStyle w:val="Hyperlink"/>
          </w:rPr>
          <w:t>Power connection requests for Italy data centres rise to 42 GW at end-March | Reuters</w:t>
        </w:r>
      </w:hyperlink>
      <w:r w:rsidR="007F0DBD">
        <w:t xml:space="preserve">; See also: </w:t>
      </w:r>
      <w:hyperlink r:id="rId138" w:history="1">
        <w:r w:rsidR="00716652" w:rsidRPr="00716652">
          <w:rPr>
            <w:rStyle w:val="Hyperlink"/>
            <w:lang w:val="en-GB"/>
          </w:rPr>
          <w:t>Single Market - Compendium of obstacles - 21 May 2025</w:t>
        </w:r>
      </w:hyperlink>
    </w:p>
  </w:endnote>
  <w:endnote w:id="123">
    <w:p w14:paraId="0F52793A" w14:textId="77777777" w:rsidR="00E61374" w:rsidRPr="00075A26" w:rsidRDefault="00E61374" w:rsidP="00E61374">
      <w:pPr>
        <w:pStyle w:val="EndnoteText"/>
      </w:pPr>
      <w:r w:rsidRPr="00075A26">
        <w:rPr>
          <w:rStyle w:val="EndnoteReference"/>
        </w:rPr>
        <w:endnoteRef/>
      </w:r>
      <w:r w:rsidRPr="00075A26">
        <w:t xml:space="preserve"> </w:t>
      </w:r>
      <w:hyperlink r:id="rId139" w:history="1">
        <w:r w:rsidRPr="00075A26">
          <w:rPr>
            <w:rStyle w:val="Hyperlink"/>
          </w:rPr>
          <w:t>Why Retrofit Could Dominate Data Centre Builds This Decade | Data Centre Magazine</w:t>
        </w:r>
      </w:hyperlink>
    </w:p>
  </w:endnote>
  <w:endnote w:id="124">
    <w:p w14:paraId="6A014D2E" w14:textId="77777777" w:rsidR="00E61374" w:rsidRPr="00075A26" w:rsidRDefault="00E61374" w:rsidP="00E61374">
      <w:pPr>
        <w:pStyle w:val="EndnoteText"/>
      </w:pPr>
      <w:r w:rsidRPr="00075A26">
        <w:rPr>
          <w:rStyle w:val="EndnoteReference"/>
        </w:rPr>
        <w:endnoteRef/>
      </w:r>
      <w:r w:rsidRPr="00075A26">
        <w:t xml:space="preserve"> </w:t>
      </w:r>
      <w:hyperlink r:id="rId140" w:history="1">
        <w:r w:rsidRPr="00075A26">
          <w:rPr>
            <w:rStyle w:val="Hyperlink"/>
          </w:rPr>
          <w:t>Data centre developers explore linking up to UK gas pipelines</w:t>
        </w:r>
      </w:hyperlink>
    </w:p>
  </w:endnote>
  <w:endnote w:id="125">
    <w:p w14:paraId="345DA9E1" w14:textId="77777777" w:rsidR="00E61374" w:rsidRPr="00075A26" w:rsidRDefault="00E61374" w:rsidP="00E61374">
      <w:pPr>
        <w:pStyle w:val="EndnoteText"/>
      </w:pPr>
      <w:r w:rsidRPr="00075A26">
        <w:rPr>
          <w:rStyle w:val="EndnoteReference"/>
        </w:rPr>
        <w:endnoteRef/>
      </w:r>
      <w:r w:rsidRPr="00075A26">
        <w:t xml:space="preserve">  </w:t>
      </w:r>
      <w:hyperlink r:id="rId141" w:anchor=":~:text=%2A%202023%20was%20the%20second,of%20ABS%20in%20the%20sector" w:history="1">
        <w:r w:rsidRPr="00075A26">
          <w:rPr>
            <w:rStyle w:val="Hyperlink"/>
          </w:rPr>
          <w:t>Europe primed for data centre ABS financing as investment soars | News | About Us | Linklaters</w:t>
        </w:r>
      </w:hyperlink>
    </w:p>
  </w:endnote>
  <w:endnote w:id="126">
    <w:p w14:paraId="084AEE1D" w14:textId="77777777" w:rsidR="00E61374" w:rsidRPr="00075A26" w:rsidRDefault="00E61374" w:rsidP="00E61374">
      <w:pPr>
        <w:pStyle w:val="EndnoteText"/>
      </w:pPr>
      <w:r w:rsidRPr="00075A26">
        <w:rPr>
          <w:rStyle w:val="EndnoteReference"/>
        </w:rPr>
        <w:endnoteRef/>
      </w:r>
      <w:r w:rsidRPr="00075A26">
        <w:t xml:space="preserve"> </w:t>
      </w:r>
      <w:hyperlink r:id="rId142" w:anchor=":~:text=Take%20APAC%2C%20which%20saw%20data,all%20data%20center%20investment%20globally" w:history="1">
        <w:r w:rsidRPr="00075A26">
          <w:rPr>
            <w:rStyle w:val="Hyperlink"/>
          </w:rPr>
          <w:t>Why data center finance is diversifying</w:t>
        </w:r>
      </w:hyperlink>
    </w:p>
  </w:endnote>
  <w:endnote w:id="127">
    <w:p w14:paraId="3D9D8C0D" w14:textId="77777777" w:rsidR="00E61374" w:rsidRPr="00075A26" w:rsidRDefault="00E61374" w:rsidP="00E61374">
      <w:pPr>
        <w:pStyle w:val="EndnoteText"/>
      </w:pPr>
      <w:r w:rsidRPr="00075A26">
        <w:rPr>
          <w:rStyle w:val="EndnoteReference"/>
        </w:rPr>
        <w:endnoteRef/>
      </w:r>
      <w:r w:rsidRPr="00075A26">
        <w:t xml:space="preserve"> </w:t>
      </w:r>
      <w:hyperlink r:id="rId143" w:history="1">
        <w:r w:rsidRPr="00075A26">
          <w:rPr>
            <w:rStyle w:val="Hyperlink"/>
          </w:rPr>
          <w:t>AI Drives Cloud Player Capex Amid Cautious Overall Spend</w:t>
        </w:r>
      </w:hyperlink>
    </w:p>
  </w:endnote>
  <w:endnote w:id="128">
    <w:p w14:paraId="6012AD6E" w14:textId="77777777" w:rsidR="00E61374" w:rsidRPr="00075A26" w:rsidRDefault="00E61374" w:rsidP="00E61374">
      <w:pPr>
        <w:pStyle w:val="EndnoteText"/>
      </w:pPr>
      <w:r w:rsidRPr="00075A26">
        <w:rPr>
          <w:rStyle w:val="EndnoteReference"/>
        </w:rPr>
        <w:endnoteRef/>
      </w:r>
      <w:r w:rsidRPr="00075A26">
        <w:t xml:space="preserve"> Knight Frank: </w:t>
      </w:r>
      <w:hyperlink r:id="rId144" w:history="1">
        <w:r w:rsidRPr="00075A26">
          <w:rPr>
            <w:rStyle w:val="Hyperlink"/>
          </w:rPr>
          <w:t>Global Data Centres Report</w:t>
        </w:r>
      </w:hyperlink>
      <w:r w:rsidRPr="00075A26">
        <w:t xml:space="preserve"> </w:t>
      </w:r>
    </w:p>
  </w:endnote>
  <w:endnote w:id="129">
    <w:p w14:paraId="47944594" w14:textId="77777777" w:rsidR="00E61374" w:rsidRPr="00075A26" w:rsidRDefault="00E61374" w:rsidP="00E61374">
      <w:pPr>
        <w:pStyle w:val="EndnoteText"/>
      </w:pPr>
      <w:r w:rsidRPr="00075A26">
        <w:rPr>
          <w:rStyle w:val="EndnoteReference"/>
        </w:rPr>
        <w:endnoteRef/>
      </w:r>
      <w:r w:rsidRPr="00075A26">
        <w:t xml:space="preserve"> </w:t>
      </w:r>
      <w:hyperlink r:id="rId145" w:anchor=":~:text=The%20,economic%20hubs%20along%20the%20coast" w:history="1">
        <w:r w:rsidRPr="00075A26">
          <w:rPr>
            <w:rStyle w:val="Hyperlink"/>
          </w:rPr>
          <w:t>China invests $6.1 billion in computing data center project, official says | Reuters</w:t>
        </w:r>
      </w:hyperlink>
    </w:p>
  </w:endnote>
  <w:endnote w:id="130">
    <w:p w14:paraId="1E3E18D5" w14:textId="77777777" w:rsidR="00E61374" w:rsidRPr="00075A26" w:rsidRDefault="00E61374" w:rsidP="00E61374">
      <w:pPr>
        <w:pStyle w:val="EndnoteText"/>
      </w:pPr>
      <w:r w:rsidRPr="00075A26">
        <w:rPr>
          <w:rStyle w:val="EndnoteReference"/>
        </w:rPr>
        <w:endnoteRef/>
      </w:r>
      <w:r w:rsidRPr="00075A26">
        <w:t xml:space="preserve"> </w:t>
      </w:r>
      <w:hyperlink r:id="rId146" w:history="1">
        <w:r w:rsidRPr="00075A26">
          <w:rPr>
            <w:rStyle w:val="Hyperlink"/>
          </w:rPr>
          <w:t>North America Data Center Report Midyear 2025</w:t>
        </w:r>
      </w:hyperlink>
    </w:p>
  </w:endnote>
  <w:endnote w:id="131">
    <w:p w14:paraId="4BFBBCD3" w14:textId="77777777" w:rsidR="00F84120" w:rsidRPr="00075A26" w:rsidRDefault="00F84120" w:rsidP="00F84120">
      <w:pPr>
        <w:pStyle w:val="EndnoteText"/>
      </w:pPr>
      <w:r w:rsidRPr="00075A26">
        <w:rPr>
          <w:rStyle w:val="EndnoteReference"/>
        </w:rPr>
        <w:endnoteRef/>
      </w:r>
      <w:r w:rsidRPr="00075A26">
        <w:t xml:space="preserve"> </w:t>
      </w:r>
      <w:hyperlink r:id="rId147" w:history="1">
        <w:r w:rsidRPr="00075A26">
          <w:rPr>
            <w:rStyle w:val="Hyperlink"/>
          </w:rPr>
          <w:t>Circular water solutions key to sustainable data centres | World Economic Forum</w:t>
        </w:r>
      </w:hyperlink>
      <w:r w:rsidRPr="00075A26">
        <w:t xml:space="preserve">; </w:t>
      </w:r>
      <w:r w:rsidRPr="00075A26">
        <w:rPr>
          <w:rStyle w:val="Hyperlink"/>
        </w:rPr>
        <w:t xml:space="preserve">Mytton, D. Data centre water consumption. npj Clean Water 4, 11 (2021). </w:t>
      </w:r>
      <w:hyperlink r:id="rId148" w:history="1">
        <w:r w:rsidRPr="00075A26">
          <w:rPr>
            <w:rStyle w:val="Hyperlink"/>
          </w:rPr>
          <w:t>Data centre water consumption</w:t>
        </w:r>
      </w:hyperlink>
      <w:r w:rsidRPr="00075A26">
        <w:t xml:space="preserve">. </w:t>
      </w:r>
    </w:p>
  </w:endnote>
  <w:endnote w:id="132">
    <w:p w14:paraId="1387D1E8" w14:textId="77777777" w:rsidR="00F84120" w:rsidRPr="00075A26" w:rsidRDefault="00F84120" w:rsidP="00F84120">
      <w:pPr>
        <w:pStyle w:val="EndnoteText"/>
      </w:pPr>
      <w:r w:rsidRPr="00075A26">
        <w:rPr>
          <w:rStyle w:val="EndnoteReference"/>
        </w:rPr>
        <w:endnoteRef/>
      </w:r>
      <w:r w:rsidRPr="00075A26">
        <w:t xml:space="preserve"> See for example </w:t>
      </w:r>
      <w:hyperlink r:id="rId149" w:history="1">
        <w:r w:rsidRPr="00075A26">
          <w:rPr>
            <w:rStyle w:val="Hyperlink"/>
          </w:rPr>
          <w:t>Revealed: Big tech’s new datacentres will take water from the world’s driest areas</w:t>
        </w:r>
      </w:hyperlink>
      <w:r w:rsidRPr="00075A26">
        <w:t xml:space="preserve">. Globally, however, total data centre water use is much smaller than that of other sectors. See: </w:t>
      </w:r>
      <w:hyperlink r:id="rId150" w:history="1">
        <w:r w:rsidRPr="00075A26">
          <w:rPr>
            <w:rStyle w:val="Hyperlink"/>
          </w:rPr>
          <w:t>icef.go.jp/wp-content/themes/icef_new/pdf/roadmap/icef2025_roadmap.pdf</w:t>
        </w:r>
      </w:hyperlink>
      <w:r w:rsidRPr="00075A26">
        <w:t xml:space="preserve">.  </w:t>
      </w:r>
    </w:p>
  </w:endnote>
  <w:endnote w:id="133">
    <w:p w14:paraId="4F4B6398" w14:textId="77777777" w:rsidR="00E61374" w:rsidRPr="00F610F0" w:rsidRDefault="00E61374" w:rsidP="00E61374">
      <w:pPr>
        <w:pStyle w:val="EndnoteText"/>
      </w:pPr>
      <w:r>
        <w:rPr>
          <w:rStyle w:val="EndnoteReference"/>
        </w:rPr>
        <w:endnoteRef/>
      </w:r>
      <w:r>
        <w:t xml:space="preserve"> </w:t>
      </w:r>
      <w:r w:rsidRPr="005854E3">
        <w:t xml:space="preserve">See for example: </w:t>
      </w:r>
      <w:hyperlink r:id="rId151" w:history="1">
        <w:r w:rsidRPr="005854E3">
          <w:rPr>
            <w:rStyle w:val="Hyperlink"/>
          </w:rPr>
          <w:t>ECIPE |</w:t>
        </w:r>
        <w:r w:rsidRPr="00F610F0">
          <w:rPr>
            <w:rStyle w:val="Hyperlink"/>
          </w:rPr>
          <w:t xml:space="preserve"> The EU’s Trillion Dollar Gap in ICT and Cloud Computing Capacities: The Case for a New Approach to Cloud Policy</w:t>
        </w:r>
      </w:hyperlink>
    </w:p>
  </w:endnote>
  <w:endnote w:id="134">
    <w:p w14:paraId="1A388B3F" w14:textId="77777777" w:rsidR="00E61374" w:rsidRPr="002B5E77" w:rsidRDefault="00E61374" w:rsidP="00E61374">
      <w:pPr>
        <w:pStyle w:val="EndnoteText"/>
      </w:pPr>
      <w:r>
        <w:rPr>
          <w:rStyle w:val="EndnoteReference"/>
        </w:rPr>
        <w:endnoteRef/>
      </w:r>
      <w:r>
        <w:t xml:space="preserve"> </w:t>
      </w:r>
      <w:hyperlink r:id="rId152" w:history="1">
        <w:r w:rsidRPr="002B5E77">
          <w:rPr>
            <w:rStyle w:val="Hyperlink"/>
          </w:rPr>
          <w:t>Eurostack | Deploying the Eurostack: What’s needed now</w:t>
        </w:r>
      </w:hyperlink>
      <w:r>
        <w:t xml:space="preserve">. </w:t>
      </w:r>
    </w:p>
  </w:endnote>
  <w:endnote w:id="135">
    <w:p w14:paraId="0642BF3D" w14:textId="77777777" w:rsidR="00E61374" w:rsidRPr="00075A26" w:rsidRDefault="00E61374" w:rsidP="00E61374">
      <w:pPr>
        <w:pStyle w:val="EndnoteText"/>
      </w:pPr>
      <w:r w:rsidRPr="00075A26">
        <w:rPr>
          <w:rStyle w:val="EndnoteReference"/>
        </w:rPr>
        <w:endnoteRef/>
      </w:r>
      <w:r w:rsidRPr="00075A26">
        <w:t xml:space="preserve"> </w:t>
      </w:r>
      <w:hyperlink r:id="rId153" w:history="1">
        <w:r w:rsidRPr="00075A26">
          <w:rPr>
            <w:rStyle w:val="Hyperlink"/>
          </w:rPr>
          <w:t>Sovereign Cloud Technologies – EU-Lisa technology brief</w:t>
        </w:r>
      </w:hyperlink>
      <w:r w:rsidRPr="00075A26">
        <w:t xml:space="preserve"> – June 2025</w:t>
      </w:r>
    </w:p>
  </w:endnote>
  <w:endnote w:id="136">
    <w:p w14:paraId="49AF4859" w14:textId="77777777" w:rsidR="00E61374" w:rsidRPr="00075A26" w:rsidRDefault="00E61374" w:rsidP="00E61374">
      <w:pPr>
        <w:pStyle w:val="EndnoteText"/>
      </w:pPr>
      <w:r w:rsidRPr="00075A26">
        <w:rPr>
          <w:rStyle w:val="EndnoteReference"/>
        </w:rPr>
        <w:endnoteRef/>
      </w:r>
      <w:r w:rsidRPr="00075A26">
        <w:t xml:space="preserve"> </w:t>
      </w:r>
      <w:hyperlink r:id="rId154" w:history="1">
        <w:r w:rsidRPr="00075A26">
          <w:rPr>
            <w:rStyle w:val="Hyperlink"/>
          </w:rPr>
          <w:t>Concession from the Department for digital transformation to the Polo Strategico Nazionale</w:t>
        </w:r>
      </w:hyperlink>
    </w:p>
  </w:endnote>
  <w:endnote w:id="137">
    <w:p w14:paraId="64775938" w14:textId="77777777" w:rsidR="00E61374" w:rsidRPr="00075A26" w:rsidRDefault="00E61374" w:rsidP="00E61374">
      <w:pPr>
        <w:pStyle w:val="EndnoteText"/>
      </w:pPr>
      <w:r w:rsidRPr="00075A26">
        <w:rPr>
          <w:rStyle w:val="EndnoteReference"/>
        </w:rPr>
        <w:endnoteRef/>
      </w:r>
      <w:r w:rsidRPr="00075A26">
        <w:t xml:space="preserve"> </w:t>
      </w:r>
      <w:hyperlink r:id="rId155" w:history="1">
        <w:r w:rsidRPr="00075A26">
          <w:rPr>
            <w:rStyle w:val="Hyperlink"/>
          </w:rPr>
          <w:t>Germany launches government cloud</w:t>
        </w:r>
      </w:hyperlink>
      <w:r w:rsidRPr="00075A26">
        <w:t xml:space="preserve"> – Press release</w:t>
      </w:r>
    </w:p>
  </w:endnote>
  <w:endnote w:id="138">
    <w:p w14:paraId="51A69FD8" w14:textId="77777777" w:rsidR="00E61374" w:rsidRPr="00075A26" w:rsidRDefault="00E61374" w:rsidP="00E61374">
      <w:pPr>
        <w:pStyle w:val="EndnoteText"/>
      </w:pPr>
      <w:r w:rsidRPr="00075A26">
        <w:rPr>
          <w:rStyle w:val="EndnoteReference"/>
        </w:rPr>
        <w:endnoteRef/>
      </w:r>
      <w:r w:rsidRPr="00075A26">
        <w:t xml:space="preserve"> CISPE’s </w:t>
      </w:r>
      <w:hyperlink r:id="rId156" w:history="1">
        <w:r w:rsidRPr="00075A26">
          <w:rPr>
            <w:rStyle w:val="Hyperlink"/>
          </w:rPr>
          <w:t>Buying Cloud Services in the Public Sector</w:t>
        </w:r>
      </w:hyperlink>
      <w:r w:rsidRPr="00075A26">
        <w:t xml:space="preserve"> provides a comprehensive overview of public procurement difficulties</w:t>
      </w:r>
    </w:p>
  </w:endnote>
  <w:endnote w:id="139">
    <w:p w14:paraId="004F0DE5" w14:textId="77777777" w:rsidR="00E61374" w:rsidRDefault="00E61374" w:rsidP="00E61374">
      <w:pPr>
        <w:pStyle w:val="EndnoteText"/>
      </w:pPr>
      <w:r w:rsidRPr="04E66CE0">
        <w:rPr>
          <w:rStyle w:val="EndnoteReference"/>
        </w:rPr>
        <w:endnoteRef/>
      </w:r>
      <w:r>
        <w:t xml:space="preserve"> ECIPE, Occasional paper </w:t>
      </w:r>
      <w:r w:rsidRPr="5EAECC94">
        <w:t xml:space="preserve">No. 04/2025: </w:t>
      </w:r>
      <w:r>
        <w:t>’</w:t>
      </w:r>
      <w:r w:rsidRPr="6E38ABC9">
        <w:t>Boosting Efficiency and Quality in EU Public Services: The Need for a European Multi Cloud-First Strategy’:</w:t>
      </w:r>
      <w:r>
        <w:t xml:space="preserve"> </w:t>
      </w:r>
      <w:hyperlink r:id="rId157" w:history="1">
        <w:r w:rsidRPr="04E66CE0">
          <w:rPr>
            <w:rStyle w:val="Hyperlink"/>
          </w:rPr>
          <w:t>ECI_OccasionalPaper_04-2025_LY04.pdf</w:t>
        </w:r>
      </w:hyperlink>
      <w:r>
        <w:t xml:space="preserve"> </w:t>
      </w:r>
    </w:p>
  </w:endnote>
  <w:endnote w:id="140">
    <w:p w14:paraId="73D4B74C" w14:textId="77777777" w:rsidR="00E61374" w:rsidRDefault="00E61374" w:rsidP="00E61374">
      <w:pPr>
        <w:pStyle w:val="EndnoteText"/>
      </w:pPr>
      <w:r w:rsidRPr="2947D40F">
        <w:rPr>
          <w:rStyle w:val="EndnoteReference"/>
        </w:rPr>
        <w:endnoteRef/>
      </w:r>
      <w:r>
        <w:t xml:space="preserve"> </w:t>
      </w:r>
      <w:hyperlink r:id="rId158" w:history="1">
        <w:r w:rsidRPr="7FEF3AA3">
          <w:rPr>
            <w:rStyle w:val="Hyperlink"/>
          </w:rPr>
          <w:t>V-ICT-OR delivers innovative Flemish government services with Azure Container Apps | Microsoft Customer Stories</w:t>
        </w:r>
      </w:hyperlink>
      <w:r>
        <w:fldChar w:fldCharType="begin"/>
      </w:r>
      <w:r>
        <w:instrText>￼￼</w:instrText>
      </w:r>
      <w:r w:rsidRPr="7FEF3AA3">
        <w:rPr>
          <w:rStyle w:val="Hyperlink"/>
        </w:rPr>
        <w:instrText>Microsoft signs deal with Flemish region for 10,000 AI assistant licenses</w:instrText>
      </w:r>
      <w:r>
        <w:fldChar w:fldCharType="end"/>
      </w:r>
    </w:p>
  </w:endnote>
  <w:endnote w:id="141">
    <w:p w14:paraId="4288C5CA" w14:textId="77777777" w:rsidR="00E61374" w:rsidRPr="005854E3" w:rsidRDefault="00E61374" w:rsidP="00E61374">
      <w:pPr>
        <w:pStyle w:val="EndnoteText"/>
        <w:rPr>
          <w:lang w:val="de-DE"/>
        </w:rPr>
      </w:pPr>
      <w:r>
        <w:rPr>
          <w:rStyle w:val="EndnoteReference"/>
        </w:rPr>
        <w:endnoteRef/>
      </w:r>
      <w:r w:rsidRPr="005854E3">
        <w:rPr>
          <w:lang w:val="de-DE"/>
        </w:rPr>
        <w:t xml:space="preserve"> </w:t>
      </w:r>
      <w:hyperlink r:id="rId159" w:history="1">
        <w:r w:rsidRPr="005854E3">
          <w:rPr>
            <w:rStyle w:val="Hyperlink"/>
            <w:lang w:val="de-DE"/>
          </w:rPr>
          <w:t>Digitale Abhängigkeit von Microsoft: Risiken und Auswirkungen auf die EU-Wirtschaft</w:t>
        </w:r>
      </w:hyperlink>
    </w:p>
  </w:endnote>
  <w:endnote w:id="142">
    <w:p w14:paraId="14189CE5" w14:textId="77777777" w:rsidR="00E61374" w:rsidRPr="00075A26" w:rsidRDefault="00E61374" w:rsidP="00E61374">
      <w:pPr>
        <w:pStyle w:val="EndnoteText"/>
      </w:pPr>
      <w:r w:rsidRPr="00075A26">
        <w:rPr>
          <w:rStyle w:val="EndnoteReference"/>
        </w:rPr>
        <w:endnoteRef/>
      </w:r>
      <w:r w:rsidRPr="00075A26">
        <w:t xml:space="preserve"> </w:t>
      </w:r>
      <w:hyperlink r:id="rId160" w:history="1">
        <w:r w:rsidRPr="00075A26">
          <w:rPr>
            <w:rStyle w:val="Hyperlink"/>
          </w:rPr>
          <w:t>"We're done" - major government organization slams Microsoft Teams as it drops Windows for good</w:t>
        </w:r>
      </w:hyperlink>
      <w:r w:rsidRPr="00075A26">
        <w:t xml:space="preserve">; </w:t>
      </w:r>
      <w:hyperlink r:id="rId161" w:history="1">
        <w:r w:rsidRPr="00075A26">
          <w:rPr>
            <w:rStyle w:val="Hyperlink"/>
          </w:rPr>
          <w:t>Danish government agency to ditch Microsoft software in push for digital independence</w:t>
        </w:r>
      </w:hyperlink>
      <w:r w:rsidRPr="00075A26">
        <w:t xml:space="preserve">; </w:t>
      </w:r>
      <w:hyperlink r:id="rId162" w:history="1">
        <w:r w:rsidRPr="00075A26">
          <w:rPr>
            <w:rStyle w:val="Hyperlink"/>
          </w:rPr>
          <w:t>Denmark’s Digital Declaration of Independence: A Growing European Revolt Against Big Tech Dependency</w:t>
        </w:r>
      </w:hyperlink>
      <w:r w:rsidRPr="00075A26">
        <w:t xml:space="preserve">.  </w:t>
      </w:r>
    </w:p>
  </w:endnote>
  <w:endnote w:id="143">
    <w:p w14:paraId="2449A461" w14:textId="72ED00ED" w:rsidR="00205FFB" w:rsidRPr="00205FFB" w:rsidRDefault="00205FFB">
      <w:pPr>
        <w:pStyle w:val="EndnoteText"/>
      </w:pPr>
      <w:r>
        <w:rPr>
          <w:rStyle w:val="EndnoteReference"/>
        </w:rPr>
        <w:endnoteRef/>
      </w:r>
      <w:r>
        <w:t xml:space="preserve"> </w:t>
      </w:r>
      <w:hyperlink r:id="rId163" w:history="1">
        <w:r w:rsidR="00603C2A" w:rsidRPr="00603C2A">
          <w:rPr>
            <w:rStyle w:val="Hyperlink"/>
          </w:rPr>
          <w:t>What is the Log4j vulnerability?</w:t>
        </w:r>
      </w:hyperlink>
    </w:p>
  </w:endnote>
  <w:endnote w:id="144">
    <w:p w14:paraId="0F47ADC0" w14:textId="77777777" w:rsidR="00E61374" w:rsidRPr="00140270" w:rsidRDefault="00E61374" w:rsidP="00E61374">
      <w:pPr>
        <w:pStyle w:val="EndnoteText"/>
      </w:pPr>
      <w:r>
        <w:rPr>
          <w:rStyle w:val="EndnoteReference"/>
        </w:rPr>
        <w:endnoteRef/>
      </w:r>
      <w:r>
        <w:t xml:space="preserve"> </w:t>
      </w:r>
      <w:r w:rsidRPr="00140270">
        <w:t xml:space="preserve">“EDLER, J. "Technology sovereignty for the EU: Needs, concepts, pitfalls and ways forward". Available at </w:t>
      </w:r>
      <w:hyperlink r:id="rId164" w:anchor=":~:text=Technology%20sovereignty%20not%20only%20means%20that%20Europe,basic%20values%20and%20norms%20of%20the%20continent." w:history="1">
        <w:r w:rsidRPr="00140270">
          <w:rPr>
            <w:rStyle w:val="Hyperlink"/>
          </w:rPr>
          <w:t>European Commission</w:t>
        </w:r>
      </w:hyperlink>
    </w:p>
  </w:endnote>
  <w:endnote w:id="145">
    <w:p w14:paraId="4BE146D6" w14:textId="77777777" w:rsidR="00E61374" w:rsidRPr="00075A26" w:rsidRDefault="00E61374" w:rsidP="00E61374">
      <w:pPr>
        <w:pStyle w:val="EndnoteText"/>
      </w:pPr>
      <w:r w:rsidRPr="00075A26">
        <w:rPr>
          <w:rStyle w:val="EndnoteReference"/>
        </w:rPr>
        <w:endnoteRef/>
      </w:r>
      <w:r w:rsidRPr="00075A26">
        <w:t xml:space="preserve"> </w:t>
      </w:r>
      <w:hyperlink r:id="rId165" w:history="1">
        <w:r w:rsidRPr="00075A26">
          <w:rPr>
            <w:rStyle w:val="Hyperlink"/>
          </w:rPr>
          <w:t>AWS European Sovereign Cloud</w:t>
        </w:r>
      </w:hyperlink>
    </w:p>
  </w:endnote>
  <w:endnote w:id="146">
    <w:p w14:paraId="1C676067" w14:textId="77777777" w:rsidR="00E61374" w:rsidRPr="00075A26" w:rsidRDefault="00E61374" w:rsidP="00E61374">
      <w:pPr>
        <w:pStyle w:val="EndnoteText"/>
      </w:pPr>
      <w:r w:rsidRPr="00075A26">
        <w:rPr>
          <w:rStyle w:val="EndnoteReference"/>
        </w:rPr>
        <w:endnoteRef/>
      </w:r>
      <w:r w:rsidRPr="00075A26">
        <w:t xml:space="preserve"> </w:t>
      </w:r>
      <w:hyperlink r:id="rId166" w:history="1">
        <w:r w:rsidRPr="00075A26">
          <w:rPr>
            <w:rStyle w:val="Hyperlink"/>
          </w:rPr>
          <w:t>EU Sovereign Cloud | Oracle Europe</w:t>
        </w:r>
      </w:hyperlink>
    </w:p>
  </w:endnote>
  <w:endnote w:id="147">
    <w:p w14:paraId="44EA0F08" w14:textId="77777777" w:rsidR="00E61374" w:rsidRPr="00075A26" w:rsidRDefault="00E61374" w:rsidP="00E61374">
      <w:pPr>
        <w:pStyle w:val="EndnoteText"/>
      </w:pPr>
      <w:r w:rsidRPr="00075A26">
        <w:rPr>
          <w:rStyle w:val="EndnoteReference"/>
        </w:rPr>
        <w:endnoteRef/>
      </w:r>
      <w:r w:rsidRPr="00075A26">
        <w:t xml:space="preserve"> </w:t>
      </w:r>
      <w:hyperlink r:id="rId167" w:history="1">
        <w:r w:rsidRPr="00075A26">
          <w:rPr>
            <w:rStyle w:val="Hyperlink"/>
          </w:rPr>
          <w:t>Capgemini and Orange are pleased to announce the launch of commercial activities of Bleu, their future “cloud de confiance” platform - Newsroom Orange Group</w:t>
        </w:r>
      </w:hyperlink>
    </w:p>
  </w:endnote>
  <w:endnote w:id="148">
    <w:p w14:paraId="624F87E9" w14:textId="77777777" w:rsidR="00E61374" w:rsidRPr="00075A26" w:rsidRDefault="00E61374" w:rsidP="00E61374">
      <w:pPr>
        <w:pStyle w:val="EndnoteText"/>
        <w:rPr>
          <w:lang w:val="fr-FR"/>
        </w:rPr>
      </w:pPr>
      <w:r w:rsidRPr="00075A26">
        <w:rPr>
          <w:rStyle w:val="EndnoteReference"/>
        </w:rPr>
        <w:endnoteRef/>
      </w:r>
      <w:r w:rsidRPr="00075A26">
        <w:rPr>
          <w:lang w:val="fr-FR"/>
        </w:rPr>
        <w:t xml:space="preserve"> </w:t>
      </w:r>
      <w:hyperlink r:id="rId168" w:history="1">
        <w:r w:rsidRPr="00075A26">
          <w:rPr>
            <w:rStyle w:val="Hyperlink"/>
            <w:lang w:val="fr-FR"/>
          </w:rPr>
          <w:t>Clarence | Le premier cloud souverain déconnecté en Europe</w:t>
        </w:r>
      </w:hyperlink>
    </w:p>
  </w:endnote>
  <w:endnote w:id="149">
    <w:p w14:paraId="201DE5F7" w14:textId="77777777" w:rsidR="00E61374" w:rsidRPr="00075A26" w:rsidRDefault="00E61374" w:rsidP="00E61374">
      <w:pPr>
        <w:pStyle w:val="EndnoteText"/>
      </w:pPr>
      <w:r w:rsidRPr="00075A26">
        <w:rPr>
          <w:rStyle w:val="EndnoteReference"/>
        </w:rPr>
        <w:endnoteRef/>
      </w:r>
      <w:r w:rsidRPr="00075A26">
        <w:t xml:space="preserve"> </w:t>
      </w:r>
      <w:hyperlink r:id="rId169" w:history="1">
        <w:r w:rsidRPr="00075A26">
          <w:rPr>
            <w:rStyle w:val="Hyperlink"/>
          </w:rPr>
          <w:t>Sovereign AI | Oracle Europe</w:t>
        </w:r>
      </w:hyperlink>
    </w:p>
  </w:endnote>
  <w:endnote w:id="150">
    <w:p w14:paraId="360BF2EC" w14:textId="77777777" w:rsidR="00E61374" w:rsidRPr="00075A26" w:rsidRDefault="00E61374" w:rsidP="00E61374">
      <w:pPr>
        <w:pStyle w:val="EndnoteText"/>
      </w:pPr>
      <w:r w:rsidRPr="00075A26">
        <w:rPr>
          <w:rStyle w:val="EndnoteReference"/>
        </w:rPr>
        <w:endnoteRef/>
      </w:r>
      <w:r w:rsidRPr="00075A26">
        <w:t xml:space="preserve"> </w:t>
      </w:r>
      <w:hyperlink r:id="rId170" w:history="1">
        <w:r w:rsidRPr="00075A26">
          <w:rPr>
            <w:rStyle w:val="Hyperlink"/>
          </w:rPr>
          <w:t>The next chapter for UK sovereign AI | OpenAI</w:t>
        </w:r>
      </w:hyperlink>
    </w:p>
  </w:endnote>
  <w:endnote w:id="151">
    <w:p w14:paraId="03731870" w14:textId="77777777" w:rsidR="00E61374" w:rsidRPr="00EC3D92" w:rsidRDefault="00E61374" w:rsidP="00E61374">
      <w:pPr>
        <w:pStyle w:val="EndnoteText"/>
      </w:pPr>
      <w:r w:rsidRPr="00F14DCA">
        <w:rPr>
          <w:rStyle w:val="EndnoteReference"/>
          <w:sz w:val="18"/>
          <w:szCs w:val="18"/>
        </w:rPr>
        <w:endnoteRef/>
      </w:r>
      <w:r w:rsidRPr="00F14DCA">
        <w:t xml:space="preserve"> See for example: </w:t>
      </w:r>
      <w:hyperlink r:id="rId171" w:history="1">
        <w:r w:rsidRPr="00F14DCA">
          <w:rPr>
            <w:rStyle w:val="Hyperlink"/>
            <w:sz w:val="18"/>
            <w:szCs w:val="18"/>
          </w:rPr>
          <w:t>Die souveräne Cloud für den öffentlichen Sektor - STACKIT</w:t>
        </w:r>
      </w:hyperlink>
      <w:r w:rsidRPr="00F14DCA">
        <w:t xml:space="preserve"> or </w:t>
      </w:r>
      <w:hyperlink r:id="rId172" w:history="1">
        <w:r w:rsidRPr="00F14DCA">
          <w:rPr>
            <w:rStyle w:val="Hyperlink"/>
            <w:sz w:val="18"/>
            <w:szCs w:val="18"/>
          </w:rPr>
          <w:t>Sovereign Cloud for Tech Innovation | Scaleway</w:t>
        </w:r>
      </w:hyperlink>
      <w:r w:rsidRPr="00F14DCA">
        <w:t xml:space="preserve">. </w:t>
      </w:r>
    </w:p>
  </w:endnote>
  <w:endnote w:id="152">
    <w:p w14:paraId="717D25D9" w14:textId="77777777" w:rsidR="00E61374" w:rsidRPr="003B5188" w:rsidRDefault="00E61374" w:rsidP="00E61374">
      <w:pPr>
        <w:pStyle w:val="EndnoteText"/>
      </w:pPr>
      <w:r>
        <w:rPr>
          <w:rStyle w:val="EndnoteReference"/>
        </w:rPr>
        <w:endnoteRef/>
      </w:r>
      <w:r>
        <w:t xml:space="preserve"> </w:t>
      </w:r>
      <w:hyperlink r:id="rId173" w:history="1">
        <w:r w:rsidRPr="003B5188">
          <w:rPr>
            <w:rStyle w:val="Hyperlink"/>
          </w:rPr>
          <w:t>Sovereign Cloud in the EU: Providers, Challenges, and Opportunities</w:t>
        </w:r>
      </w:hyperlink>
    </w:p>
  </w:endnote>
  <w:endnote w:id="153">
    <w:p w14:paraId="6921F9A1" w14:textId="77777777" w:rsidR="00E61374" w:rsidRPr="00DD5FA0" w:rsidRDefault="00E61374" w:rsidP="00E61374">
      <w:pPr>
        <w:pStyle w:val="EndnoteText"/>
      </w:pPr>
      <w:r>
        <w:rPr>
          <w:rStyle w:val="EndnoteReference"/>
        </w:rPr>
        <w:endnoteRef/>
      </w:r>
      <w:r>
        <w:t xml:space="preserve"> </w:t>
      </w:r>
      <w:hyperlink r:id="rId174" w:history="1">
        <w:r w:rsidRPr="00DD5FA0">
          <w:rPr>
            <w:rStyle w:val="Hyperlink"/>
          </w:rPr>
          <w:t>Introducing the Overview of the AWS European Sovereign Cloud whitepaper | AWS Security Blog</w:t>
        </w:r>
      </w:hyperlink>
    </w:p>
  </w:endnote>
  <w:endnote w:id="154">
    <w:p w14:paraId="24DB207C" w14:textId="77777777" w:rsidR="00E61374" w:rsidRPr="00075A26" w:rsidRDefault="00E61374" w:rsidP="00E61374">
      <w:pPr>
        <w:pStyle w:val="EndnoteText"/>
      </w:pPr>
      <w:r w:rsidRPr="00075A26">
        <w:rPr>
          <w:rStyle w:val="EndnoteReference"/>
        </w:rPr>
        <w:endnoteRef/>
      </w:r>
      <w:r w:rsidRPr="00075A26">
        <w:t xml:space="preserve"> </w:t>
      </w:r>
      <w:hyperlink r:id="rId175" w:history="1">
        <w:r w:rsidRPr="00075A26">
          <w:rPr>
            <w:rStyle w:val="Hyperlink"/>
          </w:rPr>
          <w:t>6G Infrastructures for Edge AI: An Analytical Perspective</w:t>
        </w:r>
      </w:hyperlink>
      <w:r w:rsidRPr="00075A26">
        <w:t xml:space="preserve"> </w:t>
      </w:r>
    </w:p>
  </w:endnote>
  <w:endnote w:id="155">
    <w:p w14:paraId="057A07FF" w14:textId="77777777" w:rsidR="00E61374" w:rsidRPr="00075A26" w:rsidRDefault="00E61374" w:rsidP="00E61374">
      <w:pPr>
        <w:pStyle w:val="EndnoteText"/>
      </w:pPr>
      <w:r w:rsidRPr="00075A26">
        <w:rPr>
          <w:rStyle w:val="EndnoteReference"/>
        </w:rPr>
        <w:endnoteRef/>
      </w:r>
      <w:r w:rsidRPr="00075A26">
        <w:t xml:space="preserve"> </w:t>
      </w:r>
      <w:hyperlink r:id="rId176">
        <w:r w:rsidRPr="00075A26">
          <w:rPr>
            <w:rStyle w:val="Hyperlink"/>
          </w:rPr>
          <w:t>When AI Takes Time to Think: Implications of Test-Time Compute</w:t>
        </w:r>
      </w:hyperlink>
      <w:r w:rsidRPr="00075A26">
        <w:t xml:space="preserve"> </w:t>
      </w:r>
    </w:p>
  </w:endnote>
  <w:endnote w:id="156">
    <w:p w14:paraId="35917809" w14:textId="77777777" w:rsidR="00E61374" w:rsidRPr="00075A26" w:rsidRDefault="00E61374" w:rsidP="00E61374">
      <w:pPr>
        <w:pStyle w:val="EndnoteText"/>
      </w:pPr>
      <w:r w:rsidRPr="00075A26">
        <w:rPr>
          <w:rStyle w:val="EndnoteReference"/>
        </w:rPr>
        <w:endnoteRef/>
      </w:r>
      <w:r w:rsidRPr="00075A26">
        <w:t xml:space="preserve"> This is a challenge already observed in the United States, where electricity prices have risen in regions with high data-centre concentration. It highlights the need for the EU to ensure a more balanced distribution of data-centre deployment across Member States, in order to prevent similar electricity price spikes in specific areas. Additional information available here: </w:t>
      </w:r>
      <w:hyperlink r:id="rId177" w:history="1">
        <w:r w:rsidRPr="00075A26">
          <w:rPr>
            <w:rStyle w:val="Hyperlink"/>
          </w:rPr>
          <w:t>How AI Data Centers Are Sending Your Power Bill Soaring</w:t>
        </w:r>
      </w:hyperlink>
      <w:r w:rsidRPr="00075A26">
        <w:t xml:space="preserve">; </w:t>
      </w:r>
      <w:hyperlink r:id="rId178" w:history="1">
        <w:r w:rsidRPr="00075A26">
          <w:rPr>
            <w:rStyle w:val="Hyperlink"/>
          </w:rPr>
          <w:t>$64 billion of data center projects have been blocked or delayed amid local opposition — Data Center Watch</w:t>
        </w:r>
      </w:hyperlink>
      <w:r w:rsidRPr="00075A26">
        <w:t xml:space="preserve"> </w:t>
      </w:r>
    </w:p>
  </w:endnote>
  <w:endnote w:id="157">
    <w:p w14:paraId="28B6C62A" w14:textId="77777777" w:rsidR="00E61374" w:rsidRPr="00075A26" w:rsidRDefault="00E61374" w:rsidP="00E61374">
      <w:pPr>
        <w:pStyle w:val="EndnoteText"/>
      </w:pPr>
      <w:r w:rsidRPr="00075A26">
        <w:rPr>
          <w:rStyle w:val="EndnoteReference"/>
        </w:rPr>
        <w:endnoteRef/>
      </w:r>
      <w:r w:rsidRPr="00075A26">
        <w:t xml:space="preserve"> </w:t>
      </w:r>
      <w:hyperlink r:id="rId179">
        <w:r w:rsidRPr="00075A26">
          <w:rPr>
            <w:rStyle w:val="Hyperlink"/>
          </w:rPr>
          <w:t>Global Data Center Trends 2025</w:t>
        </w:r>
      </w:hyperlink>
      <w:r w:rsidRPr="00075A26">
        <w:t xml:space="preserve">? </w:t>
      </w:r>
    </w:p>
  </w:endnote>
  <w:endnote w:id="158">
    <w:p w14:paraId="06DD0B62" w14:textId="77777777" w:rsidR="00E61374" w:rsidRPr="00075A26" w:rsidRDefault="00E61374" w:rsidP="00E61374">
      <w:pPr>
        <w:pStyle w:val="EndnoteText"/>
      </w:pPr>
      <w:r w:rsidRPr="00075A26">
        <w:rPr>
          <w:rStyle w:val="EndnoteReference"/>
        </w:rPr>
        <w:endnoteRef/>
      </w:r>
      <w:r w:rsidRPr="00075A26">
        <w:t xml:space="preserve"> </w:t>
      </w:r>
      <w:hyperlink r:id="rId180" w:history="1">
        <w:r w:rsidRPr="00075A26">
          <w:rPr>
            <w:rStyle w:val="Hyperlink"/>
          </w:rPr>
          <w:t>Time to place our bets: Europe’s AI opportunity</w:t>
        </w:r>
      </w:hyperlink>
      <w:r w:rsidRPr="00075A26">
        <w:t xml:space="preserve">? </w:t>
      </w:r>
    </w:p>
  </w:endnote>
  <w:endnote w:id="159">
    <w:p w14:paraId="690A6512" w14:textId="77777777" w:rsidR="00E61374" w:rsidRPr="00075A26" w:rsidRDefault="00E61374" w:rsidP="00E61374">
      <w:pPr>
        <w:pStyle w:val="EndnoteText"/>
      </w:pPr>
      <w:r w:rsidRPr="00075A26">
        <w:rPr>
          <w:vertAlign w:val="superscript"/>
        </w:rPr>
        <w:endnoteRef/>
      </w:r>
      <w:r w:rsidRPr="00075A26">
        <w:t xml:space="preserve"> </w:t>
      </w:r>
      <w:hyperlink r:id="rId181" w:anchor=":~:text=The%20public%20cloud%20market%20in,market%20from%202024%20to%202030" w:history="1">
        <w:r w:rsidRPr="00075A26">
          <w:rPr>
            <w:rStyle w:val="Hyperlink"/>
          </w:rPr>
          <w:t>Europe Public Cloud Market Size &amp; Outlook, 2023-2030</w:t>
        </w:r>
      </w:hyperlink>
      <w:r w:rsidRPr="00075A26">
        <w:t xml:space="preserve">. </w:t>
      </w:r>
    </w:p>
  </w:endnote>
  <w:endnote w:id="160">
    <w:p w14:paraId="4ED465C4" w14:textId="77777777" w:rsidR="00E61374" w:rsidRPr="00FD4F26" w:rsidRDefault="00E61374" w:rsidP="00E61374">
      <w:pPr>
        <w:rPr>
          <w:rFonts w:eastAsia="Times New Roman"/>
          <w:sz w:val="20"/>
          <w:szCs w:val="20"/>
          <w:lang w:val="en-US"/>
        </w:rPr>
      </w:pPr>
      <w:r w:rsidRPr="005B6512">
        <w:rPr>
          <w:sz w:val="20"/>
          <w:szCs w:val="20"/>
          <w:vertAlign w:val="superscript"/>
        </w:rPr>
        <w:endnoteRef/>
      </w:r>
      <w:r w:rsidRPr="00FD4F26">
        <w:rPr>
          <w:sz w:val="20"/>
          <w:szCs w:val="20"/>
          <w:lang w:val="en-US"/>
        </w:rPr>
        <w:t xml:space="preserve"> </w:t>
      </w:r>
      <w:hyperlink r:id="rId182" w:history="1">
        <w:r w:rsidRPr="00FD4F26">
          <w:rPr>
            <w:rStyle w:val="Hyperlink"/>
            <w:rFonts w:eastAsia="Times New Roman"/>
            <w:sz w:val="20"/>
            <w:szCs w:val="20"/>
            <w:lang w:val="en-US"/>
          </w:rPr>
          <w:t>Artificial Intelligence Index Report 2025</w:t>
        </w:r>
      </w:hyperlink>
    </w:p>
  </w:endnote>
  <w:endnote w:id="161">
    <w:p w14:paraId="6EEF9819" w14:textId="77777777" w:rsidR="00E61374" w:rsidRDefault="00E61374" w:rsidP="00E61374">
      <w:pPr>
        <w:pStyle w:val="EndnoteText"/>
      </w:pPr>
      <w:r w:rsidRPr="3556BE42">
        <w:rPr>
          <w:rStyle w:val="EndnoteReference"/>
        </w:rPr>
        <w:endnoteRef/>
      </w:r>
      <w:r>
        <w:t xml:space="preserve"> Technopolis Group et al. (2025), "Study: Cloud and AI".</w:t>
      </w:r>
    </w:p>
  </w:endnote>
  <w:endnote w:id="162">
    <w:p w14:paraId="58AD19A6" w14:textId="77777777" w:rsidR="00C11A30" w:rsidRDefault="00C11A30" w:rsidP="00C11A30">
      <w:pPr>
        <w:pStyle w:val="EndnoteText"/>
      </w:pPr>
      <w:r>
        <w:rPr>
          <w:rStyle w:val="EndnoteReference"/>
        </w:rPr>
        <w:endnoteRef/>
      </w:r>
      <w:r>
        <w:t xml:space="preserve"> </w:t>
      </w:r>
      <w:r w:rsidRPr="00DE3D8F">
        <w:t>IEA (2025). Energy and AI</w:t>
      </w:r>
      <w:r>
        <w:t>, pp. 93-96.</w:t>
      </w:r>
      <w:r w:rsidRPr="00DE3D8F">
        <w:t xml:space="preserve"> Available at: </w:t>
      </w:r>
      <w:hyperlink r:id="rId183" w:history="1">
        <w:r w:rsidRPr="0048051B">
          <w:rPr>
            <w:rStyle w:val="Hyperlink"/>
          </w:rPr>
          <w:t>https://www.iea.org/reports/energy-and-ai</w:t>
        </w:r>
      </w:hyperlink>
    </w:p>
  </w:endnote>
  <w:endnote w:id="163">
    <w:p w14:paraId="78AAE6DF" w14:textId="77777777" w:rsidR="00E61374" w:rsidRDefault="00E61374" w:rsidP="00E61374">
      <w:pPr>
        <w:pStyle w:val="EndnoteText"/>
      </w:pPr>
      <w:r w:rsidRPr="06CEF462">
        <w:rPr>
          <w:rStyle w:val="EndnoteReference"/>
        </w:rPr>
        <w:endnoteRef/>
      </w:r>
      <w:r>
        <w:t xml:space="preserve"> Technopolis Group et al. (2025), "Study: Cloud and AI".</w:t>
      </w:r>
    </w:p>
  </w:endnote>
  <w:endnote w:id="164">
    <w:p w14:paraId="4F67F983" w14:textId="77777777" w:rsidR="00E61374" w:rsidRPr="00A51E6F" w:rsidRDefault="00E61374" w:rsidP="00E61374">
      <w:pPr>
        <w:pStyle w:val="EndnoteText"/>
        <w:rPr>
          <w:lang w:val="en-US"/>
        </w:rPr>
      </w:pPr>
      <w:r>
        <w:rPr>
          <w:rStyle w:val="EndnoteReference"/>
        </w:rPr>
        <w:endnoteRef/>
      </w:r>
      <w:r w:rsidRPr="00A51E6F">
        <w:rPr>
          <w:lang w:val="en-US"/>
        </w:rPr>
        <w:t xml:space="preserve"> </w:t>
      </w:r>
      <w:hyperlink r:id="rId184" w:history="1">
        <w:r w:rsidRPr="00A51E6F">
          <w:rPr>
            <w:rStyle w:val="Hyperlink"/>
            <w:lang w:val="en-US"/>
          </w:rPr>
          <w:t>European Commission</w:t>
        </w:r>
      </w:hyperlink>
    </w:p>
  </w:endnote>
  <w:endnote w:id="165">
    <w:p w14:paraId="01722B37" w14:textId="77777777" w:rsidR="00E61374" w:rsidRPr="00075A26" w:rsidRDefault="00E61374" w:rsidP="00E61374">
      <w:pPr>
        <w:pStyle w:val="EndnoteText"/>
      </w:pPr>
      <w:r w:rsidRPr="00075A26">
        <w:rPr>
          <w:rStyle w:val="EndnoteReference"/>
        </w:rPr>
        <w:endnoteRef/>
      </w:r>
      <w:r w:rsidRPr="00075A26">
        <w:t xml:space="preserve"> ACTON, M., BOOTH, J. and PACI, D., 2025 Best Practice Guidelines for the EU Code of Conduct on Data Centre Energy Efficiency, Publications Office of the European Union, Luxembourg, 2025, https://data.europa.eu/doi/10.2760/9449356, JRC141521.</w:t>
      </w:r>
    </w:p>
  </w:endnote>
  <w:endnote w:id="166">
    <w:p w14:paraId="0B1B6A9B" w14:textId="77777777" w:rsidR="00E61374" w:rsidRDefault="00E61374" w:rsidP="00E61374">
      <w:pPr>
        <w:pStyle w:val="EndnoteText"/>
      </w:pPr>
      <w:r w:rsidRPr="6AADD0FA">
        <w:rPr>
          <w:rStyle w:val="EndnoteReference"/>
        </w:rPr>
        <w:endnoteRef/>
      </w:r>
      <w:r>
        <w:t xml:space="preserve"> </w:t>
      </w:r>
      <w:r w:rsidRPr="30AAF58D">
        <w:t>Technopolis Group et al. (2025), "Study: Cloud and AI".</w:t>
      </w:r>
    </w:p>
  </w:endnote>
  <w:endnote w:id="167">
    <w:p w14:paraId="35D57568" w14:textId="77777777" w:rsidR="00E61374" w:rsidRPr="00075A26" w:rsidRDefault="00E61374" w:rsidP="00E61374">
      <w:pPr>
        <w:pStyle w:val="EndnoteText"/>
      </w:pPr>
      <w:r w:rsidRPr="00075A26">
        <w:rPr>
          <w:rStyle w:val="EndnoteReference"/>
        </w:rPr>
        <w:endnoteRef/>
      </w:r>
      <w:r w:rsidRPr="00075A26">
        <w:t xml:space="preserve"> Blind, K. et al. (2021). The impact of Open Source Software and Hardware on technological independence, competitiveness and innovation in the EU economy. European Commission. Available at: </w:t>
      </w:r>
      <w:hyperlink r:id="rId185" w:history="1">
        <w:r w:rsidRPr="00075A26">
          <w:rPr>
            <w:rStyle w:val="Hyperlink"/>
          </w:rPr>
          <w:t>Study about the impact of open source software and hardware on technological independence, competitiveness and innovation in the EU economy</w:t>
        </w:r>
      </w:hyperlink>
    </w:p>
  </w:endnote>
  <w:endnote w:id="168">
    <w:p w14:paraId="2B9FA812" w14:textId="77777777" w:rsidR="00E61374" w:rsidRPr="005B6512" w:rsidRDefault="00E61374" w:rsidP="00E61374">
      <w:pPr>
        <w:pStyle w:val="EndnoteText"/>
      </w:pPr>
      <w:r>
        <w:rPr>
          <w:rStyle w:val="EndnoteReference"/>
        </w:rPr>
        <w:endnoteRef/>
      </w:r>
      <w:r w:rsidRPr="005B6512">
        <w:t xml:space="preserve"> </w:t>
      </w:r>
      <w:r>
        <w:t xml:space="preserve">See </w:t>
      </w:r>
      <w:hyperlink r:id="rId186" w:history="1">
        <w:r w:rsidRPr="00E6695C">
          <w:rPr>
            <w:rStyle w:val="Hyperlink"/>
          </w:rPr>
          <w:t>Special report 12/2025 - The EU’s strategy for microchips</w:t>
        </w:r>
      </w:hyperlink>
      <w:r w:rsidRPr="005B6512">
        <w:t xml:space="preserve"> ; </w:t>
      </w:r>
      <w:hyperlink r:id="rId187" w:history="1">
        <w:r w:rsidRPr="00961E57">
          <w:rPr>
            <w:rStyle w:val="Hyperlink"/>
          </w:rPr>
          <w:t>Competition in artificial intelligence infrastructure (EN)</w:t>
        </w:r>
      </w:hyperlink>
      <w:r w:rsidRPr="005B6512">
        <w:t xml:space="preserve"> a</w:t>
      </w:r>
      <w:r>
        <w:t>n</w:t>
      </w:r>
      <w:r w:rsidRPr="005B6512">
        <w:t xml:space="preserve">d </w:t>
      </w:r>
      <w:hyperlink r:id="rId188" w:history="1">
        <w:r w:rsidRPr="00F86449">
          <w:rPr>
            <w:rStyle w:val="Hyperlink"/>
          </w:rPr>
          <w:t>Report_Emerging-Resilience-in-the-Semiconductor-Supply-Chain.pdf</w:t>
        </w:r>
      </w:hyperlink>
    </w:p>
  </w:endnote>
  <w:endnote w:id="169">
    <w:p w14:paraId="26FF8E76" w14:textId="77777777" w:rsidR="00E61374" w:rsidRPr="005B6512" w:rsidRDefault="00E61374" w:rsidP="00E61374">
      <w:pPr>
        <w:pStyle w:val="EndnoteText"/>
      </w:pPr>
      <w:r>
        <w:rPr>
          <w:rStyle w:val="EndnoteReference"/>
        </w:rPr>
        <w:endnoteRef/>
      </w:r>
      <w:r w:rsidRPr="005B6512">
        <w:t xml:space="preserve"> </w:t>
      </w:r>
      <w:r w:rsidRPr="7C03E0A5">
        <w:t>Technopolis Group et al. (2025), "Study: Cloud and AI".</w:t>
      </w:r>
    </w:p>
  </w:endnote>
  <w:endnote w:id="170">
    <w:p w14:paraId="35090921" w14:textId="77777777" w:rsidR="00E61374" w:rsidRPr="005B6512" w:rsidRDefault="00E61374" w:rsidP="00E61374">
      <w:pPr>
        <w:pStyle w:val="EndnoteText"/>
      </w:pPr>
      <w:r>
        <w:rPr>
          <w:rStyle w:val="EndnoteReference"/>
        </w:rPr>
        <w:endnoteRef/>
      </w:r>
      <w:r w:rsidRPr="005B6512">
        <w:t xml:space="preserve"> </w:t>
      </w:r>
      <w:r>
        <w:t xml:space="preserve">As mentioned in the Copenhagen Economics Study (Available </w:t>
      </w:r>
      <w:hyperlink r:id="rId189" w:history="1">
        <w:r w:rsidRPr="006F1653">
          <w:rPr>
            <w:rStyle w:val="Hyperlink"/>
          </w:rPr>
          <w:t>here</w:t>
        </w:r>
      </w:hyperlink>
      <w:r>
        <w:t>), t</w:t>
      </w:r>
      <w:r w:rsidRPr="00CF4FAF">
        <w:t xml:space="preserve">he data centre sector </w:t>
      </w:r>
      <w:r>
        <w:t>can</w:t>
      </w:r>
      <w:r w:rsidRPr="00CF4FAF">
        <w:t xml:space="preserve"> contribute to increasing FDI by fostering clusters along parts of the digital infrastructure value chain </w:t>
      </w:r>
      <w:r>
        <w:t>which can</w:t>
      </w:r>
      <w:r w:rsidRPr="00CF4FAF">
        <w:t>, in turn, attract other businesses</w:t>
      </w:r>
      <w:r>
        <w:t>, e.g.</w:t>
      </w:r>
      <w:r w:rsidRPr="00CF4FAF">
        <w:t xml:space="preserve"> suppliers </w:t>
      </w:r>
      <w:r>
        <w:t>or</w:t>
      </w:r>
      <w:r w:rsidRPr="00CF4FAF">
        <w:t xml:space="preserve"> technology firms</w:t>
      </w:r>
      <w:r>
        <w:t xml:space="preserve"> benefitting</w:t>
      </w:r>
      <w:r w:rsidRPr="00CF4FAF">
        <w:t xml:space="preserve"> from proximity to </w:t>
      </w:r>
      <w:r>
        <w:t>the facilities</w:t>
      </w:r>
      <w:r w:rsidRPr="00CF4FAF">
        <w:t>.</w:t>
      </w:r>
      <w:r>
        <w:t xml:space="preserve"> Other factors contributing to the selection of data centre locations are also presented here</w:t>
      </w:r>
      <w:r w:rsidRPr="001269FB">
        <w:t xml:space="preserve">: </w:t>
      </w:r>
      <w:hyperlink r:id="rId190" w:history="1">
        <w:r w:rsidRPr="001269FB">
          <w:rPr>
            <w:rStyle w:val="Hyperlink"/>
          </w:rPr>
          <w:t>2025-Data-Center-Site-Selection-Dynamic-Brief.pdf</w:t>
        </w:r>
      </w:hyperlink>
    </w:p>
  </w:endnote>
  <w:endnote w:id="171">
    <w:p w14:paraId="36AFFCAC" w14:textId="77777777" w:rsidR="00E61374" w:rsidRPr="00A92A5F" w:rsidRDefault="00E61374" w:rsidP="00E61374">
      <w:pPr>
        <w:pStyle w:val="EndnoteText"/>
      </w:pPr>
      <w:r>
        <w:rPr>
          <w:rStyle w:val="EndnoteReference"/>
        </w:rPr>
        <w:endnoteRef/>
      </w:r>
      <w:r>
        <w:t xml:space="preserve"> The EU</w:t>
      </w:r>
      <w:r w:rsidRPr="00B732F9">
        <w:t xml:space="preserve"> attracted the most FDI projects among world’s regions according to figures from </w:t>
      </w:r>
      <w:r w:rsidRPr="00A92A5F">
        <w:t>fDi</w:t>
      </w:r>
      <w:r w:rsidRPr="00B732F9">
        <w:t> Markets.</w:t>
      </w:r>
      <w:r w:rsidRPr="00026F8C">
        <w:rPr>
          <w:rFonts w:ascii="Georgia" w:hAnsi="Georgia"/>
          <w:color w:val="000000"/>
          <w:sz w:val="27"/>
          <w:szCs w:val="27"/>
          <w:shd w:val="clear" w:color="auto" w:fill="FFFFFF"/>
        </w:rPr>
        <w:t xml:space="preserve"> </w:t>
      </w:r>
      <w:r w:rsidRPr="00026F8C">
        <w:t xml:space="preserve">Data centre investors announced </w:t>
      </w:r>
      <w:r>
        <w:t>several mega</w:t>
      </w:r>
      <w:r w:rsidRPr="00026F8C">
        <w:t xml:space="preserve"> projects</w:t>
      </w:r>
      <w:r>
        <w:t xml:space="preserve">, i.e. with over </w:t>
      </w:r>
      <w:r w:rsidRPr="00026F8C">
        <w:t xml:space="preserve">$1bn in committed </w:t>
      </w:r>
      <w:r>
        <w:t>CapEx</w:t>
      </w:r>
      <w:r w:rsidRPr="00026F8C">
        <w:t xml:space="preserve"> across Europe</w:t>
      </w:r>
      <w:r>
        <w:t xml:space="preserve"> and </w:t>
      </w:r>
      <w:r w:rsidRPr="00026F8C">
        <w:t xml:space="preserve"> FDI worth more than $69bn in 2024. </w:t>
      </w:r>
      <w:r>
        <w:t xml:space="preserve"> Figures available here: </w:t>
      </w:r>
      <w:hyperlink r:id="rId191" w:history="1">
        <w:r w:rsidRPr="00E058EB">
          <w:rPr>
            <w:rStyle w:val="Hyperlink"/>
          </w:rPr>
          <w:t>fDi’s European Cities and Regions of the Future 2025</w:t>
        </w:r>
      </w:hyperlink>
    </w:p>
  </w:endnote>
  <w:endnote w:id="172">
    <w:p w14:paraId="7A49A766" w14:textId="77777777" w:rsidR="005E2006" w:rsidRDefault="005E2006" w:rsidP="005E2006">
      <w:pPr>
        <w:pStyle w:val="EndnoteText"/>
      </w:pPr>
      <w:r>
        <w:rPr>
          <w:rStyle w:val="EndnoteReference"/>
        </w:rPr>
        <w:endnoteRef/>
      </w:r>
      <w:r>
        <w:t xml:space="preserve"> </w:t>
      </w:r>
      <w:r w:rsidRPr="003F17A4">
        <w:rPr>
          <w:lang w:val="en-GB"/>
        </w:rPr>
        <w:t>OECD (2025), “Competition in the provision of cloud computing services”, </w:t>
      </w:r>
      <w:r w:rsidRPr="003F17A4">
        <w:rPr>
          <w:i/>
          <w:iCs/>
          <w:lang w:val="en-GB"/>
        </w:rPr>
        <w:t>OECD Roundtables on Competition Policy Papers</w:t>
      </w:r>
      <w:r w:rsidRPr="003F17A4">
        <w:rPr>
          <w:lang w:val="en-GB"/>
        </w:rPr>
        <w:t>, No. 323, OECD Publishing, Paris, </w:t>
      </w:r>
      <w:hyperlink r:id="rId192" w:history="1">
        <w:r w:rsidRPr="003F17A4">
          <w:rPr>
            <w:rStyle w:val="Hyperlink"/>
            <w:lang w:val="en-GB"/>
          </w:rPr>
          <w:t>https://doi.org/10.1787/595859c5-en</w:t>
        </w:r>
      </w:hyperlink>
      <w:r w:rsidRPr="003F17A4">
        <w:rPr>
          <w:lang w:val="en-GB"/>
        </w:rPr>
        <w:t>.</w:t>
      </w:r>
      <w:r>
        <w:rPr>
          <w:lang w:val="en-GB"/>
        </w:rPr>
        <w:t xml:space="preserve"> </w:t>
      </w:r>
    </w:p>
  </w:endnote>
  <w:endnote w:id="173">
    <w:p w14:paraId="5DE4BCF8" w14:textId="0F17FCF1" w:rsidR="0080235D" w:rsidRDefault="0080235D">
      <w:pPr>
        <w:pStyle w:val="EndnoteText"/>
      </w:pPr>
      <w:r>
        <w:rPr>
          <w:rStyle w:val="EndnoteReference"/>
        </w:rPr>
        <w:endnoteRef/>
      </w:r>
      <w:r>
        <w:t xml:space="preserve"> </w:t>
      </w:r>
      <w:r w:rsidR="00BD1A3A" w:rsidRPr="00BD1A3A">
        <w:rPr>
          <w:lang w:val="en-GB"/>
        </w:rPr>
        <w:t>British International Investment</w:t>
      </w:r>
      <w:r w:rsidR="00BD1A3A">
        <w:rPr>
          <w:lang w:val="en-GB"/>
        </w:rPr>
        <w:t xml:space="preserve"> insight</w:t>
      </w:r>
      <w:r w:rsidR="003D331A">
        <w:t xml:space="preserve">, </w:t>
      </w:r>
      <w:hyperlink r:id="rId193" w:history="1">
        <w:r w:rsidRPr="0080235D">
          <w:rPr>
            <w:rStyle w:val="Hyperlink"/>
            <w:lang w:val="en-GB"/>
          </w:rPr>
          <w:t>How-does-access-to-a-local-data-centre-affect-business-productivity.pdf</w:t>
        </w:r>
      </w:hyperlink>
    </w:p>
  </w:endnote>
  <w:endnote w:id="174">
    <w:p w14:paraId="473E492D" w14:textId="03710410" w:rsidR="000B5CDE" w:rsidRDefault="000B5CDE">
      <w:pPr>
        <w:pStyle w:val="EndnoteText"/>
      </w:pPr>
      <w:r>
        <w:rPr>
          <w:rStyle w:val="EndnoteReference"/>
        </w:rPr>
        <w:endnoteRef/>
      </w:r>
      <w:r>
        <w:t xml:space="preserve"> </w:t>
      </w:r>
      <w:hyperlink r:id="rId194" w:history="1">
        <w:r w:rsidR="004B58A1" w:rsidRPr="004B58A1">
          <w:rPr>
            <w:rStyle w:val="Hyperlink"/>
            <w:lang w:val="en-GB"/>
          </w:rPr>
          <w:t>AWS services recover after daylong outage hits major sites</w:t>
        </w:r>
      </w:hyperlink>
    </w:p>
  </w:endnote>
  <w:endnote w:id="175">
    <w:p w14:paraId="3107577D" w14:textId="75292294" w:rsidR="002C27AE" w:rsidRDefault="002C27AE">
      <w:pPr>
        <w:pStyle w:val="EndnoteText"/>
      </w:pPr>
      <w:r>
        <w:rPr>
          <w:rStyle w:val="EndnoteReference"/>
        </w:rPr>
        <w:endnoteRef/>
      </w:r>
      <w:r>
        <w:t xml:space="preserve"> </w:t>
      </w:r>
      <w:hyperlink r:id="rId195" w:history="1">
        <w:r w:rsidRPr="002C27AE">
          <w:rPr>
            <w:rStyle w:val="Hyperlink"/>
            <w:lang w:val="en-GB"/>
          </w:rPr>
          <w:t>WEF_Global_Cybersecurity_Outlook_2025.pdf</w:t>
        </w:r>
      </w:hyperlink>
      <w:r>
        <w:t xml:space="preserve"> and </w:t>
      </w:r>
      <w:hyperlink r:id="rId196" w:history="1">
        <w:r w:rsidR="001D4A2C" w:rsidRPr="001D4A2C">
          <w:rPr>
            <w:rStyle w:val="Hyperlink"/>
            <w:lang w:val="en-GB"/>
          </w:rPr>
          <w:t>CrowdStrike outage: We finally know what caused it - and how much it cost | CNN Business</w:t>
        </w:r>
      </w:hyperlink>
    </w:p>
  </w:endnote>
  <w:endnote w:id="176">
    <w:p w14:paraId="028A679D" w14:textId="41556869" w:rsidR="00B56069" w:rsidRDefault="00B56069">
      <w:pPr>
        <w:pStyle w:val="EndnoteText"/>
      </w:pPr>
      <w:r>
        <w:rPr>
          <w:rStyle w:val="EndnoteReference"/>
        </w:rPr>
        <w:endnoteRef/>
      </w:r>
      <w:r>
        <w:t xml:space="preserve"> </w:t>
      </w:r>
      <w:hyperlink r:id="rId197" w:history="1">
        <w:r w:rsidRPr="0067442E">
          <w:rPr>
            <w:rStyle w:val="Hyperlink"/>
            <w:lang w:val="en-GB"/>
          </w:rPr>
          <w:t>Accelerating Europe’s AI adoption: The role of sovereign AI</w:t>
        </w:r>
      </w:hyperlink>
    </w:p>
  </w:endnote>
  <w:endnote w:id="177">
    <w:p w14:paraId="1E7D0691" w14:textId="4CBE47A8" w:rsidR="00703371" w:rsidRDefault="00703371">
      <w:pPr>
        <w:pStyle w:val="EndnoteText"/>
      </w:pPr>
      <w:r>
        <w:rPr>
          <w:rStyle w:val="EndnoteReference"/>
        </w:rPr>
        <w:endnoteRef/>
      </w:r>
      <w:r>
        <w:t xml:space="preserve"> </w:t>
      </w:r>
      <w:hyperlink r:id="rId198" w:history="1">
        <w:r w:rsidRPr="00510B96">
          <w:rPr>
            <w:rStyle w:val="Hyperlink"/>
          </w:rPr>
          <w:t>Right Scaling for Right Pricing: A Case Study on Total Cost of Ownership Measurement for Cloud Migration | Springer Nature Link</w:t>
        </w:r>
      </w:hyperlink>
    </w:p>
  </w:endnote>
  <w:endnote w:id="178">
    <w:p w14:paraId="14AD02BE" w14:textId="77777777" w:rsidR="00E61374" w:rsidRPr="00075A26" w:rsidRDefault="00E61374" w:rsidP="00E61374">
      <w:pPr>
        <w:pStyle w:val="EndnoteText"/>
      </w:pPr>
      <w:r w:rsidRPr="00075A26">
        <w:rPr>
          <w:rStyle w:val="EndnoteReference"/>
        </w:rPr>
        <w:endnoteRef/>
      </w:r>
      <w:r w:rsidRPr="00075A26">
        <w:rPr>
          <w:rStyle w:val="Hyperlink"/>
        </w:rPr>
        <w:t xml:space="preserve"> </w:t>
      </w:r>
      <w:hyperlink r:id="rId199" w:history="1">
        <w:r w:rsidRPr="00075A26">
          <w:rPr>
            <w:rStyle w:val="Hyperlink"/>
          </w:rPr>
          <w:t>Artificial intelligence: Europe needs to start dreaming again</w:t>
        </w:r>
      </w:hyperlink>
      <w:r w:rsidRPr="00075A26" w:rsidDel="001C0AEA">
        <w:rPr>
          <w:color w:val="0000FF" w:themeColor="hyperlink"/>
          <w:u w:val="single"/>
        </w:rPr>
        <w:t xml:space="preserve"> </w:t>
      </w:r>
    </w:p>
  </w:endnote>
  <w:endnote w:id="179">
    <w:p w14:paraId="4C4EE932" w14:textId="77777777" w:rsidR="00E61374" w:rsidRPr="00075A26" w:rsidRDefault="00E61374" w:rsidP="00E61374">
      <w:pPr>
        <w:pStyle w:val="EndnoteText"/>
      </w:pPr>
      <w:r w:rsidRPr="00075A26">
        <w:rPr>
          <w:rStyle w:val="EndnoteReference"/>
        </w:rPr>
        <w:endnoteRef/>
      </w:r>
      <w:r w:rsidRPr="00075A26">
        <w:t xml:space="preserve"> See </w:t>
      </w:r>
      <w:hyperlink r:id="rId200" w:history="1">
        <w:r w:rsidRPr="00075A26">
          <w:rPr>
            <w:rStyle w:val="Hyperlink"/>
          </w:rPr>
          <w:t>Digitalisation and Employment</w:t>
        </w:r>
      </w:hyperlink>
      <w:r w:rsidRPr="00075A26">
        <w:t>, International Labour Organization, 2022</w:t>
      </w:r>
    </w:p>
  </w:endnote>
  <w:endnote w:id="180">
    <w:p w14:paraId="0A550985" w14:textId="77777777" w:rsidR="00E61374" w:rsidRPr="00751713" w:rsidRDefault="00E61374" w:rsidP="00E61374">
      <w:pPr>
        <w:pStyle w:val="EndnoteText"/>
      </w:pPr>
      <w:r>
        <w:rPr>
          <w:rStyle w:val="EndnoteReference"/>
        </w:rPr>
        <w:endnoteRef/>
      </w:r>
      <w:r>
        <w:t xml:space="preserve"> Findings of an unpublished Research briefing by FGS Research made available to the Commission in November 2025 (survey of </w:t>
      </w:r>
      <w:r w:rsidRPr="00CA2DF6">
        <w:t xml:space="preserve">3,022 adults across 6 markets </w:t>
      </w:r>
      <w:r>
        <w:t xml:space="preserve">- </w:t>
      </w:r>
      <w:r w:rsidRPr="00CA2DF6">
        <w:t>UK, US, Japan, France, Germany, Italy</w:t>
      </w:r>
      <w:r>
        <w:t xml:space="preserve"> – with a sub-set of questions specific to France, Germany and Italy only) indicates that (1) 71% of surveyed populations think that “</w:t>
      </w:r>
      <w:r w:rsidRPr="00D7652F">
        <w:t>Technological sovereignty helps create and protect local jobs</w:t>
      </w:r>
      <w:r>
        <w:t xml:space="preserve">” as opposed to 22% who insisted that </w:t>
      </w:r>
      <w:r w:rsidRPr="00D7652F">
        <w:t>Technological sovereignty harms and threatens local jobs</w:t>
      </w:r>
      <w:r>
        <w:t>.</w:t>
      </w:r>
    </w:p>
  </w:endnote>
  <w:endnote w:id="181">
    <w:p w14:paraId="7B5AEB6F" w14:textId="77777777" w:rsidR="00E61374" w:rsidRPr="00075A26" w:rsidRDefault="00E61374" w:rsidP="00E61374">
      <w:pPr>
        <w:pStyle w:val="EndnoteText"/>
      </w:pPr>
      <w:r w:rsidRPr="00075A26">
        <w:rPr>
          <w:rStyle w:val="EndnoteReference"/>
        </w:rPr>
        <w:endnoteRef/>
      </w:r>
      <w:r w:rsidRPr="00075A26">
        <w:t xml:space="preserve"> See </w:t>
      </w:r>
      <w:hyperlink r:id="rId201" w:history="1">
        <w:r w:rsidRPr="00075A26">
          <w:rPr>
            <w:rStyle w:val="Hyperlink"/>
          </w:rPr>
          <w:t>Infrastructure or Intrusion? Europe’s Conflicted Data Center Expansion</w:t>
        </w:r>
      </w:hyperlink>
    </w:p>
  </w:endnote>
  <w:endnote w:id="182">
    <w:p w14:paraId="6A070366" w14:textId="77777777" w:rsidR="00E61374" w:rsidRPr="00075A26" w:rsidRDefault="00E61374" w:rsidP="00E61374">
      <w:pPr>
        <w:pStyle w:val="EndnoteText"/>
      </w:pPr>
      <w:r w:rsidRPr="00075A26">
        <w:rPr>
          <w:rStyle w:val="EndnoteReference"/>
        </w:rPr>
        <w:endnoteRef/>
      </w:r>
      <w:r w:rsidRPr="00075A26">
        <w:t xml:space="preserve"> See Eurostat (2024, 2025), </w:t>
      </w:r>
      <w:hyperlink r:id="rId202" w:history="1">
        <w:r w:rsidRPr="00075A26">
          <w:rPr>
            <w:rStyle w:val="Hyperlink"/>
          </w:rPr>
          <w:t>E-government activities of individuals via websites</w:t>
        </w:r>
      </w:hyperlink>
      <w:r w:rsidRPr="00075A26">
        <w:t xml:space="preserve">, Individuals - </w:t>
      </w:r>
      <w:hyperlink r:id="rId203" w:history="1">
        <w:r w:rsidRPr="00075A26">
          <w:rPr>
            <w:rStyle w:val="Hyperlink"/>
          </w:rPr>
          <w:t>frequency of internet use</w:t>
        </w:r>
      </w:hyperlink>
      <w:r w:rsidRPr="00075A26">
        <w:t xml:space="preserve"> and </w:t>
      </w:r>
      <w:hyperlink r:id="rId204" w:history="1">
        <w:r w:rsidRPr="00075A26">
          <w:rPr>
            <w:rStyle w:val="Hyperlink"/>
          </w:rPr>
          <w:t>Meetings via the internet by size class of enterprise</w:t>
        </w:r>
      </w:hyperlink>
      <w:r w:rsidRPr="00075A26">
        <w:t xml:space="preserve">  </w:t>
      </w:r>
    </w:p>
  </w:endnote>
  <w:endnote w:id="183">
    <w:p w14:paraId="2A1A467C" w14:textId="77777777" w:rsidR="00E61374" w:rsidRPr="00075A26" w:rsidRDefault="00E61374" w:rsidP="00E61374">
      <w:pPr>
        <w:pStyle w:val="EndnoteText"/>
      </w:pPr>
      <w:r w:rsidRPr="00075A26">
        <w:rPr>
          <w:rStyle w:val="EndnoteReference"/>
        </w:rPr>
        <w:endnoteRef/>
      </w:r>
      <w:r w:rsidRPr="00075A26">
        <w:t xml:space="preserve"> </w:t>
      </w:r>
      <w:hyperlink r:id="rId205" w:history="1">
        <w:r w:rsidRPr="00075A26">
          <w:rPr>
            <w:rStyle w:val="Hyperlink"/>
          </w:rPr>
          <w:t>OpenAI reports that Chatgpt search alone has 120 milion average monthly users in the EU</w:t>
        </w:r>
      </w:hyperlink>
      <w:r w:rsidRPr="00075A26">
        <w:t xml:space="preserve">. </w:t>
      </w:r>
    </w:p>
  </w:endnote>
  <w:endnote w:id="184">
    <w:p w14:paraId="4D0EC223" w14:textId="77777777" w:rsidR="00E61374" w:rsidRPr="00357E8B" w:rsidRDefault="00E61374" w:rsidP="00E61374">
      <w:pPr>
        <w:pStyle w:val="EndnoteText"/>
      </w:pPr>
      <w:r>
        <w:rPr>
          <w:rStyle w:val="EndnoteReference"/>
        </w:rPr>
        <w:endnoteRef/>
      </w:r>
      <w:r>
        <w:t xml:space="preserve"> Ibid (1) on average, 65% of citizens in France, Germany and Italy insist that “</w:t>
      </w:r>
      <w:r w:rsidRPr="00E80622">
        <w:t>It is worth investing more to keep technologies like satellites, cloud services, and AI systems under national control, even if that means costs are higher</w:t>
      </w:r>
      <w:r>
        <w:t>”, as opposed to the average of 28% thinking that “</w:t>
      </w:r>
      <w:r w:rsidRPr="005D21A8">
        <w:t>It is more important to keep costs low, even if that means relying on foreign companies for things like satellites, cloud services, and AI systems</w:t>
      </w:r>
      <w:r>
        <w:t>”. (2) On average, 54% of citizens think “</w:t>
      </w:r>
      <w:r w:rsidRPr="008A3832">
        <w:t>Governments should lead and invest heavily in technology development to secure sovereignty</w:t>
      </w:r>
      <w:r>
        <w:t>”, whereas 36% that “</w:t>
      </w:r>
      <w:r w:rsidRPr="00A320C1">
        <w:t>The private sector should drive technology innovation with minimal government intervention</w:t>
      </w:r>
      <w:r>
        <w:t>”. (3) But only 39% think “</w:t>
      </w:r>
      <w:r w:rsidRPr="00DA5D1F">
        <w:t>It is worth spending more on developing our own technologies, even if that means less funding for other areas like healthcar</w:t>
      </w:r>
      <w:r>
        <w:t>e”, while 55% argue that “</w:t>
      </w:r>
      <w:r w:rsidRPr="00751713">
        <w:t xml:space="preserve">Public money should prioritise essential services like healthcare and </w:t>
      </w:r>
      <w:r w:rsidRPr="00357E8B">
        <w:t>education, even if that means relying on foreign technology”.</w:t>
      </w:r>
    </w:p>
  </w:endnote>
  <w:endnote w:id="185">
    <w:p w14:paraId="4A3A904E" w14:textId="77777777" w:rsidR="00E61374" w:rsidRPr="00357E8B" w:rsidRDefault="00E61374" w:rsidP="00E61374">
      <w:pPr>
        <w:pStyle w:val="EndnoteText"/>
      </w:pPr>
      <w:r w:rsidRPr="00357E8B">
        <w:rPr>
          <w:rStyle w:val="EndnoteReference"/>
        </w:rPr>
        <w:endnoteRef/>
      </w:r>
      <w:r w:rsidRPr="00357E8B">
        <w:t xml:space="preserve"> This is in line with past expectations and figures. EEA’s indicator shows that the GHG intensity of power generation in the EU has been falling for decades and was about 40% lower in 2024 than ten years before. See here: </w:t>
      </w:r>
      <w:hyperlink r:id="rId206" w:history="1">
        <w:r w:rsidRPr="00357E8B">
          <w:rPr>
            <w:rStyle w:val="Hyperlink"/>
          </w:rPr>
          <w:t>Greenhouse gas emission intensity of electricity generation in Europe | Indicators | European Environment Agency (EEA)</w:t>
        </w:r>
      </w:hyperlink>
    </w:p>
  </w:endnote>
  <w:endnote w:id="186">
    <w:p w14:paraId="77A8DC8A" w14:textId="2F579D08" w:rsidR="008975FC" w:rsidRPr="00EC1B80" w:rsidRDefault="008975FC">
      <w:pPr>
        <w:pStyle w:val="EndnoteText"/>
      </w:pPr>
      <w:r>
        <w:rPr>
          <w:rStyle w:val="EndnoteReference"/>
        </w:rPr>
        <w:endnoteRef/>
      </w:r>
      <w:r w:rsidRPr="008975FC">
        <w:t xml:space="preserve"> The IEA 4E EDNA p</w:t>
      </w:r>
      <w:r w:rsidRPr="00A107C0">
        <w:t xml:space="preserve">olicy work </w:t>
      </w:r>
      <w:r>
        <w:t xml:space="preserve">underlines that reducing </w:t>
      </w:r>
      <w:r w:rsidR="00F34628">
        <w:t xml:space="preserve">infrastructure use (PUE) can be achieved </w:t>
      </w:r>
      <w:r w:rsidR="00B32AE9">
        <w:t>by</w:t>
      </w:r>
      <w:r w:rsidR="00F34628">
        <w:t xml:space="preserve"> </w:t>
      </w:r>
      <w:r w:rsidR="00B32AE9" w:rsidRPr="00B32AE9">
        <w:rPr>
          <w:lang w:val="en-GB"/>
        </w:rPr>
        <w:t xml:space="preserve">smaller data centres </w:t>
      </w:r>
      <w:r w:rsidR="00B32AE9">
        <w:rPr>
          <w:lang w:val="en-GB"/>
        </w:rPr>
        <w:t>through</w:t>
      </w:r>
      <w:r w:rsidR="00B32AE9" w:rsidRPr="00B32AE9">
        <w:rPr>
          <w:lang w:val="en-GB"/>
        </w:rPr>
        <w:t xml:space="preserve"> grants or technical support, separate from </w:t>
      </w:r>
      <w:r w:rsidR="00735F05" w:rsidRPr="00735F05">
        <w:rPr>
          <w:lang w:val="en-GB"/>
        </w:rPr>
        <w:t>Minimum Energy Performance Standard</w:t>
      </w:r>
      <w:r w:rsidR="00735F05">
        <w:rPr>
          <w:lang w:val="en-GB"/>
        </w:rPr>
        <w:t xml:space="preserve">s </w:t>
      </w:r>
      <w:r w:rsidR="00B32AE9" w:rsidRPr="00B32AE9">
        <w:rPr>
          <w:lang w:val="en-GB"/>
        </w:rPr>
        <w:t>or obligations which may be challenging to apply to smaller data centres</w:t>
      </w:r>
      <w:r w:rsidR="00735F05">
        <w:rPr>
          <w:lang w:val="en-GB"/>
        </w:rPr>
        <w:t xml:space="preserve">. </w:t>
      </w:r>
      <w:r w:rsidR="00735F05" w:rsidRPr="00A107C0">
        <w:t xml:space="preserve">Available here: </w:t>
      </w:r>
      <w:hyperlink r:id="rId207" w:history="1">
        <w:r w:rsidR="004E6B00" w:rsidRPr="004E6B00">
          <w:rPr>
            <w:rStyle w:val="Hyperlink"/>
            <w:lang w:val="en-GB"/>
          </w:rPr>
          <w:t>Policy development on energy efficiency of data centres draft final report v1.05</w:t>
        </w:r>
      </w:hyperlink>
      <w:r w:rsidR="00EC1B80" w:rsidRPr="00A107C0">
        <w:t xml:space="preserve">. </w:t>
      </w:r>
      <w:r w:rsidR="00EC1B80">
        <w:t>Smaller operators typically la</w:t>
      </w:r>
      <w:r w:rsidR="00737468">
        <w:t xml:space="preserve">g behind hyperscalers as they lack the capital and human resource </w:t>
      </w:r>
      <w:r w:rsidR="003D6643">
        <w:t>capacity</w:t>
      </w:r>
      <w:r w:rsidR="00737468">
        <w:t xml:space="preserve"> to invest in efficiency innovations</w:t>
      </w:r>
      <w:r w:rsidR="00955DBE">
        <w:t xml:space="preserve">, leading to structurally </w:t>
      </w:r>
      <w:r w:rsidR="00D02FF3">
        <w:t>higher PUEs</w:t>
      </w:r>
      <w:r w:rsidR="002445F8">
        <w:t xml:space="preserve">, and often depending on available technologies. </w:t>
      </w:r>
    </w:p>
  </w:endnote>
  <w:endnote w:id="187">
    <w:p w14:paraId="43BEE723" w14:textId="5009E22F" w:rsidR="00E61374" w:rsidRPr="00737468" w:rsidRDefault="00E61374" w:rsidP="00E61374">
      <w:pPr>
        <w:pStyle w:val="EndnoteText"/>
      </w:pPr>
      <w:r w:rsidRPr="00357E8B">
        <w:rPr>
          <w:rStyle w:val="EndnoteReference"/>
        </w:rPr>
        <w:endnoteRef/>
      </w:r>
      <w:r w:rsidRPr="00737468">
        <w:t xml:space="preserve"> </w:t>
      </w:r>
      <w:r w:rsidRPr="00737468">
        <w:rPr>
          <w:rStyle w:val="Hyperlink"/>
          <w:rFonts w:eastAsia="Segoe UI"/>
          <w:color w:val="0000EE"/>
        </w:rPr>
        <w:t>https://www.networkworld.com/article/972407/5-ways-to-boost-server-efficiency.html</w:t>
      </w:r>
    </w:p>
  </w:endnote>
  <w:endnote w:id="188">
    <w:p w14:paraId="3A1FA3B9" w14:textId="595D4FC8" w:rsidR="00943C0E" w:rsidRPr="00781825" w:rsidRDefault="00943C0E">
      <w:pPr>
        <w:pStyle w:val="EndnoteText"/>
      </w:pPr>
      <w:r>
        <w:rPr>
          <w:rStyle w:val="EndnoteReference"/>
        </w:rPr>
        <w:endnoteRef/>
      </w:r>
      <w:r>
        <w:t xml:space="preserve"> See also:</w:t>
      </w:r>
      <w:r w:rsidRPr="00943C0E">
        <w:rPr>
          <w:rFonts w:eastAsiaTheme="minorHAnsi"/>
          <w:sz w:val="24"/>
          <w:szCs w:val="24"/>
          <w:lang w:val="en-GB"/>
        </w:rPr>
        <w:t xml:space="preserve"> </w:t>
      </w:r>
      <w:hyperlink r:id="rId208" w:history="1">
        <w:r w:rsidR="00781825" w:rsidRPr="00A107C0">
          <w:rPr>
            <w:rStyle w:val="Hyperlink"/>
            <w:rFonts w:eastAsiaTheme="minorHAnsi"/>
            <w:lang w:val="en-GB"/>
          </w:rPr>
          <w:t>Al, data, and computing: shaping infrastructures for a decarbonised world - The Shift Project</w:t>
        </w:r>
      </w:hyperlink>
      <w:r w:rsidR="00781825" w:rsidRPr="00A107C0">
        <w:rPr>
          <w:rFonts w:eastAsiaTheme="minorHAnsi"/>
          <w:lang w:val="en-GB"/>
        </w:rPr>
        <w:t xml:space="preserve"> </w:t>
      </w:r>
      <w:hyperlink r:id="rId209" w:history="1">
        <w:r w:rsidRPr="00781825">
          <w:rPr>
            <w:rStyle w:val="Hyperlink"/>
            <w:lang w:val="en-GB"/>
          </w:rPr>
          <w:t>IL</w:t>
        </w:r>
      </w:hyperlink>
    </w:p>
  </w:endnote>
  <w:endnote w:id="189">
    <w:p w14:paraId="2732F8AD" w14:textId="77777777" w:rsidR="00775E60" w:rsidRDefault="00775E60" w:rsidP="00775E60">
      <w:pPr>
        <w:pStyle w:val="EndnoteText"/>
      </w:pPr>
      <w:r>
        <w:rPr>
          <w:rStyle w:val="EndnoteReference"/>
        </w:rPr>
        <w:endnoteRef/>
      </w:r>
      <w:r>
        <w:t xml:space="preserve"> </w:t>
      </w:r>
      <w:r w:rsidRPr="00B40D3E">
        <w:t>IEA (2025)</w:t>
      </w:r>
      <w:r>
        <w:t>.</w:t>
      </w:r>
      <w:r w:rsidRPr="00B40D3E">
        <w:t xml:space="preserve"> Overcoming energy constraints is key to delivering on Europe's data centre goals</w:t>
      </w:r>
      <w:r>
        <w:t xml:space="preserve">. Available at: </w:t>
      </w:r>
      <w:r w:rsidRPr="00B40D3E">
        <w:t xml:space="preserve"> </w:t>
      </w:r>
      <w:hyperlink r:id="rId210" w:history="1">
        <w:r w:rsidRPr="0048051B">
          <w:rPr>
            <w:rStyle w:val="Hyperlink"/>
          </w:rPr>
          <w:t>https://www.iea.org/commentaries/overcoming-energy-constraints-is-key-to-delivering-on-europe-s-data-centre-goals</w:t>
        </w:r>
      </w:hyperlink>
      <w:r>
        <w:t xml:space="preserve">  </w:t>
      </w:r>
    </w:p>
  </w:endnote>
  <w:endnote w:id="190">
    <w:p w14:paraId="00ADA6BA" w14:textId="77777777" w:rsidR="007476AB" w:rsidRPr="00FE09F0" w:rsidRDefault="007476AB" w:rsidP="007476AB">
      <w:pPr>
        <w:pStyle w:val="EndnoteText"/>
        <w:rPr>
          <w:lang w:val="en-GB"/>
        </w:rPr>
      </w:pPr>
      <w:r>
        <w:rPr>
          <w:rStyle w:val="EndnoteReference"/>
        </w:rPr>
        <w:endnoteRef/>
      </w:r>
      <w:r>
        <w:t xml:space="preserve"> </w:t>
      </w:r>
      <w:r w:rsidRPr="00DE3D8F">
        <w:t xml:space="preserve">IEA (2025). Energy and AI. Available at: </w:t>
      </w:r>
      <w:hyperlink r:id="rId211" w:history="1">
        <w:r w:rsidRPr="0048051B">
          <w:rPr>
            <w:rStyle w:val="Hyperlink"/>
          </w:rPr>
          <w:t>https://www.iea.org/reports/energy-and-ai</w:t>
        </w:r>
      </w:hyperlink>
      <w:r>
        <w:t xml:space="preserve"> </w:t>
      </w:r>
    </w:p>
  </w:endnote>
  <w:endnote w:id="191">
    <w:p w14:paraId="20E1D80F" w14:textId="77777777" w:rsidR="007476AB" w:rsidRDefault="007476AB" w:rsidP="007476AB">
      <w:pPr>
        <w:pStyle w:val="EndnoteText"/>
      </w:pPr>
      <w:r>
        <w:rPr>
          <w:rStyle w:val="EndnoteReference"/>
        </w:rPr>
        <w:endnoteRef/>
      </w:r>
      <w:r>
        <w:t xml:space="preserve"> </w:t>
      </w:r>
      <w:r w:rsidRPr="005E4711">
        <w:rPr>
          <w:szCs w:val="16"/>
        </w:rPr>
        <w:t xml:space="preserve">European Environment Agency (2024). Water abstraction by economic sector in the 27 EU Member States, 2000-2022. Available at: </w:t>
      </w:r>
      <w:hyperlink r:id="rId212" w:history="1">
        <w:r w:rsidRPr="005E4711">
          <w:rPr>
            <w:rStyle w:val="Hyperlink"/>
            <w:szCs w:val="16"/>
          </w:rPr>
          <w:t>https://www.eea.europa.eu/en/analysis/indicators/water-abstraction-by-source-and/water-abstraction-by-economic</w:t>
        </w:r>
      </w:hyperlink>
    </w:p>
  </w:endnote>
  <w:endnote w:id="192">
    <w:p w14:paraId="376C1411" w14:textId="7C4926BC" w:rsidR="006717C7" w:rsidRDefault="006717C7">
      <w:pPr>
        <w:pStyle w:val="EndnoteText"/>
      </w:pPr>
      <w:r>
        <w:rPr>
          <w:rStyle w:val="EndnoteReference"/>
        </w:rPr>
        <w:endnoteRef/>
      </w:r>
      <w:r>
        <w:t xml:space="preserve"> </w:t>
      </w:r>
      <w:hyperlink r:id="rId213" w:history="1">
        <w:r w:rsidRPr="006717C7">
          <w:rPr>
            <w:rStyle w:val="Hyperlink"/>
            <w:lang w:val="en-GB"/>
          </w:rPr>
          <w:t>Circular thinking for data centres - Arup</w:t>
        </w:r>
      </w:hyperlink>
    </w:p>
  </w:endnote>
  <w:endnote w:id="193">
    <w:p w14:paraId="57D2DC54" w14:textId="655FFFB7" w:rsidR="0010529E" w:rsidRDefault="0010529E">
      <w:pPr>
        <w:pStyle w:val="EndnoteText"/>
      </w:pPr>
      <w:r>
        <w:rPr>
          <w:rStyle w:val="EndnoteReference"/>
        </w:rPr>
        <w:endnoteRef/>
      </w:r>
      <w:r>
        <w:t xml:space="preserve"> </w:t>
      </w:r>
      <w:r w:rsidR="0042005F" w:rsidRPr="0042005F">
        <w:rPr>
          <w:lang w:val="en-GB"/>
        </w:rPr>
        <w:t xml:space="preserve">Alissa H., Nick T., Raniwala A. </w:t>
      </w:r>
      <w:r w:rsidR="0042005F" w:rsidRPr="0042005F">
        <w:rPr>
          <w:i/>
          <w:iCs/>
          <w:lang w:val="en-GB"/>
        </w:rPr>
        <w:t>et al.</w:t>
      </w:r>
      <w:r w:rsidR="0042005F" w:rsidRPr="0042005F">
        <w:rPr>
          <w:lang w:val="en-GB"/>
        </w:rPr>
        <w:t xml:space="preserve">, </w:t>
      </w:r>
      <w:r w:rsidR="0042005F" w:rsidRPr="0042005F">
        <w:rPr>
          <w:i/>
          <w:iCs/>
          <w:lang w:val="en-GB"/>
        </w:rPr>
        <w:t>Using life cycle assessment to drive innovation for sustainable cool clouds</w:t>
      </w:r>
      <w:r w:rsidR="0042005F" w:rsidRPr="0042005F">
        <w:rPr>
          <w:lang w:val="en-GB"/>
        </w:rPr>
        <w:t xml:space="preserve">, Nature, Vol. 641, 2025, pp. 331–338, </w:t>
      </w:r>
      <w:r w:rsidR="0042005F">
        <w:rPr>
          <w:lang w:val="en-GB"/>
        </w:rPr>
        <w:t xml:space="preserve">available at: </w:t>
      </w:r>
      <w:hyperlink r:id="rId214" w:history="1">
        <w:r w:rsidRPr="0010529E">
          <w:rPr>
            <w:rStyle w:val="Hyperlink"/>
            <w:lang w:val="en-GB"/>
          </w:rPr>
          <w:t>Using life cycle assessment to drive innovation for sustainable cool clouds | Nature</w:t>
        </w:r>
      </w:hyperlink>
    </w:p>
  </w:endnote>
  <w:endnote w:id="194">
    <w:p w14:paraId="512EBDFB" w14:textId="5147D795" w:rsidR="00EC5012" w:rsidRPr="00A107C0" w:rsidRDefault="00EC5012">
      <w:pPr>
        <w:pStyle w:val="EndnoteText"/>
        <w:rPr>
          <w:lang w:val="en-GB"/>
        </w:rPr>
      </w:pPr>
      <w:r>
        <w:rPr>
          <w:rStyle w:val="EndnoteReference"/>
        </w:rPr>
        <w:endnoteRef/>
      </w:r>
      <w:r>
        <w:t xml:space="preserve"> </w:t>
      </w:r>
      <w:r w:rsidRPr="00EC5012">
        <w:rPr>
          <w:lang w:val="en-GB"/>
        </w:rPr>
        <w:t xml:space="preserve">Schneider Electric. (2023). Quantifying Data Center Scope 3 GHG Emissions to </w:t>
      </w:r>
      <w:r>
        <w:rPr>
          <w:lang w:val="en-GB"/>
        </w:rPr>
        <w:t>Prioritize</w:t>
      </w:r>
      <w:r w:rsidRPr="00EC5012">
        <w:rPr>
          <w:lang w:val="en-GB"/>
        </w:rPr>
        <w:t xml:space="preserve"> </w:t>
      </w:r>
      <w:r>
        <w:rPr>
          <w:lang w:val="en-GB"/>
        </w:rPr>
        <w:t>Reduction</w:t>
      </w:r>
      <w:r w:rsidRPr="00EC5012">
        <w:rPr>
          <w:lang w:val="en-GB"/>
        </w:rPr>
        <w:t xml:space="preserve"> Efforts—White Paper 99. </w:t>
      </w:r>
      <w:hyperlink r:id="rId215" w:history="1">
        <w:r w:rsidRPr="00AD7B80">
          <w:rPr>
            <w:rStyle w:val="Hyperlink"/>
            <w:lang w:val="en-GB"/>
          </w:rPr>
          <w:t>https://www.se.com/ww/en/download/document/SPD_WP99_EN/</w:t>
        </w:r>
      </w:hyperlink>
      <w:r>
        <w:rPr>
          <w:lang w:val="en-GB"/>
        </w:rPr>
        <w:t xml:space="preserve">   </w:t>
      </w:r>
    </w:p>
  </w:endnote>
  <w:endnote w:id="195">
    <w:p w14:paraId="0798DF80" w14:textId="77777777" w:rsidR="006D6B43" w:rsidRDefault="006D6B43" w:rsidP="006D6B43">
      <w:pPr>
        <w:pStyle w:val="EndnoteText"/>
      </w:pPr>
      <w:r>
        <w:rPr>
          <w:rStyle w:val="EndnoteReference"/>
        </w:rPr>
        <w:endnoteRef/>
      </w:r>
      <w:r>
        <w:t xml:space="preserve"> Swedish audit reports (2022). See: </w:t>
      </w:r>
      <w:hyperlink r:id="rId216" w:history="1">
        <w:r w:rsidRPr="006F66ED">
          <w:rPr>
            <w:rStyle w:val="Hyperlink"/>
            <w:lang w:val="en-GB"/>
          </w:rPr>
          <w:t>Central government initiatives to stimulate investments in data centres (RiR 2022:18)</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Courier New&quo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296B" w14:textId="74567234" w:rsidR="003F684E" w:rsidRPr="003F684E" w:rsidRDefault="003F684E" w:rsidP="003F684E">
    <w:pPr>
      <w:pStyle w:val="FooterCoverPage"/>
      <w:rPr>
        <w:rFonts w:ascii="Arial" w:hAnsi="Arial" w:cs="Arial"/>
        <w:b/>
        <w:sz w:val="48"/>
      </w:rPr>
    </w:pPr>
    <w:r w:rsidRPr="003F684E">
      <w:rPr>
        <w:rFonts w:ascii="Arial" w:hAnsi="Arial" w:cs="Arial"/>
        <w:b/>
        <w:sz w:val="48"/>
      </w:rPr>
      <w:t>EN</w:t>
    </w:r>
    <w:r w:rsidRPr="003F684E">
      <w:rPr>
        <w:rFonts w:ascii="Arial" w:hAnsi="Arial" w:cs="Arial"/>
        <w:b/>
        <w:sz w:val="48"/>
      </w:rPr>
      <w:tab/>
    </w:r>
    <w:r w:rsidRPr="003F684E">
      <w:rPr>
        <w:rFonts w:ascii="Arial" w:hAnsi="Arial" w:cs="Arial"/>
        <w:b/>
        <w:sz w:val="48"/>
      </w:rPr>
      <w:tab/>
    </w:r>
    <w:r w:rsidRPr="003F684E">
      <w:tab/>
    </w:r>
    <w:r w:rsidRPr="003F68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95872" w14:textId="26C56071" w:rsidR="003F684E" w:rsidRPr="003F684E" w:rsidRDefault="003F684E" w:rsidP="003F684E">
    <w:pPr>
      <w:pStyle w:val="FooterCoverPage"/>
      <w:rPr>
        <w:rFonts w:ascii="Arial" w:hAnsi="Arial" w:cs="Arial"/>
        <w:b/>
        <w:sz w:val="48"/>
      </w:rPr>
    </w:pPr>
    <w:r w:rsidRPr="003F684E">
      <w:rPr>
        <w:rFonts w:ascii="Arial" w:hAnsi="Arial" w:cs="Arial"/>
        <w:b/>
        <w:sz w:val="48"/>
      </w:rPr>
      <w:t>EN</w:t>
    </w:r>
    <w:r w:rsidRPr="003F684E">
      <w:rPr>
        <w:rFonts w:ascii="Arial" w:hAnsi="Arial" w:cs="Arial"/>
        <w:b/>
        <w:sz w:val="48"/>
      </w:rPr>
      <w:tab/>
    </w:r>
    <w:r w:rsidRPr="003F684E">
      <w:rPr>
        <w:rFonts w:ascii="Arial" w:hAnsi="Arial" w:cs="Arial"/>
        <w:b/>
        <w:sz w:val="48"/>
      </w:rPr>
      <w:tab/>
    </w:r>
    <w:r w:rsidRPr="003F684E">
      <w:tab/>
    </w:r>
    <w:r w:rsidRPr="003F68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06902" w14:textId="77777777" w:rsidR="003F684E" w:rsidRPr="003F684E" w:rsidRDefault="003F684E" w:rsidP="003F68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94309" w14:textId="77777777" w:rsidR="00231180" w:rsidRPr="00B47DD4" w:rsidRDefault="00231180" w:rsidP="00B47DD4">
    <w:pPr>
      <w:pStyle w:val="FooterCoverPage"/>
      <w:rPr>
        <w:rFonts w:ascii="Arial" w:hAnsi="Arial" w:cs="Arial"/>
        <w:b/>
        <w:sz w:val="48"/>
      </w:rPr>
    </w:pPr>
    <w:r w:rsidRPr="00B47DD4">
      <w:rPr>
        <w:rFonts w:ascii="Arial" w:hAnsi="Arial" w:cs="Arial"/>
        <w:b/>
        <w:sz w:val="48"/>
      </w:rPr>
      <w:t>EN</w:t>
    </w:r>
    <w:r w:rsidRPr="00B47DD4">
      <w:rPr>
        <w:rFonts w:ascii="Arial" w:hAnsi="Arial" w:cs="Arial"/>
        <w:b/>
        <w:sz w:val="48"/>
      </w:rPr>
      <w:tab/>
    </w:r>
    <w:r w:rsidRPr="00B47DD4">
      <w:rPr>
        <w:rFonts w:ascii="Arial" w:hAnsi="Arial" w:cs="Arial"/>
        <w:b/>
        <w:sz w:val="48"/>
      </w:rPr>
      <w:tab/>
    </w:r>
    <w:r w:rsidRPr="00B47DD4">
      <w:tab/>
    </w:r>
    <w:r w:rsidRPr="00B47DD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276159"/>
      <w:docPartObj>
        <w:docPartGallery w:val="Page Numbers (Bottom of Page)"/>
        <w:docPartUnique/>
      </w:docPartObj>
    </w:sdtPr>
    <w:sdtEndPr>
      <w:rPr>
        <w:noProof/>
      </w:rPr>
    </w:sdtEndPr>
    <w:sdtContent>
      <w:p w14:paraId="6950E9CE" w14:textId="030DD907" w:rsidR="00A83E21" w:rsidRDefault="00A83E21">
        <w:pPr>
          <w:pStyle w:val="Footer"/>
          <w:jc w:val="center"/>
        </w:pPr>
        <w:r>
          <w:fldChar w:fldCharType="begin"/>
        </w:r>
        <w:r>
          <w:instrText xml:space="preserve"> PAGE   \* MERGEFORMAT </w:instrText>
        </w:r>
        <w:r>
          <w:fldChar w:fldCharType="separate"/>
        </w:r>
        <w:r w:rsidR="003F684E">
          <w:rPr>
            <w:noProof/>
          </w:rPr>
          <w:t>i</w:t>
        </w:r>
        <w:r>
          <w:rPr>
            <w:noProof/>
          </w:rPr>
          <w:fldChar w:fldCharType="end"/>
        </w:r>
      </w:p>
    </w:sdtContent>
  </w:sdt>
  <w:p w14:paraId="60267C65" w14:textId="77777777" w:rsidR="00A83E21" w:rsidRPr="00B47DD4" w:rsidRDefault="00A83E21" w:rsidP="00B47DD4">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08DB0" w14:textId="77777777" w:rsidR="00E61374" w:rsidRDefault="003F684E">
    <w:pPr>
      <w:pStyle w:val="Footer"/>
    </w:pPr>
    <w:sdt>
      <w:sdtPr>
        <w:id w:val="421003718"/>
        <w:docPartObj>
          <w:docPartGallery w:val="Page Numbers (Bottom of Page)"/>
          <w:docPartUnique/>
        </w:docPartObj>
      </w:sdtPr>
      <w:sdtEndPr>
        <w:rPr>
          <w:noProof/>
        </w:rPr>
      </w:sdtEndPr>
      <w:sdtContent>
        <w:r w:rsidR="00E61374">
          <w:fldChar w:fldCharType="begin"/>
        </w:r>
        <w:r w:rsidR="00E61374">
          <w:instrText xml:space="preserve"> PAGE   \* MERGEFORMAT </w:instrText>
        </w:r>
        <w:r w:rsidR="00E61374">
          <w:fldChar w:fldCharType="separate"/>
        </w:r>
        <w:r w:rsidR="00E61374">
          <w:rPr>
            <w:noProof/>
          </w:rPr>
          <w:t>2</w:t>
        </w:r>
        <w:r w:rsidR="00E61374">
          <w:rPr>
            <w:noProof/>
          </w:rPr>
          <w:fldChar w:fldCharType="end"/>
        </w:r>
      </w:sdtContent>
    </w:sdt>
  </w:p>
  <w:p w14:paraId="0E784EF7" w14:textId="77777777" w:rsidR="00E61374" w:rsidRDefault="00E613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546896"/>
      <w:docPartObj>
        <w:docPartGallery w:val="Page Numbers (Bottom of Page)"/>
        <w:docPartUnique/>
      </w:docPartObj>
    </w:sdtPr>
    <w:sdtEndPr>
      <w:rPr>
        <w:noProof/>
      </w:rPr>
    </w:sdtEndPr>
    <w:sdtContent>
      <w:p w14:paraId="6B383976" w14:textId="70B530EA" w:rsidR="006B5183" w:rsidRDefault="006B5183">
        <w:pPr>
          <w:pStyle w:val="Footer"/>
          <w:jc w:val="center"/>
        </w:pPr>
        <w:r>
          <w:fldChar w:fldCharType="begin"/>
        </w:r>
        <w:r>
          <w:instrText xml:space="preserve"> PAGE   \* MERGEFORMAT </w:instrText>
        </w:r>
        <w:r>
          <w:fldChar w:fldCharType="separate"/>
        </w:r>
        <w:r w:rsidR="003F684E">
          <w:rPr>
            <w:noProof/>
          </w:rPr>
          <w:t>8</w:t>
        </w:r>
        <w:r>
          <w:rPr>
            <w:noProof/>
          </w:rPr>
          <w:fldChar w:fldCharType="end"/>
        </w:r>
      </w:p>
    </w:sdtContent>
  </w:sdt>
  <w:p w14:paraId="67015D2D" w14:textId="77777777" w:rsidR="006B5183" w:rsidRPr="00B47DD4" w:rsidRDefault="006B5183" w:rsidP="00B47DD4">
    <w:pPr>
      <w:pStyle w:val="FooterCoverPage"/>
      <w:rPr>
        <w:rFonts w:ascii="Arial" w:hAnsi="Arial" w:cs="Arial"/>
        <w:b/>
        <w:sz w:val="48"/>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890"/>
      <w:docPartObj>
        <w:docPartGallery w:val="Page Numbers (Bottom of Page)"/>
        <w:docPartUnique/>
      </w:docPartObj>
    </w:sdtPr>
    <w:sdtEndPr>
      <w:rPr>
        <w:noProof/>
      </w:rPr>
    </w:sdtEndPr>
    <w:sdtContent>
      <w:p w14:paraId="50768CD4" w14:textId="4EB06F49" w:rsidR="006B5183" w:rsidRDefault="006B51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513A6D" w14:textId="77777777" w:rsidR="006B5183" w:rsidRDefault="006B51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F94A13">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23867"/>
      <w:docPartObj>
        <w:docPartGallery w:val="Page Numbers (Bottom of Page)"/>
        <w:docPartUnique/>
      </w:docPartObj>
    </w:sdtPr>
    <w:sdtEndPr>
      <w:rPr>
        <w:noProof/>
      </w:rPr>
    </w:sdtEndPr>
    <w:sdtContent>
      <w:p w14:paraId="500AD729" w14:textId="77777777" w:rsidR="00A62D67" w:rsidRDefault="00A62D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ED2738" w14:textId="77777777" w:rsidR="00A62D67" w:rsidRPr="00CD516A" w:rsidRDefault="00A62D67" w:rsidP="00F94A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D47AA" w14:textId="77777777" w:rsidR="002826E3" w:rsidRDefault="002826E3" w:rsidP="000E3086">
      <w:r>
        <w:separator/>
      </w:r>
    </w:p>
  </w:footnote>
  <w:footnote w:type="continuationSeparator" w:id="0">
    <w:p w14:paraId="1A3DAF8C" w14:textId="77777777" w:rsidR="002826E3" w:rsidRDefault="002826E3" w:rsidP="000E3086">
      <w:r>
        <w:continuationSeparator/>
      </w:r>
    </w:p>
  </w:footnote>
  <w:footnote w:type="continuationNotice" w:id="1">
    <w:p w14:paraId="2C74EA49" w14:textId="77777777" w:rsidR="002826E3" w:rsidRDefault="002826E3">
      <w:pPr>
        <w:spacing w:after="0"/>
      </w:pPr>
    </w:p>
  </w:footnote>
  <w:footnote w:id="2">
    <w:p w14:paraId="25C6A217" w14:textId="7350D06B"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w:t>
      </w:r>
      <w:r w:rsidR="00596AD4" w:rsidRPr="003C6C9B">
        <w:rPr>
          <w:szCs w:val="16"/>
        </w:rPr>
        <w:t>T</w:t>
      </w:r>
      <w:r w:rsidRPr="003C6C9B">
        <w:rPr>
          <w:szCs w:val="16"/>
        </w:rPr>
        <w:t xml:space="preserve">hese initiatives focus on High Performance Computing (HPC) and do not address the need for more decentralised computing capacity. </w:t>
      </w:r>
    </w:p>
  </w:footnote>
  <w:footnote w:id="3">
    <w:p w14:paraId="50450AFF" w14:textId="77777777"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According to the Environmental Impact Assessment (EIA) Directive, changes to which may come from the Environmental Omnibus: </w:t>
      </w:r>
      <w:hyperlink r:id="rId1" w:history="1">
        <w:r w:rsidRPr="003C6C9B">
          <w:rPr>
            <w:rStyle w:val="Hyperlink"/>
            <w:szCs w:val="16"/>
          </w:rPr>
          <w:t>Directive - 2014/52 - EN - EIA - EUR-Lex.</w:t>
        </w:r>
      </w:hyperlink>
    </w:p>
  </w:footnote>
  <w:footnote w:id="4">
    <w:p w14:paraId="03C3C3CA" w14:textId="77777777"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75% business adoption of cloud, AI, or big data by 2030.</w:t>
      </w:r>
    </w:p>
  </w:footnote>
  <w:footnote w:id="5">
    <w:p w14:paraId="083AC61F" w14:textId="77777777"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So far, no provider has been designated as a gatekeeper for the provision of cloud services, but on 18 November 2025, the Commission opened three market investigations on cloud computing services under the </w:t>
      </w:r>
      <w:hyperlink r:id="rId2" w:history="1">
        <w:r w:rsidRPr="003C6C9B">
          <w:rPr>
            <w:rStyle w:val="Hyperlink"/>
            <w:szCs w:val="16"/>
          </w:rPr>
          <w:t>DMA</w:t>
        </w:r>
      </w:hyperlink>
      <w:r w:rsidRPr="003C6C9B">
        <w:rPr>
          <w:szCs w:val="16"/>
        </w:rPr>
        <w:t xml:space="preserve">. </w:t>
      </w:r>
    </w:p>
  </w:footnote>
  <w:footnote w:id="6">
    <w:p w14:paraId="51CF4D68" w14:textId="0B32D7D9" w:rsidR="00E61374" w:rsidRPr="004D7982" w:rsidRDefault="00E61374" w:rsidP="00E61374">
      <w:pPr>
        <w:pStyle w:val="FootnoteText"/>
        <w:rPr>
          <w:sz w:val="18"/>
          <w:szCs w:val="18"/>
        </w:rPr>
      </w:pPr>
      <w:r w:rsidRPr="003C6C9B">
        <w:rPr>
          <w:rStyle w:val="FootnoteReference"/>
          <w:szCs w:val="16"/>
        </w:rPr>
        <w:footnoteRef/>
      </w:r>
      <w:r w:rsidRPr="003C6C9B">
        <w:rPr>
          <w:szCs w:val="16"/>
        </w:rPr>
        <w:t xml:space="preserve"> This requires an Implementing Regulation. ENISA has been working on developing the European cybersecurity certification scheme for cloud services (EUCS) since 2019, which has not been adopted yet.</w:t>
      </w:r>
      <w:r>
        <w:rPr>
          <w:szCs w:val="16"/>
        </w:rPr>
        <w:t xml:space="preserve"> </w:t>
      </w:r>
      <w:r w:rsidR="003C6C9B">
        <w:rPr>
          <w:szCs w:val="16"/>
        </w:rPr>
        <w:t>T</w:t>
      </w:r>
      <w:r w:rsidRPr="003C6C9B">
        <w:rPr>
          <w:szCs w:val="16"/>
        </w:rPr>
        <w:t>wo technical specifications by CEN-CENELEC have resulted from this work on the security requirements and the accreditation of the conformity assessment bodies and the conformity assessment methodology.</w:t>
      </w:r>
      <w:r w:rsidRPr="004D7982">
        <w:rPr>
          <w:sz w:val="18"/>
          <w:szCs w:val="18"/>
        </w:rPr>
        <w:t xml:space="preserve"> </w:t>
      </w:r>
    </w:p>
  </w:footnote>
  <w:footnote w:id="7">
    <w:p w14:paraId="4760424C" w14:textId="2C2B8F93" w:rsidR="00A0442B" w:rsidRPr="00FC14F5" w:rsidRDefault="00A0442B">
      <w:pPr>
        <w:pStyle w:val="FootnoteText"/>
      </w:pPr>
      <w:r>
        <w:rPr>
          <w:rStyle w:val="FootnoteReference"/>
        </w:rPr>
        <w:footnoteRef/>
      </w:r>
      <w:r>
        <w:t xml:space="preserve"> </w:t>
      </w:r>
      <w:r w:rsidR="0090091B">
        <w:t>For example,</w:t>
      </w:r>
      <w:r>
        <w:t xml:space="preserve"> </w:t>
      </w:r>
      <w:r w:rsidR="00FC14F5" w:rsidRPr="00FC14F5">
        <w:t xml:space="preserve">Office 365 monthly active users grew from </w:t>
      </w:r>
      <w:r w:rsidR="00FC14F5">
        <w:t>around</w:t>
      </w:r>
      <w:r w:rsidR="00FC14F5" w:rsidRPr="00FC14F5">
        <w:t xml:space="preserve"> 60 </w:t>
      </w:r>
      <w:r w:rsidR="00BF26D1">
        <w:t>m</w:t>
      </w:r>
      <w:r w:rsidR="00BF26D1" w:rsidRPr="00FC14F5">
        <w:t xml:space="preserve"> </w:t>
      </w:r>
      <w:r w:rsidR="00FC14F5" w:rsidRPr="00FC14F5">
        <w:t xml:space="preserve">in 2015 to 200 </w:t>
      </w:r>
      <w:r w:rsidR="00BF26D1">
        <w:t>m</w:t>
      </w:r>
      <w:r w:rsidR="00BF26D1" w:rsidRPr="00FC14F5">
        <w:t xml:space="preserve"> </w:t>
      </w:r>
      <w:r w:rsidR="00FC14F5" w:rsidRPr="00FC14F5">
        <w:t>in 2019</w:t>
      </w:r>
      <w:r w:rsidR="00545F53">
        <w:t>,</w:t>
      </w:r>
      <w:r w:rsidR="00FC14F5" w:rsidRPr="00FC14F5">
        <w:t xml:space="preserve"> while traditional Office product revenues fell by around 21%.</w:t>
      </w:r>
      <w:r w:rsidR="00911928">
        <w:t xml:space="preserve"> See: </w:t>
      </w:r>
      <w:hyperlink r:id="rId3" w:history="1">
        <w:r w:rsidR="00911928" w:rsidRPr="00911928">
          <w:rPr>
            <w:rStyle w:val="Hyperlink"/>
          </w:rPr>
          <w:t>Office 365 Number of Users Reaches 345 Million Paid Seats</w:t>
        </w:r>
      </w:hyperlink>
      <w:r w:rsidR="0095322F">
        <w:t xml:space="preserve"> and </w:t>
      </w:r>
      <w:hyperlink r:id="rId4" w:history="1">
        <w:r w:rsidR="0095322F" w:rsidRPr="0095322F">
          <w:rPr>
            <w:rStyle w:val="Hyperlink"/>
          </w:rPr>
          <w:t>FY23 Q4 - Productivity and Business Processes Performance - Investor Relations - Microsoft</w:t>
        </w:r>
      </w:hyperlink>
    </w:p>
  </w:footnote>
  <w:footnote w:id="8">
    <w:p w14:paraId="018D1F81" w14:textId="3648EF14" w:rsidR="00C5717E" w:rsidRPr="00D477A2" w:rsidRDefault="00C5717E">
      <w:pPr>
        <w:pStyle w:val="FootnoteText"/>
        <w:rPr>
          <w:lang w:val="en-IE"/>
        </w:rPr>
      </w:pPr>
      <w:r>
        <w:rPr>
          <w:rStyle w:val="FootnoteReference"/>
        </w:rPr>
        <w:footnoteRef/>
      </w:r>
      <w:r>
        <w:t xml:space="preserve"> For example, German provider plusserver working with AWS, Azure and Google Cloud in 2019 by offering hybrid solutions interconnected with hyperscalers. See: </w:t>
      </w:r>
      <w:hyperlink r:id="rId5" w:history="1">
        <w:r w:rsidRPr="007C15EA">
          <w:rPr>
            <w:rStyle w:val="Hyperlink"/>
          </w:rPr>
          <w:t>https://www.juniper.net/content/dam/www/assets/case-studies/us/en/plusserver.pdf</w:t>
        </w:r>
      </w:hyperlink>
    </w:p>
  </w:footnote>
  <w:footnote w:id="9">
    <w:p w14:paraId="62DA2C93" w14:textId="68B63E05" w:rsidR="00455FBD" w:rsidRPr="001F7128" w:rsidRDefault="00455FBD" w:rsidP="00455FBD">
      <w:pPr>
        <w:pStyle w:val="FootnoteText"/>
        <w:rPr>
          <w:szCs w:val="16"/>
        </w:rPr>
      </w:pPr>
      <w:r w:rsidRPr="001F7128">
        <w:rPr>
          <w:rStyle w:val="FootnoteReference"/>
          <w:szCs w:val="16"/>
        </w:rPr>
        <w:footnoteRef/>
      </w:r>
      <w:r w:rsidRPr="001F7128">
        <w:rPr>
          <w:szCs w:val="16"/>
        </w:rPr>
        <w:t xml:space="preserve"> An excerpt of awarded contracts from different US Departments and agencies to US hyperscale cloud providers: C2E - $600 m</w:t>
      </w:r>
      <w:r>
        <w:rPr>
          <w:szCs w:val="16"/>
        </w:rPr>
        <w:t xml:space="preserve"> </w:t>
      </w:r>
      <w:r w:rsidRPr="001F7128">
        <w:rPr>
          <w:szCs w:val="16"/>
        </w:rPr>
        <w:t xml:space="preserve">(CIA, 2013-present), Wild &amp; Stormy – USD 10 bn (NSA, 2021 – 2023), JWCC – USD 9 bn (DoD, 2022 – 2028). See also : </w:t>
      </w:r>
      <w:hyperlink r:id="rId6">
        <w:r w:rsidRPr="001F7128">
          <w:rPr>
            <w:rStyle w:val="Hyperlink"/>
            <w:szCs w:val="16"/>
          </w:rPr>
          <w:t>DARPA plans shift from AWS and on-prem to fully cloud by 2022</w:t>
        </w:r>
      </w:hyperlink>
      <w:r w:rsidRPr="001F7128">
        <w:rPr>
          <w:szCs w:val="16"/>
        </w:rPr>
        <w:t xml:space="preserve">; </w:t>
      </w:r>
      <w:hyperlink r:id="rId7">
        <w:r w:rsidRPr="001F7128">
          <w:rPr>
            <w:rStyle w:val="Hyperlink"/>
            <w:szCs w:val="16"/>
          </w:rPr>
          <w:t>General Dynamics again wins DOD's cloud email &amp; collaboration contract</w:t>
        </w:r>
      </w:hyperlink>
      <w:r w:rsidR="00F1226B">
        <w:rPr>
          <w:szCs w:val="16"/>
        </w:rPr>
        <w:t xml:space="preserve">; </w:t>
      </w:r>
      <w:hyperlink r:id="rId8" w:history="1">
        <w:r w:rsidR="00F1226B" w:rsidRPr="00F1226B">
          <w:rPr>
            <w:rStyle w:val="Hyperlink"/>
            <w:szCs w:val="16"/>
          </w:rPr>
          <w:t>Big Tech and the US Digital-Military-Industrial Complex - Intereconomics</w:t>
        </w:r>
      </w:hyperlink>
      <w:r w:rsidR="00F1226B">
        <w:rPr>
          <w:szCs w:val="16"/>
        </w:rPr>
        <w:t>.</w:t>
      </w:r>
    </w:p>
  </w:footnote>
  <w:footnote w:id="10">
    <w:p w14:paraId="66ECEF39" w14:textId="77777777" w:rsidR="00455FBD" w:rsidRPr="001F7128" w:rsidRDefault="00455FBD" w:rsidP="00455FBD">
      <w:pPr>
        <w:pStyle w:val="FootnoteText"/>
        <w:rPr>
          <w:szCs w:val="16"/>
        </w:rPr>
      </w:pPr>
      <w:r w:rsidRPr="001F7128">
        <w:rPr>
          <w:rStyle w:val="FootnoteReference"/>
          <w:szCs w:val="16"/>
        </w:rPr>
        <w:footnoteRef/>
      </w:r>
      <w:r w:rsidRPr="001F7128">
        <w:rPr>
          <w:szCs w:val="16"/>
        </w:rPr>
        <w:t xml:space="preserve"> In the Netherlands, for example, the strong reliance of the public sector on hyperscalers is laid down </w:t>
      </w:r>
      <w:hyperlink r:id="rId9" w:history="1">
        <w:r w:rsidRPr="001F7128">
          <w:rPr>
            <w:rStyle w:val="Hyperlink"/>
            <w:szCs w:val="16"/>
          </w:rPr>
          <w:t>by the Netherlands Court of Audit</w:t>
        </w:r>
      </w:hyperlink>
      <w:r w:rsidRPr="001F7128">
        <w:rPr>
          <w:szCs w:val="16"/>
        </w:rPr>
        <w:t xml:space="preserve">, which analyses selected critical cloud contracts awarded by the Dutch central government. </w:t>
      </w:r>
    </w:p>
  </w:footnote>
  <w:footnote w:id="11">
    <w:p w14:paraId="53E747BD" w14:textId="6CE9BAB7" w:rsidR="00560B7B" w:rsidRPr="00560B7B" w:rsidRDefault="00560B7B">
      <w:pPr>
        <w:pStyle w:val="FootnoteText"/>
      </w:pPr>
      <w:r>
        <w:rPr>
          <w:rStyle w:val="FootnoteReference"/>
        </w:rPr>
        <w:footnoteRef/>
      </w:r>
      <w:r>
        <w:t xml:space="preserve"> </w:t>
      </w:r>
      <w:r w:rsidR="00F300C3">
        <w:t>OECD, “</w:t>
      </w:r>
      <w:hyperlink w:history="1">
        <w:r w:rsidR="00F300C3" w:rsidRPr="00F300C3">
          <w:rPr>
            <w:rStyle w:val="Hyperlink"/>
          </w:rPr>
          <w:t>Competition in the provision of cloud computing services</w:t>
        </w:r>
      </w:hyperlink>
      <w:r w:rsidR="00F300C3">
        <w:t>”</w:t>
      </w:r>
      <w:r>
        <w:t xml:space="preserve"> </w:t>
      </w:r>
    </w:p>
  </w:footnote>
  <w:footnote w:id="12">
    <w:p w14:paraId="41217704" w14:textId="749A3C49" w:rsidR="00B53304" w:rsidRPr="00B53304" w:rsidRDefault="00B53304">
      <w:pPr>
        <w:pStyle w:val="FootnoteText"/>
      </w:pPr>
      <w:r>
        <w:rPr>
          <w:rStyle w:val="FootnoteReference"/>
        </w:rPr>
        <w:footnoteRef/>
      </w:r>
      <w:r>
        <w:t xml:space="preserve"> While these contextual factors are referred to in the problem drivers described below, they are not themselves considered as drivers for this analysis as they are addressed through a dedicated intervention under the Data Act (see section 7.3 and annex 7) and through competition cases. See for example the European Commission’s investigation into Microsoft Teams: </w:t>
      </w:r>
      <w:hyperlink r:id="rId10" w:history="1">
        <w:r w:rsidRPr="006D1A6C">
          <w:rPr>
            <w:rStyle w:val="Hyperlink"/>
          </w:rPr>
          <w:t>Statement of Objections to Microsoft</w:t>
        </w:r>
      </w:hyperlink>
      <w:r>
        <w:t>.</w:t>
      </w:r>
    </w:p>
  </w:footnote>
  <w:footnote w:id="13">
    <w:p w14:paraId="49F6F561" w14:textId="77777777"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Enterprise adoption of AI technologies remains limited at 13.5% according to the latest data from the Digital Decade Policy Programme, partly due to infrastructure constraints and cost barriers. The Digital Decade 2025 report highlights the need for the data centre industry to expand and adapt to support the rapid growth of AI technologies. </w:t>
      </w:r>
    </w:p>
  </w:footnote>
  <w:footnote w:id="14">
    <w:p w14:paraId="223068CD" w14:textId="295C6C13"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In 202</w:t>
      </w:r>
      <w:r w:rsidR="002200FB">
        <w:rPr>
          <w:szCs w:val="16"/>
        </w:rPr>
        <w:t>5</w:t>
      </w:r>
      <w:r w:rsidRPr="003C6C9B">
        <w:rPr>
          <w:szCs w:val="16"/>
        </w:rPr>
        <w:t xml:space="preserve">, per Eurostat, </w:t>
      </w:r>
      <w:hyperlink r:id="rId11" w:history="1">
        <w:r w:rsidRPr="003C6C9B">
          <w:rPr>
            <w:rStyle w:val="Hyperlink"/>
            <w:szCs w:val="16"/>
          </w:rPr>
          <w:t xml:space="preserve">EU business cloud uptake stood at </w:t>
        </w:r>
        <w:r w:rsidR="002200FB">
          <w:rPr>
            <w:rStyle w:val="Hyperlink"/>
            <w:szCs w:val="16"/>
          </w:rPr>
          <w:t>52.7</w:t>
        </w:r>
        <w:r w:rsidRPr="003C6C9B">
          <w:rPr>
            <w:rStyle w:val="Hyperlink"/>
            <w:szCs w:val="16"/>
          </w:rPr>
          <w:t>%</w:t>
        </w:r>
      </w:hyperlink>
      <w:r w:rsidRPr="003C6C9B">
        <w:rPr>
          <w:szCs w:val="16"/>
        </w:rPr>
        <w:t xml:space="preserve"> - far from the 2030 target of 75%</w:t>
      </w:r>
      <w:r w:rsidR="007D7876">
        <w:rPr>
          <w:szCs w:val="16"/>
        </w:rPr>
        <w:t xml:space="preserve">, </w:t>
      </w:r>
      <w:r w:rsidR="00E67732">
        <w:rPr>
          <w:szCs w:val="16"/>
        </w:rPr>
        <w:t xml:space="preserve">but </w:t>
      </w:r>
      <w:r w:rsidR="007D7876">
        <w:rPr>
          <w:szCs w:val="16"/>
        </w:rPr>
        <w:t>that</w:t>
      </w:r>
      <w:r w:rsidR="00E67732">
        <w:rPr>
          <w:szCs w:val="16"/>
        </w:rPr>
        <w:t xml:space="preserve"> also</w:t>
      </w:r>
      <w:r w:rsidR="007D7876">
        <w:rPr>
          <w:szCs w:val="16"/>
        </w:rPr>
        <w:t xml:space="preserve"> includes </w:t>
      </w:r>
      <w:r w:rsidR="00974EBE">
        <w:rPr>
          <w:szCs w:val="16"/>
        </w:rPr>
        <w:t>the adoption of cloud, AI or data analytics</w:t>
      </w:r>
      <w:r w:rsidRPr="003C6C9B">
        <w:rPr>
          <w:szCs w:val="16"/>
        </w:rPr>
        <w:t xml:space="preserve">. As more European businesses adopt cloud and AI computing services, demand for </w:t>
      </w:r>
      <w:r w:rsidR="007D154C">
        <w:rPr>
          <w:szCs w:val="16"/>
        </w:rPr>
        <w:t>DCs</w:t>
      </w:r>
      <w:r w:rsidRPr="003C6C9B">
        <w:rPr>
          <w:szCs w:val="16"/>
        </w:rPr>
        <w:t xml:space="preserve"> is thus expected to rise further.  </w:t>
      </w:r>
    </w:p>
  </w:footnote>
  <w:footnote w:id="15">
    <w:p w14:paraId="36313CCA" w14:textId="3A8B60B4"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When looking at the </w:t>
      </w:r>
      <w:r w:rsidR="007D154C">
        <w:rPr>
          <w:szCs w:val="16"/>
        </w:rPr>
        <w:t>DC</w:t>
      </w:r>
      <w:r w:rsidRPr="003C6C9B">
        <w:rPr>
          <w:szCs w:val="16"/>
        </w:rPr>
        <w:t xml:space="preserve"> market, Europe typically includes the UK. </w:t>
      </w:r>
    </w:p>
  </w:footnote>
  <w:footnote w:id="16">
    <w:p w14:paraId="19F5F3B1" w14:textId="2162C1FE"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w:t>
      </w:r>
      <w:r w:rsidR="007D154C">
        <w:rPr>
          <w:szCs w:val="16"/>
        </w:rPr>
        <w:t>DC</w:t>
      </w:r>
      <w:r w:rsidRPr="003C6C9B">
        <w:rPr>
          <w:szCs w:val="16"/>
        </w:rPr>
        <w:t xml:space="preserve"> capacity is typically expressed in megawatts (MW) or gigawatts (GW) because power availability plays a key role for both the operation of the servers and the cooling systems. </w:t>
      </w:r>
    </w:p>
  </w:footnote>
  <w:footnote w:id="17">
    <w:p w14:paraId="0B928CC5" w14:textId="1E0AC98C"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Pre-leased capacity in </w:t>
      </w:r>
      <w:r w:rsidR="007D154C">
        <w:rPr>
          <w:szCs w:val="16"/>
        </w:rPr>
        <w:t>DC</w:t>
      </w:r>
      <w:r w:rsidRPr="003C6C9B">
        <w:rPr>
          <w:szCs w:val="16"/>
        </w:rPr>
        <w:t xml:space="preserve"> means that customers commit to renting space and power before the facility becomes operational. </w:t>
      </w:r>
      <w:hyperlink r:id="rId12" w:history="1">
        <w:r w:rsidRPr="003C6C9B">
          <w:rPr>
            <w:rStyle w:val="Hyperlink"/>
            <w:szCs w:val="16"/>
          </w:rPr>
          <w:t>Market information points</w:t>
        </w:r>
      </w:hyperlink>
      <w:r w:rsidRPr="003C6C9B">
        <w:rPr>
          <w:szCs w:val="16"/>
        </w:rPr>
        <w:t xml:space="preserve"> to a growing share of data centre spaces already reserved before delivery, reflecting very high demand and tight supply. </w:t>
      </w:r>
    </w:p>
  </w:footnote>
  <w:footnote w:id="18">
    <w:p w14:paraId="0B98C7ED" w14:textId="77777777" w:rsidR="0022488F" w:rsidRPr="003C6C9B" w:rsidRDefault="0022488F" w:rsidP="0022488F">
      <w:pPr>
        <w:pStyle w:val="FootnoteText"/>
        <w:rPr>
          <w:szCs w:val="16"/>
        </w:rPr>
      </w:pPr>
      <w:r w:rsidRPr="003C6C9B">
        <w:rPr>
          <w:rStyle w:val="FootnoteReference"/>
          <w:szCs w:val="16"/>
        </w:rPr>
        <w:footnoteRef/>
      </w:r>
      <w:r w:rsidRPr="003C6C9B">
        <w:rPr>
          <w:szCs w:val="16"/>
        </w:rPr>
        <w:t xml:space="preserve"> Technopolis Group, Wavestone, Timelex, STL Partners, OpenForum Europe and KAPA Research (2025), "Study: Cloud and AI". The methodology is based on all known commercial data centre sites listed in the </w:t>
      </w:r>
      <w:r w:rsidRPr="003C6C9B">
        <w:rPr>
          <w:i/>
          <w:szCs w:val="16"/>
        </w:rPr>
        <w:t>Data Center Map</w:t>
      </w:r>
      <w:r w:rsidRPr="003C6C9B">
        <w:rPr>
          <w:szCs w:val="16"/>
        </w:rPr>
        <w:t xml:space="preserve">, additional sites identified through the survey and any publicly known hyperscaler sites. The figures do not include private enterprise sites, under which most dedicated HPC facilities fall. </w:t>
      </w:r>
    </w:p>
  </w:footnote>
  <w:footnote w:id="19">
    <w:p w14:paraId="7869C29F" w14:textId="77777777" w:rsidR="00E61374" w:rsidRPr="003C6C9B" w:rsidRDefault="00E61374" w:rsidP="00E61374">
      <w:pPr>
        <w:pStyle w:val="FootnoteText"/>
        <w:rPr>
          <w:szCs w:val="16"/>
        </w:rPr>
      </w:pPr>
      <w:r w:rsidRPr="003C6C9B">
        <w:rPr>
          <w:rStyle w:val="FootnoteReference"/>
          <w:szCs w:val="16"/>
        </w:rPr>
        <w:footnoteRef/>
      </w:r>
      <w:r w:rsidRPr="003C6C9B">
        <w:rPr>
          <w:szCs w:val="16"/>
        </w:rPr>
        <w:t xml:space="preserve"> Technopolis Group et al. (2025), "Study: Cloud and AI".</w:t>
      </w:r>
    </w:p>
  </w:footnote>
  <w:footnote w:id="20">
    <w:p w14:paraId="0C5C57EF" w14:textId="6F068213" w:rsidR="00E61374" w:rsidRPr="004D7982" w:rsidRDefault="00E61374" w:rsidP="00E61374">
      <w:pPr>
        <w:pStyle w:val="FootnoteText"/>
        <w:rPr>
          <w:sz w:val="18"/>
          <w:szCs w:val="18"/>
        </w:rPr>
      </w:pPr>
      <w:r w:rsidRPr="003C6C9B">
        <w:rPr>
          <w:rStyle w:val="FootnoteReference"/>
          <w:szCs w:val="16"/>
        </w:rPr>
        <w:footnoteRef/>
      </w:r>
      <w:r w:rsidRPr="003C6C9B">
        <w:rPr>
          <w:szCs w:val="16"/>
        </w:rPr>
        <w:t xml:space="preserve"> Core EU </w:t>
      </w:r>
      <w:r w:rsidR="007D154C">
        <w:rPr>
          <w:szCs w:val="16"/>
        </w:rPr>
        <w:t>DC</w:t>
      </w:r>
      <w:r w:rsidRPr="003C6C9B">
        <w:rPr>
          <w:szCs w:val="16"/>
        </w:rPr>
        <w:t xml:space="preserve"> hubs include Frankfurt, Amsterdam, Paris and Dublin. This concentration is explained by operators leveraging metro areas and exploiting the best locations in terms of connectivity (Dublin, Paris, Frankfurt, Amsterdam), proximity to economic hubs (Paris, Frankfurt, Amsterdam) or low corporate tax (Dublin).</w:t>
      </w:r>
    </w:p>
  </w:footnote>
  <w:footnote w:id="21">
    <w:p w14:paraId="4A223B0D" w14:textId="0486A915" w:rsidR="00694E15" w:rsidRPr="00DA6FA7" w:rsidRDefault="00694E15">
      <w:pPr>
        <w:pStyle w:val="FootnoteText"/>
        <w:rPr>
          <w:lang w:val="en-IE"/>
        </w:rPr>
      </w:pPr>
      <w:r>
        <w:rPr>
          <w:rStyle w:val="FootnoteReference"/>
        </w:rPr>
        <w:footnoteRef/>
      </w:r>
      <w:r>
        <w:t xml:space="preserve"> </w:t>
      </w:r>
      <w:r w:rsidR="00270DEE" w:rsidRPr="00270DEE">
        <w:rPr>
          <w:lang w:val="en-IE"/>
        </w:rPr>
        <w:t>In a second phase, hyperscalers made substantial investments in locations with strong sectoral demand, such as Frankfurt for banking services and Belgium for the pharmaceutical industry.</w:t>
      </w:r>
    </w:p>
  </w:footnote>
  <w:footnote w:id="22">
    <w:p w14:paraId="4DA61D34" w14:textId="77777777"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Co-location data centre operators often lease their facilities to hyperscalers to obtain a quicker return on investment.</w:t>
      </w:r>
    </w:p>
  </w:footnote>
  <w:footnote w:id="23">
    <w:p w14:paraId="3E1E6465" w14:textId="77777777"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In Ireland, for example, interest representatives point to increasing delays for electricity connection of housing projects: </w:t>
      </w:r>
      <w:hyperlink r:id="rId13" w:history="1">
        <w:r w:rsidRPr="00421BFA">
          <w:rPr>
            <w:rStyle w:val="Hyperlink"/>
            <w:szCs w:val="16"/>
          </w:rPr>
          <w:t>Govt warned of rising household bills as data centres strain grid</w:t>
        </w:r>
      </w:hyperlink>
      <w:r w:rsidRPr="00421BFA">
        <w:rPr>
          <w:szCs w:val="16"/>
        </w:rPr>
        <w:t xml:space="preserve">. </w:t>
      </w:r>
    </w:p>
  </w:footnote>
  <w:footnote w:id="24">
    <w:p w14:paraId="76B89073" w14:textId="2CB88BAE" w:rsidR="00833EF8" w:rsidRPr="00421BFA" w:rsidRDefault="00833EF8" w:rsidP="00833EF8">
      <w:pPr>
        <w:pStyle w:val="FootnoteText"/>
        <w:rPr>
          <w:szCs w:val="16"/>
        </w:rPr>
      </w:pPr>
      <w:r w:rsidRPr="00421BFA">
        <w:rPr>
          <w:rStyle w:val="FootnoteReference"/>
          <w:szCs w:val="16"/>
        </w:rPr>
        <w:footnoteRef/>
      </w:r>
      <w:r w:rsidRPr="00421BFA">
        <w:rPr>
          <w:szCs w:val="16"/>
        </w:rPr>
        <w:t xml:space="preserve"> Taking the </w:t>
      </w:r>
      <w:hyperlink r:id="rId14" w:history="1">
        <w:r w:rsidRPr="00421BFA">
          <w:rPr>
            <w:rStyle w:val="Hyperlink"/>
            <w:szCs w:val="16"/>
          </w:rPr>
          <w:t>example of Microsoft’s Azure regions</w:t>
        </w:r>
      </w:hyperlink>
      <w:r w:rsidRPr="00421BFA">
        <w:rPr>
          <w:szCs w:val="16"/>
        </w:rPr>
        <w:t>, round-trip latency (the time it takes for a data pack to travel from one point in the network to another and back again) from Poland (Central Europe) to Frankfurt (Western Europe) is ca. 10–15ms,</w:t>
      </w:r>
      <w:r w:rsidRPr="00421BFA" w:rsidDel="00403EEB">
        <w:rPr>
          <w:szCs w:val="16"/>
        </w:rPr>
        <w:t xml:space="preserve"> </w:t>
      </w:r>
      <w:r w:rsidR="00403EEB">
        <w:rPr>
          <w:szCs w:val="16"/>
        </w:rPr>
        <w:t>and</w:t>
      </w:r>
      <w:r w:rsidRPr="00421BFA">
        <w:rPr>
          <w:szCs w:val="16"/>
        </w:rPr>
        <w:t xml:space="preserve"> latency from Poland to Amsterdam or London is ca. 15–20ms. By contrast, latency within Western Europe (e.g. Frankfurt to Amsterdam) is typically &lt;5ms. A fintech business in Warsaw thus faces significantly higher latency than a competitor in Western Europe. </w:t>
      </w:r>
    </w:p>
  </w:footnote>
  <w:footnote w:id="25">
    <w:p w14:paraId="6A172919" w14:textId="77777777" w:rsidR="00E61374" w:rsidRPr="004D7982" w:rsidRDefault="00E61374" w:rsidP="00E61374">
      <w:pPr>
        <w:pStyle w:val="FootnoteText"/>
        <w:rPr>
          <w:sz w:val="18"/>
          <w:szCs w:val="18"/>
        </w:rPr>
      </w:pPr>
      <w:r w:rsidRPr="00421BFA">
        <w:rPr>
          <w:rStyle w:val="FootnoteReference"/>
          <w:szCs w:val="16"/>
        </w:rPr>
        <w:footnoteRef/>
      </w:r>
      <w:r w:rsidRPr="00421BFA">
        <w:rPr>
          <w:szCs w:val="16"/>
        </w:rPr>
        <w:t xml:space="preserve"> Whereas section 2.1.1. deals with the presence of computing </w:t>
      </w:r>
      <w:r w:rsidRPr="00421BFA">
        <w:rPr>
          <w:i/>
          <w:szCs w:val="16"/>
        </w:rPr>
        <w:t>capacity</w:t>
      </w:r>
      <w:r w:rsidRPr="00421BFA">
        <w:rPr>
          <w:szCs w:val="16"/>
        </w:rPr>
        <w:t xml:space="preserve"> in the EU, including capacity provided by non-EU companies; this section deals with </w:t>
      </w:r>
      <w:r w:rsidRPr="00421BFA">
        <w:rPr>
          <w:i/>
          <w:szCs w:val="16"/>
        </w:rPr>
        <w:t xml:space="preserve">services </w:t>
      </w:r>
      <w:r w:rsidRPr="00421BFA">
        <w:rPr>
          <w:szCs w:val="16"/>
        </w:rPr>
        <w:t>provided by companies headquartered in the EU.</w:t>
      </w:r>
    </w:p>
  </w:footnote>
  <w:footnote w:id="26">
    <w:p w14:paraId="159093CE" w14:textId="77777777"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For example, in 2023, </w:t>
      </w:r>
      <w:hyperlink r:id="rId15" w:history="1">
        <w:r w:rsidRPr="00421BFA">
          <w:rPr>
            <w:rStyle w:val="Hyperlink"/>
            <w:szCs w:val="16"/>
          </w:rPr>
          <w:t>SAP held 49.6%</w:t>
        </w:r>
      </w:hyperlink>
      <w:r w:rsidRPr="00421BFA">
        <w:rPr>
          <w:szCs w:val="16"/>
        </w:rPr>
        <w:t xml:space="preserve"> of the specialised market for Travel and Expense Management Software.</w:t>
      </w:r>
    </w:p>
  </w:footnote>
  <w:footnote w:id="27">
    <w:p w14:paraId="6682F2A4" w14:textId="77777777"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In China, foreign invested companies are not allowed to provide so-called Internet Data Centre Services according to the Promulgating the Classification Catalogue of Telecommunications Services and must rely on local Chinese partners in the form of a technology cooperation. </w:t>
      </w:r>
    </w:p>
  </w:footnote>
  <w:footnote w:id="28">
    <w:p w14:paraId="48A36F3E" w14:textId="77777777" w:rsidR="00E61374" w:rsidRPr="004D7982" w:rsidRDefault="00E61374" w:rsidP="00E61374">
      <w:pPr>
        <w:pStyle w:val="FootnoteText"/>
        <w:rPr>
          <w:sz w:val="18"/>
          <w:szCs w:val="18"/>
        </w:rPr>
      </w:pPr>
      <w:r w:rsidRPr="00421BFA">
        <w:rPr>
          <w:rStyle w:val="FootnoteReference"/>
          <w:szCs w:val="16"/>
        </w:rPr>
        <w:t>q</w:t>
      </w:r>
      <w:r w:rsidRPr="00421BFA">
        <w:rPr>
          <w:szCs w:val="16"/>
        </w:rPr>
        <w:t xml:space="preserve"> For example, Leitmotiv Digital finds that European providers offer digital resources at prices that are five to ten times lower than the current incumbents: </w:t>
      </w:r>
      <w:hyperlink r:id="rId16" w:history="1">
        <w:r w:rsidRPr="00421BFA">
          <w:rPr>
            <w:rStyle w:val="Hyperlink"/>
            <w:szCs w:val="16"/>
          </w:rPr>
          <w:t>Leitmotiv - Toward our Digital Future</w:t>
        </w:r>
      </w:hyperlink>
      <w:r w:rsidRPr="00421BFA">
        <w:rPr>
          <w:szCs w:val="16"/>
        </w:rPr>
        <w:t>.</w:t>
      </w:r>
      <w:r w:rsidRPr="004D7982">
        <w:rPr>
          <w:sz w:val="18"/>
          <w:szCs w:val="18"/>
        </w:rPr>
        <w:t xml:space="preserve"> </w:t>
      </w:r>
    </w:p>
  </w:footnote>
  <w:footnote w:id="29">
    <w:p w14:paraId="16FF8F5A" w14:textId="77777777" w:rsidR="00417CF4" w:rsidRDefault="00417CF4" w:rsidP="00417CF4">
      <w:pPr>
        <w:pStyle w:val="FootnoteText"/>
        <w:rPr>
          <w:lang w:val="en-IE"/>
        </w:rPr>
      </w:pPr>
      <w:r w:rsidRPr="67A61AC0">
        <w:rPr>
          <w:rStyle w:val="FootnoteReference"/>
        </w:rPr>
        <w:footnoteRef/>
      </w:r>
      <w:r>
        <w:t xml:space="preserve"> https://www.theregister.com/2025/05/22/euro_cloud_body_ecco_says_broadcom_licensing_unfair/</w:t>
      </w:r>
    </w:p>
  </w:footnote>
  <w:footnote w:id="30">
    <w:p w14:paraId="652B2591" w14:textId="77777777" w:rsidR="00417CF4" w:rsidRDefault="00417CF4" w:rsidP="00417CF4">
      <w:pPr>
        <w:pStyle w:val="FootnoteText"/>
        <w:rPr>
          <w:lang w:val="en-IE"/>
        </w:rPr>
      </w:pPr>
      <w:r w:rsidRPr="2460069F">
        <w:rPr>
          <w:rStyle w:val="FootnoteReference"/>
        </w:rPr>
        <w:footnoteRef/>
      </w:r>
      <w:r w:rsidRPr="2460069F">
        <w:rPr>
          <w:lang w:val="en-IE"/>
        </w:rPr>
        <w:t xml:space="preserve"> https://leitmotiv.digital/publications/breaking-the-cloud-monopoly</w:t>
      </w:r>
    </w:p>
  </w:footnote>
  <w:footnote w:id="31">
    <w:p w14:paraId="356B70AC" w14:textId="77777777" w:rsidR="00277A40" w:rsidRPr="00421BFA" w:rsidRDefault="00277A40" w:rsidP="00277A40">
      <w:pPr>
        <w:pStyle w:val="FootnoteText"/>
        <w:rPr>
          <w:szCs w:val="16"/>
        </w:rPr>
      </w:pPr>
      <w:r w:rsidRPr="00421BFA">
        <w:rPr>
          <w:rStyle w:val="FootnoteReference"/>
          <w:szCs w:val="16"/>
        </w:rPr>
        <w:footnoteRef/>
      </w:r>
      <w:r w:rsidRPr="00421BFA">
        <w:rPr>
          <w:szCs w:val="16"/>
        </w:rPr>
        <w:t xml:space="preserve"> For instance, the platforms for electronic invoices shall be ISO/IEC 27001 certified and stored on one of the providers qualified by SecNumCloud: </w:t>
      </w:r>
      <w:hyperlink r:id="rId17" w:history="1">
        <w:r w:rsidRPr="00421BFA">
          <w:rPr>
            <w:rStyle w:val="Hyperlink"/>
            <w:szCs w:val="16"/>
          </w:rPr>
          <w:t>Facturation électronique et plateformes partenaires</w:t>
        </w:r>
      </w:hyperlink>
      <w:r w:rsidRPr="00421BFA">
        <w:rPr>
          <w:szCs w:val="16"/>
        </w:rPr>
        <w:t>.</w:t>
      </w:r>
    </w:p>
  </w:footnote>
  <w:footnote w:id="32">
    <w:p w14:paraId="47E4C20B" w14:textId="25C036A8" w:rsidR="007F4C2B" w:rsidRPr="007F4C2B" w:rsidRDefault="007F4C2B">
      <w:pPr>
        <w:pStyle w:val="FootnoteText"/>
        <w:rPr>
          <w:lang w:val="en-US"/>
        </w:rPr>
      </w:pPr>
      <w:r>
        <w:rPr>
          <w:rStyle w:val="FootnoteReference"/>
        </w:rPr>
        <w:footnoteRef/>
      </w:r>
      <w:r>
        <w:t xml:space="preserve"> </w:t>
      </w:r>
      <w:r w:rsidRPr="007F4C2B">
        <w:rPr>
          <w:lang w:val="en-US"/>
        </w:rPr>
        <w:t xml:space="preserve">See </w:t>
      </w:r>
      <w:hyperlink r:id="rId18" w:history="1">
        <w:r w:rsidRPr="007F4C2B">
          <w:rPr>
            <w:rStyle w:val="Hyperlink"/>
          </w:rPr>
          <w:t>Finland's Ministry of Justice delays plans for cloud migration - DCD</w:t>
        </w:r>
      </w:hyperlink>
    </w:p>
  </w:footnote>
  <w:footnote w:id="33">
    <w:p w14:paraId="40523B13" w14:textId="663B251B" w:rsidR="0018749A" w:rsidRPr="0018749A" w:rsidRDefault="0018749A">
      <w:pPr>
        <w:pStyle w:val="FootnoteText"/>
        <w:rPr>
          <w:lang w:val="fr-BE"/>
        </w:rPr>
      </w:pPr>
      <w:r>
        <w:rPr>
          <w:rStyle w:val="FootnoteReference"/>
        </w:rPr>
        <w:footnoteRef/>
      </w:r>
      <w:r w:rsidRPr="0090749E">
        <w:rPr>
          <w:lang w:val="fr-FR"/>
        </w:rPr>
        <w:t xml:space="preserve"> </w:t>
      </w:r>
      <w:hyperlink r:id="rId19" w:history="1">
        <w:r w:rsidRPr="0090749E">
          <w:rPr>
            <w:rStyle w:val="Hyperlink"/>
            <w:lang w:val="fr-FR"/>
          </w:rPr>
          <w:t>Souveraineté numérique : l’État généralise « Visio », sa solution de visioconférence sécurisée et souveraine à destination des agents publics – Presse – Ministère des Finances</w:t>
        </w:r>
      </w:hyperlink>
    </w:p>
  </w:footnote>
  <w:footnote w:id="34">
    <w:p w14:paraId="75CE430F" w14:textId="77777777" w:rsidR="00277A40" w:rsidRPr="004D7982" w:rsidRDefault="00277A40" w:rsidP="00277A40">
      <w:pPr>
        <w:pStyle w:val="FootnoteText"/>
        <w:rPr>
          <w:sz w:val="18"/>
          <w:szCs w:val="18"/>
        </w:rPr>
      </w:pPr>
      <w:r w:rsidRPr="00421BFA">
        <w:rPr>
          <w:rStyle w:val="FootnoteReference"/>
          <w:szCs w:val="16"/>
        </w:rPr>
        <w:footnoteRef/>
      </w:r>
      <w:r w:rsidRPr="00421BFA">
        <w:rPr>
          <w:szCs w:val="16"/>
        </w:rPr>
        <w:t xml:space="preserve"> FedRAMP </w:t>
      </w:r>
      <w:r>
        <w:rPr>
          <w:szCs w:val="16"/>
        </w:rPr>
        <w:t>is</w:t>
      </w:r>
      <w:r w:rsidRPr="00421BFA">
        <w:rPr>
          <w:szCs w:val="16"/>
        </w:rPr>
        <w:t xml:space="preserve"> an authorisation process for cloud services used by US federal agencies. Obtaining such authorisation is mandatory for all CSPs wishing to work with US federal agencies. It provides a standardised approach for the security assessment of cloud services in three impact levels (low, medium, high). In terms of European providers, three SAP products are authorised at level ‘moderate’ and the Accenture Insights Platform </w:t>
      </w:r>
      <w:r>
        <w:rPr>
          <w:szCs w:val="16"/>
        </w:rPr>
        <w:t>(originating in US, headquarters in Ireland)</w:t>
      </w:r>
      <w:r w:rsidRPr="00421BFA">
        <w:rPr>
          <w:szCs w:val="16"/>
        </w:rPr>
        <w:t xml:space="preserve"> is authorised at level ‘high’.</w:t>
      </w:r>
      <w:r w:rsidRPr="004D7982">
        <w:rPr>
          <w:sz w:val="18"/>
          <w:szCs w:val="18"/>
        </w:rPr>
        <w:t xml:space="preserve"> </w:t>
      </w:r>
    </w:p>
  </w:footnote>
  <w:footnote w:id="35">
    <w:p w14:paraId="40C6012F" w14:textId="6C8943C8" w:rsidR="00AA1012" w:rsidRPr="00AA1012" w:rsidRDefault="00AA1012">
      <w:pPr>
        <w:pStyle w:val="FootnoteText"/>
      </w:pPr>
      <w:r>
        <w:rPr>
          <w:rStyle w:val="FootnoteReference"/>
        </w:rPr>
        <w:footnoteRef/>
      </w:r>
      <w:r>
        <w:t xml:space="preserve"> </w:t>
      </w:r>
      <w:hyperlink r:id="rId20" w:history="1">
        <w:r w:rsidRPr="00D37004">
          <w:t>84% of European cloud users</w:t>
        </w:r>
        <w:r w:rsidR="00F06A09">
          <w:t xml:space="preserve"> are</w:t>
        </w:r>
        <w:r w:rsidRPr="00D37004">
          <w:t xml:space="preserve"> already us</w:t>
        </w:r>
        <w:r>
          <w:t>ing</w:t>
        </w:r>
        <w:r w:rsidRPr="00D37004">
          <w:t xml:space="preserve"> or plan</w:t>
        </w:r>
        <w:r>
          <w:t>ning</w:t>
        </w:r>
        <w:r w:rsidRPr="00D37004">
          <w:t xml:space="preserve"> to use sovereign cloud solutions</w:t>
        </w:r>
        <w:r>
          <w:t>. See:</w:t>
        </w:r>
        <w:r w:rsidR="00F06A09">
          <w:t xml:space="preserve"> </w:t>
        </w:r>
        <w:r w:rsidRPr="00075A26">
          <w:rPr>
            <w:rStyle w:val="Hyperlink"/>
          </w:rPr>
          <w:t>How Digital Sovereignty Is Influencing Cloud Solution Choice</w:t>
        </w:r>
      </w:hyperlink>
    </w:p>
  </w:footnote>
  <w:footnote w:id="36">
    <w:p w14:paraId="40EF8C6B" w14:textId="77777777"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The CLOUD Act facilitates the access of US law enforcement authorities to electronic data held by service providers that fall within US jurisdiction in the context of criminal proceedings. It affects providers of electronic communication services and remote computing services that are subject to the authority of US courts, either because they are established in the US or because they have a sufficient presence to be subject to US personal jurisdiction. When presented with a valid legal process, including a warrant for the content of communications meeting the high standards of probable cause, these entities can be obliged to disclose the contents of electronic communication and any related record or other information pertaining to their customers, regardless of whether the data are located within or outside of the US.</w:t>
      </w:r>
    </w:p>
  </w:footnote>
  <w:footnote w:id="37">
    <w:p w14:paraId="40EAB81E" w14:textId="78EE82ED" w:rsidR="00E61374" w:rsidRPr="00421BFA" w:rsidRDefault="00E61374" w:rsidP="00E61374">
      <w:pPr>
        <w:pStyle w:val="FootnoteText"/>
        <w:rPr>
          <w:szCs w:val="16"/>
        </w:rPr>
      </w:pPr>
      <w:r w:rsidRPr="00421BFA">
        <w:rPr>
          <w:rStyle w:val="FootnoteReference"/>
          <w:szCs w:val="16"/>
        </w:rPr>
        <w:footnoteRef/>
      </w:r>
      <w:r w:rsidRPr="00421BFA">
        <w:rPr>
          <w:szCs w:val="16"/>
        </w:rPr>
        <w:t xml:space="preserve"> FISA Section 702 permits the US government to conduct targeted surveillance of foreign persons located outside the US to acquire foreign intelligence information. Under Section 702, the US Attorney General and Director of National Intelligence may issue directives compelling US electronic communication service providers to provide such information, including via bulk data collection.</w:t>
      </w:r>
    </w:p>
  </w:footnote>
  <w:footnote w:id="38">
    <w:p w14:paraId="7BBF463A" w14:textId="77777777" w:rsidR="001E5BAE" w:rsidRPr="00A328C6" w:rsidRDefault="001E5BAE" w:rsidP="001E5BAE">
      <w:pPr>
        <w:pStyle w:val="FootnoteText"/>
      </w:pPr>
      <w:r>
        <w:rPr>
          <w:rStyle w:val="FootnoteReference"/>
        </w:rPr>
        <w:footnoteRef/>
      </w:r>
      <w:r>
        <w:t xml:space="preserve"> During the COVID-19 pandemic, for example, AWS and Google Cloud offered free resources for training cloud skills and getting them certified: See </w:t>
      </w:r>
      <w:hyperlink r:id="rId21" w:history="1">
        <w:r w:rsidRPr="00B21208">
          <w:rPr>
            <w:rStyle w:val="Hyperlink"/>
          </w:rPr>
          <w:t>here</w:t>
        </w:r>
      </w:hyperlink>
      <w:r>
        <w:t xml:space="preserve"> and </w:t>
      </w:r>
      <w:hyperlink r:id="rId22" w:history="1">
        <w:r w:rsidRPr="006A716B">
          <w:rPr>
            <w:rStyle w:val="Hyperlink"/>
          </w:rPr>
          <w:t>here</w:t>
        </w:r>
      </w:hyperlink>
      <w:r>
        <w:t xml:space="preserve">. AWS offers exam vouchers for certifying one’s cloud skills to participants of EU-certified cloud courses for SME employees and jobseekers: </w:t>
      </w:r>
      <w:hyperlink r:id="rId23" w:history="1">
        <w:r w:rsidRPr="00721FD1">
          <w:rPr>
            <w:rStyle w:val="Hyperlink"/>
          </w:rPr>
          <w:t>Free EU-certified Cloud &amp; Gen AI courses for SME employees and jobseekers — now open for enrolment! | Digital Skills &amp; Jobs Platform</w:t>
        </w:r>
      </w:hyperlink>
      <w:r>
        <w:t xml:space="preserve">. </w:t>
      </w:r>
    </w:p>
  </w:footnote>
  <w:footnote w:id="39">
    <w:p w14:paraId="51C4B769" w14:textId="77777777" w:rsidR="00E61374" w:rsidRPr="001F7128" w:rsidRDefault="00E61374" w:rsidP="00E61374">
      <w:pPr>
        <w:pStyle w:val="FootnoteText"/>
        <w:rPr>
          <w:szCs w:val="16"/>
        </w:rPr>
      </w:pPr>
      <w:r w:rsidRPr="001F7128">
        <w:rPr>
          <w:rStyle w:val="FootnoteReference"/>
          <w:szCs w:val="16"/>
        </w:rPr>
        <w:footnoteRef/>
      </w:r>
      <w:r w:rsidRPr="001F7128">
        <w:rPr>
          <w:szCs w:val="16"/>
        </w:rPr>
        <w:t xml:space="preserve"> AWS for example reports 1.05m of individuals certified to their products. </w:t>
      </w:r>
      <w:hyperlink r:id="rId24" w:history="1">
        <w:r w:rsidRPr="001F7128">
          <w:rPr>
            <w:rStyle w:val="Hyperlink"/>
            <w:szCs w:val="16"/>
          </w:rPr>
          <w:t>AWS Certification</w:t>
        </w:r>
      </w:hyperlink>
      <w:r w:rsidRPr="001F7128">
        <w:rPr>
          <w:szCs w:val="16"/>
        </w:rPr>
        <w:t>.</w:t>
      </w:r>
    </w:p>
  </w:footnote>
  <w:footnote w:id="40">
    <w:p w14:paraId="02BD06B9" w14:textId="77777777" w:rsidR="00E61374" w:rsidRPr="001F7128" w:rsidRDefault="00E61374" w:rsidP="00E61374">
      <w:pPr>
        <w:pStyle w:val="FootnoteText"/>
        <w:rPr>
          <w:szCs w:val="16"/>
        </w:rPr>
      </w:pPr>
      <w:r w:rsidRPr="001F7128">
        <w:rPr>
          <w:rStyle w:val="FootnoteReference"/>
          <w:szCs w:val="16"/>
        </w:rPr>
        <w:footnoteRef/>
      </w:r>
      <w:r w:rsidRPr="001F7128">
        <w:rPr>
          <w:szCs w:val="16"/>
        </w:rPr>
        <w:t xml:space="preserve"> </w:t>
      </w:r>
      <w:hyperlink r:id="rId25" w:history="1">
        <w:r w:rsidRPr="001F7128">
          <w:rPr>
            <w:rStyle w:val="Hyperlink"/>
            <w:szCs w:val="16"/>
          </w:rPr>
          <w:t>See Ofcom’s Cloud Services market study – October 2023</w:t>
        </w:r>
      </w:hyperlink>
      <w:r w:rsidRPr="001F7128">
        <w:rPr>
          <w:szCs w:val="16"/>
        </w:rPr>
        <w:t xml:space="preserve">. This structural dependence on non-EU proprietary solutions has also been cited by several SMEs as part of their Call for Evidence contribution. </w:t>
      </w:r>
    </w:p>
  </w:footnote>
  <w:footnote w:id="41">
    <w:p w14:paraId="24B70DA7" w14:textId="77777777" w:rsidR="00763C5E" w:rsidRPr="001F7128" w:rsidRDefault="00763C5E" w:rsidP="00763C5E">
      <w:pPr>
        <w:pStyle w:val="FootnoteText"/>
        <w:rPr>
          <w:szCs w:val="16"/>
        </w:rPr>
      </w:pPr>
      <w:r w:rsidRPr="001F7128">
        <w:rPr>
          <w:rStyle w:val="FootnoteReference"/>
          <w:szCs w:val="16"/>
        </w:rPr>
        <w:footnoteRef/>
      </w:r>
      <w:r w:rsidRPr="001F7128">
        <w:rPr>
          <w:szCs w:val="16"/>
        </w:rPr>
        <w:t xml:space="preserve"> </w:t>
      </w:r>
      <w:hyperlink r:id="rId26" w:history="1">
        <w:r w:rsidRPr="001F7128">
          <w:rPr>
            <w:rStyle w:val="Hyperlink"/>
            <w:szCs w:val="16"/>
          </w:rPr>
          <w:t>Competition authorities</w:t>
        </w:r>
      </w:hyperlink>
      <w:r w:rsidRPr="001F7128">
        <w:rPr>
          <w:szCs w:val="16"/>
        </w:rPr>
        <w:t xml:space="preserve"> are increasingly scrutinising behaviours such as switching barriers of technical, contractual, and financial nature (including egress charges). Other relevant factors are a lack of standardisation and interoperability among services and the ability of large providers to attract customers through free credits and volume discounts. As discussed in section 1.2 and Annex 7, the Data Act creates a right for customers to switch and tackles relevant barriers. </w:t>
      </w:r>
    </w:p>
  </w:footnote>
  <w:footnote w:id="42">
    <w:p w14:paraId="12FDE34E" w14:textId="77777777" w:rsidR="00763C5E" w:rsidRPr="00D6434E" w:rsidRDefault="00763C5E" w:rsidP="00763C5E">
      <w:pPr>
        <w:pStyle w:val="FootnoteText"/>
        <w:rPr>
          <w:szCs w:val="16"/>
        </w:rPr>
      </w:pPr>
      <w:r w:rsidRPr="00D6434E">
        <w:rPr>
          <w:rStyle w:val="FootnoteReference"/>
          <w:szCs w:val="16"/>
        </w:rPr>
        <w:footnoteRef/>
      </w:r>
      <w:r w:rsidRPr="00D6434E">
        <w:rPr>
          <w:szCs w:val="16"/>
        </w:rPr>
        <w:t xml:space="preserve"> The entry barriers for EU providers are, for example, described in the Autorité de la Concurrence’s opinion on competition in the cloud sector: </w:t>
      </w:r>
      <w:hyperlink r:id="rId27" w:history="1">
        <w:r w:rsidRPr="00D6434E">
          <w:rPr>
            <w:rStyle w:val="Hyperlink"/>
            <w:szCs w:val="16"/>
          </w:rPr>
          <w:t>Avis 23-A-08 du 29 juin 2023</w:t>
        </w:r>
      </w:hyperlink>
      <w:r w:rsidRPr="00D6434E">
        <w:rPr>
          <w:szCs w:val="16"/>
        </w:rPr>
        <w:t>.</w:t>
      </w:r>
    </w:p>
  </w:footnote>
  <w:footnote w:id="43">
    <w:p w14:paraId="78BFE7AC" w14:textId="77777777" w:rsidR="00217FB5" w:rsidRPr="004C6CA7" w:rsidRDefault="00217FB5" w:rsidP="00217FB5">
      <w:pPr>
        <w:pStyle w:val="FootnoteText"/>
      </w:pPr>
      <w:r>
        <w:rPr>
          <w:rStyle w:val="FootnoteReference"/>
        </w:rPr>
        <w:footnoteRef/>
      </w:r>
      <w:r>
        <w:t xml:space="preserve"> </w:t>
      </w:r>
      <w:r w:rsidRPr="0029339B">
        <w:t>Cloud credits are typically offered as</w:t>
      </w:r>
      <w:r>
        <w:t xml:space="preserve"> short-term credits to attract new customers or motivate existing customers to adopt a new service or as long-term credits for selected customers, especially start-ups, to allow them to grow a cloud-native business in the environment of a given CSP. See: </w:t>
      </w:r>
      <w:hyperlink r:id="rId28" w:history="1">
        <w:r w:rsidRPr="000965FF">
          <w:rPr>
            <w:rStyle w:val="Hyperlink"/>
          </w:rPr>
          <w:t>Report Covers</w:t>
        </w:r>
      </w:hyperlink>
      <w:r>
        <w:t xml:space="preserve">. Ofcom has found that </w:t>
      </w:r>
      <w:r w:rsidRPr="00844F2F">
        <w:t>AWS offers up to $100k, Microsoft offers up to $150k, and Google offers up to $100k for each year over two years (so a total of $200k), as part of their credit programs for ‘start-ups’.</w:t>
      </w:r>
      <w:r>
        <w:t xml:space="preserve"> See: </w:t>
      </w:r>
      <w:hyperlink r:id="rId29" w:history="1">
        <w:r w:rsidRPr="001C6353">
          <w:rPr>
            <w:rStyle w:val="Hyperlink"/>
          </w:rPr>
          <w:t>Cloud services market study final report</w:t>
        </w:r>
      </w:hyperlink>
      <w:r>
        <w:t xml:space="preserve">. </w:t>
      </w:r>
    </w:p>
  </w:footnote>
  <w:footnote w:id="44">
    <w:p w14:paraId="7AF12A9B" w14:textId="17558F52" w:rsidR="00150710" w:rsidRPr="001F7128" w:rsidRDefault="00150710" w:rsidP="00150710">
      <w:pPr>
        <w:pStyle w:val="FootnoteText"/>
        <w:rPr>
          <w:szCs w:val="16"/>
        </w:rPr>
      </w:pPr>
      <w:r w:rsidRPr="001F7128">
        <w:rPr>
          <w:rStyle w:val="FootnoteReference"/>
          <w:szCs w:val="16"/>
        </w:rPr>
        <w:footnoteRef/>
      </w:r>
      <w:r w:rsidRPr="001F7128">
        <w:rPr>
          <w:szCs w:val="16"/>
        </w:rPr>
        <w:t xml:space="preserve"> As discussed in this section, the simple fact of widespread uptake does not equate to a superior quality of services by non-European providers. Instead, the breadth and integrated nature of services is a major factor of distinction. </w:t>
      </w:r>
    </w:p>
  </w:footnote>
  <w:footnote w:id="45">
    <w:p w14:paraId="25009BBF" w14:textId="77777777" w:rsidR="00E61374" w:rsidRPr="001F7128" w:rsidRDefault="00E61374" w:rsidP="00E61374">
      <w:pPr>
        <w:pStyle w:val="FootnoteText"/>
        <w:rPr>
          <w:szCs w:val="16"/>
        </w:rPr>
      </w:pPr>
      <w:r w:rsidRPr="001F7128">
        <w:rPr>
          <w:rStyle w:val="FootnoteReference"/>
          <w:szCs w:val="16"/>
        </w:rPr>
        <w:footnoteRef/>
      </w:r>
      <w:r w:rsidRPr="001F7128">
        <w:rPr>
          <w:szCs w:val="16"/>
        </w:rPr>
        <w:t xml:space="preserve"> SMEs have also pointed to workforce certifications being skewed towards non-EU vendors, thus reducing the possible adoption of European alternatives.</w:t>
      </w:r>
    </w:p>
  </w:footnote>
  <w:footnote w:id="46">
    <w:p w14:paraId="2363C72E" w14:textId="77777777" w:rsidR="00E61374" w:rsidRPr="004D7982" w:rsidRDefault="00E61374" w:rsidP="00E61374">
      <w:pPr>
        <w:pStyle w:val="FootnoteText"/>
        <w:rPr>
          <w:sz w:val="18"/>
          <w:szCs w:val="18"/>
        </w:rPr>
      </w:pPr>
      <w:r w:rsidRPr="001F7128">
        <w:rPr>
          <w:rStyle w:val="FootnoteReference"/>
          <w:szCs w:val="16"/>
        </w:rPr>
        <w:footnoteRef/>
      </w:r>
      <w:r w:rsidRPr="001F7128">
        <w:rPr>
          <w:szCs w:val="16"/>
        </w:rPr>
        <w:t xml:space="preserve"> A cloud broker is a 3</w:t>
      </w:r>
      <w:r w:rsidRPr="001F7128">
        <w:rPr>
          <w:szCs w:val="16"/>
          <w:vertAlign w:val="superscript"/>
        </w:rPr>
        <w:t>rd</w:t>
      </w:r>
      <w:r w:rsidRPr="001F7128">
        <w:rPr>
          <w:szCs w:val="16"/>
        </w:rPr>
        <w:t xml:space="preserve">-party that adds value to cloud services on behalf of cloud service consumers. It delivers: 1) aggregation from multiple cloud services (from possibly different providers) into a unified offering 2) arbitration, allowing switch among multiple providers dynamically based on e.g. cost 3) intermediation. </w:t>
      </w:r>
      <w:hyperlink r:id="rId30" w:history="1">
        <w:r w:rsidRPr="001F7128">
          <w:rPr>
            <w:rStyle w:val="Hyperlink"/>
            <w:szCs w:val="16"/>
          </w:rPr>
          <w:t>Gartner</w:t>
        </w:r>
      </w:hyperlink>
      <w:r w:rsidRPr="001F7128">
        <w:rPr>
          <w:szCs w:val="16"/>
        </w:rPr>
        <w:t xml:space="preserve">, </w:t>
      </w:r>
      <w:hyperlink r:id="rId31" w:history="1">
        <w:r w:rsidRPr="001F7128">
          <w:rPr>
            <w:rStyle w:val="Hyperlink"/>
            <w:szCs w:val="16"/>
          </w:rPr>
          <w:t>Alonso et al. “Federated Cloud Service Broker (FCSB): An Advanced Cloud Service Intermediator for Public Administrations” .</w:t>
        </w:r>
      </w:hyperlink>
    </w:p>
  </w:footnote>
  <w:footnote w:id="47">
    <w:p w14:paraId="38F36CF4" w14:textId="77777777" w:rsidR="00D109C3" w:rsidRPr="00F91F11" w:rsidRDefault="00D109C3" w:rsidP="00D109C3">
      <w:pPr>
        <w:pStyle w:val="FootnoteText"/>
        <w:rPr>
          <w:lang w:val="en-IE"/>
        </w:rPr>
      </w:pPr>
      <w:r>
        <w:rPr>
          <w:rStyle w:val="FootnoteReference"/>
        </w:rPr>
        <w:footnoteRef/>
      </w:r>
      <w:r>
        <w:t xml:space="preserve"> See </w:t>
      </w:r>
      <w:hyperlink r:id="rId32" w:history="1">
        <w:r w:rsidRPr="00267A5D">
          <w:rPr>
            <w:rStyle w:val="Hyperlink"/>
          </w:rPr>
          <w:t>Eurostat</w:t>
        </w:r>
      </w:hyperlink>
      <w:r>
        <w:t xml:space="preserve"> </w:t>
      </w:r>
    </w:p>
  </w:footnote>
  <w:footnote w:id="48">
    <w:p w14:paraId="132BCEF7" w14:textId="79C3C574" w:rsidR="00BC0C0F" w:rsidRPr="00BC0C0F" w:rsidRDefault="00BC0C0F">
      <w:pPr>
        <w:pStyle w:val="FootnoteText"/>
        <w:rPr>
          <w:lang w:val="en-US"/>
        </w:rPr>
      </w:pPr>
      <w:r>
        <w:rPr>
          <w:rStyle w:val="FootnoteReference"/>
        </w:rPr>
        <w:footnoteRef/>
      </w:r>
      <w:r>
        <w:t xml:space="preserve"> </w:t>
      </w:r>
      <w:r w:rsidRPr="00BC0C0F">
        <w:rPr>
          <w:lang w:val="en-US"/>
        </w:rPr>
        <w:t xml:space="preserve">See </w:t>
      </w:r>
      <w:r w:rsidR="009E5014">
        <w:rPr>
          <w:lang w:val="en-US"/>
        </w:rPr>
        <w:t xml:space="preserve">the </w:t>
      </w:r>
      <w:hyperlink r:id="rId33" w:history="1">
        <w:r w:rsidR="009E5014" w:rsidRPr="00DD6226">
          <w:rPr>
            <w:rStyle w:val="Hyperlink"/>
            <w:lang w:val="en-US"/>
          </w:rPr>
          <w:t xml:space="preserve">blog post </w:t>
        </w:r>
        <w:r w:rsidR="00A358E3" w:rsidRPr="00DD6226">
          <w:rPr>
            <w:rStyle w:val="Hyperlink"/>
            <w:lang w:val="en-US"/>
          </w:rPr>
          <w:t xml:space="preserve">introducing </w:t>
        </w:r>
        <w:r w:rsidR="007677B7" w:rsidRPr="00DD6226">
          <w:rPr>
            <w:rStyle w:val="Hyperlink"/>
            <w:lang w:val="en-US"/>
          </w:rPr>
          <w:t xml:space="preserve">the Civo </w:t>
        </w:r>
        <w:r w:rsidR="0005605B" w:rsidRPr="00DD6226">
          <w:rPr>
            <w:rStyle w:val="Hyperlink"/>
            <w:lang w:val="en-US"/>
          </w:rPr>
          <w:t>2024</w:t>
        </w:r>
      </w:hyperlink>
      <w:r w:rsidR="0005605B">
        <w:rPr>
          <w:lang w:val="en-US"/>
        </w:rPr>
        <w:t xml:space="preserve"> </w:t>
      </w:r>
      <w:r w:rsidR="00DD6226">
        <w:rPr>
          <w:lang w:val="en-US"/>
        </w:rPr>
        <w:t>report ‘</w:t>
      </w:r>
      <w:r w:rsidR="00DD6226" w:rsidRPr="00DD6226">
        <w:rPr>
          <w:i/>
          <w:iCs/>
          <w:lang w:val="en-US"/>
        </w:rPr>
        <w:t>Has Cloud Computing lost its way to complexity and cost?</w:t>
      </w:r>
      <w:r w:rsidR="00DD6226">
        <w:rPr>
          <w:lang w:val="en-US"/>
        </w:rPr>
        <w:t>’</w:t>
      </w:r>
    </w:p>
  </w:footnote>
  <w:footnote w:id="49">
    <w:p w14:paraId="710924A5" w14:textId="77777777" w:rsidR="00587965" w:rsidRPr="001F7128" w:rsidRDefault="00587965" w:rsidP="00587965">
      <w:pPr>
        <w:pStyle w:val="FootnoteText"/>
        <w:rPr>
          <w:szCs w:val="16"/>
        </w:rPr>
      </w:pPr>
      <w:r w:rsidRPr="001F7128">
        <w:rPr>
          <w:rStyle w:val="FootnoteReference"/>
          <w:szCs w:val="16"/>
        </w:rPr>
        <w:footnoteRef/>
      </w:r>
      <w:r w:rsidRPr="001F7128">
        <w:rPr>
          <w:szCs w:val="16"/>
        </w:rPr>
        <w:t xml:space="preserve"> Diverging national cloud cybersecurity certification schemes require providers to get certified several times.</w:t>
      </w:r>
    </w:p>
  </w:footnote>
  <w:footnote w:id="50">
    <w:p w14:paraId="4DD5CF16" w14:textId="3667A133" w:rsidR="005B1D18" w:rsidRPr="00A07730" w:rsidRDefault="005B1D18">
      <w:pPr>
        <w:pStyle w:val="FootnoteText"/>
        <w:rPr>
          <w:lang w:val="en-IE"/>
        </w:rPr>
      </w:pPr>
      <w:r>
        <w:rPr>
          <w:rStyle w:val="FootnoteReference"/>
        </w:rPr>
        <w:footnoteRef/>
      </w:r>
      <w:r>
        <w:t xml:space="preserve"> </w:t>
      </w:r>
      <w:r w:rsidR="00A07730" w:rsidRPr="00A07730">
        <w:t>https://firmsworld.com/ionos-group-comprehensive-profile</w:t>
      </w:r>
    </w:p>
  </w:footnote>
  <w:footnote w:id="51">
    <w:p w14:paraId="47BB3B60" w14:textId="7207D4AE" w:rsidR="0013036B" w:rsidRPr="00A07730" w:rsidRDefault="0013036B">
      <w:pPr>
        <w:pStyle w:val="FootnoteText"/>
        <w:rPr>
          <w:lang w:val="en-IE"/>
        </w:rPr>
      </w:pPr>
      <w:r>
        <w:rPr>
          <w:rStyle w:val="FootnoteReference"/>
        </w:rPr>
        <w:footnoteRef/>
      </w:r>
      <w:r>
        <w:t xml:space="preserve"> </w:t>
      </w:r>
      <w:hyperlink r:id="rId34" w:history="1">
        <w:r w:rsidRPr="0013036B">
          <w:rPr>
            <w:rStyle w:val="Hyperlink"/>
          </w:rPr>
          <w:t>List of Aruba Cloud Customers</w:t>
        </w:r>
      </w:hyperlink>
    </w:p>
  </w:footnote>
  <w:footnote w:id="52">
    <w:p w14:paraId="02DF8996" w14:textId="3238436F" w:rsidR="00B8149A" w:rsidRPr="00761944" w:rsidRDefault="00B8149A">
      <w:pPr>
        <w:pStyle w:val="FootnoteText"/>
        <w:rPr>
          <w:lang w:val="en-IE"/>
        </w:rPr>
      </w:pPr>
      <w:r>
        <w:rPr>
          <w:rStyle w:val="FootnoteReference"/>
        </w:rPr>
        <w:footnoteRef/>
      </w:r>
      <w:r>
        <w:t xml:space="preserve"> </w:t>
      </w:r>
      <w:hyperlink r:id="rId35" w:history="1">
        <w:r w:rsidRPr="00B8149A">
          <w:rPr>
            <w:rStyle w:val="Hyperlink"/>
          </w:rPr>
          <w:t>European_CloudEdge_Technology_Investment_Roadmap_for_publication_pMdz85DSw6nqPppq8hE9S9RbB8_76223.pdf</w:t>
        </w:r>
      </w:hyperlink>
    </w:p>
  </w:footnote>
  <w:footnote w:id="53">
    <w:p w14:paraId="42C68CE9" w14:textId="28BDA1C5" w:rsidR="000F343D" w:rsidRPr="00D477A2" w:rsidRDefault="000F343D">
      <w:pPr>
        <w:pStyle w:val="FootnoteText"/>
        <w:rPr>
          <w:sz w:val="18"/>
          <w:szCs w:val="18"/>
        </w:rPr>
      </w:pPr>
      <w:r>
        <w:rPr>
          <w:rStyle w:val="FootnoteReference"/>
        </w:rPr>
        <w:footnoteRef/>
      </w:r>
      <w:r>
        <w:t xml:space="preserve"> </w:t>
      </w:r>
      <w:r>
        <w:rPr>
          <w:szCs w:val="16"/>
        </w:rPr>
        <w:t xml:space="preserve">For the complete analysis on the </w:t>
      </w:r>
      <w:r w:rsidR="00AE647C">
        <w:rPr>
          <w:szCs w:val="16"/>
        </w:rPr>
        <w:t xml:space="preserve">different regulations </w:t>
      </w:r>
      <w:r w:rsidR="009A7DD3">
        <w:rPr>
          <w:szCs w:val="16"/>
        </w:rPr>
        <w:t xml:space="preserve">concerning data centre deployment </w:t>
      </w:r>
      <w:r>
        <w:rPr>
          <w:szCs w:val="16"/>
        </w:rPr>
        <w:t xml:space="preserve">in 12 MS, see Annex 4 section 9. </w:t>
      </w:r>
      <w:r w:rsidR="00A660F2">
        <w:rPr>
          <w:szCs w:val="16"/>
        </w:rPr>
        <w:t>See also here</w:t>
      </w:r>
      <w:r w:rsidR="00421CDE">
        <w:rPr>
          <w:szCs w:val="16"/>
        </w:rPr>
        <w:t xml:space="preserve"> p</w:t>
      </w:r>
      <w:r w:rsidR="00D90DFC">
        <w:rPr>
          <w:szCs w:val="16"/>
        </w:rPr>
        <w:t>p</w:t>
      </w:r>
      <w:r w:rsidR="00A63B9A">
        <w:rPr>
          <w:szCs w:val="16"/>
        </w:rPr>
        <w:t xml:space="preserve"> 19</w:t>
      </w:r>
      <w:r w:rsidR="00D90DFC">
        <w:rPr>
          <w:szCs w:val="16"/>
        </w:rPr>
        <w:t>-20</w:t>
      </w:r>
      <w:r w:rsidR="0064477D">
        <w:rPr>
          <w:szCs w:val="16"/>
        </w:rPr>
        <w:t>:</w:t>
      </w:r>
      <w:r w:rsidR="00421CDE" w:rsidRPr="00421CDE">
        <w:rPr>
          <w:rFonts w:eastAsiaTheme="minorHAnsi"/>
          <w:sz w:val="24"/>
          <w:szCs w:val="24"/>
        </w:rPr>
        <w:t xml:space="preserve"> </w:t>
      </w:r>
      <w:hyperlink r:id="rId36" w:history="1">
        <w:r w:rsidR="00421CDE" w:rsidRPr="00421CDE">
          <w:rPr>
            <w:rStyle w:val="Hyperlink"/>
            <w:szCs w:val="16"/>
          </w:rPr>
          <w:t>2025-Data-Center-Site-Selection-Dynamic-Brief.pdf</w:t>
        </w:r>
      </w:hyperlink>
      <w:r w:rsidR="0064477D">
        <w:rPr>
          <w:szCs w:val="16"/>
        </w:rPr>
        <w:t xml:space="preserve"> </w:t>
      </w:r>
    </w:p>
  </w:footnote>
  <w:footnote w:id="54">
    <w:p w14:paraId="7B4CC12E" w14:textId="77777777" w:rsidR="00716814" w:rsidRPr="00175DA4" w:rsidRDefault="00716814" w:rsidP="00716814">
      <w:pPr>
        <w:pStyle w:val="FootnoteText"/>
      </w:pPr>
      <w:r>
        <w:rPr>
          <w:rStyle w:val="FootnoteReference"/>
        </w:rPr>
        <w:footnoteRef/>
      </w:r>
      <w:r>
        <w:t xml:space="preserve"> </w:t>
      </w:r>
      <w:r w:rsidRPr="005E4711">
        <w:rPr>
          <w:szCs w:val="16"/>
        </w:rPr>
        <w:t xml:space="preserve">Watson Farley &amp; Williams (2024). Data centres: An international legal and regulatory perspective—Spotlight on Germany. Available at: </w:t>
      </w:r>
      <w:hyperlink r:id="rId37" w:history="1">
        <w:r w:rsidRPr="005E4711">
          <w:rPr>
            <w:rStyle w:val="Hyperlink"/>
            <w:szCs w:val="16"/>
          </w:rPr>
          <w:t>https://www.wfw.com/articles/data-centres-an-international-legal-and-regulatory-perspective-spotlight-on-germany</w:t>
        </w:r>
      </w:hyperlink>
    </w:p>
  </w:footnote>
  <w:footnote w:id="55">
    <w:p w14:paraId="4A9BF0D4" w14:textId="77777777" w:rsidR="00716814" w:rsidRPr="006368D3" w:rsidRDefault="00716814" w:rsidP="00716814">
      <w:pPr>
        <w:pStyle w:val="FootnoteText"/>
      </w:pPr>
      <w:r>
        <w:rPr>
          <w:rStyle w:val="FootnoteReference"/>
        </w:rPr>
        <w:footnoteRef/>
      </w:r>
      <w:r>
        <w:t xml:space="preserve"> </w:t>
      </w:r>
      <w:r w:rsidRPr="005E4711">
        <w:rPr>
          <w:szCs w:val="16"/>
        </w:rPr>
        <w:t xml:space="preserve">Royal HaskoningDHV (2023Navigating Dutch data centre challenges and opportunities. </w:t>
      </w:r>
      <w:hyperlink r:id="rId38" w:history="1">
        <w:r w:rsidRPr="005E4711">
          <w:rPr>
            <w:rStyle w:val="Hyperlink"/>
            <w:szCs w:val="16"/>
          </w:rPr>
          <w:t>https://www.haskoning.com/en/newsroom/blogs/2023/navigating-dutch-data-centre-challenges-and-opportunities</w:t>
        </w:r>
      </w:hyperlink>
    </w:p>
  </w:footnote>
  <w:footnote w:id="56">
    <w:p w14:paraId="5B72DD3D" w14:textId="77777777" w:rsidR="00716814" w:rsidRPr="00306A63" w:rsidRDefault="00716814" w:rsidP="00716814">
      <w:pPr>
        <w:pStyle w:val="FootnoteText"/>
      </w:pPr>
      <w:r>
        <w:rPr>
          <w:rStyle w:val="FootnoteReference"/>
        </w:rPr>
        <w:footnoteRef/>
      </w:r>
      <w:r>
        <w:t xml:space="preserve"> </w:t>
      </w:r>
      <w:r w:rsidRPr="005E4711">
        <w:rPr>
          <w:szCs w:val="16"/>
        </w:rPr>
        <w:t xml:space="preserve">Dudkowiak, M. (2025). Data Center Investments in Poland | Law &amp; Development Guide 2025. </w:t>
      </w:r>
      <w:r w:rsidRPr="00306A63">
        <w:rPr>
          <w:szCs w:val="16"/>
        </w:rPr>
        <w:t xml:space="preserve">Dudkowiak Kopeć &amp; Putyra. </w:t>
      </w:r>
      <w:hyperlink r:id="rId39" w:history="1">
        <w:r w:rsidRPr="00306A63">
          <w:rPr>
            <w:rStyle w:val="Hyperlink"/>
            <w:szCs w:val="16"/>
          </w:rPr>
          <w:t>https://www.dudkowiak.com/invest-in-poland/data-centers-investments-in-poland/</w:t>
        </w:r>
      </w:hyperlink>
    </w:p>
  </w:footnote>
  <w:footnote w:id="57">
    <w:p w14:paraId="476BC9F2" w14:textId="77777777" w:rsidR="00E61374" w:rsidRPr="00D6434E" w:rsidRDefault="00E61374" w:rsidP="00E61374">
      <w:pPr>
        <w:pStyle w:val="FootnoteText"/>
        <w:rPr>
          <w:szCs w:val="16"/>
        </w:rPr>
      </w:pPr>
      <w:r w:rsidRPr="00D6434E">
        <w:rPr>
          <w:rStyle w:val="FootnoteReference"/>
          <w:szCs w:val="16"/>
        </w:rPr>
        <w:footnoteRef/>
      </w:r>
      <w:r w:rsidRPr="00D6434E">
        <w:rPr>
          <w:szCs w:val="16"/>
        </w:rPr>
        <w:t xml:space="preserve"> See as an example, the </w:t>
      </w:r>
      <w:hyperlink r:id="rId40" w:history="1">
        <w:r w:rsidRPr="00D6434E">
          <w:rPr>
            <w:rStyle w:val="Hyperlink"/>
            <w:szCs w:val="16"/>
          </w:rPr>
          <w:t>case of Apple in Athenry in Ireland</w:t>
        </w:r>
      </w:hyperlink>
      <w:r w:rsidRPr="00D6434E">
        <w:rPr>
          <w:szCs w:val="16"/>
        </w:rPr>
        <w:t xml:space="preserve">. </w:t>
      </w:r>
    </w:p>
  </w:footnote>
  <w:footnote w:id="58">
    <w:p w14:paraId="20C96AF2" w14:textId="45BCC602" w:rsidR="008E562F" w:rsidRPr="009B0E9E" w:rsidRDefault="008E562F" w:rsidP="008E562F">
      <w:pPr>
        <w:pStyle w:val="FootnoteText"/>
      </w:pPr>
      <w:r>
        <w:rPr>
          <w:rStyle w:val="FootnoteReference"/>
        </w:rPr>
        <w:footnoteRef/>
      </w:r>
      <w:r>
        <w:t xml:space="preserve"> </w:t>
      </w:r>
      <w:r w:rsidRPr="009B0E9E">
        <w:t>Apple: see e.g., Guardian (2018), available (</w:t>
      </w:r>
      <w:hyperlink r:id="rId41" w:history="1">
        <w:r w:rsidRPr="00380BC6">
          <w:rPr>
            <w:rStyle w:val="Hyperlink"/>
          </w:rPr>
          <w:t>here</w:t>
        </w:r>
      </w:hyperlink>
      <w:r w:rsidRPr="009B0E9E">
        <w:t>) &amp; Data Centre Dynamics (2022), available (</w:t>
      </w:r>
      <w:hyperlink r:id="rId42" w:history="1">
        <w:r w:rsidRPr="00331AEF">
          <w:rPr>
            <w:rStyle w:val="Hyperlink"/>
          </w:rPr>
          <w:t>here</w:t>
        </w:r>
      </w:hyperlink>
      <w:r w:rsidRPr="009B0E9E">
        <w:t>). Google: see e.g., Delano (2025), available (</w:t>
      </w:r>
      <w:hyperlink r:id="rId43" w:history="1">
        <w:r w:rsidRPr="002A2361">
          <w:rPr>
            <w:rStyle w:val="Hyperlink"/>
          </w:rPr>
          <w:t>here</w:t>
        </w:r>
      </w:hyperlink>
      <w:r w:rsidRPr="009B0E9E">
        <w:t>) &amp; RTL (2024), available (</w:t>
      </w:r>
      <w:hyperlink r:id="rId44" w:history="1">
        <w:r w:rsidRPr="00CA3307">
          <w:rPr>
            <w:rStyle w:val="Hyperlink"/>
          </w:rPr>
          <w:t>here</w:t>
        </w:r>
      </w:hyperlink>
      <w:r w:rsidRPr="009B0E9E">
        <w:t>).</w:t>
      </w:r>
    </w:p>
  </w:footnote>
  <w:footnote w:id="59">
    <w:p w14:paraId="28D9712D" w14:textId="77777777" w:rsidR="009A5372" w:rsidRPr="004D7982" w:rsidRDefault="009A5372" w:rsidP="009A5372">
      <w:pPr>
        <w:pStyle w:val="FootnoteText"/>
        <w:rPr>
          <w:sz w:val="18"/>
          <w:szCs w:val="18"/>
        </w:rPr>
      </w:pPr>
      <w:r w:rsidRPr="00410925">
        <w:rPr>
          <w:rStyle w:val="FootnoteReference"/>
          <w:szCs w:val="16"/>
        </w:rPr>
        <w:footnoteRef/>
      </w:r>
      <w:r w:rsidRPr="00410925">
        <w:rPr>
          <w:szCs w:val="16"/>
        </w:rPr>
        <w:t xml:space="preserve"> Access to connectivity was also mentioned as a key problem by most of the SMEs in the public consultation.</w:t>
      </w:r>
      <w:r w:rsidRPr="004D7982">
        <w:rPr>
          <w:sz w:val="18"/>
          <w:szCs w:val="18"/>
        </w:rPr>
        <w:t xml:space="preserve"> </w:t>
      </w:r>
    </w:p>
  </w:footnote>
  <w:footnote w:id="60">
    <w:p w14:paraId="5729340D" w14:textId="77777777" w:rsidR="00E61374" w:rsidRPr="00410925" w:rsidRDefault="00E61374" w:rsidP="005014D8">
      <w:pPr>
        <w:pStyle w:val="FootnoteText"/>
        <w:rPr>
          <w:szCs w:val="16"/>
        </w:rPr>
      </w:pPr>
      <w:r w:rsidRPr="00410925">
        <w:rPr>
          <w:rStyle w:val="FootnoteReference"/>
          <w:szCs w:val="16"/>
        </w:rPr>
        <w:footnoteRef/>
      </w:r>
      <w:r w:rsidRPr="00410925">
        <w:rPr>
          <w:szCs w:val="16"/>
        </w:rPr>
        <w:t xml:space="preserve"> Average Price of Electricity to Ultimate Customers by End-Use Sector, available </w:t>
      </w:r>
      <w:hyperlink r:id="rId45" w:history="1">
        <w:r w:rsidRPr="00410925">
          <w:rPr>
            <w:rStyle w:val="Hyperlink"/>
            <w:szCs w:val="16"/>
          </w:rPr>
          <w:t>here</w:t>
        </w:r>
      </w:hyperlink>
      <w:r w:rsidRPr="00410925">
        <w:rPr>
          <w:szCs w:val="16"/>
        </w:rPr>
        <w:t xml:space="preserve">. </w:t>
      </w:r>
    </w:p>
  </w:footnote>
  <w:footnote w:id="61">
    <w:p w14:paraId="787E3349" w14:textId="77777777" w:rsidR="00E61374" w:rsidRPr="00410925" w:rsidRDefault="00E61374" w:rsidP="005014D8">
      <w:pPr>
        <w:pStyle w:val="FootnoteText"/>
        <w:rPr>
          <w:szCs w:val="16"/>
        </w:rPr>
      </w:pPr>
      <w:r w:rsidRPr="00410925">
        <w:rPr>
          <w:rStyle w:val="FootnoteReference"/>
          <w:szCs w:val="16"/>
        </w:rPr>
        <w:footnoteRef/>
      </w:r>
      <w:r w:rsidRPr="00410925">
        <w:rPr>
          <w:szCs w:val="16"/>
        </w:rPr>
        <w:t xml:space="preserve"> </w:t>
      </w:r>
      <w:hyperlink r:id="rId46" w:history="1">
        <w:r w:rsidRPr="00410925">
          <w:rPr>
            <w:rStyle w:val="Hyperlink"/>
            <w:szCs w:val="16"/>
          </w:rPr>
          <w:t>China's Industrial Power Rates 2025: A Guide for Investors</w:t>
        </w:r>
      </w:hyperlink>
      <w:r w:rsidRPr="00410925">
        <w:rPr>
          <w:szCs w:val="16"/>
        </w:rPr>
        <w:t>.</w:t>
      </w:r>
    </w:p>
  </w:footnote>
  <w:footnote w:id="62">
    <w:p w14:paraId="064A4FDB" w14:textId="77777777" w:rsidR="00E61374" w:rsidRPr="00410925" w:rsidRDefault="00E61374" w:rsidP="005014D8">
      <w:pPr>
        <w:pStyle w:val="FootnoteText"/>
        <w:rPr>
          <w:szCs w:val="16"/>
        </w:rPr>
      </w:pPr>
      <w:r w:rsidRPr="00410925">
        <w:rPr>
          <w:rStyle w:val="FootnoteReference"/>
          <w:szCs w:val="16"/>
        </w:rPr>
        <w:footnoteRef/>
      </w:r>
      <w:r w:rsidRPr="00410925">
        <w:rPr>
          <w:szCs w:val="16"/>
        </w:rPr>
        <w:t xml:space="preserve"> Eurostat’s non-household prices refer to the standard medium industrial band (annual consumption 500 to 1999 MWh) including all non-recoverable taxes and levies. These are widely used as an official benchmark for industrial power costs and for comparing Member States. Available </w:t>
      </w:r>
      <w:hyperlink r:id="rId47" w:history="1">
        <w:r w:rsidRPr="00410925">
          <w:rPr>
            <w:rStyle w:val="Hyperlink"/>
            <w:szCs w:val="16"/>
          </w:rPr>
          <w:t>here</w:t>
        </w:r>
      </w:hyperlink>
      <w:r w:rsidRPr="00410925">
        <w:rPr>
          <w:szCs w:val="16"/>
        </w:rPr>
        <w:t>.</w:t>
      </w:r>
    </w:p>
  </w:footnote>
  <w:footnote w:id="63">
    <w:p w14:paraId="580E0B3D" w14:textId="502DD962"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This was also flagged by all the SMEs responding to the questionnaire as an important or highly important problem their organisation has encountered when expanding or building their infrastructure in the EU. SME also underlined that availability and affordability of (low carbon) energy, and of a utility provider’s infrastructure nearby where the key factors that have driven their decision to select a </w:t>
      </w:r>
      <w:r w:rsidR="000436CB">
        <w:rPr>
          <w:szCs w:val="16"/>
        </w:rPr>
        <w:t>DC</w:t>
      </w:r>
      <w:r w:rsidRPr="00410925">
        <w:rPr>
          <w:szCs w:val="16"/>
        </w:rPr>
        <w:t xml:space="preserve">’s location. </w:t>
      </w:r>
    </w:p>
  </w:footnote>
  <w:footnote w:id="64">
    <w:p w14:paraId="07A6B970" w14:textId="4956CDC6" w:rsidR="001B3CFD" w:rsidRPr="001B3CFD" w:rsidRDefault="001B3CFD">
      <w:pPr>
        <w:pStyle w:val="FootnoteText"/>
      </w:pPr>
      <w:r>
        <w:rPr>
          <w:rStyle w:val="FootnoteReference"/>
        </w:rPr>
        <w:footnoteRef/>
      </w:r>
      <w:r>
        <w:t xml:space="preserve"> It is important to note that these delays are the result of grid congestion and limited availability.</w:t>
      </w:r>
      <w:r w:rsidRPr="001B3CFD">
        <w:rPr>
          <w:rFonts w:ascii="Segoe UI" w:eastAsiaTheme="minorHAnsi" w:hAnsi="Segoe UI" w:cs="Segoe UI"/>
          <w:sz w:val="18"/>
          <w:szCs w:val="18"/>
        </w:rPr>
        <w:t xml:space="preserve"> </w:t>
      </w:r>
      <w:r>
        <w:t>W</w:t>
      </w:r>
      <w:r w:rsidRPr="001B3CFD">
        <w:t>hen it comes to grid connection, a 3 months deadline for receiving information on treatment of the connection request (i.e., the result of the permitting procedure) has been introduced by 2024 amendments to the Directive (EU) 2019/944.</w:t>
      </w:r>
    </w:p>
  </w:footnote>
  <w:footnote w:id="65">
    <w:p w14:paraId="6EB25A56" w14:textId="30014BE7"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Today’s </w:t>
      </w:r>
      <w:r w:rsidR="000436CB">
        <w:rPr>
          <w:szCs w:val="16"/>
        </w:rPr>
        <w:t xml:space="preserve">DC </w:t>
      </w:r>
      <w:r w:rsidRPr="00410925">
        <w:rPr>
          <w:szCs w:val="16"/>
        </w:rPr>
        <w:t xml:space="preserve">scope 1 emissions are largely limited to diesel back-up generators which typically operate only a few </w:t>
      </w:r>
      <w:r w:rsidRPr="00410925" w:rsidDel="00115C17">
        <w:rPr>
          <w:szCs w:val="16"/>
        </w:rPr>
        <w:t xml:space="preserve">days </w:t>
      </w:r>
      <w:r w:rsidRPr="00410925">
        <w:rPr>
          <w:szCs w:val="16"/>
        </w:rPr>
        <w:t xml:space="preserve">per year for testing. </w:t>
      </w:r>
    </w:p>
  </w:footnote>
  <w:footnote w:id="66">
    <w:p w14:paraId="08757F5F" w14:textId="516FFEE8"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In the public consultation, </w:t>
      </w:r>
      <w:r w:rsidR="00410925" w:rsidRPr="00410925">
        <w:rPr>
          <w:szCs w:val="16"/>
        </w:rPr>
        <w:t>most</w:t>
      </w:r>
      <w:r w:rsidRPr="00410925">
        <w:rPr>
          <w:szCs w:val="16"/>
        </w:rPr>
        <w:t xml:space="preserve"> SMEs flagged having difficulties in getting funding to develop capacities. Among the respondents to follow-up questions, several flagged access to finance and/or high interest rates when procuring next generation GPUs as a key limitation to expand capacity. </w:t>
      </w:r>
      <w:r w:rsidR="002A18DE">
        <w:rPr>
          <w:szCs w:val="16"/>
        </w:rPr>
        <w:t>On</w:t>
      </w:r>
      <w:r w:rsidRPr="00410925">
        <w:rPr>
          <w:szCs w:val="16"/>
        </w:rPr>
        <w:t xml:space="preserve"> </w:t>
      </w:r>
      <w:r w:rsidR="002A18DE">
        <w:rPr>
          <w:szCs w:val="16"/>
        </w:rPr>
        <w:t>accessing</w:t>
      </w:r>
      <w:r w:rsidRPr="00410925">
        <w:rPr>
          <w:szCs w:val="16"/>
        </w:rPr>
        <w:t xml:space="preserve"> finance, SMEs frequently underlined difficulties in accessing capital, such as loans or equity.</w:t>
      </w:r>
    </w:p>
  </w:footnote>
  <w:footnote w:id="67">
    <w:p w14:paraId="1EA40DD2" w14:textId="0D02D4C0"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EU capital markets remain fragmented along national lines. The absence of a pan-European financing framework with common legal structures, or cross-border Real Estate Investment Trusts regimes underpin the difficulties of raising capital quickly.</w:t>
      </w:r>
    </w:p>
  </w:footnote>
  <w:footnote w:id="68">
    <w:p w14:paraId="6E99EC3A" w14:textId="31444D0F" w:rsidR="007E165E" w:rsidRPr="007E165E" w:rsidRDefault="007E165E">
      <w:pPr>
        <w:pStyle w:val="FootnoteText"/>
      </w:pPr>
      <w:r>
        <w:rPr>
          <w:rStyle w:val="FootnoteReference"/>
        </w:rPr>
        <w:footnoteRef/>
      </w:r>
      <w:r>
        <w:t xml:space="preserve"> Alternative cooling technologies can be used (often at the expense of a lesser energy efficiency).</w:t>
      </w:r>
    </w:p>
  </w:footnote>
  <w:footnote w:id="69">
    <w:p w14:paraId="6974B40F" w14:textId="77777777"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Public authorities’ ability to develop and operate cloud and AI solutions in-house is also often hampered by lower salaries in the public sector. Regarding limited ability to attract talent, see for example </w:t>
      </w:r>
      <w:hyperlink r:id="rId48" w:history="1">
        <w:r w:rsidRPr="00410925">
          <w:rPr>
            <w:rStyle w:val="Hyperlink"/>
            <w:szCs w:val="16"/>
          </w:rPr>
          <w:t>Strengthening the attractiveness of the public service in France</w:t>
        </w:r>
      </w:hyperlink>
      <w:r w:rsidRPr="00410925">
        <w:rPr>
          <w:szCs w:val="16"/>
        </w:rPr>
        <w:t xml:space="preserve"> – OECD – 2023, or the </w:t>
      </w:r>
      <w:hyperlink r:id="rId49" w:history="1">
        <w:r w:rsidRPr="00410925">
          <w:rPr>
            <w:rStyle w:val="Hyperlink"/>
            <w:szCs w:val="16"/>
          </w:rPr>
          <w:t>struggle by Italian data protection authority</w:t>
        </w:r>
      </w:hyperlink>
      <w:r w:rsidRPr="00410925">
        <w:rPr>
          <w:szCs w:val="16"/>
        </w:rPr>
        <w:t xml:space="preserve"> to recruit AI experts. Regarding budgetary constraints, see for example </w:t>
      </w:r>
      <w:hyperlink r:id="rId50" w:history="1">
        <w:r w:rsidRPr="00410925">
          <w:rPr>
            <w:rStyle w:val="Hyperlink"/>
            <w:szCs w:val="16"/>
          </w:rPr>
          <w:t>Data foundations for government: From AI ambition to action</w:t>
        </w:r>
      </w:hyperlink>
      <w:r w:rsidRPr="00410925">
        <w:rPr>
          <w:szCs w:val="16"/>
        </w:rPr>
        <w:t xml:space="preserve"> – Capgemini – 2025, where 66% public sector respondents report limited budgets for on-premise solutions as a factor limiting widespread adoption of Generative AI.</w:t>
      </w:r>
    </w:p>
  </w:footnote>
  <w:footnote w:id="70">
    <w:p w14:paraId="0F0A26B2" w14:textId="77777777" w:rsidR="00436341" w:rsidRDefault="00436341" w:rsidP="00436341">
      <w:pPr>
        <w:pStyle w:val="FootnoteText"/>
      </w:pPr>
      <w:r>
        <w:rPr>
          <w:rStyle w:val="FootnoteReference"/>
        </w:rPr>
        <w:footnoteRef/>
      </w:r>
      <w:r>
        <w:t xml:space="preserve"> OECD, 2025, </w:t>
      </w:r>
      <w:hyperlink r:id="rId51" w:history="1">
        <w:r w:rsidRPr="00257149">
          <w:rPr>
            <w:rStyle w:val="Hyperlink"/>
          </w:rPr>
          <w:t>Progress in Implementing the European Union Coordinated Plan on Artificial Intelligence (Volume 1) (EN)</w:t>
        </w:r>
      </w:hyperlink>
    </w:p>
  </w:footnote>
  <w:footnote w:id="71">
    <w:p w14:paraId="3D2CA48D" w14:textId="77777777" w:rsidR="00E61374" w:rsidRPr="00410925" w:rsidRDefault="00E61374" w:rsidP="00E61374">
      <w:pPr>
        <w:pStyle w:val="FootnoteText"/>
        <w:rPr>
          <w:szCs w:val="16"/>
        </w:rPr>
      </w:pPr>
      <w:r w:rsidRPr="00410925">
        <w:rPr>
          <w:rStyle w:val="FootnoteReference"/>
          <w:szCs w:val="16"/>
        </w:rPr>
        <w:footnoteRef/>
      </w:r>
      <w:r w:rsidRPr="00410925">
        <w:rPr>
          <w:szCs w:val="16"/>
        </w:rPr>
        <w:t xml:space="preserve"> SMEs responses to the Call for Evidence have highlighted how public tenders tend to be designed for non-EU incumbents with scarce consideration for European SMEs. </w:t>
      </w:r>
    </w:p>
  </w:footnote>
  <w:footnote w:id="72">
    <w:p w14:paraId="74B18DC9" w14:textId="77777777" w:rsidR="00E61374" w:rsidRPr="00B809A0" w:rsidRDefault="00E61374" w:rsidP="00E61374">
      <w:pPr>
        <w:pStyle w:val="FootnoteText"/>
        <w:rPr>
          <w:b/>
          <w:szCs w:val="16"/>
        </w:rPr>
      </w:pPr>
      <w:r w:rsidRPr="00410925">
        <w:rPr>
          <w:rStyle w:val="FootnoteReference"/>
          <w:szCs w:val="16"/>
        </w:rPr>
        <w:footnoteRef/>
      </w:r>
      <w:r w:rsidRPr="00410925">
        <w:rPr>
          <w:szCs w:val="16"/>
        </w:rPr>
        <w:t xml:space="preserve"> For the case of the Central government of the Netherlands, this is highlighted in a recent report by the Netherlands Court of Audit: </w:t>
      </w:r>
      <w:hyperlink r:id="rId52" w:history="1">
        <w:r w:rsidRPr="00410925">
          <w:rPr>
            <w:rStyle w:val="Hyperlink"/>
            <w:szCs w:val="16"/>
          </w:rPr>
          <w:t>Dutch central government in the cloud | Netherlands Court of Audit</w:t>
        </w:r>
      </w:hyperlink>
      <w:r w:rsidRPr="00410925">
        <w:rPr>
          <w:szCs w:val="16"/>
        </w:rPr>
        <w:t xml:space="preserve">. Similarly, the 2022 EDPB </w:t>
      </w:r>
      <w:hyperlink r:id="rId53" w:history="1">
        <w:r w:rsidRPr="00410925">
          <w:rPr>
            <w:rStyle w:val="Hyperlink"/>
            <w:szCs w:val="16"/>
          </w:rPr>
          <w:t>Coordinated Enforcement Action on the Use of cloud-based services by the public sector</w:t>
        </w:r>
      </w:hyperlink>
      <w:r w:rsidRPr="00B809A0">
        <w:rPr>
          <w:szCs w:val="16"/>
        </w:rPr>
        <w:t xml:space="preserve"> reports that only 1/3 of the services procured by the Member States involved was subject to the necessary Data Protection Impact Assessment.</w:t>
      </w:r>
    </w:p>
  </w:footnote>
  <w:footnote w:id="73">
    <w:p w14:paraId="5A994CAE" w14:textId="77777777" w:rsidR="00E61374" w:rsidRPr="00B809A0" w:rsidRDefault="00E61374" w:rsidP="00E61374">
      <w:pPr>
        <w:pStyle w:val="FootnoteText"/>
        <w:rPr>
          <w:szCs w:val="16"/>
          <w:lang w:val="de-DE"/>
        </w:rPr>
      </w:pPr>
      <w:r w:rsidRPr="00B809A0">
        <w:rPr>
          <w:rStyle w:val="FootnoteReference"/>
          <w:szCs w:val="16"/>
        </w:rPr>
        <w:footnoteRef/>
      </w:r>
      <w:r w:rsidRPr="00B809A0">
        <w:rPr>
          <w:szCs w:val="16"/>
        </w:rPr>
        <w:t xml:space="preserve"> For example, the Netherlands’ Court of Audit has found that out of 1588 cloud services audited, more than half were procured from AWS, Microsoft and Google. </w:t>
      </w:r>
      <w:r w:rsidRPr="00B809A0">
        <w:rPr>
          <w:szCs w:val="16"/>
          <w:lang w:val="de-DE"/>
        </w:rPr>
        <w:t xml:space="preserve">See also: </w:t>
      </w:r>
      <w:hyperlink r:id="rId54" w:history="1">
        <w:r w:rsidRPr="00B809A0">
          <w:rPr>
            <w:rStyle w:val="Hyperlink"/>
            <w:szCs w:val="16"/>
            <w:lang w:val="de-DE"/>
          </w:rPr>
          <w:t>Trotz Abhängigkeit und Datenschutzrisiken: Behörden gehen in die Microsoft-Cloud | Heise Online</w:t>
        </w:r>
      </w:hyperlink>
      <w:r w:rsidRPr="00B809A0">
        <w:rPr>
          <w:szCs w:val="16"/>
          <w:lang w:val="de-DE"/>
        </w:rPr>
        <w:t xml:space="preserve">. </w:t>
      </w:r>
    </w:p>
  </w:footnote>
  <w:footnote w:id="74">
    <w:p w14:paraId="461FA85F" w14:textId="77777777" w:rsidR="00E61374" w:rsidRPr="00B809A0" w:rsidRDefault="00E61374" w:rsidP="00E61374">
      <w:pPr>
        <w:pStyle w:val="FootnoteText"/>
        <w:rPr>
          <w:szCs w:val="16"/>
        </w:rPr>
      </w:pPr>
      <w:r w:rsidRPr="00B809A0">
        <w:rPr>
          <w:rStyle w:val="FootnoteReference"/>
          <w:szCs w:val="16"/>
        </w:rPr>
        <w:footnoteRef/>
      </w:r>
      <w:r w:rsidRPr="00B809A0">
        <w:rPr>
          <w:szCs w:val="16"/>
        </w:rPr>
        <w:t xml:space="preserve"> See for example the recent announcement of the State of Bavaria: </w:t>
      </w:r>
      <w:hyperlink r:id="rId55" w:history="1">
        <w:r w:rsidRPr="00B809A0">
          <w:rPr>
            <w:rStyle w:val="Hyperlink"/>
            <w:szCs w:val="16"/>
          </w:rPr>
          <w:t>Vertrag soll bis Jahresende stehen: Bayern will in die Microsoft-Cloud | heise online</w:t>
        </w:r>
      </w:hyperlink>
      <w:r w:rsidRPr="00B809A0">
        <w:rPr>
          <w:szCs w:val="16"/>
        </w:rPr>
        <w:t xml:space="preserve">. </w:t>
      </w:r>
    </w:p>
  </w:footnote>
  <w:footnote w:id="75">
    <w:p w14:paraId="478B1356" w14:textId="77777777" w:rsidR="00E61374" w:rsidRPr="00B809A0" w:rsidRDefault="00E61374" w:rsidP="00E61374">
      <w:pPr>
        <w:pStyle w:val="FootnoteText"/>
        <w:rPr>
          <w:szCs w:val="16"/>
        </w:rPr>
      </w:pPr>
      <w:r w:rsidRPr="00B809A0">
        <w:rPr>
          <w:rStyle w:val="FootnoteReference"/>
          <w:szCs w:val="16"/>
        </w:rPr>
        <w:footnoteRef/>
      </w:r>
      <w:r w:rsidRPr="00B809A0">
        <w:rPr>
          <w:szCs w:val="16"/>
        </w:rPr>
        <w:t xml:space="preserve"> See for example this tender for the provision of cloud services from the portfolio of the cloud provider AWS by an authorised cloud reseller: </w:t>
      </w:r>
      <w:hyperlink r:id="rId56" w:history="1">
        <w:r w:rsidRPr="00B809A0">
          <w:rPr>
            <w:rStyle w:val="Hyperlink"/>
            <w:szCs w:val="16"/>
          </w:rPr>
          <w:t>Bereitstellung von Cloud-Services für den Betrieb der Förderzentrale Deutschland (FZD) | BMWE</w:t>
        </w:r>
      </w:hyperlink>
      <w:r w:rsidRPr="00B809A0">
        <w:rPr>
          <w:szCs w:val="16"/>
        </w:rPr>
        <w:t xml:space="preserve">. </w:t>
      </w:r>
    </w:p>
  </w:footnote>
  <w:footnote w:id="76">
    <w:p w14:paraId="75ACAC54" w14:textId="25A7241C" w:rsidR="006F14DD" w:rsidRPr="006F14DD" w:rsidRDefault="006F14DD">
      <w:pPr>
        <w:pStyle w:val="FootnoteText"/>
      </w:pPr>
      <w:r>
        <w:rPr>
          <w:rStyle w:val="FootnoteReference"/>
        </w:rPr>
        <w:footnoteRef/>
      </w:r>
      <w:r>
        <w:t xml:space="preserve"> </w:t>
      </w:r>
      <w:hyperlink r:id="rId57" w:history="1">
        <w:r w:rsidRPr="006F14DD">
          <w:rPr>
            <w:rStyle w:val="Hyperlink"/>
          </w:rPr>
          <w:t>Cloud Defence: an exposed European flank</w:t>
        </w:r>
      </w:hyperlink>
      <w:r>
        <w:tab/>
      </w:r>
    </w:p>
  </w:footnote>
  <w:footnote w:id="77">
    <w:p w14:paraId="3D71A761" w14:textId="2C328E7F" w:rsidR="00E61374" w:rsidRPr="00B809A0" w:rsidRDefault="00E61374" w:rsidP="00E61374">
      <w:pPr>
        <w:pStyle w:val="FootnoteText"/>
        <w:rPr>
          <w:szCs w:val="16"/>
        </w:rPr>
      </w:pPr>
      <w:r w:rsidRPr="00B809A0">
        <w:rPr>
          <w:rStyle w:val="FootnoteReference"/>
          <w:szCs w:val="16"/>
        </w:rPr>
        <w:footnoteRef/>
      </w:r>
      <w:r w:rsidRPr="00B809A0">
        <w:rPr>
          <w:szCs w:val="16"/>
        </w:rPr>
        <w:t xml:space="preserve"> The 2023 </w:t>
      </w:r>
      <w:hyperlink r:id="rId58" w:history="1">
        <w:r w:rsidRPr="00B809A0">
          <w:rPr>
            <w:rStyle w:val="Hyperlink"/>
            <w:szCs w:val="16"/>
          </w:rPr>
          <w:t>Opinion 23-A-08</w:t>
        </w:r>
      </w:hyperlink>
      <w:r w:rsidRPr="00B809A0">
        <w:rPr>
          <w:szCs w:val="16"/>
        </w:rPr>
        <w:t xml:space="preserve"> of the French Autorit</w:t>
      </w:r>
      <w:r w:rsidR="00213E5E">
        <w:rPr>
          <w:szCs w:val="16"/>
        </w:rPr>
        <w:t>é</w:t>
      </w:r>
      <w:r w:rsidRPr="00B809A0">
        <w:rPr>
          <w:szCs w:val="16"/>
        </w:rPr>
        <w:t xml:space="preserve"> de la </w:t>
      </w:r>
      <w:r w:rsidR="00213E5E">
        <w:rPr>
          <w:szCs w:val="16"/>
        </w:rPr>
        <w:t>C</w:t>
      </w:r>
      <w:r w:rsidRPr="00B809A0">
        <w:rPr>
          <w:szCs w:val="16"/>
        </w:rPr>
        <w:t xml:space="preserve">oncurrence on </w:t>
      </w:r>
      <w:r w:rsidR="00276404">
        <w:rPr>
          <w:szCs w:val="16"/>
        </w:rPr>
        <w:t>c</w:t>
      </w:r>
      <w:r w:rsidRPr="00B809A0">
        <w:rPr>
          <w:szCs w:val="16"/>
        </w:rPr>
        <w:t>ompetition in the cloud sector points to a decline in organisations’ overall in-house IT skills, due to higher reliance on managed services provided by private operators, which allow for savings but affect negatively such organisations strength of negotiation, choice and mastery of IT tools.</w:t>
      </w:r>
    </w:p>
  </w:footnote>
  <w:footnote w:id="78">
    <w:p w14:paraId="4C2F059C" w14:textId="77777777" w:rsidR="00E61374" w:rsidRPr="00B809A0" w:rsidRDefault="00E61374" w:rsidP="00E61374">
      <w:pPr>
        <w:pStyle w:val="FootnoteText"/>
        <w:rPr>
          <w:szCs w:val="16"/>
        </w:rPr>
      </w:pPr>
      <w:r w:rsidRPr="00B809A0">
        <w:rPr>
          <w:rStyle w:val="FootnoteReference"/>
          <w:szCs w:val="16"/>
        </w:rPr>
        <w:footnoteRef/>
      </w:r>
      <w:r w:rsidRPr="00B809A0">
        <w:rPr>
          <w:szCs w:val="16"/>
        </w:rPr>
        <w:t xml:space="preserve"> 64% of public sector organizations surveyed as part of the 2025 Capgemini </w:t>
      </w:r>
      <w:hyperlink r:id="rId59" w:history="1">
        <w:r w:rsidRPr="00B809A0">
          <w:rPr>
            <w:rStyle w:val="Hyperlink"/>
            <w:szCs w:val="16"/>
          </w:rPr>
          <w:t>Data foundations for government: From AI ambition to action</w:t>
        </w:r>
      </w:hyperlink>
      <w:r w:rsidRPr="00B809A0">
        <w:rPr>
          <w:szCs w:val="16"/>
        </w:rPr>
        <w:t xml:space="preserve"> study express concern about data sovereignty, 58% about cloud sovereignty, and 52% about AI sovereignty as a factor in deciding about future technology choices.</w:t>
      </w:r>
    </w:p>
  </w:footnote>
  <w:footnote w:id="79">
    <w:p w14:paraId="4BACF7C5" w14:textId="6073D137" w:rsidR="00251BA7" w:rsidRPr="00520BC7" w:rsidRDefault="00251BA7" w:rsidP="00251BA7">
      <w:pPr>
        <w:pStyle w:val="FootnoteText"/>
      </w:pPr>
      <w:r w:rsidRPr="1E0A59B9">
        <w:rPr>
          <w:rStyle w:val="FootnoteReference"/>
        </w:rPr>
        <w:footnoteRef/>
      </w:r>
      <w:r w:rsidRPr="00520BC7">
        <w:t xml:space="preserve"> </w:t>
      </w:r>
      <w:hyperlink r:id="rId60" w:history="1">
        <w:r w:rsidR="00BD1C87" w:rsidRPr="00C51F93">
          <w:rPr>
            <w:rStyle w:val="Hyperlink"/>
          </w:rPr>
          <w:t>https://uk.diplomatie.gouv.fr/en/summit-european-digital-sovereignty-delivers-landmark-commitments</w:t>
        </w:r>
      </w:hyperlink>
      <w:r w:rsidR="00BD1C87">
        <w:t xml:space="preserve"> </w:t>
      </w:r>
    </w:p>
  </w:footnote>
  <w:footnote w:id="80">
    <w:p w14:paraId="1F97B685" w14:textId="77777777" w:rsidR="00EA7008" w:rsidRPr="006F610E" w:rsidRDefault="00EA7008" w:rsidP="00EA7008">
      <w:pPr>
        <w:pStyle w:val="FootnoteText"/>
        <w:rPr>
          <w:lang w:val="es-ES"/>
        </w:rPr>
      </w:pPr>
      <w:r>
        <w:rPr>
          <w:rStyle w:val="FootnoteReference"/>
        </w:rPr>
        <w:footnoteRef/>
      </w:r>
      <w:r w:rsidRPr="00B5168F">
        <w:rPr>
          <w:lang w:val="es-ES"/>
        </w:rPr>
        <w:t xml:space="preserve"> </w:t>
      </w:r>
      <w:hyperlink r:id="rId61" w:history="1">
        <w:r w:rsidRPr="00B5168F">
          <w:rPr>
            <w:rStyle w:val="Hyperlink"/>
            <w:lang w:val="es-ES"/>
          </w:rPr>
          <w:t>97e481fd-2dc3-412d-be4c-f152a8232961_en</w:t>
        </w:r>
      </w:hyperlink>
      <w:r w:rsidRPr="00B5168F">
        <w:rPr>
          <w:lang w:val="es-ES"/>
        </w:rPr>
        <w:t>, p. 13.</w:t>
      </w:r>
    </w:p>
  </w:footnote>
  <w:footnote w:id="81">
    <w:p w14:paraId="42F7158D" w14:textId="77777777" w:rsidR="00E61374" w:rsidRPr="00B809A0" w:rsidRDefault="00E61374" w:rsidP="00E61374">
      <w:pPr>
        <w:pStyle w:val="FootnoteText"/>
        <w:rPr>
          <w:szCs w:val="16"/>
        </w:rPr>
      </w:pPr>
      <w:r w:rsidRPr="00B809A0">
        <w:rPr>
          <w:rStyle w:val="FootnoteReference"/>
          <w:szCs w:val="16"/>
        </w:rPr>
        <w:footnoteRef/>
      </w:r>
      <w:r w:rsidRPr="00B809A0">
        <w:rPr>
          <w:szCs w:val="16"/>
        </w:rPr>
        <w:t xml:space="preserve"> Several Member States (IT, FR) require a comparative analysis of existing open source and commercial solutions and mandate that applications developed for public administrations be released in open, public repositories. Others take a more voluntary approach (CZ).</w:t>
      </w:r>
    </w:p>
  </w:footnote>
  <w:footnote w:id="82">
    <w:p w14:paraId="1C02A0EF" w14:textId="3E782515" w:rsidR="00E61374" w:rsidRPr="004D7982" w:rsidRDefault="00E61374" w:rsidP="00E61374">
      <w:pPr>
        <w:pStyle w:val="FootnoteText"/>
        <w:rPr>
          <w:sz w:val="18"/>
          <w:szCs w:val="18"/>
        </w:rPr>
      </w:pPr>
      <w:r w:rsidRPr="00B809A0">
        <w:rPr>
          <w:rStyle w:val="FootnoteReference"/>
          <w:szCs w:val="16"/>
        </w:rPr>
        <w:footnoteRef/>
      </w:r>
      <w:r w:rsidRPr="00B809A0">
        <w:rPr>
          <w:szCs w:val="16"/>
        </w:rPr>
        <w:t xml:space="preserve"> When public authorities release </w:t>
      </w:r>
      <w:r w:rsidR="009E001D">
        <w:rPr>
          <w:szCs w:val="16"/>
        </w:rPr>
        <w:t>OSS</w:t>
      </w:r>
      <w:r w:rsidRPr="00B809A0">
        <w:rPr>
          <w:szCs w:val="16"/>
        </w:rPr>
        <w:t xml:space="preserve">, the maintenance and further development often end up depending on just one or two main contributors, undermining resilience and innovation. See for instance </w:t>
      </w:r>
      <w:hyperlink r:id="rId62" w:anchor=":~:text=Figuring%20out%20the%20full%20number,other%20stuff%2C%20working%20other%20jobs" w:history="1">
        <w:r w:rsidRPr="00B809A0">
          <w:rPr>
            <w:rStyle w:val="Hyperlink"/>
            <w:szCs w:val="16"/>
          </w:rPr>
          <w:t>the log4J case</w:t>
        </w:r>
      </w:hyperlink>
      <w:r w:rsidRPr="00B809A0">
        <w:rPr>
          <w:szCs w:val="16"/>
        </w:rPr>
        <w:t xml:space="preserve"> where there was only one active member contributing to a library largely used to log actions in IT systems.</w:t>
      </w:r>
      <w:r w:rsidRPr="004D7982">
        <w:rPr>
          <w:sz w:val="18"/>
          <w:szCs w:val="18"/>
        </w:rPr>
        <w:t xml:space="preserve">  </w:t>
      </w:r>
    </w:p>
  </w:footnote>
  <w:footnote w:id="83">
    <w:p w14:paraId="1CDC4FAB" w14:textId="6BA51C74" w:rsidR="00265E30" w:rsidRPr="00181889" w:rsidRDefault="00265E30">
      <w:pPr>
        <w:pStyle w:val="FootnoteText"/>
        <w:rPr>
          <w:lang w:val="en-IE"/>
        </w:rPr>
      </w:pPr>
      <w:r>
        <w:rPr>
          <w:rStyle w:val="FootnoteReference"/>
        </w:rPr>
        <w:footnoteRef/>
      </w:r>
      <w:r>
        <w:t xml:space="preserve"> </w:t>
      </w:r>
      <w:r w:rsidR="00820028">
        <w:t xml:space="preserve">See BCG </w:t>
      </w:r>
      <w:hyperlink r:id="rId63" w:history="1">
        <w:r w:rsidRPr="000C4F82">
          <w:rPr>
            <w:rStyle w:val="Hyperlink"/>
          </w:rPr>
          <w:t>Cloud Cover: Price Swings, Sovereignty Demands, and Wasted Resources</w:t>
        </w:r>
      </w:hyperlink>
    </w:p>
  </w:footnote>
  <w:footnote w:id="84">
    <w:p w14:paraId="4095B6B6" w14:textId="0C9A6420" w:rsidR="004856E2" w:rsidRPr="004856E2" w:rsidRDefault="004856E2">
      <w:pPr>
        <w:pStyle w:val="FootnoteText"/>
      </w:pPr>
      <w:r>
        <w:rPr>
          <w:rStyle w:val="FootnoteReference"/>
        </w:rPr>
        <w:footnoteRef/>
      </w:r>
      <w:r>
        <w:t xml:space="preserve"> These are S3, FS</w:t>
      </w:r>
      <w:r w:rsidR="00ED714B">
        <w:t>X Windows, EC2, Lambda, RDS for PostgreSQL and DynamoDB. See</w:t>
      </w:r>
      <w:r w:rsidR="00A16027">
        <w:t xml:space="preserve">: </w:t>
      </w:r>
      <w:hyperlink r:id="rId64" w:history="1">
        <w:r w:rsidR="00A16027" w:rsidRPr="00A16027">
          <w:rPr>
            <w:rStyle w:val="Hyperlink"/>
          </w:rPr>
          <w:t>AWS European Sovereign Cloud (ESC) – Launch, Pricing, and What’s Next</w:t>
        </w:r>
      </w:hyperlink>
    </w:p>
  </w:footnote>
  <w:footnote w:id="85">
    <w:p w14:paraId="2BE4BB14" w14:textId="77777777" w:rsidR="00E61374" w:rsidRPr="008E35A1" w:rsidRDefault="00E61374" w:rsidP="00E61374">
      <w:pPr>
        <w:pStyle w:val="FootnoteText"/>
        <w:rPr>
          <w:szCs w:val="16"/>
        </w:rPr>
      </w:pPr>
      <w:r w:rsidRPr="008E35A1">
        <w:rPr>
          <w:rStyle w:val="FootnoteReference"/>
          <w:szCs w:val="16"/>
        </w:rPr>
        <w:footnoteRef/>
      </w:r>
      <w:r w:rsidRPr="008E35A1">
        <w:rPr>
          <w:szCs w:val="16"/>
        </w:rPr>
        <w:t xml:space="preserve"> Delos Cloud (an SAP subsidiary operating based on Microsoft software for use by public administrations), for example, is deemed by the Interior Ministry of the State of Baden-Württemberg to not be fully sovereign beyond its infrastructure. As the application layer remains Microsoft software, </w:t>
      </w:r>
      <w:hyperlink r:id="rId65" w:history="1">
        <w:r w:rsidRPr="008E35A1">
          <w:rPr>
            <w:rStyle w:val="Hyperlink"/>
            <w:szCs w:val="16"/>
          </w:rPr>
          <w:t>the Ministry cautions</w:t>
        </w:r>
      </w:hyperlink>
      <w:r w:rsidRPr="008E35A1">
        <w:rPr>
          <w:szCs w:val="16"/>
        </w:rPr>
        <w:t xml:space="preserve"> that the software and data processed remains subject to the requirements of the US CLOUD Act, giving rise to data access without the customer’s awareness.</w:t>
      </w:r>
    </w:p>
  </w:footnote>
  <w:footnote w:id="86">
    <w:p w14:paraId="00E9C855" w14:textId="77777777" w:rsidR="00E61374" w:rsidRPr="004D7982" w:rsidRDefault="00E61374" w:rsidP="00E61374">
      <w:pPr>
        <w:pStyle w:val="FootnoteText"/>
        <w:rPr>
          <w:sz w:val="18"/>
          <w:szCs w:val="18"/>
        </w:rPr>
      </w:pPr>
      <w:r w:rsidRPr="008E35A1">
        <w:rPr>
          <w:rStyle w:val="FootnoteReference"/>
          <w:szCs w:val="16"/>
        </w:rPr>
        <w:footnoteRef/>
      </w:r>
      <w:r w:rsidRPr="008E35A1">
        <w:rPr>
          <w:szCs w:val="16"/>
        </w:rPr>
        <w:t xml:space="preserve"> This has given rise to the term ‘sovereignty washing’, see for example: </w:t>
      </w:r>
      <w:hyperlink r:id="rId66" w:history="1">
        <w:r w:rsidRPr="008E35A1">
          <w:rPr>
            <w:rStyle w:val="Hyperlink"/>
            <w:szCs w:val="16"/>
          </w:rPr>
          <w:t>Sovereignty Washing - When 'Sovereign Cloud' Isn't Really Sovereign – VSHN AG</w:t>
        </w:r>
      </w:hyperlink>
      <w:r w:rsidRPr="008E35A1">
        <w:rPr>
          <w:szCs w:val="16"/>
        </w:rPr>
        <w:t>. Similarly, SMEs respondents to the Public Consultation have stressed that foreign-controlled firms market services as “European” despite extra-territorial dependencies.</w:t>
      </w:r>
    </w:p>
  </w:footnote>
  <w:footnote w:id="87">
    <w:p w14:paraId="15383C31" w14:textId="5C1D0F70" w:rsidR="00E61374" w:rsidRPr="008E35A1" w:rsidRDefault="00E61374" w:rsidP="00E61374">
      <w:pPr>
        <w:pStyle w:val="FootnoteText"/>
        <w:rPr>
          <w:szCs w:val="16"/>
        </w:rPr>
      </w:pPr>
      <w:r w:rsidRPr="008E35A1">
        <w:rPr>
          <w:rStyle w:val="FootnoteReference"/>
          <w:szCs w:val="16"/>
        </w:rPr>
        <w:footnoteRef/>
      </w:r>
      <w:r w:rsidRPr="008E35A1">
        <w:rPr>
          <w:szCs w:val="16"/>
        </w:rPr>
        <w:t xml:space="preserve"> In replying to this topic, 80% of respondents emphasi</w:t>
      </w:r>
      <w:r w:rsidR="008E35A1">
        <w:rPr>
          <w:szCs w:val="16"/>
        </w:rPr>
        <w:t>s</w:t>
      </w:r>
      <w:r w:rsidRPr="008E35A1">
        <w:rPr>
          <w:szCs w:val="16"/>
        </w:rPr>
        <w:t>ed the importance of the EU reducing its reliance on non-EU cloud and AI computing service providers. Public authorities strongly supported coordinated EU-level action with 80% supporting EU-level actions such the establishment of cybersecurity guidelines; the adoption of standards, open specifications, and mechanisms to ensure interoperability; the creation of a mechanism to federate cloud and AI computing services across public administration within and across MS, the creation of guidelines with standard criteria to procure cloud and AI computing services and guidelines with standard award criteria. In addition, 72% supported the creation of clear environmental compliance requirement et EU level, and 66% were in favour of unified guidelines at EU level for energy efficiency for computing infrastructure. Finally, public authorities called for an EU-level definition of cloud sovereignty</w:t>
      </w:r>
      <w:r w:rsidR="008E35A1">
        <w:rPr>
          <w:szCs w:val="16"/>
        </w:rPr>
        <w:t xml:space="preserve">. </w:t>
      </w:r>
    </w:p>
  </w:footnote>
  <w:footnote w:id="88">
    <w:p w14:paraId="735F573F" w14:textId="53A49FC3" w:rsidR="00660174" w:rsidRPr="00660174" w:rsidRDefault="00660174">
      <w:pPr>
        <w:pStyle w:val="FootnoteText"/>
      </w:pPr>
      <w:r>
        <w:rPr>
          <w:rStyle w:val="FootnoteReference"/>
        </w:rPr>
        <w:footnoteRef/>
      </w:r>
      <w:r>
        <w:t xml:space="preserve"> </w:t>
      </w:r>
      <w:r w:rsidR="00FF4101" w:rsidRPr="009F2DE7">
        <w:t xml:space="preserve">An example would be a data centre using immersion cooling. This technology involves submerging servers in a non-conductive liquid, which is more efficient at dissipating heat than traditional air cooling. This approach not only reduces cooling energy consumption but also allows for higher server densities, making data centres more compact and efficient, generating more computing power while occupying less space and using fewer resources. </w:t>
      </w:r>
    </w:p>
  </w:footnote>
  <w:footnote w:id="89">
    <w:p w14:paraId="27818F6C" w14:textId="77777777" w:rsidR="00AA61D7" w:rsidRPr="00BC4E0A" w:rsidRDefault="00AA61D7" w:rsidP="00AA61D7">
      <w:pPr>
        <w:pStyle w:val="FootnoteText"/>
      </w:pPr>
      <w:r>
        <w:rPr>
          <w:rStyle w:val="FootnoteReference"/>
        </w:rPr>
        <w:footnoteRef/>
      </w:r>
      <w:r>
        <w:t xml:space="preserve"> Defining what constitutes a sovereign service is part of this initiative. However, already at this stage of the assessment, it is important to point out that sovereignty should not be equated with ‘European’.  </w:t>
      </w:r>
    </w:p>
  </w:footnote>
  <w:footnote w:id="90">
    <w:p w14:paraId="4A886DF8" w14:textId="02A8D70E" w:rsidR="00E61374" w:rsidRPr="00EB3B69" w:rsidRDefault="00E61374" w:rsidP="00E61374">
      <w:pPr>
        <w:pStyle w:val="FootnoteText"/>
        <w:rPr>
          <w:szCs w:val="16"/>
        </w:rPr>
      </w:pPr>
      <w:r w:rsidRPr="00EB3B69">
        <w:rPr>
          <w:rStyle w:val="FootnoteReference"/>
          <w:szCs w:val="16"/>
        </w:rPr>
        <w:footnoteRef/>
      </w:r>
      <w:r w:rsidRPr="00EB3B69">
        <w:rPr>
          <w:szCs w:val="16"/>
        </w:rPr>
        <w:t xml:space="preserve"> </w:t>
      </w:r>
      <w:r w:rsidR="00FF4E87" w:rsidRPr="00EB3B69">
        <w:rPr>
          <w:szCs w:val="16"/>
        </w:rPr>
        <w:t xml:space="preserve">The </w:t>
      </w:r>
      <w:r w:rsidR="00FF4E87">
        <w:rPr>
          <w:szCs w:val="16"/>
        </w:rPr>
        <w:t>s</w:t>
      </w:r>
      <w:r w:rsidR="00FF4E87" w:rsidRPr="00EB3B69">
        <w:rPr>
          <w:szCs w:val="16"/>
        </w:rPr>
        <w:t>tudy</w:t>
      </w:r>
      <w:r w:rsidR="00FF4E87" w:rsidRPr="00EB3B69" w:rsidDel="00B63EAF">
        <w:rPr>
          <w:szCs w:val="16"/>
        </w:rPr>
        <w:t xml:space="preserve"> </w:t>
      </w:r>
      <w:r w:rsidR="00FF4E87" w:rsidRPr="00EB3B69">
        <w:rPr>
          <w:szCs w:val="16"/>
        </w:rPr>
        <w:t>presents projections for data centre capacity</w:t>
      </w:r>
      <w:r w:rsidR="00FF4E87">
        <w:rPr>
          <w:szCs w:val="16"/>
        </w:rPr>
        <w:t xml:space="preserve"> and demand</w:t>
      </w:r>
      <w:r w:rsidR="00FF4E87" w:rsidRPr="00EB3B69">
        <w:rPr>
          <w:szCs w:val="16"/>
        </w:rPr>
        <w:t xml:space="preserve"> across the EU27 based on three scenarios (low, central, and high). These projections illustrate the potential evolution of installed capacity</w:t>
      </w:r>
      <w:r w:rsidR="00FF4E87">
        <w:rPr>
          <w:szCs w:val="16"/>
        </w:rPr>
        <w:t xml:space="preserve"> and needs</w:t>
      </w:r>
      <w:r w:rsidR="00FF4E87" w:rsidRPr="00EB3B69">
        <w:rPr>
          <w:szCs w:val="16"/>
        </w:rPr>
        <w:t xml:space="preserve"> over the next decade, reflecting variations in natural resources, demand drivers, technological innovation, and market responsiveness. </w:t>
      </w:r>
      <w:r w:rsidR="00FF4E87" w:rsidRPr="009F2DE7">
        <w:t xml:space="preserve">The </w:t>
      </w:r>
      <w:r w:rsidR="00FF4E87">
        <w:t>study finds</w:t>
      </w:r>
      <w:r w:rsidR="00FF4E87" w:rsidRPr="009F2DE7">
        <w:t xml:space="preserve"> a structural capacity gap across all the different growth scenarios tested for this assessment, i.e. of 12 GW in the low growth scenario, 19 GW in the central scenario (used as the baseline) and of 23 GW in the high growth scenario. </w:t>
      </w:r>
      <w:r w:rsidR="00FF4E87">
        <w:rPr>
          <w:szCs w:val="16"/>
        </w:rPr>
        <w:t xml:space="preserve">Please see </w:t>
      </w:r>
      <w:r w:rsidR="00FF4E87" w:rsidRPr="00EB3B69">
        <w:rPr>
          <w:szCs w:val="16"/>
        </w:rPr>
        <w:t>Annex 4</w:t>
      </w:r>
      <w:r w:rsidR="00FF4E87">
        <w:rPr>
          <w:szCs w:val="16"/>
        </w:rPr>
        <w:t>, Section</w:t>
      </w:r>
      <w:r w:rsidR="00FF4E87" w:rsidRPr="00EB3B69">
        <w:rPr>
          <w:szCs w:val="16"/>
        </w:rPr>
        <w:t xml:space="preserve"> </w:t>
      </w:r>
      <w:r w:rsidR="00FF4E87">
        <w:rPr>
          <w:szCs w:val="16"/>
        </w:rPr>
        <w:t xml:space="preserve">2.3 for </w:t>
      </w:r>
      <w:r w:rsidR="00FF4E87" w:rsidRPr="00EB3B69">
        <w:rPr>
          <w:szCs w:val="16"/>
        </w:rPr>
        <w:t>additional information.</w:t>
      </w:r>
    </w:p>
  </w:footnote>
  <w:footnote w:id="91">
    <w:p w14:paraId="18165326" w14:textId="77777777" w:rsidR="00E61374" w:rsidRPr="00EB3B69" w:rsidRDefault="00E61374" w:rsidP="00E61374">
      <w:pPr>
        <w:pStyle w:val="FootnoteText"/>
        <w:rPr>
          <w:szCs w:val="16"/>
        </w:rPr>
      </w:pPr>
      <w:r w:rsidRPr="00EB3B69">
        <w:rPr>
          <w:rStyle w:val="FootnoteReference"/>
          <w:szCs w:val="16"/>
        </w:rPr>
        <w:footnoteRef/>
      </w:r>
      <w:r w:rsidRPr="00EB3B69">
        <w:rPr>
          <w:szCs w:val="16"/>
        </w:rPr>
        <w:t xml:space="preserve"> Annex 4, section 8 presents the relevant permitting steps and their relative duration in 12 Member States. The necessary improvements to grid availability will be driven by the Grids package (see section 5.3).  </w:t>
      </w:r>
    </w:p>
  </w:footnote>
  <w:footnote w:id="92">
    <w:p w14:paraId="2B80A622" w14:textId="26931A2A" w:rsidR="00E61374" w:rsidRPr="00EB3B69" w:rsidRDefault="00E61374" w:rsidP="00E61374">
      <w:pPr>
        <w:pStyle w:val="FootnoteText"/>
        <w:rPr>
          <w:szCs w:val="16"/>
        </w:rPr>
      </w:pPr>
      <w:r w:rsidRPr="00EB3B69">
        <w:rPr>
          <w:rStyle w:val="FootnoteReference"/>
          <w:szCs w:val="16"/>
        </w:rPr>
        <w:footnoteRef/>
      </w:r>
      <w:r w:rsidRPr="00EB3B69">
        <w:rPr>
          <w:szCs w:val="16"/>
        </w:rPr>
        <w:t xml:space="preserve"> Such as AI solutions for optimising the operation of </w:t>
      </w:r>
      <w:r w:rsidR="000436CB">
        <w:rPr>
          <w:szCs w:val="16"/>
        </w:rPr>
        <w:t>DCs</w:t>
      </w:r>
      <w:r w:rsidRPr="00EB3B69">
        <w:rPr>
          <w:szCs w:val="16"/>
        </w:rPr>
        <w:t xml:space="preserve">. </w:t>
      </w:r>
    </w:p>
  </w:footnote>
  <w:footnote w:id="93">
    <w:p w14:paraId="3D0C179F" w14:textId="56E305C9" w:rsidR="0008151C" w:rsidRPr="00C941C4" w:rsidRDefault="0008151C">
      <w:pPr>
        <w:pStyle w:val="FootnoteText"/>
        <w:rPr>
          <w:lang w:val="en-IE"/>
        </w:rPr>
      </w:pPr>
      <w:r w:rsidRPr="00C941C4">
        <w:rPr>
          <w:rStyle w:val="FootnoteReference"/>
          <w:lang w:val="en-IE"/>
        </w:rPr>
        <w:footnoteRef/>
      </w:r>
      <w:r w:rsidRPr="00C941C4">
        <w:rPr>
          <w:lang w:val="en-IE"/>
        </w:rPr>
        <w:t xml:space="preserve"> In the absence of </w:t>
      </w:r>
      <w:r w:rsidR="003523D2" w:rsidRPr="00C941C4">
        <w:rPr>
          <w:lang w:val="en-IE"/>
        </w:rPr>
        <w:t>a harmonised framework,</w:t>
      </w:r>
      <w:r w:rsidR="007E1A85">
        <w:rPr>
          <w:lang w:val="en-IE"/>
        </w:rPr>
        <w:t xml:space="preserve"> non-EU</w:t>
      </w:r>
      <w:r w:rsidR="003523D2" w:rsidRPr="00C941C4">
        <w:rPr>
          <w:lang w:val="en-IE"/>
        </w:rPr>
        <w:t xml:space="preserve"> </w:t>
      </w:r>
      <w:r w:rsidR="00824471">
        <w:rPr>
          <w:lang w:val="en-IE"/>
        </w:rPr>
        <w:t xml:space="preserve">service providers </w:t>
      </w:r>
      <w:r w:rsidR="00DD17C2">
        <w:rPr>
          <w:lang w:val="en-IE"/>
        </w:rPr>
        <w:t xml:space="preserve">attempting </w:t>
      </w:r>
      <w:r w:rsidR="00420B34" w:rsidRPr="00420B34">
        <w:rPr>
          <w:lang w:val="en-IE"/>
        </w:rPr>
        <w:t>to prevent third-country governmental access and transfer of data stored in the Union and to prevent or refuse any request from a third-country government</w:t>
      </w:r>
      <w:r w:rsidR="00C371D6">
        <w:rPr>
          <w:lang w:val="en-IE"/>
        </w:rPr>
        <w:t xml:space="preserve"> are using a diverse technical, legal and organisational measures. This include </w:t>
      </w:r>
      <w:r w:rsidR="00761B81">
        <w:rPr>
          <w:lang w:val="en-IE"/>
        </w:rPr>
        <w:t>technical architecture with segregated phy</w:t>
      </w:r>
      <w:r w:rsidR="00F70545">
        <w:rPr>
          <w:lang w:val="en-IE"/>
        </w:rPr>
        <w:t xml:space="preserve">sical infrastructure, </w:t>
      </w:r>
      <w:r w:rsidR="00B04CDC" w:rsidRPr="00B04CDC">
        <w:rPr>
          <w:lang w:val="en-IE"/>
        </w:rPr>
        <w:t>ensuring that the encryption keys are not accessible to the provider or are held exclusively by the customer</w:t>
      </w:r>
      <w:r w:rsidR="006531FB">
        <w:rPr>
          <w:lang w:val="en-IE"/>
        </w:rPr>
        <w:t xml:space="preserve">, adding specific clauses in </w:t>
      </w:r>
      <w:r w:rsidR="00985005">
        <w:rPr>
          <w:lang w:val="en-IE"/>
        </w:rPr>
        <w:t xml:space="preserve">their EU employees’ contract that forbid them from </w:t>
      </w:r>
      <w:r w:rsidR="007C7DA4">
        <w:rPr>
          <w:lang w:val="en-IE"/>
        </w:rPr>
        <w:t>taking instructions from outside of the EU, setting up independent boards to review extra-territor</w:t>
      </w:r>
      <w:r w:rsidR="00B264E4">
        <w:rPr>
          <w:lang w:val="en-IE"/>
        </w:rPr>
        <w:t>ial data access requests, etc.</w:t>
      </w:r>
    </w:p>
  </w:footnote>
  <w:footnote w:id="94">
    <w:p w14:paraId="714A3023" w14:textId="77777777" w:rsidR="00D52C5D" w:rsidRPr="00635DD6" w:rsidRDefault="00D52C5D" w:rsidP="00D52C5D">
      <w:pPr>
        <w:pStyle w:val="FootnoteText"/>
      </w:pPr>
      <w:r>
        <w:rPr>
          <w:rStyle w:val="FootnoteReference"/>
        </w:rPr>
        <w:footnoteRef/>
      </w:r>
      <w:r>
        <w:t xml:space="preserve"> As part of the ‘</w:t>
      </w:r>
      <w:r w:rsidRPr="006011BB">
        <w:rPr>
          <w:i/>
          <w:iCs/>
        </w:rPr>
        <w:t>One Europe, one market’</w:t>
      </w:r>
      <w:r>
        <w:t xml:space="preserve"> roadmap agreed by the Parliament, the Council and the Commission, the co-legislator have agreed to finalise negotiation for this initiative ed by Q4 2027. Adding one year for the measures to take effect, this implies CADA entering into force in early 2029. EUCS technical work is finalized and has been adopted by CEN-CENELEC Technical Specifications. The candidate scheme has therefore reached an advanced stage of development, which now needs to be transformed into an Implementing Act adopted under the Cybersecurity Act, a process much shorter than CADA’s interinstitutional negotiations.</w:t>
      </w:r>
    </w:p>
  </w:footnote>
  <w:footnote w:id="95">
    <w:p w14:paraId="3C0756DF" w14:textId="77777777" w:rsidR="00BB1199" w:rsidRPr="00445D2C" w:rsidRDefault="00BB1199" w:rsidP="00BB1199">
      <w:pPr>
        <w:pStyle w:val="FootnoteText"/>
      </w:pPr>
      <w:r>
        <w:rPr>
          <w:rStyle w:val="FootnoteReference"/>
        </w:rPr>
        <w:footnoteRef/>
      </w:r>
      <w:r>
        <w:t xml:space="preserve"> See </w:t>
      </w:r>
      <w:hyperlink r:id="rId67" w:history="1">
        <w:r w:rsidRPr="00445D2C">
          <w:rPr>
            <w:rStyle w:val="Hyperlink"/>
          </w:rPr>
          <w:t>Cloud in Government Services</w:t>
        </w:r>
      </w:hyperlink>
    </w:p>
  </w:footnote>
  <w:footnote w:id="96">
    <w:p w14:paraId="009C8DCB" w14:textId="77777777" w:rsidR="00BB1199" w:rsidRPr="001611C9" w:rsidRDefault="00BB1199" w:rsidP="00BB1199">
      <w:pPr>
        <w:pStyle w:val="FootnoteText"/>
      </w:pPr>
      <w:r>
        <w:rPr>
          <w:rStyle w:val="FootnoteReference"/>
        </w:rPr>
        <w:footnoteRef/>
      </w:r>
      <w:r>
        <w:t xml:space="preserve"> See </w:t>
      </w:r>
      <w:hyperlink r:id="rId68" w:history="1">
        <w:r w:rsidRPr="00DE3328">
          <w:rPr>
            <w:rStyle w:val="Hyperlink"/>
          </w:rPr>
          <w:t>Strategia Cloud Italia</w:t>
        </w:r>
      </w:hyperlink>
      <w:r>
        <w:t xml:space="preserve"> </w:t>
      </w:r>
    </w:p>
  </w:footnote>
  <w:footnote w:id="97">
    <w:p w14:paraId="43F8B324" w14:textId="72388D2D" w:rsidR="00EF7EC4" w:rsidRPr="00EF7EC4" w:rsidRDefault="00EF7EC4">
      <w:pPr>
        <w:pStyle w:val="FootnoteText"/>
      </w:pPr>
      <w:r>
        <w:rPr>
          <w:rStyle w:val="FootnoteReference"/>
        </w:rPr>
        <w:footnoteRef/>
      </w:r>
      <w:r>
        <w:t xml:space="preserve"> See </w:t>
      </w:r>
      <w:r w:rsidRPr="002964AC">
        <w:t>SWD published as part of the proposal for the Digital Omnibus</w:t>
      </w:r>
    </w:p>
  </w:footnote>
  <w:footnote w:id="98">
    <w:p w14:paraId="1CC2C792" w14:textId="015A37F4" w:rsidR="00704E6D" w:rsidRPr="00AE2F4C" w:rsidRDefault="00704E6D">
      <w:pPr>
        <w:pStyle w:val="FootnoteText"/>
        <w:rPr>
          <w:lang w:val="en-US"/>
        </w:rPr>
      </w:pPr>
      <w:r>
        <w:rPr>
          <w:rStyle w:val="FootnoteReference"/>
        </w:rPr>
        <w:footnoteRef/>
      </w:r>
      <w:r>
        <w:t xml:space="preserve"> This is </w:t>
      </w:r>
      <w:r w:rsidR="00714EAC">
        <w:t xml:space="preserve">an extrapolation to the EU of </w:t>
      </w:r>
      <w:r w:rsidRPr="002964AC">
        <w:t>France's NIS2 available data</w:t>
      </w:r>
    </w:p>
  </w:footnote>
  <w:footnote w:id="99">
    <w:p w14:paraId="5BD9E046" w14:textId="0B33E675" w:rsidR="00445D2C" w:rsidRPr="00445D2C" w:rsidRDefault="00445D2C">
      <w:pPr>
        <w:pStyle w:val="FootnoteText"/>
      </w:pPr>
      <w:r>
        <w:rPr>
          <w:rStyle w:val="FootnoteReference"/>
        </w:rPr>
        <w:footnoteRef/>
      </w:r>
      <w:r>
        <w:t xml:space="preserve"> See </w:t>
      </w:r>
      <w:hyperlink r:id="rId69" w:history="1">
        <w:r w:rsidRPr="00445D2C">
          <w:rPr>
            <w:rStyle w:val="Hyperlink"/>
          </w:rPr>
          <w:t>Cloud in Government Services</w:t>
        </w:r>
      </w:hyperlink>
    </w:p>
  </w:footnote>
  <w:footnote w:id="100">
    <w:p w14:paraId="564D5AD3" w14:textId="60F6422E" w:rsidR="001611C9" w:rsidRPr="001611C9" w:rsidRDefault="001611C9">
      <w:pPr>
        <w:pStyle w:val="FootnoteText"/>
      </w:pPr>
      <w:r>
        <w:rPr>
          <w:rStyle w:val="FootnoteReference"/>
        </w:rPr>
        <w:footnoteRef/>
      </w:r>
      <w:r>
        <w:t xml:space="preserve"> See </w:t>
      </w:r>
      <w:hyperlink r:id="rId70" w:history="1">
        <w:r w:rsidR="00DE3328" w:rsidRPr="00DE3328">
          <w:rPr>
            <w:rStyle w:val="Hyperlink"/>
          </w:rPr>
          <w:t>Strategia Cloud Italia</w:t>
        </w:r>
      </w:hyperlink>
      <w:r w:rsidR="00DE3328">
        <w:t xml:space="preserve"> </w:t>
      </w:r>
    </w:p>
  </w:footnote>
  <w:footnote w:id="101">
    <w:p w14:paraId="1D456062" w14:textId="77777777" w:rsidR="00322192" w:rsidRPr="00EF7EC4" w:rsidRDefault="00322192" w:rsidP="00322192">
      <w:pPr>
        <w:pStyle w:val="FootnoteText"/>
      </w:pPr>
      <w:r>
        <w:rPr>
          <w:rStyle w:val="FootnoteReference"/>
        </w:rPr>
        <w:footnoteRef/>
      </w:r>
      <w:r>
        <w:t xml:space="preserve"> See </w:t>
      </w:r>
      <w:r w:rsidRPr="002964AC">
        <w:t>SWD published as part of the proposal for the Digital Omnibus</w:t>
      </w:r>
    </w:p>
  </w:footnote>
  <w:footnote w:id="102">
    <w:p w14:paraId="098F5C08" w14:textId="77777777" w:rsidR="00322192" w:rsidRPr="00B80FF7" w:rsidRDefault="00322192" w:rsidP="00322192">
      <w:pPr>
        <w:pStyle w:val="FootnoteText"/>
        <w:rPr>
          <w:lang w:val="en-US"/>
        </w:rPr>
      </w:pPr>
      <w:r>
        <w:rPr>
          <w:rStyle w:val="FootnoteReference"/>
        </w:rPr>
        <w:footnoteRef/>
      </w:r>
      <w:r>
        <w:t xml:space="preserve"> This is an extrapolation to the EU of </w:t>
      </w:r>
      <w:r w:rsidRPr="002964AC">
        <w:t>France's NIS2 available data</w:t>
      </w:r>
    </w:p>
  </w:footnote>
  <w:footnote w:id="103">
    <w:p w14:paraId="759824B3" w14:textId="62DFDC57" w:rsidR="006140C7" w:rsidRPr="006140C7" w:rsidRDefault="006140C7">
      <w:pPr>
        <w:pStyle w:val="FootnoteText"/>
      </w:pPr>
      <w:r>
        <w:rPr>
          <w:rStyle w:val="FootnoteReference"/>
        </w:rPr>
        <w:footnoteRef/>
      </w:r>
      <w:r>
        <w:t xml:space="preserve"> In the Commission tender, the non-price award criteria included a number of ‘sovereignty’ criteria</w:t>
      </w:r>
      <w:r w:rsidR="00CB1DC1">
        <w:t xml:space="preserve"> against which tenders were scored</w:t>
      </w:r>
      <w:r w:rsidR="00CC4552">
        <w:t xml:space="preserve"> by the evaluation committee. </w:t>
      </w:r>
      <w:r w:rsidR="00FD705E">
        <w:t>In PM15 and PM21, the</w:t>
      </w:r>
      <w:r w:rsidR="00CB1DC1">
        <w:t xml:space="preserve"> </w:t>
      </w:r>
      <w:r w:rsidR="00056A64">
        <w:t xml:space="preserve">harmonised </w:t>
      </w:r>
      <w:r w:rsidR="001B3402">
        <w:t xml:space="preserve">sovereignty criteria </w:t>
      </w:r>
      <w:r w:rsidR="00D10CCC">
        <w:t>are assessed by a third party auditor</w:t>
      </w:r>
      <w:r w:rsidR="0009313B">
        <w:t xml:space="preserve"> and </w:t>
      </w:r>
      <w:r w:rsidR="0060160F">
        <w:t xml:space="preserve">subsequently </w:t>
      </w:r>
      <w:r w:rsidR="0009313B">
        <w:t xml:space="preserve">verified by </w:t>
      </w:r>
      <w:r w:rsidR="0060160F">
        <w:t>a public authority</w:t>
      </w:r>
      <w:r w:rsidR="00F13562">
        <w:t>. This</w:t>
      </w:r>
      <w:r w:rsidR="00307CF1">
        <w:t xml:space="preserve"> leads </w:t>
      </w:r>
      <w:r w:rsidR="00693510">
        <w:t>the service</w:t>
      </w:r>
      <w:r w:rsidR="00307CF1">
        <w:t xml:space="preserve"> t</w:t>
      </w:r>
      <w:r w:rsidR="009D3112">
        <w:t xml:space="preserve">o </w:t>
      </w:r>
      <w:r w:rsidR="00F13562">
        <w:t>obtaining</w:t>
      </w:r>
      <w:r w:rsidR="009D3112">
        <w:t xml:space="preserve"> </w:t>
      </w:r>
      <w:r w:rsidR="00EA5C01">
        <w:t xml:space="preserve">a label </w:t>
      </w:r>
      <w:r w:rsidR="00BE3B12">
        <w:t>which is necessary</w:t>
      </w:r>
      <w:r w:rsidR="0066628D">
        <w:t xml:space="preserve"> to participate to call for tenders</w:t>
      </w:r>
      <w:r w:rsidR="006D2346">
        <w:t xml:space="preserve"> where the contracting authority </w:t>
      </w:r>
      <w:r w:rsidR="0015616C">
        <w:t xml:space="preserve">does not need to look again into the sovereignty </w:t>
      </w:r>
      <w:r w:rsidR="00EB1C67">
        <w:t xml:space="preserve">aspects of the service (but can still request </w:t>
      </w:r>
      <w:r w:rsidR="00BF19F4">
        <w:t>information).</w:t>
      </w:r>
    </w:p>
  </w:footnote>
  <w:footnote w:id="104">
    <w:p w14:paraId="6BFC530C" w14:textId="63643D20" w:rsidR="00E61374" w:rsidRPr="000656F1" w:rsidRDefault="00E61374" w:rsidP="00E61374">
      <w:pPr>
        <w:pStyle w:val="FootnoteText"/>
        <w:rPr>
          <w:szCs w:val="16"/>
        </w:rPr>
      </w:pPr>
      <w:r w:rsidRPr="000656F1">
        <w:rPr>
          <w:rStyle w:val="FootnoteReference"/>
          <w:szCs w:val="16"/>
        </w:rPr>
        <w:footnoteRef/>
      </w:r>
      <w:r w:rsidRPr="000656F1">
        <w:rPr>
          <w:szCs w:val="16"/>
        </w:rPr>
        <w:t xml:space="preserve"> For readability purposes, direct administrative and adjustment costs and corresponding direct savings or economic benefits are merged</w:t>
      </w:r>
      <w:r w:rsidRPr="000656F1" w:rsidDel="00B72B86">
        <w:rPr>
          <w:szCs w:val="16"/>
        </w:rPr>
        <w:t xml:space="preserve">, </w:t>
      </w:r>
      <w:r w:rsidRPr="000656F1">
        <w:rPr>
          <w:szCs w:val="16"/>
        </w:rPr>
        <w:t>in the following sections but are further detailed in Annex 4</w:t>
      </w:r>
      <w:r w:rsidRPr="000656F1">
        <w:rPr>
          <w:color w:val="000000" w:themeColor="text1"/>
          <w:szCs w:val="16"/>
        </w:rPr>
        <w:t xml:space="preserve"> and broken down by cost type (one-off or recurrent)</w:t>
      </w:r>
      <w:r w:rsidRPr="000656F1">
        <w:rPr>
          <w:szCs w:val="16"/>
        </w:rPr>
        <w:t>.</w:t>
      </w:r>
      <w:r w:rsidRPr="000656F1">
        <w:rPr>
          <w:color w:val="000000" w:themeColor="text1"/>
          <w:szCs w:val="16"/>
        </w:rPr>
        <w:t xml:space="preserve"> The policy options are assumed to be implemented from 2027 onwards, with the quantitative assessment covering the 2027-2036 period for the EU and all figures expressed in real 2025 euros. </w:t>
      </w:r>
    </w:p>
  </w:footnote>
  <w:footnote w:id="105">
    <w:p w14:paraId="4A0AEEC4" w14:textId="77777777" w:rsidR="00E61374" w:rsidRPr="004D7982" w:rsidRDefault="00E61374" w:rsidP="00E61374">
      <w:pPr>
        <w:pStyle w:val="FootnoteText"/>
        <w:rPr>
          <w:sz w:val="18"/>
          <w:szCs w:val="18"/>
        </w:rPr>
      </w:pPr>
      <w:r w:rsidRPr="000656F1">
        <w:rPr>
          <w:rStyle w:val="FootnoteReference"/>
          <w:szCs w:val="16"/>
        </w:rPr>
        <w:footnoteRef/>
      </w:r>
      <w:r w:rsidRPr="000656F1">
        <w:rPr>
          <w:szCs w:val="16"/>
        </w:rPr>
        <w:t xml:space="preserve"> Based on study findings and validated by the sector in the targeted workshop</w:t>
      </w:r>
      <w:r w:rsidRPr="004D7982">
        <w:rPr>
          <w:sz w:val="18"/>
          <w:szCs w:val="18"/>
        </w:rPr>
        <w:t>.</w:t>
      </w:r>
    </w:p>
  </w:footnote>
  <w:footnote w:id="106">
    <w:p w14:paraId="1D3E5FFD" w14:textId="77777777" w:rsidR="00F35953" w:rsidRPr="008F662D" w:rsidRDefault="00F35953" w:rsidP="00F35953">
      <w:pPr>
        <w:pStyle w:val="FootnoteText"/>
      </w:pPr>
      <w:r>
        <w:rPr>
          <w:rStyle w:val="FootnoteReference"/>
        </w:rPr>
        <w:footnoteRef/>
      </w:r>
      <w:r>
        <w:t xml:space="preserve"> Annex 4, Section 2.3.3 further explains how the capacity trajectories have been used as the quantitative basis for estimating how many new data centre could be built under each option and the share of this capacity that is expected to benefit from the policy intervention over time.</w:t>
      </w:r>
    </w:p>
  </w:footnote>
  <w:footnote w:id="107">
    <w:p w14:paraId="2076B557" w14:textId="01C0775A" w:rsidR="00E61374" w:rsidRPr="000656F1" w:rsidRDefault="00E61374" w:rsidP="00E61374">
      <w:pPr>
        <w:pStyle w:val="FootnoteText"/>
        <w:rPr>
          <w:szCs w:val="16"/>
        </w:rPr>
      </w:pPr>
      <w:r w:rsidRPr="000656F1">
        <w:rPr>
          <w:rStyle w:val="FootnoteReference"/>
          <w:szCs w:val="16"/>
        </w:rPr>
        <w:footnoteRef/>
      </w:r>
      <w:r w:rsidRPr="000656F1">
        <w:rPr>
          <w:szCs w:val="16"/>
        </w:rPr>
        <w:t xml:space="preserve"> The capacity includes hyperscalers and colocation providers, but not enterprise </w:t>
      </w:r>
      <w:r w:rsidR="000436CB">
        <w:rPr>
          <w:szCs w:val="16"/>
        </w:rPr>
        <w:t>DCs</w:t>
      </w:r>
      <w:r w:rsidRPr="000656F1">
        <w:rPr>
          <w:szCs w:val="16"/>
        </w:rPr>
        <w:t xml:space="preserve"> in the private or public sector.</w:t>
      </w:r>
    </w:p>
  </w:footnote>
  <w:footnote w:id="108">
    <w:p w14:paraId="67BDE8DF" w14:textId="544600F3" w:rsidR="00D72E01" w:rsidRPr="00D72E01" w:rsidRDefault="00D72E01">
      <w:pPr>
        <w:pStyle w:val="FootnoteText"/>
      </w:pPr>
      <w:r>
        <w:rPr>
          <w:rStyle w:val="FootnoteReference"/>
        </w:rPr>
        <w:footnoteRef/>
      </w:r>
      <w:r>
        <w:t xml:space="preserve"> </w:t>
      </w:r>
      <w:r w:rsidR="009C414C" w:rsidRPr="009C414C">
        <w:t>This estimate represents a worst</w:t>
      </w:r>
      <w:r w:rsidR="009C414C">
        <w:t xml:space="preserve"> </w:t>
      </w:r>
      <w:r w:rsidR="009C414C" w:rsidRPr="009C414C">
        <w:t>case scenario in which authorities would need to establish a dedicated team from scratch, whereas in practice Member States may rely on existing resources under the Gigabit Infrastructure Act, including by designating a single information point established under Regulation (EU) 2024/1309, with the relevant functions, procedures and mechanisms applying accordingly.</w:t>
      </w:r>
    </w:p>
  </w:footnote>
  <w:footnote w:id="109">
    <w:p w14:paraId="4C33CBE5" w14:textId="5623684B" w:rsidR="007B50B9" w:rsidRDefault="008A7D56">
      <w:pPr>
        <w:pStyle w:val="FootnoteText"/>
      </w:pPr>
      <w:r>
        <w:rPr>
          <w:rStyle w:val="FootnoteReference"/>
        </w:rPr>
        <w:footnoteRef/>
      </w:r>
      <w:r w:rsidR="00062243">
        <w:rPr>
          <w:lang w:val="en-IE"/>
        </w:rPr>
        <w:t>It must be noted that porting can also be triggered naturally as a consequence of regular procurement decisions after the expiration of cloud service contracts.</w:t>
      </w:r>
    </w:p>
    <w:p w14:paraId="5D3E2017" w14:textId="4A7D957B" w:rsidR="008A7D56" w:rsidRPr="008A7D56" w:rsidRDefault="008A7D56">
      <w:pPr>
        <w:pStyle w:val="FootnoteText"/>
      </w:pPr>
      <w:r>
        <w:t xml:space="preserve"> </w:t>
      </w:r>
    </w:p>
  </w:footnote>
  <w:footnote w:id="110">
    <w:p w14:paraId="3529AC6D" w14:textId="252F2F5C" w:rsidR="0064556A" w:rsidRPr="0064556A" w:rsidRDefault="0064556A" w:rsidP="002B63D2">
      <w:pPr>
        <w:pStyle w:val="FootnoteText"/>
        <w:jc w:val="left"/>
      </w:pPr>
      <w:r>
        <w:rPr>
          <w:rStyle w:val="FootnoteReference"/>
        </w:rPr>
        <w:footnoteRef/>
      </w:r>
      <w:r>
        <w:t xml:space="preserve"> </w:t>
      </w:r>
      <w:r w:rsidR="00453858">
        <w:t xml:space="preserve">See: </w:t>
      </w:r>
      <w:hyperlink r:id="rId71" w:history="1">
        <w:r w:rsidR="00453858" w:rsidRPr="00453858">
          <w:rPr>
            <w:rStyle w:val="Hyperlink"/>
          </w:rPr>
          <w:t>The local economic impact of a proposed data centre campus in London</w:t>
        </w:r>
      </w:hyperlink>
      <w:r w:rsidR="008E1635">
        <w:t xml:space="preserve"> </w:t>
      </w:r>
      <w:r w:rsidR="00C76D54">
        <w:t xml:space="preserve">and </w:t>
      </w:r>
      <w:hyperlink r:id="rId72" w:history="1">
        <w:r w:rsidR="007026C1" w:rsidRPr="003D4B37">
          <w:rPr>
            <w:rStyle w:val="Hyperlink"/>
          </w:rPr>
          <w:t>Virginia Joint Legislative Audit and Review Commission Report to the Governor and the General Assembly of Virgini</w:t>
        </w:r>
        <w:r w:rsidR="00BE7F0B">
          <w:rPr>
            <w:rStyle w:val="Hyperlink"/>
          </w:rPr>
          <w:t>a</w:t>
        </w:r>
        <w:r w:rsidR="007026C1" w:rsidRPr="003D4B37">
          <w:rPr>
            <w:rStyle w:val="Hyperlink"/>
          </w:rPr>
          <w:t xml:space="preserve"> on data centers</w:t>
        </w:r>
      </w:hyperlink>
      <w:r w:rsidR="007026C1">
        <w:t xml:space="preserve"> </w:t>
      </w:r>
    </w:p>
  </w:footnote>
  <w:footnote w:id="111">
    <w:p w14:paraId="4282A606" w14:textId="3F10DB1B" w:rsidR="00713EFB" w:rsidRPr="00157C13" w:rsidRDefault="00713EFB" w:rsidP="00713EFB">
      <w:pPr>
        <w:pStyle w:val="FootnoteText"/>
        <w:rPr>
          <w:szCs w:val="16"/>
        </w:rPr>
      </w:pPr>
      <w:r>
        <w:rPr>
          <w:rStyle w:val="FootnoteReference"/>
        </w:rPr>
        <w:footnoteRef/>
      </w:r>
      <w:r w:rsidRPr="000656F1">
        <w:rPr>
          <w:rFonts w:eastAsiaTheme="minorHAnsi"/>
          <w:szCs w:val="16"/>
        </w:rPr>
        <w:t xml:space="preserve"> </w:t>
      </w:r>
      <w:r w:rsidR="002E19B1" w:rsidRPr="000656F1">
        <w:rPr>
          <w:szCs w:val="16"/>
        </w:rPr>
        <w:t xml:space="preserve">The </w:t>
      </w:r>
      <w:r w:rsidR="002E19B1">
        <w:rPr>
          <w:rFonts w:eastAsiaTheme="minorHAnsi"/>
          <w:szCs w:val="16"/>
        </w:rPr>
        <w:t>study</w:t>
      </w:r>
      <w:r w:rsidRPr="000656F1">
        <w:rPr>
          <w:szCs w:val="16"/>
        </w:rPr>
        <w:t xml:space="preserve"> focuses on immediate impacts in terms of investments and jobs and secondary effects on businesses supplying </w:t>
      </w:r>
      <w:r>
        <w:rPr>
          <w:szCs w:val="16"/>
        </w:rPr>
        <w:t>DCs</w:t>
      </w:r>
      <w:r w:rsidRPr="000656F1">
        <w:rPr>
          <w:szCs w:val="16"/>
        </w:rPr>
        <w:t xml:space="preserve">. It does not account for broader spillover effects of </w:t>
      </w:r>
      <w:r>
        <w:rPr>
          <w:szCs w:val="16"/>
        </w:rPr>
        <w:t>DC</w:t>
      </w:r>
      <w:r w:rsidRPr="000656F1">
        <w:rPr>
          <w:szCs w:val="16"/>
        </w:rPr>
        <w:t>s on innovation and productivity across sectors or broader economy-wide effects, such as potential impacts on price changes or shifts in consumer behaviour.</w:t>
      </w:r>
      <w:r w:rsidRPr="008B2474">
        <w:t xml:space="preserve"> </w:t>
      </w:r>
      <w:r>
        <w:rPr>
          <w:szCs w:val="16"/>
        </w:rPr>
        <w:t xml:space="preserve">Available </w:t>
      </w:r>
      <w:hyperlink r:id="rId73" w:history="1">
        <w:r w:rsidRPr="002E19B1">
          <w:rPr>
            <w:rStyle w:val="Hyperlink"/>
            <w:szCs w:val="16"/>
          </w:rPr>
          <w:t>here</w:t>
        </w:r>
      </w:hyperlink>
      <w:r>
        <w:rPr>
          <w:szCs w:val="16"/>
        </w:rPr>
        <w:t>.</w:t>
      </w:r>
      <w:r w:rsidR="00157C13">
        <w:rPr>
          <w:szCs w:val="16"/>
        </w:rPr>
        <w:t xml:space="preserve"> </w:t>
      </w:r>
      <w:r w:rsidRPr="000656F1">
        <w:rPr>
          <w:szCs w:val="16"/>
        </w:rPr>
        <w:t xml:space="preserve">The report of the European Data Centre Association projects the European </w:t>
      </w:r>
      <w:r>
        <w:rPr>
          <w:szCs w:val="16"/>
        </w:rPr>
        <w:t>colocation DC</w:t>
      </w:r>
      <w:r w:rsidRPr="000656F1">
        <w:rPr>
          <w:szCs w:val="16"/>
        </w:rPr>
        <w:t xml:space="preserve"> sector’s GDP contribution to increase from EUR 30 </w:t>
      </w:r>
      <w:r>
        <w:rPr>
          <w:szCs w:val="16"/>
        </w:rPr>
        <w:t>bn</w:t>
      </w:r>
      <w:r w:rsidRPr="000656F1">
        <w:rPr>
          <w:szCs w:val="16"/>
        </w:rPr>
        <w:t xml:space="preserve"> in 2023 to EUR 83.8 </w:t>
      </w:r>
      <w:r>
        <w:rPr>
          <w:szCs w:val="16"/>
        </w:rPr>
        <w:t>bn</w:t>
      </w:r>
      <w:r w:rsidRPr="000656F1">
        <w:rPr>
          <w:szCs w:val="16"/>
        </w:rPr>
        <w:t xml:space="preserve"> by 2030. Available </w:t>
      </w:r>
      <w:hyperlink r:id="rId74" w:history="1">
        <w:r w:rsidRPr="000656F1">
          <w:rPr>
            <w:rStyle w:val="Hyperlink1"/>
            <w:szCs w:val="16"/>
          </w:rPr>
          <w:t>here</w:t>
        </w:r>
      </w:hyperlink>
      <w:r w:rsidRPr="000656F1">
        <w:rPr>
          <w:szCs w:val="16"/>
        </w:rPr>
        <w:t>.</w:t>
      </w:r>
      <w:r w:rsidR="00EB5AC7">
        <w:rPr>
          <w:szCs w:val="16"/>
        </w:rPr>
        <w:t xml:space="preserve"> See also: </w:t>
      </w:r>
      <w:hyperlink r:id="rId75" w:history="1">
        <w:r w:rsidR="00EB5AC7" w:rsidRPr="00EB5AC7">
          <w:rPr>
            <w:rStyle w:val="Hyperlink"/>
            <w:szCs w:val="16"/>
          </w:rPr>
          <w:t>Does GDP growth minus AI capex equal zero?</w:t>
        </w:r>
      </w:hyperlink>
    </w:p>
  </w:footnote>
  <w:footnote w:id="112">
    <w:p w14:paraId="407BF940" w14:textId="4F3176F2" w:rsidR="00557867" w:rsidRPr="00557867" w:rsidRDefault="00557867">
      <w:pPr>
        <w:pStyle w:val="FootnoteText"/>
      </w:pPr>
      <w:r>
        <w:rPr>
          <w:rStyle w:val="FootnoteReference"/>
        </w:rPr>
        <w:footnoteRef/>
      </w:r>
      <w:r>
        <w:t xml:space="preserve"> </w:t>
      </w:r>
      <w:hyperlink r:id="rId76" w:anchor="revenue" w:history="1">
        <w:r w:rsidRPr="00557867">
          <w:rPr>
            <w:rStyle w:val="Hyperlink"/>
          </w:rPr>
          <w:t>Public Cloud - EU-27 | Statista Market Forecast</w:t>
        </w:r>
      </w:hyperlink>
    </w:p>
  </w:footnote>
  <w:footnote w:id="113">
    <w:p w14:paraId="3560E185" w14:textId="27AF6A95" w:rsidR="00BC4055" w:rsidRPr="00BC4055" w:rsidRDefault="00BC4055">
      <w:pPr>
        <w:pStyle w:val="FootnoteText"/>
      </w:pPr>
      <w:r>
        <w:rPr>
          <w:rStyle w:val="FootnoteReference"/>
        </w:rPr>
        <w:footnoteRef/>
      </w:r>
      <w:r>
        <w:t xml:space="preserve"> In lower market growth (250bn) and lower share by the public sector (10%), this would reach EUR 250 bn * 10% * 10% = EUR 2.5 bn by 2030. In higher market growth (390bn) and higher share by the public sector (16%), this would reach EUR 390 bn * 16% * 10% = EUR 6.24 bn by 2030.</w:t>
      </w:r>
    </w:p>
  </w:footnote>
  <w:footnote w:id="114">
    <w:p w14:paraId="5C829725" w14:textId="77777777" w:rsidR="004A3C24" w:rsidRPr="009012BF" w:rsidRDefault="004A3C24" w:rsidP="004A3C24">
      <w:pPr>
        <w:pStyle w:val="FootnoteText"/>
      </w:pPr>
      <w:r>
        <w:rPr>
          <w:rStyle w:val="FootnoteReference"/>
        </w:rPr>
        <w:footnoteRef/>
      </w:r>
      <w:r>
        <w:t xml:space="preserve"> These impacts </w:t>
      </w:r>
      <w:r w:rsidRPr="00C76F8A">
        <w:t>could not be systematically quantified at EU level due to lack of harmonised data. Looking ahead and considering the share of the emissions generated for DC construction materials (concrete, steel as well as other materials as semiconductors), the life cycle carbon footprint approach should be another relevant method to measure the environmental impact of each DC project.</w:t>
      </w:r>
    </w:p>
  </w:footnote>
  <w:footnote w:id="115">
    <w:p w14:paraId="43EF40E1" w14:textId="77777777" w:rsidR="00AE15F3" w:rsidRPr="00034A01" w:rsidRDefault="00AE15F3" w:rsidP="00AE15F3">
      <w:pPr>
        <w:pStyle w:val="FootnoteText"/>
      </w:pPr>
      <w:r>
        <w:rPr>
          <w:rStyle w:val="FootnoteReference"/>
        </w:rPr>
        <w:footnoteRef/>
      </w:r>
      <w:r>
        <w:t xml:space="preserve"> Data centre capacity includes private sector, i.e. colocation and hyperscalers, and public sector capacity. </w:t>
      </w:r>
    </w:p>
  </w:footnote>
  <w:footnote w:id="116">
    <w:p w14:paraId="016C11A5" w14:textId="77777777" w:rsidR="00B207DF" w:rsidRPr="003E101D" w:rsidRDefault="00B207DF" w:rsidP="00B207DF">
      <w:pPr>
        <w:pStyle w:val="FootnoteText"/>
      </w:pPr>
      <w:r>
        <w:rPr>
          <w:rStyle w:val="FootnoteReference"/>
        </w:rPr>
        <w:footnoteRef/>
      </w:r>
      <w:r>
        <w:t xml:space="preserve"> For additional information concerning expected PUE changed under the different Policy Options, please see Annex 4, Section 2.3.5.</w:t>
      </w:r>
    </w:p>
  </w:footnote>
  <w:footnote w:id="117">
    <w:p w14:paraId="5D291D71" w14:textId="77777777" w:rsidR="00E61374" w:rsidRPr="004D7982" w:rsidRDefault="00E61374" w:rsidP="00E61374">
      <w:pPr>
        <w:pStyle w:val="FootnoteText"/>
        <w:rPr>
          <w:sz w:val="18"/>
          <w:szCs w:val="18"/>
        </w:rPr>
      </w:pPr>
      <w:r w:rsidRPr="00D71E97">
        <w:rPr>
          <w:rStyle w:val="FootnoteReference"/>
          <w:szCs w:val="16"/>
        </w:rPr>
        <w:footnoteRef/>
      </w:r>
      <w:r w:rsidRPr="00D71E97">
        <w:rPr>
          <w:szCs w:val="16"/>
        </w:rPr>
        <w:t xml:space="preserve"> The baseline assumes that electrical grid limitations remain an issue in certain primary markets such as Ireland and the Netherlands. However, it considers that regulators and operators in several markets have begun investing in grid modernisation and demand management.</w:t>
      </w:r>
    </w:p>
  </w:footnote>
  <w:footnote w:id="118">
    <w:p w14:paraId="0B710D64" w14:textId="29A5B849" w:rsidR="00E61374" w:rsidRPr="009212AA" w:rsidRDefault="00E61374" w:rsidP="009212AA">
      <w:pPr>
        <w:spacing w:after="0"/>
        <w:rPr>
          <w:sz w:val="16"/>
          <w:szCs w:val="16"/>
        </w:rPr>
      </w:pPr>
      <w:r w:rsidRPr="00D71E97">
        <w:rPr>
          <w:rStyle w:val="FootnoteReference"/>
          <w:sz w:val="16"/>
          <w:szCs w:val="16"/>
        </w:rPr>
        <w:footnoteRef/>
      </w:r>
      <w:r w:rsidRPr="00D71E97">
        <w:rPr>
          <w:sz w:val="16"/>
          <w:szCs w:val="16"/>
        </w:rPr>
        <w:t xml:space="preserve"> Carbon footprint is </w:t>
      </w:r>
      <w:r w:rsidR="000436CB">
        <w:rPr>
          <w:sz w:val="16"/>
          <w:szCs w:val="16"/>
        </w:rPr>
        <w:t>mostly</w:t>
      </w:r>
      <w:r w:rsidRPr="00D71E97">
        <w:rPr>
          <w:sz w:val="16"/>
          <w:szCs w:val="16"/>
        </w:rPr>
        <w:t xml:space="preserve"> driven by scope 2 energy consumption. </w:t>
      </w:r>
      <w:r w:rsidR="000436CB">
        <w:rPr>
          <w:sz w:val="16"/>
          <w:szCs w:val="16"/>
        </w:rPr>
        <w:t>T</w:t>
      </w:r>
      <w:r w:rsidRPr="00D71E97">
        <w:rPr>
          <w:sz w:val="16"/>
          <w:szCs w:val="16"/>
        </w:rPr>
        <w:t xml:space="preserve">o </w:t>
      </w:r>
      <w:r w:rsidR="000436CB">
        <w:rPr>
          <w:sz w:val="16"/>
          <w:szCs w:val="16"/>
        </w:rPr>
        <w:t>reduce</w:t>
      </w:r>
      <w:r w:rsidRPr="00D71E97">
        <w:rPr>
          <w:sz w:val="16"/>
          <w:szCs w:val="16"/>
        </w:rPr>
        <w:t xml:space="preserve"> climate impact</w:t>
      </w:r>
      <w:r w:rsidR="000436CB">
        <w:rPr>
          <w:sz w:val="16"/>
          <w:szCs w:val="16"/>
        </w:rPr>
        <w:t>,</w:t>
      </w:r>
      <w:r w:rsidRPr="00D71E97">
        <w:rPr>
          <w:sz w:val="16"/>
          <w:szCs w:val="16"/>
        </w:rPr>
        <w:t xml:space="preserve"> low</w:t>
      </w:r>
      <w:r w:rsidR="000436CB">
        <w:rPr>
          <w:sz w:val="16"/>
          <w:szCs w:val="16"/>
        </w:rPr>
        <w:t>-</w:t>
      </w:r>
      <w:r w:rsidRPr="00D71E97">
        <w:rPr>
          <w:sz w:val="16"/>
          <w:szCs w:val="16"/>
        </w:rPr>
        <w:t xml:space="preserve">carbon energy </w:t>
      </w:r>
      <w:r w:rsidR="000436CB">
        <w:rPr>
          <w:sz w:val="16"/>
          <w:szCs w:val="16"/>
        </w:rPr>
        <w:t xml:space="preserve">use </w:t>
      </w:r>
      <w:r w:rsidRPr="00D71E97">
        <w:rPr>
          <w:sz w:val="16"/>
          <w:szCs w:val="16"/>
        </w:rPr>
        <w:t>should be incentivised.</w:t>
      </w:r>
    </w:p>
  </w:footnote>
  <w:footnote w:id="119">
    <w:p w14:paraId="573FBA6A" w14:textId="77777777" w:rsidR="00A67D17" w:rsidRPr="00421BFA" w:rsidRDefault="00A67D17" w:rsidP="00A67D17">
      <w:pPr>
        <w:pStyle w:val="FootnoteText"/>
        <w:rPr>
          <w:szCs w:val="16"/>
        </w:rPr>
      </w:pPr>
      <w:r w:rsidRPr="00421BFA">
        <w:rPr>
          <w:rStyle w:val="FootnoteReference"/>
          <w:szCs w:val="16"/>
        </w:rPr>
        <w:footnoteRef/>
      </w:r>
      <w:r w:rsidRPr="00421BFA">
        <w:rPr>
          <w:szCs w:val="16"/>
        </w:rPr>
        <w:t xml:space="preserve"> Notably, due to their storage capabilities, data centres present a unique opportunity to enhance power system flexibility. See for example: </w:t>
      </w:r>
      <w:hyperlink r:id="rId77" w:history="1">
        <w:r w:rsidRPr="00421BFA">
          <w:rPr>
            <w:rStyle w:val="Hyperlink"/>
            <w:szCs w:val="16"/>
          </w:rPr>
          <w:t>Data centres as a source of flexibility for power systems - ScienceDirect</w:t>
        </w:r>
      </w:hyperlink>
      <w:r w:rsidRPr="00421BFA">
        <w:rPr>
          <w:szCs w:val="16"/>
        </w:rPr>
        <w:t>.</w:t>
      </w:r>
    </w:p>
  </w:footnote>
  <w:footnote w:id="120">
    <w:p w14:paraId="01F9A8CF" w14:textId="26BD1DB0" w:rsidR="00052665" w:rsidRPr="00DC2D56" w:rsidRDefault="00052665">
      <w:pPr>
        <w:pStyle w:val="FootnoteText"/>
        <w:rPr>
          <w:b/>
          <w:i/>
          <w:lang w:val="en-IE"/>
        </w:rPr>
      </w:pPr>
      <w:r>
        <w:rPr>
          <w:rStyle w:val="FootnoteReference"/>
        </w:rPr>
        <w:footnoteRef/>
      </w:r>
      <w:r>
        <w:t xml:space="preserve"> </w:t>
      </w:r>
      <w:r w:rsidRPr="00DC2D56">
        <w:rPr>
          <w:lang w:val="en-IE"/>
        </w:rPr>
        <w:t>As announced in the Clean Industrial Deal (CID) Communication adopted 26.02.2025, the Commission is preparing a review of the WEEE Directive as a pillar of the upcoming Circular Economy Act (CEA) proposal intended for later in 2026, in particular with a view to improve areas identified in the Evaluation of the WEEE Directive published 02.07.2025, including WEEE collection, treatment of WEEE, and recovery of critical raw materials (CRMs) embedded in various WEEE.</w:t>
      </w:r>
    </w:p>
  </w:footnote>
  <w:footnote w:id="121">
    <w:p w14:paraId="0D2E868D" w14:textId="5F9E4130" w:rsidR="00F94A1B" w:rsidRPr="00F94A1B" w:rsidRDefault="00F94A1B">
      <w:pPr>
        <w:pStyle w:val="FootnoteText"/>
      </w:pPr>
      <w:r>
        <w:rPr>
          <w:rStyle w:val="FootnoteReference"/>
        </w:rPr>
        <w:footnoteRef/>
      </w:r>
      <w:r>
        <w:t xml:space="preserve"> See: </w:t>
      </w:r>
      <w:hyperlink r:id="rId78" w:history="1">
        <w:r w:rsidRPr="00F94A1B">
          <w:rPr>
            <w:rStyle w:val="Hyperlink"/>
          </w:rPr>
          <w:t>EU progress under the hydrofluorocarbon phase out set out in the EU F-gas Regulation | Hydrofluorocarbon phase out in Europe | European Environment Agency (EEA)</w:t>
        </w:r>
      </w:hyperlink>
    </w:p>
  </w:footnote>
  <w:footnote w:id="122">
    <w:p w14:paraId="74F38CAA" w14:textId="59AADA49" w:rsidR="00502120" w:rsidRPr="00502120" w:rsidRDefault="00502120">
      <w:pPr>
        <w:pStyle w:val="FootnoteText"/>
      </w:pPr>
      <w:r>
        <w:rPr>
          <w:rStyle w:val="FootnoteReference"/>
        </w:rPr>
        <w:footnoteRef/>
      </w:r>
      <w:r>
        <w:t xml:space="preserve"> </w:t>
      </w:r>
      <w:r w:rsidRPr="00502120">
        <w:t>See</w:t>
      </w:r>
      <w:r w:rsidR="00B51256">
        <w:t xml:space="preserve"> Regulation (EU) 202</w:t>
      </w:r>
      <w:r w:rsidR="005E4D06">
        <w:t>4</w:t>
      </w:r>
      <w:r w:rsidR="00B51256">
        <w:t>/573</w:t>
      </w:r>
      <w:r w:rsidRPr="00502120">
        <w:t xml:space="preserve">: </w:t>
      </w:r>
      <w:hyperlink r:id="rId79" w:history="1">
        <w:r w:rsidRPr="00AD7B80">
          <w:rPr>
            <w:rStyle w:val="Hyperlink"/>
          </w:rPr>
          <w:t>https://eur-lex.europa.eu/legal-content/EN/ALL/?uri=CELEX:32024R0573</w:t>
        </w:r>
      </w:hyperlink>
      <w:r>
        <w:t xml:space="preserve"> </w:t>
      </w:r>
    </w:p>
  </w:footnote>
  <w:footnote w:id="123">
    <w:p w14:paraId="13EC2E36" w14:textId="091571A7" w:rsidR="00A831DB" w:rsidRPr="00A831DB" w:rsidRDefault="00A831DB">
      <w:pPr>
        <w:pStyle w:val="FootnoteText"/>
      </w:pPr>
      <w:r>
        <w:rPr>
          <w:rStyle w:val="FootnoteReference"/>
        </w:rPr>
        <w:footnoteRef/>
      </w:r>
      <w:r>
        <w:t xml:space="preserve"> This has been confirmed through interviews with stakeholders and validated </w:t>
      </w:r>
      <w:r w:rsidR="00C91274">
        <w:t xml:space="preserve">during a final workshop in the context of the supporting study. </w:t>
      </w:r>
      <w:r w:rsidR="00CA4039">
        <w:rPr>
          <w:lang w:val="en-IE"/>
        </w:rPr>
        <w:t>The impact has been assessed on the basis of an overall 18-month permitting period for data centre deployment. However, any reduction in this timeline, including for example through the introduction of as 12-month deadline would further increase Europe’s attractiveness as a location for data centre investment</w:t>
      </w:r>
    </w:p>
  </w:footnote>
  <w:footnote w:id="124">
    <w:p w14:paraId="41723F4F" w14:textId="212C794B" w:rsidR="009C3C81" w:rsidRPr="00E2053E" w:rsidRDefault="009C3C81" w:rsidP="009C3C81">
      <w:pPr>
        <w:pStyle w:val="FootnoteText"/>
        <w:rPr>
          <w:lang w:val="en-IE"/>
        </w:rPr>
      </w:pPr>
      <w:r>
        <w:rPr>
          <w:rStyle w:val="FootnoteReference"/>
        </w:rPr>
        <w:footnoteRef/>
      </w:r>
      <w:r>
        <w:t xml:space="preserve"> </w:t>
      </w:r>
      <w:r w:rsidR="00E2053E" w:rsidRPr="00E2053E">
        <w:rPr>
          <w:lang w:val="en-IE"/>
        </w:rPr>
        <w:t>Interviews with investors confirmed that data centre investments are evaluated across a wide risk-return spectrum, broadly consistent with market benchmarks positioning core infrastructure targeting around 7-9% IRR and core-plus assets around 10-13%. Expected returns depend strongly on asset maturity and risk profile: stabilised, fully built platforms with secured power and long-term contracts are treated as lower-risk assets, while development-stage projects face higher execution risk related to permitting, power availability, equipment procurement, and commercialisation. Equity investors typically target “single digit returns plus a risk premium,” with materially higher expectations for projects exposed to development, energy, or commercial risk.</w:t>
      </w:r>
    </w:p>
  </w:footnote>
  <w:footnote w:id="125">
    <w:p w14:paraId="0412FC43" w14:textId="5E697B3C" w:rsidR="00AE1863" w:rsidRPr="00AE1863" w:rsidRDefault="00AE1863">
      <w:pPr>
        <w:pStyle w:val="FootnoteText"/>
      </w:pPr>
      <w:r>
        <w:rPr>
          <w:rStyle w:val="FootnoteReference"/>
        </w:rPr>
        <w:footnoteRef/>
      </w:r>
      <w:r>
        <w:t xml:space="preserve"> During</w:t>
      </w:r>
      <w:r w:rsidRPr="009F2DE7">
        <w:t xml:space="preserve"> stakeholder interviews</w:t>
      </w:r>
      <w:r>
        <w:t>,</w:t>
      </w:r>
      <w:r w:rsidR="00296D4D">
        <w:t xml:space="preserve"> and as mentioned above,</w:t>
      </w:r>
      <w:r>
        <w:t xml:space="preserve"> Bulgaria was identified</w:t>
      </w:r>
      <w:r w:rsidRPr="009F2DE7">
        <w:t xml:space="preserve"> as lacking a clear classification of data centres in its permitting system, creating long delays and deterring investment</w:t>
      </w:r>
      <w:r w:rsidR="00B84CEB">
        <w:t xml:space="preserve"> in the country.</w:t>
      </w:r>
    </w:p>
  </w:footnote>
  <w:footnote w:id="126">
    <w:p w14:paraId="0BAF49A7" w14:textId="5152E25D" w:rsidR="006E4E99" w:rsidRPr="006E4E99" w:rsidRDefault="006E4E99">
      <w:pPr>
        <w:pStyle w:val="FootnoteText"/>
      </w:pPr>
      <w:r>
        <w:rPr>
          <w:rStyle w:val="FootnoteReference"/>
        </w:rPr>
        <w:footnoteRef/>
      </w:r>
      <w:r>
        <w:t xml:space="preserve"> See for instance </w:t>
      </w:r>
      <w:hyperlink r:id="rId80" w:history="1">
        <w:r w:rsidRPr="006E4E99">
          <w:rPr>
            <w:rStyle w:val="Hyperlink"/>
          </w:rPr>
          <w:t>Airbus</w:t>
        </w:r>
      </w:hyperlink>
      <w:r>
        <w:t xml:space="preserve"> who recently announced their activities to m</w:t>
      </w:r>
      <w:r w:rsidR="00B35986">
        <w:t>igrate their critical workloads to a European cloud provider.</w:t>
      </w:r>
    </w:p>
  </w:footnote>
  <w:footnote w:id="127">
    <w:p w14:paraId="1ABEF68B" w14:textId="3421397B" w:rsidR="00061ABC" w:rsidRPr="00061ABC" w:rsidRDefault="00061ABC">
      <w:pPr>
        <w:pStyle w:val="FootnoteText"/>
      </w:pPr>
      <w:r>
        <w:rPr>
          <w:rStyle w:val="FootnoteReference"/>
        </w:rPr>
        <w:footnoteRef/>
      </w:r>
      <w:r>
        <w:t xml:space="preserve"> The outcome of the recent DIGIT tender for cloud services is testament to this. </w:t>
      </w:r>
      <w:hyperlink r:id="rId81" w:history="1">
        <w:r w:rsidR="004574E4" w:rsidRPr="004574E4">
          <w:rPr>
            <w:rStyle w:val="Hyperlink"/>
          </w:rPr>
          <w:t>Commission advances cloud sovereignty through strategic procurement</w:t>
        </w:r>
      </w:hyperlink>
    </w:p>
  </w:footnote>
  <w:footnote w:id="128">
    <w:p w14:paraId="3BAF984B" w14:textId="670E6A7F" w:rsidR="006866FD" w:rsidRPr="006866FD" w:rsidRDefault="006866FD" w:rsidP="00335391">
      <w:pPr>
        <w:pStyle w:val="FootnoteText"/>
      </w:pPr>
      <w:r>
        <w:rPr>
          <w:rStyle w:val="FootnoteReference"/>
        </w:rPr>
        <w:footnoteRef/>
      </w:r>
      <w:r>
        <w:t xml:space="preserve"> </w:t>
      </w:r>
      <w:r w:rsidR="00335391">
        <w:t xml:space="preserve">This issue was recently illustrated by the postponement of </w:t>
      </w:r>
      <w:hyperlink r:id="rId82" w:history="1">
        <w:r w:rsidR="00335391" w:rsidRPr="002C5E9B">
          <w:rPr>
            <w:rStyle w:val="Hyperlink"/>
          </w:rPr>
          <w:t>Finland’s electoral management system cloudification</w:t>
        </w:r>
      </w:hyperlink>
      <w:r w:rsidR="00335391">
        <w:t xml:space="preserve">, previously awarded to AWS, and </w:t>
      </w:r>
      <w:hyperlink r:id="rId83" w:history="1">
        <w:r w:rsidR="00335391" w:rsidRPr="00FB1237">
          <w:rPr>
            <w:rStyle w:val="Hyperlink"/>
          </w:rPr>
          <w:t>France’s switch from US solutions to open source equivalents</w:t>
        </w:r>
      </w:hyperlink>
      <w:r w:rsidR="00335391">
        <w:t xml:space="preserve"> to serve public sector video conferencing needs are illustrations of this broad trend.</w:t>
      </w:r>
    </w:p>
  </w:footnote>
  <w:footnote w:id="129">
    <w:p w14:paraId="01C1BC85" w14:textId="481928B1" w:rsidR="006006EF" w:rsidRPr="008F18D0" w:rsidRDefault="006006EF" w:rsidP="006006EF">
      <w:pPr>
        <w:pStyle w:val="FootnoteText"/>
      </w:pPr>
      <w:r>
        <w:rPr>
          <w:rStyle w:val="FootnoteReference"/>
        </w:rPr>
        <w:footnoteRef/>
      </w:r>
      <w:r>
        <w:t xml:space="preserve"> The table does not include the impact on SMEs, which is discussed only qualitatively in the previous section. Additional information on quantified costs and benefits for SMEs under PM23 can be found in Annex 4</w:t>
      </w:r>
      <w:r w:rsidR="002E3360">
        <w:t xml:space="preserve"> and</w:t>
      </w:r>
      <w:r>
        <w:t xml:space="preserve"> are reported in the efficiency overview of the preferred package below.</w:t>
      </w:r>
    </w:p>
  </w:footnote>
  <w:footnote w:id="130">
    <w:p w14:paraId="0C04D625" w14:textId="2CA31530" w:rsidR="00E61374" w:rsidRPr="00D71E97" w:rsidRDefault="00E61374" w:rsidP="00E61374">
      <w:pPr>
        <w:pStyle w:val="FootnoteText"/>
        <w:rPr>
          <w:szCs w:val="16"/>
        </w:rPr>
      </w:pPr>
      <w:r w:rsidRPr="00D71E97">
        <w:rPr>
          <w:rStyle w:val="FootnoteReference"/>
          <w:szCs w:val="16"/>
        </w:rPr>
        <w:footnoteRef/>
      </w:r>
      <w:r w:rsidRPr="00D71E97">
        <w:rPr>
          <w:rStyle w:val="FootnoteReference"/>
          <w:szCs w:val="16"/>
        </w:rPr>
        <w:t xml:space="preserve"> </w:t>
      </w:r>
      <w:r w:rsidRPr="00D71E97">
        <w:rPr>
          <w:szCs w:val="16"/>
        </w:rPr>
        <w:t xml:space="preserve">PO1B/C takes the creation of a single point of contact for environmental assessments for granted and complements it with a facilitator (PM4) who would accompany the </w:t>
      </w:r>
      <w:r w:rsidR="000436CB">
        <w:rPr>
          <w:szCs w:val="16"/>
        </w:rPr>
        <w:t>DC</w:t>
      </w:r>
      <w:r w:rsidRPr="00D71E97">
        <w:rPr>
          <w:szCs w:val="16"/>
        </w:rPr>
        <w:t xml:space="preserve"> operator in this and other administrative stages (environmental assessments but also other permitting requirements related to zoning, land allocation and building).   </w:t>
      </w:r>
    </w:p>
  </w:footnote>
  <w:footnote w:id="131">
    <w:p w14:paraId="45A99CA8" w14:textId="50040788" w:rsidR="00A16F69" w:rsidRPr="00A16F69" w:rsidRDefault="00A16F69">
      <w:pPr>
        <w:pStyle w:val="FootnoteText"/>
      </w:pPr>
      <w:r>
        <w:rPr>
          <w:rStyle w:val="FootnoteReference"/>
        </w:rPr>
        <w:footnoteRef/>
      </w:r>
      <w:r>
        <w:t xml:space="preserve"> This reflects the structure of the standard cost model used for most of the policy measures, which relies on a limited number of inputs, thus limiting the interpretability of traditional one-at-a-time sensitivity testing.</w:t>
      </w:r>
    </w:p>
  </w:footnote>
  <w:footnote w:id="132">
    <w:p w14:paraId="6425A132" w14:textId="77777777" w:rsidR="002A01D0" w:rsidRPr="00D477A2" w:rsidRDefault="002A01D0" w:rsidP="002A01D0">
      <w:pPr>
        <w:pStyle w:val="FootnoteText"/>
        <w:rPr>
          <w:lang w:val="en-IE"/>
        </w:rPr>
      </w:pPr>
      <w:r>
        <w:rPr>
          <w:rStyle w:val="FootnoteReference"/>
        </w:rPr>
        <w:footnoteRef/>
      </w:r>
      <w:r>
        <w:t xml:space="preserve"> </w:t>
      </w:r>
      <w:r w:rsidRPr="00A00A4E">
        <w:t xml:space="preserve">The scoring of economic impacts reflects the estimated costs and </w:t>
      </w:r>
      <w:r>
        <w:t>benefits</w:t>
      </w:r>
      <w:r w:rsidRPr="00A00A4E">
        <w:t xml:space="preserve"> associated with each policy option, but also their broader effects on industry (including SMEs), public authorities, innovation and technological sovereignty, </w:t>
      </w:r>
      <w:r>
        <w:t>possible wider economic effects</w:t>
      </w:r>
      <w:r w:rsidRPr="00A00A4E">
        <w:t>, trade, and the functioning of the internal market.</w:t>
      </w:r>
    </w:p>
  </w:footnote>
  <w:footnote w:id="133">
    <w:p w14:paraId="3097F6C6" w14:textId="77777777" w:rsidR="00E61374" w:rsidRPr="00D71E97" w:rsidRDefault="00E61374" w:rsidP="00E61374">
      <w:pPr>
        <w:pStyle w:val="FootnoteText"/>
        <w:rPr>
          <w:szCs w:val="16"/>
        </w:rPr>
      </w:pPr>
      <w:r w:rsidRPr="00D71E97">
        <w:rPr>
          <w:rStyle w:val="FootnoteReference"/>
          <w:szCs w:val="16"/>
        </w:rPr>
        <w:footnoteRef/>
      </w:r>
      <w:r w:rsidRPr="00D71E97">
        <w:rPr>
          <w:szCs w:val="16"/>
        </w:rPr>
        <w:t xml:space="preserve"> “+” (more effective/efficient/coherent/proportionate than the baseline) to “+++” (much more effective/efficient/coherent/proportionate than the baseline); from '-' (less effective/efficient/coherent/proportionate than the baseline) to '---' (much less effective/efficient/coherent/ proportionate than the baseline).</w:t>
      </w:r>
    </w:p>
  </w:footnote>
  <w:footnote w:id="134">
    <w:p w14:paraId="3ED2F32B" w14:textId="77777777" w:rsidR="00ED67EA" w:rsidRPr="00104779" w:rsidRDefault="00ED67EA" w:rsidP="00ED67EA">
      <w:pPr>
        <w:pStyle w:val="FootnoteText"/>
        <w:rPr>
          <w:lang w:val="en-IE"/>
        </w:rPr>
      </w:pPr>
      <w:r>
        <w:rPr>
          <w:rStyle w:val="FootnoteReference"/>
        </w:rPr>
        <w:footnoteRef/>
      </w:r>
      <w:r>
        <w:t xml:space="preserve"> Since the precise level of self-sufficiency is impossible to anticipate today, PM7 has been conceived to monitor the evolution of supply and demand of computing capacity across EU Member States. </w:t>
      </w:r>
    </w:p>
  </w:footnote>
  <w:footnote w:id="135">
    <w:p w14:paraId="3DC796E2" w14:textId="77777777" w:rsidR="00ED67EA" w:rsidRPr="00DB0265" w:rsidRDefault="00ED67EA" w:rsidP="00ED67EA">
      <w:pPr>
        <w:pStyle w:val="FootnoteText"/>
      </w:pPr>
      <w:r>
        <w:rPr>
          <w:rStyle w:val="FootnoteReference"/>
        </w:rPr>
        <w:footnoteRef/>
      </w:r>
      <w:r>
        <w:t xml:space="preserve"> This 25% target of EU-27 global share has been derived from the estimated increase in EU capacity expected under PO1-B. Under the baseline scenario, the EU-27 share of global data centre capacity is projected to grow from 20% (2025) to 23% (2030), i.e. reaching around 28 GW in 2030. This is based on the Goldman Sachs forecast that total global data centre capacity will reach around 122 GW by 2030. The additional capacity expected to be enabled by the proposed measures could raise this EU share to around 27% by 2030. To account for uncertainties, a more conservative threshold of 25% was set to capture the additional percentage points of global capacity. </w:t>
      </w:r>
    </w:p>
  </w:footnote>
  <w:footnote w:id="136">
    <w:p w14:paraId="2CF422E9" w14:textId="77777777" w:rsidR="00ED67EA" w:rsidRPr="00FE09F0" w:rsidRDefault="00ED67EA" w:rsidP="00ED67EA">
      <w:pPr>
        <w:pStyle w:val="FootnoteText"/>
        <w:rPr>
          <w:lang w:val="en-IE"/>
        </w:rPr>
      </w:pPr>
      <w:r>
        <w:rPr>
          <w:rStyle w:val="FootnoteReference"/>
        </w:rPr>
        <w:footnoteRef/>
      </w:r>
      <w:r>
        <w:t xml:space="preserve"> </w:t>
      </w:r>
      <w:r>
        <w:rPr>
          <w:lang w:val="en-IE"/>
        </w:rPr>
        <w:t xml:space="preserve">The need to prioritise and have energy-efficient technologies in at least 80% of new installations, measured by PUE, WUE and other relevant indicators, is considered a necessary threshold to comply with EU goals of climate neutrality by 2050. </w:t>
      </w:r>
    </w:p>
  </w:footnote>
  <w:footnote w:id="137">
    <w:p w14:paraId="2CEC1113" w14:textId="09F95E25" w:rsidR="00ED67EA" w:rsidRPr="00FE09F0" w:rsidRDefault="00ED67EA" w:rsidP="00ED67EA">
      <w:pPr>
        <w:pStyle w:val="FootnoteText"/>
        <w:rPr>
          <w:lang w:val="en-IE"/>
        </w:rPr>
      </w:pPr>
      <w:r>
        <w:rPr>
          <w:rStyle w:val="FootnoteReference"/>
        </w:rPr>
        <w:footnoteRef/>
      </w:r>
      <w:r>
        <w:t xml:space="preserve"> </w:t>
      </w:r>
      <w:r>
        <w:rPr>
          <w:lang w:val="en-IE"/>
        </w:rPr>
        <w:t>This has been set to ensure that regulatory procedures for deploying data centres across the EU are reduced in a consistent way. Under the baseline, average permitting duration was estimated to be of 32 months across the 12 Member States under scrutiny. Reducing this timeline to 18 months is a realistic improvement, even if still above today’s best-performing countries.</w:t>
      </w:r>
      <w:r w:rsidR="00CA42E1">
        <w:rPr>
          <w:lang w:val="en-IE"/>
        </w:rPr>
        <w:t xml:space="preserve"> </w:t>
      </w:r>
    </w:p>
  </w:footnote>
  <w:footnote w:id="138">
    <w:p w14:paraId="7757C3DD" w14:textId="77777777" w:rsidR="00ED67EA" w:rsidRPr="00FE09F0" w:rsidRDefault="00ED67EA" w:rsidP="00ED67EA">
      <w:pPr>
        <w:pStyle w:val="FootnoteText"/>
        <w:rPr>
          <w:lang w:val="en-IE"/>
        </w:rPr>
      </w:pPr>
      <w:r>
        <w:rPr>
          <w:rStyle w:val="FootnoteReference"/>
        </w:rPr>
        <w:footnoteRef/>
      </w:r>
      <w:r>
        <w:t xml:space="preserve"> R</w:t>
      </w:r>
      <w:r w:rsidRPr="009F2DE7">
        <w:t xml:space="preserve">educing administrative barriers has been shown in the literature, and confirmed through interviews, to greatly improve project bankability and attract additional investments. Hence, a 30% additional investment unlocked compared to the baseline scenario has been set as a reasonable </w:t>
      </w:r>
      <w:r>
        <w:t xml:space="preserve">success criterion. This should be measured against the additional capacity deployed. </w:t>
      </w:r>
    </w:p>
  </w:footnote>
  <w:footnote w:id="139">
    <w:p w14:paraId="7D01FDCD" w14:textId="77777777" w:rsidR="00ED67EA" w:rsidRPr="00FE09F0" w:rsidRDefault="00ED67EA" w:rsidP="00ED67EA">
      <w:pPr>
        <w:pStyle w:val="FootnoteText"/>
        <w:rPr>
          <w:lang w:val="en-IE"/>
        </w:rPr>
      </w:pPr>
      <w:r>
        <w:rPr>
          <w:rStyle w:val="FootnoteReference"/>
        </w:rPr>
        <w:footnoteRef/>
      </w:r>
      <w:r>
        <w:t xml:space="preserve"> T</w:t>
      </w:r>
      <w:r w:rsidRPr="009F2DE7">
        <w:t xml:space="preserve">he </w:t>
      </w:r>
      <w:r>
        <w:t>objective</w:t>
      </w:r>
      <w:r w:rsidRPr="009F2DE7">
        <w:t xml:space="preserve"> of seeing 20 </w:t>
      </w:r>
      <w:r>
        <w:t>Member States</w:t>
      </w:r>
      <w:r w:rsidRPr="009F2DE7">
        <w:t xml:space="preserve"> with harmonised frameworks stems from a willingness to improve visibility and simplify market access to data centre investors</w:t>
      </w:r>
      <w:r>
        <w:t xml:space="preserve"> and businesses, so that they can fully exploit the Single Market without additional administrative burdens</w:t>
      </w:r>
      <w:r w:rsidRPr="009F2DE7">
        <w:t>.</w:t>
      </w:r>
    </w:p>
  </w:footnote>
  <w:footnote w:id="140">
    <w:p w14:paraId="586C3EB2" w14:textId="77777777" w:rsidR="00ED67EA" w:rsidRPr="00E86A71" w:rsidRDefault="00ED67EA" w:rsidP="00ED67EA">
      <w:pPr>
        <w:pStyle w:val="FootnoteText"/>
      </w:pPr>
      <w:r>
        <w:rPr>
          <w:rStyle w:val="FootnoteReference"/>
        </w:rPr>
        <w:footnoteRef/>
      </w:r>
      <w:r>
        <w:t xml:space="preserve"> </w:t>
      </w:r>
      <w:r w:rsidRPr="00E86A71">
        <w:t>Since the objective consists in enhancing the resilience of supply of cloud and AI computing services, in particular in the public sector, a long-term target of full compliance</w:t>
      </w:r>
      <w:r>
        <w:t xml:space="preserve"> is expected as a measure of success</w:t>
      </w:r>
      <w:r w:rsidRPr="00E86A7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72BCD" w14:textId="77777777" w:rsidR="003F684E" w:rsidRPr="003F684E" w:rsidRDefault="003F684E" w:rsidP="003F684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C7ED6" w14:textId="77777777" w:rsidR="003F684E" w:rsidRPr="003F684E" w:rsidRDefault="003F684E" w:rsidP="003F68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6260" w14:textId="77777777" w:rsidR="003F684E" w:rsidRPr="003F684E" w:rsidRDefault="003F684E" w:rsidP="003F68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9C781" w14:textId="77777777" w:rsidR="00783D2E" w:rsidRDefault="00783D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A9DA8" w14:textId="77777777" w:rsidR="002F369A" w:rsidRDefault="002F36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845F0" w14:textId="77777777" w:rsidR="00066DCC" w:rsidRDefault="00066D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2517" w14:textId="77777777" w:rsidR="00A62D67" w:rsidRDefault="00A62D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3E631" w14:textId="77777777" w:rsidR="00A62D67" w:rsidRDefault="00A62D67"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010C"/>
    <w:multiLevelType w:val="hybridMultilevel"/>
    <w:tmpl w:val="C5BAFEA4"/>
    <w:lvl w:ilvl="0" w:tplc="5D12DD5E">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648CA"/>
    <w:multiLevelType w:val="hybridMultilevel"/>
    <w:tmpl w:val="7F5A47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960FD6"/>
    <w:multiLevelType w:val="multilevel"/>
    <w:tmpl w:val="B5EE04CA"/>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1920"/>
        </w:tabs>
        <w:ind w:left="1920" w:hanging="720"/>
      </w:pPr>
    </w:lvl>
    <w:lvl w:ilvl="4">
      <w:start w:val="1"/>
      <w:numFmt w:val="bullet"/>
      <w:lvlText w:val=""/>
      <w:lvlJc w:val="left"/>
      <w:pPr>
        <w:ind w:left="1800" w:hanging="360"/>
      </w:pPr>
      <w:rPr>
        <w:rFonts w:ascii="Symbol" w:hAnsi="Symbol" w:hint="default"/>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1274826"/>
    <w:multiLevelType w:val="hybridMultilevel"/>
    <w:tmpl w:val="499E9EAC"/>
    <w:lvl w:ilvl="0" w:tplc="DB76BE28">
      <w:start w:val="1"/>
      <w:numFmt w:val="bullet"/>
      <w:lvlText w:val=""/>
      <w:lvlJc w:val="left"/>
      <w:pPr>
        <w:ind w:left="1020" w:hanging="360"/>
      </w:pPr>
      <w:rPr>
        <w:rFonts w:ascii="Symbol" w:hAnsi="Symbol"/>
      </w:rPr>
    </w:lvl>
    <w:lvl w:ilvl="1" w:tplc="B4F0128E">
      <w:start w:val="1"/>
      <w:numFmt w:val="bullet"/>
      <w:lvlText w:val=""/>
      <w:lvlJc w:val="left"/>
      <w:pPr>
        <w:ind w:left="1020" w:hanging="360"/>
      </w:pPr>
      <w:rPr>
        <w:rFonts w:ascii="Symbol" w:hAnsi="Symbol"/>
      </w:rPr>
    </w:lvl>
    <w:lvl w:ilvl="2" w:tplc="1ABCFA0C">
      <w:start w:val="1"/>
      <w:numFmt w:val="bullet"/>
      <w:lvlText w:val=""/>
      <w:lvlJc w:val="left"/>
      <w:pPr>
        <w:ind w:left="1020" w:hanging="360"/>
      </w:pPr>
      <w:rPr>
        <w:rFonts w:ascii="Symbol" w:hAnsi="Symbol"/>
      </w:rPr>
    </w:lvl>
    <w:lvl w:ilvl="3" w:tplc="4A8C4D44">
      <w:start w:val="1"/>
      <w:numFmt w:val="bullet"/>
      <w:lvlText w:val=""/>
      <w:lvlJc w:val="left"/>
      <w:pPr>
        <w:ind w:left="1020" w:hanging="360"/>
      </w:pPr>
      <w:rPr>
        <w:rFonts w:ascii="Symbol" w:hAnsi="Symbol"/>
      </w:rPr>
    </w:lvl>
    <w:lvl w:ilvl="4" w:tplc="7D22F8A8">
      <w:start w:val="1"/>
      <w:numFmt w:val="bullet"/>
      <w:lvlText w:val=""/>
      <w:lvlJc w:val="left"/>
      <w:pPr>
        <w:ind w:left="1020" w:hanging="360"/>
      </w:pPr>
      <w:rPr>
        <w:rFonts w:ascii="Symbol" w:hAnsi="Symbol"/>
      </w:rPr>
    </w:lvl>
    <w:lvl w:ilvl="5" w:tplc="E558226E">
      <w:start w:val="1"/>
      <w:numFmt w:val="bullet"/>
      <w:lvlText w:val=""/>
      <w:lvlJc w:val="left"/>
      <w:pPr>
        <w:ind w:left="1020" w:hanging="360"/>
      </w:pPr>
      <w:rPr>
        <w:rFonts w:ascii="Symbol" w:hAnsi="Symbol"/>
      </w:rPr>
    </w:lvl>
    <w:lvl w:ilvl="6" w:tplc="54ACDABE">
      <w:start w:val="1"/>
      <w:numFmt w:val="bullet"/>
      <w:lvlText w:val=""/>
      <w:lvlJc w:val="left"/>
      <w:pPr>
        <w:ind w:left="1020" w:hanging="360"/>
      </w:pPr>
      <w:rPr>
        <w:rFonts w:ascii="Symbol" w:hAnsi="Symbol"/>
      </w:rPr>
    </w:lvl>
    <w:lvl w:ilvl="7" w:tplc="3BF82BE4">
      <w:start w:val="1"/>
      <w:numFmt w:val="bullet"/>
      <w:lvlText w:val=""/>
      <w:lvlJc w:val="left"/>
      <w:pPr>
        <w:ind w:left="1020" w:hanging="360"/>
      </w:pPr>
      <w:rPr>
        <w:rFonts w:ascii="Symbol" w:hAnsi="Symbol"/>
      </w:rPr>
    </w:lvl>
    <w:lvl w:ilvl="8" w:tplc="1EF4BE6C">
      <w:start w:val="1"/>
      <w:numFmt w:val="bullet"/>
      <w:lvlText w:val=""/>
      <w:lvlJc w:val="left"/>
      <w:pPr>
        <w:ind w:left="1020" w:hanging="360"/>
      </w:pPr>
      <w:rPr>
        <w:rFonts w:ascii="Symbol" w:hAnsi="Symbol"/>
      </w:rPr>
    </w:lvl>
  </w:abstractNum>
  <w:abstractNum w:abstractNumId="4" w15:restartNumberingAfterBreak="0">
    <w:nsid w:val="139B5577"/>
    <w:multiLevelType w:val="hybridMultilevel"/>
    <w:tmpl w:val="226E18B6"/>
    <w:lvl w:ilvl="0" w:tplc="46B0459A">
      <w:start w:val="1"/>
      <w:numFmt w:val="bullet"/>
      <w:lvlText w:val=""/>
      <w:lvlJc w:val="left"/>
      <w:pPr>
        <w:ind w:left="360" w:hanging="360"/>
      </w:pPr>
      <w:rPr>
        <w:rFonts w:ascii="Symbol" w:hAnsi="Symbol" w:hint="default"/>
        <w:color w:val="auto"/>
      </w:rPr>
    </w:lvl>
    <w:lvl w:ilvl="1" w:tplc="5BAA12AE" w:tentative="1">
      <w:start w:val="1"/>
      <w:numFmt w:val="bullet"/>
      <w:lvlText w:val="o"/>
      <w:lvlJc w:val="left"/>
      <w:pPr>
        <w:ind w:left="1080" w:hanging="360"/>
      </w:pPr>
      <w:rPr>
        <w:rFonts w:ascii="Courier New" w:hAnsi="Courier New" w:hint="default"/>
      </w:rPr>
    </w:lvl>
    <w:lvl w:ilvl="2" w:tplc="F87A2246" w:tentative="1">
      <w:start w:val="1"/>
      <w:numFmt w:val="bullet"/>
      <w:lvlText w:val=""/>
      <w:lvlJc w:val="left"/>
      <w:pPr>
        <w:ind w:left="1800" w:hanging="360"/>
      </w:pPr>
      <w:rPr>
        <w:rFonts w:ascii="Wingdings" w:hAnsi="Wingdings" w:hint="default"/>
      </w:rPr>
    </w:lvl>
    <w:lvl w:ilvl="3" w:tplc="49862D7A" w:tentative="1">
      <w:start w:val="1"/>
      <w:numFmt w:val="bullet"/>
      <w:lvlText w:val=""/>
      <w:lvlJc w:val="left"/>
      <w:pPr>
        <w:ind w:left="2520" w:hanging="360"/>
      </w:pPr>
      <w:rPr>
        <w:rFonts w:ascii="Symbol" w:hAnsi="Symbol" w:hint="default"/>
      </w:rPr>
    </w:lvl>
    <w:lvl w:ilvl="4" w:tplc="2AD0F060" w:tentative="1">
      <w:start w:val="1"/>
      <w:numFmt w:val="bullet"/>
      <w:lvlText w:val="o"/>
      <w:lvlJc w:val="left"/>
      <w:pPr>
        <w:ind w:left="3240" w:hanging="360"/>
      </w:pPr>
      <w:rPr>
        <w:rFonts w:ascii="Courier New" w:hAnsi="Courier New" w:hint="default"/>
      </w:rPr>
    </w:lvl>
    <w:lvl w:ilvl="5" w:tplc="57E8CCF6" w:tentative="1">
      <w:start w:val="1"/>
      <w:numFmt w:val="bullet"/>
      <w:lvlText w:val=""/>
      <w:lvlJc w:val="left"/>
      <w:pPr>
        <w:ind w:left="3960" w:hanging="360"/>
      </w:pPr>
      <w:rPr>
        <w:rFonts w:ascii="Wingdings" w:hAnsi="Wingdings" w:hint="default"/>
      </w:rPr>
    </w:lvl>
    <w:lvl w:ilvl="6" w:tplc="918C382A" w:tentative="1">
      <w:start w:val="1"/>
      <w:numFmt w:val="bullet"/>
      <w:lvlText w:val=""/>
      <w:lvlJc w:val="left"/>
      <w:pPr>
        <w:ind w:left="4680" w:hanging="360"/>
      </w:pPr>
      <w:rPr>
        <w:rFonts w:ascii="Symbol" w:hAnsi="Symbol" w:hint="default"/>
      </w:rPr>
    </w:lvl>
    <w:lvl w:ilvl="7" w:tplc="04964EAC" w:tentative="1">
      <w:start w:val="1"/>
      <w:numFmt w:val="bullet"/>
      <w:lvlText w:val="o"/>
      <w:lvlJc w:val="left"/>
      <w:pPr>
        <w:ind w:left="5400" w:hanging="360"/>
      </w:pPr>
      <w:rPr>
        <w:rFonts w:ascii="Courier New" w:hAnsi="Courier New" w:hint="default"/>
      </w:rPr>
    </w:lvl>
    <w:lvl w:ilvl="8" w:tplc="815077CC" w:tentative="1">
      <w:start w:val="1"/>
      <w:numFmt w:val="bullet"/>
      <w:lvlText w:val=""/>
      <w:lvlJc w:val="left"/>
      <w:pPr>
        <w:ind w:left="6120" w:hanging="360"/>
      </w:pPr>
      <w:rPr>
        <w:rFonts w:ascii="Wingdings" w:hAnsi="Wingdings" w:hint="default"/>
      </w:rPr>
    </w:lvl>
  </w:abstractNum>
  <w:abstractNum w:abstractNumId="5" w15:restartNumberingAfterBreak="0">
    <w:nsid w:val="159B12A9"/>
    <w:multiLevelType w:val="singleLevel"/>
    <w:tmpl w:val="18090001"/>
    <w:lvl w:ilvl="0">
      <w:start w:val="1"/>
      <w:numFmt w:val="bullet"/>
      <w:lvlText w:val=""/>
      <w:lvlJc w:val="left"/>
      <w:pPr>
        <w:ind w:left="480" w:hanging="480"/>
      </w:pPr>
      <w:rPr>
        <w:rFonts w:ascii="Symbol" w:hAnsi="Symbol" w:hint="default"/>
      </w:rPr>
    </w:lvl>
  </w:abstractNum>
  <w:abstractNum w:abstractNumId="6" w15:restartNumberingAfterBreak="0">
    <w:nsid w:val="184952FE"/>
    <w:multiLevelType w:val="hybridMultilevel"/>
    <w:tmpl w:val="1FAC9152"/>
    <w:lvl w:ilvl="0" w:tplc="64C08E1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162B29"/>
    <w:multiLevelType w:val="hybridMultilevel"/>
    <w:tmpl w:val="EE3622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734306"/>
    <w:multiLevelType w:val="multilevel"/>
    <w:tmpl w:val="6134666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854"/>
        </w:tabs>
        <w:ind w:left="1854" w:hanging="720"/>
      </w:pPr>
    </w:lvl>
    <w:lvl w:ilvl="3">
      <w:start w:val="1"/>
      <w:numFmt w:val="decimal"/>
      <w:pStyle w:val="Heading4"/>
      <w:lvlText w:val="%1.%2.%3.%4."/>
      <w:lvlJc w:val="left"/>
      <w:pPr>
        <w:tabs>
          <w:tab w:val="num" w:pos="1920"/>
        </w:tabs>
        <w:ind w:left="1920" w:hanging="720"/>
      </w:pPr>
    </w:lvl>
    <w:lvl w:ilvl="4">
      <w:start w:val="1"/>
      <w:numFmt w:val="lowerRoman"/>
      <w:lvlText w:val="%5."/>
      <w:lvlJc w:val="right"/>
      <w:pPr>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12C4B1B"/>
    <w:multiLevelType w:val="hybridMultilevel"/>
    <w:tmpl w:val="3728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D3A84"/>
    <w:multiLevelType w:val="multilevel"/>
    <w:tmpl w:val="3F702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A266DA"/>
    <w:multiLevelType w:val="hybridMultilevel"/>
    <w:tmpl w:val="C5BAFEA4"/>
    <w:lvl w:ilvl="0" w:tplc="FFFFFFFF">
      <w:start w:val="1"/>
      <w:numFmt w:val="lowerRoman"/>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415727C"/>
    <w:multiLevelType w:val="hybridMultilevel"/>
    <w:tmpl w:val="B4825900"/>
    <w:lvl w:ilvl="0" w:tplc="AF1426E2">
      <w:start w:val="1"/>
      <w:numFmt w:val="bullet"/>
      <w:lvlText w:val=""/>
      <w:lvlJc w:val="left"/>
      <w:pPr>
        <w:ind w:left="1020" w:hanging="360"/>
      </w:pPr>
      <w:rPr>
        <w:rFonts w:ascii="Symbol" w:hAnsi="Symbol"/>
      </w:rPr>
    </w:lvl>
    <w:lvl w:ilvl="1" w:tplc="277E798E">
      <w:start w:val="1"/>
      <w:numFmt w:val="bullet"/>
      <w:lvlText w:val=""/>
      <w:lvlJc w:val="left"/>
      <w:pPr>
        <w:ind w:left="1020" w:hanging="360"/>
      </w:pPr>
      <w:rPr>
        <w:rFonts w:ascii="Symbol" w:hAnsi="Symbol"/>
      </w:rPr>
    </w:lvl>
    <w:lvl w:ilvl="2" w:tplc="B8228AE6">
      <w:start w:val="1"/>
      <w:numFmt w:val="bullet"/>
      <w:lvlText w:val=""/>
      <w:lvlJc w:val="left"/>
      <w:pPr>
        <w:ind w:left="1020" w:hanging="360"/>
      </w:pPr>
      <w:rPr>
        <w:rFonts w:ascii="Symbol" w:hAnsi="Symbol"/>
      </w:rPr>
    </w:lvl>
    <w:lvl w:ilvl="3" w:tplc="247E6BC0">
      <w:start w:val="1"/>
      <w:numFmt w:val="bullet"/>
      <w:lvlText w:val=""/>
      <w:lvlJc w:val="left"/>
      <w:pPr>
        <w:ind w:left="1020" w:hanging="360"/>
      </w:pPr>
      <w:rPr>
        <w:rFonts w:ascii="Symbol" w:hAnsi="Symbol"/>
      </w:rPr>
    </w:lvl>
    <w:lvl w:ilvl="4" w:tplc="FEBCFA50">
      <w:start w:val="1"/>
      <w:numFmt w:val="bullet"/>
      <w:lvlText w:val=""/>
      <w:lvlJc w:val="left"/>
      <w:pPr>
        <w:ind w:left="1020" w:hanging="360"/>
      </w:pPr>
      <w:rPr>
        <w:rFonts w:ascii="Symbol" w:hAnsi="Symbol"/>
      </w:rPr>
    </w:lvl>
    <w:lvl w:ilvl="5" w:tplc="96D02E5C">
      <w:start w:val="1"/>
      <w:numFmt w:val="bullet"/>
      <w:lvlText w:val=""/>
      <w:lvlJc w:val="left"/>
      <w:pPr>
        <w:ind w:left="1020" w:hanging="360"/>
      </w:pPr>
      <w:rPr>
        <w:rFonts w:ascii="Symbol" w:hAnsi="Symbol"/>
      </w:rPr>
    </w:lvl>
    <w:lvl w:ilvl="6" w:tplc="D14C0FD0">
      <w:start w:val="1"/>
      <w:numFmt w:val="bullet"/>
      <w:lvlText w:val=""/>
      <w:lvlJc w:val="left"/>
      <w:pPr>
        <w:ind w:left="1020" w:hanging="360"/>
      </w:pPr>
      <w:rPr>
        <w:rFonts w:ascii="Symbol" w:hAnsi="Symbol"/>
      </w:rPr>
    </w:lvl>
    <w:lvl w:ilvl="7" w:tplc="20A262EC">
      <w:start w:val="1"/>
      <w:numFmt w:val="bullet"/>
      <w:lvlText w:val=""/>
      <w:lvlJc w:val="left"/>
      <w:pPr>
        <w:ind w:left="1020" w:hanging="360"/>
      </w:pPr>
      <w:rPr>
        <w:rFonts w:ascii="Symbol" w:hAnsi="Symbol"/>
      </w:rPr>
    </w:lvl>
    <w:lvl w:ilvl="8" w:tplc="5ABEA174">
      <w:start w:val="1"/>
      <w:numFmt w:val="bullet"/>
      <w:lvlText w:val=""/>
      <w:lvlJc w:val="left"/>
      <w:pPr>
        <w:ind w:left="1020" w:hanging="360"/>
      </w:pPr>
      <w:rPr>
        <w:rFonts w:ascii="Symbol" w:hAnsi="Symbol"/>
      </w:rPr>
    </w:lvl>
  </w:abstractNum>
  <w:abstractNum w:abstractNumId="13" w15:restartNumberingAfterBreak="0">
    <w:nsid w:val="2586465E"/>
    <w:multiLevelType w:val="hybridMultilevel"/>
    <w:tmpl w:val="4622F218"/>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22DD8"/>
    <w:multiLevelType w:val="hybridMultilevel"/>
    <w:tmpl w:val="FA0418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C92294"/>
    <w:multiLevelType w:val="multilevel"/>
    <w:tmpl w:val="978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82F3E"/>
    <w:multiLevelType w:val="hybridMultilevel"/>
    <w:tmpl w:val="0F9E859E"/>
    <w:lvl w:ilvl="0" w:tplc="5E66DA48">
      <w:start w:val="1"/>
      <w:numFmt w:val="bullet"/>
      <w:lvlText w:val=""/>
      <w:lvlJc w:val="left"/>
      <w:pPr>
        <w:ind w:left="1020" w:hanging="360"/>
      </w:pPr>
      <w:rPr>
        <w:rFonts w:ascii="Symbol" w:hAnsi="Symbol"/>
      </w:rPr>
    </w:lvl>
    <w:lvl w:ilvl="1" w:tplc="81425C26">
      <w:start w:val="1"/>
      <w:numFmt w:val="bullet"/>
      <w:lvlText w:val=""/>
      <w:lvlJc w:val="left"/>
      <w:pPr>
        <w:ind w:left="1020" w:hanging="360"/>
      </w:pPr>
      <w:rPr>
        <w:rFonts w:ascii="Symbol" w:hAnsi="Symbol"/>
      </w:rPr>
    </w:lvl>
    <w:lvl w:ilvl="2" w:tplc="9CC0E320">
      <w:start w:val="1"/>
      <w:numFmt w:val="bullet"/>
      <w:lvlText w:val=""/>
      <w:lvlJc w:val="left"/>
      <w:pPr>
        <w:ind w:left="1020" w:hanging="360"/>
      </w:pPr>
      <w:rPr>
        <w:rFonts w:ascii="Symbol" w:hAnsi="Symbol"/>
      </w:rPr>
    </w:lvl>
    <w:lvl w:ilvl="3" w:tplc="FCFCE664">
      <w:start w:val="1"/>
      <w:numFmt w:val="bullet"/>
      <w:lvlText w:val=""/>
      <w:lvlJc w:val="left"/>
      <w:pPr>
        <w:ind w:left="1020" w:hanging="360"/>
      </w:pPr>
      <w:rPr>
        <w:rFonts w:ascii="Symbol" w:hAnsi="Symbol"/>
      </w:rPr>
    </w:lvl>
    <w:lvl w:ilvl="4" w:tplc="2EA849BC">
      <w:start w:val="1"/>
      <w:numFmt w:val="bullet"/>
      <w:lvlText w:val=""/>
      <w:lvlJc w:val="left"/>
      <w:pPr>
        <w:ind w:left="1020" w:hanging="360"/>
      </w:pPr>
      <w:rPr>
        <w:rFonts w:ascii="Symbol" w:hAnsi="Symbol"/>
      </w:rPr>
    </w:lvl>
    <w:lvl w:ilvl="5" w:tplc="0A108432">
      <w:start w:val="1"/>
      <w:numFmt w:val="bullet"/>
      <w:lvlText w:val=""/>
      <w:lvlJc w:val="left"/>
      <w:pPr>
        <w:ind w:left="1020" w:hanging="360"/>
      </w:pPr>
      <w:rPr>
        <w:rFonts w:ascii="Symbol" w:hAnsi="Symbol"/>
      </w:rPr>
    </w:lvl>
    <w:lvl w:ilvl="6" w:tplc="EE8038E2">
      <w:start w:val="1"/>
      <w:numFmt w:val="bullet"/>
      <w:lvlText w:val=""/>
      <w:lvlJc w:val="left"/>
      <w:pPr>
        <w:ind w:left="1020" w:hanging="360"/>
      </w:pPr>
      <w:rPr>
        <w:rFonts w:ascii="Symbol" w:hAnsi="Symbol"/>
      </w:rPr>
    </w:lvl>
    <w:lvl w:ilvl="7" w:tplc="9F8665C8">
      <w:start w:val="1"/>
      <w:numFmt w:val="bullet"/>
      <w:lvlText w:val=""/>
      <w:lvlJc w:val="left"/>
      <w:pPr>
        <w:ind w:left="1020" w:hanging="360"/>
      </w:pPr>
      <w:rPr>
        <w:rFonts w:ascii="Symbol" w:hAnsi="Symbol"/>
      </w:rPr>
    </w:lvl>
    <w:lvl w:ilvl="8" w:tplc="31D8770C">
      <w:start w:val="1"/>
      <w:numFmt w:val="bullet"/>
      <w:lvlText w:val=""/>
      <w:lvlJc w:val="left"/>
      <w:pPr>
        <w:ind w:left="1020" w:hanging="360"/>
      </w:pPr>
      <w:rPr>
        <w:rFonts w:ascii="Symbol" w:hAnsi="Symbol"/>
      </w:rPr>
    </w:lvl>
  </w:abstractNum>
  <w:abstractNum w:abstractNumId="17" w15:restartNumberingAfterBreak="0">
    <w:nsid w:val="2D8C04AF"/>
    <w:multiLevelType w:val="hybridMultilevel"/>
    <w:tmpl w:val="C5BAFEA4"/>
    <w:styleLink w:val="CurrentList9"/>
    <w:lvl w:ilvl="0" w:tplc="FFFFFFFF">
      <w:start w:val="1"/>
      <w:numFmt w:val="lowerRoman"/>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DC17D33"/>
    <w:multiLevelType w:val="hybridMultilevel"/>
    <w:tmpl w:val="D6A8A096"/>
    <w:lvl w:ilvl="0" w:tplc="5D12DD5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2BD41D3"/>
    <w:multiLevelType w:val="hybridMultilevel"/>
    <w:tmpl w:val="C5BAFEA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15:restartNumberingAfterBreak="0">
    <w:nsid w:val="3EF21835"/>
    <w:multiLevelType w:val="hybridMultilevel"/>
    <w:tmpl w:val="D432260A"/>
    <w:lvl w:ilvl="0" w:tplc="A18E3C6A">
      <w:start w:val="1"/>
      <w:numFmt w:val="bullet"/>
      <w:lvlText w:val=""/>
      <w:lvlJc w:val="left"/>
      <w:pPr>
        <w:ind w:left="720" w:hanging="360"/>
      </w:pPr>
      <w:rPr>
        <w:rFonts w:ascii="Symbol" w:hAnsi="Symbol"/>
      </w:rPr>
    </w:lvl>
    <w:lvl w:ilvl="1" w:tplc="321A7AF0">
      <w:start w:val="1"/>
      <w:numFmt w:val="bullet"/>
      <w:lvlText w:val=""/>
      <w:lvlJc w:val="left"/>
      <w:pPr>
        <w:ind w:left="720" w:hanging="360"/>
      </w:pPr>
      <w:rPr>
        <w:rFonts w:ascii="Symbol" w:hAnsi="Symbol"/>
      </w:rPr>
    </w:lvl>
    <w:lvl w:ilvl="2" w:tplc="CD168416">
      <w:start w:val="1"/>
      <w:numFmt w:val="bullet"/>
      <w:lvlText w:val=""/>
      <w:lvlJc w:val="left"/>
      <w:pPr>
        <w:ind w:left="720" w:hanging="360"/>
      </w:pPr>
      <w:rPr>
        <w:rFonts w:ascii="Symbol" w:hAnsi="Symbol"/>
      </w:rPr>
    </w:lvl>
    <w:lvl w:ilvl="3" w:tplc="A1CCB2AA">
      <w:start w:val="1"/>
      <w:numFmt w:val="bullet"/>
      <w:lvlText w:val=""/>
      <w:lvlJc w:val="left"/>
      <w:pPr>
        <w:ind w:left="720" w:hanging="360"/>
      </w:pPr>
      <w:rPr>
        <w:rFonts w:ascii="Symbol" w:hAnsi="Symbol"/>
      </w:rPr>
    </w:lvl>
    <w:lvl w:ilvl="4" w:tplc="B498C162">
      <w:start w:val="1"/>
      <w:numFmt w:val="bullet"/>
      <w:lvlText w:val=""/>
      <w:lvlJc w:val="left"/>
      <w:pPr>
        <w:ind w:left="720" w:hanging="360"/>
      </w:pPr>
      <w:rPr>
        <w:rFonts w:ascii="Symbol" w:hAnsi="Symbol"/>
      </w:rPr>
    </w:lvl>
    <w:lvl w:ilvl="5" w:tplc="885A85A6">
      <w:start w:val="1"/>
      <w:numFmt w:val="bullet"/>
      <w:lvlText w:val=""/>
      <w:lvlJc w:val="left"/>
      <w:pPr>
        <w:ind w:left="720" w:hanging="360"/>
      </w:pPr>
      <w:rPr>
        <w:rFonts w:ascii="Symbol" w:hAnsi="Symbol"/>
      </w:rPr>
    </w:lvl>
    <w:lvl w:ilvl="6" w:tplc="CF86DA6C">
      <w:start w:val="1"/>
      <w:numFmt w:val="bullet"/>
      <w:lvlText w:val=""/>
      <w:lvlJc w:val="left"/>
      <w:pPr>
        <w:ind w:left="720" w:hanging="360"/>
      </w:pPr>
      <w:rPr>
        <w:rFonts w:ascii="Symbol" w:hAnsi="Symbol"/>
      </w:rPr>
    </w:lvl>
    <w:lvl w:ilvl="7" w:tplc="18EC9644">
      <w:start w:val="1"/>
      <w:numFmt w:val="bullet"/>
      <w:lvlText w:val=""/>
      <w:lvlJc w:val="left"/>
      <w:pPr>
        <w:ind w:left="720" w:hanging="360"/>
      </w:pPr>
      <w:rPr>
        <w:rFonts w:ascii="Symbol" w:hAnsi="Symbol"/>
      </w:rPr>
    </w:lvl>
    <w:lvl w:ilvl="8" w:tplc="39889182">
      <w:start w:val="1"/>
      <w:numFmt w:val="bullet"/>
      <w:lvlText w:val=""/>
      <w:lvlJc w:val="left"/>
      <w:pPr>
        <w:ind w:left="720" w:hanging="360"/>
      </w:pPr>
      <w:rPr>
        <w:rFonts w:ascii="Symbol" w:hAnsi="Symbol"/>
      </w:rPr>
    </w:lvl>
  </w:abstractNum>
  <w:abstractNum w:abstractNumId="22" w15:restartNumberingAfterBreak="0">
    <w:nsid w:val="40DC759A"/>
    <w:multiLevelType w:val="hybridMultilevel"/>
    <w:tmpl w:val="E7C40F00"/>
    <w:lvl w:ilvl="0" w:tplc="B8D8B5CA">
      <w:start w:val="1"/>
      <w:numFmt w:val="decimal"/>
      <w:lvlText w:val="%1."/>
      <w:lvlJc w:val="left"/>
      <w:pPr>
        <w:ind w:left="720" w:hanging="360"/>
      </w:pPr>
    </w:lvl>
    <w:lvl w:ilvl="1" w:tplc="B616EAD4">
      <w:start w:val="1"/>
      <w:numFmt w:val="decimal"/>
      <w:lvlText w:val="%2."/>
      <w:lvlJc w:val="left"/>
      <w:pPr>
        <w:ind w:left="720" w:hanging="360"/>
      </w:pPr>
    </w:lvl>
    <w:lvl w:ilvl="2" w:tplc="4EC8C08E">
      <w:start w:val="1"/>
      <w:numFmt w:val="decimal"/>
      <w:lvlText w:val="%3."/>
      <w:lvlJc w:val="left"/>
      <w:pPr>
        <w:ind w:left="720" w:hanging="360"/>
      </w:pPr>
    </w:lvl>
    <w:lvl w:ilvl="3" w:tplc="AC12A6BC">
      <w:start w:val="1"/>
      <w:numFmt w:val="decimal"/>
      <w:lvlText w:val="%4."/>
      <w:lvlJc w:val="left"/>
      <w:pPr>
        <w:ind w:left="720" w:hanging="360"/>
      </w:pPr>
    </w:lvl>
    <w:lvl w:ilvl="4" w:tplc="E34467C0">
      <w:start w:val="1"/>
      <w:numFmt w:val="decimal"/>
      <w:lvlText w:val="%5."/>
      <w:lvlJc w:val="left"/>
      <w:pPr>
        <w:ind w:left="720" w:hanging="360"/>
      </w:pPr>
    </w:lvl>
    <w:lvl w:ilvl="5" w:tplc="87C637B0">
      <w:start w:val="1"/>
      <w:numFmt w:val="decimal"/>
      <w:lvlText w:val="%6."/>
      <w:lvlJc w:val="left"/>
      <w:pPr>
        <w:ind w:left="720" w:hanging="360"/>
      </w:pPr>
    </w:lvl>
    <w:lvl w:ilvl="6" w:tplc="E496E444">
      <w:start w:val="1"/>
      <w:numFmt w:val="decimal"/>
      <w:lvlText w:val="%7."/>
      <w:lvlJc w:val="left"/>
      <w:pPr>
        <w:ind w:left="720" w:hanging="360"/>
      </w:pPr>
    </w:lvl>
    <w:lvl w:ilvl="7" w:tplc="8120479E">
      <w:start w:val="1"/>
      <w:numFmt w:val="decimal"/>
      <w:lvlText w:val="%8."/>
      <w:lvlJc w:val="left"/>
      <w:pPr>
        <w:ind w:left="720" w:hanging="360"/>
      </w:pPr>
    </w:lvl>
    <w:lvl w:ilvl="8" w:tplc="DA34794E">
      <w:start w:val="1"/>
      <w:numFmt w:val="decimal"/>
      <w:lvlText w:val="%9."/>
      <w:lvlJc w:val="left"/>
      <w:pPr>
        <w:ind w:left="720" w:hanging="360"/>
      </w:pPr>
    </w:lvl>
  </w:abstractNum>
  <w:abstractNum w:abstractNumId="23" w15:restartNumberingAfterBreak="0">
    <w:nsid w:val="42A20764"/>
    <w:multiLevelType w:val="hybridMultilevel"/>
    <w:tmpl w:val="C5BAFEA4"/>
    <w:styleLink w:val="CurrentList21"/>
    <w:lvl w:ilvl="0" w:tplc="5D12DD5E">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5F5914"/>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EA7E14"/>
    <w:multiLevelType w:val="hybridMultilevel"/>
    <w:tmpl w:val="30D8467E"/>
    <w:lvl w:ilvl="0" w:tplc="DED0874A">
      <w:start w:val="1"/>
      <w:numFmt w:val="decimal"/>
      <w:lvlText w:val="%1."/>
      <w:lvlJc w:val="left"/>
      <w:pPr>
        <w:ind w:left="720" w:hanging="360"/>
      </w:pPr>
    </w:lvl>
    <w:lvl w:ilvl="1" w:tplc="88C8029C">
      <w:start w:val="1"/>
      <w:numFmt w:val="decimal"/>
      <w:lvlText w:val="%2."/>
      <w:lvlJc w:val="left"/>
      <w:pPr>
        <w:ind w:left="720" w:hanging="360"/>
      </w:pPr>
    </w:lvl>
    <w:lvl w:ilvl="2" w:tplc="938247FC">
      <w:start w:val="1"/>
      <w:numFmt w:val="decimal"/>
      <w:lvlText w:val="%3."/>
      <w:lvlJc w:val="left"/>
      <w:pPr>
        <w:ind w:left="720" w:hanging="360"/>
      </w:pPr>
    </w:lvl>
    <w:lvl w:ilvl="3" w:tplc="182CC5EE">
      <w:start w:val="1"/>
      <w:numFmt w:val="decimal"/>
      <w:lvlText w:val="%4."/>
      <w:lvlJc w:val="left"/>
      <w:pPr>
        <w:ind w:left="720" w:hanging="360"/>
      </w:pPr>
    </w:lvl>
    <w:lvl w:ilvl="4" w:tplc="CC848BD2">
      <w:start w:val="1"/>
      <w:numFmt w:val="decimal"/>
      <w:lvlText w:val="%5."/>
      <w:lvlJc w:val="left"/>
      <w:pPr>
        <w:ind w:left="720" w:hanging="360"/>
      </w:pPr>
    </w:lvl>
    <w:lvl w:ilvl="5" w:tplc="981CDB36">
      <w:start w:val="1"/>
      <w:numFmt w:val="decimal"/>
      <w:lvlText w:val="%6."/>
      <w:lvlJc w:val="left"/>
      <w:pPr>
        <w:ind w:left="720" w:hanging="360"/>
      </w:pPr>
    </w:lvl>
    <w:lvl w:ilvl="6" w:tplc="41ACCDFE">
      <w:start w:val="1"/>
      <w:numFmt w:val="decimal"/>
      <w:lvlText w:val="%7."/>
      <w:lvlJc w:val="left"/>
      <w:pPr>
        <w:ind w:left="720" w:hanging="360"/>
      </w:pPr>
    </w:lvl>
    <w:lvl w:ilvl="7" w:tplc="0BE4A61E">
      <w:start w:val="1"/>
      <w:numFmt w:val="decimal"/>
      <w:lvlText w:val="%8."/>
      <w:lvlJc w:val="left"/>
      <w:pPr>
        <w:ind w:left="720" w:hanging="360"/>
      </w:pPr>
    </w:lvl>
    <w:lvl w:ilvl="8" w:tplc="63B800C8">
      <w:start w:val="1"/>
      <w:numFmt w:val="decimal"/>
      <w:lvlText w:val="%9."/>
      <w:lvlJc w:val="left"/>
      <w:pPr>
        <w:ind w:left="720" w:hanging="360"/>
      </w:pPr>
    </w:lvl>
  </w:abstractNum>
  <w:abstractNum w:abstractNumId="26" w15:restartNumberingAfterBreak="0">
    <w:nsid w:val="458E144E"/>
    <w:multiLevelType w:val="hybridMultilevel"/>
    <w:tmpl w:val="C5BAFEA4"/>
    <w:lvl w:ilvl="0" w:tplc="FFFFFFFF">
      <w:start w:val="1"/>
      <w:numFmt w:val="lowerRoman"/>
      <w:lvlText w:val="(%1)"/>
      <w:lvlJc w:val="left"/>
      <w:pPr>
        <w:ind w:left="1495"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6F730B8"/>
    <w:multiLevelType w:val="hybridMultilevel"/>
    <w:tmpl w:val="E1A2952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8356A31"/>
    <w:multiLevelType w:val="hybridMultilevel"/>
    <w:tmpl w:val="6D12A26A"/>
    <w:lvl w:ilvl="0" w:tplc="539A97D4">
      <w:start w:val="1"/>
      <w:numFmt w:val="bullet"/>
      <w:lvlText w:val=""/>
      <w:lvlJc w:val="left"/>
      <w:pPr>
        <w:ind w:left="1020" w:hanging="360"/>
      </w:pPr>
      <w:rPr>
        <w:rFonts w:ascii="Symbol" w:hAnsi="Symbol"/>
      </w:rPr>
    </w:lvl>
    <w:lvl w:ilvl="1" w:tplc="36AA98AA">
      <w:start w:val="1"/>
      <w:numFmt w:val="bullet"/>
      <w:lvlText w:val=""/>
      <w:lvlJc w:val="left"/>
      <w:pPr>
        <w:ind w:left="1020" w:hanging="360"/>
      </w:pPr>
      <w:rPr>
        <w:rFonts w:ascii="Symbol" w:hAnsi="Symbol"/>
      </w:rPr>
    </w:lvl>
    <w:lvl w:ilvl="2" w:tplc="6110076A">
      <w:start w:val="1"/>
      <w:numFmt w:val="bullet"/>
      <w:lvlText w:val=""/>
      <w:lvlJc w:val="left"/>
      <w:pPr>
        <w:ind w:left="1020" w:hanging="360"/>
      </w:pPr>
      <w:rPr>
        <w:rFonts w:ascii="Symbol" w:hAnsi="Symbol"/>
      </w:rPr>
    </w:lvl>
    <w:lvl w:ilvl="3" w:tplc="DB42FE5E">
      <w:start w:val="1"/>
      <w:numFmt w:val="bullet"/>
      <w:lvlText w:val=""/>
      <w:lvlJc w:val="left"/>
      <w:pPr>
        <w:ind w:left="1020" w:hanging="360"/>
      </w:pPr>
      <w:rPr>
        <w:rFonts w:ascii="Symbol" w:hAnsi="Symbol"/>
      </w:rPr>
    </w:lvl>
    <w:lvl w:ilvl="4" w:tplc="FFEA3D02">
      <w:start w:val="1"/>
      <w:numFmt w:val="bullet"/>
      <w:lvlText w:val=""/>
      <w:lvlJc w:val="left"/>
      <w:pPr>
        <w:ind w:left="1020" w:hanging="360"/>
      </w:pPr>
      <w:rPr>
        <w:rFonts w:ascii="Symbol" w:hAnsi="Symbol"/>
      </w:rPr>
    </w:lvl>
    <w:lvl w:ilvl="5" w:tplc="CE809E16">
      <w:start w:val="1"/>
      <w:numFmt w:val="bullet"/>
      <w:lvlText w:val=""/>
      <w:lvlJc w:val="left"/>
      <w:pPr>
        <w:ind w:left="1020" w:hanging="360"/>
      </w:pPr>
      <w:rPr>
        <w:rFonts w:ascii="Symbol" w:hAnsi="Symbol"/>
      </w:rPr>
    </w:lvl>
    <w:lvl w:ilvl="6" w:tplc="2DBA894A">
      <w:start w:val="1"/>
      <w:numFmt w:val="bullet"/>
      <w:lvlText w:val=""/>
      <w:lvlJc w:val="left"/>
      <w:pPr>
        <w:ind w:left="1020" w:hanging="360"/>
      </w:pPr>
      <w:rPr>
        <w:rFonts w:ascii="Symbol" w:hAnsi="Symbol"/>
      </w:rPr>
    </w:lvl>
    <w:lvl w:ilvl="7" w:tplc="82941016">
      <w:start w:val="1"/>
      <w:numFmt w:val="bullet"/>
      <w:lvlText w:val=""/>
      <w:lvlJc w:val="left"/>
      <w:pPr>
        <w:ind w:left="1020" w:hanging="360"/>
      </w:pPr>
      <w:rPr>
        <w:rFonts w:ascii="Symbol" w:hAnsi="Symbol"/>
      </w:rPr>
    </w:lvl>
    <w:lvl w:ilvl="8" w:tplc="9EB89F24">
      <w:start w:val="1"/>
      <w:numFmt w:val="bullet"/>
      <w:lvlText w:val=""/>
      <w:lvlJc w:val="left"/>
      <w:pPr>
        <w:ind w:left="1020" w:hanging="360"/>
      </w:pPr>
      <w:rPr>
        <w:rFonts w:ascii="Symbol" w:hAnsi="Symbol"/>
      </w:rPr>
    </w:lvl>
  </w:abstractNum>
  <w:abstractNum w:abstractNumId="29" w15:restartNumberingAfterBreak="0">
    <w:nsid w:val="49FB60B9"/>
    <w:multiLevelType w:val="hybridMultilevel"/>
    <w:tmpl w:val="B1D23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A0977EC"/>
    <w:multiLevelType w:val="hybridMultilevel"/>
    <w:tmpl w:val="FFFFFFFF"/>
    <w:lvl w:ilvl="0" w:tplc="4A38C8C8">
      <w:start w:val="1"/>
      <w:numFmt w:val="bullet"/>
      <w:lvlText w:val=""/>
      <w:lvlJc w:val="left"/>
      <w:pPr>
        <w:ind w:left="720" w:hanging="360"/>
      </w:pPr>
      <w:rPr>
        <w:rFonts w:ascii="Symbol" w:hAnsi="Symbol" w:hint="default"/>
      </w:rPr>
    </w:lvl>
    <w:lvl w:ilvl="1" w:tplc="52EEF6D4">
      <w:start w:val="1"/>
      <w:numFmt w:val="bullet"/>
      <w:lvlText w:val="o"/>
      <w:lvlJc w:val="left"/>
      <w:pPr>
        <w:ind w:left="1440" w:hanging="360"/>
      </w:pPr>
      <w:rPr>
        <w:rFonts w:ascii="Courier New" w:hAnsi="Courier New" w:hint="default"/>
      </w:rPr>
    </w:lvl>
    <w:lvl w:ilvl="2" w:tplc="ECFC3B88">
      <w:start w:val="1"/>
      <w:numFmt w:val="bullet"/>
      <w:lvlText w:val=""/>
      <w:lvlJc w:val="left"/>
      <w:pPr>
        <w:ind w:left="2160" w:hanging="360"/>
      </w:pPr>
      <w:rPr>
        <w:rFonts w:ascii="Wingdings" w:hAnsi="Wingdings" w:hint="default"/>
      </w:rPr>
    </w:lvl>
    <w:lvl w:ilvl="3" w:tplc="281C27EE">
      <w:start w:val="1"/>
      <w:numFmt w:val="bullet"/>
      <w:lvlText w:val=""/>
      <w:lvlJc w:val="left"/>
      <w:pPr>
        <w:ind w:left="2880" w:hanging="360"/>
      </w:pPr>
      <w:rPr>
        <w:rFonts w:ascii="Symbol" w:hAnsi="Symbol" w:hint="default"/>
      </w:rPr>
    </w:lvl>
    <w:lvl w:ilvl="4" w:tplc="39F85E52">
      <w:start w:val="1"/>
      <w:numFmt w:val="bullet"/>
      <w:lvlText w:val="o"/>
      <w:lvlJc w:val="left"/>
      <w:pPr>
        <w:ind w:left="3600" w:hanging="360"/>
      </w:pPr>
      <w:rPr>
        <w:rFonts w:ascii="Courier New" w:hAnsi="Courier New" w:hint="default"/>
      </w:rPr>
    </w:lvl>
    <w:lvl w:ilvl="5" w:tplc="F6DE537E">
      <w:start w:val="1"/>
      <w:numFmt w:val="bullet"/>
      <w:lvlText w:val=""/>
      <w:lvlJc w:val="left"/>
      <w:pPr>
        <w:ind w:left="4320" w:hanging="360"/>
      </w:pPr>
      <w:rPr>
        <w:rFonts w:ascii="Wingdings" w:hAnsi="Wingdings" w:hint="default"/>
      </w:rPr>
    </w:lvl>
    <w:lvl w:ilvl="6" w:tplc="97E00BD4">
      <w:start w:val="1"/>
      <w:numFmt w:val="bullet"/>
      <w:lvlText w:val=""/>
      <w:lvlJc w:val="left"/>
      <w:pPr>
        <w:ind w:left="5040" w:hanging="360"/>
      </w:pPr>
      <w:rPr>
        <w:rFonts w:ascii="Symbol" w:hAnsi="Symbol" w:hint="default"/>
      </w:rPr>
    </w:lvl>
    <w:lvl w:ilvl="7" w:tplc="30245608">
      <w:start w:val="1"/>
      <w:numFmt w:val="bullet"/>
      <w:lvlText w:val="o"/>
      <w:lvlJc w:val="left"/>
      <w:pPr>
        <w:ind w:left="5760" w:hanging="360"/>
      </w:pPr>
      <w:rPr>
        <w:rFonts w:ascii="Courier New" w:hAnsi="Courier New" w:hint="default"/>
      </w:rPr>
    </w:lvl>
    <w:lvl w:ilvl="8" w:tplc="C7548AA8">
      <w:start w:val="1"/>
      <w:numFmt w:val="bullet"/>
      <w:lvlText w:val=""/>
      <w:lvlJc w:val="left"/>
      <w:pPr>
        <w:ind w:left="6480" w:hanging="360"/>
      </w:pPr>
      <w:rPr>
        <w:rFonts w:ascii="Wingdings" w:hAnsi="Wingdings" w:hint="default"/>
      </w:rPr>
    </w:lvl>
  </w:abstractNum>
  <w:abstractNum w:abstractNumId="31" w15:restartNumberingAfterBreak="0">
    <w:nsid w:val="4AF739EC"/>
    <w:multiLevelType w:val="hybridMultilevel"/>
    <w:tmpl w:val="EE362222"/>
    <w:styleLink w:val="CurrentList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DB674D5"/>
    <w:multiLevelType w:val="hybridMultilevel"/>
    <w:tmpl w:val="C4CA1ECA"/>
    <w:lvl w:ilvl="0" w:tplc="802474C6">
      <w:start w:val="1"/>
      <w:numFmt w:val="bullet"/>
      <w:lvlText w:val=""/>
      <w:lvlJc w:val="left"/>
      <w:pPr>
        <w:ind w:left="720" w:hanging="360"/>
      </w:pPr>
      <w:rPr>
        <w:rFonts w:ascii="Symbol" w:hAnsi="Symbol"/>
      </w:rPr>
    </w:lvl>
    <w:lvl w:ilvl="1" w:tplc="4C5CC6FA">
      <w:start w:val="1"/>
      <w:numFmt w:val="bullet"/>
      <w:lvlText w:val=""/>
      <w:lvlJc w:val="left"/>
      <w:pPr>
        <w:ind w:left="720" w:hanging="360"/>
      </w:pPr>
      <w:rPr>
        <w:rFonts w:ascii="Symbol" w:hAnsi="Symbol"/>
      </w:rPr>
    </w:lvl>
    <w:lvl w:ilvl="2" w:tplc="EF5670E6">
      <w:start w:val="1"/>
      <w:numFmt w:val="bullet"/>
      <w:lvlText w:val=""/>
      <w:lvlJc w:val="left"/>
      <w:pPr>
        <w:ind w:left="720" w:hanging="360"/>
      </w:pPr>
      <w:rPr>
        <w:rFonts w:ascii="Symbol" w:hAnsi="Symbol"/>
      </w:rPr>
    </w:lvl>
    <w:lvl w:ilvl="3" w:tplc="A0E611C6">
      <w:start w:val="1"/>
      <w:numFmt w:val="bullet"/>
      <w:lvlText w:val=""/>
      <w:lvlJc w:val="left"/>
      <w:pPr>
        <w:ind w:left="720" w:hanging="360"/>
      </w:pPr>
      <w:rPr>
        <w:rFonts w:ascii="Symbol" w:hAnsi="Symbol"/>
      </w:rPr>
    </w:lvl>
    <w:lvl w:ilvl="4" w:tplc="43E03904">
      <w:start w:val="1"/>
      <w:numFmt w:val="bullet"/>
      <w:lvlText w:val=""/>
      <w:lvlJc w:val="left"/>
      <w:pPr>
        <w:ind w:left="720" w:hanging="360"/>
      </w:pPr>
      <w:rPr>
        <w:rFonts w:ascii="Symbol" w:hAnsi="Symbol"/>
      </w:rPr>
    </w:lvl>
    <w:lvl w:ilvl="5" w:tplc="A1F8464C">
      <w:start w:val="1"/>
      <w:numFmt w:val="bullet"/>
      <w:lvlText w:val=""/>
      <w:lvlJc w:val="left"/>
      <w:pPr>
        <w:ind w:left="720" w:hanging="360"/>
      </w:pPr>
      <w:rPr>
        <w:rFonts w:ascii="Symbol" w:hAnsi="Symbol"/>
      </w:rPr>
    </w:lvl>
    <w:lvl w:ilvl="6" w:tplc="37BEFDEA">
      <w:start w:val="1"/>
      <w:numFmt w:val="bullet"/>
      <w:lvlText w:val=""/>
      <w:lvlJc w:val="left"/>
      <w:pPr>
        <w:ind w:left="720" w:hanging="360"/>
      </w:pPr>
      <w:rPr>
        <w:rFonts w:ascii="Symbol" w:hAnsi="Symbol"/>
      </w:rPr>
    </w:lvl>
    <w:lvl w:ilvl="7" w:tplc="BADC250A">
      <w:start w:val="1"/>
      <w:numFmt w:val="bullet"/>
      <w:lvlText w:val=""/>
      <w:lvlJc w:val="left"/>
      <w:pPr>
        <w:ind w:left="720" w:hanging="360"/>
      </w:pPr>
      <w:rPr>
        <w:rFonts w:ascii="Symbol" w:hAnsi="Symbol"/>
      </w:rPr>
    </w:lvl>
    <w:lvl w:ilvl="8" w:tplc="6CD803AE">
      <w:start w:val="1"/>
      <w:numFmt w:val="bullet"/>
      <w:lvlText w:val=""/>
      <w:lvlJc w:val="left"/>
      <w:pPr>
        <w:ind w:left="720" w:hanging="360"/>
      </w:pPr>
      <w:rPr>
        <w:rFonts w:ascii="Symbol" w:hAnsi="Symbol"/>
      </w:rPr>
    </w:lvl>
  </w:abstractNum>
  <w:abstractNum w:abstractNumId="33" w15:restartNumberingAfterBreak="0">
    <w:nsid w:val="4DB6A49F"/>
    <w:multiLevelType w:val="hybridMultilevel"/>
    <w:tmpl w:val="106A2D58"/>
    <w:lvl w:ilvl="0" w:tplc="FBB619D4">
      <w:start w:val="1"/>
      <w:numFmt w:val="bullet"/>
      <w:lvlText w:val=""/>
      <w:lvlJc w:val="left"/>
      <w:pPr>
        <w:ind w:left="720" w:hanging="360"/>
      </w:pPr>
      <w:rPr>
        <w:rFonts w:ascii="Symbol" w:hAnsi="Symbol" w:hint="default"/>
      </w:rPr>
    </w:lvl>
    <w:lvl w:ilvl="1" w:tplc="6280678E">
      <w:start w:val="1"/>
      <w:numFmt w:val="bullet"/>
      <w:lvlText w:val="o"/>
      <w:lvlJc w:val="left"/>
      <w:pPr>
        <w:ind w:left="1440" w:hanging="360"/>
      </w:pPr>
      <w:rPr>
        <w:rFonts w:ascii="&quot;Courier New&quot;" w:hAnsi="&quot;Courier New&quot;" w:hint="default"/>
      </w:rPr>
    </w:lvl>
    <w:lvl w:ilvl="2" w:tplc="52A60D24">
      <w:start w:val="1"/>
      <w:numFmt w:val="bullet"/>
      <w:lvlText w:val="§"/>
      <w:lvlJc w:val="left"/>
      <w:pPr>
        <w:ind w:left="2160" w:hanging="360"/>
      </w:pPr>
      <w:rPr>
        <w:rFonts w:ascii="&quot;Courier New&quot;" w:hAnsi="&quot;Courier New&quot;" w:hint="default"/>
      </w:rPr>
    </w:lvl>
    <w:lvl w:ilvl="3" w:tplc="7552493E">
      <w:start w:val="1"/>
      <w:numFmt w:val="bullet"/>
      <w:lvlText w:val=""/>
      <w:lvlJc w:val="left"/>
      <w:pPr>
        <w:ind w:left="2880" w:hanging="360"/>
      </w:pPr>
      <w:rPr>
        <w:rFonts w:ascii="Symbol" w:hAnsi="Symbol" w:hint="default"/>
      </w:rPr>
    </w:lvl>
    <w:lvl w:ilvl="4" w:tplc="30D270BE">
      <w:start w:val="1"/>
      <w:numFmt w:val="bullet"/>
      <w:lvlText w:val="o"/>
      <w:lvlJc w:val="left"/>
      <w:pPr>
        <w:ind w:left="3600" w:hanging="360"/>
      </w:pPr>
      <w:rPr>
        <w:rFonts w:ascii="Courier New" w:hAnsi="Courier New" w:hint="default"/>
      </w:rPr>
    </w:lvl>
    <w:lvl w:ilvl="5" w:tplc="974A8878">
      <w:start w:val="1"/>
      <w:numFmt w:val="bullet"/>
      <w:lvlText w:val=""/>
      <w:lvlJc w:val="left"/>
      <w:pPr>
        <w:ind w:left="4320" w:hanging="360"/>
      </w:pPr>
      <w:rPr>
        <w:rFonts w:ascii="Wingdings" w:hAnsi="Wingdings" w:hint="default"/>
      </w:rPr>
    </w:lvl>
    <w:lvl w:ilvl="6" w:tplc="E754139E">
      <w:start w:val="1"/>
      <w:numFmt w:val="bullet"/>
      <w:lvlText w:val=""/>
      <w:lvlJc w:val="left"/>
      <w:pPr>
        <w:ind w:left="5040" w:hanging="360"/>
      </w:pPr>
      <w:rPr>
        <w:rFonts w:ascii="Symbol" w:hAnsi="Symbol" w:hint="default"/>
      </w:rPr>
    </w:lvl>
    <w:lvl w:ilvl="7" w:tplc="0A0023FA">
      <w:start w:val="1"/>
      <w:numFmt w:val="bullet"/>
      <w:lvlText w:val="o"/>
      <w:lvlJc w:val="left"/>
      <w:pPr>
        <w:ind w:left="5760" w:hanging="360"/>
      </w:pPr>
      <w:rPr>
        <w:rFonts w:ascii="Courier New" w:hAnsi="Courier New" w:hint="default"/>
      </w:rPr>
    </w:lvl>
    <w:lvl w:ilvl="8" w:tplc="B1DCF726">
      <w:start w:val="1"/>
      <w:numFmt w:val="bullet"/>
      <w:lvlText w:val=""/>
      <w:lvlJc w:val="left"/>
      <w:pPr>
        <w:ind w:left="6480" w:hanging="360"/>
      </w:pPr>
      <w:rPr>
        <w:rFonts w:ascii="Wingdings" w:hAnsi="Wingdings" w:hint="default"/>
      </w:rPr>
    </w:lvl>
  </w:abstractNum>
  <w:abstractNum w:abstractNumId="34" w15:restartNumberingAfterBreak="0">
    <w:nsid w:val="4DCF3AE2"/>
    <w:multiLevelType w:val="multilevel"/>
    <w:tmpl w:val="B5EE04CA"/>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1920"/>
        </w:tabs>
        <w:ind w:left="1920" w:hanging="720"/>
      </w:pPr>
    </w:lvl>
    <w:lvl w:ilvl="4">
      <w:start w:val="1"/>
      <w:numFmt w:val="bullet"/>
      <w:lvlText w:val=""/>
      <w:lvlJc w:val="left"/>
      <w:pPr>
        <w:ind w:left="1800" w:hanging="360"/>
      </w:pPr>
      <w:rPr>
        <w:rFonts w:ascii="Symbol" w:hAnsi="Symbol" w:hint="default"/>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16A361B"/>
    <w:multiLevelType w:val="hybridMultilevel"/>
    <w:tmpl w:val="FFFFFFFF"/>
    <w:lvl w:ilvl="0" w:tplc="091A9678">
      <w:start w:val="1"/>
      <w:numFmt w:val="bullet"/>
      <w:lvlText w:val=""/>
      <w:lvlJc w:val="left"/>
      <w:pPr>
        <w:ind w:left="720" w:hanging="360"/>
      </w:pPr>
      <w:rPr>
        <w:rFonts w:ascii="Symbol" w:hAnsi="Symbol" w:hint="default"/>
      </w:rPr>
    </w:lvl>
    <w:lvl w:ilvl="1" w:tplc="F9248E10">
      <w:start w:val="1"/>
      <w:numFmt w:val="bullet"/>
      <w:lvlText w:val="o"/>
      <w:lvlJc w:val="left"/>
      <w:pPr>
        <w:ind w:left="1440" w:hanging="360"/>
      </w:pPr>
      <w:rPr>
        <w:rFonts w:ascii="Courier New" w:hAnsi="Courier New" w:hint="default"/>
      </w:rPr>
    </w:lvl>
    <w:lvl w:ilvl="2" w:tplc="71228028">
      <w:start w:val="1"/>
      <w:numFmt w:val="bullet"/>
      <w:lvlText w:val=""/>
      <w:lvlJc w:val="left"/>
      <w:pPr>
        <w:ind w:left="2160" w:hanging="360"/>
      </w:pPr>
      <w:rPr>
        <w:rFonts w:ascii="Wingdings" w:hAnsi="Wingdings" w:hint="default"/>
      </w:rPr>
    </w:lvl>
    <w:lvl w:ilvl="3" w:tplc="F0B2A556">
      <w:start w:val="1"/>
      <w:numFmt w:val="bullet"/>
      <w:lvlText w:val=""/>
      <w:lvlJc w:val="left"/>
      <w:pPr>
        <w:ind w:left="2880" w:hanging="360"/>
      </w:pPr>
      <w:rPr>
        <w:rFonts w:ascii="Symbol" w:hAnsi="Symbol" w:hint="default"/>
      </w:rPr>
    </w:lvl>
    <w:lvl w:ilvl="4" w:tplc="72F47C76">
      <w:start w:val="1"/>
      <w:numFmt w:val="bullet"/>
      <w:lvlText w:val="o"/>
      <w:lvlJc w:val="left"/>
      <w:pPr>
        <w:ind w:left="3600" w:hanging="360"/>
      </w:pPr>
      <w:rPr>
        <w:rFonts w:ascii="Courier New" w:hAnsi="Courier New" w:hint="default"/>
      </w:rPr>
    </w:lvl>
    <w:lvl w:ilvl="5" w:tplc="30D0F490">
      <w:start w:val="1"/>
      <w:numFmt w:val="bullet"/>
      <w:lvlText w:val=""/>
      <w:lvlJc w:val="left"/>
      <w:pPr>
        <w:ind w:left="4320" w:hanging="360"/>
      </w:pPr>
      <w:rPr>
        <w:rFonts w:ascii="Wingdings" w:hAnsi="Wingdings" w:hint="default"/>
      </w:rPr>
    </w:lvl>
    <w:lvl w:ilvl="6" w:tplc="F434EE68">
      <w:start w:val="1"/>
      <w:numFmt w:val="bullet"/>
      <w:lvlText w:val=""/>
      <w:lvlJc w:val="left"/>
      <w:pPr>
        <w:ind w:left="5040" w:hanging="360"/>
      </w:pPr>
      <w:rPr>
        <w:rFonts w:ascii="Symbol" w:hAnsi="Symbol" w:hint="default"/>
      </w:rPr>
    </w:lvl>
    <w:lvl w:ilvl="7" w:tplc="CB563F60">
      <w:start w:val="1"/>
      <w:numFmt w:val="bullet"/>
      <w:lvlText w:val="o"/>
      <w:lvlJc w:val="left"/>
      <w:pPr>
        <w:ind w:left="5760" w:hanging="360"/>
      </w:pPr>
      <w:rPr>
        <w:rFonts w:ascii="Courier New" w:hAnsi="Courier New" w:hint="default"/>
      </w:rPr>
    </w:lvl>
    <w:lvl w:ilvl="8" w:tplc="AC98CD28">
      <w:start w:val="1"/>
      <w:numFmt w:val="bullet"/>
      <w:lvlText w:val=""/>
      <w:lvlJc w:val="left"/>
      <w:pPr>
        <w:ind w:left="6480" w:hanging="360"/>
      </w:pPr>
      <w:rPr>
        <w:rFonts w:ascii="Wingdings" w:hAnsi="Wingdings" w:hint="default"/>
      </w:rPr>
    </w:lvl>
  </w:abstractNum>
  <w:abstractNum w:abstractNumId="36" w15:restartNumberingAfterBreak="0">
    <w:nsid w:val="532F72B7"/>
    <w:multiLevelType w:val="hybridMultilevel"/>
    <w:tmpl w:val="C5BAFEA4"/>
    <w:lvl w:ilvl="0" w:tplc="FFFFFFFF">
      <w:start w:val="1"/>
      <w:numFmt w:val="lowerRoman"/>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53953F0C"/>
    <w:multiLevelType w:val="hybridMultilevel"/>
    <w:tmpl w:val="6FB609B2"/>
    <w:lvl w:ilvl="0" w:tplc="3F9003EA">
      <w:start w:val="1"/>
      <w:numFmt w:val="bullet"/>
      <w:lvlText w:val=""/>
      <w:lvlJc w:val="left"/>
      <w:pPr>
        <w:ind w:left="6" w:hanging="360"/>
      </w:pPr>
      <w:rPr>
        <w:rFonts w:ascii="Symbol" w:hAnsi="Symbol" w:hint="default"/>
        <w:sz w:val="18"/>
        <w:szCs w:val="16"/>
      </w:rPr>
    </w:lvl>
    <w:lvl w:ilvl="1" w:tplc="04090003" w:tentative="1">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38" w15:restartNumberingAfterBreak="0">
    <w:nsid w:val="590137DE"/>
    <w:multiLevelType w:val="hybridMultilevel"/>
    <w:tmpl w:val="27A2FBF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9555C95"/>
    <w:multiLevelType w:val="multilevel"/>
    <w:tmpl w:val="FA48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A8325B9"/>
    <w:multiLevelType w:val="hybridMultilevel"/>
    <w:tmpl w:val="EE747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AB76AB4"/>
    <w:multiLevelType w:val="hybridMultilevel"/>
    <w:tmpl w:val="0C2C6BDC"/>
    <w:lvl w:ilvl="0" w:tplc="71D2ECDE">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FD350C3"/>
    <w:multiLevelType w:val="hybridMultilevel"/>
    <w:tmpl w:val="9C44890A"/>
    <w:lvl w:ilvl="0" w:tplc="1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1EE2593"/>
    <w:multiLevelType w:val="hybridMultilevel"/>
    <w:tmpl w:val="0C2C6BDC"/>
    <w:styleLink w:val="CurrentList7"/>
    <w:lvl w:ilvl="0" w:tplc="71D2ECDE">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4D927CC"/>
    <w:multiLevelType w:val="hybridMultilevel"/>
    <w:tmpl w:val="34E2304A"/>
    <w:lvl w:ilvl="0" w:tplc="04090001">
      <w:start w:val="1"/>
      <w:numFmt w:val="bullet"/>
      <w:lvlText w:val=""/>
      <w:lvlJc w:val="left"/>
      <w:pPr>
        <w:ind w:left="6" w:hanging="360"/>
      </w:pPr>
      <w:rPr>
        <w:rFonts w:ascii="Symbol" w:hAnsi="Symbol" w:hint="default"/>
      </w:rPr>
    </w:lvl>
    <w:lvl w:ilvl="1" w:tplc="04090003" w:tentative="1">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46" w15:restartNumberingAfterBreak="0">
    <w:nsid w:val="665526F3"/>
    <w:multiLevelType w:val="hybridMultilevel"/>
    <w:tmpl w:val="D8061590"/>
    <w:lvl w:ilvl="0" w:tplc="1809000F">
      <w:start w:val="1"/>
      <w:numFmt w:val="decimal"/>
      <w:lvlText w:val="%1."/>
      <w:lvlJc w:val="left"/>
      <w:pPr>
        <w:ind w:left="1003" w:hanging="360"/>
      </w:pPr>
    </w:lvl>
    <w:lvl w:ilvl="1" w:tplc="18090019" w:tentative="1">
      <w:start w:val="1"/>
      <w:numFmt w:val="lowerLetter"/>
      <w:lvlText w:val="%2."/>
      <w:lvlJc w:val="left"/>
      <w:pPr>
        <w:ind w:left="1723" w:hanging="360"/>
      </w:pPr>
    </w:lvl>
    <w:lvl w:ilvl="2" w:tplc="1809001B" w:tentative="1">
      <w:start w:val="1"/>
      <w:numFmt w:val="lowerRoman"/>
      <w:lvlText w:val="%3."/>
      <w:lvlJc w:val="right"/>
      <w:pPr>
        <w:ind w:left="2443" w:hanging="180"/>
      </w:pPr>
    </w:lvl>
    <w:lvl w:ilvl="3" w:tplc="1809000F" w:tentative="1">
      <w:start w:val="1"/>
      <w:numFmt w:val="decimal"/>
      <w:lvlText w:val="%4."/>
      <w:lvlJc w:val="left"/>
      <w:pPr>
        <w:ind w:left="3163" w:hanging="360"/>
      </w:pPr>
    </w:lvl>
    <w:lvl w:ilvl="4" w:tplc="18090019" w:tentative="1">
      <w:start w:val="1"/>
      <w:numFmt w:val="lowerLetter"/>
      <w:lvlText w:val="%5."/>
      <w:lvlJc w:val="left"/>
      <w:pPr>
        <w:ind w:left="3883" w:hanging="360"/>
      </w:pPr>
    </w:lvl>
    <w:lvl w:ilvl="5" w:tplc="1809001B" w:tentative="1">
      <w:start w:val="1"/>
      <w:numFmt w:val="lowerRoman"/>
      <w:lvlText w:val="%6."/>
      <w:lvlJc w:val="right"/>
      <w:pPr>
        <w:ind w:left="4603" w:hanging="180"/>
      </w:pPr>
    </w:lvl>
    <w:lvl w:ilvl="6" w:tplc="1809000F" w:tentative="1">
      <w:start w:val="1"/>
      <w:numFmt w:val="decimal"/>
      <w:lvlText w:val="%7."/>
      <w:lvlJc w:val="left"/>
      <w:pPr>
        <w:ind w:left="5323" w:hanging="360"/>
      </w:pPr>
    </w:lvl>
    <w:lvl w:ilvl="7" w:tplc="18090019" w:tentative="1">
      <w:start w:val="1"/>
      <w:numFmt w:val="lowerLetter"/>
      <w:lvlText w:val="%8."/>
      <w:lvlJc w:val="left"/>
      <w:pPr>
        <w:ind w:left="6043" w:hanging="360"/>
      </w:pPr>
    </w:lvl>
    <w:lvl w:ilvl="8" w:tplc="1809001B" w:tentative="1">
      <w:start w:val="1"/>
      <w:numFmt w:val="lowerRoman"/>
      <w:lvlText w:val="%9."/>
      <w:lvlJc w:val="right"/>
      <w:pPr>
        <w:ind w:left="6763" w:hanging="180"/>
      </w:pPr>
    </w:lvl>
  </w:abstractNum>
  <w:abstractNum w:abstractNumId="47" w15:restartNumberingAfterBreak="0">
    <w:nsid w:val="68902C20"/>
    <w:multiLevelType w:val="hybridMultilevel"/>
    <w:tmpl w:val="E1A29522"/>
    <w:styleLink w:val="CurrentList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6A436BA9"/>
    <w:multiLevelType w:val="hybridMultilevel"/>
    <w:tmpl w:val="1AE2B944"/>
    <w:lvl w:ilvl="0" w:tplc="E98072FE">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A504D6D"/>
    <w:multiLevelType w:val="hybridMultilevel"/>
    <w:tmpl w:val="47004134"/>
    <w:lvl w:ilvl="0" w:tplc="B566B6A8">
      <w:start w:val="1"/>
      <w:numFmt w:val="bullet"/>
      <w:lvlText w:val=""/>
      <w:lvlJc w:val="left"/>
      <w:pPr>
        <w:ind w:left="1020" w:hanging="360"/>
      </w:pPr>
      <w:rPr>
        <w:rFonts w:ascii="Symbol" w:hAnsi="Symbol"/>
      </w:rPr>
    </w:lvl>
    <w:lvl w:ilvl="1" w:tplc="B9E89DC0">
      <w:start w:val="1"/>
      <w:numFmt w:val="bullet"/>
      <w:lvlText w:val=""/>
      <w:lvlJc w:val="left"/>
      <w:pPr>
        <w:ind w:left="1020" w:hanging="360"/>
      </w:pPr>
      <w:rPr>
        <w:rFonts w:ascii="Symbol" w:hAnsi="Symbol"/>
      </w:rPr>
    </w:lvl>
    <w:lvl w:ilvl="2" w:tplc="4D82D7C8">
      <w:start w:val="1"/>
      <w:numFmt w:val="bullet"/>
      <w:lvlText w:val=""/>
      <w:lvlJc w:val="left"/>
      <w:pPr>
        <w:ind w:left="1020" w:hanging="360"/>
      </w:pPr>
      <w:rPr>
        <w:rFonts w:ascii="Symbol" w:hAnsi="Symbol"/>
      </w:rPr>
    </w:lvl>
    <w:lvl w:ilvl="3" w:tplc="A67EC0DA">
      <w:start w:val="1"/>
      <w:numFmt w:val="bullet"/>
      <w:lvlText w:val=""/>
      <w:lvlJc w:val="left"/>
      <w:pPr>
        <w:ind w:left="1020" w:hanging="360"/>
      </w:pPr>
      <w:rPr>
        <w:rFonts w:ascii="Symbol" w:hAnsi="Symbol"/>
      </w:rPr>
    </w:lvl>
    <w:lvl w:ilvl="4" w:tplc="F7C85922">
      <w:start w:val="1"/>
      <w:numFmt w:val="bullet"/>
      <w:lvlText w:val=""/>
      <w:lvlJc w:val="left"/>
      <w:pPr>
        <w:ind w:left="1020" w:hanging="360"/>
      </w:pPr>
      <w:rPr>
        <w:rFonts w:ascii="Symbol" w:hAnsi="Symbol"/>
      </w:rPr>
    </w:lvl>
    <w:lvl w:ilvl="5" w:tplc="ED6AC422">
      <w:start w:val="1"/>
      <w:numFmt w:val="bullet"/>
      <w:lvlText w:val=""/>
      <w:lvlJc w:val="left"/>
      <w:pPr>
        <w:ind w:left="1020" w:hanging="360"/>
      </w:pPr>
      <w:rPr>
        <w:rFonts w:ascii="Symbol" w:hAnsi="Symbol"/>
      </w:rPr>
    </w:lvl>
    <w:lvl w:ilvl="6" w:tplc="FAD0B900">
      <w:start w:val="1"/>
      <w:numFmt w:val="bullet"/>
      <w:lvlText w:val=""/>
      <w:lvlJc w:val="left"/>
      <w:pPr>
        <w:ind w:left="1020" w:hanging="360"/>
      </w:pPr>
      <w:rPr>
        <w:rFonts w:ascii="Symbol" w:hAnsi="Symbol"/>
      </w:rPr>
    </w:lvl>
    <w:lvl w:ilvl="7" w:tplc="B268C824">
      <w:start w:val="1"/>
      <w:numFmt w:val="bullet"/>
      <w:lvlText w:val=""/>
      <w:lvlJc w:val="left"/>
      <w:pPr>
        <w:ind w:left="1020" w:hanging="360"/>
      </w:pPr>
      <w:rPr>
        <w:rFonts w:ascii="Symbol" w:hAnsi="Symbol"/>
      </w:rPr>
    </w:lvl>
    <w:lvl w:ilvl="8" w:tplc="97CE2F92">
      <w:start w:val="1"/>
      <w:numFmt w:val="bullet"/>
      <w:lvlText w:val=""/>
      <w:lvlJc w:val="left"/>
      <w:pPr>
        <w:ind w:left="1020" w:hanging="360"/>
      </w:pPr>
      <w:rPr>
        <w:rFonts w:ascii="Symbol" w:hAnsi="Symbol"/>
      </w:rPr>
    </w:lvl>
  </w:abstractNum>
  <w:abstractNum w:abstractNumId="50" w15:restartNumberingAfterBreak="0">
    <w:nsid w:val="6B973EA8"/>
    <w:multiLevelType w:val="multilevel"/>
    <w:tmpl w:val="D1122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C90CDE"/>
    <w:multiLevelType w:val="multilevel"/>
    <w:tmpl w:val="75EEA66A"/>
    <w:styleLink w:val="CurrentList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3C5103"/>
    <w:multiLevelType w:val="hybridMultilevel"/>
    <w:tmpl w:val="0C2C6BDC"/>
    <w:lvl w:ilvl="0" w:tplc="71D2ECDE">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AFA30A"/>
    <w:multiLevelType w:val="hybridMultilevel"/>
    <w:tmpl w:val="FFFFFFFF"/>
    <w:lvl w:ilvl="0" w:tplc="A1560800">
      <w:start w:val="1"/>
      <w:numFmt w:val="bullet"/>
      <w:lvlText w:val=""/>
      <w:lvlJc w:val="left"/>
      <w:pPr>
        <w:ind w:left="720" w:hanging="360"/>
      </w:pPr>
      <w:rPr>
        <w:rFonts w:ascii="Symbol" w:hAnsi="Symbol" w:hint="default"/>
      </w:rPr>
    </w:lvl>
    <w:lvl w:ilvl="1" w:tplc="67081626">
      <w:start w:val="1"/>
      <w:numFmt w:val="bullet"/>
      <w:lvlText w:val="o"/>
      <w:lvlJc w:val="left"/>
      <w:pPr>
        <w:ind w:left="1440" w:hanging="360"/>
      </w:pPr>
      <w:rPr>
        <w:rFonts w:ascii="Courier New" w:hAnsi="Courier New" w:hint="default"/>
      </w:rPr>
    </w:lvl>
    <w:lvl w:ilvl="2" w:tplc="12B0261C">
      <w:start w:val="1"/>
      <w:numFmt w:val="bullet"/>
      <w:lvlText w:val=""/>
      <w:lvlJc w:val="left"/>
      <w:pPr>
        <w:ind w:left="2160" w:hanging="360"/>
      </w:pPr>
      <w:rPr>
        <w:rFonts w:ascii="Wingdings" w:hAnsi="Wingdings" w:hint="default"/>
      </w:rPr>
    </w:lvl>
    <w:lvl w:ilvl="3" w:tplc="587E6F5C">
      <w:start w:val="1"/>
      <w:numFmt w:val="bullet"/>
      <w:lvlText w:val=""/>
      <w:lvlJc w:val="left"/>
      <w:pPr>
        <w:ind w:left="2880" w:hanging="360"/>
      </w:pPr>
      <w:rPr>
        <w:rFonts w:ascii="Symbol" w:hAnsi="Symbol" w:hint="default"/>
      </w:rPr>
    </w:lvl>
    <w:lvl w:ilvl="4" w:tplc="8A8CC518">
      <w:start w:val="1"/>
      <w:numFmt w:val="bullet"/>
      <w:lvlText w:val="o"/>
      <w:lvlJc w:val="left"/>
      <w:pPr>
        <w:ind w:left="3600" w:hanging="360"/>
      </w:pPr>
      <w:rPr>
        <w:rFonts w:ascii="Courier New" w:hAnsi="Courier New" w:hint="default"/>
      </w:rPr>
    </w:lvl>
    <w:lvl w:ilvl="5" w:tplc="9DCC29AA">
      <w:start w:val="1"/>
      <w:numFmt w:val="bullet"/>
      <w:lvlText w:val=""/>
      <w:lvlJc w:val="left"/>
      <w:pPr>
        <w:ind w:left="4320" w:hanging="360"/>
      </w:pPr>
      <w:rPr>
        <w:rFonts w:ascii="Wingdings" w:hAnsi="Wingdings" w:hint="default"/>
      </w:rPr>
    </w:lvl>
    <w:lvl w:ilvl="6" w:tplc="DBFCD8B8">
      <w:start w:val="1"/>
      <w:numFmt w:val="bullet"/>
      <w:lvlText w:val=""/>
      <w:lvlJc w:val="left"/>
      <w:pPr>
        <w:ind w:left="5040" w:hanging="360"/>
      </w:pPr>
      <w:rPr>
        <w:rFonts w:ascii="Symbol" w:hAnsi="Symbol" w:hint="default"/>
      </w:rPr>
    </w:lvl>
    <w:lvl w:ilvl="7" w:tplc="C54A4A26">
      <w:start w:val="1"/>
      <w:numFmt w:val="bullet"/>
      <w:lvlText w:val="o"/>
      <w:lvlJc w:val="left"/>
      <w:pPr>
        <w:ind w:left="5760" w:hanging="360"/>
      </w:pPr>
      <w:rPr>
        <w:rFonts w:ascii="Courier New" w:hAnsi="Courier New" w:hint="default"/>
      </w:rPr>
    </w:lvl>
    <w:lvl w:ilvl="8" w:tplc="08C2471E">
      <w:start w:val="1"/>
      <w:numFmt w:val="bullet"/>
      <w:lvlText w:val=""/>
      <w:lvlJc w:val="left"/>
      <w:pPr>
        <w:ind w:left="6480" w:hanging="360"/>
      </w:pPr>
      <w:rPr>
        <w:rFonts w:ascii="Wingdings" w:hAnsi="Wingdings" w:hint="default"/>
      </w:rPr>
    </w:lvl>
  </w:abstractNum>
  <w:abstractNum w:abstractNumId="54" w15:restartNumberingAfterBreak="0">
    <w:nsid w:val="70732D13"/>
    <w:multiLevelType w:val="hybridMultilevel"/>
    <w:tmpl w:val="CEFAE884"/>
    <w:lvl w:ilvl="0" w:tplc="C3F4159E">
      <w:start w:val="1"/>
      <w:numFmt w:val="bullet"/>
      <w:lvlText w:val=""/>
      <w:lvlJc w:val="left"/>
      <w:pPr>
        <w:ind w:left="1020" w:hanging="360"/>
      </w:pPr>
      <w:rPr>
        <w:rFonts w:ascii="Symbol" w:hAnsi="Symbol"/>
      </w:rPr>
    </w:lvl>
    <w:lvl w:ilvl="1" w:tplc="97D4101C">
      <w:start w:val="1"/>
      <w:numFmt w:val="bullet"/>
      <w:lvlText w:val=""/>
      <w:lvlJc w:val="left"/>
      <w:pPr>
        <w:ind w:left="1020" w:hanging="360"/>
      </w:pPr>
      <w:rPr>
        <w:rFonts w:ascii="Symbol" w:hAnsi="Symbol"/>
      </w:rPr>
    </w:lvl>
    <w:lvl w:ilvl="2" w:tplc="3DB6C5FE">
      <w:start w:val="1"/>
      <w:numFmt w:val="bullet"/>
      <w:lvlText w:val=""/>
      <w:lvlJc w:val="left"/>
      <w:pPr>
        <w:ind w:left="1020" w:hanging="360"/>
      </w:pPr>
      <w:rPr>
        <w:rFonts w:ascii="Symbol" w:hAnsi="Symbol"/>
      </w:rPr>
    </w:lvl>
    <w:lvl w:ilvl="3" w:tplc="340884DC">
      <w:start w:val="1"/>
      <w:numFmt w:val="bullet"/>
      <w:lvlText w:val=""/>
      <w:lvlJc w:val="left"/>
      <w:pPr>
        <w:ind w:left="1020" w:hanging="360"/>
      </w:pPr>
      <w:rPr>
        <w:rFonts w:ascii="Symbol" w:hAnsi="Symbol"/>
      </w:rPr>
    </w:lvl>
    <w:lvl w:ilvl="4" w:tplc="8F7C31FC">
      <w:start w:val="1"/>
      <w:numFmt w:val="bullet"/>
      <w:lvlText w:val=""/>
      <w:lvlJc w:val="left"/>
      <w:pPr>
        <w:ind w:left="1020" w:hanging="360"/>
      </w:pPr>
      <w:rPr>
        <w:rFonts w:ascii="Symbol" w:hAnsi="Symbol"/>
      </w:rPr>
    </w:lvl>
    <w:lvl w:ilvl="5" w:tplc="D6E22B94">
      <w:start w:val="1"/>
      <w:numFmt w:val="bullet"/>
      <w:lvlText w:val=""/>
      <w:lvlJc w:val="left"/>
      <w:pPr>
        <w:ind w:left="1020" w:hanging="360"/>
      </w:pPr>
      <w:rPr>
        <w:rFonts w:ascii="Symbol" w:hAnsi="Symbol"/>
      </w:rPr>
    </w:lvl>
    <w:lvl w:ilvl="6" w:tplc="44C48266">
      <w:start w:val="1"/>
      <w:numFmt w:val="bullet"/>
      <w:lvlText w:val=""/>
      <w:lvlJc w:val="left"/>
      <w:pPr>
        <w:ind w:left="1020" w:hanging="360"/>
      </w:pPr>
      <w:rPr>
        <w:rFonts w:ascii="Symbol" w:hAnsi="Symbol"/>
      </w:rPr>
    </w:lvl>
    <w:lvl w:ilvl="7" w:tplc="0A523BD6">
      <w:start w:val="1"/>
      <w:numFmt w:val="bullet"/>
      <w:lvlText w:val=""/>
      <w:lvlJc w:val="left"/>
      <w:pPr>
        <w:ind w:left="1020" w:hanging="360"/>
      </w:pPr>
      <w:rPr>
        <w:rFonts w:ascii="Symbol" w:hAnsi="Symbol"/>
      </w:rPr>
    </w:lvl>
    <w:lvl w:ilvl="8" w:tplc="FCF0498E">
      <w:start w:val="1"/>
      <w:numFmt w:val="bullet"/>
      <w:lvlText w:val=""/>
      <w:lvlJc w:val="left"/>
      <w:pPr>
        <w:ind w:left="1020" w:hanging="360"/>
      </w:pPr>
      <w:rPr>
        <w:rFonts w:ascii="Symbol" w:hAnsi="Symbol"/>
      </w:rPr>
    </w:lvl>
  </w:abstractNum>
  <w:abstractNum w:abstractNumId="55" w15:restartNumberingAfterBreak="0">
    <w:nsid w:val="7108216E"/>
    <w:multiLevelType w:val="hybridMultilevel"/>
    <w:tmpl w:val="C5BAFEA4"/>
    <w:styleLink w:val="CurrentList121"/>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21B53B7"/>
    <w:multiLevelType w:val="hybridMultilevel"/>
    <w:tmpl w:val="C1EC1EE0"/>
    <w:lvl w:ilvl="0" w:tplc="D6BCA02C">
      <w:start w:val="1"/>
      <w:numFmt w:val="bullet"/>
      <w:lvlText w:val=""/>
      <w:lvlJc w:val="left"/>
      <w:pPr>
        <w:ind w:left="720" w:hanging="360"/>
      </w:pPr>
      <w:rPr>
        <w:rFonts w:ascii="Symbol" w:hAnsi="Symbol"/>
      </w:rPr>
    </w:lvl>
    <w:lvl w:ilvl="1" w:tplc="61B6F17A">
      <w:start w:val="1"/>
      <w:numFmt w:val="bullet"/>
      <w:lvlText w:val=""/>
      <w:lvlJc w:val="left"/>
      <w:pPr>
        <w:ind w:left="720" w:hanging="360"/>
      </w:pPr>
      <w:rPr>
        <w:rFonts w:ascii="Symbol" w:hAnsi="Symbol"/>
      </w:rPr>
    </w:lvl>
    <w:lvl w:ilvl="2" w:tplc="6114B8D6">
      <w:start w:val="1"/>
      <w:numFmt w:val="bullet"/>
      <w:lvlText w:val=""/>
      <w:lvlJc w:val="left"/>
      <w:pPr>
        <w:ind w:left="720" w:hanging="360"/>
      </w:pPr>
      <w:rPr>
        <w:rFonts w:ascii="Symbol" w:hAnsi="Symbol"/>
      </w:rPr>
    </w:lvl>
    <w:lvl w:ilvl="3" w:tplc="903E38B2">
      <w:start w:val="1"/>
      <w:numFmt w:val="bullet"/>
      <w:lvlText w:val=""/>
      <w:lvlJc w:val="left"/>
      <w:pPr>
        <w:ind w:left="720" w:hanging="360"/>
      </w:pPr>
      <w:rPr>
        <w:rFonts w:ascii="Symbol" w:hAnsi="Symbol"/>
      </w:rPr>
    </w:lvl>
    <w:lvl w:ilvl="4" w:tplc="747648BE">
      <w:start w:val="1"/>
      <w:numFmt w:val="bullet"/>
      <w:lvlText w:val=""/>
      <w:lvlJc w:val="left"/>
      <w:pPr>
        <w:ind w:left="720" w:hanging="360"/>
      </w:pPr>
      <w:rPr>
        <w:rFonts w:ascii="Symbol" w:hAnsi="Symbol"/>
      </w:rPr>
    </w:lvl>
    <w:lvl w:ilvl="5" w:tplc="16A28544">
      <w:start w:val="1"/>
      <w:numFmt w:val="bullet"/>
      <w:lvlText w:val=""/>
      <w:lvlJc w:val="left"/>
      <w:pPr>
        <w:ind w:left="720" w:hanging="360"/>
      </w:pPr>
      <w:rPr>
        <w:rFonts w:ascii="Symbol" w:hAnsi="Symbol"/>
      </w:rPr>
    </w:lvl>
    <w:lvl w:ilvl="6" w:tplc="E8E40496">
      <w:start w:val="1"/>
      <w:numFmt w:val="bullet"/>
      <w:lvlText w:val=""/>
      <w:lvlJc w:val="left"/>
      <w:pPr>
        <w:ind w:left="720" w:hanging="360"/>
      </w:pPr>
      <w:rPr>
        <w:rFonts w:ascii="Symbol" w:hAnsi="Symbol"/>
      </w:rPr>
    </w:lvl>
    <w:lvl w:ilvl="7" w:tplc="5DEEDEF8">
      <w:start w:val="1"/>
      <w:numFmt w:val="bullet"/>
      <w:lvlText w:val=""/>
      <w:lvlJc w:val="left"/>
      <w:pPr>
        <w:ind w:left="720" w:hanging="360"/>
      </w:pPr>
      <w:rPr>
        <w:rFonts w:ascii="Symbol" w:hAnsi="Symbol"/>
      </w:rPr>
    </w:lvl>
    <w:lvl w:ilvl="8" w:tplc="7F8A4FA8">
      <w:start w:val="1"/>
      <w:numFmt w:val="bullet"/>
      <w:lvlText w:val=""/>
      <w:lvlJc w:val="left"/>
      <w:pPr>
        <w:ind w:left="720" w:hanging="360"/>
      </w:pPr>
      <w:rPr>
        <w:rFonts w:ascii="Symbol" w:hAnsi="Symbol"/>
      </w:rPr>
    </w:lvl>
  </w:abstractNum>
  <w:abstractNum w:abstractNumId="57" w15:restartNumberingAfterBreak="0">
    <w:nsid w:val="72C95CED"/>
    <w:multiLevelType w:val="hybridMultilevel"/>
    <w:tmpl w:val="9250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2D80E01"/>
    <w:multiLevelType w:val="hybridMultilevel"/>
    <w:tmpl w:val="C5BAFEA4"/>
    <w:styleLink w:val="CurrentList141"/>
    <w:lvl w:ilvl="0" w:tplc="FFFFFFFF">
      <w:start w:val="1"/>
      <w:numFmt w:val="lowerRoman"/>
      <w:lvlText w:val="(%1)"/>
      <w:lvlJc w:val="left"/>
      <w:pPr>
        <w:ind w:left="1495"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 w15:restartNumberingAfterBreak="0">
    <w:nsid w:val="78B34AC3"/>
    <w:multiLevelType w:val="hybridMultilevel"/>
    <w:tmpl w:val="7F5A4722"/>
    <w:styleLink w:val="CurrentList51"/>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DE41D3"/>
    <w:multiLevelType w:val="hybridMultilevel"/>
    <w:tmpl w:val="C5BAFEA4"/>
    <w:styleLink w:val="CurrentList1"/>
    <w:lvl w:ilvl="0" w:tplc="FFFFFFFF">
      <w:start w:val="1"/>
      <w:numFmt w:val="lowerRoman"/>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9DB0D19"/>
    <w:multiLevelType w:val="hybridMultilevel"/>
    <w:tmpl w:val="C5BAFEA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F756E0B"/>
    <w:multiLevelType w:val="multilevel"/>
    <w:tmpl w:val="61346664"/>
    <w:styleLink w:val="CurrentList14"/>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1920"/>
        </w:tabs>
        <w:ind w:left="1920" w:hanging="720"/>
      </w:pPr>
    </w:lvl>
    <w:lvl w:ilvl="4">
      <w:start w:val="1"/>
      <w:numFmt w:val="lowerRoman"/>
      <w:lvlText w:val="%5."/>
      <w:lvlJc w:val="right"/>
      <w:pPr>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20"/>
  </w:num>
  <w:num w:numId="3">
    <w:abstractNumId w:val="43"/>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41"/>
  </w:num>
  <w:num w:numId="8">
    <w:abstractNumId w:val="44"/>
  </w:num>
  <w:num w:numId="9">
    <w:abstractNumId w:val="4"/>
  </w:num>
  <w:num w:numId="10">
    <w:abstractNumId w:val="35"/>
  </w:num>
  <w:num w:numId="11">
    <w:abstractNumId w:val="30"/>
  </w:num>
  <w:num w:numId="12">
    <w:abstractNumId w:val="42"/>
  </w:num>
  <w:num w:numId="13">
    <w:abstractNumId w:val="52"/>
  </w:num>
  <w:num w:numId="14">
    <w:abstractNumId w:val="29"/>
  </w:num>
  <w:num w:numId="15">
    <w:abstractNumId w:val="51"/>
  </w:num>
  <w:num w:numId="16">
    <w:abstractNumId w:val="31"/>
  </w:num>
  <w:num w:numId="17">
    <w:abstractNumId w:val="27"/>
  </w:num>
  <w:num w:numId="18">
    <w:abstractNumId w:val="62"/>
  </w:num>
  <w:num w:numId="19">
    <w:abstractNumId w:val="23"/>
  </w:num>
  <w:num w:numId="20">
    <w:abstractNumId w:val="19"/>
  </w:num>
  <w:num w:numId="21">
    <w:abstractNumId w:val="26"/>
  </w:num>
  <w:num w:numId="22">
    <w:abstractNumId w:val="11"/>
  </w:num>
  <w:num w:numId="23">
    <w:abstractNumId w:val="60"/>
  </w:num>
  <w:num w:numId="24">
    <w:abstractNumId w:val="59"/>
  </w:num>
  <w:num w:numId="25">
    <w:abstractNumId w:val="38"/>
  </w:num>
  <w:num w:numId="26">
    <w:abstractNumId w:val="7"/>
  </w:num>
  <w:num w:numId="27">
    <w:abstractNumId w:val="5"/>
  </w:num>
  <w:num w:numId="28">
    <w:abstractNumId w:val="6"/>
  </w:num>
  <w:num w:numId="29">
    <w:abstractNumId w:val="57"/>
  </w:num>
  <w:num w:numId="30">
    <w:abstractNumId w:val="22"/>
  </w:num>
  <w:num w:numId="31">
    <w:abstractNumId w:val="25"/>
  </w:num>
  <w:num w:numId="32">
    <w:abstractNumId w:val="48"/>
  </w:num>
  <w:num w:numId="33">
    <w:abstractNumId w:val="47"/>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3"/>
  </w:num>
  <w:num w:numId="36">
    <w:abstractNumId w:val="0"/>
  </w:num>
  <w:num w:numId="37">
    <w:abstractNumId w:val="55"/>
  </w:num>
  <w:num w:numId="38">
    <w:abstractNumId w:val="58"/>
  </w:num>
  <w:num w:numId="39">
    <w:abstractNumId w:val="61"/>
  </w:num>
  <w:num w:numId="40">
    <w:abstractNumId w:val="14"/>
  </w:num>
  <w:num w:numId="41">
    <w:abstractNumId w:val="46"/>
  </w:num>
  <w:num w:numId="42">
    <w:abstractNumId w:val="2"/>
  </w:num>
  <w:num w:numId="43">
    <w:abstractNumId w:val="18"/>
  </w:num>
  <w:num w:numId="44">
    <w:abstractNumId w:val="17"/>
  </w:num>
  <w:num w:numId="45">
    <w:abstractNumId w:val="34"/>
  </w:num>
  <w:num w:numId="46">
    <w:abstractNumId w:val="36"/>
  </w:num>
  <w:num w:numId="47">
    <w:abstractNumId w:val="3"/>
  </w:num>
  <w:num w:numId="48">
    <w:abstractNumId w:val="54"/>
  </w:num>
  <w:num w:numId="49">
    <w:abstractNumId w:val="49"/>
  </w:num>
  <w:num w:numId="50">
    <w:abstractNumId w:val="45"/>
  </w:num>
  <w:num w:numId="51">
    <w:abstractNumId w:val="1"/>
  </w:num>
  <w:num w:numId="52">
    <w:abstractNumId w:val="10"/>
  </w:num>
  <w:num w:numId="53">
    <w:abstractNumId w:val="15"/>
  </w:num>
  <w:num w:numId="54">
    <w:abstractNumId w:val="13"/>
  </w:num>
  <w:num w:numId="55">
    <w:abstractNumId w:val="21"/>
  </w:num>
  <w:num w:numId="56">
    <w:abstractNumId w:val="12"/>
  </w:num>
  <w:num w:numId="57">
    <w:abstractNumId w:val="32"/>
  </w:num>
  <w:num w:numId="58">
    <w:abstractNumId w:val="28"/>
  </w:num>
  <w:num w:numId="59">
    <w:abstractNumId w:val="56"/>
  </w:num>
  <w:num w:numId="60">
    <w:abstractNumId w:val="16"/>
  </w:num>
  <w:num w:numId="61">
    <w:abstractNumId w:val="50"/>
  </w:num>
  <w:num w:numId="62">
    <w:abstractNumId w:val="37"/>
  </w:num>
  <w:num w:numId="63">
    <w:abstractNumId w:val="39"/>
  </w:num>
  <w:num w:numId="64">
    <w:abstractNumId w:val="40"/>
  </w:num>
  <w:num w:numId="65">
    <w:abstractNumId w:val="9"/>
  </w:num>
  <w:num w:numId="66">
    <w:abstractNumId w:val="20"/>
  </w:num>
  <w:num w:numId="67">
    <w:abstractNumId w:val="20"/>
  </w:num>
  <w:num w:numId="68">
    <w:abstractNumId w:val="2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E09FA786-7CC0-48C8-9357-5D56A08B43E0"/>
    <w:docVar w:name="LW_COVERPAGE_TYPE" w:val="1"/>
    <w:docVar w:name="LW_CROSSREFERENCE" w:val="{COM(2026) 502 final} - {SEC(2026) 502 final} - {SWD(2026) 503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establishing a framework of measures for strengthening Europe\u8217?s cloud and AI ecosystem (Cloud and AI Development Act)"/>
    <w:docVar w:name="LW_PART_NBR" w:val="1"/>
    <w:docVar w:name="LW_PART_NBR_TOTAL" w:val="2"/>
    <w:docVar w:name="LW_REF.INST.NEW" w:val="SWD"/>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_x000b_REGULATION OF THE EUROPEAN PARLIAMENT AND OF THE COUNCIL"/>
    <w:docVar w:name="LwApiVersions" w:val="LW4CoDe 1.24.5.0; LW 9.2, Build 20251112"/>
  </w:docVars>
  <w:rsids>
    <w:rsidRoot w:val="006B087E"/>
    <w:rsid w:val="000000D2"/>
    <w:rsid w:val="000000F1"/>
    <w:rsid w:val="0000020C"/>
    <w:rsid w:val="00000481"/>
    <w:rsid w:val="000005CD"/>
    <w:rsid w:val="000006A0"/>
    <w:rsid w:val="000007F3"/>
    <w:rsid w:val="000007F6"/>
    <w:rsid w:val="00000BA8"/>
    <w:rsid w:val="00000BEA"/>
    <w:rsid w:val="00000CDA"/>
    <w:rsid w:val="00000CFA"/>
    <w:rsid w:val="00000DCD"/>
    <w:rsid w:val="00000F63"/>
    <w:rsid w:val="00000F7E"/>
    <w:rsid w:val="00001072"/>
    <w:rsid w:val="000010D4"/>
    <w:rsid w:val="0000115F"/>
    <w:rsid w:val="000013BD"/>
    <w:rsid w:val="0000157F"/>
    <w:rsid w:val="000016AF"/>
    <w:rsid w:val="000018F9"/>
    <w:rsid w:val="0000196D"/>
    <w:rsid w:val="000019BA"/>
    <w:rsid w:val="00001C46"/>
    <w:rsid w:val="00001D47"/>
    <w:rsid w:val="00001E82"/>
    <w:rsid w:val="00001F06"/>
    <w:rsid w:val="000020DE"/>
    <w:rsid w:val="00002270"/>
    <w:rsid w:val="00002360"/>
    <w:rsid w:val="000023B7"/>
    <w:rsid w:val="000024B6"/>
    <w:rsid w:val="000024D3"/>
    <w:rsid w:val="0000259D"/>
    <w:rsid w:val="000026C9"/>
    <w:rsid w:val="00002738"/>
    <w:rsid w:val="00002748"/>
    <w:rsid w:val="00002991"/>
    <w:rsid w:val="00002B6B"/>
    <w:rsid w:val="00002C43"/>
    <w:rsid w:val="00002CE9"/>
    <w:rsid w:val="00002EFB"/>
    <w:rsid w:val="00002F77"/>
    <w:rsid w:val="00002F8D"/>
    <w:rsid w:val="00003381"/>
    <w:rsid w:val="000033B7"/>
    <w:rsid w:val="00003415"/>
    <w:rsid w:val="00003497"/>
    <w:rsid w:val="000035DA"/>
    <w:rsid w:val="00003650"/>
    <w:rsid w:val="000036AD"/>
    <w:rsid w:val="000038C3"/>
    <w:rsid w:val="00003ADF"/>
    <w:rsid w:val="00003C5A"/>
    <w:rsid w:val="00003C7F"/>
    <w:rsid w:val="00003DB6"/>
    <w:rsid w:val="00004007"/>
    <w:rsid w:val="00004095"/>
    <w:rsid w:val="000041D3"/>
    <w:rsid w:val="0000424D"/>
    <w:rsid w:val="0000424E"/>
    <w:rsid w:val="000042BF"/>
    <w:rsid w:val="00004702"/>
    <w:rsid w:val="00004711"/>
    <w:rsid w:val="00004795"/>
    <w:rsid w:val="000049D9"/>
    <w:rsid w:val="00004BB9"/>
    <w:rsid w:val="00004CB1"/>
    <w:rsid w:val="00004CFF"/>
    <w:rsid w:val="00004D0C"/>
    <w:rsid w:val="00004E40"/>
    <w:rsid w:val="00004F04"/>
    <w:rsid w:val="00004F2A"/>
    <w:rsid w:val="00004F59"/>
    <w:rsid w:val="00005033"/>
    <w:rsid w:val="0000507E"/>
    <w:rsid w:val="00005266"/>
    <w:rsid w:val="00005471"/>
    <w:rsid w:val="00005482"/>
    <w:rsid w:val="00005544"/>
    <w:rsid w:val="000055D4"/>
    <w:rsid w:val="000057C9"/>
    <w:rsid w:val="000057CF"/>
    <w:rsid w:val="00005A52"/>
    <w:rsid w:val="00005B11"/>
    <w:rsid w:val="00005B30"/>
    <w:rsid w:val="00005D63"/>
    <w:rsid w:val="00005E3D"/>
    <w:rsid w:val="00005F33"/>
    <w:rsid w:val="000061C3"/>
    <w:rsid w:val="00006200"/>
    <w:rsid w:val="000062B1"/>
    <w:rsid w:val="0000636D"/>
    <w:rsid w:val="000063D3"/>
    <w:rsid w:val="000065B0"/>
    <w:rsid w:val="000065EC"/>
    <w:rsid w:val="0000668F"/>
    <w:rsid w:val="00006730"/>
    <w:rsid w:val="00006AEB"/>
    <w:rsid w:val="00006B14"/>
    <w:rsid w:val="00006BA2"/>
    <w:rsid w:val="00006BE2"/>
    <w:rsid w:val="00006DC2"/>
    <w:rsid w:val="00006EBE"/>
    <w:rsid w:val="00006F62"/>
    <w:rsid w:val="0000700E"/>
    <w:rsid w:val="00007046"/>
    <w:rsid w:val="0000734F"/>
    <w:rsid w:val="00007376"/>
    <w:rsid w:val="00007386"/>
    <w:rsid w:val="000073F9"/>
    <w:rsid w:val="000075F0"/>
    <w:rsid w:val="000075FB"/>
    <w:rsid w:val="000075FE"/>
    <w:rsid w:val="00007607"/>
    <w:rsid w:val="000077A1"/>
    <w:rsid w:val="000077C3"/>
    <w:rsid w:val="0000780A"/>
    <w:rsid w:val="00007835"/>
    <w:rsid w:val="000078BE"/>
    <w:rsid w:val="000079AF"/>
    <w:rsid w:val="00007D37"/>
    <w:rsid w:val="00007D6B"/>
    <w:rsid w:val="00007DB6"/>
    <w:rsid w:val="00007EE2"/>
    <w:rsid w:val="00007F9A"/>
    <w:rsid w:val="00007FA3"/>
    <w:rsid w:val="00007FB0"/>
    <w:rsid w:val="0001006F"/>
    <w:rsid w:val="0001007E"/>
    <w:rsid w:val="0001020A"/>
    <w:rsid w:val="0001038F"/>
    <w:rsid w:val="000103D7"/>
    <w:rsid w:val="0001052F"/>
    <w:rsid w:val="000105E3"/>
    <w:rsid w:val="00010652"/>
    <w:rsid w:val="00010777"/>
    <w:rsid w:val="00010811"/>
    <w:rsid w:val="0001088A"/>
    <w:rsid w:val="00010935"/>
    <w:rsid w:val="00010B0D"/>
    <w:rsid w:val="00010DB3"/>
    <w:rsid w:val="00010F42"/>
    <w:rsid w:val="00011038"/>
    <w:rsid w:val="0001104A"/>
    <w:rsid w:val="000110D6"/>
    <w:rsid w:val="000111B7"/>
    <w:rsid w:val="0001140F"/>
    <w:rsid w:val="00011413"/>
    <w:rsid w:val="00011553"/>
    <w:rsid w:val="00011676"/>
    <w:rsid w:val="0001175E"/>
    <w:rsid w:val="000118AB"/>
    <w:rsid w:val="00011948"/>
    <w:rsid w:val="00011981"/>
    <w:rsid w:val="000119D0"/>
    <w:rsid w:val="00011AEF"/>
    <w:rsid w:val="00011CD4"/>
    <w:rsid w:val="00011D0F"/>
    <w:rsid w:val="00011D9D"/>
    <w:rsid w:val="00011EC9"/>
    <w:rsid w:val="00011F12"/>
    <w:rsid w:val="00011F8C"/>
    <w:rsid w:val="00011FC6"/>
    <w:rsid w:val="00012071"/>
    <w:rsid w:val="00012101"/>
    <w:rsid w:val="00012108"/>
    <w:rsid w:val="00012116"/>
    <w:rsid w:val="00012316"/>
    <w:rsid w:val="00012387"/>
    <w:rsid w:val="00012521"/>
    <w:rsid w:val="000125AD"/>
    <w:rsid w:val="00012741"/>
    <w:rsid w:val="000127B8"/>
    <w:rsid w:val="00012934"/>
    <w:rsid w:val="00012AF1"/>
    <w:rsid w:val="00012B2F"/>
    <w:rsid w:val="00012B49"/>
    <w:rsid w:val="00012C04"/>
    <w:rsid w:val="00012F3C"/>
    <w:rsid w:val="00012FF7"/>
    <w:rsid w:val="000130C5"/>
    <w:rsid w:val="00013139"/>
    <w:rsid w:val="00013335"/>
    <w:rsid w:val="000133D4"/>
    <w:rsid w:val="0001340B"/>
    <w:rsid w:val="000134F1"/>
    <w:rsid w:val="000137AD"/>
    <w:rsid w:val="000138E2"/>
    <w:rsid w:val="00013964"/>
    <w:rsid w:val="00013A20"/>
    <w:rsid w:val="00013AA9"/>
    <w:rsid w:val="00013B2F"/>
    <w:rsid w:val="00013BE6"/>
    <w:rsid w:val="00013C9A"/>
    <w:rsid w:val="00013D70"/>
    <w:rsid w:val="00013EEA"/>
    <w:rsid w:val="00014007"/>
    <w:rsid w:val="00014071"/>
    <w:rsid w:val="000140D9"/>
    <w:rsid w:val="0001429F"/>
    <w:rsid w:val="000145A5"/>
    <w:rsid w:val="00014856"/>
    <w:rsid w:val="0001486C"/>
    <w:rsid w:val="0001491F"/>
    <w:rsid w:val="0001497B"/>
    <w:rsid w:val="00014B85"/>
    <w:rsid w:val="00014BA0"/>
    <w:rsid w:val="00014D76"/>
    <w:rsid w:val="00014F56"/>
    <w:rsid w:val="00015213"/>
    <w:rsid w:val="0001529B"/>
    <w:rsid w:val="0001531F"/>
    <w:rsid w:val="000153FB"/>
    <w:rsid w:val="00015421"/>
    <w:rsid w:val="00015425"/>
    <w:rsid w:val="00015546"/>
    <w:rsid w:val="000155D5"/>
    <w:rsid w:val="000158B4"/>
    <w:rsid w:val="00015D80"/>
    <w:rsid w:val="00015DF4"/>
    <w:rsid w:val="00015F71"/>
    <w:rsid w:val="0001603A"/>
    <w:rsid w:val="0001632B"/>
    <w:rsid w:val="00016370"/>
    <w:rsid w:val="0001657E"/>
    <w:rsid w:val="00016639"/>
    <w:rsid w:val="000168AE"/>
    <w:rsid w:val="000168BA"/>
    <w:rsid w:val="000168BB"/>
    <w:rsid w:val="00016B26"/>
    <w:rsid w:val="00016C75"/>
    <w:rsid w:val="00016DAE"/>
    <w:rsid w:val="00016E66"/>
    <w:rsid w:val="00016EA4"/>
    <w:rsid w:val="00016EA7"/>
    <w:rsid w:val="00016ECD"/>
    <w:rsid w:val="0001711D"/>
    <w:rsid w:val="000171D6"/>
    <w:rsid w:val="00017282"/>
    <w:rsid w:val="000175B9"/>
    <w:rsid w:val="000176B1"/>
    <w:rsid w:val="00017808"/>
    <w:rsid w:val="000179CF"/>
    <w:rsid w:val="00017A58"/>
    <w:rsid w:val="00017BD1"/>
    <w:rsid w:val="00017C18"/>
    <w:rsid w:val="00017C6C"/>
    <w:rsid w:val="00017CDB"/>
    <w:rsid w:val="00017D66"/>
    <w:rsid w:val="00017DEF"/>
    <w:rsid w:val="00017E15"/>
    <w:rsid w:val="00017F6B"/>
    <w:rsid w:val="000200A9"/>
    <w:rsid w:val="00020225"/>
    <w:rsid w:val="00020279"/>
    <w:rsid w:val="00020554"/>
    <w:rsid w:val="00020562"/>
    <w:rsid w:val="0002065A"/>
    <w:rsid w:val="000206A4"/>
    <w:rsid w:val="0002071D"/>
    <w:rsid w:val="00020933"/>
    <w:rsid w:val="00020C05"/>
    <w:rsid w:val="00020C17"/>
    <w:rsid w:val="00020C60"/>
    <w:rsid w:val="00020C8A"/>
    <w:rsid w:val="00020CE5"/>
    <w:rsid w:val="00020D73"/>
    <w:rsid w:val="00020DF7"/>
    <w:rsid w:val="00021039"/>
    <w:rsid w:val="000211F2"/>
    <w:rsid w:val="000214B6"/>
    <w:rsid w:val="000214C0"/>
    <w:rsid w:val="0002164C"/>
    <w:rsid w:val="0002164E"/>
    <w:rsid w:val="000216DD"/>
    <w:rsid w:val="000216E5"/>
    <w:rsid w:val="000216F7"/>
    <w:rsid w:val="0002174A"/>
    <w:rsid w:val="000217B5"/>
    <w:rsid w:val="000218E0"/>
    <w:rsid w:val="0002196F"/>
    <w:rsid w:val="00021AA0"/>
    <w:rsid w:val="00021B18"/>
    <w:rsid w:val="00021C7E"/>
    <w:rsid w:val="00021D37"/>
    <w:rsid w:val="00021DB5"/>
    <w:rsid w:val="00021EA4"/>
    <w:rsid w:val="000220D8"/>
    <w:rsid w:val="000221FB"/>
    <w:rsid w:val="00022243"/>
    <w:rsid w:val="000223D9"/>
    <w:rsid w:val="0002244A"/>
    <w:rsid w:val="0002279F"/>
    <w:rsid w:val="0002290C"/>
    <w:rsid w:val="00022927"/>
    <w:rsid w:val="000229AA"/>
    <w:rsid w:val="00022B36"/>
    <w:rsid w:val="00022CF0"/>
    <w:rsid w:val="00022E70"/>
    <w:rsid w:val="00022FBD"/>
    <w:rsid w:val="00023066"/>
    <w:rsid w:val="000230D9"/>
    <w:rsid w:val="000231B9"/>
    <w:rsid w:val="000235A6"/>
    <w:rsid w:val="000235A7"/>
    <w:rsid w:val="000235EB"/>
    <w:rsid w:val="000236C7"/>
    <w:rsid w:val="00023DB2"/>
    <w:rsid w:val="0002408F"/>
    <w:rsid w:val="000241BF"/>
    <w:rsid w:val="0002424B"/>
    <w:rsid w:val="000243D7"/>
    <w:rsid w:val="000246A4"/>
    <w:rsid w:val="000247C2"/>
    <w:rsid w:val="000248E0"/>
    <w:rsid w:val="000248E5"/>
    <w:rsid w:val="00024903"/>
    <w:rsid w:val="000249AE"/>
    <w:rsid w:val="000249C8"/>
    <w:rsid w:val="00024AC3"/>
    <w:rsid w:val="00024C63"/>
    <w:rsid w:val="00024D2C"/>
    <w:rsid w:val="00024D56"/>
    <w:rsid w:val="00024E54"/>
    <w:rsid w:val="00024F50"/>
    <w:rsid w:val="000250F8"/>
    <w:rsid w:val="00025187"/>
    <w:rsid w:val="00025258"/>
    <w:rsid w:val="00025342"/>
    <w:rsid w:val="000253E3"/>
    <w:rsid w:val="0002562E"/>
    <w:rsid w:val="00025887"/>
    <w:rsid w:val="000258A2"/>
    <w:rsid w:val="0002592C"/>
    <w:rsid w:val="0002599E"/>
    <w:rsid w:val="000259A0"/>
    <w:rsid w:val="00025D23"/>
    <w:rsid w:val="00025DDB"/>
    <w:rsid w:val="00025FB6"/>
    <w:rsid w:val="0002607B"/>
    <w:rsid w:val="00026107"/>
    <w:rsid w:val="0002618F"/>
    <w:rsid w:val="00026417"/>
    <w:rsid w:val="00026806"/>
    <w:rsid w:val="00026835"/>
    <w:rsid w:val="00026BAB"/>
    <w:rsid w:val="00026C3C"/>
    <w:rsid w:val="00026C5D"/>
    <w:rsid w:val="00026F37"/>
    <w:rsid w:val="00026FCF"/>
    <w:rsid w:val="000271B0"/>
    <w:rsid w:val="00027237"/>
    <w:rsid w:val="0002726F"/>
    <w:rsid w:val="0002749F"/>
    <w:rsid w:val="0002768F"/>
    <w:rsid w:val="000276E9"/>
    <w:rsid w:val="00027747"/>
    <w:rsid w:val="0002774B"/>
    <w:rsid w:val="000277D9"/>
    <w:rsid w:val="000277EA"/>
    <w:rsid w:val="0002788F"/>
    <w:rsid w:val="00027906"/>
    <w:rsid w:val="00027938"/>
    <w:rsid w:val="00027B03"/>
    <w:rsid w:val="00027D93"/>
    <w:rsid w:val="00027E90"/>
    <w:rsid w:val="00027FAC"/>
    <w:rsid w:val="00030153"/>
    <w:rsid w:val="0003023D"/>
    <w:rsid w:val="000304FA"/>
    <w:rsid w:val="0003059C"/>
    <w:rsid w:val="0003061C"/>
    <w:rsid w:val="00030672"/>
    <w:rsid w:val="0003091E"/>
    <w:rsid w:val="0003093B"/>
    <w:rsid w:val="00030A2B"/>
    <w:rsid w:val="00030AAA"/>
    <w:rsid w:val="00030BE3"/>
    <w:rsid w:val="00030C68"/>
    <w:rsid w:val="00030C9B"/>
    <w:rsid w:val="00030D96"/>
    <w:rsid w:val="00030F8F"/>
    <w:rsid w:val="00031053"/>
    <w:rsid w:val="000310C1"/>
    <w:rsid w:val="000310DF"/>
    <w:rsid w:val="00031109"/>
    <w:rsid w:val="00031327"/>
    <w:rsid w:val="0003135D"/>
    <w:rsid w:val="0003149E"/>
    <w:rsid w:val="000315B9"/>
    <w:rsid w:val="000315DD"/>
    <w:rsid w:val="000317D6"/>
    <w:rsid w:val="000318AD"/>
    <w:rsid w:val="000318BB"/>
    <w:rsid w:val="000319BD"/>
    <w:rsid w:val="00031C75"/>
    <w:rsid w:val="00031C76"/>
    <w:rsid w:val="00031D47"/>
    <w:rsid w:val="00031DF2"/>
    <w:rsid w:val="00031E27"/>
    <w:rsid w:val="00031EFE"/>
    <w:rsid w:val="00031F05"/>
    <w:rsid w:val="00031F20"/>
    <w:rsid w:val="0003209A"/>
    <w:rsid w:val="00032144"/>
    <w:rsid w:val="00032242"/>
    <w:rsid w:val="000323BF"/>
    <w:rsid w:val="0003244F"/>
    <w:rsid w:val="00032684"/>
    <w:rsid w:val="00032773"/>
    <w:rsid w:val="0003283D"/>
    <w:rsid w:val="00032991"/>
    <w:rsid w:val="00032A3C"/>
    <w:rsid w:val="00032C52"/>
    <w:rsid w:val="00032CD1"/>
    <w:rsid w:val="00032E35"/>
    <w:rsid w:val="00032E4C"/>
    <w:rsid w:val="00032F98"/>
    <w:rsid w:val="00033004"/>
    <w:rsid w:val="000330FB"/>
    <w:rsid w:val="000331EE"/>
    <w:rsid w:val="00033246"/>
    <w:rsid w:val="000332A0"/>
    <w:rsid w:val="000333C7"/>
    <w:rsid w:val="000333E5"/>
    <w:rsid w:val="000335CD"/>
    <w:rsid w:val="000335D4"/>
    <w:rsid w:val="000338B1"/>
    <w:rsid w:val="00033945"/>
    <w:rsid w:val="000339AB"/>
    <w:rsid w:val="00033B02"/>
    <w:rsid w:val="00033B2D"/>
    <w:rsid w:val="00033C69"/>
    <w:rsid w:val="00033CFB"/>
    <w:rsid w:val="00033E81"/>
    <w:rsid w:val="00033F17"/>
    <w:rsid w:val="00033F38"/>
    <w:rsid w:val="0003404B"/>
    <w:rsid w:val="000340BE"/>
    <w:rsid w:val="0003416C"/>
    <w:rsid w:val="00034254"/>
    <w:rsid w:val="0003425B"/>
    <w:rsid w:val="000342AB"/>
    <w:rsid w:val="000342B3"/>
    <w:rsid w:val="00034366"/>
    <w:rsid w:val="000343E7"/>
    <w:rsid w:val="00034632"/>
    <w:rsid w:val="0003463C"/>
    <w:rsid w:val="0003464A"/>
    <w:rsid w:val="00034716"/>
    <w:rsid w:val="0003483D"/>
    <w:rsid w:val="0003499D"/>
    <w:rsid w:val="00034A01"/>
    <w:rsid w:val="00034A97"/>
    <w:rsid w:val="00034D11"/>
    <w:rsid w:val="00034DB0"/>
    <w:rsid w:val="000350AB"/>
    <w:rsid w:val="0003520C"/>
    <w:rsid w:val="000354EE"/>
    <w:rsid w:val="00035833"/>
    <w:rsid w:val="0003590F"/>
    <w:rsid w:val="00035B47"/>
    <w:rsid w:val="00035B7B"/>
    <w:rsid w:val="00035B7D"/>
    <w:rsid w:val="00035B96"/>
    <w:rsid w:val="00035C03"/>
    <w:rsid w:val="00035CB4"/>
    <w:rsid w:val="00035E11"/>
    <w:rsid w:val="00035EB1"/>
    <w:rsid w:val="000361E1"/>
    <w:rsid w:val="000363A5"/>
    <w:rsid w:val="000364F3"/>
    <w:rsid w:val="00036520"/>
    <w:rsid w:val="0003664E"/>
    <w:rsid w:val="0003674A"/>
    <w:rsid w:val="000370CE"/>
    <w:rsid w:val="00037163"/>
    <w:rsid w:val="00037198"/>
    <w:rsid w:val="000371B8"/>
    <w:rsid w:val="000371BD"/>
    <w:rsid w:val="000371FD"/>
    <w:rsid w:val="00037209"/>
    <w:rsid w:val="00037236"/>
    <w:rsid w:val="0003756D"/>
    <w:rsid w:val="0003768C"/>
    <w:rsid w:val="00037727"/>
    <w:rsid w:val="000377C7"/>
    <w:rsid w:val="0003785A"/>
    <w:rsid w:val="0003786C"/>
    <w:rsid w:val="000378D2"/>
    <w:rsid w:val="00037920"/>
    <w:rsid w:val="000379F0"/>
    <w:rsid w:val="00037D11"/>
    <w:rsid w:val="00037E1D"/>
    <w:rsid w:val="00037FCA"/>
    <w:rsid w:val="000401BD"/>
    <w:rsid w:val="000401D4"/>
    <w:rsid w:val="00040217"/>
    <w:rsid w:val="00040233"/>
    <w:rsid w:val="0004036F"/>
    <w:rsid w:val="000404FC"/>
    <w:rsid w:val="00040528"/>
    <w:rsid w:val="00040606"/>
    <w:rsid w:val="00040682"/>
    <w:rsid w:val="00040692"/>
    <w:rsid w:val="000408D2"/>
    <w:rsid w:val="00040909"/>
    <w:rsid w:val="0004091E"/>
    <w:rsid w:val="00040B3E"/>
    <w:rsid w:val="00040B9B"/>
    <w:rsid w:val="00040CAF"/>
    <w:rsid w:val="00040E0A"/>
    <w:rsid w:val="00040F47"/>
    <w:rsid w:val="00041026"/>
    <w:rsid w:val="00041104"/>
    <w:rsid w:val="0004118F"/>
    <w:rsid w:val="0004132A"/>
    <w:rsid w:val="0004134B"/>
    <w:rsid w:val="000414EE"/>
    <w:rsid w:val="000415A4"/>
    <w:rsid w:val="000415EC"/>
    <w:rsid w:val="00041629"/>
    <w:rsid w:val="000418C1"/>
    <w:rsid w:val="00041989"/>
    <w:rsid w:val="00041A10"/>
    <w:rsid w:val="00041A32"/>
    <w:rsid w:val="00041A4A"/>
    <w:rsid w:val="00041B20"/>
    <w:rsid w:val="00041BA7"/>
    <w:rsid w:val="00041CA0"/>
    <w:rsid w:val="00041D8B"/>
    <w:rsid w:val="00042303"/>
    <w:rsid w:val="00042580"/>
    <w:rsid w:val="000425C3"/>
    <w:rsid w:val="00042674"/>
    <w:rsid w:val="00042801"/>
    <w:rsid w:val="0004280F"/>
    <w:rsid w:val="00042B6B"/>
    <w:rsid w:val="00042BCA"/>
    <w:rsid w:val="00042C5C"/>
    <w:rsid w:val="00042E8E"/>
    <w:rsid w:val="000430BF"/>
    <w:rsid w:val="000431B4"/>
    <w:rsid w:val="000431CF"/>
    <w:rsid w:val="000431DA"/>
    <w:rsid w:val="00043273"/>
    <w:rsid w:val="0004327C"/>
    <w:rsid w:val="00043295"/>
    <w:rsid w:val="000432EC"/>
    <w:rsid w:val="000433A7"/>
    <w:rsid w:val="00043462"/>
    <w:rsid w:val="00043468"/>
    <w:rsid w:val="000435EB"/>
    <w:rsid w:val="00043668"/>
    <w:rsid w:val="0004369B"/>
    <w:rsid w:val="000436CB"/>
    <w:rsid w:val="0004377E"/>
    <w:rsid w:val="00043912"/>
    <w:rsid w:val="00043991"/>
    <w:rsid w:val="00043BBD"/>
    <w:rsid w:val="00043CA8"/>
    <w:rsid w:val="00043DCE"/>
    <w:rsid w:val="00043E07"/>
    <w:rsid w:val="00043F1B"/>
    <w:rsid w:val="0004411F"/>
    <w:rsid w:val="000441BE"/>
    <w:rsid w:val="000441D9"/>
    <w:rsid w:val="000441F8"/>
    <w:rsid w:val="0004425F"/>
    <w:rsid w:val="000442D7"/>
    <w:rsid w:val="0004435C"/>
    <w:rsid w:val="000444D4"/>
    <w:rsid w:val="000445E6"/>
    <w:rsid w:val="000446C1"/>
    <w:rsid w:val="00044812"/>
    <w:rsid w:val="000448B7"/>
    <w:rsid w:val="00044BD6"/>
    <w:rsid w:val="00044C6E"/>
    <w:rsid w:val="00044E2B"/>
    <w:rsid w:val="00044EA9"/>
    <w:rsid w:val="00044EAE"/>
    <w:rsid w:val="00044F66"/>
    <w:rsid w:val="0004501C"/>
    <w:rsid w:val="00045096"/>
    <w:rsid w:val="0004510A"/>
    <w:rsid w:val="000451E9"/>
    <w:rsid w:val="0004520E"/>
    <w:rsid w:val="0004527B"/>
    <w:rsid w:val="000452F8"/>
    <w:rsid w:val="000454FC"/>
    <w:rsid w:val="0004557D"/>
    <w:rsid w:val="000456B7"/>
    <w:rsid w:val="000456CA"/>
    <w:rsid w:val="000456CE"/>
    <w:rsid w:val="0004598D"/>
    <w:rsid w:val="00045A2A"/>
    <w:rsid w:val="00045A46"/>
    <w:rsid w:val="00045A89"/>
    <w:rsid w:val="00045DB5"/>
    <w:rsid w:val="00045F2C"/>
    <w:rsid w:val="00045F47"/>
    <w:rsid w:val="00046093"/>
    <w:rsid w:val="000460BA"/>
    <w:rsid w:val="0004624B"/>
    <w:rsid w:val="00046311"/>
    <w:rsid w:val="00046335"/>
    <w:rsid w:val="000463A6"/>
    <w:rsid w:val="000467A3"/>
    <w:rsid w:val="0004688E"/>
    <w:rsid w:val="00046935"/>
    <w:rsid w:val="00046945"/>
    <w:rsid w:val="00046BAE"/>
    <w:rsid w:val="00046BE0"/>
    <w:rsid w:val="000470AC"/>
    <w:rsid w:val="0004737C"/>
    <w:rsid w:val="00047484"/>
    <w:rsid w:val="00047707"/>
    <w:rsid w:val="00047846"/>
    <w:rsid w:val="00047854"/>
    <w:rsid w:val="0004786F"/>
    <w:rsid w:val="00047976"/>
    <w:rsid w:val="00047D87"/>
    <w:rsid w:val="000500D6"/>
    <w:rsid w:val="0005036A"/>
    <w:rsid w:val="000503F5"/>
    <w:rsid w:val="00050409"/>
    <w:rsid w:val="0005050D"/>
    <w:rsid w:val="00050639"/>
    <w:rsid w:val="00050671"/>
    <w:rsid w:val="000506CA"/>
    <w:rsid w:val="0005082F"/>
    <w:rsid w:val="000508D8"/>
    <w:rsid w:val="0005099F"/>
    <w:rsid w:val="000509B4"/>
    <w:rsid w:val="00050A10"/>
    <w:rsid w:val="00050A81"/>
    <w:rsid w:val="00050BDA"/>
    <w:rsid w:val="00050BEA"/>
    <w:rsid w:val="00050D98"/>
    <w:rsid w:val="00050E42"/>
    <w:rsid w:val="00050E74"/>
    <w:rsid w:val="00050EB5"/>
    <w:rsid w:val="00050EEF"/>
    <w:rsid w:val="00050F56"/>
    <w:rsid w:val="00050F60"/>
    <w:rsid w:val="00050F65"/>
    <w:rsid w:val="00050FC4"/>
    <w:rsid w:val="000510F4"/>
    <w:rsid w:val="00051264"/>
    <w:rsid w:val="000513F8"/>
    <w:rsid w:val="0005147F"/>
    <w:rsid w:val="000514C4"/>
    <w:rsid w:val="000517D3"/>
    <w:rsid w:val="000517E9"/>
    <w:rsid w:val="00051904"/>
    <w:rsid w:val="00051B32"/>
    <w:rsid w:val="00051E7E"/>
    <w:rsid w:val="00051FD0"/>
    <w:rsid w:val="000520DD"/>
    <w:rsid w:val="00052139"/>
    <w:rsid w:val="0005216D"/>
    <w:rsid w:val="00052205"/>
    <w:rsid w:val="0005229C"/>
    <w:rsid w:val="000522A4"/>
    <w:rsid w:val="000522F5"/>
    <w:rsid w:val="00052330"/>
    <w:rsid w:val="00052665"/>
    <w:rsid w:val="0005269E"/>
    <w:rsid w:val="000526ED"/>
    <w:rsid w:val="0005273A"/>
    <w:rsid w:val="000527E2"/>
    <w:rsid w:val="00052827"/>
    <w:rsid w:val="0005286F"/>
    <w:rsid w:val="00052F5E"/>
    <w:rsid w:val="00052FBE"/>
    <w:rsid w:val="00053026"/>
    <w:rsid w:val="00053256"/>
    <w:rsid w:val="0005325E"/>
    <w:rsid w:val="000532CC"/>
    <w:rsid w:val="00053321"/>
    <w:rsid w:val="00053480"/>
    <w:rsid w:val="000537BC"/>
    <w:rsid w:val="00053883"/>
    <w:rsid w:val="00053989"/>
    <w:rsid w:val="00053B05"/>
    <w:rsid w:val="00053B64"/>
    <w:rsid w:val="00053C4C"/>
    <w:rsid w:val="00053D2A"/>
    <w:rsid w:val="00053E1D"/>
    <w:rsid w:val="00054153"/>
    <w:rsid w:val="000542C0"/>
    <w:rsid w:val="0005449E"/>
    <w:rsid w:val="00054590"/>
    <w:rsid w:val="000545B8"/>
    <w:rsid w:val="00054695"/>
    <w:rsid w:val="0005473B"/>
    <w:rsid w:val="00054A39"/>
    <w:rsid w:val="00054AC6"/>
    <w:rsid w:val="00054B68"/>
    <w:rsid w:val="00054BCA"/>
    <w:rsid w:val="00054D80"/>
    <w:rsid w:val="00054E93"/>
    <w:rsid w:val="00054E96"/>
    <w:rsid w:val="00054EF1"/>
    <w:rsid w:val="00054F2F"/>
    <w:rsid w:val="00054FE9"/>
    <w:rsid w:val="00055160"/>
    <w:rsid w:val="00055234"/>
    <w:rsid w:val="0005547C"/>
    <w:rsid w:val="00055592"/>
    <w:rsid w:val="00055617"/>
    <w:rsid w:val="0005575A"/>
    <w:rsid w:val="00055788"/>
    <w:rsid w:val="0005582B"/>
    <w:rsid w:val="000558F5"/>
    <w:rsid w:val="000559F7"/>
    <w:rsid w:val="00055A24"/>
    <w:rsid w:val="00055A64"/>
    <w:rsid w:val="00055A75"/>
    <w:rsid w:val="00055A92"/>
    <w:rsid w:val="00055AA0"/>
    <w:rsid w:val="00055C27"/>
    <w:rsid w:val="00056035"/>
    <w:rsid w:val="00056039"/>
    <w:rsid w:val="0005605B"/>
    <w:rsid w:val="00056226"/>
    <w:rsid w:val="00056352"/>
    <w:rsid w:val="000563C4"/>
    <w:rsid w:val="000564CA"/>
    <w:rsid w:val="00056516"/>
    <w:rsid w:val="00056546"/>
    <w:rsid w:val="00056868"/>
    <w:rsid w:val="00056966"/>
    <w:rsid w:val="000569FC"/>
    <w:rsid w:val="00056A64"/>
    <w:rsid w:val="00056C60"/>
    <w:rsid w:val="00056C69"/>
    <w:rsid w:val="00056D7C"/>
    <w:rsid w:val="00056FAA"/>
    <w:rsid w:val="00057006"/>
    <w:rsid w:val="000570F9"/>
    <w:rsid w:val="00057191"/>
    <w:rsid w:val="00057470"/>
    <w:rsid w:val="000575FF"/>
    <w:rsid w:val="00057650"/>
    <w:rsid w:val="0005769A"/>
    <w:rsid w:val="0005780A"/>
    <w:rsid w:val="000578F6"/>
    <w:rsid w:val="00057902"/>
    <w:rsid w:val="00057961"/>
    <w:rsid w:val="00057A43"/>
    <w:rsid w:val="00057BA5"/>
    <w:rsid w:val="00057BB0"/>
    <w:rsid w:val="00057BE5"/>
    <w:rsid w:val="00057C53"/>
    <w:rsid w:val="00057D0A"/>
    <w:rsid w:val="00057D55"/>
    <w:rsid w:val="00057E85"/>
    <w:rsid w:val="00057F31"/>
    <w:rsid w:val="00057F5E"/>
    <w:rsid w:val="00057F83"/>
    <w:rsid w:val="000602CE"/>
    <w:rsid w:val="000603DD"/>
    <w:rsid w:val="00060574"/>
    <w:rsid w:val="000605DD"/>
    <w:rsid w:val="00060805"/>
    <w:rsid w:val="00060821"/>
    <w:rsid w:val="000609F5"/>
    <w:rsid w:val="00060A42"/>
    <w:rsid w:val="00060C66"/>
    <w:rsid w:val="00060DAA"/>
    <w:rsid w:val="00060E02"/>
    <w:rsid w:val="00060E3A"/>
    <w:rsid w:val="00061170"/>
    <w:rsid w:val="0006118F"/>
    <w:rsid w:val="000612BF"/>
    <w:rsid w:val="0006138D"/>
    <w:rsid w:val="0006167B"/>
    <w:rsid w:val="000616F4"/>
    <w:rsid w:val="000617E4"/>
    <w:rsid w:val="0006183C"/>
    <w:rsid w:val="0006193E"/>
    <w:rsid w:val="00061945"/>
    <w:rsid w:val="00061A03"/>
    <w:rsid w:val="00061A31"/>
    <w:rsid w:val="00061ABC"/>
    <w:rsid w:val="00061C1F"/>
    <w:rsid w:val="00061C6F"/>
    <w:rsid w:val="00061DAD"/>
    <w:rsid w:val="00061DB2"/>
    <w:rsid w:val="00061EBE"/>
    <w:rsid w:val="00061EC7"/>
    <w:rsid w:val="00061F56"/>
    <w:rsid w:val="000620F2"/>
    <w:rsid w:val="00062243"/>
    <w:rsid w:val="0006236C"/>
    <w:rsid w:val="00062403"/>
    <w:rsid w:val="000624FD"/>
    <w:rsid w:val="00062530"/>
    <w:rsid w:val="00062620"/>
    <w:rsid w:val="000626F7"/>
    <w:rsid w:val="0006277A"/>
    <w:rsid w:val="000627ED"/>
    <w:rsid w:val="000629E1"/>
    <w:rsid w:val="00062B32"/>
    <w:rsid w:val="00062B6D"/>
    <w:rsid w:val="00062B84"/>
    <w:rsid w:val="00062BF0"/>
    <w:rsid w:val="00062CFF"/>
    <w:rsid w:val="00062DF3"/>
    <w:rsid w:val="000630C6"/>
    <w:rsid w:val="0006316A"/>
    <w:rsid w:val="000632D0"/>
    <w:rsid w:val="0006340D"/>
    <w:rsid w:val="00063445"/>
    <w:rsid w:val="00063511"/>
    <w:rsid w:val="000638AE"/>
    <w:rsid w:val="000639C6"/>
    <w:rsid w:val="00063AAB"/>
    <w:rsid w:val="00063AB5"/>
    <w:rsid w:val="00063B53"/>
    <w:rsid w:val="00063C4B"/>
    <w:rsid w:val="00063C6E"/>
    <w:rsid w:val="00063D6F"/>
    <w:rsid w:val="00063E38"/>
    <w:rsid w:val="0006402E"/>
    <w:rsid w:val="000642B0"/>
    <w:rsid w:val="00064367"/>
    <w:rsid w:val="000644B7"/>
    <w:rsid w:val="000644D4"/>
    <w:rsid w:val="0006452F"/>
    <w:rsid w:val="000645C7"/>
    <w:rsid w:val="00064A74"/>
    <w:rsid w:val="00064A8B"/>
    <w:rsid w:val="00064B87"/>
    <w:rsid w:val="00064E05"/>
    <w:rsid w:val="00064EE7"/>
    <w:rsid w:val="00064F68"/>
    <w:rsid w:val="000650DE"/>
    <w:rsid w:val="00065186"/>
    <w:rsid w:val="00065631"/>
    <w:rsid w:val="00065674"/>
    <w:rsid w:val="000656F1"/>
    <w:rsid w:val="00065763"/>
    <w:rsid w:val="0006581E"/>
    <w:rsid w:val="00065984"/>
    <w:rsid w:val="00065994"/>
    <w:rsid w:val="00065AB4"/>
    <w:rsid w:val="00065C59"/>
    <w:rsid w:val="00065CCC"/>
    <w:rsid w:val="00065CE9"/>
    <w:rsid w:val="00065CF1"/>
    <w:rsid w:val="000660B6"/>
    <w:rsid w:val="00066200"/>
    <w:rsid w:val="00066235"/>
    <w:rsid w:val="0006629E"/>
    <w:rsid w:val="000662C2"/>
    <w:rsid w:val="00066388"/>
    <w:rsid w:val="000663A6"/>
    <w:rsid w:val="00066446"/>
    <w:rsid w:val="000665EE"/>
    <w:rsid w:val="00066642"/>
    <w:rsid w:val="000668E3"/>
    <w:rsid w:val="00066977"/>
    <w:rsid w:val="00066C07"/>
    <w:rsid w:val="00066D60"/>
    <w:rsid w:val="00066D82"/>
    <w:rsid w:val="00066DCC"/>
    <w:rsid w:val="00066E4C"/>
    <w:rsid w:val="00066EED"/>
    <w:rsid w:val="00067072"/>
    <w:rsid w:val="000670A2"/>
    <w:rsid w:val="000670E9"/>
    <w:rsid w:val="00067254"/>
    <w:rsid w:val="00067269"/>
    <w:rsid w:val="00067276"/>
    <w:rsid w:val="00067605"/>
    <w:rsid w:val="000676AC"/>
    <w:rsid w:val="00067789"/>
    <w:rsid w:val="000677A3"/>
    <w:rsid w:val="000678BF"/>
    <w:rsid w:val="0006794F"/>
    <w:rsid w:val="00067A39"/>
    <w:rsid w:val="00067A47"/>
    <w:rsid w:val="00067B25"/>
    <w:rsid w:val="00067E4A"/>
    <w:rsid w:val="00067FBE"/>
    <w:rsid w:val="00067FF3"/>
    <w:rsid w:val="00070208"/>
    <w:rsid w:val="0007039C"/>
    <w:rsid w:val="000703AB"/>
    <w:rsid w:val="0007049C"/>
    <w:rsid w:val="00070508"/>
    <w:rsid w:val="000706AC"/>
    <w:rsid w:val="00070734"/>
    <w:rsid w:val="00070986"/>
    <w:rsid w:val="00070B5F"/>
    <w:rsid w:val="00070CC9"/>
    <w:rsid w:val="00070CE0"/>
    <w:rsid w:val="00070EF2"/>
    <w:rsid w:val="00070F22"/>
    <w:rsid w:val="00070F40"/>
    <w:rsid w:val="00071241"/>
    <w:rsid w:val="000713D9"/>
    <w:rsid w:val="000714AE"/>
    <w:rsid w:val="00071563"/>
    <w:rsid w:val="000716B0"/>
    <w:rsid w:val="000716DE"/>
    <w:rsid w:val="00071723"/>
    <w:rsid w:val="0007172B"/>
    <w:rsid w:val="00071792"/>
    <w:rsid w:val="000719BD"/>
    <w:rsid w:val="00071ACF"/>
    <w:rsid w:val="00071C87"/>
    <w:rsid w:val="00071E51"/>
    <w:rsid w:val="00071E67"/>
    <w:rsid w:val="00071EF9"/>
    <w:rsid w:val="00071F14"/>
    <w:rsid w:val="00071F20"/>
    <w:rsid w:val="00071FDD"/>
    <w:rsid w:val="00071FEE"/>
    <w:rsid w:val="000721D1"/>
    <w:rsid w:val="0007226F"/>
    <w:rsid w:val="00072463"/>
    <w:rsid w:val="0007256F"/>
    <w:rsid w:val="00072583"/>
    <w:rsid w:val="000726A4"/>
    <w:rsid w:val="00072732"/>
    <w:rsid w:val="0007275A"/>
    <w:rsid w:val="000727BC"/>
    <w:rsid w:val="0007289E"/>
    <w:rsid w:val="00072A75"/>
    <w:rsid w:val="00072AE8"/>
    <w:rsid w:val="00072CE9"/>
    <w:rsid w:val="00072D6A"/>
    <w:rsid w:val="00072EDC"/>
    <w:rsid w:val="00072F3F"/>
    <w:rsid w:val="00072F55"/>
    <w:rsid w:val="00072F5E"/>
    <w:rsid w:val="0007310C"/>
    <w:rsid w:val="000731C6"/>
    <w:rsid w:val="0007320D"/>
    <w:rsid w:val="00073334"/>
    <w:rsid w:val="0007366F"/>
    <w:rsid w:val="000736E0"/>
    <w:rsid w:val="000736E8"/>
    <w:rsid w:val="00073714"/>
    <w:rsid w:val="0007372F"/>
    <w:rsid w:val="0007377D"/>
    <w:rsid w:val="0007383B"/>
    <w:rsid w:val="00074227"/>
    <w:rsid w:val="000744F4"/>
    <w:rsid w:val="000749C7"/>
    <w:rsid w:val="000749DF"/>
    <w:rsid w:val="00074A22"/>
    <w:rsid w:val="00074B77"/>
    <w:rsid w:val="00074B9F"/>
    <w:rsid w:val="00074C44"/>
    <w:rsid w:val="00074DAA"/>
    <w:rsid w:val="00074EF8"/>
    <w:rsid w:val="00074FA4"/>
    <w:rsid w:val="000751BC"/>
    <w:rsid w:val="000754C3"/>
    <w:rsid w:val="0007586F"/>
    <w:rsid w:val="00075A4F"/>
    <w:rsid w:val="00075B45"/>
    <w:rsid w:val="00075BC3"/>
    <w:rsid w:val="00075D2B"/>
    <w:rsid w:val="00075D8B"/>
    <w:rsid w:val="00075EE2"/>
    <w:rsid w:val="00075EE8"/>
    <w:rsid w:val="00075FAB"/>
    <w:rsid w:val="00075FC5"/>
    <w:rsid w:val="000760F9"/>
    <w:rsid w:val="000763C3"/>
    <w:rsid w:val="000763F6"/>
    <w:rsid w:val="00076451"/>
    <w:rsid w:val="00076459"/>
    <w:rsid w:val="00076994"/>
    <w:rsid w:val="00076AD8"/>
    <w:rsid w:val="00076AE0"/>
    <w:rsid w:val="00076B75"/>
    <w:rsid w:val="00076BB1"/>
    <w:rsid w:val="00076DEE"/>
    <w:rsid w:val="00076DFC"/>
    <w:rsid w:val="00076E14"/>
    <w:rsid w:val="00076ED7"/>
    <w:rsid w:val="00076FF6"/>
    <w:rsid w:val="000770CB"/>
    <w:rsid w:val="00077100"/>
    <w:rsid w:val="00077174"/>
    <w:rsid w:val="000772B4"/>
    <w:rsid w:val="0007732D"/>
    <w:rsid w:val="00077387"/>
    <w:rsid w:val="000773DF"/>
    <w:rsid w:val="000774DE"/>
    <w:rsid w:val="0007750B"/>
    <w:rsid w:val="0007751D"/>
    <w:rsid w:val="0007767F"/>
    <w:rsid w:val="000776FD"/>
    <w:rsid w:val="0007772C"/>
    <w:rsid w:val="00077802"/>
    <w:rsid w:val="00077861"/>
    <w:rsid w:val="00077B48"/>
    <w:rsid w:val="00077BA5"/>
    <w:rsid w:val="00077C57"/>
    <w:rsid w:val="00077FB5"/>
    <w:rsid w:val="0008004F"/>
    <w:rsid w:val="0008011E"/>
    <w:rsid w:val="0008027C"/>
    <w:rsid w:val="00080329"/>
    <w:rsid w:val="00080989"/>
    <w:rsid w:val="00080AD9"/>
    <w:rsid w:val="00080B80"/>
    <w:rsid w:val="00080BDC"/>
    <w:rsid w:val="00080C00"/>
    <w:rsid w:val="00080D70"/>
    <w:rsid w:val="00080EB3"/>
    <w:rsid w:val="0008106E"/>
    <w:rsid w:val="000811A2"/>
    <w:rsid w:val="000812FF"/>
    <w:rsid w:val="000814D6"/>
    <w:rsid w:val="0008151C"/>
    <w:rsid w:val="00081521"/>
    <w:rsid w:val="00081607"/>
    <w:rsid w:val="000816BE"/>
    <w:rsid w:val="0008188D"/>
    <w:rsid w:val="0008188F"/>
    <w:rsid w:val="00081AA4"/>
    <w:rsid w:val="0008238D"/>
    <w:rsid w:val="0008238E"/>
    <w:rsid w:val="000823FA"/>
    <w:rsid w:val="00082409"/>
    <w:rsid w:val="00082439"/>
    <w:rsid w:val="00082559"/>
    <w:rsid w:val="0008272F"/>
    <w:rsid w:val="00082778"/>
    <w:rsid w:val="00082844"/>
    <w:rsid w:val="00082856"/>
    <w:rsid w:val="0008286E"/>
    <w:rsid w:val="000829EB"/>
    <w:rsid w:val="00082A62"/>
    <w:rsid w:val="00082B13"/>
    <w:rsid w:val="00082BC4"/>
    <w:rsid w:val="00082C4E"/>
    <w:rsid w:val="00082E45"/>
    <w:rsid w:val="00082F04"/>
    <w:rsid w:val="0008311F"/>
    <w:rsid w:val="0008315F"/>
    <w:rsid w:val="00083195"/>
    <w:rsid w:val="000832C3"/>
    <w:rsid w:val="00083312"/>
    <w:rsid w:val="0008332B"/>
    <w:rsid w:val="00083370"/>
    <w:rsid w:val="000833DB"/>
    <w:rsid w:val="000833F7"/>
    <w:rsid w:val="00083467"/>
    <w:rsid w:val="0008351D"/>
    <w:rsid w:val="00083620"/>
    <w:rsid w:val="000837E9"/>
    <w:rsid w:val="000839F3"/>
    <w:rsid w:val="00083D6F"/>
    <w:rsid w:val="00083ED0"/>
    <w:rsid w:val="00083F84"/>
    <w:rsid w:val="0008407A"/>
    <w:rsid w:val="00084375"/>
    <w:rsid w:val="000843C2"/>
    <w:rsid w:val="00084452"/>
    <w:rsid w:val="00084597"/>
    <w:rsid w:val="000845B5"/>
    <w:rsid w:val="00084638"/>
    <w:rsid w:val="00084862"/>
    <w:rsid w:val="0008486F"/>
    <w:rsid w:val="00084B30"/>
    <w:rsid w:val="00084C57"/>
    <w:rsid w:val="00084DEC"/>
    <w:rsid w:val="00084EBB"/>
    <w:rsid w:val="00084F28"/>
    <w:rsid w:val="0008500B"/>
    <w:rsid w:val="00085072"/>
    <w:rsid w:val="000851A7"/>
    <w:rsid w:val="00085223"/>
    <w:rsid w:val="000852AD"/>
    <w:rsid w:val="00085402"/>
    <w:rsid w:val="000854A3"/>
    <w:rsid w:val="000854C0"/>
    <w:rsid w:val="000854C3"/>
    <w:rsid w:val="000856C5"/>
    <w:rsid w:val="00085822"/>
    <w:rsid w:val="00085960"/>
    <w:rsid w:val="00085A31"/>
    <w:rsid w:val="00085A94"/>
    <w:rsid w:val="00085DB3"/>
    <w:rsid w:val="00085DDD"/>
    <w:rsid w:val="0008608E"/>
    <w:rsid w:val="000861B7"/>
    <w:rsid w:val="00086333"/>
    <w:rsid w:val="00086374"/>
    <w:rsid w:val="00086379"/>
    <w:rsid w:val="000866EA"/>
    <w:rsid w:val="00086728"/>
    <w:rsid w:val="00086A94"/>
    <w:rsid w:val="00086AAE"/>
    <w:rsid w:val="00086C88"/>
    <w:rsid w:val="00086D90"/>
    <w:rsid w:val="00086E2D"/>
    <w:rsid w:val="00086E73"/>
    <w:rsid w:val="0008703E"/>
    <w:rsid w:val="000871FC"/>
    <w:rsid w:val="000875EF"/>
    <w:rsid w:val="00087628"/>
    <w:rsid w:val="00087673"/>
    <w:rsid w:val="00087687"/>
    <w:rsid w:val="0008781A"/>
    <w:rsid w:val="000878AF"/>
    <w:rsid w:val="0008794D"/>
    <w:rsid w:val="00087A2B"/>
    <w:rsid w:val="00087A33"/>
    <w:rsid w:val="00087DFB"/>
    <w:rsid w:val="00087E00"/>
    <w:rsid w:val="00087E65"/>
    <w:rsid w:val="00087FF2"/>
    <w:rsid w:val="000903C3"/>
    <w:rsid w:val="00090473"/>
    <w:rsid w:val="000906B5"/>
    <w:rsid w:val="000907A2"/>
    <w:rsid w:val="00090882"/>
    <w:rsid w:val="00090AB8"/>
    <w:rsid w:val="00090CD5"/>
    <w:rsid w:val="00090DFE"/>
    <w:rsid w:val="00090ED7"/>
    <w:rsid w:val="00090F39"/>
    <w:rsid w:val="000914D6"/>
    <w:rsid w:val="00091538"/>
    <w:rsid w:val="000915AB"/>
    <w:rsid w:val="000917CB"/>
    <w:rsid w:val="00091875"/>
    <w:rsid w:val="000918D0"/>
    <w:rsid w:val="00091BE4"/>
    <w:rsid w:val="00091C1F"/>
    <w:rsid w:val="00091C79"/>
    <w:rsid w:val="00091D0C"/>
    <w:rsid w:val="00091E96"/>
    <w:rsid w:val="00091EC3"/>
    <w:rsid w:val="00092034"/>
    <w:rsid w:val="00092199"/>
    <w:rsid w:val="0009222A"/>
    <w:rsid w:val="000923AB"/>
    <w:rsid w:val="000924F3"/>
    <w:rsid w:val="00092518"/>
    <w:rsid w:val="00092582"/>
    <w:rsid w:val="000925F9"/>
    <w:rsid w:val="00092651"/>
    <w:rsid w:val="0009270E"/>
    <w:rsid w:val="000927A0"/>
    <w:rsid w:val="000928E9"/>
    <w:rsid w:val="0009298C"/>
    <w:rsid w:val="00092A23"/>
    <w:rsid w:val="00092A7B"/>
    <w:rsid w:val="00092CC7"/>
    <w:rsid w:val="00092DE8"/>
    <w:rsid w:val="00092EFF"/>
    <w:rsid w:val="00092F01"/>
    <w:rsid w:val="0009313B"/>
    <w:rsid w:val="000931B1"/>
    <w:rsid w:val="00093266"/>
    <w:rsid w:val="000932A5"/>
    <w:rsid w:val="00093454"/>
    <w:rsid w:val="00093660"/>
    <w:rsid w:val="0009370A"/>
    <w:rsid w:val="000938CF"/>
    <w:rsid w:val="00093A42"/>
    <w:rsid w:val="00093A4E"/>
    <w:rsid w:val="00093AA8"/>
    <w:rsid w:val="00093C55"/>
    <w:rsid w:val="00093D7E"/>
    <w:rsid w:val="00093DC0"/>
    <w:rsid w:val="00093E9C"/>
    <w:rsid w:val="00094207"/>
    <w:rsid w:val="00094260"/>
    <w:rsid w:val="00094267"/>
    <w:rsid w:val="00094269"/>
    <w:rsid w:val="00094432"/>
    <w:rsid w:val="00094434"/>
    <w:rsid w:val="0009444A"/>
    <w:rsid w:val="000944B8"/>
    <w:rsid w:val="00094577"/>
    <w:rsid w:val="000946C7"/>
    <w:rsid w:val="00094A41"/>
    <w:rsid w:val="00094B65"/>
    <w:rsid w:val="00094BA6"/>
    <w:rsid w:val="00094BD8"/>
    <w:rsid w:val="00094D94"/>
    <w:rsid w:val="00094E3B"/>
    <w:rsid w:val="00094E8B"/>
    <w:rsid w:val="00095025"/>
    <w:rsid w:val="00095044"/>
    <w:rsid w:val="000952CF"/>
    <w:rsid w:val="00095466"/>
    <w:rsid w:val="0009549E"/>
    <w:rsid w:val="000954A2"/>
    <w:rsid w:val="000954FA"/>
    <w:rsid w:val="00095546"/>
    <w:rsid w:val="00095562"/>
    <w:rsid w:val="000955C3"/>
    <w:rsid w:val="00095635"/>
    <w:rsid w:val="0009576F"/>
    <w:rsid w:val="000958E2"/>
    <w:rsid w:val="000959B6"/>
    <w:rsid w:val="000959CB"/>
    <w:rsid w:val="00095BBC"/>
    <w:rsid w:val="00095E78"/>
    <w:rsid w:val="00095EF2"/>
    <w:rsid w:val="000960F1"/>
    <w:rsid w:val="0009613F"/>
    <w:rsid w:val="00096237"/>
    <w:rsid w:val="0009624C"/>
    <w:rsid w:val="000965FF"/>
    <w:rsid w:val="00096901"/>
    <w:rsid w:val="000969CD"/>
    <w:rsid w:val="00096A2C"/>
    <w:rsid w:val="00096AFE"/>
    <w:rsid w:val="00096B4D"/>
    <w:rsid w:val="00096B77"/>
    <w:rsid w:val="00096D29"/>
    <w:rsid w:val="00096D80"/>
    <w:rsid w:val="00096D9F"/>
    <w:rsid w:val="00096DEB"/>
    <w:rsid w:val="00096F31"/>
    <w:rsid w:val="0009703A"/>
    <w:rsid w:val="000971D2"/>
    <w:rsid w:val="00097357"/>
    <w:rsid w:val="000973E7"/>
    <w:rsid w:val="000973F4"/>
    <w:rsid w:val="000975AD"/>
    <w:rsid w:val="00097601"/>
    <w:rsid w:val="0009766E"/>
    <w:rsid w:val="0009767A"/>
    <w:rsid w:val="0009779D"/>
    <w:rsid w:val="00097865"/>
    <w:rsid w:val="00097916"/>
    <w:rsid w:val="00097C38"/>
    <w:rsid w:val="00097DC3"/>
    <w:rsid w:val="00097ECA"/>
    <w:rsid w:val="000A0084"/>
    <w:rsid w:val="000A0192"/>
    <w:rsid w:val="000A033E"/>
    <w:rsid w:val="000A045C"/>
    <w:rsid w:val="000A0471"/>
    <w:rsid w:val="000A07B1"/>
    <w:rsid w:val="000A0807"/>
    <w:rsid w:val="000A0912"/>
    <w:rsid w:val="000A0ACE"/>
    <w:rsid w:val="000A0B45"/>
    <w:rsid w:val="000A0D98"/>
    <w:rsid w:val="000A0DAD"/>
    <w:rsid w:val="000A10D4"/>
    <w:rsid w:val="000A115A"/>
    <w:rsid w:val="000A11AB"/>
    <w:rsid w:val="000A13E5"/>
    <w:rsid w:val="000A15EE"/>
    <w:rsid w:val="000A161D"/>
    <w:rsid w:val="000A16CE"/>
    <w:rsid w:val="000A16D8"/>
    <w:rsid w:val="000A1784"/>
    <w:rsid w:val="000A1C80"/>
    <w:rsid w:val="000A1D97"/>
    <w:rsid w:val="000A1DC0"/>
    <w:rsid w:val="000A1DDF"/>
    <w:rsid w:val="000A2035"/>
    <w:rsid w:val="000A2079"/>
    <w:rsid w:val="000A221F"/>
    <w:rsid w:val="000A24B3"/>
    <w:rsid w:val="000A2568"/>
    <w:rsid w:val="000A257E"/>
    <w:rsid w:val="000A2647"/>
    <w:rsid w:val="000A2657"/>
    <w:rsid w:val="000A272F"/>
    <w:rsid w:val="000A2789"/>
    <w:rsid w:val="000A2B3D"/>
    <w:rsid w:val="000A2B72"/>
    <w:rsid w:val="000A2F7F"/>
    <w:rsid w:val="000A3108"/>
    <w:rsid w:val="000A3154"/>
    <w:rsid w:val="000A320A"/>
    <w:rsid w:val="000A320B"/>
    <w:rsid w:val="000A376A"/>
    <w:rsid w:val="000A378A"/>
    <w:rsid w:val="000A3870"/>
    <w:rsid w:val="000A39D9"/>
    <w:rsid w:val="000A3BA2"/>
    <w:rsid w:val="000A3C72"/>
    <w:rsid w:val="000A3D5A"/>
    <w:rsid w:val="000A3F4C"/>
    <w:rsid w:val="000A41E2"/>
    <w:rsid w:val="000A41E7"/>
    <w:rsid w:val="000A42C6"/>
    <w:rsid w:val="000A434F"/>
    <w:rsid w:val="000A436F"/>
    <w:rsid w:val="000A4DF7"/>
    <w:rsid w:val="000A4E12"/>
    <w:rsid w:val="000A4E13"/>
    <w:rsid w:val="000A4F05"/>
    <w:rsid w:val="000A4FD2"/>
    <w:rsid w:val="000A534E"/>
    <w:rsid w:val="000A53F5"/>
    <w:rsid w:val="000A55B2"/>
    <w:rsid w:val="000A5929"/>
    <w:rsid w:val="000A59D6"/>
    <w:rsid w:val="000A5A3B"/>
    <w:rsid w:val="000A5A93"/>
    <w:rsid w:val="000A5BCC"/>
    <w:rsid w:val="000A5BFD"/>
    <w:rsid w:val="000A5C0E"/>
    <w:rsid w:val="000A5E58"/>
    <w:rsid w:val="000A5E9C"/>
    <w:rsid w:val="000A5F62"/>
    <w:rsid w:val="000A5FC3"/>
    <w:rsid w:val="000A5FCC"/>
    <w:rsid w:val="000A63C4"/>
    <w:rsid w:val="000A641D"/>
    <w:rsid w:val="000A6600"/>
    <w:rsid w:val="000A6610"/>
    <w:rsid w:val="000A66AA"/>
    <w:rsid w:val="000A6765"/>
    <w:rsid w:val="000A67E0"/>
    <w:rsid w:val="000A6910"/>
    <w:rsid w:val="000A69A4"/>
    <w:rsid w:val="000A6A88"/>
    <w:rsid w:val="000A6B40"/>
    <w:rsid w:val="000A6BCE"/>
    <w:rsid w:val="000A6DCF"/>
    <w:rsid w:val="000A6E00"/>
    <w:rsid w:val="000A6EF1"/>
    <w:rsid w:val="000A70D3"/>
    <w:rsid w:val="000A724B"/>
    <w:rsid w:val="000A72BD"/>
    <w:rsid w:val="000A73C4"/>
    <w:rsid w:val="000A74C5"/>
    <w:rsid w:val="000A7654"/>
    <w:rsid w:val="000A773B"/>
    <w:rsid w:val="000A773F"/>
    <w:rsid w:val="000A78EE"/>
    <w:rsid w:val="000A7978"/>
    <w:rsid w:val="000A7AB3"/>
    <w:rsid w:val="000A7B4A"/>
    <w:rsid w:val="000A7BFB"/>
    <w:rsid w:val="000A7D3F"/>
    <w:rsid w:val="000A7DCB"/>
    <w:rsid w:val="000A7F87"/>
    <w:rsid w:val="000A7FD6"/>
    <w:rsid w:val="000B010B"/>
    <w:rsid w:val="000B01EC"/>
    <w:rsid w:val="000B039A"/>
    <w:rsid w:val="000B03C6"/>
    <w:rsid w:val="000B0431"/>
    <w:rsid w:val="000B04F9"/>
    <w:rsid w:val="000B0581"/>
    <w:rsid w:val="000B08EA"/>
    <w:rsid w:val="000B0BAE"/>
    <w:rsid w:val="000B0EAC"/>
    <w:rsid w:val="000B1013"/>
    <w:rsid w:val="000B1128"/>
    <w:rsid w:val="000B1206"/>
    <w:rsid w:val="000B135A"/>
    <w:rsid w:val="000B1376"/>
    <w:rsid w:val="000B15CF"/>
    <w:rsid w:val="000B16E4"/>
    <w:rsid w:val="000B1741"/>
    <w:rsid w:val="000B1828"/>
    <w:rsid w:val="000B18E0"/>
    <w:rsid w:val="000B195C"/>
    <w:rsid w:val="000B196F"/>
    <w:rsid w:val="000B199B"/>
    <w:rsid w:val="000B1A1A"/>
    <w:rsid w:val="000B1A73"/>
    <w:rsid w:val="000B1AA7"/>
    <w:rsid w:val="000B1B87"/>
    <w:rsid w:val="000B1BB9"/>
    <w:rsid w:val="000B1DF2"/>
    <w:rsid w:val="000B1E44"/>
    <w:rsid w:val="000B1F18"/>
    <w:rsid w:val="000B1F68"/>
    <w:rsid w:val="000B1FAF"/>
    <w:rsid w:val="000B20BC"/>
    <w:rsid w:val="000B21D5"/>
    <w:rsid w:val="000B221E"/>
    <w:rsid w:val="000B22F7"/>
    <w:rsid w:val="000B2399"/>
    <w:rsid w:val="000B25A9"/>
    <w:rsid w:val="000B264F"/>
    <w:rsid w:val="000B2833"/>
    <w:rsid w:val="000B2902"/>
    <w:rsid w:val="000B2B3A"/>
    <w:rsid w:val="000B2B5F"/>
    <w:rsid w:val="000B2B87"/>
    <w:rsid w:val="000B2C13"/>
    <w:rsid w:val="000B2E42"/>
    <w:rsid w:val="000B2E84"/>
    <w:rsid w:val="000B30F8"/>
    <w:rsid w:val="000B3132"/>
    <w:rsid w:val="000B321B"/>
    <w:rsid w:val="000B327D"/>
    <w:rsid w:val="000B342B"/>
    <w:rsid w:val="000B34AF"/>
    <w:rsid w:val="000B35C3"/>
    <w:rsid w:val="000B36BF"/>
    <w:rsid w:val="000B3874"/>
    <w:rsid w:val="000B395E"/>
    <w:rsid w:val="000B3A68"/>
    <w:rsid w:val="000B3D41"/>
    <w:rsid w:val="000B3E1E"/>
    <w:rsid w:val="000B3EE0"/>
    <w:rsid w:val="000B3EE8"/>
    <w:rsid w:val="000B3EEB"/>
    <w:rsid w:val="000B3F7A"/>
    <w:rsid w:val="000B4112"/>
    <w:rsid w:val="000B43CC"/>
    <w:rsid w:val="000B44D8"/>
    <w:rsid w:val="000B4758"/>
    <w:rsid w:val="000B47F7"/>
    <w:rsid w:val="000B48DF"/>
    <w:rsid w:val="000B4966"/>
    <w:rsid w:val="000B4A32"/>
    <w:rsid w:val="000B4B4F"/>
    <w:rsid w:val="000B4BD8"/>
    <w:rsid w:val="000B4CDD"/>
    <w:rsid w:val="000B4D83"/>
    <w:rsid w:val="000B4D91"/>
    <w:rsid w:val="000B4F52"/>
    <w:rsid w:val="000B50BA"/>
    <w:rsid w:val="000B52EC"/>
    <w:rsid w:val="000B537B"/>
    <w:rsid w:val="000B54C6"/>
    <w:rsid w:val="000B5599"/>
    <w:rsid w:val="000B56E5"/>
    <w:rsid w:val="000B5747"/>
    <w:rsid w:val="000B5761"/>
    <w:rsid w:val="000B5807"/>
    <w:rsid w:val="000B59B3"/>
    <w:rsid w:val="000B5AD5"/>
    <w:rsid w:val="000B5BC2"/>
    <w:rsid w:val="000B5BDF"/>
    <w:rsid w:val="000B5CDE"/>
    <w:rsid w:val="000B6063"/>
    <w:rsid w:val="000B63BE"/>
    <w:rsid w:val="000B65BC"/>
    <w:rsid w:val="000B65F1"/>
    <w:rsid w:val="000B65FE"/>
    <w:rsid w:val="000B6626"/>
    <w:rsid w:val="000B6659"/>
    <w:rsid w:val="000B67EE"/>
    <w:rsid w:val="000B6904"/>
    <w:rsid w:val="000B690E"/>
    <w:rsid w:val="000B6A11"/>
    <w:rsid w:val="000B6A61"/>
    <w:rsid w:val="000B6BE8"/>
    <w:rsid w:val="000B6D4F"/>
    <w:rsid w:val="000B6FC3"/>
    <w:rsid w:val="000B6FC8"/>
    <w:rsid w:val="000B705A"/>
    <w:rsid w:val="000B715D"/>
    <w:rsid w:val="000B71A4"/>
    <w:rsid w:val="000B7299"/>
    <w:rsid w:val="000B73B2"/>
    <w:rsid w:val="000B7412"/>
    <w:rsid w:val="000B75A7"/>
    <w:rsid w:val="000B75D1"/>
    <w:rsid w:val="000B7708"/>
    <w:rsid w:val="000B7946"/>
    <w:rsid w:val="000B7B06"/>
    <w:rsid w:val="000B7DB1"/>
    <w:rsid w:val="000B7F51"/>
    <w:rsid w:val="000C01AA"/>
    <w:rsid w:val="000C01EA"/>
    <w:rsid w:val="000C0409"/>
    <w:rsid w:val="000C0419"/>
    <w:rsid w:val="000C042F"/>
    <w:rsid w:val="000C04C5"/>
    <w:rsid w:val="000C04E9"/>
    <w:rsid w:val="000C0553"/>
    <w:rsid w:val="000C05DE"/>
    <w:rsid w:val="000C06B7"/>
    <w:rsid w:val="000C072D"/>
    <w:rsid w:val="000C095E"/>
    <w:rsid w:val="000C0A88"/>
    <w:rsid w:val="000C0B41"/>
    <w:rsid w:val="000C0BBB"/>
    <w:rsid w:val="000C0BD1"/>
    <w:rsid w:val="000C0DF4"/>
    <w:rsid w:val="000C0E9F"/>
    <w:rsid w:val="000C0EE6"/>
    <w:rsid w:val="000C11FD"/>
    <w:rsid w:val="000C12F9"/>
    <w:rsid w:val="000C14EF"/>
    <w:rsid w:val="000C151B"/>
    <w:rsid w:val="000C1BBC"/>
    <w:rsid w:val="000C1C8E"/>
    <w:rsid w:val="000C1CD7"/>
    <w:rsid w:val="000C1D12"/>
    <w:rsid w:val="000C1D8F"/>
    <w:rsid w:val="000C1F5D"/>
    <w:rsid w:val="000C1F9B"/>
    <w:rsid w:val="000C1FC8"/>
    <w:rsid w:val="000C20FF"/>
    <w:rsid w:val="000C2237"/>
    <w:rsid w:val="000C2369"/>
    <w:rsid w:val="000C2505"/>
    <w:rsid w:val="000C2825"/>
    <w:rsid w:val="000C297E"/>
    <w:rsid w:val="000C29D5"/>
    <w:rsid w:val="000C2AEB"/>
    <w:rsid w:val="000C2BFB"/>
    <w:rsid w:val="000C2CE6"/>
    <w:rsid w:val="000C2DC1"/>
    <w:rsid w:val="000C30C1"/>
    <w:rsid w:val="000C30D0"/>
    <w:rsid w:val="000C30FE"/>
    <w:rsid w:val="000C3159"/>
    <w:rsid w:val="000C327B"/>
    <w:rsid w:val="000C3343"/>
    <w:rsid w:val="000C3488"/>
    <w:rsid w:val="000C3530"/>
    <w:rsid w:val="000C3695"/>
    <w:rsid w:val="000C37F6"/>
    <w:rsid w:val="000C3923"/>
    <w:rsid w:val="000C3968"/>
    <w:rsid w:val="000C39F4"/>
    <w:rsid w:val="000C3AEC"/>
    <w:rsid w:val="000C3B72"/>
    <w:rsid w:val="000C3B91"/>
    <w:rsid w:val="000C3CC3"/>
    <w:rsid w:val="000C3D62"/>
    <w:rsid w:val="000C3DAD"/>
    <w:rsid w:val="000C3DF2"/>
    <w:rsid w:val="000C3DFC"/>
    <w:rsid w:val="000C40B7"/>
    <w:rsid w:val="000C42EC"/>
    <w:rsid w:val="000C4363"/>
    <w:rsid w:val="000C4498"/>
    <w:rsid w:val="000C453D"/>
    <w:rsid w:val="000C456E"/>
    <w:rsid w:val="000C45EB"/>
    <w:rsid w:val="000C4703"/>
    <w:rsid w:val="000C4745"/>
    <w:rsid w:val="000C4924"/>
    <w:rsid w:val="000C4A01"/>
    <w:rsid w:val="000C4AC0"/>
    <w:rsid w:val="000C4AFF"/>
    <w:rsid w:val="000C4B07"/>
    <w:rsid w:val="000C4D31"/>
    <w:rsid w:val="000C4E01"/>
    <w:rsid w:val="000C4E8B"/>
    <w:rsid w:val="000C4F82"/>
    <w:rsid w:val="000C5314"/>
    <w:rsid w:val="000C567E"/>
    <w:rsid w:val="000C582D"/>
    <w:rsid w:val="000C5834"/>
    <w:rsid w:val="000C588C"/>
    <w:rsid w:val="000C5971"/>
    <w:rsid w:val="000C599C"/>
    <w:rsid w:val="000C5EA6"/>
    <w:rsid w:val="000C5EF8"/>
    <w:rsid w:val="000C60B3"/>
    <w:rsid w:val="000C60E2"/>
    <w:rsid w:val="000C6153"/>
    <w:rsid w:val="000C61D2"/>
    <w:rsid w:val="000C6277"/>
    <w:rsid w:val="000C62F3"/>
    <w:rsid w:val="000C6310"/>
    <w:rsid w:val="000C64DC"/>
    <w:rsid w:val="000C64E2"/>
    <w:rsid w:val="000C6642"/>
    <w:rsid w:val="000C6692"/>
    <w:rsid w:val="000C67CA"/>
    <w:rsid w:val="000C6902"/>
    <w:rsid w:val="000C6C0B"/>
    <w:rsid w:val="000C6C3D"/>
    <w:rsid w:val="000C6C70"/>
    <w:rsid w:val="000C6DF5"/>
    <w:rsid w:val="000C6EA7"/>
    <w:rsid w:val="000C6EDB"/>
    <w:rsid w:val="000C6EED"/>
    <w:rsid w:val="000C6F8C"/>
    <w:rsid w:val="000C6FA4"/>
    <w:rsid w:val="000C70E8"/>
    <w:rsid w:val="000C7169"/>
    <w:rsid w:val="000C71AD"/>
    <w:rsid w:val="000C71C9"/>
    <w:rsid w:val="000C725F"/>
    <w:rsid w:val="000C727A"/>
    <w:rsid w:val="000C7378"/>
    <w:rsid w:val="000C739E"/>
    <w:rsid w:val="000C74A4"/>
    <w:rsid w:val="000C74B9"/>
    <w:rsid w:val="000C7537"/>
    <w:rsid w:val="000C75B6"/>
    <w:rsid w:val="000C75EC"/>
    <w:rsid w:val="000C75FF"/>
    <w:rsid w:val="000C7735"/>
    <w:rsid w:val="000C7763"/>
    <w:rsid w:val="000C7A3A"/>
    <w:rsid w:val="000C7A9E"/>
    <w:rsid w:val="000C7AD1"/>
    <w:rsid w:val="000C7B35"/>
    <w:rsid w:val="000C7B5D"/>
    <w:rsid w:val="000C7C32"/>
    <w:rsid w:val="000C7E16"/>
    <w:rsid w:val="000C7E17"/>
    <w:rsid w:val="000D0025"/>
    <w:rsid w:val="000D01CB"/>
    <w:rsid w:val="000D0243"/>
    <w:rsid w:val="000D0284"/>
    <w:rsid w:val="000D036B"/>
    <w:rsid w:val="000D0389"/>
    <w:rsid w:val="000D03FD"/>
    <w:rsid w:val="000D0402"/>
    <w:rsid w:val="000D069D"/>
    <w:rsid w:val="000D06A0"/>
    <w:rsid w:val="000D0792"/>
    <w:rsid w:val="000D0957"/>
    <w:rsid w:val="000D0A2F"/>
    <w:rsid w:val="000D0C04"/>
    <w:rsid w:val="000D0C3B"/>
    <w:rsid w:val="000D0C42"/>
    <w:rsid w:val="000D0C48"/>
    <w:rsid w:val="000D0CB5"/>
    <w:rsid w:val="000D0CF0"/>
    <w:rsid w:val="000D0E98"/>
    <w:rsid w:val="000D0F88"/>
    <w:rsid w:val="000D0FAE"/>
    <w:rsid w:val="000D1020"/>
    <w:rsid w:val="000D10CF"/>
    <w:rsid w:val="000D1269"/>
    <w:rsid w:val="000D1334"/>
    <w:rsid w:val="000D1380"/>
    <w:rsid w:val="000D1470"/>
    <w:rsid w:val="000D182B"/>
    <w:rsid w:val="000D1AAF"/>
    <w:rsid w:val="000D1D22"/>
    <w:rsid w:val="000D1D51"/>
    <w:rsid w:val="000D1D80"/>
    <w:rsid w:val="000D1D9A"/>
    <w:rsid w:val="000D1DF7"/>
    <w:rsid w:val="000D1EB2"/>
    <w:rsid w:val="000D2062"/>
    <w:rsid w:val="000D21CF"/>
    <w:rsid w:val="000D24DC"/>
    <w:rsid w:val="000D273E"/>
    <w:rsid w:val="000D2878"/>
    <w:rsid w:val="000D29DF"/>
    <w:rsid w:val="000D2CD1"/>
    <w:rsid w:val="000D2ED4"/>
    <w:rsid w:val="000D2FD5"/>
    <w:rsid w:val="000D300D"/>
    <w:rsid w:val="000D302A"/>
    <w:rsid w:val="000D3033"/>
    <w:rsid w:val="000D3047"/>
    <w:rsid w:val="000D33C6"/>
    <w:rsid w:val="000D3617"/>
    <w:rsid w:val="000D3673"/>
    <w:rsid w:val="000D3744"/>
    <w:rsid w:val="000D3825"/>
    <w:rsid w:val="000D385D"/>
    <w:rsid w:val="000D38C3"/>
    <w:rsid w:val="000D396D"/>
    <w:rsid w:val="000D3C2E"/>
    <w:rsid w:val="000D3C57"/>
    <w:rsid w:val="000D4020"/>
    <w:rsid w:val="000D40A1"/>
    <w:rsid w:val="000D4459"/>
    <w:rsid w:val="000D44D3"/>
    <w:rsid w:val="000D4616"/>
    <w:rsid w:val="000D46AF"/>
    <w:rsid w:val="000D473A"/>
    <w:rsid w:val="000D4DD2"/>
    <w:rsid w:val="000D4DD6"/>
    <w:rsid w:val="000D4E20"/>
    <w:rsid w:val="000D502C"/>
    <w:rsid w:val="000D5054"/>
    <w:rsid w:val="000D5199"/>
    <w:rsid w:val="000D51BA"/>
    <w:rsid w:val="000D5460"/>
    <w:rsid w:val="000D5489"/>
    <w:rsid w:val="000D571D"/>
    <w:rsid w:val="000D5770"/>
    <w:rsid w:val="000D585D"/>
    <w:rsid w:val="000D59B3"/>
    <w:rsid w:val="000D59E4"/>
    <w:rsid w:val="000D59FD"/>
    <w:rsid w:val="000D5A90"/>
    <w:rsid w:val="000D5BA8"/>
    <w:rsid w:val="000D5E73"/>
    <w:rsid w:val="000D6128"/>
    <w:rsid w:val="000D6339"/>
    <w:rsid w:val="000D6491"/>
    <w:rsid w:val="000D6676"/>
    <w:rsid w:val="000D66E4"/>
    <w:rsid w:val="000D6AC7"/>
    <w:rsid w:val="000D6C86"/>
    <w:rsid w:val="000D6D30"/>
    <w:rsid w:val="000D707D"/>
    <w:rsid w:val="000D70F5"/>
    <w:rsid w:val="000D71D2"/>
    <w:rsid w:val="000D7278"/>
    <w:rsid w:val="000D72F1"/>
    <w:rsid w:val="000D7318"/>
    <w:rsid w:val="000D737A"/>
    <w:rsid w:val="000D7412"/>
    <w:rsid w:val="000D7540"/>
    <w:rsid w:val="000D7991"/>
    <w:rsid w:val="000D7C22"/>
    <w:rsid w:val="000D7D3D"/>
    <w:rsid w:val="000D7DB7"/>
    <w:rsid w:val="000D7F4B"/>
    <w:rsid w:val="000E0045"/>
    <w:rsid w:val="000E0079"/>
    <w:rsid w:val="000E00B9"/>
    <w:rsid w:val="000E0243"/>
    <w:rsid w:val="000E02F3"/>
    <w:rsid w:val="000E040C"/>
    <w:rsid w:val="000E041E"/>
    <w:rsid w:val="000E073F"/>
    <w:rsid w:val="000E07CF"/>
    <w:rsid w:val="000E09A1"/>
    <w:rsid w:val="000E0AFA"/>
    <w:rsid w:val="000E0D35"/>
    <w:rsid w:val="000E0E37"/>
    <w:rsid w:val="000E0EC1"/>
    <w:rsid w:val="000E0F21"/>
    <w:rsid w:val="000E105D"/>
    <w:rsid w:val="000E1086"/>
    <w:rsid w:val="000E1188"/>
    <w:rsid w:val="000E1274"/>
    <w:rsid w:val="000E1433"/>
    <w:rsid w:val="000E1454"/>
    <w:rsid w:val="000E1585"/>
    <w:rsid w:val="000E167A"/>
    <w:rsid w:val="000E16A8"/>
    <w:rsid w:val="000E179D"/>
    <w:rsid w:val="000E1882"/>
    <w:rsid w:val="000E18C4"/>
    <w:rsid w:val="000E1BEF"/>
    <w:rsid w:val="000E1BF8"/>
    <w:rsid w:val="000E1E5B"/>
    <w:rsid w:val="000E1FB8"/>
    <w:rsid w:val="000E2300"/>
    <w:rsid w:val="000E2609"/>
    <w:rsid w:val="000E2631"/>
    <w:rsid w:val="000E27A3"/>
    <w:rsid w:val="000E29E8"/>
    <w:rsid w:val="000E2A44"/>
    <w:rsid w:val="000E2BCC"/>
    <w:rsid w:val="000E2C35"/>
    <w:rsid w:val="000E2CA8"/>
    <w:rsid w:val="000E2F6D"/>
    <w:rsid w:val="000E2FE5"/>
    <w:rsid w:val="000E3086"/>
    <w:rsid w:val="000E3090"/>
    <w:rsid w:val="000E30C4"/>
    <w:rsid w:val="000E31D2"/>
    <w:rsid w:val="000E32A9"/>
    <w:rsid w:val="000E32E2"/>
    <w:rsid w:val="000E330F"/>
    <w:rsid w:val="000E3310"/>
    <w:rsid w:val="000E33DB"/>
    <w:rsid w:val="000E345B"/>
    <w:rsid w:val="000E34A2"/>
    <w:rsid w:val="000E34D0"/>
    <w:rsid w:val="000E34F6"/>
    <w:rsid w:val="000E3534"/>
    <w:rsid w:val="000E383B"/>
    <w:rsid w:val="000E393A"/>
    <w:rsid w:val="000E39A7"/>
    <w:rsid w:val="000E3DC3"/>
    <w:rsid w:val="000E3EC5"/>
    <w:rsid w:val="000E4085"/>
    <w:rsid w:val="000E4086"/>
    <w:rsid w:val="000E41D1"/>
    <w:rsid w:val="000E452C"/>
    <w:rsid w:val="000E47AC"/>
    <w:rsid w:val="000E4CAF"/>
    <w:rsid w:val="000E4D03"/>
    <w:rsid w:val="000E4D3A"/>
    <w:rsid w:val="000E4D50"/>
    <w:rsid w:val="000E4D7D"/>
    <w:rsid w:val="000E4E64"/>
    <w:rsid w:val="000E4E8B"/>
    <w:rsid w:val="000E4E94"/>
    <w:rsid w:val="000E5078"/>
    <w:rsid w:val="000E5247"/>
    <w:rsid w:val="000E529A"/>
    <w:rsid w:val="000E530B"/>
    <w:rsid w:val="000E537C"/>
    <w:rsid w:val="000E539E"/>
    <w:rsid w:val="000E5422"/>
    <w:rsid w:val="000E5442"/>
    <w:rsid w:val="000E5546"/>
    <w:rsid w:val="000E55B4"/>
    <w:rsid w:val="000E5626"/>
    <w:rsid w:val="000E5688"/>
    <w:rsid w:val="000E5767"/>
    <w:rsid w:val="000E5901"/>
    <w:rsid w:val="000E5958"/>
    <w:rsid w:val="000E59C3"/>
    <w:rsid w:val="000E5A01"/>
    <w:rsid w:val="000E5A71"/>
    <w:rsid w:val="000E5C0A"/>
    <w:rsid w:val="000E5D3B"/>
    <w:rsid w:val="000E5DBE"/>
    <w:rsid w:val="000E5E6D"/>
    <w:rsid w:val="000E5F8E"/>
    <w:rsid w:val="000E5F94"/>
    <w:rsid w:val="000E6165"/>
    <w:rsid w:val="000E616C"/>
    <w:rsid w:val="000E61AF"/>
    <w:rsid w:val="000E61BD"/>
    <w:rsid w:val="000E654E"/>
    <w:rsid w:val="000E686A"/>
    <w:rsid w:val="000E6942"/>
    <w:rsid w:val="000E6A58"/>
    <w:rsid w:val="000E6C10"/>
    <w:rsid w:val="000E6C73"/>
    <w:rsid w:val="000E6D7F"/>
    <w:rsid w:val="000E6E68"/>
    <w:rsid w:val="000E7043"/>
    <w:rsid w:val="000E7150"/>
    <w:rsid w:val="000E7255"/>
    <w:rsid w:val="000E74B5"/>
    <w:rsid w:val="000E7507"/>
    <w:rsid w:val="000E757D"/>
    <w:rsid w:val="000E75AA"/>
    <w:rsid w:val="000E774F"/>
    <w:rsid w:val="000E77FB"/>
    <w:rsid w:val="000E78BD"/>
    <w:rsid w:val="000E793C"/>
    <w:rsid w:val="000E7959"/>
    <w:rsid w:val="000E7A30"/>
    <w:rsid w:val="000E7A3F"/>
    <w:rsid w:val="000E7B00"/>
    <w:rsid w:val="000E7BF4"/>
    <w:rsid w:val="000E7C6C"/>
    <w:rsid w:val="000E7C90"/>
    <w:rsid w:val="000E7D48"/>
    <w:rsid w:val="000E7DB5"/>
    <w:rsid w:val="000E7F48"/>
    <w:rsid w:val="000F0052"/>
    <w:rsid w:val="000F01E6"/>
    <w:rsid w:val="000F0330"/>
    <w:rsid w:val="000F089F"/>
    <w:rsid w:val="000F0936"/>
    <w:rsid w:val="000F0BED"/>
    <w:rsid w:val="000F0F1F"/>
    <w:rsid w:val="000F0FAD"/>
    <w:rsid w:val="000F11CE"/>
    <w:rsid w:val="000F12F4"/>
    <w:rsid w:val="000F1398"/>
    <w:rsid w:val="000F148F"/>
    <w:rsid w:val="000F16AA"/>
    <w:rsid w:val="000F173E"/>
    <w:rsid w:val="000F17D0"/>
    <w:rsid w:val="000F17F2"/>
    <w:rsid w:val="000F1877"/>
    <w:rsid w:val="000F1897"/>
    <w:rsid w:val="000F193F"/>
    <w:rsid w:val="000F1986"/>
    <w:rsid w:val="000F1C2C"/>
    <w:rsid w:val="000F1C94"/>
    <w:rsid w:val="000F1E29"/>
    <w:rsid w:val="000F1E65"/>
    <w:rsid w:val="000F1E85"/>
    <w:rsid w:val="000F1F12"/>
    <w:rsid w:val="000F1F18"/>
    <w:rsid w:val="000F2083"/>
    <w:rsid w:val="000F20A8"/>
    <w:rsid w:val="000F20F6"/>
    <w:rsid w:val="000F2147"/>
    <w:rsid w:val="000F21AA"/>
    <w:rsid w:val="000F267E"/>
    <w:rsid w:val="000F2708"/>
    <w:rsid w:val="000F270E"/>
    <w:rsid w:val="000F2BAE"/>
    <w:rsid w:val="000F2CA7"/>
    <w:rsid w:val="000F2CBD"/>
    <w:rsid w:val="000F2D26"/>
    <w:rsid w:val="000F2D35"/>
    <w:rsid w:val="000F2E09"/>
    <w:rsid w:val="000F2ECD"/>
    <w:rsid w:val="000F320D"/>
    <w:rsid w:val="000F3280"/>
    <w:rsid w:val="000F33D3"/>
    <w:rsid w:val="000F343D"/>
    <w:rsid w:val="000F34C6"/>
    <w:rsid w:val="000F3560"/>
    <w:rsid w:val="000F36E2"/>
    <w:rsid w:val="000F37AE"/>
    <w:rsid w:val="000F391F"/>
    <w:rsid w:val="000F39C0"/>
    <w:rsid w:val="000F3AD4"/>
    <w:rsid w:val="000F3AEF"/>
    <w:rsid w:val="000F3B76"/>
    <w:rsid w:val="000F3BAB"/>
    <w:rsid w:val="000F3E02"/>
    <w:rsid w:val="000F40D5"/>
    <w:rsid w:val="000F4259"/>
    <w:rsid w:val="000F45B2"/>
    <w:rsid w:val="000F466F"/>
    <w:rsid w:val="000F4672"/>
    <w:rsid w:val="000F4713"/>
    <w:rsid w:val="000F4B70"/>
    <w:rsid w:val="000F4BAD"/>
    <w:rsid w:val="000F4D99"/>
    <w:rsid w:val="000F4E2A"/>
    <w:rsid w:val="000F4ECD"/>
    <w:rsid w:val="000F4F14"/>
    <w:rsid w:val="000F51FD"/>
    <w:rsid w:val="000F5644"/>
    <w:rsid w:val="000F57A7"/>
    <w:rsid w:val="000F595F"/>
    <w:rsid w:val="000F5B00"/>
    <w:rsid w:val="000F5C63"/>
    <w:rsid w:val="000F5F5A"/>
    <w:rsid w:val="000F5FE2"/>
    <w:rsid w:val="000F612B"/>
    <w:rsid w:val="000F6168"/>
    <w:rsid w:val="000F626D"/>
    <w:rsid w:val="000F627F"/>
    <w:rsid w:val="000F62B3"/>
    <w:rsid w:val="000F653F"/>
    <w:rsid w:val="000F657A"/>
    <w:rsid w:val="000F667B"/>
    <w:rsid w:val="000F66B2"/>
    <w:rsid w:val="000F67DE"/>
    <w:rsid w:val="000F6838"/>
    <w:rsid w:val="000F6925"/>
    <w:rsid w:val="000F697F"/>
    <w:rsid w:val="000F6999"/>
    <w:rsid w:val="000F6B7E"/>
    <w:rsid w:val="000F6C5E"/>
    <w:rsid w:val="000F6CAB"/>
    <w:rsid w:val="000F6D8F"/>
    <w:rsid w:val="000F6D91"/>
    <w:rsid w:val="000F6DCC"/>
    <w:rsid w:val="000F6E58"/>
    <w:rsid w:val="000F6F13"/>
    <w:rsid w:val="000F6F48"/>
    <w:rsid w:val="000F6FDB"/>
    <w:rsid w:val="000F6FF6"/>
    <w:rsid w:val="000F70C4"/>
    <w:rsid w:val="000F721C"/>
    <w:rsid w:val="000F75CA"/>
    <w:rsid w:val="000F7601"/>
    <w:rsid w:val="000F761F"/>
    <w:rsid w:val="000F775C"/>
    <w:rsid w:val="000F7801"/>
    <w:rsid w:val="000F78E9"/>
    <w:rsid w:val="000F78FB"/>
    <w:rsid w:val="000F7B94"/>
    <w:rsid w:val="000F7C30"/>
    <w:rsid w:val="000F7EC1"/>
    <w:rsid w:val="000F7F7A"/>
    <w:rsid w:val="000F7FDB"/>
    <w:rsid w:val="001001BE"/>
    <w:rsid w:val="001001E0"/>
    <w:rsid w:val="00100353"/>
    <w:rsid w:val="001004F9"/>
    <w:rsid w:val="00100618"/>
    <w:rsid w:val="00100644"/>
    <w:rsid w:val="001006B6"/>
    <w:rsid w:val="001008CA"/>
    <w:rsid w:val="00100945"/>
    <w:rsid w:val="00100C19"/>
    <w:rsid w:val="00100DE9"/>
    <w:rsid w:val="00100E8E"/>
    <w:rsid w:val="00100EFF"/>
    <w:rsid w:val="001010A8"/>
    <w:rsid w:val="00101201"/>
    <w:rsid w:val="001012A8"/>
    <w:rsid w:val="00101648"/>
    <w:rsid w:val="0010174F"/>
    <w:rsid w:val="00101752"/>
    <w:rsid w:val="00101811"/>
    <w:rsid w:val="0010183D"/>
    <w:rsid w:val="00101859"/>
    <w:rsid w:val="001018FB"/>
    <w:rsid w:val="00101ADD"/>
    <w:rsid w:val="00101C29"/>
    <w:rsid w:val="00101CC3"/>
    <w:rsid w:val="001020D8"/>
    <w:rsid w:val="001020F4"/>
    <w:rsid w:val="0010228D"/>
    <w:rsid w:val="00102327"/>
    <w:rsid w:val="0010236A"/>
    <w:rsid w:val="001023A0"/>
    <w:rsid w:val="001023E3"/>
    <w:rsid w:val="001024F1"/>
    <w:rsid w:val="001026BF"/>
    <w:rsid w:val="001027C2"/>
    <w:rsid w:val="00102845"/>
    <w:rsid w:val="001028D3"/>
    <w:rsid w:val="001029E9"/>
    <w:rsid w:val="00102B2B"/>
    <w:rsid w:val="00102B45"/>
    <w:rsid w:val="00102C6E"/>
    <w:rsid w:val="00102C88"/>
    <w:rsid w:val="00102EF8"/>
    <w:rsid w:val="00102FB0"/>
    <w:rsid w:val="0010301B"/>
    <w:rsid w:val="00103105"/>
    <w:rsid w:val="00103213"/>
    <w:rsid w:val="0010325F"/>
    <w:rsid w:val="00103328"/>
    <w:rsid w:val="001035C3"/>
    <w:rsid w:val="00103688"/>
    <w:rsid w:val="00103AAA"/>
    <w:rsid w:val="00103C75"/>
    <w:rsid w:val="00103D25"/>
    <w:rsid w:val="00103D5D"/>
    <w:rsid w:val="00104118"/>
    <w:rsid w:val="00104170"/>
    <w:rsid w:val="00104243"/>
    <w:rsid w:val="001044B3"/>
    <w:rsid w:val="00104717"/>
    <w:rsid w:val="001047A2"/>
    <w:rsid w:val="00104932"/>
    <w:rsid w:val="00104AA8"/>
    <w:rsid w:val="00104B58"/>
    <w:rsid w:val="00104B87"/>
    <w:rsid w:val="00104D0D"/>
    <w:rsid w:val="00104E40"/>
    <w:rsid w:val="00104E9D"/>
    <w:rsid w:val="00104EF2"/>
    <w:rsid w:val="00104FB0"/>
    <w:rsid w:val="0010513C"/>
    <w:rsid w:val="0010529E"/>
    <w:rsid w:val="00105344"/>
    <w:rsid w:val="0010547E"/>
    <w:rsid w:val="001054B9"/>
    <w:rsid w:val="00105619"/>
    <w:rsid w:val="001056C0"/>
    <w:rsid w:val="00105708"/>
    <w:rsid w:val="00105724"/>
    <w:rsid w:val="001058C6"/>
    <w:rsid w:val="001058E6"/>
    <w:rsid w:val="00105943"/>
    <w:rsid w:val="00105A5D"/>
    <w:rsid w:val="00105AAF"/>
    <w:rsid w:val="00105C90"/>
    <w:rsid w:val="00105D3B"/>
    <w:rsid w:val="00105D56"/>
    <w:rsid w:val="00105FF8"/>
    <w:rsid w:val="00106009"/>
    <w:rsid w:val="0010601B"/>
    <w:rsid w:val="00106065"/>
    <w:rsid w:val="0010609B"/>
    <w:rsid w:val="0010616B"/>
    <w:rsid w:val="00106398"/>
    <w:rsid w:val="00106450"/>
    <w:rsid w:val="00106555"/>
    <w:rsid w:val="001066E1"/>
    <w:rsid w:val="00106831"/>
    <w:rsid w:val="00106846"/>
    <w:rsid w:val="001068A6"/>
    <w:rsid w:val="00106A59"/>
    <w:rsid w:val="00106A7B"/>
    <w:rsid w:val="00106DB1"/>
    <w:rsid w:val="00106DBB"/>
    <w:rsid w:val="00106F59"/>
    <w:rsid w:val="0010706D"/>
    <w:rsid w:val="00107273"/>
    <w:rsid w:val="001072F3"/>
    <w:rsid w:val="00107564"/>
    <w:rsid w:val="001077CB"/>
    <w:rsid w:val="00107825"/>
    <w:rsid w:val="00107B1C"/>
    <w:rsid w:val="00107CCA"/>
    <w:rsid w:val="00107F56"/>
    <w:rsid w:val="00107F5D"/>
    <w:rsid w:val="0011012B"/>
    <w:rsid w:val="00110152"/>
    <w:rsid w:val="0011029B"/>
    <w:rsid w:val="0011032F"/>
    <w:rsid w:val="0011036A"/>
    <w:rsid w:val="001103EF"/>
    <w:rsid w:val="0011058D"/>
    <w:rsid w:val="0011064A"/>
    <w:rsid w:val="0011066B"/>
    <w:rsid w:val="001106C8"/>
    <w:rsid w:val="00110777"/>
    <w:rsid w:val="00110ACB"/>
    <w:rsid w:val="00110C9F"/>
    <w:rsid w:val="00110CDC"/>
    <w:rsid w:val="00110CF9"/>
    <w:rsid w:val="00110D1F"/>
    <w:rsid w:val="00110EB7"/>
    <w:rsid w:val="00111176"/>
    <w:rsid w:val="00111280"/>
    <w:rsid w:val="0011134A"/>
    <w:rsid w:val="00111461"/>
    <w:rsid w:val="001114FB"/>
    <w:rsid w:val="0011159C"/>
    <w:rsid w:val="0011168B"/>
    <w:rsid w:val="00111690"/>
    <w:rsid w:val="0011169E"/>
    <w:rsid w:val="0011184B"/>
    <w:rsid w:val="0011188A"/>
    <w:rsid w:val="001118BB"/>
    <w:rsid w:val="00111907"/>
    <w:rsid w:val="00111BDA"/>
    <w:rsid w:val="00111DA5"/>
    <w:rsid w:val="001120F0"/>
    <w:rsid w:val="00112159"/>
    <w:rsid w:val="001121B8"/>
    <w:rsid w:val="001121EC"/>
    <w:rsid w:val="00112431"/>
    <w:rsid w:val="0011264A"/>
    <w:rsid w:val="001126A5"/>
    <w:rsid w:val="00112AB9"/>
    <w:rsid w:val="00112B64"/>
    <w:rsid w:val="00112BBC"/>
    <w:rsid w:val="00112C16"/>
    <w:rsid w:val="00112DB5"/>
    <w:rsid w:val="00112F06"/>
    <w:rsid w:val="00112F75"/>
    <w:rsid w:val="00113044"/>
    <w:rsid w:val="0011318C"/>
    <w:rsid w:val="00113249"/>
    <w:rsid w:val="00113264"/>
    <w:rsid w:val="001133D4"/>
    <w:rsid w:val="00113520"/>
    <w:rsid w:val="00113533"/>
    <w:rsid w:val="001137E2"/>
    <w:rsid w:val="001137E8"/>
    <w:rsid w:val="0011387E"/>
    <w:rsid w:val="0011395B"/>
    <w:rsid w:val="001139DE"/>
    <w:rsid w:val="00113AB8"/>
    <w:rsid w:val="00113AE2"/>
    <w:rsid w:val="00113C8F"/>
    <w:rsid w:val="00113F41"/>
    <w:rsid w:val="00113F68"/>
    <w:rsid w:val="00113FA1"/>
    <w:rsid w:val="00114080"/>
    <w:rsid w:val="001140EB"/>
    <w:rsid w:val="0011427A"/>
    <w:rsid w:val="001142C4"/>
    <w:rsid w:val="001142E8"/>
    <w:rsid w:val="001144EB"/>
    <w:rsid w:val="00114588"/>
    <w:rsid w:val="0011462C"/>
    <w:rsid w:val="00114654"/>
    <w:rsid w:val="001146D0"/>
    <w:rsid w:val="0011477F"/>
    <w:rsid w:val="0011483E"/>
    <w:rsid w:val="001148FC"/>
    <w:rsid w:val="001149E7"/>
    <w:rsid w:val="0011500A"/>
    <w:rsid w:val="001151DF"/>
    <w:rsid w:val="0011527B"/>
    <w:rsid w:val="00115283"/>
    <w:rsid w:val="00115335"/>
    <w:rsid w:val="001153A1"/>
    <w:rsid w:val="001153EE"/>
    <w:rsid w:val="0011541B"/>
    <w:rsid w:val="001154CE"/>
    <w:rsid w:val="0011564C"/>
    <w:rsid w:val="00115669"/>
    <w:rsid w:val="00115754"/>
    <w:rsid w:val="001157AC"/>
    <w:rsid w:val="00115A5D"/>
    <w:rsid w:val="00115AEA"/>
    <w:rsid w:val="00115B4B"/>
    <w:rsid w:val="00115BEE"/>
    <w:rsid w:val="00115D9C"/>
    <w:rsid w:val="00115E45"/>
    <w:rsid w:val="00115ED3"/>
    <w:rsid w:val="00115FB1"/>
    <w:rsid w:val="00115FF0"/>
    <w:rsid w:val="00116276"/>
    <w:rsid w:val="00116342"/>
    <w:rsid w:val="0011634C"/>
    <w:rsid w:val="00116356"/>
    <w:rsid w:val="00116390"/>
    <w:rsid w:val="00116432"/>
    <w:rsid w:val="001165D6"/>
    <w:rsid w:val="001166CF"/>
    <w:rsid w:val="00116714"/>
    <w:rsid w:val="00116835"/>
    <w:rsid w:val="0011684A"/>
    <w:rsid w:val="001168D3"/>
    <w:rsid w:val="00116989"/>
    <w:rsid w:val="00116A23"/>
    <w:rsid w:val="00116A30"/>
    <w:rsid w:val="00116AE2"/>
    <w:rsid w:val="00116BA9"/>
    <w:rsid w:val="00116C98"/>
    <w:rsid w:val="00116E27"/>
    <w:rsid w:val="0011709A"/>
    <w:rsid w:val="001170EF"/>
    <w:rsid w:val="00117534"/>
    <w:rsid w:val="001175C9"/>
    <w:rsid w:val="00117825"/>
    <w:rsid w:val="00117987"/>
    <w:rsid w:val="00117A27"/>
    <w:rsid w:val="00117AAE"/>
    <w:rsid w:val="00117B6F"/>
    <w:rsid w:val="00117D63"/>
    <w:rsid w:val="00117DF3"/>
    <w:rsid w:val="00117E46"/>
    <w:rsid w:val="00117E8C"/>
    <w:rsid w:val="00117EBA"/>
    <w:rsid w:val="00117EC9"/>
    <w:rsid w:val="00120101"/>
    <w:rsid w:val="001202C5"/>
    <w:rsid w:val="001203AF"/>
    <w:rsid w:val="00120454"/>
    <w:rsid w:val="001205A6"/>
    <w:rsid w:val="0012060F"/>
    <w:rsid w:val="00120796"/>
    <w:rsid w:val="001207F4"/>
    <w:rsid w:val="00120905"/>
    <w:rsid w:val="00120983"/>
    <w:rsid w:val="00120AF8"/>
    <w:rsid w:val="00120C40"/>
    <w:rsid w:val="00120D2B"/>
    <w:rsid w:val="00120E1A"/>
    <w:rsid w:val="00120EBB"/>
    <w:rsid w:val="00120EC9"/>
    <w:rsid w:val="00120F5A"/>
    <w:rsid w:val="00120F63"/>
    <w:rsid w:val="0012105F"/>
    <w:rsid w:val="001210A8"/>
    <w:rsid w:val="001210B2"/>
    <w:rsid w:val="00121271"/>
    <w:rsid w:val="001212CC"/>
    <w:rsid w:val="00121358"/>
    <w:rsid w:val="0012135F"/>
    <w:rsid w:val="0012136C"/>
    <w:rsid w:val="00121467"/>
    <w:rsid w:val="0012149D"/>
    <w:rsid w:val="00121526"/>
    <w:rsid w:val="0012156D"/>
    <w:rsid w:val="0012168F"/>
    <w:rsid w:val="00121866"/>
    <w:rsid w:val="00121A08"/>
    <w:rsid w:val="00121B04"/>
    <w:rsid w:val="001220B4"/>
    <w:rsid w:val="001223A0"/>
    <w:rsid w:val="001224CE"/>
    <w:rsid w:val="0012250C"/>
    <w:rsid w:val="0012253A"/>
    <w:rsid w:val="001225A0"/>
    <w:rsid w:val="001225DA"/>
    <w:rsid w:val="001226B6"/>
    <w:rsid w:val="001227B8"/>
    <w:rsid w:val="0012282E"/>
    <w:rsid w:val="00122835"/>
    <w:rsid w:val="00122946"/>
    <w:rsid w:val="00122BE3"/>
    <w:rsid w:val="00122E4C"/>
    <w:rsid w:val="00122E89"/>
    <w:rsid w:val="00122E8B"/>
    <w:rsid w:val="00122ECA"/>
    <w:rsid w:val="0012321B"/>
    <w:rsid w:val="00123255"/>
    <w:rsid w:val="001232B0"/>
    <w:rsid w:val="00123312"/>
    <w:rsid w:val="001235EF"/>
    <w:rsid w:val="001236D4"/>
    <w:rsid w:val="001236D6"/>
    <w:rsid w:val="00123802"/>
    <w:rsid w:val="00123A19"/>
    <w:rsid w:val="00123A78"/>
    <w:rsid w:val="00123B27"/>
    <w:rsid w:val="00123D4C"/>
    <w:rsid w:val="00123D50"/>
    <w:rsid w:val="00123E1C"/>
    <w:rsid w:val="00123ECD"/>
    <w:rsid w:val="00123F11"/>
    <w:rsid w:val="0012422B"/>
    <w:rsid w:val="00124279"/>
    <w:rsid w:val="0012452A"/>
    <w:rsid w:val="001245D5"/>
    <w:rsid w:val="001245EA"/>
    <w:rsid w:val="001246BD"/>
    <w:rsid w:val="001248E0"/>
    <w:rsid w:val="001249A0"/>
    <w:rsid w:val="00124BAC"/>
    <w:rsid w:val="00124C15"/>
    <w:rsid w:val="00124D54"/>
    <w:rsid w:val="00124DDF"/>
    <w:rsid w:val="00125054"/>
    <w:rsid w:val="0012507C"/>
    <w:rsid w:val="0012509F"/>
    <w:rsid w:val="00125174"/>
    <w:rsid w:val="00125177"/>
    <w:rsid w:val="0012540C"/>
    <w:rsid w:val="0012598B"/>
    <w:rsid w:val="00125A9D"/>
    <w:rsid w:val="00125B7B"/>
    <w:rsid w:val="00125BF0"/>
    <w:rsid w:val="00125E7F"/>
    <w:rsid w:val="00125F59"/>
    <w:rsid w:val="0012626F"/>
    <w:rsid w:val="00126828"/>
    <w:rsid w:val="00126B3B"/>
    <w:rsid w:val="00126B7A"/>
    <w:rsid w:val="00126C12"/>
    <w:rsid w:val="00126C33"/>
    <w:rsid w:val="00126EF1"/>
    <w:rsid w:val="00127018"/>
    <w:rsid w:val="001273CD"/>
    <w:rsid w:val="00127581"/>
    <w:rsid w:val="00127778"/>
    <w:rsid w:val="001277C8"/>
    <w:rsid w:val="00127866"/>
    <w:rsid w:val="0012792D"/>
    <w:rsid w:val="00127A7F"/>
    <w:rsid w:val="00127C26"/>
    <w:rsid w:val="00127FB2"/>
    <w:rsid w:val="00127FB6"/>
    <w:rsid w:val="0013014D"/>
    <w:rsid w:val="001302BF"/>
    <w:rsid w:val="001302E4"/>
    <w:rsid w:val="0013036B"/>
    <w:rsid w:val="001303A2"/>
    <w:rsid w:val="001304C9"/>
    <w:rsid w:val="0013081E"/>
    <w:rsid w:val="0013086C"/>
    <w:rsid w:val="001308E3"/>
    <w:rsid w:val="001308EB"/>
    <w:rsid w:val="00130A0D"/>
    <w:rsid w:val="00130AF7"/>
    <w:rsid w:val="00130B18"/>
    <w:rsid w:val="00130C55"/>
    <w:rsid w:val="00130D2B"/>
    <w:rsid w:val="00130DDA"/>
    <w:rsid w:val="00130E10"/>
    <w:rsid w:val="00130E48"/>
    <w:rsid w:val="00130E98"/>
    <w:rsid w:val="00130EFC"/>
    <w:rsid w:val="00130F5F"/>
    <w:rsid w:val="001311A0"/>
    <w:rsid w:val="001311D7"/>
    <w:rsid w:val="00131269"/>
    <w:rsid w:val="0013145A"/>
    <w:rsid w:val="0013162A"/>
    <w:rsid w:val="00131672"/>
    <w:rsid w:val="00131696"/>
    <w:rsid w:val="00131A87"/>
    <w:rsid w:val="00131AB6"/>
    <w:rsid w:val="00131B09"/>
    <w:rsid w:val="00131E94"/>
    <w:rsid w:val="00131EDB"/>
    <w:rsid w:val="00131FE2"/>
    <w:rsid w:val="00132151"/>
    <w:rsid w:val="0013228A"/>
    <w:rsid w:val="00132357"/>
    <w:rsid w:val="00132571"/>
    <w:rsid w:val="001325C7"/>
    <w:rsid w:val="001325FC"/>
    <w:rsid w:val="0013261D"/>
    <w:rsid w:val="0013275C"/>
    <w:rsid w:val="0013277A"/>
    <w:rsid w:val="0013279A"/>
    <w:rsid w:val="0013280B"/>
    <w:rsid w:val="00132AD4"/>
    <w:rsid w:val="00132C10"/>
    <w:rsid w:val="00132DBB"/>
    <w:rsid w:val="00132E17"/>
    <w:rsid w:val="00132EDB"/>
    <w:rsid w:val="00132F7D"/>
    <w:rsid w:val="00133012"/>
    <w:rsid w:val="00133085"/>
    <w:rsid w:val="00133397"/>
    <w:rsid w:val="0013342B"/>
    <w:rsid w:val="00133904"/>
    <w:rsid w:val="001339CD"/>
    <w:rsid w:val="001339FA"/>
    <w:rsid w:val="001339FF"/>
    <w:rsid w:val="00133B59"/>
    <w:rsid w:val="00133CC7"/>
    <w:rsid w:val="00133DC8"/>
    <w:rsid w:val="00133ECF"/>
    <w:rsid w:val="001340F5"/>
    <w:rsid w:val="00134192"/>
    <w:rsid w:val="00134245"/>
    <w:rsid w:val="00134431"/>
    <w:rsid w:val="0013443C"/>
    <w:rsid w:val="001344D9"/>
    <w:rsid w:val="0013459F"/>
    <w:rsid w:val="00134791"/>
    <w:rsid w:val="001347D8"/>
    <w:rsid w:val="001348E5"/>
    <w:rsid w:val="00134916"/>
    <w:rsid w:val="00134A8E"/>
    <w:rsid w:val="00134EF0"/>
    <w:rsid w:val="00134F94"/>
    <w:rsid w:val="001350F8"/>
    <w:rsid w:val="00135127"/>
    <w:rsid w:val="00135138"/>
    <w:rsid w:val="00135355"/>
    <w:rsid w:val="0013540B"/>
    <w:rsid w:val="0013546A"/>
    <w:rsid w:val="001354F8"/>
    <w:rsid w:val="00135501"/>
    <w:rsid w:val="00135514"/>
    <w:rsid w:val="001355C9"/>
    <w:rsid w:val="00135785"/>
    <w:rsid w:val="0013586A"/>
    <w:rsid w:val="00135988"/>
    <w:rsid w:val="001359C5"/>
    <w:rsid w:val="00135AFA"/>
    <w:rsid w:val="00135C36"/>
    <w:rsid w:val="00135D5E"/>
    <w:rsid w:val="00135E7F"/>
    <w:rsid w:val="00135F26"/>
    <w:rsid w:val="00135FB4"/>
    <w:rsid w:val="00135FD7"/>
    <w:rsid w:val="00135FEC"/>
    <w:rsid w:val="00136211"/>
    <w:rsid w:val="00136366"/>
    <w:rsid w:val="001364DC"/>
    <w:rsid w:val="0013655E"/>
    <w:rsid w:val="001365FB"/>
    <w:rsid w:val="001367CB"/>
    <w:rsid w:val="001369C2"/>
    <w:rsid w:val="00136B2B"/>
    <w:rsid w:val="00136D93"/>
    <w:rsid w:val="00136DDA"/>
    <w:rsid w:val="00136E50"/>
    <w:rsid w:val="00136EF1"/>
    <w:rsid w:val="00136F1B"/>
    <w:rsid w:val="00136F44"/>
    <w:rsid w:val="00136F51"/>
    <w:rsid w:val="0013700A"/>
    <w:rsid w:val="001370A4"/>
    <w:rsid w:val="0013727F"/>
    <w:rsid w:val="0013746B"/>
    <w:rsid w:val="00137498"/>
    <w:rsid w:val="001375C7"/>
    <w:rsid w:val="001375FC"/>
    <w:rsid w:val="001376CE"/>
    <w:rsid w:val="0013780C"/>
    <w:rsid w:val="001378AA"/>
    <w:rsid w:val="001379DA"/>
    <w:rsid w:val="00137BCE"/>
    <w:rsid w:val="00137D20"/>
    <w:rsid w:val="00137E65"/>
    <w:rsid w:val="00137FEB"/>
    <w:rsid w:val="001400A0"/>
    <w:rsid w:val="00140210"/>
    <w:rsid w:val="001405AD"/>
    <w:rsid w:val="001405DC"/>
    <w:rsid w:val="00140697"/>
    <w:rsid w:val="0014074F"/>
    <w:rsid w:val="001408DF"/>
    <w:rsid w:val="00140A60"/>
    <w:rsid w:val="00140BCF"/>
    <w:rsid w:val="00140BDA"/>
    <w:rsid w:val="001410BE"/>
    <w:rsid w:val="001412B2"/>
    <w:rsid w:val="0014164D"/>
    <w:rsid w:val="001417E2"/>
    <w:rsid w:val="00141952"/>
    <w:rsid w:val="00141A73"/>
    <w:rsid w:val="00141E33"/>
    <w:rsid w:val="00141FCC"/>
    <w:rsid w:val="0014248E"/>
    <w:rsid w:val="001424AE"/>
    <w:rsid w:val="001425F4"/>
    <w:rsid w:val="0014267D"/>
    <w:rsid w:val="001427A6"/>
    <w:rsid w:val="001429E7"/>
    <w:rsid w:val="00142B6E"/>
    <w:rsid w:val="00142E3A"/>
    <w:rsid w:val="00142EA1"/>
    <w:rsid w:val="0014300F"/>
    <w:rsid w:val="0014305C"/>
    <w:rsid w:val="001431DF"/>
    <w:rsid w:val="0014322A"/>
    <w:rsid w:val="00143309"/>
    <w:rsid w:val="00143504"/>
    <w:rsid w:val="0014364A"/>
    <w:rsid w:val="0014378D"/>
    <w:rsid w:val="001438C7"/>
    <w:rsid w:val="0014408E"/>
    <w:rsid w:val="001441E4"/>
    <w:rsid w:val="00144673"/>
    <w:rsid w:val="001447EF"/>
    <w:rsid w:val="001447F8"/>
    <w:rsid w:val="0014498B"/>
    <w:rsid w:val="00144A35"/>
    <w:rsid w:val="00144A6A"/>
    <w:rsid w:val="00144A71"/>
    <w:rsid w:val="00144E3E"/>
    <w:rsid w:val="00144EB0"/>
    <w:rsid w:val="001450B1"/>
    <w:rsid w:val="001451E2"/>
    <w:rsid w:val="00145344"/>
    <w:rsid w:val="00145351"/>
    <w:rsid w:val="001453D9"/>
    <w:rsid w:val="0014548C"/>
    <w:rsid w:val="0014563B"/>
    <w:rsid w:val="00145691"/>
    <w:rsid w:val="001458DF"/>
    <w:rsid w:val="00145ED8"/>
    <w:rsid w:val="00145F10"/>
    <w:rsid w:val="00145F62"/>
    <w:rsid w:val="00146057"/>
    <w:rsid w:val="001460FA"/>
    <w:rsid w:val="001461FA"/>
    <w:rsid w:val="00146545"/>
    <w:rsid w:val="00146639"/>
    <w:rsid w:val="001469AE"/>
    <w:rsid w:val="00146AF2"/>
    <w:rsid w:val="00146B0F"/>
    <w:rsid w:val="00146B18"/>
    <w:rsid w:val="00146B6D"/>
    <w:rsid w:val="00146BA0"/>
    <w:rsid w:val="00146BA6"/>
    <w:rsid w:val="00146C18"/>
    <w:rsid w:val="00146D26"/>
    <w:rsid w:val="00146D56"/>
    <w:rsid w:val="00146E8F"/>
    <w:rsid w:val="00147026"/>
    <w:rsid w:val="00147041"/>
    <w:rsid w:val="0014745E"/>
    <w:rsid w:val="001474CC"/>
    <w:rsid w:val="0014787D"/>
    <w:rsid w:val="00147889"/>
    <w:rsid w:val="00147935"/>
    <w:rsid w:val="00147C76"/>
    <w:rsid w:val="00147CFF"/>
    <w:rsid w:val="00147DC1"/>
    <w:rsid w:val="00147F74"/>
    <w:rsid w:val="001502F2"/>
    <w:rsid w:val="001503B6"/>
    <w:rsid w:val="00150441"/>
    <w:rsid w:val="00150710"/>
    <w:rsid w:val="0015084C"/>
    <w:rsid w:val="001509F1"/>
    <w:rsid w:val="001509F4"/>
    <w:rsid w:val="00150A28"/>
    <w:rsid w:val="00150AE1"/>
    <w:rsid w:val="00150B14"/>
    <w:rsid w:val="00150B1B"/>
    <w:rsid w:val="00150D6F"/>
    <w:rsid w:val="00150E14"/>
    <w:rsid w:val="00150E21"/>
    <w:rsid w:val="00151046"/>
    <w:rsid w:val="0015105C"/>
    <w:rsid w:val="001515A5"/>
    <w:rsid w:val="00151671"/>
    <w:rsid w:val="001516C1"/>
    <w:rsid w:val="00151766"/>
    <w:rsid w:val="0015185C"/>
    <w:rsid w:val="0015195C"/>
    <w:rsid w:val="00151AC2"/>
    <w:rsid w:val="00151B34"/>
    <w:rsid w:val="00151B9B"/>
    <w:rsid w:val="00151D45"/>
    <w:rsid w:val="00151D83"/>
    <w:rsid w:val="00151E0B"/>
    <w:rsid w:val="00151F81"/>
    <w:rsid w:val="0015203A"/>
    <w:rsid w:val="001521C8"/>
    <w:rsid w:val="0015229D"/>
    <w:rsid w:val="001524E8"/>
    <w:rsid w:val="001525F4"/>
    <w:rsid w:val="0015282F"/>
    <w:rsid w:val="0015286B"/>
    <w:rsid w:val="0015289E"/>
    <w:rsid w:val="001528DF"/>
    <w:rsid w:val="00152980"/>
    <w:rsid w:val="00152E38"/>
    <w:rsid w:val="00152E84"/>
    <w:rsid w:val="00152EA7"/>
    <w:rsid w:val="0015319D"/>
    <w:rsid w:val="001531FD"/>
    <w:rsid w:val="00153794"/>
    <w:rsid w:val="001537C8"/>
    <w:rsid w:val="0015383A"/>
    <w:rsid w:val="00153ADE"/>
    <w:rsid w:val="00153B14"/>
    <w:rsid w:val="00153BA7"/>
    <w:rsid w:val="00153D5B"/>
    <w:rsid w:val="00153D65"/>
    <w:rsid w:val="00153F83"/>
    <w:rsid w:val="00153FB3"/>
    <w:rsid w:val="00154013"/>
    <w:rsid w:val="0015420F"/>
    <w:rsid w:val="00154217"/>
    <w:rsid w:val="001542FA"/>
    <w:rsid w:val="00154315"/>
    <w:rsid w:val="00154353"/>
    <w:rsid w:val="00154388"/>
    <w:rsid w:val="00154448"/>
    <w:rsid w:val="001544B3"/>
    <w:rsid w:val="001544FC"/>
    <w:rsid w:val="001545EA"/>
    <w:rsid w:val="0015461A"/>
    <w:rsid w:val="0015463C"/>
    <w:rsid w:val="0015477E"/>
    <w:rsid w:val="00154952"/>
    <w:rsid w:val="00154BC9"/>
    <w:rsid w:val="00154BED"/>
    <w:rsid w:val="00154EC8"/>
    <w:rsid w:val="0015507E"/>
    <w:rsid w:val="001551C2"/>
    <w:rsid w:val="0015523E"/>
    <w:rsid w:val="00155253"/>
    <w:rsid w:val="001552C1"/>
    <w:rsid w:val="00155331"/>
    <w:rsid w:val="00155396"/>
    <w:rsid w:val="0015544D"/>
    <w:rsid w:val="0015549B"/>
    <w:rsid w:val="001555BB"/>
    <w:rsid w:val="001555E6"/>
    <w:rsid w:val="001558E0"/>
    <w:rsid w:val="001559B2"/>
    <w:rsid w:val="00155AB8"/>
    <w:rsid w:val="00155B34"/>
    <w:rsid w:val="00155B4D"/>
    <w:rsid w:val="00155B69"/>
    <w:rsid w:val="00155BAB"/>
    <w:rsid w:val="00155C4A"/>
    <w:rsid w:val="00155C50"/>
    <w:rsid w:val="00155E72"/>
    <w:rsid w:val="00155E74"/>
    <w:rsid w:val="00155EA9"/>
    <w:rsid w:val="001560C9"/>
    <w:rsid w:val="00156103"/>
    <w:rsid w:val="00156130"/>
    <w:rsid w:val="0015613B"/>
    <w:rsid w:val="00156159"/>
    <w:rsid w:val="0015616C"/>
    <w:rsid w:val="00156227"/>
    <w:rsid w:val="001562C2"/>
    <w:rsid w:val="0015652A"/>
    <w:rsid w:val="00156536"/>
    <w:rsid w:val="00156617"/>
    <w:rsid w:val="00156680"/>
    <w:rsid w:val="00156B78"/>
    <w:rsid w:val="00156C21"/>
    <w:rsid w:val="00156C86"/>
    <w:rsid w:val="00156CBE"/>
    <w:rsid w:val="00156F52"/>
    <w:rsid w:val="001570C7"/>
    <w:rsid w:val="001571C4"/>
    <w:rsid w:val="001572CB"/>
    <w:rsid w:val="00157500"/>
    <w:rsid w:val="00157516"/>
    <w:rsid w:val="00157624"/>
    <w:rsid w:val="00157655"/>
    <w:rsid w:val="00157752"/>
    <w:rsid w:val="001577D4"/>
    <w:rsid w:val="00157886"/>
    <w:rsid w:val="001578BC"/>
    <w:rsid w:val="00157974"/>
    <w:rsid w:val="00157AA7"/>
    <w:rsid w:val="00157C13"/>
    <w:rsid w:val="00157D2B"/>
    <w:rsid w:val="00157D59"/>
    <w:rsid w:val="00160078"/>
    <w:rsid w:val="0016012C"/>
    <w:rsid w:val="001604B1"/>
    <w:rsid w:val="00160552"/>
    <w:rsid w:val="00160569"/>
    <w:rsid w:val="001607C8"/>
    <w:rsid w:val="0016086D"/>
    <w:rsid w:val="001608CB"/>
    <w:rsid w:val="001609C2"/>
    <w:rsid w:val="00160A2F"/>
    <w:rsid w:val="00160ABA"/>
    <w:rsid w:val="00160AC2"/>
    <w:rsid w:val="00160B23"/>
    <w:rsid w:val="00160BBB"/>
    <w:rsid w:val="00160BF4"/>
    <w:rsid w:val="00160C0B"/>
    <w:rsid w:val="00160EB0"/>
    <w:rsid w:val="00161194"/>
    <w:rsid w:val="001611B2"/>
    <w:rsid w:val="001611C9"/>
    <w:rsid w:val="00161320"/>
    <w:rsid w:val="0016132B"/>
    <w:rsid w:val="00161409"/>
    <w:rsid w:val="0016150E"/>
    <w:rsid w:val="001615D7"/>
    <w:rsid w:val="00161717"/>
    <w:rsid w:val="001617C5"/>
    <w:rsid w:val="00161832"/>
    <w:rsid w:val="0016185A"/>
    <w:rsid w:val="0016190E"/>
    <w:rsid w:val="00161C9E"/>
    <w:rsid w:val="00161CDE"/>
    <w:rsid w:val="00161CFE"/>
    <w:rsid w:val="00161D13"/>
    <w:rsid w:val="00161E24"/>
    <w:rsid w:val="00161E83"/>
    <w:rsid w:val="00162167"/>
    <w:rsid w:val="001622F9"/>
    <w:rsid w:val="001624B2"/>
    <w:rsid w:val="001624CF"/>
    <w:rsid w:val="0016252F"/>
    <w:rsid w:val="00162625"/>
    <w:rsid w:val="00162808"/>
    <w:rsid w:val="00162833"/>
    <w:rsid w:val="001628DF"/>
    <w:rsid w:val="001629B8"/>
    <w:rsid w:val="001629F2"/>
    <w:rsid w:val="00162A87"/>
    <w:rsid w:val="00162B05"/>
    <w:rsid w:val="00162C0A"/>
    <w:rsid w:val="00162C3C"/>
    <w:rsid w:val="00162F75"/>
    <w:rsid w:val="00162FD9"/>
    <w:rsid w:val="0016307E"/>
    <w:rsid w:val="00163146"/>
    <w:rsid w:val="00163282"/>
    <w:rsid w:val="001633BE"/>
    <w:rsid w:val="0016358D"/>
    <w:rsid w:val="001635D0"/>
    <w:rsid w:val="001637B3"/>
    <w:rsid w:val="001638B0"/>
    <w:rsid w:val="00163D3C"/>
    <w:rsid w:val="00163D44"/>
    <w:rsid w:val="00163DEC"/>
    <w:rsid w:val="00163EC6"/>
    <w:rsid w:val="0016405A"/>
    <w:rsid w:val="001641AF"/>
    <w:rsid w:val="001641EB"/>
    <w:rsid w:val="0016437D"/>
    <w:rsid w:val="00164560"/>
    <w:rsid w:val="00164746"/>
    <w:rsid w:val="00164870"/>
    <w:rsid w:val="00164883"/>
    <w:rsid w:val="00164A6C"/>
    <w:rsid w:val="00164E29"/>
    <w:rsid w:val="00164EFF"/>
    <w:rsid w:val="001651CB"/>
    <w:rsid w:val="00165583"/>
    <w:rsid w:val="00165617"/>
    <w:rsid w:val="001658A5"/>
    <w:rsid w:val="00165953"/>
    <w:rsid w:val="00165A35"/>
    <w:rsid w:val="00165B0D"/>
    <w:rsid w:val="00165B44"/>
    <w:rsid w:val="00165CAB"/>
    <w:rsid w:val="00165D51"/>
    <w:rsid w:val="00165DB5"/>
    <w:rsid w:val="00165E0C"/>
    <w:rsid w:val="0016617A"/>
    <w:rsid w:val="00166327"/>
    <w:rsid w:val="0016644C"/>
    <w:rsid w:val="00166462"/>
    <w:rsid w:val="00166603"/>
    <w:rsid w:val="00166615"/>
    <w:rsid w:val="00166833"/>
    <w:rsid w:val="0016684D"/>
    <w:rsid w:val="00166A8B"/>
    <w:rsid w:val="00166AA7"/>
    <w:rsid w:val="00166DE0"/>
    <w:rsid w:val="00166F78"/>
    <w:rsid w:val="00167231"/>
    <w:rsid w:val="00167404"/>
    <w:rsid w:val="00167470"/>
    <w:rsid w:val="00167493"/>
    <w:rsid w:val="0016785B"/>
    <w:rsid w:val="00167A8D"/>
    <w:rsid w:val="00167B4D"/>
    <w:rsid w:val="00167CCB"/>
    <w:rsid w:val="00167DB0"/>
    <w:rsid w:val="00167EBB"/>
    <w:rsid w:val="00167EF1"/>
    <w:rsid w:val="00167F64"/>
    <w:rsid w:val="00167FEA"/>
    <w:rsid w:val="001701D0"/>
    <w:rsid w:val="00170250"/>
    <w:rsid w:val="00170320"/>
    <w:rsid w:val="001704E7"/>
    <w:rsid w:val="00170535"/>
    <w:rsid w:val="0017067B"/>
    <w:rsid w:val="0017095A"/>
    <w:rsid w:val="001709B7"/>
    <w:rsid w:val="00170C2B"/>
    <w:rsid w:val="00170CAA"/>
    <w:rsid w:val="00170D27"/>
    <w:rsid w:val="00170EC6"/>
    <w:rsid w:val="00170EEE"/>
    <w:rsid w:val="00170FFB"/>
    <w:rsid w:val="00171018"/>
    <w:rsid w:val="00171071"/>
    <w:rsid w:val="001710A5"/>
    <w:rsid w:val="001710C7"/>
    <w:rsid w:val="001710F8"/>
    <w:rsid w:val="00171266"/>
    <w:rsid w:val="0017148D"/>
    <w:rsid w:val="00171950"/>
    <w:rsid w:val="001719D0"/>
    <w:rsid w:val="00171A05"/>
    <w:rsid w:val="00171D4E"/>
    <w:rsid w:val="00171D84"/>
    <w:rsid w:val="00171E04"/>
    <w:rsid w:val="00171ECE"/>
    <w:rsid w:val="00171ED2"/>
    <w:rsid w:val="00171FA1"/>
    <w:rsid w:val="00172376"/>
    <w:rsid w:val="001724F2"/>
    <w:rsid w:val="0017256D"/>
    <w:rsid w:val="00172933"/>
    <w:rsid w:val="00172C64"/>
    <w:rsid w:val="00172D9D"/>
    <w:rsid w:val="00172E9F"/>
    <w:rsid w:val="00172FE1"/>
    <w:rsid w:val="001730E1"/>
    <w:rsid w:val="001731D5"/>
    <w:rsid w:val="00173221"/>
    <w:rsid w:val="00173229"/>
    <w:rsid w:val="00173258"/>
    <w:rsid w:val="00173398"/>
    <w:rsid w:val="001737A7"/>
    <w:rsid w:val="001737F2"/>
    <w:rsid w:val="00173973"/>
    <w:rsid w:val="00173D54"/>
    <w:rsid w:val="00173FC8"/>
    <w:rsid w:val="00174108"/>
    <w:rsid w:val="00174463"/>
    <w:rsid w:val="001744DC"/>
    <w:rsid w:val="00174531"/>
    <w:rsid w:val="00174628"/>
    <w:rsid w:val="001746E1"/>
    <w:rsid w:val="00174716"/>
    <w:rsid w:val="00174A46"/>
    <w:rsid w:val="00174C5E"/>
    <w:rsid w:val="00174CF5"/>
    <w:rsid w:val="00174D9F"/>
    <w:rsid w:val="00174EAA"/>
    <w:rsid w:val="00175066"/>
    <w:rsid w:val="0017522F"/>
    <w:rsid w:val="00175278"/>
    <w:rsid w:val="00175574"/>
    <w:rsid w:val="0017557E"/>
    <w:rsid w:val="001756D5"/>
    <w:rsid w:val="001756F1"/>
    <w:rsid w:val="00175791"/>
    <w:rsid w:val="00175989"/>
    <w:rsid w:val="00175A7D"/>
    <w:rsid w:val="00175AE0"/>
    <w:rsid w:val="00175B07"/>
    <w:rsid w:val="00175CC6"/>
    <w:rsid w:val="00175D6F"/>
    <w:rsid w:val="00175DD5"/>
    <w:rsid w:val="0017629C"/>
    <w:rsid w:val="00176481"/>
    <w:rsid w:val="001765B0"/>
    <w:rsid w:val="00176605"/>
    <w:rsid w:val="00176680"/>
    <w:rsid w:val="001766E9"/>
    <w:rsid w:val="0017673C"/>
    <w:rsid w:val="00176744"/>
    <w:rsid w:val="001767B8"/>
    <w:rsid w:val="0017681C"/>
    <w:rsid w:val="001768FF"/>
    <w:rsid w:val="00176952"/>
    <w:rsid w:val="001769B8"/>
    <w:rsid w:val="00176A77"/>
    <w:rsid w:val="00176AA4"/>
    <w:rsid w:val="00176BEB"/>
    <w:rsid w:val="00176CEE"/>
    <w:rsid w:val="00176DAC"/>
    <w:rsid w:val="00176F39"/>
    <w:rsid w:val="001770A9"/>
    <w:rsid w:val="001771EC"/>
    <w:rsid w:val="0017729A"/>
    <w:rsid w:val="001773E2"/>
    <w:rsid w:val="00177403"/>
    <w:rsid w:val="0017742B"/>
    <w:rsid w:val="00177462"/>
    <w:rsid w:val="001774D4"/>
    <w:rsid w:val="00177633"/>
    <w:rsid w:val="0017776F"/>
    <w:rsid w:val="001777FB"/>
    <w:rsid w:val="0017781A"/>
    <w:rsid w:val="00177866"/>
    <w:rsid w:val="0017788B"/>
    <w:rsid w:val="00177903"/>
    <w:rsid w:val="00177909"/>
    <w:rsid w:val="0017799F"/>
    <w:rsid w:val="001779CA"/>
    <w:rsid w:val="00177B8B"/>
    <w:rsid w:val="00177BAA"/>
    <w:rsid w:val="00177D6A"/>
    <w:rsid w:val="00177E49"/>
    <w:rsid w:val="00177E93"/>
    <w:rsid w:val="00177EBF"/>
    <w:rsid w:val="0018001E"/>
    <w:rsid w:val="00180072"/>
    <w:rsid w:val="00180090"/>
    <w:rsid w:val="00180146"/>
    <w:rsid w:val="0018022F"/>
    <w:rsid w:val="00180307"/>
    <w:rsid w:val="001803F5"/>
    <w:rsid w:val="0018043E"/>
    <w:rsid w:val="00180598"/>
    <w:rsid w:val="0018069E"/>
    <w:rsid w:val="0018078D"/>
    <w:rsid w:val="00180870"/>
    <w:rsid w:val="001808F0"/>
    <w:rsid w:val="001808F9"/>
    <w:rsid w:val="001809E5"/>
    <w:rsid w:val="00180A31"/>
    <w:rsid w:val="00180AB4"/>
    <w:rsid w:val="00180C2D"/>
    <w:rsid w:val="00180CAC"/>
    <w:rsid w:val="00180E17"/>
    <w:rsid w:val="00180E27"/>
    <w:rsid w:val="00180F95"/>
    <w:rsid w:val="00180F9B"/>
    <w:rsid w:val="00180F9F"/>
    <w:rsid w:val="00181235"/>
    <w:rsid w:val="001812CE"/>
    <w:rsid w:val="00181390"/>
    <w:rsid w:val="0018144B"/>
    <w:rsid w:val="0018155A"/>
    <w:rsid w:val="00181696"/>
    <w:rsid w:val="00181889"/>
    <w:rsid w:val="0018192E"/>
    <w:rsid w:val="001819BB"/>
    <w:rsid w:val="00181A82"/>
    <w:rsid w:val="00181B15"/>
    <w:rsid w:val="00181B1A"/>
    <w:rsid w:val="00181D8B"/>
    <w:rsid w:val="00181F32"/>
    <w:rsid w:val="001820E8"/>
    <w:rsid w:val="00182114"/>
    <w:rsid w:val="00182184"/>
    <w:rsid w:val="001821A2"/>
    <w:rsid w:val="00182335"/>
    <w:rsid w:val="0018240D"/>
    <w:rsid w:val="001824CE"/>
    <w:rsid w:val="0018271C"/>
    <w:rsid w:val="00182804"/>
    <w:rsid w:val="00182872"/>
    <w:rsid w:val="00182986"/>
    <w:rsid w:val="00182990"/>
    <w:rsid w:val="00182B05"/>
    <w:rsid w:val="00182BA7"/>
    <w:rsid w:val="00182BD9"/>
    <w:rsid w:val="00182DBC"/>
    <w:rsid w:val="00182ECD"/>
    <w:rsid w:val="00182F92"/>
    <w:rsid w:val="00182FD9"/>
    <w:rsid w:val="00183301"/>
    <w:rsid w:val="001836B6"/>
    <w:rsid w:val="0018380B"/>
    <w:rsid w:val="00183816"/>
    <w:rsid w:val="0018387D"/>
    <w:rsid w:val="001839D7"/>
    <w:rsid w:val="00183A62"/>
    <w:rsid w:val="00183A6D"/>
    <w:rsid w:val="00183A94"/>
    <w:rsid w:val="00183BC4"/>
    <w:rsid w:val="00183D1D"/>
    <w:rsid w:val="00183EEC"/>
    <w:rsid w:val="00184156"/>
    <w:rsid w:val="001841D3"/>
    <w:rsid w:val="00184404"/>
    <w:rsid w:val="00184438"/>
    <w:rsid w:val="001844B5"/>
    <w:rsid w:val="001844E8"/>
    <w:rsid w:val="0018470A"/>
    <w:rsid w:val="00184986"/>
    <w:rsid w:val="00184B17"/>
    <w:rsid w:val="00184B4F"/>
    <w:rsid w:val="00184D83"/>
    <w:rsid w:val="00184E20"/>
    <w:rsid w:val="00184E8B"/>
    <w:rsid w:val="00184F0B"/>
    <w:rsid w:val="00184F21"/>
    <w:rsid w:val="0018501C"/>
    <w:rsid w:val="0018503C"/>
    <w:rsid w:val="00185540"/>
    <w:rsid w:val="00185643"/>
    <w:rsid w:val="0018567B"/>
    <w:rsid w:val="0018571B"/>
    <w:rsid w:val="00185728"/>
    <w:rsid w:val="001859B6"/>
    <w:rsid w:val="00185A3A"/>
    <w:rsid w:val="00185AF9"/>
    <w:rsid w:val="00185BBF"/>
    <w:rsid w:val="00185C09"/>
    <w:rsid w:val="00185D3A"/>
    <w:rsid w:val="00185D8B"/>
    <w:rsid w:val="00185E7F"/>
    <w:rsid w:val="00185E84"/>
    <w:rsid w:val="00185F8D"/>
    <w:rsid w:val="00185FC6"/>
    <w:rsid w:val="001862D4"/>
    <w:rsid w:val="0018643C"/>
    <w:rsid w:val="0018654D"/>
    <w:rsid w:val="0018669E"/>
    <w:rsid w:val="00186829"/>
    <w:rsid w:val="00186870"/>
    <w:rsid w:val="001868D4"/>
    <w:rsid w:val="00186ACE"/>
    <w:rsid w:val="00186B26"/>
    <w:rsid w:val="00186EB3"/>
    <w:rsid w:val="00187091"/>
    <w:rsid w:val="0018712D"/>
    <w:rsid w:val="0018714A"/>
    <w:rsid w:val="001871F2"/>
    <w:rsid w:val="001872FF"/>
    <w:rsid w:val="00187350"/>
    <w:rsid w:val="001873C8"/>
    <w:rsid w:val="0018749A"/>
    <w:rsid w:val="00187507"/>
    <w:rsid w:val="00187668"/>
    <w:rsid w:val="001876F4"/>
    <w:rsid w:val="0018774F"/>
    <w:rsid w:val="00187889"/>
    <w:rsid w:val="00187C0E"/>
    <w:rsid w:val="00187C48"/>
    <w:rsid w:val="00187CBD"/>
    <w:rsid w:val="00187D35"/>
    <w:rsid w:val="00187DA7"/>
    <w:rsid w:val="00187DC6"/>
    <w:rsid w:val="00187E19"/>
    <w:rsid w:val="00187FA2"/>
    <w:rsid w:val="001900E3"/>
    <w:rsid w:val="0019010C"/>
    <w:rsid w:val="0019017F"/>
    <w:rsid w:val="001902CA"/>
    <w:rsid w:val="001902CB"/>
    <w:rsid w:val="0019036E"/>
    <w:rsid w:val="001903A6"/>
    <w:rsid w:val="001903C3"/>
    <w:rsid w:val="001904E6"/>
    <w:rsid w:val="00190507"/>
    <w:rsid w:val="0019052D"/>
    <w:rsid w:val="0019054D"/>
    <w:rsid w:val="00190584"/>
    <w:rsid w:val="001906A2"/>
    <w:rsid w:val="00190804"/>
    <w:rsid w:val="00190922"/>
    <w:rsid w:val="001909A9"/>
    <w:rsid w:val="00190A79"/>
    <w:rsid w:val="00190AF8"/>
    <w:rsid w:val="00190B7B"/>
    <w:rsid w:val="00190BC9"/>
    <w:rsid w:val="00190BDA"/>
    <w:rsid w:val="00190C29"/>
    <w:rsid w:val="00190D08"/>
    <w:rsid w:val="00190E42"/>
    <w:rsid w:val="0019105D"/>
    <w:rsid w:val="00191075"/>
    <w:rsid w:val="001910C1"/>
    <w:rsid w:val="00191167"/>
    <w:rsid w:val="0019143B"/>
    <w:rsid w:val="001914B8"/>
    <w:rsid w:val="0019165D"/>
    <w:rsid w:val="00191880"/>
    <w:rsid w:val="00191883"/>
    <w:rsid w:val="001918E7"/>
    <w:rsid w:val="001919B9"/>
    <w:rsid w:val="00191A74"/>
    <w:rsid w:val="00191A7A"/>
    <w:rsid w:val="00191B24"/>
    <w:rsid w:val="00191CA8"/>
    <w:rsid w:val="00191CAF"/>
    <w:rsid w:val="00191D3A"/>
    <w:rsid w:val="00191E00"/>
    <w:rsid w:val="00191E6F"/>
    <w:rsid w:val="00191ECD"/>
    <w:rsid w:val="001921E7"/>
    <w:rsid w:val="00192204"/>
    <w:rsid w:val="001924A3"/>
    <w:rsid w:val="00192563"/>
    <w:rsid w:val="00192768"/>
    <w:rsid w:val="0019283A"/>
    <w:rsid w:val="001928D9"/>
    <w:rsid w:val="0019294C"/>
    <w:rsid w:val="001929D8"/>
    <w:rsid w:val="00192BE0"/>
    <w:rsid w:val="00192C4E"/>
    <w:rsid w:val="00192DA6"/>
    <w:rsid w:val="00192F51"/>
    <w:rsid w:val="00193012"/>
    <w:rsid w:val="001930E8"/>
    <w:rsid w:val="0019315E"/>
    <w:rsid w:val="001932CC"/>
    <w:rsid w:val="001932F6"/>
    <w:rsid w:val="001933C9"/>
    <w:rsid w:val="001933DC"/>
    <w:rsid w:val="00193446"/>
    <w:rsid w:val="00193487"/>
    <w:rsid w:val="00193587"/>
    <w:rsid w:val="0019381B"/>
    <w:rsid w:val="00193B2B"/>
    <w:rsid w:val="00193B93"/>
    <w:rsid w:val="00193C8C"/>
    <w:rsid w:val="00193DF4"/>
    <w:rsid w:val="00193E9A"/>
    <w:rsid w:val="00193EDB"/>
    <w:rsid w:val="00193FE7"/>
    <w:rsid w:val="0019407D"/>
    <w:rsid w:val="00194114"/>
    <w:rsid w:val="001943BF"/>
    <w:rsid w:val="001943C7"/>
    <w:rsid w:val="001943C8"/>
    <w:rsid w:val="001947C1"/>
    <w:rsid w:val="001947C8"/>
    <w:rsid w:val="0019484D"/>
    <w:rsid w:val="00194902"/>
    <w:rsid w:val="00194BF3"/>
    <w:rsid w:val="00194C68"/>
    <w:rsid w:val="00194CDE"/>
    <w:rsid w:val="00194CFF"/>
    <w:rsid w:val="00194E21"/>
    <w:rsid w:val="00194EF5"/>
    <w:rsid w:val="00195184"/>
    <w:rsid w:val="00195343"/>
    <w:rsid w:val="001953B3"/>
    <w:rsid w:val="001953F8"/>
    <w:rsid w:val="001957C2"/>
    <w:rsid w:val="0019580D"/>
    <w:rsid w:val="00195812"/>
    <w:rsid w:val="00195855"/>
    <w:rsid w:val="00195872"/>
    <w:rsid w:val="001959D6"/>
    <w:rsid w:val="00195A22"/>
    <w:rsid w:val="00195C26"/>
    <w:rsid w:val="00195E8E"/>
    <w:rsid w:val="00195ED4"/>
    <w:rsid w:val="00195FB6"/>
    <w:rsid w:val="00195FF7"/>
    <w:rsid w:val="00196236"/>
    <w:rsid w:val="00196373"/>
    <w:rsid w:val="00196387"/>
    <w:rsid w:val="001963AB"/>
    <w:rsid w:val="00196422"/>
    <w:rsid w:val="001964CE"/>
    <w:rsid w:val="00196526"/>
    <w:rsid w:val="001965EB"/>
    <w:rsid w:val="001968B1"/>
    <w:rsid w:val="001968DF"/>
    <w:rsid w:val="00196922"/>
    <w:rsid w:val="00196C42"/>
    <w:rsid w:val="00196E47"/>
    <w:rsid w:val="00196EAA"/>
    <w:rsid w:val="00196F1A"/>
    <w:rsid w:val="001970F1"/>
    <w:rsid w:val="00197126"/>
    <w:rsid w:val="00197156"/>
    <w:rsid w:val="00197264"/>
    <w:rsid w:val="001973D5"/>
    <w:rsid w:val="00197476"/>
    <w:rsid w:val="001978FD"/>
    <w:rsid w:val="00197AA9"/>
    <w:rsid w:val="00197AC2"/>
    <w:rsid w:val="00197AFD"/>
    <w:rsid w:val="00197C63"/>
    <w:rsid w:val="00197CA2"/>
    <w:rsid w:val="00197DF4"/>
    <w:rsid w:val="00197E31"/>
    <w:rsid w:val="00197F0B"/>
    <w:rsid w:val="00197F63"/>
    <w:rsid w:val="001A01B0"/>
    <w:rsid w:val="001A01F2"/>
    <w:rsid w:val="001A0202"/>
    <w:rsid w:val="001A0255"/>
    <w:rsid w:val="001A038C"/>
    <w:rsid w:val="001A03E5"/>
    <w:rsid w:val="001A0699"/>
    <w:rsid w:val="001A0825"/>
    <w:rsid w:val="001A0D21"/>
    <w:rsid w:val="001A0D92"/>
    <w:rsid w:val="001A0F2A"/>
    <w:rsid w:val="001A106E"/>
    <w:rsid w:val="001A10AA"/>
    <w:rsid w:val="001A1162"/>
    <w:rsid w:val="001A132E"/>
    <w:rsid w:val="001A1466"/>
    <w:rsid w:val="001A15C2"/>
    <w:rsid w:val="001A15EF"/>
    <w:rsid w:val="001A1606"/>
    <w:rsid w:val="001A1707"/>
    <w:rsid w:val="001A1917"/>
    <w:rsid w:val="001A1946"/>
    <w:rsid w:val="001A19D8"/>
    <w:rsid w:val="001A19D9"/>
    <w:rsid w:val="001A1AA6"/>
    <w:rsid w:val="001A1AFB"/>
    <w:rsid w:val="001A1CB1"/>
    <w:rsid w:val="001A1CF6"/>
    <w:rsid w:val="001A2052"/>
    <w:rsid w:val="001A213A"/>
    <w:rsid w:val="001A217F"/>
    <w:rsid w:val="001A218A"/>
    <w:rsid w:val="001A21F3"/>
    <w:rsid w:val="001A234F"/>
    <w:rsid w:val="001A28C8"/>
    <w:rsid w:val="001A2B48"/>
    <w:rsid w:val="001A2C67"/>
    <w:rsid w:val="001A2F2A"/>
    <w:rsid w:val="001A308F"/>
    <w:rsid w:val="001A30A9"/>
    <w:rsid w:val="001A311B"/>
    <w:rsid w:val="001A3196"/>
    <w:rsid w:val="001A3228"/>
    <w:rsid w:val="001A32B7"/>
    <w:rsid w:val="001A3563"/>
    <w:rsid w:val="001A35A6"/>
    <w:rsid w:val="001A367E"/>
    <w:rsid w:val="001A3695"/>
    <w:rsid w:val="001A37C9"/>
    <w:rsid w:val="001A3B00"/>
    <w:rsid w:val="001A3BB2"/>
    <w:rsid w:val="001A3BE5"/>
    <w:rsid w:val="001A3D4A"/>
    <w:rsid w:val="001A3F79"/>
    <w:rsid w:val="001A40F3"/>
    <w:rsid w:val="001A4235"/>
    <w:rsid w:val="001A42CC"/>
    <w:rsid w:val="001A4491"/>
    <w:rsid w:val="001A45B4"/>
    <w:rsid w:val="001A46C6"/>
    <w:rsid w:val="001A46CC"/>
    <w:rsid w:val="001A46F7"/>
    <w:rsid w:val="001A4785"/>
    <w:rsid w:val="001A4A70"/>
    <w:rsid w:val="001A4AC0"/>
    <w:rsid w:val="001A4B96"/>
    <w:rsid w:val="001A4D7E"/>
    <w:rsid w:val="001A4DFF"/>
    <w:rsid w:val="001A4ECF"/>
    <w:rsid w:val="001A5287"/>
    <w:rsid w:val="001A529D"/>
    <w:rsid w:val="001A556D"/>
    <w:rsid w:val="001A561F"/>
    <w:rsid w:val="001A566E"/>
    <w:rsid w:val="001A567B"/>
    <w:rsid w:val="001A56AA"/>
    <w:rsid w:val="001A5DB4"/>
    <w:rsid w:val="001A5F4D"/>
    <w:rsid w:val="001A60E5"/>
    <w:rsid w:val="001A6100"/>
    <w:rsid w:val="001A62E8"/>
    <w:rsid w:val="001A6335"/>
    <w:rsid w:val="001A640A"/>
    <w:rsid w:val="001A64A2"/>
    <w:rsid w:val="001A6591"/>
    <w:rsid w:val="001A6611"/>
    <w:rsid w:val="001A668A"/>
    <w:rsid w:val="001A695B"/>
    <w:rsid w:val="001A69CE"/>
    <w:rsid w:val="001A6B56"/>
    <w:rsid w:val="001A6D2E"/>
    <w:rsid w:val="001A6DDF"/>
    <w:rsid w:val="001A6EC1"/>
    <w:rsid w:val="001A6ECB"/>
    <w:rsid w:val="001A6F21"/>
    <w:rsid w:val="001A705A"/>
    <w:rsid w:val="001A706E"/>
    <w:rsid w:val="001A7155"/>
    <w:rsid w:val="001A715C"/>
    <w:rsid w:val="001A724D"/>
    <w:rsid w:val="001A7328"/>
    <w:rsid w:val="001A7405"/>
    <w:rsid w:val="001A7478"/>
    <w:rsid w:val="001A7558"/>
    <w:rsid w:val="001A7639"/>
    <w:rsid w:val="001A77B6"/>
    <w:rsid w:val="001A7892"/>
    <w:rsid w:val="001A7B31"/>
    <w:rsid w:val="001A7BE3"/>
    <w:rsid w:val="001A7C02"/>
    <w:rsid w:val="001B0157"/>
    <w:rsid w:val="001B0161"/>
    <w:rsid w:val="001B03F3"/>
    <w:rsid w:val="001B0413"/>
    <w:rsid w:val="001B0569"/>
    <w:rsid w:val="001B0571"/>
    <w:rsid w:val="001B0591"/>
    <w:rsid w:val="001B060C"/>
    <w:rsid w:val="001B06CA"/>
    <w:rsid w:val="001B08E2"/>
    <w:rsid w:val="001B09A2"/>
    <w:rsid w:val="001B09DB"/>
    <w:rsid w:val="001B0A39"/>
    <w:rsid w:val="001B0AA1"/>
    <w:rsid w:val="001B0BA6"/>
    <w:rsid w:val="001B0BEA"/>
    <w:rsid w:val="001B0BFA"/>
    <w:rsid w:val="001B0CA6"/>
    <w:rsid w:val="001B0D28"/>
    <w:rsid w:val="001B0E22"/>
    <w:rsid w:val="001B0E3D"/>
    <w:rsid w:val="001B0F76"/>
    <w:rsid w:val="001B1038"/>
    <w:rsid w:val="001B1047"/>
    <w:rsid w:val="001B1064"/>
    <w:rsid w:val="001B1122"/>
    <w:rsid w:val="001B1132"/>
    <w:rsid w:val="001B12F0"/>
    <w:rsid w:val="001B1708"/>
    <w:rsid w:val="001B1A30"/>
    <w:rsid w:val="001B1ACD"/>
    <w:rsid w:val="001B1AFA"/>
    <w:rsid w:val="001B1D91"/>
    <w:rsid w:val="001B1DB6"/>
    <w:rsid w:val="001B1DE5"/>
    <w:rsid w:val="001B1F77"/>
    <w:rsid w:val="001B2047"/>
    <w:rsid w:val="001B207C"/>
    <w:rsid w:val="001B2244"/>
    <w:rsid w:val="001B2293"/>
    <w:rsid w:val="001B23BB"/>
    <w:rsid w:val="001B2475"/>
    <w:rsid w:val="001B253A"/>
    <w:rsid w:val="001B26BC"/>
    <w:rsid w:val="001B27B6"/>
    <w:rsid w:val="001B2A88"/>
    <w:rsid w:val="001B2AEE"/>
    <w:rsid w:val="001B2B54"/>
    <w:rsid w:val="001B2CC0"/>
    <w:rsid w:val="001B2F27"/>
    <w:rsid w:val="001B2F4C"/>
    <w:rsid w:val="001B303B"/>
    <w:rsid w:val="001B30FE"/>
    <w:rsid w:val="001B3162"/>
    <w:rsid w:val="001B31AC"/>
    <w:rsid w:val="001B3351"/>
    <w:rsid w:val="001B3402"/>
    <w:rsid w:val="001B3674"/>
    <w:rsid w:val="001B3850"/>
    <w:rsid w:val="001B398C"/>
    <w:rsid w:val="001B39AF"/>
    <w:rsid w:val="001B3C5B"/>
    <w:rsid w:val="001B3CCE"/>
    <w:rsid w:val="001B3CD7"/>
    <w:rsid w:val="001B3CFD"/>
    <w:rsid w:val="001B3D39"/>
    <w:rsid w:val="001B3E9E"/>
    <w:rsid w:val="001B3F11"/>
    <w:rsid w:val="001B3F25"/>
    <w:rsid w:val="001B42C6"/>
    <w:rsid w:val="001B446D"/>
    <w:rsid w:val="001B4716"/>
    <w:rsid w:val="001B47FF"/>
    <w:rsid w:val="001B48BF"/>
    <w:rsid w:val="001B48FB"/>
    <w:rsid w:val="001B4A9D"/>
    <w:rsid w:val="001B4B3F"/>
    <w:rsid w:val="001B4B85"/>
    <w:rsid w:val="001B4CFC"/>
    <w:rsid w:val="001B4CFF"/>
    <w:rsid w:val="001B4D75"/>
    <w:rsid w:val="001B5048"/>
    <w:rsid w:val="001B53E2"/>
    <w:rsid w:val="001B549F"/>
    <w:rsid w:val="001B54BF"/>
    <w:rsid w:val="001B5501"/>
    <w:rsid w:val="001B551B"/>
    <w:rsid w:val="001B5585"/>
    <w:rsid w:val="001B57A3"/>
    <w:rsid w:val="001B59A3"/>
    <w:rsid w:val="001B5B3E"/>
    <w:rsid w:val="001B5BC8"/>
    <w:rsid w:val="001B5D49"/>
    <w:rsid w:val="001B6818"/>
    <w:rsid w:val="001B682C"/>
    <w:rsid w:val="001B6846"/>
    <w:rsid w:val="001B6902"/>
    <w:rsid w:val="001B6A52"/>
    <w:rsid w:val="001B6A63"/>
    <w:rsid w:val="001B6B4D"/>
    <w:rsid w:val="001B6C61"/>
    <w:rsid w:val="001B6CAA"/>
    <w:rsid w:val="001B6DDF"/>
    <w:rsid w:val="001B6E32"/>
    <w:rsid w:val="001B71C4"/>
    <w:rsid w:val="001B731E"/>
    <w:rsid w:val="001B7697"/>
    <w:rsid w:val="001B76CC"/>
    <w:rsid w:val="001B7760"/>
    <w:rsid w:val="001B7799"/>
    <w:rsid w:val="001B77E5"/>
    <w:rsid w:val="001B78C1"/>
    <w:rsid w:val="001B7A4E"/>
    <w:rsid w:val="001B7B40"/>
    <w:rsid w:val="001B7B96"/>
    <w:rsid w:val="001B7C6F"/>
    <w:rsid w:val="001B7D05"/>
    <w:rsid w:val="001B7E21"/>
    <w:rsid w:val="001B7F22"/>
    <w:rsid w:val="001C0068"/>
    <w:rsid w:val="001C009A"/>
    <w:rsid w:val="001C014D"/>
    <w:rsid w:val="001C02C0"/>
    <w:rsid w:val="001C0312"/>
    <w:rsid w:val="001C03C5"/>
    <w:rsid w:val="001C0413"/>
    <w:rsid w:val="001C05E5"/>
    <w:rsid w:val="001C065E"/>
    <w:rsid w:val="001C091E"/>
    <w:rsid w:val="001C097B"/>
    <w:rsid w:val="001C0B45"/>
    <w:rsid w:val="001C0B54"/>
    <w:rsid w:val="001C0C36"/>
    <w:rsid w:val="001C0D9F"/>
    <w:rsid w:val="001C115E"/>
    <w:rsid w:val="001C11C9"/>
    <w:rsid w:val="001C1308"/>
    <w:rsid w:val="001C1408"/>
    <w:rsid w:val="001C15F0"/>
    <w:rsid w:val="001C16C9"/>
    <w:rsid w:val="001C18FC"/>
    <w:rsid w:val="001C1BEB"/>
    <w:rsid w:val="001C1C52"/>
    <w:rsid w:val="001C1C66"/>
    <w:rsid w:val="001C1F90"/>
    <w:rsid w:val="001C1FF3"/>
    <w:rsid w:val="001C20D5"/>
    <w:rsid w:val="001C2287"/>
    <w:rsid w:val="001C23F9"/>
    <w:rsid w:val="001C244D"/>
    <w:rsid w:val="001C249C"/>
    <w:rsid w:val="001C2B4D"/>
    <w:rsid w:val="001C2CDC"/>
    <w:rsid w:val="001C2DA9"/>
    <w:rsid w:val="001C2EC0"/>
    <w:rsid w:val="001C2FFC"/>
    <w:rsid w:val="001C3079"/>
    <w:rsid w:val="001C321A"/>
    <w:rsid w:val="001C3295"/>
    <w:rsid w:val="001C3328"/>
    <w:rsid w:val="001C35B2"/>
    <w:rsid w:val="001C35D6"/>
    <w:rsid w:val="001C3642"/>
    <w:rsid w:val="001C375C"/>
    <w:rsid w:val="001C3768"/>
    <w:rsid w:val="001C37DF"/>
    <w:rsid w:val="001C3B00"/>
    <w:rsid w:val="001C3B01"/>
    <w:rsid w:val="001C3B78"/>
    <w:rsid w:val="001C3B97"/>
    <w:rsid w:val="001C3D72"/>
    <w:rsid w:val="001C3F2C"/>
    <w:rsid w:val="001C410C"/>
    <w:rsid w:val="001C4119"/>
    <w:rsid w:val="001C437E"/>
    <w:rsid w:val="001C43BD"/>
    <w:rsid w:val="001C4405"/>
    <w:rsid w:val="001C443C"/>
    <w:rsid w:val="001C44A2"/>
    <w:rsid w:val="001C46EE"/>
    <w:rsid w:val="001C480C"/>
    <w:rsid w:val="001C483F"/>
    <w:rsid w:val="001C4846"/>
    <w:rsid w:val="001C49CD"/>
    <w:rsid w:val="001C4A2A"/>
    <w:rsid w:val="001C4A4E"/>
    <w:rsid w:val="001C4B41"/>
    <w:rsid w:val="001C4BE5"/>
    <w:rsid w:val="001C4C2D"/>
    <w:rsid w:val="001C5089"/>
    <w:rsid w:val="001C50D7"/>
    <w:rsid w:val="001C5118"/>
    <w:rsid w:val="001C5177"/>
    <w:rsid w:val="001C5331"/>
    <w:rsid w:val="001C533C"/>
    <w:rsid w:val="001C5371"/>
    <w:rsid w:val="001C54E2"/>
    <w:rsid w:val="001C55CD"/>
    <w:rsid w:val="001C56CD"/>
    <w:rsid w:val="001C577F"/>
    <w:rsid w:val="001C58C7"/>
    <w:rsid w:val="001C598A"/>
    <w:rsid w:val="001C59D2"/>
    <w:rsid w:val="001C5A70"/>
    <w:rsid w:val="001C5A94"/>
    <w:rsid w:val="001C5B59"/>
    <w:rsid w:val="001C5BA2"/>
    <w:rsid w:val="001C5C0F"/>
    <w:rsid w:val="001C5C9F"/>
    <w:rsid w:val="001C5E6A"/>
    <w:rsid w:val="001C5F1D"/>
    <w:rsid w:val="001C607A"/>
    <w:rsid w:val="001C6099"/>
    <w:rsid w:val="001C6125"/>
    <w:rsid w:val="001C6145"/>
    <w:rsid w:val="001C62B1"/>
    <w:rsid w:val="001C6353"/>
    <w:rsid w:val="001C644F"/>
    <w:rsid w:val="001C6481"/>
    <w:rsid w:val="001C654B"/>
    <w:rsid w:val="001C6685"/>
    <w:rsid w:val="001C6714"/>
    <w:rsid w:val="001C699C"/>
    <w:rsid w:val="001C69AE"/>
    <w:rsid w:val="001C6C0B"/>
    <w:rsid w:val="001C6C8B"/>
    <w:rsid w:val="001C6CB7"/>
    <w:rsid w:val="001C6D9D"/>
    <w:rsid w:val="001C735C"/>
    <w:rsid w:val="001C73B9"/>
    <w:rsid w:val="001C73C2"/>
    <w:rsid w:val="001C7526"/>
    <w:rsid w:val="001C759A"/>
    <w:rsid w:val="001C7655"/>
    <w:rsid w:val="001C7751"/>
    <w:rsid w:val="001C7827"/>
    <w:rsid w:val="001C7A08"/>
    <w:rsid w:val="001C7AB8"/>
    <w:rsid w:val="001C7EBC"/>
    <w:rsid w:val="001D0044"/>
    <w:rsid w:val="001D0380"/>
    <w:rsid w:val="001D03E0"/>
    <w:rsid w:val="001D0444"/>
    <w:rsid w:val="001D044F"/>
    <w:rsid w:val="001D04DF"/>
    <w:rsid w:val="001D04FD"/>
    <w:rsid w:val="001D05CE"/>
    <w:rsid w:val="001D08BD"/>
    <w:rsid w:val="001D0AF1"/>
    <w:rsid w:val="001D0BE8"/>
    <w:rsid w:val="001D0D99"/>
    <w:rsid w:val="001D0EB3"/>
    <w:rsid w:val="001D1600"/>
    <w:rsid w:val="001D1714"/>
    <w:rsid w:val="001D1741"/>
    <w:rsid w:val="001D1937"/>
    <w:rsid w:val="001D199C"/>
    <w:rsid w:val="001D1D6F"/>
    <w:rsid w:val="001D1DB3"/>
    <w:rsid w:val="001D1F29"/>
    <w:rsid w:val="001D2135"/>
    <w:rsid w:val="001D2169"/>
    <w:rsid w:val="001D21D9"/>
    <w:rsid w:val="001D237D"/>
    <w:rsid w:val="001D2425"/>
    <w:rsid w:val="001D255C"/>
    <w:rsid w:val="001D26DA"/>
    <w:rsid w:val="001D2734"/>
    <w:rsid w:val="001D2738"/>
    <w:rsid w:val="001D277A"/>
    <w:rsid w:val="001D27CE"/>
    <w:rsid w:val="001D2864"/>
    <w:rsid w:val="001D28BD"/>
    <w:rsid w:val="001D2917"/>
    <w:rsid w:val="001D2DA8"/>
    <w:rsid w:val="001D2F11"/>
    <w:rsid w:val="001D3038"/>
    <w:rsid w:val="001D3355"/>
    <w:rsid w:val="001D33E2"/>
    <w:rsid w:val="001D34DB"/>
    <w:rsid w:val="001D3530"/>
    <w:rsid w:val="001D39EB"/>
    <w:rsid w:val="001D3AC7"/>
    <w:rsid w:val="001D3B1B"/>
    <w:rsid w:val="001D3BE5"/>
    <w:rsid w:val="001D3D97"/>
    <w:rsid w:val="001D3E05"/>
    <w:rsid w:val="001D3EAE"/>
    <w:rsid w:val="001D3EC4"/>
    <w:rsid w:val="001D3ED6"/>
    <w:rsid w:val="001D40EA"/>
    <w:rsid w:val="001D43F1"/>
    <w:rsid w:val="001D441E"/>
    <w:rsid w:val="001D45F8"/>
    <w:rsid w:val="001D47B0"/>
    <w:rsid w:val="001D48CA"/>
    <w:rsid w:val="001D49DC"/>
    <w:rsid w:val="001D4A2C"/>
    <w:rsid w:val="001D4A7B"/>
    <w:rsid w:val="001D4B73"/>
    <w:rsid w:val="001D4B9B"/>
    <w:rsid w:val="001D4D91"/>
    <w:rsid w:val="001D4EA1"/>
    <w:rsid w:val="001D505B"/>
    <w:rsid w:val="001D526A"/>
    <w:rsid w:val="001D52C1"/>
    <w:rsid w:val="001D539F"/>
    <w:rsid w:val="001D5529"/>
    <w:rsid w:val="001D569F"/>
    <w:rsid w:val="001D56A3"/>
    <w:rsid w:val="001D56A8"/>
    <w:rsid w:val="001D574D"/>
    <w:rsid w:val="001D580B"/>
    <w:rsid w:val="001D5BF3"/>
    <w:rsid w:val="001D5C49"/>
    <w:rsid w:val="001D5C58"/>
    <w:rsid w:val="001D5EDE"/>
    <w:rsid w:val="001D5FC5"/>
    <w:rsid w:val="001D603D"/>
    <w:rsid w:val="001D6159"/>
    <w:rsid w:val="001D6217"/>
    <w:rsid w:val="001D62CE"/>
    <w:rsid w:val="001D62E4"/>
    <w:rsid w:val="001D6393"/>
    <w:rsid w:val="001D64D6"/>
    <w:rsid w:val="001D6508"/>
    <w:rsid w:val="001D65EE"/>
    <w:rsid w:val="001D6615"/>
    <w:rsid w:val="001D663C"/>
    <w:rsid w:val="001D66BC"/>
    <w:rsid w:val="001D6D1E"/>
    <w:rsid w:val="001D6DD2"/>
    <w:rsid w:val="001D6FCB"/>
    <w:rsid w:val="001D71C4"/>
    <w:rsid w:val="001D71DF"/>
    <w:rsid w:val="001D753D"/>
    <w:rsid w:val="001D789A"/>
    <w:rsid w:val="001D78B9"/>
    <w:rsid w:val="001D78DC"/>
    <w:rsid w:val="001D7901"/>
    <w:rsid w:val="001D7924"/>
    <w:rsid w:val="001D7CC3"/>
    <w:rsid w:val="001D7CF8"/>
    <w:rsid w:val="001D7F30"/>
    <w:rsid w:val="001E016D"/>
    <w:rsid w:val="001E0268"/>
    <w:rsid w:val="001E05D5"/>
    <w:rsid w:val="001E05DD"/>
    <w:rsid w:val="001E05EF"/>
    <w:rsid w:val="001E0668"/>
    <w:rsid w:val="001E06A2"/>
    <w:rsid w:val="001E073E"/>
    <w:rsid w:val="001E0AD8"/>
    <w:rsid w:val="001E0C85"/>
    <w:rsid w:val="001E0E26"/>
    <w:rsid w:val="001E0E34"/>
    <w:rsid w:val="001E0F76"/>
    <w:rsid w:val="001E0F93"/>
    <w:rsid w:val="001E0FBD"/>
    <w:rsid w:val="001E100A"/>
    <w:rsid w:val="001E11AE"/>
    <w:rsid w:val="001E1270"/>
    <w:rsid w:val="001E12E2"/>
    <w:rsid w:val="001E153F"/>
    <w:rsid w:val="001E1629"/>
    <w:rsid w:val="001E16B3"/>
    <w:rsid w:val="001E16C4"/>
    <w:rsid w:val="001E16DD"/>
    <w:rsid w:val="001E1726"/>
    <w:rsid w:val="001E1987"/>
    <w:rsid w:val="001E198E"/>
    <w:rsid w:val="001E1C67"/>
    <w:rsid w:val="001E1CE8"/>
    <w:rsid w:val="001E1D9B"/>
    <w:rsid w:val="001E2034"/>
    <w:rsid w:val="001E21D7"/>
    <w:rsid w:val="001E2210"/>
    <w:rsid w:val="001E22D3"/>
    <w:rsid w:val="001E2429"/>
    <w:rsid w:val="001E2430"/>
    <w:rsid w:val="001E2444"/>
    <w:rsid w:val="001E24C4"/>
    <w:rsid w:val="001E27E5"/>
    <w:rsid w:val="001E28DC"/>
    <w:rsid w:val="001E2A81"/>
    <w:rsid w:val="001E2A97"/>
    <w:rsid w:val="001E2AB0"/>
    <w:rsid w:val="001E2B2D"/>
    <w:rsid w:val="001E2BD2"/>
    <w:rsid w:val="001E2C86"/>
    <w:rsid w:val="001E2E63"/>
    <w:rsid w:val="001E307B"/>
    <w:rsid w:val="001E30BB"/>
    <w:rsid w:val="001E30C2"/>
    <w:rsid w:val="001E312F"/>
    <w:rsid w:val="001E31D3"/>
    <w:rsid w:val="001E34BB"/>
    <w:rsid w:val="001E35C0"/>
    <w:rsid w:val="001E375D"/>
    <w:rsid w:val="001E399F"/>
    <w:rsid w:val="001E3A1F"/>
    <w:rsid w:val="001E3A8F"/>
    <w:rsid w:val="001E3ADB"/>
    <w:rsid w:val="001E3DA5"/>
    <w:rsid w:val="001E3E35"/>
    <w:rsid w:val="001E40FD"/>
    <w:rsid w:val="001E4681"/>
    <w:rsid w:val="001E470E"/>
    <w:rsid w:val="001E4733"/>
    <w:rsid w:val="001E49D8"/>
    <w:rsid w:val="001E4A9F"/>
    <w:rsid w:val="001E4B67"/>
    <w:rsid w:val="001E4BC2"/>
    <w:rsid w:val="001E4C3F"/>
    <w:rsid w:val="001E4DC8"/>
    <w:rsid w:val="001E4DF5"/>
    <w:rsid w:val="001E4F70"/>
    <w:rsid w:val="001E5098"/>
    <w:rsid w:val="001E5232"/>
    <w:rsid w:val="001E5328"/>
    <w:rsid w:val="001E5356"/>
    <w:rsid w:val="001E53AB"/>
    <w:rsid w:val="001E54B5"/>
    <w:rsid w:val="001E5508"/>
    <w:rsid w:val="001E5621"/>
    <w:rsid w:val="001E563D"/>
    <w:rsid w:val="001E5826"/>
    <w:rsid w:val="001E5835"/>
    <w:rsid w:val="001E585A"/>
    <w:rsid w:val="001E58E0"/>
    <w:rsid w:val="001E5A78"/>
    <w:rsid w:val="001E5AE6"/>
    <w:rsid w:val="001E5BAE"/>
    <w:rsid w:val="001E5C02"/>
    <w:rsid w:val="001E5C91"/>
    <w:rsid w:val="001E5F6A"/>
    <w:rsid w:val="001E62BE"/>
    <w:rsid w:val="001E638A"/>
    <w:rsid w:val="001E6544"/>
    <w:rsid w:val="001E6918"/>
    <w:rsid w:val="001E6949"/>
    <w:rsid w:val="001E69E7"/>
    <w:rsid w:val="001E6A18"/>
    <w:rsid w:val="001E6ADC"/>
    <w:rsid w:val="001E6BC1"/>
    <w:rsid w:val="001E6BC6"/>
    <w:rsid w:val="001E6C00"/>
    <w:rsid w:val="001E6C25"/>
    <w:rsid w:val="001E6C55"/>
    <w:rsid w:val="001E6C9D"/>
    <w:rsid w:val="001E6E43"/>
    <w:rsid w:val="001E6F02"/>
    <w:rsid w:val="001E6F24"/>
    <w:rsid w:val="001E6F3E"/>
    <w:rsid w:val="001E6FC0"/>
    <w:rsid w:val="001E71FC"/>
    <w:rsid w:val="001E737D"/>
    <w:rsid w:val="001E7484"/>
    <w:rsid w:val="001E75E8"/>
    <w:rsid w:val="001E7644"/>
    <w:rsid w:val="001E77FB"/>
    <w:rsid w:val="001E786B"/>
    <w:rsid w:val="001E7988"/>
    <w:rsid w:val="001E7D3E"/>
    <w:rsid w:val="001E7FCA"/>
    <w:rsid w:val="001F0086"/>
    <w:rsid w:val="001F01B0"/>
    <w:rsid w:val="001F0539"/>
    <w:rsid w:val="001F06AB"/>
    <w:rsid w:val="001F0725"/>
    <w:rsid w:val="001F08EF"/>
    <w:rsid w:val="001F0A3F"/>
    <w:rsid w:val="001F0A4E"/>
    <w:rsid w:val="001F0BEA"/>
    <w:rsid w:val="001F0C89"/>
    <w:rsid w:val="001F0EAB"/>
    <w:rsid w:val="001F0FA3"/>
    <w:rsid w:val="001F10C8"/>
    <w:rsid w:val="001F132A"/>
    <w:rsid w:val="001F1488"/>
    <w:rsid w:val="001F1589"/>
    <w:rsid w:val="001F17A4"/>
    <w:rsid w:val="001F197F"/>
    <w:rsid w:val="001F1A59"/>
    <w:rsid w:val="001F1B83"/>
    <w:rsid w:val="001F1BBD"/>
    <w:rsid w:val="001F1D65"/>
    <w:rsid w:val="001F1D70"/>
    <w:rsid w:val="001F1E1F"/>
    <w:rsid w:val="001F1E9F"/>
    <w:rsid w:val="001F1F50"/>
    <w:rsid w:val="001F1FF4"/>
    <w:rsid w:val="001F21AE"/>
    <w:rsid w:val="001F21D8"/>
    <w:rsid w:val="001F245E"/>
    <w:rsid w:val="001F24D4"/>
    <w:rsid w:val="001F2806"/>
    <w:rsid w:val="001F2A87"/>
    <w:rsid w:val="001F2AF9"/>
    <w:rsid w:val="001F2BAE"/>
    <w:rsid w:val="001F2D3D"/>
    <w:rsid w:val="001F318F"/>
    <w:rsid w:val="001F33C3"/>
    <w:rsid w:val="001F33E0"/>
    <w:rsid w:val="001F366C"/>
    <w:rsid w:val="001F374D"/>
    <w:rsid w:val="001F392D"/>
    <w:rsid w:val="001F39BE"/>
    <w:rsid w:val="001F3BD7"/>
    <w:rsid w:val="001F3D91"/>
    <w:rsid w:val="001F3DE6"/>
    <w:rsid w:val="001F3E83"/>
    <w:rsid w:val="001F3F99"/>
    <w:rsid w:val="001F3FB9"/>
    <w:rsid w:val="001F4035"/>
    <w:rsid w:val="001F40B3"/>
    <w:rsid w:val="001F4100"/>
    <w:rsid w:val="001F411F"/>
    <w:rsid w:val="001F423E"/>
    <w:rsid w:val="001F45F8"/>
    <w:rsid w:val="001F4622"/>
    <w:rsid w:val="001F473B"/>
    <w:rsid w:val="001F4913"/>
    <w:rsid w:val="001F498B"/>
    <w:rsid w:val="001F49FD"/>
    <w:rsid w:val="001F4AEA"/>
    <w:rsid w:val="001F4C3E"/>
    <w:rsid w:val="001F4D0E"/>
    <w:rsid w:val="001F4DB1"/>
    <w:rsid w:val="001F4DB2"/>
    <w:rsid w:val="001F4E9D"/>
    <w:rsid w:val="001F4F8E"/>
    <w:rsid w:val="001F500B"/>
    <w:rsid w:val="001F5167"/>
    <w:rsid w:val="001F538B"/>
    <w:rsid w:val="001F58FC"/>
    <w:rsid w:val="001F596D"/>
    <w:rsid w:val="001F5AA1"/>
    <w:rsid w:val="001F5B17"/>
    <w:rsid w:val="001F5BAE"/>
    <w:rsid w:val="001F5C31"/>
    <w:rsid w:val="001F5D95"/>
    <w:rsid w:val="001F5DE0"/>
    <w:rsid w:val="001F5DF5"/>
    <w:rsid w:val="001F6059"/>
    <w:rsid w:val="001F6092"/>
    <w:rsid w:val="001F610F"/>
    <w:rsid w:val="001F6156"/>
    <w:rsid w:val="001F6175"/>
    <w:rsid w:val="001F61B3"/>
    <w:rsid w:val="001F62CB"/>
    <w:rsid w:val="001F63AE"/>
    <w:rsid w:val="001F6411"/>
    <w:rsid w:val="001F643B"/>
    <w:rsid w:val="001F682F"/>
    <w:rsid w:val="001F685D"/>
    <w:rsid w:val="001F6979"/>
    <w:rsid w:val="001F6CA8"/>
    <w:rsid w:val="001F6D3E"/>
    <w:rsid w:val="001F6EB4"/>
    <w:rsid w:val="001F6F69"/>
    <w:rsid w:val="001F6F84"/>
    <w:rsid w:val="001F7011"/>
    <w:rsid w:val="001F7128"/>
    <w:rsid w:val="001F715F"/>
    <w:rsid w:val="001F74A6"/>
    <w:rsid w:val="001F7600"/>
    <w:rsid w:val="001F7691"/>
    <w:rsid w:val="001F771C"/>
    <w:rsid w:val="001F778A"/>
    <w:rsid w:val="001F7928"/>
    <w:rsid w:val="001F7B03"/>
    <w:rsid w:val="001F7B3F"/>
    <w:rsid w:val="001F7B83"/>
    <w:rsid w:val="001F7C0D"/>
    <w:rsid w:val="001F7F4F"/>
    <w:rsid w:val="00200176"/>
    <w:rsid w:val="002001EB"/>
    <w:rsid w:val="00200282"/>
    <w:rsid w:val="00200306"/>
    <w:rsid w:val="00200394"/>
    <w:rsid w:val="002005C0"/>
    <w:rsid w:val="0020073F"/>
    <w:rsid w:val="002007E0"/>
    <w:rsid w:val="0020083D"/>
    <w:rsid w:val="002009EC"/>
    <w:rsid w:val="00200A44"/>
    <w:rsid w:val="00200BB7"/>
    <w:rsid w:val="00200FBB"/>
    <w:rsid w:val="0020113E"/>
    <w:rsid w:val="002014A2"/>
    <w:rsid w:val="002016C5"/>
    <w:rsid w:val="002017B1"/>
    <w:rsid w:val="00201A07"/>
    <w:rsid w:val="00201AD1"/>
    <w:rsid w:val="00201ADB"/>
    <w:rsid w:val="00201C99"/>
    <w:rsid w:val="00201CF4"/>
    <w:rsid w:val="00201D9B"/>
    <w:rsid w:val="00201F5A"/>
    <w:rsid w:val="00201FB3"/>
    <w:rsid w:val="002020CD"/>
    <w:rsid w:val="00202146"/>
    <w:rsid w:val="0020219C"/>
    <w:rsid w:val="002024EE"/>
    <w:rsid w:val="002026AF"/>
    <w:rsid w:val="002026BD"/>
    <w:rsid w:val="0020273A"/>
    <w:rsid w:val="002028B0"/>
    <w:rsid w:val="00202973"/>
    <w:rsid w:val="00202978"/>
    <w:rsid w:val="002029F3"/>
    <w:rsid w:val="00202A2B"/>
    <w:rsid w:val="00202A91"/>
    <w:rsid w:val="00202C17"/>
    <w:rsid w:val="00202C53"/>
    <w:rsid w:val="00202C6A"/>
    <w:rsid w:val="00202CE1"/>
    <w:rsid w:val="00202DDC"/>
    <w:rsid w:val="00202E5F"/>
    <w:rsid w:val="00202EAE"/>
    <w:rsid w:val="002030AC"/>
    <w:rsid w:val="00203375"/>
    <w:rsid w:val="002033CF"/>
    <w:rsid w:val="00203A26"/>
    <w:rsid w:val="00203C7E"/>
    <w:rsid w:val="00203E53"/>
    <w:rsid w:val="00203E5D"/>
    <w:rsid w:val="00203EF0"/>
    <w:rsid w:val="00203F30"/>
    <w:rsid w:val="00203F97"/>
    <w:rsid w:val="00204000"/>
    <w:rsid w:val="002040A6"/>
    <w:rsid w:val="002042CD"/>
    <w:rsid w:val="00204469"/>
    <w:rsid w:val="00204544"/>
    <w:rsid w:val="002045E4"/>
    <w:rsid w:val="0020465F"/>
    <w:rsid w:val="00204909"/>
    <w:rsid w:val="00204B2A"/>
    <w:rsid w:val="00204BAB"/>
    <w:rsid w:val="00204BC5"/>
    <w:rsid w:val="00204C09"/>
    <w:rsid w:val="00204CA5"/>
    <w:rsid w:val="00204DA1"/>
    <w:rsid w:val="00204E4D"/>
    <w:rsid w:val="0020504E"/>
    <w:rsid w:val="002050B1"/>
    <w:rsid w:val="00205116"/>
    <w:rsid w:val="00205216"/>
    <w:rsid w:val="0020529F"/>
    <w:rsid w:val="002053CB"/>
    <w:rsid w:val="002054A1"/>
    <w:rsid w:val="00205512"/>
    <w:rsid w:val="0020559A"/>
    <w:rsid w:val="002055DF"/>
    <w:rsid w:val="00205709"/>
    <w:rsid w:val="00205783"/>
    <w:rsid w:val="00205A0B"/>
    <w:rsid w:val="00205BC2"/>
    <w:rsid w:val="00205BFD"/>
    <w:rsid w:val="00205D5D"/>
    <w:rsid w:val="00205F6B"/>
    <w:rsid w:val="00205FFB"/>
    <w:rsid w:val="002060E4"/>
    <w:rsid w:val="00206153"/>
    <w:rsid w:val="00206222"/>
    <w:rsid w:val="00206345"/>
    <w:rsid w:val="0020648A"/>
    <w:rsid w:val="0020654B"/>
    <w:rsid w:val="00206569"/>
    <w:rsid w:val="00206577"/>
    <w:rsid w:val="00206843"/>
    <w:rsid w:val="00206C96"/>
    <w:rsid w:val="00206D6A"/>
    <w:rsid w:val="00206D71"/>
    <w:rsid w:val="00206E90"/>
    <w:rsid w:val="00206ED1"/>
    <w:rsid w:val="00206FAE"/>
    <w:rsid w:val="0020709F"/>
    <w:rsid w:val="0020728B"/>
    <w:rsid w:val="00207348"/>
    <w:rsid w:val="0020798C"/>
    <w:rsid w:val="00207B4F"/>
    <w:rsid w:val="00207CCD"/>
    <w:rsid w:val="00207EFE"/>
    <w:rsid w:val="002100A8"/>
    <w:rsid w:val="002102C9"/>
    <w:rsid w:val="002102E1"/>
    <w:rsid w:val="0021078B"/>
    <w:rsid w:val="00210803"/>
    <w:rsid w:val="002108E1"/>
    <w:rsid w:val="00210991"/>
    <w:rsid w:val="00210A02"/>
    <w:rsid w:val="00210AA7"/>
    <w:rsid w:val="00210B32"/>
    <w:rsid w:val="00210B38"/>
    <w:rsid w:val="00210B78"/>
    <w:rsid w:val="00210CD5"/>
    <w:rsid w:val="00210D4B"/>
    <w:rsid w:val="00210DF4"/>
    <w:rsid w:val="00210EE0"/>
    <w:rsid w:val="00211148"/>
    <w:rsid w:val="002111F3"/>
    <w:rsid w:val="0021140D"/>
    <w:rsid w:val="00211460"/>
    <w:rsid w:val="002114BB"/>
    <w:rsid w:val="00211540"/>
    <w:rsid w:val="0021178F"/>
    <w:rsid w:val="0021193F"/>
    <w:rsid w:val="002119D6"/>
    <w:rsid w:val="00211AB6"/>
    <w:rsid w:val="00211BBC"/>
    <w:rsid w:val="00211BE2"/>
    <w:rsid w:val="00211C3D"/>
    <w:rsid w:val="00211D05"/>
    <w:rsid w:val="00211D99"/>
    <w:rsid w:val="00211E10"/>
    <w:rsid w:val="00211E48"/>
    <w:rsid w:val="00211E4E"/>
    <w:rsid w:val="0021204B"/>
    <w:rsid w:val="00212201"/>
    <w:rsid w:val="00212432"/>
    <w:rsid w:val="00212500"/>
    <w:rsid w:val="00212783"/>
    <w:rsid w:val="0021278D"/>
    <w:rsid w:val="002128C8"/>
    <w:rsid w:val="002128EF"/>
    <w:rsid w:val="00212920"/>
    <w:rsid w:val="00212922"/>
    <w:rsid w:val="00212932"/>
    <w:rsid w:val="00212D21"/>
    <w:rsid w:val="00212E0D"/>
    <w:rsid w:val="00212F49"/>
    <w:rsid w:val="0021328A"/>
    <w:rsid w:val="00213326"/>
    <w:rsid w:val="0021337E"/>
    <w:rsid w:val="002134D5"/>
    <w:rsid w:val="0021354B"/>
    <w:rsid w:val="00213636"/>
    <w:rsid w:val="00213734"/>
    <w:rsid w:val="0021383E"/>
    <w:rsid w:val="002138CC"/>
    <w:rsid w:val="0021392D"/>
    <w:rsid w:val="0021395E"/>
    <w:rsid w:val="00213A2C"/>
    <w:rsid w:val="00213B0C"/>
    <w:rsid w:val="00213C3E"/>
    <w:rsid w:val="00213D92"/>
    <w:rsid w:val="00213E18"/>
    <w:rsid w:val="00213E21"/>
    <w:rsid w:val="00213E5E"/>
    <w:rsid w:val="00213EB8"/>
    <w:rsid w:val="00213F51"/>
    <w:rsid w:val="00214122"/>
    <w:rsid w:val="00214157"/>
    <w:rsid w:val="00214232"/>
    <w:rsid w:val="002142D1"/>
    <w:rsid w:val="002144FC"/>
    <w:rsid w:val="00214593"/>
    <w:rsid w:val="00214822"/>
    <w:rsid w:val="00214857"/>
    <w:rsid w:val="00214934"/>
    <w:rsid w:val="0021498B"/>
    <w:rsid w:val="002149EE"/>
    <w:rsid w:val="00214A68"/>
    <w:rsid w:val="00214D55"/>
    <w:rsid w:val="0021501D"/>
    <w:rsid w:val="0021502D"/>
    <w:rsid w:val="00215142"/>
    <w:rsid w:val="0021514C"/>
    <w:rsid w:val="00215166"/>
    <w:rsid w:val="00215198"/>
    <w:rsid w:val="002151C9"/>
    <w:rsid w:val="00215246"/>
    <w:rsid w:val="00215259"/>
    <w:rsid w:val="002152E4"/>
    <w:rsid w:val="00215320"/>
    <w:rsid w:val="0021542C"/>
    <w:rsid w:val="002154BA"/>
    <w:rsid w:val="00215510"/>
    <w:rsid w:val="00215516"/>
    <w:rsid w:val="00215717"/>
    <w:rsid w:val="0021582B"/>
    <w:rsid w:val="00215838"/>
    <w:rsid w:val="002158BA"/>
    <w:rsid w:val="00215906"/>
    <w:rsid w:val="002159A4"/>
    <w:rsid w:val="002159D5"/>
    <w:rsid w:val="00215A79"/>
    <w:rsid w:val="00215B6E"/>
    <w:rsid w:val="00215CF3"/>
    <w:rsid w:val="00215DCC"/>
    <w:rsid w:val="00215E37"/>
    <w:rsid w:val="00216058"/>
    <w:rsid w:val="00216103"/>
    <w:rsid w:val="00216271"/>
    <w:rsid w:val="0021631D"/>
    <w:rsid w:val="00216504"/>
    <w:rsid w:val="00216818"/>
    <w:rsid w:val="0021685F"/>
    <w:rsid w:val="002168AC"/>
    <w:rsid w:val="002169C6"/>
    <w:rsid w:val="00216D6C"/>
    <w:rsid w:val="00216E98"/>
    <w:rsid w:val="00216F89"/>
    <w:rsid w:val="00216FB6"/>
    <w:rsid w:val="0021705B"/>
    <w:rsid w:val="00217087"/>
    <w:rsid w:val="002171B9"/>
    <w:rsid w:val="00217316"/>
    <w:rsid w:val="00217486"/>
    <w:rsid w:val="002179B6"/>
    <w:rsid w:val="002179C2"/>
    <w:rsid w:val="00217B3B"/>
    <w:rsid w:val="00217B88"/>
    <w:rsid w:val="00217E42"/>
    <w:rsid w:val="00217F2B"/>
    <w:rsid w:val="00217FB5"/>
    <w:rsid w:val="002200EC"/>
    <w:rsid w:val="002200FB"/>
    <w:rsid w:val="0022033E"/>
    <w:rsid w:val="00220351"/>
    <w:rsid w:val="0022039E"/>
    <w:rsid w:val="002203BC"/>
    <w:rsid w:val="00220438"/>
    <w:rsid w:val="00220464"/>
    <w:rsid w:val="00220571"/>
    <w:rsid w:val="002207E3"/>
    <w:rsid w:val="0022083E"/>
    <w:rsid w:val="00220B4B"/>
    <w:rsid w:val="00220D50"/>
    <w:rsid w:val="00220DD3"/>
    <w:rsid w:val="00221019"/>
    <w:rsid w:val="0022108B"/>
    <w:rsid w:val="00221173"/>
    <w:rsid w:val="002214D2"/>
    <w:rsid w:val="00221618"/>
    <w:rsid w:val="0022175B"/>
    <w:rsid w:val="00221AF5"/>
    <w:rsid w:val="00221F96"/>
    <w:rsid w:val="002220D7"/>
    <w:rsid w:val="00222173"/>
    <w:rsid w:val="002222A6"/>
    <w:rsid w:val="0022245F"/>
    <w:rsid w:val="0022248F"/>
    <w:rsid w:val="00222499"/>
    <w:rsid w:val="002224DD"/>
    <w:rsid w:val="00222556"/>
    <w:rsid w:val="002225AE"/>
    <w:rsid w:val="00222654"/>
    <w:rsid w:val="00222684"/>
    <w:rsid w:val="00222793"/>
    <w:rsid w:val="00222983"/>
    <w:rsid w:val="00222D8E"/>
    <w:rsid w:val="00222E56"/>
    <w:rsid w:val="00222E88"/>
    <w:rsid w:val="00222E9B"/>
    <w:rsid w:val="00222F07"/>
    <w:rsid w:val="002230BD"/>
    <w:rsid w:val="002231EB"/>
    <w:rsid w:val="00223309"/>
    <w:rsid w:val="0022337E"/>
    <w:rsid w:val="002233F5"/>
    <w:rsid w:val="002233F7"/>
    <w:rsid w:val="002235EB"/>
    <w:rsid w:val="00223686"/>
    <w:rsid w:val="002236FA"/>
    <w:rsid w:val="00223767"/>
    <w:rsid w:val="00223B54"/>
    <w:rsid w:val="00223CFB"/>
    <w:rsid w:val="00223D22"/>
    <w:rsid w:val="00223DE5"/>
    <w:rsid w:val="00223EC8"/>
    <w:rsid w:val="00223F2F"/>
    <w:rsid w:val="00224021"/>
    <w:rsid w:val="0022406D"/>
    <w:rsid w:val="00224137"/>
    <w:rsid w:val="002241CE"/>
    <w:rsid w:val="00224283"/>
    <w:rsid w:val="00224344"/>
    <w:rsid w:val="002243FE"/>
    <w:rsid w:val="00224434"/>
    <w:rsid w:val="0022449C"/>
    <w:rsid w:val="002244D8"/>
    <w:rsid w:val="00224568"/>
    <w:rsid w:val="00224747"/>
    <w:rsid w:val="0022488F"/>
    <w:rsid w:val="002248B5"/>
    <w:rsid w:val="00224A42"/>
    <w:rsid w:val="00224B51"/>
    <w:rsid w:val="00224C31"/>
    <w:rsid w:val="00224D81"/>
    <w:rsid w:val="00224DAA"/>
    <w:rsid w:val="00224E4E"/>
    <w:rsid w:val="00225146"/>
    <w:rsid w:val="002252C6"/>
    <w:rsid w:val="002252CF"/>
    <w:rsid w:val="00225351"/>
    <w:rsid w:val="002253AE"/>
    <w:rsid w:val="002253F6"/>
    <w:rsid w:val="00225495"/>
    <w:rsid w:val="002254A1"/>
    <w:rsid w:val="00225769"/>
    <w:rsid w:val="0022578E"/>
    <w:rsid w:val="0022595D"/>
    <w:rsid w:val="00225A1E"/>
    <w:rsid w:val="00225A69"/>
    <w:rsid w:val="00225ADA"/>
    <w:rsid w:val="00225BCB"/>
    <w:rsid w:val="00225C08"/>
    <w:rsid w:val="00225CB2"/>
    <w:rsid w:val="00225E0A"/>
    <w:rsid w:val="00225F5C"/>
    <w:rsid w:val="0022607E"/>
    <w:rsid w:val="002260BD"/>
    <w:rsid w:val="00226108"/>
    <w:rsid w:val="0022613D"/>
    <w:rsid w:val="00226329"/>
    <w:rsid w:val="00226368"/>
    <w:rsid w:val="002263F5"/>
    <w:rsid w:val="00226565"/>
    <w:rsid w:val="00226611"/>
    <w:rsid w:val="0022668E"/>
    <w:rsid w:val="002266C9"/>
    <w:rsid w:val="00226847"/>
    <w:rsid w:val="00226902"/>
    <w:rsid w:val="00226A73"/>
    <w:rsid w:val="00226B29"/>
    <w:rsid w:val="00226B98"/>
    <w:rsid w:val="00226ECE"/>
    <w:rsid w:val="0022751F"/>
    <w:rsid w:val="00227735"/>
    <w:rsid w:val="0022779F"/>
    <w:rsid w:val="0022790E"/>
    <w:rsid w:val="002279EA"/>
    <w:rsid w:val="00227BA9"/>
    <w:rsid w:val="00227BDA"/>
    <w:rsid w:val="00227BF0"/>
    <w:rsid w:val="00227C3A"/>
    <w:rsid w:val="00227CE0"/>
    <w:rsid w:val="00227DF8"/>
    <w:rsid w:val="00227E85"/>
    <w:rsid w:val="00230034"/>
    <w:rsid w:val="002300F7"/>
    <w:rsid w:val="00230155"/>
    <w:rsid w:val="0023026A"/>
    <w:rsid w:val="0023026E"/>
    <w:rsid w:val="002302FD"/>
    <w:rsid w:val="002303A7"/>
    <w:rsid w:val="0023043C"/>
    <w:rsid w:val="002305E6"/>
    <w:rsid w:val="00230618"/>
    <w:rsid w:val="002307AD"/>
    <w:rsid w:val="002308B8"/>
    <w:rsid w:val="00230A83"/>
    <w:rsid w:val="00230B08"/>
    <w:rsid w:val="00230B4A"/>
    <w:rsid w:val="00230CE6"/>
    <w:rsid w:val="00230DEF"/>
    <w:rsid w:val="00231007"/>
    <w:rsid w:val="00231036"/>
    <w:rsid w:val="00231155"/>
    <w:rsid w:val="00231180"/>
    <w:rsid w:val="00231439"/>
    <w:rsid w:val="0023157E"/>
    <w:rsid w:val="0023167B"/>
    <w:rsid w:val="0023193A"/>
    <w:rsid w:val="00231A9B"/>
    <w:rsid w:val="00231D5A"/>
    <w:rsid w:val="00231EC8"/>
    <w:rsid w:val="00232061"/>
    <w:rsid w:val="002320FD"/>
    <w:rsid w:val="00232128"/>
    <w:rsid w:val="0023215C"/>
    <w:rsid w:val="002321E4"/>
    <w:rsid w:val="002322AC"/>
    <w:rsid w:val="00232304"/>
    <w:rsid w:val="00232334"/>
    <w:rsid w:val="00232377"/>
    <w:rsid w:val="0023237C"/>
    <w:rsid w:val="0023265A"/>
    <w:rsid w:val="00232856"/>
    <w:rsid w:val="00232BB1"/>
    <w:rsid w:val="00232C44"/>
    <w:rsid w:val="00232CD7"/>
    <w:rsid w:val="00232D66"/>
    <w:rsid w:val="00232E7E"/>
    <w:rsid w:val="00232EC2"/>
    <w:rsid w:val="00232F50"/>
    <w:rsid w:val="00233285"/>
    <w:rsid w:val="002332C6"/>
    <w:rsid w:val="002333CA"/>
    <w:rsid w:val="00233447"/>
    <w:rsid w:val="00233468"/>
    <w:rsid w:val="00233536"/>
    <w:rsid w:val="002335EA"/>
    <w:rsid w:val="002336D8"/>
    <w:rsid w:val="002336E8"/>
    <w:rsid w:val="00233843"/>
    <w:rsid w:val="002338A9"/>
    <w:rsid w:val="002339E7"/>
    <w:rsid w:val="00233B57"/>
    <w:rsid w:val="00233C5F"/>
    <w:rsid w:val="00233D31"/>
    <w:rsid w:val="00233E42"/>
    <w:rsid w:val="002340C2"/>
    <w:rsid w:val="002340F6"/>
    <w:rsid w:val="002341C4"/>
    <w:rsid w:val="002341D5"/>
    <w:rsid w:val="00234383"/>
    <w:rsid w:val="00234407"/>
    <w:rsid w:val="0023451B"/>
    <w:rsid w:val="00234578"/>
    <w:rsid w:val="00234599"/>
    <w:rsid w:val="0023491E"/>
    <w:rsid w:val="00234932"/>
    <w:rsid w:val="00234950"/>
    <w:rsid w:val="00234A66"/>
    <w:rsid w:val="00234AB3"/>
    <w:rsid w:val="00234DCC"/>
    <w:rsid w:val="00234DD7"/>
    <w:rsid w:val="00234E40"/>
    <w:rsid w:val="00234EF6"/>
    <w:rsid w:val="00235073"/>
    <w:rsid w:val="0023508F"/>
    <w:rsid w:val="002350F5"/>
    <w:rsid w:val="0023514B"/>
    <w:rsid w:val="002355EF"/>
    <w:rsid w:val="0023562A"/>
    <w:rsid w:val="00235695"/>
    <w:rsid w:val="00235D52"/>
    <w:rsid w:val="00235E19"/>
    <w:rsid w:val="00235ED7"/>
    <w:rsid w:val="00235F22"/>
    <w:rsid w:val="00235F27"/>
    <w:rsid w:val="00235FF4"/>
    <w:rsid w:val="002360AD"/>
    <w:rsid w:val="002361EC"/>
    <w:rsid w:val="00236384"/>
    <w:rsid w:val="002367D9"/>
    <w:rsid w:val="0023686D"/>
    <w:rsid w:val="00236895"/>
    <w:rsid w:val="0023691E"/>
    <w:rsid w:val="00236A0F"/>
    <w:rsid w:val="00236AB1"/>
    <w:rsid w:val="00236B61"/>
    <w:rsid w:val="00236B73"/>
    <w:rsid w:val="00236C06"/>
    <w:rsid w:val="00236CB0"/>
    <w:rsid w:val="00236D03"/>
    <w:rsid w:val="00236DE2"/>
    <w:rsid w:val="00236F1B"/>
    <w:rsid w:val="002370BF"/>
    <w:rsid w:val="00237281"/>
    <w:rsid w:val="00237411"/>
    <w:rsid w:val="00237475"/>
    <w:rsid w:val="00237789"/>
    <w:rsid w:val="00237877"/>
    <w:rsid w:val="00237B6C"/>
    <w:rsid w:val="00237B78"/>
    <w:rsid w:val="00237BDA"/>
    <w:rsid w:val="00237BE0"/>
    <w:rsid w:val="00237DB7"/>
    <w:rsid w:val="00237DD9"/>
    <w:rsid w:val="00237F51"/>
    <w:rsid w:val="00240047"/>
    <w:rsid w:val="002400E6"/>
    <w:rsid w:val="0024019D"/>
    <w:rsid w:val="00240217"/>
    <w:rsid w:val="00240240"/>
    <w:rsid w:val="00240583"/>
    <w:rsid w:val="002405CC"/>
    <w:rsid w:val="002406F3"/>
    <w:rsid w:val="00240721"/>
    <w:rsid w:val="0024072A"/>
    <w:rsid w:val="002407BE"/>
    <w:rsid w:val="00240856"/>
    <w:rsid w:val="002408CA"/>
    <w:rsid w:val="00240A08"/>
    <w:rsid w:val="00240AD0"/>
    <w:rsid w:val="00240B92"/>
    <w:rsid w:val="00240C33"/>
    <w:rsid w:val="00240D09"/>
    <w:rsid w:val="00240D79"/>
    <w:rsid w:val="00240EA6"/>
    <w:rsid w:val="00240EFA"/>
    <w:rsid w:val="002410B0"/>
    <w:rsid w:val="00241357"/>
    <w:rsid w:val="00241448"/>
    <w:rsid w:val="002414E1"/>
    <w:rsid w:val="002416B1"/>
    <w:rsid w:val="00241708"/>
    <w:rsid w:val="002419A9"/>
    <w:rsid w:val="00241A6E"/>
    <w:rsid w:val="00241B0A"/>
    <w:rsid w:val="00241B9F"/>
    <w:rsid w:val="00241D15"/>
    <w:rsid w:val="00241D76"/>
    <w:rsid w:val="002424CD"/>
    <w:rsid w:val="00242778"/>
    <w:rsid w:val="00242883"/>
    <w:rsid w:val="0024295B"/>
    <w:rsid w:val="00242A89"/>
    <w:rsid w:val="00242BFB"/>
    <w:rsid w:val="00242C9C"/>
    <w:rsid w:val="00242CC0"/>
    <w:rsid w:val="00242D8E"/>
    <w:rsid w:val="00242DE4"/>
    <w:rsid w:val="00242E13"/>
    <w:rsid w:val="00242E85"/>
    <w:rsid w:val="00242F05"/>
    <w:rsid w:val="002430E4"/>
    <w:rsid w:val="0024316B"/>
    <w:rsid w:val="00243254"/>
    <w:rsid w:val="002432F1"/>
    <w:rsid w:val="00243432"/>
    <w:rsid w:val="002434A2"/>
    <w:rsid w:val="002434A7"/>
    <w:rsid w:val="002434DC"/>
    <w:rsid w:val="002436EB"/>
    <w:rsid w:val="0024384B"/>
    <w:rsid w:val="00243B01"/>
    <w:rsid w:val="00243B84"/>
    <w:rsid w:val="00243CC4"/>
    <w:rsid w:val="00243CE0"/>
    <w:rsid w:val="00243CE4"/>
    <w:rsid w:val="00243D92"/>
    <w:rsid w:val="00244110"/>
    <w:rsid w:val="002441BE"/>
    <w:rsid w:val="00244425"/>
    <w:rsid w:val="0024448B"/>
    <w:rsid w:val="002444E7"/>
    <w:rsid w:val="002444FC"/>
    <w:rsid w:val="002445F8"/>
    <w:rsid w:val="0024467C"/>
    <w:rsid w:val="0024469C"/>
    <w:rsid w:val="00244796"/>
    <w:rsid w:val="002447DB"/>
    <w:rsid w:val="0024489C"/>
    <w:rsid w:val="00244B64"/>
    <w:rsid w:val="00244DF8"/>
    <w:rsid w:val="00244F67"/>
    <w:rsid w:val="0024503F"/>
    <w:rsid w:val="00245113"/>
    <w:rsid w:val="0024534A"/>
    <w:rsid w:val="002454B8"/>
    <w:rsid w:val="00245586"/>
    <w:rsid w:val="00245622"/>
    <w:rsid w:val="00245739"/>
    <w:rsid w:val="0024583A"/>
    <w:rsid w:val="00245A8C"/>
    <w:rsid w:val="00245C9A"/>
    <w:rsid w:val="00245CBE"/>
    <w:rsid w:val="002461FD"/>
    <w:rsid w:val="00246282"/>
    <w:rsid w:val="002462EE"/>
    <w:rsid w:val="002462FA"/>
    <w:rsid w:val="00246367"/>
    <w:rsid w:val="0024639A"/>
    <w:rsid w:val="00246433"/>
    <w:rsid w:val="002464A6"/>
    <w:rsid w:val="002464FC"/>
    <w:rsid w:val="002465BD"/>
    <w:rsid w:val="00246638"/>
    <w:rsid w:val="002468E2"/>
    <w:rsid w:val="002469B8"/>
    <w:rsid w:val="00246A30"/>
    <w:rsid w:val="00246D40"/>
    <w:rsid w:val="00246E7F"/>
    <w:rsid w:val="00246ECB"/>
    <w:rsid w:val="00246F73"/>
    <w:rsid w:val="00246FA0"/>
    <w:rsid w:val="00247101"/>
    <w:rsid w:val="00247108"/>
    <w:rsid w:val="00247188"/>
    <w:rsid w:val="002472D6"/>
    <w:rsid w:val="00247341"/>
    <w:rsid w:val="00247463"/>
    <w:rsid w:val="00247554"/>
    <w:rsid w:val="002475C8"/>
    <w:rsid w:val="0024795D"/>
    <w:rsid w:val="002479BA"/>
    <w:rsid w:val="002479D4"/>
    <w:rsid w:val="002479ED"/>
    <w:rsid w:val="00247B90"/>
    <w:rsid w:val="00247B9C"/>
    <w:rsid w:val="00247D5E"/>
    <w:rsid w:val="00250088"/>
    <w:rsid w:val="00250295"/>
    <w:rsid w:val="00250319"/>
    <w:rsid w:val="00250335"/>
    <w:rsid w:val="002505E4"/>
    <w:rsid w:val="00250841"/>
    <w:rsid w:val="0025084E"/>
    <w:rsid w:val="002509FC"/>
    <w:rsid w:val="00250AE4"/>
    <w:rsid w:val="00250B5D"/>
    <w:rsid w:val="00250E0C"/>
    <w:rsid w:val="00250E82"/>
    <w:rsid w:val="00250F0A"/>
    <w:rsid w:val="00250F48"/>
    <w:rsid w:val="00251013"/>
    <w:rsid w:val="002510D3"/>
    <w:rsid w:val="002513CD"/>
    <w:rsid w:val="00251538"/>
    <w:rsid w:val="00251740"/>
    <w:rsid w:val="002517B3"/>
    <w:rsid w:val="002519A2"/>
    <w:rsid w:val="002519C9"/>
    <w:rsid w:val="00251A0E"/>
    <w:rsid w:val="00251A7D"/>
    <w:rsid w:val="00251BA7"/>
    <w:rsid w:val="00251C75"/>
    <w:rsid w:val="00251CAA"/>
    <w:rsid w:val="00251D6F"/>
    <w:rsid w:val="00251DE2"/>
    <w:rsid w:val="00251EFB"/>
    <w:rsid w:val="002524C1"/>
    <w:rsid w:val="0025261A"/>
    <w:rsid w:val="00252809"/>
    <w:rsid w:val="00252AC3"/>
    <w:rsid w:val="00252BCA"/>
    <w:rsid w:val="00252BDF"/>
    <w:rsid w:val="00252F21"/>
    <w:rsid w:val="002530E0"/>
    <w:rsid w:val="0025329A"/>
    <w:rsid w:val="002532F1"/>
    <w:rsid w:val="0025377A"/>
    <w:rsid w:val="00253798"/>
    <w:rsid w:val="002539AE"/>
    <w:rsid w:val="00253A1E"/>
    <w:rsid w:val="00253ADF"/>
    <w:rsid w:val="00253B7A"/>
    <w:rsid w:val="00253B90"/>
    <w:rsid w:val="00253BD8"/>
    <w:rsid w:val="00253C3D"/>
    <w:rsid w:val="00253CF7"/>
    <w:rsid w:val="00253D29"/>
    <w:rsid w:val="00254003"/>
    <w:rsid w:val="0025406D"/>
    <w:rsid w:val="0025420D"/>
    <w:rsid w:val="0025425D"/>
    <w:rsid w:val="00254355"/>
    <w:rsid w:val="002545CF"/>
    <w:rsid w:val="00254633"/>
    <w:rsid w:val="00254751"/>
    <w:rsid w:val="002548C6"/>
    <w:rsid w:val="002548F3"/>
    <w:rsid w:val="002549FE"/>
    <w:rsid w:val="00254A08"/>
    <w:rsid w:val="00254A62"/>
    <w:rsid w:val="00254B25"/>
    <w:rsid w:val="00254C29"/>
    <w:rsid w:val="00254C4D"/>
    <w:rsid w:val="00254D1E"/>
    <w:rsid w:val="00254D33"/>
    <w:rsid w:val="00254D96"/>
    <w:rsid w:val="00254DCA"/>
    <w:rsid w:val="00255161"/>
    <w:rsid w:val="0025533D"/>
    <w:rsid w:val="002553D0"/>
    <w:rsid w:val="00255472"/>
    <w:rsid w:val="00255BC3"/>
    <w:rsid w:val="00255C5C"/>
    <w:rsid w:val="00255D18"/>
    <w:rsid w:val="00255E9D"/>
    <w:rsid w:val="00255EA5"/>
    <w:rsid w:val="00255EBC"/>
    <w:rsid w:val="00255F81"/>
    <w:rsid w:val="002560CD"/>
    <w:rsid w:val="002562E0"/>
    <w:rsid w:val="002563D1"/>
    <w:rsid w:val="002564CA"/>
    <w:rsid w:val="002564DE"/>
    <w:rsid w:val="002566F6"/>
    <w:rsid w:val="00256883"/>
    <w:rsid w:val="00256C55"/>
    <w:rsid w:val="00256CE4"/>
    <w:rsid w:val="00256ED9"/>
    <w:rsid w:val="00257060"/>
    <w:rsid w:val="00257417"/>
    <w:rsid w:val="00257483"/>
    <w:rsid w:val="00257888"/>
    <w:rsid w:val="00257940"/>
    <w:rsid w:val="00257CE5"/>
    <w:rsid w:val="00257DAD"/>
    <w:rsid w:val="00257EE3"/>
    <w:rsid w:val="00257F34"/>
    <w:rsid w:val="00260179"/>
    <w:rsid w:val="002601C2"/>
    <w:rsid w:val="002602EF"/>
    <w:rsid w:val="002607AF"/>
    <w:rsid w:val="0026080D"/>
    <w:rsid w:val="002609DD"/>
    <w:rsid w:val="00260A4C"/>
    <w:rsid w:val="00260A7F"/>
    <w:rsid w:val="00260BCB"/>
    <w:rsid w:val="00260C64"/>
    <w:rsid w:val="00260D99"/>
    <w:rsid w:val="00260E52"/>
    <w:rsid w:val="00260F57"/>
    <w:rsid w:val="00261005"/>
    <w:rsid w:val="00261124"/>
    <w:rsid w:val="00261272"/>
    <w:rsid w:val="0026134F"/>
    <w:rsid w:val="0026136E"/>
    <w:rsid w:val="00261639"/>
    <w:rsid w:val="00261654"/>
    <w:rsid w:val="0026166B"/>
    <w:rsid w:val="00261954"/>
    <w:rsid w:val="002619FC"/>
    <w:rsid w:val="00261AA4"/>
    <w:rsid w:val="00261C47"/>
    <w:rsid w:val="00261DC9"/>
    <w:rsid w:val="00261FA9"/>
    <w:rsid w:val="00262042"/>
    <w:rsid w:val="002620B5"/>
    <w:rsid w:val="00262177"/>
    <w:rsid w:val="002621B9"/>
    <w:rsid w:val="00262460"/>
    <w:rsid w:val="002624F2"/>
    <w:rsid w:val="002626DB"/>
    <w:rsid w:val="00262750"/>
    <w:rsid w:val="00262900"/>
    <w:rsid w:val="00262A1D"/>
    <w:rsid w:val="00262EF6"/>
    <w:rsid w:val="00262F06"/>
    <w:rsid w:val="00263030"/>
    <w:rsid w:val="002632DB"/>
    <w:rsid w:val="002633F9"/>
    <w:rsid w:val="0026349C"/>
    <w:rsid w:val="00263505"/>
    <w:rsid w:val="00263658"/>
    <w:rsid w:val="00263894"/>
    <w:rsid w:val="00263907"/>
    <w:rsid w:val="00263A28"/>
    <w:rsid w:val="00263A4F"/>
    <w:rsid w:val="00263AAD"/>
    <w:rsid w:val="00263B15"/>
    <w:rsid w:val="00263FDE"/>
    <w:rsid w:val="00264081"/>
    <w:rsid w:val="00264125"/>
    <w:rsid w:val="00264177"/>
    <w:rsid w:val="00264252"/>
    <w:rsid w:val="002643A9"/>
    <w:rsid w:val="002645AB"/>
    <w:rsid w:val="00264723"/>
    <w:rsid w:val="00264760"/>
    <w:rsid w:val="0026483D"/>
    <w:rsid w:val="002648E3"/>
    <w:rsid w:val="00264B27"/>
    <w:rsid w:val="00264BE9"/>
    <w:rsid w:val="00264C56"/>
    <w:rsid w:val="00264C78"/>
    <w:rsid w:val="00264DF5"/>
    <w:rsid w:val="00264EEE"/>
    <w:rsid w:val="00265071"/>
    <w:rsid w:val="002651F1"/>
    <w:rsid w:val="00265216"/>
    <w:rsid w:val="00265348"/>
    <w:rsid w:val="00265416"/>
    <w:rsid w:val="0026549E"/>
    <w:rsid w:val="0026566B"/>
    <w:rsid w:val="00265692"/>
    <w:rsid w:val="0026570C"/>
    <w:rsid w:val="002658FF"/>
    <w:rsid w:val="00265ABF"/>
    <w:rsid w:val="00265C48"/>
    <w:rsid w:val="00265C7A"/>
    <w:rsid w:val="00265DEC"/>
    <w:rsid w:val="00265E30"/>
    <w:rsid w:val="00265E33"/>
    <w:rsid w:val="00265E69"/>
    <w:rsid w:val="00265EE0"/>
    <w:rsid w:val="00265F42"/>
    <w:rsid w:val="00265FBC"/>
    <w:rsid w:val="002660C0"/>
    <w:rsid w:val="0026652C"/>
    <w:rsid w:val="00266649"/>
    <w:rsid w:val="002668B4"/>
    <w:rsid w:val="002669A4"/>
    <w:rsid w:val="002669FF"/>
    <w:rsid w:val="00266AC7"/>
    <w:rsid w:val="00266BB5"/>
    <w:rsid w:val="00266DBE"/>
    <w:rsid w:val="00266FA8"/>
    <w:rsid w:val="0026703B"/>
    <w:rsid w:val="002671D0"/>
    <w:rsid w:val="0026737F"/>
    <w:rsid w:val="0026743E"/>
    <w:rsid w:val="002675D7"/>
    <w:rsid w:val="0026773F"/>
    <w:rsid w:val="0026799D"/>
    <w:rsid w:val="00267A1A"/>
    <w:rsid w:val="00267B6C"/>
    <w:rsid w:val="00267CFD"/>
    <w:rsid w:val="00267D58"/>
    <w:rsid w:val="0027022D"/>
    <w:rsid w:val="00270301"/>
    <w:rsid w:val="00270358"/>
    <w:rsid w:val="002703EA"/>
    <w:rsid w:val="00270455"/>
    <w:rsid w:val="002704E8"/>
    <w:rsid w:val="0027069A"/>
    <w:rsid w:val="002707AA"/>
    <w:rsid w:val="002707D7"/>
    <w:rsid w:val="00270834"/>
    <w:rsid w:val="00270A3C"/>
    <w:rsid w:val="00270DEE"/>
    <w:rsid w:val="00270FB2"/>
    <w:rsid w:val="00270FC9"/>
    <w:rsid w:val="0027100E"/>
    <w:rsid w:val="00271063"/>
    <w:rsid w:val="00271071"/>
    <w:rsid w:val="0027118A"/>
    <w:rsid w:val="00271464"/>
    <w:rsid w:val="0027166D"/>
    <w:rsid w:val="0027173F"/>
    <w:rsid w:val="00271869"/>
    <w:rsid w:val="00271AE2"/>
    <w:rsid w:val="00271BCF"/>
    <w:rsid w:val="00271BE0"/>
    <w:rsid w:val="00271C17"/>
    <w:rsid w:val="00271C97"/>
    <w:rsid w:val="00271CF9"/>
    <w:rsid w:val="00271DDE"/>
    <w:rsid w:val="00271DEE"/>
    <w:rsid w:val="00271E55"/>
    <w:rsid w:val="00271E77"/>
    <w:rsid w:val="002721CE"/>
    <w:rsid w:val="0027221B"/>
    <w:rsid w:val="00272240"/>
    <w:rsid w:val="00272793"/>
    <w:rsid w:val="002728A4"/>
    <w:rsid w:val="002728B7"/>
    <w:rsid w:val="00272963"/>
    <w:rsid w:val="00272A2E"/>
    <w:rsid w:val="00272B64"/>
    <w:rsid w:val="00272EBE"/>
    <w:rsid w:val="00272EF5"/>
    <w:rsid w:val="00273307"/>
    <w:rsid w:val="00273397"/>
    <w:rsid w:val="0027383A"/>
    <w:rsid w:val="00273877"/>
    <w:rsid w:val="00273B88"/>
    <w:rsid w:val="00273C4F"/>
    <w:rsid w:val="00273C52"/>
    <w:rsid w:val="00273E0F"/>
    <w:rsid w:val="00273EC7"/>
    <w:rsid w:val="00273F15"/>
    <w:rsid w:val="002741C8"/>
    <w:rsid w:val="002742F5"/>
    <w:rsid w:val="0027452F"/>
    <w:rsid w:val="0027454C"/>
    <w:rsid w:val="002747F1"/>
    <w:rsid w:val="0027491C"/>
    <w:rsid w:val="00274A2C"/>
    <w:rsid w:val="00274B14"/>
    <w:rsid w:val="00274CBC"/>
    <w:rsid w:val="00274CC1"/>
    <w:rsid w:val="00274E38"/>
    <w:rsid w:val="00274F21"/>
    <w:rsid w:val="00274F2A"/>
    <w:rsid w:val="00274F51"/>
    <w:rsid w:val="002753AB"/>
    <w:rsid w:val="0027556D"/>
    <w:rsid w:val="00275673"/>
    <w:rsid w:val="002756D7"/>
    <w:rsid w:val="002757A8"/>
    <w:rsid w:val="002757EB"/>
    <w:rsid w:val="00275A08"/>
    <w:rsid w:val="00275A75"/>
    <w:rsid w:val="00275DC1"/>
    <w:rsid w:val="00275DD3"/>
    <w:rsid w:val="00275ED0"/>
    <w:rsid w:val="002760BE"/>
    <w:rsid w:val="0027625F"/>
    <w:rsid w:val="00276358"/>
    <w:rsid w:val="00276401"/>
    <w:rsid w:val="00276404"/>
    <w:rsid w:val="002765FC"/>
    <w:rsid w:val="00276685"/>
    <w:rsid w:val="002766B2"/>
    <w:rsid w:val="002767F3"/>
    <w:rsid w:val="00276895"/>
    <w:rsid w:val="00276CBE"/>
    <w:rsid w:val="00276D14"/>
    <w:rsid w:val="00276D3E"/>
    <w:rsid w:val="00276D77"/>
    <w:rsid w:val="00276D9A"/>
    <w:rsid w:val="00276FB6"/>
    <w:rsid w:val="00277043"/>
    <w:rsid w:val="002770CA"/>
    <w:rsid w:val="00277207"/>
    <w:rsid w:val="00277382"/>
    <w:rsid w:val="002773ED"/>
    <w:rsid w:val="002776FF"/>
    <w:rsid w:val="00277729"/>
    <w:rsid w:val="00277730"/>
    <w:rsid w:val="002777BA"/>
    <w:rsid w:val="002777D1"/>
    <w:rsid w:val="002779BB"/>
    <w:rsid w:val="00277A02"/>
    <w:rsid w:val="00277A40"/>
    <w:rsid w:val="00277CD0"/>
    <w:rsid w:val="00277CE4"/>
    <w:rsid w:val="00277D33"/>
    <w:rsid w:val="002800EC"/>
    <w:rsid w:val="0028018B"/>
    <w:rsid w:val="00280256"/>
    <w:rsid w:val="0028026E"/>
    <w:rsid w:val="002802BB"/>
    <w:rsid w:val="0028044C"/>
    <w:rsid w:val="002804BA"/>
    <w:rsid w:val="002806C5"/>
    <w:rsid w:val="0028072C"/>
    <w:rsid w:val="00280775"/>
    <w:rsid w:val="002807E5"/>
    <w:rsid w:val="00280810"/>
    <w:rsid w:val="002808BE"/>
    <w:rsid w:val="00280B99"/>
    <w:rsid w:val="00280F68"/>
    <w:rsid w:val="002813A5"/>
    <w:rsid w:val="002813CA"/>
    <w:rsid w:val="00281573"/>
    <w:rsid w:val="002817D2"/>
    <w:rsid w:val="002817EA"/>
    <w:rsid w:val="0028186F"/>
    <w:rsid w:val="002818B9"/>
    <w:rsid w:val="00281A8D"/>
    <w:rsid w:val="00281AE4"/>
    <w:rsid w:val="00281E57"/>
    <w:rsid w:val="00281EA3"/>
    <w:rsid w:val="00281F46"/>
    <w:rsid w:val="00282259"/>
    <w:rsid w:val="002822E9"/>
    <w:rsid w:val="00282386"/>
    <w:rsid w:val="002823A1"/>
    <w:rsid w:val="002823B2"/>
    <w:rsid w:val="0028243F"/>
    <w:rsid w:val="002824AA"/>
    <w:rsid w:val="0028256E"/>
    <w:rsid w:val="002825CA"/>
    <w:rsid w:val="00282662"/>
    <w:rsid w:val="002826E3"/>
    <w:rsid w:val="002827C5"/>
    <w:rsid w:val="00282809"/>
    <w:rsid w:val="00282839"/>
    <w:rsid w:val="00282C9E"/>
    <w:rsid w:val="00282DDB"/>
    <w:rsid w:val="00282F57"/>
    <w:rsid w:val="00283293"/>
    <w:rsid w:val="00283455"/>
    <w:rsid w:val="0028348B"/>
    <w:rsid w:val="0028382E"/>
    <w:rsid w:val="00283890"/>
    <w:rsid w:val="0028395B"/>
    <w:rsid w:val="00283979"/>
    <w:rsid w:val="00283AE8"/>
    <w:rsid w:val="00283C03"/>
    <w:rsid w:val="00283CBD"/>
    <w:rsid w:val="00283D94"/>
    <w:rsid w:val="00283DB1"/>
    <w:rsid w:val="00283E4A"/>
    <w:rsid w:val="0028416D"/>
    <w:rsid w:val="0028434A"/>
    <w:rsid w:val="0028438D"/>
    <w:rsid w:val="002843F7"/>
    <w:rsid w:val="0028440B"/>
    <w:rsid w:val="002844A9"/>
    <w:rsid w:val="00284546"/>
    <w:rsid w:val="0028484B"/>
    <w:rsid w:val="002848A1"/>
    <w:rsid w:val="002848EC"/>
    <w:rsid w:val="00284A10"/>
    <w:rsid w:val="00284AE6"/>
    <w:rsid w:val="00284B2D"/>
    <w:rsid w:val="00284C5A"/>
    <w:rsid w:val="00284C72"/>
    <w:rsid w:val="00284CE0"/>
    <w:rsid w:val="00284D65"/>
    <w:rsid w:val="002851B7"/>
    <w:rsid w:val="002852F1"/>
    <w:rsid w:val="0028549E"/>
    <w:rsid w:val="002854AD"/>
    <w:rsid w:val="0028553D"/>
    <w:rsid w:val="00285546"/>
    <w:rsid w:val="00285563"/>
    <w:rsid w:val="00285565"/>
    <w:rsid w:val="00285600"/>
    <w:rsid w:val="0028565B"/>
    <w:rsid w:val="00285669"/>
    <w:rsid w:val="002856AB"/>
    <w:rsid w:val="002857DF"/>
    <w:rsid w:val="00285958"/>
    <w:rsid w:val="00285C63"/>
    <w:rsid w:val="00285C9D"/>
    <w:rsid w:val="00285EC5"/>
    <w:rsid w:val="0028607A"/>
    <w:rsid w:val="002863B7"/>
    <w:rsid w:val="0028640D"/>
    <w:rsid w:val="0028643A"/>
    <w:rsid w:val="002864B9"/>
    <w:rsid w:val="002864E0"/>
    <w:rsid w:val="0028662D"/>
    <w:rsid w:val="00286652"/>
    <w:rsid w:val="002868A3"/>
    <w:rsid w:val="00286A94"/>
    <w:rsid w:val="00286B1A"/>
    <w:rsid w:val="00286D81"/>
    <w:rsid w:val="00286E63"/>
    <w:rsid w:val="00286E69"/>
    <w:rsid w:val="00286EAF"/>
    <w:rsid w:val="00286FB2"/>
    <w:rsid w:val="002872AB"/>
    <w:rsid w:val="00287411"/>
    <w:rsid w:val="002876D7"/>
    <w:rsid w:val="002878BF"/>
    <w:rsid w:val="00287954"/>
    <w:rsid w:val="002879BA"/>
    <w:rsid w:val="00287A35"/>
    <w:rsid w:val="00287A45"/>
    <w:rsid w:val="00287A51"/>
    <w:rsid w:val="00287BD0"/>
    <w:rsid w:val="00287D98"/>
    <w:rsid w:val="00287EE5"/>
    <w:rsid w:val="00287EF7"/>
    <w:rsid w:val="00287FD4"/>
    <w:rsid w:val="002900DD"/>
    <w:rsid w:val="0029032D"/>
    <w:rsid w:val="00290330"/>
    <w:rsid w:val="002904DD"/>
    <w:rsid w:val="00290570"/>
    <w:rsid w:val="00290626"/>
    <w:rsid w:val="00290722"/>
    <w:rsid w:val="0029074E"/>
    <w:rsid w:val="0029079E"/>
    <w:rsid w:val="002907CE"/>
    <w:rsid w:val="00290A1E"/>
    <w:rsid w:val="00290A2F"/>
    <w:rsid w:val="00290A78"/>
    <w:rsid w:val="00290A7A"/>
    <w:rsid w:val="00290B1E"/>
    <w:rsid w:val="00290B27"/>
    <w:rsid w:val="00290D5C"/>
    <w:rsid w:val="00290D9A"/>
    <w:rsid w:val="00290F5D"/>
    <w:rsid w:val="00290F5E"/>
    <w:rsid w:val="002911A2"/>
    <w:rsid w:val="002911EE"/>
    <w:rsid w:val="002912ED"/>
    <w:rsid w:val="00291447"/>
    <w:rsid w:val="00291675"/>
    <w:rsid w:val="00291801"/>
    <w:rsid w:val="00291859"/>
    <w:rsid w:val="00291869"/>
    <w:rsid w:val="00291969"/>
    <w:rsid w:val="00291A8F"/>
    <w:rsid w:val="00291AB9"/>
    <w:rsid w:val="00291CBB"/>
    <w:rsid w:val="00291D01"/>
    <w:rsid w:val="00291D07"/>
    <w:rsid w:val="00291DD8"/>
    <w:rsid w:val="00291E63"/>
    <w:rsid w:val="00291E8B"/>
    <w:rsid w:val="00291FBA"/>
    <w:rsid w:val="00291FD0"/>
    <w:rsid w:val="002922CE"/>
    <w:rsid w:val="002923C5"/>
    <w:rsid w:val="00292871"/>
    <w:rsid w:val="0029292E"/>
    <w:rsid w:val="002929A1"/>
    <w:rsid w:val="002929BD"/>
    <w:rsid w:val="002929F9"/>
    <w:rsid w:val="00292ABB"/>
    <w:rsid w:val="00292ABD"/>
    <w:rsid w:val="00292BFE"/>
    <w:rsid w:val="00292E2F"/>
    <w:rsid w:val="0029313B"/>
    <w:rsid w:val="00293172"/>
    <w:rsid w:val="0029338D"/>
    <w:rsid w:val="0029339B"/>
    <w:rsid w:val="0029341D"/>
    <w:rsid w:val="00293447"/>
    <w:rsid w:val="00293560"/>
    <w:rsid w:val="00293576"/>
    <w:rsid w:val="002936E2"/>
    <w:rsid w:val="0029380A"/>
    <w:rsid w:val="00293A74"/>
    <w:rsid w:val="00293CDA"/>
    <w:rsid w:val="00293E04"/>
    <w:rsid w:val="00293F70"/>
    <w:rsid w:val="0029422C"/>
    <w:rsid w:val="0029423E"/>
    <w:rsid w:val="00294309"/>
    <w:rsid w:val="00294690"/>
    <w:rsid w:val="002946AB"/>
    <w:rsid w:val="002946D3"/>
    <w:rsid w:val="00294734"/>
    <w:rsid w:val="00294773"/>
    <w:rsid w:val="002947F8"/>
    <w:rsid w:val="00294874"/>
    <w:rsid w:val="00294984"/>
    <w:rsid w:val="002949E8"/>
    <w:rsid w:val="00294CD8"/>
    <w:rsid w:val="00294CF5"/>
    <w:rsid w:val="00294DA0"/>
    <w:rsid w:val="00294F86"/>
    <w:rsid w:val="00294FA4"/>
    <w:rsid w:val="00295095"/>
    <w:rsid w:val="002951DB"/>
    <w:rsid w:val="00295598"/>
    <w:rsid w:val="0029561C"/>
    <w:rsid w:val="00295740"/>
    <w:rsid w:val="002957A2"/>
    <w:rsid w:val="002958BE"/>
    <w:rsid w:val="0029595D"/>
    <w:rsid w:val="00295B19"/>
    <w:rsid w:val="00295B43"/>
    <w:rsid w:val="00295C44"/>
    <w:rsid w:val="00295D05"/>
    <w:rsid w:val="0029604B"/>
    <w:rsid w:val="0029604F"/>
    <w:rsid w:val="00296057"/>
    <w:rsid w:val="002960F7"/>
    <w:rsid w:val="00296164"/>
    <w:rsid w:val="00296245"/>
    <w:rsid w:val="00296284"/>
    <w:rsid w:val="002963D5"/>
    <w:rsid w:val="002964AC"/>
    <w:rsid w:val="002964CD"/>
    <w:rsid w:val="002964E2"/>
    <w:rsid w:val="002966B3"/>
    <w:rsid w:val="00296AEF"/>
    <w:rsid w:val="00296B62"/>
    <w:rsid w:val="00296B74"/>
    <w:rsid w:val="00296C47"/>
    <w:rsid w:val="00296C55"/>
    <w:rsid w:val="00296CA7"/>
    <w:rsid w:val="00296D4D"/>
    <w:rsid w:val="00296E8B"/>
    <w:rsid w:val="00296EC7"/>
    <w:rsid w:val="00296FC2"/>
    <w:rsid w:val="0029703C"/>
    <w:rsid w:val="00297056"/>
    <w:rsid w:val="002970BC"/>
    <w:rsid w:val="002970D5"/>
    <w:rsid w:val="0029715C"/>
    <w:rsid w:val="00297377"/>
    <w:rsid w:val="0029737F"/>
    <w:rsid w:val="002973BB"/>
    <w:rsid w:val="00297643"/>
    <w:rsid w:val="0029769F"/>
    <w:rsid w:val="002976D0"/>
    <w:rsid w:val="002977BA"/>
    <w:rsid w:val="002977CA"/>
    <w:rsid w:val="002978CD"/>
    <w:rsid w:val="00297DC7"/>
    <w:rsid w:val="00297F06"/>
    <w:rsid w:val="00297F2A"/>
    <w:rsid w:val="002A004C"/>
    <w:rsid w:val="002A018D"/>
    <w:rsid w:val="002A0199"/>
    <w:rsid w:val="002A01D0"/>
    <w:rsid w:val="002A01D1"/>
    <w:rsid w:val="002A02DB"/>
    <w:rsid w:val="002A0378"/>
    <w:rsid w:val="002A0608"/>
    <w:rsid w:val="002A07BF"/>
    <w:rsid w:val="002A0A18"/>
    <w:rsid w:val="002A0A1B"/>
    <w:rsid w:val="002A0B7D"/>
    <w:rsid w:val="002A0B99"/>
    <w:rsid w:val="002A0BDE"/>
    <w:rsid w:val="002A0C9C"/>
    <w:rsid w:val="002A0D22"/>
    <w:rsid w:val="002A0E13"/>
    <w:rsid w:val="002A0E71"/>
    <w:rsid w:val="002A1018"/>
    <w:rsid w:val="002A117C"/>
    <w:rsid w:val="002A11A2"/>
    <w:rsid w:val="002A1265"/>
    <w:rsid w:val="002A12A2"/>
    <w:rsid w:val="002A1401"/>
    <w:rsid w:val="002A146C"/>
    <w:rsid w:val="002A15C8"/>
    <w:rsid w:val="002A17FA"/>
    <w:rsid w:val="002A1849"/>
    <w:rsid w:val="002A18DE"/>
    <w:rsid w:val="002A1911"/>
    <w:rsid w:val="002A1A2B"/>
    <w:rsid w:val="002A1D44"/>
    <w:rsid w:val="002A1DCF"/>
    <w:rsid w:val="002A1EA6"/>
    <w:rsid w:val="002A1EC0"/>
    <w:rsid w:val="002A1F0E"/>
    <w:rsid w:val="002A206E"/>
    <w:rsid w:val="002A2178"/>
    <w:rsid w:val="002A21BC"/>
    <w:rsid w:val="002A2361"/>
    <w:rsid w:val="002A237C"/>
    <w:rsid w:val="002A23E5"/>
    <w:rsid w:val="002A26C0"/>
    <w:rsid w:val="002A26D5"/>
    <w:rsid w:val="002A2796"/>
    <w:rsid w:val="002A2819"/>
    <w:rsid w:val="002A28A4"/>
    <w:rsid w:val="002A2C7A"/>
    <w:rsid w:val="002A2D7C"/>
    <w:rsid w:val="002A2F2E"/>
    <w:rsid w:val="002A2FE5"/>
    <w:rsid w:val="002A3084"/>
    <w:rsid w:val="002A30E8"/>
    <w:rsid w:val="002A3239"/>
    <w:rsid w:val="002A3448"/>
    <w:rsid w:val="002A3515"/>
    <w:rsid w:val="002A3516"/>
    <w:rsid w:val="002A3621"/>
    <w:rsid w:val="002A36EC"/>
    <w:rsid w:val="002A3805"/>
    <w:rsid w:val="002A3818"/>
    <w:rsid w:val="002A389A"/>
    <w:rsid w:val="002A38B4"/>
    <w:rsid w:val="002A38CD"/>
    <w:rsid w:val="002A3963"/>
    <w:rsid w:val="002A3979"/>
    <w:rsid w:val="002A3AD2"/>
    <w:rsid w:val="002A3B60"/>
    <w:rsid w:val="002A3E7B"/>
    <w:rsid w:val="002A3FEC"/>
    <w:rsid w:val="002A4158"/>
    <w:rsid w:val="002A4287"/>
    <w:rsid w:val="002A4495"/>
    <w:rsid w:val="002A4538"/>
    <w:rsid w:val="002A4571"/>
    <w:rsid w:val="002A45A1"/>
    <w:rsid w:val="002A46C5"/>
    <w:rsid w:val="002A4C86"/>
    <w:rsid w:val="002A4D4D"/>
    <w:rsid w:val="002A4D59"/>
    <w:rsid w:val="002A4E95"/>
    <w:rsid w:val="002A4F9C"/>
    <w:rsid w:val="002A4FA2"/>
    <w:rsid w:val="002A5027"/>
    <w:rsid w:val="002A5079"/>
    <w:rsid w:val="002A50C3"/>
    <w:rsid w:val="002A5227"/>
    <w:rsid w:val="002A536B"/>
    <w:rsid w:val="002A5638"/>
    <w:rsid w:val="002A574A"/>
    <w:rsid w:val="002A5F82"/>
    <w:rsid w:val="002A60C2"/>
    <w:rsid w:val="002A640A"/>
    <w:rsid w:val="002A6460"/>
    <w:rsid w:val="002A64A6"/>
    <w:rsid w:val="002A6576"/>
    <w:rsid w:val="002A65D6"/>
    <w:rsid w:val="002A6764"/>
    <w:rsid w:val="002A677C"/>
    <w:rsid w:val="002A6781"/>
    <w:rsid w:val="002A6CB1"/>
    <w:rsid w:val="002A6E5A"/>
    <w:rsid w:val="002A7092"/>
    <w:rsid w:val="002A70F4"/>
    <w:rsid w:val="002A7429"/>
    <w:rsid w:val="002A7449"/>
    <w:rsid w:val="002A7486"/>
    <w:rsid w:val="002A74FD"/>
    <w:rsid w:val="002A7544"/>
    <w:rsid w:val="002A75AA"/>
    <w:rsid w:val="002A769D"/>
    <w:rsid w:val="002A7772"/>
    <w:rsid w:val="002A779E"/>
    <w:rsid w:val="002A7A1F"/>
    <w:rsid w:val="002A7F88"/>
    <w:rsid w:val="002B003C"/>
    <w:rsid w:val="002B0162"/>
    <w:rsid w:val="002B01F3"/>
    <w:rsid w:val="002B021C"/>
    <w:rsid w:val="002B0357"/>
    <w:rsid w:val="002B03C1"/>
    <w:rsid w:val="002B0401"/>
    <w:rsid w:val="002B0451"/>
    <w:rsid w:val="002B0461"/>
    <w:rsid w:val="002B048A"/>
    <w:rsid w:val="002B05F8"/>
    <w:rsid w:val="002B0813"/>
    <w:rsid w:val="002B081D"/>
    <w:rsid w:val="002B09D9"/>
    <w:rsid w:val="002B0B70"/>
    <w:rsid w:val="002B0D0C"/>
    <w:rsid w:val="002B0D4B"/>
    <w:rsid w:val="002B0DE3"/>
    <w:rsid w:val="002B0EA3"/>
    <w:rsid w:val="002B10D5"/>
    <w:rsid w:val="002B113C"/>
    <w:rsid w:val="002B1280"/>
    <w:rsid w:val="002B1307"/>
    <w:rsid w:val="002B142F"/>
    <w:rsid w:val="002B15CF"/>
    <w:rsid w:val="002B1619"/>
    <w:rsid w:val="002B1A9F"/>
    <w:rsid w:val="002B1B34"/>
    <w:rsid w:val="002B1B99"/>
    <w:rsid w:val="002B1D42"/>
    <w:rsid w:val="002B1E13"/>
    <w:rsid w:val="002B1F98"/>
    <w:rsid w:val="002B241A"/>
    <w:rsid w:val="002B24D1"/>
    <w:rsid w:val="002B27DF"/>
    <w:rsid w:val="002B2933"/>
    <w:rsid w:val="002B299C"/>
    <w:rsid w:val="002B29AC"/>
    <w:rsid w:val="002B29C4"/>
    <w:rsid w:val="002B2A51"/>
    <w:rsid w:val="002B2B6A"/>
    <w:rsid w:val="002B2D2D"/>
    <w:rsid w:val="002B2E6F"/>
    <w:rsid w:val="002B2EE5"/>
    <w:rsid w:val="002B32CF"/>
    <w:rsid w:val="002B33FD"/>
    <w:rsid w:val="002B34F9"/>
    <w:rsid w:val="002B3570"/>
    <w:rsid w:val="002B374A"/>
    <w:rsid w:val="002B393E"/>
    <w:rsid w:val="002B3AAB"/>
    <w:rsid w:val="002B3B29"/>
    <w:rsid w:val="002B3C47"/>
    <w:rsid w:val="002B3D97"/>
    <w:rsid w:val="002B3DB3"/>
    <w:rsid w:val="002B4054"/>
    <w:rsid w:val="002B4116"/>
    <w:rsid w:val="002B412B"/>
    <w:rsid w:val="002B41A1"/>
    <w:rsid w:val="002B41F4"/>
    <w:rsid w:val="002B431C"/>
    <w:rsid w:val="002B4478"/>
    <w:rsid w:val="002B4485"/>
    <w:rsid w:val="002B458D"/>
    <w:rsid w:val="002B4591"/>
    <w:rsid w:val="002B467C"/>
    <w:rsid w:val="002B470A"/>
    <w:rsid w:val="002B49F3"/>
    <w:rsid w:val="002B4A3E"/>
    <w:rsid w:val="002B4AD1"/>
    <w:rsid w:val="002B4D9D"/>
    <w:rsid w:val="002B4E64"/>
    <w:rsid w:val="002B4F38"/>
    <w:rsid w:val="002B4FAF"/>
    <w:rsid w:val="002B500E"/>
    <w:rsid w:val="002B503F"/>
    <w:rsid w:val="002B5060"/>
    <w:rsid w:val="002B507F"/>
    <w:rsid w:val="002B5135"/>
    <w:rsid w:val="002B515C"/>
    <w:rsid w:val="002B51ED"/>
    <w:rsid w:val="002B53A3"/>
    <w:rsid w:val="002B55D5"/>
    <w:rsid w:val="002B5859"/>
    <w:rsid w:val="002B5B7B"/>
    <w:rsid w:val="002B5BE8"/>
    <w:rsid w:val="002B5C08"/>
    <w:rsid w:val="002B5E0C"/>
    <w:rsid w:val="002B5E8D"/>
    <w:rsid w:val="002B607E"/>
    <w:rsid w:val="002B624E"/>
    <w:rsid w:val="002B6279"/>
    <w:rsid w:val="002B630F"/>
    <w:rsid w:val="002B63D2"/>
    <w:rsid w:val="002B644F"/>
    <w:rsid w:val="002B6474"/>
    <w:rsid w:val="002B65EC"/>
    <w:rsid w:val="002B666B"/>
    <w:rsid w:val="002B6781"/>
    <w:rsid w:val="002B688B"/>
    <w:rsid w:val="002B6979"/>
    <w:rsid w:val="002B6A0D"/>
    <w:rsid w:val="002B6B82"/>
    <w:rsid w:val="002B6E0C"/>
    <w:rsid w:val="002B6E96"/>
    <w:rsid w:val="002B707C"/>
    <w:rsid w:val="002B71C1"/>
    <w:rsid w:val="002B7221"/>
    <w:rsid w:val="002B74FB"/>
    <w:rsid w:val="002B764C"/>
    <w:rsid w:val="002B7762"/>
    <w:rsid w:val="002B7856"/>
    <w:rsid w:val="002B78B2"/>
    <w:rsid w:val="002B79A9"/>
    <w:rsid w:val="002B79C1"/>
    <w:rsid w:val="002B79DA"/>
    <w:rsid w:val="002B7C01"/>
    <w:rsid w:val="002B7C3F"/>
    <w:rsid w:val="002B7DEC"/>
    <w:rsid w:val="002B7F4D"/>
    <w:rsid w:val="002C0168"/>
    <w:rsid w:val="002C016B"/>
    <w:rsid w:val="002C0226"/>
    <w:rsid w:val="002C0543"/>
    <w:rsid w:val="002C05B7"/>
    <w:rsid w:val="002C06E6"/>
    <w:rsid w:val="002C0823"/>
    <w:rsid w:val="002C08CD"/>
    <w:rsid w:val="002C0A04"/>
    <w:rsid w:val="002C0C14"/>
    <w:rsid w:val="002C0C7C"/>
    <w:rsid w:val="002C0CBA"/>
    <w:rsid w:val="002C0CDF"/>
    <w:rsid w:val="002C0D21"/>
    <w:rsid w:val="002C0E77"/>
    <w:rsid w:val="002C1126"/>
    <w:rsid w:val="002C1698"/>
    <w:rsid w:val="002C16F1"/>
    <w:rsid w:val="002C1819"/>
    <w:rsid w:val="002C18A1"/>
    <w:rsid w:val="002C190E"/>
    <w:rsid w:val="002C1B11"/>
    <w:rsid w:val="002C1B4F"/>
    <w:rsid w:val="002C1B75"/>
    <w:rsid w:val="002C1BED"/>
    <w:rsid w:val="002C1CA1"/>
    <w:rsid w:val="002C1ED6"/>
    <w:rsid w:val="002C209F"/>
    <w:rsid w:val="002C221A"/>
    <w:rsid w:val="002C223C"/>
    <w:rsid w:val="002C25D1"/>
    <w:rsid w:val="002C2632"/>
    <w:rsid w:val="002C2747"/>
    <w:rsid w:val="002C27AE"/>
    <w:rsid w:val="002C2848"/>
    <w:rsid w:val="002C2AB1"/>
    <w:rsid w:val="002C2AC0"/>
    <w:rsid w:val="002C2AC5"/>
    <w:rsid w:val="002C2B3E"/>
    <w:rsid w:val="002C2B9B"/>
    <w:rsid w:val="002C2BED"/>
    <w:rsid w:val="002C317A"/>
    <w:rsid w:val="002C3261"/>
    <w:rsid w:val="002C337D"/>
    <w:rsid w:val="002C3424"/>
    <w:rsid w:val="002C35EF"/>
    <w:rsid w:val="002C366D"/>
    <w:rsid w:val="002C3894"/>
    <w:rsid w:val="002C39C4"/>
    <w:rsid w:val="002C39F9"/>
    <w:rsid w:val="002C3AE2"/>
    <w:rsid w:val="002C3BFF"/>
    <w:rsid w:val="002C3D68"/>
    <w:rsid w:val="002C3D95"/>
    <w:rsid w:val="002C3E8E"/>
    <w:rsid w:val="002C4042"/>
    <w:rsid w:val="002C4054"/>
    <w:rsid w:val="002C4070"/>
    <w:rsid w:val="002C4121"/>
    <w:rsid w:val="002C42CA"/>
    <w:rsid w:val="002C4300"/>
    <w:rsid w:val="002C44C4"/>
    <w:rsid w:val="002C451A"/>
    <w:rsid w:val="002C457C"/>
    <w:rsid w:val="002C4582"/>
    <w:rsid w:val="002C4597"/>
    <w:rsid w:val="002C472B"/>
    <w:rsid w:val="002C481A"/>
    <w:rsid w:val="002C4891"/>
    <w:rsid w:val="002C4B1C"/>
    <w:rsid w:val="002C4B70"/>
    <w:rsid w:val="002C4C8B"/>
    <w:rsid w:val="002C4CD9"/>
    <w:rsid w:val="002C5112"/>
    <w:rsid w:val="002C5189"/>
    <w:rsid w:val="002C529E"/>
    <w:rsid w:val="002C52A8"/>
    <w:rsid w:val="002C52CC"/>
    <w:rsid w:val="002C5603"/>
    <w:rsid w:val="002C5CA6"/>
    <w:rsid w:val="002C5CE4"/>
    <w:rsid w:val="002C5E9B"/>
    <w:rsid w:val="002C6187"/>
    <w:rsid w:val="002C6271"/>
    <w:rsid w:val="002C63D1"/>
    <w:rsid w:val="002C6408"/>
    <w:rsid w:val="002C643C"/>
    <w:rsid w:val="002C6560"/>
    <w:rsid w:val="002C65A3"/>
    <w:rsid w:val="002C670B"/>
    <w:rsid w:val="002C679A"/>
    <w:rsid w:val="002C688C"/>
    <w:rsid w:val="002C6A0D"/>
    <w:rsid w:val="002C6CB9"/>
    <w:rsid w:val="002C6D78"/>
    <w:rsid w:val="002C6F65"/>
    <w:rsid w:val="002C6FC7"/>
    <w:rsid w:val="002C719F"/>
    <w:rsid w:val="002C7387"/>
    <w:rsid w:val="002C74C6"/>
    <w:rsid w:val="002C751F"/>
    <w:rsid w:val="002C7973"/>
    <w:rsid w:val="002C79EA"/>
    <w:rsid w:val="002C7B40"/>
    <w:rsid w:val="002C7BDE"/>
    <w:rsid w:val="002C7FBD"/>
    <w:rsid w:val="002D0106"/>
    <w:rsid w:val="002D025D"/>
    <w:rsid w:val="002D027A"/>
    <w:rsid w:val="002D02AC"/>
    <w:rsid w:val="002D0405"/>
    <w:rsid w:val="002D048E"/>
    <w:rsid w:val="002D049B"/>
    <w:rsid w:val="002D073B"/>
    <w:rsid w:val="002D08E1"/>
    <w:rsid w:val="002D0B52"/>
    <w:rsid w:val="002D0BC8"/>
    <w:rsid w:val="002D0C46"/>
    <w:rsid w:val="002D0DCA"/>
    <w:rsid w:val="002D0E88"/>
    <w:rsid w:val="002D0E91"/>
    <w:rsid w:val="002D0F3D"/>
    <w:rsid w:val="002D0FC5"/>
    <w:rsid w:val="002D10C9"/>
    <w:rsid w:val="002D1283"/>
    <w:rsid w:val="002D12FB"/>
    <w:rsid w:val="002D1309"/>
    <w:rsid w:val="002D1458"/>
    <w:rsid w:val="002D14E4"/>
    <w:rsid w:val="002D14F4"/>
    <w:rsid w:val="002D1691"/>
    <w:rsid w:val="002D178D"/>
    <w:rsid w:val="002D17EC"/>
    <w:rsid w:val="002D18EF"/>
    <w:rsid w:val="002D1927"/>
    <w:rsid w:val="002D1A7A"/>
    <w:rsid w:val="002D1CBF"/>
    <w:rsid w:val="002D1F38"/>
    <w:rsid w:val="002D1FB2"/>
    <w:rsid w:val="002D1FEE"/>
    <w:rsid w:val="002D2057"/>
    <w:rsid w:val="002D20E0"/>
    <w:rsid w:val="002D20FE"/>
    <w:rsid w:val="002D218D"/>
    <w:rsid w:val="002D2311"/>
    <w:rsid w:val="002D2571"/>
    <w:rsid w:val="002D25F1"/>
    <w:rsid w:val="002D25FA"/>
    <w:rsid w:val="002D26A2"/>
    <w:rsid w:val="002D2793"/>
    <w:rsid w:val="002D288B"/>
    <w:rsid w:val="002D28E0"/>
    <w:rsid w:val="002D28E4"/>
    <w:rsid w:val="002D2DE3"/>
    <w:rsid w:val="002D2E08"/>
    <w:rsid w:val="002D2EB7"/>
    <w:rsid w:val="002D2FAC"/>
    <w:rsid w:val="002D2FFE"/>
    <w:rsid w:val="002D301A"/>
    <w:rsid w:val="002D30C7"/>
    <w:rsid w:val="002D3665"/>
    <w:rsid w:val="002D36C2"/>
    <w:rsid w:val="002D3868"/>
    <w:rsid w:val="002D3927"/>
    <w:rsid w:val="002D392D"/>
    <w:rsid w:val="002D3960"/>
    <w:rsid w:val="002D3B0F"/>
    <w:rsid w:val="002D3B2D"/>
    <w:rsid w:val="002D3BAD"/>
    <w:rsid w:val="002D3BF0"/>
    <w:rsid w:val="002D3D76"/>
    <w:rsid w:val="002D3EC3"/>
    <w:rsid w:val="002D41CB"/>
    <w:rsid w:val="002D41D5"/>
    <w:rsid w:val="002D4521"/>
    <w:rsid w:val="002D46FB"/>
    <w:rsid w:val="002D49BD"/>
    <w:rsid w:val="002D4C32"/>
    <w:rsid w:val="002D4CDC"/>
    <w:rsid w:val="002D4D4A"/>
    <w:rsid w:val="002D4DF3"/>
    <w:rsid w:val="002D4E5E"/>
    <w:rsid w:val="002D4E6E"/>
    <w:rsid w:val="002D4F9B"/>
    <w:rsid w:val="002D5069"/>
    <w:rsid w:val="002D506A"/>
    <w:rsid w:val="002D5337"/>
    <w:rsid w:val="002D547F"/>
    <w:rsid w:val="002D54A6"/>
    <w:rsid w:val="002D5566"/>
    <w:rsid w:val="002D556D"/>
    <w:rsid w:val="002D5599"/>
    <w:rsid w:val="002D55BB"/>
    <w:rsid w:val="002D563D"/>
    <w:rsid w:val="002D5652"/>
    <w:rsid w:val="002D58FF"/>
    <w:rsid w:val="002D5C6E"/>
    <w:rsid w:val="002D5D0C"/>
    <w:rsid w:val="002D5F79"/>
    <w:rsid w:val="002D5FB4"/>
    <w:rsid w:val="002D5FFF"/>
    <w:rsid w:val="002D603E"/>
    <w:rsid w:val="002D60DE"/>
    <w:rsid w:val="002D6161"/>
    <w:rsid w:val="002D61C0"/>
    <w:rsid w:val="002D65D8"/>
    <w:rsid w:val="002D665F"/>
    <w:rsid w:val="002D6890"/>
    <w:rsid w:val="002D6C36"/>
    <w:rsid w:val="002D6F60"/>
    <w:rsid w:val="002D6F77"/>
    <w:rsid w:val="002D7009"/>
    <w:rsid w:val="002D7090"/>
    <w:rsid w:val="002D7230"/>
    <w:rsid w:val="002D72B0"/>
    <w:rsid w:val="002D72E3"/>
    <w:rsid w:val="002D735B"/>
    <w:rsid w:val="002D73A1"/>
    <w:rsid w:val="002D755F"/>
    <w:rsid w:val="002D75DC"/>
    <w:rsid w:val="002D778F"/>
    <w:rsid w:val="002D783B"/>
    <w:rsid w:val="002D793C"/>
    <w:rsid w:val="002D7B13"/>
    <w:rsid w:val="002D7C81"/>
    <w:rsid w:val="002D7D01"/>
    <w:rsid w:val="002D7DD2"/>
    <w:rsid w:val="002D7E86"/>
    <w:rsid w:val="002D7F38"/>
    <w:rsid w:val="002E0054"/>
    <w:rsid w:val="002E0110"/>
    <w:rsid w:val="002E0173"/>
    <w:rsid w:val="002E02FD"/>
    <w:rsid w:val="002E04B3"/>
    <w:rsid w:val="002E0A25"/>
    <w:rsid w:val="002E0A27"/>
    <w:rsid w:val="002E0E06"/>
    <w:rsid w:val="002E0E61"/>
    <w:rsid w:val="002E0FDD"/>
    <w:rsid w:val="002E1041"/>
    <w:rsid w:val="002E1172"/>
    <w:rsid w:val="002E1292"/>
    <w:rsid w:val="002E13FC"/>
    <w:rsid w:val="002E143F"/>
    <w:rsid w:val="002E15B0"/>
    <w:rsid w:val="002E17C8"/>
    <w:rsid w:val="002E182B"/>
    <w:rsid w:val="002E187E"/>
    <w:rsid w:val="002E1882"/>
    <w:rsid w:val="002E1950"/>
    <w:rsid w:val="002E19B1"/>
    <w:rsid w:val="002E1A8A"/>
    <w:rsid w:val="002E1B20"/>
    <w:rsid w:val="002E1DCA"/>
    <w:rsid w:val="002E1DE3"/>
    <w:rsid w:val="002E1EAE"/>
    <w:rsid w:val="002E1F2B"/>
    <w:rsid w:val="002E213F"/>
    <w:rsid w:val="002E2415"/>
    <w:rsid w:val="002E2524"/>
    <w:rsid w:val="002E2808"/>
    <w:rsid w:val="002E2D32"/>
    <w:rsid w:val="002E2DF2"/>
    <w:rsid w:val="002E2E15"/>
    <w:rsid w:val="002E3249"/>
    <w:rsid w:val="002E3325"/>
    <w:rsid w:val="002E3337"/>
    <w:rsid w:val="002E3360"/>
    <w:rsid w:val="002E33B3"/>
    <w:rsid w:val="002E33EE"/>
    <w:rsid w:val="002E35AC"/>
    <w:rsid w:val="002E361D"/>
    <w:rsid w:val="002E397D"/>
    <w:rsid w:val="002E3AFD"/>
    <w:rsid w:val="002E3B8B"/>
    <w:rsid w:val="002E3CA5"/>
    <w:rsid w:val="002E3D2B"/>
    <w:rsid w:val="002E3DCA"/>
    <w:rsid w:val="002E4016"/>
    <w:rsid w:val="002E4043"/>
    <w:rsid w:val="002E40F4"/>
    <w:rsid w:val="002E44F3"/>
    <w:rsid w:val="002E481B"/>
    <w:rsid w:val="002E4822"/>
    <w:rsid w:val="002E4948"/>
    <w:rsid w:val="002E4BB6"/>
    <w:rsid w:val="002E4C1C"/>
    <w:rsid w:val="002E4CBF"/>
    <w:rsid w:val="002E4F64"/>
    <w:rsid w:val="002E5143"/>
    <w:rsid w:val="002E5251"/>
    <w:rsid w:val="002E532E"/>
    <w:rsid w:val="002E534E"/>
    <w:rsid w:val="002E5481"/>
    <w:rsid w:val="002E5560"/>
    <w:rsid w:val="002E557B"/>
    <w:rsid w:val="002E5606"/>
    <w:rsid w:val="002E5627"/>
    <w:rsid w:val="002E5706"/>
    <w:rsid w:val="002E59A5"/>
    <w:rsid w:val="002E5B67"/>
    <w:rsid w:val="002E5F80"/>
    <w:rsid w:val="002E5FC5"/>
    <w:rsid w:val="002E632C"/>
    <w:rsid w:val="002E6366"/>
    <w:rsid w:val="002E6369"/>
    <w:rsid w:val="002E660C"/>
    <w:rsid w:val="002E6611"/>
    <w:rsid w:val="002E661B"/>
    <w:rsid w:val="002E661D"/>
    <w:rsid w:val="002E6651"/>
    <w:rsid w:val="002E672E"/>
    <w:rsid w:val="002E6776"/>
    <w:rsid w:val="002E6851"/>
    <w:rsid w:val="002E6A42"/>
    <w:rsid w:val="002E6AAB"/>
    <w:rsid w:val="002E6B2D"/>
    <w:rsid w:val="002E6B40"/>
    <w:rsid w:val="002E6CF7"/>
    <w:rsid w:val="002E6DDF"/>
    <w:rsid w:val="002E7061"/>
    <w:rsid w:val="002E70CC"/>
    <w:rsid w:val="002E7265"/>
    <w:rsid w:val="002E7271"/>
    <w:rsid w:val="002E75B9"/>
    <w:rsid w:val="002E7819"/>
    <w:rsid w:val="002E784F"/>
    <w:rsid w:val="002E7A74"/>
    <w:rsid w:val="002E7B56"/>
    <w:rsid w:val="002E7BF2"/>
    <w:rsid w:val="002E7CB9"/>
    <w:rsid w:val="002E7CF7"/>
    <w:rsid w:val="002E7DFB"/>
    <w:rsid w:val="002E7E77"/>
    <w:rsid w:val="002E7F6C"/>
    <w:rsid w:val="002F03FE"/>
    <w:rsid w:val="002F06AD"/>
    <w:rsid w:val="002F07E1"/>
    <w:rsid w:val="002F0825"/>
    <w:rsid w:val="002F08FC"/>
    <w:rsid w:val="002F0A00"/>
    <w:rsid w:val="002F0A27"/>
    <w:rsid w:val="002F0B42"/>
    <w:rsid w:val="002F0BBE"/>
    <w:rsid w:val="002F0C00"/>
    <w:rsid w:val="002F0D83"/>
    <w:rsid w:val="002F0DF7"/>
    <w:rsid w:val="002F0E4E"/>
    <w:rsid w:val="002F10B0"/>
    <w:rsid w:val="002F10C5"/>
    <w:rsid w:val="002F1133"/>
    <w:rsid w:val="002F11DC"/>
    <w:rsid w:val="002F1267"/>
    <w:rsid w:val="002F135F"/>
    <w:rsid w:val="002F1399"/>
    <w:rsid w:val="002F1447"/>
    <w:rsid w:val="002F14D4"/>
    <w:rsid w:val="002F1637"/>
    <w:rsid w:val="002F16E8"/>
    <w:rsid w:val="002F1904"/>
    <w:rsid w:val="002F190D"/>
    <w:rsid w:val="002F1991"/>
    <w:rsid w:val="002F199D"/>
    <w:rsid w:val="002F19BC"/>
    <w:rsid w:val="002F1A5A"/>
    <w:rsid w:val="002F1B02"/>
    <w:rsid w:val="002F1B34"/>
    <w:rsid w:val="002F1D24"/>
    <w:rsid w:val="002F1D88"/>
    <w:rsid w:val="002F1E3B"/>
    <w:rsid w:val="002F20F7"/>
    <w:rsid w:val="002F2156"/>
    <w:rsid w:val="002F22F4"/>
    <w:rsid w:val="002F2622"/>
    <w:rsid w:val="002F268C"/>
    <w:rsid w:val="002F26B0"/>
    <w:rsid w:val="002F2769"/>
    <w:rsid w:val="002F2940"/>
    <w:rsid w:val="002F2A6A"/>
    <w:rsid w:val="002F2B40"/>
    <w:rsid w:val="002F2C82"/>
    <w:rsid w:val="002F2E64"/>
    <w:rsid w:val="002F3050"/>
    <w:rsid w:val="002F3087"/>
    <w:rsid w:val="002F31C4"/>
    <w:rsid w:val="002F3413"/>
    <w:rsid w:val="002F3508"/>
    <w:rsid w:val="002F369A"/>
    <w:rsid w:val="002F36A1"/>
    <w:rsid w:val="002F3A21"/>
    <w:rsid w:val="002F3A70"/>
    <w:rsid w:val="002F3B8A"/>
    <w:rsid w:val="002F3CCF"/>
    <w:rsid w:val="002F3DB5"/>
    <w:rsid w:val="002F3E23"/>
    <w:rsid w:val="002F3E62"/>
    <w:rsid w:val="002F3F27"/>
    <w:rsid w:val="002F3F97"/>
    <w:rsid w:val="002F3FE9"/>
    <w:rsid w:val="002F4124"/>
    <w:rsid w:val="002F4171"/>
    <w:rsid w:val="002F41B2"/>
    <w:rsid w:val="002F4293"/>
    <w:rsid w:val="002F4348"/>
    <w:rsid w:val="002F43B1"/>
    <w:rsid w:val="002F43E6"/>
    <w:rsid w:val="002F44DA"/>
    <w:rsid w:val="002F457E"/>
    <w:rsid w:val="002F481F"/>
    <w:rsid w:val="002F49B1"/>
    <w:rsid w:val="002F4BD5"/>
    <w:rsid w:val="002F4D0E"/>
    <w:rsid w:val="002F4E70"/>
    <w:rsid w:val="002F4F1B"/>
    <w:rsid w:val="002F512D"/>
    <w:rsid w:val="002F51E0"/>
    <w:rsid w:val="002F52B1"/>
    <w:rsid w:val="002F5325"/>
    <w:rsid w:val="002F5430"/>
    <w:rsid w:val="002F54AE"/>
    <w:rsid w:val="002F566C"/>
    <w:rsid w:val="002F56E9"/>
    <w:rsid w:val="002F576E"/>
    <w:rsid w:val="002F5818"/>
    <w:rsid w:val="002F5992"/>
    <w:rsid w:val="002F5AA3"/>
    <w:rsid w:val="002F5D4C"/>
    <w:rsid w:val="002F5E7E"/>
    <w:rsid w:val="002F5FB1"/>
    <w:rsid w:val="002F63DB"/>
    <w:rsid w:val="002F65A7"/>
    <w:rsid w:val="002F65D8"/>
    <w:rsid w:val="002F65F2"/>
    <w:rsid w:val="002F6620"/>
    <w:rsid w:val="002F6689"/>
    <w:rsid w:val="002F69B0"/>
    <w:rsid w:val="002F6A3D"/>
    <w:rsid w:val="002F6AB2"/>
    <w:rsid w:val="002F6B67"/>
    <w:rsid w:val="002F6C9B"/>
    <w:rsid w:val="002F6E02"/>
    <w:rsid w:val="002F6F50"/>
    <w:rsid w:val="002F70D0"/>
    <w:rsid w:val="002F719B"/>
    <w:rsid w:val="002F7221"/>
    <w:rsid w:val="002F76E9"/>
    <w:rsid w:val="002F77C5"/>
    <w:rsid w:val="002F7852"/>
    <w:rsid w:val="002F7879"/>
    <w:rsid w:val="002F7932"/>
    <w:rsid w:val="002F79F5"/>
    <w:rsid w:val="002F7B9A"/>
    <w:rsid w:val="002F7D95"/>
    <w:rsid w:val="00300120"/>
    <w:rsid w:val="003001B3"/>
    <w:rsid w:val="00300540"/>
    <w:rsid w:val="003007E3"/>
    <w:rsid w:val="00300A80"/>
    <w:rsid w:val="00300AAB"/>
    <w:rsid w:val="00300B1F"/>
    <w:rsid w:val="00300C14"/>
    <w:rsid w:val="00300C69"/>
    <w:rsid w:val="00300E53"/>
    <w:rsid w:val="00300F8E"/>
    <w:rsid w:val="00300FB2"/>
    <w:rsid w:val="00300FFF"/>
    <w:rsid w:val="00301029"/>
    <w:rsid w:val="0030103D"/>
    <w:rsid w:val="0030111D"/>
    <w:rsid w:val="00301160"/>
    <w:rsid w:val="003012FD"/>
    <w:rsid w:val="003012FF"/>
    <w:rsid w:val="00301353"/>
    <w:rsid w:val="003014BF"/>
    <w:rsid w:val="003015C0"/>
    <w:rsid w:val="0030163D"/>
    <w:rsid w:val="00301A0B"/>
    <w:rsid w:val="00301D12"/>
    <w:rsid w:val="00301DAB"/>
    <w:rsid w:val="00301E64"/>
    <w:rsid w:val="00301F8B"/>
    <w:rsid w:val="00301FB5"/>
    <w:rsid w:val="003020C4"/>
    <w:rsid w:val="003021A1"/>
    <w:rsid w:val="003021E9"/>
    <w:rsid w:val="00302361"/>
    <w:rsid w:val="003023AB"/>
    <w:rsid w:val="003023CD"/>
    <w:rsid w:val="003024B9"/>
    <w:rsid w:val="003024F1"/>
    <w:rsid w:val="003026C9"/>
    <w:rsid w:val="00302B4A"/>
    <w:rsid w:val="00302FD4"/>
    <w:rsid w:val="003030D5"/>
    <w:rsid w:val="0030315C"/>
    <w:rsid w:val="0030317E"/>
    <w:rsid w:val="00303257"/>
    <w:rsid w:val="0030338B"/>
    <w:rsid w:val="0030340F"/>
    <w:rsid w:val="00303455"/>
    <w:rsid w:val="00303683"/>
    <w:rsid w:val="0030378B"/>
    <w:rsid w:val="003037A3"/>
    <w:rsid w:val="00303A67"/>
    <w:rsid w:val="00303B5D"/>
    <w:rsid w:val="00303B8A"/>
    <w:rsid w:val="00303C68"/>
    <w:rsid w:val="00303CF7"/>
    <w:rsid w:val="00303DEA"/>
    <w:rsid w:val="00303F03"/>
    <w:rsid w:val="00303FFE"/>
    <w:rsid w:val="00304185"/>
    <w:rsid w:val="003043F6"/>
    <w:rsid w:val="0030460A"/>
    <w:rsid w:val="003046A5"/>
    <w:rsid w:val="0030478E"/>
    <w:rsid w:val="003048E8"/>
    <w:rsid w:val="00304995"/>
    <w:rsid w:val="00304A3C"/>
    <w:rsid w:val="00304AB1"/>
    <w:rsid w:val="00304B54"/>
    <w:rsid w:val="00304B81"/>
    <w:rsid w:val="00304D9C"/>
    <w:rsid w:val="00304DA4"/>
    <w:rsid w:val="00304DBB"/>
    <w:rsid w:val="00304E5B"/>
    <w:rsid w:val="00304E72"/>
    <w:rsid w:val="00304FB8"/>
    <w:rsid w:val="003051E9"/>
    <w:rsid w:val="00305225"/>
    <w:rsid w:val="0030525B"/>
    <w:rsid w:val="003053AE"/>
    <w:rsid w:val="003053D3"/>
    <w:rsid w:val="003055C3"/>
    <w:rsid w:val="00305DAD"/>
    <w:rsid w:val="00305FF2"/>
    <w:rsid w:val="003060C2"/>
    <w:rsid w:val="003061E2"/>
    <w:rsid w:val="00306570"/>
    <w:rsid w:val="0030671C"/>
    <w:rsid w:val="0030680F"/>
    <w:rsid w:val="003068BA"/>
    <w:rsid w:val="00306920"/>
    <w:rsid w:val="00306A21"/>
    <w:rsid w:val="00306A57"/>
    <w:rsid w:val="00306A63"/>
    <w:rsid w:val="00306B40"/>
    <w:rsid w:val="00306CE8"/>
    <w:rsid w:val="00306D5E"/>
    <w:rsid w:val="00306DD7"/>
    <w:rsid w:val="00306E89"/>
    <w:rsid w:val="00306F15"/>
    <w:rsid w:val="00306FEC"/>
    <w:rsid w:val="00307140"/>
    <w:rsid w:val="0030734A"/>
    <w:rsid w:val="0030737C"/>
    <w:rsid w:val="003073A5"/>
    <w:rsid w:val="00307521"/>
    <w:rsid w:val="00307598"/>
    <w:rsid w:val="003075DB"/>
    <w:rsid w:val="003076EE"/>
    <w:rsid w:val="0030775D"/>
    <w:rsid w:val="003077C2"/>
    <w:rsid w:val="003078A1"/>
    <w:rsid w:val="0030798B"/>
    <w:rsid w:val="00307A62"/>
    <w:rsid w:val="00307A99"/>
    <w:rsid w:val="00307C7D"/>
    <w:rsid w:val="00307CF1"/>
    <w:rsid w:val="00307EF0"/>
    <w:rsid w:val="00307F40"/>
    <w:rsid w:val="00307FC0"/>
    <w:rsid w:val="003100AE"/>
    <w:rsid w:val="003100C0"/>
    <w:rsid w:val="003102C5"/>
    <w:rsid w:val="0031046B"/>
    <w:rsid w:val="003108A1"/>
    <w:rsid w:val="00310900"/>
    <w:rsid w:val="003109CA"/>
    <w:rsid w:val="00310AAA"/>
    <w:rsid w:val="00310ACF"/>
    <w:rsid w:val="00310B17"/>
    <w:rsid w:val="00310CA6"/>
    <w:rsid w:val="00310D04"/>
    <w:rsid w:val="00310D67"/>
    <w:rsid w:val="00310DAC"/>
    <w:rsid w:val="00310DB8"/>
    <w:rsid w:val="00310E37"/>
    <w:rsid w:val="00310FE3"/>
    <w:rsid w:val="003110F4"/>
    <w:rsid w:val="003114E2"/>
    <w:rsid w:val="003115BD"/>
    <w:rsid w:val="00311639"/>
    <w:rsid w:val="003116A4"/>
    <w:rsid w:val="003116EE"/>
    <w:rsid w:val="00311906"/>
    <w:rsid w:val="00311B92"/>
    <w:rsid w:val="00311BFA"/>
    <w:rsid w:val="00311C28"/>
    <w:rsid w:val="00311C79"/>
    <w:rsid w:val="00312143"/>
    <w:rsid w:val="00312165"/>
    <w:rsid w:val="0031225A"/>
    <w:rsid w:val="0031247F"/>
    <w:rsid w:val="00312582"/>
    <w:rsid w:val="003125BE"/>
    <w:rsid w:val="0031284A"/>
    <w:rsid w:val="00312C4D"/>
    <w:rsid w:val="00313076"/>
    <w:rsid w:val="00313082"/>
    <w:rsid w:val="003130BF"/>
    <w:rsid w:val="00313112"/>
    <w:rsid w:val="0031346F"/>
    <w:rsid w:val="0031358E"/>
    <w:rsid w:val="003136F2"/>
    <w:rsid w:val="0031373C"/>
    <w:rsid w:val="003137C9"/>
    <w:rsid w:val="0031383C"/>
    <w:rsid w:val="00313924"/>
    <w:rsid w:val="00313A0A"/>
    <w:rsid w:val="00313C01"/>
    <w:rsid w:val="00313DDC"/>
    <w:rsid w:val="00313E65"/>
    <w:rsid w:val="00313FA6"/>
    <w:rsid w:val="00314019"/>
    <w:rsid w:val="0031450B"/>
    <w:rsid w:val="00314522"/>
    <w:rsid w:val="003148EE"/>
    <w:rsid w:val="003149EF"/>
    <w:rsid w:val="00314B11"/>
    <w:rsid w:val="00314B76"/>
    <w:rsid w:val="00314D1C"/>
    <w:rsid w:val="00314E4D"/>
    <w:rsid w:val="00314E60"/>
    <w:rsid w:val="00314E6A"/>
    <w:rsid w:val="00314FD3"/>
    <w:rsid w:val="00315110"/>
    <w:rsid w:val="003151D6"/>
    <w:rsid w:val="0031520A"/>
    <w:rsid w:val="00315215"/>
    <w:rsid w:val="0031525B"/>
    <w:rsid w:val="003152EA"/>
    <w:rsid w:val="0031542F"/>
    <w:rsid w:val="003154A5"/>
    <w:rsid w:val="00315664"/>
    <w:rsid w:val="00315705"/>
    <w:rsid w:val="0031590A"/>
    <w:rsid w:val="00315910"/>
    <w:rsid w:val="0031597F"/>
    <w:rsid w:val="003159C5"/>
    <w:rsid w:val="00315A6A"/>
    <w:rsid w:val="00315B43"/>
    <w:rsid w:val="00315CE3"/>
    <w:rsid w:val="00315E9F"/>
    <w:rsid w:val="00315EFB"/>
    <w:rsid w:val="00316419"/>
    <w:rsid w:val="003164F6"/>
    <w:rsid w:val="00316550"/>
    <w:rsid w:val="003165BD"/>
    <w:rsid w:val="003168F5"/>
    <w:rsid w:val="00316903"/>
    <w:rsid w:val="00316C11"/>
    <w:rsid w:val="00316F50"/>
    <w:rsid w:val="003170BC"/>
    <w:rsid w:val="00317267"/>
    <w:rsid w:val="003172AA"/>
    <w:rsid w:val="003174F2"/>
    <w:rsid w:val="00317550"/>
    <w:rsid w:val="00317913"/>
    <w:rsid w:val="00317978"/>
    <w:rsid w:val="00317B66"/>
    <w:rsid w:val="00317BDA"/>
    <w:rsid w:val="00317D09"/>
    <w:rsid w:val="00317F72"/>
    <w:rsid w:val="00320123"/>
    <w:rsid w:val="0032012B"/>
    <w:rsid w:val="003205A4"/>
    <w:rsid w:val="0032062C"/>
    <w:rsid w:val="0032062D"/>
    <w:rsid w:val="00320662"/>
    <w:rsid w:val="003207BD"/>
    <w:rsid w:val="003208D5"/>
    <w:rsid w:val="003208E3"/>
    <w:rsid w:val="00320907"/>
    <w:rsid w:val="00320918"/>
    <w:rsid w:val="00320953"/>
    <w:rsid w:val="00320B27"/>
    <w:rsid w:val="00320B2D"/>
    <w:rsid w:val="00320CED"/>
    <w:rsid w:val="00320D06"/>
    <w:rsid w:val="00320DA7"/>
    <w:rsid w:val="00320E19"/>
    <w:rsid w:val="00320FEC"/>
    <w:rsid w:val="003210AD"/>
    <w:rsid w:val="003210FE"/>
    <w:rsid w:val="00321117"/>
    <w:rsid w:val="003212C3"/>
    <w:rsid w:val="0032172C"/>
    <w:rsid w:val="003218B1"/>
    <w:rsid w:val="0032190D"/>
    <w:rsid w:val="00321BB0"/>
    <w:rsid w:val="00321C06"/>
    <w:rsid w:val="00321FF8"/>
    <w:rsid w:val="0032209D"/>
    <w:rsid w:val="00322119"/>
    <w:rsid w:val="00322192"/>
    <w:rsid w:val="003222B1"/>
    <w:rsid w:val="00322394"/>
    <w:rsid w:val="003225D0"/>
    <w:rsid w:val="0032264D"/>
    <w:rsid w:val="0032270F"/>
    <w:rsid w:val="00322878"/>
    <w:rsid w:val="003228C9"/>
    <w:rsid w:val="00322A89"/>
    <w:rsid w:val="00322B9C"/>
    <w:rsid w:val="00322C18"/>
    <w:rsid w:val="00322D30"/>
    <w:rsid w:val="00322EEE"/>
    <w:rsid w:val="00323006"/>
    <w:rsid w:val="003233D1"/>
    <w:rsid w:val="003234A6"/>
    <w:rsid w:val="00323534"/>
    <w:rsid w:val="003235BA"/>
    <w:rsid w:val="00323641"/>
    <w:rsid w:val="0032368A"/>
    <w:rsid w:val="00323780"/>
    <w:rsid w:val="003239BA"/>
    <w:rsid w:val="00323A8D"/>
    <w:rsid w:val="00323B97"/>
    <w:rsid w:val="00323BBA"/>
    <w:rsid w:val="00323D77"/>
    <w:rsid w:val="00323E7D"/>
    <w:rsid w:val="003240EA"/>
    <w:rsid w:val="003241DE"/>
    <w:rsid w:val="00324468"/>
    <w:rsid w:val="00324635"/>
    <w:rsid w:val="003246D6"/>
    <w:rsid w:val="00324714"/>
    <w:rsid w:val="00324A14"/>
    <w:rsid w:val="00324A2D"/>
    <w:rsid w:val="00324AA4"/>
    <w:rsid w:val="00324B5F"/>
    <w:rsid w:val="00324BA8"/>
    <w:rsid w:val="00324BBC"/>
    <w:rsid w:val="00324CD3"/>
    <w:rsid w:val="00324D26"/>
    <w:rsid w:val="00324E91"/>
    <w:rsid w:val="00324F2E"/>
    <w:rsid w:val="00324F47"/>
    <w:rsid w:val="00324FBA"/>
    <w:rsid w:val="00324FEB"/>
    <w:rsid w:val="0032503E"/>
    <w:rsid w:val="00325091"/>
    <w:rsid w:val="003250E0"/>
    <w:rsid w:val="00325198"/>
    <w:rsid w:val="0032540D"/>
    <w:rsid w:val="00325662"/>
    <w:rsid w:val="00325675"/>
    <w:rsid w:val="00325754"/>
    <w:rsid w:val="0032591A"/>
    <w:rsid w:val="00325A9F"/>
    <w:rsid w:val="00325E32"/>
    <w:rsid w:val="00325E75"/>
    <w:rsid w:val="00325F70"/>
    <w:rsid w:val="00325F94"/>
    <w:rsid w:val="0032601B"/>
    <w:rsid w:val="00326044"/>
    <w:rsid w:val="003262DF"/>
    <w:rsid w:val="0032651C"/>
    <w:rsid w:val="00326637"/>
    <w:rsid w:val="00326712"/>
    <w:rsid w:val="00326722"/>
    <w:rsid w:val="00326A38"/>
    <w:rsid w:val="00326BD4"/>
    <w:rsid w:val="00326BE3"/>
    <w:rsid w:val="00326CF1"/>
    <w:rsid w:val="00326E4A"/>
    <w:rsid w:val="00326F77"/>
    <w:rsid w:val="00326FD5"/>
    <w:rsid w:val="00327088"/>
    <w:rsid w:val="00327092"/>
    <w:rsid w:val="003272B3"/>
    <w:rsid w:val="0032751A"/>
    <w:rsid w:val="00327549"/>
    <w:rsid w:val="00327687"/>
    <w:rsid w:val="003276E5"/>
    <w:rsid w:val="00327764"/>
    <w:rsid w:val="00327AF6"/>
    <w:rsid w:val="00327C59"/>
    <w:rsid w:val="00327D20"/>
    <w:rsid w:val="00327E70"/>
    <w:rsid w:val="00327F58"/>
    <w:rsid w:val="00327FEE"/>
    <w:rsid w:val="00330015"/>
    <w:rsid w:val="00330104"/>
    <w:rsid w:val="00330169"/>
    <w:rsid w:val="0033026D"/>
    <w:rsid w:val="0033037D"/>
    <w:rsid w:val="003303DA"/>
    <w:rsid w:val="0033078E"/>
    <w:rsid w:val="00330797"/>
    <w:rsid w:val="0033081C"/>
    <w:rsid w:val="00330945"/>
    <w:rsid w:val="0033094E"/>
    <w:rsid w:val="00330997"/>
    <w:rsid w:val="003309CC"/>
    <w:rsid w:val="00330BEF"/>
    <w:rsid w:val="00330CAE"/>
    <w:rsid w:val="00330CC2"/>
    <w:rsid w:val="00330FBF"/>
    <w:rsid w:val="0033130F"/>
    <w:rsid w:val="00331340"/>
    <w:rsid w:val="003313DA"/>
    <w:rsid w:val="003313DC"/>
    <w:rsid w:val="0033141D"/>
    <w:rsid w:val="0033148B"/>
    <w:rsid w:val="003314A9"/>
    <w:rsid w:val="00331553"/>
    <w:rsid w:val="00331566"/>
    <w:rsid w:val="00331587"/>
    <w:rsid w:val="00331591"/>
    <w:rsid w:val="0033159F"/>
    <w:rsid w:val="0033170A"/>
    <w:rsid w:val="00331762"/>
    <w:rsid w:val="00331A8E"/>
    <w:rsid w:val="00331A93"/>
    <w:rsid w:val="00331AEF"/>
    <w:rsid w:val="00331B2D"/>
    <w:rsid w:val="00331B2E"/>
    <w:rsid w:val="00331B31"/>
    <w:rsid w:val="00331B40"/>
    <w:rsid w:val="00331D8F"/>
    <w:rsid w:val="00331F62"/>
    <w:rsid w:val="003321FD"/>
    <w:rsid w:val="003322C6"/>
    <w:rsid w:val="00332300"/>
    <w:rsid w:val="003323E7"/>
    <w:rsid w:val="00332423"/>
    <w:rsid w:val="00332641"/>
    <w:rsid w:val="003327F0"/>
    <w:rsid w:val="0033283A"/>
    <w:rsid w:val="00332968"/>
    <w:rsid w:val="003329B5"/>
    <w:rsid w:val="00332C44"/>
    <w:rsid w:val="00332C5D"/>
    <w:rsid w:val="00332CA2"/>
    <w:rsid w:val="00332CFB"/>
    <w:rsid w:val="00332FB0"/>
    <w:rsid w:val="00333044"/>
    <w:rsid w:val="003330B7"/>
    <w:rsid w:val="0033329E"/>
    <w:rsid w:val="003333BA"/>
    <w:rsid w:val="003334EA"/>
    <w:rsid w:val="00333549"/>
    <w:rsid w:val="003335BC"/>
    <w:rsid w:val="00333659"/>
    <w:rsid w:val="003339A4"/>
    <w:rsid w:val="00333EF4"/>
    <w:rsid w:val="00334126"/>
    <w:rsid w:val="003341E1"/>
    <w:rsid w:val="003343C7"/>
    <w:rsid w:val="0033448F"/>
    <w:rsid w:val="00334564"/>
    <w:rsid w:val="0033457B"/>
    <w:rsid w:val="0033466F"/>
    <w:rsid w:val="0033487E"/>
    <w:rsid w:val="003349A7"/>
    <w:rsid w:val="00334AF8"/>
    <w:rsid w:val="00334B6B"/>
    <w:rsid w:val="00334C63"/>
    <w:rsid w:val="00334DC0"/>
    <w:rsid w:val="00334E44"/>
    <w:rsid w:val="00334FDB"/>
    <w:rsid w:val="00335032"/>
    <w:rsid w:val="0033508E"/>
    <w:rsid w:val="003351CB"/>
    <w:rsid w:val="003351EA"/>
    <w:rsid w:val="00335334"/>
    <w:rsid w:val="00335336"/>
    <w:rsid w:val="00335391"/>
    <w:rsid w:val="00335441"/>
    <w:rsid w:val="00335489"/>
    <w:rsid w:val="00335701"/>
    <w:rsid w:val="0033588E"/>
    <w:rsid w:val="00335A6F"/>
    <w:rsid w:val="00335C68"/>
    <w:rsid w:val="00335CFC"/>
    <w:rsid w:val="00335D73"/>
    <w:rsid w:val="00335EC4"/>
    <w:rsid w:val="00335F74"/>
    <w:rsid w:val="00335FA4"/>
    <w:rsid w:val="003361FF"/>
    <w:rsid w:val="00336356"/>
    <w:rsid w:val="00336421"/>
    <w:rsid w:val="0033644F"/>
    <w:rsid w:val="003365BE"/>
    <w:rsid w:val="00336646"/>
    <w:rsid w:val="0033669D"/>
    <w:rsid w:val="003366F6"/>
    <w:rsid w:val="003367E5"/>
    <w:rsid w:val="003368CE"/>
    <w:rsid w:val="00336909"/>
    <w:rsid w:val="00337000"/>
    <w:rsid w:val="003370C7"/>
    <w:rsid w:val="003372F9"/>
    <w:rsid w:val="0033746D"/>
    <w:rsid w:val="0033757A"/>
    <w:rsid w:val="00337580"/>
    <w:rsid w:val="00337598"/>
    <w:rsid w:val="0033771F"/>
    <w:rsid w:val="0033776F"/>
    <w:rsid w:val="00337959"/>
    <w:rsid w:val="00337B63"/>
    <w:rsid w:val="00337CC2"/>
    <w:rsid w:val="00337FFD"/>
    <w:rsid w:val="003400B4"/>
    <w:rsid w:val="00340132"/>
    <w:rsid w:val="00340141"/>
    <w:rsid w:val="00340432"/>
    <w:rsid w:val="003404E0"/>
    <w:rsid w:val="003406B8"/>
    <w:rsid w:val="003409AE"/>
    <w:rsid w:val="003409D3"/>
    <w:rsid w:val="00340A6F"/>
    <w:rsid w:val="00340AB4"/>
    <w:rsid w:val="00340B0A"/>
    <w:rsid w:val="00340D9F"/>
    <w:rsid w:val="00340E1B"/>
    <w:rsid w:val="00341086"/>
    <w:rsid w:val="003410A6"/>
    <w:rsid w:val="003410C5"/>
    <w:rsid w:val="0034147D"/>
    <w:rsid w:val="003414C3"/>
    <w:rsid w:val="0034155F"/>
    <w:rsid w:val="003415DF"/>
    <w:rsid w:val="0034170F"/>
    <w:rsid w:val="003418E0"/>
    <w:rsid w:val="00341907"/>
    <w:rsid w:val="0034196F"/>
    <w:rsid w:val="00341B57"/>
    <w:rsid w:val="00342004"/>
    <w:rsid w:val="0034209A"/>
    <w:rsid w:val="003421E3"/>
    <w:rsid w:val="0034252F"/>
    <w:rsid w:val="00342569"/>
    <w:rsid w:val="00342599"/>
    <w:rsid w:val="003425D9"/>
    <w:rsid w:val="0034273E"/>
    <w:rsid w:val="0034278C"/>
    <w:rsid w:val="003427E5"/>
    <w:rsid w:val="00342822"/>
    <w:rsid w:val="0034292A"/>
    <w:rsid w:val="00342AFA"/>
    <w:rsid w:val="00342B61"/>
    <w:rsid w:val="00342B78"/>
    <w:rsid w:val="00342D2F"/>
    <w:rsid w:val="00342E02"/>
    <w:rsid w:val="00342E54"/>
    <w:rsid w:val="00342EE4"/>
    <w:rsid w:val="00343139"/>
    <w:rsid w:val="003432A5"/>
    <w:rsid w:val="00343364"/>
    <w:rsid w:val="0034343F"/>
    <w:rsid w:val="00343503"/>
    <w:rsid w:val="0034382A"/>
    <w:rsid w:val="00343B13"/>
    <w:rsid w:val="00343F5D"/>
    <w:rsid w:val="0034404F"/>
    <w:rsid w:val="00344054"/>
    <w:rsid w:val="0034405F"/>
    <w:rsid w:val="003440CA"/>
    <w:rsid w:val="003440ED"/>
    <w:rsid w:val="003442E0"/>
    <w:rsid w:val="00344614"/>
    <w:rsid w:val="0034463F"/>
    <w:rsid w:val="003446E9"/>
    <w:rsid w:val="00344801"/>
    <w:rsid w:val="0034480B"/>
    <w:rsid w:val="00344844"/>
    <w:rsid w:val="0034498C"/>
    <w:rsid w:val="00344A19"/>
    <w:rsid w:val="00344AD0"/>
    <w:rsid w:val="00344C26"/>
    <w:rsid w:val="00344C99"/>
    <w:rsid w:val="00344D97"/>
    <w:rsid w:val="00344DB6"/>
    <w:rsid w:val="00344E0F"/>
    <w:rsid w:val="0034529C"/>
    <w:rsid w:val="003452D4"/>
    <w:rsid w:val="003452FF"/>
    <w:rsid w:val="0034530F"/>
    <w:rsid w:val="0034549A"/>
    <w:rsid w:val="0034549E"/>
    <w:rsid w:val="00345505"/>
    <w:rsid w:val="00345558"/>
    <w:rsid w:val="00345A64"/>
    <w:rsid w:val="00345CAE"/>
    <w:rsid w:val="00345D21"/>
    <w:rsid w:val="00345D82"/>
    <w:rsid w:val="00345DA8"/>
    <w:rsid w:val="00345E37"/>
    <w:rsid w:val="00345F98"/>
    <w:rsid w:val="0034601F"/>
    <w:rsid w:val="00346043"/>
    <w:rsid w:val="0034633C"/>
    <w:rsid w:val="003463A7"/>
    <w:rsid w:val="0034650F"/>
    <w:rsid w:val="00346511"/>
    <w:rsid w:val="003465FC"/>
    <w:rsid w:val="0034666A"/>
    <w:rsid w:val="00346698"/>
    <w:rsid w:val="003468CD"/>
    <w:rsid w:val="00346971"/>
    <w:rsid w:val="003469F4"/>
    <w:rsid w:val="00346BCF"/>
    <w:rsid w:val="00346C62"/>
    <w:rsid w:val="00346CA3"/>
    <w:rsid w:val="00346CAC"/>
    <w:rsid w:val="00346DBA"/>
    <w:rsid w:val="00346F52"/>
    <w:rsid w:val="003470B4"/>
    <w:rsid w:val="00347170"/>
    <w:rsid w:val="00347333"/>
    <w:rsid w:val="003474E9"/>
    <w:rsid w:val="0034762A"/>
    <w:rsid w:val="0034776B"/>
    <w:rsid w:val="00347AFC"/>
    <w:rsid w:val="00347B4A"/>
    <w:rsid w:val="00347EC2"/>
    <w:rsid w:val="00347F41"/>
    <w:rsid w:val="00347F44"/>
    <w:rsid w:val="00347F84"/>
    <w:rsid w:val="00347F8F"/>
    <w:rsid w:val="00350039"/>
    <w:rsid w:val="00350298"/>
    <w:rsid w:val="0035045F"/>
    <w:rsid w:val="00350517"/>
    <w:rsid w:val="003505F2"/>
    <w:rsid w:val="003506A0"/>
    <w:rsid w:val="00350763"/>
    <w:rsid w:val="0035098C"/>
    <w:rsid w:val="003509AA"/>
    <w:rsid w:val="00350AC4"/>
    <w:rsid w:val="00350AC7"/>
    <w:rsid w:val="00350B93"/>
    <w:rsid w:val="00350CDC"/>
    <w:rsid w:val="00350D22"/>
    <w:rsid w:val="00350E7E"/>
    <w:rsid w:val="00350FF8"/>
    <w:rsid w:val="00351054"/>
    <w:rsid w:val="0035108C"/>
    <w:rsid w:val="00351096"/>
    <w:rsid w:val="0035114E"/>
    <w:rsid w:val="00351259"/>
    <w:rsid w:val="00351490"/>
    <w:rsid w:val="003514A9"/>
    <w:rsid w:val="003515B9"/>
    <w:rsid w:val="003516BF"/>
    <w:rsid w:val="00351704"/>
    <w:rsid w:val="00351760"/>
    <w:rsid w:val="0035180B"/>
    <w:rsid w:val="003519AB"/>
    <w:rsid w:val="00351A6F"/>
    <w:rsid w:val="00351CA3"/>
    <w:rsid w:val="00351CB4"/>
    <w:rsid w:val="00351CBB"/>
    <w:rsid w:val="00351E73"/>
    <w:rsid w:val="00351F62"/>
    <w:rsid w:val="0035202F"/>
    <w:rsid w:val="0035212E"/>
    <w:rsid w:val="00352380"/>
    <w:rsid w:val="003523D2"/>
    <w:rsid w:val="00352472"/>
    <w:rsid w:val="003526EA"/>
    <w:rsid w:val="00352760"/>
    <w:rsid w:val="00352B96"/>
    <w:rsid w:val="00352BC3"/>
    <w:rsid w:val="00352BEC"/>
    <w:rsid w:val="00352D7C"/>
    <w:rsid w:val="00352E22"/>
    <w:rsid w:val="003530DB"/>
    <w:rsid w:val="0035330E"/>
    <w:rsid w:val="00353681"/>
    <w:rsid w:val="003536F5"/>
    <w:rsid w:val="00353873"/>
    <w:rsid w:val="003538E2"/>
    <w:rsid w:val="00353910"/>
    <w:rsid w:val="00353A1D"/>
    <w:rsid w:val="00353AFE"/>
    <w:rsid w:val="00353CB5"/>
    <w:rsid w:val="00353D4A"/>
    <w:rsid w:val="00353EB8"/>
    <w:rsid w:val="00354216"/>
    <w:rsid w:val="0035427C"/>
    <w:rsid w:val="003542CA"/>
    <w:rsid w:val="003542D5"/>
    <w:rsid w:val="0035432C"/>
    <w:rsid w:val="00354470"/>
    <w:rsid w:val="00354570"/>
    <w:rsid w:val="003547C1"/>
    <w:rsid w:val="003548C3"/>
    <w:rsid w:val="003548E2"/>
    <w:rsid w:val="00354934"/>
    <w:rsid w:val="00354A27"/>
    <w:rsid w:val="00354AC3"/>
    <w:rsid w:val="00354CBA"/>
    <w:rsid w:val="00354D86"/>
    <w:rsid w:val="00354DAC"/>
    <w:rsid w:val="00355103"/>
    <w:rsid w:val="00355170"/>
    <w:rsid w:val="003552D0"/>
    <w:rsid w:val="0035539C"/>
    <w:rsid w:val="00355619"/>
    <w:rsid w:val="003556B5"/>
    <w:rsid w:val="003557D9"/>
    <w:rsid w:val="00355C05"/>
    <w:rsid w:val="00355C63"/>
    <w:rsid w:val="00355C96"/>
    <w:rsid w:val="00355CC1"/>
    <w:rsid w:val="00355CE9"/>
    <w:rsid w:val="00355D08"/>
    <w:rsid w:val="00355D2E"/>
    <w:rsid w:val="00355E7E"/>
    <w:rsid w:val="00355FBA"/>
    <w:rsid w:val="00356242"/>
    <w:rsid w:val="003567C7"/>
    <w:rsid w:val="0035698E"/>
    <w:rsid w:val="00356AC1"/>
    <w:rsid w:val="00356B26"/>
    <w:rsid w:val="00356B8A"/>
    <w:rsid w:val="00356BB2"/>
    <w:rsid w:val="00356BC2"/>
    <w:rsid w:val="00356BE5"/>
    <w:rsid w:val="00356CF7"/>
    <w:rsid w:val="00356F31"/>
    <w:rsid w:val="00356FC9"/>
    <w:rsid w:val="00357119"/>
    <w:rsid w:val="003574FC"/>
    <w:rsid w:val="00357697"/>
    <w:rsid w:val="003576C2"/>
    <w:rsid w:val="003576ED"/>
    <w:rsid w:val="003577B3"/>
    <w:rsid w:val="003577EF"/>
    <w:rsid w:val="00357A38"/>
    <w:rsid w:val="00357A5F"/>
    <w:rsid w:val="00357C6E"/>
    <w:rsid w:val="00357E26"/>
    <w:rsid w:val="00357E8B"/>
    <w:rsid w:val="00360075"/>
    <w:rsid w:val="003601F6"/>
    <w:rsid w:val="0036035F"/>
    <w:rsid w:val="003603F6"/>
    <w:rsid w:val="003603FE"/>
    <w:rsid w:val="003604F3"/>
    <w:rsid w:val="0036058F"/>
    <w:rsid w:val="00360613"/>
    <w:rsid w:val="00360684"/>
    <w:rsid w:val="003606E9"/>
    <w:rsid w:val="00360725"/>
    <w:rsid w:val="0036090D"/>
    <w:rsid w:val="00360A23"/>
    <w:rsid w:val="00360B23"/>
    <w:rsid w:val="00360D2B"/>
    <w:rsid w:val="00360D63"/>
    <w:rsid w:val="00360DAD"/>
    <w:rsid w:val="00360E3D"/>
    <w:rsid w:val="003610B6"/>
    <w:rsid w:val="003610BE"/>
    <w:rsid w:val="00361103"/>
    <w:rsid w:val="0036111C"/>
    <w:rsid w:val="00361171"/>
    <w:rsid w:val="0036124B"/>
    <w:rsid w:val="003612E5"/>
    <w:rsid w:val="0036170B"/>
    <w:rsid w:val="0036172E"/>
    <w:rsid w:val="00361756"/>
    <w:rsid w:val="00361833"/>
    <w:rsid w:val="00361923"/>
    <w:rsid w:val="00361B93"/>
    <w:rsid w:val="00361C2C"/>
    <w:rsid w:val="00361E56"/>
    <w:rsid w:val="00362040"/>
    <w:rsid w:val="00362042"/>
    <w:rsid w:val="00362154"/>
    <w:rsid w:val="00362189"/>
    <w:rsid w:val="003621B8"/>
    <w:rsid w:val="00362218"/>
    <w:rsid w:val="003624D4"/>
    <w:rsid w:val="0036259C"/>
    <w:rsid w:val="00362630"/>
    <w:rsid w:val="00362668"/>
    <w:rsid w:val="0036269B"/>
    <w:rsid w:val="00362705"/>
    <w:rsid w:val="003628C9"/>
    <w:rsid w:val="00362D45"/>
    <w:rsid w:val="00362D55"/>
    <w:rsid w:val="00362D7F"/>
    <w:rsid w:val="003630F2"/>
    <w:rsid w:val="00363170"/>
    <w:rsid w:val="00363223"/>
    <w:rsid w:val="0036323D"/>
    <w:rsid w:val="00363405"/>
    <w:rsid w:val="0036367B"/>
    <w:rsid w:val="00363683"/>
    <w:rsid w:val="003636DA"/>
    <w:rsid w:val="0036388D"/>
    <w:rsid w:val="003638CE"/>
    <w:rsid w:val="003639E4"/>
    <w:rsid w:val="00363AC1"/>
    <w:rsid w:val="00363BB3"/>
    <w:rsid w:val="00363C0F"/>
    <w:rsid w:val="00363CB5"/>
    <w:rsid w:val="00363DFC"/>
    <w:rsid w:val="00363E35"/>
    <w:rsid w:val="00363E4D"/>
    <w:rsid w:val="00363EBE"/>
    <w:rsid w:val="003642AA"/>
    <w:rsid w:val="003643AE"/>
    <w:rsid w:val="003644AE"/>
    <w:rsid w:val="0036455F"/>
    <w:rsid w:val="0036462A"/>
    <w:rsid w:val="00364919"/>
    <w:rsid w:val="00364ABC"/>
    <w:rsid w:val="00364AC6"/>
    <w:rsid w:val="00364CF2"/>
    <w:rsid w:val="00364D10"/>
    <w:rsid w:val="00364E70"/>
    <w:rsid w:val="00364EF4"/>
    <w:rsid w:val="00364F38"/>
    <w:rsid w:val="003650FE"/>
    <w:rsid w:val="003651B4"/>
    <w:rsid w:val="0036523B"/>
    <w:rsid w:val="003652E2"/>
    <w:rsid w:val="003654AD"/>
    <w:rsid w:val="00365642"/>
    <w:rsid w:val="003656C4"/>
    <w:rsid w:val="00365761"/>
    <w:rsid w:val="0036578B"/>
    <w:rsid w:val="0036587A"/>
    <w:rsid w:val="00365A80"/>
    <w:rsid w:val="00365AFC"/>
    <w:rsid w:val="00365B0B"/>
    <w:rsid w:val="00365C85"/>
    <w:rsid w:val="00365ED9"/>
    <w:rsid w:val="00366519"/>
    <w:rsid w:val="003668AA"/>
    <w:rsid w:val="0036691C"/>
    <w:rsid w:val="00366AAE"/>
    <w:rsid w:val="00366AE4"/>
    <w:rsid w:val="00366BFE"/>
    <w:rsid w:val="00366C5B"/>
    <w:rsid w:val="00366E06"/>
    <w:rsid w:val="00366EBE"/>
    <w:rsid w:val="0036702D"/>
    <w:rsid w:val="0036710E"/>
    <w:rsid w:val="00367214"/>
    <w:rsid w:val="00367221"/>
    <w:rsid w:val="00367244"/>
    <w:rsid w:val="0036724B"/>
    <w:rsid w:val="0036730C"/>
    <w:rsid w:val="003675BE"/>
    <w:rsid w:val="0036773D"/>
    <w:rsid w:val="00367746"/>
    <w:rsid w:val="00367878"/>
    <w:rsid w:val="00367BDE"/>
    <w:rsid w:val="00367BEA"/>
    <w:rsid w:val="00367DE5"/>
    <w:rsid w:val="00367E7F"/>
    <w:rsid w:val="00367F01"/>
    <w:rsid w:val="00367F71"/>
    <w:rsid w:val="0037024F"/>
    <w:rsid w:val="00370325"/>
    <w:rsid w:val="0037038F"/>
    <w:rsid w:val="00370474"/>
    <w:rsid w:val="003704AD"/>
    <w:rsid w:val="00370706"/>
    <w:rsid w:val="003709B8"/>
    <w:rsid w:val="00370C85"/>
    <w:rsid w:val="00370F54"/>
    <w:rsid w:val="003712C2"/>
    <w:rsid w:val="0037144A"/>
    <w:rsid w:val="00371550"/>
    <w:rsid w:val="00371798"/>
    <w:rsid w:val="003717B1"/>
    <w:rsid w:val="00371918"/>
    <w:rsid w:val="00371994"/>
    <w:rsid w:val="00371C3B"/>
    <w:rsid w:val="00371F48"/>
    <w:rsid w:val="003720DB"/>
    <w:rsid w:val="003721C8"/>
    <w:rsid w:val="00372227"/>
    <w:rsid w:val="00372235"/>
    <w:rsid w:val="0037228F"/>
    <w:rsid w:val="003722B8"/>
    <w:rsid w:val="0037235A"/>
    <w:rsid w:val="003723D6"/>
    <w:rsid w:val="00372812"/>
    <w:rsid w:val="0037284A"/>
    <w:rsid w:val="00372A26"/>
    <w:rsid w:val="00372A67"/>
    <w:rsid w:val="00372D0C"/>
    <w:rsid w:val="00372EDF"/>
    <w:rsid w:val="003730C6"/>
    <w:rsid w:val="0037335E"/>
    <w:rsid w:val="00373378"/>
    <w:rsid w:val="003733AD"/>
    <w:rsid w:val="00373755"/>
    <w:rsid w:val="003738F2"/>
    <w:rsid w:val="00373A94"/>
    <w:rsid w:val="00373B3E"/>
    <w:rsid w:val="00373D04"/>
    <w:rsid w:val="00373EB3"/>
    <w:rsid w:val="00373FEB"/>
    <w:rsid w:val="00374006"/>
    <w:rsid w:val="003740A5"/>
    <w:rsid w:val="00374121"/>
    <w:rsid w:val="003741E8"/>
    <w:rsid w:val="003742E2"/>
    <w:rsid w:val="00374417"/>
    <w:rsid w:val="00374580"/>
    <w:rsid w:val="003745D6"/>
    <w:rsid w:val="003745DE"/>
    <w:rsid w:val="003746A5"/>
    <w:rsid w:val="003746DD"/>
    <w:rsid w:val="00374A00"/>
    <w:rsid w:val="00374A6D"/>
    <w:rsid w:val="00374BE2"/>
    <w:rsid w:val="00374C32"/>
    <w:rsid w:val="00374D7A"/>
    <w:rsid w:val="00374E6E"/>
    <w:rsid w:val="00374F9B"/>
    <w:rsid w:val="003750CF"/>
    <w:rsid w:val="003750F7"/>
    <w:rsid w:val="003751F2"/>
    <w:rsid w:val="00375359"/>
    <w:rsid w:val="00375373"/>
    <w:rsid w:val="00375393"/>
    <w:rsid w:val="0037539E"/>
    <w:rsid w:val="0037560D"/>
    <w:rsid w:val="00375832"/>
    <w:rsid w:val="00375871"/>
    <w:rsid w:val="003758DA"/>
    <w:rsid w:val="00375932"/>
    <w:rsid w:val="00375A13"/>
    <w:rsid w:val="00375D05"/>
    <w:rsid w:val="00375E81"/>
    <w:rsid w:val="00375EBE"/>
    <w:rsid w:val="00375FED"/>
    <w:rsid w:val="003761B7"/>
    <w:rsid w:val="003762A6"/>
    <w:rsid w:val="003762E4"/>
    <w:rsid w:val="00376344"/>
    <w:rsid w:val="00376347"/>
    <w:rsid w:val="00376417"/>
    <w:rsid w:val="00376489"/>
    <w:rsid w:val="0037649A"/>
    <w:rsid w:val="0037683E"/>
    <w:rsid w:val="0037692F"/>
    <w:rsid w:val="003769A8"/>
    <w:rsid w:val="003769D8"/>
    <w:rsid w:val="00376B40"/>
    <w:rsid w:val="00376B9A"/>
    <w:rsid w:val="00376D25"/>
    <w:rsid w:val="00376D84"/>
    <w:rsid w:val="00376EA5"/>
    <w:rsid w:val="00377052"/>
    <w:rsid w:val="003770EE"/>
    <w:rsid w:val="00377293"/>
    <w:rsid w:val="00377395"/>
    <w:rsid w:val="00377463"/>
    <w:rsid w:val="00377929"/>
    <w:rsid w:val="00377B72"/>
    <w:rsid w:val="00377C0E"/>
    <w:rsid w:val="00377DDC"/>
    <w:rsid w:val="00377F4C"/>
    <w:rsid w:val="00380042"/>
    <w:rsid w:val="00380141"/>
    <w:rsid w:val="0038031F"/>
    <w:rsid w:val="00380331"/>
    <w:rsid w:val="0038055E"/>
    <w:rsid w:val="0038058A"/>
    <w:rsid w:val="003805DE"/>
    <w:rsid w:val="00380689"/>
    <w:rsid w:val="00380700"/>
    <w:rsid w:val="0038078C"/>
    <w:rsid w:val="003808FA"/>
    <w:rsid w:val="00380909"/>
    <w:rsid w:val="00380952"/>
    <w:rsid w:val="00380A55"/>
    <w:rsid w:val="00380BC6"/>
    <w:rsid w:val="00380C4F"/>
    <w:rsid w:val="00380ED0"/>
    <w:rsid w:val="00380F95"/>
    <w:rsid w:val="00380FE0"/>
    <w:rsid w:val="00381107"/>
    <w:rsid w:val="00381265"/>
    <w:rsid w:val="003812CA"/>
    <w:rsid w:val="003812EE"/>
    <w:rsid w:val="00381356"/>
    <w:rsid w:val="003814C2"/>
    <w:rsid w:val="00381673"/>
    <w:rsid w:val="00381745"/>
    <w:rsid w:val="003818A0"/>
    <w:rsid w:val="003818AC"/>
    <w:rsid w:val="0038192C"/>
    <w:rsid w:val="0038194D"/>
    <w:rsid w:val="003819BA"/>
    <w:rsid w:val="00381B9E"/>
    <w:rsid w:val="00381DCD"/>
    <w:rsid w:val="00381F64"/>
    <w:rsid w:val="00382006"/>
    <w:rsid w:val="00382265"/>
    <w:rsid w:val="003824EC"/>
    <w:rsid w:val="003825EC"/>
    <w:rsid w:val="00382806"/>
    <w:rsid w:val="00382891"/>
    <w:rsid w:val="00382A72"/>
    <w:rsid w:val="00382AB1"/>
    <w:rsid w:val="00382B93"/>
    <w:rsid w:val="00382D42"/>
    <w:rsid w:val="00382E28"/>
    <w:rsid w:val="00382E58"/>
    <w:rsid w:val="00383004"/>
    <w:rsid w:val="0038313B"/>
    <w:rsid w:val="00383308"/>
    <w:rsid w:val="00383318"/>
    <w:rsid w:val="0038335D"/>
    <w:rsid w:val="003834C9"/>
    <w:rsid w:val="0038358B"/>
    <w:rsid w:val="003836FC"/>
    <w:rsid w:val="00383725"/>
    <w:rsid w:val="00383772"/>
    <w:rsid w:val="003837F1"/>
    <w:rsid w:val="003838E9"/>
    <w:rsid w:val="0038395D"/>
    <w:rsid w:val="003839A0"/>
    <w:rsid w:val="003839FE"/>
    <w:rsid w:val="00383B19"/>
    <w:rsid w:val="00383C3B"/>
    <w:rsid w:val="00383E95"/>
    <w:rsid w:val="00384082"/>
    <w:rsid w:val="003840EA"/>
    <w:rsid w:val="0038426D"/>
    <w:rsid w:val="003842F5"/>
    <w:rsid w:val="0038434E"/>
    <w:rsid w:val="00384499"/>
    <w:rsid w:val="003847A5"/>
    <w:rsid w:val="003847CD"/>
    <w:rsid w:val="003849BB"/>
    <w:rsid w:val="00384E65"/>
    <w:rsid w:val="00384EE0"/>
    <w:rsid w:val="00384F38"/>
    <w:rsid w:val="0038520A"/>
    <w:rsid w:val="0038521D"/>
    <w:rsid w:val="003852FB"/>
    <w:rsid w:val="0038532E"/>
    <w:rsid w:val="00385351"/>
    <w:rsid w:val="0038544E"/>
    <w:rsid w:val="00385489"/>
    <w:rsid w:val="003855CF"/>
    <w:rsid w:val="00385A79"/>
    <w:rsid w:val="00385B68"/>
    <w:rsid w:val="00385CAE"/>
    <w:rsid w:val="00385DFC"/>
    <w:rsid w:val="00386152"/>
    <w:rsid w:val="00386290"/>
    <w:rsid w:val="003862C1"/>
    <w:rsid w:val="0038658D"/>
    <w:rsid w:val="003865A4"/>
    <w:rsid w:val="003865E2"/>
    <w:rsid w:val="003866E0"/>
    <w:rsid w:val="0038670D"/>
    <w:rsid w:val="003867CA"/>
    <w:rsid w:val="00386962"/>
    <w:rsid w:val="00386983"/>
    <w:rsid w:val="00386991"/>
    <w:rsid w:val="00386A3A"/>
    <w:rsid w:val="00386AF4"/>
    <w:rsid w:val="00386BAC"/>
    <w:rsid w:val="00386BC8"/>
    <w:rsid w:val="00386D70"/>
    <w:rsid w:val="00386D87"/>
    <w:rsid w:val="00386ECF"/>
    <w:rsid w:val="00387172"/>
    <w:rsid w:val="00387205"/>
    <w:rsid w:val="0038728E"/>
    <w:rsid w:val="003873B4"/>
    <w:rsid w:val="003873EB"/>
    <w:rsid w:val="003873F5"/>
    <w:rsid w:val="00387507"/>
    <w:rsid w:val="0038762C"/>
    <w:rsid w:val="0038770F"/>
    <w:rsid w:val="0038772B"/>
    <w:rsid w:val="0038790A"/>
    <w:rsid w:val="003879A2"/>
    <w:rsid w:val="00387A90"/>
    <w:rsid w:val="00387B65"/>
    <w:rsid w:val="00387C39"/>
    <w:rsid w:val="00387D32"/>
    <w:rsid w:val="00387DA4"/>
    <w:rsid w:val="00387F4C"/>
    <w:rsid w:val="00387FE9"/>
    <w:rsid w:val="00390133"/>
    <w:rsid w:val="0039016B"/>
    <w:rsid w:val="00390238"/>
    <w:rsid w:val="00390276"/>
    <w:rsid w:val="00390362"/>
    <w:rsid w:val="00390534"/>
    <w:rsid w:val="003907DE"/>
    <w:rsid w:val="0039080F"/>
    <w:rsid w:val="003908C2"/>
    <w:rsid w:val="00390927"/>
    <w:rsid w:val="003909FC"/>
    <w:rsid w:val="00390A8B"/>
    <w:rsid w:val="00390B69"/>
    <w:rsid w:val="00390BD4"/>
    <w:rsid w:val="00390E4C"/>
    <w:rsid w:val="0039101C"/>
    <w:rsid w:val="00391073"/>
    <w:rsid w:val="003910D9"/>
    <w:rsid w:val="00391338"/>
    <w:rsid w:val="0039138F"/>
    <w:rsid w:val="003915CB"/>
    <w:rsid w:val="0039169A"/>
    <w:rsid w:val="00391709"/>
    <w:rsid w:val="00391767"/>
    <w:rsid w:val="00391880"/>
    <w:rsid w:val="00391BDC"/>
    <w:rsid w:val="00391BE8"/>
    <w:rsid w:val="00391CC0"/>
    <w:rsid w:val="00391DB8"/>
    <w:rsid w:val="00391EEA"/>
    <w:rsid w:val="00391F49"/>
    <w:rsid w:val="0039208F"/>
    <w:rsid w:val="00392133"/>
    <w:rsid w:val="00392166"/>
    <w:rsid w:val="0039220A"/>
    <w:rsid w:val="00392482"/>
    <w:rsid w:val="00392746"/>
    <w:rsid w:val="003927C6"/>
    <w:rsid w:val="00392813"/>
    <w:rsid w:val="003928D5"/>
    <w:rsid w:val="00392950"/>
    <w:rsid w:val="003929C6"/>
    <w:rsid w:val="00392B8C"/>
    <w:rsid w:val="00392BB2"/>
    <w:rsid w:val="00392EF7"/>
    <w:rsid w:val="00392F16"/>
    <w:rsid w:val="00392F53"/>
    <w:rsid w:val="00392F6B"/>
    <w:rsid w:val="003931E3"/>
    <w:rsid w:val="003931F8"/>
    <w:rsid w:val="0039326C"/>
    <w:rsid w:val="00393298"/>
    <w:rsid w:val="003934C7"/>
    <w:rsid w:val="003934E6"/>
    <w:rsid w:val="003935A0"/>
    <w:rsid w:val="003937E2"/>
    <w:rsid w:val="0039394B"/>
    <w:rsid w:val="00393977"/>
    <w:rsid w:val="00393A2D"/>
    <w:rsid w:val="00393AD7"/>
    <w:rsid w:val="00393B96"/>
    <w:rsid w:val="00393BA5"/>
    <w:rsid w:val="00393DAA"/>
    <w:rsid w:val="00393E02"/>
    <w:rsid w:val="0039426A"/>
    <w:rsid w:val="0039431F"/>
    <w:rsid w:val="00394329"/>
    <w:rsid w:val="00394357"/>
    <w:rsid w:val="0039444C"/>
    <w:rsid w:val="003946DD"/>
    <w:rsid w:val="003947E6"/>
    <w:rsid w:val="00394819"/>
    <w:rsid w:val="00394899"/>
    <w:rsid w:val="00394990"/>
    <w:rsid w:val="003949E9"/>
    <w:rsid w:val="00394A34"/>
    <w:rsid w:val="00394B06"/>
    <w:rsid w:val="00394E91"/>
    <w:rsid w:val="00394E98"/>
    <w:rsid w:val="00394F5A"/>
    <w:rsid w:val="0039503D"/>
    <w:rsid w:val="0039505A"/>
    <w:rsid w:val="00395562"/>
    <w:rsid w:val="003955C1"/>
    <w:rsid w:val="0039575B"/>
    <w:rsid w:val="00395AA7"/>
    <w:rsid w:val="00395BC3"/>
    <w:rsid w:val="00395BF5"/>
    <w:rsid w:val="00395EBE"/>
    <w:rsid w:val="00396085"/>
    <w:rsid w:val="003960C7"/>
    <w:rsid w:val="003961A4"/>
    <w:rsid w:val="003961EA"/>
    <w:rsid w:val="003962FD"/>
    <w:rsid w:val="00396384"/>
    <w:rsid w:val="003965A4"/>
    <w:rsid w:val="00396675"/>
    <w:rsid w:val="003966C7"/>
    <w:rsid w:val="0039685B"/>
    <w:rsid w:val="003968D6"/>
    <w:rsid w:val="00396A1F"/>
    <w:rsid w:val="00396A45"/>
    <w:rsid w:val="00396BF2"/>
    <w:rsid w:val="00396C4E"/>
    <w:rsid w:val="00396DD7"/>
    <w:rsid w:val="00396E56"/>
    <w:rsid w:val="00396EDD"/>
    <w:rsid w:val="00396FA4"/>
    <w:rsid w:val="00396FC9"/>
    <w:rsid w:val="003972F0"/>
    <w:rsid w:val="003973E7"/>
    <w:rsid w:val="003974B9"/>
    <w:rsid w:val="00397586"/>
    <w:rsid w:val="00397797"/>
    <w:rsid w:val="00397901"/>
    <w:rsid w:val="003979C4"/>
    <w:rsid w:val="00397A2C"/>
    <w:rsid w:val="00397B75"/>
    <w:rsid w:val="00397C66"/>
    <w:rsid w:val="00397D20"/>
    <w:rsid w:val="00397FCE"/>
    <w:rsid w:val="00397FDD"/>
    <w:rsid w:val="003A006B"/>
    <w:rsid w:val="003A014A"/>
    <w:rsid w:val="003A01D5"/>
    <w:rsid w:val="003A02C2"/>
    <w:rsid w:val="003A0659"/>
    <w:rsid w:val="003A071A"/>
    <w:rsid w:val="003A0721"/>
    <w:rsid w:val="003A0879"/>
    <w:rsid w:val="003A0A99"/>
    <w:rsid w:val="003A0AB1"/>
    <w:rsid w:val="003A0BB0"/>
    <w:rsid w:val="003A0BFB"/>
    <w:rsid w:val="003A0D4B"/>
    <w:rsid w:val="003A0E1C"/>
    <w:rsid w:val="003A0E7B"/>
    <w:rsid w:val="003A0E80"/>
    <w:rsid w:val="003A0ED6"/>
    <w:rsid w:val="003A0EF8"/>
    <w:rsid w:val="003A0F7F"/>
    <w:rsid w:val="003A1092"/>
    <w:rsid w:val="003A11B9"/>
    <w:rsid w:val="003A12BE"/>
    <w:rsid w:val="003A136B"/>
    <w:rsid w:val="003A14A3"/>
    <w:rsid w:val="003A1517"/>
    <w:rsid w:val="003A16E6"/>
    <w:rsid w:val="003A1806"/>
    <w:rsid w:val="003A1927"/>
    <w:rsid w:val="003A198E"/>
    <w:rsid w:val="003A1D61"/>
    <w:rsid w:val="003A1E3C"/>
    <w:rsid w:val="003A1E5C"/>
    <w:rsid w:val="003A1E85"/>
    <w:rsid w:val="003A1FC9"/>
    <w:rsid w:val="003A1FE1"/>
    <w:rsid w:val="003A2022"/>
    <w:rsid w:val="003A205A"/>
    <w:rsid w:val="003A20B0"/>
    <w:rsid w:val="003A20DE"/>
    <w:rsid w:val="003A2171"/>
    <w:rsid w:val="003A2244"/>
    <w:rsid w:val="003A22BC"/>
    <w:rsid w:val="003A2339"/>
    <w:rsid w:val="003A2419"/>
    <w:rsid w:val="003A2537"/>
    <w:rsid w:val="003A25C1"/>
    <w:rsid w:val="003A2997"/>
    <w:rsid w:val="003A2D8D"/>
    <w:rsid w:val="003A2DD2"/>
    <w:rsid w:val="003A2DE9"/>
    <w:rsid w:val="003A2DED"/>
    <w:rsid w:val="003A2E1B"/>
    <w:rsid w:val="003A301D"/>
    <w:rsid w:val="003A3258"/>
    <w:rsid w:val="003A32EE"/>
    <w:rsid w:val="003A334F"/>
    <w:rsid w:val="003A33BC"/>
    <w:rsid w:val="003A33E2"/>
    <w:rsid w:val="003A3438"/>
    <w:rsid w:val="003A34B6"/>
    <w:rsid w:val="003A389F"/>
    <w:rsid w:val="003A3A62"/>
    <w:rsid w:val="003A3A6A"/>
    <w:rsid w:val="003A3B11"/>
    <w:rsid w:val="003A3C9F"/>
    <w:rsid w:val="003A3F10"/>
    <w:rsid w:val="003A3F1B"/>
    <w:rsid w:val="003A3F79"/>
    <w:rsid w:val="003A4497"/>
    <w:rsid w:val="003A451B"/>
    <w:rsid w:val="003A45E2"/>
    <w:rsid w:val="003A4604"/>
    <w:rsid w:val="003A47FC"/>
    <w:rsid w:val="003A482D"/>
    <w:rsid w:val="003A4A5D"/>
    <w:rsid w:val="003A4A6B"/>
    <w:rsid w:val="003A4B59"/>
    <w:rsid w:val="003A4BCF"/>
    <w:rsid w:val="003A4C1D"/>
    <w:rsid w:val="003A4C65"/>
    <w:rsid w:val="003A4EF9"/>
    <w:rsid w:val="003A4F0D"/>
    <w:rsid w:val="003A4F4C"/>
    <w:rsid w:val="003A5077"/>
    <w:rsid w:val="003A507D"/>
    <w:rsid w:val="003A52AD"/>
    <w:rsid w:val="003A53E1"/>
    <w:rsid w:val="003A5488"/>
    <w:rsid w:val="003A55C2"/>
    <w:rsid w:val="003A58DF"/>
    <w:rsid w:val="003A5CE3"/>
    <w:rsid w:val="003A5DB3"/>
    <w:rsid w:val="003A5EC1"/>
    <w:rsid w:val="003A5FBF"/>
    <w:rsid w:val="003A6050"/>
    <w:rsid w:val="003A60AE"/>
    <w:rsid w:val="003A620F"/>
    <w:rsid w:val="003A6328"/>
    <w:rsid w:val="003A64D7"/>
    <w:rsid w:val="003A64FA"/>
    <w:rsid w:val="003A6524"/>
    <w:rsid w:val="003A65A6"/>
    <w:rsid w:val="003A6632"/>
    <w:rsid w:val="003A6638"/>
    <w:rsid w:val="003A6954"/>
    <w:rsid w:val="003A69C3"/>
    <w:rsid w:val="003A6C41"/>
    <w:rsid w:val="003A6D2F"/>
    <w:rsid w:val="003A6DC1"/>
    <w:rsid w:val="003A6E20"/>
    <w:rsid w:val="003A73E4"/>
    <w:rsid w:val="003A741F"/>
    <w:rsid w:val="003A785B"/>
    <w:rsid w:val="003A788E"/>
    <w:rsid w:val="003A7B1C"/>
    <w:rsid w:val="003A7B8B"/>
    <w:rsid w:val="003A7C1B"/>
    <w:rsid w:val="003A7CDD"/>
    <w:rsid w:val="003A7DEA"/>
    <w:rsid w:val="003A7FF7"/>
    <w:rsid w:val="003B00E7"/>
    <w:rsid w:val="003B03B6"/>
    <w:rsid w:val="003B0432"/>
    <w:rsid w:val="003B04B6"/>
    <w:rsid w:val="003B0643"/>
    <w:rsid w:val="003B0645"/>
    <w:rsid w:val="003B0698"/>
    <w:rsid w:val="003B094B"/>
    <w:rsid w:val="003B0B8C"/>
    <w:rsid w:val="003B0BF2"/>
    <w:rsid w:val="003B0CB3"/>
    <w:rsid w:val="003B0DC0"/>
    <w:rsid w:val="003B0EA5"/>
    <w:rsid w:val="003B0F08"/>
    <w:rsid w:val="003B0F37"/>
    <w:rsid w:val="003B0FEC"/>
    <w:rsid w:val="003B0FF0"/>
    <w:rsid w:val="003B1192"/>
    <w:rsid w:val="003B11A5"/>
    <w:rsid w:val="003B153D"/>
    <w:rsid w:val="003B1670"/>
    <w:rsid w:val="003B174A"/>
    <w:rsid w:val="003B17A0"/>
    <w:rsid w:val="003B1913"/>
    <w:rsid w:val="003B1990"/>
    <w:rsid w:val="003B1B4F"/>
    <w:rsid w:val="003B1E5D"/>
    <w:rsid w:val="003B2447"/>
    <w:rsid w:val="003B27D9"/>
    <w:rsid w:val="003B291E"/>
    <w:rsid w:val="003B2B3E"/>
    <w:rsid w:val="003B2FF4"/>
    <w:rsid w:val="003B3099"/>
    <w:rsid w:val="003B31BC"/>
    <w:rsid w:val="003B325B"/>
    <w:rsid w:val="003B32F5"/>
    <w:rsid w:val="003B3379"/>
    <w:rsid w:val="003B33F6"/>
    <w:rsid w:val="003B34ED"/>
    <w:rsid w:val="003B35C1"/>
    <w:rsid w:val="003B35C7"/>
    <w:rsid w:val="003B366A"/>
    <w:rsid w:val="003B36DC"/>
    <w:rsid w:val="003B373D"/>
    <w:rsid w:val="003B37A1"/>
    <w:rsid w:val="003B3A7B"/>
    <w:rsid w:val="003B3ADE"/>
    <w:rsid w:val="003B3B17"/>
    <w:rsid w:val="003B3CFA"/>
    <w:rsid w:val="003B3E16"/>
    <w:rsid w:val="003B3F30"/>
    <w:rsid w:val="003B3F5A"/>
    <w:rsid w:val="003B402B"/>
    <w:rsid w:val="003B4326"/>
    <w:rsid w:val="003B4366"/>
    <w:rsid w:val="003B43D9"/>
    <w:rsid w:val="003B458B"/>
    <w:rsid w:val="003B4666"/>
    <w:rsid w:val="003B4698"/>
    <w:rsid w:val="003B46EE"/>
    <w:rsid w:val="003B4846"/>
    <w:rsid w:val="003B4855"/>
    <w:rsid w:val="003B504D"/>
    <w:rsid w:val="003B50A2"/>
    <w:rsid w:val="003B5195"/>
    <w:rsid w:val="003B535C"/>
    <w:rsid w:val="003B53D8"/>
    <w:rsid w:val="003B53EB"/>
    <w:rsid w:val="003B54EB"/>
    <w:rsid w:val="003B552B"/>
    <w:rsid w:val="003B56E4"/>
    <w:rsid w:val="003B57A8"/>
    <w:rsid w:val="003B57F3"/>
    <w:rsid w:val="003B58FC"/>
    <w:rsid w:val="003B590C"/>
    <w:rsid w:val="003B5958"/>
    <w:rsid w:val="003B5A16"/>
    <w:rsid w:val="003B5AEB"/>
    <w:rsid w:val="003B5BD8"/>
    <w:rsid w:val="003B5C92"/>
    <w:rsid w:val="003B6007"/>
    <w:rsid w:val="003B600B"/>
    <w:rsid w:val="003B602B"/>
    <w:rsid w:val="003B60FD"/>
    <w:rsid w:val="003B6453"/>
    <w:rsid w:val="003B64C6"/>
    <w:rsid w:val="003B65CA"/>
    <w:rsid w:val="003B685D"/>
    <w:rsid w:val="003B6930"/>
    <w:rsid w:val="003B6AA9"/>
    <w:rsid w:val="003B6AAE"/>
    <w:rsid w:val="003B6D11"/>
    <w:rsid w:val="003B6E4B"/>
    <w:rsid w:val="003B70DD"/>
    <w:rsid w:val="003B7889"/>
    <w:rsid w:val="003B7A51"/>
    <w:rsid w:val="003B7A60"/>
    <w:rsid w:val="003B7CBD"/>
    <w:rsid w:val="003B7D72"/>
    <w:rsid w:val="003B7F35"/>
    <w:rsid w:val="003B7F8D"/>
    <w:rsid w:val="003C0216"/>
    <w:rsid w:val="003C043D"/>
    <w:rsid w:val="003C046E"/>
    <w:rsid w:val="003C055C"/>
    <w:rsid w:val="003C0602"/>
    <w:rsid w:val="003C0832"/>
    <w:rsid w:val="003C0905"/>
    <w:rsid w:val="003C0CF8"/>
    <w:rsid w:val="003C0DFE"/>
    <w:rsid w:val="003C0F3C"/>
    <w:rsid w:val="003C107B"/>
    <w:rsid w:val="003C13C7"/>
    <w:rsid w:val="003C1491"/>
    <w:rsid w:val="003C14FD"/>
    <w:rsid w:val="003C1539"/>
    <w:rsid w:val="003C15E5"/>
    <w:rsid w:val="003C196B"/>
    <w:rsid w:val="003C1B12"/>
    <w:rsid w:val="003C1B9B"/>
    <w:rsid w:val="003C1C72"/>
    <w:rsid w:val="003C1C8D"/>
    <w:rsid w:val="003C1CD3"/>
    <w:rsid w:val="003C1D45"/>
    <w:rsid w:val="003C1EAB"/>
    <w:rsid w:val="003C1F01"/>
    <w:rsid w:val="003C1FDD"/>
    <w:rsid w:val="003C22BA"/>
    <w:rsid w:val="003C2380"/>
    <w:rsid w:val="003C238B"/>
    <w:rsid w:val="003C2407"/>
    <w:rsid w:val="003C242D"/>
    <w:rsid w:val="003C258A"/>
    <w:rsid w:val="003C25E4"/>
    <w:rsid w:val="003C2671"/>
    <w:rsid w:val="003C26E4"/>
    <w:rsid w:val="003C29FD"/>
    <w:rsid w:val="003C2AB7"/>
    <w:rsid w:val="003C2AE1"/>
    <w:rsid w:val="003C2B40"/>
    <w:rsid w:val="003C2EB4"/>
    <w:rsid w:val="003C3085"/>
    <w:rsid w:val="003C314D"/>
    <w:rsid w:val="003C34A2"/>
    <w:rsid w:val="003C388C"/>
    <w:rsid w:val="003C394B"/>
    <w:rsid w:val="003C3B1B"/>
    <w:rsid w:val="003C3B5A"/>
    <w:rsid w:val="003C3BB0"/>
    <w:rsid w:val="003C3C9F"/>
    <w:rsid w:val="003C3F42"/>
    <w:rsid w:val="003C40F5"/>
    <w:rsid w:val="003C417B"/>
    <w:rsid w:val="003C439E"/>
    <w:rsid w:val="003C44F1"/>
    <w:rsid w:val="003C4507"/>
    <w:rsid w:val="003C45D4"/>
    <w:rsid w:val="003C4606"/>
    <w:rsid w:val="003C499B"/>
    <w:rsid w:val="003C4A76"/>
    <w:rsid w:val="003C4C23"/>
    <w:rsid w:val="003C4C54"/>
    <w:rsid w:val="003C4EDA"/>
    <w:rsid w:val="003C4F41"/>
    <w:rsid w:val="003C51D8"/>
    <w:rsid w:val="003C532E"/>
    <w:rsid w:val="003C5456"/>
    <w:rsid w:val="003C5545"/>
    <w:rsid w:val="003C554B"/>
    <w:rsid w:val="003C564C"/>
    <w:rsid w:val="003C56B1"/>
    <w:rsid w:val="003C56CD"/>
    <w:rsid w:val="003C56E3"/>
    <w:rsid w:val="003C57DF"/>
    <w:rsid w:val="003C584E"/>
    <w:rsid w:val="003C5A39"/>
    <w:rsid w:val="003C5AE3"/>
    <w:rsid w:val="003C5D66"/>
    <w:rsid w:val="003C5DE8"/>
    <w:rsid w:val="003C5E37"/>
    <w:rsid w:val="003C5F40"/>
    <w:rsid w:val="003C60D8"/>
    <w:rsid w:val="003C61C6"/>
    <w:rsid w:val="003C61C8"/>
    <w:rsid w:val="003C6254"/>
    <w:rsid w:val="003C6270"/>
    <w:rsid w:val="003C63D3"/>
    <w:rsid w:val="003C660E"/>
    <w:rsid w:val="003C6636"/>
    <w:rsid w:val="003C6646"/>
    <w:rsid w:val="003C665E"/>
    <w:rsid w:val="003C6690"/>
    <w:rsid w:val="003C66FF"/>
    <w:rsid w:val="003C6888"/>
    <w:rsid w:val="003C6A00"/>
    <w:rsid w:val="003C6A56"/>
    <w:rsid w:val="003C6A60"/>
    <w:rsid w:val="003C6B12"/>
    <w:rsid w:val="003C6BD3"/>
    <w:rsid w:val="003C6C9B"/>
    <w:rsid w:val="003C6D3B"/>
    <w:rsid w:val="003C6DB6"/>
    <w:rsid w:val="003C6FBF"/>
    <w:rsid w:val="003C71AE"/>
    <w:rsid w:val="003C7210"/>
    <w:rsid w:val="003C7268"/>
    <w:rsid w:val="003C7320"/>
    <w:rsid w:val="003C748A"/>
    <w:rsid w:val="003C7A44"/>
    <w:rsid w:val="003C7CE1"/>
    <w:rsid w:val="003C7E4E"/>
    <w:rsid w:val="003D00B6"/>
    <w:rsid w:val="003D01D6"/>
    <w:rsid w:val="003D025C"/>
    <w:rsid w:val="003D02AB"/>
    <w:rsid w:val="003D0558"/>
    <w:rsid w:val="003D0662"/>
    <w:rsid w:val="003D0667"/>
    <w:rsid w:val="003D076B"/>
    <w:rsid w:val="003D079A"/>
    <w:rsid w:val="003D07D8"/>
    <w:rsid w:val="003D08CA"/>
    <w:rsid w:val="003D0B19"/>
    <w:rsid w:val="003D0B25"/>
    <w:rsid w:val="003D0B5C"/>
    <w:rsid w:val="003D0CCD"/>
    <w:rsid w:val="003D0DA5"/>
    <w:rsid w:val="003D0E38"/>
    <w:rsid w:val="003D0FA2"/>
    <w:rsid w:val="003D1143"/>
    <w:rsid w:val="003D1146"/>
    <w:rsid w:val="003D114D"/>
    <w:rsid w:val="003D12A2"/>
    <w:rsid w:val="003D1426"/>
    <w:rsid w:val="003D142E"/>
    <w:rsid w:val="003D14FD"/>
    <w:rsid w:val="003D1548"/>
    <w:rsid w:val="003D1604"/>
    <w:rsid w:val="003D1758"/>
    <w:rsid w:val="003D1BA9"/>
    <w:rsid w:val="003D1BC6"/>
    <w:rsid w:val="003D1BE5"/>
    <w:rsid w:val="003D1CA9"/>
    <w:rsid w:val="003D1D10"/>
    <w:rsid w:val="003D1D44"/>
    <w:rsid w:val="003D1F26"/>
    <w:rsid w:val="003D1F93"/>
    <w:rsid w:val="003D20FB"/>
    <w:rsid w:val="003D2136"/>
    <w:rsid w:val="003D224B"/>
    <w:rsid w:val="003D2331"/>
    <w:rsid w:val="003D2395"/>
    <w:rsid w:val="003D23E5"/>
    <w:rsid w:val="003D244A"/>
    <w:rsid w:val="003D2586"/>
    <w:rsid w:val="003D25EE"/>
    <w:rsid w:val="003D269D"/>
    <w:rsid w:val="003D278B"/>
    <w:rsid w:val="003D27F2"/>
    <w:rsid w:val="003D28CA"/>
    <w:rsid w:val="003D2AAE"/>
    <w:rsid w:val="003D2D96"/>
    <w:rsid w:val="003D30F3"/>
    <w:rsid w:val="003D3116"/>
    <w:rsid w:val="003D31F8"/>
    <w:rsid w:val="003D31FA"/>
    <w:rsid w:val="003D331A"/>
    <w:rsid w:val="003D33A1"/>
    <w:rsid w:val="003D342A"/>
    <w:rsid w:val="003D3591"/>
    <w:rsid w:val="003D35F2"/>
    <w:rsid w:val="003D3654"/>
    <w:rsid w:val="003D36E2"/>
    <w:rsid w:val="003D38C1"/>
    <w:rsid w:val="003D396B"/>
    <w:rsid w:val="003D3AD2"/>
    <w:rsid w:val="003D3FF6"/>
    <w:rsid w:val="003D4122"/>
    <w:rsid w:val="003D4190"/>
    <w:rsid w:val="003D4233"/>
    <w:rsid w:val="003D423B"/>
    <w:rsid w:val="003D4283"/>
    <w:rsid w:val="003D42BD"/>
    <w:rsid w:val="003D42C5"/>
    <w:rsid w:val="003D4365"/>
    <w:rsid w:val="003D4535"/>
    <w:rsid w:val="003D4676"/>
    <w:rsid w:val="003D4926"/>
    <w:rsid w:val="003D4958"/>
    <w:rsid w:val="003D4997"/>
    <w:rsid w:val="003D4B37"/>
    <w:rsid w:val="003D4C14"/>
    <w:rsid w:val="003D4CC6"/>
    <w:rsid w:val="003D4D25"/>
    <w:rsid w:val="003D4D9F"/>
    <w:rsid w:val="003D4DBF"/>
    <w:rsid w:val="003D4E5C"/>
    <w:rsid w:val="003D4E7C"/>
    <w:rsid w:val="003D4FDA"/>
    <w:rsid w:val="003D5073"/>
    <w:rsid w:val="003D50C5"/>
    <w:rsid w:val="003D523B"/>
    <w:rsid w:val="003D523E"/>
    <w:rsid w:val="003D5290"/>
    <w:rsid w:val="003D52B4"/>
    <w:rsid w:val="003D536F"/>
    <w:rsid w:val="003D537C"/>
    <w:rsid w:val="003D53DF"/>
    <w:rsid w:val="003D5426"/>
    <w:rsid w:val="003D54C8"/>
    <w:rsid w:val="003D553C"/>
    <w:rsid w:val="003D57E6"/>
    <w:rsid w:val="003D58AE"/>
    <w:rsid w:val="003D58C0"/>
    <w:rsid w:val="003D595D"/>
    <w:rsid w:val="003D5A1A"/>
    <w:rsid w:val="003D5C34"/>
    <w:rsid w:val="003D5E30"/>
    <w:rsid w:val="003D5F44"/>
    <w:rsid w:val="003D6261"/>
    <w:rsid w:val="003D636F"/>
    <w:rsid w:val="003D6550"/>
    <w:rsid w:val="003D6643"/>
    <w:rsid w:val="003D665D"/>
    <w:rsid w:val="003D66A4"/>
    <w:rsid w:val="003D67A6"/>
    <w:rsid w:val="003D68B4"/>
    <w:rsid w:val="003D6959"/>
    <w:rsid w:val="003D6A8B"/>
    <w:rsid w:val="003D6B2F"/>
    <w:rsid w:val="003D6B80"/>
    <w:rsid w:val="003D6B81"/>
    <w:rsid w:val="003D6C83"/>
    <w:rsid w:val="003D6D21"/>
    <w:rsid w:val="003D6E10"/>
    <w:rsid w:val="003D6E18"/>
    <w:rsid w:val="003D6ED2"/>
    <w:rsid w:val="003D6F31"/>
    <w:rsid w:val="003D7005"/>
    <w:rsid w:val="003D7032"/>
    <w:rsid w:val="003D713B"/>
    <w:rsid w:val="003D7465"/>
    <w:rsid w:val="003D74C4"/>
    <w:rsid w:val="003D74C5"/>
    <w:rsid w:val="003D751A"/>
    <w:rsid w:val="003D7598"/>
    <w:rsid w:val="003D775F"/>
    <w:rsid w:val="003D7A30"/>
    <w:rsid w:val="003D7B81"/>
    <w:rsid w:val="003D7D91"/>
    <w:rsid w:val="003E0086"/>
    <w:rsid w:val="003E00CB"/>
    <w:rsid w:val="003E0196"/>
    <w:rsid w:val="003E02FF"/>
    <w:rsid w:val="003E034D"/>
    <w:rsid w:val="003E0526"/>
    <w:rsid w:val="003E072F"/>
    <w:rsid w:val="003E0971"/>
    <w:rsid w:val="003E0C96"/>
    <w:rsid w:val="003E0DDE"/>
    <w:rsid w:val="003E0FE9"/>
    <w:rsid w:val="003E101D"/>
    <w:rsid w:val="003E1094"/>
    <w:rsid w:val="003E10B5"/>
    <w:rsid w:val="003E1143"/>
    <w:rsid w:val="003E1299"/>
    <w:rsid w:val="003E12FC"/>
    <w:rsid w:val="003E13C7"/>
    <w:rsid w:val="003E13E8"/>
    <w:rsid w:val="003E14AB"/>
    <w:rsid w:val="003E1762"/>
    <w:rsid w:val="003E1768"/>
    <w:rsid w:val="003E18E0"/>
    <w:rsid w:val="003E1AF3"/>
    <w:rsid w:val="003E1B65"/>
    <w:rsid w:val="003E1C90"/>
    <w:rsid w:val="003E1CF6"/>
    <w:rsid w:val="003E1D5A"/>
    <w:rsid w:val="003E1D65"/>
    <w:rsid w:val="003E1E4B"/>
    <w:rsid w:val="003E2060"/>
    <w:rsid w:val="003E2077"/>
    <w:rsid w:val="003E2201"/>
    <w:rsid w:val="003E224A"/>
    <w:rsid w:val="003E2568"/>
    <w:rsid w:val="003E2597"/>
    <w:rsid w:val="003E2697"/>
    <w:rsid w:val="003E28D0"/>
    <w:rsid w:val="003E2C33"/>
    <w:rsid w:val="003E2CCC"/>
    <w:rsid w:val="003E2EFA"/>
    <w:rsid w:val="003E3248"/>
    <w:rsid w:val="003E3414"/>
    <w:rsid w:val="003E3446"/>
    <w:rsid w:val="003E34B8"/>
    <w:rsid w:val="003E383C"/>
    <w:rsid w:val="003E3843"/>
    <w:rsid w:val="003E38EE"/>
    <w:rsid w:val="003E3904"/>
    <w:rsid w:val="003E3A22"/>
    <w:rsid w:val="003E3C6B"/>
    <w:rsid w:val="003E3CD7"/>
    <w:rsid w:val="003E3CE0"/>
    <w:rsid w:val="003E3D83"/>
    <w:rsid w:val="003E3DB0"/>
    <w:rsid w:val="003E3DC4"/>
    <w:rsid w:val="003E3F24"/>
    <w:rsid w:val="003E41E4"/>
    <w:rsid w:val="003E4361"/>
    <w:rsid w:val="003E447C"/>
    <w:rsid w:val="003E45CE"/>
    <w:rsid w:val="003E45EF"/>
    <w:rsid w:val="003E46E2"/>
    <w:rsid w:val="003E4707"/>
    <w:rsid w:val="003E47A9"/>
    <w:rsid w:val="003E4E4F"/>
    <w:rsid w:val="003E522C"/>
    <w:rsid w:val="003E526C"/>
    <w:rsid w:val="003E52EE"/>
    <w:rsid w:val="003E53A2"/>
    <w:rsid w:val="003E53C6"/>
    <w:rsid w:val="003E5635"/>
    <w:rsid w:val="003E578D"/>
    <w:rsid w:val="003E597D"/>
    <w:rsid w:val="003E59D8"/>
    <w:rsid w:val="003E5C0E"/>
    <w:rsid w:val="003E5C79"/>
    <w:rsid w:val="003E5CD8"/>
    <w:rsid w:val="003E5CF6"/>
    <w:rsid w:val="003E5D88"/>
    <w:rsid w:val="003E60F0"/>
    <w:rsid w:val="003E6188"/>
    <w:rsid w:val="003E61C1"/>
    <w:rsid w:val="003E6278"/>
    <w:rsid w:val="003E6320"/>
    <w:rsid w:val="003E6363"/>
    <w:rsid w:val="003E6371"/>
    <w:rsid w:val="003E6414"/>
    <w:rsid w:val="003E646D"/>
    <w:rsid w:val="003E65D4"/>
    <w:rsid w:val="003E682D"/>
    <w:rsid w:val="003E6874"/>
    <w:rsid w:val="003E6ACA"/>
    <w:rsid w:val="003E6DDA"/>
    <w:rsid w:val="003E6E96"/>
    <w:rsid w:val="003E6EB6"/>
    <w:rsid w:val="003E6F96"/>
    <w:rsid w:val="003E6FF0"/>
    <w:rsid w:val="003E6FF6"/>
    <w:rsid w:val="003E70DE"/>
    <w:rsid w:val="003E718D"/>
    <w:rsid w:val="003E71B1"/>
    <w:rsid w:val="003E71C5"/>
    <w:rsid w:val="003E7291"/>
    <w:rsid w:val="003E7318"/>
    <w:rsid w:val="003E7399"/>
    <w:rsid w:val="003E750B"/>
    <w:rsid w:val="003E7643"/>
    <w:rsid w:val="003E7819"/>
    <w:rsid w:val="003E797C"/>
    <w:rsid w:val="003E79BD"/>
    <w:rsid w:val="003E79C5"/>
    <w:rsid w:val="003E7B2F"/>
    <w:rsid w:val="003E7C03"/>
    <w:rsid w:val="003E7C6D"/>
    <w:rsid w:val="003E7CF1"/>
    <w:rsid w:val="003E7DA0"/>
    <w:rsid w:val="003E7E29"/>
    <w:rsid w:val="003E7ECC"/>
    <w:rsid w:val="003E7FAF"/>
    <w:rsid w:val="003F0025"/>
    <w:rsid w:val="003F015F"/>
    <w:rsid w:val="003F0299"/>
    <w:rsid w:val="003F03E6"/>
    <w:rsid w:val="003F0418"/>
    <w:rsid w:val="003F042B"/>
    <w:rsid w:val="003F0664"/>
    <w:rsid w:val="003F06DE"/>
    <w:rsid w:val="003F0797"/>
    <w:rsid w:val="003F0A99"/>
    <w:rsid w:val="003F0B38"/>
    <w:rsid w:val="003F0C7D"/>
    <w:rsid w:val="003F0ED5"/>
    <w:rsid w:val="003F0FEE"/>
    <w:rsid w:val="003F102A"/>
    <w:rsid w:val="003F1063"/>
    <w:rsid w:val="003F112D"/>
    <w:rsid w:val="003F11EA"/>
    <w:rsid w:val="003F1262"/>
    <w:rsid w:val="003F1280"/>
    <w:rsid w:val="003F12BE"/>
    <w:rsid w:val="003F15B5"/>
    <w:rsid w:val="003F16FA"/>
    <w:rsid w:val="003F1710"/>
    <w:rsid w:val="003F1746"/>
    <w:rsid w:val="003F17A4"/>
    <w:rsid w:val="003F1820"/>
    <w:rsid w:val="003F18D3"/>
    <w:rsid w:val="003F1A75"/>
    <w:rsid w:val="003F1D14"/>
    <w:rsid w:val="003F1EE5"/>
    <w:rsid w:val="003F2667"/>
    <w:rsid w:val="003F26A3"/>
    <w:rsid w:val="003F271D"/>
    <w:rsid w:val="003F2797"/>
    <w:rsid w:val="003F2938"/>
    <w:rsid w:val="003F2A36"/>
    <w:rsid w:val="003F2A7B"/>
    <w:rsid w:val="003F2AF0"/>
    <w:rsid w:val="003F2AF2"/>
    <w:rsid w:val="003F2C6E"/>
    <w:rsid w:val="003F2E7A"/>
    <w:rsid w:val="003F2F52"/>
    <w:rsid w:val="003F3085"/>
    <w:rsid w:val="003F3098"/>
    <w:rsid w:val="003F3099"/>
    <w:rsid w:val="003F30AE"/>
    <w:rsid w:val="003F30FB"/>
    <w:rsid w:val="003F3100"/>
    <w:rsid w:val="003F320B"/>
    <w:rsid w:val="003F333C"/>
    <w:rsid w:val="003F336C"/>
    <w:rsid w:val="003F33F3"/>
    <w:rsid w:val="003F3462"/>
    <w:rsid w:val="003F34AD"/>
    <w:rsid w:val="003F3577"/>
    <w:rsid w:val="003F37A4"/>
    <w:rsid w:val="003F380F"/>
    <w:rsid w:val="003F38C1"/>
    <w:rsid w:val="003F393C"/>
    <w:rsid w:val="003F3A18"/>
    <w:rsid w:val="003F3B80"/>
    <w:rsid w:val="003F3C6E"/>
    <w:rsid w:val="003F3CFA"/>
    <w:rsid w:val="003F3F1B"/>
    <w:rsid w:val="003F446C"/>
    <w:rsid w:val="003F4680"/>
    <w:rsid w:val="003F46E1"/>
    <w:rsid w:val="003F48B5"/>
    <w:rsid w:val="003F48BD"/>
    <w:rsid w:val="003F4945"/>
    <w:rsid w:val="003F4A73"/>
    <w:rsid w:val="003F4B63"/>
    <w:rsid w:val="003F4C22"/>
    <w:rsid w:val="003F4C5A"/>
    <w:rsid w:val="003F4C64"/>
    <w:rsid w:val="003F5174"/>
    <w:rsid w:val="003F5379"/>
    <w:rsid w:val="003F5393"/>
    <w:rsid w:val="003F53B2"/>
    <w:rsid w:val="003F546E"/>
    <w:rsid w:val="003F5678"/>
    <w:rsid w:val="003F573C"/>
    <w:rsid w:val="003F5C47"/>
    <w:rsid w:val="003F5C99"/>
    <w:rsid w:val="003F5D82"/>
    <w:rsid w:val="003F5E9C"/>
    <w:rsid w:val="003F5F7E"/>
    <w:rsid w:val="003F6459"/>
    <w:rsid w:val="003F6579"/>
    <w:rsid w:val="003F65B9"/>
    <w:rsid w:val="003F663B"/>
    <w:rsid w:val="003F6772"/>
    <w:rsid w:val="003F6777"/>
    <w:rsid w:val="003F684E"/>
    <w:rsid w:val="003F6922"/>
    <w:rsid w:val="003F6B12"/>
    <w:rsid w:val="003F6B80"/>
    <w:rsid w:val="003F6BCE"/>
    <w:rsid w:val="003F6D0A"/>
    <w:rsid w:val="003F6D0D"/>
    <w:rsid w:val="003F6D26"/>
    <w:rsid w:val="003F6DA9"/>
    <w:rsid w:val="003F6E19"/>
    <w:rsid w:val="003F6E57"/>
    <w:rsid w:val="003F6E73"/>
    <w:rsid w:val="003F6F0A"/>
    <w:rsid w:val="003F7136"/>
    <w:rsid w:val="003F713D"/>
    <w:rsid w:val="003F7194"/>
    <w:rsid w:val="003F71F7"/>
    <w:rsid w:val="003F725C"/>
    <w:rsid w:val="003F72C6"/>
    <w:rsid w:val="003F72E6"/>
    <w:rsid w:val="003F7335"/>
    <w:rsid w:val="003F737C"/>
    <w:rsid w:val="003F76D1"/>
    <w:rsid w:val="003F7775"/>
    <w:rsid w:val="003F7797"/>
    <w:rsid w:val="003F782C"/>
    <w:rsid w:val="003F78DC"/>
    <w:rsid w:val="003F7A52"/>
    <w:rsid w:val="003F7D1C"/>
    <w:rsid w:val="003F7D62"/>
    <w:rsid w:val="003F7DB3"/>
    <w:rsid w:val="003F7F01"/>
    <w:rsid w:val="003F7F33"/>
    <w:rsid w:val="003F7F5B"/>
    <w:rsid w:val="0040025F"/>
    <w:rsid w:val="0040032C"/>
    <w:rsid w:val="004004FC"/>
    <w:rsid w:val="00400651"/>
    <w:rsid w:val="004006F7"/>
    <w:rsid w:val="00400712"/>
    <w:rsid w:val="00400A4C"/>
    <w:rsid w:val="00400CA6"/>
    <w:rsid w:val="00400CB6"/>
    <w:rsid w:val="00400CE9"/>
    <w:rsid w:val="00400EC7"/>
    <w:rsid w:val="0040104D"/>
    <w:rsid w:val="0040131F"/>
    <w:rsid w:val="0040143A"/>
    <w:rsid w:val="0040152C"/>
    <w:rsid w:val="004016F1"/>
    <w:rsid w:val="0040184F"/>
    <w:rsid w:val="004018B1"/>
    <w:rsid w:val="00401A75"/>
    <w:rsid w:val="00401B3B"/>
    <w:rsid w:val="00401B90"/>
    <w:rsid w:val="00401C4C"/>
    <w:rsid w:val="00401DBD"/>
    <w:rsid w:val="00401E65"/>
    <w:rsid w:val="00401E82"/>
    <w:rsid w:val="00402038"/>
    <w:rsid w:val="004023EE"/>
    <w:rsid w:val="004025C0"/>
    <w:rsid w:val="004025F5"/>
    <w:rsid w:val="00402623"/>
    <w:rsid w:val="004026EA"/>
    <w:rsid w:val="00402836"/>
    <w:rsid w:val="004028BD"/>
    <w:rsid w:val="004028F5"/>
    <w:rsid w:val="0040299B"/>
    <w:rsid w:val="004029CF"/>
    <w:rsid w:val="00402B45"/>
    <w:rsid w:val="00403159"/>
    <w:rsid w:val="00403275"/>
    <w:rsid w:val="004033DA"/>
    <w:rsid w:val="004033DD"/>
    <w:rsid w:val="004033EF"/>
    <w:rsid w:val="00403476"/>
    <w:rsid w:val="0040369D"/>
    <w:rsid w:val="004036D0"/>
    <w:rsid w:val="0040370B"/>
    <w:rsid w:val="00403794"/>
    <w:rsid w:val="0040381F"/>
    <w:rsid w:val="0040386C"/>
    <w:rsid w:val="004038F8"/>
    <w:rsid w:val="004038FB"/>
    <w:rsid w:val="00403988"/>
    <w:rsid w:val="00403C87"/>
    <w:rsid w:val="00403E5E"/>
    <w:rsid w:val="00403EEB"/>
    <w:rsid w:val="00404197"/>
    <w:rsid w:val="0040422C"/>
    <w:rsid w:val="00404527"/>
    <w:rsid w:val="004045A0"/>
    <w:rsid w:val="0040463E"/>
    <w:rsid w:val="00404791"/>
    <w:rsid w:val="00404C05"/>
    <w:rsid w:val="00404C67"/>
    <w:rsid w:val="00404CD8"/>
    <w:rsid w:val="00404E58"/>
    <w:rsid w:val="00404F1C"/>
    <w:rsid w:val="00405110"/>
    <w:rsid w:val="004051E0"/>
    <w:rsid w:val="004051E9"/>
    <w:rsid w:val="004053CD"/>
    <w:rsid w:val="004054C8"/>
    <w:rsid w:val="0040560E"/>
    <w:rsid w:val="0040584D"/>
    <w:rsid w:val="00405AC7"/>
    <w:rsid w:val="00405F56"/>
    <w:rsid w:val="00406115"/>
    <w:rsid w:val="00406161"/>
    <w:rsid w:val="004061F0"/>
    <w:rsid w:val="004062E9"/>
    <w:rsid w:val="0040637A"/>
    <w:rsid w:val="00406503"/>
    <w:rsid w:val="00406801"/>
    <w:rsid w:val="00406867"/>
    <w:rsid w:val="004069C5"/>
    <w:rsid w:val="00406B0A"/>
    <w:rsid w:val="00406C51"/>
    <w:rsid w:val="00406C62"/>
    <w:rsid w:val="00406C78"/>
    <w:rsid w:val="004072FE"/>
    <w:rsid w:val="0040730A"/>
    <w:rsid w:val="004073A0"/>
    <w:rsid w:val="004074F5"/>
    <w:rsid w:val="0040758D"/>
    <w:rsid w:val="00407681"/>
    <w:rsid w:val="004076EB"/>
    <w:rsid w:val="0040772E"/>
    <w:rsid w:val="004077C8"/>
    <w:rsid w:val="004077CC"/>
    <w:rsid w:val="00407931"/>
    <w:rsid w:val="0040796A"/>
    <w:rsid w:val="0040797E"/>
    <w:rsid w:val="00407A83"/>
    <w:rsid w:val="00407DB5"/>
    <w:rsid w:val="00407F9F"/>
    <w:rsid w:val="00410230"/>
    <w:rsid w:val="00410421"/>
    <w:rsid w:val="004107AA"/>
    <w:rsid w:val="00410925"/>
    <w:rsid w:val="00410DC3"/>
    <w:rsid w:val="00410E7D"/>
    <w:rsid w:val="00410EA4"/>
    <w:rsid w:val="004110BF"/>
    <w:rsid w:val="0041112A"/>
    <w:rsid w:val="0041138A"/>
    <w:rsid w:val="0041156D"/>
    <w:rsid w:val="00411669"/>
    <w:rsid w:val="00411796"/>
    <w:rsid w:val="00411810"/>
    <w:rsid w:val="00411A0A"/>
    <w:rsid w:val="00411BC7"/>
    <w:rsid w:val="00411D56"/>
    <w:rsid w:val="00411F7D"/>
    <w:rsid w:val="004120DD"/>
    <w:rsid w:val="0041230E"/>
    <w:rsid w:val="00412403"/>
    <w:rsid w:val="00412685"/>
    <w:rsid w:val="004127F8"/>
    <w:rsid w:val="004129B9"/>
    <w:rsid w:val="00412AD5"/>
    <w:rsid w:val="00412BF6"/>
    <w:rsid w:val="00412D76"/>
    <w:rsid w:val="00412DC6"/>
    <w:rsid w:val="00412E40"/>
    <w:rsid w:val="0041315F"/>
    <w:rsid w:val="004135F6"/>
    <w:rsid w:val="00413624"/>
    <w:rsid w:val="004136DF"/>
    <w:rsid w:val="0041399C"/>
    <w:rsid w:val="004139A2"/>
    <w:rsid w:val="00413A00"/>
    <w:rsid w:val="00413A3B"/>
    <w:rsid w:val="00413BA6"/>
    <w:rsid w:val="00413C83"/>
    <w:rsid w:val="00413F3C"/>
    <w:rsid w:val="00413FC4"/>
    <w:rsid w:val="004142CD"/>
    <w:rsid w:val="004143D8"/>
    <w:rsid w:val="004145B7"/>
    <w:rsid w:val="00414646"/>
    <w:rsid w:val="004146D1"/>
    <w:rsid w:val="004146E7"/>
    <w:rsid w:val="00414824"/>
    <w:rsid w:val="00414A95"/>
    <w:rsid w:val="00414FD5"/>
    <w:rsid w:val="00415079"/>
    <w:rsid w:val="00415103"/>
    <w:rsid w:val="004152A1"/>
    <w:rsid w:val="0041564C"/>
    <w:rsid w:val="004156F1"/>
    <w:rsid w:val="00415710"/>
    <w:rsid w:val="0041577F"/>
    <w:rsid w:val="004157F0"/>
    <w:rsid w:val="00415AE0"/>
    <w:rsid w:val="00415BC2"/>
    <w:rsid w:val="00415C18"/>
    <w:rsid w:val="00415D65"/>
    <w:rsid w:val="004160F5"/>
    <w:rsid w:val="00416323"/>
    <w:rsid w:val="00416328"/>
    <w:rsid w:val="00416790"/>
    <w:rsid w:val="0041683D"/>
    <w:rsid w:val="00416F64"/>
    <w:rsid w:val="00416FFA"/>
    <w:rsid w:val="00417002"/>
    <w:rsid w:val="0041719A"/>
    <w:rsid w:val="00417329"/>
    <w:rsid w:val="00417355"/>
    <w:rsid w:val="0041783A"/>
    <w:rsid w:val="004178C6"/>
    <w:rsid w:val="004178DB"/>
    <w:rsid w:val="00417A2A"/>
    <w:rsid w:val="00417BE5"/>
    <w:rsid w:val="00417CF4"/>
    <w:rsid w:val="00417D47"/>
    <w:rsid w:val="00417DE8"/>
    <w:rsid w:val="00417EC1"/>
    <w:rsid w:val="00417F38"/>
    <w:rsid w:val="00417F6D"/>
    <w:rsid w:val="0042005F"/>
    <w:rsid w:val="0042018F"/>
    <w:rsid w:val="004202BF"/>
    <w:rsid w:val="00420491"/>
    <w:rsid w:val="00420512"/>
    <w:rsid w:val="00420614"/>
    <w:rsid w:val="0042061B"/>
    <w:rsid w:val="0042074B"/>
    <w:rsid w:val="00420904"/>
    <w:rsid w:val="00420943"/>
    <w:rsid w:val="00420952"/>
    <w:rsid w:val="00420A9A"/>
    <w:rsid w:val="00420B34"/>
    <w:rsid w:val="00420C62"/>
    <w:rsid w:val="00420CD6"/>
    <w:rsid w:val="00420E33"/>
    <w:rsid w:val="00420F59"/>
    <w:rsid w:val="00420FC1"/>
    <w:rsid w:val="00420FDD"/>
    <w:rsid w:val="004210A6"/>
    <w:rsid w:val="00421141"/>
    <w:rsid w:val="00421308"/>
    <w:rsid w:val="004214D9"/>
    <w:rsid w:val="00421577"/>
    <w:rsid w:val="00421648"/>
    <w:rsid w:val="004216DF"/>
    <w:rsid w:val="0042171E"/>
    <w:rsid w:val="00421971"/>
    <w:rsid w:val="004219F6"/>
    <w:rsid w:val="00421BB1"/>
    <w:rsid w:val="00421BD6"/>
    <w:rsid w:val="00421BFA"/>
    <w:rsid w:val="00421C03"/>
    <w:rsid w:val="00421C5D"/>
    <w:rsid w:val="00421CDE"/>
    <w:rsid w:val="00421D6B"/>
    <w:rsid w:val="00421F09"/>
    <w:rsid w:val="004220CE"/>
    <w:rsid w:val="004221A4"/>
    <w:rsid w:val="0042225D"/>
    <w:rsid w:val="004222B1"/>
    <w:rsid w:val="004222E8"/>
    <w:rsid w:val="0042241A"/>
    <w:rsid w:val="004225FD"/>
    <w:rsid w:val="00422715"/>
    <w:rsid w:val="00422A12"/>
    <w:rsid w:val="00422A2C"/>
    <w:rsid w:val="00422AB2"/>
    <w:rsid w:val="00422D70"/>
    <w:rsid w:val="00422DA4"/>
    <w:rsid w:val="00422DDB"/>
    <w:rsid w:val="00422E91"/>
    <w:rsid w:val="00422F7D"/>
    <w:rsid w:val="00422FED"/>
    <w:rsid w:val="00423136"/>
    <w:rsid w:val="004231C4"/>
    <w:rsid w:val="00423581"/>
    <w:rsid w:val="0042373A"/>
    <w:rsid w:val="00423888"/>
    <w:rsid w:val="004238A0"/>
    <w:rsid w:val="00423A48"/>
    <w:rsid w:val="00423C8F"/>
    <w:rsid w:val="00423E65"/>
    <w:rsid w:val="00423EF4"/>
    <w:rsid w:val="004240FE"/>
    <w:rsid w:val="00424117"/>
    <w:rsid w:val="00424248"/>
    <w:rsid w:val="00424298"/>
    <w:rsid w:val="004243A0"/>
    <w:rsid w:val="00424461"/>
    <w:rsid w:val="00424661"/>
    <w:rsid w:val="004247CD"/>
    <w:rsid w:val="00424815"/>
    <w:rsid w:val="0042496B"/>
    <w:rsid w:val="004249C1"/>
    <w:rsid w:val="004249FE"/>
    <w:rsid w:val="00424C9D"/>
    <w:rsid w:val="004251FE"/>
    <w:rsid w:val="00425239"/>
    <w:rsid w:val="00425291"/>
    <w:rsid w:val="004252E1"/>
    <w:rsid w:val="00425334"/>
    <w:rsid w:val="00425763"/>
    <w:rsid w:val="00425865"/>
    <w:rsid w:val="00425B16"/>
    <w:rsid w:val="00425C3F"/>
    <w:rsid w:val="00425C5C"/>
    <w:rsid w:val="00425CAA"/>
    <w:rsid w:val="00425D8F"/>
    <w:rsid w:val="00425DA4"/>
    <w:rsid w:val="00425DB0"/>
    <w:rsid w:val="00425ED3"/>
    <w:rsid w:val="00425EE1"/>
    <w:rsid w:val="00425F2C"/>
    <w:rsid w:val="004260C3"/>
    <w:rsid w:val="0042624E"/>
    <w:rsid w:val="00426325"/>
    <w:rsid w:val="0042636B"/>
    <w:rsid w:val="004263DD"/>
    <w:rsid w:val="004264E1"/>
    <w:rsid w:val="00426504"/>
    <w:rsid w:val="00426599"/>
    <w:rsid w:val="004265CD"/>
    <w:rsid w:val="0042688E"/>
    <w:rsid w:val="004268B4"/>
    <w:rsid w:val="00426986"/>
    <w:rsid w:val="00426A52"/>
    <w:rsid w:val="00426CA7"/>
    <w:rsid w:val="00426D8A"/>
    <w:rsid w:val="00426DF0"/>
    <w:rsid w:val="00426F4A"/>
    <w:rsid w:val="00427030"/>
    <w:rsid w:val="0042709E"/>
    <w:rsid w:val="004270F7"/>
    <w:rsid w:val="004272E7"/>
    <w:rsid w:val="004272FD"/>
    <w:rsid w:val="0042751E"/>
    <w:rsid w:val="0042756F"/>
    <w:rsid w:val="00427786"/>
    <w:rsid w:val="004277B9"/>
    <w:rsid w:val="0042780C"/>
    <w:rsid w:val="004279C4"/>
    <w:rsid w:val="004279D2"/>
    <w:rsid w:val="00427A5E"/>
    <w:rsid w:val="00427AC6"/>
    <w:rsid w:val="00427B10"/>
    <w:rsid w:val="00427B4B"/>
    <w:rsid w:val="00427CB4"/>
    <w:rsid w:val="00427D52"/>
    <w:rsid w:val="00427E5D"/>
    <w:rsid w:val="004300D6"/>
    <w:rsid w:val="00430289"/>
    <w:rsid w:val="00430488"/>
    <w:rsid w:val="004304E4"/>
    <w:rsid w:val="0043070C"/>
    <w:rsid w:val="004307B1"/>
    <w:rsid w:val="00430827"/>
    <w:rsid w:val="004308B8"/>
    <w:rsid w:val="004308BC"/>
    <w:rsid w:val="0043096A"/>
    <w:rsid w:val="004309E1"/>
    <w:rsid w:val="004309EB"/>
    <w:rsid w:val="00430BC8"/>
    <w:rsid w:val="00430CE0"/>
    <w:rsid w:val="00430E16"/>
    <w:rsid w:val="00430E71"/>
    <w:rsid w:val="00430E85"/>
    <w:rsid w:val="00430ED3"/>
    <w:rsid w:val="00431129"/>
    <w:rsid w:val="00431156"/>
    <w:rsid w:val="00431372"/>
    <w:rsid w:val="00431530"/>
    <w:rsid w:val="0043157F"/>
    <w:rsid w:val="0043163B"/>
    <w:rsid w:val="0043169A"/>
    <w:rsid w:val="004316A3"/>
    <w:rsid w:val="004316F7"/>
    <w:rsid w:val="00431880"/>
    <w:rsid w:val="0043196B"/>
    <w:rsid w:val="00431A7E"/>
    <w:rsid w:val="00431A9B"/>
    <w:rsid w:val="00431B9A"/>
    <w:rsid w:val="00431E8A"/>
    <w:rsid w:val="00431EF7"/>
    <w:rsid w:val="00431F4C"/>
    <w:rsid w:val="00431F94"/>
    <w:rsid w:val="004321F7"/>
    <w:rsid w:val="004323BF"/>
    <w:rsid w:val="004325D6"/>
    <w:rsid w:val="00432669"/>
    <w:rsid w:val="00432ABE"/>
    <w:rsid w:val="00432B98"/>
    <w:rsid w:val="00432BB0"/>
    <w:rsid w:val="00432C37"/>
    <w:rsid w:val="00432C57"/>
    <w:rsid w:val="00432CF4"/>
    <w:rsid w:val="00432E02"/>
    <w:rsid w:val="00432EE5"/>
    <w:rsid w:val="00432EF4"/>
    <w:rsid w:val="004330C6"/>
    <w:rsid w:val="004331BF"/>
    <w:rsid w:val="004331FC"/>
    <w:rsid w:val="0043322C"/>
    <w:rsid w:val="00433288"/>
    <w:rsid w:val="004333EC"/>
    <w:rsid w:val="0043340D"/>
    <w:rsid w:val="0043344A"/>
    <w:rsid w:val="0043344E"/>
    <w:rsid w:val="00433576"/>
    <w:rsid w:val="004335D2"/>
    <w:rsid w:val="00433636"/>
    <w:rsid w:val="00433723"/>
    <w:rsid w:val="00433841"/>
    <w:rsid w:val="00433A96"/>
    <w:rsid w:val="00433A9D"/>
    <w:rsid w:val="00433AC9"/>
    <w:rsid w:val="00433B7F"/>
    <w:rsid w:val="00434124"/>
    <w:rsid w:val="004341F4"/>
    <w:rsid w:val="0043426F"/>
    <w:rsid w:val="0043460B"/>
    <w:rsid w:val="00434845"/>
    <w:rsid w:val="0043493D"/>
    <w:rsid w:val="00434956"/>
    <w:rsid w:val="004349D0"/>
    <w:rsid w:val="00434A0B"/>
    <w:rsid w:val="00434A12"/>
    <w:rsid w:val="00434ACD"/>
    <w:rsid w:val="00434B67"/>
    <w:rsid w:val="00434BF4"/>
    <w:rsid w:val="00434C4E"/>
    <w:rsid w:val="00434D7C"/>
    <w:rsid w:val="00434F21"/>
    <w:rsid w:val="00434F6F"/>
    <w:rsid w:val="00434F8A"/>
    <w:rsid w:val="004350CF"/>
    <w:rsid w:val="004352D4"/>
    <w:rsid w:val="00435475"/>
    <w:rsid w:val="00435542"/>
    <w:rsid w:val="0043563F"/>
    <w:rsid w:val="0043569C"/>
    <w:rsid w:val="004356A7"/>
    <w:rsid w:val="004357B7"/>
    <w:rsid w:val="004358DE"/>
    <w:rsid w:val="00435906"/>
    <w:rsid w:val="00435920"/>
    <w:rsid w:val="00435949"/>
    <w:rsid w:val="00435D11"/>
    <w:rsid w:val="00435E8A"/>
    <w:rsid w:val="00435F37"/>
    <w:rsid w:val="00436055"/>
    <w:rsid w:val="004362E3"/>
    <w:rsid w:val="00436341"/>
    <w:rsid w:val="00436431"/>
    <w:rsid w:val="004365B0"/>
    <w:rsid w:val="00436628"/>
    <w:rsid w:val="0043670A"/>
    <w:rsid w:val="00436E2A"/>
    <w:rsid w:val="00436E61"/>
    <w:rsid w:val="00436F66"/>
    <w:rsid w:val="00436F87"/>
    <w:rsid w:val="00437036"/>
    <w:rsid w:val="004372F4"/>
    <w:rsid w:val="00437414"/>
    <w:rsid w:val="004374F8"/>
    <w:rsid w:val="0043759C"/>
    <w:rsid w:val="0043773D"/>
    <w:rsid w:val="004378CB"/>
    <w:rsid w:val="004379E2"/>
    <w:rsid w:val="004379F2"/>
    <w:rsid w:val="00437AC8"/>
    <w:rsid w:val="00437C21"/>
    <w:rsid w:val="00437C58"/>
    <w:rsid w:val="0044001F"/>
    <w:rsid w:val="004400B2"/>
    <w:rsid w:val="004400ED"/>
    <w:rsid w:val="004404B3"/>
    <w:rsid w:val="00440545"/>
    <w:rsid w:val="00440590"/>
    <w:rsid w:val="004405D7"/>
    <w:rsid w:val="004405E1"/>
    <w:rsid w:val="00440720"/>
    <w:rsid w:val="004409B1"/>
    <w:rsid w:val="00440BB2"/>
    <w:rsid w:val="00440D01"/>
    <w:rsid w:val="00440E63"/>
    <w:rsid w:val="00440E99"/>
    <w:rsid w:val="00440F4A"/>
    <w:rsid w:val="004410E7"/>
    <w:rsid w:val="00441124"/>
    <w:rsid w:val="0044122D"/>
    <w:rsid w:val="00441659"/>
    <w:rsid w:val="004416AC"/>
    <w:rsid w:val="0044181C"/>
    <w:rsid w:val="00441890"/>
    <w:rsid w:val="004419D6"/>
    <w:rsid w:val="00441C5D"/>
    <w:rsid w:val="00441CD7"/>
    <w:rsid w:val="00441DCB"/>
    <w:rsid w:val="00441DDF"/>
    <w:rsid w:val="00441E5F"/>
    <w:rsid w:val="0044201E"/>
    <w:rsid w:val="00442066"/>
    <w:rsid w:val="00442317"/>
    <w:rsid w:val="0044237D"/>
    <w:rsid w:val="00442434"/>
    <w:rsid w:val="00442472"/>
    <w:rsid w:val="0044252F"/>
    <w:rsid w:val="0044256A"/>
    <w:rsid w:val="00442693"/>
    <w:rsid w:val="00442720"/>
    <w:rsid w:val="00442771"/>
    <w:rsid w:val="0044286F"/>
    <w:rsid w:val="00442BA4"/>
    <w:rsid w:val="00442BEE"/>
    <w:rsid w:val="00442E43"/>
    <w:rsid w:val="00442ED6"/>
    <w:rsid w:val="00442F09"/>
    <w:rsid w:val="0044301A"/>
    <w:rsid w:val="00443103"/>
    <w:rsid w:val="00443198"/>
    <w:rsid w:val="004432D5"/>
    <w:rsid w:val="004433E3"/>
    <w:rsid w:val="00443585"/>
    <w:rsid w:val="0044365D"/>
    <w:rsid w:val="004439B2"/>
    <w:rsid w:val="00443A38"/>
    <w:rsid w:val="00443BD8"/>
    <w:rsid w:val="0044404F"/>
    <w:rsid w:val="0044408E"/>
    <w:rsid w:val="0044423C"/>
    <w:rsid w:val="00444275"/>
    <w:rsid w:val="00444545"/>
    <w:rsid w:val="00444566"/>
    <w:rsid w:val="0044459A"/>
    <w:rsid w:val="00444691"/>
    <w:rsid w:val="00444BE7"/>
    <w:rsid w:val="00444D2B"/>
    <w:rsid w:val="00444DE2"/>
    <w:rsid w:val="00444DEA"/>
    <w:rsid w:val="00444FF6"/>
    <w:rsid w:val="004455C4"/>
    <w:rsid w:val="004455FC"/>
    <w:rsid w:val="004456C5"/>
    <w:rsid w:val="00445773"/>
    <w:rsid w:val="004459B1"/>
    <w:rsid w:val="004459D3"/>
    <w:rsid w:val="004459E2"/>
    <w:rsid w:val="00445AAB"/>
    <w:rsid w:val="00445AC4"/>
    <w:rsid w:val="00445D2C"/>
    <w:rsid w:val="00445EB9"/>
    <w:rsid w:val="004461FF"/>
    <w:rsid w:val="00446210"/>
    <w:rsid w:val="0044631D"/>
    <w:rsid w:val="00446366"/>
    <w:rsid w:val="004463AF"/>
    <w:rsid w:val="004463B9"/>
    <w:rsid w:val="004463D0"/>
    <w:rsid w:val="004463EA"/>
    <w:rsid w:val="004464E5"/>
    <w:rsid w:val="004465CF"/>
    <w:rsid w:val="004467D7"/>
    <w:rsid w:val="004468BF"/>
    <w:rsid w:val="004468F7"/>
    <w:rsid w:val="00446AAE"/>
    <w:rsid w:val="00446BE1"/>
    <w:rsid w:val="00446D8C"/>
    <w:rsid w:val="00446EF5"/>
    <w:rsid w:val="00446F5D"/>
    <w:rsid w:val="00446F7F"/>
    <w:rsid w:val="004470AE"/>
    <w:rsid w:val="00447516"/>
    <w:rsid w:val="00447542"/>
    <w:rsid w:val="00447727"/>
    <w:rsid w:val="00447765"/>
    <w:rsid w:val="004477A0"/>
    <w:rsid w:val="00447AC5"/>
    <w:rsid w:val="00447B0B"/>
    <w:rsid w:val="00447CAF"/>
    <w:rsid w:val="00447E54"/>
    <w:rsid w:val="00447EB8"/>
    <w:rsid w:val="00447EEC"/>
    <w:rsid w:val="00447F05"/>
    <w:rsid w:val="004501B3"/>
    <w:rsid w:val="004501CC"/>
    <w:rsid w:val="00450295"/>
    <w:rsid w:val="004502BD"/>
    <w:rsid w:val="004502EA"/>
    <w:rsid w:val="0045040D"/>
    <w:rsid w:val="004504E1"/>
    <w:rsid w:val="004505D3"/>
    <w:rsid w:val="0045071C"/>
    <w:rsid w:val="00450842"/>
    <w:rsid w:val="004508BC"/>
    <w:rsid w:val="004508EF"/>
    <w:rsid w:val="00450B9C"/>
    <w:rsid w:val="00450BF3"/>
    <w:rsid w:val="00450C39"/>
    <w:rsid w:val="00450CE7"/>
    <w:rsid w:val="00450F2E"/>
    <w:rsid w:val="00450FEC"/>
    <w:rsid w:val="0045107B"/>
    <w:rsid w:val="00451412"/>
    <w:rsid w:val="004515DB"/>
    <w:rsid w:val="004516D4"/>
    <w:rsid w:val="0045171C"/>
    <w:rsid w:val="00451916"/>
    <w:rsid w:val="00451B49"/>
    <w:rsid w:val="00451C9C"/>
    <w:rsid w:val="00451D33"/>
    <w:rsid w:val="00451DD8"/>
    <w:rsid w:val="00451F06"/>
    <w:rsid w:val="00451F61"/>
    <w:rsid w:val="0045247C"/>
    <w:rsid w:val="0045251A"/>
    <w:rsid w:val="004525F0"/>
    <w:rsid w:val="00452654"/>
    <w:rsid w:val="00452668"/>
    <w:rsid w:val="004528D8"/>
    <w:rsid w:val="0045295B"/>
    <w:rsid w:val="004529DE"/>
    <w:rsid w:val="00452BB4"/>
    <w:rsid w:val="00452C4F"/>
    <w:rsid w:val="00452C6F"/>
    <w:rsid w:val="00452D8B"/>
    <w:rsid w:val="00452DE5"/>
    <w:rsid w:val="00452ED5"/>
    <w:rsid w:val="00452F67"/>
    <w:rsid w:val="00452F68"/>
    <w:rsid w:val="0045302F"/>
    <w:rsid w:val="004530E3"/>
    <w:rsid w:val="004532AC"/>
    <w:rsid w:val="004532FF"/>
    <w:rsid w:val="004533CE"/>
    <w:rsid w:val="004535EF"/>
    <w:rsid w:val="00453858"/>
    <w:rsid w:val="004538C5"/>
    <w:rsid w:val="00453C79"/>
    <w:rsid w:val="00453DA9"/>
    <w:rsid w:val="00453E8B"/>
    <w:rsid w:val="00453EEC"/>
    <w:rsid w:val="00453FA0"/>
    <w:rsid w:val="00453FAA"/>
    <w:rsid w:val="004540A4"/>
    <w:rsid w:val="004540BD"/>
    <w:rsid w:val="00454149"/>
    <w:rsid w:val="004541CC"/>
    <w:rsid w:val="0045420D"/>
    <w:rsid w:val="004543C0"/>
    <w:rsid w:val="004543D1"/>
    <w:rsid w:val="00454537"/>
    <w:rsid w:val="004546B8"/>
    <w:rsid w:val="00454998"/>
    <w:rsid w:val="00454A4B"/>
    <w:rsid w:val="00454BC0"/>
    <w:rsid w:val="0045505D"/>
    <w:rsid w:val="0045528C"/>
    <w:rsid w:val="00455420"/>
    <w:rsid w:val="004555BF"/>
    <w:rsid w:val="0045572D"/>
    <w:rsid w:val="004558E8"/>
    <w:rsid w:val="0045590D"/>
    <w:rsid w:val="00455979"/>
    <w:rsid w:val="004559ED"/>
    <w:rsid w:val="00455A69"/>
    <w:rsid w:val="00455B2E"/>
    <w:rsid w:val="00455BA6"/>
    <w:rsid w:val="00455C36"/>
    <w:rsid w:val="00455DB9"/>
    <w:rsid w:val="00455E1F"/>
    <w:rsid w:val="00455FBD"/>
    <w:rsid w:val="004560B3"/>
    <w:rsid w:val="0045616F"/>
    <w:rsid w:val="00456210"/>
    <w:rsid w:val="00456252"/>
    <w:rsid w:val="00456280"/>
    <w:rsid w:val="0045645D"/>
    <w:rsid w:val="0045650E"/>
    <w:rsid w:val="00456615"/>
    <w:rsid w:val="004566F0"/>
    <w:rsid w:val="00456975"/>
    <w:rsid w:val="00456B1A"/>
    <w:rsid w:val="00456FE4"/>
    <w:rsid w:val="00457156"/>
    <w:rsid w:val="004574E4"/>
    <w:rsid w:val="00457503"/>
    <w:rsid w:val="00457543"/>
    <w:rsid w:val="00457662"/>
    <w:rsid w:val="00457809"/>
    <w:rsid w:val="00457A76"/>
    <w:rsid w:val="00457B35"/>
    <w:rsid w:val="00457B45"/>
    <w:rsid w:val="00457F1A"/>
    <w:rsid w:val="00457FF8"/>
    <w:rsid w:val="0046016F"/>
    <w:rsid w:val="0046056A"/>
    <w:rsid w:val="004605FE"/>
    <w:rsid w:val="00460653"/>
    <w:rsid w:val="00460673"/>
    <w:rsid w:val="004606F6"/>
    <w:rsid w:val="00460760"/>
    <w:rsid w:val="00460944"/>
    <w:rsid w:val="00460A27"/>
    <w:rsid w:val="00460B25"/>
    <w:rsid w:val="00460D7F"/>
    <w:rsid w:val="00460FB6"/>
    <w:rsid w:val="004611C1"/>
    <w:rsid w:val="00461248"/>
    <w:rsid w:val="0046135E"/>
    <w:rsid w:val="00461386"/>
    <w:rsid w:val="004614C0"/>
    <w:rsid w:val="004615DB"/>
    <w:rsid w:val="004616B3"/>
    <w:rsid w:val="00461852"/>
    <w:rsid w:val="00461877"/>
    <w:rsid w:val="00461A39"/>
    <w:rsid w:val="00461AC8"/>
    <w:rsid w:val="00461BC3"/>
    <w:rsid w:val="00461D4B"/>
    <w:rsid w:val="00461D66"/>
    <w:rsid w:val="00461D8A"/>
    <w:rsid w:val="00461DD0"/>
    <w:rsid w:val="00461E1B"/>
    <w:rsid w:val="00461FC2"/>
    <w:rsid w:val="0046202A"/>
    <w:rsid w:val="004620A3"/>
    <w:rsid w:val="0046212B"/>
    <w:rsid w:val="00462167"/>
    <w:rsid w:val="00462223"/>
    <w:rsid w:val="00462234"/>
    <w:rsid w:val="0046240F"/>
    <w:rsid w:val="004626B3"/>
    <w:rsid w:val="004626DC"/>
    <w:rsid w:val="00462978"/>
    <w:rsid w:val="0046298D"/>
    <w:rsid w:val="00462D2B"/>
    <w:rsid w:val="00462E52"/>
    <w:rsid w:val="00462E8A"/>
    <w:rsid w:val="00462F1F"/>
    <w:rsid w:val="00462FAC"/>
    <w:rsid w:val="00462FCC"/>
    <w:rsid w:val="00463174"/>
    <w:rsid w:val="004631F4"/>
    <w:rsid w:val="0046336B"/>
    <w:rsid w:val="00463404"/>
    <w:rsid w:val="004634F4"/>
    <w:rsid w:val="0046357D"/>
    <w:rsid w:val="0046364A"/>
    <w:rsid w:val="00463673"/>
    <w:rsid w:val="004636C1"/>
    <w:rsid w:val="0046385E"/>
    <w:rsid w:val="004638CE"/>
    <w:rsid w:val="00463907"/>
    <w:rsid w:val="00463A5A"/>
    <w:rsid w:val="00463A97"/>
    <w:rsid w:val="00463BBD"/>
    <w:rsid w:val="00463EE2"/>
    <w:rsid w:val="00463EFF"/>
    <w:rsid w:val="00463FB8"/>
    <w:rsid w:val="0046404E"/>
    <w:rsid w:val="00464061"/>
    <w:rsid w:val="004640BA"/>
    <w:rsid w:val="00464172"/>
    <w:rsid w:val="004642B4"/>
    <w:rsid w:val="004644F5"/>
    <w:rsid w:val="0046461E"/>
    <w:rsid w:val="00464665"/>
    <w:rsid w:val="004646BB"/>
    <w:rsid w:val="004647A8"/>
    <w:rsid w:val="004647B7"/>
    <w:rsid w:val="004647D2"/>
    <w:rsid w:val="0046492C"/>
    <w:rsid w:val="00464A61"/>
    <w:rsid w:val="00464AF5"/>
    <w:rsid w:val="00464B8F"/>
    <w:rsid w:val="00464BAC"/>
    <w:rsid w:val="00464C34"/>
    <w:rsid w:val="00464DDF"/>
    <w:rsid w:val="00464E21"/>
    <w:rsid w:val="004651FA"/>
    <w:rsid w:val="004654C5"/>
    <w:rsid w:val="004654F4"/>
    <w:rsid w:val="00465897"/>
    <w:rsid w:val="004658AC"/>
    <w:rsid w:val="004659A2"/>
    <w:rsid w:val="00465A33"/>
    <w:rsid w:val="00465A8E"/>
    <w:rsid w:val="00465AAF"/>
    <w:rsid w:val="00465F76"/>
    <w:rsid w:val="004660EB"/>
    <w:rsid w:val="00466317"/>
    <w:rsid w:val="00466352"/>
    <w:rsid w:val="0046635C"/>
    <w:rsid w:val="00466448"/>
    <w:rsid w:val="004664F0"/>
    <w:rsid w:val="004665CB"/>
    <w:rsid w:val="00466A1F"/>
    <w:rsid w:val="00466B3B"/>
    <w:rsid w:val="00466B79"/>
    <w:rsid w:val="00466BF2"/>
    <w:rsid w:val="00466CFB"/>
    <w:rsid w:val="00466D5D"/>
    <w:rsid w:val="00466DA9"/>
    <w:rsid w:val="00466EC5"/>
    <w:rsid w:val="00466F32"/>
    <w:rsid w:val="004673E5"/>
    <w:rsid w:val="00467571"/>
    <w:rsid w:val="00467756"/>
    <w:rsid w:val="004677D2"/>
    <w:rsid w:val="004678E2"/>
    <w:rsid w:val="0046797D"/>
    <w:rsid w:val="00467ADD"/>
    <w:rsid w:val="00467CA1"/>
    <w:rsid w:val="00467F92"/>
    <w:rsid w:val="004701D2"/>
    <w:rsid w:val="0047028A"/>
    <w:rsid w:val="004703DD"/>
    <w:rsid w:val="004703FD"/>
    <w:rsid w:val="0047061E"/>
    <w:rsid w:val="00470735"/>
    <w:rsid w:val="004707F7"/>
    <w:rsid w:val="004708A6"/>
    <w:rsid w:val="00470D4F"/>
    <w:rsid w:val="004710AD"/>
    <w:rsid w:val="004710B3"/>
    <w:rsid w:val="00471187"/>
    <w:rsid w:val="00471267"/>
    <w:rsid w:val="004712B7"/>
    <w:rsid w:val="00471345"/>
    <w:rsid w:val="004714D2"/>
    <w:rsid w:val="004716CD"/>
    <w:rsid w:val="004717F0"/>
    <w:rsid w:val="004717FE"/>
    <w:rsid w:val="00471904"/>
    <w:rsid w:val="00471BC5"/>
    <w:rsid w:val="00471C31"/>
    <w:rsid w:val="00471CC5"/>
    <w:rsid w:val="00471E29"/>
    <w:rsid w:val="00471EEC"/>
    <w:rsid w:val="00471F87"/>
    <w:rsid w:val="00472471"/>
    <w:rsid w:val="004726AF"/>
    <w:rsid w:val="004726FA"/>
    <w:rsid w:val="00472707"/>
    <w:rsid w:val="00472A67"/>
    <w:rsid w:val="00472AEB"/>
    <w:rsid w:val="00472BD8"/>
    <w:rsid w:val="00472C0E"/>
    <w:rsid w:val="00472D96"/>
    <w:rsid w:val="00472DC2"/>
    <w:rsid w:val="00472E3A"/>
    <w:rsid w:val="00472E4C"/>
    <w:rsid w:val="00472E5A"/>
    <w:rsid w:val="004730A9"/>
    <w:rsid w:val="00473175"/>
    <w:rsid w:val="0047324A"/>
    <w:rsid w:val="0047351A"/>
    <w:rsid w:val="0047356A"/>
    <w:rsid w:val="00473819"/>
    <w:rsid w:val="00473A42"/>
    <w:rsid w:val="00473B1A"/>
    <w:rsid w:val="00473D4A"/>
    <w:rsid w:val="00473F2F"/>
    <w:rsid w:val="004740C7"/>
    <w:rsid w:val="004741D0"/>
    <w:rsid w:val="004742BC"/>
    <w:rsid w:val="0047467A"/>
    <w:rsid w:val="004748C8"/>
    <w:rsid w:val="0047496E"/>
    <w:rsid w:val="00474AEF"/>
    <w:rsid w:val="00474B78"/>
    <w:rsid w:val="00474C3E"/>
    <w:rsid w:val="00474E8A"/>
    <w:rsid w:val="00475012"/>
    <w:rsid w:val="00475099"/>
    <w:rsid w:val="004750CC"/>
    <w:rsid w:val="004752CA"/>
    <w:rsid w:val="004755AC"/>
    <w:rsid w:val="004755F6"/>
    <w:rsid w:val="004757D9"/>
    <w:rsid w:val="00475800"/>
    <w:rsid w:val="004758CE"/>
    <w:rsid w:val="00475A8D"/>
    <w:rsid w:val="00475C24"/>
    <w:rsid w:val="00475F17"/>
    <w:rsid w:val="00476178"/>
    <w:rsid w:val="0047627A"/>
    <w:rsid w:val="0047627E"/>
    <w:rsid w:val="004762F9"/>
    <w:rsid w:val="0047632D"/>
    <w:rsid w:val="00476434"/>
    <w:rsid w:val="004768AB"/>
    <w:rsid w:val="0047697C"/>
    <w:rsid w:val="00476AF7"/>
    <w:rsid w:val="00476BFC"/>
    <w:rsid w:val="00476ED9"/>
    <w:rsid w:val="00476FCA"/>
    <w:rsid w:val="00477215"/>
    <w:rsid w:val="0047733E"/>
    <w:rsid w:val="00477354"/>
    <w:rsid w:val="00477407"/>
    <w:rsid w:val="0047750D"/>
    <w:rsid w:val="0047761B"/>
    <w:rsid w:val="004776E3"/>
    <w:rsid w:val="00477725"/>
    <w:rsid w:val="004777AD"/>
    <w:rsid w:val="00477816"/>
    <w:rsid w:val="00477951"/>
    <w:rsid w:val="00477C23"/>
    <w:rsid w:val="00477DD5"/>
    <w:rsid w:val="00477E2C"/>
    <w:rsid w:val="00477EB6"/>
    <w:rsid w:val="00477EEF"/>
    <w:rsid w:val="00477F3A"/>
    <w:rsid w:val="00477F6D"/>
    <w:rsid w:val="00480242"/>
    <w:rsid w:val="004803AB"/>
    <w:rsid w:val="004804E4"/>
    <w:rsid w:val="0048050D"/>
    <w:rsid w:val="0048054E"/>
    <w:rsid w:val="00480587"/>
    <w:rsid w:val="00480605"/>
    <w:rsid w:val="004806C1"/>
    <w:rsid w:val="004809E4"/>
    <w:rsid w:val="00480A28"/>
    <w:rsid w:val="00481041"/>
    <w:rsid w:val="0048108A"/>
    <w:rsid w:val="004810F4"/>
    <w:rsid w:val="00481168"/>
    <w:rsid w:val="004811E5"/>
    <w:rsid w:val="00481486"/>
    <w:rsid w:val="004814BD"/>
    <w:rsid w:val="00481611"/>
    <w:rsid w:val="0048163C"/>
    <w:rsid w:val="0048167A"/>
    <w:rsid w:val="00481701"/>
    <w:rsid w:val="004817E7"/>
    <w:rsid w:val="00481868"/>
    <w:rsid w:val="00481907"/>
    <w:rsid w:val="00481B57"/>
    <w:rsid w:val="00481CCD"/>
    <w:rsid w:val="00481D6D"/>
    <w:rsid w:val="00481E63"/>
    <w:rsid w:val="00481EAD"/>
    <w:rsid w:val="00481F5F"/>
    <w:rsid w:val="004820AC"/>
    <w:rsid w:val="00482202"/>
    <w:rsid w:val="00482225"/>
    <w:rsid w:val="004822E9"/>
    <w:rsid w:val="00482610"/>
    <w:rsid w:val="00482862"/>
    <w:rsid w:val="00482A1D"/>
    <w:rsid w:val="00482C3D"/>
    <w:rsid w:val="00482CB4"/>
    <w:rsid w:val="00482D58"/>
    <w:rsid w:val="00482E10"/>
    <w:rsid w:val="004831BF"/>
    <w:rsid w:val="00483282"/>
    <w:rsid w:val="00483352"/>
    <w:rsid w:val="0048362B"/>
    <w:rsid w:val="00483667"/>
    <w:rsid w:val="004836A8"/>
    <w:rsid w:val="004837E7"/>
    <w:rsid w:val="0048388A"/>
    <w:rsid w:val="00483B31"/>
    <w:rsid w:val="00483C8D"/>
    <w:rsid w:val="00483F54"/>
    <w:rsid w:val="0048407A"/>
    <w:rsid w:val="00484094"/>
    <w:rsid w:val="004840CF"/>
    <w:rsid w:val="0048411F"/>
    <w:rsid w:val="004841AE"/>
    <w:rsid w:val="004841DC"/>
    <w:rsid w:val="00484245"/>
    <w:rsid w:val="004843B0"/>
    <w:rsid w:val="0048461C"/>
    <w:rsid w:val="0048470D"/>
    <w:rsid w:val="00484808"/>
    <w:rsid w:val="0048486E"/>
    <w:rsid w:val="004849B9"/>
    <w:rsid w:val="004849FE"/>
    <w:rsid w:val="00484B06"/>
    <w:rsid w:val="00484B33"/>
    <w:rsid w:val="00484B89"/>
    <w:rsid w:val="00484B95"/>
    <w:rsid w:val="00484C9F"/>
    <w:rsid w:val="00484CFA"/>
    <w:rsid w:val="00484D70"/>
    <w:rsid w:val="00484E51"/>
    <w:rsid w:val="0048515C"/>
    <w:rsid w:val="00485200"/>
    <w:rsid w:val="00485267"/>
    <w:rsid w:val="0048562B"/>
    <w:rsid w:val="004856E2"/>
    <w:rsid w:val="004857C1"/>
    <w:rsid w:val="004857E9"/>
    <w:rsid w:val="00485842"/>
    <w:rsid w:val="00485912"/>
    <w:rsid w:val="00485BE1"/>
    <w:rsid w:val="00485CE4"/>
    <w:rsid w:val="00485D2B"/>
    <w:rsid w:val="00485DD9"/>
    <w:rsid w:val="00485E4C"/>
    <w:rsid w:val="00485EDE"/>
    <w:rsid w:val="00485FBD"/>
    <w:rsid w:val="00485FDA"/>
    <w:rsid w:val="0048626F"/>
    <w:rsid w:val="00486355"/>
    <w:rsid w:val="004863E0"/>
    <w:rsid w:val="004864AE"/>
    <w:rsid w:val="0048650A"/>
    <w:rsid w:val="00486645"/>
    <w:rsid w:val="00486846"/>
    <w:rsid w:val="004868F8"/>
    <w:rsid w:val="00486976"/>
    <w:rsid w:val="0048699F"/>
    <w:rsid w:val="00486C59"/>
    <w:rsid w:val="00486C5E"/>
    <w:rsid w:val="00486C91"/>
    <w:rsid w:val="00486E26"/>
    <w:rsid w:val="00486F77"/>
    <w:rsid w:val="00486F8A"/>
    <w:rsid w:val="00486FB8"/>
    <w:rsid w:val="0048716E"/>
    <w:rsid w:val="00487207"/>
    <w:rsid w:val="00487388"/>
    <w:rsid w:val="0048741B"/>
    <w:rsid w:val="004874AF"/>
    <w:rsid w:val="004875FA"/>
    <w:rsid w:val="004876AC"/>
    <w:rsid w:val="00487C85"/>
    <w:rsid w:val="00487DB3"/>
    <w:rsid w:val="00487F28"/>
    <w:rsid w:val="00487F4A"/>
    <w:rsid w:val="00487F67"/>
    <w:rsid w:val="00490009"/>
    <w:rsid w:val="00490194"/>
    <w:rsid w:val="004902CF"/>
    <w:rsid w:val="004902F2"/>
    <w:rsid w:val="0049035C"/>
    <w:rsid w:val="0049050E"/>
    <w:rsid w:val="00490575"/>
    <w:rsid w:val="004905F7"/>
    <w:rsid w:val="00490847"/>
    <w:rsid w:val="004908B0"/>
    <w:rsid w:val="004908F8"/>
    <w:rsid w:val="00490AB8"/>
    <w:rsid w:val="00490AB9"/>
    <w:rsid w:val="00490B1B"/>
    <w:rsid w:val="00490B4C"/>
    <w:rsid w:val="00490BB6"/>
    <w:rsid w:val="00490C3E"/>
    <w:rsid w:val="00491082"/>
    <w:rsid w:val="004912F4"/>
    <w:rsid w:val="00491333"/>
    <w:rsid w:val="00491363"/>
    <w:rsid w:val="004914CC"/>
    <w:rsid w:val="004914DF"/>
    <w:rsid w:val="0049152F"/>
    <w:rsid w:val="0049164B"/>
    <w:rsid w:val="00491690"/>
    <w:rsid w:val="00491714"/>
    <w:rsid w:val="00491896"/>
    <w:rsid w:val="0049192B"/>
    <w:rsid w:val="00491AC7"/>
    <w:rsid w:val="00491EEA"/>
    <w:rsid w:val="00491F36"/>
    <w:rsid w:val="0049200C"/>
    <w:rsid w:val="00492167"/>
    <w:rsid w:val="004923C0"/>
    <w:rsid w:val="00492441"/>
    <w:rsid w:val="00492513"/>
    <w:rsid w:val="0049276F"/>
    <w:rsid w:val="004927AA"/>
    <w:rsid w:val="00492985"/>
    <w:rsid w:val="00492AAF"/>
    <w:rsid w:val="00492AD5"/>
    <w:rsid w:val="00492B74"/>
    <w:rsid w:val="00492B77"/>
    <w:rsid w:val="00492CA8"/>
    <w:rsid w:val="00492D46"/>
    <w:rsid w:val="00492D78"/>
    <w:rsid w:val="00492FA4"/>
    <w:rsid w:val="0049334C"/>
    <w:rsid w:val="00493364"/>
    <w:rsid w:val="0049336B"/>
    <w:rsid w:val="004933C3"/>
    <w:rsid w:val="004933DA"/>
    <w:rsid w:val="00493457"/>
    <w:rsid w:val="004934FE"/>
    <w:rsid w:val="00493544"/>
    <w:rsid w:val="00493794"/>
    <w:rsid w:val="00493869"/>
    <w:rsid w:val="004938D3"/>
    <w:rsid w:val="004938E5"/>
    <w:rsid w:val="004938FA"/>
    <w:rsid w:val="0049396F"/>
    <w:rsid w:val="00493C62"/>
    <w:rsid w:val="00493D16"/>
    <w:rsid w:val="00494235"/>
    <w:rsid w:val="00494479"/>
    <w:rsid w:val="0049452C"/>
    <w:rsid w:val="00494800"/>
    <w:rsid w:val="00494866"/>
    <w:rsid w:val="00494A67"/>
    <w:rsid w:val="00494BA1"/>
    <w:rsid w:val="00494BC7"/>
    <w:rsid w:val="00494D2A"/>
    <w:rsid w:val="00494E37"/>
    <w:rsid w:val="00494F49"/>
    <w:rsid w:val="00494FAA"/>
    <w:rsid w:val="004953FA"/>
    <w:rsid w:val="0049550E"/>
    <w:rsid w:val="0049586B"/>
    <w:rsid w:val="00495932"/>
    <w:rsid w:val="0049594B"/>
    <w:rsid w:val="00495A57"/>
    <w:rsid w:val="00495B1E"/>
    <w:rsid w:val="00495BAD"/>
    <w:rsid w:val="00495BC8"/>
    <w:rsid w:val="00495D64"/>
    <w:rsid w:val="00495EA8"/>
    <w:rsid w:val="00495F11"/>
    <w:rsid w:val="00495FAC"/>
    <w:rsid w:val="004960F8"/>
    <w:rsid w:val="004960FB"/>
    <w:rsid w:val="00496120"/>
    <w:rsid w:val="00496157"/>
    <w:rsid w:val="004961F6"/>
    <w:rsid w:val="0049642F"/>
    <w:rsid w:val="004966A8"/>
    <w:rsid w:val="004968FC"/>
    <w:rsid w:val="0049690A"/>
    <w:rsid w:val="00496927"/>
    <w:rsid w:val="00496997"/>
    <w:rsid w:val="00496ACB"/>
    <w:rsid w:val="00496DF8"/>
    <w:rsid w:val="00496F2C"/>
    <w:rsid w:val="00496F64"/>
    <w:rsid w:val="004970C1"/>
    <w:rsid w:val="00497172"/>
    <w:rsid w:val="00497226"/>
    <w:rsid w:val="00497332"/>
    <w:rsid w:val="00497337"/>
    <w:rsid w:val="0049738A"/>
    <w:rsid w:val="004973BD"/>
    <w:rsid w:val="0049742D"/>
    <w:rsid w:val="0049744B"/>
    <w:rsid w:val="00497466"/>
    <w:rsid w:val="00497501"/>
    <w:rsid w:val="00497609"/>
    <w:rsid w:val="00497956"/>
    <w:rsid w:val="00497992"/>
    <w:rsid w:val="00497AA3"/>
    <w:rsid w:val="00497B21"/>
    <w:rsid w:val="00497BAE"/>
    <w:rsid w:val="00497BE0"/>
    <w:rsid w:val="00497C5B"/>
    <w:rsid w:val="00497D5A"/>
    <w:rsid w:val="00497D75"/>
    <w:rsid w:val="00497E6E"/>
    <w:rsid w:val="00497F5F"/>
    <w:rsid w:val="004A0038"/>
    <w:rsid w:val="004A00F6"/>
    <w:rsid w:val="004A0277"/>
    <w:rsid w:val="004A0287"/>
    <w:rsid w:val="004A04DD"/>
    <w:rsid w:val="004A0574"/>
    <w:rsid w:val="004A08E8"/>
    <w:rsid w:val="004A09D5"/>
    <w:rsid w:val="004A0B4E"/>
    <w:rsid w:val="004A0C82"/>
    <w:rsid w:val="004A0C86"/>
    <w:rsid w:val="004A0C8B"/>
    <w:rsid w:val="004A0E48"/>
    <w:rsid w:val="004A110E"/>
    <w:rsid w:val="004A12A4"/>
    <w:rsid w:val="004A15A6"/>
    <w:rsid w:val="004A1648"/>
    <w:rsid w:val="004A1895"/>
    <w:rsid w:val="004A18DA"/>
    <w:rsid w:val="004A194A"/>
    <w:rsid w:val="004A1A48"/>
    <w:rsid w:val="004A1A50"/>
    <w:rsid w:val="004A1A69"/>
    <w:rsid w:val="004A1D30"/>
    <w:rsid w:val="004A1DCB"/>
    <w:rsid w:val="004A1F4B"/>
    <w:rsid w:val="004A1F54"/>
    <w:rsid w:val="004A1F7F"/>
    <w:rsid w:val="004A1FAB"/>
    <w:rsid w:val="004A22DE"/>
    <w:rsid w:val="004A247F"/>
    <w:rsid w:val="004A2585"/>
    <w:rsid w:val="004A26A4"/>
    <w:rsid w:val="004A26CC"/>
    <w:rsid w:val="004A29A3"/>
    <w:rsid w:val="004A2AAC"/>
    <w:rsid w:val="004A2AD3"/>
    <w:rsid w:val="004A2AEC"/>
    <w:rsid w:val="004A2CD0"/>
    <w:rsid w:val="004A2E07"/>
    <w:rsid w:val="004A311A"/>
    <w:rsid w:val="004A32A8"/>
    <w:rsid w:val="004A3361"/>
    <w:rsid w:val="004A3680"/>
    <w:rsid w:val="004A36D7"/>
    <w:rsid w:val="004A38BC"/>
    <w:rsid w:val="004A3A35"/>
    <w:rsid w:val="004A3B10"/>
    <w:rsid w:val="004A3B56"/>
    <w:rsid w:val="004A3BFC"/>
    <w:rsid w:val="004A3C24"/>
    <w:rsid w:val="004A3F37"/>
    <w:rsid w:val="004A3FA0"/>
    <w:rsid w:val="004A404C"/>
    <w:rsid w:val="004A4152"/>
    <w:rsid w:val="004A4159"/>
    <w:rsid w:val="004A4309"/>
    <w:rsid w:val="004A4364"/>
    <w:rsid w:val="004A4382"/>
    <w:rsid w:val="004A4557"/>
    <w:rsid w:val="004A45DC"/>
    <w:rsid w:val="004A46C4"/>
    <w:rsid w:val="004A4A2B"/>
    <w:rsid w:val="004A4BD0"/>
    <w:rsid w:val="004A4C81"/>
    <w:rsid w:val="004A4CB0"/>
    <w:rsid w:val="004A4DB4"/>
    <w:rsid w:val="004A4FED"/>
    <w:rsid w:val="004A503F"/>
    <w:rsid w:val="004A50BB"/>
    <w:rsid w:val="004A5365"/>
    <w:rsid w:val="004A54C6"/>
    <w:rsid w:val="004A572D"/>
    <w:rsid w:val="004A5794"/>
    <w:rsid w:val="004A5840"/>
    <w:rsid w:val="004A58F4"/>
    <w:rsid w:val="004A5B78"/>
    <w:rsid w:val="004A5C9F"/>
    <w:rsid w:val="004A5D99"/>
    <w:rsid w:val="004A5E71"/>
    <w:rsid w:val="004A62D3"/>
    <w:rsid w:val="004A6366"/>
    <w:rsid w:val="004A657C"/>
    <w:rsid w:val="004A65C3"/>
    <w:rsid w:val="004A663F"/>
    <w:rsid w:val="004A67BE"/>
    <w:rsid w:val="004A68B3"/>
    <w:rsid w:val="004A6965"/>
    <w:rsid w:val="004A6A30"/>
    <w:rsid w:val="004A6AEC"/>
    <w:rsid w:val="004A6BAB"/>
    <w:rsid w:val="004A6BEA"/>
    <w:rsid w:val="004A6E16"/>
    <w:rsid w:val="004A6E2A"/>
    <w:rsid w:val="004A70B1"/>
    <w:rsid w:val="004A730A"/>
    <w:rsid w:val="004A7421"/>
    <w:rsid w:val="004A744A"/>
    <w:rsid w:val="004A7475"/>
    <w:rsid w:val="004A7551"/>
    <w:rsid w:val="004A755D"/>
    <w:rsid w:val="004A7586"/>
    <w:rsid w:val="004A75BD"/>
    <w:rsid w:val="004A7678"/>
    <w:rsid w:val="004A775C"/>
    <w:rsid w:val="004A7807"/>
    <w:rsid w:val="004A78DC"/>
    <w:rsid w:val="004A7B43"/>
    <w:rsid w:val="004A7B4D"/>
    <w:rsid w:val="004A7BBC"/>
    <w:rsid w:val="004A7C6E"/>
    <w:rsid w:val="004A7D62"/>
    <w:rsid w:val="004A7FE1"/>
    <w:rsid w:val="004B005F"/>
    <w:rsid w:val="004B0120"/>
    <w:rsid w:val="004B0159"/>
    <w:rsid w:val="004B0236"/>
    <w:rsid w:val="004B035F"/>
    <w:rsid w:val="004B0383"/>
    <w:rsid w:val="004B0982"/>
    <w:rsid w:val="004B0A3D"/>
    <w:rsid w:val="004B0AE1"/>
    <w:rsid w:val="004B0B73"/>
    <w:rsid w:val="004B0D72"/>
    <w:rsid w:val="004B0F49"/>
    <w:rsid w:val="004B0F83"/>
    <w:rsid w:val="004B1078"/>
    <w:rsid w:val="004B109B"/>
    <w:rsid w:val="004B10E9"/>
    <w:rsid w:val="004B1163"/>
    <w:rsid w:val="004B11A1"/>
    <w:rsid w:val="004B1201"/>
    <w:rsid w:val="004B1316"/>
    <w:rsid w:val="004B1341"/>
    <w:rsid w:val="004B1531"/>
    <w:rsid w:val="004B15D0"/>
    <w:rsid w:val="004B165A"/>
    <w:rsid w:val="004B16D2"/>
    <w:rsid w:val="004B1795"/>
    <w:rsid w:val="004B17D4"/>
    <w:rsid w:val="004B17E2"/>
    <w:rsid w:val="004B18A0"/>
    <w:rsid w:val="004B18B7"/>
    <w:rsid w:val="004B18D5"/>
    <w:rsid w:val="004B1EC8"/>
    <w:rsid w:val="004B1FF7"/>
    <w:rsid w:val="004B2069"/>
    <w:rsid w:val="004B2344"/>
    <w:rsid w:val="004B252B"/>
    <w:rsid w:val="004B2679"/>
    <w:rsid w:val="004B29E4"/>
    <w:rsid w:val="004B2C83"/>
    <w:rsid w:val="004B2E62"/>
    <w:rsid w:val="004B2F3D"/>
    <w:rsid w:val="004B2FF9"/>
    <w:rsid w:val="004B30CC"/>
    <w:rsid w:val="004B3180"/>
    <w:rsid w:val="004B340F"/>
    <w:rsid w:val="004B34F8"/>
    <w:rsid w:val="004B353F"/>
    <w:rsid w:val="004B36CE"/>
    <w:rsid w:val="004B3CBB"/>
    <w:rsid w:val="004B43FF"/>
    <w:rsid w:val="004B4475"/>
    <w:rsid w:val="004B45FF"/>
    <w:rsid w:val="004B48EA"/>
    <w:rsid w:val="004B495A"/>
    <w:rsid w:val="004B49F5"/>
    <w:rsid w:val="004B4ADB"/>
    <w:rsid w:val="004B4B02"/>
    <w:rsid w:val="004B4C70"/>
    <w:rsid w:val="004B4DA1"/>
    <w:rsid w:val="004B4EE4"/>
    <w:rsid w:val="004B4EEC"/>
    <w:rsid w:val="004B4F2C"/>
    <w:rsid w:val="004B4F31"/>
    <w:rsid w:val="004B5034"/>
    <w:rsid w:val="004B52D9"/>
    <w:rsid w:val="004B53B0"/>
    <w:rsid w:val="004B556D"/>
    <w:rsid w:val="004B55B8"/>
    <w:rsid w:val="004B57C8"/>
    <w:rsid w:val="004B58A1"/>
    <w:rsid w:val="004B593B"/>
    <w:rsid w:val="004B5C1E"/>
    <w:rsid w:val="004B5D27"/>
    <w:rsid w:val="004B5D4C"/>
    <w:rsid w:val="004B60DD"/>
    <w:rsid w:val="004B6183"/>
    <w:rsid w:val="004B6266"/>
    <w:rsid w:val="004B646D"/>
    <w:rsid w:val="004B647F"/>
    <w:rsid w:val="004B6491"/>
    <w:rsid w:val="004B6506"/>
    <w:rsid w:val="004B6511"/>
    <w:rsid w:val="004B6648"/>
    <w:rsid w:val="004B667F"/>
    <w:rsid w:val="004B6BEB"/>
    <w:rsid w:val="004B6C0E"/>
    <w:rsid w:val="004B6D21"/>
    <w:rsid w:val="004B6D46"/>
    <w:rsid w:val="004B6E3E"/>
    <w:rsid w:val="004B6F33"/>
    <w:rsid w:val="004B71FF"/>
    <w:rsid w:val="004B7276"/>
    <w:rsid w:val="004B72F0"/>
    <w:rsid w:val="004B756D"/>
    <w:rsid w:val="004B75FB"/>
    <w:rsid w:val="004B7646"/>
    <w:rsid w:val="004B7A58"/>
    <w:rsid w:val="004B7A83"/>
    <w:rsid w:val="004B7AB3"/>
    <w:rsid w:val="004B7B1F"/>
    <w:rsid w:val="004B7B9D"/>
    <w:rsid w:val="004B7D29"/>
    <w:rsid w:val="004B7DE4"/>
    <w:rsid w:val="004B7E5F"/>
    <w:rsid w:val="004B7EFA"/>
    <w:rsid w:val="004B7F23"/>
    <w:rsid w:val="004C00DE"/>
    <w:rsid w:val="004C0568"/>
    <w:rsid w:val="004C0656"/>
    <w:rsid w:val="004C06F1"/>
    <w:rsid w:val="004C0875"/>
    <w:rsid w:val="004C095E"/>
    <w:rsid w:val="004C0A62"/>
    <w:rsid w:val="004C0AD0"/>
    <w:rsid w:val="004C0CDC"/>
    <w:rsid w:val="004C0DAD"/>
    <w:rsid w:val="004C0E2B"/>
    <w:rsid w:val="004C100A"/>
    <w:rsid w:val="004C1148"/>
    <w:rsid w:val="004C11CC"/>
    <w:rsid w:val="004C11FC"/>
    <w:rsid w:val="004C1227"/>
    <w:rsid w:val="004C13FE"/>
    <w:rsid w:val="004C1486"/>
    <w:rsid w:val="004C16A9"/>
    <w:rsid w:val="004C17FA"/>
    <w:rsid w:val="004C1863"/>
    <w:rsid w:val="004C192E"/>
    <w:rsid w:val="004C1DC5"/>
    <w:rsid w:val="004C1E67"/>
    <w:rsid w:val="004C1E6D"/>
    <w:rsid w:val="004C1EEA"/>
    <w:rsid w:val="004C2144"/>
    <w:rsid w:val="004C2359"/>
    <w:rsid w:val="004C23C4"/>
    <w:rsid w:val="004C2414"/>
    <w:rsid w:val="004C24CD"/>
    <w:rsid w:val="004C25B1"/>
    <w:rsid w:val="004C25B6"/>
    <w:rsid w:val="004C27C8"/>
    <w:rsid w:val="004C2E75"/>
    <w:rsid w:val="004C2F55"/>
    <w:rsid w:val="004C3035"/>
    <w:rsid w:val="004C307F"/>
    <w:rsid w:val="004C320A"/>
    <w:rsid w:val="004C3479"/>
    <w:rsid w:val="004C35E7"/>
    <w:rsid w:val="004C37AE"/>
    <w:rsid w:val="004C39AA"/>
    <w:rsid w:val="004C3A26"/>
    <w:rsid w:val="004C3A3E"/>
    <w:rsid w:val="004C3A61"/>
    <w:rsid w:val="004C3AF4"/>
    <w:rsid w:val="004C3BCA"/>
    <w:rsid w:val="004C3D33"/>
    <w:rsid w:val="004C3DCA"/>
    <w:rsid w:val="004C3E0E"/>
    <w:rsid w:val="004C3F31"/>
    <w:rsid w:val="004C4015"/>
    <w:rsid w:val="004C41F0"/>
    <w:rsid w:val="004C42F5"/>
    <w:rsid w:val="004C44D6"/>
    <w:rsid w:val="004C454C"/>
    <w:rsid w:val="004C46CD"/>
    <w:rsid w:val="004C47C5"/>
    <w:rsid w:val="004C4965"/>
    <w:rsid w:val="004C4BCF"/>
    <w:rsid w:val="004C4CE2"/>
    <w:rsid w:val="004C4DFD"/>
    <w:rsid w:val="004C4E11"/>
    <w:rsid w:val="004C4E53"/>
    <w:rsid w:val="004C4E8A"/>
    <w:rsid w:val="004C4F37"/>
    <w:rsid w:val="004C5119"/>
    <w:rsid w:val="004C5121"/>
    <w:rsid w:val="004C51DC"/>
    <w:rsid w:val="004C52B7"/>
    <w:rsid w:val="004C52F3"/>
    <w:rsid w:val="004C54D1"/>
    <w:rsid w:val="004C5782"/>
    <w:rsid w:val="004C57C6"/>
    <w:rsid w:val="004C57EE"/>
    <w:rsid w:val="004C580D"/>
    <w:rsid w:val="004C5BE1"/>
    <w:rsid w:val="004C5D21"/>
    <w:rsid w:val="004C5EBB"/>
    <w:rsid w:val="004C5F79"/>
    <w:rsid w:val="004C5FC0"/>
    <w:rsid w:val="004C6101"/>
    <w:rsid w:val="004C6110"/>
    <w:rsid w:val="004C6587"/>
    <w:rsid w:val="004C67AB"/>
    <w:rsid w:val="004C6833"/>
    <w:rsid w:val="004C68C6"/>
    <w:rsid w:val="004C6975"/>
    <w:rsid w:val="004C6A3D"/>
    <w:rsid w:val="004C6A90"/>
    <w:rsid w:val="004C6B2F"/>
    <w:rsid w:val="004C6B52"/>
    <w:rsid w:val="004C6B66"/>
    <w:rsid w:val="004C6C77"/>
    <w:rsid w:val="004C6CA7"/>
    <w:rsid w:val="004C6EF4"/>
    <w:rsid w:val="004C7102"/>
    <w:rsid w:val="004C72A2"/>
    <w:rsid w:val="004C7849"/>
    <w:rsid w:val="004C7852"/>
    <w:rsid w:val="004C78CB"/>
    <w:rsid w:val="004C79A9"/>
    <w:rsid w:val="004C7B70"/>
    <w:rsid w:val="004C7BB7"/>
    <w:rsid w:val="004C7BC3"/>
    <w:rsid w:val="004C7D0B"/>
    <w:rsid w:val="004C7DD1"/>
    <w:rsid w:val="004C7DE3"/>
    <w:rsid w:val="004C7EC3"/>
    <w:rsid w:val="004C7EF2"/>
    <w:rsid w:val="004C7F2E"/>
    <w:rsid w:val="004D0022"/>
    <w:rsid w:val="004D005D"/>
    <w:rsid w:val="004D01CA"/>
    <w:rsid w:val="004D0238"/>
    <w:rsid w:val="004D02B0"/>
    <w:rsid w:val="004D02E5"/>
    <w:rsid w:val="004D0513"/>
    <w:rsid w:val="004D0678"/>
    <w:rsid w:val="004D0801"/>
    <w:rsid w:val="004D0827"/>
    <w:rsid w:val="004D0877"/>
    <w:rsid w:val="004D0917"/>
    <w:rsid w:val="004D0A00"/>
    <w:rsid w:val="004D0C96"/>
    <w:rsid w:val="004D10AD"/>
    <w:rsid w:val="004D120F"/>
    <w:rsid w:val="004D154F"/>
    <w:rsid w:val="004D1738"/>
    <w:rsid w:val="004D185C"/>
    <w:rsid w:val="004D19F0"/>
    <w:rsid w:val="004D1B20"/>
    <w:rsid w:val="004D1B84"/>
    <w:rsid w:val="004D1BC1"/>
    <w:rsid w:val="004D1BCE"/>
    <w:rsid w:val="004D1C1C"/>
    <w:rsid w:val="004D1DA8"/>
    <w:rsid w:val="004D1E87"/>
    <w:rsid w:val="004D2089"/>
    <w:rsid w:val="004D21B7"/>
    <w:rsid w:val="004D2238"/>
    <w:rsid w:val="004D247F"/>
    <w:rsid w:val="004D2931"/>
    <w:rsid w:val="004D2BC5"/>
    <w:rsid w:val="004D2C56"/>
    <w:rsid w:val="004D2D89"/>
    <w:rsid w:val="004D3009"/>
    <w:rsid w:val="004D3066"/>
    <w:rsid w:val="004D3281"/>
    <w:rsid w:val="004D34D0"/>
    <w:rsid w:val="004D34DB"/>
    <w:rsid w:val="004D35A8"/>
    <w:rsid w:val="004D35DE"/>
    <w:rsid w:val="004D377D"/>
    <w:rsid w:val="004D3A79"/>
    <w:rsid w:val="004D3BC3"/>
    <w:rsid w:val="004D3C87"/>
    <w:rsid w:val="004D3CDD"/>
    <w:rsid w:val="004D3E00"/>
    <w:rsid w:val="004D3F86"/>
    <w:rsid w:val="004D3FB1"/>
    <w:rsid w:val="004D4084"/>
    <w:rsid w:val="004D41D2"/>
    <w:rsid w:val="004D41E5"/>
    <w:rsid w:val="004D4374"/>
    <w:rsid w:val="004D45E8"/>
    <w:rsid w:val="004D463B"/>
    <w:rsid w:val="004D4696"/>
    <w:rsid w:val="004D46E6"/>
    <w:rsid w:val="004D47A9"/>
    <w:rsid w:val="004D486F"/>
    <w:rsid w:val="004D4877"/>
    <w:rsid w:val="004D4910"/>
    <w:rsid w:val="004D4ABC"/>
    <w:rsid w:val="004D4C93"/>
    <w:rsid w:val="004D4CA8"/>
    <w:rsid w:val="004D50D6"/>
    <w:rsid w:val="004D510B"/>
    <w:rsid w:val="004D51F9"/>
    <w:rsid w:val="004D5245"/>
    <w:rsid w:val="004D53F3"/>
    <w:rsid w:val="004D54C8"/>
    <w:rsid w:val="004D5502"/>
    <w:rsid w:val="004D5510"/>
    <w:rsid w:val="004D5572"/>
    <w:rsid w:val="004D5785"/>
    <w:rsid w:val="004D5951"/>
    <w:rsid w:val="004D59FC"/>
    <w:rsid w:val="004D5BE3"/>
    <w:rsid w:val="004D5C8A"/>
    <w:rsid w:val="004D5E21"/>
    <w:rsid w:val="004D5F95"/>
    <w:rsid w:val="004D605A"/>
    <w:rsid w:val="004D60B4"/>
    <w:rsid w:val="004D6107"/>
    <w:rsid w:val="004D612B"/>
    <w:rsid w:val="004D6186"/>
    <w:rsid w:val="004D61CE"/>
    <w:rsid w:val="004D638C"/>
    <w:rsid w:val="004D644C"/>
    <w:rsid w:val="004D6462"/>
    <w:rsid w:val="004D6553"/>
    <w:rsid w:val="004D66D9"/>
    <w:rsid w:val="004D67E4"/>
    <w:rsid w:val="004D6877"/>
    <w:rsid w:val="004D6CE2"/>
    <w:rsid w:val="004D6D81"/>
    <w:rsid w:val="004D6EA0"/>
    <w:rsid w:val="004D7120"/>
    <w:rsid w:val="004D715D"/>
    <w:rsid w:val="004D7198"/>
    <w:rsid w:val="004D730E"/>
    <w:rsid w:val="004D7336"/>
    <w:rsid w:val="004D738A"/>
    <w:rsid w:val="004D76CF"/>
    <w:rsid w:val="004D7718"/>
    <w:rsid w:val="004D77EE"/>
    <w:rsid w:val="004D7816"/>
    <w:rsid w:val="004D793B"/>
    <w:rsid w:val="004D7982"/>
    <w:rsid w:val="004D7BE7"/>
    <w:rsid w:val="004D7D52"/>
    <w:rsid w:val="004D7EB5"/>
    <w:rsid w:val="004E0154"/>
    <w:rsid w:val="004E0408"/>
    <w:rsid w:val="004E0534"/>
    <w:rsid w:val="004E05BC"/>
    <w:rsid w:val="004E05D7"/>
    <w:rsid w:val="004E0782"/>
    <w:rsid w:val="004E0831"/>
    <w:rsid w:val="004E093C"/>
    <w:rsid w:val="004E09AC"/>
    <w:rsid w:val="004E0C5B"/>
    <w:rsid w:val="004E0C65"/>
    <w:rsid w:val="004E0C78"/>
    <w:rsid w:val="004E0CC0"/>
    <w:rsid w:val="004E0D19"/>
    <w:rsid w:val="004E0D77"/>
    <w:rsid w:val="004E0D8E"/>
    <w:rsid w:val="004E0E2B"/>
    <w:rsid w:val="004E0E61"/>
    <w:rsid w:val="004E123E"/>
    <w:rsid w:val="004E16BF"/>
    <w:rsid w:val="004E187D"/>
    <w:rsid w:val="004E1961"/>
    <w:rsid w:val="004E19EB"/>
    <w:rsid w:val="004E1A06"/>
    <w:rsid w:val="004E1A74"/>
    <w:rsid w:val="004E1BCC"/>
    <w:rsid w:val="004E1C47"/>
    <w:rsid w:val="004E1CAA"/>
    <w:rsid w:val="004E1CD5"/>
    <w:rsid w:val="004E1DE0"/>
    <w:rsid w:val="004E1EEF"/>
    <w:rsid w:val="004E2047"/>
    <w:rsid w:val="004E206B"/>
    <w:rsid w:val="004E220A"/>
    <w:rsid w:val="004E22E9"/>
    <w:rsid w:val="004E2382"/>
    <w:rsid w:val="004E23A7"/>
    <w:rsid w:val="004E2499"/>
    <w:rsid w:val="004E2571"/>
    <w:rsid w:val="004E2752"/>
    <w:rsid w:val="004E2827"/>
    <w:rsid w:val="004E28EA"/>
    <w:rsid w:val="004E2A59"/>
    <w:rsid w:val="004E2E04"/>
    <w:rsid w:val="004E2E30"/>
    <w:rsid w:val="004E2EB4"/>
    <w:rsid w:val="004E2F14"/>
    <w:rsid w:val="004E2FCA"/>
    <w:rsid w:val="004E315C"/>
    <w:rsid w:val="004E31A7"/>
    <w:rsid w:val="004E3258"/>
    <w:rsid w:val="004E3463"/>
    <w:rsid w:val="004E35B9"/>
    <w:rsid w:val="004E3988"/>
    <w:rsid w:val="004E3A67"/>
    <w:rsid w:val="004E3AFF"/>
    <w:rsid w:val="004E3D12"/>
    <w:rsid w:val="004E3D9B"/>
    <w:rsid w:val="004E43A7"/>
    <w:rsid w:val="004E4564"/>
    <w:rsid w:val="004E4792"/>
    <w:rsid w:val="004E47B3"/>
    <w:rsid w:val="004E4887"/>
    <w:rsid w:val="004E4904"/>
    <w:rsid w:val="004E4932"/>
    <w:rsid w:val="004E4E86"/>
    <w:rsid w:val="004E561A"/>
    <w:rsid w:val="004E5698"/>
    <w:rsid w:val="004E5710"/>
    <w:rsid w:val="004E5790"/>
    <w:rsid w:val="004E580A"/>
    <w:rsid w:val="004E58F6"/>
    <w:rsid w:val="004E593E"/>
    <w:rsid w:val="004E59C3"/>
    <w:rsid w:val="004E5ADA"/>
    <w:rsid w:val="004E5B68"/>
    <w:rsid w:val="004E5CCE"/>
    <w:rsid w:val="004E5D82"/>
    <w:rsid w:val="004E5E45"/>
    <w:rsid w:val="004E5F8C"/>
    <w:rsid w:val="004E6065"/>
    <w:rsid w:val="004E6129"/>
    <w:rsid w:val="004E62CA"/>
    <w:rsid w:val="004E62E4"/>
    <w:rsid w:val="004E6473"/>
    <w:rsid w:val="004E648D"/>
    <w:rsid w:val="004E67C1"/>
    <w:rsid w:val="004E6B00"/>
    <w:rsid w:val="004E6B2D"/>
    <w:rsid w:val="004E6C42"/>
    <w:rsid w:val="004E6DA0"/>
    <w:rsid w:val="004E6DC3"/>
    <w:rsid w:val="004E6F20"/>
    <w:rsid w:val="004E6FB8"/>
    <w:rsid w:val="004E70C8"/>
    <w:rsid w:val="004E71E7"/>
    <w:rsid w:val="004E72DA"/>
    <w:rsid w:val="004E74D5"/>
    <w:rsid w:val="004E75E0"/>
    <w:rsid w:val="004E777B"/>
    <w:rsid w:val="004E7835"/>
    <w:rsid w:val="004E783E"/>
    <w:rsid w:val="004E78A9"/>
    <w:rsid w:val="004E78BC"/>
    <w:rsid w:val="004E7A0D"/>
    <w:rsid w:val="004E7CD7"/>
    <w:rsid w:val="004E7CEA"/>
    <w:rsid w:val="004E7D53"/>
    <w:rsid w:val="004E7DED"/>
    <w:rsid w:val="004E7F4B"/>
    <w:rsid w:val="004E7F50"/>
    <w:rsid w:val="004F035A"/>
    <w:rsid w:val="004F069F"/>
    <w:rsid w:val="004F0854"/>
    <w:rsid w:val="004F08EC"/>
    <w:rsid w:val="004F0934"/>
    <w:rsid w:val="004F09A8"/>
    <w:rsid w:val="004F09BC"/>
    <w:rsid w:val="004F0A09"/>
    <w:rsid w:val="004F0C43"/>
    <w:rsid w:val="004F0F44"/>
    <w:rsid w:val="004F1595"/>
    <w:rsid w:val="004F159D"/>
    <w:rsid w:val="004F15EF"/>
    <w:rsid w:val="004F15F9"/>
    <w:rsid w:val="004F1663"/>
    <w:rsid w:val="004F1761"/>
    <w:rsid w:val="004F179A"/>
    <w:rsid w:val="004F180F"/>
    <w:rsid w:val="004F18EB"/>
    <w:rsid w:val="004F1975"/>
    <w:rsid w:val="004F1A1A"/>
    <w:rsid w:val="004F1A41"/>
    <w:rsid w:val="004F1CBE"/>
    <w:rsid w:val="004F1D11"/>
    <w:rsid w:val="004F1D2A"/>
    <w:rsid w:val="004F1DEA"/>
    <w:rsid w:val="004F1FE1"/>
    <w:rsid w:val="004F2083"/>
    <w:rsid w:val="004F2242"/>
    <w:rsid w:val="004F2473"/>
    <w:rsid w:val="004F25BD"/>
    <w:rsid w:val="004F2956"/>
    <w:rsid w:val="004F2AC6"/>
    <w:rsid w:val="004F2BC9"/>
    <w:rsid w:val="004F2DB6"/>
    <w:rsid w:val="004F2EE7"/>
    <w:rsid w:val="004F2FEA"/>
    <w:rsid w:val="004F2FF6"/>
    <w:rsid w:val="004F3056"/>
    <w:rsid w:val="004F3157"/>
    <w:rsid w:val="004F31FC"/>
    <w:rsid w:val="004F323C"/>
    <w:rsid w:val="004F3380"/>
    <w:rsid w:val="004F338B"/>
    <w:rsid w:val="004F339B"/>
    <w:rsid w:val="004F33ED"/>
    <w:rsid w:val="004F37E1"/>
    <w:rsid w:val="004F394B"/>
    <w:rsid w:val="004F39A2"/>
    <w:rsid w:val="004F3A46"/>
    <w:rsid w:val="004F3A55"/>
    <w:rsid w:val="004F3B8A"/>
    <w:rsid w:val="004F3EA8"/>
    <w:rsid w:val="004F3EF0"/>
    <w:rsid w:val="004F3FCC"/>
    <w:rsid w:val="004F40F6"/>
    <w:rsid w:val="004F4248"/>
    <w:rsid w:val="004F4267"/>
    <w:rsid w:val="004F42DE"/>
    <w:rsid w:val="004F444F"/>
    <w:rsid w:val="004F445A"/>
    <w:rsid w:val="004F4643"/>
    <w:rsid w:val="004F46A1"/>
    <w:rsid w:val="004F483C"/>
    <w:rsid w:val="004F4B65"/>
    <w:rsid w:val="004F4D24"/>
    <w:rsid w:val="004F4D83"/>
    <w:rsid w:val="004F4E0F"/>
    <w:rsid w:val="004F5077"/>
    <w:rsid w:val="004F5262"/>
    <w:rsid w:val="004F52FF"/>
    <w:rsid w:val="004F5362"/>
    <w:rsid w:val="004F53FD"/>
    <w:rsid w:val="004F5400"/>
    <w:rsid w:val="004F5498"/>
    <w:rsid w:val="004F5514"/>
    <w:rsid w:val="004F56A8"/>
    <w:rsid w:val="004F574E"/>
    <w:rsid w:val="004F5BAB"/>
    <w:rsid w:val="004F5BC1"/>
    <w:rsid w:val="004F5BE1"/>
    <w:rsid w:val="004F5C97"/>
    <w:rsid w:val="004F5D43"/>
    <w:rsid w:val="004F5DBD"/>
    <w:rsid w:val="004F5F35"/>
    <w:rsid w:val="004F6052"/>
    <w:rsid w:val="004F619B"/>
    <w:rsid w:val="004F6225"/>
    <w:rsid w:val="004F6263"/>
    <w:rsid w:val="004F62CD"/>
    <w:rsid w:val="004F63DB"/>
    <w:rsid w:val="004F64A4"/>
    <w:rsid w:val="004F661D"/>
    <w:rsid w:val="004F6676"/>
    <w:rsid w:val="004F66DB"/>
    <w:rsid w:val="004F6724"/>
    <w:rsid w:val="004F672B"/>
    <w:rsid w:val="004F67B0"/>
    <w:rsid w:val="004F67F0"/>
    <w:rsid w:val="004F687D"/>
    <w:rsid w:val="004F69D2"/>
    <w:rsid w:val="004F6C06"/>
    <w:rsid w:val="004F6C6C"/>
    <w:rsid w:val="004F6DB4"/>
    <w:rsid w:val="004F6EE5"/>
    <w:rsid w:val="004F707A"/>
    <w:rsid w:val="004F7103"/>
    <w:rsid w:val="004F7329"/>
    <w:rsid w:val="004F73B5"/>
    <w:rsid w:val="004F745C"/>
    <w:rsid w:val="004F74FC"/>
    <w:rsid w:val="004F7662"/>
    <w:rsid w:val="004F76A5"/>
    <w:rsid w:val="004F79B8"/>
    <w:rsid w:val="004F7AF3"/>
    <w:rsid w:val="004F7EF0"/>
    <w:rsid w:val="004F7F72"/>
    <w:rsid w:val="004F7F98"/>
    <w:rsid w:val="004F7FA1"/>
    <w:rsid w:val="00500156"/>
    <w:rsid w:val="005007FE"/>
    <w:rsid w:val="0050086D"/>
    <w:rsid w:val="005009A0"/>
    <w:rsid w:val="00500A34"/>
    <w:rsid w:val="00500A7B"/>
    <w:rsid w:val="00500BAF"/>
    <w:rsid w:val="00500D3D"/>
    <w:rsid w:val="00500F18"/>
    <w:rsid w:val="00500F41"/>
    <w:rsid w:val="00500F96"/>
    <w:rsid w:val="00501002"/>
    <w:rsid w:val="00501075"/>
    <w:rsid w:val="00501168"/>
    <w:rsid w:val="005012B4"/>
    <w:rsid w:val="005014D8"/>
    <w:rsid w:val="00501618"/>
    <w:rsid w:val="00501648"/>
    <w:rsid w:val="00501827"/>
    <w:rsid w:val="00501AA5"/>
    <w:rsid w:val="00501B97"/>
    <w:rsid w:val="00501E11"/>
    <w:rsid w:val="005020B8"/>
    <w:rsid w:val="00502120"/>
    <w:rsid w:val="005021B6"/>
    <w:rsid w:val="005021C9"/>
    <w:rsid w:val="005022BC"/>
    <w:rsid w:val="005022C0"/>
    <w:rsid w:val="005025AD"/>
    <w:rsid w:val="00502743"/>
    <w:rsid w:val="00502808"/>
    <w:rsid w:val="00502836"/>
    <w:rsid w:val="00502886"/>
    <w:rsid w:val="005028AA"/>
    <w:rsid w:val="00502C2E"/>
    <w:rsid w:val="00503046"/>
    <w:rsid w:val="00503167"/>
    <w:rsid w:val="00503356"/>
    <w:rsid w:val="00503443"/>
    <w:rsid w:val="00503497"/>
    <w:rsid w:val="005035EC"/>
    <w:rsid w:val="0050375A"/>
    <w:rsid w:val="005037D2"/>
    <w:rsid w:val="0050389A"/>
    <w:rsid w:val="00503944"/>
    <w:rsid w:val="0050397E"/>
    <w:rsid w:val="00503AFA"/>
    <w:rsid w:val="00503BFD"/>
    <w:rsid w:val="00503DAC"/>
    <w:rsid w:val="00503E13"/>
    <w:rsid w:val="00503E63"/>
    <w:rsid w:val="00503EFD"/>
    <w:rsid w:val="00504064"/>
    <w:rsid w:val="005040A8"/>
    <w:rsid w:val="00504115"/>
    <w:rsid w:val="0050416E"/>
    <w:rsid w:val="00504198"/>
    <w:rsid w:val="005042A6"/>
    <w:rsid w:val="0050443D"/>
    <w:rsid w:val="0050444F"/>
    <w:rsid w:val="00504531"/>
    <w:rsid w:val="005046A3"/>
    <w:rsid w:val="00504849"/>
    <w:rsid w:val="00504935"/>
    <w:rsid w:val="00504AF9"/>
    <w:rsid w:val="00504B86"/>
    <w:rsid w:val="00504C2C"/>
    <w:rsid w:val="00504E20"/>
    <w:rsid w:val="00504E26"/>
    <w:rsid w:val="00504E90"/>
    <w:rsid w:val="00504F30"/>
    <w:rsid w:val="00505030"/>
    <w:rsid w:val="005051F4"/>
    <w:rsid w:val="00505305"/>
    <w:rsid w:val="00505568"/>
    <w:rsid w:val="00505670"/>
    <w:rsid w:val="0050572B"/>
    <w:rsid w:val="00505A0D"/>
    <w:rsid w:val="00505BB1"/>
    <w:rsid w:val="00505BE5"/>
    <w:rsid w:val="00505D67"/>
    <w:rsid w:val="00505DCE"/>
    <w:rsid w:val="00505EFE"/>
    <w:rsid w:val="0050600A"/>
    <w:rsid w:val="005062E7"/>
    <w:rsid w:val="00506360"/>
    <w:rsid w:val="00506498"/>
    <w:rsid w:val="005064C2"/>
    <w:rsid w:val="005068F2"/>
    <w:rsid w:val="00506949"/>
    <w:rsid w:val="00506957"/>
    <w:rsid w:val="00506987"/>
    <w:rsid w:val="0050699E"/>
    <w:rsid w:val="00506B20"/>
    <w:rsid w:val="00506B3E"/>
    <w:rsid w:val="00506B79"/>
    <w:rsid w:val="00506D15"/>
    <w:rsid w:val="00506D3D"/>
    <w:rsid w:val="00506D80"/>
    <w:rsid w:val="00506E43"/>
    <w:rsid w:val="00506FD3"/>
    <w:rsid w:val="00506FF0"/>
    <w:rsid w:val="005071CD"/>
    <w:rsid w:val="00507214"/>
    <w:rsid w:val="0050724A"/>
    <w:rsid w:val="005074C4"/>
    <w:rsid w:val="0050752B"/>
    <w:rsid w:val="005075CD"/>
    <w:rsid w:val="00507624"/>
    <w:rsid w:val="00507691"/>
    <w:rsid w:val="00507752"/>
    <w:rsid w:val="0050784B"/>
    <w:rsid w:val="00507B7E"/>
    <w:rsid w:val="00507C67"/>
    <w:rsid w:val="00507C75"/>
    <w:rsid w:val="00507D4D"/>
    <w:rsid w:val="00507E86"/>
    <w:rsid w:val="00507FE1"/>
    <w:rsid w:val="0051006E"/>
    <w:rsid w:val="005100B2"/>
    <w:rsid w:val="00510195"/>
    <w:rsid w:val="00510227"/>
    <w:rsid w:val="0051025B"/>
    <w:rsid w:val="005103D3"/>
    <w:rsid w:val="005104BA"/>
    <w:rsid w:val="0051054C"/>
    <w:rsid w:val="00510A48"/>
    <w:rsid w:val="00510B96"/>
    <w:rsid w:val="00510C01"/>
    <w:rsid w:val="00510C3E"/>
    <w:rsid w:val="00510D3E"/>
    <w:rsid w:val="00510DC2"/>
    <w:rsid w:val="00510F04"/>
    <w:rsid w:val="00510FBC"/>
    <w:rsid w:val="00510FCB"/>
    <w:rsid w:val="0051112B"/>
    <w:rsid w:val="00511141"/>
    <w:rsid w:val="0051116F"/>
    <w:rsid w:val="0051126C"/>
    <w:rsid w:val="00511324"/>
    <w:rsid w:val="005116C7"/>
    <w:rsid w:val="005117F6"/>
    <w:rsid w:val="005117F9"/>
    <w:rsid w:val="00511A6E"/>
    <w:rsid w:val="00511B8E"/>
    <w:rsid w:val="00511D8E"/>
    <w:rsid w:val="00511F33"/>
    <w:rsid w:val="0051201F"/>
    <w:rsid w:val="0051224A"/>
    <w:rsid w:val="00512307"/>
    <w:rsid w:val="00512397"/>
    <w:rsid w:val="00512486"/>
    <w:rsid w:val="005124F1"/>
    <w:rsid w:val="00512520"/>
    <w:rsid w:val="005125A1"/>
    <w:rsid w:val="00512795"/>
    <w:rsid w:val="0051290A"/>
    <w:rsid w:val="00512AE8"/>
    <w:rsid w:val="00512B66"/>
    <w:rsid w:val="00512E13"/>
    <w:rsid w:val="00512F2F"/>
    <w:rsid w:val="00512F7C"/>
    <w:rsid w:val="005130D3"/>
    <w:rsid w:val="00513153"/>
    <w:rsid w:val="00513334"/>
    <w:rsid w:val="00513363"/>
    <w:rsid w:val="00513401"/>
    <w:rsid w:val="0051341F"/>
    <w:rsid w:val="0051358C"/>
    <w:rsid w:val="00513991"/>
    <w:rsid w:val="00513AEF"/>
    <w:rsid w:val="00513C3B"/>
    <w:rsid w:val="00513E1D"/>
    <w:rsid w:val="00513E73"/>
    <w:rsid w:val="00513F97"/>
    <w:rsid w:val="0051401D"/>
    <w:rsid w:val="0051404F"/>
    <w:rsid w:val="00514096"/>
    <w:rsid w:val="00514129"/>
    <w:rsid w:val="005141A2"/>
    <w:rsid w:val="005142CA"/>
    <w:rsid w:val="005144AE"/>
    <w:rsid w:val="005145D3"/>
    <w:rsid w:val="00514B37"/>
    <w:rsid w:val="00514C28"/>
    <w:rsid w:val="00514ED8"/>
    <w:rsid w:val="00514EF8"/>
    <w:rsid w:val="00514FDC"/>
    <w:rsid w:val="005150FA"/>
    <w:rsid w:val="00515357"/>
    <w:rsid w:val="0051580B"/>
    <w:rsid w:val="00515836"/>
    <w:rsid w:val="0051587C"/>
    <w:rsid w:val="00515A11"/>
    <w:rsid w:val="00515A71"/>
    <w:rsid w:val="00515A76"/>
    <w:rsid w:val="00515C40"/>
    <w:rsid w:val="005161D0"/>
    <w:rsid w:val="005162E2"/>
    <w:rsid w:val="00516371"/>
    <w:rsid w:val="00516458"/>
    <w:rsid w:val="005164C6"/>
    <w:rsid w:val="00516508"/>
    <w:rsid w:val="00516536"/>
    <w:rsid w:val="005166E3"/>
    <w:rsid w:val="00516833"/>
    <w:rsid w:val="00516909"/>
    <w:rsid w:val="00516C58"/>
    <w:rsid w:val="00516CF7"/>
    <w:rsid w:val="00516E85"/>
    <w:rsid w:val="00516E9D"/>
    <w:rsid w:val="00517057"/>
    <w:rsid w:val="005171CC"/>
    <w:rsid w:val="00517230"/>
    <w:rsid w:val="0051724E"/>
    <w:rsid w:val="00517250"/>
    <w:rsid w:val="00517292"/>
    <w:rsid w:val="005172CB"/>
    <w:rsid w:val="005173EA"/>
    <w:rsid w:val="00517424"/>
    <w:rsid w:val="00517652"/>
    <w:rsid w:val="005176AD"/>
    <w:rsid w:val="005176D5"/>
    <w:rsid w:val="0051773A"/>
    <w:rsid w:val="005177E8"/>
    <w:rsid w:val="0051780D"/>
    <w:rsid w:val="0051782B"/>
    <w:rsid w:val="005179D0"/>
    <w:rsid w:val="00517A2A"/>
    <w:rsid w:val="00517AAD"/>
    <w:rsid w:val="00517AD6"/>
    <w:rsid w:val="00517B50"/>
    <w:rsid w:val="00517D81"/>
    <w:rsid w:val="00517F78"/>
    <w:rsid w:val="00520156"/>
    <w:rsid w:val="005202B3"/>
    <w:rsid w:val="005205ED"/>
    <w:rsid w:val="0052063F"/>
    <w:rsid w:val="00520703"/>
    <w:rsid w:val="00520A3B"/>
    <w:rsid w:val="00520AD1"/>
    <w:rsid w:val="00520CD3"/>
    <w:rsid w:val="00520D49"/>
    <w:rsid w:val="00520E23"/>
    <w:rsid w:val="00520EC7"/>
    <w:rsid w:val="00520ECB"/>
    <w:rsid w:val="00521104"/>
    <w:rsid w:val="00521151"/>
    <w:rsid w:val="005215F5"/>
    <w:rsid w:val="00521696"/>
    <w:rsid w:val="005217BC"/>
    <w:rsid w:val="005217FF"/>
    <w:rsid w:val="00521960"/>
    <w:rsid w:val="005219F4"/>
    <w:rsid w:val="00521A99"/>
    <w:rsid w:val="00521AF4"/>
    <w:rsid w:val="00521C7C"/>
    <w:rsid w:val="00521D5F"/>
    <w:rsid w:val="00521D9F"/>
    <w:rsid w:val="00521F6B"/>
    <w:rsid w:val="00521FB4"/>
    <w:rsid w:val="00521FC3"/>
    <w:rsid w:val="005220A2"/>
    <w:rsid w:val="005222C0"/>
    <w:rsid w:val="005223CE"/>
    <w:rsid w:val="005223EC"/>
    <w:rsid w:val="00522449"/>
    <w:rsid w:val="005225E7"/>
    <w:rsid w:val="005225FD"/>
    <w:rsid w:val="005226EF"/>
    <w:rsid w:val="00522A41"/>
    <w:rsid w:val="00522BC0"/>
    <w:rsid w:val="00522C4E"/>
    <w:rsid w:val="00522CFD"/>
    <w:rsid w:val="00522DB8"/>
    <w:rsid w:val="00522EE3"/>
    <w:rsid w:val="00522EF6"/>
    <w:rsid w:val="00522F5D"/>
    <w:rsid w:val="00522F95"/>
    <w:rsid w:val="00522FFF"/>
    <w:rsid w:val="00523075"/>
    <w:rsid w:val="00523077"/>
    <w:rsid w:val="005230C6"/>
    <w:rsid w:val="00523317"/>
    <w:rsid w:val="0052333E"/>
    <w:rsid w:val="0052344E"/>
    <w:rsid w:val="005234FE"/>
    <w:rsid w:val="0052363E"/>
    <w:rsid w:val="0052376E"/>
    <w:rsid w:val="0052397D"/>
    <w:rsid w:val="00523ACD"/>
    <w:rsid w:val="00523B5F"/>
    <w:rsid w:val="00523BF2"/>
    <w:rsid w:val="00523D3B"/>
    <w:rsid w:val="00523DBF"/>
    <w:rsid w:val="00523FC8"/>
    <w:rsid w:val="00524020"/>
    <w:rsid w:val="005240CD"/>
    <w:rsid w:val="0052432C"/>
    <w:rsid w:val="00524812"/>
    <w:rsid w:val="00524857"/>
    <w:rsid w:val="005248E0"/>
    <w:rsid w:val="005248F9"/>
    <w:rsid w:val="00524AEE"/>
    <w:rsid w:val="00524AF9"/>
    <w:rsid w:val="00524B95"/>
    <w:rsid w:val="00524C39"/>
    <w:rsid w:val="00524FD8"/>
    <w:rsid w:val="0052500B"/>
    <w:rsid w:val="00525011"/>
    <w:rsid w:val="00525266"/>
    <w:rsid w:val="00525353"/>
    <w:rsid w:val="0052536A"/>
    <w:rsid w:val="0052546B"/>
    <w:rsid w:val="00525699"/>
    <w:rsid w:val="005257D9"/>
    <w:rsid w:val="00525933"/>
    <w:rsid w:val="00525A30"/>
    <w:rsid w:val="00525A64"/>
    <w:rsid w:val="00525B0D"/>
    <w:rsid w:val="00525B54"/>
    <w:rsid w:val="00525B84"/>
    <w:rsid w:val="00525CAA"/>
    <w:rsid w:val="00525D42"/>
    <w:rsid w:val="00525DFA"/>
    <w:rsid w:val="005260D8"/>
    <w:rsid w:val="00526479"/>
    <w:rsid w:val="0052671D"/>
    <w:rsid w:val="00526775"/>
    <w:rsid w:val="0052687E"/>
    <w:rsid w:val="00526995"/>
    <w:rsid w:val="00526AFE"/>
    <w:rsid w:val="00526B58"/>
    <w:rsid w:val="00526FC1"/>
    <w:rsid w:val="00526FC4"/>
    <w:rsid w:val="005270A5"/>
    <w:rsid w:val="00527209"/>
    <w:rsid w:val="005273C5"/>
    <w:rsid w:val="00527439"/>
    <w:rsid w:val="00527615"/>
    <w:rsid w:val="00527633"/>
    <w:rsid w:val="00527729"/>
    <w:rsid w:val="00527860"/>
    <w:rsid w:val="00527875"/>
    <w:rsid w:val="00527C78"/>
    <w:rsid w:val="00527CC0"/>
    <w:rsid w:val="00527DBC"/>
    <w:rsid w:val="00527FAF"/>
    <w:rsid w:val="00530131"/>
    <w:rsid w:val="005302CF"/>
    <w:rsid w:val="005303CC"/>
    <w:rsid w:val="005304E7"/>
    <w:rsid w:val="005305AA"/>
    <w:rsid w:val="005305F0"/>
    <w:rsid w:val="0053062B"/>
    <w:rsid w:val="00530717"/>
    <w:rsid w:val="0053087B"/>
    <w:rsid w:val="005309AB"/>
    <w:rsid w:val="00530CB1"/>
    <w:rsid w:val="00530E6B"/>
    <w:rsid w:val="00531115"/>
    <w:rsid w:val="00531131"/>
    <w:rsid w:val="00531141"/>
    <w:rsid w:val="005311CF"/>
    <w:rsid w:val="0053128B"/>
    <w:rsid w:val="0053142D"/>
    <w:rsid w:val="0053175A"/>
    <w:rsid w:val="0053187A"/>
    <w:rsid w:val="005319BE"/>
    <w:rsid w:val="00531B91"/>
    <w:rsid w:val="00531C01"/>
    <w:rsid w:val="00531E1A"/>
    <w:rsid w:val="00531F38"/>
    <w:rsid w:val="00531F56"/>
    <w:rsid w:val="00531F62"/>
    <w:rsid w:val="005321C5"/>
    <w:rsid w:val="0053227C"/>
    <w:rsid w:val="00532412"/>
    <w:rsid w:val="00532476"/>
    <w:rsid w:val="005324CB"/>
    <w:rsid w:val="005326F5"/>
    <w:rsid w:val="00532720"/>
    <w:rsid w:val="0053283D"/>
    <w:rsid w:val="00532852"/>
    <w:rsid w:val="005328C2"/>
    <w:rsid w:val="005328DD"/>
    <w:rsid w:val="00532966"/>
    <w:rsid w:val="005329ED"/>
    <w:rsid w:val="00532A2E"/>
    <w:rsid w:val="00532A81"/>
    <w:rsid w:val="00532AC4"/>
    <w:rsid w:val="00532ADB"/>
    <w:rsid w:val="00532B0F"/>
    <w:rsid w:val="00532B34"/>
    <w:rsid w:val="00532D13"/>
    <w:rsid w:val="00532E6E"/>
    <w:rsid w:val="0053316B"/>
    <w:rsid w:val="00533242"/>
    <w:rsid w:val="0053330C"/>
    <w:rsid w:val="00533372"/>
    <w:rsid w:val="00533393"/>
    <w:rsid w:val="0053340C"/>
    <w:rsid w:val="00533524"/>
    <w:rsid w:val="005335A9"/>
    <w:rsid w:val="00533759"/>
    <w:rsid w:val="00533795"/>
    <w:rsid w:val="005337E6"/>
    <w:rsid w:val="0053382C"/>
    <w:rsid w:val="0053387A"/>
    <w:rsid w:val="005338A2"/>
    <w:rsid w:val="005338CA"/>
    <w:rsid w:val="00533B0C"/>
    <w:rsid w:val="00533D01"/>
    <w:rsid w:val="00533D5E"/>
    <w:rsid w:val="00533E00"/>
    <w:rsid w:val="00533E21"/>
    <w:rsid w:val="00533E68"/>
    <w:rsid w:val="00533F31"/>
    <w:rsid w:val="00533FA5"/>
    <w:rsid w:val="00534150"/>
    <w:rsid w:val="0053415A"/>
    <w:rsid w:val="0053422A"/>
    <w:rsid w:val="00534625"/>
    <w:rsid w:val="005346B9"/>
    <w:rsid w:val="005347DC"/>
    <w:rsid w:val="005348E0"/>
    <w:rsid w:val="0053496B"/>
    <w:rsid w:val="0053499F"/>
    <w:rsid w:val="00534A8C"/>
    <w:rsid w:val="00534C8B"/>
    <w:rsid w:val="00534DF0"/>
    <w:rsid w:val="00534EB8"/>
    <w:rsid w:val="00534FB2"/>
    <w:rsid w:val="00534FD7"/>
    <w:rsid w:val="005350BE"/>
    <w:rsid w:val="005351F8"/>
    <w:rsid w:val="005352FA"/>
    <w:rsid w:val="00535369"/>
    <w:rsid w:val="005353F1"/>
    <w:rsid w:val="005355EA"/>
    <w:rsid w:val="00535613"/>
    <w:rsid w:val="005356F2"/>
    <w:rsid w:val="0053575E"/>
    <w:rsid w:val="005357A0"/>
    <w:rsid w:val="005357B0"/>
    <w:rsid w:val="005357F3"/>
    <w:rsid w:val="00535AB2"/>
    <w:rsid w:val="00535BB5"/>
    <w:rsid w:val="00535C7A"/>
    <w:rsid w:val="00535D66"/>
    <w:rsid w:val="00535E80"/>
    <w:rsid w:val="00535ED4"/>
    <w:rsid w:val="00535F05"/>
    <w:rsid w:val="00535FBD"/>
    <w:rsid w:val="00536008"/>
    <w:rsid w:val="005360F7"/>
    <w:rsid w:val="00536164"/>
    <w:rsid w:val="0053633A"/>
    <w:rsid w:val="005363C8"/>
    <w:rsid w:val="00536444"/>
    <w:rsid w:val="00536460"/>
    <w:rsid w:val="0053646B"/>
    <w:rsid w:val="00536562"/>
    <w:rsid w:val="005365C7"/>
    <w:rsid w:val="0053687B"/>
    <w:rsid w:val="005369F0"/>
    <w:rsid w:val="00536E6B"/>
    <w:rsid w:val="00536F52"/>
    <w:rsid w:val="0053700F"/>
    <w:rsid w:val="005370F1"/>
    <w:rsid w:val="00537191"/>
    <w:rsid w:val="005373BB"/>
    <w:rsid w:val="005373DD"/>
    <w:rsid w:val="005373F6"/>
    <w:rsid w:val="0053744F"/>
    <w:rsid w:val="0053760C"/>
    <w:rsid w:val="0053760E"/>
    <w:rsid w:val="005377E5"/>
    <w:rsid w:val="00537893"/>
    <w:rsid w:val="005378AA"/>
    <w:rsid w:val="00537F97"/>
    <w:rsid w:val="00540005"/>
    <w:rsid w:val="00540027"/>
    <w:rsid w:val="00540084"/>
    <w:rsid w:val="00540092"/>
    <w:rsid w:val="005400CC"/>
    <w:rsid w:val="0054022D"/>
    <w:rsid w:val="00540288"/>
    <w:rsid w:val="005407B4"/>
    <w:rsid w:val="00540883"/>
    <w:rsid w:val="005408E3"/>
    <w:rsid w:val="005409BF"/>
    <w:rsid w:val="005409C8"/>
    <w:rsid w:val="00540A5E"/>
    <w:rsid w:val="00540BF2"/>
    <w:rsid w:val="00540CA5"/>
    <w:rsid w:val="00540D53"/>
    <w:rsid w:val="00540D6A"/>
    <w:rsid w:val="00540DCF"/>
    <w:rsid w:val="00540FCA"/>
    <w:rsid w:val="00541167"/>
    <w:rsid w:val="0054143C"/>
    <w:rsid w:val="00541450"/>
    <w:rsid w:val="00541456"/>
    <w:rsid w:val="005414D2"/>
    <w:rsid w:val="005416D8"/>
    <w:rsid w:val="00541787"/>
    <w:rsid w:val="005417C2"/>
    <w:rsid w:val="00541956"/>
    <w:rsid w:val="005419A4"/>
    <w:rsid w:val="00541AB6"/>
    <w:rsid w:val="00541C2C"/>
    <w:rsid w:val="00541CE1"/>
    <w:rsid w:val="00541FB1"/>
    <w:rsid w:val="00542050"/>
    <w:rsid w:val="00542067"/>
    <w:rsid w:val="0054228C"/>
    <w:rsid w:val="0054248A"/>
    <w:rsid w:val="00542523"/>
    <w:rsid w:val="005426B6"/>
    <w:rsid w:val="005429F7"/>
    <w:rsid w:val="00542C49"/>
    <w:rsid w:val="00542C73"/>
    <w:rsid w:val="00542E44"/>
    <w:rsid w:val="00542ECA"/>
    <w:rsid w:val="0054314D"/>
    <w:rsid w:val="0054342A"/>
    <w:rsid w:val="0054344E"/>
    <w:rsid w:val="00543508"/>
    <w:rsid w:val="0054362E"/>
    <w:rsid w:val="00543890"/>
    <w:rsid w:val="00543923"/>
    <w:rsid w:val="005439E8"/>
    <w:rsid w:val="00543A07"/>
    <w:rsid w:val="00543D62"/>
    <w:rsid w:val="00543DD2"/>
    <w:rsid w:val="00543F87"/>
    <w:rsid w:val="005441E7"/>
    <w:rsid w:val="00544220"/>
    <w:rsid w:val="005442DE"/>
    <w:rsid w:val="00544415"/>
    <w:rsid w:val="00544418"/>
    <w:rsid w:val="005444E5"/>
    <w:rsid w:val="0054482D"/>
    <w:rsid w:val="005448F6"/>
    <w:rsid w:val="00544B44"/>
    <w:rsid w:val="00544BB0"/>
    <w:rsid w:val="00544D35"/>
    <w:rsid w:val="00544E9D"/>
    <w:rsid w:val="00544FEB"/>
    <w:rsid w:val="00545121"/>
    <w:rsid w:val="0054515D"/>
    <w:rsid w:val="005451ED"/>
    <w:rsid w:val="00545402"/>
    <w:rsid w:val="005455F7"/>
    <w:rsid w:val="0054563A"/>
    <w:rsid w:val="00545690"/>
    <w:rsid w:val="0054581D"/>
    <w:rsid w:val="00545882"/>
    <w:rsid w:val="00545BC1"/>
    <w:rsid w:val="00545D26"/>
    <w:rsid w:val="00545D7D"/>
    <w:rsid w:val="00545F53"/>
    <w:rsid w:val="0054614E"/>
    <w:rsid w:val="00546237"/>
    <w:rsid w:val="00546363"/>
    <w:rsid w:val="0054636F"/>
    <w:rsid w:val="0054668F"/>
    <w:rsid w:val="005466E6"/>
    <w:rsid w:val="00546734"/>
    <w:rsid w:val="00546763"/>
    <w:rsid w:val="00546D40"/>
    <w:rsid w:val="00546DD7"/>
    <w:rsid w:val="00546E62"/>
    <w:rsid w:val="00546F87"/>
    <w:rsid w:val="00547017"/>
    <w:rsid w:val="0054704F"/>
    <w:rsid w:val="005471A0"/>
    <w:rsid w:val="005471D5"/>
    <w:rsid w:val="0054747F"/>
    <w:rsid w:val="005474D7"/>
    <w:rsid w:val="00547620"/>
    <w:rsid w:val="005476D0"/>
    <w:rsid w:val="0054787B"/>
    <w:rsid w:val="0054787C"/>
    <w:rsid w:val="00547946"/>
    <w:rsid w:val="00547948"/>
    <w:rsid w:val="00547A64"/>
    <w:rsid w:val="00547A87"/>
    <w:rsid w:val="005500FD"/>
    <w:rsid w:val="005501E9"/>
    <w:rsid w:val="00550300"/>
    <w:rsid w:val="0055032D"/>
    <w:rsid w:val="00550440"/>
    <w:rsid w:val="005504D5"/>
    <w:rsid w:val="005505ED"/>
    <w:rsid w:val="0055063B"/>
    <w:rsid w:val="005506A9"/>
    <w:rsid w:val="005506ED"/>
    <w:rsid w:val="005507C3"/>
    <w:rsid w:val="005507C5"/>
    <w:rsid w:val="00550800"/>
    <w:rsid w:val="00550939"/>
    <w:rsid w:val="005509D6"/>
    <w:rsid w:val="00550B42"/>
    <w:rsid w:val="00550C10"/>
    <w:rsid w:val="00550C8A"/>
    <w:rsid w:val="00550CBA"/>
    <w:rsid w:val="00550D04"/>
    <w:rsid w:val="00550D7D"/>
    <w:rsid w:val="00550DFF"/>
    <w:rsid w:val="00550F96"/>
    <w:rsid w:val="005511A0"/>
    <w:rsid w:val="0055122B"/>
    <w:rsid w:val="0055171D"/>
    <w:rsid w:val="00551827"/>
    <w:rsid w:val="005519B6"/>
    <w:rsid w:val="005519F4"/>
    <w:rsid w:val="00551BA9"/>
    <w:rsid w:val="00551BD9"/>
    <w:rsid w:val="00551CD6"/>
    <w:rsid w:val="00551D91"/>
    <w:rsid w:val="00551F44"/>
    <w:rsid w:val="00551FD7"/>
    <w:rsid w:val="005521E2"/>
    <w:rsid w:val="005521FF"/>
    <w:rsid w:val="00552211"/>
    <w:rsid w:val="00552316"/>
    <w:rsid w:val="005523DE"/>
    <w:rsid w:val="0055240F"/>
    <w:rsid w:val="00552554"/>
    <w:rsid w:val="005525E6"/>
    <w:rsid w:val="00552938"/>
    <w:rsid w:val="005529BB"/>
    <w:rsid w:val="00552A98"/>
    <w:rsid w:val="00552AD0"/>
    <w:rsid w:val="00552B97"/>
    <w:rsid w:val="00552C30"/>
    <w:rsid w:val="00552CAD"/>
    <w:rsid w:val="00552D35"/>
    <w:rsid w:val="00552E29"/>
    <w:rsid w:val="00552FEB"/>
    <w:rsid w:val="00553019"/>
    <w:rsid w:val="00553253"/>
    <w:rsid w:val="005532B4"/>
    <w:rsid w:val="00553359"/>
    <w:rsid w:val="0055340C"/>
    <w:rsid w:val="00553443"/>
    <w:rsid w:val="0055347F"/>
    <w:rsid w:val="005534AA"/>
    <w:rsid w:val="005534BE"/>
    <w:rsid w:val="0055355B"/>
    <w:rsid w:val="00553669"/>
    <w:rsid w:val="005537D8"/>
    <w:rsid w:val="00553C9E"/>
    <w:rsid w:val="00553CFA"/>
    <w:rsid w:val="00553E52"/>
    <w:rsid w:val="00553FD8"/>
    <w:rsid w:val="0055401C"/>
    <w:rsid w:val="0055419B"/>
    <w:rsid w:val="00554495"/>
    <w:rsid w:val="00554507"/>
    <w:rsid w:val="00554603"/>
    <w:rsid w:val="0055474A"/>
    <w:rsid w:val="005547F7"/>
    <w:rsid w:val="0055488E"/>
    <w:rsid w:val="00554955"/>
    <w:rsid w:val="00554959"/>
    <w:rsid w:val="005549F5"/>
    <w:rsid w:val="00554AC9"/>
    <w:rsid w:val="00554AD2"/>
    <w:rsid w:val="00554BAB"/>
    <w:rsid w:val="00554CB5"/>
    <w:rsid w:val="00554D5D"/>
    <w:rsid w:val="00554F65"/>
    <w:rsid w:val="00554FCC"/>
    <w:rsid w:val="00555033"/>
    <w:rsid w:val="00555083"/>
    <w:rsid w:val="00555120"/>
    <w:rsid w:val="00555357"/>
    <w:rsid w:val="00555373"/>
    <w:rsid w:val="00555375"/>
    <w:rsid w:val="005553DE"/>
    <w:rsid w:val="005555C3"/>
    <w:rsid w:val="005555F6"/>
    <w:rsid w:val="00555782"/>
    <w:rsid w:val="00555A88"/>
    <w:rsid w:val="00555BE0"/>
    <w:rsid w:val="00555C4E"/>
    <w:rsid w:val="00555D44"/>
    <w:rsid w:val="00555DAF"/>
    <w:rsid w:val="00555E3E"/>
    <w:rsid w:val="00555E3F"/>
    <w:rsid w:val="00555E97"/>
    <w:rsid w:val="0055618F"/>
    <w:rsid w:val="00556330"/>
    <w:rsid w:val="005563B8"/>
    <w:rsid w:val="0055640B"/>
    <w:rsid w:val="005566E5"/>
    <w:rsid w:val="00556743"/>
    <w:rsid w:val="0055678A"/>
    <w:rsid w:val="005567B2"/>
    <w:rsid w:val="0055685D"/>
    <w:rsid w:val="005568C2"/>
    <w:rsid w:val="00556972"/>
    <w:rsid w:val="00556B64"/>
    <w:rsid w:val="00556B97"/>
    <w:rsid w:val="00556CAE"/>
    <w:rsid w:val="00556D6D"/>
    <w:rsid w:val="00556E2D"/>
    <w:rsid w:val="00556E89"/>
    <w:rsid w:val="00556EEC"/>
    <w:rsid w:val="0055733F"/>
    <w:rsid w:val="0055761E"/>
    <w:rsid w:val="00557655"/>
    <w:rsid w:val="00557865"/>
    <w:rsid w:val="00557867"/>
    <w:rsid w:val="005579AD"/>
    <w:rsid w:val="00557A06"/>
    <w:rsid w:val="00557A88"/>
    <w:rsid w:val="00557AC6"/>
    <w:rsid w:val="00557B54"/>
    <w:rsid w:val="00557B6D"/>
    <w:rsid w:val="00557BDD"/>
    <w:rsid w:val="00557D93"/>
    <w:rsid w:val="00557DAE"/>
    <w:rsid w:val="00557EAA"/>
    <w:rsid w:val="00560145"/>
    <w:rsid w:val="005601AC"/>
    <w:rsid w:val="00560283"/>
    <w:rsid w:val="005603BA"/>
    <w:rsid w:val="005603F5"/>
    <w:rsid w:val="0056044F"/>
    <w:rsid w:val="00560820"/>
    <w:rsid w:val="005608C4"/>
    <w:rsid w:val="00560A3E"/>
    <w:rsid w:val="00560A42"/>
    <w:rsid w:val="00560B7B"/>
    <w:rsid w:val="00560BA7"/>
    <w:rsid w:val="00560BE1"/>
    <w:rsid w:val="00561120"/>
    <w:rsid w:val="00561173"/>
    <w:rsid w:val="0056136A"/>
    <w:rsid w:val="00561531"/>
    <w:rsid w:val="005616F8"/>
    <w:rsid w:val="0056178A"/>
    <w:rsid w:val="0056179E"/>
    <w:rsid w:val="005618A4"/>
    <w:rsid w:val="005618A5"/>
    <w:rsid w:val="00561A2F"/>
    <w:rsid w:val="00561CD4"/>
    <w:rsid w:val="00561CDC"/>
    <w:rsid w:val="0056200D"/>
    <w:rsid w:val="0056205C"/>
    <w:rsid w:val="0056237E"/>
    <w:rsid w:val="005623B9"/>
    <w:rsid w:val="00562799"/>
    <w:rsid w:val="00562895"/>
    <w:rsid w:val="00562961"/>
    <w:rsid w:val="005629E3"/>
    <w:rsid w:val="00562AD6"/>
    <w:rsid w:val="00562CCC"/>
    <w:rsid w:val="00562DBA"/>
    <w:rsid w:val="00562FC7"/>
    <w:rsid w:val="0056300A"/>
    <w:rsid w:val="00563017"/>
    <w:rsid w:val="00563122"/>
    <w:rsid w:val="0056326B"/>
    <w:rsid w:val="00563730"/>
    <w:rsid w:val="005637A3"/>
    <w:rsid w:val="005637EB"/>
    <w:rsid w:val="00563990"/>
    <w:rsid w:val="00563AF4"/>
    <w:rsid w:val="00563B9E"/>
    <w:rsid w:val="00563BE9"/>
    <w:rsid w:val="00563C18"/>
    <w:rsid w:val="00563DDF"/>
    <w:rsid w:val="00563E80"/>
    <w:rsid w:val="00563E83"/>
    <w:rsid w:val="00563EAC"/>
    <w:rsid w:val="00564045"/>
    <w:rsid w:val="005640D2"/>
    <w:rsid w:val="005641C8"/>
    <w:rsid w:val="00564287"/>
    <w:rsid w:val="00564490"/>
    <w:rsid w:val="005644DB"/>
    <w:rsid w:val="00564543"/>
    <w:rsid w:val="005645F2"/>
    <w:rsid w:val="0056461D"/>
    <w:rsid w:val="0056499E"/>
    <w:rsid w:val="00564A95"/>
    <w:rsid w:val="00564D4D"/>
    <w:rsid w:val="00564D72"/>
    <w:rsid w:val="005651DE"/>
    <w:rsid w:val="0056537F"/>
    <w:rsid w:val="00565394"/>
    <w:rsid w:val="005653A5"/>
    <w:rsid w:val="00565447"/>
    <w:rsid w:val="00565634"/>
    <w:rsid w:val="005656CB"/>
    <w:rsid w:val="00565902"/>
    <w:rsid w:val="00565A9C"/>
    <w:rsid w:val="00565C79"/>
    <w:rsid w:val="00565E2A"/>
    <w:rsid w:val="00565E91"/>
    <w:rsid w:val="00566082"/>
    <w:rsid w:val="00566083"/>
    <w:rsid w:val="005660EA"/>
    <w:rsid w:val="005666FB"/>
    <w:rsid w:val="0056683B"/>
    <w:rsid w:val="005668EF"/>
    <w:rsid w:val="00566AAB"/>
    <w:rsid w:val="00566AB2"/>
    <w:rsid w:val="00566BE5"/>
    <w:rsid w:val="00566CD3"/>
    <w:rsid w:val="00566E49"/>
    <w:rsid w:val="00566E85"/>
    <w:rsid w:val="00566FBB"/>
    <w:rsid w:val="00567083"/>
    <w:rsid w:val="00567149"/>
    <w:rsid w:val="005672AD"/>
    <w:rsid w:val="005672CC"/>
    <w:rsid w:val="00567319"/>
    <w:rsid w:val="005674C0"/>
    <w:rsid w:val="005674FE"/>
    <w:rsid w:val="0056750F"/>
    <w:rsid w:val="0056751D"/>
    <w:rsid w:val="0056759B"/>
    <w:rsid w:val="005675C7"/>
    <w:rsid w:val="0056768B"/>
    <w:rsid w:val="005676CF"/>
    <w:rsid w:val="00567766"/>
    <w:rsid w:val="005679AD"/>
    <w:rsid w:val="005679E9"/>
    <w:rsid w:val="00567AC0"/>
    <w:rsid w:val="00567B70"/>
    <w:rsid w:val="00567BE3"/>
    <w:rsid w:val="00567C07"/>
    <w:rsid w:val="00567C84"/>
    <w:rsid w:val="00567D33"/>
    <w:rsid w:val="00567FA2"/>
    <w:rsid w:val="00570083"/>
    <w:rsid w:val="00570192"/>
    <w:rsid w:val="005701E9"/>
    <w:rsid w:val="00570301"/>
    <w:rsid w:val="005704B1"/>
    <w:rsid w:val="0057064C"/>
    <w:rsid w:val="005706BF"/>
    <w:rsid w:val="005706E2"/>
    <w:rsid w:val="0057071D"/>
    <w:rsid w:val="005707C7"/>
    <w:rsid w:val="00570927"/>
    <w:rsid w:val="005709D0"/>
    <w:rsid w:val="00570A9A"/>
    <w:rsid w:val="00570E02"/>
    <w:rsid w:val="00570E46"/>
    <w:rsid w:val="00570ED3"/>
    <w:rsid w:val="00570F68"/>
    <w:rsid w:val="00571059"/>
    <w:rsid w:val="0057107D"/>
    <w:rsid w:val="005710BF"/>
    <w:rsid w:val="005711DF"/>
    <w:rsid w:val="005712AD"/>
    <w:rsid w:val="0057134B"/>
    <w:rsid w:val="0057135F"/>
    <w:rsid w:val="0057138D"/>
    <w:rsid w:val="005715D3"/>
    <w:rsid w:val="00571900"/>
    <w:rsid w:val="005719FD"/>
    <w:rsid w:val="00571DC0"/>
    <w:rsid w:val="00571DD1"/>
    <w:rsid w:val="00571E27"/>
    <w:rsid w:val="00571E93"/>
    <w:rsid w:val="00571EB1"/>
    <w:rsid w:val="00571F42"/>
    <w:rsid w:val="00572381"/>
    <w:rsid w:val="005725D1"/>
    <w:rsid w:val="005726E6"/>
    <w:rsid w:val="00572712"/>
    <w:rsid w:val="005727A7"/>
    <w:rsid w:val="005729D2"/>
    <w:rsid w:val="00572AC3"/>
    <w:rsid w:val="00572CC5"/>
    <w:rsid w:val="00572DBF"/>
    <w:rsid w:val="00572F55"/>
    <w:rsid w:val="0057303F"/>
    <w:rsid w:val="00573073"/>
    <w:rsid w:val="005730D0"/>
    <w:rsid w:val="00573107"/>
    <w:rsid w:val="00573624"/>
    <w:rsid w:val="00573C0E"/>
    <w:rsid w:val="00573DCD"/>
    <w:rsid w:val="00573DF5"/>
    <w:rsid w:val="005744A6"/>
    <w:rsid w:val="00574510"/>
    <w:rsid w:val="005745ED"/>
    <w:rsid w:val="005746F1"/>
    <w:rsid w:val="00574702"/>
    <w:rsid w:val="00574740"/>
    <w:rsid w:val="005747B5"/>
    <w:rsid w:val="005747DB"/>
    <w:rsid w:val="00574817"/>
    <w:rsid w:val="00574957"/>
    <w:rsid w:val="00574CA5"/>
    <w:rsid w:val="00574EAD"/>
    <w:rsid w:val="00574F54"/>
    <w:rsid w:val="0057507C"/>
    <w:rsid w:val="005750BD"/>
    <w:rsid w:val="005751C9"/>
    <w:rsid w:val="005751F3"/>
    <w:rsid w:val="00575245"/>
    <w:rsid w:val="0057563D"/>
    <w:rsid w:val="00575663"/>
    <w:rsid w:val="0057566F"/>
    <w:rsid w:val="005757BE"/>
    <w:rsid w:val="005757D9"/>
    <w:rsid w:val="005757DA"/>
    <w:rsid w:val="0057594E"/>
    <w:rsid w:val="00575CDA"/>
    <w:rsid w:val="00575F67"/>
    <w:rsid w:val="0057613A"/>
    <w:rsid w:val="005762C2"/>
    <w:rsid w:val="005762D2"/>
    <w:rsid w:val="005764FE"/>
    <w:rsid w:val="005767C0"/>
    <w:rsid w:val="0057699A"/>
    <w:rsid w:val="00576A01"/>
    <w:rsid w:val="00576A38"/>
    <w:rsid w:val="00576B1C"/>
    <w:rsid w:val="00576C15"/>
    <w:rsid w:val="00576C8B"/>
    <w:rsid w:val="00576E0C"/>
    <w:rsid w:val="00576E22"/>
    <w:rsid w:val="00576EB5"/>
    <w:rsid w:val="00576EF5"/>
    <w:rsid w:val="00576F71"/>
    <w:rsid w:val="00577022"/>
    <w:rsid w:val="00577170"/>
    <w:rsid w:val="005771B4"/>
    <w:rsid w:val="00577329"/>
    <w:rsid w:val="00577427"/>
    <w:rsid w:val="0057759E"/>
    <w:rsid w:val="00577651"/>
    <w:rsid w:val="0057769D"/>
    <w:rsid w:val="00577882"/>
    <w:rsid w:val="00577B3E"/>
    <w:rsid w:val="00577B57"/>
    <w:rsid w:val="00577C1B"/>
    <w:rsid w:val="00580062"/>
    <w:rsid w:val="00580090"/>
    <w:rsid w:val="005800EA"/>
    <w:rsid w:val="005802AA"/>
    <w:rsid w:val="00580303"/>
    <w:rsid w:val="0058036D"/>
    <w:rsid w:val="00580459"/>
    <w:rsid w:val="00580465"/>
    <w:rsid w:val="00580529"/>
    <w:rsid w:val="00580532"/>
    <w:rsid w:val="0058069F"/>
    <w:rsid w:val="005806BB"/>
    <w:rsid w:val="0058076F"/>
    <w:rsid w:val="005809C9"/>
    <w:rsid w:val="00580A9A"/>
    <w:rsid w:val="00580D76"/>
    <w:rsid w:val="00580E10"/>
    <w:rsid w:val="00580E82"/>
    <w:rsid w:val="00580EA3"/>
    <w:rsid w:val="00580EE9"/>
    <w:rsid w:val="00580F54"/>
    <w:rsid w:val="00581111"/>
    <w:rsid w:val="0058117C"/>
    <w:rsid w:val="0058128F"/>
    <w:rsid w:val="00581394"/>
    <w:rsid w:val="005814DD"/>
    <w:rsid w:val="005815C8"/>
    <w:rsid w:val="00581618"/>
    <w:rsid w:val="00581634"/>
    <w:rsid w:val="00581676"/>
    <w:rsid w:val="005816E3"/>
    <w:rsid w:val="00581736"/>
    <w:rsid w:val="00581771"/>
    <w:rsid w:val="0058197E"/>
    <w:rsid w:val="00581B93"/>
    <w:rsid w:val="00581C26"/>
    <w:rsid w:val="00581DEB"/>
    <w:rsid w:val="00581E01"/>
    <w:rsid w:val="00581E02"/>
    <w:rsid w:val="00581F18"/>
    <w:rsid w:val="00582041"/>
    <w:rsid w:val="005820D9"/>
    <w:rsid w:val="00582147"/>
    <w:rsid w:val="0058227E"/>
    <w:rsid w:val="005822D4"/>
    <w:rsid w:val="00582376"/>
    <w:rsid w:val="005824C9"/>
    <w:rsid w:val="00582558"/>
    <w:rsid w:val="005825B1"/>
    <w:rsid w:val="0058289C"/>
    <w:rsid w:val="005829B6"/>
    <w:rsid w:val="00582AA2"/>
    <w:rsid w:val="00582B4B"/>
    <w:rsid w:val="00582B85"/>
    <w:rsid w:val="00582DA3"/>
    <w:rsid w:val="00582E84"/>
    <w:rsid w:val="00582EA7"/>
    <w:rsid w:val="00583084"/>
    <w:rsid w:val="005830C7"/>
    <w:rsid w:val="00583183"/>
    <w:rsid w:val="005831F2"/>
    <w:rsid w:val="00583234"/>
    <w:rsid w:val="0058324B"/>
    <w:rsid w:val="00583302"/>
    <w:rsid w:val="00583617"/>
    <w:rsid w:val="0058376F"/>
    <w:rsid w:val="00583867"/>
    <w:rsid w:val="00583994"/>
    <w:rsid w:val="00583D07"/>
    <w:rsid w:val="00583D63"/>
    <w:rsid w:val="00584091"/>
    <w:rsid w:val="00584376"/>
    <w:rsid w:val="0058445E"/>
    <w:rsid w:val="00584567"/>
    <w:rsid w:val="005847A8"/>
    <w:rsid w:val="00584811"/>
    <w:rsid w:val="00584868"/>
    <w:rsid w:val="005848B4"/>
    <w:rsid w:val="00584A8D"/>
    <w:rsid w:val="00584ADF"/>
    <w:rsid w:val="00584AEC"/>
    <w:rsid w:val="00584BAF"/>
    <w:rsid w:val="00584E75"/>
    <w:rsid w:val="00584F4F"/>
    <w:rsid w:val="00585258"/>
    <w:rsid w:val="00585313"/>
    <w:rsid w:val="005856C8"/>
    <w:rsid w:val="00585792"/>
    <w:rsid w:val="00585810"/>
    <w:rsid w:val="00585903"/>
    <w:rsid w:val="00585A14"/>
    <w:rsid w:val="00585AFB"/>
    <w:rsid w:val="00585C6D"/>
    <w:rsid w:val="00585E1E"/>
    <w:rsid w:val="005861A8"/>
    <w:rsid w:val="005861E4"/>
    <w:rsid w:val="005861F5"/>
    <w:rsid w:val="005861F6"/>
    <w:rsid w:val="00586296"/>
    <w:rsid w:val="005862AE"/>
    <w:rsid w:val="005863C3"/>
    <w:rsid w:val="00586407"/>
    <w:rsid w:val="00586545"/>
    <w:rsid w:val="0058663F"/>
    <w:rsid w:val="005867E8"/>
    <w:rsid w:val="00586806"/>
    <w:rsid w:val="00586918"/>
    <w:rsid w:val="00586948"/>
    <w:rsid w:val="00586C8B"/>
    <w:rsid w:val="00586CBC"/>
    <w:rsid w:val="00586DEA"/>
    <w:rsid w:val="00586EC7"/>
    <w:rsid w:val="005870BF"/>
    <w:rsid w:val="005870F7"/>
    <w:rsid w:val="005871B7"/>
    <w:rsid w:val="005872BF"/>
    <w:rsid w:val="005873D2"/>
    <w:rsid w:val="005873F5"/>
    <w:rsid w:val="00587518"/>
    <w:rsid w:val="005876EE"/>
    <w:rsid w:val="00587786"/>
    <w:rsid w:val="00587879"/>
    <w:rsid w:val="00587965"/>
    <w:rsid w:val="005879D4"/>
    <w:rsid w:val="00587C34"/>
    <w:rsid w:val="00587EC0"/>
    <w:rsid w:val="00590041"/>
    <w:rsid w:val="00590133"/>
    <w:rsid w:val="005901E9"/>
    <w:rsid w:val="00590206"/>
    <w:rsid w:val="00590305"/>
    <w:rsid w:val="0059043F"/>
    <w:rsid w:val="0059061C"/>
    <w:rsid w:val="0059080E"/>
    <w:rsid w:val="005909AA"/>
    <w:rsid w:val="00590E65"/>
    <w:rsid w:val="00590E78"/>
    <w:rsid w:val="00590F26"/>
    <w:rsid w:val="00590FCB"/>
    <w:rsid w:val="00590FFD"/>
    <w:rsid w:val="00591077"/>
    <w:rsid w:val="005910DC"/>
    <w:rsid w:val="00591266"/>
    <w:rsid w:val="005912A5"/>
    <w:rsid w:val="005912F6"/>
    <w:rsid w:val="00591711"/>
    <w:rsid w:val="005917F3"/>
    <w:rsid w:val="0059183C"/>
    <w:rsid w:val="00591A8E"/>
    <w:rsid w:val="00591C01"/>
    <w:rsid w:val="00591C1C"/>
    <w:rsid w:val="00591D7F"/>
    <w:rsid w:val="00591FB6"/>
    <w:rsid w:val="00591FBD"/>
    <w:rsid w:val="00592056"/>
    <w:rsid w:val="0059218C"/>
    <w:rsid w:val="00592198"/>
    <w:rsid w:val="0059220C"/>
    <w:rsid w:val="0059249B"/>
    <w:rsid w:val="005924D7"/>
    <w:rsid w:val="0059255C"/>
    <w:rsid w:val="00592610"/>
    <w:rsid w:val="00592791"/>
    <w:rsid w:val="0059289E"/>
    <w:rsid w:val="005928BD"/>
    <w:rsid w:val="0059297F"/>
    <w:rsid w:val="00592A19"/>
    <w:rsid w:val="00592A89"/>
    <w:rsid w:val="00592AE7"/>
    <w:rsid w:val="00592AEE"/>
    <w:rsid w:val="00592B89"/>
    <w:rsid w:val="00592C7A"/>
    <w:rsid w:val="00592E21"/>
    <w:rsid w:val="00592E26"/>
    <w:rsid w:val="0059303A"/>
    <w:rsid w:val="005930D8"/>
    <w:rsid w:val="0059312F"/>
    <w:rsid w:val="0059316A"/>
    <w:rsid w:val="0059332D"/>
    <w:rsid w:val="005933AF"/>
    <w:rsid w:val="005933CB"/>
    <w:rsid w:val="005934DF"/>
    <w:rsid w:val="005935D6"/>
    <w:rsid w:val="00593712"/>
    <w:rsid w:val="0059371D"/>
    <w:rsid w:val="005939BC"/>
    <w:rsid w:val="00593A24"/>
    <w:rsid w:val="00593ADA"/>
    <w:rsid w:val="00593C47"/>
    <w:rsid w:val="00593C9D"/>
    <w:rsid w:val="00593D38"/>
    <w:rsid w:val="00593D65"/>
    <w:rsid w:val="0059410F"/>
    <w:rsid w:val="00594204"/>
    <w:rsid w:val="005942CD"/>
    <w:rsid w:val="00594325"/>
    <w:rsid w:val="00594373"/>
    <w:rsid w:val="00594430"/>
    <w:rsid w:val="00594921"/>
    <w:rsid w:val="00594A38"/>
    <w:rsid w:val="00594B43"/>
    <w:rsid w:val="00594B6C"/>
    <w:rsid w:val="00594DC0"/>
    <w:rsid w:val="00595020"/>
    <w:rsid w:val="00595197"/>
    <w:rsid w:val="0059538C"/>
    <w:rsid w:val="00595486"/>
    <w:rsid w:val="005954D1"/>
    <w:rsid w:val="005955FB"/>
    <w:rsid w:val="00595697"/>
    <w:rsid w:val="005958B0"/>
    <w:rsid w:val="005958BF"/>
    <w:rsid w:val="00595919"/>
    <w:rsid w:val="0059591C"/>
    <w:rsid w:val="0059595C"/>
    <w:rsid w:val="00595984"/>
    <w:rsid w:val="00595AAC"/>
    <w:rsid w:val="00595C88"/>
    <w:rsid w:val="00595C9A"/>
    <w:rsid w:val="00595E16"/>
    <w:rsid w:val="00595E41"/>
    <w:rsid w:val="00595F45"/>
    <w:rsid w:val="0059606D"/>
    <w:rsid w:val="0059629A"/>
    <w:rsid w:val="005962E8"/>
    <w:rsid w:val="00596317"/>
    <w:rsid w:val="0059657B"/>
    <w:rsid w:val="00596656"/>
    <w:rsid w:val="00596666"/>
    <w:rsid w:val="005969B7"/>
    <w:rsid w:val="00596A4A"/>
    <w:rsid w:val="00596AD4"/>
    <w:rsid w:val="00596B68"/>
    <w:rsid w:val="00596BE9"/>
    <w:rsid w:val="00596C14"/>
    <w:rsid w:val="00596D06"/>
    <w:rsid w:val="00596F70"/>
    <w:rsid w:val="00597140"/>
    <w:rsid w:val="0059744D"/>
    <w:rsid w:val="0059782D"/>
    <w:rsid w:val="005978B2"/>
    <w:rsid w:val="005978C2"/>
    <w:rsid w:val="005979D0"/>
    <w:rsid w:val="00597B66"/>
    <w:rsid w:val="00597D92"/>
    <w:rsid w:val="00597DD4"/>
    <w:rsid w:val="00597DE0"/>
    <w:rsid w:val="00597F40"/>
    <w:rsid w:val="00597FE1"/>
    <w:rsid w:val="005A0207"/>
    <w:rsid w:val="005A0315"/>
    <w:rsid w:val="005A052D"/>
    <w:rsid w:val="005A0532"/>
    <w:rsid w:val="005A05D4"/>
    <w:rsid w:val="005A067C"/>
    <w:rsid w:val="005A06DE"/>
    <w:rsid w:val="005A070E"/>
    <w:rsid w:val="005A07DF"/>
    <w:rsid w:val="005A083B"/>
    <w:rsid w:val="005A08DA"/>
    <w:rsid w:val="005A0938"/>
    <w:rsid w:val="005A094C"/>
    <w:rsid w:val="005A0BD5"/>
    <w:rsid w:val="005A0C46"/>
    <w:rsid w:val="005A0CA1"/>
    <w:rsid w:val="005A0D82"/>
    <w:rsid w:val="005A0ED2"/>
    <w:rsid w:val="005A1100"/>
    <w:rsid w:val="005A1144"/>
    <w:rsid w:val="005A11B2"/>
    <w:rsid w:val="005A1293"/>
    <w:rsid w:val="005A1322"/>
    <w:rsid w:val="005A1430"/>
    <w:rsid w:val="005A160D"/>
    <w:rsid w:val="005A16FB"/>
    <w:rsid w:val="005A1877"/>
    <w:rsid w:val="005A1922"/>
    <w:rsid w:val="005A19C1"/>
    <w:rsid w:val="005A1AB9"/>
    <w:rsid w:val="005A1AC5"/>
    <w:rsid w:val="005A1EC5"/>
    <w:rsid w:val="005A20A2"/>
    <w:rsid w:val="005A216B"/>
    <w:rsid w:val="005A21DE"/>
    <w:rsid w:val="005A22A3"/>
    <w:rsid w:val="005A2548"/>
    <w:rsid w:val="005A2593"/>
    <w:rsid w:val="005A273C"/>
    <w:rsid w:val="005A27AC"/>
    <w:rsid w:val="005A28C4"/>
    <w:rsid w:val="005A298C"/>
    <w:rsid w:val="005A2B76"/>
    <w:rsid w:val="005A2CDB"/>
    <w:rsid w:val="005A2D00"/>
    <w:rsid w:val="005A2DB4"/>
    <w:rsid w:val="005A2F1C"/>
    <w:rsid w:val="005A3132"/>
    <w:rsid w:val="005A3267"/>
    <w:rsid w:val="005A3279"/>
    <w:rsid w:val="005A3C52"/>
    <w:rsid w:val="005A3D31"/>
    <w:rsid w:val="005A3E0B"/>
    <w:rsid w:val="005A40AA"/>
    <w:rsid w:val="005A4140"/>
    <w:rsid w:val="005A42FA"/>
    <w:rsid w:val="005A438F"/>
    <w:rsid w:val="005A44BD"/>
    <w:rsid w:val="005A462B"/>
    <w:rsid w:val="005A46A3"/>
    <w:rsid w:val="005A4744"/>
    <w:rsid w:val="005A4780"/>
    <w:rsid w:val="005A478F"/>
    <w:rsid w:val="005A4A8E"/>
    <w:rsid w:val="005A4ADE"/>
    <w:rsid w:val="005A4BDA"/>
    <w:rsid w:val="005A4D81"/>
    <w:rsid w:val="005A4E97"/>
    <w:rsid w:val="005A4EA2"/>
    <w:rsid w:val="005A5086"/>
    <w:rsid w:val="005A50DF"/>
    <w:rsid w:val="005A5112"/>
    <w:rsid w:val="005A518C"/>
    <w:rsid w:val="005A5206"/>
    <w:rsid w:val="005A53FC"/>
    <w:rsid w:val="005A559A"/>
    <w:rsid w:val="005A5614"/>
    <w:rsid w:val="005A5620"/>
    <w:rsid w:val="005A5989"/>
    <w:rsid w:val="005A59C5"/>
    <w:rsid w:val="005A5AC3"/>
    <w:rsid w:val="005A5B97"/>
    <w:rsid w:val="005A5BF6"/>
    <w:rsid w:val="005A5D03"/>
    <w:rsid w:val="005A5ECD"/>
    <w:rsid w:val="005A5EEB"/>
    <w:rsid w:val="005A5FEB"/>
    <w:rsid w:val="005A6004"/>
    <w:rsid w:val="005A619E"/>
    <w:rsid w:val="005A6202"/>
    <w:rsid w:val="005A6210"/>
    <w:rsid w:val="005A62F3"/>
    <w:rsid w:val="005A63B7"/>
    <w:rsid w:val="005A63D8"/>
    <w:rsid w:val="005A63E8"/>
    <w:rsid w:val="005A6476"/>
    <w:rsid w:val="005A647A"/>
    <w:rsid w:val="005A652D"/>
    <w:rsid w:val="005A658F"/>
    <w:rsid w:val="005A65EC"/>
    <w:rsid w:val="005A6A3A"/>
    <w:rsid w:val="005A6CFF"/>
    <w:rsid w:val="005A6DE3"/>
    <w:rsid w:val="005A6E8B"/>
    <w:rsid w:val="005A6EF7"/>
    <w:rsid w:val="005A6FB0"/>
    <w:rsid w:val="005A7034"/>
    <w:rsid w:val="005A7191"/>
    <w:rsid w:val="005A721A"/>
    <w:rsid w:val="005A733E"/>
    <w:rsid w:val="005A7607"/>
    <w:rsid w:val="005A768E"/>
    <w:rsid w:val="005A7795"/>
    <w:rsid w:val="005A785C"/>
    <w:rsid w:val="005A797F"/>
    <w:rsid w:val="005A7ABE"/>
    <w:rsid w:val="005A7C48"/>
    <w:rsid w:val="005A7CC5"/>
    <w:rsid w:val="005A7CCA"/>
    <w:rsid w:val="005A7F15"/>
    <w:rsid w:val="005A7F5B"/>
    <w:rsid w:val="005B0177"/>
    <w:rsid w:val="005B01C0"/>
    <w:rsid w:val="005B0299"/>
    <w:rsid w:val="005B02C5"/>
    <w:rsid w:val="005B0319"/>
    <w:rsid w:val="005B035E"/>
    <w:rsid w:val="005B04A0"/>
    <w:rsid w:val="005B082C"/>
    <w:rsid w:val="005B0875"/>
    <w:rsid w:val="005B0980"/>
    <w:rsid w:val="005B0B0B"/>
    <w:rsid w:val="005B0C8D"/>
    <w:rsid w:val="005B0D98"/>
    <w:rsid w:val="005B10AA"/>
    <w:rsid w:val="005B123B"/>
    <w:rsid w:val="005B1648"/>
    <w:rsid w:val="005B16D8"/>
    <w:rsid w:val="005B1700"/>
    <w:rsid w:val="005B17F2"/>
    <w:rsid w:val="005B1891"/>
    <w:rsid w:val="005B1954"/>
    <w:rsid w:val="005B1963"/>
    <w:rsid w:val="005B1983"/>
    <w:rsid w:val="005B1A34"/>
    <w:rsid w:val="005B1AAC"/>
    <w:rsid w:val="005B1AC3"/>
    <w:rsid w:val="005B1B55"/>
    <w:rsid w:val="005B1B8E"/>
    <w:rsid w:val="005B1C13"/>
    <w:rsid w:val="005B1CCA"/>
    <w:rsid w:val="005B1D18"/>
    <w:rsid w:val="005B1D19"/>
    <w:rsid w:val="005B1DE4"/>
    <w:rsid w:val="005B1F0A"/>
    <w:rsid w:val="005B1F19"/>
    <w:rsid w:val="005B1FB3"/>
    <w:rsid w:val="005B2015"/>
    <w:rsid w:val="005B227E"/>
    <w:rsid w:val="005B2289"/>
    <w:rsid w:val="005B2703"/>
    <w:rsid w:val="005B277A"/>
    <w:rsid w:val="005B27A0"/>
    <w:rsid w:val="005B27FD"/>
    <w:rsid w:val="005B2AB7"/>
    <w:rsid w:val="005B2CDC"/>
    <w:rsid w:val="005B2DE1"/>
    <w:rsid w:val="005B314F"/>
    <w:rsid w:val="005B3280"/>
    <w:rsid w:val="005B32DF"/>
    <w:rsid w:val="005B3362"/>
    <w:rsid w:val="005B33DB"/>
    <w:rsid w:val="005B343A"/>
    <w:rsid w:val="005B3562"/>
    <w:rsid w:val="005B37F0"/>
    <w:rsid w:val="005B3994"/>
    <w:rsid w:val="005B39BF"/>
    <w:rsid w:val="005B3A6A"/>
    <w:rsid w:val="005B3ADC"/>
    <w:rsid w:val="005B3B2C"/>
    <w:rsid w:val="005B3D3D"/>
    <w:rsid w:val="005B3FB0"/>
    <w:rsid w:val="005B3FD9"/>
    <w:rsid w:val="005B4042"/>
    <w:rsid w:val="005B40AD"/>
    <w:rsid w:val="005B40E3"/>
    <w:rsid w:val="005B4298"/>
    <w:rsid w:val="005B43B0"/>
    <w:rsid w:val="005B446A"/>
    <w:rsid w:val="005B45A1"/>
    <w:rsid w:val="005B4895"/>
    <w:rsid w:val="005B4925"/>
    <w:rsid w:val="005B494D"/>
    <w:rsid w:val="005B4AF6"/>
    <w:rsid w:val="005B4E30"/>
    <w:rsid w:val="005B506C"/>
    <w:rsid w:val="005B5085"/>
    <w:rsid w:val="005B50CB"/>
    <w:rsid w:val="005B538A"/>
    <w:rsid w:val="005B53B9"/>
    <w:rsid w:val="005B54DD"/>
    <w:rsid w:val="005B5754"/>
    <w:rsid w:val="005B57C7"/>
    <w:rsid w:val="005B58AE"/>
    <w:rsid w:val="005B5AA4"/>
    <w:rsid w:val="005B5B26"/>
    <w:rsid w:val="005B5CC1"/>
    <w:rsid w:val="005B5D0E"/>
    <w:rsid w:val="005B5D20"/>
    <w:rsid w:val="005B5DEA"/>
    <w:rsid w:val="005B6080"/>
    <w:rsid w:val="005B60AB"/>
    <w:rsid w:val="005B614C"/>
    <w:rsid w:val="005B61CB"/>
    <w:rsid w:val="005B6288"/>
    <w:rsid w:val="005B62E7"/>
    <w:rsid w:val="005B6354"/>
    <w:rsid w:val="005B6426"/>
    <w:rsid w:val="005B6437"/>
    <w:rsid w:val="005B6634"/>
    <w:rsid w:val="005B6A85"/>
    <w:rsid w:val="005B6BBB"/>
    <w:rsid w:val="005B6C75"/>
    <w:rsid w:val="005B6C96"/>
    <w:rsid w:val="005B6CB1"/>
    <w:rsid w:val="005B6D58"/>
    <w:rsid w:val="005B6F27"/>
    <w:rsid w:val="005B70CD"/>
    <w:rsid w:val="005B7183"/>
    <w:rsid w:val="005B722F"/>
    <w:rsid w:val="005B7272"/>
    <w:rsid w:val="005B7331"/>
    <w:rsid w:val="005B7438"/>
    <w:rsid w:val="005B74E3"/>
    <w:rsid w:val="005B75D8"/>
    <w:rsid w:val="005B7762"/>
    <w:rsid w:val="005B78B0"/>
    <w:rsid w:val="005B7962"/>
    <w:rsid w:val="005B7AC7"/>
    <w:rsid w:val="005B7B60"/>
    <w:rsid w:val="005B7BAD"/>
    <w:rsid w:val="005B7BFE"/>
    <w:rsid w:val="005B7C7D"/>
    <w:rsid w:val="005B7CD7"/>
    <w:rsid w:val="005B7DB9"/>
    <w:rsid w:val="005B7EF0"/>
    <w:rsid w:val="005C034D"/>
    <w:rsid w:val="005C0482"/>
    <w:rsid w:val="005C05EB"/>
    <w:rsid w:val="005C07B8"/>
    <w:rsid w:val="005C07EB"/>
    <w:rsid w:val="005C085A"/>
    <w:rsid w:val="005C0875"/>
    <w:rsid w:val="005C089B"/>
    <w:rsid w:val="005C08BF"/>
    <w:rsid w:val="005C08FF"/>
    <w:rsid w:val="005C0958"/>
    <w:rsid w:val="005C0C72"/>
    <w:rsid w:val="005C0EF1"/>
    <w:rsid w:val="005C10BA"/>
    <w:rsid w:val="005C1117"/>
    <w:rsid w:val="005C130F"/>
    <w:rsid w:val="005C1563"/>
    <w:rsid w:val="005C15F8"/>
    <w:rsid w:val="005C163F"/>
    <w:rsid w:val="005C16CA"/>
    <w:rsid w:val="005C16EE"/>
    <w:rsid w:val="005C171D"/>
    <w:rsid w:val="005C17D0"/>
    <w:rsid w:val="005C1939"/>
    <w:rsid w:val="005C1DA6"/>
    <w:rsid w:val="005C1ED0"/>
    <w:rsid w:val="005C1FB2"/>
    <w:rsid w:val="005C1FCC"/>
    <w:rsid w:val="005C21B0"/>
    <w:rsid w:val="005C2274"/>
    <w:rsid w:val="005C22A4"/>
    <w:rsid w:val="005C22BA"/>
    <w:rsid w:val="005C2596"/>
    <w:rsid w:val="005C269D"/>
    <w:rsid w:val="005C281F"/>
    <w:rsid w:val="005C2A09"/>
    <w:rsid w:val="005C2A38"/>
    <w:rsid w:val="005C2AFB"/>
    <w:rsid w:val="005C2C29"/>
    <w:rsid w:val="005C2D5C"/>
    <w:rsid w:val="005C2EC1"/>
    <w:rsid w:val="005C3062"/>
    <w:rsid w:val="005C3134"/>
    <w:rsid w:val="005C32C5"/>
    <w:rsid w:val="005C3410"/>
    <w:rsid w:val="005C3526"/>
    <w:rsid w:val="005C36DE"/>
    <w:rsid w:val="005C37D1"/>
    <w:rsid w:val="005C3876"/>
    <w:rsid w:val="005C3964"/>
    <w:rsid w:val="005C3A08"/>
    <w:rsid w:val="005C3A28"/>
    <w:rsid w:val="005C3C25"/>
    <w:rsid w:val="005C3C52"/>
    <w:rsid w:val="005C3E4C"/>
    <w:rsid w:val="005C40BD"/>
    <w:rsid w:val="005C40CA"/>
    <w:rsid w:val="005C4180"/>
    <w:rsid w:val="005C41BB"/>
    <w:rsid w:val="005C42EA"/>
    <w:rsid w:val="005C4468"/>
    <w:rsid w:val="005C448D"/>
    <w:rsid w:val="005C4536"/>
    <w:rsid w:val="005C459F"/>
    <w:rsid w:val="005C47DE"/>
    <w:rsid w:val="005C4878"/>
    <w:rsid w:val="005C4954"/>
    <w:rsid w:val="005C4A1F"/>
    <w:rsid w:val="005C4A4F"/>
    <w:rsid w:val="005C4C62"/>
    <w:rsid w:val="005C4DEB"/>
    <w:rsid w:val="005C5071"/>
    <w:rsid w:val="005C5095"/>
    <w:rsid w:val="005C509A"/>
    <w:rsid w:val="005C5118"/>
    <w:rsid w:val="005C51F6"/>
    <w:rsid w:val="005C5390"/>
    <w:rsid w:val="005C53BF"/>
    <w:rsid w:val="005C53F9"/>
    <w:rsid w:val="005C54D5"/>
    <w:rsid w:val="005C54F0"/>
    <w:rsid w:val="005C5577"/>
    <w:rsid w:val="005C565E"/>
    <w:rsid w:val="005C5755"/>
    <w:rsid w:val="005C5895"/>
    <w:rsid w:val="005C59FB"/>
    <w:rsid w:val="005C5A1B"/>
    <w:rsid w:val="005C6223"/>
    <w:rsid w:val="005C632A"/>
    <w:rsid w:val="005C6481"/>
    <w:rsid w:val="005C658E"/>
    <w:rsid w:val="005C66E2"/>
    <w:rsid w:val="005C6808"/>
    <w:rsid w:val="005C68EF"/>
    <w:rsid w:val="005C69D1"/>
    <w:rsid w:val="005C6CBA"/>
    <w:rsid w:val="005C6CD0"/>
    <w:rsid w:val="005C6DB3"/>
    <w:rsid w:val="005C6DDC"/>
    <w:rsid w:val="005C6E4A"/>
    <w:rsid w:val="005C6E8B"/>
    <w:rsid w:val="005C6EAC"/>
    <w:rsid w:val="005C6F28"/>
    <w:rsid w:val="005C6FD8"/>
    <w:rsid w:val="005C70A1"/>
    <w:rsid w:val="005C70D8"/>
    <w:rsid w:val="005C7125"/>
    <w:rsid w:val="005C7177"/>
    <w:rsid w:val="005C733F"/>
    <w:rsid w:val="005C7371"/>
    <w:rsid w:val="005C73E4"/>
    <w:rsid w:val="005C7402"/>
    <w:rsid w:val="005C7469"/>
    <w:rsid w:val="005C756F"/>
    <w:rsid w:val="005C765D"/>
    <w:rsid w:val="005C76AB"/>
    <w:rsid w:val="005C77D1"/>
    <w:rsid w:val="005C788E"/>
    <w:rsid w:val="005C78E8"/>
    <w:rsid w:val="005C79D5"/>
    <w:rsid w:val="005C7C31"/>
    <w:rsid w:val="005C7C87"/>
    <w:rsid w:val="005C7EAC"/>
    <w:rsid w:val="005C7F2D"/>
    <w:rsid w:val="005D0213"/>
    <w:rsid w:val="005D023D"/>
    <w:rsid w:val="005D0291"/>
    <w:rsid w:val="005D046F"/>
    <w:rsid w:val="005D06B2"/>
    <w:rsid w:val="005D0D98"/>
    <w:rsid w:val="005D0E2A"/>
    <w:rsid w:val="005D0E4E"/>
    <w:rsid w:val="005D0EFD"/>
    <w:rsid w:val="005D0F96"/>
    <w:rsid w:val="005D1151"/>
    <w:rsid w:val="005D14BF"/>
    <w:rsid w:val="005D14FB"/>
    <w:rsid w:val="005D1562"/>
    <w:rsid w:val="005D1639"/>
    <w:rsid w:val="005D1646"/>
    <w:rsid w:val="005D180D"/>
    <w:rsid w:val="005D1811"/>
    <w:rsid w:val="005D181B"/>
    <w:rsid w:val="005D1AD7"/>
    <w:rsid w:val="005D1BCF"/>
    <w:rsid w:val="005D1BF6"/>
    <w:rsid w:val="005D1C5F"/>
    <w:rsid w:val="005D1C84"/>
    <w:rsid w:val="005D1DBB"/>
    <w:rsid w:val="005D2125"/>
    <w:rsid w:val="005D219E"/>
    <w:rsid w:val="005D2354"/>
    <w:rsid w:val="005D23D2"/>
    <w:rsid w:val="005D25E6"/>
    <w:rsid w:val="005D26C5"/>
    <w:rsid w:val="005D2995"/>
    <w:rsid w:val="005D2B9F"/>
    <w:rsid w:val="005D2C73"/>
    <w:rsid w:val="005D2D10"/>
    <w:rsid w:val="005D2D63"/>
    <w:rsid w:val="005D2E8B"/>
    <w:rsid w:val="005D2E96"/>
    <w:rsid w:val="005D2F32"/>
    <w:rsid w:val="005D3050"/>
    <w:rsid w:val="005D310F"/>
    <w:rsid w:val="005D33AE"/>
    <w:rsid w:val="005D34E0"/>
    <w:rsid w:val="005D368F"/>
    <w:rsid w:val="005D379D"/>
    <w:rsid w:val="005D38EC"/>
    <w:rsid w:val="005D3A18"/>
    <w:rsid w:val="005D3C4D"/>
    <w:rsid w:val="005D3DC2"/>
    <w:rsid w:val="005D3E2B"/>
    <w:rsid w:val="005D40F1"/>
    <w:rsid w:val="005D40F2"/>
    <w:rsid w:val="005D42BA"/>
    <w:rsid w:val="005D42E1"/>
    <w:rsid w:val="005D439B"/>
    <w:rsid w:val="005D44C6"/>
    <w:rsid w:val="005D4806"/>
    <w:rsid w:val="005D48D5"/>
    <w:rsid w:val="005D492E"/>
    <w:rsid w:val="005D49E4"/>
    <w:rsid w:val="005D4EAA"/>
    <w:rsid w:val="005D4EE4"/>
    <w:rsid w:val="005D54EF"/>
    <w:rsid w:val="005D5553"/>
    <w:rsid w:val="005D569B"/>
    <w:rsid w:val="005D56B9"/>
    <w:rsid w:val="005D595B"/>
    <w:rsid w:val="005D5BC8"/>
    <w:rsid w:val="005D5C18"/>
    <w:rsid w:val="005D5C93"/>
    <w:rsid w:val="005D5E06"/>
    <w:rsid w:val="005D5E42"/>
    <w:rsid w:val="005D5F31"/>
    <w:rsid w:val="005D6012"/>
    <w:rsid w:val="005D6354"/>
    <w:rsid w:val="005D6490"/>
    <w:rsid w:val="005D6709"/>
    <w:rsid w:val="005D673D"/>
    <w:rsid w:val="005D6829"/>
    <w:rsid w:val="005D69E9"/>
    <w:rsid w:val="005D6A82"/>
    <w:rsid w:val="005D6B97"/>
    <w:rsid w:val="005D6BD2"/>
    <w:rsid w:val="005D6C27"/>
    <w:rsid w:val="005D6D2C"/>
    <w:rsid w:val="005D6D66"/>
    <w:rsid w:val="005D6DEF"/>
    <w:rsid w:val="005D6E2E"/>
    <w:rsid w:val="005D6ECB"/>
    <w:rsid w:val="005D70CF"/>
    <w:rsid w:val="005D7120"/>
    <w:rsid w:val="005D7161"/>
    <w:rsid w:val="005D72D4"/>
    <w:rsid w:val="005D732F"/>
    <w:rsid w:val="005D7395"/>
    <w:rsid w:val="005D753B"/>
    <w:rsid w:val="005D758A"/>
    <w:rsid w:val="005D7689"/>
    <w:rsid w:val="005D76FE"/>
    <w:rsid w:val="005D7774"/>
    <w:rsid w:val="005D77D1"/>
    <w:rsid w:val="005D7A3B"/>
    <w:rsid w:val="005D7B3F"/>
    <w:rsid w:val="005D7BBA"/>
    <w:rsid w:val="005D7E1F"/>
    <w:rsid w:val="005D7E2E"/>
    <w:rsid w:val="005D7F0D"/>
    <w:rsid w:val="005E0091"/>
    <w:rsid w:val="005E009D"/>
    <w:rsid w:val="005E0182"/>
    <w:rsid w:val="005E05CE"/>
    <w:rsid w:val="005E08C9"/>
    <w:rsid w:val="005E0A44"/>
    <w:rsid w:val="005E0B0A"/>
    <w:rsid w:val="005E0CB7"/>
    <w:rsid w:val="005E0D40"/>
    <w:rsid w:val="005E15BF"/>
    <w:rsid w:val="005E1754"/>
    <w:rsid w:val="005E17E3"/>
    <w:rsid w:val="005E1B89"/>
    <w:rsid w:val="005E1B9A"/>
    <w:rsid w:val="005E1BD8"/>
    <w:rsid w:val="005E1BFF"/>
    <w:rsid w:val="005E1ED6"/>
    <w:rsid w:val="005E1F81"/>
    <w:rsid w:val="005E1F97"/>
    <w:rsid w:val="005E2006"/>
    <w:rsid w:val="005E20FB"/>
    <w:rsid w:val="005E2148"/>
    <w:rsid w:val="005E22A2"/>
    <w:rsid w:val="005E231B"/>
    <w:rsid w:val="005E232E"/>
    <w:rsid w:val="005E240D"/>
    <w:rsid w:val="005E251C"/>
    <w:rsid w:val="005E251E"/>
    <w:rsid w:val="005E270B"/>
    <w:rsid w:val="005E28EA"/>
    <w:rsid w:val="005E298B"/>
    <w:rsid w:val="005E2AFF"/>
    <w:rsid w:val="005E2B25"/>
    <w:rsid w:val="005E2E9D"/>
    <w:rsid w:val="005E3271"/>
    <w:rsid w:val="005E32AD"/>
    <w:rsid w:val="005E3469"/>
    <w:rsid w:val="005E351A"/>
    <w:rsid w:val="005E36B1"/>
    <w:rsid w:val="005E37D3"/>
    <w:rsid w:val="005E3AC8"/>
    <w:rsid w:val="005E3ADA"/>
    <w:rsid w:val="005E3B6B"/>
    <w:rsid w:val="005E3B89"/>
    <w:rsid w:val="005E3C26"/>
    <w:rsid w:val="005E4028"/>
    <w:rsid w:val="005E4057"/>
    <w:rsid w:val="005E410B"/>
    <w:rsid w:val="005E4126"/>
    <w:rsid w:val="005E4151"/>
    <w:rsid w:val="005E4153"/>
    <w:rsid w:val="005E417B"/>
    <w:rsid w:val="005E43C0"/>
    <w:rsid w:val="005E4528"/>
    <w:rsid w:val="005E46B0"/>
    <w:rsid w:val="005E4790"/>
    <w:rsid w:val="005E4824"/>
    <w:rsid w:val="005E4846"/>
    <w:rsid w:val="005E49F7"/>
    <w:rsid w:val="005E4A1B"/>
    <w:rsid w:val="005E4B60"/>
    <w:rsid w:val="005E4C44"/>
    <w:rsid w:val="005E4D06"/>
    <w:rsid w:val="005E4D54"/>
    <w:rsid w:val="005E4D74"/>
    <w:rsid w:val="005E4E1E"/>
    <w:rsid w:val="005E4E30"/>
    <w:rsid w:val="005E4EC8"/>
    <w:rsid w:val="005E4F39"/>
    <w:rsid w:val="005E51C4"/>
    <w:rsid w:val="005E52AB"/>
    <w:rsid w:val="005E538E"/>
    <w:rsid w:val="005E54F9"/>
    <w:rsid w:val="005E5679"/>
    <w:rsid w:val="005E58BC"/>
    <w:rsid w:val="005E5D76"/>
    <w:rsid w:val="005E5E1E"/>
    <w:rsid w:val="005E5E3C"/>
    <w:rsid w:val="005E5EEF"/>
    <w:rsid w:val="005E6002"/>
    <w:rsid w:val="005E6451"/>
    <w:rsid w:val="005E64B9"/>
    <w:rsid w:val="005E656E"/>
    <w:rsid w:val="005E671C"/>
    <w:rsid w:val="005E676A"/>
    <w:rsid w:val="005E67A2"/>
    <w:rsid w:val="005E6816"/>
    <w:rsid w:val="005E681C"/>
    <w:rsid w:val="005E69EA"/>
    <w:rsid w:val="005E6AD9"/>
    <w:rsid w:val="005E6AF3"/>
    <w:rsid w:val="005E6AF7"/>
    <w:rsid w:val="005E6BD1"/>
    <w:rsid w:val="005E6D4D"/>
    <w:rsid w:val="005E6E1E"/>
    <w:rsid w:val="005E6E4B"/>
    <w:rsid w:val="005E6EF0"/>
    <w:rsid w:val="005E6F25"/>
    <w:rsid w:val="005E6F5D"/>
    <w:rsid w:val="005E7161"/>
    <w:rsid w:val="005E71B0"/>
    <w:rsid w:val="005E74AC"/>
    <w:rsid w:val="005E76BB"/>
    <w:rsid w:val="005E7765"/>
    <w:rsid w:val="005E7855"/>
    <w:rsid w:val="005E7966"/>
    <w:rsid w:val="005E79C0"/>
    <w:rsid w:val="005E7A29"/>
    <w:rsid w:val="005E7DA7"/>
    <w:rsid w:val="005E7EFE"/>
    <w:rsid w:val="005E7F60"/>
    <w:rsid w:val="005F00A8"/>
    <w:rsid w:val="005F00B6"/>
    <w:rsid w:val="005F02BE"/>
    <w:rsid w:val="005F031C"/>
    <w:rsid w:val="005F042C"/>
    <w:rsid w:val="005F0841"/>
    <w:rsid w:val="005F0895"/>
    <w:rsid w:val="005F0A4D"/>
    <w:rsid w:val="005F0B6A"/>
    <w:rsid w:val="005F0BC5"/>
    <w:rsid w:val="005F0C81"/>
    <w:rsid w:val="005F0CEF"/>
    <w:rsid w:val="005F0D0C"/>
    <w:rsid w:val="005F0E3C"/>
    <w:rsid w:val="005F0E40"/>
    <w:rsid w:val="005F1052"/>
    <w:rsid w:val="005F107C"/>
    <w:rsid w:val="005F113B"/>
    <w:rsid w:val="005F113F"/>
    <w:rsid w:val="005F13D1"/>
    <w:rsid w:val="005F1546"/>
    <w:rsid w:val="005F1614"/>
    <w:rsid w:val="005F1679"/>
    <w:rsid w:val="005F16FF"/>
    <w:rsid w:val="005F17AD"/>
    <w:rsid w:val="005F1881"/>
    <w:rsid w:val="005F1A32"/>
    <w:rsid w:val="005F1B83"/>
    <w:rsid w:val="005F1B8A"/>
    <w:rsid w:val="005F1D1A"/>
    <w:rsid w:val="005F1DEE"/>
    <w:rsid w:val="005F1E9D"/>
    <w:rsid w:val="005F20E3"/>
    <w:rsid w:val="005F2231"/>
    <w:rsid w:val="005F22B8"/>
    <w:rsid w:val="005F23CE"/>
    <w:rsid w:val="005F24C4"/>
    <w:rsid w:val="005F2525"/>
    <w:rsid w:val="005F2541"/>
    <w:rsid w:val="005F2686"/>
    <w:rsid w:val="005F279E"/>
    <w:rsid w:val="005F27A4"/>
    <w:rsid w:val="005F28D2"/>
    <w:rsid w:val="005F2A73"/>
    <w:rsid w:val="005F2FA7"/>
    <w:rsid w:val="005F3461"/>
    <w:rsid w:val="005F348B"/>
    <w:rsid w:val="005F34A2"/>
    <w:rsid w:val="005F3528"/>
    <w:rsid w:val="005F357D"/>
    <w:rsid w:val="005F37C3"/>
    <w:rsid w:val="005F38CC"/>
    <w:rsid w:val="005F3A15"/>
    <w:rsid w:val="005F3AA2"/>
    <w:rsid w:val="005F3B25"/>
    <w:rsid w:val="005F3C22"/>
    <w:rsid w:val="005F3D03"/>
    <w:rsid w:val="005F3D8C"/>
    <w:rsid w:val="005F3DA7"/>
    <w:rsid w:val="005F3E6B"/>
    <w:rsid w:val="005F4051"/>
    <w:rsid w:val="005F4414"/>
    <w:rsid w:val="005F4488"/>
    <w:rsid w:val="005F4506"/>
    <w:rsid w:val="005F45FD"/>
    <w:rsid w:val="005F48FF"/>
    <w:rsid w:val="005F49AD"/>
    <w:rsid w:val="005F4C89"/>
    <w:rsid w:val="005F4E7D"/>
    <w:rsid w:val="005F523B"/>
    <w:rsid w:val="005F52A9"/>
    <w:rsid w:val="005F5372"/>
    <w:rsid w:val="005F5585"/>
    <w:rsid w:val="005F55DF"/>
    <w:rsid w:val="005F561B"/>
    <w:rsid w:val="005F57F9"/>
    <w:rsid w:val="005F5868"/>
    <w:rsid w:val="005F587B"/>
    <w:rsid w:val="005F5912"/>
    <w:rsid w:val="005F5913"/>
    <w:rsid w:val="005F5937"/>
    <w:rsid w:val="005F59F2"/>
    <w:rsid w:val="005F5BB7"/>
    <w:rsid w:val="005F5D17"/>
    <w:rsid w:val="005F5EA3"/>
    <w:rsid w:val="005F61F4"/>
    <w:rsid w:val="005F624A"/>
    <w:rsid w:val="005F62B5"/>
    <w:rsid w:val="005F661D"/>
    <w:rsid w:val="005F6694"/>
    <w:rsid w:val="005F691D"/>
    <w:rsid w:val="005F6BC7"/>
    <w:rsid w:val="005F6BF6"/>
    <w:rsid w:val="005F6C09"/>
    <w:rsid w:val="005F6C5B"/>
    <w:rsid w:val="005F6C76"/>
    <w:rsid w:val="005F6CD2"/>
    <w:rsid w:val="005F6D2E"/>
    <w:rsid w:val="005F6F2C"/>
    <w:rsid w:val="005F70E9"/>
    <w:rsid w:val="005F72EE"/>
    <w:rsid w:val="005F73B9"/>
    <w:rsid w:val="005F73E8"/>
    <w:rsid w:val="005F7430"/>
    <w:rsid w:val="005F75AC"/>
    <w:rsid w:val="005F75B0"/>
    <w:rsid w:val="005F788D"/>
    <w:rsid w:val="005F79B9"/>
    <w:rsid w:val="005F7A49"/>
    <w:rsid w:val="005F7A9E"/>
    <w:rsid w:val="005F7C30"/>
    <w:rsid w:val="005F7CAA"/>
    <w:rsid w:val="005F7CEE"/>
    <w:rsid w:val="005F7E15"/>
    <w:rsid w:val="005F7E8E"/>
    <w:rsid w:val="005F7F86"/>
    <w:rsid w:val="00600034"/>
    <w:rsid w:val="0060005F"/>
    <w:rsid w:val="00600110"/>
    <w:rsid w:val="006003ED"/>
    <w:rsid w:val="006006EF"/>
    <w:rsid w:val="006007B7"/>
    <w:rsid w:val="006007E7"/>
    <w:rsid w:val="00600901"/>
    <w:rsid w:val="00600A7E"/>
    <w:rsid w:val="00600C83"/>
    <w:rsid w:val="00600D8D"/>
    <w:rsid w:val="00600F4F"/>
    <w:rsid w:val="0060109F"/>
    <w:rsid w:val="006010E4"/>
    <w:rsid w:val="006011DF"/>
    <w:rsid w:val="00601240"/>
    <w:rsid w:val="00601279"/>
    <w:rsid w:val="0060132D"/>
    <w:rsid w:val="0060160F"/>
    <w:rsid w:val="006017AD"/>
    <w:rsid w:val="00601928"/>
    <w:rsid w:val="0060192A"/>
    <w:rsid w:val="006019A1"/>
    <w:rsid w:val="00601D78"/>
    <w:rsid w:val="00601D99"/>
    <w:rsid w:val="00601DC0"/>
    <w:rsid w:val="00601E1C"/>
    <w:rsid w:val="00602054"/>
    <w:rsid w:val="00602382"/>
    <w:rsid w:val="006024A1"/>
    <w:rsid w:val="00602637"/>
    <w:rsid w:val="00602806"/>
    <w:rsid w:val="00602941"/>
    <w:rsid w:val="006029C6"/>
    <w:rsid w:val="00602A84"/>
    <w:rsid w:val="00602B8E"/>
    <w:rsid w:val="00602C4F"/>
    <w:rsid w:val="00602CB3"/>
    <w:rsid w:val="00602D37"/>
    <w:rsid w:val="00602E69"/>
    <w:rsid w:val="0060305C"/>
    <w:rsid w:val="00603183"/>
    <w:rsid w:val="0060328C"/>
    <w:rsid w:val="00603372"/>
    <w:rsid w:val="0060356E"/>
    <w:rsid w:val="00603679"/>
    <w:rsid w:val="006037E9"/>
    <w:rsid w:val="0060382E"/>
    <w:rsid w:val="006038FD"/>
    <w:rsid w:val="006039B8"/>
    <w:rsid w:val="006039E1"/>
    <w:rsid w:val="00603A4E"/>
    <w:rsid w:val="00603B04"/>
    <w:rsid w:val="00603B21"/>
    <w:rsid w:val="00603C2A"/>
    <w:rsid w:val="00603C8D"/>
    <w:rsid w:val="00603DD2"/>
    <w:rsid w:val="00603DE5"/>
    <w:rsid w:val="00603F72"/>
    <w:rsid w:val="006040D3"/>
    <w:rsid w:val="006040DA"/>
    <w:rsid w:val="00604431"/>
    <w:rsid w:val="00604578"/>
    <w:rsid w:val="00604737"/>
    <w:rsid w:val="00604935"/>
    <w:rsid w:val="00604AA1"/>
    <w:rsid w:val="00604AAD"/>
    <w:rsid w:val="00604AFC"/>
    <w:rsid w:val="00604E2A"/>
    <w:rsid w:val="00604F94"/>
    <w:rsid w:val="006052B8"/>
    <w:rsid w:val="006053CB"/>
    <w:rsid w:val="006053ED"/>
    <w:rsid w:val="006054EC"/>
    <w:rsid w:val="00605696"/>
    <w:rsid w:val="006056AC"/>
    <w:rsid w:val="00605723"/>
    <w:rsid w:val="00605960"/>
    <w:rsid w:val="00605A5A"/>
    <w:rsid w:val="00605D8A"/>
    <w:rsid w:val="00605DC2"/>
    <w:rsid w:val="00605E9D"/>
    <w:rsid w:val="0060605C"/>
    <w:rsid w:val="00606079"/>
    <w:rsid w:val="00606285"/>
    <w:rsid w:val="0060649D"/>
    <w:rsid w:val="006064B0"/>
    <w:rsid w:val="006067FC"/>
    <w:rsid w:val="00606884"/>
    <w:rsid w:val="0060692F"/>
    <w:rsid w:val="00606BB6"/>
    <w:rsid w:val="00606C22"/>
    <w:rsid w:val="00606C26"/>
    <w:rsid w:val="00606C42"/>
    <w:rsid w:val="00606CE7"/>
    <w:rsid w:val="00606DD1"/>
    <w:rsid w:val="00606F11"/>
    <w:rsid w:val="00606FAF"/>
    <w:rsid w:val="00607036"/>
    <w:rsid w:val="00607089"/>
    <w:rsid w:val="006070EC"/>
    <w:rsid w:val="00607296"/>
    <w:rsid w:val="00607311"/>
    <w:rsid w:val="006074D5"/>
    <w:rsid w:val="006075A5"/>
    <w:rsid w:val="00607698"/>
    <w:rsid w:val="00607A56"/>
    <w:rsid w:val="00607AFE"/>
    <w:rsid w:val="00607B1B"/>
    <w:rsid w:val="00607C6D"/>
    <w:rsid w:val="00607DBF"/>
    <w:rsid w:val="00607F47"/>
    <w:rsid w:val="00607F84"/>
    <w:rsid w:val="0061023C"/>
    <w:rsid w:val="00610594"/>
    <w:rsid w:val="006109B1"/>
    <w:rsid w:val="00610DD8"/>
    <w:rsid w:val="00610E60"/>
    <w:rsid w:val="00610F0D"/>
    <w:rsid w:val="0061100E"/>
    <w:rsid w:val="00611156"/>
    <w:rsid w:val="006111DF"/>
    <w:rsid w:val="00611226"/>
    <w:rsid w:val="006112D5"/>
    <w:rsid w:val="006113CC"/>
    <w:rsid w:val="006113DB"/>
    <w:rsid w:val="006114A2"/>
    <w:rsid w:val="006115DF"/>
    <w:rsid w:val="006116BE"/>
    <w:rsid w:val="0061174C"/>
    <w:rsid w:val="00611CC6"/>
    <w:rsid w:val="00611CC9"/>
    <w:rsid w:val="00611F42"/>
    <w:rsid w:val="00611FF4"/>
    <w:rsid w:val="00612030"/>
    <w:rsid w:val="00612129"/>
    <w:rsid w:val="0061221A"/>
    <w:rsid w:val="00612226"/>
    <w:rsid w:val="006123D5"/>
    <w:rsid w:val="0061256A"/>
    <w:rsid w:val="00612744"/>
    <w:rsid w:val="0061275F"/>
    <w:rsid w:val="006127D3"/>
    <w:rsid w:val="00612A2E"/>
    <w:rsid w:val="00612C80"/>
    <w:rsid w:val="00612D1D"/>
    <w:rsid w:val="00612EA2"/>
    <w:rsid w:val="006130F7"/>
    <w:rsid w:val="006130FA"/>
    <w:rsid w:val="0061321C"/>
    <w:rsid w:val="00613297"/>
    <w:rsid w:val="006133D6"/>
    <w:rsid w:val="00613442"/>
    <w:rsid w:val="00613564"/>
    <w:rsid w:val="00613666"/>
    <w:rsid w:val="006137E9"/>
    <w:rsid w:val="00613B35"/>
    <w:rsid w:val="00613B3B"/>
    <w:rsid w:val="00613C36"/>
    <w:rsid w:val="00613CB0"/>
    <w:rsid w:val="00613CDC"/>
    <w:rsid w:val="00613E9C"/>
    <w:rsid w:val="00613F5E"/>
    <w:rsid w:val="0061405C"/>
    <w:rsid w:val="006140C7"/>
    <w:rsid w:val="0061429C"/>
    <w:rsid w:val="00614446"/>
    <w:rsid w:val="00614449"/>
    <w:rsid w:val="006147B5"/>
    <w:rsid w:val="0061487B"/>
    <w:rsid w:val="006148A2"/>
    <w:rsid w:val="00614BC5"/>
    <w:rsid w:val="00614E39"/>
    <w:rsid w:val="0061503E"/>
    <w:rsid w:val="0061525E"/>
    <w:rsid w:val="006153B8"/>
    <w:rsid w:val="0061542E"/>
    <w:rsid w:val="00615464"/>
    <w:rsid w:val="00615628"/>
    <w:rsid w:val="0061589D"/>
    <w:rsid w:val="00615918"/>
    <w:rsid w:val="00615A11"/>
    <w:rsid w:val="00615D0B"/>
    <w:rsid w:val="00615D1C"/>
    <w:rsid w:val="006160B7"/>
    <w:rsid w:val="006160E3"/>
    <w:rsid w:val="006162ED"/>
    <w:rsid w:val="0061631C"/>
    <w:rsid w:val="0061639E"/>
    <w:rsid w:val="006163A8"/>
    <w:rsid w:val="006163FC"/>
    <w:rsid w:val="00616583"/>
    <w:rsid w:val="00616624"/>
    <w:rsid w:val="00616643"/>
    <w:rsid w:val="006166F5"/>
    <w:rsid w:val="00616975"/>
    <w:rsid w:val="006169FD"/>
    <w:rsid w:val="00616B16"/>
    <w:rsid w:val="00616B38"/>
    <w:rsid w:val="00616DAF"/>
    <w:rsid w:val="00616E0A"/>
    <w:rsid w:val="00616E67"/>
    <w:rsid w:val="00617332"/>
    <w:rsid w:val="0061740D"/>
    <w:rsid w:val="0061744C"/>
    <w:rsid w:val="00617549"/>
    <w:rsid w:val="006175A3"/>
    <w:rsid w:val="006175A6"/>
    <w:rsid w:val="006176A9"/>
    <w:rsid w:val="006179DC"/>
    <w:rsid w:val="00617B60"/>
    <w:rsid w:val="00617B9C"/>
    <w:rsid w:val="00617C4C"/>
    <w:rsid w:val="00617CEF"/>
    <w:rsid w:val="00617D87"/>
    <w:rsid w:val="00617DC1"/>
    <w:rsid w:val="00617EF3"/>
    <w:rsid w:val="00620217"/>
    <w:rsid w:val="00620297"/>
    <w:rsid w:val="00620350"/>
    <w:rsid w:val="006203D4"/>
    <w:rsid w:val="006204F2"/>
    <w:rsid w:val="0062054B"/>
    <w:rsid w:val="00620649"/>
    <w:rsid w:val="006206AB"/>
    <w:rsid w:val="00620835"/>
    <w:rsid w:val="00620870"/>
    <w:rsid w:val="0062099E"/>
    <w:rsid w:val="00620A01"/>
    <w:rsid w:val="00620A58"/>
    <w:rsid w:val="00620AC2"/>
    <w:rsid w:val="00620B2A"/>
    <w:rsid w:val="00620BC5"/>
    <w:rsid w:val="00620BC9"/>
    <w:rsid w:val="00620EB2"/>
    <w:rsid w:val="006212E7"/>
    <w:rsid w:val="00621321"/>
    <w:rsid w:val="0062163D"/>
    <w:rsid w:val="006216C0"/>
    <w:rsid w:val="00621778"/>
    <w:rsid w:val="006218FD"/>
    <w:rsid w:val="0062199B"/>
    <w:rsid w:val="006219D6"/>
    <w:rsid w:val="00621BDF"/>
    <w:rsid w:val="00621DE1"/>
    <w:rsid w:val="00621EB0"/>
    <w:rsid w:val="00621FF5"/>
    <w:rsid w:val="00622092"/>
    <w:rsid w:val="006220EC"/>
    <w:rsid w:val="0062213D"/>
    <w:rsid w:val="0062217F"/>
    <w:rsid w:val="006221CB"/>
    <w:rsid w:val="00622231"/>
    <w:rsid w:val="00622240"/>
    <w:rsid w:val="0062233D"/>
    <w:rsid w:val="006223A2"/>
    <w:rsid w:val="006224E3"/>
    <w:rsid w:val="00622704"/>
    <w:rsid w:val="00622769"/>
    <w:rsid w:val="006228FD"/>
    <w:rsid w:val="00622A16"/>
    <w:rsid w:val="00622DCD"/>
    <w:rsid w:val="00622E1D"/>
    <w:rsid w:val="00622EDC"/>
    <w:rsid w:val="00622F54"/>
    <w:rsid w:val="0062302D"/>
    <w:rsid w:val="00623219"/>
    <w:rsid w:val="00623370"/>
    <w:rsid w:val="006233A4"/>
    <w:rsid w:val="0062350F"/>
    <w:rsid w:val="006236A1"/>
    <w:rsid w:val="0062389D"/>
    <w:rsid w:val="0062389F"/>
    <w:rsid w:val="006238AE"/>
    <w:rsid w:val="00623BE0"/>
    <w:rsid w:val="00623C7B"/>
    <w:rsid w:val="00623CE7"/>
    <w:rsid w:val="00623F06"/>
    <w:rsid w:val="00623FE6"/>
    <w:rsid w:val="00624116"/>
    <w:rsid w:val="00624373"/>
    <w:rsid w:val="006244B2"/>
    <w:rsid w:val="006245F5"/>
    <w:rsid w:val="00624638"/>
    <w:rsid w:val="0062476C"/>
    <w:rsid w:val="00624876"/>
    <w:rsid w:val="006248E3"/>
    <w:rsid w:val="00624A41"/>
    <w:rsid w:val="00624A67"/>
    <w:rsid w:val="00624B59"/>
    <w:rsid w:val="00624DA3"/>
    <w:rsid w:val="00624FAC"/>
    <w:rsid w:val="00625087"/>
    <w:rsid w:val="006250F6"/>
    <w:rsid w:val="00625375"/>
    <w:rsid w:val="0062557D"/>
    <w:rsid w:val="00625911"/>
    <w:rsid w:val="00625965"/>
    <w:rsid w:val="00625AD7"/>
    <w:rsid w:val="00625B5D"/>
    <w:rsid w:val="00625BD2"/>
    <w:rsid w:val="00625D5E"/>
    <w:rsid w:val="00625E41"/>
    <w:rsid w:val="00625F59"/>
    <w:rsid w:val="00626035"/>
    <w:rsid w:val="0062627B"/>
    <w:rsid w:val="0062637D"/>
    <w:rsid w:val="0062637F"/>
    <w:rsid w:val="00626398"/>
    <w:rsid w:val="006263C6"/>
    <w:rsid w:val="006263EB"/>
    <w:rsid w:val="0062647A"/>
    <w:rsid w:val="006267EF"/>
    <w:rsid w:val="00626808"/>
    <w:rsid w:val="00626871"/>
    <w:rsid w:val="00626A65"/>
    <w:rsid w:val="00626B20"/>
    <w:rsid w:val="00626B7C"/>
    <w:rsid w:val="00626C07"/>
    <w:rsid w:val="00626F3D"/>
    <w:rsid w:val="006271E4"/>
    <w:rsid w:val="00627294"/>
    <w:rsid w:val="00627295"/>
    <w:rsid w:val="00627371"/>
    <w:rsid w:val="00627415"/>
    <w:rsid w:val="00627617"/>
    <w:rsid w:val="0062761C"/>
    <w:rsid w:val="00627B1B"/>
    <w:rsid w:val="00627CDA"/>
    <w:rsid w:val="00627E7C"/>
    <w:rsid w:val="00627E90"/>
    <w:rsid w:val="00627F00"/>
    <w:rsid w:val="00627FD5"/>
    <w:rsid w:val="006302B7"/>
    <w:rsid w:val="006303E6"/>
    <w:rsid w:val="00630426"/>
    <w:rsid w:val="006304B3"/>
    <w:rsid w:val="006307C6"/>
    <w:rsid w:val="00630811"/>
    <w:rsid w:val="00630A12"/>
    <w:rsid w:val="00630A78"/>
    <w:rsid w:val="00630A7B"/>
    <w:rsid w:val="00630BF0"/>
    <w:rsid w:val="00630DE1"/>
    <w:rsid w:val="00630FE4"/>
    <w:rsid w:val="006315FA"/>
    <w:rsid w:val="006317A8"/>
    <w:rsid w:val="006317AF"/>
    <w:rsid w:val="00631894"/>
    <w:rsid w:val="00631A5B"/>
    <w:rsid w:val="00631B35"/>
    <w:rsid w:val="00631CE7"/>
    <w:rsid w:val="00632011"/>
    <w:rsid w:val="00632238"/>
    <w:rsid w:val="0063225B"/>
    <w:rsid w:val="0063232B"/>
    <w:rsid w:val="006323F2"/>
    <w:rsid w:val="00632508"/>
    <w:rsid w:val="00632595"/>
    <w:rsid w:val="00632653"/>
    <w:rsid w:val="00632798"/>
    <w:rsid w:val="006327E9"/>
    <w:rsid w:val="006327FD"/>
    <w:rsid w:val="00632979"/>
    <w:rsid w:val="00632AF4"/>
    <w:rsid w:val="00632EFC"/>
    <w:rsid w:val="00632F20"/>
    <w:rsid w:val="0063309C"/>
    <w:rsid w:val="00633230"/>
    <w:rsid w:val="00633291"/>
    <w:rsid w:val="00633519"/>
    <w:rsid w:val="006338B9"/>
    <w:rsid w:val="00633A11"/>
    <w:rsid w:val="00633B44"/>
    <w:rsid w:val="00633B5C"/>
    <w:rsid w:val="00633CD2"/>
    <w:rsid w:val="00633CEC"/>
    <w:rsid w:val="00633D0D"/>
    <w:rsid w:val="00633D8D"/>
    <w:rsid w:val="00633F3C"/>
    <w:rsid w:val="006342B5"/>
    <w:rsid w:val="006343B2"/>
    <w:rsid w:val="00634401"/>
    <w:rsid w:val="0063457D"/>
    <w:rsid w:val="006345B9"/>
    <w:rsid w:val="0063462D"/>
    <w:rsid w:val="0063471A"/>
    <w:rsid w:val="00634756"/>
    <w:rsid w:val="006347D7"/>
    <w:rsid w:val="00634831"/>
    <w:rsid w:val="00634964"/>
    <w:rsid w:val="0063497A"/>
    <w:rsid w:val="00634A0B"/>
    <w:rsid w:val="00634AA9"/>
    <w:rsid w:val="00634B70"/>
    <w:rsid w:val="00634CB8"/>
    <w:rsid w:val="00634EF7"/>
    <w:rsid w:val="0063508C"/>
    <w:rsid w:val="006352DF"/>
    <w:rsid w:val="0063546E"/>
    <w:rsid w:val="00635472"/>
    <w:rsid w:val="00635562"/>
    <w:rsid w:val="00635584"/>
    <w:rsid w:val="00635595"/>
    <w:rsid w:val="00635616"/>
    <w:rsid w:val="0063568F"/>
    <w:rsid w:val="0063570E"/>
    <w:rsid w:val="00635743"/>
    <w:rsid w:val="006357C7"/>
    <w:rsid w:val="00635D96"/>
    <w:rsid w:val="00635DD6"/>
    <w:rsid w:val="00635E68"/>
    <w:rsid w:val="00635F17"/>
    <w:rsid w:val="00635FC8"/>
    <w:rsid w:val="00636055"/>
    <w:rsid w:val="006360B4"/>
    <w:rsid w:val="006360BC"/>
    <w:rsid w:val="0063615A"/>
    <w:rsid w:val="006361AD"/>
    <w:rsid w:val="006362AF"/>
    <w:rsid w:val="0063650F"/>
    <w:rsid w:val="00636559"/>
    <w:rsid w:val="006365AA"/>
    <w:rsid w:val="00636605"/>
    <w:rsid w:val="0063682C"/>
    <w:rsid w:val="00636C7A"/>
    <w:rsid w:val="00636DA5"/>
    <w:rsid w:val="00636DC7"/>
    <w:rsid w:val="00636F7D"/>
    <w:rsid w:val="00636F82"/>
    <w:rsid w:val="00636FA0"/>
    <w:rsid w:val="00637283"/>
    <w:rsid w:val="006372D4"/>
    <w:rsid w:val="00637338"/>
    <w:rsid w:val="00637464"/>
    <w:rsid w:val="006374B5"/>
    <w:rsid w:val="006374EB"/>
    <w:rsid w:val="00637671"/>
    <w:rsid w:val="00637691"/>
    <w:rsid w:val="00637707"/>
    <w:rsid w:val="0063776F"/>
    <w:rsid w:val="006377AA"/>
    <w:rsid w:val="00637A1C"/>
    <w:rsid w:val="00637C9D"/>
    <w:rsid w:val="00637CEF"/>
    <w:rsid w:val="00637D5A"/>
    <w:rsid w:val="00637DA4"/>
    <w:rsid w:val="00637E12"/>
    <w:rsid w:val="00637F4A"/>
    <w:rsid w:val="00637FFC"/>
    <w:rsid w:val="00640012"/>
    <w:rsid w:val="006404BA"/>
    <w:rsid w:val="006406B3"/>
    <w:rsid w:val="00640722"/>
    <w:rsid w:val="0064082C"/>
    <w:rsid w:val="0064084E"/>
    <w:rsid w:val="006408FF"/>
    <w:rsid w:val="00640A28"/>
    <w:rsid w:val="00640ECD"/>
    <w:rsid w:val="00640F69"/>
    <w:rsid w:val="00640F9F"/>
    <w:rsid w:val="00641235"/>
    <w:rsid w:val="006416A6"/>
    <w:rsid w:val="00641767"/>
    <w:rsid w:val="006418D4"/>
    <w:rsid w:val="00641953"/>
    <w:rsid w:val="00641C4E"/>
    <w:rsid w:val="00641C6F"/>
    <w:rsid w:val="00641E22"/>
    <w:rsid w:val="00641E2C"/>
    <w:rsid w:val="00641E66"/>
    <w:rsid w:val="006420AC"/>
    <w:rsid w:val="00642284"/>
    <w:rsid w:val="0064249C"/>
    <w:rsid w:val="00642588"/>
    <w:rsid w:val="00642648"/>
    <w:rsid w:val="0064271B"/>
    <w:rsid w:val="00642AA0"/>
    <w:rsid w:val="00642BAD"/>
    <w:rsid w:val="00642BCE"/>
    <w:rsid w:val="00642E97"/>
    <w:rsid w:val="00642EA2"/>
    <w:rsid w:val="00642EAD"/>
    <w:rsid w:val="00642ED5"/>
    <w:rsid w:val="0064309E"/>
    <w:rsid w:val="006431AF"/>
    <w:rsid w:val="006432ED"/>
    <w:rsid w:val="006435D2"/>
    <w:rsid w:val="0064363E"/>
    <w:rsid w:val="006438CF"/>
    <w:rsid w:val="006439DD"/>
    <w:rsid w:val="00643B2C"/>
    <w:rsid w:val="00643B33"/>
    <w:rsid w:val="00643BFA"/>
    <w:rsid w:val="00643CC0"/>
    <w:rsid w:val="00643ED5"/>
    <w:rsid w:val="00643FEC"/>
    <w:rsid w:val="0064415A"/>
    <w:rsid w:val="006441F6"/>
    <w:rsid w:val="00644301"/>
    <w:rsid w:val="00644525"/>
    <w:rsid w:val="0064463B"/>
    <w:rsid w:val="006446B4"/>
    <w:rsid w:val="0064477D"/>
    <w:rsid w:val="006448D2"/>
    <w:rsid w:val="00644A77"/>
    <w:rsid w:val="00644ABC"/>
    <w:rsid w:val="00644B49"/>
    <w:rsid w:val="00644C34"/>
    <w:rsid w:val="00644CA1"/>
    <w:rsid w:val="00644E40"/>
    <w:rsid w:val="00644F42"/>
    <w:rsid w:val="00645018"/>
    <w:rsid w:val="00645042"/>
    <w:rsid w:val="006451A1"/>
    <w:rsid w:val="00645266"/>
    <w:rsid w:val="00645437"/>
    <w:rsid w:val="0064556A"/>
    <w:rsid w:val="006455CE"/>
    <w:rsid w:val="0064569E"/>
    <w:rsid w:val="0064591B"/>
    <w:rsid w:val="00645940"/>
    <w:rsid w:val="00645B10"/>
    <w:rsid w:val="00645B61"/>
    <w:rsid w:val="00645C3C"/>
    <w:rsid w:val="00645C45"/>
    <w:rsid w:val="00645C59"/>
    <w:rsid w:val="00645EEC"/>
    <w:rsid w:val="006460D0"/>
    <w:rsid w:val="00646156"/>
    <w:rsid w:val="00646286"/>
    <w:rsid w:val="006462A6"/>
    <w:rsid w:val="00646436"/>
    <w:rsid w:val="00646968"/>
    <w:rsid w:val="00646B69"/>
    <w:rsid w:val="00646C86"/>
    <w:rsid w:val="00646CDD"/>
    <w:rsid w:val="00646D8E"/>
    <w:rsid w:val="00646FBE"/>
    <w:rsid w:val="006470AE"/>
    <w:rsid w:val="006470FF"/>
    <w:rsid w:val="0064717D"/>
    <w:rsid w:val="006471FE"/>
    <w:rsid w:val="0064720D"/>
    <w:rsid w:val="0064740E"/>
    <w:rsid w:val="0064772F"/>
    <w:rsid w:val="0064774B"/>
    <w:rsid w:val="006477CA"/>
    <w:rsid w:val="0064782A"/>
    <w:rsid w:val="00647BBC"/>
    <w:rsid w:val="00647C2B"/>
    <w:rsid w:val="00647CD8"/>
    <w:rsid w:val="00647D53"/>
    <w:rsid w:val="00647E70"/>
    <w:rsid w:val="00647FC7"/>
    <w:rsid w:val="00650247"/>
    <w:rsid w:val="006502B8"/>
    <w:rsid w:val="006502BC"/>
    <w:rsid w:val="0065030B"/>
    <w:rsid w:val="00650351"/>
    <w:rsid w:val="00650361"/>
    <w:rsid w:val="00650440"/>
    <w:rsid w:val="006506A8"/>
    <w:rsid w:val="0065073B"/>
    <w:rsid w:val="006508B3"/>
    <w:rsid w:val="00650996"/>
    <w:rsid w:val="006509ED"/>
    <w:rsid w:val="00650BCB"/>
    <w:rsid w:val="00650E67"/>
    <w:rsid w:val="00650F6B"/>
    <w:rsid w:val="0065110D"/>
    <w:rsid w:val="00651146"/>
    <w:rsid w:val="0065114B"/>
    <w:rsid w:val="00651359"/>
    <w:rsid w:val="0065167E"/>
    <w:rsid w:val="00651796"/>
    <w:rsid w:val="006517D9"/>
    <w:rsid w:val="006518D3"/>
    <w:rsid w:val="00651AAA"/>
    <w:rsid w:val="00651C04"/>
    <w:rsid w:val="00651CF1"/>
    <w:rsid w:val="00651EFE"/>
    <w:rsid w:val="006520AD"/>
    <w:rsid w:val="006520E1"/>
    <w:rsid w:val="00652118"/>
    <w:rsid w:val="006521FC"/>
    <w:rsid w:val="00652298"/>
    <w:rsid w:val="00652459"/>
    <w:rsid w:val="00652483"/>
    <w:rsid w:val="00652536"/>
    <w:rsid w:val="006526AC"/>
    <w:rsid w:val="00652825"/>
    <w:rsid w:val="0065282B"/>
    <w:rsid w:val="00652859"/>
    <w:rsid w:val="0065285B"/>
    <w:rsid w:val="006528DB"/>
    <w:rsid w:val="006529A5"/>
    <w:rsid w:val="00652A85"/>
    <w:rsid w:val="00652ACA"/>
    <w:rsid w:val="00652B36"/>
    <w:rsid w:val="00652B7B"/>
    <w:rsid w:val="00652C43"/>
    <w:rsid w:val="00652E3B"/>
    <w:rsid w:val="00652F5D"/>
    <w:rsid w:val="00653167"/>
    <w:rsid w:val="006531FB"/>
    <w:rsid w:val="00653418"/>
    <w:rsid w:val="006534D5"/>
    <w:rsid w:val="00653510"/>
    <w:rsid w:val="0065353B"/>
    <w:rsid w:val="006535C9"/>
    <w:rsid w:val="006536E9"/>
    <w:rsid w:val="0065399A"/>
    <w:rsid w:val="00653A74"/>
    <w:rsid w:val="00653AA6"/>
    <w:rsid w:val="00653AC0"/>
    <w:rsid w:val="00653BFB"/>
    <w:rsid w:val="00653E13"/>
    <w:rsid w:val="00653F01"/>
    <w:rsid w:val="00653FCE"/>
    <w:rsid w:val="0065407F"/>
    <w:rsid w:val="006540CD"/>
    <w:rsid w:val="006540F0"/>
    <w:rsid w:val="00654183"/>
    <w:rsid w:val="0065459F"/>
    <w:rsid w:val="0065476E"/>
    <w:rsid w:val="00654879"/>
    <w:rsid w:val="00654AEE"/>
    <w:rsid w:val="00654D41"/>
    <w:rsid w:val="00654DA5"/>
    <w:rsid w:val="00654FB9"/>
    <w:rsid w:val="00654FF3"/>
    <w:rsid w:val="006552EF"/>
    <w:rsid w:val="0065534A"/>
    <w:rsid w:val="0065538A"/>
    <w:rsid w:val="006553FE"/>
    <w:rsid w:val="0065548C"/>
    <w:rsid w:val="0065587D"/>
    <w:rsid w:val="0065594E"/>
    <w:rsid w:val="00655CA2"/>
    <w:rsid w:val="00655D45"/>
    <w:rsid w:val="00656119"/>
    <w:rsid w:val="00656158"/>
    <w:rsid w:val="00656178"/>
    <w:rsid w:val="00656195"/>
    <w:rsid w:val="006561ED"/>
    <w:rsid w:val="00656683"/>
    <w:rsid w:val="006566FA"/>
    <w:rsid w:val="00656716"/>
    <w:rsid w:val="00656744"/>
    <w:rsid w:val="00656782"/>
    <w:rsid w:val="006568D5"/>
    <w:rsid w:val="00656921"/>
    <w:rsid w:val="006569B3"/>
    <w:rsid w:val="00656C0A"/>
    <w:rsid w:val="00656CF3"/>
    <w:rsid w:val="00656CF4"/>
    <w:rsid w:val="00656CF6"/>
    <w:rsid w:val="00656D60"/>
    <w:rsid w:val="00656F47"/>
    <w:rsid w:val="00657074"/>
    <w:rsid w:val="006570B2"/>
    <w:rsid w:val="00657101"/>
    <w:rsid w:val="0065722F"/>
    <w:rsid w:val="0065728D"/>
    <w:rsid w:val="00657368"/>
    <w:rsid w:val="006574CF"/>
    <w:rsid w:val="006574F4"/>
    <w:rsid w:val="00657507"/>
    <w:rsid w:val="006575FB"/>
    <w:rsid w:val="0065768F"/>
    <w:rsid w:val="006576D6"/>
    <w:rsid w:val="006577CD"/>
    <w:rsid w:val="00657AE0"/>
    <w:rsid w:val="00657CBD"/>
    <w:rsid w:val="00657D12"/>
    <w:rsid w:val="00657D38"/>
    <w:rsid w:val="00657DC9"/>
    <w:rsid w:val="00660070"/>
    <w:rsid w:val="00660174"/>
    <w:rsid w:val="006604C6"/>
    <w:rsid w:val="006604C9"/>
    <w:rsid w:val="0066055C"/>
    <w:rsid w:val="006605DC"/>
    <w:rsid w:val="006606A5"/>
    <w:rsid w:val="0066089F"/>
    <w:rsid w:val="0066094A"/>
    <w:rsid w:val="006609B5"/>
    <w:rsid w:val="00660A58"/>
    <w:rsid w:val="00660A85"/>
    <w:rsid w:val="00660B50"/>
    <w:rsid w:val="00660BD7"/>
    <w:rsid w:val="00660CBC"/>
    <w:rsid w:val="00660CD2"/>
    <w:rsid w:val="00660CE4"/>
    <w:rsid w:val="00660FA8"/>
    <w:rsid w:val="00661059"/>
    <w:rsid w:val="006612F9"/>
    <w:rsid w:val="006613AA"/>
    <w:rsid w:val="0066187F"/>
    <w:rsid w:val="00661A3B"/>
    <w:rsid w:val="00661A62"/>
    <w:rsid w:val="00661B7A"/>
    <w:rsid w:val="00661D88"/>
    <w:rsid w:val="00661E1E"/>
    <w:rsid w:val="00661F72"/>
    <w:rsid w:val="00661F8F"/>
    <w:rsid w:val="00661F97"/>
    <w:rsid w:val="00661FBC"/>
    <w:rsid w:val="00661FD7"/>
    <w:rsid w:val="0066218C"/>
    <w:rsid w:val="006621B2"/>
    <w:rsid w:val="00662256"/>
    <w:rsid w:val="00662529"/>
    <w:rsid w:val="006626AF"/>
    <w:rsid w:val="00662727"/>
    <w:rsid w:val="0066276C"/>
    <w:rsid w:val="006628AF"/>
    <w:rsid w:val="006628DD"/>
    <w:rsid w:val="00662E3B"/>
    <w:rsid w:val="00662E44"/>
    <w:rsid w:val="00662E4D"/>
    <w:rsid w:val="00662E93"/>
    <w:rsid w:val="00662E9C"/>
    <w:rsid w:val="00662F05"/>
    <w:rsid w:val="00662F0E"/>
    <w:rsid w:val="00662F97"/>
    <w:rsid w:val="006630BA"/>
    <w:rsid w:val="0066320B"/>
    <w:rsid w:val="0066325A"/>
    <w:rsid w:val="00663497"/>
    <w:rsid w:val="006634BB"/>
    <w:rsid w:val="00663517"/>
    <w:rsid w:val="00663519"/>
    <w:rsid w:val="006635DD"/>
    <w:rsid w:val="00663789"/>
    <w:rsid w:val="0066383C"/>
    <w:rsid w:val="00663A48"/>
    <w:rsid w:val="00663AB9"/>
    <w:rsid w:val="00663AFF"/>
    <w:rsid w:val="00663C0E"/>
    <w:rsid w:val="00663C63"/>
    <w:rsid w:val="00663C96"/>
    <w:rsid w:val="00663DA3"/>
    <w:rsid w:val="00663ECD"/>
    <w:rsid w:val="0066409D"/>
    <w:rsid w:val="006644B8"/>
    <w:rsid w:val="0066489A"/>
    <w:rsid w:val="00664BD6"/>
    <w:rsid w:val="00664C71"/>
    <w:rsid w:val="00664D67"/>
    <w:rsid w:val="00664D9C"/>
    <w:rsid w:val="00664EAE"/>
    <w:rsid w:val="00664F48"/>
    <w:rsid w:val="00664FD1"/>
    <w:rsid w:val="006652DF"/>
    <w:rsid w:val="00665300"/>
    <w:rsid w:val="006654AC"/>
    <w:rsid w:val="0066576D"/>
    <w:rsid w:val="00665D38"/>
    <w:rsid w:val="00665DC3"/>
    <w:rsid w:val="00665E23"/>
    <w:rsid w:val="00665EBB"/>
    <w:rsid w:val="00665EE3"/>
    <w:rsid w:val="006660B2"/>
    <w:rsid w:val="00666139"/>
    <w:rsid w:val="0066614D"/>
    <w:rsid w:val="00666176"/>
    <w:rsid w:val="00666199"/>
    <w:rsid w:val="0066628D"/>
    <w:rsid w:val="006662E1"/>
    <w:rsid w:val="006662F4"/>
    <w:rsid w:val="00666493"/>
    <w:rsid w:val="006664BC"/>
    <w:rsid w:val="00666630"/>
    <w:rsid w:val="006666B7"/>
    <w:rsid w:val="006667E0"/>
    <w:rsid w:val="00666A1B"/>
    <w:rsid w:val="00666A26"/>
    <w:rsid w:val="00666A42"/>
    <w:rsid w:val="00666A89"/>
    <w:rsid w:val="00666BC1"/>
    <w:rsid w:val="00666C65"/>
    <w:rsid w:val="00666F0E"/>
    <w:rsid w:val="00667062"/>
    <w:rsid w:val="0066714A"/>
    <w:rsid w:val="00667161"/>
    <w:rsid w:val="00667457"/>
    <w:rsid w:val="00667473"/>
    <w:rsid w:val="006674D5"/>
    <w:rsid w:val="0066779A"/>
    <w:rsid w:val="00667805"/>
    <w:rsid w:val="00667A62"/>
    <w:rsid w:val="00667B75"/>
    <w:rsid w:val="00667B95"/>
    <w:rsid w:val="00667DE7"/>
    <w:rsid w:val="00667E13"/>
    <w:rsid w:val="00667E96"/>
    <w:rsid w:val="00667F93"/>
    <w:rsid w:val="00670116"/>
    <w:rsid w:val="00670295"/>
    <w:rsid w:val="0067053B"/>
    <w:rsid w:val="0067069C"/>
    <w:rsid w:val="00670822"/>
    <w:rsid w:val="00670862"/>
    <w:rsid w:val="006708FD"/>
    <w:rsid w:val="00670902"/>
    <w:rsid w:val="00670984"/>
    <w:rsid w:val="00670D7D"/>
    <w:rsid w:val="00670DEF"/>
    <w:rsid w:val="006710ED"/>
    <w:rsid w:val="00671165"/>
    <w:rsid w:val="00671176"/>
    <w:rsid w:val="00671180"/>
    <w:rsid w:val="006711EC"/>
    <w:rsid w:val="00671247"/>
    <w:rsid w:val="00671334"/>
    <w:rsid w:val="006713C2"/>
    <w:rsid w:val="0067152D"/>
    <w:rsid w:val="00671694"/>
    <w:rsid w:val="006717C7"/>
    <w:rsid w:val="006718F0"/>
    <w:rsid w:val="00671904"/>
    <w:rsid w:val="00671AB7"/>
    <w:rsid w:val="00671AE4"/>
    <w:rsid w:val="00671B92"/>
    <w:rsid w:val="00671CE4"/>
    <w:rsid w:val="00671F31"/>
    <w:rsid w:val="00671FDC"/>
    <w:rsid w:val="0067206D"/>
    <w:rsid w:val="00672335"/>
    <w:rsid w:val="0067234B"/>
    <w:rsid w:val="0067263D"/>
    <w:rsid w:val="006726AA"/>
    <w:rsid w:val="006726B4"/>
    <w:rsid w:val="00672750"/>
    <w:rsid w:val="00672985"/>
    <w:rsid w:val="00672C75"/>
    <w:rsid w:val="00672CE2"/>
    <w:rsid w:val="00672D87"/>
    <w:rsid w:val="00672F1D"/>
    <w:rsid w:val="00673327"/>
    <w:rsid w:val="00673601"/>
    <w:rsid w:val="006736FB"/>
    <w:rsid w:val="006736FF"/>
    <w:rsid w:val="006739B5"/>
    <w:rsid w:val="00673A7B"/>
    <w:rsid w:val="00673AEF"/>
    <w:rsid w:val="00673B9F"/>
    <w:rsid w:val="00673C70"/>
    <w:rsid w:val="00673CFB"/>
    <w:rsid w:val="00673F9A"/>
    <w:rsid w:val="00673FBD"/>
    <w:rsid w:val="00673FDA"/>
    <w:rsid w:val="006741C7"/>
    <w:rsid w:val="00674259"/>
    <w:rsid w:val="0067442E"/>
    <w:rsid w:val="0067447A"/>
    <w:rsid w:val="006744A8"/>
    <w:rsid w:val="006744B8"/>
    <w:rsid w:val="00674550"/>
    <w:rsid w:val="006747CA"/>
    <w:rsid w:val="00674919"/>
    <w:rsid w:val="006749C6"/>
    <w:rsid w:val="00674B08"/>
    <w:rsid w:val="00674B2B"/>
    <w:rsid w:val="00674B7B"/>
    <w:rsid w:val="00674C8D"/>
    <w:rsid w:val="00674E05"/>
    <w:rsid w:val="00675005"/>
    <w:rsid w:val="0067511B"/>
    <w:rsid w:val="00675294"/>
    <w:rsid w:val="006752BB"/>
    <w:rsid w:val="0067550D"/>
    <w:rsid w:val="0067577A"/>
    <w:rsid w:val="00675783"/>
    <w:rsid w:val="00675841"/>
    <w:rsid w:val="006759A0"/>
    <w:rsid w:val="006759C3"/>
    <w:rsid w:val="00675BE8"/>
    <w:rsid w:val="00676049"/>
    <w:rsid w:val="00676109"/>
    <w:rsid w:val="0067611A"/>
    <w:rsid w:val="006761E0"/>
    <w:rsid w:val="00676574"/>
    <w:rsid w:val="0067660A"/>
    <w:rsid w:val="006766B4"/>
    <w:rsid w:val="006766E4"/>
    <w:rsid w:val="006767A8"/>
    <w:rsid w:val="00676AE6"/>
    <w:rsid w:val="00676AE8"/>
    <w:rsid w:val="00676AE9"/>
    <w:rsid w:val="00676B24"/>
    <w:rsid w:val="00676CB2"/>
    <w:rsid w:val="00676DB5"/>
    <w:rsid w:val="00676EEF"/>
    <w:rsid w:val="00677441"/>
    <w:rsid w:val="006778E4"/>
    <w:rsid w:val="00677AB4"/>
    <w:rsid w:val="00677D12"/>
    <w:rsid w:val="00677D47"/>
    <w:rsid w:val="00677E37"/>
    <w:rsid w:val="00677EB4"/>
    <w:rsid w:val="006801AC"/>
    <w:rsid w:val="00680496"/>
    <w:rsid w:val="00680510"/>
    <w:rsid w:val="00680548"/>
    <w:rsid w:val="00680555"/>
    <w:rsid w:val="00680634"/>
    <w:rsid w:val="00680639"/>
    <w:rsid w:val="0068072E"/>
    <w:rsid w:val="00680A8D"/>
    <w:rsid w:val="00680CC9"/>
    <w:rsid w:val="00680DAC"/>
    <w:rsid w:val="00680E0E"/>
    <w:rsid w:val="00680E15"/>
    <w:rsid w:val="00680E6F"/>
    <w:rsid w:val="00680EF2"/>
    <w:rsid w:val="00680F86"/>
    <w:rsid w:val="00681209"/>
    <w:rsid w:val="006812DA"/>
    <w:rsid w:val="00681316"/>
    <w:rsid w:val="00681322"/>
    <w:rsid w:val="00681382"/>
    <w:rsid w:val="00681427"/>
    <w:rsid w:val="00681478"/>
    <w:rsid w:val="006815F7"/>
    <w:rsid w:val="00681889"/>
    <w:rsid w:val="0068192F"/>
    <w:rsid w:val="00681994"/>
    <w:rsid w:val="00681A1F"/>
    <w:rsid w:val="00681CD9"/>
    <w:rsid w:val="00681D1D"/>
    <w:rsid w:val="00681DA0"/>
    <w:rsid w:val="00681F51"/>
    <w:rsid w:val="00682002"/>
    <w:rsid w:val="0068206D"/>
    <w:rsid w:val="0068212D"/>
    <w:rsid w:val="006821A0"/>
    <w:rsid w:val="0068234A"/>
    <w:rsid w:val="0068234D"/>
    <w:rsid w:val="0068246F"/>
    <w:rsid w:val="006824AA"/>
    <w:rsid w:val="006824C4"/>
    <w:rsid w:val="00682920"/>
    <w:rsid w:val="00682934"/>
    <w:rsid w:val="00682966"/>
    <w:rsid w:val="00682A2C"/>
    <w:rsid w:val="00682F98"/>
    <w:rsid w:val="006830BA"/>
    <w:rsid w:val="00683219"/>
    <w:rsid w:val="0068335B"/>
    <w:rsid w:val="006835AD"/>
    <w:rsid w:val="006835B7"/>
    <w:rsid w:val="00683607"/>
    <w:rsid w:val="00683634"/>
    <w:rsid w:val="00683746"/>
    <w:rsid w:val="00683765"/>
    <w:rsid w:val="006837C5"/>
    <w:rsid w:val="0068383C"/>
    <w:rsid w:val="00683917"/>
    <w:rsid w:val="00683A5A"/>
    <w:rsid w:val="00683B14"/>
    <w:rsid w:val="00683E49"/>
    <w:rsid w:val="00683F38"/>
    <w:rsid w:val="0068402E"/>
    <w:rsid w:val="006840C9"/>
    <w:rsid w:val="006841A4"/>
    <w:rsid w:val="006841D0"/>
    <w:rsid w:val="00684431"/>
    <w:rsid w:val="00684448"/>
    <w:rsid w:val="00684593"/>
    <w:rsid w:val="00684600"/>
    <w:rsid w:val="006846FA"/>
    <w:rsid w:val="00684722"/>
    <w:rsid w:val="006847F6"/>
    <w:rsid w:val="00684802"/>
    <w:rsid w:val="006849E0"/>
    <w:rsid w:val="00684A4A"/>
    <w:rsid w:val="00684A5A"/>
    <w:rsid w:val="00684A73"/>
    <w:rsid w:val="00684C74"/>
    <w:rsid w:val="00684DF1"/>
    <w:rsid w:val="00684E08"/>
    <w:rsid w:val="0068502B"/>
    <w:rsid w:val="006850BD"/>
    <w:rsid w:val="006850CD"/>
    <w:rsid w:val="006855D0"/>
    <w:rsid w:val="006856E3"/>
    <w:rsid w:val="0068575F"/>
    <w:rsid w:val="00685A0D"/>
    <w:rsid w:val="00685AB0"/>
    <w:rsid w:val="00685CB1"/>
    <w:rsid w:val="00685CBF"/>
    <w:rsid w:val="00685E34"/>
    <w:rsid w:val="00685FA2"/>
    <w:rsid w:val="00685FCF"/>
    <w:rsid w:val="00685FED"/>
    <w:rsid w:val="00686033"/>
    <w:rsid w:val="00686146"/>
    <w:rsid w:val="0068626B"/>
    <w:rsid w:val="00686386"/>
    <w:rsid w:val="00686555"/>
    <w:rsid w:val="00686587"/>
    <w:rsid w:val="00686615"/>
    <w:rsid w:val="006866FD"/>
    <w:rsid w:val="0068691A"/>
    <w:rsid w:val="006869D4"/>
    <w:rsid w:val="00686A51"/>
    <w:rsid w:val="00686B67"/>
    <w:rsid w:val="00686C0D"/>
    <w:rsid w:val="00686D37"/>
    <w:rsid w:val="00686E68"/>
    <w:rsid w:val="00686EA3"/>
    <w:rsid w:val="0068706A"/>
    <w:rsid w:val="006870A4"/>
    <w:rsid w:val="0068719C"/>
    <w:rsid w:val="006871AB"/>
    <w:rsid w:val="00687285"/>
    <w:rsid w:val="006872D2"/>
    <w:rsid w:val="00687379"/>
    <w:rsid w:val="006874C0"/>
    <w:rsid w:val="00687587"/>
    <w:rsid w:val="0068763D"/>
    <w:rsid w:val="00687745"/>
    <w:rsid w:val="00687749"/>
    <w:rsid w:val="00687804"/>
    <w:rsid w:val="00687989"/>
    <w:rsid w:val="00687BA2"/>
    <w:rsid w:val="00687CCA"/>
    <w:rsid w:val="00687D34"/>
    <w:rsid w:val="00687D4C"/>
    <w:rsid w:val="00687E8B"/>
    <w:rsid w:val="00687EED"/>
    <w:rsid w:val="00687F17"/>
    <w:rsid w:val="00687F19"/>
    <w:rsid w:val="00687F20"/>
    <w:rsid w:val="00687F61"/>
    <w:rsid w:val="00687FBA"/>
    <w:rsid w:val="006900CD"/>
    <w:rsid w:val="0069013A"/>
    <w:rsid w:val="00690168"/>
    <w:rsid w:val="006903AB"/>
    <w:rsid w:val="006905D5"/>
    <w:rsid w:val="0069092F"/>
    <w:rsid w:val="00690943"/>
    <w:rsid w:val="006909B3"/>
    <w:rsid w:val="00690BE7"/>
    <w:rsid w:val="00690C8D"/>
    <w:rsid w:val="00690DB2"/>
    <w:rsid w:val="00690F20"/>
    <w:rsid w:val="006912C9"/>
    <w:rsid w:val="006913F2"/>
    <w:rsid w:val="0069144A"/>
    <w:rsid w:val="0069145A"/>
    <w:rsid w:val="006915C6"/>
    <w:rsid w:val="006916D1"/>
    <w:rsid w:val="00691737"/>
    <w:rsid w:val="00691753"/>
    <w:rsid w:val="00691A21"/>
    <w:rsid w:val="00691A34"/>
    <w:rsid w:val="00691C6B"/>
    <w:rsid w:val="00691DE4"/>
    <w:rsid w:val="00691E20"/>
    <w:rsid w:val="00691E43"/>
    <w:rsid w:val="00691E81"/>
    <w:rsid w:val="00691FB9"/>
    <w:rsid w:val="00691FE4"/>
    <w:rsid w:val="00692003"/>
    <w:rsid w:val="00692026"/>
    <w:rsid w:val="00692179"/>
    <w:rsid w:val="00692214"/>
    <w:rsid w:val="0069262F"/>
    <w:rsid w:val="0069264A"/>
    <w:rsid w:val="00692786"/>
    <w:rsid w:val="006929CA"/>
    <w:rsid w:val="00692B26"/>
    <w:rsid w:val="00692CFF"/>
    <w:rsid w:val="00692D53"/>
    <w:rsid w:val="00693085"/>
    <w:rsid w:val="00693126"/>
    <w:rsid w:val="00693299"/>
    <w:rsid w:val="00693434"/>
    <w:rsid w:val="00693510"/>
    <w:rsid w:val="006936A8"/>
    <w:rsid w:val="006936CE"/>
    <w:rsid w:val="006936ED"/>
    <w:rsid w:val="00693712"/>
    <w:rsid w:val="0069374F"/>
    <w:rsid w:val="0069376E"/>
    <w:rsid w:val="0069392A"/>
    <w:rsid w:val="006939A1"/>
    <w:rsid w:val="00693AE0"/>
    <w:rsid w:val="00693AF0"/>
    <w:rsid w:val="00693C02"/>
    <w:rsid w:val="00693EA0"/>
    <w:rsid w:val="00693EF1"/>
    <w:rsid w:val="00693FB1"/>
    <w:rsid w:val="006940C7"/>
    <w:rsid w:val="00694179"/>
    <w:rsid w:val="0069420A"/>
    <w:rsid w:val="006943B5"/>
    <w:rsid w:val="00694650"/>
    <w:rsid w:val="006948EE"/>
    <w:rsid w:val="00694B95"/>
    <w:rsid w:val="00694C9B"/>
    <w:rsid w:val="00694CE3"/>
    <w:rsid w:val="00694E15"/>
    <w:rsid w:val="00694E8B"/>
    <w:rsid w:val="00695073"/>
    <w:rsid w:val="0069518B"/>
    <w:rsid w:val="0069535A"/>
    <w:rsid w:val="0069542C"/>
    <w:rsid w:val="00695611"/>
    <w:rsid w:val="00695646"/>
    <w:rsid w:val="006956EA"/>
    <w:rsid w:val="006957CC"/>
    <w:rsid w:val="006958FA"/>
    <w:rsid w:val="00695C0D"/>
    <w:rsid w:val="00695CBD"/>
    <w:rsid w:val="00695D51"/>
    <w:rsid w:val="00695F32"/>
    <w:rsid w:val="00695FEC"/>
    <w:rsid w:val="006960C2"/>
    <w:rsid w:val="006961AF"/>
    <w:rsid w:val="0069622D"/>
    <w:rsid w:val="0069624C"/>
    <w:rsid w:val="00696482"/>
    <w:rsid w:val="00696551"/>
    <w:rsid w:val="00696825"/>
    <w:rsid w:val="0069685A"/>
    <w:rsid w:val="00696861"/>
    <w:rsid w:val="00696A01"/>
    <w:rsid w:val="00696B57"/>
    <w:rsid w:val="00696C1E"/>
    <w:rsid w:val="00696CE3"/>
    <w:rsid w:val="00696D06"/>
    <w:rsid w:val="00697023"/>
    <w:rsid w:val="006970CA"/>
    <w:rsid w:val="0069711D"/>
    <w:rsid w:val="00697168"/>
    <w:rsid w:val="0069723E"/>
    <w:rsid w:val="00697295"/>
    <w:rsid w:val="0069731B"/>
    <w:rsid w:val="006973EF"/>
    <w:rsid w:val="006974B0"/>
    <w:rsid w:val="006974BA"/>
    <w:rsid w:val="00697714"/>
    <w:rsid w:val="006978AF"/>
    <w:rsid w:val="00697A0B"/>
    <w:rsid w:val="00697CB1"/>
    <w:rsid w:val="00697DFB"/>
    <w:rsid w:val="00697E9D"/>
    <w:rsid w:val="00697F86"/>
    <w:rsid w:val="006A000E"/>
    <w:rsid w:val="006A0507"/>
    <w:rsid w:val="006A0575"/>
    <w:rsid w:val="006A06C8"/>
    <w:rsid w:val="006A0796"/>
    <w:rsid w:val="006A08EA"/>
    <w:rsid w:val="006A0965"/>
    <w:rsid w:val="006A09D4"/>
    <w:rsid w:val="006A0C49"/>
    <w:rsid w:val="006A0CB0"/>
    <w:rsid w:val="006A0D95"/>
    <w:rsid w:val="006A0DE6"/>
    <w:rsid w:val="006A0E0A"/>
    <w:rsid w:val="006A0E8A"/>
    <w:rsid w:val="006A1098"/>
    <w:rsid w:val="006A117B"/>
    <w:rsid w:val="006A11C4"/>
    <w:rsid w:val="006A12FC"/>
    <w:rsid w:val="006A1349"/>
    <w:rsid w:val="006A1356"/>
    <w:rsid w:val="006A1439"/>
    <w:rsid w:val="006A1517"/>
    <w:rsid w:val="006A169C"/>
    <w:rsid w:val="006A16F3"/>
    <w:rsid w:val="006A1953"/>
    <w:rsid w:val="006A19DB"/>
    <w:rsid w:val="006A1B33"/>
    <w:rsid w:val="006A1CD4"/>
    <w:rsid w:val="006A1D29"/>
    <w:rsid w:val="006A1DC4"/>
    <w:rsid w:val="006A1F60"/>
    <w:rsid w:val="006A203A"/>
    <w:rsid w:val="006A2047"/>
    <w:rsid w:val="006A21A1"/>
    <w:rsid w:val="006A2287"/>
    <w:rsid w:val="006A267B"/>
    <w:rsid w:val="006A26B8"/>
    <w:rsid w:val="006A280B"/>
    <w:rsid w:val="006A28AB"/>
    <w:rsid w:val="006A2900"/>
    <w:rsid w:val="006A290C"/>
    <w:rsid w:val="006A2969"/>
    <w:rsid w:val="006A2972"/>
    <w:rsid w:val="006A2DDC"/>
    <w:rsid w:val="006A2F61"/>
    <w:rsid w:val="006A320E"/>
    <w:rsid w:val="006A329C"/>
    <w:rsid w:val="006A3367"/>
    <w:rsid w:val="006A3394"/>
    <w:rsid w:val="006A34AF"/>
    <w:rsid w:val="006A3603"/>
    <w:rsid w:val="006A36A9"/>
    <w:rsid w:val="006A371B"/>
    <w:rsid w:val="006A376D"/>
    <w:rsid w:val="006A37B8"/>
    <w:rsid w:val="006A37D6"/>
    <w:rsid w:val="006A380C"/>
    <w:rsid w:val="006A389F"/>
    <w:rsid w:val="006A3955"/>
    <w:rsid w:val="006A395C"/>
    <w:rsid w:val="006A3BB4"/>
    <w:rsid w:val="006A3D96"/>
    <w:rsid w:val="006A3E01"/>
    <w:rsid w:val="006A3E63"/>
    <w:rsid w:val="006A3EC2"/>
    <w:rsid w:val="006A3F19"/>
    <w:rsid w:val="006A3F64"/>
    <w:rsid w:val="006A3FD7"/>
    <w:rsid w:val="006A3FE1"/>
    <w:rsid w:val="006A4011"/>
    <w:rsid w:val="006A42F2"/>
    <w:rsid w:val="006A4321"/>
    <w:rsid w:val="006A4455"/>
    <w:rsid w:val="006A44A4"/>
    <w:rsid w:val="006A4588"/>
    <w:rsid w:val="006A4724"/>
    <w:rsid w:val="006A4897"/>
    <w:rsid w:val="006A4CF1"/>
    <w:rsid w:val="006A4D02"/>
    <w:rsid w:val="006A4D47"/>
    <w:rsid w:val="006A4DD2"/>
    <w:rsid w:val="006A5022"/>
    <w:rsid w:val="006A50EA"/>
    <w:rsid w:val="006A5324"/>
    <w:rsid w:val="006A5481"/>
    <w:rsid w:val="006A5711"/>
    <w:rsid w:val="006A57E1"/>
    <w:rsid w:val="006A581E"/>
    <w:rsid w:val="006A5852"/>
    <w:rsid w:val="006A58E3"/>
    <w:rsid w:val="006A5B08"/>
    <w:rsid w:val="006A5D29"/>
    <w:rsid w:val="006A5D9F"/>
    <w:rsid w:val="006A5EE5"/>
    <w:rsid w:val="006A5FAE"/>
    <w:rsid w:val="006A60FE"/>
    <w:rsid w:val="006A64C3"/>
    <w:rsid w:val="006A6850"/>
    <w:rsid w:val="006A695C"/>
    <w:rsid w:val="006A6964"/>
    <w:rsid w:val="006A6AF3"/>
    <w:rsid w:val="006A6B93"/>
    <w:rsid w:val="006A6C77"/>
    <w:rsid w:val="006A6C79"/>
    <w:rsid w:val="006A6CB6"/>
    <w:rsid w:val="006A6CCE"/>
    <w:rsid w:val="006A6E90"/>
    <w:rsid w:val="006A6F29"/>
    <w:rsid w:val="006A6F92"/>
    <w:rsid w:val="006A70C9"/>
    <w:rsid w:val="006A716B"/>
    <w:rsid w:val="006A724F"/>
    <w:rsid w:val="006A7424"/>
    <w:rsid w:val="006A76B2"/>
    <w:rsid w:val="006A773C"/>
    <w:rsid w:val="006A77F0"/>
    <w:rsid w:val="006A77FA"/>
    <w:rsid w:val="006A7828"/>
    <w:rsid w:val="006A79DC"/>
    <w:rsid w:val="006A7A24"/>
    <w:rsid w:val="006A7ADA"/>
    <w:rsid w:val="006A7B09"/>
    <w:rsid w:val="006A7B11"/>
    <w:rsid w:val="006A7BA1"/>
    <w:rsid w:val="006A7C25"/>
    <w:rsid w:val="006A7C5C"/>
    <w:rsid w:val="006A7C92"/>
    <w:rsid w:val="006A7CFF"/>
    <w:rsid w:val="006A7D18"/>
    <w:rsid w:val="006A7E2C"/>
    <w:rsid w:val="006A7E4B"/>
    <w:rsid w:val="006B003C"/>
    <w:rsid w:val="006B0043"/>
    <w:rsid w:val="006B00B3"/>
    <w:rsid w:val="006B021E"/>
    <w:rsid w:val="006B03C5"/>
    <w:rsid w:val="006B03E2"/>
    <w:rsid w:val="006B057A"/>
    <w:rsid w:val="006B0588"/>
    <w:rsid w:val="006B058B"/>
    <w:rsid w:val="006B06BB"/>
    <w:rsid w:val="006B084D"/>
    <w:rsid w:val="006B087E"/>
    <w:rsid w:val="006B087F"/>
    <w:rsid w:val="006B0A6B"/>
    <w:rsid w:val="006B0B4B"/>
    <w:rsid w:val="006B0DFA"/>
    <w:rsid w:val="006B1146"/>
    <w:rsid w:val="006B115B"/>
    <w:rsid w:val="006B117D"/>
    <w:rsid w:val="006B1185"/>
    <w:rsid w:val="006B12E4"/>
    <w:rsid w:val="006B133A"/>
    <w:rsid w:val="006B1350"/>
    <w:rsid w:val="006B1351"/>
    <w:rsid w:val="006B13C3"/>
    <w:rsid w:val="006B14E9"/>
    <w:rsid w:val="006B1514"/>
    <w:rsid w:val="006B151A"/>
    <w:rsid w:val="006B17EC"/>
    <w:rsid w:val="006B18D7"/>
    <w:rsid w:val="006B1908"/>
    <w:rsid w:val="006B1A33"/>
    <w:rsid w:val="006B1A80"/>
    <w:rsid w:val="006B1A9B"/>
    <w:rsid w:val="006B1C31"/>
    <w:rsid w:val="006B1C8D"/>
    <w:rsid w:val="006B1DD8"/>
    <w:rsid w:val="006B1E23"/>
    <w:rsid w:val="006B1FE1"/>
    <w:rsid w:val="006B2063"/>
    <w:rsid w:val="006B214D"/>
    <w:rsid w:val="006B22CB"/>
    <w:rsid w:val="006B2320"/>
    <w:rsid w:val="006B2424"/>
    <w:rsid w:val="006B2453"/>
    <w:rsid w:val="006B24B5"/>
    <w:rsid w:val="006B2536"/>
    <w:rsid w:val="006B25A5"/>
    <w:rsid w:val="006B25B5"/>
    <w:rsid w:val="006B26F3"/>
    <w:rsid w:val="006B274B"/>
    <w:rsid w:val="006B299C"/>
    <w:rsid w:val="006B2A21"/>
    <w:rsid w:val="006B2B55"/>
    <w:rsid w:val="006B2BFD"/>
    <w:rsid w:val="006B2D60"/>
    <w:rsid w:val="006B2EB4"/>
    <w:rsid w:val="006B2EF5"/>
    <w:rsid w:val="006B31D5"/>
    <w:rsid w:val="006B32BF"/>
    <w:rsid w:val="006B33F1"/>
    <w:rsid w:val="006B3406"/>
    <w:rsid w:val="006B34C2"/>
    <w:rsid w:val="006B3745"/>
    <w:rsid w:val="006B3818"/>
    <w:rsid w:val="006B394A"/>
    <w:rsid w:val="006B3B8E"/>
    <w:rsid w:val="006B3CED"/>
    <w:rsid w:val="006B3D2F"/>
    <w:rsid w:val="006B3DA2"/>
    <w:rsid w:val="006B3DC6"/>
    <w:rsid w:val="006B3DDA"/>
    <w:rsid w:val="006B3F1D"/>
    <w:rsid w:val="006B4103"/>
    <w:rsid w:val="006B415E"/>
    <w:rsid w:val="006B4162"/>
    <w:rsid w:val="006B4343"/>
    <w:rsid w:val="006B436F"/>
    <w:rsid w:val="006B440A"/>
    <w:rsid w:val="006B4514"/>
    <w:rsid w:val="006B4569"/>
    <w:rsid w:val="006B4752"/>
    <w:rsid w:val="006B4A8F"/>
    <w:rsid w:val="006B4AAC"/>
    <w:rsid w:val="006B4BEC"/>
    <w:rsid w:val="006B4BED"/>
    <w:rsid w:val="006B4D6F"/>
    <w:rsid w:val="006B4D7C"/>
    <w:rsid w:val="006B4F33"/>
    <w:rsid w:val="006B504D"/>
    <w:rsid w:val="006B509E"/>
    <w:rsid w:val="006B5183"/>
    <w:rsid w:val="006B5466"/>
    <w:rsid w:val="006B5491"/>
    <w:rsid w:val="006B55A3"/>
    <w:rsid w:val="006B588F"/>
    <w:rsid w:val="006B594A"/>
    <w:rsid w:val="006B5A7B"/>
    <w:rsid w:val="006B5C79"/>
    <w:rsid w:val="006B5CC1"/>
    <w:rsid w:val="006B5CD9"/>
    <w:rsid w:val="006B5E51"/>
    <w:rsid w:val="006B5E8F"/>
    <w:rsid w:val="006B5F67"/>
    <w:rsid w:val="006B5FB2"/>
    <w:rsid w:val="006B60C3"/>
    <w:rsid w:val="006B61A5"/>
    <w:rsid w:val="006B61DA"/>
    <w:rsid w:val="006B6433"/>
    <w:rsid w:val="006B644E"/>
    <w:rsid w:val="006B65F9"/>
    <w:rsid w:val="006B6632"/>
    <w:rsid w:val="006B668C"/>
    <w:rsid w:val="006B6858"/>
    <w:rsid w:val="006B688A"/>
    <w:rsid w:val="006B68B5"/>
    <w:rsid w:val="006B6932"/>
    <w:rsid w:val="006B6F6A"/>
    <w:rsid w:val="006B7361"/>
    <w:rsid w:val="006B7779"/>
    <w:rsid w:val="006B7907"/>
    <w:rsid w:val="006B79DB"/>
    <w:rsid w:val="006B79EE"/>
    <w:rsid w:val="006B7A7D"/>
    <w:rsid w:val="006B7A8D"/>
    <w:rsid w:val="006B7B51"/>
    <w:rsid w:val="006B7D89"/>
    <w:rsid w:val="006B7D8C"/>
    <w:rsid w:val="006B7DA7"/>
    <w:rsid w:val="006B7F03"/>
    <w:rsid w:val="006B7F99"/>
    <w:rsid w:val="006C014E"/>
    <w:rsid w:val="006C01AD"/>
    <w:rsid w:val="006C0236"/>
    <w:rsid w:val="006C0531"/>
    <w:rsid w:val="006C067B"/>
    <w:rsid w:val="006C06FF"/>
    <w:rsid w:val="006C08C0"/>
    <w:rsid w:val="006C0900"/>
    <w:rsid w:val="006C0A82"/>
    <w:rsid w:val="006C0B6E"/>
    <w:rsid w:val="006C0B6F"/>
    <w:rsid w:val="006C0C40"/>
    <w:rsid w:val="006C0DAF"/>
    <w:rsid w:val="006C0ECC"/>
    <w:rsid w:val="006C0EE5"/>
    <w:rsid w:val="006C0FF9"/>
    <w:rsid w:val="006C13A9"/>
    <w:rsid w:val="006C14F7"/>
    <w:rsid w:val="006C1672"/>
    <w:rsid w:val="006C1681"/>
    <w:rsid w:val="006C16CF"/>
    <w:rsid w:val="006C177D"/>
    <w:rsid w:val="006C1811"/>
    <w:rsid w:val="006C1890"/>
    <w:rsid w:val="006C1931"/>
    <w:rsid w:val="006C1B0E"/>
    <w:rsid w:val="006C1B77"/>
    <w:rsid w:val="006C1BC2"/>
    <w:rsid w:val="006C1CB6"/>
    <w:rsid w:val="006C1D5C"/>
    <w:rsid w:val="006C1E0B"/>
    <w:rsid w:val="006C1E5C"/>
    <w:rsid w:val="006C2069"/>
    <w:rsid w:val="006C20DC"/>
    <w:rsid w:val="006C2117"/>
    <w:rsid w:val="006C233E"/>
    <w:rsid w:val="006C23C4"/>
    <w:rsid w:val="006C242F"/>
    <w:rsid w:val="006C251E"/>
    <w:rsid w:val="006C2614"/>
    <w:rsid w:val="006C2821"/>
    <w:rsid w:val="006C28CF"/>
    <w:rsid w:val="006C2993"/>
    <w:rsid w:val="006C29D9"/>
    <w:rsid w:val="006C2AAA"/>
    <w:rsid w:val="006C2B8C"/>
    <w:rsid w:val="006C2B91"/>
    <w:rsid w:val="006C2B94"/>
    <w:rsid w:val="006C2BDF"/>
    <w:rsid w:val="006C2D44"/>
    <w:rsid w:val="006C2D96"/>
    <w:rsid w:val="006C2E53"/>
    <w:rsid w:val="006C313D"/>
    <w:rsid w:val="006C31A9"/>
    <w:rsid w:val="006C3266"/>
    <w:rsid w:val="006C350C"/>
    <w:rsid w:val="006C3544"/>
    <w:rsid w:val="006C35B2"/>
    <w:rsid w:val="006C377D"/>
    <w:rsid w:val="006C3785"/>
    <w:rsid w:val="006C37C0"/>
    <w:rsid w:val="006C3908"/>
    <w:rsid w:val="006C3BC1"/>
    <w:rsid w:val="006C3BF5"/>
    <w:rsid w:val="006C410A"/>
    <w:rsid w:val="006C4401"/>
    <w:rsid w:val="006C440F"/>
    <w:rsid w:val="006C45D8"/>
    <w:rsid w:val="006C4686"/>
    <w:rsid w:val="006C4691"/>
    <w:rsid w:val="006C46F2"/>
    <w:rsid w:val="006C49E8"/>
    <w:rsid w:val="006C4A29"/>
    <w:rsid w:val="006C4BC3"/>
    <w:rsid w:val="006C4BE2"/>
    <w:rsid w:val="006C4F25"/>
    <w:rsid w:val="006C4F51"/>
    <w:rsid w:val="006C50F9"/>
    <w:rsid w:val="006C526C"/>
    <w:rsid w:val="006C52B3"/>
    <w:rsid w:val="006C558B"/>
    <w:rsid w:val="006C5947"/>
    <w:rsid w:val="006C59F1"/>
    <w:rsid w:val="006C5B2E"/>
    <w:rsid w:val="006C5CF4"/>
    <w:rsid w:val="006C6081"/>
    <w:rsid w:val="006C608A"/>
    <w:rsid w:val="006C619A"/>
    <w:rsid w:val="006C622D"/>
    <w:rsid w:val="006C63F9"/>
    <w:rsid w:val="006C6501"/>
    <w:rsid w:val="006C67B4"/>
    <w:rsid w:val="006C68E7"/>
    <w:rsid w:val="006C6AFC"/>
    <w:rsid w:val="006C6B02"/>
    <w:rsid w:val="006C6B59"/>
    <w:rsid w:val="006C6D6D"/>
    <w:rsid w:val="006C6E54"/>
    <w:rsid w:val="006C6E5C"/>
    <w:rsid w:val="006C6EEF"/>
    <w:rsid w:val="006C70F6"/>
    <w:rsid w:val="006C7201"/>
    <w:rsid w:val="006C7397"/>
    <w:rsid w:val="006C7405"/>
    <w:rsid w:val="006C7476"/>
    <w:rsid w:val="006C750D"/>
    <w:rsid w:val="006C7540"/>
    <w:rsid w:val="006C7575"/>
    <w:rsid w:val="006C7612"/>
    <w:rsid w:val="006C7621"/>
    <w:rsid w:val="006C76B2"/>
    <w:rsid w:val="006C7801"/>
    <w:rsid w:val="006C7AFF"/>
    <w:rsid w:val="006C7E78"/>
    <w:rsid w:val="006D00CE"/>
    <w:rsid w:val="006D01C3"/>
    <w:rsid w:val="006D0267"/>
    <w:rsid w:val="006D02AD"/>
    <w:rsid w:val="006D0460"/>
    <w:rsid w:val="006D050C"/>
    <w:rsid w:val="006D0653"/>
    <w:rsid w:val="006D06B7"/>
    <w:rsid w:val="006D0730"/>
    <w:rsid w:val="006D0915"/>
    <w:rsid w:val="006D0B0B"/>
    <w:rsid w:val="006D0B53"/>
    <w:rsid w:val="006D0B6F"/>
    <w:rsid w:val="006D0D06"/>
    <w:rsid w:val="006D1016"/>
    <w:rsid w:val="006D10CB"/>
    <w:rsid w:val="006D1329"/>
    <w:rsid w:val="006D1380"/>
    <w:rsid w:val="006D1387"/>
    <w:rsid w:val="006D13C5"/>
    <w:rsid w:val="006D15DB"/>
    <w:rsid w:val="006D1847"/>
    <w:rsid w:val="006D19B1"/>
    <w:rsid w:val="006D1A6C"/>
    <w:rsid w:val="006D1AFB"/>
    <w:rsid w:val="006D1B97"/>
    <w:rsid w:val="006D1C24"/>
    <w:rsid w:val="006D1E57"/>
    <w:rsid w:val="006D1FE2"/>
    <w:rsid w:val="006D1FF5"/>
    <w:rsid w:val="006D2032"/>
    <w:rsid w:val="006D2150"/>
    <w:rsid w:val="006D21D1"/>
    <w:rsid w:val="006D225E"/>
    <w:rsid w:val="006D2269"/>
    <w:rsid w:val="006D2331"/>
    <w:rsid w:val="006D2346"/>
    <w:rsid w:val="006D2348"/>
    <w:rsid w:val="006D247D"/>
    <w:rsid w:val="006D24EE"/>
    <w:rsid w:val="006D2736"/>
    <w:rsid w:val="006D27C0"/>
    <w:rsid w:val="006D2B77"/>
    <w:rsid w:val="006D2D05"/>
    <w:rsid w:val="006D2EE2"/>
    <w:rsid w:val="006D300A"/>
    <w:rsid w:val="006D3011"/>
    <w:rsid w:val="006D313E"/>
    <w:rsid w:val="006D3177"/>
    <w:rsid w:val="006D326D"/>
    <w:rsid w:val="006D3409"/>
    <w:rsid w:val="006D34F8"/>
    <w:rsid w:val="006D3674"/>
    <w:rsid w:val="006D36C3"/>
    <w:rsid w:val="006D379F"/>
    <w:rsid w:val="006D37C8"/>
    <w:rsid w:val="006D381D"/>
    <w:rsid w:val="006D38BD"/>
    <w:rsid w:val="006D3989"/>
    <w:rsid w:val="006D3992"/>
    <w:rsid w:val="006D3BF8"/>
    <w:rsid w:val="006D3C62"/>
    <w:rsid w:val="006D3C7E"/>
    <w:rsid w:val="006D3E19"/>
    <w:rsid w:val="006D40CB"/>
    <w:rsid w:val="006D40E7"/>
    <w:rsid w:val="006D4230"/>
    <w:rsid w:val="006D42E9"/>
    <w:rsid w:val="006D4570"/>
    <w:rsid w:val="006D45ED"/>
    <w:rsid w:val="006D47BC"/>
    <w:rsid w:val="006D4ABD"/>
    <w:rsid w:val="006D4C49"/>
    <w:rsid w:val="006D4C7D"/>
    <w:rsid w:val="006D4CCA"/>
    <w:rsid w:val="006D4D6C"/>
    <w:rsid w:val="006D4DC3"/>
    <w:rsid w:val="006D4E3C"/>
    <w:rsid w:val="006D4FA9"/>
    <w:rsid w:val="006D512B"/>
    <w:rsid w:val="006D53F5"/>
    <w:rsid w:val="006D5437"/>
    <w:rsid w:val="006D5598"/>
    <w:rsid w:val="006D55E0"/>
    <w:rsid w:val="006D56E0"/>
    <w:rsid w:val="006D577B"/>
    <w:rsid w:val="006D5869"/>
    <w:rsid w:val="006D58EA"/>
    <w:rsid w:val="006D597E"/>
    <w:rsid w:val="006D59A5"/>
    <w:rsid w:val="006D5C22"/>
    <w:rsid w:val="006D5C69"/>
    <w:rsid w:val="006D5D11"/>
    <w:rsid w:val="006D5D24"/>
    <w:rsid w:val="006D5E61"/>
    <w:rsid w:val="006D5FCE"/>
    <w:rsid w:val="006D6100"/>
    <w:rsid w:val="006D61A7"/>
    <w:rsid w:val="006D62E5"/>
    <w:rsid w:val="006D6406"/>
    <w:rsid w:val="006D64FD"/>
    <w:rsid w:val="006D6569"/>
    <w:rsid w:val="006D6612"/>
    <w:rsid w:val="006D6887"/>
    <w:rsid w:val="006D6905"/>
    <w:rsid w:val="006D6974"/>
    <w:rsid w:val="006D6B43"/>
    <w:rsid w:val="006D6B45"/>
    <w:rsid w:val="006D6CFE"/>
    <w:rsid w:val="006D6D56"/>
    <w:rsid w:val="006D6D66"/>
    <w:rsid w:val="006D704D"/>
    <w:rsid w:val="006D7288"/>
    <w:rsid w:val="006D78B3"/>
    <w:rsid w:val="006D7AE2"/>
    <w:rsid w:val="006D7E75"/>
    <w:rsid w:val="006D7EA7"/>
    <w:rsid w:val="006E0016"/>
    <w:rsid w:val="006E024F"/>
    <w:rsid w:val="006E02E2"/>
    <w:rsid w:val="006E0310"/>
    <w:rsid w:val="006E040E"/>
    <w:rsid w:val="006E053E"/>
    <w:rsid w:val="006E0582"/>
    <w:rsid w:val="006E07A5"/>
    <w:rsid w:val="006E088B"/>
    <w:rsid w:val="006E08E7"/>
    <w:rsid w:val="006E091A"/>
    <w:rsid w:val="006E0965"/>
    <w:rsid w:val="006E0DCF"/>
    <w:rsid w:val="006E0DD7"/>
    <w:rsid w:val="006E0DE5"/>
    <w:rsid w:val="006E0FF8"/>
    <w:rsid w:val="006E10B8"/>
    <w:rsid w:val="006E1191"/>
    <w:rsid w:val="006E1204"/>
    <w:rsid w:val="006E1579"/>
    <w:rsid w:val="006E173A"/>
    <w:rsid w:val="006E1812"/>
    <w:rsid w:val="006E1899"/>
    <w:rsid w:val="006E1919"/>
    <w:rsid w:val="006E1AEF"/>
    <w:rsid w:val="006E1B50"/>
    <w:rsid w:val="006E1CB6"/>
    <w:rsid w:val="006E1DD6"/>
    <w:rsid w:val="006E1E5C"/>
    <w:rsid w:val="006E20F7"/>
    <w:rsid w:val="006E2129"/>
    <w:rsid w:val="006E216A"/>
    <w:rsid w:val="006E21CF"/>
    <w:rsid w:val="006E224E"/>
    <w:rsid w:val="006E23BD"/>
    <w:rsid w:val="006E24D1"/>
    <w:rsid w:val="006E24E3"/>
    <w:rsid w:val="006E297E"/>
    <w:rsid w:val="006E2C2C"/>
    <w:rsid w:val="006E31EE"/>
    <w:rsid w:val="006E32F5"/>
    <w:rsid w:val="006E336A"/>
    <w:rsid w:val="006E3430"/>
    <w:rsid w:val="006E354F"/>
    <w:rsid w:val="006E36D2"/>
    <w:rsid w:val="006E38E9"/>
    <w:rsid w:val="006E3BD5"/>
    <w:rsid w:val="006E3CDF"/>
    <w:rsid w:val="006E3DD3"/>
    <w:rsid w:val="006E3E89"/>
    <w:rsid w:val="006E3F3F"/>
    <w:rsid w:val="006E3F75"/>
    <w:rsid w:val="006E3F96"/>
    <w:rsid w:val="006E4132"/>
    <w:rsid w:val="006E4192"/>
    <w:rsid w:val="006E4234"/>
    <w:rsid w:val="006E43CF"/>
    <w:rsid w:val="006E443E"/>
    <w:rsid w:val="006E464E"/>
    <w:rsid w:val="006E4795"/>
    <w:rsid w:val="006E48BE"/>
    <w:rsid w:val="006E49A4"/>
    <w:rsid w:val="006E4D7E"/>
    <w:rsid w:val="006E4E2C"/>
    <w:rsid w:val="006E4E59"/>
    <w:rsid w:val="006E4E60"/>
    <w:rsid w:val="006E4E99"/>
    <w:rsid w:val="006E5211"/>
    <w:rsid w:val="006E532F"/>
    <w:rsid w:val="006E53D7"/>
    <w:rsid w:val="006E5476"/>
    <w:rsid w:val="006E548A"/>
    <w:rsid w:val="006E54EB"/>
    <w:rsid w:val="006E5658"/>
    <w:rsid w:val="006E56EE"/>
    <w:rsid w:val="006E571B"/>
    <w:rsid w:val="006E590A"/>
    <w:rsid w:val="006E5914"/>
    <w:rsid w:val="006E593E"/>
    <w:rsid w:val="006E5B05"/>
    <w:rsid w:val="006E5C58"/>
    <w:rsid w:val="006E5C8E"/>
    <w:rsid w:val="006E5D83"/>
    <w:rsid w:val="006E5D8F"/>
    <w:rsid w:val="006E5E95"/>
    <w:rsid w:val="006E5F85"/>
    <w:rsid w:val="006E5F9F"/>
    <w:rsid w:val="006E6182"/>
    <w:rsid w:val="006E629F"/>
    <w:rsid w:val="006E64FF"/>
    <w:rsid w:val="006E6573"/>
    <w:rsid w:val="006E65A6"/>
    <w:rsid w:val="006E6674"/>
    <w:rsid w:val="006E6986"/>
    <w:rsid w:val="006E6BBD"/>
    <w:rsid w:val="006E6DD4"/>
    <w:rsid w:val="006E6EEA"/>
    <w:rsid w:val="006E6FEF"/>
    <w:rsid w:val="006E720E"/>
    <w:rsid w:val="006E736C"/>
    <w:rsid w:val="006E73A3"/>
    <w:rsid w:val="006E74C4"/>
    <w:rsid w:val="006E7510"/>
    <w:rsid w:val="006E76DB"/>
    <w:rsid w:val="006E78D1"/>
    <w:rsid w:val="006E798D"/>
    <w:rsid w:val="006E79D8"/>
    <w:rsid w:val="006E7A82"/>
    <w:rsid w:val="006E7A99"/>
    <w:rsid w:val="006E7BCB"/>
    <w:rsid w:val="006F0023"/>
    <w:rsid w:val="006F017C"/>
    <w:rsid w:val="006F018A"/>
    <w:rsid w:val="006F01E6"/>
    <w:rsid w:val="006F0304"/>
    <w:rsid w:val="006F03F2"/>
    <w:rsid w:val="006F04C7"/>
    <w:rsid w:val="006F065B"/>
    <w:rsid w:val="006F0676"/>
    <w:rsid w:val="006F09AD"/>
    <w:rsid w:val="006F0C75"/>
    <w:rsid w:val="006F0CB5"/>
    <w:rsid w:val="006F0DFB"/>
    <w:rsid w:val="006F0EE3"/>
    <w:rsid w:val="006F0FA4"/>
    <w:rsid w:val="006F11C3"/>
    <w:rsid w:val="006F12D7"/>
    <w:rsid w:val="006F1476"/>
    <w:rsid w:val="006F14DD"/>
    <w:rsid w:val="006F151D"/>
    <w:rsid w:val="006F1576"/>
    <w:rsid w:val="006F1638"/>
    <w:rsid w:val="006F1742"/>
    <w:rsid w:val="006F1802"/>
    <w:rsid w:val="006F191F"/>
    <w:rsid w:val="006F194B"/>
    <w:rsid w:val="006F1B94"/>
    <w:rsid w:val="006F1C3B"/>
    <w:rsid w:val="006F1E21"/>
    <w:rsid w:val="006F2160"/>
    <w:rsid w:val="006F23AE"/>
    <w:rsid w:val="006F25C1"/>
    <w:rsid w:val="006F25E8"/>
    <w:rsid w:val="006F2749"/>
    <w:rsid w:val="006F27CD"/>
    <w:rsid w:val="006F2AD7"/>
    <w:rsid w:val="006F2AEE"/>
    <w:rsid w:val="006F2D0A"/>
    <w:rsid w:val="006F2E61"/>
    <w:rsid w:val="006F3222"/>
    <w:rsid w:val="006F324B"/>
    <w:rsid w:val="006F32B1"/>
    <w:rsid w:val="006F357A"/>
    <w:rsid w:val="006F380D"/>
    <w:rsid w:val="006F3860"/>
    <w:rsid w:val="006F3ADF"/>
    <w:rsid w:val="006F3B45"/>
    <w:rsid w:val="006F3CE7"/>
    <w:rsid w:val="006F3D52"/>
    <w:rsid w:val="006F3DD4"/>
    <w:rsid w:val="006F3E35"/>
    <w:rsid w:val="006F3EA0"/>
    <w:rsid w:val="006F3F36"/>
    <w:rsid w:val="006F3FA5"/>
    <w:rsid w:val="006F408C"/>
    <w:rsid w:val="006F41D7"/>
    <w:rsid w:val="006F4364"/>
    <w:rsid w:val="006F45D3"/>
    <w:rsid w:val="006F4777"/>
    <w:rsid w:val="006F48E6"/>
    <w:rsid w:val="006F4A0F"/>
    <w:rsid w:val="006F4B24"/>
    <w:rsid w:val="006F4B64"/>
    <w:rsid w:val="006F4B76"/>
    <w:rsid w:val="006F4B8C"/>
    <w:rsid w:val="006F4BD0"/>
    <w:rsid w:val="006F4D52"/>
    <w:rsid w:val="006F4ED4"/>
    <w:rsid w:val="006F4F05"/>
    <w:rsid w:val="006F4F89"/>
    <w:rsid w:val="006F50EB"/>
    <w:rsid w:val="006F511A"/>
    <w:rsid w:val="006F51FA"/>
    <w:rsid w:val="006F51FD"/>
    <w:rsid w:val="006F5282"/>
    <w:rsid w:val="006F53DF"/>
    <w:rsid w:val="006F5477"/>
    <w:rsid w:val="006F5478"/>
    <w:rsid w:val="006F5518"/>
    <w:rsid w:val="006F5526"/>
    <w:rsid w:val="006F573A"/>
    <w:rsid w:val="006F5862"/>
    <w:rsid w:val="006F5885"/>
    <w:rsid w:val="006F589F"/>
    <w:rsid w:val="006F58C7"/>
    <w:rsid w:val="006F58D5"/>
    <w:rsid w:val="006F5B85"/>
    <w:rsid w:val="006F5F03"/>
    <w:rsid w:val="006F5F6A"/>
    <w:rsid w:val="006F5FB4"/>
    <w:rsid w:val="006F6105"/>
    <w:rsid w:val="006F611C"/>
    <w:rsid w:val="006F61AE"/>
    <w:rsid w:val="006F61F6"/>
    <w:rsid w:val="006F62AD"/>
    <w:rsid w:val="006F645E"/>
    <w:rsid w:val="006F6474"/>
    <w:rsid w:val="006F65A9"/>
    <w:rsid w:val="006F6606"/>
    <w:rsid w:val="006F6662"/>
    <w:rsid w:val="006F66ED"/>
    <w:rsid w:val="006F6719"/>
    <w:rsid w:val="006F69B0"/>
    <w:rsid w:val="006F6AB1"/>
    <w:rsid w:val="006F6B7A"/>
    <w:rsid w:val="006F6C8F"/>
    <w:rsid w:val="006F6D84"/>
    <w:rsid w:val="006F6EED"/>
    <w:rsid w:val="006F70AA"/>
    <w:rsid w:val="006F71A6"/>
    <w:rsid w:val="006F725E"/>
    <w:rsid w:val="006F73FD"/>
    <w:rsid w:val="006F743F"/>
    <w:rsid w:val="006F7472"/>
    <w:rsid w:val="006F74FC"/>
    <w:rsid w:val="006F756C"/>
    <w:rsid w:val="006F7634"/>
    <w:rsid w:val="006F76EE"/>
    <w:rsid w:val="006F7877"/>
    <w:rsid w:val="006F7A72"/>
    <w:rsid w:val="006F7BC7"/>
    <w:rsid w:val="006F7C08"/>
    <w:rsid w:val="006F7CE2"/>
    <w:rsid w:val="006F7E16"/>
    <w:rsid w:val="006F7F29"/>
    <w:rsid w:val="006F7F31"/>
    <w:rsid w:val="00700160"/>
    <w:rsid w:val="007001AF"/>
    <w:rsid w:val="007001EF"/>
    <w:rsid w:val="0070025D"/>
    <w:rsid w:val="00700277"/>
    <w:rsid w:val="00700316"/>
    <w:rsid w:val="0070042D"/>
    <w:rsid w:val="00700656"/>
    <w:rsid w:val="00700658"/>
    <w:rsid w:val="007006C1"/>
    <w:rsid w:val="00700794"/>
    <w:rsid w:val="007008B3"/>
    <w:rsid w:val="0070094B"/>
    <w:rsid w:val="00700A18"/>
    <w:rsid w:val="00700A58"/>
    <w:rsid w:val="00700B87"/>
    <w:rsid w:val="00700BC2"/>
    <w:rsid w:val="00700BC7"/>
    <w:rsid w:val="00700C5F"/>
    <w:rsid w:val="00700CD9"/>
    <w:rsid w:val="007010E7"/>
    <w:rsid w:val="0070110E"/>
    <w:rsid w:val="00701133"/>
    <w:rsid w:val="0070122C"/>
    <w:rsid w:val="0070127B"/>
    <w:rsid w:val="007014B2"/>
    <w:rsid w:val="00701512"/>
    <w:rsid w:val="00701636"/>
    <w:rsid w:val="0070189E"/>
    <w:rsid w:val="007019ED"/>
    <w:rsid w:val="00701C5C"/>
    <w:rsid w:val="00701C7C"/>
    <w:rsid w:val="00701CB0"/>
    <w:rsid w:val="00701FA8"/>
    <w:rsid w:val="007020A7"/>
    <w:rsid w:val="0070210C"/>
    <w:rsid w:val="007021DD"/>
    <w:rsid w:val="00702495"/>
    <w:rsid w:val="007024B8"/>
    <w:rsid w:val="007025A3"/>
    <w:rsid w:val="007026C1"/>
    <w:rsid w:val="00702766"/>
    <w:rsid w:val="00702A4D"/>
    <w:rsid w:val="00702B11"/>
    <w:rsid w:val="00702B26"/>
    <w:rsid w:val="00702B31"/>
    <w:rsid w:val="00702C35"/>
    <w:rsid w:val="00702EA9"/>
    <w:rsid w:val="00702ED1"/>
    <w:rsid w:val="00703173"/>
    <w:rsid w:val="00703371"/>
    <w:rsid w:val="007034ED"/>
    <w:rsid w:val="00703672"/>
    <w:rsid w:val="00703B2E"/>
    <w:rsid w:val="00703EBE"/>
    <w:rsid w:val="00703F5B"/>
    <w:rsid w:val="0070405A"/>
    <w:rsid w:val="007040D0"/>
    <w:rsid w:val="007041CE"/>
    <w:rsid w:val="007042B1"/>
    <w:rsid w:val="00704357"/>
    <w:rsid w:val="0070457E"/>
    <w:rsid w:val="00704669"/>
    <w:rsid w:val="00704800"/>
    <w:rsid w:val="0070482A"/>
    <w:rsid w:val="00704879"/>
    <w:rsid w:val="0070489A"/>
    <w:rsid w:val="007048C8"/>
    <w:rsid w:val="0070491A"/>
    <w:rsid w:val="00704A87"/>
    <w:rsid w:val="00704ADA"/>
    <w:rsid w:val="00704B0D"/>
    <w:rsid w:val="00704B89"/>
    <w:rsid w:val="00704DFC"/>
    <w:rsid w:val="00704E6D"/>
    <w:rsid w:val="00704F2D"/>
    <w:rsid w:val="00704F4E"/>
    <w:rsid w:val="00705145"/>
    <w:rsid w:val="007051FC"/>
    <w:rsid w:val="007053D2"/>
    <w:rsid w:val="007053D8"/>
    <w:rsid w:val="0070552E"/>
    <w:rsid w:val="00705603"/>
    <w:rsid w:val="00705AB4"/>
    <w:rsid w:val="00705CD7"/>
    <w:rsid w:val="00705F2A"/>
    <w:rsid w:val="00705F83"/>
    <w:rsid w:val="00706029"/>
    <w:rsid w:val="00706030"/>
    <w:rsid w:val="00706047"/>
    <w:rsid w:val="00706049"/>
    <w:rsid w:val="0070609D"/>
    <w:rsid w:val="007060F1"/>
    <w:rsid w:val="00706163"/>
    <w:rsid w:val="007061A9"/>
    <w:rsid w:val="00706396"/>
    <w:rsid w:val="0070643D"/>
    <w:rsid w:val="007065BA"/>
    <w:rsid w:val="0070664A"/>
    <w:rsid w:val="0070666B"/>
    <w:rsid w:val="00706724"/>
    <w:rsid w:val="007067C7"/>
    <w:rsid w:val="007067DF"/>
    <w:rsid w:val="00706836"/>
    <w:rsid w:val="007069BE"/>
    <w:rsid w:val="00706D25"/>
    <w:rsid w:val="00706D77"/>
    <w:rsid w:val="00706E9D"/>
    <w:rsid w:val="00706FD2"/>
    <w:rsid w:val="00707100"/>
    <w:rsid w:val="007071B0"/>
    <w:rsid w:val="0070758B"/>
    <w:rsid w:val="007075BD"/>
    <w:rsid w:val="007075D6"/>
    <w:rsid w:val="007075F9"/>
    <w:rsid w:val="00707602"/>
    <w:rsid w:val="007077C0"/>
    <w:rsid w:val="00707A8D"/>
    <w:rsid w:val="00707BBA"/>
    <w:rsid w:val="00707CA2"/>
    <w:rsid w:val="00707D03"/>
    <w:rsid w:val="00707D2E"/>
    <w:rsid w:val="00707D77"/>
    <w:rsid w:val="00707D7B"/>
    <w:rsid w:val="00707E07"/>
    <w:rsid w:val="00707FAC"/>
    <w:rsid w:val="00707FEE"/>
    <w:rsid w:val="00710314"/>
    <w:rsid w:val="0071033B"/>
    <w:rsid w:val="00710362"/>
    <w:rsid w:val="007103CD"/>
    <w:rsid w:val="00710457"/>
    <w:rsid w:val="007104A5"/>
    <w:rsid w:val="0071055B"/>
    <w:rsid w:val="00710592"/>
    <w:rsid w:val="0071067C"/>
    <w:rsid w:val="007106BD"/>
    <w:rsid w:val="007106C1"/>
    <w:rsid w:val="0071081E"/>
    <w:rsid w:val="007109BF"/>
    <w:rsid w:val="00710A18"/>
    <w:rsid w:val="00710A65"/>
    <w:rsid w:val="00710B10"/>
    <w:rsid w:val="00710B61"/>
    <w:rsid w:val="00710CAC"/>
    <w:rsid w:val="00710CD2"/>
    <w:rsid w:val="00710D99"/>
    <w:rsid w:val="00710DB6"/>
    <w:rsid w:val="00710E9B"/>
    <w:rsid w:val="00710F04"/>
    <w:rsid w:val="00711124"/>
    <w:rsid w:val="007113F6"/>
    <w:rsid w:val="0071147E"/>
    <w:rsid w:val="0071156B"/>
    <w:rsid w:val="00711868"/>
    <w:rsid w:val="007118A1"/>
    <w:rsid w:val="00711971"/>
    <w:rsid w:val="00711A3D"/>
    <w:rsid w:val="00711D1E"/>
    <w:rsid w:val="00711DBA"/>
    <w:rsid w:val="00711F99"/>
    <w:rsid w:val="007120E6"/>
    <w:rsid w:val="007122BE"/>
    <w:rsid w:val="0071247A"/>
    <w:rsid w:val="0071248C"/>
    <w:rsid w:val="0071248E"/>
    <w:rsid w:val="0071250F"/>
    <w:rsid w:val="0071252C"/>
    <w:rsid w:val="00712786"/>
    <w:rsid w:val="007127D9"/>
    <w:rsid w:val="00712835"/>
    <w:rsid w:val="007128A6"/>
    <w:rsid w:val="00712ADD"/>
    <w:rsid w:val="00712D1F"/>
    <w:rsid w:val="00712D43"/>
    <w:rsid w:val="00712D7E"/>
    <w:rsid w:val="00712E1F"/>
    <w:rsid w:val="00712F4D"/>
    <w:rsid w:val="0071306F"/>
    <w:rsid w:val="007131DF"/>
    <w:rsid w:val="007133AB"/>
    <w:rsid w:val="007133C4"/>
    <w:rsid w:val="00713467"/>
    <w:rsid w:val="007135EF"/>
    <w:rsid w:val="007135FF"/>
    <w:rsid w:val="00713678"/>
    <w:rsid w:val="00713683"/>
    <w:rsid w:val="0071368E"/>
    <w:rsid w:val="00713723"/>
    <w:rsid w:val="00713821"/>
    <w:rsid w:val="00713864"/>
    <w:rsid w:val="007139E4"/>
    <w:rsid w:val="00713ECE"/>
    <w:rsid w:val="00713EFB"/>
    <w:rsid w:val="00713F3A"/>
    <w:rsid w:val="00713F50"/>
    <w:rsid w:val="00713FA4"/>
    <w:rsid w:val="007140C4"/>
    <w:rsid w:val="0071426D"/>
    <w:rsid w:val="00714323"/>
    <w:rsid w:val="00714838"/>
    <w:rsid w:val="00714967"/>
    <w:rsid w:val="00714A0A"/>
    <w:rsid w:val="00714A27"/>
    <w:rsid w:val="00714B4B"/>
    <w:rsid w:val="00714C8F"/>
    <w:rsid w:val="00714E02"/>
    <w:rsid w:val="00714E45"/>
    <w:rsid w:val="00714EAC"/>
    <w:rsid w:val="00714F98"/>
    <w:rsid w:val="00715501"/>
    <w:rsid w:val="0071576D"/>
    <w:rsid w:val="00715870"/>
    <w:rsid w:val="00715A88"/>
    <w:rsid w:val="00715B98"/>
    <w:rsid w:val="00715CA0"/>
    <w:rsid w:val="00715CC7"/>
    <w:rsid w:val="00715CF9"/>
    <w:rsid w:val="00715FAC"/>
    <w:rsid w:val="00715FE2"/>
    <w:rsid w:val="0071605D"/>
    <w:rsid w:val="00716124"/>
    <w:rsid w:val="00716401"/>
    <w:rsid w:val="00716583"/>
    <w:rsid w:val="00716652"/>
    <w:rsid w:val="00716814"/>
    <w:rsid w:val="007168E9"/>
    <w:rsid w:val="00716956"/>
    <w:rsid w:val="00716B07"/>
    <w:rsid w:val="00716B33"/>
    <w:rsid w:val="00716B8E"/>
    <w:rsid w:val="00716DF9"/>
    <w:rsid w:val="007171D0"/>
    <w:rsid w:val="00717291"/>
    <w:rsid w:val="007172EC"/>
    <w:rsid w:val="007174F3"/>
    <w:rsid w:val="007176F1"/>
    <w:rsid w:val="007177A3"/>
    <w:rsid w:val="007177B6"/>
    <w:rsid w:val="007177D1"/>
    <w:rsid w:val="007177E7"/>
    <w:rsid w:val="0071786D"/>
    <w:rsid w:val="007178B6"/>
    <w:rsid w:val="007178ED"/>
    <w:rsid w:val="0071794C"/>
    <w:rsid w:val="00717952"/>
    <w:rsid w:val="00717A96"/>
    <w:rsid w:val="00717AEC"/>
    <w:rsid w:val="00717DFE"/>
    <w:rsid w:val="00717E6B"/>
    <w:rsid w:val="00717FDF"/>
    <w:rsid w:val="00720179"/>
    <w:rsid w:val="0072017F"/>
    <w:rsid w:val="0072028E"/>
    <w:rsid w:val="00720368"/>
    <w:rsid w:val="00720484"/>
    <w:rsid w:val="0072049E"/>
    <w:rsid w:val="007204F1"/>
    <w:rsid w:val="00720691"/>
    <w:rsid w:val="00720714"/>
    <w:rsid w:val="007207B5"/>
    <w:rsid w:val="00720A27"/>
    <w:rsid w:val="00720B47"/>
    <w:rsid w:val="00720B89"/>
    <w:rsid w:val="00720C60"/>
    <w:rsid w:val="00720E04"/>
    <w:rsid w:val="00720ED1"/>
    <w:rsid w:val="00721118"/>
    <w:rsid w:val="0072111E"/>
    <w:rsid w:val="0072134F"/>
    <w:rsid w:val="00721358"/>
    <w:rsid w:val="00721423"/>
    <w:rsid w:val="0072154D"/>
    <w:rsid w:val="0072159D"/>
    <w:rsid w:val="00721708"/>
    <w:rsid w:val="007217E7"/>
    <w:rsid w:val="007219A3"/>
    <w:rsid w:val="007219BE"/>
    <w:rsid w:val="00721A87"/>
    <w:rsid w:val="00721AA7"/>
    <w:rsid w:val="00721ADD"/>
    <w:rsid w:val="00721B58"/>
    <w:rsid w:val="00721BF2"/>
    <w:rsid w:val="00721D1E"/>
    <w:rsid w:val="00721D7D"/>
    <w:rsid w:val="00721D95"/>
    <w:rsid w:val="00721DA0"/>
    <w:rsid w:val="00721DD4"/>
    <w:rsid w:val="00721DF1"/>
    <w:rsid w:val="00721EA3"/>
    <w:rsid w:val="00721F11"/>
    <w:rsid w:val="00721FD1"/>
    <w:rsid w:val="00721FD6"/>
    <w:rsid w:val="0072200E"/>
    <w:rsid w:val="0072201C"/>
    <w:rsid w:val="0072220B"/>
    <w:rsid w:val="00722688"/>
    <w:rsid w:val="007226BC"/>
    <w:rsid w:val="00722768"/>
    <w:rsid w:val="0072287A"/>
    <w:rsid w:val="00722906"/>
    <w:rsid w:val="007229F9"/>
    <w:rsid w:val="00722AA1"/>
    <w:rsid w:val="00722DA0"/>
    <w:rsid w:val="00722E42"/>
    <w:rsid w:val="0072304C"/>
    <w:rsid w:val="007231DE"/>
    <w:rsid w:val="007232FE"/>
    <w:rsid w:val="0072350E"/>
    <w:rsid w:val="007236A1"/>
    <w:rsid w:val="00723786"/>
    <w:rsid w:val="007239E6"/>
    <w:rsid w:val="00723B80"/>
    <w:rsid w:val="00723D1A"/>
    <w:rsid w:val="00723EE2"/>
    <w:rsid w:val="00723F2B"/>
    <w:rsid w:val="007240EC"/>
    <w:rsid w:val="007243C7"/>
    <w:rsid w:val="007244A4"/>
    <w:rsid w:val="007244E7"/>
    <w:rsid w:val="007245FB"/>
    <w:rsid w:val="0072463D"/>
    <w:rsid w:val="0072496A"/>
    <w:rsid w:val="00724A2B"/>
    <w:rsid w:val="00724B38"/>
    <w:rsid w:val="00724BC9"/>
    <w:rsid w:val="00724C0A"/>
    <w:rsid w:val="00724C30"/>
    <w:rsid w:val="00724C7D"/>
    <w:rsid w:val="00724CF3"/>
    <w:rsid w:val="00724DCA"/>
    <w:rsid w:val="00725349"/>
    <w:rsid w:val="007253B8"/>
    <w:rsid w:val="007255AC"/>
    <w:rsid w:val="007256A4"/>
    <w:rsid w:val="00725723"/>
    <w:rsid w:val="00725A22"/>
    <w:rsid w:val="00725BB3"/>
    <w:rsid w:val="00725FAD"/>
    <w:rsid w:val="00725FE9"/>
    <w:rsid w:val="0072615B"/>
    <w:rsid w:val="0072632B"/>
    <w:rsid w:val="00726439"/>
    <w:rsid w:val="0072656F"/>
    <w:rsid w:val="0072681C"/>
    <w:rsid w:val="007269DC"/>
    <w:rsid w:val="00726AEB"/>
    <w:rsid w:val="00726C21"/>
    <w:rsid w:val="00726E07"/>
    <w:rsid w:val="00726EB7"/>
    <w:rsid w:val="00726F4B"/>
    <w:rsid w:val="0072716B"/>
    <w:rsid w:val="0072737D"/>
    <w:rsid w:val="007273CC"/>
    <w:rsid w:val="0072746E"/>
    <w:rsid w:val="007275FB"/>
    <w:rsid w:val="0072760B"/>
    <w:rsid w:val="00727945"/>
    <w:rsid w:val="00727A6C"/>
    <w:rsid w:val="00727E9D"/>
    <w:rsid w:val="00730058"/>
    <w:rsid w:val="007300CD"/>
    <w:rsid w:val="007303E1"/>
    <w:rsid w:val="007306F6"/>
    <w:rsid w:val="0073098F"/>
    <w:rsid w:val="00730995"/>
    <w:rsid w:val="00730CE4"/>
    <w:rsid w:val="00730E0B"/>
    <w:rsid w:val="00730E11"/>
    <w:rsid w:val="00730E5C"/>
    <w:rsid w:val="00731026"/>
    <w:rsid w:val="00731089"/>
    <w:rsid w:val="00731091"/>
    <w:rsid w:val="00731130"/>
    <w:rsid w:val="00731144"/>
    <w:rsid w:val="00731264"/>
    <w:rsid w:val="00731297"/>
    <w:rsid w:val="0073133C"/>
    <w:rsid w:val="00731526"/>
    <w:rsid w:val="00731605"/>
    <w:rsid w:val="0073163D"/>
    <w:rsid w:val="00731692"/>
    <w:rsid w:val="007318B8"/>
    <w:rsid w:val="00731991"/>
    <w:rsid w:val="007319F1"/>
    <w:rsid w:val="007319F7"/>
    <w:rsid w:val="00731A73"/>
    <w:rsid w:val="00731B14"/>
    <w:rsid w:val="00731B21"/>
    <w:rsid w:val="00731E46"/>
    <w:rsid w:val="00731F18"/>
    <w:rsid w:val="00731F56"/>
    <w:rsid w:val="00731FB0"/>
    <w:rsid w:val="00732113"/>
    <w:rsid w:val="0073212B"/>
    <w:rsid w:val="00732317"/>
    <w:rsid w:val="0073265B"/>
    <w:rsid w:val="007326FA"/>
    <w:rsid w:val="00732753"/>
    <w:rsid w:val="00732770"/>
    <w:rsid w:val="00732885"/>
    <w:rsid w:val="007328BB"/>
    <w:rsid w:val="0073291B"/>
    <w:rsid w:val="007329A3"/>
    <w:rsid w:val="00732A41"/>
    <w:rsid w:val="00732AF1"/>
    <w:rsid w:val="0073302E"/>
    <w:rsid w:val="007330FF"/>
    <w:rsid w:val="00733138"/>
    <w:rsid w:val="00733248"/>
    <w:rsid w:val="007332BC"/>
    <w:rsid w:val="007333F1"/>
    <w:rsid w:val="007334C4"/>
    <w:rsid w:val="0073363A"/>
    <w:rsid w:val="00733758"/>
    <w:rsid w:val="007338DB"/>
    <w:rsid w:val="00733A01"/>
    <w:rsid w:val="00733AE3"/>
    <w:rsid w:val="00733B21"/>
    <w:rsid w:val="00733E1F"/>
    <w:rsid w:val="007341C0"/>
    <w:rsid w:val="00734426"/>
    <w:rsid w:val="007344AE"/>
    <w:rsid w:val="007345E8"/>
    <w:rsid w:val="00734620"/>
    <w:rsid w:val="0073494A"/>
    <w:rsid w:val="00734AB9"/>
    <w:rsid w:val="00734B82"/>
    <w:rsid w:val="00734BAF"/>
    <w:rsid w:val="00734CC0"/>
    <w:rsid w:val="00734D71"/>
    <w:rsid w:val="00734DAE"/>
    <w:rsid w:val="00734DB2"/>
    <w:rsid w:val="00734E20"/>
    <w:rsid w:val="00734EDF"/>
    <w:rsid w:val="00735184"/>
    <w:rsid w:val="0073536E"/>
    <w:rsid w:val="0073573C"/>
    <w:rsid w:val="007359B9"/>
    <w:rsid w:val="007359F6"/>
    <w:rsid w:val="00735A0E"/>
    <w:rsid w:val="00735AAE"/>
    <w:rsid w:val="00735B04"/>
    <w:rsid w:val="00735B18"/>
    <w:rsid w:val="00735BFA"/>
    <w:rsid w:val="00735E63"/>
    <w:rsid w:val="00735E9C"/>
    <w:rsid w:val="00735F05"/>
    <w:rsid w:val="00735F7A"/>
    <w:rsid w:val="00735F8F"/>
    <w:rsid w:val="00735FFE"/>
    <w:rsid w:val="00736216"/>
    <w:rsid w:val="0073625B"/>
    <w:rsid w:val="007365F4"/>
    <w:rsid w:val="00736A5F"/>
    <w:rsid w:val="00736B0F"/>
    <w:rsid w:val="00736BE5"/>
    <w:rsid w:val="00736C1C"/>
    <w:rsid w:val="00736EB5"/>
    <w:rsid w:val="0073701C"/>
    <w:rsid w:val="0073703B"/>
    <w:rsid w:val="00737165"/>
    <w:rsid w:val="00737188"/>
    <w:rsid w:val="00737304"/>
    <w:rsid w:val="00737411"/>
    <w:rsid w:val="00737468"/>
    <w:rsid w:val="007374BA"/>
    <w:rsid w:val="0073756A"/>
    <w:rsid w:val="00737741"/>
    <w:rsid w:val="007379D1"/>
    <w:rsid w:val="00737A0A"/>
    <w:rsid w:val="00737A58"/>
    <w:rsid w:val="00737C30"/>
    <w:rsid w:val="00737CCC"/>
    <w:rsid w:val="00740044"/>
    <w:rsid w:val="00740244"/>
    <w:rsid w:val="00740470"/>
    <w:rsid w:val="0074081F"/>
    <w:rsid w:val="007409CA"/>
    <w:rsid w:val="00740C7B"/>
    <w:rsid w:val="00740CFB"/>
    <w:rsid w:val="00740E24"/>
    <w:rsid w:val="00740E3D"/>
    <w:rsid w:val="00740F69"/>
    <w:rsid w:val="0074100A"/>
    <w:rsid w:val="00741065"/>
    <w:rsid w:val="007410DF"/>
    <w:rsid w:val="007411CC"/>
    <w:rsid w:val="0074120F"/>
    <w:rsid w:val="007413B0"/>
    <w:rsid w:val="00741495"/>
    <w:rsid w:val="007414B7"/>
    <w:rsid w:val="007416FE"/>
    <w:rsid w:val="00741810"/>
    <w:rsid w:val="00741879"/>
    <w:rsid w:val="00741A32"/>
    <w:rsid w:val="00741D0C"/>
    <w:rsid w:val="00741DB2"/>
    <w:rsid w:val="00741DCA"/>
    <w:rsid w:val="00741F16"/>
    <w:rsid w:val="00742053"/>
    <w:rsid w:val="0074205B"/>
    <w:rsid w:val="0074222E"/>
    <w:rsid w:val="007422A2"/>
    <w:rsid w:val="007423BD"/>
    <w:rsid w:val="00742424"/>
    <w:rsid w:val="0074247D"/>
    <w:rsid w:val="00742621"/>
    <w:rsid w:val="0074266B"/>
    <w:rsid w:val="00742686"/>
    <w:rsid w:val="00742706"/>
    <w:rsid w:val="00742806"/>
    <w:rsid w:val="0074298B"/>
    <w:rsid w:val="007429C4"/>
    <w:rsid w:val="00742C99"/>
    <w:rsid w:val="00742D3E"/>
    <w:rsid w:val="00742F52"/>
    <w:rsid w:val="00742F66"/>
    <w:rsid w:val="0074302F"/>
    <w:rsid w:val="007430CF"/>
    <w:rsid w:val="007430F9"/>
    <w:rsid w:val="00743329"/>
    <w:rsid w:val="007433BC"/>
    <w:rsid w:val="00743450"/>
    <w:rsid w:val="00743471"/>
    <w:rsid w:val="00743653"/>
    <w:rsid w:val="00743768"/>
    <w:rsid w:val="00743785"/>
    <w:rsid w:val="00743809"/>
    <w:rsid w:val="00743852"/>
    <w:rsid w:val="00743879"/>
    <w:rsid w:val="00743947"/>
    <w:rsid w:val="00743A82"/>
    <w:rsid w:val="00743C03"/>
    <w:rsid w:val="00743C3B"/>
    <w:rsid w:val="00743F7D"/>
    <w:rsid w:val="0074423D"/>
    <w:rsid w:val="00744306"/>
    <w:rsid w:val="00744772"/>
    <w:rsid w:val="007447D9"/>
    <w:rsid w:val="007448AE"/>
    <w:rsid w:val="00744963"/>
    <w:rsid w:val="00744D8F"/>
    <w:rsid w:val="007450A6"/>
    <w:rsid w:val="007450BF"/>
    <w:rsid w:val="0074527E"/>
    <w:rsid w:val="0074538E"/>
    <w:rsid w:val="00745437"/>
    <w:rsid w:val="00745452"/>
    <w:rsid w:val="007454E7"/>
    <w:rsid w:val="00745682"/>
    <w:rsid w:val="007458E8"/>
    <w:rsid w:val="00745ACF"/>
    <w:rsid w:val="00745C23"/>
    <w:rsid w:val="00745D6D"/>
    <w:rsid w:val="00745D88"/>
    <w:rsid w:val="00745E46"/>
    <w:rsid w:val="00745FB3"/>
    <w:rsid w:val="007460EA"/>
    <w:rsid w:val="007461C3"/>
    <w:rsid w:val="007461E6"/>
    <w:rsid w:val="007462BE"/>
    <w:rsid w:val="0074631A"/>
    <w:rsid w:val="007463E5"/>
    <w:rsid w:val="0074644F"/>
    <w:rsid w:val="00746500"/>
    <w:rsid w:val="007465D4"/>
    <w:rsid w:val="00746688"/>
    <w:rsid w:val="00746727"/>
    <w:rsid w:val="007467B6"/>
    <w:rsid w:val="00746875"/>
    <w:rsid w:val="0074694D"/>
    <w:rsid w:val="007469AB"/>
    <w:rsid w:val="00746B43"/>
    <w:rsid w:val="00746D4A"/>
    <w:rsid w:val="00746E99"/>
    <w:rsid w:val="00747057"/>
    <w:rsid w:val="007471C4"/>
    <w:rsid w:val="00747256"/>
    <w:rsid w:val="007472A2"/>
    <w:rsid w:val="0074735E"/>
    <w:rsid w:val="007473D8"/>
    <w:rsid w:val="00747506"/>
    <w:rsid w:val="007475E1"/>
    <w:rsid w:val="007476AB"/>
    <w:rsid w:val="00747870"/>
    <w:rsid w:val="00747880"/>
    <w:rsid w:val="00747A47"/>
    <w:rsid w:val="00747A6D"/>
    <w:rsid w:val="00747BCE"/>
    <w:rsid w:val="00747BFC"/>
    <w:rsid w:val="00747CD5"/>
    <w:rsid w:val="00747E0F"/>
    <w:rsid w:val="00747EA8"/>
    <w:rsid w:val="00747F01"/>
    <w:rsid w:val="00747F71"/>
    <w:rsid w:val="007501ED"/>
    <w:rsid w:val="00750326"/>
    <w:rsid w:val="007503A6"/>
    <w:rsid w:val="007505AA"/>
    <w:rsid w:val="0075066A"/>
    <w:rsid w:val="00750B44"/>
    <w:rsid w:val="00750B6E"/>
    <w:rsid w:val="00750D3F"/>
    <w:rsid w:val="00750D9C"/>
    <w:rsid w:val="00750DB7"/>
    <w:rsid w:val="00750E56"/>
    <w:rsid w:val="00750E75"/>
    <w:rsid w:val="00750EA5"/>
    <w:rsid w:val="0075100D"/>
    <w:rsid w:val="007510EC"/>
    <w:rsid w:val="007512D1"/>
    <w:rsid w:val="007514F9"/>
    <w:rsid w:val="00751524"/>
    <w:rsid w:val="0075156D"/>
    <w:rsid w:val="00751891"/>
    <w:rsid w:val="00751897"/>
    <w:rsid w:val="007518B0"/>
    <w:rsid w:val="00751928"/>
    <w:rsid w:val="00751955"/>
    <w:rsid w:val="0075196B"/>
    <w:rsid w:val="00751A0C"/>
    <w:rsid w:val="00751C49"/>
    <w:rsid w:val="00751C77"/>
    <w:rsid w:val="00751D17"/>
    <w:rsid w:val="00751D25"/>
    <w:rsid w:val="00751E25"/>
    <w:rsid w:val="00751EC7"/>
    <w:rsid w:val="00751FF1"/>
    <w:rsid w:val="007523BF"/>
    <w:rsid w:val="00752415"/>
    <w:rsid w:val="00752727"/>
    <w:rsid w:val="0075274C"/>
    <w:rsid w:val="00752904"/>
    <w:rsid w:val="0075290F"/>
    <w:rsid w:val="00752A08"/>
    <w:rsid w:val="00752B68"/>
    <w:rsid w:val="00752DCB"/>
    <w:rsid w:val="00752DFD"/>
    <w:rsid w:val="00752E57"/>
    <w:rsid w:val="00752E5B"/>
    <w:rsid w:val="00752E75"/>
    <w:rsid w:val="00752FD0"/>
    <w:rsid w:val="007531C6"/>
    <w:rsid w:val="00753208"/>
    <w:rsid w:val="0075334C"/>
    <w:rsid w:val="00753362"/>
    <w:rsid w:val="00753515"/>
    <w:rsid w:val="00753912"/>
    <w:rsid w:val="00753A8B"/>
    <w:rsid w:val="00753C53"/>
    <w:rsid w:val="00753D9C"/>
    <w:rsid w:val="00753E97"/>
    <w:rsid w:val="00753EFA"/>
    <w:rsid w:val="007540B8"/>
    <w:rsid w:val="007540D1"/>
    <w:rsid w:val="00754163"/>
    <w:rsid w:val="00754476"/>
    <w:rsid w:val="00754528"/>
    <w:rsid w:val="00754580"/>
    <w:rsid w:val="007546F6"/>
    <w:rsid w:val="007546FF"/>
    <w:rsid w:val="00754749"/>
    <w:rsid w:val="007547A7"/>
    <w:rsid w:val="007548A0"/>
    <w:rsid w:val="007548AE"/>
    <w:rsid w:val="00754915"/>
    <w:rsid w:val="00754941"/>
    <w:rsid w:val="0075499C"/>
    <w:rsid w:val="007549F5"/>
    <w:rsid w:val="00754AAD"/>
    <w:rsid w:val="00754B2F"/>
    <w:rsid w:val="00754E6C"/>
    <w:rsid w:val="00754F45"/>
    <w:rsid w:val="0075500A"/>
    <w:rsid w:val="0075503C"/>
    <w:rsid w:val="00755068"/>
    <w:rsid w:val="007550F3"/>
    <w:rsid w:val="007550F9"/>
    <w:rsid w:val="0075548B"/>
    <w:rsid w:val="0075564B"/>
    <w:rsid w:val="00755760"/>
    <w:rsid w:val="0075595D"/>
    <w:rsid w:val="00755AB2"/>
    <w:rsid w:val="00755DA2"/>
    <w:rsid w:val="00755DA9"/>
    <w:rsid w:val="00755E72"/>
    <w:rsid w:val="00755E7E"/>
    <w:rsid w:val="00755FDC"/>
    <w:rsid w:val="00756075"/>
    <w:rsid w:val="007561D1"/>
    <w:rsid w:val="00756350"/>
    <w:rsid w:val="00756473"/>
    <w:rsid w:val="00756510"/>
    <w:rsid w:val="0075673E"/>
    <w:rsid w:val="0075681D"/>
    <w:rsid w:val="007568F1"/>
    <w:rsid w:val="00756A72"/>
    <w:rsid w:val="00756C26"/>
    <w:rsid w:val="00756C94"/>
    <w:rsid w:val="00756CC6"/>
    <w:rsid w:val="00756CE0"/>
    <w:rsid w:val="00756D5E"/>
    <w:rsid w:val="00756E3A"/>
    <w:rsid w:val="00756EAD"/>
    <w:rsid w:val="00756F15"/>
    <w:rsid w:val="00756F39"/>
    <w:rsid w:val="007570D1"/>
    <w:rsid w:val="0075717C"/>
    <w:rsid w:val="007571BC"/>
    <w:rsid w:val="007572A5"/>
    <w:rsid w:val="007573AC"/>
    <w:rsid w:val="00757411"/>
    <w:rsid w:val="00757558"/>
    <w:rsid w:val="00757A96"/>
    <w:rsid w:val="00757C87"/>
    <w:rsid w:val="00757D6A"/>
    <w:rsid w:val="00757DA1"/>
    <w:rsid w:val="00757E83"/>
    <w:rsid w:val="00757EA5"/>
    <w:rsid w:val="00757FEF"/>
    <w:rsid w:val="007600BC"/>
    <w:rsid w:val="007601C2"/>
    <w:rsid w:val="00760534"/>
    <w:rsid w:val="007605B1"/>
    <w:rsid w:val="0076062C"/>
    <w:rsid w:val="00760826"/>
    <w:rsid w:val="00760B35"/>
    <w:rsid w:val="00760B65"/>
    <w:rsid w:val="00760B6C"/>
    <w:rsid w:val="00760D36"/>
    <w:rsid w:val="00761008"/>
    <w:rsid w:val="007612A6"/>
    <w:rsid w:val="007614D8"/>
    <w:rsid w:val="007616DB"/>
    <w:rsid w:val="00761749"/>
    <w:rsid w:val="007617C8"/>
    <w:rsid w:val="00761944"/>
    <w:rsid w:val="007619AF"/>
    <w:rsid w:val="00761A2E"/>
    <w:rsid w:val="00761AD0"/>
    <w:rsid w:val="00761B2A"/>
    <w:rsid w:val="00761B81"/>
    <w:rsid w:val="00761CD8"/>
    <w:rsid w:val="00761D6C"/>
    <w:rsid w:val="00761EAC"/>
    <w:rsid w:val="007620A7"/>
    <w:rsid w:val="00762176"/>
    <w:rsid w:val="00762238"/>
    <w:rsid w:val="00762264"/>
    <w:rsid w:val="0076235E"/>
    <w:rsid w:val="00762389"/>
    <w:rsid w:val="0076238C"/>
    <w:rsid w:val="007623DE"/>
    <w:rsid w:val="00762406"/>
    <w:rsid w:val="007624B7"/>
    <w:rsid w:val="00762520"/>
    <w:rsid w:val="007625BF"/>
    <w:rsid w:val="00762735"/>
    <w:rsid w:val="007627D2"/>
    <w:rsid w:val="007629E9"/>
    <w:rsid w:val="00762CE3"/>
    <w:rsid w:val="00762CFB"/>
    <w:rsid w:val="00762E13"/>
    <w:rsid w:val="00762E7E"/>
    <w:rsid w:val="00762EF0"/>
    <w:rsid w:val="007633BB"/>
    <w:rsid w:val="007633E1"/>
    <w:rsid w:val="0076343A"/>
    <w:rsid w:val="007635A3"/>
    <w:rsid w:val="007635C8"/>
    <w:rsid w:val="00763719"/>
    <w:rsid w:val="00763778"/>
    <w:rsid w:val="0076389B"/>
    <w:rsid w:val="00763925"/>
    <w:rsid w:val="00763B44"/>
    <w:rsid w:val="00763B78"/>
    <w:rsid w:val="00763C5E"/>
    <w:rsid w:val="00763DDB"/>
    <w:rsid w:val="007640B4"/>
    <w:rsid w:val="007640FE"/>
    <w:rsid w:val="007641A1"/>
    <w:rsid w:val="00764215"/>
    <w:rsid w:val="0076425B"/>
    <w:rsid w:val="00764325"/>
    <w:rsid w:val="00764402"/>
    <w:rsid w:val="00764451"/>
    <w:rsid w:val="00764540"/>
    <w:rsid w:val="007645AF"/>
    <w:rsid w:val="00764663"/>
    <w:rsid w:val="007646E3"/>
    <w:rsid w:val="00764768"/>
    <w:rsid w:val="00764806"/>
    <w:rsid w:val="00764812"/>
    <w:rsid w:val="00764921"/>
    <w:rsid w:val="0076493A"/>
    <w:rsid w:val="00764A62"/>
    <w:rsid w:val="00764AD2"/>
    <w:rsid w:val="00764B28"/>
    <w:rsid w:val="00764C62"/>
    <w:rsid w:val="007651A1"/>
    <w:rsid w:val="007651C1"/>
    <w:rsid w:val="0076526D"/>
    <w:rsid w:val="00765745"/>
    <w:rsid w:val="007658DE"/>
    <w:rsid w:val="00765932"/>
    <w:rsid w:val="00765F1D"/>
    <w:rsid w:val="00765F43"/>
    <w:rsid w:val="00765F4D"/>
    <w:rsid w:val="0076600F"/>
    <w:rsid w:val="00766109"/>
    <w:rsid w:val="0076611A"/>
    <w:rsid w:val="0076611F"/>
    <w:rsid w:val="00766140"/>
    <w:rsid w:val="007661B1"/>
    <w:rsid w:val="007662D3"/>
    <w:rsid w:val="00766487"/>
    <w:rsid w:val="007664D1"/>
    <w:rsid w:val="00766602"/>
    <w:rsid w:val="0076672F"/>
    <w:rsid w:val="007667E3"/>
    <w:rsid w:val="0076684C"/>
    <w:rsid w:val="00766892"/>
    <w:rsid w:val="00766ACC"/>
    <w:rsid w:val="00766AFB"/>
    <w:rsid w:val="00766B4B"/>
    <w:rsid w:val="00766BA8"/>
    <w:rsid w:val="00766D48"/>
    <w:rsid w:val="00767171"/>
    <w:rsid w:val="007671F9"/>
    <w:rsid w:val="00767210"/>
    <w:rsid w:val="007676D7"/>
    <w:rsid w:val="0076772B"/>
    <w:rsid w:val="007677B7"/>
    <w:rsid w:val="0076781E"/>
    <w:rsid w:val="00767936"/>
    <w:rsid w:val="0076796D"/>
    <w:rsid w:val="00767A59"/>
    <w:rsid w:val="00767DE5"/>
    <w:rsid w:val="00767E50"/>
    <w:rsid w:val="00770035"/>
    <w:rsid w:val="007701BC"/>
    <w:rsid w:val="0077028D"/>
    <w:rsid w:val="0077058A"/>
    <w:rsid w:val="00770647"/>
    <w:rsid w:val="00770655"/>
    <w:rsid w:val="007706D4"/>
    <w:rsid w:val="007706FD"/>
    <w:rsid w:val="00770750"/>
    <w:rsid w:val="0077077F"/>
    <w:rsid w:val="0077087D"/>
    <w:rsid w:val="007708D5"/>
    <w:rsid w:val="00770A18"/>
    <w:rsid w:val="00770AB9"/>
    <w:rsid w:val="00770B37"/>
    <w:rsid w:val="00770C7E"/>
    <w:rsid w:val="00770E40"/>
    <w:rsid w:val="00770FEE"/>
    <w:rsid w:val="00771145"/>
    <w:rsid w:val="00771530"/>
    <w:rsid w:val="0077158B"/>
    <w:rsid w:val="007715BC"/>
    <w:rsid w:val="007715C3"/>
    <w:rsid w:val="007715E2"/>
    <w:rsid w:val="00771605"/>
    <w:rsid w:val="007716E7"/>
    <w:rsid w:val="0077186F"/>
    <w:rsid w:val="00771984"/>
    <w:rsid w:val="007719C7"/>
    <w:rsid w:val="00771C73"/>
    <w:rsid w:val="00771E00"/>
    <w:rsid w:val="00771EA6"/>
    <w:rsid w:val="00771EBB"/>
    <w:rsid w:val="00771FB9"/>
    <w:rsid w:val="007720CB"/>
    <w:rsid w:val="007720ED"/>
    <w:rsid w:val="007722B6"/>
    <w:rsid w:val="007722CB"/>
    <w:rsid w:val="00772546"/>
    <w:rsid w:val="007726F8"/>
    <w:rsid w:val="0077271D"/>
    <w:rsid w:val="007727CE"/>
    <w:rsid w:val="00772994"/>
    <w:rsid w:val="00772BE5"/>
    <w:rsid w:val="00772BF2"/>
    <w:rsid w:val="00772E29"/>
    <w:rsid w:val="00772E7D"/>
    <w:rsid w:val="00772EF7"/>
    <w:rsid w:val="00772F8C"/>
    <w:rsid w:val="007730B0"/>
    <w:rsid w:val="007731E8"/>
    <w:rsid w:val="00773513"/>
    <w:rsid w:val="00773690"/>
    <w:rsid w:val="0077375A"/>
    <w:rsid w:val="007739BF"/>
    <w:rsid w:val="00773B64"/>
    <w:rsid w:val="00773CD7"/>
    <w:rsid w:val="00773D26"/>
    <w:rsid w:val="00773D84"/>
    <w:rsid w:val="00773DF4"/>
    <w:rsid w:val="00773E1B"/>
    <w:rsid w:val="00773F1C"/>
    <w:rsid w:val="00774084"/>
    <w:rsid w:val="00774086"/>
    <w:rsid w:val="0077412B"/>
    <w:rsid w:val="007744E6"/>
    <w:rsid w:val="007746FF"/>
    <w:rsid w:val="00774771"/>
    <w:rsid w:val="007749EE"/>
    <w:rsid w:val="00774A62"/>
    <w:rsid w:val="00774AD9"/>
    <w:rsid w:val="00774B5D"/>
    <w:rsid w:val="00774B9D"/>
    <w:rsid w:val="00774C13"/>
    <w:rsid w:val="00774C81"/>
    <w:rsid w:val="00774C9D"/>
    <w:rsid w:val="00774CC8"/>
    <w:rsid w:val="00774D62"/>
    <w:rsid w:val="00774E95"/>
    <w:rsid w:val="00774EF2"/>
    <w:rsid w:val="00774F64"/>
    <w:rsid w:val="0077525B"/>
    <w:rsid w:val="0077544A"/>
    <w:rsid w:val="0077576E"/>
    <w:rsid w:val="007757C7"/>
    <w:rsid w:val="007758BC"/>
    <w:rsid w:val="007758F8"/>
    <w:rsid w:val="0077593D"/>
    <w:rsid w:val="00775957"/>
    <w:rsid w:val="007759D5"/>
    <w:rsid w:val="00775A28"/>
    <w:rsid w:val="00775C18"/>
    <w:rsid w:val="00775DAB"/>
    <w:rsid w:val="00775E60"/>
    <w:rsid w:val="007761A0"/>
    <w:rsid w:val="00776213"/>
    <w:rsid w:val="0077627F"/>
    <w:rsid w:val="00776381"/>
    <w:rsid w:val="007763D0"/>
    <w:rsid w:val="00776480"/>
    <w:rsid w:val="007764D8"/>
    <w:rsid w:val="00776547"/>
    <w:rsid w:val="007765B0"/>
    <w:rsid w:val="007765BA"/>
    <w:rsid w:val="00776662"/>
    <w:rsid w:val="0077666D"/>
    <w:rsid w:val="007769CD"/>
    <w:rsid w:val="00776A5D"/>
    <w:rsid w:val="00776BA6"/>
    <w:rsid w:val="00776D6F"/>
    <w:rsid w:val="00776E8F"/>
    <w:rsid w:val="00776F57"/>
    <w:rsid w:val="00777021"/>
    <w:rsid w:val="00777256"/>
    <w:rsid w:val="007772CD"/>
    <w:rsid w:val="007773DB"/>
    <w:rsid w:val="007776E8"/>
    <w:rsid w:val="00777730"/>
    <w:rsid w:val="0077786F"/>
    <w:rsid w:val="00777994"/>
    <w:rsid w:val="00777AB3"/>
    <w:rsid w:val="00777B42"/>
    <w:rsid w:val="00777BEC"/>
    <w:rsid w:val="00777CD3"/>
    <w:rsid w:val="00777D18"/>
    <w:rsid w:val="00777D35"/>
    <w:rsid w:val="00777F09"/>
    <w:rsid w:val="007800C6"/>
    <w:rsid w:val="00780146"/>
    <w:rsid w:val="00780233"/>
    <w:rsid w:val="007804B7"/>
    <w:rsid w:val="007804D5"/>
    <w:rsid w:val="00780597"/>
    <w:rsid w:val="007806E4"/>
    <w:rsid w:val="00780707"/>
    <w:rsid w:val="00780A4A"/>
    <w:rsid w:val="00780CD6"/>
    <w:rsid w:val="00780E29"/>
    <w:rsid w:val="00780EAE"/>
    <w:rsid w:val="00780ECE"/>
    <w:rsid w:val="00780EE1"/>
    <w:rsid w:val="00780F35"/>
    <w:rsid w:val="00780FDB"/>
    <w:rsid w:val="00781145"/>
    <w:rsid w:val="0078123E"/>
    <w:rsid w:val="007815E4"/>
    <w:rsid w:val="007816DA"/>
    <w:rsid w:val="0078175F"/>
    <w:rsid w:val="00781825"/>
    <w:rsid w:val="0078185F"/>
    <w:rsid w:val="00781974"/>
    <w:rsid w:val="00781A79"/>
    <w:rsid w:val="00781B15"/>
    <w:rsid w:val="00781BDF"/>
    <w:rsid w:val="00781C1A"/>
    <w:rsid w:val="00781C53"/>
    <w:rsid w:val="00781F20"/>
    <w:rsid w:val="00781F22"/>
    <w:rsid w:val="007820F0"/>
    <w:rsid w:val="007821FF"/>
    <w:rsid w:val="00782471"/>
    <w:rsid w:val="00782565"/>
    <w:rsid w:val="007825F1"/>
    <w:rsid w:val="00782654"/>
    <w:rsid w:val="00782683"/>
    <w:rsid w:val="0078270B"/>
    <w:rsid w:val="00782822"/>
    <w:rsid w:val="00782966"/>
    <w:rsid w:val="00782A61"/>
    <w:rsid w:val="00783106"/>
    <w:rsid w:val="007832E6"/>
    <w:rsid w:val="00783309"/>
    <w:rsid w:val="007833B9"/>
    <w:rsid w:val="007834F5"/>
    <w:rsid w:val="0078360E"/>
    <w:rsid w:val="007836FC"/>
    <w:rsid w:val="00783771"/>
    <w:rsid w:val="00783942"/>
    <w:rsid w:val="0078398C"/>
    <w:rsid w:val="007839C5"/>
    <w:rsid w:val="00783BBE"/>
    <w:rsid w:val="00783C87"/>
    <w:rsid w:val="00783D2E"/>
    <w:rsid w:val="00783DC0"/>
    <w:rsid w:val="00783E5A"/>
    <w:rsid w:val="00783EA2"/>
    <w:rsid w:val="00783FAD"/>
    <w:rsid w:val="00784056"/>
    <w:rsid w:val="0078407A"/>
    <w:rsid w:val="007847E5"/>
    <w:rsid w:val="007847E9"/>
    <w:rsid w:val="007847EE"/>
    <w:rsid w:val="007848CB"/>
    <w:rsid w:val="007849C0"/>
    <w:rsid w:val="007849E1"/>
    <w:rsid w:val="00784A8E"/>
    <w:rsid w:val="00784D34"/>
    <w:rsid w:val="00784D91"/>
    <w:rsid w:val="00784EC0"/>
    <w:rsid w:val="00784EFE"/>
    <w:rsid w:val="00784FCC"/>
    <w:rsid w:val="0078504C"/>
    <w:rsid w:val="007854D1"/>
    <w:rsid w:val="0078561F"/>
    <w:rsid w:val="007857FF"/>
    <w:rsid w:val="0078588F"/>
    <w:rsid w:val="007858F8"/>
    <w:rsid w:val="00785B22"/>
    <w:rsid w:val="00785F76"/>
    <w:rsid w:val="0078612F"/>
    <w:rsid w:val="007861EC"/>
    <w:rsid w:val="00786213"/>
    <w:rsid w:val="0078635C"/>
    <w:rsid w:val="00786369"/>
    <w:rsid w:val="0078644E"/>
    <w:rsid w:val="00786484"/>
    <w:rsid w:val="007864B8"/>
    <w:rsid w:val="0078654C"/>
    <w:rsid w:val="0078668B"/>
    <w:rsid w:val="007866A9"/>
    <w:rsid w:val="00786784"/>
    <w:rsid w:val="007867BA"/>
    <w:rsid w:val="007867CF"/>
    <w:rsid w:val="00786863"/>
    <w:rsid w:val="0078695E"/>
    <w:rsid w:val="007869C4"/>
    <w:rsid w:val="00786E6A"/>
    <w:rsid w:val="00786FBE"/>
    <w:rsid w:val="0078702B"/>
    <w:rsid w:val="007872B2"/>
    <w:rsid w:val="00787302"/>
    <w:rsid w:val="007873F6"/>
    <w:rsid w:val="0078740D"/>
    <w:rsid w:val="00787463"/>
    <w:rsid w:val="0078746C"/>
    <w:rsid w:val="00787558"/>
    <w:rsid w:val="007875A1"/>
    <w:rsid w:val="00787729"/>
    <w:rsid w:val="00787791"/>
    <w:rsid w:val="007879C3"/>
    <w:rsid w:val="00787F79"/>
    <w:rsid w:val="0078BBBD"/>
    <w:rsid w:val="00790093"/>
    <w:rsid w:val="00790172"/>
    <w:rsid w:val="00790376"/>
    <w:rsid w:val="0079068C"/>
    <w:rsid w:val="007906C0"/>
    <w:rsid w:val="007906D7"/>
    <w:rsid w:val="0079083D"/>
    <w:rsid w:val="0079085C"/>
    <w:rsid w:val="007908D3"/>
    <w:rsid w:val="00790B7E"/>
    <w:rsid w:val="00790DB0"/>
    <w:rsid w:val="00790DE3"/>
    <w:rsid w:val="00791451"/>
    <w:rsid w:val="0079145D"/>
    <w:rsid w:val="00791844"/>
    <w:rsid w:val="0079188F"/>
    <w:rsid w:val="00791995"/>
    <w:rsid w:val="007919B6"/>
    <w:rsid w:val="00791AB6"/>
    <w:rsid w:val="00791AEB"/>
    <w:rsid w:val="00791CFB"/>
    <w:rsid w:val="00791D82"/>
    <w:rsid w:val="00791D85"/>
    <w:rsid w:val="00791E97"/>
    <w:rsid w:val="00791E9B"/>
    <w:rsid w:val="00791EC4"/>
    <w:rsid w:val="00791FEF"/>
    <w:rsid w:val="00792016"/>
    <w:rsid w:val="00792038"/>
    <w:rsid w:val="00792120"/>
    <w:rsid w:val="00792444"/>
    <w:rsid w:val="00792593"/>
    <w:rsid w:val="007926B4"/>
    <w:rsid w:val="00792861"/>
    <w:rsid w:val="00792AEE"/>
    <w:rsid w:val="00792B20"/>
    <w:rsid w:val="00792C26"/>
    <w:rsid w:val="00792C94"/>
    <w:rsid w:val="00792EBB"/>
    <w:rsid w:val="00792F1B"/>
    <w:rsid w:val="00792FDB"/>
    <w:rsid w:val="00792FEC"/>
    <w:rsid w:val="007931BB"/>
    <w:rsid w:val="007932A8"/>
    <w:rsid w:val="007932AF"/>
    <w:rsid w:val="00793323"/>
    <w:rsid w:val="00793725"/>
    <w:rsid w:val="0079375B"/>
    <w:rsid w:val="0079395C"/>
    <w:rsid w:val="00793989"/>
    <w:rsid w:val="00793E2E"/>
    <w:rsid w:val="00793FA7"/>
    <w:rsid w:val="0079400F"/>
    <w:rsid w:val="00794057"/>
    <w:rsid w:val="00794071"/>
    <w:rsid w:val="007941E0"/>
    <w:rsid w:val="0079422A"/>
    <w:rsid w:val="0079422E"/>
    <w:rsid w:val="007942B2"/>
    <w:rsid w:val="007942C6"/>
    <w:rsid w:val="007942FD"/>
    <w:rsid w:val="00794344"/>
    <w:rsid w:val="0079449B"/>
    <w:rsid w:val="00794704"/>
    <w:rsid w:val="00794865"/>
    <w:rsid w:val="00794904"/>
    <w:rsid w:val="00794945"/>
    <w:rsid w:val="007949BF"/>
    <w:rsid w:val="007949C9"/>
    <w:rsid w:val="00794D01"/>
    <w:rsid w:val="00794DDF"/>
    <w:rsid w:val="00794F99"/>
    <w:rsid w:val="00795005"/>
    <w:rsid w:val="00795177"/>
    <w:rsid w:val="0079529A"/>
    <w:rsid w:val="007952D0"/>
    <w:rsid w:val="007953C7"/>
    <w:rsid w:val="007953F4"/>
    <w:rsid w:val="0079557A"/>
    <w:rsid w:val="0079560A"/>
    <w:rsid w:val="00795716"/>
    <w:rsid w:val="0079571D"/>
    <w:rsid w:val="00795768"/>
    <w:rsid w:val="00795CBC"/>
    <w:rsid w:val="00795DA5"/>
    <w:rsid w:val="00795EA5"/>
    <w:rsid w:val="007960EA"/>
    <w:rsid w:val="00796252"/>
    <w:rsid w:val="007962A1"/>
    <w:rsid w:val="00796495"/>
    <w:rsid w:val="0079654E"/>
    <w:rsid w:val="007966F8"/>
    <w:rsid w:val="00796723"/>
    <w:rsid w:val="007967AA"/>
    <w:rsid w:val="007968D7"/>
    <w:rsid w:val="0079695D"/>
    <w:rsid w:val="00796DF9"/>
    <w:rsid w:val="00796F61"/>
    <w:rsid w:val="007970B5"/>
    <w:rsid w:val="007971BB"/>
    <w:rsid w:val="00797257"/>
    <w:rsid w:val="0079733D"/>
    <w:rsid w:val="007974A0"/>
    <w:rsid w:val="0079752E"/>
    <w:rsid w:val="007975D5"/>
    <w:rsid w:val="0079761E"/>
    <w:rsid w:val="00797B03"/>
    <w:rsid w:val="00797BB3"/>
    <w:rsid w:val="00797E2A"/>
    <w:rsid w:val="007A0124"/>
    <w:rsid w:val="007A0346"/>
    <w:rsid w:val="007A0355"/>
    <w:rsid w:val="007A03CF"/>
    <w:rsid w:val="007A0723"/>
    <w:rsid w:val="007A08A3"/>
    <w:rsid w:val="007A09EB"/>
    <w:rsid w:val="007A0B70"/>
    <w:rsid w:val="007A0E4F"/>
    <w:rsid w:val="007A1172"/>
    <w:rsid w:val="007A11AC"/>
    <w:rsid w:val="007A12B7"/>
    <w:rsid w:val="007A1504"/>
    <w:rsid w:val="007A1512"/>
    <w:rsid w:val="007A1616"/>
    <w:rsid w:val="007A1628"/>
    <w:rsid w:val="007A16AE"/>
    <w:rsid w:val="007A172D"/>
    <w:rsid w:val="007A1834"/>
    <w:rsid w:val="007A1846"/>
    <w:rsid w:val="007A189D"/>
    <w:rsid w:val="007A18AE"/>
    <w:rsid w:val="007A1B2B"/>
    <w:rsid w:val="007A1B68"/>
    <w:rsid w:val="007A1B95"/>
    <w:rsid w:val="007A1C75"/>
    <w:rsid w:val="007A1C8A"/>
    <w:rsid w:val="007A1D16"/>
    <w:rsid w:val="007A1D3E"/>
    <w:rsid w:val="007A1D90"/>
    <w:rsid w:val="007A224F"/>
    <w:rsid w:val="007A2465"/>
    <w:rsid w:val="007A2477"/>
    <w:rsid w:val="007A24C1"/>
    <w:rsid w:val="007A258B"/>
    <w:rsid w:val="007A25C2"/>
    <w:rsid w:val="007A2728"/>
    <w:rsid w:val="007A27BF"/>
    <w:rsid w:val="007A27D4"/>
    <w:rsid w:val="007A281F"/>
    <w:rsid w:val="007A2F9C"/>
    <w:rsid w:val="007A3034"/>
    <w:rsid w:val="007A33F2"/>
    <w:rsid w:val="007A3483"/>
    <w:rsid w:val="007A34FF"/>
    <w:rsid w:val="007A358D"/>
    <w:rsid w:val="007A361C"/>
    <w:rsid w:val="007A36D2"/>
    <w:rsid w:val="007A36ED"/>
    <w:rsid w:val="007A3764"/>
    <w:rsid w:val="007A3936"/>
    <w:rsid w:val="007A3B01"/>
    <w:rsid w:val="007A3C06"/>
    <w:rsid w:val="007A3D48"/>
    <w:rsid w:val="007A3DD3"/>
    <w:rsid w:val="007A3EAA"/>
    <w:rsid w:val="007A40EC"/>
    <w:rsid w:val="007A41CA"/>
    <w:rsid w:val="007A4291"/>
    <w:rsid w:val="007A4335"/>
    <w:rsid w:val="007A4544"/>
    <w:rsid w:val="007A45A0"/>
    <w:rsid w:val="007A4902"/>
    <w:rsid w:val="007A4984"/>
    <w:rsid w:val="007A4A64"/>
    <w:rsid w:val="007A4B41"/>
    <w:rsid w:val="007A4B83"/>
    <w:rsid w:val="007A4BAE"/>
    <w:rsid w:val="007A4BD0"/>
    <w:rsid w:val="007A4C15"/>
    <w:rsid w:val="007A4C2E"/>
    <w:rsid w:val="007A4D44"/>
    <w:rsid w:val="007A4DEC"/>
    <w:rsid w:val="007A4E6D"/>
    <w:rsid w:val="007A4F15"/>
    <w:rsid w:val="007A4FFF"/>
    <w:rsid w:val="007A5075"/>
    <w:rsid w:val="007A50FF"/>
    <w:rsid w:val="007A513B"/>
    <w:rsid w:val="007A5348"/>
    <w:rsid w:val="007A54D5"/>
    <w:rsid w:val="007A55B1"/>
    <w:rsid w:val="007A5645"/>
    <w:rsid w:val="007A5705"/>
    <w:rsid w:val="007A57A9"/>
    <w:rsid w:val="007A58FE"/>
    <w:rsid w:val="007A59C8"/>
    <w:rsid w:val="007A5AFA"/>
    <w:rsid w:val="007A5D8C"/>
    <w:rsid w:val="007A5E76"/>
    <w:rsid w:val="007A5FEE"/>
    <w:rsid w:val="007A61F8"/>
    <w:rsid w:val="007A6271"/>
    <w:rsid w:val="007A636A"/>
    <w:rsid w:val="007A6597"/>
    <w:rsid w:val="007A664D"/>
    <w:rsid w:val="007A683C"/>
    <w:rsid w:val="007A6C8B"/>
    <w:rsid w:val="007A6CB0"/>
    <w:rsid w:val="007A6D7D"/>
    <w:rsid w:val="007A6D80"/>
    <w:rsid w:val="007A6EED"/>
    <w:rsid w:val="007A7152"/>
    <w:rsid w:val="007A7292"/>
    <w:rsid w:val="007A739D"/>
    <w:rsid w:val="007A73AA"/>
    <w:rsid w:val="007A77B1"/>
    <w:rsid w:val="007A78AC"/>
    <w:rsid w:val="007A7A8A"/>
    <w:rsid w:val="007A7C38"/>
    <w:rsid w:val="007A7C3B"/>
    <w:rsid w:val="007A7C5E"/>
    <w:rsid w:val="007A7F11"/>
    <w:rsid w:val="007A7F1C"/>
    <w:rsid w:val="007B0022"/>
    <w:rsid w:val="007B00C3"/>
    <w:rsid w:val="007B00D7"/>
    <w:rsid w:val="007B0110"/>
    <w:rsid w:val="007B015E"/>
    <w:rsid w:val="007B0240"/>
    <w:rsid w:val="007B0323"/>
    <w:rsid w:val="007B071D"/>
    <w:rsid w:val="007B0A56"/>
    <w:rsid w:val="007B0B08"/>
    <w:rsid w:val="007B0B46"/>
    <w:rsid w:val="007B0B65"/>
    <w:rsid w:val="007B0DDC"/>
    <w:rsid w:val="007B0E1C"/>
    <w:rsid w:val="007B0E9D"/>
    <w:rsid w:val="007B0EA7"/>
    <w:rsid w:val="007B1088"/>
    <w:rsid w:val="007B11AE"/>
    <w:rsid w:val="007B1592"/>
    <w:rsid w:val="007B16CD"/>
    <w:rsid w:val="007B18D0"/>
    <w:rsid w:val="007B1A05"/>
    <w:rsid w:val="007B1A29"/>
    <w:rsid w:val="007B1A74"/>
    <w:rsid w:val="007B1ABC"/>
    <w:rsid w:val="007B1BA9"/>
    <w:rsid w:val="007B1BB5"/>
    <w:rsid w:val="007B1C52"/>
    <w:rsid w:val="007B1DF1"/>
    <w:rsid w:val="007B1E99"/>
    <w:rsid w:val="007B20F0"/>
    <w:rsid w:val="007B21FE"/>
    <w:rsid w:val="007B22B5"/>
    <w:rsid w:val="007B2427"/>
    <w:rsid w:val="007B261C"/>
    <w:rsid w:val="007B2755"/>
    <w:rsid w:val="007B2811"/>
    <w:rsid w:val="007B2844"/>
    <w:rsid w:val="007B2935"/>
    <w:rsid w:val="007B299C"/>
    <w:rsid w:val="007B2A06"/>
    <w:rsid w:val="007B2B4E"/>
    <w:rsid w:val="007B2D3C"/>
    <w:rsid w:val="007B2DD5"/>
    <w:rsid w:val="007B2E75"/>
    <w:rsid w:val="007B2EB0"/>
    <w:rsid w:val="007B2FA5"/>
    <w:rsid w:val="007B300F"/>
    <w:rsid w:val="007B30CE"/>
    <w:rsid w:val="007B30D6"/>
    <w:rsid w:val="007B331C"/>
    <w:rsid w:val="007B349B"/>
    <w:rsid w:val="007B350C"/>
    <w:rsid w:val="007B35C9"/>
    <w:rsid w:val="007B3660"/>
    <w:rsid w:val="007B3666"/>
    <w:rsid w:val="007B3794"/>
    <w:rsid w:val="007B38D4"/>
    <w:rsid w:val="007B3983"/>
    <w:rsid w:val="007B3B16"/>
    <w:rsid w:val="007B3BD9"/>
    <w:rsid w:val="007B3EA5"/>
    <w:rsid w:val="007B40EF"/>
    <w:rsid w:val="007B4255"/>
    <w:rsid w:val="007B4319"/>
    <w:rsid w:val="007B431F"/>
    <w:rsid w:val="007B461F"/>
    <w:rsid w:val="007B46FF"/>
    <w:rsid w:val="007B489E"/>
    <w:rsid w:val="007B497B"/>
    <w:rsid w:val="007B4BEC"/>
    <w:rsid w:val="007B4C06"/>
    <w:rsid w:val="007B4C33"/>
    <w:rsid w:val="007B4D45"/>
    <w:rsid w:val="007B50B9"/>
    <w:rsid w:val="007B51AA"/>
    <w:rsid w:val="007B52A4"/>
    <w:rsid w:val="007B5353"/>
    <w:rsid w:val="007B5363"/>
    <w:rsid w:val="007B5630"/>
    <w:rsid w:val="007B5BF1"/>
    <w:rsid w:val="007B5C1A"/>
    <w:rsid w:val="007B5C9D"/>
    <w:rsid w:val="007B5E3C"/>
    <w:rsid w:val="007B5E58"/>
    <w:rsid w:val="007B5EBC"/>
    <w:rsid w:val="007B5ED9"/>
    <w:rsid w:val="007B6022"/>
    <w:rsid w:val="007B605E"/>
    <w:rsid w:val="007B60C9"/>
    <w:rsid w:val="007B60DA"/>
    <w:rsid w:val="007B617F"/>
    <w:rsid w:val="007B65CE"/>
    <w:rsid w:val="007B6C87"/>
    <w:rsid w:val="007B6DD5"/>
    <w:rsid w:val="007B6E1E"/>
    <w:rsid w:val="007B6E31"/>
    <w:rsid w:val="007B6ED8"/>
    <w:rsid w:val="007B70AE"/>
    <w:rsid w:val="007B70FA"/>
    <w:rsid w:val="007B7267"/>
    <w:rsid w:val="007B73EE"/>
    <w:rsid w:val="007B7423"/>
    <w:rsid w:val="007B7424"/>
    <w:rsid w:val="007B74DA"/>
    <w:rsid w:val="007B74F8"/>
    <w:rsid w:val="007B76C0"/>
    <w:rsid w:val="007B7798"/>
    <w:rsid w:val="007B79C3"/>
    <w:rsid w:val="007B7A0D"/>
    <w:rsid w:val="007B7A6E"/>
    <w:rsid w:val="007B7A97"/>
    <w:rsid w:val="007B7AEA"/>
    <w:rsid w:val="007B7B34"/>
    <w:rsid w:val="007B7FF5"/>
    <w:rsid w:val="007C0103"/>
    <w:rsid w:val="007C012B"/>
    <w:rsid w:val="007C0222"/>
    <w:rsid w:val="007C0286"/>
    <w:rsid w:val="007C0294"/>
    <w:rsid w:val="007C0362"/>
    <w:rsid w:val="007C0390"/>
    <w:rsid w:val="007C03B8"/>
    <w:rsid w:val="007C03F4"/>
    <w:rsid w:val="007C042D"/>
    <w:rsid w:val="007C046B"/>
    <w:rsid w:val="007C0670"/>
    <w:rsid w:val="007C083F"/>
    <w:rsid w:val="007C0863"/>
    <w:rsid w:val="007C0875"/>
    <w:rsid w:val="007C09AE"/>
    <w:rsid w:val="007C0A15"/>
    <w:rsid w:val="007C0C6B"/>
    <w:rsid w:val="007C0E1B"/>
    <w:rsid w:val="007C0E91"/>
    <w:rsid w:val="007C0EC7"/>
    <w:rsid w:val="007C0ED9"/>
    <w:rsid w:val="007C0F8D"/>
    <w:rsid w:val="007C1092"/>
    <w:rsid w:val="007C1124"/>
    <w:rsid w:val="007C1230"/>
    <w:rsid w:val="007C12BC"/>
    <w:rsid w:val="007C1371"/>
    <w:rsid w:val="007C13FC"/>
    <w:rsid w:val="007C167A"/>
    <w:rsid w:val="007C18BE"/>
    <w:rsid w:val="007C1CB3"/>
    <w:rsid w:val="007C1D60"/>
    <w:rsid w:val="007C1D6E"/>
    <w:rsid w:val="007C1E44"/>
    <w:rsid w:val="007C1F9E"/>
    <w:rsid w:val="007C20CC"/>
    <w:rsid w:val="007C20FC"/>
    <w:rsid w:val="007C22F3"/>
    <w:rsid w:val="007C25C9"/>
    <w:rsid w:val="007C2659"/>
    <w:rsid w:val="007C26C6"/>
    <w:rsid w:val="007C291A"/>
    <w:rsid w:val="007C2A43"/>
    <w:rsid w:val="007C2A45"/>
    <w:rsid w:val="007C2C0E"/>
    <w:rsid w:val="007C2C67"/>
    <w:rsid w:val="007C2CD0"/>
    <w:rsid w:val="007C2DB0"/>
    <w:rsid w:val="007C2E11"/>
    <w:rsid w:val="007C2E38"/>
    <w:rsid w:val="007C3155"/>
    <w:rsid w:val="007C3228"/>
    <w:rsid w:val="007C3409"/>
    <w:rsid w:val="007C3426"/>
    <w:rsid w:val="007C3478"/>
    <w:rsid w:val="007C34A3"/>
    <w:rsid w:val="007C34CE"/>
    <w:rsid w:val="007C35A2"/>
    <w:rsid w:val="007C3681"/>
    <w:rsid w:val="007C408D"/>
    <w:rsid w:val="007C40F4"/>
    <w:rsid w:val="007C46D0"/>
    <w:rsid w:val="007C46EF"/>
    <w:rsid w:val="007C48F2"/>
    <w:rsid w:val="007C4A5D"/>
    <w:rsid w:val="007C4B2F"/>
    <w:rsid w:val="007C4B75"/>
    <w:rsid w:val="007C4C85"/>
    <w:rsid w:val="007C4CC5"/>
    <w:rsid w:val="007C4F78"/>
    <w:rsid w:val="007C4FF4"/>
    <w:rsid w:val="007C5008"/>
    <w:rsid w:val="007C5043"/>
    <w:rsid w:val="007C5186"/>
    <w:rsid w:val="007C5401"/>
    <w:rsid w:val="007C540C"/>
    <w:rsid w:val="007C54DA"/>
    <w:rsid w:val="007C5567"/>
    <w:rsid w:val="007C5731"/>
    <w:rsid w:val="007C5B48"/>
    <w:rsid w:val="007C5C66"/>
    <w:rsid w:val="007C5CBE"/>
    <w:rsid w:val="007C5DFA"/>
    <w:rsid w:val="007C603E"/>
    <w:rsid w:val="007C6478"/>
    <w:rsid w:val="007C6527"/>
    <w:rsid w:val="007C668B"/>
    <w:rsid w:val="007C6889"/>
    <w:rsid w:val="007C68BD"/>
    <w:rsid w:val="007C6A20"/>
    <w:rsid w:val="007C6B2B"/>
    <w:rsid w:val="007C6B87"/>
    <w:rsid w:val="007C6ED2"/>
    <w:rsid w:val="007C6EE2"/>
    <w:rsid w:val="007C6FA6"/>
    <w:rsid w:val="007C7146"/>
    <w:rsid w:val="007C7383"/>
    <w:rsid w:val="007C7452"/>
    <w:rsid w:val="007C7553"/>
    <w:rsid w:val="007C7773"/>
    <w:rsid w:val="007C77DD"/>
    <w:rsid w:val="007C77F8"/>
    <w:rsid w:val="007C7800"/>
    <w:rsid w:val="007C786C"/>
    <w:rsid w:val="007C78D7"/>
    <w:rsid w:val="007C797E"/>
    <w:rsid w:val="007C7A39"/>
    <w:rsid w:val="007C7A86"/>
    <w:rsid w:val="007C7AD3"/>
    <w:rsid w:val="007C7DA4"/>
    <w:rsid w:val="007C7F1D"/>
    <w:rsid w:val="007C7F94"/>
    <w:rsid w:val="007D02F5"/>
    <w:rsid w:val="007D0362"/>
    <w:rsid w:val="007D0796"/>
    <w:rsid w:val="007D07E4"/>
    <w:rsid w:val="007D0806"/>
    <w:rsid w:val="007D0B33"/>
    <w:rsid w:val="007D0B90"/>
    <w:rsid w:val="007D0EA7"/>
    <w:rsid w:val="007D0F83"/>
    <w:rsid w:val="007D0FF4"/>
    <w:rsid w:val="007D14FB"/>
    <w:rsid w:val="007D154C"/>
    <w:rsid w:val="007D1569"/>
    <w:rsid w:val="007D15EB"/>
    <w:rsid w:val="007D1BAA"/>
    <w:rsid w:val="007D1D4A"/>
    <w:rsid w:val="007D1EEB"/>
    <w:rsid w:val="007D1F3D"/>
    <w:rsid w:val="007D207D"/>
    <w:rsid w:val="007D209C"/>
    <w:rsid w:val="007D20DF"/>
    <w:rsid w:val="007D2118"/>
    <w:rsid w:val="007D21AE"/>
    <w:rsid w:val="007D22E5"/>
    <w:rsid w:val="007D231F"/>
    <w:rsid w:val="007D23D7"/>
    <w:rsid w:val="007D23DB"/>
    <w:rsid w:val="007D2430"/>
    <w:rsid w:val="007D2709"/>
    <w:rsid w:val="007D2D67"/>
    <w:rsid w:val="007D2DD7"/>
    <w:rsid w:val="007D2DDB"/>
    <w:rsid w:val="007D2F40"/>
    <w:rsid w:val="007D3035"/>
    <w:rsid w:val="007D3061"/>
    <w:rsid w:val="007D30CD"/>
    <w:rsid w:val="007D30E6"/>
    <w:rsid w:val="007D31A6"/>
    <w:rsid w:val="007D31A8"/>
    <w:rsid w:val="007D3225"/>
    <w:rsid w:val="007D331E"/>
    <w:rsid w:val="007D33D8"/>
    <w:rsid w:val="007D33FF"/>
    <w:rsid w:val="007D34A1"/>
    <w:rsid w:val="007D3570"/>
    <w:rsid w:val="007D35ED"/>
    <w:rsid w:val="007D364C"/>
    <w:rsid w:val="007D376D"/>
    <w:rsid w:val="007D377A"/>
    <w:rsid w:val="007D37E1"/>
    <w:rsid w:val="007D3855"/>
    <w:rsid w:val="007D3BEA"/>
    <w:rsid w:val="007D3FBD"/>
    <w:rsid w:val="007D4029"/>
    <w:rsid w:val="007D4051"/>
    <w:rsid w:val="007D4156"/>
    <w:rsid w:val="007D41E0"/>
    <w:rsid w:val="007D41FB"/>
    <w:rsid w:val="007D427D"/>
    <w:rsid w:val="007D4369"/>
    <w:rsid w:val="007D4401"/>
    <w:rsid w:val="007D4420"/>
    <w:rsid w:val="007D46FA"/>
    <w:rsid w:val="007D479E"/>
    <w:rsid w:val="007D4827"/>
    <w:rsid w:val="007D4936"/>
    <w:rsid w:val="007D4A6A"/>
    <w:rsid w:val="007D4C27"/>
    <w:rsid w:val="007D4CDA"/>
    <w:rsid w:val="007D4D5D"/>
    <w:rsid w:val="007D4DBB"/>
    <w:rsid w:val="007D4E71"/>
    <w:rsid w:val="007D500B"/>
    <w:rsid w:val="007D5146"/>
    <w:rsid w:val="007D5200"/>
    <w:rsid w:val="007D52B2"/>
    <w:rsid w:val="007D5656"/>
    <w:rsid w:val="007D573D"/>
    <w:rsid w:val="007D5814"/>
    <w:rsid w:val="007D5AE3"/>
    <w:rsid w:val="007D5C63"/>
    <w:rsid w:val="007D5F6C"/>
    <w:rsid w:val="007D5FD3"/>
    <w:rsid w:val="007D60A2"/>
    <w:rsid w:val="007D60EB"/>
    <w:rsid w:val="007D61C6"/>
    <w:rsid w:val="007D61D4"/>
    <w:rsid w:val="007D620F"/>
    <w:rsid w:val="007D6368"/>
    <w:rsid w:val="007D6419"/>
    <w:rsid w:val="007D645A"/>
    <w:rsid w:val="007D6469"/>
    <w:rsid w:val="007D648E"/>
    <w:rsid w:val="007D64A5"/>
    <w:rsid w:val="007D65E5"/>
    <w:rsid w:val="007D6684"/>
    <w:rsid w:val="007D6718"/>
    <w:rsid w:val="007D6833"/>
    <w:rsid w:val="007D68AD"/>
    <w:rsid w:val="007D6A3D"/>
    <w:rsid w:val="007D6BDA"/>
    <w:rsid w:val="007D6D04"/>
    <w:rsid w:val="007D6E1A"/>
    <w:rsid w:val="007D7096"/>
    <w:rsid w:val="007D724E"/>
    <w:rsid w:val="007D7731"/>
    <w:rsid w:val="007D7822"/>
    <w:rsid w:val="007D7876"/>
    <w:rsid w:val="007D78ED"/>
    <w:rsid w:val="007E0192"/>
    <w:rsid w:val="007E01A6"/>
    <w:rsid w:val="007E0270"/>
    <w:rsid w:val="007E02BE"/>
    <w:rsid w:val="007E0372"/>
    <w:rsid w:val="007E0461"/>
    <w:rsid w:val="007E0507"/>
    <w:rsid w:val="007E0520"/>
    <w:rsid w:val="007E058E"/>
    <w:rsid w:val="007E06A1"/>
    <w:rsid w:val="007E09FD"/>
    <w:rsid w:val="007E103D"/>
    <w:rsid w:val="007E10A6"/>
    <w:rsid w:val="007E1104"/>
    <w:rsid w:val="007E1130"/>
    <w:rsid w:val="007E1176"/>
    <w:rsid w:val="007E123A"/>
    <w:rsid w:val="007E123B"/>
    <w:rsid w:val="007E1286"/>
    <w:rsid w:val="007E12CD"/>
    <w:rsid w:val="007E153F"/>
    <w:rsid w:val="007E165E"/>
    <w:rsid w:val="007E1801"/>
    <w:rsid w:val="007E1901"/>
    <w:rsid w:val="007E194E"/>
    <w:rsid w:val="007E19A8"/>
    <w:rsid w:val="007E1A85"/>
    <w:rsid w:val="007E1C2C"/>
    <w:rsid w:val="007E1DC4"/>
    <w:rsid w:val="007E1DDA"/>
    <w:rsid w:val="007E1E50"/>
    <w:rsid w:val="007E1F06"/>
    <w:rsid w:val="007E24B0"/>
    <w:rsid w:val="007E24B2"/>
    <w:rsid w:val="007E2632"/>
    <w:rsid w:val="007E2955"/>
    <w:rsid w:val="007E2AD2"/>
    <w:rsid w:val="007E2B6C"/>
    <w:rsid w:val="007E2B82"/>
    <w:rsid w:val="007E2C25"/>
    <w:rsid w:val="007E2D94"/>
    <w:rsid w:val="007E2FA7"/>
    <w:rsid w:val="007E2FBB"/>
    <w:rsid w:val="007E3340"/>
    <w:rsid w:val="007E37E7"/>
    <w:rsid w:val="007E38C2"/>
    <w:rsid w:val="007E3A62"/>
    <w:rsid w:val="007E3C03"/>
    <w:rsid w:val="007E3C3F"/>
    <w:rsid w:val="007E3D51"/>
    <w:rsid w:val="007E3E1F"/>
    <w:rsid w:val="007E3F46"/>
    <w:rsid w:val="007E3FBF"/>
    <w:rsid w:val="007E3FD0"/>
    <w:rsid w:val="007E4124"/>
    <w:rsid w:val="007E4190"/>
    <w:rsid w:val="007E4197"/>
    <w:rsid w:val="007E436B"/>
    <w:rsid w:val="007E458B"/>
    <w:rsid w:val="007E4714"/>
    <w:rsid w:val="007E4876"/>
    <w:rsid w:val="007E48B2"/>
    <w:rsid w:val="007E4BB3"/>
    <w:rsid w:val="007E4C11"/>
    <w:rsid w:val="007E4D4D"/>
    <w:rsid w:val="007E5016"/>
    <w:rsid w:val="007E54B9"/>
    <w:rsid w:val="007E568D"/>
    <w:rsid w:val="007E56BF"/>
    <w:rsid w:val="007E5840"/>
    <w:rsid w:val="007E586C"/>
    <w:rsid w:val="007E587D"/>
    <w:rsid w:val="007E5A67"/>
    <w:rsid w:val="007E5B72"/>
    <w:rsid w:val="007E5DB3"/>
    <w:rsid w:val="007E5E9E"/>
    <w:rsid w:val="007E5F87"/>
    <w:rsid w:val="007E6235"/>
    <w:rsid w:val="007E625F"/>
    <w:rsid w:val="007E626F"/>
    <w:rsid w:val="007E62AE"/>
    <w:rsid w:val="007E62D1"/>
    <w:rsid w:val="007E62FF"/>
    <w:rsid w:val="007E6477"/>
    <w:rsid w:val="007E666A"/>
    <w:rsid w:val="007E689F"/>
    <w:rsid w:val="007E68FD"/>
    <w:rsid w:val="007E6AD0"/>
    <w:rsid w:val="007E6AD4"/>
    <w:rsid w:val="007E6C86"/>
    <w:rsid w:val="007E6CD1"/>
    <w:rsid w:val="007E6D16"/>
    <w:rsid w:val="007E6D3E"/>
    <w:rsid w:val="007E7040"/>
    <w:rsid w:val="007E7097"/>
    <w:rsid w:val="007E72C1"/>
    <w:rsid w:val="007E731B"/>
    <w:rsid w:val="007E7321"/>
    <w:rsid w:val="007E745D"/>
    <w:rsid w:val="007E7494"/>
    <w:rsid w:val="007E7572"/>
    <w:rsid w:val="007E7698"/>
    <w:rsid w:val="007E78D2"/>
    <w:rsid w:val="007E7981"/>
    <w:rsid w:val="007E79D1"/>
    <w:rsid w:val="007E7A40"/>
    <w:rsid w:val="007E7B7C"/>
    <w:rsid w:val="007E7B93"/>
    <w:rsid w:val="007E7BCD"/>
    <w:rsid w:val="007E7BE0"/>
    <w:rsid w:val="007E7D3B"/>
    <w:rsid w:val="007E7D83"/>
    <w:rsid w:val="007E7E30"/>
    <w:rsid w:val="007E7EAC"/>
    <w:rsid w:val="007E7EF9"/>
    <w:rsid w:val="007F011C"/>
    <w:rsid w:val="007F053E"/>
    <w:rsid w:val="007F0723"/>
    <w:rsid w:val="007F0804"/>
    <w:rsid w:val="007F0874"/>
    <w:rsid w:val="007F0A11"/>
    <w:rsid w:val="007F0B44"/>
    <w:rsid w:val="007F0DBD"/>
    <w:rsid w:val="007F0DF4"/>
    <w:rsid w:val="007F0E31"/>
    <w:rsid w:val="007F0F1F"/>
    <w:rsid w:val="007F0F9F"/>
    <w:rsid w:val="007F1112"/>
    <w:rsid w:val="007F12C4"/>
    <w:rsid w:val="007F1394"/>
    <w:rsid w:val="007F13F2"/>
    <w:rsid w:val="007F144A"/>
    <w:rsid w:val="007F147E"/>
    <w:rsid w:val="007F1547"/>
    <w:rsid w:val="007F159C"/>
    <w:rsid w:val="007F15EC"/>
    <w:rsid w:val="007F1692"/>
    <w:rsid w:val="007F16C1"/>
    <w:rsid w:val="007F17E8"/>
    <w:rsid w:val="007F199C"/>
    <w:rsid w:val="007F1A0B"/>
    <w:rsid w:val="007F1CC5"/>
    <w:rsid w:val="007F1CFF"/>
    <w:rsid w:val="007F1D5A"/>
    <w:rsid w:val="007F1E14"/>
    <w:rsid w:val="007F1E67"/>
    <w:rsid w:val="007F2450"/>
    <w:rsid w:val="007F254B"/>
    <w:rsid w:val="007F2638"/>
    <w:rsid w:val="007F2729"/>
    <w:rsid w:val="007F2798"/>
    <w:rsid w:val="007F2854"/>
    <w:rsid w:val="007F29F0"/>
    <w:rsid w:val="007F2B70"/>
    <w:rsid w:val="007F2C07"/>
    <w:rsid w:val="007F2D34"/>
    <w:rsid w:val="007F2F41"/>
    <w:rsid w:val="007F2FEF"/>
    <w:rsid w:val="007F3117"/>
    <w:rsid w:val="007F312F"/>
    <w:rsid w:val="007F3190"/>
    <w:rsid w:val="007F3294"/>
    <w:rsid w:val="007F329C"/>
    <w:rsid w:val="007F369A"/>
    <w:rsid w:val="007F38E6"/>
    <w:rsid w:val="007F3921"/>
    <w:rsid w:val="007F392F"/>
    <w:rsid w:val="007F3A12"/>
    <w:rsid w:val="007F3A74"/>
    <w:rsid w:val="007F3B04"/>
    <w:rsid w:val="007F3B06"/>
    <w:rsid w:val="007F3B1A"/>
    <w:rsid w:val="007F3CFB"/>
    <w:rsid w:val="007F3ECB"/>
    <w:rsid w:val="007F3F28"/>
    <w:rsid w:val="007F3FC4"/>
    <w:rsid w:val="007F4166"/>
    <w:rsid w:val="007F43B7"/>
    <w:rsid w:val="007F43D4"/>
    <w:rsid w:val="007F450C"/>
    <w:rsid w:val="007F453F"/>
    <w:rsid w:val="007F463B"/>
    <w:rsid w:val="007F4767"/>
    <w:rsid w:val="007F490B"/>
    <w:rsid w:val="007F499D"/>
    <w:rsid w:val="007F4AB9"/>
    <w:rsid w:val="007F4C2B"/>
    <w:rsid w:val="007F4E30"/>
    <w:rsid w:val="007F4E54"/>
    <w:rsid w:val="007F4E66"/>
    <w:rsid w:val="007F50D1"/>
    <w:rsid w:val="007F5149"/>
    <w:rsid w:val="007F5172"/>
    <w:rsid w:val="007F51A5"/>
    <w:rsid w:val="007F54D3"/>
    <w:rsid w:val="007F55A5"/>
    <w:rsid w:val="007F5838"/>
    <w:rsid w:val="007F5908"/>
    <w:rsid w:val="007F590F"/>
    <w:rsid w:val="007F5937"/>
    <w:rsid w:val="007F59E7"/>
    <w:rsid w:val="007F5AAE"/>
    <w:rsid w:val="007F5B5F"/>
    <w:rsid w:val="007F5CDA"/>
    <w:rsid w:val="007F5D9F"/>
    <w:rsid w:val="007F5E17"/>
    <w:rsid w:val="007F5E38"/>
    <w:rsid w:val="007F5EC4"/>
    <w:rsid w:val="007F5EDB"/>
    <w:rsid w:val="007F5F18"/>
    <w:rsid w:val="007F60E3"/>
    <w:rsid w:val="007F61C1"/>
    <w:rsid w:val="007F61F1"/>
    <w:rsid w:val="007F6333"/>
    <w:rsid w:val="007F634E"/>
    <w:rsid w:val="007F64D1"/>
    <w:rsid w:val="007F69AE"/>
    <w:rsid w:val="007F6AB3"/>
    <w:rsid w:val="007F6CFD"/>
    <w:rsid w:val="007F6D69"/>
    <w:rsid w:val="007F6E0B"/>
    <w:rsid w:val="007F7060"/>
    <w:rsid w:val="007F7177"/>
    <w:rsid w:val="007F71CD"/>
    <w:rsid w:val="007F73FE"/>
    <w:rsid w:val="007F75FF"/>
    <w:rsid w:val="007F76E2"/>
    <w:rsid w:val="007F772D"/>
    <w:rsid w:val="007F7910"/>
    <w:rsid w:val="007F791C"/>
    <w:rsid w:val="007F7A54"/>
    <w:rsid w:val="007F7C69"/>
    <w:rsid w:val="007F7C6E"/>
    <w:rsid w:val="007F7D05"/>
    <w:rsid w:val="007F7D60"/>
    <w:rsid w:val="007F7D6D"/>
    <w:rsid w:val="007F7FD5"/>
    <w:rsid w:val="00800049"/>
    <w:rsid w:val="00800075"/>
    <w:rsid w:val="008000FD"/>
    <w:rsid w:val="008001E4"/>
    <w:rsid w:val="00800379"/>
    <w:rsid w:val="008006E2"/>
    <w:rsid w:val="0080075C"/>
    <w:rsid w:val="008007E7"/>
    <w:rsid w:val="0080083B"/>
    <w:rsid w:val="00800955"/>
    <w:rsid w:val="00800AF7"/>
    <w:rsid w:val="00800C25"/>
    <w:rsid w:val="00800D94"/>
    <w:rsid w:val="00800FA4"/>
    <w:rsid w:val="008011C0"/>
    <w:rsid w:val="00801268"/>
    <w:rsid w:val="0080133C"/>
    <w:rsid w:val="00801349"/>
    <w:rsid w:val="0080148E"/>
    <w:rsid w:val="008015E3"/>
    <w:rsid w:val="0080164D"/>
    <w:rsid w:val="008018BA"/>
    <w:rsid w:val="008018E1"/>
    <w:rsid w:val="008018F9"/>
    <w:rsid w:val="00801984"/>
    <w:rsid w:val="00801BAD"/>
    <w:rsid w:val="00801CC1"/>
    <w:rsid w:val="00801E65"/>
    <w:rsid w:val="00801E80"/>
    <w:rsid w:val="00801F0D"/>
    <w:rsid w:val="00802079"/>
    <w:rsid w:val="0080211C"/>
    <w:rsid w:val="008021DE"/>
    <w:rsid w:val="008021F0"/>
    <w:rsid w:val="00802262"/>
    <w:rsid w:val="008022F9"/>
    <w:rsid w:val="0080235D"/>
    <w:rsid w:val="0080250B"/>
    <w:rsid w:val="00802569"/>
    <w:rsid w:val="0080257D"/>
    <w:rsid w:val="008025CB"/>
    <w:rsid w:val="00802875"/>
    <w:rsid w:val="00802B1E"/>
    <w:rsid w:val="00802B3D"/>
    <w:rsid w:val="00802C57"/>
    <w:rsid w:val="00802C94"/>
    <w:rsid w:val="00802E15"/>
    <w:rsid w:val="00802E96"/>
    <w:rsid w:val="00802FEB"/>
    <w:rsid w:val="008032A7"/>
    <w:rsid w:val="00803544"/>
    <w:rsid w:val="00803804"/>
    <w:rsid w:val="0080383D"/>
    <w:rsid w:val="008038E4"/>
    <w:rsid w:val="00803928"/>
    <w:rsid w:val="00803933"/>
    <w:rsid w:val="0080396B"/>
    <w:rsid w:val="00803ADF"/>
    <w:rsid w:val="00803B89"/>
    <w:rsid w:val="00803DA1"/>
    <w:rsid w:val="00803E07"/>
    <w:rsid w:val="00803FAB"/>
    <w:rsid w:val="0080405A"/>
    <w:rsid w:val="00804138"/>
    <w:rsid w:val="00804174"/>
    <w:rsid w:val="008041AF"/>
    <w:rsid w:val="008041B3"/>
    <w:rsid w:val="00804320"/>
    <w:rsid w:val="0080459E"/>
    <w:rsid w:val="00804602"/>
    <w:rsid w:val="00804801"/>
    <w:rsid w:val="00804811"/>
    <w:rsid w:val="00804927"/>
    <w:rsid w:val="008049F1"/>
    <w:rsid w:val="00804ABF"/>
    <w:rsid w:val="00804E90"/>
    <w:rsid w:val="0080520B"/>
    <w:rsid w:val="00805265"/>
    <w:rsid w:val="00805297"/>
    <w:rsid w:val="0080532E"/>
    <w:rsid w:val="0080542D"/>
    <w:rsid w:val="00805465"/>
    <w:rsid w:val="008054B8"/>
    <w:rsid w:val="008054D5"/>
    <w:rsid w:val="008055E5"/>
    <w:rsid w:val="00805AE9"/>
    <w:rsid w:val="00805C18"/>
    <w:rsid w:val="0080605B"/>
    <w:rsid w:val="00806361"/>
    <w:rsid w:val="008063AF"/>
    <w:rsid w:val="008063B1"/>
    <w:rsid w:val="008068AB"/>
    <w:rsid w:val="0080696A"/>
    <w:rsid w:val="008069E4"/>
    <w:rsid w:val="00806AF8"/>
    <w:rsid w:val="00806C0A"/>
    <w:rsid w:val="00806C63"/>
    <w:rsid w:val="00806D48"/>
    <w:rsid w:val="00806DDE"/>
    <w:rsid w:val="00806ED6"/>
    <w:rsid w:val="008071C5"/>
    <w:rsid w:val="00807313"/>
    <w:rsid w:val="0080752D"/>
    <w:rsid w:val="00807547"/>
    <w:rsid w:val="00807713"/>
    <w:rsid w:val="00807768"/>
    <w:rsid w:val="00807784"/>
    <w:rsid w:val="00807C65"/>
    <w:rsid w:val="00807C84"/>
    <w:rsid w:val="00807F7F"/>
    <w:rsid w:val="008100B6"/>
    <w:rsid w:val="00810112"/>
    <w:rsid w:val="008101AB"/>
    <w:rsid w:val="00810250"/>
    <w:rsid w:val="00810437"/>
    <w:rsid w:val="008104D5"/>
    <w:rsid w:val="00810568"/>
    <w:rsid w:val="008108A3"/>
    <w:rsid w:val="008108FF"/>
    <w:rsid w:val="00810CA8"/>
    <w:rsid w:val="00810CF1"/>
    <w:rsid w:val="00810DEA"/>
    <w:rsid w:val="00810ED6"/>
    <w:rsid w:val="00811059"/>
    <w:rsid w:val="008112B1"/>
    <w:rsid w:val="00811448"/>
    <w:rsid w:val="0081147D"/>
    <w:rsid w:val="008114C1"/>
    <w:rsid w:val="0081151C"/>
    <w:rsid w:val="00811559"/>
    <w:rsid w:val="008115AE"/>
    <w:rsid w:val="008115EF"/>
    <w:rsid w:val="008118C6"/>
    <w:rsid w:val="00811DBF"/>
    <w:rsid w:val="00811F67"/>
    <w:rsid w:val="008120BE"/>
    <w:rsid w:val="008122F3"/>
    <w:rsid w:val="00812334"/>
    <w:rsid w:val="00812570"/>
    <w:rsid w:val="008127B1"/>
    <w:rsid w:val="008129AD"/>
    <w:rsid w:val="008129D6"/>
    <w:rsid w:val="00812A2A"/>
    <w:rsid w:val="00812ABB"/>
    <w:rsid w:val="00812CAA"/>
    <w:rsid w:val="00812E35"/>
    <w:rsid w:val="00812F10"/>
    <w:rsid w:val="00812FB0"/>
    <w:rsid w:val="008133EE"/>
    <w:rsid w:val="008134BB"/>
    <w:rsid w:val="00813575"/>
    <w:rsid w:val="00813577"/>
    <w:rsid w:val="00813744"/>
    <w:rsid w:val="008137BF"/>
    <w:rsid w:val="0081381E"/>
    <w:rsid w:val="00813995"/>
    <w:rsid w:val="00813AE6"/>
    <w:rsid w:val="00813B07"/>
    <w:rsid w:val="00813CBA"/>
    <w:rsid w:val="00813D16"/>
    <w:rsid w:val="00813D81"/>
    <w:rsid w:val="00813DB5"/>
    <w:rsid w:val="00814052"/>
    <w:rsid w:val="0081421B"/>
    <w:rsid w:val="00814506"/>
    <w:rsid w:val="00814519"/>
    <w:rsid w:val="008145C0"/>
    <w:rsid w:val="008147CC"/>
    <w:rsid w:val="00814888"/>
    <w:rsid w:val="00814969"/>
    <w:rsid w:val="00814A51"/>
    <w:rsid w:val="00814A73"/>
    <w:rsid w:val="00814AC9"/>
    <w:rsid w:val="00814AF1"/>
    <w:rsid w:val="00814D69"/>
    <w:rsid w:val="00814DA8"/>
    <w:rsid w:val="00814F54"/>
    <w:rsid w:val="00814F9B"/>
    <w:rsid w:val="00814FA8"/>
    <w:rsid w:val="00815036"/>
    <w:rsid w:val="00815385"/>
    <w:rsid w:val="008153B9"/>
    <w:rsid w:val="0081567F"/>
    <w:rsid w:val="008158BA"/>
    <w:rsid w:val="00815A09"/>
    <w:rsid w:val="00815B57"/>
    <w:rsid w:val="00815BFF"/>
    <w:rsid w:val="00815DC6"/>
    <w:rsid w:val="00815EDC"/>
    <w:rsid w:val="00815EE6"/>
    <w:rsid w:val="008160A3"/>
    <w:rsid w:val="00816148"/>
    <w:rsid w:val="008162DD"/>
    <w:rsid w:val="008164DD"/>
    <w:rsid w:val="00816687"/>
    <w:rsid w:val="00816921"/>
    <w:rsid w:val="008169B5"/>
    <w:rsid w:val="00816F89"/>
    <w:rsid w:val="00816FAC"/>
    <w:rsid w:val="0081703C"/>
    <w:rsid w:val="008170BC"/>
    <w:rsid w:val="008171FB"/>
    <w:rsid w:val="0081735A"/>
    <w:rsid w:val="008173EE"/>
    <w:rsid w:val="008174E7"/>
    <w:rsid w:val="0081754E"/>
    <w:rsid w:val="0081779B"/>
    <w:rsid w:val="00817B03"/>
    <w:rsid w:val="00817C26"/>
    <w:rsid w:val="00817C35"/>
    <w:rsid w:val="00817C6D"/>
    <w:rsid w:val="00817C93"/>
    <w:rsid w:val="00817D32"/>
    <w:rsid w:val="00817D7D"/>
    <w:rsid w:val="00817DDD"/>
    <w:rsid w:val="00817E6A"/>
    <w:rsid w:val="00817F41"/>
    <w:rsid w:val="00820028"/>
    <w:rsid w:val="00820099"/>
    <w:rsid w:val="0082015D"/>
    <w:rsid w:val="0082019D"/>
    <w:rsid w:val="0082022D"/>
    <w:rsid w:val="00820402"/>
    <w:rsid w:val="00820428"/>
    <w:rsid w:val="008204CB"/>
    <w:rsid w:val="0082062C"/>
    <w:rsid w:val="008206A3"/>
    <w:rsid w:val="00820782"/>
    <w:rsid w:val="00820821"/>
    <w:rsid w:val="008208E8"/>
    <w:rsid w:val="00820914"/>
    <w:rsid w:val="00820981"/>
    <w:rsid w:val="008209A0"/>
    <w:rsid w:val="008209D7"/>
    <w:rsid w:val="00820EB9"/>
    <w:rsid w:val="00820EFC"/>
    <w:rsid w:val="008213D8"/>
    <w:rsid w:val="008214B7"/>
    <w:rsid w:val="00821509"/>
    <w:rsid w:val="00821616"/>
    <w:rsid w:val="00821837"/>
    <w:rsid w:val="008219CD"/>
    <w:rsid w:val="00821A0F"/>
    <w:rsid w:val="00821A16"/>
    <w:rsid w:val="00821BCD"/>
    <w:rsid w:val="00821C28"/>
    <w:rsid w:val="00821C2F"/>
    <w:rsid w:val="00821F12"/>
    <w:rsid w:val="00822076"/>
    <w:rsid w:val="008220B8"/>
    <w:rsid w:val="00822136"/>
    <w:rsid w:val="0082214B"/>
    <w:rsid w:val="0082216D"/>
    <w:rsid w:val="008221EC"/>
    <w:rsid w:val="0082233C"/>
    <w:rsid w:val="00822407"/>
    <w:rsid w:val="0082245B"/>
    <w:rsid w:val="008224CC"/>
    <w:rsid w:val="0082265D"/>
    <w:rsid w:val="00822812"/>
    <w:rsid w:val="00822850"/>
    <w:rsid w:val="00822A2F"/>
    <w:rsid w:val="00822A80"/>
    <w:rsid w:val="00822AA1"/>
    <w:rsid w:val="00822B6E"/>
    <w:rsid w:val="00822F80"/>
    <w:rsid w:val="008231B5"/>
    <w:rsid w:val="00823238"/>
    <w:rsid w:val="0082323E"/>
    <w:rsid w:val="0082336C"/>
    <w:rsid w:val="00823420"/>
    <w:rsid w:val="00823451"/>
    <w:rsid w:val="008235C1"/>
    <w:rsid w:val="00823600"/>
    <w:rsid w:val="00823632"/>
    <w:rsid w:val="008236E2"/>
    <w:rsid w:val="008237CC"/>
    <w:rsid w:val="0082385C"/>
    <w:rsid w:val="008238F0"/>
    <w:rsid w:val="00823C28"/>
    <w:rsid w:val="00823D63"/>
    <w:rsid w:val="0082403A"/>
    <w:rsid w:val="0082419E"/>
    <w:rsid w:val="00824357"/>
    <w:rsid w:val="00824378"/>
    <w:rsid w:val="00824471"/>
    <w:rsid w:val="00824657"/>
    <w:rsid w:val="008247AF"/>
    <w:rsid w:val="008247E4"/>
    <w:rsid w:val="00824A2D"/>
    <w:rsid w:val="00824AAA"/>
    <w:rsid w:val="00824AE2"/>
    <w:rsid w:val="00824AFB"/>
    <w:rsid w:val="00825044"/>
    <w:rsid w:val="00825055"/>
    <w:rsid w:val="00825250"/>
    <w:rsid w:val="0082558A"/>
    <w:rsid w:val="008256C9"/>
    <w:rsid w:val="008256FC"/>
    <w:rsid w:val="0082571D"/>
    <w:rsid w:val="00825922"/>
    <w:rsid w:val="0082594E"/>
    <w:rsid w:val="00825C0F"/>
    <w:rsid w:val="00825D77"/>
    <w:rsid w:val="00825DBE"/>
    <w:rsid w:val="00825EF7"/>
    <w:rsid w:val="00825F5D"/>
    <w:rsid w:val="00826076"/>
    <w:rsid w:val="00826256"/>
    <w:rsid w:val="00826365"/>
    <w:rsid w:val="0082638B"/>
    <w:rsid w:val="008263D1"/>
    <w:rsid w:val="00826400"/>
    <w:rsid w:val="0082648A"/>
    <w:rsid w:val="008264BF"/>
    <w:rsid w:val="008264FA"/>
    <w:rsid w:val="008265A3"/>
    <w:rsid w:val="008265C8"/>
    <w:rsid w:val="0082679C"/>
    <w:rsid w:val="008269DE"/>
    <w:rsid w:val="008269F9"/>
    <w:rsid w:val="00826A47"/>
    <w:rsid w:val="00826C41"/>
    <w:rsid w:val="00826DE7"/>
    <w:rsid w:val="00826EB4"/>
    <w:rsid w:val="00826EEE"/>
    <w:rsid w:val="00826F02"/>
    <w:rsid w:val="0082706F"/>
    <w:rsid w:val="0082708B"/>
    <w:rsid w:val="00827147"/>
    <w:rsid w:val="0082721C"/>
    <w:rsid w:val="0082725A"/>
    <w:rsid w:val="008272CD"/>
    <w:rsid w:val="008272D2"/>
    <w:rsid w:val="008273E6"/>
    <w:rsid w:val="00827410"/>
    <w:rsid w:val="00827536"/>
    <w:rsid w:val="00827543"/>
    <w:rsid w:val="00827692"/>
    <w:rsid w:val="00827806"/>
    <w:rsid w:val="00827968"/>
    <w:rsid w:val="00827BB6"/>
    <w:rsid w:val="00827C56"/>
    <w:rsid w:val="0083011F"/>
    <w:rsid w:val="00830170"/>
    <w:rsid w:val="00830190"/>
    <w:rsid w:val="008304AC"/>
    <w:rsid w:val="008304FC"/>
    <w:rsid w:val="00830A71"/>
    <w:rsid w:val="00830B82"/>
    <w:rsid w:val="00830BF1"/>
    <w:rsid w:val="00830CE5"/>
    <w:rsid w:val="00830D16"/>
    <w:rsid w:val="00830E39"/>
    <w:rsid w:val="0083106A"/>
    <w:rsid w:val="00831288"/>
    <w:rsid w:val="00831335"/>
    <w:rsid w:val="00831365"/>
    <w:rsid w:val="008313A5"/>
    <w:rsid w:val="008314C8"/>
    <w:rsid w:val="008314FD"/>
    <w:rsid w:val="00831666"/>
    <w:rsid w:val="0083175F"/>
    <w:rsid w:val="0083177C"/>
    <w:rsid w:val="0083195F"/>
    <w:rsid w:val="008319DE"/>
    <w:rsid w:val="00831A1F"/>
    <w:rsid w:val="00831A28"/>
    <w:rsid w:val="00831A42"/>
    <w:rsid w:val="00831C82"/>
    <w:rsid w:val="00831CD9"/>
    <w:rsid w:val="00831DE9"/>
    <w:rsid w:val="00831FE6"/>
    <w:rsid w:val="00832093"/>
    <w:rsid w:val="00832287"/>
    <w:rsid w:val="0083247F"/>
    <w:rsid w:val="0083264A"/>
    <w:rsid w:val="008327D8"/>
    <w:rsid w:val="008328BA"/>
    <w:rsid w:val="008328EB"/>
    <w:rsid w:val="00832939"/>
    <w:rsid w:val="00832979"/>
    <w:rsid w:val="00832A22"/>
    <w:rsid w:val="00832A79"/>
    <w:rsid w:val="00832B12"/>
    <w:rsid w:val="00832D91"/>
    <w:rsid w:val="00832F4C"/>
    <w:rsid w:val="00832F50"/>
    <w:rsid w:val="00833030"/>
    <w:rsid w:val="008332BE"/>
    <w:rsid w:val="00833394"/>
    <w:rsid w:val="008333BC"/>
    <w:rsid w:val="008335DB"/>
    <w:rsid w:val="0083364E"/>
    <w:rsid w:val="008337C0"/>
    <w:rsid w:val="0083389A"/>
    <w:rsid w:val="00833A19"/>
    <w:rsid w:val="00833A56"/>
    <w:rsid w:val="00833A77"/>
    <w:rsid w:val="00833AA8"/>
    <w:rsid w:val="00833C7F"/>
    <w:rsid w:val="00833DA7"/>
    <w:rsid w:val="00833DAA"/>
    <w:rsid w:val="00833DD8"/>
    <w:rsid w:val="00833E9F"/>
    <w:rsid w:val="00833EF8"/>
    <w:rsid w:val="008340C5"/>
    <w:rsid w:val="008341C0"/>
    <w:rsid w:val="00834377"/>
    <w:rsid w:val="0083440F"/>
    <w:rsid w:val="008344A5"/>
    <w:rsid w:val="008345ED"/>
    <w:rsid w:val="0083489A"/>
    <w:rsid w:val="0083493E"/>
    <w:rsid w:val="00834A00"/>
    <w:rsid w:val="00834F4F"/>
    <w:rsid w:val="00834FDB"/>
    <w:rsid w:val="00835149"/>
    <w:rsid w:val="00835259"/>
    <w:rsid w:val="00835491"/>
    <w:rsid w:val="008357E1"/>
    <w:rsid w:val="00835AD1"/>
    <w:rsid w:val="00835B32"/>
    <w:rsid w:val="00835BFA"/>
    <w:rsid w:val="00835F2B"/>
    <w:rsid w:val="00835FB6"/>
    <w:rsid w:val="008362EE"/>
    <w:rsid w:val="0083650F"/>
    <w:rsid w:val="008366FA"/>
    <w:rsid w:val="00836703"/>
    <w:rsid w:val="00836B17"/>
    <w:rsid w:val="00836BF4"/>
    <w:rsid w:val="00836CFA"/>
    <w:rsid w:val="00836FC2"/>
    <w:rsid w:val="00836FCB"/>
    <w:rsid w:val="008370E0"/>
    <w:rsid w:val="008370EA"/>
    <w:rsid w:val="008371A8"/>
    <w:rsid w:val="00837263"/>
    <w:rsid w:val="0083739A"/>
    <w:rsid w:val="0083749B"/>
    <w:rsid w:val="0083786B"/>
    <w:rsid w:val="008379E5"/>
    <w:rsid w:val="008379EE"/>
    <w:rsid w:val="00837BB4"/>
    <w:rsid w:val="00837DC2"/>
    <w:rsid w:val="00837EE4"/>
    <w:rsid w:val="00837F5B"/>
    <w:rsid w:val="00837FF2"/>
    <w:rsid w:val="00840089"/>
    <w:rsid w:val="008400C8"/>
    <w:rsid w:val="0084013B"/>
    <w:rsid w:val="00840622"/>
    <w:rsid w:val="00840A99"/>
    <w:rsid w:val="00840ADB"/>
    <w:rsid w:val="00840C53"/>
    <w:rsid w:val="00840CF0"/>
    <w:rsid w:val="00840EED"/>
    <w:rsid w:val="008411D3"/>
    <w:rsid w:val="0084133F"/>
    <w:rsid w:val="00841384"/>
    <w:rsid w:val="008415F2"/>
    <w:rsid w:val="0084178C"/>
    <w:rsid w:val="00841A0F"/>
    <w:rsid w:val="00841B07"/>
    <w:rsid w:val="00841C65"/>
    <w:rsid w:val="008421F0"/>
    <w:rsid w:val="00842323"/>
    <w:rsid w:val="0084239C"/>
    <w:rsid w:val="008423C1"/>
    <w:rsid w:val="00842512"/>
    <w:rsid w:val="008425B3"/>
    <w:rsid w:val="008426CF"/>
    <w:rsid w:val="00842AD6"/>
    <w:rsid w:val="00842AE8"/>
    <w:rsid w:val="00842BCE"/>
    <w:rsid w:val="00842BF4"/>
    <w:rsid w:val="00842BF8"/>
    <w:rsid w:val="008432DE"/>
    <w:rsid w:val="00843510"/>
    <w:rsid w:val="0084354E"/>
    <w:rsid w:val="0084366F"/>
    <w:rsid w:val="008436EC"/>
    <w:rsid w:val="00843700"/>
    <w:rsid w:val="008437FA"/>
    <w:rsid w:val="008438E9"/>
    <w:rsid w:val="00843ABE"/>
    <w:rsid w:val="00843B92"/>
    <w:rsid w:val="00843E24"/>
    <w:rsid w:val="00843E66"/>
    <w:rsid w:val="00843EF2"/>
    <w:rsid w:val="0084403A"/>
    <w:rsid w:val="00844149"/>
    <w:rsid w:val="0084416C"/>
    <w:rsid w:val="008441B6"/>
    <w:rsid w:val="0084426C"/>
    <w:rsid w:val="0084431E"/>
    <w:rsid w:val="008444BC"/>
    <w:rsid w:val="008444D3"/>
    <w:rsid w:val="0084465C"/>
    <w:rsid w:val="00844668"/>
    <w:rsid w:val="0084468E"/>
    <w:rsid w:val="00844939"/>
    <w:rsid w:val="00844A01"/>
    <w:rsid w:val="00844A09"/>
    <w:rsid w:val="00844A70"/>
    <w:rsid w:val="00844AE3"/>
    <w:rsid w:val="00844E17"/>
    <w:rsid w:val="00844F2F"/>
    <w:rsid w:val="0084514E"/>
    <w:rsid w:val="0084527D"/>
    <w:rsid w:val="00845405"/>
    <w:rsid w:val="00845527"/>
    <w:rsid w:val="0084597F"/>
    <w:rsid w:val="00845BDA"/>
    <w:rsid w:val="00845CFE"/>
    <w:rsid w:val="00845ECB"/>
    <w:rsid w:val="00845F92"/>
    <w:rsid w:val="0084601F"/>
    <w:rsid w:val="0084607F"/>
    <w:rsid w:val="00846107"/>
    <w:rsid w:val="00846256"/>
    <w:rsid w:val="0084651D"/>
    <w:rsid w:val="008465E8"/>
    <w:rsid w:val="00846722"/>
    <w:rsid w:val="008467E5"/>
    <w:rsid w:val="00846840"/>
    <w:rsid w:val="008469B3"/>
    <w:rsid w:val="00846B81"/>
    <w:rsid w:val="00846D5F"/>
    <w:rsid w:val="00846FA9"/>
    <w:rsid w:val="0084732E"/>
    <w:rsid w:val="008473C8"/>
    <w:rsid w:val="008474B6"/>
    <w:rsid w:val="00847500"/>
    <w:rsid w:val="00847533"/>
    <w:rsid w:val="008475A7"/>
    <w:rsid w:val="008475CB"/>
    <w:rsid w:val="008477E1"/>
    <w:rsid w:val="00847888"/>
    <w:rsid w:val="008478D8"/>
    <w:rsid w:val="00847A93"/>
    <w:rsid w:val="00847B02"/>
    <w:rsid w:val="00847C1E"/>
    <w:rsid w:val="00847C66"/>
    <w:rsid w:val="00847DE0"/>
    <w:rsid w:val="00847E1A"/>
    <w:rsid w:val="00847E52"/>
    <w:rsid w:val="0085004C"/>
    <w:rsid w:val="008501B0"/>
    <w:rsid w:val="0085024D"/>
    <w:rsid w:val="008502D1"/>
    <w:rsid w:val="0085034D"/>
    <w:rsid w:val="008508D1"/>
    <w:rsid w:val="0085093F"/>
    <w:rsid w:val="00850D76"/>
    <w:rsid w:val="00850EDA"/>
    <w:rsid w:val="00850F17"/>
    <w:rsid w:val="00850FCC"/>
    <w:rsid w:val="0085119C"/>
    <w:rsid w:val="0085195B"/>
    <w:rsid w:val="008519FA"/>
    <w:rsid w:val="00851A8B"/>
    <w:rsid w:val="00851F09"/>
    <w:rsid w:val="00851F60"/>
    <w:rsid w:val="00851FAD"/>
    <w:rsid w:val="00851FF9"/>
    <w:rsid w:val="0085227D"/>
    <w:rsid w:val="008522CE"/>
    <w:rsid w:val="00852502"/>
    <w:rsid w:val="00852815"/>
    <w:rsid w:val="00852841"/>
    <w:rsid w:val="00852855"/>
    <w:rsid w:val="00852A9B"/>
    <w:rsid w:val="00852BCB"/>
    <w:rsid w:val="00852BE9"/>
    <w:rsid w:val="00852DD5"/>
    <w:rsid w:val="00852E1D"/>
    <w:rsid w:val="00852E6C"/>
    <w:rsid w:val="00852E87"/>
    <w:rsid w:val="00852F72"/>
    <w:rsid w:val="0085314B"/>
    <w:rsid w:val="0085315A"/>
    <w:rsid w:val="00853168"/>
    <w:rsid w:val="008531AD"/>
    <w:rsid w:val="008532F5"/>
    <w:rsid w:val="00853449"/>
    <w:rsid w:val="00853690"/>
    <w:rsid w:val="00853872"/>
    <w:rsid w:val="008538AE"/>
    <w:rsid w:val="00853C09"/>
    <w:rsid w:val="00853C2F"/>
    <w:rsid w:val="00853CF7"/>
    <w:rsid w:val="00853D3A"/>
    <w:rsid w:val="00853E2D"/>
    <w:rsid w:val="00853EF1"/>
    <w:rsid w:val="00853F25"/>
    <w:rsid w:val="00853FB0"/>
    <w:rsid w:val="00853FF4"/>
    <w:rsid w:val="008540C1"/>
    <w:rsid w:val="00854255"/>
    <w:rsid w:val="0085438F"/>
    <w:rsid w:val="0085442C"/>
    <w:rsid w:val="0085443A"/>
    <w:rsid w:val="0085444D"/>
    <w:rsid w:val="00854685"/>
    <w:rsid w:val="008548BD"/>
    <w:rsid w:val="008549E4"/>
    <w:rsid w:val="00854BBB"/>
    <w:rsid w:val="00854C29"/>
    <w:rsid w:val="00854C69"/>
    <w:rsid w:val="00854D93"/>
    <w:rsid w:val="00854EAB"/>
    <w:rsid w:val="00854F69"/>
    <w:rsid w:val="00854FC3"/>
    <w:rsid w:val="008550B3"/>
    <w:rsid w:val="008552D6"/>
    <w:rsid w:val="008553A9"/>
    <w:rsid w:val="00855577"/>
    <w:rsid w:val="00855605"/>
    <w:rsid w:val="008556B0"/>
    <w:rsid w:val="008556BB"/>
    <w:rsid w:val="00855DCF"/>
    <w:rsid w:val="00855F72"/>
    <w:rsid w:val="008560D3"/>
    <w:rsid w:val="00856488"/>
    <w:rsid w:val="0085656B"/>
    <w:rsid w:val="008566FB"/>
    <w:rsid w:val="00856A29"/>
    <w:rsid w:val="00856A41"/>
    <w:rsid w:val="00856BBA"/>
    <w:rsid w:val="00856D2B"/>
    <w:rsid w:val="00856E27"/>
    <w:rsid w:val="00856EB4"/>
    <w:rsid w:val="00856FC0"/>
    <w:rsid w:val="0085706C"/>
    <w:rsid w:val="0085707C"/>
    <w:rsid w:val="00857151"/>
    <w:rsid w:val="008571DE"/>
    <w:rsid w:val="00857236"/>
    <w:rsid w:val="0085734A"/>
    <w:rsid w:val="00857581"/>
    <w:rsid w:val="0085765B"/>
    <w:rsid w:val="00857A38"/>
    <w:rsid w:val="00857A6A"/>
    <w:rsid w:val="00857B3B"/>
    <w:rsid w:val="00857D3D"/>
    <w:rsid w:val="00857D8A"/>
    <w:rsid w:val="00857E02"/>
    <w:rsid w:val="00857E29"/>
    <w:rsid w:val="00857ED5"/>
    <w:rsid w:val="00860080"/>
    <w:rsid w:val="0086029D"/>
    <w:rsid w:val="008602B9"/>
    <w:rsid w:val="0086039A"/>
    <w:rsid w:val="008604BD"/>
    <w:rsid w:val="00860692"/>
    <w:rsid w:val="0086083B"/>
    <w:rsid w:val="00860D7D"/>
    <w:rsid w:val="00860EA0"/>
    <w:rsid w:val="00861026"/>
    <w:rsid w:val="008610C6"/>
    <w:rsid w:val="008611C6"/>
    <w:rsid w:val="0086130B"/>
    <w:rsid w:val="0086162F"/>
    <w:rsid w:val="0086176A"/>
    <w:rsid w:val="0086178B"/>
    <w:rsid w:val="008619DF"/>
    <w:rsid w:val="00861A10"/>
    <w:rsid w:val="00861AAA"/>
    <w:rsid w:val="00861E24"/>
    <w:rsid w:val="008621E6"/>
    <w:rsid w:val="00862325"/>
    <w:rsid w:val="0086236A"/>
    <w:rsid w:val="0086239B"/>
    <w:rsid w:val="008623F8"/>
    <w:rsid w:val="0086269C"/>
    <w:rsid w:val="0086270B"/>
    <w:rsid w:val="00862759"/>
    <w:rsid w:val="008629E7"/>
    <w:rsid w:val="00862B4E"/>
    <w:rsid w:val="00862C22"/>
    <w:rsid w:val="00862C7B"/>
    <w:rsid w:val="00862E55"/>
    <w:rsid w:val="0086301B"/>
    <w:rsid w:val="00863060"/>
    <w:rsid w:val="008634C3"/>
    <w:rsid w:val="0086351E"/>
    <w:rsid w:val="0086361D"/>
    <w:rsid w:val="00863672"/>
    <w:rsid w:val="008636C4"/>
    <w:rsid w:val="008636C6"/>
    <w:rsid w:val="00863A6D"/>
    <w:rsid w:val="00863AEB"/>
    <w:rsid w:val="00863BC7"/>
    <w:rsid w:val="00863FDE"/>
    <w:rsid w:val="008645AC"/>
    <w:rsid w:val="008645E6"/>
    <w:rsid w:val="0086460D"/>
    <w:rsid w:val="00864679"/>
    <w:rsid w:val="008646CE"/>
    <w:rsid w:val="0086472B"/>
    <w:rsid w:val="008647EC"/>
    <w:rsid w:val="0086486C"/>
    <w:rsid w:val="0086489D"/>
    <w:rsid w:val="00864D52"/>
    <w:rsid w:val="00864F37"/>
    <w:rsid w:val="00864F5C"/>
    <w:rsid w:val="00864F78"/>
    <w:rsid w:val="00864F84"/>
    <w:rsid w:val="0086501D"/>
    <w:rsid w:val="0086505A"/>
    <w:rsid w:val="00865104"/>
    <w:rsid w:val="00865215"/>
    <w:rsid w:val="008653D7"/>
    <w:rsid w:val="008655D4"/>
    <w:rsid w:val="0086569C"/>
    <w:rsid w:val="00865793"/>
    <w:rsid w:val="008658AA"/>
    <w:rsid w:val="008659F1"/>
    <w:rsid w:val="00865BDE"/>
    <w:rsid w:val="00865BEF"/>
    <w:rsid w:val="00865CC0"/>
    <w:rsid w:val="00865EE2"/>
    <w:rsid w:val="00865EF5"/>
    <w:rsid w:val="00865F00"/>
    <w:rsid w:val="00865F19"/>
    <w:rsid w:val="0086607A"/>
    <w:rsid w:val="0086612A"/>
    <w:rsid w:val="00866220"/>
    <w:rsid w:val="0086625A"/>
    <w:rsid w:val="008662CF"/>
    <w:rsid w:val="008663EB"/>
    <w:rsid w:val="008666D3"/>
    <w:rsid w:val="00866754"/>
    <w:rsid w:val="00866824"/>
    <w:rsid w:val="0086697C"/>
    <w:rsid w:val="00866FA1"/>
    <w:rsid w:val="00866FDC"/>
    <w:rsid w:val="00866FE5"/>
    <w:rsid w:val="0086706C"/>
    <w:rsid w:val="00867170"/>
    <w:rsid w:val="008671E7"/>
    <w:rsid w:val="00867223"/>
    <w:rsid w:val="00867291"/>
    <w:rsid w:val="0086735B"/>
    <w:rsid w:val="0086753A"/>
    <w:rsid w:val="008676DB"/>
    <w:rsid w:val="0086783C"/>
    <w:rsid w:val="00867A4A"/>
    <w:rsid w:val="00867BC0"/>
    <w:rsid w:val="00870098"/>
    <w:rsid w:val="00870136"/>
    <w:rsid w:val="008703B7"/>
    <w:rsid w:val="008705A1"/>
    <w:rsid w:val="00870714"/>
    <w:rsid w:val="00870892"/>
    <w:rsid w:val="008709B2"/>
    <w:rsid w:val="00870A4A"/>
    <w:rsid w:val="00870B4D"/>
    <w:rsid w:val="00870B9B"/>
    <w:rsid w:val="00870BBC"/>
    <w:rsid w:val="00870C3D"/>
    <w:rsid w:val="00870E9A"/>
    <w:rsid w:val="00870F3B"/>
    <w:rsid w:val="00870F77"/>
    <w:rsid w:val="008710FF"/>
    <w:rsid w:val="0087111F"/>
    <w:rsid w:val="0087128E"/>
    <w:rsid w:val="008713D2"/>
    <w:rsid w:val="008715A0"/>
    <w:rsid w:val="008716C1"/>
    <w:rsid w:val="00871907"/>
    <w:rsid w:val="00871A41"/>
    <w:rsid w:val="00871AE0"/>
    <w:rsid w:val="00871AF4"/>
    <w:rsid w:val="00871CA8"/>
    <w:rsid w:val="00871CC1"/>
    <w:rsid w:val="0087201E"/>
    <w:rsid w:val="008722F3"/>
    <w:rsid w:val="00872391"/>
    <w:rsid w:val="00872484"/>
    <w:rsid w:val="008728F7"/>
    <w:rsid w:val="0087290F"/>
    <w:rsid w:val="0087299B"/>
    <w:rsid w:val="00872A37"/>
    <w:rsid w:val="00872C3D"/>
    <w:rsid w:val="00872D4A"/>
    <w:rsid w:val="00872E0F"/>
    <w:rsid w:val="00872E7E"/>
    <w:rsid w:val="008731B7"/>
    <w:rsid w:val="0087366A"/>
    <w:rsid w:val="00873770"/>
    <w:rsid w:val="0087379F"/>
    <w:rsid w:val="00873999"/>
    <w:rsid w:val="0087399E"/>
    <w:rsid w:val="008739D2"/>
    <w:rsid w:val="00873A0E"/>
    <w:rsid w:val="00873BB7"/>
    <w:rsid w:val="00873BCC"/>
    <w:rsid w:val="00873DE7"/>
    <w:rsid w:val="00873F03"/>
    <w:rsid w:val="00874386"/>
    <w:rsid w:val="00874661"/>
    <w:rsid w:val="00874869"/>
    <w:rsid w:val="00874950"/>
    <w:rsid w:val="00874A32"/>
    <w:rsid w:val="00874ABF"/>
    <w:rsid w:val="00874AC4"/>
    <w:rsid w:val="00874C90"/>
    <w:rsid w:val="008752F0"/>
    <w:rsid w:val="008752F8"/>
    <w:rsid w:val="0087544C"/>
    <w:rsid w:val="008754DA"/>
    <w:rsid w:val="008755F2"/>
    <w:rsid w:val="008756BC"/>
    <w:rsid w:val="00875733"/>
    <w:rsid w:val="00875919"/>
    <w:rsid w:val="00875928"/>
    <w:rsid w:val="00875CD7"/>
    <w:rsid w:val="00876001"/>
    <w:rsid w:val="0087605B"/>
    <w:rsid w:val="008760AB"/>
    <w:rsid w:val="00876166"/>
    <w:rsid w:val="008761CD"/>
    <w:rsid w:val="008763CC"/>
    <w:rsid w:val="008764A6"/>
    <w:rsid w:val="008765D2"/>
    <w:rsid w:val="008765FA"/>
    <w:rsid w:val="0087687A"/>
    <w:rsid w:val="008769AE"/>
    <w:rsid w:val="00876B0F"/>
    <w:rsid w:val="00876DF8"/>
    <w:rsid w:val="00876FD9"/>
    <w:rsid w:val="0087717F"/>
    <w:rsid w:val="008771CD"/>
    <w:rsid w:val="0087724B"/>
    <w:rsid w:val="0087729A"/>
    <w:rsid w:val="00877302"/>
    <w:rsid w:val="0087731D"/>
    <w:rsid w:val="0087735E"/>
    <w:rsid w:val="00877397"/>
    <w:rsid w:val="008775F7"/>
    <w:rsid w:val="008775FC"/>
    <w:rsid w:val="00877644"/>
    <w:rsid w:val="00877652"/>
    <w:rsid w:val="008779D7"/>
    <w:rsid w:val="00877A54"/>
    <w:rsid w:val="00877AAC"/>
    <w:rsid w:val="00877B49"/>
    <w:rsid w:val="00877D28"/>
    <w:rsid w:val="0087EE82"/>
    <w:rsid w:val="0088002F"/>
    <w:rsid w:val="00880058"/>
    <w:rsid w:val="008800A0"/>
    <w:rsid w:val="00880147"/>
    <w:rsid w:val="00880386"/>
    <w:rsid w:val="008803A0"/>
    <w:rsid w:val="008803B6"/>
    <w:rsid w:val="008804EA"/>
    <w:rsid w:val="00880541"/>
    <w:rsid w:val="0088088A"/>
    <w:rsid w:val="00880BEB"/>
    <w:rsid w:val="00881016"/>
    <w:rsid w:val="0088101D"/>
    <w:rsid w:val="0088124B"/>
    <w:rsid w:val="008813A8"/>
    <w:rsid w:val="00881741"/>
    <w:rsid w:val="00881779"/>
    <w:rsid w:val="008817B9"/>
    <w:rsid w:val="0088184E"/>
    <w:rsid w:val="008819BB"/>
    <w:rsid w:val="008819D7"/>
    <w:rsid w:val="00881B9F"/>
    <w:rsid w:val="00881BC5"/>
    <w:rsid w:val="00881CF5"/>
    <w:rsid w:val="00881DEC"/>
    <w:rsid w:val="00881EFC"/>
    <w:rsid w:val="00882095"/>
    <w:rsid w:val="008821EE"/>
    <w:rsid w:val="0088223A"/>
    <w:rsid w:val="00882477"/>
    <w:rsid w:val="0088247C"/>
    <w:rsid w:val="008829AF"/>
    <w:rsid w:val="00882A1D"/>
    <w:rsid w:val="00882D03"/>
    <w:rsid w:val="00882D34"/>
    <w:rsid w:val="00882DC8"/>
    <w:rsid w:val="00883100"/>
    <w:rsid w:val="00883165"/>
    <w:rsid w:val="00883179"/>
    <w:rsid w:val="008831A7"/>
    <w:rsid w:val="008831DE"/>
    <w:rsid w:val="0088326B"/>
    <w:rsid w:val="008832A6"/>
    <w:rsid w:val="008835A9"/>
    <w:rsid w:val="00883665"/>
    <w:rsid w:val="00883818"/>
    <w:rsid w:val="008838BB"/>
    <w:rsid w:val="008839F3"/>
    <w:rsid w:val="00883B03"/>
    <w:rsid w:val="00883D94"/>
    <w:rsid w:val="0088402B"/>
    <w:rsid w:val="008841FA"/>
    <w:rsid w:val="0088421C"/>
    <w:rsid w:val="008842A3"/>
    <w:rsid w:val="00884394"/>
    <w:rsid w:val="00884399"/>
    <w:rsid w:val="00884747"/>
    <w:rsid w:val="00884873"/>
    <w:rsid w:val="00884943"/>
    <w:rsid w:val="00884B31"/>
    <w:rsid w:val="00884CED"/>
    <w:rsid w:val="00884FC7"/>
    <w:rsid w:val="00885439"/>
    <w:rsid w:val="00885650"/>
    <w:rsid w:val="0088565D"/>
    <w:rsid w:val="00885688"/>
    <w:rsid w:val="008857E9"/>
    <w:rsid w:val="0088595F"/>
    <w:rsid w:val="00885A58"/>
    <w:rsid w:val="00885A9E"/>
    <w:rsid w:val="00885ADD"/>
    <w:rsid w:val="00885D44"/>
    <w:rsid w:val="00885E7B"/>
    <w:rsid w:val="00885E99"/>
    <w:rsid w:val="0088611A"/>
    <w:rsid w:val="00886198"/>
    <w:rsid w:val="008861FD"/>
    <w:rsid w:val="008863EC"/>
    <w:rsid w:val="008864D5"/>
    <w:rsid w:val="00886554"/>
    <w:rsid w:val="0088687F"/>
    <w:rsid w:val="0088689E"/>
    <w:rsid w:val="00886A38"/>
    <w:rsid w:val="00886A66"/>
    <w:rsid w:val="00886A82"/>
    <w:rsid w:val="00886B6E"/>
    <w:rsid w:val="00886C00"/>
    <w:rsid w:val="00886D7F"/>
    <w:rsid w:val="00886E3A"/>
    <w:rsid w:val="0088704F"/>
    <w:rsid w:val="00887081"/>
    <w:rsid w:val="008872BC"/>
    <w:rsid w:val="008872FA"/>
    <w:rsid w:val="008876EC"/>
    <w:rsid w:val="00887970"/>
    <w:rsid w:val="008879C8"/>
    <w:rsid w:val="008879CF"/>
    <w:rsid w:val="00887C93"/>
    <w:rsid w:val="00887D28"/>
    <w:rsid w:val="00887D87"/>
    <w:rsid w:val="00887DBF"/>
    <w:rsid w:val="00887E28"/>
    <w:rsid w:val="00887F7A"/>
    <w:rsid w:val="00890159"/>
    <w:rsid w:val="00890251"/>
    <w:rsid w:val="00890525"/>
    <w:rsid w:val="0089055C"/>
    <w:rsid w:val="008905EB"/>
    <w:rsid w:val="0089061F"/>
    <w:rsid w:val="008906BA"/>
    <w:rsid w:val="008907FE"/>
    <w:rsid w:val="00890847"/>
    <w:rsid w:val="008908CD"/>
    <w:rsid w:val="00890A8F"/>
    <w:rsid w:val="00890A95"/>
    <w:rsid w:val="00890AAF"/>
    <w:rsid w:val="00890AE6"/>
    <w:rsid w:val="00890D1D"/>
    <w:rsid w:val="00890D4B"/>
    <w:rsid w:val="00890DEC"/>
    <w:rsid w:val="00890E9C"/>
    <w:rsid w:val="008910E6"/>
    <w:rsid w:val="0089122A"/>
    <w:rsid w:val="00891406"/>
    <w:rsid w:val="00891428"/>
    <w:rsid w:val="008915A0"/>
    <w:rsid w:val="008915C8"/>
    <w:rsid w:val="00891A88"/>
    <w:rsid w:val="00891C2E"/>
    <w:rsid w:val="00891CBA"/>
    <w:rsid w:val="00891CF7"/>
    <w:rsid w:val="00891DCD"/>
    <w:rsid w:val="00891DDE"/>
    <w:rsid w:val="00891F89"/>
    <w:rsid w:val="00892123"/>
    <w:rsid w:val="008921D8"/>
    <w:rsid w:val="008922A2"/>
    <w:rsid w:val="00892656"/>
    <w:rsid w:val="00892A4E"/>
    <w:rsid w:val="00892D20"/>
    <w:rsid w:val="00892E59"/>
    <w:rsid w:val="00892EA7"/>
    <w:rsid w:val="008932AA"/>
    <w:rsid w:val="008932B7"/>
    <w:rsid w:val="00893339"/>
    <w:rsid w:val="00893856"/>
    <w:rsid w:val="008938CD"/>
    <w:rsid w:val="0089396F"/>
    <w:rsid w:val="00893987"/>
    <w:rsid w:val="00893DC0"/>
    <w:rsid w:val="00893E13"/>
    <w:rsid w:val="00893E53"/>
    <w:rsid w:val="00893EC8"/>
    <w:rsid w:val="008940F5"/>
    <w:rsid w:val="00894253"/>
    <w:rsid w:val="0089443C"/>
    <w:rsid w:val="00894563"/>
    <w:rsid w:val="008945AC"/>
    <w:rsid w:val="0089461F"/>
    <w:rsid w:val="008946D4"/>
    <w:rsid w:val="00894745"/>
    <w:rsid w:val="008947C1"/>
    <w:rsid w:val="00894883"/>
    <w:rsid w:val="008948B9"/>
    <w:rsid w:val="00894AB0"/>
    <w:rsid w:val="00894C34"/>
    <w:rsid w:val="00894C8C"/>
    <w:rsid w:val="00894CE4"/>
    <w:rsid w:val="00895026"/>
    <w:rsid w:val="008953AD"/>
    <w:rsid w:val="00895439"/>
    <w:rsid w:val="00895445"/>
    <w:rsid w:val="008954B3"/>
    <w:rsid w:val="0089551D"/>
    <w:rsid w:val="008957B1"/>
    <w:rsid w:val="00895803"/>
    <w:rsid w:val="00895839"/>
    <w:rsid w:val="00895ACD"/>
    <w:rsid w:val="00895CEE"/>
    <w:rsid w:val="00895D0A"/>
    <w:rsid w:val="00895D14"/>
    <w:rsid w:val="00895F14"/>
    <w:rsid w:val="0089614D"/>
    <w:rsid w:val="00896183"/>
    <w:rsid w:val="008964A5"/>
    <w:rsid w:val="00896516"/>
    <w:rsid w:val="0089658A"/>
    <w:rsid w:val="00896656"/>
    <w:rsid w:val="00896731"/>
    <w:rsid w:val="008967A6"/>
    <w:rsid w:val="008967CA"/>
    <w:rsid w:val="008969AB"/>
    <w:rsid w:val="00896A2A"/>
    <w:rsid w:val="00896AB0"/>
    <w:rsid w:val="00896B1B"/>
    <w:rsid w:val="00896B30"/>
    <w:rsid w:val="00896CB7"/>
    <w:rsid w:val="00896D71"/>
    <w:rsid w:val="00896E26"/>
    <w:rsid w:val="008972B1"/>
    <w:rsid w:val="00897397"/>
    <w:rsid w:val="0089746F"/>
    <w:rsid w:val="0089747A"/>
    <w:rsid w:val="008975FC"/>
    <w:rsid w:val="0089771A"/>
    <w:rsid w:val="00897846"/>
    <w:rsid w:val="008978B8"/>
    <w:rsid w:val="00897B83"/>
    <w:rsid w:val="00897D48"/>
    <w:rsid w:val="00897DA3"/>
    <w:rsid w:val="00897EE1"/>
    <w:rsid w:val="008A01A1"/>
    <w:rsid w:val="008A023D"/>
    <w:rsid w:val="008A0241"/>
    <w:rsid w:val="008A02A2"/>
    <w:rsid w:val="008A041F"/>
    <w:rsid w:val="008A04BF"/>
    <w:rsid w:val="008A0577"/>
    <w:rsid w:val="008A088F"/>
    <w:rsid w:val="008A0984"/>
    <w:rsid w:val="008A0A4D"/>
    <w:rsid w:val="008A0B37"/>
    <w:rsid w:val="008A0CCB"/>
    <w:rsid w:val="008A0E9B"/>
    <w:rsid w:val="008A0F69"/>
    <w:rsid w:val="008A1097"/>
    <w:rsid w:val="008A1104"/>
    <w:rsid w:val="008A12E1"/>
    <w:rsid w:val="008A142A"/>
    <w:rsid w:val="008A142B"/>
    <w:rsid w:val="008A154F"/>
    <w:rsid w:val="008A15D3"/>
    <w:rsid w:val="008A2228"/>
    <w:rsid w:val="008A24E0"/>
    <w:rsid w:val="008A2577"/>
    <w:rsid w:val="008A26AC"/>
    <w:rsid w:val="008A2AB4"/>
    <w:rsid w:val="008A2C16"/>
    <w:rsid w:val="008A2D30"/>
    <w:rsid w:val="008A2EC1"/>
    <w:rsid w:val="008A3116"/>
    <w:rsid w:val="008A31BC"/>
    <w:rsid w:val="008A327A"/>
    <w:rsid w:val="008A33B6"/>
    <w:rsid w:val="008A3435"/>
    <w:rsid w:val="008A34FF"/>
    <w:rsid w:val="008A352C"/>
    <w:rsid w:val="008A365B"/>
    <w:rsid w:val="008A385F"/>
    <w:rsid w:val="008A386C"/>
    <w:rsid w:val="008A38C5"/>
    <w:rsid w:val="008A3914"/>
    <w:rsid w:val="008A3A86"/>
    <w:rsid w:val="008A3B14"/>
    <w:rsid w:val="008A3B3B"/>
    <w:rsid w:val="008A3BEE"/>
    <w:rsid w:val="008A3CB2"/>
    <w:rsid w:val="008A3D8D"/>
    <w:rsid w:val="008A3DC4"/>
    <w:rsid w:val="008A3F8B"/>
    <w:rsid w:val="008A4139"/>
    <w:rsid w:val="008A421D"/>
    <w:rsid w:val="008A434A"/>
    <w:rsid w:val="008A43C0"/>
    <w:rsid w:val="008A4407"/>
    <w:rsid w:val="008A440A"/>
    <w:rsid w:val="008A45A1"/>
    <w:rsid w:val="008A462A"/>
    <w:rsid w:val="008A485E"/>
    <w:rsid w:val="008A4A3C"/>
    <w:rsid w:val="008A4AF8"/>
    <w:rsid w:val="008A4BBA"/>
    <w:rsid w:val="008A4CD0"/>
    <w:rsid w:val="008A4ECB"/>
    <w:rsid w:val="008A4FE1"/>
    <w:rsid w:val="008A4FEA"/>
    <w:rsid w:val="008A4FED"/>
    <w:rsid w:val="008A535C"/>
    <w:rsid w:val="008A5446"/>
    <w:rsid w:val="008A561A"/>
    <w:rsid w:val="008A5662"/>
    <w:rsid w:val="008A5846"/>
    <w:rsid w:val="008A588E"/>
    <w:rsid w:val="008A58E7"/>
    <w:rsid w:val="008A59C1"/>
    <w:rsid w:val="008A5B0C"/>
    <w:rsid w:val="008A5B1C"/>
    <w:rsid w:val="008A5C2B"/>
    <w:rsid w:val="008A5E5A"/>
    <w:rsid w:val="008A5EB8"/>
    <w:rsid w:val="008A60FB"/>
    <w:rsid w:val="008A6155"/>
    <w:rsid w:val="008A61A6"/>
    <w:rsid w:val="008A61F1"/>
    <w:rsid w:val="008A6262"/>
    <w:rsid w:val="008A62CD"/>
    <w:rsid w:val="008A63DC"/>
    <w:rsid w:val="008A6827"/>
    <w:rsid w:val="008A6B4C"/>
    <w:rsid w:val="008A6BBD"/>
    <w:rsid w:val="008A6D30"/>
    <w:rsid w:val="008A6D6A"/>
    <w:rsid w:val="008A6EB5"/>
    <w:rsid w:val="008A70AD"/>
    <w:rsid w:val="008A710B"/>
    <w:rsid w:val="008A7241"/>
    <w:rsid w:val="008A7510"/>
    <w:rsid w:val="008A76AB"/>
    <w:rsid w:val="008A78E6"/>
    <w:rsid w:val="008A799D"/>
    <w:rsid w:val="008A7B99"/>
    <w:rsid w:val="008A7CAE"/>
    <w:rsid w:val="008A7D00"/>
    <w:rsid w:val="008A7D56"/>
    <w:rsid w:val="008A7EE1"/>
    <w:rsid w:val="008B0108"/>
    <w:rsid w:val="008B01D7"/>
    <w:rsid w:val="008B030B"/>
    <w:rsid w:val="008B0337"/>
    <w:rsid w:val="008B0362"/>
    <w:rsid w:val="008B03FC"/>
    <w:rsid w:val="008B040A"/>
    <w:rsid w:val="008B0541"/>
    <w:rsid w:val="008B066F"/>
    <w:rsid w:val="008B097A"/>
    <w:rsid w:val="008B0A72"/>
    <w:rsid w:val="008B0DF4"/>
    <w:rsid w:val="008B0ED1"/>
    <w:rsid w:val="008B0EFB"/>
    <w:rsid w:val="008B0F22"/>
    <w:rsid w:val="008B0F4F"/>
    <w:rsid w:val="008B0FAB"/>
    <w:rsid w:val="008B0FE7"/>
    <w:rsid w:val="008B103C"/>
    <w:rsid w:val="008B1205"/>
    <w:rsid w:val="008B1321"/>
    <w:rsid w:val="008B14D6"/>
    <w:rsid w:val="008B168C"/>
    <w:rsid w:val="008B16C2"/>
    <w:rsid w:val="008B175A"/>
    <w:rsid w:val="008B190B"/>
    <w:rsid w:val="008B1952"/>
    <w:rsid w:val="008B1C07"/>
    <w:rsid w:val="008B1C23"/>
    <w:rsid w:val="008B1E8E"/>
    <w:rsid w:val="008B1F14"/>
    <w:rsid w:val="008B1F3D"/>
    <w:rsid w:val="008B2081"/>
    <w:rsid w:val="008B21C6"/>
    <w:rsid w:val="008B21C9"/>
    <w:rsid w:val="008B2474"/>
    <w:rsid w:val="008B26B1"/>
    <w:rsid w:val="008B26BB"/>
    <w:rsid w:val="008B28F7"/>
    <w:rsid w:val="008B290B"/>
    <w:rsid w:val="008B2973"/>
    <w:rsid w:val="008B298B"/>
    <w:rsid w:val="008B29CC"/>
    <w:rsid w:val="008B2A3B"/>
    <w:rsid w:val="008B2C1D"/>
    <w:rsid w:val="008B2C23"/>
    <w:rsid w:val="008B2D1C"/>
    <w:rsid w:val="008B2FBE"/>
    <w:rsid w:val="008B311B"/>
    <w:rsid w:val="008B319C"/>
    <w:rsid w:val="008B325E"/>
    <w:rsid w:val="008B34BD"/>
    <w:rsid w:val="008B3747"/>
    <w:rsid w:val="008B378A"/>
    <w:rsid w:val="008B3901"/>
    <w:rsid w:val="008B3A7B"/>
    <w:rsid w:val="008B3CB3"/>
    <w:rsid w:val="008B3D08"/>
    <w:rsid w:val="008B3F6C"/>
    <w:rsid w:val="008B407B"/>
    <w:rsid w:val="008B41CE"/>
    <w:rsid w:val="008B4206"/>
    <w:rsid w:val="008B4447"/>
    <w:rsid w:val="008B4477"/>
    <w:rsid w:val="008B45B1"/>
    <w:rsid w:val="008B4689"/>
    <w:rsid w:val="008B477B"/>
    <w:rsid w:val="008B478B"/>
    <w:rsid w:val="008B47CF"/>
    <w:rsid w:val="008B4B1C"/>
    <w:rsid w:val="008B4C72"/>
    <w:rsid w:val="008B4DA2"/>
    <w:rsid w:val="008B4ECD"/>
    <w:rsid w:val="008B4F34"/>
    <w:rsid w:val="008B4F64"/>
    <w:rsid w:val="008B533D"/>
    <w:rsid w:val="008B5476"/>
    <w:rsid w:val="008B580C"/>
    <w:rsid w:val="008B5906"/>
    <w:rsid w:val="008B59CF"/>
    <w:rsid w:val="008B5A2D"/>
    <w:rsid w:val="008B5A6F"/>
    <w:rsid w:val="008B5A8D"/>
    <w:rsid w:val="008B5AEB"/>
    <w:rsid w:val="008B5B7D"/>
    <w:rsid w:val="008B5B90"/>
    <w:rsid w:val="008B5C81"/>
    <w:rsid w:val="008B5DB9"/>
    <w:rsid w:val="008B5ED3"/>
    <w:rsid w:val="008B607D"/>
    <w:rsid w:val="008B62C3"/>
    <w:rsid w:val="008B62C8"/>
    <w:rsid w:val="008B6311"/>
    <w:rsid w:val="008B63ED"/>
    <w:rsid w:val="008B642F"/>
    <w:rsid w:val="008B66EA"/>
    <w:rsid w:val="008B6794"/>
    <w:rsid w:val="008B6AF4"/>
    <w:rsid w:val="008B6BD7"/>
    <w:rsid w:val="008B6C46"/>
    <w:rsid w:val="008B6D57"/>
    <w:rsid w:val="008B7090"/>
    <w:rsid w:val="008B71BA"/>
    <w:rsid w:val="008B7365"/>
    <w:rsid w:val="008B74CB"/>
    <w:rsid w:val="008B7553"/>
    <w:rsid w:val="008B7572"/>
    <w:rsid w:val="008B75A8"/>
    <w:rsid w:val="008B75E1"/>
    <w:rsid w:val="008B78D1"/>
    <w:rsid w:val="008B7954"/>
    <w:rsid w:val="008B7A0B"/>
    <w:rsid w:val="008B7A71"/>
    <w:rsid w:val="008B7CA0"/>
    <w:rsid w:val="008B7D0D"/>
    <w:rsid w:val="008B7DD6"/>
    <w:rsid w:val="008B7EBB"/>
    <w:rsid w:val="008B7EF7"/>
    <w:rsid w:val="008C0026"/>
    <w:rsid w:val="008C008B"/>
    <w:rsid w:val="008C00B5"/>
    <w:rsid w:val="008C0489"/>
    <w:rsid w:val="008C08B9"/>
    <w:rsid w:val="008C0A61"/>
    <w:rsid w:val="008C0AB5"/>
    <w:rsid w:val="008C0BBC"/>
    <w:rsid w:val="008C0D0F"/>
    <w:rsid w:val="008C0D88"/>
    <w:rsid w:val="008C0F14"/>
    <w:rsid w:val="008C1097"/>
    <w:rsid w:val="008C1120"/>
    <w:rsid w:val="008C1149"/>
    <w:rsid w:val="008C11D6"/>
    <w:rsid w:val="008C11F3"/>
    <w:rsid w:val="008C11F7"/>
    <w:rsid w:val="008C141A"/>
    <w:rsid w:val="008C1477"/>
    <w:rsid w:val="008C1514"/>
    <w:rsid w:val="008C1621"/>
    <w:rsid w:val="008C194F"/>
    <w:rsid w:val="008C1990"/>
    <w:rsid w:val="008C19AD"/>
    <w:rsid w:val="008C1A65"/>
    <w:rsid w:val="008C1ACA"/>
    <w:rsid w:val="008C1B0A"/>
    <w:rsid w:val="008C1C1D"/>
    <w:rsid w:val="008C1C93"/>
    <w:rsid w:val="008C1D9E"/>
    <w:rsid w:val="008C1FB9"/>
    <w:rsid w:val="008C2469"/>
    <w:rsid w:val="008C24D9"/>
    <w:rsid w:val="008C25AC"/>
    <w:rsid w:val="008C2792"/>
    <w:rsid w:val="008C280A"/>
    <w:rsid w:val="008C296E"/>
    <w:rsid w:val="008C2AAF"/>
    <w:rsid w:val="008C2B48"/>
    <w:rsid w:val="008C2D24"/>
    <w:rsid w:val="008C2D68"/>
    <w:rsid w:val="008C2D82"/>
    <w:rsid w:val="008C2F7F"/>
    <w:rsid w:val="008C30FB"/>
    <w:rsid w:val="008C3262"/>
    <w:rsid w:val="008C3272"/>
    <w:rsid w:val="008C32A4"/>
    <w:rsid w:val="008C32EC"/>
    <w:rsid w:val="008C33A1"/>
    <w:rsid w:val="008C34BA"/>
    <w:rsid w:val="008C354B"/>
    <w:rsid w:val="008C38C1"/>
    <w:rsid w:val="008C3B36"/>
    <w:rsid w:val="008C3BF8"/>
    <w:rsid w:val="008C3C15"/>
    <w:rsid w:val="008C3D36"/>
    <w:rsid w:val="008C40CD"/>
    <w:rsid w:val="008C4119"/>
    <w:rsid w:val="008C4180"/>
    <w:rsid w:val="008C41C4"/>
    <w:rsid w:val="008C41C5"/>
    <w:rsid w:val="008C42B0"/>
    <w:rsid w:val="008C42EB"/>
    <w:rsid w:val="008C4353"/>
    <w:rsid w:val="008C4438"/>
    <w:rsid w:val="008C446C"/>
    <w:rsid w:val="008C453F"/>
    <w:rsid w:val="008C4657"/>
    <w:rsid w:val="008C46AA"/>
    <w:rsid w:val="008C474A"/>
    <w:rsid w:val="008C47BD"/>
    <w:rsid w:val="008C4C2B"/>
    <w:rsid w:val="008C4CF6"/>
    <w:rsid w:val="008C4F08"/>
    <w:rsid w:val="008C4F7B"/>
    <w:rsid w:val="008C4FAE"/>
    <w:rsid w:val="008C50BB"/>
    <w:rsid w:val="008C5178"/>
    <w:rsid w:val="008C51C6"/>
    <w:rsid w:val="008C520D"/>
    <w:rsid w:val="008C53D5"/>
    <w:rsid w:val="008C54BA"/>
    <w:rsid w:val="008C586E"/>
    <w:rsid w:val="008C5A16"/>
    <w:rsid w:val="008C5AA3"/>
    <w:rsid w:val="008C5AF4"/>
    <w:rsid w:val="008C5B90"/>
    <w:rsid w:val="008C5DC7"/>
    <w:rsid w:val="008C5EE0"/>
    <w:rsid w:val="008C604F"/>
    <w:rsid w:val="008C613E"/>
    <w:rsid w:val="008C6171"/>
    <w:rsid w:val="008C6296"/>
    <w:rsid w:val="008C657B"/>
    <w:rsid w:val="008C6707"/>
    <w:rsid w:val="008C6794"/>
    <w:rsid w:val="008C6ACC"/>
    <w:rsid w:val="008C6AD3"/>
    <w:rsid w:val="008C6D1E"/>
    <w:rsid w:val="008C6E4B"/>
    <w:rsid w:val="008C6EEA"/>
    <w:rsid w:val="008C6F12"/>
    <w:rsid w:val="008C6F1E"/>
    <w:rsid w:val="008C6F9A"/>
    <w:rsid w:val="008C7115"/>
    <w:rsid w:val="008C7270"/>
    <w:rsid w:val="008C72A5"/>
    <w:rsid w:val="008C7346"/>
    <w:rsid w:val="008C73A8"/>
    <w:rsid w:val="008C75FA"/>
    <w:rsid w:val="008C7679"/>
    <w:rsid w:val="008C7699"/>
    <w:rsid w:val="008C76B5"/>
    <w:rsid w:val="008C7724"/>
    <w:rsid w:val="008C790C"/>
    <w:rsid w:val="008C792D"/>
    <w:rsid w:val="008C7A79"/>
    <w:rsid w:val="008C7F3A"/>
    <w:rsid w:val="008D01AB"/>
    <w:rsid w:val="008D0221"/>
    <w:rsid w:val="008D0411"/>
    <w:rsid w:val="008D041A"/>
    <w:rsid w:val="008D045D"/>
    <w:rsid w:val="008D047A"/>
    <w:rsid w:val="008D05A4"/>
    <w:rsid w:val="008D065B"/>
    <w:rsid w:val="008D09F7"/>
    <w:rsid w:val="008D0A2E"/>
    <w:rsid w:val="008D0ACC"/>
    <w:rsid w:val="008D0F52"/>
    <w:rsid w:val="008D0FB5"/>
    <w:rsid w:val="008D1498"/>
    <w:rsid w:val="008D15F1"/>
    <w:rsid w:val="008D165E"/>
    <w:rsid w:val="008D17D8"/>
    <w:rsid w:val="008D17E9"/>
    <w:rsid w:val="008D1954"/>
    <w:rsid w:val="008D199F"/>
    <w:rsid w:val="008D19A0"/>
    <w:rsid w:val="008D1E47"/>
    <w:rsid w:val="008D200E"/>
    <w:rsid w:val="008D213D"/>
    <w:rsid w:val="008D224B"/>
    <w:rsid w:val="008D22C6"/>
    <w:rsid w:val="008D237C"/>
    <w:rsid w:val="008D24B0"/>
    <w:rsid w:val="008D2597"/>
    <w:rsid w:val="008D266E"/>
    <w:rsid w:val="008D27CA"/>
    <w:rsid w:val="008D28B0"/>
    <w:rsid w:val="008D28C7"/>
    <w:rsid w:val="008D29A8"/>
    <w:rsid w:val="008D2A11"/>
    <w:rsid w:val="008D2A77"/>
    <w:rsid w:val="008D2A8A"/>
    <w:rsid w:val="008D2D01"/>
    <w:rsid w:val="008D3776"/>
    <w:rsid w:val="008D3A0F"/>
    <w:rsid w:val="008D3A80"/>
    <w:rsid w:val="008D3FF0"/>
    <w:rsid w:val="008D4021"/>
    <w:rsid w:val="008D4206"/>
    <w:rsid w:val="008D427E"/>
    <w:rsid w:val="008D42EE"/>
    <w:rsid w:val="008D42FA"/>
    <w:rsid w:val="008D44F9"/>
    <w:rsid w:val="008D4534"/>
    <w:rsid w:val="008D4563"/>
    <w:rsid w:val="008D468B"/>
    <w:rsid w:val="008D47E8"/>
    <w:rsid w:val="008D4824"/>
    <w:rsid w:val="008D48E1"/>
    <w:rsid w:val="008D49B4"/>
    <w:rsid w:val="008D4A14"/>
    <w:rsid w:val="008D4BC1"/>
    <w:rsid w:val="008D4CC4"/>
    <w:rsid w:val="008D4D55"/>
    <w:rsid w:val="008D4DA7"/>
    <w:rsid w:val="008D4ED2"/>
    <w:rsid w:val="008D4F99"/>
    <w:rsid w:val="008D4FA0"/>
    <w:rsid w:val="008D5045"/>
    <w:rsid w:val="008D5073"/>
    <w:rsid w:val="008D50A8"/>
    <w:rsid w:val="008D53FC"/>
    <w:rsid w:val="008D55A7"/>
    <w:rsid w:val="008D5658"/>
    <w:rsid w:val="008D56C3"/>
    <w:rsid w:val="008D577A"/>
    <w:rsid w:val="008D59F9"/>
    <w:rsid w:val="008D62B0"/>
    <w:rsid w:val="008D656A"/>
    <w:rsid w:val="008D66CA"/>
    <w:rsid w:val="008D6877"/>
    <w:rsid w:val="008D6A23"/>
    <w:rsid w:val="008D7691"/>
    <w:rsid w:val="008D7823"/>
    <w:rsid w:val="008D78FB"/>
    <w:rsid w:val="008D790E"/>
    <w:rsid w:val="008D7930"/>
    <w:rsid w:val="008D7C33"/>
    <w:rsid w:val="008D7E86"/>
    <w:rsid w:val="008E018A"/>
    <w:rsid w:val="008E01A2"/>
    <w:rsid w:val="008E02A1"/>
    <w:rsid w:val="008E02A3"/>
    <w:rsid w:val="008E0552"/>
    <w:rsid w:val="008E0972"/>
    <w:rsid w:val="008E0A71"/>
    <w:rsid w:val="008E0A89"/>
    <w:rsid w:val="008E0A91"/>
    <w:rsid w:val="008E0C14"/>
    <w:rsid w:val="008E0C20"/>
    <w:rsid w:val="008E0C60"/>
    <w:rsid w:val="008E0CBB"/>
    <w:rsid w:val="008E0CD3"/>
    <w:rsid w:val="008E0F21"/>
    <w:rsid w:val="008E0F4D"/>
    <w:rsid w:val="008E0F58"/>
    <w:rsid w:val="008E1043"/>
    <w:rsid w:val="008E10F0"/>
    <w:rsid w:val="008E11EB"/>
    <w:rsid w:val="008E133A"/>
    <w:rsid w:val="008E13D1"/>
    <w:rsid w:val="008E14F5"/>
    <w:rsid w:val="008E15DA"/>
    <w:rsid w:val="008E1635"/>
    <w:rsid w:val="008E1700"/>
    <w:rsid w:val="008E174C"/>
    <w:rsid w:val="008E1783"/>
    <w:rsid w:val="008E17A8"/>
    <w:rsid w:val="008E1810"/>
    <w:rsid w:val="008E1C29"/>
    <w:rsid w:val="008E1CD9"/>
    <w:rsid w:val="008E1D4E"/>
    <w:rsid w:val="008E1D68"/>
    <w:rsid w:val="008E21FF"/>
    <w:rsid w:val="008E2379"/>
    <w:rsid w:val="008E2405"/>
    <w:rsid w:val="008E2452"/>
    <w:rsid w:val="008E24F0"/>
    <w:rsid w:val="008E2584"/>
    <w:rsid w:val="008E25E6"/>
    <w:rsid w:val="008E25E8"/>
    <w:rsid w:val="008E25FB"/>
    <w:rsid w:val="008E27A3"/>
    <w:rsid w:val="008E2985"/>
    <w:rsid w:val="008E2B34"/>
    <w:rsid w:val="008E2E35"/>
    <w:rsid w:val="008E2EF9"/>
    <w:rsid w:val="008E3034"/>
    <w:rsid w:val="008E3181"/>
    <w:rsid w:val="008E3290"/>
    <w:rsid w:val="008E3315"/>
    <w:rsid w:val="008E337E"/>
    <w:rsid w:val="008E33F7"/>
    <w:rsid w:val="008E3509"/>
    <w:rsid w:val="008E3544"/>
    <w:rsid w:val="008E3579"/>
    <w:rsid w:val="008E35A1"/>
    <w:rsid w:val="008E375B"/>
    <w:rsid w:val="008E3782"/>
    <w:rsid w:val="008E380D"/>
    <w:rsid w:val="008E3949"/>
    <w:rsid w:val="008E3A5A"/>
    <w:rsid w:val="008E3BB5"/>
    <w:rsid w:val="008E3C4A"/>
    <w:rsid w:val="008E3C7D"/>
    <w:rsid w:val="008E3C8B"/>
    <w:rsid w:val="008E3D01"/>
    <w:rsid w:val="008E3E3A"/>
    <w:rsid w:val="008E3FB8"/>
    <w:rsid w:val="008E3FD0"/>
    <w:rsid w:val="008E3FEF"/>
    <w:rsid w:val="008E4001"/>
    <w:rsid w:val="008E418A"/>
    <w:rsid w:val="008E423E"/>
    <w:rsid w:val="008E4362"/>
    <w:rsid w:val="008E4513"/>
    <w:rsid w:val="008E4560"/>
    <w:rsid w:val="008E45E5"/>
    <w:rsid w:val="008E480A"/>
    <w:rsid w:val="008E4934"/>
    <w:rsid w:val="008E4B4C"/>
    <w:rsid w:val="008E4C0E"/>
    <w:rsid w:val="008E4EC4"/>
    <w:rsid w:val="008E4FEE"/>
    <w:rsid w:val="008E50D5"/>
    <w:rsid w:val="008E5276"/>
    <w:rsid w:val="008E5329"/>
    <w:rsid w:val="008E5343"/>
    <w:rsid w:val="008E562F"/>
    <w:rsid w:val="008E5883"/>
    <w:rsid w:val="008E591C"/>
    <w:rsid w:val="008E596F"/>
    <w:rsid w:val="008E5B23"/>
    <w:rsid w:val="008E5B94"/>
    <w:rsid w:val="008E5C64"/>
    <w:rsid w:val="008E5C8F"/>
    <w:rsid w:val="008E6002"/>
    <w:rsid w:val="008E6493"/>
    <w:rsid w:val="008E64A8"/>
    <w:rsid w:val="008E6554"/>
    <w:rsid w:val="008E65D0"/>
    <w:rsid w:val="008E66C1"/>
    <w:rsid w:val="008E66EB"/>
    <w:rsid w:val="008E6705"/>
    <w:rsid w:val="008E6744"/>
    <w:rsid w:val="008E6BDF"/>
    <w:rsid w:val="008E6C5F"/>
    <w:rsid w:val="008E6CAE"/>
    <w:rsid w:val="008E6E52"/>
    <w:rsid w:val="008E6E8C"/>
    <w:rsid w:val="008E6EC7"/>
    <w:rsid w:val="008E700C"/>
    <w:rsid w:val="008E710C"/>
    <w:rsid w:val="008E711F"/>
    <w:rsid w:val="008E72E7"/>
    <w:rsid w:val="008E74ED"/>
    <w:rsid w:val="008E758F"/>
    <w:rsid w:val="008E75D8"/>
    <w:rsid w:val="008E7629"/>
    <w:rsid w:val="008E7649"/>
    <w:rsid w:val="008E7692"/>
    <w:rsid w:val="008E79E2"/>
    <w:rsid w:val="008E7A36"/>
    <w:rsid w:val="008E7BFF"/>
    <w:rsid w:val="008E7CE5"/>
    <w:rsid w:val="008F009B"/>
    <w:rsid w:val="008F0103"/>
    <w:rsid w:val="008F0337"/>
    <w:rsid w:val="008F04E1"/>
    <w:rsid w:val="008F0583"/>
    <w:rsid w:val="008F0642"/>
    <w:rsid w:val="008F06A2"/>
    <w:rsid w:val="008F071C"/>
    <w:rsid w:val="008F0766"/>
    <w:rsid w:val="008F0B17"/>
    <w:rsid w:val="008F0C90"/>
    <w:rsid w:val="008F0DC3"/>
    <w:rsid w:val="008F0F9A"/>
    <w:rsid w:val="008F1036"/>
    <w:rsid w:val="008F108E"/>
    <w:rsid w:val="008F138D"/>
    <w:rsid w:val="008F13C1"/>
    <w:rsid w:val="008F1420"/>
    <w:rsid w:val="008F1437"/>
    <w:rsid w:val="008F145E"/>
    <w:rsid w:val="008F1509"/>
    <w:rsid w:val="008F1842"/>
    <w:rsid w:val="008F1896"/>
    <w:rsid w:val="008F18D0"/>
    <w:rsid w:val="008F1A36"/>
    <w:rsid w:val="008F1A51"/>
    <w:rsid w:val="008F1B0D"/>
    <w:rsid w:val="008F1C3C"/>
    <w:rsid w:val="008F1CCE"/>
    <w:rsid w:val="008F1DAC"/>
    <w:rsid w:val="008F2068"/>
    <w:rsid w:val="008F2121"/>
    <w:rsid w:val="008F213A"/>
    <w:rsid w:val="008F2156"/>
    <w:rsid w:val="008F21B5"/>
    <w:rsid w:val="008F2216"/>
    <w:rsid w:val="008F237D"/>
    <w:rsid w:val="008F240C"/>
    <w:rsid w:val="008F2629"/>
    <w:rsid w:val="008F2A6D"/>
    <w:rsid w:val="008F2B52"/>
    <w:rsid w:val="008F3013"/>
    <w:rsid w:val="008F3115"/>
    <w:rsid w:val="008F3171"/>
    <w:rsid w:val="008F31E1"/>
    <w:rsid w:val="008F342A"/>
    <w:rsid w:val="008F368C"/>
    <w:rsid w:val="008F36A5"/>
    <w:rsid w:val="008F3798"/>
    <w:rsid w:val="008F380C"/>
    <w:rsid w:val="008F392D"/>
    <w:rsid w:val="008F3AB4"/>
    <w:rsid w:val="008F3C6C"/>
    <w:rsid w:val="008F3EDF"/>
    <w:rsid w:val="008F3EEE"/>
    <w:rsid w:val="008F4062"/>
    <w:rsid w:val="008F4067"/>
    <w:rsid w:val="008F4289"/>
    <w:rsid w:val="008F42AA"/>
    <w:rsid w:val="008F4766"/>
    <w:rsid w:val="008F4774"/>
    <w:rsid w:val="008F48E2"/>
    <w:rsid w:val="008F48EE"/>
    <w:rsid w:val="008F49CA"/>
    <w:rsid w:val="008F4B43"/>
    <w:rsid w:val="008F4C82"/>
    <w:rsid w:val="008F4D6F"/>
    <w:rsid w:val="008F4DD0"/>
    <w:rsid w:val="008F4E8D"/>
    <w:rsid w:val="008F4ECF"/>
    <w:rsid w:val="008F4F9C"/>
    <w:rsid w:val="008F5078"/>
    <w:rsid w:val="008F5276"/>
    <w:rsid w:val="008F5376"/>
    <w:rsid w:val="008F538D"/>
    <w:rsid w:val="008F541E"/>
    <w:rsid w:val="008F5449"/>
    <w:rsid w:val="008F5501"/>
    <w:rsid w:val="008F5597"/>
    <w:rsid w:val="008F55F6"/>
    <w:rsid w:val="008F5718"/>
    <w:rsid w:val="008F58AF"/>
    <w:rsid w:val="008F591A"/>
    <w:rsid w:val="008F59B4"/>
    <w:rsid w:val="008F59BF"/>
    <w:rsid w:val="008F59F7"/>
    <w:rsid w:val="008F5A03"/>
    <w:rsid w:val="008F5AC4"/>
    <w:rsid w:val="008F5B47"/>
    <w:rsid w:val="008F5B6A"/>
    <w:rsid w:val="008F5B84"/>
    <w:rsid w:val="008F5C0B"/>
    <w:rsid w:val="008F5FBB"/>
    <w:rsid w:val="008F60BD"/>
    <w:rsid w:val="008F6414"/>
    <w:rsid w:val="008F65B9"/>
    <w:rsid w:val="008F662D"/>
    <w:rsid w:val="008F67E1"/>
    <w:rsid w:val="008F6937"/>
    <w:rsid w:val="008F6957"/>
    <w:rsid w:val="008F6A62"/>
    <w:rsid w:val="008F6A89"/>
    <w:rsid w:val="008F6AE5"/>
    <w:rsid w:val="008F6CB4"/>
    <w:rsid w:val="008F6D84"/>
    <w:rsid w:val="008F6E04"/>
    <w:rsid w:val="008F6FAF"/>
    <w:rsid w:val="008F6FC7"/>
    <w:rsid w:val="008F70A3"/>
    <w:rsid w:val="008F70FE"/>
    <w:rsid w:val="008F710D"/>
    <w:rsid w:val="008F71FD"/>
    <w:rsid w:val="008F7279"/>
    <w:rsid w:val="008F74E5"/>
    <w:rsid w:val="008F7577"/>
    <w:rsid w:val="008F768A"/>
    <w:rsid w:val="008F768F"/>
    <w:rsid w:val="008F7739"/>
    <w:rsid w:val="008F77E2"/>
    <w:rsid w:val="008F77EB"/>
    <w:rsid w:val="008F7B73"/>
    <w:rsid w:val="008F7BD4"/>
    <w:rsid w:val="008F7FD3"/>
    <w:rsid w:val="0090010A"/>
    <w:rsid w:val="0090016D"/>
    <w:rsid w:val="0090019B"/>
    <w:rsid w:val="0090025A"/>
    <w:rsid w:val="0090039C"/>
    <w:rsid w:val="0090046C"/>
    <w:rsid w:val="009006D5"/>
    <w:rsid w:val="009007EB"/>
    <w:rsid w:val="009007F7"/>
    <w:rsid w:val="00900895"/>
    <w:rsid w:val="0090091B"/>
    <w:rsid w:val="009009EE"/>
    <w:rsid w:val="00900B38"/>
    <w:rsid w:val="00900BD5"/>
    <w:rsid w:val="00900D51"/>
    <w:rsid w:val="00900EED"/>
    <w:rsid w:val="00900FE4"/>
    <w:rsid w:val="00901030"/>
    <w:rsid w:val="009011BC"/>
    <w:rsid w:val="0090126F"/>
    <w:rsid w:val="00901288"/>
    <w:rsid w:val="009012BF"/>
    <w:rsid w:val="0090140B"/>
    <w:rsid w:val="00901435"/>
    <w:rsid w:val="00901451"/>
    <w:rsid w:val="00901591"/>
    <w:rsid w:val="009015D4"/>
    <w:rsid w:val="009015DB"/>
    <w:rsid w:val="00901747"/>
    <w:rsid w:val="00901821"/>
    <w:rsid w:val="0090183F"/>
    <w:rsid w:val="00901998"/>
    <w:rsid w:val="00901AD2"/>
    <w:rsid w:val="00901B17"/>
    <w:rsid w:val="00901B31"/>
    <w:rsid w:val="00901BD4"/>
    <w:rsid w:val="00901D3F"/>
    <w:rsid w:val="00901DCD"/>
    <w:rsid w:val="00901F05"/>
    <w:rsid w:val="00901F82"/>
    <w:rsid w:val="00901FDF"/>
    <w:rsid w:val="00902028"/>
    <w:rsid w:val="009020B7"/>
    <w:rsid w:val="009020C6"/>
    <w:rsid w:val="009020C8"/>
    <w:rsid w:val="009023D0"/>
    <w:rsid w:val="009026D3"/>
    <w:rsid w:val="00902801"/>
    <w:rsid w:val="00902893"/>
    <w:rsid w:val="009028AA"/>
    <w:rsid w:val="00902956"/>
    <w:rsid w:val="00902965"/>
    <w:rsid w:val="00902B1F"/>
    <w:rsid w:val="00902B5B"/>
    <w:rsid w:val="00902BA0"/>
    <w:rsid w:val="00902C58"/>
    <w:rsid w:val="00902D24"/>
    <w:rsid w:val="0090310D"/>
    <w:rsid w:val="009032EC"/>
    <w:rsid w:val="0090365B"/>
    <w:rsid w:val="00903905"/>
    <w:rsid w:val="00903AC6"/>
    <w:rsid w:val="00903D5A"/>
    <w:rsid w:val="00903EB3"/>
    <w:rsid w:val="00903F07"/>
    <w:rsid w:val="00904039"/>
    <w:rsid w:val="0090406B"/>
    <w:rsid w:val="00904148"/>
    <w:rsid w:val="00904283"/>
    <w:rsid w:val="009042C6"/>
    <w:rsid w:val="009042E3"/>
    <w:rsid w:val="00904779"/>
    <w:rsid w:val="009048CC"/>
    <w:rsid w:val="00904B30"/>
    <w:rsid w:val="009051B7"/>
    <w:rsid w:val="00905265"/>
    <w:rsid w:val="00905380"/>
    <w:rsid w:val="009055E5"/>
    <w:rsid w:val="009057A6"/>
    <w:rsid w:val="009057B9"/>
    <w:rsid w:val="0090581D"/>
    <w:rsid w:val="00905883"/>
    <w:rsid w:val="0090592D"/>
    <w:rsid w:val="00905AF0"/>
    <w:rsid w:val="00905D05"/>
    <w:rsid w:val="00905D1C"/>
    <w:rsid w:val="00905F82"/>
    <w:rsid w:val="00906029"/>
    <w:rsid w:val="0090620F"/>
    <w:rsid w:val="00906299"/>
    <w:rsid w:val="00906455"/>
    <w:rsid w:val="009064B7"/>
    <w:rsid w:val="00906547"/>
    <w:rsid w:val="00906637"/>
    <w:rsid w:val="00906728"/>
    <w:rsid w:val="0090672A"/>
    <w:rsid w:val="009067B3"/>
    <w:rsid w:val="009067F6"/>
    <w:rsid w:val="00906862"/>
    <w:rsid w:val="009069CF"/>
    <w:rsid w:val="00906A70"/>
    <w:rsid w:val="00906FDE"/>
    <w:rsid w:val="00907054"/>
    <w:rsid w:val="00907094"/>
    <w:rsid w:val="00907167"/>
    <w:rsid w:val="0090730C"/>
    <w:rsid w:val="0090749E"/>
    <w:rsid w:val="00907549"/>
    <w:rsid w:val="009075A0"/>
    <w:rsid w:val="0090794D"/>
    <w:rsid w:val="00907A39"/>
    <w:rsid w:val="00907B87"/>
    <w:rsid w:val="00907D0E"/>
    <w:rsid w:val="00907DB1"/>
    <w:rsid w:val="00907E41"/>
    <w:rsid w:val="00907F9B"/>
    <w:rsid w:val="00907FC3"/>
    <w:rsid w:val="00910046"/>
    <w:rsid w:val="00910123"/>
    <w:rsid w:val="0091015A"/>
    <w:rsid w:val="0091020A"/>
    <w:rsid w:val="009102B2"/>
    <w:rsid w:val="00910468"/>
    <w:rsid w:val="009104CA"/>
    <w:rsid w:val="0091059D"/>
    <w:rsid w:val="0091087E"/>
    <w:rsid w:val="00910988"/>
    <w:rsid w:val="009109D6"/>
    <w:rsid w:val="009109FC"/>
    <w:rsid w:val="00910BC0"/>
    <w:rsid w:val="00910C2B"/>
    <w:rsid w:val="00910C47"/>
    <w:rsid w:val="00910E15"/>
    <w:rsid w:val="00910F0E"/>
    <w:rsid w:val="00910FB7"/>
    <w:rsid w:val="00910FDD"/>
    <w:rsid w:val="009112E9"/>
    <w:rsid w:val="00911329"/>
    <w:rsid w:val="00911387"/>
    <w:rsid w:val="0091141A"/>
    <w:rsid w:val="009115F0"/>
    <w:rsid w:val="009116C5"/>
    <w:rsid w:val="009116D9"/>
    <w:rsid w:val="00911722"/>
    <w:rsid w:val="00911735"/>
    <w:rsid w:val="00911750"/>
    <w:rsid w:val="009117B6"/>
    <w:rsid w:val="009118C3"/>
    <w:rsid w:val="00911928"/>
    <w:rsid w:val="00911BF0"/>
    <w:rsid w:val="00911C40"/>
    <w:rsid w:val="00911D61"/>
    <w:rsid w:val="00911DE1"/>
    <w:rsid w:val="009120EA"/>
    <w:rsid w:val="009123E2"/>
    <w:rsid w:val="0091250C"/>
    <w:rsid w:val="00912537"/>
    <w:rsid w:val="009126FC"/>
    <w:rsid w:val="009127C5"/>
    <w:rsid w:val="0091286E"/>
    <w:rsid w:val="00912A5E"/>
    <w:rsid w:val="00912B7F"/>
    <w:rsid w:val="00912C14"/>
    <w:rsid w:val="00912C41"/>
    <w:rsid w:val="00912CDD"/>
    <w:rsid w:val="00912CEF"/>
    <w:rsid w:val="00912CF9"/>
    <w:rsid w:val="00912D41"/>
    <w:rsid w:val="00912E64"/>
    <w:rsid w:val="00913073"/>
    <w:rsid w:val="009130EB"/>
    <w:rsid w:val="00913177"/>
    <w:rsid w:val="0091329B"/>
    <w:rsid w:val="00913355"/>
    <w:rsid w:val="009133FC"/>
    <w:rsid w:val="009134B9"/>
    <w:rsid w:val="00913559"/>
    <w:rsid w:val="00913853"/>
    <w:rsid w:val="00913856"/>
    <w:rsid w:val="00913B5F"/>
    <w:rsid w:val="0091422D"/>
    <w:rsid w:val="00914405"/>
    <w:rsid w:val="0091444A"/>
    <w:rsid w:val="009145AE"/>
    <w:rsid w:val="00914702"/>
    <w:rsid w:val="0091475C"/>
    <w:rsid w:val="00914777"/>
    <w:rsid w:val="00914898"/>
    <w:rsid w:val="00914E49"/>
    <w:rsid w:val="00914FD0"/>
    <w:rsid w:val="00915273"/>
    <w:rsid w:val="00915432"/>
    <w:rsid w:val="00915571"/>
    <w:rsid w:val="009157E7"/>
    <w:rsid w:val="00915836"/>
    <w:rsid w:val="009158A4"/>
    <w:rsid w:val="00915958"/>
    <w:rsid w:val="00915A09"/>
    <w:rsid w:val="00915A1D"/>
    <w:rsid w:val="00915A78"/>
    <w:rsid w:val="00915BAF"/>
    <w:rsid w:val="00915CBD"/>
    <w:rsid w:val="00915DE9"/>
    <w:rsid w:val="00915E1E"/>
    <w:rsid w:val="009161E2"/>
    <w:rsid w:val="00916216"/>
    <w:rsid w:val="00916221"/>
    <w:rsid w:val="009163A5"/>
    <w:rsid w:val="009164BB"/>
    <w:rsid w:val="00916505"/>
    <w:rsid w:val="009165C7"/>
    <w:rsid w:val="009166DD"/>
    <w:rsid w:val="00916B78"/>
    <w:rsid w:val="00916BBA"/>
    <w:rsid w:val="00916C0C"/>
    <w:rsid w:val="00916E48"/>
    <w:rsid w:val="00916EC2"/>
    <w:rsid w:val="00916EFF"/>
    <w:rsid w:val="00916F35"/>
    <w:rsid w:val="00917088"/>
    <w:rsid w:val="00917105"/>
    <w:rsid w:val="0091715B"/>
    <w:rsid w:val="00917235"/>
    <w:rsid w:val="00917308"/>
    <w:rsid w:val="009173DA"/>
    <w:rsid w:val="009173FE"/>
    <w:rsid w:val="009174A8"/>
    <w:rsid w:val="009174BC"/>
    <w:rsid w:val="00917548"/>
    <w:rsid w:val="0091754B"/>
    <w:rsid w:val="009175DB"/>
    <w:rsid w:val="009177C1"/>
    <w:rsid w:val="00917AB9"/>
    <w:rsid w:val="00917CDA"/>
    <w:rsid w:val="00917CEF"/>
    <w:rsid w:val="00917CF6"/>
    <w:rsid w:val="00917D51"/>
    <w:rsid w:val="00917D72"/>
    <w:rsid w:val="0092004B"/>
    <w:rsid w:val="009200E0"/>
    <w:rsid w:val="00920143"/>
    <w:rsid w:val="009203DA"/>
    <w:rsid w:val="0092055F"/>
    <w:rsid w:val="00920909"/>
    <w:rsid w:val="00920960"/>
    <w:rsid w:val="00920B4B"/>
    <w:rsid w:val="00920BD2"/>
    <w:rsid w:val="00920BF5"/>
    <w:rsid w:val="00920DE4"/>
    <w:rsid w:val="0092100F"/>
    <w:rsid w:val="009211EB"/>
    <w:rsid w:val="00921207"/>
    <w:rsid w:val="00921283"/>
    <w:rsid w:val="009212AA"/>
    <w:rsid w:val="009213B3"/>
    <w:rsid w:val="009214B1"/>
    <w:rsid w:val="00921531"/>
    <w:rsid w:val="00921675"/>
    <w:rsid w:val="00921688"/>
    <w:rsid w:val="0092187B"/>
    <w:rsid w:val="009218EF"/>
    <w:rsid w:val="00921C22"/>
    <w:rsid w:val="00921C5E"/>
    <w:rsid w:val="00921CE5"/>
    <w:rsid w:val="00921D6B"/>
    <w:rsid w:val="00921DA9"/>
    <w:rsid w:val="00921E75"/>
    <w:rsid w:val="00921E86"/>
    <w:rsid w:val="00921EC8"/>
    <w:rsid w:val="00921F5F"/>
    <w:rsid w:val="00922086"/>
    <w:rsid w:val="009220C1"/>
    <w:rsid w:val="009222CD"/>
    <w:rsid w:val="009222CE"/>
    <w:rsid w:val="009222F8"/>
    <w:rsid w:val="009225C8"/>
    <w:rsid w:val="009226A4"/>
    <w:rsid w:val="009226DA"/>
    <w:rsid w:val="00922971"/>
    <w:rsid w:val="00922A63"/>
    <w:rsid w:val="00922C3E"/>
    <w:rsid w:val="00922CB2"/>
    <w:rsid w:val="00922CB6"/>
    <w:rsid w:val="00922CD2"/>
    <w:rsid w:val="00922D9A"/>
    <w:rsid w:val="00922FB4"/>
    <w:rsid w:val="00923084"/>
    <w:rsid w:val="00923090"/>
    <w:rsid w:val="00923106"/>
    <w:rsid w:val="0092315A"/>
    <w:rsid w:val="009231C4"/>
    <w:rsid w:val="009231FC"/>
    <w:rsid w:val="009233F3"/>
    <w:rsid w:val="009234F0"/>
    <w:rsid w:val="0092355D"/>
    <w:rsid w:val="00923650"/>
    <w:rsid w:val="009236C9"/>
    <w:rsid w:val="00923AC1"/>
    <w:rsid w:val="00923B2B"/>
    <w:rsid w:val="00923B4B"/>
    <w:rsid w:val="00923CFC"/>
    <w:rsid w:val="00923D74"/>
    <w:rsid w:val="00923FF6"/>
    <w:rsid w:val="00924105"/>
    <w:rsid w:val="009244EA"/>
    <w:rsid w:val="00924515"/>
    <w:rsid w:val="009245AF"/>
    <w:rsid w:val="009246FB"/>
    <w:rsid w:val="00924739"/>
    <w:rsid w:val="009247C0"/>
    <w:rsid w:val="00924A99"/>
    <w:rsid w:val="00924AFA"/>
    <w:rsid w:val="00924BF7"/>
    <w:rsid w:val="00924EEA"/>
    <w:rsid w:val="00924F69"/>
    <w:rsid w:val="00924FF3"/>
    <w:rsid w:val="00925134"/>
    <w:rsid w:val="009251B0"/>
    <w:rsid w:val="009251D4"/>
    <w:rsid w:val="0092529B"/>
    <w:rsid w:val="009252DA"/>
    <w:rsid w:val="009255B8"/>
    <w:rsid w:val="00925676"/>
    <w:rsid w:val="00925D06"/>
    <w:rsid w:val="00925D2D"/>
    <w:rsid w:val="00925D9E"/>
    <w:rsid w:val="00925E19"/>
    <w:rsid w:val="00925F0B"/>
    <w:rsid w:val="009261FB"/>
    <w:rsid w:val="0092627E"/>
    <w:rsid w:val="00926460"/>
    <w:rsid w:val="009265D0"/>
    <w:rsid w:val="009266EA"/>
    <w:rsid w:val="0092672F"/>
    <w:rsid w:val="009267BC"/>
    <w:rsid w:val="009267D8"/>
    <w:rsid w:val="00926870"/>
    <w:rsid w:val="0092696B"/>
    <w:rsid w:val="00926A07"/>
    <w:rsid w:val="00926A25"/>
    <w:rsid w:val="00926E3A"/>
    <w:rsid w:val="00926F73"/>
    <w:rsid w:val="0092735B"/>
    <w:rsid w:val="009275C4"/>
    <w:rsid w:val="00927AB6"/>
    <w:rsid w:val="00927AC5"/>
    <w:rsid w:val="00927E9B"/>
    <w:rsid w:val="00927F31"/>
    <w:rsid w:val="00930257"/>
    <w:rsid w:val="009305BE"/>
    <w:rsid w:val="00930613"/>
    <w:rsid w:val="0093063E"/>
    <w:rsid w:val="0093065D"/>
    <w:rsid w:val="009306DE"/>
    <w:rsid w:val="009306F7"/>
    <w:rsid w:val="009307B5"/>
    <w:rsid w:val="009307D8"/>
    <w:rsid w:val="009308CC"/>
    <w:rsid w:val="0093090B"/>
    <w:rsid w:val="00930B09"/>
    <w:rsid w:val="00930B4D"/>
    <w:rsid w:val="00930B77"/>
    <w:rsid w:val="00930BBC"/>
    <w:rsid w:val="00930CD3"/>
    <w:rsid w:val="00930CE1"/>
    <w:rsid w:val="00930E19"/>
    <w:rsid w:val="00930E26"/>
    <w:rsid w:val="00930EDC"/>
    <w:rsid w:val="00930F71"/>
    <w:rsid w:val="0093137C"/>
    <w:rsid w:val="00931447"/>
    <w:rsid w:val="009314EF"/>
    <w:rsid w:val="009318B0"/>
    <w:rsid w:val="0093191F"/>
    <w:rsid w:val="0093192B"/>
    <w:rsid w:val="00931A18"/>
    <w:rsid w:val="00931B83"/>
    <w:rsid w:val="00931B9D"/>
    <w:rsid w:val="00931D8E"/>
    <w:rsid w:val="00931E51"/>
    <w:rsid w:val="009320A4"/>
    <w:rsid w:val="0093226A"/>
    <w:rsid w:val="00932320"/>
    <w:rsid w:val="00932349"/>
    <w:rsid w:val="00932400"/>
    <w:rsid w:val="009326C6"/>
    <w:rsid w:val="009326C9"/>
    <w:rsid w:val="0093275B"/>
    <w:rsid w:val="00932892"/>
    <w:rsid w:val="00932C53"/>
    <w:rsid w:val="00932CDC"/>
    <w:rsid w:val="00932F3E"/>
    <w:rsid w:val="009330BE"/>
    <w:rsid w:val="009330D7"/>
    <w:rsid w:val="00933402"/>
    <w:rsid w:val="00933564"/>
    <w:rsid w:val="0093391E"/>
    <w:rsid w:val="00933B18"/>
    <w:rsid w:val="00933C48"/>
    <w:rsid w:val="00933F06"/>
    <w:rsid w:val="0093413F"/>
    <w:rsid w:val="00934238"/>
    <w:rsid w:val="0093425D"/>
    <w:rsid w:val="00934429"/>
    <w:rsid w:val="00934759"/>
    <w:rsid w:val="00934808"/>
    <w:rsid w:val="009348E3"/>
    <w:rsid w:val="0093497A"/>
    <w:rsid w:val="009349FC"/>
    <w:rsid w:val="00934A99"/>
    <w:rsid w:val="00934AD4"/>
    <w:rsid w:val="00934BBC"/>
    <w:rsid w:val="00934C36"/>
    <w:rsid w:val="00934CE0"/>
    <w:rsid w:val="00934D21"/>
    <w:rsid w:val="00934D9E"/>
    <w:rsid w:val="00934F0A"/>
    <w:rsid w:val="00935202"/>
    <w:rsid w:val="0093522B"/>
    <w:rsid w:val="00935260"/>
    <w:rsid w:val="0093530A"/>
    <w:rsid w:val="00935429"/>
    <w:rsid w:val="009354B4"/>
    <w:rsid w:val="009356E0"/>
    <w:rsid w:val="00935716"/>
    <w:rsid w:val="009358FE"/>
    <w:rsid w:val="0093595B"/>
    <w:rsid w:val="009359AC"/>
    <w:rsid w:val="00935A43"/>
    <w:rsid w:val="00935CAD"/>
    <w:rsid w:val="00935CB5"/>
    <w:rsid w:val="00935CF8"/>
    <w:rsid w:val="009363A7"/>
    <w:rsid w:val="009364A2"/>
    <w:rsid w:val="009364E7"/>
    <w:rsid w:val="00936675"/>
    <w:rsid w:val="0093668F"/>
    <w:rsid w:val="0093677F"/>
    <w:rsid w:val="009367F6"/>
    <w:rsid w:val="00936832"/>
    <w:rsid w:val="00936835"/>
    <w:rsid w:val="009368A4"/>
    <w:rsid w:val="00936DA8"/>
    <w:rsid w:val="00936EE8"/>
    <w:rsid w:val="00936F0B"/>
    <w:rsid w:val="00936F77"/>
    <w:rsid w:val="009370F7"/>
    <w:rsid w:val="009372C6"/>
    <w:rsid w:val="009372D3"/>
    <w:rsid w:val="009375BA"/>
    <w:rsid w:val="009375EE"/>
    <w:rsid w:val="009376BA"/>
    <w:rsid w:val="009377A8"/>
    <w:rsid w:val="00937B0D"/>
    <w:rsid w:val="00937B5E"/>
    <w:rsid w:val="00937D57"/>
    <w:rsid w:val="00937D66"/>
    <w:rsid w:val="00937E4F"/>
    <w:rsid w:val="00937FB4"/>
    <w:rsid w:val="00940260"/>
    <w:rsid w:val="0094026A"/>
    <w:rsid w:val="0094029A"/>
    <w:rsid w:val="009402FA"/>
    <w:rsid w:val="00940480"/>
    <w:rsid w:val="00940492"/>
    <w:rsid w:val="009406C7"/>
    <w:rsid w:val="009407A3"/>
    <w:rsid w:val="009409F1"/>
    <w:rsid w:val="00940BBC"/>
    <w:rsid w:val="00940BFF"/>
    <w:rsid w:val="00940C3D"/>
    <w:rsid w:val="00940D9B"/>
    <w:rsid w:val="00940E25"/>
    <w:rsid w:val="00940E82"/>
    <w:rsid w:val="0094109C"/>
    <w:rsid w:val="0094114C"/>
    <w:rsid w:val="00941204"/>
    <w:rsid w:val="00941263"/>
    <w:rsid w:val="009412F7"/>
    <w:rsid w:val="009414E5"/>
    <w:rsid w:val="0094152B"/>
    <w:rsid w:val="00941738"/>
    <w:rsid w:val="00941774"/>
    <w:rsid w:val="00941923"/>
    <w:rsid w:val="00941A74"/>
    <w:rsid w:val="00941D24"/>
    <w:rsid w:val="00941D7B"/>
    <w:rsid w:val="00941E17"/>
    <w:rsid w:val="0094205F"/>
    <w:rsid w:val="009420EF"/>
    <w:rsid w:val="00942118"/>
    <w:rsid w:val="00942156"/>
    <w:rsid w:val="0094220D"/>
    <w:rsid w:val="009423D4"/>
    <w:rsid w:val="00942538"/>
    <w:rsid w:val="00942988"/>
    <w:rsid w:val="00942AB4"/>
    <w:rsid w:val="00942B52"/>
    <w:rsid w:val="00942B73"/>
    <w:rsid w:val="00942CC3"/>
    <w:rsid w:val="00942DCD"/>
    <w:rsid w:val="00942DFD"/>
    <w:rsid w:val="00942EA8"/>
    <w:rsid w:val="009431FB"/>
    <w:rsid w:val="00943596"/>
    <w:rsid w:val="0094359F"/>
    <w:rsid w:val="009435D8"/>
    <w:rsid w:val="00943791"/>
    <w:rsid w:val="009438F4"/>
    <w:rsid w:val="00943979"/>
    <w:rsid w:val="009439BF"/>
    <w:rsid w:val="00943A20"/>
    <w:rsid w:val="00943AD3"/>
    <w:rsid w:val="00943B00"/>
    <w:rsid w:val="00943C0E"/>
    <w:rsid w:val="00943D3E"/>
    <w:rsid w:val="00944056"/>
    <w:rsid w:val="009440BA"/>
    <w:rsid w:val="00944166"/>
    <w:rsid w:val="0094429D"/>
    <w:rsid w:val="0094431D"/>
    <w:rsid w:val="00944375"/>
    <w:rsid w:val="009443B3"/>
    <w:rsid w:val="00944432"/>
    <w:rsid w:val="0094444D"/>
    <w:rsid w:val="009445CF"/>
    <w:rsid w:val="00944916"/>
    <w:rsid w:val="00944AB6"/>
    <w:rsid w:val="00944AD4"/>
    <w:rsid w:val="00944B02"/>
    <w:rsid w:val="00944C04"/>
    <w:rsid w:val="00944CF6"/>
    <w:rsid w:val="00944E11"/>
    <w:rsid w:val="009450DE"/>
    <w:rsid w:val="009454B2"/>
    <w:rsid w:val="00945713"/>
    <w:rsid w:val="0094571B"/>
    <w:rsid w:val="00945732"/>
    <w:rsid w:val="00945CC6"/>
    <w:rsid w:val="00945E23"/>
    <w:rsid w:val="00946059"/>
    <w:rsid w:val="00946134"/>
    <w:rsid w:val="0094617F"/>
    <w:rsid w:val="00946273"/>
    <w:rsid w:val="00946366"/>
    <w:rsid w:val="00946521"/>
    <w:rsid w:val="00946524"/>
    <w:rsid w:val="00946538"/>
    <w:rsid w:val="00946919"/>
    <w:rsid w:val="00946C61"/>
    <w:rsid w:val="00946C73"/>
    <w:rsid w:val="00946D37"/>
    <w:rsid w:val="00946DBE"/>
    <w:rsid w:val="00946E4C"/>
    <w:rsid w:val="00946FF5"/>
    <w:rsid w:val="0094715F"/>
    <w:rsid w:val="0094718E"/>
    <w:rsid w:val="009471DD"/>
    <w:rsid w:val="00947238"/>
    <w:rsid w:val="00947352"/>
    <w:rsid w:val="00947485"/>
    <w:rsid w:val="009474BF"/>
    <w:rsid w:val="0094758A"/>
    <w:rsid w:val="009475AA"/>
    <w:rsid w:val="00947780"/>
    <w:rsid w:val="009477DC"/>
    <w:rsid w:val="009479E9"/>
    <w:rsid w:val="00947B74"/>
    <w:rsid w:val="00947BD2"/>
    <w:rsid w:val="00947DB4"/>
    <w:rsid w:val="00947E48"/>
    <w:rsid w:val="00947EC7"/>
    <w:rsid w:val="00947F9B"/>
    <w:rsid w:val="0095010A"/>
    <w:rsid w:val="009501E4"/>
    <w:rsid w:val="00950382"/>
    <w:rsid w:val="0095038E"/>
    <w:rsid w:val="00950406"/>
    <w:rsid w:val="00950547"/>
    <w:rsid w:val="00950563"/>
    <w:rsid w:val="009506E1"/>
    <w:rsid w:val="0095071C"/>
    <w:rsid w:val="00950787"/>
    <w:rsid w:val="0095085B"/>
    <w:rsid w:val="009508A0"/>
    <w:rsid w:val="00950928"/>
    <w:rsid w:val="0095097B"/>
    <w:rsid w:val="00950980"/>
    <w:rsid w:val="009509FB"/>
    <w:rsid w:val="00950A5F"/>
    <w:rsid w:val="00950C2B"/>
    <w:rsid w:val="00950C4D"/>
    <w:rsid w:val="00950CAC"/>
    <w:rsid w:val="00950F01"/>
    <w:rsid w:val="00950F53"/>
    <w:rsid w:val="00950FBD"/>
    <w:rsid w:val="0095111C"/>
    <w:rsid w:val="009511D7"/>
    <w:rsid w:val="0095120C"/>
    <w:rsid w:val="0095128F"/>
    <w:rsid w:val="009512B7"/>
    <w:rsid w:val="00951304"/>
    <w:rsid w:val="0095148E"/>
    <w:rsid w:val="009514C7"/>
    <w:rsid w:val="00951501"/>
    <w:rsid w:val="009516D3"/>
    <w:rsid w:val="009518B0"/>
    <w:rsid w:val="009518F7"/>
    <w:rsid w:val="00951BD3"/>
    <w:rsid w:val="00951CF8"/>
    <w:rsid w:val="00951E2E"/>
    <w:rsid w:val="00951E63"/>
    <w:rsid w:val="00952290"/>
    <w:rsid w:val="0095240D"/>
    <w:rsid w:val="009524D7"/>
    <w:rsid w:val="00952505"/>
    <w:rsid w:val="0095298F"/>
    <w:rsid w:val="00952B49"/>
    <w:rsid w:val="00952BFF"/>
    <w:rsid w:val="00952C4D"/>
    <w:rsid w:val="00952CA6"/>
    <w:rsid w:val="00952DEF"/>
    <w:rsid w:val="00952DF7"/>
    <w:rsid w:val="00952E1A"/>
    <w:rsid w:val="00952E9F"/>
    <w:rsid w:val="00953036"/>
    <w:rsid w:val="0095306F"/>
    <w:rsid w:val="00953160"/>
    <w:rsid w:val="009531DE"/>
    <w:rsid w:val="0095322F"/>
    <w:rsid w:val="0095328F"/>
    <w:rsid w:val="009532A8"/>
    <w:rsid w:val="009533B0"/>
    <w:rsid w:val="009537D9"/>
    <w:rsid w:val="00953838"/>
    <w:rsid w:val="00953842"/>
    <w:rsid w:val="00953A68"/>
    <w:rsid w:val="00953B22"/>
    <w:rsid w:val="00953E05"/>
    <w:rsid w:val="00953EAD"/>
    <w:rsid w:val="00953EC4"/>
    <w:rsid w:val="00953FD2"/>
    <w:rsid w:val="00954112"/>
    <w:rsid w:val="0095421F"/>
    <w:rsid w:val="0095435D"/>
    <w:rsid w:val="00954373"/>
    <w:rsid w:val="00954540"/>
    <w:rsid w:val="00954650"/>
    <w:rsid w:val="00954724"/>
    <w:rsid w:val="00954784"/>
    <w:rsid w:val="0095497D"/>
    <w:rsid w:val="00954A01"/>
    <w:rsid w:val="00954D52"/>
    <w:rsid w:val="00954EA7"/>
    <w:rsid w:val="00954F32"/>
    <w:rsid w:val="00954FC1"/>
    <w:rsid w:val="0095514F"/>
    <w:rsid w:val="009551A8"/>
    <w:rsid w:val="009551E6"/>
    <w:rsid w:val="00955290"/>
    <w:rsid w:val="009553F8"/>
    <w:rsid w:val="0095541B"/>
    <w:rsid w:val="0095546A"/>
    <w:rsid w:val="0095572D"/>
    <w:rsid w:val="00955895"/>
    <w:rsid w:val="0095591C"/>
    <w:rsid w:val="0095597B"/>
    <w:rsid w:val="00955CC2"/>
    <w:rsid w:val="00955DBE"/>
    <w:rsid w:val="00955E1C"/>
    <w:rsid w:val="00955F3F"/>
    <w:rsid w:val="00955F41"/>
    <w:rsid w:val="00955F80"/>
    <w:rsid w:val="0095605E"/>
    <w:rsid w:val="009560CF"/>
    <w:rsid w:val="009560F9"/>
    <w:rsid w:val="009561C2"/>
    <w:rsid w:val="00956438"/>
    <w:rsid w:val="00956460"/>
    <w:rsid w:val="0095653E"/>
    <w:rsid w:val="009567C1"/>
    <w:rsid w:val="009569BF"/>
    <w:rsid w:val="00956A9D"/>
    <w:rsid w:val="00956A9F"/>
    <w:rsid w:val="00956C7B"/>
    <w:rsid w:val="00956D65"/>
    <w:rsid w:val="00956D88"/>
    <w:rsid w:val="00956E02"/>
    <w:rsid w:val="00956F2A"/>
    <w:rsid w:val="0095704A"/>
    <w:rsid w:val="009570B2"/>
    <w:rsid w:val="0095724C"/>
    <w:rsid w:val="009572EB"/>
    <w:rsid w:val="009573D9"/>
    <w:rsid w:val="0095746D"/>
    <w:rsid w:val="009576B7"/>
    <w:rsid w:val="009577E5"/>
    <w:rsid w:val="00957BC6"/>
    <w:rsid w:val="00957CB1"/>
    <w:rsid w:val="00957CEB"/>
    <w:rsid w:val="00957D6D"/>
    <w:rsid w:val="00957DCC"/>
    <w:rsid w:val="00957E9B"/>
    <w:rsid w:val="00957EAA"/>
    <w:rsid w:val="00957FE1"/>
    <w:rsid w:val="0096002E"/>
    <w:rsid w:val="0096005B"/>
    <w:rsid w:val="009601CE"/>
    <w:rsid w:val="0096028F"/>
    <w:rsid w:val="009602AE"/>
    <w:rsid w:val="00960396"/>
    <w:rsid w:val="009603E2"/>
    <w:rsid w:val="00960423"/>
    <w:rsid w:val="009604DD"/>
    <w:rsid w:val="00960764"/>
    <w:rsid w:val="00960A98"/>
    <w:rsid w:val="00960CEE"/>
    <w:rsid w:val="00960D25"/>
    <w:rsid w:val="00960D2C"/>
    <w:rsid w:val="00960E26"/>
    <w:rsid w:val="00960E64"/>
    <w:rsid w:val="00960E74"/>
    <w:rsid w:val="00960EC0"/>
    <w:rsid w:val="00960EE4"/>
    <w:rsid w:val="009610F3"/>
    <w:rsid w:val="00961156"/>
    <w:rsid w:val="009611B6"/>
    <w:rsid w:val="009613EC"/>
    <w:rsid w:val="0096140B"/>
    <w:rsid w:val="0096142F"/>
    <w:rsid w:val="00961517"/>
    <w:rsid w:val="0096155D"/>
    <w:rsid w:val="009615CF"/>
    <w:rsid w:val="00961684"/>
    <w:rsid w:val="0096179B"/>
    <w:rsid w:val="009617ED"/>
    <w:rsid w:val="00961A92"/>
    <w:rsid w:val="00961BC4"/>
    <w:rsid w:val="00961CFC"/>
    <w:rsid w:val="00961DC5"/>
    <w:rsid w:val="00961FC3"/>
    <w:rsid w:val="00962089"/>
    <w:rsid w:val="0096215B"/>
    <w:rsid w:val="0096220E"/>
    <w:rsid w:val="00962289"/>
    <w:rsid w:val="00962498"/>
    <w:rsid w:val="009625DC"/>
    <w:rsid w:val="0096267E"/>
    <w:rsid w:val="009626D9"/>
    <w:rsid w:val="0096276E"/>
    <w:rsid w:val="0096279E"/>
    <w:rsid w:val="009627AE"/>
    <w:rsid w:val="009627E1"/>
    <w:rsid w:val="00962924"/>
    <w:rsid w:val="0096295E"/>
    <w:rsid w:val="0096298F"/>
    <w:rsid w:val="009629BB"/>
    <w:rsid w:val="00962A33"/>
    <w:rsid w:val="00962B1F"/>
    <w:rsid w:val="00962BFF"/>
    <w:rsid w:val="00962CBD"/>
    <w:rsid w:val="00962CEB"/>
    <w:rsid w:val="00962DB6"/>
    <w:rsid w:val="00962E1F"/>
    <w:rsid w:val="0096318F"/>
    <w:rsid w:val="0096321F"/>
    <w:rsid w:val="009632D0"/>
    <w:rsid w:val="00963546"/>
    <w:rsid w:val="00963554"/>
    <w:rsid w:val="009635AC"/>
    <w:rsid w:val="00963708"/>
    <w:rsid w:val="00963869"/>
    <w:rsid w:val="009638CA"/>
    <w:rsid w:val="009639B5"/>
    <w:rsid w:val="00963D14"/>
    <w:rsid w:val="00963D33"/>
    <w:rsid w:val="00963F73"/>
    <w:rsid w:val="00964028"/>
    <w:rsid w:val="00964084"/>
    <w:rsid w:val="0096409F"/>
    <w:rsid w:val="0096412B"/>
    <w:rsid w:val="00964164"/>
    <w:rsid w:val="0096434A"/>
    <w:rsid w:val="00964483"/>
    <w:rsid w:val="00964513"/>
    <w:rsid w:val="00964681"/>
    <w:rsid w:val="009646B4"/>
    <w:rsid w:val="0096471A"/>
    <w:rsid w:val="00964732"/>
    <w:rsid w:val="0096479F"/>
    <w:rsid w:val="00964996"/>
    <w:rsid w:val="00964A6A"/>
    <w:rsid w:val="00964AB4"/>
    <w:rsid w:val="00964C26"/>
    <w:rsid w:val="00964C4E"/>
    <w:rsid w:val="00964C56"/>
    <w:rsid w:val="00964D71"/>
    <w:rsid w:val="00965171"/>
    <w:rsid w:val="0096517E"/>
    <w:rsid w:val="00965220"/>
    <w:rsid w:val="00965467"/>
    <w:rsid w:val="0096551F"/>
    <w:rsid w:val="0096556A"/>
    <w:rsid w:val="009655A3"/>
    <w:rsid w:val="009656A0"/>
    <w:rsid w:val="00965976"/>
    <w:rsid w:val="009659E8"/>
    <w:rsid w:val="009659F2"/>
    <w:rsid w:val="00965A2C"/>
    <w:rsid w:val="00965AAC"/>
    <w:rsid w:val="00965B54"/>
    <w:rsid w:val="00965C02"/>
    <w:rsid w:val="00965C4F"/>
    <w:rsid w:val="00966017"/>
    <w:rsid w:val="009661A4"/>
    <w:rsid w:val="009661DF"/>
    <w:rsid w:val="0096628A"/>
    <w:rsid w:val="00966468"/>
    <w:rsid w:val="009664D5"/>
    <w:rsid w:val="0096654B"/>
    <w:rsid w:val="009666AB"/>
    <w:rsid w:val="00966745"/>
    <w:rsid w:val="00966971"/>
    <w:rsid w:val="009669B6"/>
    <w:rsid w:val="00966B28"/>
    <w:rsid w:val="00966CB5"/>
    <w:rsid w:val="00966DFE"/>
    <w:rsid w:val="00966E01"/>
    <w:rsid w:val="00966F00"/>
    <w:rsid w:val="00966F9E"/>
    <w:rsid w:val="00967026"/>
    <w:rsid w:val="0096714C"/>
    <w:rsid w:val="009673B0"/>
    <w:rsid w:val="00967541"/>
    <w:rsid w:val="00967614"/>
    <w:rsid w:val="0096762F"/>
    <w:rsid w:val="0096781D"/>
    <w:rsid w:val="009678AA"/>
    <w:rsid w:val="00967990"/>
    <w:rsid w:val="00967C22"/>
    <w:rsid w:val="00967C6C"/>
    <w:rsid w:val="00967D08"/>
    <w:rsid w:val="00967DBD"/>
    <w:rsid w:val="00967DE7"/>
    <w:rsid w:val="00967E5F"/>
    <w:rsid w:val="009701AA"/>
    <w:rsid w:val="00970200"/>
    <w:rsid w:val="00970313"/>
    <w:rsid w:val="009705AE"/>
    <w:rsid w:val="009706C3"/>
    <w:rsid w:val="009706CA"/>
    <w:rsid w:val="009707D1"/>
    <w:rsid w:val="0097085D"/>
    <w:rsid w:val="00970A21"/>
    <w:rsid w:val="00970ABB"/>
    <w:rsid w:val="00970D1E"/>
    <w:rsid w:val="00970D57"/>
    <w:rsid w:val="00970F09"/>
    <w:rsid w:val="00970F54"/>
    <w:rsid w:val="0097107E"/>
    <w:rsid w:val="009711AA"/>
    <w:rsid w:val="00971291"/>
    <w:rsid w:val="00971294"/>
    <w:rsid w:val="0097129A"/>
    <w:rsid w:val="00971501"/>
    <w:rsid w:val="0097175C"/>
    <w:rsid w:val="00972243"/>
    <w:rsid w:val="0097225E"/>
    <w:rsid w:val="00972799"/>
    <w:rsid w:val="0097296F"/>
    <w:rsid w:val="00972EAB"/>
    <w:rsid w:val="00973078"/>
    <w:rsid w:val="00973079"/>
    <w:rsid w:val="009733E1"/>
    <w:rsid w:val="009733E7"/>
    <w:rsid w:val="00973423"/>
    <w:rsid w:val="009735A9"/>
    <w:rsid w:val="009738D3"/>
    <w:rsid w:val="0097393A"/>
    <w:rsid w:val="00973AE1"/>
    <w:rsid w:val="00973B29"/>
    <w:rsid w:val="00973B87"/>
    <w:rsid w:val="00973B99"/>
    <w:rsid w:val="00973CE4"/>
    <w:rsid w:val="00973F44"/>
    <w:rsid w:val="00973FFB"/>
    <w:rsid w:val="00974031"/>
    <w:rsid w:val="00974131"/>
    <w:rsid w:val="0097427D"/>
    <w:rsid w:val="00974451"/>
    <w:rsid w:val="009744E1"/>
    <w:rsid w:val="00974513"/>
    <w:rsid w:val="00974530"/>
    <w:rsid w:val="009745BB"/>
    <w:rsid w:val="009748BC"/>
    <w:rsid w:val="009749DA"/>
    <w:rsid w:val="009749F7"/>
    <w:rsid w:val="00974AFB"/>
    <w:rsid w:val="00974D82"/>
    <w:rsid w:val="00974EB9"/>
    <w:rsid w:val="00974EBE"/>
    <w:rsid w:val="00975300"/>
    <w:rsid w:val="0097536F"/>
    <w:rsid w:val="009753A1"/>
    <w:rsid w:val="009753A6"/>
    <w:rsid w:val="0097542A"/>
    <w:rsid w:val="0097547D"/>
    <w:rsid w:val="009755C9"/>
    <w:rsid w:val="009757EF"/>
    <w:rsid w:val="009759E8"/>
    <w:rsid w:val="00975A6B"/>
    <w:rsid w:val="00975AD7"/>
    <w:rsid w:val="00975B29"/>
    <w:rsid w:val="00975BF5"/>
    <w:rsid w:val="00975C32"/>
    <w:rsid w:val="00975D5C"/>
    <w:rsid w:val="00975E9C"/>
    <w:rsid w:val="00975F12"/>
    <w:rsid w:val="00975F81"/>
    <w:rsid w:val="009761B3"/>
    <w:rsid w:val="009761EB"/>
    <w:rsid w:val="0097625E"/>
    <w:rsid w:val="0097625F"/>
    <w:rsid w:val="0097628C"/>
    <w:rsid w:val="009762F6"/>
    <w:rsid w:val="009763EF"/>
    <w:rsid w:val="0097648C"/>
    <w:rsid w:val="009764CB"/>
    <w:rsid w:val="009764D1"/>
    <w:rsid w:val="009764EC"/>
    <w:rsid w:val="009767FE"/>
    <w:rsid w:val="00976B03"/>
    <w:rsid w:val="00976B53"/>
    <w:rsid w:val="00976C23"/>
    <w:rsid w:val="00976D1E"/>
    <w:rsid w:val="00976D8C"/>
    <w:rsid w:val="00976ED0"/>
    <w:rsid w:val="00976FCA"/>
    <w:rsid w:val="00976FDC"/>
    <w:rsid w:val="00977073"/>
    <w:rsid w:val="00977149"/>
    <w:rsid w:val="0097739A"/>
    <w:rsid w:val="009773B9"/>
    <w:rsid w:val="0097749C"/>
    <w:rsid w:val="00977560"/>
    <w:rsid w:val="009775BF"/>
    <w:rsid w:val="00977826"/>
    <w:rsid w:val="00977905"/>
    <w:rsid w:val="00977A0C"/>
    <w:rsid w:val="00977A5A"/>
    <w:rsid w:val="00977A69"/>
    <w:rsid w:val="00977B3B"/>
    <w:rsid w:val="00977BAB"/>
    <w:rsid w:val="00977D4E"/>
    <w:rsid w:val="00977D9A"/>
    <w:rsid w:val="00977DAD"/>
    <w:rsid w:val="00977E48"/>
    <w:rsid w:val="00977E6D"/>
    <w:rsid w:val="00977F60"/>
    <w:rsid w:val="00980009"/>
    <w:rsid w:val="0098013B"/>
    <w:rsid w:val="009802CE"/>
    <w:rsid w:val="009803DC"/>
    <w:rsid w:val="009805AA"/>
    <w:rsid w:val="009806EC"/>
    <w:rsid w:val="009808BE"/>
    <w:rsid w:val="009809AB"/>
    <w:rsid w:val="00980A54"/>
    <w:rsid w:val="00980AAE"/>
    <w:rsid w:val="00980B2E"/>
    <w:rsid w:val="00980C09"/>
    <w:rsid w:val="00980D2A"/>
    <w:rsid w:val="00980DA1"/>
    <w:rsid w:val="00980FB9"/>
    <w:rsid w:val="009810EA"/>
    <w:rsid w:val="00981132"/>
    <w:rsid w:val="009811B8"/>
    <w:rsid w:val="00981274"/>
    <w:rsid w:val="00981317"/>
    <w:rsid w:val="0098131A"/>
    <w:rsid w:val="00981508"/>
    <w:rsid w:val="009816BA"/>
    <w:rsid w:val="00981900"/>
    <w:rsid w:val="00981931"/>
    <w:rsid w:val="0098197E"/>
    <w:rsid w:val="00981991"/>
    <w:rsid w:val="00981A87"/>
    <w:rsid w:val="00981A92"/>
    <w:rsid w:val="00981B6D"/>
    <w:rsid w:val="00981C3F"/>
    <w:rsid w:val="00981E9E"/>
    <w:rsid w:val="00981F68"/>
    <w:rsid w:val="00981FE5"/>
    <w:rsid w:val="00982075"/>
    <w:rsid w:val="00982127"/>
    <w:rsid w:val="00982416"/>
    <w:rsid w:val="00982419"/>
    <w:rsid w:val="0098264E"/>
    <w:rsid w:val="009829C2"/>
    <w:rsid w:val="00982AAC"/>
    <w:rsid w:val="00982BCA"/>
    <w:rsid w:val="00982D26"/>
    <w:rsid w:val="00982D34"/>
    <w:rsid w:val="00982FFC"/>
    <w:rsid w:val="009830CD"/>
    <w:rsid w:val="0098319E"/>
    <w:rsid w:val="009834DA"/>
    <w:rsid w:val="00983584"/>
    <w:rsid w:val="009836A1"/>
    <w:rsid w:val="0098372A"/>
    <w:rsid w:val="009837C0"/>
    <w:rsid w:val="009837CB"/>
    <w:rsid w:val="0098394F"/>
    <w:rsid w:val="009839C9"/>
    <w:rsid w:val="00983A18"/>
    <w:rsid w:val="00983B91"/>
    <w:rsid w:val="00983C25"/>
    <w:rsid w:val="00983C89"/>
    <w:rsid w:val="00983CEE"/>
    <w:rsid w:val="00983CF3"/>
    <w:rsid w:val="00983E27"/>
    <w:rsid w:val="00983ED8"/>
    <w:rsid w:val="00983F56"/>
    <w:rsid w:val="00984128"/>
    <w:rsid w:val="009841C0"/>
    <w:rsid w:val="00984386"/>
    <w:rsid w:val="00984397"/>
    <w:rsid w:val="009843AC"/>
    <w:rsid w:val="00984452"/>
    <w:rsid w:val="00984576"/>
    <w:rsid w:val="0098472A"/>
    <w:rsid w:val="009847E2"/>
    <w:rsid w:val="009847E3"/>
    <w:rsid w:val="00984840"/>
    <w:rsid w:val="009848D0"/>
    <w:rsid w:val="0098492A"/>
    <w:rsid w:val="009849B6"/>
    <w:rsid w:val="009849C0"/>
    <w:rsid w:val="00984C00"/>
    <w:rsid w:val="00984C7E"/>
    <w:rsid w:val="00984CA2"/>
    <w:rsid w:val="00984D8C"/>
    <w:rsid w:val="00984D8F"/>
    <w:rsid w:val="00985005"/>
    <w:rsid w:val="00985054"/>
    <w:rsid w:val="009850A6"/>
    <w:rsid w:val="00985159"/>
    <w:rsid w:val="0098517D"/>
    <w:rsid w:val="009852BA"/>
    <w:rsid w:val="009852C1"/>
    <w:rsid w:val="0098539B"/>
    <w:rsid w:val="00985619"/>
    <w:rsid w:val="009857B0"/>
    <w:rsid w:val="009857D2"/>
    <w:rsid w:val="00985BCB"/>
    <w:rsid w:val="00985CAC"/>
    <w:rsid w:val="00985CD3"/>
    <w:rsid w:val="00985CDB"/>
    <w:rsid w:val="00985FA8"/>
    <w:rsid w:val="00986174"/>
    <w:rsid w:val="0098620F"/>
    <w:rsid w:val="00986213"/>
    <w:rsid w:val="00986522"/>
    <w:rsid w:val="00986531"/>
    <w:rsid w:val="0098672D"/>
    <w:rsid w:val="009868B0"/>
    <w:rsid w:val="0098693B"/>
    <w:rsid w:val="0098695B"/>
    <w:rsid w:val="00986AE0"/>
    <w:rsid w:val="00986B7B"/>
    <w:rsid w:val="00986E88"/>
    <w:rsid w:val="0098702D"/>
    <w:rsid w:val="009871CC"/>
    <w:rsid w:val="0098720D"/>
    <w:rsid w:val="0098762D"/>
    <w:rsid w:val="00987632"/>
    <w:rsid w:val="009876EA"/>
    <w:rsid w:val="009878F6"/>
    <w:rsid w:val="00987901"/>
    <w:rsid w:val="00987944"/>
    <w:rsid w:val="00987B3A"/>
    <w:rsid w:val="00987D83"/>
    <w:rsid w:val="00987E4A"/>
    <w:rsid w:val="00987FB0"/>
    <w:rsid w:val="00987FCA"/>
    <w:rsid w:val="00987FFE"/>
    <w:rsid w:val="00990115"/>
    <w:rsid w:val="0099014E"/>
    <w:rsid w:val="0099029D"/>
    <w:rsid w:val="0099036E"/>
    <w:rsid w:val="0099052B"/>
    <w:rsid w:val="009905ED"/>
    <w:rsid w:val="00990810"/>
    <w:rsid w:val="0099089A"/>
    <w:rsid w:val="009908B2"/>
    <w:rsid w:val="009908E9"/>
    <w:rsid w:val="009909BD"/>
    <w:rsid w:val="009909F3"/>
    <w:rsid w:val="00990A41"/>
    <w:rsid w:val="00990AEB"/>
    <w:rsid w:val="00990BD1"/>
    <w:rsid w:val="00991157"/>
    <w:rsid w:val="00991345"/>
    <w:rsid w:val="009914B1"/>
    <w:rsid w:val="009915CD"/>
    <w:rsid w:val="0099166C"/>
    <w:rsid w:val="00991711"/>
    <w:rsid w:val="009919D5"/>
    <w:rsid w:val="00991DFF"/>
    <w:rsid w:val="00991E61"/>
    <w:rsid w:val="0099225E"/>
    <w:rsid w:val="009922EC"/>
    <w:rsid w:val="00992398"/>
    <w:rsid w:val="0099241F"/>
    <w:rsid w:val="00992600"/>
    <w:rsid w:val="0099260D"/>
    <w:rsid w:val="00992C0B"/>
    <w:rsid w:val="00992CD1"/>
    <w:rsid w:val="00992EAD"/>
    <w:rsid w:val="00993038"/>
    <w:rsid w:val="00993050"/>
    <w:rsid w:val="00993322"/>
    <w:rsid w:val="00993350"/>
    <w:rsid w:val="0099338E"/>
    <w:rsid w:val="009935A8"/>
    <w:rsid w:val="009935D8"/>
    <w:rsid w:val="0099393A"/>
    <w:rsid w:val="00993B2F"/>
    <w:rsid w:val="00993BE0"/>
    <w:rsid w:val="00993E4E"/>
    <w:rsid w:val="00993F57"/>
    <w:rsid w:val="00993FE2"/>
    <w:rsid w:val="00994352"/>
    <w:rsid w:val="0099435C"/>
    <w:rsid w:val="00994630"/>
    <w:rsid w:val="0099473F"/>
    <w:rsid w:val="00994860"/>
    <w:rsid w:val="009949E4"/>
    <w:rsid w:val="00994A70"/>
    <w:rsid w:val="00994B64"/>
    <w:rsid w:val="00994B83"/>
    <w:rsid w:val="00994B9B"/>
    <w:rsid w:val="00994BBA"/>
    <w:rsid w:val="00994BF7"/>
    <w:rsid w:val="00994EAC"/>
    <w:rsid w:val="00994F77"/>
    <w:rsid w:val="00994F7B"/>
    <w:rsid w:val="009950BE"/>
    <w:rsid w:val="0099529B"/>
    <w:rsid w:val="009952C8"/>
    <w:rsid w:val="00995529"/>
    <w:rsid w:val="0099555D"/>
    <w:rsid w:val="009956A7"/>
    <w:rsid w:val="00995701"/>
    <w:rsid w:val="009958A3"/>
    <w:rsid w:val="009958E5"/>
    <w:rsid w:val="0099599B"/>
    <w:rsid w:val="00995A0B"/>
    <w:rsid w:val="00995AA7"/>
    <w:rsid w:val="00995B01"/>
    <w:rsid w:val="00995B19"/>
    <w:rsid w:val="00995C2B"/>
    <w:rsid w:val="00995D4B"/>
    <w:rsid w:val="00995DDA"/>
    <w:rsid w:val="00995E04"/>
    <w:rsid w:val="00995F27"/>
    <w:rsid w:val="00995F32"/>
    <w:rsid w:val="009962B2"/>
    <w:rsid w:val="009963A2"/>
    <w:rsid w:val="00996424"/>
    <w:rsid w:val="0099643D"/>
    <w:rsid w:val="009964F4"/>
    <w:rsid w:val="00996694"/>
    <w:rsid w:val="009966EC"/>
    <w:rsid w:val="00996716"/>
    <w:rsid w:val="0099672E"/>
    <w:rsid w:val="009967DC"/>
    <w:rsid w:val="00996860"/>
    <w:rsid w:val="00996B9E"/>
    <w:rsid w:val="00996BBC"/>
    <w:rsid w:val="00996BEA"/>
    <w:rsid w:val="00996C1C"/>
    <w:rsid w:val="00996D9B"/>
    <w:rsid w:val="00996EA5"/>
    <w:rsid w:val="00996F66"/>
    <w:rsid w:val="00997045"/>
    <w:rsid w:val="00997173"/>
    <w:rsid w:val="009975A1"/>
    <w:rsid w:val="009975AE"/>
    <w:rsid w:val="00997AE7"/>
    <w:rsid w:val="00997BDD"/>
    <w:rsid w:val="00997F97"/>
    <w:rsid w:val="009A01BE"/>
    <w:rsid w:val="009A0230"/>
    <w:rsid w:val="009A0281"/>
    <w:rsid w:val="009A02B6"/>
    <w:rsid w:val="009A0368"/>
    <w:rsid w:val="009A036E"/>
    <w:rsid w:val="009A0519"/>
    <w:rsid w:val="009A070E"/>
    <w:rsid w:val="009A08A1"/>
    <w:rsid w:val="009A093F"/>
    <w:rsid w:val="009A0953"/>
    <w:rsid w:val="009A09DE"/>
    <w:rsid w:val="009A0ADD"/>
    <w:rsid w:val="009A0C3A"/>
    <w:rsid w:val="009A0E31"/>
    <w:rsid w:val="009A0E92"/>
    <w:rsid w:val="009A125F"/>
    <w:rsid w:val="009A137D"/>
    <w:rsid w:val="009A14C8"/>
    <w:rsid w:val="009A14ED"/>
    <w:rsid w:val="009A17DF"/>
    <w:rsid w:val="009A1992"/>
    <w:rsid w:val="009A1AAE"/>
    <w:rsid w:val="009A1C85"/>
    <w:rsid w:val="009A1DD9"/>
    <w:rsid w:val="009A2003"/>
    <w:rsid w:val="009A21B5"/>
    <w:rsid w:val="009A220C"/>
    <w:rsid w:val="009A24C8"/>
    <w:rsid w:val="009A24EB"/>
    <w:rsid w:val="009A2553"/>
    <w:rsid w:val="009A2573"/>
    <w:rsid w:val="009A26AD"/>
    <w:rsid w:val="009A277F"/>
    <w:rsid w:val="009A28F6"/>
    <w:rsid w:val="009A29D8"/>
    <w:rsid w:val="009A2AD4"/>
    <w:rsid w:val="009A2B84"/>
    <w:rsid w:val="009A2BC9"/>
    <w:rsid w:val="009A2D6A"/>
    <w:rsid w:val="009A2DAC"/>
    <w:rsid w:val="009A2E46"/>
    <w:rsid w:val="009A2E74"/>
    <w:rsid w:val="009A2F99"/>
    <w:rsid w:val="009A30FD"/>
    <w:rsid w:val="009A312D"/>
    <w:rsid w:val="009A32BF"/>
    <w:rsid w:val="009A32EF"/>
    <w:rsid w:val="009A353E"/>
    <w:rsid w:val="009A354C"/>
    <w:rsid w:val="009A371E"/>
    <w:rsid w:val="009A3785"/>
    <w:rsid w:val="009A384F"/>
    <w:rsid w:val="009A39FF"/>
    <w:rsid w:val="009A3B18"/>
    <w:rsid w:val="009A3BE7"/>
    <w:rsid w:val="009A3E8D"/>
    <w:rsid w:val="009A40ED"/>
    <w:rsid w:val="009A4169"/>
    <w:rsid w:val="009A4197"/>
    <w:rsid w:val="009A420F"/>
    <w:rsid w:val="009A44F7"/>
    <w:rsid w:val="009A457B"/>
    <w:rsid w:val="009A4749"/>
    <w:rsid w:val="009A478B"/>
    <w:rsid w:val="009A4AD0"/>
    <w:rsid w:val="009A4AE0"/>
    <w:rsid w:val="009A4B44"/>
    <w:rsid w:val="009A4CA3"/>
    <w:rsid w:val="009A4DD4"/>
    <w:rsid w:val="009A4E18"/>
    <w:rsid w:val="009A4E79"/>
    <w:rsid w:val="009A4E90"/>
    <w:rsid w:val="009A4F03"/>
    <w:rsid w:val="009A5372"/>
    <w:rsid w:val="009A53BE"/>
    <w:rsid w:val="009A53F6"/>
    <w:rsid w:val="009A540D"/>
    <w:rsid w:val="009A5620"/>
    <w:rsid w:val="009A5660"/>
    <w:rsid w:val="009A572A"/>
    <w:rsid w:val="009A57E1"/>
    <w:rsid w:val="009A5820"/>
    <w:rsid w:val="009A5BC6"/>
    <w:rsid w:val="009A5CEB"/>
    <w:rsid w:val="009A5D7E"/>
    <w:rsid w:val="009A5E78"/>
    <w:rsid w:val="009A625A"/>
    <w:rsid w:val="009A63FD"/>
    <w:rsid w:val="009A65CB"/>
    <w:rsid w:val="009A65F4"/>
    <w:rsid w:val="009A67F3"/>
    <w:rsid w:val="009A686A"/>
    <w:rsid w:val="009A68C0"/>
    <w:rsid w:val="009A6AB3"/>
    <w:rsid w:val="009A6B4E"/>
    <w:rsid w:val="009A6BB6"/>
    <w:rsid w:val="009A6E51"/>
    <w:rsid w:val="009A7052"/>
    <w:rsid w:val="009A7086"/>
    <w:rsid w:val="009A7104"/>
    <w:rsid w:val="009A71D5"/>
    <w:rsid w:val="009A7287"/>
    <w:rsid w:val="009A72B4"/>
    <w:rsid w:val="009A73C1"/>
    <w:rsid w:val="009A73EB"/>
    <w:rsid w:val="009A742C"/>
    <w:rsid w:val="009A757E"/>
    <w:rsid w:val="009A7598"/>
    <w:rsid w:val="009A775C"/>
    <w:rsid w:val="009A7796"/>
    <w:rsid w:val="009A77CA"/>
    <w:rsid w:val="009A7BDE"/>
    <w:rsid w:val="009A7D67"/>
    <w:rsid w:val="009A7DD1"/>
    <w:rsid w:val="009A7DD3"/>
    <w:rsid w:val="009A7DE9"/>
    <w:rsid w:val="009A7E3B"/>
    <w:rsid w:val="009A7EA5"/>
    <w:rsid w:val="009A7F16"/>
    <w:rsid w:val="009B0047"/>
    <w:rsid w:val="009B00D8"/>
    <w:rsid w:val="009B00E4"/>
    <w:rsid w:val="009B00FD"/>
    <w:rsid w:val="009B01AB"/>
    <w:rsid w:val="009B02BA"/>
    <w:rsid w:val="009B0300"/>
    <w:rsid w:val="009B0399"/>
    <w:rsid w:val="009B04F5"/>
    <w:rsid w:val="009B05A0"/>
    <w:rsid w:val="009B05B8"/>
    <w:rsid w:val="009B07D7"/>
    <w:rsid w:val="009B0839"/>
    <w:rsid w:val="009B0872"/>
    <w:rsid w:val="009B0887"/>
    <w:rsid w:val="009B0892"/>
    <w:rsid w:val="009B0A27"/>
    <w:rsid w:val="009B0A9F"/>
    <w:rsid w:val="009B0BF8"/>
    <w:rsid w:val="009B0C6E"/>
    <w:rsid w:val="009B0D82"/>
    <w:rsid w:val="009B0E45"/>
    <w:rsid w:val="009B0E78"/>
    <w:rsid w:val="009B0E9E"/>
    <w:rsid w:val="009B0F01"/>
    <w:rsid w:val="009B0F1F"/>
    <w:rsid w:val="009B0F49"/>
    <w:rsid w:val="009B10A4"/>
    <w:rsid w:val="009B10BE"/>
    <w:rsid w:val="009B10EA"/>
    <w:rsid w:val="009B14B6"/>
    <w:rsid w:val="009B15D3"/>
    <w:rsid w:val="009B15F4"/>
    <w:rsid w:val="009B1632"/>
    <w:rsid w:val="009B16C4"/>
    <w:rsid w:val="009B17D9"/>
    <w:rsid w:val="009B1875"/>
    <w:rsid w:val="009B18C5"/>
    <w:rsid w:val="009B19B6"/>
    <w:rsid w:val="009B1A4F"/>
    <w:rsid w:val="009B1A91"/>
    <w:rsid w:val="009B1F0E"/>
    <w:rsid w:val="009B22CE"/>
    <w:rsid w:val="009B2312"/>
    <w:rsid w:val="009B23A8"/>
    <w:rsid w:val="009B2566"/>
    <w:rsid w:val="009B25D6"/>
    <w:rsid w:val="009B25FA"/>
    <w:rsid w:val="009B2684"/>
    <w:rsid w:val="009B2727"/>
    <w:rsid w:val="009B27C5"/>
    <w:rsid w:val="009B27F5"/>
    <w:rsid w:val="009B2B0F"/>
    <w:rsid w:val="009B2CE4"/>
    <w:rsid w:val="009B2F8E"/>
    <w:rsid w:val="009B3201"/>
    <w:rsid w:val="009B33A2"/>
    <w:rsid w:val="009B340E"/>
    <w:rsid w:val="009B34A1"/>
    <w:rsid w:val="009B3534"/>
    <w:rsid w:val="009B36E6"/>
    <w:rsid w:val="009B3942"/>
    <w:rsid w:val="009B3BA0"/>
    <w:rsid w:val="009B3DDE"/>
    <w:rsid w:val="009B3F92"/>
    <w:rsid w:val="009B3FB2"/>
    <w:rsid w:val="009B402F"/>
    <w:rsid w:val="009B41E1"/>
    <w:rsid w:val="009B425B"/>
    <w:rsid w:val="009B445C"/>
    <w:rsid w:val="009B44A1"/>
    <w:rsid w:val="009B45DB"/>
    <w:rsid w:val="009B46C8"/>
    <w:rsid w:val="009B4848"/>
    <w:rsid w:val="009B49BA"/>
    <w:rsid w:val="009B4A77"/>
    <w:rsid w:val="009B4BDC"/>
    <w:rsid w:val="009B4DEE"/>
    <w:rsid w:val="009B4E77"/>
    <w:rsid w:val="009B4EC7"/>
    <w:rsid w:val="009B50AE"/>
    <w:rsid w:val="009B5332"/>
    <w:rsid w:val="009B5433"/>
    <w:rsid w:val="009B56F3"/>
    <w:rsid w:val="009B57CF"/>
    <w:rsid w:val="009B584D"/>
    <w:rsid w:val="009B58CA"/>
    <w:rsid w:val="009B5ADC"/>
    <w:rsid w:val="009B5B31"/>
    <w:rsid w:val="009B5B91"/>
    <w:rsid w:val="009B5C36"/>
    <w:rsid w:val="009B5C7A"/>
    <w:rsid w:val="009B602F"/>
    <w:rsid w:val="009B6333"/>
    <w:rsid w:val="009B6379"/>
    <w:rsid w:val="009B6391"/>
    <w:rsid w:val="009B6428"/>
    <w:rsid w:val="009B64C7"/>
    <w:rsid w:val="009B6568"/>
    <w:rsid w:val="009B65A8"/>
    <w:rsid w:val="009B65EA"/>
    <w:rsid w:val="009B6601"/>
    <w:rsid w:val="009B6846"/>
    <w:rsid w:val="009B6B30"/>
    <w:rsid w:val="009B6B75"/>
    <w:rsid w:val="009B6BEA"/>
    <w:rsid w:val="009B6CD0"/>
    <w:rsid w:val="009B6D54"/>
    <w:rsid w:val="009B6E71"/>
    <w:rsid w:val="009B6FCF"/>
    <w:rsid w:val="009B7038"/>
    <w:rsid w:val="009B71CD"/>
    <w:rsid w:val="009B71E7"/>
    <w:rsid w:val="009B7293"/>
    <w:rsid w:val="009B72E8"/>
    <w:rsid w:val="009B740B"/>
    <w:rsid w:val="009B741B"/>
    <w:rsid w:val="009B7753"/>
    <w:rsid w:val="009B7871"/>
    <w:rsid w:val="009B7876"/>
    <w:rsid w:val="009B78CC"/>
    <w:rsid w:val="009B7A55"/>
    <w:rsid w:val="009B7BE3"/>
    <w:rsid w:val="009B7C6A"/>
    <w:rsid w:val="009B7DF9"/>
    <w:rsid w:val="009C0238"/>
    <w:rsid w:val="009C04ED"/>
    <w:rsid w:val="009C04FB"/>
    <w:rsid w:val="009C08A7"/>
    <w:rsid w:val="009C0972"/>
    <w:rsid w:val="009C097C"/>
    <w:rsid w:val="009C099A"/>
    <w:rsid w:val="009C09A7"/>
    <w:rsid w:val="009C09BC"/>
    <w:rsid w:val="009C0A0E"/>
    <w:rsid w:val="009C0A4F"/>
    <w:rsid w:val="009C0BBE"/>
    <w:rsid w:val="009C0CBE"/>
    <w:rsid w:val="009C106A"/>
    <w:rsid w:val="009C116A"/>
    <w:rsid w:val="009C1279"/>
    <w:rsid w:val="009C13E0"/>
    <w:rsid w:val="009C13ED"/>
    <w:rsid w:val="009C13F1"/>
    <w:rsid w:val="009C15F6"/>
    <w:rsid w:val="009C16EF"/>
    <w:rsid w:val="009C1984"/>
    <w:rsid w:val="009C19A1"/>
    <w:rsid w:val="009C19DF"/>
    <w:rsid w:val="009C1A59"/>
    <w:rsid w:val="009C1A64"/>
    <w:rsid w:val="009C1E32"/>
    <w:rsid w:val="009C2010"/>
    <w:rsid w:val="009C209B"/>
    <w:rsid w:val="009C21F1"/>
    <w:rsid w:val="009C2261"/>
    <w:rsid w:val="009C2300"/>
    <w:rsid w:val="009C2372"/>
    <w:rsid w:val="009C2586"/>
    <w:rsid w:val="009C2631"/>
    <w:rsid w:val="009C276E"/>
    <w:rsid w:val="009C2A47"/>
    <w:rsid w:val="009C2A49"/>
    <w:rsid w:val="009C2A89"/>
    <w:rsid w:val="009C2AA8"/>
    <w:rsid w:val="009C2D4A"/>
    <w:rsid w:val="009C2D68"/>
    <w:rsid w:val="009C2EAA"/>
    <w:rsid w:val="009C2EC8"/>
    <w:rsid w:val="009C2EEE"/>
    <w:rsid w:val="009C2F5A"/>
    <w:rsid w:val="009C2FA6"/>
    <w:rsid w:val="009C30C3"/>
    <w:rsid w:val="009C3346"/>
    <w:rsid w:val="009C3416"/>
    <w:rsid w:val="009C348A"/>
    <w:rsid w:val="009C3738"/>
    <w:rsid w:val="009C3955"/>
    <w:rsid w:val="009C39D5"/>
    <w:rsid w:val="009C3BDD"/>
    <w:rsid w:val="009C3C1B"/>
    <w:rsid w:val="009C3C81"/>
    <w:rsid w:val="009C3E29"/>
    <w:rsid w:val="009C407F"/>
    <w:rsid w:val="009C414C"/>
    <w:rsid w:val="009C4286"/>
    <w:rsid w:val="009C4470"/>
    <w:rsid w:val="009C449F"/>
    <w:rsid w:val="009C44A6"/>
    <w:rsid w:val="009C457E"/>
    <w:rsid w:val="009C49FC"/>
    <w:rsid w:val="009C4B91"/>
    <w:rsid w:val="009C4C62"/>
    <w:rsid w:val="009C4D34"/>
    <w:rsid w:val="009C4E88"/>
    <w:rsid w:val="009C4E9C"/>
    <w:rsid w:val="009C4EB7"/>
    <w:rsid w:val="009C4EC5"/>
    <w:rsid w:val="009C4ECC"/>
    <w:rsid w:val="009C5495"/>
    <w:rsid w:val="009C5858"/>
    <w:rsid w:val="009C5863"/>
    <w:rsid w:val="009C5B68"/>
    <w:rsid w:val="009C5BC4"/>
    <w:rsid w:val="009C5C19"/>
    <w:rsid w:val="009C5C74"/>
    <w:rsid w:val="009C5C77"/>
    <w:rsid w:val="009C5D2E"/>
    <w:rsid w:val="009C5DBA"/>
    <w:rsid w:val="009C621C"/>
    <w:rsid w:val="009C62D8"/>
    <w:rsid w:val="009C62FF"/>
    <w:rsid w:val="009C63A5"/>
    <w:rsid w:val="009C63D2"/>
    <w:rsid w:val="009C63FF"/>
    <w:rsid w:val="009C67B8"/>
    <w:rsid w:val="009C68A2"/>
    <w:rsid w:val="009C69F1"/>
    <w:rsid w:val="009C6A68"/>
    <w:rsid w:val="009C6BAF"/>
    <w:rsid w:val="009C6BF4"/>
    <w:rsid w:val="009C6D22"/>
    <w:rsid w:val="009C6D58"/>
    <w:rsid w:val="009C6E4A"/>
    <w:rsid w:val="009C6E53"/>
    <w:rsid w:val="009C6E90"/>
    <w:rsid w:val="009C6ED6"/>
    <w:rsid w:val="009C6F55"/>
    <w:rsid w:val="009C708A"/>
    <w:rsid w:val="009C70D9"/>
    <w:rsid w:val="009C738D"/>
    <w:rsid w:val="009C7446"/>
    <w:rsid w:val="009C7487"/>
    <w:rsid w:val="009C76CC"/>
    <w:rsid w:val="009C76D2"/>
    <w:rsid w:val="009C7848"/>
    <w:rsid w:val="009C7978"/>
    <w:rsid w:val="009C7998"/>
    <w:rsid w:val="009C79A6"/>
    <w:rsid w:val="009C79B0"/>
    <w:rsid w:val="009C7A44"/>
    <w:rsid w:val="009C7AF0"/>
    <w:rsid w:val="009C7E7E"/>
    <w:rsid w:val="009C7F23"/>
    <w:rsid w:val="009C7F73"/>
    <w:rsid w:val="009C7FEF"/>
    <w:rsid w:val="009D02A6"/>
    <w:rsid w:val="009D02DC"/>
    <w:rsid w:val="009D040A"/>
    <w:rsid w:val="009D0557"/>
    <w:rsid w:val="009D0569"/>
    <w:rsid w:val="009D067F"/>
    <w:rsid w:val="009D06E4"/>
    <w:rsid w:val="009D0763"/>
    <w:rsid w:val="009D077B"/>
    <w:rsid w:val="009D0813"/>
    <w:rsid w:val="009D081B"/>
    <w:rsid w:val="009D0B04"/>
    <w:rsid w:val="009D0E6B"/>
    <w:rsid w:val="009D0F76"/>
    <w:rsid w:val="009D10B1"/>
    <w:rsid w:val="009D10F0"/>
    <w:rsid w:val="009D1165"/>
    <w:rsid w:val="009D1275"/>
    <w:rsid w:val="009D12D5"/>
    <w:rsid w:val="009D1307"/>
    <w:rsid w:val="009D150F"/>
    <w:rsid w:val="009D1546"/>
    <w:rsid w:val="009D18C8"/>
    <w:rsid w:val="009D1920"/>
    <w:rsid w:val="009D1A15"/>
    <w:rsid w:val="009D1A7A"/>
    <w:rsid w:val="009D1AC7"/>
    <w:rsid w:val="009D1AF7"/>
    <w:rsid w:val="009D1C09"/>
    <w:rsid w:val="009D1E2A"/>
    <w:rsid w:val="009D1E57"/>
    <w:rsid w:val="009D2113"/>
    <w:rsid w:val="009D2181"/>
    <w:rsid w:val="009D2765"/>
    <w:rsid w:val="009D280E"/>
    <w:rsid w:val="009D29D5"/>
    <w:rsid w:val="009D2A0C"/>
    <w:rsid w:val="009D2AB8"/>
    <w:rsid w:val="009D2BED"/>
    <w:rsid w:val="009D2BFA"/>
    <w:rsid w:val="009D2CA8"/>
    <w:rsid w:val="009D2D11"/>
    <w:rsid w:val="009D2FD4"/>
    <w:rsid w:val="009D2FEF"/>
    <w:rsid w:val="009D3112"/>
    <w:rsid w:val="009D3128"/>
    <w:rsid w:val="009D334A"/>
    <w:rsid w:val="009D3564"/>
    <w:rsid w:val="009D358F"/>
    <w:rsid w:val="009D35E8"/>
    <w:rsid w:val="009D363D"/>
    <w:rsid w:val="009D37B1"/>
    <w:rsid w:val="009D37D7"/>
    <w:rsid w:val="009D37DC"/>
    <w:rsid w:val="009D39BA"/>
    <w:rsid w:val="009D3AD5"/>
    <w:rsid w:val="009D3B3F"/>
    <w:rsid w:val="009D3BCD"/>
    <w:rsid w:val="009D3C5D"/>
    <w:rsid w:val="009D3CCE"/>
    <w:rsid w:val="009D3E5F"/>
    <w:rsid w:val="009D410D"/>
    <w:rsid w:val="009D4184"/>
    <w:rsid w:val="009D429C"/>
    <w:rsid w:val="009D432C"/>
    <w:rsid w:val="009D4503"/>
    <w:rsid w:val="009D4731"/>
    <w:rsid w:val="009D474D"/>
    <w:rsid w:val="009D4769"/>
    <w:rsid w:val="009D4837"/>
    <w:rsid w:val="009D4A37"/>
    <w:rsid w:val="009D4A85"/>
    <w:rsid w:val="009D4B4B"/>
    <w:rsid w:val="009D4C15"/>
    <w:rsid w:val="009D504E"/>
    <w:rsid w:val="009D5162"/>
    <w:rsid w:val="009D5291"/>
    <w:rsid w:val="009D52A6"/>
    <w:rsid w:val="009D53B7"/>
    <w:rsid w:val="009D53E2"/>
    <w:rsid w:val="009D54B5"/>
    <w:rsid w:val="009D58D0"/>
    <w:rsid w:val="009D5958"/>
    <w:rsid w:val="009D5984"/>
    <w:rsid w:val="009D5B4B"/>
    <w:rsid w:val="009D5B7B"/>
    <w:rsid w:val="009D5BA0"/>
    <w:rsid w:val="009D5CB1"/>
    <w:rsid w:val="009D5FFD"/>
    <w:rsid w:val="009D60CC"/>
    <w:rsid w:val="009D60E3"/>
    <w:rsid w:val="009D6151"/>
    <w:rsid w:val="009D6252"/>
    <w:rsid w:val="009D636D"/>
    <w:rsid w:val="009D641A"/>
    <w:rsid w:val="009D64D6"/>
    <w:rsid w:val="009D6610"/>
    <w:rsid w:val="009D667A"/>
    <w:rsid w:val="009D6699"/>
    <w:rsid w:val="009D6728"/>
    <w:rsid w:val="009D6A0C"/>
    <w:rsid w:val="009D6AE5"/>
    <w:rsid w:val="009D6B10"/>
    <w:rsid w:val="009D6B60"/>
    <w:rsid w:val="009D6F33"/>
    <w:rsid w:val="009D6F4F"/>
    <w:rsid w:val="009D73AA"/>
    <w:rsid w:val="009D73B9"/>
    <w:rsid w:val="009D7510"/>
    <w:rsid w:val="009D75CB"/>
    <w:rsid w:val="009D798D"/>
    <w:rsid w:val="009D79B5"/>
    <w:rsid w:val="009D7A0C"/>
    <w:rsid w:val="009D7A4B"/>
    <w:rsid w:val="009D7B50"/>
    <w:rsid w:val="009D7BD0"/>
    <w:rsid w:val="009D7C58"/>
    <w:rsid w:val="009D7E72"/>
    <w:rsid w:val="009D7E99"/>
    <w:rsid w:val="009D7F87"/>
    <w:rsid w:val="009E001D"/>
    <w:rsid w:val="009E0154"/>
    <w:rsid w:val="009E01A8"/>
    <w:rsid w:val="009E03F5"/>
    <w:rsid w:val="009E04A1"/>
    <w:rsid w:val="009E08E8"/>
    <w:rsid w:val="009E09B1"/>
    <w:rsid w:val="009E0A48"/>
    <w:rsid w:val="009E0A6F"/>
    <w:rsid w:val="009E0B30"/>
    <w:rsid w:val="009E0CEB"/>
    <w:rsid w:val="009E0F0F"/>
    <w:rsid w:val="009E1067"/>
    <w:rsid w:val="009E111A"/>
    <w:rsid w:val="009E11CB"/>
    <w:rsid w:val="009E128F"/>
    <w:rsid w:val="009E12DC"/>
    <w:rsid w:val="009E1436"/>
    <w:rsid w:val="009E145E"/>
    <w:rsid w:val="009E1546"/>
    <w:rsid w:val="009E161E"/>
    <w:rsid w:val="009E1788"/>
    <w:rsid w:val="009E17CA"/>
    <w:rsid w:val="009E184A"/>
    <w:rsid w:val="009E1AC5"/>
    <w:rsid w:val="009E1B76"/>
    <w:rsid w:val="009E1BDB"/>
    <w:rsid w:val="009E1D1D"/>
    <w:rsid w:val="009E1EB8"/>
    <w:rsid w:val="009E20D9"/>
    <w:rsid w:val="009E21FD"/>
    <w:rsid w:val="009E226A"/>
    <w:rsid w:val="009E2298"/>
    <w:rsid w:val="009E27F0"/>
    <w:rsid w:val="009E2953"/>
    <w:rsid w:val="009E2975"/>
    <w:rsid w:val="009E298B"/>
    <w:rsid w:val="009E2A7F"/>
    <w:rsid w:val="009E2B5B"/>
    <w:rsid w:val="009E2C41"/>
    <w:rsid w:val="009E2C47"/>
    <w:rsid w:val="009E2CFA"/>
    <w:rsid w:val="009E2DB1"/>
    <w:rsid w:val="009E2E3A"/>
    <w:rsid w:val="009E2F53"/>
    <w:rsid w:val="009E313F"/>
    <w:rsid w:val="009E3224"/>
    <w:rsid w:val="009E3371"/>
    <w:rsid w:val="009E3624"/>
    <w:rsid w:val="009E39CC"/>
    <w:rsid w:val="009E3A5E"/>
    <w:rsid w:val="009E3B1C"/>
    <w:rsid w:val="009E3C6E"/>
    <w:rsid w:val="009E3C9F"/>
    <w:rsid w:val="009E4256"/>
    <w:rsid w:val="009E47DE"/>
    <w:rsid w:val="009E48AE"/>
    <w:rsid w:val="009E4C89"/>
    <w:rsid w:val="009E4CF1"/>
    <w:rsid w:val="009E4DA1"/>
    <w:rsid w:val="009E4DAA"/>
    <w:rsid w:val="009E4ED2"/>
    <w:rsid w:val="009E4F9E"/>
    <w:rsid w:val="009E4FF5"/>
    <w:rsid w:val="009E5014"/>
    <w:rsid w:val="009E5120"/>
    <w:rsid w:val="009E53F3"/>
    <w:rsid w:val="009E543D"/>
    <w:rsid w:val="009E546F"/>
    <w:rsid w:val="009E54EC"/>
    <w:rsid w:val="009E568D"/>
    <w:rsid w:val="009E56D2"/>
    <w:rsid w:val="009E571A"/>
    <w:rsid w:val="009E57C1"/>
    <w:rsid w:val="009E593F"/>
    <w:rsid w:val="009E5B67"/>
    <w:rsid w:val="009E5D5C"/>
    <w:rsid w:val="009E5F13"/>
    <w:rsid w:val="009E61FF"/>
    <w:rsid w:val="009E6229"/>
    <w:rsid w:val="009E63C3"/>
    <w:rsid w:val="009E63F9"/>
    <w:rsid w:val="009E6482"/>
    <w:rsid w:val="009E6579"/>
    <w:rsid w:val="009E66AE"/>
    <w:rsid w:val="009E6BC0"/>
    <w:rsid w:val="009E6DA9"/>
    <w:rsid w:val="009E6DEC"/>
    <w:rsid w:val="009E7140"/>
    <w:rsid w:val="009E7286"/>
    <w:rsid w:val="009E73DF"/>
    <w:rsid w:val="009E7497"/>
    <w:rsid w:val="009E74D9"/>
    <w:rsid w:val="009E756A"/>
    <w:rsid w:val="009E75BF"/>
    <w:rsid w:val="009E75EE"/>
    <w:rsid w:val="009E78E8"/>
    <w:rsid w:val="009E79CB"/>
    <w:rsid w:val="009E7B7E"/>
    <w:rsid w:val="009E7BB2"/>
    <w:rsid w:val="009E7C19"/>
    <w:rsid w:val="009E7D02"/>
    <w:rsid w:val="009E7DCF"/>
    <w:rsid w:val="009E7DDB"/>
    <w:rsid w:val="009E7E1D"/>
    <w:rsid w:val="009E7E6A"/>
    <w:rsid w:val="009F00AD"/>
    <w:rsid w:val="009F01A6"/>
    <w:rsid w:val="009F029F"/>
    <w:rsid w:val="009F035B"/>
    <w:rsid w:val="009F04ED"/>
    <w:rsid w:val="009F057D"/>
    <w:rsid w:val="009F0829"/>
    <w:rsid w:val="009F0A6E"/>
    <w:rsid w:val="009F0B0A"/>
    <w:rsid w:val="009F0C0E"/>
    <w:rsid w:val="009F0E44"/>
    <w:rsid w:val="009F1356"/>
    <w:rsid w:val="009F1368"/>
    <w:rsid w:val="009F1612"/>
    <w:rsid w:val="009F1695"/>
    <w:rsid w:val="009F1749"/>
    <w:rsid w:val="009F19E8"/>
    <w:rsid w:val="009F1B2E"/>
    <w:rsid w:val="009F1B9A"/>
    <w:rsid w:val="009F1BB9"/>
    <w:rsid w:val="009F1C9D"/>
    <w:rsid w:val="009F1DF7"/>
    <w:rsid w:val="009F2044"/>
    <w:rsid w:val="009F2068"/>
    <w:rsid w:val="009F20E0"/>
    <w:rsid w:val="009F20F1"/>
    <w:rsid w:val="009F222F"/>
    <w:rsid w:val="009F2266"/>
    <w:rsid w:val="009F241A"/>
    <w:rsid w:val="009F252E"/>
    <w:rsid w:val="009F25CB"/>
    <w:rsid w:val="009F2853"/>
    <w:rsid w:val="009F2A3B"/>
    <w:rsid w:val="009F2B36"/>
    <w:rsid w:val="009F2BC4"/>
    <w:rsid w:val="009F2EB7"/>
    <w:rsid w:val="009F3050"/>
    <w:rsid w:val="009F30E4"/>
    <w:rsid w:val="009F31DC"/>
    <w:rsid w:val="009F3325"/>
    <w:rsid w:val="009F33C5"/>
    <w:rsid w:val="009F33EC"/>
    <w:rsid w:val="009F36B0"/>
    <w:rsid w:val="009F36F9"/>
    <w:rsid w:val="009F38FA"/>
    <w:rsid w:val="009F39AA"/>
    <w:rsid w:val="009F3A28"/>
    <w:rsid w:val="009F3A6B"/>
    <w:rsid w:val="009F3AC8"/>
    <w:rsid w:val="009F3B25"/>
    <w:rsid w:val="009F3B4B"/>
    <w:rsid w:val="009F3DE2"/>
    <w:rsid w:val="009F3E2A"/>
    <w:rsid w:val="009F3EFB"/>
    <w:rsid w:val="009F3F0A"/>
    <w:rsid w:val="009F3F98"/>
    <w:rsid w:val="009F4070"/>
    <w:rsid w:val="009F4160"/>
    <w:rsid w:val="009F41CD"/>
    <w:rsid w:val="009F4214"/>
    <w:rsid w:val="009F4374"/>
    <w:rsid w:val="009F46CF"/>
    <w:rsid w:val="009F487A"/>
    <w:rsid w:val="009F4891"/>
    <w:rsid w:val="009F4B4B"/>
    <w:rsid w:val="009F4C93"/>
    <w:rsid w:val="009F4CD9"/>
    <w:rsid w:val="009F4DB0"/>
    <w:rsid w:val="009F4F5D"/>
    <w:rsid w:val="009F507F"/>
    <w:rsid w:val="009F518F"/>
    <w:rsid w:val="009F52B2"/>
    <w:rsid w:val="009F52C5"/>
    <w:rsid w:val="009F53AA"/>
    <w:rsid w:val="009F5460"/>
    <w:rsid w:val="009F54F1"/>
    <w:rsid w:val="009F5731"/>
    <w:rsid w:val="009F57E9"/>
    <w:rsid w:val="009F586A"/>
    <w:rsid w:val="009F5932"/>
    <w:rsid w:val="009F5CC6"/>
    <w:rsid w:val="009F5F72"/>
    <w:rsid w:val="009F601E"/>
    <w:rsid w:val="009F6062"/>
    <w:rsid w:val="009F6205"/>
    <w:rsid w:val="009F6468"/>
    <w:rsid w:val="009F64B0"/>
    <w:rsid w:val="009F64D8"/>
    <w:rsid w:val="009F6856"/>
    <w:rsid w:val="009F6897"/>
    <w:rsid w:val="009F692F"/>
    <w:rsid w:val="009F6BD4"/>
    <w:rsid w:val="009F6C7D"/>
    <w:rsid w:val="009F6D21"/>
    <w:rsid w:val="009F6E56"/>
    <w:rsid w:val="009F6FB9"/>
    <w:rsid w:val="009F6FF6"/>
    <w:rsid w:val="009F713A"/>
    <w:rsid w:val="009F7358"/>
    <w:rsid w:val="009F74F2"/>
    <w:rsid w:val="009F755A"/>
    <w:rsid w:val="009F758B"/>
    <w:rsid w:val="009F7743"/>
    <w:rsid w:val="009F778E"/>
    <w:rsid w:val="009F7906"/>
    <w:rsid w:val="009F7A6C"/>
    <w:rsid w:val="009F7ACC"/>
    <w:rsid w:val="009F7AE7"/>
    <w:rsid w:val="009F7B26"/>
    <w:rsid w:val="009F7BE4"/>
    <w:rsid w:val="009F7C7A"/>
    <w:rsid w:val="009F7CE1"/>
    <w:rsid w:val="009F7D74"/>
    <w:rsid w:val="009F7D81"/>
    <w:rsid w:val="009F7DFB"/>
    <w:rsid w:val="009F7E74"/>
    <w:rsid w:val="009F7F35"/>
    <w:rsid w:val="00A002D8"/>
    <w:rsid w:val="00A004F5"/>
    <w:rsid w:val="00A005D0"/>
    <w:rsid w:val="00A00674"/>
    <w:rsid w:val="00A008C5"/>
    <w:rsid w:val="00A00A4E"/>
    <w:rsid w:val="00A00B5D"/>
    <w:rsid w:val="00A00D1A"/>
    <w:rsid w:val="00A00E1D"/>
    <w:rsid w:val="00A00E95"/>
    <w:rsid w:val="00A00F25"/>
    <w:rsid w:val="00A00FB4"/>
    <w:rsid w:val="00A00FE9"/>
    <w:rsid w:val="00A010C4"/>
    <w:rsid w:val="00A010F6"/>
    <w:rsid w:val="00A012A2"/>
    <w:rsid w:val="00A01415"/>
    <w:rsid w:val="00A0141A"/>
    <w:rsid w:val="00A01425"/>
    <w:rsid w:val="00A01470"/>
    <w:rsid w:val="00A0159D"/>
    <w:rsid w:val="00A016E2"/>
    <w:rsid w:val="00A0180B"/>
    <w:rsid w:val="00A018F0"/>
    <w:rsid w:val="00A01A80"/>
    <w:rsid w:val="00A01B3E"/>
    <w:rsid w:val="00A01BF8"/>
    <w:rsid w:val="00A01C1E"/>
    <w:rsid w:val="00A01C3D"/>
    <w:rsid w:val="00A01CF8"/>
    <w:rsid w:val="00A01D09"/>
    <w:rsid w:val="00A01EE8"/>
    <w:rsid w:val="00A02016"/>
    <w:rsid w:val="00A02076"/>
    <w:rsid w:val="00A0229D"/>
    <w:rsid w:val="00A02373"/>
    <w:rsid w:val="00A023B8"/>
    <w:rsid w:val="00A02522"/>
    <w:rsid w:val="00A025AE"/>
    <w:rsid w:val="00A025D4"/>
    <w:rsid w:val="00A028A8"/>
    <w:rsid w:val="00A02939"/>
    <w:rsid w:val="00A02AEE"/>
    <w:rsid w:val="00A02CF6"/>
    <w:rsid w:val="00A02E2F"/>
    <w:rsid w:val="00A02E4A"/>
    <w:rsid w:val="00A03055"/>
    <w:rsid w:val="00A0332C"/>
    <w:rsid w:val="00A0338E"/>
    <w:rsid w:val="00A03393"/>
    <w:rsid w:val="00A035A6"/>
    <w:rsid w:val="00A03696"/>
    <w:rsid w:val="00A036B9"/>
    <w:rsid w:val="00A036F5"/>
    <w:rsid w:val="00A03706"/>
    <w:rsid w:val="00A03714"/>
    <w:rsid w:val="00A03793"/>
    <w:rsid w:val="00A03798"/>
    <w:rsid w:val="00A037B8"/>
    <w:rsid w:val="00A037BE"/>
    <w:rsid w:val="00A03910"/>
    <w:rsid w:val="00A03B59"/>
    <w:rsid w:val="00A03DC3"/>
    <w:rsid w:val="00A03F49"/>
    <w:rsid w:val="00A03F81"/>
    <w:rsid w:val="00A04083"/>
    <w:rsid w:val="00A04107"/>
    <w:rsid w:val="00A04226"/>
    <w:rsid w:val="00A04336"/>
    <w:rsid w:val="00A0442B"/>
    <w:rsid w:val="00A04469"/>
    <w:rsid w:val="00A04489"/>
    <w:rsid w:val="00A0452E"/>
    <w:rsid w:val="00A04A01"/>
    <w:rsid w:val="00A04AB4"/>
    <w:rsid w:val="00A04B42"/>
    <w:rsid w:val="00A04B45"/>
    <w:rsid w:val="00A04B6D"/>
    <w:rsid w:val="00A04C38"/>
    <w:rsid w:val="00A04CC2"/>
    <w:rsid w:val="00A04DEE"/>
    <w:rsid w:val="00A04E3E"/>
    <w:rsid w:val="00A0515D"/>
    <w:rsid w:val="00A05307"/>
    <w:rsid w:val="00A05316"/>
    <w:rsid w:val="00A05332"/>
    <w:rsid w:val="00A053E5"/>
    <w:rsid w:val="00A053EF"/>
    <w:rsid w:val="00A0544C"/>
    <w:rsid w:val="00A0549A"/>
    <w:rsid w:val="00A0556F"/>
    <w:rsid w:val="00A055C7"/>
    <w:rsid w:val="00A056EF"/>
    <w:rsid w:val="00A057E8"/>
    <w:rsid w:val="00A05AE8"/>
    <w:rsid w:val="00A05BAC"/>
    <w:rsid w:val="00A05C7E"/>
    <w:rsid w:val="00A05D5C"/>
    <w:rsid w:val="00A05EE2"/>
    <w:rsid w:val="00A05FEA"/>
    <w:rsid w:val="00A062CE"/>
    <w:rsid w:val="00A06575"/>
    <w:rsid w:val="00A065A7"/>
    <w:rsid w:val="00A06756"/>
    <w:rsid w:val="00A06768"/>
    <w:rsid w:val="00A067DF"/>
    <w:rsid w:val="00A068EC"/>
    <w:rsid w:val="00A0691B"/>
    <w:rsid w:val="00A06934"/>
    <w:rsid w:val="00A06ADD"/>
    <w:rsid w:val="00A06C6E"/>
    <w:rsid w:val="00A06CE1"/>
    <w:rsid w:val="00A06E73"/>
    <w:rsid w:val="00A06F1B"/>
    <w:rsid w:val="00A06FEC"/>
    <w:rsid w:val="00A07090"/>
    <w:rsid w:val="00A070A2"/>
    <w:rsid w:val="00A0719F"/>
    <w:rsid w:val="00A07557"/>
    <w:rsid w:val="00A075A6"/>
    <w:rsid w:val="00A075C6"/>
    <w:rsid w:val="00A07730"/>
    <w:rsid w:val="00A077A8"/>
    <w:rsid w:val="00A0786D"/>
    <w:rsid w:val="00A079CA"/>
    <w:rsid w:val="00A07A03"/>
    <w:rsid w:val="00A07AC6"/>
    <w:rsid w:val="00A07D15"/>
    <w:rsid w:val="00A07FBE"/>
    <w:rsid w:val="00A1002F"/>
    <w:rsid w:val="00A1004B"/>
    <w:rsid w:val="00A100CD"/>
    <w:rsid w:val="00A10144"/>
    <w:rsid w:val="00A101FC"/>
    <w:rsid w:val="00A102B7"/>
    <w:rsid w:val="00A10324"/>
    <w:rsid w:val="00A1032E"/>
    <w:rsid w:val="00A10362"/>
    <w:rsid w:val="00A104BD"/>
    <w:rsid w:val="00A1059F"/>
    <w:rsid w:val="00A1075B"/>
    <w:rsid w:val="00A107C0"/>
    <w:rsid w:val="00A107D0"/>
    <w:rsid w:val="00A108D5"/>
    <w:rsid w:val="00A10A5A"/>
    <w:rsid w:val="00A10A88"/>
    <w:rsid w:val="00A10B85"/>
    <w:rsid w:val="00A10BF9"/>
    <w:rsid w:val="00A10C8F"/>
    <w:rsid w:val="00A10CB1"/>
    <w:rsid w:val="00A10D72"/>
    <w:rsid w:val="00A10F52"/>
    <w:rsid w:val="00A10FC6"/>
    <w:rsid w:val="00A1108F"/>
    <w:rsid w:val="00A1135F"/>
    <w:rsid w:val="00A113BA"/>
    <w:rsid w:val="00A116F5"/>
    <w:rsid w:val="00A1183D"/>
    <w:rsid w:val="00A118ED"/>
    <w:rsid w:val="00A11B84"/>
    <w:rsid w:val="00A11B99"/>
    <w:rsid w:val="00A11BB8"/>
    <w:rsid w:val="00A11C8A"/>
    <w:rsid w:val="00A11C98"/>
    <w:rsid w:val="00A11E5F"/>
    <w:rsid w:val="00A11ED3"/>
    <w:rsid w:val="00A11FE8"/>
    <w:rsid w:val="00A12238"/>
    <w:rsid w:val="00A12968"/>
    <w:rsid w:val="00A12B30"/>
    <w:rsid w:val="00A12C8D"/>
    <w:rsid w:val="00A12CA1"/>
    <w:rsid w:val="00A12E7C"/>
    <w:rsid w:val="00A12F9F"/>
    <w:rsid w:val="00A12FC2"/>
    <w:rsid w:val="00A12FE3"/>
    <w:rsid w:val="00A132F5"/>
    <w:rsid w:val="00A13440"/>
    <w:rsid w:val="00A134B0"/>
    <w:rsid w:val="00A136F4"/>
    <w:rsid w:val="00A13D41"/>
    <w:rsid w:val="00A13EAF"/>
    <w:rsid w:val="00A13EC6"/>
    <w:rsid w:val="00A13ED5"/>
    <w:rsid w:val="00A13EE1"/>
    <w:rsid w:val="00A13FC8"/>
    <w:rsid w:val="00A1417E"/>
    <w:rsid w:val="00A14194"/>
    <w:rsid w:val="00A14281"/>
    <w:rsid w:val="00A142B9"/>
    <w:rsid w:val="00A14438"/>
    <w:rsid w:val="00A14488"/>
    <w:rsid w:val="00A14529"/>
    <w:rsid w:val="00A14534"/>
    <w:rsid w:val="00A1459E"/>
    <w:rsid w:val="00A146CE"/>
    <w:rsid w:val="00A1473D"/>
    <w:rsid w:val="00A147F5"/>
    <w:rsid w:val="00A14818"/>
    <w:rsid w:val="00A148E5"/>
    <w:rsid w:val="00A149DD"/>
    <w:rsid w:val="00A14A28"/>
    <w:rsid w:val="00A14A86"/>
    <w:rsid w:val="00A14A9B"/>
    <w:rsid w:val="00A14B73"/>
    <w:rsid w:val="00A14BA6"/>
    <w:rsid w:val="00A14E30"/>
    <w:rsid w:val="00A1508E"/>
    <w:rsid w:val="00A1516B"/>
    <w:rsid w:val="00A151B0"/>
    <w:rsid w:val="00A152B8"/>
    <w:rsid w:val="00A152D7"/>
    <w:rsid w:val="00A15361"/>
    <w:rsid w:val="00A15363"/>
    <w:rsid w:val="00A1540C"/>
    <w:rsid w:val="00A15501"/>
    <w:rsid w:val="00A15730"/>
    <w:rsid w:val="00A159A7"/>
    <w:rsid w:val="00A159F2"/>
    <w:rsid w:val="00A15AE2"/>
    <w:rsid w:val="00A15AE7"/>
    <w:rsid w:val="00A15CDF"/>
    <w:rsid w:val="00A15D7E"/>
    <w:rsid w:val="00A15DF1"/>
    <w:rsid w:val="00A15EC6"/>
    <w:rsid w:val="00A16027"/>
    <w:rsid w:val="00A16089"/>
    <w:rsid w:val="00A1620B"/>
    <w:rsid w:val="00A162DB"/>
    <w:rsid w:val="00A162F7"/>
    <w:rsid w:val="00A16359"/>
    <w:rsid w:val="00A16757"/>
    <w:rsid w:val="00A167B7"/>
    <w:rsid w:val="00A169AB"/>
    <w:rsid w:val="00A16B56"/>
    <w:rsid w:val="00A16BD1"/>
    <w:rsid w:val="00A16C9B"/>
    <w:rsid w:val="00A16D58"/>
    <w:rsid w:val="00A16D6F"/>
    <w:rsid w:val="00A16E03"/>
    <w:rsid w:val="00A16E62"/>
    <w:rsid w:val="00A16F69"/>
    <w:rsid w:val="00A16FAC"/>
    <w:rsid w:val="00A16FC7"/>
    <w:rsid w:val="00A17020"/>
    <w:rsid w:val="00A170E6"/>
    <w:rsid w:val="00A1715A"/>
    <w:rsid w:val="00A1727F"/>
    <w:rsid w:val="00A1728C"/>
    <w:rsid w:val="00A17356"/>
    <w:rsid w:val="00A1743B"/>
    <w:rsid w:val="00A17547"/>
    <w:rsid w:val="00A175F0"/>
    <w:rsid w:val="00A17601"/>
    <w:rsid w:val="00A1768A"/>
    <w:rsid w:val="00A177D7"/>
    <w:rsid w:val="00A1785D"/>
    <w:rsid w:val="00A17895"/>
    <w:rsid w:val="00A17947"/>
    <w:rsid w:val="00A17AE1"/>
    <w:rsid w:val="00A17B5B"/>
    <w:rsid w:val="00A17EC8"/>
    <w:rsid w:val="00A17FE1"/>
    <w:rsid w:val="00A20024"/>
    <w:rsid w:val="00A2016F"/>
    <w:rsid w:val="00A202EC"/>
    <w:rsid w:val="00A20472"/>
    <w:rsid w:val="00A2068C"/>
    <w:rsid w:val="00A206F1"/>
    <w:rsid w:val="00A20956"/>
    <w:rsid w:val="00A20A88"/>
    <w:rsid w:val="00A20E3F"/>
    <w:rsid w:val="00A20E86"/>
    <w:rsid w:val="00A21261"/>
    <w:rsid w:val="00A2149A"/>
    <w:rsid w:val="00A21545"/>
    <w:rsid w:val="00A2156F"/>
    <w:rsid w:val="00A215D9"/>
    <w:rsid w:val="00A2167A"/>
    <w:rsid w:val="00A2188F"/>
    <w:rsid w:val="00A218D0"/>
    <w:rsid w:val="00A21A00"/>
    <w:rsid w:val="00A21C92"/>
    <w:rsid w:val="00A21CCD"/>
    <w:rsid w:val="00A21D0C"/>
    <w:rsid w:val="00A21D78"/>
    <w:rsid w:val="00A21DEB"/>
    <w:rsid w:val="00A21E87"/>
    <w:rsid w:val="00A21EB6"/>
    <w:rsid w:val="00A21F11"/>
    <w:rsid w:val="00A22095"/>
    <w:rsid w:val="00A221BE"/>
    <w:rsid w:val="00A2228C"/>
    <w:rsid w:val="00A222C9"/>
    <w:rsid w:val="00A22316"/>
    <w:rsid w:val="00A224EE"/>
    <w:rsid w:val="00A22567"/>
    <w:rsid w:val="00A226F0"/>
    <w:rsid w:val="00A2290D"/>
    <w:rsid w:val="00A229C4"/>
    <w:rsid w:val="00A22FA7"/>
    <w:rsid w:val="00A22FC0"/>
    <w:rsid w:val="00A230B6"/>
    <w:rsid w:val="00A23258"/>
    <w:rsid w:val="00A232A9"/>
    <w:rsid w:val="00A2340E"/>
    <w:rsid w:val="00A234A1"/>
    <w:rsid w:val="00A2363B"/>
    <w:rsid w:val="00A23655"/>
    <w:rsid w:val="00A236EC"/>
    <w:rsid w:val="00A237A5"/>
    <w:rsid w:val="00A23865"/>
    <w:rsid w:val="00A239A8"/>
    <w:rsid w:val="00A23CBF"/>
    <w:rsid w:val="00A23DB5"/>
    <w:rsid w:val="00A23DBC"/>
    <w:rsid w:val="00A23E74"/>
    <w:rsid w:val="00A23EA9"/>
    <w:rsid w:val="00A23F06"/>
    <w:rsid w:val="00A2409F"/>
    <w:rsid w:val="00A240B5"/>
    <w:rsid w:val="00A2410B"/>
    <w:rsid w:val="00A24142"/>
    <w:rsid w:val="00A241E3"/>
    <w:rsid w:val="00A241E4"/>
    <w:rsid w:val="00A2420A"/>
    <w:rsid w:val="00A2434B"/>
    <w:rsid w:val="00A24429"/>
    <w:rsid w:val="00A244A2"/>
    <w:rsid w:val="00A245C9"/>
    <w:rsid w:val="00A24606"/>
    <w:rsid w:val="00A2466F"/>
    <w:rsid w:val="00A2484E"/>
    <w:rsid w:val="00A24865"/>
    <w:rsid w:val="00A248AF"/>
    <w:rsid w:val="00A2494D"/>
    <w:rsid w:val="00A249C6"/>
    <w:rsid w:val="00A24BBF"/>
    <w:rsid w:val="00A24D16"/>
    <w:rsid w:val="00A24F08"/>
    <w:rsid w:val="00A24FF4"/>
    <w:rsid w:val="00A2511F"/>
    <w:rsid w:val="00A25162"/>
    <w:rsid w:val="00A25173"/>
    <w:rsid w:val="00A251C2"/>
    <w:rsid w:val="00A251C3"/>
    <w:rsid w:val="00A25243"/>
    <w:rsid w:val="00A255C5"/>
    <w:rsid w:val="00A255F9"/>
    <w:rsid w:val="00A256D8"/>
    <w:rsid w:val="00A256E3"/>
    <w:rsid w:val="00A2579C"/>
    <w:rsid w:val="00A257C3"/>
    <w:rsid w:val="00A257D8"/>
    <w:rsid w:val="00A258CD"/>
    <w:rsid w:val="00A2596A"/>
    <w:rsid w:val="00A25B21"/>
    <w:rsid w:val="00A25B31"/>
    <w:rsid w:val="00A25EDB"/>
    <w:rsid w:val="00A25F4C"/>
    <w:rsid w:val="00A25FA3"/>
    <w:rsid w:val="00A261A5"/>
    <w:rsid w:val="00A26391"/>
    <w:rsid w:val="00A2639A"/>
    <w:rsid w:val="00A26450"/>
    <w:rsid w:val="00A26499"/>
    <w:rsid w:val="00A2669F"/>
    <w:rsid w:val="00A267C5"/>
    <w:rsid w:val="00A26814"/>
    <w:rsid w:val="00A2685A"/>
    <w:rsid w:val="00A26AFB"/>
    <w:rsid w:val="00A26B13"/>
    <w:rsid w:val="00A26C12"/>
    <w:rsid w:val="00A26DB0"/>
    <w:rsid w:val="00A26ED3"/>
    <w:rsid w:val="00A26F6A"/>
    <w:rsid w:val="00A2702F"/>
    <w:rsid w:val="00A272B7"/>
    <w:rsid w:val="00A274AB"/>
    <w:rsid w:val="00A274C9"/>
    <w:rsid w:val="00A277BD"/>
    <w:rsid w:val="00A27803"/>
    <w:rsid w:val="00A2781E"/>
    <w:rsid w:val="00A278FB"/>
    <w:rsid w:val="00A2793E"/>
    <w:rsid w:val="00A279CA"/>
    <w:rsid w:val="00A27AB9"/>
    <w:rsid w:val="00A27C34"/>
    <w:rsid w:val="00A27DA1"/>
    <w:rsid w:val="00A27DD7"/>
    <w:rsid w:val="00A27E80"/>
    <w:rsid w:val="00A27F61"/>
    <w:rsid w:val="00A30030"/>
    <w:rsid w:val="00A301BD"/>
    <w:rsid w:val="00A30276"/>
    <w:rsid w:val="00A304C1"/>
    <w:rsid w:val="00A3062F"/>
    <w:rsid w:val="00A306D8"/>
    <w:rsid w:val="00A306EF"/>
    <w:rsid w:val="00A307FD"/>
    <w:rsid w:val="00A3080E"/>
    <w:rsid w:val="00A309E1"/>
    <w:rsid w:val="00A30BF2"/>
    <w:rsid w:val="00A30D66"/>
    <w:rsid w:val="00A30E92"/>
    <w:rsid w:val="00A3108E"/>
    <w:rsid w:val="00A311F7"/>
    <w:rsid w:val="00A3120B"/>
    <w:rsid w:val="00A31246"/>
    <w:rsid w:val="00A312BB"/>
    <w:rsid w:val="00A3158A"/>
    <w:rsid w:val="00A31816"/>
    <w:rsid w:val="00A318A2"/>
    <w:rsid w:val="00A318C3"/>
    <w:rsid w:val="00A319A5"/>
    <w:rsid w:val="00A319FA"/>
    <w:rsid w:val="00A31C46"/>
    <w:rsid w:val="00A31CCB"/>
    <w:rsid w:val="00A31D12"/>
    <w:rsid w:val="00A31E1D"/>
    <w:rsid w:val="00A31E4E"/>
    <w:rsid w:val="00A31F31"/>
    <w:rsid w:val="00A32025"/>
    <w:rsid w:val="00A320A0"/>
    <w:rsid w:val="00A322D6"/>
    <w:rsid w:val="00A3248A"/>
    <w:rsid w:val="00A327B2"/>
    <w:rsid w:val="00A3280C"/>
    <w:rsid w:val="00A3289A"/>
    <w:rsid w:val="00A328C6"/>
    <w:rsid w:val="00A329AA"/>
    <w:rsid w:val="00A32BAB"/>
    <w:rsid w:val="00A32BB2"/>
    <w:rsid w:val="00A32E2B"/>
    <w:rsid w:val="00A32F1B"/>
    <w:rsid w:val="00A32FD3"/>
    <w:rsid w:val="00A33368"/>
    <w:rsid w:val="00A333D1"/>
    <w:rsid w:val="00A33454"/>
    <w:rsid w:val="00A334B3"/>
    <w:rsid w:val="00A33698"/>
    <w:rsid w:val="00A337A2"/>
    <w:rsid w:val="00A337ED"/>
    <w:rsid w:val="00A33971"/>
    <w:rsid w:val="00A3399E"/>
    <w:rsid w:val="00A33AAB"/>
    <w:rsid w:val="00A33B4E"/>
    <w:rsid w:val="00A33C98"/>
    <w:rsid w:val="00A33EF0"/>
    <w:rsid w:val="00A33F8E"/>
    <w:rsid w:val="00A33FCB"/>
    <w:rsid w:val="00A33FE8"/>
    <w:rsid w:val="00A341FB"/>
    <w:rsid w:val="00A342B3"/>
    <w:rsid w:val="00A344F8"/>
    <w:rsid w:val="00A34708"/>
    <w:rsid w:val="00A34842"/>
    <w:rsid w:val="00A34851"/>
    <w:rsid w:val="00A349C4"/>
    <w:rsid w:val="00A34A91"/>
    <w:rsid w:val="00A34AFE"/>
    <w:rsid w:val="00A34D71"/>
    <w:rsid w:val="00A34DFC"/>
    <w:rsid w:val="00A35040"/>
    <w:rsid w:val="00A35118"/>
    <w:rsid w:val="00A35149"/>
    <w:rsid w:val="00A351CE"/>
    <w:rsid w:val="00A3542C"/>
    <w:rsid w:val="00A35445"/>
    <w:rsid w:val="00A355C9"/>
    <w:rsid w:val="00A3562E"/>
    <w:rsid w:val="00A358E3"/>
    <w:rsid w:val="00A3590F"/>
    <w:rsid w:val="00A3593E"/>
    <w:rsid w:val="00A359EE"/>
    <w:rsid w:val="00A359F2"/>
    <w:rsid w:val="00A35A7C"/>
    <w:rsid w:val="00A35B92"/>
    <w:rsid w:val="00A35D7F"/>
    <w:rsid w:val="00A35E29"/>
    <w:rsid w:val="00A35FD3"/>
    <w:rsid w:val="00A36064"/>
    <w:rsid w:val="00A360E2"/>
    <w:rsid w:val="00A3612D"/>
    <w:rsid w:val="00A361EE"/>
    <w:rsid w:val="00A364CD"/>
    <w:rsid w:val="00A36563"/>
    <w:rsid w:val="00A365A7"/>
    <w:rsid w:val="00A365C9"/>
    <w:rsid w:val="00A365DB"/>
    <w:rsid w:val="00A36762"/>
    <w:rsid w:val="00A367BD"/>
    <w:rsid w:val="00A369CD"/>
    <w:rsid w:val="00A36A5A"/>
    <w:rsid w:val="00A36A82"/>
    <w:rsid w:val="00A36ABC"/>
    <w:rsid w:val="00A36B22"/>
    <w:rsid w:val="00A36C07"/>
    <w:rsid w:val="00A36C59"/>
    <w:rsid w:val="00A36DFF"/>
    <w:rsid w:val="00A36E12"/>
    <w:rsid w:val="00A36F08"/>
    <w:rsid w:val="00A36FE9"/>
    <w:rsid w:val="00A3702C"/>
    <w:rsid w:val="00A37041"/>
    <w:rsid w:val="00A371A7"/>
    <w:rsid w:val="00A37267"/>
    <w:rsid w:val="00A37286"/>
    <w:rsid w:val="00A37399"/>
    <w:rsid w:val="00A37575"/>
    <w:rsid w:val="00A37676"/>
    <w:rsid w:val="00A377C6"/>
    <w:rsid w:val="00A377D0"/>
    <w:rsid w:val="00A379D6"/>
    <w:rsid w:val="00A379DF"/>
    <w:rsid w:val="00A37A3A"/>
    <w:rsid w:val="00A37AEA"/>
    <w:rsid w:val="00A37B20"/>
    <w:rsid w:val="00A37CBF"/>
    <w:rsid w:val="00A37CC9"/>
    <w:rsid w:val="00A37D8D"/>
    <w:rsid w:val="00A37E36"/>
    <w:rsid w:val="00A37E69"/>
    <w:rsid w:val="00A40172"/>
    <w:rsid w:val="00A40201"/>
    <w:rsid w:val="00A4020F"/>
    <w:rsid w:val="00A40624"/>
    <w:rsid w:val="00A406BA"/>
    <w:rsid w:val="00A40808"/>
    <w:rsid w:val="00A40857"/>
    <w:rsid w:val="00A409AA"/>
    <w:rsid w:val="00A40A72"/>
    <w:rsid w:val="00A40E15"/>
    <w:rsid w:val="00A40EFA"/>
    <w:rsid w:val="00A4104C"/>
    <w:rsid w:val="00A4106B"/>
    <w:rsid w:val="00A4112D"/>
    <w:rsid w:val="00A411BF"/>
    <w:rsid w:val="00A41227"/>
    <w:rsid w:val="00A413FD"/>
    <w:rsid w:val="00A4153F"/>
    <w:rsid w:val="00A41562"/>
    <w:rsid w:val="00A4161E"/>
    <w:rsid w:val="00A418E3"/>
    <w:rsid w:val="00A41A62"/>
    <w:rsid w:val="00A41A6B"/>
    <w:rsid w:val="00A41BB7"/>
    <w:rsid w:val="00A41DEA"/>
    <w:rsid w:val="00A4216D"/>
    <w:rsid w:val="00A421B7"/>
    <w:rsid w:val="00A421C7"/>
    <w:rsid w:val="00A423F9"/>
    <w:rsid w:val="00A42539"/>
    <w:rsid w:val="00A427FF"/>
    <w:rsid w:val="00A42821"/>
    <w:rsid w:val="00A42905"/>
    <w:rsid w:val="00A42AD1"/>
    <w:rsid w:val="00A42BB8"/>
    <w:rsid w:val="00A42C77"/>
    <w:rsid w:val="00A42E6B"/>
    <w:rsid w:val="00A42EC6"/>
    <w:rsid w:val="00A42F46"/>
    <w:rsid w:val="00A4315C"/>
    <w:rsid w:val="00A43182"/>
    <w:rsid w:val="00A4323A"/>
    <w:rsid w:val="00A4327F"/>
    <w:rsid w:val="00A43345"/>
    <w:rsid w:val="00A43386"/>
    <w:rsid w:val="00A433E1"/>
    <w:rsid w:val="00A436B5"/>
    <w:rsid w:val="00A437F7"/>
    <w:rsid w:val="00A437F9"/>
    <w:rsid w:val="00A43930"/>
    <w:rsid w:val="00A43A49"/>
    <w:rsid w:val="00A43A53"/>
    <w:rsid w:val="00A43D9F"/>
    <w:rsid w:val="00A440D6"/>
    <w:rsid w:val="00A44144"/>
    <w:rsid w:val="00A442B5"/>
    <w:rsid w:val="00A444A5"/>
    <w:rsid w:val="00A444FA"/>
    <w:rsid w:val="00A4480C"/>
    <w:rsid w:val="00A44971"/>
    <w:rsid w:val="00A44B4A"/>
    <w:rsid w:val="00A45028"/>
    <w:rsid w:val="00A45206"/>
    <w:rsid w:val="00A45305"/>
    <w:rsid w:val="00A4540B"/>
    <w:rsid w:val="00A45547"/>
    <w:rsid w:val="00A45598"/>
    <w:rsid w:val="00A45635"/>
    <w:rsid w:val="00A45652"/>
    <w:rsid w:val="00A45BCB"/>
    <w:rsid w:val="00A45D1D"/>
    <w:rsid w:val="00A45EC0"/>
    <w:rsid w:val="00A4615F"/>
    <w:rsid w:val="00A461B3"/>
    <w:rsid w:val="00A46298"/>
    <w:rsid w:val="00A4645B"/>
    <w:rsid w:val="00A46490"/>
    <w:rsid w:val="00A464F3"/>
    <w:rsid w:val="00A466F5"/>
    <w:rsid w:val="00A4681F"/>
    <w:rsid w:val="00A46908"/>
    <w:rsid w:val="00A46936"/>
    <w:rsid w:val="00A469B1"/>
    <w:rsid w:val="00A46B3D"/>
    <w:rsid w:val="00A47054"/>
    <w:rsid w:val="00A47404"/>
    <w:rsid w:val="00A475F6"/>
    <w:rsid w:val="00A4775A"/>
    <w:rsid w:val="00A47B2E"/>
    <w:rsid w:val="00A47C95"/>
    <w:rsid w:val="00A47CCB"/>
    <w:rsid w:val="00A47E29"/>
    <w:rsid w:val="00A47F27"/>
    <w:rsid w:val="00A47F86"/>
    <w:rsid w:val="00A5020D"/>
    <w:rsid w:val="00A5041B"/>
    <w:rsid w:val="00A50491"/>
    <w:rsid w:val="00A505AB"/>
    <w:rsid w:val="00A506CD"/>
    <w:rsid w:val="00A50739"/>
    <w:rsid w:val="00A50772"/>
    <w:rsid w:val="00A50AD4"/>
    <w:rsid w:val="00A50BD7"/>
    <w:rsid w:val="00A50C25"/>
    <w:rsid w:val="00A50C75"/>
    <w:rsid w:val="00A50D0B"/>
    <w:rsid w:val="00A51080"/>
    <w:rsid w:val="00A5121E"/>
    <w:rsid w:val="00A512E4"/>
    <w:rsid w:val="00A5130C"/>
    <w:rsid w:val="00A515A2"/>
    <w:rsid w:val="00A516B4"/>
    <w:rsid w:val="00A51817"/>
    <w:rsid w:val="00A51872"/>
    <w:rsid w:val="00A519DE"/>
    <w:rsid w:val="00A51A99"/>
    <w:rsid w:val="00A51B2C"/>
    <w:rsid w:val="00A51B41"/>
    <w:rsid w:val="00A51F5B"/>
    <w:rsid w:val="00A52029"/>
    <w:rsid w:val="00A5206F"/>
    <w:rsid w:val="00A520A0"/>
    <w:rsid w:val="00A521AE"/>
    <w:rsid w:val="00A523E0"/>
    <w:rsid w:val="00A52450"/>
    <w:rsid w:val="00A525BD"/>
    <w:rsid w:val="00A52A82"/>
    <w:rsid w:val="00A52B8F"/>
    <w:rsid w:val="00A52F26"/>
    <w:rsid w:val="00A52F55"/>
    <w:rsid w:val="00A52F76"/>
    <w:rsid w:val="00A5300E"/>
    <w:rsid w:val="00A53055"/>
    <w:rsid w:val="00A53057"/>
    <w:rsid w:val="00A53073"/>
    <w:rsid w:val="00A530DB"/>
    <w:rsid w:val="00A5333F"/>
    <w:rsid w:val="00A53591"/>
    <w:rsid w:val="00A53C8D"/>
    <w:rsid w:val="00A53CD7"/>
    <w:rsid w:val="00A53D30"/>
    <w:rsid w:val="00A53D75"/>
    <w:rsid w:val="00A53F9E"/>
    <w:rsid w:val="00A54020"/>
    <w:rsid w:val="00A541D3"/>
    <w:rsid w:val="00A541E8"/>
    <w:rsid w:val="00A542E9"/>
    <w:rsid w:val="00A54619"/>
    <w:rsid w:val="00A546A5"/>
    <w:rsid w:val="00A54872"/>
    <w:rsid w:val="00A549A2"/>
    <w:rsid w:val="00A54A3A"/>
    <w:rsid w:val="00A54AB2"/>
    <w:rsid w:val="00A54DB4"/>
    <w:rsid w:val="00A5505E"/>
    <w:rsid w:val="00A550A1"/>
    <w:rsid w:val="00A550BF"/>
    <w:rsid w:val="00A5521C"/>
    <w:rsid w:val="00A553E4"/>
    <w:rsid w:val="00A5540F"/>
    <w:rsid w:val="00A555C8"/>
    <w:rsid w:val="00A5591A"/>
    <w:rsid w:val="00A55CCE"/>
    <w:rsid w:val="00A5607F"/>
    <w:rsid w:val="00A56171"/>
    <w:rsid w:val="00A56199"/>
    <w:rsid w:val="00A56323"/>
    <w:rsid w:val="00A5638C"/>
    <w:rsid w:val="00A56393"/>
    <w:rsid w:val="00A563BC"/>
    <w:rsid w:val="00A566AE"/>
    <w:rsid w:val="00A5696B"/>
    <w:rsid w:val="00A56C50"/>
    <w:rsid w:val="00A56CDB"/>
    <w:rsid w:val="00A56D2D"/>
    <w:rsid w:val="00A56DDD"/>
    <w:rsid w:val="00A56F99"/>
    <w:rsid w:val="00A57017"/>
    <w:rsid w:val="00A5705F"/>
    <w:rsid w:val="00A57142"/>
    <w:rsid w:val="00A57365"/>
    <w:rsid w:val="00A57383"/>
    <w:rsid w:val="00A5745F"/>
    <w:rsid w:val="00A57573"/>
    <w:rsid w:val="00A5762D"/>
    <w:rsid w:val="00A57754"/>
    <w:rsid w:val="00A57771"/>
    <w:rsid w:val="00A5777B"/>
    <w:rsid w:val="00A577B2"/>
    <w:rsid w:val="00A578B4"/>
    <w:rsid w:val="00A578CB"/>
    <w:rsid w:val="00A5794B"/>
    <w:rsid w:val="00A57962"/>
    <w:rsid w:val="00A57AAE"/>
    <w:rsid w:val="00A57AE5"/>
    <w:rsid w:val="00A57BC9"/>
    <w:rsid w:val="00A57E0A"/>
    <w:rsid w:val="00A57F1C"/>
    <w:rsid w:val="00A57F64"/>
    <w:rsid w:val="00A60039"/>
    <w:rsid w:val="00A601D9"/>
    <w:rsid w:val="00A6020C"/>
    <w:rsid w:val="00A60219"/>
    <w:rsid w:val="00A60347"/>
    <w:rsid w:val="00A603DA"/>
    <w:rsid w:val="00A604DE"/>
    <w:rsid w:val="00A60672"/>
    <w:rsid w:val="00A60674"/>
    <w:rsid w:val="00A60700"/>
    <w:rsid w:val="00A607DA"/>
    <w:rsid w:val="00A6082C"/>
    <w:rsid w:val="00A60DC0"/>
    <w:rsid w:val="00A61030"/>
    <w:rsid w:val="00A6107E"/>
    <w:rsid w:val="00A611A1"/>
    <w:rsid w:val="00A6138D"/>
    <w:rsid w:val="00A61434"/>
    <w:rsid w:val="00A6149A"/>
    <w:rsid w:val="00A6162E"/>
    <w:rsid w:val="00A61646"/>
    <w:rsid w:val="00A617B9"/>
    <w:rsid w:val="00A6183C"/>
    <w:rsid w:val="00A618BC"/>
    <w:rsid w:val="00A619B3"/>
    <w:rsid w:val="00A61D54"/>
    <w:rsid w:val="00A6206B"/>
    <w:rsid w:val="00A623DF"/>
    <w:rsid w:val="00A626F6"/>
    <w:rsid w:val="00A627AC"/>
    <w:rsid w:val="00A627D6"/>
    <w:rsid w:val="00A628FF"/>
    <w:rsid w:val="00A62931"/>
    <w:rsid w:val="00A62D45"/>
    <w:rsid w:val="00A62D67"/>
    <w:rsid w:val="00A62E1B"/>
    <w:rsid w:val="00A63098"/>
    <w:rsid w:val="00A630C5"/>
    <w:rsid w:val="00A630FE"/>
    <w:rsid w:val="00A6347B"/>
    <w:rsid w:val="00A63497"/>
    <w:rsid w:val="00A63500"/>
    <w:rsid w:val="00A63530"/>
    <w:rsid w:val="00A635B8"/>
    <w:rsid w:val="00A635E4"/>
    <w:rsid w:val="00A636AA"/>
    <w:rsid w:val="00A636E4"/>
    <w:rsid w:val="00A6374D"/>
    <w:rsid w:val="00A63A93"/>
    <w:rsid w:val="00A63B12"/>
    <w:rsid w:val="00A63B7C"/>
    <w:rsid w:val="00A63B9A"/>
    <w:rsid w:val="00A63BC9"/>
    <w:rsid w:val="00A63C03"/>
    <w:rsid w:val="00A63C26"/>
    <w:rsid w:val="00A63C77"/>
    <w:rsid w:val="00A63D1C"/>
    <w:rsid w:val="00A63F0F"/>
    <w:rsid w:val="00A64049"/>
    <w:rsid w:val="00A640E9"/>
    <w:rsid w:val="00A641E7"/>
    <w:rsid w:val="00A64608"/>
    <w:rsid w:val="00A6468C"/>
    <w:rsid w:val="00A6476E"/>
    <w:rsid w:val="00A64B23"/>
    <w:rsid w:val="00A64B68"/>
    <w:rsid w:val="00A64CCC"/>
    <w:rsid w:val="00A64E5B"/>
    <w:rsid w:val="00A64E76"/>
    <w:rsid w:val="00A650AC"/>
    <w:rsid w:val="00A651AE"/>
    <w:rsid w:val="00A65205"/>
    <w:rsid w:val="00A655AB"/>
    <w:rsid w:val="00A656BA"/>
    <w:rsid w:val="00A657AA"/>
    <w:rsid w:val="00A657AC"/>
    <w:rsid w:val="00A6586F"/>
    <w:rsid w:val="00A6587E"/>
    <w:rsid w:val="00A65884"/>
    <w:rsid w:val="00A658EF"/>
    <w:rsid w:val="00A65A92"/>
    <w:rsid w:val="00A65B37"/>
    <w:rsid w:val="00A65EAA"/>
    <w:rsid w:val="00A65F07"/>
    <w:rsid w:val="00A65F66"/>
    <w:rsid w:val="00A65FAF"/>
    <w:rsid w:val="00A660F2"/>
    <w:rsid w:val="00A662D5"/>
    <w:rsid w:val="00A66404"/>
    <w:rsid w:val="00A66435"/>
    <w:rsid w:val="00A664A9"/>
    <w:rsid w:val="00A664C7"/>
    <w:rsid w:val="00A664D7"/>
    <w:rsid w:val="00A665CF"/>
    <w:rsid w:val="00A665E3"/>
    <w:rsid w:val="00A66617"/>
    <w:rsid w:val="00A666B0"/>
    <w:rsid w:val="00A6679C"/>
    <w:rsid w:val="00A66C45"/>
    <w:rsid w:val="00A66CC8"/>
    <w:rsid w:val="00A66CFC"/>
    <w:rsid w:val="00A66D4E"/>
    <w:rsid w:val="00A66D70"/>
    <w:rsid w:val="00A66E4D"/>
    <w:rsid w:val="00A66EA0"/>
    <w:rsid w:val="00A66EA9"/>
    <w:rsid w:val="00A66EBB"/>
    <w:rsid w:val="00A66F8C"/>
    <w:rsid w:val="00A670E4"/>
    <w:rsid w:val="00A6756B"/>
    <w:rsid w:val="00A6761A"/>
    <w:rsid w:val="00A67624"/>
    <w:rsid w:val="00A677BC"/>
    <w:rsid w:val="00A67B5E"/>
    <w:rsid w:val="00A67BC8"/>
    <w:rsid w:val="00A67BD1"/>
    <w:rsid w:val="00A67BDE"/>
    <w:rsid w:val="00A67D17"/>
    <w:rsid w:val="00A67DEA"/>
    <w:rsid w:val="00A67EA9"/>
    <w:rsid w:val="00A7003A"/>
    <w:rsid w:val="00A701CF"/>
    <w:rsid w:val="00A70226"/>
    <w:rsid w:val="00A702DE"/>
    <w:rsid w:val="00A70546"/>
    <w:rsid w:val="00A70746"/>
    <w:rsid w:val="00A70C5D"/>
    <w:rsid w:val="00A70CB3"/>
    <w:rsid w:val="00A70CC9"/>
    <w:rsid w:val="00A70CE3"/>
    <w:rsid w:val="00A70CF6"/>
    <w:rsid w:val="00A70EF8"/>
    <w:rsid w:val="00A70F5B"/>
    <w:rsid w:val="00A70F61"/>
    <w:rsid w:val="00A70F93"/>
    <w:rsid w:val="00A70FA5"/>
    <w:rsid w:val="00A71194"/>
    <w:rsid w:val="00A711A3"/>
    <w:rsid w:val="00A7147C"/>
    <w:rsid w:val="00A714A8"/>
    <w:rsid w:val="00A71571"/>
    <w:rsid w:val="00A715EC"/>
    <w:rsid w:val="00A71657"/>
    <w:rsid w:val="00A71731"/>
    <w:rsid w:val="00A71A58"/>
    <w:rsid w:val="00A71A83"/>
    <w:rsid w:val="00A71AA6"/>
    <w:rsid w:val="00A7210E"/>
    <w:rsid w:val="00A721A8"/>
    <w:rsid w:val="00A721BB"/>
    <w:rsid w:val="00A721EE"/>
    <w:rsid w:val="00A7223D"/>
    <w:rsid w:val="00A722FF"/>
    <w:rsid w:val="00A7257B"/>
    <w:rsid w:val="00A725D3"/>
    <w:rsid w:val="00A7264C"/>
    <w:rsid w:val="00A72754"/>
    <w:rsid w:val="00A72856"/>
    <w:rsid w:val="00A72881"/>
    <w:rsid w:val="00A72A65"/>
    <w:rsid w:val="00A72AD4"/>
    <w:rsid w:val="00A72AF0"/>
    <w:rsid w:val="00A72BB0"/>
    <w:rsid w:val="00A72D2A"/>
    <w:rsid w:val="00A72DA3"/>
    <w:rsid w:val="00A72EBA"/>
    <w:rsid w:val="00A72EF8"/>
    <w:rsid w:val="00A72F3C"/>
    <w:rsid w:val="00A7313C"/>
    <w:rsid w:val="00A731C2"/>
    <w:rsid w:val="00A731D4"/>
    <w:rsid w:val="00A73201"/>
    <w:rsid w:val="00A732DC"/>
    <w:rsid w:val="00A73303"/>
    <w:rsid w:val="00A73394"/>
    <w:rsid w:val="00A738A5"/>
    <w:rsid w:val="00A7393B"/>
    <w:rsid w:val="00A73983"/>
    <w:rsid w:val="00A739F7"/>
    <w:rsid w:val="00A73BF9"/>
    <w:rsid w:val="00A73D52"/>
    <w:rsid w:val="00A740CC"/>
    <w:rsid w:val="00A74199"/>
    <w:rsid w:val="00A7438D"/>
    <w:rsid w:val="00A74542"/>
    <w:rsid w:val="00A7459D"/>
    <w:rsid w:val="00A745D5"/>
    <w:rsid w:val="00A74781"/>
    <w:rsid w:val="00A748AA"/>
    <w:rsid w:val="00A748F1"/>
    <w:rsid w:val="00A74988"/>
    <w:rsid w:val="00A74AA7"/>
    <w:rsid w:val="00A74B37"/>
    <w:rsid w:val="00A74E1F"/>
    <w:rsid w:val="00A74E76"/>
    <w:rsid w:val="00A74F7E"/>
    <w:rsid w:val="00A75047"/>
    <w:rsid w:val="00A75068"/>
    <w:rsid w:val="00A75083"/>
    <w:rsid w:val="00A7518F"/>
    <w:rsid w:val="00A751C5"/>
    <w:rsid w:val="00A7554A"/>
    <w:rsid w:val="00A75583"/>
    <w:rsid w:val="00A755DF"/>
    <w:rsid w:val="00A75679"/>
    <w:rsid w:val="00A756A8"/>
    <w:rsid w:val="00A75766"/>
    <w:rsid w:val="00A757A0"/>
    <w:rsid w:val="00A759C3"/>
    <w:rsid w:val="00A75A60"/>
    <w:rsid w:val="00A75AFA"/>
    <w:rsid w:val="00A75BC3"/>
    <w:rsid w:val="00A75C27"/>
    <w:rsid w:val="00A75F99"/>
    <w:rsid w:val="00A760A4"/>
    <w:rsid w:val="00A7618E"/>
    <w:rsid w:val="00A762DA"/>
    <w:rsid w:val="00A7637D"/>
    <w:rsid w:val="00A76476"/>
    <w:rsid w:val="00A766C3"/>
    <w:rsid w:val="00A766CF"/>
    <w:rsid w:val="00A76762"/>
    <w:rsid w:val="00A767E6"/>
    <w:rsid w:val="00A76893"/>
    <w:rsid w:val="00A7692F"/>
    <w:rsid w:val="00A769A8"/>
    <w:rsid w:val="00A76A0E"/>
    <w:rsid w:val="00A76B27"/>
    <w:rsid w:val="00A76D2A"/>
    <w:rsid w:val="00A76DE7"/>
    <w:rsid w:val="00A76F5F"/>
    <w:rsid w:val="00A76FCA"/>
    <w:rsid w:val="00A77077"/>
    <w:rsid w:val="00A77268"/>
    <w:rsid w:val="00A7737D"/>
    <w:rsid w:val="00A7742A"/>
    <w:rsid w:val="00A77664"/>
    <w:rsid w:val="00A77863"/>
    <w:rsid w:val="00A778E6"/>
    <w:rsid w:val="00A77C05"/>
    <w:rsid w:val="00A77C79"/>
    <w:rsid w:val="00A77DC2"/>
    <w:rsid w:val="00A77E18"/>
    <w:rsid w:val="00A77EC7"/>
    <w:rsid w:val="00A800CE"/>
    <w:rsid w:val="00A80401"/>
    <w:rsid w:val="00A804FD"/>
    <w:rsid w:val="00A80571"/>
    <w:rsid w:val="00A805DF"/>
    <w:rsid w:val="00A806F7"/>
    <w:rsid w:val="00A807CF"/>
    <w:rsid w:val="00A80829"/>
    <w:rsid w:val="00A808B9"/>
    <w:rsid w:val="00A80B5B"/>
    <w:rsid w:val="00A80CBF"/>
    <w:rsid w:val="00A80CCC"/>
    <w:rsid w:val="00A80DE3"/>
    <w:rsid w:val="00A80F2F"/>
    <w:rsid w:val="00A8100D"/>
    <w:rsid w:val="00A81079"/>
    <w:rsid w:val="00A8116A"/>
    <w:rsid w:val="00A811C1"/>
    <w:rsid w:val="00A811D1"/>
    <w:rsid w:val="00A81255"/>
    <w:rsid w:val="00A81525"/>
    <w:rsid w:val="00A816A0"/>
    <w:rsid w:val="00A819DA"/>
    <w:rsid w:val="00A81AA9"/>
    <w:rsid w:val="00A81B26"/>
    <w:rsid w:val="00A81C35"/>
    <w:rsid w:val="00A81C4D"/>
    <w:rsid w:val="00A81C86"/>
    <w:rsid w:val="00A81D2C"/>
    <w:rsid w:val="00A81DB9"/>
    <w:rsid w:val="00A81E35"/>
    <w:rsid w:val="00A81E9E"/>
    <w:rsid w:val="00A82774"/>
    <w:rsid w:val="00A827E2"/>
    <w:rsid w:val="00A828D5"/>
    <w:rsid w:val="00A82A5E"/>
    <w:rsid w:val="00A82A89"/>
    <w:rsid w:val="00A82B91"/>
    <w:rsid w:val="00A82BEA"/>
    <w:rsid w:val="00A82EA2"/>
    <w:rsid w:val="00A83182"/>
    <w:rsid w:val="00A831DB"/>
    <w:rsid w:val="00A8322E"/>
    <w:rsid w:val="00A8327E"/>
    <w:rsid w:val="00A83390"/>
    <w:rsid w:val="00A836A4"/>
    <w:rsid w:val="00A83752"/>
    <w:rsid w:val="00A83823"/>
    <w:rsid w:val="00A8384B"/>
    <w:rsid w:val="00A838F8"/>
    <w:rsid w:val="00A83BE3"/>
    <w:rsid w:val="00A83D14"/>
    <w:rsid w:val="00A83E21"/>
    <w:rsid w:val="00A83F00"/>
    <w:rsid w:val="00A83FB2"/>
    <w:rsid w:val="00A840A3"/>
    <w:rsid w:val="00A8410B"/>
    <w:rsid w:val="00A84264"/>
    <w:rsid w:val="00A843A3"/>
    <w:rsid w:val="00A8447B"/>
    <w:rsid w:val="00A84545"/>
    <w:rsid w:val="00A846D7"/>
    <w:rsid w:val="00A84902"/>
    <w:rsid w:val="00A8496C"/>
    <w:rsid w:val="00A84A61"/>
    <w:rsid w:val="00A84A77"/>
    <w:rsid w:val="00A84CC9"/>
    <w:rsid w:val="00A84F14"/>
    <w:rsid w:val="00A84FF7"/>
    <w:rsid w:val="00A85042"/>
    <w:rsid w:val="00A85051"/>
    <w:rsid w:val="00A85153"/>
    <w:rsid w:val="00A851FE"/>
    <w:rsid w:val="00A85498"/>
    <w:rsid w:val="00A854BE"/>
    <w:rsid w:val="00A85685"/>
    <w:rsid w:val="00A8574C"/>
    <w:rsid w:val="00A85A99"/>
    <w:rsid w:val="00A85C6E"/>
    <w:rsid w:val="00A85D86"/>
    <w:rsid w:val="00A85EB6"/>
    <w:rsid w:val="00A86032"/>
    <w:rsid w:val="00A86053"/>
    <w:rsid w:val="00A860F3"/>
    <w:rsid w:val="00A8610F"/>
    <w:rsid w:val="00A86319"/>
    <w:rsid w:val="00A86384"/>
    <w:rsid w:val="00A864A7"/>
    <w:rsid w:val="00A865CD"/>
    <w:rsid w:val="00A866A4"/>
    <w:rsid w:val="00A869BF"/>
    <w:rsid w:val="00A86A32"/>
    <w:rsid w:val="00A86B70"/>
    <w:rsid w:val="00A86C16"/>
    <w:rsid w:val="00A86C2D"/>
    <w:rsid w:val="00A86CDD"/>
    <w:rsid w:val="00A86D56"/>
    <w:rsid w:val="00A86E80"/>
    <w:rsid w:val="00A86F14"/>
    <w:rsid w:val="00A86F1A"/>
    <w:rsid w:val="00A8705C"/>
    <w:rsid w:val="00A871D9"/>
    <w:rsid w:val="00A87233"/>
    <w:rsid w:val="00A87295"/>
    <w:rsid w:val="00A8733E"/>
    <w:rsid w:val="00A87392"/>
    <w:rsid w:val="00A87444"/>
    <w:rsid w:val="00A874F3"/>
    <w:rsid w:val="00A87598"/>
    <w:rsid w:val="00A875CE"/>
    <w:rsid w:val="00A87627"/>
    <w:rsid w:val="00A87660"/>
    <w:rsid w:val="00A876C5"/>
    <w:rsid w:val="00A876DA"/>
    <w:rsid w:val="00A879CC"/>
    <w:rsid w:val="00A87A0B"/>
    <w:rsid w:val="00A87AFF"/>
    <w:rsid w:val="00A87B2B"/>
    <w:rsid w:val="00A87BD2"/>
    <w:rsid w:val="00A87BD3"/>
    <w:rsid w:val="00A87D25"/>
    <w:rsid w:val="00A87ECE"/>
    <w:rsid w:val="00A87EF8"/>
    <w:rsid w:val="00A900A1"/>
    <w:rsid w:val="00A900BA"/>
    <w:rsid w:val="00A90347"/>
    <w:rsid w:val="00A90399"/>
    <w:rsid w:val="00A90491"/>
    <w:rsid w:val="00A9060A"/>
    <w:rsid w:val="00A9068F"/>
    <w:rsid w:val="00A90985"/>
    <w:rsid w:val="00A90A0D"/>
    <w:rsid w:val="00A90A26"/>
    <w:rsid w:val="00A90ABD"/>
    <w:rsid w:val="00A90AFB"/>
    <w:rsid w:val="00A90C41"/>
    <w:rsid w:val="00A90D1F"/>
    <w:rsid w:val="00A90D77"/>
    <w:rsid w:val="00A90DDC"/>
    <w:rsid w:val="00A910EB"/>
    <w:rsid w:val="00A91181"/>
    <w:rsid w:val="00A91205"/>
    <w:rsid w:val="00A91602"/>
    <w:rsid w:val="00A9163A"/>
    <w:rsid w:val="00A9186D"/>
    <w:rsid w:val="00A9198D"/>
    <w:rsid w:val="00A91A9B"/>
    <w:rsid w:val="00A91BAE"/>
    <w:rsid w:val="00A91ED6"/>
    <w:rsid w:val="00A91FBC"/>
    <w:rsid w:val="00A92051"/>
    <w:rsid w:val="00A92068"/>
    <w:rsid w:val="00A92077"/>
    <w:rsid w:val="00A92093"/>
    <w:rsid w:val="00A920B4"/>
    <w:rsid w:val="00A921B8"/>
    <w:rsid w:val="00A9233F"/>
    <w:rsid w:val="00A92420"/>
    <w:rsid w:val="00A924B9"/>
    <w:rsid w:val="00A926FB"/>
    <w:rsid w:val="00A929E4"/>
    <w:rsid w:val="00A92A0F"/>
    <w:rsid w:val="00A92B71"/>
    <w:rsid w:val="00A92D5B"/>
    <w:rsid w:val="00A92D8A"/>
    <w:rsid w:val="00A92ECE"/>
    <w:rsid w:val="00A92EFE"/>
    <w:rsid w:val="00A92F61"/>
    <w:rsid w:val="00A93014"/>
    <w:rsid w:val="00A930E8"/>
    <w:rsid w:val="00A93154"/>
    <w:rsid w:val="00A93296"/>
    <w:rsid w:val="00A932C5"/>
    <w:rsid w:val="00A9330A"/>
    <w:rsid w:val="00A93384"/>
    <w:rsid w:val="00A9354B"/>
    <w:rsid w:val="00A935DB"/>
    <w:rsid w:val="00A936E2"/>
    <w:rsid w:val="00A93707"/>
    <w:rsid w:val="00A93733"/>
    <w:rsid w:val="00A9378F"/>
    <w:rsid w:val="00A93799"/>
    <w:rsid w:val="00A937D9"/>
    <w:rsid w:val="00A9399F"/>
    <w:rsid w:val="00A93ACA"/>
    <w:rsid w:val="00A93B44"/>
    <w:rsid w:val="00A93B5F"/>
    <w:rsid w:val="00A93D12"/>
    <w:rsid w:val="00A93E0B"/>
    <w:rsid w:val="00A93E13"/>
    <w:rsid w:val="00A93E7E"/>
    <w:rsid w:val="00A94412"/>
    <w:rsid w:val="00A9441E"/>
    <w:rsid w:val="00A944E8"/>
    <w:rsid w:val="00A945F8"/>
    <w:rsid w:val="00A946A2"/>
    <w:rsid w:val="00A94779"/>
    <w:rsid w:val="00A9487D"/>
    <w:rsid w:val="00A948EE"/>
    <w:rsid w:val="00A94A64"/>
    <w:rsid w:val="00A94AAE"/>
    <w:rsid w:val="00A94BD4"/>
    <w:rsid w:val="00A94BFA"/>
    <w:rsid w:val="00A94EE0"/>
    <w:rsid w:val="00A94F01"/>
    <w:rsid w:val="00A9503F"/>
    <w:rsid w:val="00A9508E"/>
    <w:rsid w:val="00A9519D"/>
    <w:rsid w:val="00A951AB"/>
    <w:rsid w:val="00A951EA"/>
    <w:rsid w:val="00A9523C"/>
    <w:rsid w:val="00A95250"/>
    <w:rsid w:val="00A953B6"/>
    <w:rsid w:val="00A954CE"/>
    <w:rsid w:val="00A954FC"/>
    <w:rsid w:val="00A95677"/>
    <w:rsid w:val="00A956F3"/>
    <w:rsid w:val="00A959EF"/>
    <w:rsid w:val="00A95A63"/>
    <w:rsid w:val="00A95B22"/>
    <w:rsid w:val="00A95C74"/>
    <w:rsid w:val="00A95CBE"/>
    <w:rsid w:val="00A95D9E"/>
    <w:rsid w:val="00A95DFC"/>
    <w:rsid w:val="00A96078"/>
    <w:rsid w:val="00A961D4"/>
    <w:rsid w:val="00A96355"/>
    <w:rsid w:val="00A963F1"/>
    <w:rsid w:val="00A96714"/>
    <w:rsid w:val="00A96979"/>
    <w:rsid w:val="00A96B72"/>
    <w:rsid w:val="00A96DC1"/>
    <w:rsid w:val="00A96E91"/>
    <w:rsid w:val="00A96EB1"/>
    <w:rsid w:val="00A96F28"/>
    <w:rsid w:val="00A96F3F"/>
    <w:rsid w:val="00A97002"/>
    <w:rsid w:val="00A9702E"/>
    <w:rsid w:val="00A9706B"/>
    <w:rsid w:val="00A970A7"/>
    <w:rsid w:val="00A970E5"/>
    <w:rsid w:val="00A9724B"/>
    <w:rsid w:val="00A974E6"/>
    <w:rsid w:val="00A975B4"/>
    <w:rsid w:val="00A975C1"/>
    <w:rsid w:val="00A97733"/>
    <w:rsid w:val="00A9778D"/>
    <w:rsid w:val="00A977D9"/>
    <w:rsid w:val="00A97803"/>
    <w:rsid w:val="00A97867"/>
    <w:rsid w:val="00A97B21"/>
    <w:rsid w:val="00A97B9E"/>
    <w:rsid w:val="00A97BE3"/>
    <w:rsid w:val="00A97EBE"/>
    <w:rsid w:val="00AA030D"/>
    <w:rsid w:val="00AA037F"/>
    <w:rsid w:val="00AA03E5"/>
    <w:rsid w:val="00AA045A"/>
    <w:rsid w:val="00AA047A"/>
    <w:rsid w:val="00AA0495"/>
    <w:rsid w:val="00AA057B"/>
    <w:rsid w:val="00AA0655"/>
    <w:rsid w:val="00AA0667"/>
    <w:rsid w:val="00AA0879"/>
    <w:rsid w:val="00AA0980"/>
    <w:rsid w:val="00AA09D0"/>
    <w:rsid w:val="00AA0A2E"/>
    <w:rsid w:val="00AA0AC1"/>
    <w:rsid w:val="00AA0B82"/>
    <w:rsid w:val="00AA0EFD"/>
    <w:rsid w:val="00AA0F70"/>
    <w:rsid w:val="00AA0FA0"/>
    <w:rsid w:val="00AA1012"/>
    <w:rsid w:val="00AA11AD"/>
    <w:rsid w:val="00AA11CA"/>
    <w:rsid w:val="00AA1299"/>
    <w:rsid w:val="00AA16A0"/>
    <w:rsid w:val="00AA1A5F"/>
    <w:rsid w:val="00AA1B7F"/>
    <w:rsid w:val="00AA1D19"/>
    <w:rsid w:val="00AA1D2B"/>
    <w:rsid w:val="00AA1DE3"/>
    <w:rsid w:val="00AA1E22"/>
    <w:rsid w:val="00AA1E6E"/>
    <w:rsid w:val="00AA1EFC"/>
    <w:rsid w:val="00AA2006"/>
    <w:rsid w:val="00AA21DD"/>
    <w:rsid w:val="00AA22A8"/>
    <w:rsid w:val="00AA230A"/>
    <w:rsid w:val="00AA24DF"/>
    <w:rsid w:val="00AA27AF"/>
    <w:rsid w:val="00AA27BD"/>
    <w:rsid w:val="00AA28D6"/>
    <w:rsid w:val="00AA29B9"/>
    <w:rsid w:val="00AA29F6"/>
    <w:rsid w:val="00AA2BD3"/>
    <w:rsid w:val="00AA2C35"/>
    <w:rsid w:val="00AA2E19"/>
    <w:rsid w:val="00AA2E1A"/>
    <w:rsid w:val="00AA2E65"/>
    <w:rsid w:val="00AA2E8D"/>
    <w:rsid w:val="00AA3278"/>
    <w:rsid w:val="00AA330D"/>
    <w:rsid w:val="00AA3338"/>
    <w:rsid w:val="00AA33EE"/>
    <w:rsid w:val="00AA3406"/>
    <w:rsid w:val="00AA369B"/>
    <w:rsid w:val="00AA36F6"/>
    <w:rsid w:val="00AA3750"/>
    <w:rsid w:val="00AA386D"/>
    <w:rsid w:val="00AA38A9"/>
    <w:rsid w:val="00AA38FF"/>
    <w:rsid w:val="00AA39BF"/>
    <w:rsid w:val="00AA3A38"/>
    <w:rsid w:val="00AA3CB5"/>
    <w:rsid w:val="00AA3D4F"/>
    <w:rsid w:val="00AA3D67"/>
    <w:rsid w:val="00AA3E72"/>
    <w:rsid w:val="00AA3EE7"/>
    <w:rsid w:val="00AA3FFB"/>
    <w:rsid w:val="00AA405F"/>
    <w:rsid w:val="00AA409F"/>
    <w:rsid w:val="00AA4216"/>
    <w:rsid w:val="00AA46CC"/>
    <w:rsid w:val="00AA4739"/>
    <w:rsid w:val="00AA48D7"/>
    <w:rsid w:val="00AA4928"/>
    <w:rsid w:val="00AA4A88"/>
    <w:rsid w:val="00AA4C2D"/>
    <w:rsid w:val="00AA5107"/>
    <w:rsid w:val="00AA537C"/>
    <w:rsid w:val="00AA5759"/>
    <w:rsid w:val="00AA597A"/>
    <w:rsid w:val="00AA5A28"/>
    <w:rsid w:val="00AA5A29"/>
    <w:rsid w:val="00AA5B7D"/>
    <w:rsid w:val="00AA5C52"/>
    <w:rsid w:val="00AA5CE0"/>
    <w:rsid w:val="00AA5D89"/>
    <w:rsid w:val="00AA5E74"/>
    <w:rsid w:val="00AA601F"/>
    <w:rsid w:val="00AA61D7"/>
    <w:rsid w:val="00AA6258"/>
    <w:rsid w:val="00AA64DE"/>
    <w:rsid w:val="00AA64F1"/>
    <w:rsid w:val="00AA65F3"/>
    <w:rsid w:val="00AA6689"/>
    <w:rsid w:val="00AA66E5"/>
    <w:rsid w:val="00AA67AF"/>
    <w:rsid w:val="00AA67FC"/>
    <w:rsid w:val="00AA6954"/>
    <w:rsid w:val="00AA69CA"/>
    <w:rsid w:val="00AA69F2"/>
    <w:rsid w:val="00AA6A16"/>
    <w:rsid w:val="00AA6A75"/>
    <w:rsid w:val="00AA6A78"/>
    <w:rsid w:val="00AA6B1A"/>
    <w:rsid w:val="00AA6E07"/>
    <w:rsid w:val="00AA6F2B"/>
    <w:rsid w:val="00AA6FE5"/>
    <w:rsid w:val="00AA722E"/>
    <w:rsid w:val="00AA7597"/>
    <w:rsid w:val="00AA75AA"/>
    <w:rsid w:val="00AA7669"/>
    <w:rsid w:val="00AA77F6"/>
    <w:rsid w:val="00AA7985"/>
    <w:rsid w:val="00AA799A"/>
    <w:rsid w:val="00AA7AE4"/>
    <w:rsid w:val="00AA7B77"/>
    <w:rsid w:val="00AA7D71"/>
    <w:rsid w:val="00AA7E1E"/>
    <w:rsid w:val="00AA7E8E"/>
    <w:rsid w:val="00AA7FE5"/>
    <w:rsid w:val="00AB01AF"/>
    <w:rsid w:val="00AB01D8"/>
    <w:rsid w:val="00AB03F6"/>
    <w:rsid w:val="00AB045B"/>
    <w:rsid w:val="00AB0631"/>
    <w:rsid w:val="00AB06E3"/>
    <w:rsid w:val="00AB070E"/>
    <w:rsid w:val="00AB07BC"/>
    <w:rsid w:val="00AB0A27"/>
    <w:rsid w:val="00AB0ADF"/>
    <w:rsid w:val="00AB0AE4"/>
    <w:rsid w:val="00AB0B5B"/>
    <w:rsid w:val="00AB0B94"/>
    <w:rsid w:val="00AB0BC5"/>
    <w:rsid w:val="00AB0CE9"/>
    <w:rsid w:val="00AB0DDD"/>
    <w:rsid w:val="00AB0E00"/>
    <w:rsid w:val="00AB0E18"/>
    <w:rsid w:val="00AB0ED6"/>
    <w:rsid w:val="00AB0F8B"/>
    <w:rsid w:val="00AB0FCF"/>
    <w:rsid w:val="00AB1077"/>
    <w:rsid w:val="00AB1286"/>
    <w:rsid w:val="00AB14BE"/>
    <w:rsid w:val="00AB14D9"/>
    <w:rsid w:val="00AB1794"/>
    <w:rsid w:val="00AB18E8"/>
    <w:rsid w:val="00AB1B48"/>
    <w:rsid w:val="00AB1B85"/>
    <w:rsid w:val="00AB1CB5"/>
    <w:rsid w:val="00AB1E85"/>
    <w:rsid w:val="00AB1EF2"/>
    <w:rsid w:val="00AB1FFF"/>
    <w:rsid w:val="00AB2078"/>
    <w:rsid w:val="00AB22DD"/>
    <w:rsid w:val="00AB242E"/>
    <w:rsid w:val="00AB2642"/>
    <w:rsid w:val="00AB27B5"/>
    <w:rsid w:val="00AB28B8"/>
    <w:rsid w:val="00AB2B10"/>
    <w:rsid w:val="00AB2CDD"/>
    <w:rsid w:val="00AB2E0A"/>
    <w:rsid w:val="00AB308C"/>
    <w:rsid w:val="00AB3234"/>
    <w:rsid w:val="00AB3259"/>
    <w:rsid w:val="00AB3425"/>
    <w:rsid w:val="00AB38D8"/>
    <w:rsid w:val="00AB3A6B"/>
    <w:rsid w:val="00AB3B0C"/>
    <w:rsid w:val="00AB3BBB"/>
    <w:rsid w:val="00AB3D64"/>
    <w:rsid w:val="00AB3DF1"/>
    <w:rsid w:val="00AB3F22"/>
    <w:rsid w:val="00AB3F69"/>
    <w:rsid w:val="00AB4159"/>
    <w:rsid w:val="00AB4189"/>
    <w:rsid w:val="00AB449B"/>
    <w:rsid w:val="00AB4552"/>
    <w:rsid w:val="00AB4577"/>
    <w:rsid w:val="00AB460F"/>
    <w:rsid w:val="00AB4875"/>
    <w:rsid w:val="00AB49BE"/>
    <w:rsid w:val="00AB49D3"/>
    <w:rsid w:val="00AB4D80"/>
    <w:rsid w:val="00AB51C5"/>
    <w:rsid w:val="00AB533B"/>
    <w:rsid w:val="00AB538C"/>
    <w:rsid w:val="00AB53DB"/>
    <w:rsid w:val="00AB5965"/>
    <w:rsid w:val="00AB5B19"/>
    <w:rsid w:val="00AB5BF5"/>
    <w:rsid w:val="00AB5C42"/>
    <w:rsid w:val="00AB5C76"/>
    <w:rsid w:val="00AB6056"/>
    <w:rsid w:val="00AB605A"/>
    <w:rsid w:val="00AB6152"/>
    <w:rsid w:val="00AB65B4"/>
    <w:rsid w:val="00AB67D7"/>
    <w:rsid w:val="00AB69DD"/>
    <w:rsid w:val="00AB6A94"/>
    <w:rsid w:val="00AB6B7C"/>
    <w:rsid w:val="00AB6C4D"/>
    <w:rsid w:val="00AB6C51"/>
    <w:rsid w:val="00AB6C5A"/>
    <w:rsid w:val="00AB6E04"/>
    <w:rsid w:val="00AB703E"/>
    <w:rsid w:val="00AB70E8"/>
    <w:rsid w:val="00AB7370"/>
    <w:rsid w:val="00AB74B8"/>
    <w:rsid w:val="00AB7585"/>
    <w:rsid w:val="00AB75DF"/>
    <w:rsid w:val="00AB7626"/>
    <w:rsid w:val="00AB76C7"/>
    <w:rsid w:val="00AB77E0"/>
    <w:rsid w:val="00AB7828"/>
    <w:rsid w:val="00AB7A92"/>
    <w:rsid w:val="00AB7B04"/>
    <w:rsid w:val="00AB7CCB"/>
    <w:rsid w:val="00AB7D89"/>
    <w:rsid w:val="00AB7E94"/>
    <w:rsid w:val="00AB7F38"/>
    <w:rsid w:val="00AC009E"/>
    <w:rsid w:val="00AC011D"/>
    <w:rsid w:val="00AC0426"/>
    <w:rsid w:val="00AC0641"/>
    <w:rsid w:val="00AC0682"/>
    <w:rsid w:val="00AC08B4"/>
    <w:rsid w:val="00AC08EE"/>
    <w:rsid w:val="00AC0934"/>
    <w:rsid w:val="00AC0B5D"/>
    <w:rsid w:val="00AC0C17"/>
    <w:rsid w:val="00AC0C7A"/>
    <w:rsid w:val="00AC0CC1"/>
    <w:rsid w:val="00AC0D0E"/>
    <w:rsid w:val="00AC0F83"/>
    <w:rsid w:val="00AC0F85"/>
    <w:rsid w:val="00AC0FA1"/>
    <w:rsid w:val="00AC1293"/>
    <w:rsid w:val="00AC133B"/>
    <w:rsid w:val="00AC14E7"/>
    <w:rsid w:val="00AC15EE"/>
    <w:rsid w:val="00AC1652"/>
    <w:rsid w:val="00AC16AE"/>
    <w:rsid w:val="00AC1704"/>
    <w:rsid w:val="00AC18BA"/>
    <w:rsid w:val="00AC18F4"/>
    <w:rsid w:val="00AC1DF5"/>
    <w:rsid w:val="00AC20FC"/>
    <w:rsid w:val="00AC2138"/>
    <w:rsid w:val="00AC228A"/>
    <w:rsid w:val="00AC2361"/>
    <w:rsid w:val="00AC23AA"/>
    <w:rsid w:val="00AC2469"/>
    <w:rsid w:val="00AC289D"/>
    <w:rsid w:val="00AC2B58"/>
    <w:rsid w:val="00AC2B8B"/>
    <w:rsid w:val="00AC2C06"/>
    <w:rsid w:val="00AC2C7D"/>
    <w:rsid w:val="00AC2CD3"/>
    <w:rsid w:val="00AC2E48"/>
    <w:rsid w:val="00AC2EB6"/>
    <w:rsid w:val="00AC311C"/>
    <w:rsid w:val="00AC313A"/>
    <w:rsid w:val="00AC3194"/>
    <w:rsid w:val="00AC3205"/>
    <w:rsid w:val="00AC343E"/>
    <w:rsid w:val="00AC3533"/>
    <w:rsid w:val="00AC35F2"/>
    <w:rsid w:val="00AC367A"/>
    <w:rsid w:val="00AC36BC"/>
    <w:rsid w:val="00AC36F9"/>
    <w:rsid w:val="00AC37D1"/>
    <w:rsid w:val="00AC390A"/>
    <w:rsid w:val="00AC39D7"/>
    <w:rsid w:val="00AC39DD"/>
    <w:rsid w:val="00AC39FD"/>
    <w:rsid w:val="00AC3AAB"/>
    <w:rsid w:val="00AC3B03"/>
    <w:rsid w:val="00AC3B0E"/>
    <w:rsid w:val="00AC3CBB"/>
    <w:rsid w:val="00AC3CD0"/>
    <w:rsid w:val="00AC3EA2"/>
    <w:rsid w:val="00AC3F13"/>
    <w:rsid w:val="00AC4169"/>
    <w:rsid w:val="00AC428C"/>
    <w:rsid w:val="00AC44E2"/>
    <w:rsid w:val="00AC45B8"/>
    <w:rsid w:val="00AC4760"/>
    <w:rsid w:val="00AC480E"/>
    <w:rsid w:val="00AC4C0D"/>
    <w:rsid w:val="00AC4DF1"/>
    <w:rsid w:val="00AC505E"/>
    <w:rsid w:val="00AC5105"/>
    <w:rsid w:val="00AC515B"/>
    <w:rsid w:val="00AC5356"/>
    <w:rsid w:val="00AC5589"/>
    <w:rsid w:val="00AC55EC"/>
    <w:rsid w:val="00AC56F9"/>
    <w:rsid w:val="00AC5744"/>
    <w:rsid w:val="00AC598D"/>
    <w:rsid w:val="00AC5A29"/>
    <w:rsid w:val="00AC5BA2"/>
    <w:rsid w:val="00AC5BF1"/>
    <w:rsid w:val="00AC5CCE"/>
    <w:rsid w:val="00AC5D7E"/>
    <w:rsid w:val="00AC5E0A"/>
    <w:rsid w:val="00AC5E3C"/>
    <w:rsid w:val="00AC6416"/>
    <w:rsid w:val="00AC642D"/>
    <w:rsid w:val="00AC64E7"/>
    <w:rsid w:val="00AC66F9"/>
    <w:rsid w:val="00AC6761"/>
    <w:rsid w:val="00AC6D2B"/>
    <w:rsid w:val="00AC6E0F"/>
    <w:rsid w:val="00AC6EA3"/>
    <w:rsid w:val="00AC7371"/>
    <w:rsid w:val="00AC7576"/>
    <w:rsid w:val="00AC7659"/>
    <w:rsid w:val="00AC772E"/>
    <w:rsid w:val="00AC7AD5"/>
    <w:rsid w:val="00AC7B24"/>
    <w:rsid w:val="00AC7B91"/>
    <w:rsid w:val="00AC7BBA"/>
    <w:rsid w:val="00AC7D4F"/>
    <w:rsid w:val="00AC7DE3"/>
    <w:rsid w:val="00AC7EA5"/>
    <w:rsid w:val="00AC7F30"/>
    <w:rsid w:val="00AC7F32"/>
    <w:rsid w:val="00AD0194"/>
    <w:rsid w:val="00AD04A6"/>
    <w:rsid w:val="00AD06B5"/>
    <w:rsid w:val="00AD0701"/>
    <w:rsid w:val="00AD0748"/>
    <w:rsid w:val="00AD076D"/>
    <w:rsid w:val="00AD0DC6"/>
    <w:rsid w:val="00AD0EC8"/>
    <w:rsid w:val="00AD0F9D"/>
    <w:rsid w:val="00AD104C"/>
    <w:rsid w:val="00AD1068"/>
    <w:rsid w:val="00AD11B5"/>
    <w:rsid w:val="00AD11C7"/>
    <w:rsid w:val="00AD11E6"/>
    <w:rsid w:val="00AD11F5"/>
    <w:rsid w:val="00AD128A"/>
    <w:rsid w:val="00AD12D4"/>
    <w:rsid w:val="00AD1496"/>
    <w:rsid w:val="00AD159E"/>
    <w:rsid w:val="00AD16C9"/>
    <w:rsid w:val="00AD16EE"/>
    <w:rsid w:val="00AD1702"/>
    <w:rsid w:val="00AD18C1"/>
    <w:rsid w:val="00AD18D2"/>
    <w:rsid w:val="00AD1A1F"/>
    <w:rsid w:val="00AD1B00"/>
    <w:rsid w:val="00AD1D58"/>
    <w:rsid w:val="00AD1E63"/>
    <w:rsid w:val="00AD1EE0"/>
    <w:rsid w:val="00AD2177"/>
    <w:rsid w:val="00AD219D"/>
    <w:rsid w:val="00AD21E6"/>
    <w:rsid w:val="00AD2290"/>
    <w:rsid w:val="00AD2866"/>
    <w:rsid w:val="00AD28A3"/>
    <w:rsid w:val="00AD3209"/>
    <w:rsid w:val="00AD3243"/>
    <w:rsid w:val="00AD3314"/>
    <w:rsid w:val="00AD33A6"/>
    <w:rsid w:val="00AD34C6"/>
    <w:rsid w:val="00AD3545"/>
    <w:rsid w:val="00AD35BE"/>
    <w:rsid w:val="00AD36AD"/>
    <w:rsid w:val="00AD3892"/>
    <w:rsid w:val="00AD3920"/>
    <w:rsid w:val="00AD3A30"/>
    <w:rsid w:val="00AD3C51"/>
    <w:rsid w:val="00AD3C74"/>
    <w:rsid w:val="00AD3DC6"/>
    <w:rsid w:val="00AD43CE"/>
    <w:rsid w:val="00AD43D8"/>
    <w:rsid w:val="00AD4544"/>
    <w:rsid w:val="00AD455C"/>
    <w:rsid w:val="00AD472D"/>
    <w:rsid w:val="00AD47AE"/>
    <w:rsid w:val="00AD4973"/>
    <w:rsid w:val="00AD4999"/>
    <w:rsid w:val="00AD4C7D"/>
    <w:rsid w:val="00AD4D61"/>
    <w:rsid w:val="00AD4F9A"/>
    <w:rsid w:val="00AD5165"/>
    <w:rsid w:val="00AD5306"/>
    <w:rsid w:val="00AD552C"/>
    <w:rsid w:val="00AD5586"/>
    <w:rsid w:val="00AD567F"/>
    <w:rsid w:val="00AD5696"/>
    <w:rsid w:val="00AD579E"/>
    <w:rsid w:val="00AD599F"/>
    <w:rsid w:val="00AD5EB7"/>
    <w:rsid w:val="00AD5EB8"/>
    <w:rsid w:val="00AD5F5C"/>
    <w:rsid w:val="00AD6164"/>
    <w:rsid w:val="00AD61F7"/>
    <w:rsid w:val="00AD62C6"/>
    <w:rsid w:val="00AD6305"/>
    <w:rsid w:val="00AD6327"/>
    <w:rsid w:val="00AD633D"/>
    <w:rsid w:val="00AD641D"/>
    <w:rsid w:val="00AD650A"/>
    <w:rsid w:val="00AD6530"/>
    <w:rsid w:val="00AD67B6"/>
    <w:rsid w:val="00AD686A"/>
    <w:rsid w:val="00AD6AC4"/>
    <w:rsid w:val="00AD6C1D"/>
    <w:rsid w:val="00AD6E9E"/>
    <w:rsid w:val="00AD6F56"/>
    <w:rsid w:val="00AD70D2"/>
    <w:rsid w:val="00AD7200"/>
    <w:rsid w:val="00AD7520"/>
    <w:rsid w:val="00AD767B"/>
    <w:rsid w:val="00AD77F8"/>
    <w:rsid w:val="00AD783D"/>
    <w:rsid w:val="00AD7AB6"/>
    <w:rsid w:val="00AD7B0D"/>
    <w:rsid w:val="00AD7C66"/>
    <w:rsid w:val="00AD7CD3"/>
    <w:rsid w:val="00AD7CFF"/>
    <w:rsid w:val="00AD7E49"/>
    <w:rsid w:val="00AD7F30"/>
    <w:rsid w:val="00AE0095"/>
    <w:rsid w:val="00AE0115"/>
    <w:rsid w:val="00AE01F6"/>
    <w:rsid w:val="00AE0226"/>
    <w:rsid w:val="00AE0251"/>
    <w:rsid w:val="00AE03CF"/>
    <w:rsid w:val="00AE0605"/>
    <w:rsid w:val="00AE0641"/>
    <w:rsid w:val="00AE06D3"/>
    <w:rsid w:val="00AE07FB"/>
    <w:rsid w:val="00AE085A"/>
    <w:rsid w:val="00AE08D8"/>
    <w:rsid w:val="00AE0F55"/>
    <w:rsid w:val="00AE110F"/>
    <w:rsid w:val="00AE15F3"/>
    <w:rsid w:val="00AE1755"/>
    <w:rsid w:val="00AE17F5"/>
    <w:rsid w:val="00AE1863"/>
    <w:rsid w:val="00AE1A7D"/>
    <w:rsid w:val="00AE1C1D"/>
    <w:rsid w:val="00AE1CCD"/>
    <w:rsid w:val="00AE203D"/>
    <w:rsid w:val="00AE22DA"/>
    <w:rsid w:val="00AE23AB"/>
    <w:rsid w:val="00AE24E6"/>
    <w:rsid w:val="00AE2524"/>
    <w:rsid w:val="00AE2543"/>
    <w:rsid w:val="00AE254D"/>
    <w:rsid w:val="00AE275F"/>
    <w:rsid w:val="00AE2843"/>
    <w:rsid w:val="00AE2847"/>
    <w:rsid w:val="00AE2896"/>
    <w:rsid w:val="00AE2B68"/>
    <w:rsid w:val="00AE2D16"/>
    <w:rsid w:val="00AE2D53"/>
    <w:rsid w:val="00AE2E58"/>
    <w:rsid w:val="00AE2E59"/>
    <w:rsid w:val="00AE2E91"/>
    <w:rsid w:val="00AE2F4C"/>
    <w:rsid w:val="00AE2F94"/>
    <w:rsid w:val="00AE3020"/>
    <w:rsid w:val="00AE3304"/>
    <w:rsid w:val="00AE350F"/>
    <w:rsid w:val="00AE35F9"/>
    <w:rsid w:val="00AE37C7"/>
    <w:rsid w:val="00AE39BD"/>
    <w:rsid w:val="00AE3A81"/>
    <w:rsid w:val="00AE3D3D"/>
    <w:rsid w:val="00AE3D54"/>
    <w:rsid w:val="00AE3DC0"/>
    <w:rsid w:val="00AE3E46"/>
    <w:rsid w:val="00AE3F33"/>
    <w:rsid w:val="00AE3F68"/>
    <w:rsid w:val="00AE459A"/>
    <w:rsid w:val="00AE4AA1"/>
    <w:rsid w:val="00AE4BA5"/>
    <w:rsid w:val="00AE4C33"/>
    <w:rsid w:val="00AE4F52"/>
    <w:rsid w:val="00AE5424"/>
    <w:rsid w:val="00AE599E"/>
    <w:rsid w:val="00AE5ACB"/>
    <w:rsid w:val="00AE5BE6"/>
    <w:rsid w:val="00AE5D4C"/>
    <w:rsid w:val="00AE5E6B"/>
    <w:rsid w:val="00AE5F60"/>
    <w:rsid w:val="00AE600B"/>
    <w:rsid w:val="00AE60D2"/>
    <w:rsid w:val="00AE616D"/>
    <w:rsid w:val="00AE6388"/>
    <w:rsid w:val="00AE647C"/>
    <w:rsid w:val="00AE65FE"/>
    <w:rsid w:val="00AE6654"/>
    <w:rsid w:val="00AE66F3"/>
    <w:rsid w:val="00AE6716"/>
    <w:rsid w:val="00AE67C3"/>
    <w:rsid w:val="00AE67F3"/>
    <w:rsid w:val="00AE6801"/>
    <w:rsid w:val="00AE6874"/>
    <w:rsid w:val="00AE696D"/>
    <w:rsid w:val="00AE6A2D"/>
    <w:rsid w:val="00AE6AF7"/>
    <w:rsid w:val="00AE6B3E"/>
    <w:rsid w:val="00AE6BC3"/>
    <w:rsid w:val="00AE6CBB"/>
    <w:rsid w:val="00AE6D85"/>
    <w:rsid w:val="00AE6E2D"/>
    <w:rsid w:val="00AE6E2E"/>
    <w:rsid w:val="00AE6F33"/>
    <w:rsid w:val="00AE705B"/>
    <w:rsid w:val="00AE71C6"/>
    <w:rsid w:val="00AE7253"/>
    <w:rsid w:val="00AE72E7"/>
    <w:rsid w:val="00AE7571"/>
    <w:rsid w:val="00AE76B0"/>
    <w:rsid w:val="00AE79BA"/>
    <w:rsid w:val="00AE7AC2"/>
    <w:rsid w:val="00AE7B1C"/>
    <w:rsid w:val="00AE7B2F"/>
    <w:rsid w:val="00AE7BA9"/>
    <w:rsid w:val="00AE7C7E"/>
    <w:rsid w:val="00AE7CA7"/>
    <w:rsid w:val="00AE7CB6"/>
    <w:rsid w:val="00AE7CE0"/>
    <w:rsid w:val="00AE7D26"/>
    <w:rsid w:val="00AE7EBE"/>
    <w:rsid w:val="00AE7EDE"/>
    <w:rsid w:val="00AE7EFA"/>
    <w:rsid w:val="00AF01DE"/>
    <w:rsid w:val="00AF02EB"/>
    <w:rsid w:val="00AF03C0"/>
    <w:rsid w:val="00AF0782"/>
    <w:rsid w:val="00AF07DE"/>
    <w:rsid w:val="00AF0B00"/>
    <w:rsid w:val="00AF0B67"/>
    <w:rsid w:val="00AF0BE7"/>
    <w:rsid w:val="00AF0C38"/>
    <w:rsid w:val="00AF0D4C"/>
    <w:rsid w:val="00AF0E5B"/>
    <w:rsid w:val="00AF0FF3"/>
    <w:rsid w:val="00AF136A"/>
    <w:rsid w:val="00AF1390"/>
    <w:rsid w:val="00AF1447"/>
    <w:rsid w:val="00AF198B"/>
    <w:rsid w:val="00AF1AC0"/>
    <w:rsid w:val="00AF1C0E"/>
    <w:rsid w:val="00AF2160"/>
    <w:rsid w:val="00AF21A3"/>
    <w:rsid w:val="00AF25F0"/>
    <w:rsid w:val="00AF2689"/>
    <w:rsid w:val="00AF271F"/>
    <w:rsid w:val="00AF2793"/>
    <w:rsid w:val="00AF283B"/>
    <w:rsid w:val="00AF2927"/>
    <w:rsid w:val="00AF2D31"/>
    <w:rsid w:val="00AF2E4A"/>
    <w:rsid w:val="00AF2F47"/>
    <w:rsid w:val="00AF3043"/>
    <w:rsid w:val="00AF3131"/>
    <w:rsid w:val="00AF31C2"/>
    <w:rsid w:val="00AF3213"/>
    <w:rsid w:val="00AF3234"/>
    <w:rsid w:val="00AF34AA"/>
    <w:rsid w:val="00AF366C"/>
    <w:rsid w:val="00AF371A"/>
    <w:rsid w:val="00AF37E6"/>
    <w:rsid w:val="00AF38BE"/>
    <w:rsid w:val="00AF397F"/>
    <w:rsid w:val="00AF3A9B"/>
    <w:rsid w:val="00AF3B33"/>
    <w:rsid w:val="00AF3BAD"/>
    <w:rsid w:val="00AF3BED"/>
    <w:rsid w:val="00AF3CA8"/>
    <w:rsid w:val="00AF3D00"/>
    <w:rsid w:val="00AF3DA6"/>
    <w:rsid w:val="00AF3F4F"/>
    <w:rsid w:val="00AF3F8B"/>
    <w:rsid w:val="00AF4204"/>
    <w:rsid w:val="00AF42B1"/>
    <w:rsid w:val="00AF436A"/>
    <w:rsid w:val="00AF4390"/>
    <w:rsid w:val="00AF4444"/>
    <w:rsid w:val="00AF44CF"/>
    <w:rsid w:val="00AF4500"/>
    <w:rsid w:val="00AF45D2"/>
    <w:rsid w:val="00AF49A8"/>
    <w:rsid w:val="00AF4DA1"/>
    <w:rsid w:val="00AF5037"/>
    <w:rsid w:val="00AF52AF"/>
    <w:rsid w:val="00AF533A"/>
    <w:rsid w:val="00AF553C"/>
    <w:rsid w:val="00AF557A"/>
    <w:rsid w:val="00AF5670"/>
    <w:rsid w:val="00AF56D3"/>
    <w:rsid w:val="00AF56F4"/>
    <w:rsid w:val="00AF57AD"/>
    <w:rsid w:val="00AF59C2"/>
    <w:rsid w:val="00AF59DC"/>
    <w:rsid w:val="00AF5A8E"/>
    <w:rsid w:val="00AF5B62"/>
    <w:rsid w:val="00AF5BD9"/>
    <w:rsid w:val="00AF5C6A"/>
    <w:rsid w:val="00AF5D0D"/>
    <w:rsid w:val="00AF5DBC"/>
    <w:rsid w:val="00AF5E79"/>
    <w:rsid w:val="00AF5E8A"/>
    <w:rsid w:val="00AF5FB4"/>
    <w:rsid w:val="00AF5FE5"/>
    <w:rsid w:val="00AF5FFD"/>
    <w:rsid w:val="00AF60B1"/>
    <w:rsid w:val="00AF6453"/>
    <w:rsid w:val="00AF6504"/>
    <w:rsid w:val="00AF6545"/>
    <w:rsid w:val="00AF65E0"/>
    <w:rsid w:val="00AF66A8"/>
    <w:rsid w:val="00AF66EF"/>
    <w:rsid w:val="00AF6710"/>
    <w:rsid w:val="00AF682B"/>
    <w:rsid w:val="00AF6AA7"/>
    <w:rsid w:val="00AF6AF0"/>
    <w:rsid w:val="00AF6B09"/>
    <w:rsid w:val="00AF6B0D"/>
    <w:rsid w:val="00AF6CBC"/>
    <w:rsid w:val="00AF70A7"/>
    <w:rsid w:val="00AF718A"/>
    <w:rsid w:val="00AF71A7"/>
    <w:rsid w:val="00AF748E"/>
    <w:rsid w:val="00AF750F"/>
    <w:rsid w:val="00AF761C"/>
    <w:rsid w:val="00AF764A"/>
    <w:rsid w:val="00AF76EE"/>
    <w:rsid w:val="00AF773E"/>
    <w:rsid w:val="00AF7A6E"/>
    <w:rsid w:val="00AF7BB9"/>
    <w:rsid w:val="00B000CB"/>
    <w:rsid w:val="00B0015F"/>
    <w:rsid w:val="00B001B1"/>
    <w:rsid w:val="00B00453"/>
    <w:rsid w:val="00B0061D"/>
    <w:rsid w:val="00B0073B"/>
    <w:rsid w:val="00B00756"/>
    <w:rsid w:val="00B00853"/>
    <w:rsid w:val="00B00ADF"/>
    <w:rsid w:val="00B00B3D"/>
    <w:rsid w:val="00B00BC6"/>
    <w:rsid w:val="00B00C17"/>
    <w:rsid w:val="00B00D1B"/>
    <w:rsid w:val="00B00D71"/>
    <w:rsid w:val="00B00DE2"/>
    <w:rsid w:val="00B00F06"/>
    <w:rsid w:val="00B00FE4"/>
    <w:rsid w:val="00B0103A"/>
    <w:rsid w:val="00B010B8"/>
    <w:rsid w:val="00B011AF"/>
    <w:rsid w:val="00B01244"/>
    <w:rsid w:val="00B01302"/>
    <w:rsid w:val="00B01326"/>
    <w:rsid w:val="00B0138B"/>
    <w:rsid w:val="00B013B0"/>
    <w:rsid w:val="00B0148B"/>
    <w:rsid w:val="00B01627"/>
    <w:rsid w:val="00B018A5"/>
    <w:rsid w:val="00B018FF"/>
    <w:rsid w:val="00B019A9"/>
    <w:rsid w:val="00B01B4E"/>
    <w:rsid w:val="00B01B97"/>
    <w:rsid w:val="00B01DD9"/>
    <w:rsid w:val="00B01E56"/>
    <w:rsid w:val="00B01E7D"/>
    <w:rsid w:val="00B01F17"/>
    <w:rsid w:val="00B01FE9"/>
    <w:rsid w:val="00B02136"/>
    <w:rsid w:val="00B021AA"/>
    <w:rsid w:val="00B02366"/>
    <w:rsid w:val="00B023F6"/>
    <w:rsid w:val="00B02589"/>
    <w:rsid w:val="00B025F6"/>
    <w:rsid w:val="00B02747"/>
    <w:rsid w:val="00B028EB"/>
    <w:rsid w:val="00B02B3D"/>
    <w:rsid w:val="00B02B68"/>
    <w:rsid w:val="00B02CF0"/>
    <w:rsid w:val="00B02E22"/>
    <w:rsid w:val="00B02E52"/>
    <w:rsid w:val="00B02F38"/>
    <w:rsid w:val="00B02F77"/>
    <w:rsid w:val="00B030A4"/>
    <w:rsid w:val="00B032F5"/>
    <w:rsid w:val="00B03447"/>
    <w:rsid w:val="00B037FA"/>
    <w:rsid w:val="00B038D8"/>
    <w:rsid w:val="00B039FE"/>
    <w:rsid w:val="00B03A22"/>
    <w:rsid w:val="00B03B97"/>
    <w:rsid w:val="00B03BC6"/>
    <w:rsid w:val="00B03CD8"/>
    <w:rsid w:val="00B03E89"/>
    <w:rsid w:val="00B03F4F"/>
    <w:rsid w:val="00B0425D"/>
    <w:rsid w:val="00B04324"/>
    <w:rsid w:val="00B043ED"/>
    <w:rsid w:val="00B04488"/>
    <w:rsid w:val="00B04521"/>
    <w:rsid w:val="00B045CC"/>
    <w:rsid w:val="00B0472C"/>
    <w:rsid w:val="00B048DA"/>
    <w:rsid w:val="00B0491B"/>
    <w:rsid w:val="00B0495C"/>
    <w:rsid w:val="00B049E7"/>
    <w:rsid w:val="00B04C4B"/>
    <w:rsid w:val="00B04CDC"/>
    <w:rsid w:val="00B04E3E"/>
    <w:rsid w:val="00B04EAF"/>
    <w:rsid w:val="00B04F9D"/>
    <w:rsid w:val="00B05314"/>
    <w:rsid w:val="00B05332"/>
    <w:rsid w:val="00B0543A"/>
    <w:rsid w:val="00B054A2"/>
    <w:rsid w:val="00B056F4"/>
    <w:rsid w:val="00B05750"/>
    <w:rsid w:val="00B05A79"/>
    <w:rsid w:val="00B05AEC"/>
    <w:rsid w:val="00B05B93"/>
    <w:rsid w:val="00B05C40"/>
    <w:rsid w:val="00B05C97"/>
    <w:rsid w:val="00B05D51"/>
    <w:rsid w:val="00B05DCC"/>
    <w:rsid w:val="00B05E36"/>
    <w:rsid w:val="00B05E53"/>
    <w:rsid w:val="00B05F2D"/>
    <w:rsid w:val="00B06022"/>
    <w:rsid w:val="00B061B4"/>
    <w:rsid w:val="00B06244"/>
    <w:rsid w:val="00B064AE"/>
    <w:rsid w:val="00B064C6"/>
    <w:rsid w:val="00B064CC"/>
    <w:rsid w:val="00B0667E"/>
    <w:rsid w:val="00B0679D"/>
    <w:rsid w:val="00B06C19"/>
    <w:rsid w:val="00B06C3A"/>
    <w:rsid w:val="00B06CDF"/>
    <w:rsid w:val="00B06F2C"/>
    <w:rsid w:val="00B0701D"/>
    <w:rsid w:val="00B070B0"/>
    <w:rsid w:val="00B070FE"/>
    <w:rsid w:val="00B0718E"/>
    <w:rsid w:val="00B07292"/>
    <w:rsid w:val="00B07294"/>
    <w:rsid w:val="00B0748A"/>
    <w:rsid w:val="00B07622"/>
    <w:rsid w:val="00B0778E"/>
    <w:rsid w:val="00B07817"/>
    <w:rsid w:val="00B0789C"/>
    <w:rsid w:val="00B07A0C"/>
    <w:rsid w:val="00B07C14"/>
    <w:rsid w:val="00B07D62"/>
    <w:rsid w:val="00B07E69"/>
    <w:rsid w:val="00B10137"/>
    <w:rsid w:val="00B105AC"/>
    <w:rsid w:val="00B105D2"/>
    <w:rsid w:val="00B1073D"/>
    <w:rsid w:val="00B10A42"/>
    <w:rsid w:val="00B10B63"/>
    <w:rsid w:val="00B10D49"/>
    <w:rsid w:val="00B10E40"/>
    <w:rsid w:val="00B10ECE"/>
    <w:rsid w:val="00B11043"/>
    <w:rsid w:val="00B112A5"/>
    <w:rsid w:val="00B11498"/>
    <w:rsid w:val="00B116D1"/>
    <w:rsid w:val="00B116E8"/>
    <w:rsid w:val="00B11817"/>
    <w:rsid w:val="00B11943"/>
    <w:rsid w:val="00B11A99"/>
    <w:rsid w:val="00B11BEA"/>
    <w:rsid w:val="00B11C3A"/>
    <w:rsid w:val="00B11D7F"/>
    <w:rsid w:val="00B11DE9"/>
    <w:rsid w:val="00B11E94"/>
    <w:rsid w:val="00B120BA"/>
    <w:rsid w:val="00B12145"/>
    <w:rsid w:val="00B12216"/>
    <w:rsid w:val="00B12262"/>
    <w:rsid w:val="00B122D0"/>
    <w:rsid w:val="00B1232B"/>
    <w:rsid w:val="00B1238D"/>
    <w:rsid w:val="00B124C1"/>
    <w:rsid w:val="00B124CE"/>
    <w:rsid w:val="00B12532"/>
    <w:rsid w:val="00B125D0"/>
    <w:rsid w:val="00B1276A"/>
    <w:rsid w:val="00B12801"/>
    <w:rsid w:val="00B1294A"/>
    <w:rsid w:val="00B129FC"/>
    <w:rsid w:val="00B12AD4"/>
    <w:rsid w:val="00B12C03"/>
    <w:rsid w:val="00B12C29"/>
    <w:rsid w:val="00B13140"/>
    <w:rsid w:val="00B13177"/>
    <w:rsid w:val="00B13178"/>
    <w:rsid w:val="00B131EA"/>
    <w:rsid w:val="00B13307"/>
    <w:rsid w:val="00B1334E"/>
    <w:rsid w:val="00B13355"/>
    <w:rsid w:val="00B134BB"/>
    <w:rsid w:val="00B1355A"/>
    <w:rsid w:val="00B136C4"/>
    <w:rsid w:val="00B13985"/>
    <w:rsid w:val="00B1399D"/>
    <w:rsid w:val="00B13A7B"/>
    <w:rsid w:val="00B13AEA"/>
    <w:rsid w:val="00B13BC6"/>
    <w:rsid w:val="00B13C53"/>
    <w:rsid w:val="00B13C63"/>
    <w:rsid w:val="00B13D81"/>
    <w:rsid w:val="00B1406C"/>
    <w:rsid w:val="00B140E1"/>
    <w:rsid w:val="00B141A8"/>
    <w:rsid w:val="00B141FA"/>
    <w:rsid w:val="00B142F9"/>
    <w:rsid w:val="00B142FD"/>
    <w:rsid w:val="00B14341"/>
    <w:rsid w:val="00B14399"/>
    <w:rsid w:val="00B14442"/>
    <w:rsid w:val="00B145CF"/>
    <w:rsid w:val="00B145D0"/>
    <w:rsid w:val="00B14701"/>
    <w:rsid w:val="00B1487F"/>
    <w:rsid w:val="00B14A6C"/>
    <w:rsid w:val="00B14AB6"/>
    <w:rsid w:val="00B14BD3"/>
    <w:rsid w:val="00B14C09"/>
    <w:rsid w:val="00B14C1B"/>
    <w:rsid w:val="00B14C5E"/>
    <w:rsid w:val="00B14D25"/>
    <w:rsid w:val="00B14DD9"/>
    <w:rsid w:val="00B14EB4"/>
    <w:rsid w:val="00B14F33"/>
    <w:rsid w:val="00B15172"/>
    <w:rsid w:val="00B15270"/>
    <w:rsid w:val="00B1536F"/>
    <w:rsid w:val="00B156F5"/>
    <w:rsid w:val="00B15799"/>
    <w:rsid w:val="00B1597C"/>
    <w:rsid w:val="00B15BFA"/>
    <w:rsid w:val="00B15E8C"/>
    <w:rsid w:val="00B15E8D"/>
    <w:rsid w:val="00B1622F"/>
    <w:rsid w:val="00B1653B"/>
    <w:rsid w:val="00B16546"/>
    <w:rsid w:val="00B1656C"/>
    <w:rsid w:val="00B1664D"/>
    <w:rsid w:val="00B166CE"/>
    <w:rsid w:val="00B166D4"/>
    <w:rsid w:val="00B167E3"/>
    <w:rsid w:val="00B169C0"/>
    <w:rsid w:val="00B169D1"/>
    <w:rsid w:val="00B16D68"/>
    <w:rsid w:val="00B17314"/>
    <w:rsid w:val="00B1739F"/>
    <w:rsid w:val="00B173D5"/>
    <w:rsid w:val="00B1745C"/>
    <w:rsid w:val="00B1758D"/>
    <w:rsid w:val="00B176A5"/>
    <w:rsid w:val="00B17780"/>
    <w:rsid w:val="00B17824"/>
    <w:rsid w:val="00B17839"/>
    <w:rsid w:val="00B1783D"/>
    <w:rsid w:val="00B1786C"/>
    <w:rsid w:val="00B17900"/>
    <w:rsid w:val="00B17912"/>
    <w:rsid w:val="00B179D5"/>
    <w:rsid w:val="00B17A69"/>
    <w:rsid w:val="00B17E2F"/>
    <w:rsid w:val="00B17E6D"/>
    <w:rsid w:val="00B17E82"/>
    <w:rsid w:val="00B17E9B"/>
    <w:rsid w:val="00B17F39"/>
    <w:rsid w:val="00B17F3C"/>
    <w:rsid w:val="00B2016C"/>
    <w:rsid w:val="00B201CD"/>
    <w:rsid w:val="00B2048B"/>
    <w:rsid w:val="00B20592"/>
    <w:rsid w:val="00B205B8"/>
    <w:rsid w:val="00B2064E"/>
    <w:rsid w:val="00B20736"/>
    <w:rsid w:val="00B207DF"/>
    <w:rsid w:val="00B208E0"/>
    <w:rsid w:val="00B20A07"/>
    <w:rsid w:val="00B20A0E"/>
    <w:rsid w:val="00B20C5D"/>
    <w:rsid w:val="00B20C90"/>
    <w:rsid w:val="00B20DCF"/>
    <w:rsid w:val="00B20E55"/>
    <w:rsid w:val="00B21049"/>
    <w:rsid w:val="00B211E7"/>
    <w:rsid w:val="00B21208"/>
    <w:rsid w:val="00B21246"/>
    <w:rsid w:val="00B21340"/>
    <w:rsid w:val="00B21588"/>
    <w:rsid w:val="00B215BC"/>
    <w:rsid w:val="00B216FC"/>
    <w:rsid w:val="00B21762"/>
    <w:rsid w:val="00B219B4"/>
    <w:rsid w:val="00B21ABB"/>
    <w:rsid w:val="00B21C97"/>
    <w:rsid w:val="00B21DEF"/>
    <w:rsid w:val="00B21E24"/>
    <w:rsid w:val="00B21FFF"/>
    <w:rsid w:val="00B2204B"/>
    <w:rsid w:val="00B22055"/>
    <w:rsid w:val="00B2211C"/>
    <w:rsid w:val="00B22201"/>
    <w:rsid w:val="00B22279"/>
    <w:rsid w:val="00B2235D"/>
    <w:rsid w:val="00B2254D"/>
    <w:rsid w:val="00B2257C"/>
    <w:rsid w:val="00B2281D"/>
    <w:rsid w:val="00B22870"/>
    <w:rsid w:val="00B22911"/>
    <w:rsid w:val="00B22CFC"/>
    <w:rsid w:val="00B22DB8"/>
    <w:rsid w:val="00B22DD6"/>
    <w:rsid w:val="00B22F21"/>
    <w:rsid w:val="00B23015"/>
    <w:rsid w:val="00B2308F"/>
    <w:rsid w:val="00B230EF"/>
    <w:rsid w:val="00B230FD"/>
    <w:rsid w:val="00B23114"/>
    <w:rsid w:val="00B23140"/>
    <w:rsid w:val="00B23179"/>
    <w:rsid w:val="00B231CD"/>
    <w:rsid w:val="00B23295"/>
    <w:rsid w:val="00B233B0"/>
    <w:rsid w:val="00B233CE"/>
    <w:rsid w:val="00B233FE"/>
    <w:rsid w:val="00B234C6"/>
    <w:rsid w:val="00B236C6"/>
    <w:rsid w:val="00B237DE"/>
    <w:rsid w:val="00B23850"/>
    <w:rsid w:val="00B238A4"/>
    <w:rsid w:val="00B239B7"/>
    <w:rsid w:val="00B23B29"/>
    <w:rsid w:val="00B23B47"/>
    <w:rsid w:val="00B23BF6"/>
    <w:rsid w:val="00B23C2D"/>
    <w:rsid w:val="00B23C81"/>
    <w:rsid w:val="00B23D2F"/>
    <w:rsid w:val="00B23D5D"/>
    <w:rsid w:val="00B23D6F"/>
    <w:rsid w:val="00B23DA7"/>
    <w:rsid w:val="00B23E08"/>
    <w:rsid w:val="00B23E6B"/>
    <w:rsid w:val="00B23F77"/>
    <w:rsid w:val="00B23FE2"/>
    <w:rsid w:val="00B241D7"/>
    <w:rsid w:val="00B24201"/>
    <w:rsid w:val="00B24235"/>
    <w:rsid w:val="00B2426F"/>
    <w:rsid w:val="00B24334"/>
    <w:rsid w:val="00B2433F"/>
    <w:rsid w:val="00B243A4"/>
    <w:rsid w:val="00B24432"/>
    <w:rsid w:val="00B24460"/>
    <w:rsid w:val="00B247A6"/>
    <w:rsid w:val="00B247CE"/>
    <w:rsid w:val="00B247E1"/>
    <w:rsid w:val="00B24815"/>
    <w:rsid w:val="00B24870"/>
    <w:rsid w:val="00B24929"/>
    <w:rsid w:val="00B24932"/>
    <w:rsid w:val="00B2496D"/>
    <w:rsid w:val="00B24A9C"/>
    <w:rsid w:val="00B24B12"/>
    <w:rsid w:val="00B24CB7"/>
    <w:rsid w:val="00B24FF2"/>
    <w:rsid w:val="00B25087"/>
    <w:rsid w:val="00B2532E"/>
    <w:rsid w:val="00B25406"/>
    <w:rsid w:val="00B25422"/>
    <w:rsid w:val="00B25430"/>
    <w:rsid w:val="00B25526"/>
    <w:rsid w:val="00B257E2"/>
    <w:rsid w:val="00B258E1"/>
    <w:rsid w:val="00B259F3"/>
    <w:rsid w:val="00B25ABB"/>
    <w:rsid w:val="00B25B6C"/>
    <w:rsid w:val="00B25BCB"/>
    <w:rsid w:val="00B25C96"/>
    <w:rsid w:val="00B25F49"/>
    <w:rsid w:val="00B25F50"/>
    <w:rsid w:val="00B2609E"/>
    <w:rsid w:val="00B26160"/>
    <w:rsid w:val="00B26273"/>
    <w:rsid w:val="00B264CD"/>
    <w:rsid w:val="00B264E4"/>
    <w:rsid w:val="00B2657E"/>
    <w:rsid w:val="00B266BE"/>
    <w:rsid w:val="00B26963"/>
    <w:rsid w:val="00B26A01"/>
    <w:rsid w:val="00B26B48"/>
    <w:rsid w:val="00B26BCD"/>
    <w:rsid w:val="00B26E03"/>
    <w:rsid w:val="00B26E13"/>
    <w:rsid w:val="00B26E80"/>
    <w:rsid w:val="00B2702D"/>
    <w:rsid w:val="00B275EC"/>
    <w:rsid w:val="00B27617"/>
    <w:rsid w:val="00B27821"/>
    <w:rsid w:val="00B27827"/>
    <w:rsid w:val="00B2794B"/>
    <w:rsid w:val="00B27B66"/>
    <w:rsid w:val="00B27B82"/>
    <w:rsid w:val="00B27D92"/>
    <w:rsid w:val="00B300E6"/>
    <w:rsid w:val="00B30146"/>
    <w:rsid w:val="00B3019C"/>
    <w:rsid w:val="00B301C6"/>
    <w:rsid w:val="00B30240"/>
    <w:rsid w:val="00B3037E"/>
    <w:rsid w:val="00B3045D"/>
    <w:rsid w:val="00B30495"/>
    <w:rsid w:val="00B305E6"/>
    <w:rsid w:val="00B306B5"/>
    <w:rsid w:val="00B306CC"/>
    <w:rsid w:val="00B30864"/>
    <w:rsid w:val="00B30CB7"/>
    <w:rsid w:val="00B30EC0"/>
    <w:rsid w:val="00B30F87"/>
    <w:rsid w:val="00B30FB9"/>
    <w:rsid w:val="00B30FE2"/>
    <w:rsid w:val="00B30FE4"/>
    <w:rsid w:val="00B3102C"/>
    <w:rsid w:val="00B310DF"/>
    <w:rsid w:val="00B31146"/>
    <w:rsid w:val="00B31187"/>
    <w:rsid w:val="00B31462"/>
    <w:rsid w:val="00B314C8"/>
    <w:rsid w:val="00B315E2"/>
    <w:rsid w:val="00B3161B"/>
    <w:rsid w:val="00B3171A"/>
    <w:rsid w:val="00B31731"/>
    <w:rsid w:val="00B3174D"/>
    <w:rsid w:val="00B319F7"/>
    <w:rsid w:val="00B31AD2"/>
    <w:rsid w:val="00B31DB1"/>
    <w:rsid w:val="00B31DD4"/>
    <w:rsid w:val="00B31F3B"/>
    <w:rsid w:val="00B320E3"/>
    <w:rsid w:val="00B3211C"/>
    <w:rsid w:val="00B324BE"/>
    <w:rsid w:val="00B326E8"/>
    <w:rsid w:val="00B327D2"/>
    <w:rsid w:val="00B328F4"/>
    <w:rsid w:val="00B32A79"/>
    <w:rsid w:val="00B32AC5"/>
    <w:rsid w:val="00B32AE9"/>
    <w:rsid w:val="00B32CB8"/>
    <w:rsid w:val="00B32FD0"/>
    <w:rsid w:val="00B33033"/>
    <w:rsid w:val="00B331B1"/>
    <w:rsid w:val="00B331FF"/>
    <w:rsid w:val="00B33427"/>
    <w:rsid w:val="00B33513"/>
    <w:rsid w:val="00B3362F"/>
    <w:rsid w:val="00B3364E"/>
    <w:rsid w:val="00B33B7F"/>
    <w:rsid w:val="00B33C4F"/>
    <w:rsid w:val="00B33F65"/>
    <w:rsid w:val="00B3402A"/>
    <w:rsid w:val="00B3408D"/>
    <w:rsid w:val="00B34233"/>
    <w:rsid w:val="00B3428A"/>
    <w:rsid w:val="00B342F8"/>
    <w:rsid w:val="00B343D1"/>
    <w:rsid w:val="00B34AF7"/>
    <w:rsid w:val="00B34CFD"/>
    <w:rsid w:val="00B34DE2"/>
    <w:rsid w:val="00B34E7A"/>
    <w:rsid w:val="00B350AA"/>
    <w:rsid w:val="00B3511D"/>
    <w:rsid w:val="00B35278"/>
    <w:rsid w:val="00B353F5"/>
    <w:rsid w:val="00B35411"/>
    <w:rsid w:val="00B3549C"/>
    <w:rsid w:val="00B357E9"/>
    <w:rsid w:val="00B358BF"/>
    <w:rsid w:val="00B35986"/>
    <w:rsid w:val="00B359F4"/>
    <w:rsid w:val="00B35BD0"/>
    <w:rsid w:val="00B35C69"/>
    <w:rsid w:val="00B35D60"/>
    <w:rsid w:val="00B35E39"/>
    <w:rsid w:val="00B35E4B"/>
    <w:rsid w:val="00B35F21"/>
    <w:rsid w:val="00B362DA"/>
    <w:rsid w:val="00B36361"/>
    <w:rsid w:val="00B363EA"/>
    <w:rsid w:val="00B363F5"/>
    <w:rsid w:val="00B366F3"/>
    <w:rsid w:val="00B36730"/>
    <w:rsid w:val="00B3675F"/>
    <w:rsid w:val="00B367B5"/>
    <w:rsid w:val="00B367D2"/>
    <w:rsid w:val="00B36815"/>
    <w:rsid w:val="00B36A5B"/>
    <w:rsid w:val="00B36B28"/>
    <w:rsid w:val="00B36C5F"/>
    <w:rsid w:val="00B36D3B"/>
    <w:rsid w:val="00B36DB5"/>
    <w:rsid w:val="00B36DC4"/>
    <w:rsid w:val="00B36E61"/>
    <w:rsid w:val="00B36E66"/>
    <w:rsid w:val="00B371E7"/>
    <w:rsid w:val="00B37238"/>
    <w:rsid w:val="00B37239"/>
    <w:rsid w:val="00B37278"/>
    <w:rsid w:val="00B377AD"/>
    <w:rsid w:val="00B37803"/>
    <w:rsid w:val="00B378A1"/>
    <w:rsid w:val="00B37971"/>
    <w:rsid w:val="00B379C7"/>
    <w:rsid w:val="00B37AB7"/>
    <w:rsid w:val="00B37B57"/>
    <w:rsid w:val="00B37ED8"/>
    <w:rsid w:val="00B37FC0"/>
    <w:rsid w:val="00B40048"/>
    <w:rsid w:val="00B4006F"/>
    <w:rsid w:val="00B400D5"/>
    <w:rsid w:val="00B40154"/>
    <w:rsid w:val="00B40359"/>
    <w:rsid w:val="00B403A6"/>
    <w:rsid w:val="00B40433"/>
    <w:rsid w:val="00B4049A"/>
    <w:rsid w:val="00B40894"/>
    <w:rsid w:val="00B40B13"/>
    <w:rsid w:val="00B40BAF"/>
    <w:rsid w:val="00B40D3E"/>
    <w:rsid w:val="00B40E75"/>
    <w:rsid w:val="00B40F90"/>
    <w:rsid w:val="00B40FD9"/>
    <w:rsid w:val="00B41034"/>
    <w:rsid w:val="00B41175"/>
    <w:rsid w:val="00B411D1"/>
    <w:rsid w:val="00B4124E"/>
    <w:rsid w:val="00B41267"/>
    <w:rsid w:val="00B413CA"/>
    <w:rsid w:val="00B4141B"/>
    <w:rsid w:val="00B414A6"/>
    <w:rsid w:val="00B41540"/>
    <w:rsid w:val="00B416BF"/>
    <w:rsid w:val="00B416C3"/>
    <w:rsid w:val="00B417AB"/>
    <w:rsid w:val="00B4186B"/>
    <w:rsid w:val="00B419DF"/>
    <w:rsid w:val="00B41ABE"/>
    <w:rsid w:val="00B41CFF"/>
    <w:rsid w:val="00B41DCE"/>
    <w:rsid w:val="00B41DEE"/>
    <w:rsid w:val="00B41E56"/>
    <w:rsid w:val="00B41F03"/>
    <w:rsid w:val="00B41F57"/>
    <w:rsid w:val="00B4212F"/>
    <w:rsid w:val="00B422A0"/>
    <w:rsid w:val="00B42406"/>
    <w:rsid w:val="00B4258B"/>
    <w:rsid w:val="00B42682"/>
    <w:rsid w:val="00B426D0"/>
    <w:rsid w:val="00B426D6"/>
    <w:rsid w:val="00B42728"/>
    <w:rsid w:val="00B4275C"/>
    <w:rsid w:val="00B42889"/>
    <w:rsid w:val="00B42923"/>
    <w:rsid w:val="00B42947"/>
    <w:rsid w:val="00B42A2D"/>
    <w:rsid w:val="00B42A9A"/>
    <w:rsid w:val="00B42ACF"/>
    <w:rsid w:val="00B42C02"/>
    <w:rsid w:val="00B42C1F"/>
    <w:rsid w:val="00B42E66"/>
    <w:rsid w:val="00B42F36"/>
    <w:rsid w:val="00B42F54"/>
    <w:rsid w:val="00B4300B"/>
    <w:rsid w:val="00B4307C"/>
    <w:rsid w:val="00B43082"/>
    <w:rsid w:val="00B43093"/>
    <w:rsid w:val="00B43165"/>
    <w:rsid w:val="00B432E1"/>
    <w:rsid w:val="00B43553"/>
    <w:rsid w:val="00B43691"/>
    <w:rsid w:val="00B436B2"/>
    <w:rsid w:val="00B43894"/>
    <w:rsid w:val="00B4389E"/>
    <w:rsid w:val="00B43A0B"/>
    <w:rsid w:val="00B43A6D"/>
    <w:rsid w:val="00B43ABB"/>
    <w:rsid w:val="00B43CC9"/>
    <w:rsid w:val="00B43E67"/>
    <w:rsid w:val="00B43FDC"/>
    <w:rsid w:val="00B440D1"/>
    <w:rsid w:val="00B4433C"/>
    <w:rsid w:val="00B44447"/>
    <w:rsid w:val="00B446E1"/>
    <w:rsid w:val="00B448F4"/>
    <w:rsid w:val="00B4493E"/>
    <w:rsid w:val="00B44A84"/>
    <w:rsid w:val="00B44AB6"/>
    <w:rsid w:val="00B44B51"/>
    <w:rsid w:val="00B44B8F"/>
    <w:rsid w:val="00B44E8B"/>
    <w:rsid w:val="00B45015"/>
    <w:rsid w:val="00B450F7"/>
    <w:rsid w:val="00B45170"/>
    <w:rsid w:val="00B45309"/>
    <w:rsid w:val="00B4535C"/>
    <w:rsid w:val="00B45445"/>
    <w:rsid w:val="00B456CA"/>
    <w:rsid w:val="00B457C3"/>
    <w:rsid w:val="00B45896"/>
    <w:rsid w:val="00B458B5"/>
    <w:rsid w:val="00B45B51"/>
    <w:rsid w:val="00B45B8F"/>
    <w:rsid w:val="00B45C0F"/>
    <w:rsid w:val="00B45CAB"/>
    <w:rsid w:val="00B45CD3"/>
    <w:rsid w:val="00B45CFE"/>
    <w:rsid w:val="00B45D8E"/>
    <w:rsid w:val="00B45E3C"/>
    <w:rsid w:val="00B45E98"/>
    <w:rsid w:val="00B45F1A"/>
    <w:rsid w:val="00B461CE"/>
    <w:rsid w:val="00B461D0"/>
    <w:rsid w:val="00B46305"/>
    <w:rsid w:val="00B46343"/>
    <w:rsid w:val="00B463BA"/>
    <w:rsid w:val="00B4664B"/>
    <w:rsid w:val="00B4666A"/>
    <w:rsid w:val="00B467CE"/>
    <w:rsid w:val="00B4684B"/>
    <w:rsid w:val="00B468AD"/>
    <w:rsid w:val="00B468BA"/>
    <w:rsid w:val="00B46974"/>
    <w:rsid w:val="00B46AC6"/>
    <w:rsid w:val="00B46C70"/>
    <w:rsid w:val="00B46D2C"/>
    <w:rsid w:val="00B46DE8"/>
    <w:rsid w:val="00B46EEE"/>
    <w:rsid w:val="00B4718A"/>
    <w:rsid w:val="00B47329"/>
    <w:rsid w:val="00B47335"/>
    <w:rsid w:val="00B473BE"/>
    <w:rsid w:val="00B4743E"/>
    <w:rsid w:val="00B47469"/>
    <w:rsid w:val="00B47470"/>
    <w:rsid w:val="00B474C0"/>
    <w:rsid w:val="00B474E1"/>
    <w:rsid w:val="00B475CD"/>
    <w:rsid w:val="00B47C0D"/>
    <w:rsid w:val="00B47C5A"/>
    <w:rsid w:val="00B47D8F"/>
    <w:rsid w:val="00B47DD4"/>
    <w:rsid w:val="00B5001F"/>
    <w:rsid w:val="00B50155"/>
    <w:rsid w:val="00B501F9"/>
    <w:rsid w:val="00B5021E"/>
    <w:rsid w:val="00B5064B"/>
    <w:rsid w:val="00B5066D"/>
    <w:rsid w:val="00B50711"/>
    <w:rsid w:val="00B50A0D"/>
    <w:rsid w:val="00B50B22"/>
    <w:rsid w:val="00B50F20"/>
    <w:rsid w:val="00B51256"/>
    <w:rsid w:val="00B51305"/>
    <w:rsid w:val="00B5155A"/>
    <w:rsid w:val="00B5163B"/>
    <w:rsid w:val="00B51750"/>
    <w:rsid w:val="00B51766"/>
    <w:rsid w:val="00B517A7"/>
    <w:rsid w:val="00B51A02"/>
    <w:rsid w:val="00B51A96"/>
    <w:rsid w:val="00B51ACF"/>
    <w:rsid w:val="00B51D79"/>
    <w:rsid w:val="00B51EF9"/>
    <w:rsid w:val="00B5200E"/>
    <w:rsid w:val="00B522A3"/>
    <w:rsid w:val="00B522C3"/>
    <w:rsid w:val="00B523AE"/>
    <w:rsid w:val="00B524BA"/>
    <w:rsid w:val="00B52560"/>
    <w:rsid w:val="00B52766"/>
    <w:rsid w:val="00B527CB"/>
    <w:rsid w:val="00B527F2"/>
    <w:rsid w:val="00B52959"/>
    <w:rsid w:val="00B52A31"/>
    <w:rsid w:val="00B52B5F"/>
    <w:rsid w:val="00B52BD5"/>
    <w:rsid w:val="00B52C10"/>
    <w:rsid w:val="00B52CB9"/>
    <w:rsid w:val="00B52D06"/>
    <w:rsid w:val="00B52DFD"/>
    <w:rsid w:val="00B52E74"/>
    <w:rsid w:val="00B52F81"/>
    <w:rsid w:val="00B52FA3"/>
    <w:rsid w:val="00B52FD9"/>
    <w:rsid w:val="00B53022"/>
    <w:rsid w:val="00B53105"/>
    <w:rsid w:val="00B53304"/>
    <w:rsid w:val="00B53328"/>
    <w:rsid w:val="00B53374"/>
    <w:rsid w:val="00B534CD"/>
    <w:rsid w:val="00B534DF"/>
    <w:rsid w:val="00B535B8"/>
    <w:rsid w:val="00B5372E"/>
    <w:rsid w:val="00B539EA"/>
    <w:rsid w:val="00B53A9A"/>
    <w:rsid w:val="00B53C97"/>
    <w:rsid w:val="00B53CA1"/>
    <w:rsid w:val="00B53CE8"/>
    <w:rsid w:val="00B53EE6"/>
    <w:rsid w:val="00B53F1B"/>
    <w:rsid w:val="00B53F51"/>
    <w:rsid w:val="00B541C5"/>
    <w:rsid w:val="00B54381"/>
    <w:rsid w:val="00B544AC"/>
    <w:rsid w:val="00B547CB"/>
    <w:rsid w:val="00B54996"/>
    <w:rsid w:val="00B54B35"/>
    <w:rsid w:val="00B54C58"/>
    <w:rsid w:val="00B54CC3"/>
    <w:rsid w:val="00B54E06"/>
    <w:rsid w:val="00B54EBD"/>
    <w:rsid w:val="00B55014"/>
    <w:rsid w:val="00B5503A"/>
    <w:rsid w:val="00B550AC"/>
    <w:rsid w:val="00B5511B"/>
    <w:rsid w:val="00B55125"/>
    <w:rsid w:val="00B5522C"/>
    <w:rsid w:val="00B553BE"/>
    <w:rsid w:val="00B553FD"/>
    <w:rsid w:val="00B55821"/>
    <w:rsid w:val="00B558B5"/>
    <w:rsid w:val="00B558E8"/>
    <w:rsid w:val="00B558EF"/>
    <w:rsid w:val="00B55994"/>
    <w:rsid w:val="00B5599A"/>
    <w:rsid w:val="00B55A75"/>
    <w:rsid w:val="00B55D6E"/>
    <w:rsid w:val="00B55E7E"/>
    <w:rsid w:val="00B55ECB"/>
    <w:rsid w:val="00B55F66"/>
    <w:rsid w:val="00B56069"/>
    <w:rsid w:val="00B560FD"/>
    <w:rsid w:val="00B56505"/>
    <w:rsid w:val="00B565B7"/>
    <w:rsid w:val="00B565F6"/>
    <w:rsid w:val="00B5669F"/>
    <w:rsid w:val="00B568CE"/>
    <w:rsid w:val="00B56908"/>
    <w:rsid w:val="00B569B0"/>
    <w:rsid w:val="00B56A17"/>
    <w:rsid w:val="00B56C73"/>
    <w:rsid w:val="00B56C8C"/>
    <w:rsid w:val="00B56DB2"/>
    <w:rsid w:val="00B56EC8"/>
    <w:rsid w:val="00B5727C"/>
    <w:rsid w:val="00B572A4"/>
    <w:rsid w:val="00B57392"/>
    <w:rsid w:val="00B575A1"/>
    <w:rsid w:val="00B57660"/>
    <w:rsid w:val="00B57680"/>
    <w:rsid w:val="00B577E7"/>
    <w:rsid w:val="00B57868"/>
    <w:rsid w:val="00B57893"/>
    <w:rsid w:val="00B57BB0"/>
    <w:rsid w:val="00B57D4C"/>
    <w:rsid w:val="00B57EF9"/>
    <w:rsid w:val="00B57FA4"/>
    <w:rsid w:val="00B601AD"/>
    <w:rsid w:val="00B60227"/>
    <w:rsid w:val="00B60308"/>
    <w:rsid w:val="00B6035A"/>
    <w:rsid w:val="00B607B8"/>
    <w:rsid w:val="00B608D6"/>
    <w:rsid w:val="00B608E4"/>
    <w:rsid w:val="00B609F9"/>
    <w:rsid w:val="00B60A82"/>
    <w:rsid w:val="00B60ADB"/>
    <w:rsid w:val="00B60AFA"/>
    <w:rsid w:val="00B60CA8"/>
    <w:rsid w:val="00B60CFC"/>
    <w:rsid w:val="00B60F55"/>
    <w:rsid w:val="00B61130"/>
    <w:rsid w:val="00B61136"/>
    <w:rsid w:val="00B6139D"/>
    <w:rsid w:val="00B613ED"/>
    <w:rsid w:val="00B614CE"/>
    <w:rsid w:val="00B6151D"/>
    <w:rsid w:val="00B6152C"/>
    <w:rsid w:val="00B6157C"/>
    <w:rsid w:val="00B61634"/>
    <w:rsid w:val="00B61840"/>
    <w:rsid w:val="00B61912"/>
    <w:rsid w:val="00B61AEE"/>
    <w:rsid w:val="00B61D5A"/>
    <w:rsid w:val="00B61EEF"/>
    <w:rsid w:val="00B62057"/>
    <w:rsid w:val="00B6234F"/>
    <w:rsid w:val="00B62859"/>
    <w:rsid w:val="00B628E9"/>
    <w:rsid w:val="00B62A58"/>
    <w:rsid w:val="00B62D90"/>
    <w:rsid w:val="00B62EC9"/>
    <w:rsid w:val="00B6307A"/>
    <w:rsid w:val="00B63140"/>
    <w:rsid w:val="00B63250"/>
    <w:rsid w:val="00B63299"/>
    <w:rsid w:val="00B6329A"/>
    <w:rsid w:val="00B6333C"/>
    <w:rsid w:val="00B634A7"/>
    <w:rsid w:val="00B6360B"/>
    <w:rsid w:val="00B6371A"/>
    <w:rsid w:val="00B63AF3"/>
    <w:rsid w:val="00B63B6B"/>
    <w:rsid w:val="00B63B6C"/>
    <w:rsid w:val="00B63C1B"/>
    <w:rsid w:val="00B63EF3"/>
    <w:rsid w:val="00B63F91"/>
    <w:rsid w:val="00B6414F"/>
    <w:rsid w:val="00B6416D"/>
    <w:rsid w:val="00B641EE"/>
    <w:rsid w:val="00B6429F"/>
    <w:rsid w:val="00B64301"/>
    <w:rsid w:val="00B64312"/>
    <w:rsid w:val="00B643FE"/>
    <w:rsid w:val="00B6455E"/>
    <w:rsid w:val="00B64639"/>
    <w:rsid w:val="00B646D3"/>
    <w:rsid w:val="00B647A7"/>
    <w:rsid w:val="00B64897"/>
    <w:rsid w:val="00B6491A"/>
    <w:rsid w:val="00B64AC6"/>
    <w:rsid w:val="00B64B18"/>
    <w:rsid w:val="00B64B67"/>
    <w:rsid w:val="00B64BFA"/>
    <w:rsid w:val="00B64C42"/>
    <w:rsid w:val="00B64DEE"/>
    <w:rsid w:val="00B64E57"/>
    <w:rsid w:val="00B64E84"/>
    <w:rsid w:val="00B64FE8"/>
    <w:rsid w:val="00B6500E"/>
    <w:rsid w:val="00B65043"/>
    <w:rsid w:val="00B657F5"/>
    <w:rsid w:val="00B65834"/>
    <w:rsid w:val="00B65844"/>
    <w:rsid w:val="00B65961"/>
    <w:rsid w:val="00B659B2"/>
    <w:rsid w:val="00B659F7"/>
    <w:rsid w:val="00B65D64"/>
    <w:rsid w:val="00B66149"/>
    <w:rsid w:val="00B66288"/>
    <w:rsid w:val="00B66399"/>
    <w:rsid w:val="00B66450"/>
    <w:rsid w:val="00B66559"/>
    <w:rsid w:val="00B666DD"/>
    <w:rsid w:val="00B66723"/>
    <w:rsid w:val="00B6673F"/>
    <w:rsid w:val="00B66751"/>
    <w:rsid w:val="00B667A8"/>
    <w:rsid w:val="00B66A60"/>
    <w:rsid w:val="00B66AED"/>
    <w:rsid w:val="00B66B0D"/>
    <w:rsid w:val="00B66BCD"/>
    <w:rsid w:val="00B66E22"/>
    <w:rsid w:val="00B66E9E"/>
    <w:rsid w:val="00B66FE9"/>
    <w:rsid w:val="00B67023"/>
    <w:rsid w:val="00B671B9"/>
    <w:rsid w:val="00B67537"/>
    <w:rsid w:val="00B675A2"/>
    <w:rsid w:val="00B675DD"/>
    <w:rsid w:val="00B678EE"/>
    <w:rsid w:val="00B679C4"/>
    <w:rsid w:val="00B67AC5"/>
    <w:rsid w:val="00B67AE1"/>
    <w:rsid w:val="00B67B82"/>
    <w:rsid w:val="00B67D63"/>
    <w:rsid w:val="00B67EB4"/>
    <w:rsid w:val="00B67F11"/>
    <w:rsid w:val="00B67F25"/>
    <w:rsid w:val="00B67F3C"/>
    <w:rsid w:val="00B701C5"/>
    <w:rsid w:val="00B7053C"/>
    <w:rsid w:val="00B70656"/>
    <w:rsid w:val="00B70694"/>
    <w:rsid w:val="00B70942"/>
    <w:rsid w:val="00B70B64"/>
    <w:rsid w:val="00B70D13"/>
    <w:rsid w:val="00B70E2A"/>
    <w:rsid w:val="00B70F60"/>
    <w:rsid w:val="00B70FFF"/>
    <w:rsid w:val="00B71121"/>
    <w:rsid w:val="00B7115D"/>
    <w:rsid w:val="00B711AF"/>
    <w:rsid w:val="00B712A6"/>
    <w:rsid w:val="00B71319"/>
    <w:rsid w:val="00B714EF"/>
    <w:rsid w:val="00B7160C"/>
    <w:rsid w:val="00B71721"/>
    <w:rsid w:val="00B718D3"/>
    <w:rsid w:val="00B718F7"/>
    <w:rsid w:val="00B71A4A"/>
    <w:rsid w:val="00B71A94"/>
    <w:rsid w:val="00B71C0B"/>
    <w:rsid w:val="00B71EE6"/>
    <w:rsid w:val="00B71FB3"/>
    <w:rsid w:val="00B71FDD"/>
    <w:rsid w:val="00B72087"/>
    <w:rsid w:val="00B721C5"/>
    <w:rsid w:val="00B72256"/>
    <w:rsid w:val="00B72764"/>
    <w:rsid w:val="00B72932"/>
    <w:rsid w:val="00B729AF"/>
    <w:rsid w:val="00B72A00"/>
    <w:rsid w:val="00B72B86"/>
    <w:rsid w:val="00B72BA7"/>
    <w:rsid w:val="00B72C56"/>
    <w:rsid w:val="00B72DFE"/>
    <w:rsid w:val="00B731DA"/>
    <w:rsid w:val="00B732B7"/>
    <w:rsid w:val="00B733D4"/>
    <w:rsid w:val="00B7341A"/>
    <w:rsid w:val="00B7369D"/>
    <w:rsid w:val="00B737E2"/>
    <w:rsid w:val="00B73826"/>
    <w:rsid w:val="00B73B79"/>
    <w:rsid w:val="00B73B97"/>
    <w:rsid w:val="00B73B9D"/>
    <w:rsid w:val="00B73BAB"/>
    <w:rsid w:val="00B73BFC"/>
    <w:rsid w:val="00B73D4C"/>
    <w:rsid w:val="00B73E4A"/>
    <w:rsid w:val="00B73EDB"/>
    <w:rsid w:val="00B73F3A"/>
    <w:rsid w:val="00B74008"/>
    <w:rsid w:val="00B740DC"/>
    <w:rsid w:val="00B741A2"/>
    <w:rsid w:val="00B74217"/>
    <w:rsid w:val="00B74240"/>
    <w:rsid w:val="00B743B6"/>
    <w:rsid w:val="00B74542"/>
    <w:rsid w:val="00B747E8"/>
    <w:rsid w:val="00B74835"/>
    <w:rsid w:val="00B74A3A"/>
    <w:rsid w:val="00B74B69"/>
    <w:rsid w:val="00B74BAD"/>
    <w:rsid w:val="00B74C6C"/>
    <w:rsid w:val="00B74EAF"/>
    <w:rsid w:val="00B75194"/>
    <w:rsid w:val="00B75223"/>
    <w:rsid w:val="00B7528A"/>
    <w:rsid w:val="00B75356"/>
    <w:rsid w:val="00B753BD"/>
    <w:rsid w:val="00B755C9"/>
    <w:rsid w:val="00B7569C"/>
    <w:rsid w:val="00B75737"/>
    <w:rsid w:val="00B7581E"/>
    <w:rsid w:val="00B758EB"/>
    <w:rsid w:val="00B75904"/>
    <w:rsid w:val="00B759DA"/>
    <w:rsid w:val="00B759E0"/>
    <w:rsid w:val="00B75B6B"/>
    <w:rsid w:val="00B75B90"/>
    <w:rsid w:val="00B75B9E"/>
    <w:rsid w:val="00B75D5B"/>
    <w:rsid w:val="00B75F1E"/>
    <w:rsid w:val="00B75FD2"/>
    <w:rsid w:val="00B7601A"/>
    <w:rsid w:val="00B760A0"/>
    <w:rsid w:val="00B7619F"/>
    <w:rsid w:val="00B7625D"/>
    <w:rsid w:val="00B76315"/>
    <w:rsid w:val="00B763B6"/>
    <w:rsid w:val="00B763ED"/>
    <w:rsid w:val="00B76602"/>
    <w:rsid w:val="00B76BF8"/>
    <w:rsid w:val="00B76CAB"/>
    <w:rsid w:val="00B76E80"/>
    <w:rsid w:val="00B76F4D"/>
    <w:rsid w:val="00B770E7"/>
    <w:rsid w:val="00B7710D"/>
    <w:rsid w:val="00B7711C"/>
    <w:rsid w:val="00B77162"/>
    <w:rsid w:val="00B7760D"/>
    <w:rsid w:val="00B776FC"/>
    <w:rsid w:val="00B77A90"/>
    <w:rsid w:val="00B77ABC"/>
    <w:rsid w:val="00B77B10"/>
    <w:rsid w:val="00B77E8E"/>
    <w:rsid w:val="00B77EBC"/>
    <w:rsid w:val="00B77F34"/>
    <w:rsid w:val="00B77F5B"/>
    <w:rsid w:val="00B800BA"/>
    <w:rsid w:val="00B80415"/>
    <w:rsid w:val="00B806D3"/>
    <w:rsid w:val="00B8083D"/>
    <w:rsid w:val="00B8085B"/>
    <w:rsid w:val="00B809A0"/>
    <w:rsid w:val="00B80B8C"/>
    <w:rsid w:val="00B80BDE"/>
    <w:rsid w:val="00B80D3C"/>
    <w:rsid w:val="00B80E39"/>
    <w:rsid w:val="00B80E7B"/>
    <w:rsid w:val="00B80F72"/>
    <w:rsid w:val="00B80FD7"/>
    <w:rsid w:val="00B8120D"/>
    <w:rsid w:val="00B81212"/>
    <w:rsid w:val="00B8128A"/>
    <w:rsid w:val="00B81357"/>
    <w:rsid w:val="00B81424"/>
    <w:rsid w:val="00B8149A"/>
    <w:rsid w:val="00B816EB"/>
    <w:rsid w:val="00B81989"/>
    <w:rsid w:val="00B819DD"/>
    <w:rsid w:val="00B81D26"/>
    <w:rsid w:val="00B81D29"/>
    <w:rsid w:val="00B822B6"/>
    <w:rsid w:val="00B822ED"/>
    <w:rsid w:val="00B82362"/>
    <w:rsid w:val="00B82366"/>
    <w:rsid w:val="00B82721"/>
    <w:rsid w:val="00B82901"/>
    <w:rsid w:val="00B82A6F"/>
    <w:rsid w:val="00B8303A"/>
    <w:rsid w:val="00B83095"/>
    <w:rsid w:val="00B8329B"/>
    <w:rsid w:val="00B834BC"/>
    <w:rsid w:val="00B834CD"/>
    <w:rsid w:val="00B83514"/>
    <w:rsid w:val="00B838B7"/>
    <w:rsid w:val="00B83957"/>
    <w:rsid w:val="00B83A62"/>
    <w:rsid w:val="00B83DB1"/>
    <w:rsid w:val="00B83F79"/>
    <w:rsid w:val="00B83FA5"/>
    <w:rsid w:val="00B84059"/>
    <w:rsid w:val="00B8407E"/>
    <w:rsid w:val="00B840AC"/>
    <w:rsid w:val="00B8410B"/>
    <w:rsid w:val="00B84134"/>
    <w:rsid w:val="00B84357"/>
    <w:rsid w:val="00B8443F"/>
    <w:rsid w:val="00B847AF"/>
    <w:rsid w:val="00B847E6"/>
    <w:rsid w:val="00B8489B"/>
    <w:rsid w:val="00B848E5"/>
    <w:rsid w:val="00B84942"/>
    <w:rsid w:val="00B849C5"/>
    <w:rsid w:val="00B84A0C"/>
    <w:rsid w:val="00B84A8D"/>
    <w:rsid w:val="00B84BC9"/>
    <w:rsid w:val="00B84C60"/>
    <w:rsid w:val="00B84C80"/>
    <w:rsid w:val="00B84CEB"/>
    <w:rsid w:val="00B84D5E"/>
    <w:rsid w:val="00B84DE5"/>
    <w:rsid w:val="00B8504E"/>
    <w:rsid w:val="00B850AE"/>
    <w:rsid w:val="00B851AF"/>
    <w:rsid w:val="00B852C0"/>
    <w:rsid w:val="00B8551B"/>
    <w:rsid w:val="00B855AF"/>
    <w:rsid w:val="00B85797"/>
    <w:rsid w:val="00B858A9"/>
    <w:rsid w:val="00B858AC"/>
    <w:rsid w:val="00B858B3"/>
    <w:rsid w:val="00B85923"/>
    <w:rsid w:val="00B85939"/>
    <w:rsid w:val="00B85C06"/>
    <w:rsid w:val="00B85D6C"/>
    <w:rsid w:val="00B85E98"/>
    <w:rsid w:val="00B85ED2"/>
    <w:rsid w:val="00B85FC8"/>
    <w:rsid w:val="00B860BE"/>
    <w:rsid w:val="00B8622B"/>
    <w:rsid w:val="00B86515"/>
    <w:rsid w:val="00B8652D"/>
    <w:rsid w:val="00B866C7"/>
    <w:rsid w:val="00B8673A"/>
    <w:rsid w:val="00B86741"/>
    <w:rsid w:val="00B86A18"/>
    <w:rsid w:val="00B86A91"/>
    <w:rsid w:val="00B872A3"/>
    <w:rsid w:val="00B87324"/>
    <w:rsid w:val="00B873B3"/>
    <w:rsid w:val="00B87403"/>
    <w:rsid w:val="00B8754E"/>
    <w:rsid w:val="00B8776A"/>
    <w:rsid w:val="00B8782C"/>
    <w:rsid w:val="00B87CD3"/>
    <w:rsid w:val="00B87DB7"/>
    <w:rsid w:val="00B87E13"/>
    <w:rsid w:val="00B87F5F"/>
    <w:rsid w:val="00B90022"/>
    <w:rsid w:val="00B901C0"/>
    <w:rsid w:val="00B90317"/>
    <w:rsid w:val="00B90424"/>
    <w:rsid w:val="00B9046C"/>
    <w:rsid w:val="00B90567"/>
    <w:rsid w:val="00B9057E"/>
    <w:rsid w:val="00B905FB"/>
    <w:rsid w:val="00B906FA"/>
    <w:rsid w:val="00B9073C"/>
    <w:rsid w:val="00B909C1"/>
    <w:rsid w:val="00B90B24"/>
    <w:rsid w:val="00B90BE2"/>
    <w:rsid w:val="00B90D70"/>
    <w:rsid w:val="00B90E46"/>
    <w:rsid w:val="00B90ED6"/>
    <w:rsid w:val="00B910BD"/>
    <w:rsid w:val="00B910E2"/>
    <w:rsid w:val="00B912AB"/>
    <w:rsid w:val="00B91377"/>
    <w:rsid w:val="00B9148D"/>
    <w:rsid w:val="00B91512"/>
    <w:rsid w:val="00B91674"/>
    <w:rsid w:val="00B917D8"/>
    <w:rsid w:val="00B91812"/>
    <w:rsid w:val="00B91823"/>
    <w:rsid w:val="00B91983"/>
    <w:rsid w:val="00B919AF"/>
    <w:rsid w:val="00B919E0"/>
    <w:rsid w:val="00B91A13"/>
    <w:rsid w:val="00B91A1E"/>
    <w:rsid w:val="00B91B70"/>
    <w:rsid w:val="00B91BDE"/>
    <w:rsid w:val="00B91BEC"/>
    <w:rsid w:val="00B91C68"/>
    <w:rsid w:val="00B91D0C"/>
    <w:rsid w:val="00B91D0E"/>
    <w:rsid w:val="00B91DEA"/>
    <w:rsid w:val="00B91F60"/>
    <w:rsid w:val="00B91FD9"/>
    <w:rsid w:val="00B92007"/>
    <w:rsid w:val="00B92284"/>
    <w:rsid w:val="00B922B9"/>
    <w:rsid w:val="00B922CD"/>
    <w:rsid w:val="00B92305"/>
    <w:rsid w:val="00B924EF"/>
    <w:rsid w:val="00B9256A"/>
    <w:rsid w:val="00B925AC"/>
    <w:rsid w:val="00B92750"/>
    <w:rsid w:val="00B927B9"/>
    <w:rsid w:val="00B928D8"/>
    <w:rsid w:val="00B929FA"/>
    <w:rsid w:val="00B92A49"/>
    <w:rsid w:val="00B92C03"/>
    <w:rsid w:val="00B92C13"/>
    <w:rsid w:val="00B92D6F"/>
    <w:rsid w:val="00B92DDE"/>
    <w:rsid w:val="00B92F2B"/>
    <w:rsid w:val="00B92FC8"/>
    <w:rsid w:val="00B9322F"/>
    <w:rsid w:val="00B93253"/>
    <w:rsid w:val="00B9326B"/>
    <w:rsid w:val="00B93619"/>
    <w:rsid w:val="00B936BB"/>
    <w:rsid w:val="00B939C8"/>
    <w:rsid w:val="00B93A0D"/>
    <w:rsid w:val="00B93ACA"/>
    <w:rsid w:val="00B93B25"/>
    <w:rsid w:val="00B93DAF"/>
    <w:rsid w:val="00B9413A"/>
    <w:rsid w:val="00B94142"/>
    <w:rsid w:val="00B94224"/>
    <w:rsid w:val="00B94397"/>
    <w:rsid w:val="00B945FF"/>
    <w:rsid w:val="00B9461A"/>
    <w:rsid w:val="00B9463A"/>
    <w:rsid w:val="00B946E9"/>
    <w:rsid w:val="00B94706"/>
    <w:rsid w:val="00B94774"/>
    <w:rsid w:val="00B9495E"/>
    <w:rsid w:val="00B949D7"/>
    <w:rsid w:val="00B94A6E"/>
    <w:rsid w:val="00B94B11"/>
    <w:rsid w:val="00B94CFB"/>
    <w:rsid w:val="00B94E2F"/>
    <w:rsid w:val="00B95039"/>
    <w:rsid w:val="00B95056"/>
    <w:rsid w:val="00B9506F"/>
    <w:rsid w:val="00B95132"/>
    <w:rsid w:val="00B952D1"/>
    <w:rsid w:val="00B95396"/>
    <w:rsid w:val="00B954C4"/>
    <w:rsid w:val="00B954CD"/>
    <w:rsid w:val="00B95561"/>
    <w:rsid w:val="00B955B8"/>
    <w:rsid w:val="00B95628"/>
    <w:rsid w:val="00B95C0A"/>
    <w:rsid w:val="00B95D8D"/>
    <w:rsid w:val="00B95DC3"/>
    <w:rsid w:val="00B95E0A"/>
    <w:rsid w:val="00B95F1C"/>
    <w:rsid w:val="00B95FC4"/>
    <w:rsid w:val="00B9627A"/>
    <w:rsid w:val="00B9633D"/>
    <w:rsid w:val="00B963DA"/>
    <w:rsid w:val="00B964BD"/>
    <w:rsid w:val="00B965AB"/>
    <w:rsid w:val="00B9675F"/>
    <w:rsid w:val="00B96920"/>
    <w:rsid w:val="00B96A47"/>
    <w:rsid w:val="00B96C92"/>
    <w:rsid w:val="00B96E76"/>
    <w:rsid w:val="00B96E9F"/>
    <w:rsid w:val="00B96EA3"/>
    <w:rsid w:val="00B96F64"/>
    <w:rsid w:val="00B96FE9"/>
    <w:rsid w:val="00B97021"/>
    <w:rsid w:val="00B97219"/>
    <w:rsid w:val="00B9722E"/>
    <w:rsid w:val="00B97603"/>
    <w:rsid w:val="00B97655"/>
    <w:rsid w:val="00B97722"/>
    <w:rsid w:val="00B97739"/>
    <w:rsid w:val="00B97854"/>
    <w:rsid w:val="00B97926"/>
    <w:rsid w:val="00B97AEA"/>
    <w:rsid w:val="00B97B84"/>
    <w:rsid w:val="00B97BC3"/>
    <w:rsid w:val="00B97DA5"/>
    <w:rsid w:val="00B97E3B"/>
    <w:rsid w:val="00B97E40"/>
    <w:rsid w:val="00B97EAB"/>
    <w:rsid w:val="00BA0160"/>
    <w:rsid w:val="00BA020E"/>
    <w:rsid w:val="00BA0293"/>
    <w:rsid w:val="00BA0370"/>
    <w:rsid w:val="00BA04A9"/>
    <w:rsid w:val="00BA0668"/>
    <w:rsid w:val="00BA066A"/>
    <w:rsid w:val="00BA0746"/>
    <w:rsid w:val="00BA085A"/>
    <w:rsid w:val="00BA08ED"/>
    <w:rsid w:val="00BA0988"/>
    <w:rsid w:val="00BA09CC"/>
    <w:rsid w:val="00BA0BC1"/>
    <w:rsid w:val="00BA0BEC"/>
    <w:rsid w:val="00BA0DC2"/>
    <w:rsid w:val="00BA0F8B"/>
    <w:rsid w:val="00BA0FF4"/>
    <w:rsid w:val="00BA1065"/>
    <w:rsid w:val="00BA11D3"/>
    <w:rsid w:val="00BA12D8"/>
    <w:rsid w:val="00BA14AE"/>
    <w:rsid w:val="00BA1689"/>
    <w:rsid w:val="00BA17D1"/>
    <w:rsid w:val="00BA1CC3"/>
    <w:rsid w:val="00BA243D"/>
    <w:rsid w:val="00BA2525"/>
    <w:rsid w:val="00BA26F1"/>
    <w:rsid w:val="00BA29D3"/>
    <w:rsid w:val="00BA2AE5"/>
    <w:rsid w:val="00BA2B5F"/>
    <w:rsid w:val="00BA2DC8"/>
    <w:rsid w:val="00BA2E19"/>
    <w:rsid w:val="00BA2ED5"/>
    <w:rsid w:val="00BA2FD6"/>
    <w:rsid w:val="00BA3114"/>
    <w:rsid w:val="00BA3318"/>
    <w:rsid w:val="00BA331F"/>
    <w:rsid w:val="00BA3632"/>
    <w:rsid w:val="00BA3799"/>
    <w:rsid w:val="00BA3812"/>
    <w:rsid w:val="00BA3B07"/>
    <w:rsid w:val="00BA3C6F"/>
    <w:rsid w:val="00BA3DB8"/>
    <w:rsid w:val="00BA3DDB"/>
    <w:rsid w:val="00BA3DE1"/>
    <w:rsid w:val="00BA43EE"/>
    <w:rsid w:val="00BA4598"/>
    <w:rsid w:val="00BA45D4"/>
    <w:rsid w:val="00BA46D3"/>
    <w:rsid w:val="00BA4781"/>
    <w:rsid w:val="00BA4829"/>
    <w:rsid w:val="00BA4854"/>
    <w:rsid w:val="00BA48B5"/>
    <w:rsid w:val="00BA48FA"/>
    <w:rsid w:val="00BA4997"/>
    <w:rsid w:val="00BA4A88"/>
    <w:rsid w:val="00BA4AB1"/>
    <w:rsid w:val="00BA4B00"/>
    <w:rsid w:val="00BA4D52"/>
    <w:rsid w:val="00BA4E69"/>
    <w:rsid w:val="00BA5008"/>
    <w:rsid w:val="00BA50E6"/>
    <w:rsid w:val="00BA5138"/>
    <w:rsid w:val="00BA528D"/>
    <w:rsid w:val="00BA52BE"/>
    <w:rsid w:val="00BA52FC"/>
    <w:rsid w:val="00BA52FF"/>
    <w:rsid w:val="00BA5304"/>
    <w:rsid w:val="00BA5539"/>
    <w:rsid w:val="00BA56B8"/>
    <w:rsid w:val="00BA5713"/>
    <w:rsid w:val="00BA57B3"/>
    <w:rsid w:val="00BA57BA"/>
    <w:rsid w:val="00BA5B79"/>
    <w:rsid w:val="00BA5C47"/>
    <w:rsid w:val="00BA5D1A"/>
    <w:rsid w:val="00BA5D26"/>
    <w:rsid w:val="00BA5DCC"/>
    <w:rsid w:val="00BA5DD7"/>
    <w:rsid w:val="00BA5E7C"/>
    <w:rsid w:val="00BA6021"/>
    <w:rsid w:val="00BA60C8"/>
    <w:rsid w:val="00BA6329"/>
    <w:rsid w:val="00BA63AE"/>
    <w:rsid w:val="00BA646D"/>
    <w:rsid w:val="00BA65DE"/>
    <w:rsid w:val="00BA669D"/>
    <w:rsid w:val="00BA67A2"/>
    <w:rsid w:val="00BA68A6"/>
    <w:rsid w:val="00BA6B3E"/>
    <w:rsid w:val="00BA6C4A"/>
    <w:rsid w:val="00BA6CDD"/>
    <w:rsid w:val="00BA6E7B"/>
    <w:rsid w:val="00BA6ED3"/>
    <w:rsid w:val="00BA6FBF"/>
    <w:rsid w:val="00BA7043"/>
    <w:rsid w:val="00BA7050"/>
    <w:rsid w:val="00BA70F6"/>
    <w:rsid w:val="00BA710E"/>
    <w:rsid w:val="00BA7221"/>
    <w:rsid w:val="00BA7277"/>
    <w:rsid w:val="00BA736E"/>
    <w:rsid w:val="00BA751D"/>
    <w:rsid w:val="00BA7584"/>
    <w:rsid w:val="00BA7686"/>
    <w:rsid w:val="00BA7699"/>
    <w:rsid w:val="00BA777E"/>
    <w:rsid w:val="00BA7898"/>
    <w:rsid w:val="00BA7962"/>
    <w:rsid w:val="00BA79CA"/>
    <w:rsid w:val="00BA7A89"/>
    <w:rsid w:val="00BA7ABE"/>
    <w:rsid w:val="00BA7CA2"/>
    <w:rsid w:val="00BA7CF8"/>
    <w:rsid w:val="00BA7D7C"/>
    <w:rsid w:val="00BB006E"/>
    <w:rsid w:val="00BB00EC"/>
    <w:rsid w:val="00BB00F7"/>
    <w:rsid w:val="00BB01C9"/>
    <w:rsid w:val="00BB04A0"/>
    <w:rsid w:val="00BB04D7"/>
    <w:rsid w:val="00BB0820"/>
    <w:rsid w:val="00BB08F6"/>
    <w:rsid w:val="00BB0A7D"/>
    <w:rsid w:val="00BB0ACF"/>
    <w:rsid w:val="00BB0DDD"/>
    <w:rsid w:val="00BB0E0C"/>
    <w:rsid w:val="00BB1199"/>
    <w:rsid w:val="00BB1290"/>
    <w:rsid w:val="00BB1318"/>
    <w:rsid w:val="00BB1332"/>
    <w:rsid w:val="00BB14A7"/>
    <w:rsid w:val="00BB15BF"/>
    <w:rsid w:val="00BB1638"/>
    <w:rsid w:val="00BB16C8"/>
    <w:rsid w:val="00BB1885"/>
    <w:rsid w:val="00BB1987"/>
    <w:rsid w:val="00BB19A9"/>
    <w:rsid w:val="00BB1C51"/>
    <w:rsid w:val="00BB1CCD"/>
    <w:rsid w:val="00BB1D4A"/>
    <w:rsid w:val="00BB1D5E"/>
    <w:rsid w:val="00BB1E54"/>
    <w:rsid w:val="00BB1E6F"/>
    <w:rsid w:val="00BB1E97"/>
    <w:rsid w:val="00BB1E9C"/>
    <w:rsid w:val="00BB1EC7"/>
    <w:rsid w:val="00BB1F01"/>
    <w:rsid w:val="00BB20A1"/>
    <w:rsid w:val="00BB2145"/>
    <w:rsid w:val="00BB24D0"/>
    <w:rsid w:val="00BB2591"/>
    <w:rsid w:val="00BB289D"/>
    <w:rsid w:val="00BB2AD4"/>
    <w:rsid w:val="00BB2C0A"/>
    <w:rsid w:val="00BB2C31"/>
    <w:rsid w:val="00BB2CA6"/>
    <w:rsid w:val="00BB2DA7"/>
    <w:rsid w:val="00BB2EC4"/>
    <w:rsid w:val="00BB2F30"/>
    <w:rsid w:val="00BB3064"/>
    <w:rsid w:val="00BB30F9"/>
    <w:rsid w:val="00BB3167"/>
    <w:rsid w:val="00BB3168"/>
    <w:rsid w:val="00BB31E2"/>
    <w:rsid w:val="00BB3611"/>
    <w:rsid w:val="00BB3966"/>
    <w:rsid w:val="00BB3982"/>
    <w:rsid w:val="00BB3A42"/>
    <w:rsid w:val="00BB3B81"/>
    <w:rsid w:val="00BB3BE0"/>
    <w:rsid w:val="00BB3C3F"/>
    <w:rsid w:val="00BB3D1F"/>
    <w:rsid w:val="00BB3DD4"/>
    <w:rsid w:val="00BB3F3D"/>
    <w:rsid w:val="00BB4236"/>
    <w:rsid w:val="00BB4320"/>
    <w:rsid w:val="00BB4384"/>
    <w:rsid w:val="00BB44A6"/>
    <w:rsid w:val="00BB44C0"/>
    <w:rsid w:val="00BB460F"/>
    <w:rsid w:val="00BB4714"/>
    <w:rsid w:val="00BB4750"/>
    <w:rsid w:val="00BB49F4"/>
    <w:rsid w:val="00BB4A70"/>
    <w:rsid w:val="00BB4AC5"/>
    <w:rsid w:val="00BB4B72"/>
    <w:rsid w:val="00BB4B95"/>
    <w:rsid w:val="00BB4B9C"/>
    <w:rsid w:val="00BB4EEC"/>
    <w:rsid w:val="00BB509B"/>
    <w:rsid w:val="00BB523E"/>
    <w:rsid w:val="00BB5358"/>
    <w:rsid w:val="00BB5475"/>
    <w:rsid w:val="00BB5700"/>
    <w:rsid w:val="00BB59C2"/>
    <w:rsid w:val="00BB5A93"/>
    <w:rsid w:val="00BB5C3C"/>
    <w:rsid w:val="00BB5C48"/>
    <w:rsid w:val="00BB5DF7"/>
    <w:rsid w:val="00BB5F06"/>
    <w:rsid w:val="00BB5FB5"/>
    <w:rsid w:val="00BB6449"/>
    <w:rsid w:val="00BB645A"/>
    <w:rsid w:val="00BB646B"/>
    <w:rsid w:val="00BB65A7"/>
    <w:rsid w:val="00BB695C"/>
    <w:rsid w:val="00BB69E8"/>
    <w:rsid w:val="00BB6D3A"/>
    <w:rsid w:val="00BB6EE5"/>
    <w:rsid w:val="00BB6FC8"/>
    <w:rsid w:val="00BB7086"/>
    <w:rsid w:val="00BB70A3"/>
    <w:rsid w:val="00BB715F"/>
    <w:rsid w:val="00BB72C5"/>
    <w:rsid w:val="00BB7311"/>
    <w:rsid w:val="00BB757F"/>
    <w:rsid w:val="00BB768B"/>
    <w:rsid w:val="00BB771D"/>
    <w:rsid w:val="00BB7775"/>
    <w:rsid w:val="00BB7868"/>
    <w:rsid w:val="00BB78F2"/>
    <w:rsid w:val="00BB7A09"/>
    <w:rsid w:val="00BB7A5A"/>
    <w:rsid w:val="00BB7B68"/>
    <w:rsid w:val="00BB7C2D"/>
    <w:rsid w:val="00BB7D00"/>
    <w:rsid w:val="00BB7F15"/>
    <w:rsid w:val="00BB7FB1"/>
    <w:rsid w:val="00BC0319"/>
    <w:rsid w:val="00BC082F"/>
    <w:rsid w:val="00BC0AE5"/>
    <w:rsid w:val="00BC0AEA"/>
    <w:rsid w:val="00BC0BE7"/>
    <w:rsid w:val="00BC0C0F"/>
    <w:rsid w:val="00BC0CFF"/>
    <w:rsid w:val="00BC0D43"/>
    <w:rsid w:val="00BC1110"/>
    <w:rsid w:val="00BC11C4"/>
    <w:rsid w:val="00BC1219"/>
    <w:rsid w:val="00BC1246"/>
    <w:rsid w:val="00BC1443"/>
    <w:rsid w:val="00BC1479"/>
    <w:rsid w:val="00BC14A6"/>
    <w:rsid w:val="00BC17CD"/>
    <w:rsid w:val="00BC1834"/>
    <w:rsid w:val="00BC1969"/>
    <w:rsid w:val="00BC1A06"/>
    <w:rsid w:val="00BC1CA3"/>
    <w:rsid w:val="00BC1CFE"/>
    <w:rsid w:val="00BC1D76"/>
    <w:rsid w:val="00BC1F94"/>
    <w:rsid w:val="00BC2002"/>
    <w:rsid w:val="00BC20D8"/>
    <w:rsid w:val="00BC2103"/>
    <w:rsid w:val="00BC216A"/>
    <w:rsid w:val="00BC24DB"/>
    <w:rsid w:val="00BC2604"/>
    <w:rsid w:val="00BC2850"/>
    <w:rsid w:val="00BC2870"/>
    <w:rsid w:val="00BC2992"/>
    <w:rsid w:val="00BC2C7D"/>
    <w:rsid w:val="00BC2DE4"/>
    <w:rsid w:val="00BC2EC6"/>
    <w:rsid w:val="00BC2F1C"/>
    <w:rsid w:val="00BC3248"/>
    <w:rsid w:val="00BC3342"/>
    <w:rsid w:val="00BC3359"/>
    <w:rsid w:val="00BC388A"/>
    <w:rsid w:val="00BC3A45"/>
    <w:rsid w:val="00BC3A5E"/>
    <w:rsid w:val="00BC3B85"/>
    <w:rsid w:val="00BC4055"/>
    <w:rsid w:val="00BC4071"/>
    <w:rsid w:val="00BC4189"/>
    <w:rsid w:val="00BC4259"/>
    <w:rsid w:val="00BC42F1"/>
    <w:rsid w:val="00BC42FF"/>
    <w:rsid w:val="00BC439F"/>
    <w:rsid w:val="00BC443E"/>
    <w:rsid w:val="00BC4488"/>
    <w:rsid w:val="00BC449E"/>
    <w:rsid w:val="00BC44A6"/>
    <w:rsid w:val="00BC45E8"/>
    <w:rsid w:val="00BC465E"/>
    <w:rsid w:val="00BC468E"/>
    <w:rsid w:val="00BC46DD"/>
    <w:rsid w:val="00BC472D"/>
    <w:rsid w:val="00BC49E3"/>
    <w:rsid w:val="00BC4A5B"/>
    <w:rsid w:val="00BC4AE1"/>
    <w:rsid w:val="00BC4AE3"/>
    <w:rsid w:val="00BC4B7D"/>
    <w:rsid w:val="00BC4CD6"/>
    <w:rsid w:val="00BC4E0A"/>
    <w:rsid w:val="00BC4F7B"/>
    <w:rsid w:val="00BC5053"/>
    <w:rsid w:val="00BC520E"/>
    <w:rsid w:val="00BC52C6"/>
    <w:rsid w:val="00BC5352"/>
    <w:rsid w:val="00BC549C"/>
    <w:rsid w:val="00BC54EA"/>
    <w:rsid w:val="00BC59F7"/>
    <w:rsid w:val="00BC59FE"/>
    <w:rsid w:val="00BC5D15"/>
    <w:rsid w:val="00BC5D29"/>
    <w:rsid w:val="00BC5E51"/>
    <w:rsid w:val="00BC5F52"/>
    <w:rsid w:val="00BC608E"/>
    <w:rsid w:val="00BC6120"/>
    <w:rsid w:val="00BC62A6"/>
    <w:rsid w:val="00BC6454"/>
    <w:rsid w:val="00BC6899"/>
    <w:rsid w:val="00BC68CB"/>
    <w:rsid w:val="00BC69D8"/>
    <w:rsid w:val="00BC6C29"/>
    <w:rsid w:val="00BC6C7C"/>
    <w:rsid w:val="00BC6CB4"/>
    <w:rsid w:val="00BC6DF7"/>
    <w:rsid w:val="00BC6E01"/>
    <w:rsid w:val="00BC6E05"/>
    <w:rsid w:val="00BC6EB7"/>
    <w:rsid w:val="00BC6FBE"/>
    <w:rsid w:val="00BC7009"/>
    <w:rsid w:val="00BC71A8"/>
    <w:rsid w:val="00BC7632"/>
    <w:rsid w:val="00BC7656"/>
    <w:rsid w:val="00BC769F"/>
    <w:rsid w:val="00BC76A2"/>
    <w:rsid w:val="00BC7971"/>
    <w:rsid w:val="00BC7AF4"/>
    <w:rsid w:val="00BC7BF7"/>
    <w:rsid w:val="00BC7BFA"/>
    <w:rsid w:val="00BC7DE6"/>
    <w:rsid w:val="00BC7E06"/>
    <w:rsid w:val="00BC7E16"/>
    <w:rsid w:val="00BC7FA6"/>
    <w:rsid w:val="00BD0016"/>
    <w:rsid w:val="00BD0302"/>
    <w:rsid w:val="00BD0319"/>
    <w:rsid w:val="00BD0481"/>
    <w:rsid w:val="00BD04A2"/>
    <w:rsid w:val="00BD04F6"/>
    <w:rsid w:val="00BD0521"/>
    <w:rsid w:val="00BD067F"/>
    <w:rsid w:val="00BD0BDC"/>
    <w:rsid w:val="00BD0CA4"/>
    <w:rsid w:val="00BD0CAE"/>
    <w:rsid w:val="00BD124F"/>
    <w:rsid w:val="00BD128C"/>
    <w:rsid w:val="00BD15B6"/>
    <w:rsid w:val="00BD169F"/>
    <w:rsid w:val="00BD16D5"/>
    <w:rsid w:val="00BD16E7"/>
    <w:rsid w:val="00BD17FB"/>
    <w:rsid w:val="00BD1A3A"/>
    <w:rsid w:val="00BD1BF7"/>
    <w:rsid w:val="00BD1C60"/>
    <w:rsid w:val="00BD1C7B"/>
    <w:rsid w:val="00BD1C85"/>
    <w:rsid w:val="00BD1C87"/>
    <w:rsid w:val="00BD1CC7"/>
    <w:rsid w:val="00BD1D92"/>
    <w:rsid w:val="00BD1EB1"/>
    <w:rsid w:val="00BD1F54"/>
    <w:rsid w:val="00BD2162"/>
    <w:rsid w:val="00BD2548"/>
    <w:rsid w:val="00BD2572"/>
    <w:rsid w:val="00BD257E"/>
    <w:rsid w:val="00BD25FA"/>
    <w:rsid w:val="00BD2604"/>
    <w:rsid w:val="00BD265F"/>
    <w:rsid w:val="00BD27A9"/>
    <w:rsid w:val="00BD2901"/>
    <w:rsid w:val="00BD290B"/>
    <w:rsid w:val="00BD29A0"/>
    <w:rsid w:val="00BD2A49"/>
    <w:rsid w:val="00BD2CDF"/>
    <w:rsid w:val="00BD2CE3"/>
    <w:rsid w:val="00BD2CF6"/>
    <w:rsid w:val="00BD2D9C"/>
    <w:rsid w:val="00BD2F78"/>
    <w:rsid w:val="00BD3055"/>
    <w:rsid w:val="00BD30FE"/>
    <w:rsid w:val="00BD318A"/>
    <w:rsid w:val="00BD32FC"/>
    <w:rsid w:val="00BD33B1"/>
    <w:rsid w:val="00BD33BB"/>
    <w:rsid w:val="00BD33D1"/>
    <w:rsid w:val="00BD36F7"/>
    <w:rsid w:val="00BD3707"/>
    <w:rsid w:val="00BD371F"/>
    <w:rsid w:val="00BD37A7"/>
    <w:rsid w:val="00BD39D4"/>
    <w:rsid w:val="00BD3D5E"/>
    <w:rsid w:val="00BD3E72"/>
    <w:rsid w:val="00BD4238"/>
    <w:rsid w:val="00BD4315"/>
    <w:rsid w:val="00BD4465"/>
    <w:rsid w:val="00BD4505"/>
    <w:rsid w:val="00BD46E3"/>
    <w:rsid w:val="00BD473D"/>
    <w:rsid w:val="00BD4865"/>
    <w:rsid w:val="00BD48C4"/>
    <w:rsid w:val="00BD4924"/>
    <w:rsid w:val="00BD4A36"/>
    <w:rsid w:val="00BD4AAD"/>
    <w:rsid w:val="00BD4CAC"/>
    <w:rsid w:val="00BD4CBB"/>
    <w:rsid w:val="00BD4D07"/>
    <w:rsid w:val="00BD5035"/>
    <w:rsid w:val="00BD513F"/>
    <w:rsid w:val="00BD52B7"/>
    <w:rsid w:val="00BD52ED"/>
    <w:rsid w:val="00BD53A4"/>
    <w:rsid w:val="00BD5426"/>
    <w:rsid w:val="00BD54C1"/>
    <w:rsid w:val="00BD5522"/>
    <w:rsid w:val="00BD5527"/>
    <w:rsid w:val="00BD55CF"/>
    <w:rsid w:val="00BD55FA"/>
    <w:rsid w:val="00BD561A"/>
    <w:rsid w:val="00BD5927"/>
    <w:rsid w:val="00BD5BE0"/>
    <w:rsid w:val="00BD5C9A"/>
    <w:rsid w:val="00BD5CA0"/>
    <w:rsid w:val="00BD6091"/>
    <w:rsid w:val="00BD6151"/>
    <w:rsid w:val="00BD626B"/>
    <w:rsid w:val="00BD6439"/>
    <w:rsid w:val="00BD6485"/>
    <w:rsid w:val="00BD6525"/>
    <w:rsid w:val="00BD65F9"/>
    <w:rsid w:val="00BD6B50"/>
    <w:rsid w:val="00BD6C75"/>
    <w:rsid w:val="00BD6CC1"/>
    <w:rsid w:val="00BD6CEA"/>
    <w:rsid w:val="00BD6CED"/>
    <w:rsid w:val="00BD6F36"/>
    <w:rsid w:val="00BD773A"/>
    <w:rsid w:val="00BD785B"/>
    <w:rsid w:val="00BD7985"/>
    <w:rsid w:val="00BD79FB"/>
    <w:rsid w:val="00BD7A84"/>
    <w:rsid w:val="00BD7B81"/>
    <w:rsid w:val="00BD7BBD"/>
    <w:rsid w:val="00BD7D30"/>
    <w:rsid w:val="00BD7D4F"/>
    <w:rsid w:val="00BD7EB1"/>
    <w:rsid w:val="00BD7F03"/>
    <w:rsid w:val="00BD7F20"/>
    <w:rsid w:val="00BE00D4"/>
    <w:rsid w:val="00BE01E9"/>
    <w:rsid w:val="00BE040E"/>
    <w:rsid w:val="00BE0427"/>
    <w:rsid w:val="00BE04A5"/>
    <w:rsid w:val="00BE061F"/>
    <w:rsid w:val="00BE0844"/>
    <w:rsid w:val="00BE08CB"/>
    <w:rsid w:val="00BE0A9F"/>
    <w:rsid w:val="00BE0BBA"/>
    <w:rsid w:val="00BE0BBF"/>
    <w:rsid w:val="00BE0BE1"/>
    <w:rsid w:val="00BE0BEE"/>
    <w:rsid w:val="00BE0C9D"/>
    <w:rsid w:val="00BE0CB9"/>
    <w:rsid w:val="00BE0EA0"/>
    <w:rsid w:val="00BE0FC8"/>
    <w:rsid w:val="00BE1134"/>
    <w:rsid w:val="00BE1225"/>
    <w:rsid w:val="00BE1272"/>
    <w:rsid w:val="00BE12C6"/>
    <w:rsid w:val="00BE12F5"/>
    <w:rsid w:val="00BE1337"/>
    <w:rsid w:val="00BE14DB"/>
    <w:rsid w:val="00BE169F"/>
    <w:rsid w:val="00BE16F6"/>
    <w:rsid w:val="00BE1D34"/>
    <w:rsid w:val="00BE1D55"/>
    <w:rsid w:val="00BE1D5B"/>
    <w:rsid w:val="00BE1DD6"/>
    <w:rsid w:val="00BE1DF5"/>
    <w:rsid w:val="00BE216E"/>
    <w:rsid w:val="00BE22E7"/>
    <w:rsid w:val="00BE232F"/>
    <w:rsid w:val="00BE24BF"/>
    <w:rsid w:val="00BE25E5"/>
    <w:rsid w:val="00BE25FA"/>
    <w:rsid w:val="00BE276D"/>
    <w:rsid w:val="00BE2860"/>
    <w:rsid w:val="00BE28E2"/>
    <w:rsid w:val="00BE2D05"/>
    <w:rsid w:val="00BE2F55"/>
    <w:rsid w:val="00BE2FBB"/>
    <w:rsid w:val="00BE3174"/>
    <w:rsid w:val="00BE3185"/>
    <w:rsid w:val="00BE319A"/>
    <w:rsid w:val="00BE32E5"/>
    <w:rsid w:val="00BE3963"/>
    <w:rsid w:val="00BE39D4"/>
    <w:rsid w:val="00BE3A56"/>
    <w:rsid w:val="00BE3B12"/>
    <w:rsid w:val="00BE3B3F"/>
    <w:rsid w:val="00BE3BCD"/>
    <w:rsid w:val="00BE3EA2"/>
    <w:rsid w:val="00BE3FB5"/>
    <w:rsid w:val="00BE410D"/>
    <w:rsid w:val="00BE41C9"/>
    <w:rsid w:val="00BE42F3"/>
    <w:rsid w:val="00BE4335"/>
    <w:rsid w:val="00BE43F5"/>
    <w:rsid w:val="00BE457B"/>
    <w:rsid w:val="00BE4661"/>
    <w:rsid w:val="00BE47CD"/>
    <w:rsid w:val="00BE4905"/>
    <w:rsid w:val="00BE4B0B"/>
    <w:rsid w:val="00BE4BAC"/>
    <w:rsid w:val="00BE4D02"/>
    <w:rsid w:val="00BE4DEB"/>
    <w:rsid w:val="00BE4E44"/>
    <w:rsid w:val="00BE4F30"/>
    <w:rsid w:val="00BE4F36"/>
    <w:rsid w:val="00BE4F73"/>
    <w:rsid w:val="00BE5073"/>
    <w:rsid w:val="00BE518C"/>
    <w:rsid w:val="00BE534B"/>
    <w:rsid w:val="00BE5353"/>
    <w:rsid w:val="00BE541A"/>
    <w:rsid w:val="00BE5460"/>
    <w:rsid w:val="00BE54EA"/>
    <w:rsid w:val="00BE54FC"/>
    <w:rsid w:val="00BE55B3"/>
    <w:rsid w:val="00BE58C5"/>
    <w:rsid w:val="00BE5A7A"/>
    <w:rsid w:val="00BE5AC4"/>
    <w:rsid w:val="00BE5B7E"/>
    <w:rsid w:val="00BE5BBC"/>
    <w:rsid w:val="00BE5C79"/>
    <w:rsid w:val="00BE5F8A"/>
    <w:rsid w:val="00BE602B"/>
    <w:rsid w:val="00BE608C"/>
    <w:rsid w:val="00BE6189"/>
    <w:rsid w:val="00BE6201"/>
    <w:rsid w:val="00BE6442"/>
    <w:rsid w:val="00BE6763"/>
    <w:rsid w:val="00BE6C4B"/>
    <w:rsid w:val="00BE713A"/>
    <w:rsid w:val="00BE7191"/>
    <w:rsid w:val="00BE71AB"/>
    <w:rsid w:val="00BE728A"/>
    <w:rsid w:val="00BE72AD"/>
    <w:rsid w:val="00BE737F"/>
    <w:rsid w:val="00BE73B1"/>
    <w:rsid w:val="00BE73F5"/>
    <w:rsid w:val="00BE752A"/>
    <w:rsid w:val="00BE77AC"/>
    <w:rsid w:val="00BE77B4"/>
    <w:rsid w:val="00BE7853"/>
    <w:rsid w:val="00BE7AB1"/>
    <w:rsid w:val="00BE7B31"/>
    <w:rsid w:val="00BE7BC4"/>
    <w:rsid w:val="00BE7BD2"/>
    <w:rsid w:val="00BE7D3B"/>
    <w:rsid w:val="00BE7DA9"/>
    <w:rsid w:val="00BE7E9C"/>
    <w:rsid w:val="00BE7F0B"/>
    <w:rsid w:val="00BE7F20"/>
    <w:rsid w:val="00BE7FC2"/>
    <w:rsid w:val="00BF00C4"/>
    <w:rsid w:val="00BF040B"/>
    <w:rsid w:val="00BF047F"/>
    <w:rsid w:val="00BF0521"/>
    <w:rsid w:val="00BF0624"/>
    <w:rsid w:val="00BF0670"/>
    <w:rsid w:val="00BF0688"/>
    <w:rsid w:val="00BF0753"/>
    <w:rsid w:val="00BF07E0"/>
    <w:rsid w:val="00BF0834"/>
    <w:rsid w:val="00BF0896"/>
    <w:rsid w:val="00BF0A41"/>
    <w:rsid w:val="00BF0A8E"/>
    <w:rsid w:val="00BF0C53"/>
    <w:rsid w:val="00BF1180"/>
    <w:rsid w:val="00BF11A6"/>
    <w:rsid w:val="00BF11DD"/>
    <w:rsid w:val="00BF12AA"/>
    <w:rsid w:val="00BF12E4"/>
    <w:rsid w:val="00BF14E2"/>
    <w:rsid w:val="00BF1921"/>
    <w:rsid w:val="00BF193A"/>
    <w:rsid w:val="00BF1940"/>
    <w:rsid w:val="00BF19F4"/>
    <w:rsid w:val="00BF1C7E"/>
    <w:rsid w:val="00BF1FA0"/>
    <w:rsid w:val="00BF210E"/>
    <w:rsid w:val="00BF2434"/>
    <w:rsid w:val="00BF2451"/>
    <w:rsid w:val="00BF25F1"/>
    <w:rsid w:val="00BF26D1"/>
    <w:rsid w:val="00BF27A0"/>
    <w:rsid w:val="00BF28AD"/>
    <w:rsid w:val="00BF2BAB"/>
    <w:rsid w:val="00BF2C43"/>
    <w:rsid w:val="00BF2E92"/>
    <w:rsid w:val="00BF3078"/>
    <w:rsid w:val="00BF30BE"/>
    <w:rsid w:val="00BF31AD"/>
    <w:rsid w:val="00BF34CE"/>
    <w:rsid w:val="00BF362C"/>
    <w:rsid w:val="00BF37EC"/>
    <w:rsid w:val="00BF3B93"/>
    <w:rsid w:val="00BF3D93"/>
    <w:rsid w:val="00BF3E41"/>
    <w:rsid w:val="00BF3E7B"/>
    <w:rsid w:val="00BF4023"/>
    <w:rsid w:val="00BF40E9"/>
    <w:rsid w:val="00BF41CB"/>
    <w:rsid w:val="00BF42D0"/>
    <w:rsid w:val="00BF43B1"/>
    <w:rsid w:val="00BF4467"/>
    <w:rsid w:val="00BF4487"/>
    <w:rsid w:val="00BF44F0"/>
    <w:rsid w:val="00BF45EF"/>
    <w:rsid w:val="00BF46D5"/>
    <w:rsid w:val="00BF472B"/>
    <w:rsid w:val="00BF4764"/>
    <w:rsid w:val="00BF49DD"/>
    <w:rsid w:val="00BF49E4"/>
    <w:rsid w:val="00BF4C6F"/>
    <w:rsid w:val="00BF4F2B"/>
    <w:rsid w:val="00BF4F75"/>
    <w:rsid w:val="00BF5003"/>
    <w:rsid w:val="00BF533A"/>
    <w:rsid w:val="00BF53C0"/>
    <w:rsid w:val="00BF5434"/>
    <w:rsid w:val="00BF56A9"/>
    <w:rsid w:val="00BF56CC"/>
    <w:rsid w:val="00BF5733"/>
    <w:rsid w:val="00BF58C3"/>
    <w:rsid w:val="00BF59B1"/>
    <w:rsid w:val="00BF5A64"/>
    <w:rsid w:val="00BF5B43"/>
    <w:rsid w:val="00BF5C15"/>
    <w:rsid w:val="00BF5CA3"/>
    <w:rsid w:val="00BF5D9B"/>
    <w:rsid w:val="00BF6250"/>
    <w:rsid w:val="00BF639D"/>
    <w:rsid w:val="00BF64C7"/>
    <w:rsid w:val="00BF65C6"/>
    <w:rsid w:val="00BF6623"/>
    <w:rsid w:val="00BF6682"/>
    <w:rsid w:val="00BF6776"/>
    <w:rsid w:val="00BF6835"/>
    <w:rsid w:val="00BF690A"/>
    <w:rsid w:val="00BF6A47"/>
    <w:rsid w:val="00BF6A66"/>
    <w:rsid w:val="00BF6B7E"/>
    <w:rsid w:val="00BF6C6E"/>
    <w:rsid w:val="00BF6C75"/>
    <w:rsid w:val="00BF6E02"/>
    <w:rsid w:val="00BF6EBE"/>
    <w:rsid w:val="00BF70D1"/>
    <w:rsid w:val="00BF71F6"/>
    <w:rsid w:val="00BF732E"/>
    <w:rsid w:val="00BF74D2"/>
    <w:rsid w:val="00BF7558"/>
    <w:rsid w:val="00BF769B"/>
    <w:rsid w:val="00BF777C"/>
    <w:rsid w:val="00BF78B1"/>
    <w:rsid w:val="00BF7997"/>
    <w:rsid w:val="00BF7A41"/>
    <w:rsid w:val="00BF7A9C"/>
    <w:rsid w:val="00BF7AA6"/>
    <w:rsid w:val="00BF7C3B"/>
    <w:rsid w:val="00BF7D43"/>
    <w:rsid w:val="00BF7FB3"/>
    <w:rsid w:val="00C000E4"/>
    <w:rsid w:val="00C0043C"/>
    <w:rsid w:val="00C00444"/>
    <w:rsid w:val="00C004B3"/>
    <w:rsid w:val="00C0063D"/>
    <w:rsid w:val="00C006C3"/>
    <w:rsid w:val="00C006E1"/>
    <w:rsid w:val="00C006E5"/>
    <w:rsid w:val="00C006EC"/>
    <w:rsid w:val="00C007DE"/>
    <w:rsid w:val="00C00822"/>
    <w:rsid w:val="00C00825"/>
    <w:rsid w:val="00C009CB"/>
    <w:rsid w:val="00C00A33"/>
    <w:rsid w:val="00C00B0C"/>
    <w:rsid w:val="00C00B27"/>
    <w:rsid w:val="00C00FC0"/>
    <w:rsid w:val="00C0117A"/>
    <w:rsid w:val="00C011DA"/>
    <w:rsid w:val="00C011DD"/>
    <w:rsid w:val="00C01234"/>
    <w:rsid w:val="00C0131B"/>
    <w:rsid w:val="00C013E2"/>
    <w:rsid w:val="00C01465"/>
    <w:rsid w:val="00C0160F"/>
    <w:rsid w:val="00C01727"/>
    <w:rsid w:val="00C017A0"/>
    <w:rsid w:val="00C019D6"/>
    <w:rsid w:val="00C01A46"/>
    <w:rsid w:val="00C01A91"/>
    <w:rsid w:val="00C01A9A"/>
    <w:rsid w:val="00C01B8C"/>
    <w:rsid w:val="00C01BD4"/>
    <w:rsid w:val="00C01DB7"/>
    <w:rsid w:val="00C01E39"/>
    <w:rsid w:val="00C01E89"/>
    <w:rsid w:val="00C01F35"/>
    <w:rsid w:val="00C01F94"/>
    <w:rsid w:val="00C0212E"/>
    <w:rsid w:val="00C02674"/>
    <w:rsid w:val="00C02759"/>
    <w:rsid w:val="00C028EF"/>
    <w:rsid w:val="00C02B2A"/>
    <w:rsid w:val="00C02C6B"/>
    <w:rsid w:val="00C02C74"/>
    <w:rsid w:val="00C02DCC"/>
    <w:rsid w:val="00C02EED"/>
    <w:rsid w:val="00C02F5A"/>
    <w:rsid w:val="00C02F90"/>
    <w:rsid w:val="00C031D0"/>
    <w:rsid w:val="00C033A5"/>
    <w:rsid w:val="00C033E3"/>
    <w:rsid w:val="00C033E9"/>
    <w:rsid w:val="00C0354B"/>
    <w:rsid w:val="00C036F3"/>
    <w:rsid w:val="00C03874"/>
    <w:rsid w:val="00C03E51"/>
    <w:rsid w:val="00C03EA8"/>
    <w:rsid w:val="00C04129"/>
    <w:rsid w:val="00C04278"/>
    <w:rsid w:val="00C044D2"/>
    <w:rsid w:val="00C045A4"/>
    <w:rsid w:val="00C047CA"/>
    <w:rsid w:val="00C04BC4"/>
    <w:rsid w:val="00C04CDD"/>
    <w:rsid w:val="00C04FA8"/>
    <w:rsid w:val="00C05006"/>
    <w:rsid w:val="00C05010"/>
    <w:rsid w:val="00C050AC"/>
    <w:rsid w:val="00C05132"/>
    <w:rsid w:val="00C051FD"/>
    <w:rsid w:val="00C057A5"/>
    <w:rsid w:val="00C057ED"/>
    <w:rsid w:val="00C058D1"/>
    <w:rsid w:val="00C0591C"/>
    <w:rsid w:val="00C059FE"/>
    <w:rsid w:val="00C05D64"/>
    <w:rsid w:val="00C05F3C"/>
    <w:rsid w:val="00C05F6A"/>
    <w:rsid w:val="00C06306"/>
    <w:rsid w:val="00C063F8"/>
    <w:rsid w:val="00C06567"/>
    <w:rsid w:val="00C065FB"/>
    <w:rsid w:val="00C06C04"/>
    <w:rsid w:val="00C06C1A"/>
    <w:rsid w:val="00C06D06"/>
    <w:rsid w:val="00C06FF7"/>
    <w:rsid w:val="00C0717A"/>
    <w:rsid w:val="00C07189"/>
    <w:rsid w:val="00C071E0"/>
    <w:rsid w:val="00C07260"/>
    <w:rsid w:val="00C07400"/>
    <w:rsid w:val="00C0765B"/>
    <w:rsid w:val="00C07808"/>
    <w:rsid w:val="00C078F5"/>
    <w:rsid w:val="00C0790F"/>
    <w:rsid w:val="00C07AD0"/>
    <w:rsid w:val="00C07D17"/>
    <w:rsid w:val="00C07E34"/>
    <w:rsid w:val="00C07F4E"/>
    <w:rsid w:val="00C07F5F"/>
    <w:rsid w:val="00C10077"/>
    <w:rsid w:val="00C100E8"/>
    <w:rsid w:val="00C10188"/>
    <w:rsid w:val="00C1037F"/>
    <w:rsid w:val="00C1040E"/>
    <w:rsid w:val="00C10450"/>
    <w:rsid w:val="00C10486"/>
    <w:rsid w:val="00C10487"/>
    <w:rsid w:val="00C104D8"/>
    <w:rsid w:val="00C1068D"/>
    <w:rsid w:val="00C10711"/>
    <w:rsid w:val="00C10852"/>
    <w:rsid w:val="00C10BAD"/>
    <w:rsid w:val="00C10C49"/>
    <w:rsid w:val="00C10DE8"/>
    <w:rsid w:val="00C10EEE"/>
    <w:rsid w:val="00C10F46"/>
    <w:rsid w:val="00C1107E"/>
    <w:rsid w:val="00C1112D"/>
    <w:rsid w:val="00C1126E"/>
    <w:rsid w:val="00C115BE"/>
    <w:rsid w:val="00C11653"/>
    <w:rsid w:val="00C11758"/>
    <w:rsid w:val="00C1196B"/>
    <w:rsid w:val="00C11A30"/>
    <w:rsid w:val="00C11BE2"/>
    <w:rsid w:val="00C11C5C"/>
    <w:rsid w:val="00C11E12"/>
    <w:rsid w:val="00C11F28"/>
    <w:rsid w:val="00C1206B"/>
    <w:rsid w:val="00C12106"/>
    <w:rsid w:val="00C123EC"/>
    <w:rsid w:val="00C12425"/>
    <w:rsid w:val="00C1248B"/>
    <w:rsid w:val="00C12585"/>
    <w:rsid w:val="00C12677"/>
    <w:rsid w:val="00C126DA"/>
    <w:rsid w:val="00C127D4"/>
    <w:rsid w:val="00C1286D"/>
    <w:rsid w:val="00C1290C"/>
    <w:rsid w:val="00C12AA4"/>
    <w:rsid w:val="00C12AAB"/>
    <w:rsid w:val="00C12CFA"/>
    <w:rsid w:val="00C13448"/>
    <w:rsid w:val="00C134E4"/>
    <w:rsid w:val="00C13817"/>
    <w:rsid w:val="00C13A26"/>
    <w:rsid w:val="00C13AF6"/>
    <w:rsid w:val="00C13B37"/>
    <w:rsid w:val="00C13C4B"/>
    <w:rsid w:val="00C13C9C"/>
    <w:rsid w:val="00C13D3A"/>
    <w:rsid w:val="00C13D7C"/>
    <w:rsid w:val="00C13D8A"/>
    <w:rsid w:val="00C13E05"/>
    <w:rsid w:val="00C13EC1"/>
    <w:rsid w:val="00C140D2"/>
    <w:rsid w:val="00C14255"/>
    <w:rsid w:val="00C143CF"/>
    <w:rsid w:val="00C1441E"/>
    <w:rsid w:val="00C14455"/>
    <w:rsid w:val="00C14545"/>
    <w:rsid w:val="00C1456B"/>
    <w:rsid w:val="00C145A5"/>
    <w:rsid w:val="00C14728"/>
    <w:rsid w:val="00C1488F"/>
    <w:rsid w:val="00C1496D"/>
    <w:rsid w:val="00C14BE4"/>
    <w:rsid w:val="00C14E58"/>
    <w:rsid w:val="00C14FB4"/>
    <w:rsid w:val="00C15052"/>
    <w:rsid w:val="00C15072"/>
    <w:rsid w:val="00C15079"/>
    <w:rsid w:val="00C1511F"/>
    <w:rsid w:val="00C151AF"/>
    <w:rsid w:val="00C15251"/>
    <w:rsid w:val="00C1525A"/>
    <w:rsid w:val="00C15310"/>
    <w:rsid w:val="00C153A1"/>
    <w:rsid w:val="00C155DE"/>
    <w:rsid w:val="00C155E4"/>
    <w:rsid w:val="00C156B1"/>
    <w:rsid w:val="00C15873"/>
    <w:rsid w:val="00C15874"/>
    <w:rsid w:val="00C15977"/>
    <w:rsid w:val="00C15B13"/>
    <w:rsid w:val="00C15C80"/>
    <w:rsid w:val="00C15FA2"/>
    <w:rsid w:val="00C15FA5"/>
    <w:rsid w:val="00C1606A"/>
    <w:rsid w:val="00C16361"/>
    <w:rsid w:val="00C16385"/>
    <w:rsid w:val="00C1647F"/>
    <w:rsid w:val="00C1649E"/>
    <w:rsid w:val="00C16765"/>
    <w:rsid w:val="00C16895"/>
    <w:rsid w:val="00C16994"/>
    <w:rsid w:val="00C16A54"/>
    <w:rsid w:val="00C16BDC"/>
    <w:rsid w:val="00C16CC7"/>
    <w:rsid w:val="00C16CEF"/>
    <w:rsid w:val="00C16D94"/>
    <w:rsid w:val="00C16D9D"/>
    <w:rsid w:val="00C16DAF"/>
    <w:rsid w:val="00C17199"/>
    <w:rsid w:val="00C1728D"/>
    <w:rsid w:val="00C1736C"/>
    <w:rsid w:val="00C17571"/>
    <w:rsid w:val="00C1783B"/>
    <w:rsid w:val="00C179FC"/>
    <w:rsid w:val="00C17A54"/>
    <w:rsid w:val="00C17C9D"/>
    <w:rsid w:val="00C17CB5"/>
    <w:rsid w:val="00C17E38"/>
    <w:rsid w:val="00C17F44"/>
    <w:rsid w:val="00C17F92"/>
    <w:rsid w:val="00C201AD"/>
    <w:rsid w:val="00C2034A"/>
    <w:rsid w:val="00C20382"/>
    <w:rsid w:val="00C2056F"/>
    <w:rsid w:val="00C2062A"/>
    <w:rsid w:val="00C20761"/>
    <w:rsid w:val="00C20786"/>
    <w:rsid w:val="00C208C8"/>
    <w:rsid w:val="00C20AAC"/>
    <w:rsid w:val="00C20C77"/>
    <w:rsid w:val="00C20DD3"/>
    <w:rsid w:val="00C20DE2"/>
    <w:rsid w:val="00C2111E"/>
    <w:rsid w:val="00C2112C"/>
    <w:rsid w:val="00C2126F"/>
    <w:rsid w:val="00C212C5"/>
    <w:rsid w:val="00C2156E"/>
    <w:rsid w:val="00C21757"/>
    <w:rsid w:val="00C21987"/>
    <w:rsid w:val="00C21999"/>
    <w:rsid w:val="00C21AA0"/>
    <w:rsid w:val="00C21ABB"/>
    <w:rsid w:val="00C21BAF"/>
    <w:rsid w:val="00C21CC2"/>
    <w:rsid w:val="00C21E7C"/>
    <w:rsid w:val="00C21E92"/>
    <w:rsid w:val="00C21F0D"/>
    <w:rsid w:val="00C21F8A"/>
    <w:rsid w:val="00C22060"/>
    <w:rsid w:val="00C220B9"/>
    <w:rsid w:val="00C22103"/>
    <w:rsid w:val="00C22114"/>
    <w:rsid w:val="00C22149"/>
    <w:rsid w:val="00C2214C"/>
    <w:rsid w:val="00C22172"/>
    <w:rsid w:val="00C2224F"/>
    <w:rsid w:val="00C222F9"/>
    <w:rsid w:val="00C2237A"/>
    <w:rsid w:val="00C22494"/>
    <w:rsid w:val="00C2261D"/>
    <w:rsid w:val="00C2276A"/>
    <w:rsid w:val="00C227B9"/>
    <w:rsid w:val="00C22857"/>
    <w:rsid w:val="00C228D4"/>
    <w:rsid w:val="00C22A8D"/>
    <w:rsid w:val="00C22A9D"/>
    <w:rsid w:val="00C22AB4"/>
    <w:rsid w:val="00C22CB2"/>
    <w:rsid w:val="00C22D1B"/>
    <w:rsid w:val="00C22F7A"/>
    <w:rsid w:val="00C2311A"/>
    <w:rsid w:val="00C23157"/>
    <w:rsid w:val="00C23160"/>
    <w:rsid w:val="00C231C4"/>
    <w:rsid w:val="00C23221"/>
    <w:rsid w:val="00C23282"/>
    <w:rsid w:val="00C232E9"/>
    <w:rsid w:val="00C2393C"/>
    <w:rsid w:val="00C239D5"/>
    <w:rsid w:val="00C239D9"/>
    <w:rsid w:val="00C23BE2"/>
    <w:rsid w:val="00C23BEE"/>
    <w:rsid w:val="00C23C65"/>
    <w:rsid w:val="00C23E6C"/>
    <w:rsid w:val="00C23FE3"/>
    <w:rsid w:val="00C240AD"/>
    <w:rsid w:val="00C24145"/>
    <w:rsid w:val="00C241B5"/>
    <w:rsid w:val="00C2437B"/>
    <w:rsid w:val="00C24482"/>
    <w:rsid w:val="00C244B8"/>
    <w:rsid w:val="00C245DA"/>
    <w:rsid w:val="00C2476C"/>
    <w:rsid w:val="00C24810"/>
    <w:rsid w:val="00C248BD"/>
    <w:rsid w:val="00C24BCD"/>
    <w:rsid w:val="00C24C39"/>
    <w:rsid w:val="00C24CA0"/>
    <w:rsid w:val="00C24CA7"/>
    <w:rsid w:val="00C24F6E"/>
    <w:rsid w:val="00C25537"/>
    <w:rsid w:val="00C25566"/>
    <w:rsid w:val="00C255BC"/>
    <w:rsid w:val="00C25654"/>
    <w:rsid w:val="00C25758"/>
    <w:rsid w:val="00C2581A"/>
    <w:rsid w:val="00C25843"/>
    <w:rsid w:val="00C258F9"/>
    <w:rsid w:val="00C2597E"/>
    <w:rsid w:val="00C25C5F"/>
    <w:rsid w:val="00C25CB9"/>
    <w:rsid w:val="00C25E5B"/>
    <w:rsid w:val="00C25F8C"/>
    <w:rsid w:val="00C26246"/>
    <w:rsid w:val="00C26400"/>
    <w:rsid w:val="00C2664B"/>
    <w:rsid w:val="00C2673A"/>
    <w:rsid w:val="00C2676A"/>
    <w:rsid w:val="00C26922"/>
    <w:rsid w:val="00C26A53"/>
    <w:rsid w:val="00C26A89"/>
    <w:rsid w:val="00C26D3B"/>
    <w:rsid w:val="00C26EAF"/>
    <w:rsid w:val="00C27146"/>
    <w:rsid w:val="00C27229"/>
    <w:rsid w:val="00C272EA"/>
    <w:rsid w:val="00C27430"/>
    <w:rsid w:val="00C275B4"/>
    <w:rsid w:val="00C27607"/>
    <w:rsid w:val="00C27770"/>
    <w:rsid w:val="00C278AD"/>
    <w:rsid w:val="00C279DC"/>
    <w:rsid w:val="00C27A58"/>
    <w:rsid w:val="00C27AC1"/>
    <w:rsid w:val="00C27B2A"/>
    <w:rsid w:val="00C27D6E"/>
    <w:rsid w:val="00C27DB8"/>
    <w:rsid w:val="00C27DD5"/>
    <w:rsid w:val="00C27EDE"/>
    <w:rsid w:val="00C27FBF"/>
    <w:rsid w:val="00C30124"/>
    <w:rsid w:val="00C30168"/>
    <w:rsid w:val="00C30363"/>
    <w:rsid w:val="00C30381"/>
    <w:rsid w:val="00C30382"/>
    <w:rsid w:val="00C30436"/>
    <w:rsid w:val="00C30567"/>
    <w:rsid w:val="00C306FC"/>
    <w:rsid w:val="00C308C7"/>
    <w:rsid w:val="00C3093E"/>
    <w:rsid w:val="00C3095A"/>
    <w:rsid w:val="00C309DE"/>
    <w:rsid w:val="00C30E8C"/>
    <w:rsid w:val="00C30FEA"/>
    <w:rsid w:val="00C3101E"/>
    <w:rsid w:val="00C31196"/>
    <w:rsid w:val="00C311AE"/>
    <w:rsid w:val="00C316F0"/>
    <w:rsid w:val="00C316FB"/>
    <w:rsid w:val="00C3178E"/>
    <w:rsid w:val="00C31797"/>
    <w:rsid w:val="00C3189D"/>
    <w:rsid w:val="00C31975"/>
    <w:rsid w:val="00C31C18"/>
    <w:rsid w:val="00C31EC1"/>
    <w:rsid w:val="00C31F58"/>
    <w:rsid w:val="00C32086"/>
    <w:rsid w:val="00C32110"/>
    <w:rsid w:val="00C322BE"/>
    <w:rsid w:val="00C32332"/>
    <w:rsid w:val="00C32363"/>
    <w:rsid w:val="00C3242C"/>
    <w:rsid w:val="00C32488"/>
    <w:rsid w:val="00C32677"/>
    <w:rsid w:val="00C3271A"/>
    <w:rsid w:val="00C32832"/>
    <w:rsid w:val="00C3287B"/>
    <w:rsid w:val="00C32A11"/>
    <w:rsid w:val="00C32A62"/>
    <w:rsid w:val="00C32AD0"/>
    <w:rsid w:val="00C32AF4"/>
    <w:rsid w:val="00C32B47"/>
    <w:rsid w:val="00C32C6A"/>
    <w:rsid w:val="00C32C71"/>
    <w:rsid w:val="00C32E1E"/>
    <w:rsid w:val="00C3304D"/>
    <w:rsid w:val="00C3313B"/>
    <w:rsid w:val="00C331F6"/>
    <w:rsid w:val="00C332C8"/>
    <w:rsid w:val="00C33367"/>
    <w:rsid w:val="00C335D1"/>
    <w:rsid w:val="00C33750"/>
    <w:rsid w:val="00C3387A"/>
    <w:rsid w:val="00C33A41"/>
    <w:rsid w:val="00C33A7F"/>
    <w:rsid w:val="00C33B97"/>
    <w:rsid w:val="00C33CEC"/>
    <w:rsid w:val="00C33F3C"/>
    <w:rsid w:val="00C33F3D"/>
    <w:rsid w:val="00C33FD8"/>
    <w:rsid w:val="00C3403F"/>
    <w:rsid w:val="00C34094"/>
    <w:rsid w:val="00C34141"/>
    <w:rsid w:val="00C34145"/>
    <w:rsid w:val="00C34157"/>
    <w:rsid w:val="00C3419E"/>
    <w:rsid w:val="00C342C6"/>
    <w:rsid w:val="00C343C4"/>
    <w:rsid w:val="00C34564"/>
    <w:rsid w:val="00C345AB"/>
    <w:rsid w:val="00C347AF"/>
    <w:rsid w:val="00C34981"/>
    <w:rsid w:val="00C34C13"/>
    <w:rsid w:val="00C34C25"/>
    <w:rsid w:val="00C34D54"/>
    <w:rsid w:val="00C34F25"/>
    <w:rsid w:val="00C34FD1"/>
    <w:rsid w:val="00C351FE"/>
    <w:rsid w:val="00C35435"/>
    <w:rsid w:val="00C354B5"/>
    <w:rsid w:val="00C35983"/>
    <w:rsid w:val="00C359F3"/>
    <w:rsid w:val="00C35A65"/>
    <w:rsid w:val="00C35B23"/>
    <w:rsid w:val="00C35B52"/>
    <w:rsid w:val="00C35C49"/>
    <w:rsid w:val="00C35F3B"/>
    <w:rsid w:val="00C35FC1"/>
    <w:rsid w:val="00C35FF5"/>
    <w:rsid w:val="00C36135"/>
    <w:rsid w:val="00C3615B"/>
    <w:rsid w:val="00C36186"/>
    <w:rsid w:val="00C361D4"/>
    <w:rsid w:val="00C362C2"/>
    <w:rsid w:val="00C363D2"/>
    <w:rsid w:val="00C3652A"/>
    <w:rsid w:val="00C36535"/>
    <w:rsid w:val="00C36581"/>
    <w:rsid w:val="00C36645"/>
    <w:rsid w:val="00C36707"/>
    <w:rsid w:val="00C36717"/>
    <w:rsid w:val="00C36740"/>
    <w:rsid w:val="00C368FF"/>
    <w:rsid w:val="00C369C6"/>
    <w:rsid w:val="00C36B82"/>
    <w:rsid w:val="00C36D7A"/>
    <w:rsid w:val="00C36D90"/>
    <w:rsid w:val="00C36F3C"/>
    <w:rsid w:val="00C36F59"/>
    <w:rsid w:val="00C37044"/>
    <w:rsid w:val="00C37079"/>
    <w:rsid w:val="00C3718F"/>
    <w:rsid w:val="00C371A9"/>
    <w:rsid w:val="00C371CD"/>
    <w:rsid w:val="00C371D6"/>
    <w:rsid w:val="00C37225"/>
    <w:rsid w:val="00C37281"/>
    <w:rsid w:val="00C373E3"/>
    <w:rsid w:val="00C37402"/>
    <w:rsid w:val="00C37432"/>
    <w:rsid w:val="00C37454"/>
    <w:rsid w:val="00C37466"/>
    <w:rsid w:val="00C3760A"/>
    <w:rsid w:val="00C37660"/>
    <w:rsid w:val="00C376A4"/>
    <w:rsid w:val="00C37752"/>
    <w:rsid w:val="00C3778A"/>
    <w:rsid w:val="00C37838"/>
    <w:rsid w:val="00C37993"/>
    <w:rsid w:val="00C379C3"/>
    <w:rsid w:val="00C37A56"/>
    <w:rsid w:val="00C37E2B"/>
    <w:rsid w:val="00C37EF0"/>
    <w:rsid w:val="00C37F48"/>
    <w:rsid w:val="00C4010B"/>
    <w:rsid w:val="00C401A3"/>
    <w:rsid w:val="00C40393"/>
    <w:rsid w:val="00C40624"/>
    <w:rsid w:val="00C40672"/>
    <w:rsid w:val="00C40987"/>
    <w:rsid w:val="00C409A8"/>
    <w:rsid w:val="00C40A6B"/>
    <w:rsid w:val="00C40A91"/>
    <w:rsid w:val="00C40AE6"/>
    <w:rsid w:val="00C40C63"/>
    <w:rsid w:val="00C40E98"/>
    <w:rsid w:val="00C40F5F"/>
    <w:rsid w:val="00C41088"/>
    <w:rsid w:val="00C41158"/>
    <w:rsid w:val="00C41266"/>
    <w:rsid w:val="00C41326"/>
    <w:rsid w:val="00C41358"/>
    <w:rsid w:val="00C4136C"/>
    <w:rsid w:val="00C4140F"/>
    <w:rsid w:val="00C414C8"/>
    <w:rsid w:val="00C4165A"/>
    <w:rsid w:val="00C41680"/>
    <w:rsid w:val="00C416A1"/>
    <w:rsid w:val="00C416C5"/>
    <w:rsid w:val="00C416D4"/>
    <w:rsid w:val="00C416DD"/>
    <w:rsid w:val="00C418D7"/>
    <w:rsid w:val="00C419CB"/>
    <w:rsid w:val="00C419E0"/>
    <w:rsid w:val="00C41AA9"/>
    <w:rsid w:val="00C41ACE"/>
    <w:rsid w:val="00C41BF3"/>
    <w:rsid w:val="00C41D25"/>
    <w:rsid w:val="00C41EDE"/>
    <w:rsid w:val="00C420F4"/>
    <w:rsid w:val="00C42122"/>
    <w:rsid w:val="00C4228C"/>
    <w:rsid w:val="00C423D6"/>
    <w:rsid w:val="00C4243F"/>
    <w:rsid w:val="00C42449"/>
    <w:rsid w:val="00C424C0"/>
    <w:rsid w:val="00C42599"/>
    <w:rsid w:val="00C42618"/>
    <w:rsid w:val="00C426F6"/>
    <w:rsid w:val="00C427A3"/>
    <w:rsid w:val="00C427B0"/>
    <w:rsid w:val="00C42851"/>
    <w:rsid w:val="00C42BE9"/>
    <w:rsid w:val="00C42BF4"/>
    <w:rsid w:val="00C42C17"/>
    <w:rsid w:val="00C42DFB"/>
    <w:rsid w:val="00C42E93"/>
    <w:rsid w:val="00C42F39"/>
    <w:rsid w:val="00C42F91"/>
    <w:rsid w:val="00C4303B"/>
    <w:rsid w:val="00C434A6"/>
    <w:rsid w:val="00C435B6"/>
    <w:rsid w:val="00C4374E"/>
    <w:rsid w:val="00C438AC"/>
    <w:rsid w:val="00C438BA"/>
    <w:rsid w:val="00C43906"/>
    <w:rsid w:val="00C43910"/>
    <w:rsid w:val="00C43951"/>
    <w:rsid w:val="00C439F2"/>
    <w:rsid w:val="00C43B2B"/>
    <w:rsid w:val="00C43C60"/>
    <w:rsid w:val="00C43DE0"/>
    <w:rsid w:val="00C43E52"/>
    <w:rsid w:val="00C43EE7"/>
    <w:rsid w:val="00C4417B"/>
    <w:rsid w:val="00C443D3"/>
    <w:rsid w:val="00C444B2"/>
    <w:rsid w:val="00C444E8"/>
    <w:rsid w:val="00C4484B"/>
    <w:rsid w:val="00C44920"/>
    <w:rsid w:val="00C44BAC"/>
    <w:rsid w:val="00C44C2C"/>
    <w:rsid w:val="00C44C70"/>
    <w:rsid w:val="00C44DB3"/>
    <w:rsid w:val="00C44F00"/>
    <w:rsid w:val="00C45021"/>
    <w:rsid w:val="00C4507E"/>
    <w:rsid w:val="00C45102"/>
    <w:rsid w:val="00C4523A"/>
    <w:rsid w:val="00C4540B"/>
    <w:rsid w:val="00C454B2"/>
    <w:rsid w:val="00C456FE"/>
    <w:rsid w:val="00C45727"/>
    <w:rsid w:val="00C457A9"/>
    <w:rsid w:val="00C45927"/>
    <w:rsid w:val="00C45930"/>
    <w:rsid w:val="00C45AFC"/>
    <w:rsid w:val="00C45CAD"/>
    <w:rsid w:val="00C45CC9"/>
    <w:rsid w:val="00C45CD5"/>
    <w:rsid w:val="00C45E81"/>
    <w:rsid w:val="00C45F40"/>
    <w:rsid w:val="00C4602C"/>
    <w:rsid w:val="00C4607D"/>
    <w:rsid w:val="00C4626E"/>
    <w:rsid w:val="00C46422"/>
    <w:rsid w:val="00C464E4"/>
    <w:rsid w:val="00C4680B"/>
    <w:rsid w:val="00C4682E"/>
    <w:rsid w:val="00C46873"/>
    <w:rsid w:val="00C46949"/>
    <w:rsid w:val="00C46954"/>
    <w:rsid w:val="00C4697C"/>
    <w:rsid w:val="00C46B01"/>
    <w:rsid w:val="00C46CCB"/>
    <w:rsid w:val="00C46D12"/>
    <w:rsid w:val="00C46DB6"/>
    <w:rsid w:val="00C46DE1"/>
    <w:rsid w:val="00C46F12"/>
    <w:rsid w:val="00C470A4"/>
    <w:rsid w:val="00C47113"/>
    <w:rsid w:val="00C4712E"/>
    <w:rsid w:val="00C4723E"/>
    <w:rsid w:val="00C47294"/>
    <w:rsid w:val="00C472DF"/>
    <w:rsid w:val="00C47597"/>
    <w:rsid w:val="00C477A0"/>
    <w:rsid w:val="00C478C8"/>
    <w:rsid w:val="00C47A39"/>
    <w:rsid w:val="00C47D8B"/>
    <w:rsid w:val="00C47E06"/>
    <w:rsid w:val="00C47E64"/>
    <w:rsid w:val="00C47F62"/>
    <w:rsid w:val="00C47FC9"/>
    <w:rsid w:val="00C50131"/>
    <w:rsid w:val="00C502AB"/>
    <w:rsid w:val="00C502D7"/>
    <w:rsid w:val="00C503AE"/>
    <w:rsid w:val="00C503D5"/>
    <w:rsid w:val="00C50432"/>
    <w:rsid w:val="00C504BF"/>
    <w:rsid w:val="00C505AE"/>
    <w:rsid w:val="00C50635"/>
    <w:rsid w:val="00C50651"/>
    <w:rsid w:val="00C506AA"/>
    <w:rsid w:val="00C507EF"/>
    <w:rsid w:val="00C50B8F"/>
    <w:rsid w:val="00C50C80"/>
    <w:rsid w:val="00C50C9D"/>
    <w:rsid w:val="00C50CE7"/>
    <w:rsid w:val="00C50D38"/>
    <w:rsid w:val="00C50E3F"/>
    <w:rsid w:val="00C50E9E"/>
    <w:rsid w:val="00C5100B"/>
    <w:rsid w:val="00C51301"/>
    <w:rsid w:val="00C5135C"/>
    <w:rsid w:val="00C5139E"/>
    <w:rsid w:val="00C51524"/>
    <w:rsid w:val="00C515AD"/>
    <w:rsid w:val="00C516B9"/>
    <w:rsid w:val="00C51717"/>
    <w:rsid w:val="00C519F5"/>
    <w:rsid w:val="00C51BD8"/>
    <w:rsid w:val="00C51C88"/>
    <w:rsid w:val="00C51CF6"/>
    <w:rsid w:val="00C52009"/>
    <w:rsid w:val="00C52050"/>
    <w:rsid w:val="00C5222F"/>
    <w:rsid w:val="00C522E8"/>
    <w:rsid w:val="00C52363"/>
    <w:rsid w:val="00C523F8"/>
    <w:rsid w:val="00C5240B"/>
    <w:rsid w:val="00C5250B"/>
    <w:rsid w:val="00C525E4"/>
    <w:rsid w:val="00C526CF"/>
    <w:rsid w:val="00C526D8"/>
    <w:rsid w:val="00C5294A"/>
    <w:rsid w:val="00C5296A"/>
    <w:rsid w:val="00C52A58"/>
    <w:rsid w:val="00C52C5C"/>
    <w:rsid w:val="00C52E62"/>
    <w:rsid w:val="00C52E75"/>
    <w:rsid w:val="00C52FB5"/>
    <w:rsid w:val="00C5302C"/>
    <w:rsid w:val="00C53343"/>
    <w:rsid w:val="00C536B0"/>
    <w:rsid w:val="00C53810"/>
    <w:rsid w:val="00C53948"/>
    <w:rsid w:val="00C53A12"/>
    <w:rsid w:val="00C53AB3"/>
    <w:rsid w:val="00C53AFA"/>
    <w:rsid w:val="00C53BC8"/>
    <w:rsid w:val="00C53D8A"/>
    <w:rsid w:val="00C53EC0"/>
    <w:rsid w:val="00C54001"/>
    <w:rsid w:val="00C542A3"/>
    <w:rsid w:val="00C543C2"/>
    <w:rsid w:val="00C546EF"/>
    <w:rsid w:val="00C54747"/>
    <w:rsid w:val="00C547EE"/>
    <w:rsid w:val="00C54A07"/>
    <w:rsid w:val="00C54BAC"/>
    <w:rsid w:val="00C54BBD"/>
    <w:rsid w:val="00C54D2B"/>
    <w:rsid w:val="00C54EF0"/>
    <w:rsid w:val="00C54F96"/>
    <w:rsid w:val="00C552C8"/>
    <w:rsid w:val="00C55346"/>
    <w:rsid w:val="00C5544D"/>
    <w:rsid w:val="00C55511"/>
    <w:rsid w:val="00C5561D"/>
    <w:rsid w:val="00C558D4"/>
    <w:rsid w:val="00C55BEE"/>
    <w:rsid w:val="00C55C6A"/>
    <w:rsid w:val="00C55DD5"/>
    <w:rsid w:val="00C55E1B"/>
    <w:rsid w:val="00C55EA2"/>
    <w:rsid w:val="00C55F28"/>
    <w:rsid w:val="00C55FC4"/>
    <w:rsid w:val="00C56065"/>
    <w:rsid w:val="00C560D5"/>
    <w:rsid w:val="00C561AD"/>
    <w:rsid w:val="00C562B0"/>
    <w:rsid w:val="00C563B4"/>
    <w:rsid w:val="00C5642D"/>
    <w:rsid w:val="00C5653A"/>
    <w:rsid w:val="00C56DAD"/>
    <w:rsid w:val="00C56F46"/>
    <w:rsid w:val="00C57066"/>
    <w:rsid w:val="00C5717E"/>
    <w:rsid w:val="00C5726E"/>
    <w:rsid w:val="00C573EA"/>
    <w:rsid w:val="00C574AA"/>
    <w:rsid w:val="00C576B2"/>
    <w:rsid w:val="00C577B1"/>
    <w:rsid w:val="00C5780B"/>
    <w:rsid w:val="00C5785C"/>
    <w:rsid w:val="00C57AEE"/>
    <w:rsid w:val="00C57AF0"/>
    <w:rsid w:val="00C57B1E"/>
    <w:rsid w:val="00C57C21"/>
    <w:rsid w:val="00C57CAD"/>
    <w:rsid w:val="00C57DBC"/>
    <w:rsid w:val="00C601B2"/>
    <w:rsid w:val="00C601F0"/>
    <w:rsid w:val="00C602AA"/>
    <w:rsid w:val="00C6034F"/>
    <w:rsid w:val="00C60358"/>
    <w:rsid w:val="00C603CD"/>
    <w:rsid w:val="00C6045E"/>
    <w:rsid w:val="00C605F2"/>
    <w:rsid w:val="00C6061F"/>
    <w:rsid w:val="00C607B3"/>
    <w:rsid w:val="00C60876"/>
    <w:rsid w:val="00C60C73"/>
    <w:rsid w:val="00C60EDA"/>
    <w:rsid w:val="00C60F0D"/>
    <w:rsid w:val="00C61102"/>
    <w:rsid w:val="00C61188"/>
    <w:rsid w:val="00C61226"/>
    <w:rsid w:val="00C61318"/>
    <w:rsid w:val="00C6146D"/>
    <w:rsid w:val="00C6164E"/>
    <w:rsid w:val="00C61691"/>
    <w:rsid w:val="00C6179B"/>
    <w:rsid w:val="00C61CEC"/>
    <w:rsid w:val="00C61D9A"/>
    <w:rsid w:val="00C61FB9"/>
    <w:rsid w:val="00C62060"/>
    <w:rsid w:val="00C6209A"/>
    <w:rsid w:val="00C6228A"/>
    <w:rsid w:val="00C62368"/>
    <w:rsid w:val="00C62B25"/>
    <w:rsid w:val="00C62C3E"/>
    <w:rsid w:val="00C62D51"/>
    <w:rsid w:val="00C62F15"/>
    <w:rsid w:val="00C62F92"/>
    <w:rsid w:val="00C63179"/>
    <w:rsid w:val="00C63697"/>
    <w:rsid w:val="00C636BE"/>
    <w:rsid w:val="00C63774"/>
    <w:rsid w:val="00C6379E"/>
    <w:rsid w:val="00C637AA"/>
    <w:rsid w:val="00C638F7"/>
    <w:rsid w:val="00C63AC2"/>
    <w:rsid w:val="00C63BA9"/>
    <w:rsid w:val="00C63CB3"/>
    <w:rsid w:val="00C63D8C"/>
    <w:rsid w:val="00C63F4E"/>
    <w:rsid w:val="00C6407E"/>
    <w:rsid w:val="00C640D0"/>
    <w:rsid w:val="00C64143"/>
    <w:rsid w:val="00C64211"/>
    <w:rsid w:val="00C642D5"/>
    <w:rsid w:val="00C64340"/>
    <w:rsid w:val="00C64442"/>
    <w:rsid w:val="00C64672"/>
    <w:rsid w:val="00C646E0"/>
    <w:rsid w:val="00C64809"/>
    <w:rsid w:val="00C6480A"/>
    <w:rsid w:val="00C64852"/>
    <w:rsid w:val="00C6486D"/>
    <w:rsid w:val="00C64AB8"/>
    <w:rsid w:val="00C64B4F"/>
    <w:rsid w:val="00C64D10"/>
    <w:rsid w:val="00C64E9A"/>
    <w:rsid w:val="00C64F0E"/>
    <w:rsid w:val="00C65113"/>
    <w:rsid w:val="00C65136"/>
    <w:rsid w:val="00C6521A"/>
    <w:rsid w:val="00C65381"/>
    <w:rsid w:val="00C653AA"/>
    <w:rsid w:val="00C653F8"/>
    <w:rsid w:val="00C6553F"/>
    <w:rsid w:val="00C65693"/>
    <w:rsid w:val="00C65766"/>
    <w:rsid w:val="00C65865"/>
    <w:rsid w:val="00C65988"/>
    <w:rsid w:val="00C65B9F"/>
    <w:rsid w:val="00C65DB8"/>
    <w:rsid w:val="00C65E0C"/>
    <w:rsid w:val="00C66243"/>
    <w:rsid w:val="00C663E8"/>
    <w:rsid w:val="00C66494"/>
    <w:rsid w:val="00C664CC"/>
    <w:rsid w:val="00C66634"/>
    <w:rsid w:val="00C66825"/>
    <w:rsid w:val="00C669D5"/>
    <w:rsid w:val="00C66A4F"/>
    <w:rsid w:val="00C66AAF"/>
    <w:rsid w:val="00C66BA1"/>
    <w:rsid w:val="00C66BA4"/>
    <w:rsid w:val="00C66BF9"/>
    <w:rsid w:val="00C66D7B"/>
    <w:rsid w:val="00C66EF8"/>
    <w:rsid w:val="00C6728C"/>
    <w:rsid w:val="00C67489"/>
    <w:rsid w:val="00C67501"/>
    <w:rsid w:val="00C676E3"/>
    <w:rsid w:val="00C6774C"/>
    <w:rsid w:val="00C67762"/>
    <w:rsid w:val="00C67A6F"/>
    <w:rsid w:val="00C67BB4"/>
    <w:rsid w:val="00C67BCA"/>
    <w:rsid w:val="00C67CEC"/>
    <w:rsid w:val="00C67DDF"/>
    <w:rsid w:val="00C70091"/>
    <w:rsid w:val="00C70307"/>
    <w:rsid w:val="00C70313"/>
    <w:rsid w:val="00C7050B"/>
    <w:rsid w:val="00C706DA"/>
    <w:rsid w:val="00C70701"/>
    <w:rsid w:val="00C70781"/>
    <w:rsid w:val="00C7085C"/>
    <w:rsid w:val="00C70A0E"/>
    <w:rsid w:val="00C70D9D"/>
    <w:rsid w:val="00C70E15"/>
    <w:rsid w:val="00C70E3A"/>
    <w:rsid w:val="00C70FC9"/>
    <w:rsid w:val="00C71008"/>
    <w:rsid w:val="00C7103D"/>
    <w:rsid w:val="00C710A9"/>
    <w:rsid w:val="00C711C4"/>
    <w:rsid w:val="00C711D2"/>
    <w:rsid w:val="00C711DE"/>
    <w:rsid w:val="00C7120D"/>
    <w:rsid w:val="00C7137F"/>
    <w:rsid w:val="00C714F1"/>
    <w:rsid w:val="00C719B3"/>
    <w:rsid w:val="00C71B5C"/>
    <w:rsid w:val="00C71B6C"/>
    <w:rsid w:val="00C71C70"/>
    <w:rsid w:val="00C71D6D"/>
    <w:rsid w:val="00C71DDF"/>
    <w:rsid w:val="00C71EB2"/>
    <w:rsid w:val="00C720D3"/>
    <w:rsid w:val="00C720DD"/>
    <w:rsid w:val="00C725DE"/>
    <w:rsid w:val="00C727CA"/>
    <w:rsid w:val="00C72845"/>
    <w:rsid w:val="00C729F0"/>
    <w:rsid w:val="00C72AF4"/>
    <w:rsid w:val="00C72B1E"/>
    <w:rsid w:val="00C72C63"/>
    <w:rsid w:val="00C72C64"/>
    <w:rsid w:val="00C72FFB"/>
    <w:rsid w:val="00C73175"/>
    <w:rsid w:val="00C731FE"/>
    <w:rsid w:val="00C7339C"/>
    <w:rsid w:val="00C73507"/>
    <w:rsid w:val="00C73579"/>
    <w:rsid w:val="00C73596"/>
    <w:rsid w:val="00C735D7"/>
    <w:rsid w:val="00C73680"/>
    <w:rsid w:val="00C73920"/>
    <w:rsid w:val="00C73AA4"/>
    <w:rsid w:val="00C73C65"/>
    <w:rsid w:val="00C73EDB"/>
    <w:rsid w:val="00C73F86"/>
    <w:rsid w:val="00C740BB"/>
    <w:rsid w:val="00C74157"/>
    <w:rsid w:val="00C74364"/>
    <w:rsid w:val="00C74475"/>
    <w:rsid w:val="00C74568"/>
    <w:rsid w:val="00C745E0"/>
    <w:rsid w:val="00C74758"/>
    <w:rsid w:val="00C74818"/>
    <w:rsid w:val="00C748DB"/>
    <w:rsid w:val="00C748E3"/>
    <w:rsid w:val="00C74A0A"/>
    <w:rsid w:val="00C74A33"/>
    <w:rsid w:val="00C74A63"/>
    <w:rsid w:val="00C7511B"/>
    <w:rsid w:val="00C75227"/>
    <w:rsid w:val="00C75257"/>
    <w:rsid w:val="00C752FA"/>
    <w:rsid w:val="00C7541C"/>
    <w:rsid w:val="00C75477"/>
    <w:rsid w:val="00C75669"/>
    <w:rsid w:val="00C7572E"/>
    <w:rsid w:val="00C757AE"/>
    <w:rsid w:val="00C75831"/>
    <w:rsid w:val="00C758C4"/>
    <w:rsid w:val="00C75EC6"/>
    <w:rsid w:val="00C760BC"/>
    <w:rsid w:val="00C761B4"/>
    <w:rsid w:val="00C7620B"/>
    <w:rsid w:val="00C76266"/>
    <w:rsid w:val="00C7641B"/>
    <w:rsid w:val="00C7658E"/>
    <w:rsid w:val="00C765ED"/>
    <w:rsid w:val="00C7681B"/>
    <w:rsid w:val="00C76886"/>
    <w:rsid w:val="00C76920"/>
    <w:rsid w:val="00C76938"/>
    <w:rsid w:val="00C76A17"/>
    <w:rsid w:val="00C76A54"/>
    <w:rsid w:val="00C76BD6"/>
    <w:rsid w:val="00C76D54"/>
    <w:rsid w:val="00C76E12"/>
    <w:rsid w:val="00C76F4A"/>
    <w:rsid w:val="00C76F8A"/>
    <w:rsid w:val="00C77032"/>
    <w:rsid w:val="00C77128"/>
    <w:rsid w:val="00C772BA"/>
    <w:rsid w:val="00C7731A"/>
    <w:rsid w:val="00C774D2"/>
    <w:rsid w:val="00C774F2"/>
    <w:rsid w:val="00C77511"/>
    <w:rsid w:val="00C77626"/>
    <w:rsid w:val="00C776F0"/>
    <w:rsid w:val="00C776F9"/>
    <w:rsid w:val="00C77B0B"/>
    <w:rsid w:val="00C77B55"/>
    <w:rsid w:val="00C77B89"/>
    <w:rsid w:val="00C77CE7"/>
    <w:rsid w:val="00C77D88"/>
    <w:rsid w:val="00C77D93"/>
    <w:rsid w:val="00C77DFE"/>
    <w:rsid w:val="00C77FDE"/>
    <w:rsid w:val="00C802C5"/>
    <w:rsid w:val="00C80300"/>
    <w:rsid w:val="00C804CB"/>
    <w:rsid w:val="00C80500"/>
    <w:rsid w:val="00C808AB"/>
    <w:rsid w:val="00C808B9"/>
    <w:rsid w:val="00C8091C"/>
    <w:rsid w:val="00C80C31"/>
    <w:rsid w:val="00C80D7A"/>
    <w:rsid w:val="00C810A5"/>
    <w:rsid w:val="00C81299"/>
    <w:rsid w:val="00C81309"/>
    <w:rsid w:val="00C813F4"/>
    <w:rsid w:val="00C815E9"/>
    <w:rsid w:val="00C8172F"/>
    <w:rsid w:val="00C8177D"/>
    <w:rsid w:val="00C81BE5"/>
    <w:rsid w:val="00C81D0B"/>
    <w:rsid w:val="00C81DF4"/>
    <w:rsid w:val="00C82026"/>
    <w:rsid w:val="00C821CC"/>
    <w:rsid w:val="00C821D0"/>
    <w:rsid w:val="00C82257"/>
    <w:rsid w:val="00C82296"/>
    <w:rsid w:val="00C823D7"/>
    <w:rsid w:val="00C8246D"/>
    <w:rsid w:val="00C824A6"/>
    <w:rsid w:val="00C824ED"/>
    <w:rsid w:val="00C826D0"/>
    <w:rsid w:val="00C828BB"/>
    <w:rsid w:val="00C82A8F"/>
    <w:rsid w:val="00C82D47"/>
    <w:rsid w:val="00C82D74"/>
    <w:rsid w:val="00C82EC5"/>
    <w:rsid w:val="00C82F33"/>
    <w:rsid w:val="00C83086"/>
    <w:rsid w:val="00C83336"/>
    <w:rsid w:val="00C8372C"/>
    <w:rsid w:val="00C8375F"/>
    <w:rsid w:val="00C83866"/>
    <w:rsid w:val="00C8396F"/>
    <w:rsid w:val="00C83975"/>
    <w:rsid w:val="00C83A44"/>
    <w:rsid w:val="00C83CC0"/>
    <w:rsid w:val="00C83D14"/>
    <w:rsid w:val="00C83E07"/>
    <w:rsid w:val="00C83E3C"/>
    <w:rsid w:val="00C83E94"/>
    <w:rsid w:val="00C83EA1"/>
    <w:rsid w:val="00C83EE8"/>
    <w:rsid w:val="00C83F5E"/>
    <w:rsid w:val="00C841FD"/>
    <w:rsid w:val="00C8424D"/>
    <w:rsid w:val="00C8429A"/>
    <w:rsid w:val="00C84317"/>
    <w:rsid w:val="00C843D5"/>
    <w:rsid w:val="00C843F4"/>
    <w:rsid w:val="00C84491"/>
    <w:rsid w:val="00C844A5"/>
    <w:rsid w:val="00C8486A"/>
    <w:rsid w:val="00C849DA"/>
    <w:rsid w:val="00C849DE"/>
    <w:rsid w:val="00C84B9C"/>
    <w:rsid w:val="00C84BFB"/>
    <w:rsid w:val="00C84E17"/>
    <w:rsid w:val="00C84E1D"/>
    <w:rsid w:val="00C84E37"/>
    <w:rsid w:val="00C84EDD"/>
    <w:rsid w:val="00C84F5D"/>
    <w:rsid w:val="00C84F74"/>
    <w:rsid w:val="00C85056"/>
    <w:rsid w:val="00C85172"/>
    <w:rsid w:val="00C8562C"/>
    <w:rsid w:val="00C85652"/>
    <w:rsid w:val="00C8578A"/>
    <w:rsid w:val="00C85801"/>
    <w:rsid w:val="00C858B7"/>
    <w:rsid w:val="00C85A1A"/>
    <w:rsid w:val="00C85A98"/>
    <w:rsid w:val="00C85ABD"/>
    <w:rsid w:val="00C85AC6"/>
    <w:rsid w:val="00C85B51"/>
    <w:rsid w:val="00C85C1F"/>
    <w:rsid w:val="00C85C8F"/>
    <w:rsid w:val="00C85E88"/>
    <w:rsid w:val="00C85EE4"/>
    <w:rsid w:val="00C85FB6"/>
    <w:rsid w:val="00C8623E"/>
    <w:rsid w:val="00C8625F"/>
    <w:rsid w:val="00C862CC"/>
    <w:rsid w:val="00C863F3"/>
    <w:rsid w:val="00C86403"/>
    <w:rsid w:val="00C86483"/>
    <w:rsid w:val="00C86590"/>
    <w:rsid w:val="00C86BEF"/>
    <w:rsid w:val="00C86CF4"/>
    <w:rsid w:val="00C86DBA"/>
    <w:rsid w:val="00C86EAC"/>
    <w:rsid w:val="00C8724B"/>
    <w:rsid w:val="00C87487"/>
    <w:rsid w:val="00C8766D"/>
    <w:rsid w:val="00C876C9"/>
    <w:rsid w:val="00C87700"/>
    <w:rsid w:val="00C87841"/>
    <w:rsid w:val="00C87879"/>
    <w:rsid w:val="00C87A79"/>
    <w:rsid w:val="00C87BE8"/>
    <w:rsid w:val="00C87DE0"/>
    <w:rsid w:val="00C9007A"/>
    <w:rsid w:val="00C900D7"/>
    <w:rsid w:val="00C9010F"/>
    <w:rsid w:val="00C9012B"/>
    <w:rsid w:val="00C901B6"/>
    <w:rsid w:val="00C904CE"/>
    <w:rsid w:val="00C90523"/>
    <w:rsid w:val="00C90623"/>
    <w:rsid w:val="00C909EE"/>
    <w:rsid w:val="00C90A1E"/>
    <w:rsid w:val="00C90A82"/>
    <w:rsid w:val="00C90A8E"/>
    <w:rsid w:val="00C90ACC"/>
    <w:rsid w:val="00C90B56"/>
    <w:rsid w:val="00C910B7"/>
    <w:rsid w:val="00C91274"/>
    <w:rsid w:val="00C9130F"/>
    <w:rsid w:val="00C9188B"/>
    <w:rsid w:val="00C91947"/>
    <w:rsid w:val="00C9198C"/>
    <w:rsid w:val="00C919D6"/>
    <w:rsid w:val="00C91A91"/>
    <w:rsid w:val="00C91B84"/>
    <w:rsid w:val="00C91C3D"/>
    <w:rsid w:val="00C91CCA"/>
    <w:rsid w:val="00C91DBB"/>
    <w:rsid w:val="00C91F12"/>
    <w:rsid w:val="00C92062"/>
    <w:rsid w:val="00C920C6"/>
    <w:rsid w:val="00C92126"/>
    <w:rsid w:val="00C921B9"/>
    <w:rsid w:val="00C92209"/>
    <w:rsid w:val="00C9239A"/>
    <w:rsid w:val="00C924B5"/>
    <w:rsid w:val="00C927EE"/>
    <w:rsid w:val="00C92884"/>
    <w:rsid w:val="00C929EF"/>
    <w:rsid w:val="00C92A15"/>
    <w:rsid w:val="00C92B29"/>
    <w:rsid w:val="00C92DBB"/>
    <w:rsid w:val="00C92DDE"/>
    <w:rsid w:val="00C92F0B"/>
    <w:rsid w:val="00C92F60"/>
    <w:rsid w:val="00C93021"/>
    <w:rsid w:val="00C93253"/>
    <w:rsid w:val="00C9326F"/>
    <w:rsid w:val="00C93313"/>
    <w:rsid w:val="00C93360"/>
    <w:rsid w:val="00C93408"/>
    <w:rsid w:val="00C9368F"/>
    <w:rsid w:val="00C937AA"/>
    <w:rsid w:val="00C939BB"/>
    <w:rsid w:val="00C93A2D"/>
    <w:rsid w:val="00C93A87"/>
    <w:rsid w:val="00C93BA7"/>
    <w:rsid w:val="00C93BEB"/>
    <w:rsid w:val="00C93C59"/>
    <w:rsid w:val="00C93E2A"/>
    <w:rsid w:val="00C94087"/>
    <w:rsid w:val="00C941C4"/>
    <w:rsid w:val="00C941FB"/>
    <w:rsid w:val="00C94263"/>
    <w:rsid w:val="00C94265"/>
    <w:rsid w:val="00C942C4"/>
    <w:rsid w:val="00C945C7"/>
    <w:rsid w:val="00C946DA"/>
    <w:rsid w:val="00C9471E"/>
    <w:rsid w:val="00C9479B"/>
    <w:rsid w:val="00C947ED"/>
    <w:rsid w:val="00C94ACE"/>
    <w:rsid w:val="00C94B8A"/>
    <w:rsid w:val="00C94C06"/>
    <w:rsid w:val="00C94C0D"/>
    <w:rsid w:val="00C94E26"/>
    <w:rsid w:val="00C94F96"/>
    <w:rsid w:val="00C950CD"/>
    <w:rsid w:val="00C9510A"/>
    <w:rsid w:val="00C951C9"/>
    <w:rsid w:val="00C951E1"/>
    <w:rsid w:val="00C952E7"/>
    <w:rsid w:val="00C95335"/>
    <w:rsid w:val="00C95431"/>
    <w:rsid w:val="00C95459"/>
    <w:rsid w:val="00C95509"/>
    <w:rsid w:val="00C95A81"/>
    <w:rsid w:val="00C95AB3"/>
    <w:rsid w:val="00C95D42"/>
    <w:rsid w:val="00C95DCD"/>
    <w:rsid w:val="00C95E92"/>
    <w:rsid w:val="00C95F37"/>
    <w:rsid w:val="00C95F68"/>
    <w:rsid w:val="00C96225"/>
    <w:rsid w:val="00C962A1"/>
    <w:rsid w:val="00C962F5"/>
    <w:rsid w:val="00C96529"/>
    <w:rsid w:val="00C967A2"/>
    <w:rsid w:val="00C967DD"/>
    <w:rsid w:val="00C96900"/>
    <w:rsid w:val="00C96951"/>
    <w:rsid w:val="00C96B2F"/>
    <w:rsid w:val="00C96B70"/>
    <w:rsid w:val="00C96C36"/>
    <w:rsid w:val="00C96C66"/>
    <w:rsid w:val="00C96D57"/>
    <w:rsid w:val="00C96DB2"/>
    <w:rsid w:val="00C96E03"/>
    <w:rsid w:val="00C96EB2"/>
    <w:rsid w:val="00C96EB3"/>
    <w:rsid w:val="00C96EFE"/>
    <w:rsid w:val="00C97253"/>
    <w:rsid w:val="00C9729B"/>
    <w:rsid w:val="00C974A6"/>
    <w:rsid w:val="00C974F0"/>
    <w:rsid w:val="00C97598"/>
    <w:rsid w:val="00C975AF"/>
    <w:rsid w:val="00C977E7"/>
    <w:rsid w:val="00C97A3F"/>
    <w:rsid w:val="00C97D64"/>
    <w:rsid w:val="00C97EE7"/>
    <w:rsid w:val="00CA0035"/>
    <w:rsid w:val="00CA012E"/>
    <w:rsid w:val="00CA0154"/>
    <w:rsid w:val="00CA0174"/>
    <w:rsid w:val="00CA01AC"/>
    <w:rsid w:val="00CA0480"/>
    <w:rsid w:val="00CA04D7"/>
    <w:rsid w:val="00CA0521"/>
    <w:rsid w:val="00CA0733"/>
    <w:rsid w:val="00CA07B8"/>
    <w:rsid w:val="00CA07D0"/>
    <w:rsid w:val="00CA08F2"/>
    <w:rsid w:val="00CA099C"/>
    <w:rsid w:val="00CA0A0E"/>
    <w:rsid w:val="00CA0B08"/>
    <w:rsid w:val="00CA0C07"/>
    <w:rsid w:val="00CA0C8A"/>
    <w:rsid w:val="00CA0D0B"/>
    <w:rsid w:val="00CA0F5D"/>
    <w:rsid w:val="00CA1014"/>
    <w:rsid w:val="00CA11C1"/>
    <w:rsid w:val="00CA1382"/>
    <w:rsid w:val="00CA13FB"/>
    <w:rsid w:val="00CA15A3"/>
    <w:rsid w:val="00CA15C0"/>
    <w:rsid w:val="00CA163F"/>
    <w:rsid w:val="00CA174F"/>
    <w:rsid w:val="00CA1A37"/>
    <w:rsid w:val="00CA1AA4"/>
    <w:rsid w:val="00CA1B2F"/>
    <w:rsid w:val="00CA1BCF"/>
    <w:rsid w:val="00CA1C91"/>
    <w:rsid w:val="00CA1CEC"/>
    <w:rsid w:val="00CA1DD5"/>
    <w:rsid w:val="00CA1F3B"/>
    <w:rsid w:val="00CA1F43"/>
    <w:rsid w:val="00CA1FEE"/>
    <w:rsid w:val="00CA20CC"/>
    <w:rsid w:val="00CA2655"/>
    <w:rsid w:val="00CA2751"/>
    <w:rsid w:val="00CA2822"/>
    <w:rsid w:val="00CA2A7B"/>
    <w:rsid w:val="00CA2C24"/>
    <w:rsid w:val="00CA2D17"/>
    <w:rsid w:val="00CA311D"/>
    <w:rsid w:val="00CA32D3"/>
    <w:rsid w:val="00CA3307"/>
    <w:rsid w:val="00CA3323"/>
    <w:rsid w:val="00CA3383"/>
    <w:rsid w:val="00CA33E2"/>
    <w:rsid w:val="00CA342A"/>
    <w:rsid w:val="00CA3491"/>
    <w:rsid w:val="00CA34A2"/>
    <w:rsid w:val="00CA3588"/>
    <w:rsid w:val="00CA36E5"/>
    <w:rsid w:val="00CA3754"/>
    <w:rsid w:val="00CA3866"/>
    <w:rsid w:val="00CA3CD9"/>
    <w:rsid w:val="00CA4039"/>
    <w:rsid w:val="00CA4131"/>
    <w:rsid w:val="00CA41FF"/>
    <w:rsid w:val="00CA42D2"/>
    <w:rsid w:val="00CA42E1"/>
    <w:rsid w:val="00CA4402"/>
    <w:rsid w:val="00CA4891"/>
    <w:rsid w:val="00CA48DF"/>
    <w:rsid w:val="00CA4E1E"/>
    <w:rsid w:val="00CA4E65"/>
    <w:rsid w:val="00CA4E80"/>
    <w:rsid w:val="00CA4F0A"/>
    <w:rsid w:val="00CA4F83"/>
    <w:rsid w:val="00CA5265"/>
    <w:rsid w:val="00CA5288"/>
    <w:rsid w:val="00CA532F"/>
    <w:rsid w:val="00CA54BF"/>
    <w:rsid w:val="00CA5590"/>
    <w:rsid w:val="00CA5724"/>
    <w:rsid w:val="00CA596A"/>
    <w:rsid w:val="00CA598F"/>
    <w:rsid w:val="00CA5A7F"/>
    <w:rsid w:val="00CA5B95"/>
    <w:rsid w:val="00CA5ECD"/>
    <w:rsid w:val="00CA600D"/>
    <w:rsid w:val="00CA60DB"/>
    <w:rsid w:val="00CA62ED"/>
    <w:rsid w:val="00CA63E1"/>
    <w:rsid w:val="00CA63E4"/>
    <w:rsid w:val="00CA63FB"/>
    <w:rsid w:val="00CA648D"/>
    <w:rsid w:val="00CA64D6"/>
    <w:rsid w:val="00CA64FF"/>
    <w:rsid w:val="00CA650C"/>
    <w:rsid w:val="00CA6526"/>
    <w:rsid w:val="00CA6551"/>
    <w:rsid w:val="00CA6557"/>
    <w:rsid w:val="00CA661A"/>
    <w:rsid w:val="00CA663C"/>
    <w:rsid w:val="00CA66A3"/>
    <w:rsid w:val="00CA673A"/>
    <w:rsid w:val="00CA6849"/>
    <w:rsid w:val="00CA69B6"/>
    <w:rsid w:val="00CA6A50"/>
    <w:rsid w:val="00CA6A69"/>
    <w:rsid w:val="00CA6C27"/>
    <w:rsid w:val="00CA6F08"/>
    <w:rsid w:val="00CA6F91"/>
    <w:rsid w:val="00CA7010"/>
    <w:rsid w:val="00CA7064"/>
    <w:rsid w:val="00CA70BC"/>
    <w:rsid w:val="00CA70DC"/>
    <w:rsid w:val="00CA71AA"/>
    <w:rsid w:val="00CA71D4"/>
    <w:rsid w:val="00CA724C"/>
    <w:rsid w:val="00CA7331"/>
    <w:rsid w:val="00CA741F"/>
    <w:rsid w:val="00CA75AF"/>
    <w:rsid w:val="00CA75FB"/>
    <w:rsid w:val="00CA7832"/>
    <w:rsid w:val="00CA7A15"/>
    <w:rsid w:val="00CA7A1D"/>
    <w:rsid w:val="00CA7A6A"/>
    <w:rsid w:val="00CA7B6B"/>
    <w:rsid w:val="00CA7C53"/>
    <w:rsid w:val="00CA7C8F"/>
    <w:rsid w:val="00CA7FD1"/>
    <w:rsid w:val="00CB0046"/>
    <w:rsid w:val="00CB01DC"/>
    <w:rsid w:val="00CB02A6"/>
    <w:rsid w:val="00CB0373"/>
    <w:rsid w:val="00CB041C"/>
    <w:rsid w:val="00CB04A4"/>
    <w:rsid w:val="00CB0603"/>
    <w:rsid w:val="00CB0635"/>
    <w:rsid w:val="00CB0637"/>
    <w:rsid w:val="00CB0665"/>
    <w:rsid w:val="00CB0A8D"/>
    <w:rsid w:val="00CB0CEE"/>
    <w:rsid w:val="00CB0DBB"/>
    <w:rsid w:val="00CB1147"/>
    <w:rsid w:val="00CB1166"/>
    <w:rsid w:val="00CB11CC"/>
    <w:rsid w:val="00CB124A"/>
    <w:rsid w:val="00CB130F"/>
    <w:rsid w:val="00CB14B2"/>
    <w:rsid w:val="00CB1982"/>
    <w:rsid w:val="00CB1CA2"/>
    <w:rsid w:val="00CB1D6D"/>
    <w:rsid w:val="00CB1DC1"/>
    <w:rsid w:val="00CB2001"/>
    <w:rsid w:val="00CB21AF"/>
    <w:rsid w:val="00CB237B"/>
    <w:rsid w:val="00CB24AA"/>
    <w:rsid w:val="00CB256B"/>
    <w:rsid w:val="00CB25FF"/>
    <w:rsid w:val="00CB264E"/>
    <w:rsid w:val="00CB27B1"/>
    <w:rsid w:val="00CB2B60"/>
    <w:rsid w:val="00CB2C30"/>
    <w:rsid w:val="00CB2F36"/>
    <w:rsid w:val="00CB31C6"/>
    <w:rsid w:val="00CB31D0"/>
    <w:rsid w:val="00CB340C"/>
    <w:rsid w:val="00CB35C7"/>
    <w:rsid w:val="00CB35E7"/>
    <w:rsid w:val="00CB37D7"/>
    <w:rsid w:val="00CB398E"/>
    <w:rsid w:val="00CB3AE7"/>
    <w:rsid w:val="00CB3CAB"/>
    <w:rsid w:val="00CB3E63"/>
    <w:rsid w:val="00CB3ED1"/>
    <w:rsid w:val="00CB3FC6"/>
    <w:rsid w:val="00CB4005"/>
    <w:rsid w:val="00CB41FD"/>
    <w:rsid w:val="00CB4368"/>
    <w:rsid w:val="00CB43B7"/>
    <w:rsid w:val="00CB43D5"/>
    <w:rsid w:val="00CB4455"/>
    <w:rsid w:val="00CB44D5"/>
    <w:rsid w:val="00CB459F"/>
    <w:rsid w:val="00CB479D"/>
    <w:rsid w:val="00CB47FC"/>
    <w:rsid w:val="00CB4871"/>
    <w:rsid w:val="00CB4894"/>
    <w:rsid w:val="00CB4B33"/>
    <w:rsid w:val="00CB4C6D"/>
    <w:rsid w:val="00CB4DF4"/>
    <w:rsid w:val="00CB4E5F"/>
    <w:rsid w:val="00CB518A"/>
    <w:rsid w:val="00CB5226"/>
    <w:rsid w:val="00CB5360"/>
    <w:rsid w:val="00CB56BF"/>
    <w:rsid w:val="00CB5B08"/>
    <w:rsid w:val="00CB5B22"/>
    <w:rsid w:val="00CB5BE3"/>
    <w:rsid w:val="00CB5DFE"/>
    <w:rsid w:val="00CB5E9A"/>
    <w:rsid w:val="00CB5F8A"/>
    <w:rsid w:val="00CB6045"/>
    <w:rsid w:val="00CB61E1"/>
    <w:rsid w:val="00CB629D"/>
    <w:rsid w:val="00CB62EB"/>
    <w:rsid w:val="00CB63AC"/>
    <w:rsid w:val="00CB6482"/>
    <w:rsid w:val="00CB64A0"/>
    <w:rsid w:val="00CB67A0"/>
    <w:rsid w:val="00CB67C9"/>
    <w:rsid w:val="00CB67CA"/>
    <w:rsid w:val="00CB683D"/>
    <w:rsid w:val="00CB6ACA"/>
    <w:rsid w:val="00CB6DA5"/>
    <w:rsid w:val="00CB6DF4"/>
    <w:rsid w:val="00CB6E2C"/>
    <w:rsid w:val="00CB6E3C"/>
    <w:rsid w:val="00CB71CE"/>
    <w:rsid w:val="00CB7224"/>
    <w:rsid w:val="00CB72DB"/>
    <w:rsid w:val="00CB731D"/>
    <w:rsid w:val="00CB7387"/>
    <w:rsid w:val="00CB74FB"/>
    <w:rsid w:val="00CB7532"/>
    <w:rsid w:val="00CB7634"/>
    <w:rsid w:val="00CB76CD"/>
    <w:rsid w:val="00CB7A11"/>
    <w:rsid w:val="00CB7B10"/>
    <w:rsid w:val="00CB7B2B"/>
    <w:rsid w:val="00CB7C7B"/>
    <w:rsid w:val="00CB7C89"/>
    <w:rsid w:val="00CB7D9D"/>
    <w:rsid w:val="00CB7E0F"/>
    <w:rsid w:val="00CB7F4C"/>
    <w:rsid w:val="00CC00A7"/>
    <w:rsid w:val="00CC03AA"/>
    <w:rsid w:val="00CC0409"/>
    <w:rsid w:val="00CC0472"/>
    <w:rsid w:val="00CC057D"/>
    <w:rsid w:val="00CC062B"/>
    <w:rsid w:val="00CC0661"/>
    <w:rsid w:val="00CC0743"/>
    <w:rsid w:val="00CC0770"/>
    <w:rsid w:val="00CC07DB"/>
    <w:rsid w:val="00CC0A38"/>
    <w:rsid w:val="00CC0EA0"/>
    <w:rsid w:val="00CC0F7C"/>
    <w:rsid w:val="00CC0F81"/>
    <w:rsid w:val="00CC0FB0"/>
    <w:rsid w:val="00CC10F3"/>
    <w:rsid w:val="00CC1182"/>
    <w:rsid w:val="00CC1328"/>
    <w:rsid w:val="00CC134D"/>
    <w:rsid w:val="00CC1484"/>
    <w:rsid w:val="00CC1563"/>
    <w:rsid w:val="00CC16D1"/>
    <w:rsid w:val="00CC1728"/>
    <w:rsid w:val="00CC1A14"/>
    <w:rsid w:val="00CC1AC6"/>
    <w:rsid w:val="00CC1D9C"/>
    <w:rsid w:val="00CC1FD7"/>
    <w:rsid w:val="00CC20CA"/>
    <w:rsid w:val="00CC20E2"/>
    <w:rsid w:val="00CC20F1"/>
    <w:rsid w:val="00CC2160"/>
    <w:rsid w:val="00CC22EF"/>
    <w:rsid w:val="00CC234F"/>
    <w:rsid w:val="00CC249C"/>
    <w:rsid w:val="00CC24B0"/>
    <w:rsid w:val="00CC282D"/>
    <w:rsid w:val="00CC2876"/>
    <w:rsid w:val="00CC2DAD"/>
    <w:rsid w:val="00CC2DD4"/>
    <w:rsid w:val="00CC2DD8"/>
    <w:rsid w:val="00CC2E7A"/>
    <w:rsid w:val="00CC306F"/>
    <w:rsid w:val="00CC32DD"/>
    <w:rsid w:val="00CC3513"/>
    <w:rsid w:val="00CC38CA"/>
    <w:rsid w:val="00CC38D4"/>
    <w:rsid w:val="00CC39DD"/>
    <w:rsid w:val="00CC3AAC"/>
    <w:rsid w:val="00CC3C2F"/>
    <w:rsid w:val="00CC3D66"/>
    <w:rsid w:val="00CC3DC0"/>
    <w:rsid w:val="00CC3EE4"/>
    <w:rsid w:val="00CC3EFA"/>
    <w:rsid w:val="00CC3F23"/>
    <w:rsid w:val="00CC3FB4"/>
    <w:rsid w:val="00CC404B"/>
    <w:rsid w:val="00CC434D"/>
    <w:rsid w:val="00CC448B"/>
    <w:rsid w:val="00CC4532"/>
    <w:rsid w:val="00CC4552"/>
    <w:rsid w:val="00CC461C"/>
    <w:rsid w:val="00CC4735"/>
    <w:rsid w:val="00CC4771"/>
    <w:rsid w:val="00CC491A"/>
    <w:rsid w:val="00CC4AAC"/>
    <w:rsid w:val="00CC4B5D"/>
    <w:rsid w:val="00CC4BD1"/>
    <w:rsid w:val="00CC4C17"/>
    <w:rsid w:val="00CC4E95"/>
    <w:rsid w:val="00CC4F39"/>
    <w:rsid w:val="00CC5327"/>
    <w:rsid w:val="00CC5420"/>
    <w:rsid w:val="00CC5546"/>
    <w:rsid w:val="00CC581B"/>
    <w:rsid w:val="00CC5848"/>
    <w:rsid w:val="00CC5936"/>
    <w:rsid w:val="00CC5A73"/>
    <w:rsid w:val="00CC5B3F"/>
    <w:rsid w:val="00CC5C3C"/>
    <w:rsid w:val="00CC5CC1"/>
    <w:rsid w:val="00CC5CDA"/>
    <w:rsid w:val="00CC5D1C"/>
    <w:rsid w:val="00CC5EBF"/>
    <w:rsid w:val="00CC6157"/>
    <w:rsid w:val="00CC68DA"/>
    <w:rsid w:val="00CC6C1A"/>
    <w:rsid w:val="00CC6DD7"/>
    <w:rsid w:val="00CC7292"/>
    <w:rsid w:val="00CC729C"/>
    <w:rsid w:val="00CC72A3"/>
    <w:rsid w:val="00CC72FE"/>
    <w:rsid w:val="00CC730D"/>
    <w:rsid w:val="00CC73E4"/>
    <w:rsid w:val="00CC7515"/>
    <w:rsid w:val="00CC77CE"/>
    <w:rsid w:val="00CC77FF"/>
    <w:rsid w:val="00CC7852"/>
    <w:rsid w:val="00CC78DC"/>
    <w:rsid w:val="00CC790A"/>
    <w:rsid w:val="00CC7965"/>
    <w:rsid w:val="00CC7B84"/>
    <w:rsid w:val="00CC7BFF"/>
    <w:rsid w:val="00CC7D6B"/>
    <w:rsid w:val="00CC7D71"/>
    <w:rsid w:val="00CC7E99"/>
    <w:rsid w:val="00CC7F4A"/>
    <w:rsid w:val="00CC7F94"/>
    <w:rsid w:val="00CD0017"/>
    <w:rsid w:val="00CD010B"/>
    <w:rsid w:val="00CD0141"/>
    <w:rsid w:val="00CD0405"/>
    <w:rsid w:val="00CD0499"/>
    <w:rsid w:val="00CD04EF"/>
    <w:rsid w:val="00CD069D"/>
    <w:rsid w:val="00CD06A2"/>
    <w:rsid w:val="00CD0B58"/>
    <w:rsid w:val="00CD0BFA"/>
    <w:rsid w:val="00CD0C8F"/>
    <w:rsid w:val="00CD0CA7"/>
    <w:rsid w:val="00CD0E2C"/>
    <w:rsid w:val="00CD0FBE"/>
    <w:rsid w:val="00CD100C"/>
    <w:rsid w:val="00CD11EE"/>
    <w:rsid w:val="00CD1493"/>
    <w:rsid w:val="00CD164A"/>
    <w:rsid w:val="00CD16C6"/>
    <w:rsid w:val="00CD1827"/>
    <w:rsid w:val="00CD187D"/>
    <w:rsid w:val="00CD1AA6"/>
    <w:rsid w:val="00CD1D58"/>
    <w:rsid w:val="00CD1E06"/>
    <w:rsid w:val="00CD1E95"/>
    <w:rsid w:val="00CD20AC"/>
    <w:rsid w:val="00CD21EA"/>
    <w:rsid w:val="00CD2452"/>
    <w:rsid w:val="00CD248F"/>
    <w:rsid w:val="00CD24F9"/>
    <w:rsid w:val="00CD25FB"/>
    <w:rsid w:val="00CD26E6"/>
    <w:rsid w:val="00CD27D8"/>
    <w:rsid w:val="00CD2A15"/>
    <w:rsid w:val="00CD2B0D"/>
    <w:rsid w:val="00CD2B4D"/>
    <w:rsid w:val="00CD2CC0"/>
    <w:rsid w:val="00CD30A4"/>
    <w:rsid w:val="00CD314F"/>
    <w:rsid w:val="00CD317E"/>
    <w:rsid w:val="00CD3256"/>
    <w:rsid w:val="00CD3296"/>
    <w:rsid w:val="00CD331A"/>
    <w:rsid w:val="00CD3331"/>
    <w:rsid w:val="00CD341C"/>
    <w:rsid w:val="00CD343C"/>
    <w:rsid w:val="00CD3731"/>
    <w:rsid w:val="00CD3774"/>
    <w:rsid w:val="00CD37A8"/>
    <w:rsid w:val="00CD3A31"/>
    <w:rsid w:val="00CD3B7E"/>
    <w:rsid w:val="00CD3B9A"/>
    <w:rsid w:val="00CD3BA8"/>
    <w:rsid w:val="00CD3C53"/>
    <w:rsid w:val="00CD3C9D"/>
    <w:rsid w:val="00CD3E30"/>
    <w:rsid w:val="00CD3EAD"/>
    <w:rsid w:val="00CD3EDB"/>
    <w:rsid w:val="00CD42AE"/>
    <w:rsid w:val="00CD43B0"/>
    <w:rsid w:val="00CD448F"/>
    <w:rsid w:val="00CD44A5"/>
    <w:rsid w:val="00CD460C"/>
    <w:rsid w:val="00CD4726"/>
    <w:rsid w:val="00CD4973"/>
    <w:rsid w:val="00CD4A00"/>
    <w:rsid w:val="00CD4A5C"/>
    <w:rsid w:val="00CD4A9C"/>
    <w:rsid w:val="00CD4C67"/>
    <w:rsid w:val="00CD4CB4"/>
    <w:rsid w:val="00CD4D46"/>
    <w:rsid w:val="00CD4DB5"/>
    <w:rsid w:val="00CD4EC3"/>
    <w:rsid w:val="00CD4F09"/>
    <w:rsid w:val="00CD4F44"/>
    <w:rsid w:val="00CD5147"/>
    <w:rsid w:val="00CD5282"/>
    <w:rsid w:val="00CD55EB"/>
    <w:rsid w:val="00CD58F7"/>
    <w:rsid w:val="00CD5907"/>
    <w:rsid w:val="00CD59CE"/>
    <w:rsid w:val="00CD5A4A"/>
    <w:rsid w:val="00CD5A75"/>
    <w:rsid w:val="00CD5AAB"/>
    <w:rsid w:val="00CD5B1E"/>
    <w:rsid w:val="00CD5BFB"/>
    <w:rsid w:val="00CD5D28"/>
    <w:rsid w:val="00CD5D68"/>
    <w:rsid w:val="00CD5E2D"/>
    <w:rsid w:val="00CD60C6"/>
    <w:rsid w:val="00CD61FE"/>
    <w:rsid w:val="00CD62A4"/>
    <w:rsid w:val="00CD62D4"/>
    <w:rsid w:val="00CD6307"/>
    <w:rsid w:val="00CD6330"/>
    <w:rsid w:val="00CD63C4"/>
    <w:rsid w:val="00CD63E5"/>
    <w:rsid w:val="00CD65F8"/>
    <w:rsid w:val="00CD6613"/>
    <w:rsid w:val="00CD66EE"/>
    <w:rsid w:val="00CD6757"/>
    <w:rsid w:val="00CD67B1"/>
    <w:rsid w:val="00CD67C1"/>
    <w:rsid w:val="00CD68C5"/>
    <w:rsid w:val="00CD69A8"/>
    <w:rsid w:val="00CD6A45"/>
    <w:rsid w:val="00CD6B80"/>
    <w:rsid w:val="00CD6BA2"/>
    <w:rsid w:val="00CD6CC8"/>
    <w:rsid w:val="00CD6DB5"/>
    <w:rsid w:val="00CD6E1C"/>
    <w:rsid w:val="00CD6E89"/>
    <w:rsid w:val="00CD709C"/>
    <w:rsid w:val="00CD71A0"/>
    <w:rsid w:val="00CD72EE"/>
    <w:rsid w:val="00CD749E"/>
    <w:rsid w:val="00CD79D7"/>
    <w:rsid w:val="00CD7AA3"/>
    <w:rsid w:val="00CD7B00"/>
    <w:rsid w:val="00CD7C00"/>
    <w:rsid w:val="00CD7DB5"/>
    <w:rsid w:val="00CE00CE"/>
    <w:rsid w:val="00CE025C"/>
    <w:rsid w:val="00CE0445"/>
    <w:rsid w:val="00CE054E"/>
    <w:rsid w:val="00CE0556"/>
    <w:rsid w:val="00CE0765"/>
    <w:rsid w:val="00CE083D"/>
    <w:rsid w:val="00CE0861"/>
    <w:rsid w:val="00CE08DD"/>
    <w:rsid w:val="00CE094A"/>
    <w:rsid w:val="00CE0A00"/>
    <w:rsid w:val="00CE0DB7"/>
    <w:rsid w:val="00CE0FD7"/>
    <w:rsid w:val="00CE10C7"/>
    <w:rsid w:val="00CE10D4"/>
    <w:rsid w:val="00CE1114"/>
    <w:rsid w:val="00CE134A"/>
    <w:rsid w:val="00CE137A"/>
    <w:rsid w:val="00CE13D2"/>
    <w:rsid w:val="00CE160E"/>
    <w:rsid w:val="00CE16F8"/>
    <w:rsid w:val="00CE180A"/>
    <w:rsid w:val="00CE1A16"/>
    <w:rsid w:val="00CE1B06"/>
    <w:rsid w:val="00CE1B0E"/>
    <w:rsid w:val="00CE1BC7"/>
    <w:rsid w:val="00CE1C27"/>
    <w:rsid w:val="00CE1C46"/>
    <w:rsid w:val="00CE1C78"/>
    <w:rsid w:val="00CE1CC0"/>
    <w:rsid w:val="00CE1D01"/>
    <w:rsid w:val="00CE1E4F"/>
    <w:rsid w:val="00CE1EAB"/>
    <w:rsid w:val="00CE206E"/>
    <w:rsid w:val="00CE2089"/>
    <w:rsid w:val="00CE2222"/>
    <w:rsid w:val="00CE2223"/>
    <w:rsid w:val="00CE2289"/>
    <w:rsid w:val="00CE23D5"/>
    <w:rsid w:val="00CE23F0"/>
    <w:rsid w:val="00CE241F"/>
    <w:rsid w:val="00CE2488"/>
    <w:rsid w:val="00CE2577"/>
    <w:rsid w:val="00CE25B1"/>
    <w:rsid w:val="00CE25E6"/>
    <w:rsid w:val="00CE28DB"/>
    <w:rsid w:val="00CE2D26"/>
    <w:rsid w:val="00CE2DB8"/>
    <w:rsid w:val="00CE2FE6"/>
    <w:rsid w:val="00CE3152"/>
    <w:rsid w:val="00CE31AF"/>
    <w:rsid w:val="00CE3286"/>
    <w:rsid w:val="00CE345C"/>
    <w:rsid w:val="00CE355D"/>
    <w:rsid w:val="00CE357C"/>
    <w:rsid w:val="00CE3673"/>
    <w:rsid w:val="00CE3712"/>
    <w:rsid w:val="00CE37E7"/>
    <w:rsid w:val="00CE395C"/>
    <w:rsid w:val="00CE3995"/>
    <w:rsid w:val="00CE3CAD"/>
    <w:rsid w:val="00CE3E6D"/>
    <w:rsid w:val="00CE3EE3"/>
    <w:rsid w:val="00CE40AA"/>
    <w:rsid w:val="00CE40CD"/>
    <w:rsid w:val="00CE41E6"/>
    <w:rsid w:val="00CE41FD"/>
    <w:rsid w:val="00CE4356"/>
    <w:rsid w:val="00CE43B2"/>
    <w:rsid w:val="00CE495D"/>
    <w:rsid w:val="00CE495F"/>
    <w:rsid w:val="00CE49CD"/>
    <w:rsid w:val="00CE4A7B"/>
    <w:rsid w:val="00CE4AD9"/>
    <w:rsid w:val="00CE4B03"/>
    <w:rsid w:val="00CE4C68"/>
    <w:rsid w:val="00CE4CFA"/>
    <w:rsid w:val="00CE4D0B"/>
    <w:rsid w:val="00CE4D5B"/>
    <w:rsid w:val="00CE4E5F"/>
    <w:rsid w:val="00CE50DB"/>
    <w:rsid w:val="00CE5197"/>
    <w:rsid w:val="00CE550C"/>
    <w:rsid w:val="00CE5792"/>
    <w:rsid w:val="00CE59F0"/>
    <w:rsid w:val="00CE5B7F"/>
    <w:rsid w:val="00CE5BE8"/>
    <w:rsid w:val="00CE5C10"/>
    <w:rsid w:val="00CE5E14"/>
    <w:rsid w:val="00CE5F8D"/>
    <w:rsid w:val="00CE604E"/>
    <w:rsid w:val="00CE63C7"/>
    <w:rsid w:val="00CE648A"/>
    <w:rsid w:val="00CE6555"/>
    <w:rsid w:val="00CE67DE"/>
    <w:rsid w:val="00CE6B90"/>
    <w:rsid w:val="00CE6FC7"/>
    <w:rsid w:val="00CE78F0"/>
    <w:rsid w:val="00CE7A30"/>
    <w:rsid w:val="00CE7AA5"/>
    <w:rsid w:val="00CE7C7D"/>
    <w:rsid w:val="00CE7F07"/>
    <w:rsid w:val="00CF004F"/>
    <w:rsid w:val="00CF0077"/>
    <w:rsid w:val="00CF03D5"/>
    <w:rsid w:val="00CF03F2"/>
    <w:rsid w:val="00CF04C3"/>
    <w:rsid w:val="00CF0502"/>
    <w:rsid w:val="00CF0507"/>
    <w:rsid w:val="00CF078A"/>
    <w:rsid w:val="00CF08DC"/>
    <w:rsid w:val="00CF0E40"/>
    <w:rsid w:val="00CF0E91"/>
    <w:rsid w:val="00CF0EFC"/>
    <w:rsid w:val="00CF10AA"/>
    <w:rsid w:val="00CF1311"/>
    <w:rsid w:val="00CF1555"/>
    <w:rsid w:val="00CF164A"/>
    <w:rsid w:val="00CF16BC"/>
    <w:rsid w:val="00CF1790"/>
    <w:rsid w:val="00CF18E9"/>
    <w:rsid w:val="00CF1941"/>
    <w:rsid w:val="00CF1A91"/>
    <w:rsid w:val="00CF1BA4"/>
    <w:rsid w:val="00CF1C79"/>
    <w:rsid w:val="00CF1D0B"/>
    <w:rsid w:val="00CF1E5E"/>
    <w:rsid w:val="00CF1F85"/>
    <w:rsid w:val="00CF202E"/>
    <w:rsid w:val="00CF2062"/>
    <w:rsid w:val="00CF21E0"/>
    <w:rsid w:val="00CF2220"/>
    <w:rsid w:val="00CF23D9"/>
    <w:rsid w:val="00CF23F7"/>
    <w:rsid w:val="00CF2538"/>
    <w:rsid w:val="00CF2591"/>
    <w:rsid w:val="00CF25A7"/>
    <w:rsid w:val="00CF2651"/>
    <w:rsid w:val="00CF2687"/>
    <w:rsid w:val="00CF26FD"/>
    <w:rsid w:val="00CF2790"/>
    <w:rsid w:val="00CF2880"/>
    <w:rsid w:val="00CF2939"/>
    <w:rsid w:val="00CF2964"/>
    <w:rsid w:val="00CF2B90"/>
    <w:rsid w:val="00CF2BF4"/>
    <w:rsid w:val="00CF2C91"/>
    <w:rsid w:val="00CF2F97"/>
    <w:rsid w:val="00CF309C"/>
    <w:rsid w:val="00CF3114"/>
    <w:rsid w:val="00CF328F"/>
    <w:rsid w:val="00CF33A3"/>
    <w:rsid w:val="00CF36F0"/>
    <w:rsid w:val="00CF3772"/>
    <w:rsid w:val="00CF386B"/>
    <w:rsid w:val="00CF3A09"/>
    <w:rsid w:val="00CF3BB0"/>
    <w:rsid w:val="00CF3BC8"/>
    <w:rsid w:val="00CF3C34"/>
    <w:rsid w:val="00CF3DD5"/>
    <w:rsid w:val="00CF3E91"/>
    <w:rsid w:val="00CF3F62"/>
    <w:rsid w:val="00CF3F87"/>
    <w:rsid w:val="00CF3F9D"/>
    <w:rsid w:val="00CF40E9"/>
    <w:rsid w:val="00CF41D6"/>
    <w:rsid w:val="00CF423D"/>
    <w:rsid w:val="00CF4283"/>
    <w:rsid w:val="00CF4367"/>
    <w:rsid w:val="00CF4500"/>
    <w:rsid w:val="00CF4751"/>
    <w:rsid w:val="00CF479B"/>
    <w:rsid w:val="00CF4B54"/>
    <w:rsid w:val="00CF4CA5"/>
    <w:rsid w:val="00CF4D98"/>
    <w:rsid w:val="00CF4F84"/>
    <w:rsid w:val="00CF4FC9"/>
    <w:rsid w:val="00CF501C"/>
    <w:rsid w:val="00CF5023"/>
    <w:rsid w:val="00CF50A3"/>
    <w:rsid w:val="00CF52A3"/>
    <w:rsid w:val="00CF52E6"/>
    <w:rsid w:val="00CF5770"/>
    <w:rsid w:val="00CF5795"/>
    <w:rsid w:val="00CF581E"/>
    <w:rsid w:val="00CF592C"/>
    <w:rsid w:val="00CF5976"/>
    <w:rsid w:val="00CF5A02"/>
    <w:rsid w:val="00CF5ACE"/>
    <w:rsid w:val="00CF5C52"/>
    <w:rsid w:val="00CF5E53"/>
    <w:rsid w:val="00CF6121"/>
    <w:rsid w:val="00CF62EF"/>
    <w:rsid w:val="00CF6359"/>
    <w:rsid w:val="00CF6468"/>
    <w:rsid w:val="00CF6674"/>
    <w:rsid w:val="00CF67E9"/>
    <w:rsid w:val="00CF6908"/>
    <w:rsid w:val="00CF6957"/>
    <w:rsid w:val="00CF6C05"/>
    <w:rsid w:val="00CF6CD9"/>
    <w:rsid w:val="00CF6D47"/>
    <w:rsid w:val="00CF6DB1"/>
    <w:rsid w:val="00CF6F4A"/>
    <w:rsid w:val="00CF7050"/>
    <w:rsid w:val="00CF708E"/>
    <w:rsid w:val="00CF70B6"/>
    <w:rsid w:val="00CF7220"/>
    <w:rsid w:val="00CF722A"/>
    <w:rsid w:val="00CF735C"/>
    <w:rsid w:val="00CF7521"/>
    <w:rsid w:val="00CF765B"/>
    <w:rsid w:val="00CF7815"/>
    <w:rsid w:val="00CF78E0"/>
    <w:rsid w:val="00CF7A49"/>
    <w:rsid w:val="00CF7AF1"/>
    <w:rsid w:val="00CF7B9E"/>
    <w:rsid w:val="00D00012"/>
    <w:rsid w:val="00D000E4"/>
    <w:rsid w:val="00D001A1"/>
    <w:rsid w:val="00D001A9"/>
    <w:rsid w:val="00D002A7"/>
    <w:rsid w:val="00D0048D"/>
    <w:rsid w:val="00D0057B"/>
    <w:rsid w:val="00D00591"/>
    <w:rsid w:val="00D00733"/>
    <w:rsid w:val="00D007A9"/>
    <w:rsid w:val="00D00859"/>
    <w:rsid w:val="00D008E0"/>
    <w:rsid w:val="00D008EB"/>
    <w:rsid w:val="00D009D8"/>
    <w:rsid w:val="00D00AF3"/>
    <w:rsid w:val="00D00B3A"/>
    <w:rsid w:val="00D00BE6"/>
    <w:rsid w:val="00D00BEE"/>
    <w:rsid w:val="00D00C6F"/>
    <w:rsid w:val="00D00C8C"/>
    <w:rsid w:val="00D00CC5"/>
    <w:rsid w:val="00D00CD7"/>
    <w:rsid w:val="00D00CD9"/>
    <w:rsid w:val="00D00DD1"/>
    <w:rsid w:val="00D00EEA"/>
    <w:rsid w:val="00D010A9"/>
    <w:rsid w:val="00D012EF"/>
    <w:rsid w:val="00D0139C"/>
    <w:rsid w:val="00D014AC"/>
    <w:rsid w:val="00D014E7"/>
    <w:rsid w:val="00D01544"/>
    <w:rsid w:val="00D01673"/>
    <w:rsid w:val="00D01740"/>
    <w:rsid w:val="00D017CC"/>
    <w:rsid w:val="00D01883"/>
    <w:rsid w:val="00D0191A"/>
    <w:rsid w:val="00D0195E"/>
    <w:rsid w:val="00D019ED"/>
    <w:rsid w:val="00D01B4C"/>
    <w:rsid w:val="00D01C9A"/>
    <w:rsid w:val="00D01D5E"/>
    <w:rsid w:val="00D01D6D"/>
    <w:rsid w:val="00D01FEE"/>
    <w:rsid w:val="00D020A9"/>
    <w:rsid w:val="00D020D8"/>
    <w:rsid w:val="00D021D7"/>
    <w:rsid w:val="00D022A2"/>
    <w:rsid w:val="00D02528"/>
    <w:rsid w:val="00D025B8"/>
    <w:rsid w:val="00D025E3"/>
    <w:rsid w:val="00D0268D"/>
    <w:rsid w:val="00D02B15"/>
    <w:rsid w:val="00D02CDC"/>
    <w:rsid w:val="00D02D33"/>
    <w:rsid w:val="00D02FF3"/>
    <w:rsid w:val="00D0308E"/>
    <w:rsid w:val="00D03201"/>
    <w:rsid w:val="00D03307"/>
    <w:rsid w:val="00D03475"/>
    <w:rsid w:val="00D0389D"/>
    <w:rsid w:val="00D0397B"/>
    <w:rsid w:val="00D039C7"/>
    <w:rsid w:val="00D03A81"/>
    <w:rsid w:val="00D03B09"/>
    <w:rsid w:val="00D03B4A"/>
    <w:rsid w:val="00D03C98"/>
    <w:rsid w:val="00D03EDF"/>
    <w:rsid w:val="00D0413C"/>
    <w:rsid w:val="00D0417F"/>
    <w:rsid w:val="00D0447F"/>
    <w:rsid w:val="00D0455D"/>
    <w:rsid w:val="00D045C3"/>
    <w:rsid w:val="00D04AA8"/>
    <w:rsid w:val="00D04B19"/>
    <w:rsid w:val="00D04B32"/>
    <w:rsid w:val="00D04D7F"/>
    <w:rsid w:val="00D04E15"/>
    <w:rsid w:val="00D04E84"/>
    <w:rsid w:val="00D04F70"/>
    <w:rsid w:val="00D0510E"/>
    <w:rsid w:val="00D05172"/>
    <w:rsid w:val="00D051EA"/>
    <w:rsid w:val="00D05324"/>
    <w:rsid w:val="00D054F0"/>
    <w:rsid w:val="00D055F8"/>
    <w:rsid w:val="00D0563F"/>
    <w:rsid w:val="00D0572E"/>
    <w:rsid w:val="00D05908"/>
    <w:rsid w:val="00D05AC1"/>
    <w:rsid w:val="00D05B59"/>
    <w:rsid w:val="00D05B81"/>
    <w:rsid w:val="00D05C81"/>
    <w:rsid w:val="00D05E5B"/>
    <w:rsid w:val="00D05EB0"/>
    <w:rsid w:val="00D05F62"/>
    <w:rsid w:val="00D05FF3"/>
    <w:rsid w:val="00D0605C"/>
    <w:rsid w:val="00D061EC"/>
    <w:rsid w:val="00D0628C"/>
    <w:rsid w:val="00D062A2"/>
    <w:rsid w:val="00D06329"/>
    <w:rsid w:val="00D064C2"/>
    <w:rsid w:val="00D065AE"/>
    <w:rsid w:val="00D06781"/>
    <w:rsid w:val="00D06819"/>
    <w:rsid w:val="00D06877"/>
    <w:rsid w:val="00D0689D"/>
    <w:rsid w:val="00D06A47"/>
    <w:rsid w:val="00D06A6D"/>
    <w:rsid w:val="00D06AAE"/>
    <w:rsid w:val="00D06B16"/>
    <w:rsid w:val="00D06B6A"/>
    <w:rsid w:val="00D06C17"/>
    <w:rsid w:val="00D06C5A"/>
    <w:rsid w:val="00D06CD9"/>
    <w:rsid w:val="00D06E1A"/>
    <w:rsid w:val="00D06E8A"/>
    <w:rsid w:val="00D06EF0"/>
    <w:rsid w:val="00D06FA5"/>
    <w:rsid w:val="00D0704A"/>
    <w:rsid w:val="00D07096"/>
    <w:rsid w:val="00D07278"/>
    <w:rsid w:val="00D07351"/>
    <w:rsid w:val="00D07AB6"/>
    <w:rsid w:val="00D07CA3"/>
    <w:rsid w:val="00D07FD1"/>
    <w:rsid w:val="00D10236"/>
    <w:rsid w:val="00D1025C"/>
    <w:rsid w:val="00D102ED"/>
    <w:rsid w:val="00D102FD"/>
    <w:rsid w:val="00D103EB"/>
    <w:rsid w:val="00D105C7"/>
    <w:rsid w:val="00D1062C"/>
    <w:rsid w:val="00D10775"/>
    <w:rsid w:val="00D109C0"/>
    <w:rsid w:val="00D109C3"/>
    <w:rsid w:val="00D10B29"/>
    <w:rsid w:val="00D10C32"/>
    <w:rsid w:val="00D10C5F"/>
    <w:rsid w:val="00D10C63"/>
    <w:rsid w:val="00D10CCC"/>
    <w:rsid w:val="00D10CCD"/>
    <w:rsid w:val="00D10DAD"/>
    <w:rsid w:val="00D11039"/>
    <w:rsid w:val="00D110FC"/>
    <w:rsid w:val="00D1114B"/>
    <w:rsid w:val="00D111DC"/>
    <w:rsid w:val="00D11260"/>
    <w:rsid w:val="00D11266"/>
    <w:rsid w:val="00D116F4"/>
    <w:rsid w:val="00D117E4"/>
    <w:rsid w:val="00D118FA"/>
    <w:rsid w:val="00D11B18"/>
    <w:rsid w:val="00D11B7C"/>
    <w:rsid w:val="00D11C75"/>
    <w:rsid w:val="00D11CA8"/>
    <w:rsid w:val="00D11D29"/>
    <w:rsid w:val="00D11D53"/>
    <w:rsid w:val="00D11E8A"/>
    <w:rsid w:val="00D11ECB"/>
    <w:rsid w:val="00D11F06"/>
    <w:rsid w:val="00D11F3D"/>
    <w:rsid w:val="00D1200B"/>
    <w:rsid w:val="00D1218C"/>
    <w:rsid w:val="00D123D4"/>
    <w:rsid w:val="00D1271F"/>
    <w:rsid w:val="00D12904"/>
    <w:rsid w:val="00D12929"/>
    <w:rsid w:val="00D12961"/>
    <w:rsid w:val="00D12A12"/>
    <w:rsid w:val="00D12AF7"/>
    <w:rsid w:val="00D12B1E"/>
    <w:rsid w:val="00D12C28"/>
    <w:rsid w:val="00D12CBB"/>
    <w:rsid w:val="00D12E0B"/>
    <w:rsid w:val="00D12F40"/>
    <w:rsid w:val="00D1303B"/>
    <w:rsid w:val="00D1309E"/>
    <w:rsid w:val="00D13371"/>
    <w:rsid w:val="00D13715"/>
    <w:rsid w:val="00D137E9"/>
    <w:rsid w:val="00D13A0E"/>
    <w:rsid w:val="00D13B0D"/>
    <w:rsid w:val="00D13C72"/>
    <w:rsid w:val="00D13D18"/>
    <w:rsid w:val="00D13F30"/>
    <w:rsid w:val="00D141FC"/>
    <w:rsid w:val="00D14543"/>
    <w:rsid w:val="00D146E4"/>
    <w:rsid w:val="00D14776"/>
    <w:rsid w:val="00D14784"/>
    <w:rsid w:val="00D147AC"/>
    <w:rsid w:val="00D14859"/>
    <w:rsid w:val="00D148FA"/>
    <w:rsid w:val="00D14990"/>
    <w:rsid w:val="00D14C4F"/>
    <w:rsid w:val="00D14D04"/>
    <w:rsid w:val="00D14F50"/>
    <w:rsid w:val="00D14FDB"/>
    <w:rsid w:val="00D150E5"/>
    <w:rsid w:val="00D1512D"/>
    <w:rsid w:val="00D151F0"/>
    <w:rsid w:val="00D1579F"/>
    <w:rsid w:val="00D15999"/>
    <w:rsid w:val="00D15ADB"/>
    <w:rsid w:val="00D15B85"/>
    <w:rsid w:val="00D15CA8"/>
    <w:rsid w:val="00D15E86"/>
    <w:rsid w:val="00D1601A"/>
    <w:rsid w:val="00D16046"/>
    <w:rsid w:val="00D160F3"/>
    <w:rsid w:val="00D161A7"/>
    <w:rsid w:val="00D16517"/>
    <w:rsid w:val="00D1659E"/>
    <w:rsid w:val="00D167CB"/>
    <w:rsid w:val="00D1688F"/>
    <w:rsid w:val="00D168A0"/>
    <w:rsid w:val="00D16950"/>
    <w:rsid w:val="00D169C3"/>
    <w:rsid w:val="00D16A3E"/>
    <w:rsid w:val="00D16C2F"/>
    <w:rsid w:val="00D16F17"/>
    <w:rsid w:val="00D1710D"/>
    <w:rsid w:val="00D1720D"/>
    <w:rsid w:val="00D1721E"/>
    <w:rsid w:val="00D1724B"/>
    <w:rsid w:val="00D17256"/>
    <w:rsid w:val="00D17643"/>
    <w:rsid w:val="00D176B9"/>
    <w:rsid w:val="00D1775E"/>
    <w:rsid w:val="00D177ED"/>
    <w:rsid w:val="00D17970"/>
    <w:rsid w:val="00D179E6"/>
    <w:rsid w:val="00D179F9"/>
    <w:rsid w:val="00D17BE3"/>
    <w:rsid w:val="00D17BE4"/>
    <w:rsid w:val="00D17CDA"/>
    <w:rsid w:val="00D17D21"/>
    <w:rsid w:val="00D17DF7"/>
    <w:rsid w:val="00D17E18"/>
    <w:rsid w:val="00D17E77"/>
    <w:rsid w:val="00D17E8B"/>
    <w:rsid w:val="00D17EFB"/>
    <w:rsid w:val="00D17FFA"/>
    <w:rsid w:val="00D20416"/>
    <w:rsid w:val="00D20990"/>
    <w:rsid w:val="00D20CA3"/>
    <w:rsid w:val="00D20DC0"/>
    <w:rsid w:val="00D20E18"/>
    <w:rsid w:val="00D20E2E"/>
    <w:rsid w:val="00D20ECC"/>
    <w:rsid w:val="00D20FD1"/>
    <w:rsid w:val="00D2122B"/>
    <w:rsid w:val="00D213DA"/>
    <w:rsid w:val="00D2140F"/>
    <w:rsid w:val="00D21583"/>
    <w:rsid w:val="00D216EA"/>
    <w:rsid w:val="00D21747"/>
    <w:rsid w:val="00D2182A"/>
    <w:rsid w:val="00D218CD"/>
    <w:rsid w:val="00D21994"/>
    <w:rsid w:val="00D21A71"/>
    <w:rsid w:val="00D21CDC"/>
    <w:rsid w:val="00D2204E"/>
    <w:rsid w:val="00D22304"/>
    <w:rsid w:val="00D223E2"/>
    <w:rsid w:val="00D22457"/>
    <w:rsid w:val="00D2256A"/>
    <w:rsid w:val="00D2256C"/>
    <w:rsid w:val="00D2263B"/>
    <w:rsid w:val="00D22666"/>
    <w:rsid w:val="00D22680"/>
    <w:rsid w:val="00D228A4"/>
    <w:rsid w:val="00D22903"/>
    <w:rsid w:val="00D22957"/>
    <w:rsid w:val="00D22BF1"/>
    <w:rsid w:val="00D22C2C"/>
    <w:rsid w:val="00D22CDF"/>
    <w:rsid w:val="00D22D16"/>
    <w:rsid w:val="00D22E04"/>
    <w:rsid w:val="00D23137"/>
    <w:rsid w:val="00D232B8"/>
    <w:rsid w:val="00D23347"/>
    <w:rsid w:val="00D2335E"/>
    <w:rsid w:val="00D2339F"/>
    <w:rsid w:val="00D2341E"/>
    <w:rsid w:val="00D23464"/>
    <w:rsid w:val="00D2349A"/>
    <w:rsid w:val="00D23513"/>
    <w:rsid w:val="00D238FC"/>
    <w:rsid w:val="00D239F2"/>
    <w:rsid w:val="00D23B11"/>
    <w:rsid w:val="00D23B17"/>
    <w:rsid w:val="00D23BB4"/>
    <w:rsid w:val="00D23DCB"/>
    <w:rsid w:val="00D23EC7"/>
    <w:rsid w:val="00D24018"/>
    <w:rsid w:val="00D24152"/>
    <w:rsid w:val="00D241A2"/>
    <w:rsid w:val="00D24269"/>
    <w:rsid w:val="00D24382"/>
    <w:rsid w:val="00D245A3"/>
    <w:rsid w:val="00D246F6"/>
    <w:rsid w:val="00D24749"/>
    <w:rsid w:val="00D247B6"/>
    <w:rsid w:val="00D248E1"/>
    <w:rsid w:val="00D24B55"/>
    <w:rsid w:val="00D24CA9"/>
    <w:rsid w:val="00D252AB"/>
    <w:rsid w:val="00D2530F"/>
    <w:rsid w:val="00D2538C"/>
    <w:rsid w:val="00D253CC"/>
    <w:rsid w:val="00D253F0"/>
    <w:rsid w:val="00D254A2"/>
    <w:rsid w:val="00D25569"/>
    <w:rsid w:val="00D25582"/>
    <w:rsid w:val="00D255A0"/>
    <w:rsid w:val="00D255F2"/>
    <w:rsid w:val="00D256F9"/>
    <w:rsid w:val="00D257DA"/>
    <w:rsid w:val="00D25820"/>
    <w:rsid w:val="00D25AF3"/>
    <w:rsid w:val="00D25B89"/>
    <w:rsid w:val="00D25CCD"/>
    <w:rsid w:val="00D25D30"/>
    <w:rsid w:val="00D25F51"/>
    <w:rsid w:val="00D25F84"/>
    <w:rsid w:val="00D26031"/>
    <w:rsid w:val="00D26134"/>
    <w:rsid w:val="00D2619D"/>
    <w:rsid w:val="00D26240"/>
    <w:rsid w:val="00D263BD"/>
    <w:rsid w:val="00D26443"/>
    <w:rsid w:val="00D26474"/>
    <w:rsid w:val="00D26A53"/>
    <w:rsid w:val="00D26A8D"/>
    <w:rsid w:val="00D26ACC"/>
    <w:rsid w:val="00D26BE3"/>
    <w:rsid w:val="00D26BE4"/>
    <w:rsid w:val="00D26C92"/>
    <w:rsid w:val="00D26D96"/>
    <w:rsid w:val="00D27017"/>
    <w:rsid w:val="00D27116"/>
    <w:rsid w:val="00D271AC"/>
    <w:rsid w:val="00D271AF"/>
    <w:rsid w:val="00D27203"/>
    <w:rsid w:val="00D27372"/>
    <w:rsid w:val="00D273BD"/>
    <w:rsid w:val="00D2746E"/>
    <w:rsid w:val="00D27486"/>
    <w:rsid w:val="00D2759A"/>
    <w:rsid w:val="00D275F6"/>
    <w:rsid w:val="00D276D8"/>
    <w:rsid w:val="00D27831"/>
    <w:rsid w:val="00D27892"/>
    <w:rsid w:val="00D2794E"/>
    <w:rsid w:val="00D279B3"/>
    <w:rsid w:val="00D27C42"/>
    <w:rsid w:val="00D27C6B"/>
    <w:rsid w:val="00D27C9A"/>
    <w:rsid w:val="00D27E65"/>
    <w:rsid w:val="00D27ECD"/>
    <w:rsid w:val="00D27F4F"/>
    <w:rsid w:val="00D300AB"/>
    <w:rsid w:val="00D30140"/>
    <w:rsid w:val="00D3014F"/>
    <w:rsid w:val="00D301A7"/>
    <w:rsid w:val="00D304EF"/>
    <w:rsid w:val="00D30556"/>
    <w:rsid w:val="00D30567"/>
    <w:rsid w:val="00D305D2"/>
    <w:rsid w:val="00D3068F"/>
    <w:rsid w:val="00D306BF"/>
    <w:rsid w:val="00D30700"/>
    <w:rsid w:val="00D30931"/>
    <w:rsid w:val="00D309CF"/>
    <w:rsid w:val="00D30BF2"/>
    <w:rsid w:val="00D30DBF"/>
    <w:rsid w:val="00D30DC4"/>
    <w:rsid w:val="00D30DE3"/>
    <w:rsid w:val="00D30DF6"/>
    <w:rsid w:val="00D31272"/>
    <w:rsid w:val="00D313EF"/>
    <w:rsid w:val="00D3153D"/>
    <w:rsid w:val="00D3154E"/>
    <w:rsid w:val="00D31844"/>
    <w:rsid w:val="00D319BD"/>
    <w:rsid w:val="00D319F3"/>
    <w:rsid w:val="00D31B8A"/>
    <w:rsid w:val="00D31BC5"/>
    <w:rsid w:val="00D31D56"/>
    <w:rsid w:val="00D31DB5"/>
    <w:rsid w:val="00D31F7D"/>
    <w:rsid w:val="00D32180"/>
    <w:rsid w:val="00D322FF"/>
    <w:rsid w:val="00D32668"/>
    <w:rsid w:val="00D3296A"/>
    <w:rsid w:val="00D32A11"/>
    <w:rsid w:val="00D32B23"/>
    <w:rsid w:val="00D32CB4"/>
    <w:rsid w:val="00D32CE3"/>
    <w:rsid w:val="00D32D31"/>
    <w:rsid w:val="00D32D72"/>
    <w:rsid w:val="00D32E29"/>
    <w:rsid w:val="00D33065"/>
    <w:rsid w:val="00D331BF"/>
    <w:rsid w:val="00D3321D"/>
    <w:rsid w:val="00D33384"/>
    <w:rsid w:val="00D33768"/>
    <w:rsid w:val="00D33ACF"/>
    <w:rsid w:val="00D33C38"/>
    <w:rsid w:val="00D33C71"/>
    <w:rsid w:val="00D33CD7"/>
    <w:rsid w:val="00D33EFC"/>
    <w:rsid w:val="00D33F9D"/>
    <w:rsid w:val="00D3417C"/>
    <w:rsid w:val="00D3419A"/>
    <w:rsid w:val="00D34213"/>
    <w:rsid w:val="00D3421F"/>
    <w:rsid w:val="00D34227"/>
    <w:rsid w:val="00D34247"/>
    <w:rsid w:val="00D34279"/>
    <w:rsid w:val="00D34444"/>
    <w:rsid w:val="00D3456E"/>
    <w:rsid w:val="00D34601"/>
    <w:rsid w:val="00D34842"/>
    <w:rsid w:val="00D349FF"/>
    <w:rsid w:val="00D34A7A"/>
    <w:rsid w:val="00D34BF8"/>
    <w:rsid w:val="00D34C74"/>
    <w:rsid w:val="00D34E0F"/>
    <w:rsid w:val="00D34E98"/>
    <w:rsid w:val="00D34ED7"/>
    <w:rsid w:val="00D34F97"/>
    <w:rsid w:val="00D34FC3"/>
    <w:rsid w:val="00D3502D"/>
    <w:rsid w:val="00D35271"/>
    <w:rsid w:val="00D352CB"/>
    <w:rsid w:val="00D353FF"/>
    <w:rsid w:val="00D35451"/>
    <w:rsid w:val="00D3558E"/>
    <w:rsid w:val="00D35614"/>
    <w:rsid w:val="00D35619"/>
    <w:rsid w:val="00D3574D"/>
    <w:rsid w:val="00D358A4"/>
    <w:rsid w:val="00D358C0"/>
    <w:rsid w:val="00D358FC"/>
    <w:rsid w:val="00D35B8E"/>
    <w:rsid w:val="00D35CEE"/>
    <w:rsid w:val="00D35D95"/>
    <w:rsid w:val="00D35DA8"/>
    <w:rsid w:val="00D35EC2"/>
    <w:rsid w:val="00D35F7B"/>
    <w:rsid w:val="00D35F9F"/>
    <w:rsid w:val="00D365FB"/>
    <w:rsid w:val="00D366D4"/>
    <w:rsid w:val="00D36760"/>
    <w:rsid w:val="00D3690E"/>
    <w:rsid w:val="00D36934"/>
    <w:rsid w:val="00D36B22"/>
    <w:rsid w:val="00D36D01"/>
    <w:rsid w:val="00D36D8A"/>
    <w:rsid w:val="00D36E4A"/>
    <w:rsid w:val="00D36ECE"/>
    <w:rsid w:val="00D36F1F"/>
    <w:rsid w:val="00D36F25"/>
    <w:rsid w:val="00D36FDE"/>
    <w:rsid w:val="00D37066"/>
    <w:rsid w:val="00D371F9"/>
    <w:rsid w:val="00D37378"/>
    <w:rsid w:val="00D373FC"/>
    <w:rsid w:val="00D37495"/>
    <w:rsid w:val="00D376B1"/>
    <w:rsid w:val="00D377BB"/>
    <w:rsid w:val="00D378AA"/>
    <w:rsid w:val="00D37ADA"/>
    <w:rsid w:val="00D37BE6"/>
    <w:rsid w:val="00D37CCC"/>
    <w:rsid w:val="00D37D44"/>
    <w:rsid w:val="00D37EC3"/>
    <w:rsid w:val="00D37FC1"/>
    <w:rsid w:val="00D401A1"/>
    <w:rsid w:val="00D4043B"/>
    <w:rsid w:val="00D405CB"/>
    <w:rsid w:val="00D405D4"/>
    <w:rsid w:val="00D40642"/>
    <w:rsid w:val="00D40717"/>
    <w:rsid w:val="00D40AF0"/>
    <w:rsid w:val="00D40B20"/>
    <w:rsid w:val="00D40BEF"/>
    <w:rsid w:val="00D40D85"/>
    <w:rsid w:val="00D40F33"/>
    <w:rsid w:val="00D410A3"/>
    <w:rsid w:val="00D4119B"/>
    <w:rsid w:val="00D411AA"/>
    <w:rsid w:val="00D41226"/>
    <w:rsid w:val="00D41264"/>
    <w:rsid w:val="00D413DC"/>
    <w:rsid w:val="00D4153C"/>
    <w:rsid w:val="00D41574"/>
    <w:rsid w:val="00D4159E"/>
    <w:rsid w:val="00D41608"/>
    <w:rsid w:val="00D4179B"/>
    <w:rsid w:val="00D418E9"/>
    <w:rsid w:val="00D41929"/>
    <w:rsid w:val="00D41AA2"/>
    <w:rsid w:val="00D41DBE"/>
    <w:rsid w:val="00D41E1B"/>
    <w:rsid w:val="00D41FE0"/>
    <w:rsid w:val="00D42080"/>
    <w:rsid w:val="00D420C1"/>
    <w:rsid w:val="00D421B0"/>
    <w:rsid w:val="00D422A2"/>
    <w:rsid w:val="00D423DC"/>
    <w:rsid w:val="00D42551"/>
    <w:rsid w:val="00D42862"/>
    <w:rsid w:val="00D428F9"/>
    <w:rsid w:val="00D42926"/>
    <w:rsid w:val="00D42B59"/>
    <w:rsid w:val="00D42D18"/>
    <w:rsid w:val="00D42E54"/>
    <w:rsid w:val="00D42F9B"/>
    <w:rsid w:val="00D4306E"/>
    <w:rsid w:val="00D43160"/>
    <w:rsid w:val="00D43311"/>
    <w:rsid w:val="00D43531"/>
    <w:rsid w:val="00D43577"/>
    <w:rsid w:val="00D435B2"/>
    <w:rsid w:val="00D43781"/>
    <w:rsid w:val="00D43795"/>
    <w:rsid w:val="00D437F7"/>
    <w:rsid w:val="00D4388B"/>
    <w:rsid w:val="00D438A5"/>
    <w:rsid w:val="00D43934"/>
    <w:rsid w:val="00D43A77"/>
    <w:rsid w:val="00D43AA7"/>
    <w:rsid w:val="00D43AB0"/>
    <w:rsid w:val="00D43AC0"/>
    <w:rsid w:val="00D43CF2"/>
    <w:rsid w:val="00D43D2D"/>
    <w:rsid w:val="00D43FB6"/>
    <w:rsid w:val="00D43FDF"/>
    <w:rsid w:val="00D44081"/>
    <w:rsid w:val="00D44122"/>
    <w:rsid w:val="00D44142"/>
    <w:rsid w:val="00D44189"/>
    <w:rsid w:val="00D441AC"/>
    <w:rsid w:val="00D44429"/>
    <w:rsid w:val="00D446B0"/>
    <w:rsid w:val="00D446DD"/>
    <w:rsid w:val="00D4475A"/>
    <w:rsid w:val="00D448FD"/>
    <w:rsid w:val="00D449E0"/>
    <w:rsid w:val="00D449F6"/>
    <w:rsid w:val="00D44A2A"/>
    <w:rsid w:val="00D44BA1"/>
    <w:rsid w:val="00D44E90"/>
    <w:rsid w:val="00D455C1"/>
    <w:rsid w:val="00D4561A"/>
    <w:rsid w:val="00D456F5"/>
    <w:rsid w:val="00D45767"/>
    <w:rsid w:val="00D45A43"/>
    <w:rsid w:val="00D45B3D"/>
    <w:rsid w:val="00D45C77"/>
    <w:rsid w:val="00D45DDF"/>
    <w:rsid w:val="00D45E3A"/>
    <w:rsid w:val="00D46177"/>
    <w:rsid w:val="00D46181"/>
    <w:rsid w:val="00D46315"/>
    <w:rsid w:val="00D46361"/>
    <w:rsid w:val="00D463CF"/>
    <w:rsid w:val="00D4648E"/>
    <w:rsid w:val="00D464D7"/>
    <w:rsid w:val="00D466AA"/>
    <w:rsid w:val="00D46844"/>
    <w:rsid w:val="00D469D1"/>
    <w:rsid w:val="00D46A3E"/>
    <w:rsid w:val="00D46A6E"/>
    <w:rsid w:val="00D46AC9"/>
    <w:rsid w:val="00D46B8D"/>
    <w:rsid w:val="00D46BFE"/>
    <w:rsid w:val="00D46C1C"/>
    <w:rsid w:val="00D46C51"/>
    <w:rsid w:val="00D46CB6"/>
    <w:rsid w:val="00D46CF4"/>
    <w:rsid w:val="00D46CF7"/>
    <w:rsid w:val="00D46DA5"/>
    <w:rsid w:val="00D46E76"/>
    <w:rsid w:val="00D46F75"/>
    <w:rsid w:val="00D46FEB"/>
    <w:rsid w:val="00D47034"/>
    <w:rsid w:val="00D470D3"/>
    <w:rsid w:val="00D47101"/>
    <w:rsid w:val="00D47277"/>
    <w:rsid w:val="00D47334"/>
    <w:rsid w:val="00D4761A"/>
    <w:rsid w:val="00D477A2"/>
    <w:rsid w:val="00D47839"/>
    <w:rsid w:val="00D4799B"/>
    <w:rsid w:val="00D479E0"/>
    <w:rsid w:val="00D47AD8"/>
    <w:rsid w:val="00D47C59"/>
    <w:rsid w:val="00D47D2F"/>
    <w:rsid w:val="00D47E7C"/>
    <w:rsid w:val="00D47FAA"/>
    <w:rsid w:val="00D500BB"/>
    <w:rsid w:val="00D502D5"/>
    <w:rsid w:val="00D5047B"/>
    <w:rsid w:val="00D50481"/>
    <w:rsid w:val="00D504AD"/>
    <w:rsid w:val="00D504C1"/>
    <w:rsid w:val="00D50663"/>
    <w:rsid w:val="00D50755"/>
    <w:rsid w:val="00D50925"/>
    <w:rsid w:val="00D50929"/>
    <w:rsid w:val="00D50B0C"/>
    <w:rsid w:val="00D50C50"/>
    <w:rsid w:val="00D50C98"/>
    <w:rsid w:val="00D50CA0"/>
    <w:rsid w:val="00D50DF1"/>
    <w:rsid w:val="00D50E6F"/>
    <w:rsid w:val="00D50F63"/>
    <w:rsid w:val="00D51004"/>
    <w:rsid w:val="00D510D3"/>
    <w:rsid w:val="00D511FE"/>
    <w:rsid w:val="00D514E7"/>
    <w:rsid w:val="00D516B3"/>
    <w:rsid w:val="00D516CE"/>
    <w:rsid w:val="00D516E9"/>
    <w:rsid w:val="00D517EB"/>
    <w:rsid w:val="00D51810"/>
    <w:rsid w:val="00D5192E"/>
    <w:rsid w:val="00D51944"/>
    <w:rsid w:val="00D5197E"/>
    <w:rsid w:val="00D51AAC"/>
    <w:rsid w:val="00D51AB8"/>
    <w:rsid w:val="00D51BE4"/>
    <w:rsid w:val="00D51C1B"/>
    <w:rsid w:val="00D51C63"/>
    <w:rsid w:val="00D51EA1"/>
    <w:rsid w:val="00D51F3B"/>
    <w:rsid w:val="00D51F7B"/>
    <w:rsid w:val="00D52004"/>
    <w:rsid w:val="00D5207A"/>
    <w:rsid w:val="00D52210"/>
    <w:rsid w:val="00D52440"/>
    <w:rsid w:val="00D52529"/>
    <w:rsid w:val="00D5254A"/>
    <w:rsid w:val="00D5267C"/>
    <w:rsid w:val="00D52993"/>
    <w:rsid w:val="00D529EA"/>
    <w:rsid w:val="00D52A7D"/>
    <w:rsid w:val="00D52B97"/>
    <w:rsid w:val="00D52C5D"/>
    <w:rsid w:val="00D53157"/>
    <w:rsid w:val="00D5319B"/>
    <w:rsid w:val="00D532F2"/>
    <w:rsid w:val="00D533A0"/>
    <w:rsid w:val="00D533C5"/>
    <w:rsid w:val="00D5349C"/>
    <w:rsid w:val="00D5349D"/>
    <w:rsid w:val="00D53517"/>
    <w:rsid w:val="00D53628"/>
    <w:rsid w:val="00D536D6"/>
    <w:rsid w:val="00D537B9"/>
    <w:rsid w:val="00D5388A"/>
    <w:rsid w:val="00D538CE"/>
    <w:rsid w:val="00D53915"/>
    <w:rsid w:val="00D53E8B"/>
    <w:rsid w:val="00D53EA0"/>
    <w:rsid w:val="00D53F51"/>
    <w:rsid w:val="00D5409C"/>
    <w:rsid w:val="00D5414E"/>
    <w:rsid w:val="00D54221"/>
    <w:rsid w:val="00D5426A"/>
    <w:rsid w:val="00D54302"/>
    <w:rsid w:val="00D54539"/>
    <w:rsid w:val="00D545E7"/>
    <w:rsid w:val="00D54611"/>
    <w:rsid w:val="00D54776"/>
    <w:rsid w:val="00D54820"/>
    <w:rsid w:val="00D54A16"/>
    <w:rsid w:val="00D54C89"/>
    <w:rsid w:val="00D54ED9"/>
    <w:rsid w:val="00D54FDC"/>
    <w:rsid w:val="00D5504C"/>
    <w:rsid w:val="00D55105"/>
    <w:rsid w:val="00D553EA"/>
    <w:rsid w:val="00D5546A"/>
    <w:rsid w:val="00D554E9"/>
    <w:rsid w:val="00D55527"/>
    <w:rsid w:val="00D5575B"/>
    <w:rsid w:val="00D55892"/>
    <w:rsid w:val="00D5594B"/>
    <w:rsid w:val="00D55A33"/>
    <w:rsid w:val="00D55CFD"/>
    <w:rsid w:val="00D55F0B"/>
    <w:rsid w:val="00D560FF"/>
    <w:rsid w:val="00D5620C"/>
    <w:rsid w:val="00D56319"/>
    <w:rsid w:val="00D56369"/>
    <w:rsid w:val="00D56376"/>
    <w:rsid w:val="00D5640E"/>
    <w:rsid w:val="00D5651F"/>
    <w:rsid w:val="00D565A0"/>
    <w:rsid w:val="00D565E7"/>
    <w:rsid w:val="00D56739"/>
    <w:rsid w:val="00D56821"/>
    <w:rsid w:val="00D5692E"/>
    <w:rsid w:val="00D56A5F"/>
    <w:rsid w:val="00D56AF5"/>
    <w:rsid w:val="00D56B4D"/>
    <w:rsid w:val="00D56C10"/>
    <w:rsid w:val="00D56E5D"/>
    <w:rsid w:val="00D56F56"/>
    <w:rsid w:val="00D570AE"/>
    <w:rsid w:val="00D570E8"/>
    <w:rsid w:val="00D57393"/>
    <w:rsid w:val="00D57530"/>
    <w:rsid w:val="00D575B4"/>
    <w:rsid w:val="00D5770B"/>
    <w:rsid w:val="00D577F2"/>
    <w:rsid w:val="00D57895"/>
    <w:rsid w:val="00D57944"/>
    <w:rsid w:val="00D579C9"/>
    <w:rsid w:val="00D579D6"/>
    <w:rsid w:val="00D57B11"/>
    <w:rsid w:val="00D57B5A"/>
    <w:rsid w:val="00D57B89"/>
    <w:rsid w:val="00D57B8E"/>
    <w:rsid w:val="00D57C7F"/>
    <w:rsid w:val="00D60022"/>
    <w:rsid w:val="00D600F3"/>
    <w:rsid w:val="00D60133"/>
    <w:rsid w:val="00D602AB"/>
    <w:rsid w:val="00D6034F"/>
    <w:rsid w:val="00D603E2"/>
    <w:rsid w:val="00D60626"/>
    <w:rsid w:val="00D60995"/>
    <w:rsid w:val="00D60A8A"/>
    <w:rsid w:val="00D60BD7"/>
    <w:rsid w:val="00D60C77"/>
    <w:rsid w:val="00D60C90"/>
    <w:rsid w:val="00D60E8B"/>
    <w:rsid w:val="00D613C2"/>
    <w:rsid w:val="00D613C5"/>
    <w:rsid w:val="00D613D7"/>
    <w:rsid w:val="00D61527"/>
    <w:rsid w:val="00D6152A"/>
    <w:rsid w:val="00D61716"/>
    <w:rsid w:val="00D61799"/>
    <w:rsid w:val="00D6182A"/>
    <w:rsid w:val="00D61BF8"/>
    <w:rsid w:val="00D61D10"/>
    <w:rsid w:val="00D61D12"/>
    <w:rsid w:val="00D61DA4"/>
    <w:rsid w:val="00D61DDC"/>
    <w:rsid w:val="00D61EAD"/>
    <w:rsid w:val="00D61F38"/>
    <w:rsid w:val="00D62199"/>
    <w:rsid w:val="00D623DB"/>
    <w:rsid w:val="00D623FB"/>
    <w:rsid w:val="00D625FE"/>
    <w:rsid w:val="00D628EC"/>
    <w:rsid w:val="00D62A3A"/>
    <w:rsid w:val="00D62A72"/>
    <w:rsid w:val="00D62B95"/>
    <w:rsid w:val="00D62D5D"/>
    <w:rsid w:val="00D62D8E"/>
    <w:rsid w:val="00D62E8E"/>
    <w:rsid w:val="00D63126"/>
    <w:rsid w:val="00D63160"/>
    <w:rsid w:val="00D631EF"/>
    <w:rsid w:val="00D63251"/>
    <w:rsid w:val="00D632D0"/>
    <w:rsid w:val="00D63317"/>
    <w:rsid w:val="00D63357"/>
    <w:rsid w:val="00D63513"/>
    <w:rsid w:val="00D63521"/>
    <w:rsid w:val="00D636F5"/>
    <w:rsid w:val="00D638E1"/>
    <w:rsid w:val="00D63B8C"/>
    <w:rsid w:val="00D63C9D"/>
    <w:rsid w:val="00D63D8B"/>
    <w:rsid w:val="00D63DEC"/>
    <w:rsid w:val="00D63E31"/>
    <w:rsid w:val="00D6423F"/>
    <w:rsid w:val="00D6433A"/>
    <w:rsid w:val="00D6434E"/>
    <w:rsid w:val="00D64479"/>
    <w:rsid w:val="00D649AA"/>
    <w:rsid w:val="00D64A19"/>
    <w:rsid w:val="00D64A1B"/>
    <w:rsid w:val="00D64A39"/>
    <w:rsid w:val="00D64AE8"/>
    <w:rsid w:val="00D64DF3"/>
    <w:rsid w:val="00D64DFE"/>
    <w:rsid w:val="00D64E0C"/>
    <w:rsid w:val="00D64ECC"/>
    <w:rsid w:val="00D64F92"/>
    <w:rsid w:val="00D65194"/>
    <w:rsid w:val="00D652B4"/>
    <w:rsid w:val="00D654C1"/>
    <w:rsid w:val="00D655A2"/>
    <w:rsid w:val="00D656AE"/>
    <w:rsid w:val="00D65705"/>
    <w:rsid w:val="00D65C50"/>
    <w:rsid w:val="00D65FAA"/>
    <w:rsid w:val="00D6600C"/>
    <w:rsid w:val="00D66111"/>
    <w:rsid w:val="00D662C3"/>
    <w:rsid w:val="00D666B0"/>
    <w:rsid w:val="00D66723"/>
    <w:rsid w:val="00D668E5"/>
    <w:rsid w:val="00D6693B"/>
    <w:rsid w:val="00D66A3F"/>
    <w:rsid w:val="00D66E8B"/>
    <w:rsid w:val="00D66F54"/>
    <w:rsid w:val="00D66FF7"/>
    <w:rsid w:val="00D6705E"/>
    <w:rsid w:val="00D67087"/>
    <w:rsid w:val="00D67097"/>
    <w:rsid w:val="00D670C3"/>
    <w:rsid w:val="00D67138"/>
    <w:rsid w:val="00D67162"/>
    <w:rsid w:val="00D671ED"/>
    <w:rsid w:val="00D6731B"/>
    <w:rsid w:val="00D67405"/>
    <w:rsid w:val="00D674DB"/>
    <w:rsid w:val="00D675BD"/>
    <w:rsid w:val="00D67621"/>
    <w:rsid w:val="00D6766D"/>
    <w:rsid w:val="00D6769F"/>
    <w:rsid w:val="00D676F3"/>
    <w:rsid w:val="00D678E6"/>
    <w:rsid w:val="00D679DB"/>
    <w:rsid w:val="00D679E9"/>
    <w:rsid w:val="00D67AB6"/>
    <w:rsid w:val="00D67AB8"/>
    <w:rsid w:val="00D67B15"/>
    <w:rsid w:val="00D67BE6"/>
    <w:rsid w:val="00D67C89"/>
    <w:rsid w:val="00D67DC5"/>
    <w:rsid w:val="00D67E82"/>
    <w:rsid w:val="00D70253"/>
    <w:rsid w:val="00D70264"/>
    <w:rsid w:val="00D7034E"/>
    <w:rsid w:val="00D70507"/>
    <w:rsid w:val="00D70571"/>
    <w:rsid w:val="00D705FD"/>
    <w:rsid w:val="00D707B6"/>
    <w:rsid w:val="00D70B6B"/>
    <w:rsid w:val="00D70B72"/>
    <w:rsid w:val="00D70C35"/>
    <w:rsid w:val="00D70D5F"/>
    <w:rsid w:val="00D70D69"/>
    <w:rsid w:val="00D70E04"/>
    <w:rsid w:val="00D71143"/>
    <w:rsid w:val="00D7115C"/>
    <w:rsid w:val="00D712A4"/>
    <w:rsid w:val="00D7151A"/>
    <w:rsid w:val="00D715D1"/>
    <w:rsid w:val="00D7160E"/>
    <w:rsid w:val="00D7169F"/>
    <w:rsid w:val="00D717C7"/>
    <w:rsid w:val="00D71886"/>
    <w:rsid w:val="00D719C3"/>
    <w:rsid w:val="00D71A03"/>
    <w:rsid w:val="00D71AE5"/>
    <w:rsid w:val="00D71B64"/>
    <w:rsid w:val="00D71E97"/>
    <w:rsid w:val="00D71EA1"/>
    <w:rsid w:val="00D72174"/>
    <w:rsid w:val="00D721F7"/>
    <w:rsid w:val="00D7221F"/>
    <w:rsid w:val="00D72268"/>
    <w:rsid w:val="00D722CC"/>
    <w:rsid w:val="00D72677"/>
    <w:rsid w:val="00D7269B"/>
    <w:rsid w:val="00D729AC"/>
    <w:rsid w:val="00D72C2A"/>
    <w:rsid w:val="00D72D1E"/>
    <w:rsid w:val="00D72E01"/>
    <w:rsid w:val="00D7316E"/>
    <w:rsid w:val="00D73206"/>
    <w:rsid w:val="00D73298"/>
    <w:rsid w:val="00D73410"/>
    <w:rsid w:val="00D73428"/>
    <w:rsid w:val="00D73455"/>
    <w:rsid w:val="00D734F4"/>
    <w:rsid w:val="00D735FB"/>
    <w:rsid w:val="00D73632"/>
    <w:rsid w:val="00D73709"/>
    <w:rsid w:val="00D73A26"/>
    <w:rsid w:val="00D73A93"/>
    <w:rsid w:val="00D73BA9"/>
    <w:rsid w:val="00D73CD3"/>
    <w:rsid w:val="00D73CFF"/>
    <w:rsid w:val="00D73D42"/>
    <w:rsid w:val="00D73DDA"/>
    <w:rsid w:val="00D73EE5"/>
    <w:rsid w:val="00D74276"/>
    <w:rsid w:val="00D74286"/>
    <w:rsid w:val="00D742CA"/>
    <w:rsid w:val="00D7440A"/>
    <w:rsid w:val="00D7441B"/>
    <w:rsid w:val="00D744FB"/>
    <w:rsid w:val="00D74768"/>
    <w:rsid w:val="00D7479D"/>
    <w:rsid w:val="00D74816"/>
    <w:rsid w:val="00D748EA"/>
    <w:rsid w:val="00D748EC"/>
    <w:rsid w:val="00D749E1"/>
    <w:rsid w:val="00D74ACD"/>
    <w:rsid w:val="00D74C5D"/>
    <w:rsid w:val="00D74CAE"/>
    <w:rsid w:val="00D74CB8"/>
    <w:rsid w:val="00D74CD3"/>
    <w:rsid w:val="00D74D6D"/>
    <w:rsid w:val="00D74DE5"/>
    <w:rsid w:val="00D74DF0"/>
    <w:rsid w:val="00D74F11"/>
    <w:rsid w:val="00D75414"/>
    <w:rsid w:val="00D75436"/>
    <w:rsid w:val="00D754E6"/>
    <w:rsid w:val="00D7568D"/>
    <w:rsid w:val="00D7569A"/>
    <w:rsid w:val="00D756EC"/>
    <w:rsid w:val="00D759CB"/>
    <w:rsid w:val="00D75A67"/>
    <w:rsid w:val="00D75C86"/>
    <w:rsid w:val="00D75CA6"/>
    <w:rsid w:val="00D760C3"/>
    <w:rsid w:val="00D762D0"/>
    <w:rsid w:val="00D7638D"/>
    <w:rsid w:val="00D764A7"/>
    <w:rsid w:val="00D764C1"/>
    <w:rsid w:val="00D768BF"/>
    <w:rsid w:val="00D76D9B"/>
    <w:rsid w:val="00D76E1E"/>
    <w:rsid w:val="00D76FBF"/>
    <w:rsid w:val="00D770DA"/>
    <w:rsid w:val="00D771ED"/>
    <w:rsid w:val="00D771FB"/>
    <w:rsid w:val="00D77286"/>
    <w:rsid w:val="00D773C7"/>
    <w:rsid w:val="00D77509"/>
    <w:rsid w:val="00D775B3"/>
    <w:rsid w:val="00D77621"/>
    <w:rsid w:val="00D77836"/>
    <w:rsid w:val="00D77B57"/>
    <w:rsid w:val="00D77D56"/>
    <w:rsid w:val="00D77F38"/>
    <w:rsid w:val="00D80031"/>
    <w:rsid w:val="00D8003F"/>
    <w:rsid w:val="00D80133"/>
    <w:rsid w:val="00D80187"/>
    <w:rsid w:val="00D802EE"/>
    <w:rsid w:val="00D8035A"/>
    <w:rsid w:val="00D803FF"/>
    <w:rsid w:val="00D80526"/>
    <w:rsid w:val="00D806B0"/>
    <w:rsid w:val="00D8072B"/>
    <w:rsid w:val="00D808B1"/>
    <w:rsid w:val="00D808E4"/>
    <w:rsid w:val="00D80AB3"/>
    <w:rsid w:val="00D80C26"/>
    <w:rsid w:val="00D80DD1"/>
    <w:rsid w:val="00D80DDA"/>
    <w:rsid w:val="00D80ECD"/>
    <w:rsid w:val="00D80EDA"/>
    <w:rsid w:val="00D8107D"/>
    <w:rsid w:val="00D810C4"/>
    <w:rsid w:val="00D8135A"/>
    <w:rsid w:val="00D813E0"/>
    <w:rsid w:val="00D813F2"/>
    <w:rsid w:val="00D813F3"/>
    <w:rsid w:val="00D814DD"/>
    <w:rsid w:val="00D8151A"/>
    <w:rsid w:val="00D81683"/>
    <w:rsid w:val="00D8173F"/>
    <w:rsid w:val="00D817EB"/>
    <w:rsid w:val="00D8181D"/>
    <w:rsid w:val="00D81885"/>
    <w:rsid w:val="00D819E7"/>
    <w:rsid w:val="00D81A01"/>
    <w:rsid w:val="00D81C11"/>
    <w:rsid w:val="00D81D15"/>
    <w:rsid w:val="00D81DB4"/>
    <w:rsid w:val="00D81DCC"/>
    <w:rsid w:val="00D81EFE"/>
    <w:rsid w:val="00D82082"/>
    <w:rsid w:val="00D820A2"/>
    <w:rsid w:val="00D8217B"/>
    <w:rsid w:val="00D822C8"/>
    <w:rsid w:val="00D823C7"/>
    <w:rsid w:val="00D826BB"/>
    <w:rsid w:val="00D8278F"/>
    <w:rsid w:val="00D82A2A"/>
    <w:rsid w:val="00D82BAD"/>
    <w:rsid w:val="00D82C43"/>
    <w:rsid w:val="00D82C48"/>
    <w:rsid w:val="00D82E92"/>
    <w:rsid w:val="00D82F32"/>
    <w:rsid w:val="00D82F47"/>
    <w:rsid w:val="00D82F67"/>
    <w:rsid w:val="00D82FA5"/>
    <w:rsid w:val="00D83396"/>
    <w:rsid w:val="00D83447"/>
    <w:rsid w:val="00D8366C"/>
    <w:rsid w:val="00D8374C"/>
    <w:rsid w:val="00D837AC"/>
    <w:rsid w:val="00D83816"/>
    <w:rsid w:val="00D83A04"/>
    <w:rsid w:val="00D83A70"/>
    <w:rsid w:val="00D83A7E"/>
    <w:rsid w:val="00D83AAD"/>
    <w:rsid w:val="00D83B26"/>
    <w:rsid w:val="00D83C58"/>
    <w:rsid w:val="00D8466D"/>
    <w:rsid w:val="00D84791"/>
    <w:rsid w:val="00D84A95"/>
    <w:rsid w:val="00D84AE2"/>
    <w:rsid w:val="00D84B07"/>
    <w:rsid w:val="00D84B0E"/>
    <w:rsid w:val="00D84B19"/>
    <w:rsid w:val="00D84BC4"/>
    <w:rsid w:val="00D84C28"/>
    <w:rsid w:val="00D84D93"/>
    <w:rsid w:val="00D84DD1"/>
    <w:rsid w:val="00D84E02"/>
    <w:rsid w:val="00D85149"/>
    <w:rsid w:val="00D851FE"/>
    <w:rsid w:val="00D854D5"/>
    <w:rsid w:val="00D8551F"/>
    <w:rsid w:val="00D85594"/>
    <w:rsid w:val="00D855C2"/>
    <w:rsid w:val="00D85614"/>
    <w:rsid w:val="00D85657"/>
    <w:rsid w:val="00D85743"/>
    <w:rsid w:val="00D85A9F"/>
    <w:rsid w:val="00D85BE6"/>
    <w:rsid w:val="00D85EE2"/>
    <w:rsid w:val="00D86075"/>
    <w:rsid w:val="00D860A5"/>
    <w:rsid w:val="00D861AD"/>
    <w:rsid w:val="00D861FF"/>
    <w:rsid w:val="00D862ED"/>
    <w:rsid w:val="00D862FC"/>
    <w:rsid w:val="00D86356"/>
    <w:rsid w:val="00D86528"/>
    <w:rsid w:val="00D86590"/>
    <w:rsid w:val="00D865DA"/>
    <w:rsid w:val="00D86700"/>
    <w:rsid w:val="00D867CB"/>
    <w:rsid w:val="00D86852"/>
    <w:rsid w:val="00D86DC6"/>
    <w:rsid w:val="00D86E64"/>
    <w:rsid w:val="00D86F5E"/>
    <w:rsid w:val="00D8705E"/>
    <w:rsid w:val="00D87251"/>
    <w:rsid w:val="00D872AD"/>
    <w:rsid w:val="00D8732B"/>
    <w:rsid w:val="00D87442"/>
    <w:rsid w:val="00D87549"/>
    <w:rsid w:val="00D876D7"/>
    <w:rsid w:val="00D8771F"/>
    <w:rsid w:val="00D877DC"/>
    <w:rsid w:val="00D878BC"/>
    <w:rsid w:val="00D87954"/>
    <w:rsid w:val="00D87DA6"/>
    <w:rsid w:val="00D87F29"/>
    <w:rsid w:val="00D87FCA"/>
    <w:rsid w:val="00D900CE"/>
    <w:rsid w:val="00D900E7"/>
    <w:rsid w:val="00D9017C"/>
    <w:rsid w:val="00D901E6"/>
    <w:rsid w:val="00D90248"/>
    <w:rsid w:val="00D9028F"/>
    <w:rsid w:val="00D9043F"/>
    <w:rsid w:val="00D904F9"/>
    <w:rsid w:val="00D9063D"/>
    <w:rsid w:val="00D906E6"/>
    <w:rsid w:val="00D90805"/>
    <w:rsid w:val="00D9082F"/>
    <w:rsid w:val="00D908C8"/>
    <w:rsid w:val="00D90C0D"/>
    <w:rsid w:val="00D90D2E"/>
    <w:rsid w:val="00D90DBB"/>
    <w:rsid w:val="00D90DFC"/>
    <w:rsid w:val="00D90ED2"/>
    <w:rsid w:val="00D90F4D"/>
    <w:rsid w:val="00D90F57"/>
    <w:rsid w:val="00D90FDC"/>
    <w:rsid w:val="00D910D3"/>
    <w:rsid w:val="00D91118"/>
    <w:rsid w:val="00D9117F"/>
    <w:rsid w:val="00D9129E"/>
    <w:rsid w:val="00D91319"/>
    <w:rsid w:val="00D91330"/>
    <w:rsid w:val="00D914B5"/>
    <w:rsid w:val="00D914CD"/>
    <w:rsid w:val="00D914F9"/>
    <w:rsid w:val="00D9150C"/>
    <w:rsid w:val="00D91662"/>
    <w:rsid w:val="00D91703"/>
    <w:rsid w:val="00D917F5"/>
    <w:rsid w:val="00D9196F"/>
    <w:rsid w:val="00D91A62"/>
    <w:rsid w:val="00D91B77"/>
    <w:rsid w:val="00D91C33"/>
    <w:rsid w:val="00D91C84"/>
    <w:rsid w:val="00D9220E"/>
    <w:rsid w:val="00D922D3"/>
    <w:rsid w:val="00D92414"/>
    <w:rsid w:val="00D926EA"/>
    <w:rsid w:val="00D92818"/>
    <w:rsid w:val="00D92A55"/>
    <w:rsid w:val="00D92B97"/>
    <w:rsid w:val="00D92BA3"/>
    <w:rsid w:val="00D93119"/>
    <w:rsid w:val="00D932D6"/>
    <w:rsid w:val="00D9333C"/>
    <w:rsid w:val="00D9333F"/>
    <w:rsid w:val="00D93411"/>
    <w:rsid w:val="00D9352A"/>
    <w:rsid w:val="00D93647"/>
    <w:rsid w:val="00D936DF"/>
    <w:rsid w:val="00D9371F"/>
    <w:rsid w:val="00D9374F"/>
    <w:rsid w:val="00D9387B"/>
    <w:rsid w:val="00D93888"/>
    <w:rsid w:val="00D93925"/>
    <w:rsid w:val="00D93B0C"/>
    <w:rsid w:val="00D93CE5"/>
    <w:rsid w:val="00D93D72"/>
    <w:rsid w:val="00D93FAD"/>
    <w:rsid w:val="00D940C1"/>
    <w:rsid w:val="00D9413D"/>
    <w:rsid w:val="00D94336"/>
    <w:rsid w:val="00D9435B"/>
    <w:rsid w:val="00D94361"/>
    <w:rsid w:val="00D9438C"/>
    <w:rsid w:val="00D94420"/>
    <w:rsid w:val="00D945F3"/>
    <w:rsid w:val="00D94660"/>
    <w:rsid w:val="00D94777"/>
    <w:rsid w:val="00D94B14"/>
    <w:rsid w:val="00D94CF2"/>
    <w:rsid w:val="00D94D17"/>
    <w:rsid w:val="00D94D40"/>
    <w:rsid w:val="00D94DDC"/>
    <w:rsid w:val="00D95051"/>
    <w:rsid w:val="00D95107"/>
    <w:rsid w:val="00D95133"/>
    <w:rsid w:val="00D951A4"/>
    <w:rsid w:val="00D9533A"/>
    <w:rsid w:val="00D95360"/>
    <w:rsid w:val="00D95495"/>
    <w:rsid w:val="00D957F4"/>
    <w:rsid w:val="00D95D63"/>
    <w:rsid w:val="00D95F71"/>
    <w:rsid w:val="00D95FCA"/>
    <w:rsid w:val="00D9603E"/>
    <w:rsid w:val="00D9611D"/>
    <w:rsid w:val="00D96145"/>
    <w:rsid w:val="00D9620D"/>
    <w:rsid w:val="00D9633D"/>
    <w:rsid w:val="00D963C3"/>
    <w:rsid w:val="00D96634"/>
    <w:rsid w:val="00D9679E"/>
    <w:rsid w:val="00D967D4"/>
    <w:rsid w:val="00D96997"/>
    <w:rsid w:val="00D96CAB"/>
    <w:rsid w:val="00D96CB4"/>
    <w:rsid w:val="00D96D1E"/>
    <w:rsid w:val="00D96EA0"/>
    <w:rsid w:val="00D97071"/>
    <w:rsid w:val="00D97721"/>
    <w:rsid w:val="00D9793E"/>
    <w:rsid w:val="00D97A25"/>
    <w:rsid w:val="00D97D9D"/>
    <w:rsid w:val="00D97E4E"/>
    <w:rsid w:val="00D97ED0"/>
    <w:rsid w:val="00DA0063"/>
    <w:rsid w:val="00DA014D"/>
    <w:rsid w:val="00DA023F"/>
    <w:rsid w:val="00DA0510"/>
    <w:rsid w:val="00DA055F"/>
    <w:rsid w:val="00DA05C8"/>
    <w:rsid w:val="00DA0619"/>
    <w:rsid w:val="00DA0635"/>
    <w:rsid w:val="00DA0664"/>
    <w:rsid w:val="00DA068F"/>
    <w:rsid w:val="00DA07E0"/>
    <w:rsid w:val="00DA0892"/>
    <w:rsid w:val="00DA0BB8"/>
    <w:rsid w:val="00DA0BBF"/>
    <w:rsid w:val="00DA0EE0"/>
    <w:rsid w:val="00DA1057"/>
    <w:rsid w:val="00DA11AC"/>
    <w:rsid w:val="00DA13AB"/>
    <w:rsid w:val="00DA1607"/>
    <w:rsid w:val="00DA172A"/>
    <w:rsid w:val="00DA185A"/>
    <w:rsid w:val="00DA1916"/>
    <w:rsid w:val="00DA1B0D"/>
    <w:rsid w:val="00DA1BA1"/>
    <w:rsid w:val="00DA1C11"/>
    <w:rsid w:val="00DA1C6D"/>
    <w:rsid w:val="00DA1CD3"/>
    <w:rsid w:val="00DA1D50"/>
    <w:rsid w:val="00DA1E03"/>
    <w:rsid w:val="00DA1E93"/>
    <w:rsid w:val="00DA1F19"/>
    <w:rsid w:val="00DA1F8C"/>
    <w:rsid w:val="00DA220B"/>
    <w:rsid w:val="00DA22B3"/>
    <w:rsid w:val="00DA2316"/>
    <w:rsid w:val="00DA2397"/>
    <w:rsid w:val="00DA2670"/>
    <w:rsid w:val="00DA2712"/>
    <w:rsid w:val="00DA273E"/>
    <w:rsid w:val="00DA27A0"/>
    <w:rsid w:val="00DA28EC"/>
    <w:rsid w:val="00DA2957"/>
    <w:rsid w:val="00DA2BB9"/>
    <w:rsid w:val="00DA2D0F"/>
    <w:rsid w:val="00DA2E70"/>
    <w:rsid w:val="00DA2F30"/>
    <w:rsid w:val="00DA2FE7"/>
    <w:rsid w:val="00DA3072"/>
    <w:rsid w:val="00DA3491"/>
    <w:rsid w:val="00DA3663"/>
    <w:rsid w:val="00DA36A9"/>
    <w:rsid w:val="00DA36E6"/>
    <w:rsid w:val="00DA372F"/>
    <w:rsid w:val="00DA3795"/>
    <w:rsid w:val="00DA383F"/>
    <w:rsid w:val="00DA3899"/>
    <w:rsid w:val="00DA39D6"/>
    <w:rsid w:val="00DA3B11"/>
    <w:rsid w:val="00DA3CF0"/>
    <w:rsid w:val="00DA3DB2"/>
    <w:rsid w:val="00DA3F0C"/>
    <w:rsid w:val="00DA4387"/>
    <w:rsid w:val="00DA44CC"/>
    <w:rsid w:val="00DA4523"/>
    <w:rsid w:val="00DA472A"/>
    <w:rsid w:val="00DA4835"/>
    <w:rsid w:val="00DA48DC"/>
    <w:rsid w:val="00DA4926"/>
    <w:rsid w:val="00DA4A60"/>
    <w:rsid w:val="00DA4C52"/>
    <w:rsid w:val="00DA4D3D"/>
    <w:rsid w:val="00DA4D8E"/>
    <w:rsid w:val="00DA4EC6"/>
    <w:rsid w:val="00DA4FDA"/>
    <w:rsid w:val="00DA52E6"/>
    <w:rsid w:val="00DA53AE"/>
    <w:rsid w:val="00DA53CF"/>
    <w:rsid w:val="00DA53E3"/>
    <w:rsid w:val="00DA544F"/>
    <w:rsid w:val="00DA5525"/>
    <w:rsid w:val="00DA55E6"/>
    <w:rsid w:val="00DA58F4"/>
    <w:rsid w:val="00DA598C"/>
    <w:rsid w:val="00DA5A39"/>
    <w:rsid w:val="00DA5A99"/>
    <w:rsid w:val="00DA5D54"/>
    <w:rsid w:val="00DA5DB7"/>
    <w:rsid w:val="00DA5FB3"/>
    <w:rsid w:val="00DA5FCA"/>
    <w:rsid w:val="00DA6182"/>
    <w:rsid w:val="00DA61C5"/>
    <w:rsid w:val="00DA61EE"/>
    <w:rsid w:val="00DA61F8"/>
    <w:rsid w:val="00DA6258"/>
    <w:rsid w:val="00DA629C"/>
    <w:rsid w:val="00DA63B8"/>
    <w:rsid w:val="00DA640C"/>
    <w:rsid w:val="00DA6423"/>
    <w:rsid w:val="00DA6458"/>
    <w:rsid w:val="00DA67B4"/>
    <w:rsid w:val="00DA67DB"/>
    <w:rsid w:val="00DA690F"/>
    <w:rsid w:val="00DA69C2"/>
    <w:rsid w:val="00DA6BCA"/>
    <w:rsid w:val="00DA6FA7"/>
    <w:rsid w:val="00DA71F1"/>
    <w:rsid w:val="00DA7243"/>
    <w:rsid w:val="00DA72F9"/>
    <w:rsid w:val="00DA7859"/>
    <w:rsid w:val="00DA7B20"/>
    <w:rsid w:val="00DA7DB2"/>
    <w:rsid w:val="00DB00C8"/>
    <w:rsid w:val="00DB0237"/>
    <w:rsid w:val="00DB0265"/>
    <w:rsid w:val="00DB0645"/>
    <w:rsid w:val="00DB067A"/>
    <w:rsid w:val="00DB06E5"/>
    <w:rsid w:val="00DB0775"/>
    <w:rsid w:val="00DB0795"/>
    <w:rsid w:val="00DB07AF"/>
    <w:rsid w:val="00DB096B"/>
    <w:rsid w:val="00DB0A7E"/>
    <w:rsid w:val="00DB0AE7"/>
    <w:rsid w:val="00DB0BCF"/>
    <w:rsid w:val="00DB0C68"/>
    <w:rsid w:val="00DB0D2E"/>
    <w:rsid w:val="00DB0D55"/>
    <w:rsid w:val="00DB0DF6"/>
    <w:rsid w:val="00DB0EB9"/>
    <w:rsid w:val="00DB0F09"/>
    <w:rsid w:val="00DB1378"/>
    <w:rsid w:val="00DB1427"/>
    <w:rsid w:val="00DB1619"/>
    <w:rsid w:val="00DB1692"/>
    <w:rsid w:val="00DB179B"/>
    <w:rsid w:val="00DB17AC"/>
    <w:rsid w:val="00DB187B"/>
    <w:rsid w:val="00DB1890"/>
    <w:rsid w:val="00DB19C8"/>
    <w:rsid w:val="00DB19D5"/>
    <w:rsid w:val="00DB1A1F"/>
    <w:rsid w:val="00DB1A54"/>
    <w:rsid w:val="00DB1FDF"/>
    <w:rsid w:val="00DB2084"/>
    <w:rsid w:val="00DB215F"/>
    <w:rsid w:val="00DB2193"/>
    <w:rsid w:val="00DB21E3"/>
    <w:rsid w:val="00DB2391"/>
    <w:rsid w:val="00DB2480"/>
    <w:rsid w:val="00DB2621"/>
    <w:rsid w:val="00DB26D1"/>
    <w:rsid w:val="00DB2BDE"/>
    <w:rsid w:val="00DB2DD5"/>
    <w:rsid w:val="00DB2E5B"/>
    <w:rsid w:val="00DB2E7D"/>
    <w:rsid w:val="00DB2E9B"/>
    <w:rsid w:val="00DB332E"/>
    <w:rsid w:val="00DB35C4"/>
    <w:rsid w:val="00DB364A"/>
    <w:rsid w:val="00DB3668"/>
    <w:rsid w:val="00DB36D2"/>
    <w:rsid w:val="00DB3760"/>
    <w:rsid w:val="00DB39AA"/>
    <w:rsid w:val="00DB39E9"/>
    <w:rsid w:val="00DB3BD8"/>
    <w:rsid w:val="00DB3C75"/>
    <w:rsid w:val="00DB3E76"/>
    <w:rsid w:val="00DB3EC0"/>
    <w:rsid w:val="00DB41A8"/>
    <w:rsid w:val="00DB425C"/>
    <w:rsid w:val="00DB42E4"/>
    <w:rsid w:val="00DB4599"/>
    <w:rsid w:val="00DB4641"/>
    <w:rsid w:val="00DB4720"/>
    <w:rsid w:val="00DB4748"/>
    <w:rsid w:val="00DB49E0"/>
    <w:rsid w:val="00DB4AB4"/>
    <w:rsid w:val="00DB4B3C"/>
    <w:rsid w:val="00DB4CF5"/>
    <w:rsid w:val="00DB4E36"/>
    <w:rsid w:val="00DB4F81"/>
    <w:rsid w:val="00DB4FB1"/>
    <w:rsid w:val="00DB4FCB"/>
    <w:rsid w:val="00DB4FD6"/>
    <w:rsid w:val="00DB525C"/>
    <w:rsid w:val="00DB5297"/>
    <w:rsid w:val="00DB5384"/>
    <w:rsid w:val="00DB539C"/>
    <w:rsid w:val="00DB543F"/>
    <w:rsid w:val="00DB544A"/>
    <w:rsid w:val="00DB57D0"/>
    <w:rsid w:val="00DB58BE"/>
    <w:rsid w:val="00DB599B"/>
    <w:rsid w:val="00DB5B63"/>
    <w:rsid w:val="00DB5C01"/>
    <w:rsid w:val="00DB5C51"/>
    <w:rsid w:val="00DB5CED"/>
    <w:rsid w:val="00DB5D84"/>
    <w:rsid w:val="00DB615A"/>
    <w:rsid w:val="00DB6184"/>
    <w:rsid w:val="00DB620D"/>
    <w:rsid w:val="00DB630B"/>
    <w:rsid w:val="00DB6316"/>
    <w:rsid w:val="00DB65ED"/>
    <w:rsid w:val="00DB671E"/>
    <w:rsid w:val="00DB67E9"/>
    <w:rsid w:val="00DB6A5E"/>
    <w:rsid w:val="00DB6D7D"/>
    <w:rsid w:val="00DB6E21"/>
    <w:rsid w:val="00DB710A"/>
    <w:rsid w:val="00DB7161"/>
    <w:rsid w:val="00DB71A9"/>
    <w:rsid w:val="00DB72F1"/>
    <w:rsid w:val="00DB7335"/>
    <w:rsid w:val="00DB7356"/>
    <w:rsid w:val="00DB735B"/>
    <w:rsid w:val="00DB748A"/>
    <w:rsid w:val="00DB74E2"/>
    <w:rsid w:val="00DB79A1"/>
    <w:rsid w:val="00DB7A87"/>
    <w:rsid w:val="00DB7AAB"/>
    <w:rsid w:val="00DB7F0F"/>
    <w:rsid w:val="00DC01AB"/>
    <w:rsid w:val="00DC0233"/>
    <w:rsid w:val="00DC0443"/>
    <w:rsid w:val="00DC046E"/>
    <w:rsid w:val="00DC0550"/>
    <w:rsid w:val="00DC070F"/>
    <w:rsid w:val="00DC0894"/>
    <w:rsid w:val="00DC09FD"/>
    <w:rsid w:val="00DC0A3C"/>
    <w:rsid w:val="00DC0A6E"/>
    <w:rsid w:val="00DC0AE7"/>
    <w:rsid w:val="00DC0C75"/>
    <w:rsid w:val="00DC0CE1"/>
    <w:rsid w:val="00DC0D4C"/>
    <w:rsid w:val="00DC0D55"/>
    <w:rsid w:val="00DC10E4"/>
    <w:rsid w:val="00DC17E4"/>
    <w:rsid w:val="00DC185D"/>
    <w:rsid w:val="00DC1937"/>
    <w:rsid w:val="00DC1A03"/>
    <w:rsid w:val="00DC1A2E"/>
    <w:rsid w:val="00DC1B0D"/>
    <w:rsid w:val="00DC1C35"/>
    <w:rsid w:val="00DC1C93"/>
    <w:rsid w:val="00DC1C94"/>
    <w:rsid w:val="00DC1D02"/>
    <w:rsid w:val="00DC1DB2"/>
    <w:rsid w:val="00DC1E4B"/>
    <w:rsid w:val="00DC1F24"/>
    <w:rsid w:val="00DC1F40"/>
    <w:rsid w:val="00DC20F1"/>
    <w:rsid w:val="00DC212B"/>
    <w:rsid w:val="00DC2209"/>
    <w:rsid w:val="00DC2289"/>
    <w:rsid w:val="00DC2353"/>
    <w:rsid w:val="00DC23AB"/>
    <w:rsid w:val="00DC240A"/>
    <w:rsid w:val="00DC2487"/>
    <w:rsid w:val="00DC26B2"/>
    <w:rsid w:val="00DC28B9"/>
    <w:rsid w:val="00DC28C8"/>
    <w:rsid w:val="00DC28EB"/>
    <w:rsid w:val="00DC29D6"/>
    <w:rsid w:val="00DC2AB2"/>
    <w:rsid w:val="00DC2BBC"/>
    <w:rsid w:val="00DC2CDF"/>
    <w:rsid w:val="00DC2D21"/>
    <w:rsid w:val="00DC2D56"/>
    <w:rsid w:val="00DC2E53"/>
    <w:rsid w:val="00DC2ECD"/>
    <w:rsid w:val="00DC3489"/>
    <w:rsid w:val="00DC35F2"/>
    <w:rsid w:val="00DC36E1"/>
    <w:rsid w:val="00DC381E"/>
    <w:rsid w:val="00DC382C"/>
    <w:rsid w:val="00DC3937"/>
    <w:rsid w:val="00DC39D7"/>
    <w:rsid w:val="00DC3AF9"/>
    <w:rsid w:val="00DC3C7A"/>
    <w:rsid w:val="00DC3DC3"/>
    <w:rsid w:val="00DC4101"/>
    <w:rsid w:val="00DC41B5"/>
    <w:rsid w:val="00DC422D"/>
    <w:rsid w:val="00DC4243"/>
    <w:rsid w:val="00DC4319"/>
    <w:rsid w:val="00DC4337"/>
    <w:rsid w:val="00DC439B"/>
    <w:rsid w:val="00DC43E1"/>
    <w:rsid w:val="00DC44F3"/>
    <w:rsid w:val="00DC4B5D"/>
    <w:rsid w:val="00DC4B6A"/>
    <w:rsid w:val="00DC4B6F"/>
    <w:rsid w:val="00DC4E37"/>
    <w:rsid w:val="00DC4F3C"/>
    <w:rsid w:val="00DC50CA"/>
    <w:rsid w:val="00DC52A5"/>
    <w:rsid w:val="00DC53E3"/>
    <w:rsid w:val="00DC5726"/>
    <w:rsid w:val="00DC57C1"/>
    <w:rsid w:val="00DC5C8F"/>
    <w:rsid w:val="00DC5CEF"/>
    <w:rsid w:val="00DC5CF5"/>
    <w:rsid w:val="00DC5F49"/>
    <w:rsid w:val="00DC6087"/>
    <w:rsid w:val="00DC615F"/>
    <w:rsid w:val="00DC6213"/>
    <w:rsid w:val="00DC625F"/>
    <w:rsid w:val="00DC6340"/>
    <w:rsid w:val="00DC6452"/>
    <w:rsid w:val="00DC6954"/>
    <w:rsid w:val="00DC6B48"/>
    <w:rsid w:val="00DC6D29"/>
    <w:rsid w:val="00DC6D72"/>
    <w:rsid w:val="00DC6E78"/>
    <w:rsid w:val="00DC6EFB"/>
    <w:rsid w:val="00DC6FEB"/>
    <w:rsid w:val="00DC7061"/>
    <w:rsid w:val="00DC7157"/>
    <w:rsid w:val="00DC7242"/>
    <w:rsid w:val="00DC725D"/>
    <w:rsid w:val="00DC7359"/>
    <w:rsid w:val="00DC735B"/>
    <w:rsid w:val="00DC75F5"/>
    <w:rsid w:val="00DC78CB"/>
    <w:rsid w:val="00DC79FE"/>
    <w:rsid w:val="00DC7AFD"/>
    <w:rsid w:val="00DC7F23"/>
    <w:rsid w:val="00DC7F5D"/>
    <w:rsid w:val="00DD0047"/>
    <w:rsid w:val="00DD005F"/>
    <w:rsid w:val="00DD02AE"/>
    <w:rsid w:val="00DD03BD"/>
    <w:rsid w:val="00DD042F"/>
    <w:rsid w:val="00DD051E"/>
    <w:rsid w:val="00DD0521"/>
    <w:rsid w:val="00DD0607"/>
    <w:rsid w:val="00DD06C4"/>
    <w:rsid w:val="00DD0736"/>
    <w:rsid w:val="00DD09EB"/>
    <w:rsid w:val="00DD0A89"/>
    <w:rsid w:val="00DD0B5D"/>
    <w:rsid w:val="00DD0CBE"/>
    <w:rsid w:val="00DD0EE6"/>
    <w:rsid w:val="00DD0F9E"/>
    <w:rsid w:val="00DD10C8"/>
    <w:rsid w:val="00DD12E3"/>
    <w:rsid w:val="00DD12F6"/>
    <w:rsid w:val="00DD1316"/>
    <w:rsid w:val="00DD1325"/>
    <w:rsid w:val="00DD13B5"/>
    <w:rsid w:val="00DD1667"/>
    <w:rsid w:val="00DD1669"/>
    <w:rsid w:val="00DD17C2"/>
    <w:rsid w:val="00DD1830"/>
    <w:rsid w:val="00DD184E"/>
    <w:rsid w:val="00DD1AEF"/>
    <w:rsid w:val="00DD1CDF"/>
    <w:rsid w:val="00DD1D11"/>
    <w:rsid w:val="00DD1D85"/>
    <w:rsid w:val="00DD20AF"/>
    <w:rsid w:val="00DD21D5"/>
    <w:rsid w:val="00DD228F"/>
    <w:rsid w:val="00DD2368"/>
    <w:rsid w:val="00DD25B1"/>
    <w:rsid w:val="00DD28E1"/>
    <w:rsid w:val="00DD2B93"/>
    <w:rsid w:val="00DD2B95"/>
    <w:rsid w:val="00DD2BA4"/>
    <w:rsid w:val="00DD2BD8"/>
    <w:rsid w:val="00DD2C1C"/>
    <w:rsid w:val="00DD2C5C"/>
    <w:rsid w:val="00DD2F6B"/>
    <w:rsid w:val="00DD3001"/>
    <w:rsid w:val="00DD30C8"/>
    <w:rsid w:val="00DD331D"/>
    <w:rsid w:val="00DD339F"/>
    <w:rsid w:val="00DD35DF"/>
    <w:rsid w:val="00DD35F6"/>
    <w:rsid w:val="00DD3677"/>
    <w:rsid w:val="00DD3741"/>
    <w:rsid w:val="00DD3961"/>
    <w:rsid w:val="00DD3A00"/>
    <w:rsid w:val="00DD3AEF"/>
    <w:rsid w:val="00DD3B23"/>
    <w:rsid w:val="00DD3CDC"/>
    <w:rsid w:val="00DD3CEB"/>
    <w:rsid w:val="00DD3DB1"/>
    <w:rsid w:val="00DD3DB4"/>
    <w:rsid w:val="00DD3E1F"/>
    <w:rsid w:val="00DD3EEA"/>
    <w:rsid w:val="00DD3F44"/>
    <w:rsid w:val="00DD42E3"/>
    <w:rsid w:val="00DD434B"/>
    <w:rsid w:val="00DD437C"/>
    <w:rsid w:val="00DD440D"/>
    <w:rsid w:val="00DD4482"/>
    <w:rsid w:val="00DD44BA"/>
    <w:rsid w:val="00DD4625"/>
    <w:rsid w:val="00DD468C"/>
    <w:rsid w:val="00DD4746"/>
    <w:rsid w:val="00DD4921"/>
    <w:rsid w:val="00DD492E"/>
    <w:rsid w:val="00DD4949"/>
    <w:rsid w:val="00DD4997"/>
    <w:rsid w:val="00DD49A9"/>
    <w:rsid w:val="00DD49AE"/>
    <w:rsid w:val="00DD49C4"/>
    <w:rsid w:val="00DD4AA7"/>
    <w:rsid w:val="00DD4B6C"/>
    <w:rsid w:val="00DD4C35"/>
    <w:rsid w:val="00DD4DB4"/>
    <w:rsid w:val="00DD4DEA"/>
    <w:rsid w:val="00DD4DF7"/>
    <w:rsid w:val="00DD4E80"/>
    <w:rsid w:val="00DD4EFB"/>
    <w:rsid w:val="00DD5132"/>
    <w:rsid w:val="00DD516E"/>
    <w:rsid w:val="00DD53BE"/>
    <w:rsid w:val="00DD553B"/>
    <w:rsid w:val="00DD564F"/>
    <w:rsid w:val="00DD5738"/>
    <w:rsid w:val="00DD582B"/>
    <w:rsid w:val="00DD5971"/>
    <w:rsid w:val="00DD5AAC"/>
    <w:rsid w:val="00DD5DA1"/>
    <w:rsid w:val="00DD5DA6"/>
    <w:rsid w:val="00DD5DAB"/>
    <w:rsid w:val="00DD5E8D"/>
    <w:rsid w:val="00DD5FF0"/>
    <w:rsid w:val="00DD6128"/>
    <w:rsid w:val="00DD6183"/>
    <w:rsid w:val="00DD619C"/>
    <w:rsid w:val="00DD6226"/>
    <w:rsid w:val="00DD628E"/>
    <w:rsid w:val="00DD651E"/>
    <w:rsid w:val="00DD65AE"/>
    <w:rsid w:val="00DD6648"/>
    <w:rsid w:val="00DD6BBB"/>
    <w:rsid w:val="00DD6E3D"/>
    <w:rsid w:val="00DD7080"/>
    <w:rsid w:val="00DD7124"/>
    <w:rsid w:val="00DD7594"/>
    <w:rsid w:val="00DD7798"/>
    <w:rsid w:val="00DD7A46"/>
    <w:rsid w:val="00DD7AEF"/>
    <w:rsid w:val="00DD7C29"/>
    <w:rsid w:val="00DD7E07"/>
    <w:rsid w:val="00DD7E0E"/>
    <w:rsid w:val="00DD7EC4"/>
    <w:rsid w:val="00DE0090"/>
    <w:rsid w:val="00DE00BD"/>
    <w:rsid w:val="00DE0140"/>
    <w:rsid w:val="00DE04B9"/>
    <w:rsid w:val="00DE04D0"/>
    <w:rsid w:val="00DE0534"/>
    <w:rsid w:val="00DE0560"/>
    <w:rsid w:val="00DE056F"/>
    <w:rsid w:val="00DE0764"/>
    <w:rsid w:val="00DE0846"/>
    <w:rsid w:val="00DE0969"/>
    <w:rsid w:val="00DE099F"/>
    <w:rsid w:val="00DE0C58"/>
    <w:rsid w:val="00DE0CE5"/>
    <w:rsid w:val="00DE0DF3"/>
    <w:rsid w:val="00DE0FB7"/>
    <w:rsid w:val="00DE0FFE"/>
    <w:rsid w:val="00DE1060"/>
    <w:rsid w:val="00DE118C"/>
    <w:rsid w:val="00DE1190"/>
    <w:rsid w:val="00DE11A7"/>
    <w:rsid w:val="00DE11BA"/>
    <w:rsid w:val="00DE11E7"/>
    <w:rsid w:val="00DE1604"/>
    <w:rsid w:val="00DE1627"/>
    <w:rsid w:val="00DE1778"/>
    <w:rsid w:val="00DE177E"/>
    <w:rsid w:val="00DE1996"/>
    <w:rsid w:val="00DE1A09"/>
    <w:rsid w:val="00DE1A1F"/>
    <w:rsid w:val="00DE1A69"/>
    <w:rsid w:val="00DE1C38"/>
    <w:rsid w:val="00DE1E0B"/>
    <w:rsid w:val="00DE1F28"/>
    <w:rsid w:val="00DE1F5C"/>
    <w:rsid w:val="00DE20F2"/>
    <w:rsid w:val="00DE221C"/>
    <w:rsid w:val="00DE222F"/>
    <w:rsid w:val="00DE226D"/>
    <w:rsid w:val="00DE24B9"/>
    <w:rsid w:val="00DE2650"/>
    <w:rsid w:val="00DE268D"/>
    <w:rsid w:val="00DE2971"/>
    <w:rsid w:val="00DE2AFE"/>
    <w:rsid w:val="00DE2DB2"/>
    <w:rsid w:val="00DE2E00"/>
    <w:rsid w:val="00DE2EDA"/>
    <w:rsid w:val="00DE30E4"/>
    <w:rsid w:val="00DE3108"/>
    <w:rsid w:val="00DE3111"/>
    <w:rsid w:val="00DE319F"/>
    <w:rsid w:val="00DE3328"/>
    <w:rsid w:val="00DE3351"/>
    <w:rsid w:val="00DE3369"/>
    <w:rsid w:val="00DE37B7"/>
    <w:rsid w:val="00DE3814"/>
    <w:rsid w:val="00DE386C"/>
    <w:rsid w:val="00DE394A"/>
    <w:rsid w:val="00DE3966"/>
    <w:rsid w:val="00DE3967"/>
    <w:rsid w:val="00DE3AA8"/>
    <w:rsid w:val="00DE3B4A"/>
    <w:rsid w:val="00DE3D8F"/>
    <w:rsid w:val="00DE3DA5"/>
    <w:rsid w:val="00DE3DDC"/>
    <w:rsid w:val="00DE3F96"/>
    <w:rsid w:val="00DE40DF"/>
    <w:rsid w:val="00DE4145"/>
    <w:rsid w:val="00DE434A"/>
    <w:rsid w:val="00DE436A"/>
    <w:rsid w:val="00DE4379"/>
    <w:rsid w:val="00DE43D2"/>
    <w:rsid w:val="00DE4605"/>
    <w:rsid w:val="00DE471D"/>
    <w:rsid w:val="00DE49CD"/>
    <w:rsid w:val="00DE4A35"/>
    <w:rsid w:val="00DE4C0D"/>
    <w:rsid w:val="00DE4C5A"/>
    <w:rsid w:val="00DE4CF9"/>
    <w:rsid w:val="00DE4D33"/>
    <w:rsid w:val="00DE4E23"/>
    <w:rsid w:val="00DE5031"/>
    <w:rsid w:val="00DE5121"/>
    <w:rsid w:val="00DE5150"/>
    <w:rsid w:val="00DE5227"/>
    <w:rsid w:val="00DE56A3"/>
    <w:rsid w:val="00DE56C5"/>
    <w:rsid w:val="00DE56DC"/>
    <w:rsid w:val="00DE5787"/>
    <w:rsid w:val="00DE57AD"/>
    <w:rsid w:val="00DE5E0D"/>
    <w:rsid w:val="00DE5F5E"/>
    <w:rsid w:val="00DE6045"/>
    <w:rsid w:val="00DE611F"/>
    <w:rsid w:val="00DE624F"/>
    <w:rsid w:val="00DE638D"/>
    <w:rsid w:val="00DE6500"/>
    <w:rsid w:val="00DE67A3"/>
    <w:rsid w:val="00DE693B"/>
    <w:rsid w:val="00DE69F9"/>
    <w:rsid w:val="00DE6ACB"/>
    <w:rsid w:val="00DE6AF9"/>
    <w:rsid w:val="00DE6B71"/>
    <w:rsid w:val="00DE6B88"/>
    <w:rsid w:val="00DE6CE4"/>
    <w:rsid w:val="00DE6D73"/>
    <w:rsid w:val="00DE6EDF"/>
    <w:rsid w:val="00DE6F8D"/>
    <w:rsid w:val="00DE6FF2"/>
    <w:rsid w:val="00DE72EC"/>
    <w:rsid w:val="00DE73AE"/>
    <w:rsid w:val="00DE73BC"/>
    <w:rsid w:val="00DE73D5"/>
    <w:rsid w:val="00DE74C9"/>
    <w:rsid w:val="00DE75E6"/>
    <w:rsid w:val="00DE795B"/>
    <w:rsid w:val="00DE7AB5"/>
    <w:rsid w:val="00DE7B68"/>
    <w:rsid w:val="00DF03CF"/>
    <w:rsid w:val="00DF03FA"/>
    <w:rsid w:val="00DF040B"/>
    <w:rsid w:val="00DF06B1"/>
    <w:rsid w:val="00DF07DD"/>
    <w:rsid w:val="00DF0ACA"/>
    <w:rsid w:val="00DF0AF2"/>
    <w:rsid w:val="00DF0B07"/>
    <w:rsid w:val="00DF0B09"/>
    <w:rsid w:val="00DF0B26"/>
    <w:rsid w:val="00DF0BBE"/>
    <w:rsid w:val="00DF0ED7"/>
    <w:rsid w:val="00DF0EF1"/>
    <w:rsid w:val="00DF0FBC"/>
    <w:rsid w:val="00DF1307"/>
    <w:rsid w:val="00DF1360"/>
    <w:rsid w:val="00DF16AF"/>
    <w:rsid w:val="00DF1783"/>
    <w:rsid w:val="00DF17FE"/>
    <w:rsid w:val="00DF1A5F"/>
    <w:rsid w:val="00DF1C5D"/>
    <w:rsid w:val="00DF1CEA"/>
    <w:rsid w:val="00DF1ECC"/>
    <w:rsid w:val="00DF1F72"/>
    <w:rsid w:val="00DF201F"/>
    <w:rsid w:val="00DF2163"/>
    <w:rsid w:val="00DF2185"/>
    <w:rsid w:val="00DF2450"/>
    <w:rsid w:val="00DF24C9"/>
    <w:rsid w:val="00DF2530"/>
    <w:rsid w:val="00DF2546"/>
    <w:rsid w:val="00DF25F5"/>
    <w:rsid w:val="00DF25FE"/>
    <w:rsid w:val="00DF262D"/>
    <w:rsid w:val="00DF26E7"/>
    <w:rsid w:val="00DF287C"/>
    <w:rsid w:val="00DF2897"/>
    <w:rsid w:val="00DF2C2E"/>
    <w:rsid w:val="00DF2CB3"/>
    <w:rsid w:val="00DF2DE1"/>
    <w:rsid w:val="00DF2E51"/>
    <w:rsid w:val="00DF2FDC"/>
    <w:rsid w:val="00DF308F"/>
    <w:rsid w:val="00DF30B3"/>
    <w:rsid w:val="00DF3258"/>
    <w:rsid w:val="00DF32BC"/>
    <w:rsid w:val="00DF3315"/>
    <w:rsid w:val="00DF340A"/>
    <w:rsid w:val="00DF3611"/>
    <w:rsid w:val="00DF36FA"/>
    <w:rsid w:val="00DF383E"/>
    <w:rsid w:val="00DF3B85"/>
    <w:rsid w:val="00DF3CD5"/>
    <w:rsid w:val="00DF3DAA"/>
    <w:rsid w:val="00DF3E52"/>
    <w:rsid w:val="00DF4090"/>
    <w:rsid w:val="00DF40F8"/>
    <w:rsid w:val="00DF40FC"/>
    <w:rsid w:val="00DF4208"/>
    <w:rsid w:val="00DF42A5"/>
    <w:rsid w:val="00DF42AC"/>
    <w:rsid w:val="00DF42C3"/>
    <w:rsid w:val="00DF446C"/>
    <w:rsid w:val="00DF46EC"/>
    <w:rsid w:val="00DF47F1"/>
    <w:rsid w:val="00DF48C7"/>
    <w:rsid w:val="00DF495E"/>
    <w:rsid w:val="00DF4C82"/>
    <w:rsid w:val="00DF50A7"/>
    <w:rsid w:val="00DF51A9"/>
    <w:rsid w:val="00DF5253"/>
    <w:rsid w:val="00DF5281"/>
    <w:rsid w:val="00DF5384"/>
    <w:rsid w:val="00DF54A9"/>
    <w:rsid w:val="00DF57B2"/>
    <w:rsid w:val="00DF57E7"/>
    <w:rsid w:val="00DF5940"/>
    <w:rsid w:val="00DF5B63"/>
    <w:rsid w:val="00DF5BAD"/>
    <w:rsid w:val="00DF5C57"/>
    <w:rsid w:val="00DF5FA8"/>
    <w:rsid w:val="00DF6012"/>
    <w:rsid w:val="00DF62B9"/>
    <w:rsid w:val="00DF639B"/>
    <w:rsid w:val="00DF6510"/>
    <w:rsid w:val="00DF6695"/>
    <w:rsid w:val="00DF69C1"/>
    <w:rsid w:val="00DF6B3A"/>
    <w:rsid w:val="00DF6B4A"/>
    <w:rsid w:val="00DF6D1C"/>
    <w:rsid w:val="00DF71D7"/>
    <w:rsid w:val="00DF71FD"/>
    <w:rsid w:val="00DF736E"/>
    <w:rsid w:val="00DF73A8"/>
    <w:rsid w:val="00DF73D9"/>
    <w:rsid w:val="00DF7437"/>
    <w:rsid w:val="00DF7449"/>
    <w:rsid w:val="00DF747A"/>
    <w:rsid w:val="00DF7676"/>
    <w:rsid w:val="00DF7694"/>
    <w:rsid w:val="00DF76CA"/>
    <w:rsid w:val="00DF7859"/>
    <w:rsid w:val="00DF786E"/>
    <w:rsid w:val="00DF788E"/>
    <w:rsid w:val="00DF7A1E"/>
    <w:rsid w:val="00DF7B40"/>
    <w:rsid w:val="00DF7B9B"/>
    <w:rsid w:val="00DF7CD6"/>
    <w:rsid w:val="00DF7D4B"/>
    <w:rsid w:val="00DF7E87"/>
    <w:rsid w:val="00E000DA"/>
    <w:rsid w:val="00E003FC"/>
    <w:rsid w:val="00E00411"/>
    <w:rsid w:val="00E004B7"/>
    <w:rsid w:val="00E005D7"/>
    <w:rsid w:val="00E006E5"/>
    <w:rsid w:val="00E008B4"/>
    <w:rsid w:val="00E008D7"/>
    <w:rsid w:val="00E009C9"/>
    <w:rsid w:val="00E00C49"/>
    <w:rsid w:val="00E00D2A"/>
    <w:rsid w:val="00E00E2A"/>
    <w:rsid w:val="00E00EC9"/>
    <w:rsid w:val="00E00EF2"/>
    <w:rsid w:val="00E00F5C"/>
    <w:rsid w:val="00E01053"/>
    <w:rsid w:val="00E0107D"/>
    <w:rsid w:val="00E010E1"/>
    <w:rsid w:val="00E0125B"/>
    <w:rsid w:val="00E0125C"/>
    <w:rsid w:val="00E012D2"/>
    <w:rsid w:val="00E01327"/>
    <w:rsid w:val="00E0142A"/>
    <w:rsid w:val="00E014E6"/>
    <w:rsid w:val="00E017BD"/>
    <w:rsid w:val="00E0180F"/>
    <w:rsid w:val="00E018FD"/>
    <w:rsid w:val="00E01CB7"/>
    <w:rsid w:val="00E01E87"/>
    <w:rsid w:val="00E01F64"/>
    <w:rsid w:val="00E02245"/>
    <w:rsid w:val="00E02262"/>
    <w:rsid w:val="00E022DC"/>
    <w:rsid w:val="00E02433"/>
    <w:rsid w:val="00E02451"/>
    <w:rsid w:val="00E02464"/>
    <w:rsid w:val="00E026E1"/>
    <w:rsid w:val="00E02726"/>
    <w:rsid w:val="00E027B6"/>
    <w:rsid w:val="00E0281B"/>
    <w:rsid w:val="00E02CB9"/>
    <w:rsid w:val="00E02DD6"/>
    <w:rsid w:val="00E02E9E"/>
    <w:rsid w:val="00E02EC6"/>
    <w:rsid w:val="00E02F3A"/>
    <w:rsid w:val="00E02FDB"/>
    <w:rsid w:val="00E031B5"/>
    <w:rsid w:val="00E032B5"/>
    <w:rsid w:val="00E0345B"/>
    <w:rsid w:val="00E03659"/>
    <w:rsid w:val="00E03873"/>
    <w:rsid w:val="00E03905"/>
    <w:rsid w:val="00E03ACC"/>
    <w:rsid w:val="00E03C0B"/>
    <w:rsid w:val="00E03C97"/>
    <w:rsid w:val="00E03D6D"/>
    <w:rsid w:val="00E03E96"/>
    <w:rsid w:val="00E03F18"/>
    <w:rsid w:val="00E04460"/>
    <w:rsid w:val="00E047E9"/>
    <w:rsid w:val="00E04992"/>
    <w:rsid w:val="00E04A47"/>
    <w:rsid w:val="00E04B1C"/>
    <w:rsid w:val="00E04BD1"/>
    <w:rsid w:val="00E04C59"/>
    <w:rsid w:val="00E04C84"/>
    <w:rsid w:val="00E04CAF"/>
    <w:rsid w:val="00E04DFF"/>
    <w:rsid w:val="00E04F35"/>
    <w:rsid w:val="00E05025"/>
    <w:rsid w:val="00E051CD"/>
    <w:rsid w:val="00E05391"/>
    <w:rsid w:val="00E05458"/>
    <w:rsid w:val="00E056D5"/>
    <w:rsid w:val="00E05A18"/>
    <w:rsid w:val="00E05CF0"/>
    <w:rsid w:val="00E05D28"/>
    <w:rsid w:val="00E05D82"/>
    <w:rsid w:val="00E05EF9"/>
    <w:rsid w:val="00E05FA8"/>
    <w:rsid w:val="00E05FD8"/>
    <w:rsid w:val="00E06082"/>
    <w:rsid w:val="00E060D6"/>
    <w:rsid w:val="00E062E9"/>
    <w:rsid w:val="00E065ED"/>
    <w:rsid w:val="00E0683B"/>
    <w:rsid w:val="00E0683D"/>
    <w:rsid w:val="00E068F7"/>
    <w:rsid w:val="00E069CA"/>
    <w:rsid w:val="00E069F1"/>
    <w:rsid w:val="00E06AFD"/>
    <w:rsid w:val="00E06B19"/>
    <w:rsid w:val="00E06B91"/>
    <w:rsid w:val="00E06C24"/>
    <w:rsid w:val="00E06C45"/>
    <w:rsid w:val="00E06F57"/>
    <w:rsid w:val="00E06FD0"/>
    <w:rsid w:val="00E07049"/>
    <w:rsid w:val="00E071DE"/>
    <w:rsid w:val="00E073A2"/>
    <w:rsid w:val="00E0743E"/>
    <w:rsid w:val="00E0755C"/>
    <w:rsid w:val="00E07570"/>
    <w:rsid w:val="00E075E7"/>
    <w:rsid w:val="00E077C9"/>
    <w:rsid w:val="00E078F9"/>
    <w:rsid w:val="00E07929"/>
    <w:rsid w:val="00E079B9"/>
    <w:rsid w:val="00E07A05"/>
    <w:rsid w:val="00E07C37"/>
    <w:rsid w:val="00E07CF5"/>
    <w:rsid w:val="00E07DA5"/>
    <w:rsid w:val="00E07EDA"/>
    <w:rsid w:val="00E100D3"/>
    <w:rsid w:val="00E102C1"/>
    <w:rsid w:val="00E102CD"/>
    <w:rsid w:val="00E10303"/>
    <w:rsid w:val="00E10496"/>
    <w:rsid w:val="00E104A0"/>
    <w:rsid w:val="00E104F6"/>
    <w:rsid w:val="00E10539"/>
    <w:rsid w:val="00E106CD"/>
    <w:rsid w:val="00E1079A"/>
    <w:rsid w:val="00E109A8"/>
    <w:rsid w:val="00E10AA2"/>
    <w:rsid w:val="00E10EB1"/>
    <w:rsid w:val="00E11063"/>
    <w:rsid w:val="00E111AC"/>
    <w:rsid w:val="00E11365"/>
    <w:rsid w:val="00E11661"/>
    <w:rsid w:val="00E1174E"/>
    <w:rsid w:val="00E11754"/>
    <w:rsid w:val="00E11877"/>
    <w:rsid w:val="00E11985"/>
    <w:rsid w:val="00E11BE2"/>
    <w:rsid w:val="00E11D16"/>
    <w:rsid w:val="00E11DF1"/>
    <w:rsid w:val="00E11EBF"/>
    <w:rsid w:val="00E11F72"/>
    <w:rsid w:val="00E12118"/>
    <w:rsid w:val="00E12169"/>
    <w:rsid w:val="00E1219A"/>
    <w:rsid w:val="00E12444"/>
    <w:rsid w:val="00E12496"/>
    <w:rsid w:val="00E125EF"/>
    <w:rsid w:val="00E12665"/>
    <w:rsid w:val="00E12836"/>
    <w:rsid w:val="00E12884"/>
    <w:rsid w:val="00E128CB"/>
    <w:rsid w:val="00E12A75"/>
    <w:rsid w:val="00E12B9C"/>
    <w:rsid w:val="00E12C69"/>
    <w:rsid w:val="00E12D3A"/>
    <w:rsid w:val="00E12D51"/>
    <w:rsid w:val="00E12D64"/>
    <w:rsid w:val="00E12DCB"/>
    <w:rsid w:val="00E130B7"/>
    <w:rsid w:val="00E130CB"/>
    <w:rsid w:val="00E13318"/>
    <w:rsid w:val="00E1339F"/>
    <w:rsid w:val="00E133BE"/>
    <w:rsid w:val="00E13431"/>
    <w:rsid w:val="00E135F6"/>
    <w:rsid w:val="00E1361B"/>
    <w:rsid w:val="00E1366D"/>
    <w:rsid w:val="00E136ED"/>
    <w:rsid w:val="00E13AA7"/>
    <w:rsid w:val="00E13C5B"/>
    <w:rsid w:val="00E13CEC"/>
    <w:rsid w:val="00E13E5D"/>
    <w:rsid w:val="00E13E9A"/>
    <w:rsid w:val="00E13F34"/>
    <w:rsid w:val="00E14002"/>
    <w:rsid w:val="00E14041"/>
    <w:rsid w:val="00E140C1"/>
    <w:rsid w:val="00E140E8"/>
    <w:rsid w:val="00E140FF"/>
    <w:rsid w:val="00E14181"/>
    <w:rsid w:val="00E142F2"/>
    <w:rsid w:val="00E1435B"/>
    <w:rsid w:val="00E14762"/>
    <w:rsid w:val="00E147CC"/>
    <w:rsid w:val="00E14957"/>
    <w:rsid w:val="00E149DC"/>
    <w:rsid w:val="00E14BCE"/>
    <w:rsid w:val="00E14DDD"/>
    <w:rsid w:val="00E14E5C"/>
    <w:rsid w:val="00E14F0B"/>
    <w:rsid w:val="00E14FDF"/>
    <w:rsid w:val="00E15066"/>
    <w:rsid w:val="00E150A1"/>
    <w:rsid w:val="00E150BC"/>
    <w:rsid w:val="00E150CE"/>
    <w:rsid w:val="00E1517A"/>
    <w:rsid w:val="00E151BC"/>
    <w:rsid w:val="00E153A8"/>
    <w:rsid w:val="00E155AD"/>
    <w:rsid w:val="00E156BA"/>
    <w:rsid w:val="00E157DB"/>
    <w:rsid w:val="00E15802"/>
    <w:rsid w:val="00E15824"/>
    <w:rsid w:val="00E15917"/>
    <w:rsid w:val="00E159A6"/>
    <w:rsid w:val="00E159FE"/>
    <w:rsid w:val="00E15A33"/>
    <w:rsid w:val="00E15AB3"/>
    <w:rsid w:val="00E15E17"/>
    <w:rsid w:val="00E1622F"/>
    <w:rsid w:val="00E1623B"/>
    <w:rsid w:val="00E162FC"/>
    <w:rsid w:val="00E1655F"/>
    <w:rsid w:val="00E16796"/>
    <w:rsid w:val="00E167B9"/>
    <w:rsid w:val="00E167D0"/>
    <w:rsid w:val="00E16848"/>
    <w:rsid w:val="00E16897"/>
    <w:rsid w:val="00E16C37"/>
    <w:rsid w:val="00E16D9B"/>
    <w:rsid w:val="00E16E68"/>
    <w:rsid w:val="00E16E9B"/>
    <w:rsid w:val="00E16EAC"/>
    <w:rsid w:val="00E16F37"/>
    <w:rsid w:val="00E171FF"/>
    <w:rsid w:val="00E17384"/>
    <w:rsid w:val="00E17409"/>
    <w:rsid w:val="00E17458"/>
    <w:rsid w:val="00E17654"/>
    <w:rsid w:val="00E179D4"/>
    <w:rsid w:val="00E17A4C"/>
    <w:rsid w:val="00E17BD9"/>
    <w:rsid w:val="00E17CA2"/>
    <w:rsid w:val="00E17F76"/>
    <w:rsid w:val="00E20221"/>
    <w:rsid w:val="00E2025F"/>
    <w:rsid w:val="00E20265"/>
    <w:rsid w:val="00E203D6"/>
    <w:rsid w:val="00E2053E"/>
    <w:rsid w:val="00E209B9"/>
    <w:rsid w:val="00E20AF1"/>
    <w:rsid w:val="00E20B28"/>
    <w:rsid w:val="00E20CF3"/>
    <w:rsid w:val="00E20D03"/>
    <w:rsid w:val="00E20E66"/>
    <w:rsid w:val="00E20F33"/>
    <w:rsid w:val="00E210F3"/>
    <w:rsid w:val="00E2110C"/>
    <w:rsid w:val="00E211C7"/>
    <w:rsid w:val="00E211EB"/>
    <w:rsid w:val="00E21251"/>
    <w:rsid w:val="00E212FC"/>
    <w:rsid w:val="00E213B0"/>
    <w:rsid w:val="00E214C2"/>
    <w:rsid w:val="00E214C6"/>
    <w:rsid w:val="00E215CD"/>
    <w:rsid w:val="00E21632"/>
    <w:rsid w:val="00E2170D"/>
    <w:rsid w:val="00E217B5"/>
    <w:rsid w:val="00E218BB"/>
    <w:rsid w:val="00E21958"/>
    <w:rsid w:val="00E21B20"/>
    <w:rsid w:val="00E21B24"/>
    <w:rsid w:val="00E21BE8"/>
    <w:rsid w:val="00E21C6C"/>
    <w:rsid w:val="00E21DB0"/>
    <w:rsid w:val="00E21E75"/>
    <w:rsid w:val="00E220EE"/>
    <w:rsid w:val="00E22107"/>
    <w:rsid w:val="00E221B4"/>
    <w:rsid w:val="00E222D0"/>
    <w:rsid w:val="00E223C3"/>
    <w:rsid w:val="00E224CD"/>
    <w:rsid w:val="00E2251F"/>
    <w:rsid w:val="00E228F3"/>
    <w:rsid w:val="00E22B6E"/>
    <w:rsid w:val="00E22BB3"/>
    <w:rsid w:val="00E22CA6"/>
    <w:rsid w:val="00E22F0C"/>
    <w:rsid w:val="00E231C4"/>
    <w:rsid w:val="00E231D7"/>
    <w:rsid w:val="00E2335B"/>
    <w:rsid w:val="00E23552"/>
    <w:rsid w:val="00E23565"/>
    <w:rsid w:val="00E2374E"/>
    <w:rsid w:val="00E23A9D"/>
    <w:rsid w:val="00E23B3F"/>
    <w:rsid w:val="00E23D18"/>
    <w:rsid w:val="00E23F79"/>
    <w:rsid w:val="00E24011"/>
    <w:rsid w:val="00E2414E"/>
    <w:rsid w:val="00E244BA"/>
    <w:rsid w:val="00E245E6"/>
    <w:rsid w:val="00E2465E"/>
    <w:rsid w:val="00E24982"/>
    <w:rsid w:val="00E24A71"/>
    <w:rsid w:val="00E24B21"/>
    <w:rsid w:val="00E24B2F"/>
    <w:rsid w:val="00E24B63"/>
    <w:rsid w:val="00E25107"/>
    <w:rsid w:val="00E2518F"/>
    <w:rsid w:val="00E25321"/>
    <w:rsid w:val="00E253B4"/>
    <w:rsid w:val="00E25428"/>
    <w:rsid w:val="00E25462"/>
    <w:rsid w:val="00E2560B"/>
    <w:rsid w:val="00E259D3"/>
    <w:rsid w:val="00E25B44"/>
    <w:rsid w:val="00E25B54"/>
    <w:rsid w:val="00E25D62"/>
    <w:rsid w:val="00E25EDF"/>
    <w:rsid w:val="00E25F0B"/>
    <w:rsid w:val="00E260C4"/>
    <w:rsid w:val="00E262AA"/>
    <w:rsid w:val="00E26311"/>
    <w:rsid w:val="00E265F0"/>
    <w:rsid w:val="00E265F7"/>
    <w:rsid w:val="00E26673"/>
    <w:rsid w:val="00E267BA"/>
    <w:rsid w:val="00E269CD"/>
    <w:rsid w:val="00E26B27"/>
    <w:rsid w:val="00E26C0F"/>
    <w:rsid w:val="00E26CDA"/>
    <w:rsid w:val="00E26D62"/>
    <w:rsid w:val="00E26ED1"/>
    <w:rsid w:val="00E2715F"/>
    <w:rsid w:val="00E27246"/>
    <w:rsid w:val="00E2735A"/>
    <w:rsid w:val="00E2743C"/>
    <w:rsid w:val="00E2744B"/>
    <w:rsid w:val="00E27464"/>
    <w:rsid w:val="00E275EB"/>
    <w:rsid w:val="00E27629"/>
    <w:rsid w:val="00E278C8"/>
    <w:rsid w:val="00E27B86"/>
    <w:rsid w:val="00E27BF7"/>
    <w:rsid w:val="00E27C27"/>
    <w:rsid w:val="00E27C7B"/>
    <w:rsid w:val="00E27D0F"/>
    <w:rsid w:val="00E27FA8"/>
    <w:rsid w:val="00E300A6"/>
    <w:rsid w:val="00E300B1"/>
    <w:rsid w:val="00E30159"/>
    <w:rsid w:val="00E301BF"/>
    <w:rsid w:val="00E301DD"/>
    <w:rsid w:val="00E30473"/>
    <w:rsid w:val="00E3056A"/>
    <w:rsid w:val="00E30639"/>
    <w:rsid w:val="00E30650"/>
    <w:rsid w:val="00E3092A"/>
    <w:rsid w:val="00E30938"/>
    <w:rsid w:val="00E30A81"/>
    <w:rsid w:val="00E30AFF"/>
    <w:rsid w:val="00E30BC8"/>
    <w:rsid w:val="00E30BF2"/>
    <w:rsid w:val="00E30D55"/>
    <w:rsid w:val="00E30EB9"/>
    <w:rsid w:val="00E30F7A"/>
    <w:rsid w:val="00E30FBF"/>
    <w:rsid w:val="00E310B0"/>
    <w:rsid w:val="00E31152"/>
    <w:rsid w:val="00E3121C"/>
    <w:rsid w:val="00E313A9"/>
    <w:rsid w:val="00E315E9"/>
    <w:rsid w:val="00E31616"/>
    <w:rsid w:val="00E31804"/>
    <w:rsid w:val="00E318FC"/>
    <w:rsid w:val="00E31963"/>
    <w:rsid w:val="00E31A22"/>
    <w:rsid w:val="00E31A94"/>
    <w:rsid w:val="00E31C92"/>
    <w:rsid w:val="00E31CFF"/>
    <w:rsid w:val="00E31D3E"/>
    <w:rsid w:val="00E31D74"/>
    <w:rsid w:val="00E31EA5"/>
    <w:rsid w:val="00E31F14"/>
    <w:rsid w:val="00E31FAB"/>
    <w:rsid w:val="00E320A3"/>
    <w:rsid w:val="00E320E2"/>
    <w:rsid w:val="00E32175"/>
    <w:rsid w:val="00E3219C"/>
    <w:rsid w:val="00E321A1"/>
    <w:rsid w:val="00E32200"/>
    <w:rsid w:val="00E323F6"/>
    <w:rsid w:val="00E32451"/>
    <w:rsid w:val="00E32472"/>
    <w:rsid w:val="00E324A6"/>
    <w:rsid w:val="00E32518"/>
    <w:rsid w:val="00E32565"/>
    <w:rsid w:val="00E32670"/>
    <w:rsid w:val="00E326A9"/>
    <w:rsid w:val="00E32A50"/>
    <w:rsid w:val="00E32CA7"/>
    <w:rsid w:val="00E32DCA"/>
    <w:rsid w:val="00E32DD8"/>
    <w:rsid w:val="00E32E16"/>
    <w:rsid w:val="00E32FC7"/>
    <w:rsid w:val="00E32FE5"/>
    <w:rsid w:val="00E33010"/>
    <w:rsid w:val="00E330E5"/>
    <w:rsid w:val="00E33329"/>
    <w:rsid w:val="00E333CF"/>
    <w:rsid w:val="00E3349C"/>
    <w:rsid w:val="00E33649"/>
    <w:rsid w:val="00E33677"/>
    <w:rsid w:val="00E336E5"/>
    <w:rsid w:val="00E339BE"/>
    <w:rsid w:val="00E33AA2"/>
    <w:rsid w:val="00E33C53"/>
    <w:rsid w:val="00E33CF8"/>
    <w:rsid w:val="00E33EAA"/>
    <w:rsid w:val="00E34103"/>
    <w:rsid w:val="00E3416F"/>
    <w:rsid w:val="00E342C9"/>
    <w:rsid w:val="00E34330"/>
    <w:rsid w:val="00E3441E"/>
    <w:rsid w:val="00E345E5"/>
    <w:rsid w:val="00E34671"/>
    <w:rsid w:val="00E34690"/>
    <w:rsid w:val="00E346B7"/>
    <w:rsid w:val="00E34865"/>
    <w:rsid w:val="00E34882"/>
    <w:rsid w:val="00E34962"/>
    <w:rsid w:val="00E349F4"/>
    <w:rsid w:val="00E34C98"/>
    <w:rsid w:val="00E34D18"/>
    <w:rsid w:val="00E34E3F"/>
    <w:rsid w:val="00E34F85"/>
    <w:rsid w:val="00E34F8B"/>
    <w:rsid w:val="00E34FFB"/>
    <w:rsid w:val="00E35150"/>
    <w:rsid w:val="00E3515C"/>
    <w:rsid w:val="00E35211"/>
    <w:rsid w:val="00E35269"/>
    <w:rsid w:val="00E353D5"/>
    <w:rsid w:val="00E354E3"/>
    <w:rsid w:val="00E35566"/>
    <w:rsid w:val="00E35949"/>
    <w:rsid w:val="00E35BF3"/>
    <w:rsid w:val="00E35C38"/>
    <w:rsid w:val="00E35CDD"/>
    <w:rsid w:val="00E35D02"/>
    <w:rsid w:val="00E35D0F"/>
    <w:rsid w:val="00E35E9F"/>
    <w:rsid w:val="00E35F44"/>
    <w:rsid w:val="00E360B9"/>
    <w:rsid w:val="00E361C3"/>
    <w:rsid w:val="00E363E2"/>
    <w:rsid w:val="00E36562"/>
    <w:rsid w:val="00E36639"/>
    <w:rsid w:val="00E3667B"/>
    <w:rsid w:val="00E366DB"/>
    <w:rsid w:val="00E368DB"/>
    <w:rsid w:val="00E369C3"/>
    <w:rsid w:val="00E36AFB"/>
    <w:rsid w:val="00E36B6C"/>
    <w:rsid w:val="00E3701F"/>
    <w:rsid w:val="00E373B7"/>
    <w:rsid w:val="00E373BB"/>
    <w:rsid w:val="00E373DF"/>
    <w:rsid w:val="00E3743B"/>
    <w:rsid w:val="00E37500"/>
    <w:rsid w:val="00E37614"/>
    <w:rsid w:val="00E37664"/>
    <w:rsid w:val="00E37849"/>
    <w:rsid w:val="00E37983"/>
    <w:rsid w:val="00E37AAD"/>
    <w:rsid w:val="00E4000A"/>
    <w:rsid w:val="00E40059"/>
    <w:rsid w:val="00E4008C"/>
    <w:rsid w:val="00E4019C"/>
    <w:rsid w:val="00E40371"/>
    <w:rsid w:val="00E40380"/>
    <w:rsid w:val="00E40483"/>
    <w:rsid w:val="00E4057B"/>
    <w:rsid w:val="00E4086B"/>
    <w:rsid w:val="00E40A8A"/>
    <w:rsid w:val="00E40B15"/>
    <w:rsid w:val="00E40B26"/>
    <w:rsid w:val="00E40C46"/>
    <w:rsid w:val="00E40DB9"/>
    <w:rsid w:val="00E40F6C"/>
    <w:rsid w:val="00E41139"/>
    <w:rsid w:val="00E4144F"/>
    <w:rsid w:val="00E41555"/>
    <w:rsid w:val="00E415B6"/>
    <w:rsid w:val="00E418FB"/>
    <w:rsid w:val="00E4199C"/>
    <w:rsid w:val="00E419E8"/>
    <w:rsid w:val="00E41A4A"/>
    <w:rsid w:val="00E41B48"/>
    <w:rsid w:val="00E41CE9"/>
    <w:rsid w:val="00E41EA4"/>
    <w:rsid w:val="00E41F2F"/>
    <w:rsid w:val="00E41FA6"/>
    <w:rsid w:val="00E41FD0"/>
    <w:rsid w:val="00E42094"/>
    <w:rsid w:val="00E42236"/>
    <w:rsid w:val="00E4230B"/>
    <w:rsid w:val="00E423EC"/>
    <w:rsid w:val="00E42517"/>
    <w:rsid w:val="00E425B6"/>
    <w:rsid w:val="00E42848"/>
    <w:rsid w:val="00E4289C"/>
    <w:rsid w:val="00E428A6"/>
    <w:rsid w:val="00E42A55"/>
    <w:rsid w:val="00E42C3A"/>
    <w:rsid w:val="00E4301D"/>
    <w:rsid w:val="00E431B2"/>
    <w:rsid w:val="00E43270"/>
    <w:rsid w:val="00E43499"/>
    <w:rsid w:val="00E4366D"/>
    <w:rsid w:val="00E436BC"/>
    <w:rsid w:val="00E436BD"/>
    <w:rsid w:val="00E437C3"/>
    <w:rsid w:val="00E4395A"/>
    <w:rsid w:val="00E43964"/>
    <w:rsid w:val="00E43C0F"/>
    <w:rsid w:val="00E43CF7"/>
    <w:rsid w:val="00E43D6B"/>
    <w:rsid w:val="00E43E25"/>
    <w:rsid w:val="00E43F20"/>
    <w:rsid w:val="00E43F24"/>
    <w:rsid w:val="00E43FB8"/>
    <w:rsid w:val="00E43FDA"/>
    <w:rsid w:val="00E44191"/>
    <w:rsid w:val="00E44549"/>
    <w:rsid w:val="00E445F2"/>
    <w:rsid w:val="00E445FC"/>
    <w:rsid w:val="00E447E1"/>
    <w:rsid w:val="00E44803"/>
    <w:rsid w:val="00E4486D"/>
    <w:rsid w:val="00E448F6"/>
    <w:rsid w:val="00E449E0"/>
    <w:rsid w:val="00E44AFD"/>
    <w:rsid w:val="00E44B15"/>
    <w:rsid w:val="00E44D1D"/>
    <w:rsid w:val="00E44D98"/>
    <w:rsid w:val="00E44DF9"/>
    <w:rsid w:val="00E44E8F"/>
    <w:rsid w:val="00E4509F"/>
    <w:rsid w:val="00E451EB"/>
    <w:rsid w:val="00E45242"/>
    <w:rsid w:val="00E45261"/>
    <w:rsid w:val="00E45375"/>
    <w:rsid w:val="00E4540B"/>
    <w:rsid w:val="00E454DA"/>
    <w:rsid w:val="00E45505"/>
    <w:rsid w:val="00E45533"/>
    <w:rsid w:val="00E455CC"/>
    <w:rsid w:val="00E45685"/>
    <w:rsid w:val="00E4589D"/>
    <w:rsid w:val="00E459E6"/>
    <w:rsid w:val="00E45BC6"/>
    <w:rsid w:val="00E45DC7"/>
    <w:rsid w:val="00E46084"/>
    <w:rsid w:val="00E46092"/>
    <w:rsid w:val="00E46209"/>
    <w:rsid w:val="00E46292"/>
    <w:rsid w:val="00E46422"/>
    <w:rsid w:val="00E4646B"/>
    <w:rsid w:val="00E4653F"/>
    <w:rsid w:val="00E465B8"/>
    <w:rsid w:val="00E465D3"/>
    <w:rsid w:val="00E4660F"/>
    <w:rsid w:val="00E4667D"/>
    <w:rsid w:val="00E46799"/>
    <w:rsid w:val="00E4693D"/>
    <w:rsid w:val="00E46951"/>
    <w:rsid w:val="00E46976"/>
    <w:rsid w:val="00E469AB"/>
    <w:rsid w:val="00E46B38"/>
    <w:rsid w:val="00E46CC4"/>
    <w:rsid w:val="00E4703B"/>
    <w:rsid w:val="00E472AA"/>
    <w:rsid w:val="00E473F3"/>
    <w:rsid w:val="00E47427"/>
    <w:rsid w:val="00E4744A"/>
    <w:rsid w:val="00E47493"/>
    <w:rsid w:val="00E47494"/>
    <w:rsid w:val="00E474D3"/>
    <w:rsid w:val="00E4763F"/>
    <w:rsid w:val="00E476D0"/>
    <w:rsid w:val="00E4780B"/>
    <w:rsid w:val="00E47B1B"/>
    <w:rsid w:val="00E47C50"/>
    <w:rsid w:val="00E47E77"/>
    <w:rsid w:val="00E47F55"/>
    <w:rsid w:val="00E50268"/>
    <w:rsid w:val="00E50461"/>
    <w:rsid w:val="00E50481"/>
    <w:rsid w:val="00E504BE"/>
    <w:rsid w:val="00E50501"/>
    <w:rsid w:val="00E506F3"/>
    <w:rsid w:val="00E5080F"/>
    <w:rsid w:val="00E50837"/>
    <w:rsid w:val="00E508B2"/>
    <w:rsid w:val="00E509ED"/>
    <w:rsid w:val="00E50AFF"/>
    <w:rsid w:val="00E50BAD"/>
    <w:rsid w:val="00E50C2C"/>
    <w:rsid w:val="00E50C33"/>
    <w:rsid w:val="00E50D26"/>
    <w:rsid w:val="00E50DA3"/>
    <w:rsid w:val="00E50DFF"/>
    <w:rsid w:val="00E510EC"/>
    <w:rsid w:val="00E510FD"/>
    <w:rsid w:val="00E5119D"/>
    <w:rsid w:val="00E51313"/>
    <w:rsid w:val="00E51330"/>
    <w:rsid w:val="00E51549"/>
    <w:rsid w:val="00E518D0"/>
    <w:rsid w:val="00E51A2B"/>
    <w:rsid w:val="00E51D2F"/>
    <w:rsid w:val="00E51F0A"/>
    <w:rsid w:val="00E521F1"/>
    <w:rsid w:val="00E5223F"/>
    <w:rsid w:val="00E522D0"/>
    <w:rsid w:val="00E523E3"/>
    <w:rsid w:val="00E523E9"/>
    <w:rsid w:val="00E52412"/>
    <w:rsid w:val="00E525DD"/>
    <w:rsid w:val="00E5304B"/>
    <w:rsid w:val="00E532A7"/>
    <w:rsid w:val="00E53309"/>
    <w:rsid w:val="00E534BC"/>
    <w:rsid w:val="00E53610"/>
    <w:rsid w:val="00E5362F"/>
    <w:rsid w:val="00E53640"/>
    <w:rsid w:val="00E536BF"/>
    <w:rsid w:val="00E53728"/>
    <w:rsid w:val="00E537A8"/>
    <w:rsid w:val="00E537D9"/>
    <w:rsid w:val="00E5384D"/>
    <w:rsid w:val="00E538B4"/>
    <w:rsid w:val="00E538CC"/>
    <w:rsid w:val="00E53AFB"/>
    <w:rsid w:val="00E53BF6"/>
    <w:rsid w:val="00E53C54"/>
    <w:rsid w:val="00E53C77"/>
    <w:rsid w:val="00E53C7E"/>
    <w:rsid w:val="00E53E28"/>
    <w:rsid w:val="00E53E78"/>
    <w:rsid w:val="00E54063"/>
    <w:rsid w:val="00E54085"/>
    <w:rsid w:val="00E540A5"/>
    <w:rsid w:val="00E54163"/>
    <w:rsid w:val="00E541ED"/>
    <w:rsid w:val="00E541F2"/>
    <w:rsid w:val="00E54213"/>
    <w:rsid w:val="00E543C6"/>
    <w:rsid w:val="00E54615"/>
    <w:rsid w:val="00E5464F"/>
    <w:rsid w:val="00E54831"/>
    <w:rsid w:val="00E5486C"/>
    <w:rsid w:val="00E54A4A"/>
    <w:rsid w:val="00E54A6E"/>
    <w:rsid w:val="00E54A80"/>
    <w:rsid w:val="00E54C40"/>
    <w:rsid w:val="00E54C88"/>
    <w:rsid w:val="00E54D84"/>
    <w:rsid w:val="00E54E07"/>
    <w:rsid w:val="00E54E1A"/>
    <w:rsid w:val="00E54F06"/>
    <w:rsid w:val="00E54F2B"/>
    <w:rsid w:val="00E54FE7"/>
    <w:rsid w:val="00E550FA"/>
    <w:rsid w:val="00E55282"/>
    <w:rsid w:val="00E552AE"/>
    <w:rsid w:val="00E552B8"/>
    <w:rsid w:val="00E554C5"/>
    <w:rsid w:val="00E5568E"/>
    <w:rsid w:val="00E55701"/>
    <w:rsid w:val="00E55B3C"/>
    <w:rsid w:val="00E55B54"/>
    <w:rsid w:val="00E55D57"/>
    <w:rsid w:val="00E55D6D"/>
    <w:rsid w:val="00E560A3"/>
    <w:rsid w:val="00E560AF"/>
    <w:rsid w:val="00E5612B"/>
    <w:rsid w:val="00E5615A"/>
    <w:rsid w:val="00E561CC"/>
    <w:rsid w:val="00E561F8"/>
    <w:rsid w:val="00E56313"/>
    <w:rsid w:val="00E56317"/>
    <w:rsid w:val="00E5671F"/>
    <w:rsid w:val="00E569A6"/>
    <w:rsid w:val="00E569B5"/>
    <w:rsid w:val="00E569BD"/>
    <w:rsid w:val="00E56A7F"/>
    <w:rsid w:val="00E56B53"/>
    <w:rsid w:val="00E56B73"/>
    <w:rsid w:val="00E56BCB"/>
    <w:rsid w:val="00E56BF3"/>
    <w:rsid w:val="00E56BF8"/>
    <w:rsid w:val="00E56DBB"/>
    <w:rsid w:val="00E56F2D"/>
    <w:rsid w:val="00E5704E"/>
    <w:rsid w:val="00E570D0"/>
    <w:rsid w:val="00E57102"/>
    <w:rsid w:val="00E57169"/>
    <w:rsid w:val="00E57289"/>
    <w:rsid w:val="00E572E7"/>
    <w:rsid w:val="00E57404"/>
    <w:rsid w:val="00E57521"/>
    <w:rsid w:val="00E5757F"/>
    <w:rsid w:val="00E575BE"/>
    <w:rsid w:val="00E576EF"/>
    <w:rsid w:val="00E5783A"/>
    <w:rsid w:val="00E579ED"/>
    <w:rsid w:val="00E57B4D"/>
    <w:rsid w:val="00E57B90"/>
    <w:rsid w:val="00E57CD5"/>
    <w:rsid w:val="00E57E7C"/>
    <w:rsid w:val="00E57ECD"/>
    <w:rsid w:val="00E60286"/>
    <w:rsid w:val="00E603E5"/>
    <w:rsid w:val="00E604F1"/>
    <w:rsid w:val="00E60513"/>
    <w:rsid w:val="00E60926"/>
    <w:rsid w:val="00E60961"/>
    <w:rsid w:val="00E60A79"/>
    <w:rsid w:val="00E60A82"/>
    <w:rsid w:val="00E60D2C"/>
    <w:rsid w:val="00E60DB3"/>
    <w:rsid w:val="00E60E34"/>
    <w:rsid w:val="00E60F36"/>
    <w:rsid w:val="00E60F64"/>
    <w:rsid w:val="00E60FB7"/>
    <w:rsid w:val="00E60FBE"/>
    <w:rsid w:val="00E61053"/>
    <w:rsid w:val="00E611D0"/>
    <w:rsid w:val="00E6128E"/>
    <w:rsid w:val="00E612BA"/>
    <w:rsid w:val="00E61354"/>
    <w:rsid w:val="00E61355"/>
    <w:rsid w:val="00E61374"/>
    <w:rsid w:val="00E61395"/>
    <w:rsid w:val="00E61483"/>
    <w:rsid w:val="00E6157B"/>
    <w:rsid w:val="00E615BE"/>
    <w:rsid w:val="00E6183E"/>
    <w:rsid w:val="00E6197E"/>
    <w:rsid w:val="00E61D0E"/>
    <w:rsid w:val="00E62125"/>
    <w:rsid w:val="00E62161"/>
    <w:rsid w:val="00E6217E"/>
    <w:rsid w:val="00E621F2"/>
    <w:rsid w:val="00E62204"/>
    <w:rsid w:val="00E622F9"/>
    <w:rsid w:val="00E6231D"/>
    <w:rsid w:val="00E62499"/>
    <w:rsid w:val="00E62859"/>
    <w:rsid w:val="00E6289E"/>
    <w:rsid w:val="00E628BA"/>
    <w:rsid w:val="00E6293B"/>
    <w:rsid w:val="00E62954"/>
    <w:rsid w:val="00E62B0B"/>
    <w:rsid w:val="00E62BA0"/>
    <w:rsid w:val="00E62C37"/>
    <w:rsid w:val="00E62CF2"/>
    <w:rsid w:val="00E62D80"/>
    <w:rsid w:val="00E62DC6"/>
    <w:rsid w:val="00E62E73"/>
    <w:rsid w:val="00E62F86"/>
    <w:rsid w:val="00E62FDD"/>
    <w:rsid w:val="00E630AD"/>
    <w:rsid w:val="00E63183"/>
    <w:rsid w:val="00E63226"/>
    <w:rsid w:val="00E6330B"/>
    <w:rsid w:val="00E63499"/>
    <w:rsid w:val="00E6366F"/>
    <w:rsid w:val="00E63715"/>
    <w:rsid w:val="00E6377B"/>
    <w:rsid w:val="00E6380A"/>
    <w:rsid w:val="00E63BA5"/>
    <w:rsid w:val="00E63C4B"/>
    <w:rsid w:val="00E63D26"/>
    <w:rsid w:val="00E63E96"/>
    <w:rsid w:val="00E63F54"/>
    <w:rsid w:val="00E63FCC"/>
    <w:rsid w:val="00E64462"/>
    <w:rsid w:val="00E644E3"/>
    <w:rsid w:val="00E644F6"/>
    <w:rsid w:val="00E6452E"/>
    <w:rsid w:val="00E647B7"/>
    <w:rsid w:val="00E647C8"/>
    <w:rsid w:val="00E6495C"/>
    <w:rsid w:val="00E64A2D"/>
    <w:rsid w:val="00E64BEB"/>
    <w:rsid w:val="00E64D35"/>
    <w:rsid w:val="00E64E28"/>
    <w:rsid w:val="00E64F88"/>
    <w:rsid w:val="00E64FBB"/>
    <w:rsid w:val="00E65108"/>
    <w:rsid w:val="00E6519D"/>
    <w:rsid w:val="00E6527D"/>
    <w:rsid w:val="00E652A3"/>
    <w:rsid w:val="00E65305"/>
    <w:rsid w:val="00E65346"/>
    <w:rsid w:val="00E65392"/>
    <w:rsid w:val="00E653BF"/>
    <w:rsid w:val="00E65529"/>
    <w:rsid w:val="00E65811"/>
    <w:rsid w:val="00E65CF8"/>
    <w:rsid w:val="00E65DF4"/>
    <w:rsid w:val="00E65EE5"/>
    <w:rsid w:val="00E660FE"/>
    <w:rsid w:val="00E6619D"/>
    <w:rsid w:val="00E66204"/>
    <w:rsid w:val="00E662FB"/>
    <w:rsid w:val="00E66389"/>
    <w:rsid w:val="00E6644E"/>
    <w:rsid w:val="00E66554"/>
    <w:rsid w:val="00E665D5"/>
    <w:rsid w:val="00E66623"/>
    <w:rsid w:val="00E6692B"/>
    <w:rsid w:val="00E66D3E"/>
    <w:rsid w:val="00E66E92"/>
    <w:rsid w:val="00E66EF2"/>
    <w:rsid w:val="00E6712C"/>
    <w:rsid w:val="00E671A7"/>
    <w:rsid w:val="00E67221"/>
    <w:rsid w:val="00E672AD"/>
    <w:rsid w:val="00E67346"/>
    <w:rsid w:val="00E6739B"/>
    <w:rsid w:val="00E67439"/>
    <w:rsid w:val="00E6747B"/>
    <w:rsid w:val="00E675FA"/>
    <w:rsid w:val="00E67707"/>
    <w:rsid w:val="00E67732"/>
    <w:rsid w:val="00E677A7"/>
    <w:rsid w:val="00E6787D"/>
    <w:rsid w:val="00E700B6"/>
    <w:rsid w:val="00E70446"/>
    <w:rsid w:val="00E7099F"/>
    <w:rsid w:val="00E709B0"/>
    <w:rsid w:val="00E70A0C"/>
    <w:rsid w:val="00E70AC6"/>
    <w:rsid w:val="00E70EFA"/>
    <w:rsid w:val="00E70F16"/>
    <w:rsid w:val="00E70F70"/>
    <w:rsid w:val="00E70FB2"/>
    <w:rsid w:val="00E710C2"/>
    <w:rsid w:val="00E7111F"/>
    <w:rsid w:val="00E71212"/>
    <w:rsid w:val="00E712B3"/>
    <w:rsid w:val="00E7130B"/>
    <w:rsid w:val="00E7136F"/>
    <w:rsid w:val="00E713F0"/>
    <w:rsid w:val="00E7144F"/>
    <w:rsid w:val="00E71475"/>
    <w:rsid w:val="00E716D2"/>
    <w:rsid w:val="00E7174C"/>
    <w:rsid w:val="00E718A9"/>
    <w:rsid w:val="00E718EF"/>
    <w:rsid w:val="00E71907"/>
    <w:rsid w:val="00E719AE"/>
    <w:rsid w:val="00E71C99"/>
    <w:rsid w:val="00E71D5D"/>
    <w:rsid w:val="00E71EFD"/>
    <w:rsid w:val="00E71F06"/>
    <w:rsid w:val="00E71F3F"/>
    <w:rsid w:val="00E7217E"/>
    <w:rsid w:val="00E7224A"/>
    <w:rsid w:val="00E722C5"/>
    <w:rsid w:val="00E725A6"/>
    <w:rsid w:val="00E726D1"/>
    <w:rsid w:val="00E72750"/>
    <w:rsid w:val="00E727E0"/>
    <w:rsid w:val="00E72858"/>
    <w:rsid w:val="00E72924"/>
    <w:rsid w:val="00E729C0"/>
    <w:rsid w:val="00E72A53"/>
    <w:rsid w:val="00E72AD7"/>
    <w:rsid w:val="00E72B50"/>
    <w:rsid w:val="00E72CFD"/>
    <w:rsid w:val="00E72D9C"/>
    <w:rsid w:val="00E72DDB"/>
    <w:rsid w:val="00E72EB6"/>
    <w:rsid w:val="00E72EDB"/>
    <w:rsid w:val="00E72EEA"/>
    <w:rsid w:val="00E72EF5"/>
    <w:rsid w:val="00E72F62"/>
    <w:rsid w:val="00E72FC1"/>
    <w:rsid w:val="00E72FC3"/>
    <w:rsid w:val="00E72FD9"/>
    <w:rsid w:val="00E730C0"/>
    <w:rsid w:val="00E730CA"/>
    <w:rsid w:val="00E73220"/>
    <w:rsid w:val="00E73265"/>
    <w:rsid w:val="00E732A7"/>
    <w:rsid w:val="00E732BC"/>
    <w:rsid w:val="00E7335F"/>
    <w:rsid w:val="00E73490"/>
    <w:rsid w:val="00E7357C"/>
    <w:rsid w:val="00E73798"/>
    <w:rsid w:val="00E73CD5"/>
    <w:rsid w:val="00E73DB8"/>
    <w:rsid w:val="00E73DBC"/>
    <w:rsid w:val="00E73E28"/>
    <w:rsid w:val="00E73EAD"/>
    <w:rsid w:val="00E73F1F"/>
    <w:rsid w:val="00E73F9D"/>
    <w:rsid w:val="00E7408B"/>
    <w:rsid w:val="00E74116"/>
    <w:rsid w:val="00E741A5"/>
    <w:rsid w:val="00E74380"/>
    <w:rsid w:val="00E74420"/>
    <w:rsid w:val="00E74422"/>
    <w:rsid w:val="00E74459"/>
    <w:rsid w:val="00E74646"/>
    <w:rsid w:val="00E746C2"/>
    <w:rsid w:val="00E74705"/>
    <w:rsid w:val="00E748C5"/>
    <w:rsid w:val="00E74928"/>
    <w:rsid w:val="00E7494E"/>
    <w:rsid w:val="00E74BAE"/>
    <w:rsid w:val="00E74D17"/>
    <w:rsid w:val="00E74D54"/>
    <w:rsid w:val="00E74EB3"/>
    <w:rsid w:val="00E75134"/>
    <w:rsid w:val="00E751A3"/>
    <w:rsid w:val="00E7537D"/>
    <w:rsid w:val="00E753A8"/>
    <w:rsid w:val="00E753DD"/>
    <w:rsid w:val="00E75406"/>
    <w:rsid w:val="00E75638"/>
    <w:rsid w:val="00E756F9"/>
    <w:rsid w:val="00E757D6"/>
    <w:rsid w:val="00E75914"/>
    <w:rsid w:val="00E75B7E"/>
    <w:rsid w:val="00E75C72"/>
    <w:rsid w:val="00E75E5E"/>
    <w:rsid w:val="00E75EC3"/>
    <w:rsid w:val="00E75F5E"/>
    <w:rsid w:val="00E76159"/>
    <w:rsid w:val="00E76338"/>
    <w:rsid w:val="00E76468"/>
    <w:rsid w:val="00E76542"/>
    <w:rsid w:val="00E7654C"/>
    <w:rsid w:val="00E76568"/>
    <w:rsid w:val="00E766FD"/>
    <w:rsid w:val="00E7681C"/>
    <w:rsid w:val="00E7689C"/>
    <w:rsid w:val="00E768ED"/>
    <w:rsid w:val="00E76ACA"/>
    <w:rsid w:val="00E76ADC"/>
    <w:rsid w:val="00E76C48"/>
    <w:rsid w:val="00E76D07"/>
    <w:rsid w:val="00E76D5E"/>
    <w:rsid w:val="00E76DB3"/>
    <w:rsid w:val="00E76FE5"/>
    <w:rsid w:val="00E77017"/>
    <w:rsid w:val="00E77140"/>
    <w:rsid w:val="00E771AF"/>
    <w:rsid w:val="00E771F9"/>
    <w:rsid w:val="00E77485"/>
    <w:rsid w:val="00E77499"/>
    <w:rsid w:val="00E775E4"/>
    <w:rsid w:val="00E77631"/>
    <w:rsid w:val="00E7763E"/>
    <w:rsid w:val="00E77694"/>
    <w:rsid w:val="00E776ED"/>
    <w:rsid w:val="00E7788D"/>
    <w:rsid w:val="00E7799E"/>
    <w:rsid w:val="00E77CF0"/>
    <w:rsid w:val="00E77D95"/>
    <w:rsid w:val="00E77DBE"/>
    <w:rsid w:val="00E77DC1"/>
    <w:rsid w:val="00E8048D"/>
    <w:rsid w:val="00E8075E"/>
    <w:rsid w:val="00E8089E"/>
    <w:rsid w:val="00E80A41"/>
    <w:rsid w:val="00E80AFA"/>
    <w:rsid w:val="00E80B10"/>
    <w:rsid w:val="00E80B20"/>
    <w:rsid w:val="00E80BE1"/>
    <w:rsid w:val="00E80C18"/>
    <w:rsid w:val="00E80C27"/>
    <w:rsid w:val="00E80D0E"/>
    <w:rsid w:val="00E80E08"/>
    <w:rsid w:val="00E814B4"/>
    <w:rsid w:val="00E818FA"/>
    <w:rsid w:val="00E818FC"/>
    <w:rsid w:val="00E8196A"/>
    <w:rsid w:val="00E81B78"/>
    <w:rsid w:val="00E81C02"/>
    <w:rsid w:val="00E81CFA"/>
    <w:rsid w:val="00E81FAC"/>
    <w:rsid w:val="00E8209F"/>
    <w:rsid w:val="00E8239F"/>
    <w:rsid w:val="00E824BA"/>
    <w:rsid w:val="00E829E2"/>
    <w:rsid w:val="00E82A8A"/>
    <w:rsid w:val="00E82B2C"/>
    <w:rsid w:val="00E82BAD"/>
    <w:rsid w:val="00E82BE6"/>
    <w:rsid w:val="00E82C23"/>
    <w:rsid w:val="00E82DDC"/>
    <w:rsid w:val="00E82F60"/>
    <w:rsid w:val="00E8304F"/>
    <w:rsid w:val="00E83061"/>
    <w:rsid w:val="00E830C5"/>
    <w:rsid w:val="00E83104"/>
    <w:rsid w:val="00E83290"/>
    <w:rsid w:val="00E832A4"/>
    <w:rsid w:val="00E833ED"/>
    <w:rsid w:val="00E835FD"/>
    <w:rsid w:val="00E83AE2"/>
    <w:rsid w:val="00E83BB6"/>
    <w:rsid w:val="00E83D16"/>
    <w:rsid w:val="00E83DBC"/>
    <w:rsid w:val="00E83E55"/>
    <w:rsid w:val="00E83E7D"/>
    <w:rsid w:val="00E83F9A"/>
    <w:rsid w:val="00E8407A"/>
    <w:rsid w:val="00E840FC"/>
    <w:rsid w:val="00E8420B"/>
    <w:rsid w:val="00E84236"/>
    <w:rsid w:val="00E842A2"/>
    <w:rsid w:val="00E843CF"/>
    <w:rsid w:val="00E844B0"/>
    <w:rsid w:val="00E845B4"/>
    <w:rsid w:val="00E8476D"/>
    <w:rsid w:val="00E84843"/>
    <w:rsid w:val="00E84924"/>
    <w:rsid w:val="00E8494E"/>
    <w:rsid w:val="00E8495C"/>
    <w:rsid w:val="00E84A36"/>
    <w:rsid w:val="00E84B6D"/>
    <w:rsid w:val="00E84BC8"/>
    <w:rsid w:val="00E84BE1"/>
    <w:rsid w:val="00E84C05"/>
    <w:rsid w:val="00E84C2D"/>
    <w:rsid w:val="00E84EEC"/>
    <w:rsid w:val="00E8500C"/>
    <w:rsid w:val="00E8501E"/>
    <w:rsid w:val="00E850A1"/>
    <w:rsid w:val="00E8521B"/>
    <w:rsid w:val="00E853BB"/>
    <w:rsid w:val="00E856F0"/>
    <w:rsid w:val="00E85788"/>
    <w:rsid w:val="00E85795"/>
    <w:rsid w:val="00E857B9"/>
    <w:rsid w:val="00E8591B"/>
    <w:rsid w:val="00E859EA"/>
    <w:rsid w:val="00E85B67"/>
    <w:rsid w:val="00E85CD5"/>
    <w:rsid w:val="00E85DC2"/>
    <w:rsid w:val="00E85E83"/>
    <w:rsid w:val="00E8614F"/>
    <w:rsid w:val="00E861D4"/>
    <w:rsid w:val="00E86223"/>
    <w:rsid w:val="00E86255"/>
    <w:rsid w:val="00E8636F"/>
    <w:rsid w:val="00E8638C"/>
    <w:rsid w:val="00E86692"/>
    <w:rsid w:val="00E8675B"/>
    <w:rsid w:val="00E8676E"/>
    <w:rsid w:val="00E869B2"/>
    <w:rsid w:val="00E869B3"/>
    <w:rsid w:val="00E86A35"/>
    <w:rsid w:val="00E86A71"/>
    <w:rsid w:val="00E86B00"/>
    <w:rsid w:val="00E86BA0"/>
    <w:rsid w:val="00E86C93"/>
    <w:rsid w:val="00E86C9C"/>
    <w:rsid w:val="00E86DFA"/>
    <w:rsid w:val="00E86E0C"/>
    <w:rsid w:val="00E86E22"/>
    <w:rsid w:val="00E86EAF"/>
    <w:rsid w:val="00E86EE1"/>
    <w:rsid w:val="00E8709E"/>
    <w:rsid w:val="00E87270"/>
    <w:rsid w:val="00E8734A"/>
    <w:rsid w:val="00E873EC"/>
    <w:rsid w:val="00E87615"/>
    <w:rsid w:val="00E87926"/>
    <w:rsid w:val="00E879A1"/>
    <w:rsid w:val="00E87A34"/>
    <w:rsid w:val="00E87A38"/>
    <w:rsid w:val="00E87AA0"/>
    <w:rsid w:val="00E87B61"/>
    <w:rsid w:val="00E87C28"/>
    <w:rsid w:val="00E87C93"/>
    <w:rsid w:val="00E87D7C"/>
    <w:rsid w:val="00E87DB8"/>
    <w:rsid w:val="00E87DD8"/>
    <w:rsid w:val="00E87E84"/>
    <w:rsid w:val="00E87ED5"/>
    <w:rsid w:val="00E904BC"/>
    <w:rsid w:val="00E90557"/>
    <w:rsid w:val="00E9064C"/>
    <w:rsid w:val="00E90698"/>
    <w:rsid w:val="00E90816"/>
    <w:rsid w:val="00E90DBA"/>
    <w:rsid w:val="00E90F2B"/>
    <w:rsid w:val="00E91072"/>
    <w:rsid w:val="00E9107B"/>
    <w:rsid w:val="00E91158"/>
    <w:rsid w:val="00E9120B"/>
    <w:rsid w:val="00E912EB"/>
    <w:rsid w:val="00E91424"/>
    <w:rsid w:val="00E91496"/>
    <w:rsid w:val="00E9149C"/>
    <w:rsid w:val="00E914E0"/>
    <w:rsid w:val="00E915B7"/>
    <w:rsid w:val="00E91678"/>
    <w:rsid w:val="00E9169E"/>
    <w:rsid w:val="00E916C7"/>
    <w:rsid w:val="00E918EA"/>
    <w:rsid w:val="00E919C9"/>
    <w:rsid w:val="00E91A46"/>
    <w:rsid w:val="00E91E2D"/>
    <w:rsid w:val="00E920C2"/>
    <w:rsid w:val="00E92378"/>
    <w:rsid w:val="00E924FB"/>
    <w:rsid w:val="00E92716"/>
    <w:rsid w:val="00E92851"/>
    <w:rsid w:val="00E928AF"/>
    <w:rsid w:val="00E928E6"/>
    <w:rsid w:val="00E929CE"/>
    <w:rsid w:val="00E92B27"/>
    <w:rsid w:val="00E92BCA"/>
    <w:rsid w:val="00E92C18"/>
    <w:rsid w:val="00E92CB6"/>
    <w:rsid w:val="00E92CDE"/>
    <w:rsid w:val="00E92D13"/>
    <w:rsid w:val="00E92DBF"/>
    <w:rsid w:val="00E92ED1"/>
    <w:rsid w:val="00E9303A"/>
    <w:rsid w:val="00E9304C"/>
    <w:rsid w:val="00E9327D"/>
    <w:rsid w:val="00E932E3"/>
    <w:rsid w:val="00E93506"/>
    <w:rsid w:val="00E9374C"/>
    <w:rsid w:val="00E93902"/>
    <w:rsid w:val="00E93BBE"/>
    <w:rsid w:val="00E93DD7"/>
    <w:rsid w:val="00E93E9D"/>
    <w:rsid w:val="00E93EED"/>
    <w:rsid w:val="00E9400F"/>
    <w:rsid w:val="00E94092"/>
    <w:rsid w:val="00E940DE"/>
    <w:rsid w:val="00E940F8"/>
    <w:rsid w:val="00E941D2"/>
    <w:rsid w:val="00E9429C"/>
    <w:rsid w:val="00E9442D"/>
    <w:rsid w:val="00E944FE"/>
    <w:rsid w:val="00E945F9"/>
    <w:rsid w:val="00E947F1"/>
    <w:rsid w:val="00E948FB"/>
    <w:rsid w:val="00E94A18"/>
    <w:rsid w:val="00E94CF5"/>
    <w:rsid w:val="00E94E39"/>
    <w:rsid w:val="00E94EB7"/>
    <w:rsid w:val="00E94FCB"/>
    <w:rsid w:val="00E952BF"/>
    <w:rsid w:val="00E952CA"/>
    <w:rsid w:val="00E9582D"/>
    <w:rsid w:val="00E95881"/>
    <w:rsid w:val="00E9598E"/>
    <w:rsid w:val="00E95A3A"/>
    <w:rsid w:val="00E95B4E"/>
    <w:rsid w:val="00E95E3C"/>
    <w:rsid w:val="00E95E82"/>
    <w:rsid w:val="00E95E99"/>
    <w:rsid w:val="00E95F30"/>
    <w:rsid w:val="00E95FA9"/>
    <w:rsid w:val="00E95FEA"/>
    <w:rsid w:val="00E9608B"/>
    <w:rsid w:val="00E9621F"/>
    <w:rsid w:val="00E9628D"/>
    <w:rsid w:val="00E96491"/>
    <w:rsid w:val="00E96571"/>
    <w:rsid w:val="00E96621"/>
    <w:rsid w:val="00E9664E"/>
    <w:rsid w:val="00E96ADE"/>
    <w:rsid w:val="00E96AFB"/>
    <w:rsid w:val="00E96BE5"/>
    <w:rsid w:val="00E96E18"/>
    <w:rsid w:val="00E96E61"/>
    <w:rsid w:val="00E96E69"/>
    <w:rsid w:val="00E9707E"/>
    <w:rsid w:val="00E972B6"/>
    <w:rsid w:val="00E97565"/>
    <w:rsid w:val="00E977A0"/>
    <w:rsid w:val="00E977FA"/>
    <w:rsid w:val="00E97927"/>
    <w:rsid w:val="00E97A07"/>
    <w:rsid w:val="00E97A0B"/>
    <w:rsid w:val="00E97A90"/>
    <w:rsid w:val="00E97BBB"/>
    <w:rsid w:val="00E97BD7"/>
    <w:rsid w:val="00E97C16"/>
    <w:rsid w:val="00E97C7C"/>
    <w:rsid w:val="00E97CE5"/>
    <w:rsid w:val="00E97F42"/>
    <w:rsid w:val="00EA006E"/>
    <w:rsid w:val="00EA00C0"/>
    <w:rsid w:val="00EA0214"/>
    <w:rsid w:val="00EA02A0"/>
    <w:rsid w:val="00EA0562"/>
    <w:rsid w:val="00EA0565"/>
    <w:rsid w:val="00EA06A0"/>
    <w:rsid w:val="00EA0806"/>
    <w:rsid w:val="00EA0A6B"/>
    <w:rsid w:val="00EA0B5C"/>
    <w:rsid w:val="00EA0BDA"/>
    <w:rsid w:val="00EA0C02"/>
    <w:rsid w:val="00EA0C4C"/>
    <w:rsid w:val="00EA0C72"/>
    <w:rsid w:val="00EA0E97"/>
    <w:rsid w:val="00EA10BC"/>
    <w:rsid w:val="00EA115D"/>
    <w:rsid w:val="00EA125E"/>
    <w:rsid w:val="00EA1353"/>
    <w:rsid w:val="00EA1445"/>
    <w:rsid w:val="00EA14D6"/>
    <w:rsid w:val="00EA1544"/>
    <w:rsid w:val="00EA17AD"/>
    <w:rsid w:val="00EA196C"/>
    <w:rsid w:val="00EA1AF1"/>
    <w:rsid w:val="00EA1B49"/>
    <w:rsid w:val="00EA1BF3"/>
    <w:rsid w:val="00EA1C47"/>
    <w:rsid w:val="00EA1C5C"/>
    <w:rsid w:val="00EA1E3F"/>
    <w:rsid w:val="00EA1EA9"/>
    <w:rsid w:val="00EA1EAD"/>
    <w:rsid w:val="00EA1F7F"/>
    <w:rsid w:val="00EA25A1"/>
    <w:rsid w:val="00EA27F6"/>
    <w:rsid w:val="00EA2954"/>
    <w:rsid w:val="00EA2A60"/>
    <w:rsid w:val="00EA2D28"/>
    <w:rsid w:val="00EA2D90"/>
    <w:rsid w:val="00EA2FB2"/>
    <w:rsid w:val="00EA2FF0"/>
    <w:rsid w:val="00EA30C3"/>
    <w:rsid w:val="00EA316A"/>
    <w:rsid w:val="00EA31D3"/>
    <w:rsid w:val="00EA31DB"/>
    <w:rsid w:val="00EA3290"/>
    <w:rsid w:val="00EA34D6"/>
    <w:rsid w:val="00EA350A"/>
    <w:rsid w:val="00EA3540"/>
    <w:rsid w:val="00EA35A1"/>
    <w:rsid w:val="00EA3795"/>
    <w:rsid w:val="00EA37AF"/>
    <w:rsid w:val="00EA381E"/>
    <w:rsid w:val="00EA383E"/>
    <w:rsid w:val="00EA3892"/>
    <w:rsid w:val="00EA38C6"/>
    <w:rsid w:val="00EA3A76"/>
    <w:rsid w:val="00EA3B5A"/>
    <w:rsid w:val="00EA3D88"/>
    <w:rsid w:val="00EA3D8A"/>
    <w:rsid w:val="00EA3DED"/>
    <w:rsid w:val="00EA421B"/>
    <w:rsid w:val="00EA4771"/>
    <w:rsid w:val="00EA482E"/>
    <w:rsid w:val="00EA48AF"/>
    <w:rsid w:val="00EA497A"/>
    <w:rsid w:val="00EA49A5"/>
    <w:rsid w:val="00EA4B37"/>
    <w:rsid w:val="00EA4C16"/>
    <w:rsid w:val="00EA4C8A"/>
    <w:rsid w:val="00EA4D39"/>
    <w:rsid w:val="00EA4D53"/>
    <w:rsid w:val="00EA4F8D"/>
    <w:rsid w:val="00EA4FB9"/>
    <w:rsid w:val="00EA5089"/>
    <w:rsid w:val="00EA50B3"/>
    <w:rsid w:val="00EA50FA"/>
    <w:rsid w:val="00EA51A3"/>
    <w:rsid w:val="00EA52F6"/>
    <w:rsid w:val="00EA5416"/>
    <w:rsid w:val="00EA54E6"/>
    <w:rsid w:val="00EA5560"/>
    <w:rsid w:val="00EA5561"/>
    <w:rsid w:val="00EA55DA"/>
    <w:rsid w:val="00EA55FF"/>
    <w:rsid w:val="00EA58C3"/>
    <w:rsid w:val="00EA5934"/>
    <w:rsid w:val="00EA5B2C"/>
    <w:rsid w:val="00EA5B68"/>
    <w:rsid w:val="00EA5C01"/>
    <w:rsid w:val="00EA5EEA"/>
    <w:rsid w:val="00EA5F08"/>
    <w:rsid w:val="00EA61CA"/>
    <w:rsid w:val="00EA61FD"/>
    <w:rsid w:val="00EA6492"/>
    <w:rsid w:val="00EA6564"/>
    <w:rsid w:val="00EA6651"/>
    <w:rsid w:val="00EA676D"/>
    <w:rsid w:val="00EA68FA"/>
    <w:rsid w:val="00EA697E"/>
    <w:rsid w:val="00EA69AC"/>
    <w:rsid w:val="00EA69F5"/>
    <w:rsid w:val="00EA6A73"/>
    <w:rsid w:val="00EA6C7B"/>
    <w:rsid w:val="00EA6CD5"/>
    <w:rsid w:val="00EA7008"/>
    <w:rsid w:val="00EA7114"/>
    <w:rsid w:val="00EA72C2"/>
    <w:rsid w:val="00EA7312"/>
    <w:rsid w:val="00EA750D"/>
    <w:rsid w:val="00EA762E"/>
    <w:rsid w:val="00EA7797"/>
    <w:rsid w:val="00EA7854"/>
    <w:rsid w:val="00EA7D13"/>
    <w:rsid w:val="00EA7DA8"/>
    <w:rsid w:val="00EA7DB8"/>
    <w:rsid w:val="00EA7EF7"/>
    <w:rsid w:val="00EA7EFB"/>
    <w:rsid w:val="00EA7F31"/>
    <w:rsid w:val="00EA7FDC"/>
    <w:rsid w:val="00EB013E"/>
    <w:rsid w:val="00EB0190"/>
    <w:rsid w:val="00EB03C6"/>
    <w:rsid w:val="00EB0423"/>
    <w:rsid w:val="00EB04A0"/>
    <w:rsid w:val="00EB04B6"/>
    <w:rsid w:val="00EB04DC"/>
    <w:rsid w:val="00EB05AC"/>
    <w:rsid w:val="00EB07DD"/>
    <w:rsid w:val="00EB0A08"/>
    <w:rsid w:val="00EB0CE9"/>
    <w:rsid w:val="00EB0D42"/>
    <w:rsid w:val="00EB0F3D"/>
    <w:rsid w:val="00EB1088"/>
    <w:rsid w:val="00EB10F1"/>
    <w:rsid w:val="00EB15EB"/>
    <w:rsid w:val="00EB166A"/>
    <w:rsid w:val="00EB1795"/>
    <w:rsid w:val="00EB1849"/>
    <w:rsid w:val="00EB1889"/>
    <w:rsid w:val="00EB1ACA"/>
    <w:rsid w:val="00EB1C67"/>
    <w:rsid w:val="00EB1EA5"/>
    <w:rsid w:val="00EB2028"/>
    <w:rsid w:val="00EB20CF"/>
    <w:rsid w:val="00EB2152"/>
    <w:rsid w:val="00EB21C5"/>
    <w:rsid w:val="00EB21D8"/>
    <w:rsid w:val="00EB22CE"/>
    <w:rsid w:val="00EB246E"/>
    <w:rsid w:val="00EB259D"/>
    <w:rsid w:val="00EB25C2"/>
    <w:rsid w:val="00EB280B"/>
    <w:rsid w:val="00EB2833"/>
    <w:rsid w:val="00EB2891"/>
    <w:rsid w:val="00EB2977"/>
    <w:rsid w:val="00EB2B6A"/>
    <w:rsid w:val="00EB2C88"/>
    <w:rsid w:val="00EB2CEB"/>
    <w:rsid w:val="00EB2DC5"/>
    <w:rsid w:val="00EB2E05"/>
    <w:rsid w:val="00EB2EFA"/>
    <w:rsid w:val="00EB317A"/>
    <w:rsid w:val="00EB31DA"/>
    <w:rsid w:val="00EB33DF"/>
    <w:rsid w:val="00EB35DA"/>
    <w:rsid w:val="00EB3674"/>
    <w:rsid w:val="00EB36DA"/>
    <w:rsid w:val="00EB3736"/>
    <w:rsid w:val="00EB384C"/>
    <w:rsid w:val="00EB3A7C"/>
    <w:rsid w:val="00EB3AF3"/>
    <w:rsid w:val="00EB3B69"/>
    <w:rsid w:val="00EB3BB7"/>
    <w:rsid w:val="00EB3C78"/>
    <w:rsid w:val="00EB3D10"/>
    <w:rsid w:val="00EB3E88"/>
    <w:rsid w:val="00EB3F37"/>
    <w:rsid w:val="00EB3F49"/>
    <w:rsid w:val="00EB3FC5"/>
    <w:rsid w:val="00EB42D7"/>
    <w:rsid w:val="00EB43A5"/>
    <w:rsid w:val="00EB444F"/>
    <w:rsid w:val="00EB45E6"/>
    <w:rsid w:val="00EB4680"/>
    <w:rsid w:val="00EB47DE"/>
    <w:rsid w:val="00EB4812"/>
    <w:rsid w:val="00EB498A"/>
    <w:rsid w:val="00EB4A70"/>
    <w:rsid w:val="00EB4BE7"/>
    <w:rsid w:val="00EB4C43"/>
    <w:rsid w:val="00EB4C9E"/>
    <w:rsid w:val="00EB4D6C"/>
    <w:rsid w:val="00EB4DEC"/>
    <w:rsid w:val="00EB4E0A"/>
    <w:rsid w:val="00EB4ED5"/>
    <w:rsid w:val="00EB5048"/>
    <w:rsid w:val="00EB50B2"/>
    <w:rsid w:val="00EB515D"/>
    <w:rsid w:val="00EB517B"/>
    <w:rsid w:val="00EB5209"/>
    <w:rsid w:val="00EB5475"/>
    <w:rsid w:val="00EB58C3"/>
    <w:rsid w:val="00EB5987"/>
    <w:rsid w:val="00EB5AC7"/>
    <w:rsid w:val="00EB5CC8"/>
    <w:rsid w:val="00EB5F16"/>
    <w:rsid w:val="00EB6497"/>
    <w:rsid w:val="00EB6536"/>
    <w:rsid w:val="00EB6632"/>
    <w:rsid w:val="00EB6953"/>
    <w:rsid w:val="00EB6A79"/>
    <w:rsid w:val="00EB6B32"/>
    <w:rsid w:val="00EB6DA7"/>
    <w:rsid w:val="00EB6F00"/>
    <w:rsid w:val="00EB701C"/>
    <w:rsid w:val="00EB70D2"/>
    <w:rsid w:val="00EB7161"/>
    <w:rsid w:val="00EB71CC"/>
    <w:rsid w:val="00EB7424"/>
    <w:rsid w:val="00EB7623"/>
    <w:rsid w:val="00EB7930"/>
    <w:rsid w:val="00EB7ABD"/>
    <w:rsid w:val="00EB7DEE"/>
    <w:rsid w:val="00EB7E38"/>
    <w:rsid w:val="00EBF33B"/>
    <w:rsid w:val="00EC003E"/>
    <w:rsid w:val="00EC0537"/>
    <w:rsid w:val="00EC053E"/>
    <w:rsid w:val="00EC055C"/>
    <w:rsid w:val="00EC0628"/>
    <w:rsid w:val="00EC064E"/>
    <w:rsid w:val="00EC0887"/>
    <w:rsid w:val="00EC08BA"/>
    <w:rsid w:val="00EC0988"/>
    <w:rsid w:val="00EC0B8A"/>
    <w:rsid w:val="00EC0CE4"/>
    <w:rsid w:val="00EC0E52"/>
    <w:rsid w:val="00EC0EFA"/>
    <w:rsid w:val="00EC1112"/>
    <w:rsid w:val="00EC1149"/>
    <w:rsid w:val="00EC1447"/>
    <w:rsid w:val="00EC157E"/>
    <w:rsid w:val="00EC15BA"/>
    <w:rsid w:val="00EC18A0"/>
    <w:rsid w:val="00EC1B80"/>
    <w:rsid w:val="00EC1B9E"/>
    <w:rsid w:val="00EC1CA5"/>
    <w:rsid w:val="00EC1F1C"/>
    <w:rsid w:val="00EC2148"/>
    <w:rsid w:val="00EC219B"/>
    <w:rsid w:val="00EC21A9"/>
    <w:rsid w:val="00EC21DF"/>
    <w:rsid w:val="00EC21E0"/>
    <w:rsid w:val="00EC25A4"/>
    <w:rsid w:val="00EC25F2"/>
    <w:rsid w:val="00EC2791"/>
    <w:rsid w:val="00EC2800"/>
    <w:rsid w:val="00EC28FB"/>
    <w:rsid w:val="00EC2A02"/>
    <w:rsid w:val="00EC2A3E"/>
    <w:rsid w:val="00EC2AE4"/>
    <w:rsid w:val="00EC2B00"/>
    <w:rsid w:val="00EC2C1C"/>
    <w:rsid w:val="00EC2C55"/>
    <w:rsid w:val="00EC2D4B"/>
    <w:rsid w:val="00EC31C1"/>
    <w:rsid w:val="00EC31F4"/>
    <w:rsid w:val="00EC3297"/>
    <w:rsid w:val="00EC3459"/>
    <w:rsid w:val="00EC35D0"/>
    <w:rsid w:val="00EC369B"/>
    <w:rsid w:val="00EC375D"/>
    <w:rsid w:val="00EC376C"/>
    <w:rsid w:val="00EC395B"/>
    <w:rsid w:val="00EC3970"/>
    <w:rsid w:val="00EC39E9"/>
    <w:rsid w:val="00EC39F8"/>
    <w:rsid w:val="00EC3B8D"/>
    <w:rsid w:val="00EC3BED"/>
    <w:rsid w:val="00EC3FD7"/>
    <w:rsid w:val="00EC401C"/>
    <w:rsid w:val="00EC414B"/>
    <w:rsid w:val="00EC4375"/>
    <w:rsid w:val="00EC43E0"/>
    <w:rsid w:val="00EC445C"/>
    <w:rsid w:val="00EC4587"/>
    <w:rsid w:val="00EC472C"/>
    <w:rsid w:val="00EC4818"/>
    <w:rsid w:val="00EC495E"/>
    <w:rsid w:val="00EC4A3A"/>
    <w:rsid w:val="00EC4BFE"/>
    <w:rsid w:val="00EC4CD6"/>
    <w:rsid w:val="00EC4D23"/>
    <w:rsid w:val="00EC4EB9"/>
    <w:rsid w:val="00EC4F8B"/>
    <w:rsid w:val="00EC4FA3"/>
    <w:rsid w:val="00EC5012"/>
    <w:rsid w:val="00EC50DB"/>
    <w:rsid w:val="00EC53A3"/>
    <w:rsid w:val="00EC5772"/>
    <w:rsid w:val="00EC5830"/>
    <w:rsid w:val="00EC5851"/>
    <w:rsid w:val="00EC592F"/>
    <w:rsid w:val="00EC5B58"/>
    <w:rsid w:val="00EC5BBA"/>
    <w:rsid w:val="00EC5BF0"/>
    <w:rsid w:val="00EC5CE8"/>
    <w:rsid w:val="00EC5E64"/>
    <w:rsid w:val="00EC5F1D"/>
    <w:rsid w:val="00EC5F33"/>
    <w:rsid w:val="00EC5F4E"/>
    <w:rsid w:val="00EC5FB1"/>
    <w:rsid w:val="00EC6024"/>
    <w:rsid w:val="00EC603E"/>
    <w:rsid w:val="00EC6155"/>
    <w:rsid w:val="00EC622E"/>
    <w:rsid w:val="00EC62DA"/>
    <w:rsid w:val="00EC62FC"/>
    <w:rsid w:val="00EC6421"/>
    <w:rsid w:val="00EC6477"/>
    <w:rsid w:val="00EC6503"/>
    <w:rsid w:val="00EC66BC"/>
    <w:rsid w:val="00EC672E"/>
    <w:rsid w:val="00EC67A5"/>
    <w:rsid w:val="00EC689B"/>
    <w:rsid w:val="00EC6ABF"/>
    <w:rsid w:val="00EC6B5E"/>
    <w:rsid w:val="00EC6CFA"/>
    <w:rsid w:val="00EC6E0E"/>
    <w:rsid w:val="00EC6E5C"/>
    <w:rsid w:val="00EC6E7E"/>
    <w:rsid w:val="00EC6EC1"/>
    <w:rsid w:val="00EC6FEE"/>
    <w:rsid w:val="00EC72E9"/>
    <w:rsid w:val="00EC737B"/>
    <w:rsid w:val="00EC743E"/>
    <w:rsid w:val="00EC76C9"/>
    <w:rsid w:val="00EC76CD"/>
    <w:rsid w:val="00EC770D"/>
    <w:rsid w:val="00EC77D0"/>
    <w:rsid w:val="00EC794F"/>
    <w:rsid w:val="00EC7BBE"/>
    <w:rsid w:val="00EC7C11"/>
    <w:rsid w:val="00EC7C84"/>
    <w:rsid w:val="00EC7EC8"/>
    <w:rsid w:val="00ED008F"/>
    <w:rsid w:val="00ED0175"/>
    <w:rsid w:val="00ED0298"/>
    <w:rsid w:val="00ED02FB"/>
    <w:rsid w:val="00ED03E4"/>
    <w:rsid w:val="00ED0511"/>
    <w:rsid w:val="00ED0557"/>
    <w:rsid w:val="00ED0720"/>
    <w:rsid w:val="00ED0753"/>
    <w:rsid w:val="00ED08CA"/>
    <w:rsid w:val="00ED0B0D"/>
    <w:rsid w:val="00ED0BCE"/>
    <w:rsid w:val="00ED0BE5"/>
    <w:rsid w:val="00ED0D2B"/>
    <w:rsid w:val="00ED0E82"/>
    <w:rsid w:val="00ED111D"/>
    <w:rsid w:val="00ED122E"/>
    <w:rsid w:val="00ED1280"/>
    <w:rsid w:val="00ED1308"/>
    <w:rsid w:val="00ED13AC"/>
    <w:rsid w:val="00ED146D"/>
    <w:rsid w:val="00ED1972"/>
    <w:rsid w:val="00ED1C70"/>
    <w:rsid w:val="00ED1EFF"/>
    <w:rsid w:val="00ED2135"/>
    <w:rsid w:val="00ED219A"/>
    <w:rsid w:val="00ED21B4"/>
    <w:rsid w:val="00ED2232"/>
    <w:rsid w:val="00ED2251"/>
    <w:rsid w:val="00ED2555"/>
    <w:rsid w:val="00ED272F"/>
    <w:rsid w:val="00ED276C"/>
    <w:rsid w:val="00ED27E1"/>
    <w:rsid w:val="00ED290E"/>
    <w:rsid w:val="00ED2969"/>
    <w:rsid w:val="00ED2E8B"/>
    <w:rsid w:val="00ED2EC0"/>
    <w:rsid w:val="00ED2EEF"/>
    <w:rsid w:val="00ED2F89"/>
    <w:rsid w:val="00ED30D6"/>
    <w:rsid w:val="00ED3160"/>
    <w:rsid w:val="00ED3241"/>
    <w:rsid w:val="00ED32C6"/>
    <w:rsid w:val="00ED32E1"/>
    <w:rsid w:val="00ED3377"/>
    <w:rsid w:val="00ED33ED"/>
    <w:rsid w:val="00ED33FB"/>
    <w:rsid w:val="00ED346F"/>
    <w:rsid w:val="00ED359A"/>
    <w:rsid w:val="00ED35C4"/>
    <w:rsid w:val="00ED376D"/>
    <w:rsid w:val="00ED3784"/>
    <w:rsid w:val="00ED3915"/>
    <w:rsid w:val="00ED391B"/>
    <w:rsid w:val="00ED3BCA"/>
    <w:rsid w:val="00ED3C3B"/>
    <w:rsid w:val="00ED3CFB"/>
    <w:rsid w:val="00ED3DD1"/>
    <w:rsid w:val="00ED3F42"/>
    <w:rsid w:val="00ED4122"/>
    <w:rsid w:val="00ED41BB"/>
    <w:rsid w:val="00ED4305"/>
    <w:rsid w:val="00ED4449"/>
    <w:rsid w:val="00ED4691"/>
    <w:rsid w:val="00ED4A50"/>
    <w:rsid w:val="00ED4C72"/>
    <w:rsid w:val="00ED4D40"/>
    <w:rsid w:val="00ED4E82"/>
    <w:rsid w:val="00ED5552"/>
    <w:rsid w:val="00ED5557"/>
    <w:rsid w:val="00ED5598"/>
    <w:rsid w:val="00ED5715"/>
    <w:rsid w:val="00ED597F"/>
    <w:rsid w:val="00ED5A01"/>
    <w:rsid w:val="00ED5A71"/>
    <w:rsid w:val="00ED5AB7"/>
    <w:rsid w:val="00ED5AC8"/>
    <w:rsid w:val="00ED5B37"/>
    <w:rsid w:val="00ED5B6D"/>
    <w:rsid w:val="00ED5B91"/>
    <w:rsid w:val="00ED5C53"/>
    <w:rsid w:val="00ED5C84"/>
    <w:rsid w:val="00ED5E2F"/>
    <w:rsid w:val="00ED5EA6"/>
    <w:rsid w:val="00ED5F61"/>
    <w:rsid w:val="00ED6085"/>
    <w:rsid w:val="00ED62A6"/>
    <w:rsid w:val="00ED64F2"/>
    <w:rsid w:val="00ED65CF"/>
    <w:rsid w:val="00ED67DC"/>
    <w:rsid w:val="00ED67EA"/>
    <w:rsid w:val="00ED68CF"/>
    <w:rsid w:val="00ED6AF6"/>
    <w:rsid w:val="00ED6B98"/>
    <w:rsid w:val="00ED6BBF"/>
    <w:rsid w:val="00ED6CAB"/>
    <w:rsid w:val="00ED6DA1"/>
    <w:rsid w:val="00ED6DBF"/>
    <w:rsid w:val="00ED6EE5"/>
    <w:rsid w:val="00ED6F8F"/>
    <w:rsid w:val="00ED6FFE"/>
    <w:rsid w:val="00ED7028"/>
    <w:rsid w:val="00ED7047"/>
    <w:rsid w:val="00ED70B5"/>
    <w:rsid w:val="00ED714B"/>
    <w:rsid w:val="00ED7170"/>
    <w:rsid w:val="00ED71A0"/>
    <w:rsid w:val="00ED7366"/>
    <w:rsid w:val="00ED7482"/>
    <w:rsid w:val="00ED75C6"/>
    <w:rsid w:val="00ED7917"/>
    <w:rsid w:val="00ED7AD2"/>
    <w:rsid w:val="00ED7D86"/>
    <w:rsid w:val="00ED7E5E"/>
    <w:rsid w:val="00ED7EBF"/>
    <w:rsid w:val="00ED7ECD"/>
    <w:rsid w:val="00ED7F1D"/>
    <w:rsid w:val="00EE0030"/>
    <w:rsid w:val="00EE0081"/>
    <w:rsid w:val="00EE0087"/>
    <w:rsid w:val="00EE0162"/>
    <w:rsid w:val="00EE01B2"/>
    <w:rsid w:val="00EE078A"/>
    <w:rsid w:val="00EE09EE"/>
    <w:rsid w:val="00EE0A64"/>
    <w:rsid w:val="00EE0AB3"/>
    <w:rsid w:val="00EE0B99"/>
    <w:rsid w:val="00EE0D68"/>
    <w:rsid w:val="00EE0E7C"/>
    <w:rsid w:val="00EE0FC3"/>
    <w:rsid w:val="00EE104A"/>
    <w:rsid w:val="00EE11E2"/>
    <w:rsid w:val="00EE14CE"/>
    <w:rsid w:val="00EE15A6"/>
    <w:rsid w:val="00EE1743"/>
    <w:rsid w:val="00EE18C3"/>
    <w:rsid w:val="00EE19E7"/>
    <w:rsid w:val="00EE1AEF"/>
    <w:rsid w:val="00EE1B12"/>
    <w:rsid w:val="00EE1C05"/>
    <w:rsid w:val="00EE1C90"/>
    <w:rsid w:val="00EE1D6B"/>
    <w:rsid w:val="00EE1E0B"/>
    <w:rsid w:val="00EE1E67"/>
    <w:rsid w:val="00EE1EA1"/>
    <w:rsid w:val="00EE2077"/>
    <w:rsid w:val="00EE228B"/>
    <w:rsid w:val="00EE241D"/>
    <w:rsid w:val="00EE242A"/>
    <w:rsid w:val="00EE2490"/>
    <w:rsid w:val="00EE257F"/>
    <w:rsid w:val="00EE25B7"/>
    <w:rsid w:val="00EE287E"/>
    <w:rsid w:val="00EE2A11"/>
    <w:rsid w:val="00EE2A32"/>
    <w:rsid w:val="00EE2A3B"/>
    <w:rsid w:val="00EE2AB9"/>
    <w:rsid w:val="00EE2B2B"/>
    <w:rsid w:val="00EE2F9E"/>
    <w:rsid w:val="00EE3020"/>
    <w:rsid w:val="00EE30F6"/>
    <w:rsid w:val="00EE32C5"/>
    <w:rsid w:val="00EE3402"/>
    <w:rsid w:val="00EE3436"/>
    <w:rsid w:val="00EE34A7"/>
    <w:rsid w:val="00EE35CB"/>
    <w:rsid w:val="00EE371F"/>
    <w:rsid w:val="00EE3B44"/>
    <w:rsid w:val="00EE3BE8"/>
    <w:rsid w:val="00EE3C97"/>
    <w:rsid w:val="00EE3CB5"/>
    <w:rsid w:val="00EE3E87"/>
    <w:rsid w:val="00EE3F57"/>
    <w:rsid w:val="00EE40F8"/>
    <w:rsid w:val="00EE420C"/>
    <w:rsid w:val="00EE42F1"/>
    <w:rsid w:val="00EE431F"/>
    <w:rsid w:val="00EE44A7"/>
    <w:rsid w:val="00EE44E6"/>
    <w:rsid w:val="00EE460D"/>
    <w:rsid w:val="00EE4636"/>
    <w:rsid w:val="00EE4882"/>
    <w:rsid w:val="00EE48F9"/>
    <w:rsid w:val="00EE4CB0"/>
    <w:rsid w:val="00EE4E1C"/>
    <w:rsid w:val="00EE4E33"/>
    <w:rsid w:val="00EE4F1E"/>
    <w:rsid w:val="00EE5019"/>
    <w:rsid w:val="00EE5083"/>
    <w:rsid w:val="00EE53B2"/>
    <w:rsid w:val="00EE56DE"/>
    <w:rsid w:val="00EE5746"/>
    <w:rsid w:val="00EE583D"/>
    <w:rsid w:val="00EE584A"/>
    <w:rsid w:val="00EE5879"/>
    <w:rsid w:val="00EE5880"/>
    <w:rsid w:val="00EE58B3"/>
    <w:rsid w:val="00EE5A38"/>
    <w:rsid w:val="00EE5B58"/>
    <w:rsid w:val="00EE5B79"/>
    <w:rsid w:val="00EE5C89"/>
    <w:rsid w:val="00EE5D13"/>
    <w:rsid w:val="00EE5D55"/>
    <w:rsid w:val="00EE5D98"/>
    <w:rsid w:val="00EE5E24"/>
    <w:rsid w:val="00EE5FDA"/>
    <w:rsid w:val="00EE604E"/>
    <w:rsid w:val="00EE60C8"/>
    <w:rsid w:val="00EE60E1"/>
    <w:rsid w:val="00EE6204"/>
    <w:rsid w:val="00EE6357"/>
    <w:rsid w:val="00EE6479"/>
    <w:rsid w:val="00EE648B"/>
    <w:rsid w:val="00EE64CC"/>
    <w:rsid w:val="00EE66F6"/>
    <w:rsid w:val="00EE6777"/>
    <w:rsid w:val="00EE6791"/>
    <w:rsid w:val="00EE698D"/>
    <w:rsid w:val="00EE6A74"/>
    <w:rsid w:val="00EE6B2A"/>
    <w:rsid w:val="00EE6CF6"/>
    <w:rsid w:val="00EE6E97"/>
    <w:rsid w:val="00EE71A2"/>
    <w:rsid w:val="00EE71A4"/>
    <w:rsid w:val="00EE7224"/>
    <w:rsid w:val="00EE78C9"/>
    <w:rsid w:val="00EE7A9D"/>
    <w:rsid w:val="00EE7B8A"/>
    <w:rsid w:val="00EE7FD1"/>
    <w:rsid w:val="00EF0015"/>
    <w:rsid w:val="00EF0139"/>
    <w:rsid w:val="00EF01EE"/>
    <w:rsid w:val="00EF053E"/>
    <w:rsid w:val="00EF0641"/>
    <w:rsid w:val="00EF0697"/>
    <w:rsid w:val="00EF069C"/>
    <w:rsid w:val="00EF078A"/>
    <w:rsid w:val="00EF082A"/>
    <w:rsid w:val="00EF08F7"/>
    <w:rsid w:val="00EF09F4"/>
    <w:rsid w:val="00EF0B62"/>
    <w:rsid w:val="00EF0B86"/>
    <w:rsid w:val="00EF0B90"/>
    <w:rsid w:val="00EF0C93"/>
    <w:rsid w:val="00EF0D0D"/>
    <w:rsid w:val="00EF0D21"/>
    <w:rsid w:val="00EF0D38"/>
    <w:rsid w:val="00EF0DB2"/>
    <w:rsid w:val="00EF0E19"/>
    <w:rsid w:val="00EF0EFB"/>
    <w:rsid w:val="00EF0F02"/>
    <w:rsid w:val="00EF1028"/>
    <w:rsid w:val="00EF1070"/>
    <w:rsid w:val="00EF10A1"/>
    <w:rsid w:val="00EF129F"/>
    <w:rsid w:val="00EF12E2"/>
    <w:rsid w:val="00EF148E"/>
    <w:rsid w:val="00EF149C"/>
    <w:rsid w:val="00EF1733"/>
    <w:rsid w:val="00EF1804"/>
    <w:rsid w:val="00EF1B62"/>
    <w:rsid w:val="00EF1C13"/>
    <w:rsid w:val="00EF1D4F"/>
    <w:rsid w:val="00EF1DDC"/>
    <w:rsid w:val="00EF1E8D"/>
    <w:rsid w:val="00EF1EFB"/>
    <w:rsid w:val="00EF214E"/>
    <w:rsid w:val="00EF2165"/>
    <w:rsid w:val="00EF22B2"/>
    <w:rsid w:val="00EF2319"/>
    <w:rsid w:val="00EF24FA"/>
    <w:rsid w:val="00EF2548"/>
    <w:rsid w:val="00EF2797"/>
    <w:rsid w:val="00EF282A"/>
    <w:rsid w:val="00EF285B"/>
    <w:rsid w:val="00EF29DC"/>
    <w:rsid w:val="00EF2A0B"/>
    <w:rsid w:val="00EF2A3A"/>
    <w:rsid w:val="00EF2AB1"/>
    <w:rsid w:val="00EF2B78"/>
    <w:rsid w:val="00EF2DA0"/>
    <w:rsid w:val="00EF2E7D"/>
    <w:rsid w:val="00EF2E8F"/>
    <w:rsid w:val="00EF30A3"/>
    <w:rsid w:val="00EF31CD"/>
    <w:rsid w:val="00EF3309"/>
    <w:rsid w:val="00EF3391"/>
    <w:rsid w:val="00EF34D3"/>
    <w:rsid w:val="00EF35B0"/>
    <w:rsid w:val="00EF3687"/>
    <w:rsid w:val="00EF37D2"/>
    <w:rsid w:val="00EF39AF"/>
    <w:rsid w:val="00EF3A3C"/>
    <w:rsid w:val="00EF3EF9"/>
    <w:rsid w:val="00EF4048"/>
    <w:rsid w:val="00EF4115"/>
    <w:rsid w:val="00EF4244"/>
    <w:rsid w:val="00EF42A7"/>
    <w:rsid w:val="00EF4377"/>
    <w:rsid w:val="00EF44D1"/>
    <w:rsid w:val="00EF4616"/>
    <w:rsid w:val="00EF46E6"/>
    <w:rsid w:val="00EF487B"/>
    <w:rsid w:val="00EF4A4E"/>
    <w:rsid w:val="00EF4A75"/>
    <w:rsid w:val="00EF4A76"/>
    <w:rsid w:val="00EF4AC4"/>
    <w:rsid w:val="00EF4AD5"/>
    <w:rsid w:val="00EF4B21"/>
    <w:rsid w:val="00EF4EA1"/>
    <w:rsid w:val="00EF5091"/>
    <w:rsid w:val="00EF51F6"/>
    <w:rsid w:val="00EF523F"/>
    <w:rsid w:val="00EF52C3"/>
    <w:rsid w:val="00EF5364"/>
    <w:rsid w:val="00EF53EC"/>
    <w:rsid w:val="00EF5744"/>
    <w:rsid w:val="00EF57E3"/>
    <w:rsid w:val="00EF5852"/>
    <w:rsid w:val="00EF58D7"/>
    <w:rsid w:val="00EF590C"/>
    <w:rsid w:val="00EF5938"/>
    <w:rsid w:val="00EF5B78"/>
    <w:rsid w:val="00EF5CB3"/>
    <w:rsid w:val="00EF5D7E"/>
    <w:rsid w:val="00EF5E8E"/>
    <w:rsid w:val="00EF60A6"/>
    <w:rsid w:val="00EF62E9"/>
    <w:rsid w:val="00EF6394"/>
    <w:rsid w:val="00EF6434"/>
    <w:rsid w:val="00EF66C4"/>
    <w:rsid w:val="00EF683C"/>
    <w:rsid w:val="00EF68BB"/>
    <w:rsid w:val="00EF6F0C"/>
    <w:rsid w:val="00EF6F56"/>
    <w:rsid w:val="00EF6FB6"/>
    <w:rsid w:val="00EF7086"/>
    <w:rsid w:val="00EF7324"/>
    <w:rsid w:val="00EF732F"/>
    <w:rsid w:val="00EF7369"/>
    <w:rsid w:val="00EF749F"/>
    <w:rsid w:val="00EF75E2"/>
    <w:rsid w:val="00EF7650"/>
    <w:rsid w:val="00EF783F"/>
    <w:rsid w:val="00EF78F0"/>
    <w:rsid w:val="00EF7A1E"/>
    <w:rsid w:val="00EF7BA7"/>
    <w:rsid w:val="00EF7C13"/>
    <w:rsid w:val="00EF7D32"/>
    <w:rsid w:val="00EF7D58"/>
    <w:rsid w:val="00EF7DF5"/>
    <w:rsid w:val="00EF7E30"/>
    <w:rsid w:val="00EF7EC4"/>
    <w:rsid w:val="00F00091"/>
    <w:rsid w:val="00F001E4"/>
    <w:rsid w:val="00F003A6"/>
    <w:rsid w:val="00F003B2"/>
    <w:rsid w:val="00F003E3"/>
    <w:rsid w:val="00F005AA"/>
    <w:rsid w:val="00F00645"/>
    <w:rsid w:val="00F00651"/>
    <w:rsid w:val="00F00653"/>
    <w:rsid w:val="00F00734"/>
    <w:rsid w:val="00F007DF"/>
    <w:rsid w:val="00F00AAE"/>
    <w:rsid w:val="00F00DB4"/>
    <w:rsid w:val="00F00ECC"/>
    <w:rsid w:val="00F010E7"/>
    <w:rsid w:val="00F010FE"/>
    <w:rsid w:val="00F01214"/>
    <w:rsid w:val="00F01291"/>
    <w:rsid w:val="00F013D2"/>
    <w:rsid w:val="00F013E7"/>
    <w:rsid w:val="00F014DA"/>
    <w:rsid w:val="00F0164B"/>
    <w:rsid w:val="00F01659"/>
    <w:rsid w:val="00F01787"/>
    <w:rsid w:val="00F01808"/>
    <w:rsid w:val="00F01847"/>
    <w:rsid w:val="00F01935"/>
    <w:rsid w:val="00F019EF"/>
    <w:rsid w:val="00F01ACA"/>
    <w:rsid w:val="00F01B44"/>
    <w:rsid w:val="00F01BB5"/>
    <w:rsid w:val="00F01E00"/>
    <w:rsid w:val="00F01E41"/>
    <w:rsid w:val="00F01E96"/>
    <w:rsid w:val="00F021BC"/>
    <w:rsid w:val="00F0221A"/>
    <w:rsid w:val="00F0227F"/>
    <w:rsid w:val="00F02298"/>
    <w:rsid w:val="00F0238C"/>
    <w:rsid w:val="00F0265C"/>
    <w:rsid w:val="00F02695"/>
    <w:rsid w:val="00F028B8"/>
    <w:rsid w:val="00F02A2D"/>
    <w:rsid w:val="00F02A90"/>
    <w:rsid w:val="00F02C26"/>
    <w:rsid w:val="00F02DAA"/>
    <w:rsid w:val="00F02DB1"/>
    <w:rsid w:val="00F02E41"/>
    <w:rsid w:val="00F02F43"/>
    <w:rsid w:val="00F03269"/>
    <w:rsid w:val="00F03470"/>
    <w:rsid w:val="00F034AA"/>
    <w:rsid w:val="00F037C2"/>
    <w:rsid w:val="00F0386F"/>
    <w:rsid w:val="00F03A1F"/>
    <w:rsid w:val="00F03AB5"/>
    <w:rsid w:val="00F03BCF"/>
    <w:rsid w:val="00F03BEF"/>
    <w:rsid w:val="00F03C2E"/>
    <w:rsid w:val="00F03E3A"/>
    <w:rsid w:val="00F03EEF"/>
    <w:rsid w:val="00F03F08"/>
    <w:rsid w:val="00F03F1B"/>
    <w:rsid w:val="00F03F23"/>
    <w:rsid w:val="00F03FEC"/>
    <w:rsid w:val="00F04065"/>
    <w:rsid w:val="00F042AC"/>
    <w:rsid w:val="00F04901"/>
    <w:rsid w:val="00F04A4E"/>
    <w:rsid w:val="00F04A70"/>
    <w:rsid w:val="00F04B9C"/>
    <w:rsid w:val="00F04C44"/>
    <w:rsid w:val="00F04C74"/>
    <w:rsid w:val="00F04E0B"/>
    <w:rsid w:val="00F05058"/>
    <w:rsid w:val="00F05342"/>
    <w:rsid w:val="00F0537C"/>
    <w:rsid w:val="00F05386"/>
    <w:rsid w:val="00F055B3"/>
    <w:rsid w:val="00F05616"/>
    <w:rsid w:val="00F05726"/>
    <w:rsid w:val="00F0577F"/>
    <w:rsid w:val="00F0586F"/>
    <w:rsid w:val="00F05A45"/>
    <w:rsid w:val="00F05DE1"/>
    <w:rsid w:val="00F05DFC"/>
    <w:rsid w:val="00F05ECD"/>
    <w:rsid w:val="00F05FE7"/>
    <w:rsid w:val="00F062FE"/>
    <w:rsid w:val="00F063A5"/>
    <w:rsid w:val="00F0657C"/>
    <w:rsid w:val="00F0683F"/>
    <w:rsid w:val="00F06970"/>
    <w:rsid w:val="00F06A09"/>
    <w:rsid w:val="00F06B09"/>
    <w:rsid w:val="00F06C40"/>
    <w:rsid w:val="00F06D61"/>
    <w:rsid w:val="00F07094"/>
    <w:rsid w:val="00F070FA"/>
    <w:rsid w:val="00F071AE"/>
    <w:rsid w:val="00F071E9"/>
    <w:rsid w:val="00F07240"/>
    <w:rsid w:val="00F07262"/>
    <w:rsid w:val="00F07392"/>
    <w:rsid w:val="00F07397"/>
    <w:rsid w:val="00F0741C"/>
    <w:rsid w:val="00F075D4"/>
    <w:rsid w:val="00F075EF"/>
    <w:rsid w:val="00F07600"/>
    <w:rsid w:val="00F077B7"/>
    <w:rsid w:val="00F077E0"/>
    <w:rsid w:val="00F07807"/>
    <w:rsid w:val="00F07899"/>
    <w:rsid w:val="00F07936"/>
    <w:rsid w:val="00F07AAD"/>
    <w:rsid w:val="00F07BD1"/>
    <w:rsid w:val="00F07CC8"/>
    <w:rsid w:val="00F07D04"/>
    <w:rsid w:val="00F07F6D"/>
    <w:rsid w:val="00F1006B"/>
    <w:rsid w:val="00F10357"/>
    <w:rsid w:val="00F10493"/>
    <w:rsid w:val="00F105F5"/>
    <w:rsid w:val="00F106C0"/>
    <w:rsid w:val="00F108E5"/>
    <w:rsid w:val="00F108E8"/>
    <w:rsid w:val="00F10B80"/>
    <w:rsid w:val="00F10BBA"/>
    <w:rsid w:val="00F10CE8"/>
    <w:rsid w:val="00F10E8B"/>
    <w:rsid w:val="00F11057"/>
    <w:rsid w:val="00F110E0"/>
    <w:rsid w:val="00F11116"/>
    <w:rsid w:val="00F111D5"/>
    <w:rsid w:val="00F112B9"/>
    <w:rsid w:val="00F112BB"/>
    <w:rsid w:val="00F1131B"/>
    <w:rsid w:val="00F11476"/>
    <w:rsid w:val="00F1149D"/>
    <w:rsid w:val="00F115DB"/>
    <w:rsid w:val="00F1162A"/>
    <w:rsid w:val="00F1168A"/>
    <w:rsid w:val="00F116D5"/>
    <w:rsid w:val="00F11945"/>
    <w:rsid w:val="00F1194A"/>
    <w:rsid w:val="00F11AED"/>
    <w:rsid w:val="00F11B6E"/>
    <w:rsid w:val="00F11C91"/>
    <w:rsid w:val="00F11CC3"/>
    <w:rsid w:val="00F11D69"/>
    <w:rsid w:val="00F11E58"/>
    <w:rsid w:val="00F11FAC"/>
    <w:rsid w:val="00F11FFC"/>
    <w:rsid w:val="00F120DD"/>
    <w:rsid w:val="00F1210A"/>
    <w:rsid w:val="00F121BC"/>
    <w:rsid w:val="00F1226B"/>
    <w:rsid w:val="00F122B5"/>
    <w:rsid w:val="00F12447"/>
    <w:rsid w:val="00F12517"/>
    <w:rsid w:val="00F125C6"/>
    <w:rsid w:val="00F12654"/>
    <w:rsid w:val="00F1274C"/>
    <w:rsid w:val="00F12800"/>
    <w:rsid w:val="00F1293A"/>
    <w:rsid w:val="00F129A4"/>
    <w:rsid w:val="00F129AF"/>
    <w:rsid w:val="00F129F1"/>
    <w:rsid w:val="00F12BD2"/>
    <w:rsid w:val="00F12C33"/>
    <w:rsid w:val="00F12C6F"/>
    <w:rsid w:val="00F12C72"/>
    <w:rsid w:val="00F12D31"/>
    <w:rsid w:val="00F130F0"/>
    <w:rsid w:val="00F131DA"/>
    <w:rsid w:val="00F13377"/>
    <w:rsid w:val="00F133B9"/>
    <w:rsid w:val="00F13442"/>
    <w:rsid w:val="00F13514"/>
    <w:rsid w:val="00F1354A"/>
    <w:rsid w:val="00F13562"/>
    <w:rsid w:val="00F13736"/>
    <w:rsid w:val="00F138B5"/>
    <w:rsid w:val="00F1392D"/>
    <w:rsid w:val="00F13932"/>
    <w:rsid w:val="00F139B8"/>
    <w:rsid w:val="00F13C58"/>
    <w:rsid w:val="00F13F07"/>
    <w:rsid w:val="00F14248"/>
    <w:rsid w:val="00F14303"/>
    <w:rsid w:val="00F144DE"/>
    <w:rsid w:val="00F14689"/>
    <w:rsid w:val="00F146F5"/>
    <w:rsid w:val="00F1470E"/>
    <w:rsid w:val="00F147DA"/>
    <w:rsid w:val="00F148AA"/>
    <w:rsid w:val="00F14954"/>
    <w:rsid w:val="00F14A77"/>
    <w:rsid w:val="00F14C98"/>
    <w:rsid w:val="00F14D93"/>
    <w:rsid w:val="00F14F51"/>
    <w:rsid w:val="00F1505D"/>
    <w:rsid w:val="00F15238"/>
    <w:rsid w:val="00F153B3"/>
    <w:rsid w:val="00F1546E"/>
    <w:rsid w:val="00F154CC"/>
    <w:rsid w:val="00F155C6"/>
    <w:rsid w:val="00F155D3"/>
    <w:rsid w:val="00F15654"/>
    <w:rsid w:val="00F157E0"/>
    <w:rsid w:val="00F1597F"/>
    <w:rsid w:val="00F159F6"/>
    <w:rsid w:val="00F15AEE"/>
    <w:rsid w:val="00F15B82"/>
    <w:rsid w:val="00F15C75"/>
    <w:rsid w:val="00F15FB6"/>
    <w:rsid w:val="00F16299"/>
    <w:rsid w:val="00F162D5"/>
    <w:rsid w:val="00F162DA"/>
    <w:rsid w:val="00F1639B"/>
    <w:rsid w:val="00F16618"/>
    <w:rsid w:val="00F16634"/>
    <w:rsid w:val="00F16725"/>
    <w:rsid w:val="00F1693A"/>
    <w:rsid w:val="00F16A51"/>
    <w:rsid w:val="00F16B4A"/>
    <w:rsid w:val="00F16B65"/>
    <w:rsid w:val="00F16E88"/>
    <w:rsid w:val="00F16F49"/>
    <w:rsid w:val="00F171CD"/>
    <w:rsid w:val="00F1743A"/>
    <w:rsid w:val="00F1758E"/>
    <w:rsid w:val="00F17607"/>
    <w:rsid w:val="00F176F7"/>
    <w:rsid w:val="00F1797B"/>
    <w:rsid w:val="00F179FF"/>
    <w:rsid w:val="00F17A8A"/>
    <w:rsid w:val="00F17B83"/>
    <w:rsid w:val="00F17B86"/>
    <w:rsid w:val="00F17BCC"/>
    <w:rsid w:val="00F17C5F"/>
    <w:rsid w:val="00F17D24"/>
    <w:rsid w:val="00F17DA1"/>
    <w:rsid w:val="00F17E94"/>
    <w:rsid w:val="00F17EA1"/>
    <w:rsid w:val="00F17ECF"/>
    <w:rsid w:val="00F20124"/>
    <w:rsid w:val="00F20329"/>
    <w:rsid w:val="00F20497"/>
    <w:rsid w:val="00F20721"/>
    <w:rsid w:val="00F20781"/>
    <w:rsid w:val="00F20848"/>
    <w:rsid w:val="00F20874"/>
    <w:rsid w:val="00F208AB"/>
    <w:rsid w:val="00F20D70"/>
    <w:rsid w:val="00F20D8C"/>
    <w:rsid w:val="00F21330"/>
    <w:rsid w:val="00F2133A"/>
    <w:rsid w:val="00F214FD"/>
    <w:rsid w:val="00F2161F"/>
    <w:rsid w:val="00F2168E"/>
    <w:rsid w:val="00F2170B"/>
    <w:rsid w:val="00F21815"/>
    <w:rsid w:val="00F218BD"/>
    <w:rsid w:val="00F21B5A"/>
    <w:rsid w:val="00F21F33"/>
    <w:rsid w:val="00F21F75"/>
    <w:rsid w:val="00F21FF9"/>
    <w:rsid w:val="00F22021"/>
    <w:rsid w:val="00F22049"/>
    <w:rsid w:val="00F2210C"/>
    <w:rsid w:val="00F22122"/>
    <w:rsid w:val="00F22343"/>
    <w:rsid w:val="00F22375"/>
    <w:rsid w:val="00F22537"/>
    <w:rsid w:val="00F2260B"/>
    <w:rsid w:val="00F227C4"/>
    <w:rsid w:val="00F22A47"/>
    <w:rsid w:val="00F22BA1"/>
    <w:rsid w:val="00F2324D"/>
    <w:rsid w:val="00F23288"/>
    <w:rsid w:val="00F2378F"/>
    <w:rsid w:val="00F23861"/>
    <w:rsid w:val="00F23866"/>
    <w:rsid w:val="00F23938"/>
    <w:rsid w:val="00F23A17"/>
    <w:rsid w:val="00F23A92"/>
    <w:rsid w:val="00F23B71"/>
    <w:rsid w:val="00F23BE5"/>
    <w:rsid w:val="00F23E99"/>
    <w:rsid w:val="00F23F85"/>
    <w:rsid w:val="00F24016"/>
    <w:rsid w:val="00F2404C"/>
    <w:rsid w:val="00F240ED"/>
    <w:rsid w:val="00F24134"/>
    <w:rsid w:val="00F2414C"/>
    <w:rsid w:val="00F2435F"/>
    <w:rsid w:val="00F24400"/>
    <w:rsid w:val="00F2447B"/>
    <w:rsid w:val="00F2464D"/>
    <w:rsid w:val="00F24718"/>
    <w:rsid w:val="00F24923"/>
    <w:rsid w:val="00F24963"/>
    <w:rsid w:val="00F24B47"/>
    <w:rsid w:val="00F24B69"/>
    <w:rsid w:val="00F24D60"/>
    <w:rsid w:val="00F24DA1"/>
    <w:rsid w:val="00F24E01"/>
    <w:rsid w:val="00F24E2E"/>
    <w:rsid w:val="00F24E71"/>
    <w:rsid w:val="00F2516A"/>
    <w:rsid w:val="00F254C0"/>
    <w:rsid w:val="00F257A1"/>
    <w:rsid w:val="00F25A83"/>
    <w:rsid w:val="00F25A8E"/>
    <w:rsid w:val="00F25AFB"/>
    <w:rsid w:val="00F25B97"/>
    <w:rsid w:val="00F25BCB"/>
    <w:rsid w:val="00F25BE7"/>
    <w:rsid w:val="00F25DB8"/>
    <w:rsid w:val="00F2607E"/>
    <w:rsid w:val="00F26152"/>
    <w:rsid w:val="00F26153"/>
    <w:rsid w:val="00F262DD"/>
    <w:rsid w:val="00F267FB"/>
    <w:rsid w:val="00F26851"/>
    <w:rsid w:val="00F26925"/>
    <w:rsid w:val="00F26B64"/>
    <w:rsid w:val="00F26B74"/>
    <w:rsid w:val="00F26E5B"/>
    <w:rsid w:val="00F26FFA"/>
    <w:rsid w:val="00F2706C"/>
    <w:rsid w:val="00F27345"/>
    <w:rsid w:val="00F27471"/>
    <w:rsid w:val="00F27513"/>
    <w:rsid w:val="00F27593"/>
    <w:rsid w:val="00F2771F"/>
    <w:rsid w:val="00F278C2"/>
    <w:rsid w:val="00F27964"/>
    <w:rsid w:val="00F27CBC"/>
    <w:rsid w:val="00F27E2D"/>
    <w:rsid w:val="00F27E40"/>
    <w:rsid w:val="00F27E93"/>
    <w:rsid w:val="00F30002"/>
    <w:rsid w:val="00F300C3"/>
    <w:rsid w:val="00F302BC"/>
    <w:rsid w:val="00F306CA"/>
    <w:rsid w:val="00F307B2"/>
    <w:rsid w:val="00F307FF"/>
    <w:rsid w:val="00F3098F"/>
    <w:rsid w:val="00F30AEC"/>
    <w:rsid w:val="00F30AFB"/>
    <w:rsid w:val="00F30B0E"/>
    <w:rsid w:val="00F30DD2"/>
    <w:rsid w:val="00F30F05"/>
    <w:rsid w:val="00F3123A"/>
    <w:rsid w:val="00F314DF"/>
    <w:rsid w:val="00F3159A"/>
    <w:rsid w:val="00F3181A"/>
    <w:rsid w:val="00F31852"/>
    <w:rsid w:val="00F318C5"/>
    <w:rsid w:val="00F31943"/>
    <w:rsid w:val="00F31A0C"/>
    <w:rsid w:val="00F31AE0"/>
    <w:rsid w:val="00F31B02"/>
    <w:rsid w:val="00F31D09"/>
    <w:rsid w:val="00F32107"/>
    <w:rsid w:val="00F3215E"/>
    <w:rsid w:val="00F321CE"/>
    <w:rsid w:val="00F322CA"/>
    <w:rsid w:val="00F3251C"/>
    <w:rsid w:val="00F32678"/>
    <w:rsid w:val="00F327AA"/>
    <w:rsid w:val="00F32BC8"/>
    <w:rsid w:val="00F32CCB"/>
    <w:rsid w:val="00F32D1A"/>
    <w:rsid w:val="00F32E7B"/>
    <w:rsid w:val="00F32EB9"/>
    <w:rsid w:val="00F32F11"/>
    <w:rsid w:val="00F32F59"/>
    <w:rsid w:val="00F3317D"/>
    <w:rsid w:val="00F333AD"/>
    <w:rsid w:val="00F333BA"/>
    <w:rsid w:val="00F3350D"/>
    <w:rsid w:val="00F33592"/>
    <w:rsid w:val="00F33A5A"/>
    <w:rsid w:val="00F33BBA"/>
    <w:rsid w:val="00F33FD0"/>
    <w:rsid w:val="00F34310"/>
    <w:rsid w:val="00F34409"/>
    <w:rsid w:val="00F3449B"/>
    <w:rsid w:val="00F344E1"/>
    <w:rsid w:val="00F34620"/>
    <w:rsid w:val="00F34628"/>
    <w:rsid w:val="00F3476E"/>
    <w:rsid w:val="00F348D1"/>
    <w:rsid w:val="00F34B4E"/>
    <w:rsid w:val="00F34E22"/>
    <w:rsid w:val="00F34FAE"/>
    <w:rsid w:val="00F350DC"/>
    <w:rsid w:val="00F35333"/>
    <w:rsid w:val="00F35357"/>
    <w:rsid w:val="00F3541B"/>
    <w:rsid w:val="00F354C7"/>
    <w:rsid w:val="00F35760"/>
    <w:rsid w:val="00F35802"/>
    <w:rsid w:val="00F35842"/>
    <w:rsid w:val="00F358CD"/>
    <w:rsid w:val="00F35953"/>
    <w:rsid w:val="00F35A65"/>
    <w:rsid w:val="00F35EA2"/>
    <w:rsid w:val="00F35F23"/>
    <w:rsid w:val="00F35F4C"/>
    <w:rsid w:val="00F35F97"/>
    <w:rsid w:val="00F362B0"/>
    <w:rsid w:val="00F3699B"/>
    <w:rsid w:val="00F369C3"/>
    <w:rsid w:val="00F369D9"/>
    <w:rsid w:val="00F36A01"/>
    <w:rsid w:val="00F36A9A"/>
    <w:rsid w:val="00F36B4B"/>
    <w:rsid w:val="00F36BF6"/>
    <w:rsid w:val="00F36F63"/>
    <w:rsid w:val="00F37017"/>
    <w:rsid w:val="00F37338"/>
    <w:rsid w:val="00F376B9"/>
    <w:rsid w:val="00F377F5"/>
    <w:rsid w:val="00F37856"/>
    <w:rsid w:val="00F378C9"/>
    <w:rsid w:val="00F379EA"/>
    <w:rsid w:val="00F37A9E"/>
    <w:rsid w:val="00F37B1C"/>
    <w:rsid w:val="00F37C49"/>
    <w:rsid w:val="00F37C90"/>
    <w:rsid w:val="00F37CDD"/>
    <w:rsid w:val="00F37EDB"/>
    <w:rsid w:val="00F37EF2"/>
    <w:rsid w:val="00F37F98"/>
    <w:rsid w:val="00F40242"/>
    <w:rsid w:val="00F40447"/>
    <w:rsid w:val="00F405AC"/>
    <w:rsid w:val="00F405CC"/>
    <w:rsid w:val="00F405F7"/>
    <w:rsid w:val="00F4062A"/>
    <w:rsid w:val="00F4073D"/>
    <w:rsid w:val="00F40C49"/>
    <w:rsid w:val="00F40FA6"/>
    <w:rsid w:val="00F40FF9"/>
    <w:rsid w:val="00F4100D"/>
    <w:rsid w:val="00F41031"/>
    <w:rsid w:val="00F412F2"/>
    <w:rsid w:val="00F41310"/>
    <w:rsid w:val="00F414B8"/>
    <w:rsid w:val="00F4154C"/>
    <w:rsid w:val="00F4162A"/>
    <w:rsid w:val="00F41807"/>
    <w:rsid w:val="00F418BD"/>
    <w:rsid w:val="00F41A46"/>
    <w:rsid w:val="00F41B93"/>
    <w:rsid w:val="00F41C08"/>
    <w:rsid w:val="00F41D5E"/>
    <w:rsid w:val="00F41E91"/>
    <w:rsid w:val="00F41EB4"/>
    <w:rsid w:val="00F41F76"/>
    <w:rsid w:val="00F41FFF"/>
    <w:rsid w:val="00F420F1"/>
    <w:rsid w:val="00F421CF"/>
    <w:rsid w:val="00F42377"/>
    <w:rsid w:val="00F4238B"/>
    <w:rsid w:val="00F4253D"/>
    <w:rsid w:val="00F425C8"/>
    <w:rsid w:val="00F42720"/>
    <w:rsid w:val="00F42A81"/>
    <w:rsid w:val="00F42AC1"/>
    <w:rsid w:val="00F42AD8"/>
    <w:rsid w:val="00F42BB7"/>
    <w:rsid w:val="00F42D1F"/>
    <w:rsid w:val="00F42D7D"/>
    <w:rsid w:val="00F42DCC"/>
    <w:rsid w:val="00F42F8A"/>
    <w:rsid w:val="00F430B2"/>
    <w:rsid w:val="00F4318E"/>
    <w:rsid w:val="00F431F6"/>
    <w:rsid w:val="00F43230"/>
    <w:rsid w:val="00F435AF"/>
    <w:rsid w:val="00F43659"/>
    <w:rsid w:val="00F43EC7"/>
    <w:rsid w:val="00F440AF"/>
    <w:rsid w:val="00F44158"/>
    <w:rsid w:val="00F442A6"/>
    <w:rsid w:val="00F4453F"/>
    <w:rsid w:val="00F44562"/>
    <w:rsid w:val="00F448E5"/>
    <w:rsid w:val="00F4491D"/>
    <w:rsid w:val="00F44929"/>
    <w:rsid w:val="00F44981"/>
    <w:rsid w:val="00F4498F"/>
    <w:rsid w:val="00F44A90"/>
    <w:rsid w:val="00F44ADC"/>
    <w:rsid w:val="00F44CA4"/>
    <w:rsid w:val="00F44D65"/>
    <w:rsid w:val="00F44E7A"/>
    <w:rsid w:val="00F44F7A"/>
    <w:rsid w:val="00F45133"/>
    <w:rsid w:val="00F45202"/>
    <w:rsid w:val="00F45490"/>
    <w:rsid w:val="00F45576"/>
    <w:rsid w:val="00F457B9"/>
    <w:rsid w:val="00F459BA"/>
    <w:rsid w:val="00F45B04"/>
    <w:rsid w:val="00F45CE4"/>
    <w:rsid w:val="00F45D5C"/>
    <w:rsid w:val="00F45F1A"/>
    <w:rsid w:val="00F45FC5"/>
    <w:rsid w:val="00F46121"/>
    <w:rsid w:val="00F466CA"/>
    <w:rsid w:val="00F46723"/>
    <w:rsid w:val="00F4695B"/>
    <w:rsid w:val="00F46B13"/>
    <w:rsid w:val="00F46B84"/>
    <w:rsid w:val="00F46BC1"/>
    <w:rsid w:val="00F46BE7"/>
    <w:rsid w:val="00F46CD2"/>
    <w:rsid w:val="00F46D82"/>
    <w:rsid w:val="00F46F43"/>
    <w:rsid w:val="00F46FB4"/>
    <w:rsid w:val="00F46FBC"/>
    <w:rsid w:val="00F47000"/>
    <w:rsid w:val="00F47065"/>
    <w:rsid w:val="00F47119"/>
    <w:rsid w:val="00F47236"/>
    <w:rsid w:val="00F47357"/>
    <w:rsid w:val="00F47436"/>
    <w:rsid w:val="00F474B1"/>
    <w:rsid w:val="00F475BB"/>
    <w:rsid w:val="00F475BE"/>
    <w:rsid w:val="00F4764C"/>
    <w:rsid w:val="00F477EC"/>
    <w:rsid w:val="00F47829"/>
    <w:rsid w:val="00F47919"/>
    <w:rsid w:val="00F47B65"/>
    <w:rsid w:val="00F47B8F"/>
    <w:rsid w:val="00F47C30"/>
    <w:rsid w:val="00F47C3D"/>
    <w:rsid w:val="00F47F56"/>
    <w:rsid w:val="00F50013"/>
    <w:rsid w:val="00F50160"/>
    <w:rsid w:val="00F501FD"/>
    <w:rsid w:val="00F5025C"/>
    <w:rsid w:val="00F50469"/>
    <w:rsid w:val="00F5053A"/>
    <w:rsid w:val="00F50593"/>
    <w:rsid w:val="00F5070D"/>
    <w:rsid w:val="00F507D1"/>
    <w:rsid w:val="00F50805"/>
    <w:rsid w:val="00F50A1A"/>
    <w:rsid w:val="00F50B06"/>
    <w:rsid w:val="00F50B84"/>
    <w:rsid w:val="00F50C44"/>
    <w:rsid w:val="00F50C88"/>
    <w:rsid w:val="00F50CA4"/>
    <w:rsid w:val="00F50E47"/>
    <w:rsid w:val="00F510AA"/>
    <w:rsid w:val="00F51155"/>
    <w:rsid w:val="00F511C7"/>
    <w:rsid w:val="00F512E1"/>
    <w:rsid w:val="00F51393"/>
    <w:rsid w:val="00F51468"/>
    <w:rsid w:val="00F514A0"/>
    <w:rsid w:val="00F51555"/>
    <w:rsid w:val="00F515B6"/>
    <w:rsid w:val="00F515D6"/>
    <w:rsid w:val="00F5163F"/>
    <w:rsid w:val="00F51729"/>
    <w:rsid w:val="00F517BB"/>
    <w:rsid w:val="00F517C1"/>
    <w:rsid w:val="00F5198B"/>
    <w:rsid w:val="00F51A4A"/>
    <w:rsid w:val="00F51AA4"/>
    <w:rsid w:val="00F51B49"/>
    <w:rsid w:val="00F51CB7"/>
    <w:rsid w:val="00F51DFA"/>
    <w:rsid w:val="00F51E74"/>
    <w:rsid w:val="00F51EB5"/>
    <w:rsid w:val="00F520BB"/>
    <w:rsid w:val="00F52232"/>
    <w:rsid w:val="00F522DC"/>
    <w:rsid w:val="00F52342"/>
    <w:rsid w:val="00F5268A"/>
    <w:rsid w:val="00F52763"/>
    <w:rsid w:val="00F52876"/>
    <w:rsid w:val="00F529CC"/>
    <w:rsid w:val="00F529EA"/>
    <w:rsid w:val="00F52B1D"/>
    <w:rsid w:val="00F52BA5"/>
    <w:rsid w:val="00F52C62"/>
    <w:rsid w:val="00F52CC0"/>
    <w:rsid w:val="00F52F3D"/>
    <w:rsid w:val="00F5310E"/>
    <w:rsid w:val="00F5329E"/>
    <w:rsid w:val="00F532EA"/>
    <w:rsid w:val="00F533DD"/>
    <w:rsid w:val="00F5344D"/>
    <w:rsid w:val="00F535D3"/>
    <w:rsid w:val="00F53651"/>
    <w:rsid w:val="00F53716"/>
    <w:rsid w:val="00F538BD"/>
    <w:rsid w:val="00F539A6"/>
    <w:rsid w:val="00F53ACF"/>
    <w:rsid w:val="00F53B5F"/>
    <w:rsid w:val="00F53CB4"/>
    <w:rsid w:val="00F53E1D"/>
    <w:rsid w:val="00F53E85"/>
    <w:rsid w:val="00F53FDA"/>
    <w:rsid w:val="00F54092"/>
    <w:rsid w:val="00F54489"/>
    <w:rsid w:val="00F544A1"/>
    <w:rsid w:val="00F544AE"/>
    <w:rsid w:val="00F545AD"/>
    <w:rsid w:val="00F54640"/>
    <w:rsid w:val="00F5465D"/>
    <w:rsid w:val="00F546CE"/>
    <w:rsid w:val="00F54766"/>
    <w:rsid w:val="00F5480B"/>
    <w:rsid w:val="00F54882"/>
    <w:rsid w:val="00F54ACC"/>
    <w:rsid w:val="00F54AF3"/>
    <w:rsid w:val="00F54E12"/>
    <w:rsid w:val="00F54ED4"/>
    <w:rsid w:val="00F54F2B"/>
    <w:rsid w:val="00F5501B"/>
    <w:rsid w:val="00F55190"/>
    <w:rsid w:val="00F55231"/>
    <w:rsid w:val="00F552AF"/>
    <w:rsid w:val="00F5537A"/>
    <w:rsid w:val="00F553AE"/>
    <w:rsid w:val="00F55402"/>
    <w:rsid w:val="00F554AA"/>
    <w:rsid w:val="00F55768"/>
    <w:rsid w:val="00F558C8"/>
    <w:rsid w:val="00F55931"/>
    <w:rsid w:val="00F55987"/>
    <w:rsid w:val="00F55A0E"/>
    <w:rsid w:val="00F55A68"/>
    <w:rsid w:val="00F55B96"/>
    <w:rsid w:val="00F55C12"/>
    <w:rsid w:val="00F55C46"/>
    <w:rsid w:val="00F55C69"/>
    <w:rsid w:val="00F55CA9"/>
    <w:rsid w:val="00F55DF2"/>
    <w:rsid w:val="00F55DFF"/>
    <w:rsid w:val="00F55E14"/>
    <w:rsid w:val="00F55F3B"/>
    <w:rsid w:val="00F56191"/>
    <w:rsid w:val="00F56352"/>
    <w:rsid w:val="00F564C4"/>
    <w:rsid w:val="00F56613"/>
    <w:rsid w:val="00F567AB"/>
    <w:rsid w:val="00F568E2"/>
    <w:rsid w:val="00F56AA1"/>
    <w:rsid w:val="00F56BC6"/>
    <w:rsid w:val="00F56E09"/>
    <w:rsid w:val="00F56FDB"/>
    <w:rsid w:val="00F57102"/>
    <w:rsid w:val="00F57130"/>
    <w:rsid w:val="00F573A9"/>
    <w:rsid w:val="00F574F8"/>
    <w:rsid w:val="00F57633"/>
    <w:rsid w:val="00F5778C"/>
    <w:rsid w:val="00F57B2D"/>
    <w:rsid w:val="00F57B54"/>
    <w:rsid w:val="00F57BE6"/>
    <w:rsid w:val="00F57BEC"/>
    <w:rsid w:val="00F57C3F"/>
    <w:rsid w:val="00F57C9C"/>
    <w:rsid w:val="00F57D94"/>
    <w:rsid w:val="00F57E2D"/>
    <w:rsid w:val="00F600FD"/>
    <w:rsid w:val="00F602CE"/>
    <w:rsid w:val="00F6042A"/>
    <w:rsid w:val="00F604CE"/>
    <w:rsid w:val="00F60721"/>
    <w:rsid w:val="00F607C5"/>
    <w:rsid w:val="00F60893"/>
    <w:rsid w:val="00F60949"/>
    <w:rsid w:val="00F60A55"/>
    <w:rsid w:val="00F60DDE"/>
    <w:rsid w:val="00F60E94"/>
    <w:rsid w:val="00F60E9A"/>
    <w:rsid w:val="00F60F10"/>
    <w:rsid w:val="00F61088"/>
    <w:rsid w:val="00F611D3"/>
    <w:rsid w:val="00F611F9"/>
    <w:rsid w:val="00F6146B"/>
    <w:rsid w:val="00F6163A"/>
    <w:rsid w:val="00F61AE8"/>
    <w:rsid w:val="00F61B98"/>
    <w:rsid w:val="00F61C19"/>
    <w:rsid w:val="00F61CB2"/>
    <w:rsid w:val="00F61D07"/>
    <w:rsid w:val="00F61DEB"/>
    <w:rsid w:val="00F61E4F"/>
    <w:rsid w:val="00F61E7F"/>
    <w:rsid w:val="00F61EF2"/>
    <w:rsid w:val="00F61EFB"/>
    <w:rsid w:val="00F62044"/>
    <w:rsid w:val="00F62252"/>
    <w:rsid w:val="00F623FD"/>
    <w:rsid w:val="00F624F5"/>
    <w:rsid w:val="00F625F2"/>
    <w:rsid w:val="00F625F4"/>
    <w:rsid w:val="00F627F8"/>
    <w:rsid w:val="00F628AC"/>
    <w:rsid w:val="00F62A2B"/>
    <w:rsid w:val="00F62AB7"/>
    <w:rsid w:val="00F62AC3"/>
    <w:rsid w:val="00F62BDE"/>
    <w:rsid w:val="00F62C4F"/>
    <w:rsid w:val="00F62CF4"/>
    <w:rsid w:val="00F6302B"/>
    <w:rsid w:val="00F6306C"/>
    <w:rsid w:val="00F63082"/>
    <w:rsid w:val="00F630F9"/>
    <w:rsid w:val="00F632EE"/>
    <w:rsid w:val="00F63346"/>
    <w:rsid w:val="00F633A0"/>
    <w:rsid w:val="00F63466"/>
    <w:rsid w:val="00F63492"/>
    <w:rsid w:val="00F63664"/>
    <w:rsid w:val="00F6375D"/>
    <w:rsid w:val="00F63BE0"/>
    <w:rsid w:val="00F63BFA"/>
    <w:rsid w:val="00F63C05"/>
    <w:rsid w:val="00F63D25"/>
    <w:rsid w:val="00F63FEB"/>
    <w:rsid w:val="00F64252"/>
    <w:rsid w:val="00F64325"/>
    <w:rsid w:val="00F644B6"/>
    <w:rsid w:val="00F64734"/>
    <w:rsid w:val="00F6476F"/>
    <w:rsid w:val="00F647EE"/>
    <w:rsid w:val="00F64903"/>
    <w:rsid w:val="00F64912"/>
    <w:rsid w:val="00F64CF9"/>
    <w:rsid w:val="00F64D47"/>
    <w:rsid w:val="00F64E82"/>
    <w:rsid w:val="00F64FD2"/>
    <w:rsid w:val="00F64FEA"/>
    <w:rsid w:val="00F65058"/>
    <w:rsid w:val="00F6562E"/>
    <w:rsid w:val="00F6563F"/>
    <w:rsid w:val="00F656A0"/>
    <w:rsid w:val="00F656ED"/>
    <w:rsid w:val="00F6583C"/>
    <w:rsid w:val="00F658FE"/>
    <w:rsid w:val="00F6593B"/>
    <w:rsid w:val="00F65B0F"/>
    <w:rsid w:val="00F65BD0"/>
    <w:rsid w:val="00F65CDD"/>
    <w:rsid w:val="00F65DE4"/>
    <w:rsid w:val="00F65F8F"/>
    <w:rsid w:val="00F66054"/>
    <w:rsid w:val="00F660B8"/>
    <w:rsid w:val="00F662C0"/>
    <w:rsid w:val="00F662D3"/>
    <w:rsid w:val="00F6633D"/>
    <w:rsid w:val="00F66425"/>
    <w:rsid w:val="00F66432"/>
    <w:rsid w:val="00F66547"/>
    <w:rsid w:val="00F6679B"/>
    <w:rsid w:val="00F66A8F"/>
    <w:rsid w:val="00F66A9D"/>
    <w:rsid w:val="00F66F4F"/>
    <w:rsid w:val="00F67296"/>
    <w:rsid w:val="00F672AB"/>
    <w:rsid w:val="00F67448"/>
    <w:rsid w:val="00F67496"/>
    <w:rsid w:val="00F674F5"/>
    <w:rsid w:val="00F67525"/>
    <w:rsid w:val="00F6755F"/>
    <w:rsid w:val="00F67759"/>
    <w:rsid w:val="00F67860"/>
    <w:rsid w:val="00F6787A"/>
    <w:rsid w:val="00F6792B"/>
    <w:rsid w:val="00F67C31"/>
    <w:rsid w:val="00F67E49"/>
    <w:rsid w:val="00F67EDA"/>
    <w:rsid w:val="00F67F1E"/>
    <w:rsid w:val="00F67F41"/>
    <w:rsid w:val="00F70019"/>
    <w:rsid w:val="00F7008E"/>
    <w:rsid w:val="00F70109"/>
    <w:rsid w:val="00F7021F"/>
    <w:rsid w:val="00F702CC"/>
    <w:rsid w:val="00F70545"/>
    <w:rsid w:val="00F705AD"/>
    <w:rsid w:val="00F7075E"/>
    <w:rsid w:val="00F708E8"/>
    <w:rsid w:val="00F70A20"/>
    <w:rsid w:val="00F70AEE"/>
    <w:rsid w:val="00F70C8B"/>
    <w:rsid w:val="00F70C95"/>
    <w:rsid w:val="00F70D11"/>
    <w:rsid w:val="00F70FA0"/>
    <w:rsid w:val="00F70FFB"/>
    <w:rsid w:val="00F71161"/>
    <w:rsid w:val="00F711AA"/>
    <w:rsid w:val="00F71433"/>
    <w:rsid w:val="00F71486"/>
    <w:rsid w:val="00F714BF"/>
    <w:rsid w:val="00F71523"/>
    <w:rsid w:val="00F71716"/>
    <w:rsid w:val="00F717AE"/>
    <w:rsid w:val="00F717B9"/>
    <w:rsid w:val="00F7182F"/>
    <w:rsid w:val="00F71A5B"/>
    <w:rsid w:val="00F71EA2"/>
    <w:rsid w:val="00F71ED7"/>
    <w:rsid w:val="00F71FA3"/>
    <w:rsid w:val="00F720B6"/>
    <w:rsid w:val="00F72349"/>
    <w:rsid w:val="00F72494"/>
    <w:rsid w:val="00F725DC"/>
    <w:rsid w:val="00F727A6"/>
    <w:rsid w:val="00F728B0"/>
    <w:rsid w:val="00F728E1"/>
    <w:rsid w:val="00F729E2"/>
    <w:rsid w:val="00F72B59"/>
    <w:rsid w:val="00F72B9D"/>
    <w:rsid w:val="00F72DE6"/>
    <w:rsid w:val="00F73211"/>
    <w:rsid w:val="00F7353D"/>
    <w:rsid w:val="00F73556"/>
    <w:rsid w:val="00F73685"/>
    <w:rsid w:val="00F737BD"/>
    <w:rsid w:val="00F737DA"/>
    <w:rsid w:val="00F737DE"/>
    <w:rsid w:val="00F73868"/>
    <w:rsid w:val="00F73A45"/>
    <w:rsid w:val="00F73CFB"/>
    <w:rsid w:val="00F73D94"/>
    <w:rsid w:val="00F73E50"/>
    <w:rsid w:val="00F73E54"/>
    <w:rsid w:val="00F73FBE"/>
    <w:rsid w:val="00F740F6"/>
    <w:rsid w:val="00F7419F"/>
    <w:rsid w:val="00F74222"/>
    <w:rsid w:val="00F7426A"/>
    <w:rsid w:val="00F7431C"/>
    <w:rsid w:val="00F74348"/>
    <w:rsid w:val="00F74502"/>
    <w:rsid w:val="00F74550"/>
    <w:rsid w:val="00F7470B"/>
    <w:rsid w:val="00F74759"/>
    <w:rsid w:val="00F74AED"/>
    <w:rsid w:val="00F74BAB"/>
    <w:rsid w:val="00F74D69"/>
    <w:rsid w:val="00F74D94"/>
    <w:rsid w:val="00F75055"/>
    <w:rsid w:val="00F752D1"/>
    <w:rsid w:val="00F752DD"/>
    <w:rsid w:val="00F754BF"/>
    <w:rsid w:val="00F755EB"/>
    <w:rsid w:val="00F756A2"/>
    <w:rsid w:val="00F756A9"/>
    <w:rsid w:val="00F757D9"/>
    <w:rsid w:val="00F75C5A"/>
    <w:rsid w:val="00F75D14"/>
    <w:rsid w:val="00F760AD"/>
    <w:rsid w:val="00F7619C"/>
    <w:rsid w:val="00F7634D"/>
    <w:rsid w:val="00F76734"/>
    <w:rsid w:val="00F76739"/>
    <w:rsid w:val="00F76AF3"/>
    <w:rsid w:val="00F76B85"/>
    <w:rsid w:val="00F76ECC"/>
    <w:rsid w:val="00F76F45"/>
    <w:rsid w:val="00F76FBB"/>
    <w:rsid w:val="00F7706E"/>
    <w:rsid w:val="00F7719F"/>
    <w:rsid w:val="00F77271"/>
    <w:rsid w:val="00F772EA"/>
    <w:rsid w:val="00F773D1"/>
    <w:rsid w:val="00F773E0"/>
    <w:rsid w:val="00F7743E"/>
    <w:rsid w:val="00F775DB"/>
    <w:rsid w:val="00F7767A"/>
    <w:rsid w:val="00F7770B"/>
    <w:rsid w:val="00F778BF"/>
    <w:rsid w:val="00F77B10"/>
    <w:rsid w:val="00F77C5E"/>
    <w:rsid w:val="00F77D4E"/>
    <w:rsid w:val="00F77DCD"/>
    <w:rsid w:val="00F8013A"/>
    <w:rsid w:val="00F803D4"/>
    <w:rsid w:val="00F80446"/>
    <w:rsid w:val="00F80777"/>
    <w:rsid w:val="00F807FD"/>
    <w:rsid w:val="00F80884"/>
    <w:rsid w:val="00F80B89"/>
    <w:rsid w:val="00F80B99"/>
    <w:rsid w:val="00F80C17"/>
    <w:rsid w:val="00F80C9F"/>
    <w:rsid w:val="00F80CEC"/>
    <w:rsid w:val="00F80F9A"/>
    <w:rsid w:val="00F81056"/>
    <w:rsid w:val="00F81121"/>
    <w:rsid w:val="00F81654"/>
    <w:rsid w:val="00F81713"/>
    <w:rsid w:val="00F817BB"/>
    <w:rsid w:val="00F817CB"/>
    <w:rsid w:val="00F8190F"/>
    <w:rsid w:val="00F8196D"/>
    <w:rsid w:val="00F819FD"/>
    <w:rsid w:val="00F81B04"/>
    <w:rsid w:val="00F81BF0"/>
    <w:rsid w:val="00F81D4E"/>
    <w:rsid w:val="00F81E9E"/>
    <w:rsid w:val="00F81F72"/>
    <w:rsid w:val="00F8209D"/>
    <w:rsid w:val="00F8224B"/>
    <w:rsid w:val="00F8263B"/>
    <w:rsid w:val="00F8263E"/>
    <w:rsid w:val="00F82849"/>
    <w:rsid w:val="00F8291C"/>
    <w:rsid w:val="00F82FED"/>
    <w:rsid w:val="00F83007"/>
    <w:rsid w:val="00F83008"/>
    <w:rsid w:val="00F83267"/>
    <w:rsid w:val="00F83329"/>
    <w:rsid w:val="00F8339D"/>
    <w:rsid w:val="00F8339E"/>
    <w:rsid w:val="00F834BF"/>
    <w:rsid w:val="00F836A4"/>
    <w:rsid w:val="00F836F0"/>
    <w:rsid w:val="00F8374B"/>
    <w:rsid w:val="00F83C7B"/>
    <w:rsid w:val="00F83FAB"/>
    <w:rsid w:val="00F84050"/>
    <w:rsid w:val="00F84120"/>
    <w:rsid w:val="00F841AF"/>
    <w:rsid w:val="00F8421D"/>
    <w:rsid w:val="00F84420"/>
    <w:rsid w:val="00F844C2"/>
    <w:rsid w:val="00F8487A"/>
    <w:rsid w:val="00F848A0"/>
    <w:rsid w:val="00F848B6"/>
    <w:rsid w:val="00F848C7"/>
    <w:rsid w:val="00F8497E"/>
    <w:rsid w:val="00F84B94"/>
    <w:rsid w:val="00F84BA8"/>
    <w:rsid w:val="00F84CD7"/>
    <w:rsid w:val="00F84D8A"/>
    <w:rsid w:val="00F84E1B"/>
    <w:rsid w:val="00F84E93"/>
    <w:rsid w:val="00F84EED"/>
    <w:rsid w:val="00F84F5E"/>
    <w:rsid w:val="00F85189"/>
    <w:rsid w:val="00F852E2"/>
    <w:rsid w:val="00F8534A"/>
    <w:rsid w:val="00F85636"/>
    <w:rsid w:val="00F856B7"/>
    <w:rsid w:val="00F856E6"/>
    <w:rsid w:val="00F8589F"/>
    <w:rsid w:val="00F858F0"/>
    <w:rsid w:val="00F85942"/>
    <w:rsid w:val="00F85B0F"/>
    <w:rsid w:val="00F85CDE"/>
    <w:rsid w:val="00F85DA7"/>
    <w:rsid w:val="00F85ED8"/>
    <w:rsid w:val="00F85F20"/>
    <w:rsid w:val="00F85FAB"/>
    <w:rsid w:val="00F85FE2"/>
    <w:rsid w:val="00F863A4"/>
    <w:rsid w:val="00F863D1"/>
    <w:rsid w:val="00F86522"/>
    <w:rsid w:val="00F8657C"/>
    <w:rsid w:val="00F8662B"/>
    <w:rsid w:val="00F86740"/>
    <w:rsid w:val="00F868AF"/>
    <w:rsid w:val="00F868E0"/>
    <w:rsid w:val="00F86A3B"/>
    <w:rsid w:val="00F86D55"/>
    <w:rsid w:val="00F86DF9"/>
    <w:rsid w:val="00F86E77"/>
    <w:rsid w:val="00F8708A"/>
    <w:rsid w:val="00F8734F"/>
    <w:rsid w:val="00F873A3"/>
    <w:rsid w:val="00F8748D"/>
    <w:rsid w:val="00F8757A"/>
    <w:rsid w:val="00F87653"/>
    <w:rsid w:val="00F8772D"/>
    <w:rsid w:val="00F87775"/>
    <w:rsid w:val="00F877CE"/>
    <w:rsid w:val="00F877DA"/>
    <w:rsid w:val="00F87A98"/>
    <w:rsid w:val="00F87B4E"/>
    <w:rsid w:val="00F87B99"/>
    <w:rsid w:val="00F87C01"/>
    <w:rsid w:val="00F87FA0"/>
    <w:rsid w:val="00F900B7"/>
    <w:rsid w:val="00F900BD"/>
    <w:rsid w:val="00F900CC"/>
    <w:rsid w:val="00F902A0"/>
    <w:rsid w:val="00F902BF"/>
    <w:rsid w:val="00F90356"/>
    <w:rsid w:val="00F9065A"/>
    <w:rsid w:val="00F90664"/>
    <w:rsid w:val="00F906DD"/>
    <w:rsid w:val="00F907E5"/>
    <w:rsid w:val="00F90B15"/>
    <w:rsid w:val="00F90C65"/>
    <w:rsid w:val="00F90E3C"/>
    <w:rsid w:val="00F90E9E"/>
    <w:rsid w:val="00F90EF0"/>
    <w:rsid w:val="00F90EF5"/>
    <w:rsid w:val="00F91098"/>
    <w:rsid w:val="00F91104"/>
    <w:rsid w:val="00F91330"/>
    <w:rsid w:val="00F91471"/>
    <w:rsid w:val="00F9147B"/>
    <w:rsid w:val="00F916BF"/>
    <w:rsid w:val="00F91788"/>
    <w:rsid w:val="00F917E8"/>
    <w:rsid w:val="00F917F6"/>
    <w:rsid w:val="00F9189D"/>
    <w:rsid w:val="00F9192D"/>
    <w:rsid w:val="00F91CF8"/>
    <w:rsid w:val="00F91D52"/>
    <w:rsid w:val="00F922AD"/>
    <w:rsid w:val="00F92359"/>
    <w:rsid w:val="00F923DF"/>
    <w:rsid w:val="00F924BF"/>
    <w:rsid w:val="00F924F1"/>
    <w:rsid w:val="00F92504"/>
    <w:rsid w:val="00F92690"/>
    <w:rsid w:val="00F927FC"/>
    <w:rsid w:val="00F92C4D"/>
    <w:rsid w:val="00F92C68"/>
    <w:rsid w:val="00F92D32"/>
    <w:rsid w:val="00F92EAE"/>
    <w:rsid w:val="00F92FF4"/>
    <w:rsid w:val="00F930D2"/>
    <w:rsid w:val="00F9313F"/>
    <w:rsid w:val="00F933A1"/>
    <w:rsid w:val="00F933BB"/>
    <w:rsid w:val="00F933D8"/>
    <w:rsid w:val="00F93433"/>
    <w:rsid w:val="00F9379E"/>
    <w:rsid w:val="00F937F2"/>
    <w:rsid w:val="00F93823"/>
    <w:rsid w:val="00F93944"/>
    <w:rsid w:val="00F93974"/>
    <w:rsid w:val="00F939DD"/>
    <w:rsid w:val="00F93B10"/>
    <w:rsid w:val="00F93C81"/>
    <w:rsid w:val="00F93E86"/>
    <w:rsid w:val="00F93F14"/>
    <w:rsid w:val="00F93F21"/>
    <w:rsid w:val="00F941AD"/>
    <w:rsid w:val="00F94398"/>
    <w:rsid w:val="00F9445E"/>
    <w:rsid w:val="00F94545"/>
    <w:rsid w:val="00F94603"/>
    <w:rsid w:val="00F94649"/>
    <w:rsid w:val="00F947A1"/>
    <w:rsid w:val="00F94A13"/>
    <w:rsid w:val="00F94A1B"/>
    <w:rsid w:val="00F94AEA"/>
    <w:rsid w:val="00F94BA4"/>
    <w:rsid w:val="00F94E26"/>
    <w:rsid w:val="00F94E91"/>
    <w:rsid w:val="00F94EFF"/>
    <w:rsid w:val="00F95069"/>
    <w:rsid w:val="00F9509C"/>
    <w:rsid w:val="00F9530D"/>
    <w:rsid w:val="00F9531D"/>
    <w:rsid w:val="00F954CF"/>
    <w:rsid w:val="00F9551B"/>
    <w:rsid w:val="00F95564"/>
    <w:rsid w:val="00F955F7"/>
    <w:rsid w:val="00F957FE"/>
    <w:rsid w:val="00F95B30"/>
    <w:rsid w:val="00F95D93"/>
    <w:rsid w:val="00F95EBD"/>
    <w:rsid w:val="00F95F67"/>
    <w:rsid w:val="00F95FA1"/>
    <w:rsid w:val="00F960D6"/>
    <w:rsid w:val="00F96103"/>
    <w:rsid w:val="00F9622C"/>
    <w:rsid w:val="00F96280"/>
    <w:rsid w:val="00F96A1E"/>
    <w:rsid w:val="00F96A80"/>
    <w:rsid w:val="00F96AE7"/>
    <w:rsid w:val="00F96C11"/>
    <w:rsid w:val="00F96D5E"/>
    <w:rsid w:val="00F96D72"/>
    <w:rsid w:val="00F96E66"/>
    <w:rsid w:val="00F970E0"/>
    <w:rsid w:val="00F9712B"/>
    <w:rsid w:val="00F97202"/>
    <w:rsid w:val="00F97287"/>
    <w:rsid w:val="00F974BB"/>
    <w:rsid w:val="00F9768E"/>
    <w:rsid w:val="00F977C3"/>
    <w:rsid w:val="00F97A5E"/>
    <w:rsid w:val="00F97AFA"/>
    <w:rsid w:val="00F97B7F"/>
    <w:rsid w:val="00F97BEE"/>
    <w:rsid w:val="00F97C8F"/>
    <w:rsid w:val="00F97D6C"/>
    <w:rsid w:val="00F97D72"/>
    <w:rsid w:val="00F97DBE"/>
    <w:rsid w:val="00F97E97"/>
    <w:rsid w:val="00FA0239"/>
    <w:rsid w:val="00FA0550"/>
    <w:rsid w:val="00FA06DA"/>
    <w:rsid w:val="00FA0725"/>
    <w:rsid w:val="00FA08EE"/>
    <w:rsid w:val="00FA0B3E"/>
    <w:rsid w:val="00FA0DB3"/>
    <w:rsid w:val="00FA1138"/>
    <w:rsid w:val="00FA11FC"/>
    <w:rsid w:val="00FA122D"/>
    <w:rsid w:val="00FA131E"/>
    <w:rsid w:val="00FA1600"/>
    <w:rsid w:val="00FA1A42"/>
    <w:rsid w:val="00FA1A73"/>
    <w:rsid w:val="00FA1A8C"/>
    <w:rsid w:val="00FA1C9E"/>
    <w:rsid w:val="00FA1CB4"/>
    <w:rsid w:val="00FA1CFE"/>
    <w:rsid w:val="00FA1E13"/>
    <w:rsid w:val="00FA1ED6"/>
    <w:rsid w:val="00FA1FF0"/>
    <w:rsid w:val="00FA22BF"/>
    <w:rsid w:val="00FA2432"/>
    <w:rsid w:val="00FA245D"/>
    <w:rsid w:val="00FA27CA"/>
    <w:rsid w:val="00FA2D73"/>
    <w:rsid w:val="00FA307B"/>
    <w:rsid w:val="00FA3135"/>
    <w:rsid w:val="00FA3198"/>
    <w:rsid w:val="00FA3342"/>
    <w:rsid w:val="00FA337E"/>
    <w:rsid w:val="00FA3399"/>
    <w:rsid w:val="00FA345F"/>
    <w:rsid w:val="00FA373F"/>
    <w:rsid w:val="00FA37E1"/>
    <w:rsid w:val="00FA3862"/>
    <w:rsid w:val="00FA3C60"/>
    <w:rsid w:val="00FA3E08"/>
    <w:rsid w:val="00FA46A6"/>
    <w:rsid w:val="00FA486A"/>
    <w:rsid w:val="00FA4B6B"/>
    <w:rsid w:val="00FA4BED"/>
    <w:rsid w:val="00FA4C77"/>
    <w:rsid w:val="00FA4CFA"/>
    <w:rsid w:val="00FA4D37"/>
    <w:rsid w:val="00FA4EAA"/>
    <w:rsid w:val="00FA5040"/>
    <w:rsid w:val="00FA5064"/>
    <w:rsid w:val="00FA50E9"/>
    <w:rsid w:val="00FA519E"/>
    <w:rsid w:val="00FA5264"/>
    <w:rsid w:val="00FA5321"/>
    <w:rsid w:val="00FA546A"/>
    <w:rsid w:val="00FA56BF"/>
    <w:rsid w:val="00FA5795"/>
    <w:rsid w:val="00FA5826"/>
    <w:rsid w:val="00FA59F9"/>
    <w:rsid w:val="00FA5AC4"/>
    <w:rsid w:val="00FA5B24"/>
    <w:rsid w:val="00FA5C37"/>
    <w:rsid w:val="00FA5DDB"/>
    <w:rsid w:val="00FA604D"/>
    <w:rsid w:val="00FA60E7"/>
    <w:rsid w:val="00FA622F"/>
    <w:rsid w:val="00FA6764"/>
    <w:rsid w:val="00FA6975"/>
    <w:rsid w:val="00FA697C"/>
    <w:rsid w:val="00FA6AA0"/>
    <w:rsid w:val="00FA6AEA"/>
    <w:rsid w:val="00FA6B41"/>
    <w:rsid w:val="00FA6B45"/>
    <w:rsid w:val="00FA6C34"/>
    <w:rsid w:val="00FA6CEC"/>
    <w:rsid w:val="00FA6DC3"/>
    <w:rsid w:val="00FA6FF9"/>
    <w:rsid w:val="00FA706C"/>
    <w:rsid w:val="00FA7182"/>
    <w:rsid w:val="00FA721B"/>
    <w:rsid w:val="00FA73D3"/>
    <w:rsid w:val="00FA73FE"/>
    <w:rsid w:val="00FA74E5"/>
    <w:rsid w:val="00FA7549"/>
    <w:rsid w:val="00FA7621"/>
    <w:rsid w:val="00FA76B0"/>
    <w:rsid w:val="00FA76B3"/>
    <w:rsid w:val="00FA7874"/>
    <w:rsid w:val="00FA78A6"/>
    <w:rsid w:val="00FA7D18"/>
    <w:rsid w:val="00FA7D6E"/>
    <w:rsid w:val="00FA7DEA"/>
    <w:rsid w:val="00FA7E2A"/>
    <w:rsid w:val="00FA7ECB"/>
    <w:rsid w:val="00FA7F1C"/>
    <w:rsid w:val="00FB01FF"/>
    <w:rsid w:val="00FB0221"/>
    <w:rsid w:val="00FB02FC"/>
    <w:rsid w:val="00FB0437"/>
    <w:rsid w:val="00FB0526"/>
    <w:rsid w:val="00FB06DD"/>
    <w:rsid w:val="00FB0706"/>
    <w:rsid w:val="00FB070B"/>
    <w:rsid w:val="00FB07DE"/>
    <w:rsid w:val="00FB085C"/>
    <w:rsid w:val="00FB08B0"/>
    <w:rsid w:val="00FB0A10"/>
    <w:rsid w:val="00FB0A18"/>
    <w:rsid w:val="00FB0AD3"/>
    <w:rsid w:val="00FB0C72"/>
    <w:rsid w:val="00FB0D73"/>
    <w:rsid w:val="00FB0D7A"/>
    <w:rsid w:val="00FB0DD8"/>
    <w:rsid w:val="00FB1237"/>
    <w:rsid w:val="00FB1295"/>
    <w:rsid w:val="00FB12C4"/>
    <w:rsid w:val="00FB1308"/>
    <w:rsid w:val="00FB13D2"/>
    <w:rsid w:val="00FB13EC"/>
    <w:rsid w:val="00FB1467"/>
    <w:rsid w:val="00FB1653"/>
    <w:rsid w:val="00FB17CE"/>
    <w:rsid w:val="00FB1819"/>
    <w:rsid w:val="00FB1820"/>
    <w:rsid w:val="00FB1950"/>
    <w:rsid w:val="00FB19E8"/>
    <w:rsid w:val="00FB1BBF"/>
    <w:rsid w:val="00FB1C93"/>
    <w:rsid w:val="00FB1CDF"/>
    <w:rsid w:val="00FB1D8E"/>
    <w:rsid w:val="00FB1FDF"/>
    <w:rsid w:val="00FB2063"/>
    <w:rsid w:val="00FB2148"/>
    <w:rsid w:val="00FB215B"/>
    <w:rsid w:val="00FB21B3"/>
    <w:rsid w:val="00FB2355"/>
    <w:rsid w:val="00FB23F9"/>
    <w:rsid w:val="00FB2482"/>
    <w:rsid w:val="00FB2757"/>
    <w:rsid w:val="00FB28BA"/>
    <w:rsid w:val="00FB28ED"/>
    <w:rsid w:val="00FB2C39"/>
    <w:rsid w:val="00FB2D49"/>
    <w:rsid w:val="00FB30A7"/>
    <w:rsid w:val="00FB315F"/>
    <w:rsid w:val="00FB3298"/>
    <w:rsid w:val="00FB336D"/>
    <w:rsid w:val="00FB338C"/>
    <w:rsid w:val="00FB33EA"/>
    <w:rsid w:val="00FB33EF"/>
    <w:rsid w:val="00FB38C7"/>
    <w:rsid w:val="00FB3A3B"/>
    <w:rsid w:val="00FB3AD1"/>
    <w:rsid w:val="00FB3B4B"/>
    <w:rsid w:val="00FB3BE5"/>
    <w:rsid w:val="00FB3C62"/>
    <w:rsid w:val="00FB3C74"/>
    <w:rsid w:val="00FB3D94"/>
    <w:rsid w:val="00FB3E02"/>
    <w:rsid w:val="00FB3EB3"/>
    <w:rsid w:val="00FB3EE1"/>
    <w:rsid w:val="00FB3EE6"/>
    <w:rsid w:val="00FB3F77"/>
    <w:rsid w:val="00FB3FB3"/>
    <w:rsid w:val="00FB4489"/>
    <w:rsid w:val="00FB4501"/>
    <w:rsid w:val="00FB4539"/>
    <w:rsid w:val="00FB457C"/>
    <w:rsid w:val="00FB46A3"/>
    <w:rsid w:val="00FB4707"/>
    <w:rsid w:val="00FB477A"/>
    <w:rsid w:val="00FB48B7"/>
    <w:rsid w:val="00FB48DF"/>
    <w:rsid w:val="00FB4A14"/>
    <w:rsid w:val="00FB4AF0"/>
    <w:rsid w:val="00FB4D34"/>
    <w:rsid w:val="00FB4D4F"/>
    <w:rsid w:val="00FB4DF6"/>
    <w:rsid w:val="00FB4E80"/>
    <w:rsid w:val="00FB4EFE"/>
    <w:rsid w:val="00FB4F19"/>
    <w:rsid w:val="00FB528E"/>
    <w:rsid w:val="00FB53FF"/>
    <w:rsid w:val="00FB5440"/>
    <w:rsid w:val="00FB55EC"/>
    <w:rsid w:val="00FB5682"/>
    <w:rsid w:val="00FB56BA"/>
    <w:rsid w:val="00FB58CF"/>
    <w:rsid w:val="00FB5A4A"/>
    <w:rsid w:val="00FB5A66"/>
    <w:rsid w:val="00FB5AD9"/>
    <w:rsid w:val="00FB6039"/>
    <w:rsid w:val="00FB6376"/>
    <w:rsid w:val="00FB66C0"/>
    <w:rsid w:val="00FB69F6"/>
    <w:rsid w:val="00FB6A18"/>
    <w:rsid w:val="00FB6A27"/>
    <w:rsid w:val="00FB6B10"/>
    <w:rsid w:val="00FB6C4D"/>
    <w:rsid w:val="00FB6CD4"/>
    <w:rsid w:val="00FB70B2"/>
    <w:rsid w:val="00FB70DC"/>
    <w:rsid w:val="00FB772D"/>
    <w:rsid w:val="00FB779E"/>
    <w:rsid w:val="00FB78A8"/>
    <w:rsid w:val="00FB7989"/>
    <w:rsid w:val="00FB79AD"/>
    <w:rsid w:val="00FB7A1C"/>
    <w:rsid w:val="00FB7A37"/>
    <w:rsid w:val="00FB7CB0"/>
    <w:rsid w:val="00FB7CC6"/>
    <w:rsid w:val="00FB7D75"/>
    <w:rsid w:val="00FB7EC0"/>
    <w:rsid w:val="00FB7F8A"/>
    <w:rsid w:val="00FC00D8"/>
    <w:rsid w:val="00FC0197"/>
    <w:rsid w:val="00FC01C5"/>
    <w:rsid w:val="00FC0228"/>
    <w:rsid w:val="00FC0471"/>
    <w:rsid w:val="00FC070C"/>
    <w:rsid w:val="00FC07C8"/>
    <w:rsid w:val="00FC0919"/>
    <w:rsid w:val="00FC0A60"/>
    <w:rsid w:val="00FC0AB4"/>
    <w:rsid w:val="00FC0C6F"/>
    <w:rsid w:val="00FC0D4F"/>
    <w:rsid w:val="00FC0E31"/>
    <w:rsid w:val="00FC0E56"/>
    <w:rsid w:val="00FC107E"/>
    <w:rsid w:val="00FC12B3"/>
    <w:rsid w:val="00FC1337"/>
    <w:rsid w:val="00FC144B"/>
    <w:rsid w:val="00FC1458"/>
    <w:rsid w:val="00FC14F5"/>
    <w:rsid w:val="00FC15FC"/>
    <w:rsid w:val="00FC16D5"/>
    <w:rsid w:val="00FC174D"/>
    <w:rsid w:val="00FC1991"/>
    <w:rsid w:val="00FC1A0C"/>
    <w:rsid w:val="00FC1A23"/>
    <w:rsid w:val="00FC1B90"/>
    <w:rsid w:val="00FC1C96"/>
    <w:rsid w:val="00FC1D91"/>
    <w:rsid w:val="00FC1E0F"/>
    <w:rsid w:val="00FC1FEB"/>
    <w:rsid w:val="00FC22C0"/>
    <w:rsid w:val="00FC2300"/>
    <w:rsid w:val="00FC23F7"/>
    <w:rsid w:val="00FC2501"/>
    <w:rsid w:val="00FC27B0"/>
    <w:rsid w:val="00FC27F8"/>
    <w:rsid w:val="00FC283D"/>
    <w:rsid w:val="00FC29F2"/>
    <w:rsid w:val="00FC2A34"/>
    <w:rsid w:val="00FC2AAD"/>
    <w:rsid w:val="00FC2B0B"/>
    <w:rsid w:val="00FC2E29"/>
    <w:rsid w:val="00FC30A4"/>
    <w:rsid w:val="00FC30D3"/>
    <w:rsid w:val="00FC31E5"/>
    <w:rsid w:val="00FC326B"/>
    <w:rsid w:val="00FC36B6"/>
    <w:rsid w:val="00FC36EC"/>
    <w:rsid w:val="00FC372F"/>
    <w:rsid w:val="00FC37A7"/>
    <w:rsid w:val="00FC38C2"/>
    <w:rsid w:val="00FC3996"/>
    <w:rsid w:val="00FC3B0B"/>
    <w:rsid w:val="00FC3B88"/>
    <w:rsid w:val="00FC3D1C"/>
    <w:rsid w:val="00FC3F95"/>
    <w:rsid w:val="00FC3F9E"/>
    <w:rsid w:val="00FC3FE0"/>
    <w:rsid w:val="00FC4059"/>
    <w:rsid w:val="00FC40FE"/>
    <w:rsid w:val="00FC42CA"/>
    <w:rsid w:val="00FC43FA"/>
    <w:rsid w:val="00FC44C1"/>
    <w:rsid w:val="00FC44C5"/>
    <w:rsid w:val="00FC45FB"/>
    <w:rsid w:val="00FC4839"/>
    <w:rsid w:val="00FC48FD"/>
    <w:rsid w:val="00FC49FF"/>
    <w:rsid w:val="00FC4AA9"/>
    <w:rsid w:val="00FC4B64"/>
    <w:rsid w:val="00FC4DFF"/>
    <w:rsid w:val="00FC50AE"/>
    <w:rsid w:val="00FC5151"/>
    <w:rsid w:val="00FC5171"/>
    <w:rsid w:val="00FC5461"/>
    <w:rsid w:val="00FC55A0"/>
    <w:rsid w:val="00FC5600"/>
    <w:rsid w:val="00FC5A87"/>
    <w:rsid w:val="00FC5AF1"/>
    <w:rsid w:val="00FC5C49"/>
    <w:rsid w:val="00FC5C6B"/>
    <w:rsid w:val="00FC5D7B"/>
    <w:rsid w:val="00FC5E4B"/>
    <w:rsid w:val="00FC60AF"/>
    <w:rsid w:val="00FC6799"/>
    <w:rsid w:val="00FC67A0"/>
    <w:rsid w:val="00FC6806"/>
    <w:rsid w:val="00FC6877"/>
    <w:rsid w:val="00FC688C"/>
    <w:rsid w:val="00FC6BE5"/>
    <w:rsid w:val="00FC6D79"/>
    <w:rsid w:val="00FC6E4E"/>
    <w:rsid w:val="00FC741C"/>
    <w:rsid w:val="00FC756E"/>
    <w:rsid w:val="00FC75EC"/>
    <w:rsid w:val="00FC765E"/>
    <w:rsid w:val="00FC76F6"/>
    <w:rsid w:val="00FC771F"/>
    <w:rsid w:val="00FC7734"/>
    <w:rsid w:val="00FC7888"/>
    <w:rsid w:val="00FC7A24"/>
    <w:rsid w:val="00FC7BAF"/>
    <w:rsid w:val="00FC7D36"/>
    <w:rsid w:val="00FC7D46"/>
    <w:rsid w:val="00FC7EDA"/>
    <w:rsid w:val="00FC7F02"/>
    <w:rsid w:val="00FD0016"/>
    <w:rsid w:val="00FD0055"/>
    <w:rsid w:val="00FD00CA"/>
    <w:rsid w:val="00FD01F2"/>
    <w:rsid w:val="00FD0543"/>
    <w:rsid w:val="00FD065F"/>
    <w:rsid w:val="00FD0692"/>
    <w:rsid w:val="00FD07A9"/>
    <w:rsid w:val="00FD07C5"/>
    <w:rsid w:val="00FD08DD"/>
    <w:rsid w:val="00FD0B29"/>
    <w:rsid w:val="00FD0BED"/>
    <w:rsid w:val="00FD0F37"/>
    <w:rsid w:val="00FD12BF"/>
    <w:rsid w:val="00FD1407"/>
    <w:rsid w:val="00FD1491"/>
    <w:rsid w:val="00FD14D9"/>
    <w:rsid w:val="00FD1508"/>
    <w:rsid w:val="00FD158C"/>
    <w:rsid w:val="00FD17B3"/>
    <w:rsid w:val="00FD17E5"/>
    <w:rsid w:val="00FD1888"/>
    <w:rsid w:val="00FD18C6"/>
    <w:rsid w:val="00FD18DA"/>
    <w:rsid w:val="00FD1907"/>
    <w:rsid w:val="00FD191B"/>
    <w:rsid w:val="00FD1A57"/>
    <w:rsid w:val="00FD1AB5"/>
    <w:rsid w:val="00FD1B53"/>
    <w:rsid w:val="00FD1E66"/>
    <w:rsid w:val="00FD1F69"/>
    <w:rsid w:val="00FD1F8A"/>
    <w:rsid w:val="00FD224A"/>
    <w:rsid w:val="00FD224C"/>
    <w:rsid w:val="00FD2267"/>
    <w:rsid w:val="00FD258A"/>
    <w:rsid w:val="00FD2599"/>
    <w:rsid w:val="00FD25AA"/>
    <w:rsid w:val="00FD2662"/>
    <w:rsid w:val="00FD2790"/>
    <w:rsid w:val="00FD2796"/>
    <w:rsid w:val="00FD2A3C"/>
    <w:rsid w:val="00FD2CE8"/>
    <w:rsid w:val="00FD2D71"/>
    <w:rsid w:val="00FD2F53"/>
    <w:rsid w:val="00FD2F5F"/>
    <w:rsid w:val="00FD3032"/>
    <w:rsid w:val="00FD30C7"/>
    <w:rsid w:val="00FD30C8"/>
    <w:rsid w:val="00FD30F6"/>
    <w:rsid w:val="00FD321C"/>
    <w:rsid w:val="00FD3253"/>
    <w:rsid w:val="00FD3384"/>
    <w:rsid w:val="00FD3439"/>
    <w:rsid w:val="00FD3631"/>
    <w:rsid w:val="00FD36D7"/>
    <w:rsid w:val="00FD3BD6"/>
    <w:rsid w:val="00FD3C0B"/>
    <w:rsid w:val="00FD3D03"/>
    <w:rsid w:val="00FD3E31"/>
    <w:rsid w:val="00FD3E88"/>
    <w:rsid w:val="00FD4118"/>
    <w:rsid w:val="00FD4163"/>
    <w:rsid w:val="00FD4307"/>
    <w:rsid w:val="00FD467B"/>
    <w:rsid w:val="00FD4693"/>
    <w:rsid w:val="00FD4831"/>
    <w:rsid w:val="00FD4875"/>
    <w:rsid w:val="00FD4898"/>
    <w:rsid w:val="00FD48A6"/>
    <w:rsid w:val="00FD48B8"/>
    <w:rsid w:val="00FD4AD2"/>
    <w:rsid w:val="00FD4BFD"/>
    <w:rsid w:val="00FD4C40"/>
    <w:rsid w:val="00FD4C5D"/>
    <w:rsid w:val="00FD4DED"/>
    <w:rsid w:val="00FD4E31"/>
    <w:rsid w:val="00FD4E60"/>
    <w:rsid w:val="00FD4E67"/>
    <w:rsid w:val="00FD4ED9"/>
    <w:rsid w:val="00FD4F6B"/>
    <w:rsid w:val="00FD4FA7"/>
    <w:rsid w:val="00FD5104"/>
    <w:rsid w:val="00FD593F"/>
    <w:rsid w:val="00FD5A7E"/>
    <w:rsid w:val="00FD5BAE"/>
    <w:rsid w:val="00FD616E"/>
    <w:rsid w:val="00FD61D8"/>
    <w:rsid w:val="00FD6345"/>
    <w:rsid w:val="00FD63CF"/>
    <w:rsid w:val="00FD652E"/>
    <w:rsid w:val="00FD6858"/>
    <w:rsid w:val="00FD68E4"/>
    <w:rsid w:val="00FD6A23"/>
    <w:rsid w:val="00FD6BDC"/>
    <w:rsid w:val="00FD6C12"/>
    <w:rsid w:val="00FD6C7A"/>
    <w:rsid w:val="00FD6FE3"/>
    <w:rsid w:val="00FD705E"/>
    <w:rsid w:val="00FD7507"/>
    <w:rsid w:val="00FD7529"/>
    <w:rsid w:val="00FD76C5"/>
    <w:rsid w:val="00FD7841"/>
    <w:rsid w:val="00FD786B"/>
    <w:rsid w:val="00FD7B38"/>
    <w:rsid w:val="00FD7DB1"/>
    <w:rsid w:val="00FE0079"/>
    <w:rsid w:val="00FE01FD"/>
    <w:rsid w:val="00FE0210"/>
    <w:rsid w:val="00FE06A1"/>
    <w:rsid w:val="00FE0875"/>
    <w:rsid w:val="00FE08CD"/>
    <w:rsid w:val="00FE0A03"/>
    <w:rsid w:val="00FE0A23"/>
    <w:rsid w:val="00FE0AA7"/>
    <w:rsid w:val="00FE0AD0"/>
    <w:rsid w:val="00FE0C27"/>
    <w:rsid w:val="00FE0CEF"/>
    <w:rsid w:val="00FE0D74"/>
    <w:rsid w:val="00FE0FB0"/>
    <w:rsid w:val="00FE1056"/>
    <w:rsid w:val="00FE10A1"/>
    <w:rsid w:val="00FE131D"/>
    <w:rsid w:val="00FE138A"/>
    <w:rsid w:val="00FE13ED"/>
    <w:rsid w:val="00FE13FA"/>
    <w:rsid w:val="00FE14A7"/>
    <w:rsid w:val="00FE1560"/>
    <w:rsid w:val="00FE18C2"/>
    <w:rsid w:val="00FE191A"/>
    <w:rsid w:val="00FE1C7C"/>
    <w:rsid w:val="00FE1D3B"/>
    <w:rsid w:val="00FE1DA0"/>
    <w:rsid w:val="00FE1DAD"/>
    <w:rsid w:val="00FE20B2"/>
    <w:rsid w:val="00FE20F0"/>
    <w:rsid w:val="00FE20F4"/>
    <w:rsid w:val="00FE21AA"/>
    <w:rsid w:val="00FE21FD"/>
    <w:rsid w:val="00FE22F1"/>
    <w:rsid w:val="00FE2562"/>
    <w:rsid w:val="00FE2691"/>
    <w:rsid w:val="00FE2761"/>
    <w:rsid w:val="00FE27B8"/>
    <w:rsid w:val="00FE27FB"/>
    <w:rsid w:val="00FE288E"/>
    <w:rsid w:val="00FE291E"/>
    <w:rsid w:val="00FE29C9"/>
    <w:rsid w:val="00FE2C37"/>
    <w:rsid w:val="00FE2D16"/>
    <w:rsid w:val="00FE2D4D"/>
    <w:rsid w:val="00FE2D50"/>
    <w:rsid w:val="00FE2DBA"/>
    <w:rsid w:val="00FE2E1B"/>
    <w:rsid w:val="00FE2EC9"/>
    <w:rsid w:val="00FE2F08"/>
    <w:rsid w:val="00FE30B7"/>
    <w:rsid w:val="00FE3142"/>
    <w:rsid w:val="00FE31CF"/>
    <w:rsid w:val="00FE3288"/>
    <w:rsid w:val="00FE3364"/>
    <w:rsid w:val="00FE3436"/>
    <w:rsid w:val="00FE346B"/>
    <w:rsid w:val="00FE36C3"/>
    <w:rsid w:val="00FE3706"/>
    <w:rsid w:val="00FE3B0C"/>
    <w:rsid w:val="00FE3E04"/>
    <w:rsid w:val="00FE4003"/>
    <w:rsid w:val="00FE421C"/>
    <w:rsid w:val="00FE443B"/>
    <w:rsid w:val="00FE44A4"/>
    <w:rsid w:val="00FE44BD"/>
    <w:rsid w:val="00FE46E2"/>
    <w:rsid w:val="00FE4734"/>
    <w:rsid w:val="00FE4831"/>
    <w:rsid w:val="00FE48DF"/>
    <w:rsid w:val="00FE497E"/>
    <w:rsid w:val="00FE49CA"/>
    <w:rsid w:val="00FE4B06"/>
    <w:rsid w:val="00FE4D0A"/>
    <w:rsid w:val="00FE4E27"/>
    <w:rsid w:val="00FE4E4D"/>
    <w:rsid w:val="00FE4E9A"/>
    <w:rsid w:val="00FE4EEC"/>
    <w:rsid w:val="00FE4F42"/>
    <w:rsid w:val="00FE4F68"/>
    <w:rsid w:val="00FE5208"/>
    <w:rsid w:val="00FE52B6"/>
    <w:rsid w:val="00FE5327"/>
    <w:rsid w:val="00FE548E"/>
    <w:rsid w:val="00FE5758"/>
    <w:rsid w:val="00FE577B"/>
    <w:rsid w:val="00FE57A6"/>
    <w:rsid w:val="00FE582A"/>
    <w:rsid w:val="00FE5896"/>
    <w:rsid w:val="00FE59ED"/>
    <w:rsid w:val="00FE5AD1"/>
    <w:rsid w:val="00FE5C6D"/>
    <w:rsid w:val="00FE5D2B"/>
    <w:rsid w:val="00FE5E23"/>
    <w:rsid w:val="00FE5E4E"/>
    <w:rsid w:val="00FE5EE4"/>
    <w:rsid w:val="00FE5EF2"/>
    <w:rsid w:val="00FE5F28"/>
    <w:rsid w:val="00FE5F4F"/>
    <w:rsid w:val="00FE6110"/>
    <w:rsid w:val="00FE61C3"/>
    <w:rsid w:val="00FE6305"/>
    <w:rsid w:val="00FE635A"/>
    <w:rsid w:val="00FE64F6"/>
    <w:rsid w:val="00FE664F"/>
    <w:rsid w:val="00FE67D2"/>
    <w:rsid w:val="00FE6854"/>
    <w:rsid w:val="00FE6A5F"/>
    <w:rsid w:val="00FE6E71"/>
    <w:rsid w:val="00FE6EFE"/>
    <w:rsid w:val="00FE6F9B"/>
    <w:rsid w:val="00FE700B"/>
    <w:rsid w:val="00FE7098"/>
    <w:rsid w:val="00FE7429"/>
    <w:rsid w:val="00FE74E3"/>
    <w:rsid w:val="00FE750D"/>
    <w:rsid w:val="00FE753E"/>
    <w:rsid w:val="00FE758C"/>
    <w:rsid w:val="00FE76C8"/>
    <w:rsid w:val="00FE7A7D"/>
    <w:rsid w:val="00FE7B9B"/>
    <w:rsid w:val="00FE7BB6"/>
    <w:rsid w:val="00FE7C97"/>
    <w:rsid w:val="00FE7EB0"/>
    <w:rsid w:val="00FE7F21"/>
    <w:rsid w:val="00FE7F90"/>
    <w:rsid w:val="00FF0034"/>
    <w:rsid w:val="00FF0217"/>
    <w:rsid w:val="00FF028B"/>
    <w:rsid w:val="00FF053D"/>
    <w:rsid w:val="00FF0719"/>
    <w:rsid w:val="00FF079F"/>
    <w:rsid w:val="00FF07F3"/>
    <w:rsid w:val="00FF0B8D"/>
    <w:rsid w:val="00FF0D82"/>
    <w:rsid w:val="00FF0D9E"/>
    <w:rsid w:val="00FF0DE8"/>
    <w:rsid w:val="00FF0E51"/>
    <w:rsid w:val="00FF0EF5"/>
    <w:rsid w:val="00FF1192"/>
    <w:rsid w:val="00FF1251"/>
    <w:rsid w:val="00FF1277"/>
    <w:rsid w:val="00FF13A4"/>
    <w:rsid w:val="00FF17C5"/>
    <w:rsid w:val="00FF1809"/>
    <w:rsid w:val="00FF1821"/>
    <w:rsid w:val="00FF189F"/>
    <w:rsid w:val="00FF193A"/>
    <w:rsid w:val="00FF19B8"/>
    <w:rsid w:val="00FF1A98"/>
    <w:rsid w:val="00FF1BE8"/>
    <w:rsid w:val="00FF1DD8"/>
    <w:rsid w:val="00FF1DDF"/>
    <w:rsid w:val="00FF1F36"/>
    <w:rsid w:val="00FF2017"/>
    <w:rsid w:val="00FF2338"/>
    <w:rsid w:val="00FF236B"/>
    <w:rsid w:val="00FF2427"/>
    <w:rsid w:val="00FF24F4"/>
    <w:rsid w:val="00FF268A"/>
    <w:rsid w:val="00FF26F8"/>
    <w:rsid w:val="00FF288A"/>
    <w:rsid w:val="00FF29C3"/>
    <w:rsid w:val="00FF2B7F"/>
    <w:rsid w:val="00FF2C2E"/>
    <w:rsid w:val="00FF2C5A"/>
    <w:rsid w:val="00FF2D8E"/>
    <w:rsid w:val="00FF2DF5"/>
    <w:rsid w:val="00FF2E82"/>
    <w:rsid w:val="00FF3012"/>
    <w:rsid w:val="00FF306A"/>
    <w:rsid w:val="00FF3544"/>
    <w:rsid w:val="00FF359A"/>
    <w:rsid w:val="00FF3ABF"/>
    <w:rsid w:val="00FF3B4E"/>
    <w:rsid w:val="00FF3BB4"/>
    <w:rsid w:val="00FF3BD9"/>
    <w:rsid w:val="00FF3F30"/>
    <w:rsid w:val="00FF4101"/>
    <w:rsid w:val="00FF4133"/>
    <w:rsid w:val="00FF4258"/>
    <w:rsid w:val="00FF4293"/>
    <w:rsid w:val="00FF44C0"/>
    <w:rsid w:val="00FF465F"/>
    <w:rsid w:val="00FF4783"/>
    <w:rsid w:val="00FF4889"/>
    <w:rsid w:val="00FF4A2D"/>
    <w:rsid w:val="00FF4A50"/>
    <w:rsid w:val="00FF4B2F"/>
    <w:rsid w:val="00FF4CBC"/>
    <w:rsid w:val="00FF4CC8"/>
    <w:rsid w:val="00FF4CD0"/>
    <w:rsid w:val="00FF4D2A"/>
    <w:rsid w:val="00FF4E5C"/>
    <w:rsid w:val="00FF4E87"/>
    <w:rsid w:val="00FF4E91"/>
    <w:rsid w:val="00FF4EA8"/>
    <w:rsid w:val="00FF4EB1"/>
    <w:rsid w:val="00FF5006"/>
    <w:rsid w:val="00FF5083"/>
    <w:rsid w:val="00FF5266"/>
    <w:rsid w:val="00FF53E0"/>
    <w:rsid w:val="00FF549F"/>
    <w:rsid w:val="00FF5624"/>
    <w:rsid w:val="00FF575C"/>
    <w:rsid w:val="00FF579B"/>
    <w:rsid w:val="00FF588F"/>
    <w:rsid w:val="00FF58A3"/>
    <w:rsid w:val="00FF5BBF"/>
    <w:rsid w:val="00FF5C89"/>
    <w:rsid w:val="00FF5D6A"/>
    <w:rsid w:val="00FF5DAB"/>
    <w:rsid w:val="00FF5F0A"/>
    <w:rsid w:val="00FF60AC"/>
    <w:rsid w:val="00FF6720"/>
    <w:rsid w:val="00FF6A78"/>
    <w:rsid w:val="00FF6B52"/>
    <w:rsid w:val="00FF6B69"/>
    <w:rsid w:val="00FF6D2D"/>
    <w:rsid w:val="00FF6E99"/>
    <w:rsid w:val="00FF6F32"/>
    <w:rsid w:val="00FF7369"/>
    <w:rsid w:val="00FF7395"/>
    <w:rsid w:val="00FF73A1"/>
    <w:rsid w:val="00FF757A"/>
    <w:rsid w:val="00FF76AD"/>
    <w:rsid w:val="00FF76FC"/>
    <w:rsid w:val="00FF777A"/>
    <w:rsid w:val="00FF7788"/>
    <w:rsid w:val="00FF78FD"/>
    <w:rsid w:val="00FF79D7"/>
    <w:rsid w:val="00FF7A41"/>
    <w:rsid w:val="00FF7BB2"/>
    <w:rsid w:val="00FF7DDD"/>
    <w:rsid w:val="00FF7DF6"/>
    <w:rsid w:val="00FF7E43"/>
    <w:rsid w:val="0132377E"/>
    <w:rsid w:val="0147B71B"/>
    <w:rsid w:val="014D130C"/>
    <w:rsid w:val="0165BE1D"/>
    <w:rsid w:val="016A2A8C"/>
    <w:rsid w:val="020A69B8"/>
    <w:rsid w:val="0248CFD4"/>
    <w:rsid w:val="028AFD3F"/>
    <w:rsid w:val="0290B1C2"/>
    <w:rsid w:val="02C2C0C1"/>
    <w:rsid w:val="02D5176B"/>
    <w:rsid w:val="03746997"/>
    <w:rsid w:val="039850C5"/>
    <w:rsid w:val="03E37AC9"/>
    <w:rsid w:val="03F16CA1"/>
    <w:rsid w:val="043058C5"/>
    <w:rsid w:val="04343599"/>
    <w:rsid w:val="043454CE"/>
    <w:rsid w:val="04615F65"/>
    <w:rsid w:val="04972AFF"/>
    <w:rsid w:val="04AA4AC5"/>
    <w:rsid w:val="04B4889F"/>
    <w:rsid w:val="04BE0282"/>
    <w:rsid w:val="04D031E6"/>
    <w:rsid w:val="050BD748"/>
    <w:rsid w:val="054D021C"/>
    <w:rsid w:val="057A2B72"/>
    <w:rsid w:val="05A55ACA"/>
    <w:rsid w:val="05C07D61"/>
    <w:rsid w:val="05CBDBE1"/>
    <w:rsid w:val="05D635E5"/>
    <w:rsid w:val="05E5CDF9"/>
    <w:rsid w:val="06265370"/>
    <w:rsid w:val="067CB1CF"/>
    <w:rsid w:val="06A21CDD"/>
    <w:rsid w:val="06C600CC"/>
    <w:rsid w:val="06C634F8"/>
    <w:rsid w:val="06E52CC8"/>
    <w:rsid w:val="07177D6D"/>
    <w:rsid w:val="0722C896"/>
    <w:rsid w:val="073A2C17"/>
    <w:rsid w:val="073B9F3D"/>
    <w:rsid w:val="077E9E33"/>
    <w:rsid w:val="0786C584"/>
    <w:rsid w:val="07BD260E"/>
    <w:rsid w:val="07CDC672"/>
    <w:rsid w:val="084A586C"/>
    <w:rsid w:val="08726EA2"/>
    <w:rsid w:val="087F1783"/>
    <w:rsid w:val="08A13C07"/>
    <w:rsid w:val="08B973E6"/>
    <w:rsid w:val="08E213F7"/>
    <w:rsid w:val="0912B3D3"/>
    <w:rsid w:val="095DCF78"/>
    <w:rsid w:val="0963AE0C"/>
    <w:rsid w:val="09695804"/>
    <w:rsid w:val="096F2BA1"/>
    <w:rsid w:val="09BDB982"/>
    <w:rsid w:val="09DDC98E"/>
    <w:rsid w:val="09F5A724"/>
    <w:rsid w:val="0A0EFC30"/>
    <w:rsid w:val="0A3C2D55"/>
    <w:rsid w:val="0A6A0704"/>
    <w:rsid w:val="0A6DC4C4"/>
    <w:rsid w:val="0A87D096"/>
    <w:rsid w:val="0B1430B5"/>
    <w:rsid w:val="0B25D2F6"/>
    <w:rsid w:val="0B588088"/>
    <w:rsid w:val="0B60BB31"/>
    <w:rsid w:val="0B751FEE"/>
    <w:rsid w:val="0B79BA18"/>
    <w:rsid w:val="0B81E851"/>
    <w:rsid w:val="0B9C4649"/>
    <w:rsid w:val="0BB15BF2"/>
    <w:rsid w:val="0BE383CC"/>
    <w:rsid w:val="0BEB7DE1"/>
    <w:rsid w:val="0C1C7403"/>
    <w:rsid w:val="0C31F00D"/>
    <w:rsid w:val="0C50DD8D"/>
    <w:rsid w:val="0C548512"/>
    <w:rsid w:val="0C5A65F6"/>
    <w:rsid w:val="0C61A419"/>
    <w:rsid w:val="0C8B111C"/>
    <w:rsid w:val="0C9135C0"/>
    <w:rsid w:val="0CC1AA84"/>
    <w:rsid w:val="0CE33C0C"/>
    <w:rsid w:val="0CEC6DDA"/>
    <w:rsid w:val="0CF4535D"/>
    <w:rsid w:val="0D15580D"/>
    <w:rsid w:val="0D79A3E9"/>
    <w:rsid w:val="0DB621F3"/>
    <w:rsid w:val="0DC2B9F1"/>
    <w:rsid w:val="0DDDA324"/>
    <w:rsid w:val="0DED9CE5"/>
    <w:rsid w:val="0DF2B615"/>
    <w:rsid w:val="0E1AE619"/>
    <w:rsid w:val="0E7741F9"/>
    <w:rsid w:val="0E8B1921"/>
    <w:rsid w:val="0EB125D3"/>
    <w:rsid w:val="0ED3EA62"/>
    <w:rsid w:val="0EE3A808"/>
    <w:rsid w:val="0F1F5BEF"/>
    <w:rsid w:val="0F736811"/>
    <w:rsid w:val="0FE4E5E0"/>
    <w:rsid w:val="0FE91341"/>
    <w:rsid w:val="108C5CA3"/>
    <w:rsid w:val="10903CC5"/>
    <w:rsid w:val="10B569D5"/>
    <w:rsid w:val="1154EF7E"/>
    <w:rsid w:val="116CD846"/>
    <w:rsid w:val="1191DDBF"/>
    <w:rsid w:val="11D6264F"/>
    <w:rsid w:val="121489AF"/>
    <w:rsid w:val="1230C59B"/>
    <w:rsid w:val="1259E5DC"/>
    <w:rsid w:val="127AEC25"/>
    <w:rsid w:val="12A05280"/>
    <w:rsid w:val="12AA092F"/>
    <w:rsid w:val="12BAB799"/>
    <w:rsid w:val="12CE6993"/>
    <w:rsid w:val="12F0798D"/>
    <w:rsid w:val="133CCA3A"/>
    <w:rsid w:val="13494B55"/>
    <w:rsid w:val="13621AD8"/>
    <w:rsid w:val="136A5530"/>
    <w:rsid w:val="136D1F94"/>
    <w:rsid w:val="1383317E"/>
    <w:rsid w:val="13DED248"/>
    <w:rsid w:val="14101DE4"/>
    <w:rsid w:val="14257C70"/>
    <w:rsid w:val="14284BA2"/>
    <w:rsid w:val="143884AA"/>
    <w:rsid w:val="146DE411"/>
    <w:rsid w:val="14B3B827"/>
    <w:rsid w:val="14F2DC1E"/>
    <w:rsid w:val="150B651B"/>
    <w:rsid w:val="1516C181"/>
    <w:rsid w:val="15449968"/>
    <w:rsid w:val="15479BA3"/>
    <w:rsid w:val="156D905C"/>
    <w:rsid w:val="161B9B4F"/>
    <w:rsid w:val="168D85FD"/>
    <w:rsid w:val="16AF2BB8"/>
    <w:rsid w:val="1708231A"/>
    <w:rsid w:val="170DC06D"/>
    <w:rsid w:val="173B7D47"/>
    <w:rsid w:val="174B8A77"/>
    <w:rsid w:val="17608752"/>
    <w:rsid w:val="1766D67A"/>
    <w:rsid w:val="17961321"/>
    <w:rsid w:val="17B3DCF8"/>
    <w:rsid w:val="17C7AA95"/>
    <w:rsid w:val="1804B901"/>
    <w:rsid w:val="183D0781"/>
    <w:rsid w:val="18737D75"/>
    <w:rsid w:val="1893DBEE"/>
    <w:rsid w:val="192E9C17"/>
    <w:rsid w:val="1936AB85"/>
    <w:rsid w:val="19438BF1"/>
    <w:rsid w:val="19687B40"/>
    <w:rsid w:val="19AF58BB"/>
    <w:rsid w:val="19B0FCAA"/>
    <w:rsid w:val="19D31EFE"/>
    <w:rsid w:val="19ED554D"/>
    <w:rsid w:val="1A398585"/>
    <w:rsid w:val="1AC465D2"/>
    <w:rsid w:val="1ACFE766"/>
    <w:rsid w:val="1AF326DB"/>
    <w:rsid w:val="1B19EBE5"/>
    <w:rsid w:val="1B71A94C"/>
    <w:rsid w:val="1B80B616"/>
    <w:rsid w:val="1B9ED9F1"/>
    <w:rsid w:val="1BAEC2DC"/>
    <w:rsid w:val="1BC8AE04"/>
    <w:rsid w:val="1BDA06FA"/>
    <w:rsid w:val="1C40A195"/>
    <w:rsid w:val="1C550337"/>
    <w:rsid w:val="1C62BDBE"/>
    <w:rsid w:val="1C77603B"/>
    <w:rsid w:val="1C9C952F"/>
    <w:rsid w:val="1CB49072"/>
    <w:rsid w:val="1CC0CCC3"/>
    <w:rsid w:val="1CD9B2BA"/>
    <w:rsid w:val="1CE6D7C0"/>
    <w:rsid w:val="1D127D69"/>
    <w:rsid w:val="1D139636"/>
    <w:rsid w:val="1D351EFC"/>
    <w:rsid w:val="1D4F1EAC"/>
    <w:rsid w:val="1D771AD0"/>
    <w:rsid w:val="1D81BE97"/>
    <w:rsid w:val="1D90D32C"/>
    <w:rsid w:val="1DB6AA39"/>
    <w:rsid w:val="1DC39B19"/>
    <w:rsid w:val="1DCBEE2C"/>
    <w:rsid w:val="1E02DF61"/>
    <w:rsid w:val="1E33F74E"/>
    <w:rsid w:val="1E45AA88"/>
    <w:rsid w:val="1E9CD0A8"/>
    <w:rsid w:val="1F2F6DEF"/>
    <w:rsid w:val="1F3018F4"/>
    <w:rsid w:val="1F385154"/>
    <w:rsid w:val="1F7182AE"/>
    <w:rsid w:val="201FC482"/>
    <w:rsid w:val="20689E8E"/>
    <w:rsid w:val="20983E22"/>
    <w:rsid w:val="20DB9D4F"/>
    <w:rsid w:val="20F54CBE"/>
    <w:rsid w:val="21091954"/>
    <w:rsid w:val="211D8789"/>
    <w:rsid w:val="212D3AFA"/>
    <w:rsid w:val="213016B7"/>
    <w:rsid w:val="21B1D2D9"/>
    <w:rsid w:val="21B630E0"/>
    <w:rsid w:val="21F52D8B"/>
    <w:rsid w:val="2247DD65"/>
    <w:rsid w:val="22514F6E"/>
    <w:rsid w:val="2274033E"/>
    <w:rsid w:val="22888379"/>
    <w:rsid w:val="22C4BA61"/>
    <w:rsid w:val="231AC31E"/>
    <w:rsid w:val="235808CD"/>
    <w:rsid w:val="23A07522"/>
    <w:rsid w:val="23B39726"/>
    <w:rsid w:val="23B74E92"/>
    <w:rsid w:val="23CAEC29"/>
    <w:rsid w:val="23F65C81"/>
    <w:rsid w:val="240CE200"/>
    <w:rsid w:val="24380CCA"/>
    <w:rsid w:val="24507E5A"/>
    <w:rsid w:val="245EA7C8"/>
    <w:rsid w:val="246EF5E1"/>
    <w:rsid w:val="249A3BC1"/>
    <w:rsid w:val="24A0E67C"/>
    <w:rsid w:val="24A31232"/>
    <w:rsid w:val="24BC9CDB"/>
    <w:rsid w:val="24F617DB"/>
    <w:rsid w:val="2504ADF8"/>
    <w:rsid w:val="2513A9C6"/>
    <w:rsid w:val="258DBA83"/>
    <w:rsid w:val="25FDB193"/>
    <w:rsid w:val="25FE464D"/>
    <w:rsid w:val="26A042FF"/>
    <w:rsid w:val="26A4DC4D"/>
    <w:rsid w:val="26E36BC6"/>
    <w:rsid w:val="26F4F347"/>
    <w:rsid w:val="2723EECE"/>
    <w:rsid w:val="2749B856"/>
    <w:rsid w:val="274AEB6E"/>
    <w:rsid w:val="278A37F4"/>
    <w:rsid w:val="27C995C6"/>
    <w:rsid w:val="27D851A2"/>
    <w:rsid w:val="27DD0513"/>
    <w:rsid w:val="27DF388F"/>
    <w:rsid w:val="28004CBB"/>
    <w:rsid w:val="280A14BD"/>
    <w:rsid w:val="280FAA52"/>
    <w:rsid w:val="28123D7F"/>
    <w:rsid w:val="282151DA"/>
    <w:rsid w:val="28392859"/>
    <w:rsid w:val="2847D332"/>
    <w:rsid w:val="28703308"/>
    <w:rsid w:val="287E52CC"/>
    <w:rsid w:val="28B9C61F"/>
    <w:rsid w:val="28CFBAD9"/>
    <w:rsid w:val="28D0BE61"/>
    <w:rsid w:val="28DD7B76"/>
    <w:rsid w:val="28E37939"/>
    <w:rsid w:val="28EB2C0E"/>
    <w:rsid w:val="29B6509B"/>
    <w:rsid w:val="29EB92CE"/>
    <w:rsid w:val="29F62C9E"/>
    <w:rsid w:val="2A47C246"/>
    <w:rsid w:val="2A6582BB"/>
    <w:rsid w:val="2A675982"/>
    <w:rsid w:val="2A6A1A3F"/>
    <w:rsid w:val="2A8D08FA"/>
    <w:rsid w:val="2ADCC54B"/>
    <w:rsid w:val="2AF19C1A"/>
    <w:rsid w:val="2B064DD9"/>
    <w:rsid w:val="2B351853"/>
    <w:rsid w:val="2B716BC3"/>
    <w:rsid w:val="2B78E283"/>
    <w:rsid w:val="2B9D7744"/>
    <w:rsid w:val="2C0056D4"/>
    <w:rsid w:val="2C02E872"/>
    <w:rsid w:val="2C720DDC"/>
    <w:rsid w:val="2C72BB79"/>
    <w:rsid w:val="2C8120AF"/>
    <w:rsid w:val="2C88C0FE"/>
    <w:rsid w:val="2CB1B514"/>
    <w:rsid w:val="2CD59B4E"/>
    <w:rsid w:val="2CFD5C17"/>
    <w:rsid w:val="2D2426FC"/>
    <w:rsid w:val="2D3BD5F9"/>
    <w:rsid w:val="2D579D1D"/>
    <w:rsid w:val="2D610F44"/>
    <w:rsid w:val="2D6B3BF6"/>
    <w:rsid w:val="2D9AA229"/>
    <w:rsid w:val="2E11B231"/>
    <w:rsid w:val="2E1399D4"/>
    <w:rsid w:val="2E5CBF98"/>
    <w:rsid w:val="2E9A1945"/>
    <w:rsid w:val="2EAB1494"/>
    <w:rsid w:val="2EB35BB4"/>
    <w:rsid w:val="2EB472A1"/>
    <w:rsid w:val="2EBFC53A"/>
    <w:rsid w:val="2EE0F795"/>
    <w:rsid w:val="2EF396A6"/>
    <w:rsid w:val="2F0EF706"/>
    <w:rsid w:val="2F1EDC0A"/>
    <w:rsid w:val="2F29C0AB"/>
    <w:rsid w:val="2F34BB92"/>
    <w:rsid w:val="2F554A79"/>
    <w:rsid w:val="2F5F9E64"/>
    <w:rsid w:val="2F660834"/>
    <w:rsid w:val="2F8C3C3E"/>
    <w:rsid w:val="2FA05A08"/>
    <w:rsid w:val="2FA264EF"/>
    <w:rsid w:val="301FA5ED"/>
    <w:rsid w:val="305403A2"/>
    <w:rsid w:val="307321F3"/>
    <w:rsid w:val="30D6C827"/>
    <w:rsid w:val="30ED19F2"/>
    <w:rsid w:val="313CD36E"/>
    <w:rsid w:val="316E4E4B"/>
    <w:rsid w:val="31EBBAC0"/>
    <w:rsid w:val="3233776A"/>
    <w:rsid w:val="32464EC4"/>
    <w:rsid w:val="328AFEBC"/>
    <w:rsid w:val="328BAF9E"/>
    <w:rsid w:val="32F8DC87"/>
    <w:rsid w:val="330D7A9C"/>
    <w:rsid w:val="3310E115"/>
    <w:rsid w:val="33295502"/>
    <w:rsid w:val="332E2873"/>
    <w:rsid w:val="337A5648"/>
    <w:rsid w:val="33806E31"/>
    <w:rsid w:val="33893C24"/>
    <w:rsid w:val="33BCB4B1"/>
    <w:rsid w:val="33D5295C"/>
    <w:rsid w:val="33F7FC94"/>
    <w:rsid w:val="3420C77B"/>
    <w:rsid w:val="3440ED67"/>
    <w:rsid w:val="3483285D"/>
    <w:rsid w:val="34968721"/>
    <w:rsid w:val="3499628E"/>
    <w:rsid w:val="34AC096D"/>
    <w:rsid w:val="34E4062A"/>
    <w:rsid w:val="3516B60B"/>
    <w:rsid w:val="351DB441"/>
    <w:rsid w:val="352B5F00"/>
    <w:rsid w:val="35BB06DF"/>
    <w:rsid w:val="35C4BA67"/>
    <w:rsid w:val="36422EB5"/>
    <w:rsid w:val="3650D010"/>
    <w:rsid w:val="365117E6"/>
    <w:rsid w:val="366D3230"/>
    <w:rsid w:val="36988791"/>
    <w:rsid w:val="36A7329F"/>
    <w:rsid w:val="36A85FB1"/>
    <w:rsid w:val="36F699D7"/>
    <w:rsid w:val="374E9BA8"/>
    <w:rsid w:val="3750CF97"/>
    <w:rsid w:val="376BC147"/>
    <w:rsid w:val="377A8CAA"/>
    <w:rsid w:val="3789470A"/>
    <w:rsid w:val="3793565D"/>
    <w:rsid w:val="3796A8BC"/>
    <w:rsid w:val="37A77425"/>
    <w:rsid w:val="37D6F3F5"/>
    <w:rsid w:val="37E24B42"/>
    <w:rsid w:val="37E6CADA"/>
    <w:rsid w:val="37F1581C"/>
    <w:rsid w:val="383212D2"/>
    <w:rsid w:val="384FEAD0"/>
    <w:rsid w:val="3880D63A"/>
    <w:rsid w:val="38E2DFDF"/>
    <w:rsid w:val="39523F5B"/>
    <w:rsid w:val="395DB092"/>
    <w:rsid w:val="398134B0"/>
    <w:rsid w:val="39A62C5C"/>
    <w:rsid w:val="39A82E36"/>
    <w:rsid w:val="39B6E580"/>
    <w:rsid w:val="3A233BAC"/>
    <w:rsid w:val="3A46314E"/>
    <w:rsid w:val="3A5B35FA"/>
    <w:rsid w:val="3A6C0C65"/>
    <w:rsid w:val="3A7D1329"/>
    <w:rsid w:val="3A8D7753"/>
    <w:rsid w:val="3AA06935"/>
    <w:rsid w:val="3AC340CA"/>
    <w:rsid w:val="3B326A06"/>
    <w:rsid w:val="3B569EB6"/>
    <w:rsid w:val="3BC6B402"/>
    <w:rsid w:val="3BC6D984"/>
    <w:rsid w:val="3BE6CFAB"/>
    <w:rsid w:val="3BF5E561"/>
    <w:rsid w:val="3C05E58F"/>
    <w:rsid w:val="3C1268A4"/>
    <w:rsid w:val="3C347C26"/>
    <w:rsid w:val="3C4703F2"/>
    <w:rsid w:val="3C9D0666"/>
    <w:rsid w:val="3CC44C90"/>
    <w:rsid w:val="3D1CC7D2"/>
    <w:rsid w:val="3D4610DC"/>
    <w:rsid w:val="3DA4361F"/>
    <w:rsid w:val="3DCAE906"/>
    <w:rsid w:val="3DD4A783"/>
    <w:rsid w:val="3E01C808"/>
    <w:rsid w:val="3E1B4C07"/>
    <w:rsid w:val="3E2D249F"/>
    <w:rsid w:val="3E6F35E0"/>
    <w:rsid w:val="3ECDFBC2"/>
    <w:rsid w:val="3F63F987"/>
    <w:rsid w:val="3F750EAB"/>
    <w:rsid w:val="3F78CD82"/>
    <w:rsid w:val="3F7B9FD9"/>
    <w:rsid w:val="3FA4774F"/>
    <w:rsid w:val="3FB69FD9"/>
    <w:rsid w:val="3FD10335"/>
    <w:rsid w:val="3FE80ADB"/>
    <w:rsid w:val="4058FE4E"/>
    <w:rsid w:val="406EF20B"/>
    <w:rsid w:val="40702DC6"/>
    <w:rsid w:val="4090B2D5"/>
    <w:rsid w:val="40C7918B"/>
    <w:rsid w:val="40DB4057"/>
    <w:rsid w:val="4122DC43"/>
    <w:rsid w:val="413A9646"/>
    <w:rsid w:val="41546382"/>
    <w:rsid w:val="4161550E"/>
    <w:rsid w:val="418F819C"/>
    <w:rsid w:val="4195DDA8"/>
    <w:rsid w:val="41966D46"/>
    <w:rsid w:val="4218BF4C"/>
    <w:rsid w:val="424E6D63"/>
    <w:rsid w:val="426B176C"/>
    <w:rsid w:val="427C5ABD"/>
    <w:rsid w:val="42862271"/>
    <w:rsid w:val="42AC2AF7"/>
    <w:rsid w:val="434DC880"/>
    <w:rsid w:val="437AD64C"/>
    <w:rsid w:val="438A9867"/>
    <w:rsid w:val="439BA980"/>
    <w:rsid w:val="43B852FA"/>
    <w:rsid w:val="43CAB175"/>
    <w:rsid w:val="4467ED47"/>
    <w:rsid w:val="44D56BE3"/>
    <w:rsid w:val="44E32F1C"/>
    <w:rsid w:val="45099139"/>
    <w:rsid w:val="450CFBD2"/>
    <w:rsid w:val="451C3449"/>
    <w:rsid w:val="452D8F1B"/>
    <w:rsid w:val="459F8C50"/>
    <w:rsid w:val="45C261D5"/>
    <w:rsid w:val="45D13591"/>
    <w:rsid w:val="45D44D01"/>
    <w:rsid w:val="45E1B80B"/>
    <w:rsid w:val="45F97266"/>
    <w:rsid w:val="469E275C"/>
    <w:rsid w:val="46B10616"/>
    <w:rsid w:val="46B2E906"/>
    <w:rsid w:val="46DFC74D"/>
    <w:rsid w:val="46F2FD16"/>
    <w:rsid w:val="471FE04F"/>
    <w:rsid w:val="475442F6"/>
    <w:rsid w:val="478A4B9C"/>
    <w:rsid w:val="4799CF50"/>
    <w:rsid w:val="47D0FDEB"/>
    <w:rsid w:val="47FCC171"/>
    <w:rsid w:val="47FF4173"/>
    <w:rsid w:val="4806E056"/>
    <w:rsid w:val="48188A60"/>
    <w:rsid w:val="48209C16"/>
    <w:rsid w:val="482D8F51"/>
    <w:rsid w:val="4853F860"/>
    <w:rsid w:val="4857227B"/>
    <w:rsid w:val="4859CF9B"/>
    <w:rsid w:val="485B5CB5"/>
    <w:rsid w:val="48866FC4"/>
    <w:rsid w:val="4894FCC5"/>
    <w:rsid w:val="48BB8D38"/>
    <w:rsid w:val="48E3200E"/>
    <w:rsid w:val="48E57C9D"/>
    <w:rsid w:val="48E7D8C7"/>
    <w:rsid w:val="4909B133"/>
    <w:rsid w:val="492DF460"/>
    <w:rsid w:val="4948D6CB"/>
    <w:rsid w:val="495EDBA9"/>
    <w:rsid w:val="49C15A48"/>
    <w:rsid w:val="49D8E3F5"/>
    <w:rsid w:val="49FE2C9F"/>
    <w:rsid w:val="4AD310F2"/>
    <w:rsid w:val="4AF97CD9"/>
    <w:rsid w:val="4AFC964C"/>
    <w:rsid w:val="4B7622FB"/>
    <w:rsid w:val="4B8C775F"/>
    <w:rsid w:val="4BB1504D"/>
    <w:rsid w:val="4BB3A4EE"/>
    <w:rsid w:val="4C1BFC36"/>
    <w:rsid w:val="4C7A155A"/>
    <w:rsid w:val="4C9660E2"/>
    <w:rsid w:val="4C9BC4AA"/>
    <w:rsid w:val="4C9EB268"/>
    <w:rsid w:val="4CF8F2DA"/>
    <w:rsid w:val="4D0298C2"/>
    <w:rsid w:val="4D082449"/>
    <w:rsid w:val="4D124D5C"/>
    <w:rsid w:val="4D243C83"/>
    <w:rsid w:val="4D3DE7FF"/>
    <w:rsid w:val="4D4C6419"/>
    <w:rsid w:val="4D64A27F"/>
    <w:rsid w:val="4DC66D9D"/>
    <w:rsid w:val="4E208E6A"/>
    <w:rsid w:val="4EB021C4"/>
    <w:rsid w:val="4EDA96E4"/>
    <w:rsid w:val="4EE5B23C"/>
    <w:rsid w:val="4EE86E36"/>
    <w:rsid w:val="4EF1F4A9"/>
    <w:rsid w:val="4F1624BD"/>
    <w:rsid w:val="4F37392C"/>
    <w:rsid w:val="4F55AC2D"/>
    <w:rsid w:val="4F96CA58"/>
    <w:rsid w:val="4F986422"/>
    <w:rsid w:val="4FD72E7A"/>
    <w:rsid w:val="4FE4D2AA"/>
    <w:rsid w:val="500F96A3"/>
    <w:rsid w:val="50121541"/>
    <w:rsid w:val="5019B61D"/>
    <w:rsid w:val="5023774A"/>
    <w:rsid w:val="50293BF8"/>
    <w:rsid w:val="502D9C5E"/>
    <w:rsid w:val="50389886"/>
    <w:rsid w:val="50468C0A"/>
    <w:rsid w:val="5061C781"/>
    <w:rsid w:val="5077BB1A"/>
    <w:rsid w:val="5093D6D3"/>
    <w:rsid w:val="50B067B1"/>
    <w:rsid w:val="50D9056E"/>
    <w:rsid w:val="5182800C"/>
    <w:rsid w:val="5200F5D1"/>
    <w:rsid w:val="5228C20A"/>
    <w:rsid w:val="528F3B43"/>
    <w:rsid w:val="529CF93D"/>
    <w:rsid w:val="52DBE5AA"/>
    <w:rsid w:val="52EDA0CD"/>
    <w:rsid w:val="537E6FEA"/>
    <w:rsid w:val="53B4DC5F"/>
    <w:rsid w:val="53E03B13"/>
    <w:rsid w:val="53F468FF"/>
    <w:rsid w:val="54209E67"/>
    <w:rsid w:val="543B5AAE"/>
    <w:rsid w:val="54639356"/>
    <w:rsid w:val="547AF034"/>
    <w:rsid w:val="54B42C6D"/>
    <w:rsid w:val="55128B23"/>
    <w:rsid w:val="553D396E"/>
    <w:rsid w:val="5559F28A"/>
    <w:rsid w:val="557102CE"/>
    <w:rsid w:val="5589DA36"/>
    <w:rsid w:val="55C7FCDB"/>
    <w:rsid w:val="55CC5E55"/>
    <w:rsid w:val="55D849FB"/>
    <w:rsid w:val="55FAAF3A"/>
    <w:rsid w:val="561E575C"/>
    <w:rsid w:val="56492012"/>
    <w:rsid w:val="565D57E0"/>
    <w:rsid w:val="56696FE5"/>
    <w:rsid w:val="56ACE531"/>
    <w:rsid w:val="56ADA3A3"/>
    <w:rsid w:val="571A72AE"/>
    <w:rsid w:val="573EFDF5"/>
    <w:rsid w:val="574342BC"/>
    <w:rsid w:val="576205D6"/>
    <w:rsid w:val="576FF865"/>
    <w:rsid w:val="57876956"/>
    <w:rsid w:val="57B94EEB"/>
    <w:rsid w:val="57D99768"/>
    <w:rsid w:val="57DD17AE"/>
    <w:rsid w:val="57DE33D1"/>
    <w:rsid w:val="5822EAD2"/>
    <w:rsid w:val="582AF19E"/>
    <w:rsid w:val="583A992A"/>
    <w:rsid w:val="584BAD8C"/>
    <w:rsid w:val="5863899F"/>
    <w:rsid w:val="5905AF71"/>
    <w:rsid w:val="591BA4E1"/>
    <w:rsid w:val="592CC082"/>
    <w:rsid w:val="59343A5C"/>
    <w:rsid w:val="593F7CD7"/>
    <w:rsid w:val="595B8190"/>
    <w:rsid w:val="595EAC50"/>
    <w:rsid w:val="599AAC92"/>
    <w:rsid w:val="59AABE55"/>
    <w:rsid w:val="59B51132"/>
    <w:rsid w:val="59C557D1"/>
    <w:rsid w:val="59D51997"/>
    <w:rsid w:val="59F220EA"/>
    <w:rsid w:val="5A18D88B"/>
    <w:rsid w:val="5A2897A4"/>
    <w:rsid w:val="5A3360BA"/>
    <w:rsid w:val="5A4409A6"/>
    <w:rsid w:val="5A590590"/>
    <w:rsid w:val="5AAEF2A7"/>
    <w:rsid w:val="5AB4AFF3"/>
    <w:rsid w:val="5AC35264"/>
    <w:rsid w:val="5AC53D6F"/>
    <w:rsid w:val="5AFE6FF3"/>
    <w:rsid w:val="5B485D9F"/>
    <w:rsid w:val="5B76D2B9"/>
    <w:rsid w:val="5B9124BC"/>
    <w:rsid w:val="5B9F4F80"/>
    <w:rsid w:val="5BA3D818"/>
    <w:rsid w:val="5BD0F439"/>
    <w:rsid w:val="5BF3BD2B"/>
    <w:rsid w:val="5C21ECAC"/>
    <w:rsid w:val="5CAE02D1"/>
    <w:rsid w:val="5CCF4EF5"/>
    <w:rsid w:val="5CD3C4E7"/>
    <w:rsid w:val="5CDF857A"/>
    <w:rsid w:val="5CEB34C5"/>
    <w:rsid w:val="5CEB8A3A"/>
    <w:rsid w:val="5D228A66"/>
    <w:rsid w:val="5D4354B6"/>
    <w:rsid w:val="5D930738"/>
    <w:rsid w:val="5DB07152"/>
    <w:rsid w:val="5DC3E5DA"/>
    <w:rsid w:val="5E44BA3E"/>
    <w:rsid w:val="5E4DFA6A"/>
    <w:rsid w:val="5E80CA6B"/>
    <w:rsid w:val="5E9B236E"/>
    <w:rsid w:val="5EB09889"/>
    <w:rsid w:val="5ECF7979"/>
    <w:rsid w:val="5F2E8250"/>
    <w:rsid w:val="5F4BDE7E"/>
    <w:rsid w:val="5F61AE45"/>
    <w:rsid w:val="5F71CD63"/>
    <w:rsid w:val="5F960377"/>
    <w:rsid w:val="5FA37671"/>
    <w:rsid w:val="5FEDEDF0"/>
    <w:rsid w:val="6013E4D0"/>
    <w:rsid w:val="6045FAB5"/>
    <w:rsid w:val="6071172A"/>
    <w:rsid w:val="60829305"/>
    <w:rsid w:val="60CE26C0"/>
    <w:rsid w:val="61143C71"/>
    <w:rsid w:val="61143E63"/>
    <w:rsid w:val="611609D3"/>
    <w:rsid w:val="6178F52E"/>
    <w:rsid w:val="61919CA4"/>
    <w:rsid w:val="61A42F2B"/>
    <w:rsid w:val="620C32F2"/>
    <w:rsid w:val="62648289"/>
    <w:rsid w:val="627E8D56"/>
    <w:rsid w:val="628EE1A2"/>
    <w:rsid w:val="629CF0AA"/>
    <w:rsid w:val="62CC8439"/>
    <w:rsid w:val="63DC4CFD"/>
    <w:rsid w:val="641E5D0E"/>
    <w:rsid w:val="6456AA2F"/>
    <w:rsid w:val="645FB600"/>
    <w:rsid w:val="64615D76"/>
    <w:rsid w:val="649F5AC8"/>
    <w:rsid w:val="64BD1CEC"/>
    <w:rsid w:val="64D5CEF3"/>
    <w:rsid w:val="6538D3AA"/>
    <w:rsid w:val="653DF8E5"/>
    <w:rsid w:val="65583262"/>
    <w:rsid w:val="657060A6"/>
    <w:rsid w:val="65835422"/>
    <w:rsid w:val="65CCBEAB"/>
    <w:rsid w:val="65CD23BD"/>
    <w:rsid w:val="65E3FB30"/>
    <w:rsid w:val="65F276D5"/>
    <w:rsid w:val="65F8E559"/>
    <w:rsid w:val="6610246F"/>
    <w:rsid w:val="661A39A2"/>
    <w:rsid w:val="6649505D"/>
    <w:rsid w:val="669C39C3"/>
    <w:rsid w:val="66AA22FD"/>
    <w:rsid w:val="66B4A675"/>
    <w:rsid w:val="66DC59B0"/>
    <w:rsid w:val="67208292"/>
    <w:rsid w:val="6754416D"/>
    <w:rsid w:val="6771BECF"/>
    <w:rsid w:val="679627F5"/>
    <w:rsid w:val="67D0C8BD"/>
    <w:rsid w:val="68148BB1"/>
    <w:rsid w:val="68167922"/>
    <w:rsid w:val="6836E12B"/>
    <w:rsid w:val="6875CE56"/>
    <w:rsid w:val="68DD8359"/>
    <w:rsid w:val="68E77F63"/>
    <w:rsid w:val="68FAFB1C"/>
    <w:rsid w:val="69221863"/>
    <w:rsid w:val="6946C960"/>
    <w:rsid w:val="695E3605"/>
    <w:rsid w:val="696EB904"/>
    <w:rsid w:val="698BC0D5"/>
    <w:rsid w:val="69C7B01C"/>
    <w:rsid w:val="6A179015"/>
    <w:rsid w:val="6A5F6582"/>
    <w:rsid w:val="6B25E653"/>
    <w:rsid w:val="6B343E25"/>
    <w:rsid w:val="6B376CC3"/>
    <w:rsid w:val="6B89B72A"/>
    <w:rsid w:val="6B8AD3EF"/>
    <w:rsid w:val="6B944A2A"/>
    <w:rsid w:val="6BB3BDE5"/>
    <w:rsid w:val="6BB5041F"/>
    <w:rsid w:val="6BCE56EC"/>
    <w:rsid w:val="6BD123FB"/>
    <w:rsid w:val="6C1EF3AF"/>
    <w:rsid w:val="6C479749"/>
    <w:rsid w:val="6C486588"/>
    <w:rsid w:val="6C96441F"/>
    <w:rsid w:val="6D4DA401"/>
    <w:rsid w:val="6D8C8DB5"/>
    <w:rsid w:val="6DB24283"/>
    <w:rsid w:val="6E10CD11"/>
    <w:rsid w:val="6E1963E0"/>
    <w:rsid w:val="6E77460A"/>
    <w:rsid w:val="6F0616F6"/>
    <w:rsid w:val="6F2AFC10"/>
    <w:rsid w:val="6F8D5F08"/>
    <w:rsid w:val="70409469"/>
    <w:rsid w:val="70480FC8"/>
    <w:rsid w:val="709B4742"/>
    <w:rsid w:val="70A860C2"/>
    <w:rsid w:val="70ABB5F5"/>
    <w:rsid w:val="70E9A556"/>
    <w:rsid w:val="71000FE5"/>
    <w:rsid w:val="710D9882"/>
    <w:rsid w:val="711491DC"/>
    <w:rsid w:val="71306F83"/>
    <w:rsid w:val="713C2B00"/>
    <w:rsid w:val="71AE12D0"/>
    <w:rsid w:val="71D6DEA0"/>
    <w:rsid w:val="7257C956"/>
    <w:rsid w:val="726F218A"/>
    <w:rsid w:val="7278514A"/>
    <w:rsid w:val="72806102"/>
    <w:rsid w:val="728DD7CB"/>
    <w:rsid w:val="72C4CB6B"/>
    <w:rsid w:val="730FE749"/>
    <w:rsid w:val="7327ED73"/>
    <w:rsid w:val="73296B48"/>
    <w:rsid w:val="732DB419"/>
    <w:rsid w:val="732F1268"/>
    <w:rsid w:val="7351C212"/>
    <w:rsid w:val="73D42F2E"/>
    <w:rsid w:val="73D63E9E"/>
    <w:rsid w:val="7433A97D"/>
    <w:rsid w:val="745869D4"/>
    <w:rsid w:val="745AE59A"/>
    <w:rsid w:val="746E80A5"/>
    <w:rsid w:val="74DCF54E"/>
    <w:rsid w:val="74F7762D"/>
    <w:rsid w:val="750CE91E"/>
    <w:rsid w:val="750DF2E8"/>
    <w:rsid w:val="75410AB5"/>
    <w:rsid w:val="756D3013"/>
    <w:rsid w:val="75C05AC0"/>
    <w:rsid w:val="75DA9E3A"/>
    <w:rsid w:val="75EE18C7"/>
    <w:rsid w:val="75FE92E8"/>
    <w:rsid w:val="762A2477"/>
    <w:rsid w:val="7637420D"/>
    <w:rsid w:val="76468F4F"/>
    <w:rsid w:val="7660FE6D"/>
    <w:rsid w:val="7666B60B"/>
    <w:rsid w:val="76AF75A7"/>
    <w:rsid w:val="76DAF63A"/>
    <w:rsid w:val="7719A632"/>
    <w:rsid w:val="77414441"/>
    <w:rsid w:val="7744850A"/>
    <w:rsid w:val="775CD7E8"/>
    <w:rsid w:val="7771D645"/>
    <w:rsid w:val="777D0643"/>
    <w:rsid w:val="77861E4A"/>
    <w:rsid w:val="779AD782"/>
    <w:rsid w:val="77AEA841"/>
    <w:rsid w:val="77CAD9EA"/>
    <w:rsid w:val="783155F5"/>
    <w:rsid w:val="785725AC"/>
    <w:rsid w:val="7886E399"/>
    <w:rsid w:val="789A8FF1"/>
    <w:rsid w:val="78A11B60"/>
    <w:rsid w:val="78A817CC"/>
    <w:rsid w:val="78F1115E"/>
    <w:rsid w:val="7912BC30"/>
    <w:rsid w:val="7938E65B"/>
    <w:rsid w:val="7943BDBC"/>
    <w:rsid w:val="7946D016"/>
    <w:rsid w:val="7963228B"/>
    <w:rsid w:val="79C57FC2"/>
    <w:rsid w:val="7A102E4A"/>
    <w:rsid w:val="7A3873AD"/>
    <w:rsid w:val="7A773477"/>
    <w:rsid w:val="7AB257C7"/>
    <w:rsid w:val="7AF0C170"/>
    <w:rsid w:val="7B17DA0E"/>
    <w:rsid w:val="7B1C150B"/>
    <w:rsid w:val="7B571CC5"/>
    <w:rsid w:val="7B7A8863"/>
    <w:rsid w:val="7BE9A769"/>
    <w:rsid w:val="7C109C17"/>
    <w:rsid w:val="7C2891D5"/>
    <w:rsid w:val="7C4D8CE7"/>
    <w:rsid w:val="7C65F7FE"/>
    <w:rsid w:val="7C897D23"/>
    <w:rsid w:val="7CB49BB7"/>
    <w:rsid w:val="7D5173D6"/>
    <w:rsid w:val="7D78376D"/>
    <w:rsid w:val="7E427D3D"/>
    <w:rsid w:val="7E60CDE8"/>
    <w:rsid w:val="7E709600"/>
    <w:rsid w:val="7E7BECC4"/>
    <w:rsid w:val="7E8D2BD4"/>
    <w:rsid w:val="7E9A98A5"/>
    <w:rsid w:val="7EB2461C"/>
    <w:rsid w:val="7EB4F290"/>
    <w:rsid w:val="7EEABF99"/>
    <w:rsid w:val="7F087605"/>
    <w:rsid w:val="7F319259"/>
    <w:rsid w:val="7F729D93"/>
    <w:rsid w:val="7FACA2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qFormat="1"/>
    <w:lsdException w:name="List Bullet" w:semiHidden="1" w:uiPriority="0" w:unhideWhenUsed="1" w:qFormat="1"/>
    <w:lsdException w:name="List Number" w:semiHidden="1" w:uiPriority="20" w:unhideWhenUsed="1" w:qFormat="1"/>
    <w:lsdException w:name="List 2" w:semiHidden="1" w:uiPriority="6" w:unhideWhenUsed="1" w:qFormat="1"/>
    <w:lsdException w:name="List 3" w:semiHidden="1" w:uiPriority="13" w:unhideWhenUsed="1" w:qFormat="1"/>
    <w:lsdException w:name="List 4" w:semiHidden="1" w:uiPriority="15"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0" w:unhideWhenUsed="1" w:qFormat="1"/>
    <w:lsdException w:name="List Number 3" w:semiHidden="1" w:uiPriority="2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qFormat="1"/>
    <w:lsdException w:name="Subtle Reference" w:uiPriority="59" w:qFormat="1"/>
    <w:lsdException w:name="Intense Reference" w:uiPriority="32" w:qFormat="1"/>
    <w:lsdException w:name="Book Title" w:uiPriority="5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183"/>
    <w:pPr>
      <w:spacing w:after="60" w:line="240" w:lineRule="auto"/>
      <w:jc w:val="both"/>
    </w:pPr>
    <w:rPr>
      <w:rFonts w:ascii="Times New Roman" w:hAnsi="Times New Roman" w:cs="Times New Roman"/>
      <w:sz w:val="24"/>
      <w:szCs w:val="24"/>
    </w:rPr>
  </w:style>
  <w:style w:type="paragraph" w:styleId="Heading1">
    <w:name w:val="heading 1"/>
    <w:basedOn w:val="Normal"/>
    <w:next w:val="Text1"/>
    <w:link w:val="Heading1Char"/>
    <w:uiPriority w:val="9"/>
    <w:qFormat/>
    <w:rsid w:val="006B5183"/>
    <w:pPr>
      <w:keepNext/>
      <w:numPr>
        <w:numId w:val="4"/>
      </w:numPr>
      <w:spacing w:before="120" w:after="120"/>
      <w:outlineLvl w:val="0"/>
    </w:pPr>
    <w:rPr>
      <w:rFonts w:eastAsia="Times New Roman"/>
      <w:b/>
      <w:smallCaps/>
      <w:szCs w:val="20"/>
    </w:rPr>
  </w:style>
  <w:style w:type="paragraph" w:styleId="Heading2">
    <w:name w:val="heading 2"/>
    <w:basedOn w:val="Normal"/>
    <w:next w:val="Text2"/>
    <w:link w:val="Heading2Char"/>
    <w:uiPriority w:val="9"/>
    <w:qFormat/>
    <w:rsid w:val="006F3F36"/>
    <w:pPr>
      <w:keepNext/>
      <w:numPr>
        <w:ilvl w:val="1"/>
        <w:numId w:val="4"/>
      </w:numPr>
      <w:spacing w:before="120" w:after="120"/>
      <w:outlineLvl w:val="1"/>
    </w:pPr>
    <w:rPr>
      <w:rFonts w:eastAsia="Times New Roman"/>
      <w:b/>
      <w:szCs w:val="20"/>
    </w:rPr>
  </w:style>
  <w:style w:type="paragraph" w:styleId="Heading3">
    <w:name w:val="heading 3"/>
    <w:basedOn w:val="Normal"/>
    <w:next w:val="Normal"/>
    <w:link w:val="Heading3Char"/>
    <w:uiPriority w:val="9"/>
    <w:qFormat/>
    <w:rsid w:val="006F3F36"/>
    <w:pPr>
      <w:keepNext/>
      <w:numPr>
        <w:ilvl w:val="2"/>
        <w:numId w:val="4"/>
      </w:numPr>
      <w:spacing w:after="120"/>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4"/>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E61374"/>
    <w:pPr>
      <w:keepNext/>
      <w:keepLines/>
      <w:spacing w:before="40" w:after="0"/>
      <w:ind w:left="4320" w:hanging="360"/>
      <w:outlineLvl w:val="5"/>
    </w:pPr>
    <w:rPr>
      <w:rFonts w:asciiTheme="majorHAnsi" w:eastAsiaTheme="majorEastAsia" w:hAnsiTheme="majorHAnsi" w:cstheme="majorBidi"/>
      <w:color w:val="243F60" w:themeColor="accent1" w:themeShade="7F"/>
      <w:szCs w:val="20"/>
      <w:lang w:val="en-IE"/>
    </w:rPr>
  </w:style>
  <w:style w:type="paragraph" w:styleId="Heading7">
    <w:name w:val="heading 7"/>
    <w:basedOn w:val="Normal"/>
    <w:next w:val="Normal"/>
    <w:link w:val="Heading7Char"/>
    <w:uiPriority w:val="9"/>
    <w:unhideWhenUsed/>
    <w:qFormat/>
    <w:rsid w:val="00E61374"/>
    <w:pPr>
      <w:keepNext/>
      <w:keepLines/>
      <w:spacing w:before="40" w:after="0"/>
      <w:ind w:left="5040" w:hanging="360"/>
      <w:outlineLvl w:val="6"/>
    </w:pPr>
    <w:rPr>
      <w:rFonts w:eastAsiaTheme="majorEastAsia" w:cstheme="majorBidi"/>
      <w:color w:val="595959" w:themeColor="text1" w:themeTint="A6"/>
      <w:kern w:val="2"/>
      <w:szCs w:val="20"/>
      <w:lang w:val="en-IE"/>
    </w:rPr>
  </w:style>
  <w:style w:type="paragraph" w:styleId="Heading8">
    <w:name w:val="heading 8"/>
    <w:basedOn w:val="Normal"/>
    <w:next w:val="Normal"/>
    <w:link w:val="Heading8Char"/>
    <w:uiPriority w:val="9"/>
    <w:unhideWhenUsed/>
    <w:qFormat/>
    <w:rsid w:val="00E61374"/>
    <w:pPr>
      <w:keepNext/>
      <w:keepLines/>
      <w:spacing w:after="0"/>
      <w:ind w:left="5760" w:hanging="360"/>
      <w:outlineLvl w:val="7"/>
    </w:pPr>
    <w:rPr>
      <w:rFonts w:eastAsiaTheme="majorEastAsia" w:cstheme="majorBidi"/>
      <w:i/>
      <w:iCs/>
      <w:color w:val="272727" w:themeColor="text1" w:themeTint="D8"/>
      <w:kern w:val="2"/>
      <w:szCs w:val="20"/>
      <w:lang w:val="en-IE"/>
    </w:rPr>
  </w:style>
  <w:style w:type="paragraph" w:styleId="Heading9">
    <w:name w:val="heading 9"/>
    <w:basedOn w:val="Normal"/>
    <w:next w:val="Normal"/>
    <w:link w:val="Heading9Char"/>
    <w:uiPriority w:val="9"/>
    <w:unhideWhenUsed/>
    <w:qFormat/>
    <w:rsid w:val="00E61374"/>
    <w:pPr>
      <w:keepNext/>
      <w:keepLines/>
      <w:spacing w:after="0"/>
      <w:ind w:left="6480" w:hanging="360"/>
      <w:outlineLvl w:val="8"/>
    </w:pPr>
    <w:rPr>
      <w:rFonts w:eastAsiaTheme="majorEastAsia" w:cstheme="majorBidi"/>
      <w:color w:val="272727" w:themeColor="text1" w:themeTint="D8"/>
      <w:kern w:val="2"/>
      <w:szCs w:val="20"/>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183"/>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sid w:val="00043DCE"/>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B5183"/>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aliases w:val="First Tier Bullet,résumé,UL,List Bullet2,List Bullet 1,List Bullet Char,List Bullet Char1 Char,List Bullet Char Char Char,List Bullet Char1 Char Char Char,List Bullet Char Char Char Char Char,List Bullet Char Char1,rÈsumÈ,Char1, Char1,r»sum»"/>
    <w:basedOn w:val="Normal"/>
    <w:qFormat/>
    <w:rsid w:val="006B087E"/>
    <w:pPr>
      <w:numPr>
        <w:numId w:val="2"/>
      </w:numPr>
    </w:pPr>
    <w:rPr>
      <w:rFonts w:eastAsia="Times New Roman"/>
      <w:szCs w:val="20"/>
    </w:rPr>
  </w:style>
  <w:style w:type="paragraph" w:customStyle="1" w:styleId="ListDash1">
    <w:name w:val="List Dash 1"/>
    <w:basedOn w:val="Text1"/>
    <w:rsid w:val="006B087E"/>
    <w:pPr>
      <w:numPr>
        <w:numId w:val="3"/>
      </w:numPr>
    </w:pPr>
  </w:style>
  <w:style w:type="table" w:styleId="TableGrid">
    <w:name w:val="Table Grid"/>
    <w:aliases w:val="Document Table,CV1,HTG"/>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qFormat/>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6B5183"/>
    <w:pPr>
      <w:spacing w:after="0"/>
    </w:pPr>
    <w:rPr>
      <w:rFonts w:eastAsiaTheme="minorEastAsia"/>
      <w:sz w:val="16"/>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B5183"/>
    <w:rPr>
      <w:rFonts w:ascii="Times New Roman" w:eastAsiaTheme="minorEastAsia" w:hAnsi="Times New Roman" w:cs="Times New Roman"/>
      <w:sz w:val="16"/>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19"/>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19"/>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E61374"/>
    <w:pPr>
      <w:spacing w:after="0"/>
    </w:pPr>
    <w:rPr>
      <w:rFonts w:eastAsia="Times New Roman"/>
      <w:sz w:val="20"/>
      <w:szCs w:val="20"/>
      <w:lang w:val="en-IE"/>
    </w:rPr>
  </w:style>
  <w:style w:type="character" w:customStyle="1" w:styleId="EndnoteTextChar">
    <w:name w:val="Endnote Text Char"/>
    <w:basedOn w:val="DefaultParagraphFont"/>
    <w:link w:val="EndnoteText"/>
    <w:uiPriority w:val="99"/>
    <w:rsid w:val="00E61374"/>
    <w:rPr>
      <w:rFonts w:ascii="Times New Roman" w:eastAsia="Times New Roman" w:hAnsi="Times New Roman" w:cs="Times New Roman"/>
      <w:sz w:val="20"/>
      <w:szCs w:val="20"/>
      <w:lang w:val="en-IE"/>
    </w:rPr>
  </w:style>
  <w:style w:type="character" w:styleId="EndnoteReference">
    <w:name w:val="endnote reference"/>
    <w:basedOn w:val="DefaultParagraphFont"/>
    <w:uiPriority w:val="99"/>
    <w:semiHidden/>
    <w:unhideWhenUsed/>
    <w:rsid w:val="00E61374"/>
    <w:rPr>
      <w:vertAlign w:val="superscript"/>
    </w:rPr>
  </w:style>
  <w:style w:type="paragraph" w:styleId="Caption">
    <w:name w:val="caption"/>
    <w:aliases w:val="Caption - Centre Graphic,Char Char Char,Caption1 Char Char Char Char Char Char Char Char,Caption1 Char Char Char Char Char Char Char Char Tegn Tegn Tegn Tegn Tegn,Caption1 Char Char Char Char Char Char Char Char Tegn Tegn Tegn,Char Car,Ch,E"/>
    <w:basedOn w:val="Normal"/>
    <w:next w:val="Normal"/>
    <w:uiPriority w:val="35"/>
    <w:unhideWhenUsed/>
    <w:qFormat/>
    <w:rsid w:val="00E61374"/>
    <w:pPr>
      <w:spacing w:before="120" w:after="120"/>
      <w:jc w:val="center"/>
    </w:pPr>
    <w:rPr>
      <w:rFonts w:eastAsia="Times New Roman"/>
      <w:b/>
      <w:iCs/>
      <w:color w:val="000000" w:themeColor="text1"/>
      <w:sz w:val="20"/>
      <w:szCs w:val="18"/>
      <w:lang w:val="en-IE"/>
    </w:rPr>
  </w:style>
  <w:style w:type="numbering" w:customStyle="1" w:styleId="CurrentList7">
    <w:name w:val="Current List7"/>
    <w:uiPriority w:val="99"/>
    <w:rsid w:val="00E61374"/>
    <w:pPr>
      <w:numPr>
        <w:numId w:val="8"/>
      </w:numPr>
    </w:pPr>
  </w:style>
  <w:style w:type="table" w:styleId="ListTable1Light">
    <w:name w:val="List Table 1 Light"/>
    <w:basedOn w:val="TableNormal"/>
    <w:uiPriority w:val="46"/>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Heading6Char">
    <w:name w:val="Heading 6 Char"/>
    <w:basedOn w:val="DefaultParagraphFont"/>
    <w:link w:val="Heading6"/>
    <w:uiPriority w:val="9"/>
    <w:rsid w:val="00E61374"/>
    <w:rPr>
      <w:rFonts w:asciiTheme="majorHAnsi" w:eastAsiaTheme="majorEastAsia" w:hAnsiTheme="majorHAnsi" w:cstheme="majorBidi"/>
      <w:color w:val="243F60" w:themeColor="accent1" w:themeShade="7F"/>
      <w:sz w:val="24"/>
      <w:szCs w:val="20"/>
      <w:lang w:val="en-IE"/>
    </w:rPr>
  </w:style>
  <w:style w:type="character" w:customStyle="1" w:styleId="Heading7Char">
    <w:name w:val="Heading 7 Char"/>
    <w:basedOn w:val="DefaultParagraphFont"/>
    <w:link w:val="Heading7"/>
    <w:uiPriority w:val="9"/>
    <w:rsid w:val="00E61374"/>
    <w:rPr>
      <w:rFonts w:ascii="Times New Roman" w:eastAsiaTheme="majorEastAsia" w:hAnsi="Times New Roman" w:cstheme="majorBidi"/>
      <w:color w:val="595959" w:themeColor="text1" w:themeTint="A6"/>
      <w:kern w:val="2"/>
      <w:sz w:val="24"/>
      <w:szCs w:val="20"/>
      <w:lang w:val="en-IE"/>
    </w:rPr>
  </w:style>
  <w:style w:type="character" w:customStyle="1" w:styleId="Heading8Char">
    <w:name w:val="Heading 8 Char"/>
    <w:basedOn w:val="DefaultParagraphFont"/>
    <w:link w:val="Heading8"/>
    <w:uiPriority w:val="9"/>
    <w:rsid w:val="00E61374"/>
    <w:rPr>
      <w:rFonts w:ascii="Times New Roman" w:eastAsiaTheme="majorEastAsia" w:hAnsi="Times New Roman" w:cstheme="majorBidi"/>
      <w:i/>
      <w:iCs/>
      <w:color w:val="272727" w:themeColor="text1" w:themeTint="D8"/>
      <w:kern w:val="2"/>
      <w:sz w:val="24"/>
      <w:szCs w:val="20"/>
      <w:lang w:val="en-IE"/>
    </w:rPr>
  </w:style>
  <w:style w:type="character" w:customStyle="1" w:styleId="Heading9Char">
    <w:name w:val="Heading 9 Char"/>
    <w:basedOn w:val="DefaultParagraphFont"/>
    <w:link w:val="Heading9"/>
    <w:uiPriority w:val="9"/>
    <w:rsid w:val="00E61374"/>
    <w:rPr>
      <w:rFonts w:ascii="Times New Roman" w:eastAsiaTheme="majorEastAsia" w:hAnsi="Times New Roman" w:cstheme="majorBidi"/>
      <w:color w:val="272727" w:themeColor="text1" w:themeTint="D8"/>
      <w:kern w:val="2"/>
      <w:sz w:val="24"/>
      <w:szCs w:val="20"/>
      <w:lang w:val="en-IE"/>
    </w:rPr>
  </w:style>
  <w:style w:type="character" w:customStyle="1" w:styleId="Mention1">
    <w:name w:val="Mention1"/>
    <w:basedOn w:val="DefaultParagraphFont"/>
    <w:uiPriority w:val="99"/>
    <w:unhideWhenUsed/>
    <w:rsid w:val="00E61374"/>
    <w:rPr>
      <w:color w:val="2B579A"/>
      <w:shd w:val="clear" w:color="auto" w:fill="E1DFDD"/>
    </w:rPr>
  </w:style>
  <w:style w:type="paragraph" w:styleId="NormalWeb">
    <w:name w:val="Normal (Web)"/>
    <w:basedOn w:val="Normal"/>
    <w:uiPriority w:val="99"/>
    <w:unhideWhenUsed/>
    <w:rsid w:val="00E61374"/>
    <w:rPr>
      <w:rFonts w:eastAsia="Times New Roman"/>
      <w:szCs w:val="20"/>
      <w:lang w:val="en-IE"/>
    </w:rPr>
  </w:style>
  <w:style w:type="paragraph" w:styleId="TOC3">
    <w:name w:val="toc 3"/>
    <w:basedOn w:val="Normal"/>
    <w:next w:val="Normal"/>
    <w:autoRedefine/>
    <w:uiPriority w:val="39"/>
    <w:unhideWhenUsed/>
    <w:rsid w:val="00E61374"/>
    <w:pPr>
      <w:spacing w:after="100"/>
      <w:ind w:left="480"/>
    </w:pPr>
    <w:rPr>
      <w:rFonts w:eastAsia="Times New Roman"/>
      <w:szCs w:val="20"/>
      <w:lang w:val="en-IE"/>
    </w:rPr>
  </w:style>
  <w:style w:type="character" w:customStyle="1" w:styleId="Bodytext1">
    <w:name w:val="Body text|1_"/>
    <w:basedOn w:val="DefaultParagraphFont"/>
    <w:link w:val="Bodytext10"/>
    <w:rsid w:val="00E61374"/>
    <w:rPr>
      <w:color w:val="404040"/>
      <w:sz w:val="20"/>
      <w:szCs w:val="20"/>
    </w:rPr>
  </w:style>
  <w:style w:type="paragraph" w:customStyle="1" w:styleId="Bodytext10">
    <w:name w:val="Body text|1"/>
    <w:basedOn w:val="Normal"/>
    <w:link w:val="Bodytext1"/>
    <w:rsid w:val="00E61374"/>
    <w:pPr>
      <w:widowControl w:val="0"/>
      <w:spacing w:after="140" w:line="302" w:lineRule="auto"/>
      <w:jc w:val="left"/>
    </w:pPr>
    <w:rPr>
      <w:rFonts w:asciiTheme="minorHAnsi" w:hAnsiTheme="minorHAnsi" w:cstheme="minorBidi"/>
      <w:color w:val="404040"/>
      <w:sz w:val="20"/>
      <w:szCs w:val="20"/>
    </w:rPr>
  </w:style>
  <w:style w:type="table" w:styleId="GridTable4-Accent1">
    <w:name w:val="Grid Table 4 Accent 1"/>
    <w:basedOn w:val="TableNormal"/>
    <w:uiPriority w:val="49"/>
    <w:rsid w:val="00E61374"/>
    <w:pPr>
      <w:spacing w:after="0" w:line="240" w:lineRule="auto"/>
    </w:pPr>
    <w:rPr>
      <w:kern w:val="2"/>
      <w:lang w:val="en-I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rsid w:val="00E61374"/>
    <w:pPr>
      <w:spacing w:after="0" w:line="240" w:lineRule="auto"/>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styleId="Subtitle">
    <w:name w:val="Subtitle"/>
    <w:basedOn w:val="Normal"/>
    <w:next w:val="Normal"/>
    <w:link w:val="SubtitleChar"/>
    <w:uiPriority w:val="11"/>
    <w:qFormat/>
    <w:rsid w:val="00E61374"/>
    <w:pPr>
      <w:numPr>
        <w:ilvl w:val="1"/>
      </w:numPr>
      <w:spacing w:after="160"/>
    </w:pPr>
    <w:rPr>
      <w:rFonts w:asciiTheme="minorHAnsi" w:eastAsiaTheme="minorEastAsia" w:hAnsiTheme="minorHAnsi" w:cstheme="minorBidi"/>
      <w:color w:val="5A5A5A" w:themeColor="text1" w:themeTint="A5"/>
      <w:spacing w:val="15"/>
      <w:sz w:val="22"/>
      <w:szCs w:val="22"/>
      <w:lang w:val="en-IE"/>
    </w:rPr>
  </w:style>
  <w:style w:type="character" w:customStyle="1" w:styleId="SubtitleChar">
    <w:name w:val="Subtitle Char"/>
    <w:basedOn w:val="DefaultParagraphFont"/>
    <w:link w:val="Subtitle"/>
    <w:uiPriority w:val="11"/>
    <w:rsid w:val="00E61374"/>
    <w:rPr>
      <w:rFonts w:eastAsiaTheme="minorEastAsia"/>
      <w:color w:val="5A5A5A" w:themeColor="text1" w:themeTint="A5"/>
      <w:spacing w:val="15"/>
      <w:lang w:val="en-IE"/>
    </w:rPr>
  </w:style>
  <w:style w:type="character" w:styleId="PlaceholderText">
    <w:name w:val="Placeholder Text"/>
    <w:basedOn w:val="DefaultParagraphFont"/>
    <w:uiPriority w:val="99"/>
    <w:semiHidden/>
    <w:rsid w:val="00E61374"/>
    <w:rPr>
      <w:color w:val="666666"/>
    </w:rPr>
  </w:style>
  <w:style w:type="table" w:styleId="GridTable7Colorful-Accent1">
    <w:name w:val="Grid Table 7 Colorful Accent 1"/>
    <w:basedOn w:val="TableNormal"/>
    <w:uiPriority w:val="52"/>
    <w:rsid w:val="00E61374"/>
    <w:pPr>
      <w:spacing w:after="0" w:line="240" w:lineRule="auto"/>
    </w:pPr>
    <w:rPr>
      <w:color w:val="365F91" w:themeColor="accent1" w:themeShade="BF"/>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ListTable7Colorful-Accent1">
    <w:name w:val="List Table 7 Colorful Accent 1"/>
    <w:basedOn w:val="TableNormal"/>
    <w:uiPriority w:val="52"/>
    <w:rsid w:val="00E61374"/>
    <w:pPr>
      <w:spacing w:after="0" w:line="240" w:lineRule="auto"/>
    </w:pPr>
    <w:rPr>
      <w:color w:val="365F91" w:themeColor="accent1" w:themeShade="BF"/>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3-Accent5">
    <w:name w:val="List Table 3 Accent 5"/>
    <w:basedOn w:val="TableNormal"/>
    <w:uiPriority w:val="48"/>
    <w:rsid w:val="00E61374"/>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normaltextrun">
    <w:name w:val="normaltextrun"/>
    <w:basedOn w:val="DefaultParagraphFont"/>
    <w:rsid w:val="00E61374"/>
  </w:style>
  <w:style w:type="character" w:customStyle="1" w:styleId="eop">
    <w:name w:val="eop"/>
    <w:basedOn w:val="DefaultParagraphFont"/>
    <w:rsid w:val="00E61374"/>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E61374"/>
    <w:pPr>
      <w:tabs>
        <w:tab w:val="left" w:pos="907"/>
      </w:tabs>
      <w:spacing w:before="60" w:after="160" w:line="240" w:lineRule="exact"/>
    </w:pPr>
    <w:rPr>
      <w:rFonts w:asciiTheme="minorHAnsi" w:eastAsia="Times New Roman" w:hAnsiTheme="minorHAnsi" w:cstheme="minorBidi"/>
      <w:sz w:val="16"/>
      <w:szCs w:val="16"/>
      <w:vertAlign w:val="superscript"/>
      <w:lang w:val="en-US"/>
    </w:rPr>
  </w:style>
  <w:style w:type="table" w:styleId="PlainTable3">
    <w:name w:val="Plain Table 3"/>
    <w:basedOn w:val="TableNormal"/>
    <w:uiPriority w:val="43"/>
    <w:rsid w:val="00E61374"/>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GridTable1Light">
    <w:name w:val="Grid Table 1 Light"/>
    <w:basedOn w:val="TableNormal"/>
    <w:uiPriority w:val="46"/>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BodyText">
    <w:name w:val="Body Text"/>
    <w:aliases w:val="Body Text Ch, Car,Car,b.,b,b...,- T,Body Text template style,Corpo testo-n,Corpo del testo-n,Body,body,text,Body single,RFQ Text,NoticeText-List,B&amp;B Body Text,Body Text2 Char Char Char,Body Text2 Char Char Char Char Char, (Norm),Ca,Text ,- "/>
    <w:basedOn w:val="Normal"/>
    <w:link w:val="BodyTextChar"/>
    <w:uiPriority w:val="99"/>
    <w:unhideWhenUsed/>
    <w:qFormat/>
    <w:rsid w:val="00E61374"/>
    <w:pPr>
      <w:spacing w:after="120"/>
    </w:pPr>
    <w:rPr>
      <w:rFonts w:eastAsia="Times New Roman"/>
      <w:szCs w:val="20"/>
      <w:lang w:val="en-IE"/>
    </w:rPr>
  </w:style>
  <w:style w:type="character" w:customStyle="1" w:styleId="BodyTextChar">
    <w:name w:val="Body Text Char"/>
    <w:aliases w:val="Body Text Ch Char, Car Char,Car Char,b. Char,b Char,b... Char,- T Char,Body Text template style Char,Corpo testo-n Char,Corpo del testo-n Char,Body Char,body Char,text Char,Body single Char,RFQ Text Char,NoticeText-List Char, (Norm) Char"/>
    <w:basedOn w:val="DefaultParagraphFont"/>
    <w:link w:val="BodyText"/>
    <w:uiPriority w:val="99"/>
    <w:rsid w:val="00E61374"/>
    <w:rPr>
      <w:rFonts w:ascii="Times New Roman" w:eastAsia="Times New Roman" w:hAnsi="Times New Roman" w:cs="Times New Roman"/>
      <w:sz w:val="24"/>
      <w:szCs w:val="20"/>
      <w:lang w:val="en-IE"/>
    </w:rPr>
  </w:style>
  <w:style w:type="paragraph" w:customStyle="1" w:styleId="ParagraphRiskAssessment">
    <w:name w:val="Paragraph_RiskAssessment"/>
    <w:basedOn w:val="ListBullet"/>
    <w:link w:val="ParagraphRiskAssessmentChar"/>
    <w:qFormat/>
    <w:rsid w:val="00E61374"/>
    <w:pPr>
      <w:numPr>
        <w:numId w:val="0"/>
      </w:numPr>
      <w:tabs>
        <w:tab w:val="left" w:pos="360"/>
      </w:tabs>
      <w:spacing w:before="120" w:after="120" w:line="275" w:lineRule="auto"/>
      <w:contextualSpacing/>
    </w:pPr>
    <w:rPr>
      <w:rFonts w:ascii="Arial" w:eastAsia="Calibri" w:hAnsi="Arial"/>
      <w:color w:val="4D4D4D"/>
      <w:sz w:val="22"/>
      <w:szCs w:val="22"/>
      <w:lang w:val="en-IE"/>
    </w:rPr>
  </w:style>
  <w:style w:type="character" w:customStyle="1" w:styleId="ParagraphRiskAssessmentChar">
    <w:name w:val="Paragraph_RiskAssessment Char"/>
    <w:basedOn w:val="DefaultParagraphFont"/>
    <w:link w:val="ParagraphRiskAssessment"/>
    <w:rsid w:val="00E61374"/>
    <w:rPr>
      <w:rFonts w:ascii="Arial" w:eastAsia="Calibri" w:hAnsi="Arial" w:cs="Times New Roman"/>
      <w:color w:val="4D4D4D"/>
      <w:lang w:val="en-IE"/>
    </w:rPr>
  </w:style>
  <w:style w:type="table" w:styleId="ListTable3-Accent1">
    <w:name w:val="List Table 3 Accent 1"/>
    <w:basedOn w:val="TableNormal"/>
    <w:uiPriority w:val="48"/>
    <w:rsid w:val="00E61374"/>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3">
    <w:name w:val="Grid Table 3 Accent 3"/>
    <w:basedOn w:val="TableNormal"/>
    <w:uiPriority w:val="48"/>
    <w:rsid w:val="00E61374"/>
    <w:pPr>
      <w:spacing w:after="0" w:line="240" w:lineRule="auto"/>
    </w:p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2-Accent5">
    <w:name w:val="Grid Table 2 Accent 5"/>
    <w:basedOn w:val="TableNormal"/>
    <w:uiPriority w:val="47"/>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
    <w:name w:val="Grid Table 6 Colorful"/>
    <w:basedOn w:val="TableNormal"/>
    <w:uiPriority w:val="51"/>
    <w:rsid w:val="00E61374"/>
    <w:pPr>
      <w:spacing w:after="0" w:line="240" w:lineRule="auto"/>
    </w:pPr>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Languesfaisantfoi">
    <w:name w:val="Langues faisant foi"/>
    <w:basedOn w:val="Normal"/>
    <w:next w:val="Normal"/>
    <w:rsid w:val="00E61374"/>
    <w:pPr>
      <w:spacing w:before="360"/>
      <w:jc w:val="center"/>
    </w:pPr>
    <w:rPr>
      <w:rFonts w:eastAsia="Times New Roman"/>
      <w:szCs w:val="22"/>
      <w:lang w:val="en-IE"/>
    </w:rPr>
  </w:style>
  <w:style w:type="paragraph" w:customStyle="1" w:styleId="LanguesfaisantfoiPagedecouverture">
    <w:name w:val="Langues faisant foi (Page de couverture)"/>
    <w:basedOn w:val="Normal"/>
    <w:next w:val="Normal"/>
    <w:rsid w:val="00E61374"/>
    <w:pPr>
      <w:spacing w:before="360"/>
      <w:jc w:val="center"/>
    </w:pPr>
    <w:rPr>
      <w:rFonts w:eastAsia="Times New Roman"/>
      <w:szCs w:val="22"/>
      <w:lang w:val="en-IE"/>
    </w:rPr>
  </w:style>
  <w:style w:type="paragraph" w:customStyle="1" w:styleId="IntrtEEE">
    <w:name w:val="Intérêt EEE"/>
    <w:basedOn w:val="Languesfaisantfoi"/>
    <w:next w:val="Normal"/>
    <w:rsid w:val="00E61374"/>
    <w:pPr>
      <w:spacing w:after="0"/>
    </w:pPr>
  </w:style>
  <w:style w:type="paragraph" w:customStyle="1" w:styleId="IntrtEEEPagedecouverture">
    <w:name w:val="Intérêt EEE (Page de couverture)"/>
    <w:basedOn w:val="IntrtEEE"/>
    <w:next w:val="Normal"/>
    <w:rsid w:val="00E61374"/>
  </w:style>
  <w:style w:type="table" w:styleId="ListTable4-Accent1">
    <w:name w:val="List Table 4 Accent 1"/>
    <w:basedOn w:val="TableNormal"/>
    <w:uiPriority w:val="49"/>
    <w:rsid w:val="00E61374"/>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E61374"/>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E61374"/>
    <w:pPr>
      <w:spacing w:after="0" w:line="240" w:lineRule="auto"/>
    </w:pPr>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E61374"/>
    <w:pPr>
      <w:spacing w:after="0" w:line="240" w:lineRule="auto"/>
    </w:p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PlainTable4">
    <w:name w:val="Plain Table 4"/>
    <w:basedOn w:val="TableNormal"/>
    <w:uiPriority w:val="44"/>
    <w:rsid w:val="00E613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E61374"/>
    <w:pPr>
      <w:spacing w:after="0" w:line="240" w:lineRule="auto"/>
    </w:pPr>
    <w:rPr>
      <w:color w:val="000000" w:themeColor="text1"/>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GridTable7Colorful">
    <w:name w:val="Grid Table 7 Colorful"/>
    <w:basedOn w:val="TableNormal"/>
    <w:uiPriority w:val="52"/>
    <w:rsid w:val="00E61374"/>
    <w:pPr>
      <w:spacing w:after="0" w:line="240" w:lineRule="auto"/>
    </w:pPr>
    <w:rPr>
      <w:color w:val="000000" w:themeColor="text1"/>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ListTable3">
    <w:name w:val="List Table 3"/>
    <w:basedOn w:val="TableNormal"/>
    <w:uiPriority w:val="48"/>
    <w:rsid w:val="00E61374"/>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E613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bullet1">
    <w:name w:val="Table bullet 1"/>
    <w:basedOn w:val="ListParagraph"/>
    <w:link w:val="Tablebullet1Char"/>
    <w:uiPriority w:val="41"/>
    <w:qFormat/>
    <w:rsid w:val="00E61374"/>
    <w:pPr>
      <w:spacing w:before="60" w:after="80"/>
      <w:ind w:left="340" w:hanging="283"/>
      <w:contextualSpacing w:val="0"/>
    </w:pPr>
    <w:rPr>
      <w:rFonts w:eastAsia="Times New Roman" w:cstheme="minorBidi"/>
      <w:kern w:val="16"/>
      <w:sz w:val="16"/>
      <w:szCs w:val="20"/>
      <w:lang w:val="en-IE"/>
    </w:rPr>
  </w:style>
  <w:style w:type="character" w:customStyle="1" w:styleId="Tablebullet1Char">
    <w:name w:val="Table bullet 1 Char"/>
    <w:basedOn w:val="DefaultParagraphFont"/>
    <w:link w:val="Tablebullet1"/>
    <w:uiPriority w:val="41"/>
    <w:rsid w:val="00E61374"/>
    <w:rPr>
      <w:rFonts w:ascii="Times New Roman" w:eastAsia="Times New Roman" w:hAnsi="Times New Roman"/>
      <w:kern w:val="16"/>
      <w:sz w:val="16"/>
      <w:szCs w:val="20"/>
      <w:lang w:val="en-IE"/>
    </w:rPr>
  </w:style>
  <w:style w:type="table" w:styleId="GridTable2-Accent1">
    <w:name w:val="Grid Table 2 Accent 1"/>
    <w:basedOn w:val="TableNormal"/>
    <w:uiPriority w:val="47"/>
    <w:rsid w:val="00E61374"/>
    <w:pPr>
      <w:spacing w:after="0" w:line="240" w:lineRule="auto"/>
    </w:pPr>
    <w:rPr>
      <w:kern w:val="2"/>
      <w:sz w:val="24"/>
      <w:szCs w:val="24"/>
      <w:lang w:val="en-IE"/>
    </w:rPr>
    <w:tblPr>
      <w:tblStyleRowBandSize w:val="1"/>
      <w:tblStyleColBandSize w:val="1"/>
    </w:tblPr>
    <w:tcPr>
      <w:shd w:val="clear" w:color="auto" w:fill="DBE5F1" w:themeFill="accent1" w:themeFillTint="33"/>
    </w:tc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paragraph" w:styleId="Quote">
    <w:name w:val="Quote"/>
    <w:basedOn w:val="Normal"/>
    <w:next w:val="Normal"/>
    <w:link w:val="QuoteChar"/>
    <w:uiPriority w:val="29"/>
    <w:qFormat/>
    <w:rsid w:val="00E61374"/>
    <w:pPr>
      <w:spacing w:before="160" w:after="160"/>
      <w:jc w:val="center"/>
    </w:pPr>
    <w:rPr>
      <w:rFonts w:eastAsia="Times New Roman" w:cstheme="minorBidi"/>
      <w:i/>
      <w:iCs/>
      <w:color w:val="404040" w:themeColor="text1" w:themeTint="BF"/>
      <w:kern w:val="2"/>
      <w:szCs w:val="20"/>
      <w:lang w:val="en-IE"/>
    </w:rPr>
  </w:style>
  <w:style w:type="character" w:customStyle="1" w:styleId="QuoteChar">
    <w:name w:val="Quote Char"/>
    <w:basedOn w:val="DefaultParagraphFont"/>
    <w:link w:val="Quote"/>
    <w:uiPriority w:val="29"/>
    <w:rsid w:val="00E61374"/>
    <w:rPr>
      <w:rFonts w:ascii="Times New Roman" w:eastAsia="Times New Roman" w:hAnsi="Times New Roman"/>
      <w:i/>
      <w:iCs/>
      <w:color w:val="404040" w:themeColor="text1" w:themeTint="BF"/>
      <w:kern w:val="2"/>
      <w:sz w:val="24"/>
      <w:szCs w:val="20"/>
      <w:lang w:val="en-IE"/>
    </w:rPr>
  </w:style>
  <w:style w:type="character" w:styleId="IntenseEmphasis">
    <w:name w:val="Intense Emphasis"/>
    <w:basedOn w:val="DefaultParagraphFont"/>
    <w:uiPriority w:val="21"/>
    <w:qFormat/>
    <w:rsid w:val="00E61374"/>
    <w:rPr>
      <w:i/>
      <w:iCs/>
      <w:color w:val="365F91" w:themeColor="accent1" w:themeShade="BF"/>
    </w:rPr>
  </w:style>
  <w:style w:type="paragraph" w:styleId="IntenseQuote">
    <w:name w:val="Intense Quote"/>
    <w:basedOn w:val="Normal"/>
    <w:next w:val="Normal"/>
    <w:link w:val="IntenseQuoteChar"/>
    <w:uiPriority w:val="30"/>
    <w:qFormat/>
    <w:rsid w:val="00E61374"/>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cstheme="minorBidi"/>
      <w:i/>
      <w:iCs/>
      <w:color w:val="365F91" w:themeColor="accent1" w:themeShade="BF"/>
      <w:kern w:val="2"/>
      <w:szCs w:val="20"/>
      <w:lang w:val="en-IE"/>
    </w:rPr>
  </w:style>
  <w:style w:type="character" w:customStyle="1" w:styleId="IntenseQuoteChar">
    <w:name w:val="Intense Quote Char"/>
    <w:basedOn w:val="DefaultParagraphFont"/>
    <w:link w:val="IntenseQuote"/>
    <w:uiPriority w:val="30"/>
    <w:rsid w:val="00E61374"/>
    <w:rPr>
      <w:rFonts w:ascii="Times New Roman" w:eastAsia="Times New Roman" w:hAnsi="Times New Roman"/>
      <w:i/>
      <w:iCs/>
      <w:color w:val="365F91" w:themeColor="accent1" w:themeShade="BF"/>
      <w:kern w:val="2"/>
      <w:sz w:val="24"/>
      <w:szCs w:val="20"/>
      <w:lang w:val="en-IE"/>
    </w:rPr>
  </w:style>
  <w:style w:type="character" w:styleId="IntenseReference">
    <w:name w:val="Intense Reference"/>
    <w:basedOn w:val="DefaultParagraphFont"/>
    <w:uiPriority w:val="32"/>
    <w:qFormat/>
    <w:rsid w:val="00E61374"/>
    <w:rPr>
      <w:b/>
      <w:bCs/>
      <w:smallCaps/>
      <w:color w:val="365F91" w:themeColor="accent1" w:themeShade="BF"/>
      <w:spacing w:val="5"/>
    </w:rPr>
  </w:style>
  <w:style w:type="paragraph" w:customStyle="1" w:styleId="Tabletext">
    <w:name w:val="Table text"/>
    <w:aliases w:val="ttx,F12 Table and Box Text"/>
    <w:basedOn w:val="BodyText"/>
    <w:link w:val="TabletextChar"/>
    <w:uiPriority w:val="39"/>
    <w:qFormat/>
    <w:rsid w:val="00E61374"/>
    <w:pPr>
      <w:spacing w:after="0"/>
      <w:jc w:val="left"/>
    </w:pPr>
    <w:rPr>
      <w:kern w:val="2"/>
      <w:sz w:val="16"/>
      <w:lang w:val="en-US"/>
    </w:rPr>
  </w:style>
  <w:style w:type="table" w:customStyle="1" w:styleId="TechnopolisTable1">
    <w:name w:val="Technopolis Table1"/>
    <w:basedOn w:val="TableNormal"/>
    <w:uiPriority w:val="99"/>
    <w:rsid w:val="00E61374"/>
    <w:pPr>
      <w:spacing w:before="60" w:after="0" w:line="240" w:lineRule="auto"/>
    </w:pPr>
    <w:rPr>
      <w:rFonts w:asciiTheme="majorHAnsi" w:hAnsiTheme="majorHAnsi"/>
      <w:sz w:val="16"/>
      <w:szCs w:val="16"/>
      <w:lang w:val="en-US"/>
    </w:rPr>
    <w:tblPr>
      <w:tblStyleRowBandSize w:val="1"/>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type="firstRow">
      <w:pPr>
        <w:wordWrap/>
        <w:jc w:val="left"/>
      </w:pPr>
      <w:rPr>
        <w:b/>
        <w:i w:val="0"/>
      </w:rPr>
    </w:tblStylePr>
  </w:style>
  <w:style w:type="paragraph" w:customStyle="1" w:styleId="Bullet1IA">
    <w:name w:val="Bullet 1_IA"/>
    <w:basedOn w:val="ListParagraph"/>
    <w:link w:val="Bullet1IAChar"/>
    <w:uiPriority w:val="41"/>
    <w:qFormat/>
    <w:rsid w:val="00E61374"/>
    <w:pPr>
      <w:spacing w:before="60" w:after="80"/>
      <w:ind w:left="340" w:hanging="283"/>
      <w:contextualSpacing w:val="0"/>
    </w:pPr>
    <w:rPr>
      <w:rFonts w:eastAsia="Times New Roman" w:cstheme="minorBidi"/>
      <w:kern w:val="16"/>
      <w:szCs w:val="20"/>
      <w:lang w:val="en-IE"/>
    </w:rPr>
  </w:style>
  <w:style w:type="character" w:customStyle="1" w:styleId="Bullet1IAChar">
    <w:name w:val="Bullet 1_IA Char"/>
    <w:basedOn w:val="DefaultParagraphFont"/>
    <w:link w:val="Bullet1IA"/>
    <w:uiPriority w:val="41"/>
    <w:rsid w:val="00E61374"/>
    <w:rPr>
      <w:rFonts w:ascii="Times New Roman" w:eastAsia="Times New Roman" w:hAnsi="Times New Roman"/>
      <w:kern w:val="16"/>
      <w:sz w:val="24"/>
      <w:szCs w:val="20"/>
      <w:lang w:val="en-IE"/>
    </w:rPr>
  </w:style>
  <w:style w:type="numbering" w:customStyle="1" w:styleId="NumListBullet">
    <w:name w:val="NumListBullet"/>
    <w:uiPriority w:val="99"/>
    <w:rsid w:val="00E61374"/>
  </w:style>
  <w:style w:type="numbering" w:customStyle="1" w:styleId="NumbListAppendix">
    <w:name w:val="NumbListAppendix"/>
    <w:uiPriority w:val="99"/>
    <w:rsid w:val="00E61374"/>
  </w:style>
  <w:style w:type="numbering" w:customStyle="1" w:styleId="NumLstTableBullet">
    <w:name w:val="NumLstTableBullet"/>
    <w:uiPriority w:val="99"/>
    <w:rsid w:val="00E61374"/>
  </w:style>
  <w:style w:type="numbering" w:customStyle="1" w:styleId="NumbListNumb">
    <w:name w:val="NumbListNumb"/>
    <w:uiPriority w:val="99"/>
    <w:rsid w:val="00E61374"/>
  </w:style>
  <w:style w:type="numbering" w:customStyle="1" w:styleId="NumbListMain">
    <w:name w:val="NumbListMain"/>
    <w:uiPriority w:val="99"/>
    <w:rsid w:val="00E61374"/>
  </w:style>
  <w:style w:type="numbering" w:customStyle="1" w:styleId="NumLstTableNum">
    <w:name w:val="NumLstTableNum"/>
    <w:uiPriority w:val="99"/>
    <w:rsid w:val="00E61374"/>
  </w:style>
  <w:style w:type="paragraph" w:customStyle="1" w:styleId="Tablenumber3">
    <w:name w:val="Table number 3"/>
    <w:basedOn w:val="Tablenumber2"/>
    <w:link w:val="Tablenumber3Char"/>
    <w:uiPriority w:val="41"/>
    <w:qFormat/>
    <w:rsid w:val="00E61374"/>
    <w:pPr>
      <w:tabs>
        <w:tab w:val="clear" w:pos="340"/>
        <w:tab w:val="num" w:pos="227"/>
        <w:tab w:val="num" w:pos="454"/>
      </w:tabs>
      <w:ind w:left="227"/>
    </w:pPr>
  </w:style>
  <w:style w:type="paragraph" w:styleId="TableofFigures">
    <w:name w:val="table of figures"/>
    <w:basedOn w:val="Normal"/>
    <w:next w:val="Normal"/>
    <w:uiPriority w:val="99"/>
    <w:rsid w:val="00E61374"/>
    <w:pPr>
      <w:tabs>
        <w:tab w:val="right" w:leader="underscore" w:pos="9072"/>
      </w:tabs>
      <w:spacing w:before="120" w:after="120" w:line="259" w:lineRule="auto"/>
      <w:ind w:left="1247" w:right="284" w:hanging="1247"/>
      <w:jc w:val="left"/>
    </w:pPr>
    <w:rPr>
      <w:rFonts w:eastAsia="Times New Roman" w:cstheme="minorBidi"/>
      <w:sz w:val="18"/>
      <w:szCs w:val="16"/>
      <w:lang w:val="en-IE"/>
    </w:rPr>
  </w:style>
  <w:style w:type="paragraph" w:styleId="List">
    <w:name w:val="List"/>
    <w:aliases w:val="Numbered list Level 1"/>
    <w:basedOn w:val="Normal"/>
    <w:uiPriority w:val="4"/>
    <w:unhideWhenUsed/>
    <w:qFormat/>
    <w:rsid w:val="00E61374"/>
    <w:pPr>
      <w:spacing w:after="160" w:line="259" w:lineRule="auto"/>
      <w:ind w:left="283" w:hanging="283"/>
      <w:contextualSpacing/>
      <w:jc w:val="left"/>
    </w:pPr>
    <w:rPr>
      <w:rFonts w:eastAsia="Times New Roman" w:cstheme="minorBidi"/>
      <w:sz w:val="16"/>
      <w:szCs w:val="16"/>
      <w:lang w:val="en-IE"/>
    </w:rPr>
  </w:style>
  <w:style w:type="paragraph" w:styleId="ListNumber">
    <w:name w:val="List Number"/>
    <w:basedOn w:val="Bullet3"/>
    <w:uiPriority w:val="20"/>
    <w:unhideWhenUsed/>
    <w:qFormat/>
    <w:rsid w:val="00E61374"/>
    <w:pPr>
      <w:ind w:left="360" w:hanging="360"/>
    </w:pPr>
  </w:style>
  <w:style w:type="paragraph" w:styleId="ListNumber2">
    <w:name w:val="List Number 2"/>
    <w:basedOn w:val="Bullet3"/>
    <w:uiPriority w:val="20"/>
    <w:unhideWhenUsed/>
    <w:qFormat/>
    <w:rsid w:val="00E61374"/>
    <w:pPr>
      <w:ind w:left="1080" w:hanging="360"/>
    </w:pPr>
  </w:style>
  <w:style w:type="paragraph" w:styleId="ListNumber3">
    <w:name w:val="List Number 3"/>
    <w:basedOn w:val="Bullet3"/>
    <w:uiPriority w:val="20"/>
    <w:unhideWhenUsed/>
    <w:qFormat/>
    <w:rsid w:val="00E61374"/>
    <w:pPr>
      <w:ind w:left="1800" w:hanging="360"/>
    </w:pPr>
  </w:style>
  <w:style w:type="paragraph" w:customStyle="1" w:styleId="Bullet2">
    <w:name w:val="Bullet 2"/>
    <w:aliases w:val="Bullet2"/>
    <w:basedOn w:val="Normal"/>
    <w:link w:val="Bullet2Char"/>
    <w:uiPriority w:val="19"/>
    <w:qFormat/>
    <w:rsid w:val="00E61374"/>
    <w:pPr>
      <w:spacing w:after="80" w:line="259" w:lineRule="auto"/>
      <w:ind w:left="680" w:hanging="340"/>
    </w:pPr>
    <w:rPr>
      <w:rFonts w:eastAsia="Times New Roman" w:cstheme="minorBidi"/>
      <w:sz w:val="20"/>
      <w:szCs w:val="20"/>
      <w:lang w:val="en-IE"/>
    </w:rPr>
  </w:style>
  <w:style w:type="paragraph" w:customStyle="1" w:styleId="Bullet3">
    <w:name w:val="Bullet 3"/>
    <w:aliases w:val="Bullet3"/>
    <w:basedOn w:val="Normal"/>
    <w:link w:val="Bullet3Char"/>
    <w:uiPriority w:val="19"/>
    <w:qFormat/>
    <w:rsid w:val="00E61374"/>
    <w:pPr>
      <w:spacing w:after="80" w:line="259" w:lineRule="auto"/>
      <w:ind w:left="1021" w:hanging="341"/>
    </w:pPr>
    <w:rPr>
      <w:rFonts w:eastAsia="Times New Roman" w:cstheme="minorBidi"/>
      <w:sz w:val="20"/>
      <w:szCs w:val="20"/>
      <w:lang w:val="en-IE"/>
    </w:rPr>
  </w:style>
  <w:style w:type="character" w:customStyle="1" w:styleId="Bullet2Char">
    <w:name w:val="Bullet 2 Char"/>
    <w:basedOn w:val="DefaultParagraphFont"/>
    <w:link w:val="Bullet2"/>
    <w:uiPriority w:val="19"/>
    <w:rsid w:val="00E61374"/>
    <w:rPr>
      <w:rFonts w:ascii="Times New Roman" w:eastAsia="Times New Roman" w:hAnsi="Times New Roman"/>
      <w:sz w:val="20"/>
      <w:szCs w:val="20"/>
      <w:lang w:val="en-IE"/>
    </w:rPr>
  </w:style>
  <w:style w:type="character" w:customStyle="1" w:styleId="Bullet3Char">
    <w:name w:val="Bullet 3 Char"/>
    <w:basedOn w:val="DefaultParagraphFont"/>
    <w:link w:val="Bullet3"/>
    <w:uiPriority w:val="19"/>
    <w:rsid w:val="00E61374"/>
    <w:rPr>
      <w:rFonts w:ascii="Times New Roman" w:eastAsia="Times New Roman" w:hAnsi="Times New Roman"/>
      <w:sz w:val="20"/>
      <w:szCs w:val="20"/>
      <w:lang w:val="en-IE"/>
    </w:rPr>
  </w:style>
  <w:style w:type="paragraph" w:customStyle="1" w:styleId="AppendixHeading1">
    <w:name w:val="Appendix Heading 1"/>
    <w:basedOn w:val="Heading1"/>
    <w:next w:val="BodyText"/>
    <w:link w:val="AppendixHeading1Char"/>
    <w:uiPriority w:val="39"/>
    <w:qFormat/>
    <w:rsid w:val="00E61374"/>
    <w:pPr>
      <w:keepNext w:val="0"/>
      <w:pageBreakBefore/>
      <w:numPr>
        <w:numId w:val="0"/>
      </w:numPr>
      <w:pBdr>
        <w:bottom w:val="single" w:sz="4" w:space="1" w:color="1F497D" w:themeColor="text2"/>
      </w:pBdr>
      <w:tabs>
        <w:tab w:val="num" w:pos="480"/>
        <w:tab w:val="num" w:pos="526"/>
      </w:tabs>
      <w:spacing w:before="0" w:line="259" w:lineRule="auto"/>
      <w:ind w:left="720" w:hanging="480"/>
    </w:pPr>
    <w:rPr>
      <w:rFonts w:asciiTheme="majorHAnsi" w:eastAsiaTheme="majorEastAsia" w:hAnsiTheme="majorHAnsi" w:cstheme="majorBidi"/>
      <w:b w:val="0"/>
      <w:smallCaps w:val="0"/>
      <w:sz w:val="28"/>
      <w:szCs w:val="32"/>
      <w:lang w:val="en-IE"/>
    </w:rPr>
  </w:style>
  <w:style w:type="character" w:customStyle="1" w:styleId="AppendixHeading1Char">
    <w:name w:val="Appendix Heading 1 Char"/>
    <w:basedOn w:val="DefaultParagraphFont"/>
    <w:link w:val="AppendixHeading1"/>
    <w:uiPriority w:val="39"/>
    <w:rsid w:val="00E61374"/>
    <w:rPr>
      <w:rFonts w:asciiTheme="majorHAnsi" w:eastAsiaTheme="majorEastAsia" w:hAnsiTheme="majorHAnsi" w:cstheme="majorBidi"/>
      <w:sz w:val="28"/>
      <w:szCs w:val="32"/>
      <w:lang w:val="en-IE"/>
    </w:rPr>
  </w:style>
  <w:style w:type="paragraph" w:customStyle="1" w:styleId="AppendixHeading2">
    <w:name w:val="Appendix Heading 2"/>
    <w:basedOn w:val="Heading2"/>
    <w:next w:val="BodyText"/>
    <w:link w:val="AppendixHeading2Char"/>
    <w:uiPriority w:val="39"/>
    <w:qFormat/>
    <w:rsid w:val="00E61374"/>
    <w:pPr>
      <w:numPr>
        <w:ilvl w:val="0"/>
        <w:numId w:val="0"/>
      </w:numPr>
      <w:tabs>
        <w:tab w:val="num" w:pos="340"/>
        <w:tab w:val="num" w:pos="526"/>
        <w:tab w:val="num" w:pos="907"/>
        <w:tab w:val="num" w:pos="1200"/>
      </w:tabs>
      <w:spacing w:before="240" w:after="80" w:line="259" w:lineRule="auto"/>
      <w:ind w:left="907" w:hanging="907"/>
      <w:jc w:val="left"/>
    </w:pPr>
    <w:rPr>
      <w:rFonts w:asciiTheme="majorHAnsi" w:eastAsiaTheme="majorEastAsia" w:hAnsiTheme="majorHAnsi" w:cstheme="majorBidi"/>
      <w:b w:val="0"/>
      <w:color w:val="1F497D" w:themeColor="text2"/>
      <w:sz w:val="28"/>
      <w:szCs w:val="26"/>
      <w:lang w:val="en-IE"/>
    </w:rPr>
  </w:style>
  <w:style w:type="character" w:customStyle="1" w:styleId="AppendixHeading2Char">
    <w:name w:val="Appendix Heading 2 Char"/>
    <w:basedOn w:val="AppendixHeading1Char"/>
    <w:link w:val="AppendixHeading2"/>
    <w:uiPriority w:val="39"/>
    <w:rsid w:val="00E61374"/>
    <w:rPr>
      <w:rFonts w:asciiTheme="majorHAnsi" w:eastAsiaTheme="majorEastAsia" w:hAnsiTheme="majorHAnsi" w:cstheme="majorBidi"/>
      <w:color w:val="1F497D" w:themeColor="text2"/>
      <w:sz w:val="28"/>
      <w:szCs w:val="26"/>
      <w:lang w:val="en-IE"/>
    </w:rPr>
  </w:style>
  <w:style w:type="paragraph" w:customStyle="1" w:styleId="AppendixHeading3">
    <w:name w:val="Appendix Heading 3"/>
    <w:basedOn w:val="BodyText"/>
    <w:next w:val="BodyText"/>
    <w:uiPriority w:val="39"/>
    <w:qFormat/>
    <w:rsid w:val="00E61374"/>
    <w:pPr>
      <w:keepNext/>
      <w:tabs>
        <w:tab w:val="num" w:pos="454"/>
        <w:tab w:val="num" w:pos="526"/>
        <w:tab w:val="num" w:pos="907"/>
      </w:tabs>
      <w:spacing w:before="240" w:after="60" w:line="259" w:lineRule="auto"/>
      <w:ind w:left="907" w:hanging="907"/>
      <w:outlineLvl w:val="2"/>
    </w:pPr>
    <w:rPr>
      <w:rFonts w:asciiTheme="majorHAnsi" w:hAnsiTheme="majorHAnsi" w:cstheme="majorHAnsi"/>
      <w:i/>
      <w:color w:val="000000"/>
      <w:sz w:val="20"/>
    </w:rPr>
  </w:style>
  <w:style w:type="paragraph" w:customStyle="1" w:styleId="AppendixHeading4">
    <w:name w:val="Appendix Heading 4"/>
    <w:basedOn w:val="Heading4"/>
    <w:next w:val="BodyText"/>
    <w:uiPriority w:val="39"/>
    <w:qFormat/>
    <w:rsid w:val="00E61374"/>
    <w:pPr>
      <w:keepLines/>
      <w:numPr>
        <w:ilvl w:val="0"/>
        <w:numId w:val="0"/>
      </w:numPr>
      <w:tabs>
        <w:tab w:val="num" w:pos="526"/>
        <w:tab w:val="num" w:pos="907"/>
      </w:tabs>
      <w:spacing w:before="240" w:line="259" w:lineRule="auto"/>
      <w:ind w:left="907" w:hanging="907"/>
    </w:pPr>
    <w:rPr>
      <w:rFonts w:asciiTheme="majorHAnsi" w:eastAsiaTheme="majorEastAsia" w:hAnsiTheme="majorHAnsi" w:cstheme="majorBidi"/>
      <w:iCs/>
      <w:color w:val="EEECE1" w:themeColor="background2"/>
      <w:sz w:val="20"/>
      <w:szCs w:val="16"/>
      <w:lang w:val="en-IE"/>
    </w:rPr>
  </w:style>
  <w:style w:type="paragraph" w:styleId="BodyText2">
    <w:name w:val="Body Text 2"/>
    <w:basedOn w:val="Normal"/>
    <w:link w:val="BodyText2Char"/>
    <w:uiPriority w:val="99"/>
    <w:semiHidden/>
    <w:unhideWhenUsed/>
    <w:rsid w:val="00E61374"/>
    <w:pPr>
      <w:spacing w:after="120" w:line="480" w:lineRule="auto"/>
      <w:jc w:val="left"/>
    </w:pPr>
    <w:rPr>
      <w:rFonts w:eastAsia="Times New Roman" w:cstheme="minorBidi"/>
      <w:sz w:val="20"/>
      <w:szCs w:val="16"/>
      <w:lang w:val="en-IE"/>
    </w:rPr>
  </w:style>
  <w:style w:type="character" w:customStyle="1" w:styleId="BodyText2Char">
    <w:name w:val="Body Text 2 Char"/>
    <w:basedOn w:val="DefaultParagraphFont"/>
    <w:link w:val="BodyText2"/>
    <w:uiPriority w:val="99"/>
    <w:semiHidden/>
    <w:rsid w:val="00E61374"/>
    <w:rPr>
      <w:rFonts w:ascii="Times New Roman" w:eastAsia="Times New Roman" w:hAnsi="Times New Roman"/>
      <w:sz w:val="20"/>
      <w:szCs w:val="16"/>
      <w:lang w:val="en-IE"/>
    </w:rPr>
  </w:style>
  <w:style w:type="paragraph" w:styleId="BodyText3">
    <w:name w:val="Body Text 3"/>
    <w:basedOn w:val="Normal"/>
    <w:link w:val="BodyText3Char"/>
    <w:uiPriority w:val="99"/>
    <w:semiHidden/>
    <w:unhideWhenUsed/>
    <w:rsid w:val="00E61374"/>
    <w:pPr>
      <w:spacing w:after="120" w:line="259" w:lineRule="auto"/>
      <w:jc w:val="left"/>
    </w:pPr>
    <w:rPr>
      <w:rFonts w:eastAsia="Times New Roman" w:cstheme="minorBidi"/>
      <w:sz w:val="20"/>
      <w:szCs w:val="16"/>
      <w:lang w:val="en-IE"/>
    </w:rPr>
  </w:style>
  <w:style w:type="character" w:customStyle="1" w:styleId="BodyText3Char">
    <w:name w:val="Body Text 3 Char"/>
    <w:basedOn w:val="DefaultParagraphFont"/>
    <w:link w:val="BodyText3"/>
    <w:uiPriority w:val="99"/>
    <w:semiHidden/>
    <w:rsid w:val="00E61374"/>
    <w:rPr>
      <w:rFonts w:ascii="Times New Roman" w:eastAsia="Times New Roman" w:hAnsi="Times New Roman"/>
      <w:sz w:val="20"/>
      <w:szCs w:val="16"/>
      <w:lang w:val="en-IE"/>
    </w:rPr>
  </w:style>
  <w:style w:type="paragraph" w:styleId="BodyTextFirstIndent">
    <w:name w:val="Body Text First Indent"/>
    <w:basedOn w:val="BodyText"/>
    <w:link w:val="BodyTextFirstIndentChar"/>
    <w:uiPriority w:val="99"/>
    <w:semiHidden/>
    <w:unhideWhenUsed/>
    <w:rsid w:val="00E61374"/>
    <w:pPr>
      <w:spacing w:after="160" w:line="259" w:lineRule="auto"/>
      <w:ind w:firstLine="360"/>
    </w:pPr>
    <w:rPr>
      <w:rFonts w:cstheme="minorBidi"/>
      <w:sz w:val="20"/>
      <w:szCs w:val="16"/>
    </w:rPr>
  </w:style>
  <w:style w:type="character" w:customStyle="1" w:styleId="BodyTextFirstIndentChar">
    <w:name w:val="Body Text First Indent Char"/>
    <w:basedOn w:val="BodyTextChar"/>
    <w:link w:val="BodyTextFirstIndent"/>
    <w:uiPriority w:val="99"/>
    <w:semiHidden/>
    <w:rsid w:val="00E61374"/>
    <w:rPr>
      <w:rFonts w:ascii="Times New Roman" w:eastAsia="Times New Roman" w:hAnsi="Times New Roman" w:cs="Times New Roman"/>
      <w:sz w:val="20"/>
      <w:szCs w:val="16"/>
      <w:lang w:val="en-IE"/>
    </w:rPr>
  </w:style>
  <w:style w:type="paragraph" w:styleId="BodyTextIndent">
    <w:name w:val="Body Text Indent"/>
    <w:basedOn w:val="Normal"/>
    <w:link w:val="BodyTextIndentChar"/>
    <w:uiPriority w:val="99"/>
    <w:semiHidden/>
    <w:unhideWhenUsed/>
    <w:rsid w:val="00E61374"/>
    <w:pPr>
      <w:spacing w:after="120" w:line="259" w:lineRule="auto"/>
      <w:ind w:left="283"/>
      <w:jc w:val="left"/>
    </w:pPr>
    <w:rPr>
      <w:rFonts w:eastAsia="Times New Roman" w:cstheme="minorBidi"/>
      <w:sz w:val="20"/>
      <w:szCs w:val="16"/>
      <w:lang w:val="en-IE"/>
    </w:rPr>
  </w:style>
  <w:style w:type="character" w:customStyle="1" w:styleId="BodyTextIndentChar">
    <w:name w:val="Body Text Indent Char"/>
    <w:basedOn w:val="DefaultParagraphFont"/>
    <w:link w:val="BodyTextIndent"/>
    <w:uiPriority w:val="99"/>
    <w:semiHidden/>
    <w:rsid w:val="00E61374"/>
    <w:rPr>
      <w:rFonts w:ascii="Times New Roman" w:eastAsia="Times New Roman" w:hAnsi="Times New Roman"/>
      <w:sz w:val="20"/>
      <w:szCs w:val="16"/>
      <w:lang w:val="en-IE"/>
    </w:rPr>
  </w:style>
  <w:style w:type="paragraph" w:styleId="BodyTextFirstIndent2">
    <w:name w:val="Body Text First Indent 2"/>
    <w:basedOn w:val="BodyTextIndent"/>
    <w:link w:val="BodyTextFirstIndent2Char"/>
    <w:uiPriority w:val="99"/>
    <w:semiHidden/>
    <w:unhideWhenUsed/>
    <w:rsid w:val="00E6137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61374"/>
    <w:rPr>
      <w:rFonts w:ascii="Times New Roman" w:eastAsia="Times New Roman" w:hAnsi="Times New Roman"/>
      <w:sz w:val="20"/>
      <w:szCs w:val="16"/>
      <w:lang w:val="en-IE"/>
    </w:rPr>
  </w:style>
  <w:style w:type="paragraph" w:styleId="BodyTextIndent2">
    <w:name w:val="Body Text Indent 2"/>
    <w:basedOn w:val="Normal"/>
    <w:link w:val="BodyTextIndent2Char"/>
    <w:uiPriority w:val="99"/>
    <w:semiHidden/>
    <w:unhideWhenUsed/>
    <w:rsid w:val="00E61374"/>
    <w:pPr>
      <w:spacing w:after="120" w:line="480" w:lineRule="auto"/>
      <w:ind w:left="283"/>
      <w:jc w:val="left"/>
    </w:pPr>
    <w:rPr>
      <w:rFonts w:eastAsia="Times New Roman" w:cstheme="minorBidi"/>
      <w:sz w:val="20"/>
      <w:szCs w:val="16"/>
      <w:lang w:val="en-IE"/>
    </w:rPr>
  </w:style>
  <w:style w:type="character" w:customStyle="1" w:styleId="BodyTextIndent2Char">
    <w:name w:val="Body Text Indent 2 Char"/>
    <w:basedOn w:val="DefaultParagraphFont"/>
    <w:link w:val="BodyTextIndent2"/>
    <w:uiPriority w:val="99"/>
    <w:semiHidden/>
    <w:rsid w:val="00E61374"/>
    <w:rPr>
      <w:rFonts w:ascii="Times New Roman" w:eastAsia="Times New Roman" w:hAnsi="Times New Roman"/>
      <w:sz w:val="20"/>
      <w:szCs w:val="16"/>
      <w:lang w:val="en-IE"/>
    </w:rPr>
  </w:style>
  <w:style w:type="paragraph" w:styleId="BodyTextIndent3">
    <w:name w:val="Body Text Indent 3"/>
    <w:basedOn w:val="Normal"/>
    <w:link w:val="BodyTextIndent3Char"/>
    <w:uiPriority w:val="99"/>
    <w:semiHidden/>
    <w:unhideWhenUsed/>
    <w:rsid w:val="00E61374"/>
    <w:pPr>
      <w:spacing w:after="120" w:line="259" w:lineRule="auto"/>
      <w:ind w:left="283"/>
      <w:jc w:val="left"/>
    </w:pPr>
    <w:rPr>
      <w:rFonts w:eastAsia="Times New Roman" w:cstheme="minorBidi"/>
      <w:sz w:val="20"/>
      <w:szCs w:val="16"/>
      <w:lang w:val="en-IE"/>
    </w:rPr>
  </w:style>
  <w:style w:type="character" w:customStyle="1" w:styleId="BodyTextIndent3Char">
    <w:name w:val="Body Text Indent 3 Char"/>
    <w:basedOn w:val="DefaultParagraphFont"/>
    <w:link w:val="BodyTextIndent3"/>
    <w:uiPriority w:val="99"/>
    <w:semiHidden/>
    <w:rsid w:val="00E61374"/>
    <w:rPr>
      <w:rFonts w:ascii="Times New Roman" w:eastAsia="Times New Roman" w:hAnsi="Times New Roman"/>
      <w:sz w:val="20"/>
      <w:szCs w:val="16"/>
      <w:lang w:val="en-IE"/>
    </w:rPr>
  </w:style>
  <w:style w:type="paragraph" w:customStyle="1" w:styleId="BodytextNospace">
    <w:name w:val="Body text No space"/>
    <w:basedOn w:val="NoSpacing"/>
    <w:rsid w:val="00E61374"/>
    <w:pPr>
      <w:jc w:val="both"/>
    </w:pPr>
    <w:rPr>
      <w:rFonts w:ascii="Times New Roman" w:eastAsiaTheme="minorHAnsi" w:hAnsi="Times New Roman"/>
      <w:noProof/>
      <w:sz w:val="20"/>
      <w:szCs w:val="16"/>
      <w:lang w:val="nl-NL"/>
    </w:rPr>
  </w:style>
  <w:style w:type="character" w:styleId="BookTitle">
    <w:name w:val="Book Title"/>
    <w:basedOn w:val="DefaultParagraphFont"/>
    <w:uiPriority w:val="59"/>
    <w:rsid w:val="00E61374"/>
    <w:rPr>
      <w:b/>
      <w:bCs/>
      <w:i/>
      <w:iCs/>
      <w:spacing w:val="5"/>
    </w:rPr>
  </w:style>
  <w:style w:type="character" w:styleId="Emphasis">
    <w:name w:val="Emphasis"/>
    <w:basedOn w:val="DefaultParagraphFont"/>
    <w:uiPriority w:val="20"/>
    <w:qFormat/>
    <w:rsid w:val="00E61374"/>
    <w:rPr>
      <w:i/>
      <w:iCs/>
    </w:rPr>
  </w:style>
  <w:style w:type="paragraph" w:customStyle="1" w:styleId="Headline">
    <w:name w:val="Headline"/>
    <w:basedOn w:val="Normal"/>
    <w:next w:val="BodyText"/>
    <w:link w:val="HeadlineChar"/>
    <w:uiPriority w:val="29"/>
    <w:qFormat/>
    <w:rsid w:val="00E61374"/>
    <w:pPr>
      <w:spacing w:before="200" w:after="160" w:line="259" w:lineRule="auto"/>
      <w:jc w:val="left"/>
    </w:pPr>
    <w:rPr>
      <w:rFonts w:eastAsia="Times New Roman" w:cstheme="minorBidi"/>
      <w:b/>
      <w:szCs w:val="16"/>
      <w:lang w:val="en-IE"/>
    </w:rPr>
  </w:style>
  <w:style w:type="character" w:customStyle="1" w:styleId="HeadlineChar">
    <w:name w:val="Headline Char"/>
    <w:basedOn w:val="DefaultParagraphFont"/>
    <w:link w:val="Headline"/>
    <w:uiPriority w:val="29"/>
    <w:rsid w:val="00E61374"/>
    <w:rPr>
      <w:rFonts w:ascii="Times New Roman" w:eastAsia="Times New Roman" w:hAnsi="Times New Roman"/>
      <w:b/>
      <w:sz w:val="24"/>
      <w:szCs w:val="16"/>
      <w:lang w:val="en-IE"/>
    </w:rPr>
  </w:style>
  <w:style w:type="paragraph" w:styleId="ListBullet2">
    <w:name w:val="List Bullet 2"/>
    <w:basedOn w:val="Normal"/>
    <w:uiPriority w:val="99"/>
    <w:semiHidden/>
    <w:unhideWhenUsed/>
    <w:rsid w:val="00E61374"/>
    <w:pPr>
      <w:tabs>
        <w:tab w:val="num" w:pos="643"/>
      </w:tabs>
      <w:spacing w:after="160" w:line="259" w:lineRule="auto"/>
      <w:ind w:left="643" w:hanging="360"/>
      <w:contextualSpacing/>
      <w:jc w:val="left"/>
    </w:pPr>
    <w:rPr>
      <w:rFonts w:eastAsia="Times New Roman" w:cstheme="minorBidi"/>
      <w:sz w:val="16"/>
      <w:szCs w:val="16"/>
      <w:lang w:val="en-IE"/>
    </w:rPr>
  </w:style>
  <w:style w:type="paragraph" w:styleId="ListBullet3">
    <w:name w:val="List Bullet 3"/>
    <w:basedOn w:val="Normal"/>
    <w:uiPriority w:val="99"/>
    <w:semiHidden/>
    <w:unhideWhenUsed/>
    <w:rsid w:val="00E61374"/>
    <w:pPr>
      <w:tabs>
        <w:tab w:val="num" w:pos="1985"/>
      </w:tabs>
      <w:spacing w:after="160" w:line="259" w:lineRule="auto"/>
      <w:ind w:left="1985" w:hanging="1985"/>
      <w:contextualSpacing/>
      <w:jc w:val="left"/>
    </w:pPr>
    <w:rPr>
      <w:rFonts w:eastAsia="Times New Roman" w:cstheme="minorBidi"/>
      <w:sz w:val="16"/>
      <w:szCs w:val="16"/>
      <w:lang w:val="en-IE"/>
    </w:rPr>
  </w:style>
  <w:style w:type="character" w:styleId="PageNumber">
    <w:name w:val="page number"/>
    <w:basedOn w:val="DefaultParagraphFont"/>
    <w:uiPriority w:val="99"/>
    <w:semiHidden/>
    <w:unhideWhenUsed/>
    <w:rsid w:val="00E61374"/>
  </w:style>
  <w:style w:type="table" w:customStyle="1" w:styleId="PlainTable21">
    <w:name w:val="Plain Table 21"/>
    <w:basedOn w:val="TableNormal"/>
    <w:uiPriority w:val="99"/>
    <w:rsid w:val="00E61374"/>
    <w:pPr>
      <w:spacing w:after="0" w:line="240" w:lineRule="auto"/>
    </w:pPr>
    <w:rPr>
      <w:sz w:val="16"/>
      <w:szCs w:val="16"/>
      <w:lang w:val="en-US"/>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Source">
    <w:name w:val="Source"/>
    <w:basedOn w:val="BodyText"/>
    <w:next w:val="BodyText"/>
    <w:link w:val="SourceChar"/>
    <w:qFormat/>
    <w:rsid w:val="00043DCE"/>
    <w:pPr>
      <w:spacing w:after="60"/>
      <w:jc w:val="right"/>
    </w:pPr>
    <w:rPr>
      <w:i/>
      <w:sz w:val="18"/>
      <w:szCs w:val="16"/>
    </w:rPr>
  </w:style>
  <w:style w:type="character" w:customStyle="1" w:styleId="SourceChar">
    <w:name w:val="Source Char"/>
    <w:basedOn w:val="BodyTextChar"/>
    <w:link w:val="Source"/>
    <w:rsid w:val="00043DCE"/>
    <w:rPr>
      <w:rFonts w:ascii="Times New Roman" w:eastAsia="Times New Roman" w:hAnsi="Times New Roman" w:cs="Times New Roman"/>
      <w:i/>
      <w:sz w:val="18"/>
      <w:szCs w:val="16"/>
      <w:lang w:val="en-IE"/>
    </w:rPr>
  </w:style>
  <w:style w:type="character" w:styleId="Strong">
    <w:name w:val="Strong"/>
    <w:basedOn w:val="DefaultParagraphFont"/>
    <w:uiPriority w:val="22"/>
    <w:qFormat/>
    <w:rsid w:val="00E61374"/>
    <w:rPr>
      <w:b/>
      <w:bCs/>
    </w:rPr>
  </w:style>
  <w:style w:type="table" w:customStyle="1" w:styleId="Style2">
    <w:name w:val="Style2"/>
    <w:basedOn w:val="TableNormal"/>
    <w:uiPriority w:val="99"/>
    <w:rsid w:val="00E61374"/>
    <w:pPr>
      <w:spacing w:after="0" w:line="240" w:lineRule="auto"/>
    </w:pPr>
    <w:rPr>
      <w:sz w:val="16"/>
      <w:szCs w:val="16"/>
    </w:rPr>
    <w:tblPr>
      <w:tblInd w:w="0" w:type="nil"/>
      <w:tblCellMar>
        <w:left w:w="0" w:type="dxa"/>
        <w:right w:w="0" w:type="dxa"/>
      </w:tblCellMar>
    </w:tblPr>
  </w:style>
  <w:style w:type="character" w:styleId="SubtleEmphasis">
    <w:name w:val="Subtle Emphasis"/>
    <w:basedOn w:val="DefaultParagraphFont"/>
    <w:uiPriority w:val="21"/>
    <w:rsid w:val="00E61374"/>
    <w:rPr>
      <w:i/>
      <w:iCs/>
      <w:color w:val="404040" w:themeColor="text1" w:themeTint="BF"/>
    </w:rPr>
  </w:style>
  <w:style w:type="character" w:styleId="SubtleReference">
    <w:name w:val="Subtle Reference"/>
    <w:basedOn w:val="DefaultParagraphFont"/>
    <w:uiPriority w:val="59"/>
    <w:rsid w:val="00E61374"/>
    <w:rPr>
      <w:caps/>
      <w:smallCaps w:val="0"/>
      <w:color w:val="5A5A5A" w:themeColor="text1" w:themeTint="A5"/>
    </w:rPr>
  </w:style>
  <w:style w:type="paragraph" w:customStyle="1" w:styleId="Tablebullet2">
    <w:name w:val="Table bullet 2"/>
    <w:basedOn w:val="Bullet2"/>
    <w:link w:val="Tablebullet2Char"/>
    <w:uiPriority w:val="41"/>
    <w:qFormat/>
    <w:rsid w:val="00E61374"/>
    <w:pPr>
      <w:spacing w:before="60" w:line="240" w:lineRule="auto"/>
      <w:ind w:left="432" w:hanging="432"/>
      <w:jc w:val="left"/>
    </w:pPr>
    <w:rPr>
      <w:kern w:val="16"/>
    </w:rPr>
  </w:style>
  <w:style w:type="character" w:customStyle="1" w:styleId="Tablebullet2Char">
    <w:name w:val="Table bullet 2 Char"/>
    <w:basedOn w:val="Bullet2Char"/>
    <w:link w:val="Tablebullet2"/>
    <w:uiPriority w:val="41"/>
    <w:rsid w:val="00E61374"/>
    <w:rPr>
      <w:rFonts w:ascii="Times New Roman" w:eastAsia="Times New Roman" w:hAnsi="Times New Roman"/>
      <w:kern w:val="16"/>
      <w:sz w:val="20"/>
      <w:szCs w:val="20"/>
      <w:lang w:val="en-IE"/>
    </w:rPr>
  </w:style>
  <w:style w:type="paragraph" w:customStyle="1" w:styleId="Tablebullet3">
    <w:name w:val="Table bullet 3"/>
    <w:basedOn w:val="Bullet3"/>
    <w:link w:val="Tablebullet3Char"/>
    <w:uiPriority w:val="41"/>
    <w:qFormat/>
    <w:rsid w:val="00E61374"/>
    <w:pPr>
      <w:tabs>
        <w:tab w:val="num" w:pos="227"/>
        <w:tab w:val="num" w:pos="643"/>
      </w:tabs>
      <w:spacing w:before="60" w:line="240" w:lineRule="auto"/>
      <w:ind w:left="643" w:hanging="360"/>
      <w:jc w:val="left"/>
    </w:pPr>
    <w:rPr>
      <w:kern w:val="16"/>
    </w:rPr>
  </w:style>
  <w:style w:type="character" w:customStyle="1" w:styleId="Tablebullet3Char">
    <w:name w:val="Table bullet 3 Char"/>
    <w:basedOn w:val="Bullet3Char"/>
    <w:link w:val="Tablebullet3"/>
    <w:uiPriority w:val="41"/>
    <w:rsid w:val="00E61374"/>
    <w:rPr>
      <w:rFonts w:ascii="Times New Roman" w:eastAsia="Times New Roman" w:hAnsi="Times New Roman"/>
      <w:kern w:val="16"/>
      <w:sz w:val="20"/>
      <w:szCs w:val="20"/>
      <w:lang w:val="en-IE"/>
    </w:rPr>
  </w:style>
  <w:style w:type="paragraph" w:customStyle="1" w:styleId="Tablecolumnheader">
    <w:name w:val="Table column header"/>
    <w:basedOn w:val="BodyText"/>
    <w:rsid w:val="00E61374"/>
    <w:pPr>
      <w:spacing w:before="60" w:after="0"/>
    </w:pPr>
    <w:rPr>
      <w:rFonts w:asciiTheme="majorHAnsi" w:hAnsiTheme="majorHAnsi"/>
      <w:sz w:val="16"/>
    </w:rPr>
  </w:style>
  <w:style w:type="table" w:customStyle="1" w:styleId="TableGrid1">
    <w:name w:val="Table Grid1"/>
    <w:basedOn w:val="TableNormal"/>
    <w:next w:val="TableGrid"/>
    <w:uiPriority w:val="39"/>
    <w:rsid w:val="00E61374"/>
    <w:pPr>
      <w:spacing w:after="0" w:line="240" w:lineRule="auto"/>
    </w:pPr>
    <w:rPr>
      <w:sz w:val="16"/>
      <w:szCs w:val="16"/>
      <w:lang w:val="en-US"/>
    </w:rPr>
    <w:tblPr>
      <w:tblInd w:w="0" w:type="nil"/>
      <w:tblCellMar>
        <w:left w:w="0" w:type="dxa"/>
        <w:right w:w="0" w:type="dxa"/>
      </w:tblCellMar>
    </w:tblPr>
  </w:style>
  <w:style w:type="paragraph" w:customStyle="1" w:styleId="Tablenumber1">
    <w:name w:val="Table number 1"/>
    <w:basedOn w:val="Normal"/>
    <w:link w:val="Tablenumber1Char"/>
    <w:autoRedefine/>
    <w:uiPriority w:val="41"/>
    <w:qFormat/>
    <w:rsid w:val="00E61374"/>
    <w:pPr>
      <w:spacing w:before="60" w:after="0"/>
      <w:ind w:left="227" w:hanging="227"/>
      <w:jc w:val="left"/>
    </w:pPr>
    <w:rPr>
      <w:rFonts w:asciiTheme="majorHAnsi" w:eastAsia="Times New Roman" w:hAnsiTheme="majorHAnsi" w:cstheme="minorBidi"/>
      <w:kern w:val="16"/>
      <w:sz w:val="14"/>
      <w:szCs w:val="14"/>
      <w:lang w:val="en-IE"/>
    </w:rPr>
  </w:style>
  <w:style w:type="character" w:customStyle="1" w:styleId="Tablenumber1Char">
    <w:name w:val="Table number 1 Char"/>
    <w:basedOn w:val="DefaultParagraphFont"/>
    <w:link w:val="Tablenumber1"/>
    <w:uiPriority w:val="41"/>
    <w:rsid w:val="00E61374"/>
    <w:rPr>
      <w:rFonts w:asciiTheme="majorHAnsi" w:eastAsia="Times New Roman" w:hAnsiTheme="majorHAnsi"/>
      <w:kern w:val="16"/>
      <w:sz w:val="14"/>
      <w:szCs w:val="14"/>
      <w:lang w:val="en-IE"/>
    </w:rPr>
  </w:style>
  <w:style w:type="paragraph" w:customStyle="1" w:styleId="Tablenumber2">
    <w:name w:val="Table number 2"/>
    <w:basedOn w:val="Tablenumber1"/>
    <w:link w:val="Tablenumber2Char"/>
    <w:uiPriority w:val="41"/>
    <w:qFormat/>
    <w:rsid w:val="00E61374"/>
    <w:pPr>
      <w:tabs>
        <w:tab w:val="num" w:pos="340"/>
      </w:tabs>
      <w:ind w:left="340"/>
    </w:pPr>
  </w:style>
  <w:style w:type="character" w:customStyle="1" w:styleId="Tablenumber2Char">
    <w:name w:val="Table number 2 Char"/>
    <w:basedOn w:val="Tablenumber1Char"/>
    <w:link w:val="Tablenumber2"/>
    <w:uiPriority w:val="41"/>
    <w:rsid w:val="00E61374"/>
    <w:rPr>
      <w:rFonts w:asciiTheme="majorHAnsi" w:eastAsia="Times New Roman" w:hAnsiTheme="majorHAnsi"/>
      <w:kern w:val="16"/>
      <w:sz w:val="14"/>
      <w:szCs w:val="14"/>
      <w:lang w:val="en-IE"/>
    </w:rPr>
  </w:style>
  <w:style w:type="character" w:customStyle="1" w:styleId="Tablenumber3Char">
    <w:name w:val="Table number 3 Char"/>
    <w:basedOn w:val="Tablenumber2Char"/>
    <w:link w:val="Tablenumber3"/>
    <w:uiPriority w:val="41"/>
    <w:rsid w:val="00E61374"/>
    <w:rPr>
      <w:rFonts w:asciiTheme="majorHAnsi" w:eastAsia="Times New Roman" w:hAnsiTheme="majorHAnsi"/>
      <w:kern w:val="16"/>
      <w:sz w:val="14"/>
      <w:szCs w:val="14"/>
      <w:lang w:val="en-IE"/>
    </w:rPr>
  </w:style>
  <w:style w:type="paragraph" w:customStyle="1" w:styleId="Tablerowheader">
    <w:name w:val="Table row header"/>
    <w:basedOn w:val="Tablecolumnheader"/>
    <w:uiPriority w:val="40"/>
    <w:rsid w:val="00E61374"/>
    <w:rPr>
      <w:color w:val="000000"/>
    </w:rPr>
  </w:style>
  <w:style w:type="table" w:customStyle="1" w:styleId="TechnopolisLight">
    <w:name w:val="Technopolis Light"/>
    <w:basedOn w:val="TableNormal"/>
    <w:uiPriority w:val="99"/>
    <w:rsid w:val="00E61374"/>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b/>
        <w:i w:val="0"/>
      </w:rPr>
    </w:tblStylePr>
  </w:style>
  <w:style w:type="table" w:customStyle="1" w:styleId="TechnopolisLight1">
    <w:name w:val="Technopolis Light1"/>
    <w:basedOn w:val="TableNormal"/>
    <w:uiPriority w:val="99"/>
    <w:rsid w:val="00E61374"/>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i/>
      </w:rPr>
    </w:tblStylePr>
  </w:style>
  <w:style w:type="table" w:customStyle="1" w:styleId="TechnopolisTable">
    <w:name w:val="Technopolis Table"/>
    <w:basedOn w:val="TechnopolisLight"/>
    <w:uiPriority w:val="99"/>
    <w:rsid w:val="00E61374"/>
    <w:tblPr/>
    <w:tblStylePr w:type="firstRow">
      <w:pPr>
        <w:wordWrap/>
        <w:jc w:val="left"/>
      </w:pPr>
      <w:rPr>
        <w:b/>
        <w:i w:val="0"/>
      </w:rPr>
    </w:tblStylePr>
  </w:style>
  <w:style w:type="table" w:customStyle="1" w:styleId="Technopolistable2">
    <w:name w:val="Technopolis table 2"/>
    <w:basedOn w:val="TableNormal"/>
    <w:uiPriority w:val="99"/>
    <w:rsid w:val="00E61374"/>
    <w:pPr>
      <w:spacing w:after="0" w:line="240" w:lineRule="auto"/>
    </w:pPr>
    <w:rPr>
      <w:rFonts w:ascii="Georgia" w:hAnsi="Georgia"/>
      <w:color w:val="00B050"/>
      <w:sz w:val="16"/>
      <w:szCs w:val="16"/>
      <w:lang w:val="en-US"/>
    </w:rPr>
    <w:tblPr>
      <w:tblInd w:w="0" w:type="nil"/>
      <w:tblCellMar>
        <w:left w:w="0" w:type="dxa"/>
        <w:right w:w="0" w:type="dxa"/>
      </w:tblCellMar>
    </w:tblPr>
    <w:tblStylePr w:type="firstRow">
      <w:rPr>
        <w:sz w:val="16"/>
      </w:rPr>
    </w:tblStylePr>
  </w:style>
  <w:style w:type="table" w:customStyle="1" w:styleId="TechnopolisTEST2">
    <w:name w:val="Technopolis TEST 2"/>
    <w:basedOn w:val="TableNormal"/>
    <w:uiPriority w:val="99"/>
    <w:rsid w:val="00E61374"/>
    <w:pPr>
      <w:spacing w:after="0" w:line="240" w:lineRule="auto"/>
    </w:pPr>
    <w:rPr>
      <w:sz w:val="16"/>
      <w:szCs w:val="16"/>
      <w:lang w:val="en-US"/>
    </w:rPr>
    <w:tblPr>
      <w:tblInd w:w="0" w:type="nil"/>
      <w:tblCellMar>
        <w:left w:w="0" w:type="dxa"/>
        <w:right w:w="0" w:type="dxa"/>
      </w:tblCellMar>
    </w:tblPr>
    <w:tblStylePr w:type="firstRow">
      <w:rPr>
        <w:sz w:val="16"/>
      </w:rPr>
    </w:tblStylePr>
    <w:tblStylePr w:type="lastRow">
      <w:rPr>
        <w:sz w:val="16"/>
      </w:rPr>
    </w:tblStylePr>
    <w:tblStylePr w:type="firstCol">
      <w:rPr>
        <w:sz w:val="16"/>
      </w:rPr>
    </w:tblStylePr>
    <w:tblStylePr w:type="lastCol">
      <w:rPr>
        <w:sz w:val="16"/>
      </w:rPr>
    </w:tblStylePr>
    <w:tblStylePr w:type="band1Vert">
      <w:rPr>
        <w:sz w:val="16"/>
      </w:rPr>
    </w:tblStylePr>
    <w:tblStylePr w:type="band2Vert">
      <w:rPr>
        <w:sz w:val="16"/>
      </w:rPr>
    </w:tblStylePr>
    <w:tblStylePr w:type="band1Horz">
      <w:rPr>
        <w:sz w:val="16"/>
      </w:rPr>
    </w:tblStylePr>
    <w:tblStylePr w:type="band2Horz">
      <w:rPr>
        <w:sz w:val="16"/>
      </w:rPr>
    </w:tblStylePr>
    <w:tblStylePr w:type="neCell">
      <w:rPr>
        <w:sz w:val="16"/>
      </w:rPr>
    </w:tblStylePr>
    <w:tblStylePr w:type="nwCell">
      <w:rPr>
        <w:sz w:val="16"/>
      </w:rPr>
    </w:tblStylePr>
    <w:tblStylePr w:type="seCell">
      <w:rPr>
        <w:sz w:val="16"/>
      </w:rPr>
    </w:tblStylePr>
    <w:tblStylePr w:type="swCell">
      <w:rPr>
        <w:sz w:val="16"/>
      </w:rPr>
    </w:tblStylePr>
  </w:style>
  <w:style w:type="paragraph" w:styleId="TOC4">
    <w:name w:val="toc 4"/>
    <w:basedOn w:val="TOC1"/>
    <w:next w:val="Normal"/>
    <w:autoRedefine/>
    <w:uiPriority w:val="39"/>
    <w:rsid w:val="00E61374"/>
    <w:pPr>
      <w:tabs>
        <w:tab w:val="clear" w:pos="8640"/>
        <w:tab w:val="right" w:leader="underscore" w:pos="9061"/>
      </w:tabs>
      <w:spacing w:line="259" w:lineRule="auto"/>
      <w:ind w:left="1247" w:right="284" w:hanging="1247"/>
      <w:jc w:val="left"/>
    </w:pPr>
    <w:rPr>
      <w:rFonts w:eastAsiaTheme="minorHAnsi" w:cstheme="minorBidi"/>
      <w:caps w:val="0"/>
      <w:noProof/>
      <w:color w:val="000000" w:themeColor="text1"/>
      <w:szCs w:val="16"/>
      <w:lang w:val="en-IE"/>
    </w:rPr>
  </w:style>
  <w:style w:type="paragraph" w:styleId="TOC5">
    <w:name w:val="toc 5"/>
    <w:basedOn w:val="TOC4"/>
    <w:next w:val="Normal"/>
    <w:autoRedefine/>
    <w:uiPriority w:val="39"/>
    <w:rsid w:val="00E61374"/>
    <w:pPr>
      <w:ind w:left="851" w:hanging="851"/>
    </w:pPr>
  </w:style>
  <w:style w:type="paragraph" w:styleId="TOC6">
    <w:name w:val="toc 6"/>
    <w:basedOn w:val="Normal"/>
    <w:next w:val="Normal"/>
    <w:autoRedefine/>
    <w:uiPriority w:val="39"/>
    <w:rsid w:val="00E61374"/>
    <w:pPr>
      <w:spacing w:after="0" w:line="259" w:lineRule="auto"/>
      <w:ind w:left="1000"/>
      <w:jc w:val="left"/>
    </w:pPr>
    <w:rPr>
      <w:rFonts w:eastAsia="Times New Roman" w:cstheme="minorBidi"/>
      <w:sz w:val="16"/>
      <w:szCs w:val="20"/>
      <w:lang w:val="en-IE"/>
    </w:rPr>
  </w:style>
  <w:style w:type="paragraph" w:styleId="TOC7">
    <w:name w:val="toc 7"/>
    <w:basedOn w:val="Normal"/>
    <w:next w:val="Normal"/>
    <w:autoRedefine/>
    <w:uiPriority w:val="39"/>
    <w:rsid w:val="00E61374"/>
    <w:pPr>
      <w:spacing w:after="0" w:line="259" w:lineRule="auto"/>
      <w:ind w:left="1200"/>
      <w:jc w:val="left"/>
    </w:pPr>
    <w:rPr>
      <w:rFonts w:eastAsia="Times New Roman" w:cstheme="minorBidi"/>
      <w:sz w:val="16"/>
      <w:szCs w:val="20"/>
      <w:lang w:val="en-IE"/>
    </w:rPr>
  </w:style>
  <w:style w:type="paragraph" w:styleId="TOC8">
    <w:name w:val="toc 8"/>
    <w:basedOn w:val="Normal"/>
    <w:next w:val="Normal"/>
    <w:autoRedefine/>
    <w:uiPriority w:val="39"/>
    <w:rsid w:val="00E61374"/>
    <w:pPr>
      <w:spacing w:after="0" w:line="259" w:lineRule="auto"/>
      <w:ind w:left="1400"/>
      <w:jc w:val="left"/>
    </w:pPr>
    <w:rPr>
      <w:rFonts w:eastAsia="Times New Roman" w:cstheme="minorBidi"/>
      <w:sz w:val="16"/>
      <w:szCs w:val="20"/>
      <w:lang w:val="en-IE"/>
    </w:rPr>
  </w:style>
  <w:style w:type="paragraph" w:styleId="TOC9">
    <w:name w:val="toc 9"/>
    <w:basedOn w:val="Normal"/>
    <w:next w:val="Normal"/>
    <w:autoRedefine/>
    <w:uiPriority w:val="39"/>
    <w:rsid w:val="00E61374"/>
    <w:pPr>
      <w:spacing w:after="0" w:line="259" w:lineRule="auto"/>
      <w:ind w:left="1600"/>
      <w:jc w:val="left"/>
    </w:pPr>
    <w:rPr>
      <w:rFonts w:eastAsia="Times New Roman" w:cstheme="minorBidi"/>
      <w:sz w:val="16"/>
      <w:szCs w:val="20"/>
      <w:lang w:val="en-IE"/>
    </w:rPr>
  </w:style>
  <w:style w:type="paragraph" w:customStyle="1" w:styleId="Version">
    <w:name w:val="Version"/>
    <w:basedOn w:val="Title"/>
    <w:next w:val="BodyText"/>
    <w:uiPriority w:val="44"/>
    <w:rsid w:val="00E61374"/>
    <w:pPr>
      <w:pBdr>
        <w:bottom w:val="dotted" w:sz="48" w:space="1" w:color="FFFFFF" w:themeColor="background1"/>
      </w:pBdr>
      <w:spacing w:line="259" w:lineRule="auto"/>
      <w:jc w:val="left"/>
    </w:pPr>
    <w:rPr>
      <w:bCs/>
      <w:iCs/>
      <w:color w:val="000000" w:themeColor="text1"/>
      <w:sz w:val="28"/>
      <w:lang w:val="en-IE"/>
    </w:rPr>
  </w:style>
  <w:style w:type="paragraph" w:styleId="Date">
    <w:name w:val="Date"/>
    <w:basedOn w:val="Normal"/>
    <w:next w:val="Normal"/>
    <w:link w:val="DateChar"/>
    <w:uiPriority w:val="99"/>
    <w:unhideWhenUsed/>
    <w:rsid w:val="00E61374"/>
    <w:pPr>
      <w:spacing w:after="160"/>
      <w:jc w:val="left"/>
    </w:pPr>
    <w:rPr>
      <w:rFonts w:eastAsia="Times New Roman" w:cstheme="minorBidi"/>
      <w:i/>
      <w:color w:val="FFFFFF" w:themeColor="background1"/>
      <w:sz w:val="26"/>
      <w:szCs w:val="16"/>
      <w:lang w:val="en-IE"/>
    </w:rPr>
  </w:style>
  <w:style w:type="character" w:customStyle="1" w:styleId="DateChar">
    <w:name w:val="Date Char"/>
    <w:basedOn w:val="DefaultParagraphFont"/>
    <w:link w:val="Date"/>
    <w:uiPriority w:val="99"/>
    <w:rsid w:val="00E61374"/>
    <w:rPr>
      <w:rFonts w:ascii="Times New Roman" w:eastAsia="Times New Roman" w:hAnsi="Times New Roman"/>
      <w:i/>
      <w:color w:val="FFFFFF" w:themeColor="background1"/>
      <w:sz w:val="26"/>
      <w:szCs w:val="16"/>
      <w:lang w:val="en-IE"/>
    </w:rPr>
  </w:style>
  <w:style w:type="paragraph" w:customStyle="1" w:styleId="Teammembers">
    <w:name w:val="Team members"/>
    <w:basedOn w:val="BodyText"/>
    <w:uiPriority w:val="69"/>
    <w:rsid w:val="00E61374"/>
    <w:pPr>
      <w:spacing w:line="259" w:lineRule="auto"/>
    </w:pPr>
    <w:rPr>
      <w:rFonts w:cstheme="minorBidi"/>
      <w:szCs w:val="16"/>
    </w:rPr>
  </w:style>
  <w:style w:type="paragraph" w:customStyle="1" w:styleId="Titlerepeat">
    <w:name w:val="Title repeat"/>
    <w:basedOn w:val="Normal"/>
    <w:next w:val="Subtitle"/>
    <w:uiPriority w:val="69"/>
    <w:rsid w:val="00E61374"/>
    <w:pPr>
      <w:spacing w:after="200" w:line="259" w:lineRule="auto"/>
      <w:jc w:val="left"/>
    </w:pPr>
    <w:rPr>
      <w:rFonts w:eastAsia="Times New Roman" w:cstheme="minorBidi"/>
      <w:b/>
      <w:color w:val="1F497D" w:themeColor="text2"/>
      <w:sz w:val="32"/>
      <w:szCs w:val="32"/>
      <w:lang w:val="en-IE"/>
    </w:rPr>
  </w:style>
  <w:style w:type="paragraph" w:customStyle="1" w:styleId="Subtitlerepeat">
    <w:name w:val="Subtitle repeat"/>
    <w:basedOn w:val="Subtitle"/>
    <w:next w:val="Normal"/>
    <w:uiPriority w:val="69"/>
    <w:rsid w:val="00E61374"/>
    <w:pPr>
      <w:pBdr>
        <w:bottom w:val="single" w:sz="4" w:space="24" w:color="1F497D" w:themeColor="text2"/>
      </w:pBdr>
      <w:spacing w:after="120"/>
      <w:jc w:val="left"/>
    </w:pPr>
    <w:rPr>
      <w:rFonts w:asciiTheme="majorHAnsi" w:eastAsiaTheme="majorEastAsia" w:hAnsiTheme="majorHAnsi" w:cstheme="majorBidi"/>
      <w:b/>
      <w:color w:val="000000" w:themeColor="text1"/>
      <w:spacing w:val="-10"/>
      <w:kern w:val="28"/>
      <w:sz w:val="32"/>
      <w:szCs w:val="36"/>
    </w:rPr>
  </w:style>
  <w:style w:type="character" w:customStyle="1" w:styleId="NoSpacingChar">
    <w:name w:val="No Spacing Char"/>
    <w:basedOn w:val="DefaultParagraphFont"/>
    <w:link w:val="NoSpacing"/>
    <w:uiPriority w:val="9"/>
    <w:rsid w:val="00E61374"/>
    <w:rPr>
      <w:rFonts w:eastAsiaTheme="minorEastAsia"/>
    </w:rPr>
  </w:style>
  <w:style w:type="paragraph" w:customStyle="1" w:styleId="BodyText0">
    <w:name w:val="BodyText"/>
    <w:aliases w:val="Document,Doc,Body Text2,doc,Standard paragraph,(Norm),Body Text 12,bt,gl,uvlaka 2,heading3,Body Text - Level 2,1body,BodText,body text,Body Txt,Body Text-10,Body Text Char2,Text Char1,Τίτλος Μελέτης,- TF,-,??t??? ?e??t??,Základní text,Text,Te"/>
    <w:basedOn w:val="Normal"/>
    <w:link w:val="BodyTextChar0"/>
    <w:qFormat/>
    <w:rsid w:val="00E61374"/>
    <w:pPr>
      <w:spacing w:after="160" w:line="259" w:lineRule="auto"/>
    </w:pPr>
    <w:rPr>
      <w:rFonts w:eastAsia="Times New Roman" w:cstheme="minorBidi"/>
      <w:sz w:val="20"/>
      <w:szCs w:val="22"/>
      <w:lang w:val="en-IE"/>
    </w:rPr>
  </w:style>
  <w:style w:type="character" w:customStyle="1" w:styleId="BodyTextChar0">
    <w:name w:val="BodyText Char"/>
    <w:aliases w:val="Základní text Char,Document Char,Doc Char,Body Text2 Char,doc Char,Standard paragraph Char,(Norm) Char,Body Text 12 Char,bt Char,gl Char,uvlaka 2 Char,heading3 Char,Body Text - Level 2 Char,1body Char,BodText Char,body text Char,- TF Char"/>
    <w:basedOn w:val="DefaultParagraphFont"/>
    <w:link w:val="BodyText0"/>
    <w:rsid w:val="00E61374"/>
    <w:rPr>
      <w:rFonts w:ascii="Times New Roman" w:eastAsia="Times New Roman" w:hAnsi="Times New Roman"/>
      <w:sz w:val="20"/>
      <w:lang w:val="en-IE"/>
    </w:rPr>
  </w:style>
  <w:style w:type="paragraph" w:customStyle="1" w:styleId="TableListBullet">
    <w:name w:val="Table List Bullet"/>
    <w:basedOn w:val="BodyText"/>
    <w:rsid w:val="00E61374"/>
    <w:pPr>
      <w:spacing w:after="60"/>
      <w:ind w:left="360" w:hanging="360"/>
      <w:jc w:val="left"/>
    </w:pPr>
    <w:rPr>
      <w:rFonts w:ascii="Georgia" w:hAnsi="Georgia"/>
      <w:sz w:val="16"/>
    </w:rPr>
  </w:style>
  <w:style w:type="paragraph" w:customStyle="1" w:styleId="InsertFigure">
    <w:name w:val="InsertFigure"/>
    <w:basedOn w:val="BodyText"/>
    <w:rsid w:val="00E61374"/>
    <w:pPr>
      <w:jc w:val="center"/>
    </w:pPr>
    <w:rPr>
      <w:rFonts w:ascii="Georgia" w:hAnsi="Georgia"/>
      <w:color w:val="333333"/>
      <w:sz w:val="18"/>
      <w:lang w:val="de-DE"/>
    </w:rPr>
  </w:style>
  <w:style w:type="character" w:customStyle="1" w:styleId="BulletlistChar1">
    <w:name w:val="Bullet list Char1"/>
    <w:basedOn w:val="DefaultParagraphFont"/>
    <w:link w:val="Bulletlist"/>
    <w:locked/>
    <w:rsid w:val="00E61374"/>
    <w:rPr>
      <w:sz w:val="20"/>
    </w:rPr>
  </w:style>
  <w:style w:type="paragraph" w:customStyle="1" w:styleId="Bulletlist">
    <w:name w:val="Bullet list"/>
    <w:basedOn w:val="BodyText"/>
    <w:link w:val="BulletlistChar1"/>
    <w:qFormat/>
    <w:rsid w:val="00E61374"/>
    <w:pPr>
      <w:spacing w:after="80" w:line="256" w:lineRule="auto"/>
      <w:ind w:left="360" w:hanging="360"/>
    </w:pPr>
    <w:rPr>
      <w:rFonts w:asciiTheme="minorHAnsi" w:eastAsiaTheme="minorHAnsi" w:hAnsiTheme="minorHAnsi" w:cstheme="minorBidi"/>
      <w:sz w:val="20"/>
      <w:szCs w:val="22"/>
      <w:lang w:val="en-GB"/>
    </w:rPr>
  </w:style>
  <w:style w:type="paragraph" w:customStyle="1" w:styleId="Table">
    <w:name w:val="Table"/>
    <w:basedOn w:val="BodyText"/>
    <w:link w:val="TableChar"/>
    <w:qFormat/>
    <w:rsid w:val="00922CB2"/>
    <w:pPr>
      <w:spacing w:before="60"/>
      <w:jc w:val="center"/>
    </w:pPr>
    <w:rPr>
      <w:rFonts w:cstheme="minorBidi"/>
      <w:b/>
      <w:sz w:val="20"/>
      <w:szCs w:val="16"/>
    </w:rPr>
  </w:style>
  <w:style w:type="character" w:customStyle="1" w:styleId="TableChar">
    <w:name w:val="Table Char"/>
    <w:basedOn w:val="DefaultParagraphFont"/>
    <w:link w:val="Table"/>
    <w:locked/>
    <w:rsid w:val="00922CB2"/>
    <w:rPr>
      <w:rFonts w:ascii="Times New Roman" w:eastAsia="Times New Roman" w:hAnsi="Times New Roman"/>
      <w:b/>
      <w:sz w:val="20"/>
      <w:szCs w:val="16"/>
      <w:lang w:val="en-IE"/>
    </w:rPr>
  </w:style>
  <w:style w:type="table" w:customStyle="1" w:styleId="TipikTable">
    <w:name w:val="Tipik Table"/>
    <w:basedOn w:val="TableNormal"/>
    <w:uiPriority w:val="99"/>
    <w:rsid w:val="00E61374"/>
    <w:pPr>
      <w:widowControl w:val="0"/>
      <w:spacing w:after="0" w:line="264" w:lineRule="auto"/>
    </w:pPr>
    <w:rPr>
      <w:sz w:val="16"/>
      <w:szCs w:val="18"/>
      <w:lang w:val="en-US"/>
    </w:rPr>
    <w:tblPr>
      <w:tblInd w:w="0" w:type="nil"/>
      <w:tblCellMar>
        <w:left w:w="0" w:type="dxa"/>
        <w:right w:w="0" w:type="dxa"/>
      </w:tblCellMar>
    </w:tblPr>
    <w:tblStylePr w:type="firstRow">
      <w:pPr>
        <w:wordWrap/>
        <w:spacing w:beforeLines="0" w:before="100" w:beforeAutospacing="1" w:afterLines="0" w:after="100" w:afterAutospacing="1" w:line="264" w:lineRule="auto"/>
        <w:ind w:leftChars="0" w:left="0" w:rightChars="0" w:right="0" w:firstLineChars="0" w:firstLine="0"/>
        <w:mirrorIndents w:val="0"/>
        <w:jc w:val="left"/>
        <w:outlineLvl w:val="9"/>
      </w:pPr>
      <w:rPr>
        <w:rFonts w:asciiTheme="majorHAnsi" w:hAnsiTheme="majorHAnsi" w:hint="default"/>
        <w:b/>
        <w:color w:val="FFFFFF" w:themeColor="background1"/>
        <w:sz w:val="18"/>
        <w:szCs w:val="18"/>
      </w:rPr>
    </w:tblStylePr>
    <w:tblStylePr w:type="lastRow">
      <w:rPr>
        <w:rFonts w:asciiTheme="minorHAnsi" w:hAnsiTheme="minorHAnsi" w:hint="default"/>
        <w:b/>
        <w:color w:val="FFFFFF" w:themeColor="background1"/>
        <w:sz w:val="18"/>
        <w:szCs w:val="18"/>
      </w:rPr>
    </w:tblStylePr>
    <w:tblStylePr w:type="firstCol">
      <w:rPr>
        <w:b/>
        <w:sz w:val="18"/>
        <w:szCs w:val="18"/>
      </w:rPr>
    </w:tblStylePr>
    <w:tblStylePr w:type="lastCol">
      <w:rPr>
        <w:b/>
        <w:sz w:val="18"/>
        <w:szCs w:val="18"/>
      </w:rPr>
    </w:tblStylePr>
    <w:tblStylePr w:type="band2Horz">
      <w:pPr>
        <w:jc w:val="left"/>
      </w:pPr>
    </w:tblStylePr>
  </w:style>
  <w:style w:type="character" w:customStyle="1" w:styleId="TabletextChar">
    <w:name w:val="Table text Char"/>
    <w:aliases w:val="ttx Char"/>
    <w:basedOn w:val="DefaultParagraphFont"/>
    <w:link w:val="Tabletext"/>
    <w:uiPriority w:val="39"/>
    <w:rsid w:val="00E61374"/>
    <w:rPr>
      <w:rFonts w:ascii="Times New Roman" w:eastAsia="Times New Roman" w:hAnsi="Times New Roman" w:cs="Times New Roman"/>
      <w:kern w:val="2"/>
      <w:sz w:val="16"/>
      <w:szCs w:val="20"/>
      <w:lang w:val="en-US"/>
    </w:rPr>
  </w:style>
  <w:style w:type="paragraph" w:customStyle="1" w:styleId="BTBullet1">
    <w:name w:val="BTBullet1"/>
    <w:basedOn w:val="Normal"/>
    <w:uiPriority w:val="6"/>
    <w:qFormat/>
    <w:rsid w:val="00E61374"/>
    <w:pPr>
      <w:spacing w:before="60" w:after="80"/>
      <w:ind w:left="720" w:hanging="360"/>
    </w:pPr>
    <w:rPr>
      <w:rFonts w:asciiTheme="majorHAnsi" w:eastAsia="Times New Roman" w:hAnsiTheme="majorHAnsi" w:cstheme="minorBidi"/>
      <w:sz w:val="16"/>
      <w:szCs w:val="16"/>
      <w:lang w:val="fr-FR" w:eastAsia="en-GB"/>
    </w:rPr>
  </w:style>
  <w:style w:type="numbering" w:customStyle="1" w:styleId="StandardEinzuegeListe">
    <w:name w:val="StandardEinzuegeListe"/>
    <w:basedOn w:val="NoList"/>
    <w:rsid w:val="00E61374"/>
  </w:style>
  <w:style w:type="paragraph" w:customStyle="1" w:styleId="ABody">
    <w:name w:val="A Body"/>
    <w:basedOn w:val="Normal"/>
    <w:link w:val="ABodyChar"/>
    <w:qFormat/>
    <w:rsid w:val="00E61374"/>
    <w:pPr>
      <w:spacing w:before="120" w:after="120" w:line="259" w:lineRule="auto"/>
    </w:pPr>
    <w:rPr>
      <w:rFonts w:ascii="Century Gothic" w:eastAsia="Times New Roman" w:hAnsi="Century Gothic" w:cstheme="minorBidi"/>
      <w:color w:val="000000"/>
      <w:sz w:val="20"/>
      <w:szCs w:val="20"/>
      <w:lang w:val="en-IE"/>
    </w:rPr>
  </w:style>
  <w:style w:type="character" w:customStyle="1" w:styleId="ABodyChar">
    <w:name w:val="A Body Char"/>
    <w:link w:val="ABody"/>
    <w:rsid w:val="00E61374"/>
    <w:rPr>
      <w:rFonts w:ascii="Century Gothic" w:eastAsia="Times New Roman" w:hAnsi="Century Gothic"/>
      <w:color w:val="000000"/>
      <w:sz w:val="20"/>
      <w:szCs w:val="20"/>
      <w:lang w:val="en-IE"/>
    </w:rPr>
  </w:style>
  <w:style w:type="numbering" w:customStyle="1" w:styleId="CurrentList6">
    <w:name w:val="Current List6"/>
    <w:uiPriority w:val="99"/>
    <w:rsid w:val="00E61374"/>
  </w:style>
  <w:style w:type="numbering" w:customStyle="1" w:styleId="ListNumbering">
    <w:name w:val="List Numbering"/>
    <w:basedOn w:val="NoList"/>
    <w:uiPriority w:val="99"/>
    <w:rsid w:val="00E61374"/>
  </w:style>
  <w:style w:type="numbering" w:customStyle="1" w:styleId="CurrentList10">
    <w:name w:val="Current List10"/>
    <w:uiPriority w:val="99"/>
    <w:rsid w:val="00E61374"/>
  </w:style>
  <w:style w:type="paragraph" w:customStyle="1" w:styleId="msonormal0">
    <w:name w:val="msonormal"/>
    <w:basedOn w:val="Normal"/>
    <w:rsid w:val="00E61374"/>
    <w:pPr>
      <w:spacing w:before="100" w:beforeAutospacing="1" w:after="100" w:afterAutospacing="1"/>
      <w:jc w:val="left"/>
    </w:pPr>
    <w:rPr>
      <w:rFonts w:eastAsia="Times New Roman"/>
      <w:szCs w:val="20"/>
      <w:lang w:val="en-US" w:eastAsia="en-GB"/>
    </w:rPr>
  </w:style>
  <w:style w:type="paragraph" w:customStyle="1" w:styleId="xl63">
    <w:name w:val="xl63"/>
    <w:basedOn w:val="Normal"/>
    <w:rsid w:val="00E61374"/>
    <w:pPr>
      <w:pBdr>
        <w:top w:val="single" w:sz="4" w:space="0" w:color="auto"/>
        <w:bottom w:val="single" w:sz="4" w:space="0" w:color="auto"/>
        <w:right w:val="single" w:sz="4" w:space="0" w:color="auto"/>
      </w:pBdr>
      <w:shd w:val="clear" w:color="000000" w:fill="C73C3A"/>
      <w:spacing w:before="100" w:beforeAutospacing="1" w:after="100" w:afterAutospacing="1"/>
      <w:jc w:val="left"/>
      <w:textAlignment w:val="top"/>
    </w:pPr>
    <w:rPr>
      <w:rFonts w:ascii="Century Gothic" w:eastAsia="Times New Roman" w:hAnsi="Century Gothic"/>
      <w:color w:val="FFFFFF"/>
      <w:sz w:val="20"/>
      <w:szCs w:val="20"/>
      <w:lang w:val="en-US" w:eastAsia="en-GB"/>
    </w:rPr>
  </w:style>
  <w:style w:type="paragraph" w:customStyle="1" w:styleId="xl64">
    <w:name w:val="xl64"/>
    <w:basedOn w:val="Normal"/>
    <w:rsid w:val="00E61374"/>
    <w:pPr>
      <w:pBdr>
        <w:top w:val="single" w:sz="4" w:space="0" w:color="auto"/>
        <w:bottom w:val="single" w:sz="4" w:space="0" w:color="auto"/>
        <w:right w:val="single" w:sz="4" w:space="0" w:color="auto"/>
      </w:pBdr>
      <w:shd w:val="clear" w:color="000000" w:fill="C73C3A"/>
      <w:spacing w:before="100" w:beforeAutospacing="1" w:after="100" w:afterAutospacing="1"/>
      <w:jc w:val="left"/>
      <w:textAlignment w:val="top"/>
    </w:pPr>
    <w:rPr>
      <w:rFonts w:ascii="Century Gothic" w:eastAsia="Times New Roman" w:hAnsi="Century Gothic"/>
      <w:color w:val="FFFFFF"/>
      <w:sz w:val="20"/>
      <w:szCs w:val="20"/>
      <w:lang w:val="en-US" w:eastAsia="en-GB"/>
    </w:rPr>
  </w:style>
  <w:style w:type="paragraph" w:customStyle="1" w:styleId="xl65">
    <w:name w:val="xl65"/>
    <w:basedOn w:val="Normal"/>
    <w:rsid w:val="00E61374"/>
    <w:pPr>
      <w:pBdr>
        <w:top w:val="single" w:sz="4" w:space="0" w:color="auto"/>
        <w:bottom w:val="single" w:sz="4" w:space="0" w:color="auto"/>
        <w:right w:val="single" w:sz="4" w:space="0" w:color="auto"/>
      </w:pBdr>
      <w:shd w:val="clear" w:color="000000" w:fill="BAD7DA"/>
      <w:spacing w:before="100" w:beforeAutospacing="1" w:after="100" w:afterAutospacing="1"/>
      <w:jc w:val="left"/>
      <w:textAlignment w:val="top"/>
    </w:pPr>
    <w:rPr>
      <w:rFonts w:ascii="Century Gothic" w:eastAsia="Times New Roman" w:hAnsi="Century Gothic"/>
      <w:color w:val="000000"/>
      <w:sz w:val="20"/>
      <w:szCs w:val="20"/>
      <w:lang w:val="en-US" w:eastAsia="en-GB"/>
    </w:rPr>
  </w:style>
  <w:style w:type="paragraph" w:customStyle="1" w:styleId="xl66">
    <w:name w:val="xl66"/>
    <w:basedOn w:val="Normal"/>
    <w:rsid w:val="00E61374"/>
    <w:pPr>
      <w:pBdr>
        <w:bottom w:val="single" w:sz="4" w:space="0" w:color="auto"/>
        <w:right w:val="single" w:sz="4" w:space="0" w:color="auto"/>
      </w:pBdr>
      <w:spacing w:before="100" w:beforeAutospacing="1" w:after="100" w:afterAutospacing="1"/>
      <w:jc w:val="left"/>
    </w:pPr>
    <w:rPr>
      <w:rFonts w:ascii="Century Gothic" w:eastAsia="Times New Roman" w:hAnsi="Century Gothic"/>
      <w:color w:val="000000"/>
      <w:sz w:val="20"/>
      <w:szCs w:val="20"/>
      <w:lang w:val="en-US" w:eastAsia="en-GB"/>
    </w:rPr>
  </w:style>
  <w:style w:type="numbering" w:customStyle="1" w:styleId="BulletPoints">
    <w:name w:val="Bullet Points"/>
    <w:basedOn w:val="NoList"/>
    <w:rsid w:val="00E61374"/>
  </w:style>
  <w:style w:type="numbering" w:customStyle="1" w:styleId="CurrentList13">
    <w:name w:val="Current List13"/>
    <w:uiPriority w:val="99"/>
    <w:rsid w:val="00E61374"/>
  </w:style>
  <w:style w:type="numbering" w:customStyle="1" w:styleId="CurrentList14">
    <w:name w:val="Current List14"/>
    <w:uiPriority w:val="99"/>
    <w:rsid w:val="00E61374"/>
    <w:pPr>
      <w:numPr>
        <w:numId w:val="18"/>
      </w:numPr>
    </w:pPr>
  </w:style>
  <w:style w:type="paragraph" w:customStyle="1" w:styleId="paragraph">
    <w:name w:val="paragraph"/>
    <w:basedOn w:val="Normal"/>
    <w:rsid w:val="00E61374"/>
    <w:pPr>
      <w:spacing w:before="100" w:beforeAutospacing="1" w:after="100" w:afterAutospacing="1"/>
      <w:jc w:val="left"/>
    </w:pPr>
    <w:rPr>
      <w:rFonts w:eastAsia="Times New Roman"/>
      <w:szCs w:val="20"/>
      <w:lang w:val="en-US" w:eastAsia="en-GB"/>
    </w:rPr>
  </w:style>
  <w:style w:type="paragraph" w:customStyle="1" w:styleId="pf1">
    <w:name w:val="pf1"/>
    <w:basedOn w:val="Normal"/>
    <w:rsid w:val="00E61374"/>
    <w:pPr>
      <w:spacing w:before="100" w:beforeAutospacing="1" w:after="100" w:afterAutospacing="1"/>
      <w:jc w:val="left"/>
    </w:pPr>
    <w:rPr>
      <w:rFonts w:eastAsia="Times New Roman"/>
      <w:szCs w:val="20"/>
      <w:lang w:val="en-US"/>
    </w:rPr>
  </w:style>
  <w:style w:type="paragraph" w:customStyle="1" w:styleId="pf0">
    <w:name w:val="pf0"/>
    <w:basedOn w:val="Normal"/>
    <w:rsid w:val="00E61374"/>
    <w:pPr>
      <w:spacing w:before="100" w:beforeAutospacing="1" w:after="100" w:afterAutospacing="1"/>
      <w:jc w:val="left"/>
    </w:pPr>
    <w:rPr>
      <w:rFonts w:eastAsia="Times New Roman"/>
      <w:szCs w:val="20"/>
      <w:lang w:val="en-US"/>
    </w:rPr>
  </w:style>
  <w:style w:type="character" w:customStyle="1" w:styleId="cf01">
    <w:name w:val="cf01"/>
    <w:basedOn w:val="DefaultParagraphFont"/>
    <w:rsid w:val="00E61374"/>
    <w:rPr>
      <w:rFonts w:ascii="Segoe UI" w:hAnsi="Segoe UI" w:cs="Segoe UI" w:hint="default"/>
      <w:sz w:val="18"/>
      <w:szCs w:val="18"/>
    </w:rPr>
  </w:style>
  <w:style w:type="character" w:customStyle="1" w:styleId="cf11">
    <w:name w:val="cf11"/>
    <w:basedOn w:val="DefaultParagraphFont"/>
    <w:rsid w:val="00E61374"/>
    <w:rPr>
      <w:rFonts w:ascii="Segoe UI" w:hAnsi="Segoe UI" w:cs="Segoe UI" w:hint="default"/>
      <w:b/>
      <w:bCs/>
      <w:sz w:val="18"/>
      <w:szCs w:val="18"/>
    </w:rPr>
  </w:style>
  <w:style w:type="numbering" w:customStyle="1" w:styleId="CurrentList3">
    <w:name w:val="Current List3"/>
    <w:uiPriority w:val="99"/>
    <w:rsid w:val="00E61374"/>
  </w:style>
  <w:style w:type="table" w:customStyle="1" w:styleId="TechnopolisTable11">
    <w:name w:val="Technopolis Table11"/>
    <w:basedOn w:val="TableNormal"/>
    <w:uiPriority w:val="99"/>
    <w:rsid w:val="00E61374"/>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b/>
        <w:i w:val="0"/>
      </w:rPr>
    </w:tblStylePr>
  </w:style>
  <w:style w:type="numbering" w:customStyle="1" w:styleId="CurrentList2">
    <w:name w:val="Current List2"/>
    <w:uiPriority w:val="99"/>
    <w:rsid w:val="00E61374"/>
  </w:style>
  <w:style w:type="numbering" w:customStyle="1" w:styleId="CurrentList11">
    <w:name w:val="Current List11"/>
    <w:uiPriority w:val="99"/>
    <w:rsid w:val="00E61374"/>
  </w:style>
  <w:style w:type="numbering" w:customStyle="1" w:styleId="CurrentList15">
    <w:name w:val="Current List15"/>
    <w:uiPriority w:val="99"/>
    <w:rsid w:val="00E61374"/>
  </w:style>
  <w:style w:type="character" w:customStyle="1" w:styleId="BulletlistChar">
    <w:name w:val="Bullet list Char"/>
    <w:basedOn w:val="DefaultParagraphFont"/>
    <w:locked/>
    <w:rsid w:val="00E61374"/>
    <w:rPr>
      <w:sz w:val="20"/>
      <w:lang w:val="en-GB"/>
    </w:rPr>
  </w:style>
  <w:style w:type="numbering" w:customStyle="1" w:styleId="CurrentList1">
    <w:name w:val="Current List1"/>
    <w:uiPriority w:val="99"/>
    <w:rsid w:val="00E61374"/>
    <w:pPr>
      <w:numPr>
        <w:numId w:val="23"/>
      </w:numPr>
    </w:p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uiPriority w:val="99"/>
    <w:rsid w:val="00E61374"/>
    <w:pPr>
      <w:spacing w:after="160" w:line="240" w:lineRule="exact"/>
      <w:ind w:left="357" w:hanging="357"/>
      <w:jc w:val="left"/>
    </w:pPr>
    <w:rPr>
      <w:rFonts w:eastAsia="Times New Roman" w:cstheme="minorBidi"/>
      <w:sz w:val="16"/>
      <w:szCs w:val="16"/>
      <w:vertAlign w:val="superscript"/>
      <w:lang w:val="en-US"/>
    </w:rPr>
  </w:style>
  <w:style w:type="paragraph" w:customStyle="1" w:styleId="xl67">
    <w:name w:val="xl67"/>
    <w:basedOn w:val="Normal"/>
    <w:rsid w:val="00E6137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szCs w:val="20"/>
      <w:lang w:val="en-US" w:eastAsia="en-GB"/>
    </w:rPr>
  </w:style>
  <w:style w:type="paragraph" w:customStyle="1" w:styleId="xl68">
    <w:name w:val="xl68"/>
    <w:basedOn w:val="Normal"/>
    <w:rsid w:val="00E6137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b/>
      <w:bCs/>
      <w:szCs w:val="20"/>
      <w:lang w:val="en-US" w:eastAsia="en-GB"/>
    </w:rPr>
  </w:style>
  <w:style w:type="paragraph" w:customStyle="1" w:styleId="xl69">
    <w:name w:val="xl69"/>
    <w:basedOn w:val="Normal"/>
    <w:rsid w:val="00E613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70">
    <w:name w:val="xl70"/>
    <w:basedOn w:val="Normal"/>
    <w:rsid w:val="00E61374"/>
    <w:pPr>
      <w:pBdr>
        <w:top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szCs w:val="20"/>
      <w:lang w:val="en-US" w:eastAsia="en-GB"/>
    </w:rPr>
  </w:style>
  <w:style w:type="paragraph" w:customStyle="1" w:styleId="xl71">
    <w:name w:val="xl71"/>
    <w:basedOn w:val="Normal"/>
    <w:rsid w:val="00E61374"/>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72">
    <w:name w:val="xl72"/>
    <w:basedOn w:val="Normal"/>
    <w:rsid w:val="00E61374"/>
    <w:pPr>
      <w:pBdr>
        <w:bottom w:val="single" w:sz="4" w:space="0" w:color="auto"/>
        <w:right w:val="single" w:sz="4" w:space="0" w:color="auto"/>
      </w:pBdr>
      <w:spacing w:before="100" w:beforeAutospacing="1" w:after="100" w:afterAutospacing="1"/>
      <w:jc w:val="left"/>
    </w:pPr>
    <w:rPr>
      <w:rFonts w:ascii="Century Gothic" w:eastAsia="Times New Roman" w:hAnsi="Century Gothic"/>
      <w:szCs w:val="20"/>
      <w:lang w:val="en-US" w:eastAsia="en-GB"/>
    </w:rPr>
  </w:style>
  <w:style w:type="paragraph" w:customStyle="1" w:styleId="xl73">
    <w:name w:val="xl73"/>
    <w:basedOn w:val="Normal"/>
    <w:rsid w:val="00E61374"/>
    <w:pPr>
      <w:pBdr>
        <w:bottom w:val="single" w:sz="4" w:space="0" w:color="auto"/>
        <w:right w:val="single" w:sz="4" w:space="0" w:color="auto"/>
      </w:pBdr>
      <w:spacing w:before="100" w:beforeAutospacing="1" w:after="100" w:afterAutospacing="1"/>
      <w:jc w:val="left"/>
    </w:pPr>
    <w:rPr>
      <w:rFonts w:ascii="Century Gothic" w:eastAsia="Times New Roman" w:hAnsi="Century Gothic"/>
      <w:b/>
      <w:bCs/>
      <w:szCs w:val="20"/>
      <w:lang w:val="en-US" w:eastAsia="en-GB"/>
    </w:rPr>
  </w:style>
  <w:style w:type="paragraph" w:customStyle="1" w:styleId="xl74">
    <w:name w:val="xl74"/>
    <w:basedOn w:val="Normal"/>
    <w:rsid w:val="00E61374"/>
    <w:pPr>
      <w:pBdr>
        <w:bottom w:val="single" w:sz="4" w:space="0" w:color="auto"/>
        <w:right w:val="single" w:sz="4" w:space="0" w:color="auto"/>
      </w:pBdr>
      <w:spacing w:before="100" w:beforeAutospacing="1" w:after="100" w:afterAutospacing="1"/>
      <w:jc w:val="left"/>
    </w:pPr>
    <w:rPr>
      <w:rFonts w:ascii="Century Gothic" w:eastAsia="Times New Roman" w:hAnsi="Century Gothic"/>
      <w:b/>
      <w:bCs/>
      <w:szCs w:val="20"/>
      <w:lang w:val="en-US" w:eastAsia="en-GB"/>
    </w:rPr>
  </w:style>
  <w:style w:type="paragraph" w:customStyle="1" w:styleId="xl75">
    <w:name w:val="xl75"/>
    <w:basedOn w:val="Normal"/>
    <w:rsid w:val="00E61374"/>
    <w:pPr>
      <w:pBdr>
        <w:bottom w:val="single" w:sz="4" w:space="0" w:color="auto"/>
        <w:right w:val="single" w:sz="4" w:space="0" w:color="auto"/>
      </w:pBdr>
      <w:spacing w:before="100" w:beforeAutospacing="1" w:after="100" w:afterAutospacing="1"/>
      <w:jc w:val="left"/>
      <w:textAlignment w:val="center"/>
    </w:pPr>
    <w:rPr>
      <w:rFonts w:ascii="Century Gothic" w:eastAsia="Times New Roman" w:hAnsi="Century Gothic"/>
      <w:szCs w:val="20"/>
      <w:lang w:val="en-US" w:eastAsia="en-GB"/>
    </w:rPr>
  </w:style>
  <w:style w:type="paragraph" w:customStyle="1" w:styleId="xl76">
    <w:name w:val="xl76"/>
    <w:basedOn w:val="Normal"/>
    <w:rsid w:val="00E613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entury Gothic" w:eastAsia="Times New Roman" w:hAnsi="Century Gothic"/>
      <w:szCs w:val="20"/>
      <w:lang w:val="en-US" w:eastAsia="en-GB"/>
    </w:rPr>
  </w:style>
  <w:style w:type="paragraph" w:customStyle="1" w:styleId="xl77">
    <w:name w:val="xl77"/>
    <w:basedOn w:val="Normal"/>
    <w:rsid w:val="00E6137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szCs w:val="20"/>
      <w:lang w:val="en-US" w:eastAsia="en-GB"/>
    </w:rPr>
  </w:style>
  <w:style w:type="paragraph" w:customStyle="1" w:styleId="xl78">
    <w:name w:val="xl78"/>
    <w:basedOn w:val="Normal"/>
    <w:rsid w:val="00E61374"/>
    <w:pPr>
      <w:pBdr>
        <w:bottom w:val="single" w:sz="4" w:space="0" w:color="auto"/>
        <w:right w:val="single" w:sz="4" w:space="0" w:color="auto"/>
      </w:pBdr>
      <w:shd w:val="clear" w:color="000000" w:fill="E2EFDA"/>
      <w:spacing w:before="100" w:beforeAutospacing="1" w:after="100" w:afterAutospacing="1"/>
      <w:jc w:val="left"/>
    </w:pPr>
    <w:rPr>
      <w:rFonts w:ascii="Century Gothic" w:eastAsia="Times New Roman" w:hAnsi="Century Gothic"/>
      <w:szCs w:val="20"/>
      <w:lang w:val="en-US" w:eastAsia="en-GB"/>
    </w:rPr>
  </w:style>
  <w:style w:type="paragraph" w:customStyle="1" w:styleId="xl79">
    <w:name w:val="xl79"/>
    <w:basedOn w:val="Normal"/>
    <w:rsid w:val="00E61374"/>
    <w:pPr>
      <w:pBdr>
        <w:bottom w:val="single" w:sz="4" w:space="0" w:color="auto"/>
        <w:right w:val="single" w:sz="4" w:space="0" w:color="auto"/>
      </w:pBdr>
      <w:shd w:val="clear" w:color="000000" w:fill="FFF2CC"/>
      <w:spacing w:before="100" w:beforeAutospacing="1" w:after="100" w:afterAutospacing="1"/>
      <w:jc w:val="left"/>
    </w:pPr>
    <w:rPr>
      <w:rFonts w:ascii="Century Gothic" w:eastAsia="Times New Roman" w:hAnsi="Century Gothic"/>
      <w:szCs w:val="20"/>
      <w:lang w:val="en-US" w:eastAsia="en-GB"/>
    </w:rPr>
  </w:style>
  <w:style w:type="paragraph" w:customStyle="1" w:styleId="xl80">
    <w:name w:val="xl80"/>
    <w:basedOn w:val="Normal"/>
    <w:rsid w:val="00E61374"/>
    <w:pPr>
      <w:pBdr>
        <w:bottom w:val="single" w:sz="4" w:space="0" w:color="auto"/>
        <w:right w:val="single" w:sz="4" w:space="0" w:color="auto"/>
      </w:pBdr>
      <w:shd w:val="clear" w:color="000000" w:fill="FCE4D6"/>
      <w:spacing w:before="100" w:beforeAutospacing="1" w:after="100" w:afterAutospacing="1"/>
      <w:jc w:val="left"/>
    </w:pPr>
    <w:rPr>
      <w:rFonts w:ascii="Century Gothic" w:eastAsia="Times New Roman" w:hAnsi="Century Gothic"/>
      <w:szCs w:val="20"/>
      <w:lang w:val="en-US" w:eastAsia="en-GB"/>
    </w:rPr>
  </w:style>
  <w:style w:type="paragraph" w:customStyle="1" w:styleId="xl81">
    <w:name w:val="xl81"/>
    <w:basedOn w:val="Normal"/>
    <w:rsid w:val="00E61374"/>
    <w:pPr>
      <w:pBdr>
        <w:bottom w:val="single" w:sz="4" w:space="0" w:color="auto"/>
        <w:right w:val="single" w:sz="4" w:space="0" w:color="auto"/>
      </w:pBdr>
      <w:shd w:val="clear" w:color="000000" w:fill="D6DCE4"/>
      <w:spacing w:before="100" w:beforeAutospacing="1" w:after="100" w:afterAutospacing="1"/>
      <w:jc w:val="left"/>
    </w:pPr>
    <w:rPr>
      <w:rFonts w:ascii="Century Gothic" w:eastAsia="Times New Roman" w:hAnsi="Century Gothic"/>
      <w:szCs w:val="20"/>
      <w:lang w:val="en-US" w:eastAsia="en-GB"/>
    </w:rPr>
  </w:style>
  <w:style w:type="paragraph" w:customStyle="1" w:styleId="xl82">
    <w:name w:val="xl82"/>
    <w:basedOn w:val="Normal"/>
    <w:rsid w:val="00E61374"/>
    <w:pPr>
      <w:pBdr>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szCs w:val="20"/>
      <w:lang w:val="en-US" w:eastAsia="en-GB"/>
    </w:rPr>
  </w:style>
  <w:style w:type="paragraph" w:customStyle="1" w:styleId="xl83">
    <w:name w:val="xl83"/>
    <w:basedOn w:val="Normal"/>
    <w:rsid w:val="00E61374"/>
    <w:pPr>
      <w:pBdr>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szCs w:val="20"/>
      <w:lang w:val="en-US" w:eastAsia="en-GB"/>
    </w:rPr>
  </w:style>
  <w:style w:type="paragraph" w:customStyle="1" w:styleId="xl85">
    <w:name w:val="xl85"/>
    <w:basedOn w:val="Normal"/>
    <w:rsid w:val="00E613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86">
    <w:name w:val="xl86"/>
    <w:basedOn w:val="Normal"/>
    <w:rsid w:val="00E61374"/>
    <w:pPr>
      <w:pBdr>
        <w:top w:val="single" w:sz="4" w:space="0" w:color="auto"/>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87">
    <w:name w:val="xl87"/>
    <w:basedOn w:val="Normal"/>
    <w:rsid w:val="00E61374"/>
    <w:pPr>
      <w:pBdr>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88">
    <w:name w:val="xl88"/>
    <w:basedOn w:val="Normal"/>
    <w:rsid w:val="00E61374"/>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89">
    <w:name w:val="xl89"/>
    <w:basedOn w:val="Normal"/>
    <w:rsid w:val="00E613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90">
    <w:name w:val="xl90"/>
    <w:basedOn w:val="Normal"/>
    <w:rsid w:val="00E61374"/>
    <w:pPr>
      <w:pBdr>
        <w:left w:val="single" w:sz="4" w:space="0" w:color="auto"/>
        <w:bottom w:val="single" w:sz="4" w:space="0" w:color="000000"/>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font5">
    <w:name w:val="font5"/>
    <w:basedOn w:val="Normal"/>
    <w:rsid w:val="00E61374"/>
    <w:pPr>
      <w:spacing w:before="100" w:beforeAutospacing="1" w:after="100" w:afterAutospacing="1"/>
      <w:jc w:val="left"/>
    </w:pPr>
    <w:rPr>
      <w:rFonts w:ascii="Century Gothic" w:eastAsia="Times New Roman" w:hAnsi="Century Gothic"/>
      <w:sz w:val="20"/>
      <w:szCs w:val="20"/>
      <w:lang w:val="en-US" w:eastAsia="en-GB"/>
    </w:rPr>
  </w:style>
  <w:style w:type="paragraph" w:customStyle="1" w:styleId="font6">
    <w:name w:val="font6"/>
    <w:basedOn w:val="Normal"/>
    <w:rsid w:val="00E61374"/>
    <w:pPr>
      <w:spacing w:before="100" w:beforeAutospacing="1" w:after="100" w:afterAutospacing="1"/>
      <w:jc w:val="left"/>
    </w:pPr>
    <w:rPr>
      <w:rFonts w:ascii="Century Gothic" w:eastAsia="Times New Roman" w:hAnsi="Century Gothic"/>
      <w:b/>
      <w:bCs/>
      <w:sz w:val="20"/>
      <w:szCs w:val="20"/>
      <w:lang w:val="en-US" w:eastAsia="en-GB"/>
    </w:rPr>
  </w:style>
  <w:style w:type="paragraph" w:customStyle="1" w:styleId="font7">
    <w:name w:val="font7"/>
    <w:basedOn w:val="Normal"/>
    <w:rsid w:val="00E61374"/>
    <w:pPr>
      <w:spacing w:before="100" w:beforeAutospacing="1" w:after="100" w:afterAutospacing="1"/>
      <w:jc w:val="left"/>
    </w:pPr>
    <w:rPr>
      <w:rFonts w:ascii="Century Gothic" w:eastAsia="Times New Roman" w:hAnsi="Century Gothic"/>
      <w:sz w:val="20"/>
      <w:szCs w:val="20"/>
      <w:u w:val="single"/>
      <w:lang w:val="en-US" w:eastAsia="en-GB"/>
    </w:rPr>
  </w:style>
  <w:style w:type="paragraph" w:customStyle="1" w:styleId="xl92">
    <w:name w:val="xl92"/>
    <w:basedOn w:val="Normal"/>
    <w:rsid w:val="00E6137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Century Gothic" w:eastAsia="Times New Roman" w:hAnsi="Century Gothic"/>
      <w:szCs w:val="20"/>
      <w:lang w:val="en-US" w:eastAsia="en-GB"/>
    </w:rPr>
  </w:style>
  <w:style w:type="paragraph" w:customStyle="1" w:styleId="xl93">
    <w:name w:val="xl93"/>
    <w:basedOn w:val="Normal"/>
    <w:rsid w:val="00E61374"/>
    <w:pPr>
      <w:pBdr>
        <w:top w:val="single" w:sz="4" w:space="0" w:color="auto"/>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szCs w:val="20"/>
      <w:lang w:val="en-US" w:eastAsia="en-GB"/>
    </w:rPr>
  </w:style>
  <w:style w:type="paragraph" w:customStyle="1" w:styleId="xl94">
    <w:name w:val="xl94"/>
    <w:basedOn w:val="Normal"/>
    <w:rsid w:val="00E61374"/>
    <w:pPr>
      <w:pBdr>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95">
    <w:name w:val="xl95"/>
    <w:basedOn w:val="Normal"/>
    <w:rsid w:val="00E6137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97">
    <w:name w:val="xl97"/>
    <w:basedOn w:val="Normal"/>
    <w:rsid w:val="00E61374"/>
    <w:pPr>
      <w:shd w:val="clear" w:color="000000" w:fill="FFC000"/>
      <w:spacing w:before="100" w:beforeAutospacing="1" w:after="100" w:afterAutospacing="1"/>
      <w:jc w:val="center"/>
    </w:pPr>
    <w:rPr>
      <w:rFonts w:ascii="Century Gothic" w:eastAsia="Times New Roman" w:hAnsi="Century Gothic"/>
      <w:szCs w:val="20"/>
      <w:lang w:val="en-US" w:eastAsia="en-GB"/>
    </w:rPr>
  </w:style>
  <w:style w:type="paragraph" w:customStyle="1" w:styleId="xl98">
    <w:name w:val="xl98"/>
    <w:basedOn w:val="Normal"/>
    <w:rsid w:val="00E61374"/>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szCs w:val="20"/>
      <w:lang w:val="en-US" w:eastAsia="en-GB"/>
    </w:rPr>
  </w:style>
  <w:style w:type="paragraph" w:customStyle="1" w:styleId="xl99">
    <w:name w:val="xl99"/>
    <w:basedOn w:val="Normal"/>
    <w:rsid w:val="00E61374"/>
    <w:pPr>
      <w:pBdr>
        <w:top w:val="single" w:sz="4" w:space="0" w:color="auto"/>
        <w:left w:val="single" w:sz="4" w:space="0" w:color="auto"/>
        <w:bottom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100">
    <w:name w:val="xl100"/>
    <w:basedOn w:val="Normal"/>
    <w:rsid w:val="00E61374"/>
    <w:pPr>
      <w:pBdr>
        <w:top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101">
    <w:name w:val="xl101"/>
    <w:basedOn w:val="Normal"/>
    <w:rsid w:val="00E61374"/>
    <w:pPr>
      <w:pBdr>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szCs w:val="20"/>
      <w:lang w:val="en-US" w:eastAsia="en-GB"/>
    </w:rPr>
  </w:style>
  <w:style w:type="paragraph" w:customStyle="1" w:styleId="xl102">
    <w:name w:val="xl102"/>
    <w:basedOn w:val="Normal"/>
    <w:rsid w:val="00E61374"/>
    <w:pPr>
      <w:pBdr>
        <w:bottom w:val="single" w:sz="4" w:space="0" w:color="auto"/>
        <w:right w:val="single" w:sz="4" w:space="0" w:color="auto"/>
      </w:pBdr>
      <w:shd w:val="clear" w:color="000000" w:fill="FFF2CC"/>
      <w:spacing w:before="100" w:beforeAutospacing="1" w:after="100" w:afterAutospacing="1"/>
      <w:jc w:val="left"/>
      <w:textAlignment w:val="top"/>
    </w:pPr>
    <w:rPr>
      <w:rFonts w:ascii="Century Gothic" w:eastAsia="Times New Roman" w:hAnsi="Century Gothic"/>
      <w:szCs w:val="20"/>
      <w:lang w:val="en-US" w:eastAsia="en-GB"/>
    </w:rPr>
  </w:style>
  <w:style w:type="paragraph" w:customStyle="1" w:styleId="xl103">
    <w:name w:val="xl103"/>
    <w:basedOn w:val="Normal"/>
    <w:rsid w:val="00E61374"/>
    <w:pPr>
      <w:pBdr>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104">
    <w:name w:val="xl104"/>
    <w:basedOn w:val="Normal"/>
    <w:rsid w:val="00E61374"/>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szCs w:val="20"/>
      <w:lang w:val="en-US" w:eastAsia="en-GB"/>
    </w:rPr>
  </w:style>
  <w:style w:type="paragraph" w:customStyle="1" w:styleId="xl105">
    <w:name w:val="xl105"/>
    <w:basedOn w:val="Normal"/>
    <w:rsid w:val="00E61374"/>
    <w:pPr>
      <w:pBdr>
        <w:left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szCs w:val="20"/>
      <w:lang w:val="en-US" w:eastAsia="en-GB"/>
    </w:rPr>
  </w:style>
  <w:style w:type="paragraph" w:customStyle="1" w:styleId="xl106">
    <w:name w:val="xl106"/>
    <w:basedOn w:val="Normal"/>
    <w:rsid w:val="00E61374"/>
    <w:pPr>
      <w:shd w:val="clear" w:color="000000" w:fill="FFFFFF"/>
      <w:spacing w:before="100" w:beforeAutospacing="1" w:after="100" w:afterAutospacing="1"/>
      <w:jc w:val="left"/>
      <w:textAlignment w:val="top"/>
    </w:pPr>
    <w:rPr>
      <w:rFonts w:ascii="Century Gothic" w:eastAsia="Times New Roman" w:hAnsi="Century Gothic"/>
      <w:b/>
      <w:bCs/>
      <w:szCs w:val="20"/>
      <w:lang w:val="en-US" w:eastAsia="en-GB"/>
    </w:rPr>
  </w:style>
  <w:style w:type="paragraph" w:customStyle="1" w:styleId="xl107">
    <w:name w:val="xl107"/>
    <w:basedOn w:val="Normal"/>
    <w:rsid w:val="00E61374"/>
    <w:pPr>
      <w:shd w:val="clear" w:color="000000" w:fill="FFFFFF"/>
      <w:spacing w:before="100" w:beforeAutospacing="1" w:after="100" w:afterAutospacing="1"/>
      <w:jc w:val="left"/>
      <w:textAlignment w:val="center"/>
    </w:pPr>
    <w:rPr>
      <w:rFonts w:ascii="Century Gothic" w:eastAsia="Times New Roman" w:hAnsi="Century Gothic"/>
      <w:szCs w:val="20"/>
      <w:lang w:val="en-US" w:eastAsia="en-GB"/>
    </w:rPr>
  </w:style>
  <w:style w:type="paragraph" w:customStyle="1" w:styleId="xl108">
    <w:name w:val="xl108"/>
    <w:basedOn w:val="Normal"/>
    <w:rsid w:val="00E6137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top"/>
    </w:pPr>
    <w:rPr>
      <w:rFonts w:ascii="Century Gothic" w:eastAsia="Times New Roman" w:hAnsi="Century Gothic"/>
      <w:szCs w:val="20"/>
      <w:lang w:val="en-US" w:eastAsia="en-GB"/>
    </w:rPr>
  </w:style>
  <w:style w:type="paragraph" w:customStyle="1" w:styleId="xl109">
    <w:name w:val="xl109"/>
    <w:basedOn w:val="Normal"/>
    <w:rsid w:val="00E6137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b/>
      <w:bCs/>
      <w:szCs w:val="20"/>
      <w:lang w:val="en-US" w:eastAsia="en-GB"/>
    </w:rPr>
  </w:style>
  <w:style w:type="paragraph" w:customStyle="1" w:styleId="xl110">
    <w:name w:val="xl110"/>
    <w:basedOn w:val="Normal"/>
    <w:rsid w:val="00E61374"/>
    <w:pPr>
      <w:pBdr>
        <w:bottom w:val="single" w:sz="4" w:space="0" w:color="auto"/>
        <w:right w:val="single" w:sz="4" w:space="0" w:color="auto"/>
      </w:pBdr>
      <w:shd w:val="clear" w:color="000000" w:fill="8EA9DB"/>
      <w:spacing w:before="100" w:beforeAutospacing="1" w:after="100" w:afterAutospacing="1"/>
      <w:jc w:val="left"/>
    </w:pPr>
    <w:rPr>
      <w:rFonts w:ascii="Century Gothic" w:eastAsia="Times New Roman" w:hAnsi="Century Gothic"/>
      <w:szCs w:val="20"/>
      <w:lang w:val="en-US" w:eastAsia="en-GB"/>
    </w:rPr>
  </w:style>
  <w:style w:type="numbering" w:customStyle="1" w:styleId="CurrentList12">
    <w:name w:val="Current List12"/>
    <w:uiPriority w:val="99"/>
    <w:rsid w:val="00E61374"/>
  </w:style>
  <w:style w:type="paragraph" w:customStyle="1" w:styleId="p1">
    <w:name w:val="p1"/>
    <w:basedOn w:val="Normal"/>
    <w:rsid w:val="00E61374"/>
    <w:pPr>
      <w:spacing w:after="0"/>
      <w:jc w:val="left"/>
    </w:pPr>
    <w:rPr>
      <w:rFonts w:eastAsia="Times New Roman"/>
      <w:color w:val="000000"/>
      <w:sz w:val="18"/>
      <w:szCs w:val="18"/>
      <w:lang w:val="en-US" w:eastAsia="en-GB"/>
    </w:rPr>
  </w:style>
  <w:style w:type="character" w:customStyle="1" w:styleId="s1">
    <w:name w:val="s1"/>
    <w:basedOn w:val="DefaultParagraphFont"/>
    <w:rsid w:val="00E61374"/>
    <w:rPr>
      <w:rFonts w:ascii="Helvetica" w:hAnsi="Helvetica" w:hint="default"/>
      <w:sz w:val="18"/>
      <w:szCs w:val="18"/>
    </w:rPr>
  </w:style>
  <w:style w:type="character" w:customStyle="1" w:styleId="s2">
    <w:name w:val="s2"/>
    <w:basedOn w:val="DefaultParagraphFont"/>
    <w:rsid w:val="00E61374"/>
    <w:rPr>
      <w:rFonts w:ascii="Arial" w:hAnsi="Arial" w:cs="Arial" w:hint="default"/>
      <w:sz w:val="18"/>
      <w:szCs w:val="18"/>
    </w:rPr>
  </w:style>
  <w:style w:type="character" w:customStyle="1" w:styleId="apple-converted-space">
    <w:name w:val="apple-converted-space"/>
    <w:basedOn w:val="DefaultParagraphFont"/>
    <w:rsid w:val="00E61374"/>
  </w:style>
  <w:style w:type="paragraph" w:styleId="List2">
    <w:name w:val="List 2"/>
    <w:aliases w:val="Numbered list Level 2"/>
    <w:basedOn w:val="Normal"/>
    <w:next w:val="Normal"/>
    <w:uiPriority w:val="6"/>
    <w:qFormat/>
    <w:rsid w:val="00E61374"/>
    <w:pPr>
      <w:spacing w:before="80" w:after="160"/>
      <w:ind w:left="1253" w:hanging="360"/>
    </w:pPr>
    <w:rPr>
      <w:rFonts w:ascii="Aptos Light" w:eastAsia="Times New Roman" w:hAnsi="Aptos Light" w:cstheme="minorBidi"/>
      <w:kern w:val="2"/>
      <w:sz w:val="22"/>
      <w:szCs w:val="22"/>
      <w:lang w:val="fr-FR"/>
    </w:rPr>
  </w:style>
  <w:style w:type="paragraph" w:styleId="List3">
    <w:name w:val="List 3"/>
    <w:aliases w:val="Numbered list Level 3"/>
    <w:basedOn w:val="BodyText"/>
    <w:uiPriority w:val="13"/>
    <w:qFormat/>
    <w:rsid w:val="00E61374"/>
    <w:pPr>
      <w:spacing w:line="259" w:lineRule="auto"/>
      <w:ind w:left="720" w:hanging="360"/>
    </w:pPr>
    <w:rPr>
      <w:rFonts w:cstheme="minorBidi"/>
      <w:sz w:val="20"/>
      <w:szCs w:val="16"/>
    </w:rPr>
  </w:style>
  <w:style w:type="paragraph" w:styleId="List4">
    <w:name w:val="List 4"/>
    <w:aliases w:val="Numbered list Level 4"/>
    <w:basedOn w:val="Normal"/>
    <w:next w:val="Normal"/>
    <w:uiPriority w:val="15"/>
    <w:qFormat/>
    <w:rsid w:val="00E61374"/>
    <w:pPr>
      <w:spacing w:before="80" w:after="160"/>
      <w:ind w:left="1973" w:hanging="360"/>
    </w:pPr>
    <w:rPr>
      <w:rFonts w:ascii="Aptos Light" w:eastAsia="Times New Roman" w:hAnsi="Aptos Light" w:cstheme="minorBidi"/>
      <w:kern w:val="2"/>
      <w:sz w:val="22"/>
      <w:szCs w:val="22"/>
      <w:lang w:val="fr-FR"/>
    </w:rPr>
  </w:style>
  <w:style w:type="numbering" w:customStyle="1" w:styleId="CurrentList4">
    <w:name w:val="Current List4"/>
    <w:uiPriority w:val="99"/>
    <w:rsid w:val="00E61374"/>
    <w:pPr>
      <w:numPr>
        <w:numId w:val="15"/>
      </w:numPr>
    </w:pPr>
  </w:style>
  <w:style w:type="numbering" w:customStyle="1" w:styleId="CurrentList5">
    <w:name w:val="Current List5"/>
    <w:uiPriority w:val="99"/>
    <w:rsid w:val="00E61374"/>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E61374"/>
    <w:pPr>
      <w:pBdr>
        <w:top w:val="nil"/>
        <w:left w:val="nil"/>
        <w:bottom w:val="nil"/>
        <w:right w:val="nil"/>
        <w:between w:val="nil"/>
        <w:bar w:val="nil"/>
      </w:pBdr>
      <w:spacing w:after="160" w:line="240" w:lineRule="exact"/>
    </w:pPr>
    <w:rPr>
      <w:rFonts w:eastAsia="Times New Roman"/>
      <w:sz w:val="20"/>
      <w:szCs w:val="20"/>
      <w:vertAlign w:val="superscript"/>
      <w:lang w:val="nl-BE" w:eastAsia="nl-BE"/>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uiPriority w:val="3"/>
    <w:qFormat/>
    <w:locked/>
    <w:rsid w:val="00E61374"/>
    <w:rPr>
      <w:rFonts w:ascii="Verdana" w:hAnsi="Verdana"/>
      <w:b/>
      <w:lang w:val="en-GB" w:eastAsia="en-US"/>
    </w:rPr>
  </w:style>
  <w:style w:type="table" w:customStyle="1" w:styleId="RicardoTable">
    <w:name w:val="Ricardo Table"/>
    <w:basedOn w:val="TableNormal"/>
    <w:uiPriority w:val="99"/>
    <w:unhideWhenUsed/>
    <w:rsid w:val="00E61374"/>
    <w:pPr>
      <w:spacing w:before="60" w:after="60" w:line="259" w:lineRule="auto"/>
      <w:jc w:val="both"/>
    </w:pPr>
    <w:rPr>
      <w:rFonts w:ascii="Arial" w:eastAsiaTheme="minorEastAsia" w:hAnsi="Arial"/>
      <w:color w:val="000000" w:themeColor="text1"/>
      <w:sz w:val="20"/>
      <w:szCs w:val="20"/>
      <w:lang w:eastAsia="en-GB"/>
    </w:rPr>
    <w:tblPr>
      <w:tblInd w:w="0" w:type="nil"/>
      <w:tblCellMar>
        <w:left w:w="0" w:type="dxa"/>
        <w:right w:w="0" w:type="dxa"/>
      </w:tblCellMar>
    </w:tblPr>
    <w:tblStylePr w:type="firstRow">
      <w:pPr>
        <w:keepNext/>
        <w:wordWrap/>
        <w:jc w:val="left"/>
      </w:pPr>
      <w:rPr>
        <w:rFonts w:ascii="Arial" w:hAnsi="Arial"/>
        <w:b/>
        <w:color w:val="FFFFFF" w:themeColor="background1"/>
        <w:sz w:val="20"/>
      </w:rPr>
    </w:tblStylePr>
  </w:style>
  <w:style w:type="paragraph" w:customStyle="1" w:styleId="my-0">
    <w:name w:val="my-0"/>
    <w:basedOn w:val="Normal"/>
    <w:rsid w:val="00E61374"/>
    <w:pPr>
      <w:spacing w:before="100" w:beforeAutospacing="1" w:after="100" w:afterAutospacing="1"/>
      <w:jc w:val="left"/>
    </w:pPr>
    <w:rPr>
      <w:rFonts w:eastAsia="Times New Roman"/>
      <w:szCs w:val="20"/>
      <w:lang w:val="en-US"/>
    </w:rPr>
  </w:style>
  <w:style w:type="table" w:styleId="GridTable3-Accent1">
    <w:name w:val="Grid Table 3 Accent 1"/>
    <w:basedOn w:val="TableNormal"/>
    <w:uiPriority w:val="48"/>
    <w:rsid w:val="00E61374"/>
    <w:pPr>
      <w:spacing w:after="0" w:line="240" w:lineRule="auto"/>
    </w:pPr>
    <w:rPr>
      <w:sz w:val="16"/>
      <w:szCs w:val="16"/>
      <w:lang w:val="en-US"/>
    </w:rPr>
    <w:tblPr>
      <w:tblInd w:w="0" w:type="nil"/>
      <w:tblCellMar>
        <w:left w:w="0" w:type="dxa"/>
        <w:right w:w="0" w:type="dxa"/>
      </w:tblCellMar>
    </w:tblPr>
    <w:tblStylePr w:type="firstRow">
      <w:rPr>
        <w:b/>
        <w:bCs/>
      </w:rPr>
    </w:tblStylePr>
    <w:tblStylePr w:type="lastRow">
      <w:rPr>
        <w:b/>
        <w:bCs/>
      </w:rPr>
    </w:tblStylePr>
    <w:tblStylePr w:type="firstCol">
      <w:pPr>
        <w:jc w:val="right"/>
      </w:pPr>
      <w:rPr>
        <w:i/>
        <w:iCs/>
      </w:rPr>
    </w:tblStylePr>
    <w:tblStylePr w:type="lastCol">
      <w:rPr>
        <w:i/>
        <w:iCs/>
      </w:rPr>
    </w:tblStylePr>
  </w:style>
  <w:style w:type="character" w:customStyle="1" w:styleId="citation-24">
    <w:name w:val="citation-24"/>
    <w:basedOn w:val="DefaultParagraphFont"/>
    <w:rsid w:val="00E61374"/>
  </w:style>
  <w:style w:type="character" w:customStyle="1" w:styleId="citation-23">
    <w:name w:val="citation-23"/>
    <w:basedOn w:val="DefaultParagraphFont"/>
    <w:rsid w:val="00E61374"/>
  </w:style>
  <w:style w:type="character" w:customStyle="1" w:styleId="citation-22">
    <w:name w:val="citation-22"/>
    <w:basedOn w:val="DefaultParagraphFont"/>
    <w:rsid w:val="00E61374"/>
  </w:style>
  <w:style w:type="character" w:customStyle="1" w:styleId="bold">
    <w:name w:val="bold"/>
    <w:basedOn w:val="DefaultParagraphFont"/>
    <w:rsid w:val="00E61374"/>
  </w:style>
  <w:style w:type="character" w:customStyle="1" w:styleId="ng-star-inserted">
    <w:name w:val="ng-star-inserted"/>
    <w:basedOn w:val="DefaultParagraphFont"/>
    <w:rsid w:val="00E61374"/>
  </w:style>
  <w:style w:type="character" w:customStyle="1" w:styleId="hoverbg-super">
    <w:name w:val="hover:bg-super"/>
    <w:basedOn w:val="DefaultParagraphFont"/>
    <w:rsid w:val="00E61374"/>
  </w:style>
  <w:style w:type="character" w:customStyle="1" w:styleId="whitespace-nowrap">
    <w:name w:val="whitespace-nowrap"/>
    <w:basedOn w:val="DefaultParagraphFont"/>
    <w:rsid w:val="00E61374"/>
  </w:style>
  <w:style w:type="numbering" w:customStyle="1" w:styleId="NumbListNumb1">
    <w:name w:val="NumbListNumb1"/>
    <w:uiPriority w:val="99"/>
    <w:rsid w:val="00E61374"/>
  </w:style>
  <w:style w:type="numbering" w:customStyle="1" w:styleId="CurrentList71">
    <w:name w:val="Current List71"/>
    <w:uiPriority w:val="99"/>
    <w:rsid w:val="00E61374"/>
  </w:style>
  <w:style w:type="numbering" w:customStyle="1" w:styleId="CurrentList131">
    <w:name w:val="Current List131"/>
    <w:uiPriority w:val="99"/>
    <w:rsid w:val="00E61374"/>
  </w:style>
  <w:style w:type="numbering" w:customStyle="1" w:styleId="CurrentList141">
    <w:name w:val="Current List141"/>
    <w:uiPriority w:val="99"/>
    <w:rsid w:val="00E61374"/>
    <w:pPr>
      <w:numPr>
        <w:numId w:val="38"/>
      </w:numPr>
    </w:pPr>
  </w:style>
  <w:style w:type="numbering" w:customStyle="1" w:styleId="CurrentList21">
    <w:name w:val="Current List21"/>
    <w:uiPriority w:val="99"/>
    <w:rsid w:val="00E61374"/>
    <w:pPr>
      <w:numPr>
        <w:numId w:val="19"/>
      </w:numPr>
    </w:pPr>
  </w:style>
  <w:style w:type="numbering" w:customStyle="1" w:styleId="CurrentList151">
    <w:name w:val="Current List151"/>
    <w:uiPriority w:val="99"/>
    <w:rsid w:val="00E61374"/>
  </w:style>
  <w:style w:type="numbering" w:customStyle="1" w:styleId="CurrentList16">
    <w:name w:val="Current List16"/>
    <w:uiPriority w:val="99"/>
    <w:rsid w:val="00E61374"/>
    <w:pPr>
      <w:numPr>
        <w:numId w:val="16"/>
      </w:numPr>
    </w:pPr>
  </w:style>
  <w:style w:type="numbering" w:customStyle="1" w:styleId="CurrentList121">
    <w:name w:val="Current List121"/>
    <w:uiPriority w:val="99"/>
    <w:rsid w:val="00E61374"/>
    <w:pPr>
      <w:numPr>
        <w:numId w:val="37"/>
      </w:numPr>
    </w:pPr>
  </w:style>
  <w:style w:type="numbering" w:customStyle="1" w:styleId="CurrentList51">
    <w:name w:val="Current List51"/>
    <w:uiPriority w:val="99"/>
    <w:rsid w:val="00E61374"/>
    <w:pPr>
      <w:numPr>
        <w:numId w:val="24"/>
      </w:numPr>
    </w:pPr>
  </w:style>
  <w:style w:type="character" w:customStyle="1" w:styleId="Hyperlink1">
    <w:name w:val="Hyperlink1"/>
    <w:basedOn w:val="DefaultParagraphFont"/>
    <w:uiPriority w:val="99"/>
    <w:unhideWhenUsed/>
    <w:qFormat/>
    <w:rsid w:val="00E61374"/>
    <w:rPr>
      <w:color w:val="C73C3A"/>
      <w:u w:val="single"/>
    </w:rPr>
  </w:style>
  <w:style w:type="numbering" w:customStyle="1" w:styleId="CurrentList8">
    <w:name w:val="Current List8"/>
    <w:uiPriority w:val="99"/>
    <w:rsid w:val="00E61374"/>
    <w:pPr>
      <w:numPr>
        <w:numId w:val="33"/>
      </w:numPr>
    </w:pPr>
  </w:style>
  <w:style w:type="paragraph" w:customStyle="1" w:styleId="List-bullets">
    <w:name w:val="List-bullets"/>
    <w:basedOn w:val="Normal"/>
    <w:rsid w:val="00E61374"/>
    <w:pPr>
      <w:tabs>
        <w:tab w:val="num" w:pos="720"/>
      </w:tabs>
      <w:spacing w:after="160" w:line="259" w:lineRule="auto"/>
      <w:ind w:left="1080" w:hanging="360"/>
      <w:jc w:val="left"/>
    </w:pPr>
    <w:rPr>
      <w:rFonts w:eastAsia="Times New Roman" w:cstheme="minorBidi"/>
      <w:sz w:val="16"/>
      <w:szCs w:val="16"/>
      <w:lang w:val="en-IE"/>
    </w:rPr>
  </w:style>
  <w:style w:type="character" w:customStyle="1" w:styleId="mentionstylementiondq5xl">
    <w:name w:val="mentionstyle_mention__dq5xl"/>
    <w:basedOn w:val="DefaultParagraphFont"/>
    <w:rsid w:val="00E61374"/>
  </w:style>
  <w:style w:type="table" w:customStyle="1" w:styleId="GridTable5Dark-Accent11">
    <w:name w:val="Grid Table 5 Dark - Accent 11"/>
    <w:basedOn w:val="TableNormal"/>
    <w:next w:val="GridTable5Dark-Accent1"/>
    <w:uiPriority w:val="50"/>
    <w:rsid w:val="00E61374"/>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numbering" w:customStyle="1" w:styleId="CurrentList9">
    <w:name w:val="Current List9"/>
    <w:uiPriority w:val="99"/>
    <w:rsid w:val="00E61374"/>
    <w:pPr>
      <w:numPr>
        <w:numId w:val="44"/>
      </w:numPr>
    </w:pPr>
  </w:style>
  <w:style w:type="table" w:styleId="ListTable4-Accent6">
    <w:name w:val="List Table 4 Accent 6"/>
    <w:basedOn w:val="TableNormal"/>
    <w:uiPriority w:val="49"/>
    <w:rsid w:val="00E61374"/>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E61374"/>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2">
    <w:name w:val="Grid Table 4 Accent 2"/>
    <w:basedOn w:val="TableNormal"/>
    <w:uiPriority w:val="49"/>
    <w:rsid w:val="00E61374"/>
    <w:pPr>
      <w:spacing w:after="0" w:line="240" w:lineRule="auto"/>
    </w:pPr>
    <w:rPr>
      <w:kern w:val="2"/>
      <w:sz w:val="24"/>
      <w:szCs w:val="24"/>
      <w:lang w:val="en-IE"/>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4">
    <w:name w:val="Grid Table 3 Accent 4"/>
    <w:basedOn w:val="TableNormal"/>
    <w:uiPriority w:val="48"/>
    <w:rsid w:val="00E61374"/>
    <w:pPr>
      <w:spacing w:after="0" w:line="240" w:lineRule="auto"/>
    </w:pPr>
    <w:rPr>
      <w:kern w:val="2"/>
      <w:sz w:val="24"/>
      <w:szCs w:val="24"/>
      <w:lang w:val="en-IE"/>
    </w:rPr>
    <w:tblPr>
      <w:tblStyleRowBandSize w:val="1"/>
      <w:tblStyleColBandSize w:val="1"/>
      <w:tblInd w:w="0" w:type="nil"/>
      <w:tblCellMar>
        <w:left w:w="0" w:type="dxa"/>
        <w:right w:w="0" w:type="dxa"/>
      </w:tblCellMar>
    </w:tblPr>
    <w:tcPr>
      <w:tcBorders>
        <w:top w:val="nil"/>
        <w:left w:val="none" w:sz="23" w:space="0" w:color="3A5658"/>
        <w:bottom w:val="nil"/>
        <w:right w:val="nil"/>
      </w:tcBorders>
      <w:shd w:val="clear" w:color="auto" w:fill="E5DFEC" w:themeFill="accent4" w:themeFillTint="33"/>
    </w:tcPr>
    <w:tblStylePr w:type="firstRow">
      <w:rPr>
        <w:b/>
        <w:bCs/>
      </w:rPr>
      <w:tblPr/>
      <w:tcPr>
        <w:tcBorders>
          <w:top w:val="nil"/>
          <w:left w:val="nil"/>
          <w:bottom w:val="single" w:sz="12" w:space="0" w:color="B2A1C7" w:themeColor="accent4" w:themeTint="99"/>
          <w:right w:val="nil"/>
          <w:insideH w:val="nil"/>
          <w:insideV w:val="nil"/>
        </w:tcBorders>
        <w:shd w:val="clear" w:color="auto" w:fill="FFFFFF" w:themeFill="background1"/>
      </w:tcPr>
    </w:tblStylePr>
    <w:tblStylePr w:type="lastRow">
      <w:rPr>
        <w:b/>
        <w:bCs/>
      </w:rPr>
      <w:tblPr/>
      <w:tcPr>
        <w:tcBorders>
          <w:top w:val="double" w:sz="2" w:space="0" w:color="B2A1C7" w:themeColor="accent4" w:themeTint="99"/>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ListTable2-Accent1">
    <w:name w:val="List Table 2 Accent 1"/>
    <w:basedOn w:val="TableNormal"/>
    <w:uiPriority w:val="47"/>
    <w:rsid w:val="00E61374"/>
    <w:pPr>
      <w:spacing w:after="0" w:line="240" w:lineRule="auto"/>
    </w:pPr>
    <w:rPr>
      <w:kern w:val="2"/>
      <w:sz w:val="24"/>
      <w:szCs w:val="24"/>
      <w:lang w:val="en-IE"/>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4">
    <w:name w:val="Grid Table 2 Accent 4"/>
    <w:basedOn w:val="TableNormal"/>
    <w:uiPriority w:val="47"/>
    <w:rsid w:val="00E61374"/>
    <w:pPr>
      <w:spacing w:after="0" w:line="240" w:lineRule="auto"/>
    </w:pPr>
    <w:rPr>
      <w:kern w:val="2"/>
      <w:sz w:val="24"/>
      <w:szCs w:val="24"/>
      <w:lang w:val="en-IE"/>
    </w:rPr>
    <w:tblPr>
      <w:tblStyleRowBandSize w:val="1"/>
      <w:tblStyleColBandSize w:val="1"/>
      <w:tblInd w:w="0" w:type="nil"/>
      <w:tblCellMar>
        <w:left w:w="0" w:type="dxa"/>
        <w:right w:w="0" w:type="dxa"/>
      </w:tblCellMar>
    </w:tblPr>
    <w:tcPr>
      <w:tcBorders>
        <w:top w:val="double" w:sz="2" w:space="0" w:color="B2A1C7" w:themeColor="accent4" w:themeTint="99"/>
        <w:bottom w:val="nil"/>
      </w:tcBorders>
      <w:shd w:val="clear" w:color="auto" w:fill="FFFFFF" w:themeFill="background1"/>
    </w:tc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HTG1">
    <w:name w:val="HTG1"/>
    <w:basedOn w:val="TableNormal"/>
    <w:next w:val="TableGrid"/>
    <w:uiPriority w:val="39"/>
    <w:rsid w:val="00E61374"/>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table" w:styleId="GridTable4-Accent5">
    <w:name w:val="Grid Table 4 Accent 5"/>
    <w:basedOn w:val="TableNormal"/>
    <w:uiPriority w:val="49"/>
    <w:rsid w:val="00E6137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D82F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Reply">
    <w:name w:val="Reply"/>
    <w:basedOn w:val="ListParagraph"/>
    <w:link w:val="ReplyChar"/>
    <w:qFormat/>
    <w:rsid w:val="000B5599"/>
    <w:pPr>
      <w:spacing w:before="60" w:line="264" w:lineRule="auto"/>
      <w:ind w:left="0"/>
      <w:contextualSpacing w:val="0"/>
    </w:pPr>
    <w:rPr>
      <w:bCs/>
      <w:iCs/>
      <w:kern w:val="2"/>
    </w:rPr>
  </w:style>
  <w:style w:type="character" w:customStyle="1" w:styleId="ReplyChar">
    <w:name w:val="Reply Char"/>
    <w:basedOn w:val="DefaultParagraphFont"/>
    <w:link w:val="Reply"/>
    <w:rsid w:val="000B5599"/>
    <w:rPr>
      <w:rFonts w:ascii="Times New Roman" w:hAnsi="Times New Roman" w:cs="Times New Roman"/>
      <w:bCs/>
      <w:iCs/>
      <w:kern w:val="2"/>
      <w:sz w:val="24"/>
      <w:szCs w:val="24"/>
    </w:rPr>
  </w:style>
  <w:style w:type="table" w:styleId="GridTable4">
    <w:name w:val="Grid Table 4"/>
    <w:basedOn w:val="TableNormal"/>
    <w:uiPriority w:val="49"/>
    <w:rsid w:val="007872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5">
    <w:name w:val="List Table 4 Accent 5"/>
    <w:basedOn w:val="TableNormal"/>
    <w:uiPriority w:val="49"/>
    <w:rsid w:val="009962B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73090028">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48641651">
      <w:bodyDiv w:val="1"/>
      <w:marLeft w:val="0"/>
      <w:marRight w:val="0"/>
      <w:marTop w:val="0"/>
      <w:marBottom w:val="0"/>
      <w:divBdr>
        <w:top w:val="none" w:sz="0" w:space="0" w:color="auto"/>
        <w:left w:val="none" w:sz="0" w:space="0" w:color="auto"/>
        <w:bottom w:val="none" w:sz="0" w:space="0" w:color="auto"/>
        <w:right w:val="none" w:sz="0" w:space="0" w:color="auto"/>
      </w:divBdr>
    </w:div>
    <w:div w:id="163595360">
      <w:bodyDiv w:val="1"/>
      <w:marLeft w:val="0"/>
      <w:marRight w:val="0"/>
      <w:marTop w:val="0"/>
      <w:marBottom w:val="0"/>
      <w:divBdr>
        <w:top w:val="none" w:sz="0" w:space="0" w:color="auto"/>
        <w:left w:val="none" w:sz="0" w:space="0" w:color="auto"/>
        <w:bottom w:val="none" w:sz="0" w:space="0" w:color="auto"/>
        <w:right w:val="none" w:sz="0" w:space="0" w:color="auto"/>
      </w:divBdr>
    </w:div>
    <w:div w:id="213853995">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2327922">
      <w:bodyDiv w:val="1"/>
      <w:marLeft w:val="0"/>
      <w:marRight w:val="0"/>
      <w:marTop w:val="0"/>
      <w:marBottom w:val="0"/>
      <w:divBdr>
        <w:top w:val="none" w:sz="0" w:space="0" w:color="auto"/>
        <w:left w:val="none" w:sz="0" w:space="0" w:color="auto"/>
        <w:bottom w:val="none" w:sz="0" w:space="0" w:color="auto"/>
        <w:right w:val="none" w:sz="0" w:space="0" w:color="auto"/>
      </w:divBdr>
    </w:div>
    <w:div w:id="282158208">
      <w:bodyDiv w:val="1"/>
      <w:marLeft w:val="0"/>
      <w:marRight w:val="0"/>
      <w:marTop w:val="0"/>
      <w:marBottom w:val="0"/>
      <w:divBdr>
        <w:top w:val="none" w:sz="0" w:space="0" w:color="auto"/>
        <w:left w:val="none" w:sz="0" w:space="0" w:color="auto"/>
        <w:bottom w:val="none" w:sz="0" w:space="0" w:color="auto"/>
        <w:right w:val="none" w:sz="0" w:space="0" w:color="auto"/>
      </w:divBdr>
    </w:div>
    <w:div w:id="318387922">
      <w:bodyDiv w:val="1"/>
      <w:marLeft w:val="0"/>
      <w:marRight w:val="0"/>
      <w:marTop w:val="0"/>
      <w:marBottom w:val="0"/>
      <w:divBdr>
        <w:top w:val="none" w:sz="0" w:space="0" w:color="auto"/>
        <w:left w:val="none" w:sz="0" w:space="0" w:color="auto"/>
        <w:bottom w:val="none" w:sz="0" w:space="0" w:color="auto"/>
        <w:right w:val="none" w:sz="0" w:space="0" w:color="auto"/>
      </w:divBdr>
    </w:div>
    <w:div w:id="335620540">
      <w:bodyDiv w:val="1"/>
      <w:marLeft w:val="0"/>
      <w:marRight w:val="0"/>
      <w:marTop w:val="0"/>
      <w:marBottom w:val="0"/>
      <w:divBdr>
        <w:top w:val="none" w:sz="0" w:space="0" w:color="auto"/>
        <w:left w:val="none" w:sz="0" w:space="0" w:color="auto"/>
        <w:bottom w:val="none" w:sz="0" w:space="0" w:color="auto"/>
        <w:right w:val="none" w:sz="0" w:space="0" w:color="auto"/>
      </w:divBdr>
    </w:div>
    <w:div w:id="368141874">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82241630">
      <w:bodyDiv w:val="1"/>
      <w:marLeft w:val="0"/>
      <w:marRight w:val="0"/>
      <w:marTop w:val="0"/>
      <w:marBottom w:val="0"/>
      <w:divBdr>
        <w:top w:val="none" w:sz="0" w:space="0" w:color="auto"/>
        <w:left w:val="none" w:sz="0" w:space="0" w:color="auto"/>
        <w:bottom w:val="none" w:sz="0" w:space="0" w:color="auto"/>
        <w:right w:val="none" w:sz="0" w:space="0" w:color="auto"/>
      </w:divBdr>
    </w:div>
    <w:div w:id="529883626">
      <w:bodyDiv w:val="1"/>
      <w:marLeft w:val="0"/>
      <w:marRight w:val="0"/>
      <w:marTop w:val="0"/>
      <w:marBottom w:val="0"/>
      <w:divBdr>
        <w:top w:val="none" w:sz="0" w:space="0" w:color="auto"/>
        <w:left w:val="none" w:sz="0" w:space="0" w:color="auto"/>
        <w:bottom w:val="none" w:sz="0" w:space="0" w:color="auto"/>
        <w:right w:val="none" w:sz="0" w:space="0" w:color="auto"/>
      </w:divBdr>
    </w:div>
    <w:div w:id="534318728">
      <w:bodyDiv w:val="1"/>
      <w:marLeft w:val="0"/>
      <w:marRight w:val="0"/>
      <w:marTop w:val="0"/>
      <w:marBottom w:val="0"/>
      <w:divBdr>
        <w:top w:val="none" w:sz="0" w:space="0" w:color="auto"/>
        <w:left w:val="none" w:sz="0" w:space="0" w:color="auto"/>
        <w:bottom w:val="none" w:sz="0" w:space="0" w:color="auto"/>
        <w:right w:val="none" w:sz="0" w:space="0" w:color="auto"/>
      </w:divBdr>
    </w:div>
    <w:div w:id="557861506">
      <w:bodyDiv w:val="1"/>
      <w:marLeft w:val="0"/>
      <w:marRight w:val="0"/>
      <w:marTop w:val="0"/>
      <w:marBottom w:val="0"/>
      <w:divBdr>
        <w:top w:val="none" w:sz="0" w:space="0" w:color="auto"/>
        <w:left w:val="none" w:sz="0" w:space="0" w:color="auto"/>
        <w:bottom w:val="none" w:sz="0" w:space="0" w:color="auto"/>
        <w:right w:val="none" w:sz="0" w:space="0" w:color="auto"/>
      </w:divBdr>
    </w:div>
    <w:div w:id="569114938">
      <w:bodyDiv w:val="1"/>
      <w:marLeft w:val="0"/>
      <w:marRight w:val="0"/>
      <w:marTop w:val="0"/>
      <w:marBottom w:val="0"/>
      <w:divBdr>
        <w:top w:val="none" w:sz="0" w:space="0" w:color="auto"/>
        <w:left w:val="none" w:sz="0" w:space="0" w:color="auto"/>
        <w:bottom w:val="none" w:sz="0" w:space="0" w:color="auto"/>
        <w:right w:val="none" w:sz="0" w:space="0" w:color="auto"/>
      </w:divBdr>
    </w:div>
    <w:div w:id="569657665">
      <w:bodyDiv w:val="1"/>
      <w:marLeft w:val="0"/>
      <w:marRight w:val="0"/>
      <w:marTop w:val="0"/>
      <w:marBottom w:val="0"/>
      <w:divBdr>
        <w:top w:val="none" w:sz="0" w:space="0" w:color="auto"/>
        <w:left w:val="none" w:sz="0" w:space="0" w:color="auto"/>
        <w:bottom w:val="none" w:sz="0" w:space="0" w:color="auto"/>
        <w:right w:val="none" w:sz="0" w:space="0" w:color="auto"/>
      </w:divBdr>
    </w:div>
    <w:div w:id="669455769">
      <w:bodyDiv w:val="1"/>
      <w:marLeft w:val="0"/>
      <w:marRight w:val="0"/>
      <w:marTop w:val="0"/>
      <w:marBottom w:val="0"/>
      <w:divBdr>
        <w:top w:val="none" w:sz="0" w:space="0" w:color="auto"/>
        <w:left w:val="none" w:sz="0" w:space="0" w:color="auto"/>
        <w:bottom w:val="none" w:sz="0" w:space="0" w:color="auto"/>
        <w:right w:val="none" w:sz="0" w:space="0" w:color="auto"/>
      </w:divBdr>
    </w:div>
    <w:div w:id="677924225">
      <w:bodyDiv w:val="1"/>
      <w:marLeft w:val="0"/>
      <w:marRight w:val="0"/>
      <w:marTop w:val="0"/>
      <w:marBottom w:val="0"/>
      <w:divBdr>
        <w:top w:val="none" w:sz="0" w:space="0" w:color="auto"/>
        <w:left w:val="none" w:sz="0" w:space="0" w:color="auto"/>
        <w:bottom w:val="none" w:sz="0" w:space="0" w:color="auto"/>
        <w:right w:val="none" w:sz="0" w:space="0" w:color="auto"/>
      </w:divBdr>
    </w:div>
    <w:div w:id="679501467">
      <w:bodyDiv w:val="1"/>
      <w:marLeft w:val="0"/>
      <w:marRight w:val="0"/>
      <w:marTop w:val="0"/>
      <w:marBottom w:val="0"/>
      <w:divBdr>
        <w:top w:val="none" w:sz="0" w:space="0" w:color="auto"/>
        <w:left w:val="none" w:sz="0" w:space="0" w:color="auto"/>
        <w:bottom w:val="none" w:sz="0" w:space="0" w:color="auto"/>
        <w:right w:val="none" w:sz="0" w:space="0" w:color="auto"/>
      </w:divBdr>
    </w:div>
    <w:div w:id="696538673">
      <w:bodyDiv w:val="1"/>
      <w:marLeft w:val="0"/>
      <w:marRight w:val="0"/>
      <w:marTop w:val="0"/>
      <w:marBottom w:val="0"/>
      <w:divBdr>
        <w:top w:val="none" w:sz="0" w:space="0" w:color="auto"/>
        <w:left w:val="none" w:sz="0" w:space="0" w:color="auto"/>
        <w:bottom w:val="none" w:sz="0" w:space="0" w:color="auto"/>
        <w:right w:val="none" w:sz="0" w:space="0" w:color="auto"/>
      </w:divBdr>
    </w:div>
    <w:div w:id="741485921">
      <w:bodyDiv w:val="1"/>
      <w:marLeft w:val="0"/>
      <w:marRight w:val="0"/>
      <w:marTop w:val="0"/>
      <w:marBottom w:val="0"/>
      <w:divBdr>
        <w:top w:val="none" w:sz="0" w:space="0" w:color="auto"/>
        <w:left w:val="none" w:sz="0" w:space="0" w:color="auto"/>
        <w:bottom w:val="none" w:sz="0" w:space="0" w:color="auto"/>
        <w:right w:val="none" w:sz="0" w:space="0" w:color="auto"/>
      </w:divBdr>
    </w:div>
    <w:div w:id="757557599">
      <w:bodyDiv w:val="1"/>
      <w:marLeft w:val="0"/>
      <w:marRight w:val="0"/>
      <w:marTop w:val="0"/>
      <w:marBottom w:val="0"/>
      <w:divBdr>
        <w:top w:val="none" w:sz="0" w:space="0" w:color="auto"/>
        <w:left w:val="none" w:sz="0" w:space="0" w:color="auto"/>
        <w:bottom w:val="none" w:sz="0" w:space="0" w:color="auto"/>
        <w:right w:val="none" w:sz="0" w:space="0" w:color="auto"/>
      </w:divBdr>
    </w:div>
    <w:div w:id="770131133">
      <w:bodyDiv w:val="1"/>
      <w:marLeft w:val="0"/>
      <w:marRight w:val="0"/>
      <w:marTop w:val="0"/>
      <w:marBottom w:val="0"/>
      <w:divBdr>
        <w:top w:val="none" w:sz="0" w:space="0" w:color="auto"/>
        <w:left w:val="none" w:sz="0" w:space="0" w:color="auto"/>
        <w:bottom w:val="none" w:sz="0" w:space="0" w:color="auto"/>
        <w:right w:val="none" w:sz="0" w:space="0" w:color="auto"/>
      </w:divBdr>
    </w:div>
    <w:div w:id="799148012">
      <w:bodyDiv w:val="1"/>
      <w:marLeft w:val="0"/>
      <w:marRight w:val="0"/>
      <w:marTop w:val="0"/>
      <w:marBottom w:val="0"/>
      <w:divBdr>
        <w:top w:val="none" w:sz="0" w:space="0" w:color="auto"/>
        <w:left w:val="none" w:sz="0" w:space="0" w:color="auto"/>
        <w:bottom w:val="none" w:sz="0" w:space="0" w:color="auto"/>
        <w:right w:val="none" w:sz="0" w:space="0" w:color="auto"/>
      </w:divBdr>
    </w:div>
    <w:div w:id="839543679">
      <w:bodyDiv w:val="1"/>
      <w:marLeft w:val="0"/>
      <w:marRight w:val="0"/>
      <w:marTop w:val="0"/>
      <w:marBottom w:val="0"/>
      <w:divBdr>
        <w:top w:val="none" w:sz="0" w:space="0" w:color="auto"/>
        <w:left w:val="none" w:sz="0" w:space="0" w:color="auto"/>
        <w:bottom w:val="none" w:sz="0" w:space="0" w:color="auto"/>
        <w:right w:val="none" w:sz="0" w:space="0" w:color="auto"/>
      </w:divBdr>
    </w:div>
    <w:div w:id="852376157">
      <w:bodyDiv w:val="1"/>
      <w:marLeft w:val="0"/>
      <w:marRight w:val="0"/>
      <w:marTop w:val="0"/>
      <w:marBottom w:val="0"/>
      <w:divBdr>
        <w:top w:val="none" w:sz="0" w:space="0" w:color="auto"/>
        <w:left w:val="none" w:sz="0" w:space="0" w:color="auto"/>
        <w:bottom w:val="none" w:sz="0" w:space="0" w:color="auto"/>
        <w:right w:val="none" w:sz="0" w:space="0" w:color="auto"/>
      </w:divBdr>
    </w:div>
    <w:div w:id="854196382">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06231932">
      <w:bodyDiv w:val="1"/>
      <w:marLeft w:val="0"/>
      <w:marRight w:val="0"/>
      <w:marTop w:val="0"/>
      <w:marBottom w:val="0"/>
      <w:divBdr>
        <w:top w:val="none" w:sz="0" w:space="0" w:color="auto"/>
        <w:left w:val="none" w:sz="0" w:space="0" w:color="auto"/>
        <w:bottom w:val="none" w:sz="0" w:space="0" w:color="auto"/>
        <w:right w:val="none" w:sz="0" w:space="0" w:color="auto"/>
      </w:divBdr>
    </w:div>
    <w:div w:id="911499425">
      <w:bodyDiv w:val="1"/>
      <w:marLeft w:val="0"/>
      <w:marRight w:val="0"/>
      <w:marTop w:val="0"/>
      <w:marBottom w:val="0"/>
      <w:divBdr>
        <w:top w:val="none" w:sz="0" w:space="0" w:color="auto"/>
        <w:left w:val="none" w:sz="0" w:space="0" w:color="auto"/>
        <w:bottom w:val="none" w:sz="0" w:space="0" w:color="auto"/>
        <w:right w:val="none" w:sz="0" w:space="0" w:color="auto"/>
      </w:divBdr>
    </w:div>
    <w:div w:id="1062489040">
      <w:bodyDiv w:val="1"/>
      <w:marLeft w:val="0"/>
      <w:marRight w:val="0"/>
      <w:marTop w:val="0"/>
      <w:marBottom w:val="0"/>
      <w:divBdr>
        <w:top w:val="none" w:sz="0" w:space="0" w:color="auto"/>
        <w:left w:val="none" w:sz="0" w:space="0" w:color="auto"/>
        <w:bottom w:val="none" w:sz="0" w:space="0" w:color="auto"/>
        <w:right w:val="none" w:sz="0" w:space="0" w:color="auto"/>
      </w:divBdr>
    </w:div>
    <w:div w:id="1114445077">
      <w:bodyDiv w:val="1"/>
      <w:marLeft w:val="0"/>
      <w:marRight w:val="0"/>
      <w:marTop w:val="0"/>
      <w:marBottom w:val="0"/>
      <w:divBdr>
        <w:top w:val="none" w:sz="0" w:space="0" w:color="auto"/>
        <w:left w:val="none" w:sz="0" w:space="0" w:color="auto"/>
        <w:bottom w:val="none" w:sz="0" w:space="0" w:color="auto"/>
        <w:right w:val="none" w:sz="0" w:space="0" w:color="auto"/>
      </w:divBdr>
    </w:div>
    <w:div w:id="1117408024">
      <w:bodyDiv w:val="1"/>
      <w:marLeft w:val="0"/>
      <w:marRight w:val="0"/>
      <w:marTop w:val="0"/>
      <w:marBottom w:val="0"/>
      <w:divBdr>
        <w:top w:val="none" w:sz="0" w:space="0" w:color="auto"/>
        <w:left w:val="none" w:sz="0" w:space="0" w:color="auto"/>
        <w:bottom w:val="none" w:sz="0" w:space="0" w:color="auto"/>
        <w:right w:val="none" w:sz="0" w:space="0" w:color="auto"/>
      </w:divBdr>
    </w:div>
    <w:div w:id="1160927061">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24875244">
      <w:bodyDiv w:val="1"/>
      <w:marLeft w:val="0"/>
      <w:marRight w:val="0"/>
      <w:marTop w:val="0"/>
      <w:marBottom w:val="0"/>
      <w:divBdr>
        <w:top w:val="none" w:sz="0" w:space="0" w:color="auto"/>
        <w:left w:val="none" w:sz="0" w:space="0" w:color="auto"/>
        <w:bottom w:val="none" w:sz="0" w:space="0" w:color="auto"/>
        <w:right w:val="none" w:sz="0" w:space="0" w:color="auto"/>
      </w:divBdr>
    </w:div>
    <w:div w:id="1245264687">
      <w:bodyDiv w:val="1"/>
      <w:marLeft w:val="0"/>
      <w:marRight w:val="0"/>
      <w:marTop w:val="0"/>
      <w:marBottom w:val="0"/>
      <w:divBdr>
        <w:top w:val="none" w:sz="0" w:space="0" w:color="auto"/>
        <w:left w:val="none" w:sz="0" w:space="0" w:color="auto"/>
        <w:bottom w:val="none" w:sz="0" w:space="0" w:color="auto"/>
        <w:right w:val="none" w:sz="0" w:space="0" w:color="auto"/>
      </w:divBdr>
    </w:div>
    <w:div w:id="1251886074">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2685">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769045">
      <w:bodyDiv w:val="1"/>
      <w:marLeft w:val="0"/>
      <w:marRight w:val="0"/>
      <w:marTop w:val="0"/>
      <w:marBottom w:val="0"/>
      <w:divBdr>
        <w:top w:val="none" w:sz="0" w:space="0" w:color="auto"/>
        <w:left w:val="none" w:sz="0" w:space="0" w:color="auto"/>
        <w:bottom w:val="none" w:sz="0" w:space="0" w:color="auto"/>
        <w:right w:val="none" w:sz="0" w:space="0" w:color="auto"/>
      </w:divBdr>
    </w:div>
    <w:div w:id="1322932775">
      <w:bodyDiv w:val="1"/>
      <w:marLeft w:val="0"/>
      <w:marRight w:val="0"/>
      <w:marTop w:val="0"/>
      <w:marBottom w:val="0"/>
      <w:divBdr>
        <w:top w:val="none" w:sz="0" w:space="0" w:color="auto"/>
        <w:left w:val="none" w:sz="0" w:space="0" w:color="auto"/>
        <w:bottom w:val="none" w:sz="0" w:space="0" w:color="auto"/>
        <w:right w:val="none" w:sz="0" w:space="0" w:color="auto"/>
      </w:divBdr>
    </w:div>
    <w:div w:id="1327442380">
      <w:bodyDiv w:val="1"/>
      <w:marLeft w:val="0"/>
      <w:marRight w:val="0"/>
      <w:marTop w:val="0"/>
      <w:marBottom w:val="0"/>
      <w:divBdr>
        <w:top w:val="none" w:sz="0" w:space="0" w:color="auto"/>
        <w:left w:val="none" w:sz="0" w:space="0" w:color="auto"/>
        <w:bottom w:val="none" w:sz="0" w:space="0" w:color="auto"/>
        <w:right w:val="none" w:sz="0" w:space="0" w:color="auto"/>
      </w:divBdr>
    </w:div>
    <w:div w:id="1342899273">
      <w:bodyDiv w:val="1"/>
      <w:marLeft w:val="0"/>
      <w:marRight w:val="0"/>
      <w:marTop w:val="0"/>
      <w:marBottom w:val="0"/>
      <w:divBdr>
        <w:top w:val="none" w:sz="0" w:space="0" w:color="auto"/>
        <w:left w:val="none" w:sz="0" w:space="0" w:color="auto"/>
        <w:bottom w:val="none" w:sz="0" w:space="0" w:color="auto"/>
        <w:right w:val="none" w:sz="0" w:space="0" w:color="auto"/>
      </w:divBdr>
    </w:div>
    <w:div w:id="1395355608">
      <w:bodyDiv w:val="1"/>
      <w:marLeft w:val="0"/>
      <w:marRight w:val="0"/>
      <w:marTop w:val="0"/>
      <w:marBottom w:val="0"/>
      <w:divBdr>
        <w:top w:val="none" w:sz="0" w:space="0" w:color="auto"/>
        <w:left w:val="none" w:sz="0" w:space="0" w:color="auto"/>
        <w:bottom w:val="none" w:sz="0" w:space="0" w:color="auto"/>
        <w:right w:val="none" w:sz="0" w:space="0" w:color="auto"/>
      </w:divBdr>
    </w:div>
    <w:div w:id="1413425496">
      <w:bodyDiv w:val="1"/>
      <w:marLeft w:val="0"/>
      <w:marRight w:val="0"/>
      <w:marTop w:val="0"/>
      <w:marBottom w:val="0"/>
      <w:divBdr>
        <w:top w:val="none" w:sz="0" w:space="0" w:color="auto"/>
        <w:left w:val="none" w:sz="0" w:space="0" w:color="auto"/>
        <w:bottom w:val="none" w:sz="0" w:space="0" w:color="auto"/>
        <w:right w:val="none" w:sz="0" w:space="0" w:color="auto"/>
      </w:divBdr>
    </w:div>
    <w:div w:id="1473987092">
      <w:bodyDiv w:val="1"/>
      <w:marLeft w:val="0"/>
      <w:marRight w:val="0"/>
      <w:marTop w:val="0"/>
      <w:marBottom w:val="0"/>
      <w:divBdr>
        <w:top w:val="none" w:sz="0" w:space="0" w:color="auto"/>
        <w:left w:val="none" w:sz="0" w:space="0" w:color="auto"/>
        <w:bottom w:val="none" w:sz="0" w:space="0" w:color="auto"/>
        <w:right w:val="none" w:sz="0" w:space="0" w:color="auto"/>
      </w:divBdr>
    </w:div>
    <w:div w:id="1481269882">
      <w:bodyDiv w:val="1"/>
      <w:marLeft w:val="0"/>
      <w:marRight w:val="0"/>
      <w:marTop w:val="0"/>
      <w:marBottom w:val="0"/>
      <w:divBdr>
        <w:top w:val="none" w:sz="0" w:space="0" w:color="auto"/>
        <w:left w:val="none" w:sz="0" w:space="0" w:color="auto"/>
        <w:bottom w:val="none" w:sz="0" w:space="0" w:color="auto"/>
        <w:right w:val="none" w:sz="0" w:space="0" w:color="auto"/>
      </w:divBdr>
    </w:div>
    <w:div w:id="1484003273">
      <w:bodyDiv w:val="1"/>
      <w:marLeft w:val="0"/>
      <w:marRight w:val="0"/>
      <w:marTop w:val="0"/>
      <w:marBottom w:val="0"/>
      <w:divBdr>
        <w:top w:val="none" w:sz="0" w:space="0" w:color="auto"/>
        <w:left w:val="none" w:sz="0" w:space="0" w:color="auto"/>
        <w:bottom w:val="none" w:sz="0" w:space="0" w:color="auto"/>
        <w:right w:val="none" w:sz="0" w:space="0" w:color="auto"/>
      </w:divBdr>
    </w:div>
    <w:div w:id="1495992722">
      <w:bodyDiv w:val="1"/>
      <w:marLeft w:val="0"/>
      <w:marRight w:val="0"/>
      <w:marTop w:val="0"/>
      <w:marBottom w:val="0"/>
      <w:divBdr>
        <w:top w:val="none" w:sz="0" w:space="0" w:color="auto"/>
        <w:left w:val="none" w:sz="0" w:space="0" w:color="auto"/>
        <w:bottom w:val="none" w:sz="0" w:space="0" w:color="auto"/>
        <w:right w:val="none" w:sz="0" w:space="0" w:color="auto"/>
      </w:divBdr>
    </w:div>
    <w:div w:id="1530534146">
      <w:bodyDiv w:val="1"/>
      <w:marLeft w:val="0"/>
      <w:marRight w:val="0"/>
      <w:marTop w:val="0"/>
      <w:marBottom w:val="0"/>
      <w:divBdr>
        <w:top w:val="none" w:sz="0" w:space="0" w:color="auto"/>
        <w:left w:val="none" w:sz="0" w:space="0" w:color="auto"/>
        <w:bottom w:val="none" w:sz="0" w:space="0" w:color="auto"/>
        <w:right w:val="none" w:sz="0" w:space="0" w:color="auto"/>
      </w:divBdr>
    </w:div>
    <w:div w:id="1531647991">
      <w:bodyDiv w:val="1"/>
      <w:marLeft w:val="0"/>
      <w:marRight w:val="0"/>
      <w:marTop w:val="0"/>
      <w:marBottom w:val="0"/>
      <w:divBdr>
        <w:top w:val="none" w:sz="0" w:space="0" w:color="auto"/>
        <w:left w:val="none" w:sz="0" w:space="0" w:color="auto"/>
        <w:bottom w:val="none" w:sz="0" w:space="0" w:color="auto"/>
        <w:right w:val="none" w:sz="0" w:space="0" w:color="auto"/>
      </w:divBdr>
    </w:div>
    <w:div w:id="1545092476">
      <w:bodyDiv w:val="1"/>
      <w:marLeft w:val="0"/>
      <w:marRight w:val="0"/>
      <w:marTop w:val="0"/>
      <w:marBottom w:val="0"/>
      <w:divBdr>
        <w:top w:val="none" w:sz="0" w:space="0" w:color="auto"/>
        <w:left w:val="none" w:sz="0" w:space="0" w:color="auto"/>
        <w:bottom w:val="none" w:sz="0" w:space="0" w:color="auto"/>
        <w:right w:val="none" w:sz="0" w:space="0" w:color="auto"/>
      </w:divBdr>
    </w:div>
    <w:div w:id="1547256013">
      <w:bodyDiv w:val="1"/>
      <w:marLeft w:val="0"/>
      <w:marRight w:val="0"/>
      <w:marTop w:val="0"/>
      <w:marBottom w:val="0"/>
      <w:divBdr>
        <w:top w:val="none" w:sz="0" w:space="0" w:color="auto"/>
        <w:left w:val="none" w:sz="0" w:space="0" w:color="auto"/>
        <w:bottom w:val="none" w:sz="0" w:space="0" w:color="auto"/>
        <w:right w:val="none" w:sz="0" w:space="0" w:color="auto"/>
      </w:divBdr>
    </w:div>
    <w:div w:id="1564828054">
      <w:bodyDiv w:val="1"/>
      <w:marLeft w:val="0"/>
      <w:marRight w:val="0"/>
      <w:marTop w:val="0"/>
      <w:marBottom w:val="0"/>
      <w:divBdr>
        <w:top w:val="none" w:sz="0" w:space="0" w:color="auto"/>
        <w:left w:val="none" w:sz="0" w:space="0" w:color="auto"/>
        <w:bottom w:val="none" w:sz="0" w:space="0" w:color="auto"/>
        <w:right w:val="none" w:sz="0" w:space="0" w:color="auto"/>
      </w:divBdr>
    </w:div>
    <w:div w:id="1593539744">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874377">
      <w:bodyDiv w:val="1"/>
      <w:marLeft w:val="0"/>
      <w:marRight w:val="0"/>
      <w:marTop w:val="0"/>
      <w:marBottom w:val="0"/>
      <w:divBdr>
        <w:top w:val="none" w:sz="0" w:space="0" w:color="auto"/>
        <w:left w:val="none" w:sz="0" w:space="0" w:color="auto"/>
        <w:bottom w:val="none" w:sz="0" w:space="0" w:color="auto"/>
        <w:right w:val="none" w:sz="0" w:space="0" w:color="auto"/>
      </w:divBdr>
    </w:div>
    <w:div w:id="1666009500">
      <w:bodyDiv w:val="1"/>
      <w:marLeft w:val="0"/>
      <w:marRight w:val="0"/>
      <w:marTop w:val="0"/>
      <w:marBottom w:val="0"/>
      <w:divBdr>
        <w:top w:val="none" w:sz="0" w:space="0" w:color="auto"/>
        <w:left w:val="none" w:sz="0" w:space="0" w:color="auto"/>
        <w:bottom w:val="none" w:sz="0" w:space="0" w:color="auto"/>
        <w:right w:val="none" w:sz="0" w:space="0" w:color="auto"/>
      </w:divBdr>
    </w:div>
    <w:div w:id="1705981789">
      <w:bodyDiv w:val="1"/>
      <w:marLeft w:val="0"/>
      <w:marRight w:val="0"/>
      <w:marTop w:val="0"/>
      <w:marBottom w:val="0"/>
      <w:divBdr>
        <w:top w:val="none" w:sz="0" w:space="0" w:color="auto"/>
        <w:left w:val="none" w:sz="0" w:space="0" w:color="auto"/>
        <w:bottom w:val="none" w:sz="0" w:space="0" w:color="auto"/>
        <w:right w:val="none" w:sz="0" w:space="0" w:color="auto"/>
      </w:divBdr>
    </w:div>
    <w:div w:id="1716390348">
      <w:bodyDiv w:val="1"/>
      <w:marLeft w:val="0"/>
      <w:marRight w:val="0"/>
      <w:marTop w:val="0"/>
      <w:marBottom w:val="0"/>
      <w:divBdr>
        <w:top w:val="none" w:sz="0" w:space="0" w:color="auto"/>
        <w:left w:val="none" w:sz="0" w:space="0" w:color="auto"/>
        <w:bottom w:val="none" w:sz="0" w:space="0" w:color="auto"/>
        <w:right w:val="none" w:sz="0" w:space="0" w:color="auto"/>
      </w:divBdr>
    </w:div>
    <w:div w:id="1724522858">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98059555">
      <w:bodyDiv w:val="1"/>
      <w:marLeft w:val="0"/>
      <w:marRight w:val="0"/>
      <w:marTop w:val="0"/>
      <w:marBottom w:val="0"/>
      <w:divBdr>
        <w:top w:val="none" w:sz="0" w:space="0" w:color="auto"/>
        <w:left w:val="none" w:sz="0" w:space="0" w:color="auto"/>
        <w:bottom w:val="none" w:sz="0" w:space="0" w:color="auto"/>
        <w:right w:val="none" w:sz="0" w:space="0" w:color="auto"/>
      </w:divBdr>
    </w:div>
    <w:div w:id="1854220656">
      <w:bodyDiv w:val="1"/>
      <w:marLeft w:val="0"/>
      <w:marRight w:val="0"/>
      <w:marTop w:val="0"/>
      <w:marBottom w:val="0"/>
      <w:divBdr>
        <w:top w:val="none" w:sz="0" w:space="0" w:color="auto"/>
        <w:left w:val="none" w:sz="0" w:space="0" w:color="auto"/>
        <w:bottom w:val="none" w:sz="0" w:space="0" w:color="auto"/>
        <w:right w:val="none" w:sz="0" w:space="0" w:color="auto"/>
      </w:divBdr>
    </w:div>
    <w:div w:id="1863740730">
      <w:bodyDiv w:val="1"/>
      <w:marLeft w:val="0"/>
      <w:marRight w:val="0"/>
      <w:marTop w:val="0"/>
      <w:marBottom w:val="0"/>
      <w:divBdr>
        <w:top w:val="none" w:sz="0" w:space="0" w:color="auto"/>
        <w:left w:val="none" w:sz="0" w:space="0" w:color="auto"/>
        <w:bottom w:val="none" w:sz="0" w:space="0" w:color="auto"/>
        <w:right w:val="none" w:sz="0" w:space="0" w:color="auto"/>
      </w:divBdr>
    </w:div>
    <w:div w:id="1875146774">
      <w:bodyDiv w:val="1"/>
      <w:marLeft w:val="0"/>
      <w:marRight w:val="0"/>
      <w:marTop w:val="0"/>
      <w:marBottom w:val="0"/>
      <w:divBdr>
        <w:top w:val="none" w:sz="0" w:space="0" w:color="auto"/>
        <w:left w:val="none" w:sz="0" w:space="0" w:color="auto"/>
        <w:bottom w:val="none" w:sz="0" w:space="0" w:color="auto"/>
        <w:right w:val="none" w:sz="0" w:space="0" w:color="auto"/>
      </w:divBdr>
    </w:div>
    <w:div w:id="1884898236">
      <w:bodyDiv w:val="1"/>
      <w:marLeft w:val="0"/>
      <w:marRight w:val="0"/>
      <w:marTop w:val="0"/>
      <w:marBottom w:val="0"/>
      <w:divBdr>
        <w:top w:val="none" w:sz="0" w:space="0" w:color="auto"/>
        <w:left w:val="none" w:sz="0" w:space="0" w:color="auto"/>
        <w:bottom w:val="none" w:sz="0" w:space="0" w:color="auto"/>
        <w:right w:val="none" w:sz="0" w:space="0" w:color="auto"/>
      </w:divBdr>
    </w:div>
    <w:div w:id="1929802152">
      <w:bodyDiv w:val="1"/>
      <w:marLeft w:val="0"/>
      <w:marRight w:val="0"/>
      <w:marTop w:val="0"/>
      <w:marBottom w:val="0"/>
      <w:divBdr>
        <w:top w:val="none" w:sz="0" w:space="0" w:color="auto"/>
        <w:left w:val="none" w:sz="0" w:space="0" w:color="auto"/>
        <w:bottom w:val="none" w:sz="0" w:space="0" w:color="auto"/>
        <w:right w:val="none" w:sz="0" w:space="0" w:color="auto"/>
      </w:divBdr>
    </w:div>
    <w:div w:id="1933388471">
      <w:bodyDiv w:val="1"/>
      <w:marLeft w:val="0"/>
      <w:marRight w:val="0"/>
      <w:marTop w:val="0"/>
      <w:marBottom w:val="0"/>
      <w:divBdr>
        <w:top w:val="none" w:sz="0" w:space="0" w:color="auto"/>
        <w:left w:val="none" w:sz="0" w:space="0" w:color="auto"/>
        <w:bottom w:val="none" w:sz="0" w:space="0" w:color="auto"/>
        <w:right w:val="none" w:sz="0" w:space="0" w:color="auto"/>
      </w:divBdr>
    </w:div>
    <w:div w:id="1942643449">
      <w:bodyDiv w:val="1"/>
      <w:marLeft w:val="0"/>
      <w:marRight w:val="0"/>
      <w:marTop w:val="0"/>
      <w:marBottom w:val="0"/>
      <w:divBdr>
        <w:top w:val="none" w:sz="0" w:space="0" w:color="auto"/>
        <w:left w:val="none" w:sz="0" w:space="0" w:color="auto"/>
        <w:bottom w:val="none" w:sz="0" w:space="0" w:color="auto"/>
        <w:right w:val="none" w:sz="0" w:space="0" w:color="auto"/>
      </w:divBdr>
    </w:div>
    <w:div w:id="1959606935">
      <w:bodyDiv w:val="1"/>
      <w:marLeft w:val="0"/>
      <w:marRight w:val="0"/>
      <w:marTop w:val="0"/>
      <w:marBottom w:val="0"/>
      <w:divBdr>
        <w:top w:val="none" w:sz="0" w:space="0" w:color="auto"/>
        <w:left w:val="none" w:sz="0" w:space="0" w:color="auto"/>
        <w:bottom w:val="none" w:sz="0" w:space="0" w:color="auto"/>
        <w:right w:val="none" w:sz="0" w:space="0" w:color="auto"/>
      </w:divBdr>
    </w:div>
    <w:div w:id="2040812346">
      <w:bodyDiv w:val="1"/>
      <w:marLeft w:val="0"/>
      <w:marRight w:val="0"/>
      <w:marTop w:val="0"/>
      <w:marBottom w:val="0"/>
      <w:divBdr>
        <w:top w:val="none" w:sz="0" w:space="0" w:color="auto"/>
        <w:left w:val="none" w:sz="0" w:space="0" w:color="auto"/>
        <w:bottom w:val="none" w:sz="0" w:space="0" w:color="auto"/>
        <w:right w:val="none" w:sz="0" w:space="0" w:color="auto"/>
      </w:divBdr>
    </w:div>
    <w:div w:id="2109226736">
      <w:bodyDiv w:val="1"/>
      <w:marLeft w:val="0"/>
      <w:marRight w:val="0"/>
      <w:marTop w:val="0"/>
      <w:marBottom w:val="0"/>
      <w:divBdr>
        <w:top w:val="none" w:sz="0" w:space="0" w:color="auto"/>
        <w:left w:val="none" w:sz="0" w:space="0" w:color="auto"/>
        <w:bottom w:val="none" w:sz="0" w:space="0" w:color="auto"/>
        <w:right w:val="none" w:sz="0" w:space="0" w:color="auto"/>
      </w:divBdr>
    </w:div>
    <w:div w:id="2115665470">
      <w:bodyDiv w:val="1"/>
      <w:marLeft w:val="0"/>
      <w:marRight w:val="0"/>
      <w:marTop w:val="0"/>
      <w:marBottom w:val="0"/>
      <w:divBdr>
        <w:top w:val="none" w:sz="0" w:space="0" w:color="auto"/>
        <w:left w:val="none" w:sz="0" w:space="0" w:color="auto"/>
        <w:bottom w:val="none" w:sz="0" w:space="0" w:color="auto"/>
        <w:right w:val="none" w:sz="0" w:space="0" w:color="auto"/>
      </w:divBdr>
    </w:div>
    <w:div w:id="2135975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7.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header" Target="header9.xml"/><Relationship Id="rId46"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png"/><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header" Target="header8.xml"/><Relationship Id="rId40" Type="http://schemas.openxmlformats.org/officeDocument/2006/relationships/footer" Target="footer10.xml"/><Relationship Id="rId45"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9.png"/><Relationship Id="rId44"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footer" Target="footer7.xml"/><Relationship Id="rId43" Type="http://schemas.openxmlformats.org/officeDocument/2006/relationships/chart" Target="charts/chart1.xml"/><Relationship Id="rId48" Type="http://schemas.openxmlformats.org/officeDocument/2006/relationships/theme" Target="theme/theme1.xml"/></Relationships>
</file>

<file path=word/_rels/endnotes.xml.rels><?xml version="1.0" encoding="UTF-8" standalone="yes"?>
<Relationships xmlns="http://schemas.openxmlformats.org/package/2006/relationships"><Relationship Id="rId117" Type="http://schemas.openxmlformats.org/officeDocument/2006/relationships/hyperlink" Target="https://www.ovhcloud.com/en/" TargetMode="External"/><Relationship Id="rId21" Type="http://schemas.openxmlformats.org/officeDocument/2006/relationships/hyperlink" Target="https://ec.europa.eu/info/law/better-regulation/have-your-say/initiatives/14709-Digital-Networks-Act_en" TargetMode="External"/><Relationship Id="rId42" Type="http://schemas.openxmlformats.org/officeDocument/2006/relationships/hyperlink" Target="https://aws.amazon.com/partners/training/" TargetMode="External"/><Relationship Id="rId63" Type="http://schemas.openxmlformats.org/officeDocument/2006/relationships/hyperlink" Target="https://www.statista.com/outlook/tmo/artificial-intelligence/eu-27" TargetMode="External"/><Relationship Id="rId84" Type="http://schemas.openxmlformats.org/officeDocument/2006/relationships/hyperlink" Target="https://www.cigref.fr/wp/wp-content/uploads/2025/05/TECHNOLOGICAL-DEPENDENCE-ON-AMERICAN-SOFTWARE-AND-CLOUD-SERVICES-AN-ASSESSMENT-OF-THE-ECONOMIC-CONSEQUENCES.pdf" TargetMode="External"/><Relationship Id="rId138" Type="http://schemas.openxmlformats.org/officeDocument/2006/relationships/hyperlink" Target="https://ert.eu/wp-content/uploads/2025/05/Single-Market-Compendium-of-obstacles-21-May-2025.pdf" TargetMode="External"/><Relationship Id="rId159" Type="http://schemas.openxmlformats.org/officeDocument/2006/relationships/hyperlink" Target="https://www.security-insider.de/digitale-abhaengigkeit-microsoft-risiken-eu-wirtschaft-a-9fad6b2b35449560543d9a81f0ca0e1a/" TargetMode="External"/><Relationship Id="rId170" Type="http://schemas.openxmlformats.org/officeDocument/2006/relationships/hyperlink" Target="https://openai.com/index/the-next-chapter-for-uk-sovereign-ai/" TargetMode="External"/><Relationship Id="rId191" Type="http://schemas.openxmlformats.org/officeDocument/2006/relationships/hyperlink" Target="https://ecrof25.fdiintelligence.com/" TargetMode="External"/><Relationship Id="rId205" Type="http://schemas.openxmlformats.org/officeDocument/2006/relationships/hyperlink" Target="https://help.openai.com/en/articles/8959649-eu-digital-services-act-dsa?" TargetMode="External"/><Relationship Id="rId107" Type="http://schemas.openxmlformats.org/officeDocument/2006/relationships/hyperlink" Target="https://www.clingendael.org/publication/too-late-act-europes-quest-cloud-sovereignty" TargetMode="External"/><Relationship Id="rId11" Type="http://schemas.openxmlformats.org/officeDocument/2006/relationships/hyperlink" Target="https://www.whitehouse.gov/wp-content/uploads/2025/07/Americas-AI-Action-Plan.pdf" TargetMode="External"/><Relationship Id="rId32" Type="http://schemas.openxmlformats.org/officeDocument/2006/relationships/hyperlink" Target="https://www.securitymagazine.com/articles/80785-cloud-services-market-to-exceed-68-billion-in-2010-1" TargetMode="External"/><Relationship Id="rId37" Type="http://schemas.openxmlformats.org/officeDocument/2006/relationships/hyperlink" Target="https://www.computerweekly.com/news/252494886/European-IT-providers-struggle-to-capitalise-on-continent-wide-growth-in-cloud-demand" TargetMode="External"/><Relationship Id="rId53" Type="http://schemas.openxmlformats.org/officeDocument/2006/relationships/hyperlink" Target="https://ideas.repec.org/p/tse/wpaper/129265.html" TargetMode="External"/><Relationship Id="rId58" Type="http://schemas.openxmlformats.org/officeDocument/2006/relationships/hyperlink" Target="https://cset.georgetown.edu/wp-content/uploads/AI-and-Compute-How-Much-Longer-Can-Computing-Power-Drive-Artificial-Intelligence-Progress_v2.pdf" TargetMode="External"/><Relationship Id="rId74" Type="http://schemas.openxmlformats.org/officeDocument/2006/relationships/hyperlink" Target="https://onlinelibrary.wiley.com/doi/10.1111/1468-2427.13316" TargetMode="External"/><Relationship Id="rId79" Type="http://schemas.openxmlformats.org/officeDocument/2006/relationships/hyperlink" Target="https://www.srgresearch.com/articles/cloud-is-a-global-market-apart-from-china" TargetMode="External"/><Relationship Id="rId102" Type="http://schemas.openxmlformats.org/officeDocument/2006/relationships/hyperlink" Target="https://www.reuters.com/business/oaktree-backed-firm-unveils-12-billion-amsterdam-data-centre-project-2025-12-15/" TargetMode="External"/><Relationship Id="rId123" Type="http://schemas.openxmlformats.org/officeDocument/2006/relationships/hyperlink" Target="https://mediaassets.cbre.com/-/media/files/2026/european-real-estate-market-outlook-2026.pdf?rev=66128ea71d644a7f90cc9c290aced710" TargetMode="External"/><Relationship Id="rId128" Type="http://schemas.openxmlformats.org/officeDocument/2006/relationships/hyperlink" Target="https://ember-energy.org/app/uploads/2025/06/Report-Grids-for-data-centres-in-Europe-PDF.pdf" TargetMode="External"/><Relationship Id="rId144" Type="http://schemas.openxmlformats.org/officeDocument/2006/relationships/hyperlink" Target="https://content.knightfrank.com/research/2982/documents/en/data-centres-global-report-2025-12054.pdf" TargetMode="External"/><Relationship Id="rId149" Type="http://schemas.openxmlformats.org/officeDocument/2006/relationships/hyperlink" Target="https://www.theguardian.com/environment/2025/apr/09/big-tech-datacentres-water" TargetMode="External"/><Relationship Id="rId5" Type="http://schemas.openxmlformats.org/officeDocument/2006/relationships/hyperlink" Target="https://digital-strategy.ec.europa.eu/en/library/ai-continent-action-plan" TargetMode="External"/><Relationship Id="rId90" Type="http://schemas.openxmlformats.org/officeDocument/2006/relationships/hyperlink" Target="https://www.lemonde.fr/en/international/article/2025/11/19/nicolas-guillou-french-icc-judge-sanctioned-by-the-us-you-are-effectively-blacklisted-by-much-of-the-world-s-banking-system_6747628_4.html" TargetMode="External"/><Relationship Id="rId95" Type="http://schemas.openxmlformats.org/officeDocument/2006/relationships/hyperlink" Target="https://www.capgemini.com/wp-content/uploads/2022/07/CRI_Cloud-sovereignity_web10mb.pdf" TargetMode="External"/><Relationship Id="rId160" Type="http://schemas.openxmlformats.org/officeDocument/2006/relationships/hyperlink" Target="https://www.techradar.com/pro/were-done-major-government-organization-slams-microsoft-teams" TargetMode="External"/><Relationship Id="rId165" Type="http://schemas.openxmlformats.org/officeDocument/2006/relationships/hyperlink" Target="https://aws.eu/" TargetMode="External"/><Relationship Id="rId181" Type="http://schemas.openxmlformats.org/officeDocument/2006/relationships/hyperlink" Target="https://www.grandviewresearch.com/horizon/outlook/public-cloud-market/europe" TargetMode="External"/><Relationship Id="rId186" Type="http://schemas.openxmlformats.org/officeDocument/2006/relationships/hyperlink" Target="https://www.eca.europa.eu/ECAPublications/SR-2025-12/SR-2025-12_EN.pdf" TargetMode="External"/><Relationship Id="rId216" Type="http://schemas.openxmlformats.org/officeDocument/2006/relationships/hyperlink" Target="https://www.riksrevisionen.se/download/18.2008b69c18bd0f6ed3f31203/1671028380348/RiR_2022_18_summary.pdf" TargetMode="External"/><Relationship Id="rId211" Type="http://schemas.openxmlformats.org/officeDocument/2006/relationships/hyperlink" Target="https://www.iea.org/reports/energy-and-ai" TargetMode="External"/><Relationship Id="rId22" Type="http://schemas.openxmlformats.org/officeDocument/2006/relationships/hyperlink" Target="https://energy.ec.europa.eu/news/commission-collects-views-preparation-european-grids-package-2025-05-13_en" TargetMode="External"/><Relationship Id="rId27" Type="http://schemas.openxmlformats.org/officeDocument/2006/relationships/hyperlink" Target="https://eur-lex.europa.eu/eli/reg/2024/1689/oj/eng" TargetMode="External"/><Relationship Id="rId43" Type="http://schemas.openxmlformats.org/officeDocument/2006/relationships/hyperlink" Target="https://www.novacloud.io/blog/top-aws-consulting-partners" TargetMode="External"/><Relationship Id="rId48" Type="http://schemas.openxmlformats.org/officeDocument/2006/relationships/hyperlink" Target="https://www.mobileeurope.co.uk/netflix-prime-video-and-disney-have-85-of-europes-svod-market/" TargetMode="External"/><Relationship Id="rId64" Type="http://schemas.openxmlformats.org/officeDocument/2006/relationships/hyperlink" Target="https://www.cbre.com/insights/books/european-real-estate-market-outlook-mid-year-review-2025/data-centres" TargetMode="External"/><Relationship Id="rId69" Type="http://schemas.openxmlformats.org/officeDocument/2006/relationships/hyperlink" Target="https://www.savills.co.uk/research_articles/229130/362695-0" TargetMode="External"/><Relationship Id="rId113" Type="http://schemas.openxmlformats.org/officeDocument/2006/relationships/hyperlink" Target="https://www.ftc.gov/system/files/ftc_gov/pdf/p246201_aipartnerships6breport_redacted_0.pdf" TargetMode="External"/><Relationship Id="rId118" Type="http://schemas.openxmlformats.org/officeDocument/2006/relationships/hyperlink" Target="https://www.tweedekamer.nl/kamerstukken/detail?id=2025D01627&amp;did=2025D01627" TargetMode="External"/><Relationship Id="rId134" Type="http://schemas.openxmlformats.org/officeDocument/2006/relationships/hyperlink" Target="https://ember-energy.org/latest-insights/grids-for-data-centres-ambitious-grid-planning-can-win-europes-ai-race/" TargetMode="External"/><Relationship Id="rId139" Type="http://schemas.openxmlformats.org/officeDocument/2006/relationships/hyperlink" Target="https://datacentremagazine.com/critical-environments/why-retrofit-could-dominate-data-centre-builds-this-decade?utm_source=chatgpt.com" TargetMode="External"/><Relationship Id="rId80" Type="http://schemas.openxmlformats.org/officeDocument/2006/relationships/hyperlink" Target="https://www.srgresearch.com/articles/european-cloud-providers-local-market-share-now-holds-steady-at-15" TargetMode="External"/><Relationship Id="rId85" Type="http://schemas.openxmlformats.org/officeDocument/2006/relationships/hyperlink" Target="https://www.consilium.europa.eu/media/63818/art-paper-chatgpt-in-the-public-sector-overhyped-or-overlooked-24-april-2023_ext.pdf" TargetMode="External"/><Relationship Id="rId150" Type="http://schemas.openxmlformats.org/officeDocument/2006/relationships/hyperlink" Target="https://www.icef.go.jp/wp-content/themes/icef_new/pdf/roadmap/icef2025_roadmap.pdf" TargetMode="External"/><Relationship Id="rId155" Type="http://schemas.openxmlformats.org/officeDocument/2006/relationships/hyperlink" Target="https://www.bmi.bund.de/SharedDocs/pressemitteilungen/EN/2025/03/dvc.html?" TargetMode="External"/><Relationship Id="rId171" Type="http://schemas.openxmlformats.org/officeDocument/2006/relationships/hyperlink" Target="https://www.stackit.de/de/oeffentlicher-sektor/" TargetMode="External"/><Relationship Id="rId176" Type="http://schemas.openxmlformats.org/officeDocument/2006/relationships/hyperlink" Target="https://www.rand.org/pubs/commentary/2025/03/when-ai-takes-time-to-think-implications-of-test-time.html" TargetMode="External"/><Relationship Id="rId192" Type="http://schemas.openxmlformats.org/officeDocument/2006/relationships/hyperlink" Target="https://doi.org/10.1787/595859c5-en" TargetMode="External"/><Relationship Id="rId197" Type="http://schemas.openxmlformats.org/officeDocument/2006/relationships/hyperlink" Target="https://www.mckinsey.com/industries/technology-media-and-telecommunications/our-insights/accelerating-europes-ai-adoption-the-role-of-sovereign-ai" TargetMode="External"/><Relationship Id="rId206" Type="http://schemas.openxmlformats.org/officeDocument/2006/relationships/hyperlink" Target="https://www.eea.europa.eu/en/analysis/indicators/greenhouse-gas-emission-intensity-of-1" TargetMode="External"/><Relationship Id="rId201" Type="http://schemas.openxmlformats.org/officeDocument/2006/relationships/hyperlink" Target="https://algorithmwatch.org/en/infrastructure-intrusion-conflict-data-center/" TargetMode="External"/><Relationship Id="rId12" Type="http://schemas.openxmlformats.org/officeDocument/2006/relationships/hyperlink" Target="https://www.whitehouse.gov/presidential-actions/2025/07/accelerating-federal-permitting-of-data-center-infrastructure/" TargetMode="External"/><Relationship Id="rId17" Type="http://schemas.openxmlformats.org/officeDocument/2006/relationships/hyperlink" Target="https://eur-lex.europa.eu/eli/dec/2022/2481/oj" TargetMode="External"/><Relationship Id="rId33" Type="http://schemas.openxmlformats.org/officeDocument/2006/relationships/hyperlink" Target="http://hdl.handle.net/10986/41587" TargetMode="External"/><Relationship Id="rId38" Type="http://schemas.openxmlformats.org/officeDocument/2006/relationships/hyperlink" Target="https://ec.europa.eu/newsroom/repository/document/2021-18/European_CloudEdge_Technology_Investment_Roadmap_for_publication_pMdz85DSw6nqPppq8hE9S9RbB8_76223.pdf" TargetMode="External"/><Relationship Id="rId59" Type="http://schemas.openxmlformats.org/officeDocument/2006/relationships/hyperlink" Target="https://www.mckinsey.com/industries/technology-media-and-telecommunications/our-insights/the-cost-of-compute-a-7-trillion-dollar-race-to-scale-data-centers" TargetMode="External"/><Relationship Id="rId103" Type="http://schemas.openxmlformats.org/officeDocument/2006/relationships/hyperlink" Target="https://www.cbre.com/insights/books/european-real-estate-market-outlook-2025/data-centres" TargetMode="External"/><Relationship Id="rId108" Type="http://schemas.openxmlformats.org/officeDocument/2006/relationships/hyperlink" Target="https://www.ngpcap.com/insights/the-cloud-evolution-from-hyperscaler-dominance-to-modular-infrastructure" TargetMode="External"/><Relationship Id="rId124" Type="http://schemas.openxmlformats.org/officeDocument/2006/relationships/hyperlink" Target="https://www.datacenters.com/news/the-real-estate-power-play-behind-europe-s-data-center-growth" TargetMode="External"/><Relationship Id="rId129" Type="http://schemas.openxmlformats.org/officeDocument/2006/relationships/hyperlink" Target="https://www.businesswire.com/news/home/20240924173494/en/IDC-Report-Reveals-AI-Driven-Growth-in-Datacenter-Energy-Consumption-Predicts-Surge-in-Datacenter-Facility-Spending-Amid-Rising-Electricity-Costs" TargetMode="External"/><Relationship Id="rId54" Type="http://schemas.openxmlformats.org/officeDocument/2006/relationships/hyperlink" Target="https://ideas.repec.org/s/tse/wpaper.html" TargetMode="External"/><Relationship Id="rId70" Type="http://schemas.openxmlformats.org/officeDocument/2006/relationships/hyperlink" Target="https://www.mckinsey.com/industries/electric-power-and-natural-gas/our-insights/the-role-of-power-in-unlocking-the-european-ai-revolution" TargetMode="External"/><Relationship Id="rId75" Type="http://schemas.openxmlformats.org/officeDocument/2006/relationships/hyperlink" Target="https://www.creos-net.lu/fileadmin/dokumente/downloads/20201029_Scenario_Report_2040.pdf?" TargetMode="External"/><Relationship Id="rId91" Type="http://schemas.openxmlformats.org/officeDocument/2006/relationships/hyperlink" Target="https://www.kyndryl.com/in/en/about-us/news/2025/11/kyndryl-purchase-cloud-services-solvinity" TargetMode="External"/><Relationship Id="rId96" Type="http://schemas.openxmlformats.org/officeDocument/2006/relationships/hyperlink" Target="https://urldefense.com/v3/__https:/cesin.fr/document.php?d=6793a1b83eb98__;!!DOxrgLBm!CR42JzDJ4rGrmkh_E39b-WO0WCtljWkkWLREuGqfoAR0QK5CWbCARGNqc1qfsgXL1Ws2mpLC6lcoFmQQsDKHfK4Q_fhve5cX$" TargetMode="External"/><Relationship Id="rId140" Type="http://schemas.openxmlformats.org/officeDocument/2006/relationships/hyperlink" Target="https://www.ft.com/content/75407616-1328-4ab8-9d81-a9dc18de920d" TargetMode="External"/><Relationship Id="rId145" Type="http://schemas.openxmlformats.org/officeDocument/2006/relationships/hyperlink" Target="https://www.reuters.com/technology/china-invests-61-bln-computing-data-center-project-official-says-2024-08-29/" TargetMode="External"/><Relationship Id="rId161" Type="http://schemas.openxmlformats.org/officeDocument/2006/relationships/hyperlink" Target="https://therecord.media/denmark-digital-agency-microsoft-digital-independence" TargetMode="External"/><Relationship Id="rId166" Type="http://schemas.openxmlformats.org/officeDocument/2006/relationships/hyperlink" Target="https://www.oracle.com/europe/cloud/eu-sovereign-cloud/" TargetMode="External"/><Relationship Id="rId182" Type="http://schemas.openxmlformats.org/officeDocument/2006/relationships/hyperlink" Target="https://hai.stanford.edu/assets/files/hai_ai_index_report_2025.pdf" TargetMode="External"/><Relationship Id="rId187" Type="http://schemas.openxmlformats.org/officeDocument/2006/relationships/hyperlink" Target="https://www.oecd.org/content/dam/oecd/en/publications/reports/2025/11/competition-in-artificial-intelligence-infrastructure_69319aee/623d1874-en.pdf"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commission.europa.eu/strategy-and-policy/priorities-2019-2024/europe-fit-digital-age/europes-digital-decade-digital-targets-2030_en" TargetMode="External"/><Relationship Id="rId212" Type="http://schemas.openxmlformats.org/officeDocument/2006/relationships/hyperlink" Target="https://www.eea.europa.eu/en/analysis/indicators/water-abstraction-by-source-and/water-abstraction-by-economic" TargetMode="External"/><Relationship Id="rId23" Type="http://schemas.openxmlformats.org/officeDocument/2006/relationships/hyperlink" Target="https://finance.ec.europa.eu/regulation-and-supervision/savings-and-investments-union_en" TargetMode="External"/><Relationship Id="rId28" Type="http://schemas.openxmlformats.org/officeDocument/2006/relationships/hyperlink" Target="https://eur-lex.europa.eu/eli/reg/2019/881/oj/eng" TargetMode="External"/><Relationship Id="rId49" Type="http://schemas.openxmlformats.org/officeDocument/2006/relationships/hyperlink" Target="https://www.computerweekly.com/news/252494886/European-IT-providers-struggle-to-capitalise-on-continent-wide-growth-in-cloud-demand" TargetMode="External"/><Relationship Id="rId114" Type="http://schemas.openxmlformats.org/officeDocument/2006/relationships/hyperlink" Target="https://www.oecd.org/content/dam/oecd/en/publications/reports/2025/05/competition-in-the-provision-of-cloud-computing-services_f42582ad/595859c5-en.pdf" TargetMode="External"/><Relationship Id="rId119" Type="http://schemas.openxmlformats.org/officeDocument/2006/relationships/hyperlink" Target="https://www.tweedekamer.nl/kamerstukken/detail?id=2025D01627&amp;did=2025D01627" TargetMode="External"/><Relationship Id="rId44" Type="http://schemas.openxmlformats.org/officeDocument/2006/relationships/hyperlink" Target="https://azure.microsoft.com/en-us/partners" TargetMode="External"/><Relationship Id="rId60" Type="http://schemas.openxmlformats.org/officeDocument/2006/relationships/hyperlink" Target="https://www.bain.com/insights/how-can-we-meet-ais-insatiable-demand-for-compute-power-technology-report-2025/" TargetMode="External"/><Relationship Id="rId65" Type="http://schemas.openxmlformats.org/officeDocument/2006/relationships/hyperlink" Target="https://www.cbre.com/insights/reports/global-data-center-trends-2025" TargetMode="External"/><Relationship Id="rId81" Type="http://schemas.openxmlformats.org/officeDocument/2006/relationships/hyperlink" Target="https://www.srgresearch.com/articles/european-cloud-providers-local-market-share-now-holds-steady-at-15" TargetMode="External"/><Relationship Id="rId86" Type="http://schemas.openxmlformats.org/officeDocument/2006/relationships/hyperlink" Target="https://www.mckinsey.com/capabilities/quantumblack/our-insights/time-to-place-our-bets-europes-ai-opportunity" TargetMode="External"/><Relationship Id="rId130" Type="http://schemas.openxmlformats.org/officeDocument/2006/relationships/hyperlink" Target="https://cerre.eu/wp-content/uploads/2025/09/CERRE_Report_DCs_FinalPDF.pdf" TargetMode="External"/><Relationship Id="rId135" Type="http://schemas.openxmlformats.org/officeDocument/2006/relationships/hyperlink" Target="https://www.reuters.com/technology/poor-grid-planning-could-shift-europes-data-centre-geography-report-says-2025-06-18/" TargetMode="External"/><Relationship Id="rId151" Type="http://schemas.openxmlformats.org/officeDocument/2006/relationships/hyperlink" Target="https://ecipe.org/publications/eu-gap-ict-and-cloud-computing/" TargetMode="External"/><Relationship Id="rId156" Type="http://schemas.openxmlformats.org/officeDocument/2006/relationships/hyperlink" Target="https://www.cispe.cloud/website_cispe/wp-content/uploads/2022/02/CISPE-Buying-Cloud-Services-in-Public-Sector-Handbook-v2-FEB-2022-3.pdf" TargetMode="External"/><Relationship Id="rId177" Type="http://schemas.openxmlformats.org/officeDocument/2006/relationships/hyperlink" Target="https://www.bloomberg.com/graphics/2025-ai-data-centers-electricity-prices/?accessToken=eyJhbGciOiJIUzI1NiIsInR5cCI6IkpXVCJ9.eyJzb3VyY2UiOiJTdWJzY3JpYmVyR2lmdGVkQXJ0aWNsZSIsImlhdCI6MTc2MDc4ODQ2OSwiZXhwIjoxNzYxMzkzMjY5LCJhcnRpY2xlSWQiOiJUM0RFRzlHUFdEM1EwMCIsImJjb25uZWN0SWQiOiIwOEIxNTBFREI2OTc0RERBQkQ4REUzQTM5NzRDQThCMCJ9.rjM5l8-rfckmoOIzJC_0tVqSEBO1BQKzF0WJbMVaLnA&amp;bsft_txnid=f476ad2e-71b9-4a3f-8a6d-26b018f6c886&amp;bsft_utid=54e33523-d5da-4f6c-adb8-c5cdeb30b16d-Newsletter_COR_WHATEVERITTAKES&amp;bsft_mime_type=html&amp;bsft_lx=3&amp;bsft_tv=1036" TargetMode="External"/><Relationship Id="rId198" Type="http://schemas.openxmlformats.org/officeDocument/2006/relationships/hyperlink" Target="https://link.springer.com/chapter/10.1007/978-3-030-29193-8_10" TargetMode="External"/><Relationship Id="rId172" Type="http://schemas.openxmlformats.org/officeDocument/2006/relationships/hyperlink" Target="https://www.scaleway.com/en/tech-solutions/" TargetMode="External"/><Relationship Id="rId193" Type="http://schemas.openxmlformats.org/officeDocument/2006/relationships/hyperlink" Target="https://assets.bii.co.uk/wp-content/uploads/2024/12/02102216/How-does-access-to-a-local-data-centre-affect-business-productivity.pdf" TargetMode="External"/><Relationship Id="rId202" Type="http://schemas.openxmlformats.org/officeDocument/2006/relationships/hyperlink" Target="https://ec.europa.eu/eurostat/databrowser/view/isoc_ciegi_ac__custom_12864737/bookmark/table?lang=en&amp;bookmarkId=aabac391-675b-4634-806e-f508c7d4e27c" TargetMode="External"/><Relationship Id="rId207" Type="http://schemas.openxmlformats.org/officeDocument/2006/relationships/hyperlink" Target="https://www.iea-4e.org/wp-content/uploads/2024/02/Policy-development-on-energy-efficiency-of-data-centres-draft-final-report-v1.05.pdf" TargetMode="External"/><Relationship Id="rId13" Type="http://schemas.openxmlformats.org/officeDocument/2006/relationships/hyperlink" Target="https://www.whitehouse.gov/presidential-actions/2025/07/promoting-the-export-of-the-american-ai-technology-stack/" TargetMode="External"/><Relationship Id="rId18" Type="http://schemas.openxmlformats.org/officeDocument/2006/relationships/hyperlink" Target="https://eur-lex.europa.eu/legal-content/EN/TXT/?uri=OJ%3AJOL_2023_231_R_0001&amp;qid=1695186598766" TargetMode="External"/><Relationship Id="rId39" Type="http://schemas.openxmlformats.org/officeDocument/2006/relationships/hyperlink" Target="https://www.nextgov.com/modernization/2020/11/exclusive-cia-awards-secret-multibillion-dollar-cloud-contract/170227/" TargetMode="External"/><Relationship Id="rId109" Type="http://schemas.openxmlformats.org/officeDocument/2006/relationships/hyperlink" Target="https://aws.amazon.com/blogs/apn/announcing-the-regional-2024-aws-partners-of-the-year-for-europe-middle-east-and-africa/" TargetMode="External"/><Relationship Id="rId34" Type="http://schemas.openxmlformats.org/officeDocument/2006/relationships/hyperlink" Target="https://creativecommons.org/licenses/by/3.0/igo/" TargetMode="External"/><Relationship Id="rId50" Type="http://schemas.openxmlformats.org/officeDocument/2006/relationships/hyperlink" Target="https://iri.jrc.ec.europa.eu/sites/default/files/2021-01/SB2020_final_16Dec2020_online.pdf" TargetMode="External"/><Relationship Id="rId55" Type="http://schemas.openxmlformats.org/officeDocument/2006/relationships/hyperlink" Target="https://assets.publishing.service.gov.uk/media/688b20e6ff8c05468cb7b120/summary_of_final_decision.pdf" TargetMode="External"/><Relationship Id="rId76" Type="http://schemas.openxmlformats.org/officeDocument/2006/relationships/hyperlink" Target="https://www.servermania.com/kb/articles/cloud-server-prices" TargetMode="External"/><Relationship Id="rId97" Type="http://schemas.openxmlformats.org/officeDocument/2006/relationships/hyperlink" Target="https://cc-techgroup.com/how-many-data-centers-are-in-the-us/" TargetMode="External"/><Relationship Id="rId104" Type="http://schemas.openxmlformats.org/officeDocument/2006/relationships/hyperlink" Target="https://leitmotiv.digital/publications/breaking-the-cloud-monopoly" TargetMode="External"/><Relationship Id="rId120" Type="http://schemas.openxmlformats.org/officeDocument/2006/relationships/hyperlink" Target="https://www.infoq.com/news/2025/03/european-cloud-providers/" TargetMode="External"/><Relationship Id="rId125" Type="http://schemas.openxmlformats.org/officeDocument/2006/relationships/hyperlink" Target="https://www.mckinsey.com/industries/electric-power-and-natural-gas/our-insights/the-role-of-power-in-unlocking-the-european-ai-revolution" TargetMode="External"/><Relationship Id="rId141" Type="http://schemas.openxmlformats.org/officeDocument/2006/relationships/hyperlink" Target="https://www.linklaters.com/en-us/about-us/news-and-deals/news/2024/june/europe-primed-for-data-centre-abs-financing-as-investment-soars" TargetMode="External"/><Relationship Id="rId146" Type="http://schemas.openxmlformats.org/officeDocument/2006/relationships/hyperlink" Target="https://www.jll.com/en-us/insights/market-dynamics/north-america-data-centers" TargetMode="External"/><Relationship Id="rId167" Type="http://schemas.openxmlformats.org/officeDocument/2006/relationships/hyperlink" Target="https://newsroom.orange.com/capgemini-and-orange-are-pleased-to-announce-the-launch-of-commercial-activities-of-bleu-their-future-cloud-de-confiance-platform/" TargetMode="External"/><Relationship Id="rId188" Type="http://schemas.openxmlformats.org/officeDocument/2006/relationships/hyperlink" Target="https://www.semiconductors.org/wp-content/uploads/2024/05/Report_Emerging-Resilience-in-the-Semiconductor-Supply-Chain.pdf" TargetMode="External"/><Relationship Id="rId7" Type="http://schemas.openxmlformats.org/officeDocument/2006/relationships/hyperlink" Target="https://www.europarl.europa.eu/doceo/document/A-10-2025-0107_EN.html" TargetMode="External"/><Relationship Id="rId71" Type="http://schemas.openxmlformats.org/officeDocument/2006/relationships/hyperlink" Target="https://www.cbre.com/insights/books/european-real-estate-market-outlook-mid-year-review-2025/data-centres" TargetMode="External"/><Relationship Id="rId92" Type="http://schemas.openxmlformats.org/officeDocument/2006/relationships/hyperlink" Target="https://www.reuters.com/world/europe/dutch-parliament-calls-end-reliance-us-software-2025-03-18/" TargetMode="External"/><Relationship Id="rId162" Type="http://schemas.openxmlformats.org/officeDocument/2006/relationships/hyperlink" Target="https://licenseware.io/denmarks-digital-declaration-of-independence-a-growing-european-revolt-against-big-tech-dependency/" TargetMode="External"/><Relationship Id="rId183" Type="http://schemas.openxmlformats.org/officeDocument/2006/relationships/hyperlink" Target="https://www.iea.org/reports/energy-and-ai" TargetMode="External"/><Relationship Id="rId213" Type="http://schemas.openxmlformats.org/officeDocument/2006/relationships/hyperlink" Target="https://www.arup.com/globalassets/downloads/insights/c/circular-thinking-for-data-centres/arup-circular-thinking-for-data-centres.pdf" TargetMode="External"/><Relationship Id="rId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29" Type="http://schemas.openxmlformats.org/officeDocument/2006/relationships/hyperlink" Target="https://eur-lex.europa.eu/eli/reg/2022/2554/oj" TargetMode="External"/><Relationship Id="rId24" Type="http://schemas.openxmlformats.org/officeDocument/2006/relationships/hyperlink" Target="https://digital-strategy.ec.europa.eu/en/policies/apply-ai" TargetMode="External"/><Relationship Id="rId40" Type="http://schemas.openxmlformats.org/officeDocument/2006/relationships/hyperlink" Target="https://www.datacenterdynamics.com/en/news/cia-awards-multibillion-c2e-cloud-contract-aws-microsoft-google-oracle-and-ibm/" TargetMode="External"/><Relationship Id="rId45" Type="http://schemas.openxmlformats.org/officeDocument/2006/relationships/hyperlink" Target="https://pulse.microsoft.com/en/transform-en/na/fa2-microsoft-partnerships-drive-innovation-and-growth-in-europe-in-times-of-uncertainty/" TargetMode="External"/><Relationship Id="rId66" Type="http://schemas.openxmlformats.org/officeDocument/2006/relationships/hyperlink" Target="https://finance.yahoo.com/news/big-techs-ai-investments-set-to-spike-to-364-billion-in-2025-as-bubble-fears-ease-143203885.html" TargetMode="External"/><Relationship Id="rId87" Type="http://schemas.openxmlformats.org/officeDocument/2006/relationships/hyperlink" Target="https://www.hcltech.com/trends-and-insights/understanding-cloud-outages-causes-consequences-and-mitigation-strategies" TargetMode="External"/><Relationship Id="rId110" Type="http://schemas.openxmlformats.org/officeDocument/2006/relationships/hyperlink" Target="https://aws.amazon.com/partners/programs/distribution-resellers/" TargetMode="External"/><Relationship Id="rId115" Type="http://schemas.openxmlformats.org/officeDocument/2006/relationships/hyperlink" Target="https://www.ftc.gov/system/files/ftc_gov/pdf/p246201_aipartnerships6breport_redacted_0.pdf" TargetMode="External"/><Relationship Id="rId131" Type="http://schemas.openxmlformats.org/officeDocument/2006/relationships/hyperlink" Target="https://publicpolicy.ie/papers/data-centres-in-ireland/" TargetMode="External"/><Relationship Id="rId136" Type="http://schemas.openxmlformats.org/officeDocument/2006/relationships/hyperlink" Target="https://www.bcg.com/publications/2025/breaking-barriers-data-center-growth" TargetMode="External"/><Relationship Id="rId157" Type="http://schemas.openxmlformats.org/officeDocument/2006/relationships/hyperlink" Target="https://ecipe.org/wp-content/uploads/2025/03/ECI_OccasionalPaper_04-2025_LY04.pdf" TargetMode="External"/><Relationship Id="rId178" Type="http://schemas.openxmlformats.org/officeDocument/2006/relationships/hyperlink" Target="https://www.datacenterwatch.org/report?bsft_txnid=f476ad2e-71b9-4a3f-8a6d-26b018f6c886&amp;bsft_utid=54e33523-d5da-4f6c-adb8-c5cdeb30b16d-Newsletter_COR_WHATEVERITTAKES&amp;bsft_mime_type=html&amp;bsft_lx=12&amp;bsft_tv=1036" TargetMode="External"/><Relationship Id="rId61" Type="http://schemas.openxmlformats.org/officeDocument/2006/relationships/hyperlink" Target="https://www.goldmansachs.com/insights/articles/ai-to-drive-165-increase-in-data-center-power-demand-by-2030" TargetMode="External"/><Relationship Id="rId82" Type="http://schemas.openxmlformats.org/officeDocument/2006/relationships/hyperlink" Target="https://www.europarl.europa.eu/RegData/etudes/STUD/2025/778576/ECTI_STU(2025)778576_EN.pdf" TargetMode="External"/><Relationship Id="rId152" Type="http://schemas.openxmlformats.org/officeDocument/2006/relationships/hyperlink" Target="https://eurostack.eu/wp-content/uploads/2025/08/eurostack-white-paper-final-19-05-25-3.pdf" TargetMode="External"/><Relationship Id="rId173" Type="http://schemas.openxmlformats.org/officeDocument/2006/relationships/hyperlink" Target="https://wire.com/en/blog/sovereign-cloud-eu-providers-challenges-opportunities" TargetMode="External"/><Relationship Id="rId194" Type="http://schemas.openxmlformats.org/officeDocument/2006/relationships/hyperlink" Target="https://www.cnbc.com/2025/10/20/amazon-web-services-outage-takes-down-major-websites.html?msockid=1d492e73588e6e22338e396759c66fc5" TargetMode="External"/><Relationship Id="rId199" Type="http://schemas.openxmlformats.org/officeDocument/2006/relationships/hyperlink" Target="https://www.robert-schuman.eu/en/european-issues/728-artificial-intelligence-europe-needs-to-start-dreaming-again" TargetMode="External"/><Relationship Id="rId203" Type="http://schemas.openxmlformats.org/officeDocument/2006/relationships/hyperlink" Target="https://ec.europa.eu/eurostat/databrowser/view/isoc_ci_ifp_fu/default/table?lang=en" TargetMode="External"/><Relationship Id="rId208" Type="http://schemas.openxmlformats.org/officeDocument/2006/relationships/hyperlink" Target="https://theshiftproject.org/en/publications/al-data-and-computing-shaping-infrastructures-for-a-decarbonised-world/" TargetMode="External"/><Relationship Id="rId19" Type="http://schemas.openxmlformats.org/officeDocument/2006/relationships/hyperlink" Target="https://eur-lex.europa.eu/eli/reg/2020/852/oj/eng" TargetMode="External"/><Relationship Id="rId14" Type="http://schemas.openxmlformats.org/officeDocument/2006/relationships/hyperlink" Target="https://www.reuters.com/technology/china-plans-network-sell-surplus-computing-power-crackdown-data-centre-glut-2025-07-24/" TargetMode="External"/><Relationship Id="rId30" Type="http://schemas.openxmlformats.org/officeDocument/2006/relationships/hyperlink" Target="https://eur-lex.europa.eu/eli/dir/2022/2555" TargetMode="External"/><Relationship Id="rId35" Type="http://schemas.openxmlformats.org/officeDocument/2006/relationships/hyperlink" Target="https://ec.europa.eu/eurostat/en/web/products-eurostat-news/w/ddn-20260203-1" TargetMode="External"/><Relationship Id="rId56" Type="http://schemas.openxmlformats.org/officeDocument/2006/relationships/hyperlink" Target="https://www.acm.nl/en/publications/market-study-cloud-services" TargetMode="External"/><Relationship Id="rId77" Type="http://schemas.openxmlformats.org/officeDocument/2006/relationships/hyperlink" Target="https://www.euronews.com/next/2024/06/14/mistal-ai-warns-of-lack-of-data-centres-training-capacity-in-europe" TargetMode="External"/><Relationship Id="rId100" Type="http://schemas.openxmlformats.org/officeDocument/2006/relationships/hyperlink" Target="https://www.ovhcloud.com/en/about-us/global-infrastructure/expansion-regions-az/" TargetMode="External"/><Relationship Id="rId105" Type="http://schemas.openxmlformats.org/officeDocument/2006/relationships/hyperlink" Target="https://www.datacenterdynamics.com/en/news/google-raises-2025-capex-estimate-again-to-91-93bn-significant-increase-in-data-center-spend-for-2026/" TargetMode="External"/><Relationship Id="rId126" Type="http://schemas.openxmlformats.org/officeDocument/2006/relationships/hyperlink" Target="https://www.iea.org/reports/energy-and-ai/energy-demand-from-ai" TargetMode="External"/><Relationship Id="rId147" Type="http://schemas.openxmlformats.org/officeDocument/2006/relationships/hyperlink" Target="https://www.weforum.org/stories/2024/11/circular-water-solutions-sustainable-data-centres/?utm_source=chatgpt.com" TargetMode="External"/><Relationship Id="rId168" Type="http://schemas.openxmlformats.org/officeDocument/2006/relationships/hyperlink" Target="https://clarence-cloud.com/" TargetMode="External"/><Relationship Id="rId8" Type="http://schemas.openxmlformats.org/officeDocument/2006/relationships/hyperlink" Target="https://data.consilium.europa.eu/doc/document/ST-16430-2025-INIT/en/pdf" TargetMode="External"/><Relationship Id="rId51" Type="http://schemas.openxmlformats.org/officeDocument/2006/relationships/hyperlink" Target="https://hyperframeresearch.com/2025/02/08/the-future-of-hyperscaler-capital-expenditures-a-deep-dive-into-ai-and-cloud-computing/" TargetMode="External"/><Relationship Id="rId72" Type="http://schemas.openxmlformats.org/officeDocument/2006/relationships/hyperlink" Target="https://www.cbre.com/insights/books/european-real-estate-market-outlook-mid-year-review-2025/data-centres" TargetMode="External"/><Relationship Id="rId93" Type="http://schemas.openxmlformats.org/officeDocument/2006/relationships/hyperlink" Target="https://www.bankingsupervision.europa.eu/ecb/pub/pdf/ssm.supervisory_guides202507.en.pdf" TargetMode="External"/><Relationship Id="rId98" Type="http://schemas.openxmlformats.org/officeDocument/2006/relationships/hyperlink" Target="https://www.usitc.gov/publications/332/pub5325.pdf" TargetMode="External"/><Relationship Id="rId121" Type="http://schemas.openxmlformats.org/officeDocument/2006/relationships/hyperlink" Target="https://www.gartner.com/reviews/market/strategic-cloud-platform-services" TargetMode="External"/><Relationship Id="rId142" Type="http://schemas.openxmlformats.org/officeDocument/2006/relationships/hyperlink" Target="https://www.jll.com/en-uk/insights/why-data-center-finance-is-diversifying" TargetMode="External"/><Relationship Id="rId163" Type="http://schemas.openxmlformats.org/officeDocument/2006/relationships/hyperlink" Target="https://www.ibm.com/think/topics/log4j" TargetMode="External"/><Relationship Id="rId184" Type="http://schemas.openxmlformats.org/officeDocument/2006/relationships/hyperlink" Target="https://digital-markets-act.ec.europa.eu/commission-launches-market-investigations-cloud-computing-services-under-digital-markets-act-2025-11-18_en" TargetMode="External"/><Relationship Id="rId189" Type="http://schemas.openxmlformats.org/officeDocument/2006/relationships/hyperlink" Target="https://lp.startcampus.pt/hubfs/Copenhagen%20Economics/CE%20Report_Economic%20contribution%20of%20data%20centres%20in%20Portugal_EN.pdf?hsLang=en" TargetMode="External"/><Relationship Id="rId3" Type="http://schemas.openxmlformats.org/officeDocument/2006/relationships/hyperlink" Target="https://commission.europa.eu/document/download/10017eb1-4722-4333-add2-e0ed18105a34_en?filename=Communication_1.pdf" TargetMode="External"/><Relationship Id="rId214" Type="http://schemas.openxmlformats.org/officeDocument/2006/relationships/hyperlink" Target="https://www.nature.com/articles/s41586-025-08832-3" TargetMode="External"/><Relationship Id="rId25" Type="http://schemas.openxmlformats.org/officeDocument/2006/relationships/hyperlink" Target="https://eur-lex.europa.eu/legal-content/EN/TXT/?uri=CELEX%3A32023R2854&amp;qid=1753085801214" TargetMode="External"/><Relationship Id="rId46" Type="http://schemas.openxmlformats.org/officeDocument/2006/relationships/hyperlink" Target="https://learn.microsoft.com/en-us/partner-center/enroll/csp-overview" TargetMode="External"/><Relationship Id="rId67" Type="http://schemas.openxmlformats.org/officeDocument/2006/relationships/hyperlink" Target="https://assets.kpmg.com/content/dam/kpmg/ie/pdf/2022/11/ie-the-evolving-data-centre-landscape.pdf" TargetMode="External"/><Relationship Id="rId116" Type="http://schemas.openxmlformats.org/officeDocument/2006/relationships/hyperlink" Target="https://www.ovhcloud.com/en/" TargetMode="External"/><Relationship Id="rId137" Type="http://schemas.openxmlformats.org/officeDocument/2006/relationships/hyperlink" Target="https://www.reuters.com/business/energy/power-connection-requests-italy-data-centres-rise-42-gw-end-march-2025-05-15/" TargetMode="External"/><Relationship Id="rId158" Type="http://schemas.openxmlformats.org/officeDocument/2006/relationships/hyperlink" Target="https://www.microsoft.com/en/customers/story/21664-v-ict-or-azure-container-apps" TargetMode="External"/><Relationship Id="rId20" Type="http://schemas.openxmlformats.org/officeDocument/2006/relationships/hyperlink" Target="https://eur-lex.europa.eu/legal-content/EN/TXT/?qid=1553786820621&amp;uri=CELEX%3A32019R0424" TargetMode="External"/><Relationship Id="rId41" Type="http://schemas.openxmlformats.org/officeDocument/2006/relationships/hyperlink" Target="https://www.znetlive.com/blog/what-made-aws-the-leader-in-the-cloud-industry/" TargetMode="External"/><Relationship Id="rId62" Type="http://schemas.openxmlformats.org/officeDocument/2006/relationships/hyperlink" Target="https://hai.stanford.edu/ai-index/2025-ai-index-report?utm" TargetMode="External"/><Relationship Id="rId83" Type="http://schemas.openxmlformats.org/officeDocument/2006/relationships/hyperlink" Target="https://www.oecd.org/content/dam/oecd/en/publications/reports/2025/05/competition-in-the-provision-of-cloud-computing-services_f42582ad/595859c5-en.pdf" TargetMode="External"/><Relationship Id="rId88" Type="http://schemas.openxmlformats.org/officeDocument/2006/relationships/hyperlink" Target="https://www.techpolicy.press/what-the-eu-needs-to-do-to-challenge-big-tech-cloud-dominance/" TargetMode="External"/><Relationship Id="rId111" Type="http://schemas.openxmlformats.org/officeDocument/2006/relationships/hyperlink" Target="https://partner.microsoft.com/en-us/partnership/find-a-partner" TargetMode="External"/><Relationship Id="rId132" Type="http://schemas.openxmlformats.org/officeDocument/2006/relationships/hyperlink" Target="https://www.gtlaw.com/en/insights/2024/3/challenges-in-the-dutch-data-center-market" TargetMode="External"/><Relationship Id="rId153" Type="http://schemas.openxmlformats.org/officeDocument/2006/relationships/hyperlink" Target="https://eceuropaeu.sharepoint.com/teams/GRP-CNECT.E.29-DRAFTE2restricted/Crosscutting%20activities/Cloud%20and%20AI%20Development%20Act/Impact%20Assessment/IA%20drafting/eu-lisa-tech-brief-sovereign-cloud.pdf" TargetMode="External"/><Relationship Id="rId174" Type="http://schemas.openxmlformats.org/officeDocument/2006/relationships/hyperlink" Target="https://aws.amazon.com/blogs/security/introducing-the-overview-of-the-aws-european-sovereign-cloud-whitepaper/" TargetMode="External"/><Relationship Id="rId179" Type="http://schemas.openxmlformats.org/officeDocument/2006/relationships/hyperlink" Target="https://www.cbre.be/insights/reports/global-data-center-trends-2025" TargetMode="External"/><Relationship Id="rId195" Type="http://schemas.openxmlformats.org/officeDocument/2006/relationships/hyperlink" Target="https://reports.weforum.org/docs/WEF_Global_Cybersecurity_Outlook_2025.pdf" TargetMode="External"/><Relationship Id="rId209" Type="http://schemas.openxmlformats.org/officeDocument/2006/relationships/hyperlink" Target="https://theshiftproject.org/app/uploads/2025/11/RF-IA-UK.pdf" TargetMode="External"/><Relationship Id="rId190" Type="http://schemas.openxmlformats.org/officeDocument/2006/relationships/hyperlink" Target="https://nmrk.imgix.net/uploads/documents/2025-Data-Center-Site-Selection-Dynamic-Brief.pdf" TargetMode="External"/><Relationship Id="rId204" Type="http://schemas.openxmlformats.org/officeDocument/2006/relationships/hyperlink" Target="https://ec.europa.eu/eurostat/databrowser/view/isoc_ci_mvis/default/table?lang=en" TargetMode="External"/><Relationship Id="rId15" Type="http://schemas.openxmlformats.org/officeDocument/2006/relationships/hyperlink" Target="https://www.gov.uk/government/publications/uk-compute-roadmap/uk-compute-roadmap" TargetMode="External"/><Relationship Id="rId36" Type="http://schemas.openxmlformats.org/officeDocument/2006/relationships/hyperlink" Target="https://www.srgresearch.com/articles/european-cloud-providers-local-market-share-now-holds-steady-at-15" TargetMode="External"/><Relationship Id="rId57" Type="http://schemas.openxmlformats.org/officeDocument/2006/relationships/hyperlink" Target="https://www.gartner.com/en/newsroom/press-releases/2026-02-09-gartner-says-worldwide-sovereign-cloud-iaas-spending-will-total-us-dollars-80-billion-in-2026" TargetMode="External"/><Relationship Id="rId106" Type="http://schemas.openxmlformats.org/officeDocument/2006/relationships/hyperlink" Target="https://corporate.ovhcloud.com/sites/default/files/external_files/2025-10-21-ovhcloud-fy25-cp-eng-vdef5.pdf" TargetMode="External"/><Relationship Id="rId127" Type="http://schemas.openxmlformats.org/officeDocument/2006/relationships/hyperlink" Target="https://theshiftproject.org/app/uploads/2025/02/Environmental-impacts-of-digital-technology-5-year-trends-and-5G-governance_March2021.pdf" TargetMode="External"/><Relationship Id="rId10" Type="http://schemas.openxmlformats.org/officeDocument/2006/relationships/hyperlink" Target="https://www.wired.com/2013/06/amazon-cia/" TargetMode="External"/><Relationship Id="rId31" Type="http://schemas.openxmlformats.org/officeDocument/2006/relationships/hyperlink" Target="https://eur-lex.europa.eu/legal-content/EN/TXT/?uri=CELEX%3A32014L0024&amp;qid=1753092068405" TargetMode="External"/><Relationship Id="rId52" Type="http://schemas.openxmlformats.org/officeDocument/2006/relationships/hyperlink" Target="https://static.ie.edu/CGC/CGC_Competitive_Cloud_Ecosystems_2025.pdf" TargetMode="External"/><Relationship Id="rId73" Type="http://schemas.openxmlformats.org/officeDocument/2006/relationships/hyperlink" Target="https://www.rte.ie/news/dublin/2022/0110/1272869-eirgrid-datacentres-dublin/" TargetMode="External"/><Relationship Id="rId78" Type="http://schemas.openxmlformats.org/officeDocument/2006/relationships/hyperlink" Target="https://www.statista.com/outlook/tmo/public-cloud/eu-27?currency=EUR" TargetMode="External"/><Relationship Id="rId94" Type="http://schemas.openxmlformats.org/officeDocument/2006/relationships/hyperlink" Target="https://www.forbes.com/sites/emmawoollacott/2025/07/22/microsoft-cant-keep-eu-data-safe-from-us-authorities/" TargetMode="External"/><Relationship Id="rId99" Type="http://schemas.openxmlformats.org/officeDocument/2006/relationships/hyperlink" Target="https://aws.amazon.com/about-aws/global-infrastructure/regions_az/" TargetMode="External"/><Relationship Id="rId101" Type="http://schemas.openxmlformats.org/officeDocument/2006/relationships/hyperlink" Target="https://doi.org/10.1787/595859c5-en" TargetMode="External"/><Relationship Id="rId122" Type="http://schemas.openxmlformats.org/officeDocument/2006/relationships/hyperlink" Target="https://cms.law/en/int/expert-guides/cms-expert-guide-on-real-estate-data-centre-consenting" TargetMode="External"/><Relationship Id="rId143" Type="http://schemas.openxmlformats.org/officeDocument/2006/relationships/hyperlink" Target="https://www.counterpointresearch.com/insights/ai-drives-cloud-player-capex/" TargetMode="External"/><Relationship Id="rId148" Type="http://schemas.openxmlformats.org/officeDocument/2006/relationships/hyperlink" Target="https://www.nature.com/articles/s41545-021-00101-w" TargetMode="External"/><Relationship Id="rId164" Type="http://schemas.openxmlformats.org/officeDocument/2006/relationships/hyperlink" Target="https://ec.europa.eu/assets/rtd/srip/2024/ec_rtd_srip-report-2024-chap-08.pdf" TargetMode="External"/><Relationship Id="rId169" Type="http://schemas.openxmlformats.org/officeDocument/2006/relationships/hyperlink" Target="https://www.oracle.com/europe/artificial-intelligence/sovereign-ai/" TargetMode="External"/><Relationship Id="rId185" Type="http://schemas.openxmlformats.org/officeDocument/2006/relationships/hyperlink" Target="https://digital-strategy.ec.europa.eu/en/library/study-about-impact-open-source-software-and-hardware-technological-independence-competitiveness-and" TargetMode="External"/><Relationship Id="rId4" Type="http://schemas.openxmlformats.org/officeDocument/2006/relationships/hyperlink" Target="https://commission.europa.eu/document/download/3b537594-9264-4249-a912-5b102b7b49a3_en?filename=Mission%20letter%20-%20VIRKKUNEN.pdf" TargetMode="External"/><Relationship Id="rId9" Type="http://schemas.openxmlformats.org/officeDocument/2006/relationships/hyperlink" Target="https://obamawhitehouse.archives.gov/sites/default/files/omb/assets/egov_docs/federal-cloud-computing-strategy.pdf" TargetMode="External"/><Relationship Id="rId180" Type="http://schemas.openxmlformats.org/officeDocument/2006/relationships/hyperlink" Target="https://www.mckinsey.com/capabilities/quantumblack/our-insights/time-to-place-our-bets-europes-ai-opportunity" TargetMode="External"/><Relationship Id="rId210" Type="http://schemas.openxmlformats.org/officeDocument/2006/relationships/hyperlink" Target="https://www.iea.org/commentaries/overcoming-energy-constraints-is-key-to-delivering-on-europe-s-data-centre-goals" TargetMode="External"/><Relationship Id="rId215" Type="http://schemas.openxmlformats.org/officeDocument/2006/relationships/hyperlink" Target="https://www.se.com/ww/en/download/document/SPD_WP99_EN/" TargetMode="External"/><Relationship Id="rId26" Type="http://schemas.openxmlformats.org/officeDocument/2006/relationships/hyperlink" Target="https://eur-lex.europa.eu/eli/reg/2022/1925/oj/eng" TargetMode="External"/><Relationship Id="rId47" Type="http://schemas.openxmlformats.org/officeDocument/2006/relationships/hyperlink" Target="https://ec.europa.eu/eurostat/statistics-explained/index.php?title=Cloud_computing_-_statistics_on_the_use_by_enterprises" TargetMode="External"/><Relationship Id="rId68" Type="http://schemas.openxmlformats.org/officeDocument/2006/relationships/hyperlink" Target="https://geopolitique.eu/en/2025/02/10/financing-infrastructure-for-a-competitive-european-ai/" TargetMode="External"/><Relationship Id="rId89" Type="http://schemas.openxmlformats.org/officeDocument/2006/relationships/hyperlink" Target="https://www.bbc.com/news/live/c5y8k7k6v1rt" TargetMode="External"/><Relationship Id="rId112" Type="http://schemas.openxmlformats.org/officeDocument/2006/relationships/hyperlink" Target="https://www.tse-fr.eu/sites/default/files/TSE/documents/doc/wp/2024/wp_tse_1520.pdf" TargetMode="External"/><Relationship Id="rId133" Type="http://schemas.openxmlformats.org/officeDocument/2006/relationships/hyperlink" Target="https://ember-energy.org/app/uploads/2025/06/Grids-for-data-centres-in-Europe.pdf" TargetMode="External"/><Relationship Id="rId154" Type="http://schemas.openxmlformats.org/officeDocument/2006/relationships/hyperlink" Target="https://presidenza.governo.it/AmministrazioneTrasparente/BandiContratti/AccordiTraAmministrazioni/allegati/Convenzione%20DTD_Polo%20Strategico%20Nazionale.pdf?" TargetMode="External"/><Relationship Id="rId175" Type="http://schemas.openxmlformats.org/officeDocument/2006/relationships/hyperlink" Target="https://arxiv.org/pdf/2506.10570" TargetMode="External"/><Relationship Id="rId196" Type="http://schemas.openxmlformats.org/officeDocument/2006/relationships/hyperlink" Target="https://edition.cnn.com/2024/07/24/tech/crowdstrike-outage-cost-cause/index.html" TargetMode="External"/><Relationship Id="rId200" Type="http://schemas.openxmlformats.org/officeDocument/2006/relationships/hyperlink" Target="https://www.ilo.org/sites/default/files/wcmsp5/groups/public/%40ed_emp/documents/publication/wcms_854353.pdf?" TargetMode="External"/><Relationship Id="rId16" Type="http://schemas.openxmlformats.org/officeDocument/2006/relationships/hyperlink" Target="https://www.mitsloanme.com/article/uae-dominates-global-data-centre-rankings-as-region-becomes-digital-infrastructure-hotspot/"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rte.ie/news/primetime/2025/0821/1529518-govt-warned-of-rising-household-bills-as-data-centres-strain-grid/" TargetMode="External"/><Relationship Id="rId18" Type="http://schemas.openxmlformats.org/officeDocument/2006/relationships/hyperlink" Target="https://www.datacenterdynamics.com/en/news/finlands-ministry-of-justice-delays-plans-for-cloud-migration/" TargetMode="External"/><Relationship Id="rId26" Type="http://schemas.openxmlformats.org/officeDocument/2006/relationships/hyperlink" Target="https://www.oecd.org/content/dam/oecd/en/publications/reports/2025/05/competition-in-the-provision-of-cloud-computing-services_f42582ad/595859c5-en.pdf" TargetMode="External"/><Relationship Id="rId39" Type="http://schemas.openxmlformats.org/officeDocument/2006/relationships/hyperlink" Target="https://www.dudkowiak.com/invest-in-poland/data-centers-investments-in-poland/" TargetMode="External"/><Relationship Id="rId21" Type="http://schemas.openxmlformats.org/officeDocument/2006/relationships/hyperlink" Target="https://www.google.com/url?sa=i&amp;source=web&amp;rct=j&amp;url=https://cloud.google.com/blog/topics/training-certifications/expanding-at-home-learning&amp;ved=2ahUKEwjAzbnanKuSAxXNhP0HHdP-AjIQqYcPegQIChAF&amp;opi=89978449&amp;cd&amp;psig=AOvVaw355Wur0m-CeGBSCvGDrg_q&amp;ust=1769586272094000" TargetMode="External"/><Relationship Id="rId34" Type="http://schemas.openxmlformats.org/officeDocument/2006/relationships/hyperlink" Target="https://www.appsruntheworld.com/customers-database/products/view/aruba-cloud" TargetMode="External"/><Relationship Id="rId42" Type="http://schemas.openxmlformats.org/officeDocument/2006/relationships/hyperlink" Target="https://www.datacenterdynamics.com/en/news/irish-high-court-overrules-planning-permission-extension-for-apples-galway-data-center/" TargetMode="External"/><Relationship Id="rId47" Type="http://schemas.openxmlformats.org/officeDocument/2006/relationships/hyperlink" Target="https://ec.europa.eu/eurostat/databrowser/view/nrg_pc_205/default/table?lang=en" TargetMode="External"/><Relationship Id="rId50" Type="http://schemas.openxmlformats.org/officeDocument/2006/relationships/hyperlink" Target="https://www.capgemini.com/insights/research-library/data-mastery-in-government/" TargetMode="External"/><Relationship Id="rId55" Type="http://schemas.openxmlformats.org/officeDocument/2006/relationships/hyperlink" Target="https://www.heise.de/news/Vertrag-soll-bis-Jahresende-stehen-Bayern-will-in-die-Microsoft-Cloud-11066618.html" TargetMode="External"/><Relationship Id="rId63" Type="http://schemas.openxmlformats.org/officeDocument/2006/relationships/hyperlink" Target="https://www.bcg.com/publications/2025/cloud-cover-price-sovereignty-demands-waste" TargetMode="External"/><Relationship Id="rId68" Type="http://schemas.openxmlformats.org/officeDocument/2006/relationships/hyperlink" Target="https://assets.innovazione.gov.it/1631016901-strategiaclouditalia2021presentazione.pdf" TargetMode="External"/><Relationship Id="rId76" Type="http://schemas.openxmlformats.org/officeDocument/2006/relationships/hyperlink" Target="https://www.statista.com/outlook/tmo/public-cloud/eu-27?currency=EUR" TargetMode="External"/><Relationship Id="rId7" Type="http://schemas.openxmlformats.org/officeDocument/2006/relationships/hyperlink" Target="https://www.washingtontechnology.com/2020/10/general-dynamics-again-wins-dods-cloud-email-collaboration-contract/354970/" TargetMode="External"/><Relationship Id="rId71" Type="http://schemas.openxmlformats.org/officeDocument/2006/relationships/hyperlink" Target="https://democracy.havering.gov.uk/documents/s66177/220812%20Oxford%20Economics_Reef%20Group%20Data%20Centre.pdf" TargetMode="External"/><Relationship Id="rId2" Type="http://schemas.openxmlformats.org/officeDocument/2006/relationships/hyperlink" Target="https://eur-lex.europa.eu/legal-content/EN/TXT/?uri=uriserv%3AOJ.L_.2022.265.01.0001.01.ENG&amp;toc=OJ%3AL%3A2022%3A265%3ATOC" TargetMode="External"/><Relationship Id="rId16" Type="http://schemas.openxmlformats.org/officeDocument/2006/relationships/hyperlink" Target="https://leitmotiv.digital/publications/breaking-the-cloud-monopoly" TargetMode="External"/><Relationship Id="rId29" Type="http://schemas.openxmlformats.org/officeDocument/2006/relationships/hyperlink" Target="https://www.ofcom.org.uk/siteassets/resources/documents/consultations/category-3-4-weeks/244808-cloud-services-market-study/associated-documents/cloud-services-market-study-final-report.pdf?v=330228" TargetMode="External"/><Relationship Id="rId11" Type="http://schemas.openxmlformats.org/officeDocument/2006/relationships/hyperlink" Target="https://ec.europa.eu/eurostat/databrowser/view/isoc_cicce_use/default/table?lang=en&amp;category=isoc.isoc_e.isoc_eb" TargetMode="External"/><Relationship Id="rId24" Type="http://schemas.openxmlformats.org/officeDocument/2006/relationships/hyperlink" Target="https://aws.amazon.com/certification/?" TargetMode="External"/><Relationship Id="rId32" Type="http://schemas.openxmlformats.org/officeDocument/2006/relationships/hyperlink" Target="https://ec.europa.eu/eurostat/web/products-eurostat-news/w/ddn-20260203-1" TargetMode="External"/><Relationship Id="rId37" Type="http://schemas.openxmlformats.org/officeDocument/2006/relationships/hyperlink" Target="https://www.wfw.com/articles/data-centres-an-international-legal-and-regulatory-perspective-spotlight-on-germany" TargetMode="External"/><Relationship Id="rId40" Type="http://schemas.openxmlformats.org/officeDocument/2006/relationships/hyperlink" Target="https://www.datacenterdynamics.com/en/news/irish-high-court-overrules-planning-permission-extension-for-apples-galway-data-center/" TargetMode="External"/><Relationship Id="rId45" Type="http://schemas.openxmlformats.org/officeDocument/2006/relationships/hyperlink" Target="https://www.eia.gov/electricity/monthly/epm_table_grapher.php?t=epmt_5_6_a&amp;" TargetMode="External"/><Relationship Id="rId53" Type="http://schemas.openxmlformats.org/officeDocument/2006/relationships/hyperlink" Target="https://www.edpb.europa.eu/system/files/2023-01/edpb_20230118_cef_cloud-basedservices_publicsector_en.pdf" TargetMode="External"/><Relationship Id="rId58" Type="http://schemas.openxmlformats.org/officeDocument/2006/relationships/hyperlink" Target="https://www.autoritedelaconcurrence.fr/sites/default/files/attachments/2023-09/23a08_EN.pdf" TargetMode="External"/><Relationship Id="rId66" Type="http://schemas.openxmlformats.org/officeDocument/2006/relationships/hyperlink" Target="https://www.vshn.ch/en/blog/sovereignty-washing-when-sovereign-cloud-isnt-really-sovereign/" TargetMode="External"/><Relationship Id="rId74" Type="http://schemas.openxmlformats.org/officeDocument/2006/relationships/hyperlink" Target="https://www.eudca.org/documents/content/E8VdyUuATTC_BmbNp4nhAwo89?download=0" TargetMode="External"/><Relationship Id="rId79" Type="http://schemas.openxmlformats.org/officeDocument/2006/relationships/hyperlink" Target="https://eur-lex.europa.eu/legal-content/EN/ALL/?uri=CELEX:32024R0573" TargetMode="External"/><Relationship Id="rId5" Type="http://schemas.openxmlformats.org/officeDocument/2006/relationships/hyperlink" Target="https://www.juniper.net/content/dam/www/assets/case-studies/us/en/plusserver.pdf" TargetMode="External"/><Relationship Id="rId61"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82" Type="http://schemas.openxmlformats.org/officeDocument/2006/relationships/hyperlink" Target="https://www.datacenterdynamics.com/en/news/finlands-ministry-of-justice-delays-plans-for-cloud-migration/" TargetMode="External"/><Relationship Id="rId10" Type="http://schemas.openxmlformats.org/officeDocument/2006/relationships/hyperlink" Target="https://ec.europa.eu/commission/presscorner/detail/en/ip_24_3446" TargetMode="External"/><Relationship Id="rId19" Type="http://schemas.openxmlformats.org/officeDocument/2006/relationships/hyperlink" Target="https://presse.economie.gouv.fr/souverainete-numerique-letat-generalise-visio-sa-solution-de-visioconference-securisee-et-souveraine-a-destination-des-agents-publics/" TargetMode="External"/><Relationship Id="rId31" Type="http://schemas.openxmlformats.org/officeDocument/2006/relationships/hyperlink" Target="https://www.scitepress.org/Link.aspx?doi=10.5220/0006285003840391" TargetMode="External"/><Relationship Id="rId44" Type="http://schemas.openxmlformats.org/officeDocument/2006/relationships/hyperlink" Target="https://infos.rtl.lu/news/luxembourg/data-center-google-au-luxembourg-comment-en-est-on-arrive-la-2183807" TargetMode="External"/><Relationship Id="rId52" Type="http://schemas.openxmlformats.org/officeDocument/2006/relationships/hyperlink" Target="https://english.rekenkamer.nl/documents/2025/01/15/dutch-central-government-in-the-cloud" TargetMode="External"/><Relationship Id="rId60" Type="http://schemas.openxmlformats.org/officeDocument/2006/relationships/hyperlink" Target="https://uk.diplomatie.gouv.fr/en/summit-european-digital-sovereignty-delivers-landmark-commitments" TargetMode="External"/><Relationship Id="rId65" Type="http://schemas.openxmlformats.org/officeDocument/2006/relationships/hyperlink" Target="https://www.landtag-bw.de/resource/blob/584956/7b9fcaf1f4775f0b2f4658dc01232e61/17_9179_D.pdf" TargetMode="External"/><Relationship Id="rId73" Type="http://schemas.openxmlformats.org/officeDocument/2006/relationships/hyperlink" Target="https://lp.startcampus.pt/hubfs/Copenhagen%20Economics/CE%20Report_Economic%20contribution%20of%20data%20centres%20in%20Portugal_EN.pdf?hsLang=en" TargetMode="External"/><Relationship Id="rId78" Type="http://schemas.openxmlformats.org/officeDocument/2006/relationships/hyperlink" Target="https://www.eea.europa.eu/en/analysis/indicators/hydrofluorocarbon-phase-down-in-europe/eu-progress-under-the-hydrofluorocarbon" TargetMode="External"/><Relationship Id="rId81" Type="http://schemas.openxmlformats.org/officeDocument/2006/relationships/hyperlink" Target="https://commission.europa.eu/news-and-media/news/commission-advances-cloud-sovereignty-through-strategic-procurement-2026-04-17_en" TargetMode="External"/><Relationship Id="rId4" Type="http://schemas.openxmlformats.org/officeDocument/2006/relationships/hyperlink" Target="https://www.microsoft.com/en-us/investor/earnings/fy-2023-q4/productivity-and-business-processes-performance" TargetMode="External"/><Relationship Id="rId9" Type="http://schemas.openxmlformats.org/officeDocument/2006/relationships/hyperlink" Target="https://english.rekenkamer.nl/publications/reports/2025/01/15/dutch-central-government-in-the-cloud" TargetMode="External"/><Relationship Id="rId14" Type="http://schemas.openxmlformats.org/officeDocument/2006/relationships/hyperlink" Target="https://learn.microsoft.com/en-us/azure/networking/azure-network-latency?tabs=Europe%2CWesternEurope" TargetMode="External"/><Relationship Id="rId22" Type="http://schemas.openxmlformats.org/officeDocument/2006/relationships/hyperlink" Target="https://www.google.com/url?sa=i&amp;source=web&amp;rct=j&amp;url=https://www.aboutamazon.com/news/workplace/amazon-to-help-29-million-people-around-the-world-grow-their-tech-skills-with-free-cloud-computing-skills-training-by-2025%23:~:text%3DBelow%2520are%2520just%2520a%2520few,and%2520new%2520ways%2520to%2520learn.&amp;ved=2ahUKEwjAzbnanKuSAxXNhP0HHdP-AjIQqYcPegQIChAJ&amp;opi=89978449&amp;cd&amp;psig=AOvVaw355Wur0m-CeGBSCvGDrg_q&amp;ust=1769586272094000" TargetMode="External"/><Relationship Id="rId27" Type="http://schemas.openxmlformats.org/officeDocument/2006/relationships/hyperlink" Target="https://www.autoritedelaconcurrence.fr/fr/avis/portant-sur-le-fonctionnement-concurrentiel-de-linformatique-en-nuage-cloud" TargetMode="External"/><Relationship Id="rId30" Type="http://schemas.openxmlformats.org/officeDocument/2006/relationships/hyperlink" Target="https://www.gartner.com/en/information-technology/glossary/cloud-services-brokerage-csb?utm_source=chatgpt.com" TargetMode="External"/><Relationship Id="rId35" Type="http://schemas.openxmlformats.org/officeDocument/2006/relationships/hyperlink" Target="https://ec.europa.eu/newsroom/repository/document/2021-18/European_CloudEdge_Technology_Investment_Roadmap_for_publication_pMdz85DSw6nqPppq8hE9S9RbB8_76223.pdf" TargetMode="External"/><Relationship Id="rId43" Type="http://schemas.openxmlformats.org/officeDocument/2006/relationships/hyperlink" Target="https://delano.lu/article/delano_google-go-public-data-centre" TargetMode="External"/><Relationship Id="rId48" Type="http://schemas.openxmlformats.org/officeDocument/2006/relationships/hyperlink" Target="https://www.oecd.org/content/dam/oecd/en/publications/reports/2023/04/renforcer-l-attractivite-de-la-fonction-publique-en-france_8e41214a/ab9ebe85-en.pdf?" TargetMode="External"/><Relationship Id="rId56" Type="http://schemas.openxmlformats.org/officeDocument/2006/relationships/hyperlink" Target="https://www.bundeswirtschaftsministerium.de/Redaktion/DE/Ausschreibungen/20251222-bereitstellung-von-cloud-services-fuer-den-betrieb-der-foerderzentrale-deutschland.html" TargetMode="External"/><Relationship Id="rId64" Type="http://schemas.openxmlformats.org/officeDocument/2006/relationships/hyperlink" Target="https://www.tecracer.com/blog/2026/01/aws-european-sovereign-cloud-esc-launch-pricing-and-whats-next.html" TargetMode="External"/><Relationship Id="rId69" Type="http://schemas.openxmlformats.org/officeDocument/2006/relationships/hyperlink" Target="https://chmura.gov.pl/zuch/static/media/Cloud%20in%20Government%20Services_Final%20%5BENG%5D.pdf?" TargetMode="External"/><Relationship Id="rId77" Type="http://schemas.openxmlformats.org/officeDocument/2006/relationships/hyperlink" Target="https://www.sciencedirect.com/science/article/pii/S2352484725001623" TargetMode="External"/><Relationship Id="rId8" Type="http://schemas.openxmlformats.org/officeDocument/2006/relationships/hyperlink" Target="https://www.intereconomics.eu/contents/year/2025/number/2/article/big-tech-and-the-us-digital-military-industrial-complex.html" TargetMode="External"/><Relationship Id="rId51" Type="http://schemas.openxmlformats.org/officeDocument/2006/relationships/hyperlink" Target="https://www.oecd.org/content/dam/oecd/en/publications/reports/2025/11/progress-in-implementing-the-european-union-coordinated-plan-on-artificial-intelligence-volume-1_bb04a5b6/533c355d-en.pdf" TargetMode="External"/><Relationship Id="rId72" Type="http://schemas.openxmlformats.org/officeDocument/2006/relationships/hyperlink" Target="https://jlarc.virginia.gov/pdfs/reports/Rpt598.pdf" TargetMode="External"/><Relationship Id="rId80" Type="http://schemas.openxmlformats.org/officeDocument/2006/relationships/hyperlink" Target="https://www.theregister.com/2025/12/19/airbus_sovereign_cloud/" TargetMode="External"/><Relationship Id="rId3" Type="http://schemas.openxmlformats.org/officeDocument/2006/relationships/hyperlink" Target="https://office365itpros.com/2022/04/28/office-365-number-of-users/" TargetMode="External"/><Relationship Id="rId12" Type="http://schemas.openxmlformats.org/officeDocument/2006/relationships/hyperlink" Target="https://www.jll.com/en-uk/insights/emea-data-centre-report" TargetMode="External"/><Relationship Id="rId17" Type="http://schemas.openxmlformats.org/officeDocument/2006/relationships/hyperlink" Target="https://www.impots.gouv.fr/facturation-electronique-et-plateformes-partenaires" TargetMode="External"/><Relationship Id="rId25" Type="http://schemas.openxmlformats.org/officeDocument/2006/relationships/hyperlink" Target="https://www.ofcom.org.uk/siteassets/resources/documents/consultations/category-3-4-weeks/244808-cloud-services-market-study/associated-documents/cloud-services-market-study-final-report.pdf?v=330228" TargetMode="External"/><Relationship Id="rId33" Type="http://schemas.openxmlformats.org/officeDocument/2006/relationships/hyperlink" Target="https://www.civo.com/blog/blog-cloud-broken-purpose-in-cloud-computing?" TargetMode="External"/><Relationship Id="rId38" Type="http://schemas.openxmlformats.org/officeDocument/2006/relationships/hyperlink" Target="https://www.haskoning.com/en/newsroom/blogs/2023/navigating-dutch-data-centre-challenges-and-opportunities" TargetMode="External"/><Relationship Id="rId46" Type="http://schemas.openxmlformats.org/officeDocument/2006/relationships/hyperlink" Target="https://www.china-briefing.com/news/chinas-industrial-power-rates-category-electricity-usage-region-classification/?" TargetMode="External"/><Relationship Id="rId59" Type="http://schemas.openxmlformats.org/officeDocument/2006/relationships/hyperlink" Target="https://www.capgemini.com/insights/research-library/data-mastery-in-government/" TargetMode="External"/><Relationship Id="rId67" Type="http://schemas.openxmlformats.org/officeDocument/2006/relationships/hyperlink" Target="https://chmura.gov.pl/zuch/static/media/Cloud%20in%20Government%20Services_Final%20%5BENG%5D.pdf?" TargetMode="External"/><Relationship Id="rId20" Type="http://schemas.openxmlformats.org/officeDocument/2006/relationships/hyperlink" Target="https://news.broadcom.com/cloud/how-digital-sovereignty-is-influencing-cloud-solution-choice" TargetMode="External"/><Relationship Id="rId41" Type="http://schemas.openxmlformats.org/officeDocument/2006/relationships/hyperlink" Target="https://www.theguardian.com/technology/2018/may/10/apple-scraps-850m-irish-data-centre-after-planning-delays-ireland" TargetMode="External"/><Relationship Id="rId54" Type="http://schemas.openxmlformats.org/officeDocument/2006/relationships/hyperlink" Target="https://www.heise.de/news/Trotz-Abhaengigkeit-und-Datenschutzrisiken-Behoerden-gehen-in-die-Microsoft-Cloud-9984990.html" TargetMode="External"/><Relationship Id="rId62" Type="http://schemas.openxmlformats.org/officeDocument/2006/relationships/hyperlink" Target="https://www.npr.org/2021/12/14/1064123144/companies-scramble-to-defend-against-newly-discovered-log4j-digital-flaw" TargetMode="External"/><Relationship Id="rId70" Type="http://schemas.openxmlformats.org/officeDocument/2006/relationships/hyperlink" Target="https://assets.innovazione.gov.it/1631016901-strategiaclouditalia2021presentazione.pdf" TargetMode="External"/><Relationship Id="rId75" Type="http://schemas.openxmlformats.org/officeDocument/2006/relationships/hyperlink" Target="https://www.ft.com/content/603be7d5-13ac-4047-9854-24db5f0f0802?syn-25a6b1a6=1" TargetMode="External"/><Relationship Id="rId83" Type="http://schemas.openxmlformats.org/officeDocument/2006/relationships/hyperlink" Target="https://presse.economie.gouv.fr/souverainete-numerique-letat-generalise-visio-sa-solution-de-visioconference-securisee-et-souveraine-a-destination-des-agents-publics/" TargetMode="External"/><Relationship Id="rId1" Type="http://schemas.openxmlformats.org/officeDocument/2006/relationships/hyperlink" Target="https://eur-lex.europa.eu/legal-content/EN/TXT/?uri=celex%3A32014L0052" TargetMode="External"/><Relationship Id="rId6" Type="http://schemas.openxmlformats.org/officeDocument/2006/relationships/hyperlink" Target="https://www.datacenterdynamics.com/en/news/darpa-plans-shift-aws-and-prem-multicloud-2022/" TargetMode="External"/><Relationship Id="rId15" Type="http://schemas.openxmlformats.org/officeDocument/2006/relationships/hyperlink" Target="https://www.concur.com/blog/article/sap-retains-1-2023-market-share-in-travel-and-expense-management-software?&amp;cookie_preferences=gdpr" TargetMode="External"/><Relationship Id="rId23" Type="http://schemas.openxmlformats.org/officeDocument/2006/relationships/hyperlink" Target="https://digital-skills-jobs.europa.eu/en/latest/news/free-eu-certified-cloud-gen-ai-courses-sme-employees-and-jobseekers-now-open-enrolment" TargetMode="External"/><Relationship Id="rId28" Type="http://schemas.openxmlformats.org/officeDocument/2006/relationships/hyperlink" Target="https://cerre.eu/wp-content/uploads/2024/02/REPORT.CERRE_.FEB24.CLOUDS.pdf" TargetMode="External"/><Relationship Id="rId36" Type="http://schemas.openxmlformats.org/officeDocument/2006/relationships/hyperlink" Target="https://nmrk.imgix.net/uploads/documents/2025-Data-Center-Site-Selection-Dynamic-Brief.pdf" TargetMode="External"/><Relationship Id="rId49" Type="http://schemas.openxmlformats.org/officeDocument/2006/relationships/hyperlink" Target="https://www.reuters.com/technology/italian-watchdogs-ai-staff-struggle-spotlights-global-challenge-2024-03-22/" TargetMode="External"/><Relationship Id="rId57" Type="http://schemas.openxmlformats.org/officeDocument/2006/relationships/hyperlink" Target="https://futureinstitute.tech/assets/doc/FOTICloudDefenceReport26.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eceuropaeu.sharepoint.com/teams/GRP-CloudandAIStudy/Shared%20Documents/Cloud%20and%20AI%20Study%20(External)/3.%20Tasks/Task%203/30%20October%20inputs/Policy_options_Impact%20matrix_EC_v0.3_TGaverage_301025_forE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Palatino Linotype" panose="02040502050505030304" pitchFamily="18" charset="0"/>
                <a:ea typeface="+mn-ea"/>
                <a:cs typeface="+mn-cs"/>
              </a:defRPr>
            </a:pPr>
            <a:r>
              <a:rPr lang="en-IE" sz="800"/>
              <a:t>Data centre supply evolution forecast (GW) under each Policy Option,</a:t>
            </a:r>
            <a:r>
              <a:rPr lang="en-IE" sz="800" baseline="0"/>
              <a:t> with respect to the baseline </a:t>
            </a:r>
            <a:endParaRPr lang="en-IE"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Palatino Linotype" panose="02040502050505030304" pitchFamily="18" charset="0"/>
              <a:ea typeface="+mn-ea"/>
              <a:cs typeface="+mn-cs"/>
            </a:defRPr>
          </a:pPr>
          <a:endParaRPr lang="en-US"/>
        </a:p>
      </c:txPr>
    </c:title>
    <c:autoTitleDeleted val="0"/>
    <c:plotArea>
      <c:layout>
        <c:manualLayout>
          <c:layoutTarget val="inner"/>
          <c:xMode val="edge"/>
          <c:yMode val="edge"/>
          <c:x val="7.9201496299708074E-2"/>
          <c:y val="0.15363098832455485"/>
          <c:w val="0.73774736277459374"/>
          <c:h val="0.75075951067721047"/>
        </c:manualLayout>
      </c:layout>
      <c:areaChart>
        <c:grouping val="stacked"/>
        <c:varyColors val="0"/>
        <c:ser>
          <c:idx val="0"/>
          <c:order val="0"/>
          <c:tx>
            <c:strRef>
              <c:f>'DC capacity estimates'!$B$5</c:f>
              <c:strCache>
                <c:ptCount val="1"/>
                <c:pt idx="0">
                  <c:v>Baseline</c:v>
                </c:pt>
              </c:strCache>
            </c:strRef>
          </c:tx>
          <c:spPr>
            <a:solidFill>
              <a:sysClr val="window" lastClr="FFFFFF">
                <a:lumMod val="95000"/>
              </a:sysClr>
            </a:solidFill>
            <a:ln w="25400">
              <a:noFill/>
            </a:ln>
            <a:effectLst/>
          </c:spPr>
          <c:cat>
            <c:numRef>
              <c:f>'DC capacity estimates'!$C$4:$N$4</c:f>
              <c:numCache>
                <c:formatCode>General</c:formatCode>
                <c:ptCount val="12"/>
                <c:pt idx="0">
                  <c:v>2025</c:v>
                </c:pt>
                <c:pt idx="1">
                  <c:v>2026</c:v>
                </c:pt>
                <c:pt idx="2">
                  <c:v>2027</c:v>
                </c:pt>
                <c:pt idx="3">
                  <c:v>2028</c:v>
                </c:pt>
                <c:pt idx="4">
                  <c:v>2029</c:v>
                </c:pt>
                <c:pt idx="5">
                  <c:v>2030</c:v>
                </c:pt>
                <c:pt idx="6">
                  <c:v>2031</c:v>
                </c:pt>
                <c:pt idx="7">
                  <c:v>2032</c:v>
                </c:pt>
                <c:pt idx="8">
                  <c:v>2033</c:v>
                </c:pt>
                <c:pt idx="9">
                  <c:v>2034</c:v>
                </c:pt>
                <c:pt idx="10">
                  <c:v>2035</c:v>
                </c:pt>
                <c:pt idx="11">
                  <c:v>2036</c:v>
                </c:pt>
              </c:numCache>
            </c:numRef>
          </c:cat>
          <c:val>
            <c:numRef>
              <c:f>'DC capacity estimates'!$C$5:$N$5</c:f>
              <c:numCache>
                <c:formatCode>0</c:formatCode>
                <c:ptCount val="12"/>
                <c:pt idx="0">
                  <c:v>12439.954679999999</c:v>
                </c:pt>
                <c:pt idx="1">
                  <c:v>15131.339644999998</c:v>
                </c:pt>
                <c:pt idx="2">
                  <c:v>17931.5472493829</c:v>
                </c:pt>
                <c:pt idx="3">
                  <c:v>20952.563606512114</c:v>
                </c:pt>
                <c:pt idx="4">
                  <c:v>24342.943157164882</c:v>
                </c:pt>
                <c:pt idx="5">
                  <c:v>28141.471085483507</c:v>
                </c:pt>
                <c:pt idx="6">
                  <c:v>31254.265176585672</c:v>
                </c:pt>
                <c:pt idx="7">
                  <c:v>33954.237306939802</c:v>
                </c:pt>
                <c:pt idx="8">
                  <c:v>36398.27490083038</c:v>
                </c:pt>
                <c:pt idx="9">
                  <c:v>38576.907029827671</c:v>
                </c:pt>
                <c:pt idx="10">
                  <c:v>40492.185200866224</c:v>
                </c:pt>
                <c:pt idx="11">
                  <c:v>42459.846213342702</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65F0-461B-BA4C-17B1B4018F01}"/>
            </c:ext>
          </c:extLst>
        </c:ser>
        <c:dLbls>
          <c:showLegendKey val="0"/>
          <c:showVal val="0"/>
          <c:showCatName val="0"/>
          <c:showSerName val="0"/>
          <c:showPercent val="0"/>
          <c:showBubbleSize val="0"/>
        </c:dLbls>
        <c:axId val="670141408"/>
        <c:axId val="670152448"/>
      </c:areaChart>
      <c:lineChart>
        <c:grouping val="standard"/>
        <c:varyColors val="0"/>
        <c:ser>
          <c:idx val="2"/>
          <c:order val="1"/>
          <c:tx>
            <c:strRef>
              <c:f>'DC capacity estimates'!$B$7</c:f>
              <c:strCache>
                <c:ptCount val="1"/>
                <c:pt idx="0">
                  <c:v>PO1A </c:v>
                </c:pt>
              </c:strCache>
            </c:strRef>
          </c:tx>
          <c:spPr>
            <a:ln w="19050" cap="rnd">
              <a:solidFill>
                <a:srgbClr val="4BACC6">
                  <a:lumMod val="75000"/>
                </a:srgbClr>
              </a:solidFill>
              <a:round/>
            </a:ln>
            <a:effectLst/>
          </c:spPr>
          <c:marker>
            <c:symbol val="none"/>
          </c:marker>
          <c:dLbls>
            <c:dLbl>
              <c:idx val="11"/>
              <c:layout>
                <c:manualLayout>
                  <c:x val="-6.8673457708597306E-3"/>
                  <c:y val="0"/>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1-65F0-461B-BA4C-17B1B4018F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alatino Linotype" panose="02040502050505030304" pitchFamily="18" charset="0"/>
                    <a:ea typeface="+mn-ea"/>
                    <a:cs typeface="+mn-cs"/>
                  </a:defRPr>
                </a:pPr>
                <a:endParaRPr lang="en-US"/>
              </a:p>
            </c:txPr>
            <c:showLegendKey val="0"/>
            <c:showVal val="0"/>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'DC capacity estimates'!$C$4:$N$4</c:f>
              <c:numCache>
                <c:formatCode>General</c:formatCode>
                <c:ptCount val="12"/>
                <c:pt idx="0">
                  <c:v>2025</c:v>
                </c:pt>
                <c:pt idx="1">
                  <c:v>2026</c:v>
                </c:pt>
                <c:pt idx="2">
                  <c:v>2027</c:v>
                </c:pt>
                <c:pt idx="3">
                  <c:v>2028</c:v>
                </c:pt>
                <c:pt idx="4">
                  <c:v>2029</c:v>
                </c:pt>
                <c:pt idx="5">
                  <c:v>2030</c:v>
                </c:pt>
                <c:pt idx="6">
                  <c:v>2031</c:v>
                </c:pt>
                <c:pt idx="7">
                  <c:v>2032</c:v>
                </c:pt>
                <c:pt idx="8">
                  <c:v>2033</c:v>
                </c:pt>
                <c:pt idx="9">
                  <c:v>2034</c:v>
                </c:pt>
                <c:pt idx="10">
                  <c:v>2035</c:v>
                </c:pt>
                <c:pt idx="11">
                  <c:v>2036</c:v>
                </c:pt>
              </c:numCache>
            </c:numRef>
          </c:cat>
          <c:val>
            <c:numRef>
              <c:f>'DC capacity estimates'!$C$7:$N$7</c:f>
              <c:numCache>
                <c:formatCode>0</c:formatCode>
                <c:ptCount val="12"/>
                <c:pt idx="0">
                  <c:v>12440</c:v>
                </c:pt>
                <c:pt idx="1">
                  <c:v>15131.394769984805</c:v>
                </c:pt>
                <c:pt idx="2">
                  <c:v>18189.398050039195</c:v>
                </c:pt>
                <c:pt idx="3">
                  <c:v>21572.582100885505</c:v>
                </c:pt>
                <c:pt idx="4">
                  <c:v>25408.508539777078</c:v>
                </c:pt>
                <c:pt idx="5">
                  <c:v>29754.341668953497</c:v>
                </c:pt>
                <c:pt idx="6">
                  <c:v>33518.440312048362</c:v>
                </c:pt>
                <c:pt idx="7">
                  <c:v>36893.048002198084</c:v>
                </c:pt>
                <c:pt idx="8">
                  <c:v>39965.046778250013</c:v>
                </c:pt>
                <c:pt idx="9">
                  <c:v>42721.619396368114</c:v>
                </c:pt>
                <c:pt idx="10">
                  <c:v>45168.287936246474</c:v>
                </c:pt>
                <c:pt idx="11">
                  <c:v>47712.172072158704</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65F0-461B-BA4C-17B1B4018F01}"/>
            </c:ext>
          </c:extLst>
        </c:ser>
        <c:ser>
          <c:idx val="4"/>
          <c:order val="2"/>
          <c:tx>
            <c:strRef>
              <c:f>'DC capacity estimates'!$B$9</c:f>
              <c:strCache>
                <c:ptCount val="1"/>
                <c:pt idx="0">
                  <c:v>PO1C  </c:v>
                </c:pt>
              </c:strCache>
            </c:strRef>
          </c:tx>
          <c:spPr>
            <a:ln w="19050" cap="rnd">
              <a:solidFill>
                <a:srgbClr val="F79646">
                  <a:lumMod val="75000"/>
                </a:srgbClr>
              </a:solidFill>
              <a:round/>
            </a:ln>
            <a:effectLst/>
          </c:spPr>
          <c:marker>
            <c:symbol val="none"/>
          </c:marker>
          <c:dLbls>
            <c:dLbl>
              <c:idx val="11"/>
              <c:layout>
                <c:manualLayout>
                  <c:x val="-6.3810439627288778E-3"/>
                  <c:y val="-4.3855868784803088E-3"/>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3-65F0-461B-BA4C-17B1B4018F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alatino Linotype" panose="02040502050505030304" pitchFamily="18" charset="0"/>
                    <a:ea typeface="+mn-ea"/>
                    <a:cs typeface="+mn-cs"/>
                  </a:defRPr>
                </a:pPr>
                <a:endParaRPr lang="en-US"/>
              </a:p>
            </c:txPr>
            <c:showLegendKey val="0"/>
            <c:showVal val="0"/>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'DC capacity estimates'!$C$4:$N$4</c:f>
              <c:numCache>
                <c:formatCode>General</c:formatCode>
                <c:ptCount val="12"/>
                <c:pt idx="0">
                  <c:v>2025</c:v>
                </c:pt>
                <c:pt idx="1">
                  <c:v>2026</c:v>
                </c:pt>
                <c:pt idx="2">
                  <c:v>2027</c:v>
                </c:pt>
                <c:pt idx="3">
                  <c:v>2028</c:v>
                </c:pt>
                <c:pt idx="4">
                  <c:v>2029</c:v>
                </c:pt>
                <c:pt idx="5">
                  <c:v>2030</c:v>
                </c:pt>
                <c:pt idx="6">
                  <c:v>2031</c:v>
                </c:pt>
                <c:pt idx="7">
                  <c:v>2032</c:v>
                </c:pt>
                <c:pt idx="8">
                  <c:v>2033</c:v>
                </c:pt>
                <c:pt idx="9">
                  <c:v>2034</c:v>
                </c:pt>
                <c:pt idx="10">
                  <c:v>2035</c:v>
                </c:pt>
                <c:pt idx="11">
                  <c:v>2036</c:v>
                </c:pt>
              </c:numCache>
            </c:numRef>
          </c:cat>
          <c:val>
            <c:numRef>
              <c:f>'DC capacity estimates'!$C$9:$N$9</c:f>
              <c:numCache>
                <c:formatCode>0</c:formatCode>
                <c:ptCount val="12"/>
                <c:pt idx="0">
                  <c:v>12440</c:v>
                </c:pt>
                <c:pt idx="1">
                  <c:v>15131.394769984805</c:v>
                </c:pt>
                <c:pt idx="2">
                  <c:v>18447.183524274111</c:v>
                </c:pt>
                <c:pt idx="3">
                  <c:v>22201.558427707987</c:v>
                </c:pt>
                <c:pt idx="4">
                  <c:v>26504.611926483274</c:v>
                </c:pt>
                <c:pt idx="5">
                  <c:v>31435.390323934524</c:v>
                </c:pt>
                <c:pt idx="6">
                  <c:v>35911.770408407596</c:v>
                </c:pt>
                <c:pt idx="7">
                  <c:v>40040.581098814248</c:v>
                </c:pt>
                <c:pt idx="8">
                  <c:v>43826.619554764031</c:v>
                </c:pt>
                <c:pt idx="9">
                  <c:v>47249.207140244107</c:v>
                </c:pt>
                <c:pt idx="10">
                  <c:v>50315.291216257137</c:v>
                </c:pt>
                <c:pt idx="11">
                  <c:v>53537.818253622594</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4-65F0-461B-BA4C-17B1B4018F01}"/>
            </c:ext>
          </c:extLst>
        </c:ser>
        <c:ser>
          <c:idx val="6"/>
          <c:order val="3"/>
          <c:tx>
            <c:strRef>
              <c:f>'DC capacity estimates'!$B$11</c:f>
              <c:strCache>
                <c:ptCount val="1"/>
                <c:pt idx="0">
                  <c:v>PO1B </c:v>
                </c:pt>
              </c:strCache>
            </c:strRef>
          </c:tx>
          <c:spPr>
            <a:ln w="19050" cap="rnd">
              <a:solidFill>
                <a:srgbClr val="9BBB59">
                  <a:lumMod val="75000"/>
                </a:srgbClr>
              </a:solidFill>
              <a:round/>
            </a:ln>
            <a:effectLst/>
          </c:spPr>
          <c:marker>
            <c:symbol val="none"/>
          </c:marker>
          <c:dLbls>
            <c:dLbl>
              <c:idx val="11"/>
              <c:layout>
                <c:manualLayout>
                  <c:x val="-6.8734741109175478E-3"/>
                  <c:y val="-8.3189857401553824E-3"/>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5-65F0-461B-BA4C-17B1B4018F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alatino Linotype" panose="02040502050505030304" pitchFamily="18" charset="0"/>
                    <a:ea typeface="+mn-ea"/>
                    <a:cs typeface="+mn-cs"/>
                  </a:defRPr>
                </a:pPr>
                <a:endParaRPr lang="en-US"/>
              </a:p>
            </c:txPr>
            <c:showLegendKey val="0"/>
            <c:showVal val="0"/>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'DC capacity estimates'!$C$4:$N$4</c:f>
              <c:numCache>
                <c:formatCode>General</c:formatCode>
                <c:ptCount val="12"/>
                <c:pt idx="0">
                  <c:v>2025</c:v>
                </c:pt>
                <c:pt idx="1">
                  <c:v>2026</c:v>
                </c:pt>
                <c:pt idx="2">
                  <c:v>2027</c:v>
                </c:pt>
                <c:pt idx="3">
                  <c:v>2028</c:v>
                </c:pt>
                <c:pt idx="4">
                  <c:v>2029</c:v>
                </c:pt>
                <c:pt idx="5">
                  <c:v>2030</c:v>
                </c:pt>
                <c:pt idx="6">
                  <c:v>2031</c:v>
                </c:pt>
                <c:pt idx="7">
                  <c:v>2032</c:v>
                </c:pt>
                <c:pt idx="8">
                  <c:v>2033</c:v>
                </c:pt>
                <c:pt idx="9">
                  <c:v>2034</c:v>
                </c:pt>
                <c:pt idx="10">
                  <c:v>2035</c:v>
                </c:pt>
                <c:pt idx="11">
                  <c:v>2036</c:v>
                </c:pt>
              </c:numCache>
            </c:numRef>
          </c:cat>
          <c:val>
            <c:numRef>
              <c:f>'DC capacity estimates'!$C$11:$N$11</c:f>
              <c:numCache>
                <c:formatCode>0</c:formatCode>
                <c:ptCount val="12"/>
                <c:pt idx="0">
                  <c:v>12439.954679999999</c:v>
                </c:pt>
                <c:pt idx="1">
                  <c:v>15131.339644999998</c:v>
                </c:pt>
                <c:pt idx="2">
                  <c:v>18704.900854683059</c:v>
                </c:pt>
                <c:pt idx="3">
                  <c:v>22839.485712733458</c:v>
                </c:pt>
                <c:pt idx="4">
                  <c:v>27631.675050190039</c:v>
                </c:pt>
                <c:pt idx="5">
                  <c:v>33186.497429974246</c:v>
                </c:pt>
                <c:pt idx="6">
                  <c:v>38439.684264094147</c:v>
                </c:pt>
                <c:pt idx="7">
                  <c:v>43408.504715477262</c:v>
                </c:pt>
                <c:pt idx="8">
                  <c:v>48002.964096162941</c:v>
                </c:pt>
                <c:pt idx="9">
                  <c:v>52189.447909515569</c:v>
                </c:pt>
                <c:pt idx="10">
                  <c:v>55973.886481784502</c:v>
                </c:pt>
                <c:pt idx="11">
                  <c:v>59991.3120458751</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6-65F0-461B-BA4C-17B1B4018F01}"/>
            </c:ext>
          </c:extLst>
        </c:ser>
        <c:ser>
          <c:idx val="1"/>
          <c:order val="4"/>
          <c:tx>
            <c:strRef>
              <c:f>'DC capacity estimates'!$B$57</c:f>
              <c:strCache>
                <c:ptCount val="1"/>
                <c:pt idx="0">
                  <c:v>Demand estimate</c:v>
                </c:pt>
              </c:strCache>
            </c:strRef>
          </c:tx>
          <c:spPr>
            <a:ln w="19050" cap="rnd">
              <a:solidFill>
                <a:srgbClr val="7030A0"/>
              </a:solidFill>
              <a:prstDash val="sysDash"/>
              <a:round/>
            </a:ln>
            <a:effectLst/>
          </c:spPr>
          <c:marker>
            <c:symbol val="none"/>
          </c:marker>
          <c:cat>
            <c:numRef>
              <c:f>'DC capacity estimates'!$C$4:$N$4</c:f>
              <c:numCache>
                <c:formatCode>General</c:formatCode>
                <c:ptCount val="12"/>
                <c:pt idx="0">
                  <c:v>2025</c:v>
                </c:pt>
                <c:pt idx="1">
                  <c:v>2026</c:v>
                </c:pt>
                <c:pt idx="2">
                  <c:v>2027</c:v>
                </c:pt>
                <c:pt idx="3">
                  <c:v>2028</c:v>
                </c:pt>
                <c:pt idx="4">
                  <c:v>2029</c:v>
                </c:pt>
                <c:pt idx="5">
                  <c:v>2030</c:v>
                </c:pt>
                <c:pt idx="6">
                  <c:v>2031</c:v>
                </c:pt>
                <c:pt idx="7">
                  <c:v>2032</c:v>
                </c:pt>
                <c:pt idx="8">
                  <c:v>2033</c:v>
                </c:pt>
                <c:pt idx="9">
                  <c:v>2034</c:v>
                </c:pt>
                <c:pt idx="10">
                  <c:v>2035</c:v>
                </c:pt>
                <c:pt idx="11">
                  <c:v>2036</c:v>
                </c:pt>
              </c:numCache>
            </c:numRef>
          </c:cat>
          <c:val>
            <c:numRef>
              <c:f>'DC capacity estimates'!$C$57:$N$57</c:f>
              <c:numCache>
                <c:formatCode>General</c:formatCode>
                <c:ptCount val="12"/>
                <c:pt idx="0">
                  <c:v>15323.350580929338</c:v>
                </c:pt>
                <c:pt idx="1">
                  <c:v>18981.90643904161</c:v>
                </c:pt>
                <c:pt idx="2">
                  <c:v>22652.145149870732</c:v>
                </c:pt>
                <c:pt idx="3">
                  <c:v>27012.741429294445</c:v>
                </c:pt>
                <c:pt idx="4">
                  <c:v>31271.980173715187</c:v>
                </c:pt>
                <c:pt idx="5">
                  <c:v>37275.829571099996</c:v>
                </c:pt>
                <c:pt idx="6">
                  <c:v>41753.50626553443</c:v>
                </c:pt>
                <c:pt idx="7">
                  <c:v>46112.477988551771</c:v>
                </c:pt>
                <c:pt idx="8">
                  <c:v>50241.401602481674</c:v>
                </c:pt>
                <c:pt idx="9">
                  <c:v>53741.047704406337</c:v>
                </c:pt>
                <c:pt idx="10">
                  <c:v>57489.44978493861</c:v>
                </c:pt>
                <c:pt idx="11">
                  <c:v>61505.586834744354</c:v>
                </c:pt>
              </c:numCache>
            </c:numRef>
          </c:val>
          <c:smooth val="0"/>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65F0-461B-BA4C-17B1B4018F01}"/>
            </c:ext>
          </c:extLst>
        </c:ser>
        <c:dLbls>
          <c:showLegendKey val="0"/>
          <c:showVal val="0"/>
          <c:showCatName val="0"/>
          <c:showSerName val="0"/>
          <c:showPercent val="0"/>
          <c:showBubbleSize val="0"/>
        </c:dLbls>
        <c:marker val="1"/>
        <c:smooth val="0"/>
        <c:axId val="670141408"/>
        <c:axId val="670152448"/>
      </c:lineChart>
      <c:catAx>
        <c:axId val="670141408"/>
        <c:scaling>
          <c:orientation val="minMax"/>
        </c:scaling>
        <c:delete val="0"/>
        <c:axPos val="b"/>
        <c:numFmt formatCode="General" sourceLinked="1"/>
        <c:majorTickMark val="none"/>
        <c:minorTickMark val="none"/>
        <c:tickLblPos val="nextTo"/>
        <c:spPr>
          <a:noFill/>
          <a:ln w="9525" cap="flat" cmpd="sng" algn="ctr">
            <a:solidFill>
              <a:sysClr val="window" lastClr="FFFFFF"/>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crossAx val="670152448"/>
        <c:crosses val="autoZero"/>
        <c:auto val="1"/>
        <c:lblAlgn val="ctr"/>
        <c:lblOffset val="100"/>
        <c:noMultiLvlLbl val="0"/>
      </c:catAx>
      <c:valAx>
        <c:axId val="670152448"/>
        <c:scaling>
          <c:orientation val="minMax"/>
          <c:max val="6500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crossAx val="670141408"/>
        <c:crosses val="autoZero"/>
        <c:crossBetween val="between"/>
        <c:dispUnits>
          <c:builtInUnit val="thousand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Palatino Linotype" panose="02040502050505030304" pitchFamily="18" charset="0"/>
                      <a:ea typeface="+mn-ea"/>
                      <a:cs typeface="+mn-cs"/>
                    </a:defRPr>
                  </a:pPr>
                  <a:r>
                    <a:rPr lang="en-US"/>
                    <a:t>GW</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dispUnitsLbl>
        </c:dispUnits>
      </c:valAx>
      <c:spPr>
        <a:noFill/>
        <a:ln>
          <a:noFill/>
        </a:ln>
        <a:effectLst/>
      </c:spPr>
    </c:plotArea>
    <c:legend>
      <c:legendPos val="r"/>
      <c:layout>
        <c:manualLayout>
          <c:xMode val="edge"/>
          <c:yMode val="edge"/>
          <c:x val="0.82250302526440178"/>
          <c:y val="0.46243294136628715"/>
          <c:w val="0.16458586625711707"/>
          <c:h val="0.46611158641567763"/>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n-US"/>
        </a:p>
      </c:txPr>
    </c:legend>
    <c:plotVisOnly val="1"/>
    <c:dispBlanksAs val="zero"/>
    <c:showDLblsOverMax val="0"/>
  </c:chart>
  <c:spPr>
    <a:solidFill>
      <a:schemeClr val="bg1"/>
    </a:solidFill>
    <a:ln w="9525" cap="flat" cmpd="sng" algn="ctr">
      <a:noFill/>
      <a:round/>
    </a:ln>
    <a:effectLst/>
  </c:spPr>
  <c:txPr>
    <a:bodyPr/>
    <a:lstStyle/>
    <a:p>
      <a:pPr>
        <a:defRPr>
          <a:latin typeface="Palatino Linotype" panose="0204050205050503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9E389-2640-41DC-9B10-13BC5A785009}">
  <ds:schemaRefs>
    <ds:schemaRef ds:uri="http://schemas.microsoft.com/sharepoint/v3/contenttype/forms"/>
  </ds:schemaRefs>
</ds:datastoreItem>
</file>

<file path=customXml/itemProps2.xml><?xml version="1.0" encoding="utf-8"?>
<ds:datastoreItem xmlns:ds="http://schemas.openxmlformats.org/officeDocument/2006/customXml" ds:itemID="{438435F5-444C-4961-B4BE-777ED363E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b0c30030-033d-41fe-ab21-181bf93309d6"/>
  </ds:schemaRefs>
</ds:datastoreItem>
</file>

<file path=customXml/itemProps4.xml><?xml version="1.0" encoding="utf-8"?>
<ds:datastoreItem xmlns:ds="http://schemas.openxmlformats.org/officeDocument/2006/customXml" ds:itemID="{B6D06913-7C4D-4C59-848A-A3DBCCF7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49483</Words>
  <Characters>282056</Characters>
  <Application>Microsoft Office Word</Application>
  <DocSecurity>0</DocSecurity>
  <Lines>2350</Lines>
  <Paragraphs>661</Paragraphs>
  <ScaleCrop>false</ScaleCrop>
  <Manager/>
  <Company/>
  <LinksUpToDate>false</LinksUpToDate>
  <CharactersWithSpaces>330878</CharactersWithSpaces>
  <SharedDoc>false</SharedDoc>
  <HLinks>
    <vt:vector size="2010" baseType="variant">
      <vt:variant>
        <vt:i4>1310780</vt:i4>
      </vt:variant>
      <vt:variant>
        <vt:i4>212</vt:i4>
      </vt:variant>
      <vt:variant>
        <vt:i4>0</vt:i4>
      </vt:variant>
      <vt:variant>
        <vt:i4>5</vt:i4>
      </vt:variant>
      <vt:variant>
        <vt:lpwstr/>
      </vt:variant>
      <vt:variant>
        <vt:lpwstr>_Toc230792754</vt:lpwstr>
      </vt:variant>
      <vt:variant>
        <vt:i4>1310780</vt:i4>
      </vt:variant>
      <vt:variant>
        <vt:i4>206</vt:i4>
      </vt:variant>
      <vt:variant>
        <vt:i4>0</vt:i4>
      </vt:variant>
      <vt:variant>
        <vt:i4>5</vt:i4>
      </vt:variant>
      <vt:variant>
        <vt:lpwstr/>
      </vt:variant>
      <vt:variant>
        <vt:lpwstr>_Toc230792753</vt:lpwstr>
      </vt:variant>
      <vt:variant>
        <vt:i4>1310780</vt:i4>
      </vt:variant>
      <vt:variant>
        <vt:i4>200</vt:i4>
      </vt:variant>
      <vt:variant>
        <vt:i4>0</vt:i4>
      </vt:variant>
      <vt:variant>
        <vt:i4>5</vt:i4>
      </vt:variant>
      <vt:variant>
        <vt:lpwstr/>
      </vt:variant>
      <vt:variant>
        <vt:lpwstr>_Toc230792752</vt:lpwstr>
      </vt:variant>
      <vt:variant>
        <vt:i4>1310780</vt:i4>
      </vt:variant>
      <vt:variant>
        <vt:i4>194</vt:i4>
      </vt:variant>
      <vt:variant>
        <vt:i4>0</vt:i4>
      </vt:variant>
      <vt:variant>
        <vt:i4>5</vt:i4>
      </vt:variant>
      <vt:variant>
        <vt:lpwstr/>
      </vt:variant>
      <vt:variant>
        <vt:lpwstr>_Toc230792751</vt:lpwstr>
      </vt:variant>
      <vt:variant>
        <vt:i4>1310780</vt:i4>
      </vt:variant>
      <vt:variant>
        <vt:i4>188</vt:i4>
      </vt:variant>
      <vt:variant>
        <vt:i4>0</vt:i4>
      </vt:variant>
      <vt:variant>
        <vt:i4>5</vt:i4>
      </vt:variant>
      <vt:variant>
        <vt:lpwstr/>
      </vt:variant>
      <vt:variant>
        <vt:lpwstr>_Toc230792750</vt:lpwstr>
      </vt:variant>
      <vt:variant>
        <vt:i4>1376316</vt:i4>
      </vt:variant>
      <vt:variant>
        <vt:i4>182</vt:i4>
      </vt:variant>
      <vt:variant>
        <vt:i4>0</vt:i4>
      </vt:variant>
      <vt:variant>
        <vt:i4>5</vt:i4>
      </vt:variant>
      <vt:variant>
        <vt:lpwstr/>
      </vt:variant>
      <vt:variant>
        <vt:lpwstr>_Toc230792749</vt:lpwstr>
      </vt:variant>
      <vt:variant>
        <vt:i4>1376316</vt:i4>
      </vt:variant>
      <vt:variant>
        <vt:i4>176</vt:i4>
      </vt:variant>
      <vt:variant>
        <vt:i4>0</vt:i4>
      </vt:variant>
      <vt:variant>
        <vt:i4>5</vt:i4>
      </vt:variant>
      <vt:variant>
        <vt:lpwstr/>
      </vt:variant>
      <vt:variant>
        <vt:lpwstr>_Toc230792748</vt:lpwstr>
      </vt:variant>
      <vt:variant>
        <vt:i4>1376316</vt:i4>
      </vt:variant>
      <vt:variant>
        <vt:i4>170</vt:i4>
      </vt:variant>
      <vt:variant>
        <vt:i4>0</vt:i4>
      </vt:variant>
      <vt:variant>
        <vt:i4>5</vt:i4>
      </vt:variant>
      <vt:variant>
        <vt:lpwstr/>
      </vt:variant>
      <vt:variant>
        <vt:lpwstr>_Toc230792747</vt:lpwstr>
      </vt:variant>
      <vt:variant>
        <vt:i4>1376316</vt:i4>
      </vt:variant>
      <vt:variant>
        <vt:i4>164</vt:i4>
      </vt:variant>
      <vt:variant>
        <vt:i4>0</vt:i4>
      </vt:variant>
      <vt:variant>
        <vt:i4>5</vt:i4>
      </vt:variant>
      <vt:variant>
        <vt:lpwstr/>
      </vt:variant>
      <vt:variant>
        <vt:lpwstr>_Toc230792746</vt:lpwstr>
      </vt:variant>
      <vt:variant>
        <vt:i4>1376316</vt:i4>
      </vt:variant>
      <vt:variant>
        <vt:i4>158</vt:i4>
      </vt:variant>
      <vt:variant>
        <vt:i4>0</vt:i4>
      </vt:variant>
      <vt:variant>
        <vt:i4>5</vt:i4>
      </vt:variant>
      <vt:variant>
        <vt:lpwstr/>
      </vt:variant>
      <vt:variant>
        <vt:lpwstr>_Toc230792745</vt:lpwstr>
      </vt:variant>
      <vt:variant>
        <vt:i4>1376316</vt:i4>
      </vt:variant>
      <vt:variant>
        <vt:i4>152</vt:i4>
      </vt:variant>
      <vt:variant>
        <vt:i4>0</vt:i4>
      </vt:variant>
      <vt:variant>
        <vt:i4>5</vt:i4>
      </vt:variant>
      <vt:variant>
        <vt:lpwstr/>
      </vt:variant>
      <vt:variant>
        <vt:lpwstr>_Toc230792744</vt:lpwstr>
      </vt:variant>
      <vt:variant>
        <vt:i4>1376316</vt:i4>
      </vt:variant>
      <vt:variant>
        <vt:i4>146</vt:i4>
      </vt:variant>
      <vt:variant>
        <vt:i4>0</vt:i4>
      </vt:variant>
      <vt:variant>
        <vt:i4>5</vt:i4>
      </vt:variant>
      <vt:variant>
        <vt:lpwstr/>
      </vt:variant>
      <vt:variant>
        <vt:lpwstr>_Toc230792743</vt:lpwstr>
      </vt:variant>
      <vt:variant>
        <vt:i4>1376316</vt:i4>
      </vt:variant>
      <vt:variant>
        <vt:i4>140</vt:i4>
      </vt:variant>
      <vt:variant>
        <vt:i4>0</vt:i4>
      </vt:variant>
      <vt:variant>
        <vt:i4>5</vt:i4>
      </vt:variant>
      <vt:variant>
        <vt:lpwstr/>
      </vt:variant>
      <vt:variant>
        <vt:lpwstr>_Toc230792742</vt:lpwstr>
      </vt:variant>
      <vt:variant>
        <vt:i4>1376316</vt:i4>
      </vt:variant>
      <vt:variant>
        <vt:i4>134</vt:i4>
      </vt:variant>
      <vt:variant>
        <vt:i4>0</vt:i4>
      </vt:variant>
      <vt:variant>
        <vt:i4>5</vt:i4>
      </vt:variant>
      <vt:variant>
        <vt:lpwstr/>
      </vt:variant>
      <vt:variant>
        <vt:lpwstr>_Toc230792741</vt:lpwstr>
      </vt:variant>
      <vt:variant>
        <vt:i4>1376316</vt:i4>
      </vt:variant>
      <vt:variant>
        <vt:i4>128</vt:i4>
      </vt:variant>
      <vt:variant>
        <vt:i4>0</vt:i4>
      </vt:variant>
      <vt:variant>
        <vt:i4>5</vt:i4>
      </vt:variant>
      <vt:variant>
        <vt:lpwstr/>
      </vt:variant>
      <vt:variant>
        <vt:lpwstr>_Toc230792740</vt:lpwstr>
      </vt:variant>
      <vt:variant>
        <vt:i4>1179708</vt:i4>
      </vt:variant>
      <vt:variant>
        <vt:i4>122</vt:i4>
      </vt:variant>
      <vt:variant>
        <vt:i4>0</vt:i4>
      </vt:variant>
      <vt:variant>
        <vt:i4>5</vt:i4>
      </vt:variant>
      <vt:variant>
        <vt:lpwstr/>
      </vt:variant>
      <vt:variant>
        <vt:lpwstr>_Toc230792739</vt:lpwstr>
      </vt:variant>
      <vt:variant>
        <vt:i4>1179708</vt:i4>
      </vt:variant>
      <vt:variant>
        <vt:i4>116</vt:i4>
      </vt:variant>
      <vt:variant>
        <vt:i4>0</vt:i4>
      </vt:variant>
      <vt:variant>
        <vt:i4>5</vt:i4>
      </vt:variant>
      <vt:variant>
        <vt:lpwstr/>
      </vt:variant>
      <vt:variant>
        <vt:lpwstr>_Toc230792738</vt:lpwstr>
      </vt:variant>
      <vt:variant>
        <vt:i4>1179708</vt:i4>
      </vt:variant>
      <vt:variant>
        <vt:i4>110</vt:i4>
      </vt:variant>
      <vt:variant>
        <vt:i4>0</vt:i4>
      </vt:variant>
      <vt:variant>
        <vt:i4>5</vt:i4>
      </vt:variant>
      <vt:variant>
        <vt:lpwstr/>
      </vt:variant>
      <vt:variant>
        <vt:lpwstr>_Toc230792737</vt:lpwstr>
      </vt:variant>
      <vt:variant>
        <vt:i4>1179708</vt:i4>
      </vt:variant>
      <vt:variant>
        <vt:i4>104</vt:i4>
      </vt:variant>
      <vt:variant>
        <vt:i4>0</vt:i4>
      </vt:variant>
      <vt:variant>
        <vt:i4>5</vt:i4>
      </vt:variant>
      <vt:variant>
        <vt:lpwstr/>
      </vt:variant>
      <vt:variant>
        <vt:lpwstr>_Toc230792736</vt:lpwstr>
      </vt:variant>
      <vt:variant>
        <vt:i4>1179708</vt:i4>
      </vt:variant>
      <vt:variant>
        <vt:i4>98</vt:i4>
      </vt:variant>
      <vt:variant>
        <vt:i4>0</vt:i4>
      </vt:variant>
      <vt:variant>
        <vt:i4>5</vt:i4>
      </vt:variant>
      <vt:variant>
        <vt:lpwstr/>
      </vt:variant>
      <vt:variant>
        <vt:lpwstr>_Toc230792735</vt:lpwstr>
      </vt:variant>
      <vt:variant>
        <vt:i4>1179708</vt:i4>
      </vt:variant>
      <vt:variant>
        <vt:i4>92</vt:i4>
      </vt:variant>
      <vt:variant>
        <vt:i4>0</vt:i4>
      </vt:variant>
      <vt:variant>
        <vt:i4>5</vt:i4>
      </vt:variant>
      <vt:variant>
        <vt:lpwstr/>
      </vt:variant>
      <vt:variant>
        <vt:lpwstr>_Toc230792734</vt:lpwstr>
      </vt:variant>
      <vt:variant>
        <vt:i4>1179708</vt:i4>
      </vt:variant>
      <vt:variant>
        <vt:i4>86</vt:i4>
      </vt:variant>
      <vt:variant>
        <vt:i4>0</vt:i4>
      </vt:variant>
      <vt:variant>
        <vt:i4>5</vt:i4>
      </vt:variant>
      <vt:variant>
        <vt:lpwstr/>
      </vt:variant>
      <vt:variant>
        <vt:lpwstr>_Toc230792733</vt:lpwstr>
      </vt:variant>
      <vt:variant>
        <vt:i4>1179708</vt:i4>
      </vt:variant>
      <vt:variant>
        <vt:i4>80</vt:i4>
      </vt:variant>
      <vt:variant>
        <vt:i4>0</vt:i4>
      </vt:variant>
      <vt:variant>
        <vt:i4>5</vt:i4>
      </vt:variant>
      <vt:variant>
        <vt:lpwstr/>
      </vt:variant>
      <vt:variant>
        <vt:lpwstr>_Toc230792732</vt:lpwstr>
      </vt:variant>
      <vt:variant>
        <vt:i4>1179708</vt:i4>
      </vt:variant>
      <vt:variant>
        <vt:i4>74</vt:i4>
      </vt:variant>
      <vt:variant>
        <vt:i4>0</vt:i4>
      </vt:variant>
      <vt:variant>
        <vt:i4>5</vt:i4>
      </vt:variant>
      <vt:variant>
        <vt:lpwstr/>
      </vt:variant>
      <vt:variant>
        <vt:lpwstr>_Toc230792731</vt:lpwstr>
      </vt:variant>
      <vt:variant>
        <vt:i4>1179708</vt:i4>
      </vt:variant>
      <vt:variant>
        <vt:i4>68</vt:i4>
      </vt:variant>
      <vt:variant>
        <vt:i4>0</vt:i4>
      </vt:variant>
      <vt:variant>
        <vt:i4>5</vt:i4>
      </vt:variant>
      <vt:variant>
        <vt:lpwstr/>
      </vt:variant>
      <vt:variant>
        <vt:lpwstr>_Toc230792730</vt:lpwstr>
      </vt:variant>
      <vt:variant>
        <vt:i4>1245244</vt:i4>
      </vt:variant>
      <vt:variant>
        <vt:i4>62</vt:i4>
      </vt:variant>
      <vt:variant>
        <vt:i4>0</vt:i4>
      </vt:variant>
      <vt:variant>
        <vt:i4>5</vt:i4>
      </vt:variant>
      <vt:variant>
        <vt:lpwstr/>
      </vt:variant>
      <vt:variant>
        <vt:lpwstr>_Toc230792729</vt:lpwstr>
      </vt:variant>
      <vt:variant>
        <vt:i4>1245244</vt:i4>
      </vt:variant>
      <vt:variant>
        <vt:i4>56</vt:i4>
      </vt:variant>
      <vt:variant>
        <vt:i4>0</vt:i4>
      </vt:variant>
      <vt:variant>
        <vt:i4>5</vt:i4>
      </vt:variant>
      <vt:variant>
        <vt:lpwstr/>
      </vt:variant>
      <vt:variant>
        <vt:lpwstr>_Toc230792728</vt:lpwstr>
      </vt:variant>
      <vt:variant>
        <vt:i4>1245244</vt:i4>
      </vt:variant>
      <vt:variant>
        <vt:i4>50</vt:i4>
      </vt:variant>
      <vt:variant>
        <vt:i4>0</vt:i4>
      </vt:variant>
      <vt:variant>
        <vt:i4>5</vt:i4>
      </vt:variant>
      <vt:variant>
        <vt:lpwstr/>
      </vt:variant>
      <vt:variant>
        <vt:lpwstr>_Toc230792727</vt:lpwstr>
      </vt:variant>
      <vt:variant>
        <vt:i4>1245244</vt:i4>
      </vt:variant>
      <vt:variant>
        <vt:i4>44</vt:i4>
      </vt:variant>
      <vt:variant>
        <vt:i4>0</vt:i4>
      </vt:variant>
      <vt:variant>
        <vt:i4>5</vt:i4>
      </vt:variant>
      <vt:variant>
        <vt:lpwstr/>
      </vt:variant>
      <vt:variant>
        <vt:lpwstr>_Toc230792726</vt:lpwstr>
      </vt:variant>
      <vt:variant>
        <vt:i4>1245244</vt:i4>
      </vt:variant>
      <vt:variant>
        <vt:i4>38</vt:i4>
      </vt:variant>
      <vt:variant>
        <vt:i4>0</vt:i4>
      </vt:variant>
      <vt:variant>
        <vt:i4>5</vt:i4>
      </vt:variant>
      <vt:variant>
        <vt:lpwstr/>
      </vt:variant>
      <vt:variant>
        <vt:lpwstr>_Toc230792725</vt:lpwstr>
      </vt:variant>
      <vt:variant>
        <vt:i4>1245244</vt:i4>
      </vt:variant>
      <vt:variant>
        <vt:i4>32</vt:i4>
      </vt:variant>
      <vt:variant>
        <vt:i4>0</vt:i4>
      </vt:variant>
      <vt:variant>
        <vt:i4>5</vt:i4>
      </vt:variant>
      <vt:variant>
        <vt:lpwstr/>
      </vt:variant>
      <vt:variant>
        <vt:lpwstr>_Toc230792724</vt:lpwstr>
      </vt:variant>
      <vt:variant>
        <vt:i4>1245244</vt:i4>
      </vt:variant>
      <vt:variant>
        <vt:i4>26</vt:i4>
      </vt:variant>
      <vt:variant>
        <vt:i4>0</vt:i4>
      </vt:variant>
      <vt:variant>
        <vt:i4>5</vt:i4>
      </vt:variant>
      <vt:variant>
        <vt:lpwstr/>
      </vt:variant>
      <vt:variant>
        <vt:lpwstr>_Toc230792723</vt:lpwstr>
      </vt:variant>
      <vt:variant>
        <vt:i4>1245244</vt:i4>
      </vt:variant>
      <vt:variant>
        <vt:i4>20</vt:i4>
      </vt:variant>
      <vt:variant>
        <vt:i4>0</vt:i4>
      </vt:variant>
      <vt:variant>
        <vt:i4>5</vt:i4>
      </vt:variant>
      <vt:variant>
        <vt:lpwstr/>
      </vt:variant>
      <vt:variant>
        <vt:lpwstr>_Toc230792722</vt:lpwstr>
      </vt:variant>
      <vt:variant>
        <vt:i4>1245244</vt:i4>
      </vt:variant>
      <vt:variant>
        <vt:i4>14</vt:i4>
      </vt:variant>
      <vt:variant>
        <vt:i4>0</vt:i4>
      </vt:variant>
      <vt:variant>
        <vt:i4>5</vt:i4>
      </vt:variant>
      <vt:variant>
        <vt:lpwstr/>
      </vt:variant>
      <vt:variant>
        <vt:lpwstr>_Toc230792721</vt:lpwstr>
      </vt:variant>
      <vt:variant>
        <vt:i4>1245244</vt:i4>
      </vt:variant>
      <vt:variant>
        <vt:i4>8</vt:i4>
      </vt:variant>
      <vt:variant>
        <vt:i4>0</vt:i4>
      </vt:variant>
      <vt:variant>
        <vt:i4>5</vt:i4>
      </vt:variant>
      <vt:variant>
        <vt:lpwstr/>
      </vt:variant>
      <vt:variant>
        <vt:lpwstr>_Toc230792720</vt:lpwstr>
      </vt:variant>
      <vt:variant>
        <vt:i4>1048636</vt:i4>
      </vt:variant>
      <vt:variant>
        <vt:i4>2</vt:i4>
      </vt:variant>
      <vt:variant>
        <vt:i4>0</vt:i4>
      </vt:variant>
      <vt:variant>
        <vt:i4>5</vt:i4>
      </vt:variant>
      <vt:variant>
        <vt:lpwstr/>
      </vt:variant>
      <vt:variant>
        <vt:lpwstr>_Toc230792719</vt:lpwstr>
      </vt:variant>
      <vt:variant>
        <vt:i4>6422634</vt:i4>
      </vt:variant>
      <vt:variant>
        <vt:i4>249</vt:i4>
      </vt:variant>
      <vt:variant>
        <vt:i4>0</vt:i4>
      </vt:variant>
      <vt:variant>
        <vt:i4>5</vt:i4>
      </vt:variant>
      <vt:variant>
        <vt:lpwstr>https://presse.economie.gouv.fr/souverainete-numerique-letat-generalise-visio-sa-solution-de-visioconference-securisee-et-souveraine-a-destination-des-agents-publics/</vt:lpwstr>
      </vt:variant>
      <vt:variant>
        <vt:lpwstr/>
      </vt:variant>
      <vt:variant>
        <vt:i4>6160459</vt:i4>
      </vt:variant>
      <vt:variant>
        <vt:i4>246</vt:i4>
      </vt:variant>
      <vt:variant>
        <vt:i4>0</vt:i4>
      </vt:variant>
      <vt:variant>
        <vt:i4>5</vt:i4>
      </vt:variant>
      <vt:variant>
        <vt:lpwstr>https://www.datacenterdynamics.com/en/news/finlands-ministry-of-justice-delays-plans-for-cloud-migration/</vt:lpwstr>
      </vt:variant>
      <vt:variant>
        <vt:lpwstr/>
      </vt:variant>
      <vt:variant>
        <vt:i4>5636150</vt:i4>
      </vt:variant>
      <vt:variant>
        <vt:i4>243</vt:i4>
      </vt:variant>
      <vt:variant>
        <vt:i4>0</vt:i4>
      </vt:variant>
      <vt:variant>
        <vt:i4>5</vt:i4>
      </vt:variant>
      <vt:variant>
        <vt:lpwstr>https://commission.europa.eu/news-and-media/news/commission-advances-cloud-sovereignty-through-strategic-procurement-2026-04-17_en</vt:lpwstr>
      </vt:variant>
      <vt:variant>
        <vt:lpwstr/>
      </vt:variant>
      <vt:variant>
        <vt:i4>3604534</vt:i4>
      </vt:variant>
      <vt:variant>
        <vt:i4>240</vt:i4>
      </vt:variant>
      <vt:variant>
        <vt:i4>0</vt:i4>
      </vt:variant>
      <vt:variant>
        <vt:i4>5</vt:i4>
      </vt:variant>
      <vt:variant>
        <vt:lpwstr>https://www.theregister.com/2025/12/19/airbus_sovereign_cloud/</vt:lpwstr>
      </vt:variant>
      <vt:variant>
        <vt:lpwstr/>
      </vt:variant>
      <vt:variant>
        <vt:i4>1900630</vt:i4>
      </vt:variant>
      <vt:variant>
        <vt:i4>237</vt:i4>
      </vt:variant>
      <vt:variant>
        <vt:i4>0</vt:i4>
      </vt:variant>
      <vt:variant>
        <vt:i4>5</vt:i4>
      </vt:variant>
      <vt:variant>
        <vt:lpwstr>https://eur-lex.europa.eu/legal-content/EN/ALL/?uri=CELEX:32024R0573</vt:lpwstr>
      </vt:variant>
      <vt:variant>
        <vt:lpwstr/>
      </vt:variant>
      <vt:variant>
        <vt:i4>2490487</vt:i4>
      </vt:variant>
      <vt:variant>
        <vt:i4>234</vt:i4>
      </vt:variant>
      <vt:variant>
        <vt:i4>0</vt:i4>
      </vt:variant>
      <vt:variant>
        <vt:i4>5</vt:i4>
      </vt:variant>
      <vt:variant>
        <vt:lpwstr>https://www.eea.europa.eu/en/analysis/indicators/hydrofluorocarbon-phase-down-in-europe/eu-progress-under-the-hydrofluorocarbon</vt:lpwstr>
      </vt:variant>
      <vt:variant>
        <vt:lpwstr/>
      </vt:variant>
      <vt:variant>
        <vt:i4>6553714</vt:i4>
      </vt:variant>
      <vt:variant>
        <vt:i4>231</vt:i4>
      </vt:variant>
      <vt:variant>
        <vt:i4>0</vt:i4>
      </vt:variant>
      <vt:variant>
        <vt:i4>5</vt:i4>
      </vt:variant>
      <vt:variant>
        <vt:lpwstr>https://www.sciencedirect.com/science/article/pii/S2352484725001623</vt:lpwstr>
      </vt:variant>
      <vt:variant>
        <vt:lpwstr/>
      </vt:variant>
      <vt:variant>
        <vt:i4>3801186</vt:i4>
      </vt:variant>
      <vt:variant>
        <vt:i4>228</vt:i4>
      </vt:variant>
      <vt:variant>
        <vt:i4>0</vt:i4>
      </vt:variant>
      <vt:variant>
        <vt:i4>5</vt:i4>
      </vt:variant>
      <vt:variant>
        <vt:lpwstr>https://www.statista.com/outlook/tmo/public-cloud/eu-27?currency=EUR</vt:lpwstr>
      </vt:variant>
      <vt:variant>
        <vt:lpwstr>revenue</vt:lpwstr>
      </vt:variant>
      <vt:variant>
        <vt:i4>8060981</vt:i4>
      </vt:variant>
      <vt:variant>
        <vt:i4>225</vt:i4>
      </vt:variant>
      <vt:variant>
        <vt:i4>0</vt:i4>
      </vt:variant>
      <vt:variant>
        <vt:i4>5</vt:i4>
      </vt:variant>
      <vt:variant>
        <vt:lpwstr>https://www.ft.com/content/603be7d5-13ac-4047-9854-24db5f0f0802?syn-25a6b1a6=1</vt:lpwstr>
      </vt:variant>
      <vt:variant>
        <vt:lpwstr/>
      </vt:variant>
      <vt:variant>
        <vt:i4>2424897</vt:i4>
      </vt:variant>
      <vt:variant>
        <vt:i4>222</vt:i4>
      </vt:variant>
      <vt:variant>
        <vt:i4>0</vt:i4>
      </vt:variant>
      <vt:variant>
        <vt:i4>5</vt:i4>
      </vt:variant>
      <vt:variant>
        <vt:lpwstr>https://www.eudca.org/documents/content/E8VdyUuATTC_BmbNp4nhAwo89?download=0</vt:lpwstr>
      </vt:variant>
      <vt:variant>
        <vt:lpwstr/>
      </vt:variant>
      <vt:variant>
        <vt:i4>1638476</vt:i4>
      </vt:variant>
      <vt:variant>
        <vt:i4>219</vt:i4>
      </vt:variant>
      <vt:variant>
        <vt:i4>0</vt:i4>
      </vt:variant>
      <vt:variant>
        <vt:i4>5</vt:i4>
      </vt:variant>
      <vt:variant>
        <vt:lpwstr>https://lp.startcampus.pt/hubfs/Copenhagen Economics/CE Report_Economic contribution of data centres in Portugal_EN.pdf?hsLang=en</vt:lpwstr>
      </vt:variant>
      <vt:variant>
        <vt:lpwstr/>
      </vt:variant>
      <vt:variant>
        <vt:i4>3276835</vt:i4>
      </vt:variant>
      <vt:variant>
        <vt:i4>216</vt:i4>
      </vt:variant>
      <vt:variant>
        <vt:i4>0</vt:i4>
      </vt:variant>
      <vt:variant>
        <vt:i4>5</vt:i4>
      </vt:variant>
      <vt:variant>
        <vt:lpwstr>https://jlarc.virginia.gov/pdfs/reports/Rpt598.pdf</vt:lpwstr>
      </vt:variant>
      <vt:variant>
        <vt:lpwstr/>
      </vt:variant>
      <vt:variant>
        <vt:i4>4915310</vt:i4>
      </vt:variant>
      <vt:variant>
        <vt:i4>213</vt:i4>
      </vt:variant>
      <vt:variant>
        <vt:i4>0</vt:i4>
      </vt:variant>
      <vt:variant>
        <vt:i4>5</vt:i4>
      </vt:variant>
      <vt:variant>
        <vt:lpwstr>https://democracy.havering.gov.uk/documents/s66177/220812 Oxford Economics_Reef Group Data Centre.pdf</vt:lpwstr>
      </vt:variant>
      <vt:variant>
        <vt:lpwstr/>
      </vt:variant>
      <vt:variant>
        <vt:i4>7667751</vt:i4>
      </vt:variant>
      <vt:variant>
        <vt:i4>210</vt:i4>
      </vt:variant>
      <vt:variant>
        <vt:i4>0</vt:i4>
      </vt:variant>
      <vt:variant>
        <vt:i4>5</vt:i4>
      </vt:variant>
      <vt:variant>
        <vt:lpwstr>https://assets.innovazione.gov.it/1631016901-strategiaclouditalia2021presentazione.pdf</vt:lpwstr>
      </vt:variant>
      <vt:variant>
        <vt:lpwstr/>
      </vt:variant>
      <vt:variant>
        <vt:i4>4653156</vt:i4>
      </vt:variant>
      <vt:variant>
        <vt:i4>207</vt:i4>
      </vt:variant>
      <vt:variant>
        <vt:i4>0</vt:i4>
      </vt:variant>
      <vt:variant>
        <vt:i4>5</vt:i4>
      </vt:variant>
      <vt:variant>
        <vt:lpwstr>https://chmura.gov.pl/zuch/static/media/Cloud in Government Services_Final %5BENG%5D.pdf?</vt:lpwstr>
      </vt:variant>
      <vt:variant>
        <vt:lpwstr/>
      </vt:variant>
      <vt:variant>
        <vt:i4>7667751</vt:i4>
      </vt:variant>
      <vt:variant>
        <vt:i4>204</vt:i4>
      </vt:variant>
      <vt:variant>
        <vt:i4>0</vt:i4>
      </vt:variant>
      <vt:variant>
        <vt:i4>5</vt:i4>
      </vt:variant>
      <vt:variant>
        <vt:lpwstr>https://assets.innovazione.gov.it/1631016901-strategiaclouditalia2021presentazione.pdf</vt:lpwstr>
      </vt:variant>
      <vt:variant>
        <vt:lpwstr/>
      </vt:variant>
      <vt:variant>
        <vt:i4>4653156</vt:i4>
      </vt:variant>
      <vt:variant>
        <vt:i4>201</vt:i4>
      </vt:variant>
      <vt:variant>
        <vt:i4>0</vt:i4>
      </vt:variant>
      <vt:variant>
        <vt:i4>5</vt:i4>
      </vt:variant>
      <vt:variant>
        <vt:lpwstr>https://chmura.gov.pl/zuch/static/media/Cloud in Government Services_Final %5BENG%5D.pdf?</vt:lpwstr>
      </vt:variant>
      <vt:variant>
        <vt:lpwstr/>
      </vt:variant>
      <vt:variant>
        <vt:i4>7995433</vt:i4>
      </vt:variant>
      <vt:variant>
        <vt:i4>198</vt:i4>
      </vt:variant>
      <vt:variant>
        <vt:i4>0</vt:i4>
      </vt:variant>
      <vt:variant>
        <vt:i4>5</vt:i4>
      </vt:variant>
      <vt:variant>
        <vt:lpwstr>https://www.vshn.ch/en/blog/sovereignty-washing-when-sovereign-cloud-isnt-really-sovereign/</vt:lpwstr>
      </vt:variant>
      <vt:variant>
        <vt:lpwstr/>
      </vt:variant>
      <vt:variant>
        <vt:i4>3670057</vt:i4>
      </vt:variant>
      <vt:variant>
        <vt:i4>195</vt:i4>
      </vt:variant>
      <vt:variant>
        <vt:i4>0</vt:i4>
      </vt:variant>
      <vt:variant>
        <vt:i4>5</vt:i4>
      </vt:variant>
      <vt:variant>
        <vt:lpwstr>https://www.landtag-bw.de/resource/blob/584956/7b9fcaf1f4775f0b2f4658dc01232e61/17_9179_D.pdf</vt:lpwstr>
      </vt:variant>
      <vt:variant>
        <vt:lpwstr/>
      </vt:variant>
      <vt:variant>
        <vt:i4>5046274</vt:i4>
      </vt:variant>
      <vt:variant>
        <vt:i4>192</vt:i4>
      </vt:variant>
      <vt:variant>
        <vt:i4>0</vt:i4>
      </vt:variant>
      <vt:variant>
        <vt:i4>5</vt:i4>
      </vt:variant>
      <vt:variant>
        <vt:lpwstr>https://www.tecracer.com/blog/2026/01/aws-european-sovereign-cloud-esc-launch-pricing-and-whats-next.html</vt:lpwstr>
      </vt:variant>
      <vt:variant>
        <vt:lpwstr/>
      </vt:variant>
      <vt:variant>
        <vt:i4>6160406</vt:i4>
      </vt:variant>
      <vt:variant>
        <vt:i4>189</vt:i4>
      </vt:variant>
      <vt:variant>
        <vt:i4>0</vt:i4>
      </vt:variant>
      <vt:variant>
        <vt:i4>5</vt:i4>
      </vt:variant>
      <vt:variant>
        <vt:lpwstr>https://www.bcg.com/publications/2025/cloud-cover-price-sovereignty-demands-waste</vt:lpwstr>
      </vt:variant>
      <vt:variant>
        <vt:lpwstr/>
      </vt:variant>
      <vt:variant>
        <vt:i4>589824</vt:i4>
      </vt:variant>
      <vt:variant>
        <vt:i4>186</vt:i4>
      </vt:variant>
      <vt:variant>
        <vt:i4>0</vt:i4>
      </vt:variant>
      <vt:variant>
        <vt:i4>5</vt:i4>
      </vt:variant>
      <vt:variant>
        <vt:lpwstr>https://www.npr.org/2021/12/14/1064123144/companies-scramble-to-defend-against-newly-discovered-log4j-digital-flaw</vt:lpwstr>
      </vt:variant>
      <vt:variant>
        <vt:lpwstr>:~:text=Figuring%20out%20the%20full%20number,other%20stuff%2C%20working%20other%20jobs</vt:lpwstr>
      </vt:variant>
      <vt:variant>
        <vt:i4>7798889</vt:i4>
      </vt:variant>
      <vt:variant>
        <vt:i4>183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7929969</vt:i4>
      </vt:variant>
      <vt:variant>
        <vt:i4>180</vt:i4>
      </vt:variant>
      <vt:variant>
        <vt:i4>0</vt:i4>
      </vt:variant>
      <vt:variant>
        <vt:i4>5</vt:i4>
      </vt:variant>
      <vt:variant>
        <vt:lpwstr>https://uk.diplomatie.gouv.fr/en/summit-european-digital-sovereignty-delivers-landmark-commitments</vt:lpwstr>
      </vt:variant>
      <vt:variant>
        <vt:lpwstr/>
      </vt:variant>
      <vt:variant>
        <vt:i4>6553707</vt:i4>
      </vt:variant>
      <vt:variant>
        <vt:i4>177</vt:i4>
      </vt:variant>
      <vt:variant>
        <vt:i4>0</vt:i4>
      </vt:variant>
      <vt:variant>
        <vt:i4>5</vt:i4>
      </vt:variant>
      <vt:variant>
        <vt:lpwstr>https://www.capgemini.com/insights/research-library/data-mastery-in-government/</vt:lpwstr>
      </vt:variant>
      <vt:variant>
        <vt:lpwstr/>
      </vt:variant>
      <vt:variant>
        <vt:i4>2490441</vt:i4>
      </vt:variant>
      <vt:variant>
        <vt:i4>174</vt:i4>
      </vt:variant>
      <vt:variant>
        <vt:i4>0</vt:i4>
      </vt:variant>
      <vt:variant>
        <vt:i4>5</vt:i4>
      </vt:variant>
      <vt:variant>
        <vt:lpwstr>https://www.autoritedelaconcurrence.fr/sites/default/files/attachments/2023-09/23a08_EN.pdf</vt:lpwstr>
      </vt:variant>
      <vt:variant>
        <vt:lpwstr/>
      </vt:variant>
      <vt:variant>
        <vt:i4>786440</vt:i4>
      </vt:variant>
      <vt:variant>
        <vt:i4>171</vt:i4>
      </vt:variant>
      <vt:variant>
        <vt:i4>0</vt:i4>
      </vt:variant>
      <vt:variant>
        <vt:i4>5</vt:i4>
      </vt:variant>
      <vt:variant>
        <vt:lpwstr>https://futureinstitute.tech/assets/doc/FOTICloudDefenceReport26.pdf</vt:lpwstr>
      </vt:variant>
      <vt:variant>
        <vt:lpwstr/>
      </vt:variant>
      <vt:variant>
        <vt:i4>5505106</vt:i4>
      </vt:variant>
      <vt:variant>
        <vt:i4>168</vt:i4>
      </vt:variant>
      <vt:variant>
        <vt:i4>0</vt:i4>
      </vt:variant>
      <vt:variant>
        <vt:i4>5</vt:i4>
      </vt:variant>
      <vt:variant>
        <vt:lpwstr>https://www.bundeswirtschaftsministerium.de/Redaktion/DE/Ausschreibungen/20251222-bereitstellung-von-cloud-services-fuer-den-betrieb-der-foerderzentrale-deutschland.html</vt:lpwstr>
      </vt:variant>
      <vt:variant>
        <vt:lpwstr/>
      </vt:variant>
      <vt:variant>
        <vt:i4>983126</vt:i4>
      </vt:variant>
      <vt:variant>
        <vt:i4>165</vt:i4>
      </vt:variant>
      <vt:variant>
        <vt:i4>0</vt:i4>
      </vt:variant>
      <vt:variant>
        <vt:i4>5</vt:i4>
      </vt:variant>
      <vt:variant>
        <vt:lpwstr>https://www.heise.de/news/Vertrag-soll-bis-Jahresende-stehen-Bayern-will-in-die-Microsoft-Cloud-11066618.html</vt:lpwstr>
      </vt:variant>
      <vt:variant>
        <vt:lpwstr/>
      </vt:variant>
      <vt:variant>
        <vt:i4>1966147</vt:i4>
      </vt:variant>
      <vt:variant>
        <vt:i4>162</vt:i4>
      </vt:variant>
      <vt:variant>
        <vt:i4>0</vt:i4>
      </vt:variant>
      <vt:variant>
        <vt:i4>5</vt:i4>
      </vt:variant>
      <vt:variant>
        <vt:lpwstr>https://www.heise.de/news/Trotz-Abhaengigkeit-und-Datenschutzrisiken-Behoerden-gehen-in-die-Microsoft-Cloud-9984990.html</vt:lpwstr>
      </vt:variant>
      <vt:variant>
        <vt:lpwstr/>
      </vt:variant>
      <vt:variant>
        <vt:i4>3211345</vt:i4>
      </vt:variant>
      <vt:variant>
        <vt:i4>159</vt:i4>
      </vt:variant>
      <vt:variant>
        <vt:i4>0</vt:i4>
      </vt:variant>
      <vt:variant>
        <vt:i4>5</vt:i4>
      </vt:variant>
      <vt:variant>
        <vt:lpwstr>https://www.edpb.europa.eu/system/files/2023-01/edpb_20230118_cef_cloud-basedservices_publicsector_en.pdf</vt:lpwstr>
      </vt:variant>
      <vt:variant>
        <vt:lpwstr/>
      </vt:variant>
      <vt:variant>
        <vt:i4>4259854</vt:i4>
      </vt:variant>
      <vt:variant>
        <vt:i4>156</vt:i4>
      </vt:variant>
      <vt:variant>
        <vt:i4>0</vt:i4>
      </vt:variant>
      <vt:variant>
        <vt:i4>5</vt:i4>
      </vt:variant>
      <vt:variant>
        <vt:lpwstr>https://english.rekenkamer.nl/documents/2025/01/15/dutch-central-government-in-the-cloud</vt:lpwstr>
      </vt:variant>
      <vt:variant>
        <vt:lpwstr/>
      </vt:variant>
      <vt:variant>
        <vt:i4>8061002</vt:i4>
      </vt:variant>
      <vt:variant>
        <vt:i4>153</vt:i4>
      </vt:variant>
      <vt:variant>
        <vt:i4>0</vt:i4>
      </vt:variant>
      <vt:variant>
        <vt:i4>5</vt:i4>
      </vt:variant>
      <vt:variant>
        <vt:lpwstr>https://www.oecd.org/content/dam/oecd/en/publications/reports/2025/11/progress-in-implementing-the-european-union-coordinated-plan-on-artificial-intelligence-volume-1_bb04a5b6/533c355d-en.pdf</vt:lpwstr>
      </vt:variant>
      <vt:variant>
        <vt:lpwstr/>
      </vt:variant>
      <vt:variant>
        <vt:i4>6553707</vt:i4>
      </vt:variant>
      <vt:variant>
        <vt:i4>150</vt:i4>
      </vt:variant>
      <vt:variant>
        <vt:i4>0</vt:i4>
      </vt:variant>
      <vt:variant>
        <vt:i4>5</vt:i4>
      </vt:variant>
      <vt:variant>
        <vt:lpwstr>https://www.capgemini.com/insights/research-library/data-mastery-in-government/</vt:lpwstr>
      </vt:variant>
      <vt:variant>
        <vt:lpwstr/>
      </vt:variant>
      <vt:variant>
        <vt:i4>7536754</vt:i4>
      </vt:variant>
      <vt:variant>
        <vt:i4>147</vt:i4>
      </vt:variant>
      <vt:variant>
        <vt:i4>0</vt:i4>
      </vt:variant>
      <vt:variant>
        <vt:i4>5</vt:i4>
      </vt:variant>
      <vt:variant>
        <vt:lpwstr>https://www.reuters.com/technology/italian-watchdogs-ai-staff-struggle-spotlights-global-challenge-2024-03-22/</vt:lpwstr>
      </vt:variant>
      <vt:variant>
        <vt:lpwstr/>
      </vt:variant>
      <vt:variant>
        <vt:i4>3801153</vt:i4>
      </vt:variant>
      <vt:variant>
        <vt:i4>144</vt:i4>
      </vt:variant>
      <vt:variant>
        <vt:i4>0</vt:i4>
      </vt:variant>
      <vt:variant>
        <vt:i4>5</vt:i4>
      </vt:variant>
      <vt:variant>
        <vt:lpwstr>https://www.oecd.org/content/dam/oecd/en/publications/reports/2023/04/renforcer-l-attractivite-de-la-fonction-publique-en-france_8e41214a/ab9ebe85-en.pdf?</vt:lpwstr>
      </vt:variant>
      <vt:variant>
        <vt:lpwstr/>
      </vt:variant>
      <vt:variant>
        <vt:i4>1703942</vt:i4>
      </vt:variant>
      <vt:variant>
        <vt:i4>141</vt:i4>
      </vt:variant>
      <vt:variant>
        <vt:i4>0</vt:i4>
      </vt:variant>
      <vt:variant>
        <vt:i4>5</vt:i4>
      </vt:variant>
      <vt:variant>
        <vt:lpwstr>https://ec.europa.eu/eurostat/databrowser/view/nrg_pc_205/default/table?lang=en</vt:lpwstr>
      </vt:variant>
      <vt:variant>
        <vt:lpwstr/>
      </vt:variant>
      <vt:variant>
        <vt:i4>393231</vt:i4>
      </vt:variant>
      <vt:variant>
        <vt:i4>138</vt:i4>
      </vt:variant>
      <vt:variant>
        <vt:i4>0</vt:i4>
      </vt:variant>
      <vt:variant>
        <vt:i4>5</vt:i4>
      </vt:variant>
      <vt:variant>
        <vt:lpwstr>https://www.china-briefing.com/news/chinas-industrial-power-rates-category-electricity-usage-region-classification/?</vt:lpwstr>
      </vt:variant>
      <vt:variant>
        <vt:lpwstr/>
      </vt:variant>
      <vt:variant>
        <vt:i4>6946830</vt:i4>
      </vt:variant>
      <vt:variant>
        <vt:i4>135</vt:i4>
      </vt:variant>
      <vt:variant>
        <vt:i4>0</vt:i4>
      </vt:variant>
      <vt:variant>
        <vt:i4>5</vt:i4>
      </vt:variant>
      <vt:variant>
        <vt:lpwstr>https://www.eia.gov/electricity/monthly/epm_table_grapher.php?t=epmt_5_6_a&amp;</vt:lpwstr>
      </vt:variant>
      <vt:variant>
        <vt:lpwstr/>
      </vt:variant>
      <vt:variant>
        <vt:i4>1900612</vt:i4>
      </vt:variant>
      <vt:variant>
        <vt:i4>132</vt:i4>
      </vt:variant>
      <vt:variant>
        <vt:i4>0</vt:i4>
      </vt:variant>
      <vt:variant>
        <vt:i4>5</vt:i4>
      </vt:variant>
      <vt:variant>
        <vt:lpwstr>https://infos.rtl.lu/news/luxembourg/data-center-google-au-luxembourg-comment-en-est-on-arrive-la-2183807</vt:lpwstr>
      </vt:variant>
      <vt:variant>
        <vt:lpwstr/>
      </vt:variant>
      <vt:variant>
        <vt:i4>327718</vt:i4>
      </vt:variant>
      <vt:variant>
        <vt:i4>129</vt:i4>
      </vt:variant>
      <vt:variant>
        <vt:i4>0</vt:i4>
      </vt:variant>
      <vt:variant>
        <vt:i4>5</vt:i4>
      </vt:variant>
      <vt:variant>
        <vt:lpwstr>https://delano.lu/article/delano_google-go-public-data-centre</vt:lpwstr>
      </vt:variant>
      <vt:variant>
        <vt:lpwstr/>
      </vt:variant>
      <vt:variant>
        <vt:i4>7274598</vt:i4>
      </vt:variant>
      <vt:variant>
        <vt:i4>126</vt:i4>
      </vt:variant>
      <vt:variant>
        <vt:i4>0</vt:i4>
      </vt:variant>
      <vt:variant>
        <vt:i4>5</vt:i4>
      </vt:variant>
      <vt:variant>
        <vt:lpwstr>https://www.datacenterdynamics.com/en/news/irish-high-court-overrules-planning-permission-extension-for-apples-galway-data-center/</vt:lpwstr>
      </vt:variant>
      <vt:variant>
        <vt:lpwstr/>
      </vt:variant>
      <vt:variant>
        <vt:i4>2031637</vt:i4>
      </vt:variant>
      <vt:variant>
        <vt:i4>123</vt:i4>
      </vt:variant>
      <vt:variant>
        <vt:i4>0</vt:i4>
      </vt:variant>
      <vt:variant>
        <vt:i4>5</vt:i4>
      </vt:variant>
      <vt:variant>
        <vt:lpwstr>https://www.theguardian.com/technology/2018/may/10/apple-scraps-850m-irish-data-centre-after-planning-delays-ireland</vt:lpwstr>
      </vt:variant>
      <vt:variant>
        <vt:lpwstr/>
      </vt:variant>
      <vt:variant>
        <vt:i4>7274598</vt:i4>
      </vt:variant>
      <vt:variant>
        <vt:i4>120</vt:i4>
      </vt:variant>
      <vt:variant>
        <vt:i4>0</vt:i4>
      </vt:variant>
      <vt:variant>
        <vt:i4>5</vt:i4>
      </vt:variant>
      <vt:variant>
        <vt:lpwstr>https://www.datacenterdynamics.com/en/news/irish-high-court-overrules-planning-permission-extension-for-apples-galway-data-center/</vt:lpwstr>
      </vt:variant>
      <vt:variant>
        <vt:lpwstr/>
      </vt:variant>
      <vt:variant>
        <vt:i4>8126584</vt:i4>
      </vt:variant>
      <vt:variant>
        <vt:i4>117</vt:i4>
      </vt:variant>
      <vt:variant>
        <vt:i4>0</vt:i4>
      </vt:variant>
      <vt:variant>
        <vt:i4>5</vt:i4>
      </vt:variant>
      <vt:variant>
        <vt:lpwstr>https://www.dudkowiak.com/invest-in-poland/data-centers-investments-in-poland/</vt:lpwstr>
      </vt:variant>
      <vt:variant>
        <vt:lpwstr/>
      </vt:variant>
      <vt:variant>
        <vt:i4>7602290</vt:i4>
      </vt:variant>
      <vt:variant>
        <vt:i4>114</vt:i4>
      </vt:variant>
      <vt:variant>
        <vt:i4>0</vt:i4>
      </vt:variant>
      <vt:variant>
        <vt:i4>5</vt:i4>
      </vt:variant>
      <vt:variant>
        <vt:lpwstr>https://www.haskoning.com/en/newsroom/blogs/2023/navigating-dutch-data-centre-challenges-and-opportunities</vt:lpwstr>
      </vt:variant>
      <vt:variant>
        <vt:lpwstr/>
      </vt:variant>
      <vt:variant>
        <vt:i4>786519</vt:i4>
      </vt:variant>
      <vt:variant>
        <vt:i4>111</vt:i4>
      </vt:variant>
      <vt:variant>
        <vt:i4>0</vt:i4>
      </vt:variant>
      <vt:variant>
        <vt:i4>5</vt:i4>
      </vt:variant>
      <vt:variant>
        <vt:lpwstr>https://www.wfw.com/articles/data-centres-an-international-legal-and-regulatory-perspective-spotlight-on-germany</vt:lpwstr>
      </vt:variant>
      <vt:variant>
        <vt:lpwstr/>
      </vt:variant>
      <vt:variant>
        <vt:i4>6750244</vt:i4>
      </vt:variant>
      <vt:variant>
        <vt:i4>108</vt:i4>
      </vt:variant>
      <vt:variant>
        <vt:i4>0</vt:i4>
      </vt:variant>
      <vt:variant>
        <vt:i4>5</vt:i4>
      </vt:variant>
      <vt:variant>
        <vt:lpwstr>https://nmrk.imgix.net/uploads/documents/2025-Data-Center-Site-Selection-Dynamic-Brief.pdf</vt:lpwstr>
      </vt:variant>
      <vt:variant>
        <vt:lpwstr/>
      </vt:variant>
      <vt:variant>
        <vt:i4>6684777</vt:i4>
      </vt:variant>
      <vt:variant>
        <vt:i4>105</vt:i4>
      </vt:variant>
      <vt:variant>
        <vt:i4>0</vt:i4>
      </vt:variant>
      <vt:variant>
        <vt:i4>5</vt:i4>
      </vt:variant>
      <vt:variant>
        <vt:lpwstr>https://ec.europa.eu/newsroom/repository/document/2021-18/European_CloudEdge_Technology_Investment_Roadmap_for_publication_pMdz85DSw6nqPppq8hE9S9RbB8_76223.pdf</vt:lpwstr>
      </vt:variant>
      <vt:variant>
        <vt:lpwstr/>
      </vt:variant>
      <vt:variant>
        <vt:i4>4653075</vt:i4>
      </vt:variant>
      <vt:variant>
        <vt:i4>102</vt:i4>
      </vt:variant>
      <vt:variant>
        <vt:i4>0</vt:i4>
      </vt:variant>
      <vt:variant>
        <vt:i4>5</vt:i4>
      </vt:variant>
      <vt:variant>
        <vt:lpwstr>https://www.appsruntheworld.com/customers-database/products/view/aruba-cloud</vt:lpwstr>
      </vt:variant>
      <vt:variant>
        <vt:lpwstr/>
      </vt:variant>
      <vt:variant>
        <vt:i4>7077934</vt:i4>
      </vt:variant>
      <vt:variant>
        <vt:i4>99</vt:i4>
      </vt:variant>
      <vt:variant>
        <vt:i4>0</vt:i4>
      </vt:variant>
      <vt:variant>
        <vt:i4>5</vt:i4>
      </vt:variant>
      <vt:variant>
        <vt:lpwstr>https://www.civo.com/blog/blog-cloud-broken-purpose-in-cloud-computing?</vt:lpwstr>
      </vt:variant>
      <vt:variant>
        <vt:lpwstr/>
      </vt:variant>
      <vt:variant>
        <vt:i4>4587595</vt:i4>
      </vt:variant>
      <vt:variant>
        <vt:i4>96</vt:i4>
      </vt:variant>
      <vt:variant>
        <vt:i4>0</vt:i4>
      </vt:variant>
      <vt:variant>
        <vt:i4>5</vt:i4>
      </vt:variant>
      <vt:variant>
        <vt:lpwstr>https://ec.europa.eu/eurostat/web/products-eurostat-news/w/ddn-20260203-1</vt:lpwstr>
      </vt:variant>
      <vt:variant>
        <vt:lpwstr/>
      </vt:variant>
      <vt:variant>
        <vt:i4>17</vt:i4>
      </vt:variant>
      <vt:variant>
        <vt:i4>93</vt:i4>
      </vt:variant>
      <vt:variant>
        <vt:i4>0</vt:i4>
      </vt:variant>
      <vt:variant>
        <vt:i4>5</vt:i4>
      </vt:variant>
      <vt:variant>
        <vt:lpwstr>https://www.scitepress.org/Link.aspx?doi=10.5220/0006285003840391</vt:lpwstr>
      </vt:variant>
      <vt:variant>
        <vt:lpwstr/>
      </vt:variant>
      <vt:variant>
        <vt:i4>1048626</vt:i4>
      </vt:variant>
      <vt:variant>
        <vt:i4>90</vt:i4>
      </vt:variant>
      <vt:variant>
        <vt:i4>0</vt:i4>
      </vt:variant>
      <vt:variant>
        <vt:i4>5</vt:i4>
      </vt:variant>
      <vt:variant>
        <vt:lpwstr>https://www.gartner.com/en/information-technology/glossary/cloud-services-brokerage-csb?utm_source=chatgpt.com</vt:lpwstr>
      </vt:variant>
      <vt:variant>
        <vt:lpwstr/>
      </vt:variant>
      <vt:variant>
        <vt:i4>3604533</vt:i4>
      </vt:variant>
      <vt:variant>
        <vt:i4>87</vt:i4>
      </vt:variant>
      <vt:variant>
        <vt:i4>0</vt:i4>
      </vt:variant>
      <vt:variant>
        <vt:i4>5</vt:i4>
      </vt:variant>
      <vt:variant>
        <vt:lpwstr>https://www.ofcom.org.uk/siteassets/resources/documents/consultations/category-3-4-weeks/244808-cloud-services-market-study/associated-documents/cloud-services-market-study-final-report.pdf?v=330228</vt:lpwstr>
      </vt:variant>
      <vt:variant>
        <vt:lpwstr/>
      </vt:variant>
      <vt:variant>
        <vt:i4>3342336</vt:i4>
      </vt:variant>
      <vt:variant>
        <vt:i4>84</vt:i4>
      </vt:variant>
      <vt:variant>
        <vt:i4>0</vt:i4>
      </vt:variant>
      <vt:variant>
        <vt:i4>5</vt:i4>
      </vt:variant>
      <vt:variant>
        <vt:lpwstr>https://cerre.eu/wp-content/uploads/2024/02/REPORT.CERRE_.FEB24.CLOUDS.pdf</vt:lpwstr>
      </vt:variant>
      <vt:variant>
        <vt:lpwstr/>
      </vt:variant>
      <vt:variant>
        <vt:i4>7536700</vt:i4>
      </vt:variant>
      <vt:variant>
        <vt:i4>81</vt:i4>
      </vt:variant>
      <vt:variant>
        <vt:i4>0</vt:i4>
      </vt:variant>
      <vt:variant>
        <vt:i4>5</vt:i4>
      </vt:variant>
      <vt:variant>
        <vt:lpwstr>https://www.autoritedelaconcurrence.fr/fr/avis/portant-sur-le-fonctionnement-concurrentiel-de-linformatique-en-nuage-cloud</vt:lpwstr>
      </vt:variant>
      <vt:variant>
        <vt:lpwstr/>
      </vt:variant>
      <vt:variant>
        <vt:i4>7209025</vt:i4>
      </vt:variant>
      <vt:variant>
        <vt:i4>78</vt:i4>
      </vt:variant>
      <vt:variant>
        <vt:i4>0</vt:i4>
      </vt:variant>
      <vt:variant>
        <vt:i4>5</vt:i4>
      </vt:variant>
      <vt:variant>
        <vt:lpwstr>https://www.oecd.org/content/dam/oecd/en/publications/reports/2025/05/competition-in-the-provision-of-cloud-computing-services_f42582ad/595859c5-en.pdf</vt:lpwstr>
      </vt:variant>
      <vt:variant>
        <vt:lpwstr/>
      </vt:variant>
      <vt:variant>
        <vt:i4>3604533</vt:i4>
      </vt:variant>
      <vt:variant>
        <vt:i4>75</vt:i4>
      </vt:variant>
      <vt:variant>
        <vt:i4>0</vt:i4>
      </vt:variant>
      <vt:variant>
        <vt:i4>5</vt:i4>
      </vt:variant>
      <vt:variant>
        <vt:lpwstr>https://www.ofcom.org.uk/siteassets/resources/documents/consultations/category-3-4-weeks/244808-cloud-services-market-study/associated-documents/cloud-services-market-study-final-report.pdf?v=330228</vt:lpwstr>
      </vt:variant>
      <vt:variant>
        <vt:lpwstr/>
      </vt:variant>
      <vt:variant>
        <vt:i4>7798899</vt:i4>
      </vt:variant>
      <vt:variant>
        <vt:i4>72</vt:i4>
      </vt:variant>
      <vt:variant>
        <vt:i4>0</vt:i4>
      </vt:variant>
      <vt:variant>
        <vt:i4>5</vt:i4>
      </vt:variant>
      <vt:variant>
        <vt:lpwstr>https://aws.amazon.com/certification/?</vt:lpwstr>
      </vt:variant>
      <vt:variant>
        <vt:lpwstr/>
      </vt:variant>
      <vt:variant>
        <vt:i4>3407915</vt:i4>
      </vt:variant>
      <vt:variant>
        <vt:i4>69</vt:i4>
      </vt:variant>
      <vt:variant>
        <vt:i4>0</vt:i4>
      </vt:variant>
      <vt:variant>
        <vt:i4>5</vt:i4>
      </vt:variant>
      <vt:variant>
        <vt:lpwstr>https://digital-skills-jobs.europa.eu/en/latest/news/free-eu-certified-cloud-gen-ai-courses-sme-employees-and-jobseekers-now-open-enrolment</vt:lpwstr>
      </vt:variant>
      <vt:variant>
        <vt:lpwstr/>
      </vt:variant>
      <vt:variant>
        <vt:i4>8323177</vt:i4>
      </vt:variant>
      <vt:variant>
        <vt:i4>66</vt:i4>
      </vt:variant>
      <vt:variant>
        <vt:i4>0</vt:i4>
      </vt:variant>
      <vt:variant>
        <vt:i4>5</vt:i4>
      </vt:variant>
      <vt:variant>
        <vt:lpwstr>https://www.google.com/url?sa=i&amp;source=web&amp;rct=j&amp;url=https://www.aboutamazon.com/news/workplace/amazon-to-help-29-million-people-around-the-world-grow-their-tech-skills-with-free-cloud-computing-skills-training-by-2025%23:~:text%3DBelow%2520are%2520just%2520a%2520few,and%2520new%2520ways%2520to%2520learn.&amp;ved=2ahUKEwjAzbnanKuSAxXNhP0HHdP-AjIQqYcPegQIChAJ&amp;opi=89978449&amp;cd&amp;psig=AOvVaw355Wur0m-CeGBSCvGDrg_q&amp;ust=1769586272094000</vt:lpwstr>
      </vt:variant>
      <vt:variant>
        <vt:lpwstr/>
      </vt:variant>
      <vt:variant>
        <vt:i4>7405591</vt:i4>
      </vt:variant>
      <vt:variant>
        <vt:i4>63</vt:i4>
      </vt:variant>
      <vt:variant>
        <vt:i4>0</vt:i4>
      </vt:variant>
      <vt:variant>
        <vt:i4>5</vt:i4>
      </vt:variant>
      <vt:variant>
        <vt:lpwstr>https://www.google.com/url?sa=i&amp;source=web&amp;rct=j&amp;url=https://cloud.google.com/blog/topics/training-certifications/expanding-at-home-learning&amp;ved=2ahUKEwjAzbnanKuSAxXNhP0HHdP-AjIQqYcPegQIChAF&amp;opi=89978449&amp;cd&amp;psig=AOvVaw355Wur0m-CeGBSCvGDrg_q&amp;ust=1769586272094000</vt:lpwstr>
      </vt:variant>
      <vt:variant>
        <vt:lpwstr/>
      </vt:variant>
      <vt:variant>
        <vt:i4>4849732</vt:i4>
      </vt:variant>
      <vt:variant>
        <vt:i4>60</vt:i4>
      </vt:variant>
      <vt:variant>
        <vt:i4>0</vt:i4>
      </vt:variant>
      <vt:variant>
        <vt:i4>5</vt:i4>
      </vt:variant>
      <vt:variant>
        <vt:lpwstr>https://news.broadcom.com/cloud/how-digital-sovereignty-is-influencing-cloud-solution-choice</vt:lpwstr>
      </vt:variant>
      <vt:variant>
        <vt:lpwstr/>
      </vt:variant>
      <vt:variant>
        <vt:i4>6422634</vt:i4>
      </vt:variant>
      <vt:variant>
        <vt:i4>57</vt:i4>
      </vt:variant>
      <vt:variant>
        <vt:i4>0</vt:i4>
      </vt:variant>
      <vt:variant>
        <vt:i4>5</vt:i4>
      </vt:variant>
      <vt:variant>
        <vt:lpwstr>https://presse.economie.gouv.fr/souverainete-numerique-letat-generalise-visio-sa-solution-de-visioconference-securisee-et-souveraine-a-destination-des-agents-publics/</vt:lpwstr>
      </vt:variant>
      <vt:variant>
        <vt:lpwstr/>
      </vt:variant>
      <vt:variant>
        <vt:i4>6160459</vt:i4>
      </vt:variant>
      <vt:variant>
        <vt:i4>54</vt:i4>
      </vt:variant>
      <vt:variant>
        <vt:i4>0</vt:i4>
      </vt:variant>
      <vt:variant>
        <vt:i4>5</vt:i4>
      </vt:variant>
      <vt:variant>
        <vt:lpwstr>https://www.datacenterdynamics.com/en/news/finlands-ministry-of-justice-delays-plans-for-cloud-migration/</vt:lpwstr>
      </vt:variant>
      <vt:variant>
        <vt:lpwstr/>
      </vt:variant>
      <vt:variant>
        <vt:i4>3997822</vt:i4>
      </vt:variant>
      <vt:variant>
        <vt:i4>51</vt:i4>
      </vt:variant>
      <vt:variant>
        <vt:i4>0</vt:i4>
      </vt:variant>
      <vt:variant>
        <vt:i4>5</vt:i4>
      </vt:variant>
      <vt:variant>
        <vt:lpwstr>https://www.impots.gouv.fr/facturation-electronique-et-plateformes-partenaires</vt:lpwstr>
      </vt:variant>
      <vt:variant>
        <vt:lpwstr/>
      </vt:variant>
      <vt:variant>
        <vt:i4>3932280</vt:i4>
      </vt:variant>
      <vt:variant>
        <vt:i4>48</vt:i4>
      </vt:variant>
      <vt:variant>
        <vt:i4>0</vt:i4>
      </vt:variant>
      <vt:variant>
        <vt:i4>5</vt:i4>
      </vt:variant>
      <vt:variant>
        <vt:lpwstr>https://leitmotiv.digital/publications/breaking-the-cloud-monopoly</vt:lpwstr>
      </vt:variant>
      <vt:variant>
        <vt:lpwstr/>
      </vt:variant>
      <vt:variant>
        <vt:i4>1245299</vt:i4>
      </vt:variant>
      <vt:variant>
        <vt:i4>45</vt:i4>
      </vt:variant>
      <vt:variant>
        <vt:i4>0</vt:i4>
      </vt:variant>
      <vt:variant>
        <vt:i4>5</vt:i4>
      </vt:variant>
      <vt:variant>
        <vt:lpwstr>https://www.concur.com/blog/article/sap-retains-1-2023-market-share-in-travel-and-expense-management-software?&amp;cookie_preferences=gdpr</vt:lpwstr>
      </vt:variant>
      <vt:variant>
        <vt:lpwstr/>
      </vt:variant>
      <vt:variant>
        <vt:i4>4390981</vt:i4>
      </vt:variant>
      <vt:variant>
        <vt:i4>42</vt:i4>
      </vt:variant>
      <vt:variant>
        <vt:i4>0</vt:i4>
      </vt:variant>
      <vt:variant>
        <vt:i4>5</vt:i4>
      </vt:variant>
      <vt:variant>
        <vt:lpwstr>https://learn.microsoft.com/en-us/azure/networking/azure-network-latency?tabs=Europe%2CWesternEurope</vt:lpwstr>
      </vt:variant>
      <vt:variant>
        <vt:lpwstr/>
      </vt:variant>
      <vt:variant>
        <vt:i4>7471152</vt:i4>
      </vt:variant>
      <vt:variant>
        <vt:i4>39</vt:i4>
      </vt:variant>
      <vt:variant>
        <vt:i4>0</vt:i4>
      </vt:variant>
      <vt:variant>
        <vt:i4>5</vt:i4>
      </vt:variant>
      <vt:variant>
        <vt:lpwstr>https://www.rte.ie/news/primetime/2025/0821/1529518-govt-warned-of-rising-household-bills-as-data-centres-strain-grid/</vt:lpwstr>
      </vt:variant>
      <vt:variant>
        <vt:lpwstr/>
      </vt:variant>
      <vt:variant>
        <vt:i4>6488184</vt:i4>
      </vt:variant>
      <vt:variant>
        <vt:i4>36</vt:i4>
      </vt:variant>
      <vt:variant>
        <vt:i4>0</vt:i4>
      </vt:variant>
      <vt:variant>
        <vt:i4>5</vt:i4>
      </vt:variant>
      <vt:variant>
        <vt:lpwstr>https://www.jll.com/en-uk/insights/emea-data-centre-report</vt:lpwstr>
      </vt:variant>
      <vt:variant>
        <vt:lpwstr/>
      </vt:variant>
      <vt:variant>
        <vt:i4>2162793</vt:i4>
      </vt:variant>
      <vt:variant>
        <vt:i4>33</vt:i4>
      </vt:variant>
      <vt:variant>
        <vt:i4>0</vt:i4>
      </vt:variant>
      <vt:variant>
        <vt:i4>5</vt:i4>
      </vt:variant>
      <vt:variant>
        <vt:lpwstr>https://ec.europa.eu/eurostat/databrowser/view/isoc_cicce_use/default/table?lang=en&amp;category=isoc.isoc_e.isoc_eb</vt:lpwstr>
      </vt:variant>
      <vt:variant>
        <vt:lpwstr/>
      </vt:variant>
      <vt:variant>
        <vt:i4>8192100</vt:i4>
      </vt:variant>
      <vt:variant>
        <vt:i4>30</vt:i4>
      </vt:variant>
      <vt:variant>
        <vt:i4>0</vt:i4>
      </vt:variant>
      <vt:variant>
        <vt:i4>5</vt:i4>
      </vt:variant>
      <vt:variant>
        <vt:lpwstr>https://ec.europa.eu/commission/presscorner/detail/en/ip_24_3446</vt:lpwstr>
      </vt:variant>
      <vt:variant>
        <vt:lpwstr/>
      </vt:variant>
      <vt:variant>
        <vt:i4>6357099</vt:i4>
      </vt:variant>
      <vt:variant>
        <vt:i4>24</vt:i4>
      </vt:variant>
      <vt:variant>
        <vt:i4>0</vt:i4>
      </vt:variant>
      <vt:variant>
        <vt:i4>5</vt:i4>
      </vt:variant>
      <vt:variant>
        <vt:lpwstr>https://english.rekenkamer.nl/publications/reports/2025/01/15/dutch-central-government-in-the-cloud</vt:lpwstr>
      </vt:variant>
      <vt:variant>
        <vt:lpwstr/>
      </vt:variant>
      <vt:variant>
        <vt:i4>2162742</vt:i4>
      </vt:variant>
      <vt:variant>
        <vt:i4>21</vt:i4>
      </vt:variant>
      <vt:variant>
        <vt:i4>0</vt:i4>
      </vt:variant>
      <vt:variant>
        <vt:i4>5</vt:i4>
      </vt:variant>
      <vt:variant>
        <vt:lpwstr>https://www.intereconomics.eu/contents/year/2025/number/2/article/big-tech-and-the-us-digital-military-industrial-complex.html</vt:lpwstr>
      </vt:variant>
      <vt:variant>
        <vt:lpwstr/>
      </vt:variant>
      <vt:variant>
        <vt:i4>5439559</vt:i4>
      </vt:variant>
      <vt:variant>
        <vt:i4>18</vt:i4>
      </vt:variant>
      <vt:variant>
        <vt:i4>0</vt:i4>
      </vt:variant>
      <vt:variant>
        <vt:i4>5</vt:i4>
      </vt:variant>
      <vt:variant>
        <vt:lpwstr>https://www.washingtontechnology.com/2020/10/general-dynamics-again-wins-dods-cloud-email-collaboration-contract/354970/</vt:lpwstr>
      </vt:variant>
      <vt:variant>
        <vt:lpwstr/>
      </vt:variant>
      <vt:variant>
        <vt:i4>6881378</vt:i4>
      </vt:variant>
      <vt:variant>
        <vt:i4>15</vt:i4>
      </vt:variant>
      <vt:variant>
        <vt:i4>0</vt:i4>
      </vt:variant>
      <vt:variant>
        <vt:i4>5</vt:i4>
      </vt:variant>
      <vt:variant>
        <vt:lpwstr>https://www.datacenterdynamics.com/en/news/darpa-plans-shift-aws-and-prem-multicloud-2022/</vt:lpwstr>
      </vt:variant>
      <vt:variant>
        <vt:lpwstr/>
      </vt:variant>
      <vt:variant>
        <vt:i4>4849671</vt:i4>
      </vt:variant>
      <vt:variant>
        <vt:i4>12</vt:i4>
      </vt:variant>
      <vt:variant>
        <vt:i4>0</vt:i4>
      </vt:variant>
      <vt:variant>
        <vt:i4>5</vt:i4>
      </vt:variant>
      <vt:variant>
        <vt:lpwstr>https://www.juniper.net/content/dam/www/assets/case-studies/us/en/plusserver.pdf</vt:lpwstr>
      </vt:variant>
      <vt:variant>
        <vt:lpwstr/>
      </vt:variant>
      <vt:variant>
        <vt:i4>5111894</vt:i4>
      </vt:variant>
      <vt:variant>
        <vt:i4>9</vt:i4>
      </vt:variant>
      <vt:variant>
        <vt:i4>0</vt:i4>
      </vt:variant>
      <vt:variant>
        <vt:i4>5</vt:i4>
      </vt:variant>
      <vt:variant>
        <vt:lpwstr>https://www.microsoft.com/en-us/investor/earnings/fy-2023-q4/productivity-and-business-processes-performance</vt:lpwstr>
      </vt:variant>
      <vt:variant>
        <vt:lpwstr/>
      </vt:variant>
      <vt:variant>
        <vt:i4>2424947</vt:i4>
      </vt:variant>
      <vt:variant>
        <vt:i4>6</vt:i4>
      </vt:variant>
      <vt:variant>
        <vt:i4>0</vt:i4>
      </vt:variant>
      <vt:variant>
        <vt:i4>5</vt:i4>
      </vt:variant>
      <vt:variant>
        <vt:lpwstr>https://office365itpros.com/2022/04/28/office-365-number-of-users/</vt:lpwstr>
      </vt:variant>
      <vt:variant>
        <vt:lpwstr/>
      </vt:variant>
      <vt:variant>
        <vt:i4>52</vt:i4>
      </vt:variant>
      <vt:variant>
        <vt:i4>3</vt:i4>
      </vt:variant>
      <vt:variant>
        <vt:i4>0</vt:i4>
      </vt:variant>
      <vt:variant>
        <vt:i4>5</vt:i4>
      </vt:variant>
      <vt:variant>
        <vt:lpwstr>https://eur-lex.europa.eu/legal-content/EN/TXT/?uri=uriserv%3AOJ.L_.2022.265.01.0001.01.ENG&amp;toc=OJ%3AL%3A2022%3A265%3ATOC</vt:lpwstr>
      </vt:variant>
      <vt:variant>
        <vt:lpwstr/>
      </vt:variant>
      <vt:variant>
        <vt:i4>7798899</vt:i4>
      </vt:variant>
      <vt:variant>
        <vt:i4>0</vt:i4>
      </vt:variant>
      <vt:variant>
        <vt:i4>0</vt:i4>
      </vt:variant>
      <vt:variant>
        <vt:i4>5</vt:i4>
      </vt:variant>
      <vt:variant>
        <vt:lpwstr>https://eur-lex.europa.eu/legal-content/EN/TXT/?uri=celex%3A32014L0052</vt:lpwstr>
      </vt:variant>
      <vt:variant>
        <vt:lpwstr/>
      </vt:variant>
      <vt:variant>
        <vt:i4>3604497</vt:i4>
      </vt:variant>
      <vt:variant>
        <vt:i4>650</vt:i4>
      </vt:variant>
      <vt:variant>
        <vt:i4>0</vt:i4>
      </vt:variant>
      <vt:variant>
        <vt:i4>5</vt:i4>
      </vt:variant>
      <vt:variant>
        <vt:lpwstr>https://www.riksrevisionen.se/download/18.2008b69c18bd0f6ed3f31203/1671028380348/RiR_2022_18_summary.pdf</vt:lpwstr>
      </vt:variant>
      <vt:variant>
        <vt:lpwstr/>
      </vt:variant>
      <vt:variant>
        <vt:i4>4653122</vt:i4>
      </vt:variant>
      <vt:variant>
        <vt:i4>647</vt:i4>
      </vt:variant>
      <vt:variant>
        <vt:i4>0</vt:i4>
      </vt:variant>
      <vt:variant>
        <vt:i4>5</vt:i4>
      </vt:variant>
      <vt:variant>
        <vt:lpwstr>https://www.se.com/ww/en/download/document/SPD_WP99_EN/</vt:lpwstr>
      </vt:variant>
      <vt:variant>
        <vt:lpwstr/>
      </vt:variant>
      <vt:variant>
        <vt:i4>3145772</vt:i4>
      </vt:variant>
      <vt:variant>
        <vt:i4>644</vt:i4>
      </vt:variant>
      <vt:variant>
        <vt:i4>0</vt:i4>
      </vt:variant>
      <vt:variant>
        <vt:i4>5</vt:i4>
      </vt:variant>
      <vt:variant>
        <vt:lpwstr>https://www.nature.com/articles/s41586-025-08832-3</vt:lpwstr>
      </vt:variant>
      <vt:variant>
        <vt:lpwstr/>
      </vt:variant>
      <vt:variant>
        <vt:i4>5832720</vt:i4>
      </vt:variant>
      <vt:variant>
        <vt:i4>641</vt:i4>
      </vt:variant>
      <vt:variant>
        <vt:i4>0</vt:i4>
      </vt:variant>
      <vt:variant>
        <vt:i4>5</vt:i4>
      </vt:variant>
      <vt:variant>
        <vt:lpwstr>https://www.arup.com/globalassets/downloads/insights/c/circular-thinking-for-data-centres/arup-circular-thinking-for-data-centres.pdf</vt:lpwstr>
      </vt:variant>
      <vt:variant>
        <vt:lpwstr/>
      </vt:variant>
      <vt:variant>
        <vt:i4>6750322</vt:i4>
      </vt:variant>
      <vt:variant>
        <vt:i4>638</vt:i4>
      </vt:variant>
      <vt:variant>
        <vt:i4>0</vt:i4>
      </vt:variant>
      <vt:variant>
        <vt:i4>5</vt:i4>
      </vt:variant>
      <vt:variant>
        <vt:lpwstr>https://www.eea.europa.eu/en/analysis/indicators/water-abstraction-by-source-and/water-abstraction-by-economic</vt:lpwstr>
      </vt:variant>
      <vt:variant>
        <vt:lpwstr/>
      </vt:variant>
      <vt:variant>
        <vt:i4>917578</vt:i4>
      </vt:variant>
      <vt:variant>
        <vt:i4>635</vt:i4>
      </vt:variant>
      <vt:variant>
        <vt:i4>0</vt:i4>
      </vt:variant>
      <vt:variant>
        <vt:i4>5</vt:i4>
      </vt:variant>
      <vt:variant>
        <vt:lpwstr>https://www.iea.org/reports/energy-and-ai</vt:lpwstr>
      </vt:variant>
      <vt:variant>
        <vt:lpwstr/>
      </vt:variant>
      <vt:variant>
        <vt:i4>1704008</vt:i4>
      </vt:variant>
      <vt:variant>
        <vt:i4>632</vt:i4>
      </vt:variant>
      <vt:variant>
        <vt:i4>0</vt:i4>
      </vt:variant>
      <vt:variant>
        <vt:i4>5</vt:i4>
      </vt:variant>
      <vt:variant>
        <vt:lpwstr>https://www.iea.org/commentaries/overcoming-energy-constraints-is-key-to-delivering-on-europe-s-data-centre-goals</vt:lpwstr>
      </vt:variant>
      <vt:variant>
        <vt:lpwstr/>
      </vt:variant>
      <vt:variant>
        <vt:i4>5242972</vt:i4>
      </vt:variant>
      <vt:variant>
        <vt:i4>629</vt:i4>
      </vt:variant>
      <vt:variant>
        <vt:i4>0</vt:i4>
      </vt:variant>
      <vt:variant>
        <vt:i4>5</vt:i4>
      </vt:variant>
      <vt:variant>
        <vt:lpwstr>https://theshiftproject.org/app/uploads/2025/11/RF-IA-UK.pdf</vt:lpwstr>
      </vt:variant>
      <vt:variant>
        <vt:lpwstr/>
      </vt:variant>
      <vt:variant>
        <vt:i4>7340150</vt:i4>
      </vt:variant>
      <vt:variant>
        <vt:i4>626</vt:i4>
      </vt:variant>
      <vt:variant>
        <vt:i4>0</vt:i4>
      </vt:variant>
      <vt:variant>
        <vt:i4>5</vt:i4>
      </vt:variant>
      <vt:variant>
        <vt:lpwstr>https://theshiftproject.org/en/publications/al-data-and-computing-shaping-infrastructures-for-a-decarbonised-world/</vt:lpwstr>
      </vt:variant>
      <vt:variant>
        <vt:lpwstr/>
      </vt:variant>
      <vt:variant>
        <vt:i4>3473534</vt:i4>
      </vt:variant>
      <vt:variant>
        <vt:i4>623</vt:i4>
      </vt:variant>
      <vt:variant>
        <vt:i4>0</vt:i4>
      </vt:variant>
      <vt:variant>
        <vt:i4>5</vt:i4>
      </vt:variant>
      <vt:variant>
        <vt:lpwstr>https://www.iea-4e.org/wp-content/uploads/2024/02/Policy-development-on-energy-efficiency-of-data-centres-draft-final-report-v1.05.pdf</vt:lpwstr>
      </vt:variant>
      <vt:variant>
        <vt:lpwstr/>
      </vt:variant>
      <vt:variant>
        <vt:i4>3145846</vt:i4>
      </vt:variant>
      <vt:variant>
        <vt:i4>620</vt:i4>
      </vt:variant>
      <vt:variant>
        <vt:i4>0</vt:i4>
      </vt:variant>
      <vt:variant>
        <vt:i4>5</vt:i4>
      </vt:variant>
      <vt:variant>
        <vt:lpwstr>https://www.eea.europa.eu/en/analysis/indicators/greenhouse-gas-emission-intensity-of-1</vt:lpwstr>
      </vt:variant>
      <vt:variant>
        <vt:lpwstr/>
      </vt:variant>
      <vt:variant>
        <vt:i4>393288</vt:i4>
      </vt:variant>
      <vt:variant>
        <vt:i4>617</vt:i4>
      </vt:variant>
      <vt:variant>
        <vt:i4>0</vt:i4>
      </vt:variant>
      <vt:variant>
        <vt:i4>5</vt:i4>
      </vt:variant>
      <vt:variant>
        <vt:lpwstr>https://help.openai.com/en/articles/8959649-eu-digital-services-act-dsa?</vt:lpwstr>
      </vt:variant>
      <vt:variant>
        <vt:lpwstr/>
      </vt:variant>
      <vt:variant>
        <vt:i4>3670118</vt:i4>
      </vt:variant>
      <vt:variant>
        <vt:i4>614</vt:i4>
      </vt:variant>
      <vt:variant>
        <vt:i4>0</vt:i4>
      </vt:variant>
      <vt:variant>
        <vt:i4>5</vt:i4>
      </vt:variant>
      <vt:variant>
        <vt:lpwstr>https://ec.europa.eu/eurostat/databrowser/view/isoc_ci_mvis/default/table?lang=en</vt:lpwstr>
      </vt:variant>
      <vt:variant>
        <vt:lpwstr/>
      </vt:variant>
      <vt:variant>
        <vt:i4>4390959</vt:i4>
      </vt:variant>
      <vt:variant>
        <vt:i4>611</vt:i4>
      </vt:variant>
      <vt:variant>
        <vt:i4>0</vt:i4>
      </vt:variant>
      <vt:variant>
        <vt:i4>5</vt:i4>
      </vt:variant>
      <vt:variant>
        <vt:lpwstr>https://ec.europa.eu/eurostat/databrowser/view/isoc_ci_ifp_fu/default/table?lang=en</vt:lpwstr>
      </vt:variant>
      <vt:variant>
        <vt:lpwstr/>
      </vt:variant>
      <vt:variant>
        <vt:i4>7602200</vt:i4>
      </vt:variant>
      <vt:variant>
        <vt:i4>608</vt:i4>
      </vt:variant>
      <vt:variant>
        <vt:i4>0</vt:i4>
      </vt:variant>
      <vt:variant>
        <vt:i4>5</vt:i4>
      </vt:variant>
      <vt:variant>
        <vt:lpwstr>https://ec.europa.eu/eurostat/databrowser/view/isoc_ciegi_ac__custom_12864737/bookmark/table?lang=en&amp;bookmarkId=aabac391-675b-4634-806e-f508c7d4e27c</vt:lpwstr>
      </vt:variant>
      <vt:variant>
        <vt:lpwstr/>
      </vt:variant>
      <vt:variant>
        <vt:i4>5439505</vt:i4>
      </vt:variant>
      <vt:variant>
        <vt:i4>605</vt:i4>
      </vt:variant>
      <vt:variant>
        <vt:i4>0</vt:i4>
      </vt:variant>
      <vt:variant>
        <vt:i4>5</vt:i4>
      </vt:variant>
      <vt:variant>
        <vt:lpwstr>https://algorithmwatch.org/en/infrastructure-intrusion-conflict-data-center/</vt:lpwstr>
      </vt:variant>
      <vt:variant>
        <vt:lpwstr/>
      </vt:variant>
      <vt:variant>
        <vt:i4>7340128</vt:i4>
      </vt:variant>
      <vt:variant>
        <vt:i4>602</vt:i4>
      </vt:variant>
      <vt:variant>
        <vt:i4>0</vt:i4>
      </vt:variant>
      <vt:variant>
        <vt:i4>5</vt:i4>
      </vt:variant>
      <vt:variant>
        <vt:lpwstr>https://www.ilo.org/sites/default/files/wcmsp5/groups/public/%40ed_emp/documents/publication/wcms_854353.pdf?</vt:lpwstr>
      </vt:variant>
      <vt:variant>
        <vt:lpwstr/>
      </vt:variant>
      <vt:variant>
        <vt:i4>4325403</vt:i4>
      </vt:variant>
      <vt:variant>
        <vt:i4>599</vt:i4>
      </vt:variant>
      <vt:variant>
        <vt:i4>0</vt:i4>
      </vt:variant>
      <vt:variant>
        <vt:i4>5</vt:i4>
      </vt:variant>
      <vt:variant>
        <vt:lpwstr>https://www.robert-schuman.eu/en/european-issues/728-artificial-intelligence-europe-needs-to-start-dreaming-again</vt:lpwstr>
      </vt:variant>
      <vt:variant>
        <vt:lpwstr/>
      </vt:variant>
      <vt:variant>
        <vt:i4>5243001</vt:i4>
      </vt:variant>
      <vt:variant>
        <vt:i4>596</vt:i4>
      </vt:variant>
      <vt:variant>
        <vt:i4>0</vt:i4>
      </vt:variant>
      <vt:variant>
        <vt:i4>5</vt:i4>
      </vt:variant>
      <vt:variant>
        <vt:lpwstr>https://link.springer.com/chapter/10.1007/978-3-030-29193-8_10</vt:lpwstr>
      </vt:variant>
      <vt:variant>
        <vt:lpwstr/>
      </vt:variant>
      <vt:variant>
        <vt:i4>7798821</vt:i4>
      </vt:variant>
      <vt:variant>
        <vt:i4>593</vt:i4>
      </vt:variant>
      <vt:variant>
        <vt:i4>0</vt:i4>
      </vt:variant>
      <vt:variant>
        <vt:i4>5</vt:i4>
      </vt:variant>
      <vt:variant>
        <vt:lpwstr>https://www.mckinsey.com/industries/technology-media-and-telecommunications/our-insights/accelerating-europes-ai-adoption-the-role-of-sovereign-ai</vt:lpwstr>
      </vt:variant>
      <vt:variant>
        <vt:lpwstr/>
      </vt:variant>
      <vt:variant>
        <vt:i4>5832729</vt:i4>
      </vt:variant>
      <vt:variant>
        <vt:i4>590</vt:i4>
      </vt:variant>
      <vt:variant>
        <vt:i4>0</vt:i4>
      </vt:variant>
      <vt:variant>
        <vt:i4>5</vt:i4>
      </vt:variant>
      <vt:variant>
        <vt:lpwstr>https://edition.cnn.com/2024/07/24/tech/crowdstrike-outage-cost-cause/index.html</vt:lpwstr>
      </vt:variant>
      <vt:variant>
        <vt:lpwstr/>
      </vt:variant>
      <vt:variant>
        <vt:i4>1638419</vt:i4>
      </vt:variant>
      <vt:variant>
        <vt:i4>587</vt:i4>
      </vt:variant>
      <vt:variant>
        <vt:i4>0</vt:i4>
      </vt:variant>
      <vt:variant>
        <vt:i4>5</vt:i4>
      </vt:variant>
      <vt:variant>
        <vt:lpwstr>https://reports.weforum.org/docs/WEF_Global_Cybersecurity_Outlook_2025.pdf</vt:lpwstr>
      </vt:variant>
      <vt:variant>
        <vt:lpwstr/>
      </vt:variant>
      <vt:variant>
        <vt:i4>7274535</vt:i4>
      </vt:variant>
      <vt:variant>
        <vt:i4>584</vt:i4>
      </vt:variant>
      <vt:variant>
        <vt:i4>0</vt:i4>
      </vt:variant>
      <vt:variant>
        <vt:i4>5</vt:i4>
      </vt:variant>
      <vt:variant>
        <vt:lpwstr>https://www.cnbc.com/2025/10/20/amazon-web-services-outage-takes-down-major-websites.html?msockid=1d492e73588e6e22338e396759c66fc5</vt:lpwstr>
      </vt:variant>
      <vt:variant>
        <vt:lpwstr/>
      </vt:variant>
      <vt:variant>
        <vt:i4>1966110</vt:i4>
      </vt:variant>
      <vt:variant>
        <vt:i4>581</vt:i4>
      </vt:variant>
      <vt:variant>
        <vt:i4>0</vt:i4>
      </vt:variant>
      <vt:variant>
        <vt:i4>5</vt:i4>
      </vt:variant>
      <vt:variant>
        <vt:lpwstr>https://assets.bii.co.uk/wp-content/uploads/2024/12/02102216/How-does-access-to-a-local-data-centre-affect-business-productivity.pdf</vt:lpwstr>
      </vt:variant>
      <vt:variant>
        <vt:lpwstr/>
      </vt:variant>
      <vt:variant>
        <vt:i4>7536673</vt:i4>
      </vt:variant>
      <vt:variant>
        <vt:i4>578</vt:i4>
      </vt:variant>
      <vt:variant>
        <vt:i4>0</vt:i4>
      </vt:variant>
      <vt:variant>
        <vt:i4>5</vt:i4>
      </vt:variant>
      <vt:variant>
        <vt:lpwstr>https://doi.org/10.1787/595859c5-en</vt:lpwstr>
      </vt:variant>
      <vt:variant>
        <vt:lpwstr/>
      </vt:variant>
      <vt:variant>
        <vt:i4>1376270</vt:i4>
      </vt:variant>
      <vt:variant>
        <vt:i4>575</vt:i4>
      </vt:variant>
      <vt:variant>
        <vt:i4>0</vt:i4>
      </vt:variant>
      <vt:variant>
        <vt:i4>5</vt:i4>
      </vt:variant>
      <vt:variant>
        <vt:lpwstr>https://ecrof25.fdiintelligence.com/</vt:lpwstr>
      </vt:variant>
      <vt:variant>
        <vt:lpwstr/>
      </vt:variant>
      <vt:variant>
        <vt:i4>6750244</vt:i4>
      </vt:variant>
      <vt:variant>
        <vt:i4>572</vt:i4>
      </vt:variant>
      <vt:variant>
        <vt:i4>0</vt:i4>
      </vt:variant>
      <vt:variant>
        <vt:i4>5</vt:i4>
      </vt:variant>
      <vt:variant>
        <vt:lpwstr>https://nmrk.imgix.net/uploads/documents/2025-Data-Center-Site-Selection-Dynamic-Brief.pdf</vt:lpwstr>
      </vt:variant>
      <vt:variant>
        <vt:lpwstr/>
      </vt:variant>
      <vt:variant>
        <vt:i4>1638476</vt:i4>
      </vt:variant>
      <vt:variant>
        <vt:i4>569</vt:i4>
      </vt:variant>
      <vt:variant>
        <vt:i4>0</vt:i4>
      </vt:variant>
      <vt:variant>
        <vt:i4>5</vt:i4>
      </vt:variant>
      <vt:variant>
        <vt:lpwstr>https://lp.startcampus.pt/hubfs/Copenhagen Economics/CE Report_Economic contribution of data centres in Portugal_EN.pdf?hsLang=en</vt:lpwstr>
      </vt:variant>
      <vt:variant>
        <vt:lpwstr/>
      </vt:variant>
      <vt:variant>
        <vt:i4>6422592</vt:i4>
      </vt:variant>
      <vt:variant>
        <vt:i4>566</vt:i4>
      </vt:variant>
      <vt:variant>
        <vt:i4>0</vt:i4>
      </vt:variant>
      <vt:variant>
        <vt:i4>5</vt:i4>
      </vt:variant>
      <vt:variant>
        <vt:lpwstr>https://www.semiconductors.org/wp-content/uploads/2024/05/Report_Emerging-Resilience-in-the-Semiconductor-Supply-Chain.pdf</vt:lpwstr>
      </vt:variant>
      <vt:variant>
        <vt:lpwstr/>
      </vt:variant>
      <vt:variant>
        <vt:i4>6881287</vt:i4>
      </vt:variant>
      <vt:variant>
        <vt:i4>563</vt:i4>
      </vt:variant>
      <vt:variant>
        <vt:i4>0</vt:i4>
      </vt:variant>
      <vt:variant>
        <vt:i4>5</vt:i4>
      </vt:variant>
      <vt:variant>
        <vt:lpwstr>https://www.oecd.org/content/dam/oecd/en/publications/reports/2025/11/competition-in-artificial-intelligence-infrastructure_69319aee/623d1874-en.pdf</vt:lpwstr>
      </vt:variant>
      <vt:variant>
        <vt:lpwstr/>
      </vt:variant>
      <vt:variant>
        <vt:i4>4522089</vt:i4>
      </vt:variant>
      <vt:variant>
        <vt:i4>560</vt:i4>
      </vt:variant>
      <vt:variant>
        <vt:i4>0</vt:i4>
      </vt:variant>
      <vt:variant>
        <vt:i4>5</vt:i4>
      </vt:variant>
      <vt:variant>
        <vt:lpwstr>https://www.eca.europa.eu/ECAPublications/SR-2025-12/SR-2025-12_EN.pdf</vt:lpwstr>
      </vt:variant>
      <vt:variant>
        <vt:lpwstr/>
      </vt:variant>
      <vt:variant>
        <vt:i4>5111833</vt:i4>
      </vt:variant>
      <vt:variant>
        <vt:i4>557</vt:i4>
      </vt:variant>
      <vt:variant>
        <vt:i4>0</vt:i4>
      </vt:variant>
      <vt:variant>
        <vt:i4>5</vt:i4>
      </vt:variant>
      <vt:variant>
        <vt:lpwstr>https://digital-strategy.ec.europa.eu/en/library/study-about-impact-open-source-software-and-hardware-technological-independence-competitiveness-and</vt:lpwstr>
      </vt:variant>
      <vt:variant>
        <vt:lpwstr/>
      </vt:variant>
      <vt:variant>
        <vt:i4>7798848</vt:i4>
      </vt:variant>
      <vt:variant>
        <vt:i4>554</vt:i4>
      </vt:variant>
      <vt:variant>
        <vt:i4>0</vt:i4>
      </vt:variant>
      <vt:variant>
        <vt:i4>5</vt:i4>
      </vt:variant>
      <vt:variant>
        <vt:lpwstr>https://digital-markets-act.ec.europa.eu/commission-launches-market-investigations-cloud-computing-services-under-digital-markets-act-2025-11-18_en</vt:lpwstr>
      </vt:variant>
      <vt:variant>
        <vt:lpwstr/>
      </vt:variant>
      <vt:variant>
        <vt:i4>917578</vt:i4>
      </vt:variant>
      <vt:variant>
        <vt:i4>551</vt:i4>
      </vt:variant>
      <vt:variant>
        <vt:i4>0</vt:i4>
      </vt:variant>
      <vt:variant>
        <vt:i4>5</vt:i4>
      </vt:variant>
      <vt:variant>
        <vt:lpwstr>https://www.iea.org/reports/energy-and-ai</vt:lpwstr>
      </vt:variant>
      <vt:variant>
        <vt:lpwstr/>
      </vt:variant>
      <vt:variant>
        <vt:i4>2818145</vt:i4>
      </vt:variant>
      <vt:variant>
        <vt:i4>548</vt:i4>
      </vt:variant>
      <vt:variant>
        <vt:i4>0</vt:i4>
      </vt:variant>
      <vt:variant>
        <vt:i4>5</vt:i4>
      </vt:variant>
      <vt:variant>
        <vt:lpwstr>https://hai.stanford.edu/assets/files/hai_ai_index_report_2025.pdf</vt:lpwstr>
      </vt:variant>
      <vt:variant>
        <vt:lpwstr/>
      </vt:variant>
      <vt:variant>
        <vt:i4>2555948</vt:i4>
      </vt:variant>
      <vt:variant>
        <vt:i4>545</vt:i4>
      </vt:variant>
      <vt:variant>
        <vt:i4>0</vt:i4>
      </vt:variant>
      <vt:variant>
        <vt:i4>5</vt:i4>
      </vt:variant>
      <vt:variant>
        <vt:lpwstr>https://www.grandviewresearch.com/horizon/outlook/public-cloud-market/europe</vt:lpwstr>
      </vt:variant>
      <vt:variant>
        <vt:lpwstr>:~:text=The%20public%20cloud%20market%20in,market%20from%202024%20to%202030</vt:lpwstr>
      </vt:variant>
      <vt:variant>
        <vt:i4>4718615</vt:i4>
      </vt:variant>
      <vt:variant>
        <vt:i4>542</vt:i4>
      </vt:variant>
      <vt:variant>
        <vt:i4>0</vt:i4>
      </vt:variant>
      <vt:variant>
        <vt:i4>5</vt:i4>
      </vt:variant>
      <vt:variant>
        <vt:lpwstr>https://www.mckinsey.com/capabilities/quantumblack/our-insights/time-to-place-our-bets-europes-ai-opportunity</vt:lpwstr>
      </vt:variant>
      <vt:variant>
        <vt:lpwstr/>
      </vt:variant>
      <vt:variant>
        <vt:i4>7536697</vt:i4>
      </vt:variant>
      <vt:variant>
        <vt:i4>539</vt:i4>
      </vt:variant>
      <vt:variant>
        <vt:i4>0</vt:i4>
      </vt:variant>
      <vt:variant>
        <vt:i4>5</vt:i4>
      </vt:variant>
      <vt:variant>
        <vt:lpwstr>https://www.cbre.be/insights/reports/global-data-center-trends-2025</vt:lpwstr>
      </vt:variant>
      <vt:variant>
        <vt:lpwstr/>
      </vt:variant>
      <vt:variant>
        <vt:i4>4718593</vt:i4>
      </vt:variant>
      <vt:variant>
        <vt:i4>536</vt:i4>
      </vt:variant>
      <vt:variant>
        <vt:i4>0</vt:i4>
      </vt:variant>
      <vt:variant>
        <vt:i4>5</vt:i4>
      </vt:variant>
      <vt:variant>
        <vt:lpwstr>https://www.datacenterwatch.org/report?bsft_txnid=f476ad2e-71b9-4a3f-8a6d-26b018f6c886&amp;bsft_utid=54e33523-d5da-4f6c-adb8-c5cdeb30b16d-Newsletter_COR_WHATEVERITTAKES&amp;bsft_mime_type=html&amp;bsft_lx=12&amp;bsft_tv=1036</vt:lpwstr>
      </vt:variant>
      <vt:variant>
        <vt:lpwstr/>
      </vt:variant>
      <vt:variant>
        <vt:i4>3866720</vt:i4>
      </vt:variant>
      <vt:variant>
        <vt:i4>533</vt:i4>
      </vt:variant>
      <vt:variant>
        <vt:i4>0</vt:i4>
      </vt:variant>
      <vt:variant>
        <vt:i4>5</vt:i4>
      </vt:variant>
      <vt:variant>
        <vt:lpwstr>https://www.bloomberg.com/graphics/2025-ai-data-centers-electricity-prices/?accessToken=eyJhbGciOiJIUzI1NiIsInR5cCI6IkpXVCJ9.eyJzb3VyY2UiOiJTdWJzY3JpYmVyR2lmdGVkQXJ0aWNsZSIsImlhdCI6MTc2MDc4ODQ2OSwiZXhwIjoxNzYxMzkzMjY5LCJhcnRpY2xlSWQiOiJUM0RFRzlHUFdEM1EwMCIsImJjb25uZWN0SWQiOiIwOEIxNTBFREI2OTc0RERBQkQ4REUzQTM5NzRDQThCMCJ9.rjM5l8-rfckmoOIzJC_0tVqSEBO1BQKzF0WJbMVaLnA&amp;bsft_txnid=f476ad2e-71b9-4a3f-8a6d-26b018f6c886&amp;bsft_utid=54e33523-d5da-4f6c-adb8-c5cdeb30b16d-Newsletter_COR_WHATEVERITTAKES&amp;bsft_mime_type=html&amp;bsft_lx=3&amp;bsft_tv=1036</vt:lpwstr>
      </vt:variant>
      <vt:variant>
        <vt:lpwstr/>
      </vt:variant>
      <vt:variant>
        <vt:i4>7929974</vt:i4>
      </vt:variant>
      <vt:variant>
        <vt:i4>530</vt:i4>
      </vt:variant>
      <vt:variant>
        <vt:i4>0</vt:i4>
      </vt:variant>
      <vt:variant>
        <vt:i4>5</vt:i4>
      </vt:variant>
      <vt:variant>
        <vt:lpwstr>https://www.rand.org/pubs/commentary/2025/03/when-ai-takes-time-to-think-implications-of-test-time.html</vt:lpwstr>
      </vt:variant>
      <vt:variant>
        <vt:lpwstr/>
      </vt:variant>
      <vt:variant>
        <vt:i4>327706</vt:i4>
      </vt:variant>
      <vt:variant>
        <vt:i4>527</vt:i4>
      </vt:variant>
      <vt:variant>
        <vt:i4>0</vt:i4>
      </vt:variant>
      <vt:variant>
        <vt:i4>5</vt:i4>
      </vt:variant>
      <vt:variant>
        <vt:lpwstr>https://arxiv.org/pdf/2506.10570</vt:lpwstr>
      </vt:variant>
      <vt:variant>
        <vt:lpwstr/>
      </vt:variant>
      <vt:variant>
        <vt:i4>8061034</vt:i4>
      </vt:variant>
      <vt:variant>
        <vt:i4>524</vt:i4>
      </vt:variant>
      <vt:variant>
        <vt:i4>0</vt:i4>
      </vt:variant>
      <vt:variant>
        <vt:i4>5</vt:i4>
      </vt:variant>
      <vt:variant>
        <vt:lpwstr>https://aws.amazon.com/blogs/security/introducing-the-overview-of-the-aws-european-sovereign-cloud-whitepaper/</vt:lpwstr>
      </vt:variant>
      <vt:variant>
        <vt:lpwstr/>
      </vt:variant>
      <vt:variant>
        <vt:i4>2293823</vt:i4>
      </vt:variant>
      <vt:variant>
        <vt:i4>521</vt:i4>
      </vt:variant>
      <vt:variant>
        <vt:i4>0</vt:i4>
      </vt:variant>
      <vt:variant>
        <vt:i4>5</vt:i4>
      </vt:variant>
      <vt:variant>
        <vt:lpwstr>https://wire.com/en/blog/sovereign-cloud-eu-providers-challenges-opportunities</vt:lpwstr>
      </vt:variant>
      <vt:variant>
        <vt:lpwstr/>
      </vt:variant>
      <vt:variant>
        <vt:i4>7798897</vt:i4>
      </vt:variant>
      <vt:variant>
        <vt:i4>518</vt:i4>
      </vt:variant>
      <vt:variant>
        <vt:i4>0</vt:i4>
      </vt:variant>
      <vt:variant>
        <vt:i4>5</vt:i4>
      </vt:variant>
      <vt:variant>
        <vt:lpwstr>https://www.scaleway.com/en/tech-solutions/</vt:lpwstr>
      </vt:variant>
      <vt:variant>
        <vt:lpwstr/>
      </vt:variant>
      <vt:variant>
        <vt:i4>8323199</vt:i4>
      </vt:variant>
      <vt:variant>
        <vt:i4>515</vt:i4>
      </vt:variant>
      <vt:variant>
        <vt:i4>0</vt:i4>
      </vt:variant>
      <vt:variant>
        <vt:i4>5</vt:i4>
      </vt:variant>
      <vt:variant>
        <vt:lpwstr>https://www.stackit.de/de/oeffentlicher-sektor/</vt:lpwstr>
      </vt:variant>
      <vt:variant>
        <vt:lpwstr/>
      </vt:variant>
      <vt:variant>
        <vt:i4>7340081</vt:i4>
      </vt:variant>
      <vt:variant>
        <vt:i4>512</vt:i4>
      </vt:variant>
      <vt:variant>
        <vt:i4>0</vt:i4>
      </vt:variant>
      <vt:variant>
        <vt:i4>5</vt:i4>
      </vt:variant>
      <vt:variant>
        <vt:lpwstr>https://openai.com/index/the-next-chapter-for-uk-sovereign-ai/</vt:lpwstr>
      </vt:variant>
      <vt:variant>
        <vt:lpwstr/>
      </vt:variant>
      <vt:variant>
        <vt:i4>7340149</vt:i4>
      </vt:variant>
      <vt:variant>
        <vt:i4>509</vt:i4>
      </vt:variant>
      <vt:variant>
        <vt:i4>0</vt:i4>
      </vt:variant>
      <vt:variant>
        <vt:i4>5</vt:i4>
      </vt:variant>
      <vt:variant>
        <vt:lpwstr>https://www.oracle.com/europe/artificial-intelligence/sovereign-ai/</vt:lpwstr>
      </vt:variant>
      <vt:variant>
        <vt:lpwstr/>
      </vt:variant>
      <vt:variant>
        <vt:i4>6422577</vt:i4>
      </vt:variant>
      <vt:variant>
        <vt:i4>506</vt:i4>
      </vt:variant>
      <vt:variant>
        <vt:i4>0</vt:i4>
      </vt:variant>
      <vt:variant>
        <vt:i4>5</vt:i4>
      </vt:variant>
      <vt:variant>
        <vt:lpwstr>https://clarence-cloud.com/</vt:lpwstr>
      </vt:variant>
      <vt:variant>
        <vt:lpwstr/>
      </vt:variant>
      <vt:variant>
        <vt:i4>3735609</vt:i4>
      </vt:variant>
      <vt:variant>
        <vt:i4>503</vt:i4>
      </vt:variant>
      <vt:variant>
        <vt:i4>0</vt:i4>
      </vt:variant>
      <vt:variant>
        <vt:i4>5</vt:i4>
      </vt:variant>
      <vt:variant>
        <vt:lpwstr>https://newsroom.orange.com/capgemini-and-orange-are-pleased-to-announce-the-launch-of-commercial-activities-of-bleu-their-future-cloud-de-confiance-platform/</vt:lpwstr>
      </vt:variant>
      <vt:variant>
        <vt:lpwstr/>
      </vt:variant>
      <vt:variant>
        <vt:i4>2162735</vt:i4>
      </vt:variant>
      <vt:variant>
        <vt:i4>500</vt:i4>
      </vt:variant>
      <vt:variant>
        <vt:i4>0</vt:i4>
      </vt:variant>
      <vt:variant>
        <vt:i4>5</vt:i4>
      </vt:variant>
      <vt:variant>
        <vt:lpwstr>https://www.oracle.com/europe/cloud/eu-sovereign-cloud/</vt:lpwstr>
      </vt:variant>
      <vt:variant>
        <vt:lpwstr/>
      </vt:variant>
      <vt:variant>
        <vt:i4>3997751</vt:i4>
      </vt:variant>
      <vt:variant>
        <vt:i4>497</vt:i4>
      </vt:variant>
      <vt:variant>
        <vt:i4>0</vt:i4>
      </vt:variant>
      <vt:variant>
        <vt:i4>5</vt:i4>
      </vt:variant>
      <vt:variant>
        <vt:lpwstr>https://aws.eu/</vt:lpwstr>
      </vt:variant>
      <vt:variant>
        <vt:lpwstr/>
      </vt:variant>
      <vt:variant>
        <vt:i4>6619235</vt:i4>
      </vt:variant>
      <vt:variant>
        <vt:i4>494</vt:i4>
      </vt:variant>
      <vt:variant>
        <vt:i4>0</vt:i4>
      </vt:variant>
      <vt:variant>
        <vt:i4>5</vt:i4>
      </vt:variant>
      <vt:variant>
        <vt:lpwstr>https://ec.europa.eu/assets/rtd/srip/2024/ec_rtd_srip-report-2024-chap-08.pdf</vt:lpwstr>
      </vt:variant>
      <vt:variant>
        <vt:lpwstr>:~:text=Technology%20sovereignty%20not%20only%20means%20that%20Europe,basic%20values%20and%20norms%20of%20the%20continent.</vt:lpwstr>
      </vt:variant>
      <vt:variant>
        <vt:i4>7929903</vt:i4>
      </vt:variant>
      <vt:variant>
        <vt:i4>491</vt:i4>
      </vt:variant>
      <vt:variant>
        <vt:i4>0</vt:i4>
      </vt:variant>
      <vt:variant>
        <vt:i4>5</vt:i4>
      </vt:variant>
      <vt:variant>
        <vt:lpwstr>https://www.ibm.com/think/topics/log4j</vt:lpwstr>
      </vt:variant>
      <vt:variant>
        <vt:lpwstr/>
      </vt:variant>
      <vt:variant>
        <vt:i4>2949171</vt:i4>
      </vt:variant>
      <vt:variant>
        <vt:i4>488</vt:i4>
      </vt:variant>
      <vt:variant>
        <vt:i4>0</vt:i4>
      </vt:variant>
      <vt:variant>
        <vt:i4>5</vt:i4>
      </vt:variant>
      <vt:variant>
        <vt:lpwstr>https://licenseware.io/denmarks-digital-declaration-of-independence-a-growing-european-revolt-against-big-tech-dependency/</vt:lpwstr>
      </vt:variant>
      <vt:variant>
        <vt:lpwstr/>
      </vt:variant>
      <vt:variant>
        <vt:i4>524301</vt:i4>
      </vt:variant>
      <vt:variant>
        <vt:i4>485</vt:i4>
      </vt:variant>
      <vt:variant>
        <vt:i4>0</vt:i4>
      </vt:variant>
      <vt:variant>
        <vt:i4>5</vt:i4>
      </vt:variant>
      <vt:variant>
        <vt:lpwstr>https://therecord.media/denmark-digital-agency-microsoft-digital-independence</vt:lpwstr>
      </vt:variant>
      <vt:variant>
        <vt:lpwstr/>
      </vt:variant>
      <vt:variant>
        <vt:i4>2752554</vt:i4>
      </vt:variant>
      <vt:variant>
        <vt:i4>482</vt:i4>
      </vt:variant>
      <vt:variant>
        <vt:i4>0</vt:i4>
      </vt:variant>
      <vt:variant>
        <vt:i4>5</vt:i4>
      </vt:variant>
      <vt:variant>
        <vt:lpwstr>https://www.techradar.com/pro/were-done-major-government-organization-slams-microsoft-teams</vt:lpwstr>
      </vt:variant>
      <vt:variant>
        <vt:lpwstr/>
      </vt:variant>
      <vt:variant>
        <vt:i4>3276922</vt:i4>
      </vt:variant>
      <vt:variant>
        <vt:i4>479</vt:i4>
      </vt:variant>
      <vt:variant>
        <vt:i4>0</vt:i4>
      </vt:variant>
      <vt:variant>
        <vt:i4>5</vt:i4>
      </vt:variant>
      <vt:variant>
        <vt:lpwstr>https://www.security-insider.de/digitale-abhaengigkeit-microsoft-risiken-eu-wirtschaft-a-9fad6b2b35449560543d9a81f0ca0e1a/</vt:lpwstr>
      </vt:variant>
      <vt:variant>
        <vt:lpwstr/>
      </vt:variant>
      <vt:variant>
        <vt:i4>5177421</vt:i4>
      </vt:variant>
      <vt:variant>
        <vt:i4>474</vt:i4>
      </vt:variant>
      <vt:variant>
        <vt:i4>0</vt:i4>
      </vt:variant>
      <vt:variant>
        <vt:i4>5</vt:i4>
      </vt:variant>
      <vt:variant>
        <vt:lpwstr>https://www.microsoft.com/en/customers/story/21664-v-ict-or-azure-container-apps</vt:lpwstr>
      </vt:variant>
      <vt:variant>
        <vt:lpwstr/>
      </vt:variant>
      <vt:variant>
        <vt:i4>720951</vt:i4>
      </vt:variant>
      <vt:variant>
        <vt:i4>471</vt:i4>
      </vt:variant>
      <vt:variant>
        <vt:i4>0</vt:i4>
      </vt:variant>
      <vt:variant>
        <vt:i4>5</vt:i4>
      </vt:variant>
      <vt:variant>
        <vt:lpwstr>https://ecipe.org/wp-content/uploads/2025/03/ECI_OccasionalPaper_04-2025_LY04.pdf</vt:lpwstr>
      </vt:variant>
      <vt:variant>
        <vt:lpwstr/>
      </vt:variant>
      <vt:variant>
        <vt:i4>8061011</vt:i4>
      </vt:variant>
      <vt:variant>
        <vt:i4>468</vt:i4>
      </vt:variant>
      <vt:variant>
        <vt:i4>0</vt:i4>
      </vt:variant>
      <vt:variant>
        <vt:i4>5</vt:i4>
      </vt:variant>
      <vt:variant>
        <vt:lpwstr>https://www.cispe.cloud/website_cispe/wp-content/uploads/2022/02/CISPE-Buying-Cloud-Services-in-Public-Sector-Handbook-v2-FEB-2022-3.pdf</vt:lpwstr>
      </vt:variant>
      <vt:variant>
        <vt:lpwstr/>
      </vt:variant>
      <vt:variant>
        <vt:i4>3014703</vt:i4>
      </vt:variant>
      <vt:variant>
        <vt:i4>465</vt:i4>
      </vt:variant>
      <vt:variant>
        <vt:i4>0</vt:i4>
      </vt:variant>
      <vt:variant>
        <vt:i4>5</vt:i4>
      </vt:variant>
      <vt:variant>
        <vt:lpwstr>https://www.bmi.bund.de/SharedDocs/pressemitteilungen/EN/2025/03/dvc.html?</vt:lpwstr>
      </vt:variant>
      <vt:variant>
        <vt:lpwstr/>
      </vt:variant>
      <vt:variant>
        <vt:i4>65590</vt:i4>
      </vt:variant>
      <vt:variant>
        <vt:i4>462</vt:i4>
      </vt:variant>
      <vt:variant>
        <vt:i4>0</vt:i4>
      </vt:variant>
      <vt:variant>
        <vt:i4>5</vt:i4>
      </vt:variant>
      <vt:variant>
        <vt:lpwstr>https://presidenza.governo.it/AmministrazioneTrasparente/BandiContratti/AccordiTraAmministrazioni/allegati/Convenzione DTD_Polo Strategico Nazionale.pdf?</vt:lpwstr>
      </vt:variant>
      <vt:variant>
        <vt:lpwstr/>
      </vt:variant>
      <vt:variant>
        <vt:i4>2818104</vt:i4>
      </vt:variant>
      <vt:variant>
        <vt:i4>459</vt:i4>
      </vt:variant>
      <vt:variant>
        <vt:i4>0</vt:i4>
      </vt:variant>
      <vt:variant>
        <vt:i4>5</vt:i4>
      </vt:variant>
      <vt:variant>
        <vt:lpwstr>https://eceuropaeu.sharepoint.com/teams/GRP-CNECT.E.29-DRAFTE2restricted/Crosscutting activities/Cloud and AI Development Act/Impact Assessment/IA drafting/eu-lisa-tech-brief-sovereign-cloud.pdf</vt:lpwstr>
      </vt:variant>
      <vt:variant>
        <vt:lpwstr/>
      </vt:variant>
      <vt:variant>
        <vt:i4>2097259</vt:i4>
      </vt:variant>
      <vt:variant>
        <vt:i4>456</vt:i4>
      </vt:variant>
      <vt:variant>
        <vt:i4>0</vt:i4>
      </vt:variant>
      <vt:variant>
        <vt:i4>5</vt:i4>
      </vt:variant>
      <vt:variant>
        <vt:lpwstr>https://eurostack.eu/wp-content/uploads/2025/08/eurostack-white-paper-final-19-05-25-3.pdf</vt:lpwstr>
      </vt:variant>
      <vt:variant>
        <vt:lpwstr/>
      </vt:variant>
      <vt:variant>
        <vt:i4>7602292</vt:i4>
      </vt:variant>
      <vt:variant>
        <vt:i4>453</vt:i4>
      </vt:variant>
      <vt:variant>
        <vt:i4>0</vt:i4>
      </vt:variant>
      <vt:variant>
        <vt:i4>5</vt:i4>
      </vt:variant>
      <vt:variant>
        <vt:lpwstr>https://ecipe.org/publications/eu-gap-ict-and-cloud-computing/</vt:lpwstr>
      </vt:variant>
      <vt:variant>
        <vt:lpwstr/>
      </vt:variant>
      <vt:variant>
        <vt:i4>851976</vt:i4>
      </vt:variant>
      <vt:variant>
        <vt:i4>450</vt:i4>
      </vt:variant>
      <vt:variant>
        <vt:i4>0</vt:i4>
      </vt:variant>
      <vt:variant>
        <vt:i4>5</vt:i4>
      </vt:variant>
      <vt:variant>
        <vt:lpwstr>https://www.icef.go.jp/wp-content/themes/icef_new/pdf/roadmap/icef2025_roadmap.pdf</vt:lpwstr>
      </vt:variant>
      <vt:variant>
        <vt:lpwstr/>
      </vt:variant>
      <vt:variant>
        <vt:i4>2359402</vt:i4>
      </vt:variant>
      <vt:variant>
        <vt:i4>447</vt:i4>
      </vt:variant>
      <vt:variant>
        <vt:i4>0</vt:i4>
      </vt:variant>
      <vt:variant>
        <vt:i4>5</vt:i4>
      </vt:variant>
      <vt:variant>
        <vt:lpwstr>https://www.theguardian.com/environment/2025/apr/09/big-tech-datacentres-water</vt:lpwstr>
      </vt:variant>
      <vt:variant>
        <vt:lpwstr/>
      </vt:variant>
      <vt:variant>
        <vt:i4>7929899</vt:i4>
      </vt:variant>
      <vt:variant>
        <vt:i4>444</vt:i4>
      </vt:variant>
      <vt:variant>
        <vt:i4>0</vt:i4>
      </vt:variant>
      <vt:variant>
        <vt:i4>5</vt:i4>
      </vt:variant>
      <vt:variant>
        <vt:lpwstr>https://www.nature.com/articles/s41545-021-00101-w</vt:lpwstr>
      </vt:variant>
      <vt:variant>
        <vt:lpwstr/>
      </vt:variant>
      <vt:variant>
        <vt:i4>196661</vt:i4>
      </vt:variant>
      <vt:variant>
        <vt:i4>441</vt:i4>
      </vt:variant>
      <vt:variant>
        <vt:i4>0</vt:i4>
      </vt:variant>
      <vt:variant>
        <vt:i4>5</vt:i4>
      </vt:variant>
      <vt:variant>
        <vt:lpwstr>https://www.weforum.org/stories/2024/11/circular-water-solutions-sustainable-data-centres/?utm_source=chatgpt.com</vt:lpwstr>
      </vt:variant>
      <vt:variant>
        <vt:lpwstr/>
      </vt:variant>
      <vt:variant>
        <vt:i4>1114127</vt:i4>
      </vt:variant>
      <vt:variant>
        <vt:i4>438</vt:i4>
      </vt:variant>
      <vt:variant>
        <vt:i4>0</vt:i4>
      </vt:variant>
      <vt:variant>
        <vt:i4>5</vt:i4>
      </vt:variant>
      <vt:variant>
        <vt:lpwstr>https://www.jll.com/en-us/insights/market-dynamics/north-america-data-centers</vt:lpwstr>
      </vt:variant>
      <vt:variant>
        <vt:lpwstr/>
      </vt:variant>
      <vt:variant>
        <vt:i4>3670070</vt:i4>
      </vt:variant>
      <vt:variant>
        <vt:i4>435</vt:i4>
      </vt:variant>
      <vt:variant>
        <vt:i4>0</vt:i4>
      </vt:variant>
      <vt:variant>
        <vt:i4>5</vt:i4>
      </vt:variant>
      <vt:variant>
        <vt:lpwstr>https://www.reuters.com/technology/china-invests-61-bln-computing-data-center-project-official-says-2024-08-29/</vt:lpwstr>
      </vt:variant>
      <vt:variant>
        <vt:lpwstr>:~:text=The%20,economic%20hubs%20along%20the%20coast</vt:lpwstr>
      </vt:variant>
      <vt:variant>
        <vt:i4>5046296</vt:i4>
      </vt:variant>
      <vt:variant>
        <vt:i4>432</vt:i4>
      </vt:variant>
      <vt:variant>
        <vt:i4>0</vt:i4>
      </vt:variant>
      <vt:variant>
        <vt:i4>5</vt:i4>
      </vt:variant>
      <vt:variant>
        <vt:lpwstr>https://content.knightfrank.com/research/2982/documents/en/data-centres-global-report-2025-12054.pdf</vt:lpwstr>
      </vt:variant>
      <vt:variant>
        <vt:lpwstr/>
      </vt:variant>
      <vt:variant>
        <vt:i4>6750254</vt:i4>
      </vt:variant>
      <vt:variant>
        <vt:i4>429</vt:i4>
      </vt:variant>
      <vt:variant>
        <vt:i4>0</vt:i4>
      </vt:variant>
      <vt:variant>
        <vt:i4>5</vt:i4>
      </vt:variant>
      <vt:variant>
        <vt:lpwstr>https://www.counterpointresearch.com/insights/ai-drives-cloud-player-capex/</vt:lpwstr>
      </vt:variant>
      <vt:variant>
        <vt:lpwstr/>
      </vt:variant>
      <vt:variant>
        <vt:i4>5111888</vt:i4>
      </vt:variant>
      <vt:variant>
        <vt:i4>426</vt:i4>
      </vt:variant>
      <vt:variant>
        <vt:i4>0</vt:i4>
      </vt:variant>
      <vt:variant>
        <vt:i4>5</vt:i4>
      </vt:variant>
      <vt:variant>
        <vt:lpwstr>https://www.jll.com/en-uk/insights/why-data-center-finance-is-diversifying</vt:lpwstr>
      </vt:variant>
      <vt:variant>
        <vt:lpwstr>:~:text=Take%20APAC%2C%20which%20saw%20data,all%20data%20center%20investment%20globally</vt:lpwstr>
      </vt:variant>
      <vt:variant>
        <vt:i4>2687101</vt:i4>
      </vt:variant>
      <vt:variant>
        <vt:i4>423</vt:i4>
      </vt:variant>
      <vt:variant>
        <vt:i4>0</vt:i4>
      </vt:variant>
      <vt:variant>
        <vt:i4>5</vt:i4>
      </vt:variant>
      <vt:variant>
        <vt:lpwstr>https://www.linklaters.com/en-us/about-us/news-and-deals/news/2024/june/europe-primed-for-data-centre-abs-financing-as-investment-soars</vt:lpwstr>
      </vt:variant>
      <vt:variant>
        <vt:lpwstr>:~:text=%2A%202023%20was%20the%20second,of%20ABS%20in%20the%20sector</vt:lpwstr>
      </vt:variant>
      <vt:variant>
        <vt:i4>7995513</vt:i4>
      </vt:variant>
      <vt:variant>
        <vt:i4>420</vt:i4>
      </vt:variant>
      <vt:variant>
        <vt:i4>0</vt:i4>
      </vt:variant>
      <vt:variant>
        <vt:i4>5</vt:i4>
      </vt:variant>
      <vt:variant>
        <vt:lpwstr>https://www.ft.com/content/75407616-1328-4ab8-9d81-a9dc18de920d</vt:lpwstr>
      </vt:variant>
      <vt:variant>
        <vt:lpwstr/>
      </vt:variant>
      <vt:variant>
        <vt:i4>6226031</vt:i4>
      </vt:variant>
      <vt:variant>
        <vt:i4>417</vt:i4>
      </vt:variant>
      <vt:variant>
        <vt:i4>0</vt:i4>
      </vt:variant>
      <vt:variant>
        <vt:i4>5</vt:i4>
      </vt:variant>
      <vt:variant>
        <vt:lpwstr>https://datacentremagazine.com/critical-environments/why-retrofit-could-dominate-data-centre-builds-this-decade?utm_source=chatgpt.com</vt:lpwstr>
      </vt:variant>
      <vt:variant>
        <vt:lpwstr/>
      </vt:variant>
      <vt:variant>
        <vt:i4>3080241</vt:i4>
      </vt:variant>
      <vt:variant>
        <vt:i4>414</vt:i4>
      </vt:variant>
      <vt:variant>
        <vt:i4>0</vt:i4>
      </vt:variant>
      <vt:variant>
        <vt:i4>5</vt:i4>
      </vt:variant>
      <vt:variant>
        <vt:lpwstr>https://ert.eu/wp-content/uploads/2025/05/Single-Market-Compendium-of-obstacles-21-May-2025.pdf</vt:lpwstr>
      </vt:variant>
      <vt:variant>
        <vt:lpwstr/>
      </vt:variant>
      <vt:variant>
        <vt:i4>5636106</vt:i4>
      </vt:variant>
      <vt:variant>
        <vt:i4>411</vt:i4>
      </vt:variant>
      <vt:variant>
        <vt:i4>0</vt:i4>
      </vt:variant>
      <vt:variant>
        <vt:i4>5</vt:i4>
      </vt:variant>
      <vt:variant>
        <vt:lpwstr>https://www.reuters.com/business/energy/power-connection-requests-italy-data-centres-rise-42-gw-end-march-2025-05-15/</vt:lpwstr>
      </vt:variant>
      <vt:variant>
        <vt:lpwstr/>
      </vt:variant>
      <vt:variant>
        <vt:i4>7012468</vt:i4>
      </vt:variant>
      <vt:variant>
        <vt:i4>408</vt:i4>
      </vt:variant>
      <vt:variant>
        <vt:i4>0</vt:i4>
      </vt:variant>
      <vt:variant>
        <vt:i4>5</vt:i4>
      </vt:variant>
      <vt:variant>
        <vt:lpwstr>https://www.bcg.com/publications/2025/breaking-barriers-data-center-growth</vt:lpwstr>
      </vt:variant>
      <vt:variant>
        <vt:lpwstr/>
      </vt:variant>
      <vt:variant>
        <vt:i4>8061031</vt:i4>
      </vt:variant>
      <vt:variant>
        <vt:i4>405</vt:i4>
      </vt:variant>
      <vt:variant>
        <vt:i4>0</vt:i4>
      </vt:variant>
      <vt:variant>
        <vt:i4>5</vt:i4>
      </vt:variant>
      <vt:variant>
        <vt:lpwstr>https://www.reuters.com/technology/poor-grid-planning-could-shift-europes-data-centre-geography-report-says-2025-06-18/</vt:lpwstr>
      </vt:variant>
      <vt:variant>
        <vt:lpwstr/>
      </vt:variant>
      <vt:variant>
        <vt:i4>1835022</vt:i4>
      </vt:variant>
      <vt:variant>
        <vt:i4>402</vt:i4>
      </vt:variant>
      <vt:variant>
        <vt:i4>0</vt:i4>
      </vt:variant>
      <vt:variant>
        <vt:i4>5</vt:i4>
      </vt:variant>
      <vt:variant>
        <vt:lpwstr>https://ember-energy.org/latest-insights/grids-for-data-centres-ambitious-grid-planning-can-win-europes-ai-race/</vt:lpwstr>
      </vt:variant>
      <vt:variant>
        <vt:lpwstr/>
      </vt:variant>
      <vt:variant>
        <vt:i4>1310734</vt:i4>
      </vt:variant>
      <vt:variant>
        <vt:i4>399</vt:i4>
      </vt:variant>
      <vt:variant>
        <vt:i4>0</vt:i4>
      </vt:variant>
      <vt:variant>
        <vt:i4>5</vt:i4>
      </vt:variant>
      <vt:variant>
        <vt:lpwstr>https://ember-energy.org/app/uploads/2025/06/Grids-for-data-centres-in-Europe.pdf</vt:lpwstr>
      </vt:variant>
      <vt:variant>
        <vt:lpwstr/>
      </vt:variant>
      <vt:variant>
        <vt:i4>2556004</vt:i4>
      </vt:variant>
      <vt:variant>
        <vt:i4>396</vt:i4>
      </vt:variant>
      <vt:variant>
        <vt:i4>0</vt:i4>
      </vt:variant>
      <vt:variant>
        <vt:i4>5</vt:i4>
      </vt:variant>
      <vt:variant>
        <vt:lpwstr>https://www.gtlaw.com/en/insights/2024/3/challenges-in-the-dutch-data-center-market</vt:lpwstr>
      </vt:variant>
      <vt:variant>
        <vt:lpwstr/>
      </vt:variant>
      <vt:variant>
        <vt:i4>2490474</vt:i4>
      </vt:variant>
      <vt:variant>
        <vt:i4>393</vt:i4>
      </vt:variant>
      <vt:variant>
        <vt:i4>0</vt:i4>
      </vt:variant>
      <vt:variant>
        <vt:i4>5</vt:i4>
      </vt:variant>
      <vt:variant>
        <vt:lpwstr>https://publicpolicy.ie/papers/data-centres-in-ireland/</vt:lpwstr>
      </vt:variant>
      <vt:variant>
        <vt:lpwstr/>
      </vt:variant>
      <vt:variant>
        <vt:i4>7864326</vt:i4>
      </vt:variant>
      <vt:variant>
        <vt:i4>390</vt:i4>
      </vt:variant>
      <vt:variant>
        <vt:i4>0</vt:i4>
      </vt:variant>
      <vt:variant>
        <vt:i4>5</vt:i4>
      </vt:variant>
      <vt:variant>
        <vt:lpwstr>https://cerre.eu/wp-content/uploads/2025/09/CERRE_Report_DCs_FinalPDF.pdf</vt:lpwstr>
      </vt:variant>
      <vt:variant>
        <vt:lpwstr/>
      </vt:variant>
      <vt:variant>
        <vt:i4>3145847</vt:i4>
      </vt:variant>
      <vt:variant>
        <vt:i4>387</vt:i4>
      </vt:variant>
      <vt:variant>
        <vt:i4>0</vt:i4>
      </vt:variant>
      <vt:variant>
        <vt:i4>5</vt:i4>
      </vt:variant>
      <vt:variant>
        <vt:lpwstr>https://www.businesswire.com/news/home/20240924173494/en/IDC-Report-Reveals-AI-Driven-Growth-in-Datacenter-Energy-Consumption-Predicts-Surge-in-Datacenter-Facility-Spending-Amid-Rising-Electricity-Costs</vt:lpwstr>
      </vt:variant>
      <vt:variant>
        <vt:lpwstr/>
      </vt:variant>
      <vt:variant>
        <vt:i4>4784201</vt:i4>
      </vt:variant>
      <vt:variant>
        <vt:i4>384</vt:i4>
      </vt:variant>
      <vt:variant>
        <vt:i4>0</vt:i4>
      </vt:variant>
      <vt:variant>
        <vt:i4>5</vt:i4>
      </vt:variant>
      <vt:variant>
        <vt:lpwstr>https://ember-energy.org/app/uploads/2025/06/Report-Grids-for-data-centres-in-Europe-PDF.pdf</vt:lpwstr>
      </vt:variant>
      <vt:variant>
        <vt:lpwstr/>
      </vt:variant>
      <vt:variant>
        <vt:i4>7209028</vt:i4>
      </vt:variant>
      <vt:variant>
        <vt:i4>381</vt:i4>
      </vt:variant>
      <vt:variant>
        <vt:i4>0</vt:i4>
      </vt:variant>
      <vt:variant>
        <vt:i4>5</vt:i4>
      </vt:variant>
      <vt:variant>
        <vt:lpwstr>https://theshiftproject.org/app/uploads/2025/02/Environmental-impacts-of-digital-technology-5-year-trends-and-5G-governance_March2021.pdf</vt:lpwstr>
      </vt:variant>
      <vt:variant>
        <vt:lpwstr/>
      </vt:variant>
      <vt:variant>
        <vt:i4>7340077</vt:i4>
      </vt:variant>
      <vt:variant>
        <vt:i4>378</vt:i4>
      </vt:variant>
      <vt:variant>
        <vt:i4>0</vt:i4>
      </vt:variant>
      <vt:variant>
        <vt:i4>5</vt:i4>
      </vt:variant>
      <vt:variant>
        <vt:lpwstr>https://www.iea.org/reports/energy-and-ai/energy-demand-from-ai</vt:lpwstr>
      </vt:variant>
      <vt:variant>
        <vt:lpwstr/>
      </vt:variant>
      <vt:variant>
        <vt:i4>5570562</vt:i4>
      </vt:variant>
      <vt:variant>
        <vt:i4>375</vt:i4>
      </vt:variant>
      <vt:variant>
        <vt:i4>0</vt:i4>
      </vt:variant>
      <vt:variant>
        <vt:i4>5</vt:i4>
      </vt:variant>
      <vt:variant>
        <vt:lpwstr>https://www.mckinsey.com/industries/electric-power-and-natural-gas/our-insights/the-role-of-power-in-unlocking-the-european-ai-revolution</vt:lpwstr>
      </vt:variant>
      <vt:variant>
        <vt:lpwstr/>
      </vt:variant>
      <vt:variant>
        <vt:i4>6619170</vt:i4>
      </vt:variant>
      <vt:variant>
        <vt:i4>372</vt:i4>
      </vt:variant>
      <vt:variant>
        <vt:i4>0</vt:i4>
      </vt:variant>
      <vt:variant>
        <vt:i4>5</vt:i4>
      </vt:variant>
      <vt:variant>
        <vt:lpwstr>https://www.datacenters.com/news/the-real-estate-power-play-behind-europe-s-data-center-growth</vt:lpwstr>
      </vt:variant>
      <vt:variant>
        <vt:lpwstr/>
      </vt:variant>
      <vt:variant>
        <vt:i4>131078</vt:i4>
      </vt:variant>
      <vt:variant>
        <vt:i4>369</vt:i4>
      </vt:variant>
      <vt:variant>
        <vt:i4>0</vt:i4>
      </vt:variant>
      <vt:variant>
        <vt:i4>5</vt:i4>
      </vt:variant>
      <vt:variant>
        <vt:lpwstr>https://mediaassets.cbre.com/-/media/files/2026/european-real-estate-market-outlook-2026.pdf?rev=66128ea71d644a7f90cc9c290aced710</vt:lpwstr>
      </vt:variant>
      <vt:variant>
        <vt:lpwstr/>
      </vt:variant>
      <vt:variant>
        <vt:i4>3997797</vt:i4>
      </vt:variant>
      <vt:variant>
        <vt:i4>363</vt:i4>
      </vt:variant>
      <vt:variant>
        <vt:i4>0</vt:i4>
      </vt:variant>
      <vt:variant>
        <vt:i4>5</vt:i4>
      </vt:variant>
      <vt:variant>
        <vt:lpwstr>https://cms.law/en/int/expert-guides/cms-expert-guide-on-real-estate-data-centre-consenting</vt:lpwstr>
      </vt:variant>
      <vt:variant>
        <vt:lpwstr/>
      </vt:variant>
      <vt:variant>
        <vt:i4>5111831</vt:i4>
      </vt:variant>
      <vt:variant>
        <vt:i4>360</vt:i4>
      </vt:variant>
      <vt:variant>
        <vt:i4>0</vt:i4>
      </vt:variant>
      <vt:variant>
        <vt:i4>5</vt:i4>
      </vt:variant>
      <vt:variant>
        <vt:lpwstr>https://www.gartner.com/reviews/market/strategic-cloud-platform-services</vt:lpwstr>
      </vt:variant>
      <vt:variant>
        <vt:lpwstr/>
      </vt:variant>
      <vt:variant>
        <vt:i4>1638428</vt:i4>
      </vt:variant>
      <vt:variant>
        <vt:i4>357</vt:i4>
      </vt:variant>
      <vt:variant>
        <vt:i4>0</vt:i4>
      </vt:variant>
      <vt:variant>
        <vt:i4>5</vt:i4>
      </vt:variant>
      <vt:variant>
        <vt:lpwstr>https://www.infoq.com/news/2025/03/european-cloud-providers/</vt:lpwstr>
      </vt:variant>
      <vt:variant>
        <vt:lpwstr>:~:text=Selecting%20a%20European%20cloud%20provider%20requires%20careful,each%20with%20different%20strengths%20and%20governance%20models.</vt:lpwstr>
      </vt:variant>
      <vt:variant>
        <vt:i4>3604531</vt:i4>
      </vt:variant>
      <vt:variant>
        <vt:i4>354</vt:i4>
      </vt:variant>
      <vt:variant>
        <vt:i4>0</vt:i4>
      </vt:variant>
      <vt:variant>
        <vt:i4>5</vt:i4>
      </vt:variant>
      <vt:variant>
        <vt:lpwstr>https://www.tweedekamer.nl/kamerstukken/detail?id=2025D01627&amp;did=2025D01627</vt:lpwstr>
      </vt:variant>
      <vt:variant>
        <vt:lpwstr/>
      </vt:variant>
      <vt:variant>
        <vt:i4>3604531</vt:i4>
      </vt:variant>
      <vt:variant>
        <vt:i4>351</vt:i4>
      </vt:variant>
      <vt:variant>
        <vt:i4>0</vt:i4>
      </vt:variant>
      <vt:variant>
        <vt:i4>5</vt:i4>
      </vt:variant>
      <vt:variant>
        <vt:lpwstr>https://www.tweedekamer.nl/kamerstukken/detail?id=2025D01627&amp;did=2025D01627</vt:lpwstr>
      </vt:variant>
      <vt:variant>
        <vt:lpwstr/>
      </vt:variant>
      <vt:variant>
        <vt:i4>1179742</vt:i4>
      </vt:variant>
      <vt:variant>
        <vt:i4>348</vt:i4>
      </vt:variant>
      <vt:variant>
        <vt:i4>0</vt:i4>
      </vt:variant>
      <vt:variant>
        <vt:i4>5</vt:i4>
      </vt:variant>
      <vt:variant>
        <vt:lpwstr>https://www.ovhcloud.com/en/</vt:lpwstr>
      </vt:variant>
      <vt:variant>
        <vt:lpwstr/>
      </vt:variant>
      <vt:variant>
        <vt:i4>1179742</vt:i4>
      </vt:variant>
      <vt:variant>
        <vt:i4>345</vt:i4>
      </vt:variant>
      <vt:variant>
        <vt:i4>0</vt:i4>
      </vt:variant>
      <vt:variant>
        <vt:i4>5</vt:i4>
      </vt:variant>
      <vt:variant>
        <vt:lpwstr>https://www.ovhcloud.com/en/</vt:lpwstr>
      </vt:variant>
      <vt:variant>
        <vt:lpwstr/>
      </vt:variant>
      <vt:variant>
        <vt:i4>4325407</vt:i4>
      </vt:variant>
      <vt:variant>
        <vt:i4>342</vt:i4>
      </vt:variant>
      <vt:variant>
        <vt:i4>0</vt:i4>
      </vt:variant>
      <vt:variant>
        <vt:i4>5</vt:i4>
      </vt:variant>
      <vt:variant>
        <vt:lpwstr>https://www.ftc.gov/system/files/ftc_gov/pdf/p246201_aipartnerships6breport_redacted_0.pdf</vt:lpwstr>
      </vt:variant>
      <vt:variant>
        <vt:lpwstr/>
      </vt:variant>
      <vt:variant>
        <vt:i4>7209025</vt:i4>
      </vt:variant>
      <vt:variant>
        <vt:i4>339</vt:i4>
      </vt:variant>
      <vt:variant>
        <vt:i4>0</vt:i4>
      </vt:variant>
      <vt:variant>
        <vt:i4>5</vt:i4>
      </vt:variant>
      <vt:variant>
        <vt:lpwstr>https://www.oecd.org/content/dam/oecd/en/publications/reports/2025/05/competition-in-the-provision-of-cloud-computing-services_f42582ad/595859c5-en.pdf</vt:lpwstr>
      </vt:variant>
      <vt:variant>
        <vt:lpwstr/>
      </vt:variant>
      <vt:variant>
        <vt:i4>4325407</vt:i4>
      </vt:variant>
      <vt:variant>
        <vt:i4>336</vt:i4>
      </vt:variant>
      <vt:variant>
        <vt:i4>0</vt:i4>
      </vt:variant>
      <vt:variant>
        <vt:i4>5</vt:i4>
      </vt:variant>
      <vt:variant>
        <vt:lpwstr>https://www.ftc.gov/system/files/ftc_gov/pdf/p246201_aipartnerships6breport_redacted_0.pdf</vt:lpwstr>
      </vt:variant>
      <vt:variant>
        <vt:lpwstr/>
      </vt:variant>
      <vt:variant>
        <vt:i4>2490414</vt:i4>
      </vt:variant>
      <vt:variant>
        <vt:i4>333</vt:i4>
      </vt:variant>
      <vt:variant>
        <vt:i4>0</vt:i4>
      </vt:variant>
      <vt:variant>
        <vt:i4>5</vt:i4>
      </vt:variant>
      <vt:variant>
        <vt:lpwstr>https://www.tse-fr.eu/sites/default/files/TSE/documents/doc/wp/2024/wp_tse_1520.pdf</vt:lpwstr>
      </vt:variant>
      <vt:variant>
        <vt:lpwstr/>
      </vt:variant>
      <vt:variant>
        <vt:i4>2883695</vt:i4>
      </vt:variant>
      <vt:variant>
        <vt:i4>330</vt:i4>
      </vt:variant>
      <vt:variant>
        <vt:i4>0</vt:i4>
      </vt:variant>
      <vt:variant>
        <vt:i4>5</vt:i4>
      </vt:variant>
      <vt:variant>
        <vt:lpwstr>https://partner.microsoft.com/en-us/partnership/find-a-partner</vt:lpwstr>
      </vt:variant>
      <vt:variant>
        <vt:lpwstr/>
      </vt:variant>
      <vt:variant>
        <vt:i4>589826</vt:i4>
      </vt:variant>
      <vt:variant>
        <vt:i4>327</vt:i4>
      </vt:variant>
      <vt:variant>
        <vt:i4>0</vt:i4>
      </vt:variant>
      <vt:variant>
        <vt:i4>5</vt:i4>
      </vt:variant>
      <vt:variant>
        <vt:lpwstr>https://aws.amazon.com/partners/programs/distribution-resellers/</vt:lpwstr>
      </vt:variant>
      <vt:variant>
        <vt:lpwstr/>
      </vt:variant>
      <vt:variant>
        <vt:i4>1769500</vt:i4>
      </vt:variant>
      <vt:variant>
        <vt:i4>324</vt:i4>
      </vt:variant>
      <vt:variant>
        <vt:i4>0</vt:i4>
      </vt:variant>
      <vt:variant>
        <vt:i4>5</vt:i4>
      </vt:variant>
      <vt:variant>
        <vt:lpwstr>https://aws.amazon.com/blogs/apn/announcing-the-regional-2024-aws-partners-of-the-year-for-europe-middle-east-and-africa/</vt:lpwstr>
      </vt:variant>
      <vt:variant>
        <vt:lpwstr/>
      </vt:variant>
      <vt:variant>
        <vt:i4>4980758</vt:i4>
      </vt:variant>
      <vt:variant>
        <vt:i4>321</vt:i4>
      </vt:variant>
      <vt:variant>
        <vt:i4>0</vt:i4>
      </vt:variant>
      <vt:variant>
        <vt:i4>5</vt:i4>
      </vt:variant>
      <vt:variant>
        <vt:lpwstr>https://www.ngpcap.com/insights/the-cloud-evolution-from-hyperscaler-dominance-to-modular-infrastructure</vt:lpwstr>
      </vt:variant>
      <vt:variant>
        <vt:lpwstr/>
      </vt:variant>
      <vt:variant>
        <vt:i4>5570570</vt:i4>
      </vt:variant>
      <vt:variant>
        <vt:i4>318</vt:i4>
      </vt:variant>
      <vt:variant>
        <vt:i4>0</vt:i4>
      </vt:variant>
      <vt:variant>
        <vt:i4>5</vt:i4>
      </vt:variant>
      <vt:variant>
        <vt:lpwstr>https://www.clingendael.org/publication/too-late-act-europes-quest-cloud-sovereignty</vt:lpwstr>
      </vt:variant>
      <vt:variant>
        <vt:lpwstr/>
      </vt:variant>
      <vt:variant>
        <vt:i4>5505066</vt:i4>
      </vt:variant>
      <vt:variant>
        <vt:i4>315</vt:i4>
      </vt:variant>
      <vt:variant>
        <vt:i4>0</vt:i4>
      </vt:variant>
      <vt:variant>
        <vt:i4>5</vt:i4>
      </vt:variant>
      <vt:variant>
        <vt:lpwstr>https://corporate.ovhcloud.com/sites/default/files/external_files/2025-10-21-ovhcloud-fy25-cp-eng-vdef5.pdf</vt:lpwstr>
      </vt:variant>
      <vt:variant>
        <vt:lpwstr/>
      </vt:variant>
      <vt:variant>
        <vt:i4>5242896</vt:i4>
      </vt:variant>
      <vt:variant>
        <vt:i4>312</vt:i4>
      </vt:variant>
      <vt:variant>
        <vt:i4>0</vt:i4>
      </vt:variant>
      <vt:variant>
        <vt:i4>5</vt:i4>
      </vt:variant>
      <vt:variant>
        <vt:lpwstr>https://www.datacenterdynamics.com/en/news/google-raises-2025-capex-estimate-again-to-91-93bn-significant-increase-in-data-center-spend-for-2026/</vt:lpwstr>
      </vt:variant>
      <vt:variant>
        <vt:lpwstr>:~:text=Cloud%20%26%20Hybrid%20Channel-,Google%20raises%202025%20capex%20estimate%2C%20again%2C%20to%20%2491%2D93bn,data%20center%20spend%20for%202026&amp;text=Google%20has%20increased%20its%20capex%20estimates%20for%202025%20to%20%2491%2D93bn.</vt:lpwstr>
      </vt:variant>
      <vt:variant>
        <vt:i4>3932280</vt:i4>
      </vt:variant>
      <vt:variant>
        <vt:i4>309</vt:i4>
      </vt:variant>
      <vt:variant>
        <vt:i4>0</vt:i4>
      </vt:variant>
      <vt:variant>
        <vt:i4>5</vt:i4>
      </vt:variant>
      <vt:variant>
        <vt:lpwstr>https://leitmotiv.digital/publications/breaking-the-cloud-monopoly</vt:lpwstr>
      </vt:variant>
      <vt:variant>
        <vt:lpwstr/>
      </vt:variant>
      <vt:variant>
        <vt:i4>5505030</vt:i4>
      </vt:variant>
      <vt:variant>
        <vt:i4>306</vt:i4>
      </vt:variant>
      <vt:variant>
        <vt:i4>0</vt:i4>
      </vt:variant>
      <vt:variant>
        <vt:i4>5</vt:i4>
      </vt:variant>
      <vt:variant>
        <vt:lpwstr>https://www.cbre.com/insights/books/european-real-estate-market-outlook-2025/data-centres</vt:lpwstr>
      </vt:variant>
      <vt:variant>
        <vt:lpwstr/>
      </vt:variant>
      <vt:variant>
        <vt:i4>6029328</vt:i4>
      </vt:variant>
      <vt:variant>
        <vt:i4>303</vt:i4>
      </vt:variant>
      <vt:variant>
        <vt:i4>0</vt:i4>
      </vt:variant>
      <vt:variant>
        <vt:i4>5</vt:i4>
      </vt:variant>
      <vt:variant>
        <vt:lpwstr>https://www.reuters.com/business/oaktree-backed-firm-unveils-12-billion-amsterdam-data-centre-project-2025-12-15/</vt:lpwstr>
      </vt:variant>
      <vt:variant>
        <vt:lpwstr/>
      </vt:variant>
      <vt:variant>
        <vt:i4>7536673</vt:i4>
      </vt:variant>
      <vt:variant>
        <vt:i4>300</vt:i4>
      </vt:variant>
      <vt:variant>
        <vt:i4>0</vt:i4>
      </vt:variant>
      <vt:variant>
        <vt:i4>5</vt:i4>
      </vt:variant>
      <vt:variant>
        <vt:lpwstr>https://doi.org/10.1787/595859c5-en</vt:lpwstr>
      </vt:variant>
      <vt:variant>
        <vt:lpwstr/>
      </vt:variant>
      <vt:variant>
        <vt:i4>4849735</vt:i4>
      </vt:variant>
      <vt:variant>
        <vt:i4>297</vt:i4>
      </vt:variant>
      <vt:variant>
        <vt:i4>0</vt:i4>
      </vt:variant>
      <vt:variant>
        <vt:i4>5</vt:i4>
      </vt:variant>
      <vt:variant>
        <vt:lpwstr>https://www.ovhcloud.com/en/about-us/global-infrastructure/expansion-regions-az/</vt:lpwstr>
      </vt:variant>
      <vt:variant>
        <vt:lpwstr/>
      </vt:variant>
      <vt:variant>
        <vt:i4>3801170</vt:i4>
      </vt:variant>
      <vt:variant>
        <vt:i4>294</vt:i4>
      </vt:variant>
      <vt:variant>
        <vt:i4>0</vt:i4>
      </vt:variant>
      <vt:variant>
        <vt:i4>5</vt:i4>
      </vt:variant>
      <vt:variant>
        <vt:lpwstr>https://aws.amazon.com/about-aws/global-infrastructure/regions_az/</vt:lpwstr>
      </vt:variant>
      <vt:variant>
        <vt:lpwstr/>
      </vt:variant>
      <vt:variant>
        <vt:i4>3145784</vt:i4>
      </vt:variant>
      <vt:variant>
        <vt:i4>291</vt:i4>
      </vt:variant>
      <vt:variant>
        <vt:i4>0</vt:i4>
      </vt:variant>
      <vt:variant>
        <vt:i4>5</vt:i4>
      </vt:variant>
      <vt:variant>
        <vt:lpwstr>https://www.usitc.gov/publications/332/pub5325.pdf</vt:lpwstr>
      </vt:variant>
      <vt:variant>
        <vt:lpwstr/>
      </vt:variant>
      <vt:variant>
        <vt:i4>5177366</vt:i4>
      </vt:variant>
      <vt:variant>
        <vt:i4>288</vt:i4>
      </vt:variant>
      <vt:variant>
        <vt:i4>0</vt:i4>
      </vt:variant>
      <vt:variant>
        <vt:i4>5</vt:i4>
      </vt:variant>
      <vt:variant>
        <vt:lpwstr>https://cc-techgroup.com/how-many-data-centers-are-in-the-us/</vt:lpwstr>
      </vt:variant>
      <vt:variant>
        <vt:lpwstr/>
      </vt:variant>
      <vt:variant>
        <vt:i4>6029392</vt:i4>
      </vt:variant>
      <vt:variant>
        <vt:i4>285</vt:i4>
      </vt:variant>
      <vt:variant>
        <vt:i4>0</vt:i4>
      </vt:variant>
      <vt:variant>
        <vt:i4>5</vt:i4>
      </vt:variant>
      <vt:variant>
        <vt:lpwstr>https://urldefense.com/v3/__https:/cesin.fr/document.php?d=6793a1b83eb98__;!!DOxrgLBm!CR42JzDJ4rGrmkh_E39b-WO0WCtljWkkWLREuGqfoAR0QK5CWbCARGNqc1qfsgXL1Ws2mpLC6lcoFmQQsDKHfK4Q_fhve5cX$</vt:lpwstr>
      </vt:variant>
      <vt:variant>
        <vt:lpwstr/>
      </vt:variant>
      <vt:variant>
        <vt:i4>1441863</vt:i4>
      </vt:variant>
      <vt:variant>
        <vt:i4>282</vt:i4>
      </vt:variant>
      <vt:variant>
        <vt:i4>0</vt:i4>
      </vt:variant>
      <vt:variant>
        <vt:i4>5</vt:i4>
      </vt:variant>
      <vt:variant>
        <vt:lpwstr>https://www.capgemini.com/wp-content/uploads/2022/07/CRI_Cloud-sovereignity_web10mb.pdf</vt:lpwstr>
      </vt:variant>
      <vt:variant>
        <vt:lpwstr/>
      </vt:variant>
      <vt:variant>
        <vt:i4>589835</vt:i4>
      </vt:variant>
      <vt:variant>
        <vt:i4>279</vt:i4>
      </vt:variant>
      <vt:variant>
        <vt:i4>0</vt:i4>
      </vt:variant>
      <vt:variant>
        <vt:i4>5</vt:i4>
      </vt:variant>
      <vt:variant>
        <vt:lpwstr>https://www.forbes.com/sites/emmawoollacott/2025/07/22/microsoft-cant-keep-eu-data-safe-from-us-authorities/</vt:lpwstr>
      </vt:variant>
      <vt:variant>
        <vt:lpwstr/>
      </vt:variant>
      <vt:variant>
        <vt:i4>1114208</vt:i4>
      </vt:variant>
      <vt:variant>
        <vt:i4>276</vt:i4>
      </vt:variant>
      <vt:variant>
        <vt:i4>0</vt:i4>
      </vt:variant>
      <vt:variant>
        <vt:i4>5</vt:i4>
      </vt:variant>
      <vt:variant>
        <vt:lpwstr>https://www.bankingsupervision.europa.eu/ecb/pub/pdf/ssm.supervisory_guides202507.en.pdf</vt:lpwstr>
      </vt:variant>
      <vt:variant>
        <vt:lpwstr/>
      </vt:variant>
      <vt:variant>
        <vt:i4>524306</vt:i4>
      </vt:variant>
      <vt:variant>
        <vt:i4>273</vt:i4>
      </vt:variant>
      <vt:variant>
        <vt:i4>0</vt:i4>
      </vt:variant>
      <vt:variant>
        <vt:i4>5</vt:i4>
      </vt:variant>
      <vt:variant>
        <vt:lpwstr>https://www.reuters.com/world/europe/dutch-parliament-calls-end-reliance-us-software-2025-03-18/</vt:lpwstr>
      </vt:variant>
      <vt:variant>
        <vt:lpwstr/>
      </vt:variant>
      <vt:variant>
        <vt:i4>1179730</vt:i4>
      </vt:variant>
      <vt:variant>
        <vt:i4>270</vt:i4>
      </vt:variant>
      <vt:variant>
        <vt:i4>0</vt:i4>
      </vt:variant>
      <vt:variant>
        <vt:i4>5</vt:i4>
      </vt:variant>
      <vt:variant>
        <vt:lpwstr>https://www.kyndryl.com/in/en/about-us/news/2025/11/kyndryl-purchase-cloud-services-solvinity</vt:lpwstr>
      </vt:variant>
      <vt:variant>
        <vt:lpwstr/>
      </vt:variant>
      <vt:variant>
        <vt:i4>1376340</vt:i4>
      </vt:variant>
      <vt:variant>
        <vt:i4>267</vt:i4>
      </vt:variant>
      <vt:variant>
        <vt:i4>0</vt:i4>
      </vt:variant>
      <vt:variant>
        <vt:i4>5</vt:i4>
      </vt:variant>
      <vt:variant>
        <vt:lpwstr>https://www.lemonde.fr/en/international/article/2025/11/19/nicolas-guillou-french-icc-judge-sanctioned-by-the-us-you-are-effectively-blacklisted-by-much-of-the-world-s-banking-system_6747628_4.html</vt:lpwstr>
      </vt:variant>
      <vt:variant>
        <vt:lpwstr/>
      </vt:variant>
      <vt:variant>
        <vt:i4>3014763</vt:i4>
      </vt:variant>
      <vt:variant>
        <vt:i4>264</vt:i4>
      </vt:variant>
      <vt:variant>
        <vt:i4>0</vt:i4>
      </vt:variant>
      <vt:variant>
        <vt:i4>5</vt:i4>
      </vt:variant>
      <vt:variant>
        <vt:lpwstr>https://www.bbc.com/news/live/c5y8k7k6v1rt</vt:lpwstr>
      </vt:variant>
      <vt:variant>
        <vt:lpwstr/>
      </vt:variant>
      <vt:variant>
        <vt:i4>2490466</vt:i4>
      </vt:variant>
      <vt:variant>
        <vt:i4>261</vt:i4>
      </vt:variant>
      <vt:variant>
        <vt:i4>0</vt:i4>
      </vt:variant>
      <vt:variant>
        <vt:i4>5</vt:i4>
      </vt:variant>
      <vt:variant>
        <vt:lpwstr>https://www.techpolicy.press/what-the-eu-needs-to-do-to-challenge-big-tech-cloud-dominance/</vt:lpwstr>
      </vt:variant>
      <vt:variant>
        <vt:lpwstr/>
      </vt:variant>
      <vt:variant>
        <vt:i4>3670068</vt:i4>
      </vt:variant>
      <vt:variant>
        <vt:i4>258</vt:i4>
      </vt:variant>
      <vt:variant>
        <vt:i4>0</vt:i4>
      </vt:variant>
      <vt:variant>
        <vt:i4>5</vt:i4>
      </vt:variant>
      <vt:variant>
        <vt:lpwstr>https://www.hcltech.com/trends-and-insights/understanding-cloud-outages-causes-consequences-and-mitigation-strategies</vt:lpwstr>
      </vt:variant>
      <vt:variant>
        <vt:lpwstr>:~:text=Financial%20losses:%20Downtime%20can%20result,for%20data%20availability%20and%20integrity.</vt:lpwstr>
      </vt:variant>
      <vt:variant>
        <vt:i4>4718615</vt:i4>
      </vt:variant>
      <vt:variant>
        <vt:i4>255</vt:i4>
      </vt:variant>
      <vt:variant>
        <vt:i4>0</vt:i4>
      </vt:variant>
      <vt:variant>
        <vt:i4>5</vt:i4>
      </vt:variant>
      <vt:variant>
        <vt:lpwstr>https://www.mckinsey.com/capabilities/quantumblack/our-insights/time-to-place-our-bets-europes-ai-opportunity</vt:lpwstr>
      </vt:variant>
      <vt:variant>
        <vt:lpwstr/>
      </vt:variant>
      <vt:variant>
        <vt:i4>6160445</vt:i4>
      </vt:variant>
      <vt:variant>
        <vt:i4>252</vt:i4>
      </vt:variant>
      <vt:variant>
        <vt:i4>0</vt:i4>
      </vt:variant>
      <vt:variant>
        <vt:i4>5</vt:i4>
      </vt:variant>
      <vt:variant>
        <vt:lpwstr>https://www.consilium.europa.eu/media/63818/art-paper-chatgpt-in-the-public-sector-overhyped-or-overlooked-24-april-2023_ext.pdf</vt:lpwstr>
      </vt:variant>
      <vt:variant>
        <vt:lpwstr/>
      </vt:variant>
      <vt:variant>
        <vt:i4>8126582</vt:i4>
      </vt:variant>
      <vt:variant>
        <vt:i4>249</vt:i4>
      </vt:variant>
      <vt:variant>
        <vt:i4>0</vt:i4>
      </vt:variant>
      <vt:variant>
        <vt:i4>5</vt:i4>
      </vt:variant>
      <vt:variant>
        <vt:lpwstr>https://www.cigref.fr/wp/wp-content/uploads/2025/05/TECHNOLOGICAL-DEPENDENCE-ON-AMERICAN-SOFTWARE-AND-CLOUD-SERVICES-AN-ASSESSMENT-OF-THE-ECONOMIC-CONSEQUENCES.pdf</vt:lpwstr>
      </vt:variant>
      <vt:variant>
        <vt:lpwstr/>
      </vt:variant>
      <vt:variant>
        <vt:i4>7209025</vt:i4>
      </vt:variant>
      <vt:variant>
        <vt:i4>246</vt:i4>
      </vt:variant>
      <vt:variant>
        <vt:i4>0</vt:i4>
      </vt:variant>
      <vt:variant>
        <vt:i4>5</vt:i4>
      </vt:variant>
      <vt:variant>
        <vt:lpwstr>https://www.oecd.org/content/dam/oecd/en/publications/reports/2025/05/competition-in-the-provision-of-cloud-computing-services_f42582ad/595859c5-en.pdf</vt:lpwstr>
      </vt:variant>
      <vt:variant>
        <vt:lpwstr/>
      </vt:variant>
      <vt:variant>
        <vt:i4>3080310</vt:i4>
      </vt:variant>
      <vt:variant>
        <vt:i4>243</vt:i4>
      </vt:variant>
      <vt:variant>
        <vt:i4>0</vt:i4>
      </vt:variant>
      <vt:variant>
        <vt:i4>5</vt:i4>
      </vt:variant>
      <vt:variant>
        <vt:lpwstr>https://www.europarl.europa.eu/RegData/etudes/STUD/2025/778576/ECTI_STU(2025)778576_EN.pdf</vt:lpwstr>
      </vt:variant>
      <vt:variant>
        <vt:lpwstr/>
      </vt:variant>
      <vt:variant>
        <vt:i4>2949154</vt:i4>
      </vt:variant>
      <vt:variant>
        <vt:i4>240</vt:i4>
      </vt:variant>
      <vt:variant>
        <vt:i4>0</vt:i4>
      </vt:variant>
      <vt:variant>
        <vt:i4>5</vt:i4>
      </vt:variant>
      <vt:variant>
        <vt:lpwstr>https://www.srgresearch.com/articles/european-cloud-providers-local-market-share-now-holds-steady-at-15</vt:lpwstr>
      </vt:variant>
      <vt:variant>
        <vt:lpwstr/>
      </vt:variant>
      <vt:variant>
        <vt:i4>2949154</vt:i4>
      </vt:variant>
      <vt:variant>
        <vt:i4>237</vt:i4>
      </vt:variant>
      <vt:variant>
        <vt:i4>0</vt:i4>
      </vt:variant>
      <vt:variant>
        <vt:i4>5</vt:i4>
      </vt:variant>
      <vt:variant>
        <vt:lpwstr>https://www.srgresearch.com/articles/european-cloud-providers-local-market-share-now-holds-steady-at-15</vt:lpwstr>
      </vt:variant>
      <vt:variant>
        <vt:lpwstr/>
      </vt:variant>
      <vt:variant>
        <vt:i4>3932214</vt:i4>
      </vt:variant>
      <vt:variant>
        <vt:i4>234</vt:i4>
      </vt:variant>
      <vt:variant>
        <vt:i4>0</vt:i4>
      </vt:variant>
      <vt:variant>
        <vt:i4>5</vt:i4>
      </vt:variant>
      <vt:variant>
        <vt:lpwstr>https://www.srgresearch.com/articles/cloud-is-a-global-market-apart-from-china</vt:lpwstr>
      </vt:variant>
      <vt:variant>
        <vt:lpwstr/>
      </vt:variant>
      <vt:variant>
        <vt:i4>5177352</vt:i4>
      </vt:variant>
      <vt:variant>
        <vt:i4>231</vt:i4>
      </vt:variant>
      <vt:variant>
        <vt:i4>0</vt:i4>
      </vt:variant>
      <vt:variant>
        <vt:i4>5</vt:i4>
      </vt:variant>
      <vt:variant>
        <vt:lpwstr>https://www.statista.com/outlook/tmo/public-cloud/eu-27?currency=EUR</vt:lpwstr>
      </vt:variant>
      <vt:variant>
        <vt:lpwstr/>
      </vt:variant>
      <vt:variant>
        <vt:i4>262234</vt:i4>
      </vt:variant>
      <vt:variant>
        <vt:i4>228</vt:i4>
      </vt:variant>
      <vt:variant>
        <vt:i4>0</vt:i4>
      </vt:variant>
      <vt:variant>
        <vt:i4>5</vt:i4>
      </vt:variant>
      <vt:variant>
        <vt:lpwstr>https://www.euronews.com/next/2024/06/14/mistal-ai-warns-of-lack-of-data-centres-training-capacity-in-europe</vt:lpwstr>
      </vt:variant>
      <vt:variant>
        <vt:lpwstr/>
      </vt:variant>
      <vt:variant>
        <vt:i4>3670072</vt:i4>
      </vt:variant>
      <vt:variant>
        <vt:i4>225</vt:i4>
      </vt:variant>
      <vt:variant>
        <vt:i4>0</vt:i4>
      </vt:variant>
      <vt:variant>
        <vt:i4>5</vt:i4>
      </vt:variant>
      <vt:variant>
        <vt:lpwstr>https://www.servermania.com/kb/articles/cloud-server-prices</vt:lpwstr>
      </vt:variant>
      <vt:variant>
        <vt:lpwstr/>
      </vt:variant>
      <vt:variant>
        <vt:i4>6225977</vt:i4>
      </vt:variant>
      <vt:variant>
        <vt:i4>222</vt:i4>
      </vt:variant>
      <vt:variant>
        <vt:i4>0</vt:i4>
      </vt:variant>
      <vt:variant>
        <vt:i4>5</vt:i4>
      </vt:variant>
      <vt:variant>
        <vt:lpwstr>https://www.creos-net.lu/fileadmin/dokumente/downloads/20201029_Scenario_Report_2040.pdf?</vt:lpwstr>
      </vt:variant>
      <vt:variant>
        <vt:lpwstr/>
      </vt:variant>
      <vt:variant>
        <vt:i4>2687086</vt:i4>
      </vt:variant>
      <vt:variant>
        <vt:i4>219</vt:i4>
      </vt:variant>
      <vt:variant>
        <vt:i4>0</vt:i4>
      </vt:variant>
      <vt:variant>
        <vt:i4>5</vt:i4>
      </vt:variant>
      <vt:variant>
        <vt:lpwstr>https://onlinelibrary.wiley.com/doi/10.1111/1468-2427.13316</vt:lpwstr>
      </vt:variant>
      <vt:variant>
        <vt:lpwstr/>
      </vt:variant>
      <vt:variant>
        <vt:i4>4325396</vt:i4>
      </vt:variant>
      <vt:variant>
        <vt:i4>216</vt:i4>
      </vt:variant>
      <vt:variant>
        <vt:i4>0</vt:i4>
      </vt:variant>
      <vt:variant>
        <vt:i4>5</vt:i4>
      </vt:variant>
      <vt:variant>
        <vt:lpwstr>https://www.rte.ie/news/dublin/2022/0110/1272869-eirgrid-datacentres-dublin/</vt:lpwstr>
      </vt:variant>
      <vt:variant>
        <vt:lpwstr/>
      </vt:variant>
      <vt:variant>
        <vt:i4>65560</vt:i4>
      </vt:variant>
      <vt:variant>
        <vt:i4>213</vt:i4>
      </vt:variant>
      <vt:variant>
        <vt:i4>0</vt:i4>
      </vt:variant>
      <vt:variant>
        <vt:i4>5</vt:i4>
      </vt:variant>
      <vt:variant>
        <vt:lpwstr>https://www.cbre.com/insights/books/european-real-estate-market-outlook-mid-year-review-2025/data-centres</vt:lpwstr>
      </vt:variant>
      <vt:variant>
        <vt:lpwstr>:~:text=Pricing%20for%20data%20centre%20space,account%20for%20higher%20build%20costs.</vt:lpwstr>
      </vt:variant>
      <vt:variant>
        <vt:i4>65560</vt:i4>
      </vt:variant>
      <vt:variant>
        <vt:i4>210</vt:i4>
      </vt:variant>
      <vt:variant>
        <vt:i4>0</vt:i4>
      </vt:variant>
      <vt:variant>
        <vt:i4>5</vt:i4>
      </vt:variant>
      <vt:variant>
        <vt:lpwstr>https://www.cbre.com/insights/books/european-real-estate-market-outlook-mid-year-review-2025/data-centres</vt:lpwstr>
      </vt:variant>
      <vt:variant>
        <vt:lpwstr>:~:text=Pricing%20for%20data%20centre%20space,account%20for%20higher%20build%20costs.</vt:lpwstr>
      </vt:variant>
      <vt:variant>
        <vt:i4>5570562</vt:i4>
      </vt:variant>
      <vt:variant>
        <vt:i4>207</vt:i4>
      </vt:variant>
      <vt:variant>
        <vt:i4>0</vt:i4>
      </vt:variant>
      <vt:variant>
        <vt:i4>5</vt:i4>
      </vt:variant>
      <vt:variant>
        <vt:lpwstr>https://www.mckinsey.com/industries/electric-power-and-natural-gas/our-insights/the-role-of-power-in-unlocking-the-european-ai-revolution</vt:lpwstr>
      </vt:variant>
      <vt:variant>
        <vt:lpwstr/>
      </vt:variant>
      <vt:variant>
        <vt:i4>3604486</vt:i4>
      </vt:variant>
      <vt:variant>
        <vt:i4>204</vt:i4>
      </vt:variant>
      <vt:variant>
        <vt:i4>0</vt:i4>
      </vt:variant>
      <vt:variant>
        <vt:i4>5</vt:i4>
      </vt:variant>
      <vt:variant>
        <vt:lpwstr>https://www.savills.co.uk/research_articles/229130/362695-0</vt:lpwstr>
      </vt:variant>
      <vt:variant>
        <vt:lpwstr/>
      </vt:variant>
      <vt:variant>
        <vt:i4>6357107</vt:i4>
      </vt:variant>
      <vt:variant>
        <vt:i4>201</vt:i4>
      </vt:variant>
      <vt:variant>
        <vt:i4>0</vt:i4>
      </vt:variant>
      <vt:variant>
        <vt:i4>5</vt:i4>
      </vt:variant>
      <vt:variant>
        <vt:lpwstr>https://geopolitique.eu/en/2025/02/10/financing-infrastructure-for-a-competitive-european-ai/</vt:lpwstr>
      </vt:variant>
      <vt:variant>
        <vt:lpwstr>:~:text=A%20European%20AI%20infrastructure%20and%20insufficient%20funding&amp;text=As%20far%20as%20data%20centers,US%2012%20%2C%20a%20comparable%20economy.</vt:lpwstr>
      </vt:variant>
      <vt:variant>
        <vt:i4>4915225</vt:i4>
      </vt:variant>
      <vt:variant>
        <vt:i4>198</vt:i4>
      </vt:variant>
      <vt:variant>
        <vt:i4>0</vt:i4>
      </vt:variant>
      <vt:variant>
        <vt:i4>5</vt:i4>
      </vt:variant>
      <vt:variant>
        <vt:lpwstr>https://assets.kpmg.com/content/dam/kpmg/ie/pdf/2022/11/ie-the-evolving-data-centre-landscape.pdf</vt:lpwstr>
      </vt:variant>
      <vt:variant>
        <vt:lpwstr/>
      </vt:variant>
      <vt:variant>
        <vt:i4>6553722</vt:i4>
      </vt:variant>
      <vt:variant>
        <vt:i4>195</vt:i4>
      </vt:variant>
      <vt:variant>
        <vt:i4>0</vt:i4>
      </vt:variant>
      <vt:variant>
        <vt:i4>5</vt:i4>
      </vt:variant>
      <vt:variant>
        <vt:lpwstr>https://finance.yahoo.com/news/big-techs-ai-investments-set-to-spike-to-364-billion-in-2025-as-bubble-fears-ease-143203885.html</vt:lpwstr>
      </vt:variant>
      <vt:variant>
        <vt:lpwstr/>
      </vt:variant>
      <vt:variant>
        <vt:i4>5701710</vt:i4>
      </vt:variant>
      <vt:variant>
        <vt:i4>192</vt:i4>
      </vt:variant>
      <vt:variant>
        <vt:i4>0</vt:i4>
      </vt:variant>
      <vt:variant>
        <vt:i4>5</vt:i4>
      </vt:variant>
      <vt:variant>
        <vt:lpwstr>https://www.cbre.com/insights/reports/global-data-center-trends-2025</vt:lpwstr>
      </vt:variant>
      <vt:variant>
        <vt:lpwstr/>
      </vt:variant>
      <vt:variant>
        <vt:i4>983051</vt:i4>
      </vt:variant>
      <vt:variant>
        <vt:i4>189</vt:i4>
      </vt:variant>
      <vt:variant>
        <vt:i4>0</vt:i4>
      </vt:variant>
      <vt:variant>
        <vt:i4>5</vt:i4>
      </vt:variant>
      <vt:variant>
        <vt:lpwstr>https://www.cbre.com/insights/books/european-real-estate-market-outlook-mid-year-review-2025/data-centres</vt:lpwstr>
      </vt:variant>
      <vt:variant>
        <vt:lpwstr>:~:text=Rents%20will%20continue%20to%20increase,charge%20a%20premium%20rental%20rate.</vt:lpwstr>
      </vt:variant>
      <vt:variant>
        <vt:i4>7864379</vt:i4>
      </vt:variant>
      <vt:variant>
        <vt:i4>186</vt:i4>
      </vt:variant>
      <vt:variant>
        <vt:i4>0</vt:i4>
      </vt:variant>
      <vt:variant>
        <vt:i4>5</vt:i4>
      </vt:variant>
      <vt:variant>
        <vt:lpwstr>https://www.statista.com/outlook/tmo/artificial-intelligence/eu-27</vt:lpwstr>
      </vt:variant>
      <vt:variant>
        <vt:lpwstr/>
      </vt:variant>
      <vt:variant>
        <vt:i4>4063284</vt:i4>
      </vt:variant>
      <vt:variant>
        <vt:i4>183</vt:i4>
      </vt:variant>
      <vt:variant>
        <vt:i4>0</vt:i4>
      </vt:variant>
      <vt:variant>
        <vt:i4>5</vt:i4>
      </vt:variant>
      <vt:variant>
        <vt:lpwstr>https://hai.stanford.edu/ai-index/2025-ai-index-report?utm</vt:lpwstr>
      </vt:variant>
      <vt:variant>
        <vt:lpwstr/>
      </vt:variant>
      <vt:variant>
        <vt:i4>6553644</vt:i4>
      </vt:variant>
      <vt:variant>
        <vt:i4>180</vt:i4>
      </vt:variant>
      <vt:variant>
        <vt:i4>0</vt:i4>
      </vt:variant>
      <vt:variant>
        <vt:i4>5</vt:i4>
      </vt:variant>
      <vt:variant>
        <vt:lpwstr>https://www.goldmansachs.com/insights/articles/ai-to-drive-165-increase-in-data-center-power-demand-by-2030</vt:lpwstr>
      </vt:variant>
      <vt:variant>
        <vt:lpwstr/>
      </vt:variant>
      <vt:variant>
        <vt:i4>4259842</vt:i4>
      </vt:variant>
      <vt:variant>
        <vt:i4>177</vt:i4>
      </vt:variant>
      <vt:variant>
        <vt:i4>0</vt:i4>
      </vt:variant>
      <vt:variant>
        <vt:i4>5</vt:i4>
      </vt:variant>
      <vt:variant>
        <vt:lpwstr>https://www.bain.com/insights/how-can-we-meet-ais-insatiable-demand-for-compute-power-technology-report-2025/</vt:lpwstr>
      </vt:variant>
      <vt:variant>
        <vt:lpwstr/>
      </vt:variant>
      <vt:variant>
        <vt:i4>2359335</vt:i4>
      </vt:variant>
      <vt:variant>
        <vt:i4>174</vt:i4>
      </vt:variant>
      <vt:variant>
        <vt:i4>0</vt:i4>
      </vt:variant>
      <vt:variant>
        <vt:i4>5</vt:i4>
      </vt:variant>
      <vt:variant>
        <vt:lpwstr>https://www.mckinsey.com/industries/technology-media-and-telecommunications/our-insights/the-cost-of-compute-a-7-trillion-dollar-race-to-scale-data-centers</vt:lpwstr>
      </vt:variant>
      <vt:variant>
        <vt:lpwstr/>
      </vt:variant>
      <vt:variant>
        <vt:i4>3473498</vt:i4>
      </vt:variant>
      <vt:variant>
        <vt:i4>171</vt:i4>
      </vt:variant>
      <vt:variant>
        <vt:i4>0</vt:i4>
      </vt:variant>
      <vt:variant>
        <vt:i4>5</vt:i4>
      </vt:variant>
      <vt:variant>
        <vt:lpwstr>https://cset.georgetown.edu/wp-content/uploads/AI-and-Compute-How-Much-Longer-Can-Computing-Power-Drive-Artificial-Intelligence-Progress_v2.pdf</vt:lpwstr>
      </vt:variant>
      <vt:variant>
        <vt:lpwstr/>
      </vt:variant>
      <vt:variant>
        <vt:i4>3211300</vt:i4>
      </vt:variant>
      <vt:variant>
        <vt:i4>168</vt:i4>
      </vt:variant>
      <vt:variant>
        <vt:i4>0</vt:i4>
      </vt:variant>
      <vt:variant>
        <vt:i4>5</vt:i4>
      </vt:variant>
      <vt:variant>
        <vt:lpwstr>https://www.gartner.com/en/newsroom/press-releases/2026-02-09-gartner-says-worldwide-sovereign-cloud-iaas-spending-will-total-us-dollars-80-billion-in-2026</vt:lpwstr>
      </vt:variant>
      <vt:variant>
        <vt:lpwstr>:~:text=Sovereign%20Cloud%20IaaS%20Spending%20to,in%20the%2020%20percent%20range.</vt:lpwstr>
      </vt:variant>
      <vt:variant>
        <vt:i4>7077941</vt:i4>
      </vt:variant>
      <vt:variant>
        <vt:i4>165</vt:i4>
      </vt:variant>
      <vt:variant>
        <vt:i4>0</vt:i4>
      </vt:variant>
      <vt:variant>
        <vt:i4>5</vt:i4>
      </vt:variant>
      <vt:variant>
        <vt:lpwstr>https://www.acm.nl/en/publications/market-study-cloud-services</vt:lpwstr>
      </vt:variant>
      <vt:variant>
        <vt:lpwstr/>
      </vt:variant>
      <vt:variant>
        <vt:i4>8060956</vt:i4>
      </vt:variant>
      <vt:variant>
        <vt:i4>162</vt:i4>
      </vt:variant>
      <vt:variant>
        <vt:i4>0</vt:i4>
      </vt:variant>
      <vt:variant>
        <vt:i4>5</vt:i4>
      </vt:variant>
      <vt:variant>
        <vt:lpwstr>https://assets.publishing.service.gov.uk/media/688b20e6ff8c05468cb7b120/summary_of_final_decision.pdf</vt:lpwstr>
      </vt:variant>
      <vt:variant>
        <vt:lpwstr/>
      </vt:variant>
      <vt:variant>
        <vt:i4>5046301</vt:i4>
      </vt:variant>
      <vt:variant>
        <vt:i4>159</vt:i4>
      </vt:variant>
      <vt:variant>
        <vt:i4>0</vt:i4>
      </vt:variant>
      <vt:variant>
        <vt:i4>5</vt:i4>
      </vt:variant>
      <vt:variant>
        <vt:lpwstr>https://ideas.repec.org/s/tse/wpaper.html</vt:lpwstr>
      </vt:variant>
      <vt:variant>
        <vt:lpwstr/>
      </vt:variant>
      <vt:variant>
        <vt:i4>4194395</vt:i4>
      </vt:variant>
      <vt:variant>
        <vt:i4>156</vt:i4>
      </vt:variant>
      <vt:variant>
        <vt:i4>0</vt:i4>
      </vt:variant>
      <vt:variant>
        <vt:i4>5</vt:i4>
      </vt:variant>
      <vt:variant>
        <vt:lpwstr>https://ideas.repec.org/p/tse/wpaper/129265.html</vt:lpwstr>
      </vt:variant>
      <vt:variant>
        <vt:lpwstr/>
      </vt:variant>
      <vt:variant>
        <vt:i4>4259910</vt:i4>
      </vt:variant>
      <vt:variant>
        <vt:i4>153</vt:i4>
      </vt:variant>
      <vt:variant>
        <vt:i4>0</vt:i4>
      </vt:variant>
      <vt:variant>
        <vt:i4>5</vt:i4>
      </vt:variant>
      <vt:variant>
        <vt:lpwstr>https://static.ie.edu/CGC/CGC_Competitive_Cloud_Ecosystems_2025.pdf</vt:lpwstr>
      </vt:variant>
      <vt:variant>
        <vt:lpwstr/>
      </vt:variant>
      <vt:variant>
        <vt:i4>1376331</vt:i4>
      </vt:variant>
      <vt:variant>
        <vt:i4>150</vt:i4>
      </vt:variant>
      <vt:variant>
        <vt:i4>0</vt:i4>
      </vt:variant>
      <vt:variant>
        <vt:i4>5</vt:i4>
      </vt:variant>
      <vt:variant>
        <vt:lpwstr>https://hyperframeresearch.com/2025/02/08/the-future-of-hyperscaler-capital-expenditures-a-deep-dive-into-ai-and-cloud-computing/</vt:lpwstr>
      </vt:variant>
      <vt:variant>
        <vt:lpwstr/>
      </vt:variant>
      <vt:variant>
        <vt:i4>6226045</vt:i4>
      </vt:variant>
      <vt:variant>
        <vt:i4>147</vt:i4>
      </vt:variant>
      <vt:variant>
        <vt:i4>0</vt:i4>
      </vt:variant>
      <vt:variant>
        <vt:i4>5</vt:i4>
      </vt:variant>
      <vt:variant>
        <vt:lpwstr>https://iri.jrc.ec.europa.eu/sites/default/files/2021-01/SB2020_final_16Dec2020_online.pdf</vt:lpwstr>
      </vt:variant>
      <vt:variant>
        <vt:lpwstr/>
      </vt:variant>
      <vt:variant>
        <vt:i4>2162801</vt:i4>
      </vt:variant>
      <vt:variant>
        <vt:i4>144</vt:i4>
      </vt:variant>
      <vt:variant>
        <vt:i4>0</vt:i4>
      </vt:variant>
      <vt:variant>
        <vt:i4>5</vt:i4>
      </vt:variant>
      <vt:variant>
        <vt:lpwstr>https://www.computerweekly.com/news/252494886/European-IT-providers-struggle-to-capitalise-on-continent-wide-growth-in-cloud-demand</vt:lpwstr>
      </vt:variant>
      <vt:variant>
        <vt:lpwstr/>
      </vt:variant>
      <vt:variant>
        <vt:i4>3145824</vt:i4>
      </vt:variant>
      <vt:variant>
        <vt:i4>141</vt:i4>
      </vt:variant>
      <vt:variant>
        <vt:i4>0</vt:i4>
      </vt:variant>
      <vt:variant>
        <vt:i4>5</vt:i4>
      </vt:variant>
      <vt:variant>
        <vt:lpwstr>https://www.mobileeurope.co.uk/netflix-prime-video-and-disney-have-85-of-europes-svod-market/</vt:lpwstr>
      </vt:variant>
      <vt:variant>
        <vt:lpwstr>:~:text=According%20to%20the%20European%20Commission%27s%20*SVOD%20Usage,is%20less%20concentrated%20than%20TV%20content%20usage</vt:lpwstr>
      </vt:variant>
      <vt:variant>
        <vt:i4>65629</vt:i4>
      </vt:variant>
      <vt:variant>
        <vt:i4>138</vt:i4>
      </vt:variant>
      <vt:variant>
        <vt:i4>0</vt:i4>
      </vt:variant>
      <vt:variant>
        <vt:i4>5</vt:i4>
      </vt:variant>
      <vt:variant>
        <vt:lpwstr>https://ec.europa.eu/eurostat/statistics-explained/index.php?title=Cloud_computing_-_statistics_on_the_use_by_enterprises</vt:lpwstr>
      </vt:variant>
      <vt:variant>
        <vt:lpwstr>:~:text=Not%20surprisingly%2C%20the%20highest%20proportion,remediation%20sector%20(+10.56%20pp).</vt:lpwstr>
      </vt:variant>
      <vt:variant>
        <vt:i4>5374034</vt:i4>
      </vt:variant>
      <vt:variant>
        <vt:i4>135</vt:i4>
      </vt:variant>
      <vt:variant>
        <vt:i4>0</vt:i4>
      </vt:variant>
      <vt:variant>
        <vt:i4>5</vt:i4>
      </vt:variant>
      <vt:variant>
        <vt:lpwstr>https://learn.microsoft.com/en-us/partner-center/enroll/csp-overview</vt:lpwstr>
      </vt:variant>
      <vt:variant>
        <vt:lpwstr/>
      </vt:variant>
      <vt:variant>
        <vt:i4>4718672</vt:i4>
      </vt:variant>
      <vt:variant>
        <vt:i4>132</vt:i4>
      </vt:variant>
      <vt:variant>
        <vt:i4>0</vt:i4>
      </vt:variant>
      <vt:variant>
        <vt:i4>5</vt:i4>
      </vt:variant>
      <vt:variant>
        <vt:lpwstr>https://pulse.microsoft.com/en/transform-en/na/fa2-microsoft-partnerships-drive-innovation-and-growth-in-europe-in-times-of-uncertainty/</vt:lpwstr>
      </vt:variant>
      <vt:variant>
        <vt:lpwstr/>
      </vt:variant>
      <vt:variant>
        <vt:i4>6291552</vt:i4>
      </vt:variant>
      <vt:variant>
        <vt:i4>129</vt:i4>
      </vt:variant>
      <vt:variant>
        <vt:i4>0</vt:i4>
      </vt:variant>
      <vt:variant>
        <vt:i4>5</vt:i4>
      </vt:variant>
      <vt:variant>
        <vt:lpwstr>https://azure.microsoft.com/en-us/partners</vt:lpwstr>
      </vt:variant>
      <vt:variant>
        <vt:lpwstr/>
      </vt:variant>
      <vt:variant>
        <vt:i4>4456532</vt:i4>
      </vt:variant>
      <vt:variant>
        <vt:i4>126</vt:i4>
      </vt:variant>
      <vt:variant>
        <vt:i4>0</vt:i4>
      </vt:variant>
      <vt:variant>
        <vt:i4>5</vt:i4>
      </vt:variant>
      <vt:variant>
        <vt:lpwstr>https://www.novacloud.io/blog/top-aws-consulting-partners</vt:lpwstr>
      </vt:variant>
      <vt:variant>
        <vt:lpwstr/>
      </vt:variant>
      <vt:variant>
        <vt:i4>1769541</vt:i4>
      </vt:variant>
      <vt:variant>
        <vt:i4>123</vt:i4>
      </vt:variant>
      <vt:variant>
        <vt:i4>0</vt:i4>
      </vt:variant>
      <vt:variant>
        <vt:i4>5</vt:i4>
      </vt:variant>
      <vt:variant>
        <vt:lpwstr>https://aws.amazon.com/partners/training/</vt:lpwstr>
      </vt:variant>
      <vt:variant>
        <vt:lpwstr/>
      </vt:variant>
      <vt:variant>
        <vt:i4>5505088</vt:i4>
      </vt:variant>
      <vt:variant>
        <vt:i4>120</vt:i4>
      </vt:variant>
      <vt:variant>
        <vt:i4>0</vt:i4>
      </vt:variant>
      <vt:variant>
        <vt:i4>5</vt:i4>
      </vt:variant>
      <vt:variant>
        <vt:lpwstr>https://www.znetlive.com/blog/what-made-aws-the-leader-in-the-cloud-industry/</vt:lpwstr>
      </vt:variant>
      <vt:variant>
        <vt:lpwstr>:~:text=First%20mover%20advantage&amp;text=AWS%20was%20launched%20in%202006,build%20a%20strong%20brand%20reputation.</vt:lpwstr>
      </vt:variant>
      <vt:variant>
        <vt:i4>3276902</vt:i4>
      </vt:variant>
      <vt:variant>
        <vt:i4>117</vt:i4>
      </vt:variant>
      <vt:variant>
        <vt:i4>0</vt:i4>
      </vt:variant>
      <vt:variant>
        <vt:i4>5</vt:i4>
      </vt:variant>
      <vt:variant>
        <vt:lpwstr>https://www.datacenterdynamics.com/en/news/cia-awards-multibillion-c2e-cloud-contract-aws-microsoft-google-oracle-and-ibm/</vt:lpwstr>
      </vt:variant>
      <vt:variant>
        <vt:lpwstr/>
      </vt:variant>
      <vt:variant>
        <vt:i4>5242947</vt:i4>
      </vt:variant>
      <vt:variant>
        <vt:i4>114</vt:i4>
      </vt:variant>
      <vt:variant>
        <vt:i4>0</vt:i4>
      </vt:variant>
      <vt:variant>
        <vt:i4>5</vt:i4>
      </vt:variant>
      <vt:variant>
        <vt:lpwstr>https://www.nextgov.com/modernization/2020/11/exclusive-cia-awards-secret-multibillion-dollar-cloud-contract/170227/</vt:lpwstr>
      </vt:variant>
      <vt:variant>
        <vt:lpwstr/>
      </vt:variant>
      <vt:variant>
        <vt:i4>6684777</vt:i4>
      </vt:variant>
      <vt:variant>
        <vt:i4>111</vt:i4>
      </vt:variant>
      <vt:variant>
        <vt:i4>0</vt:i4>
      </vt:variant>
      <vt:variant>
        <vt:i4>5</vt:i4>
      </vt:variant>
      <vt:variant>
        <vt:lpwstr>https://ec.europa.eu/newsroom/repository/document/2021-18/European_CloudEdge_Technology_Investment_Roadmap_for_publication_pMdz85DSw6nqPppq8hE9S9RbB8_76223.pdf</vt:lpwstr>
      </vt:variant>
      <vt:variant>
        <vt:lpwstr/>
      </vt:variant>
      <vt:variant>
        <vt:i4>2162801</vt:i4>
      </vt:variant>
      <vt:variant>
        <vt:i4>108</vt:i4>
      </vt:variant>
      <vt:variant>
        <vt:i4>0</vt:i4>
      </vt:variant>
      <vt:variant>
        <vt:i4>5</vt:i4>
      </vt:variant>
      <vt:variant>
        <vt:lpwstr>https://www.computerweekly.com/news/252494886/European-IT-providers-struggle-to-capitalise-on-continent-wide-growth-in-cloud-demand</vt:lpwstr>
      </vt:variant>
      <vt:variant>
        <vt:lpwstr/>
      </vt:variant>
      <vt:variant>
        <vt:i4>2949154</vt:i4>
      </vt:variant>
      <vt:variant>
        <vt:i4>105</vt:i4>
      </vt:variant>
      <vt:variant>
        <vt:i4>0</vt:i4>
      </vt:variant>
      <vt:variant>
        <vt:i4>5</vt:i4>
      </vt:variant>
      <vt:variant>
        <vt:lpwstr>https://www.srgresearch.com/articles/european-cloud-providers-local-market-share-now-holds-steady-at-15</vt:lpwstr>
      </vt:variant>
      <vt:variant>
        <vt:lpwstr/>
      </vt:variant>
      <vt:variant>
        <vt:i4>5242952</vt:i4>
      </vt:variant>
      <vt:variant>
        <vt:i4>102</vt:i4>
      </vt:variant>
      <vt:variant>
        <vt:i4>0</vt:i4>
      </vt:variant>
      <vt:variant>
        <vt:i4>5</vt:i4>
      </vt:variant>
      <vt:variant>
        <vt:lpwstr>https://ec.europa.eu/eurostat/en/web/products-eurostat-news/w/ddn-20260203-1</vt:lpwstr>
      </vt:variant>
      <vt:variant>
        <vt:lpwstr/>
      </vt:variant>
      <vt:variant>
        <vt:i4>1638409</vt:i4>
      </vt:variant>
      <vt:variant>
        <vt:i4>99</vt:i4>
      </vt:variant>
      <vt:variant>
        <vt:i4>0</vt:i4>
      </vt:variant>
      <vt:variant>
        <vt:i4>5</vt:i4>
      </vt:variant>
      <vt:variant>
        <vt:lpwstr>https://creativecommons.org/licenses/by/3.0/igo/</vt:lpwstr>
      </vt:variant>
      <vt:variant>
        <vt:lpwstr/>
      </vt:variant>
      <vt:variant>
        <vt:i4>983046</vt:i4>
      </vt:variant>
      <vt:variant>
        <vt:i4>96</vt:i4>
      </vt:variant>
      <vt:variant>
        <vt:i4>0</vt:i4>
      </vt:variant>
      <vt:variant>
        <vt:i4>5</vt:i4>
      </vt:variant>
      <vt:variant>
        <vt:lpwstr>http://hdl.handle.net/10986/41587</vt:lpwstr>
      </vt:variant>
      <vt:variant>
        <vt:lpwstr/>
      </vt:variant>
      <vt:variant>
        <vt:i4>5636114</vt:i4>
      </vt:variant>
      <vt:variant>
        <vt:i4>93</vt:i4>
      </vt:variant>
      <vt:variant>
        <vt:i4>0</vt:i4>
      </vt:variant>
      <vt:variant>
        <vt:i4>5</vt:i4>
      </vt:variant>
      <vt:variant>
        <vt:lpwstr>https://www.securitymagazine.com/articles/80785-cloud-services-market-to-exceed-68-billion-in-2010-1</vt:lpwstr>
      </vt:variant>
      <vt:variant>
        <vt:lpwstr/>
      </vt:variant>
      <vt:variant>
        <vt:i4>5570563</vt:i4>
      </vt:variant>
      <vt:variant>
        <vt:i4>90</vt:i4>
      </vt:variant>
      <vt:variant>
        <vt:i4>0</vt:i4>
      </vt:variant>
      <vt:variant>
        <vt:i4>5</vt:i4>
      </vt:variant>
      <vt:variant>
        <vt:lpwstr>https://eur-lex.europa.eu/legal-content/EN/TXT/?uri=CELEX%3A32014L0024&amp;qid=1753092068405</vt:lpwstr>
      </vt:variant>
      <vt:variant>
        <vt:lpwstr/>
      </vt:variant>
      <vt:variant>
        <vt:i4>3342463</vt:i4>
      </vt:variant>
      <vt:variant>
        <vt:i4>87</vt:i4>
      </vt:variant>
      <vt:variant>
        <vt:i4>0</vt:i4>
      </vt:variant>
      <vt:variant>
        <vt:i4>5</vt:i4>
      </vt:variant>
      <vt:variant>
        <vt:lpwstr>https://eur-lex.europa.eu/eli/dir/2022/2555</vt:lpwstr>
      </vt:variant>
      <vt:variant>
        <vt:lpwstr/>
      </vt:variant>
      <vt:variant>
        <vt:i4>7995431</vt:i4>
      </vt:variant>
      <vt:variant>
        <vt:i4>84</vt:i4>
      </vt:variant>
      <vt:variant>
        <vt:i4>0</vt:i4>
      </vt:variant>
      <vt:variant>
        <vt:i4>5</vt:i4>
      </vt:variant>
      <vt:variant>
        <vt:lpwstr>https://eur-lex.europa.eu/eli/reg/2022/2554/oj</vt:lpwstr>
      </vt:variant>
      <vt:variant>
        <vt:lpwstr/>
      </vt:variant>
      <vt:variant>
        <vt:i4>1310802</vt:i4>
      </vt:variant>
      <vt:variant>
        <vt:i4>81</vt:i4>
      </vt:variant>
      <vt:variant>
        <vt:i4>0</vt:i4>
      </vt:variant>
      <vt:variant>
        <vt:i4>5</vt:i4>
      </vt:variant>
      <vt:variant>
        <vt:lpwstr>https://eur-lex.europa.eu/eli/reg/2019/881/oj/eng</vt:lpwstr>
      </vt:variant>
      <vt:variant>
        <vt:lpwstr/>
      </vt:variant>
      <vt:variant>
        <vt:i4>7340136</vt:i4>
      </vt:variant>
      <vt:variant>
        <vt:i4>78</vt:i4>
      </vt:variant>
      <vt:variant>
        <vt:i4>0</vt:i4>
      </vt:variant>
      <vt:variant>
        <vt:i4>5</vt:i4>
      </vt:variant>
      <vt:variant>
        <vt:lpwstr>https://eur-lex.europa.eu/eli/reg/2024/1689/oj/eng</vt:lpwstr>
      </vt:variant>
      <vt:variant>
        <vt:lpwstr/>
      </vt:variant>
      <vt:variant>
        <vt:i4>8126571</vt:i4>
      </vt:variant>
      <vt:variant>
        <vt:i4>75</vt:i4>
      </vt:variant>
      <vt:variant>
        <vt:i4>0</vt:i4>
      </vt:variant>
      <vt:variant>
        <vt:i4>5</vt:i4>
      </vt:variant>
      <vt:variant>
        <vt:lpwstr>https://eur-lex.europa.eu/eli/reg/2022/1925/oj/eng</vt:lpwstr>
      </vt:variant>
      <vt:variant>
        <vt:lpwstr/>
      </vt:variant>
      <vt:variant>
        <vt:i4>4587520</vt:i4>
      </vt:variant>
      <vt:variant>
        <vt:i4>72</vt:i4>
      </vt:variant>
      <vt:variant>
        <vt:i4>0</vt:i4>
      </vt:variant>
      <vt:variant>
        <vt:i4>5</vt:i4>
      </vt:variant>
      <vt:variant>
        <vt:lpwstr>https://eur-lex.europa.eu/legal-content/EN/TXT/?uri=CELEX%3A32023R2854&amp;qid=1753085801214</vt:lpwstr>
      </vt:variant>
      <vt:variant>
        <vt:lpwstr/>
      </vt:variant>
      <vt:variant>
        <vt:i4>2949223</vt:i4>
      </vt:variant>
      <vt:variant>
        <vt:i4>69</vt:i4>
      </vt:variant>
      <vt:variant>
        <vt:i4>0</vt:i4>
      </vt:variant>
      <vt:variant>
        <vt:i4>5</vt:i4>
      </vt:variant>
      <vt:variant>
        <vt:lpwstr>https://digital-strategy.ec.europa.eu/en/policies/apply-ai</vt:lpwstr>
      </vt:variant>
      <vt:variant>
        <vt:lpwstr/>
      </vt:variant>
      <vt:variant>
        <vt:i4>2097219</vt:i4>
      </vt:variant>
      <vt:variant>
        <vt:i4>66</vt:i4>
      </vt:variant>
      <vt:variant>
        <vt:i4>0</vt:i4>
      </vt:variant>
      <vt:variant>
        <vt:i4>5</vt:i4>
      </vt:variant>
      <vt:variant>
        <vt:lpwstr>https://finance.ec.europa.eu/regulation-and-supervision/savings-and-investments-union_en</vt:lpwstr>
      </vt:variant>
      <vt:variant>
        <vt:lpwstr/>
      </vt:variant>
      <vt:variant>
        <vt:i4>3211357</vt:i4>
      </vt:variant>
      <vt:variant>
        <vt:i4>63</vt:i4>
      </vt:variant>
      <vt:variant>
        <vt:i4>0</vt:i4>
      </vt:variant>
      <vt:variant>
        <vt:i4>5</vt:i4>
      </vt:variant>
      <vt:variant>
        <vt:lpwstr>https://energy.ec.europa.eu/news/commission-collects-views-preparation-european-grids-package-2025-05-13_en</vt:lpwstr>
      </vt:variant>
      <vt:variant>
        <vt:lpwstr/>
      </vt:variant>
      <vt:variant>
        <vt:i4>3866655</vt:i4>
      </vt:variant>
      <vt:variant>
        <vt:i4>60</vt:i4>
      </vt:variant>
      <vt:variant>
        <vt:i4>0</vt:i4>
      </vt:variant>
      <vt:variant>
        <vt:i4>5</vt:i4>
      </vt:variant>
      <vt:variant>
        <vt:lpwstr>https://ec.europa.eu/info/law/better-regulation/have-your-say/initiatives/14709-Digital-Networks-Act_en</vt:lpwstr>
      </vt:variant>
      <vt:variant>
        <vt:lpwstr/>
      </vt:variant>
      <vt:variant>
        <vt:i4>1900636</vt:i4>
      </vt:variant>
      <vt:variant>
        <vt:i4>57</vt:i4>
      </vt:variant>
      <vt:variant>
        <vt:i4>0</vt:i4>
      </vt:variant>
      <vt:variant>
        <vt:i4>5</vt:i4>
      </vt:variant>
      <vt:variant>
        <vt:lpwstr>https://eur-lex.europa.eu/legal-content/EN/TXT/?qid=1553786820621&amp;uri=CELEX%3A32019R0424</vt:lpwstr>
      </vt:variant>
      <vt:variant>
        <vt:lpwstr/>
      </vt:variant>
      <vt:variant>
        <vt:i4>1966172</vt:i4>
      </vt:variant>
      <vt:variant>
        <vt:i4>54</vt:i4>
      </vt:variant>
      <vt:variant>
        <vt:i4>0</vt:i4>
      </vt:variant>
      <vt:variant>
        <vt:i4>5</vt:i4>
      </vt:variant>
      <vt:variant>
        <vt:lpwstr>https://eur-lex.europa.eu/eli/reg/2020/852/oj/eng</vt:lpwstr>
      </vt:variant>
      <vt:variant>
        <vt:lpwstr/>
      </vt:variant>
      <vt:variant>
        <vt:i4>5111838</vt:i4>
      </vt:variant>
      <vt:variant>
        <vt:i4>51</vt:i4>
      </vt:variant>
      <vt:variant>
        <vt:i4>0</vt:i4>
      </vt:variant>
      <vt:variant>
        <vt:i4>5</vt:i4>
      </vt:variant>
      <vt:variant>
        <vt:lpwstr>https://eur-lex.europa.eu/legal-content/EN/TXT/?uri=OJ%3AJOL_2023_231_R_0001&amp;qid=1695186598766</vt:lpwstr>
      </vt:variant>
      <vt:variant>
        <vt:lpwstr/>
      </vt:variant>
      <vt:variant>
        <vt:i4>7798833</vt:i4>
      </vt:variant>
      <vt:variant>
        <vt:i4>48</vt:i4>
      </vt:variant>
      <vt:variant>
        <vt:i4>0</vt:i4>
      </vt:variant>
      <vt:variant>
        <vt:i4>5</vt:i4>
      </vt:variant>
      <vt:variant>
        <vt:lpwstr>https://eur-lex.europa.eu/eli/dec/2022/2481/oj</vt:lpwstr>
      </vt:variant>
      <vt:variant>
        <vt:lpwstr/>
      </vt:variant>
      <vt:variant>
        <vt:i4>6815780</vt:i4>
      </vt:variant>
      <vt:variant>
        <vt:i4>45</vt:i4>
      </vt:variant>
      <vt:variant>
        <vt:i4>0</vt:i4>
      </vt:variant>
      <vt:variant>
        <vt:i4>5</vt:i4>
      </vt:variant>
      <vt:variant>
        <vt:lpwstr>https://www.mitsloanme.com/article/uae-dominates-global-data-centre-rankings-as-region-becomes-digital-infrastructure-hotspot/</vt:lpwstr>
      </vt:variant>
      <vt:variant>
        <vt:lpwstr/>
      </vt:variant>
      <vt:variant>
        <vt:i4>2031683</vt:i4>
      </vt:variant>
      <vt:variant>
        <vt:i4>42</vt:i4>
      </vt:variant>
      <vt:variant>
        <vt:i4>0</vt:i4>
      </vt:variant>
      <vt:variant>
        <vt:i4>5</vt:i4>
      </vt:variant>
      <vt:variant>
        <vt:lpwstr>https://www.gov.uk/government/publications/uk-compute-roadmap/uk-compute-roadmap</vt:lpwstr>
      </vt:variant>
      <vt:variant>
        <vt:lpwstr/>
      </vt:variant>
      <vt:variant>
        <vt:i4>2359406</vt:i4>
      </vt:variant>
      <vt:variant>
        <vt:i4>39</vt:i4>
      </vt:variant>
      <vt:variant>
        <vt:i4>0</vt:i4>
      </vt:variant>
      <vt:variant>
        <vt:i4>5</vt:i4>
      </vt:variant>
      <vt:variant>
        <vt:lpwstr>https://www.reuters.com/technology/china-plans-network-sell-surplus-computing-power-crackdown-data-centre-glut-2025-07-24/</vt:lpwstr>
      </vt:variant>
      <vt:variant>
        <vt:lpwstr/>
      </vt:variant>
      <vt:variant>
        <vt:i4>1507332</vt:i4>
      </vt:variant>
      <vt:variant>
        <vt:i4>36</vt:i4>
      </vt:variant>
      <vt:variant>
        <vt:i4>0</vt:i4>
      </vt:variant>
      <vt:variant>
        <vt:i4>5</vt:i4>
      </vt:variant>
      <vt:variant>
        <vt:lpwstr>https://www.whitehouse.gov/presidential-actions/2025/07/promoting-the-export-of-the-american-ai-technology-stack/</vt:lpwstr>
      </vt:variant>
      <vt:variant>
        <vt:lpwstr/>
      </vt:variant>
      <vt:variant>
        <vt:i4>8323114</vt:i4>
      </vt:variant>
      <vt:variant>
        <vt:i4>33</vt:i4>
      </vt:variant>
      <vt:variant>
        <vt:i4>0</vt:i4>
      </vt:variant>
      <vt:variant>
        <vt:i4>5</vt:i4>
      </vt:variant>
      <vt:variant>
        <vt:lpwstr>https://www.whitehouse.gov/presidential-actions/2025/07/accelerating-federal-permitting-of-data-center-infrastructure/</vt:lpwstr>
      </vt:variant>
      <vt:variant>
        <vt:lpwstr/>
      </vt:variant>
      <vt:variant>
        <vt:i4>983131</vt:i4>
      </vt:variant>
      <vt:variant>
        <vt:i4>30</vt:i4>
      </vt:variant>
      <vt:variant>
        <vt:i4>0</vt:i4>
      </vt:variant>
      <vt:variant>
        <vt:i4>5</vt:i4>
      </vt:variant>
      <vt:variant>
        <vt:lpwstr>https://www.whitehouse.gov/wp-content/uploads/2025/07/Americas-AI-Action-Plan.pdf</vt:lpwstr>
      </vt:variant>
      <vt:variant>
        <vt:lpwstr/>
      </vt:variant>
      <vt:variant>
        <vt:i4>5046302</vt:i4>
      </vt:variant>
      <vt:variant>
        <vt:i4>27</vt:i4>
      </vt:variant>
      <vt:variant>
        <vt:i4>0</vt:i4>
      </vt:variant>
      <vt:variant>
        <vt:i4>5</vt:i4>
      </vt:variant>
      <vt:variant>
        <vt:lpwstr>https://www.wired.com/2013/06/amazon-cia/</vt:lpwstr>
      </vt:variant>
      <vt:variant>
        <vt:lpwstr/>
      </vt:variant>
      <vt:variant>
        <vt:i4>6619227</vt:i4>
      </vt:variant>
      <vt:variant>
        <vt:i4>24</vt:i4>
      </vt:variant>
      <vt:variant>
        <vt:i4>0</vt:i4>
      </vt:variant>
      <vt:variant>
        <vt:i4>5</vt:i4>
      </vt:variant>
      <vt:variant>
        <vt:lpwstr>https://obamawhitehouse.archives.gov/sites/default/files/omb/assets/egov_docs/federal-cloud-computing-strategy.pdf</vt:lpwstr>
      </vt:variant>
      <vt:variant>
        <vt:lpwstr/>
      </vt:variant>
      <vt:variant>
        <vt:i4>3735661</vt:i4>
      </vt:variant>
      <vt:variant>
        <vt:i4>21</vt:i4>
      </vt:variant>
      <vt:variant>
        <vt:i4>0</vt:i4>
      </vt:variant>
      <vt:variant>
        <vt:i4>5</vt:i4>
      </vt:variant>
      <vt:variant>
        <vt:lpwstr>https://data.consilium.europa.eu/doc/document/ST-16430-2025-INIT/en/pdf</vt:lpwstr>
      </vt:variant>
      <vt:variant>
        <vt:lpwstr/>
      </vt:variant>
      <vt:variant>
        <vt:i4>4522024</vt:i4>
      </vt:variant>
      <vt:variant>
        <vt:i4>18</vt:i4>
      </vt:variant>
      <vt:variant>
        <vt:i4>0</vt:i4>
      </vt:variant>
      <vt:variant>
        <vt:i4>5</vt:i4>
      </vt:variant>
      <vt:variant>
        <vt:lpwstr>https://www.europarl.europa.eu/doceo/document/A-10-2025-0107_EN.html</vt:lpwstr>
      </vt:variant>
      <vt:variant>
        <vt:lpwstr/>
      </vt:variant>
      <vt:variant>
        <vt:i4>7077916</vt:i4>
      </vt:variant>
      <vt:variant>
        <vt:i4>15</vt:i4>
      </vt:variant>
      <vt:variant>
        <vt:i4>0</vt:i4>
      </vt:variant>
      <vt:variant>
        <vt:i4>5</vt:i4>
      </vt:variant>
      <vt:variant>
        <vt:lpwstr>https://commission.europa.eu/strategy-and-policy/priorities-2019-2024/europe-fit-digital-age/europes-digital-decade-digital-targets-2030_en</vt:lpwstr>
      </vt:variant>
      <vt:variant>
        <vt:lpwstr/>
      </vt:variant>
      <vt:variant>
        <vt:i4>5832723</vt:i4>
      </vt:variant>
      <vt:variant>
        <vt:i4>12</vt:i4>
      </vt:variant>
      <vt:variant>
        <vt:i4>0</vt:i4>
      </vt:variant>
      <vt:variant>
        <vt:i4>5</vt:i4>
      </vt:variant>
      <vt:variant>
        <vt:lpwstr>https://digital-strategy.ec.europa.eu/en/library/ai-continent-action-plan</vt:lpwstr>
      </vt:variant>
      <vt:variant>
        <vt:lpwstr/>
      </vt:variant>
      <vt:variant>
        <vt:i4>7929886</vt:i4>
      </vt:variant>
      <vt:variant>
        <vt:i4>9</vt:i4>
      </vt:variant>
      <vt:variant>
        <vt:i4>0</vt:i4>
      </vt:variant>
      <vt:variant>
        <vt:i4>5</vt:i4>
      </vt:variant>
      <vt:variant>
        <vt:lpwstr>https://commission.europa.eu/document/download/3b537594-9264-4249-a912-5b102b7b49a3_en?filename=Mission%20letter%20-%20VIRKKUNEN.pdf</vt:lpwstr>
      </vt:variant>
      <vt:variant>
        <vt:lpwstr/>
      </vt:variant>
      <vt:variant>
        <vt:i4>7864358</vt:i4>
      </vt:variant>
      <vt:variant>
        <vt:i4>6</vt:i4>
      </vt:variant>
      <vt:variant>
        <vt:i4>0</vt:i4>
      </vt:variant>
      <vt:variant>
        <vt:i4>5</vt:i4>
      </vt:variant>
      <vt:variant>
        <vt:lpwstr>https://commission.europa.eu/document/download/10017eb1-4722-4333-add2-e0ed18105a34_en?filename=Communication_1.pdf</vt:lpwstr>
      </vt:variant>
      <vt:variant>
        <vt:lpwstr/>
      </vt:variant>
      <vt:variant>
        <vt:i4>7798889</vt:i4>
      </vt:variant>
      <vt:variant>
        <vt:i4>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2026-03-03T12:12:00Z</cp:lastPrinted>
  <dcterms:created xsi:type="dcterms:W3CDTF">2026-06-02T14:42:00Z</dcterms:created>
  <dcterms:modified xsi:type="dcterms:W3CDTF">2026-06-02T15:08:00Z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CPTemplateID">
    <vt:lpwstr>CP-026</vt:lpwstr>
  </property>
  <property fmtid="{D5CDD505-2E9C-101B-9397-08002B2CF9AE}" pid="4" name="Created using">
    <vt:lpwstr>LW 7.0.1, Build 20190916</vt:lpwstr>
  </property>
  <property fmtid="{D5CDD505-2E9C-101B-9397-08002B2CF9AE}" pid="5" name="MSIP_Label_6bd9ddd1-4d20-43f6-abfa-fc3c07406f94_Enabled">
    <vt:lpwstr>true</vt:lpwstr>
  </property>
  <property fmtid="{D5CDD505-2E9C-101B-9397-08002B2CF9AE}" pid="6" name="MSIP_Label_6bd9ddd1-4d20-43f6-abfa-fc3c07406f94_SetDate">
    <vt:lpwstr>2023-01-13T16:09:08Z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7e673b8e-6dd8-49f6-a98b-2979beb59a23</vt:lpwstr>
  </property>
  <property fmtid="{D5CDD505-2E9C-101B-9397-08002B2CF9AE}" pid="11" name="MSIP_Label_6bd9ddd1-4d20-43f6-abfa-fc3c07406f94_ContentBits">
    <vt:lpwstr>0</vt:lpwstr>
  </property>
  <property fmtid="{D5CDD505-2E9C-101B-9397-08002B2CF9AE}" pid="12" name="TaxKeyword">
    <vt:lpwstr/>
  </property>
  <property fmtid="{D5CDD505-2E9C-101B-9397-08002B2CF9AE}" pid="13" name="MediaServiceImageTags">
    <vt:lpwstr/>
  </property>
  <property fmtid="{D5CDD505-2E9C-101B-9397-08002B2CF9AE}" pid="14" name="Responsible unit">
    <vt:lpwstr/>
  </property>
  <property fmtid="{D5CDD505-2E9C-101B-9397-08002B2CF9AE}" pid="15" name="ContentTypeId">
    <vt:lpwstr>0x0101003DFB1343310BFA4D9CEC2870274C3C1F</vt:lpwstr>
  </property>
  <property fmtid="{D5CDD505-2E9C-101B-9397-08002B2CF9AE}" pid="16" name="DocStatus">
    <vt:lpwstr>Green</vt:lpwstr>
  </property>
  <property fmtid="{D5CDD505-2E9C-101B-9397-08002B2CF9AE}" pid="17" name="Last edited using">
    <vt:lpwstr>LW 9.2, Build 20250828</vt:lpwstr>
  </property>
  <property fmtid="{D5CDD505-2E9C-101B-9397-08002B2CF9AE}" pid="18" name="Level of sensitivity">
    <vt:lpwstr>Standard treatment</vt:lpwstr>
  </property>
  <property fmtid="{D5CDD505-2E9C-101B-9397-08002B2CF9AE}" pid="19" name="Total parts">
    <vt:lpwstr>2</vt:lpwstr>
  </property>
</Properties>
</file>