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D40283-4237-4A7E-9C82-A35A0613C37D" style="width:455.25pt;height:402.7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Pagedecouverture"/>
        <w:rPr>
          <w:noProof/>
        </w:rPr>
      </w:pPr>
    </w:p>
    <w:p>
      <w:pPr>
        <w:spacing w:after="120" w:line="240" w:lineRule="auto"/>
        <w:rPr>
          <w:b/>
          <w:bCs/>
          <w:noProof/>
        </w:rPr>
      </w:pPr>
      <w:r>
        <w:rPr>
          <w:b/>
          <w:noProof/>
        </w:rPr>
        <w:t xml:space="preserve">Identificarea problemei și dimensiunea la nivelul UE </w:t>
      </w:r>
    </w:p>
    <w:p>
      <w:pPr>
        <w:spacing w:after="120" w:line="240" w:lineRule="auto"/>
        <w:rPr>
          <w:noProof/>
        </w:rPr>
      </w:pPr>
      <w:r>
        <w:rPr>
          <w:noProof/>
        </w:rPr>
        <w:t xml:space="preserve">Cloud computing-ul și IA au devenit forțe motrice care remodelează industria, serviciile publice și viața de zi cu zi. Acestea sunt alimentate de o capacitate de calcul situată în centre de date. Disponibilitatea capacității de calcul din UE este limitată și concentrată geografic, ceea ce afectează în mod negativ competitivitatea. În plus, UE depinde de serviciile de cloud computing și de calcul IA furnizate de furnizori din afara Europei. Acest lucru poate genera riscuri de control asupra datelor și de autonomie operațională.  </w:t>
      </w:r>
    </w:p>
    <w:p>
      <w:pPr>
        <w:spacing w:line="240" w:lineRule="auto"/>
        <w:rPr>
          <w:noProof/>
        </w:rPr>
      </w:pPr>
      <w:r>
        <w:rPr>
          <w:noProof/>
        </w:rPr>
        <w:t xml:space="preserve">Implementarea capacității de calcul în UE se caracterizează în prezent prin politici naționale, ceea ce duce la fragmentare. Dependența de furnizorii de servicii de cloud computing și de calcul IA din afara Europei are aceleași cauze profunde în întreaga UE, afectând sectorul public și privat din toate statele membre. </w:t>
      </w:r>
    </w:p>
    <w:p>
      <w:pPr>
        <w:spacing w:after="120" w:line="240" w:lineRule="auto"/>
        <w:rPr>
          <w:b/>
          <w:bCs/>
          <w:noProof/>
        </w:rPr>
      </w:pPr>
      <w:r>
        <w:rPr>
          <w:b/>
          <w:noProof/>
        </w:rPr>
        <w:t>Obiectivul inițiativei</w:t>
      </w:r>
    </w:p>
    <w:p>
      <w:pPr>
        <w:spacing w:after="120" w:line="240" w:lineRule="auto"/>
        <w:rPr>
          <w:rFonts w:eastAsia="Times New Roman"/>
          <w:noProof/>
        </w:rPr>
      </w:pPr>
      <w:r>
        <w:rPr>
          <w:noProof/>
        </w:rPr>
        <w:t xml:space="preserve">Regulamentul privind dezvoltarea tehnologiei de tip cloud și a IA (CADA) urmărește să asigure funcționarea pieței interne a serviciilor de cloud computing și de calcul IA și condițiile necesare pentru competitivitatea și autonomia strategică a Uniunii. Acesta urmărește: </w:t>
      </w:r>
    </w:p>
    <w:p>
      <w:pPr>
        <w:numPr>
          <w:ilvl w:val="0"/>
          <w:numId w:val="8"/>
        </w:numPr>
        <w:spacing w:after="0" w:line="240" w:lineRule="auto"/>
        <w:rPr>
          <w:noProof/>
        </w:rPr>
      </w:pPr>
      <w:r>
        <w:rPr>
          <w:noProof/>
        </w:rPr>
        <w:t>sporirea capacității de calcul implementate în UE prin tehnologii inovatoare și durabile;</w:t>
      </w:r>
    </w:p>
    <w:p>
      <w:pPr>
        <w:numPr>
          <w:ilvl w:val="0"/>
          <w:numId w:val="8"/>
        </w:numPr>
        <w:spacing w:after="0" w:line="240" w:lineRule="auto"/>
        <w:rPr>
          <w:noProof/>
        </w:rPr>
      </w:pPr>
      <w:r>
        <w:rPr>
          <w:noProof/>
        </w:rPr>
        <w:t>asigurarea unor condiții atractive pentru o astfel de implementare;</w:t>
      </w:r>
    </w:p>
    <w:p>
      <w:pPr>
        <w:numPr>
          <w:ilvl w:val="0"/>
          <w:numId w:val="8"/>
        </w:numPr>
        <w:spacing w:after="0" w:line="240" w:lineRule="auto"/>
        <w:rPr>
          <w:noProof/>
        </w:rPr>
      </w:pPr>
      <w:r>
        <w:rPr>
          <w:noProof/>
        </w:rPr>
        <w:t xml:space="preserve">reducerea dependenței generale de serviciile de cloud computing și de calcul IA nesuverane; </w:t>
      </w:r>
    </w:p>
    <w:p>
      <w:pPr>
        <w:numPr>
          <w:ilvl w:val="0"/>
          <w:numId w:val="8"/>
        </w:numPr>
        <w:spacing w:after="0" w:line="240" w:lineRule="auto"/>
        <w:rPr>
          <w:noProof/>
        </w:rPr>
      </w:pPr>
      <w:r>
        <w:rPr>
          <w:noProof/>
        </w:rPr>
        <w:t>asigurarea contribuției la protejarea ordinii publice prin sporirea rezilienței furnizării de servicii de cloud computing și de calcul IA, în special în sectorul public.</w:t>
      </w:r>
    </w:p>
    <w:p>
      <w:pPr>
        <w:spacing w:before="120" w:after="120" w:line="240" w:lineRule="auto"/>
        <w:rPr>
          <w:b/>
          <w:bCs/>
          <w:noProof/>
        </w:rPr>
      </w:pPr>
      <w:r>
        <w:rPr>
          <w:b/>
          <w:noProof/>
        </w:rPr>
        <w:t>Valoarea adăugată la nivelul UE</w:t>
      </w:r>
    </w:p>
    <w:p>
      <w:pPr>
        <w:spacing w:after="120" w:line="240" w:lineRule="auto"/>
        <w:rPr>
          <w:noProof/>
        </w:rPr>
      </w:pPr>
      <w:r>
        <w:rPr>
          <w:noProof/>
        </w:rPr>
        <w:t xml:space="preserve">Pentru a stimula capacitatea de calcul, o acțiune la nivelul UE oferă o abordare comună care permite planificarea și implementarea coerentă a capacității într-un mod echilibrat din punct de vedere geografic, evitând în același timp o uniformizare la un nivel inferior și clarificând mediul de reglementare pentru întreprinderile relevante. Pentru a reduce dependența de serviciile furnizate de furnizori din afara Europei, acțiunea la nivelul UE aduce beneficii care depășesc ceea ce statele membre pot realiza în mod individual prin punerea în comun a resurselor și crearea de economii de scară. </w:t>
      </w:r>
    </w:p>
    <w:p>
      <w:pPr>
        <w:spacing w:line="240" w:lineRule="auto"/>
        <w:rPr>
          <w:noProof/>
        </w:rPr>
      </w:pPr>
      <w:r>
        <w:rPr>
          <w:noProof/>
        </w:rPr>
        <w:t>De asemenea, aceasta consolidează autonomia strategică a Uniunii în ceea ce privește infrastructurile digitale, protejând suveranitatea digitală împotriva riscurilor legate de utilizarea serviciilor nesuverane și a dependențelor externe. Prin promovarea unei piețe interne solide pentru serviciile de cloud computing și de calcul IA, UE poate asigura active digitale vitale și își poate stimula competitivitatea la nivel mondial. CADA sprijină dezvoltarea unui ecosistem rezilient și sigur, favorabil inovării, prin intermediul provocărilor legate de finanțarea C&amp;D la nivelul UE, care vizează dezvoltarea unor tehnologii de tip cloud și IA generice extrem de inovatoare, oferind un mediu stabil pentru atragerea investițiilor și stimularea creșterii economice. În sfârșit, aceasta poate spori puterea de negociere colectivă a statelor membre pe scena internațională.</w:t>
      </w:r>
    </w:p>
    <w:p>
      <w:pPr>
        <w:spacing w:after="120" w:line="240" w:lineRule="auto"/>
        <w:rPr>
          <w:noProof/>
        </w:rPr>
      </w:pPr>
      <w:r>
        <w:rPr>
          <w:b/>
          <w:noProof/>
        </w:rPr>
        <w:t xml:space="preserve">Opțiunile evaluate și opțiunea preferată </w:t>
      </w:r>
    </w:p>
    <w:p>
      <w:pPr>
        <w:spacing w:after="120" w:line="240" w:lineRule="auto"/>
        <w:rPr>
          <w:noProof/>
        </w:rPr>
      </w:pPr>
      <w:r>
        <w:rPr>
          <w:noProof/>
        </w:rPr>
        <w:t>Documentul evaluează șase opțiuni de politică, grupate în două categorii: trei abordează disponibilitatea limitată și concentrată geografic a capacității de calcul din UE (OP1) și trei abordează dependența de serviciile de cloud computing și de calcul IA furnizate de furnizori din afara UE (OP2).</w:t>
      </w:r>
    </w:p>
    <w:p>
      <w:pPr>
        <w:spacing w:after="120" w:line="240" w:lineRule="auto"/>
        <w:rPr>
          <w:noProof/>
        </w:rPr>
      </w:pPr>
      <w:r>
        <w:rPr>
          <w:noProof/>
        </w:rPr>
        <w:t>OP1-A consolidează cadrul de colaborare existent între statele membre, instituțiile UE și industriile relevante pentru a sprijini extinderea centrelor de date. OP1-B prevede norme și sprijin financiar pentru o implementare mai rapidă a centrelor de date, puse în aplicare la nivel național. OP1-C transferă această punere în aplicare la nivelul UE.</w:t>
      </w:r>
    </w:p>
    <w:p>
      <w:pPr>
        <w:spacing w:after="120" w:line="240" w:lineRule="auto"/>
        <w:rPr>
          <w:noProof/>
        </w:rPr>
      </w:pPr>
      <w:r>
        <w:rPr>
          <w:noProof/>
        </w:rPr>
        <w:t>OP2-A conține măsuri de sprijin pentru creșterea transparenței și a vizibilității serviciilor de cloud computing și de calcul IA suverane. OP2-B creează un cadru voluntar pentru promovarea acestor servicii și propune agregarea resurselor din sectorul public pentru a spori eficiența. OP2-C stabilește un cadru coordonat la nivelul UE privind achizițiile publice și sprijinul obligatoriu pentru autonomia strategică și serviciile suverane. În ceea ce privește acest ultim aspect, regulamentul prevede măsuri pentru sectorul public, precum și pentru entitățile esențiale din sectorul privat care își desfășoară activitatea în sectoarele enumerate în anexa I la NIS 2.</w:t>
      </w:r>
    </w:p>
    <w:p>
      <w:pPr>
        <w:spacing w:after="120" w:line="240" w:lineRule="auto"/>
        <w:rPr>
          <w:noProof/>
        </w:rPr>
      </w:pPr>
      <w:r>
        <w:rPr>
          <w:noProof/>
        </w:rPr>
        <w:t>Opțiunea preferată este o combinație între OP1-B, OP2-C și două măsuri de politică individuale din cadrul OP1-C, legate de finanțarea pentru dezvoltarea și implementarea de tehnologii noi pentru durabilitate de-a lungul lanțului valoric al tehnologiei de tip cloud (MP8, MP9). Acest pachet realizează cel mai bun echilibru între costuri și beneficii, asigurând în același timp un bun echilibru în ceea ce privește impactul social și de mediu și respectând principiile subsidiarității și proporționalității.</w:t>
      </w:r>
    </w:p>
    <w:p>
      <w:pPr>
        <w:spacing w:after="120" w:line="240" w:lineRule="auto"/>
        <w:rPr>
          <w:b/>
          <w:bCs/>
          <w:noProof/>
        </w:rPr>
      </w:pPr>
      <w:r>
        <w:rPr>
          <w:b/>
          <w:noProof/>
        </w:rPr>
        <w:t xml:space="preserve">Sprijinul părților interesate </w:t>
      </w:r>
    </w:p>
    <w:p>
      <w:pPr>
        <w:spacing w:after="120" w:line="240" w:lineRule="auto"/>
        <w:rPr>
          <w:noProof/>
        </w:rPr>
      </w:pPr>
      <w:r>
        <w:rPr>
          <w:noProof/>
        </w:rPr>
        <w:t>Operatorii centrelor de date și furnizorii de servicii de cloud computing și-au exprimat sprijinul pentru OP1-B și MP8 și MP9, urmărind facilitarea implementării mai rapide a centrelor de date prin reducerea birocrației și încurajarea investițiilor, în special a celor care promovează tehnologiile durabile. Ei salută acest pachet ca pe o simplificare a proceselor administrative de implementare a centrelor de date.</w:t>
      </w:r>
    </w:p>
    <w:p>
      <w:pPr>
        <w:spacing w:after="120" w:line="240" w:lineRule="auto"/>
        <w:rPr>
          <w:noProof/>
        </w:rPr>
      </w:pPr>
      <w:r>
        <w:rPr>
          <w:noProof/>
        </w:rPr>
        <w:t>Furnizorii de servicii de cloud computing și de calcul IA și-au exprimat sprijinul pentru OP2-C, în special pentru mecanismele de achiziții publice comune pe care le instituie, piața, care le permite furnizorilor de dimensiuni mai mici să se extindă și să fie mai vizibili față de operatorii tradiționali și mecanismul de audit pentru serviciile suverane, care ar pune capăt practicilor de dezinformare privind suveranitatea. Ei salută aceste măsuri, deoarece sporesc transparența și vizibilitatea ofertelor de servicii, inclusiv din partea furnizorilor de dimensiuni mai mici, și au ca rezultat oportunități de a-și diferenția serviciile. Furnizorii de servicii din afara UE și-au subliniat în repetate rânduri interesul de a menține o piață europeană deschisă, inclusiv pentru achizițiile publice.</w:t>
      </w:r>
    </w:p>
    <w:p>
      <w:pPr>
        <w:spacing w:line="240" w:lineRule="auto"/>
        <w:rPr>
          <w:noProof/>
        </w:rPr>
      </w:pPr>
      <w:r>
        <w:rPr>
          <w:noProof/>
        </w:rPr>
        <w:t xml:space="preserve">Organismele din sectorul public sprijină OP2-C, în special federația pentru resursele de cloud computing și de calcul IA din sectorul public, deoarece aceasta ar urma să sporească ratele de utilizare a resurselor neutilizate. Ele favorizează, de asemenea, abordarea coordonată a achizițiilor publice și claritatea pe care o oferă cu privire la modul de protejare a confidențialității datelor și de asigurare a autonomiei operaționale pentru cazurile de utilizare extrem de critice. </w:t>
      </w:r>
    </w:p>
    <w:p>
      <w:pPr>
        <w:spacing w:after="120" w:line="240" w:lineRule="auto"/>
        <w:rPr>
          <w:b/>
          <w:bCs/>
          <w:noProof/>
        </w:rPr>
      </w:pPr>
      <w:r>
        <w:rPr>
          <w:b/>
          <w:noProof/>
        </w:rPr>
        <w:t xml:space="preserve">Beneficiile și costurile opțiunii preferate </w:t>
      </w:r>
    </w:p>
    <w:p>
      <w:pPr>
        <w:spacing w:line="240" w:lineRule="auto"/>
        <w:rPr>
          <w:noProof/>
        </w:rPr>
      </w:pPr>
      <w:r>
        <w:rPr>
          <w:noProof/>
        </w:rPr>
        <w:t xml:space="preserve">Se preconizează că pachetul de politici preferat (OP1-B, OP2-C, MP8 și MP9) va avea beneficii pe termen scurt și mediu care depășesc costurile generate pe parcursul perioadei de evaluare pentru diferitele părți interesate. Operatorii centrelor de date ar urma să beneficieze de procese optimizate, de proceduri accelerate de autorizare și de simplificare administrativă, în timp ce furnizorii de servicii de cloud computing și de calcul IA ar urma să beneficieze de economii de costuri care decurg în principal din capacitatea de a obține un audit unic pentru serviciile suverane, valabil în întreaga UE. Acest lucru este relevant pentru achizițiile publice de servicii pentru cazuri de utilizare extrem de critice în întreaga UE. Se preconizează, de asemenea, că autoritățile publice naționale vor beneficia de economii de costuri, în principal prin utilizarea sporită a surselor deschise, achizițiile publice comune și agregarea capacităților. Această combinație de opțiuni implică, de asemenea, costuri de punere în aplicare și de tranziție. Acestea sunt legate în principal de adaptarea sistemelor și a procedurilor, de familiarizarea părților interesate cu noile cerințe și de asigurarea conformității. Majoritatea acestor costuri au un caracter excepțional sau tranzitoriu, în timp ce mai multe dintre beneficiile preconizate se repetă în timp. Se preconizează că această combinație de opțiuni va oferi un echilibru pozitiv între costuri și beneficii, îndeplinind în același timp obiectivele într-un mod proporțional și eficient din punctul de vedere al costurilor. </w:t>
      </w:r>
    </w:p>
    <w:p>
      <w:pPr>
        <w:spacing w:after="120" w:line="240" w:lineRule="auto"/>
        <w:rPr>
          <w:b/>
          <w:bCs/>
          <w:noProof/>
        </w:rPr>
      </w:pPr>
      <w:r>
        <w:rPr>
          <w:b/>
          <w:noProof/>
        </w:rPr>
        <w:t>Impactul asupra IMM-urilor și a competitivității</w:t>
      </w:r>
    </w:p>
    <w:p>
      <w:pPr>
        <w:spacing w:after="120" w:line="240" w:lineRule="auto"/>
        <w:rPr>
          <w:noProof/>
        </w:rPr>
      </w:pPr>
      <w:r>
        <w:rPr>
          <w:noProof/>
        </w:rPr>
        <w:t>Impactul asupra IMM-urilor și a competitivității este predominant pozitiv, deoarece intervenția cuprinzătoare la nivelul UE vizează consolidarea peisajului cloud computing-ului și al calculului IA. Pachetul preferat este conceput pentru a facilita accesul la resursele de cloud computing și de calcul IA pentru IMM-urile care doresc să inoveze sau să își extindă capacitățile digitale. Prin promovarea unei piețe mai unificate și mai deschise, IMM-urile cu sediul în UE pot valorifica un mediu de reglementare armonizat care simplifică procesele de afaceri și sporește oportunitățile de piață.</w:t>
      </w:r>
    </w:p>
    <w:p>
      <w:pPr>
        <w:spacing w:line="240" w:lineRule="auto"/>
        <w:rPr>
          <w:noProof/>
        </w:rPr>
      </w:pPr>
      <w:r>
        <w:rPr>
          <w:noProof/>
        </w:rPr>
        <w:t xml:space="preserve">În ceea ce privește competitivitatea, intervenția urmărește să stimuleze piața internă a UE prin reducerea dependenței de furnizorii de servicii din afara Europei. Această schimbare creează oportunități pentru furnizorii locali de servicii și pentru IMM-uri, pe care aceștia le pot valorifica pentru a concura la nivel mondial. </w:t>
      </w:r>
    </w:p>
    <w:p>
      <w:pPr>
        <w:spacing w:after="120" w:line="240" w:lineRule="auto"/>
        <w:rPr>
          <w:b/>
          <w:bCs/>
          <w:noProof/>
        </w:rPr>
      </w:pPr>
      <w:r>
        <w:rPr>
          <w:b/>
          <w:noProof/>
        </w:rPr>
        <w:t>Alte efecte semnificative</w:t>
      </w:r>
    </w:p>
    <w:p>
      <w:pPr>
        <w:spacing w:after="120" w:line="240" w:lineRule="auto"/>
        <w:rPr>
          <w:noProof/>
        </w:rPr>
      </w:pPr>
      <w:r>
        <w:rPr>
          <w:noProof/>
        </w:rPr>
        <w:t>Dacă va fi pus în aplicare, se preconizează că Regulamentul CADA va avea atât un impact social, cât și un impact asupra mediului legat de creșterea capacității în materie de centre de date.</w:t>
      </w:r>
    </w:p>
    <w:p>
      <w:pPr>
        <w:spacing w:after="120" w:line="240" w:lineRule="auto"/>
        <w:rPr>
          <w:noProof/>
        </w:rPr>
      </w:pPr>
      <w:r>
        <w:rPr>
          <w:noProof/>
        </w:rPr>
        <w:t>Deși extinderea capacității în materie de centre de date are ca rezultat o utilizare sporită a resurselor, printre principalele beneficii pentru mediu se numără utilizarea și dezvoltarea de noi tehnologii eficiente din punct de vedere energetic în centrele de date. Prin sprijinirea unor astfel de progrese, se preconizează că Regulamentul CADA va ajuta UE să reducă amprenta de carbon a industriei sale de centre de date. Acest lucru va contribui la obiectivele și angajamentele mai ample ale UE în materie de climă, aliniind extinderea infrastructurii digitale la principiile durabilității și promovând creșterea responsabilă din punctul de vedere al mediului în sectorul tehnologic.</w:t>
      </w:r>
    </w:p>
    <w:p>
      <w:pPr>
        <w:spacing w:line="240" w:lineRule="auto"/>
        <w:rPr>
          <w:noProof/>
        </w:rPr>
      </w:pPr>
      <w:r>
        <w:rPr>
          <w:noProof/>
        </w:rPr>
        <w:t xml:space="preserve">Din punct de vedere social, se preconizează că Regulamentul CADA va sprijini inovarea și va crea oportunități de ocupare a forței de muncă în sectorul tehnologic, conducând la crearea de locuri de muncă de înaltă valoare și la dezvoltarea competențelor. În plus, se preconizează că serviciile de cloud computing și de IA suverane vor spori reziliența și securitatea operațiunilor din sectorul public, protejând datele sensibile și asigurând fiabilitatea serviciilor pentru cetățeni. </w:t>
      </w:r>
    </w:p>
    <w:p>
      <w:pPr>
        <w:spacing w:line="240" w:lineRule="auto"/>
        <w:rPr>
          <w:noProof/>
        </w:rPr>
      </w:pPr>
      <w:r>
        <w:rPr>
          <w:b/>
          <w:noProof/>
        </w:rPr>
        <w:t>Acțiuni ulterioare</w:t>
      </w:r>
    </w:p>
    <w:p>
      <w:pPr>
        <w:spacing w:line="240" w:lineRule="auto"/>
        <w:rPr>
          <w:rFonts w:cs="Times New Roman"/>
          <w:noProof/>
          <w:szCs w:val="24"/>
        </w:rPr>
      </w:pPr>
      <w:r>
        <w:rPr>
          <w:noProof/>
        </w:rPr>
        <w:t>Comisia ar trebui să efectueze o evaluare la cinci ani de la data adoptării pentru a analiza în ce măsură au fost atinse obiectivele inițiativei.</w:t>
      </w: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B3AE5"/>
    <w:multiLevelType w:val="hybridMultilevel"/>
    <w:tmpl w:val="89D8B3B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1C6CB5"/>
    <w:multiLevelType w:val="multilevel"/>
    <w:tmpl w:val="C526E9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A107F0"/>
    <w:multiLevelType w:val="multilevel"/>
    <w:tmpl w:val="8BC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879FC"/>
    <w:multiLevelType w:val="hybridMultilevel"/>
    <w:tmpl w:val="081C98F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EC976C6"/>
    <w:multiLevelType w:val="multilevel"/>
    <w:tmpl w:val="9AB8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7E696F"/>
    <w:multiLevelType w:val="multilevel"/>
    <w:tmpl w:val="3848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872A0"/>
    <w:multiLevelType w:val="multilevel"/>
    <w:tmpl w:val="4BC43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1397E"/>
    <w:multiLevelType w:val="multilevel"/>
    <w:tmpl w:val="98580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AD0C83"/>
    <w:multiLevelType w:val="multilevel"/>
    <w:tmpl w:val="586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6"/>
  </w:num>
  <w:num w:numId="4">
    <w:abstractNumId w:val="7"/>
  </w:num>
  <w:num w:numId="5">
    <w:abstractNumId w:val="0"/>
  </w:num>
  <w:num w:numId="6">
    <w:abstractNumId w:val="3"/>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8FD40283-4237-4A7E-9C82-A35A0613C37D"/>
    <w:docVar w:name="LW_COVERPAGE_TYPE" w:val="1"/>
    <w:docVar w:name="LW_CROSSREFERENCE" w:val="{COM(2026) 502 final} - {SEC(2026) 502 final} - {SWD(2026) 502 final}"/>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de stabilire a unui cadru de m\u259?suri pentru consolidarea ecosistemului european al tehnologiei de tip cloud \u537?i al IA (Regulamentul privind dezvoltarea tehnologiei de tip cloud \u537?i a IA)"/>
    <w:docVar w:name="LW_PART_NBR" w:val="1"/>
    <w:docVar w:name="LW_PART_NBR_TOTAL" w:val="1"/>
    <w:docVar w:name="LW_REF.INST.NEW" w:val="SWD"/>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_x000b_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A225297-0656-45B4-89B4-C5B602D6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w:hAnsi="Times New Roman"/>
      <w:sz w:val="24"/>
    </w:rPr>
  </w:style>
  <w:style w:type="paragraph" w:styleId="Heading1">
    <w:name w:val="heading 1"/>
    <w:basedOn w:val="Normal"/>
    <w:next w:val="Normal"/>
    <w:link w:val="Heading1Char"/>
    <w:uiPriority w:val="9"/>
    <w:qFormat/>
    <w:pPr>
      <w:keepNext/>
      <w:spacing w:before="240" w:after="240" w:line="240" w:lineRule="auto"/>
      <w:outlineLvl w:val="0"/>
    </w:pPr>
    <w:rPr>
      <w:rFonts w:eastAsia="Times New Roman" w:cs="Times New Roman"/>
      <w:b/>
      <w:smallCap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Pr>
      <w:rFonts w:ascii="Times New Roman" w:eastAsiaTheme="majorEastAsia" w:hAnsi="Times New Roman" w:cstheme="majorBidi"/>
      <w:spacing w:val="-10"/>
      <w:kern w:val="28"/>
      <w:sz w:val="28"/>
      <w:szCs w:val="56"/>
    </w:rPr>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4"/>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05066">
      <w:bodyDiv w:val="1"/>
      <w:marLeft w:val="0"/>
      <w:marRight w:val="0"/>
      <w:marTop w:val="0"/>
      <w:marBottom w:val="0"/>
      <w:divBdr>
        <w:top w:val="none" w:sz="0" w:space="0" w:color="auto"/>
        <w:left w:val="none" w:sz="0" w:space="0" w:color="auto"/>
        <w:bottom w:val="none" w:sz="0" w:space="0" w:color="auto"/>
        <w:right w:val="none" w:sz="0" w:space="0" w:color="auto"/>
      </w:divBdr>
    </w:div>
    <w:div w:id="182788184">
      <w:bodyDiv w:val="1"/>
      <w:marLeft w:val="0"/>
      <w:marRight w:val="0"/>
      <w:marTop w:val="0"/>
      <w:marBottom w:val="0"/>
      <w:divBdr>
        <w:top w:val="none" w:sz="0" w:space="0" w:color="auto"/>
        <w:left w:val="none" w:sz="0" w:space="0" w:color="auto"/>
        <w:bottom w:val="none" w:sz="0" w:space="0" w:color="auto"/>
        <w:right w:val="none" w:sz="0" w:space="0" w:color="auto"/>
      </w:divBdr>
    </w:div>
    <w:div w:id="258955349">
      <w:bodyDiv w:val="1"/>
      <w:marLeft w:val="0"/>
      <w:marRight w:val="0"/>
      <w:marTop w:val="0"/>
      <w:marBottom w:val="0"/>
      <w:divBdr>
        <w:top w:val="none" w:sz="0" w:space="0" w:color="auto"/>
        <w:left w:val="none" w:sz="0" w:space="0" w:color="auto"/>
        <w:bottom w:val="none" w:sz="0" w:space="0" w:color="auto"/>
        <w:right w:val="none" w:sz="0" w:space="0" w:color="auto"/>
      </w:divBdr>
    </w:div>
    <w:div w:id="783769094">
      <w:bodyDiv w:val="1"/>
      <w:marLeft w:val="0"/>
      <w:marRight w:val="0"/>
      <w:marTop w:val="0"/>
      <w:marBottom w:val="0"/>
      <w:divBdr>
        <w:top w:val="none" w:sz="0" w:space="0" w:color="auto"/>
        <w:left w:val="none" w:sz="0" w:space="0" w:color="auto"/>
        <w:bottom w:val="none" w:sz="0" w:space="0" w:color="auto"/>
        <w:right w:val="none" w:sz="0" w:space="0" w:color="auto"/>
      </w:divBdr>
    </w:div>
    <w:div w:id="892693661">
      <w:bodyDiv w:val="1"/>
      <w:marLeft w:val="0"/>
      <w:marRight w:val="0"/>
      <w:marTop w:val="0"/>
      <w:marBottom w:val="0"/>
      <w:divBdr>
        <w:top w:val="none" w:sz="0" w:space="0" w:color="auto"/>
        <w:left w:val="none" w:sz="0" w:space="0" w:color="auto"/>
        <w:bottom w:val="none" w:sz="0" w:space="0" w:color="auto"/>
        <w:right w:val="none" w:sz="0" w:space="0" w:color="auto"/>
      </w:divBdr>
    </w:div>
    <w:div w:id="895241008">
      <w:bodyDiv w:val="1"/>
      <w:marLeft w:val="0"/>
      <w:marRight w:val="0"/>
      <w:marTop w:val="0"/>
      <w:marBottom w:val="0"/>
      <w:divBdr>
        <w:top w:val="none" w:sz="0" w:space="0" w:color="auto"/>
        <w:left w:val="none" w:sz="0" w:space="0" w:color="auto"/>
        <w:bottom w:val="none" w:sz="0" w:space="0" w:color="auto"/>
        <w:right w:val="none" w:sz="0" w:space="0" w:color="auto"/>
      </w:divBdr>
    </w:div>
    <w:div w:id="1022904567">
      <w:bodyDiv w:val="1"/>
      <w:marLeft w:val="0"/>
      <w:marRight w:val="0"/>
      <w:marTop w:val="0"/>
      <w:marBottom w:val="0"/>
      <w:divBdr>
        <w:top w:val="none" w:sz="0" w:space="0" w:color="auto"/>
        <w:left w:val="none" w:sz="0" w:space="0" w:color="auto"/>
        <w:bottom w:val="none" w:sz="0" w:space="0" w:color="auto"/>
        <w:right w:val="none" w:sz="0" w:space="0" w:color="auto"/>
      </w:divBdr>
    </w:div>
    <w:div w:id="1174875394">
      <w:bodyDiv w:val="1"/>
      <w:marLeft w:val="0"/>
      <w:marRight w:val="0"/>
      <w:marTop w:val="0"/>
      <w:marBottom w:val="0"/>
      <w:divBdr>
        <w:top w:val="none" w:sz="0" w:space="0" w:color="auto"/>
        <w:left w:val="none" w:sz="0" w:space="0" w:color="auto"/>
        <w:bottom w:val="none" w:sz="0" w:space="0" w:color="auto"/>
        <w:right w:val="none" w:sz="0" w:space="0" w:color="auto"/>
      </w:divBdr>
    </w:div>
    <w:div w:id="1223833530">
      <w:bodyDiv w:val="1"/>
      <w:marLeft w:val="0"/>
      <w:marRight w:val="0"/>
      <w:marTop w:val="0"/>
      <w:marBottom w:val="0"/>
      <w:divBdr>
        <w:top w:val="none" w:sz="0" w:space="0" w:color="auto"/>
        <w:left w:val="none" w:sz="0" w:space="0" w:color="auto"/>
        <w:bottom w:val="none" w:sz="0" w:space="0" w:color="auto"/>
        <w:right w:val="none" w:sz="0" w:space="0" w:color="auto"/>
      </w:divBdr>
    </w:div>
    <w:div w:id="1360816228">
      <w:bodyDiv w:val="1"/>
      <w:marLeft w:val="0"/>
      <w:marRight w:val="0"/>
      <w:marTop w:val="0"/>
      <w:marBottom w:val="0"/>
      <w:divBdr>
        <w:top w:val="none" w:sz="0" w:space="0" w:color="auto"/>
        <w:left w:val="none" w:sz="0" w:space="0" w:color="auto"/>
        <w:bottom w:val="none" w:sz="0" w:space="0" w:color="auto"/>
        <w:right w:val="none" w:sz="0" w:space="0" w:color="auto"/>
      </w:divBdr>
    </w:div>
    <w:div w:id="1441756430">
      <w:bodyDiv w:val="1"/>
      <w:marLeft w:val="0"/>
      <w:marRight w:val="0"/>
      <w:marTop w:val="0"/>
      <w:marBottom w:val="0"/>
      <w:divBdr>
        <w:top w:val="none" w:sz="0" w:space="0" w:color="auto"/>
        <w:left w:val="none" w:sz="0" w:space="0" w:color="auto"/>
        <w:bottom w:val="none" w:sz="0" w:space="0" w:color="auto"/>
        <w:right w:val="none" w:sz="0" w:space="0" w:color="auto"/>
      </w:divBdr>
    </w:div>
    <w:div w:id="1507791429">
      <w:bodyDiv w:val="1"/>
      <w:marLeft w:val="0"/>
      <w:marRight w:val="0"/>
      <w:marTop w:val="0"/>
      <w:marBottom w:val="0"/>
      <w:divBdr>
        <w:top w:val="none" w:sz="0" w:space="0" w:color="auto"/>
        <w:left w:val="none" w:sz="0" w:space="0" w:color="auto"/>
        <w:bottom w:val="none" w:sz="0" w:space="0" w:color="auto"/>
        <w:right w:val="none" w:sz="0" w:space="0" w:color="auto"/>
      </w:divBdr>
    </w:div>
    <w:div w:id="1700861932">
      <w:bodyDiv w:val="1"/>
      <w:marLeft w:val="0"/>
      <w:marRight w:val="0"/>
      <w:marTop w:val="0"/>
      <w:marBottom w:val="0"/>
      <w:divBdr>
        <w:top w:val="none" w:sz="0" w:space="0" w:color="auto"/>
        <w:left w:val="none" w:sz="0" w:space="0" w:color="auto"/>
        <w:bottom w:val="none" w:sz="0" w:space="0" w:color="auto"/>
        <w:right w:val="none" w:sz="0" w:space="0" w:color="auto"/>
      </w:divBdr>
    </w:div>
    <w:div w:id="1725593648">
      <w:bodyDiv w:val="1"/>
      <w:marLeft w:val="0"/>
      <w:marRight w:val="0"/>
      <w:marTop w:val="0"/>
      <w:marBottom w:val="0"/>
      <w:divBdr>
        <w:top w:val="none" w:sz="0" w:space="0" w:color="auto"/>
        <w:left w:val="none" w:sz="0" w:space="0" w:color="auto"/>
        <w:bottom w:val="none" w:sz="0" w:space="0" w:color="auto"/>
        <w:right w:val="none" w:sz="0" w:space="0" w:color="auto"/>
      </w:divBdr>
    </w:div>
    <w:div w:id="174471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A72D1-75FF-4E9F-8026-EBE6F49C9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4.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1621</Words>
  <Characters>9241</Characters>
  <Application>Microsoft Office Word</Application>
  <DocSecurity>0</DocSecurity>
  <Lines>77</Lines>
  <Paragraphs>21</Paragraphs>
  <ScaleCrop>false</ScaleCrop>
  <Manager/>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2026-05-26T19:38:00Z</dcterms:created>
  <dcterms:modified xsi:type="dcterms:W3CDTF">2026-09-16T12:29:00Z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0x0101003DFB1343310BFA4D9CEC2870274C3C1F</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